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0585C" w14:textId="64AEDE6E" w:rsidR="00496244" w:rsidRPr="00F04A2B" w:rsidRDefault="00690740" w:rsidP="00522AE2">
      <w:pPr>
        <w:pStyle w:val="ARpublicationtitle"/>
        <w:rPr>
          <w:rStyle w:val="Strong"/>
          <w:b w:val="0"/>
          <w:bCs w:val="0"/>
        </w:rPr>
      </w:pPr>
      <w:r>
        <w:rPr>
          <w:rFonts w:eastAsia="Times New Roman"/>
          <w:noProof/>
          <w:lang w:eastAsia="en-AU" w:bidi="as-IN"/>
        </w:rPr>
        <w:drawing>
          <wp:anchor distT="0" distB="0" distL="114300" distR="114300" simplePos="0" relativeHeight="251658247" behindDoc="0" locked="1" layoutInCell="1" allowOverlap="1" wp14:anchorId="25A3D4AB" wp14:editId="4AF64481">
            <wp:simplePos x="0" y="0"/>
            <wp:positionH relativeFrom="page">
              <wp:posOffset>0</wp:posOffset>
            </wp:positionH>
            <wp:positionV relativeFrom="page">
              <wp:posOffset>0</wp:posOffset>
            </wp:positionV>
            <wp:extent cx="7563600" cy="10151280"/>
            <wp:effectExtent l="0" t="0" r="0" b="2540"/>
            <wp:wrapNone/>
            <wp:docPr id="16" name="Picture 16" descr="Department of Health Annual Report 2021–22 (Victoria State Government Department of Heal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6" descr="Department of Health Annual Report 2021–22 (Victoria State Government Department of Health)"/>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63600" cy="10151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A2B" w:rsidRPr="00F04A2B">
        <w:t xml:space="preserve">Department of Health </w:t>
      </w:r>
      <w:r w:rsidR="007A5C25">
        <w:t>A</w:t>
      </w:r>
      <w:r w:rsidR="00F04A2B" w:rsidRPr="00F04A2B">
        <w:t xml:space="preserve">nnual </w:t>
      </w:r>
      <w:r w:rsidR="007A5C25">
        <w:t>R</w:t>
      </w:r>
      <w:r w:rsidR="00F04A2B" w:rsidRPr="00F04A2B">
        <w:t>eport</w:t>
      </w:r>
      <w:r w:rsidR="00522AE2">
        <w:t xml:space="preserve"> </w:t>
      </w:r>
      <w:r w:rsidR="00F04A2B" w:rsidRPr="00F04A2B">
        <w:t>202</w:t>
      </w:r>
      <w:r w:rsidR="00522AE2">
        <w:t>1</w:t>
      </w:r>
      <w:r w:rsidR="00F04A2B" w:rsidRPr="00F04A2B">
        <w:t>–2</w:t>
      </w:r>
      <w:r w:rsidR="00522AE2">
        <w:t>2</w:t>
      </w:r>
    </w:p>
    <w:p w14:paraId="12BA7C65" w14:textId="77777777" w:rsidR="00496244" w:rsidRPr="008E5377" w:rsidRDefault="00496244" w:rsidP="00317057">
      <w:pPr>
        <w:pStyle w:val="ARbody"/>
        <w:rPr>
          <w:rStyle w:val="Strong"/>
          <w:b w:val="0"/>
          <w:bCs w:val="0"/>
        </w:rPr>
      </w:pPr>
      <w:r w:rsidRPr="008E5377">
        <w:rPr>
          <w:rStyle w:val="Strong"/>
          <w:b w:val="0"/>
          <w:bCs w:val="0"/>
        </w:rPr>
        <w:br w:type="page"/>
      </w:r>
    </w:p>
    <w:p w14:paraId="1742E04C" w14:textId="42B5EB84" w:rsidR="00496244" w:rsidRPr="00291C81" w:rsidRDefault="00496244" w:rsidP="00B27393">
      <w:pPr>
        <w:pStyle w:val="ARbody"/>
        <w:rPr>
          <w:rStyle w:val="Strong"/>
        </w:rPr>
      </w:pPr>
      <w:r w:rsidRPr="00291C81">
        <w:rPr>
          <w:rStyle w:val="Strong"/>
        </w:rPr>
        <w:lastRenderedPageBreak/>
        <w:t>The department proudly acknowledges Victoria</w:t>
      </w:r>
      <w:r w:rsidR="007D145B">
        <w:rPr>
          <w:rStyle w:val="Strong"/>
        </w:rPr>
        <w:t>’</w:t>
      </w:r>
      <w:r w:rsidRPr="00291C81">
        <w:rPr>
          <w:rStyle w:val="Strong"/>
        </w:rPr>
        <w:t>s Aboriginal communities and their rich culture and pays respect to their Elders past and present.</w:t>
      </w:r>
    </w:p>
    <w:p w14:paraId="7BA38086" w14:textId="50B94F01" w:rsidR="00496244" w:rsidRPr="00291C81" w:rsidRDefault="00496244" w:rsidP="00B27393">
      <w:pPr>
        <w:pStyle w:val="ARbody"/>
        <w:rPr>
          <w:rStyle w:val="Strong"/>
        </w:rPr>
      </w:pPr>
      <w:r w:rsidRPr="00291C81">
        <w:rPr>
          <w:rStyle w:val="Strong"/>
        </w:rPr>
        <w:t>We acknowledge Aboriginal people as Australia</w:t>
      </w:r>
      <w:r w:rsidR="007D145B">
        <w:rPr>
          <w:rStyle w:val="Strong"/>
        </w:rPr>
        <w:t>’</w:t>
      </w:r>
      <w:r w:rsidRPr="00291C81">
        <w:rPr>
          <w:rStyle w:val="Strong"/>
        </w:rPr>
        <w:t>s first peoples and as the Traditional Owners and custodians of the land and water on which we rely.</w:t>
      </w:r>
    </w:p>
    <w:p w14:paraId="4A86885E" w14:textId="77777777" w:rsidR="00496244" w:rsidRPr="00291C81" w:rsidRDefault="00496244" w:rsidP="00B27393">
      <w:pPr>
        <w:pStyle w:val="ARbody"/>
        <w:rPr>
          <w:rStyle w:val="Strong"/>
        </w:rPr>
      </w:pPr>
      <w:r w:rsidRPr="00291C81">
        <w:rPr>
          <w:rStyle w:val="Strong"/>
        </w:rPr>
        <w:t>We recognise and value the ongoing contribution of Aboriginal people and communities to Victorian life and how this enriches us.</w:t>
      </w:r>
    </w:p>
    <w:p w14:paraId="262A695F" w14:textId="77777777" w:rsidR="00496244" w:rsidRPr="00291C81" w:rsidRDefault="00496244" w:rsidP="00317057">
      <w:pPr>
        <w:pStyle w:val="ARbody"/>
        <w:spacing w:after="4680"/>
        <w:rPr>
          <w:rStyle w:val="Strong"/>
        </w:rPr>
      </w:pPr>
      <w:r w:rsidRPr="00291C81">
        <w:rPr>
          <w:rStyle w:val="Strong"/>
        </w:rPr>
        <w:t>We embrace the spirit of reconciliation, working towards the equality of outcomes and ensuring an equal voice.</w:t>
      </w:r>
    </w:p>
    <w:p w14:paraId="44193894" w14:textId="4399E4D9" w:rsidR="00496244" w:rsidRPr="002029AF" w:rsidRDefault="00496244" w:rsidP="00044722">
      <w:pPr>
        <w:pStyle w:val="ARaccessibilitypara"/>
      </w:pPr>
      <w:r w:rsidRPr="002029AF">
        <w:t xml:space="preserve">To receive this publication in an accessible format, </w:t>
      </w:r>
      <w:hyperlink r:id="rId12" w:history="1">
        <w:r w:rsidRPr="002029AF">
          <w:rPr>
            <w:rStyle w:val="Hyperlink"/>
          </w:rPr>
          <w:t>email corporate reporting</w:t>
        </w:r>
      </w:hyperlink>
      <w:r w:rsidRPr="002029AF">
        <w:t xml:space="preserve"> &lt;corporate.reporting@</w:t>
      </w:r>
      <w:r>
        <w:t>health</w:t>
      </w:r>
      <w:r w:rsidRPr="002029AF">
        <w:t>.vic.gov.au&gt;.</w:t>
      </w:r>
    </w:p>
    <w:p w14:paraId="169C6228" w14:textId="77777777" w:rsidR="00496244" w:rsidRPr="002029AF" w:rsidRDefault="00496244" w:rsidP="00897193">
      <w:pPr>
        <w:pStyle w:val="ARbody"/>
      </w:pPr>
      <w:r w:rsidRPr="002029AF">
        <w:t>Authorised and published by the Victorian Government, 1 Treasury Place, Melbourne.</w:t>
      </w:r>
    </w:p>
    <w:p w14:paraId="086E4A96" w14:textId="6F5CDC00" w:rsidR="00496244" w:rsidRPr="002029AF" w:rsidRDefault="00496244" w:rsidP="00897193">
      <w:pPr>
        <w:pStyle w:val="ARbody"/>
      </w:pPr>
      <w:r w:rsidRPr="002029AF">
        <w:t xml:space="preserve">© State of Victoria, Australia (Department of Health), </w:t>
      </w:r>
      <w:r w:rsidR="005D661A">
        <w:t>September</w:t>
      </w:r>
      <w:r w:rsidRPr="002029AF">
        <w:t xml:space="preserve"> 202</w:t>
      </w:r>
      <w:r w:rsidR="005D661A">
        <w:t>2</w:t>
      </w:r>
      <w:r w:rsidRPr="002029AF">
        <w:t>.</w:t>
      </w:r>
    </w:p>
    <w:p w14:paraId="0A301CDC" w14:textId="77777777" w:rsidR="00496244" w:rsidRPr="002029AF" w:rsidRDefault="00496244" w:rsidP="00B27393">
      <w:pPr>
        <w:pStyle w:val="ARbody"/>
      </w:pPr>
      <w:r>
        <w:rPr>
          <w:noProof/>
          <w:lang w:eastAsia="en-AU" w:bidi="as-IN"/>
        </w:rPr>
        <w:drawing>
          <wp:inline distT="0" distB="0" distL="0" distR="0" wp14:anchorId="3A43D4B9" wp14:editId="57449FE3">
            <wp:extent cx="1233170" cy="425450"/>
            <wp:effectExtent l="0" t="0" r="5080" b="0"/>
            <wp:docPr id="6" name="Picture 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233170" cy="425450"/>
                    </a:xfrm>
                    <a:prstGeom prst="rect">
                      <a:avLst/>
                    </a:prstGeom>
                  </pic:spPr>
                </pic:pic>
              </a:graphicData>
            </a:graphic>
          </wp:inline>
        </w:drawing>
      </w:r>
    </w:p>
    <w:p w14:paraId="72CFD885" w14:textId="06EA478D" w:rsidR="00496244" w:rsidRPr="002029AF" w:rsidRDefault="00496244" w:rsidP="00B27393">
      <w:pPr>
        <w:pStyle w:val="ARbody"/>
      </w:pPr>
      <w:r w:rsidRPr="002029AF">
        <w:t>With the exception of any images, photographs or branding (including, but not limited to the Victorian Coat of</w:t>
      </w:r>
      <w:r>
        <w:t> </w:t>
      </w:r>
      <w:r w:rsidRPr="002029AF">
        <w:t>Arms, the Victorian Government logo or the Department of Health logo), this work,</w:t>
      </w:r>
      <w:r w:rsidRPr="002029AF">
        <w:rPr>
          <w:i/>
        </w:rPr>
        <w:t xml:space="preserve"> Department of Health </w:t>
      </w:r>
      <w:r w:rsidR="00806D6C">
        <w:rPr>
          <w:i/>
        </w:rPr>
        <w:t>A</w:t>
      </w:r>
      <w:r w:rsidRPr="002029AF">
        <w:rPr>
          <w:i/>
        </w:rPr>
        <w:t xml:space="preserve">nnual </w:t>
      </w:r>
      <w:r w:rsidR="00806D6C">
        <w:rPr>
          <w:i/>
        </w:rPr>
        <w:t>R</w:t>
      </w:r>
      <w:r w:rsidRPr="002029AF">
        <w:rPr>
          <w:i/>
        </w:rPr>
        <w:t>eport 20</w:t>
      </w:r>
      <w:r>
        <w:rPr>
          <w:i/>
        </w:rPr>
        <w:t>2</w:t>
      </w:r>
      <w:r w:rsidR="00806D6C">
        <w:rPr>
          <w:i/>
        </w:rPr>
        <w:t>1</w:t>
      </w:r>
      <w:r w:rsidRPr="002029AF">
        <w:rPr>
          <w:i/>
        </w:rPr>
        <w:t>–2</w:t>
      </w:r>
      <w:r w:rsidR="00806D6C">
        <w:rPr>
          <w:i/>
        </w:rPr>
        <w:t>2</w:t>
      </w:r>
      <w:r w:rsidRPr="002029AF">
        <w:t>, is licensed under a Creative Commons Attribution 4.0 licence.</w:t>
      </w:r>
    </w:p>
    <w:p w14:paraId="2AB253CA" w14:textId="01ED35AC" w:rsidR="00496244" w:rsidRPr="002029AF" w:rsidRDefault="00496244" w:rsidP="00897193">
      <w:pPr>
        <w:pStyle w:val="ARbody"/>
      </w:pPr>
      <w:r w:rsidRPr="002029AF">
        <w:t xml:space="preserve">The terms and conditions of this licence, including disclaimer of warranties and limitation of liability are available at </w:t>
      </w:r>
      <w:hyperlink r:id="rId14" w:history="1">
        <w:r w:rsidRPr="002029AF">
          <w:rPr>
            <w:rStyle w:val="Hyperlink"/>
          </w:rPr>
          <w:t>Creative Commons Attribution 4.0 International</w:t>
        </w:r>
      </w:hyperlink>
      <w:r w:rsidRPr="002029AF">
        <w:t xml:space="preserve"> &lt;https://creativecommons.org/licenses/by/4.0/legalcode&gt;.</w:t>
      </w:r>
    </w:p>
    <w:p w14:paraId="16452E66" w14:textId="27422A58" w:rsidR="00496244" w:rsidRPr="002029AF" w:rsidRDefault="00496244" w:rsidP="00897193">
      <w:pPr>
        <w:pStyle w:val="ARbody"/>
      </w:pPr>
      <w:r w:rsidRPr="002029AF">
        <w:t>You are free to reuse the work under that licence, on the condition that you credit the State of Victoria, Australia (Department of Health) as the author and/or owner of the work, indicate if</w:t>
      </w:r>
      <w:r w:rsidR="003002CC">
        <w:t xml:space="preserve"> </w:t>
      </w:r>
      <w:r w:rsidRPr="002029AF">
        <w:t>any</w:t>
      </w:r>
      <w:r w:rsidR="003002CC">
        <w:t xml:space="preserve"> </w:t>
      </w:r>
      <w:r w:rsidRPr="002029AF">
        <w:t>changes have been made to the work and comply with the other licence terms.</w:t>
      </w:r>
    </w:p>
    <w:p w14:paraId="7711B380" w14:textId="53F5484A" w:rsidR="00496244" w:rsidRPr="002029AF" w:rsidRDefault="00496244" w:rsidP="00897193">
      <w:pPr>
        <w:pStyle w:val="ARbody"/>
      </w:pPr>
      <w:r w:rsidRPr="002029AF">
        <w:t xml:space="preserve">In this document, </w:t>
      </w:r>
      <w:r w:rsidR="007D145B">
        <w:t>‘</w:t>
      </w:r>
      <w:r w:rsidRPr="002029AF">
        <w:t>Aboriginal</w:t>
      </w:r>
      <w:r w:rsidR="007D145B">
        <w:t>’</w:t>
      </w:r>
      <w:r w:rsidRPr="002029AF">
        <w:t xml:space="preserve"> refers to both Aboriginal and Torres Strait Islander people. </w:t>
      </w:r>
      <w:r w:rsidR="007D145B">
        <w:t>‘</w:t>
      </w:r>
      <w:r w:rsidRPr="002029AF">
        <w:t>Indigenous</w:t>
      </w:r>
      <w:r w:rsidR="007D145B">
        <w:t>’</w:t>
      </w:r>
      <w:r w:rsidRPr="002029AF">
        <w:t xml:space="preserve"> or</w:t>
      </w:r>
      <w:r>
        <w:t> </w:t>
      </w:r>
      <w:r w:rsidR="007D145B">
        <w:t>’</w:t>
      </w:r>
      <w:r w:rsidRPr="002029AF">
        <w:t>Koori/Koorie</w:t>
      </w:r>
      <w:r w:rsidR="007D145B">
        <w:t>’</w:t>
      </w:r>
      <w:r w:rsidRPr="002029AF">
        <w:t xml:space="preserve"> is retained when part of the title of a report, program or quotation.</w:t>
      </w:r>
    </w:p>
    <w:p w14:paraId="61FC9BED" w14:textId="6889EE18" w:rsidR="005B71E3" w:rsidRDefault="00496244" w:rsidP="001A559C">
      <w:pPr>
        <w:pStyle w:val="ARbody"/>
      </w:pPr>
      <w:r w:rsidRPr="00DE1D8E">
        <w:t>ISSN 2653-1852 (online)</w:t>
      </w:r>
    </w:p>
    <w:p w14:paraId="0E7FFE11" w14:textId="7899EF2D" w:rsidR="005B71E3" w:rsidRDefault="005B71E3" w:rsidP="001A559C">
      <w:pPr>
        <w:pStyle w:val="ARbody"/>
      </w:pPr>
      <w:r>
        <w:t>(</w:t>
      </w:r>
      <w:r w:rsidRPr="005B71E3">
        <w:t>DH 2205209</w:t>
      </w:r>
      <w:r>
        <w:t>)</w:t>
      </w:r>
    </w:p>
    <w:p w14:paraId="5893824F" w14:textId="77777777" w:rsidR="00496244" w:rsidRDefault="00496244" w:rsidP="001A559C">
      <w:pPr>
        <w:pStyle w:val="ARbody"/>
        <w:sectPr w:rsidR="00496244" w:rsidSect="00317057">
          <w:headerReference w:type="default" r:id="rId15"/>
          <w:footnotePr>
            <w:numFmt w:val="lowerLetter"/>
            <w:numRestart w:val="eachPage"/>
          </w:footnotePr>
          <w:endnotePr>
            <w:numFmt w:val="decimal"/>
          </w:endnotePr>
          <w:type w:val="continuous"/>
          <w:pgSz w:w="11900" w:h="16840" w:code="9"/>
          <w:pgMar w:top="1985" w:right="1134" w:bottom="851" w:left="1134" w:header="510" w:footer="340" w:gutter="0"/>
          <w:cols w:space="454"/>
          <w15:footnoteColumns w:val="1"/>
        </w:sectPr>
      </w:pPr>
    </w:p>
    <w:p w14:paraId="170E3CCA" w14:textId="0D18E36C" w:rsidR="00496244" w:rsidRDefault="00496244" w:rsidP="00897193">
      <w:pPr>
        <w:pStyle w:val="ARTOCheading"/>
        <w:rPr>
          <w:lang w:val="en-AU"/>
        </w:rPr>
      </w:pPr>
      <w:r w:rsidRPr="002029AF">
        <w:rPr>
          <w:lang w:val="en-AU"/>
        </w:rPr>
        <w:lastRenderedPageBreak/>
        <w:t>Contents</w:t>
      </w:r>
    </w:p>
    <w:p w14:paraId="41A867F7" w14:textId="77777777" w:rsidR="001611EB" w:rsidRPr="00F74DF0" w:rsidRDefault="001611EB" w:rsidP="001611EB">
      <w:pPr>
        <w:pStyle w:val="Heading2withinTOC"/>
      </w:pPr>
      <w:r w:rsidRPr="00F74DF0">
        <w:t>Report of operations</w:t>
      </w:r>
    </w:p>
    <w:p w14:paraId="78014A01" w14:textId="4AF87B5C" w:rsidR="00780B21" w:rsidRDefault="001611EB">
      <w:pPr>
        <w:pStyle w:val="TOC1"/>
        <w:rPr>
          <w:rFonts w:asciiTheme="minorHAnsi" w:hAnsiTheme="minorHAnsi"/>
          <w:sz w:val="22"/>
          <w:szCs w:val="22"/>
          <w:lang w:eastAsia="en-AU"/>
        </w:rPr>
      </w:pPr>
      <w:r>
        <w:rPr>
          <w:lang w:val="en-US"/>
        </w:rPr>
        <w:fldChar w:fldCharType="begin"/>
      </w:r>
      <w:r>
        <w:rPr>
          <w:lang w:val="en-US"/>
        </w:rPr>
        <w:instrText xml:space="preserve"> TOC \b ReportOfOperations \h \z \t "Heading 1,1,Heading 2,2,Heading 3 for TOC,3" </w:instrText>
      </w:r>
      <w:r>
        <w:rPr>
          <w:lang w:val="en-US"/>
        </w:rPr>
        <w:fldChar w:fldCharType="separate"/>
      </w:r>
      <w:hyperlink w:anchor="_Toc113702904" w:history="1">
        <w:r w:rsidR="00780B21" w:rsidRPr="00167A70">
          <w:rPr>
            <w:rStyle w:val="Hyperlink"/>
          </w:rPr>
          <w:t>Section 1: Year in review</w:t>
        </w:r>
        <w:r w:rsidR="00780B21">
          <w:rPr>
            <w:webHidden/>
          </w:rPr>
          <w:tab/>
        </w:r>
        <w:r w:rsidR="00780B21">
          <w:rPr>
            <w:webHidden/>
          </w:rPr>
          <w:fldChar w:fldCharType="begin"/>
        </w:r>
        <w:r w:rsidR="00780B21">
          <w:rPr>
            <w:webHidden/>
          </w:rPr>
          <w:instrText xml:space="preserve"> PAGEREF _Toc113702904 \h </w:instrText>
        </w:r>
        <w:r w:rsidR="00780B21">
          <w:rPr>
            <w:webHidden/>
          </w:rPr>
        </w:r>
        <w:r w:rsidR="00780B21">
          <w:rPr>
            <w:webHidden/>
          </w:rPr>
          <w:fldChar w:fldCharType="separate"/>
        </w:r>
        <w:r w:rsidR="00C213B3">
          <w:rPr>
            <w:webHidden/>
          </w:rPr>
          <w:t>5</w:t>
        </w:r>
        <w:r w:rsidR="00780B21">
          <w:rPr>
            <w:webHidden/>
          </w:rPr>
          <w:fldChar w:fldCharType="end"/>
        </w:r>
      </w:hyperlink>
    </w:p>
    <w:p w14:paraId="648105B7" w14:textId="493468D8" w:rsidR="00780B21" w:rsidRDefault="00951432">
      <w:pPr>
        <w:pStyle w:val="TOC2"/>
        <w:rPr>
          <w:rFonts w:asciiTheme="minorHAnsi" w:hAnsiTheme="minorHAnsi"/>
          <w:sz w:val="22"/>
          <w:szCs w:val="22"/>
          <w:lang w:eastAsia="en-AU"/>
        </w:rPr>
      </w:pPr>
      <w:hyperlink w:anchor="_Toc113702905" w:history="1">
        <w:r w:rsidR="00780B21" w:rsidRPr="00167A70">
          <w:rPr>
            <w:rStyle w:val="Hyperlink"/>
          </w:rPr>
          <w:t>Secretary’s foreword</w:t>
        </w:r>
        <w:r w:rsidR="00780B21">
          <w:rPr>
            <w:webHidden/>
          </w:rPr>
          <w:tab/>
        </w:r>
        <w:r w:rsidR="00780B21">
          <w:rPr>
            <w:webHidden/>
          </w:rPr>
          <w:fldChar w:fldCharType="begin"/>
        </w:r>
        <w:r w:rsidR="00780B21">
          <w:rPr>
            <w:webHidden/>
          </w:rPr>
          <w:instrText xml:space="preserve"> PAGEREF _Toc113702905 \h </w:instrText>
        </w:r>
        <w:r w:rsidR="00780B21">
          <w:rPr>
            <w:webHidden/>
          </w:rPr>
        </w:r>
        <w:r w:rsidR="00780B21">
          <w:rPr>
            <w:webHidden/>
          </w:rPr>
          <w:fldChar w:fldCharType="separate"/>
        </w:r>
        <w:r w:rsidR="00C213B3">
          <w:rPr>
            <w:webHidden/>
          </w:rPr>
          <w:t>5</w:t>
        </w:r>
        <w:r w:rsidR="00780B21">
          <w:rPr>
            <w:webHidden/>
          </w:rPr>
          <w:fldChar w:fldCharType="end"/>
        </w:r>
      </w:hyperlink>
    </w:p>
    <w:p w14:paraId="44C53956" w14:textId="7222DB1F" w:rsidR="00780B21" w:rsidRDefault="00951432">
      <w:pPr>
        <w:pStyle w:val="TOC2"/>
        <w:rPr>
          <w:rFonts w:asciiTheme="minorHAnsi" w:hAnsiTheme="minorHAnsi"/>
          <w:sz w:val="22"/>
          <w:szCs w:val="22"/>
          <w:lang w:eastAsia="en-AU"/>
        </w:rPr>
      </w:pPr>
      <w:hyperlink w:anchor="_Toc113702906" w:history="1">
        <w:r w:rsidR="00780B21" w:rsidRPr="00167A70">
          <w:rPr>
            <w:rStyle w:val="Hyperlink"/>
          </w:rPr>
          <w:t>Vision, mission and values</w:t>
        </w:r>
        <w:r w:rsidR="00780B21">
          <w:rPr>
            <w:webHidden/>
          </w:rPr>
          <w:tab/>
        </w:r>
        <w:r w:rsidR="00780B21">
          <w:rPr>
            <w:webHidden/>
          </w:rPr>
          <w:fldChar w:fldCharType="begin"/>
        </w:r>
        <w:r w:rsidR="00780B21">
          <w:rPr>
            <w:webHidden/>
          </w:rPr>
          <w:instrText xml:space="preserve"> PAGEREF _Toc113702906 \h </w:instrText>
        </w:r>
        <w:r w:rsidR="00780B21">
          <w:rPr>
            <w:webHidden/>
          </w:rPr>
        </w:r>
        <w:r w:rsidR="00780B21">
          <w:rPr>
            <w:webHidden/>
          </w:rPr>
          <w:fldChar w:fldCharType="separate"/>
        </w:r>
        <w:r w:rsidR="00C213B3">
          <w:rPr>
            <w:webHidden/>
          </w:rPr>
          <w:t>8</w:t>
        </w:r>
        <w:r w:rsidR="00780B21">
          <w:rPr>
            <w:webHidden/>
          </w:rPr>
          <w:fldChar w:fldCharType="end"/>
        </w:r>
      </w:hyperlink>
    </w:p>
    <w:p w14:paraId="5D357BBF" w14:textId="4A9467B0" w:rsidR="00780B21" w:rsidRDefault="00951432">
      <w:pPr>
        <w:pStyle w:val="TOC2"/>
        <w:rPr>
          <w:rFonts w:asciiTheme="minorHAnsi" w:hAnsiTheme="minorHAnsi"/>
          <w:sz w:val="22"/>
          <w:szCs w:val="22"/>
          <w:lang w:eastAsia="en-AU"/>
        </w:rPr>
      </w:pPr>
      <w:hyperlink w:anchor="_Toc113702907" w:history="1">
        <w:r w:rsidR="00780B21" w:rsidRPr="00167A70">
          <w:rPr>
            <w:rStyle w:val="Hyperlink"/>
          </w:rPr>
          <w:t>Purpose and functions</w:t>
        </w:r>
        <w:r w:rsidR="00780B21">
          <w:rPr>
            <w:webHidden/>
          </w:rPr>
          <w:tab/>
        </w:r>
        <w:r w:rsidR="00780B21">
          <w:rPr>
            <w:webHidden/>
          </w:rPr>
          <w:fldChar w:fldCharType="begin"/>
        </w:r>
        <w:r w:rsidR="00780B21">
          <w:rPr>
            <w:webHidden/>
          </w:rPr>
          <w:instrText xml:space="preserve"> PAGEREF _Toc113702907 \h </w:instrText>
        </w:r>
        <w:r w:rsidR="00780B21">
          <w:rPr>
            <w:webHidden/>
          </w:rPr>
        </w:r>
        <w:r w:rsidR="00780B21">
          <w:rPr>
            <w:webHidden/>
          </w:rPr>
          <w:fldChar w:fldCharType="separate"/>
        </w:r>
        <w:r w:rsidR="00C213B3">
          <w:rPr>
            <w:webHidden/>
          </w:rPr>
          <w:t>9</w:t>
        </w:r>
        <w:r w:rsidR="00780B21">
          <w:rPr>
            <w:webHidden/>
          </w:rPr>
          <w:fldChar w:fldCharType="end"/>
        </w:r>
      </w:hyperlink>
    </w:p>
    <w:p w14:paraId="67D9309E" w14:textId="428A16CD" w:rsidR="00780B21" w:rsidRDefault="00951432">
      <w:pPr>
        <w:pStyle w:val="TOC2"/>
        <w:rPr>
          <w:rFonts w:asciiTheme="minorHAnsi" w:hAnsiTheme="minorHAnsi"/>
          <w:sz w:val="22"/>
          <w:szCs w:val="22"/>
          <w:lang w:eastAsia="en-AU"/>
        </w:rPr>
      </w:pPr>
      <w:hyperlink w:anchor="_Toc113702908" w:history="1">
        <w:r w:rsidR="00780B21" w:rsidRPr="00167A70">
          <w:rPr>
            <w:rStyle w:val="Hyperlink"/>
          </w:rPr>
          <w:t>Subsequent events</w:t>
        </w:r>
        <w:r w:rsidR="00780B21">
          <w:rPr>
            <w:webHidden/>
          </w:rPr>
          <w:tab/>
        </w:r>
        <w:r w:rsidR="00780B21">
          <w:rPr>
            <w:webHidden/>
          </w:rPr>
          <w:fldChar w:fldCharType="begin"/>
        </w:r>
        <w:r w:rsidR="00780B21">
          <w:rPr>
            <w:webHidden/>
          </w:rPr>
          <w:instrText xml:space="preserve"> PAGEREF _Toc113702908 \h </w:instrText>
        </w:r>
        <w:r w:rsidR="00780B21">
          <w:rPr>
            <w:webHidden/>
          </w:rPr>
        </w:r>
        <w:r w:rsidR="00780B21">
          <w:rPr>
            <w:webHidden/>
          </w:rPr>
          <w:fldChar w:fldCharType="separate"/>
        </w:r>
        <w:r w:rsidR="00C213B3">
          <w:rPr>
            <w:webHidden/>
          </w:rPr>
          <w:t>10</w:t>
        </w:r>
        <w:r w:rsidR="00780B21">
          <w:rPr>
            <w:webHidden/>
          </w:rPr>
          <w:fldChar w:fldCharType="end"/>
        </w:r>
      </w:hyperlink>
    </w:p>
    <w:p w14:paraId="122AFC43" w14:textId="0C61BD51" w:rsidR="00780B21" w:rsidRDefault="00951432">
      <w:pPr>
        <w:pStyle w:val="TOC2"/>
        <w:rPr>
          <w:rFonts w:asciiTheme="minorHAnsi" w:hAnsiTheme="minorHAnsi"/>
          <w:sz w:val="22"/>
          <w:szCs w:val="22"/>
          <w:lang w:eastAsia="en-AU"/>
        </w:rPr>
      </w:pPr>
      <w:hyperlink w:anchor="_Toc113702909" w:history="1">
        <w:r w:rsidR="00780B21" w:rsidRPr="00167A70">
          <w:rPr>
            <w:rStyle w:val="Hyperlink"/>
          </w:rPr>
          <w:t>Portfolio performance reporting – non-financial</w:t>
        </w:r>
        <w:r w:rsidR="00780B21">
          <w:rPr>
            <w:webHidden/>
          </w:rPr>
          <w:tab/>
        </w:r>
        <w:r w:rsidR="00780B21">
          <w:rPr>
            <w:webHidden/>
          </w:rPr>
          <w:fldChar w:fldCharType="begin"/>
        </w:r>
        <w:r w:rsidR="00780B21">
          <w:rPr>
            <w:webHidden/>
          </w:rPr>
          <w:instrText xml:space="preserve"> PAGEREF _Toc113702909 \h </w:instrText>
        </w:r>
        <w:r w:rsidR="00780B21">
          <w:rPr>
            <w:webHidden/>
          </w:rPr>
        </w:r>
        <w:r w:rsidR="00780B21">
          <w:rPr>
            <w:webHidden/>
          </w:rPr>
          <w:fldChar w:fldCharType="separate"/>
        </w:r>
        <w:r w:rsidR="00C213B3">
          <w:rPr>
            <w:webHidden/>
          </w:rPr>
          <w:t>11</w:t>
        </w:r>
        <w:r w:rsidR="00780B21">
          <w:rPr>
            <w:webHidden/>
          </w:rPr>
          <w:fldChar w:fldCharType="end"/>
        </w:r>
      </w:hyperlink>
    </w:p>
    <w:p w14:paraId="161C482C" w14:textId="0622FF66" w:rsidR="00780B21" w:rsidRDefault="00951432">
      <w:pPr>
        <w:pStyle w:val="TOC3"/>
        <w:rPr>
          <w:rFonts w:asciiTheme="minorHAnsi" w:hAnsiTheme="minorHAnsi"/>
          <w:sz w:val="22"/>
          <w:szCs w:val="22"/>
          <w:lang w:eastAsia="en-AU"/>
        </w:rPr>
      </w:pPr>
      <w:hyperlink w:anchor="_Toc113702910" w:history="1">
        <w:r w:rsidR="00780B21" w:rsidRPr="00167A70">
          <w:rPr>
            <w:rStyle w:val="Hyperlink"/>
          </w:rPr>
          <w:t>Objective 1: Victorians have good physical health</w:t>
        </w:r>
        <w:r w:rsidR="00780B21">
          <w:rPr>
            <w:webHidden/>
          </w:rPr>
          <w:tab/>
        </w:r>
        <w:r w:rsidR="00780B21">
          <w:rPr>
            <w:webHidden/>
          </w:rPr>
          <w:fldChar w:fldCharType="begin"/>
        </w:r>
        <w:r w:rsidR="00780B21">
          <w:rPr>
            <w:webHidden/>
          </w:rPr>
          <w:instrText xml:space="preserve"> PAGEREF _Toc113702910 \h </w:instrText>
        </w:r>
        <w:r w:rsidR="00780B21">
          <w:rPr>
            <w:webHidden/>
          </w:rPr>
        </w:r>
        <w:r w:rsidR="00780B21">
          <w:rPr>
            <w:webHidden/>
          </w:rPr>
          <w:fldChar w:fldCharType="separate"/>
        </w:r>
        <w:r w:rsidR="00C213B3">
          <w:rPr>
            <w:webHidden/>
          </w:rPr>
          <w:t>12</w:t>
        </w:r>
        <w:r w:rsidR="00780B21">
          <w:rPr>
            <w:webHidden/>
          </w:rPr>
          <w:fldChar w:fldCharType="end"/>
        </w:r>
      </w:hyperlink>
    </w:p>
    <w:p w14:paraId="56096B71" w14:textId="02462F0B" w:rsidR="00780B21" w:rsidRDefault="00951432">
      <w:pPr>
        <w:pStyle w:val="TOC3"/>
        <w:rPr>
          <w:rFonts w:asciiTheme="minorHAnsi" w:hAnsiTheme="minorHAnsi"/>
          <w:sz w:val="22"/>
          <w:szCs w:val="22"/>
          <w:lang w:eastAsia="en-AU"/>
        </w:rPr>
      </w:pPr>
      <w:hyperlink w:anchor="_Toc113702911" w:history="1">
        <w:r w:rsidR="00780B21" w:rsidRPr="00167A70">
          <w:rPr>
            <w:rStyle w:val="Hyperlink"/>
          </w:rPr>
          <w:t>Objective 2: Victorians have good mental health</w:t>
        </w:r>
        <w:r w:rsidR="00780B21">
          <w:rPr>
            <w:webHidden/>
          </w:rPr>
          <w:tab/>
        </w:r>
        <w:r w:rsidR="00780B21">
          <w:rPr>
            <w:webHidden/>
          </w:rPr>
          <w:fldChar w:fldCharType="begin"/>
        </w:r>
        <w:r w:rsidR="00780B21">
          <w:rPr>
            <w:webHidden/>
          </w:rPr>
          <w:instrText xml:space="preserve"> PAGEREF _Toc113702911 \h </w:instrText>
        </w:r>
        <w:r w:rsidR="00780B21">
          <w:rPr>
            <w:webHidden/>
          </w:rPr>
        </w:r>
        <w:r w:rsidR="00780B21">
          <w:rPr>
            <w:webHidden/>
          </w:rPr>
          <w:fldChar w:fldCharType="separate"/>
        </w:r>
        <w:r w:rsidR="00C213B3">
          <w:rPr>
            <w:webHidden/>
          </w:rPr>
          <w:t>20</w:t>
        </w:r>
        <w:r w:rsidR="00780B21">
          <w:rPr>
            <w:webHidden/>
          </w:rPr>
          <w:fldChar w:fldCharType="end"/>
        </w:r>
      </w:hyperlink>
    </w:p>
    <w:p w14:paraId="426BB561" w14:textId="39BE2220" w:rsidR="00780B21" w:rsidRDefault="00951432">
      <w:pPr>
        <w:pStyle w:val="TOC3"/>
        <w:rPr>
          <w:rFonts w:asciiTheme="minorHAnsi" w:hAnsiTheme="minorHAnsi"/>
          <w:sz w:val="22"/>
          <w:szCs w:val="22"/>
          <w:lang w:eastAsia="en-AU"/>
        </w:rPr>
      </w:pPr>
      <w:hyperlink w:anchor="_Toc113702912" w:history="1">
        <w:r w:rsidR="00780B21" w:rsidRPr="00167A70">
          <w:rPr>
            <w:rStyle w:val="Hyperlink"/>
          </w:rPr>
          <w:t>Objective 3: Victorians act to protect and promote health</w:t>
        </w:r>
        <w:r w:rsidR="00780B21">
          <w:rPr>
            <w:webHidden/>
          </w:rPr>
          <w:tab/>
        </w:r>
        <w:r w:rsidR="00780B21">
          <w:rPr>
            <w:webHidden/>
          </w:rPr>
          <w:fldChar w:fldCharType="begin"/>
        </w:r>
        <w:r w:rsidR="00780B21">
          <w:rPr>
            <w:webHidden/>
          </w:rPr>
          <w:instrText xml:space="preserve"> PAGEREF _Toc113702912 \h </w:instrText>
        </w:r>
        <w:r w:rsidR="00780B21">
          <w:rPr>
            <w:webHidden/>
          </w:rPr>
        </w:r>
        <w:r w:rsidR="00780B21">
          <w:rPr>
            <w:webHidden/>
          </w:rPr>
          <w:fldChar w:fldCharType="separate"/>
        </w:r>
        <w:r w:rsidR="00C213B3">
          <w:rPr>
            <w:webHidden/>
          </w:rPr>
          <w:t>27</w:t>
        </w:r>
        <w:r w:rsidR="00780B21">
          <w:rPr>
            <w:webHidden/>
          </w:rPr>
          <w:fldChar w:fldCharType="end"/>
        </w:r>
      </w:hyperlink>
    </w:p>
    <w:p w14:paraId="391A1039" w14:textId="221D8D44" w:rsidR="00780B21" w:rsidRDefault="00951432">
      <w:pPr>
        <w:pStyle w:val="TOC3"/>
        <w:rPr>
          <w:rFonts w:asciiTheme="minorHAnsi" w:hAnsiTheme="minorHAnsi"/>
          <w:sz w:val="22"/>
          <w:szCs w:val="22"/>
          <w:lang w:eastAsia="en-AU"/>
        </w:rPr>
      </w:pPr>
      <w:hyperlink w:anchor="_Toc113702913" w:history="1">
        <w:r w:rsidR="00780B21" w:rsidRPr="00167A70">
          <w:rPr>
            <w:rStyle w:val="Hyperlink"/>
          </w:rPr>
          <w:t>Objective 4: Victorian health services are person centred and sustainable</w:t>
        </w:r>
        <w:r w:rsidR="00780B21">
          <w:rPr>
            <w:webHidden/>
          </w:rPr>
          <w:tab/>
        </w:r>
        <w:r w:rsidR="00780B21">
          <w:rPr>
            <w:webHidden/>
          </w:rPr>
          <w:fldChar w:fldCharType="begin"/>
        </w:r>
        <w:r w:rsidR="00780B21">
          <w:rPr>
            <w:webHidden/>
          </w:rPr>
          <w:instrText xml:space="preserve"> PAGEREF _Toc113702913 \h </w:instrText>
        </w:r>
        <w:r w:rsidR="00780B21">
          <w:rPr>
            <w:webHidden/>
          </w:rPr>
        </w:r>
        <w:r w:rsidR="00780B21">
          <w:rPr>
            <w:webHidden/>
          </w:rPr>
          <w:fldChar w:fldCharType="separate"/>
        </w:r>
        <w:r w:rsidR="00C213B3">
          <w:rPr>
            <w:webHidden/>
          </w:rPr>
          <w:t>33</w:t>
        </w:r>
        <w:r w:rsidR="00780B21">
          <w:rPr>
            <w:webHidden/>
          </w:rPr>
          <w:fldChar w:fldCharType="end"/>
        </w:r>
      </w:hyperlink>
    </w:p>
    <w:p w14:paraId="37ED2736" w14:textId="2A070BA7" w:rsidR="00780B21" w:rsidRDefault="00951432">
      <w:pPr>
        <w:pStyle w:val="TOC3"/>
        <w:rPr>
          <w:rFonts w:asciiTheme="minorHAnsi" w:hAnsiTheme="minorHAnsi"/>
          <w:sz w:val="22"/>
          <w:szCs w:val="22"/>
          <w:lang w:eastAsia="en-AU"/>
        </w:rPr>
      </w:pPr>
      <w:hyperlink w:anchor="_Toc113702914" w:history="1">
        <w:r w:rsidR="00780B21" w:rsidRPr="00167A70">
          <w:rPr>
            <w:rStyle w:val="Hyperlink"/>
          </w:rPr>
          <w:t>Performance reporting</w:t>
        </w:r>
        <w:r w:rsidR="00780B21">
          <w:rPr>
            <w:webHidden/>
          </w:rPr>
          <w:tab/>
        </w:r>
        <w:r w:rsidR="00780B21">
          <w:rPr>
            <w:webHidden/>
          </w:rPr>
          <w:fldChar w:fldCharType="begin"/>
        </w:r>
        <w:r w:rsidR="00780B21">
          <w:rPr>
            <w:webHidden/>
          </w:rPr>
          <w:instrText xml:space="preserve"> PAGEREF _Toc113702914 \h </w:instrText>
        </w:r>
        <w:r w:rsidR="00780B21">
          <w:rPr>
            <w:webHidden/>
          </w:rPr>
        </w:r>
        <w:r w:rsidR="00780B21">
          <w:rPr>
            <w:webHidden/>
          </w:rPr>
          <w:fldChar w:fldCharType="separate"/>
        </w:r>
        <w:r w:rsidR="00C213B3">
          <w:rPr>
            <w:webHidden/>
          </w:rPr>
          <w:t>40</w:t>
        </w:r>
        <w:r w:rsidR="00780B21">
          <w:rPr>
            <w:webHidden/>
          </w:rPr>
          <w:fldChar w:fldCharType="end"/>
        </w:r>
      </w:hyperlink>
    </w:p>
    <w:p w14:paraId="2006078E" w14:textId="7EE60E9A" w:rsidR="00780B21" w:rsidRDefault="00951432">
      <w:pPr>
        <w:pStyle w:val="TOC2"/>
        <w:rPr>
          <w:rFonts w:asciiTheme="minorHAnsi" w:hAnsiTheme="minorHAnsi"/>
          <w:sz w:val="22"/>
          <w:szCs w:val="22"/>
          <w:lang w:eastAsia="en-AU"/>
        </w:rPr>
      </w:pPr>
      <w:hyperlink w:anchor="_Toc113702915" w:history="1">
        <w:r w:rsidR="00780B21" w:rsidRPr="00167A70">
          <w:rPr>
            <w:rStyle w:val="Hyperlink"/>
          </w:rPr>
          <w:t>Portfolio performance reporting – financial</w:t>
        </w:r>
        <w:r w:rsidR="00780B21">
          <w:rPr>
            <w:webHidden/>
          </w:rPr>
          <w:tab/>
        </w:r>
        <w:r w:rsidR="00780B21">
          <w:rPr>
            <w:webHidden/>
          </w:rPr>
          <w:fldChar w:fldCharType="begin"/>
        </w:r>
        <w:r w:rsidR="00780B21">
          <w:rPr>
            <w:webHidden/>
          </w:rPr>
          <w:instrText xml:space="preserve"> PAGEREF _Toc113702915 \h </w:instrText>
        </w:r>
        <w:r w:rsidR="00780B21">
          <w:rPr>
            <w:webHidden/>
          </w:rPr>
        </w:r>
        <w:r w:rsidR="00780B21">
          <w:rPr>
            <w:webHidden/>
          </w:rPr>
          <w:fldChar w:fldCharType="separate"/>
        </w:r>
        <w:r w:rsidR="00C213B3">
          <w:rPr>
            <w:webHidden/>
          </w:rPr>
          <w:t>59</w:t>
        </w:r>
        <w:r w:rsidR="00780B21">
          <w:rPr>
            <w:webHidden/>
          </w:rPr>
          <w:fldChar w:fldCharType="end"/>
        </w:r>
      </w:hyperlink>
    </w:p>
    <w:p w14:paraId="225C8A43" w14:textId="3E9E4B3E" w:rsidR="00780B21" w:rsidRDefault="00951432">
      <w:pPr>
        <w:pStyle w:val="TOC1"/>
        <w:rPr>
          <w:rFonts w:asciiTheme="minorHAnsi" w:hAnsiTheme="minorHAnsi"/>
          <w:sz w:val="22"/>
          <w:szCs w:val="22"/>
          <w:lang w:eastAsia="en-AU"/>
        </w:rPr>
      </w:pPr>
      <w:hyperlink w:anchor="_Toc113702916" w:history="1">
        <w:r w:rsidR="00780B21" w:rsidRPr="00167A70">
          <w:rPr>
            <w:rStyle w:val="Hyperlink"/>
          </w:rPr>
          <w:t>Section 2: Governance and organisational structure</w:t>
        </w:r>
        <w:r w:rsidR="00780B21">
          <w:rPr>
            <w:webHidden/>
          </w:rPr>
          <w:tab/>
        </w:r>
        <w:r w:rsidR="00780B21">
          <w:rPr>
            <w:webHidden/>
          </w:rPr>
          <w:fldChar w:fldCharType="begin"/>
        </w:r>
        <w:r w:rsidR="00780B21">
          <w:rPr>
            <w:webHidden/>
          </w:rPr>
          <w:instrText xml:space="preserve"> PAGEREF _Toc113702916 \h </w:instrText>
        </w:r>
        <w:r w:rsidR="00780B21">
          <w:rPr>
            <w:webHidden/>
          </w:rPr>
        </w:r>
        <w:r w:rsidR="00780B21">
          <w:rPr>
            <w:webHidden/>
          </w:rPr>
          <w:fldChar w:fldCharType="separate"/>
        </w:r>
        <w:r w:rsidR="00C213B3">
          <w:rPr>
            <w:webHidden/>
          </w:rPr>
          <w:t>63</w:t>
        </w:r>
        <w:r w:rsidR="00780B21">
          <w:rPr>
            <w:webHidden/>
          </w:rPr>
          <w:fldChar w:fldCharType="end"/>
        </w:r>
      </w:hyperlink>
    </w:p>
    <w:p w14:paraId="5330DE3E" w14:textId="378D5F50" w:rsidR="00780B21" w:rsidRDefault="00951432">
      <w:pPr>
        <w:pStyle w:val="TOC2"/>
        <w:rPr>
          <w:rFonts w:asciiTheme="minorHAnsi" w:hAnsiTheme="minorHAnsi"/>
          <w:sz w:val="22"/>
          <w:szCs w:val="22"/>
          <w:lang w:eastAsia="en-AU"/>
        </w:rPr>
      </w:pPr>
      <w:hyperlink w:anchor="_Toc113702917" w:history="1">
        <w:r w:rsidR="00780B21" w:rsidRPr="00167A70">
          <w:rPr>
            <w:rStyle w:val="Hyperlink"/>
          </w:rPr>
          <w:t>The department’s ministers</w:t>
        </w:r>
        <w:r w:rsidR="00780B21">
          <w:rPr>
            <w:webHidden/>
          </w:rPr>
          <w:tab/>
        </w:r>
        <w:r w:rsidR="00780B21">
          <w:rPr>
            <w:webHidden/>
          </w:rPr>
          <w:fldChar w:fldCharType="begin"/>
        </w:r>
        <w:r w:rsidR="00780B21">
          <w:rPr>
            <w:webHidden/>
          </w:rPr>
          <w:instrText xml:space="preserve"> PAGEREF _Toc113702917 \h </w:instrText>
        </w:r>
        <w:r w:rsidR="00780B21">
          <w:rPr>
            <w:webHidden/>
          </w:rPr>
        </w:r>
        <w:r w:rsidR="00780B21">
          <w:rPr>
            <w:webHidden/>
          </w:rPr>
          <w:fldChar w:fldCharType="separate"/>
        </w:r>
        <w:r w:rsidR="00C213B3">
          <w:rPr>
            <w:webHidden/>
          </w:rPr>
          <w:t>63</w:t>
        </w:r>
        <w:r w:rsidR="00780B21">
          <w:rPr>
            <w:webHidden/>
          </w:rPr>
          <w:fldChar w:fldCharType="end"/>
        </w:r>
      </w:hyperlink>
    </w:p>
    <w:p w14:paraId="14CAC951" w14:textId="7F4739AB" w:rsidR="00780B21" w:rsidRDefault="00951432">
      <w:pPr>
        <w:pStyle w:val="TOC2"/>
        <w:rPr>
          <w:rFonts w:asciiTheme="minorHAnsi" w:hAnsiTheme="minorHAnsi"/>
          <w:sz w:val="22"/>
          <w:szCs w:val="22"/>
          <w:lang w:eastAsia="en-AU"/>
        </w:rPr>
      </w:pPr>
      <w:hyperlink w:anchor="_Toc113702918" w:history="1">
        <w:r w:rsidR="00780B21" w:rsidRPr="00167A70">
          <w:rPr>
            <w:rStyle w:val="Hyperlink"/>
          </w:rPr>
          <w:t>The department’s senior executives</w:t>
        </w:r>
        <w:r w:rsidR="00780B21">
          <w:rPr>
            <w:webHidden/>
          </w:rPr>
          <w:tab/>
        </w:r>
        <w:r w:rsidR="00780B21">
          <w:rPr>
            <w:webHidden/>
          </w:rPr>
          <w:fldChar w:fldCharType="begin"/>
        </w:r>
        <w:r w:rsidR="00780B21">
          <w:rPr>
            <w:webHidden/>
          </w:rPr>
          <w:instrText xml:space="preserve"> PAGEREF _Toc113702918 \h </w:instrText>
        </w:r>
        <w:r w:rsidR="00780B21">
          <w:rPr>
            <w:webHidden/>
          </w:rPr>
        </w:r>
        <w:r w:rsidR="00780B21">
          <w:rPr>
            <w:webHidden/>
          </w:rPr>
          <w:fldChar w:fldCharType="separate"/>
        </w:r>
        <w:r w:rsidR="00C213B3">
          <w:rPr>
            <w:webHidden/>
          </w:rPr>
          <w:t>64</w:t>
        </w:r>
        <w:r w:rsidR="00780B21">
          <w:rPr>
            <w:webHidden/>
          </w:rPr>
          <w:fldChar w:fldCharType="end"/>
        </w:r>
      </w:hyperlink>
    </w:p>
    <w:p w14:paraId="4299E545" w14:textId="3BFF6410" w:rsidR="00780B21" w:rsidRDefault="00951432">
      <w:pPr>
        <w:pStyle w:val="TOC2"/>
        <w:rPr>
          <w:rFonts w:asciiTheme="minorHAnsi" w:hAnsiTheme="minorHAnsi"/>
          <w:sz w:val="22"/>
          <w:szCs w:val="22"/>
          <w:lang w:eastAsia="en-AU"/>
        </w:rPr>
      </w:pPr>
      <w:hyperlink w:anchor="_Toc113702919" w:history="1">
        <w:r w:rsidR="00780B21" w:rsidRPr="00167A70">
          <w:rPr>
            <w:rStyle w:val="Hyperlink"/>
          </w:rPr>
          <w:t>Organisational chart</w:t>
        </w:r>
        <w:r w:rsidR="00780B21">
          <w:rPr>
            <w:webHidden/>
          </w:rPr>
          <w:tab/>
        </w:r>
        <w:r w:rsidR="00780B21">
          <w:rPr>
            <w:webHidden/>
          </w:rPr>
          <w:fldChar w:fldCharType="begin"/>
        </w:r>
        <w:r w:rsidR="00780B21">
          <w:rPr>
            <w:webHidden/>
          </w:rPr>
          <w:instrText xml:space="preserve"> PAGEREF _Toc113702919 \h </w:instrText>
        </w:r>
        <w:r w:rsidR="00780B21">
          <w:rPr>
            <w:webHidden/>
          </w:rPr>
        </w:r>
        <w:r w:rsidR="00780B21">
          <w:rPr>
            <w:webHidden/>
          </w:rPr>
          <w:fldChar w:fldCharType="separate"/>
        </w:r>
        <w:r w:rsidR="00C213B3">
          <w:rPr>
            <w:webHidden/>
          </w:rPr>
          <w:t>66</w:t>
        </w:r>
        <w:r w:rsidR="00780B21">
          <w:rPr>
            <w:webHidden/>
          </w:rPr>
          <w:fldChar w:fldCharType="end"/>
        </w:r>
      </w:hyperlink>
    </w:p>
    <w:p w14:paraId="24FD4E6D" w14:textId="75103A1B" w:rsidR="00780B21" w:rsidRDefault="00951432">
      <w:pPr>
        <w:pStyle w:val="TOC2"/>
        <w:rPr>
          <w:rFonts w:asciiTheme="minorHAnsi" w:hAnsiTheme="minorHAnsi"/>
          <w:sz w:val="22"/>
          <w:szCs w:val="22"/>
          <w:lang w:eastAsia="en-AU"/>
        </w:rPr>
      </w:pPr>
      <w:hyperlink w:anchor="_Toc113702920" w:history="1">
        <w:r w:rsidR="00780B21" w:rsidRPr="00167A70">
          <w:rPr>
            <w:rStyle w:val="Hyperlink"/>
          </w:rPr>
          <w:t>Committee structure</w:t>
        </w:r>
        <w:r w:rsidR="00780B21">
          <w:rPr>
            <w:webHidden/>
          </w:rPr>
          <w:tab/>
        </w:r>
        <w:r w:rsidR="00780B21">
          <w:rPr>
            <w:webHidden/>
          </w:rPr>
          <w:fldChar w:fldCharType="begin"/>
        </w:r>
        <w:r w:rsidR="00780B21">
          <w:rPr>
            <w:webHidden/>
          </w:rPr>
          <w:instrText xml:space="preserve"> PAGEREF _Toc113702920 \h </w:instrText>
        </w:r>
        <w:r w:rsidR="00780B21">
          <w:rPr>
            <w:webHidden/>
          </w:rPr>
        </w:r>
        <w:r w:rsidR="00780B21">
          <w:rPr>
            <w:webHidden/>
          </w:rPr>
          <w:fldChar w:fldCharType="separate"/>
        </w:r>
        <w:r w:rsidR="00C213B3">
          <w:rPr>
            <w:webHidden/>
          </w:rPr>
          <w:t>67</w:t>
        </w:r>
        <w:r w:rsidR="00780B21">
          <w:rPr>
            <w:webHidden/>
          </w:rPr>
          <w:fldChar w:fldCharType="end"/>
        </w:r>
      </w:hyperlink>
    </w:p>
    <w:p w14:paraId="24B67494" w14:textId="23E0BBE4" w:rsidR="00780B21" w:rsidRDefault="00951432">
      <w:pPr>
        <w:pStyle w:val="TOC1"/>
        <w:rPr>
          <w:rFonts w:asciiTheme="minorHAnsi" w:hAnsiTheme="minorHAnsi"/>
          <w:sz w:val="22"/>
          <w:szCs w:val="22"/>
          <w:lang w:eastAsia="en-AU"/>
        </w:rPr>
      </w:pPr>
      <w:hyperlink w:anchor="_Toc113702921" w:history="1">
        <w:r w:rsidR="00780B21" w:rsidRPr="00167A70">
          <w:rPr>
            <w:rStyle w:val="Hyperlink"/>
          </w:rPr>
          <w:t>Section 3: Workforce data</w:t>
        </w:r>
        <w:r w:rsidR="00780B21">
          <w:rPr>
            <w:webHidden/>
          </w:rPr>
          <w:tab/>
        </w:r>
        <w:r w:rsidR="00780B21">
          <w:rPr>
            <w:webHidden/>
          </w:rPr>
          <w:fldChar w:fldCharType="begin"/>
        </w:r>
        <w:r w:rsidR="00780B21">
          <w:rPr>
            <w:webHidden/>
          </w:rPr>
          <w:instrText xml:space="preserve"> PAGEREF _Toc113702921 \h </w:instrText>
        </w:r>
        <w:r w:rsidR="00780B21">
          <w:rPr>
            <w:webHidden/>
          </w:rPr>
        </w:r>
        <w:r w:rsidR="00780B21">
          <w:rPr>
            <w:webHidden/>
          </w:rPr>
          <w:fldChar w:fldCharType="separate"/>
        </w:r>
        <w:r w:rsidR="00C213B3">
          <w:rPr>
            <w:webHidden/>
          </w:rPr>
          <w:t>68</w:t>
        </w:r>
        <w:r w:rsidR="00780B21">
          <w:rPr>
            <w:webHidden/>
          </w:rPr>
          <w:fldChar w:fldCharType="end"/>
        </w:r>
      </w:hyperlink>
    </w:p>
    <w:p w14:paraId="06A32876" w14:textId="0E3B30FB" w:rsidR="00780B21" w:rsidRDefault="00951432">
      <w:pPr>
        <w:pStyle w:val="TOC2"/>
        <w:rPr>
          <w:rFonts w:asciiTheme="minorHAnsi" w:hAnsiTheme="minorHAnsi"/>
          <w:sz w:val="22"/>
          <w:szCs w:val="22"/>
          <w:lang w:eastAsia="en-AU"/>
        </w:rPr>
      </w:pPr>
      <w:hyperlink w:anchor="_Toc113702922" w:history="1">
        <w:r w:rsidR="00780B21" w:rsidRPr="00167A70">
          <w:rPr>
            <w:rStyle w:val="Hyperlink"/>
          </w:rPr>
          <w:t>Public sector values and employment principles</w:t>
        </w:r>
        <w:r w:rsidR="00780B21">
          <w:rPr>
            <w:webHidden/>
          </w:rPr>
          <w:tab/>
        </w:r>
        <w:r w:rsidR="00780B21">
          <w:rPr>
            <w:webHidden/>
          </w:rPr>
          <w:fldChar w:fldCharType="begin"/>
        </w:r>
        <w:r w:rsidR="00780B21">
          <w:rPr>
            <w:webHidden/>
          </w:rPr>
          <w:instrText xml:space="preserve"> PAGEREF _Toc113702922 \h </w:instrText>
        </w:r>
        <w:r w:rsidR="00780B21">
          <w:rPr>
            <w:webHidden/>
          </w:rPr>
        </w:r>
        <w:r w:rsidR="00780B21">
          <w:rPr>
            <w:webHidden/>
          </w:rPr>
          <w:fldChar w:fldCharType="separate"/>
        </w:r>
        <w:r w:rsidR="00C213B3">
          <w:rPr>
            <w:webHidden/>
          </w:rPr>
          <w:t>68</w:t>
        </w:r>
        <w:r w:rsidR="00780B21">
          <w:rPr>
            <w:webHidden/>
          </w:rPr>
          <w:fldChar w:fldCharType="end"/>
        </w:r>
      </w:hyperlink>
    </w:p>
    <w:p w14:paraId="3C53F06A" w14:textId="23A8DFE5" w:rsidR="00780B21" w:rsidRDefault="00951432">
      <w:pPr>
        <w:pStyle w:val="TOC2"/>
        <w:rPr>
          <w:rFonts w:asciiTheme="minorHAnsi" w:hAnsiTheme="minorHAnsi"/>
          <w:sz w:val="22"/>
          <w:szCs w:val="22"/>
          <w:lang w:eastAsia="en-AU"/>
        </w:rPr>
      </w:pPr>
      <w:hyperlink w:anchor="_Toc113702923" w:history="1">
        <w:r w:rsidR="00780B21" w:rsidRPr="00167A70">
          <w:rPr>
            <w:rStyle w:val="Hyperlink"/>
            <w:rFonts w:cs="Arial"/>
          </w:rPr>
          <w:t>Comparative workforce data</w:t>
        </w:r>
        <w:r w:rsidR="00780B21">
          <w:rPr>
            <w:webHidden/>
          </w:rPr>
          <w:tab/>
        </w:r>
        <w:r w:rsidR="00780B21">
          <w:rPr>
            <w:webHidden/>
          </w:rPr>
          <w:fldChar w:fldCharType="begin"/>
        </w:r>
        <w:r w:rsidR="00780B21">
          <w:rPr>
            <w:webHidden/>
          </w:rPr>
          <w:instrText xml:space="preserve"> PAGEREF _Toc113702923 \h </w:instrText>
        </w:r>
        <w:r w:rsidR="00780B21">
          <w:rPr>
            <w:webHidden/>
          </w:rPr>
        </w:r>
        <w:r w:rsidR="00780B21">
          <w:rPr>
            <w:webHidden/>
          </w:rPr>
          <w:fldChar w:fldCharType="separate"/>
        </w:r>
        <w:r w:rsidR="00C213B3">
          <w:rPr>
            <w:webHidden/>
          </w:rPr>
          <w:t>70</w:t>
        </w:r>
        <w:r w:rsidR="00780B21">
          <w:rPr>
            <w:webHidden/>
          </w:rPr>
          <w:fldChar w:fldCharType="end"/>
        </w:r>
      </w:hyperlink>
    </w:p>
    <w:p w14:paraId="7B3AD929" w14:textId="07068F04" w:rsidR="00780B21" w:rsidRDefault="00951432">
      <w:pPr>
        <w:pStyle w:val="TOC2"/>
        <w:rPr>
          <w:rFonts w:asciiTheme="minorHAnsi" w:hAnsiTheme="minorHAnsi"/>
          <w:sz w:val="22"/>
          <w:szCs w:val="22"/>
          <w:lang w:eastAsia="en-AU"/>
        </w:rPr>
      </w:pPr>
      <w:hyperlink w:anchor="_Toc113702924" w:history="1">
        <w:r w:rsidR="00780B21" w:rsidRPr="00167A70">
          <w:rPr>
            <w:rStyle w:val="Hyperlink"/>
            <w:rFonts w:cs="Arial"/>
          </w:rPr>
          <w:t>Executive data</w:t>
        </w:r>
        <w:r w:rsidR="00780B21">
          <w:rPr>
            <w:webHidden/>
          </w:rPr>
          <w:tab/>
        </w:r>
        <w:r w:rsidR="00780B21">
          <w:rPr>
            <w:webHidden/>
          </w:rPr>
          <w:fldChar w:fldCharType="begin"/>
        </w:r>
        <w:r w:rsidR="00780B21">
          <w:rPr>
            <w:webHidden/>
          </w:rPr>
          <w:instrText xml:space="preserve"> PAGEREF _Toc113702924 \h </w:instrText>
        </w:r>
        <w:r w:rsidR="00780B21">
          <w:rPr>
            <w:webHidden/>
          </w:rPr>
        </w:r>
        <w:r w:rsidR="00780B21">
          <w:rPr>
            <w:webHidden/>
          </w:rPr>
          <w:fldChar w:fldCharType="separate"/>
        </w:r>
        <w:r w:rsidR="00C213B3">
          <w:rPr>
            <w:webHidden/>
          </w:rPr>
          <w:t>76</w:t>
        </w:r>
        <w:r w:rsidR="00780B21">
          <w:rPr>
            <w:webHidden/>
          </w:rPr>
          <w:fldChar w:fldCharType="end"/>
        </w:r>
      </w:hyperlink>
    </w:p>
    <w:p w14:paraId="1BAA051D" w14:textId="74CCE1B7" w:rsidR="00780B21" w:rsidRDefault="00951432">
      <w:pPr>
        <w:pStyle w:val="TOC2"/>
        <w:rPr>
          <w:rFonts w:asciiTheme="minorHAnsi" w:hAnsiTheme="minorHAnsi"/>
          <w:sz w:val="22"/>
          <w:szCs w:val="22"/>
          <w:lang w:eastAsia="en-AU"/>
        </w:rPr>
      </w:pPr>
      <w:hyperlink w:anchor="_Toc113702925" w:history="1">
        <w:r w:rsidR="00780B21" w:rsidRPr="00167A70">
          <w:rPr>
            <w:rStyle w:val="Hyperlink"/>
            <w:rFonts w:cs="Arial"/>
          </w:rPr>
          <w:t>Workforce inclusion</w:t>
        </w:r>
        <w:r w:rsidR="00780B21">
          <w:rPr>
            <w:webHidden/>
          </w:rPr>
          <w:tab/>
        </w:r>
        <w:r w:rsidR="00780B21">
          <w:rPr>
            <w:webHidden/>
          </w:rPr>
          <w:fldChar w:fldCharType="begin"/>
        </w:r>
        <w:r w:rsidR="00780B21">
          <w:rPr>
            <w:webHidden/>
          </w:rPr>
          <w:instrText xml:space="preserve"> PAGEREF _Toc113702925 \h </w:instrText>
        </w:r>
        <w:r w:rsidR="00780B21">
          <w:rPr>
            <w:webHidden/>
          </w:rPr>
        </w:r>
        <w:r w:rsidR="00780B21">
          <w:rPr>
            <w:webHidden/>
          </w:rPr>
          <w:fldChar w:fldCharType="separate"/>
        </w:r>
        <w:r w:rsidR="00C213B3">
          <w:rPr>
            <w:webHidden/>
          </w:rPr>
          <w:t>81</w:t>
        </w:r>
        <w:r w:rsidR="00780B21">
          <w:rPr>
            <w:webHidden/>
          </w:rPr>
          <w:fldChar w:fldCharType="end"/>
        </w:r>
      </w:hyperlink>
    </w:p>
    <w:p w14:paraId="6492EFBE" w14:textId="4FA12744" w:rsidR="00780B21" w:rsidRDefault="00951432">
      <w:pPr>
        <w:pStyle w:val="TOC2"/>
        <w:rPr>
          <w:rFonts w:asciiTheme="minorHAnsi" w:hAnsiTheme="minorHAnsi"/>
          <w:sz w:val="22"/>
          <w:szCs w:val="22"/>
          <w:lang w:eastAsia="en-AU"/>
        </w:rPr>
      </w:pPr>
      <w:hyperlink w:anchor="_Toc113702926" w:history="1">
        <w:r w:rsidR="00780B21" w:rsidRPr="00167A70">
          <w:rPr>
            <w:rStyle w:val="Hyperlink"/>
            <w:rFonts w:cs="Arial"/>
          </w:rPr>
          <w:t>Occupational health and safety</w:t>
        </w:r>
        <w:r w:rsidR="00780B21">
          <w:rPr>
            <w:webHidden/>
          </w:rPr>
          <w:tab/>
        </w:r>
        <w:r w:rsidR="00780B21">
          <w:rPr>
            <w:webHidden/>
          </w:rPr>
          <w:fldChar w:fldCharType="begin"/>
        </w:r>
        <w:r w:rsidR="00780B21">
          <w:rPr>
            <w:webHidden/>
          </w:rPr>
          <w:instrText xml:space="preserve"> PAGEREF _Toc113702926 \h </w:instrText>
        </w:r>
        <w:r w:rsidR="00780B21">
          <w:rPr>
            <w:webHidden/>
          </w:rPr>
        </w:r>
        <w:r w:rsidR="00780B21">
          <w:rPr>
            <w:webHidden/>
          </w:rPr>
          <w:fldChar w:fldCharType="separate"/>
        </w:r>
        <w:r w:rsidR="00C213B3">
          <w:rPr>
            <w:webHidden/>
          </w:rPr>
          <w:t>85</w:t>
        </w:r>
        <w:r w:rsidR="00780B21">
          <w:rPr>
            <w:webHidden/>
          </w:rPr>
          <w:fldChar w:fldCharType="end"/>
        </w:r>
      </w:hyperlink>
    </w:p>
    <w:p w14:paraId="74042D6D" w14:textId="7A0EFBF8" w:rsidR="00780B21" w:rsidRDefault="00951432">
      <w:pPr>
        <w:pStyle w:val="TOC1"/>
        <w:rPr>
          <w:rFonts w:asciiTheme="minorHAnsi" w:hAnsiTheme="minorHAnsi"/>
          <w:sz w:val="22"/>
          <w:szCs w:val="22"/>
          <w:lang w:eastAsia="en-AU"/>
        </w:rPr>
      </w:pPr>
      <w:hyperlink w:anchor="_Toc113702927" w:history="1">
        <w:r w:rsidR="00780B21" w:rsidRPr="00167A70">
          <w:rPr>
            <w:rStyle w:val="Hyperlink"/>
          </w:rPr>
          <w:t>Section 4: Other disclosures</w:t>
        </w:r>
        <w:r w:rsidR="00780B21">
          <w:rPr>
            <w:webHidden/>
          </w:rPr>
          <w:tab/>
        </w:r>
        <w:r w:rsidR="00780B21">
          <w:rPr>
            <w:webHidden/>
          </w:rPr>
          <w:fldChar w:fldCharType="begin"/>
        </w:r>
        <w:r w:rsidR="00780B21">
          <w:rPr>
            <w:webHidden/>
          </w:rPr>
          <w:instrText xml:space="preserve"> PAGEREF _Toc113702927 \h </w:instrText>
        </w:r>
        <w:r w:rsidR="00780B21">
          <w:rPr>
            <w:webHidden/>
          </w:rPr>
        </w:r>
        <w:r w:rsidR="00780B21">
          <w:rPr>
            <w:webHidden/>
          </w:rPr>
          <w:fldChar w:fldCharType="separate"/>
        </w:r>
        <w:r w:rsidR="00C213B3">
          <w:rPr>
            <w:webHidden/>
          </w:rPr>
          <w:t>89</w:t>
        </w:r>
        <w:r w:rsidR="00780B21">
          <w:rPr>
            <w:webHidden/>
          </w:rPr>
          <w:fldChar w:fldCharType="end"/>
        </w:r>
      </w:hyperlink>
    </w:p>
    <w:p w14:paraId="5F4FB3E5" w14:textId="1940831E" w:rsidR="00780B21" w:rsidRDefault="00951432">
      <w:pPr>
        <w:pStyle w:val="TOC2"/>
        <w:rPr>
          <w:rFonts w:asciiTheme="minorHAnsi" w:hAnsiTheme="minorHAnsi"/>
          <w:sz w:val="22"/>
          <w:szCs w:val="22"/>
          <w:lang w:eastAsia="en-AU"/>
        </w:rPr>
      </w:pPr>
      <w:hyperlink w:anchor="_Toc113702928" w:history="1">
        <w:r w:rsidR="00780B21" w:rsidRPr="00167A70">
          <w:rPr>
            <w:rStyle w:val="Hyperlink"/>
            <w:rFonts w:cs="Arial"/>
          </w:rPr>
          <w:t>Local Jobs First</w:t>
        </w:r>
        <w:r w:rsidR="00780B21">
          <w:rPr>
            <w:webHidden/>
          </w:rPr>
          <w:tab/>
        </w:r>
        <w:r w:rsidR="00780B21">
          <w:rPr>
            <w:webHidden/>
          </w:rPr>
          <w:fldChar w:fldCharType="begin"/>
        </w:r>
        <w:r w:rsidR="00780B21">
          <w:rPr>
            <w:webHidden/>
          </w:rPr>
          <w:instrText xml:space="preserve"> PAGEREF _Toc113702928 \h </w:instrText>
        </w:r>
        <w:r w:rsidR="00780B21">
          <w:rPr>
            <w:webHidden/>
          </w:rPr>
        </w:r>
        <w:r w:rsidR="00780B21">
          <w:rPr>
            <w:webHidden/>
          </w:rPr>
          <w:fldChar w:fldCharType="separate"/>
        </w:r>
        <w:r w:rsidR="00C213B3">
          <w:rPr>
            <w:webHidden/>
          </w:rPr>
          <w:t>89</w:t>
        </w:r>
        <w:r w:rsidR="00780B21">
          <w:rPr>
            <w:webHidden/>
          </w:rPr>
          <w:fldChar w:fldCharType="end"/>
        </w:r>
      </w:hyperlink>
    </w:p>
    <w:p w14:paraId="0FB5376E" w14:textId="30074F55" w:rsidR="00780B21" w:rsidRDefault="00951432">
      <w:pPr>
        <w:pStyle w:val="TOC2"/>
        <w:rPr>
          <w:rFonts w:asciiTheme="minorHAnsi" w:hAnsiTheme="minorHAnsi"/>
          <w:sz w:val="22"/>
          <w:szCs w:val="22"/>
          <w:lang w:eastAsia="en-AU"/>
        </w:rPr>
      </w:pPr>
      <w:hyperlink w:anchor="_Toc113702929" w:history="1">
        <w:r w:rsidR="00780B21" w:rsidRPr="00167A70">
          <w:rPr>
            <w:rStyle w:val="Hyperlink"/>
            <w:rFonts w:cs="Arial"/>
          </w:rPr>
          <w:t>Disclosure of major contracts</w:t>
        </w:r>
        <w:r w:rsidR="00780B21">
          <w:rPr>
            <w:webHidden/>
          </w:rPr>
          <w:tab/>
        </w:r>
        <w:r w:rsidR="00780B21">
          <w:rPr>
            <w:webHidden/>
          </w:rPr>
          <w:fldChar w:fldCharType="begin"/>
        </w:r>
        <w:r w:rsidR="00780B21">
          <w:rPr>
            <w:webHidden/>
          </w:rPr>
          <w:instrText xml:space="preserve"> PAGEREF _Toc113702929 \h </w:instrText>
        </w:r>
        <w:r w:rsidR="00780B21">
          <w:rPr>
            <w:webHidden/>
          </w:rPr>
        </w:r>
        <w:r w:rsidR="00780B21">
          <w:rPr>
            <w:webHidden/>
          </w:rPr>
          <w:fldChar w:fldCharType="separate"/>
        </w:r>
        <w:r w:rsidR="00C213B3">
          <w:rPr>
            <w:webHidden/>
          </w:rPr>
          <w:t>91</w:t>
        </w:r>
        <w:r w:rsidR="00780B21">
          <w:rPr>
            <w:webHidden/>
          </w:rPr>
          <w:fldChar w:fldCharType="end"/>
        </w:r>
      </w:hyperlink>
    </w:p>
    <w:p w14:paraId="361C2544" w14:textId="48EAEA7E" w:rsidR="00780B21" w:rsidRDefault="00951432">
      <w:pPr>
        <w:pStyle w:val="TOC2"/>
        <w:rPr>
          <w:rFonts w:asciiTheme="minorHAnsi" w:hAnsiTheme="minorHAnsi"/>
          <w:sz w:val="22"/>
          <w:szCs w:val="22"/>
          <w:lang w:eastAsia="en-AU"/>
        </w:rPr>
      </w:pPr>
      <w:hyperlink w:anchor="_Toc113702930" w:history="1">
        <w:r w:rsidR="00780B21" w:rsidRPr="00167A70">
          <w:rPr>
            <w:rStyle w:val="Hyperlink"/>
            <w:rFonts w:cs="Arial"/>
          </w:rPr>
          <w:t>Competitive neutrality policy</w:t>
        </w:r>
        <w:r w:rsidR="00780B21">
          <w:rPr>
            <w:webHidden/>
          </w:rPr>
          <w:tab/>
        </w:r>
        <w:r w:rsidR="00780B21">
          <w:rPr>
            <w:webHidden/>
          </w:rPr>
          <w:fldChar w:fldCharType="begin"/>
        </w:r>
        <w:r w:rsidR="00780B21">
          <w:rPr>
            <w:webHidden/>
          </w:rPr>
          <w:instrText xml:space="preserve"> PAGEREF _Toc113702930 \h </w:instrText>
        </w:r>
        <w:r w:rsidR="00780B21">
          <w:rPr>
            <w:webHidden/>
          </w:rPr>
        </w:r>
        <w:r w:rsidR="00780B21">
          <w:rPr>
            <w:webHidden/>
          </w:rPr>
          <w:fldChar w:fldCharType="separate"/>
        </w:r>
        <w:r w:rsidR="00C213B3">
          <w:rPr>
            <w:webHidden/>
          </w:rPr>
          <w:t>91</w:t>
        </w:r>
        <w:r w:rsidR="00780B21">
          <w:rPr>
            <w:webHidden/>
          </w:rPr>
          <w:fldChar w:fldCharType="end"/>
        </w:r>
      </w:hyperlink>
    </w:p>
    <w:p w14:paraId="70CE8548" w14:textId="72D1887C" w:rsidR="00780B21" w:rsidRDefault="00951432">
      <w:pPr>
        <w:pStyle w:val="TOC2"/>
        <w:rPr>
          <w:rFonts w:asciiTheme="minorHAnsi" w:hAnsiTheme="minorHAnsi"/>
          <w:sz w:val="22"/>
          <w:szCs w:val="22"/>
          <w:lang w:eastAsia="en-AU"/>
        </w:rPr>
      </w:pPr>
      <w:hyperlink w:anchor="_Toc113702931" w:history="1">
        <w:r w:rsidR="00780B21" w:rsidRPr="00167A70">
          <w:rPr>
            <w:rStyle w:val="Hyperlink"/>
          </w:rPr>
          <w:t>Information and communication technology expenditure</w:t>
        </w:r>
        <w:r w:rsidR="00780B21">
          <w:rPr>
            <w:webHidden/>
          </w:rPr>
          <w:tab/>
        </w:r>
        <w:r w:rsidR="00780B21">
          <w:rPr>
            <w:webHidden/>
          </w:rPr>
          <w:fldChar w:fldCharType="begin"/>
        </w:r>
        <w:r w:rsidR="00780B21">
          <w:rPr>
            <w:webHidden/>
          </w:rPr>
          <w:instrText xml:space="preserve"> PAGEREF _Toc113702931 \h </w:instrText>
        </w:r>
        <w:r w:rsidR="00780B21">
          <w:rPr>
            <w:webHidden/>
          </w:rPr>
        </w:r>
        <w:r w:rsidR="00780B21">
          <w:rPr>
            <w:webHidden/>
          </w:rPr>
          <w:fldChar w:fldCharType="separate"/>
        </w:r>
        <w:r w:rsidR="00C213B3">
          <w:rPr>
            <w:webHidden/>
          </w:rPr>
          <w:t>91</w:t>
        </w:r>
        <w:r w:rsidR="00780B21">
          <w:rPr>
            <w:webHidden/>
          </w:rPr>
          <w:fldChar w:fldCharType="end"/>
        </w:r>
      </w:hyperlink>
    </w:p>
    <w:p w14:paraId="3DDC045B" w14:textId="75D88F26" w:rsidR="00780B21" w:rsidRDefault="00951432">
      <w:pPr>
        <w:pStyle w:val="TOC2"/>
        <w:rPr>
          <w:rFonts w:asciiTheme="minorHAnsi" w:hAnsiTheme="minorHAnsi"/>
          <w:sz w:val="22"/>
          <w:szCs w:val="22"/>
          <w:lang w:eastAsia="en-AU"/>
        </w:rPr>
      </w:pPr>
      <w:hyperlink w:anchor="_Toc113702932" w:history="1">
        <w:r w:rsidR="00780B21" w:rsidRPr="00167A70">
          <w:rPr>
            <w:rStyle w:val="Hyperlink"/>
            <w:rFonts w:cs="Arial"/>
          </w:rPr>
          <w:t>Consultancy expenditure</w:t>
        </w:r>
        <w:r w:rsidR="00780B21">
          <w:rPr>
            <w:webHidden/>
          </w:rPr>
          <w:tab/>
        </w:r>
        <w:r w:rsidR="00780B21">
          <w:rPr>
            <w:webHidden/>
          </w:rPr>
          <w:fldChar w:fldCharType="begin"/>
        </w:r>
        <w:r w:rsidR="00780B21">
          <w:rPr>
            <w:webHidden/>
          </w:rPr>
          <w:instrText xml:space="preserve"> PAGEREF _Toc113702932 \h </w:instrText>
        </w:r>
        <w:r w:rsidR="00780B21">
          <w:rPr>
            <w:webHidden/>
          </w:rPr>
        </w:r>
        <w:r w:rsidR="00780B21">
          <w:rPr>
            <w:webHidden/>
          </w:rPr>
          <w:fldChar w:fldCharType="separate"/>
        </w:r>
        <w:r w:rsidR="00C213B3">
          <w:rPr>
            <w:webHidden/>
          </w:rPr>
          <w:t>92</w:t>
        </w:r>
        <w:r w:rsidR="00780B21">
          <w:rPr>
            <w:webHidden/>
          </w:rPr>
          <w:fldChar w:fldCharType="end"/>
        </w:r>
      </w:hyperlink>
    </w:p>
    <w:p w14:paraId="3C9FF1CC" w14:textId="4FC55C26" w:rsidR="00780B21" w:rsidRDefault="00951432">
      <w:pPr>
        <w:pStyle w:val="TOC2"/>
        <w:rPr>
          <w:rFonts w:asciiTheme="minorHAnsi" w:hAnsiTheme="minorHAnsi"/>
          <w:sz w:val="22"/>
          <w:szCs w:val="22"/>
          <w:lang w:eastAsia="en-AU"/>
        </w:rPr>
      </w:pPr>
      <w:hyperlink w:anchor="_Toc113702933" w:history="1">
        <w:r w:rsidR="00780B21" w:rsidRPr="00167A70">
          <w:rPr>
            <w:rStyle w:val="Hyperlink"/>
          </w:rPr>
          <w:t>Social procurement framework</w:t>
        </w:r>
        <w:r w:rsidR="00780B21">
          <w:rPr>
            <w:webHidden/>
          </w:rPr>
          <w:tab/>
        </w:r>
        <w:r w:rsidR="00780B21">
          <w:rPr>
            <w:webHidden/>
          </w:rPr>
          <w:fldChar w:fldCharType="begin"/>
        </w:r>
        <w:r w:rsidR="00780B21">
          <w:rPr>
            <w:webHidden/>
          </w:rPr>
          <w:instrText xml:space="preserve"> PAGEREF _Toc113702933 \h </w:instrText>
        </w:r>
        <w:r w:rsidR="00780B21">
          <w:rPr>
            <w:webHidden/>
          </w:rPr>
        </w:r>
        <w:r w:rsidR="00780B21">
          <w:rPr>
            <w:webHidden/>
          </w:rPr>
          <w:fldChar w:fldCharType="separate"/>
        </w:r>
        <w:r w:rsidR="00C213B3">
          <w:rPr>
            <w:webHidden/>
          </w:rPr>
          <w:t>98</w:t>
        </w:r>
        <w:r w:rsidR="00780B21">
          <w:rPr>
            <w:webHidden/>
          </w:rPr>
          <w:fldChar w:fldCharType="end"/>
        </w:r>
      </w:hyperlink>
    </w:p>
    <w:p w14:paraId="5F0BF7AC" w14:textId="2AA7BAA9" w:rsidR="00780B21" w:rsidRDefault="00951432">
      <w:pPr>
        <w:pStyle w:val="TOC2"/>
        <w:rPr>
          <w:rFonts w:asciiTheme="minorHAnsi" w:hAnsiTheme="minorHAnsi"/>
          <w:sz w:val="22"/>
          <w:szCs w:val="22"/>
          <w:lang w:eastAsia="en-AU"/>
        </w:rPr>
      </w:pPr>
      <w:hyperlink w:anchor="_Toc113702934" w:history="1">
        <w:r w:rsidR="00780B21" w:rsidRPr="00167A70">
          <w:rPr>
            <w:rStyle w:val="Hyperlink"/>
            <w:rFonts w:cs="Arial"/>
          </w:rPr>
          <w:t>Government advertising expenditure</w:t>
        </w:r>
        <w:r w:rsidR="00780B21">
          <w:rPr>
            <w:webHidden/>
          </w:rPr>
          <w:tab/>
        </w:r>
        <w:r w:rsidR="00780B21">
          <w:rPr>
            <w:webHidden/>
          </w:rPr>
          <w:fldChar w:fldCharType="begin"/>
        </w:r>
        <w:r w:rsidR="00780B21">
          <w:rPr>
            <w:webHidden/>
          </w:rPr>
          <w:instrText xml:space="preserve"> PAGEREF _Toc113702934 \h </w:instrText>
        </w:r>
        <w:r w:rsidR="00780B21">
          <w:rPr>
            <w:webHidden/>
          </w:rPr>
        </w:r>
        <w:r w:rsidR="00780B21">
          <w:rPr>
            <w:webHidden/>
          </w:rPr>
          <w:fldChar w:fldCharType="separate"/>
        </w:r>
        <w:r w:rsidR="00C213B3">
          <w:rPr>
            <w:webHidden/>
          </w:rPr>
          <w:t>99</w:t>
        </w:r>
        <w:r w:rsidR="00780B21">
          <w:rPr>
            <w:webHidden/>
          </w:rPr>
          <w:fldChar w:fldCharType="end"/>
        </w:r>
      </w:hyperlink>
    </w:p>
    <w:p w14:paraId="69297625" w14:textId="38916A65" w:rsidR="00780B21" w:rsidRDefault="00951432">
      <w:pPr>
        <w:pStyle w:val="TOC2"/>
        <w:rPr>
          <w:rFonts w:asciiTheme="minorHAnsi" w:hAnsiTheme="minorHAnsi"/>
          <w:sz w:val="22"/>
          <w:szCs w:val="22"/>
          <w:lang w:eastAsia="en-AU"/>
        </w:rPr>
      </w:pPr>
      <w:hyperlink w:anchor="_Toc113702935" w:history="1">
        <w:r w:rsidR="00780B21" w:rsidRPr="00167A70">
          <w:rPr>
            <w:rStyle w:val="Hyperlink"/>
            <w:rFonts w:cs="Arial"/>
          </w:rPr>
          <w:t>Compliance with DataVic Access Policy</w:t>
        </w:r>
        <w:r w:rsidR="00780B21">
          <w:rPr>
            <w:webHidden/>
          </w:rPr>
          <w:tab/>
        </w:r>
        <w:r w:rsidR="00780B21">
          <w:rPr>
            <w:webHidden/>
          </w:rPr>
          <w:fldChar w:fldCharType="begin"/>
        </w:r>
        <w:r w:rsidR="00780B21">
          <w:rPr>
            <w:webHidden/>
          </w:rPr>
          <w:instrText xml:space="preserve"> PAGEREF _Toc113702935 \h </w:instrText>
        </w:r>
        <w:r w:rsidR="00780B21">
          <w:rPr>
            <w:webHidden/>
          </w:rPr>
        </w:r>
        <w:r w:rsidR="00780B21">
          <w:rPr>
            <w:webHidden/>
          </w:rPr>
          <w:fldChar w:fldCharType="separate"/>
        </w:r>
        <w:r w:rsidR="00C213B3">
          <w:rPr>
            <w:webHidden/>
          </w:rPr>
          <w:t>102</w:t>
        </w:r>
        <w:r w:rsidR="00780B21">
          <w:rPr>
            <w:webHidden/>
          </w:rPr>
          <w:fldChar w:fldCharType="end"/>
        </w:r>
      </w:hyperlink>
    </w:p>
    <w:p w14:paraId="76A66286" w14:textId="7658C221" w:rsidR="00780B21" w:rsidRDefault="00951432">
      <w:pPr>
        <w:pStyle w:val="TOC2"/>
        <w:rPr>
          <w:rFonts w:asciiTheme="minorHAnsi" w:hAnsiTheme="minorHAnsi"/>
          <w:sz w:val="22"/>
          <w:szCs w:val="22"/>
          <w:lang w:eastAsia="en-AU"/>
        </w:rPr>
      </w:pPr>
      <w:hyperlink w:anchor="_Toc113702936" w:history="1">
        <w:r w:rsidR="00780B21" w:rsidRPr="00167A70">
          <w:rPr>
            <w:rStyle w:val="Hyperlink"/>
          </w:rPr>
          <w:t>Freedom of information</w:t>
        </w:r>
        <w:r w:rsidR="00780B21">
          <w:rPr>
            <w:webHidden/>
          </w:rPr>
          <w:tab/>
        </w:r>
        <w:r w:rsidR="00780B21">
          <w:rPr>
            <w:webHidden/>
          </w:rPr>
          <w:fldChar w:fldCharType="begin"/>
        </w:r>
        <w:r w:rsidR="00780B21">
          <w:rPr>
            <w:webHidden/>
          </w:rPr>
          <w:instrText xml:space="preserve"> PAGEREF _Toc113702936 \h </w:instrText>
        </w:r>
        <w:r w:rsidR="00780B21">
          <w:rPr>
            <w:webHidden/>
          </w:rPr>
        </w:r>
        <w:r w:rsidR="00780B21">
          <w:rPr>
            <w:webHidden/>
          </w:rPr>
          <w:fldChar w:fldCharType="separate"/>
        </w:r>
        <w:r w:rsidR="00C213B3">
          <w:rPr>
            <w:webHidden/>
          </w:rPr>
          <w:t>103</w:t>
        </w:r>
        <w:r w:rsidR="00780B21">
          <w:rPr>
            <w:webHidden/>
          </w:rPr>
          <w:fldChar w:fldCharType="end"/>
        </w:r>
      </w:hyperlink>
    </w:p>
    <w:p w14:paraId="681E9CE6" w14:textId="489B0623" w:rsidR="00780B21" w:rsidRDefault="00951432">
      <w:pPr>
        <w:pStyle w:val="TOC2"/>
        <w:rPr>
          <w:rFonts w:asciiTheme="minorHAnsi" w:hAnsiTheme="minorHAnsi"/>
          <w:sz w:val="22"/>
          <w:szCs w:val="22"/>
          <w:lang w:eastAsia="en-AU"/>
        </w:rPr>
      </w:pPr>
      <w:hyperlink w:anchor="_Toc113702937" w:history="1">
        <w:r w:rsidR="00780B21" w:rsidRPr="00167A70">
          <w:rPr>
            <w:rStyle w:val="Hyperlink"/>
            <w:rFonts w:cs="Arial"/>
          </w:rPr>
          <w:t>Compliance with the Public Interest Disclosures Act 2012</w:t>
        </w:r>
        <w:r w:rsidR="00780B21">
          <w:rPr>
            <w:webHidden/>
          </w:rPr>
          <w:tab/>
        </w:r>
        <w:r w:rsidR="00780B21">
          <w:rPr>
            <w:webHidden/>
          </w:rPr>
          <w:fldChar w:fldCharType="begin"/>
        </w:r>
        <w:r w:rsidR="00780B21">
          <w:rPr>
            <w:webHidden/>
          </w:rPr>
          <w:instrText xml:space="preserve"> PAGEREF _Toc113702937 \h </w:instrText>
        </w:r>
        <w:r w:rsidR="00780B21">
          <w:rPr>
            <w:webHidden/>
          </w:rPr>
        </w:r>
        <w:r w:rsidR="00780B21">
          <w:rPr>
            <w:webHidden/>
          </w:rPr>
          <w:fldChar w:fldCharType="separate"/>
        </w:r>
        <w:r w:rsidR="00C213B3">
          <w:rPr>
            <w:webHidden/>
          </w:rPr>
          <w:t>103</w:t>
        </w:r>
        <w:r w:rsidR="00780B21">
          <w:rPr>
            <w:webHidden/>
          </w:rPr>
          <w:fldChar w:fldCharType="end"/>
        </w:r>
      </w:hyperlink>
    </w:p>
    <w:p w14:paraId="797604E2" w14:textId="10CC175B" w:rsidR="00780B21" w:rsidRDefault="00951432">
      <w:pPr>
        <w:pStyle w:val="TOC2"/>
        <w:rPr>
          <w:rFonts w:asciiTheme="minorHAnsi" w:hAnsiTheme="minorHAnsi"/>
          <w:sz w:val="22"/>
          <w:szCs w:val="22"/>
          <w:lang w:eastAsia="en-AU"/>
        </w:rPr>
      </w:pPr>
      <w:hyperlink w:anchor="_Toc113702938" w:history="1">
        <w:r w:rsidR="00780B21" w:rsidRPr="00167A70">
          <w:rPr>
            <w:rStyle w:val="Hyperlink"/>
            <w:rFonts w:cs="Arial"/>
          </w:rPr>
          <w:t>Compliance with the Building Act 1993</w:t>
        </w:r>
        <w:r w:rsidR="00780B21">
          <w:rPr>
            <w:webHidden/>
          </w:rPr>
          <w:tab/>
        </w:r>
        <w:r w:rsidR="00780B21">
          <w:rPr>
            <w:webHidden/>
          </w:rPr>
          <w:fldChar w:fldCharType="begin"/>
        </w:r>
        <w:r w:rsidR="00780B21">
          <w:rPr>
            <w:webHidden/>
          </w:rPr>
          <w:instrText xml:space="preserve"> PAGEREF _Toc113702938 \h </w:instrText>
        </w:r>
        <w:r w:rsidR="00780B21">
          <w:rPr>
            <w:webHidden/>
          </w:rPr>
        </w:r>
        <w:r w:rsidR="00780B21">
          <w:rPr>
            <w:webHidden/>
          </w:rPr>
          <w:fldChar w:fldCharType="separate"/>
        </w:r>
        <w:r w:rsidR="00C213B3">
          <w:rPr>
            <w:webHidden/>
          </w:rPr>
          <w:t>104</w:t>
        </w:r>
        <w:r w:rsidR="00780B21">
          <w:rPr>
            <w:webHidden/>
          </w:rPr>
          <w:fldChar w:fldCharType="end"/>
        </w:r>
      </w:hyperlink>
    </w:p>
    <w:p w14:paraId="3FA6506E" w14:textId="6167F52F" w:rsidR="00780B21" w:rsidRDefault="00951432">
      <w:pPr>
        <w:pStyle w:val="TOC2"/>
        <w:rPr>
          <w:rFonts w:asciiTheme="minorHAnsi" w:hAnsiTheme="minorHAnsi"/>
          <w:sz w:val="22"/>
          <w:szCs w:val="22"/>
          <w:lang w:eastAsia="en-AU"/>
        </w:rPr>
      </w:pPr>
      <w:hyperlink w:anchor="_Toc113702939" w:history="1">
        <w:r w:rsidR="00780B21" w:rsidRPr="00167A70">
          <w:rPr>
            <w:rStyle w:val="Hyperlink"/>
            <w:rFonts w:cs="Arial"/>
          </w:rPr>
          <w:t>Compliance with the Carers Recognition Act 2012</w:t>
        </w:r>
        <w:r w:rsidR="00780B21">
          <w:rPr>
            <w:webHidden/>
          </w:rPr>
          <w:tab/>
        </w:r>
        <w:r w:rsidR="00780B21">
          <w:rPr>
            <w:webHidden/>
          </w:rPr>
          <w:fldChar w:fldCharType="begin"/>
        </w:r>
        <w:r w:rsidR="00780B21">
          <w:rPr>
            <w:webHidden/>
          </w:rPr>
          <w:instrText xml:space="preserve"> PAGEREF _Toc113702939 \h </w:instrText>
        </w:r>
        <w:r w:rsidR="00780B21">
          <w:rPr>
            <w:webHidden/>
          </w:rPr>
        </w:r>
        <w:r w:rsidR="00780B21">
          <w:rPr>
            <w:webHidden/>
          </w:rPr>
          <w:fldChar w:fldCharType="separate"/>
        </w:r>
        <w:r w:rsidR="00C213B3">
          <w:rPr>
            <w:webHidden/>
          </w:rPr>
          <w:t>104</w:t>
        </w:r>
        <w:r w:rsidR="00780B21">
          <w:rPr>
            <w:webHidden/>
          </w:rPr>
          <w:fldChar w:fldCharType="end"/>
        </w:r>
      </w:hyperlink>
    </w:p>
    <w:p w14:paraId="6A686F3D" w14:textId="6C1B0F9F" w:rsidR="00780B21" w:rsidRDefault="00951432">
      <w:pPr>
        <w:pStyle w:val="TOC2"/>
        <w:rPr>
          <w:rFonts w:asciiTheme="minorHAnsi" w:hAnsiTheme="minorHAnsi"/>
          <w:sz w:val="22"/>
          <w:szCs w:val="22"/>
          <w:lang w:eastAsia="en-AU"/>
        </w:rPr>
      </w:pPr>
      <w:hyperlink w:anchor="_Toc113702940" w:history="1">
        <w:r w:rsidR="00780B21" w:rsidRPr="00167A70">
          <w:rPr>
            <w:rStyle w:val="Hyperlink"/>
            <w:rFonts w:cs="Arial"/>
          </w:rPr>
          <w:t>Compliance with the Disability Act 2006</w:t>
        </w:r>
        <w:r w:rsidR="00780B21">
          <w:rPr>
            <w:webHidden/>
          </w:rPr>
          <w:tab/>
        </w:r>
        <w:r w:rsidR="00780B21">
          <w:rPr>
            <w:webHidden/>
          </w:rPr>
          <w:fldChar w:fldCharType="begin"/>
        </w:r>
        <w:r w:rsidR="00780B21">
          <w:rPr>
            <w:webHidden/>
          </w:rPr>
          <w:instrText xml:space="preserve"> PAGEREF _Toc113702940 \h </w:instrText>
        </w:r>
        <w:r w:rsidR="00780B21">
          <w:rPr>
            <w:webHidden/>
          </w:rPr>
        </w:r>
        <w:r w:rsidR="00780B21">
          <w:rPr>
            <w:webHidden/>
          </w:rPr>
          <w:fldChar w:fldCharType="separate"/>
        </w:r>
        <w:r w:rsidR="00C213B3">
          <w:rPr>
            <w:webHidden/>
          </w:rPr>
          <w:t>105</w:t>
        </w:r>
        <w:r w:rsidR="00780B21">
          <w:rPr>
            <w:webHidden/>
          </w:rPr>
          <w:fldChar w:fldCharType="end"/>
        </w:r>
      </w:hyperlink>
    </w:p>
    <w:p w14:paraId="43806AD9" w14:textId="7A954AB7" w:rsidR="00780B21" w:rsidRDefault="00951432">
      <w:pPr>
        <w:pStyle w:val="TOC2"/>
        <w:rPr>
          <w:rFonts w:asciiTheme="minorHAnsi" w:hAnsiTheme="minorHAnsi"/>
          <w:sz w:val="22"/>
          <w:szCs w:val="22"/>
          <w:lang w:eastAsia="en-AU"/>
        </w:rPr>
      </w:pPr>
      <w:hyperlink w:anchor="_Toc113702941" w:history="1">
        <w:r w:rsidR="00780B21" w:rsidRPr="00167A70">
          <w:rPr>
            <w:rStyle w:val="Hyperlink"/>
            <w:rFonts w:cs="Arial"/>
          </w:rPr>
          <w:t>Cemeteries and Crematoria Act 2003</w:t>
        </w:r>
        <w:r w:rsidR="00780B21">
          <w:rPr>
            <w:webHidden/>
          </w:rPr>
          <w:tab/>
        </w:r>
        <w:r w:rsidR="00780B21">
          <w:rPr>
            <w:webHidden/>
          </w:rPr>
          <w:fldChar w:fldCharType="begin"/>
        </w:r>
        <w:r w:rsidR="00780B21">
          <w:rPr>
            <w:webHidden/>
          </w:rPr>
          <w:instrText xml:space="preserve"> PAGEREF _Toc113702941 \h </w:instrText>
        </w:r>
        <w:r w:rsidR="00780B21">
          <w:rPr>
            <w:webHidden/>
          </w:rPr>
        </w:r>
        <w:r w:rsidR="00780B21">
          <w:rPr>
            <w:webHidden/>
          </w:rPr>
          <w:fldChar w:fldCharType="separate"/>
        </w:r>
        <w:r w:rsidR="00C213B3">
          <w:rPr>
            <w:webHidden/>
          </w:rPr>
          <w:t>105</w:t>
        </w:r>
        <w:r w:rsidR="00780B21">
          <w:rPr>
            <w:webHidden/>
          </w:rPr>
          <w:fldChar w:fldCharType="end"/>
        </w:r>
      </w:hyperlink>
    </w:p>
    <w:p w14:paraId="308FF20E" w14:textId="26C874F6" w:rsidR="00780B21" w:rsidRDefault="00951432">
      <w:pPr>
        <w:pStyle w:val="TOC2"/>
        <w:rPr>
          <w:rFonts w:asciiTheme="minorHAnsi" w:hAnsiTheme="minorHAnsi"/>
          <w:sz w:val="22"/>
          <w:szCs w:val="22"/>
          <w:lang w:eastAsia="en-AU"/>
        </w:rPr>
      </w:pPr>
      <w:hyperlink w:anchor="_Toc113702942" w:history="1">
        <w:r w:rsidR="00780B21" w:rsidRPr="00167A70">
          <w:rPr>
            <w:rStyle w:val="Hyperlink"/>
          </w:rPr>
          <w:t>Drugs, Poisons and Controlled Substances Act 1981</w:t>
        </w:r>
        <w:r w:rsidR="00780B21">
          <w:rPr>
            <w:webHidden/>
          </w:rPr>
          <w:tab/>
        </w:r>
        <w:r w:rsidR="00780B21">
          <w:rPr>
            <w:webHidden/>
          </w:rPr>
          <w:fldChar w:fldCharType="begin"/>
        </w:r>
        <w:r w:rsidR="00780B21">
          <w:rPr>
            <w:webHidden/>
          </w:rPr>
          <w:instrText xml:space="preserve"> PAGEREF _Toc113702942 \h </w:instrText>
        </w:r>
        <w:r w:rsidR="00780B21">
          <w:rPr>
            <w:webHidden/>
          </w:rPr>
        </w:r>
        <w:r w:rsidR="00780B21">
          <w:rPr>
            <w:webHidden/>
          </w:rPr>
          <w:fldChar w:fldCharType="separate"/>
        </w:r>
        <w:r w:rsidR="00C213B3">
          <w:rPr>
            <w:webHidden/>
          </w:rPr>
          <w:t>105</w:t>
        </w:r>
        <w:r w:rsidR="00780B21">
          <w:rPr>
            <w:webHidden/>
          </w:rPr>
          <w:fldChar w:fldCharType="end"/>
        </w:r>
      </w:hyperlink>
    </w:p>
    <w:p w14:paraId="1D45DA28" w14:textId="59164048" w:rsidR="00780B21" w:rsidRDefault="00951432">
      <w:pPr>
        <w:pStyle w:val="TOC2"/>
        <w:rPr>
          <w:rFonts w:asciiTheme="minorHAnsi" w:hAnsiTheme="minorHAnsi"/>
          <w:sz w:val="22"/>
          <w:szCs w:val="22"/>
          <w:lang w:eastAsia="en-AU"/>
        </w:rPr>
      </w:pPr>
      <w:hyperlink w:anchor="_Toc113702943" w:history="1">
        <w:r w:rsidR="00780B21" w:rsidRPr="00167A70">
          <w:rPr>
            <w:rStyle w:val="Hyperlink"/>
          </w:rPr>
          <w:t>Public Health and Wellbeing Act 2008</w:t>
        </w:r>
        <w:r w:rsidR="00780B21">
          <w:rPr>
            <w:webHidden/>
          </w:rPr>
          <w:tab/>
        </w:r>
        <w:r w:rsidR="00780B21">
          <w:rPr>
            <w:webHidden/>
          </w:rPr>
          <w:fldChar w:fldCharType="begin"/>
        </w:r>
        <w:r w:rsidR="00780B21">
          <w:rPr>
            <w:webHidden/>
          </w:rPr>
          <w:instrText xml:space="preserve"> PAGEREF _Toc113702943 \h </w:instrText>
        </w:r>
        <w:r w:rsidR="00780B21">
          <w:rPr>
            <w:webHidden/>
          </w:rPr>
        </w:r>
        <w:r w:rsidR="00780B21">
          <w:rPr>
            <w:webHidden/>
          </w:rPr>
          <w:fldChar w:fldCharType="separate"/>
        </w:r>
        <w:r w:rsidR="00C213B3">
          <w:rPr>
            <w:webHidden/>
          </w:rPr>
          <w:t>106</w:t>
        </w:r>
        <w:r w:rsidR="00780B21">
          <w:rPr>
            <w:webHidden/>
          </w:rPr>
          <w:fldChar w:fldCharType="end"/>
        </w:r>
      </w:hyperlink>
    </w:p>
    <w:p w14:paraId="1BCEE68F" w14:textId="14350500" w:rsidR="00780B21" w:rsidRDefault="00951432">
      <w:pPr>
        <w:pStyle w:val="TOC2"/>
        <w:rPr>
          <w:rFonts w:asciiTheme="minorHAnsi" w:hAnsiTheme="minorHAnsi"/>
          <w:sz w:val="22"/>
          <w:szCs w:val="22"/>
          <w:lang w:eastAsia="en-AU"/>
        </w:rPr>
      </w:pPr>
      <w:hyperlink w:anchor="_Toc113702944" w:history="1">
        <w:r w:rsidR="00780B21" w:rsidRPr="00167A70">
          <w:rPr>
            <w:rStyle w:val="Hyperlink"/>
          </w:rPr>
          <w:t>Additional departmental information available on request</w:t>
        </w:r>
        <w:r w:rsidR="00780B21">
          <w:rPr>
            <w:webHidden/>
          </w:rPr>
          <w:tab/>
        </w:r>
        <w:r w:rsidR="00780B21">
          <w:rPr>
            <w:webHidden/>
          </w:rPr>
          <w:fldChar w:fldCharType="begin"/>
        </w:r>
        <w:r w:rsidR="00780B21">
          <w:rPr>
            <w:webHidden/>
          </w:rPr>
          <w:instrText xml:space="preserve"> PAGEREF _Toc113702944 \h </w:instrText>
        </w:r>
        <w:r w:rsidR="00780B21">
          <w:rPr>
            <w:webHidden/>
          </w:rPr>
        </w:r>
        <w:r w:rsidR="00780B21">
          <w:rPr>
            <w:webHidden/>
          </w:rPr>
          <w:fldChar w:fldCharType="separate"/>
        </w:r>
        <w:r w:rsidR="00C213B3">
          <w:rPr>
            <w:webHidden/>
          </w:rPr>
          <w:t>107</w:t>
        </w:r>
        <w:r w:rsidR="00780B21">
          <w:rPr>
            <w:webHidden/>
          </w:rPr>
          <w:fldChar w:fldCharType="end"/>
        </w:r>
      </w:hyperlink>
    </w:p>
    <w:p w14:paraId="6B6FAE00" w14:textId="12BC1EA9" w:rsidR="00780B21" w:rsidRDefault="00951432">
      <w:pPr>
        <w:pStyle w:val="TOC2"/>
        <w:rPr>
          <w:rFonts w:asciiTheme="minorHAnsi" w:hAnsiTheme="minorHAnsi"/>
          <w:sz w:val="22"/>
          <w:szCs w:val="22"/>
          <w:lang w:eastAsia="en-AU"/>
        </w:rPr>
      </w:pPr>
      <w:hyperlink w:anchor="_Toc113702945" w:history="1">
        <w:r w:rsidR="00780B21" w:rsidRPr="00167A70">
          <w:rPr>
            <w:rStyle w:val="Hyperlink"/>
            <w:rFonts w:cs="Arial"/>
          </w:rPr>
          <w:t>Financial Management Compliance Attestation Statement</w:t>
        </w:r>
        <w:r w:rsidR="00780B21">
          <w:rPr>
            <w:webHidden/>
          </w:rPr>
          <w:tab/>
        </w:r>
        <w:r w:rsidR="00780B21">
          <w:rPr>
            <w:webHidden/>
          </w:rPr>
          <w:fldChar w:fldCharType="begin"/>
        </w:r>
        <w:r w:rsidR="00780B21">
          <w:rPr>
            <w:webHidden/>
          </w:rPr>
          <w:instrText xml:space="preserve"> PAGEREF _Toc113702945 \h </w:instrText>
        </w:r>
        <w:r w:rsidR="00780B21">
          <w:rPr>
            <w:webHidden/>
          </w:rPr>
        </w:r>
        <w:r w:rsidR="00780B21">
          <w:rPr>
            <w:webHidden/>
          </w:rPr>
          <w:fldChar w:fldCharType="separate"/>
        </w:r>
        <w:r w:rsidR="00C213B3">
          <w:rPr>
            <w:webHidden/>
          </w:rPr>
          <w:t>107</w:t>
        </w:r>
        <w:r w:rsidR="00780B21">
          <w:rPr>
            <w:webHidden/>
          </w:rPr>
          <w:fldChar w:fldCharType="end"/>
        </w:r>
      </w:hyperlink>
    </w:p>
    <w:p w14:paraId="36731CBA" w14:textId="1A98CC33" w:rsidR="00780B21" w:rsidRDefault="00951432">
      <w:pPr>
        <w:pStyle w:val="TOC2"/>
        <w:rPr>
          <w:rFonts w:asciiTheme="minorHAnsi" w:hAnsiTheme="minorHAnsi"/>
          <w:sz w:val="22"/>
          <w:szCs w:val="22"/>
          <w:lang w:eastAsia="en-AU"/>
        </w:rPr>
      </w:pPr>
      <w:hyperlink w:anchor="_Toc113702946" w:history="1">
        <w:r w:rsidR="00780B21" w:rsidRPr="00167A70">
          <w:rPr>
            <w:rStyle w:val="Hyperlink"/>
          </w:rPr>
          <w:t>Environmental reporting</w:t>
        </w:r>
        <w:r w:rsidR="00780B21">
          <w:rPr>
            <w:webHidden/>
          </w:rPr>
          <w:tab/>
        </w:r>
        <w:r w:rsidR="00780B21">
          <w:rPr>
            <w:webHidden/>
          </w:rPr>
          <w:fldChar w:fldCharType="begin"/>
        </w:r>
        <w:r w:rsidR="00780B21">
          <w:rPr>
            <w:webHidden/>
          </w:rPr>
          <w:instrText xml:space="preserve"> PAGEREF _Toc113702946 \h </w:instrText>
        </w:r>
        <w:r w:rsidR="00780B21">
          <w:rPr>
            <w:webHidden/>
          </w:rPr>
        </w:r>
        <w:r w:rsidR="00780B21">
          <w:rPr>
            <w:webHidden/>
          </w:rPr>
          <w:fldChar w:fldCharType="separate"/>
        </w:r>
        <w:r w:rsidR="00C213B3">
          <w:rPr>
            <w:webHidden/>
          </w:rPr>
          <w:t>108</w:t>
        </w:r>
        <w:r w:rsidR="00780B21">
          <w:rPr>
            <w:webHidden/>
          </w:rPr>
          <w:fldChar w:fldCharType="end"/>
        </w:r>
      </w:hyperlink>
    </w:p>
    <w:p w14:paraId="233B9EA0" w14:textId="7921E69B" w:rsidR="001611EB" w:rsidRPr="00F74DF0" w:rsidRDefault="001611EB" w:rsidP="001611EB">
      <w:pPr>
        <w:pStyle w:val="Heading2withinTOC"/>
      </w:pPr>
      <w:r>
        <w:rPr>
          <w:lang w:val="en-US"/>
        </w:rPr>
        <w:fldChar w:fldCharType="end"/>
      </w:r>
      <w:r w:rsidRPr="00F74DF0">
        <w:t>Financial statements</w:t>
      </w:r>
    </w:p>
    <w:p w14:paraId="294F2E88" w14:textId="435CCA3F" w:rsidR="00780B21" w:rsidRDefault="001611EB">
      <w:pPr>
        <w:pStyle w:val="TOC1"/>
        <w:rPr>
          <w:rFonts w:asciiTheme="minorHAnsi" w:hAnsiTheme="minorHAnsi"/>
          <w:sz w:val="22"/>
          <w:szCs w:val="22"/>
          <w:lang w:eastAsia="en-AU"/>
        </w:rPr>
      </w:pPr>
      <w:r>
        <w:rPr>
          <w:lang w:val="en-US"/>
        </w:rPr>
        <w:fldChar w:fldCharType="begin"/>
      </w:r>
      <w:r>
        <w:rPr>
          <w:lang w:val="en-US"/>
        </w:rPr>
        <w:instrText xml:space="preserve"> TOC \b FinancialStatements \h \z \t "Heading 1,1" </w:instrText>
      </w:r>
      <w:r>
        <w:rPr>
          <w:lang w:val="en-US"/>
        </w:rPr>
        <w:fldChar w:fldCharType="separate"/>
      </w:r>
      <w:hyperlink w:anchor="_Toc113702947" w:history="1">
        <w:r w:rsidR="00780B21" w:rsidRPr="00182BE5">
          <w:rPr>
            <w:rStyle w:val="Hyperlink"/>
          </w:rPr>
          <w:t>Department of Health: Financial statements for the financial year ended 30 June 2022</w:t>
        </w:r>
        <w:r w:rsidR="00780B21">
          <w:rPr>
            <w:webHidden/>
          </w:rPr>
          <w:tab/>
        </w:r>
        <w:r w:rsidR="00780B21">
          <w:rPr>
            <w:webHidden/>
          </w:rPr>
          <w:fldChar w:fldCharType="begin"/>
        </w:r>
        <w:r w:rsidR="00780B21">
          <w:rPr>
            <w:webHidden/>
          </w:rPr>
          <w:instrText xml:space="preserve"> PAGEREF _Toc113702947 \h </w:instrText>
        </w:r>
        <w:r w:rsidR="00780B21">
          <w:rPr>
            <w:webHidden/>
          </w:rPr>
        </w:r>
        <w:r w:rsidR="00780B21">
          <w:rPr>
            <w:webHidden/>
          </w:rPr>
          <w:fldChar w:fldCharType="separate"/>
        </w:r>
        <w:r w:rsidR="00C213B3">
          <w:rPr>
            <w:webHidden/>
          </w:rPr>
          <w:t>122</w:t>
        </w:r>
        <w:r w:rsidR="00780B21">
          <w:rPr>
            <w:webHidden/>
          </w:rPr>
          <w:fldChar w:fldCharType="end"/>
        </w:r>
      </w:hyperlink>
    </w:p>
    <w:p w14:paraId="793DA53E" w14:textId="5DB8F152" w:rsidR="001611EB" w:rsidRPr="00F74DF0" w:rsidRDefault="001611EB" w:rsidP="001611EB">
      <w:pPr>
        <w:pStyle w:val="Heading2withinTOC"/>
      </w:pPr>
      <w:r>
        <w:rPr>
          <w:lang w:val="en-US"/>
        </w:rPr>
        <w:fldChar w:fldCharType="end"/>
      </w:r>
      <w:r w:rsidRPr="00F74DF0">
        <w:t>Appendices</w:t>
      </w:r>
    </w:p>
    <w:p w14:paraId="7662BCA1" w14:textId="5C96291A" w:rsidR="00780B21" w:rsidRDefault="001611EB">
      <w:pPr>
        <w:pStyle w:val="TOC1"/>
        <w:rPr>
          <w:rFonts w:asciiTheme="minorHAnsi" w:hAnsiTheme="minorHAnsi"/>
          <w:sz w:val="22"/>
          <w:szCs w:val="22"/>
          <w:lang w:eastAsia="en-AU"/>
        </w:rPr>
      </w:pPr>
      <w:r>
        <w:rPr>
          <w:lang w:val="en-US"/>
        </w:rPr>
        <w:fldChar w:fldCharType="begin"/>
      </w:r>
      <w:r>
        <w:rPr>
          <w:lang w:val="en-US"/>
        </w:rPr>
        <w:instrText xml:space="preserve"> TOC \b Appendices \h \z \t "Heading 1,1,Heading 2,2" </w:instrText>
      </w:r>
      <w:r>
        <w:rPr>
          <w:lang w:val="en-US"/>
        </w:rPr>
        <w:fldChar w:fldCharType="separate"/>
      </w:r>
      <w:hyperlink w:anchor="_Toc113702948" w:history="1">
        <w:r w:rsidR="00780B21" w:rsidRPr="00EA3C60">
          <w:rPr>
            <w:rStyle w:val="Hyperlink"/>
          </w:rPr>
          <w:t>Appendices</w:t>
        </w:r>
        <w:r w:rsidR="00780B21">
          <w:rPr>
            <w:webHidden/>
          </w:rPr>
          <w:tab/>
        </w:r>
        <w:r w:rsidR="00780B21">
          <w:rPr>
            <w:webHidden/>
          </w:rPr>
          <w:fldChar w:fldCharType="begin"/>
        </w:r>
        <w:r w:rsidR="00780B21">
          <w:rPr>
            <w:webHidden/>
          </w:rPr>
          <w:instrText xml:space="preserve"> PAGEREF _Toc113702948 \h </w:instrText>
        </w:r>
        <w:r w:rsidR="00780B21">
          <w:rPr>
            <w:webHidden/>
          </w:rPr>
        </w:r>
        <w:r w:rsidR="00780B21">
          <w:rPr>
            <w:webHidden/>
          </w:rPr>
          <w:fldChar w:fldCharType="separate"/>
        </w:r>
        <w:r w:rsidR="00C213B3">
          <w:rPr>
            <w:webHidden/>
          </w:rPr>
          <w:t>214</w:t>
        </w:r>
        <w:r w:rsidR="00780B21">
          <w:rPr>
            <w:webHidden/>
          </w:rPr>
          <w:fldChar w:fldCharType="end"/>
        </w:r>
      </w:hyperlink>
    </w:p>
    <w:p w14:paraId="44EB5BC2" w14:textId="14DCF1B9" w:rsidR="00780B21" w:rsidRDefault="00951432">
      <w:pPr>
        <w:pStyle w:val="TOC2"/>
        <w:rPr>
          <w:rFonts w:asciiTheme="minorHAnsi" w:hAnsiTheme="minorHAnsi"/>
          <w:sz w:val="22"/>
          <w:szCs w:val="22"/>
          <w:lang w:eastAsia="en-AU"/>
        </w:rPr>
      </w:pPr>
      <w:hyperlink w:anchor="_Toc113702949" w:history="1">
        <w:r w:rsidR="00780B21" w:rsidRPr="00EA3C60">
          <w:rPr>
            <w:rStyle w:val="Hyperlink"/>
          </w:rPr>
          <w:t>Appendix 1: COVID-19 in Victoria 2021–22 timeline</w:t>
        </w:r>
        <w:r w:rsidR="00780B21">
          <w:rPr>
            <w:webHidden/>
          </w:rPr>
          <w:tab/>
        </w:r>
        <w:r w:rsidR="00780B21">
          <w:rPr>
            <w:webHidden/>
          </w:rPr>
          <w:fldChar w:fldCharType="begin"/>
        </w:r>
        <w:r w:rsidR="00780B21">
          <w:rPr>
            <w:webHidden/>
          </w:rPr>
          <w:instrText xml:space="preserve"> PAGEREF _Toc113702949 \h </w:instrText>
        </w:r>
        <w:r w:rsidR="00780B21">
          <w:rPr>
            <w:webHidden/>
          </w:rPr>
        </w:r>
        <w:r w:rsidR="00780B21">
          <w:rPr>
            <w:webHidden/>
          </w:rPr>
          <w:fldChar w:fldCharType="separate"/>
        </w:r>
        <w:r w:rsidR="00C213B3">
          <w:rPr>
            <w:webHidden/>
          </w:rPr>
          <w:t>214</w:t>
        </w:r>
        <w:r w:rsidR="00780B21">
          <w:rPr>
            <w:webHidden/>
          </w:rPr>
          <w:fldChar w:fldCharType="end"/>
        </w:r>
      </w:hyperlink>
    </w:p>
    <w:p w14:paraId="142BF147" w14:textId="4B43D235" w:rsidR="00780B21" w:rsidRDefault="00951432">
      <w:pPr>
        <w:pStyle w:val="TOC2"/>
        <w:rPr>
          <w:rFonts w:asciiTheme="minorHAnsi" w:hAnsiTheme="minorHAnsi"/>
          <w:sz w:val="22"/>
          <w:szCs w:val="22"/>
          <w:lang w:eastAsia="en-AU"/>
        </w:rPr>
      </w:pPr>
      <w:hyperlink w:anchor="_Toc113702950" w:history="1">
        <w:r w:rsidR="00780B21" w:rsidRPr="00EA3C60">
          <w:rPr>
            <w:rStyle w:val="Hyperlink"/>
          </w:rPr>
          <w:t>Appendix 2: Budget portfolio outcomes</w:t>
        </w:r>
        <w:r w:rsidR="00780B21">
          <w:rPr>
            <w:webHidden/>
          </w:rPr>
          <w:tab/>
        </w:r>
        <w:r w:rsidR="00780B21">
          <w:rPr>
            <w:webHidden/>
          </w:rPr>
          <w:fldChar w:fldCharType="begin"/>
        </w:r>
        <w:r w:rsidR="00780B21">
          <w:rPr>
            <w:webHidden/>
          </w:rPr>
          <w:instrText xml:space="preserve"> PAGEREF _Toc113702950 \h </w:instrText>
        </w:r>
        <w:r w:rsidR="00780B21">
          <w:rPr>
            <w:webHidden/>
          </w:rPr>
        </w:r>
        <w:r w:rsidR="00780B21">
          <w:rPr>
            <w:webHidden/>
          </w:rPr>
          <w:fldChar w:fldCharType="separate"/>
        </w:r>
        <w:r w:rsidR="00C213B3">
          <w:rPr>
            <w:webHidden/>
          </w:rPr>
          <w:t>222</w:t>
        </w:r>
        <w:r w:rsidR="00780B21">
          <w:rPr>
            <w:webHidden/>
          </w:rPr>
          <w:fldChar w:fldCharType="end"/>
        </w:r>
      </w:hyperlink>
    </w:p>
    <w:p w14:paraId="74D3F56D" w14:textId="5E945C34" w:rsidR="00780B21" w:rsidRDefault="00951432">
      <w:pPr>
        <w:pStyle w:val="TOC2"/>
        <w:rPr>
          <w:rFonts w:asciiTheme="minorHAnsi" w:hAnsiTheme="minorHAnsi"/>
          <w:sz w:val="22"/>
          <w:szCs w:val="22"/>
          <w:lang w:eastAsia="en-AU"/>
        </w:rPr>
      </w:pPr>
      <w:hyperlink w:anchor="_Toc113702951" w:history="1">
        <w:r w:rsidR="00780B21" w:rsidRPr="00EA3C60">
          <w:rPr>
            <w:rStyle w:val="Hyperlink"/>
          </w:rPr>
          <w:t>Appendix 3: Disclosure index</w:t>
        </w:r>
        <w:r w:rsidR="00780B21">
          <w:rPr>
            <w:webHidden/>
          </w:rPr>
          <w:tab/>
        </w:r>
        <w:r w:rsidR="00780B21">
          <w:rPr>
            <w:webHidden/>
          </w:rPr>
          <w:fldChar w:fldCharType="begin"/>
        </w:r>
        <w:r w:rsidR="00780B21">
          <w:rPr>
            <w:webHidden/>
          </w:rPr>
          <w:instrText xml:space="preserve"> PAGEREF _Toc113702951 \h </w:instrText>
        </w:r>
        <w:r w:rsidR="00780B21">
          <w:rPr>
            <w:webHidden/>
          </w:rPr>
        </w:r>
        <w:r w:rsidR="00780B21">
          <w:rPr>
            <w:webHidden/>
          </w:rPr>
          <w:fldChar w:fldCharType="separate"/>
        </w:r>
        <w:r w:rsidR="00C213B3">
          <w:rPr>
            <w:webHidden/>
          </w:rPr>
          <w:t>229</w:t>
        </w:r>
        <w:r w:rsidR="00780B21">
          <w:rPr>
            <w:webHidden/>
          </w:rPr>
          <w:fldChar w:fldCharType="end"/>
        </w:r>
      </w:hyperlink>
    </w:p>
    <w:p w14:paraId="1C71183F" w14:textId="027B3F20" w:rsidR="001611EB" w:rsidRPr="00F27328" w:rsidRDefault="001611EB" w:rsidP="001A559C">
      <w:pPr>
        <w:pStyle w:val="ARbody"/>
      </w:pPr>
      <w:r>
        <w:rPr>
          <w:lang w:val="en-US"/>
        </w:rPr>
        <w:fldChar w:fldCharType="end"/>
      </w:r>
    </w:p>
    <w:p w14:paraId="511AF8B7" w14:textId="77777777" w:rsidR="007A5C25" w:rsidRDefault="007A5C25" w:rsidP="00FC2FC2">
      <w:pPr>
        <w:pStyle w:val="ARbody"/>
        <w:rPr>
          <w:lang w:eastAsia="x-none"/>
        </w:rPr>
      </w:pPr>
    </w:p>
    <w:p w14:paraId="759D75DB" w14:textId="77777777" w:rsidR="007E11ED" w:rsidRDefault="007E11ED" w:rsidP="00FC2FC2">
      <w:pPr>
        <w:pStyle w:val="ARbody"/>
        <w:rPr>
          <w:lang w:eastAsia="x-none"/>
        </w:rPr>
        <w:sectPr w:rsidR="007E11ED" w:rsidSect="001E1976">
          <w:headerReference w:type="first" r:id="rId16"/>
          <w:footerReference w:type="first" r:id="rId17"/>
          <w:footnotePr>
            <w:numFmt w:val="lowerLetter"/>
            <w:numRestart w:val="eachPage"/>
          </w:footnotePr>
          <w:endnotePr>
            <w:numFmt w:val="decimal"/>
          </w:endnotePr>
          <w:pgSz w:w="11900" w:h="16840" w:code="9"/>
          <w:pgMar w:top="1985" w:right="1134" w:bottom="851" w:left="1134" w:header="510" w:footer="340" w:gutter="0"/>
          <w:cols w:space="454"/>
          <w:docGrid w:linePitch="299"/>
          <w15:footnoteColumns w:val="1"/>
        </w:sectPr>
      </w:pPr>
    </w:p>
    <w:p w14:paraId="5D9FAED7" w14:textId="77777777" w:rsidR="007E11ED" w:rsidRDefault="007E11ED" w:rsidP="007E11ED">
      <w:pPr>
        <w:pStyle w:val="Heading1"/>
      </w:pPr>
      <w:bookmarkStart w:id="0" w:name="_Toc85120942"/>
      <w:bookmarkStart w:id="1" w:name="_Toc85121592"/>
      <w:bookmarkStart w:id="2" w:name="_Toc102734469"/>
      <w:bookmarkStart w:id="3" w:name="_Toc113702904"/>
      <w:bookmarkStart w:id="4" w:name="_Toc21682715"/>
      <w:bookmarkStart w:id="5" w:name="_Toc54690762"/>
      <w:bookmarkStart w:id="6" w:name="ReportOfOperations"/>
      <w:r w:rsidRPr="002029AF">
        <w:lastRenderedPageBreak/>
        <w:t>Sec</w:t>
      </w:r>
      <w:r>
        <w:t>tion 1: Year in review</w:t>
      </w:r>
      <w:bookmarkEnd w:id="0"/>
      <w:bookmarkEnd w:id="1"/>
      <w:bookmarkEnd w:id="2"/>
      <w:bookmarkEnd w:id="3"/>
    </w:p>
    <w:bookmarkEnd w:id="4"/>
    <w:bookmarkEnd w:id="5"/>
    <w:p w14:paraId="520362A8" w14:textId="77777777" w:rsidR="007E11ED" w:rsidRDefault="007E11ED" w:rsidP="007E11ED">
      <w:pPr>
        <w:pStyle w:val="Heading2"/>
        <w:spacing w:before="0" w:after="240"/>
        <w:sectPr w:rsidR="007E11ED" w:rsidSect="007E11ED">
          <w:footnotePr>
            <w:numFmt w:val="lowerLetter"/>
            <w:numRestart w:val="eachPage"/>
          </w:footnotePr>
          <w:endnotePr>
            <w:numFmt w:val="decimal"/>
          </w:endnotePr>
          <w:pgSz w:w="11906" w:h="16838" w:code="9"/>
          <w:pgMar w:top="1985" w:right="1134" w:bottom="851" w:left="1134" w:header="510" w:footer="340" w:gutter="0"/>
          <w:cols w:space="708"/>
          <w:docGrid w:linePitch="360"/>
          <w15:footnoteColumns w:val="1"/>
        </w:sectPr>
      </w:pPr>
    </w:p>
    <w:p w14:paraId="66ECA271" w14:textId="77777777" w:rsidR="007E11ED" w:rsidRPr="002029AF" w:rsidRDefault="007E11ED" w:rsidP="007E11ED">
      <w:pPr>
        <w:pStyle w:val="Heading2"/>
        <w:spacing w:before="0" w:after="240"/>
      </w:pPr>
      <w:bookmarkStart w:id="7" w:name="_Toc85120943"/>
      <w:bookmarkStart w:id="8" w:name="_Toc85121593"/>
      <w:bookmarkStart w:id="9" w:name="_Toc102734470"/>
      <w:bookmarkStart w:id="10" w:name="_Toc113702905"/>
      <w:r>
        <w:t>Sec</w:t>
      </w:r>
      <w:r w:rsidRPr="002029AF">
        <w:t>retary</w:t>
      </w:r>
      <w:r>
        <w:t>’</w:t>
      </w:r>
      <w:r w:rsidRPr="002029AF">
        <w:t>s foreword</w:t>
      </w:r>
      <w:bookmarkEnd w:id="7"/>
      <w:bookmarkEnd w:id="8"/>
      <w:bookmarkEnd w:id="9"/>
      <w:bookmarkEnd w:id="10"/>
    </w:p>
    <w:p w14:paraId="1F20B9F8" w14:textId="77777777" w:rsidR="007E11ED" w:rsidRDefault="007E11ED" w:rsidP="007E11ED">
      <w:pPr>
        <w:pStyle w:val="ARbody"/>
      </w:pPr>
      <w:r>
        <w:rPr>
          <w:noProof/>
          <w:lang w:eastAsia="en-AU" w:bidi="as-IN"/>
        </w:rPr>
        <w:drawing>
          <wp:inline distT="0" distB="0" distL="0" distR="0" wp14:anchorId="55386995" wp14:editId="6B0D4E1E">
            <wp:extent cx="1400175" cy="1400175"/>
            <wp:effectExtent l="0" t="0" r="9525" b="9525"/>
            <wp:docPr id="11" name="Picture 11" descr="Photo of Professor Euan Wallace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of Professor Euan Wallace AM"/>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400175" cy="1400175"/>
                    </a:xfrm>
                    <a:prstGeom prst="rect">
                      <a:avLst/>
                    </a:prstGeom>
                    <a:noFill/>
                    <a:ln>
                      <a:noFill/>
                    </a:ln>
                  </pic:spPr>
                </pic:pic>
              </a:graphicData>
            </a:graphic>
          </wp:inline>
        </w:drawing>
      </w:r>
    </w:p>
    <w:p w14:paraId="74425F2B" w14:textId="77777777" w:rsidR="004D4D20" w:rsidRDefault="00A56594" w:rsidP="00A56594">
      <w:pPr>
        <w:pStyle w:val="ARbody"/>
      </w:pPr>
      <w:r>
        <w:t>After yet another year in which the big story was the</w:t>
      </w:r>
      <w:r w:rsidR="0053582E">
        <w:t> </w:t>
      </w:r>
      <w:r>
        <w:t>continuing COVID-19 pandemic, it can be difficult to remember the positive outcomes and what the department achieved to protect and promote the health of our community.</w:t>
      </w:r>
    </w:p>
    <w:p w14:paraId="1AF0CB20" w14:textId="78FF468C" w:rsidR="00A56594" w:rsidRDefault="00A56594" w:rsidP="00A56594">
      <w:pPr>
        <w:pStyle w:val="ARbody"/>
      </w:pPr>
      <w:r>
        <w:t>So, let me highlight just a few of those achievements.</w:t>
      </w:r>
    </w:p>
    <w:p w14:paraId="22AD5C4D" w14:textId="3A6DAE7B" w:rsidR="00A56594" w:rsidRDefault="00A56594" w:rsidP="00A56594">
      <w:pPr>
        <w:pStyle w:val="ARbody"/>
      </w:pPr>
      <w:r>
        <w:t>In the race to protect Victorians from COVID-19 we</w:t>
      </w:r>
      <w:r w:rsidR="0053582E">
        <w:t> </w:t>
      </w:r>
      <w:r>
        <w:t xml:space="preserve">delivered six million vaccines, an extraordinary number. The community proved its commitment to personal responsibility and protective behaviours, with over 100 million free </w:t>
      </w:r>
      <w:r w:rsidR="00D33A9E">
        <w:t>r</w:t>
      </w:r>
      <w:r>
        <w:t xml:space="preserve">apid </w:t>
      </w:r>
      <w:r w:rsidR="00D33A9E">
        <w:t>a</w:t>
      </w:r>
      <w:r>
        <w:t xml:space="preserve">ntigen </w:t>
      </w:r>
      <w:r w:rsidR="00D33A9E">
        <w:t>t</w:t>
      </w:r>
      <w:r>
        <w:t>ests taken home. And our COVID-19 Positive Pathways program, a collaboration between primary care, community health providers, health services and the department, assessed, triaged and supported two million Victorians – again, an extraordinary number.</w:t>
      </w:r>
    </w:p>
    <w:p w14:paraId="6FBAA8FF" w14:textId="35BC1FBE" w:rsidR="00A56594" w:rsidRDefault="00A56594" w:rsidP="00A56594">
      <w:pPr>
        <w:pStyle w:val="ARbody"/>
      </w:pPr>
      <w:r>
        <w:t xml:space="preserve">Underpinning all of this was, of course, the tireless work of the people who </w:t>
      </w:r>
      <w:r w:rsidR="009E5F6D">
        <w:t xml:space="preserve">make up </w:t>
      </w:r>
      <w:r>
        <w:t>our healthcare system. In the face of record demand for services, Victorian health workers have turned up day after day to deliver world-class care to those who need it. What has been achieved in the healthcare system over this last year across Victoria would not have been possible without them.</w:t>
      </w:r>
    </w:p>
    <w:p w14:paraId="66F23339" w14:textId="77777777" w:rsidR="00A56594" w:rsidRPr="00A56594" w:rsidRDefault="00A56594" w:rsidP="00A56594">
      <w:pPr>
        <w:pStyle w:val="Heading3smaller"/>
        <w:rPr>
          <w:lang w:val="en-AU"/>
        </w:rPr>
      </w:pPr>
      <w:r w:rsidRPr="00A56594">
        <w:rPr>
          <w:lang w:val="en-AU"/>
        </w:rPr>
        <w:t>A community safe from COVID-19 and other health hazards, now and for the future</w:t>
      </w:r>
    </w:p>
    <w:p w14:paraId="74A403D2" w14:textId="77777777" w:rsidR="00A56594" w:rsidRDefault="00A56594" w:rsidP="00A56594">
      <w:pPr>
        <w:pStyle w:val="ARbody"/>
      </w:pPr>
      <w:r>
        <w:t>We all want to feel supported to stay healthy and safe, both physically and mentally, so that our children thrive and learn better, our workplaces are more productive, and our communities are more connected and liveable.</w:t>
      </w:r>
    </w:p>
    <w:p w14:paraId="533381A1" w14:textId="77777777" w:rsidR="00A56594" w:rsidRDefault="00A56594" w:rsidP="00A56594">
      <w:pPr>
        <w:pStyle w:val="ARbody"/>
      </w:pPr>
      <w:r>
        <w:t>We’ve seen how wearing a mask, practising good hygiene and getting vaccinated have been the keys to helping Victorians keep safe from COVID-19.</w:t>
      </w:r>
    </w:p>
    <w:p w14:paraId="7A00DE84" w14:textId="150954AC" w:rsidR="00A56594" w:rsidRDefault="00A56594" w:rsidP="00A56594">
      <w:pPr>
        <w:pStyle w:val="ARbody"/>
      </w:pPr>
      <w:r>
        <w:t xml:space="preserve">And because prevention is better than cure, the department this year delivered more than one million free flu vaccinations to Victorians. This helped Victorians protect themselves and their loved ones, with the added bonus that it eased the pressure on our hospital and health system with fewer admissions for the flu over winter. The department also worked on vaccine rollouts for Japanese encephalitis and monkeypox, purchasing the vaccines and then providing them to those most at risk. Our local public health units, only established in 2020 in response to the pandemic, have already proved their worth well beyond tackling COVID-19, in their efforts at managing the spread of these </w:t>
      </w:r>
      <w:r w:rsidRPr="007478F1">
        <w:t>two communicable diseases</w:t>
      </w:r>
      <w:r w:rsidR="007478F1" w:rsidRPr="008020C9">
        <w:t xml:space="preserve"> which are</w:t>
      </w:r>
      <w:r w:rsidRPr="007478F1">
        <w:t xml:space="preserve"> new to Victoria.</w:t>
      </w:r>
    </w:p>
    <w:p w14:paraId="0E6576C7" w14:textId="6D7D82ED" w:rsidR="00A56594" w:rsidRDefault="00A56594" w:rsidP="00A56594">
      <w:pPr>
        <w:pStyle w:val="ARbody"/>
      </w:pPr>
      <w:r>
        <w:t xml:space="preserve">The introduction of GP respiratory clinics has also been significant in providing the right care at the right time, and in reducing the burden on our emergency departments. These clinics delivered over 47,000 GP-led respiratory assessments from December 2021 to June 2022. Patient feedback indicated that there were at least 5,000 fewer visits to emergency departments because </w:t>
      </w:r>
      <w:r w:rsidR="00291262">
        <w:t xml:space="preserve">people </w:t>
      </w:r>
      <w:r>
        <w:t>attended these clinics instead. This is another example of better patient experiences, better patient outcomes, and less crowded hospital emergency departments.</w:t>
      </w:r>
    </w:p>
    <w:p w14:paraId="658A577A" w14:textId="77777777" w:rsidR="00A56594" w:rsidRPr="00A56594" w:rsidRDefault="00A56594" w:rsidP="00A56594">
      <w:pPr>
        <w:pStyle w:val="Heading3smaller"/>
        <w:rPr>
          <w:lang w:val="en-AU"/>
        </w:rPr>
      </w:pPr>
      <w:r w:rsidRPr="00A56594">
        <w:rPr>
          <w:lang w:val="en-AU"/>
        </w:rPr>
        <w:t>An effective, high-quality mental health system for the community</w:t>
      </w:r>
    </w:p>
    <w:p w14:paraId="7C2E20D0" w14:textId="77777777" w:rsidR="004D4D20" w:rsidRDefault="00A56594" w:rsidP="00A56594">
      <w:pPr>
        <w:pStyle w:val="ARbody"/>
      </w:pPr>
      <w:r>
        <w:t>The mental health and wellbeing of the community has never been more important than now. That’s why the department continues to listen, learn, and understand the needs of all Victorians, especially those with lived experience, as we strive to improve and deliver a better mental health system.</w:t>
      </w:r>
    </w:p>
    <w:p w14:paraId="5F047D7B" w14:textId="16344729" w:rsidR="00A56594" w:rsidRDefault="00A56594" w:rsidP="00A56594">
      <w:pPr>
        <w:pStyle w:val="ARbody"/>
      </w:pPr>
      <w:r>
        <w:t>In March, we marked the one-year anniversary of</w:t>
      </w:r>
      <w:r w:rsidR="0053582E">
        <w:t> </w:t>
      </w:r>
      <w:r>
        <w:t>the final report of the Royal Commission into Victoria’s Mental Health System. At this early stage</w:t>
      </w:r>
      <w:r w:rsidR="0053582E">
        <w:t> </w:t>
      </w:r>
      <w:r>
        <w:t xml:space="preserve">of the ten-year reform journey, the Victorian Government has already commenced work on more than 90 per cent of the Royal Commission’s </w:t>
      </w:r>
      <w:r>
        <w:lastRenderedPageBreak/>
        <w:t>recommendations with $1.3 billion set aside for the</w:t>
      </w:r>
      <w:r w:rsidR="0053582E">
        <w:t> </w:t>
      </w:r>
      <w:r>
        <w:t xml:space="preserve">reforms in the </w:t>
      </w:r>
      <w:r w:rsidR="004D4D20">
        <w:t>2022–23</w:t>
      </w:r>
      <w:r>
        <w:t xml:space="preserve"> State Budget.</w:t>
      </w:r>
    </w:p>
    <w:p w14:paraId="4A4EB532" w14:textId="77777777" w:rsidR="00A56594" w:rsidRDefault="00A56594" w:rsidP="00A56594">
      <w:pPr>
        <w:pStyle w:val="ARbody"/>
      </w:pPr>
      <w:r>
        <w:t>People with lived experience of mental illness or psychological distress, and their families, carers and supporters, have been central to the design and delivery of the new system. In the longer term their involvement in the reforms will help make sure that our new mental health and wellbeing services meet the needs of those to whom they matter most.</w:t>
      </w:r>
    </w:p>
    <w:p w14:paraId="488A0D04" w14:textId="59C98466" w:rsidR="00A56594" w:rsidRDefault="00A56594" w:rsidP="00A56594">
      <w:pPr>
        <w:pStyle w:val="ARbody"/>
      </w:pPr>
      <w:r>
        <w:t>The expected passage in parliament this year of</w:t>
      </w:r>
      <w:r w:rsidR="0053582E">
        <w:t> </w:t>
      </w:r>
      <w:r>
        <w:t>the</w:t>
      </w:r>
      <w:r w:rsidR="0053582E">
        <w:t> </w:t>
      </w:r>
      <w:r>
        <w:t>new Mental Health and Wellbeing Bill is another significant milestone in the reforms. The Bill</w:t>
      </w:r>
      <w:r w:rsidR="0053582E">
        <w:t> </w:t>
      </w:r>
      <w:r>
        <w:t>contains new rights-based principles that will guide service providers and decision makers to support the dignity and autonomy of people living with mental illness. It seeks to transform the mental health and wellbeing system so tomorrow’s mental health services are more responsive to the needs and preferences of Victorians.</w:t>
      </w:r>
    </w:p>
    <w:p w14:paraId="732221B9" w14:textId="06629025" w:rsidR="00A56594" w:rsidRDefault="00A56594" w:rsidP="00A56594">
      <w:pPr>
        <w:pStyle w:val="ARbody"/>
      </w:pPr>
      <w:r>
        <w:t>The first steps towards setting up a new ‘front door’ to Victoria’s mental health services were also taken, with the establishment of the new local mental health and wellbeing services for adults and seniors. The first six providers for the</w:t>
      </w:r>
      <w:r w:rsidR="00291262">
        <w:t>se</w:t>
      </w:r>
      <w:r>
        <w:t xml:space="preserve"> mental health and wellbeing ’locals’ have been selected to operate in different locations across Victoria. </w:t>
      </w:r>
      <w:r w:rsidRPr="005D46E0">
        <w:t>These services are local, easy to access and free –</w:t>
      </w:r>
      <w:r>
        <w:t xml:space="preserve"> so Victorians can get the treatment, care and support they need in their community, close to home.</w:t>
      </w:r>
    </w:p>
    <w:p w14:paraId="7F74BD26" w14:textId="77777777" w:rsidR="00A56594" w:rsidRPr="00A56594" w:rsidRDefault="00A56594" w:rsidP="00A56594">
      <w:pPr>
        <w:pStyle w:val="Heading3smaller"/>
        <w:rPr>
          <w:lang w:val="en-AU"/>
        </w:rPr>
      </w:pPr>
      <w:r w:rsidRPr="00A56594">
        <w:rPr>
          <w:lang w:val="en-AU"/>
        </w:rPr>
        <w:t>Access to high-quality care at the right place and the right time</w:t>
      </w:r>
    </w:p>
    <w:p w14:paraId="3C896041" w14:textId="77777777" w:rsidR="00A56594" w:rsidRDefault="00A56594" w:rsidP="00A56594">
      <w:pPr>
        <w:pStyle w:val="ARbody"/>
      </w:pPr>
      <w:r>
        <w:t>Every Victorian deserves access to the best health care, no matter where they live. From Melbourne to Macedon, Armadale to Ararat and everywhere in between, the department is working to ensure everybody has care closer to home.</w:t>
      </w:r>
    </w:p>
    <w:p w14:paraId="7D3E646B" w14:textId="77777777" w:rsidR="00A56594" w:rsidRDefault="00A56594" w:rsidP="00A56594">
      <w:pPr>
        <w:pStyle w:val="ARbody"/>
      </w:pPr>
      <w:r>
        <w:t>Earlier this year, the Victorian Government committed an additional $698 million to the Better at Home program. This will help give Victorians access to more convenient care, centred on their needs, within their homes.</w:t>
      </w:r>
    </w:p>
    <w:p w14:paraId="5D9F4FA9" w14:textId="77777777" w:rsidR="00A56594" w:rsidRDefault="00A56594" w:rsidP="00A56594">
      <w:pPr>
        <w:pStyle w:val="ARbody"/>
      </w:pPr>
      <w:r>
        <w:t xml:space="preserve">Not all care can be delivered at home, of course. That’s why the department is also committed to building the new facilities required to deliver world-class care close to home. Over the past year, construction has started on 33 health, mental health, and aged care projects. Twelve new and refurbished mental health facilities opened their doors across the state, including critical regional rehabilitation facilities and the $11 million North </w:t>
      </w:r>
      <w:r>
        <w:t>West Metropolitan Youth Prevention and Recovery Care centre in Parkville. Significant progress is also being made to upgrade public sector residential aged care facilities across Victoria, with the new $81 million Wantirna facility due for completion in the coming months, while new centres are being planned for both Melbourne and regional areas.</w:t>
      </w:r>
    </w:p>
    <w:p w14:paraId="73753225" w14:textId="34F7993E" w:rsidR="004D4D20" w:rsidRPr="002E0E1D" w:rsidRDefault="00A56594" w:rsidP="00A56594">
      <w:pPr>
        <w:pStyle w:val="ARbody"/>
      </w:pPr>
      <w:r>
        <w:t xml:space="preserve">To ensure Victorians get the care they need at the right time, a record 650 paramedics were recruited and 23 new ambulances delivered in </w:t>
      </w:r>
      <w:r w:rsidR="004D4D20">
        <w:t>2021–22</w:t>
      </w:r>
      <w:r>
        <w:t>. An</w:t>
      </w:r>
      <w:r w:rsidR="0053582E">
        <w:t> </w:t>
      </w:r>
      <w:r>
        <w:t xml:space="preserve">additional 27 referral service triage practitioners were also deployed. This is a group of nurses and paramedics who better connect Triple Zero callers who do not require an emergency response with more appropriate and timely care. These initiatives have helped </w:t>
      </w:r>
      <w:r w:rsidRPr="003854A5">
        <w:t xml:space="preserve">Ambulance Victoria expand its services to areas with high need, including in regional and rural </w:t>
      </w:r>
      <w:r w:rsidRPr="002E0E1D">
        <w:t>Victoria.</w:t>
      </w:r>
    </w:p>
    <w:p w14:paraId="7954B35C" w14:textId="1D6DF083" w:rsidR="00D14784" w:rsidRPr="003854A5" w:rsidRDefault="00D14784" w:rsidP="00A56594">
      <w:pPr>
        <w:pStyle w:val="ARbody"/>
      </w:pPr>
      <w:r w:rsidRPr="002E0E1D">
        <w:t>Victorians have also benefited from the introduction of first aid legislation</w:t>
      </w:r>
      <w:r w:rsidR="00B067CB" w:rsidRPr="002E0E1D">
        <w:t>,</w:t>
      </w:r>
      <w:r w:rsidRPr="002E0E1D">
        <w:t xml:space="preserve"> the first of its kind in Australia</w:t>
      </w:r>
      <w:r w:rsidR="002E0E1D" w:rsidRPr="002E0E1D">
        <w:t xml:space="preserve">, which </w:t>
      </w:r>
      <w:r w:rsidRPr="002E0E1D">
        <w:t>ensure</w:t>
      </w:r>
      <w:r w:rsidR="002E0E1D" w:rsidRPr="002E0E1D">
        <w:t>s</w:t>
      </w:r>
      <w:r w:rsidRPr="002E0E1D">
        <w:t xml:space="preserve"> a high standard of first aid care at public events and mass gatherings.</w:t>
      </w:r>
    </w:p>
    <w:p w14:paraId="349C9D5D" w14:textId="10ADB7E9" w:rsidR="00A56594" w:rsidRPr="00A56594" w:rsidRDefault="00A56594" w:rsidP="00A56594">
      <w:pPr>
        <w:pStyle w:val="Heading3smaller"/>
        <w:rPr>
          <w:lang w:val="en-AU"/>
        </w:rPr>
      </w:pPr>
      <w:r w:rsidRPr="003854A5">
        <w:rPr>
          <w:lang w:val="en-AU"/>
        </w:rPr>
        <w:t>A supported health workforce delivering the best health outcomes</w:t>
      </w:r>
      <w:r w:rsidRPr="00A56594">
        <w:rPr>
          <w:lang w:val="en-AU"/>
        </w:rPr>
        <w:t xml:space="preserve"> for the community</w:t>
      </w:r>
    </w:p>
    <w:p w14:paraId="774DD0AC" w14:textId="787B892B" w:rsidR="00A56594" w:rsidRDefault="00A56594" w:rsidP="00A56594">
      <w:pPr>
        <w:pStyle w:val="ARbody"/>
      </w:pPr>
      <w:r>
        <w:t>The bricks and mortar and high-tech equipment of</w:t>
      </w:r>
      <w:r w:rsidR="0053582E">
        <w:t> </w:t>
      </w:r>
      <w:r>
        <w:t>our healthcare system are nothing without the skilled workforce that provides our care.</w:t>
      </w:r>
    </w:p>
    <w:p w14:paraId="7F4B5928" w14:textId="45331273" w:rsidR="00A56594" w:rsidRDefault="00A56594" w:rsidP="00A56594">
      <w:pPr>
        <w:pStyle w:val="ARbody"/>
      </w:pPr>
      <w:r>
        <w:t xml:space="preserve">The department worked hard to build the Victorian health workforce in </w:t>
      </w:r>
      <w:r w:rsidR="004D4D20">
        <w:t>2021–22</w:t>
      </w:r>
      <w:r>
        <w:t>, despite the impact of the pandemic on staff wellbeing and availability.</w:t>
      </w:r>
    </w:p>
    <w:p w14:paraId="08A84B58" w14:textId="4917D0BF" w:rsidR="00A56594" w:rsidRDefault="00A56594" w:rsidP="00A56594">
      <w:pPr>
        <w:pStyle w:val="ARbody"/>
      </w:pPr>
      <w:r>
        <w:t>We launched the Be Well.</w:t>
      </w:r>
      <w:r w:rsidR="00494881">
        <w:t xml:space="preserve"> </w:t>
      </w:r>
      <w:r>
        <w:t>Be Safe worker wellbeing program, which provides place-based wellbeing support for health services staff and their families. We also supported more than 440 international healthcare workers to join Victorian public health services and funded more than 1,000 new postgraduate nursing and midwifery places, helping to ensure the future of our highly skilled workforce.</w:t>
      </w:r>
    </w:p>
    <w:p w14:paraId="3B5F3387" w14:textId="0E407E23" w:rsidR="00A56594" w:rsidRDefault="00A56594" w:rsidP="00A56594">
      <w:pPr>
        <w:pStyle w:val="ARbody"/>
      </w:pPr>
      <w:r>
        <w:t>As a department we continue to walk alongside Aboriginal community controlled health organisations and our Aboriginal colleagues. We</w:t>
      </w:r>
      <w:r w:rsidR="0053582E">
        <w:t> </w:t>
      </w:r>
      <w:r>
        <w:t>are committed to self-determination and understand that Aboriginal ways of knowing, being and doing must be at the heart of health service planning, design and delivery.</w:t>
      </w:r>
    </w:p>
    <w:p w14:paraId="295050B2" w14:textId="7D79FD69" w:rsidR="004D4D20" w:rsidRDefault="00B36C5C" w:rsidP="00A56594">
      <w:pPr>
        <w:pStyle w:val="ARbody"/>
      </w:pPr>
      <w:r>
        <w:br w:type="column"/>
      </w:r>
      <w:r w:rsidR="00A56594">
        <w:lastRenderedPageBreak/>
        <w:t>This year, several Aboriginal community controlled health organisations implemented local initiatives to</w:t>
      </w:r>
      <w:r w:rsidR="0053582E">
        <w:t> </w:t>
      </w:r>
      <w:r w:rsidR="00A56594">
        <w:t>strengthen partnerships with mainstream health services and increase cultural safety. These important initiatives are helping to break down service barriers, build trust with communities and</w:t>
      </w:r>
      <w:r w:rsidR="0053582E">
        <w:t> </w:t>
      </w:r>
      <w:r w:rsidR="00A56594">
        <w:t>embed Aboriginal knowledge and holistic approaches to healthcare in the broader health system.</w:t>
      </w:r>
    </w:p>
    <w:p w14:paraId="4145271F" w14:textId="77777777" w:rsidR="004D4D20" w:rsidRDefault="00A56594" w:rsidP="00A56594">
      <w:pPr>
        <w:pStyle w:val="ARbody"/>
      </w:pPr>
      <w:r>
        <w:t>This work will take time, but we are committed to</w:t>
      </w:r>
      <w:r w:rsidR="0053582E">
        <w:t> </w:t>
      </w:r>
      <w:r>
        <w:t>ensuring a thriving, supported health workforce for Victoria.</w:t>
      </w:r>
    </w:p>
    <w:p w14:paraId="7DDF660E" w14:textId="09349502" w:rsidR="00A56594" w:rsidRPr="00A56594" w:rsidRDefault="00A56594" w:rsidP="00A56594">
      <w:pPr>
        <w:pStyle w:val="Heading3smaller"/>
        <w:rPr>
          <w:lang w:val="en-AU"/>
        </w:rPr>
      </w:pPr>
      <w:r w:rsidRPr="00A56594">
        <w:rPr>
          <w:lang w:val="en-AU"/>
        </w:rPr>
        <w:t>Sustainable investments that deliver the greatest impact on the community’s health</w:t>
      </w:r>
    </w:p>
    <w:p w14:paraId="7025B010" w14:textId="7735419B" w:rsidR="004D4D20" w:rsidRDefault="00A56594" w:rsidP="00A56594">
      <w:pPr>
        <w:pStyle w:val="ARbody"/>
      </w:pPr>
      <w:r>
        <w:t>Victorians want a health system they can count on.</w:t>
      </w:r>
      <w:r w:rsidR="0002459C">
        <w:t> </w:t>
      </w:r>
      <w:r>
        <w:t>So, the department is committed to ensuring its resources go to where Victorians need them most, and where success can be clearly demonstrated.</w:t>
      </w:r>
    </w:p>
    <w:p w14:paraId="084A274A" w14:textId="619C38B3" w:rsidR="00A56594" w:rsidRDefault="00A56594" w:rsidP="00A56594">
      <w:pPr>
        <w:pStyle w:val="ARbody"/>
      </w:pPr>
      <w:r>
        <w:t xml:space="preserve">In </w:t>
      </w:r>
      <w:r w:rsidR="004D4D20">
        <w:t>2021–22</w:t>
      </w:r>
      <w:r>
        <w:t xml:space="preserve"> we continued the reform of our purchasing and supply systems through HealthShare Victoria, a logistics and procurement service. The pandemic has shown us all that a secure supply of health products is central to the state’s public health efforts. The benefits from HealthShare’s work across the sector are already apparent, making the health dollar go further.</w:t>
      </w:r>
    </w:p>
    <w:p w14:paraId="1FD2088B" w14:textId="21A5F634" w:rsidR="00A56594" w:rsidRDefault="00A56594" w:rsidP="00A56594">
      <w:pPr>
        <w:pStyle w:val="ARbody"/>
      </w:pPr>
      <w:r>
        <w:t xml:space="preserve">With the number of Victorians aged 65 and above set to triple by 2058, sustainable investment in public aged care is also important. In </w:t>
      </w:r>
      <w:r w:rsidR="004D4D20">
        <w:t>2021–22</w:t>
      </w:r>
      <w:r>
        <w:t xml:space="preserve"> we invested $28 million in supporting public residential aged care services to provide safe, high-quality care to older Victorians. In practice, this investment means better nurse-to-resident ratios in high-care services, and supplementary care for high-risk residents.</w:t>
      </w:r>
    </w:p>
    <w:p w14:paraId="7B311B3C" w14:textId="77CC270E" w:rsidR="005725C8" w:rsidRPr="002E0E1D" w:rsidRDefault="007E174B" w:rsidP="005725C8">
      <w:pPr>
        <w:pStyle w:val="ARbody"/>
      </w:pPr>
      <w:r>
        <w:br w:type="column"/>
      </w:r>
      <w:r w:rsidR="005725C8" w:rsidRPr="002E0E1D">
        <w:t>The department has many partners across the state</w:t>
      </w:r>
      <w:r w:rsidR="0077067A">
        <w:t> </w:t>
      </w:r>
      <w:r w:rsidR="005725C8" w:rsidRPr="002E0E1D">
        <w:t>who work with us to deliver a more connected health system, and we extend our gratitude to them all. We also have the privilege of working in</w:t>
      </w:r>
      <w:r w:rsidR="00077B87">
        <w:t xml:space="preserve"> – </w:t>
      </w:r>
      <w:r w:rsidR="005725C8" w:rsidRPr="002E0E1D">
        <w:t>and with</w:t>
      </w:r>
      <w:r w:rsidR="00077B87">
        <w:t xml:space="preserve"> – </w:t>
      </w:r>
      <w:r w:rsidR="005725C8" w:rsidRPr="002E0E1D">
        <w:t>a community that is responsive, responsible and resilient under pressure. Thank you, Victoria.</w:t>
      </w:r>
    </w:p>
    <w:p w14:paraId="25EEBD57" w14:textId="6E0334ED" w:rsidR="005725C8" w:rsidRPr="002E0E1D" w:rsidRDefault="005725C8" w:rsidP="005725C8">
      <w:pPr>
        <w:pStyle w:val="ARbody"/>
      </w:pPr>
      <w:r w:rsidRPr="002E0E1D">
        <w:t>There is no doubt that together we have achieved</w:t>
      </w:r>
      <w:r w:rsidR="0077067A">
        <w:t> </w:t>
      </w:r>
      <w:r w:rsidRPr="002E0E1D">
        <w:t>great things. But in a year in which the</w:t>
      </w:r>
      <w:r w:rsidR="0077067A">
        <w:t> </w:t>
      </w:r>
      <w:r w:rsidRPr="002E0E1D">
        <w:t>Delta and Omicron variants placed enormous strain on an already fatigued health workforce, it</w:t>
      </w:r>
      <w:r w:rsidR="0077067A">
        <w:t> </w:t>
      </w:r>
      <w:r w:rsidRPr="002E0E1D">
        <w:t>must be acknowledged that it has been tough for</w:t>
      </w:r>
      <w:r w:rsidR="0077067A">
        <w:t> </w:t>
      </w:r>
      <w:r w:rsidRPr="002E0E1D">
        <w:t>the thousands of health workers across the state. We</w:t>
      </w:r>
      <w:r w:rsidR="0002459C">
        <w:t xml:space="preserve"> </w:t>
      </w:r>
      <w:r w:rsidRPr="002E0E1D">
        <w:t>know how important it is to double down</w:t>
      </w:r>
      <w:r w:rsidR="0077067A">
        <w:t> </w:t>
      </w:r>
      <w:r w:rsidRPr="002E0E1D">
        <w:t>on</w:t>
      </w:r>
      <w:r w:rsidR="0002459C">
        <w:t xml:space="preserve"> </w:t>
      </w:r>
      <w:r w:rsidRPr="002E0E1D">
        <w:t>our</w:t>
      </w:r>
      <w:r w:rsidR="0002459C">
        <w:t xml:space="preserve"> </w:t>
      </w:r>
      <w:r w:rsidRPr="002E0E1D">
        <w:t>efforts to strengthen and support the</w:t>
      </w:r>
      <w:r w:rsidR="0077067A">
        <w:t> </w:t>
      </w:r>
      <w:r w:rsidRPr="002E0E1D">
        <w:t>remarkable Victorians who have continued to</w:t>
      </w:r>
      <w:r w:rsidR="0077067A">
        <w:t> </w:t>
      </w:r>
      <w:r w:rsidRPr="002E0E1D">
        <w:t>deliver the care our community need</w:t>
      </w:r>
      <w:r w:rsidR="00B81139">
        <w:t>s</w:t>
      </w:r>
      <w:r w:rsidRPr="002E0E1D">
        <w:t>.</w:t>
      </w:r>
    </w:p>
    <w:p w14:paraId="053EB866" w14:textId="57A0CE88" w:rsidR="005725C8" w:rsidRDefault="005725C8" w:rsidP="005725C8">
      <w:pPr>
        <w:pStyle w:val="ARbody"/>
      </w:pPr>
      <w:r w:rsidRPr="002E0E1D">
        <w:t>In closing out the year, I feel privileged to lead a</w:t>
      </w:r>
      <w:r w:rsidR="0077067A">
        <w:t> </w:t>
      </w:r>
      <w:r w:rsidRPr="002E0E1D">
        <w:t>passionate and values-driven team who are dedicated to working with consumers, clinicians, our partners and the community to deliver our vision for Victorians to be the healthiest people in</w:t>
      </w:r>
      <w:r w:rsidR="0077067A">
        <w:t> </w:t>
      </w:r>
      <w:r w:rsidRPr="002E0E1D">
        <w:t>the world.</w:t>
      </w:r>
    </w:p>
    <w:p w14:paraId="4BC7E3F7" w14:textId="1814AD95" w:rsidR="007E11ED" w:rsidRPr="00770F62" w:rsidRDefault="007E11ED" w:rsidP="0084734B">
      <w:pPr>
        <w:pStyle w:val="Heading2declaration"/>
      </w:pPr>
      <w:bookmarkStart w:id="11" w:name="_Toc85120944"/>
      <w:bookmarkStart w:id="12" w:name="ResponsibleBodyDeclaration"/>
      <w:r>
        <w:t>Responsible body’s declaration</w:t>
      </w:r>
      <w:bookmarkEnd w:id="11"/>
    </w:p>
    <w:p w14:paraId="4E81564B" w14:textId="36A7C29E" w:rsidR="007E11ED" w:rsidRDefault="007E11ED" w:rsidP="007E11ED">
      <w:pPr>
        <w:pStyle w:val="ARbody"/>
      </w:pPr>
      <w:r>
        <w:t xml:space="preserve">In accordance with the </w:t>
      </w:r>
      <w:r w:rsidRPr="3AAB85EE">
        <w:rPr>
          <w:i/>
          <w:iCs/>
        </w:rPr>
        <w:t>Financial Management Act</w:t>
      </w:r>
      <w:r w:rsidR="0053582E">
        <w:rPr>
          <w:i/>
          <w:iCs/>
        </w:rPr>
        <w:t> </w:t>
      </w:r>
      <w:r w:rsidRPr="3AAB85EE">
        <w:rPr>
          <w:i/>
          <w:iCs/>
        </w:rPr>
        <w:t>1994</w:t>
      </w:r>
      <w:r>
        <w:t>, I am pleased to present the Department of Health annual report for the year ending 30 June 2022.</w:t>
      </w:r>
    </w:p>
    <w:p w14:paraId="52D86ABD" w14:textId="203B51A2" w:rsidR="007E11ED" w:rsidRDefault="002432FC" w:rsidP="007E11ED">
      <w:pPr>
        <w:pStyle w:val="ARbody"/>
      </w:pPr>
      <w:r>
        <w:rPr>
          <w:noProof/>
        </w:rPr>
        <w:drawing>
          <wp:inline distT="0" distB="0" distL="0" distR="0" wp14:anchorId="1EB775DE" wp14:editId="36766783">
            <wp:extent cx="2125472" cy="772160"/>
            <wp:effectExtent l="0" t="0" r="8255" b="8890"/>
            <wp:docPr id="14" name="Picture 14" descr="Professor Euan Wallace AM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rofessor Euan Wallace AM signa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5472" cy="772160"/>
                    </a:xfrm>
                    <a:prstGeom prst="rect">
                      <a:avLst/>
                    </a:prstGeom>
                  </pic:spPr>
                </pic:pic>
              </a:graphicData>
            </a:graphic>
          </wp:inline>
        </w:drawing>
      </w:r>
    </w:p>
    <w:p w14:paraId="5383B94A" w14:textId="77777777" w:rsidR="007E11ED" w:rsidRDefault="007E11ED" w:rsidP="007E11ED">
      <w:pPr>
        <w:pStyle w:val="ARbody"/>
      </w:pPr>
      <w:r w:rsidRPr="00F13A4C">
        <w:t xml:space="preserve">Professor Euan </w:t>
      </w:r>
      <w:r>
        <w:t xml:space="preserve">M </w:t>
      </w:r>
      <w:r w:rsidRPr="00F13A4C">
        <w:t>Wallace AM</w:t>
      </w:r>
      <w:r>
        <w:br/>
      </w:r>
      <w:r w:rsidRPr="00F13A4C">
        <w:t>Secretary</w:t>
      </w:r>
      <w:r>
        <w:br/>
      </w:r>
      <w:r w:rsidRPr="00F13A4C">
        <w:t>Department of Health</w:t>
      </w:r>
      <w:bookmarkEnd w:id="12"/>
    </w:p>
    <w:p w14:paraId="7F68238C" w14:textId="77777777" w:rsidR="007E11ED" w:rsidRDefault="007E11ED" w:rsidP="001A559C">
      <w:pPr>
        <w:pStyle w:val="ARbody"/>
        <w:rPr>
          <w:highlight w:val="yellow"/>
        </w:rPr>
      </w:pPr>
    </w:p>
    <w:p w14:paraId="59289FA1" w14:textId="77777777" w:rsidR="007E11ED" w:rsidRDefault="007E11ED" w:rsidP="007E11ED">
      <w:pPr>
        <w:pStyle w:val="Heading2"/>
        <w:spacing w:before="0" w:after="120"/>
        <w:sectPr w:rsidR="007E11ED" w:rsidSect="00317057">
          <w:headerReference w:type="even" r:id="rId20"/>
          <w:footerReference w:type="even" r:id="rId21"/>
          <w:footerReference w:type="default" r:id="rId22"/>
          <w:headerReference w:type="first" r:id="rId23"/>
          <w:footerReference w:type="first" r:id="rId24"/>
          <w:footnotePr>
            <w:numFmt w:val="lowerLetter"/>
            <w:numRestart w:val="eachPage"/>
          </w:footnotePr>
          <w:endnotePr>
            <w:numFmt w:val="decimal"/>
          </w:endnotePr>
          <w:type w:val="continuous"/>
          <w:pgSz w:w="11906" w:h="16838" w:code="9"/>
          <w:pgMar w:top="1985" w:right="1134" w:bottom="851" w:left="1134" w:header="510" w:footer="340" w:gutter="0"/>
          <w:cols w:num="2" w:space="454"/>
          <w:docGrid w:linePitch="360"/>
          <w15:footnoteColumns w:val="1"/>
        </w:sectPr>
      </w:pPr>
    </w:p>
    <w:p w14:paraId="0680C161" w14:textId="3244FF33" w:rsidR="007E11ED" w:rsidRDefault="007E11ED" w:rsidP="007E11ED">
      <w:pPr>
        <w:pStyle w:val="Heading2"/>
        <w:spacing w:before="0" w:after="120"/>
      </w:pPr>
      <w:bookmarkStart w:id="13" w:name="_Vision,_mission_and"/>
      <w:bookmarkStart w:id="14" w:name="_Toc85120945"/>
      <w:bookmarkStart w:id="15" w:name="_Toc85121594"/>
      <w:bookmarkStart w:id="16" w:name="_Toc102734471"/>
      <w:bookmarkStart w:id="17" w:name="_Toc113702906"/>
      <w:bookmarkEnd w:id="13"/>
      <w:r>
        <w:lastRenderedPageBreak/>
        <w:t>V</w:t>
      </w:r>
      <w:r w:rsidRPr="002029AF">
        <w:t>ision</w:t>
      </w:r>
      <w:r>
        <w:t>, mission and values</w:t>
      </w:r>
      <w:bookmarkEnd w:id="14"/>
      <w:bookmarkEnd w:id="15"/>
      <w:bookmarkEnd w:id="16"/>
      <w:bookmarkEnd w:id="17"/>
    </w:p>
    <w:p w14:paraId="23B8DB74" w14:textId="77777777" w:rsidR="00BC0B75" w:rsidRDefault="00BC0B75" w:rsidP="00BC0B75">
      <w:pPr>
        <w:pStyle w:val="Heading3"/>
      </w:pPr>
      <w:r>
        <w:t>Vision</w:t>
      </w:r>
    </w:p>
    <w:p w14:paraId="05C7C2D1" w14:textId="77777777" w:rsidR="00BC0B75" w:rsidRDefault="00BC0B75" w:rsidP="00BC0B75">
      <w:pPr>
        <w:pStyle w:val="ARbody"/>
        <w:rPr>
          <w:lang w:eastAsia="en-AU"/>
        </w:rPr>
      </w:pPr>
      <w:r>
        <w:rPr>
          <w:lang w:eastAsia="en-AU"/>
        </w:rPr>
        <w:t>Victorians are the healthiest people in the world.</w:t>
      </w:r>
    </w:p>
    <w:p w14:paraId="5B897EF3" w14:textId="77777777" w:rsidR="00BC0B75" w:rsidRDefault="00BC0B75" w:rsidP="00BC0B75">
      <w:pPr>
        <w:pStyle w:val="Heading3"/>
      </w:pPr>
      <w:r>
        <w:t>Mission</w:t>
      </w:r>
    </w:p>
    <w:p w14:paraId="44D824DE" w14:textId="77777777" w:rsidR="00BC0B75" w:rsidRDefault="00BC0B75" w:rsidP="00BC0B75">
      <w:pPr>
        <w:pStyle w:val="ARbody"/>
      </w:pPr>
      <w:r>
        <w:t>To achieve the best health, wellbeing and safety of all Victorians so that they can live a life they value.</w:t>
      </w:r>
    </w:p>
    <w:p w14:paraId="330B2467" w14:textId="77777777" w:rsidR="00BC0B75" w:rsidRPr="002029AF" w:rsidRDefault="00BC0B75" w:rsidP="00BC0B75">
      <w:pPr>
        <w:pStyle w:val="ARbody"/>
      </w:pPr>
      <w:r>
        <w:t>The department contributes to the government’s commitment to a stronger, fairer, better Victoria by developing and delivering policies, programs and services that support, protect and enhance the health, wellbeing and safety of all Victorians.</w:t>
      </w:r>
    </w:p>
    <w:p w14:paraId="4D804F65" w14:textId="77777777" w:rsidR="00BC0B75" w:rsidRPr="002029AF" w:rsidRDefault="00BC0B75" w:rsidP="00BC0B75">
      <w:pPr>
        <w:pStyle w:val="Heading3"/>
      </w:pPr>
      <w:bookmarkStart w:id="18" w:name="_Ref112855384"/>
      <w:r>
        <w:t>V</w:t>
      </w:r>
      <w:r w:rsidRPr="002029AF">
        <w:t>alues</w:t>
      </w:r>
      <w:bookmarkEnd w:id="18"/>
    </w:p>
    <w:p w14:paraId="4E72B693" w14:textId="77777777" w:rsidR="00BC0B75" w:rsidRDefault="00BC0B75" w:rsidP="00BC0B75">
      <w:pPr>
        <w:pStyle w:val="ARbody"/>
      </w:pPr>
      <w:r>
        <w:t xml:space="preserve">The department adopts the seven core public sector values established under the </w:t>
      </w:r>
      <w:r w:rsidRPr="005552F5">
        <w:rPr>
          <w:i/>
          <w:iCs/>
        </w:rPr>
        <w:t>Public Administration Act 2004</w:t>
      </w:r>
      <w:r>
        <w:t xml:space="preserve">. These values define </w:t>
      </w:r>
      <w:r w:rsidRPr="0001050D">
        <w:t>what</w:t>
      </w:r>
      <w:r>
        <w:t> </w:t>
      </w:r>
      <w:r w:rsidRPr="0001050D">
        <w:t xml:space="preserve">is important to </w:t>
      </w:r>
      <w:r>
        <w:t>the department and</w:t>
      </w:r>
      <w:r w:rsidRPr="0001050D">
        <w:t xml:space="preserve"> </w:t>
      </w:r>
      <w:r>
        <w:t xml:space="preserve">how the department operates, as well as guide employees’ interactions with </w:t>
      </w:r>
      <w:r w:rsidRPr="0001050D">
        <w:t>government, community, suppliers and other employees.</w:t>
      </w:r>
    </w:p>
    <w:p w14:paraId="1BFF1442" w14:textId="47E63B95" w:rsidR="00BC0B75" w:rsidRPr="00BC0B75" w:rsidRDefault="00F7264A" w:rsidP="00BC0B75">
      <w:pPr>
        <w:pStyle w:val="ARbody"/>
      </w:pPr>
      <w:r>
        <w:rPr>
          <w:noProof/>
        </w:rPr>
        <w:drawing>
          <wp:anchor distT="0" distB="0" distL="114300" distR="114300" simplePos="0" relativeHeight="251658243" behindDoc="0" locked="0" layoutInCell="1" allowOverlap="1" wp14:anchorId="60B13E78" wp14:editId="37BA9979">
            <wp:simplePos x="0" y="0"/>
            <wp:positionH relativeFrom="column">
              <wp:posOffset>3235325</wp:posOffset>
            </wp:positionH>
            <wp:positionV relativeFrom="paragraph">
              <wp:posOffset>240030</wp:posOffset>
            </wp:positionV>
            <wp:extent cx="286560" cy="28656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6560" cy="286560"/>
                    </a:xfrm>
                    <a:prstGeom prst="rect">
                      <a:avLst/>
                    </a:prstGeom>
                  </pic:spPr>
                </pic:pic>
              </a:graphicData>
            </a:graphic>
            <wp14:sizeRelH relativeFrom="margin">
              <wp14:pctWidth>0</wp14:pctWidth>
            </wp14:sizeRelH>
            <wp14:sizeRelV relativeFrom="margin">
              <wp14:pctHeight>0</wp14:pctHeight>
            </wp14:sizeRelV>
          </wp:anchor>
        </w:drawing>
      </w:r>
    </w:p>
    <w:p w14:paraId="52AA9C39" w14:textId="77777777" w:rsidR="007E11ED" w:rsidRDefault="007E11ED" w:rsidP="007E11ED">
      <w:pPr>
        <w:pStyle w:val="Heading3"/>
        <w:sectPr w:rsidR="007E11ED" w:rsidSect="00317057">
          <w:footnotePr>
            <w:numFmt w:val="lowerLetter"/>
            <w:numRestart w:val="eachPage"/>
          </w:footnotePr>
          <w:endnotePr>
            <w:numFmt w:val="decimal"/>
          </w:endnotePr>
          <w:pgSz w:w="11900" w:h="16840" w:code="9"/>
          <w:pgMar w:top="1985" w:right="1134" w:bottom="851" w:left="1134" w:header="510" w:footer="340" w:gutter="0"/>
          <w:cols w:space="454"/>
          <w15:footnoteColumns w:val="1"/>
        </w:sectPr>
      </w:pPr>
    </w:p>
    <w:p w14:paraId="41461802" w14:textId="67A5C634" w:rsidR="007E11ED" w:rsidRPr="0072418A" w:rsidRDefault="00F7264A" w:rsidP="006557A8">
      <w:pPr>
        <w:pStyle w:val="Heading4"/>
        <w:spacing w:before="240"/>
        <w:ind w:left="794"/>
      </w:pPr>
      <w:r>
        <w:rPr>
          <w:noProof/>
        </w:rPr>
        <w:drawing>
          <wp:anchor distT="0" distB="0" distL="114300" distR="114300" simplePos="0" relativeHeight="251658240" behindDoc="0" locked="0" layoutInCell="1" allowOverlap="1" wp14:anchorId="5DB1B259" wp14:editId="199D044C">
            <wp:simplePos x="0" y="0"/>
            <wp:positionH relativeFrom="column">
              <wp:posOffset>0</wp:posOffset>
            </wp:positionH>
            <wp:positionV relativeFrom="paragraph">
              <wp:posOffset>0</wp:posOffset>
            </wp:positionV>
            <wp:extent cx="353160" cy="28764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3160" cy="287640"/>
                    </a:xfrm>
                    <a:prstGeom prst="rect">
                      <a:avLst/>
                    </a:prstGeom>
                  </pic:spPr>
                </pic:pic>
              </a:graphicData>
            </a:graphic>
            <wp14:sizeRelH relativeFrom="margin">
              <wp14:pctWidth>0</wp14:pctWidth>
            </wp14:sizeRelH>
            <wp14:sizeRelV relativeFrom="margin">
              <wp14:pctHeight>0</wp14:pctHeight>
            </wp14:sizeRelV>
          </wp:anchor>
        </w:drawing>
      </w:r>
      <w:r w:rsidR="007E11ED" w:rsidRPr="0072418A">
        <w:t>Responsiveness</w:t>
      </w:r>
    </w:p>
    <w:p w14:paraId="3913DD38" w14:textId="2D0F5EDB" w:rsidR="007E11ED" w:rsidRDefault="007E11ED" w:rsidP="007E11ED">
      <w:pPr>
        <w:pStyle w:val="ARbullet1"/>
      </w:pPr>
      <w:r>
        <w:t>providing frank, impartial and timely advice to the government</w:t>
      </w:r>
    </w:p>
    <w:p w14:paraId="4A1A74AD" w14:textId="46335884" w:rsidR="007E11ED" w:rsidRDefault="007E11ED" w:rsidP="007E11ED">
      <w:pPr>
        <w:pStyle w:val="ARbullet1"/>
      </w:pPr>
      <w:r>
        <w:t>providing high-quality services to the Victorian</w:t>
      </w:r>
      <w:r w:rsidR="0053582E">
        <w:t> </w:t>
      </w:r>
      <w:r>
        <w:t>community</w:t>
      </w:r>
    </w:p>
    <w:p w14:paraId="73FAE7B0" w14:textId="4C4D5220" w:rsidR="007E11ED" w:rsidRDefault="007E11ED" w:rsidP="007E11ED">
      <w:pPr>
        <w:pStyle w:val="ARbullet1"/>
      </w:pPr>
      <w:r>
        <w:t>identifying and promoting best practice</w:t>
      </w:r>
    </w:p>
    <w:p w14:paraId="7B9738C7" w14:textId="4D546905" w:rsidR="007E11ED" w:rsidRPr="0072418A" w:rsidRDefault="00F7264A" w:rsidP="00F7264A">
      <w:pPr>
        <w:pStyle w:val="Heading4"/>
        <w:spacing w:before="400"/>
        <w:ind w:left="794"/>
      </w:pPr>
      <w:r>
        <w:rPr>
          <w:noProof/>
        </w:rPr>
        <w:drawing>
          <wp:anchor distT="0" distB="0" distL="114300" distR="114300" simplePos="0" relativeHeight="251658241" behindDoc="0" locked="0" layoutInCell="1" allowOverlap="1" wp14:anchorId="6B8456F6" wp14:editId="5ED90E68">
            <wp:simplePos x="0" y="0"/>
            <wp:positionH relativeFrom="margin">
              <wp:align>left</wp:align>
            </wp:positionH>
            <wp:positionV relativeFrom="paragraph">
              <wp:posOffset>107950</wp:posOffset>
            </wp:positionV>
            <wp:extent cx="245880" cy="286560"/>
            <wp:effectExtent l="0" t="0" r="190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5880" cy="286560"/>
                    </a:xfrm>
                    <a:prstGeom prst="rect">
                      <a:avLst/>
                    </a:prstGeom>
                  </pic:spPr>
                </pic:pic>
              </a:graphicData>
            </a:graphic>
            <wp14:sizeRelH relativeFrom="margin">
              <wp14:pctWidth>0</wp14:pctWidth>
            </wp14:sizeRelH>
            <wp14:sizeRelV relativeFrom="margin">
              <wp14:pctHeight>0</wp14:pctHeight>
            </wp14:sizeRelV>
          </wp:anchor>
        </w:drawing>
      </w:r>
      <w:r w:rsidR="007E11ED" w:rsidRPr="0072418A">
        <w:t>Integrity</w:t>
      </w:r>
    </w:p>
    <w:p w14:paraId="736A3595" w14:textId="65FC8B45" w:rsidR="007E11ED" w:rsidRDefault="007E11ED" w:rsidP="007E11ED">
      <w:pPr>
        <w:pStyle w:val="ARbullet1"/>
      </w:pPr>
      <w:r>
        <w:t>being honest, open and transparent in dealings</w:t>
      </w:r>
    </w:p>
    <w:p w14:paraId="4C9688BE" w14:textId="77777777" w:rsidR="007E11ED" w:rsidRDefault="007E11ED" w:rsidP="007E11ED">
      <w:pPr>
        <w:pStyle w:val="ARbullet1"/>
      </w:pPr>
      <w:r>
        <w:t>using powers responsibly</w:t>
      </w:r>
    </w:p>
    <w:p w14:paraId="4608C55A" w14:textId="77777777" w:rsidR="007E11ED" w:rsidRDefault="007E11ED" w:rsidP="007E11ED">
      <w:pPr>
        <w:pStyle w:val="ARbullet1"/>
      </w:pPr>
      <w:r>
        <w:t>reporting improper conduct</w:t>
      </w:r>
    </w:p>
    <w:p w14:paraId="5987EFDA" w14:textId="77777777" w:rsidR="007E11ED" w:rsidRDefault="007E11ED" w:rsidP="007E11ED">
      <w:pPr>
        <w:pStyle w:val="ARbullet1"/>
      </w:pPr>
      <w:r>
        <w:t>avoiding any real or apparent conflicts of interest</w:t>
      </w:r>
    </w:p>
    <w:p w14:paraId="4F095616" w14:textId="77777777" w:rsidR="007E11ED" w:rsidRDefault="007E11ED" w:rsidP="007E11ED">
      <w:pPr>
        <w:pStyle w:val="ARbullet1"/>
      </w:pPr>
      <w:r>
        <w:t>striving to earn and sustain public trust of a high level</w:t>
      </w:r>
    </w:p>
    <w:p w14:paraId="3438664E" w14:textId="5272F60B" w:rsidR="007E11ED" w:rsidRDefault="00F7264A" w:rsidP="00F7264A">
      <w:pPr>
        <w:pStyle w:val="Heading4"/>
        <w:spacing w:before="400"/>
        <w:ind w:left="794"/>
      </w:pPr>
      <w:r>
        <w:rPr>
          <w:noProof/>
        </w:rPr>
        <w:drawing>
          <wp:anchor distT="0" distB="0" distL="114300" distR="114300" simplePos="0" relativeHeight="251658242" behindDoc="0" locked="0" layoutInCell="1" allowOverlap="1" wp14:anchorId="1F55D8E4" wp14:editId="23F73C82">
            <wp:simplePos x="0" y="0"/>
            <wp:positionH relativeFrom="column">
              <wp:posOffset>0</wp:posOffset>
            </wp:positionH>
            <wp:positionV relativeFrom="paragraph">
              <wp:posOffset>107950</wp:posOffset>
            </wp:positionV>
            <wp:extent cx="276120" cy="28692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120" cy="286920"/>
                    </a:xfrm>
                    <a:prstGeom prst="rect">
                      <a:avLst/>
                    </a:prstGeom>
                  </pic:spPr>
                </pic:pic>
              </a:graphicData>
            </a:graphic>
            <wp14:sizeRelH relativeFrom="margin">
              <wp14:pctWidth>0</wp14:pctWidth>
            </wp14:sizeRelH>
            <wp14:sizeRelV relativeFrom="margin">
              <wp14:pctHeight>0</wp14:pctHeight>
            </wp14:sizeRelV>
          </wp:anchor>
        </w:drawing>
      </w:r>
      <w:r w:rsidR="007E11ED">
        <w:t>Impartiality</w:t>
      </w:r>
    </w:p>
    <w:p w14:paraId="72B98FC8" w14:textId="1E35A019" w:rsidR="007E11ED" w:rsidRDefault="007E11ED" w:rsidP="007E11ED">
      <w:pPr>
        <w:pStyle w:val="ARbullet1"/>
      </w:pPr>
      <w:r>
        <w:t>making decisions and providing advice on merit and without bias, caprice, favouritism or self interest</w:t>
      </w:r>
    </w:p>
    <w:p w14:paraId="53CDD681" w14:textId="77777777" w:rsidR="007E11ED" w:rsidRDefault="007E11ED" w:rsidP="007E11ED">
      <w:pPr>
        <w:pStyle w:val="ARbullet1"/>
      </w:pPr>
      <w:r>
        <w:t>acting fairly by objectively considering all relevant facts and fair criteria</w:t>
      </w:r>
    </w:p>
    <w:p w14:paraId="1AAAED9B" w14:textId="60CF134F" w:rsidR="007E11ED" w:rsidRDefault="007E11ED" w:rsidP="007E11ED">
      <w:pPr>
        <w:pStyle w:val="ARbullet1"/>
      </w:pPr>
      <w:r>
        <w:t>implementing government policies and programs equitably</w:t>
      </w:r>
    </w:p>
    <w:p w14:paraId="2A6A0583" w14:textId="6FB9D9D2" w:rsidR="007E11ED" w:rsidRDefault="00BC0B75" w:rsidP="00F7264A">
      <w:pPr>
        <w:pStyle w:val="Heading4"/>
        <w:ind w:left="794"/>
      </w:pPr>
      <w:r>
        <w:br w:type="column"/>
      </w:r>
      <w:r w:rsidR="007E11ED">
        <w:t>Accountability</w:t>
      </w:r>
    </w:p>
    <w:p w14:paraId="406240E4" w14:textId="35F12634" w:rsidR="007E11ED" w:rsidRDefault="007E11ED" w:rsidP="007E11ED">
      <w:pPr>
        <w:pStyle w:val="ARbullet1"/>
      </w:pPr>
      <w:r>
        <w:t>working to clear objectives in a transparent</w:t>
      </w:r>
      <w:r w:rsidR="0053582E">
        <w:t> </w:t>
      </w:r>
      <w:r>
        <w:t>manner</w:t>
      </w:r>
    </w:p>
    <w:p w14:paraId="14603D8D" w14:textId="3E069162" w:rsidR="007E11ED" w:rsidRDefault="007E11ED" w:rsidP="007E11ED">
      <w:pPr>
        <w:pStyle w:val="ARbullet1"/>
      </w:pPr>
      <w:r>
        <w:t>accepting responsibility for decisions and</w:t>
      </w:r>
      <w:r w:rsidR="0053582E">
        <w:t> </w:t>
      </w:r>
      <w:r>
        <w:t>actions</w:t>
      </w:r>
    </w:p>
    <w:p w14:paraId="4B261214" w14:textId="77777777" w:rsidR="007E11ED" w:rsidRDefault="007E11ED" w:rsidP="007E11ED">
      <w:pPr>
        <w:pStyle w:val="ARbullet1"/>
      </w:pPr>
      <w:r>
        <w:t>seeking to achieve best use of resources</w:t>
      </w:r>
    </w:p>
    <w:p w14:paraId="0E906A87" w14:textId="2952518F" w:rsidR="007E11ED" w:rsidRDefault="007E11ED" w:rsidP="007E11ED">
      <w:pPr>
        <w:pStyle w:val="ARbullet1"/>
      </w:pPr>
      <w:r>
        <w:t>submitting to appropriate scrutiny</w:t>
      </w:r>
    </w:p>
    <w:p w14:paraId="555367AD" w14:textId="2477B8F9" w:rsidR="007E11ED" w:rsidRDefault="00F7264A" w:rsidP="00F7264A">
      <w:pPr>
        <w:pStyle w:val="Heading4"/>
        <w:spacing w:before="400"/>
        <w:ind w:left="794"/>
      </w:pPr>
      <w:r>
        <w:rPr>
          <w:noProof/>
        </w:rPr>
        <w:drawing>
          <wp:anchor distT="0" distB="0" distL="114300" distR="114300" simplePos="0" relativeHeight="251658244" behindDoc="0" locked="0" layoutInCell="1" allowOverlap="1" wp14:anchorId="7821190B" wp14:editId="0C9E83D6">
            <wp:simplePos x="0" y="0"/>
            <wp:positionH relativeFrom="column">
              <wp:posOffset>29119</wp:posOffset>
            </wp:positionH>
            <wp:positionV relativeFrom="paragraph">
              <wp:posOffset>107950</wp:posOffset>
            </wp:positionV>
            <wp:extent cx="311040" cy="286560"/>
            <wp:effectExtent l="0" t="0" r="0" b="0"/>
            <wp:wrapNone/>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040" cy="286560"/>
                    </a:xfrm>
                    <a:prstGeom prst="rect">
                      <a:avLst/>
                    </a:prstGeom>
                  </pic:spPr>
                </pic:pic>
              </a:graphicData>
            </a:graphic>
            <wp14:sizeRelH relativeFrom="margin">
              <wp14:pctWidth>0</wp14:pctWidth>
            </wp14:sizeRelH>
            <wp14:sizeRelV relativeFrom="margin">
              <wp14:pctHeight>0</wp14:pctHeight>
            </wp14:sizeRelV>
          </wp:anchor>
        </w:drawing>
      </w:r>
      <w:r w:rsidR="007E11ED">
        <w:t>Respect</w:t>
      </w:r>
    </w:p>
    <w:p w14:paraId="7BBD3F3F" w14:textId="77777777" w:rsidR="007E11ED" w:rsidRDefault="007E11ED" w:rsidP="007E11ED">
      <w:pPr>
        <w:pStyle w:val="ARbullet1"/>
      </w:pPr>
      <w:r>
        <w:t>treating people fairly and objectively</w:t>
      </w:r>
    </w:p>
    <w:p w14:paraId="26304734" w14:textId="46265673" w:rsidR="007E11ED" w:rsidRDefault="007E11ED" w:rsidP="007E11ED">
      <w:pPr>
        <w:pStyle w:val="ARbullet1"/>
      </w:pPr>
      <w:r>
        <w:t>ensuring freedom from discrimination</w:t>
      </w:r>
      <w:r w:rsidR="000631B5">
        <w:t>,</w:t>
      </w:r>
      <w:r>
        <w:t xml:space="preserve"> harassment and bullying</w:t>
      </w:r>
    </w:p>
    <w:p w14:paraId="25285E59" w14:textId="77777777" w:rsidR="007E11ED" w:rsidRDefault="007E11ED" w:rsidP="007E11ED">
      <w:pPr>
        <w:pStyle w:val="ARbullet1"/>
      </w:pPr>
      <w:r>
        <w:t>using people’s views to improve outcomes on an ongoing basis</w:t>
      </w:r>
    </w:p>
    <w:p w14:paraId="18B8489D" w14:textId="780B664A" w:rsidR="007E11ED" w:rsidRDefault="00F7264A" w:rsidP="00F7264A">
      <w:pPr>
        <w:pStyle w:val="Heading4"/>
        <w:spacing w:before="400"/>
        <w:ind w:left="794"/>
      </w:pPr>
      <w:r>
        <w:rPr>
          <w:noProof/>
        </w:rPr>
        <w:drawing>
          <wp:anchor distT="0" distB="0" distL="114300" distR="114300" simplePos="0" relativeHeight="251658245" behindDoc="0" locked="0" layoutInCell="1" allowOverlap="1" wp14:anchorId="68600A42" wp14:editId="38346A28">
            <wp:simplePos x="0" y="0"/>
            <wp:positionH relativeFrom="column">
              <wp:posOffset>52838</wp:posOffset>
            </wp:positionH>
            <wp:positionV relativeFrom="paragraph">
              <wp:posOffset>107950</wp:posOffset>
            </wp:positionV>
            <wp:extent cx="311760" cy="28692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1760" cy="286920"/>
                    </a:xfrm>
                    <a:prstGeom prst="rect">
                      <a:avLst/>
                    </a:prstGeom>
                  </pic:spPr>
                </pic:pic>
              </a:graphicData>
            </a:graphic>
            <wp14:sizeRelH relativeFrom="margin">
              <wp14:pctWidth>0</wp14:pctWidth>
            </wp14:sizeRelH>
            <wp14:sizeRelV relativeFrom="margin">
              <wp14:pctHeight>0</wp14:pctHeight>
            </wp14:sizeRelV>
          </wp:anchor>
        </w:drawing>
      </w:r>
      <w:r w:rsidR="007E11ED">
        <w:t>Leadership</w:t>
      </w:r>
    </w:p>
    <w:p w14:paraId="70C65F10" w14:textId="65F46BB8" w:rsidR="007E11ED" w:rsidRDefault="007E11ED" w:rsidP="007E11ED">
      <w:pPr>
        <w:pStyle w:val="ARbullet1"/>
      </w:pPr>
      <w:r>
        <w:t>actively implementing, promoting and supporting</w:t>
      </w:r>
      <w:r w:rsidR="0053582E">
        <w:t> </w:t>
      </w:r>
      <w:r>
        <w:t>the department’s values</w:t>
      </w:r>
    </w:p>
    <w:p w14:paraId="0539D337" w14:textId="2C474A86" w:rsidR="007E11ED" w:rsidRDefault="00F7264A" w:rsidP="00F7264A">
      <w:pPr>
        <w:pStyle w:val="Heading4"/>
        <w:spacing w:before="400"/>
        <w:ind w:left="794"/>
      </w:pPr>
      <w:r>
        <w:rPr>
          <w:noProof/>
        </w:rPr>
        <w:drawing>
          <wp:anchor distT="0" distB="0" distL="114300" distR="114300" simplePos="0" relativeHeight="251658246" behindDoc="0" locked="0" layoutInCell="1" allowOverlap="1" wp14:anchorId="4602C761" wp14:editId="4DD949F6">
            <wp:simplePos x="0" y="0"/>
            <wp:positionH relativeFrom="column">
              <wp:posOffset>20740</wp:posOffset>
            </wp:positionH>
            <wp:positionV relativeFrom="paragraph">
              <wp:posOffset>107950</wp:posOffset>
            </wp:positionV>
            <wp:extent cx="311760" cy="28692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1760" cy="286920"/>
                    </a:xfrm>
                    <a:prstGeom prst="rect">
                      <a:avLst/>
                    </a:prstGeom>
                  </pic:spPr>
                </pic:pic>
              </a:graphicData>
            </a:graphic>
            <wp14:sizeRelH relativeFrom="margin">
              <wp14:pctWidth>0</wp14:pctWidth>
            </wp14:sizeRelH>
            <wp14:sizeRelV relativeFrom="margin">
              <wp14:pctHeight>0</wp14:pctHeight>
            </wp14:sizeRelV>
          </wp:anchor>
        </w:drawing>
      </w:r>
      <w:r w:rsidR="007E11ED">
        <w:t>Human rights</w:t>
      </w:r>
    </w:p>
    <w:p w14:paraId="166895C3" w14:textId="77777777" w:rsidR="007E11ED" w:rsidRDefault="007E11ED" w:rsidP="007E11ED">
      <w:pPr>
        <w:pStyle w:val="ARbullet1"/>
      </w:pPr>
      <w:r>
        <w:t>making decisions and providing advice consistent with human rights</w:t>
      </w:r>
    </w:p>
    <w:p w14:paraId="454616D5" w14:textId="4E3B24F1" w:rsidR="007E11ED" w:rsidRDefault="007E11ED" w:rsidP="007E11ED">
      <w:pPr>
        <w:pStyle w:val="ARbullet1"/>
      </w:pPr>
      <w:r>
        <w:t>actively implementing, promoting and supporting</w:t>
      </w:r>
      <w:r w:rsidR="0053582E">
        <w:t> </w:t>
      </w:r>
      <w:r>
        <w:t>human rights</w:t>
      </w:r>
    </w:p>
    <w:p w14:paraId="6ADC5DF4" w14:textId="77777777" w:rsidR="007E11ED" w:rsidRDefault="007E11ED" w:rsidP="007E11ED">
      <w:pPr>
        <w:pStyle w:val="ARbody"/>
        <w:rPr>
          <w:lang w:eastAsia="en-AU"/>
        </w:rPr>
      </w:pPr>
    </w:p>
    <w:p w14:paraId="14874A35" w14:textId="439ABBC5" w:rsidR="007E11ED" w:rsidRPr="007E11ED" w:rsidRDefault="007E11ED" w:rsidP="007E11ED">
      <w:pPr>
        <w:pStyle w:val="ARbody"/>
        <w:rPr>
          <w:lang w:eastAsia="en-AU"/>
        </w:rPr>
        <w:sectPr w:rsidR="007E11ED" w:rsidRPr="007E11ED" w:rsidSect="007E11ED">
          <w:footnotePr>
            <w:numFmt w:val="lowerLetter"/>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2C0DCD62" w14:textId="77777777" w:rsidR="007E11ED" w:rsidRPr="004816A8" w:rsidRDefault="007E11ED" w:rsidP="007E11ED">
      <w:pPr>
        <w:pStyle w:val="Heading2"/>
        <w:spacing w:before="0" w:after="120"/>
        <w:rPr>
          <w:bCs w:val="0"/>
          <w:iCs w:val="0"/>
        </w:rPr>
      </w:pPr>
      <w:bookmarkStart w:id="19" w:name="_Toc85120956"/>
      <w:bookmarkStart w:id="20" w:name="_Toc85121595"/>
      <w:bookmarkStart w:id="21" w:name="_Ref85202129"/>
      <w:bookmarkStart w:id="22" w:name="_Toc102734472"/>
      <w:bookmarkStart w:id="23" w:name="_Ref112848113"/>
      <w:bookmarkStart w:id="24" w:name="_Toc113702907"/>
      <w:r w:rsidRPr="004816A8">
        <w:rPr>
          <w:bCs w:val="0"/>
          <w:iCs w:val="0"/>
        </w:rPr>
        <w:lastRenderedPageBreak/>
        <w:t>Purpose and functions</w:t>
      </w:r>
      <w:bookmarkEnd w:id="19"/>
      <w:bookmarkEnd w:id="20"/>
      <w:bookmarkEnd w:id="21"/>
      <w:bookmarkEnd w:id="22"/>
      <w:bookmarkEnd w:id="23"/>
      <w:bookmarkEnd w:id="24"/>
    </w:p>
    <w:p w14:paraId="288CF481" w14:textId="2E5C9C9B" w:rsidR="007E11ED" w:rsidRPr="004326BA" w:rsidRDefault="007E11ED" w:rsidP="007E11ED">
      <w:pPr>
        <w:pStyle w:val="ARbody"/>
      </w:pPr>
      <w:r w:rsidRPr="002029AF">
        <w:t xml:space="preserve">The </w:t>
      </w:r>
      <w:r>
        <w:t xml:space="preserve">purpose of the Department of Health </w:t>
      </w:r>
      <w:r w:rsidRPr="00143E48">
        <w:t xml:space="preserve">is to </w:t>
      </w:r>
      <w:r>
        <w:t>deliver a world-class health system that focuses on</w:t>
      </w:r>
      <w:r w:rsidR="00690740">
        <w:t> </w:t>
      </w:r>
      <w:r w:rsidRPr="004326BA">
        <w:t>improving patient outcomes and experience for</w:t>
      </w:r>
      <w:r w:rsidR="00690740">
        <w:t> </w:t>
      </w:r>
      <w:r w:rsidRPr="004326BA">
        <w:t>all Victorians.</w:t>
      </w:r>
    </w:p>
    <w:p w14:paraId="428CD2C7" w14:textId="77777777" w:rsidR="007E11ED" w:rsidRPr="002029AF" w:rsidRDefault="007E11ED" w:rsidP="007E11ED">
      <w:pPr>
        <w:pStyle w:val="Heading3"/>
      </w:pPr>
      <w:bookmarkStart w:id="25" w:name="_Toc85120957"/>
      <w:bookmarkStart w:id="26" w:name="_Ref85202213"/>
      <w:bookmarkStart w:id="27" w:name="_Ref112848195"/>
      <w:r w:rsidRPr="002029AF">
        <w:t>Our services</w:t>
      </w:r>
      <w:bookmarkEnd w:id="25"/>
      <w:bookmarkEnd w:id="26"/>
      <w:bookmarkEnd w:id="27"/>
    </w:p>
    <w:p w14:paraId="2F7EF4EF" w14:textId="77777777" w:rsidR="007E11ED" w:rsidRPr="00F1412B" w:rsidRDefault="007E11ED" w:rsidP="007E11ED">
      <w:pPr>
        <w:pStyle w:val="Heading4"/>
      </w:pPr>
      <w:bookmarkStart w:id="28" w:name="_Toc85120958"/>
      <w:r w:rsidRPr="00F1412B">
        <w:t xml:space="preserve">Acute </w:t>
      </w:r>
      <w:r>
        <w:t>h</w:t>
      </w:r>
      <w:r w:rsidRPr="00F1412B">
        <w:t xml:space="preserve">ealth </w:t>
      </w:r>
      <w:r>
        <w:t>s</w:t>
      </w:r>
      <w:r w:rsidRPr="00F1412B">
        <w:t>ervices</w:t>
      </w:r>
      <w:bookmarkEnd w:id="28"/>
    </w:p>
    <w:p w14:paraId="34874A18" w14:textId="77777777" w:rsidR="007E11ED" w:rsidRPr="008C2C6F" w:rsidRDefault="007E11ED" w:rsidP="007E11ED">
      <w:pPr>
        <w:pStyle w:val="ARbody"/>
      </w:pPr>
      <w:r w:rsidRPr="008C2C6F">
        <w:t xml:space="preserve">The </w:t>
      </w:r>
      <w:r>
        <w:t xml:space="preserve">public </w:t>
      </w:r>
      <w:r w:rsidRPr="008C2C6F">
        <w:t xml:space="preserve">health system provides all Victorians </w:t>
      </w:r>
      <w:r>
        <w:t>with access to high-quality</w:t>
      </w:r>
      <w:r w:rsidRPr="008C2C6F">
        <w:t xml:space="preserve"> public hospitals and services to address their acute health needs. The</w:t>
      </w:r>
      <w:r>
        <w:t> </w:t>
      </w:r>
      <w:r w:rsidRPr="00815071">
        <w:t xml:space="preserve">department contributes to </w:t>
      </w:r>
      <w:r w:rsidRPr="00507EC0">
        <w:t>the management of</w:t>
      </w:r>
      <w:r>
        <w:t> </w:t>
      </w:r>
      <w:r w:rsidRPr="00507EC0">
        <w:t xml:space="preserve">the public health </w:t>
      </w:r>
      <w:r w:rsidRPr="00815071">
        <w:t xml:space="preserve">system </w:t>
      </w:r>
      <w:r>
        <w:t>through</w:t>
      </w:r>
      <w:r w:rsidRPr="00507EC0">
        <w:t xml:space="preserve"> </w:t>
      </w:r>
      <w:r w:rsidRPr="00815071">
        <w:t>leadership</w:t>
      </w:r>
      <w:r>
        <w:t>,</w:t>
      </w:r>
      <w:r w:rsidRPr="00507EC0">
        <w:t xml:space="preserve"> </w:t>
      </w:r>
      <w:r w:rsidRPr="00815071">
        <w:t>governance responsibility,</w:t>
      </w:r>
      <w:r>
        <w:t xml:space="preserve"> </w:t>
      </w:r>
      <w:r w:rsidRPr="00815071">
        <w:t>policy</w:t>
      </w:r>
      <w:r w:rsidRPr="00507EC0">
        <w:t xml:space="preserve"> </w:t>
      </w:r>
      <w:r>
        <w:t>development</w:t>
      </w:r>
      <w:r w:rsidRPr="00507EC0">
        <w:t xml:space="preserve"> and</w:t>
      </w:r>
      <w:r>
        <w:t xml:space="preserve"> the </w:t>
      </w:r>
      <w:r w:rsidRPr="00815071">
        <w:t>advanc</w:t>
      </w:r>
      <w:r>
        <w:t>ement of</w:t>
      </w:r>
      <w:r w:rsidRPr="00815071">
        <w:t xml:space="preserve"> quality and safety.</w:t>
      </w:r>
    </w:p>
    <w:p w14:paraId="45324952" w14:textId="77777777" w:rsidR="007E11ED" w:rsidRPr="008C2C6F" w:rsidRDefault="007E11ED" w:rsidP="007E11ED">
      <w:pPr>
        <w:pStyle w:val="ARbody"/>
      </w:pPr>
      <w:r w:rsidRPr="008C2C6F">
        <w:t>These contributions include responsibility for funding, performance monitoring and accountability, strategic asset management and system planning.</w:t>
      </w:r>
    </w:p>
    <w:p w14:paraId="35339705" w14:textId="77777777" w:rsidR="007E11ED" w:rsidRPr="00F1412B" w:rsidRDefault="007E11ED" w:rsidP="007E11ED">
      <w:pPr>
        <w:pStyle w:val="Heading4"/>
      </w:pPr>
      <w:bookmarkStart w:id="29" w:name="_Toc85120959"/>
      <w:r w:rsidRPr="00F1412B">
        <w:t xml:space="preserve">Ageing, </w:t>
      </w:r>
      <w:r>
        <w:t>a</w:t>
      </w:r>
      <w:r w:rsidRPr="00F1412B">
        <w:t xml:space="preserve">ged and </w:t>
      </w:r>
      <w:r>
        <w:t>h</w:t>
      </w:r>
      <w:r w:rsidRPr="00F1412B">
        <w:t xml:space="preserve">ome </w:t>
      </w:r>
      <w:r>
        <w:t>c</w:t>
      </w:r>
      <w:r w:rsidRPr="00F1412B">
        <w:t>are</w:t>
      </w:r>
      <w:bookmarkEnd w:id="29"/>
    </w:p>
    <w:p w14:paraId="1735788E" w14:textId="10A445C5" w:rsidR="007E11ED" w:rsidRPr="008C2C6F" w:rsidRDefault="007E11ED" w:rsidP="007E11ED">
      <w:pPr>
        <w:pStyle w:val="ARbody"/>
      </w:pPr>
      <w:r w:rsidRPr="00546F72">
        <w:t xml:space="preserve">Older Victorians deserve safe and modern aged </w:t>
      </w:r>
      <w:r>
        <w:t>c</w:t>
      </w:r>
      <w:r w:rsidRPr="00546F72">
        <w:t>are services.</w:t>
      </w:r>
      <w:r w:rsidRPr="007516D5">
        <w:t xml:space="preserve"> </w:t>
      </w:r>
      <w:r>
        <w:t xml:space="preserve">Through its </w:t>
      </w:r>
      <w:r w:rsidRPr="008C2C6F">
        <w:t>acute health, community and aged care services</w:t>
      </w:r>
      <w:r>
        <w:t>, t</w:t>
      </w:r>
      <w:r w:rsidRPr="008C2C6F">
        <w:t xml:space="preserve">he department </w:t>
      </w:r>
      <w:r w:rsidR="00FE1FC3">
        <w:t>seeks to</w:t>
      </w:r>
      <w:r w:rsidRPr="008C2C6F">
        <w:t xml:space="preserve"> enable older people to remain independent for as</w:t>
      </w:r>
      <w:r w:rsidR="00690740">
        <w:t> </w:t>
      </w:r>
      <w:r w:rsidRPr="008C2C6F">
        <w:t xml:space="preserve">long as possible. The department is also the system manager for the </w:t>
      </w:r>
      <w:r>
        <w:t>Victorian</w:t>
      </w:r>
      <w:r w:rsidRPr="008C2C6F">
        <w:t xml:space="preserve"> public sector residential aged care sector</w:t>
      </w:r>
      <w:r>
        <w:t>, the largest</w:t>
      </w:r>
      <w:r w:rsidRPr="008C2C6F">
        <w:t xml:space="preserve"> in Australia.</w:t>
      </w:r>
    </w:p>
    <w:p w14:paraId="795E9BFA" w14:textId="77777777" w:rsidR="007E11ED" w:rsidRPr="00F1412B" w:rsidRDefault="007E11ED" w:rsidP="007E11ED">
      <w:pPr>
        <w:pStyle w:val="Heading4"/>
      </w:pPr>
      <w:bookmarkStart w:id="30" w:name="_Toc85120960"/>
      <w:r w:rsidRPr="00F1412B">
        <w:t xml:space="preserve">Ambulance </w:t>
      </w:r>
      <w:r>
        <w:t>s</w:t>
      </w:r>
      <w:r w:rsidRPr="00F1412B">
        <w:t>ervices</w:t>
      </w:r>
      <w:bookmarkEnd w:id="30"/>
    </w:p>
    <w:p w14:paraId="3D92AF18" w14:textId="77777777" w:rsidR="007E11ED" w:rsidRPr="008C2C6F" w:rsidRDefault="007E11ED" w:rsidP="007E11ED">
      <w:pPr>
        <w:pStyle w:val="ARbody"/>
      </w:pPr>
      <w:r w:rsidRPr="008C2C6F">
        <w:t xml:space="preserve">Victorians expect timely responses to emergencies. </w:t>
      </w:r>
      <w:r>
        <w:t>E</w:t>
      </w:r>
      <w:r w:rsidRPr="008C2C6F">
        <w:t>mergency and non-emergency ambulance services contribute to integrated and accessible health and community services for all Victorians.</w:t>
      </w:r>
    </w:p>
    <w:p w14:paraId="3F540D80" w14:textId="77777777" w:rsidR="007E11ED" w:rsidRPr="00F1412B" w:rsidRDefault="007E11ED" w:rsidP="007E11ED">
      <w:pPr>
        <w:pStyle w:val="Heading4"/>
      </w:pPr>
      <w:bookmarkStart w:id="31" w:name="_Toc85120961"/>
      <w:r w:rsidRPr="00F1412B">
        <w:t xml:space="preserve">Drug </w:t>
      </w:r>
      <w:r>
        <w:t>s</w:t>
      </w:r>
      <w:r w:rsidRPr="00F1412B">
        <w:t>ervices</w:t>
      </w:r>
      <w:bookmarkEnd w:id="31"/>
    </w:p>
    <w:p w14:paraId="1696C2EA" w14:textId="4B93C6BF" w:rsidR="007E11ED" w:rsidRPr="008C2C6F" w:rsidRDefault="007E11ED" w:rsidP="007E11ED">
      <w:pPr>
        <w:pStyle w:val="ARbody"/>
      </w:pPr>
      <w:r w:rsidRPr="008C2C6F">
        <w:t>Drug and alcohol problems affect not just individuals, but their families, their friends and their communities. The department works with Victoria</w:t>
      </w:r>
      <w:r>
        <w:t>’</w:t>
      </w:r>
      <w:r w:rsidRPr="008C2C6F">
        <w:t>s alcohol and drug services to provide the right drug treatment, support and harm-reduction services across Victoria.</w:t>
      </w:r>
    </w:p>
    <w:p w14:paraId="30C05590" w14:textId="0915440D" w:rsidR="007E11ED" w:rsidRPr="00F1412B" w:rsidRDefault="00690740" w:rsidP="007E11ED">
      <w:pPr>
        <w:pStyle w:val="Heading4"/>
      </w:pPr>
      <w:bookmarkStart w:id="32" w:name="_Toc85120962"/>
      <w:r>
        <w:br w:type="column"/>
      </w:r>
      <w:r w:rsidR="007E11ED" w:rsidRPr="00F1412B">
        <w:t xml:space="preserve">Mental </w:t>
      </w:r>
      <w:r w:rsidR="007E11ED">
        <w:t>h</w:t>
      </w:r>
      <w:r w:rsidR="007E11ED" w:rsidRPr="00F1412B">
        <w:t>ealth</w:t>
      </w:r>
      <w:bookmarkEnd w:id="32"/>
    </w:p>
    <w:p w14:paraId="5D9F44E3" w14:textId="5F546B0F" w:rsidR="007E11ED" w:rsidRPr="008C2C6F" w:rsidRDefault="007E11ED" w:rsidP="007E11ED">
      <w:pPr>
        <w:pStyle w:val="ARbody"/>
      </w:pPr>
      <w:r w:rsidRPr="008C2C6F">
        <w:t>Mental health services support Victorians experiencing or affected by poor mental health, as well as their families and carers. The department is responsible for mental health policy, planning, strategy and programs that deliver prevention, early intervention, treatment and support. The department is leading implementation of the recommendations made by the Royal Commission into Victoria</w:t>
      </w:r>
      <w:r>
        <w:t>’</w:t>
      </w:r>
      <w:r w:rsidRPr="008C2C6F">
        <w:t>s Mental Health System.</w:t>
      </w:r>
    </w:p>
    <w:p w14:paraId="42228E8F" w14:textId="77777777" w:rsidR="007E11ED" w:rsidRPr="00F1412B" w:rsidRDefault="007E11ED" w:rsidP="007E11ED">
      <w:pPr>
        <w:pStyle w:val="Heading4"/>
      </w:pPr>
      <w:bookmarkStart w:id="33" w:name="_Toc85120963"/>
      <w:r w:rsidRPr="00F1412B">
        <w:t xml:space="preserve">Primary, </w:t>
      </w:r>
      <w:r>
        <w:t>c</w:t>
      </w:r>
      <w:r w:rsidRPr="00F1412B">
        <w:t xml:space="preserve">ommunity and </w:t>
      </w:r>
      <w:r>
        <w:t>d</w:t>
      </w:r>
      <w:r w:rsidRPr="00F1412B">
        <w:t xml:space="preserve">ental </w:t>
      </w:r>
      <w:r>
        <w:t>h</w:t>
      </w:r>
      <w:r w:rsidRPr="00F1412B">
        <w:t>ealth</w:t>
      </w:r>
      <w:bookmarkEnd w:id="33"/>
    </w:p>
    <w:p w14:paraId="42C3D279" w14:textId="3CF83946" w:rsidR="007E11ED" w:rsidRPr="008C2C6F" w:rsidRDefault="007E11ED" w:rsidP="007E11ED">
      <w:pPr>
        <w:pStyle w:val="ARbody"/>
      </w:pPr>
      <w:r w:rsidRPr="007D3F35">
        <w:t xml:space="preserve">Primary care is often </w:t>
      </w:r>
      <w:r>
        <w:t>someone’s</w:t>
      </w:r>
      <w:r w:rsidRPr="007D3F35">
        <w:t xml:space="preserve"> first point of</w:t>
      </w:r>
      <w:r w:rsidR="0002459C">
        <w:t> </w:t>
      </w:r>
      <w:r w:rsidRPr="007D3F35">
        <w:t>contact with the health system</w:t>
      </w:r>
      <w:r w:rsidR="001127BA">
        <w:t>.</w:t>
      </w:r>
      <w:r w:rsidRPr="007D3F35">
        <w:t xml:space="preserve"> Victoria</w:t>
      </w:r>
      <w:r>
        <w:t>’</w:t>
      </w:r>
      <w:r w:rsidRPr="007D3F35">
        <w:t>s community health services play an important role in</w:t>
      </w:r>
      <w:r>
        <w:t> </w:t>
      </w:r>
      <w:r w:rsidRPr="007D3F35">
        <w:t>the delivery of state-funded, population-focused, and community-based health services. The department is responsible for funding, monitoring and planning the provision of primary and community health care services (including counselling, allied health and nursing), dental services, maternal and child health</w:t>
      </w:r>
      <w:r w:rsidR="001127BA">
        <w:t>,</w:t>
      </w:r>
      <w:r w:rsidRPr="007D3F35">
        <w:t xml:space="preserve"> and early parenting services.</w:t>
      </w:r>
    </w:p>
    <w:p w14:paraId="6D6E5395" w14:textId="77777777" w:rsidR="007E11ED" w:rsidRPr="00F1412B" w:rsidRDefault="007E11ED" w:rsidP="007E11ED">
      <w:pPr>
        <w:pStyle w:val="Heading4"/>
      </w:pPr>
      <w:bookmarkStart w:id="34" w:name="_Toc85120964"/>
      <w:r w:rsidRPr="00F1412B">
        <w:t xml:space="preserve">Public </w:t>
      </w:r>
      <w:r>
        <w:t>h</w:t>
      </w:r>
      <w:r w:rsidRPr="00F1412B">
        <w:t>ealth</w:t>
      </w:r>
      <w:bookmarkEnd w:id="34"/>
    </w:p>
    <w:p w14:paraId="3C895CFC" w14:textId="7CC5FAF0" w:rsidR="007E11ED" w:rsidRDefault="007E11ED" w:rsidP="007E11ED">
      <w:pPr>
        <w:pStyle w:val="ARbody"/>
      </w:pPr>
      <w:r w:rsidRPr="008C2C6F">
        <w:t xml:space="preserve">The department seeks to </w:t>
      </w:r>
      <w:r w:rsidR="001127BA">
        <w:t>keep</w:t>
      </w:r>
      <w:r w:rsidRPr="007C0C25">
        <w:t xml:space="preserve"> the community </w:t>
      </w:r>
      <w:r w:rsidR="0041721C">
        <w:t>safe</w:t>
      </w:r>
      <w:r w:rsidR="00690740">
        <w:t> </w:t>
      </w:r>
      <w:r w:rsidR="0041721C">
        <w:t>from harm due to</w:t>
      </w:r>
      <w:r w:rsidRPr="007C0C25">
        <w:t xml:space="preserve"> communicable disease</w:t>
      </w:r>
      <w:r w:rsidR="0041721C">
        <w:t>s</w:t>
      </w:r>
      <w:r w:rsidRPr="007C0C25">
        <w:t>, contaminated food or water</w:t>
      </w:r>
      <w:r w:rsidR="0041721C">
        <w:t>,</w:t>
      </w:r>
      <w:r w:rsidRPr="007C0C25">
        <w:t xml:space="preserve"> or contamination in the environment. The department works</w:t>
      </w:r>
      <w:r w:rsidR="008C163D">
        <w:t xml:space="preserve"> in</w:t>
      </w:r>
      <w:r w:rsidRPr="007C0C25">
        <w:t xml:space="preserve"> partnership with local government and service providers to reduce and respond to preventable disease and public health hazards. It also provides health education and promotion for the community and leads or supports health and non-health emergency responses.</w:t>
      </w:r>
    </w:p>
    <w:p w14:paraId="66F205FC" w14:textId="47A716D1" w:rsidR="00EC514A" w:rsidRPr="007C0C25" w:rsidRDefault="00EC514A" w:rsidP="007E11ED">
      <w:pPr>
        <w:pStyle w:val="ARbody"/>
      </w:pPr>
      <w:r w:rsidRPr="00EC514A">
        <w:t>The department retains a dedicated COVID-19 response team that leads the government’s management of the pandemic. The team provides</w:t>
      </w:r>
      <w:r w:rsidR="00690740">
        <w:t> </w:t>
      </w:r>
      <w:r w:rsidRPr="00EC514A">
        <w:t>such services as epidemiology data and</w:t>
      </w:r>
      <w:r w:rsidR="00690740">
        <w:t> </w:t>
      </w:r>
      <w:r w:rsidRPr="00EC514A">
        <w:t>intelligence, targeted outbreak management, vaccination and testing, and policy and strategy.</w:t>
      </w:r>
    </w:p>
    <w:p w14:paraId="15DF5DA3" w14:textId="77777777" w:rsidR="007E11ED" w:rsidRPr="00F1412B" w:rsidRDefault="007E11ED" w:rsidP="007E11ED">
      <w:pPr>
        <w:pStyle w:val="Heading4"/>
      </w:pPr>
      <w:bookmarkStart w:id="35" w:name="_Toc85120965"/>
      <w:r w:rsidRPr="00F1412B">
        <w:t xml:space="preserve">Small </w:t>
      </w:r>
      <w:r>
        <w:t>r</w:t>
      </w:r>
      <w:r w:rsidRPr="00F1412B">
        <w:t xml:space="preserve">ural </w:t>
      </w:r>
      <w:r>
        <w:t>s</w:t>
      </w:r>
      <w:r w:rsidRPr="00F1412B">
        <w:t>ervices</w:t>
      </w:r>
      <w:bookmarkEnd w:id="35"/>
    </w:p>
    <w:p w14:paraId="56129FA3" w14:textId="28A83598" w:rsidR="007E11ED" w:rsidRDefault="007E11ED" w:rsidP="00690740">
      <w:pPr>
        <w:pStyle w:val="ARbody"/>
        <w:rPr>
          <w:lang w:eastAsia="en-AU"/>
        </w:rPr>
      </w:pPr>
      <w:r>
        <w:t>Where someone lives should not affect their a</w:t>
      </w:r>
      <w:r w:rsidRPr="00AA0188">
        <w:t>ccess</w:t>
      </w:r>
      <w:r w:rsidR="00690740">
        <w:t> </w:t>
      </w:r>
      <w:r w:rsidRPr="00AA0188">
        <w:t>to high-quality healthcare.</w:t>
      </w:r>
      <w:r>
        <w:t xml:space="preserve"> </w:t>
      </w:r>
      <w:r w:rsidRPr="008C2C6F">
        <w:t>The department is responsible</w:t>
      </w:r>
      <w:r w:rsidRPr="00907AD4">
        <w:rPr>
          <w:lang w:eastAsia="en-AU"/>
        </w:rPr>
        <w:t xml:space="preserve"> for planning</w:t>
      </w:r>
      <w:r>
        <w:rPr>
          <w:lang w:eastAsia="en-AU"/>
        </w:rPr>
        <w:t>,</w:t>
      </w:r>
      <w:r w:rsidRPr="00907AD4">
        <w:rPr>
          <w:lang w:eastAsia="en-AU"/>
        </w:rPr>
        <w:t xml:space="preserve"> funding and monitoring </w:t>
      </w:r>
      <w:r>
        <w:rPr>
          <w:lang w:eastAsia="en-AU"/>
        </w:rPr>
        <w:t xml:space="preserve">a suite of services (acute health, aged care, home and community care, and primary health) which are delivered by </w:t>
      </w:r>
      <w:r w:rsidRPr="007815E8">
        <w:rPr>
          <w:lang w:eastAsia="en-AU"/>
        </w:rPr>
        <w:t>small rural service</w:t>
      </w:r>
      <w:r>
        <w:rPr>
          <w:lang w:eastAsia="en-AU"/>
        </w:rPr>
        <w:t xml:space="preserve"> providers. </w:t>
      </w:r>
      <w:r w:rsidRPr="000042A6">
        <w:rPr>
          <w:lang w:eastAsia="en-AU"/>
        </w:rPr>
        <w:t>The</w:t>
      </w:r>
      <w:r w:rsidR="00690740">
        <w:rPr>
          <w:lang w:eastAsia="en-AU"/>
        </w:rPr>
        <w:t> </w:t>
      </w:r>
      <w:r w:rsidRPr="000042A6">
        <w:rPr>
          <w:lang w:eastAsia="en-AU"/>
        </w:rPr>
        <w:t>funding and service delivery approach focuses on achieving a sustainable, flexible service mix that is responsive to local needs.</w:t>
      </w:r>
      <w:r w:rsidR="002C4A52">
        <w:rPr>
          <w:lang w:eastAsia="en-AU"/>
        </w:rPr>
        <w:br w:type="page"/>
      </w:r>
    </w:p>
    <w:p w14:paraId="12C249E7" w14:textId="0081DF5B" w:rsidR="00304A46" w:rsidRDefault="002206C1" w:rsidP="007E11ED">
      <w:pPr>
        <w:pStyle w:val="Heading3"/>
      </w:pPr>
      <w:bookmarkStart w:id="36" w:name="_Ref21861667"/>
      <w:bookmarkStart w:id="37" w:name="_Toc85120967"/>
      <w:bookmarkStart w:id="38" w:name="_Hlk17715542"/>
      <w:r>
        <w:lastRenderedPageBreak/>
        <w:t>Health regulation</w:t>
      </w:r>
    </w:p>
    <w:p w14:paraId="6277D213" w14:textId="3DE5DB61" w:rsidR="004D6C92" w:rsidRPr="0077475C" w:rsidRDefault="004D6C92" w:rsidP="004D6C92">
      <w:pPr>
        <w:pStyle w:val="ARbody"/>
        <w:rPr>
          <w:lang w:eastAsia="en-AU"/>
        </w:rPr>
      </w:pPr>
      <w:r w:rsidRPr="0077475C">
        <w:rPr>
          <w:lang w:eastAsia="en-AU"/>
        </w:rPr>
        <w:t xml:space="preserve">The department regulates thousands of professionals, organisations and businesses </w:t>
      </w:r>
      <w:r w:rsidR="00984C3D" w:rsidRPr="0077475C">
        <w:rPr>
          <w:lang w:eastAsia="en-AU"/>
        </w:rPr>
        <w:t>across the state</w:t>
      </w:r>
      <w:r w:rsidRPr="0077475C">
        <w:rPr>
          <w:lang w:eastAsia="en-AU"/>
        </w:rPr>
        <w:t xml:space="preserve"> with the objective of preventing serious harm to the health and wellbeing of Victorians. There are 11 health regulators within the health portfolio that are subject to the Department of Treasury and Finance’s Statement of Expectations Framework for Regulators. Of these, the following nine regulators are internal to the department:</w:t>
      </w:r>
    </w:p>
    <w:p w14:paraId="29C300DD" w14:textId="77777777" w:rsidR="004D6C92" w:rsidRPr="0077475C" w:rsidRDefault="004D6C92" w:rsidP="004D6C92">
      <w:pPr>
        <w:pStyle w:val="ARbullet1"/>
      </w:pPr>
      <w:r w:rsidRPr="0077475C">
        <w:t>Communicable Disease Prevention and Control</w:t>
      </w:r>
    </w:p>
    <w:p w14:paraId="3904EF95" w14:textId="77777777" w:rsidR="004D6C92" w:rsidRPr="0077475C" w:rsidRDefault="004D6C92" w:rsidP="004D6C92">
      <w:pPr>
        <w:pStyle w:val="ARbullet1"/>
      </w:pPr>
      <w:r w:rsidRPr="0077475C">
        <w:t>Medicines and Poisons</w:t>
      </w:r>
    </w:p>
    <w:p w14:paraId="0D68040B" w14:textId="77777777" w:rsidR="004D6C92" w:rsidRPr="0077475C" w:rsidRDefault="004D6C92" w:rsidP="004D6C92">
      <w:pPr>
        <w:pStyle w:val="ARbullet1"/>
      </w:pPr>
      <w:r w:rsidRPr="0077475C">
        <w:t>Environmental Health Regulation and Compliance – Legionella Team</w:t>
      </w:r>
    </w:p>
    <w:p w14:paraId="6A6FD676" w14:textId="77777777" w:rsidR="004D6C92" w:rsidRPr="0077475C" w:rsidRDefault="004D6C92" w:rsidP="004D6C92">
      <w:pPr>
        <w:pStyle w:val="ARbullet1"/>
      </w:pPr>
      <w:r w:rsidRPr="0077475C">
        <w:t>Environmental Health Regulation and Compliance – Pest Control Team</w:t>
      </w:r>
    </w:p>
    <w:p w14:paraId="5F835D1C" w14:textId="77777777" w:rsidR="004D6C92" w:rsidRPr="0077475C" w:rsidRDefault="004D6C92" w:rsidP="004D6C92">
      <w:pPr>
        <w:pStyle w:val="ARbullet1"/>
      </w:pPr>
      <w:r w:rsidRPr="0077475C">
        <w:t>Environmental Health Regulation and Compliance – Radiation Team</w:t>
      </w:r>
    </w:p>
    <w:p w14:paraId="4D97D8C2" w14:textId="77777777" w:rsidR="004D6C92" w:rsidRPr="0077475C" w:rsidRDefault="004D6C92" w:rsidP="004D6C92">
      <w:pPr>
        <w:pStyle w:val="ARbullet1"/>
      </w:pPr>
      <w:r w:rsidRPr="0077475C">
        <w:t>Food Safety Unit</w:t>
      </w:r>
    </w:p>
    <w:p w14:paraId="55635F4B" w14:textId="77777777" w:rsidR="004D6C92" w:rsidRPr="0077475C" w:rsidRDefault="004D6C92" w:rsidP="004D6C92">
      <w:pPr>
        <w:pStyle w:val="ARbullet1"/>
      </w:pPr>
      <w:r w:rsidRPr="0077475C">
        <w:t>Private Hospitals Unit</w:t>
      </w:r>
    </w:p>
    <w:p w14:paraId="604BB1C3" w14:textId="77777777" w:rsidR="004D6C92" w:rsidRPr="0077475C" w:rsidRDefault="004D6C92" w:rsidP="004D6C92">
      <w:pPr>
        <w:pStyle w:val="ARbullet1"/>
      </w:pPr>
      <w:r w:rsidRPr="0077475C">
        <w:t>Tobacco Control Section</w:t>
      </w:r>
    </w:p>
    <w:p w14:paraId="52EF66CC" w14:textId="77777777" w:rsidR="004D6C92" w:rsidRPr="0077475C" w:rsidRDefault="004D6C92" w:rsidP="004D6C92">
      <w:pPr>
        <w:pStyle w:val="ARbullet1"/>
      </w:pPr>
      <w:r w:rsidRPr="0077475C">
        <w:t>Water Unit.</w:t>
      </w:r>
    </w:p>
    <w:p w14:paraId="45477B99" w14:textId="10812FBC" w:rsidR="004D6C92" w:rsidRPr="0077475C" w:rsidRDefault="004D6C92" w:rsidP="004D6C92">
      <w:pPr>
        <w:pStyle w:val="ARbody"/>
        <w:spacing w:before="120"/>
        <w:rPr>
          <w:lang w:eastAsia="en-AU"/>
        </w:rPr>
      </w:pPr>
      <w:r w:rsidRPr="0077475C">
        <w:rPr>
          <w:lang w:eastAsia="en-AU"/>
        </w:rPr>
        <w:t>The following two external regulators are supported</w:t>
      </w:r>
      <w:r w:rsidR="0002459C">
        <w:rPr>
          <w:lang w:eastAsia="en-AU"/>
        </w:rPr>
        <w:t> </w:t>
      </w:r>
      <w:r w:rsidRPr="0077475C">
        <w:rPr>
          <w:lang w:eastAsia="en-AU"/>
        </w:rPr>
        <w:t>by the department:</w:t>
      </w:r>
    </w:p>
    <w:p w14:paraId="625D6E1A" w14:textId="77777777" w:rsidR="004D6C92" w:rsidRPr="0077475C" w:rsidRDefault="004D6C92" w:rsidP="004D6C92">
      <w:pPr>
        <w:pStyle w:val="ARbullet1"/>
      </w:pPr>
      <w:r w:rsidRPr="0077475C">
        <w:t xml:space="preserve">Victorian Assisted Reproductive </w:t>
      </w:r>
      <w:r w:rsidRPr="0077475C">
        <w:br/>
        <w:t>Treatment Authority</w:t>
      </w:r>
    </w:p>
    <w:p w14:paraId="3555CD43" w14:textId="77777777" w:rsidR="004D6C92" w:rsidRPr="0077475C" w:rsidRDefault="004D6C92" w:rsidP="004D6C92">
      <w:pPr>
        <w:pStyle w:val="ARbullet1"/>
      </w:pPr>
      <w:r w:rsidRPr="0077475C">
        <w:t>Victorian Pharmacy Authority.</w:t>
      </w:r>
    </w:p>
    <w:p w14:paraId="37B059CF" w14:textId="77777777" w:rsidR="004D6C92" w:rsidRDefault="004D6C92" w:rsidP="004D6C92">
      <w:pPr>
        <w:pStyle w:val="ARbody"/>
        <w:spacing w:before="120"/>
        <w:rPr>
          <w:lang w:eastAsia="en-AU"/>
        </w:rPr>
      </w:pPr>
      <w:r w:rsidRPr="0077475C">
        <w:rPr>
          <w:lang w:eastAsia="en-AU"/>
        </w:rPr>
        <w:t>The department also has a large number of other functions that are regulatory in nature, such as for first aid, non-emergency patient transport, mental health, and cemeteries and crematoria.</w:t>
      </w:r>
    </w:p>
    <w:p w14:paraId="2635384F" w14:textId="77777777" w:rsidR="004D6C92" w:rsidRPr="002029AF" w:rsidRDefault="004D6C92" w:rsidP="004D6C92">
      <w:pPr>
        <w:pStyle w:val="Heading3"/>
      </w:pPr>
      <w:r w:rsidRPr="002029AF">
        <w:t>Leadership charter</w:t>
      </w:r>
    </w:p>
    <w:p w14:paraId="2B8633E8" w14:textId="70EDBFB6" w:rsidR="004D6C92" w:rsidRDefault="004D6C92" w:rsidP="004D6C92">
      <w:pPr>
        <w:pStyle w:val="ARbody"/>
      </w:pPr>
      <w:r>
        <w:t>Our leadership charter helps shape our culture.</w:t>
      </w:r>
      <w:r w:rsidR="00457C16">
        <w:t xml:space="preserve"> </w:t>
      </w:r>
      <w:r>
        <w:t>It</w:t>
      </w:r>
      <w:r w:rsidR="0002459C">
        <w:t> </w:t>
      </w:r>
      <w:r>
        <w:t>sets out the leadership behaviours that our staff and stakeholders can expect of our executive leadership group.</w:t>
      </w:r>
    </w:p>
    <w:p w14:paraId="56821682" w14:textId="77777777" w:rsidR="004D6C92" w:rsidRDefault="004D6C92" w:rsidP="004D6C92">
      <w:pPr>
        <w:pStyle w:val="ARbody"/>
      </w:pPr>
      <w:r>
        <w:t>The charter commits the executive leadership group to lead by example and to ensure that their behaviours and approach to work embody the department’s values. Executives are committed to being accountable for their actions and outcomes, sharing information when it should be shared, and seeking out and valuing others’ views and perspectives.</w:t>
      </w:r>
    </w:p>
    <w:p w14:paraId="07CAB992" w14:textId="66A2D619" w:rsidR="00EE76D1" w:rsidRPr="00EE76D1" w:rsidRDefault="004D6C92" w:rsidP="00625F72">
      <w:pPr>
        <w:pStyle w:val="ARbody"/>
        <w:rPr>
          <w:lang w:eastAsia="en-AU"/>
        </w:rPr>
      </w:pPr>
      <w:r w:rsidRPr="002029AF">
        <w:t>The</w:t>
      </w:r>
      <w:r>
        <w:t xml:space="preserve"> charter is available at the</w:t>
      </w:r>
      <w:r w:rsidRPr="002029AF">
        <w:t xml:space="preserve"> </w:t>
      </w:r>
      <w:hyperlink r:id="rId32" w:history="1">
        <w:r w:rsidRPr="00665977">
          <w:rPr>
            <w:rStyle w:val="Hyperlink"/>
          </w:rPr>
          <w:t>leadership charte</w:t>
        </w:r>
        <w:r>
          <w:rPr>
            <w:rStyle w:val="Hyperlink"/>
          </w:rPr>
          <w:t>r webpage</w:t>
        </w:r>
      </w:hyperlink>
      <w:r>
        <w:t> </w:t>
      </w:r>
      <w:r w:rsidRPr="002029AF">
        <w:t>&lt;</w:t>
      </w:r>
      <w:r w:rsidRPr="00883BF9">
        <w:t>https://www.health.vic.gov.au/leadership-charter</w:t>
      </w:r>
      <w:r w:rsidRPr="002029AF">
        <w:t>&gt;.</w:t>
      </w:r>
    </w:p>
    <w:p w14:paraId="747AD9CB" w14:textId="1BEDF44F" w:rsidR="007E11ED" w:rsidRPr="002029AF" w:rsidRDefault="007E11ED" w:rsidP="007E11ED">
      <w:pPr>
        <w:pStyle w:val="Heading3"/>
      </w:pPr>
      <w:r w:rsidRPr="002029AF">
        <w:t>Changes to the department</w:t>
      </w:r>
      <w:bookmarkEnd w:id="36"/>
      <w:bookmarkEnd w:id="37"/>
    </w:p>
    <w:p w14:paraId="2802381C" w14:textId="66F6ACAC" w:rsidR="007E11ED" w:rsidRDefault="007E11ED" w:rsidP="007E11ED">
      <w:pPr>
        <w:pStyle w:val="ARbody"/>
      </w:pPr>
      <w:r>
        <w:t>Several changes were made to the department in</w:t>
      </w:r>
      <w:r w:rsidR="00690740">
        <w:t> </w:t>
      </w:r>
      <w:r>
        <w:t>2021–22</w:t>
      </w:r>
      <w:r w:rsidR="00640F43">
        <w:t>:</w:t>
      </w:r>
    </w:p>
    <w:p w14:paraId="782F4B48" w14:textId="4DB22DFC" w:rsidR="007E11ED" w:rsidRPr="00C36165" w:rsidRDefault="007E11ED" w:rsidP="007E11ED">
      <w:pPr>
        <w:pStyle w:val="ARbullet1"/>
      </w:pPr>
      <w:r w:rsidRPr="00C36165">
        <w:t>On 26 July 2021</w:t>
      </w:r>
      <w:r>
        <w:t>,</w:t>
      </w:r>
      <w:r w:rsidRPr="00C36165">
        <w:t xml:space="preserve"> </w:t>
      </w:r>
      <w:r w:rsidR="002531F7">
        <w:t xml:space="preserve">the </w:t>
      </w:r>
      <w:r w:rsidRPr="00C36165">
        <w:t xml:space="preserve">staff and functions of Mental Health Reform Victoria were integrated into the Mental Health and Wellbeing </w:t>
      </w:r>
      <w:r w:rsidR="003F2489">
        <w:t>d</w:t>
      </w:r>
      <w:r w:rsidRPr="00C36165">
        <w:t>ivision</w:t>
      </w:r>
      <w:r w:rsidR="00A63A28">
        <w:t>. This fulfilled</w:t>
      </w:r>
      <w:r w:rsidRPr="00C36165">
        <w:t xml:space="preserve"> a recommendation of the final report of the Royal Commission into Victoria’s Mental Health System.</w:t>
      </w:r>
    </w:p>
    <w:p w14:paraId="49680370" w14:textId="58BDA01D" w:rsidR="007E11ED" w:rsidRPr="00C36165" w:rsidRDefault="007E11ED" w:rsidP="007E11ED">
      <w:pPr>
        <w:pStyle w:val="ARbullet1"/>
      </w:pPr>
      <w:r>
        <w:t xml:space="preserve">On </w:t>
      </w:r>
      <w:r w:rsidRPr="00C36165">
        <w:t>1 August 2021</w:t>
      </w:r>
      <w:r>
        <w:t>,</w:t>
      </w:r>
      <w:r w:rsidR="002531F7">
        <w:t xml:space="preserve"> </w:t>
      </w:r>
      <w:r w:rsidR="002D06AF">
        <w:t>staff</w:t>
      </w:r>
      <w:r w:rsidRPr="00C36165">
        <w:t xml:space="preserve"> working in regional areas on population health, health protection and area population health, and community wellbeing transferred into the Public Health </w:t>
      </w:r>
      <w:r w:rsidR="003F2489">
        <w:t>d</w:t>
      </w:r>
      <w:r w:rsidRPr="00C36165">
        <w:t>ivision from the Department of Families, Fairness and Housing.</w:t>
      </w:r>
    </w:p>
    <w:p w14:paraId="3658CA50" w14:textId="1CE2D88B" w:rsidR="007E11ED" w:rsidRPr="00725490" w:rsidRDefault="007E11ED" w:rsidP="007E11ED">
      <w:pPr>
        <w:pStyle w:val="ARbullet1"/>
      </w:pPr>
      <w:r>
        <w:t>In the period</w:t>
      </w:r>
      <w:r w:rsidRPr="00725490">
        <w:t xml:space="preserve"> 1 May </w:t>
      </w:r>
      <w:r>
        <w:t xml:space="preserve">to 30 June </w:t>
      </w:r>
      <w:r w:rsidRPr="00725490">
        <w:t xml:space="preserve">2022, the COVID-19 Response </w:t>
      </w:r>
      <w:r w:rsidR="003F2489">
        <w:t>d</w:t>
      </w:r>
      <w:r w:rsidRPr="00725490">
        <w:t xml:space="preserve">ivision was restructured as the </w:t>
      </w:r>
      <w:r w:rsidRPr="00AE42A6">
        <w:t xml:space="preserve">COVID-19 </w:t>
      </w:r>
      <w:r>
        <w:t>Program</w:t>
      </w:r>
      <w:r w:rsidRPr="00AE42A6">
        <w:t xml:space="preserve"> </w:t>
      </w:r>
      <w:r w:rsidR="003F2489">
        <w:t>b</w:t>
      </w:r>
      <w:r w:rsidRPr="00AE42A6">
        <w:t xml:space="preserve">ranch </w:t>
      </w:r>
      <w:r w:rsidRPr="00725490">
        <w:t xml:space="preserve">within the Public Health </w:t>
      </w:r>
      <w:r w:rsidR="003F2489">
        <w:t>d</w:t>
      </w:r>
      <w:r w:rsidRPr="00725490">
        <w:t>ivision.</w:t>
      </w:r>
    </w:p>
    <w:p w14:paraId="075624C0" w14:textId="0FFC6D8D" w:rsidR="007E11ED" w:rsidRDefault="007E11ED" w:rsidP="0008648C">
      <w:pPr>
        <w:pStyle w:val="ARbodyafterbullets"/>
      </w:pPr>
      <w:r>
        <w:t xml:space="preserve">The department has also made changes to its output structure for 2021–22 to better align with standard output practice across government. These are outlined on page 224 of </w:t>
      </w:r>
      <w:r w:rsidRPr="00BA199C">
        <w:rPr>
          <w:i/>
          <w:iCs/>
        </w:rPr>
        <w:t>20</w:t>
      </w:r>
      <w:r w:rsidR="005E4358">
        <w:rPr>
          <w:i/>
          <w:iCs/>
        </w:rPr>
        <w:t>21–22</w:t>
      </w:r>
      <w:r w:rsidRPr="00BA199C">
        <w:rPr>
          <w:i/>
          <w:iCs/>
        </w:rPr>
        <w:t xml:space="preserve"> Budget Paper No. 3 – Service Delivery</w:t>
      </w:r>
      <w:r>
        <w:t xml:space="preserve"> and reported against in the </w:t>
      </w:r>
      <w:hyperlink w:anchor="_Performance_reporting" w:history="1">
        <w:r w:rsidR="00656CF9" w:rsidRPr="00656CF9">
          <w:rPr>
            <w:rStyle w:val="Hyperlink"/>
          </w:rPr>
          <w:t>Performance reporting</w:t>
        </w:r>
      </w:hyperlink>
      <w:r w:rsidR="00656CF9">
        <w:t xml:space="preserve"> </w:t>
      </w:r>
      <w:r>
        <w:t>section of this report.</w:t>
      </w:r>
    </w:p>
    <w:p w14:paraId="0ECC8A62" w14:textId="62038659" w:rsidR="007E11ED" w:rsidRDefault="00951432" w:rsidP="007E11ED">
      <w:pPr>
        <w:pStyle w:val="ARbody"/>
      </w:pPr>
      <w:hyperlink w:anchor="_Section_2:_Governance_1" w:history="1">
        <w:r w:rsidR="00E701CA" w:rsidRPr="009E6E60">
          <w:rPr>
            <w:rStyle w:val="Hyperlink"/>
          </w:rPr>
          <w:t>Section 2: Governance and organisational structure</w:t>
        </w:r>
      </w:hyperlink>
      <w:r w:rsidR="00E701CA" w:rsidRPr="009E6E60">
        <w:t xml:space="preserve"> </w:t>
      </w:r>
      <w:r w:rsidR="007E11ED" w:rsidRPr="009E6E60">
        <w:t>cont</w:t>
      </w:r>
      <w:r w:rsidR="007E11ED">
        <w:t>ains information on the department’s senior executives and organisational structure as at 30 June 2022.</w:t>
      </w:r>
    </w:p>
    <w:p w14:paraId="1A858992" w14:textId="77777777" w:rsidR="007E11ED" w:rsidRPr="002029AF" w:rsidRDefault="007E11ED" w:rsidP="0008648C">
      <w:pPr>
        <w:pStyle w:val="Heading2"/>
      </w:pPr>
      <w:bookmarkStart w:id="39" w:name="_Toc85120969"/>
      <w:bookmarkStart w:id="40" w:name="_Toc85121596"/>
      <w:bookmarkStart w:id="41" w:name="_Ref85202646"/>
      <w:bookmarkStart w:id="42" w:name="_Ref85203753"/>
      <w:bookmarkStart w:id="43" w:name="_Toc102734473"/>
      <w:bookmarkStart w:id="44" w:name="_Ref112852470"/>
      <w:bookmarkStart w:id="45" w:name="_Toc113702908"/>
      <w:r w:rsidRPr="002029AF">
        <w:t>S</w:t>
      </w:r>
      <w:r>
        <w:t>ubsequent events</w:t>
      </w:r>
      <w:bookmarkEnd w:id="39"/>
      <w:bookmarkEnd w:id="40"/>
      <w:bookmarkEnd w:id="41"/>
      <w:bookmarkEnd w:id="42"/>
      <w:bookmarkEnd w:id="43"/>
      <w:bookmarkEnd w:id="44"/>
      <w:bookmarkEnd w:id="45"/>
    </w:p>
    <w:p w14:paraId="0FFB6608" w14:textId="77777777" w:rsidR="007E11ED" w:rsidRPr="002029AF" w:rsidRDefault="007E11ED" w:rsidP="007E11ED">
      <w:pPr>
        <w:pStyle w:val="ARbody"/>
      </w:pPr>
      <w:r>
        <w:t>The following departmental events occurred after </w:t>
      </w:r>
      <w:r w:rsidRPr="002029AF">
        <w:t xml:space="preserve">the </w:t>
      </w:r>
      <w:r>
        <w:t xml:space="preserve">end of the </w:t>
      </w:r>
      <w:r w:rsidRPr="002029AF">
        <w:t>reporting period:</w:t>
      </w:r>
    </w:p>
    <w:p w14:paraId="0814DAA9" w14:textId="3C45F327" w:rsidR="00780C93" w:rsidRDefault="00780C93" w:rsidP="007E11ED">
      <w:pPr>
        <w:pStyle w:val="ARbullet1"/>
      </w:pPr>
      <w:r>
        <w:t xml:space="preserve">On 1 July 2022, the </w:t>
      </w:r>
      <w:r w:rsidR="00E72F07" w:rsidRPr="00E72F07">
        <w:t>Suicide Prevention and Response Office</w:t>
      </w:r>
      <w:r w:rsidR="00E72F07">
        <w:t xml:space="preserve"> was established</w:t>
      </w:r>
      <w:r w:rsidR="00001E2A">
        <w:t xml:space="preserve"> within</w:t>
      </w:r>
      <w:r w:rsidR="000A4414">
        <w:t xml:space="preserve"> the department’s </w:t>
      </w:r>
      <w:r w:rsidR="000A4414" w:rsidRPr="000A4414">
        <w:t>Mental Health and Wellbeing division</w:t>
      </w:r>
      <w:r w:rsidR="00E72F07">
        <w:t xml:space="preserve">. Further information </w:t>
      </w:r>
      <w:r w:rsidR="00B3192F">
        <w:t xml:space="preserve">on this office is included under the heading: </w:t>
      </w:r>
      <w:hyperlink w:anchor="_Reduce_the_suicide" w:history="1">
        <w:r w:rsidR="00B3192F" w:rsidRPr="00B3192F">
          <w:rPr>
            <w:rStyle w:val="Hyperlink"/>
          </w:rPr>
          <w:t>Reduce the suicide rate</w:t>
        </w:r>
      </w:hyperlink>
      <w:r w:rsidR="00B3192F">
        <w:t>.</w:t>
      </w:r>
    </w:p>
    <w:p w14:paraId="22996D0B" w14:textId="067315B8" w:rsidR="007E11ED" w:rsidRPr="00A35186" w:rsidRDefault="007E11ED" w:rsidP="007E11ED">
      <w:pPr>
        <w:pStyle w:val="ARbullet1"/>
      </w:pPr>
      <w:r w:rsidRPr="00A35186">
        <w:t xml:space="preserve">On </w:t>
      </w:r>
      <w:r w:rsidR="00B00BB6" w:rsidRPr="00A35186">
        <w:t>31</w:t>
      </w:r>
      <w:r w:rsidRPr="00A35186">
        <w:t xml:space="preserve"> August 2022, the department published its </w:t>
      </w:r>
      <w:r w:rsidRPr="00A35186">
        <w:rPr>
          <w:i/>
          <w:iCs/>
        </w:rPr>
        <w:t>Operational Plan 202</w:t>
      </w:r>
      <w:r w:rsidR="005E4358" w:rsidRPr="00A35186">
        <w:rPr>
          <w:i/>
          <w:iCs/>
        </w:rPr>
        <w:t>2–</w:t>
      </w:r>
      <w:r w:rsidRPr="00A35186">
        <w:rPr>
          <w:i/>
          <w:iCs/>
        </w:rPr>
        <w:t>23</w:t>
      </w:r>
      <w:r w:rsidR="00A35186" w:rsidRPr="00A35186">
        <w:t xml:space="preserve">. This document </w:t>
      </w:r>
      <w:r w:rsidR="00980554" w:rsidRPr="00A35186">
        <w:t xml:space="preserve">outlines the department’s </w:t>
      </w:r>
      <w:r w:rsidR="00B00BB6" w:rsidRPr="00A35186">
        <w:t>priorities for the next year</w:t>
      </w:r>
      <w:r w:rsidRPr="00A35186">
        <w:t>.</w:t>
      </w:r>
    </w:p>
    <w:p w14:paraId="7017FCD4" w14:textId="77777777" w:rsidR="007E11ED" w:rsidRDefault="007E11ED" w:rsidP="007E11ED">
      <w:pPr>
        <w:pStyle w:val="ARbullet1"/>
        <w:numPr>
          <w:ilvl w:val="0"/>
          <w:numId w:val="0"/>
        </w:numPr>
        <w:ind w:left="284" w:hanging="284"/>
      </w:pPr>
    </w:p>
    <w:p w14:paraId="11860A56" w14:textId="77777777" w:rsidR="007E11ED" w:rsidRDefault="007E11ED" w:rsidP="00FC2FC2">
      <w:pPr>
        <w:pStyle w:val="ARbody"/>
        <w:rPr>
          <w:lang w:eastAsia="x-none"/>
        </w:rPr>
        <w:sectPr w:rsidR="007E11ED" w:rsidSect="007E11ED">
          <w:footnotePr>
            <w:numFmt w:val="lowerLetter"/>
            <w:numRestart w:val="eachPage"/>
          </w:footnotePr>
          <w:endnotePr>
            <w:numFmt w:val="decimal"/>
          </w:endnotePr>
          <w:pgSz w:w="11900" w:h="16840" w:code="9"/>
          <w:pgMar w:top="1985" w:right="1134" w:bottom="851" w:left="1134" w:header="510" w:footer="340" w:gutter="0"/>
          <w:cols w:num="2" w:space="454"/>
          <w15:footnoteColumns w:val="1"/>
        </w:sectPr>
      </w:pPr>
      <w:bookmarkStart w:id="46" w:name="_Hlk17715698"/>
      <w:bookmarkStart w:id="47" w:name="_Hlk52519565"/>
      <w:bookmarkEnd w:id="38"/>
      <w:bookmarkEnd w:id="46"/>
      <w:bookmarkEnd w:id="47"/>
    </w:p>
    <w:p w14:paraId="5AF1A040" w14:textId="77777777" w:rsidR="00603B69" w:rsidRDefault="00603B69" w:rsidP="00A80D94">
      <w:pPr>
        <w:pStyle w:val="Heading2"/>
        <w:spacing w:before="0" w:after="320"/>
      </w:pPr>
      <w:bookmarkStart w:id="48" w:name="_Toc85120970"/>
      <w:bookmarkStart w:id="49" w:name="_Toc85121597"/>
      <w:bookmarkStart w:id="50" w:name="_Ref85202790"/>
      <w:bookmarkStart w:id="51" w:name="_Toc102734474"/>
      <w:bookmarkStart w:id="52" w:name="_Ref112848159"/>
      <w:bookmarkStart w:id="53" w:name="_Ref112848224"/>
      <w:bookmarkStart w:id="54" w:name="_Toc113702909"/>
      <w:r>
        <w:lastRenderedPageBreak/>
        <w:t>Portfolio performance reporting – non-financial</w:t>
      </w:r>
      <w:bookmarkEnd w:id="48"/>
      <w:bookmarkEnd w:id="49"/>
      <w:bookmarkEnd w:id="50"/>
      <w:bookmarkEnd w:id="51"/>
      <w:bookmarkEnd w:id="52"/>
      <w:bookmarkEnd w:id="53"/>
      <w:bookmarkEnd w:id="54"/>
    </w:p>
    <w:p w14:paraId="7BA4C9EC" w14:textId="20A91ACE" w:rsidR="00910889" w:rsidRPr="00F91692" w:rsidRDefault="00603B69" w:rsidP="00603B69">
      <w:pPr>
        <w:pStyle w:val="ARintro"/>
      </w:pPr>
      <w:r w:rsidRPr="00D311BA">
        <w:t xml:space="preserve">The department is required to report on its performance against the objectives </w:t>
      </w:r>
      <w:r w:rsidR="00D46870" w:rsidRPr="00D311BA">
        <w:t xml:space="preserve">set out </w:t>
      </w:r>
      <w:r w:rsidRPr="00D311BA">
        <w:t xml:space="preserve">in </w:t>
      </w:r>
      <w:bookmarkStart w:id="55" w:name="_Hlk110261452"/>
      <w:r w:rsidRPr="00D311BA">
        <w:rPr>
          <w:i/>
          <w:iCs/>
        </w:rPr>
        <w:t>2021–22 Budget Paper No. 3 – Service Delivery</w:t>
      </w:r>
      <w:bookmarkEnd w:id="55"/>
      <w:r w:rsidR="00910889" w:rsidRPr="00D311BA">
        <w:t xml:space="preserve"> and the department</w:t>
      </w:r>
      <w:r w:rsidR="00231FAF" w:rsidRPr="00D311BA">
        <w:t>’</w:t>
      </w:r>
      <w:r w:rsidR="00910889" w:rsidRPr="00D311BA">
        <w:t xml:space="preserve">s </w:t>
      </w:r>
      <w:r w:rsidR="003E5B13" w:rsidRPr="00D311BA">
        <w:t>key</w:t>
      </w:r>
      <w:r w:rsidR="00910889" w:rsidRPr="00D311BA">
        <w:t xml:space="preserve"> priorities </w:t>
      </w:r>
      <w:r w:rsidR="006D6EE0" w:rsidRPr="00D311BA">
        <w:t>set out</w:t>
      </w:r>
      <w:r w:rsidR="00910889" w:rsidRPr="00D311BA">
        <w:t xml:space="preserve"> in</w:t>
      </w:r>
      <w:r w:rsidR="004940A5">
        <w:t xml:space="preserve"> its</w:t>
      </w:r>
      <w:r w:rsidR="00910889" w:rsidRPr="00D311BA">
        <w:t xml:space="preserve"> </w:t>
      </w:r>
      <w:r w:rsidR="00910889" w:rsidRPr="00D311BA">
        <w:rPr>
          <w:i/>
          <w:iCs/>
        </w:rPr>
        <w:t>Operational Plan 2021–22</w:t>
      </w:r>
      <w:r w:rsidR="00F91692" w:rsidRPr="00D311BA">
        <w:t>.</w:t>
      </w:r>
    </w:p>
    <w:p w14:paraId="6E33B2C0" w14:textId="2CB52565" w:rsidR="00910889" w:rsidRDefault="00910889" w:rsidP="00603B69">
      <w:pPr>
        <w:pStyle w:val="ARintro"/>
      </w:pPr>
      <w:r>
        <w:t>This section is structured acc</w:t>
      </w:r>
      <w:r w:rsidR="004564E8">
        <w:t>ording to the following four objectives:</w:t>
      </w:r>
    </w:p>
    <w:bookmarkStart w:id="56" w:name="_Hlk104195333"/>
    <w:p w14:paraId="744BFC70" w14:textId="4EDEE6F8" w:rsidR="00603B69" w:rsidRDefault="00603B69" w:rsidP="00603B69">
      <w:pPr>
        <w:pStyle w:val="ARintrobullet1"/>
      </w:pPr>
      <w:r>
        <w:fldChar w:fldCharType="begin"/>
      </w:r>
      <w:r w:rsidR="00174A83">
        <w:instrText>HYPERLINK  \l "Objective1"</w:instrText>
      </w:r>
      <w:r>
        <w:fldChar w:fldCharType="separate"/>
      </w:r>
      <w:r w:rsidRPr="69AF2822">
        <w:rPr>
          <w:rStyle w:val="Hyperlink"/>
        </w:rPr>
        <w:t>Objective 1: Victorians have good physical health</w:t>
      </w:r>
      <w:r>
        <w:fldChar w:fldCharType="end"/>
      </w:r>
    </w:p>
    <w:bookmarkEnd w:id="56"/>
    <w:p w14:paraId="2220436F" w14:textId="39F357A4" w:rsidR="00603B69" w:rsidRDefault="00603B69" w:rsidP="00603B69">
      <w:pPr>
        <w:pStyle w:val="ARintrobullet1"/>
      </w:pPr>
      <w:r>
        <w:fldChar w:fldCharType="begin"/>
      </w:r>
      <w:r w:rsidR="00174A83">
        <w:instrText>HYPERLINK  \l "Objective2"</w:instrText>
      </w:r>
      <w:r>
        <w:fldChar w:fldCharType="separate"/>
      </w:r>
      <w:r w:rsidRPr="69AF2822">
        <w:rPr>
          <w:rStyle w:val="Hyperlink"/>
        </w:rPr>
        <w:t>Objective 2: Victorians have good mental health</w:t>
      </w:r>
      <w:r>
        <w:fldChar w:fldCharType="end"/>
      </w:r>
    </w:p>
    <w:p w14:paraId="4AC7BEC8" w14:textId="63869127" w:rsidR="00603B69" w:rsidRDefault="00951432" w:rsidP="00603B69">
      <w:pPr>
        <w:pStyle w:val="ARintrobullet1"/>
      </w:pPr>
      <w:hyperlink w:anchor="Objective3" w:history="1">
        <w:r w:rsidR="00603B69" w:rsidRPr="2D2963A7">
          <w:rPr>
            <w:rStyle w:val="Hyperlink"/>
          </w:rPr>
          <w:t>Objective 3: Victorians act to protect and promote health</w:t>
        </w:r>
      </w:hyperlink>
    </w:p>
    <w:p w14:paraId="6BEEE71B" w14:textId="48DEEF0E" w:rsidR="00603B69" w:rsidRPr="00663197" w:rsidRDefault="00951432" w:rsidP="00603B69">
      <w:pPr>
        <w:pStyle w:val="ARintrobullet1"/>
        <w:rPr>
          <w:rStyle w:val="Hyperlink"/>
          <w:color w:val="53565A"/>
          <w:u w:val="none"/>
        </w:rPr>
      </w:pPr>
      <w:hyperlink w:anchor="Objective4" w:history="1">
        <w:r w:rsidR="00603B69" w:rsidRPr="2D2963A7">
          <w:rPr>
            <w:rStyle w:val="Hyperlink"/>
          </w:rPr>
          <w:t>Objective 4: Victorian health services are person</w:t>
        </w:r>
        <w:r w:rsidR="00244986">
          <w:rPr>
            <w:rStyle w:val="Hyperlink"/>
          </w:rPr>
          <w:t xml:space="preserve"> </w:t>
        </w:r>
        <w:r w:rsidR="00603B69" w:rsidRPr="2D2963A7">
          <w:rPr>
            <w:rStyle w:val="Hyperlink"/>
          </w:rPr>
          <w:t>centred and sustainable</w:t>
        </w:r>
      </w:hyperlink>
    </w:p>
    <w:p w14:paraId="64C01450" w14:textId="33203BBB" w:rsidR="00150063" w:rsidRDefault="00FA5886" w:rsidP="009A2B51">
      <w:pPr>
        <w:pStyle w:val="ARintro"/>
        <w:spacing w:before="120"/>
      </w:pPr>
      <w:r>
        <w:t xml:space="preserve">Within these </w:t>
      </w:r>
      <w:r w:rsidR="00670A16">
        <w:t>objective</w:t>
      </w:r>
      <w:r>
        <w:t>s</w:t>
      </w:r>
      <w:r w:rsidR="00740196">
        <w:t>,</w:t>
      </w:r>
      <w:r w:rsidR="00D311BA">
        <w:t xml:space="preserve"> the department is required to report on the following</w:t>
      </w:r>
      <w:r w:rsidR="00663197">
        <w:t>:</w:t>
      </w:r>
    </w:p>
    <w:p w14:paraId="5ACC6175" w14:textId="00A217BA" w:rsidR="00663197" w:rsidRPr="0020369A" w:rsidRDefault="009F005A" w:rsidP="00496CFF">
      <w:pPr>
        <w:pStyle w:val="ARintrobullet1"/>
        <w:rPr>
          <w:szCs w:val="22"/>
        </w:rPr>
      </w:pPr>
      <w:r w:rsidRPr="0020369A">
        <w:rPr>
          <w:szCs w:val="22"/>
        </w:rPr>
        <w:t>Objective indicators</w:t>
      </w:r>
      <w:r w:rsidR="003E5B13" w:rsidRPr="0020369A">
        <w:rPr>
          <w:szCs w:val="22"/>
        </w:rPr>
        <w:t xml:space="preserve">, </w:t>
      </w:r>
      <w:r w:rsidR="00E9076D" w:rsidRPr="0020369A">
        <w:rPr>
          <w:szCs w:val="22"/>
        </w:rPr>
        <w:t>as</w:t>
      </w:r>
      <w:r w:rsidR="00FE201B" w:rsidRPr="0020369A">
        <w:rPr>
          <w:szCs w:val="22"/>
        </w:rPr>
        <w:t xml:space="preserve"> </w:t>
      </w:r>
      <w:r w:rsidR="003E5B13" w:rsidRPr="0020369A">
        <w:rPr>
          <w:szCs w:val="22"/>
        </w:rPr>
        <w:t xml:space="preserve">set out in </w:t>
      </w:r>
      <w:r w:rsidR="003E5B13" w:rsidRPr="0020369A">
        <w:rPr>
          <w:i/>
          <w:iCs/>
          <w:szCs w:val="22"/>
        </w:rPr>
        <w:t>2021–22 Budget Paper No. 3 – Service Delivery</w:t>
      </w:r>
    </w:p>
    <w:p w14:paraId="0E26F8E5" w14:textId="5795B16E" w:rsidR="00656D59" w:rsidRPr="0020369A" w:rsidRDefault="00496CFF" w:rsidP="009A2B51">
      <w:pPr>
        <w:pStyle w:val="ARintrobullet2"/>
      </w:pPr>
      <w:r w:rsidRPr="0020369A">
        <w:t>r</w:t>
      </w:r>
      <w:r w:rsidR="00656D59" w:rsidRPr="0020369A">
        <w:t>educe obesity and increase physical health</w:t>
      </w:r>
      <w:r w:rsidR="00B60E1F" w:rsidRPr="0020369A">
        <w:t xml:space="preserve"> across Victoria</w:t>
      </w:r>
    </w:p>
    <w:p w14:paraId="2F8C5AB2" w14:textId="44B5BACD" w:rsidR="00656D59" w:rsidRPr="0020369A" w:rsidRDefault="00656D59" w:rsidP="00850F95">
      <w:pPr>
        <w:pStyle w:val="ARintrobullet2"/>
      </w:pPr>
      <w:r w:rsidRPr="0020369A">
        <w:t>increase the proportion of children with health</w:t>
      </w:r>
      <w:r w:rsidR="007006D4" w:rsidRPr="0020369A">
        <w:t>y</w:t>
      </w:r>
      <w:r w:rsidRPr="0020369A">
        <w:t xml:space="preserve"> birth weight – with a focus on reducing smoking in pregnancy</w:t>
      </w:r>
    </w:p>
    <w:p w14:paraId="4DA4B3AC" w14:textId="0A96CC39" w:rsidR="00656D59" w:rsidRPr="0020369A" w:rsidRDefault="00656D59" w:rsidP="00850F95">
      <w:pPr>
        <w:pStyle w:val="ARintrobullet2"/>
      </w:pPr>
      <w:r w:rsidRPr="0020369A">
        <w:t>reduce infant mortality</w:t>
      </w:r>
    </w:p>
    <w:p w14:paraId="56255EAD" w14:textId="4A2B94D3" w:rsidR="00656D59" w:rsidRPr="0020369A" w:rsidRDefault="00656D59" w:rsidP="00850F95">
      <w:pPr>
        <w:pStyle w:val="ARintrobullet2"/>
      </w:pPr>
      <w:r w:rsidRPr="0020369A">
        <w:t>reduce inequalities in premature death</w:t>
      </w:r>
    </w:p>
    <w:p w14:paraId="04F9305B" w14:textId="5531F33B" w:rsidR="00656D59" w:rsidRPr="0020369A" w:rsidRDefault="00656D59" w:rsidP="00850F95">
      <w:pPr>
        <w:pStyle w:val="ARintrobullet2"/>
      </w:pPr>
      <w:r w:rsidRPr="0020369A">
        <w:t>reduce the suicide rate</w:t>
      </w:r>
    </w:p>
    <w:p w14:paraId="784D1198" w14:textId="4C28DD12" w:rsidR="00656D59" w:rsidRPr="0020369A" w:rsidRDefault="00656D59" w:rsidP="00850F95">
      <w:pPr>
        <w:pStyle w:val="ARintrobullet2"/>
      </w:pPr>
      <w:r w:rsidRPr="0020369A">
        <w:t>improve rates of self</w:t>
      </w:r>
      <w:r w:rsidR="00B60E1F" w:rsidRPr="0020369A">
        <w:t>-</w:t>
      </w:r>
      <w:r w:rsidRPr="0020369A">
        <w:t>reported health and wellbeing</w:t>
      </w:r>
    </w:p>
    <w:p w14:paraId="671E2049" w14:textId="55B38361" w:rsidR="00656D59" w:rsidRPr="0020369A" w:rsidRDefault="00656D59" w:rsidP="00850F95">
      <w:pPr>
        <w:pStyle w:val="ARintrobullet2"/>
      </w:pPr>
      <w:r w:rsidRPr="0020369A">
        <w:t>reduce deaths resulting from misuse of prescription medicine</w:t>
      </w:r>
    </w:p>
    <w:p w14:paraId="62C40AA2" w14:textId="673BF717" w:rsidR="00656D59" w:rsidRPr="0020369A" w:rsidRDefault="00656D59" w:rsidP="00850F95">
      <w:pPr>
        <w:pStyle w:val="ARintrobullet2"/>
      </w:pPr>
      <w:r w:rsidRPr="0020369A">
        <w:t>increase immunisation coverage rates at two years of age and at school entry</w:t>
      </w:r>
    </w:p>
    <w:p w14:paraId="61DFEC26" w14:textId="50F92AF0" w:rsidR="001A0889" w:rsidRDefault="001A0889" w:rsidP="00850F95">
      <w:pPr>
        <w:pStyle w:val="ARintrobullet2"/>
      </w:pPr>
      <w:r>
        <w:t xml:space="preserve">services </w:t>
      </w:r>
      <w:r w:rsidR="00FE68B0">
        <w:t>are</w:t>
      </w:r>
      <w:r w:rsidRPr="001A0889">
        <w:t xml:space="preserve"> appropriate and available in the right place, at the right time</w:t>
      </w:r>
    </w:p>
    <w:p w14:paraId="49B8FA0F" w14:textId="482BFA87" w:rsidR="001A0889" w:rsidRDefault="001A0889" w:rsidP="00850F95">
      <w:pPr>
        <w:pStyle w:val="ARintrobullet2"/>
      </w:pPr>
      <w:r>
        <w:t xml:space="preserve">services </w:t>
      </w:r>
      <w:r w:rsidRPr="001A0889">
        <w:t>respond to choice, culture, identity, circumstances and goals</w:t>
      </w:r>
    </w:p>
    <w:p w14:paraId="64205050" w14:textId="69FFB66A" w:rsidR="00061F12" w:rsidRDefault="001A0889" w:rsidP="00850F95">
      <w:pPr>
        <w:pStyle w:val="ARintrobullet2"/>
      </w:pPr>
      <w:r>
        <w:t xml:space="preserve">services </w:t>
      </w:r>
      <w:r w:rsidR="00FE68B0">
        <w:t>are</w:t>
      </w:r>
      <w:r w:rsidRPr="001A0889">
        <w:t xml:space="preserve"> efficient and sustainable</w:t>
      </w:r>
    </w:p>
    <w:p w14:paraId="6F310EF3" w14:textId="17B77901" w:rsidR="003C3E00" w:rsidRPr="0020369A" w:rsidRDefault="00061F12" w:rsidP="00850F95">
      <w:pPr>
        <w:pStyle w:val="ARintrobullet2"/>
      </w:pPr>
      <w:r>
        <w:t xml:space="preserve">services </w:t>
      </w:r>
      <w:r w:rsidR="00FE68B0">
        <w:t>are</w:t>
      </w:r>
      <w:r w:rsidR="001A0889" w:rsidRPr="001A0889">
        <w:t xml:space="preserve"> safe, high</w:t>
      </w:r>
      <w:r>
        <w:t>-</w:t>
      </w:r>
      <w:r w:rsidR="001A0889" w:rsidRPr="001A0889">
        <w:t>quality and provide a positive experience</w:t>
      </w:r>
      <w:r w:rsidR="00F5521E">
        <w:t>.</w:t>
      </w:r>
    </w:p>
    <w:p w14:paraId="1F3E598A" w14:textId="425FABBA" w:rsidR="000B4286" w:rsidRPr="0020369A" w:rsidRDefault="003E5B13" w:rsidP="00850F95">
      <w:pPr>
        <w:pStyle w:val="ARintrobullet1"/>
      </w:pPr>
      <w:r w:rsidRPr="0020369A">
        <w:t>Key priorities</w:t>
      </w:r>
      <w:r w:rsidR="00FE201B" w:rsidRPr="0020369A">
        <w:t xml:space="preserve">, </w:t>
      </w:r>
      <w:r w:rsidR="00E9076D" w:rsidRPr="0020369A">
        <w:t>as</w:t>
      </w:r>
      <w:r w:rsidR="00FE201B" w:rsidRPr="0020369A">
        <w:t xml:space="preserve"> set out in</w:t>
      </w:r>
      <w:r w:rsidR="007006D4" w:rsidRPr="0020369A">
        <w:t xml:space="preserve"> the department’s</w:t>
      </w:r>
      <w:r w:rsidR="00FE201B" w:rsidRPr="0020369A">
        <w:t xml:space="preserve"> </w:t>
      </w:r>
      <w:r w:rsidR="00FE201B" w:rsidRPr="0020369A">
        <w:rPr>
          <w:i/>
          <w:iCs/>
        </w:rPr>
        <w:t>Operational Plan 2021–22</w:t>
      </w:r>
      <w:r w:rsidR="00D311BA" w:rsidRPr="0020369A">
        <w:t>:</w:t>
      </w:r>
    </w:p>
    <w:p w14:paraId="10CBC06A" w14:textId="6946868A" w:rsidR="00D311BA" w:rsidRPr="0020369A" w:rsidRDefault="006C3CAB" w:rsidP="00850F95">
      <w:pPr>
        <w:pStyle w:val="ARintrobullet2"/>
      </w:pPr>
      <w:r w:rsidRPr="0020369A">
        <w:t>a</w:t>
      </w:r>
      <w:r w:rsidR="00D311BA" w:rsidRPr="0020369A">
        <w:t xml:space="preserve"> community safe from COVID-19 and other health hazards</w:t>
      </w:r>
    </w:p>
    <w:p w14:paraId="64C95BA5" w14:textId="094EF3B9" w:rsidR="00D311BA" w:rsidRPr="0020369A" w:rsidRDefault="00D311BA" w:rsidP="00850F95">
      <w:pPr>
        <w:pStyle w:val="ARintrobullet2"/>
      </w:pPr>
      <w:r w:rsidRPr="0020369A">
        <w:t>an effective, high-quality mental health system for the community</w:t>
      </w:r>
    </w:p>
    <w:p w14:paraId="34E8A4D9" w14:textId="3B44C32F" w:rsidR="00D311BA" w:rsidRPr="0020369A" w:rsidRDefault="00D311BA" w:rsidP="00850F95">
      <w:pPr>
        <w:pStyle w:val="ARintrobullet2"/>
      </w:pPr>
      <w:r w:rsidRPr="0020369A">
        <w:t>access to high-quality care at the right place and the right time</w:t>
      </w:r>
    </w:p>
    <w:p w14:paraId="10528E0F" w14:textId="21FACF6D" w:rsidR="00D311BA" w:rsidRPr="0020369A" w:rsidRDefault="00D311BA" w:rsidP="00850F95">
      <w:pPr>
        <w:pStyle w:val="ARintrobullet2"/>
      </w:pPr>
      <w:r w:rsidRPr="0020369A">
        <w:t>a supported health workforce delivering the best health outcomes for the community</w:t>
      </w:r>
    </w:p>
    <w:p w14:paraId="2DF45301" w14:textId="2579B59F" w:rsidR="00D311BA" w:rsidRPr="0020369A" w:rsidRDefault="00D311BA" w:rsidP="00850F95">
      <w:pPr>
        <w:pStyle w:val="ARintrobullet2"/>
      </w:pPr>
      <w:r w:rsidRPr="0020369A">
        <w:t>sustainable investments that deliver the greatest impact o</w:t>
      </w:r>
      <w:r w:rsidR="007006D4" w:rsidRPr="0020369A">
        <w:t>n</w:t>
      </w:r>
      <w:r w:rsidRPr="0020369A">
        <w:t xml:space="preserve"> the community’s health</w:t>
      </w:r>
    </w:p>
    <w:p w14:paraId="7C67E52A" w14:textId="72539CA1" w:rsidR="00FE201B" w:rsidRPr="00571711" w:rsidRDefault="00BF3945" w:rsidP="00496CFF">
      <w:pPr>
        <w:pStyle w:val="ARintrobullet1"/>
        <w:rPr>
          <w:szCs w:val="22"/>
        </w:rPr>
      </w:pPr>
      <w:r w:rsidRPr="0020369A">
        <w:rPr>
          <w:szCs w:val="22"/>
        </w:rPr>
        <w:t xml:space="preserve">Objective </w:t>
      </w:r>
      <w:r w:rsidR="007E1745">
        <w:rPr>
          <w:szCs w:val="22"/>
        </w:rPr>
        <w:t xml:space="preserve">indicator </w:t>
      </w:r>
      <w:r w:rsidRPr="0020369A">
        <w:rPr>
          <w:szCs w:val="22"/>
        </w:rPr>
        <w:t xml:space="preserve">results, which are </w:t>
      </w:r>
      <w:r w:rsidR="009A6819" w:rsidRPr="0020369A">
        <w:rPr>
          <w:szCs w:val="22"/>
        </w:rPr>
        <w:t>selected</w:t>
      </w:r>
      <w:r w:rsidR="007A3854" w:rsidRPr="0020369A">
        <w:rPr>
          <w:szCs w:val="22"/>
        </w:rPr>
        <w:t xml:space="preserve"> </w:t>
      </w:r>
      <w:r w:rsidRPr="00571711">
        <w:rPr>
          <w:szCs w:val="22"/>
        </w:rPr>
        <w:t>statistics presented over a four-year period</w:t>
      </w:r>
      <w:r w:rsidR="00F13207" w:rsidRPr="00571711">
        <w:rPr>
          <w:szCs w:val="22"/>
        </w:rPr>
        <w:t>.</w:t>
      </w:r>
    </w:p>
    <w:p w14:paraId="01293272" w14:textId="3653F829" w:rsidR="00C74382" w:rsidRDefault="003C348B" w:rsidP="00C74382">
      <w:pPr>
        <w:pStyle w:val="ARintro"/>
      </w:pPr>
      <w:r>
        <w:t>Further</w:t>
      </w:r>
      <w:r w:rsidR="0061232F">
        <w:t>, a series of</w:t>
      </w:r>
      <w:r w:rsidR="009615D1">
        <w:t xml:space="preserve"> </w:t>
      </w:r>
      <w:r w:rsidR="002933FF">
        <w:t xml:space="preserve">data tables </w:t>
      </w:r>
      <w:r w:rsidR="009A6819">
        <w:t>report</w:t>
      </w:r>
      <w:r w:rsidR="00F91692">
        <w:t>ing</w:t>
      </w:r>
      <w:r w:rsidR="00386888">
        <w:t xml:space="preserve"> detailed </w:t>
      </w:r>
      <w:r w:rsidR="00B1730C" w:rsidRPr="00B1730C">
        <w:t>2021–22</w:t>
      </w:r>
      <w:r w:rsidR="00B1730C">
        <w:t xml:space="preserve"> </w:t>
      </w:r>
      <w:r w:rsidR="009174FD">
        <w:t xml:space="preserve">performance </w:t>
      </w:r>
      <w:r w:rsidR="009A6819">
        <w:t xml:space="preserve">statistics </w:t>
      </w:r>
      <w:r w:rsidR="009174FD">
        <w:t>against output measures</w:t>
      </w:r>
      <w:r w:rsidR="00C74382">
        <w:t xml:space="preserve"> set out in </w:t>
      </w:r>
      <w:r w:rsidR="00C74382" w:rsidRPr="00783365">
        <w:rPr>
          <w:i/>
          <w:iCs/>
        </w:rPr>
        <w:t>202</w:t>
      </w:r>
      <w:r w:rsidR="00C74382">
        <w:rPr>
          <w:i/>
          <w:iCs/>
        </w:rPr>
        <w:t>1</w:t>
      </w:r>
      <w:r w:rsidR="00C74382" w:rsidRPr="00783365">
        <w:rPr>
          <w:i/>
          <w:iCs/>
        </w:rPr>
        <w:t>–2</w:t>
      </w:r>
      <w:r w:rsidR="00C74382">
        <w:rPr>
          <w:i/>
          <w:iCs/>
        </w:rPr>
        <w:t>2</w:t>
      </w:r>
      <w:r w:rsidR="00C74382" w:rsidRPr="00783365">
        <w:rPr>
          <w:i/>
          <w:iCs/>
        </w:rPr>
        <w:t xml:space="preserve"> Budget Paper No. 3 – Service Delivery</w:t>
      </w:r>
      <w:r w:rsidR="009A6819">
        <w:t xml:space="preserve"> are </w:t>
      </w:r>
      <w:r>
        <w:t>presented in the following subsection:</w:t>
      </w:r>
    </w:p>
    <w:p w14:paraId="549F6C03" w14:textId="628DEB71" w:rsidR="00212D14" w:rsidRPr="00212D14" w:rsidRDefault="00951432" w:rsidP="004C7BEF">
      <w:pPr>
        <w:pStyle w:val="ARintrobullet1"/>
        <w:rPr>
          <w:rStyle w:val="Hyperlink"/>
          <w:color w:val="53565A"/>
          <w:u w:val="none"/>
        </w:rPr>
      </w:pPr>
      <w:hyperlink w:anchor="_Performance_reporting">
        <w:r w:rsidR="00C74382" w:rsidRPr="4689E4F2">
          <w:rPr>
            <w:rStyle w:val="Hyperlink"/>
          </w:rPr>
          <w:t>Performance reporting</w:t>
        </w:r>
      </w:hyperlink>
    </w:p>
    <w:p w14:paraId="0136A16C" w14:textId="77777777" w:rsidR="00A80D94" w:rsidRPr="00A80D94" w:rsidRDefault="00A80D94" w:rsidP="00A80D94">
      <w:pPr>
        <w:pStyle w:val="ARbody"/>
      </w:pPr>
      <w:bookmarkStart w:id="57" w:name="_Objective_1:_Victorians"/>
      <w:bookmarkStart w:id="58" w:name="_Ref104215181"/>
      <w:bookmarkEnd w:id="57"/>
      <w:r w:rsidRPr="00A80D94">
        <w:br w:type="page"/>
      </w:r>
    </w:p>
    <w:p w14:paraId="4446D149" w14:textId="63C46A80" w:rsidR="00603B69" w:rsidRDefault="00603B69" w:rsidP="002B17E9">
      <w:pPr>
        <w:pStyle w:val="Heading3forTOC"/>
      </w:pPr>
      <w:bookmarkStart w:id="59" w:name="_Toc113702910"/>
      <w:bookmarkStart w:id="60" w:name="Objective1"/>
      <w:r>
        <w:lastRenderedPageBreak/>
        <w:t xml:space="preserve">Objective 1: </w:t>
      </w:r>
      <w:r w:rsidRPr="009D5CB5">
        <w:t>Victorians have good physical health</w:t>
      </w:r>
      <w:bookmarkEnd w:id="58"/>
      <w:bookmarkEnd w:id="59"/>
    </w:p>
    <w:bookmarkEnd w:id="60"/>
    <w:p w14:paraId="6BD7BBDA" w14:textId="77777777" w:rsidR="00603B69" w:rsidRDefault="00603B69" w:rsidP="00603B69">
      <w:pPr>
        <w:pStyle w:val="ARintro"/>
      </w:pPr>
      <w:r w:rsidRPr="006F45E6">
        <w:t>This objective focuses on good physical health across the lifespan of all Victorians.</w:t>
      </w:r>
      <w:r>
        <w:t xml:space="preserve"> </w:t>
      </w:r>
      <w:r w:rsidRPr="006F45E6">
        <w:t>Physical health is paramount to wellbeing throughout all stages of life.</w:t>
      </w:r>
    </w:p>
    <w:p w14:paraId="614F8A38" w14:textId="218DC5D7" w:rsidR="003F0283" w:rsidRDefault="00603B69" w:rsidP="00603B69">
      <w:pPr>
        <w:pStyle w:val="ARintro"/>
      </w:pPr>
      <w:r w:rsidRPr="00EF228E">
        <w:t xml:space="preserve">Preventative measures to improve healthy living </w:t>
      </w:r>
      <w:r w:rsidR="006C167D">
        <w:t xml:space="preserve">are </w:t>
      </w:r>
      <w:r>
        <w:t>central</w:t>
      </w:r>
      <w:r w:rsidRPr="00EF228E">
        <w:t xml:space="preserve"> to this outcome.</w:t>
      </w:r>
      <w:r>
        <w:t xml:space="preserve"> </w:t>
      </w:r>
      <w:r w:rsidRPr="006F45E6">
        <w:t xml:space="preserve">Improving overall physical health </w:t>
      </w:r>
      <w:r>
        <w:t xml:space="preserve">also </w:t>
      </w:r>
      <w:r w:rsidRPr="006F45E6">
        <w:t xml:space="preserve">relies on </w:t>
      </w:r>
      <w:r>
        <w:t xml:space="preserve">equitable and </w:t>
      </w:r>
      <w:r w:rsidRPr="00582E59">
        <w:t>convenient</w:t>
      </w:r>
      <w:r w:rsidRPr="006F45E6">
        <w:t xml:space="preserve"> access to</w:t>
      </w:r>
      <w:r>
        <w:t xml:space="preserve"> high-quality </w:t>
      </w:r>
      <w:r w:rsidRPr="006F45E6">
        <w:t>care that is safe and</w:t>
      </w:r>
      <w:r w:rsidR="0002459C">
        <w:t> </w:t>
      </w:r>
      <w:r w:rsidRPr="006F45E6">
        <w:t>appropriate.</w:t>
      </w:r>
    </w:p>
    <w:p w14:paraId="35F50AD9" w14:textId="77777777" w:rsidR="003D5E1A" w:rsidRDefault="00603B69" w:rsidP="00603B69">
      <w:pPr>
        <w:pStyle w:val="ARintro"/>
      </w:pPr>
      <w:r>
        <w:t>The rapid emergence and spread of COVID-19 has presented an unprecedented challenge to the health of Victorians</w:t>
      </w:r>
      <w:r w:rsidR="00772483">
        <w:t xml:space="preserve"> over the last two years</w:t>
      </w:r>
      <w:r>
        <w:t>.</w:t>
      </w:r>
    </w:p>
    <w:p w14:paraId="2F603C4E" w14:textId="234AEF7A" w:rsidR="00603B69" w:rsidRDefault="00603B69" w:rsidP="00FA088A">
      <w:pPr>
        <w:pStyle w:val="ARintro"/>
      </w:pPr>
      <w:r w:rsidRPr="00F16844">
        <w:t>A community safe from COVID</w:t>
      </w:r>
      <w:r>
        <w:t>-19</w:t>
      </w:r>
      <w:r w:rsidRPr="00F16844">
        <w:t xml:space="preserve"> and other health </w:t>
      </w:r>
      <w:r>
        <w:t xml:space="preserve">risks or </w:t>
      </w:r>
      <w:r w:rsidRPr="00F16844">
        <w:t>hazards</w:t>
      </w:r>
      <w:r>
        <w:t xml:space="preserve"> is one of the department’s </w:t>
      </w:r>
      <w:r w:rsidR="00582E59">
        <w:t>key</w:t>
      </w:r>
      <w:r w:rsidR="0002459C">
        <w:t> </w:t>
      </w:r>
      <w:r>
        <w:t>priorities.</w:t>
      </w:r>
    </w:p>
    <w:p w14:paraId="418C6A31" w14:textId="77777777" w:rsidR="00FA088A" w:rsidRPr="00FA088A" w:rsidRDefault="00FA088A" w:rsidP="00FA088A">
      <w:pPr>
        <w:pStyle w:val="ARbody"/>
      </w:pPr>
    </w:p>
    <w:p w14:paraId="19F652BB" w14:textId="77777777" w:rsidR="00603B69" w:rsidRPr="002029AF" w:rsidRDefault="00603B69" w:rsidP="00603B69">
      <w:pPr>
        <w:pStyle w:val="ARbody"/>
        <w:sectPr w:rsidR="00603B69" w:rsidRPr="002029AF" w:rsidSect="00603B69">
          <w:headerReference w:type="first" r:id="rId33"/>
          <w:footnotePr>
            <w:numFmt w:val="lowerLetter"/>
            <w:numRestart w:val="eachPage"/>
          </w:footnotePr>
          <w:endnotePr>
            <w:numFmt w:val="decimal"/>
          </w:endnotePr>
          <w:pgSz w:w="11900" w:h="16840" w:code="9"/>
          <w:pgMar w:top="1985" w:right="1134" w:bottom="851" w:left="1134" w:header="510" w:footer="340" w:gutter="0"/>
          <w:cols w:space="454"/>
          <w15:footnoteColumns w:val="1"/>
        </w:sectPr>
      </w:pPr>
    </w:p>
    <w:p w14:paraId="19D093F9" w14:textId="77777777" w:rsidR="00603B69" w:rsidRDefault="00603B69" w:rsidP="00FA088A">
      <w:pPr>
        <w:pStyle w:val="Heading4"/>
      </w:pPr>
      <w:r>
        <w:t>Objective indicators</w:t>
      </w:r>
    </w:p>
    <w:p w14:paraId="56B0A927" w14:textId="6847B628" w:rsidR="00603B69" w:rsidRDefault="00603B69" w:rsidP="00603B69">
      <w:pPr>
        <w:pStyle w:val="Heading5"/>
      </w:pPr>
      <w:r>
        <w:t>Redu</w:t>
      </w:r>
      <w:r w:rsidRPr="002E600E">
        <w:t>ce obesity and increase physical</w:t>
      </w:r>
      <w:r w:rsidR="0002459C">
        <w:t> </w:t>
      </w:r>
      <w:r w:rsidRPr="002E600E">
        <w:t>activity across Victoria</w:t>
      </w:r>
    </w:p>
    <w:p w14:paraId="7918EA70" w14:textId="666972EF" w:rsidR="005E13F2" w:rsidRDefault="005E13F2" w:rsidP="005E13F2">
      <w:pPr>
        <w:pStyle w:val="ARbody"/>
      </w:pPr>
      <w:r>
        <w:t xml:space="preserve">Over two-thirds of Victorian adults are overweight or obese. </w:t>
      </w:r>
      <w:r w:rsidR="009E281C">
        <w:t>A</w:t>
      </w:r>
      <w:r>
        <w:t xml:space="preserve">round one-quarter of Victorian children are too, and 80 per cent of them will </w:t>
      </w:r>
      <w:r w:rsidR="00B54B47">
        <w:t>remain so as adults</w:t>
      </w:r>
      <w:r>
        <w:t>.</w:t>
      </w:r>
      <w:r w:rsidR="007C31E6">
        <w:t xml:space="preserve"> Tackling obesity requires a long-term </w:t>
      </w:r>
      <w:r w:rsidR="00C02911">
        <w:t>investment and effort.</w:t>
      </w:r>
    </w:p>
    <w:p w14:paraId="11292A2C" w14:textId="7AAEF59D" w:rsidR="00107AD3" w:rsidRDefault="00107AD3" w:rsidP="00603B69">
      <w:pPr>
        <w:pStyle w:val="ARbody"/>
      </w:pPr>
      <w:r>
        <w:t>The department</w:t>
      </w:r>
      <w:r w:rsidRPr="00107AD3">
        <w:t xml:space="preserve"> continue</w:t>
      </w:r>
      <w:r>
        <w:t>s</w:t>
      </w:r>
      <w:r w:rsidRPr="00107AD3">
        <w:t xml:space="preserve"> to invest in initiatives to improve the health and wellbeing of </w:t>
      </w:r>
      <w:r>
        <w:t>the</w:t>
      </w:r>
      <w:r w:rsidRPr="00107AD3">
        <w:t xml:space="preserve"> population through a focus on healthy eating and active living. These seek to tackle obesity and thereby address the root cause of the many chronic health conditions that so often lead to premature death, such as diabetes, heart disease and cancer.</w:t>
      </w:r>
    </w:p>
    <w:p w14:paraId="4386EE79" w14:textId="7C2F05A6" w:rsidR="003F0283" w:rsidRDefault="009E281C" w:rsidP="00603B69">
      <w:pPr>
        <w:pStyle w:val="ARbody"/>
      </w:pPr>
      <w:r>
        <w:t xml:space="preserve">In </w:t>
      </w:r>
      <w:r w:rsidR="004D4D20">
        <w:t>2021–22</w:t>
      </w:r>
      <w:r w:rsidR="00603B69">
        <w:t xml:space="preserve"> </w:t>
      </w:r>
      <w:r>
        <w:t xml:space="preserve">there was </w:t>
      </w:r>
      <w:r w:rsidR="00603B69">
        <w:t xml:space="preserve">a renewed effort across Victoria to improve healthy eating and active living, with a </w:t>
      </w:r>
      <w:r w:rsidR="00AB73E3">
        <w:t xml:space="preserve">greater </w:t>
      </w:r>
      <w:r w:rsidR="00603B69">
        <w:t>focus on children, young people and their families.</w:t>
      </w:r>
    </w:p>
    <w:p w14:paraId="3B194F51" w14:textId="7AA8F433" w:rsidR="00603B69" w:rsidRPr="00DF0E79" w:rsidRDefault="00DD5D28" w:rsidP="00603B69">
      <w:pPr>
        <w:pStyle w:val="Heading6"/>
      </w:pPr>
      <w:r w:rsidRPr="00DD5D28">
        <w:t>Healthy kids, healthy futures</w:t>
      </w:r>
    </w:p>
    <w:p w14:paraId="42A8F88A" w14:textId="7E229B75" w:rsidR="003F0283" w:rsidRDefault="00DD5D28" w:rsidP="00603B69">
      <w:pPr>
        <w:pStyle w:val="ARbody"/>
      </w:pPr>
      <w:r w:rsidRPr="00DD5D28">
        <w:rPr>
          <w:i/>
          <w:iCs/>
        </w:rPr>
        <w:t>Healthy kids, healthy futures</w:t>
      </w:r>
      <w:r w:rsidR="00603B69">
        <w:t xml:space="preserve"> is a whole of government plan to support children and young people to be healthy, active and well</w:t>
      </w:r>
      <w:r w:rsidR="00107AD3">
        <w:t>, laying</w:t>
      </w:r>
      <w:r w:rsidR="00603B69">
        <w:t xml:space="preserve"> the foundations </w:t>
      </w:r>
      <w:r w:rsidR="00603B69" w:rsidRPr="00772483">
        <w:t>for lifelong</w:t>
      </w:r>
      <w:r w:rsidR="00603B69">
        <w:t xml:space="preserve"> health and </w:t>
      </w:r>
      <w:r w:rsidR="004F56C6">
        <w:t>wellbeing</w:t>
      </w:r>
      <w:r w:rsidR="00603B69">
        <w:t>. The</w:t>
      </w:r>
      <w:r w:rsidR="00690740">
        <w:t> </w:t>
      </w:r>
      <w:r w:rsidR="00603B69">
        <w:t>plan aims to ensure</w:t>
      </w:r>
      <w:r w:rsidR="004F56C6">
        <w:t xml:space="preserve"> that</w:t>
      </w:r>
      <w:r w:rsidR="00603B69">
        <w:t>:</w:t>
      </w:r>
    </w:p>
    <w:p w14:paraId="72E971D1" w14:textId="3D2606A2" w:rsidR="003D5E1A" w:rsidRDefault="004F56C6" w:rsidP="0008648C">
      <w:pPr>
        <w:pStyle w:val="ARbullet1"/>
      </w:pPr>
      <w:r>
        <w:t>healthier food and drink</w:t>
      </w:r>
      <w:r w:rsidR="00201A04">
        <w:t>s</w:t>
      </w:r>
      <w:r>
        <w:t xml:space="preserve"> are provided and promoted at </w:t>
      </w:r>
      <w:r w:rsidR="00603B69">
        <w:t>the places where children, young people and families gather</w:t>
      </w:r>
    </w:p>
    <w:p w14:paraId="1232707B" w14:textId="36831E17" w:rsidR="003F0283" w:rsidRDefault="00603B69" w:rsidP="0008648C">
      <w:pPr>
        <w:pStyle w:val="ARbullet1"/>
      </w:pPr>
      <w:r>
        <w:t>communities</w:t>
      </w:r>
      <w:r w:rsidR="00C42DEC">
        <w:t xml:space="preserve"> </w:t>
      </w:r>
      <w:r>
        <w:t>focus on improving the health and</w:t>
      </w:r>
      <w:r w:rsidR="00690740">
        <w:t> </w:t>
      </w:r>
      <w:r>
        <w:t>wellbeing of children and young people</w:t>
      </w:r>
    </w:p>
    <w:p w14:paraId="2C2DEFC1" w14:textId="561BA873" w:rsidR="003F0283" w:rsidRDefault="00603B69" w:rsidP="0008648C">
      <w:pPr>
        <w:pStyle w:val="ARbullet1"/>
      </w:pPr>
      <w:r>
        <w:t>young people and families are supported to be</w:t>
      </w:r>
      <w:r w:rsidR="00690740">
        <w:t> </w:t>
      </w:r>
      <w:r>
        <w:t>healthy and to raise healthy kids</w:t>
      </w:r>
    </w:p>
    <w:p w14:paraId="62B10C1B" w14:textId="2C0FBB97" w:rsidR="00603B69" w:rsidRDefault="00603B69" w:rsidP="0008648C">
      <w:pPr>
        <w:pStyle w:val="ARbullet1"/>
      </w:pPr>
      <w:r>
        <w:t>there are more opportunities to be active throughout the day.</w:t>
      </w:r>
    </w:p>
    <w:p w14:paraId="2D0D9034" w14:textId="77777777" w:rsidR="00EC0361" w:rsidRDefault="00603B69" w:rsidP="00EC0361">
      <w:pPr>
        <w:pStyle w:val="ARbodyafterbullets"/>
      </w:pPr>
      <w:r w:rsidRPr="00DF0E79">
        <w:rPr>
          <w:i/>
          <w:iCs/>
        </w:rPr>
        <w:t xml:space="preserve">Healthy </w:t>
      </w:r>
      <w:r w:rsidR="008370C9">
        <w:rPr>
          <w:i/>
          <w:iCs/>
        </w:rPr>
        <w:t>k</w:t>
      </w:r>
      <w:r w:rsidRPr="00DF0E79">
        <w:rPr>
          <w:i/>
          <w:iCs/>
        </w:rPr>
        <w:t xml:space="preserve">ids, Healthy </w:t>
      </w:r>
      <w:r w:rsidR="008370C9">
        <w:rPr>
          <w:i/>
          <w:iCs/>
        </w:rPr>
        <w:t>f</w:t>
      </w:r>
      <w:r w:rsidRPr="00DF0E79">
        <w:rPr>
          <w:i/>
          <w:iCs/>
        </w:rPr>
        <w:t>utures</w:t>
      </w:r>
      <w:r>
        <w:t xml:space="preserve"> establishes the strategic directions that will guide our efforts into the future so that all Victorian children and young people can thrive.</w:t>
      </w:r>
    </w:p>
    <w:p w14:paraId="17926172" w14:textId="4E15954D" w:rsidR="00C42DEC" w:rsidRDefault="00C42DEC" w:rsidP="00EC0361">
      <w:pPr>
        <w:pStyle w:val="Heading6"/>
      </w:pPr>
      <w:r w:rsidRPr="004E3CA5">
        <w:t>Vic Kids Eat Well</w:t>
      </w:r>
    </w:p>
    <w:p w14:paraId="62B6E1C5" w14:textId="0FC8F9AB" w:rsidR="003F0283" w:rsidRDefault="00603B69" w:rsidP="00603B69">
      <w:pPr>
        <w:pStyle w:val="ARbody"/>
      </w:pPr>
      <w:r w:rsidRPr="004E3CA5">
        <w:t xml:space="preserve">Launched in January 2022, </w:t>
      </w:r>
      <w:r w:rsidR="001A2695">
        <w:t>this</w:t>
      </w:r>
      <w:r w:rsidRPr="004E3CA5">
        <w:t xml:space="preserve"> is an initiative </w:t>
      </w:r>
      <w:r w:rsidR="001A2695">
        <w:t xml:space="preserve">that seeks to </w:t>
      </w:r>
      <w:r w:rsidRPr="004E3CA5">
        <w:t>transform food and drink environments in school and community settings</w:t>
      </w:r>
      <w:r w:rsidR="001A2695">
        <w:t>, in</w:t>
      </w:r>
      <w:r w:rsidR="00E22B70">
        <w:t xml:space="preserve"> a</w:t>
      </w:r>
      <w:r w:rsidRPr="004E3CA5">
        <w:t xml:space="preserve"> partnership between Cancer Council Victoria and Nutrition Australia Vic Division.</w:t>
      </w:r>
      <w:r w:rsidR="001A2695" w:rsidRPr="001A2695">
        <w:t xml:space="preserve"> </w:t>
      </w:r>
      <w:r w:rsidR="001A2695" w:rsidRPr="004E3CA5">
        <w:t>Vic Kids Eat Well</w:t>
      </w:r>
      <w:r w:rsidR="00925849">
        <w:t xml:space="preserve"> emphasises fruit and vegetables, healthy snack options, </w:t>
      </w:r>
      <w:r w:rsidR="009E738F">
        <w:t xml:space="preserve">reduced sugar-based beverages and ‘fun’ marketing approaches. </w:t>
      </w:r>
      <w:r w:rsidRPr="004E3CA5">
        <w:t xml:space="preserve">Schools, </w:t>
      </w:r>
      <w:r w:rsidR="004B0106">
        <w:t>before and after</w:t>
      </w:r>
      <w:r w:rsidRPr="004E3CA5">
        <w:t xml:space="preserve"> school care, sporting clubs</w:t>
      </w:r>
      <w:r w:rsidR="00460123">
        <w:t>,</w:t>
      </w:r>
      <w:r w:rsidRPr="004E3CA5">
        <w:t xml:space="preserve"> community facilities and venues of all types can play a role in helping </w:t>
      </w:r>
      <w:r w:rsidR="00813AE7">
        <w:t xml:space="preserve">Victorian </w:t>
      </w:r>
      <w:r w:rsidRPr="004E3CA5">
        <w:t>kids eat well.</w:t>
      </w:r>
    </w:p>
    <w:p w14:paraId="15AA85CC" w14:textId="77777777" w:rsidR="007E38EA" w:rsidRDefault="00603B69" w:rsidP="007E38EA">
      <w:pPr>
        <w:pStyle w:val="Heading6"/>
      </w:pPr>
      <w:r>
        <w:t>Healthy Kids Advisors</w:t>
      </w:r>
    </w:p>
    <w:p w14:paraId="2CBB2080" w14:textId="5B707CBC" w:rsidR="003F0283" w:rsidRDefault="00734961" w:rsidP="00603B69">
      <w:pPr>
        <w:pStyle w:val="ARbody"/>
      </w:pPr>
      <w:r>
        <w:t>This</w:t>
      </w:r>
      <w:r w:rsidR="00603B69">
        <w:t xml:space="preserve"> is </w:t>
      </w:r>
      <w:r>
        <w:t>an</w:t>
      </w:r>
      <w:r w:rsidR="00603B69" w:rsidRPr="00E270D8">
        <w:t xml:space="preserve"> initiative</w:t>
      </w:r>
      <w:r w:rsidR="00603B69">
        <w:t xml:space="preserve"> </w:t>
      </w:r>
      <w:r>
        <w:t xml:space="preserve">to put </w:t>
      </w:r>
      <w:r w:rsidR="00603B69">
        <w:t xml:space="preserve">a positive focus on healthy eating for Victorian children, families and communities. Through </w:t>
      </w:r>
      <w:r w:rsidR="00FC784E">
        <w:t>this initiative</w:t>
      </w:r>
      <w:r w:rsidR="00603B69">
        <w:t xml:space="preserve">, the Stephanie Alexander Kitchen Garden Foundation is bringing </w:t>
      </w:r>
      <w:r w:rsidR="00FC784E">
        <w:t>a</w:t>
      </w:r>
      <w:r w:rsidR="00690740">
        <w:t> </w:t>
      </w:r>
      <w:r w:rsidR="00603B69">
        <w:t>fresh</w:t>
      </w:r>
      <w:r w:rsidR="004B0106">
        <w:t xml:space="preserve"> and</w:t>
      </w:r>
      <w:r w:rsidR="00603B69">
        <w:t xml:space="preserve"> enthusiastic approach to healthy eating to 13 </w:t>
      </w:r>
      <w:r w:rsidR="00C05C6C">
        <w:t>selected Victorian</w:t>
      </w:r>
      <w:r w:rsidR="00603B69">
        <w:t xml:space="preserve"> </w:t>
      </w:r>
      <w:r w:rsidR="00704333">
        <w:t>communities</w:t>
      </w:r>
      <w:r w:rsidR="00FC784E">
        <w:t>.</w:t>
      </w:r>
      <w:r w:rsidR="008C0F1B">
        <w:t xml:space="preserve"> </w:t>
      </w:r>
      <w:r w:rsidR="00603B69">
        <w:t xml:space="preserve">Over 250 people attended the March 2022 </w:t>
      </w:r>
      <w:r w:rsidR="00704333">
        <w:t xml:space="preserve">online </w:t>
      </w:r>
      <w:r w:rsidR="00603B69">
        <w:t>launch, with</w:t>
      </w:r>
      <w:r w:rsidR="00690740">
        <w:t> </w:t>
      </w:r>
      <w:r w:rsidR="00603B69">
        <w:t>local Healthy Kids Advisors now providing hands</w:t>
      </w:r>
      <w:r w:rsidR="00C05C6C">
        <w:noBreakHyphen/>
      </w:r>
      <w:r w:rsidR="00603B69">
        <w:t>on support for Vic Kids Eat Well in their communities.</w:t>
      </w:r>
    </w:p>
    <w:p w14:paraId="7DA617B5" w14:textId="154D893F" w:rsidR="00603B69" w:rsidRDefault="00603B69" w:rsidP="00603B69">
      <w:pPr>
        <w:pStyle w:val="ARbody"/>
      </w:pPr>
      <w:r>
        <w:t>Healthy Kids Advisors communities are aligned to</w:t>
      </w:r>
      <w:r w:rsidR="00690740">
        <w:t> </w:t>
      </w:r>
      <w:r>
        <w:t>the VicHealth Local Government Partnerships</w:t>
      </w:r>
      <w:r w:rsidR="00940425">
        <w:t>. By working together</w:t>
      </w:r>
      <w:r w:rsidR="001D6816">
        <w:t>,</w:t>
      </w:r>
      <w:r w:rsidR="00940425">
        <w:t xml:space="preserve"> the </w:t>
      </w:r>
      <w:r>
        <w:t>focus on good health</w:t>
      </w:r>
      <w:r w:rsidR="008548F0">
        <w:t xml:space="preserve"> is strengthened</w:t>
      </w:r>
      <w:r>
        <w:t xml:space="preserve">. The VicHealth Local Government Partnerships </w:t>
      </w:r>
      <w:r w:rsidR="00CC6EE2">
        <w:t>are</w:t>
      </w:r>
      <w:r>
        <w:t xml:space="preserve"> supporting 23 Victorian councils</w:t>
      </w:r>
      <w:r w:rsidR="0002459C">
        <w:t> </w:t>
      </w:r>
      <w:r>
        <w:t xml:space="preserve">(including all 13 Healthy Kids Advisors communities) to </w:t>
      </w:r>
      <w:r w:rsidR="00CC6EE2">
        <w:t>better support their</w:t>
      </w:r>
      <w:r>
        <w:t xml:space="preserve"> children and young people </w:t>
      </w:r>
      <w:r w:rsidR="00460123">
        <w:t xml:space="preserve">so that they </w:t>
      </w:r>
      <w:r>
        <w:t>have the opportunity to</w:t>
      </w:r>
      <w:r w:rsidR="0002459C">
        <w:t> </w:t>
      </w:r>
      <w:r>
        <w:t>grow up healthy, active and connected.</w:t>
      </w:r>
    </w:p>
    <w:p w14:paraId="67E86560" w14:textId="77777777" w:rsidR="00603B69" w:rsidRDefault="00603B69" w:rsidP="00603B69">
      <w:pPr>
        <w:pStyle w:val="Heading6"/>
      </w:pPr>
      <w:r>
        <w:lastRenderedPageBreak/>
        <w:t>Ongoing efforts</w:t>
      </w:r>
    </w:p>
    <w:p w14:paraId="5A8A7985" w14:textId="3599885A" w:rsidR="003F0283" w:rsidRDefault="00117ACD" w:rsidP="00603B69">
      <w:pPr>
        <w:pStyle w:val="ARbody"/>
      </w:pPr>
      <w:r>
        <w:t>The department also supports a r</w:t>
      </w:r>
      <w:r w:rsidR="00603B69" w:rsidRPr="00370AC4">
        <w:t>ange of</w:t>
      </w:r>
      <w:r w:rsidR="00370AC4" w:rsidRPr="00117ACD">
        <w:t xml:space="preserve"> other</w:t>
      </w:r>
      <w:r w:rsidR="00603B69" w:rsidRPr="00370AC4">
        <w:t xml:space="preserve"> initiatives that contribu</w:t>
      </w:r>
      <w:r w:rsidR="00603B69">
        <w:t>te to preventing obesity and</w:t>
      </w:r>
      <w:r w:rsidR="00690740">
        <w:t> </w:t>
      </w:r>
      <w:r w:rsidR="00603B69">
        <w:t>improving healthy eating and active living.</w:t>
      </w:r>
    </w:p>
    <w:p w14:paraId="6F659A6C" w14:textId="6DAE01FC" w:rsidR="003F0283" w:rsidRDefault="00603B69" w:rsidP="00603B69">
      <w:pPr>
        <w:pStyle w:val="ARbody"/>
      </w:pPr>
      <w:r>
        <w:t xml:space="preserve">The </w:t>
      </w:r>
      <w:r w:rsidRPr="00D91482">
        <w:t>Healthy Schools, Healthy Workers and Healthy</w:t>
      </w:r>
      <w:r w:rsidR="0002459C">
        <w:t> </w:t>
      </w:r>
      <w:r w:rsidRPr="00D91482">
        <w:t>Early Years Achievement Program</w:t>
      </w:r>
      <w:r>
        <w:t xml:space="preserve"> support</w:t>
      </w:r>
      <w:r w:rsidR="00967F7F">
        <w:t>s</w:t>
      </w:r>
      <w:r>
        <w:t xml:space="preserve"> 3,600 organisations, including 53</w:t>
      </w:r>
      <w:r w:rsidR="00866107">
        <w:t xml:space="preserve"> per cent</w:t>
      </w:r>
      <w:r>
        <w:t xml:space="preserve"> of Victorian early years services, 30</w:t>
      </w:r>
      <w:r w:rsidR="00866107" w:rsidRPr="00866107">
        <w:t xml:space="preserve"> </w:t>
      </w:r>
      <w:r w:rsidR="00866107">
        <w:t>per cent</w:t>
      </w:r>
      <w:r>
        <w:t xml:space="preserve"> of Victorian schools and 32</w:t>
      </w:r>
      <w:r w:rsidR="00866107" w:rsidRPr="00866107">
        <w:t xml:space="preserve"> </w:t>
      </w:r>
      <w:r w:rsidR="00866107">
        <w:t>per cent</w:t>
      </w:r>
      <w:r>
        <w:t xml:space="preserve"> of large Victorian workplaces</w:t>
      </w:r>
      <w:r w:rsidR="008C0F1B">
        <w:t>,</w:t>
      </w:r>
      <w:r>
        <w:t xml:space="preserve"> to create healthier places for children and workers. </w:t>
      </w:r>
      <w:r w:rsidR="00D5383A">
        <w:t>The p</w:t>
      </w:r>
      <w:r>
        <w:t>rogram reach</w:t>
      </w:r>
      <w:r w:rsidR="00D5383A">
        <w:t>es over</w:t>
      </w:r>
      <w:r>
        <w:t xml:space="preserve"> 535,000 children and </w:t>
      </w:r>
      <w:r w:rsidR="004D6A4C">
        <w:t>nearly 400</w:t>
      </w:r>
      <w:r>
        <w:t>,000 workers. </w:t>
      </w:r>
    </w:p>
    <w:p w14:paraId="25D6BDB7" w14:textId="7794699B" w:rsidR="003F0283" w:rsidRDefault="00603B69" w:rsidP="00603B69">
      <w:pPr>
        <w:pStyle w:val="ARbody"/>
      </w:pPr>
      <w:r>
        <w:t xml:space="preserve">The </w:t>
      </w:r>
      <w:r w:rsidRPr="00D91482">
        <w:t>Healthy Eating Advisory Service</w:t>
      </w:r>
      <w:r>
        <w:t xml:space="preserve"> delivered by</w:t>
      </w:r>
      <w:r w:rsidR="00690740">
        <w:t> </w:t>
      </w:r>
      <w:r>
        <w:t>Nutrition Australia Vic Division, provides free practical support to hundreds of organisations to</w:t>
      </w:r>
      <w:r w:rsidR="0002459C">
        <w:t> </w:t>
      </w:r>
      <w:r>
        <w:t xml:space="preserve">provide and promote healthier food and drink options. It provides </w:t>
      </w:r>
      <w:r w:rsidR="00835328">
        <w:t xml:space="preserve">dedicated </w:t>
      </w:r>
      <w:r>
        <w:t>service-specific nutrition resources, training, advice and tailored online menu assessments via FoodChecker to</w:t>
      </w:r>
      <w:r w:rsidR="0002459C">
        <w:t> </w:t>
      </w:r>
      <w:r>
        <w:t>early childhood centres, schools, sport and recreation facilities, health services and other workplaces. This year there has been a</w:t>
      </w:r>
      <w:r w:rsidR="00835328">
        <w:t xml:space="preserve"> focused</w:t>
      </w:r>
      <w:r w:rsidR="00D319E4">
        <w:t xml:space="preserve"> initiative with public hospitals to</w:t>
      </w:r>
      <w:r>
        <w:t xml:space="preserve"> introduce healthier </w:t>
      </w:r>
      <w:r w:rsidR="003509D7">
        <w:t>‘</w:t>
      </w:r>
      <w:r>
        <w:t>no sugary drinks</w:t>
      </w:r>
      <w:r w:rsidR="003509D7">
        <w:t>’</w:t>
      </w:r>
      <w:r>
        <w:t xml:space="preserve"> and healthier food services for staff and visitors. </w:t>
      </w:r>
      <w:r w:rsidR="005C540E">
        <w:t>The</w:t>
      </w:r>
      <w:r>
        <w:t xml:space="preserve"> </w:t>
      </w:r>
      <w:r w:rsidR="000F7DFF">
        <w:t>s</w:t>
      </w:r>
      <w:r>
        <w:t xml:space="preserve">ervice has supported over 3,000 individual organisations, </w:t>
      </w:r>
      <w:r w:rsidR="006619C6" w:rsidRPr="006619C6">
        <w:t>reaching nearly 770,000 children and 530,000 adults.</w:t>
      </w:r>
    </w:p>
    <w:p w14:paraId="351110A9" w14:textId="23BA58B9" w:rsidR="003F0283" w:rsidRDefault="00603B69" w:rsidP="00603B69">
      <w:pPr>
        <w:pStyle w:val="ARbody"/>
      </w:pPr>
      <w:r>
        <w:t xml:space="preserve">The </w:t>
      </w:r>
      <w:r w:rsidRPr="00905A6A">
        <w:t xml:space="preserve">INFANT </w:t>
      </w:r>
      <w:r w:rsidR="00A45EFD" w:rsidRPr="00905A6A">
        <w:t>P</w:t>
      </w:r>
      <w:r w:rsidRPr="00905A6A">
        <w:t>rogram</w:t>
      </w:r>
      <w:r>
        <w:t xml:space="preserve"> supports new parents and</w:t>
      </w:r>
      <w:r w:rsidR="0002459C">
        <w:t> </w:t>
      </w:r>
      <w:r>
        <w:t>their child</w:t>
      </w:r>
      <w:r w:rsidR="00967F7F">
        <w:t>ren</w:t>
      </w:r>
      <w:r>
        <w:t xml:space="preserve"> to establish healthier eating and active play from the start</w:t>
      </w:r>
      <w:r w:rsidR="00460123">
        <w:t xml:space="preserve"> of</w:t>
      </w:r>
      <w:r>
        <w:t xml:space="preserve"> </w:t>
      </w:r>
      <w:r w:rsidR="006619C6">
        <w:t>the child’s life</w:t>
      </w:r>
      <w:r>
        <w:t xml:space="preserve">. Services within 30 local government areas are currently being supported to embed INFANT in their existing community health and maternal and child health services. </w:t>
      </w:r>
      <w:r w:rsidR="006F4B63">
        <w:t xml:space="preserve">Over </w:t>
      </w:r>
      <w:r>
        <w:t>5</w:t>
      </w:r>
      <w:r w:rsidR="006F4B63">
        <w:t>00</w:t>
      </w:r>
      <w:r>
        <w:t xml:space="preserve"> health professionals </w:t>
      </w:r>
      <w:r w:rsidR="006F4B63">
        <w:t>have already</w:t>
      </w:r>
      <w:r>
        <w:t xml:space="preserve"> completed the INFANT </w:t>
      </w:r>
      <w:r w:rsidR="00A45EFD">
        <w:t>P</w:t>
      </w:r>
      <w:r>
        <w:t>rogram facilitator training.</w:t>
      </w:r>
    </w:p>
    <w:p w14:paraId="54C6A4C1" w14:textId="111F9E10" w:rsidR="003F0283" w:rsidRDefault="00603B69" w:rsidP="00603B69">
      <w:pPr>
        <w:pStyle w:val="ARbody"/>
      </w:pPr>
      <w:r>
        <w:t xml:space="preserve">The </w:t>
      </w:r>
      <w:r w:rsidRPr="00905A6A">
        <w:t>Life! Helping You Prevent Diabetes, Heart</w:t>
      </w:r>
      <w:r w:rsidR="00690740">
        <w:t> </w:t>
      </w:r>
      <w:r w:rsidRPr="00905A6A">
        <w:t>Disease and Stroke Program</w:t>
      </w:r>
      <w:r>
        <w:t xml:space="preserve"> support</w:t>
      </w:r>
      <w:r w:rsidR="006F4B63">
        <w:t>s</w:t>
      </w:r>
      <w:r>
        <w:t xml:space="preserve"> over</w:t>
      </w:r>
      <w:r w:rsidR="0002459C">
        <w:t> </w:t>
      </w:r>
      <w:r>
        <w:t>5,000 Victorians every year to reach their health and wellbeing goals and reduce their risk of</w:t>
      </w:r>
      <w:r w:rsidR="0002459C">
        <w:t> </w:t>
      </w:r>
      <w:r>
        <w:t>chronic disease. These participants join the 76,000</w:t>
      </w:r>
      <w:r w:rsidR="00690740">
        <w:t> </w:t>
      </w:r>
      <w:r>
        <w:t>Victorians that have participated in the Life!</w:t>
      </w:r>
      <w:r w:rsidR="00690740">
        <w:t> </w:t>
      </w:r>
      <w:r>
        <w:t>Program since it was established in 2008.</w:t>
      </w:r>
    </w:p>
    <w:p w14:paraId="40C34A82" w14:textId="56E5ABA0" w:rsidR="003F0283" w:rsidRDefault="00603B69" w:rsidP="00603B69">
      <w:pPr>
        <w:pStyle w:val="ARbody"/>
      </w:pPr>
      <w:r w:rsidRPr="005161B8">
        <w:t xml:space="preserve">The Victorian Government </w:t>
      </w:r>
      <w:r>
        <w:t xml:space="preserve">also </w:t>
      </w:r>
      <w:r w:rsidRPr="005161B8">
        <w:t xml:space="preserve">continues to support communities through </w:t>
      </w:r>
      <w:r>
        <w:t>the</w:t>
      </w:r>
      <w:r w:rsidRPr="005161B8">
        <w:t xml:space="preserve"> Regional Partnerships</w:t>
      </w:r>
      <w:r>
        <w:t>. In 2022, the government committed to supporting</w:t>
      </w:r>
      <w:r w:rsidRPr="005161B8">
        <w:t xml:space="preserve"> the </w:t>
      </w:r>
      <w:r w:rsidRPr="00905A6A">
        <w:t>Loddon Campaspe Healthy Heart of Victoria</w:t>
      </w:r>
      <w:r w:rsidRPr="00AA604F">
        <w:t xml:space="preserve"> i</w:t>
      </w:r>
      <w:r w:rsidRPr="005161B8">
        <w:t>nitiative</w:t>
      </w:r>
      <w:r w:rsidR="00AD55D5">
        <w:t>,</w:t>
      </w:r>
      <w:r>
        <w:t xml:space="preserve"> </w:t>
      </w:r>
      <w:r w:rsidR="003536BF">
        <w:t>improving</w:t>
      </w:r>
      <w:r w:rsidRPr="005161B8">
        <w:t xml:space="preserve"> the health and wellbeing of people in the Loddon Campaspe Region</w:t>
      </w:r>
      <w:r>
        <w:t>.</w:t>
      </w:r>
    </w:p>
    <w:p w14:paraId="016BA172" w14:textId="77777777" w:rsidR="003F0283" w:rsidRDefault="00603B69" w:rsidP="00603B69">
      <w:pPr>
        <w:pStyle w:val="ARbody"/>
      </w:pPr>
      <w:r>
        <w:t>Together with the efforts of health promoters across the state, these initiatives are working to make a difference to the health and wellbeing of Victorians.</w:t>
      </w:r>
    </w:p>
    <w:p w14:paraId="3BB8F7A8" w14:textId="1F0E44A1" w:rsidR="00603B69" w:rsidRDefault="00603B69" w:rsidP="00603B69">
      <w:pPr>
        <w:pStyle w:val="Heading5"/>
      </w:pPr>
      <w:r>
        <w:t>Increase the proportion of children with healthy birth weight – with a focus on reducing smoking during pregnancy</w:t>
      </w:r>
    </w:p>
    <w:p w14:paraId="4201B32F" w14:textId="02E6C330" w:rsidR="00603B69" w:rsidRPr="00662F6D" w:rsidRDefault="00603B69" w:rsidP="00603B69">
      <w:pPr>
        <w:pStyle w:val="Heading6"/>
      </w:pPr>
      <w:r w:rsidRPr="00662F6D">
        <w:t>Safer Bab</w:t>
      </w:r>
      <w:r w:rsidR="00FD562B" w:rsidRPr="00662F6D">
        <w:t>y</w:t>
      </w:r>
      <w:r w:rsidRPr="00662F6D">
        <w:t xml:space="preserve"> Collaborative</w:t>
      </w:r>
    </w:p>
    <w:p w14:paraId="4467C265" w14:textId="5A3B9A9D" w:rsidR="00471EDC" w:rsidRDefault="00471EDC" w:rsidP="00603B69">
      <w:pPr>
        <w:pStyle w:val="ARbody"/>
      </w:pPr>
      <w:r w:rsidRPr="00471EDC">
        <w:t xml:space="preserve">In 2019 Safer Care Victoria launched </w:t>
      </w:r>
      <w:r w:rsidR="00AA604F">
        <w:t>the Safer Baby C</w:t>
      </w:r>
      <w:r w:rsidRPr="00471EDC">
        <w:t>ollaborative in partnership with 15 Victorian maternity services. Th</w:t>
      </w:r>
      <w:r w:rsidR="00AA604F">
        <w:t>is improvement</w:t>
      </w:r>
      <w:r w:rsidRPr="00471EDC">
        <w:t xml:space="preserve"> collaborative aimed to reduce late pregnancy stillbirth by 20</w:t>
      </w:r>
      <w:r>
        <w:t xml:space="preserve"> per cent</w:t>
      </w:r>
      <w:r w:rsidRPr="00471EDC">
        <w:t>. A key aspect of the initiative was to improve rates of smoking cessation in pregnancy across the</w:t>
      </w:r>
      <w:r w:rsidR="0002459C">
        <w:t> </w:t>
      </w:r>
      <w:r w:rsidRPr="00471EDC">
        <w:t>state.</w:t>
      </w:r>
    </w:p>
    <w:p w14:paraId="246194D9" w14:textId="73120B32" w:rsidR="00F2590C" w:rsidRPr="00662F6D" w:rsidRDefault="00B779CC" w:rsidP="00F2590C">
      <w:pPr>
        <w:pStyle w:val="ARbody"/>
      </w:pPr>
      <w:r>
        <w:t xml:space="preserve">In </w:t>
      </w:r>
      <w:r w:rsidR="001D793D">
        <w:t>2022</w:t>
      </w:r>
      <w:r w:rsidR="00F2590C" w:rsidRPr="00662F6D">
        <w:t xml:space="preserve"> </w:t>
      </w:r>
      <w:r w:rsidR="003F683B" w:rsidRPr="003F683B">
        <w:t>Safer Care Victoria reported that the collaborative had resulted in</w:t>
      </w:r>
      <w:r w:rsidR="00F2590C" w:rsidRPr="00662F6D">
        <w:t>:</w:t>
      </w:r>
    </w:p>
    <w:p w14:paraId="57596770" w14:textId="680E1F04" w:rsidR="003F683B" w:rsidRDefault="00AA604F" w:rsidP="004C7BEF">
      <w:pPr>
        <w:pStyle w:val="ARbullet1"/>
      </w:pPr>
      <w:r>
        <w:t xml:space="preserve">a </w:t>
      </w:r>
      <w:r w:rsidR="003F683B" w:rsidRPr="00662F6D">
        <w:t xml:space="preserve">decrease in the stillbirth rate </w:t>
      </w:r>
      <w:r w:rsidR="003F683B">
        <w:t>of</w:t>
      </w:r>
      <w:r w:rsidR="003F683B" w:rsidRPr="00662F6D">
        <w:t xml:space="preserve"> 21 per cent</w:t>
      </w:r>
    </w:p>
    <w:p w14:paraId="6E9A3AD8" w14:textId="16447FC4" w:rsidR="00F2590C" w:rsidRPr="00662F6D" w:rsidRDefault="00AA604F" w:rsidP="008340C1">
      <w:pPr>
        <w:pStyle w:val="ARbullet1"/>
      </w:pPr>
      <w:r>
        <w:t xml:space="preserve">an </w:t>
      </w:r>
      <w:r w:rsidR="00345A58">
        <w:t xml:space="preserve">increase of 200 per cent </w:t>
      </w:r>
      <w:r>
        <w:t xml:space="preserve">in </w:t>
      </w:r>
      <w:r w:rsidR="00345A58">
        <w:t xml:space="preserve">the proportion of women who stopped smoking during pregnancy, from a rate of </w:t>
      </w:r>
      <w:r w:rsidR="00F2590C" w:rsidRPr="00662F6D">
        <w:t>11 per cent to 33 per cen</w:t>
      </w:r>
      <w:r w:rsidR="00345A58">
        <w:t>t.</w:t>
      </w:r>
    </w:p>
    <w:p w14:paraId="07CF5566" w14:textId="191D346F" w:rsidR="00603B69" w:rsidRDefault="00603B69" w:rsidP="00603B69">
      <w:pPr>
        <w:pStyle w:val="Heading5"/>
      </w:pPr>
      <w:r>
        <w:t>R</w:t>
      </w:r>
      <w:r w:rsidRPr="002E600E">
        <w:t>educe infant mortality</w:t>
      </w:r>
    </w:p>
    <w:p w14:paraId="380BD537" w14:textId="7D02A23E" w:rsidR="00603B69" w:rsidRDefault="00603B69" w:rsidP="00603B69">
      <w:pPr>
        <w:pStyle w:val="Heading6"/>
      </w:pPr>
      <w:r>
        <w:t xml:space="preserve">Infant and </w:t>
      </w:r>
      <w:r w:rsidR="009223E9">
        <w:t>c</w:t>
      </w:r>
      <w:r>
        <w:t>hild</w:t>
      </w:r>
      <w:r w:rsidR="009223E9">
        <w:t xml:space="preserve"> f</w:t>
      </w:r>
      <w:r>
        <w:t xml:space="preserve">irst </w:t>
      </w:r>
      <w:r w:rsidR="009223E9">
        <w:t>a</w:t>
      </w:r>
      <w:r>
        <w:t xml:space="preserve">id and CPR </w:t>
      </w:r>
      <w:r w:rsidR="009223E9">
        <w:t>a</w:t>
      </w:r>
      <w:r>
        <w:t>wareness</w:t>
      </w:r>
    </w:p>
    <w:p w14:paraId="56F1BAF1" w14:textId="445E93FD" w:rsidR="003F0283" w:rsidRPr="00B6503E" w:rsidRDefault="00603B69" w:rsidP="0008648C">
      <w:pPr>
        <w:pStyle w:val="ARbody"/>
        <w:rPr>
          <w:rFonts w:eastAsia="Arial"/>
          <w:color w:val="000000" w:themeColor="text1"/>
          <w:szCs w:val="20"/>
        </w:rPr>
      </w:pPr>
      <w:r w:rsidRPr="00B6503E">
        <w:rPr>
          <w:rFonts w:eastAsia="Arial"/>
          <w:color w:val="000000" w:themeColor="text1"/>
          <w:szCs w:val="20"/>
        </w:rPr>
        <w:t>The 201</w:t>
      </w:r>
      <w:r w:rsidR="005E4358" w:rsidRPr="00B6503E">
        <w:rPr>
          <w:rFonts w:eastAsia="Arial"/>
          <w:color w:val="000000" w:themeColor="text1"/>
          <w:szCs w:val="20"/>
        </w:rPr>
        <w:t>9–</w:t>
      </w:r>
      <w:r w:rsidRPr="00B6503E">
        <w:rPr>
          <w:rFonts w:eastAsia="Arial"/>
          <w:color w:val="000000" w:themeColor="text1"/>
          <w:szCs w:val="20"/>
        </w:rPr>
        <w:t xml:space="preserve">20 State Budget allocated $1.4 million over four years as part of the </w:t>
      </w:r>
      <w:r w:rsidR="00292406">
        <w:rPr>
          <w:rFonts w:eastAsia="Arial"/>
          <w:color w:val="000000" w:themeColor="text1"/>
          <w:szCs w:val="20"/>
        </w:rPr>
        <w:t>g</w:t>
      </w:r>
      <w:r w:rsidRPr="00B6503E">
        <w:rPr>
          <w:rFonts w:eastAsia="Arial"/>
          <w:color w:val="000000" w:themeColor="text1"/>
          <w:szCs w:val="20"/>
        </w:rPr>
        <w:t>overnment</w:t>
      </w:r>
      <w:r w:rsidR="00836ABA" w:rsidRPr="00B6503E">
        <w:rPr>
          <w:rFonts w:eastAsia="Arial"/>
          <w:color w:val="000000" w:themeColor="text1"/>
          <w:szCs w:val="20"/>
        </w:rPr>
        <w:t>’s</w:t>
      </w:r>
      <w:r w:rsidRPr="00B6503E">
        <w:rPr>
          <w:rFonts w:eastAsia="Arial"/>
          <w:color w:val="000000" w:themeColor="text1"/>
          <w:szCs w:val="20"/>
        </w:rPr>
        <w:t xml:space="preserve"> commitment to deliver first aid awareness to new parents.</w:t>
      </w:r>
      <w:r w:rsidR="001330DA">
        <w:rPr>
          <w:rFonts w:eastAsia="Arial"/>
          <w:color w:val="000000" w:themeColor="text1"/>
          <w:szCs w:val="20"/>
        </w:rPr>
        <w:t xml:space="preserve"> </w:t>
      </w:r>
      <w:r w:rsidRPr="00B6503E">
        <w:rPr>
          <w:rFonts w:eastAsia="Arial"/>
          <w:color w:val="000000" w:themeColor="text1"/>
          <w:szCs w:val="20"/>
        </w:rPr>
        <w:t xml:space="preserve">Due to </w:t>
      </w:r>
      <w:r w:rsidR="00836ABA" w:rsidRPr="00B6503E">
        <w:rPr>
          <w:rFonts w:eastAsia="Arial"/>
          <w:color w:val="000000" w:themeColor="text1"/>
          <w:szCs w:val="20"/>
        </w:rPr>
        <w:t xml:space="preserve">restrictions posed by </w:t>
      </w:r>
      <w:r w:rsidRPr="00B6503E">
        <w:rPr>
          <w:rFonts w:eastAsia="Arial"/>
          <w:color w:val="000000" w:themeColor="text1"/>
          <w:szCs w:val="20"/>
        </w:rPr>
        <w:t>COVID</w:t>
      </w:r>
      <w:r w:rsidR="00836ABA" w:rsidRPr="00B6503E">
        <w:rPr>
          <w:rFonts w:eastAsia="Arial"/>
          <w:color w:val="000000" w:themeColor="text1"/>
          <w:szCs w:val="20"/>
        </w:rPr>
        <w:t>-19</w:t>
      </w:r>
      <w:r w:rsidR="001330DA">
        <w:rPr>
          <w:rFonts w:eastAsia="Arial"/>
          <w:color w:val="000000" w:themeColor="text1"/>
          <w:szCs w:val="20"/>
        </w:rPr>
        <w:t xml:space="preserve">, </w:t>
      </w:r>
      <w:r w:rsidR="00160FFC">
        <w:rPr>
          <w:rFonts w:eastAsia="Arial"/>
          <w:color w:val="000000" w:themeColor="text1"/>
          <w:szCs w:val="20"/>
        </w:rPr>
        <w:t>a</w:t>
      </w:r>
      <w:r w:rsidR="00BC5B6C">
        <w:rPr>
          <w:rFonts w:eastAsia="Arial"/>
          <w:color w:val="000000" w:themeColor="text1"/>
          <w:szCs w:val="20"/>
        </w:rPr>
        <w:t> </w:t>
      </w:r>
      <w:r w:rsidR="00160FFC">
        <w:rPr>
          <w:rFonts w:eastAsia="Arial"/>
          <w:color w:val="000000" w:themeColor="text1"/>
          <w:szCs w:val="20"/>
        </w:rPr>
        <w:t>series of</w:t>
      </w:r>
      <w:r w:rsidRPr="00B6503E">
        <w:rPr>
          <w:rFonts w:eastAsia="Arial"/>
          <w:color w:val="000000" w:themeColor="text1"/>
          <w:szCs w:val="20"/>
        </w:rPr>
        <w:t xml:space="preserve"> </w:t>
      </w:r>
      <w:r w:rsidR="009223E9" w:rsidRPr="00B6503E">
        <w:rPr>
          <w:rFonts w:eastAsia="Arial"/>
          <w:color w:val="000000" w:themeColor="text1"/>
          <w:szCs w:val="20"/>
        </w:rPr>
        <w:t>i</w:t>
      </w:r>
      <w:r w:rsidRPr="00B6503E">
        <w:rPr>
          <w:rFonts w:eastAsia="Arial"/>
          <w:color w:val="000000" w:themeColor="text1"/>
          <w:szCs w:val="20"/>
        </w:rPr>
        <w:t xml:space="preserve">nfant and </w:t>
      </w:r>
      <w:r w:rsidR="009223E9" w:rsidRPr="00B6503E">
        <w:rPr>
          <w:rFonts w:eastAsia="Arial"/>
          <w:color w:val="000000" w:themeColor="text1"/>
          <w:szCs w:val="20"/>
        </w:rPr>
        <w:t>c</w:t>
      </w:r>
      <w:r w:rsidRPr="00B6503E">
        <w:rPr>
          <w:rFonts w:eastAsia="Arial"/>
          <w:color w:val="000000" w:themeColor="text1"/>
          <w:szCs w:val="20"/>
        </w:rPr>
        <w:t xml:space="preserve">hild </w:t>
      </w:r>
      <w:r w:rsidR="009223E9" w:rsidRPr="00B6503E">
        <w:rPr>
          <w:rFonts w:eastAsia="Arial"/>
          <w:color w:val="000000" w:themeColor="text1"/>
          <w:szCs w:val="20"/>
        </w:rPr>
        <w:t>f</w:t>
      </w:r>
      <w:r w:rsidRPr="00B6503E">
        <w:rPr>
          <w:rFonts w:eastAsia="Arial"/>
          <w:color w:val="000000" w:themeColor="text1"/>
          <w:szCs w:val="20"/>
        </w:rPr>
        <w:t xml:space="preserve">irst </w:t>
      </w:r>
      <w:r w:rsidR="009223E9" w:rsidRPr="00B6503E">
        <w:rPr>
          <w:rFonts w:eastAsia="Arial"/>
          <w:color w:val="000000" w:themeColor="text1"/>
          <w:szCs w:val="20"/>
        </w:rPr>
        <w:t>a</w:t>
      </w:r>
      <w:r w:rsidRPr="00B6503E">
        <w:rPr>
          <w:rFonts w:eastAsia="Arial"/>
          <w:color w:val="000000" w:themeColor="text1"/>
          <w:szCs w:val="20"/>
        </w:rPr>
        <w:t>id videos</w:t>
      </w:r>
      <w:r w:rsidR="00836ABA" w:rsidRPr="00B6503E">
        <w:rPr>
          <w:rFonts w:eastAsia="Arial"/>
          <w:color w:val="000000" w:themeColor="text1"/>
          <w:szCs w:val="20"/>
        </w:rPr>
        <w:t xml:space="preserve"> were developed</w:t>
      </w:r>
      <w:r w:rsidR="00550D41" w:rsidRPr="00550D41">
        <w:rPr>
          <w:rFonts w:eastAsia="Arial"/>
          <w:color w:val="000000" w:themeColor="text1"/>
          <w:szCs w:val="20"/>
        </w:rPr>
        <w:t>, rather than the in-person training originally planned</w:t>
      </w:r>
      <w:r w:rsidRPr="00B6503E">
        <w:rPr>
          <w:rFonts w:eastAsia="Arial"/>
          <w:color w:val="000000" w:themeColor="text1"/>
          <w:szCs w:val="20"/>
        </w:rPr>
        <w:t>.</w:t>
      </w:r>
    </w:p>
    <w:p w14:paraId="6288FBB9" w14:textId="798E4ACE" w:rsidR="00A564BF" w:rsidRDefault="00603B69" w:rsidP="0008648C">
      <w:pPr>
        <w:pStyle w:val="ARbody"/>
        <w:rPr>
          <w:rFonts w:eastAsia="Arial"/>
          <w:color w:val="000000" w:themeColor="text1"/>
          <w:szCs w:val="20"/>
        </w:rPr>
      </w:pPr>
      <w:r w:rsidRPr="00B6503E">
        <w:rPr>
          <w:rFonts w:eastAsia="Arial"/>
          <w:color w:val="000000" w:themeColor="text1"/>
          <w:szCs w:val="20"/>
        </w:rPr>
        <w:t xml:space="preserve">The free online videos demonstrate </w:t>
      </w:r>
      <w:r w:rsidR="00840472">
        <w:rPr>
          <w:rFonts w:eastAsia="Arial"/>
          <w:color w:val="000000" w:themeColor="text1"/>
          <w:szCs w:val="20"/>
        </w:rPr>
        <w:t>c</w:t>
      </w:r>
      <w:r w:rsidR="00840472" w:rsidRPr="00840472">
        <w:rPr>
          <w:rFonts w:eastAsia="Arial"/>
          <w:color w:val="000000" w:themeColor="text1"/>
          <w:szCs w:val="20"/>
        </w:rPr>
        <w:t xml:space="preserve">ardiopulmonary resuscitation (CPR) </w:t>
      </w:r>
      <w:r w:rsidRPr="00B6503E">
        <w:rPr>
          <w:rFonts w:eastAsia="Arial"/>
          <w:color w:val="000000" w:themeColor="text1"/>
          <w:szCs w:val="20"/>
        </w:rPr>
        <w:t>for</w:t>
      </w:r>
      <w:r w:rsidR="00BC5B6C">
        <w:rPr>
          <w:rFonts w:eastAsia="Arial"/>
          <w:color w:val="000000" w:themeColor="text1"/>
          <w:szCs w:val="20"/>
        </w:rPr>
        <w:t xml:space="preserve"> </w:t>
      </w:r>
      <w:r w:rsidRPr="00B6503E">
        <w:rPr>
          <w:rFonts w:eastAsia="Arial"/>
          <w:color w:val="000000" w:themeColor="text1"/>
          <w:szCs w:val="20"/>
        </w:rPr>
        <w:t>infants</w:t>
      </w:r>
      <w:r w:rsidR="003E6C27">
        <w:rPr>
          <w:rFonts w:eastAsia="Arial"/>
          <w:color w:val="000000" w:themeColor="text1"/>
          <w:szCs w:val="20"/>
        </w:rPr>
        <w:t xml:space="preserve"> </w:t>
      </w:r>
      <w:r w:rsidRPr="00B6503E">
        <w:rPr>
          <w:rFonts w:eastAsia="Arial"/>
          <w:color w:val="000000" w:themeColor="text1"/>
          <w:szCs w:val="20"/>
        </w:rPr>
        <w:t xml:space="preserve">aged </w:t>
      </w:r>
      <w:r w:rsidR="005E4358" w:rsidRPr="00B6503E">
        <w:rPr>
          <w:rFonts w:eastAsia="Arial"/>
          <w:color w:val="000000" w:themeColor="text1"/>
          <w:szCs w:val="20"/>
        </w:rPr>
        <w:t>0–</w:t>
      </w:r>
      <w:r w:rsidRPr="00B6503E">
        <w:rPr>
          <w:rFonts w:eastAsia="Arial"/>
          <w:color w:val="000000" w:themeColor="text1"/>
          <w:szCs w:val="20"/>
        </w:rPr>
        <w:t>1 years and</w:t>
      </w:r>
      <w:r w:rsidR="009223E9" w:rsidRPr="00B6503E">
        <w:rPr>
          <w:rFonts w:eastAsia="Arial"/>
          <w:color w:val="000000" w:themeColor="text1"/>
          <w:szCs w:val="20"/>
        </w:rPr>
        <w:t xml:space="preserve"> </w:t>
      </w:r>
      <w:r w:rsidR="00550D41">
        <w:rPr>
          <w:rFonts w:eastAsia="Arial"/>
          <w:color w:val="000000" w:themeColor="text1"/>
          <w:szCs w:val="20"/>
        </w:rPr>
        <w:t xml:space="preserve">for </w:t>
      </w:r>
      <w:r w:rsidR="009223E9" w:rsidRPr="00B6503E">
        <w:rPr>
          <w:rFonts w:eastAsia="Arial"/>
          <w:color w:val="000000" w:themeColor="text1"/>
          <w:szCs w:val="20"/>
        </w:rPr>
        <w:t>children aged</w:t>
      </w:r>
      <w:r w:rsidRPr="00B6503E">
        <w:rPr>
          <w:rFonts w:eastAsia="Arial"/>
          <w:color w:val="000000" w:themeColor="text1"/>
          <w:szCs w:val="20"/>
        </w:rPr>
        <w:t xml:space="preserve"> </w:t>
      </w:r>
      <w:r w:rsidR="005E4358" w:rsidRPr="00B6503E">
        <w:rPr>
          <w:rFonts w:eastAsia="Arial"/>
          <w:color w:val="000000" w:themeColor="text1"/>
          <w:szCs w:val="20"/>
        </w:rPr>
        <w:t>1–</w:t>
      </w:r>
      <w:r w:rsidRPr="00B6503E">
        <w:rPr>
          <w:rFonts w:eastAsia="Arial"/>
          <w:color w:val="000000" w:themeColor="text1"/>
          <w:szCs w:val="20"/>
        </w:rPr>
        <w:t>5</w:t>
      </w:r>
      <w:r w:rsidR="00BC5B6C">
        <w:rPr>
          <w:rFonts w:eastAsia="Arial"/>
          <w:color w:val="000000" w:themeColor="text1"/>
          <w:szCs w:val="20"/>
        </w:rPr>
        <w:t xml:space="preserve"> </w:t>
      </w:r>
      <w:r w:rsidRPr="00B6503E">
        <w:rPr>
          <w:rFonts w:eastAsia="Arial"/>
          <w:color w:val="000000" w:themeColor="text1"/>
          <w:szCs w:val="20"/>
        </w:rPr>
        <w:t>years</w:t>
      </w:r>
      <w:r w:rsidR="00555097" w:rsidRPr="00B6503E">
        <w:rPr>
          <w:rFonts w:eastAsia="Arial"/>
          <w:color w:val="000000" w:themeColor="text1"/>
          <w:szCs w:val="20"/>
        </w:rPr>
        <w:t xml:space="preserve">. </w:t>
      </w:r>
      <w:r w:rsidR="00DA07C4" w:rsidRPr="00B6503E">
        <w:rPr>
          <w:rFonts w:eastAsia="Arial"/>
          <w:color w:val="000000" w:themeColor="text1"/>
          <w:szCs w:val="20"/>
        </w:rPr>
        <w:t xml:space="preserve">Both these videos </w:t>
      </w:r>
      <w:r w:rsidRPr="00B6503E">
        <w:rPr>
          <w:rFonts w:eastAsia="Arial"/>
          <w:color w:val="000000" w:themeColor="text1"/>
          <w:szCs w:val="20"/>
        </w:rPr>
        <w:t xml:space="preserve">are translated into eight languages and </w:t>
      </w:r>
      <w:r w:rsidR="00DA07C4" w:rsidRPr="00B6503E">
        <w:rPr>
          <w:rFonts w:eastAsia="Arial"/>
          <w:color w:val="000000" w:themeColor="text1"/>
          <w:szCs w:val="20"/>
        </w:rPr>
        <w:t>one has been developed specially for Aboriginal and Torres Strait Islander families and carers. A</w:t>
      </w:r>
      <w:r w:rsidRPr="00B6503E">
        <w:rPr>
          <w:rFonts w:eastAsia="Arial"/>
          <w:color w:val="000000" w:themeColor="text1"/>
          <w:szCs w:val="20"/>
        </w:rPr>
        <w:t>ll</w:t>
      </w:r>
      <w:r w:rsidR="00DA07C4" w:rsidRPr="00B6503E">
        <w:rPr>
          <w:rFonts w:eastAsia="Arial"/>
          <w:color w:val="000000" w:themeColor="text1"/>
          <w:szCs w:val="20"/>
        </w:rPr>
        <w:t xml:space="preserve"> the videos are</w:t>
      </w:r>
      <w:r w:rsidRPr="00B6503E">
        <w:rPr>
          <w:rFonts w:eastAsia="Arial"/>
          <w:color w:val="000000" w:themeColor="text1"/>
          <w:szCs w:val="20"/>
        </w:rPr>
        <w:t xml:space="preserve"> available on the </w:t>
      </w:r>
      <w:hyperlink r:id="rId34" w:history="1">
        <w:r w:rsidRPr="00BC5B6C">
          <w:rPr>
            <w:rStyle w:val="Hyperlink"/>
            <w:rFonts w:eastAsia="Arial"/>
            <w:szCs w:val="20"/>
          </w:rPr>
          <w:t>Better Health Channel</w:t>
        </w:r>
      </w:hyperlink>
      <w:r w:rsidR="00706E2E">
        <w:rPr>
          <w:rFonts w:eastAsia="Arial"/>
          <w:color w:val="000000" w:themeColor="text1"/>
          <w:szCs w:val="20"/>
        </w:rPr>
        <w:t xml:space="preserve"> </w:t>
      </w:r>
      <w:r w:rsidR="00BC5B6C">
        <w:rPr>
          <w:rFonts w:eastAsia="Arial"/>
          <w:color w:val="000000" w:themeColor="text1"/>
          <w:szCs w:val="20"/>
        </w:rPr>
        <w:t>&lt;</w:t>
      </w:r>
      <w:r w:rsidR="00706E2E" w:rsidRPr="00BC5B6C">
        <w:rPr>
          <w:rFonts w:eastAsia="Arial"/>
          <w:szCs w:val="20"/>
        </w:rPr>
        <w:t>https://www.betterhealth.</w:t>
      </w:r>
      <w:r w:rsidR="00BC5B6C">
        <w:rPr>
          <w:rFonts w:eastAsia="Arial"/>
          <w:szCs w:val="20"/>
        </w:rPr>
        <w:br/>
      </w:r>
      <w:r w:rsidR="00706E2E" w:rsidRPr="00BC5B6C">
        <w:rPr>
          <w:rFonts w:eastAsia="Arial"/>
          <w:szCs w:val="20"/>
        </w:rPr>
        <w:t>vic.gov.au</w:t>
      </w:r>
      <w:r w:rsidR="00BC5B6C">
        <w:rPr>
          <w:rFonts w:eastAsia="Arial"/>
          <w:szCs w:val="20"/>
        </w:rPr>
        <w:t>&gt;</w:t>
      </w:r>
      <w:r w:rsidR="00706E2E">
        <w:rPr>
          <w:rFonts w:eastAsia="Arial"/>
          <w:color w:val="000000" w:themeColor="text1"/>
          <w:szCs w:val="20"/>
        </w:rPr>
        <w:t>.</w:t>
      </w:r>
    </w:p>
    <w:p w14:paraId="419B2844" w14:textId="7118246B" w:rsidR="003F0283" w:rsidRPr="00B6503E" w:rsidRDefault="001C021B" w:rsidP="001C021B">
      <w:pPr>
        <w:pStyle w:val="ARbody"/>
        <w:rPr>
          <w:rFonts w:eastAsia="Times New Roman" w:cs="Times New Roman"/>
          <w:szCs w:val="20"/>
        </w:rPr>
      </w:pPr>
      <w:r w:rsidRPr="00B6503E">
        <w:rPr>
          <w:rFonts w:eastAsia="Times New Roman" w:cs="Times New Roman"/>
          <w:szCs w:val="20"/>
        </w:rPr>
        <w:t xml:space="preserve">These videos are a great learning tool for </w:t>
      </w:r>
      <w:r>
        <w:rPr>
          <w:rFonts w:eastAsia="Times New Roman" w:cs="Times New Roman"/>
          <w:szCs w:val="20"/>
        </w:rPr>
        <w:t xml:space="preserve">all </w:t>
      </w:r>
      <w:r w:rsidRPr="00B6503E">
        <w:rPr>
          <w:rFonts w:eastAsia="Times New Roman" w:cs="Times New Roman"/>
          <w:szCs w:val="20"/>
        </w:rPr>
        <w:t xml:space="preserve">parents, </w:t>
      </w:r>
      <w:r>
        <w:rPr>
          <w:rFonts w:eastAsia="Times New Roman" w:cs="Times New Roman"/>
          <w:szCs w:val="20"/>
        </w:rPr>
        <w:t>particularly</w:t>
      </w:r>
      <w:r w:rsidRPr="00B6503E">
        <w:rPr>
          <w:rFonts w:eastAsia="Times New Roman" w:cs="Times New Roman"/>
          <w:szCs w:val="20"/>
        </w:rPr>
        <w:t xml:space="preserve"> first-time parents</w:t>
      </w:r>
      <w:r w:rsidR="00BF44D8">
        <w:rPr>
          <w:rFonts w:eastAsia="Times New Roman" w:cs="Times New Roman"/>
          <w:szCs w:val="20"/>
        </w:rPr>
        <w:t xml:space="preserve">, and have </w:t>
      </w:r>
      <w:r w:rsidR="004E6EF1">
        <w:rPr>
          <w:rFonts w:eastAsia="Times New Roman" w:cs="Times New Roman"/>
          <w:szCs w:val="20"/>
        </w:rPr>
        <w:t xml:space="preserve">collectively </w:t>
      </w:r>
      <w:r w:rsidR="003E0681">
        <w:rPr>
          <w:rFonts w:eastAsia="Times New Roman" w:cs="Times New Roman"/>
          <w:szCs w:val="20"/>
        </w:rPr>
        <w:t>attracted</w:t>
      </w:r>
      <w:r w:rsidR="00905A6A">
        <w:rPr>
          <w:rFonts w:eastAsia="Times New Roman" w:cs="Times New Roman"/>
          <w:szCs w:val="20"/>
        </w:rPr>
        <w:t xml:space="preserve"> </w:t>
      </w:r>
      <w:r w:rsidR="000B52F0">
        <w:rPr>
          <w:rFonts w:eastAsia="Times New Roman" w:cs="Times New Roman"/>
          <w:szCs w:val="20"/>
        </w:rPr>
        <w:t xml:space="preserve">over </w:t>
      </w:r>
      <w:r w:rsidR="00C93380">
        <w:rPr>
          <w:rFonts w:eastAsia="Times New Roman" w:cs="Times New Roman"/>
          <w:szCs w:val="20"/>
        </w:rPr>
        <w:t>8</w:t>
      </w:r>
      <w:r w:rsidR="000B52F0">
        <w:rPr>
          <w:rFonts w:eastAsia="Times New Roman" w:cs="Times New Roman"/>
          <w:szCs w:val="20"/>
        </w:rPr>
        <w:t xml:space="preserve">,000 views </w:t>
      </w:r>
      <w:r w:rsidR="00071FCD">
        <w:rPr>
          <w:rFonts w:eastAsia="Times New Roman" w:cs="Times New Roman"/>
          <w:szCs w:val="20"/>
        </w:rPr>
        <w:t xml:space="preserve">since </w:t>
      </w:r>
      <w:r w:rsidR="004E6EF1">
        <w:rPr>
          <w:rFonts w:eastAsia="Times New Roman" w:cs="Times New Roman"/>
          <w:szCs w:val="20"/>
        </w:rPr>
        <w:t xml:space="preserve">the </w:t>
      </w:r>
      <w:r w:rsidR="00071FCD">
        <w:rPr>
          <w:rFonts w:eastAsia="Times New Roman" w:cs="Times New Roman"/>
          <w:szCs w:val="20"/>
        </w:rPr>
        <w:t>October 2021</w:t>
      </w:r>
      <w:r w:rsidR="004E6EF1">
        <w:rPr>
          <w:rFonts w:eastAsia="Times New Roman" w:cs="Times New Roman"/>
          <w:szCs w:val="20"/>
        </w:rPr>
        <w:t xml:space="preserve"> launch</w:t>
      </w:r>
      <w:r w:rsidRPr="00B6503E">
        <w:rPr>
          <w:rFonts w:eastAsia="Times New Roman" w:cs="Times New Roman"/>
          <w:szCs w:val="20"/>
        </w:rPr>
        <w:t xml:space="preserve">. </w:t>
      </w:r>
      <w:r w:rsidR="00DA07C4" w:rsidRPr="00B6503E">
        <w:rPr>
          <w:rFonts w:eastAsia="Times New Roman" w:cs="Times New Roman"/>
          <w:szCs w:val="20"/>
        </w:rPr>
        <w:t xml:space="preserve">They </w:t>
      </w:r>
      <w:r w:rsidR="00603B69" w:rsidRPr="00B6503E">
        <w:rPr>
          <w:rFonts w:eastAsia="Times New Roman" w:cs="Times New Roman"/>
          <w:szCs w:val="20"/>
        </w:rPr>
        <w:t>can also be screened in</w:t>
      </w:r>
      <w:r w:rsidR="00690740">
        <w:rPr>
          <w:rFonts w:eastAsia="Times New Roman" w:cs="Times New Roman"/>
          <w:szCs w:val="20"/>
        </w:rPr>
        <w:t> </w:t>
      </w:r>
      <w:r w:rsidR="0085418C" w:rsidRPr="00B6503E">
        <w:rPr>
          <w:rFonts w:eastAsia="Times New Roman" w:cs="Times New Roman"/>
          <w:szCs w:val="20"/>
        </w:rPr>
        <w:t>medical</w:t>
      </w:r>
      <w:r w:rsidR="0005197C" w:rsidRPr="00B6503E">
        <w:rPr>
          <w:rFonts w:eastAsia="Times New Roman" w:cs="Times New Roman"/>
          <w:szCs w:val="20"/>
        </w:rPr>
        <w:t xml:space="preserve"> </w:t>
      </w:r>
      <w:r w:rsidR="00603B69" w:rsidRPr="00B6503E">
        <w:rPr>
          <w:rFonts w:eastAsia="Times New Roman" w:cs="Times New Roman"/>
          <w:szCs w:val="20"/>
        </w:rPr>
        <w:t>waiting rooms</w:t>
      </w:r>
      <w:r w:rsidR="0005197C" w:rsidRPr="00B6503E">
        <w:rPr>
          <w:rFonts w:eastAsia="Times New Roman" w:cs="Times New Roman"/>
          <w:szCs w:val="20"/>
        </w:rPr>
        <w:t xml:space="preserve"> and other</w:t>
      </w:r>
      <w:r w:rsidR="00603B69" w:rsidRPr="00B6503E">
        <w:rPr>
          <w:rFonts w:eastAsia="Times New Roman" w:cs="Times New Roman"/>
          <w:szCs w:val="20"/>
        </w:rPr>
        <w:t xml:space="preserve"> shared spaces,</w:t>
      </w:r>
      <w:r w:rsidR="00690740">
        <w:rPr>
          <w:rFonts w:eastAsia="Times New Roman" w:cs="Times New Roman"/>
          <w:szCs w:val="20"/>
        </w:rPr>
        <w:t xml:space="preserve"> </w:t>
      </w:r>
      <w:r w:rsidR="00603B69" w:rsidRPr="00B6503E">
        <w:rPr>
          <w:rFonts w:eastAsia="Times New Roman" w:cs="Times New Roman"/>
          <w:szCs w:val="20"/>
        </w:rPr>
        <w:t xml:space="preserve">or used during </w:t>
      </w:r>
      <w:r w:rsidR="0005197C" w:rsidRPr="00B6503E">
        <w:rPr>
          <w:rFonts w:eastAsia="Times New Roman" w:cs="Times New Roman"/>
          <w:szCs w:val="20"/>
        </w:rPr>
        <w:t>m</w:t>
      </w:r>
      <w:r w:rsidR="00603B69" w:rsidRPr="00B6503E">
        <w:rPr>
          <w:rFonts w:eastAsia="Times New Roman" w:cs="Times New Roman"/>
          <w:szCs w:val="20"/>
        </w:rPr>
        <w:t xml:space="preserve">aternal and </w:t>
      </w:r>
      <w:r w:rsidR="0005197C" w:rsidRPr="00B6503E">
        <w:rPr>
          <w:rFonts w:eastAsia="Times New Roman" w:cs="Times New Roman"/>
          <w:szCs w:val="20"/>
        </w:rPr>
        <w:t>c</w:t>
      </w:r>
      <w:r w:rsidR="00603B69" w:rsidRPr="00B6503E">
        <w:rPr>
          <w:rFonts w:eastAsia="Times New Roman" w:cs="Times New Roman"/>
          <w:szCs w:val="20"/>
        </w:rPr>
        <w:t xml:space="preserve">hild </w:t>
      </w:r>
      <w:r w:rsidR="0005197C" w:rsidRPr="00B6503E">
        <w:rPr>
          <w:rFonts w:eastAsia="Times New Roman" w:cs="Times New Roman"/>
          <w:szCs w:val="20"/>
        </w:rPr>
        <w:t>h</w:t>
      </w:r>
      <w:r w:rsidR="00603B69" w:rsidRPr="00B6503E">
        <w:rPr>
          <w:rFonts w:eastAsia="Times New Roman" w:cs="Times New Roman"/>
          <w:szCs w:val="20"/>
        </w:rPr>
        <w:t>ealth visits.</w:t>
      </w:r>
    </w:p>
    <w:p w14:paraId="5840B5DA" w14:textId="77777777" w:rsidR="00690740" w:rsidRPr="00690740" w:rsidRDefault="00690740" w:rsidP="00690740">
      <w:pPr>
        <w:pStyle w:val="ARbody"/>
      </w:pPr>
      <w:r w:rsidRPr="00690740">
        <w:br w:type="page"/>
      </w:r>
    </w:p>
    <w:p w14:paraId="45C10B62" w14:textId="2D65FC9A" w:rsidR="003F0283" w:rsidRPr="00B6503E" w:rsidRDefault="001C021B" w:rsidP="0008648C">
      <w:pPr>
        <w:pStyle w:val="ARbody"/>
        <w:rPr>
          <w:rFonts w:eastAsia="Times New Roman" w:cs="Times New Roman"/>
        </w:rPr>
      </w:pPr>
      <w:r>
        <w:rPr>
          <w:rFonts w:eastAsia="Times New Roman" w:cs="Times New Roman"/>
        </w:rPr>
        <w:lastRenderedPageBreak/>
        <w:t>T</w:t>
      </w:r>
      <w:r w:rsidR="00603B69" w:rsidRPr="00B6503E">
        <w:rPr>
          <w:rFonts w:eastAsia="Times New Roman" w:cs="Times New Roman"/>
        </w:rPr>
        <w:t xml:space="preserve">he </w:t>
      </w:r>
      <w:r w:rsidR="0005197C" w:rsidRPr="00B6503E">
        <w:rPr>
          <w:rFonts w:eastAsia="Times New Roman" w:cs="Times New Roman"/>
        </w:rPr>
        <w:t>d</w:t>
      </w:r>
      <w:r w:rsidR="00603B69" w:rsidRPr="00B6503E">
        <w:rPr>
          <w:rFonts w:eastAsia="Times New Roman" w:cs="Times New Roman"/>
        </w:rPr>
        <w:t xml:space="preserve">epartment has </w:t>
      </w:r>
      <w:r>
        <w:rPr>
          <w:rFonts w:eastAsia="Times New Roman" w:cs="Times New Roman"/>
        </w:rPr>
        <w:t xml:space="preserve">also </w:t>
      </w:r>
      <w:r w:rsidR="00603B69" w:rsidRPr="00B6503E">
        <w:rPr>
          <w:rFonts w:eastAsia="Times New Roman" w:cs="Times New Roman"/>
        </w:rPr>
        <w:t>funded</w:t>
      </w:r>
      <w:r w:rsidR="00DA07C4" w:rsidRPr="00B6503E">
        <w:rPr>
          <w:rFonts w:eastAsia="Times New Roman" w:cs="Times New Roman"/>
        </w:rPr>
        <w:t xml:space="preserve"> in-person</w:t>
      </w:r>
      <w:r w:rsidR="00603B69" w:rsidRPr="00B6503E">
        <w:rPr>
          <w:rFonts w:eastAsia="Times New Roman" w:cs="Times New Roman"/>
        </w:rPr>
        <w:t xml:space="preserve"> first aid</w:t>
      </w:r>
      <w:r w:rsidR="00690740">
        <w:rPr>
          <w:rFonts w:eastAsia="Times New Roman" w:cs="Times New Roman"/>
        </w:rPr>
        <w:t> </w:t>
      </w:r>
      <w:r w:rsidR="00603B69" w:rsidRPr="00B6503E">
        <w:rPr>
          <w:rFonts w:eastAsia="Times New Roman" w:cs="Times New Roman"/>
        </w:rPr>
        <w:t>and CPR training specifically for Aboriginal and</w:t>
      </w:r>
      <w:r w:rsidR="00690740">
        <w:rPr>
          <w:rFonts w:eastAsia="Times New Roman" w:cs="Times New Roman"/>
        </w:rPr>
        <w:t> </w:t>
      </w:r>
      <w:r w:rsidR="00603B69" w:rsidRPr="00B6503E">
        <w:rPr>
          <w:rFonts w:eastAsia="Times New Roman" w:cs="Times New Roman"/>
        </w:rPr>
        <w:t>Torres Strait Islander</w:t>
      </w:r>
      <w:r w:rsidR="007B4AC7">
        <w:rPr>
          <w:rFonts w:eastAsia="Times New Roman" w:cs="Times New Roman"/>
        </w:rPr>
        <w:t>,</w:t>
      </w:r>
      <w:r w:rsidR="00603B69" w:rsidRPr="00B6503E">
        <w:rPr>
          <w:rFonts w:eastAsia="Times New Roman" w:cs="Times New Roman"/>
        </w:rPr>
        <w:t xml:space="preserve"> and </w:t>
      </w:r>
      <w:r w:rsidR="0005197C" w:rsidRPr="00B6503E">
        <w:rPr>
          <w:rFonts w:eastAsia="Times New Roman" w:cs="Times New Roman"/>
        </w:rPr>
        <w:t>c</w:t>
      </w:r>
      <w:r w:rsidR="00603B69" w:rsidRPr="00B6503E">
        <w:rPr>
          <w:rFonts w:eastAsia="Times New Roman" w:cs="Times New Roman"/>
        </w:rPr>
        <w:t xml:space="preserve">ulturally and </w:t>
      </w:r>
      <w:r w:rsidR="0005197C" w:rsidRPr="00B6503E">
        <w:rPr>
          <w:rFonts w:eastAsia="Times New Roman" w:cs="Times New Roman"/>
        </w:rPr>
        <w:t>l</w:t>
      </w:r>
      <w:r w:rsidR="00603B69" w:rsidRPr="00B6503E">
        <w:rPr>
          <w:rFonts w:eastAsia="Times New Roman" w:cs="Times New Roman"/>
        </w:rPr>
        <w:t xml:space="preserve">inguistically </w:t>
      </w:r>
      <w:r w:rsidR="0005197C" w:rsidRPr="00B6503E">
        <w:rPr>
          <w:rFonts w:eastAsia="Times New Roman" w:cs="Times New Roman"/>
        </w:rPr>
        <w:t>d</w:t>
      </w:r>
      <w:r w:rsidR="00603B69" w:rsidRPr="00B6503E">
        <w:rPr>
          <w:rFonts w:eastAsia="Times New Roman" w:cs="Times New Roman"/>
        </w:rPr>
        <w:t xml:space="preserve">iverse communities. These are being delivered with 17 Aboriginal </w:t>
      </w:r>
      <w:r w:rsidR="0005197C" w:rsidRPr="00B6503E">
        <w:rPr>
          <w:rFonts w:eastAsia="Times New Roman" w:cs="Times New Roman"/>
        </w:rPr>
        <w:t>c</w:t>
      </w:r>
      <w:r w:rsidR="00603B69" w:rsidRPr="00B6503E">
        <w:rPr>
          <w:rFonts w:eastAsia="Times New Roman" w:cs="Times New Roman"/>
        </w:rPr>
        <w:t xml:space="preserve">ommunity </w:t>
      </w:r>
      <w:r w:rsidR="0005197C" w:rsidRPr="00B6503E">
        <w:rPr>
          <w:rFonts w:eastAsia="Times New Roman" w:cs="Times New Roman"/>
        </w:rPr>
        <w:t>c</w:t>
      </w:r>
      <w:r w:rsidR="00603B69" w:rsidRPr="00B6503E">
        <w:rPr>
          <w:rFonts w:eastAsia="Times New Roman" w:cs="Times New Roman"/>
        </w:rPr>
        <w:t xml:space="preserve">ontrolled </w:t>
      </w:r>
      <w:r w:rsidR="0005197C" w:rsidRPr="00B6503E">
        <w:rPr>
          <w:rFonts w:eastAsia="Times New Roman" w:cs="Times New Roman"/>
        </w:rPr>
        <w:t>o</w:t>
      </w:r>
      <w:r w:rsidR="00603B69" w:rsidRPr="00B6503E">
        <w:rPr>
          <w:rFonts w:eastAsia="Times New Roman" w:cs="Times New Roman"/>
        </w:rPr>
        <w:t xml:space="preserve">rganisations and in four </w:t>
      </w:r>
      <w:r w:rsidR="0005197C" w:rsidRPr="00B6503E">
        <w:rPr>
          <w:rFonts w:eastAsia="Times New Roman" w:cs="Times New Roman"/>
        </w:rPr>
        <w:t>l</w:t>
      </w:r>
      <w:r w:rsidR="00603B69" w:rsidRPr="00B6503E">
        <w:rPr>
          <w:rFonts w:eastAsia="Times New Roman" w:cs="Times New Roman"/>
        </w:rPr>
        <w:t xml:space="preserve">ocal </w:t>
      </w:r>
      <w:r w:rsidR="0005197C" w:rsidRPr="00B6503E">
        <w:rPr>
          <w:rFonts w:eastAsia="Times New Roman" w:cs="Times New Roman"/>
        </w:rPr>
        <w:t>g</w:t>
      </w:r>
      <w:r w:rsidR="00603B69" w:rsidRPr="00B6503E">
        <w:rPr>
          <w:rFonts w:eastAsia="Times New Roman" w:cs="Times New Roman"/>
        </w:rPr>
        <w:t xml:space="preserve">overnment </w:t>
      </w:r>
      <w:r w:rsidR="0005197C" w:rsidRPr="00B6503E">
        <w:rPr>
          <w:rFonts w:eastAsia="Times New Roman" w:cs="Times New Roman"/>
        </w:rPr>
        <w:t>a</w:t>
      </w:r>
      <w:r w:rsidR="00603B69" w:rsidRPr="00B6503E">
        <w:rPr>
          <w:rFonts w:eastAsia="Times New Roman" w:cs="Times New Roman"/>
        </w:rPr>
        <w:t>reas across the state.</w:t>
      </w:r>
    </w:p>
    <w:p w14:paraId="62A2D975" w14:textId="78649550" w:rsidR="00603B69" w:rsidRPr="00603B69" w:rsidRDefault="00603B69" w:rsidP="00603B69">
      <w:pPr>
        <w:pStyle w:val="Heading5"/>
      </w:pPr>
      <w:r w:rsidRPr="00603B69">
        <w:t>Reduce inequalities in premature death</w:t>
      </w:r>
    </w:p>
    <w:p w14:paraId="469D8255" w14:textId="3BA83DB1" w:rsidR="004F7DA8" w:rsidRDefault="0042044F" w:rsidP="009F0168">
      <w:pPr>
        <w:pStyle w:val="ARbody"/>
      </w:pPr>
      <w:r w:rsidRPr="0042044F">
        <w:t xml:space="preserve">Health and health outcomes vary significantly across </w:t>
      </w:r>
      <w:r w:rsidR="00813AE7">
        <w:t>the</w:t>
      </w:r>
      <w:r w:rsidR="00813AE7" w:rsidRPr="0042044F">
        <w:t xml:space="preserve"> </w:t>
      </w:r>
      <w:r w:rsidRPr="0042044F">
        <w:t>state.</w:t>
      </w:r>
      <w:r w:rsidR="00D06A33">
        <w:t xml:space="preserve"> Life expectancy varies by gender</w:t>
      </w:r>
      <w:r w:rsidR="00415D89">
        <w:t xml:space="preserve"> (Victorian females live around four years longer than Victorian males)</w:t>
      </w:r>
      <w:r w:rsidR="003E0681">
        <w:t>,</w:t>
      </w:r>
      <w:r w:rsidR="00D92DB2">
        <w:t xml:space="preserve"> and </w:t>
      </w:r>
      <w:r w:rsidR="009F0168">
        <w:t>for Aboriginal Victorians</w:t>
      </w:r>
      <w:r w:rsidR="005D46E0">
        <w:t xml:space="preserve"> it</w:t>
      </w:r>
      <w:r w:rsidR="009F0168">
        <w:t xml:space="preserve"> </w:t>
      </w:r>
      <w:r w:rsidR="003E0681">
        <w:t xml:space="preserve">is </w:t>
      </w:r>
      <w:r w:rsidR="009F0168">
        <w:t>seven years less than for non-Aboriginal Victorians.</w:t>
      </w:r>
      <w:r w:rsidR="00243673">
        <w:t xml:space="preserve"> The leading </w:t>
      </w:r>
      <w:r w:rsidR="00243673" w:rsidRPr="00243673">
        <w:t>causes of disease, injury</w:t>
      </w:r>
      <w:r w:rsidR="00690740">
        <w:t> </w:t>
      </w:r>
      <w:r w:rsidR="00243673" w:rsidRPr="00243673">
        <w:t>and death</w:t>
      </w:r>
      <w:r w:rsidR="00832F7D">
        <w:rPr>
          <w:rStyle w:val="FootnoteReference"/>
        </w:rPr>
        <w:t>(</w:t>
      </w:r>
      <w:r w:rsidR="00832F7D" w:rsidRPr="001A559C">
        <w:rPr>
          <w:rStyle w:val="FootnoteReference"/>
        </w:rPr>
        <w:footnoteReference w:id="2"/>
      </w:r>
      <w:r w:rsidR="00832F7D">
        <w:rPr>
          <w:rStyle w:val="FootnoteReference"/>
        </w:rPr>
        <w:t>)</w:t>
      </w:r>
      <w:r w:rsidR="00243673">
        <w:t xml:space="preserve"> </w:t>
      </w:r>
      <w:r w:rsidR="00975847">
        <w:t xml:space="preserve">disproportionately </w:t>
      </w:r>
      <w:r w:rsidR="00E76DFE">
        <w:t xml:space="preserve">affect people living outside </w:t>
      </w:r>
      <w:r w:rsidR="00975847">
        <w:t xml:space="preserve">major </w:t>
      </w:r>
      <w:r w:rsidR="00E76DFE">
        <w:t xml:space="preserve">cities, </w:t>
      </w:r>
      <w:r w:rsidR="00975847">
        <w:t xml:space="preserve">people in the lowest socioeconomic group, and </w:t>
      </w:r>
      <w:r w:rsidR="00E90414">
        <w:t>Aboriginal Australians.</w:t>
      </w:r>
      <w:r w:rsidR="003C739D">
        <w:t xml:space="preserve"> COVID-19 has worsened these inequalities.</w:t>
      </w:r>
    </w:p>
    <w:p w14:paraId="00ECB7C3" w14:textId="4A9B2599" w:rsidR="00150A3D" w:rsidRDefault="00150A3D" w:rsidP="009F0168">
      <w:pPr>
        <w:pStyle w:val="ARbody"/>
      </w:pPr>
      <w:r>
        <w:t>The department seeks to address these</w:t>
      </w:r>
      <w:r w:rsidR="00E8389B">
        <w:t xml:space="preserve"> inequalities</w:t>
      </w:r>
      <w:r w:rsidR="00690740">
        <w:t> </w:t>
      </w:r>
      <w:r w:rsidR="00AA54FC">
        <w:t xml:space="preserve">with targeted </w:t>
      </w:r>
      <w:r w:rsidR="004C62DF" w:rsidRPr="00603B69">
        <w:t>health promotion</w:t>
      </w:r>
      <w:r w:rsidR="00905A6A">
        <w:t xml:space="preserve">s </w:t>
      </w:r>
      <w:r w:rsidR="004C62DF" w:rsidRPr="00603B69">
        <w:t xml:space="preserve">and clinical supports in settings and populations </w:t>
      </w:r>
      <w:r w:rsidR="00D01E94">
        <w:t>where</w:t>
      </w:r>
      <w:r w:rsidR="004C62DF" w:rsidRPr="00603B69">
        <w:t xml:space="preserve"> greater</w:t>
      </w:r>
      <w:r w:rsidR="00690740">
        <w:t> </w:t>
      </w:r>
      <w:r w:rsidR="004C62DF" w:rsidRPr="00603B69">
        <w:t>disadvantage</w:t>
      </w:r>
      <w:r w:rsidR="00D01E94">
        <w:t xml:space="preserve"> is experienced</w:t>
      </w:r>
      <w:r w:rsidR="00E423E1">
        <w:t>. Some of the department’s efforts in tackling inequality</w:t>
      </w:r>
      <w:r w:rsidR="00AA54FC">
        <w:t xml:space="preserve"> </w:t>
      </w:r>
      <w:r w:rsidR="004C62DF">
        <w:t>includ</w:t>
      </w:r>
      <w:r w:rsidR="00E423E1">
        <w:t>e</w:t>
      </w:r>
      <w:r w:rsidR="004C62DF">
        <w:t xml:space="preserve"> </w:t>
      </w:r>
      <w:r w:rsidR="00E423E1">
        <w:t xml:space="preserve">the following, which are discussed </w:t>
      </w:r>
      <w:r w:rsidR="004C62DF">
        <w:t>in this</w:t>
      </w:r>
      <w:r w:rsidR="00AA58EF">
        <w:t xml:space="preserve"> report:</w:t>
      </w:r>
    </w:p>
    <w:p w14:paraId="46B6EB5C" w14:textId="62D8AB3B" w:rsidR="00AA58EF" w:rsidRDefault="00951432" w:rsidP="00AA58EF">
      <w:pPr>
        <w:pStyle w:val="ARbullet1"/>
      </w:pPr>
      <w:hyperlink w:anchor="_More_healthy_smiles" w:history="1">
        <w:r w:rsidR="001A5F46" w:rsidRPr="001A5F46">
          <w:rPr>
            <w:rStyle w:val="Hyperlink"/>
          </w:rPr>
          <w:t>More healthy smiles in regional and rural Victoria</w:t>
        </w:r>
      </w:hyperlink>
    </w:p>
    <w:p w14:paraId="72700DA6" w14:textId="2D2DF3F1" w:rsidR="00AA58EF" w:rsidRDefault="00951432" w:rsidP="00AA58EF">
      <w:pPr>
        <w:pStyle w:val="ARbullet1"/>
      </w:pPr>
      <w:hyperlink w:anchor="_Responding_to_syphilis" w:history="1">
        <w:r w:rsidR="001A5F46" w:rsidRPr="001A5F46">
          <w:rPr>
            <w:rStyle w:val="Hyperlink"/>
          </w:rPr>
          <w:t>Responding to syphilis cases in regional Victoria</w:t>
        </w:r>
      </w:hyperlink>
    </w:p>
    <w:p w14:paraId="284E4765" w14:textId="56F4218B" w:rsidR="001A5F46" w:rsidRDefault="00951432" w:rsidP="00AA58EF">
      <w:pPr>
        <w:pStyle w:val="ARbullet1"/>
      </w:pPr>
      <w:hyperlink w:anchor="_Reduce_the_suicide" w:history="1">
        <w:r w:rsidR="001A5F46" w:rsidRPr="001A5F46">
          <w:rPr>
            <w:rStyle w:val="Hyperlink"/>
          </w:rPr>
          <w:t>Reduce the suicide rate</w:t>
        </w:r>
      </w:hyperlink>
    </w:p>
    <w:p w14:paraId="236BFC56" w14:textId="6EB7A5CA" w:rsidR="001A5F46" w:rsidRDefault="00951432" w:rsidP="00AA58EF">
      <w:pPr>
        <w:pStyle w:val="ARbullet1"/>
      </w:pPr>
      <w:hyperlink w:anchor="_Provide_services_designed" w:history="1">
        <w:r w:rsidR="00AD3AC1" w:rsidRPr="00AD3AC1">
          <w:rPr>
            <w:rStyle w:val="Hyperlink"/>
          </w:rPr>
          <w:t>Provide services designed and developed by Aboriginal people for Aboriginal people</w:t>
        </w:r>
      </w:hyperlink>
    </w:p>
    <w:p w14:paraId="2E7E65D2" w14:textId="16601D7D" w:rsidR="00AD3AC1" w:rsidRDefault="00951432" w:rsidP="00AA58EF">
      <w:pPr>
        <w:pStyle w:val="ARbullet1"/>
      </w:pPr>
      <w:hyperlink w:anchor="_Support_for_asylum" w:history="1">
        <w:r w:rsidR="00AD3AC1" w:rsidRPr="00AD3AC1">
          <w:rPr>
            <w:rStyle w:val="Hyperlink"/>
          </w:rPr>
          <w:t>Support for asylum seekers</w:t>
        </w:r>
      </w:hyperlink>
    </w:p>
    <w:p w14:paraId="75493DB9" w14:textId="0057F57E" w:rsidR="00AD3AC1" w:rsidRPr="00662F6D" w:rsidRDefault="00951432" w:rsidP="00AA58EF">
      <w:pPr>
        <w:pStyle w:val="ARbullet1"/>
      </w:pPr>
      <w:hyperlink w:anchor="_Supporting_the_mental" w:history="1">
        <w:r w:rsidR="00AD3AC1" w:rsidRPr="00AD3AC1">
          <w:rPr>
            <w:rStyle w:val="Hyperlink"/>
          </w:rPr>
          <w:t>Supporting the mental health of trans and gender diverse young people</w:t>
        </w:r>
      </w:hyperlink>
    </w:p>
    <w:p w14:paraId="15B1BE17" w14:textId="2483DA36" w:rsidR="005D0A55" w:rsidRDefault="00D01E94" w:rsidP="00690740">
      <w:pPr>
        <w:pStyle w:val="ARbodyafterbullets"/>
      </w:pPr>
      <w:bookmarkStart w:id="61" w:name="_A_community_safe"/>
      <w:bookmarkStart w:id="62" w:name="_Ref104215411"/>
      <w:bookmarkEnd w:id="61"/>
      <w:r>
        <w:t>In addition</w:t>
      </w:r>
      <w:r w:rsidR="00145912">
        <w:t>, t</w:t>
      </w:r>
      <w:r w:rsidR="005D0A55" w:rsidRPr="00603B69">
        <w:t xml:space="preserve">he Victorian Women’s Health </w:t>
      </w:r>
      <w:r w:rsidR="005D0A55">
        <w:t>P</w:t>
      </w:r>
      <w:r w:rsidR="005D0A55" w:rsidRPr="00603B69">
        <w:t>rogram delivers targeted interventions and system capacity building within communities to address gender inequity, prevent violence against women and improve health and wellbeing outcomes.</w:t>
      </w:r>
      <w:r w:rsidR="004C640B">
        <w:t xml:space="preserve"> This </w:t>
      </w:r>
      <w:r w:rsidR="009945E6">
        <w:t xml:space="preserve">program funds </w:t>
      </w:r>
      <w:r w:rsidR="009945E6" w:rsidRPr="009D3C6B">
        <w:t>health services</w:t>
      </w:r>
      <w:r w:rsidR="002F4AA9">
        <w:t xml:space="preserve"> across the state</w:t>
      </w:r>
      <w:r w:rsidR="009945E6">
        <w:t xml:space="preserve"> to deliver</w:t>
      </w:r>
      <w:r w:rsidR="005F4BCD">
        <w:t xml:space="preserve"> </w:t>
      </w:r>
      <w:r w:rsidR="005F4BCD" w:rsidRPr="005F4BCD">
        <w:t xml:space="preserve">multilingual </w:t>
      </w:r>
      <w:r>
        <w:t>healthcare</w:t>
      </w:r>
      <w:r w:rsidR="00757AF2">
        <w:t xml:space="preserve"> </w:t>
      </w:r>
      <w:r w:rsidR="00BD4D66">
        <w:t>and referrals</w:t>
      </w:r>
      <w:r w:rsidR="00191F36">
        <w:t>,</w:t>
      </w:r>
      <w:r w:rsidR="00BD4D66">
        <w:t xml:space="preserve"> as well as </w:t>
      </w:r>
      <w:r w:rsidR="00B51AF8">
        <w:t xml:space="preserve">general health </w:t>
      </w:r>
      <w:r w:rsidR="005F4BCD" w:rsidRPr="005F4BCD">
        <w:t>promotion</w:t>
      </w:r>
      <w:r w:rsidR="00BD4D66">
        <w:t>,</w:t>
      </w:r>
      <w:r w:rsidR="005F4BCD" w:rsidRPr="005F4BCD">
        <w:t xml:space="preserve"> information, training, research </w:t>
      </w:r>
      <w:r w:rsidR="00BD4D66">
        <w:t>and</w:t>
      </w:r>
      <w:r w:rsidR="00B51AF8">
        <w:t xml:space="preserve"> </w:t>
      </w:r>
      <w:r w:rsidR="005F4BCD" w:rsidRPr="005F4BCD">
        <w:t>advocacy</w:t>
      </w:r>
      <w:r w:rsidR="005F4BCD">
        <w:t>.</w:t>
      </w:r>
    </w:p>
    <w:p w14:paraId="09168807" w14:textId="7476892D" w:rsidR="00603B69" w:rsidRDefault="00F47C4A" w:rsidP="0008648C">
      <w:pPr>
        <w:pStyle w:val="Heading4"/>
      </w:pPr>
      <w:r>
        <w:br w:type="column"/>
      </w:r>
      <w:r w:rsidR="00192E18">
        <w:t xml:space="preserve">Key priority: </w:t>
      </w:r>
      <w:r w:rsidR="00603B69" w:rsidRPr="00384187">
        <w:t>A community safe from COVID</w:t>
      </w:r>
      <w:r w:rsidR="00603B69">
        <w:t>-19</w:t>
      </w:r>
      <w:r w:rsidR="00603B69" w:rsidRPr="00384187">
        <w:t xml:space="preserve"> and other health hazards</w:t>
      </w:r>
      <w:bookmarkEnd w:id="62"/>
    </w:p>
    <w:p w14:paraId="4075C556" w14:textId="49719546" w:rsidR="00447982" w:rsidRPr="000F49C7" w:rsidRDefault="00951432" w:rsidP="00603B69">
      <w:pPr>
        <w:pStyle w:val="ARbody"/>
      </w:pPr>
      <w:hyperlink w:anchor="_Appendix_1:_COVID-19" w:history="1">
        <w:r w:rsidR="003A1AF5" w:rsidRPr="003A1AF5">
          <w:rPr>
            <w:rStyle w:val="Hyperlink"/>
          </w:rPr>
          <w:t xml:space="preserve">Appendix 1: COVID-19 in Victoria </w:t>
        </w:r>
        <w:r w:rsidR="006C15A9">
          <w:rPr>
            <w:rStyle w:val="Hyperlink"/>
          </w:rPr>
          <w:t>2021–22</w:t>
        </w:r>
        <w:r w:rsidR="003A1AF5" w:rsidRPr="003A1AF5">
          <w:rPr>
            <w:rStyle w:val="Hyperlink"/>
          </w:rPr>
          <w:t xml:space="preserve"> timeline</w:t>
        </w:r>
      </w:hyperlink>
      <w:r w:rsidR="003A1AF5">
        <w:t xml:space="preserve"> </w:t>
      </w:r>
      <w:r w:rsidR="00D83B29" w:rsidRPr="000F49C7">
        <w:t>shows</w:t>
      </w:r>
      <w:r w:rsidR="00447982" w:rsidRPr="000F49C7">
        <w:t xml:space="preserve"> the major </w:t>
      </w:r>
      <w:r w:rsidR="000B1126" w:rsidRPr="000F49C7">
        <w:t xml:space="preserve">COVID-19 </w:t>
      </w:r>
      <w:r w:rsidR="00D83B29" w:rsidRPr="000F49C7">
        <w:t xml:space="preserve">events and milestones </w:t>
      </w:r>
      <w:r w:rsidR="00AE5B1A" w:rsidRPr="000F49C7">
        <w:t xml:space="preserve">in </w:t>
      </w:r>
      <w:r w:rsidR="000B1126" w:rsidRPr="000F49C7">
        <w:t xml:space="preserve">Victoria </w:t>
      </w:r>
      <w:r w:rsidR="000F49C7" w:rsidRPr="000F49C7">
        <w:t xml:space="preserve">during </w:t>
      </w:r>
      <w:r w:rsidR="00AE5B1A" w:rsidRPr="000F49C7">
        <w:t xml:space="preserve">the </w:t>
      </w:r>
      <w:r w:rsidR="000B1126" w:rsidRPr="000F49C7">
        <w:t xml:space="preserve">twelve months </w:t>
      </w:r>
      <w:r w:rsidR="00BE0310">
        <w:t>ended</w:t>
      </w:r>
      <w:r w:rsidR="00AE5B1A" w:rsidRPr="000F49C7">
        <w:t xml:space="preserve"> 30</w:t>
      </w:r>
      <w:r w:rsidR="002A08BF">
        <w:t> </w:t>
      </w:r>
      <w:r w:rsidR="00AE5B1A" w:rsidRPr="000F49C7">
        <w:t>June</w:t>
      </w:r>
      <w:r w:rsidR="002A08BF">
        <w:t> </w:t>
      </w:r>
      <w:r w:rsidR="00AE5B1A" w:rsidRPr="000F49C7">
        <w:t>2022.</w:t>
      </w:r>
    </w:p>
    <w:p w14:paraId="3A267453" w14:textId="0A884337" w:rsidR="00603B69" w:rsidRDefault="00603B69" w:rsidP="00603B69">
      <w:pPr>
        <w:pStyle w:val="Heading5"/>
      </w:pPr>
      <w:bookmarkStart w:id="63" w:name="_Provide_equitable_and"/>
      <w:bookmarkEnd w:id="63"/>
      <w:r>
        <w:t>Provide equitable and safe access to</w:t>
      </w:r>
      <w:r w:rsidR="00690740">
        <w:t> </w:t>
      </w:r>
      <w:r>
        <w:t>vaccines</w:t>
      </w:r>
    </w:p>
    <w:p w14:paraId="25B0018D" w14:textId="287EBA95" w:rsidR="005A7E5B" w:rsidRDefault="00603B69" w:rsidP="001A559C">
      <w:pPr>
        <w:pStyle w:val="ARbody"/>
      </w:pPr>
      <w:r w:rsidRPr="0633E606">
        <w:t xml:space="preserve">The </w:t>
      </w:r>
      <w:r w:rsidR="00080B55">
        <w:t>department</w:t>
      </w:r>
      <w:r w:rsidRPr="0633E606">
        <w:t xml:space="preserve"> strives to ensure that Victorians have</w:t>
      </w:r>
      <w:r w:rsidR="00B03FBE">
        <w:t xml:space="preserve"> access to</w:t>
      </w:r>
      <w:r w:rsidRPr="0633E606">
        <w:t xml:space="preserve"> the best and most effective vaccines, delivered in the safest and most equitable way. </w:t>
      </w:r>
      <w:r w:rsidR="00B03FBE">
        <w:t xml:space="preserve">Its dedicated immunisation unit </w:t>
      </w:r>
      <w:r w:rsidR="00202D1A">
        <w:t>w</w:t>
      </w:r>
      <w:r w:rsidRPr="0633E606">
        <w:t>ork</w:t>
      </w:r>
      <w:r w:rsidR="00202D1A">
        <w:t>s</w:t>
      </w:r>
      <w:r w:rsidRPr="0633E606">
        <w:t xml:space="preserve"> in partnership with stakeholders and service providers to maintain and/or improv</w:t>
      </w:r>
      <w:r w:rsidR="00080B55">
        <w:t>e</w:t>
      </w:r>
      <w:r w:rsidRPr="0633E606">
        <w:t xml:space="preserve"> immunisation</w:t>
      </w:r>
      <w:r w:rsidR="009A41AE">
        <w:t xml:space="preserve"> </w:t>
      </w:r>
      <w:r w:rsidRPr="0633E606">
        <w:t>coverage</w:t>
      </w:r>
      <w:r w:rsidR="009A41AE">
        <w:t xml:space="preserve"> </w:t>
      </w:r>
      <w:r w:rsidRPr="0633E606">
        <w:t>rates</w:t>
      </w:r>
      <w:r w:rsidR="005A7E5B">
        <w:t>.</w:t>
      </w:r>
    </w:p>
    <w:p w14:paraId="4A3EAFC4" w14:textId="20C8A598" w:rsidR="00603B69" w:rsidRDefault="00603B69" w:rsidP="001A559C">
      <w:pPr>
        <w:pStyle w:val="ARbody"/>
      </w:pPr>
      <w:r w:rsidRPr="2B43F800">
        <w:t xml:space="preserve">To ensure an adequately </w:t>
      </w:r>
      <w:bookmarkStart w:id="64" w:name="_Int_FaTzbawd"/>
      <w:r w:rsidRPr="2B43F800">
        <w:t>skilled</w:t>
      </w:r>
      <w:bookmarkEnd w:id="64"/>
      <w:r w:rsidRPr="0633E606">
        <w:t xml:space="preserve"> immunisation workforce</w:t>
      </w:r>
      <w:r w:rsidR="00080B55">
        <w:t>,</w:t>
      </w:r>
      <w:r w:rsidRPr="2B43F800">
        <w:t xml:space="preserve"> support and training has been</w:t>
      </w:r>
      <w:r w:rsidRPr="0633E606">
        <w:t xml:space="preserve"> strengthened through the introduction of eLearning</w:t>
      </w:r>
      <w:r w:rsidRPr="2B43F800">
        <w:t>; modules include</w:t>
      </w:r>
      <w:r w:rsidRPr="0633E606">
        <w:t xml:space="preserve"> </w:t>
      </w:r>
      <w:r w:rsidR="002244B8">
        <w:t xml:space="preserve">training in the administration of </w:t>
      </w:r>
      <w:r w:rsidRPr="0633E606">
        <w:t xml:space="preserve">vaccines </w:t>
      </w:r>
      <w:r w:rsidR="002244B8">
        <w:t xml:space="preserve">for </w:t>
      </w:r>
      <w:r w:rsidRPr="0633E606">
        <w:t xml:space="preserve">such </w:t>
      </w:r>
      <w:r w:rsidR="002244B8">
        <w:t xml:space="preserve">diseases </w:t>
      </w:r>
      <w:r w:rsidRPr="0633E606">
        <w:t xml:space="preserve">as Japanese encephalitis </w:t>
      </w:r>
      <w:r w:rsidRPr="2B43F800">
        <w:t>and influenza</w:t>
      </w:r>
      <w:r w:rsidRPr="0633E606">
        <w:t>.</w:t>
      </w:r>
    </w:p>
    <w:p w14:paraId="4544DC82" w14:textId="1CA7929C" w:rsidR="005A7E5B" w:rsidRDefault="00603B69" w:rsidP="001A559C">
      <w:pPr>
        <w:pStyle w:val="ARbody"/>
      </w:pPr>
      <w:r w:rsidRPr="0633E606">
        <w:t xml:space="preserve">The Victorian </w:t>
      </w:r>
      <w:r w:rsidR="002244B8">
        <w:t>G</w:t>
      </w:r>
      <w:r w:rsidRPr="0633E606">
        <w:t>overnment has also committed to</w:t>
      </w:r>
      <w:r w:rsidR="0002459C">
        <w:t> </w:t>
      </w:r>
      <w:r w:rsidRPr="0633E606">
        <w:t xml:space="preserve">improving and modernising immunisation systems and technology. </w:t>
      </w:r>
      <w:r w:rsidR="002244B8">
        <w:t xml:space="preserve">In </w:t>
      </w:r>
      <w:r w:rsidRPr="0633E606">
        <w:t>2021 the new software application</w:t>
      </w:r>
      <w:r w:rsidR="002244B8">
        <w:t>,</w:t>
      </w:r>
      <w:r w:rsidRPr="0633E606">
        <w:t xml:space="preserve"> Central Immunisation Records Victoria (CIRV)</w:t>
      </w:r>
      <w:r w:rsidR="002244B8">
        <w:t>, was developed</w:t>
      </w:r>
      <w:r w:rsidRPr="0633E606">
        <w:t xml:space="preserve"> to </w:t>
      </w:r>
      <w:r w:rsidR="002244B8">
        <w:t>assist</w:t>
      </w:r>
      <w:r w:rsidR="002244B8" w:rsidRPr="0633E606">
        <w:t xml:space="preserve"> </w:t>
      </w:r>
      <w:r w:rsidRPr="0633E606">
        <w:t xml:space="preserve">79 local councils and some </w:t>
      </w:r>
      <w:r>
        <w:t xml:space="preserve">public </w:t>
      </w:r>
      <w:r w:rsidRPr="0633E606">
        <w:t>health services</w:t>
      </w:r>
      <w:r w:rsidR="009861E4">
        <w:t xml:space="preserve"> to</w:t>
      </w:r>
      <w:r w:rsidRPr="0633E606">
        <w:t xml:space="preserve"> report vaccinations to the Australian Immunisation Register</w:t>
      </w:r>
      <w:r w:rsidR="00281896">
        <w:t>.</w:t>
      </w:r>
    </w:p>
    <w:p w14:paraId="15C256C3" w14:textId="2578889B" w:rsidR="00CB0765" w:rsidRDefault="00CB0765" w:rsidP="001A559C">
      <w:pPr>
        <w:pStyle w:val="ARbody"/>
      </w:pPr>
      <w:r>
        <w:t>See also</w:t>
      </w:r>
      <w:r w:rsidR="00C26CB5">
        <w:t xml:space="preserve">: </w:t>
      </w:r>
      <w:hyperlink w:anchor="_Increase_immunisation_coverage" w:history="1">
        <w:r w:rsidR="00C26CB5" w:rsidRPr="00C26CB5">
          <w:rPr>
            <w:rStyle w:val="Hyperlink"/>
          </w:rPr>
          <w:t>Increase immunisation coverage rates at</w:t>
        </w:r>
        <w:r w:rsidR="00FA6CC4">
          <w:rPr>
            <w:rStyle w:val="Hyperlink"/>
          </w:rPr>
          <w:t> </w:t>
        </w:r>
        <w:r w:rsidR="00C26CB5" w:rsidRPr="00C26CB5">
          <w:rPr>
            <w:rStyle w:val="Hyperlink"/>
          </w:rPr>
          <w:t>two years of age and at school entry</w:t>
        </w:r>
      </w:hyperlink>
      <w:r w:rsidR="00C26CB5">
        <w:t>.</w:t>
      </w:r>
    </w:p>
    <w:p w14:paraId="62E940C9" w14:textId="5F47FC5E" w:rsidR="00603B69" w:rsidRDefault="00603B69" w:rsidP="00476668">
      <w:pPr>
        <w:pStyle w:val="Heading6"/>
      </w:pPr>
      <w:r w:rsidRPr="00DE1CEB" w:rsidDel="0048478A">
        <w:t xml:space="preserve">COVID-19 </w:t>
      </w:r>
      <w:r w:rsidR="002244B8">
        <w:t>v</w:t>
      </w:r>
      <w:r>
        <w:t>accination program</w:t>
      </w:r>
    </w:p>
    <w:p w14:paraId="2967448D" w14:textId="2EF187E8" w:rsidR="00603B69" w:rsidRDefault="00603B69" w:rsidP="00603B69">
      <w:pPr>
        <w:pStyle w:val="ARbody"/>
        <w:rPr>
          <w:rFonts w:eastAsia="Times New Roman" w:cs="Times New Roman"/>
        </w:rPr>
      </w:pPr>
      <w:r w:rsidRPr="00466B1D">
        <w:rPr>
          <w:rFonts w:eastAsia="Times New Roman" w:cs="Times New Roman"/>
        </w:rPr>
        <w:t>In February 2021, the Victorian Government</w:t>
      </w:r>
      <w:r w:rsidR="00273E9B">
        <w:rPr>
          <w:rFonts w:eastAsia="Times New Roman" w:cs="Times New Roman"/>
        </w:rPr>
        <w:t>, by agreement with the Commonwealth Government,</w:t>
      </w:r>
      <w:r w:rsidRPr="00466B1D">
        <w:rPr>
          <w:rFonts w:eastAsia="Times New Roman" w:cs="Times New Roman"/>
        </w:rPr>
        <w:t xml:space="preserve"> </w:t>
      </w:r>
      <w:r w:rsidR="008640F3">
        <w:rPr>
          <w:rFonts w:eastAsia="Times New Roman" w:cs="Times New Roman"/>
        </w:rPr>
        <w:t>established a</w:t>
      </w:r>
      <w:r w:rsidRPr="00466B1D">
        <w:rPr>
          <w:rFonts w:eastAsia="Times New Roman" w:cs="Times New Roman"/>
        </w:rPr>
        <w:t xml:space="preserve"> Victoria</w:t>
      </w:r>
      <w:r w:rsidR="00001663">
        <w:rPr>
          <w:rFonts w:eastAsia="Times New Roman" w:cs="Times New Roman"/>
        </w:rPr>
        <w:t>n</w:t>
      </w:r>
      <w:r w:rsidRPr="00466B1D">
        <w:rPr>
          <w:rFonts w:eastAsia="Times New Roman" w:cs="Times New Roman"/>
        </w:rPr>
        <w:t xml:space="preserve"> COVID-19 Vaccination </w:t>
      </w:r>
      <w:r w:rsidRPr="003420B0">
        <w:rPr>
          <w:rFonts w:eastAsia="Times New Roman" w:cs="Times New Roman"/>
        </w:rPr>
        <w:t xml:space="preserve">Program </w:t>
      </w:r>
      <w:r w:rsidR="008640F3">
        <w:rPr>
          <w:rFonts w:eastAsia="Times New Roman" w:cs="Times New Roman"/>
        </w:rPr>
        <w:t>overseen by a dedicated COVID-19 vaccine team</w:t>
      </w:r>
      <w:r w:rsidRPr="003420B0">
        <w:rPr>
          <w:rFonts w:eastAsia="Times New Roman" w:cs="Times New Roman"/>
        </w:rPr>
        <w:t>.</w:t>
      </w:r>
    </w:p>
    <w:p w14:paraId="4F8F75C5" w14:textId="787860FE" w:rsidR="007C4FB4" w:rsidRPr="003420B0" w:rsidRDefault="007C4FB4" w:rsidP="007C4FB4">
      <w:pPr>
        <w:pStyle w:val="ARbody"/>
        <w:rPr>
          <w:rFonts w:eastAsia="Times New Roman" w:cs="Times New Roman"/>
        </w:rPr>
      </w:pPr>
      <w:r>
        <w:rPr>
          <w:rFonts w:eastAsia="Times New Roman" w:cs="Times New Roman"/>
        </w:rPr>
        <w:t>To help ensure all Victorians had access to a COVID-19 vaccine as soon as possible, the department established</w:t>
      </w:r>
      <w:r w:rsidRPr="003420B0">
        <w:rPr>
          <w:rFonts w:eastAsia="Times New Roman" w:cs="Times New Roman"/>
        </w:rPr>
        <w:t xml:space="preserve"> 166 state-run vaccination centres across Victoria</w:t>
      </w:r>
      <w:r>
        <w:rPr>
          <w:rFonts w:eastAsia="Times New Roman" w:cs="Times New Roman"/>
        </w:rPr>
        <w:t>. In partnership with primary care</w:t>
      </w:r>
      <w:r w:rsidR="00B1283B">
        <w:rPr>
          <w:rFonts w:eastAsia="Times New Roman" w:cs="Times New Roman"/>
        </w:rPr>
        <w:t xml:space="preserve"> providers</w:t>
      </w:r>
      <w:r>
        <w:rPr>
          <w:rFonts w:eastAsia="Times New Roman" w:cs="Times New Roman"/>
        </w:rPr>
        <w:t xml:space="preserve"> – GPs and pharmacists – the program </w:t>
      </w:r>
      <w:r w:rsidR="00825AAE">
        <w:rPr>
          <w:rFonts w:eastAsia="Times New Roman" w:cs="Times New Roman"/>
        </w:rPr>
        <w:t xml:space="preserve">allowed </w:t>
      </w:r>
      <w:r w:rsidR="00A77F3E">
        <w:rPr>
          <w:rFonts w:eastAsia="Times New Roman" w:cs="Times New Roman"/>
        </w:rPr>
        <w:t xml:space="preserve">Victorians </w:t>
      </w:r>
      <w:r w:rsidR="00757AF2">
        <w:rPr>
          <w:rFonts w:eastAsia="Times New Roman" w:cs="Times New Roman"/>
        </w:rPr>
        <w:t>to</w:t>
      </w:r>
      <w:r w:rsidR="00A77F3E">
        <w:rPr>
          <w:rFonts w:eastAsia="Times New Roman" w:cs="Times New Roman"/>
        </w:rPr>
        <w:t xml:space="preserve"> get</w:t>
      </w:r>
      <w:r>
        <w:rPr>
          <w:rFonts w:eastAsia="Times New Roman" w:cs="Times New Roman"/>
        </w:rPr>
        <w:t xml:space="preserve"> vaccinated quickly and safely</w:t>
      </w:r>
      <w:r w:rsidRPr="003420B0">
        <w:rPr>
          <w:rFonts w:eastAsia="Times New Roman" w:cs="Times New Roman"/>
        </w:rPr>
        <w:t>.</w:t>
      </w:r>
      <w:r>
        <w:rPr>
          <w:rFonts w:eastAsia="Times New Roman" w:cs="Times New Roman"/>
        </w:rPr>
        <w:t xml:space="preserve"> O</w:t>
      </w:r>
      <w:r w:rsidRPr="003420B0">
        <w:rPr>
          <w:rFonts w:eastAsia="Times New Roman" w:cs="Times New Roman"/>
        </w:rPr>
        <w:t xml:space="preserve">utreach and mobile </w:t>
      </w:r>
      <w:r>
        <w:rPr>
          <w:rFonts w:eastAsia="Times New Roman" w:cs="Times New Roman"/>
        </w:rPr>
        <w:t xml:space="preserve">vaccine </w:t>
      </w:r>
      <w:r w:rsidRPr="003420B0">
        <w:rPr>
          <w:rFonts w:eastAsia="Times New Roman" w:cs="Times New Roman"/>
        </w:rPr>
        <w:t xml:space="preserve">teams brought vaccinations to community events, </w:t>
      </w:r>
      <w:r>
        <w:rPr>
          <w:rFonts w:eastAsia="Times New Roman" w:cs="Times New Roman"/>
        </w:rPr>
        <w:lastRenderedPageBreak/>
        <w:t xml:space="preserve">schools, places of worship, </w:t>
      </w:r>
      <w:r w:rsidRPr="003420B0">
        <w:rPr>
          <w:rFonts w:eastAsia="Times New Roman" w:cs="Times New Roman"/>
        </w:rPr>
        <w:t>aged care settings, and</w:t>
      </w:r>
      <w:r w:rsidR="0002459C">
        <w:rPr>
          <w:rFonts w:eastAsia="Times New Roman" w:cs="Times New Roman"/>
        </w:rPr>
        <w:t> </w:t>
      </w:r>
      <w:r w:rsidRPr="003420B0">
        <w:rPr>
          <w:rFonts w:eastAsia="Times New Roman" w:cs="Times New Roman"/>
        </w:rPr>
        <w:t>other at-risk communities across the state</w:t>
      </w:r>
      <w:r w:rsidR="000677E7">
        <w:rPr>
          <w:rFonts w:eastAsia="Times New Roman" w:cs="Times New Roman"/>
        </w:rPr>
        <w:t>. In</w:t>
      </w:r>
      <w:r w:rsidR="0002459C">
        <w:rPr>
          <w:rFonts w:eastAsia="Times New Roman" w:cs="Times New Roman"/>
        </w:rPr>
        <w:t> </w:t>
      </w:r>
      <w:r w:rsidR="000677E7">
        <w:rPr>
          <w:rFonts w:eastAsia="Times New Roman" w:cs="Times New Roman"/>
        </w:rPr>
        <w:t xml:space="preserve">particular, the department </w:t>
      </w:r>
      <w:r w:rsidR="00850E57">
        <w:rPr>
          <w:rFonts w:eastAsia="Times New Roman" w:cs="Times New Roman"/>
        </w:rPr>
        <w:t>partner</w:t>
      </w:r>
      <w:r w:rsidR="000677E7">
        <w:rPr>
          <w:rFonts w:eastAsia="Times New Roman" w:cs="Times New Roman"/>
        </w:rPr>
        <w:t>ed</w:t>
      </w:r>
      <w:r w:rsidR="00850E57">
        <w:rPr>
          <w:rFonts w:eastAsia="Times New Roman" w:cs="Times New Roman"/>
        </w:rPr>
        <w:t xml:space="preserve"> with </w:t>
      </w:r>
      <w:r w:rsidR="00850E57" w:rsidRPr="00850E57">
        <w:rPr>
          <w:rFonts w:eastAsia="Times New Roman" w:cs="Times New Roman"/>
        </w:rPr>
        <w:t>Aboriginal community controlled organisations to</w:t>
      </w:r>
      <w:r w:rsidR="0002459C">
        <w:rPr>
          <w:rFonts w:eastAsia="Times New Roman" w:cs="Times New Roman"/>
        </w:rPr>
        <w:t> </w:t>
      </w:r>
      <w:r w:rsidR="00850E57" w:rsidRPr="00850E57">
        <w:rPr>
          <w:rFonts w:eastAsia="Times New Roman" w:cs="Times New Roman"/>
        </w:rPr>
        <w:t xml:space="preserve">close the gap between Indigenous and </w:t>
      </w:r>
      <w:r w:rsidR="0002459C">
        <w:rPr>
          <w:rFonts w:eastAsia="Times New Roman" w:cs="Times New Roman"/>
        </w:rPr>
        <w:br/>
      </w:r>
      <w:r w:rsidR="00850E57" w:rsidRPr="00850E57">
        <w:rPr>
          <w:rFonts w:eastAsia="Times New Roman" w:cs="Times New Roman"/>
        </w:rPr>
        <w:t>non-Indigenous vaccination rates.</w:t>
      </w:r>
    </w:p>
    <w:p w14:paraId="4DA5F217" w14:textId="4A7D0252" w:rsidR="007C4FB4" w:rsidRPr="000E39BF" w:rsidRDefault="007C4FB4" w:rsidP="007C4FB4">
      <w:pPr>
        <w:pStyle w:val="ARbody"/>
        <w:rPr>
          <w:rFonts w:eastAsia="Times New Roman" w:cs="Times New Roman"/>
        </w:rPr>
      </w:pPr>
      <w:r w:rsidRPr="003420B0">
        <w:rPr>
          <w:rFonts w:eastAsia="Times New Roman" w:cs="Times New Roman"/>
        </w:rPr>
        <w:t>Over six million vaccines were delivered through the state-run programs until June 2022</w:t>
      </w:r>
      <w:r w:rsidR="009D3C6B">
        <w:rPr>
          <w:rFonts w:eastAsia="Times New Roman" w:cs="Times New Roman"/>
        </w:rPr>
        <w:t xml:space="preserve">. </w:t>
      </w:r>
      <w:r w:rsidR="009D3C6B" w:rsidRPr="00D9771F">
        <w:rPr>
          <w:rFonts w:eastAsia="Times New Roman" w:cs="Times New Roman"/>
        </w:rPr>
        <w:t xml:space="preserve">Compared to other </w:t>
      </w:r>
      <w:r w:rsidR="00124AFB">
        <w:rPr>
          <w:rFonts w:eastAsia="Times New Roman" w:cs="Times New Roman"/>
        </w:rPr>
        <w:t>jurisdictions</w:t>
      </w:r>
      <w:r w:rsidR="009D3C6B" w:rsidRPr="00D9771F">
        <w:rPr>
          <w:rFonts w:eastAsia="Times New Roman" w:cs="Times New Roman"/>
        </w:rPr>
        <w:t xml:space="preserve">, </w:t>
      </w:r>
      <w:r w:rsidR="00D9771F" w:rsidRPr="00D9771F">
        <w:rPr>
          <w:rFonts w:eastAsia="Times New Roman" w:cs="Times New Roman"/>
        </w:rPr>
        <w:t>this was a very high number over a short period of time.</w:t>
      </w:r>
      <w:r w:rsidRPr="00D9771F">
        <w:rPr>
          <w:rFonts w:eastAsia="Times New Roman" w:cs="Times New Roman"/>
        </w:rPr>
        <w:t xml:space="preserve"> By the end of 2021, over 93 per cent of the eligible population had received at least two doses of COVID-19 vaccines.</w:t>
      </w:r>
    </w:p>
    <w:p w14:paraId="61A107CA" w14:textId="02B99DBE" w:rsidR="00603B69" w:rsidRDefault="00603B69" w:rsidP="00603B69">
      <w:pPr>
        <w:pStyle w:val="Heading5"/>
      </w:pPr>
      <w:r w:rsidRPr="00FE5FF2">
        <w:t>Help deliver COVID</w:t>
      </w:r>
      <w:r w:rsidR="00BD4FAA" w:rsidRPr="00FE5FF2">
        <w:t>-s</w:t>
      </w:r>
      <w:r w:rsidRPr="00FE5FF2">
        <w:t>afe major events</w:t>
      </w:r>
    </w:p>
    <w:p w14:paraId="6642CC60" w14:textId="77777777" w:rsidR="004D4D20" w:rsidRDefault="00675BD1" w:rsidP="00D51D59">
      <w:pPr>
        <w:pStyle w:val="ARbody"/>
      </w:pPr>
      <w:r>
        <w:t>T</w:t>
      </w:r>
      <w:r w:rsidR="00D51D59">
        <w:t>he Victorian COVID-19 public events framework</w:t>
      </w:r>
      <w:r w:rsidR="00A50438">
        <w:t>, first established by the department in November 2020,</w:t>
      </w:r>
      <w:r>
        <w:t xml:space="preserve"> </w:t>
      </w:r>
      <w:r w:rsidR="005E659F">
        <w:t>sets out the arrangements by</w:t>
      </w:r>
      <w:r>
        <w:t xml:space="preserve"> which</w:t>
      </w:r>
      <w:r w:rsidR="00A50438">
        <w:t xml:space="preserve"> </w:t>
      </w:r>
      <w:r w:rsidR="00D134ED">
        <w:t xml:space="preserve">major events </w:t>
      </w:r>
      <w:r>
        <w:t>can</w:t>
      </w:r>
      <w:r w:rsidR="00D134ED">
        <w:t xml:space="preserve"> take place </w:t>
      </w:r>
      <w:r>
        <w:t xml:space="preserve">and </w:t>
      </w:r>
      <w:r w:rsidR="00A50438">
        <w:t xml:space="preserve">the public </w:t>
      </w:r>
      <w:r>
        <w:t>can</w:t>
      </w:r>
      <w:r w:rsidR="00A50438">
        <w:t xml:space="preserve"> enjoy </w:t>
      </w:r>
      <w:r w:rsidR="00D134ED">
        <w:t>them</w:t>
      </w:r>
      <w:r w:rsidR="00A50438">
        <w:t xml:space="preserve"> </w:t>
      </w:r>
      <w:r w:rsidR="00D134ED">
        <w:t>in a COVID-safe way.</w:t>
      </w:r>
      <w:r w:rsidR="005E659F">
        <w:t xml:space="preserve"> Working closely with event organisers and venues, the department helped ensure the best COVIDSafe practices </w:t>
      </w:r>
      <w:r w:rsidR="00D540E5">
        <w:t xml:space="preserve">were in place </w:t>
      </w:r>
      <w:r w:rsidR="005E659F">
        <w:t>at all major events, keeping Victorians as safe as possible.</w:t>
      </w:r>
    </w:p>
    <w:p w14:paraId="33D5AA21" w14:textId="598300A2" w:rsidR="00D51D59" w:rsidRDefault="005E659F" w:rsidP="00D51D59">
      <w:pPr>
        <w:pStyle w:val="ARbody"/>
      </w:pPr>
      <w:r>
        <w:t xml:space="preserve">Under the framework, </w:t>
      </w:r>
      <w:r w:rsidR="00D134ED">
        <w:t xml:space="preserve">a number of </w:t>
      </w:r>
      <w:r w:rsidR="00964367">
        <w:t xml:space="preserve">Melbourne’s </w:t>
      </w:r>
      <w:r w:rsidR="00675BD1">
        <w:t xml:space="preserve">major </w:t>
      </w:r>
      <w:r w:rsidR="00D134ED">
        <w:t>sporting events</w:t>
      </w:r>
      <w:r w:rsidR="00675BD1">
        <w:t xml:space="preserve"> </w:t>
      </w:r>
      <w:r>
        <w:t>were able</w:t>
      </w:r>
      <w:r w:rsidR="00675BD1">
        <w:t xml:space="preserve"> go ahead</w:t>
      </w:r>
      <w:r>
        <w:t xml:space="preserve"> in late 2021 and early 2022</w:t>
      </w:r>
      <w:r w:rsidR="00D134ED">
        <w:t>,</w:t>
      </w:r>
      <w:r w:rsidR="00D51D59">
        <w:t xml:space="preserve"> including the Spring Racing Carnival, the Boxing Day </w:t>
      </w:r>
      <w:r w:rsidR="00D51D59" w:rsidDel="00187E13">
        <w:t>Test</w:t>
      </w:r>
      <w:r w:rsidR="00D51D59">
        <w:t>, the Australian Open, and the Formula 1 Grand Prix.</w:t>
      </w:r>
    </w:p>
    <w:p w14:paraId="65C82CD7" w14:textId="03881B4A" w:rsidR="00603B69" w:rsidRDefault="00603B69" w:rsidP="00603B69">
      <w:pPr>
        <w:pStyle w:val="Heading5"/>
      </w:pPr>
      <w:r>
        <w:t>Trial and implement new COVID-19 testing</w:t>
      </w:r>
      <w:r w:rsidR="00FA6CC4">
        <w:t> </w:t>
      </w:r>
      <w:r>
        <w:t>methods</w:t>
      </w:r>
    </w:p>
    <w:p w14:paraId="22D628DD" w14:textId="6D0FED85" w:rsidR="00CC2E02" w:rsidRDefault="00603B69" w:rsidP="00603B69">
      <w:pPr>
        <w:pStyle w:val="ARbody"/>
      </w:pPr>
      <w:r>
        <w:t xml:space="preserve">The </w:t>
      </w:r>
      <w:r w:rsidR="00CC2E02">
        <w:t>d</w:t>
      </w:r>
      <w:r>
        <w:t xml:space="preserve">epartment continued </w:t>
      </w:r>
      <w:r w:rsidR="00CC2E02">
        <w:t xml:space="preserve">its </w:t>
      </w:r>
      <w:r>
        <w:t xml:space="preserve">engagement with the Doherty Institute to trial and implement </w:t>
      </w:r>
      <w:r w:rsidRPr="00DA409F">
        <w:t>innovative</w:t>
      </w:r>
      <w:r>
        <w:t xml:space="preserve"> COVID-19 testing methods. This</w:t>
      </w:r>
      <w:r w:rsidDel="0039542F">
        <w:t xml:space="preserve"> </w:t>
      </w:r>
      <w:r>
        <w:t xml:space="preserve">allowed Victoria to adapt its testing strategy at different stages of the pandemic </w:t>
      </w:r>
      <w:r w:rsidR="00DA409F">
        <w:t xml:space="preserve">according to </w:t>
      </w:r>
      <w:r w:rsidR="00CC2E02">
        <w:t xml:space="preserve">the </w:t>
      </w:r>
      <w:r w:rsidRPr="00DA409F">
        <w:t>suitability</w:t>
      </w:r>
      <w:r>
        <w:t xml:space="preserve"> of </w:t>
      </w:r>
      <w:r w:rsidR="00DA409F">
        <w:t xml:space="preserve">different </w:t>
      </w:r>
      <w:r>
        <w:t>testing methods. These include</w:t>
      </w:r>
      <w:r w:rsidR="00CC2E02">
        <w:t>:</w:t>
      </w:r>
    </w:p>
    <w:p w14:paraId="6C986C15" w14:textId="31D6D6E6" w:rsidR="00CC2E02" w:rsidRDefault="00603B69" w:rsidP="00B6503E">
      <w:pPr>
        <w:pStyle w:val="ARbullet1"/>
      </w:pPr>
      <w:r>
        <w:t>the continued validation and expansion of saliva as a specimen for polymerase chain reaction (PCR) testing to make repeat frequent testing more acceptable</w:t>
      </w:r>
    </w:p>
    <w:p w14:paraId="1C837365" w14:textId="19FEF6AC" w:rsidR="00CC2E02" w:rsidRDefault="00DA409F" w:rsidP="00B6503E">
      <w:pPr>
        <w:pStyle w:val="ARbullet1"/>
      </w:pPr>
      <w:r>
        <w:t xml:space="preserve">the </w:t>
      </w:r>
      <w:r w:rsidR="00603B69">
        <w:t>development of a mobile testing fleet to make testing more accessible</w:t>
      </w:r>
    </w:p>
    <w:p w14:paraId="5F2457CC" w14:textId="6549D20A" w:rsidR="00CC2E02" w:rsidRDefault="00DA409F" w:rsidP="00B6503E">
      <w:pPr>
        <w:pStyle w:val="ARbullet1"/>
      </w:pPr>
      <w:r>
        <w:t xml:space="preserve">the </w:t>
      </w:r>
      <w:r w:rsidR="00603B69">
        <w:t>assessment and validation of rapid antigen tests (RATs)</w:t>
      </w:r>
      <w:r>
        <w:t>,</w:t>
      </w:r>
      <w:r w:rsidR="00603B69">
        <w:t xml:space="preserve"> including rapid validation against emerging variants</w:t>
      </w:r>
    </w:p>
    <w:p w14:paraId="266AB279" w14:textId="5C0BB441" w:rsidR="00CC2E02" w:rsidRDefault="00603B69" w:rsidP="00B6503E">
      <w:pPr>
        <w:pStyle w:val="ARbullet1"/>
      </w:pPr>
      <w:r>
        <w:t>laboratory validation of self-collected PCR samples to expand choice in testing options</w:t>
      </w:r>
    </w:p>
    <w:p w14:paraId="4B6D1DC1" w14:textId="048BE364" w:rsidR="00603B69" w:rsidRPr="007A6B5D" w:rsidRDefault="00DA409F" w:rsidP="00B6503E">
      <w:pPr>
        <w:pStyle w:val="ARbullet1"/>
      </w:pPr>
      <w:r>
        <w:t xml:space="preserve">the </w:t>
      </w:r>
      <w:r w:rsidR="00603B69">
        <w:t>development of a range of serological testing methods to measure the immune response to testing and vaccination.</w:t>
      </w:r>
    </w:p>
    <w:p w14:paraId="5889D98B" w14:textId="47871F10" w:rsidR="003F0283" w:rsidRDefault="00603B69" w:rsidP="0010411A">
      <w:pPr>
        <w:pStyle w:val="ARbodyafterbullets"/>
      </w:pPr>
      <w:r>
        <w:t xml:space="preserve">While </w:t>
      </w:r>
      <w:r w:rsidRPr="00077601">
        <w:t xml:space="preserve">PCR testing </w:t>
      </w:r>
      <w:r>
        <w:t>is considered the ‘gold standard’ diagnostic test to detect</w:t>
      </w:r>
      <w:r w:rsidR="00B6503E">
        <w:t xml:space="preserve"> </w:t>
      </w:r>
      <w:r w:rsidR="001C789E">
        <w:t>COVID-19</w:t>
      </w:r>
      <w:r>
        <w:t xml:space="preserve">, </w:t>
      </w:r>
      <w:r w:rsidR="00DA409F">
        <w:t xml:space="preserve">Victoria began to acquire RAT supplies to provide to the public </w:t>
      </w:r>
      <w:r>
        <w:t>following the Therapeutic Goods Administration</w:t>
      </w:r>
      <w:r w:rsidR="001C789E">
        <w:t>’</w:t>
      </w:r>
      <w:r w:rsidR="00B6503E">
        <w:t>s</w:t>
      </w:r>
      <w:r>
        <w:t xml:space="preserve"> approval of RAT</w:t>
      </w:r>
      <w:r w:rsidR="00B6503E">
        <w:t>s</w:t>
      </w:r>
      <w:r>
        <w:t xml:space="preserve"> for self-collection from 1</w:t>
      </w:r>
      <w:r w:rsidR="001E4FFE">
        <w:t> </w:t>
      </w:r>
      <w:r>
        <w:t>November 2021.</w:t>
      </w:r>
    </w:p>
    <w:p w14:paraId="269274D7" w14:textId="5E9BD1B8" w:rsidR="006C4266" w:rsidRPr="007A6B5D" w:rsidRDefault="006B629B" w:rsidP="006C4266">
      <w:pPr>
        <w:pStyle w:val="ARbody"/>
      </w:pPr>
      <w:r>
        <w:t>With t</w:t>
      </w:r>
      <w:r w:rsidR="006C4266">
        <w:t>he emergence of the Delta and Omicron variants in late 2021</w:t>
      </w:r>
      <w:r w:rsidR="00163CA3">
        <w:t>,</w:t>
      </w:r>
      <w:r w:rsidR="006C4266">
        <w:t xml:space="preserve"> daily COVID-19 case numbers rapidly </w:t>
      </w:r>
      <w:r>
        <w:t xml:space="preserve">began to </w:t>
      </w:r>
      <w:r w:rsidR="006C4266">
        <w:t>rise. Facing the need for</w:t>
      </w:r>
      <w:r w:rsidR="00FA6CC4">
        <w:t> </w:t>
      </w:r>
      <w:r w:rsidR="006C4266">
        <w:t>many more tests each day, Victoria began providing free RAT kits via state-run fixed testing sites from 5 January 2022.</w:t>
      </w:r>
    </w:p>
    <w:p w14:paraId="6FEE974F" w14:textId="0EC8DE87" w:rsidR="001A3AD4" w:rsidRDefault="006C4266" w:rsidP="006C4266">
      <w:pPr>
        <w:pStyle w:val="ARbody"/>
      </w:pPr>
      <w:r w:rsidRPr="00BF36EE">
        <w:t>Over 2021–22, about 100 million RATs were distributed for free to Victorians, via testing sites, schools and early childhood education centres, health services and local public health units, and to</w:t>
      </w:r>
      <w:r w:rsidR="00FA6CC4" w:rsidRPr="00BF36EE">
        <w:t> </w:t>
      </w:r>
      <w:r w:rsidRPr="00BF36EE">
        <w:t>critical workforces.</w:t>
      </w:r>
      <w:r w:rsidR="001A3AD4" w:rsidRPr="00BF36EE">
        <w:t xml:space="preserve"> </w:t>
      </w:r>
      <w:r w:rsidR="00C37FE3" w:rsidRPr="00BF36EE">
        <w:t xml:space="preserve">The </w:t>
      </w:r>
      <w:r w:rsidR="00A11C65">
        <w:t>majority of these</w:t>
      </w:r>
      <w:r w:rsidR="001F6ED2">
        <w:t xml:space="preserve"> RATs (</w:t>
      </w:r>
      <w:r w:rsidR="00C37FE3" w:rsidRPr="00BF36EE">
        <w:t>approximately 80 million</w:t>
      </w:r>
      <w:r w:rsidR="001F6ED2">
        <w:t>)</w:t>
      </w:r>
      <w:r w:rsidR="00C37FE3" w:rsidRPr="00BF36EE">
        <w:t xml:space="preserve"> </w:t>
      </w:r>
      <w:r w:rsidR="001F6ED2">
        <w:t>were</w:t>
      </w:r>
      <w:r w:rsidR="00C37FE3" w:rsidRPr="00BF36EE">
        <w:t xml:space="preserve"> distributed to students and staff of schools and early childhood </w:t>
      </w:r>
      <w:r w:rsidR="001F6ED2" w:rsidRPr="00BF36EE">
        <w:t xml:space="preserve">education centres </w:t>
      </w:r>
      <w:r w:rsidR="00C37FE3" w:rsidRPr="00BF36EE">
        <w:t xml:space="preserve">during </w:t>
      </w:r>
      <w:r w:rsidR="00217BF1">
        <w:t>t</w:t>
      </w:r>
      <w:r w:rsidR="00C37FE3" w:rsidRPr="00BF36EE">
        <w:t>erms 1 and 2</w:t>
      </w:r>
      <w:r w:rsidR="00217BF1">
        <w:t xml:space="preserve"> this year</w:t>
      </w:r>
      <w:r w:rsidR="00C37FE3" w:rsidRPr="00BF36EE">
        <w:t>.</w:t>
      </w:r>
    </w:p>
    <w:p w14:paraId="1ACF2F1B" w14:textId="3DFF46DD" w:rsidR="006C4266" w:rsidRDefault="006C4266" w:rsidP="006C4266">
      <w:pPr>
        <w:pStyle w:val="ARbody"/>
      </w:pPr>
      <w:r w:rsidRPr="007A6B5D">
        <w:t xml:space="preserve">Just over </w:t>
      </w:r>
      <w:r>
        <w:t>one</w:t>
      </w:r>
      <w:r w:rsidRPr="007A6B5D">
        <w:t xml:space="preserve"> million Victorians reported their results to the </w:t>
      </w:r>
      <w:r>
        <w:t>s</w:t>
      </w:r>
      <w:r w:rsidRPr="007A6B5D">
        <w:t>tate coronavirus hotline or website</w:t>
      </w:r>
      <w:r>
        <w:t xml:space="preserve">, which </w:t>
      </w:r>
      <w:r w:rsidRPr="007A6B5D">
        <w:t xml:space="preserve">help track and trace case numbers across the </w:t>
      </w:r>
      <w:r>
        <w:t>s</w:t>
      </w:r>
      <w:r w:rsidRPr="007A6B5D">
        <w:t xml:space="preserve">tate. The inclusion of </w:t>
      </w:r>
      <w:r>
        <w:t>RATs</w:t>
      </w:r>
      <w:r w:rsidRPr="007A6B5D">
        <w:t xml:space="preserve"> in </w:t>
      </w:r>
      <w:r w:rsidR="0065288F">
        <w:t>Victoria’s</w:t>
      </w:r>
      <w:r w:rsidRPr="007A6B5D">
        <w:t xml:space="preserve"> COVID-19 testing toolkit has helped the </w:t>
      </w:r>
      <w:r>
        <w:t>s</w:t>
      </w:r>
      <w:r w:rsidRPr="007A6B5D">
        <w:t>tate</w:t>
      </w:r>
      <w:r>
        <w:t xml:space="preserve"> to</w:t>
      </w:r>
      <w:r w:rsidR="00FA6CC4">
        <w:t> </w:t>
      </w:r>
      <w:r>
        <w:t xml:space="preserve">have greater agility </w:t>
      </w:r>
      <w:r w:rsidRPr="007A6B5D">
        <w:t xml:space="preserve">and capacity </w:t>
      </w:r>
      <w:r>
        <w:t>in its response</w:t>
      </w:r>
      <w:r w:rsidRPr="007A6B5D">
        <w:t xml:space="preserve"> to COVID-19 outbreaks.</w:t>
      </w:r>
    </w:p>
    <w:p w14:paraId="72CA9220" w14:textId="77777777" w:rsidR="00603B69" w:rsidRDefault="00603B69" w:rsidP="00603B69">
      <w:pPr>
        <w:pStyle w:val="Heading5"/>
      </w:pPr>
      <w:r>
        <w:t>Maintain effective contact tracing</w:t>
      </w:r>
    </w:p>
    <w:p w14:paraId="6054BB4D" w14:textId="23ECA03E" w:rsidR="00603B69" w:rsidRPr="00EB4204" w:rsidRDefault="00511E36" w:rsidP="00603B69">
      <w:pPr>
        <w:pStyle w:val="ARbody"/>
        <w:rPr>
          <w:rFonts w:eastAsia="Times New Roman" w:cs="Times New Roman"/>
        </w:rPr>
      </w:pPr>
      <w:r>
        <w:rPr>
          <w:rFonts w:eastAsia="Times New Roman" w:cs="Times New Roman"/>
        </w:rPr>
        <w:t xml:space="preserve">Before the COVID-19 vaccines became available, contact tracing was </w:t>
      </w:r>
      <w:r w:rsidR="006B629B">
        <w:rPr>
          <w:rFonts w:eastAsia="Times New Roman" w:cs="Times New Roman"/>
        </w:rPr>
        <w:t xml:space="preserve">the </w:t>
      </w:r>
      <w:r>
        <w:rPr>
          <w:rFonts w:eastAsia="Times New Roman" w:cs="Times New Roman"/>
        </w:rPr>
        <w:t>major weapon against COVID-19 transmission. The emergence of the Omicron variant – a much more transmissible virus strain – changed that. T</w:t>
      </w:r>
      <w:r w:rsidRPr="00EB4204">
        <w:rPr>
          <w:rFonts w:eastAsia="Times New Roman" w:cs="Times New Roman"/>
        </w:rPr>
        <w:t xml:space="preserve">he department </w:t>
      </w:r>
      <w:r>
        <w:rPr>
          <w:rFonts w:eastAsia="Times New Roman" w:cs="Times New Roman"/>
        </w:rPr>
        <w:t xml:space="preserve">rapidly </w:t>
      </w:r>
      <w:r w:rsidRPr="00EB4204">
        <w:rPr>
          <w:rFonts w:eastAsia="Times New Roman" w:cs="Times New Roman"/>
        </w:rPr>
        <w:t xml:space="preserve">transitioned to a strategy </w:t>
      </w:r>
      <w:r>
        <w:rPr>
          <w:rFonts w:eastAsia="Times New Roman" w:cs="Times New Roman"/>
        </w:rPr>
        <w:t>of</w:t>
      </w:r>
      <w:r w:rsidRPr="00EB4204">
        <w:rPr>
          <w:rFonts w:eastAsia="Times New Roman" w:cs="Times New Roman"/>
        </w:rPr>
        <w:t xml:space="preserve"> triage and </w:t>
      </w:r>
      <w:r>
        <w:rPr>
          <w:rFonts w:eastAsia="Times New Roman" w:cs="Times New Roman"/>
        </w:rPr>
        <w:t>prioritisation</w:t>
      </w:r>
      <w:r w:rsidR="00603B69">
        <w:rPr>
          <w:rFonts w:eastAsia="Times New Roman" w:cs="Times New Roman"/>
        </w:rPr>
        <w:t xml:space="preserve">, </w:t>
      </w:r>
      <w:r w:rsidR="00603B69" w:rsidRPr="00EB4204">
        <w:rPr>
          <w:rFonts w:eastAsia="Times New Roman" w:cs="Times New Roman"/>
        </w:rPr>
        <w:t>connect</w:t>
      </w:r>
      <w:r w:rsidR="00603B69">
        <w:rPr>
          <w:rFonts w:eastAsia="Times New Roman" w:cs="Times New Roman"/>
        </w:rPr>
        <w:t>ing</w:t>
      </w:r>
      <w:r w:rsidR="00603B69" w:rsidRPr="00EB4204">
        <w:rPr>
          <w:rFonts w:eastAsia="Times New Roman" w:cs="Times New Roman"/>
        </w:rPr>
        <w:t xml:space="preserve"> those most at risk of severe illness to </w:t>
      </w:r>
      <w:r w:rsidR="00603B69">
        <w:rPr>
          <w:rFonts w:eastAsia="Times New Roman" w:cs="Times New Roman"/>
        </w:rPr>
        <w:t xml:space="preserve">primary care and </w:t>
      </w:r>
      <w:r w:rsidR="00603B69" w:rsidRPr="00EB4204">
        <w:rPr>
          <w:rFonts w:eastAsia="Times New Roman" w:cs="Times New Roman"/>
        </w:rPr>
        <w:t>health services</w:t>
      </w:r>
      <w:r w:rsidR="00880FF7">
        <w:rPr>
          <w:rFonts w:eastAsia="Times New Roman" w:cs="Times New Roman"/>
        </w:rPr>
        <w:t>,</w:t>
      </w:r>
      <w:r w:rsidR="00603B69" w:rsidRPr="00EB4204">
        <w:rPr>
          <w:rFonts w:eastAsia="Times New Roman" w:cs="Times New Roman"/>
        </w:rPr>
        <w:t xml:space="preserve"> and moved to </w:t>
      </w:r>
      <w:r w:rsidR="00603B69">
        <w:rPr>
          <w:rFonts w:eastAsia="Times New Roman" w:cs="Times New Roman"/>
        </w:rPr>
        <w:t xml:space="preserve">a targeted </w:t>
      </w:r>
      <w:r w:rsidR="00603B69" w:rsidRPr="00EB4204">
        <w:rPr>
          <w:rFonts w:eastAsia="Times New Roman" w:cs="Times New Roman"/>
        </w:rPr>
        <w:t xml:space="preserve">outbreak management </w:t>
      </w:r>
      <w:r w:rsidR="00603B69">
        <w:rPr>
          <w:rFonts w:eastAsia="Times New Roman" w:cs="Times New Roman"/>
        </w:rPr>
        <w:t xml:space="preserve">model for high-risk settings </w:t>
      </w:r>
      <w:r w:rsidR="00603B69" w:rsidRPr="00EB4204">
        <w:rPr>
          <w:rFonts w:eastAsia="Times New Roman" w:cs="Times New Roman"/>
        </w:rPr>
        <w:t xml:space="preserve">through the </w:t>
      </w:r>
      <w:r w:rsidR="00880FF7">
        <w:rPr>
          <w:rFonts w:eastAsia="Times New Roman" w:cs="Times New Roman"/>
        </w:rPr>
        <w:t>l</w:t>
      </w:r>
      <w:r w:rsidR="00603B69" w:rsidRPr="00EB4204">
        <w:rPr>
          <w:rFonts w:eastAsia="Times New Roman" w:cs="Times New Roman"/>
        </w:rPr>
        <w:t xml:space="preserve">ocal </w:t>
      </w:r>
      <w:r w:rsidR="00880FF7">
        <w:rPr>
          <w:rFonts w:eastAsia="Times New Roman" w:cs="Times New Roman"/>
        </w:rPr>
        <w:t>p</w:t>
      </w:r>
      <w:r w:rsidR="00603B69" w:rsidRPr="00EB4204">
        <w:rPr>
          <w:rFonts w:eastAsia="Times New Roman" w:cs="Times New Roman"/>
        </w:rPr>
        <w:t xml:space="preserve">ublic </w:t>
      </w:r>
      <w:r w:rsidR="00880FF7">
        <w:rPr>
          <w:rFonts w:eastAsia="Times New Roman" w:cs="Times New Roman"/>
        </w:rPr>
        <w:t>h</w:t>
      </w:r>
      <w:r w:rsidR="00603B69" w:rsidRPr="00EB4204">
        <w:rPr>
          <w:rFonts w:eastAsia="Times New Roman" w:cs="Times New Roman"/>
        </w:rPr>
        <w:t xml:space="preserve">ealth </w:t>
      </w:r>
      <w:r w:rsidR="00880FF7">
        <w:rPr>
          <w:rFonts w:eastAsia="Times New Roman" w:cs="Times New Roman"/>
        </w:rPr>
        <w:t>u</w:t>
      </w:r>
      <w:r w:rsidR="00603B69" w:rsidRPr="00EB4204">
        <w:rPr>
          <w:rFonts w:eastAsia="Times New Roman" w:cs="Times New Roman"/>
        </w:rPr>
        <w:t>nits. Th</w:t>
      </w:r>
      <w:r w:rsidR="00880FF7">
        <w:rPr>
          <w:rFonts w:eastAsia="Times New Roman" w:cs="Times New Roman"/>
        </w:rPr>
        <w:t>e</w:t>
      </w:r>
      <w:r w:rsidR="00603B69" w:rsidRPr="00EB4204">
        <w:rPr>
          <w:rFonts w:eastAsia="Times New Roman" w:cs="Times New Roman"/>
        </w:rPr>
        <w:t>s</w:t>
      </w:r>
      <w:r w:rsidR="00880FF7">
        <w:rPr>
          <w:rFonts w:eastAsia="Times New Roman" w:cs="Times New Roman"/>
        </w:rPr>
        <w:t>e</w:t>
      </w:r>
      <w:r w:rsidR="0002459C">
        <w:rPr>
          <w:rFonts w:eastAsia="Times New Roman" w:cs="Times New Roman"/>
        </w:rPr>
        <w:t> </w:t>
      </w:r>
      <w:r w:rsidR="00880FF7">
        <w:rPr>
          <w:rFonts w:eastAsia="Times New Roman" w:cs="Times New Roman"/>
        </w:rPr>
        <w:t>changes in</w:t>
      </w:r>
      <w:r w:rsidR="00603B69" w:rsidRPr="00EB4204">
        <w:rPr>
          <w:rFonts w:eastAsia="Times New Roman" w:cs="Times New Roman"/>
        </w:rPr>
        <w:t xml:space="preserve"> approach </w:t>
      </w:r>
      <w:r w:rsidR="00880FF7">
        <w:rPr>
          <w:rFonts w:eastAsia="Times New Roman" w:cs="Times New Roman"/>
        </w:rPr>
        <w:t>were</w:t>
      </w:r>
      <w:r w:rsidR="00880FF7" w:rsidRPr="00EB4204">
        <w:rPr>
          <w:rFonts w:eastAsia="Times New Roman" w:cs="Times New Roman"/>
        </w:rPr>
        <w:t xml:space="preserve"> </w:t>
      </w:r>
      <w:r w:rsidR="0006262A">
        <w:rPr>
          <w:rFonts w:eastAsia="Times New Roman" w:cs="Times New Roman"/>
        </w:rPr>
        <w:t xml:space="preserve">possible because of </w:t>
      </w:r>
      <w:r w:rsidR="00880FF7">
        <w:rPr>
          <w:rFonts w:eastAsia="Times New Roman" w:cs="Times New Roman"/>
        </w:rPr>
        <w:t>the</w:t>
      </w:r>
      <w:r w:rsidR="00FA6CC4">
        <w:rPr>
          <w:rFonts w:eastAsia="Times New Roman" w:cs="Times New Roman"/>
        </w:rPr>
        <w:t> </w:t>
      </w:r>
      <w:r w:rsidR="005F08AF">
        <w:rPr>
          <w:rFonts w:eastAsia="Times New Roman" w:cs="Times New Roman"/>
        </w:rPr>
        <w:t xml:space="preserve">investments </w:t>
      </w:r>
      <w:r w:rsidR="000A1350">
        <w:rPr>
          <w:rFonts w:eastAsia="Times New Roman" w:cs="Times New Roman"/>
        </w:rPr>
        <w:t>the department</w:t>
      </w:r>
      <w:r w:rsidR="005F08AF">
        <w:rPr>
          <w:rFonts w:eastAsia="Times New Roman" w:cs="Times New Roman"/>
        </w:rPr>
        <w:t xml:space="preserve"> had made in new</w:t>
      </w:r>
      <w:r w:rsidR="00FA6CC4">
        <w:rPr>
          <w:rFonts w:eastAsia="Times New Roman" w:cs="Times New Roman"/>
        </w:rPr>
        <w:t> </w:t>
      </w:r>
      <w:r w:rsidR="005F08AF">
        <w:rPr>
          <w:rFonts w:eastAsia="Times New Roman" w:cs="Times New Roman"/>
        </w:rPr>
        <w:t xml:space="preserve">COVID-19 </w:t>
      </w:r>
      <w:r w:rsidR="008F46F4">
        <w:rPr>
          <w:rFonts w:eastAsia="Times New Roman" w:cs="Times New Roman"/>
        </w:rPr>
        <w:t>information technology</w:t>
      </w:r>
      <w:r w:rsidR="005F08AF">
        <w:rPr>
          <w:rFonts w:eastAsia="Times New Roman" w:cs="Times New Roman"/>
        </w:rPr>
        <w:t xml:space="preserve"> systems –</w:t>
      </w:r>
      <w:r w:rsidR="0002459C">
        <w:rPr>
          <w:rFonts w:eastAsia="Times New Roman" w:cs="Times New Roman"/>
        </w:rPr>
        <w:t> </w:t>
      </w:r>
      <w:r w:rsidR="002112F3">
        <w:rPr>
          <w:rFonts w:eastAsia="Times New Roman" w:cs="Times New Roman"/>
        </w:rPr>
        <w:t xml:space="preserve">particularly </w:t>
      </w:r>
      <w:r w:rsidR="005F08AF">
        <w:rPr>
          <w:rFonts w:eastAsia="Times New Roman" w:cs="Times New Roman"/>
        </w:rPr>
        <w:t>TREVI</w:t>
      </w:r>
      <w:r w:rsidR="002112F3">
        <w:rPr>
          <w:rStyle w:val="FootnoteReference"/>
        </w:rPr>
        <w:t>(</w:t>
      </w:r>
      <w:r w:rsidR="002112F3" w:rsidRPr="001A559C">
        <w:rPr>
          <w:rStyle w:val="FootnoteReference"/>
        </w:rPr>
        <w:footnoteReference w:id="3"/>
      </w:r>
      <w:r w:rsidR="002112F3">
        <w:rPr>
          <w:rStyle w:val="FootnoteReference"/>
        </w:rPr>
        <w:t>)</w:t>
      </w:r>
      <w:r w:rsidR="002112F3">
        <w:rPr>
          <w:rFonts w:eastAsia="Times New Roman" w:cs="Times New Roman"/>
          <w:vertAlign w:val="superscript"/>
        </w:rPr>
        <w:t xml:space="preserve"> </w:t>
      </w:r>
      <w:r w:rsidR="005F08AF">
        <w:rPr>
          <w:rFonts w:eastAsia="Times New Roman" w:cs="Times New Roman"/>
        </w:rPr>
        <w:t xml:space="preserve">– and because of the </w:t>
      </w:r>
      <w:r w:rsidR="005F08AF" w:rsidRPr="0006262A">
        <w:rPr>
          <w:rFonts w:eastAsia="Times New Roman" w:cs="Times New Roman"/>
        </w:rPr>
        <w:t xml:space="preserve">increasing </w:t>
      </w:r>
      <w:r w:rsidR="005F08AF">
        <w:rPr>
          <w:rFonts w:eastAsia="Times New Roman" w:cs="Times New Roman"/>
        </w:rPr>
        <w:t>number of Victorians who had been</w:t>
      </w:r>
      <w:r w:rsidR="005F08AF" w:rsidRPr="0006262A">
        <w:rPr>
          <w:rFonts w:eastAsia="Times New Roman" w:cs="Times New Roman"/>
        </w:rPr>
        <w:t xml:space="preserve"> double and</w:t>
      </w:r>
      <w:r w:rsidR="005F08AF" w:rsidRPr="0006262A" w:rsidDel="0039542F">
        <w:rPr>
          <w:rFonts w:eastAsia="Times New Roman" w:cs="Times New Roman"/>
        </w:rPr>
        <w:t xml:space="preserve"> </w:t>
      </w:r>
      <w:r w:rsidR="005F08AF" w:rsidRPr="0006262A">
        <w:rPr>
          <w:rFonts w:eastAsia="Times New Roman" w:cs="Times New Roman"/>
        </w:rPr>
        <w:t>triple dose vaccinat</w:t>
      </w:r>
      <w:r w:rsidR="005F08AF">
        <w:rPr>
          <w:rFonts w:eastAsia="Times New Roman" w:cs="Times New Roman"/>
        </w:rPr>
        <w:t>ed</w:t>
      </w:r>
      <w:r w:rsidR="00603B69" w:rsidRPr="0006262A">
        <w:rPr>
          <w:rFonts w:eastAsia="Times New Roman" w:cs="Times New Roman"/>
        </w:rPr>
        <w:t>.</w:t>
      </w:r>
    </w:p>
    <w:p w14:paraId="2DA2658C" w14:textId="290C4891" w:rsidR="00603B69" w:rsidRPr="00EB4204" w:rsidRDefault="0006262A" w:rsidP="00603B69">
      <w:pPr>
        <w:pStyle w:val="ARbody"/>
        <w:rPr>
          <w:rFonts w:eastAsia="Times New Roman" w:cs="Times New Roman"/>
        </w:rPr>
      </w:pPr>
      <w:r>
        <w:rPr>
          <w:rFonts w:eastAsia="Times New Roman" w:cs="Times New Roman"/>
        </w:rPr>
        <w:lastRenderedPageBreak/>
        <w:t xml:space="preserve">Under this </w:t>
      </w:r>
      <w:r w:rsidR="006B629B">
        <w:rPr>
          <w:rFonts w:eastAsia="Times New Roman" w:cs="Times New Roman"/>
        </w:rPr>
        <w:t xml:space="preserve">new </w:t>
      </w:r>
      <w:r>
        <w:rPr>
          <w:rFonts w:eastAsia="Times New Roman" w:cs="Times New Roman"/>
        </w:rPr>
        <w:t xml:space="preserve">approach, Victorians who tested positive </w:t>
      </w:r>
      <w:r w:rsidR="00603B69" w:rsidRPr="00EB4204">
        <w:rPr>
          <w:rFonts w:eastAsia="Times New Roman" w:cs="Times New Roman"/>
        </w:rPr>
        <w:t xml:space="preserve">were required to inform </w:t>
      </w:r>
      <w:r w:rsidR="00802BCD">
        <w:rPr>
          <w:rFonts w:eastAsia="Times New Roman" w:cs="Times New Roman"/>
        </w:rPr>
        <w:t xml:space="preserve">members of </w:t>
      </w:r>
      <w:r w:rsidR="00603B69" w:rsidRPr="00EB4204">
        <w:rPr>
          <w:rFonts w:eastAsia="Times New Roman" w:cs="Times New Roman"/>
        </w:rPr>
        <w:t>their household</w:t>
      </w:r>
      <w:r w:rsidR="00802BCD">
        <w:rPr>
          <w:rFonts w:eastAsia="Times New Roman" w:cs="Times New Roman"/>
        </w:rPr>
        <w:t>s and</w:t>
      </w:r>
      <w:r w:rsidR="003D5E1A">
        <w:rPr>
          <w:rFonts w:eastAsia="Times New Roman" w:cs="Times New Roman"/>
        </w:rPr>
        <w:t xml:space="preserve"> </w:t>
      </w:r>
      <w:r w:rsidR="00603B69" w:rsidRPr="00EB4204">
        <w:rPr>
          <w:rFonts w:eastAsia="Times New Roman" w:cs="Times New Roman"/>
        </w:rPr>
        <w:t xml:space="preserve">social and workplace contacts of </w:t>
      </w:r>
      <w:r w:rsidR="00802BCD">
        <w:rPr>
          <w:rFonts w:eastAsia="Times New Roman" w:cs="Times New Roman"/>
        </w:rPr>
        <w:t xml:space="preserve">the </w:t>
      </w:r>
      <w:r w:rsidR="00603B69" w:rsidRPr="00EB4204">
        <w:rPr>
          <w:rFonts w:eastAsia="Times New Roman" w:cs="Times New Roman"/>
        </w:rPr>
        <w:t>result</w:t>
      </w:r>
      <w:r w:rsidR="00802BCD">
        <w:rPr>
          <w:rFonts w:eastAsia="Times New Roman" w:cs="Times New Roman"/>
        </w:rPr>
        <w:t>s</w:t>
      </w:r>
      <w:r w:rsidR="00603B69" w:rsidRPr="00EB4204">
        <w:rPr>
          <w:rFonts w:eastAsia="Times New Roman" w:cs="Times New Roman"/>
        </w:rPr>
        <w:t xml:space="preserve"> and advi</w:t>
      </w:r>
      <w:r w:rsidR="00603B69">
        <w:rPr>
          <w:rFonts w:eastAsia="Times New Roman" w:cs="Times New Roman"/>
        </w:rPr>
        <w:t>s</w:t>
      </w:r>
      <w:r w:rsidR="00603B69" w:rsidRPr="00EB4204">
        <w:rPr>
          <w:rFonts w:eastAsia="Times New Roman" w:cs="Times New Roman"/>
        </w:rPr>
        <w:t xml:space="preserve">e </w:t>
      </w:r>
      <w:r w:rsidR="00880FF7">
        <w:rPr>
          <w:rFonts w:eastAsia="Times New Roman" w:cs="Times New Roman"/>
        </w:rPr>
        <w:t xml:space="preserve">these </w:t>
      </w:r>
      <w:r w:rsidR="00603B69" w:rsidRPr="00EB4204">
        <w:rPr>
          <w:rFonts w:eastAsia="Times New Roman" w:cs="Times New Roman"/>
        </w:rPr>
        <w:t xml:space="preserve">contacts of </w:t>
      </w:r>
      <w:r w:rsidR="00603B69" w:rsidRPr="00802BCD">
        <w:rPr>
          <w:rFonts w:eastAsia="Times New Roman" w:cs="Times New Roman"/>
        </w:rPr>
        <w:t>their</w:t>
      </w:r>
      <w:r w:rsidR="00802BCD">
        <w:rPr>
          <w:rFonts w:eastAsia="Times New Roman" w:cs="Times New Roman"/>
        </w:rPr>
        <w:t xml:space="preserve"> own</w:t>
      </w:r>
      <w:r w:rsidR="00603B69" w:rsidRPr="00802BCD">
        <w:rPr>
          <w:rFonts w:eastAsia="Times New Roman" w:cs="Times New Roman"/>
        </w:rPr>
        <w:t xml:space="preserve"> testing </w:t>
      </w:r>
      <w:r w:rsidR="00FC21C1" w:rsidRPr="00802BCD">
        <w:rPr>
          <w:rFonts w:eastAsia="Times New Roman" w:cs="Times New Roman"/>
        </w:rPr>
        <w:t>obligations</w:t>
      </w:r>
      <w:r w:rsidR="00603B69" w:rsidRPr="00802BCD">
        <w:rPr>
          <w:rFonts w:eastAsia="Times New Roman" w:cs="Times New Roman"/>
        </w:rPr>
        <w:t>.</w:t>
      </w:r>
      <w:r w:rsidR="00603B69">
        <w:rPr>
          <w:rFonts w:eastAsia="Times New Roman" w:cs="Times New Roman"/>
        </w:rPr>
        <w:t xml:space="preserve"> </w:t>
      </w:r>
      <w:r w:rsidR="00FC21C1">
        <w:rPr>
          <w:rFonts w:eastAsia="Times New Roman" w:cs="Times New Roman"/>
        </w:rPr>
        <w:t>These requirements were</w:t>
      </w:r>
      <w:r w:rsidR="00603B69">
        <w:rPr>
          <w:rFonts w:eastAsia="Times New Roman" w:cs="Times New Roman"/>
        </w:rPr>
        <w:t xml:space="preserve"> supported </w:t>
      </w:r>
      <w:r w:rsidR="00603B69" w:rsidRPr="00EB4204">
        <w:rPr>
          <w:rFonts w:eastAsia="Times New Roman" w:cs="Times New Roman"/>
        </w:rPr>
        <w:t xml:space="preserve">by the department through </w:t>
      </w:r>
      <w:r w:rsidR="00603B69">
        <w:rPr>
          <w:rFonts w:eastAsia="Times New Roman" w:cs="Times New Roman"/>
        </w:rPr>
        <w:t xml:space="preserve">automated electronic messaging to </w:t>
      </w:r>
      <w:r w:rsidR="00FC21C1">
        <w:rPr>
          <w:rFonts w:eastAsia="Times New Roman" w:cs="Times New Roman"/>
        </w:rPr>
        <w:t>people who tested positive</w:t>
      </w:r>
      <w:r w:rsidR="00603B69">
        <w:rPr>
          <w:rFonts w:eastAsia="Times New Roman" w:cs="Times New Roman"/>
        </w:rPr>
        <w:t xml:space="preserve">, </w:t>
      </w:r>
      <w:r w:rsidR="00603B69" w:rsidRPr="00EB4204">
        <w:rPr>
          <w:rFonts w:eastAsia="Times New Roman" w:cs="Times New Roman"/>
        </w:rPr>
        <w:t>the COVID</w:t>
      </w:r>
      <w:r w:rsidR="00FC21C1">
        <w:rPr>
          <w:rFonts w:eastAsia="Times New Roman" w:cs="Times New Roman"/>
        </w:rPr>
        <w:t>-</w:t>
      </w:r>
      <w:r w:rsidR="00603B69" w:rsidRPr="00EB4204">
        <w:rPr>
          <w:rFonts w:eastAsia="Times New Roman" w:cs="Times New Roman"/>
        </w:rPr>
        <w:t>19 website, the COVID</w:t>
      </w:r>
      <w:r w:rsidR="00FC21C1">
        <w:rPr>
          <w:rFonts w:eastAsia="Times New Roman" w:cs="Times New Roman"/>
        </w:rPr>
        <w:t>-</w:t>
      </w:r>
      <w:r w:rsidR="00603B69" w:rsidRPr="00EB4204">
        <w:rPr>
          <w:rFonts w:eastAsia="Times New Roman" w:cs="Times New Roman"/>
        </w:rPr>
        <w:t xml:space="preserve">19 hotline and </w:t>
      </w:r>
      <w:r w:rsidR="00A74516">
        <w:rPr>
          <w:rFonts w:eastAsia="Times New Roman" w:cs="Times New Roman"/>
        </w:rPr>
        <w:t xml:space="preserve">other </w:t>
      </w:r>
      <w:r w:rsidR="00603B69" w:rsidRPr="00A74516">
        <w:rPr>
          <w:rFonts w:eastAsia="Times New Roman" w:cs="Times New Roman"/>
        </w:rPr>
        <w:t>media</w:t>
      </w:r>
      <w:r w:rsidR="00603B69" w:rsidRPr="00EB4204">
        <w:rPr>
          <w:rFonts w:eastAsia="Times New Roman" w:cs="Times New Roman"/>
        </w:rPr>
        <w:t>.</w:t>
      </w:r>
    </w:p>
    <w:p w14:paraId="60695815" w14:textId="007ECB72" w:rsidR="005356E0" w:rsidRDefault="00294A87" w:rsidP="00D0220D">
      <w:pPr>
        <w:pStyle w:val="ARbody"/>
        <w:rPr>
          <w:rFonts w:eastAsia="Times New Roman" w:cs="Times New Roman"/>
        </w:rPr>
      </w:pPr>
      <w:r>
        <w:rPr>
          <w:rFonts w:eastAsia="Times New Roman" w:cs="Times New Roman"/>
        </w:rPr>
        <w:t>Since</w:t>
      </w:r>
      <w:r w:rsidRPr="00EB4204">
        <w:rPr>
          <w:rFonts w:eastAsia="Times New Roman" w:cs="Times New Roman"/>
        </w:rPr>
        <w:t xml:space="preserve"> January 2022 </w:t>
      </w:r>
      <w:r>
        <w:rPr>
          <w:rFonts w:eastAsia="Times New Roman" w:cs="Times New Roman"/>
        </w:rPr>
        <w:t>Victorians</w:t>
      </w:r>
      <w:r w:rsidRPr="00EB4204">
        <w:rPr>
          <w:rFonts w:eastAsia="Times New Roman" w:cs="Times New Roman"/>
        </w:rPr>
        <w:t xml:space="preserve"> </w:t>
      </w:r>
      <w:r>
        <w:rPr>
          <w:rFonts w:eastAsia="Times New Roman" w:cs="Times New Roman"/>
        </w:rPr>
        <w:t>have been</w:t>
      </w:r>
      <w:r w:rsidRPr="00EB4204">
        <w:rPr>
          <w:rFonts w:eastAsia="Times New Roman" w:cs="Times New Roman"/>
        </w:rPr>
        <w:t xml:space="preserve"> able to notify the department of </w:t>
      </w:r>
      <w:r>
        <w:rPr>
          <w:rFonts w:eastAsia="Times New Roman" w:cs="Times New Roman"/>
        </w:rPr>
        <w:t>their</w:t>
      </w:r>
      <w:r w:rsidRPr="00EB4204">
        <w:rPr>
          <w:rFonts w:eastAsia="Times New Roman" w:cs="Times New Roman"/>
        </w:rPr>
        <w:t xml:space="preserve"> positive </w:t>
      </w:r>
      <w:r>
        <w:rPr>
          <w:rFonts w:eastAsia="Times New Roman" w:cs="Times New Roman"/>
        </w:rPr>
        <w:t>RAT result</w:t>
      </w:r>
      <w:r w:rsidRPr="00EB4204">
        <w:rPr>
          <w:rFonts w:eastAsia="Times New Roman" w:cs="Times New Roman"/>
        </w:rPr>
        <w:t xml:space="preserve"> through an online portal </w:t>
      </w:r>
      <w:r w:rsidRPr="00A74516">
        <w:rPr>
          <w:rFonts w:eastAsia="Times New Roman" w:cs="Times New Roman"/>
        </w:rPr>
        <w:t xml:space="preserve">and inbound </w:t>
      </w:r>
      <w:r>
        <w:rPr>
          <w:rFonts w:eastAsia="Times New Roman" w:cs="Times New Roman"/>
        </w:rPr>
        <w:t>hotline</w:t>
      </w:r>
      <w:r w:rsidR="00BC1C74">
        <w:rPr>
          <w:rFonts w:eastAsia="Times New Roman" w:cs="Times New Roman"/>
        </w:rPr>
        <w:t xml:space="preserve"> (</w:t>
      </w:r>
      <w:r w:rsidRPr="000E30F8">
        <w:rPr>
          <w:rFonts w:eastAsia="Times New Roman" w:cs="Times New Roman"/>
        </w:rPr>
        <w:t>1800</w:t>
      </w:r>
      <w:r w:rsidR="0002459C">
        <w:rPr>
          <w:rFonts w:eastAsia="Times New Roman" w:cs="Times New Roman"/>
        </w:rPr>
        <w:t> </w:t>
      </w:r>
      <w:r w:rsidRPr="000E30F8">
        <w:rPr>
          <w:rFonts w:eastAsia="Times New Roman" w:cs="Times New Roman"/>
        </w:rPr>
        <w:t>675 398</w:t>
      </w:r>
      <w:r w:rsidR="00BC1C74">
        <w:rPr>
          <w:rFonts w:eastAsia="Times New Roman" w:cs="Times New Roman"/>
        </w:rPr>
        <w:t>)</w:t>
      </w:r>
      <w:r w:rsidR="00163CA3">
        <w:rPr>
          <w:rFonts w:eastAsia="Times New Roman" w:cs="Times New Roman"/>
        </w:rPr>
        <w:t>, which</w:t>
      </w:r>
      <w:r w:rsidR="008F46F4">
        <w:rPr>
          <w:rFonts w:eastAsia="Times New Roman" w:cs="Times New Roman"/>
        </w:rPr>
        <w:t xml:space="preserve"> </w:t>
      </w:r>
      <w:r w:rsidR="00A458A1">
        <w:rPr>
          <w:rFonts w:eastAsia="Times New Roman" w:cs="Times New Roman"/>
        </w:rPr>
        <w:t>then connected them to COVID-19 Positive Pathways.</w:t>
      </w:r>
    </w:p>
    <w:p w14:paraId="72427392" w14:textId="452E2E40" w:rsidR="005356E0" w:rsidRPr="00B9746A" w:rsidRDefault="00392F39" w:rsidP="00392F39">
      <w:pPr>
        <w:pStyle w:val="Heading6"/>
      </w:pPr>
      <w:r w:rsidRPr="00B9746A">
        <w:t>COVID</w:t>
      </w:r>
      <w:r w:rsidR="00C075E8" w:rsidRPr="00B9746A">
        <w:t xml:space="preserve"> </w:t>
      </w:r>
      <w:r w:rsidRPr="00B9746A">
        <w:t>Positive Pathways</w:t>
      </w:r>
    </w:p>
    <w:p w14:paraId="2D2514F5" w14:textId="568CF6F2" w:rsidR="00B94A37" w:rsidRPr="00B94A37" w:rsidRDefault="00B94A37" w:rsidP="00B94A37">
      <w:pPr>
        <w:pStyle w:val="ARbody"/>
        <w:rPr>
          <w:rFonts w:eastAsia="Times New Roman" w:cs="Times New Roman"/>
        </w:rPr>
      </w:pPr>
      <w:r w:rsidRPr="00B94A37">
        <w:rPr>
          <w:rFonts w:eastAsia="Times New Roman" w:cs="Times New Roman"/>
        </w:rPr>
        <w:t xml:space="preserve">Since 1 July 2021, more than </w:t>
      </w:r>
      <w:r w:rsidR="0054321C">
        <w:rPr>
          <w:rFonts w:eastAsia="Times New Roman" w:cs="Times New Roman"/>
        </w:rPr>
        <w:t>two</w:t>
      </w:r>
      <w:r w:rsidRPr="00B94A37">
        <w:rPr>
          <w:rFonts w:eastAsia="Times New Roman" w:cs="Times New Roman"/>
        </w:rPr>
        <w:t xml:space="preserve"> million Victorians have been supported through the COVID </w:t>
      </w:r>
      <w:r>
        <w:rPr>
          <w:rFonts w:eastAsia="Times New Roman" w:cs="Times New Roman"/>
        </w:rPr>
        <w:t>Positive</w:t>
      </w:r>
      <w:r w:rsidRPr="00B94A37">
        <w:rPr>
          <w:rFonts w:eastAsia="Times New Roman" w:cs="Times New Roman"/>
        </w:rPr>
        <w:t xml:space="preserve"> Pathways </w:t>
      </w:r>
      <w:r>
        <w:rPr>
          <w:rFonts w:eastAsia="Times New Roman" w:cs="Times New Roman"/>
        </w:rPr>
        <w:t>p</w:t>
      </w:r>
      <w:r w:rsidRPr="00B94A37">
        <w:rPr>
          <w:rFonts w:eastAsia="Times New Roman" w:cs="Times New Roman"/>
        </w:rPr>
        <w:t>rogram</w:t>
      </w:r>
      <w:r>
        <w:rPr>
          <w:rFonts w:eastAsia="Times New Roman" w:cs="Times New Roman"/>
        </w:rPr>
        <w:t xml:space="preserve"> – a statew</w:t>
      </w:r>
      <w:r w:rsidRPr="00B94A37">
        <w:rPr>
          <w:rFonts w:eastAsia="Times New Roman" w:cs="Times New Roman"/>
        </w:rPr>
        <w:t xml:space="preserve">ide model of care to consistently assess, triage and monitor the care provided for all </w:t>
      </w:r>
      <w:r>
        <w:rPr>
          <w:rFonts w:eastAsia="Times New Roman" w:cs="Times New Roman"/>
        </w:rPr>
        <w:t xml:space="preserve">COVID-19 positive </w:t>
      </w:r>
      <w:r w:rsidRPr="00B94A37">
        <w:rPr>
          <w:rFonts w:eastAsia="Times New Roman" w:cs="Times New Roman"/>
        </w:rPr>
        <w:t xml:space="preserve">Victorians. </w:t>
      </w:r>
      <w:r w:rsidR="00BA04F2">
        <w:rPr>
          <w:rFonts w:eastAsia="Times New Roman" w:cs="Times New Roman"/>
        </w:rPr>
        <w:t>In</w:t>
      </w:r>
      <w:r w:rsidRPr="00B94A37">
        <w:rPr>
          <w:rFonts w:eastAsia="Times New Roman" w:cs="Times New Roman"/>
        </w:rPr>
        <w:t xml:space="preserve"> </w:t>
      </w:r>
      <w:r w:rsidR="002427F8">
        <w:rPr>
          <w:rFonts w:eastAsia="Times New Roman" w:cs="Times New Roman"/>
        </w:rPr>
        <w:t xml:space="preserve">most </w:t>
      </w:r>
      <w:r w:rsidR="00BA04F2">
        <w:rPr>
          <w:rFonts w:eastAsia="Times New Roman" w:cs="Times New Roman"/>
        </w:rPr>
        <w:t>cases,</w:t>
      </w:r>
      <w:r w:rsidRPr="00B94A37">
        <w:rPr>
          <w:rFonts w:eastAsia="Times New Roman" w:cs="Times New Roman"/>
        </w:rPr>
        <w:t xml:space="preserve"> this has meant providing up to date information about their symptoms, what to look out</w:t>
      </w:r>
      <w:r w:rsidR="0002459C">
        <w:rPr>
          <w:rFonts w:eastAsia="Times New Roman" w:cs="Times New Roman"/>
        </w:rPr>
        <w:t> </w:t>
      </w:r>
      <w:r w:rsidRPr="00B94A37">
        <w:rPr>
          <w:rFonts w:eastAsia="Times New Roman" w:cs="Times New Roman"/>
        </w:rPr>
        <w:t>for and where to access primary care or social support while they recover safely at home. For others, approximately 0.4</w:t>
      </w:r>
      <w:r w:rsidR="00307D79">
        <w:rPr>
          <w:rFonts w:eastAsia="Times New Roman" w:cs="Times New Roman"/>
        </w:rPr>
        <w:t xml:space="preserve"> per cent</w:t>
      </w:r>
      <w:r w:rsidRPr="00B94A37">
        <w:rPr>
          <w:rFonts w:eastAsia="Times New Roman" w:cs="Times New Roman"/>
        </w:rPr>
        <w:t xml:space="preserve"> (7,000 people), it has identified those who require urgent assistance and acute inpatient admission. For those managing symptoms at home, home</w:t>
      </w:r>
      <w:r w:rsidR="0054321C">
        <w:rPr>
          <w:rFonts w:eastAsia="Times New Roman" w:cs="Times New Roman"/>
        </w:rPr>
        <w:t>-</w:t>
      </w:r>
      <w:r w:rsidRPr="00B94A37">
        <w:rPr>
          <w:rFonts w:eastAsia="Times New Roman" w:cs="Times New Roman"/>
        </w:rPr>
        <w:t>based monitoring has been key, enabling regular contact with each person to support their ongoing assessment of clinical and social needs and to adjust as required.</w:t>
      </w:r>
    </w:p>
    <w:p w14:paraId="07AA5224" w14:textId="43F6B255" w:rsidR="00AC4B80" w:rsidRDefault="00B94A37" w:rsidP="00523757">
      <w:pPr>
        <w:pStyle w:val="ARbody"/>
        <w:rPr>
          <w:rFonts w:eastAsia="Times New Roman" w:cs="Times New Roman"/>
        </w:rPr>
      </w:pPr>
      <w:r w:rsidRPr="00B94A37">
        <w:rPr>
          <w:rFonts w:eastAsia="Times New Roman" w:cs="Times New Roman"/>
        </w:rPr>
        <w:t>Eligibility for COVID</w:t>
      </w:r>
      <w:r w:rsidR="006135F5">
        <w:rPr>
          <w:rFonts w:eastAsia="Times New Roman" w:cs="Times New Roman"/>
        </w:rPr>
        <w:t>-19</w:t>
      </w:r>
      <w:r w:rsidRPr="00B94A37">
        <w:rPr>
          <w:rFonts w:eastAsia="Times New Roman" w:cs="Times New Roman"/>
        </w:rPr>
        <w:t xml:space="preserve"> medicines was introduced to the </w:t>
      </w:r>
      <w:r w:rsidR="006135F5">
        <w:rPr>
          <w:rFonts w:eastAsia="Times New Roman" w:cs="Times New Roman"/>
        </w:rPr>
        <w:t>p</w:t>
      </w:r>
      <w:r w:rsidRPr="00B94A37">
        <w:rPr>
          <w:rFonts w:eastAsia="Times New Roman" w:cs="Times New Roman"/>
        </w:rPr>
        <w:t>rogram’s intake assessment and communications</w:t>
      </w:r>
      <w:r w:rsidR="008022BA">
        <w:rPr>
          <w:rFonts w:eastAsia="Times New Roman" w:cs="Times New Roman"/>
        </w:rPr>
        <w:t>. This recognises</w:t>
      </w:r>
      <w:r w:rsidRPr="00B94A37">
        <w:rPr>
          <w:rFonts w:eastAsia="Times New Roman" w:cs="Times New Roman"/>
        </w:rPr>
        <w:t xml:space="preserve"> the important role </w:t>
      </w:r>
      <w:r w:rsidR="0054321C">
        <w:rPr>
          <w:rFonts w:eastAsia="Times New Roman" w:cs="Times New Roman"/>
        </w:rPr>
        <w:t>these medicines</w:t>
      </w:r>
      <w:r w:rsidR="0054321C" w:rsidRPr="00B94A37">
        <w:rPr>
          <w:rFonts w:eastAsia="Times New Roman" w:cs="Times New Roman"/>
        </w:rPr>
        <w:t xml:space="preserve"> </w:t>
      </w:r>
      <w:r w:rsidRPr="00B94A37">
        <w:rPr>
          <w:rFonts w:eastAsia="Times New Roman" w:cs="Times New Roman"/>
        </w:rPr>
        <w:t>play to reduce the severity of the disease, potentially reducing hospitalisation and mortality.</w:t>
      </w:r>
      <w:r w:rsidR="008022BA">
        <w:rPr>
          <w:rFonts w:eastAsia="Times New Roman" w:cs="Times New Roman"/>
        </w:rPr>
        <w:t xml:space="preserve"> </w:t>
      </w:r>
      <w:r w:rsidRPr="00B94A37">
        <w:rPr>
          <w:rFonts w:eastAsia="Times New Roman" w:cs="Times New Roman"/>
        </w:rPr>
        <w:t xml:space="preserve">The </w:t>
      </w:r>
      <w:r w:rsidR="0054321C">
        <w:rPr>
          <w:rFonts w:eastAsia="Times New Roman" w:cs="Times New Roman"/>
        </w:rPr>
        <w:t>program</w:t>
      </w:r>
      <w:r w:rsidRPr="00B94A37">
        <w:rPr>
          <w:rFonts w:eastAsia="Times New Roman" w:cs="Times New Roman"/>
        </w:rPr>
        <w:t xml:space="preserve"> will continue to adapt and respond to new strains and waves of COVID-19</w:t>
      </w:r>
      <w:r w:rsidR="005B6E53">
        <w:rPr>
          <w:rFonts w:eastAsia="Times New Roman" w:cs="Times New Roman"/>
        </w:rPr>
        <w:t>, as</w:t>
      </w:r>
      <w:r w:rsidR="0002459C">
        <w:rPr>
          <w:rFonts w:eastAsia="Times New Roman" w:cs="Times New Roman"/>
        </w:rPr>
        <w:t> </w:t>
      </w:r>
      <w:r w:rsidR="005B6E53">
        <w:rPr>
          <w:rFonts w:eastAsia="Times New Roman" w:cs="Times New Roman"/>
        </w:rPr>
        <w:t>well as</w:t>
      </w:r>
      <w:r w:rsidR="00B13348">
        <w:rPr>
          <w:rFonts w:eastAsia="Times New Roman" w:cs="Times New Roman"/>
        </w:rPr>
        <w:t xml:space="preserve"> be part of</w:t>
      </w:r>
      <w:r w:rsidR="005B6E53">
        <w:rPr>
          <w:rFonts w:eastAsia="Times New Roman" w:cs="Times New Roman"/>
        </w:rPr>
        <w:t xml:space="preserve"> the community’s respo</w:t>
      </w:r>
      <w:r w:rsidR="00523757">
        <w:rPr>
          <w:rFonts w:eastAsia="Times New Roman" w:cs="Times New Roman"/>
        </w:rPr>
        <w:t xml:space="preserve">nse through </w:t>
      </w:r>
      <w:r w:rsidRPr="00B94A37">
        <w:rPr>
          <w:rFonts w:eastAsia="Times New Roman" w:cs="Times New Roman"/>
        </w:rPr>
        <w:t>vaccinations, testing, isolating and supporting each other.</w:t>
      </w:r>
    </w:p>
    <w:p w14:paraId="7FC1B10C" w14:textId="4F8D2A30" w:rsidR="00B24772" w:rsidRPr="00B9746A" w:rsidRDefault="00B24772" w:rsidP="00B24772">
      <w:pPr>
        <w:pStyle w:val="Heading6"/>
      </w:pPr>
      <w:r w:rsidRPr="00B9746A">
        <w:t>GP respiratory clinics</w:t>
      </w:r>
    </w:p>
    <w:p w14:paraId="428E8718" w14:textId="224EEABA" w:rsidR="00AB7FE8" w:rsidRPr="00B9746A" w:rsidRDefault="003A0FC3" w:rsidP="00D0220D">
      <w:pPr>
        <w:pStyle w:val="ARbody"/>
        <w:rPr>
          <w:rFonts w:eastAsia="Times New Roman" w:cs="Times New Roman"/>
        </w:rPr>
      </w:pPr>
      <w:r>
        <w:rPr>
          <w:rFonts w:eastAsia="Times New Roman" w:cs="Times New Roman"/>
        </w:rPr>
        <w:t>From</w:t>
      </w:r>
      <w:r w:rsidR="009B3558">
        <w:rPr>
          <w:rFonts w:eastAsia="Times New Roman" w:cs="Times New Roman"/>
        </w:rPr>
        <w:t xml:space="preserve"> late 2021, 26 g</w:t>
      </w:r>
      <w:r w:rsidR="00FF6C32" w:rsidRPr="00AE2B7E">
        <w:rPr>
          <w:rFonts w:eastAsia="Times New Roman" w:cs="Times New Roman"/>
        </w:rPr>
        <w:t xml:space="preserve">eneral </w:t>
      </w:r>
      <w:r w:rsidR="00B13348" w:rsidRPr="00AE2B7E">
        <w:rPr>
          <w:rFonts w:eastAsia="Times New Roman" w:cs="Times New Roman"/>
        </w:rPr>
        <w:t>p</w:t>
      </w:r>
      <w:r w:rsidR="00FF6C32" w:rsidRPr="00AE2B7E">
        <w:rPr>
          <w:rFonts w:eastAsia="Times New Roman" w:cs="Times New Roman"/>
        </w:rPr>
        <w:t>ractitioner</w:t>
      </w:r>
      <w:r w:rsidR="00AB7FE8" w:rsidRPr="00AE2B7E">
        <w:rPr>
          <w:rFonts w:eastAsia="Times New Roman" w:cs="Times New Roman"/>
        </w:rPr>
        <w:t>-led</w:t>
      </w:r>
      <w:r w:rsidR="00FF6C32" w:rsidRPr="00AE2B7E">
        <w:rPr>
          <w:rFonts w:eastAsia="Times New Roman" w:cs="Times New Roman"/>
        </w:rPr>
        <w:t xml:space="preserve"> respirator</w:t>
      </w:r>
      <w:r w:rsidR="00AB7FE8" w:rsidRPr="00AE2B7E">
        <w:rPr>
          <w:rFonts w:eastAsia="Times New Roman" w:cs="Times New Roman"/>
        </w:rPr>
        <w:t>y</w:t>
      </w:r>
      <w:r w:rsidR="00FF6C32" w:rsidRPr="00AE2B7E">
        <w:rPr>
          <w:rFonts w:eastAsia="Times New Roman" w:cs="Times New Roman"/>
        </w:rPr>
        <w:t xml:space="preserve"> clinics</w:t>
      </w:r>
      <w:r w:rsidR="00175DDE" w:rsidRPr="00AE2B7E">
        <w:rPr>
          <w:rFonts w:eastAsia="Times New Roman" w:cs="Times New Roman"/>
        </w:rPr>
        <w:t xml:space="preserve"> </w:t>
      </w:r>
      <w:r w:rsidR="00AE2B7E">
        <w:rPr>
          <w:rFonts w:eastAsia="Times New Roman" w:cs="Times New Roman"/>
        </w:rPr>
        <w:t xml:space="preserve">were </w:t>
      </w:r>
      <w:r w:rsidR="009B3558">
        <w:rPr>
          <w:rFonts w:eastAsia="Times New Roman" w:cs="Times New Roman"/>
        </w:rPr>
        <w:t>established</w:t>
      </w:r>
      <w:r w:rsidR="00AE2B7E">
        <w:rPr>
          <w:rFonts w:eastAsia="Times New Roman" w:cs="Times New Roman"/>
        </w:rPr>
        <w:t xml:space="preserve"> to </w:t>
      </w:r>
      <w:r w:rsidR="00175DDE" w:rsidRPr="00AE2B7E">
        <w:rPr>
          <w:rFonts w:eastAsia="Times New Roman" w:cs="Times New Roman"/>
        </w:rPr>
        <w:t xml:space="preserve">provide </w:t>
      </w:r>
      <w:r w:rsidR="00AB7FE8" w:rsidRPr="00AE2B7E">
        <w:rPr>
          <w:rFonts w:eastAsia="Times New Roman" w:cs="Times New Roman"/>
        </w:rPr>
        <w:t xml:space="preserve">free healthcare </w:t>
      </w:r>
      <w:r w:rsidR="00BE13A7" w:rsidRPr="00AE2B7E">
        <w:rPr>
          <w:rFonts w:eastAsia="Times New Roman" w:cs="Times New Roman"/>
        </w:rPr>
        <w:t>for</w:t>
      </w:r>
      <w:r w:rsidR="00BE13A7" w:rsidRPr="00BF0805">
        <w:rPr>
          <w:rFonts w:eastAsia="Times New Roman" w:cs="Times New Roman"/>
        </w:rPr>
        <w:t xml:space="preserve"> people </w:t>
      </w:r>
      <w:r w:rsidR="006B629B" w:rsidRPr="00BF0805">
        <w:rPr>
          <w:rFonts w:eastAsia="Times New Roman" w:cs="Times New Roman"/>
        </w:rPr>
        <w:t xml:space="preserve">who </w:t>
      </w:r>
      <w:r w:rsidR="00BE13A7" w:rsidRPr="00BF0805">
        <w:rPr>
          <w:rFonts w:eastAsia="Times New Roman" w:cs="Times New Roman"/>
        </w:rPr>
        <w:t>are unwell with mild respiratory symptoms (</w:t>
      </w:r>
      <w:r w:rsidR="007D09A4" w:rsidRPr="00BF0805">
        <w:rPr>
          <w:rFonts w:eastAsia="Times New Roman" w:cs="Times New Roman"/>
        </w:rPr>
        <w:t>particularly for</w:t>
      </w:r>
      <w:r w:rsidR="00E35804" w:rsidRPr="00BF0805">
        <w:rPr>
          <w:rFonts w:eastAsia="Times New Roman" w:cs="Times New Roman"/>
        </w:rPr>
        <w:t xml:space="preserve"> </w:t>
      </w:r>
      <w:r w:rsidR="00BE13A7" w:rsidRPr="00BF0805">
        <w:rPr>
          <w:rFonts w:eastAsia="Times New Roman" w:cs="Times New Roman"/>
        </w:rPr>
        <w:t>COVID-19</w:t>
      </w:r>
      <w:r w:rsidR="007D09A4" w:rsidRPr="00BF0805">
        <w:rPr>
          <w:rFonts w:eastAsia="Times New Roman" w:cs="Times New Roman"/>
        </w:rPr>
        <w:t xml:space="preserve"> and influenza</w:t>
      </w:r>
      <w:r w:rsidR="0060795F" w:rsidRPr="00BF0805">
        <w:rPr>
          <w:rFonts w:eastAsia="Times New Roman" w:cs="Times New Roman"/>
        </w:rPr>
        <w:t>, but also for</w:t>
      </w:r>
      <w:r w:rsidR="00D858D7" w:rsidRPr="00BF0805">
        <w:rPr>
          <w:rFonts w:eastAsia="Times New Roman" w:cs="Times New Roman"/>
        </w:rPr>
        <w:t xml:space="preserve"> </w:t>
      </w:r>
      <w:r w:rsidR="0060795F" w:rsidRPr="00BF0805">
        <w:rPr>
          <w:rFonts w:eastAsia="Times New Roman" w:cs="Times New Roman"/>
        </w:rPr>
        <w:t xml:space="preserve">conditions </w:t>
      </w:r>
      <w:r w:rsidR="007D09A4" w:rsidRPr="00BF0805">
        <w:rPr>
          <w:rFonts w:eastAsia="Times New Roman" w:cs="Times New Roman"/>
        </w:rPr>
        <w:t>such as</w:t>
      </w:r>
      <w:r w:rsidR="0060795F" w:rsidRPr="00BF0805">
        <w:rPr>
          <w:rFonts w:eastAsia="Times New Roman" w:cs="Times New Roman"/>
        </w:rPr>
        <w:t xml:space="preserve"> </w:t>
      </w:r>
      <w:r w:rsidR="00D858D7" w:rsidRPr="00BF0805">
        <w:rPr>
          <w:rFonts w:eastAsia="Times New Roman" w:cs="Times New Roman"/>
        </w:rPr>
        <w:t xml:space="preserve">asthma </w:t>
      </w:r>
      <w:r w:rsidR="007D09A4" w:rsidRPr="00BF0805">
        <w:rPr>
          <w:rFonts w:eastAsia="Times New Roman" w:cs="Times New Roman"/>
        </w:rPr>
        <w:t xml:space="preserve">and </w:t>
      </w:r>
      <w:r w:rsidR="00D858D7" w:rsidRPr="00BF0805">
        <w:rPr>
          <w:rFonts w:eastAsia="Times New Roman" w:cs="Times New Roman"/>
        </w:rPr>
        <w:t>hay fever)</w:t>
      </w:r>
      <w:r w:rsidR="00EE73FE" w:rsidRPr="00BF0805">
        <w:rPr>
          <w:rFonts w:eastAsia="Times New Roman" w:cs="Times New Roman"/>
        </w:rPr>
        <w:t>.</w:t>
      </w:r>
      <w:r w:rsidR="00BE557C" w:rsidRPr="00BF0805">
        <w:rPr>
          <w:rFonts w:eastAsia="Times New Roman" w:cs="Times New Roman"/>
        </w:rPr>
        <w:t xml:space="preserve"> These </w:t>
      </w:r>
      <w:r w:rsidR="00AE2B7E">
        <w:rPr>
          <w:rFonts w:eastAsia="Times New Roman" w:cs="Times New Roman"/>
        </w:rPr>
        <w:t>clin</w:t>
      </w:r>
      <w:r w:rsidR="009B3558">
        <w:rPr>
          <w:rFonts w:eastAsia="Times New Roman" w:cs="Times New Roman"/>
        </w:rPr>
        <w:t>i</w:t>
      </w:r>
      <w:r w:rsidR="00AE2B7E">
        <w:rPr>
          <w:rFonts w:eastAsia="Times New Roman" w:cs="Times New Roman"/>
        </w:rPr>
        <w:t xml:space="preserve">cs </w:t>
      </w:r>
      <w:r w:rsidR="003402AF" w:rsidRPr="00BF0805">
        <w:rPr>
          <w:rFonts w:eastAsia="Times New Roman" w:cs="Times New Roman"/>
        </w:rPr>
        <w:t xml:space="preserve">deliver faster, more appropriate care </w:t>
      </w:r>
      <w:r w:rsidR="00BD40F0" w:rsidRPr="00BF0805">
        <w:rPr>
          <w:rFonts w:eastAsia="Times New Roman" w:cs="Times New Roman"/>
        </w:rPr>
        <w:t xml:space="preserve">for </w:t>
      </w:r>
      <w:r w:rsidR="003402AF" w:rsidRPr="00BF0805">
        <w:rPr>
          <w:rFonts w:eastAsia="Times New Roman" w:cs="Times New Roman"/>
        </w:rPr>
        <w:t xml:space="preserve">mild cases and reduce the burden </w:t>
      </w:r>
      <w:r w:rsidR="00EB361F" w:rsidRPr="00BF0805">
        <w:rPr>
          <w:rFonts w:eastAsia="Times New Roman" w:cs="Times New Roman"/>
        </w:rPr>
        <w:t xml:space="preserve">on </w:t>
      </w:r>
      <w:r w:rsidR="0019069B" w:rsidRPr="00BF0805">
        <w:rPr>
          <w:rFonts w:eastAsia="Times New Roman" w:cs="Times New Roman"/>
        </w:rPr>
        <w:t xml:space="preserve">hospital emergency </w:t>
      </w:r>
      <w:r w:rsidR="003B61EB" w:rsidRPr="00BF0805">
        <w:rPr>
          <w:rFonts w:eastAsia="Times New Roman" w:cs="Times New Roman"/>
        </w:rPr>
        <w:t>departments</w:t>
      </w:r>
      <w:r w:rsidR="0019069B" w:rsidRPr="00BF0805">
        <w:rPr>
          <w:rFonts w:eastAsia="Times New Roman" w:cs="Times New Roman"/>
        </w:rPr>
        <w:t>.</w:t>
      </w:r>
    </w:p>
    <w:p w14:paraId="7FFD16FB" w14:textId="4A9199C9" w:rsidR="008A3348" w:rsidRDefault="008A3348" w:rsidP="00D0220D">
      <w:pPr>
        <w:pStyle w:val="ARbody"/>
        <w:rPr>
          <w:rFonts w:eastAsia="Times New Roman" w:cs="Times New Roman"/>
        </w:rPr>
      </w:pPr>
      <w:r w:rsidRPr="00AE2B7E">
        <w:rPr>
          <w:rFonts w:eastAsia="Times New Roman" w:cs="Times New Roman"/>
        </w:rPr>
        <w:t xml:space="preserve">From </w:t>
      </w:r>
      <w:r w:rsidR="00B73864" w:rsidRPr="00AE2B7E">
        <w:rPr>
          <w:rFonts w:eastAsia="Times New Roman" w:cs="Times New Roman"/>
        </w:rPr>
        <w:t>December 2021 to June 2022</w:t>
      </w:r>
      <w:r w:rsidR="00111BD4" w:rsidRPr="00AE2B7E">
        <w:rPr>
          <w:rFonts w:eastAsia="Times New Roman" w:cs="Times New Roman"/>
        </w:rPr>
        <w:t xml:space="preserve">, </w:t>
      </w:r>
      <w:r w:rsidR="00C77B02">
        <w:rPr>
          <w:rFonts w:eastAsia="Times New Roman" w:cs="Times New Roman"/>
        </w:rPr>
        <w:t>these clinics</w:t>
      </w:r>
      <w:r w:rsidR="00111BD4" w:rsidRPr="00AE2B7E">
        <w:rPr>
          <w:rFonts w:eastAsia="Times New Roman" w:cs="Times New Roman"/>
        </w:rPr>
        <w:t xml:space="preserve"> delivered over</w:t>
      </w:r>
      <w:r w:rsidR="00111BD4" w:rsidRPr="00B9746A">
        <w:rPr>
          <w:rFonts w:eastAsia="Times New Roman" w:cs="Times New Roman"/>
        </w:rPr>
        <w:t xml:space="preserve"> 47,000 respiratory assessments</w:t>
      </w:r>
      <w:r w:rsidR="00C34735" w:rsidRPr="00B9746A">
        <w:rPr>
          <w:rFonts w:eastAsia="Times New Roman" w:cs="Times New Roman"/>
        </w:rPr>
        <w:t xml:space="preserve"> and, based on patient feedback, diverted 5,000</w:t>
      </w:r>
      <w:r w:rsidR="00E84663" w:rsidRPr="00B9746A">
        <w:rPr>
          <w:rFonts w:eastAsia="Times New Roman" w:cs="Times New Roman"/>
        </w:rPr>
        <w:t xml:space="preserve"> people away from hospital emergency departments.</w:t>
      </w:r>
    </w:p>
    <w:p w14:paraId="0B5E8ADB" w14:textId="434D14F9" w:rsidR="00603B69" w:rsidRDefault="00603B69" w:rsidP="00D0220D">
      <w:pPr>
        <w:pStyle w:val="Heading5"/>
      </w:pPr>
      <w:r>
        <w:t>Help keep our borders safe</w:t>
      </w:r>
    </w:p>
    <w:p w14:paraId="4501AC5B" w14:textId="7970EAC4" w:rsidR="00603B69" w:rsidRPr="007A6B5D" w:rsidRDefault="00603B69" w:rsidP="00603B69">
      <w:pPr>
        <w:pStyle w:val="ARbody"/>
      </w:pPr>
      <w:r>
        <w:t xml:space="preserve">Based on health advice from the Chief Health Officer, on 11 January 2021, the Victorian Government issued the Victorian </w:t>
      </w:r>
      <w:r w:rsidR="00FC21C1">
        <w:t>b</w:t>
      </w:r>
      <w:r>
        <w:t xml:space="preserve">order </w:t>
      </w:r>
      <w:r w:rsidR="00FC21C1">
        <w:t>c</w:t>
      </w:r>
      <w:r>
        <w:t xml:space="preserve">rossing </w:t>
      </w:r>
      <w:r w:rsidR="00FC21C1">
        <w:t>p</w:t>
      </w:r>
      <w:r>
        <w:t xml:space="preserve">ermit </w:t>
      </w:r>
      <w:r w:rsidR="00FC21C1">
        <w:t>d</w:t>
      </w:r>
      <w:r>
        <w:t>irections to create the ‘traffic light’ system for domestic travel into Victoria.</w:t>
      </w:r>
    </w:p>
    <w:p w14:paraId="6C3DECC2" w14:textId="02CCC804" w:rsidR="00603B69" w:rsidRPr="007A6B5D" w:rsidRDefault="00603B69" w:rsidP="00603B69">
      <w:pPr>
        <w:pStyle w:val="ARbody"/>
      </w:pPr>
      <w:r w:rsidRPr="007A6B5D">
        <w:t>This system served to prevent cross</w:t>
      </w:r>
      <w:r w:rsidR="00FC21C1">
        <w:t>-</w:t>
      </w:r>
      <w:r w:rsidRPr="007A6B5D">
        <w:t>border COVID-19 infections from other states and territories with active community transmission and</w:t>
      </w:r>
      <w:r w:rsidR="00FA6CC4">
        <w:t> </w:t>
      </w:r>
      <w:r w:rsidR="00FC21C1">
        <w:t>remained</w:t>
      </w:r>
      <w:r w:rsidR="00FC21C1" w:rsidRPr="007A6B5D">
        <w:t xml:space="preserve"> </w:t>
      </w:r>
      <w:r w:rsidRPr="007A6B5D">
        <w:t xml:space="preserve">in place </w:t>
      </w:r>
      <w:r w:rsidR="00FC21C1">
        <w:t>until</w:t>
      </w:r>
      <w:r w:rsidRPr="007A6B5D">
        <w:t xml:space="preserve"> November 2021.</w:t>
      </w:r>
    </w:p>
    <w:p w14:paraId="2A5D4097" w14:textId="04F466A9" w:rsidR="003F0283" w:rsidRDefault="00603B69" w:rsidP="00603B69">
      <w:pPr>
        <w:pStyle w:val="ARbody"/>
      </w:pPr>
      <w:r w:rsidRPr="007A6B5D">
        <w:t>Areas across Australia were designated as red,</w:t>
      </w:r>
      <w:r w:rsidR="00FA6CC4">
        <w:t> </w:t>
      </w:r>
      <w:r w:rsidRPr="007A6B5D">
        <w:t>orange or green zones based on the latest COVID-19 advice from Victoria’s Chief Health Officer.</w:t>
      </w:r>
      <w:r w:rsidR="003F0283">
        <w:t xml:space="preserve"> </w:t>
      </w:r>
      <w:r w:rsidRPr="007A6B5D">
        <w:t xml:space="preserve">The traffic light entry system applied to all arrivals, </w:t>
      </w:r>
      <w:r w:rsidR="00FC21C1">
        <w:t xml:space="preserve">both </w:t>
      </w:r>
      <w:r w:rsidRPr="007A6B5D">
        <w:t xml:space="preserve">Victorian </w:t>
      </w:r>
      <w:r w:rsidRPr="007A6B5D" w:rsidDel="00187E13">
        <w:t>residents</w:t>
      </w:r>
      <w:r w:rsidRPr="007A6B5D">
        <w:t xml:space="preserve"> and non-residents, into Victoria from around Australia.</w:t>
      </w:r>
    </w:p>
    <w:p w14:paraId="16A0F036" w14:textId="7AC39454" w:rsidR="008B2C2A" w:rsidRDefault="00603B69" w:rsidP="00603B69">
      <w:pPr>
        <w:pStyle w:val="ARbody"/>
      </w:pPr>
      <w:r w:rsidRPr="007A6B5D">
        <w:t xml:space="preserve">The management of international arrivals was </w:t>
      </w:r>
      <w:r w:rsidR="00717CEC">
        <w:t>also</w:t>
      </w:r>
      <w:r w:rsidR="00FA6CC4">
        <w:t> </w:t>
      </w:r>
      <w:r w:rsidRPr="007A6B5D">
        <w:t>a critical part of Victoria’s response to the COVID-19 pandemic</w:t>
      </w:r>
      <w:r w:rsidR="00717CEC">
        <w:t>,</w:t>
      </w:r>
      <w:r w:rsidRPr="007A6B5D">
        <w:t xml:space="preserve"> including the establishment of COVID-19 Quarantine Victoria (CQV) and the</w:t>
      </w:r>
      <w:r w:rsidR="00FA6CC4">
        <w:t> </w:t>
      </w:r>
      <w:r w:rsidRPr="007A6B5D">
        <w:t>Emergency Accommodation Program. As</w:t>
      </w:r>
      <w:r w:rsidR="00FA6CC4">
        <w:t> </w:t>
      </w:r>
      <w:r w:rsidRPr="007A6B5D">
        <w:t>international borders were reopened and quarantine restrictions were eased, the management of international arrivals continued to</w:t>
      </w:r>
      <w:r w:rsidR="00FA6CC4">
        <w:t> </w:t>
      </w:r>
      <w:r w:rsidRPr="007A6B5D">
        <w:t>be adjusted.</w:t>
      </w:r>
      <w:r w:rsidR="003F0283">
        <w:t xml:space="preserve"> </w:t>
      </w:r>
      <w:r w:rsidRPr="007A6B5D">
        <w:t xml:space="preserve">In partnership with CQV the department developed a </w:t>
      </w:r>
      <w:r w:rsidR="00717CEC">
        <w:t>m</w:t>
      </w:r>
      <w:r w:rsidRPr="007A6B5D">
        <w:t xml:space="preserve">onitoring </w:t>
      </w:r>
      <w:r w:rsidR="00717CEC">
        <w:t>f</w:t>
      </w:r>
      <w:r w:rsidRPr="007A6B5D">
        <w:t>ramework to guide quarantine arrangements and public health measures for international arrivals.</w:t>
      </w:r>
    </w:p>
    <w:p w14:paraId="351E073F" w14:textId="27DC774C" w:rsidR="00603B69" w:rsidRDefault="00603B69" w:rsidP="00A554C7">
      <w:pPr>
        <w:pStyle w:val="Heading5"/>
      </w:pPr>
      <w:r>
        <w:t>Keep Victorians safe from broader health</w:t>
      </w:r>
      <w:r w:rsidR="00FA6CC4">
        <w:t> </w:t>
      </w:r>
      <w:r>
        <w:t>hazards</w:t>
      </w:r>
    </w:p>
    <w:p w14:paraId="5A981712" w14:textId="0D0A168D" w:rsidR="00901095" w:rsidRPr="008B2C2A" w:rsidRDefault="00C76414" w:rsidP="00A554C7">
      <w:pPr>
        <w:pStyle w:val="ARbody"/>
      </w:pPr>
      <w:r>
        <w:t>While COVID-19 has been the predominant public</w:t>
      </w:r>
      <w:r w:rsidR="00FA6CC4">
        <w:t> </w:t>
      </w:r>
      <w:r>
        <w:t>health issue for the last couple of years, the</w:t>
      </w:r>
      <w:r w:rsidR="0002459C">
        <w:t> </w:t>
      </w:r>
      <w:r>
        <w:t xml:space="preserve">ongoing management of </w:t>
      </w:r>
      <w:r w:rsidRPr="00B96BF9">
        <w:t>health hazards is also</w:t>
      </w:r>
      <w:r w:rsidR="00E3260C" w:rsidRPr="00B96BF9">
        <w:t xml:space="preserve"> </w:t>
      </w:r>
      <w:r w:rsidRPr="00B96BF9">
        <w:t xml:space="preserve">a significant </w:t>
      </w:r>
      <w:r w:rsidR="0071388C" w:rsidRPr="00B96BF9">
        <w:t>focus</w:t>
      </w:r>
      <w:r w:rsidRPr="00B96BF9">
        <w:t xml:space="preserve"> of the department</w:t>
      </w:r>
      <w:r w:rsidR="00E3260C" w:rsidRPr="00B96BF9">
        <w:t xml:space="preserve">. </w:t>
      </w:r>
      <w:r w:rsidR="00D15867">
        <w:t>Th</w:t>
      </w:r>
      <w:r w:rsidR="00B442AA">
        <w:t>is</w:t>
      </w:r>
      <w:r w:rsidR="00D15867">
        <w:t xml:space="preserve"> work involves i</w:t>
      </w:r>
      <w:r w:rsidR="00901095" w:rsidRPr="00B96BF9">
        <w:t>dentify</w:t>
      </w:r>
      <w:r w:rsidR="00D15867">
        <w:t>ing</w:t>
      </w:r>
      <w:r w:rsidR="00901095" w:rsidRPr="00B96BF9">
        <w:t>, prevent</w:t>
      </w:r>
      <w:r w:rsidR="00D15867">
        <w:t>ing</w:t>
      </w:r>
      <w:r w:rsidR="00901095" w:rsidRPr="00B96BF9">
        <w:t xml:space="preserve"> and </w:t>
      </w:r>
      <w:r w:rsidR="00D15867" w:rsidRPr="00B96BF9">
        <w:t>mitigat</w:t>
      </w:r>
      <w:r w:rsidR="00D15867">
        <w:t>ing</w:t>
      </w:r>
      <w:r w:rsidR="00D15867" w:rsidRPr="00B96BF9">
        <w:t xml:space="preserve"> </w:t>
      </w:r>
      <w:r w:rsidR="00901095" w:rsidRPr="00B96BF9">
        <w:t>the impacts of infectious diseases and other hazards in the environment</w:t>
      </w:r>
      <w:r w:rsidR="007006D4" w:rsidRPr="00B96BF9">
        <w:t>,</w:t>
      </w:r>
      <w:r w:rsidR="00901095" w:rsidRPr="00B96BF9">
        <w:t xml:space="preserve"> such as chemical and radiological threats.</w:t>
      </w:r>
      <w:r w:rsidR="00470849" w:rsidRPr="00B96BF9">
        <w:t xml:space="preserve"> </w:t>
      </w:r>
      <w:r w:rsidR="00D15867">
        <w:t>The department</w:t>
      </w:r>
      <w:r w:rsidR="00470849" w:rsidRPr="00B96BF9">
        <w:t xml:space="preserve"> works in partnership with </w:t>
      </w:r>
      <w:r w:rsidR="00FA1EAB">
        <w:t>agencies at all levels of</w:t>
      </w:r>
      <w:r w:rsidR="00FA1EAB" w:rsidRPr="00B96BF9">
        <w:t xml:space="preserve"> </w:t>
      </w:r>
      <w:r w:rsidR="00231A4C" w:rsidRPr="00B96BF9">
        <w:t xml:space="preserve">government </w:t>
      </w:r>
      <w:r w:rsidR="00A65F39">
        <w:t xml:space="preserve">in Australia on </w:t>
      </w:r>
      <w:r w:rsidR="00840DAF">
        <w:t xml:space="preserve">broader </w:t>
      </w:r>
      <w:r w:rsidR="004F3405" w:rsidRPr="00B96BF9">
        <w:t>heal</w:t>
      </w:r>
      <w:r w:rsidR="00AB018D" w:rsidRPr="00B96BF9">
        <w:t>th issues</w:t>
      </w:r>
      <w:r w:rsidR="00470849" w:rsidRPr="00B96BF9">
        <w:t xml:space="preserve"> </w:t>
      </w:r>
      <w:r w:rsidR="009124E2">
        <w:t>includ</w:t>
      </w:r>
      <w:r w:rsidR="00A65F39">
        <w:t>ing</w:t>
      </w:r>
      <w:r w:rsidR="00470849" w:rsidRPr="00B96BF9">
        <w:t>:</w:t>
      </w:r>
    </w:p>
    <w:p w14:paraId="78DE2B55" w14:textId="2C11F65E" w:rsidR="006229BB" w:rsidRPr="00A554C7" w:rsidRDefault="006229BB" w:rsidP="00A554C7">
      <w:pPr>
        <w:pStyle w:val="ARbullet1"/>
      </w:pPr>
      <w:r w:rsidRPr="00A554C7">
        <w:t>safe food and drinking water</w:t>
      </w:r>
    </w:p>
    <w:p w14:paraId="4305ED13" w14:textId="3006EF0F" w:rsidR="006229BB" w:rsidRPr="00A554C7" w:rsidRDefault="006229BB" w:rsidP="00A554C7">
      <w:pPr>
        <w:pStyle w:val="ARbullet1"/>
      </w:pPr>
      <w:r w:rsidRPr="00A554C7">
        <w:t>water fluoridation to reduce tooth decay</w:t>
      </w:r>
    </w:p>
    <w:p w14:paraId="5564BFC0" w14:textId="7801C3E7" w:rsidR="006229BB" w:rsidRPr="00A554C7" w:rsidRDefault="006229BB" w:rsidP="00A554C7">
      <w:pPr>
        <w:pStyle w:val="ARbullet1"/>
      </w:pPr>
      <w:r w:rsidRPr="00A554C7">
        <w:t>regulat</w:t>
      </w:r>
      <w:r w:rsidR="00AB018D" w:rsidRPr="00A554C7">
        <w:t>ion of</w:t>
      </w:r>
      <w:r w:rsidRPr="00A554C7">
        <w:t xml:space="preserve"> aquatic facilities to protect people from microbiological hazards</w:t>
      </w:r>
    </w:p>
    <w:p w14:paraId="151D1E64" w14:textId="56F30577" w:rsidR="006229BB" w:rsidRPr="00A554C7" w:rsidRDefault="00A33F41" w:rsidP="00A554C7">
      <w:pPr>
        <w:pStyle w:val="ARbullet1"/>
      </w:pPr>
      <w:r w:rsidRPr="00A554C7">
        <w:lastRenderedPageBreak/>
        <w:t>v</w:t>
      </w:r>
      <w:r w:rsidR="006229BB" w:rsidRPr="00A554C7">
        <w:t>accination</w:t>
      </w:r>
      <w:r w:rsidRPr="00A554C7">
        <w:t xml:space="preserve"> programs</w:t>
      </w:r>
    </w:p>
    <w:p w14:paraId="19239C8D" w14:textId="32224B04" w:rsidR="006229BB" w:rsidRPr="00A554C7" w:rsidRDefault="00A33F41" w:rsidP="00A554C7">
      <w:pPr>
        <w:pStyle w:val="ARbullet1"/>
      </w:pPr>
      <w:r w:rsidRPr="00A554C7">
        <w:t xml:space="preserve">promoting </w:t>
      </w:r>
      <w:r w:rsidR="006229BB" w:rsidRPr="00A554C7">
        <w:t>education about safe behaviours including hygiene and safe sex</w:t>
      </w:r>
    </w:p>
    <w:p w14:paraId="063985DF" w14:textId="749AAE0C" w:rsidR="006229BB" w:rsidRPr="00A554C7" w:rsidRDefault="00007693" w:rsidP="00A554C7">
      <w:pPr>
        <w:pStyle w:val="ARbullet1"/>
      </w:pPr>
      <w:r w:rsidRPr="00A554C7">
        <w:t>infection prevention and control guidelines for</w:t>
      </w:r>
      <w:r w:rsidR="004B3D7E">
        <w:t> </w:t>
      </w:r>
      <w:r w:rsidRPr="00A554C7">
        <w:t>hair, beauty, tattooing and skin penetration industries</w:t>
      </w:r>
    </w:p>
    <w:p w14:paraId="7AB90572" w14:textId="0F338B0F" w:rsidR="007006D4" w:rsidRPr="00A554C7" w:rsidRDefault="00A33F41" w:rsidP="00A554C7">
      <w:pPr>
        <w:pStyle w:val="ARbullet1"/>
      </w:pPr>
      <w:r w:rsidRPr="00A554C7">
        <w:t>radiation</w:t>
      </w:r>
      <w:r w:rsidR="006229BB" w:rsidRPr="00A554C7">
        <w:t xml:space="preserve"> </w:t>
      </w:r>
      <w:r w:rsidR="00007693" w:rsidRPr="00A554C7">
        <w:t>regulation</w:t>
      </w:r>
    </w:p>
    <w:p w14:paraId="7CB73473" w14:textId="388A49A3" w:rsidR="00AF08B4" w:rsidRDefault="00AF08B4" w:rsidP="00A554C7">
      <w:pPr>
        <w:pStyle w:val="ARbullet1"/>
      </w:pPr>
      <w:r>
        <w:t>infectious disease</w:t>
      </w:r>
      <w:r w:rsidR="00E37E22">
        <w:t xml:space="preserve"> monitoring</w:t>
      </w:r>
      <w:r w:rsidR="007A0311">
        <w:t>.</w:t>
      </w:r>
    </w:p>
    <w:p w14:paraId="17B9F83D" w14:textId="634D9409" w:rsidR="00901095" w:rsidRDefault="00AF08B4" w:rsidP="00A554C7">
      <w:pPr>
        <w:pStyle w:val="ARbodyafterbullets"/>
      </w:pPr>
      <w:r w:rsidRPr="007006D4">
        <w:t>S</w:t>
      </w:r>
      <w:r w:rsidR="006229BB" w:rsidRPr="007006D4">
        <w:t>ome of these activities are discussed below</w:t>
      </w:r>
      <w:r w:rsidR="007006D4">
        <w:t>. Others are dealt with elsewhere in this report. For</w:t>
      </w:r>
      <w:r w:rsidR="00FA6CC4">
        <w:t> </w:t>
      </w:r>
      <w:r w:rsidR="007006D4">
        <w:t>example:</w:t>
      </w:r>
    </w:p>
    <w:p w14:paraId="36236712" w14:textId="1C1D72EF" w:rsidR="00EF2D53" w:rsidRPr="00A554C7" w:rsidRDefault="00951432" w:rsidP="00A554C7">
      <w:pPr>
        <w:pStyle w:val="ARbullet1"/>
        <w:rPr>
          <w:rStyle w:val="Hyperlink"/>
        </w:rPr>
      </w:pPr>
      <w:hyperlink w:anchor="_Provide_equitable_and" w:history="1">
        <w:r w:rsidR="00FF0FAA" w:rsidRPr="00A554C7">
          <w:rPr>
            <w:rStyle w:val="Hyperlink"/>
          </w:rPr>
          <w:t>Provide equitable and safe access to vaccines</w:t>
        </w:r>
      </w:hyperlink>
    </w:p>
    <w:p w14:paraId="6444AE70" w14:textId="30CEFF63" w:rsidR="00FF0FAA" w:rsidRPr="00A554C7" w:rsidRDefault="00951432" w:rsidP="00A554C7">
      <w:pPr>
        <w:pStyle w:val="ARbullet1"/>
        <w:rPr>
          <w:rStyle w:val="Hyperlink"/>
        </w:rPr>
      </w:pPr>
      <w:hyperlink w:anchor="_Increase_immunisation_coverage" w:history="1">
        <w:r w:rsidR="00FF0FAA" w:rsidRPr="00A554C7">
          <w:rPr>
            <w:rStyle w:val="Hyperlink"/>
          </w:rPr>
          <w:t>Increase immunisation coverage rates at two years of age and at school entry</w:t>
        </w:r>
      </w:hyperlink>
    </w:p>
    <w:p w14:paraId="5E54422D" w14:textId="3BCEFCE6" w:rsidR="009D6F3E" w:rsidRDefault="009D6F3E" w:rsidP="00A554C7">
      <w:pPr>
        <w:pStyle w:val="Heading6"/>
      </w:pPr>
      <w:bookmarkStart w:id="65" w:name="_Ref112855610"/>
      <w:r>
        <w:t xml:space="preserve">Infectious </w:t>
      </w:r>
      <w:r w:rsidR="00AF08B4">
        <w:t>d</w:t>
      </w:r>
      <w:r>
        <w:t>iseases</w:t>
      </w:r>
      <w:bookmarkEnd w:id="65"/>
    </w:p>
    <w:p w14:paraId="124CBB08" w14:textId="002DC1AC" w:rsidR="0067141F" w:rsidRDefault="00AF08B4" w:rsidP="00A554C7">
      <w:pPr>
        <w:pStyle w:val="ARbody"/>
      </w:pPr>
      <w:r w:rsidRPr="00116885">
        <w:t xml:space="preserve">A number of infectious diseases are notifiable under the </w:t>
      </w:r>
      <w:r w:rsidRPr="00116885">
        <w:rPr>
          <w:i/>
          <w:iCs/>
        </w:rPr>
        <w:t>Public Health and Wellbeing Act 2008</w:t>
      </w:r>
      <w:r w:rsidR="006D5380" w:rsidRPr="00116885">
        <w:t>.</w:t>
      </w:r>
      <w:r w:rsidRPr="00116885">
        <w:t xml:space="preserve"> </w:t>
      </w:r>
      <w:r w:rsidR="00901095" w:rsidRPr="00116885">
        <w:t>Notifiable</w:t>
      </w:r>
      <w:r w:rsidR="006D5380" w:rsidRPr="00116885">
        <w:t>,</w:t>
      </w:r>
      <w:r w:rsidR="00901095" w:rsidRPr="00116885">
        <w:t xml:space="preserve"> communicable diseases are reported to</w:t>
      </w:r>
      <w:r w:rsidR="00FA6CC4">
        <w:t> </w:t>
      </w:r>
      <w:r w:rsidR="00901095" w:rsidRPr="00116885">
        <w:t>the department by laboratories and sometimes medical practitioners. These notifications serve as</w:t>
      </w:r>
      <w:r w:rsidR="00FA6CC4">
        <w:t> </w:t>
      </w:r>
      <w:r w:rsidR="00901095" w:rsidRPr="00116885">
        <w:t>the trigger for a variety of public health actions</w:t>
      </w:r>
      <w:r w:rsidR="00B60D45" w:rsidRPr="00116885">
        <w:t>,</w:t>
      </w:r>
      <w:r w:rsidR="00901095" w:rsidRPr="00116885">
        <w:t xml:space="preserve"> </w:t>
      </w:r>
      <w:r w:rsidR="00B60D45" w:rsidRPr="00116885">
        <w:t>including</w:t>
      </w:r>
      <w:r w:rsidR="00080E69">
        <w:t>:</w:t>
      </w:r>
    </w:p>
    <w:p w14:paraId="03890BED" w14:textId="18147872" w:rsidR="00B60D45" w:rsidRPr="00A554C7" w:rsidRDefault="00901095" w:rsidP="00A554C7">
      <w:pPr>
        <w:pStyle w:val="ARbullet1"/>
      </w:pPr>
      <w:r w:rsidRPr="6B2ED1FD">
        <w:t>conta</w:t>
      </w:r>
      <w:r w:rsidRPr="00A554C7">
        <w:t>ct tracing to identify those at risk</w:t>
      </w:r>
    </w:p>
    <w:p w14:paraId="1CC3E4E8" w14:textId="7F260B8B" w:rsidR="00B60D45" w:rsidRPr="00A554C7" w:rsidRDefault="00901095" w:rsidP="00A554C7">
      <w:pPr>
        <w:pStyle w:val="ARbullet1"/>
      </w:pPr>
      <w:r w:rsidRPr="00A554C7">
        <w:t>performing risk assessments</w:t>
      </w:r>
    </w:p>
    <w:p w14:paraId="3D2AEEA3" w14:textId="13CCF600" w:rsidR="00080E69" w:rsidRDefault="00080E69" w:rsidP="00A554C7">
      <w:pPr>
        <w:pStyle w:val="ARbullet1"/>
      </w:pPr>
      <w:r w:rsidRPr="00A554C7">
        <w:t>monitoring disease trends through surveillance and the provision of both public health advice and treatment or vaccinat</w:t>
      </w:r>
      <w:r w:rsidRPr="690287F9">
        <w:t>ion</w:t>
      </w:r>
      <w:r>
        <w:t>.</w:t>
      </w:r>
    </w:p>
    <w:p w14:paraId="17E17B2E" w14:textId="200CB73D" w:rsidR="009D6F3E" w:rsidRPr="00475DA1" w:rsidRDefault="00901095" w:rsidP="00A554C7">
      <w:pPr>
        <w:pStyle w:val="ARbodyafterbullets"/>
      </w:pPr>
      <w:r w:rsidRPr="00475DA1">
        <w:t xml:space="preserve">Some </w:t>
      </w:r>
      <w:r w:rsidR="009D6F3E" w:rsidRPr="00475DA1">
        <w:t xml:space="preserve">notable </w:t>
      </w:r>
      <w:r w:rsidRPr="00475DA1">
        <w:t xml:space="preserve">achievements </w:t>
      </w:r>
      <w:r w:rsidR="009D6F3E" w:rsidRPr="00475DA1">
        <w:t xml:space="preserve">in </w:t>
      </w:r>
      <w:r w:rsidR="00BF7E1E" w:rsidRPr="00475DA1">
        <w:t>2021–22</w:t>
      </w:r>
      <w:r w:rsidRPr="00475DA1">
        <w:t xml:space="preserve"> include</w:t>
      </w:r>
      <w:r w:rsidR="009D6F3E" w:rsidRPr="00475DA1">
        <w:t>:</w:t>
      </w:r>
    </w:p>
    <w:p w14:paraId="35D83FAE" w14:textId="6A6B7155" w:rsidR="009D6F3E" w:rsidRPr="00475DA1" w:rsidRDefault="00901095" w:rsidP="00A554C7">
      <w:pPr>
        <w:pStyle w:val="ARbullet1"/>
      </w:pPr>
      <w:r w:rsidRPr="00475DA1">
        <w:t>rapid contact tracing of a case of measles in</w:t>
      </w:r>
      <w:r w:rsidR="00FA6CC4">
        <w:t> </w:t>
      </w:r>
      <w:r w:rsidRPr="00475DA1">
        <w:t>a</w:t>
      </w:r>
      <w:r w:rsidR="00FA6CC4">
        <w:t> </w:t>
      </w:r>
      <w:r w:rsidRPr="00475DA1">
        <w:t>returned traveller</w:t>
      </w:r>
      <w:r w:rsidR="00B60D45" w:rsidRPr="00475DA1">
        <w:t>,</w:t>
      </w:r>
      <w:r w:rsidRPr="00475DA1">
        <w:t xml:space="preserve"> </w:t>
      </w:r>
      <w:r w:rsidR="00EE3F60" w:rsidRPr="00475DA1">
        <w:t>preventing spread to anyone else</w:t>
      </w:r>
    </w:p>
    <w:p w14:paraId="3299E406" w14:textId="2533EC90" w:rsidR="009D6F3E" w:rsidRPr="00475DA1" w:rsidRDefault="00901095" w:rsidP="00A554C7">
      <w:pPr>
        <w:pStyle w:val="ARbullet1"/>
      </w:pPr>
      <w:r w:rsidRPr="00475DA1">
        <w:t xml:space="preserve">in response to the increasing incidence of influenza in the community, </w:t>
      </w:r>
      <w:r w:rsidR="009D6F3E" w:rsidRPr="00475DA1">
        <w:t xml:space="preserve">the </w:t>
      </w:r>
      <w:r w:rsidRPr="00475DA1">
        <w:t>rollout of free influenza vaccination</w:t>
      </w:r>
      <w:r w:rsidR="009D6F3E" w:rsidRPr="00475DA1">
        <w:t>s</w:t>
      </w:r>
      <w:r w:rsidR="00B60D45" w:rsidRPr="00475DA1">
        <w:t xml:space="preserve"> to </w:t>
      </w:r>
      <w:r w:rsidR="00250517" w:rsidRPr="00475DA1">
        <w:t>all Victorians</w:t>
      </w:r>
      <w:r w:rsidR="007977E4">
        <w:rPr>
          <w:rStyle w:val="FootnoteReference"/>
        </w:rPr>
        <w:t>(</w:t>
      </w:r>
      <w:r w:rsidR="007977E4" w:rsidRPr="001A559C">
        <w:rPr>
          <w:rStyle w:val="FootnoteReference"/>
        </w:rPr>
        <w:footnoteReference w:id="4"/>
      </w:r>
      <w:r w:rsidR="007977E4">
        <w:rPr>
          <w:rStyle w:val="FootnoteReference"/>
        </w:rPr>
        <w:t>)</w:t>
      </w:r>
    </w:p>
    <w:p w14:paraId="37F05687" w14:textId="091B0B17" w:rsidR="009D6F3E" w:rsidRPr="00475DA1" w:rsidRDefault="00526CB3" w:rsidP="00A554C7">
      <w:pPr>
        <w:pStyle w:val="ARbullet1"/>
      </w:pPr>
      <w:r w:rsidRPr="00475DA1">
        <w:t xml:space="preserve">a </w:t>
      </w:r>
      <w:r w:rsidR="00250517" w:rsidRPr="00475DA1">
        <w:t>rapid</w:t>
      </w:r>
      <w:r w:rsidR="00901095" w:rsidRPr="00475DA1">
        <w:t xml:space="preserve"> response to Japanese encephalitis through the rollout of </w:t>
      </w:r>
      <w:r w:rsidRPr="00475DA1">
        <w:t xml:space="preserve">a </w:t>
      </w:r>
      <w:r w:rsidR="00901095" w:rsidRPr="00475DA1">
        <w:t>vaccination</w:t>
      </w:r>
      <w:r w:rsidR="003C33AF" w:rsidRPr="00475DA1">
        <w:t>,</w:t>
      </w:r>
      <w:r w:rsidR="009D6F3E" w:rsidRPr="00475DA1">
        <w:t xml:space="preserve"> while</w:t>
      </w:r>
      <w:r w:rsidR="00901095" w:rsidRPr="00475DA1">
        <w:t xml:space="preserve"> vector control advice and activities protect</w:t>
      </w:r>
      <w:r w:rsidR="00250517" w:rsidRPr="00475DA1">
        <w:t>ed</w:t>
      </w:r>
      <w:r w:rsidR="00901095" w:rsidRPr="00475DA1">
        <w:t xml:space="preserve"> Victorians in high-risk locations</w:t>
      </w:r>
    </w:p>
    <w:p w14:paraId="3098061E" w14:textId="23EF7B8E" w:rsidR="00901095" w:rsidRPr="00475DA1" w:rsidRDefault="00901095" w:rsidP="00A554C7">
      <w:pPr>
        <w:pStyle w:val="ARbullet1"/>
      </w:pPr>
      <w:r w:rsidRPr="00475DA1">
        <w:t xml:space="preserve">contact tracing of monkeypox cases and the provision of </w:t>
      </w:r>
      <w:r w:rsidR="00526CB3" w:rsidRPr="00475DA1">
        <w:t xml:space="preserve">a </w:t>
      </w:r>
      <w:r w:rsidRPr="00475DA1">
        <w:t>vaccination to those at</w:t>
      </w:r>
      <w:r w:rsidR="009D6F3E" w:rsidRPr="00475DA1">
        <w:t xml:space="preserve"> </w:t>
      </w:r>
      <w:r w:rsidRPr="00475DA1">
        <w:t>risk</w:t>
      </w:r>
      <w:r w:rsidR="009D6F3E" w:rsidRPr="00475DA1">
        <w:t xml:space="preserve">, </w:t>
      </w:r>
      <w:r w:rsidR="00030F46" w:rsidRPr="00475DA1">
        <w:t>slowing transmission and protecting Victorians</w:t>
      </w:r>
      <w:r w:rsidRPr="00475DA1">
        <w:t>.</w:t>
      </w:r>
    </w:p>
    <w:p w14:paraId="70F51BAA" w14:textId="520D79BF" w:rsidR="00231005" w:rsidRPr="009F101B" w:rsidRDefault="009F101B" w:rsidP="00A554C7">
      <w:pPr>
        <w:pStyle w:val="Heading6"/>
      </w:pPr>
      <w:r w:rsidRPr="009F101B">
        <w:rPr>
          <w:rStyle w:val="Heading6Char"/>
          <w:rFonts w:eastAsia="Times"/>
          <w:b/>
          <w:bCs/>
        </w:rPr>
        <w:t>R</w:t>
      </w:r>
      <w:r w:rsidR="009D6F3E" w:rsidRPr="009F101B">
        <w:rPr>
          <w:rStyle w:val="Heading6Char"/>
          <w:rFonts w:eastAsia="Times"/>
          <w:b/>
          <w:bCs/>
        </w:rPr>
        <w:t>adiation</w:t>
      </w:r>
    </w:p>
    <w:p w14:paraId="3B3D7F01" w14:textId="10283429" w:rsidR="00901095" w:rsidRPr="003D3FF4" w:rsidDel="009106E4" w:rsidRDefault="00231005" w:rsidP="00A554C7">
      <w:pPr>
        <w:pStyle w:val="ARbody"/>
      </w:pPr>
      <w:r w:rsidRPr="00EF1241">
        <w:t>T</w:t>
      </w:r>
      <w:r w:rsidR="00901095" w:rsidRPr="00EF1241">
        <w:t>he department closely regulates the use of radiation</w:t>
      </w:r>
      <w:r w:rsidR="00030F46">
        <w:t>,</w:t>
      </w:r>
      <w:r w:rsidR="00C5437D" w:rsidRPr="00EF1241">
        <w:t xml:space="preserve"> protect</w:t>
      </w:r>
      <w:r w:rsidR="00030F46">
        <w:t>ing</w:t>
      </w:r>
      <w:r w:rsidR="00C5437D" w:rsidRPr="00EF1241">
        <w:t xml:space="preserve"> people and the environment from its harmful effects</w:t>
      </w:r>
      <w:r w:rsidR="00901095" w:rsidRPr="00EF1241">
        <w:t xml:space="preserve"> </w:t>
      </w:r>
      <w:r w:rsidRPr="00EF1241">
        <w:t xml:space="preserve">by licensing users of </w:t>
      </w:r>
      <w:r w:rsidRPr="00EF1241">
        <w:t xml:space="preserve">radiation sources and managers of radiation practices under the </w:t>
      </w:r>
      <w:r w:rsidRPr="0065746E">
        <w:rPr>
          <w:i/>
          <w:iCs/>
        </w:rPr>
        <w:t xml:space="preserve">Radiation Act </w:t>
      </w:r>
      <w:r w:rsidR="00C5437D" w:rsidRPr="0065746E">
        <w:rPr>
          <w:i/>
          <w:iCs/>
        </w:rPr>
        <w:t>2005</w:t>
      </w:r>
      <w:r w:rsidRPr="00EF1241">
        <w:t xml:space="preserve">. </w:t>
      </w:r>
      <w:r w:rsidR="00DE72E8">
        <w:t>There are</w:t>
      </w:r>
      <w:r w:rsidR="00901095" w:rsidRPr="00EF1241">
        <w:t xml:space="preserve"> 19,000 individuals and corporate entities </w:t>
      </w:r>
      <w:r w:rsidR="00DE72E8">
        <w:t>licen</w:t>
      </w:r>
      <w:r w:rsidR="000128BA">
        <w:t>s</w:t>
      </w:r>
      <w:r w:rsidR="00DE72E8">
        <w:t xml:space="preserve">ed </w:t>
      </w:r>
      <w:r w:rsidR="00901095" w:rsidRPr="00EF1241">
        <w:t xml:space="preserve">to use radiation across the state. </w:t>
      </w:r>
      <w:r w:rsidR="00201A9B">
        <w:t>Detailed reporting of t</w:t>
      </w:r>
      <w:r w:rsidR="00901095" w:rsidRPr="00EF1241">
        <w:t xml:space="preserve">his function </w:t>
      </w:r>
      <w:r w:rsidR="000128BA">
        <w:t>is</w:t>
      </w:r>
      <w:r w:rsidR="000128BA" w:rsidRPr="00EF1241">
        <w:t xml:space="preserve"> </w:t>
      </w:r>
      <w:r w:rsidR="00901095" w:rsidRPr="00EF1241">
        <w:t xml:space="preserve">described in the </w:t>
      </w:r>
      <w:hyperlink r:id="rId35" w:history="1">
        <w:r w:rsidR="00901095" w:rsidRPr="00FA6CC4">
          <w:rPr>
            <w:rStyle w:val="Hyperlink"/>
            <w:i/>
            <w:iCs/>
          </w:rPr>
          <w:t>Radiation Act</w:t>
        </w:r>
        <w:r w:rsidR="00383EAC" w:rsidRPr="00FA6CC4">
          <w:rPr>
            <w:rStyle w:val="Hyperlink"/>
            <w:i/>
            <w:iCs/>
          </w:rPr>
          <w:t xml:space="preserve"> annual report</w:t>
        </w:r>
        <w:r w:rsidR="00202DD7">
          <w:rPr>
            <w:rStyle w:val="Hyperlink"/>
            <w:i/>
            <w:iCs/>
          </w:rPr>
          <w:t>s</w:t>
        </w:r>
      </w:hyperlink>
      <w:r w:rsidR="00901095" w:rsidRPr="00EF1241">
        <w:t xml:space="preserve"> </w:t>
      </w:r>
      <w:r w:rsidR="00663A73">
        <w:t>&lt;</w:t>
      </w:r>
      <w:r w:rsidR="00663A73" w:rsidRPr="00663A73">
        <w:t>https://www.health.vic.gov.au/</w:t>
      </w:r>
      <w:r w:rsidR="00201A9B">
        <w:br/>
      </w:r>
      <w:r w:rsidR="00663A73" w:rsidRPr="00663A73">
        <w:t>radiation/radiation-act-</w:t>
      </w:r>
      <w:r w:rsidR="00663A73" w:rsidRPr="003D3FF4">
        <w:t>annual-reports</w:t>
      </w:r>
      <w:r w:rsidR="00901095" w:rsidRPr="003D3FF4">
        <w:t>&gt;.</w:t>
      </w:r>
    </w:p>
    <w:p w14:paraId="464B1EFF" w14:textId="1E0A1296" w:rsidR="007006D4" w:rsidRPr="003D3FF4" w:rsidRDefault="006C1673" w:rsidP="00A554C7">
      <w:pPr>
        <w:pStyle w:val="Heading6"/>
      </w:pPr>
      <w:r>
        <w:t>C</w:t>
      </w:r>
      <w:r w:rsidR="00901095" w:rsidRPr="003D3FF4">
        <w:t>ommercial solariums</w:t>
      </w:r>
    </w:p>
    <w:p w14:paraId="7C6403F2" w14:textId="7F451B34" w:rsidR="00ED4DC8" w:rsidRDefault="00116578" w:rsidP="00A554C7">
      <w:pPr>
        <w:pStyle w:val="ARbody"/>
      </w:pPr>
      <w:bookmarkStart w:id="66" w:name="_Hlk112353133"/>
      <w:r w:rsidRPr="00E3260C">
        <w:t>Commercial tanning was banned in Victoria in 2015</w:t>
      </w:r>
      <w:r w:rsidR="00E3260C" w:rsidRPr="00F31FC5">
        <w:t>.</w:t>
      </w:r>
      <w:r w:rsidR="00606076" w:rsidRPr="00E3260C">
        <w:t xml:space="preserve"> </w:t>
      </w:r>
      <w:r w:rsidR="00E3260C" w:rsidRPr="00F31FC5">
        <w:t xml:space="preserve">However, </w:t>
      </w:r>
      <w:r w:rsidR="000B3D7C">
        <w:t xml:space="preserve">a number of </w:t>
      </w:r>
      <w:r w:rsidR="00E3260C">
        <w:t>illicit</w:t>
      </w:r>
      <w:r w:rsidR="00606076" w:rsidRPr="00E3260C">
        <w:t xml:space="preserve"> </w:t>
      </w:r>
      <w:r w:rsidR="00E3260C">
        <w:t>operations are uncovered every year</w:t>
      </w:r>
      <w:r w:rsidRPr="00E3260C">
        <w:t>. Under</w:t>
      </w:r>
      <w:r w:rsidRPr="003D3FF4">
        <w:t xml:space="preserve"> </w:t>
      </w:r>
      <w:bookmarkEnd w:id="66"/>
      <w:r w:rsidRPr="003D3FF4">
        <w:t xml:space="preserve">the </w:t>
      </w:r>
      <w:r w:rsidRPr="003D3FF4">
        <w:rPr>
          <w:i/>
          <w:iCs/>
        </w:rPr>
        <w:t>Radiation Act 2005</w:t>
      </w:r>
      <w:r w:rsidRPr="003D3FF4">
        <w:t xml:space="preserve"> the department investigat</w:t>
      </w:r>
      <w:r>
        <w:t>es</w:t>
      </w:r>
      <w:r w:rsidRPr="00EF1241">
        <w:t xml:space="preserve"> allegations of</w:t>
      </w:r>
      <w:r w:rsidR="00FA6CC4">
        <w:t> </w:t>
      </w:r>
      <w:r w:rsidRPr="00EF1241">
        <w:t xml:space="preserve">illegal </w:t>
      </w:r>
      <w:r w:rsidRPr="00A56044">
        <w:t>commercial tanning operations</w:t>
      </w:r>
      <w:r w:rsidR="00606076">
        <w:t xml:space="preserve"> and,</w:t>
      </w:r>
      <w:r>
        <w:t xml:space="preserve"> </w:t>
      </w:r>
      <w:r w:rsidR="00096C58">
        <w:t xml:space="preserve">in </w:t>
      </w:r>
      <w:r w:rsidR="004D4D20">
        <w:t>2021–22</w:t>
      </w:r>
      <w:r w:rsidRPr="00BF2765">
        <w:t xml:space="preserve">, </w:t>
      </w:r>
      <w:r w:rsidR="00096C58">
        <w:t xml:space="preserve">it </w:t>
      </w:r>
      <w:r w:rsidRPr="00BF2765">
        <w:t xml:space="preserve">became aware of 30 potential breaches of the ban. </w:t>
      </w:r>
      <w:r>
        <w:t xml:space="preserve">Investigation into one of these </w:t>
      </w:r>
      <w:r w:rsidRPr="001F7095">
        <w:t>resulted in the seizure</w:t>
      </w:r>
      <w:r>
        <w:t xml:space="preserve"> </w:t>
      </w:r>
      <w:r w:rsidRPr="001F7095">
        <w:t>of five tanning units.</w:t>
      </w:r>
      <w:r w:rsidR="00FA6CC4">
        <w:t> </w:t>
      </w:r>
      <w:r w:rsidR="00266436">
        <w:t>The department</w:t>
      </w:r>
      <w:r>
        <w:t xml:space="preserve"> also completed t</w:t>
      </w:r>
      <w:r w:rsidRPr="00426ACF">
        <w:t>wo prosecutions during the year related to investigations commenced in previous years.</w:t>
      </w:r>
      <w:r>
        <w:t xml:space="preserve"> Both</w:t>
      </w:r>
      <w:r w:rsidR="00FA6CC4">
        <w:t> </w:t>
      </w:r>
      <w:r>
        <w:t>resulted in convictions</w:t>
      </w:r>
      <w:r w:rsidR="00096C58">
        <w:t xml:space="preserve"> and/or fines</w:t>
      </w:r>
      <w:r>
        <w:t>.</w:t>
      </w:r>
    </w:p>
    <w:p w14:paraId="0F6761A6" w14:textId="77777777" w:rsidR="009F101B" w:rsidRDefault="00901095" w:rsidP="009F101B">
      <w:pPr>
        <w:pStyle w:val="Heading6"/>
      </w:pPr>
      <w:r w:rsidRPr="00EF1241">
        <w:t>Regulation of cooling towers</w:t>
      </w:r>
    </w:p>
    <w:p w14:paraId="413E1FC1" w14:textId="53F884E6" w:rsidR="00901095" w:rsidRPr="00EF1241" w:rsidRDefault="00901095" w:rsidP="00A554C7">
      <w:pPr>
        <w:pStyle w:val="ARbody"/>
      </w:pPr>
      <w:r w:rsidRPr="00EF1241">
        <w:t>The department has regulated cooling tower operation</w:t>
      </w:r>
      <w:r w:rsidR="00231005">
        <w:t>s</w:t>
      </w:r>
      <w:r w:rsidRPr="00EF1241">
        <w:t xml:space="preserve"> since 2001 to minimise the impact of Legionnaires’ disease outbreaks on the Victorian community. It does this via a world</w:t>
      </w:r>
      <w:r w:rsidR="00231005">
        <w:t>-</w:t>
      </w:r>
      <w:r w:rsidRPr="00EF1241">
        <w:t xml:space="preserve">first registration system </w:t>
      </w:r>
      <w:r w:rsidR="00140A4E" w:rsidRPr="00140A4E">
        <w:t xml:space="preserve">that </w:t>
      </w:r>
      <w:r w:rsidRPr="00140A4E">
        <w:t>ensure</w:t>
      </w:r>
      <w:r w:rsidR="00140A4E" w:rsidRPr="00140A4E">
        <w:t>s</w:t>
      </w:r>
      <w:r w:rsidRPr="00EF1241">
        <w:t xml:space="preserve"> that the location of every cooling tower system is known</w:t>
      </w:r>
      <w:r w:rsidR="00CE058C">
        <w:t xml:space="preserve">, </w:t>
      </w:r>
      <w:r w:rsidR="00140A4E">
        <w:t>while</w:t>
      </w:r>
      <w:r w:rsidR="005F7F0C">
        <w:t xml:space="preserve"> owners </w:t>
      </w:r>
      <w:r w:rsidR="00140A4E">
        <w:t xml:space="preserve">must </w:t>
      </w:r>
      <w:r w:rsidR="005F7F0C">
        <w:t>comply with</w:t>
      </w:r>
      <w:r w:rsidRPr="00EF1241">
        <w:t xml:space="preserve"> maintenance and testing standards </w:t>
      </w:r>
      <w:r w:rsidR="00DA4FF3">
        <w:t>and have effective</w:t>
      </w:r>
      <w:r w:rsidRPr="00EF1241">
        <w:t xml:space="preserve"> risk management plans.</w:t>
      </w:r>
      <w:r w:rsidR="00E85701">
        <w:t xml:space="preserve"> </w:t>
      </w:r>
      <w:r w:rsidR="00B25CC1">
        <w:t>As at June 2022</w:t>
      </w:r>
      <w:r w:rsidR="006F746C" w:rsidRPr="006F746C">
        <w:t xml:space="preserve"> </w:t>
      </w:r>
      <w:r w:rsidR="00DA4FF3">
        <w:t>Victoria had</w:t>
      </w:r>
      <w:r w:rsidR="006F746C" w:rsidRPr="006F746C">
        <w:t xml:space="preserve"> 2,800 registered cooling tower systems </w:t>
      </w:r>
      <w:r w:rsidR="00DA4FF3">
        <w:t>across</w:t>
      </w:r>
      <w:r w:rsidR="006F746C" w:rsidRPr="006F746C">
        <w:t xml:space="preserve"> 1,653 sites.</w:t>
      </w:r>
    </w:p>
    <w:p w14:paraId="23C83139" w14:textId="701FAD4B" w:rsidR="00901095" w:rsidRPr="00E00145" w:rsidRDefault="00901095" w:rsidP="00A554C7">
      <w:pPr>
        <w:pStyle w:val="Heading6"/>
      </w:pPr>
      <w:r w:rsidRPr="00E00145">
        <w:t>Safeguarding drinking water supplies</w:t>
      </w:r>
    </w:p>
    <w:p w14:paraId="52150A35" w14:textId="554210CA" w:rsidR="00901095" w:rsidRPr="00EB50D3" w:rsidRDefault="0023668F" w:rsidP="00A554C7">
      <w:pPr>
        <w:pStyle w:val="ARbody"/>
      </w:pPr>
      <w:r w:rsidRPr="0043111F">
        <w:t xml:space="preserve">The </w:t>
      </w:r>
      <w:r w:rsidRPr="0043111F">
        <w:rPr>
          <w:i/>
          <w:iCs/>
        </w:rPr>
        <w:t xml:space="preserve">Safe </w:t>
      </w:r>
      <w:r w:rsidR="00901095" w:rsidRPr="0043111F">
        <w:rPr>
          <w:i/>
          <w:iCs/>
        </w:rPr>
        <w:t>Drinking Water Act 2</w:t>
      </w:r>
      <w:r w:rsidR="00901095" w:rsidRPr="00EB50D3">
        <w:rPr>
          <w:i/>
          <w:iCs/>
        </w:rPr>
        <w:t>003</w:t>
      </w:r>
      <w:r w:rsidR="00901095" w:rsidRPr="00EB50D3">
        <w:t xml:space="preserve"> and Safe</w:t>
      </w:r>
      <w:r w:rsidR="00FA6CC4">
        <w:t> </w:t>
      </w:r>
      <w:r w:rsidR="00901095" w:rsidRPr="00EB50D3">
        <w:t xml:space="preserve">Drinking Water Regulations 2015 </w:t>
      </w:r>
      <w:r w:rsidR="00B25CC1">
        <w:t xml:space="preserve">provide </w:t>
      </w:r>
      <w:r w:rsidR="00901095" w:rsidRPr="00EB50D3">
        <w:t>Victorian water agencies and the department with a</w:t>
      </w:r>
      <w:r w:rsidR="00FA6CC4">
        <w:t> </w:t>
      </w:r>
      <w:r w:rsidR="00901095" w:rsidRPr="00EB50D3">
        <w:t xml:space="preserve">framework </w:t>
      </w:r>
      <w:r w:rsidR="00882BB8">
        <w:t>that</w:t>
      </w:r>
      <w:r w:rsidR="00882BB8" w:rsidRPr="00EB50D3">
        <w:t xml:space="preserve"> </w:t>
      </w:r>
      <w:r w:rsidR="00901095" w:rsidRPr="00EB50D3">
        <w:t>ensure</w:t>
      </w:r>
      <w:r w:rsidR="00882BB8">
        <w:t>s</w:t>
      </w:r>
      <w:r w:rsidR="00901095" w:rsidRPr="00EB50D3">
        <w:t xml:space="preserve"> safe drinking water </w:t>
      </w:r>
      <w:r w:rsidR="00AD6EFB">
        <w:t>supplies</w:t>
      </w:r>
      <w:r w:rsidR="00901095" w:rsidRPr="00EB50D3">
        <w:t>.</w:t>
      </w:r>
    </w:p>
    <w:p w14:paraId="0C357D6E" w14:textId="061F59DC" w:rsidR="00901095" w:rsidRPr="00A554C7" w:rsidRDefault="004208FE" w:rsidP="00A554C7">
      <w:pPr>
        <w:pStyle w:val="ARbody"/>
      </w:pPr>
      <w:r>
        <w:t xml:space="preserve">As the </w:t>
      </w:r>
      <w:r w:rsidRPr="00FD6F6E">
        <w:t xml:space="preserve">regulator, the department reports </w:t>
      </w:r>
      <w:r w:rsidR="00556C04" w:rsidRPr="00FD6F6E">
        <w:t xml:space="preserve">on </w:t>
      </w:r>
      <w:r w:rsidR="00556F89" w:rsidRPr="00FD6F6E">
        <w:t>the performance of</w:t>
      </w:r>
      <w:r w:rsidRPr="00FD6F6E">
        <w:t xml:space="preserve"> the state’s</w:t>
      </w:r>
      <w:r w:rsidR="00901095" w:rsidRPr="00FD6F6E">
        <w:t xml:space="preserve"> 23 water agencies in the provision of safe drinking</w:t>
      </w:r>
      <w:r w:rsidR="00901095" w:rsidRPr="00E00145">
        <w:t xml:space="preserve"> water</w:t>
      </w:r>
      <w:r w:rsidR="000B3D7C">
        <w:t>.</w:t>
      </w:r>
      <w:r w:rsidR="00901095">
        <w:t xml:space="preserve"> I</w:t>
      </w:r>
      <w:r w:rsidR="00901095" w:rsidRPr="00E00145">
        <w:t xml:space="preserve">n </w:t>
      </w:r>
      <w:r w:rsidR="00BF7E1E">
        <w:t>2021–22</w:t>
      </w:r>
      <w:r w:rsidR="00901095" w:rsidRPr="00E00145">
        <w:t xml:space="preserve"> </w:t>
      </w:r>
      <w:r w:rsidR="00CB4C10">
        <w:t xml:space="preserve">most of the agencies performed well – </w:t>
      </w:r>
      <w:r w:rsidR="00901095" w:rsidRPr="00E00145">
        <w:t xml:space="preserve">there were only </w:t>
      </w:r>
      <w:r w:rsidR="00762F2F">
        <w:t>eight</w:t>
      </w:r>
      <w:r w:rsidR="00901095" w:rsidRPr="00E00145">
        <w:t xml:space="preserve"> notifications of water that did not meet a drinking water quality standard under the Regulations</w:t>
      </w:r>
      <w:r w:rsidR="006867BF">
        <w:t>,</w:t>
      </w:r>
      <w:r w:rsidR="00901095" w:rsidRPr="00E00145">
        <w:t xml:space="preserve"> </w:t>
      </w:r>
      <w:r w:rsidR="005D3F8A">
        <w:t>five fewer than in</w:t>
      </w:r>
      <w:r w:rsidR="00901095" w:rsidRPr="00E00145">
        <w:t xml:space="preserve"> 2020–21. There was also a 32 per cent reduction in reports </w:t>
      </w:r>
      <w:r w:rsidR="00762F2F">
        <w:t>about</w:t>
      </w:r>
      <w:r w:rsidR="00762F2F" w:rsidRPr="00E00145">
        <w:t xml:space="preserve"> </w:t>
      </w:r>
      <w:r w:rsidR="00901095" w:rsidRPr="00E00145">
        <w:t>known or s</w:t>
      </w:r>
      <w:r w:rsidR="00901095" w:rsidRPr="00A554C7">
        <w:t>uspected contamination</w:t>
      </w:r>
      <w:r w:rsidR="00882BB8" w:rsidRPr="00A554C7">
        <w:t>,</w:t>
      </w:r>
      <w:r w:rsidR="00901095" w:rsidRPr="00A554C7">
        <w:t xml:space="preserve"> with 43 reports</w:t>
      </w:r>
      <w:r w:rsidR="00762F2F" w:rsidRPr="00A554C7">
        <w:t xml:space="preserve"> made under section 22 of the Act</w:t>
      </w:r>
      <w:r w:rsidR="00901095" w:rsidRPr="00A554C7">
        <w:t xml:space="preserve"> in </w:t>
      </w:r>
      <w:r w:rsidR="00BF7E1E">
        <w:t>2021–22</w:t>
      </w:r>
      <w:r w:rsidR="006867BF" w:rsidRPr="00A554C7">
        <w:t>,</w:t>
      </w:r>
      <w:r w:rsidR="00901095" w:rsidRPr="00A554C7">
        <w:t xml:space="preserve"> compared to 63 reports in </w:t>
      </w:r>
      <w:r w:rsidR="00BF7E1E">
        <w:t>2020–21</w:t>
      </w:r>
      <w:r w:rsidR="00901095" w:rsidRPr="00A554C7">
        <w:t>. Of the</w:t>
      </w:r>
      <w:r w:rsidR="00762F2F" w:rsidRPr="00A554C7">
        <w:t>se</w:t>
      </w:r>
      <w:r w:rsidR="00901095" w:rsidRPr="00A554C7">
        <w:t xml:space="preserve"> 43 reports</w:t>
      </w:r>
      <w:r w:rsidR="00604985" w:rsidRPr="00604985">
        <w:t xml:space="preserve"> </w:t>
      </w:r>
      <w:r w:rsidR="00901095" w:rsidRPr="00A554C7">
        <w:t xml:space="preserve">in </w:t>
      </w:r>
      <w:r w:rsidR="00BF7E1E">
        <w:t>2021–22</w:t>
      </w:r>
      <w:r w:rsidR="00901095" w:rsidRPr="00A554C7">
        <w:t xml:space="preserve">, only </w:t>
      </w:r>
      <w:r w:rsidR="00901095" w:rsidRPr="00A554C7">
        <w:lastRenderedPageBreak/>
        <w:t>three incidents resulted in advisories</w:t>
      </w:r>
      <w:r w:rsidR="006867BF" w:rsidRPr="00A554C7">
        <w:t>,</w:t>
      </w:r>
      <w:r w:rsidR="00901095" w:rsidRPr="00A554C7">
        <w:t xml:space="preserve"> compared to</w:t>
      </w:r>
      <w:r w:rsidR="00FA6CC4">
        <w:t> </w:t>
      </w:r>
      <w:r w:rsidR="00901095" w:rsidRPr="00A554C7">
        <w:t xml:space="preserve">nine in </w:t>
      </w:r>
      <w:r w:rsidR="00BF7E1E">
        <w:t>2020–21</w:t>
      </w:r>
      <w:r w:rsidR="00901095" w:rsidRPr="00A554C7">
        <w:t>.</w:t>
      </w:r>
    </w:p>
    <w:p w14:paraId="0BA7BF1A" w14:textId="77777777" w:rsidR="0067141F" w:rsidRDefault="00901095" w:rsidP="00A554C7">
      <w:pPr>
        <w:pStyle w:val="ARbody"/>
      </w:pPr>
      <w:r w:rsidRPr="00A554C7">
        <w:t xml:space="preserve">The department continues to work with water agencies to improve risk control and preventive measures to proactively manage </w:t>
      </w:r>
      <w:r w:rsidR="00762F2F" w:rsidRPr="00A554C7">
        <w:t>th</w:t>
      </w:r>
      <w:r w:rsidR="00762F2F">
        <w:t xml:space="preserve">e </w:t>
      </w:r>
      <w:r>
        <w:t>foreseeable risks to drinking water quality from more frequent bushfires, floods, storms, power outages and algal blooms</w:t>
      </w:r>
      <w:r w:rsidR="00762F2F">
        <w:t>.</w:t>
      </w:r>
    </w:p>
    <w:p w14:paraId="2E7138F8" w14:textId="7165CF66" w:rsidR="00360D15" w:rsidRPr="003F474D" w:rsidRDefault="00360D15" w:rsidP="00240BA8">
      <w:pPr>
        <w:pStyle w:val="ARbody"/>
      </w:pPr>
      <w:r>
        <w:t xml:space="preserve">Each year </w:t>
      </w:r>
      <w:r w:rsidR="00556C04">
        <w:t xml:space="preserve">the department </w:t>
      </w:r>
      <w:r>
        <w:t>publish</w:t>
      </w:r>
      <w:r w:rsidR="00556C04">
        <w:t>es a</w:t>
      </w:r>
      <w:r>
        <w:t xml:space="preserve"> </w:t>
      </w:r>
      <w:hyperlink r:id="rId36" w:history="1">
        <w:r w:rsidR="00837119" w:rsidRPr="00240BA8">
          <w:rPr>
            <w:rStyle w:val="Hyperlink"/>
          </w:rPr>
          <w:t>drinking</w:t>
        </w:r>
        <w:r w:rsidR="00BD46C7">
          <w:rPr>
            <w:rStyle w:val="Hyperlink"/>
          </w:rPr>
          <w:t> </w:t>
        </w:r>
        <w:r w:rsidR="00837119" w:rsidRPr="00240BA8">
          <w:rPr>
            <w:rStyle w:val="Hyperlink"/>
          </w:rPr>
          <w:t>water quality annual report</w:t>
        </w:r>
      </w:hyperlink>
      <w:r w:rsidR="00837119" w:rsidRPr="00837119">
        <w:t xml:space="preserve"> </w:t>
      </w:r>
      <w:r w:rsidR="007175F9">
        <w:t>&lt;</w:t>
      </w:r>
      <w:r w:rsidR="007175F9" w:rsidRPr="00ED181A">
        <w:t>https://www.health.vic.gov.au/water/</w:t>
      </w:r>
      <w:r w:rsidR="00240BA8">
        <w:br/>
      </w:r>
      <w:r w:rsidR="007175F9" w:rsidRPr="00ED181A">
        <w:t>drinking-water-quality-annual-reports</w:t>
      </w:r>
      <w:r w:rsidR="007175F9">
        <w:t>&gt;</w:t>
      </w:r>
      <w:r w:rsidR="00240BA8">
        <w:t xml:space="preserve">. </w:t>
      </w:r>
      <w:r w:rsidRPr="000028A1">
        <w:t xml:space="preserve">The </w:t>
      </w:r>
      <w:r w:rsidR="00044722">
        <w:br/>
      </w:r>
      <w:r w:rsidR="004D4D20">
        <w:t>2021</w:t>
      </w:r>
      <w:r w:rsidR="00044722">
        <w:t>–</w:t>
      </w:r>
      <w:r w:rsidR="004D4D20">
        <w:t>22</w:t>
      </w:r>
      <w:r w:rsidRPr="003F474D">
        <w:t xml:space="preserve"> </w:t>
      </w:r>
      <w:r>
        <w:t xml:space="preserve">report </w:t>
      </w:r>
      <w:r w:rsidRPr="003F474D">
        <w:t xml:space="preserve">will be published in </w:t>
      </w:r>
      <w:r>
        <w:t xml:space="preserve">March </w:t>
      </w:r>
      <w:r w:rsidRPr="003F474D">
        <w:t>2023</w:t>
      </w:r>
      <w:r w:rsidR="0070601D">
        <w:t>.</w:t>
      </w:r>
    </w:p>
    <w:p w14:paraId="3A9AF7B8" w14:textId="04507105" w:rsidR="00901095" w:rsidRPr="008B2C2A" w:rsidRDefault="00901095" w:rsidP="00A554C7">
      <w:pPr>
        <w:pStyle w:val="Heading6"/>
      </w:pPr>
      <w:bookmarkStart w:id="67" w:name="_More_healthy_smiles"/>
      <w:bookmarkEnd w:id="67"/>
      <w:r w:rsidRPr="008B2C2A">
        <w:t xml:space="preserve">More healthy smiles in regional </w:t>
      </w:r>
      <w:r w:rsidR="00FA6CC4">
        <w:br/>
      </w:r>
      <w:r w:rsidRPr="008B2C2A">
        <w:t>and rural</w:t>
      </w:r>
      <w:r w:rsidR="00FA6CC4">
        <w:t xml:space="preserve"> </w:t>
      </w:r>
      <w:r w:rsidRPr="008B2C2A">
        <w:t>Victoria</w:t>
      </w:r>
    </w:p>
    <w:p w14:paraId="41B9D3AB" w14:textId="3248F05B" w:rsidR="007447CD" w:rsidRDefault="007447CD" w:rsidP="007447CD">
      <w:pPr>
        <w:pStyle w:val="ARbody"/>
      </w:pPr>
      <w:r>
        <w:t xml:space="preserve">While </w:t>
      </w:r>
      <w:r w:rsidR="00D11D7C" w:rsidRPr="00D11D7C">
        <w:t>around 96</w:t>
      </w:r>
      <w:r w:rsidR="00C84ED9" w:rsidRPr="00D11D7C">
        <w:t xml:space="preserve"> per cent</w:t>
      </w:r>
      <w:r w:rsidRPr="00D11D7C">
        <w:t xml:space="preserve"> of Victorians have </w:t>
      </w:r>
      <w:r w:rsidR="00D11D7C" w:rsidRPr="00D11D7C">
        <w:t xml:space="preserve">access to </w:t>
      </w:r>
      <w:r w:rsidRPr="00D11D7C">
        <w:t>fluoridated water, there are still some regional and rural communities that do not. Fluoride acts as</w:t>
      </w:r>
      <w:r w:rsidR="004B3D7E">
        <w:t> </w:t>
      </w:r>
      <w:r w:rsidRPr="00D11D7C">
        <w:t>a constant repair</w:t>
      </w:r>
      <w:r w:rsidRPr="00A554C7">
        <w:t xml:space="preserve"> kit for teeth. It makes them stronger and reduce</w:t>
      </w:r>
      <w:r>
        <w:t>s</w:t>
      </w:r>
      <w:r w:rsidRPr="00A554C7">
        <w:t xml:space="preserve"> the risk of tooth decay.</w:t>
      </w:r>
    </w:p>
    <w:p w14:paraId="10FA1F8B" w14:textId="4208244A" w:rsidR="007447CD" w:rsidRDefault="007447CD" w:rsidP="007447CD">
      <w:pPr>
        <w:pStyle w:val="ARbody"/>
      </w:pPr>
      <w:r w:rsidRPr="00A554C7">
        <w:t xml:space="preserve">In </w:t>
      </w:r>
      <w:r>
        <w:t>2021–22</w:t>
      </w:r>
      <w:r w:rsidRPr="00A554C7">
        <w:t xml:space="preserve"> the department worked with Wannon</w:t>
      </w:r>
      <w:r w:rsidR="00BD46C7">
        <w:t> </w:t>
      </w:r>
      <w:r w:rsidRPr="00A554C7">
        <w:t>Water to commission the Camperdown water fluoridation plant, providing fluoridated drinking water to more than 5,000 residents of</w:t>
      </w:r>
      <w:r w:rsidR="00BD46C7">
        <w:t> </w:t>
      </w:r>
      <w:r w:rsidRPr="00A554C7">
        <w:t xml:space="preserve">Camperdown, Lismore and Derrinallum, </w:t>
      </w:r>
      <w:r>
        <w:t>and</w:t>
      </w:r>
      <w:r w:rsidR="00BD46C7">
        <w:t> </w:t>
      </w:r>
      <w:r w:rsidR="004258F9">
        <w:t xml:space="preserve">connecting </w:t>
      </w:r>
      <w:r w:rsidRPr="00A554C7">
        <w:t>customers to the Camperdo</w:t>
      </w:r>
      <w:r>
        <w:t>wn rural</w:t>
      </w:r>
      <w:r w:rsidR="00BD46C7">
        <w:t> </w:t>
      </w:r>
      <w:r>
        <w:t>pipeline.</w:t>
      </w:r>
    </w:p>
    <w:p w14:paraId="4C1B8F48" w14:textId="52F3C3D0" w:rsidR="0067141F" w:rsidRDefault="0043111F" w:rsidP="00A554C7">
      <w:pPr>
        <w:pStyle w:val="Heading6"/>
        <w:rPr>
          <w:rFonts w:eastAsia="Arial"/>
        </w:rPr>
      </w:pPr>
      <w:bookmarkStart w:id="68" w:name="_Responding_to_syphilis"/>
      <w:bookmarkEnd w:id="68"/>
      <w:r>
        <w:rPr>
          <w:rFonts w:eastAsia="Arial"/>
        </w:rPr>
        <w:t>R</w:t>
      </w:r>
      <w:r w:rsidRPr="00E00145">
        <w:rPr>
          <w:rFonts w:eastAsia="Arial"/>
        </w:rPr>
        <w:t xml:space="preserve">esponding to syphilis </w:t>
      </w:r>
      <w:r>
        <w:rPr>
          <w:rFonts w:eastAsia="Arial"/>
        </w:rPr>
        <w:t xml:space="preserve">cases </w:t>
      </w:r>
      <w:r w:rsidR="00FA6CC4">
        <w:rPr>
          <w:rFonts w:eastAsia="Arial"/>
        </w:rPr>
        <w:br/>
      </w:r>
      <w:r w:rsidRPr="00E00145">
        <w:rPr>
          <w:rFonts w:eastAsia="Arial"/>
        </w:rPr>
        <w:t>in regional</w:t>
      </w:r>
      <w:r w:rsidR="00FA6CC4">
        <w:rPr>
          <w:rFonts w:eastAsia="Arial"/>
        </w:rPr>
        <w:t xml:space="preserve"> </w:t>
      </w:r>
      <w:r>
        <w:rPr>
          <w:rFonts w:eastAsia="Arial"/>
        </w:rPr>
        <w:t>V</w:t>
      </w:r>
      <w:r w:rsidRPr="00E00145">
        <w:rPr>
          <w:rFonts w:eastAsia="Arial"/>
        </w:rPr>
        <w:t>ictoria</w:t>
      </w:r>
    </w:p>
    <w:p w14:paraId="28657C32" w14:textId="2A29FE8D" w:rsidR="00D70F4E" w:rsidRPr="00A554C7" w:rsidRDefault="00D70F4E" w:rsidP="00D70F4E">
      <w:pPr>
        <w:pStyle w:val="ARbody"/>
      </w:pPr>
      <w:r>
        <w:rPr>
          <w:lang w:val="en-US"/>
        </w:rPr>
        <w:t>B</w:t>
      </w:r>
      <w:r w:rsidRPr="00E00145">
        <w:rPr>
          <w:lang w:val="en-US"/>
        </w:rPr>
        <w:t>etween 20</w:t>
      </w:r>
      <w:r w:rsidRPr="00A554C7">
        <w:t>16 and 2019</w:t>
      </w:r>
      <w:r>
        <w:t xml:space="preserve"> the department noted</w:t>
      </w:r>
      <w:r w:rsidRPr="00E00145">
        <w:t xml:space="preserve"> </w:t>
      </w:r>
      <w:r w:rsidR="00126667">
        <w:t xml:space="preserve">an </w:t>
      </w:r>
      <w:r>
        <w:t>increasing number of</w:t>
      </w:r>
      <w:r w:rsidRPr="00E00145">
        <w:t xml:space="preserve"> syphilis notifications in </w:t>
      </w:r>
      <w:r>
        <w:t xml:space="preserve">the </w:t>
      </w:r>
      <w:r w:rsidRPr="00E00145">
        <w:rPr>
          <w:lang w:val="en-US"/>
        </w:rPr>
        <w:t xml:space="preserve">Mildura </w:t>
      </w:r>
      <w:r>
        <w:rPr>
          <w:lang w:val="en-US"/>
        </w:rPr>
        <w:t>local government area (</w:t>
      </w:r>
      <w:r w:rsidRPr="00E00145">
        <w:rPr>
          <w:lang w:val="en-US"/>
        </w:rPr>
        <w:t>LGA</w:t>
      </w:r>
      <w:r>
        <w:rPr>
          <w:lang w:val="en-US"/>
        </w:rPr>
        <w:t>)</w:t>
      </w:r>
      <w:r w:rsidRPr="00E00145">
        <w:rPr>
          <w:lang w:val="en-US"/>
        </w:rPr>
        <w:t xml:space="preserve">, </w:t>
      </w:r>
      <w:r>
        <w:rPr>
          <w:lang w:val="en-US"/>
        </w:rPr>
        <w:t xml:space="preserve">in </w:t>
      </w:r>
      <w:r w:rsidRPr="00E00145">
        <w:rPr>
          <w:lang w:val="en-US"/>
        </w:rPr>
        <w:t>northwest Victoria</w:t>
      </w:r>
      <w:r>
        <w:rPr>
          <w:lang w:val="en-US"/>
        </w:rPr>
        <w:t>. Most</w:t>
      </w:r>
      <w:r w:rsidRPr="00E00145">
        <w:rPr>
          <w:lang w:val="en-US"/>
        </w:rPr>
        <w:t xml:space="preserve"> </w:t>
      </w:r>
      <w:r w:rsidRPr="00A554C7">
        <w:t xml:space="preserve">cases </w:t>
      </w:r>
      <w:r>
        <w:t>were</w:t>
      </w:r>
      <w:r w:rsidRPr="00A554C7">
        <w:t xml:space="preserve"> </w:t>
      </w:r>
      <w:r w:rsidR="00126667">
        <w:t xml:space="preserve">among </w:t>
      </w:r>
      <w:r w:rsidRPr="00A554C7">
        <w:t xml:space="preserve">women of reproductive age. </w:t>
      </w:r>
      <w:r>
        <w:t>Beginning in 2019</w:t>
      </w:r>
      <w:r w:rsidR="00126667">
        <w:t xml:space="preserve"> – and </w:t>
      </w:r>
      <w:r w:rsidR="00126667" w:rsidRPr="00A554C7">
        <w:t>continu</w:t>
      </w:r>
      <w:r w:rsidR="00126667">
        <w:t>ing</w:t>
      </w:r>
      <w:r w:rsidR="00126667" w:rsidRPr="00A554C7">
        <w:t xml:space="preserve"> throughout the COVID-19 pandemic</w:t>
      </w:r>
      <w:r w:rsidR="00126667">
        <w:t xml:space="preserve"> –</w:t>
      </w:r>
      <w:r>
        <w:t xml:space="preserve"> </w:t>
      </w:r>
      <w:r w:rsidR="00240F22">
        <w:t>the department has been</w:t>
      </w:r>
      <w:r>
        <w:t xml:space="preserve"> running a</w:t>
      </w:r>
      <w:r w:rsidRPr="00A554C7">
        <w:t xml:space="preserve"> targeted public health response </w:t>
      </w:r>
      <w:r>
        <w:t>that</w:t>
      </w:r>
      <w:r w:rsidR="00126667">
        <w:t xml:space="preserve"> has</w:t>
      </w:r>
      <w:r>
        <w:t xml:space="preserve"> </w:t>
      </w:r>
      <w:r w:rsidRPr="00A554C7">
        <w:t>included enhanced surveillance, intensive case follow-up for pregnant women, contact tracing</w:t>
      </w:r>
      <w:r>
        <w:t xml:space="preserve">, </w:t>
      </w:r>
      <w:r w:rsidRPr="00A554C7">
        <w:t xml:space="preserve">referral to </w:t>
      </w:r>
      <w:r>
        <w:t>healthcare</w:t>
      </w:r>
      <w:r w:rsidRPr="00A554C7">
        <w:t xml:space="preserve">, and workforce development activities. </w:t>
      </w:r>
      <w:r w:rsidR="00240F22">
        <w:t>The department</w:t>
      </w:r>
      <w:r>
        <w:t xml:space="preserve"> also launched a local awareness </w:t>
      </w:r>
      <w:r w:rsidRPr="00A554C7">
        <w:t>campaign for the</w:t>
      </w:r>
      <w:r w:rsidR="00FA6CC4">
        <w:t> </w:t>
      </w:r>
      <w:r w:rsidRPr="00A554C7">
        <w:t>general community, and local partnerships codesigning and leading community engagement activities supported the response.</w:t>
      </w:r>
    </w:p>
    <w:p w14:paraId="585A49A1" w14:textId="592F13ED" w:rsidR="00D70F4E" w:rsidRDefault="00D70F4E" w:rsidP="00D70F4E">
      <w:pPr>
        <w:pStyle w:val="ARbody"/>
      </w:pPr>
      <w:r>
        <w:t>In 2019, the</w:t>
      </w:r>
      <w:r w:rsidRPr="00A554C7">
        <w:t xml:space="preserve"> rate of infectious syphilis among women in the Mildura </w:t>
      </w:r>
      <w:r w:rsidR="00800307">
        <w:t xml:space="preserve">LGA </w:t>
      </w:r>
      <w:r w:rsidRPr="00A554C7">
        <w:t>was the highest in Victoria, with 54 cases per 100,000 population.</w:t>
      </w:r>
      <w:r>
        <w:t xml:space="preserve"> </w:t>
      </w:r>
      <w:r w:rsidR="00116D01">
        <w:t>I</w:t>
      </w:r>
      <w:r>
        <w:t>n</w:t>
      </w:r>
      <w:r w:rsidR="00FA6CC4">
        <w:t> </w:t>
      </w:r>
      <w:r w:rsidRPr="00A554C7">
        <w:t>2021,</w:t>
      </w:r>
      <w:r w:rsidR="00116D01">
        <w:t xml:space="preserve"> thanks to the efforts of the department and</w:t>
      </w:r>
      <w:r w:rsidR="00FA6CC4">
        <w:t> </w:t>
      </w:r>
      <w:r w:rsidR="00116D01">
        <w:t>the community,</w:t>
      </w:r>
      <w:r w:rsidRPr="00A554C7">
        <w:t xml:space="preserve"> the rate </w:t>
      </w:r>
      <w:r>
        <w:t>more than halved</w:t>
      </w:r>
      <w:r w:rsidRPr="00A554C7">
        <w:t xml:space="preserve"> to 22</w:t>
      </w:r>
      <w:r w:rsidR="00FA6CC4">
        <w:t> </w:t>
      </w:r>
      <w:r w:rsidRPr="00A554C7">
        <w:t xml:space="preserve">cases per 100,000 population. </w:t>
      </w:r>
      <w:r w:rsidR="009F5897" w:rsidRPr="00116D01">
        <w:t>The w</w:t>
      </w:r>
      <w:r w:rsidRPr="00116D01">
        <w:t xml:space="preserve">ork </w:t>
      </w:r>
      <w:r w:rsidR="00800307" w:rsidRPr="00116D01">
        <w:t>is</w:t>
      </w:r>
      <w:r w:rsidR="00800307">
        <w:t xml:space="preserve"> </w:t>
      </w:r>
      <w:r>
        <w:t xml:space="preserve">not </w:t>
      </w:r>
      <w:r>
        <w:t xml:space="preserve">yet </w:t>
      </w:r>
      <w:r w:rsidR="009F5897">
        <w:t>complete, but is</w:t>
      </w:r>
      <w:r>
        <w:t xml:space="preserve"> well on its way</w:t>
      </w:r>
      <w:r w:rsidR="003D19A6">
        <w:t xml:space="preserve"> to ensuring the number of cases continues to fall over the coming years</w:t>
      </w:r>
      <w:r w:rsidR="00D35C43">
        <w:t>.</w:t>
      </w:r>
    </w:p>
    <w:p w14:paraId="1EAFACAD" w14:textId="44FB98A0" w:rsidR="0067141F" w:rsidRPr="0067141F" w:rsidRDefault="00D70F4E" w:rsidP="0067141F">
      <w:pPr>
        <w:pStyle w:val="ARbody"/>
      </w:pPr>
      <w:r>
        <w:t>Feedback</w:t>
      </w:r>
      <w:r w:rsidRPr="00A554C7">
        <w:t xml:space="preserve"> o</w:t>
      </w:r>
      <w:r>
        <w:t>n</w:t>
      </w:r>
      <w:r w:rsidRPr="00A554C7">
        <w:t xml:space="preserve"> the </w:t>
      </w:r>
      <w:r>
        <w:t xml:space="preserve">awareness </w:t>
      </w:r>
      <w:r w:rsidRPr="00A554C7">
        <w:t>campaign in Mildura</w:t>
      </w:r>
      <w:r w:rsidR="004B3D7E">
        <w:t> </w:t>
      </w:r>
      <w:r w:rsidRPr="00A554C7">
        <w:t xml:space="preserve">found that </w:t>
      </w:r>
      <w:r>
        <w:t>it</w:t>
      </w:r>
      <w:r w:rsidRPr="00A554C7">
        <w:t xml:space="preserve"> was well received, with good recall of social media tiles and newspaper and radi</w:t>
      </w:r>
      <w:r w:rsidRPr="002E3EEE">
        <w:t xml:space="preserve">o </w:t>
      </w:r>
      <w:r w:rsidRPr="0065746E">
        <w:t xml:space="preserve">advertisements. The sustained public health response resulted in increased awareness of syphilis, </w:t>
      </w:r>
      <w:r>
        <w:t>more people coming forward</w:t>
      </w:r>
      <w:r w:rsidRPr="0065746E">
        <w:t xml:space="preserve"> for testing, and </w:t>
      </w:r>
      <w:r>
        <w:t>fewer</w:t>
      </w:r>
      <w:r w:rsidRPr="0065746E">
        <w:t xml:space="preserve"> infections.</w:t>
      </w:r>
      <w:r>
        <w:t xml:space="preserve"> </w:t>
      </w:r>
      <w:r w:rsidRPr="0065746E">
        <w:t>Community</w:t>
      </w:r>
      <w:r w:rsidRPr="002E3EEE">
        <w:t xml:space="preserve"> engagement and prevention activities will continue to enable a </w:t>
      </w:r>
      <w:r w:rsidR="007C751E">
        <w:t>further</w:t>
      </w:r>
      <w:r w:rsidR="00800307">
        <w:t xml:space="preserve"> </w:t>
      </w:r>
      <w:r w:rsidRPr="002E3EEE">
        <w:t xml:space="preserve">decrease in </w:t>
      </w:r>
      <w:r>
        <w:t xml:space="preserve">the number of </w:t>
      </w:r>
      <w:r w:rsidRPr="002E3EEE">
        <w:t>syphilis cases</w:t>
      </w:r>
      <w:r>
        <w:t xml:space="preserve"> </w:t>
      </w:r>
      <w:r w:rsidRPr="00D465C1">
        <w:t>in the Mildura LGA as well as statewide</w:t>
      </w:r>
      <w:r>
        <w:t>.</w:t>
      </w:r>
    </w:p>
    <w:p w14:paraId="4506E494" w14:textId="4794488A" w:rsidR="00603B69" w:rsidRPr="00603B69" w:rsidRDefault="00603B69" w:rsidP="00A554C7">
      <w:pPr>
        <w:pStyle w:val="Heading5"/>
      </w:pPr>
      <w:r w:rsidRPr="00603B69">
        <w:t>Support Victorians to make healthy decisions about their wellbeing</w:t>
      </w:r>
    </w:p>
    <w:p w14:paraId="1DB985EF" w14:textId="2E78DE42" w:rsidR="007E5604" w:rsidRPr="00A554C7" w:rsidRDefault="007E5604" w:rsidP="007E5604">
      <w:pPr>
        <w:pStyle w:val="ARbody"/>
      </w:pPr>
      <w:bookmarkStart w:id="69" w:name="_Ref492894463"/>
      <w:bookmarkStart w:id="70" w:name="_Ref492905644"/>
      <w:r>
        <w:t>A</w:t>
      </w:r>
      <w:r w:rsidRPr="00603B69">
        <w:t xml:space="preserve"> range of </w:t>
      </w:r>
      <w:r>
        <w:t>other</w:t>
      </w:r>
      <w:r w:rsidRPr="00603B69">
        <w:t xml:space="preserve"> health promotion campaigns </w:t>
      </w:r>
      <w:r>
        <w:t>are</w:t>
      </w:r>
      <w:r w:rsidR="00FA6CC4">
        <w:t> </w:t>
      </w:r>
      <w:r w:rsidRPr="00603B69">
        <w:t>funded by the department and delivered through state health promotion agencies</w:t>
      </w:r>
      <w:r>
        <w:t>,</w:t>
      </w:r>
      <w:r w:rsidRPr="00603B69">
        <w:t xml:space="preserve"> in</w:t>
      </w:r>
      <w:r w:rsidRPr="00A554C7">
        <w:t>cluding</w:t>
      </w:r>
      <w:r w:rsidR="00FA6CC4">
        <w:t> </w:t>
      </w:r>
      <w:r w:rsidRPr="00A554C7">
        <w:t>VicHealth, Cancer Council Victoria</w:t>
      </w:r>
      <w:r>
        <w:t>,</w:t>
      </w:r>
      <w:r w:rsidRPr="00A554C7">
        <w:t xml:space="preserve"> and</w:t>
      </w:r>
      <w:r w:rsidR="00FA6CC4">
        <w:t> </w:t>
      </w:r>
      <w:r w:rsidRPr="00A554C7">
        <w:t>Quit Victoria.</w:t>
      </w:r>
    </w:p>
    <w:p w14:paraId="11CCC6B4" w14:textId="403C4DAD" w:rsidR="003F0283" w:rsidRPr="00A554C7" w:rsidRDefault="00603B69" w:rsidP="00A554C7">
      <w:pPr>
        <w:pStyle w:val="ARbody"/>
      </w:pPr>
      <w:r w:rsidRPr="00A554C7">
        <w:t xml:space="preserve">The department </w:t>
      </w:r>
      <w:r w:rsidR="007E5604">
        <w:t xml:space="preserve">also </w:t>
      </w:r>
      <w:r w:rsidRPr="00A554C7">
        <w:t xml:space="preserve">commissions Diabetes Victoria and the Heart Foundation to support </w:t>
      </w:r>
      <w:r w:rsidR="00312E54" w:rsidRPr="00A554C7">
        <w:t xml:space="preserve">the </w:t>
      </w:r>
      <w:r w:rsidRPr="00A554C7">
        <w:t>uptake of health risk assessment for target cohorts in primary care and</w:t>
      </w:r>
      <w:r w:rsidR="00312E54" w:rsidRPr="00A554C7">
        <w:t xml:space="preserve"> the</w:t>
      </w:r>
      <w:r w:rsidRPr="00A554C7">
        <w:t xml:space="preserve"> referral to evidence</w:t>
      </w:r>
      <w:r w:rsidR="00312E54" w:rsidRPr="00A554C7">
        <w:t>-</w:t>
      </w:r>
      <w:r w:rsidRPr="00A554C7">
        <w:t xml:space="preserve">based behaviour modification programs </w:t>
      </w:r>
      <w:r w:rsidR="003D19A6" w:rsidRPr="00A554C7">
        <w:t xml:space="preserve">in the community </w:t>
      </w:r>
      <w:r w:rsidRPr="00A554C7">
        <w:t>(</w:t>
      </w:r>
      <w:r w:rsidR="00597BBD" w:rsidRPr="00A554C7">
        <w:t>such as the</w:t>
      </w:r>
      <w:r w:rsidRPr="00A554C7">
        <w:t xml:space="preserve"> Life! </w:t>
      </w:r>
      <w:r w:rsidR="00DC7C35" w:rsidRPr="00A554C7">
        <w:t>h</w:t>
      </w:r>
      <w:r w:rsidR="00ED5F88" w:rsidRPr="00A554C7">
        <w:t>ealth</w:t>
      </w:r>
      <w:r w:rsidR="00DC7C35" w:rsidRPr="00A554C7">
        <w:t>y</w:t>
      </w:r>
      <w:r w:rsidR="00ED5F88" w:rsidRPr="00A554C7">
        <w:t xml:space="preserve"> lifestyle </w:t>
      </w:r>
      <w:r w:rsidR="00BD2A6B" w:rsidRPr="00A554C7">
        <w:t>p</w:t>
      </w:r>
      <w:r w:rsidRPr="00A554C7">
        <w:t>rogram) to reduce disease and avoidable presentations to</w:t>
      </w:r>
      <w:r w:rsidR="004B3D7E">
        <w:t> </w:t>
      </w:r>
      <w:r w:rsidRPr="00A554C7">
        <w:t>hospital.</w:t>
      </w:r>
    </w:p>
    <w:p w14:paraId="7EC75BEC" w14:textId="77777777" w:rsidR="000F4861" w:rsidRDefault="00603B69" w:rsidP="00A554C7">
      <w:pPr>
        <w:pStyle w:val="ARbody"/>
      </w:pPr>
      <w:r w:rsidRPr="00A554C7">
        <w:t xml:space="preserve">Both community health and women’s health services deliver statewide health promotion </w:t>
      </w:r>
      <w:r w:rsidRPr="00603B69">
        <w:t>programs aimed at improving equity and delivering individual and population</w:t>
      </w:r>
      <w:r w:rsidR="00312E54">
        <w:t>-</w:t>
      </w:r>
      <w:r w:rsidRPr="00603B69">
        <w:t>level interventions that support Victorians to make healthy decisions about their wellbeing.</w:t>
      </w:r>
    </w:p>
    <w:p w14:paraId="3F6B18EE" w14:textId="69D27955" w:rsidR="003F0283" w:rsidRDefault="00FD465B" w:rsidP="00A554C7">
      <w:pPr>
        <w:pStyle w:val="ARbody"/>
      </w:pPr>
      <w:r>
        <w:t xml:space="preserve">See also: </w:t>
      </w:r>
      <w:hyperlink w:anchor="_Government_advertising_expenditure" w:history="1">
        <w:r w:rsidR="009E7D52" w:rsidRPr="009E7D52">
          <w:rPr>
            <w:rStyle w:val="Hyperlink"/>
          </w:rPr>
          <w:t>Government advertising expenditure</w:t>
        </w:r>
      </w:hyperlink>
      <w:r w:rsidR="009E7D52">
        <w:t xml:space="preserve"> for examples of </w:t>
      </w:r>
      <w:r w:rsidR="00F5613D">
        <w:t xml:space="preserve">campaigns the department undertook in </w:t>
      </w:r>
      <w:r w:rsidR="006C15A9">
        <w:t>2021–22</w:t>
      </w:r>
      <w:r w:rsidR="00F5613D">
        <w:t xml:space="preserve"> </w:t>
      </w:r>
      <w:r w:rsidR="00026516">
        <w:t>to support Victorians</w:t>
      </w:r>
      <w:r w:rsidR="003A2155">
        <w:t>’ health</w:t>
      </w:r>
      <w:r w:rsidR="00D91A85">
        <w:t>-related decision making.</w:t>
      </w:r>
    </w:p>
    <w:p w14:paraId="01F9378C" w14:textId="4A85A6B1" w:rsidR="00603B69" w:rsidRPr="00A554C7" w:rsidRDefault="00603B69" w:rsidP="00A554C7">
      <w:pPr>
        <w:pStyle w:val="ARbody"/>
      </w:pPr>
      <w:r w:rsidRPr="00603B69">
        <w:t>The department funds Breast</w:t>
      </w:r>
      <w:r w:rsidR="00D625D6">
        <w:t>S</w:t>
      </w:r>
      <w:r w:rsidRPr="00603B69">
        <w:t xml:space="preserve">creen Victoria, Australian Centre for the Prevention of Cervical Cancer, Cancer Council Victoria, </w:t>
      </w:r>
      <w:r w:rsidR="0010552B">
        <w:t xml:space="preserve">the </w:t>
      </w:r>
      <w:r w:rsidR="00312E54">
        <w:t>Victorian Aboriginal Controlled Community Health Organisatio</w:t>
      </w:r>
      <w:r w:rsidR="00312E54" w:rsidRPr="00A554C7">
        <w:t xml:space="preserve">n </w:t>
      </w:r>
      <w:r w:rsidRPr="00A554C7">
        <w:t xml:space="preserve">and </w:t>
      </w:r>
      <w:r w:rsidR="00C220CD" w:rsidRPr="00A554C7">
        <w:t>primary</w:t>
      </w:r>
      <w:r w:rsidR="00312E54" w:rsidRPr="00A554C7">
        <w:t xml:space="preserve"> </w:t>
      </w:r>
      <w:r w:rsidR="00C220CD" w:rsidRPr="00A554C7">
        <w:t>h</w:t>
      </w:r>
      <w:r w:rsidR="00312E54" w:rsidRPr="00A554C7">
        <w:t xml:space="preserve">ealth </w:t>
      </w:r>
      <w:r w:rsidR="00C220CD" w:rsidRPr="00A554C7">
        <w:t>ne</w:t>
      </w:r>
      <w:r w:rsidR="00312E54" w:rsidRPr="00A554C7">
        <w:t xml:space="preserve">tworks </w:t>
      </w:r>
      <w:r w:rsidRPr="00A554C7">
        <w:t>to deliver and support participation in a range of population</w:t>
      </w:r>
      <w:r w:rsidR="00312E54" w:rsidRPr="00A554C7">
        <w:t>-</w:t>
      </w:r>
      <w:r w:rsidRPr="00A554C7">
        <w:t>based health screening programs for chronic disease, cancer prevention and early detection.</w:t>
      </w:r>
      <w:r w:rsidR="00101852" w:rsidRPr="00A554C7">
        <w:t xml:space="preserve"> </w:t>
      </w:r>
      <w:r w:rsidR="00841763">
        <w:t>The performance of these screening programs is reported each year</w:t>
      </w:r>
      <w:r w:rsidR="00BF1D02">
        <w:t>, and the</w:t>
      </w:r>
      <w:r w:rsidR="009233C0">
        <w:t xml:space="preserve"> 2021–22 </w:t>
      </w:r>
      <w:r w:rsidR="00BF1D02">
        <w:t>data can be found</w:t>
      </w:r>
      <w:r w:rsidR="005535B5">
        <w:t xml:space="preserve"> under the </w:t>
      </w:r>
      <w:hyperlink w:anchor="_Health_Protection" w:history="1">
        <w:r w:rsidR="005535B5" w:rsidRPr="005535B5">
          <w:rPr>
            <w:rStyle w:val="Hyperlink"/>
          </w:rPr>
          <w:t>Health Protection</w:t>
        </w:r>
      </w:hyperlink>
      <w:r w:rsidR="005535B5">
        <w:t xml:space="preserve"> output</w:t>
      </w:r>
      <w:r w:rsidR="003A7F11" w:rsidRPr="00A554C7">
        <w:t>.</w:t>
      </w:r>
    </w:p>
    <w:p w14:paraId="5E573B51" w14:textId="6EA267F2" w:rsidR="000F4861" w:rsidRDefault="006B244B" w:rsidP="00A554C7">
      <w:pPr>
        <w:pStyle w:val="ARbody"/>
      </w:pPr>
      <w:r>
        <w:lastRenderedPageBreak/>
        <w:t xml:space="preserve">The pandemic </w:t>
      </w:r>
      <w:r w:rsidR="003D19A6">
        <w:t xml:space="preserve">has </w:t>
      </w:r>
      <w:r>
        <w:t>disrupted a lot of screening activity. So</w:t>
      </w:r>
      <w:r w:rsidR="003D19A6">
        <w:t>,</w:t>
      </w:r>
      <w:r>
        <w:t xml:space="preserve"> the department has provided extra funding for </w:t>
      </w:r>
      <w:r w:rsidRPr="00A554C7">
        <w:t xml:space="preserve">initiatives to </w:t>
      </w:r>
      <w:r>
        <w:t>catch up on</w:t>
      </w:r>
      <w:r w:rsidRPr="00A554C7">
        <w:t xml:space="preserve"> </w:t>
      </w:r>
      <w:r w:rsidRPr="00672CAF">
        <w:t xml:space="preserve">cancer </w:t>
      </w:r>
      <w:r w:rsidR="00603B69" w:rsidRPr="00672CAF">
        <w:t>screening programs</w:t>
      </w:r>
      <w:r w:rsidR="0010552B" w:rsidRPr="00672CAF">
        <w:t xml:space="preserve"> over the last two years</w:t>
      </w:r>
      <w:r w:rsidR="00312E54">
        <w:t>,</w:t>
      </w:r>
      <w:r w:rsidR="00603B69" w:rsidRPr="00603B69">
        <w:t xml:space="preserve"> including targeted, local strategies to improve</w:t>
      </w:r>
      <w:r w:rsidR="00312E54">
        <w:t xml:space="preserve"> the</w:t>
      </w:r>
      <w:r w:rsidR="00603B69" w:rsidRPr="00603B69">
        <w:t xml:space="preserve"> participation of vulnerable populations.</w:t>
      </w:r>
    </w:p>
    <w:p w14:paraId="4E1E1A0D" w14:textId="77777777" w:rsidR="00D64D99" w:rsidRDefault="00D64D99" w:rsidP="00A554C7">
      <w:pPr>
        <w:pStyle w:val="ARbody"/>
        <w:sectPr w:rsidR="00D64D99" w:rsidSect="00603B69">
          <w:headerReference w:type="first" r:id="rId37"/>
          <w:footerReference w:type="first" r:id="rId38"/>
          <w:footnotePr>
            <w:numFmt w:val="lowerLetter"/>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152EFC8A" w14:textId="1DF797C0" w:rsidR="00D64D99" w:rsidRDefault="000F4861" w:rsidP="003D0AF1">
      <w:pPr>
        <w:pStyle w:val="Heading4"/>
        <w:spacing w:before="400"/>
      </w:pPr>
      <w:bookmarkStart w:id="71" w:name="_Toc85121019"/>
      <w:r>
        <w:t>Objective 1: Indicator results</w:t>
      </w:r>
      <w:bookmarkEnd w:id="71"/>
    </w:p>
    <w:tbl>
      <w:tblPr>
        <w:tblStyle w:val="TableGrid"/>
        <w:tblW w:w="9639" w:type="dxa"/>
        <w:tblLook w:val="06A0" w:firstRow="1" w:lastRow="0" w:firstColumn="1" w:lastColumn="0" w:noHBand="1" w:noVBand="1"/>
      </w:tblPr>
      <w:tblGrid>
        <w:gridCol w:w="5555"/>
        <w:gridCol w:w="1021"/>
        <w:gridCol w:w="1021"/>
        <w:gridCol w:w="1021"/>
        <w:gridCol w:w="1021"/>
      </w:tblGrid>
      <w:tr w:rsidR="000F4861" w:rsidRPr="002029AF" w14:paraId="7BCFC4F6" w14:textId="77777777" w:rsidTr="004B3D7E">
        <w:trPr>
          <w:cnfStyle w:val="100000000000" w:firstRow="1" w:lastRow="0" w:firstColumn="0" w:lastColumn="0" w:oddVBand="0" w:evenVBand="0" w:oddHBand="0" w:evenHBand="0" w:firstRowFirstColumn="0" w:firstRowLastColumn="0" w:lastRowFirstColumn="0" w:lastRowLastColumn="0"/>
          <w:tblHeader/>
        </w:trPr>
        <w:tc>
          <w:tcPr>
            <w:tcW w:w="5555" w:type="dxa"/>
          </w:tcPr>
          <w:p w14:paraId="4B9170E2" w14:textId="77777777" w:rsidR="000F4861" w:rsidRPr="002029AF" w:rsidRDefault="000F4861" w:rsidP="00101E5D">
            <w:pPr>
              <w:pStyle w:val="ARtablecolhead"/>
            </w:pPr>
          </w:p>
        </w:tc>
        <w:tc>
          <w:tcPr>
            <w:tcW w:w="1021" w:type="dxa"/>
          </w:tcPr>
          <w:p w14:paraId="25A47A86" w14:textId="77777777" w:rsidR="000F4861" w:rsidRPr="002029AF" w:rsidRDefault="000F4861" w:rsidP="00101E5D">
            <w:pPr>
              <w:pStyle w:val="ARtablecolhead"/>
            </w:pPr>
            <w:r w:rsidRPr="002029AF">
              <w:t>201</w:t>
            </w:r>
            <w:r>
              <w:t>8</w:t>
            </w:r>
            <w:r w:rsidRPr="002029AF">
              <w:t>–1</w:t>
            </w:r>
            <w:r>
              <w:t>9</w:t>
            </w:r>
          </w:p>
        </w:tc>
        <w:tc>
          <w:tcPr>
            <w:tcW w:w="1021" w:type="dxa"/>
          </w:tcPr>
          <w:p w14:paraId="31FD3A27" w14:textId="77777777" w:rsidR="000F4861" w:rsidRPr="002029AF" w:rsidRDefault="000F4861" w:rsidP="00101E5D">
            <w:pPr>
              <w:pStyle w:val="ARtablecolhead"/>
            </w:pPr>
            <w:r w:rsidRPr="002029AF">
              <w:t>201</w:t>
            </w:r>
            <w:r>
              <w:t>9</w:t>
            </w:r>
            <w:r w:rsidRPr="002029AF">
              <w:t>–</w:t>
            </w:r>
            <w:r>
              <w:t>20</w:t>
            </w:r>
          </w:p>
        </w:tc>
        <w:tc>
          <w:tcPr>
            <w:tcW w:w="1021" w:type="dxa"/>
          </w:tcPr>
          <w:p w14:paraId="5AACAAFB" w14:textId="77777777" w:rsidR="000F4861" w:rsidRPr="002029AF" w:rsidRDefault="000F4861" w:rsidP="00101E5D">
            <w:pPr>
              <w:pStyle w:val="ARtablecolhead"/>
            </w:pPr>
            <w:r w:rsidRPr="002029AF">
              <w:t>20</w:t>
            </w:r>
            <w:r>
              <w:t>20</w:t>
            </w:r>
            <w:r w:rsidRPr="002029AF">
              <w:t>–2</w:t>
            </w:r>
            <w:r>
              <w:t>1</w:t>
            </w:r>
          </w:p>
        </w:tc>
        <w:tc>
          <w:tcPr>
            <w:tcW w:w="1021" w:type="dxa"/>
          </w:tcPr>
          <w:p w14:paraId="2D283D98" w14:textId="77777777" w:rsidR="000F4861" w:rsidRPr="002029AF" w:rsidRDefault="000F4861" w:rsidP="00101E5D">
            <w:pPr>
              <w:pStyle w:val="ARtablecolhead"/>
            </w:pPr>
            <w:r>
              <w:t>2021–22</w:t>
            </w:r>
          </w:p>
        </w:tc>
      </w:tr>
      <w:tr w:rsidR="000F4861" w:rsidRPr="002029AF" w14:paraId="35A4253D" w14:textId="77777777" w:rsidTr="00101E5D">
        <w:tc>
          <w:tcPr>
            <w:tcW w:w="9639" w:type="dxa"/>
            <w:gridSpan w:val="5"/>
          </w:tcPr>
          <w:p w14:paraId="6CC3FBEA" w14:textId="77777777" w:rsidR="000F4861" w:rsidRPr="002029AF" w:rsidRDefault="000F4861" w:rsidP="00044722">
            <w:pPr>
              <w:pStyle w:val="ARtablecolourbold"/>
            </w:pPr>
            <w:r w:rsidRPr="002029AF">
              <w:t>Victorians have good physical health</w:t>
            </w:r>
          </w:p>
        </w:tc>
      </w:tr>
      <w:tr w:rsidR="000F4861" w:rsidRPr="002029AF" w14:paraId="7AED98F7" w14:textId="77777777" w:rsidTr="00DB4DDE">
        <w:tc>
          <w:tcPr>
            <w:tcW w:w="5555" w:type="dxa"/>
            <w:tcBorders>
              <w:bottom w:val="single" w:sz="4" w:space="0" w:color="BFBFBF" w:themeColor="background1" w:themeShade="BF"/>
            </w:tcBorders>
          </w:tcPr>
          <w:p w14:paraId="753557EB" w14:textId="4E241CC2" w:rsidR="000F4861" w:rsidRPr="002029AF" w:rsidRDefault="000F4861" w:rsidP="00101E5D">
            <w:pPr>
              <w:pStyle w:val="ARtabletext"/>
            </w:pPr>
            <w:r w:rsidRPr="002029AF">
              <w:t xml:space="preserve">Persons completing </w:t>
            </w:r>
            <w:r w:rsidRPr="0067312E">
              <w:t>the Life! – Diabetes</w:t>
            </w:r>
            <w:r w:rsidRPr="002029AF">
              <w:t xml:space="preserve"> and Cardiovascular Disease Prevention </w:t>
            </w:r>
            <w:r w:rsidR="00A45EFD">
              <w:t>P</w:t>
            </w:r>
            <w:r w:rsidRPr="002029AF">
              <w:t>rogram</w:t>
            </w:r>
          </w:p>
        </w:tc>
        <w:tc>
          <w:tcPr>
            <w:tcW w:w="1021" w:type="dxa"/>
            <w:tcBorders>
              <w:bottom w:val="single" w:sz="4" w:space="0" w:color="BFBFBF" w:themeColor="background1" w:themeShade="BF"/>
            </w:tcBorders>
          </w:tcPr>
          <w:p w14:paraId="1A7ACC82" w14:textId="77777777" w:rsidR="000F4861" w:rsidRPr="002029AF" w:rsidRDefault="000F4861" w:rsidP="00101E5D">
            <w:pPr>
              <w:pStyle w:val="ARtabletext"/>
            </w:pPr>
            <w:r w:rsidRPr="002029AF">
              <w:t>5,782</w:t>
            </w:r>
          </w:p>
        </w:tc>
        <w:tc>
          <w:tcPr>
            <w:tcW w:w="1021" w:type="dxa"/>
            <w:tcBorders>
              <w:bottom w:val="single" w:sz="4" w:space="0" w:color="BFBFBF" w:themeColor="background1" w:themeShade="BF"/>
            </w:tcBorders>
          </w:tcPr>
          <w:p w14:paraId="74044DB2" w14:textId="77777777" w:rsidR="000F4861" w:rsidRPr="002029AF" w:rsidRDefault="000F4861" w:rsidP="00101E5D">
            <w:pPr>
              <w:pStyle w:val="ARtabletext"/>
            </w:pPr>
            <w:r w:rsidRPr="002029AF">
              <w:t>4,612</w:t>
            </w:r>
          </w:p>
        </w:tc>
        <w:tc>
          <w:tcPr>
            <w:tcW w:w="1021" w:type="dxa"/>
            <w:tcBorders>
              <w:bottom w:val="single" w:sz="4" w:space="0" w:color="BFBFBF" w:themeColor="background1" w:themeShade="BF"/>
            </w:tcBorders>
          </w:tcPr>
          <w:p w14:paraId="6425A7E3" w14:textId="77777777" w:rsidR="000F4861" w:rsidRPr="002029AF" w:rsidRDefault="000F4861" w:rsidP="00101E5D">
            <w:pPr>
              <w:pStyle w:val="ARtabletext"/>
            </w:pPr>
            <w:r w:rsidRPr="009E1CF8">
              <w:t>3,456</w:t>
            </w:r>
          </w:p>
        </w:tc>
        <w:tc>
          <w:tcPr>
            <w:tcW w:w="1021" w:type="dxa"/>
            <w:tcBorders>
              <w:bottom w:val="single" w:sz="4" w:space="0" w:color="BFBFBF" w:themeColor="background1" w:themeShade="BF"/>
            </w:tcBorders>
          </w:tcPr>
          <w:p w14:paraId="13A6A3FB" w14:textId="77777777" w:rsidR="000F4861" w:rsidRPr="009E1CF8" w:rsidRDefault="000F4861" w:rsidP="00101E5D">
            <w:pPr>
              <w:pStyle w:val="ARtabletext"/>
            </w:pPr>
            <w:r>
              <w:t>3,942</w:t>
            </w:r>
          </w:p>
        </w:tc>
      </w:tr>
      <w:tr w:rsidR="000F4861" w:rsidRPr="002029AF" w14:paraId="3F8CC92A" w14:textId="77777777" w:rsidTr="00DB4DDE">
        <w:tc>
          <w:tcPr>
            <w:tcW w:w="5555" w:type="dxa"/>
            <w:tcBorders>
              <w:top w:val="single" w:sz="4" w:space="0" w:color="BFBFBF" w:themeColor="background1" w:themeShade="BF"/>
              <w:bottom w:val="single" w:sz="4" w:space="0" w:color="BFBFBF" w:themeColor="background1" w:themeShade="BF"/>
            </w:tcBorders>
          </w:tcPr>
          <w:p w14:paraId="04F7289D" w14:textId="77777777" w:rsidR="000F4861" w:rsidRPr="00355478" w:rsidRDefault="000F4861" w:rsidP="00101E5D">
            <w:pPr>
              <w:pStyle w:val="ARtabletext"/>
            </w:pPr>
            <w:r w:rsidRPr="00355478">
              <w:t>Proportion of adults who are overweight (self-reported)</w:t>
            </w:r>
          </w:p>
        </w:tc>
        <w:tc>
          <w:tcPr>
            <w:tcW w:w="1021" w:type="dxa"/>
            <w:tcBorders>
              <w:top w:val="single" w:sz="4" w:space="0" w:color="BFBFBF" w:themeColor="background1" w:themeShade="BF"/>
              <w:bottom w:val="single" w:sz="4" w:space="0" w:color="BFBFBF" w:themeColor="background1" w:themeShade="BF"/>
            </w:tcBorders>
          </w:tcPr>
          <w:p w14:paraId="18DDCECD" w14:textId="77777777" w:rsidR="000F4861" w:rsidRPr="00355478" w:rsidRDefault="000F4861" w:rsidP="00101E5D">
            <w:pPr>
              <w:pStyle w:val="ARtabletext"/>
            </w:pPr>
            <w:r w:rsidRPr="00355478">
              <w:t>29.9%</w:t>
            </w:r>
          </w:p>
        </w:tc>
        <w:tc>
          <w:tcPr>
            <w:tcW w:w="1021" w:type="dxa"/>
            <w:tcBorders>
              <w:top w:val="single" w:sz="4" w:space="0" w:color="BFBFBF" w:themeColor="background1" w:themeShade="BF"/>
              <w:bottom w:val="single" w:sz="4" w:space="0" w:color="BFBFBF" w:themeColor="background1" w:themeShade="BF"/>
            </w:tcBorders>
          </w:tcPr>
          <w:p w14:paraId="1053580E" w14:textId="77777777" w:rsidR="000F4861" w:rsidRPr="00355478" w:rsidRDefault="000F4861" w:rsidP="00101E5D">
            <w:pPr>
              <w:pStyle w:val="ARtabletext"/>
            </w:pPr>
            <w:r w:rsidRPr="00355478">
              <w:t>31.3%</w:t>
            </w:r>
          </w:p>
        </w:tc>
        <w:tc>
          <w:tcPr>
            <w:tcW w:w="1021" w:type="dxa"/>
            <w:tcBorders>
              <w:top w:val="single" w:sz="4" w:space="0" w:color="BFBFBF" w:themeColor="background1" w:themeShade="BF"/>
              <w:bottom w:val="single" w:sz="4" w:space="0" w:color="BFBFBF" w:themeColor="background1" w:themeShade="BF"/>
            </w:tcBorders>
          </w:tcPr>
          <w:p w14:paraId="6865D2CC" w14:textId="77777777" w:rsidR="000F4861" w:rsidRPr="00355478" w:rsidRDefault="000F4861" w:rsidP="00101E5D">
            <w:pPr>
              <w:pStyle w:val="ARtabletext"/>
            </w:pPr>
            <w:r>
              <w:t>30.2%</w:t>
            </w:r>
          </w:p>
        </w:tc>
        <w:tc>
          <w:tcPr>
            <w:tcW w:w="1021" w:type="dxa"/>
            <w:tcBorders>
              <w:top w:val="single" w:sz="4" w:space="0" w:color="BFBFBF" w:themeColor="background1" w:themeShade="BF"/>
              <w:bottom w:val="single" w:sz="4" w:space="0" w:color="BFBFBF" w:themeColor="background1" w:themeShade="BF"/>
            </w:tcBorders>
          </w:tcPr>
          <w:p w14:paraId="2554C16A" w14:textId="07BF45A8" w:rsidR="000F4861" w:rsidRPr="008128DE" w:rsidRDefault="00091E7A" w:rsidP="00101E5D">
            <w:pPr>
              <w:pStyle w:val="ARtabletext"/>
              <w:rPr>
                <w:vertAlign w:val="superscript"/>
              </w:rPr>
            </w:pPr>
            <w:r>
              <w:t>N/A</w:t>
            </w:r>
            <w:r w:rsidR="00CF5F93">
              <w:rPr>
                <w:rStyle w:val="FootnoteReference"/>
              </w:rPr>
              <w:t>(</w:t>
            </w:r>
            <w:r w:rsidR="00CF5F93" w:rsidRPr="001A559C">
              <w:rPr>
                <w:rStyle w:val="FootnoteReference"/>
              </w:rPr>
              <w:footnoteReference w:id="5"/>
            </w:r>
            <w:r w:rsidR="00CF5F93">
              <w:rPr>
                <w:rStyle w:val="FootnoteReference"/>
              </w:rPr>
              <w:t>)</w:t>
            </w:r>
          </w:p>
        </w:tc>
      </w:tr>
      <w:tr w:rsidR="000F4861" w:rsidRPr="002029AF" w14:paraId="4EE77093" w14:textId="77777777" w:rsidTr="00DB4DDE">
        <w:tc>
          <w:tcPr>
            <w:tcW w:w="5555" w:type="dxa"/>
            <w:tcBorders>
              <w:top w:val="single" w:sz="4" w:space="0" w:color="BFBFBF" w:themeColor="background1" w:themeShade="BF"/>
              <w:bottom w:val="single" w:sz="4" w:space="0" w:color="BFBFBF" w:themeColor="background1" w:themeShade="BF"/>
            </w:tcBorders>
          </w:tcPr>
          <w:p w14:paraId="170E18F1" w14:textId="77777777" w:rsidR="000F4861" w:rsidRPr="00355478" w:rsidRDefault="000F4861" w:rsidP="00101E5D">
            <w:pPr>
              <w:pStyle w:val="ARtabletext"/>
            </w:pPr>
            <w:r w:rsidRPr="00355478">
              <w:t>Proportion of adults who are obese (self-reported)</w:t>
            </w:r>
          </w:p>
        </w:tc>
        <w:tc>
          <w:tcPr>
            <w:tcW w:w="1021" w:type="dxa"/>
            <w:tcBorders>
              <w:top w:val="single" w:sz="4" w:space="0" w:color="BFBFBF" w:themeColor="background1" w:themeShade="BF"/>
              <w:bottom w:val="single" w:sz="4" w:space="0" w:color="BFBFBF" w:themeColor="background1" w:themeShade="BF"/>
            </w:tcBorders>
          </w:tcPr>
          <w:p w14:paraId="12DF905F" w14:textId="77777777" w:rsidR="000F4861" w:rsidRPr="00355478" w:rsidRDefault="000F4861" w:rsidP="00101E5D">
            <w:pPr>
              <w:pStyle w:val="ARtabletext"/>
            </w:pPr>
            <w:r w:rsidRPr="00355478">
              <w:t>21.3%</w:t>
            </w:r>
          </w:p>
        </w:tc>
        <w:tc>
          <w:tcPr>
            <w:tcW w:w="1021" w:type="dxa"/>
            <w:tcBorders>
              <w:top w:val="single" w:sz="4" w:space="0" w:color="BFBFBF" w:themeColor="background1" w:themeShade="BF"/>
              <w:bottom w:val="single" w:sz="4" w:space="0" w:color="BFBFBF" w:themeColor="background1" w:themeShade="BF"/>
            </w:tcBorders>
          </w:tcPr>
          <w:p w14:paraId="25B2568B" w14:textId="77777777" w:rsidR="000F4861" w:rsidRPr="00355478" w:rsidRDefault="000F4861" w:rsidP="00101E5D">
            <w:pPr>
              <w:pStyle w:val="ARtabletext"/>
            </w:pPr>
            <w:r w:rsidRPr="00355478">
              <w:t>20.3%</w:t>
            </w:r>
          </w:p>
        </w:tc>
        <w:tc>
          <w:tcPr>
            <w:tcW w:w="1021" w:type="dxa"/>
            <w:tcBorders>
              <w:top w:val="single" w:sz="4" w:space="0" w:color="BFBFBF" w:themeColor="background1" w:themeShade="BF"/>
              <w:bottom w:val="single" w:sz="4" w:space="0" w:color="BFBFBF" w:themeColor="background1" w:themeShade="BF"/>
            </w:tcBorders>
          </w:tcPr>
          <w:p w14:paraId="45AED7A8" w14:textId="77777777" w:rsidR="000F4861" w:rsidRPr="00355478" w:rsidRDefault="000F4861" w:rsidP="00101E5D">
            <w:pPr>
              <w:pStyle w:val="ARtabletext"/>
            </w:pPr>
            <w:r>
              <w:t>21.1%</w:t>
            </w:r>
          </w:p>
        </w:tc>
        <w:tc>
          <w:tcPr>
            <w:tcW w:w="1021" w:type="dxa"/>
            <w:tcBorders>
              <w:top w:val="single" w:sz="4" w:space="0" w:color="BFBFBF" w:themeColor="background1" w:themeShade="BF"/>
              <w:bottom w:val="single" w:sz="4" w:space="0" w:color="BFBFBF" w:themeColor="background1" w:themeShade="BF"/>
            </w:tcBorders>
          </w:tcPr>
          <w:p w14:paraId="5F94149B" w14:textId="4FE00284" w:rsidR="000F4861" w:rsidRPr="00355478" w:rsidRDefault="008128DE" w:rsidP="00101E5D">
            <w:pPr>
              <w:pStyle w:val="ARtabletext"/>
            </w:pPr>
            <w:r>
              <w:t>N/A</w:t>
            </w:r>
            <w:r>
              <w:rPr>
                <w:vertAlign w:val="superscript"/>
              </w:rPr>
              <w:t>(a)</w:t>
            </w:r>
          </w:p>
        </w:tc>
      </w:tr>
      <w:tr w:rsidR="000F4861" w:rsidRPr="002029AF" w14:paraId="28343650" w14:textId="77777777" w:rsidTr="00DB4DDE">
        <w:tc>
          <w:tcPr>
            <w:tcW w:w="5555" w:type="dxa"/>
            <w:tcBorders>
              <w:top w:val="single" w:sz="4" w:space="0" w:color="BFBFBF" w:themeColor="background1" w:themeShade="BF"/>
              <w:bottom w:val="single" w:sz="4" w:space="0" w:color="BFBFBF" w:themeColor="background1" w:themeShade="BF"/>
            </w:tcBorders>
          </w:tcPr>
          <w:p w14:paraId="1FD69152" w14:textId="77777777" w:rsidR="000F4861" w:rsidRPr="00355478" w:rsidRDefault="000F4861" w:rsidP="00101E5D">
            <w:pPr>
              <w:pStyle w:val="ARtabletext"/>
            </w:pPr>
            <w:r w:rsidRPr="00355478">
              <w:t>Proportion of adults who were current smokers</w:t>
            </w:r>
          </w:p>
        </w:tc>
        <w:tc>
          <w:tcPr>
            <w:tcW w:w="1021" w:type="dxa"/>
            <w:tcBorders>
              <w:top w:val="single" w:sz="4" w:space="0" w:color="BFBFBF" w:themeColor="background1" w:themeShade="BF"/>
              <w:bottom w:val="single" w:sz="4" w:space="0" w:color="BFBFBF" w:themeColor="background1" w:themeShade="BF"/>
            </w:tcBorders>
          </w:tcPr>
          <w:p w14:paraId="0591A912" w14:textId="77777777" w:rsidR="000F4861" w:rsidRPr="00355478" w:rsidRDefault="000F4861" w:rsidP="00101E5D">
            <w:pPr>
              <w:pStyle w:val="ARtabletext"/>
            </w:pPr>
            <w:r w:rsidRPr="00355478">
              <w:t>17.6%</w:t>
            </w:r>
          </w:p>
        </w:tc>
        <w:tc>
          <w:tcPr>
            <w:tcW w:w="1021" w:type="dxa"/>
            <w:tcBorders>
              <w:top w:val="single" w:sz="4" w:space="0" w:color="BFBFBF" w:themeColor="background1" w:themeShade="BF"/>
              <w:bottom w:val="single" w:sz="4" w:space="0" w:color="BFBFBF" w:themeColor="background1" w:themeShade="BF"/>
            </w:tcBorders>
          </w:tcPr>
          <w:p w14:paraId="400FC672" w14:textId="77777777" w:rsidR="000F4861" w:rsidRPr="00355478" w:rsidRDefault="000F4861" w:rsidP="00101E5D">
            <w:pPr>
              <w:pStyle w:val="ARtabletext"/>
            </w:pPr>
            <w:r w:rsidRPr="00355478">
              <w:t>16.9%</w:t>
            </w:r>
          </w:p>
        </w:tc>
        <w:tc>
          <w:tcPr>
            <w:tcW w:w="1021" w:type="dxa"/>
            <w:tcBorders>
              <w:top w:val="single" w:sz="4" w:space="0" w:color="BFBFBF" w:themeColor="background1" w:themeShade="BF"/>
              <w:bottom w:val="single" w:sz="4" w:space="0" w:color="BFBFBF" w:themeColor="background1" w:themeShade="BF"/>
            </w:tcBorders>
          </w:tcPr>
          <w:p w14:paraId="383CD204" w14:textId="77777777" w:rsidR="000F4861" w:rsidRPr="00355478" w:rsidRDefault="000F4861" w:rsidP="00101E5D">
            <w:pPr>
              <w:pStyle w:val="ARtabletext"/>
            </w:pPr>
            <w:r>
              <w:t>16.5%</w:t>
            </w:r>
          </w:p>
        </w:tc>
        <w:tc>
          <w:tcPr>
            <w:tcW w:w="1021" w:type="dxa"/>
            <w:tcBorders>
              <w:top w:val="single" w:sz="4" w:space="0" w:color="BFBFBF" w:themeColor="background1" w:themeShade="BF"/>
              <w:bottom w:val="single" w:sz="4" w:space="0" w:color="BFBFBF" w:themeColor="background1" w:themeShade="BF"/>
            </w:tcBorders>
          </w:tcPr>
          <w:p w14:paraId="1051ABB0" w14:textId="5FCD5C8A" w:rsidR="000F4861" w:rsidRPr="00355478" w:rsidRDefault="008128DE" w:rsidP="00101E5D">
            <w:pPr>
              <w:pStyle w:val="ARtabletext"/>
            </w:pPr>
            <w:r>
              <w:t>N/A</w:t>
            </w:r>
            <w:r>
              <w:rPr>
                <w:vertAlign w:val="superscript"/>
              </w:rPr>
              <w:t>(a)</w:t>
            </w:r>
          </w:p>
        </w:tc>
      </w:tr>
      <w:tr w:rsidR="000F4861" w:rsidRPr="002029AF" w14:paraId="2E776CD5" w14:textId="77777777" w:rsidTr="00DB4DDE">
        <w:tc>
          <w:tcPr>
            <w:tcW w:w="5555" w:type="dxa"/>
            <w:tcBorders>
              <w:top w:val="single" w:sz="4" w:space="0" w:color="BFBFBF" w:themeColor="background1" w:themeShade="BF"/>
              <w:bottom w:val="single" w:sz="4" w:space="0" w:color="BFBFBF" w:themeColor="background1" w:themeShade="BF"/>
            </w:tcBorders>
          </w:tcPr>
          <w:p w14:paraId="76145774" w14:textId="77777777" w:rsidR="000F4861" w:rsidRPr="00355478" w:rsidRDefault="000F4861" w:rsidP="00101E5D">
            <w:pPr>
              <w:pStyle w:val="ARtabletext"/>
            </w:pPr>
            <w:r w:rsidRPr="00355478">
              <w:t>Proportion of adults who smoked daily</w:t>
            </w:r>
          </w:p>
        </w:tc>
        <w:tc>
          <w:tcPr>
            <w:tcW w:w="1021" w:type="dxa"/>
            <w:tcBorders>
              <w:top w:val="single" w:sz="4" w:space="0" w:color="BFBFBF" w:themeColor="background1" w:themeShade="BF"/>
              <w:bottom w:val="single" w:sz="4" w:space="0" w:color="BFBFBF" w:themeColor="background1" w:themeShade="BF"/>
            </w:tcBorders>
          </w:tcPr>
          <w:p w14:paraId="056BE66B" w14:textId="77777777" w:rsidR="000F4861" w:rsidRPr="00355478" w:rsidRDefault="000F4861" w:rsidP="00101E5D">
            <w:pPr>
              <w:pStyle w:val="ARtabletext"/>
            </w:pPr>
            <w:r w:rsidRPr="00355478">
              <w:t>12.6%</w:t>
            </w:r>
          </w:p>
        </w:tc>
        <w:tc>
          <w:tcPr>
            <w:tcW w:w="1021" w:type="dxa"/>
            <w:tcBorders>
              <w:top w:val="single" w:sz="4" w:space="0" w:color="BFBFBF" w:themeColor="background1" w:themeShade="BF"/>
              <w:bottom w:val="single" w:sz="4" w:space="0" w:color="BFBFBF" w:themeColor="background1" w:themeShade="BF"/>
            </w:tcBorders>
          </w:tcPr>
          <w:p w14:paraId="1773524B" w14:textId="77777777" w:rsidR="000F4861" w:rsidRPr="00355478" w:rsidRDefault="000F4861" w:rsidP="00101E5D">
            <w:pPr>
              <w:pStyle w:val="ARtabletext"/>
            </w:pPr>
            <w:r w:rsidRPr="00355478">
              <w:t>12.4%</w:t>
            </w:r>
          </w:p>
        </w:tc>
        <w:tc>
          <w:tcPr>
            <w:tcW w:w="1021" w:type="dxa"/>
            <w:tcBorders>
              <w:top w:val="single" w:sz="4" w:space="0" w:color="BFBFBF" w:themeColor="background1" w:themeShade="BF"/>
              <w:bottom w:val="single" w:sz="4" w:space="0" w:color="BFBFBF" w:themeColor="background1" w:themeShade="BF"/>
            </w:tcBorders>
          </w:tcPr>
          <w:p w14:paraId="3E28BC4C" w14:textId="77777777" w:rsidR="000F4861" w:rsidRPr="00355478" w:rsidRDefault="000F4861" w:rsidP="00101E5D">
            <w:pPr>
              <w:pStyle w:val="ARtabletext"/>
            </w:pPr>
            <w:r>
              <w:t>12.1%</w:t>
            </w:r>
          </w:p>
        </w:tc>
        <w:tc>
          <w:tcPr>
            <w:tcW w:w="1021" w:type="dxa"/>
            <w:tcBorders>
              <w:top w:val="single" w:sz="4" w:space="0" w:color="BFBFBF" w:themeColor="background1" w:themeShade="BF"/>
              <w:bottom w:val="single" w:sz="4" w:space="0" w:color="BFBFBF" w:themeColor="background1" w:themeShade="BF"/>
            </w:tcBorders>
          </w:tcPr>
          <w:p w14:paraId="3BCC7A2A" w14:textId="64640B1F" w:rsidR="000F4861" w:rsidRPr="00355478" w:rsidRDefault="008128DE" w:rsidP="00101E5D">
            <w:pPr>
              <w:pStyle w:val="ARtabletext"/>
            </w:pPr>
            <w:r>
              <w:t>N/A</w:t>
            </w:r>
            <w:r>
              <w:rPr>
                <w:vertAlign w:val="superscript"/>
              </w:rPr>
              <w:t>(a)</w:t>
            </w:r>
          </w:p>
        </w:tc>
      </w:tr>
      <w:tr w:rsidR="000F4861" w:rsidRPr="002029AF" w14:paraId="34242487" w14:textId="77777777" w:rsidTr="00DB4DDE">
        <w:tc>
          <w:tcPr>
            <w:tcW w:w="5555" w:type="dxa"/>
            <w:tcBorders>
              <w:top w:val="single" w:sz="4" w:space="0" w:color="BFBFBF" w:themeColor="background1" w:themeShade="BF"/>
              <w:bottom w:val="single" w:sz="4" w:space="0" w:color="BFBFBF" w:themeColor="background1" w:themeShade="BF"/>
            </w:tcBorders>
          </w:tcPr>
          <w:p w14:paraId="3696FD79" w14:textId="77777777" w:rsidR="000F4861" w:rsidRPr="00355478" w:rsidRDefault="000F4861" w:rsidP="00101E5D">
            <w:pPr>
              <w:pStyle w:val="ARtabletext"/>
            </w:pPr>
            <w:r w:rsidRPr="00355478">
              <w:t>Proportion of adults with doctor-diagnosed high blood pressure</w:t>
            </w:r>
          </w:p>
        </w:tc>
        <w:tc>
          <w:tcPr>
            <w:tcW w:w="1021" w:type="dxa"/>
            <w:tcBorders>
              <w:top w:val="single" w:sz="4" w:space="0" w:color="BFBFBF" w:themeColor="background1" w:themeShade="BF"/>
              <w:bottom w:val="single" w:sz="4" w:space="0" w:color="BFBFBF" w:themeColor="background1" w:themeShade="BF"/>
            </w:tcBorders>
          </w:tcPr>
          <w:p w14:paraId="5986D97B" w14:textId="77777777" w:rsidR="000F4861" w:rsidRPr="00355478" w:rsidRDefault="000F4861" w:rsidP="00101E5D">
            <w:pPr>
              <w:pStyle w:val="ARtabletext"/>
            </w:pPr>
            <w:r w:rsidRPr="00355478">
              <w:t>26.3%</w:t>
            </w:r>
          </w:p>
        </w:tc>
        <w:tc>
          <w:tcPr>
            <w:tcW w:w="1021" w:type="dxa"/>
            <w:tcBorders>
              <w:top w:val="single" w:sz="4" w:space="0" w:color="BFBFBF" w:themeColor="background1" w:themeShade="BF"/>
              <w:bottom w:val="single" w:sz="4" w:space="0" w:color="BFBFBF" w:themeColor="background1" w:themeShade="BF"/>
            </w:tcBorders>
          </w:tcPr>
          <w:p w14:paraId="25522B50" w14:textId="77777777" w:rsidR="000F4861" w:rsidRPr="00355478" w:rsidRDefault="000F4861" w:rsidP="00101E5D">
            <w:pPr>
              <w:pStyle w:val="ARtabletext"/>
            </w:pPr>
            <w:r w:rsidRPr="00355478">
              <w:t>26.0%</w:t>
            </w:r>
          </w:p>
        </w:tc>
        <w:tc>
          <w:tcPr>
            <w:tcW w:w="1021" w:type="dxa"/>
            <w:tcBorders>
              <w:top w:val="single" w:sz="4" w:space="0" w:color="BFBFBF" w:themeColor="background1" w:themeShade="BF"/>
              <w:bottom w:val="single" w:sz="4" w:space="0" w:color="BFBFBF" w:themeColor="background1" w:themeShade="BF"/>
            </w:tcBorders>
          </w:tcPr>
          <w:p w14:paraId="5C54578E" w14:textId="77777777" w:rsidR="000F4861" w:rsidRPr="00355478" w:rsidRDefault="000F4861" w:rsidP="00101E5D">
            <w:pPr>
              <w:pStyle w:val="ARtabletext"/>
            </w:pPr>
            <w:r>
              <w:t>22.9%</w:t>
            </w:r>
          </w:p>
        </w:tc>
        <w:tc>
          <w:tcPr>
            <w:tcW w:w="1021" w:type="dxa"/>
            <w:tcBorders>
              <w:top w:val="single" w:sz="4" w:space="0" w:color="BFBFBF" w:themeColor="background1" w:themeShade="BF"/>
              <w:bottom w:val="single" w:sz="4" w:space="0" w:color="BFBFBF" w:themeColor="background1" w:themeShade="BF"/>
            </w:tcBorders>
          </w:tcPr>
          <w:p w14:paraId="2AAFC4F8" w14:textId="6D0BA12A" w:rsidR="000F4861" w:rsidRPr="00355478" w:rsidRDefault="008128DE" w:rsidP="00101E5D">
            <w:pPr>
              <w:pStyle w:val="ARtabletext"/>
            </w:pPr>
            <w:r>
              <w:t>N/A</w:t>
            </w:r>
            <w:r>
              <w:rPr>
                <w:vertAlign w:val="superscript"/>
              </w:rPr>
              <w:t>(a)</w:t>
            </w:r>
          </w:p>
        </w:tc>
      </w:tr>
      <w:tr w:rsidR="000F4861" w:rsidRPr="002029AF" w14:paraId="2DFB46A8" w14:textId="77777777" w:rsidTr="00DB4DDE">
        <w:tc>
          <w:tcPr>
            <w:tcW w:w="5555" w:type="dxa"/>
            <w:tcBorders>
              <w:top w:val="single" w:sz="4" w:space="0" w:color="BFBFBF" w:themeColor="background1" w:themeShade="BF"/>
              <w:bottom w:val="single" w:sz="4" w:space="0" w:color="BFBFBF" w:themeColor="background1" w:themeShade="BF"/>
            </w:tcBorders>
          </w:tcPr>
          <w:p w14:paraId="699A1EFD" w14:textId="77777777" w:rsidR="000F4861" w:rsidRPr="00355478" w:rsidRDefault="000F4861" w:rsidP="00101E5D">
            <w:pPr>
              <w:pStyle w:val="ARtabletext"/>
            </w:pPr>
            <w:r w:rsidRPr="00355478">
              <w:t>Proportion of adults</w:t>
            </w:r>
            <w:r>
              <w:t xml:space="preserve"> with</w:t>
            </w:r>
            <w:r w:rsidRPr="00355478">
              <w:t xml:space="preserve"> </w:t>
            </w:r>
            <w:r>
              <w:t>doctor-</w:t>
            </w:r>
            <w:r w:rsidRPr="00355478">
              <w:t>diagnosed type 2 diabetes</w:t>
            </w:r>
          </w:p>
        </w:tc>
        <w:tc>
          <w:tcPr>
            <w:tcW w:w="1021" w:type="dxa"/>
            <w:tcBorders>
              <w:top w:val="single" w:sz="4" w:space="0" w:color="BFBFBF" w:themeColor="background1" w:themeShade="BF"/>
              <w:bottom w:val="single" w:sz="4" w:space="0" w:color="BFBFBF" w:themeColor="background1" w:themeShade="BF"/>
            </w:tcBorders>
          </w:tcPr>
          <w:p w14:paraId="58A3C8D8" w14:textId="77777777" w:rsidR="000F4861" w:rsidRPr="00355478" w:rsidRDefault="000F4861" w:rsidP="00101E5D">
            <w:pPr>
              <w:pStyle w:val="ARtabletext"/>
            </w:pPr>
            <w:r w:rsidRPr="00355478">
              <w:t>5.4%</w:t>
            </w:r>
          </w:p>
        </w:tc>
        <w:tc>
          <w:tcPr>
            <w:tcW w:w="1021" w:type="dxa"/>
            <w:tcBorders>
              <w:top w:val="single" w:sz="4" w:space="0" w:color="BFBFBF" w:themeColor="background1" w:themeShade="BF"/>
              <w:bottom w:val="single" w:sz="4" w:space="0" w:color="BFBFBF" w:themeColor="background1" w:themeShade="BF"/>
            </w:tcBorders>
          </w:tcPr>
          <w:p w14:paraId="1E5CE6C1" w14:textId="77777777" w:rsidR="000F4861" w:rsidRPr="00355478" w:rsidRDefault="000F4861" w:rsidP="00101E5D">
            <w:pPr>
              <w:pStyle w:val="ARtabletext"/>
            </w:pPr>
            <w:r w:rsidRPr="00355478">
              <w:t>5.7%</w:t>
            </w:r>
          </w:p>
        </w:tc>
        <w:tc>
          <w:tcPr>
            <w:tcW w:w="1021" w:type="dxa"/>
            <w:tcBorders>
              <w:top w:val="single" w:sz="4" w:space="0" w:color="BFBFBF" w:themeColor="background1" w:themeShade="BF"/>
              <w:bottom w:val="single" w:sz="4" w:space="0" w:color="BFBFBF" w:themeColor="background1" w:themeShade="BF"/>
            </w:tcBorders>
          </w:tcPr>
          <w:p w14:paraId="6D0D3D3F" w14:textId="77777777" w:rsidR="000F4861" w:rsidRPr="00355478" w:rsidRDefault="000F4861" w:rsidP="00101E5D">
            <w:pPr>
              <w:pStyle w:val="ARtabletext"/>
            </w:pPr>
            <w:r>
              <w:t>5.8%</w:t>
            </w:r>
          </w:p>
        </w:tc>
        <w:tc>
          <w:tcPr>
            <w:tcW w:w="1021" w:type="dxa"/>
            <w:tcBorders>
              <w:top w:val="single" w:sz="4" w:space="0" w:color="BFBFBF" w:themeColor="background1" w:themeShade="BF"/>
              <w:bottom w:val="single" w:sz="4" w:space="0" w:color="BFBFBF" w:themeColor="background1" w:themeShade="BF"/>
            </w:tcBorders>
          </w:tcPr>
          <w:p w14:paraId="2FF39080" w14:textId="7232C097" w:rsidR="000F4861" w:rsidRPr="00355478" w:rsidRDefault="008128DE" w:rsidP="00101E5D">
            <w:pPr>
              <w:pStyle w:val="ARtabletext"/>
            </w:pPr>
            <w:r>
              <w:t>N/A</w:t>
            </w:r>
            <w:r>
              <w:rPr>
                <w:vertAlign w:val="superscript"/>
              </w:rPr>
              <w:t>(a)</w:t>
            </w:r>
          </w:p>
        </w:tc>
      </w:tr>
      <w:tr w:rsidR="000F4861" w:rsidRPr="002029AF" w14:paraId="233A142A" w14:textId="77777777" w:rsidTr="00DB4DDE">
        <w:tc>
          <w:tcPr>
            <w:tcW w:w="5555" w:type="dxa"/>
            <w:tcBorders>
              <w:top w:val="single" w:sz="4" w:space="0" w:color="BFBFBF" w:themeColor="background1" w:themeShade="BF"/>
              <w:bottom w:val="single" w:sz="4" w:space="0" w:color="BFBFBF" w:themeColor="background1" w:themeShade="BF"/>
            </w:tcBorders>
          </w:tcPr>
          <w:p w14:paraId="1BD271CD" w14:textId="77777777" w:rsidR="000F4861" w:rsidRPr="00355478" w:rsidRDefault="000F4861" w:rsidP="00101E5D">
            <w:pPr>
              <w:pStyle w:val="ARtabletext"/>
            </w:pPr>
            <w:r w:rsidRPr="00355478">
              <w:t xml:space="preserve">Proportion of adults who </w:t>
            </w:r>
            <w:r>
              <w:t>we</w:t>
            </w:r>
            <w:r w:rsidRPr="00355478">
              <w:t>re sufficiently physically active</w:t>
            </w:r>
          </w:p>
        </w:tc>
        <w:tc>
          <w:tcPr>
            <w:tcW w:w="1021" w:type="dxa"/>
            <w:tcBorders>
              <w:top w:val="single" w:sz="4" w:space="0" w:color="BFBFBF" w:themeColor="background1" w:themeShade="BF"/>
              <w:bottom w:val="single" w:sz="4" w:space="0" w:color="BFBFBF" w:themeColor="background1" w:themeShade="BF"/>
            </w:tcBorders>
          </w:tcPr>
          <w:p w14:paraId="736485FC" w14:textId="77777777" w:rsidR="000F4861" w:rsidRPr="00355478" w:rsidRDefault="000F4861" w:rsidP="00101E5D">
            <w:pPr>
              <w:pStyle w:val="ARtabletext"/>
            </w:pPr>
            <w:r w:rsidRPr="00355478">
              <w:t>52.9%</w:t>
            </w:r>
          </w:p>
        </w:tc>
        <w:tc>
          <w:tcPr>
            <w:tcW w:w="1021" w:type="dxa"/>
            <w:tcBorders>
              <w:top w:val="single" w:sz="4" w:space="0" w:color="BFBFBF" w:themeColor="background1" w:themeShade="BF"/>
              <w:bottom w:val="single" w:sz="4" w:space="0" w:color="BFBFBF" w:themeColor="background1" w:themeShade="BF"/>
            </w:tcBorders>
          </w:tcPr>
          <w:p w14:paraId="7274FD72" w14:textId="77777777" w:rsidR="000F4861" w:rsidRPr="00355478" w:rsidRDefault="000F4861" w:rsidP="00101E5D">
            <w:pPr>
              <w:pStyle w:val="ARtabletext"/>
            </w:pPr>
            <w:r w:rsidRPr="00355478">
              <w:t>51.1%</w:t>
            </w:r>
          </w:p>
        </w:tc>
        <w:tc>
          <w:tcPr>
            <w:tcW w:w="1021" w:type="dxa"/>
            <w:tcBorders>
              <w:top w:val="single" w:sz="4" w:space="0" w:color="BFBFBF" w:themeColor="background1" w:themeShade="BF"/>
              <w:bottom w:val="single" w:sz="4" w:space="0" w:color="BFBFBF" w:themeColor="background1" w:themeShade="BF"/>
            </w:tcBorders>
          </w:tcPr>
          <w:p w14:paraId="0D2BE3A5" w14:textId="30FEDCD6" w:rsidR="000F4861" w:rsidRPr="00CA6857" w:rsidRDefault="000F4861" w:rsidP="00101E5D">
            <w:pPr>
              <w:pStyle w:val="ARtabletext"/>
              <w:rPr>
                <w:vertAlign w:val="superscript"/>
              </w:rPr>
            </w:pPr>
            <w:r>
              <w:t>N/A</w:t>
            </w:r>
            <w:r w:rsidR="00EA328E">
              <w:t xml:space="preserve"> </w:t>
            </w:r>
            <w:r w:rsidR="0097727C">
              <w:rPr>
                <w:rStyle w:val="FootnoteReference"/>
              </w:rPr>
              <w:t>(</w:t>
            </w:r>
            <w:r w:rsidR="0097727C" w:rsidRPr="001A559C">
              <w:rPr>
                <w:rStyle w:val="FootnoteReference"/>
              </w:rPr>
              <w:footnoteReference w:id="6"/>
            </w:r>
            <w:r w:rsidR="0097727C">
              <w:rPr>
                <w:rStyle w:val="FootnoteReference"/>
              </w:rPr>
              <w:t>)</w:t>
            </w:r>
          </w:p>
        </w:tc>
        <w:tc>
          <w:tcPr>
            <w:tcW w:w="1021" w:type="dxa"/>
            <w:tcBorders>
              <w:top w:val="single" w:sz="4" w:space="0" w:color="BFBFBF" w:themeColor="background1" w:themeShade="BF"/>
              <w:bottom w:val="single" w:sz="4" w:space="0" w:color="BFBFBF" w:themeColor="background1" w:themeShade="BF"/>
            </w:tcBorders>
          </w:tcPr>
          <w:p w14:paraId="67C8F3B3" w14:textId="20135645" w:rsidR="000F4861" w:rsidRPr="00355478" w:rsidRDefault="008128DE" w:rsidP="00101E5D">
            <w:pPr>
              <w:pStyle w:val="ARtabletext"/>
            </w:pPr>
            <w:r>
              <w:t>N/A</w:t>
            </w:r>
            <w:r>
              <w:rPr>
                <w:vertAlign w:val="superscript"/>
              </w:rPr>
              <w:t>(a)</w:t>
            </w:r>
          </w:p>
        </w:tc>
      </w:tr>
      <w:tr w:rsidR="000F4861" w:rsidRPr="002029AF" w14:paraId="388E330E" w14:textId="77777777" w:rsidTr="00DB4DDE">
        <w:tc>
          <w:tcPr>
            <w:tcW w:w="9639" w:type="dxa"/>
            <w:gridSpan w:val="5"/>
            <w:tcBorders>
              <w:top w:val="single" w:sz="4" w:space="0" w:color="BFBFBF" w:themeColor="background1" w:themeShade="BF"/>
            </w:tcBorders>
          </w:tcPr>
          <w:p w14:paraId="06244596" w14:textId="7B25B0DF" w:rsidR="000F4861" w:rsidRPr="00355478" w:rsidRDefault="000F4861" w:rsidP="00101E5D">
            <w:pPr>
              <w:pStyle w:val="ARtablefootnote"/>
            </w:pPr>
            <w:r w:rsidRPr="00355478">
              <w:t>Source</w:t>
            </w:r>
            <w:r w:rsidR="006B1108">
              <w:t>s</w:t>
            </w:r>
            <w:r w:rsidRPr="00355478">
              <w:t xml:space="preserve">: </w:t>
            </w:r>
            <w:r w:rsidR="006B1108" w:rsidRPr="002029AF">
              <w:rPr>
                <w:rFonts w:eastAsia="Times"/>
              </w:rPr>
              <w:t>Internal departmental data</w:t>
            </w:r>
            <w:r w:rsidR="004F45C7">
              <w:rPr>
                <w:rFonts w:eastAsia="Times"/>
              </w:rPr>
              <w:t>;</w:t>
            </w:r>
            <w:r w:rsidRPr="00355478">
              <w:t xml:space="preserve"> Victorian Population Health Survey (VPHS)</w:t>
            </w:r>
          </w:p>
        </w:tc>
      </w:tr>
    </w:tbl>
    <w:p w14:paraId="54440AF0" w14:textId="77777777" w:rsidR="00603B69" w:rsidRDefault="00603B69" w:rsidP="00603B69">
      <w:pPr>
        <w:pStyle w:val="ARbody"/>
      </w:pPr>
    </w:p>
    <w:p w14:paraId="3F92DB21" w14:textId="2BCDB503" w:rsidR="00603B69" w:rsidRPr="00782BA6" w:rsidRDefault="00603B69" w:rsidP="00603B69">
      <w:pPr>
        <w:pStyle w:val="ARbody"/>
        <w:sectPr w:rsidR="00603B69" w:rsidRPr="00782BA6" w:rsidSect="000F4861">
          <w:footnotePr>
            <w:numFmt w:val="lowerLetter"/>
            <w:numRestart w:val="eachPage"/>
          </w:footnotePr>
          <w:endnotePr>
            <w:numFmt w:val="decimal"/>
          </w:endnotePr>
          <w:type w:val="continuous"/>
          <w:pgSz w:w="11900" w:h="16840" w:code="9"/>
          <w:pgMar w:top="1985" w:right="1134" w:bottom="851" w:left="1134" w:header="510" w:footer="340" w:gutter="0"/>
          <w:cols w:space="454"/>
          <w15:footnoteColumns w:val="1"/>
        </w:sectPr>
      </w:pPr>
    </w:p>
    <w:p w14:paraId="09D57226" w14:textId="4344C4A2" w:rsidR="00603B69" w:rsidRDefault="00603B69" w:rsidP="002B17E9">
      <w:pPr>
        <w:pStyle w:val="Heading3forTOC"/>
      </w:pPr>
      <w:bookmarkStart w:id="72" w:name="_Objective_2:_Victorians"/>
      <w:bookmarkStart w:id="73" w:name="_Ref104215194"/>
      <w:bookmarkStart w:id="74" w:name="_Toc113702911"/>
      <w:bookmarkStart w:id="75" w:name="Objective2"/>
      <w:bookmarkStart w:id="76" w:name="_Toc50383608"/>
      <w:bookmarkStart w:id="77" w:name="_Toc85121020"/>
      <w:bookmarkEnd w:id="72"/>
      <w:r>
        <w:lastRenderedPageBreak/>
        <w:t xml:space="preserve">Objective 2: </w:t>
      </w:r>
      <w:r w:rsidRPr="009D5CB5">
        <w:t xml:space="preserve">Victorians have good </w:t>
      </w:r>
      <w:r>
        <w:t>mental</w:t>
      </w:r>
      <w:r w:rsidRPr="009D5CB5">
        <w:t xml:space="preserve"> health</w:t>
      </w:r>
      <w:bookmarkEnd w:id="73"/>
      <w:bookmarkEnd w:id="74"/>
    </w:p>
    <w:bookmarkEnd w:id="75"/>
    <w:p w14:paraId="5C88D4F9" w14:textId="77777777" w:rsidR="00603B69" w:rsidRDefault="00603B69" w:rsidP="00164C10">
      <w:pPr>
        <w:pStyle w:val="ARintro"/>
      </w:pPr>
      <w:r w:rsidRPr="006F45E6">
        <w:t>This objective focuses on good mental health across the lifespan of all Victorians.</w:t>
      </w:r>
    </w:p>
    <w:p w14:paraId="085F4501" w14:textId="586B8BE3" w:rsidR="00603B69" w:rsidRDefault="001A6D41" w:rsidP="00603B69">
      <w:pPr>
        <w:pStyle w:val="ARintro"/>
      </w:pPr>
      <w:r>
        <w:t>Good m</w:t>
      </w:r>
      <w:r w:rsidR="00603B69" w:rsidRPr="006F45E6">
        <w:t xml:space="preserve">ental health is important </w:t>
      </w:r>
      <w:r>
        <w:t>for</w:t>
      </w:r>
      <w:r w:rsidR="00603B69" w:rsidRPr="006F45E6">
        <w:t xml:space="preserve"> the wellbeing of individuals and communities. </w:t>
      </w:r>
      <w:r w:rsidR="00603B69">
        <w:t xml:space="preserve">The department is leading action to reduce suicide rates, provide better access to services, promote positive mental health and wellbeing, and prevent mental illness. This includes leading the government’s response to </w:t>
      </w:r>
      <w:r w:rsidR="00603B69" w:rsidRPr="006F45E6">
        <w:t>the Royal Commission into Victoria's Mental Health System.</w:t>
      </w:r>
    </w:p>
    <w:p w14:paraId="49E6E418" w14:textId="2322D0F9" w:rsidR="00603B69" w:rsidRDefault="00603B69" w:rsidP="00603B69">
      <w:pPr>
        <w:pStyle w:val="ARintro"/>
      </w:pPr>
      <w:r w:rsidRPr="00D97EA7">
        <w:t>An effective, high</w:t>
      </w:r>
      <w:r w:rsidR="00CE4FBC">
        <w:t>-</w:t>
      </w:r>
      <w:r w:rsidRPr="00D97EA7">
        <w:t>quality mental health system for the community</w:t>
      </w:r>
      <w:r>
        <w:t xml:space="preserve"> is one of the department’s </w:t>
      </w:r>
      <w:r w:rsidR="002E11C3">
        <w:t>key</w:t>
      </w:r>
      <w:r w:rsidR="004B3D7E">
        <w:t> </w:t>
      </w:r>
      <w:r>
        <w:t>priorities.</w:t>
      </w:r>
    </w:p>
    <w:p w14:paraId="39C9576B" w14:textId="77777777" w:rsidR="00603B69" w:rsidRPr="00CF1ABC" w:rsidRDefault="00603B69" w:rsidP="00603B69">
      <w:pPr>
        <w:pStyle w:val="ARbody"/>
      </w:pPr>
    </w:p>
    <w:p w14:paraId="7C2B7085" w14:textId="77777777" w:rsidR="00603B69" w:rsidRDefault="00603B69" w:rsidP="00603B69">
      <w:pPr>
        <w:pStyle w:val="ARbody"/>
        <w:sectPr w:rsidR="00603B69" w:rsidSect="00603B69">
          <w:headerReference w:type="first" r:id="rId39"/>
          <w:footnotePr>
            <w:numFmt w:val="lowerLetter"/>
            <w:numRestart w:val="eachPage"/>
          </w:footnotePr>
          <w:endnotePr>
            <w:numFmt w:val="decimal"/>
          </w:endnotePr>
          <w:pgSz w:w="11900" w:h="16840" w:code="9"/>
          <w:pgMar w:top="1985" w:right="1134" w:bottom="851" w:left="1134" w:header="510" w:footer="340" w:gutter="0"/>
          <w:cols w:space="454"/>
          <w15:footnoteColumns w:val="1"/>
        </w:sectPr>
      </w:pPr>
    </w:p>
    <w:p w14:paraId="2988978D" w14:textId="77777777" w:rsidR="00603B69" w:rsidRDefault="00603B69" w:rsidP="00603B69">
      <w:pPr>
        <w:pStyle w:val="Heading4"/>
      </w:pPr>
      <w:r>
        <w:t>Objective indicators</w:t>
      </w:r>
    </w:p>
    <w:p w14:paraId="1DCD7C36" w14:textId="77777777" w:rsidR="00603B69" w:rsidRDefault="00603B69" w:rsidP="00603B69">
      <w:pPr>
        <w:pStyle w:val="Heading5"/>
      </w:pPr>
      <w:bookmarkStart w:id="78" w:name="_Reduce_the_suicide"/>
      <w:bookmarkEnd w:id="78"/>
      <w:r w:rsidRPr="00CD7391">
        <w:t>Reduce the suicide rate</w:t>
      </w:r>
    </w:p>
    <w:p w14:paraId="75826C36" w14:textId="2F0ED058" w:rsidR="005466E3" w:rsidRDefault="005466E3" w:rsidP="0033571B">
      <w:pPr>
        <w:pStyle w:val="ARbody"/>
      </w:pPr>
      <w:bookmarkStart w:id="79" w:name="_Aboriginal_and_Torres"/>
      <w:bookmarkEnd w:id="79"/>
      <w:r w:rsidRPr="005466E3">
        <w:t xml:space="preserve">The rate of suicide deaths in Victoria </w:t>
      </w:r>
      <w:r w:rsidR="001C1CBD">
        <w:t>has changed little</w:t>
      </w:r>
      <w:r w:rsidR="00CD7391">
        <w:t xml:space="preserve"> </w:t>
      </w:r>
      <w:r w:rsidR="006E1EDA">
        <w:t>in recent years</w:t>
      </w:r>
      <w:r w:rsidRPr="005466E3">
        <w:t xml:space="preserve">. In 2020 there </w:t>
      </w:r>
      <w:r w:rsidR="00BB0811">
        <w:t>w</w:t>
      </w:r>
      <w:r w:rsidRPr="005466E3">
        <w:t xml:space="preserve">ere 697 </w:t>
      </w:r>
      <w:r w:rsidR="00B9071A">
        <w:t xml:space="preserve">deaths </w:t>
      </w:r>
      <w:r w:rsidRPr="005466E3">
        <w:t>and in 2021 there were 699</w:t>
      </w:r>
      <w:r w:rsidR="00BB0811">
        <w:rPr>
          <w:rStyle w:val="FootnoteReference"/>
        </w:rPr>
        <w:t>(</w:t>
      </w:r>
      <w:r w:rsidR="00BB0811" w:rsidRPr="001A559C">
        <w:rPr>
          <w:rStyle w:val="FootnoteReference"/>
        </w:rPr>
        <w:footnoteReference w:id="7"/>
      </w:r>
      <w:r w:rsidR="00BB0811">
        <w:rPr>
          <w:rStyle w:val="FootnoteReference"/>
        </w:rPr>
        <w:t>)</w:t>
      </w:r>
      <w:r w:rsidRPr="005466E3">
        <w:t>.</w:t>
      </w:r>
      <w:r w:rsidR="006C70AC">
        <w:t xml:space="preserve"> We are </w:t>
      </w:r>
      <w:r w:rsidRPr="005466E3">
        <w:t>committed to reducing this</w:t>
      </w:r>
      <w:r w:rsidR="00B9071A">
        <w:t xml:space="preserve"> number</w:t>
      </w:r>
      <w:r w:rsidRPr="005466E3">
        <w:t>.</w:t>
      </w:r>
    </w:p>
    <w:p w14:paraId="6F705C40" w14:textId="7BEBDC5E" w:rsidR="0033571B" w:rsidRDefault="0033571B" w:rsidP="0033571B">
      <w:pPr>
        <w:pStyle w:val="ARbody"/>
      </w:pPr>
      <w:r>
        <w:t>The Coroners Court of Victoria (CCoV) manages the Victorian Suicide Register</w:t>
      </w:r>
      <w:r w:rsidR="00865202">
        <w:t>, which</w:t>
      </w:r>
      <w:r>
        <w:t xml:space="preserve"> contains detailed information about Victorians who die by </w:t>
      </w:r>
      <w:r w:rsidRPr="00865202">
        <w:t xml:space="preserve">suicide. Through data sharing arrangements with CCoV, </w:t>
      </w:r>
      <w:r w:rsidR="005D55A8" w:rsidRPr="00865202">
        <w:t xml:space="preserve">the department </w:t>
      </w:r>
      <w:r w:rsidRPr="00865202">
        <w:t>monitor</w:t>
      </w:r>
      <w:r w:rsidR="005D55A8" w:rsidRPr="00865202">
        <w:t>s</w:t>
      </w:r>
      <w:r w:rsidRPr="00865202">
        <w:t xml:space="preserve"> suicide rates, including rates in specific geographical areas and priority populations, </w:t>
      </w:r>
      <w:r w:rsidR="000A22CD" w:rsidRPr="00865202">
        <w:t xml:space="preserve">and </w:t>
      </w:r>
      <w:r w:rsidR="00865202" w:rsidRPr="008C2F67">
        <w:t xml:space="preserve">uses </w:t>
      </w:r>
      <w:r w:rsidR="000A22CD" w:rsidRPr="00865202">
        <w:t>the insights gained to develop evidence-based prevention and response initiatives.</w:t>
      </w:r>
      <w:r w:rsidR="00865202">
        <w:t xml:space="preserve"> </w:t>
      </w:r>
      <w:r w:rsidR="00865202" w:rsidRPr="00865202">
        <w:t>This work places Victoria in a strong position</w:t>
      </w:r>
      <w:r w:rsidR="00CB4C10">
        <w:t xml:space="preserve"> in the struggle to reduce the rates of suicide in this state</w:t>
      </w:r>
      <w:r w:rsidR="008548F0">
        <w:t>.</w:t>
      </w:r>
    </w:p>
    <w:p w14:paraId="72F0AAD4" w14:textId="77777777" w:rsidR="00603B69" w:rsidRPr="00AA54F0" w:rsidRDefault="00603B69" w:rsidP="00603B69">
      <w:pPr>
        <w:pStyle w:val="Heading6"/>
        <w:rPr>
          <w:rFonts w:eastAsia="Arial"/>
        </w:rPr>
      </w:pPr>
      <w:bookmarkStart w:id="80" w:name="_Aboriginal_and_Torres_1"/>
      <w:bookmarkEnd w:id="80"/>
      <w:r w:rsidRPr="00AA54F0">
        <w:rPr>
          <w:rFonts w:eastAsia="Arial"/>
        </w:rPr>
        <w:t>Aboriginal and Torres Strait Islander suicide</w:t>
      </w:r>
    </w:p>
    <w:p w14:paraId="3AF753F1" w14:textId="37E36EAA" w:rsidR="003F0283" w:rsidRDefault="00603B69" w:rsidP="001A559C">
      <w:pPr>
        <w:pStyle w:val="ARbody"/>
      </w:pPr>
      <w:r w:rsidRPr="00AA54F0">
        <w:rPr>
          <w:rFonts w:eastAsia="Arial"/>
          <w:szCs w:val="20"/>
        </w:rPr>
        <w:t xml:space="preserve">On 20 January 2022, CCoV released the </w:t>
      </w:r>
      <w:r w:rsidRPr="00AA54F0">
        <w:rPr>
          <w:rFonts w:eastAsia="Arial"/>
          <w:i/>
          <w:iCs/>
          <w:szCs w:val="20"/>
        </w:rPr>
        <w:t>Suicides of Aboriginal and Torres Strait Islander people, Victoria 201</w:t>
      </w:r>
      <w:r w:rsidR="005E4358">
        <w:rPr>
          <w:rFonts w:eastAsia="Arial"/>
          <w:i/>
          <w:iCs/>
          <w:szCs w:val="20"/>
        </w:rPr>
        <w:t>8–</w:t>
      </w:r>
      <w:r w:rsidRPr="00AA54F0">
        <w:rPr>
          <w:rFonts w:eastAsia="Arial"/>
          <w:i/>
          <w:iCs/>
          <w:szCs w:val="20"/>
        </w:rPr>
        <w:t>21</w:t>
      </w:r>
      <w:r w:rsidRPr="00AA54F0">
        <w:rPr>
          <w:rFonts w:eastAsia="Arial"/>
          <w:szCs w:val="20"/>
        </w:rPr>
        <w:t xml:space="preserve"> report. The report showed that although </w:t>
      </w:r>
      <w:r w:rsidR="000D1EC2">
        <w:rPr>
          <w:rFonts w:eastAsia="Arial"/>
          <w:szCs w:val="20"/>
        </w:rPr>
        <w:t xml:space="preserve">the </w:t>
      </w:r>
      <w:r w:rsidRPr="00AA54F0">
        <w:rPr>
          <w:rFonts w:eastAsia="Arial"/>
          <w:szCs w:val="20"/>
        </w:rPr>
        <w:t xml:space="preserve">overall </w:t>
      </w:r>
      <w:r w:rsidR="000D1EC2">
        <w:rPr>
          <w:rFonts w:eastAsia="Arial"/>
          <w:szCs w:val="20"/>
        </w:rPr>
        <w:t xml:space="preserve">number of </w:t>
      </w:r>
      <w:r w:rsidRPr="00AA54F0">
        <w:rPr>
          <w:rFonts w:eastAsia="Arial"/>
          <w:szCs w:val="20"/>
        </w:rPr>
        <w:t>suicides remained stable in Victoria in 2021, there was a 75 per cent increase in the number of suicides of Aboriginal and Torres Strait Islander people, with 35 suicides in 2021, compared to 20 in 2020.</w:t>
      </w:r>
    </w:p>
    <w:p w14:paraId="1037E8D3" w14:textId="6648003D" w:rsidR="003F0283" w:rsidRDefault="00603B69" w:rsidP="001A559C">
      <w:pPr>
        <w:pStyle w:val="ARbody"/>
      </w:pPr>
      <w:r w:rsidRPr="00AA54F0">
        <w:rPr>
          <w:rFonts w:eastAsia="Arial"/>
          <w:szCs w:val="20"/>
        </w:rPr>
        <w:t>The Victorian Aboriginal Community Controlled Health Organisation (VACCHO), in partnership with</w:t>
      </w:r>
      <w:r w:rsidR="004B3D7E">
        <w:rPr>
          <w:rFonts w:eastAsia="Arial"/>
          <w:szCs w:val="20"/>
        </w:rPr>
        <w:t> </w:t>
      </w:r>
      <w:r w:rsidRPr="00AA54F0">
        <w:rPr>
          <w:rFonts w:eastAsia="Arial"/>
          <w:szCs w:val="20"/>
        </w:rPr>
        <w:t xml:space="preserve">the </w:t>
      </w:r>
      <w:r w:rsidR="000D1EC2">
        <w:rPr>
          <w:rFonts w:eastAsia="Arial"/>
          <w:szCs w:val="20"/>
        </w:rPr>
        <w:t xml:space="preserve">department’s </w:t>
      </w:r>
      <w:r w:rsidRPr="00AA54F0">
        <w:rPr>
          <w:rFonts w:eastAsia="Arial"/>
          <w:szCs w:val="20"/>
        </w:rPr>
        <w:t xml:space="preserve">Mental Health and Wellbeing </w:t>
      </w:r>
      <w:r w:rsidR="0033571B">
        <w:rPr>
          <w:rFonts w:eastAsia="Arial"/>
          <w:szCs w:val="20"/>
        </w:rPr>
        <w:t>d</w:t>
      </w:r>
      <w:r w:rsidRPr="00AA54F0">
        <w:rPr>
          <w:rFonts w:eastAsia="Arial"/>
          <w:szCs w:val="20"/>
        </w:rPr>
        <w:t xml:space="preserve">ivision and the Coroners Koori Engagement Unit, </w:t>
      </w:r>
      <w:r w:rsidR="00EB5AAC">
        <w:rPr>
          <w:rFonts w:eastAsia="Arial"/>
          <w:szCs w:val="20"/>
        </w:rPr>
        <w:t>is</w:t>
      </w:r>
      <w:r w:rsidRPr="00AA54F0">
        <w:rPr>
          <w:rFonts w:eastAsia="Arial"/>
          <w:szCs w:val="20"/>
        </w:rPr>
        <w:t xml:space="preserve"> coordinating an Aboriginal-</w:t>
      </w:r>
      <w:r w:rsidRPr="00EB5AAC">
        <w:rPr>
          <w:rFonts w:eastAsia="Arial"/>
          <w:szCs w:val="20"/>
        </w:rPr>
        <w:t>led co-design process to develop a self-determined suicide prevention strategy. The 202</w:t>
      </w:r>
      <w:r w:rsidR="005E4358" w:rsidRPr="00EB5AAC">
        <w:rPr>
          <w:rFonts w:eastAsia="Arial"/>
          <w:szCs w:val="20"/>
        </w:rPr>
        <w:t>2–</w:t>
      </w:r>
      <w:r w:rsidRPr="00EB5AAC">
        <w:rPr>
          <w:rFonts w:eastAsia="Arial"/>
          <w:szCs w:val="20"/>
        </w:rPr>
        <w:t>23 State Budget includes $3.5</w:t>
      </w:r>
      <w:r w:rsidR="009251DF">
        <w:rPr>
          <w:rFonts w:eastAsia="Arial"/>
          <w:szCs w:val="20"/>
        </w:rPr>
        <w:t> </w:t>
      </w:r>
      <w:r w:rsidRPr="00EB5AAC">
        <w:rPr>
          <w:rFonts w:eastAsia="Arial"/>
          <w:szCs w:val="20"/>
        </w:rPr>
        <w:t xml:space="preserve">million over two years </w:t>
      </w:r>
      <w:r w:rsidR="000D1EC2" w:rsidRPr="00EB5AAC">
        <w:rPr>
          <w:rFonts w:eastAsia="Arial"/>
          <w:szCs w:val="20"/>
        </w:rPr>
        <w:t>to support these</w:t>
      </w:r>
      <w:r w:rsidRPr="00EB5AAC">
        <w:rPr>
          <w:rFonts w:eastAsia="Arial"/>
          <w:szCs w:val="20"/>
        </w:rPr>
        <w:t xml:space="preserve"> initiatives</w:t>
      </w:r>
      <w:r w:rsidRPr="00AA54F0">
        <w:rPr>
          <w:rFonts w:eastAsia="Arial"/>
          <w:szCs w:val="20"/>
        </w:rPr>
        <w:t>.</w:t>
      </w:r>
    </w:p>
    <w:p w14:paraId="11B845EC" w14:textId="11997768" w:rsidR="00603B69" w:rsidRPr="00AA54F0" w:rsidRDefault="00603B69" w:rsidP="001A559C">
      <w:pPr>
        <w:pStyle w:val="ARbody"/>
      </w:pPr>
      <w:r w:rsidRPr="00AA54F0">
        <w:rPr>
          <w:rFonts w:eastAsia="Arial"/>
          <w:szCs w:val="20"/>
        </w:rPr>
        <w:t>Th</w:t>
      </w:r>
      <w:r w:rsidR="005A7F75">
        <w:rPr>
          <w:rFonts w:eastAsia="Arial"/>
          <w:szCs w:val="20"/>
        </w:rPr>
        <w:t>is</w:t>
      </w:r>
      <w:r w:rsidRPr="00AA54F0">
        <w:rPr>
          <w:rFonts w:eastAsia="Arial"/>
          <w:szCs w:val="20"/>
        </w:rPr>
        <w:t xml:space="preserve"> funding will also support an in-depth analysis of Aboriginal suicides in Victoria, as well as a review to improve real-time surveillance and response </w:t>
      </w:r>
      <w:r w:rsidR="005A7F75">
        <w:rPr>
          <w:rFonts w:eastAsia="Arial"/>
          <w:szCs w:val="20"/>
        </w:rPr>
        <w:t>through a</w:t>
      </w:r>
      <w:r w:rsidR="005A7F75" w:rsidRPr="00AA54F0">
        <w:rPr>
          <w:rFonts w:eastAsia="Arial"/>
          <w:szCs w:val="20"/>
        </w:rPr>
        <w:t xml:space="preserve"> </w:t>
      </w:r>
      <w:r w:rsidRPr="00AA54F0">
        <w:rPr>
          <w:rFonts w:eastAsia="Arial"/>
          <w:szCs w:val="20"/>
        </w:rPr>
        <w:t xml:space="preserve">partnership </w:t>
      </w:r>
      <w:r w:rsidR="005A7F75">
        <w:rPr>
          <w:rFonts w:eastAsia="Arial"/>
          <w:szCs w:val="20"/>
        </w:rPr>
        <w:t>between</w:t>
      </w:r>
      <w:r w:rsidR="005A7F75" w:rsidRPr="00AA54F0">
        <w:rPr>
          <w:rFonts w:eastAsia="Arial"/>
          <w:szCs w:val="20"/>
        </w:rPr>
        <w:t xml:space="preserve"> </w:t>
      </w:r>
      <w:r w:rsidRPr="00AA54F0">
        <w:rPr>
          <w:rFonts w:eastAsia="Arial"/>
          <w:szCs w:val="20"/>
        </w:rPr>
        <w:t xml:space="preserve">the </w:t>
      </w:r>
      <w:r w:rsidR="00785EF6">
        <w:rPr>
          <w:rFonts w:eastAsia="Arial"/>
          <w:szCs w:val="20"/>
        </w:rPr>
        <w:t>C</w:t>
      </w:r>
      <w:r w:rsidR="00E729F3">
        <w:rPr>
          <w:rFonts w:eastAsia="Arial"/>
          <w:szCs w:val="20"/>
        </w:rPr>
        <w:t>C</w:t>
      </w:r>
      <w:r w:rsidR="00785EF6">
        <w:rPr>
          <w:rFonts w:eastAsia="Arial"/>
          <w:szCs w:val="20"/>
        </w:rPr>
        <w:t>oV</w:t>
      </w:r>
      <w:r w:rsidR="003D0AF1">
        <w:rPr>
          <w:rFonts w:eastAsia="Arial"/>
          <w:szCs w:val="20"/>
        </w:rPr>
        <w:t> </w:t>
      </w:r>
      <w:r w:rsidRPr="00AA54F0">
        <w:rPr>
          <w:rFonts w:eastAsia="Arial"/>
          <w:szCs w:val="20"/>
        </w:rPr>
        <w:t>and VACCHO.</w:t>
      </w:r>
    </w:p>
    <w:p w14:paraId="0CA7CF31" w14:textId="49D9674D" w:rsidR="00603B69" w:rsidRPr="00AA54F0" w:rsidRDefault="00603B69" w:rsidP="00603B69">
      <w:pPr>
        <w:pStyle w:val="Heading6"/>
        <w:rPr>
          <w:rFonts w:eastAsia="Arial"/>
        </w:rPr>
      </w:pPr>
      <w:r w:rsidRPr="00AA54F0">
        <w:rPr>
          <w:rFonts w:eastAsia="Arial"/>
        </w:rPr>
        <w:t>Suicide Prevention and Response Office</w:t>
      </w:r>
    </w:p>
    <w:p w14:paraId="1CC43955" w14:textId="25ABDEDC" w:rsidR="00603B69" w:rsidRPr="00AA54F0" w:rsidRDefault="00603B69" w:rsidP="001A559C">
      <w:pPr>
        <w:pStyle w:val="ARbody"/>
      </w:pPr>
      <w:r w:rsidRPr="00AA54F0">
        <w:rPr>
          <w:rFonts w:eastAsia="Arial"/>
          <w:szCs w:val="20"/>
        </w:rPr>
        <w:t>The R</w:t>
      </w:r>
      <w:r w:rsidR="000C458C">
        <w:rPr>
          <w:rFonts w:eastAsia="Arial"/>
          <w:szCs w:val="20"/>
        </w:rPr>
        <w:t xml:space="preserve">oyal </w:t>
      </w:r>
      <w:r w:rsidRPr="00AA54F0">
        <w:rPr>
          <w:rFonts w:eastAsia="Arial"/>
          <w:szCs w:val="20"/>
        </w:rPr>
        <w:t>C</w:t>
      </w:r>
      <w:r w:rsidR="000C458C">
        <w:rPr>
          <w:rFonts w:eastAsia="Arial"/>
          <w:szCs w:val="20"/>
        </w:rPr>
        <w:t xml:space="preserve">ommission into </w:t>
      </w:r>
      <w:r w:rsidRPr="00AA54F0">
        <w:rPr>
          <w:rFonts w:eastAsia="Arial"/>
          <w:szCs w:val="20"/>
        </w:rPr>
        <w:t>V</w:t>
      </w:r>
      <w:r w:rsidR="000C458C">
        <w:rPr>
          <w:rFonts w:eastAsia="Arial"/>
          <w:szCs w:val="20"/>
        </w:rPr>
        <w:t xml:space="preserve">ictoria’s </w:t>
      </w:r>
      <w:r w:rsidRPr="00AA54F0">
        <w:rPr>
          <w:rFonts w:eastAsia="Arial"/>
          <w:szCs w:val="20"/>
        </w:rPr>
        <w:t>M</w:t>
      </w:r>
      <w:r w:rsidR="000C458C">
        <w:rPr>
          <w:rFonts w:eastAsia="Arial"/>
          <w:szCs w:val="20"/>
        </w:rPr>
        <w:t xml:space="preserve">ental </w:t>
      </w:r>
      <w:r w:rsidRPr="00AA54F0">
        <w:rPr>
          <w:rFonts w:eastAsia="Arial"/>
          <w:szCs w:val="20"/>
        </w:rPr>
        <w:t>H</w:t>
      </w:r>
      <w:r w:rsidR="000C458C">
        <w:rPr>
          <w:rFonts w:eastAsia="Arial"/>
          <w:szCs w:val="20"/>
        </w:rPr>
        <w:t xml:space="preserve">ealth </w:t>
      </w:r>
      <w:r w:rsidRPr="00AA54F0">
        <w:rPr>
          <w:rFonts w:eastAsia="Arial"/>
          <w:szCs w:val="20"/>
        </w:rPr>
        <w:t>S</w:t>
      </w:r>
      <w:r w:rsidR="000C458C">
        <w:rPr>
          <w:rFonts w:eastAsia="Arial"/>
          <w:szCs w:val="20"/>
        </w:rPr>
        <w:t>ystem</w:t>
      </w:r>
      <w:r w:rsidRPr="00AA54F0">
        <w:rPr>
          <w:rFonts w:eastAsia="Arial"/>
          <w:szCs w:val="20"/>
        </w:rPr>
        <w:t xml:space="preserve"> final report recommended the establishment of a suicide prevention and response</w:t>
      </w:r>
      <w:r w:rsidR="003D0AF1">
        <w:rPr>
          <w:rFonts w:eastAsia="Arial"/>
          <w:szCs w:val="20"/>
        </w:rPr>
        <w:t> </w:t>
      </w:r>
      <w:r w:rsidRPr="00AA54F0">
        <w:rPr>
          <w:rFonts w:eastAsia="Arial"/>
          <w:szCs w:val="20"/>
        </w:rPr>
        <w:t xml:space="preserve">office within the department led by a State Suicide Prevention and Response Adviser (Recommendation 26). The office was established </w:t>
      </w:r>
      <w:r w:rsidR="006242C1">
        <w:rPr>
          <w:rFonts w:eastAsia="Arial"/>
          <w:szCs w:val="20"/>
        </w:rPr>
        <w:t>on 1 July</w:t>
      </w:r>
      <w:r w:rsidRPr="00AA54F0">
        <w:rPr>
          <w:rFonts w:eastAsia="Arial"/>
          <w:szCs w:val="20"/>
        </w:rPr>
        <w:t xml:space="preserve"> 2022 with the appointment of the State Adviser. The office will:</w:t>
      </w:r>
    </w:p>
    <w:p w14:paraId="2ED84400" w14:textId="77777777" w:rsidR="00603B69" w:rsidRPr="00AA54F0" w:rsidRDefault="00603B69" w:rsidP="008D0BAF">
      <w:pPr>
        <w:pStyle w:val="ARbullet1"/>
      </w:pPr>
      <w:r w:rsidRPr="00AA54F0">
        <w:t>take a system-based approach to suicide prevention and response efforts</w:t>
      </w:r>
    </w:p>
    <w:p w14:paraId="39B590D6" w14:textId="77777777" w:rsidR="00603B69" w:rsidRPr="00AA54F0" w:rsidRDefault="00603B69" w:rsidP="008D0BAF">
      <w:pPr>
        <w:pStyle w:val="ARbullet1"/>
      </w:pPr>
      <w:r w:rsidRPr="00AA54F0">
        <w:t>work with people with lived experience of suicidal behaviour, family members and carers, and people with lived experience of bereavement by suicide to co-produce, implement and monitor a new suicide prevention and response strategy for Victoria</w:t>
      </w:r>
    </w:p>
    <w:p w14:paraId="05823D9C" w14:textId="3601145D" w:rsidR="00603B69" w:rsidRPr="00AA54F0" w:rsidRDefault="00603B69" w:rsidP="008D0BAF">
      <w:pPr>
        <w:pStyle w:val="ARbullet1"/>
      </w:pPr>
      <w:r w:rsidRPr="00AA54F0">
        <w:t xml:space="preserve">work with the Commonwealth Government to ensure suicide prevention and response efforts in Victoria </w:t>
      </w:r>
      <w:r w:rsidR="00FC101B" w:rsidRPr="00AA54F0">
        <w:t xml:space="preserve">complement </w:t>
      </w:r>
      <w:r w:rsidR="00FC101B">
        <w:t xml:space="preserve">and </w:t>
      </w:r>
      <w:r w:rsidRPr="00AA54F0">
        <w:t>are coordinated with national approaches</w:t>
      </w:r>
    </w:p>
    <w:p w14:paraId="7082314E" w14:textId="77777777" w:rsidR="00603B69" w:rsidRPr="00AA54F0" w:rsidRDefault="00603B69" w:rsidP="008D0BAF">
      <w:pPr>
        <w:pStyle w:val="ARbullet1"/>
      </w:pPr>
      <w:r w:rsidRPr="00AA54F0">
        <w:t>facilitate a community-wide and government-wide approach to suicide prevention and response efforts</w:t>
      </w:r>
    </w:p>
    <w:p w14:paraId="4DAA80E9" w14:textId="77777777" w:rsidR="00603B69" w:rsidRPr="00AA54F0" w:rsidRDefault="00603B69" w:rsidP="008D0BAF">
      <w:pPr>
        <w:pStyle w:val="ARbullet1"/>
      </w:pPr>
      <w:r w:rsidRPr="00AA54F0">
        <w:t>work within governance structures that encompass all Victorian Government departments and relevant agencies</w:t>
      </w:r>
    </w:p>
    <w:p w14:paraId="212042FD" w14:textId="5FA99126" w:rsidR="00603B69" w:rsidRPr="00AA54F0" w:rsidRDefault="00603B69" w:rsidP="008D0BAF">
      <w:pPr>
        <w:pStyle w:val="ARbullet1"/>
      </w:pPr>
      <w:r w:rsidRPr="00AA54F0">
        <w:t>employ people with lived experience of suicidal behaviour, family members and carers, and people with lived experience of bereavement by</w:t>
      </w:r>
      <w:r w:rsidR="003D0AF1">
        <w:t> </w:t>
      </w:r>
      <w:r w:rsidRPr="00AA54F0">
        <w:t>suicide.</w:t>
      </w:r>
    </w:p>
    <w:p w14:paraId="11BD986C" w14:textId="1FD5AC4B" w:rsidR="00603B69" w:rsidRPr="00AA54F0" w:rsidRDefault="00603B69" w:rsidP="001A559C">
      <w:pPr>
        <w:pStyle w:val="ARbodyafterbullets"/>
      </w:pPr>
      <w:r w:rsidRPr="00AA54F0">
        <w:t xml:space="preserve">The </w:t>
      </w:r>
      <w:r w:rsidR="000E6C4D">
        <w:t>Royal Commission</w:t>
      </w:r>
      <w:r w:rsidR="000E6C4D" w:rsidRPr="00AA54F0">
        <w:t xml:space="preserve"> </w:t>
      </w:r>
      <w:r w:rsidRPr="00AA54F0">
        <w:t>also recommended government-wide governance structures to elevate suicide prevention and response across all decision</w:t>
      </w:r>
      <w:r w:rsidR="00E209C9">
        <w:t xml:space="preserve"> </w:t>
      </w:r>
      <w:r w:rsidRPr="00AA54F0">
        <w:t>making</w:t>
      </w:r>
      <w:r w:rsidR="008B5DD2">
        <w:t xml:space="preserve"> (</w:t>
      </w:r>
      <w:r w:rsidRPr="00AA54F0">
        <w:t>Recommendation 46.2.b). A Suicide Prevention and Response Victorian Secretaries Board Subcommittee was established in April 2022 to provide oversight and accountability for suicide prevention and response outcomes. Membership of</w:t>
      </w:r>
      <w:r w:rsidR="004B3D7E">
        <w:t> </w:t>
      </w:r>
      <w:r w:rsidRPr="00AA54F0">
        <w:t xml:space="preserve">the </w:t>
      </w:r>
      <w:r w:rsidR="004634BC">
        <w:t>s</w:t>
      </w:r>
      <w:r w:rsidRPr="00AA54F0">
        <w:t xml:space="preserve">ubcommittee includes senior executives from all Victorian Government departments, the Coroners Court of Victoria, WorkSafe </w:t>
      </w:r>
      <w:r w:rsidR="004634BC">
        <w:t xml:space="preserve">Victoria </w:t>
      </w:r>
      <w:r w:rsidRPr="00AA54F0">
        <w:t>and</w:t>
      </w:r>
      <w:r w:rsidR="004B3D7E">
        <w:t> </w:t>
      </w:r>
      <w:r w:rsidRPr="00AA54F0">
        <w:t>Victoria Police.</w:t>
      </w:r>
    </w:p>
    <w:p w14:paraId="318D2E0B" w14:textId="633F85BF" w:rsidR="00603B69" w:rsidRPr="00AA54F0" w:rsidRDefault="00603B69" w:rsidP="00603B69">
      <w:pPr>
        <w:pStyle w:val="Heading6"/>
        <w:rPr>
          <w:rFonts w:eastAsia="Arial"/>
        </w:rPr>
      </w:pPr>
      <w:r w:rsidRPr="00AA54F0">
        <w:rPr>
          <w:rFonts w:eastAsia="Arial"/>
        </w:rPr>
        <w:t xml:space="preserve">Aftercare – Hospital Outreach </w:t>
      </w:r>
      <w:r w:rsidR="004B3D7E">
        <w:rPr>
          <w:rFonts w:eastAsia="Arial"/>
        </w:rPr>
        <w:br/>
      </w:r>
      <w:r w:rsidRPr="00AA54F0">
        <w:rPr>
          <w:rFonts w:eastAsia="Arial"/>
        </w:rPr>
        <w:t>Post-Suicidal Engagement (HOPE)</w:t>
      </w:r>
    </w:p>
    <w:p w14:paraId="09DE5DA0" w14:textId="30CAA69C" w:rsidR="003F0283" w:rsidRDefault="00603B69" w:rsidP="001A559C">
      <w:pPr>
        <w:pStyle w:val="ARbody"/>
      </w:pPr>
      <w:r w:rsidRPr="00AA54F0">
        <w:rPr>
          <w:rFonts w:eastAsia="Arial"/>
          <w:szCs w:val="20"/>
        </w:rPr>
        <w:t>The HOPE initiative provides practical, tailored and</w:t>
      </w:r>
      <w:r w:rsidR="004B3D7E">
        <w:rPr>
          <w:rFonts w:eastAsia="Arial"/>
          <w:szCs w:val="20"/>
        </w:rPr>
        <w:t> </w:t>
      </w:r>
      <w:r w:rsidRPr="00AA54F0">
        <w:rPr>
          <w:rFonts w:eastAsia="Arial"/>
          <w:szCs w:val="20"/>
        </w:rPr>
        <w:t xml:space="preserve">accessible psychosocial support and outreach for people following a suicide attempt </w:t>
      </w:r>
      <w:r w:rsidR="004634BC">
        <w:rPr>
          <w:rFonts w:eastAsia="Arial"/>
          <w:szCs w:val="20"/>
        </w:rPr>
        <w:t xml:space="preserve">or </w:t>
      </w:r>
      <w:r w:rsidRPr="00AA54F0">
        <w:rPr>
          <w:rFonts w:eastAsia="Arial"/>
          <w:szCs w:val="20"/>
        </w:rPr>
        <w:t>serious planning</w:t>
      </w:r>
      <w:r w:rsidR="004634BC">
        <w:rPr>
          <w:rFonts w:eastAsia="Arial"/>
          <w:szCs w:val="20"/>
        </w:rPr>
        <w:t xml:space="preserve"> for suicide</w:t>
      </w:r>
      <w:r w:rsidRPr="00AA54F0">
        <w:rPr>
          <w:rFonts w:eastAsia="Arial"/>
          <w:szCs w:val="20"/>
        </w:rPr>
        <w:t xml:space="preserve">. Since its establishment in 2017, HOPE has already supported over 4,500 </w:t>
      </w:r>
      <w:r w:rsidR="006B5167">
        <w:rPr>
          <w:rFonts w:eastAsia="Arial"/>
          <w:szCs w:val="20"/>
        </w:rPr>
        <w:t>Victorians</w:t>
      </w:r>
      <w:r w:rsidRPr="00AA54F0">
        <w:rPr>
          <w:rFonts w:eastAsia="Arial"/>
          <w:szCs w:val="20"/>
        </w:rPr>
        <w:t xml:space="preserve"> in their recovery journeys.</w:t>
      </w:r>
    </w:p>
    <w:p w14:paraId="09179B91" w14:textId="0E64B990" w:rsidR="00603B69" w:rsidRPr="00AA54F0" w:rsidRDefault="006B5167" w:rsidP="001A559C">
      <w:pPr>
        <w:pStyle w:val="ARbody"/>
      </w:pPr>
      <w:r>
        <w:rPr>
          <w:rFonts w:eastAsia="Arial"/>
          <w:szCs w:val="20"/>
        </w:rPr>
        <w:t>As part of the department</w:t>
      </w:r>
      <w:r w:rsidR="005B318F">
        <w:rPr>
          <w:rFonts w:eastAsia="Arial"/>
          <w:szCs w:val="20"/>
        </w:rPr>
        <w:t>’</w:t>
      </w:r>
      <w:r>
        <w:rPr>
          <w:rFonts w:eastAsia="Arial"/>
          <w:szCs w:val="20"/>
        </w:rPr>
        <w:t>s mental health reform and investment program</w:t>
      </w:r>
      <w:r w:rsidR="00603B69" w:rsidRPr="00AA54F0">
        <w:rPr>
          <w:rFonts w:eastAsia="Arial"/>
          <w:szCs w:val="20"/>
        </w:rPr>
        <w:t>, HOPE has been expanded from 12 sites to 21 sites</w:t>
      </w:r>
      <w:r>
        <w:rPr>
          <w:rFonts w:eastAsia="Arial"/>
          <w:szCs w:val="20"/>
        </w:rPr>
        <w:t>. R</w:t>
      </w:r>
      <w:r w:rsidR="00603B69" w:rsidRPr="00AA54F0">
        <w:rPr>
          <w:rFonts w:eastAsia="Arial"/>
          <w:szCs w:val="20"/>
        </w:rPr>
        <w:t>egional HOPE teams are providing outreach to nine sub</w:t>
      </w:r>
      <w:r w:rsidR="004634BC">
        <w:rPr>
          <w:rFonts w:eastAsia="Arial"/>
          <w:szCs w:val="20"/>
        </w:rPr>
        <w:t>-</w:t>
      </w:r>
      <w:r w:rsidR="00603B69" w:rsidRPr="00AA54F0">
        <w:rPr>
          <w:rFonts w:eastAsia="Arial"/>
          <w:szCs w:val="20"/>
        </w:rPr>
        <w:t>regional areas</w:t>
      </w:r>
      <w:r w:rsidR="004634BC">
        <w:rPr>
          <w:rFonts w:eastAsia="Arial"/>
          <w:szCs w:val="20"/>
        </w:rPr>
        <w:t>,</w:t>
      </w:r>
      <w:r w:rsidR="00603B69" w:rsidRPr="00AA54F0">
        <w:rPr>
          <w:rFonts w:eastAsia="Arial"/>
          <w:szCs w:val="20"/>
        </w:rPr>
        <w:t xml:space="preserve"> and HOPE sites are progressively implementing expanded referral pathways into HOPE </w:t>
      </w:r>
      <w:r>
        <w:rPr>
          <w:rFonts w:eastAsia="Arial"/>
          <w:szCs w:val="20"/>
        </w:rPr>
        <w:t>with services</w:t>
      </w:r>
      <w:r w:rsidR="00603B69" w:rsidRPr="00AA54F0">
        <w:rPr>
          <w:rFonts w:eastAsia="Arial"/>
          <w:szCs w:val="20"/>
        </w:rPr>
        <w:t xml:space="preserve"> outside standard business hours.</w:t>
      </w:r>
    </w:p>
    <w:p w14:paraId="67A2ED56" w14:textId="3079B829" w:rsidR="00867412" w:rsidRDefault="001C01D8" w:rsidP="00867412">
      <w:pPr>
        <w:pStyle w:val="ARbody"/>
      </w:pPr>
      <w:r>
        <w:rPr>
          <w:rFonts w:eastAsia="Arial"/>
          <w:szCs w:val="20"/>
        </w:rPr>
        <w:t>A</w:t>
      </w:r>
      <w:r w:rsidR="00867412" w:rsidRPr="001C01D8">
        <w:rPr>
          <w:rFonts w:eastAsia="Arial"/>
          <w:szCs w:val="20"/>
        </w:rPr>
        <w:t xml:space="preserve"> new HOPE service specifically for children and</w:t>
      </w:r>
      <w:r w:rsidR="003D0AF1">
        <w:rPr>
          <w:rFonts w:eastAsia="Arial"/>
          <w:szCs w:val="20"/>
        </w:rPr>
        <w:t> </w:t>
      </w:r>
      <w:r w:rsidR="00867412" w:rsidRPr="001C01D8">
        <w:rPr>
          <w:rFonts w:eastAsia="Arial"/>
          <w:szCs w:val="20"/>
        </w:rPr>
        <w:t>young people</w:t>
      </w:r>
      <w:r w:rsidRPr="001C01D8">
        <w:rPr>
          <w:rFonts w:eastAsia="Arial"/>
          <w:szCs w:val="20"/>
        </w:rPr>
        <w:t>,</w:t>
      </w:r>
      <w:r>
        <w:rPr>
          <w:rFonts w:eastAsia="Arial"/>
          <w:szCs w:val="20"/>
        </w:rPr>
        <w:t xml:space="preserve"> and codesigned by them and their families,</w:t>
      </w:r>
      <w:r w:rsidR="00867412" w:rsidRPr="00AA54F0">
        <w:rPr>
          <w:rFonts w:eastAsia="Arial"/>
          <w:szCs w:val="20"/>
        </w:rPr>
        <w:t xml:space="preserve"> </w:t>
      </w:r>
      <w:r w:rsidR="00867412">
        <w:rPr>
          <w:rFonts w:eastAsia="Arial"/>
          <w:szCs w:val="20"/>
        </w:rPr>
        <w:t>has also been</w:t>
      </w:r>
      <w:r w:rsidR="00867412" w:rsidRPr="00AA54F0">
        <w:rPr>
          <w:rFonts w:eastAsia="Arial"/>
          <w:szCs w:val="20"/>
        </w:rPr>
        <w:t xml:space="preserve"> established at four sites. </w:t>
      </w:r>
      <w:r w:rsidR="00867412">
        <w:rPr>
          <w:rFonts w:eastAsia="Arial"/>
          <w:szCs w:val="20"/>
        </w:rPr>
        <w:t xml:space="preserve">The department is looking </w:t>
      </w:r>
      <w:r w:rsidR="00867412" w:rsidRPr="001C01D8">
        <w:rPr>
          <w:rFonts w:eastAsia="Arial"/>
          <w:szCs w:val="20"/>
        </w:rPr>
        <w:t xml:space="preserve">closely at </w:t>
      </w:r>
      <w:r w:rsidR="005B318F" w:rsidRPr="001C01D8">
        <w:rPr>
          <w:rFonts w:eastAsia="Arial"/>
          <w:szCs w:val="20"/>
        </w:rPr>
        <w:t xml:space="preserve">the </w:t>
      </w:r>
      <w:r w:rsidR="00C834DC" w:rsidRPr="00250034">
        <w:rPr>
          <w:rFonts w:eastAsia="Arial"/>
          <w:szCs w:val="20"/>
        </w:rPr>
        <w:t xml:space="preserve">performance </w:t>
      </w:r>
      <w:r w:rsidR="005B318F" w:rsidRPr="001C01D8">
        <w:rPr>
          <w:rFonts w:eastAsia="Arial"/>
          <w:szCs w:val="20"/>
        </w:rPr>
        <w:t xml:space="preserve">of </w:t>
      </w:r>
      <w:r w:rsidR="00867412" w:rsidRPr="001C01D8">
        <w:rPr>
          <w:rFonts w:eastAsia="Arial"/>
          <w:szCs w:val="20"/>
        </w:rPr>
        <w:t xml:space="preserve">this service to </w:t>
      </w:r>
      <w:r w:rsidR="00F23EA4">
        <w:rPr>
          <w:rFonts w:eastAsia="Arial"/>
          <w:szCs w:val="20"/>
        </w:rPr>
        <w:t xml:space="preserve">see how it can </w:t>
      </w:r>
      <w:r w:rsidR="00867412" w:rsidRPr="001C01D8">
        <w:rPr>
          <w:rFonts w:eastAsia="Arial"/>
          <w:szCs w:val="20"/>
        </w:rPr>
        <w:t xml:space="preserve">inform further child and youth services </w:t>
      </w:r>
      <w:r w:rsidR="00F23EA4">
        <w:rPr>
          <w:rFonts w:eastAsia="Arial"/>
          <w:szCs w:val="20"/>
        </w:rPr>
        <w:t>in the future</w:t>
      </w:r>
      <w:r w:rsidR="00867412" w:rsidRPr="001C01D8">
        <w:rPr>
          <w:rFonts w:eastAsia="Arial"/>
          <w:szCs w:val="20"/>
        </w:rPr>
        <w:t>.</w:t>
      </w:r>
    </w:p>
    <w:p w14:paraId="3179300E" w14:textId="77777777" w:rsidR="003F0283" w:rsidRDefault="00603B69" w:rsidP="001A559C">
      <w:pPr>
        <w:pStyle w:val="ARbody"/>
      </w:pPr>
      <w:r w:rsidRPr="00AA54F0">
        <w:rPr>
          <w:rFonts w:eastAsia="Arial"/>
          <w:szCs w:val="20"/>
        </w:rPr>
        <w:t>The expansion of HOPE means Victorians of all ages have access to intensive wrap-around support for up to three months following a suicide attempt.</w:t>
      </w:r>
    </w:p>
    <w:p w14:paraId="315EC55C" w14:textId="255E65EE" w:rsidR="00603B69" w:rsidRPr="00AA54F0" w:rsidRDefault="00603B69" w:rsidP="00603B69">
      <w:pPr>
        <w:pStyle w:val="Heading6"/>
        <w:rPr>
          <w:rFonts w:eastAsia="Arial"/>
        </w:rPr>
      </w:pPr>
      <w:r w:rsidRPr="00AA54F0">
        <w:rPr>
          <w:rFonts w:eastAsia="Arial"/>
        </w:rPr>
        <w:t>Distress Brief Intervention program</w:t>
      </w:r>
    </w:p>
    <w:p w14:paraId="1BC62BDF" w14:textId="769182F3" w:rsidR="00603B69" w:rsidRPr="00AA54F0" w:rsidRDefault="00603B69" w:rsidP="001A559C">
      <w:pPr>
        <w:pStyle w:val="ARbody"/>
      </w:pPr>
      <w:r w:rsidRPr="00AA54F0">
        <w:rPr>
          <w:rFonts w:eastAsia="Arial"/>
          <w:szCs w:val="20"/>
        </w:rPr>
        <w:t>Distress Brief Intervention is a time</w:t>
      </w:r>
      <w:r w:rsidRPr="00AA54F0">
        <w:rPr>
          <w:rFonts w:ascii="Cambria Math" w:eastAsia="Arial" w:hAnsi="Cambria Math" w:cs="Cambria Math"/>
          <w:szCs w:val="20"/>
        </w:rPr>
        <w:t>‑</w:t>
      </w:r>
      <w:r w:rsidRPr="00AA54F0">
        <w:rPr>
          <w:rFonts w:eastAsia="Arial"/>
          <w:szCs w:val="20"/>
        </w:rPr>
        <w:t>limited intervention (generally less than 14 days) that provides support for people in psychological distress. This program is being designed and trialled in partnership with the Commonwealth Government.</w:t>
      </w:r>
      <w:r w:rsidR="00CB73AB">
        <w:rPr>
          <w:rFonts w:eastAsia="Arial"/>
          <w:szCs w:val="20"/>
        </w:rPr>
        <w:t xml:space="preserve"> </w:t>
      </w:r>
      <w:r w:rsidR="0023352A">
        <w:rPr>
          <w:rFonts w:eastAsia="Arial"/>
          <w:szCs w:val="20"/>
        </w:rPr>
        <w:t>At first, the</w:t>
      </w:r>
      <w:r w:rsidR="00CB73AB" w:rsidRPr="00CB73AB">
        <w:rPr>
          <w:rFonts w:eastAsia="Arial"/>
          <w:szCs w:val="20"/>
        </w:rPr>
        <w:t xml:space="preserve"> trial will run in one metropolitan</w:t>
      </w:r>
      <w:r w:rsidR="00CB73AB">
        <w:rPr>
          <w:rFonts w:eastAsia="Arial"/>
          <w:szCs w:val="20"/>
        </w:rPr>
        <w:t xml:space="preserve"> </w:t>
      </w:r>
      <w:r w:rsidR="00CB73AB" w:rsidRPr="00CB73AB">
        <w:rPr>
          <w:rFonts w:eastAsia="Arial"/>
          <w:szCs w:val="20"/>
        </w:rPr>
        <w:t>and one regional area, targeting areas</w:t>
      </w:r>
      <w:r w:rsidR="003D0AF1">
        <w:rPr>
          <w:rFonts w:eastAsia="Arial"/>
          <w:szCs w:val="20"/>
        </w:rPr>
        <w:t> </w:t>
      </w:r>
      <w:r w:rsidR="00CB73AB" w:rsidRPr="00CB73AB">
        <w:rPr>
          <w:rFonts w:eastAsia="Arial"/>
          <w:szCs w:val="20"/>
        </w:rPr>
        <w:t>that have</w:t>
      </w:r>
      <w:r w:rsidR="00CB73AB">
        <w:rPr>
          <w:rFonts w:eastAsia="Arial"/>
          <w:szCs w:val="20"/>
        </w:rPr>
        <w:t xml:space="preserve"> </w:t>
      </w:r>
      <w:r w:rsidR="00CB73AB" w:rsidRPr="00CB73AB">
        <w:rPr>
          <w:rFonts w:eastAsia="Arial"/>
          <w:szCs w:val="20"/>
        </w:rPr>
        <w:t>the highest rates of psychological distress</w:t>
      </w:r>
      <w:r w:rsidR="00CB73AB" w:rsidRPr="00AF1531">
        <w:rPr>
          <w:rFonts w:eastAsia="Arial"/>
          <w:szCs w:val="20"/>
        </w:rPr>
        <w:t>.</w:t>
      </w:r>
      <w:r w:rsidR="0023352A" w:rsidRPr="00AF1531">
        <w:rPr>
          <w:rFonts w:eastAsia="Arial"/>
          <w:szCs w:val="20"/>
        </w:rPr>
        <w:t xml:space="preserve"> The department </w:t>
      </w:r>
      <w:r w:rsidR="00AA2C66" w:rsidRPr="00AF1531">
        <w:rPr>
          <w:rFonts w:eastAsia="Arial"/>
          <w:szCs w:val="20"/>
        </w:rPr>
        <w:t>will use the results of the trial to inform</w:t>
      </w:r>
      <w:r w:rsidR="00701832">
        <w:rPr>
          <w:rFonts w:eastAsia="Arial"/>
          <w:szCs w:val="20"/>
        </w:rPr>
        <w:t xml:space="preserve"> its</w:t>
      </w:r>
      <w:r w:rsidR="00AA2C66" w:rsidRPr="00AF1531">
        <w:rPr>
          <w:rFonts w:eastAsia="Arial"/>
          <w:szCs w:val="20"/>
        </w:rPr>
        <w:t xml:space="preserve"> next steps</w:t>
      </w:r>
      <w:r w:rsidR="00701832">
        <w:rPr>
          <w:rFonts w:eastAsia="Arial"/>
          <w:szCs w:val="20"/>
        </w:rPr>
        <w:t xml:space="preserve"> in the </w:t>
      </w:r>
      <w:r w:rsidR="00AF1531">
        <w:rPr>
          <w:rFonts w:eastAsia="Arial"/>
          <w:szCs w:val="20"/>
        </w:rPr>
        <w:t>development</w:t>
      </w:r>
      <w:r w:rsidR="006B7810">
        <w:rPr>
          <w:rFonts w:eastAsia="Arial"/>
          <w:szCs w:val="20"/>
        </w:rPr>
        <w:t xml:space="preserve"> of future </w:t>
      </w:r>
      <w:r w:rsidR="00AF1531">
        <w:rPr>
          <w:rFonts w:eastAsia="Arial"/>
          <w:szCs w:val="20"/>
        </w:rPr>
        <w:t>psychological support programs</w:t>
      </w:r>
      <w:r w:rsidR="00E075CF">
        <w:rPr>
          <w:rFonts w:eastAsia="Arial"/>
          <w:szCs w:val="20"/>
        </w:rPr>
        <w:t>.</w:t>
      </w:r>
    </w:p>
    <w:p w14:paraId="1C8DCE80" w14:textId="77777777" w:rsidR="00603B69" w:rsidRPr="00AA54F0" w:rsidRDefault="00603B69" w:rsidP="00603B69">
      <w:pPr>
        <w:pStyle w:val="Heading6"/>
        <w:rPr>
          <w:rFonts w:eastAsia="Arial"/>
        </w:rPr>
      </w:pPr>
      <w:r w:rsidRPr="00AA54F0">
        <w:rPr>
          <w:rFonts w:eastAsia="Arial"/>
        </w:rPr>
        <w:t>Postvention</w:t>
      </w:r>
    </w:p>
    <w:p w14:paraId="0737B8BB" w14:textId="5F663166" w:rsidR="00603B69" w:rsidRPr="00AA54F0" w:rsidRDefault="00603B69" w:rsidP="001A559C">
      <w:pPr>
        <w:pStyle w:val="ARbody"/>
      </w:pPr>
      <w:r w:rsidRPr="00AA54F0">
        <w:rPr>
          <w:rFonts w:eastAsia="Arial"/>
          <w:szCs w:val="20"/>
        </w:rPr>
        <w:t xml:space="preserve">Postvention responses in Victoria are delivered in partnership with the Commonwealth Government using the StandBy – Support After Suicide model. </w:t>
      </w:r>
      <w:r w:rsidR="00A63F46">
        <w:rPr>
          <w:rFonts w:eastAsia="Arial"/>
          <w:szCs w:val="20"/>
        </w:rPr>
        <w:t xml:space="preserve">This </w:t>
      </w:r>
      <w:r w:rsidR="00C834DC">
        <w:rPr>
          <w:rFonts w:eastAsia="Arial"/>
          <w:szCs w:val="20"/>
        </w:rPr>
        <w:t xml:space="preserve">model </w:t>
      </w:r>
      <w:r w:rsidRPr="00AA54F0">
        <w:rPr>
          <w:rFonts w:eastAsia="Arial"/>
          <w:szCs w:val="20"/>
        </w:rPr>
        <w:t>provides support to anyone who has been bereaved or impacted by suicide</w:t>
      </w:r>
      <w:r w:rsidR="00A63F46">
        <w:rPr>
          <w:rFonts w:eastAsia="Arial"/>
          <w:szCs w:val="20"/>
        </w:rPr>
        <w:t>,</w:t>
      </w:r>
      <w:r w:rsidRPr="00AA54F0">
        <w:rPr>
          <w:rFonts w:eastAsia="Arial"/>
          <w:szCs w:val="20"/>
        </w:rPr>
        <w:t xml:space="preserve"> including individuals, families and first responders. </w:t>
      </w:r>
      <w:r w:rsidR="00A63F46">
        <w:rPr>
          <w:rFonts w:eastAsia="Arial"/>
          <w:szCs w:val="20"/>
        </w:rPr>
        <w:t>It is</w:t>
      </w:r>
      <w:r w:rsidR="00A63F46" w:rsidRPr="00AA54F0">
        <w:rPr>
          <w:rFonts w:eastAsia="Arial"/>
          <w:szCs w:val="20"/>
        </w:rPr>
        <w:t xml:space="preserve"> </w:t>
      </w:r>
      <w:r w:rsidRPr="00AA54F0">
        <w:rPr>
          <w:rFonts w:eastAsia="Arial"/>
          <w:szCs w:val="20"/>
        </w:rPr>
        <w:t xml:space="preserve">free </w:t>
      </w:r>
      <w:r w:rsidR="00305D54">
        <w:rPr>
          <w:rFonts w:eastAsia="Arial"/>
          <w:szCs w:val="20"/>
        </w:rPr>
        <w:t>and can be</w:t>
      </w:r>
      <w:r w:rsidRPr="00AA54F0">
        <w:rPr>
          <w:rFonts w:eastAsia="Arial"/>
          <w:szCs w:val="20"/>
        </w:rPr>
        <w:t xml:space="preserve"> delivered face</w:t>
      </w:r>
      <w:r w:rsidR="00127EE4">
        <w:rPr>
          <w:rFonts w:eastAsia="Arial"/>
          <w:szCs w:val="20"/>
        </w:rPr>
        <w:t xml:space="preserve"> </w:t>
      </w:r>
      <w:r w:rsidRPr="00AA54F0">
        <w:rPr>
          <w:rFonts w:eastAsia="Arial"/>
          <w:szCs w:val="20"/>
        </w:rPr>
        <w:t>to</w:t>
      </w:r>
      <w:r w:rsidR="00127EE4">
        <w:rPr>
          <w:rFonts w:eastAsia="Arial"/>
          <w:szCs w:val="20"/>
        </w:rPr>
        <w:t xml:space="preserve"> </w:t>
      </w:r>
      <w:r w:rsidRPr="00AA54F0">
        <w:rPr>
          <w:rFonts w:eastAsia="Arial"/>
          <w:szCs w:val="20"/>
        </w:rPr>
        <w:t>face or via telephone support. In Victoria, the StandBy model is delivered by WellWays (in Western Victoria and</w:t>
      </w:r>
      <w:r w:rsidR="000436BE">
        <w:rPr>
          <w:rFonts w:eastAsia="Arial"/>
          <w:szCs w:val="20"/>
        </w:rPr>
        <w:t xml:space="preserve"> the</w:t>
      </w:r>
      <w:r w:rsidRPr="00AA54F0">
        <w:rPr>
          <w:rFonts w:eastAsia="Arial"/>
          <w:szCs w:val="20"/>
        </w:rPr>
        <w:t xml:space="preserve"> Murray</w:t>
      </w:r>
      <w:r w:rsidR="009A08C6">
        <w:rPr>
          <w:rFonts w:eastAsia="Arial"/>
          <w:szCs w:val="20"/>
        </w:rPr>
        <w:t xml:space="preserve"> </w:t>
      </w:r>
      <w:r w:rsidR="000436BE">
        <w:rPr>
          <w:rFonts w:eastAsia="Arial"/>
          <w:szCs w:val="20"/>
        </w:rPr>
        <w:t xml:space="preserve">primary </w:t>
      </w:r>
      <w:r w:rsidR="009A08C6">
        <w:rPr>
          <w:rFonts w:eastAsia="Arial"/>
          <w:szCs w:val="20"/>
        </w:rPr>
        <w:t>health region</w:t>
      </w:r>
      <w:r w:rsidRPr="00AA54F0">
        <w:rPr>
          <w:rFonts w:eastAsia="Arial"/>
          <w:szCs w:val="20"/>
        </w:rPr>
        <w:t>) and Jesuit Social Services (in Eastern Melbourne, Gippsland, North-Western Melbourne and South-Eastern Melbourne).</w:t>
      </w:r>
    </w:p>
    <w:p w14:paraId="7FB68232" w14:textId="47E74AD3" w:rsidR="00603B69" w:rsidRPr="00AA54F0" w:rsidRDefault="00603B69" w:rsidP="001A559C">
      <w:pPr>
        <w:pStyle w:val="ARbody"/>
      </w:pPr>
      <w:r w:rsidRPr="00AA54F0">
        <w:rPr>
          <w:rFonts w:eastAsia="Arial"/>
          <w:szCs w:val="20"/>
        </w:rPr>
        <w:t>Switchboard Victoria delivers a specialist support program for lesbian, gay, bisexual, transgender or intersex, queer plus people impacted by suicide.</w:t>
      </w:r>
    </w:p>
    <w:p w14:paraId="17ADB513" w14:textId="77777777" w:rsidR="00603B69" w:rsidRPr="00603B69" w:rsidRDefault="00603B69" w:rsidP="00603B69">
      <w:pPr>
        <w:pStyle w:val="Heading6"/>
        <w:rPr>
          <w:rFonts w:eastAsia="Arial"/>
        </w:rPr>
      </w:pPr>
      <w:r w:rsidRPr="00603B69">
        <w:rPr>
          <w:rFonts w:eastAsia="Arial"/>
        </w:rPr>
        <w:t>Helplines</w:t>
      </w:r>
    </w:p>
    <w:p w14:paraId="7E084595" w14:textId="26213443" w:rsidR="00603B69" w:rsidRPr="00AA54F0" w:rsidRDefault="00603B69" w:rsidP="001A559C">
      <w:pPr>
        <w:pStyle w:val="ARbody"/>
      </w:pPr>
      <w:r w:rsidRPr="00AA54F0">
        <w:rPr>
          <w:rFonts w:eastAsia="Arial"/>
          <w:szCs w:val="20"/>
        </w:rPr>
        <w:t>Since the COVID-19 pandemic began the Victorian Government has invested additional funding into</w:t>
      </w:r>
      <w:r w:rsidR="00795961">
        <w:rPr>
          <w:rFonts w:eastAsia="Arial"/>
          <w:szCs w:val="20"/>
        </w:rPr>
        <w:t xml:space="preserve"> </w:t>
      </w:r>
      <w:r w:rsidRPr="00AA54F0">
        <w:rPr>
          <w:rFonts w:eastAsia="Arial"/>
          <w:szCs w:val="20"/>
        </w:rPr>
        <w:t>helplines, comprising $1 million for Beyond Blue and $1.2 million for Lifeline, to support Victorians’ access to timely and appropriate mental healthcare.</w:t>
      </w:r>
    </w:p>
    <w:p w14:paraId="1E62615D" w14:textId="039BFE92" w:rsidR="00603B69" w:rsidRPr="00AA54F0" w:rsidRDefault="00603B69" w:rsidP="001A559C">
      <w:pPr>
        <w:pStyle w:val="ARbody"/>
      </w:pPr>
      <w:r w:rsidRPr="00AA54F0">
        <w:rPr>
          <w:rFonts w:eastAsia="Arial"/>
          <w:szCs w:val="20"/>
        </w:rPr>
        <w:t>The department also funds On The Line to operate SuicideLine Victoria. Th</w:t>
      </w:r>
      <w:r w:rsidR="00C220CD">
        <w:rPr>
          <w:rFonts w:eastAsia="Arial"/>
          <w:szCs w:val="20"/>
        </w:rPr>
        <w:t>is</w:t>
      </w:r>
      <w:r w:rsidRPr="00AA54F0">
        <w:rPr>
          <w:rFonts w:eastAsia="Arial"/>
          <w:szCs w:val="20"/>
        </w:rPr>
        <w:t xml:space="preserve"> helpline provides 24/7 telephone, web chat and video counselling to people 15 years and older who are at risk of suicide, bereaved by suicide, or concerned for someone at risk of suicide. Helpline services include intake and assessment, single and multi-session counselling, support and referrals for Victorians in need.</w:t>
      </w:r>
    </w:p>
    <w:p w14:paraId="488B4AFC" w14:textId="77777777" w:rsidR="003F0283" w:rsidRDefault="00603B69" w:rsidP="00603B69">
      <w:pPr>
        <w:pStyle w:val="Heading6"/>
        <w:rPr>
          <w:rFonts w:eastAsia="Arial"/>
        </w:rPr>
      </w:pPr>
      <w:r w:rsidRPr="00AA54F0">
        <w:rPr>
          <w:rFonts w:eastAsia="Arial"/>
        </w:rPr>
        <w:t>Place-based suicide prevention trials</w:t>
      </w:r>
    </w:p>
    <w:p w14:paraId="44C2B126" w14:textId="53D16266" w:rsidR="00603B69" w:rsidRPr="00AA54F0" w:rsidRDefault="00603B69" w:rsidP="001A559C">
      <w:pPr>
        <w:pStyle w:val="ARbody"/>
      </w:pPr>
      <w:r w:rsidRPr="00AA54F0">
        <w:rPr>
          <w:rFonts w:eastAsia="Arial"/>
          <w:szCs w:val="20"/>
        </w:rPr>
        <w:t xml:space="preserve">Since 2016, the Victorian Government and </w:t>
      </w:r>
      <w:r w:rsidR="00C220CD">
        <w:rPr>
          <w:rFonts w:eastAsia="Arial"/>
          <w:szCs w:val="20"/>
        </w:rPr>
        <w:t>p</w:t>
      </w:r>
      <w:r w:rsidRPr="00AA54F0">
        <w:rPr>
          <w:rFonts w:eastAsia="Arial"/>
          <w:szCs w:val="20"/>
        </w:rPr>
        <w:t>rimary</w:t>
      </w:r>
      <w:r w:rsidR="003D0AF1">
        <w:rPr>
          <w:rFonts w:eastAsia="Arial"/>
          <w:szCs w:val="20"/>
        </w:rPr>
        <w:t> </w:t>
      </w:r>
      <w:r w:rsidR="00C220CD">
        <w:rPr>
          <w:rFonts w:eastAsia="Arial"/>
          <w:szCs w:val="20"/>
        </w:rPr>
        <w:t>h</w:t>
      </w:r>
      <w:r w:rsidRPr="00AA54F0">
        <w:rPr>
          <w:rFonts w:eastAsia="Arial"/>
          <w:szCs w:val="20"/>
        </w:rPr>
        <w:t xml:space="preserve">ealth </w:t>
      </w:r>
      <w:r w:rsidR="00C220CD">
        <w:rPr>
          <w:rFonts w:eastAsia="Arial"/>
          <w:szCs w:val="20"/>
        </w:rPr>
        <w:t>n</w:t>
      </w:r>
      <w:r w:rsidRPr="00AA54F0">
        <w:rPr>
          <w:rFonts w:eastAsia="Arial"/>
          <w:szCs w:val="20"/>
        </w:rPr>
        <w:t xml:space="preserve">etworks have partnered to support local communities to develop and implement coordinated, place-based approaches to suicide prevention. </w:t>
      </w:r>
      <w:r w:rsidR="001A385F">
        <w:rPr>
          <w:rFonts w:eastAsia="Arial"/>
          <w:szCs w:val="20"/>
        </w:rPr>
        <w:t>This approach included setting up twelve</w:t>
      </w:r>
      <w:r w:rsidR="001A385F" w:rsidRPr="00AA54F0">
        <w:rPr>
          <w:rFonts w:eastAsia="Arial"/>
          <w:szCs w:val="20"/>
        </w:rPr>
        <w:t xml:space="preserve"> </w:t>
      </w:r>
      <w:r w:rsidRPr="00AA54F0">
        <w:rPr>
          <w:rFonts w:eastAsia="Arial"/>
          <w:szCs w:val="20"/>
        </w:rPr>
        <w:t>trial sites</w:t>
      </w:r>
    </w:p>
    <w:p w14:paraId="4C2D1D2B" w14:textId="02540B4C" w:rsidR="00921053" w:rsidRPr="00AA54F0" w:rsidRDefault="00921053" w:rsidP="00921053">
      <w:pPr>
        <w:pStyle w:val="ARbody"/>
      </w:pPr>
      <w:r w:rsidRPr="00AA54F0">
        <w:rPr>
          <w:rFonts w:eastAsia="Arial"/>
          <w:szCs w:val="20"/>
        </w:rPr>
        <w:t>Th</w:t>
      </w:r>
      <w:r>
        <w:rPr>
          <w:rFonts w:eastAsia="Arial"/>
          <w:szCs w:val="20"/>
        </w:rPr>
        <w:t>is</w:t>
      </w:r>
      <w:r w:rsidRPr="00AA54F0">
        <w:rPr>
          <w:rFonts w:eastAsia="Arial"/>
          <w:szCs w:val="20"/>
        </w:rPr>
        <w:t xml:space="preserve"> </w:t>
      </w:r>
      <w:r w:rsidR="001A385F">
        <w:rPr>
          <w:rFonts w:eastAsia="Arial"/>
          <w:szCs w:val="20"/>
        </w:rPr>
        <w:t xml:space="preserve">placed-based </w:t>
      </w:r>
      <w:r w:rsidR="001A385F" w:rsidRPr="006B7810">
        <w:rPr>
          <w:rFonts w:eastAsia="Arial"/>
          <w:szCs w:val="20"/>
        </w:rPr>
        <w:t xml:space="preserve">trial </w:t>
      </w:r>
      <w:r w:rsidRPr="006B7810">
        <w:rPr>
          <w:rFonts w:eastAsia="Arial"/>
          <w:szCs w:val="20"/>
        </w:rPr>
        <w:t>sought to h</w:t>
      </w:r>
      <w:r w:rsidRPr="00AA54F0">
        <w:rPr>
          <w:rFonts w:eastAsia="Arial"/>
          <w:szCs w:val="20"/>
        </w:rPr>
        <w:t>arness local skills, expertise and resources to implement tailored, evidence-based interventions in local communities. In each site, all relevant organisations and services work</w:t>
      </w:r>
      <w:r>
        <w:rPr>
          <w:rFonts w:eastAsia="Arial"/>
          <w:szCs w:val="20"/>
        </w:rPr>
        <w:t>ed</w:t>
      </w:r>
      <w:r w:rsidRPr="00AA54F0">
        <w:rPr>
          <w:rFonts w:eastAsia="Arial"/>
          <w:szCs w:val="20"/>
        </w:rPr>
        <w:t xml:space="preserve"> together to develop a plan to reduce suicides in the area and to deliver effective suicide prevention at a local level.</w:t>
      </w:r>
    </w:p>
    <w:p w14:paraId="79DA45F0" w14:textId="16EAE0A4" w:rsidR="00603B69" w:rsidRPr="00AA54F0" w:rsidRDefault="00603B69" w:rsidP="001A559C">
      <w:pPr>
        <w:pStyle w:val="ARbody"/>
      </w:pPr>
      <w:r w:rsidRPr="00AA54F0">
        <w:rPr>
          <w:rFonts w:eastAsia="Arial"/>
          <w:szCs w:val="20"/>
        </w:rPr>
        <w:t>Key participants include</w:t>
      </w:r>
      <w:r w:rsidR="00E62CDB">
        <w:rPr>
          <w:rFonts w:eastAsia="Arial"/>
          <w:szCs w:val="20"/>
        </w:rPr>
        <w:t>d</w:t>
      </w:r>
      <w:r w:rsidRPr="00AA54F0">
        <w:rPr>
          <w:rFonts w:eastAsia="Arial"/>
          <w:szCs w:val="20"/>
        </w:rPr>
        <w:t xml:space="preserve"> people with lived experience of suicide, community agencies, Aboriginal </w:t>
      </w:r>
      <w:r w:rsidR="000E14F4">
        <w:rPr>
          <w:rFonts w:eastAsia="Arial"/>
          <w:szCs w:val="20"/>
        </w:rPr>
        <w:t>c</w:t>
      </w:r>
      <w:r w:rsidRPr="00AA54F0">
        <w:rPr>
          <w:rFonts w:eastAsia="Arial"/>
          <w:szCs w:val="20"/>
        </w:rPr>
        <w:t>ommunity</w:t>
      </w:r>
      <w:r w:rsidR="00EE641B">
        <w:rPr>
          <w:rFonts w:eastAsia="Arial"/>
          <w:szCs w:val="20"/>
        </w:rPr>
        <w:t>-</w:t>
      </w:r>
      <w:r w:rsidR="000E14F4">
        <w:rPr>
          <w:rFonts w:eastAsia="Arial"/>
          <w:szCs w:val="20"/>
        </w:rPr>
        <w:t>c</w:t>
      </w:r>
      <w:r w:rsidRPr="00AA54F0">
        <w:rPr>
          <w:rFonts w:eastAsia="Arial"/>
          <w:szCs w:val="20"/>
        </w:rPr>
        <w:t xml:space="preserve">ontrolled </w:t>
      </w:r>
      <w:r w:rsidR="000E14F4">
        <w:rPr>
          <w:rFonts w:eastAsia="Arial"/>
          <w:szCs w:val="20"/>
        </w:rPr>
        <w:t>o</w:t>
      </w:r>
      <w:r w:rsidRPr="00AA54F0">
        <w:rPr>
          <w:rFonts w:eastAsia="Arial"/>
          <w:szCs w:val="20"/>
        </w:rPr>
        <w:t>rganisations, schools, businesses, local councils, transport</w:t>
      </w:r>
      <w:r w:rsidR="00E62CDB">
        <w:rPr>
          <w:rFonts w:eastAsia="Arial"/>
          <w:szCs w:val="20"/>
        </w:rPr>
        <w:t xml:space="preserve"> organisations</w:t>
      </w:r>
      <w:r w:rsidRPr="00AA54F0">
        <w:rPr>
          <w:rFonts w:eastAsia="Arial"/>
          <w:szCs w:val="20"/>
        </w:rPr>
        <w:t>, police, health services, ambulance</w:t>
      </w:r>
      <w:r w:rsidR="00E62CDB">
        <w:rPr>
          <w:rFonts w:eastAsia="Arial"/>
          <w:szCs w:val="20"/>
        </w:rPr>
        <w:t xml:space="preserve"> services</w:t>
      </w:r>
      <w:r w:rsidRPr="00AA54F0">
        <w:rPr>
          <w:rFonts w:eastAsia="Arial"/>
          <w:szCs w:val="20"/>
        </w:rPr>
        <w:t xml:space="preserve">, and others to identify what </w:t>
      </w:r>
      <w:r w:rsidR="00E62CDB">
        <w:rPr>
          <w:rFonts w:eastAsia="Arial"/>
          <w:szCs w:val="20"/>
        </w:rPr>
        <w:t>was</w:t>
      </w:r>
      <w:r w:rsidR="00E62CDB" w:rsidRPr="00AA54F0">
        <w:rPr>
          <w:rFonts w:eastAsia="Arial"/>
          <w:szCs w:val="20"/>
        </w:rPr>
        <w:t xml:space="preserve"> </w:t>
      </w:r>
      <w:r w:rsidRPr="00AA54F0">
        <w:rPr>
          <w:rFonts w:eastAsia="Arial"/>
          <w:szCs w:val="20"/>
        </w:rPr>
        <w:t xml:space="preserve">needed to prevent suicide and find solutions that </w:t>
      </w:r>
      <w:r w:rsidR="00E62CDB">
        <w:rPr>
          <w:rFonts w:eastAsia="Arial"/>
          <w:szCs w:val="20"/>
        </w:rPr>
        <w:t>would</w:t>
      </w:r>
      <w:r w:rsidR="00E62CDB" w:rsidRPr="00AA54F0">
        <w:rPr>
          <w:rFonts w:eastAsia="Arial"/>
          <w:szCs w:val="20"/>
        </w:rPr>
        <w:t xml:space="preserve"> </w:t>
      </w:r>
      <w:r w:rsidRPr="00AA54F0">
        <w:rPr>
          <w:rFonts w:eastAsia="Arial"/>
          <w:szCs w:val="20"/>
        </w:rPr>
        <w:t>work for the local community.</w:t>
      </w:r>
    </w:p>
    <w:p w14:paraId="45BA0565" w14:textId="3EF74202" w:rsidR="00603B69" w:rsidRPr="00AA54F0" w:rsidRDefault="00921053" w:rsidP="001A559C">
      <w:pPr>
        <w:pStyle w:val="ARbody"/>
      </w:pPr>
      <w:r>
        <w:rPr>
          <w:rFonts w:eastAsia="Arial"/>
          <w:szCs w:val="20"/>
        </w:rPr>
        <w:t>T</w:t>
      </w:r>
      <w:r w:rsidR="00603B69" w:rsidRPr="00AA54F0">
        <w:rPr>
          <w:rFonts w:eastAsia="Arial"/>
          <w:szCs w:val="20"/>
        </w:rPr>
        <w:t>he trials concluded on 30 June 2022</w:t>
      </w:r>
      <w:r>
        <w:rPr>
          <w:rFonts w:eastAsia="Arial"/>
          <w:szCs w:val="20"/>
        </w:rPr>
        <w:t>. The department will use</w:t>
      </w:r>
      <w:r w:rsidR="0073650F">
        <w:rPr>
          <w:rFonts w:eastAsia="Arial"/>
          <w:szCs w:val="20"/>
        </w:rPr>
        <w:t xml:space="preserve"> the</w:t>
      </w:r>
      <w:r w:rsidR="00E62CDB">
        <w:rPr>
          <w:rFonts w:eastAsia="Arial"/>
          <w:szCs w:val="20"/>
        </w:rPr>
        <w:t xml:space="preserve"> findings of the</w:t>
      </w:r>
      <w:r w:rsidR="0073650F">
        <w:rPr>
          <w:rFonts w:eastAsia="Arial"/>
          <w:szCs w:val="20"/>
        </w:rPr>
        <w:t xml:space="preserve"> trial to</w:t>
      </w:r>
      <w:r w:rsidR="00603B69" w:rsidRPr="00AA54F0">
        <w:rPr>
          <w:rFonts w:eastAsia="Arial"/>
          <w:szCs w:val="20"/>
        </w:rPr>
        <w:t xml:space="preserve"> inform the </w:t>
      </w:r>
      <w:r w:rsidR="0073650F">
        <w:rPr>
          <w:rFonts w:eastAsia="Arial"/>
          <w:szCs w:val="20"/>
        </w:rPr>
        <w:t xml:space="preserve">continued </w:t>
      </w:r>
      <w:r w:rsidR="00603B69" w:rsidRPr="00AA54F0">
        <w:rPr>
          <w:rFonts w:eastAsia="Arial"/>
          <w:szCs w:val="20"/>
        </w:rPr>
        <w:t xml:space="preserve">development of </w:t>
      </w:r>
      <w:r w:rsidR="00E62CDB">
        <w:rPr>
          <w:rFonts w:eastAsia="Arial"/>
          <w:szCs w:val="20"/>
        </w:rPr>
        <w:t>its</w:t>
      </w:r>
      <w:r w:rsidR="00603B69" w:rsidRPr="00AA54F0">
        <w:rPr>
          <w:rFonts w:eastAsia="Arial"/>
          <w:szCs w:val="20"/>
        </w:rPr>
        <w:t xml:space="preserve"> </w:t>
      </w:r>
      <w:r w:rsidR="005C0273">
        <w:rPr>
          <w:rFonts w:eastAsia="Arial"/>
          <w:szCs w:val="20"/>
        </w:rPr>
        <w:t>s</w:t>
      </w:r>
      <w:r w:rsidR="00603B69" w:rsidRPr="00AA54F0">
        <w:rPr>
          <w:rFonts w:eastAsia="Arial"/>
          <w:szCs w:val="20"/>
        </w:rPr>
        <w:t xml:space="preserve">uicide </w:t>
      </w:r>
      <w:r w:rsidR="005C0273">
        <w:rPr>
          <w:rFonts w:eastAsia="Arial"/>
          <w:szCs w:val="20"/>
        </w:rPr>
        <w:t>p</w:t>
      </w:r>
      <w:r w:rsidR="00603B69" w:rsidRPr="00AA54F0">
        <w:rPr>
          <w:rFonts w:eastAsia="Arial"/>
          <w:szCs w:val="20"/>
        </w:rPr>
        <w:t xml:space="preserve">revention and </w:t>
      </w:r>
      <w:r w:rsidR="005C0273">
        <w:rPr>
          <w:rFonts w:eastAsia="Arial"/>
          <w:szCs w:val="20"/>
        </w:rPr>
        <w:t>r</w:t>
      </w:r>
      <w:r w:rsidR="00603B69" w:rsidRPr="00AA54F0">
        <w:rPr>
          <w:rFonts w:eastAsia="Arial"/>
          <w:szCs w:val="20"/>
        </w:rPr>
        <w:t xml:space="preserve">esponse </w:t>
      </w:r>
      <w:r w:rsidR="005C0273">
        <w:rPr>
          <w:rFonts w:eastAsia="Arial"/>
          <w:szCs w:val="20"/>
        </w:rPr>
        <w:t>s</w:t>
      </w:r>
      <w:r w:rsidR="00603B69" w:rsidRPr="00AA54F0">
        <w:rPr>
          <w:rFonts w:eastAsia="Arial"/>
          <w:szCs w:val="20"/>
        </w:rPr>
        <w:t>trategy. A final report outlining the achievements and learnings from the trials will be published.</w:t>
      </w:r>
    </w:p>
    <w:p w14:paraId="0C6DBB40" w14:textId="614B3632" w:rsidR="00603B69" w:rsidRDefault="00603B69" w:rsidP="00603B69">
      <w:pPr>
        <w:pStyle w:val="Heading5"/>
      </w:pPr>
      <w:r>
        <w:t>I</w:t>
      </w:r>
      <w:r w:rsidRPr="00CF1ABC">
        <w:t>mprove rates of self</w:t>
      </w:r>
      <w:r>
        <w:t>-</w:t>
      </w:r>
      <w:r w:rsidRPr="00CF1ABC">
        <w:t>reported</w:t>
      </w:r>
      <w:r w:rsidR="003D0AF1">
        <w:br/>
      </w:r>
      <w:r w:rsidRPr="00CF1ABC">
        <w:t>health and wellbeing</w:t>
      </w:r>
    </w:p>
    <w:p w14:paraId="0E236756" w14:textId="35204B1F" w:rsidR="00603B69" w:rsidRPr="004A2F70" w:rsidRDefault="00603B69" w:rsidP="004A2F70">
      <w:pPr>
        <w:pStyle w:val="ARbody"/>
        <w:rPr>
          <w:rFonts w:eastAsia="Arial"/>
          <w:szCs w:val="20"/>
        </w:rPr>
      </w:pPr>
      <w:r w:rsidRPr="004A2F70">
        <w:rPr>
          <w:rFonts w:eastAsia="Arial"/>
          <w:szCs w:val="20"/>
        </w:rPr>
        <w:t>Self-reported health is an internationally recognised</w:t>
      </w:r>
      <w:r w:rsidR="003D0AF1">
        <w:rPr>
          <w:rFonts w:eastAsia="Arial"/>
          <w:szCs w:val="20"/>
        </w:rPr>
        <w:t> </w:t>
      </w:r>
      <w:r w:rsidRPr="004A2F70">
        <w:rPr>
          <w:rFonts w:eastAsia="Arial"/>
          <w:szCs w:val="20"/>
        </w:rPr>
        <w:t>indicator of objective health status.</w:t>
      </w:r>
      <w:r w:rsidR="004A2F70">
        <w:rPr>
          <w:rFonts w:eastAsia="Arial"/>
          <w:szCs w:val="20"/>
        </w:rPr>
        <w:t xml:space="preserve"> </w:t>
      </w:r>
      <w:r w:rsidRPr="004A2F70">
        <w:rPr>
          <w:rFonts w:eastAsia="Arial"/>
          <w:szCs w:val="20"/>
        </w:rPr>
        <w:t xml:space="preserve">Improving self-reported health requires </w:t>
      </w:r>
      <w:r w:rsidR="00E43F0C">
        <w:rPr>
          <w:rFonts w:eastAsia="Arial"/>
          <w:szCs w:val="20"/>
        </w:rPr>
        <w:t>both action</w:t>
      </w:r>
      <w:r w:rsidR="003D0AF1">
        <w:rPr>
          <w:rFonts w:eastAsia="Arial"/>
          <w:szCs w:val="20"/>
        </w:rPr>
        <w:t> </w:t>
      </w:r>
      <w:r w:rsidRPr="004A2F70">
        <w:rPr>
          <w:rFonts w:eastAsia="Arial"/>
          <w:szCs w:val="20"/>
        </w:rPr>
        <w:t xml:space="preserve">across the whole population and a targeted </w:t>
      </w:r>
      <w:r w:rsidR="00194DAA">
        <w:rPr>
          <w:rFonts w:eastAsia="Arial"/>
          <w:szCs w:val="20"/>
        </w:rPr>
        <w:t>approach</w:t>
      </w:r>
      <w:r w:rsidR="00194DAA" w:rsidRPr="004A2F70">
        <w:rPr>
          <w:rFonts w:eastAsia="Arial"/>
          <w:szCs w:val="20"/>
        </w:rPr>
        <w:t xml:space="preserve"> </w:t>
      </w:r>
      <w:r w:rsidRPr="004A2F70">
        <w:rPr>
          <w:rFonts w:eastAsia="Arial"/>
          <w:szCs w:val="20"/>
        </w:rPr>
        <w:t xml:space="preserve">regarding key population groups and </w:t>
      </w:r>
      <w:r w:rsidR="003D0AF1">
        <w:rPr>
          <w:rFonts w:eastAsia="Arial"/>
          <w:szCs w:val="20"/>
        </w:rPr>
        <w:br/>
      </w:r>
      <w:r w:rsidRPr="004A2F70">
        <w:rPr>
          <w:rFonts w:eastAsia="Arial"/>
          <w:szCs w:val="20"/>
        </w:rPr>
        <w:t>sub-groups.</w:t>
      </w:r>
    </w:p>
    <w:p w14:paraId="52E368BE" w14:textId="628AA9E6" w:rsidR="00740C21" w:rsidRDefault="00777714" w:rsidP="00740C21">
      <w:pPr>
        <w:pStyle w:val="ARbody"/>
        <w:rPr>
          <w:rFonts w:eastAsia="Arial"/>
          <w:szCs w:val="20"/>
        </w:rPr>
      </w:pPr>
      <w:r w:rsidRPr="00777714">
        <w:rPr>
          <w:rFonts w:eastAsia="Arial"/>
          <w:szCs w:val="20"/>
        </w:rPr>
        <w:t xml:space="preserve">The </w:t>
      </w:r>
      <w:r w:rsidR="002213C6">
        <w:rPr>
          <w:rFonts w:eastAsia="Arial"/>
          <w:szCs w:val="20"/>
        </w:rPr>
        <w:t>d</w:t>
      </w:r>
      <w:r w:rsidRPr="00777714">
        <w:rPr>
          <w:rFonts w:eastAsia="Arial"/>
          <w:szCs w:val="20"/>
        </w:rPr>
        <w:t xml:space="preserve">epartment is working </w:t>
      </w:r>
      <w:r w:rsidR="00BF57A4">
        <w:rPr>
          <w:rFonts w:eastAsia="Arial"/>
          <w:szCs w:val="20"/>
        </w:rPr>
        <w:t>to embed</w:t>
      </w:r>
      <w:r w:rsidRPr="00777714">
        <w:rPr>
          <w:rFonts w:eastAsia="Arial"/>
          <w:szCs w:val="20"/>
        </w:rPr>
        <w:t xml:space="preserve"> mental health</w:t>
      </w:r>
      <w:r w:rsidR="004B3D7E">
        <w:rPr>
          <w:rFonts w:eastAsia="Arial"/>
          <w:szCs w:val="20"/>
        </w:rPr>
        <w:t> </w:t>
      </w:r>
      <w:r w:rsidRPr="00777714">
        <w:rPr>
          <w:rFonts w:eastAsia="Arial"/>
          <w:szCs w:val="20"/>
        </w:rPr>
        <w:t>consumer and carer reported experiences</w:t>
      </w:r>
      <w:r w:rsidR="005E6F4A">
        <w:rPr>
          <w:rFonts w:eastAsia="Arial"/>
          <w:szCs w:val="20"/>
        </w:rPr>
        <w:t xml:space="preserve"> in</w:t>
      </w:r>
      <w:r w:rsidR="004B3D7E">
        <w:rPr>
          <w:rFonts w:eastAsia="Arial"/>
          <w:szCs w:val="20"/>
        </w:rPr>
        <w:t> </w:t>
      </w:r>
      <w:r w:rsidR="005E6F4A">
        <w:rPr>
          <w:rFonts w:eastAsia="Arial"/>
          <w:szCs w:val="20"/>
        </w:rPr>
        <w:t>performance reporting</w:t>
      </w:r>
      <w:r w:rsidR="00806B1C">
        <w:rPr>
          <w:rFonts w:eastAsia="Arial"/>
          <w:szCs w:val="20"/>
        </w:rPr>
        <w:t>.</w:t>
      </w:r>
      <w:r w:rsidRPr="00777714">
        <w:rPr>
          <w:rFonts w:eastAsia="Arial"/>
          <w:szCs w:val="20"/>
        </w:rPr>
        <w:t xml:space="preserve"> </w:t>
      </w:r>
      <w:r w:rsidR="00194DAA">
        <w:rPr>
          <w:rFonts w:eastAsia="Arial"/>
          <w:szCs w:val="20"/>
        </w:rPr>
        <w:t>It has developed</w:t>
      </w:r>
      <w:r w:rsidRPr="00777714">
        <w:rPr>
          <w:rFonts w:eastAsia="Arial"/>
          <w:szCs w:val="20"/>
        </w:rPr>
        <w:t xml:space="preserve"> a new outcomes and performance framework and </w:t>
      </w:r>
      <w:r w:rsidR="00194DAA">
        <w:rPr>
          <w:rFonts w:eastAsia="Arial"/>
          <w:szCs w:val="20"/>
        </w:rPr>
        <w:t xml:space="preserve">will </w:t>
      </w:r>
      <w:r w:rsidRPr="00777714">
        <w:rPr>
          <w:rFonts w:eastAsia="Arial"/>
          <w:szCs w:val="20"/>
        </w:rPr>
        <w:t>public</w:t>
      </w:r>
      <w:r w:rsidR="00194DAA">
        <w:rPr>
          <w:rFonts w:eastAsia="Arial"/>
          <w:szCs w:val="20"/>
        </w:rPr>
        <w:t>ly</w:t>
      </w:r>
      <w:r w:rsidRPr="00777714">
        <w:rPr>
          <w:rFonts w:eastAsia="Arial"/>
          <w:szCs w:val="20"/>
        </w:rPr>
        <w:t xml:space="preserve"> report </w:t>
      </w:r>
      <w:r w:rsidR="00194DAA">
        <w:rPr>
          <w:rFonts w:eastAsia="Arial"/>
          <w:szCs w:val="20"/>
        </w:rPr>
        <w:t xml:space="preserve">its performance </w:t>
      </w:r>
      <w:r w:rsidRPr="00777714">
        <w:rPr>
          <w:rFonts w:eastAsia="Arial"/>
          <w:szCs w:val="20"/>
        </w:rPr>
        <w:t xml:space="preserve">as part of the new reform-focused </w:t>
      </w:r>
      <w:r>
        <w:rPr>
          <w:rFonts w:eastAsia="Arial"/>
          <w:szCs w:val="20"/>
        </w:rPr>
        <w:t>reporting</w:t>
      </w:r>
      <w:r w:rsidRPr="00777714">
        <w:rPr>
          <w:rFonts w:eastAsia="Arial"/>
          <w:szCs w:val="20"/>
        </w:rPr>
        <w:t xml:space="preserve"> process</w:t>
      </w:r>
      <w:r>
        <w:rPr>
          <w:rFonts w:eastAsia="Arial"/>
          <w:szCs w:val="20"/>
        </w:rPr>
        <w:t xml:space="preserve"> (see below)</w:t>
      </w:r>
      <w:r w:rsidRPr="00777714">
        <w:rPr>
          <w:rFonts w:eastAsia="Arial"/>
          <w:szCs w:val="20"/>
        </w:rPr>
        <w:t xml:space="preserve">. In partnership with service providers, the </w:t>
      </w:r>
      <w:r w:rsidR="002213C6">
        <w:rPr>
          <w:rFonts w:eastAsia="Arial"/>
          <w:szCs w:val="20"/>
        </w:rPr>
        <w:t>d</w:t>
      </w:r>
      <w:r w:rsidRPr="00777714">
        <w:rPr>
          <w:rFonts w:eastAsia="Arial"/>
          <w:szCs w:val="20"/>
        </w:rPr>
        <w:t xml:space="preserve">epartment </w:t>
      </w:r>
      <w:r w:rsidR="00740C21">
        <w:rPr>
          <w:rFonts w:eastAsia="Arial"/>
          <w:szCs w:val="20"/>
        </w:rPr>
        <w:t>will progressively use</w:t>
      </w:r>
      <w:r w:rsidR="00740C21" w:rsidRPr="00777714">
        <w:rPr>
          <w:rFonts w:eastAsia="Arial"/>
          <w:szCs w:val="20"/>
        </w:rPr>
        <w:t xml:space="preserve"> self-reported mental health results</w:t>
      </w:r>
      <w:r w:rsidR="00740C21">
        <w:rPr>
          <w:rFonts w:eastAsia="Arial"/>
          <w:szCs w:val="20"/>
        </w:rPr>
        <w:t xml:space="preserve">, and </w:t>
      </w:r>
      <w:r w:rsidR="00740C21" w:rsidRPr="00777714">
        <w:rPr>
          <w:rFonts w:eastAsia="Arial"/>
          <w:szCs w:val="20"/>
        </w:rPr>
        <w:t>clinician</w:t>
      </w:r>
      <w:r w:rsidR="00740C21">
        <w:rPr>
          <w:rFonts w:eastAsia="Arial"/>
          <w:szCs w:val="20"/>
        </w:rPr>
        <w:t>-</w:t>
      </w:r>
      <w:r w:rsidR="00740C21" w:rsidRPr="00777714">
        <w:rPr>
          <w:rFonts w:eastAsia="Arial"/>
          <w:szCs w:val="20"/>
        </w:rPr>
        <w:t>reported measures</w:t>
      </w:r>
      <w:r w:rsidR="00740C21">
        <w:rPr>
          <w:rFonts w:eastAsia="Arial"/>
          <w:szCs w:val="20"/>
        </w:rPr>
        <w:t xml:space="preserve">, to assess and </w:t>
      </w:r>
      <w:r w:rsidR="00740C21" w:rsidRPr="00777714">
        <w:rPr>
          <w:rFonts w:eastAsia="Arial"/>
          <w:szCs w:val="20"/>
        </w:rPr>
        <w:t xml:space="preserve">better understand the effectiveness of </w:t>
      </w:r>
      <w:r w:rsidR="00740C21">
        <w:rPr>
          <w:rFonts w:eastAsia="Arial"/>
          <w:szCs w:val="20"/>
        </w:rPr>
        <w:t xml:space="preserve">the </w:t>
      </w:r>
      <w:r w:rsidR="00740C21" w:rsidRPr="00777714">
        <w:rPr>
          <w:rFonts w:eastAsia="Arial"/>
          <w:szCs w:val="20"/>
        </w:rPr>
        <w:t>care provided</w:t>
      </w:r>
      <w:r w:rsidR="00740C21">
        <w:rPr>
          <w:rFonts w:eastAsia="Arial"/>
          <w:szCs w:val="20"/>
        </w:rPr>
        <w:t xml:space="preserve">. These new insights will </w:t>
      </w:r>
      <w:r w:rsidR="00740C21" w:rsidRPr="00777714">
        <w:rPr>
          <w:rFonts w:eastAsia="Arial"/>
          <w:szCs w:val="20"/>
        </w:rPr>
        <w:t>drive service improvement.</w:t>
      </w:r>
    </w:p>
    <w:p w14:paraId="00DFE9BC" w14:textId="5909E6F2" w:rsidR="003F0283" w:rsidRDefault="00603B69" w:rsidP="00740C21">
      <w:pPr>
        <w:pStyle w:val="Heading6"/>
        <w:rPr>
          <w:rFonts w:cs="Arial"/>
          <w:szCs w:val="20"/>
        </w:rPr>
      </w:pPr>
      <w:r w:rsidRPr="00AA54F0">
        <w:rPr>
          <w:rFonts w:cs="Arial"/>
          <w:szCs w:val="20"/>
        </w:rPr>
        <w:t xml:space="preserve">New </w:t>
      </w:r>
      <w:r w:rsidR="005C0273">
        <w:rPr>
          <w:rFonts w:cs="Arial"/>
          <w:szCs w:val="20"/>
        </w:rPr>
        <w:t>m</w:t>
      </w:r>
      <w:r w:rsidRPr="00AA54F0">
        <w:rPr>
          <w:rFonts w:cs="Arial"/>
          <w:szCs w:val="20"/>
        </w:rPr>
        <w:t xml:space="preserve">ental </w:t>
      </w:r>
      <w:r w:rsidR="00E10CDC">
        <w:rPr>
          <w:rFonts w:cs="Arial"/>
          <w:szCs w:val="20"/>
        </w:rPr>
        <w:t>h</w:t>
      </w:r>
      <w:r w:rsidRPr="00AA54F0">
        <w:rPr>
          <w:rFonts w:cs="Arial"/>
          <w:szCs w:val="20"/>
        </w:rPr>
        <w:t xml:space="preserve">ealth and </w:t>
      </w:r>
      <w:r w:rsidR="00E10CDC">
        <w:rPr>
          <w:rFonts w:cs="Arial"/>
          <w:szCs w:val="20"/>
        </w:rPr>
        <w:t>w</w:t>
      </w:r>
      <w:r w:rsidRPr="00AA54F0">
        <w:rPr>
          <w:rFonts w:cs="Arial"/>
          <w:szCs w:val="20"/>
        </w:rPr>
        <w:t xml:space="preserve">ellbeing </w:t>
      </w:r>
      <w:r w:rsidR="00E10CDC">
        <w:rPr>
          <w:rFonts w:cs="Arial"/>
          <w:szCs w:val="20"/>
        </w:rPr>
        <w:t>o</w:t>
      </w:r>
      <w:r w:rsidRPr="00AA54F0">
        <w:rPr>
          <w:rFonts w:cs="Arial"/>
          <w:szCs w:val="20"/>
        </w:rPr>
        <w:t>utcomes</w:t>
      </w:r>
      <w:r w:rsidR="00BD46C7">
        <w:rPr>
          <w:rFonts w:cs="Arial"/>
          <w:szCs w:val="20"/>
        </w:rPr>
        <w:t> </w:t>
      </w:r>
      <w:r w:rsidRPr="00AA54F0">
        <w:rPr>
          <w:rFonts w:cs="Arial"/>
          <w:szCs w:val="20"/>
        </w:rPr>
        <w:t>and</w:t>
      </w:r>
      <w:r w:rsidR="003D0AF1">
        <w:rPr>
          <w:rFonts w:cs="Arial"/>
          <w:szCs w:val="20"/>
        </w:rPr>
        <w:t> </w:t>
      </w:r>
      <w:r w:rsidR="00E10CDC">
        <w:rPr>
          <w:rFonts w:cs="Arial"/>
          <w:szCs w:val="20"/>
        </w:rPr>
        <w:t>p</w:t>
      </w:r>
      <w:r w:rsidRPr="00AA54F0">
        <w:rPr>
          <w:rFonts w:cs="Arial"/>
          <w:szCs w:val="20"/>
        </w:rPr>
        <w:t xml:space="preserve">erformance </w:t>
      </w:r>
      <w:r w:rsidR="00E10CDC">
        <w:rPr>
          <w:rFonts w:cs="Arial"/>
          <w:szCs w:val="20"/>
        </w:rPr>
        <w:t>f</w:t>
      </w:r>
      <w:r w:rsidRPr="00AA54F0">
        <w:rPr>
          <w:rFonts w:cs="Arial"/>
          <w:szCs w:val="20"/>
        </w:rPr>
        <w:t>ramework</w:t>
      </w:r>
    </w:p>
    <w:p w14:paraId="614C41F4" w14:textId="4F326F2A" w:rsidR="003F0283" w:rsidRDefault="00603B69" w:rsidP="00603B69">
      <w:pPr>
        <w:pStyle w:val="ARbody"/>
        <w:rPr>
          <w:szCs w:val="20"/>
        </w:rPr>
      </w:pPr>
      <w:r w:rsidRPr="00AA54F0">
        <w:rPr>
          <w:szCs w:val="20"/>
        </w:rPr>
        <w:t>To support the significant reform being implemented across Victoria’s mental health and</w:t>
      </w:r>
      <w:r w:rsidR="003D0AF1">
        <w:rPr>
          <w:szCs w:val="20"/>
        </w:rPr>
        <w:t> </w:t>
      </w:r>
      <w:r w:rsidRPr="00AA54F0">
        <w:rPr>
          <w:szCs w:val="20"/>
        </w:rPr>
        <w:t>wellbeing service system, work is underway</w:t>
      </w:r>
      <w:r w:rsidR="003D0AF1">
        <w:rPr>
          <w:szCs w:val="20"/>
        </w:rPr>
        <w:t> </w:t>
      </w:r>
      <w:r w:rsidRPr="00AA54F0">
        <w:rPr>
          <w:szCs w:val="20"/>
        </w:rPr>
        <w:t>to</w:t>
      </w:r>
      <w:r w:rsidR="003D0AF1">
        <w:rPr>
          <w:szCs w:val="20"/>
        </w:rPr>
        <w:t> </w:t>
      </w:r>
      <w:r w:rsidRPr="00AA54F0">
        <w:rPr>
          <w:szCs w:val="20"/>
        </w:rPr>
        <w:t xml:space="preserve">develop a new </w:t>
      </w:r>
      <w:r w:rsidR="00FC1335" w:rsidRPr="00777714">
        <w:rPr>
          <w:rFonts w:eastAsia="Arial"/>
          <w:szCs w:val="20"/>
        </w:rPr>
        <w:t>outcomes and performance framework</w:t>
      </w:r>
      <w:r w:rsidR="00FC1335" w:rsidRPr="00AA54F0">
        <w:rPr>
          <w:szCs w:val="20"/>
        </w:rPr>
        <w:t xml:space="preserve"> </w:t>
      </w:r>
      <w:r w:rsidR="00FC1335">
        <w:rPr>
          <w:szCs w:val="20"/>
        </w:rPr>
        <w:t>(</w:t>
      </w:r>
      <w:r w:rsidRPr="00AA54F0">
        <w:rPr>
          <w:szCs w:val="20"/>
        </w:rPr>
        <w:t>OPF</w:t>
      </w:r>
      <w:r w:rsidR="00FC1335">
        <w:rPr>
          <w:szCs w:val="20"/>
        </w:rPr>
        <w:t>)</w:t>
      </w:r>
      <w:r w:rsidR="00777714">
        <w:rPr>
          <w:szCs w:val="20"/>
        </w:rPr>
        <w:t xml:space="preserve"> – i</w:t>
      </w:r>
      <w:r>
        <w:rPr>
          <w:szCs w:val="20"/>
        </w:rPr>
        <w:t>n response to</w:t>
      </w:r>
      <w:r w:rsidR="003D0AF1">
        <w:rPr>
          <w:szCs w:val="20"/>
        </w:rPr>
        <w:t> </w:t>
      </w:r>
      <w:r w:rsidR="00E13E7A">
        <w:rPr>
          <w:szCs w:val="20"/>
        </w:rPr>
        <w:t xml:space="preserve">Recommendation 1 of the </w:t>
      </w:r>
      <w:r w:rsidR="000E6C4D">
        <w:rPr>
          <w:szCs w:val="20"/>
        </w:rPr>
        <w:t xml:space="preserve">Royal Commission’s </w:t>
      </w:r>
      <w:r>
        <w:rPr>
          <w:szCs w:val="20"/>
        </w:rPr>
        <w:t>final report</w:t>
      </w:r>
      <w:r w:rsidRPr="00AA54F0">
        <w:rPr>
          <w:szCs w:val="20"/>
        </w:rPr>
        <w:t>. The OPF will be used to drive collective responsibility and accountability for the mental health and wellbeing of Victorians across the system, shifting the focus of monitoring and measurement from outputs to outcomes.</w:t>
      </w:r>
    </w:p>
    <w:p w14:paraId="0355A831" w14:textId="0358B500" w:rsidR="003F0283" w:rsidRDefault="003D0AF1" w:rsidP="00603B69">
      <w:pPr>
        <w:pStyle w:val="ARbody"/>
        <w:rPr>
          <w:szCs w:val="20"/>
        </w:rPr>
      </w:pPr>
      <w:r>
        <w:rPr>
          <w:szCs w:val="20"/>
        </w:rPr>
        <w:br w:type="column"/>
      </w:r>
      <w:r w:rsidR="00603B69" w:rsidRPr="00AA54F0">
        <w:rPr>
          <w:szCs w:val="20"/>
        </w:rPr>
        <w:t>Contained in the OPF will be a range of self-reported measures from consumers of mental health services as well as their carers, family members and supporters. Some of these measures seek to understand how the mental health of consumers has improved as a result of the care they have received while others report on carer and</w:t>
      </w:r>
      <w:r>
        <w:rPr>
          <w:szCs w:val="20"/>
        </w:rPr>
        <w:t> </w:t>
      </w:r>
      <w:r w:rsidR="00603B69" w:rsidRPr="00AA54F0">
        <w:rPr>
          <w:szCs w:val="20"/>
        </w:rPr>
        <w:t>consumer experience of service.</w:t>
      </w:r>
    </w:p>
    <w:p w14:paraId="1F053410" w14:textId="0A509085" w:rsidR="003F0283" w:rsidRDefault="00603B69" w:rsidP="00603B69">
      <w:pPr>
        <w:pStyle w:val="ARbody"/>
        <w:rPr>
          <w:szCs w:val="20"/>
        </w:rPr>
      </w:pPr>
      <w:r w:rsidRPr="00AA54F0">
        <w:rPr>
          <w:szCs w:val="20"/>
        </w:rPr>
        <w:t>Inclusion of these measures in the OPF will embed</w:t>
      </w:r>
      <w:r w:rsidR="003D0AF1">
        <w:rPr>
          <w:szCs w:val="20"/>
        </w:rPr>
        <w:t> </w:t>
      </w:r>
      <w:r w:rsidRPr="00AA54F0">
        <w:rPr>
          <w:szCs w:val="20"/>
        </w:rPr>
        <w:t>consumer and carer voices as a key aspect of performance reporting for the mental health system</w:t>
      </w:r>
      <w:r w:rsidR="003D0AF1">
        <w:rPr>
          <w:szCs w:val="20"/>
        </w:rPr>
        <w:t> </w:t>
      </w:r>
      <w:r w:rsidRPr="00AA54F0">
        <w:rPr>
          <w:szCs w:val="20"/>
        </w:rPr>
        <w:t xml:space="preserve">and facilitate the use of this information to continually improve services. It will also provide a mechanism to track progress on the </w:t>
      </w:r>
      <w:r>
        <w:rPr>
          <w:szCs w:val="20"/>
        </w:rPr>
        <w:t xml:space="preserve">mental health and wellbeing </w:t>
      </w:r>
      <w:r w:rsidRPr="00AA54F0">
        <w:rPr>
          <w:szCs w:val="20"/>
        </w:rPr>
        <w:t>reforms through the perspectives of consumer</w:t>
      </w:r>
      <w:r w:rsidR="00501E10">
        <w:rPr>
          <w:szCs w:val="20"/>
        </w:rPr>
        <w:t>s</w:t>
      </w:r>
      <w:r w:rsidRPr="00AA54F0">
        <w:rPr>
          <w:szCs w:val="20"/>
        </w:rPr>
        <w:t xml:space="preserve"> and carers actually using the services.</w:t>
      </w:r>
    </w:p>
    <w:p w14:paraId="2BCC712B" w14:textId="461A3F29" w:rsidR="003F0283" w:rsidRDefault="00603B69" w:rsidP="00603B69">
      <w:pPr>
        <w:pStyle w:val="ARbody"/>
        <w:rPr>
          <w:szCs w:val="20"/>
        </w:rPr>
      </w:pPr>
      <w:r w:rsidRPr="00AA54F0">
        <w:rPr>
          <w:szCs w:val="20"/>
        </w:rPr>
        <w:t xml:space="preserve">Extensive stakeholder </w:t>
      </w:r>
      <w:r>
        <w:rPr>
          <w:szCs w:val="20"/>
        </w:rPr>
        <w:t>engagement</w:t>
      </w:r>
      <w:r w:rsidRPr="00AA54F0">
        <w:rPr>
          <w:szCs w:val="20"/>
        </w:rPr>
        <w:t xml:space="preserve"> with organisations across the mental health and wellbeing sector</w:t>
      </w:r>
      <w:r w:rsidR="00E10CDC" w:rsidRPr="00E10CDC">
        <w:rPr>
          <w:szCs w:val="20"/>
        </w:rPr>
        <w:t xml:space="preserve"> </w:t>
      </w:r>
      <w:r w:rsidR="00E10CDC" w:rsidRPr="00AA54F0">
        <w:rPr>
          <w:szCs w:val="20"/>
        </w:rPr>
        <w:t>was undertaken</w:t>
      </w:r>
      <w:r w:rsidRPr="00AA54F0">
        <w:rPr>
          <w:szCs w:val="20"/>
        </w:rPr>
        <w:t xml:space="preserve"> to inform the development of the OPF in the first half of 2022</w:t>
      </w:r>
      <w:r w:rsidR="0079275B">
        <w:rPr>
          <w:szCs w:val="20"/>
        </w:rPr>
        <w:t xml:space="preserve">. </w:t>
      </w:r>
      <w:r w:rsidR="00501E10" w:rsidRPr="0079275B">
        <w:rPr>
          <w:szCs w:val="20"/>
        </w:rPr>
        <w:t>The OPF is a</w:t>
      </w:r>
      <w:r w:rsidRPr="000C7E04">
        <w:rPr>
          <w:szCs w:val="20"/>
        </w:rPr>
        <w:t xml:space="preserve"> foundation piece that will help guide d</w:t>
      </w:r>
      <w:r w:rsidRPr="00AA54F0">
        <w:rPr>
          <w:szCs w:val="20"/>
        </w:rPr>
        <w:t xml:space="preserve">epartmental reporting toward a focus on </w:t>
      </w:r>
      <w:r>
        <w:rPr>
          <w:szCs w:val="20"/>
        </w:rPr>
        <w:t xml:space="preserve">improved </w:t>
      </w:r>
      <w:r w:rsidRPr="00AA54F0">
        <w:rPr>
          <w:szCs w:val="20"/>
        </w:rPr>
        <w:t>consumer</w:t>
      </w:r>
      <w:r>
        <w:rPr>
          <w:szCs w:val="20"/>
        </w:rPr>
        <w:t>,</w:t>
      </w:r>
      <w:r w:rsidRPr="00AA54F0">
        <w:rPr>
          <w:szCs w:val="20"/>
        </w:rPr>
        <w:t xml:space="preserve"> carer and system outcomes</w:t>
      </w:r>
      <w:r w:rsidR="008E619F">
        <w:rPr>
          <w:szCs w:val="20"/>
        </w:rPr>
        <w:t>,</w:t>
      </w:r>
      <w:r w:rsidR="000C7E04">
        <w:rPr>
          <w:szCs w:val="20"/>
        </w:rPr>
        <w:t xml:space="preserve"> and work o</w:t>
      </w:r>
      <w:r w:rsidR="00051A18">
        <w:rPr>
          <w:szCs w:val="20"/>
        </w:rPr>
        <w:t>n</w:t>
      </w:r>
      <w:r w:rsidR="000C7E04">
        <w:rPr>
          <w:szCs w:val="20"/>
        </w:rPr>
        <w:t xml:space="preserve"> its development will continue throughout 2022</w:t>
      </w:r>
      <w:r w:rsidRPr="00AA54F0">
        <w:rPr>
          <w:szCs w:val="20"/>
        </w:rPr>
        <w:t>.</w:t>
      </w:r>
    </w:p>
    <w:p w14:paraId="6E48EEA7" w14:textId="2916DAB6" w:rsidR="003F0283" w:rsidRDefault="00603B69" w:rsidP="00603B69">
      <w:pPr>
        <w:pStyle w:val="Heading6"/>
        <w:rPr>
          <w:rFonts w:cs="Arial"/>
          <w:szCs w:val="20"/>
        </w:rPr>
      </w:pPr>
      <w:r w:rsidRPr="00AA54F0">
        <w:rPr>
          <w:rFonts w:cs="Arial"/>
          <w:szCs w:val="20"/>
        </w:rPr>
        <w:t>Reform</w:t>
      </w:r>
      <w:r w:rsidR="00962E22">
        <w:rPr>
          <w:rFonts w:cs="Arial"/>
          <w:szCs w:val="20"/>
        </w:rPr>
        <w:t>-</w:t>
      </w:r>
      <w:r w:rsidRPr="00AA54F0">
        <w:rPr>
          <w:rFonts w:cs="Arial"/>
          <w:szCs w:val="20"/>
        </w:rPr>
        <w:t>focused reporting</w:t>
      </w:r>
    </w:p>
    <w:p w14:paraId="1A29933C" w14:textId="00BA202D" w:rsidR="003F0283" w:rsidRDefault="001D773B" w:rsidP="009E20CA">
      <w:pPr>
        <w:pStyle w:val="ARbodyafterbullets"/>
        <w:rPr>
          <w:szCs w:val="20"/>
        </w:rPr>
      </w:pPr>
      <w:r>
        <w:rPr>
          <w:szCs w:val="20"/>
        </w:rPr>
        <w:t xml:space="preserve">The </w:t>
      </w:r>
      <w:r w:rsidR="00BF7E1E" w:rsidRPr="00075001">
        <w:rPr>
          <w:i/>
          <w:iCs/>
          <w:szCs w:val="20"/>
        </w:rPr>
        <w:t>2022–23</w:t>
      </w:r>
      <w:r w:rsidRPr="00075001">
        <w:rPr>
          <w:i/>
          <w:iCs/>
          <w:szCs w:val="20"/>
        </w:rPr>
        <w:t xml:space="preserve"> </w:t>
      </w:r>
      <w:r w:rsidRPr="00075001">
        <w:rPr>
          <w:i/>
          <w:iCs/>
        </w:rPr>
        <w:t>Budget</w:t>
      </w:r>
      <w:r w:rsidRPr="00783365">
        <w:rPr>
          <w:i/>
          <w:iCs/>
        </w:rPr>
        <w:t xml:space="preserve"> Paper No. 3 – Service Delivery</w:t>
      </w:r>
      <w:r w:rsidR="00597285">
        <w:rPr>
          <w:i/>
          <w:iCs/>
        </w:rPr>
        <w:t xml:space="preserve"> </w:t>
      </w:r>
      <w:r w:rsidR="00597285" w:rsidRPr="00F45F4C">
        <w:t>(BP3)</w:t>
      </w:r>
      <w:r w:rsidR="00597285">
        <w:rPr>
          <w:szCs w:val="20"/>
        </w:rPr>
        <w:t xml:space="preserve"> introduced</w:t>
      </w:r>
      <w:r w:rsidR="00603B69" w:rsidRPr="00AA54F0">
        <w:rPr>
          <w:szCs w:val="20"/>
        </w:rPr>
        <w:t xml:space="preserve"> four new measures</w:t>
      </w:r>
      <w:r w:rsidR="00597285">
        <w:rPr>
          <w:szCs w:val="20"/>
        </w:rPr>
        <w:t xml:space="preserve"> and</w:t>
      </w:r>
      <w:r w:rsidR="003D0AF1">
        <w:rPr>
          <w:szCs w:val="20"/>
        </w:rPr>
        <w:t> </w:t>
      </w:r>
      <w:r w:rsidR="00597285">
        <w:rPr>
          <w:szCs w:val="20"/>
        </w:rPr>
        <w:t>corresponding targets</w:t>
      </w:r>
      <w:r w:rsidR="00603B69" w:rsidRPr="00AA54F0">
        <w:rPr>
          <w:szCs w:val="20"/>
        </w:rPr>
        <w:t xml:space="preserve"> relating to consumer and</w:t>
      </w:r>
      <w:r w:rsidR="003D0AF1">
        <w:rPr>
          <w:szCs w:val="20"/>
        </w:rPr>
        <w:t> </w:t>
      </w:r>
      <w:r w:rsidR="00603B69" w:rsidRPr="00AA54F0">
        <w:rPr>
          <w:szCs w:val="20"/>
        </w:rPr>
        <w:t>carer experience of mental health services. It</w:t>
      </w:r>
      <w:r w:rsidR="003D0AF1">
        <w:rPr>
          <w:szCs w:val="20"/>
        </w:rPr>
        <w:t> </w:t>
      </w:r>
      <w:r w:rsidR="00603B69" w:rsidRPr="00AA54F0">
        <w:rPr>
          <w:szCs w:val="20"/>
        </w:rPr>
        <w:t>will be the first time either consumer or carer experience measures have been publicly reported on by government and marks the beginning of a new approach to BP3 reporting</w:t>
      </w:r>
      <w:r w:rsidR="00962E22">
        <w:rPr>
          <w:szCs w:val="20"/>
        </w:rPr>
        <w:t xml:space="preserve">. </w:t>
      </w:r>
      <w:r w:rsidR="000E6C4D">
        <w:rPr>
          <w:szCs w:val="20"/>
        </w:rPr>
        <w:t>E</w:t>
      </w:r>
      <w:r w:rsidR="00603B69" w:rsidRPr="00AA54F0">
        <w:rPr>
          <w:szCs w:val="20"/>
        </w:rPr>
        <w:t>xisting measures</w:t>
      </w:r>
      <w:r w:rsidR="00962E22">
        <w:rPr>
          <w:szCs w:val="20"/>
        </w:rPr>
        <w:t xml:space="preserve"> were also updated</w:t>
      </w:r>
      <w:r w:rsidR="00603B69" w:rsidRPr="00AA54F0">
        <w:rPr>
          <w:szCs w:val="20"/>
        </w:rPr>
        <w:t>.</w:t>
      </w:r>
    </w:p>
    <w:p w14:paraId="0538885B" w14:textId="10F86587" w:rsidR="00603B69" w:rsidRDefault="00603B69" w:rsidP="00603B69">
      <w:pPr>
        <w:pStyle w:val="ARbody"/>
        <w:rPr>
          <w:szCs w:val="20"/>
        </w:rPr>
      </w:pPr>
      <w:r w:rsidRPr="00AA54F0">
        <w:rPr>
          <w:szCs w:val="20"/>
        </w:rPr>
        <w:t>The new and updated measures will report on</w:t>
      </w:r>
      <w:r w:rsidR="003D0AF1">
        <w:rPr>
          <w:szCs w:val="20"/>
        </w:rPr>
        <w:t> </w:t>
      </w:r>
      <w:r w:rsidRPr="00AA54F0">
        <w:rPr>
          <w:szCs w:val="20"/>
        </w:rPr>
        <w:t>the</w:t>
      </w:r>
      <w:r w:rsidR="003D0AF1">
        <w:rPr>
          <w:szCs w:val="20"/>
        </w:rPr>
        <w:t> </w:t>
      </w:r>
      <w:r w:rsidR="000E6C4D">
        <w:rPr>
          <w:szCs w:val="20"/>
        </w:rPr>
        <w:t>g</w:t>
      </w:r>
      <w:r w:rsidRPr="00AA54F0">
        <w:rPr>
          <w:szCs w:val="20"/>
        </w:rPr>
        <w:t xml:space="preserve">overnment's response to the </w:t>
      </w:r>
      <w:r w:rsidR="000E6C4D">
        <w:rPr>
          <w:szCs w:val="20"/>
        </w:rPr>
        <w:t>Royal Commission’s f</w:t>
      </w:r>
      <w:r w:rsidRPr="00AA54F0">
        <w:rPr>
          <w:szCs w:val="20"/>
        </w:rPr>
        <w:t xml:space="preserve">inal </w:t>
      </w:r>
      <w:r w:rsidR="000E6C4D">
        <w:rPr>
          <w:szCs w:val="20"/>
        </w:rPr>
        <w:t>r</w:t>
      </w:r>
      <w:r w:rsidRPr="00AA54F0">
        <w:rPr>
          <w:szCs w:val="20"/>
        </w:rPr>
        <w:t xml:space="preserve">eport </w:t>
      </w:r>
      <w:r w:rsidRPr="005330B3">
        <w:rPr>
          <w:szCs w:val="20"/>
        </w:rPr>
        <w:t xml:space="preserve">and </w:t>
      </w:r>
      <w:r w:rsidR="005330B3" w:rsidRPr="005330B3">
        <w:rPr>
          <w:szCs w:val="20"/>
        </w:rPr>
        <w:t>are</w:t>
      </w:r>
      <w:r w:rsidR="005330B3" w:rsidRPr="00AA54F0">
        <w:rPr>
          <w:szCs w:val="20"/>
        </w:rPr>
        <w:t xml:space="preserve"> </w:t>
      </w:r>
      <w:r w:rsidRPr="00AA54F0">
        <w:rPr>
          <w:szCs w:val="20"/>
        </w:rPr>
        <w:t xml:space="preserve">another </w:t>
      </w:r>
      <w:r w:rsidR="000E6C4D">
        <w:rPr>
          <w:szCs w:val="20"/>
        </w:rPr>
        <w:t>example</w:t>
      </w:r>
      <w:r w:rsidR="000E6C4D" w:rsidRPr="00AA54F0">
        <w:rPr>
          <w:szCs w:val="20"/>
        </w:rPr>
        <w:t xml:space="preserve"> </w:t>
      </w:r>
      <w:r w:rsidRPr="00AA54F0">
        <w:rPr>
          <w:szCs w:val="20"/>
        </w:rPr>
        <w:t xml:space="preserve">of the </w:t>
      </w:r>
      <w:r w:rsidR="000E6C4D">
        <w:rPr>
          <w:szCs w:val="20"/>
        </w:rPr>
        <w:t>d</w:t>
      </w:r>
      <w:r w:rsidRPr="00AA54F0">
        <w:rPr>
          <w:szCs w:val="20"/>
        </w:rPr>
        <w:t>epartment</w:t>
      </w:r>
      <w:r w:rsidR="000E6C4D">
        <w:rPr>
          <w:szCs w:val="20"/>
        </w:rPr>
        <w:t>’s wish to</w:t>
      </w:r>
      <w:r w:rsidRPr="00AA54F0">
        <w:rPr>
          <w:szCs w:val="20"/>
        </w:rPr>
        <w:t xml:space="preserve"> shift the focus </w:t>
      </w:r>
      <w:r w:rsidR="000E6C4D">
        <w:rPr>
          <w:szCs w:val="20"/>
        </w:rPr>
        <w:t xml:space="preserve">of reporting </w:t>
      </w:r>
      <w:r w:rsidRPr="00AA54F0">
        <w:rPr>
          <w:szCs w:val="20"/>
        </w:rPr>
        <w:t>toward outcomes</w:t>
      </w:r>
      <w:r w:rsidR="00565271">
        <w:rPr>
          <w:szCs w:val="20"/>
        </w:rPr>
        <w:t xml:space="preserve">, consistent with </w:t>
      </w:r>
      <w:r w:rsidR="00245C36">
        <w:rPr>
          <w:szCs w:val="20"/>
        </w:rPr>
        <w:t xml:space="preserve">the Victorian Auditor-General’s </w:t>
      </w:r>
      <w:r w:rsidR="00957EBD">
        <w:rPr>
          <w:szCs w:val="20"/>
        </w:rPr>
        <w:t>re</w:t>
      </w:r>
      <w:r w:rsidR="00EA7BAE">
        <w:rPr>
          <w:szCs w:val="20"/>
        </w:rPr>
        <w:t>port</w:t>
      </w:r>
      <w:r w:rsidR="00E302B7">
        <w:rPr>
          <w:rStyle w:val="FootnoteReference"/>
        </w:rPr>
        <w:t>(</w:t>
      </w:r>
      <w:r w:rsidR="00E302B7" w:rsidRPr="001A559C">
        <w:rPr>
          <w:rStyle w:val="FootnoteReference"/>
        </w:rPr>
        <w:footnoteReference w:id="8"/>
      </w:r>
      <w:r w:rsidR="00E302B7">
        <w:rPr>
          <w:rStyle w:val="FootnoteReference"/>
        </w:rPr>
        <w:t>)</w:t>
      </w:r>
      <w:r w:rsidRPr="00AA54F0">
        <w:rPr>
          <w:szCs w:val="20"/>
        </w:rPr>
        <w:t xml:space="preserve"> </w:t>
      </w:r>
      <w:r w:rsidR="00EA7BAE">
        <w:rPr>
          <w:szCs w:val="20"/>
        </w:rPr>
        <w:t xml:space="preserve">on service delivery. </w:t>
      </w:r>
      <w:r w:rsidR="000E6C4D">
        <w:rPr>
          <w:szCs w:val="20"/>
        </w:rPr>
        <w:t xml:space="preserve">The </w:t>
      </w:r>
      <w:r w:rsidR="00740C21">
        <w:rPr>
          <w:szCs w:val="20"/>
        </w:rPr>
        <w:t xml:space="preserve">department’s intention is </w:t>
      </w:r>
      <w:r w:rsidR="00DF71C6">
        <w:rPr>
          <w:szCs w:val="20"/>
        </w:rPr>
        <w:t>for the</w:t>
      </w:r>
      <w:r w:rsidR="00740C21">
        <w:rPr>
          <w:szCs w:val="20"/>
        </w:rPr>
        <w:t xml:space="preserve"> </w:t>
      </w:r>
      <w:r w:rsidR="000E6C4D">
        <w:rPr>
          <w:szCs w:val="20"/>
        </w:rPr>
        <w:t>t</w:t>
      </w:r>
      <w:r w:rsidRPr="00AA54F0">
        <w:rPr>
          <w:szCs w:val="20"/>
        </w:rPr>
        <w:t>ransformation of BP3 measure</w:t>
      </w:r>
      <w:r w:rsidR="000E6C4D">
        <w:rPr>
          <w:szCs w:val="20"/>
        </w:rPr>
        <w:t>s</w:t>
      </w:r>
      <w:r w:rsidRPr="00AA54F0">
        <w:rPr>
          <w:szCs w:val="20"/>
        </w:rPr>
        <w:t xml:space="preserve"> and reporting </w:t>
      </w:r>
      <w:r w:rsidR="00DF71C6">
        <w:rPr>
          <w:szCs w:val="20"/>
        </w:rPr>
        <w:t>to enhance</w:t>
      </w:r>
      <w:r w:rsidRPr="00AA54F0">
        <w:rPr>
          <w:szCs w:val="20"/>
        </w:rPr>
        <w:t xml:space="preserve"> transparency, strengthen incentives for performance improvement, and support better decision making.</w:t>
      </w:r>
    </w:p>
    <w:p w14:paraId="2BF92BA8" w14:textId="6370668E" w:rsidR="00603B69" w:rsidRDefault="00603B69" w:rsidP="007835E3">
      <w:pPr>
        <w:pStyle w:val="Heading4"/>
      </w:pPr>
      <w:r>
        <w:rPr>
          <w:szCs w:val="20"/>
        </w:rPr>
        <w:br w:type="column"/>
      </w:r>
      <w:bookmarkStart w:id="81" w:name="_An_effective,_high"/>
      <w:bookmarkStart w:id="82" w:name="_Ref104215431"/>
      <w:bookmarkEnd w:id="81"/>
      <w:r w:rsidR="000C7E04">
        <w:rPr>
          <w:szCs w:val="20"/>
        </w:rPr>
        <w:t xml:space="preserve">Key priority: </w:t>
      </w:r>
      <w:r w:rsidRPr="00CF1ABC">
        <w:t>An effective, high</w:t>
      </w:r>
      <w:r w:rsidR="000E6C4D">
        <w:t>-</w:t>
      </w:r>
      <w:r w:rsidRPr="00CF1ABC">
        <w:t>quality mental health system for the community</w:t>
      </w:r>
      <w:bookmarkEnd w:id="82"/>
    </w:p>
    <w:p w14:paraId="2AB1EB4D" w14:textId="2D308C9F" w:rsidR="00603B69" w:rsidRDefault="00603B69" w:rsidP="00603B69">
      <w:pPr>
        <w:pStyle w:val="Heading5"/>
      </w:pPr>
      <w:r w:rsidRPr="00CF1ABC">
        <w:t>Deliver new and better mental health and</w:t>
      </w:r>
      <w:r w:rsidR="003D0AF1">
        <w:t> </w:t>
      </w:r>
      <w:r w:rsidRPr="00CF1ABC">
        <w:t>wellbeing services</w:t>
      </w:r>
    </w:p>
    <w:p w14:paraId="069CB301" w14:textId="2E9076C6" w:rsidR="00603B69" w:rsidRPr="00AA54F0" w:rsidRDefault="00603B69" w:rsidP="00603B69">
      <w:pPr>
        <w:pStyle w:val="ARbody"/>
        <w:rPr>
          <w:szCs w:val="20"/>
        </w:rPr>
      </w:pPr>
      <w:r w:rsidRPr="00AA54F0">
        <w:rPr>
          <w:szCs w:val="20"/>
        </w:rPr>
        <w:t>A major emphasis of the Royal Commission’s final</w:t>
      </w:r>
      <w:r w:rsidR="003D0AF1">
        <w:rPr>
          <w:szCs w:val="20"/>
        </w:rPr>
        <w:t> </w:t>
      </w:r>
      <w:r w:rsidRPr="00AA54F0">
        <w:rPr>
          <w:szCs w:val="20"/>
        </w:rPr>
        <w:t>report was the reconfiguration and expansion of mental health and wellbeing services. Key elements of these changes include:</w:t>
      </w:r>
    </w:p>
    <w:p w14:paraId="448BF286" w14:textId="0BE2D1D5" w:rsidR="00603B69" w:rsidRPr="00AA54F0" w:rsidRDefault="00603B69" w:rsidP="007835E3">
      <w:pPr>
        <w:pStyle w:val="ARbullet1"/>
      </w:pPr>
      <w:r w:rsidRPr="00AA54F0">
        <w:t xml:space="preserve">the creation of new </w:t>
      </w:r>
      <w:r w:rsidR="00F30F6C">
        <w:t>‘</w:t>
      </w:r>
      <w:r w:rsidRPr="00AA54F0">
        <w:t>local</w:t>
      </w:r>
      <w:r w:rsidR="00F30F6C">
        <w:t>’</w:t>
      </w:r>
      <w:r w:rsidRPr="00AA54F0">
        <w:t xml:space="preserve"> mental health and wellbeing service</w:t>
      </w:r>
      <w:r w:rsidR="00770C95">
        <w:t>s</w:t>
      </w:r>
      <w:r>
        <w:t xml:space="preserve"> for adults</w:t>
      </w:r>
      <w:r w:rsidR="00C00792">
        <w:t xml:space="preserve"> and seniors</w:t>
      </w:r>
      <w:r w:rsidR="00F30F6C">
        <w:t>,</w:t>
      </w:r>
      <w:r w:rsidRPr="00AA54F0">
        <w:t xml:space="preserve"> which provide an easy way to get treatment and support – at a level between primary providers and </w:t>
      </w:r>
      <w:r w:rsidR="00F30F6C">
        <w:t>‘</w:t>
      </w:r>
      <w:r w:rsidRPr="00AA54F0">
        <w:t>area</w:t>
      </w:r>
      <w:r w:rsidR="00F30F6C">
        <w:t>’</w:t>
      </w:r>
      <w:r w:rsidRPr="00AA54F0">
        <w:t xml:space="preserve"> services</w:t>
      </w:r>
    </w:p>
    <w:p w14:paraId="47E3CB42" w14:textId="31764178" w:rsidR="00603B69" w:rsidRPr="00AA54F0" w:rsidRDefault="00603B69" w:rsidP="007835E3">
      <w:pPr>
        <w:pStyle w:val="ARbullet1"/>
      </w:pPr>
      <w:r w:rsidRPr="00AA54F0">
        <w:t>expansion and realignment of area mental health and wellbeing services into revised age-based streams</w:t>
      </w:r>
      <w:r w:rsidR="00770C95">
        <w:t>,</w:t>
      </w:r>
      <w:r w:rsidRPr="00AA54F0">
        <w:t xml:space="preserve"> including infant</w:t>
      </w:r>
      <w:r w:rsidR="00237380">
        <w:t>,</w:t>
      </w:r>
      <w:r w:rsidRPr="00AA54F0">
        <w:t xml:space="preserve"> child and youth</w:t>
      </w:r>
      <w:r w:rsidR="00237380">
        <w:t>,</w:t>
      </w:r>
      <w:r w:rsidRPr="00AA54F0">
        <w:t xml:space="preserve"> and young adults; and adult and </w:t>
      </w:r>
      <w:r w:rsidR="00C00792">
        <w:t>seniors</w:t>
      </w:r>
      <w:r w:rsidR="00237380">
        <w:t xml:space="preserve"> </w:t>
      </w:r>
      <w:r w:rsidRPr="00AA54F0">
        <w:t>streams</w:t>
      </w:r>
    </w:p>
    <w:p w14:paraId="1552B11E" w14:textId="1C61E1DD" w:rsidR="003F0283" w:rsidRDefault="00603B69" w:rsidP="007835E3">
      <w:pPr>
        <w:pStyle w:val="ARbullet1"/>
      </w:pPr>
      <w:r w:rsidRPr="00AA54F0">
        <w:t>new investment in home and community-based services</w:t>
      </w:r>
      <w:r w:rsidR="00770C95">
        <w:t>.</w:t>
      </w:r>
    </w:p>
    <w:p w14:paraId="5B8DA770" w14:textId="5A6B7E44" w:rsidR="003F0283" w:rsidRDefault="00603B69" w:rsidP="007835E3">
      <w:pPr>
        <w:pStyle w:val="ARbodyafterbullets"/>
      </w:pPr>
      <w:r w:rsidRPr="00AA54F0">
        <w:t>After extensive place-based engagement</w:t>
      </w:r>
      <w:r>
        <w:t>,</w:t>
      </w:r>
      <w:r w:rsidRPr="00AA54F0">
        <w:t xml:space="preserve"> the first</w:t>
      </w:r>
      <w:r w:rsidR="003D0AF1">
        <w:t> </w:t>
      </w:r>
      <w:r w:rsidRPr="00AA54F0">
        <w:t xml:space="preserve">six local service providers were identified </w:t>
      </w:r>
      <w:r w:rsidR="00B50804">
        <w:t>in</w:t>
      </w:r>
      <w:r w:rsidR="003D0AF1">
        <w:t> </w:t>
      </w:r>
      <w:r w:rsidRPr="00AA54F0">
        <w:t>Benalla/Wangaratta/Mansfield; Latrobe City; Frankston; Geelong/Queenscliff; Brimbank; and</w:t>
      </w:r>
      <w:r w:rsidR="003D0AF1">
        <w:t> </w:t>
      </w:r>
      <w:r w:rsidRPr="00AA54F0">
        <w:t>Whittlesea. These</w:t>
      </w:r>
      <w:r>
        <w:t xml:space="preserve"> services</w:t>
      </w:r>
      <w:r w:rsidRPr="00AA54F0">
        <w:t xml:space="preserve"> will commence operation </w:t>
      </w:r>
      <w:r>
        <w:t>in the second half of</w:t>
      </w:r>
      <w:r w:rsidRPr="00AA54F0">
        <w:t xml:space="preserve"> 2022.</w:t>
      </w:r>
    </w:p>
    <w:p w14:paraId="6A9C43E7" w14:textId="49F99113" w:rsidR="003F0283" w:rsidRDefault="00603B69" w:rsidP="00603B69">
      <w:pPr>
        <w:pStyle w:val="ARbody"/>
        <w:rPr>
          <w:szCs w:val="20"/>
        </w:rPr>
      </w:pPr>
      <w:r w:rsidRPr="00AA54F0">
        <w:rPr>
          <w:szCs w:val="20"/>
        </w:rPr>
        <w:t>In 20</w:t>
      </w:r>
      <w:r w:rsidR="005E4358">
        <w:rPr>
          <w:szCs w:val="20"/>
        </w:rPr>
        <w:t>21–22</w:t>
      </w:r>
      <w:r>
        <w:rPr>
          <w:szCs w:val="20"/>
        </w:rPr>
        <w:t>,</w:t>
      </w:r>
      <w:r w:rsidRPr="00AA54F0">
        <w:rPr>
          <w:szCs w:val="20"/>
        </w:rPr>
        <w:t xml:space="preserve"> the department commenced work with major partners in the reform </w:t>
      </w:r>
      <w:r>
        <w:rPr>
          <w:szCs w:val="20"/>
        </w:rPr>
        <w:t>of</w:t>
      </w:r>
      <w:r w:rsidRPr="00AA54F0">
        <w:rPr>
          <w:szCs w:val="20"/>
        </w:rPr>
        <w:t xml:space="preserve"> </w:t>
      </w:r>
      <w:r>
        <w:rPr>
          <w:szCs w:val="20"/>
        </w:rPr>
        <w:t>a</w:t>
      </w:r>
      <w:r w:rsidRPr="00AA54F0">
        <w:rPr>
          <w:szCs w:val="20"/>
        </w:rPr>
        <w:t>rea</w:t>
      </w:r>
      <w:r>
        <w:rPr>
          <w:szCs w:val="20"/>
        </w:rPr>
        <w:t xml:space="preserve"> mental health and wellbeing services</w:t>
      </w:r>
      <w:r w:rsidRPr="00AA54F0">
        <w:rPr>
          <w:szCs w:val="20"/>
        </w:rPr>
        <w:t>. Th</w:t>
      </w:r>
      <w:r w:rsidR="003F76C2">
        <w:rPr>
          <w:szCs w:val="20"/>
        </w:rPr>
        <w:t>is</w:t>
      </w:r>
      <w:r w:rsidRPr="00AA54F0">
        <w:rPr>
          <w:szCs w:val="20"/>
        </w:rPr>
        <w:t xml:space="preserve"> included plans to more effectively integrate lived experience workforces into </w:t>
      </w:r>
      <w:r w:rsidR="00770C95">
        <w:rPr>
          <w:szCs w:val="20"/>
        </w:rPr>
        <w:t xml:space="preserve">the </w:t>
      </w:r>
      <w:r w:rsidRPr="00AA54F0">
        <w:rPr>
          <w:szCs w:val="20"/>
        </w:rPr>
        <w:t xml:space="preserve">design, planning and delivery of care and support services. The plans also </w:t>
      </w:r>
      <w:r w:rsidR="00237380">
        <w:rPr>
          <w:szCs w:val="20"/>
        </w:rPr>
        <w:t>sought</w:t>
      </w:r>
      <w:r w:rsidR="00237380" w:rsidRPr="00AA54F0">
        <w:rPr>
          <w:szCs w:val="20"/>
        </w:rPr>
        <w:t xml:space="preserve"> </w:t>
      </w:r>
      <w:r w:rsidRPr="00AA54F0">
        <w:rPr>
          <w:szCs w:val="20"/>
        </w:rPr>
        <w:t xml:space="preserve">to expand core clinical services and ensure changes to age-based service delivery streams </w:t>
      </w:r>
      <w:r>
        <w:rPr>
          <w:szCs w:val="20"/>
        </w:rPr>
        <w:t>are</w:t>
      </w:r>
      <w:r w:rsidRPr="00AA54F0">
        <w:rPr>
          <w:szCs w:val="20"/>
        </w:rPr>
        <w:t xml:space="preserve"> seamless from a consumer perspective.</w:t>
      </w:r>
    </w:p>
    <w:p w14:paraId="2E8722CD" w14:textId="491AA441" w:rsidR="00FE3A2C" w:rsidRPr="00AA54F0" w:rsidRDefault="00FE3A2C" w:rsidP="00FE3A2C">
      <w:pPr>
        <w:pStyle w:val="ARbody"/>
        <w:rPr>
          <w:szCs w:val="20"/>
        </w:rPr>
      </w:pPr>
      <w:r>
        <w:rPr>
          <w:szCs w:val="20"/>
        </w:rPr>
        <w:t>The department also</w:t>
      </w:r>
      <w:r w:rsidRPr="00AA54F0">
        <w:rPr>
          <w:szCs w:val="20"/>
        </w:rPr>
        <w:t xml:space="preserve"> expan</w:t>
      </w:r>
      <w:r>
        <w:rPr>
          <w:szCs w:val="20"/>
        </w:rPr>
        <w:t xml:space="preserve">ded </w:t>
      </w:r>
      <w:r w:rsidRPr="00AA54F0">
        <w:rPr>
          <w:szCs w:val="20"/>
        </w:rPr>
        <w:t>trials of hospital-in-the-home services (</w:t>
      </w:r>
      <w:r>
        <w:rPr>
          <w:szCs w:val="20"/>
        </w:rPr>
        <w:t>that</w:t>
      </w:r>
      <w:r w:rsidRPr="00AA54F0">
        <w:rPr>
          <w:szCs w:val="20"/>
        </w:rPr>
        <w:t xml:space="preserve"> commenced in early 2021) and improved integration of mental health and alcohol and other drug services. </w:t>
      </w:r>
      <w:r>
        <w:rPr>
          <w:szCs w:val="20"/>
        </w:rPr>
        <w:t>In April 2022, the department announced</w:t>
      </w:r>
      <w:r w:rsidR="003F76C2">
        <w:rPr>
          <w:szCs w:val="20"/>
        </w:rPr>
        <w:t xml:space="preserve"> as well</w:t>
      </w:r>
      <w:r>
        <w:rPr>
          <w:szCs w:val="20"/>
        </w:rPr>
        <w:t xml:space="preserve"> the</w:t>
      </w:r>
      <w:r w:rsidRPr="00AA54F0">
        <w:rPr>
          <w:szCs w:val="20"/>
        </w:rPr>
        <w:t xml:space="preserve"> first three Infant, Child and Family hub locations in Southern Melbourne, Brimbank-Melton, and Loddon.</w:t>
      </w:r>
    </w:p>
    <w:p w14:paraId="19029A14" w14:textId="3667D4D7" w:rsidR="003F0283" w:rsidRDefault="0031156A" w:rsidP="00603B69">
      <w:pPr>
        <w:pStyle w:val="Heading6"/>
      </w:pPr>
      <w:r>
        <w:br w:type="column"/>
      </w:r>
      <w:r w:rsidR="00603B69">
        <w:t xml:space="preserve">Mental </w:t>
      </w:r>
      <w:r w:rsidR="00A45EFD">
        <w:t>H</w:t>
      </w:r>
      <w:r w:rsidR="00603B69">
        <w:t xml:space="preserve">ealth </w:t>
      </w:r>
      <w:r w:rsidR="00265E3E">
        <w:t>I</w:t>
      </w:r>
      <w:r w:rsidR="00603B69">
        <w:t xml:space="preserve">mprovement </w:t>
      </w:r>
      <w:r w:rsidR="00265E3E">
        <w:t>P</w:t>
      </w:r>
      <w:r w:rsidR="00603B69">
        <w:t>rogram</w:t>
      </w:r>
    </w:p>
    <w:p w14:paraId="7926176D" w14:textId="3C50E02F" w:rsidR="00BA57DA" w:rsidRDefault="00B72035" w:rsidP="007835E3">
      <w:pPr>
        <w:pStyle w:val="ARbody"/>
      </w:pPr>
      <w:r w:rsidRPr="006B7810">
        <w:t xml:space="preserve">In 2021, Safer Care Victoria, the state’s lead agency for healthcare improvement, established the Mental Health Improvement Program. </w:t>
      </w:r>
      <w:r w:rsidR="00795944" w:rsidRPr="006B7810">
        <w:t xml:space="preserve">Under this program, </w:t>
      </w:r>
      <w:r w:rsidRPr="006B7810">
        <w:t>the Chief Mental Health Nurse</w:t>
      </w:r>
      <w:r w:rsidR="00BA57DA" w:rsidRPr="006B7810">
        <w:t>, lived</w:t>
      </w:r>
      <w:r w:rsidR="003D0AF1">
        <w:t> </w:t>
      </w:r>
      <w:r w:rsidR="00BA57DA" w:rsidRPr="006B7810">
        <w:t>experience advisors, and the project team</w:t>
      </w:r>
      <w:r w:rsidR="003F76C2" w:rsidRPr="006B7810">
        <w:t xml:space="preserve"> transitioned</w:t>
      </w:r>
      <w:r w:rsidR="00BA57DA" w:rsidRPr="006B7810">
        <w:t xml:space="preserve"> from the Office of the Chief Psychiatrist to Safer Care Victoria. This move consolidated the quality and safety functions of the Office of the Chief Mental Health Nurse with the quality and safety remit of Safer Care Victoria.</w:t>
      </w:r>
    </w:p>
    <w:p w14:paraId="07A80D99" w14:textId="4D6502A0" w:rsidR="00840D2A" w:rsidRDefault="00840D2A" w:rsidP="00840D2A">
      <w:pPr>
        <w:pStyle w:val="ARbody"/>
      </w:pPr>
      <w:r w:rsidRPr="7AC3B60B">
        <w:t xml:space="preserve">A Mental </w:t>
      </w:r>
      <w:r>
        <w:t>H</w:t>
      </w:r>
      <w:r w:rsidRPr="7AC3B60B">
        <w:t xml:space="preserve">ealth </w:t>
      </w:r>
      <w:r>
        <w:t>I</w:t>
      </w:r>
      <w:r w:rsidRPr="7AC3B60B">
        <w:t xml:space="preserve">mprovement </w:t>
      </w:r>
      <w:r>
        <w:t>L</w:t>
      </w:r>
      <w:r w:rsidRPr="7AC3B60B">
        <w:t xml:space="preserve">eadership </w:t>
      </w:r>
      <w:r>
        <w:t>A</w:t>
      </w:r>
      <w:r w:rsidRPr="7AC3B60B">
        <w:t xml:space="preserve">dvisory </w:t>
      </w:r>
      <w:r>
        <w:t>G</w:t>
      </w:r>
      <w:r w:rsidRPr="7AC3B60B">
        <w:t>roup, compris</w:t>
      </w:r>
      <w:r>
        <w:t>ing</w:t>
      </w:r>
      <w:r w:rsidRPr="7AC3B60B">
        <w:t xml:space="preserve"> clinicians, consumers and carers, was </w:t>
      </w:r>
      <w:r>
        <w:t>established</w:t>
      </w:r>
      <w:r w:rsidRPr="7AC3B60B">
        <w:t xml:space="preserve"> to guide th</w:t>
      </w:r>
      <w:r>
        <w:t>e</w:t>
      </w:r>
      <w:r w:rsidRPr="7AC3B60B">
        <w:t xml:space="preserve"> delivery of the</w:t>
      </w:r>
      <w:r w:rsidR="003D0AF1">
        <w:t> </w:t>
      </w:r>
      <w:r w:rsidRPr="7AC3B60B">
        <w:t xml:space="preserve">program. </w:t>
      </w:r>
      <w:r>
        <w:t>A</w:t>
      </w:r>
      <w:r w:rsidRPr="7AC3B60B">
        <w:t>n expert working group of clinicians, consumers</w:t>
      </w:r>
      <w:r>
        <w:t xml:space="preserve"> and </w:t>
      </w:r>
      <w:r w:rsidRPr="7AC3B60B">
        <w:t xml:space="preserve">carers </w:t>
      </w:r>
      <w:r>
        <w:t xml:space="preserve">also </w:t>
      </w:r>
      <w:r w:rsidRPr="7AC3B60B">
        <w:t>met to focus on improvement priorities.</w:t>
      </w:r>
    </w:p>
    <w:p w14:paraId="14C78641" w14:textId="6DE802BC" w:rsidR="003F0283" w:rsidRDefault="00603B69" w:rsidP="007835E3">
      <w:pPr>
        <w:pStyle w:val="ARbody"/>
      </w:pPr>
      <w:r w:rsidRPr="7AC3B60B">
        <w:t>As recommended by the Royal Commission, two</w:t>
      </w:r>
      <w:r w:rsidR="003D0AF1">
        <w:t> </w:t>
      </w:r>
      <w:r w:rsidRPr="7AC3B60B">
        <w:t>streams of work have emerged as key priority</w:t>
      </w:r>
      <w:r w:rsidR="003D0AF1">
        <w:t> </w:t>
      </w:r>
      <w:r w:rsidRPr="7AC3B60B">
        <w:t>areas:</w:t>
      </w:r>
    </w:p>
    <w:p w14:paraId="643E1449" w14:textId="6825FF7E" w:rsidR="00603B69" w:rsidRDefault="00603B69" w:rsidP="00603B69">
      <w:pPr>
        <w:pStyle w:val="ARbullet1"/>
      </w:pPr>
      <w:r w:rsidRPr="7AC3B60B">
        <w:t>Stream one: Safety for all</w:t>
      </w:r>
    </w:p>
    <w:p w14:paraId="5EDB8F4D" w14:textId="77777777" w:rsidR="003F0283" w:rsidRPr="0010411A" w:rsidRDefault="00603B69" w:rsidP="0010411A">
      <w:pPr>
        <w:pStyle w:val="ARbullet2"/>
      </w:pPr>
      <w:r w:rsidRPr="7AC3B60B">
        <w:t>To</w:t>
      </w:r>
      <w:r w:rsidRPr="0010411A">
        <w:t>wards the elimination of restrictive intervention</w:t>
      </w:r>
    </w:p>
    <w:p w14:paraId="5AA6C212" w14:textId="77777777" w:rsidR="003F0283" w:rsidRPr="0010411A" w:rsidRDefault="00603B69" w:rsidP="0010411A">
      <w:pPr>
        <w:pStyle w:val="ARbullet2"/>
      </w:pPr>
      <w:r w:rsidRPr="0010411A">
        <w:t>Preventing gender-based violence</w:t>
      </w:r>
    </w:p>
    <w:p w14:paraId="499CE749" w14:textId="77777777" w:rsidR="003F0283" w:rsidRDefault="00603B69" w:rsidP="0010411A">
      <w:pPr>
        <w:pStyle w:val="ARbullet2"/>
      </w:pPr>
      <w:r w:rsidRPr="0010411A">
        <w:t>Preve</w:t>
      </w:r>
      <w:r w:rsidRPr="7AC3B60B">
        <w:t>nting suicides in mental healthcare settings.</w:t>
      </w:r>
    </w:p>
    <w:p w14:paraId="76CD9836" w14:textId="6D538599" w:rsidR="003F0283" w:rsidRDefault="00603B69" w:rsidP="00603B69">
      <w:pPr>
        <w:pStyle w:val="ARbullet1"/>
      </w:pPr>
      <w:r w:rsidRPr="7AC3B60B">
        <w:t>Stream two: Reducing compulsory treatment</w:t>
      </w:r>
      <w:r w:rsidR="007A0311">
        <w:t>.</w:t>
      </w:r>
    </w:p>
    <w:p w14:paraId="7924B93F" w14:textId="50584052" w:rsidR="00603B69" w:rsidRDefault="00603B69" w:rsidP="007835E3">
      <w:pPr>
        <w:pStyle w:val="ARbodyafterbullets"/>
      </w:pPr>
      <w:r w:rsidRPr="7AC3B60B">
        <w:t xml:space="preserve">Safety for all will initially focus on the elimination of restrictive practices in acute mental health inpatient units. Reducing compulsory treatment aims to reduce </w:t>
      </w:r>
      <w:r w:rsidR="00795944">
        <w:t xml:space="preserve">the number of </w:t>
      </w:r>
      <w:r w:rsidRPr="7AC3B60B">
        <w:t>community treatment orders and focus on community and hospital settings.</w:t>
      </w:r>
    </w:p>
    <w:p w14:paraId="10E3AF02" w14:textId="24807972" w:rsidR="00603B69" w:rsidRDefault="00603B69" w:rsidP="00603B69">
      <w:pPr>
        <w:pStyle w:val="Heading5"/>
      </w:pPr>
      <w:r w:rsidRPr="00CF1ABC">
        <w:t>Develop a new mental health and wellbeing</w:t>
      </w:r>
      <w:r w:rsidR="003D0AF1">
        <w:t> </w:t>
      </w:r>
      <w:r w:rsidRPr="00CF1ABC">
        <w:t>workforce strategy</w:t>
      </w:r>
    </w:p>
    <w:p w14:paraId="2AD5B896" w14:textId="0701EFE8" w:rsidR="00B250A0" w:rsidRDefault="00B250A0" w:rsidP="00B250A0">
      <w:pPr>
        <w:pStyle w:val="ARbody"/>
      </w:pPr>
      <w:r w:rsidRPr="009B3558">
        <w:t>The Royal Commission</w:t>
      </w:r>
      <w:r w:rsidR="006375C6" w:rsidRPr="009B3558">
        <w:t xml:space="preserve"> highlighted the importance</w:t>
      </w:r>
      <w:r w:rsidR="003D0AF1" w:rsidRPr="009B3558">
        <w:t> </w:t>
      </w:r>
      <w:r w:rsidR="006375C6" w:rsidRPr="009B3558">
        <w:t>of a skilled mental health workforce</w:t>
      </w:r>
      <w:r w:rsidR="00785318" w:rsidRPr="009B3558">
        <w:t>.</w:t>
      </w:r>
      <w:r w:rsidR="007369B8" w:rsidRPr="009B3558">
        <w:t xml:space="preserve"> </w:t>
      </w:r>
      <w:r w:rsidR="009B3558" w:rsidRPr="005C4468">
        <w:t xml:space="preserve"> </w:t>
      </w:r>
      <w:r w:rsidR="00C46D64">
        <w:t>I</w:t>
      </w:r>
      <w:r w:rsidR="00785318" w:rsidRPr="009B3558">
        <w:t>t </w:t>
      </w:r>
      <w:r w:rsidRPr="009B3558">
        <w:t>recommended</w:t>
      </w:r>
      <w:r w:rsidR="006375C6" w:rsidRPr="009B3558">
        <w:t xml:space="preserve"> that a mental health workforce strategy</w:t>
      </w:r>
      <w:r w:rsidRPr="009B3558">
        <w:t xml:space="preserve"> </w:t>
      </w:r>
      <w:r w:rsidR="006375C6" w:rsidRPr="009B3558">
        <w:t xml:space="preserve">be </w:t>
      </w:r>
      <w:r w:rsidR="000F5ACA" w:rsidRPr="009B3558">
        <w:t>develop</w:t>
      </w:r>
      <w:r w:rsidR="006375C6" w:rsidRPr="009B3558">
        <w:t>ed</w:t>
      </w:r>
      <w:r w:rsidR="000F5ACA" w:rsidRPr="009B3558">
        <w:t>, implement</w:t>
      </w:r>
      <w:r w:rsidR="006375C6" w:rsidRPr="009B3558">
        <w:t>ed</w:t>
      </w:r>
      <w:r w:rsidR="000F5ACA" w:rsidRPr="009B3558">
        <w:t xml:space="preserve"> and maint</w:t>
      </w:r>
      <w:r w:rsidR="006375C6" w:rsidRPr="009B3558">
        <w:t>ained</w:t>
      </w:r>
      <w:r w:rsidR="000F5ACA" w:rsidRPr="009B3558">
        <w:t xml:space="preserve"> </w:t>
      </w:r>
      <w:r w:rsidRPr="009B3558">
        <w:t xml:space="preserve">(Recommendation 57), and that it be refreshed every two years. The prolonged impacts of the pandemic on all workforces have made </w:t>
      </w:r>
      <w:r w:rsidR="006375C6" w:rsidRPr="009B3558">
        <w:t xml:space="preserve">the development of </w:t>
      </w:r>
      <w:r w:rsidRPr="009B3558">
        <w:t>this</w:t>
      </w:r>
      <w:r w:rsidR="006375C6" w:rsidRPr="009B3558">
        <w:t xml:space="preserve"> strategy</w:t>
      </w:r>
      <w:r w:rsidRPr="009B3558">
        <w:t xml:space="preserve"> all the more</w:t>
      </w:r>
      <w:r>
        <w:t xml:space="preserve"> urgent.</w:t>
      </w:r>
    </w:p>
    <w:p w14:paraId="4B1AE8AA" w14:textId="45DBAD2F" w:rsidR="00603B69" w:rsidRDefault="007369B8" w:rsidP="00B250A0">
      <w:pPr>
        <w:pStyle w:val="ARbody"/>
      </w:pPr>
      <w:r>
        <w:t>I</w:t>
      </w:r>
      <w:r w:rsidR="00B250A0">
        <w:t>n December 2021</w:t>
      </w:r>
      <w:r w:rsidR="00603B69">
        <w:t xml:space="preserve">, </w:t>
      </w:r>
      <w:r w:rsidR="00603B69" w:rsidRPr="007656C9">
        <w:rPr>
          <w:i/>
        </w:rPr>
        <w:t xml:space="preserve">Victoria’s </w:t>
      </w:r>
      <w:r w:rsidR="00C45121">
        <w:rPr>
          <w:i/>
        </w:rPr>
        <w:t>m</w:t>
      </w:r>
      <w:r w:rsidR="00603B69" w:rsidRPr="007656C9">
        <w:rPr>
          <w:i/>
        </w:rPr>
        <w:t xml:space="preserve">ental </w:t>
      </w:r>
      <w:r w:rsidR="00C45121">
        <w:rPr>
          <w:i/>
        </w:rPr>
        <w:t>h</w:t>
      </w:r>
      <w:r w:rsidR="00603B69" w:rsidRPr="007656C9">
        <w:rPr>
          <w:i/>
        </w:rPr>
        <w:t>ealth and</w:t>
      </w:r>
      <w:r w:rsidR="003D0AF1">
        <w:rPr>
          <w:i/>
        </w:rPr>
        <w:t> </w:t>
      </w:r>
      <w:r w:rsidR="00C45121">
        <w:rPr>
          <w:i/>
        </w:rPr>
        <w:t>w</w:t>
      </w:r>
      <w:r w:rsidR="00603B69" w:rsidRPr="007656C9">
        <w:rPr>
          <w:i/>
        </w:rPr>
        <w:t xml:space="preserve">ellbeing </w:t>
      </w:r>
      <w:r w:rsidR="00C45121">
        <w:rPr>
          <w:i/>
        </w:rPr>
        <w:t>w</w:t>
      </w:r>
      <w:r w:rsidR="00603B69" w:rsidRPr="007656C9">
        <w:rPr>
          <w:i/>
        </w:rPr>
        <w:t xml:space="preserve">orkforce </w:t>
      </w:r>
      <w:r w:rsidR="00C45121">
        <w:rPr>
          <w:i/>
        </w:rPr>
        <w:t>s</w:t>
      </w:r>
      <w:r w:rsidR="00603B69" w:rsidRPr="007656C9">
        <w:rPr>
          <w:i/>
        </w:rPr>
        <w:t>trategy 202</w:t>
      </w:r>
      <w:r w:rsidR="005E4358">
        <w:rPr>
          <w:i/>
        </w:rPr>
        <w:t>1–</w:t>
      </w:r>
      <w:r w:rsidR="00603B69" w:rsidRPr="007656C9">
        <w:rPr>
          <w:i/>
        </w:rPr>
        <w:t>24</w:t>
      </w:r>
      <w:r w:rsidR="003D5E1A">
        <w:t xml:space="preserve"> </w:t>
      </w:r>
      <w:r w:rsidR="00603B69">
        <w:t>was</w:t>
      </w:r>
      <w:r w:rsidR="003D0AF1">
        <w:t> </w:t>
      </w:r>
      <w:r w:rsidR="00603B69">
        <w:t xml:space="preserve">launched by </w:t>
      </w:r>
      <w:r w:rsidR="00241533">
        <w:t>the</w:t>
      </w:r>
      <w:r w:rsidR="00603B69">
        <w:t xml:space="preserve"> Minister for Mental Health. Th</w:t>
      </w:r>
      <w:r w:rsidR="00241533">
        <w:t>e</w:t>
      </w:r>
      <w:r w:rsidR="00603B69">
        <w:t xml:space="preserve"> </w:t>
      </w:r>
      <w:r w:rsidR="00C45121">
        <w:t>s</w:t>
      </w:r>
      <w:r w:rsidR="00603B69">
        <w:t xml:space="preserve">trategy sets out a coordinated approach to delivering and supporting a mental health workforce which is diverse and multidisciplinary, and </w:t>
      </w:r>
      <w:r w:rsidR="00066A34">
        <w:t xml:space="preserve">has </w:t>
      </w:r>
      <w:r w:rsidR="00603B69">
        <w:t>the right skills.</w:t>
      </w:r>
    </w:p>
    <w:p w14:paraId="625C8DF5" w14:textId="01E29B42" w:rsidR="00603B69" w:rsidRDefault="00603B69" w:rsidP="00603B69">
      <w:pPr>
        <w:pStyle w:val="ARbody"/>
      </w:pPr>
      <w:r>
        <w:t xml:space="preserve">The </w:t>
      </w:r>
      <w:r w:rsidR="00C45121">
        <w:t>s</w:t>
      </w:r>
      <w:r>
        <w:t xml:space="preserve">trategy outlines four inter-related priorities </w:t>
      </w:r>
      <w:r w:rsidR="00241533">
        <w:t>for</w:t>
      </w:r>
      <w:r w:rsidR="003D0AF1">
        <w:t> </w:t>
      </w:r>
      <w:r>
        <w:t>achieving this objective:</w:t>
      </w:r>
    </w:p>
    <w:p w14:paraId="136D7FC0" w14:textId="043F5F25" w:rsidR="003F0283" w:rsidRDefault="00241533" w:rsidP="007835E3">
      <w:pPr>
        <w:pStyle w:val="ARbullet1"/>
      </w:pPr>
      <w:r>
        <w:t>b</w:t>
      </w:r>
      <w:r w:rsidR="00603B69">
        <w:t>uilding workforce supply</w:t>
      </w:r>
    </w:p>
    <w:p w14:paraId="1D8264E8" w14:textId="0E31CB49" w:rsidR="00603B69" w:rsidRDefault="00241533" w:rsidP="007835E3">
      <w:pPr>
        <w:pStyle w:val="ARbullet1"/>
      </w:pPr>
      <w:r>
        <w:t>b</w:t>
      </w:r>
      <w:r w:rsidR="00603B69">
        <w:t>uilding workforce skills, knowledge and capabilities</w:t>
      </w:r>
    </w:p>
    <w:p w14:paraId="2E65C8B0" w14:textId="3B148AED" w:rsidR="00603B69" w:rsidRDefault="00241533" w:rsidP="007835E3">
      <w:pPr>
        <w:pStyle w:val="ARbullet1"/>
      </w:pPr>
      <w:r>
        <w:t>s</w:t>
      </w:r>
      <w:r w:rsidR="00603B69">
        <w:t>upporting the safety, wellbeing and retention of</w:t>
      </w:r>
      <w:r w:rsidR="003D0AF1">
        <w:t> </w:t>
      </w:r>
      <w:r w:rsidR="00603B69">
        <w:t>the workforce</w:t>
      </w:r>
    </w:p>
    <w:p w14:paraId="11D0C874" w14:textId="54C701B8" w:rsidR="00603B69" w:rsidRDefault="00241533" w:rsidP="007835E3">
      <w:pPr>
        <w:pStyle w:val="ARbullet1"/>
      </w:pPr>
      <w:r>
        <w:t>b</w:t>
      </w:r>
      <w:r w:rsidR="00603B69">
        <w:t>uilding system enablers for excellence</w:t>
      </w:r>
      <w:r>
        <w:t>.</w:t>
      </w:r>
    </w:p>
    <w:p w14:paraId="11A6CCAE" w14:textId="62162217" w:rsidR="00603B69" w:rsidRDefault="00603B69" w:rsidP="007835E3">
      <w:pPr>
        <w:pStyle w:val="ARbodyafterbullets"/>
      </w:pPr>
      <w:r>
        <w:t xml:space="preserve">Implementation of the </w:t>
      </w:r>
      <w:r w:rsidR="00C45121">
        <w:t>s</w:t>
      </w:r>
      <w:r>
        <w:t>trategy has been supported by</w:t>
      </w:r>
      <w:r w:rsidR="00241533">
        <w:t xml:space="preserve"> </w:t>
      </w:r>
      <w:r w:rsidR="00C92F28">
        <w:t>an</w:t>
      </w:r>
      <w:r>
        <w:t xml:space="preserve"> investment of $372 million in the 202</w:t>
      </w:r>
      <w:r w:rsidR="005E4358">
        <w:t>2–</w:t>
      </w:r>
      <w:r>
        <w:t xml:space="preserve">23 State Budget. This included a $41 million immediate implementation package announced with the launch of the </w:t>
      </w:r>
      <w:r w:rsidR="00C45121">
        <w:t>s</w:t>
      </w:r>
      <w:r>
        <w:t>trategy.</w:t>
      </w:r>
    </w:p>
    <w:p w14:paraId="4706EE13" w14:textId="33790426" w:rsidR="00603B69" w:rsidRDefault="00603B69" w:rsidP="00603B69">
      <w:pPr>
        <w:pStyle w:val="ARbody"/>
      </w:pPr>
      <w:r>
        <w:t xml:space="preserve">This </w:t>
      </w:r>
      <w:r w:rsidR="00EB007B">
        <w:t>funding</w:t>
      </w:r>
      <w:r w:rsidR="00241533">
        <w:t xml:space="preserve"> </w:t>
      </w:r>
      <w:r>
        <w:t xml:space="preserve">builds on </w:t>
      </w:r>
      <w:r w:rsidR="00241533">
        <w:t xml:space="preserve">the </w:t>
      </w:r>
      <w:r>
        <w:t>previous investment of</w:t>
      </w:r>
      <w:r w:rsidR="003D0AF1">
        <w:t> </w:t>
      </w:r>
      <w:r>
        <w:t>$51 million to support and grow the lived experience workforces in the 20</w:t>
      </w:r>
      <w:r w:rsidR="005E4358">
        <w:t>21–22</w:t>
      </w:r>
      <w:r>
        <w:t xml:space="preserve"> and </w:t>
      </w:r>
      <w:r w:rsidR="003D0AF1">
        <w:br/>
      </w:r>
      <w:r>
        <w:t>202</w:t>
      </w:r>
      <w:r w:rsidR="005E4358">
        <w:t>0–</w:t>
      </w:r>
      <w:r>
        <w:t>21 State Budgets.</w:t>
      </w:r>
    </w:p>
    <w:p w14:paraId="6B3E732B" w14:textId="459307EF" w:rsidR="003D5E1A" w:rsidRDefault="00603B69" w:rsidP="00603B69">
      <w:pPr>
        <w:pStyle w:val="Heading6"/>
        <w:rPr>
          <w:rFonts w:cs="Arial"/>
        </w:rPr>
      </w:pPr>
      <w:r w:rsidRPr="5818863B">
        <w:rPr>
          <w:rFonts w:cs="Arial"/>
        </w:rPr>
        <w:t xml:space="preserve">Building </w:t>
      </w:r>
      <w:r w:rsidR="00D96790">
        <w:rPr>
          <w:rFonts w:cs="Arial"/>
        </w:rPr>
        <w:t xml:space="preserve">workforce </w:t>
      </w:r>
      <w:r w:rsidR="0077635C">
        <w:rPr>
          <w:rFonts w:cs="Arial"/>
        </w:rPr>
        <w:t>s</w:t>
      </w:r>
      <w:r w:rsidRPr="5818863B">
        <w:rPr>
          <w:rFonts w:cs="Arial"/>
        </w:rPr>
        <w:t>upply</w:t>
      </w:r>
    </w:p>
    <w:p w14:paraId="3AB75871" w14:textId="6D00EB31" w:rsidR="00603B69" w:rsidRDefault="00603B69" w:rsidP="00603B69">
      <w:pPr>
        <w:pStyle w:val="ARbody"/>
      </w:pPr>
      <w:r>
        <w:t xml:space="preserve">The $372 million investment to implement the </w:t>
      </w:r>
      <w:r w:rsidR="00C45121">
        <w:t>s</w:t>
      </w:r>
      <w:r>
        <w:t>trategy will support the delivery of more than 1,500</w:t>
      </w:r>
      <w:r w:rsidR="003D0AF1">
        <w:t> </w:t>
      </w:r>
      <w:r>
        <w:t>new workers.</w:t>
      </w:r>
    </w:p>
    <w:p w14:paraId="26C8C7EF" w14:textId="592F0D3F" w:rsidR="00603B69" w:rsidRDefault="00603B69" w:rsidP="00603B69">
      <w:pPr>
        <w:pStyle w:val="ARbody"/>
      </w:pPr>
      <w:r>
        <w:t>This includes more than 400 nurses, more than</w:t>
      </w:r>
      <w:r w:rsidR="004B3D7E">
        <w:t> </w:t>
      </w:r>
      <w:r>
        <w:t>600</w:t>
      </w:r>
      <w:r w:rsidR="003D0AF1">
        <w:t> </w:t>
      </w:r>
      <w:r>
        <w:t>allied health clinicians, more than 300 psychologists</w:t>
      </w:r>
      <w:r w:rsidR="00C92F28">
        <w:t>,</w:t>
      </w:r>
      <w:r>
        <w:t xml:space="preserve"> and more than 100 psychiatrists.</w:t>
      </w:r>
    </w:p>
    <w:p w14:paraId="7FAAF057" w14:textId="77777777" w:rsidR="00603B69" w:rsidRDefault="00603B69" w:rsidP="00603B69">
      <w:pPr>
        <w:pStyle w:val="ARbody"/>
      </w:pPr>
      <w:r>
        <w:t>These new workers will be trained as mental health clinicians through supported learning pathways which include supervision supports and structures.</w:t>
      </w:r>
    </w:p>
    <w:p w14:paraId="5BD3359C" w14:textId="49040A6F" w:rsidR="00603B69" w:rsidRPr="00AA54F0" w:rsidRDefault="00603B69" w:rsidP="00603B69">
      <w:pPr>
        <w:pStyle w:val="Heading6"/>
        <w:rPr>
          <w:rFonts w:cs="Arial"/>
        </w:rPr>
      </w:pPr>
      <w:r w:rsidRPr="5818863B">
        <w:rPr>
          <w:rFonts w:cs="Arial"/>
        </w:rPr>
        <w:t>Building workforce skills, knowledge and</w:t>
      </w:r>
      <w:r w:rsidR="003D0AF1">
        <w:rPr>
          <w:rFonts w:cs="Arial"/>
        </w:rPr>
        <w:t> </w:t>
      </w:r>
      <w:r w:rsidRPr="5818863B">
        <w:rPr>
          <w:rFonts w:cs="Arial"/>
        </w:rPr>
        <w:t>capabilities</w:t>
      </w:r>
    </w:p>
    <w:p w14:paraId="50BC9330" w14:textId="37B283C3" w:rsidR="00603B69" w:rsidRDefault="00603B69" w:rsidP="00603B69">
      <w:pPr>
        <w:pStyle w:val="ARbody"/>
      </w:pPr>
      <w:r>
        <w:t xml:space="preserve">Alongside the release of the </w:t>
      </w:r>
      <w:r w:rsidR="00C45121">
        <w:t>s</w:t>
      </w:r>
      <w:r>
        <w:t xml:space="preserve">trategy, the department also released </w:t>
      </w:r>
      <w:r w:rsidRPr="007656C9">
        <w:rPr>
          <w:i/>
        </w:rPr>
        <w:t xml:space="preserve">Victoria’s </w:t>
      </w:r>
      <w:r w:rsidR="00AF1CD0">
        <w:rPr>
          <w:i/>
        </w:rPr>
        <w:t>m</w:t>
      </w:r>
      <w:r w:rsidRPr="007656C9">
        <w:rPr>
          <w:i/>
        </w:rPr>
        <w:t xml:space="preserve">ental </w:t>
      </w:r>
      <w:r w:rsidR="00AF1CD0">
        <w:rPr>
          <w:i/>
        </w:rPr>
        <w:t>h</w:t>
      </w:r>
      <w:r w:rsidRPr="007656C9">
        <w:rPr>
          <w:i/>
        </w:rPr>
        <w:t xml:space="preserve">ealth and </w:t>
      </w:r>
      <w:r w:rsidR="00AF1CD0">
        <w:rPr>
          <w:i/>
        </w:rPr>
        <w:t>w</w:t>
      </w:r>
      <w:r w:rsidRPr="007656C9">
        <w:rPr>
          <w:i/>
        </w:rPr>
        <w:t xml:space="preserve">ellbeing </w:t>
      </w:r>
      <w:r w:rsidR="00AF1CD0">
        <w:rPr>
          <w:i/>
        </w:rPr>
        <w:t>w</w:t>
      </w:r>
      <w:r w:rsidRPr="007656C9">
        <w:rPr>
          <w:i/>
        </w:rPr>
        <w:t xml:space="preserve">orkforce </w:t>
      </w:r>
      <w:r w:rsidR="00AF1CD0">
        <w:rPr>
          <w:i/>
        </w:rPr>
        <w:t>c</w:t>
      </w:r>
      <w:r w:rsidRPr="007656C9">
        <w:rPr>
          <w:i/>
        </w:rPr>
        <w:t xml:space="preserve">apability </w:t>
      </w:r>
      <w:r w:rsidR="00AF1CD0">
        <w:rPr>
          <w:i/>
        </w:rPr>
        <w:t>f</w:t>
      </w:r>
      <w:r w:rsidRPr="007656C9">
        <w:rPr>
          <w:i/>
        </w:rPr>
        <w:t>ramework</w:t>
      </w:r>
      <w:r>
        <w:t xml:space="preserve">, </w:t>
      </w:r>
      <w:r w:rsidR="00D96790">
        <w:t>(</w:t>
      </w:r>
      <w:r w:rsidR="00E13E7A">
        <w:t>R</w:t>
      </w:r>
      <w:r>
        <w:t>ecommendation 58 of the Royal Commission’s final report</w:t>
      </w:r>
      <w:r w:rsidR="00D96790">
        <w:t>)</w:t>
      </w:r>
      <w:r>
        <w:t>.</w:t>
      </w:r>
    </w:p>
    <w:p w14:paraId="6D677964" w14:textId="1D03A8CF" w:rsidR="00603B69" w:rsidRDefault="00603B69" w:rsidP="00603B69">
      <w:pPr>
        <w:pStyle w:val="ARbody"/>
      </w:pPr>
      <w:r>
        <w:t xml:space="preserve">Implementation of the </w:t>
      </w:r>
      <w:r w:rsidR="00AF1CD0">
        <w:t>f</w:t>
      </w:r>
      <w:r>
        <w:t>ramework is underway, with</w:t>
      </w:r>
      <w:r w:rsidR="003D0AF1">
        <w:t> </w:t>
      </w:r>
      <w:r>
        <w:t>the development of tools and resources in progress. A tailored advisory body is also being established to support implementation.</w:t>
      </w:r>
    </w:p>
    <w:p w14:paraId="35A8F32E" w14:textId="7B8543AC" w:rsidR="00603B69" w:rsidRDefault="00603B69" w:rsidP="00603B69">
      <w:pPr>
        <w:pStyle w:val="ARbody"/>
      </w:pPr>
      <w:r>
        <w:t xml:space="preserve">Additional activity to complement the </w:t>
      </w:r>
      <w:r w:rsidR="00AF1CD0">
        <w:t>f</w:t>
      </w:r>
      <w:r>
        <w:t xml:space="preserve">ramework and further support capability includes the development of clinical supervision training for senior clinicians, a service capability program to better support diverse communities, </w:t>
      </w:r>
      <w:r w:rsidR="00D96790">
        <w:t>and</w:t>
      </w:r>
      <w:r>
        <w:t xml:space="preserve"> planning work to establish a new </w:t>
      </w:r>
      <w:r w:rsidR="00D96790">
        <w:t>s</w:t>
      </w:r>
      <w:r>
        <w:t xml:space="preserve">tatewide </w:t>
      </w:r>
      <w:r w:rsidR="00D96790">
        <w:t>c</w:t>
      </w:r>
      <w:r>
        <w:t xml:space="preserve">apability </w:t>
      </w:r>
      <w:r w:rsidR="00D96790">
        <w:t>e</w:t>
      </w:r>
      <w:r>
        <w:t>ntity.</w:t>
      </w:r>
    </w:p>
    <w:p w14:paraId="2D85FD4F" w14:textId="16DD488E" w:rsidR="00603B69" w:rsidRPr="00AA54F0" w:rsidRDefault="00603B69" w:rsidP="00603B69">
      <w:pPr>
        <w:pStyle w:val="Heading6"/>
        <w:rPr>
          <w:rFonts w:cs="Arial"/>
        </w:rPr>
      </w:pPr>
      <w:r w:rsidRPr="5818863B">
        <w:rPr>
          <w:rFonts w:cs="Arial"/>
        </w:rPr>
        <w:t>Supporting the safety, wellbeing and</w:t>
      </w:r>
      <w:r w:rsidR="00BD46C7">
        <w:rPr>
          <w:rFonts w:cs="Arial"/>
        </w:rPr>
        <w:t> </w:t>
      </w:r>
      <w:r w:rsidRPr="5818863B">
        <w:rPr>
          <w:rFonts w:cs="Arial"/>
        </w:rPr>
        <w:t>retention</w:t>
      </w:r>
      <w:r w:rsidR="003D0AF1">
        <w:rPr>
          <w:rFonts w:cs="Arial"/>
        </w:rPr>
        <w:t> </w:t>
      </w:r>
      <w:r w:rsidRPr="5818863B">
        <w:rPr>
          <w:rFonts w:cs="Arial"/>
        </w:rPr>
        <w:t>of the workforce</w:t>
      </w:r>
    </w:p>
    <w:p w14:paraId="08539220" w14:textId="04050F52" w:rsidR="00603B69" w:rsidRDefault="00603B69" w:rsidP="00603B69">
      <w:pPr>
        <w:pStyle w:val="ARbody"/>
      </w:pPr>
      <w:r>
        <w:t>The mental health and wellbeing workforce has</w:t>
      </w:r>
      <w:r w:rsidR="003D0AF1">
        <w:t> </w:t>
      </w:r>
      <w:r>
        <w:t>faced significant challenges to their physical safety and psychological wellbeing</w:t>
      </w:r>
      <w:r w:rsidR="00D32EC0">
        <w:t xml:space="preserve"> in recent years</w:t>
      </w:r>
      <w:r>
        <w:t>. These issues have been exacerbated through the</w:t>
      </w:r>
      <w:r w:rsidR="003D0AF1">
        <w:t> </w:t>
      </w:r>
      <w:r>
        <w:t xml:space="preserve">pandemic and </w:t>
      </w:r>
      <w:r w:rsidR="00C92F28">
        <w:t>were</w:t>
      </w:r>
      <w:r>
        <w:t xml:space="preserve"> identified by the Royal Commission as a key concern.</w:t>
      </w:r>
    </w:p>
    <w:p w14:paraId="0919819D" w14:textId="40205738" w:rsidR="00603B69" w:rsidRDefault="00603B69" w:rsidP="00603B69">
      <w:pPr>
        <w:pStyle w:val="ARbody"/>
      </w:pPr>
      <w:r>
        <w:t>In 20</w:t>
      </w:r>
      <w:r w:rsidR="005E4358">
        <w:t>21–22</w:t>
      </w:r>
      <w:r>
        <w:t xml:space="preserve">, the department partnered with WorkSafe </w:t>
      </w:r>
      <w:r w:rsidR="00D96790">
        <w:t xml:space="preserve">Victoria </w:t>
      </w:r>
      <w:r>
        <w:t>to establish a new Mental Health</w:t>
      </w:r>
      <w:r w:rsidR="003D0AF1">
        <w:t> </w:t>
      </w:r>
      <w:r>
        <w:t>Workforce Safety and Wellbeing Committee</w:t>
      </w:r>
      <w:r w:rsidR="003D5E1A">
        <w:t xml:space="preserve"> </w:t>
      </w:r>
      <w:r w:rsidR="00D96790">
        <w:t>(</w:t>
      </w:r>
      <w:r w:rsidR="00A43F84">
        <w:t>R</w:t>
      </w:r>
      <w:r>
        <w:t>ecommendation 59 of the</w:t>
      </w:r>
      <w:r w:rsidR="00374024">
        <w:t xml:space="preserve"> </w:t>
      </w:r>
      <w:r>
        <w:t>Royal Commission</w:t>
      </w:r>
      <w:r w:rsidR="00D96790">
        <w:t>’s final report)</w:t>
      </w:r>
      <w:r>
        <w:t>. This Committee monitors workforce wellbeing, identifies risks and provides advice to government on wellbeing matters.</w:t>
      </w:r>
    </w:p>
    <w:p w14:paraId="328E090D" w14:textId="0122C60A" w:rsidR="00603B69" w:rsidRDefault="00603B69" w:rsidP="00603B69">
      <w:pPr>
        <w:pStyle w:val="ARbody"/>
      </w:pPr>
      <w:r>
        <w:t>The department also launched a new annual wellbeing survey in 2021 to support the Committee’s role in monitoring wellbeing issues. This survey will continue in 2022 and</w:t>
      </w:r>
      <w:r w:rsidR="00374024">
        <w:t xml:space="preserve"> </w:t>
      </w:r>
      <w:r w:rsidR="00E13E7A">
        <w:t>beyond</w:t>
      </w:r>
      <w:r>
        <w:t>.</w:t>
      </w:r>
    </w:p>
    <w:p w14:paraId="0DFE073A" w14:textId="77777777" w:rsidR="00603B69" w:rsidRPr="00AA54F0" w:rsidRDefault="00603B69" w:rsidP="00603B69">
      <w:pPr>
        <w:pStyle w:val="Heading6"/>
        <w:rPr>
          <w:rFonts w:cs="Arial"/>
        </w:rPr>
      </w:pPr>
      <w:r w:rsidRPr="5818863B">
        <w:rPr>
          <w:rFonts w:cs="Arial"/>
        </w:rPr>
        <w:t>Building system enablers for excellence</w:t>
      </w:r>
    </w:p>
    <w:p w14:paraId="5DC29206" w14:textId="38575783" w:rsidR="00603B69" w:rsidRPr="008C499C" w:rsidRDefault="00603B69" w:rsidP="00603B69">
      <w:pPr>
        <w:pStyle w:val="ARbody"/>
      </w:pPr>
      <w:r>
        <w:t xml:space="preserve">To further support system enablers, in 2021 the department also undertook its first annual </w:t>
      </w:r>
      <w:r w:rsidR="00E13E7A">
        <w:t xml:space="preserve">mental health </w:t>
      </w:r>
      <w:r>
        <w:t xml:space="preserve">workforce </w:t>
      </w:r>
      <w:r w:rsidR="00E13E7A">
        <w:t>c</w:t>
      </w:r>
      <w:r>
        <w:t xml:space="preserve">ensus. The </w:t>
      </w:r>
      <w:r w:rsidR="00E13E7A">
        <w:t>c</w:t>
      </w:r>
      <w:r>
        <w:t>ensus provides the first comprehensive snapshot and profile of the workforce across clinical service</w:t>
      </w:r>
      <w:r w:rsidR="00E13E7A">
        <w:t>s</w:t>
      </w:r>
      <w:r>
        <w:t xml:space="preserve">. It has been </w:t>
      </w:r>
      <w:r w:rsidR="00E13E7A">
        <w:t xml:space="preserve">used to </w:t>
      </w:r>
      <w:r>
        <w:t xml:space="preserve">develop a department-led supply and demand model to estimate future system needs. This </w:t>
      </w:r>
      <w:r w:rsidR="00E13E7A">
        <w:t>c</w:t>
      </w:r>
      <w:r>
        <w:t xml:space="preserve">ensus will continue to ensure that the </w:t>
      </w:r>
      <w:r w:rsidR="00AC097C">
        <w:t>s</w:t>
      </w:r>
      <w:r>
        <w:t>trategy can</w:t>
      </w:r>
      <w:r w:rsidR="003D0AF1">
        <w:t> </w:t>
      </w:r>
      <w:r>
        <w:t>accurately guide reform activity.</w:t>
      </w:r>
    </w:p>
    <w:p w14:paraId="0C68D76F" w14:textId="77777777" w:rsidR="00603B69" w:rsidRDefault="00603B69" w:rsidP="00603B69">
      <w:pPr>
        <w:pStyle w:val="Heading5"/>
      </w:pPr>
      <w:r w:rsidRPr="00CF1ABC">
        <w:t xml:space="preserve">Write </w:t>
      </w:r>
      <w:bookmarkStart w:id="83" w:name="_Hlk112235395"/>
      <w:r w:rsidRPr="00CF1ABC">
        <w:t>new mental health legislation</w:t>
      </w:r>
      <w:bookmarkEnd w:id="83"/>
    </w:p>
    <w:p w14:paraId="73C8A432" w14:textId="1E0452C6" w:rsidR="003F0283" w:rsidRDefault="00603B69" w:rsidP="00C6635F">
      <w:pPr>
        <w:pStyle w:val="ARbody"/>
        <w:rPr>
          <w:color w:val="000000"/>
          <w:shd w:val="clear" w:color="auto" w:fill="FFFFFF"/>
        </w:rPr>
      </w:pPr>
      <w:r w:rsidRPr="00AA54F0">
        <w:rPr>
          <w:color w:val="000000"/>
          <w:shd w:val="clear" w:color="auto" w:fill="FFFFFF"/>
        </w:rPr>
        <w:t xml:space="preserve">The Royal Commission recommended the Victorian Government replace the </w:t>
      </w:r>
      <w:r w:rsidRPr="00AA54F0">
        <w:rPr>
          <w:i/>
          <w:iCs/>
          <w:color w:val="000000"/>
          <w:shd w:val="clear" w:color="auto" w:fill="FFFFFF"/>
        </w:rPr>
        <w:t>Mental Health Act 2014</w:t>
      </w:r>
      <w:r w:rsidRPr="00AA54F0">
        <w:rPr>
          <w:color w:val="000000"/>
          <w:shd w:val="clear" w:color="auto" w:fill="FFFFFF"/>
        </w:rPr>
        <w:t xml:space="preserve"> with a new Mental Health and Wellbeing Act (Recommendation 42) in 2022.</w:t>
      </w:r>
    </w:p>
    <w:p w14:paraId="62D78691" w14:textId="26E8497A" w:rsidR="003F0283" w:rsidRDefault="00603B69" w:rsidP="00C6635F">
      <w:pPr>
        <w:pStyle w:val="ARbody"/>
      </w:pPr>
      <w:r w:rsidRPr="00AA54F0">
        <w:t xml:space="preserve">To meet this recommendation, the Mental Health and Wellbeing Bill was introduced to the Victorian Parliament on 21 June 2022. The new Act will lay the legal foundations </w:t>
      </w:r>
      <w:r w:rsidR="00DB067F">
        <w:t>for</w:t>
      </w:r>
      <w:r w:rsidR="00DB067F" w:rsidRPr="00AA54F0">
        <w:t xml:space="preserve"> </w:t>
      </w:r>
      <w:r w:rsidRPr="00AA54F0">
        <w:t>rebuild</w:t>
      </w:r>
      <w:r w:rsidR="00DB067F">
        <w:t>ing</w:t>
      </w:r>
      <w:r w:rsidRPr="00AA54F0">
        <w:t xml:space="preserve"> the mental health and wellbeing system.</w:t>
      </w:r>
    </w:p>
    <w:p w14:paraId="7E8829FD" w14:textId="3857951A" w:rsidR="00603B69" w:rsidRPr="00AA54F0" w:rsidRDefault="00DB067F" w:rsidP="00C6635F">
      <w:pPr>
        <w:pStyle w:val="ARbody"/>
        <w:rPr>
          <w:color w:val="000000"/>
        </w:rPr>
      </w:pPr>
      <w:r>
        <w:t>It</w:t>
      </w:r>
      <w:r w:rsidR="00603B69" w:rsidRPr="5818863B">
        <w:t xml:space="preserve"> will </w:t>
      </w:r>
      <w:r>
        <w:t xml:space="preserve">also </w:t>
      </w:r>
      <w:r w:rsidR="00603B69" w:rsidRPr="5818863B">
        <w:t>support the Royal Commission’s vision for an integrated, contemporary and adaptable mental health and wellbeing system.</w:t>
      </w:r>
    </w:p>
    <w:p w14:paraId="7988E1A8" w14:textId="77777777" w:rsidR="00E2337D" w:rsidRDefault="00E2337D" w:rsidP="005B3FDD">
      <w:pPr>
        <w:pStyle w:val="ARbody"/>
      </w:pPr>
      <w:r>
        <w:br w:type="page"/>
      </w:r>
    </w:p>
    <w:p w14:paraId="48BFD6D4" w14:textId="49451023" w:rsidR="00603B69" w:rsidRPr="00AA54F0" w:rsidRDefault="00603B69" w:rsidP="005B3FDD">
      <w:pPr>
        <w:pStyle w:val="ARbody"/>
      </w:pPr>
      <w:r w:rsidRPr="00AA54F0">
        <w:t>The new Act seeks to:</w:t>
      </w:r>
    </w:p>
    <w:p w14:paraId="02A1700A" w14:textId="6545B64F" w:rsidR="00603B69" w:rsidRPr="005B3FDD" w:rsidRDefault="00603B69" w:rsidP="005B3FDD">
      <w:pPr>
        <w:pStyle w:val="ARbullet1"/>
      </w:pPr>
      <w:r w:rsidRPr="00AA54F0">
        <w:t>pr</w:t>
      </w:r>
      <w:r w:rsidRPr="005B3FDD">
        <w:t>omote good mental health and wellbeing for</w:t>
      </w:r>
      <w:r w:rsidR="003D0AF1">
        <w:t> </w:t>
      </w:r>
      <w:r w:rsidRPr="005B3FDD">
        <w:t>all Victorians</w:t>
      </w:r>
    </w:p>
    <w:p w14:paraId="0653EE20" w14:textId="77777777" w:rsidR="00603B69" w:rsidRPr="005B3FDD" w:rsidRDefault="00603B69" w:rsidP="005B3FDD">
      <w:pPr>
        <w:pStyle w:val="ARbullet1"/>
      </w:pPr>
      <w:r w:rsidRPr="005B3FDD">
        <w:t>reset the legislative foundations for the mental health and wellbeing system</w:t>
      </w:r>
    </w:p>
    <w:p w14:paraId="5CE307D5" w14:textId="64D738D5" w:rsidR="00603B69" w:rsidRPr="005B3FDD" w:rsidRDefault="00603B69" w:rsidP="005B3FDD">
      <w:pPr>
        <w:pStyle w:val="ARbullet1"/>
      </w:pPr>
      <w:r w:rsidRPr="005B3FDD">
        <w:t>support the delivery of services that are responsive to the needs and preferences of</w:t>
      </w:r>
      <w:r w:rsidR="003D0AF1">
        <w:t> </w:t>
      </w:r>
      <w:r w:rsidRPr="005B3FDD">
        <w:t>Victorians</w:t>
      </w:r>
    </w:p>
    <w:p w14:paraId="0CB06EC8" w14:textId="77777777" w:rsidR="00603B69" w:rsidRPr="005B3FDD" w:rsidRDefault="00603B69" w:rsidP="005B3FDD">
      <w:pPr>
        <w:pStyle w:val="ARbullet1"/>
      </w:pPr>
      <w:r w:rsidRPr="005B3FDD">
        <w:t>establish new roles and entities recommended by the Royal Commission</w:t>
      </w:r>
    </w:p>
    <w:p w14:paraId="4F8328F2" w14:textId="7E3C41B6" w:rsidR="003F0283" w:rsidRDefault="00603B69" w:rsidP="005B3FDD">
      <w:pPr>
        <w:pStyle w:val="ARbullet1"/>
      </w:pPr>
      <w:r w:rsidRPr="005B3FDD">
        <w:t>put the views, preferences and values of people living with mental illness or psychological distress, families, carers</w:t>
      </w:r>
      <w:r w:rsidRPr="00AA54F0">
        <w:t xml:space="preserve"> and supporters at the</w:t>
      </w:r>
      <w:r w:rsidR="003D0AF1">
        <w:t> </w:t>
      </w:r>
      <w:r w:rsidRPr="00AA54F0">
        <w:t>forefront of service design and delivery.</w:t>
      </w:r>
    </w:p>
    <w:p w14:paraId="63EB168E" w14:textId="3BCAFE15" w:rsidR="003F0283" w:rsidRDefault="00603B69" w:rsidP="007835E3">
      <w:pPr>
        <w:pStyle w:val="ARbodyafterbullets"/>
        <w:rPr>
          <w:color w:val="000000" w:themeColor="text1"/>
        </w:rPr>
      </w:pPr>
      <w:r w:rsidRPr="00AA54F0">
        <w:t xml:space="preserve">The legislation contains new rights-based objectives and principles </w:t>
      </w:r>
      <w:r w:rsidRPr="006602E1">
        <w:t xml:space="preserve">to </w:t>
      </w:r>
      <w:r w:rsidR="006602E1">
        <w:t xml:space="preserve">ensure </w:t>
      </w:r>
      <w:r w:rsidRPr="006602E1">
        <w:t xml:space="preserve">the highest </w:t>
      </w:r>
      <w:r w:rsidR="006602E1">
        <w:t>possible</w:t>
      </w:r>
      <w:r w:rsidR="006602E1" w:rsidRPr="006602E1">
        <w:t xml:space="preserve"> </w:t>
      </w:r>
      <w:r w:rsidRPr="006602E1">
        <w:t>standard</w:t>
      </w:r>
      <w:r w:rsidRPr="00AA54F0">
        <w:t xml:space="preserve"> of mental health and wellbeing for Victorians</w:t>
      </w:r>
      <w:r w:rsidR="006602E1">
        <w:t xml:space="preserve"> is attained</w:t>
      </w:r>
      <w:r w:rsidRPr="00AA54F0">
        <w:t>.</w:t>
      </w:r>
    </w:p>
    <w:p w14:paraId="74FEE179" w14:textId="5B374C07" w:rsidR="003F0283" w:rsidRDefault="00603B69" w:rsidP="00C6635F">
      <w:pPr>
        <w:pStyle w:val="ARbody"/>
      </w:pPr>
      <w:r w:rsidRPr="00AA54F0">
        <w:t xml:space="preserve">Development of the </w:t>
      </w:r>
      <w:r w:rsidR="00DB067F">
        <w:t>b</w:t>
      </w:r>
      <w:r w:rsidRPr="00AA54F0">
        <w:t>ill was informed by the Mental Health and Wellbeing Act Expert Advisory group, public engagement and ongoing consultation with key stakeholders with lived experience and clinical experience.</w:t>
      </w:r>
    </w:p>
    <w:p w14:paraId="0DD2D9F9" w14:textId="4390156D" w:rsidR="00603B69" w:rsidRPr="00AA54F0" w:rsidRDefault="00603B69" w:rsidP="007835E3">
      <w:pPr>
        <w:pStyle w:val="ARbody"/>
        <w:rPr>
          <w:color w:val="000000" w:themeColor="text1"/>
        </w:rPr>
      </w:pPr>
      <w:r>
        <w:t xml:space="preserve">The Victorian Government has also commissioned an </w:t>
      </w:r>
      <w:r w:rsidR="00DB067F">
        <w:t>i</w:t>
      </w:r>
      <w:r>
        <w:t xml:space="preserve">ndependent </w:t>
      </w:r>
      <w:r w:rsidR="00DB067F">
        <w:t>r</w:t>
      </w:r>
      <w:r>
        <w:t xml:space="preserve">eview of Victoria’s compulsory treatment criteria and the alignment of the new Act with other decision-making laws. The </w:t>
      </w:r>
      <w:r w:rsidR="00DB067F">
        <w:t>i</w:t>
      </w:r>
      <w:r>
        <w:t xml:space="preserve">ndependent review panel, led by Justice Shane Marshall AM, will begin its review in October 2022 and will deliver a final report to the Minister for Mental Health by October 2023.The </w:t>
      </w:r>
      <w:r w:rsidR="00DB067F">
        <w:t>t</w:t>
      </w:r>
      <w:r>
        <w:t xml:space="preserve">erms of </w:t>
      </w:r>
      <w:r w:rsidR="00DB067F">
        <w:t>r</w:t>
      </w:r>
      <w:r>
        <w:t xml:space="preserve">eference for the </w:t>
      </w:r>
      <w:r w:rsidR="00DB067F">
        <w:t>r</w:t>
      </w:r>
      <w:r>
        <w:t>eview will be developed collaboratively by consumers and carers with lived experience, advocates and clinicians with relevant expertise.</w:t>
      </w:r>
    </w:p>
    <w:p w14:paraId="6D00E18C" w14:textId="50AA2FB4" w:rsidR="00603B69" w:rsidRPr="00EF54EB" w:rsidRDefault="00603B69" w:rsidP="00603B69">
      <w:pPr>
        <w:pStyle w:val="ARbody"/>
        <w:rPr>
          <w:szCs w:val="20"/>
        </w:rPr>
      </w:pPr>
      <w:r w:rsidRPr="00AA54F0">
        <w:rPr>
          <w:szCs w:val="20"/>
        </w:rPr>
        <w:t>This is the first stage of the legislative reform process. There will be a further review of the new Act after the first five years of</w:t>
      </w:r>
      <w:r w:rsidR="004C6D79">
        <w:rPr>
          <w:szCs w:val="20"/>
        </w:rPr>
        <w:t xml:space="preserve"> its</w:t>
      </w:r>
      <w:r w:rsidRPr="00AA54F0">
        <w:rPr>
          <w:szCs w:val="20"/>
        </w:rPr>
        <w:t xml:space="preserve"> operation.</w:t>
      </w:r>
    </w:p>
    <w:p w14:paraId="55D9AB9F" w14:textId="39D913A9" w:rsidR="00603B69" w:rsidRDefault="003D0AF1" w:rsidP="00603B69">
      <w:pPr>
        <w:pStyle w:val="Heading5"/>
      </w:pPr>
      <w:r>
        <w:br w:type="column"/>
      </w:r>
      <w:r w:rsidR="00603B69">
        <w:t>Trial a health-led response</w:t>
      </w:r>
      <w:r w:rsidR="00DC50D5">
        <w:t xml:space="preserve"> </w:t>
      </w:r>
      <w:r>
        <w:br/>
      </w:r>
      <w:r w:rsidR="00603B69">
        <w:t>to public intoxication</w:t>
      </w:r>
    </w:p>
    <w:p w14:paraId="79D84E97" w14:textId="13418A80" w:rsidR="003F0283" w:rsidRDefault="00603B69" w:rsidP="00603B69">
      <w:pPr>
        <w:pStyle w:val="ARbody"/>
      </w:pPr>
      <w:r w:rsidRPr="00242F19">
        <w:t xml:space="preserve">In August </w:t>
      </w:r>
      <w:r>
        <w:t>2019</w:t>
      </w:r>
      <w:r w:rsidRPr="00242F19">
        <w:t xml:space="preserve">, the </w:t>
      </w:r>
      <w:r w:rsidR="00DB067F">
        <w:t>g</w:t>
      </w:r>
      <w:r w:rsidRPr="00242F19">
        <w:t>overnment committed to</w:t>
      </w:r>
      <w:r w:rsidR="003D0AF1">
        <w:t> </w:t>
      </w:r>
      <w:r w:rsidRPr="00242F19">
        <w:t>decriminalising public drunkenness and implementing a health</w:t>
      </w:r>
      <w:r>
        <w:t>-led</w:t>
      </w:r>
      <w:r w:rsidRPr="00242F19">
        <w:t xml:space="preserve"> model so that </w:t>
      </w:r>
      <w:r>
        <w:t>publicly intoxicated individuals</w:t>
      </w:r>
      <w:r w:rsidRPr="00242F19">
        <w:t xml:space="preserve"> can access the healthcare</w:t>
      </w:r>
      <w:r w:rsidR="003D0AF1">
        <w:t> </w:t>
      </w:r>
      <w:r w:rsidRPr="00242F19">
        <w:t>and support they need.</w:t>
      </w:r>
    </w:p>
    <w:p w14:paraId="1CF41776" w14:textId="2EA56B0E" w:rsidR="00603B69" w:rsidRPr="00242F19" w:rsidRDefault="00603B69" w:rsidP="00603B69">
      <w:pPr>
        <w:pStyle w:val="ARbody"/>
      </w:pPr>
      <w:r w:rsidRPr="00242F19">
        <w:t>This decision was made in the context of the coronial inquest into the death of Yorta Yorta woman</w:t>
      </w:r>
      <w:r w:rsidR="00DB067F">
        <w:t>,</w:t>
      </w:r>
      <w:r w:rsidRPr="00242F19">
        <w:t xml:space="preserve"> Tanya Day, who died in custody </w:t>
      </w:r>
      <w:r>
        <w:t>after being</w:t>
      </w:r>
      <w:r w:rsidRPr="00242F19">
        <w:t xml:space="preserve"> arrested for public drunkenness.</w:t>
      </w:r>
    </w:p>
    <w:p w14:paraId="5B34BC25" w14:textId="0A217F20" w:rsidR="00603B69" w:rsidRPr="00242F19" w:rsidRDefault="00603B69" w:rsidP="00603B69">
      <w:pPr>
        <w:pStyle w:val="ARbody"/>
      </w:pPr>
      <w:r w:rsidRPr="002141E7">
        <w:t xml:space="preserve">The </w:t>
      </w:r>
      <w:r w:rsidR="00DB067F">
        <w:t>g</w:t>
      </w:r>
      <w:r w:rsidRPr="002141E7">
        <w:t xml:space="preserve">overnment appointed an independent </w:t>
      </w:r>
      <w:r w:rsidR="00DB067F">
        <w:t>e</w:t>
      </w:r>
      <w:r w:rsidRPr="002141E7">
        <w:t xml:space="preserve">xpert </w:t>
      </w:r>
      <w:r w:rsidR="00DB067F">
        <w:t>r</w:t>
      </w:r>
      <w:r w:rsidRPr="002141E7">
        <w:t xml:space="preserve">eference </w:t>
      </w:r>
      <w:r w:rsidR="005A1D47">
        <w:t>g</w:t>
      </w:r>
      <w:r w:rsidRPr="002141E7">
        <w:t xml:space="preserve">roup (ERG) to provide advice on the nature and scale of a public health response to public drunkenness. On 19 August 2020, the ERG delivered its final report, </w:t>
      </w:r>
      <w:r w:rsidRPr="002A55F0">
        <w:rPr>
          <w:i/>
          <w:iCs/>
        </w:rPr>
        <w:t>Seeing the Clear Light of Day</w:t>
      </w:r>
      <w:r w:rsidR="00B2527B">
        <w:t>,</w:t>
      </w:r>
      <w:r w:rsidRPr="002141E7">
        <w:t xml:space="preserve"> to the Attorney</w:t>
      </w:r>
      <w:r w:rsidR="00B2527B">
        <w:t>-</w:t>
      </w:r>
      <w:r w:rsidRPr="002141E7">
        <w:t xml:space="preserve">General. </w:t>
      </w:r>
      <w:r w:rsidRPr="00EC1731">
        <w:t>The ERG’s report included 86 recommendations and detailed advice on the possible design of the health model. The government supports the ERG’s proposed overall approach and is currently considering all the recommendations in detail.</w:t>
      </w:r>
    </w:p>
    <w:p w14:paraId="3FE3A5F7" w14:textId="4095E085" w:rsidR="00F709B8" w:rsidRDefault="00F709B8" w:rsidP="00F709B8">
      <w:pPr>
        <w:pStyle w:val="ARbody"/>
      </w:pPr>
      <w:r>
        <w:t>Prior to decriminalisation, in collaboration with</w:t>
      </w:r>
      <w:r w:rsidR="003D0AF1">
        <w:t> </w:t>
      </w:r>
      <w:r>
        <w:t>the</w:t>
      </w:r>
      <w:r w:rsidR="003D0AF1">
        <w:t> </w:t>
      </w:r>
      <w:r>
        <w:t>Department of Justice and Community Safety (DJCS), Victoria Police, and other key stakeholders, the department will develop, trial and</w:t>
      </w:r>
      <w:r w:rsidR="003D0AF1">
        <w:t> </w:t>
      </w:r>
      <w:r>
        <w:t xml:space="preserve">refine a model of care. </w:t>
      </w:r>
      <w:r w:rsidRPr="00EB6500">
        <w:t>Trial sites in the City of</w:t>
      </w:r>
      <w:r w:rsidR="003D0AF1">
        <w:t> </w:t>
      </w:r>
      <w:r w:rsidRPr="00EB6500">
        <w:t xml:space="preserve">Yarra, City of Greater Dandenong, City of Greater Shepparton and Mount Alexander Shire (Castlemaine) are being established, ahead of a statewide rollout </w:t>
      </w:r>
      <w:r>
        <w:t xml:space="preserve">by November </w:t>
      </w:r>
      <w:r w:rsidRPr="00EB6500">
        <w:t>2023.</w:t>
      </w:r>
    </w:p>
    <w:p w14:paraId="0BA7B0F9" w14:textId="37B37DA3" w:rsidR="00603B69" w:rsidRPr="00932407" w:rsidRDefault="00603B69" w:rsidP="00603B69">
      <w:pPr>
        <w:pStyle w:val="ARbody"/>
      </w:pPr>
      <w:r>
        <w:t>Cultural safety will be at the core of the design and implementation of the model.</w:t>
      </w:r>
      <w:r w:rsidR="005B456E">
        <w:t xml:space="preserve"> </w:t>
      </w:r>
      <w:r w:rsidRPr="006A2030">
        <w:t xml:space="preserve">The </w:t>
      </w:r>
      <w:r w:rsidR="00B2527B">
        <w:t>department</w:t>
      </w:r>
      <w:r w:rsidR="00F709B8">
        <w:t xml:space="preserve"> and DJCS</w:t>
      </w:r>
      <w:r w:rsidRPr="006A2030">
        <w:t xml:space="preserve"> will continue to consult widely with Aboriginal communities, service providers, government agencies, unions, experts and community members</w:t>
      </w:r>
      <w:r w:rsidR="004B3D7E">
        <w:t> </w:t>
      </w:r>
      <w:r w:rsidRPr="006A2030">
        <w:t xml:space="preserve">across Victoria on </w:t>
      </w:r>
      <w:r w:rsidR="00B907A9">
        <w:t>its development</w:t>
      </w:r>
      <w:r w:rsidRPr="006A2030">
        <w:t>.</w:t>
      </w:r>
    </w:p>
    <w:p w14:paraId="5125E3B8" w14:textId="359DE6AE" w:rsidR="00E2337D" w:rsidRDefault="00603B69" w:rsidP="001A559C">
      <w:pPr>
        <w:pStyle w:val="ARbody"/>
      </w:pPr>
      <w:r>
        <w:t>This reform builds upon decades of work and activism by the Aboriginal community and will reduce rates of incarceration by treating public intoxication as a health issue, not a crime.</w:t>
      </w:r>
    </w:p>
    <w:p w14:paraId="352A5E40" w14:textId="77777777" w:rsidR="001B59A1" w:rsidRDefault="001B59A1" w:rsidP="001A559C">
      <w:pPr>
        <w:pStyle w:val="ARbody"/>
        <w:sectPr w:rsidR="001B59A1" w:rsidSect="00603B69">
          <w:footnotePr>
            <w:numFmt w:val="lowerLetter"/>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4522FA57" w14:textId="17E5ADF7" w:rsidR="005E7698" w:rsidRDefault="005E7698" w:rsidP="005E7698">
      <w:pPr>
        <w:pStyle w:val="Heading4"/>
        <w:spacing w:before="0"/>
      </w:pPr>
      <w:r>
        <w:t>Objective 2: Indicator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5555"/>
        <w:gridCol w:w="1021"/>
        <w:gridCol w:w="1021"/>
        <w:gridCol w:w="1021"/>
        <w:gridCol w:w="1021"/>
      </w:tblGrid>
      <w:tr w:rsidR="005E7698" w:rsidRPr="002029AF" w14:paraId="2E51C04A" w14:textId="77777777" w:rsidTr="008340C1">
        <w:trPr>
          <w:cantSplit/>
          <w:tblHeader/>
        </w:trPr>
        <w:tc>
          <w:tcPr>
            <w:tcW w:w="5555" w:type="dxa"/>
            <w:tcBorders>
              <w:top w:val="nil"/>
              <w:left w:val="single" w:sz="4" w:space="0" w:color="FFFFFF" w:themeColor="background1"/>
              <w:bottom w:val="single" w:sz="4" w:space="0" w:color="auto"/>
              <w:right w:val="single" w:sz="4" w:space="0" w:color="FFFFFF" w:themeColor="background1"/>
            </w:tcBorders>
            <w:vAlign w:val="bottom"/>
          </w:tcPr>
          <w:p w14:paraId="69EAACC0" w14:textId="77777777" w:rsidR="005E7698" w:rsidRPr="002029AF" w:rsidRDefault="005E7698" w:rsidP="008340C1">
            <w:pPr>
              <w:pStyle w:val="ARtablecolhead"/>
            </w:pPr>
          </w:p>
        </w:tc>
        <w:tc>
          <w:tcPr>
            <w:tcW w:w="1021" w:type="dxa"/>
            <w:tcBorders>
              <w:top w:val="nil"/>
              <w:left w:val="single" w:sz="4" w:space="0" w:color="FFFFFF" w:themeColor="background1"/>
              <w:bottom w:val="single" w:sz="4" w:space="0" w:color="auto"/>
              <w:right w:val="single" w:sz="4" w:space="0" w:color="FFFFFF" w:themeColor="background1"/>
            </w:tcBorders>
          </w:tcPr>
          <w:p w14:paraId="6AF23716" w14:textId="77777777" w:rsidR="005E7698" w:rsidRPr="002029AF" w:rsidRDefault="005E7698" w:rsidP="008340C1">
            <w:pPr>
              <w:pStyle w:val="ARtablecolhead"/>
            </w:pPr>
            <w:r w:rsidRPr="002029AF">
              <w:t>201</w:t>
            </w:r>
            <w:r>
              <w:t>8</w:t>
            </w:r>
            <w:r w:rsidRPr="002029AF">
              <w:t>–1</w:t>
            </w:r>
            <w:r>
              <w:t>9</w:t>
            </w:r>
          </w:p>
        </w:tc>
        <w:tc>
          <w:tcPr>
            <w:tcW w:w="1021" w:type="dxa"/>
            <w:tcBorders>
              <w:top w:val="nil"/>
              <w:left w:val="single" w:sz="4" w:space="0" w:color="FFFFFF" w:themeColor="background1"/>
              <w:bottom w:val="single" w:sz="4" w:space="0" w:color="auto"/>
              <w:right w:val="single" w:sz="4" w:space="0" w:color="FFFFFF" w:themeColor="background1"/>
            </w:tcBorders>
          </w:tcPr>
          <w:p w14:paraId="69383210" w14:textId="77777777" w:rsidR="005E7698" w:rsidRPr="002029AF" w:rsidRDefault="005E7698" w:rsidP="008340C1">
            <w:pPr>
              <w:pStyle w:val="ARtablecolhead"/>
            </w:pPr>
            <w:r w:rsidRPr="002029AF">
              <w:t>201</w:t>
            </w:r>
            <w:r>
              <w:t>9</w:t>
            </w:r>
            <w:r w:rsidRPr="002029AF">
              <w:t>–</w:t>
            </w:r>
            <w:r>
              <w:t>20</w:t>
            </w:r>
          </w:p>
        </w:tc>
        <w:tc>
          <w:tcPr>
            <w:tcW w:w="1021" w:type="dxa"/>
            <w:tcBorders>
              <w:top w:val="nil"/>
              <w:left w:val="single" w:sz="4" w:space="0" w:color="FFFFFF" w:themeColor="background1"/>
              <w:bottom w:val="single" w:sz="4" w:space="0" w:color="auto"/>
              <w:right w:val="single" w:sz="4" w:space="0" w:color="FFFFFF" w:themeColor="background1"/>
            </w:tcBorders>
          </w:tcPr>
          <w:p w14:paraId="2BE57F62" w14:textId="77777777" w:rsidR="005E7698" w:rsidRPr="002029AF" w:rsidRDefault="005E7698" w:rsidP="008340C1">
            <w:pPr>
              <w:pStyle w:val="ARtablecolhead"/>
            </w:pPr>
            <w:r w:rsidRPr="002029AF">
              <w:t>20</w:t>
            </w:r>
            <w:r>
              <w:t>20</w:t>
            </w:r>
            <w:r w:rsidRPr="002029AF">
              <w:t>–2</w:t>
            </w:r>
            <w:r>
              <w:t>1</w:t>
            </w:r>
          </w:p>
        </w:tc>
        <w:tc>
          <w:tcPr>
            <w:tcW w:w="1021" w:type="dxa"/>
            <w:tcBorders>
              <w:top w:val="nil"/>
              <w:left w:val="single" w:sz="4" w:space="0" w:color="FFFFFF" w:themeColor="background1"/>
              <w:bottom w:val="single" w:sz="4" w:space="0" w:color="auto"/>
              <w:right w:val="single" w:sz="4" w:space="0" w:color="FFFFFF" w:themeColor="background1"/>
            </w:tcBorders>
          </w:tcPr>
          <w:p w14:paraId="1E5497D6" w14:textId="77777777" w:rsidR="005E7698" w:rsidRPr="002029AF" w:rsidRDefault="005E7698" w:rsidP="008340C1">
            <w:pPr>
              <w:pStyle w:val="ARtablecolhead"/>
            </w:pPr>
            <w:r>
              <w:t>2021–22</w:t>
            </w:r>
          </w:p>
        </w:tc>
      </w:tr>
      <w:tr w:rsidR="005E7698" w:rsidRPr="002029AF" w14:paraId="76B5BA0B" w14:textId="77777777" w:rsidTr="00682AB0">
        <w:trPr>
          <w:cantSplit/>
        </w:trPr>
        <w:tc>
          <w:tcPr>
            <w:tcW w:w="9639"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114A9EAB" w14:textId="77777777" w:rsidR="005E7698" w:rsidRPr="00355478" w:rsidRDefault="005E7698" w:rsidP="00044722">
            <w:pPr>
              <w:pStyle w:val="ARtablecolourbold"/>
            </w:pPr>
            <w:r w:rsidRPr="00355478">
              <w:t>Victorians have good mental health</w:t>
            </w:r>
          </w:p>
        </w:tc>
      </w:tr>
      <w:tr w:rsidR="005E7698" w:rsidRPr="002029AF" w14:paraId="2557F91E" w14:textId="77777777" w:rsidTr="00682AB0">
        <w:trPr>
          <w:cantSplit/>
        </w:trPr>
        <w:tc>
          <w:tcPr>
            <w:tcW w:w="5555"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34AF337B" w14:textId="77777777" w:rsidR="005E7698" w:rsidRPr="00355478" w:rsidRDefault="005E7698" w:rsidP="008340C1">
            <w:pPr>
              <w:pStyle w:val="ARtabletext"/>
            </w:pPr>
            <w:r w:rsidRPr="00355478">
              <w:t xml:space="preserve">Proportion of adults </w:t>
            </w:r>
            <w:r>
              <w:t>with doctor-</w:t>
            </w:r>
            <w:r w:rsidRPr="00355478">
              <w:t>diagnosed anxiety or depression</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4056B659" w14:textId="77777777" w:rsidR="005E7698" w:rsidRPr="00355478" w:rsidRDefault="005E7698" w:rsidP="008340C1">
            <w:pPr>
              <w:pStyle w:val="ARtabletext"/>
            </w:pPr>
            <w:r w:rsidRPr="00355478">
              <w:t>29.1%</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599E44CE" w14:textId="77777777" w:rsidR="005E7698" w:rsidRPr="00355478" w:rsidRDefault="005E7698" w:rsidP="008340C1">
            <w:pPr>
              <w:pStyle w:val="ARtabletext"/>
            </w:pPr>
            <w:r w:rsidRPr="00355478">
              <w:t>29.8%</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27C26FD3" w14:textId="77777777" w:rsidR="005E7698" w:rsidRPr="00355478" w:rsidRDefault="005E7698" w:rsidP="008340C1">
            <w:pPr>
              <w:pStyle w:val="ARtabletext"/>
            </w:pPr>
            <w:r>
              <w:t>31.8%</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6948B516" w14:textId="6F48D142" w:rsidR="005E7698" w:rsidRPr="006943A9" w:rsidRDefault="005E7698" w:rsidP="008340C1">
            <w:pPr>
              <w:pStyle w:val="ARtabletext"/>
              <w:rPr>
                <w:highlight w:val="yellow"/>
                <w:vertAlign w:val="superscript"/>
              </w:rPr>
            </w:pPr>
            <w:r w:rsidRPr="006943A9">
              <w:t>N/A</w:t>
            </w:r>
            <w:r>
              <w:rPr>
                <w:rStyle w:val="FootnoteReference"/>
              </w:rPr>
              <w:t>(</w:t>
            </w:r>
            <w:r w:rsidRPr="001A559C">
              <w:rPr>
                <w:rStyle w:val="FootnoteReference"/>
              </w:rPr>
              <w:footnoteReference w:id="9"/>
            </w:r>
            <w:r>
              <w:rPr>
                <w:rStyle w:val="FootnoteReference"/>
              </w:rPr>
              <w:t>)</w:t>
            </w:r>
          </w:p>
        </w:tc>
      </w:tr>
      <w:tr w:rsidR="005E7698" w:rsidRPr="002029AF" w14:paraId="3565C8BC" w14:textId="77777777" w:rsidTr="00682AB0">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AFCAB7F" w14:textId="77777777" w:rsidR="005E7698" w:rsidRPr="00355478" w:rsidRDefault="005E7698" w:rsidP="008340C1">
            <w:pPr>
              <w:pStyle w:val="ARtabletext"/>
            </w:pPr>
            <w:r w:rsidRPr="00355478">
              <w:t>Proportion of adults with high/very high psychological distress</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A4BF870" w14:textId="77777777" w:rsidR="005E7698" w:rsidRPr="00355478" w:rsidRDefault="005E7698" w:rsidP="008340C1">
            <w:pPr>
              <w:pStyle w:val="ARtabletext"/>
            </w:pPr>
            <w:r w:rsidRPr="00355478">
              <w:t>15.0%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F86973D" w14:textId="77777777" w:rsidR="005E7698" w:rsidRPr="00355478" w:rsidRDefault="005E7698" w:rsidP="008340C1">
            <w:pPr>
              <w:pStyle w:val="ARtabletext"/>
            </w:pPr>
            <w:r w:rsidRPr="00355478">
              <w:t>18.1%</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964BBA2" w14:textId="77777777" w:rsidR="005E7698" w:rsidRPr="00355478" w:rsidRDefault="005E7698" w:rsidP="008340C1">
            <w:pPr>
              <w:pStyle w:val="ARtabletext"/>
            </w:pPr>
            <w:r>
              <w:t>23.4%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787ED95D" w14:textId="5790C50A" w:rsidR="005E7698" w:rsidRPr="002C1EEE" w:rsidRDefault="005E7698" w:rsidP="008340C1">
            <w:pPr>
              <w:pStyle w:val="ARtabletext"/>
              <w:rPr>
                <w:highlight w:val="yellow"/>
              </w:rPr>
            </w:pPr>
            <w:r w:rsidRPr="006943A9">
              <w:t>N/A</w:t>
            </w:r>
            <w:r w:rsidRPr="006943A9">
              <w:rPr>
                <w:vertAlign w:val="superscript"/>
              </w:rPr>
              <w:t>(a)</w:t>
            </w:r>
          </w:p>
        </w:tc>
      </w:tr>
      <w:tr w:rsidR="005E7698" w:rsidRPr="002029AF" w14:paraId="58B59F95" w14:textId="77777777" w:rsidTr="00682AB0">
        <w:trPr>
          <w:cantSplit/>
        </w:trPr>
        <w:tc>
          <w:tcPr>
            <w:tcW w:w="555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CD2A931" w14:textId="77777777" w:rsidR="005E7698" w:rsidRPr="00355478" w:rsidRDefault="005E7698" w:rsidP="008340C1">
            <w:pPr>
              <w:pStyle w:val="ARtabletext"/>
            </w:pPr>
            <w:r w:rsidRPr="00355478">
              <w:t>Standardised rate of death from suicide (per 100,000 people)</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8B18EEC" w14:textId="77777777" w:rsidR="005E7698" w:rsidRPr="00355478" w:rsidRDefault="005E7698" w:rsidP="008340C1">
            <w:pPr>
              <w:pStyle w:val="ARtabletext"/>
            </w:pPr>
            <w:r>
              <w:t>10.5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EC4D092" w14:textId="77777777" w:rsidR="005E7698" w:rsidRPr="00355478" w:rsidRDefault="005E7698" w:rsidP="008340C1">
            <w:pPr>
              <w:pStyle w:val="ARtabletext"/>
            </w:pPr>
            <w:r>
              <w:t>10.7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4F824CE7" w14:textId="77777777" w:rsidR="005E7698" w:rsidRPr="00355478" w:rsidRDefault="005E7698" w:rsidP="008340C1">
            <w:pPr>
              <w:pStyle w:val="ARtabletext"/>
            </w:pPr>
            <w:r>
              <w:t>10.1</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54CD07EB" w14:textId="67E3F868" w:rsidR="005E7698" w:rsidRPr="00415C6F" w:rsidRDefault="005E7698" w:rsidP="008340C1">
            <w:pPr>
              <w:pStyle w:val="ARtabletext"/>
              <w:rPr>
                <w:highlight w:val="yellow"/>
                <w:vertAlign w:val="superscript"/>
              </w:rPr>
            </w:pPr>
            <w:r w:rsidRPr="007B597C">
              <w:t>N/A</w:t>
            </w:r>
            <w:r>
              <w:rPr>
                <w:rStyle w:val="FootnoteReference"/>
              </w:rPr>
              <w:t>(</w:t>
            </w:r>
            <w:r w:rsidRPr="001A559C">
              <w:rPr>
                <w:rStyle w:val="FootnoteReference"/>
              </w:rPr>
              <w:footnoteReference w:id="10"/>
            </w:r>
            <w:r>
              <w:rPr>
                <w:rStyle w:val="FootnoteReference"/>
              </w:rPr>
              <w:t>)</w:t>
            </w:r>
          </w:p>
        </w:tc>
      </w:tr>
      <w:tr w:rsidR="005E7698" w:rsidRPr="002029AF" w14:paraId="0D6AAE5B" w14:textId="77777777" w:rsidTr="00682AB0">
        <w:trPr>
          <w:cantSplit/>
        </w:trPr>
        <w:tc>
          <w:tcPr>
            <w:tcW w:w="9639" w:type="dxa"/>
            <w:gridSpan w:val="5"/>
            <w:tcBorders>
              <w:top w:val="single" w:sz="4" w:space="0" w:color="BFBFBF" w:themeColor="background1" w:themeShade="BF"/>
              <w:left w:val="single" w:sz="4" w:space="0" w:color="FFFFFF" w:themeColor="background1"/>
              <w:bottom w:val="single" w:sz="4" w:space="0" w:color="auto"/>
              <w:right w:val="single" w:sz="4" w:space="0" w:color="FFFFFF" w:themeColor="background1"/>
            </w:tcBorders>
          </w:tcPr>
          <w:p w14:paraId="4AB7EF78" w14:textId="77777777" w:rsidR="005E7698" w:rsidRPr="002029AF" w:rsidRDefault="005E7698" w:rsidP="008340C1">
            <w:pPr>
              <w:pStyle w:val="ARtablefootnote"/>
            </w:pPr>
            <w:r w:rsidRPr="002029AF">
              <w:t xml:space="preserve">Sources: </w:t>
            </w:r>
            <w:r w:rsidRPr="00355478">
              <w:t xml:space="preserve">Victorian Population Health Survey </w:t>
            </w:r>
            <w:r>
              <w:t>(</w:t>
            </w:r>
            <w:r w:rsidRPr="002029AF">
              <w:t>VPHS</w:t>
            </w:r>
            <w:r>
              <w:t>)</w:t>
            </w:r>
            <w:r w:rsidRPr="002029AF">
              <w:t>; Australian Bureau of Statistics (ABS)</w:t>
            </w:r>
          </w:p>
        </w:tc>
      </w:tr>
    </w:tbl>
    <w:p w14:paraId="107A3DA5" w14:textId="77777777" w:rsidR="005E7698" w:rsidRDefault="005E7698" w:rsidP="001A559C">
      <w:pPr>
        <w:pStyle w:val="ARbody"/>
      </w:pPr>
      <w:bookmarkStart w:id="84" w:name="_Objective_3:_Victorians"/>
      <w:bookmarkEnd w:id="84"/>
    </w:p>
    <w:p w14:paraId="1C4E8FC9" w14:textId="77777777" w:rsidR="00603B69" w:rsidRDefault="00603B69" w:rsidP="00603B69">
      <w:pPr>
        <w:pStyle w:val="ARbody"/>
        <w:sectPr w:rsidR="00603B69" w:rsidSect="00682AB0">
          <w:footnotePr>
            <w:numFmt w:val="lowerLetter"/>
            <w:numRestart w:val="eachPage"/>
          </w:footnotePr>
          <w:endnotePr>
            <w:numFmt w:val="decimal"/>
          </w:endnotePr>
          <w:pgSz w:w="11900" w:h="16840" w:code="9"/>
          <w:pgMar w:top="1985" w:right="1134" w:bottom="851" w:left="1134" w:header="510" w:footer="340" w:gutter="0"/>
          <w:cols w:space="454"/>
          <w15:footnoteColumns w:val="1"/>
        </w:sectPr>
      </w:pPr>
    </w:p>
    <w:p w14:paraId="3A20DAEA" w14:textId="04A1D32B" w:rsidR="00603B69" w:rsidRDefault="00603B69" w:rsidP="002B17E9">
      <w:pPr>
        <w:pStyle w:val="Heading3forTOC"/>
      </w:pPr>
      <w:bookmarkStart w:id="85" w:name="_Ref104215203"/>
      <w:bookmarkStart w:id="86" w:name="_Toc113702912"/>
      <w:bookmarkStart w:id="87" w:name="Objective3"/>
      <w:r>
        <w:t xml:space="preserve">Objective 3: </w:t>
      </w:r>
      <w:r w:rsidRPr="00006E80">
        <w:t>Victorians act to protect and promote health</w:t>
      </w:r>
      <w:bookmarkEnd w:id="85"/>
      <w:bookmarkEnd w:id="86"/>
    </w:p>
    <w:bookmarkEnd w:id="87"/>
    <w:p w14:paraId="197B1FB2" w14:textId="36356E87" w:rsidR="00603B69" w:rsidRDefault="00603B69" w:rsidP="00603B69">
      <w:pPr>
        <w:pStyle w:val="ARintro"/>
      </w:pPr>
      <w:r w:rsidRPr="00D97EA7">
        <w:t>The department wants all Victorians to enjoy the highest attainable standards of health, wellbeing,</w:t>
      </w:r>
      <w:r w:rsidR="004B3D7E">
        <w:t> </w:t>
      </w:r>
      <w:r w:rsidRPr="00D97EA7">
        <w:t>development and participation at every age.</w:t>
      </w:r>
    </w:p>
    <w:p w14:paraId="237BBD97" w14:textId="77777777" w:rsidR="00603B69" w:rsidRDefault="00603B69" w:rsidP="00603B69">
      <w:pPr>
        <w:pStyle w:val="ARintro"/>
      </w:pPr>
      <w:r w:rsidRPr="00D97EA7">
        <w:t>Recognising the influential role of social, cultural and economic forces, as well as biological and environmental factors, on health and wellbeing, we consider the whole population and support community-led action wherever possible.</w:t>
      </w:r>
    </w:p>
    <w:p w14:paraId="5D252019" w14:textId="03624EDD" w:rsidR="00603B69" w:rsidRDefault="00603B69" w:rsidP="00603B69">
      <w:pPr>
        <w:pStyle w:val="ARintro"/>
      </w:pPr>
      <w:r w:rsidRPr="00D97EA7">
        <w:t>Access to high</w:t>
      </w:r>
      <w:r w:rsidR="0051398D">
        <w:t>-</w:t>
      </w:r>
      <w:r w:rsidRPr="00D97EA7">
        <w:t>quality care at the right place and the right time</w:t>
      </w:r>
      <w:r>
        <w:t xml:space="preserve"> is one of the department’s </w:t>
      </w:r>
      <w:r w:rsidR="00757A3C">
        <w:t>key</w:t>
      </w:r>
      <w:r w:rsidR="004B3D7E">
        <w:t> </w:t>
      </w:r>
      <w:r>
        <w:t>priorities.</w:t>
      </w:r>
    </w:p>
    <w:p w14:paraId="744D3B8A" w14:textId="77777777" w:rsidR="00603B69" w:rsidRPr="00CF1ABC" w:rsidRDefault="00603B69" w:rsidP="00603B69">
      <w:pPr>
        <w:pStyle w:val="ARbody"/>
      </w:pPr>
    </w:p>
    <w:p w14:paraId="51F222E1" w14:textId="77777777" w:rsidR="00603B69" w:rsidRDefault="00603B69" w:rsidP="00603B69">
      <w:pPr>
        <w:pStyle w:val="ARbody"/>
        <w:sectPr w:rsidR="00603B69" w:rsidSect="00603B69">
          <w:headerReference w:type="first" r:id="rId40"/>
          <w:footnotePr>
            <w:numFmt w:val="lowerLetter"/>
            <w:numRestart w:val="eachPage"/>
          </w:footnotePr>
          <w:endnotePr>
            <w:numFmt w:val="decimal"/>
          </w:endnotePr>
          <w:pgSz w:w="11900" w:h="16840" w:code="9"/>
          <w:pgMar w:top="1985" w:right="1134" w:bottom="851" w:left="1134" w:header="510" w:footer="340" w:gutter="0"/>
          <w:cols w:space="454"/>
          <w15:footnoteColumns w:val="1"/>
        </w:sectPr>
      </w:pPr>
    </w:p>
    <w:p w14:paraId="5130F46B" w14:textId="77777777" w:rsidR="00603B69" w:rsidRDefault="00603B69" w:rsidP="00603B69">
      <w:pPr>
        <w:pStyle w:val="Heading4"/>
      </w:pPr>
      <w:r>
        <w:t>Objective indicators</w:t>
      </w:r>
    </w:p>
    <w:p w14:paraId="2F0A972D" w14:textId="05760FE8" w:rsidR="00603B69" w:rsidRDefault="00603B69" w:rsidP="00603B69">
      <w:pPr>
        <w:pStyle w:val="Heading5"/>
      </w:pPr>
      <w:r>
        <w:t>R</w:t>
      </w:r>
      <w:r w:rsidRPr="00006E80">
        <w:t>educe deaths resulting from misuse of</w:t>
      </w:r>
      <w:r w:rsidR="00E2337D">
        <w:t> </w:t>
      </w:r>
      <w:r w:rsidRPr="00006E80">
        <w:t>prescription medicine</w:t>
      </w:r>
    </w:p>
    <w:p w14:paraId="44566D6B" w14:textId="77777777" w:rsidR="00603B69" w:rsidRPr="00F8047F" w:rsidRDefault="00603B69" w:rsidP="00603B69">
      <w:pPr>
        <w:pStyle w:val="Heading6"/>
      </w:pPr>
      <w:r w:rsidRPr="00F8047F">
        <w:t>SafeScript</w:t>
      </w:r>
    </w:p>
    <w:p w14:paraId="42B07411" w14:textId="4A048980" w:rsidR="00603B69" w:rsidRDefault="00603B69" w:rsidP="00603B69">
      <w:pPr>
        <w:pStyle w:val="ARbody"/>
      </w:pPr>
      <w:r>
        <w:t>SafeScript</w:t>
      </w:r>
      <w:r w:rsidR="00F709B8">
        <w:t xml:space="preserve"> is</w:t>
      </w:r>
      <w:r>
        <w:t xml:space="preserve"> the Victorian Government’s comprehensive real-time prescription monitoring system</w:t>
      </w:r>
      <w:r w:rsidR="00F709B8">
        <w:t>. It</w:t>
      </w:r>
      <w:r>
        <w:t xml:space="preserve"> has now been in operation for nearly four</w:t>
      </w:r>
      <w:r w:rsidR="00BD46C7">
        <w:t> </w:t>
      </w:r>
      <w:r>
        <w:t xml:space="preserve">years. </w:t>
      </w:r>
      <w:r w:rsidR="0051398D">
        <w:t>U</w:t>
      </w:r>
      <w:r>
        <w:t>se</w:t>
      </w:r>
      <w:r w:rsidR="0051398D">
        <w:t xml:space="preserve"> of this system</w:t>
      </w:r>
      <w:r>
        <w:t xml:space="preserve"> by prescribers and pharmacists has been </w:t>
      </w:r>
      <w:r w:rsidR="0051398D">
        <w:t>mandatory</w:t>
      </w:r>
      <w:r>
        <w:t xml:space="preserve"> since April 2020. SafeScript gives doctors, nurse practitioners and pharmacists access to up-to-the-minute information on the prescription histories of their patients. It</w:t>
      </w:r>
      <w:r w:rsidR="00BD46C7">
        <w:t> </w:t>
      </w:r>
      <w:r>
        <w:t>monitors all Schedule 8 medicines, such as morphine and oxycodone, as well as Schedule 4 drugs of dependence, Z-group medicines and quetiapine.</w:t>
      </w:r>
    </w:p>
    <w:p w14:paraId="1B2E15F7" w14:textId="6830B45B" w:rsidR="003F0283" w:rsidRDefault="009A7717" w:rsidP="00603B69">
      <w:pPr>
        <w:pStyle w:val="ARbody"/>
      </w:pPr>
      <w:r>
        <w:t>The introduction of SafeScript in 2019 has seen a year-on-year decrease in the number of Victorians dying from overdose. This is a real success story</w:t>
      </w:r>
      <w:r w:rsidR="00C21AA8">
        <w:t xml:space="preserve"> for the department</w:t>
      </w:r>
      <w:r>
        <w:t>, and a stark contrast to the previous decade when the number of overdose-related deaths increased every year.</w:t>
      </w:r>
    </w:p>
    <w:p w14:paraId="6876DBEC" w14:textId="27D7C1AF" w:rsidR="00603B69" w:rsidRPr="00527DCA" w:rsidRDefault="00603B69" w:rsidP="00603B69">
      <w:pPr>
        <w:pStyle w:val="Heading6"/>
      </w:pPr>
      <w:r w:rsidRPr="00527DCA">
        <w:t>Industry Licensing Scheme</w:t>
      </w:r>
    </w:p>
    <w:p w14:paraId="0673320C" w14:textId="2A0A1F65" w:rsidR="00CA00D2" w:rsidRDefault="00CA00D2" w:rsidP="00CA00D2">
      <w:pPr>
        <w:pStyle w:val="ARbody"/>
      </w:pPr>
      <w:r w:rsidRPr="00F55B73">
        <w:t xml:space="preserve">The </w:t>
      </w:r>
      <w:r>
        <w:t xml:space="preserve">department </w:t>
      </w:r>
      <w:r w:rsidRPr="00F55B73">
        <w:t>regulates 2,</w:t>
      </w:r>
      <w:r>
        <w:t>224</w:t>
      </w:r>
      <w:r w:rsidRPr="00F55B73">
        <w:t xml:space="preserve"> </w:t>
      </w:r>
      <w:r>
        <w:t xml:space="preserve">Victorian </w:t>
      </w:r>
      <w:r w:rsidRPr="00F55B73">
        <w:t xml:space="preserve">businesses that require access to scheduled medicines and other controlled substances. The scheme </w:t>
      </w:r>
      <w:r>
        <w:t>provides</w:t>
      </w:r>
      <w:r w:rsidRPr="00F55B73">
        <w:t xml:space="preserve"> oversight </w:t>
      </w:r>
      <w:r>
        <w:t xml:space="preserve">of </w:t>
      </w:r>
      <w:r w:rsidRPr="00F55B73">
        <w:t xml:space="preserve">access to controlled substances </w:t>
      </w:r>
      <w:r>
        <w:t>to</w:t>
      </w:r>
      <w:r w:rsidRPr="00F55B73">
        <w:t xml:space="preserve"> minimise</w:t>
      </w:r>
      <w:r>
        <w:t xml:space="preserve"> the</w:t>
      </w:r>
      <w:r w:rsidRPr="00F55B73">
        <w:t xml:space="preserve"> risk of misuse </w:t>
      </w:r>
      <w:r>
        <w:t xml:space="preserve">and </w:t>
      </w:r>
      <w:r w:rsidRPr="00F55B73">
        <w:t>resulting harm.</w:t>
      </w:r>
    </w:p>
    <w:p w14:paraId="0C53B53A" w14:textId="31D9AD08" w:rsidR="00CA00D2" w:rsidRDefault="00CA00D2" w:rsidP="00CA00D2">
      <w:pPr>
        <w:pStyle w:val="ARbody"/>
        <w:rPr>
          <w:i/>
          <w:iCs/>
        </w:rPr>
      </w:pPr>
      <w:r w:rsidRPr="00F55B73">
        <w:t>The business</w:t>
      </w:r>
      <w:r>
        <w:t>es</w:t>
      </w:r>
      <w:r w:rsidRPr="00F55B73">
        <w:t xml:space="preserve"> include pharmaceutical manufacturers and wholesalers, hospitals and other</w:t>
      </w:r>
      <w:r w:rsidR="00BD46C7">
        <w:t> </w:t>
      </w:r>
      <w:r w:rsidRPr="00F55B73">
        <w:t xml:space="preserve">health services, research facilities and higher education providers, testing laboratories, </w:t>
      </w:r>
      <w:r w:rsidR="00187B5D">
        <w:t xml:space="preserve">and </w:t>
      </w:r>
      <w:r w:rsidRPr="00F55B73">
        <w:t>pest bait</w:t>
      </w:r>
      <w:r w:rsidR="00BD46C7">
        <w:t> </w:t>
      </w:r>
      <w:r w:rsidRPr="00F55B73">
        <w:t>manufacturers</w:t>
      </w:r>
      <w:r>
        <w:t>.</w:t>
      </w:r>
      <w:r w:rsidRPr="00F55B73">
        <w:t xml:space="preserve"> </w:t>
      </w:r>
      <w:r>
        <w:t xml:space="preserve">In 2021–22, the </w:t>
      </w:r>
      <w:r w:rsidR="00AB4D55">
        <w:t>department</w:t>
      </w:r>
      <w:r>
        <w:t xml:space="preserve"> processed </w:t>
      </w:r>
      <w:r w:rsidRPr="00F55B73">
        <w:t>100</w:t>
      </w:r>
      <w:r>
        <w:t xml:space="preserve"> per cent</w:t>
      </w:r>
      <w:r w:rsidRPr="00F55B73">
        <w:t xml:space="preserve"> of new licence </w:t>
      </w:r>
      <w:r>
        <w:t>and</w:t>
      </w:r>
      <w:r w:rsidRPr="00F55B73">
        <w:t xml:space="preserve"> permit applications within </w:t>
      </w:r>
      <w:r>
        <w:t xml:space="preserve">the required </w:t>
      </w:r>
      <w:r w:rsidRPr="00F55B73">
        <w:t>timeframes</w:t>
      </w:r>
      <w:r w:rsidRPr="006D2144">
        <w:rPr>
          <w:i/>
          <w:iCs/>
        </w:rPr>
        <w:t>.</w:t>
      </w:r>
    </w:p>
    <w:p w14:paraId="288D7C0B" w14:textId="4C70D011" w:rsidR="00603B69" w:rsidRPr="00527DCA" w:rsidRDefault="00603B69" w:rsidP="00603B69">
      <w:pPr>
        <w:pStyle w:val="Heading6"/>
      </w:pPr>
      <w:r w:rsidRPr="00527DCA">
        <w:t xml:space="preserve">Schedule 8 </w:t>
      </w:r>
      <w:r w:rsidR="008949FE">
        <w:t>t</w:t>
      </w:r>
      <w:r w:rsidRPr="00527DCA">
        <w:t xml:space="preserve">reatment </w:t>
      </w:r>
      <w:r w:rsidR="008949FE">
        <w:t>p</w:t>
      </w:r>
      <w:r w:rsidRPr="00527DCA">
        <w:t>ermits</w:t>
      </w:r>
    </w:p>
    <w:p w14:paraId="74FB81FA" w14:textId="7468455B" w:rsidR="003F0283" w:rsidRDefault="00603B69" w:rsidP="00603B69">
      <w:pPr>
        <w:pStyle w:val="ARbody"/>
      </w:pPr>
      <w:r>
        <w:t>The Schedule 8 treatment permit system provides</w:t>
      </w:r>
      <w:r w:rsidR="00C554E9">
        <w:t> </w:t>
      </w:r>
      <w:r>
        <w:t xml:space="preserve">regulatory oversight of </w:t>
      </w:r>
      <w:r w:rsidR="008949FE">
        <w:t xml:space="preserve">the prescribing of </w:t>
      </w:r>
      <w:r>
        <w:t>Schedule</w:t>
      </w:r>
      <w:r w:rsidR="007F1358">
        <w:t> </w:t>
      </w:r>
      <w:r>
        <w:t>8 medicines</w:t>
      </w:r>
      <w:r w:rsidR="00CA00D2">
        <w:t>. The scheme</w:t>
      </w:r>
      <w:r>
        <w:t xml:space="preserve"> complements SafeScript. Each permit application is assessed on whether its supply is safe, legal and appropriate</w:t>
      </w:r>
      <w:r w:rsidR="002207EF">
        <w:t>.</w:t>
      </w:r>
      <w:r>
        <w:t xml:space="preserve"> </w:t>
      </w:r>
      <w:r w:rsidR="002207EF">
        <w:t>I</w:t>
      </w:r>
      <w:r>
        <w:t>ntervention occurs where there is potential harm</w:t>
      </w:r>
      <w:r w:rsidRPr="008949FE">
        <w:t>.</w:t>
      </w:r>
      <w:r w:rsidR="004B3D7E">
        <w:t> </w:t>
      </w:r>
      <w:r w:rsidRPr="008949FE">
        <w:t>This</w:t>
      </w:r>
      <w:r w:rsidR="008949FE" w:rsidRPr="007F1358">
        <w:t xml:space="preserve"> system</w:t>
      </w:r>
      <w:r w:rsidRPr="008949FE">
        <w:t xml:space="preserve"> includes</w:t>
      </w:r>
      <w:r>
        <w:t xml:space="preserve"> applications for pharmacotherapy (medication</w:t>
      </w:r>
      <w:r w:rsidR="008949FE">
        <w:t>-</w:t>
      </w:r>
      <w:r>
        <w:t>assisted treatment for opioid dependence).</w:t>
      </w:r>
    </w:p>
    <w:p w14:paraId="4220EC26" w14:textId="09BFA95B" w:rsidR="003F0283" w:rsidRDefault="00603B69" w:rsidP="00603B69">
      <w:pPr>
        <w:pStyle w:val="ARbody"/>
      </w:pPr>
      <w:r>
        <w:t>Timeliness in processing the permit applications is</w:t>
      </w:r>
      <w:r w:rsidR="00C554E9">
        <w:t> </w:t>
      </w:r>
      <w:r w:rsidR="002207EF">
        <w:t>important</w:t>
      </w:r>
      <w:r>
        <w:t xml:space="preserve"> to ensure prompt detection and intervention in unsafe or inappropriate prescribing of Schedule 8 medicines. </w:t>
      </w:r>
      <w:r w:rsidR="00C56FDA">
        <w:t xml:space="preserve">In </w:t>
      </w:r>
      <w:r w:rsidR="006C15A9">
        <w:t>2021–22</w:t>
      </w:r>
      <w:r w:rsidR="00C56FDA">
        <w:t xml:space="preserve">, </w:t>
      </w:r>
      <w:r>
        <w:t>100</w:t>
      </w:r>
      <w:r w:rsidR="00866107">
        <w:t xml:space="preserve"> per cent</w:t>
      </w:r>
      <w:r>
        <w:t xml:space="preserve"> of </w:t>
      </w:r>
      <w:r w:rsidR="00B20B01">
        <w:t xml:space="preserve">permit </w:t>
      </w:r>
      <w:r>
        <w:t xml:space="preserve">applications were processed </w:t>
      </w:r>
      <w:r w:rsidR="00B20B01">
        <w:t>on time</w:t>
      </w:r>
      <w:r>
        <w:t>.</w:t>
      </w:r>
    </w:p>
    <w:p w14:paraId="08CC7D17" w14:textId="2B584055" w:rsidR="00550606" w:rsidRDefault="00603B69" w:rsidP="00603B69">
      <w:pPr>
        <w:pStyle w:val="Heading5"/>
      </w:pPr>
      <w:bookmarkStart w:id="88" w:name="_Increase_immunisation_coverage"/>
      <w:bookmarkEnd w:id="88"/>
      <w:r>
        <w:t>Increase immunisation coverage rates at</w:t>
      </w:r>
      <w:r w:rsidR="00E2337D">
        <w:t> </w:t>
      </w:r>
      <w:r>
        <w:t>two years of age and at school entry</w:t>
      </w:r>
    </w:p>
    <w:p w14:paraId="3508175D" w14:textId="2C3355E7" w:rsidR="00DA4EBF" w:rsidRDefault="00DA4EBF" w:rsidP="00DA4EBF">
      <w:pPr>
        <w:pStyle w:val="ARbody"/>
      </w:pPr>
      <w:bookmarkStart w:id="89" w:name="_Hlk112483861"/>
      <w:bookmarkStart w:id="90" w:name="_Ref104215442"/>
      <w:r>
        <w:t>Despite the challenges of COVID-19 over the past two years, Victoria has continued to make sure that children get their normal immunisations, keeping them healthy and safe</w:t>
      </w:r>
      <w:r w:rsidR="0053029A">
        <w:t>.</w:t>
      </w:r>
    </w:p>
    <w:p w14:paraId="309531AC" w14:textId="27360ADC" w:rsidR="009B0A22" w:rsidRDefault="00DA4EBF" w:rsidP="00DA4EBF">
      <w:pPr>
        <w:pStyle w:val="ARbody"/>
      </w:pPr>
      <w:r>
        <w:t>The percentage of Victorian children ‘fully immunised’ according to the National Immunisation Program schedule at two years (24 months of age) and school entry (60 months of age) continues to exceed the national average.</w:t>
      </w:r>
      <w:r w:rsidR="009B0A22">
        <w:t xml:space="preserve"> Up to March 2022, 93.08 per cent of Victorian children aged 24 months were fully immunised, compared to the national rate of 92.73 per cent, </w:t>
      </w:r>
      <w:r w:rsidR="00631F18">
        <w:t>with a rate of</w:t>
      </w:r>
      <w:r w:rsidR="009B0A22">
        <w:t xml:space="preserve"> 95.50 per cent </w:t>
      </w:r>
      <w:r w:rsidR="00631F18">
        <w:t>for</w:t>
      </w:r>
      <w:r w:rsidR="009B0A22">
        <w:t xml:space="preserve"> those aged 60 months, which is also higher than the national average of 94.73 per cent.</w:t>
      </w:r>
    </w:p>
    <w:bookmarkEnd w:id="89"/>
    <w:p w14:paraId="19331756" w14:textId="70F156D2" w:rsidR="00603B69" w:rsidRPr="00DC28AC" w:rsidRDefault="000E6F5E" w:rsidP="00E2337D">
      <w:pPr>
        <w:pStyle w:val="Heading4"/>
      </w:pPr>
      <w:r>
        <w:t xml:space="preserve">Key priority: </w:t>
      </w:r>
      <w:r w:rsidR="00603B69" w:rsidRPr="00DC28AC">
        <w:t>Access to high</w:t>
      </w:r>
      <w:r w:rsidR="00445649">
        <w:t>-</w:t>
      </w:r>
      <w:r w:rsidR="00603B69" w:rsidRPr="00DC28AC">
        <w:t>quality care at the right place and the right time</w:t>
      </w:r>
      <w:bookmarkEnd w:id="90"/>
    </w:p>
    <w:p w14:paraId="6D39CA33" w14:textId="77777777" w:rsidR="00603B69" w:rsidRDefault="00603B69" w:rsidP="00BD46C7">
      <w:pPr>
        <w:pStyle w:val="Heading5"/>
        <w:spacing w:before="120"/>
      </w:pPr>
      <w:bookmarkStart w:id="91" w:name="_Reduce_waiting_lists"/>
      <w:bookmarkEnd w:id="91"/>
      <w:r w:rsidRPr="005B612D">
        <w:t>Reduce waiting lists</w:t>
      </w:r>
    </w:p>
    <w:p w14:paraId="2F3A9F56" w14:textId="09081128" w:rsidR="00056909" w:rsidRDefault="00056909" w:rsidP="00056909">
      <w:pPr>
        <w:pStyle w:val="ARbody"/>
      </w:pPr>
      <w:r>
        <w:t>Every year, about 200,000 Victorians have some sort of planned (elective) surgery in a public hospital. Being able to have that surgery on time is</w:t>
      </w:r>
      <w:r w:rsidR="00E2337D">
        <w:t> </w:t>
      </w:r>
      <w:r>
        <w:t>important. While all Victorians needing urgent (Category 1) surgery were treated on time, the pandemic has caused delays to many others. In response, in April 2022 the Victorian Government announced a record investment of $1.5 billion to deliver a COVID Catch</w:t>
      </w:r>
      <w:r w:rsidR="00D834FF">
        <w:t>-</w:t>
      </w:r>
      <w:r>
        <w:t xml:space="preserve">Up Plan to boost surgical activity across Victoria. The plan will also deliver fundamental reform in how health services provide planned surgery. The first phase of this reform, begun in early 2022, will enable a record 240,000 Victorians to receive surgery every year by June 2024. The aim is that no Victorians will </w:t>
      </w:r>
      <w:r w:rsidR="00EA5E40">
        <w:t>experience excessive delays</w:t>
      </w:r>
      <w:r>
        <w:t xml:space="preserve"> for their surgery.</w:t>
      </w:r>
    </w:p>
    <w:p w14:paraId="590F4DF6" w14:textId="1586D56B" w:rsidR="00603B69" w:rsidRDefault="00056909" w:rsidP="008E57B9">
      <w:pPr>
        <w:pStyle w:val="ARbody"/>
      </w:pPr>
      <w:r>
        <w:t xml:space="preserve">The </w:t>
      </w:r>
      <w:r w:rsidR="00187B5D">
        <w:t>p</w:t>
      </w:r>
      <w:r>
        <w:t>lan is made up of several elements, as outlined below.</w:t>
      </w:r>
    </w:p>
    <w:p w14:paraId="7397C7B1" w14:textId="77777777" w:rsidR="003F0283" w:rsidRDefault="00603B69" w:rsidP="002E60B0">
      <w:pPr>
        <w:pStyle w:val="Heading6"/>
      </w:pPr>
      <w:r w:rsidRPr="003E7A59">
        <w:t>More activity</w:t>
      </w:r>
    </w:p>
    <w:p w14:paraId="1E188469" w14:textId="18A72D71" w:rsidR="00132194" w:rsidRDefault="00132194" w:rsidP="00132194">
      <w:pPr>
        <w:pStyle w:val="ARbody"/>
      </w:pPr>
      <w:r>
        <w:t xml:space="preserve">More operations will be provided through eight new dedicated planned surgery centres </w:t>
      </w:r>
      <w:r w:rsidR="009E1548">
        <w:t>–</w:t>
      </w:r>
      <w:r>
        <w:t xml:space="preserve"> Rapid Access Hubs –increased twilight and after-hours work</w:t>
      </w:r>
      <w:r w:rsidR="00187B5D">
        <w:t>,</w:t>
      </w:r>
      <w:r>
        <w:t xml:space="preserve"> and expanded same-day models of care.</w:t>
      </w:r>
    </w:p>
    <w:p w14:paraId="50421C49" w14:textId="4086A282" w:rsidR="004D4D20" w:rsidRDefault="00132194" w:rsidP="00132194">
      <w:pPr>
        <w:pStyle w:val="ARbody"/>
      </w:pPr>
      <w:r w:rsidRPr="008B70B1">
        <w:t xml:space="preserve">The eight new </w:t>
      </w:r>
      <w:r>
        <w:t>centres</w:t>
      </w:r>
      <w:r w:rsidRPr="008B70B1">
        <w:t xml:space="preserve"> will </w:t>
      </w:r>
      <w:r>
        <w:t>progressively open their doors</w:t>
      </w:r>
      <w:r w:rsidRPr="008B70B1">
        <w:t xml:space="preserve"> in 202</w:t>
      </w:r>
      <w:r>
        <w:t>2–</w:t>
      </w:r>
      <w:r w:rsidRPr="008B70B1">
        <w:t xml:space="preserve">23 to rapidly </w:t>
      </w:r>
      <w:r>
        <w:t>provide</w:t>
      </w:r>
      <w:r w:rsidRPr="008B70B1">
        <w:t xml:space="preserve"> patients</w:t>
      </w:r>
      <w:r w:rsidR="00327B24">
        <w:t xml:space="preserve"> with</w:t>
      </w:r>
      <w:r w:rsidRPr="008B70B1">
        <w:t xml:space="preserve"> t</w:t>
      </w:r>
      <w:r>
        <w:t>he</w:t>
      </w:r>
      <w:r w:rsidRPr="008B70B1">
        <w:t xml:space="preserve"> specialised care</w:t>
      </w:r>
      <w:r>
        <w:t xml:space="preserve"> they need. They will be located </w:t>
      </w:r>
      <w:r w:rsidRPr="008B70B1">
        <w:t>at St Vincent’s on the Park</w:t>
      </w:r>
      <w:r>
        <w:t xml:space="preserve"> in East Melbourne</w:t>
      </w:r>
      <w:r w:rsidRPr="008B70B1">
        <w:t>, Northern Health’s Broadmeadows Hospital, Austin Health’s Heidelberg Repatriation Hospital, The Royal Women’s Hospital, Mercy Health’s Werribee Mercy Hospital, Alfred Health’s Sandringham Hospital, The Peter MacCallum Cancer Centre, and</w:t>
      </w:r>
      <w:r w:rsidR="00E2337D">
        <w:t> </w:t>
      </w:r>
      <w:r w:rsidRPr="008B70B1">
        <w:t>Barwon Health</w:t>
      </w:r>
      <w:r>
        <w:t xml:space="preserve"> in Geelong.</w:t>
      </w:r>
    </w:p>
    <w:p w14:paraId="43304FC9" w14:textId="2BA767B4" w:rsidR="003F0283" w:rsidRDefault="00603B69" w:rsidP="002E60B0">
      <w:pPr>
        <w:pStyle w:val="Heading6"/>
      </w:pPr>
      <w:r>
        <w:t>New e</w:t>
      </w:r>
      <w:r w:rsidRPr="003E7A59">
        <w:t>quipment</w:t>
      </w:r>
    </w:p>
    <w:p w14:paraId="1C85E76C" w14:textId="7C317E55" w:rsidR="007D4948" w:rsidRDefault="007D4948" w:rsidP="007D4948">
      <w:pPr>
        <w:pStyle w:val="ARbody"/>
      </w:pPr>
      <w:r>
        <w:t>A new $20 million Surgical Equipment Innovation Fund has been set up to upgrade, modernise and replace surgical equipment and image-capture systems. This will make operating theatres more efficient and effective, improving surgical outcomes.</w:t>
      </w:r>
    </w:p>
    <w:p w14:paraId="341D8826" w14:textId="77777777" w:rsidR="003F0283" w:rsidRDefault="00603B69" w:rsidP="002E60B0">
      <w:pPr>
        <w:pStyle w:val="Heading6"/>
      </w:pPr>
      <w:r>
        <w:t xml:space="preserve">Better utilisation of Victoria’s </w:t>
      </w:r>
      <w:r w:rsidRPr="00DB4809">
        <w:t>private capacity</w:t>
      </w:r>
    </w:p>
    <w:p w14:paraId="697C1A23" w14:textId="11C86EEE" w:rsidR="00156D26" w:rsidRDefault="00156D26" w:rsidP="00156D26">
      <w:pPr>
        <w:pStyle w:val="ARbody"/>
      </w:pPr>
      <w:r>
        <w:t xml:space="preserve">The department has also been working closely with private hospitals, creating capacity so that some public patients will receive their surgery </w:t>
      </w:r>
      <w:r w:rsidR="005B612D">
        <w:t>in these facilities</w:t>
      </w:r>
      <w:r>
        <w:t>.</w:t>
      </w:r>
    </w:p>
    <w:p w14:paraId="3C7B72E9" w14:textId="16A9EE98" w:rsidR="00603B69" w:rsidRDefault="00156D26" w:rsidP="00156D26">
      <w:pPr>
        <w:pStyle w:val="ARbody"/>
      </w:pPr>
      <w:r>
        <w:t>In a Victorian first, the Frankston Private Hospital will be transformed into a dedicated public planned surgery centre. Once fully operational in 2023</w:t>
      </w:r>
      <w:r w:rsidR="00327B24">
        <w:t>,</w:t>
      </w:r>
      <w:r>
        <w:t xml:space="preserve"> about 9,000 Victorians a year will be able to have their operation</w:t>
      </w:r>
      <w:r w:rsidR="00A33D44">
        <w:t>s</w:t>
      </w:r>
      <w:r>
        <w:t xml:space="preserve"> </w:t>
      </w:r>
      <w:r w:rsidR="00A33D44">
        <w:t>in this hospital</w:t>
      </w:r>
      <w:r>
        <w:t>.</w:t>
      </w:r>
    </w:p>
    <w:p w14:paraId="66F433E0" w14:textId="1047A55D" w:rsidR="00603B69" w:rsidRPr="00D92D74" w:rsidRDefault="002B7022" w:rsidP="002E60B0">
      <w:pPr>
        <w:pStyle w:val="Heading6"/>
      </w:pPr>
      <w:r>
        <w:br w:type="column"/>
      </w:r>
      <w:r w:rsidR="00603B69">
        <w:t>A b</w:t>
      </w:r>
      <w:r w:rsidR="00603B69" w:rsidRPr="00D92D74">
        <w:t xml:space="preserve">igger </w:t>
      </w:r>
      <w:r w:rsidR="00603B69">
        <w:t xml:space="preserve">surgical </w:t>
      </w:r>
      <w:r w:rsidR="00603B69" w:rsidRPr="00D92D74">
        <w:t>workforce</w:t>
      </w:r>
    </w:p>
    <w:p w14:paraId="41771368" w14:textId="60870CC2" w:rsidR="00603B69" w:rsidRPr="00271D44" w:rsidRDefault="00603B69" w:rsidP="002E60B0">
      <w:pPr>
        <w:pStyle w:val="ARbody"/>
      </w:pPr>
      <w:r>
        <w:t xml:space="preserve">Victoria is </w:t>
      </w:r>
      <w:r w:rsidR="00331C70">
        <w:t xml:space="preserve">also investing $80 million to upskill more than 1,000 nurses and theatre and </w:t>
      </w:r>
      <w:r w:rsidR="00331C70" w:rsidRPr="00271D44">
        <w:t xml:space="preserve">sterilisation technicians, </w:t>
      </w:r>
      <w:r w:rsidR="00331C70">
        <w:t xml:space="preserve">and to </w:t>
      </w:r>
      <w:r w:rsidR="00331C70" w:rsidRPr="00271D44">
        <w:t xml:space="preserve">support advanced training for 400 </w:t>
      </w:r>
      <w:r w:rsidR="00331C70">
        <w:t xml:space="preserve">more </w:t>
      </w:r>
      <w:r w:rsidR="00331C70" w:rsidRPr="00271D44">
        <w:t>surgical nurses</w:t>
      </w:r>
      <w:r w:rsidR="00331C70">
        <w:t xml:space="preserve">. </w:t>
      </w:r>
      <w:r w:rsidR="008548F0">
        <w:t>The department is</w:t>
      </w:r>
      <w:r w:rsidR="00331C70">
        <w:t xml:space="preserve"> also</w:t>
      </w:r>
      <w:r w:rsidR="00331C70" w:rsidRPr="00271D44">
        <w:t xml:space="preserve"> recruit</w:t>
      </w:r>
      <w:r w:rsidR="00331C70">
        <w:t xml:space="preserve">ing </w:t>
      </w:r>
      <w:r w:rsidR="00331C70" w:rsidRPr="00271D44">
        <w:t>2,000 healthcare workers from overseas to support the hospital system</w:t>
      </w:r>
      <w:r w:rsidR="00331C70">
        <w:t xml:space="preserve">, </w:t>
      </w:r>
      <w:r w:rsidR="00841864">
        <w:t>645 o</w:t>
      </w:r>
      <w:r w:rsidR="00331C70">
        <w:t xml:space="preserve">f whom arrived in </w:t>
      </w:r>
      <w:r w:rsidR="004D4D20">
        <w:t>2021–22</w:t>
      </w:r>
      <w:r w:rsidR="00841864">
        <w:t>.</w:t>
      </w:r>
    </w:p>
    <w:p w14:paraId="6DDDDA81" w14:textId="77777777" w:rsidR="003F0283" w:rsidRDefault="00603B69" w:rsidP="002E60B0">
      <w:pPr>
        <w:pStyle w:val="Heading6"/>
      </w:pPr>
      <w:r w:rsidRPr="00271D44">
        <w:t>Partnering for reform</w:t>
      </w:r>
    </w:p>
    <w:p w14:paraId="715B594A" w14:textId="2EF4B415" w:rsidR="003F0283" w:rsidRDefault="008F0E38" w:rsidP="002E60B0">
      <w:pPr>
        <w:pStyle w:val="ARbody"/>
      </w:pPr>
      <w:r w:rsidRPr="00A33D44">
        <w:t>To support the delivery of this new plan and</w:t>
      </w:r>
      <w:r w:rsidRPr="00271D44">
        <w:t xml:space="preserve"> drive </w:t>
      </w:r>
      <w:r>
        <w:t xml:space="preserve">the </w:t>
      </w:r>
      <w:r w:rsidRPr="00271D44">
        <w:t xml:space="preserve">long-term system reforms, </w:t>
      </w:r>
      <w:r>
        <w:t xml:space="preserve">the department </w:t>
      </w:r>
      <w:r w:rsidR="006D7011">
        <w:t>appointed</w:t>
      </w:r>
      <w:r>
        <w:t xml:space="preserve"> Professor Ben</w:t>
      </w:r>
      <w:r w:rsidR="00045817">
        <w:t>jamin</w:t>
      </w:r>
      <w:r>
        <w:t xml:space="preserve"> Thomson to be the state’s</w:t>
      </w:r>
      <w:r w:rsidRPr="00271D44">
        <w:t xml:space="preserve"> Chief Surgical Adviser</w:t>
      </w:r>
      <w:r>
        <w:t>. Professor Thomson will provide the expert clinical leadership to the</w:t>
      </w:r>
      <w:r w:rsidRPr="00271D44">
        <w:t xml:space="preserve"> </w:t>
      </w:r>
      <w:r>
        <w:t xml:space="preserve">newly established </w:t>
      </w:r>
      <w:r w:rsidRPr="00271D44">
        <w:t>Surgery Recovery Taskforce</w:t>
      </w:r>
      <w:r>
        <w:t xml:space="preserve">, and work with health services, specialty </w:t>
      </w:r>
      <w:r w:rsidR="006734F7">
        <w:t>c</w:t>
      </w:r>
      <w:r>
        <w:t>olleges and other industry partners</w:t>
      </w:r>
      <w:r w:rsidR="001C6723">
        <w:t>,</w:t>
      </w:r>
      <w:r>
        <w:t xml:space="preserve"> to </w:t>
      </w:r>
      <w:r w:rsidR="006734F7">
        <w:t>improve Victoria’s</w:t>
      </w:r>
      <w:r>
        <w:t xml:space="preserve"> surgery system.</w:t>
      </w:r>
    </w:p>
    <w:p w14:paraId="771EB87F" w14:textId="73146B0A" w:rsidR="00603B69" w:rsidRPr="00271D44" w:rsidRDefault="00603B69" w:rsidP="002E60B0">
      <w:pPr>
        <w:pStyle w:val="Heading5"/>
      </w:pPr>
      <w:r w:rsidRPr="00271D44">
        <w:t>Recruit more paramedics</w:t>
      </w:r>
    </w:p>
    <w:p w14:paraId="7098DF10" w14:textId="63BC89CA" w:rsidR="00603B69" w:rsidRPr="00271D44" w:rsidRDefault="00603B69" w:rsidP="002E60B0">
      <w:pPr>
        <w:pStyle w:val="ARbody"/>
      </w:pPr>
      <w:r w:rsidRPr="00271D44">
        <w:t>In 20</w:t>
      </w:r>
      <w:r w:rsidR="005E4358">
        <w:t>21–22</w:t>
      </w:r>
      <w:r w:rsidRPr="00271D44">
        <w:t xml:space="preserve">, Ambulance Victoria </w:t>
      </w:r>
      <w:r w:rsidRPr="004911F0">
        <w:t>recruited</w:t>
      </w:r>
      <w:r w:rsidRPr="00271D44">
        <w:t xml:space="preserve"> over 650</w:t>
      </w:r>
      <w:r w:rsidR="00E2337D">
        <w:t> </w:t>
      </w:r>
      <w:r w:rsidRPr="00271D44">
        <w:t xml:space="preserve">paramedics, a record number. </w:t>
      </w:r>
      <w:r w:rsidR="004911F0">
        <w:t xml:space="preserve">This </w:t>
      </w:r>
      <w:r w:rsidRPr="00271D44">
        <w:t xml:space="preserve">has enabled Ambulance Victoria to expand ambulance services in areas of need, </w:t>
      </w:r>
      <w:r w:rsidR="00A006C4">
        <w:t>especially</w:t>
      </w:r>
      <w:r w:rsidRPr="00271D44">
        <w:t xml:space="preserve"> in regional and</w:t>
      </w:r>
      <w:r w:rsidR="00E2337D">
        <w:t> </w:t>
      </w:r>
      <w:r w:rsidRPr="00271D44">
        <w:t>rural Victoria. Peak Period Units have been established at Leongatha, Moe and Warragul, and 24-hour services established at Mansfield, Cobram, Yarrawonga and Korumburra. In metropolitan Melbourne new 24-hour services have been established at Thomastown, Hoppers Crossing and</w:t>
      </w:r>
      <w:r w:rsidR="00E2337D">
        <w:t> </w:t>
      </w:r>
      <w:r w:rsidRPr="00271D44">
        <w:t>Bayswater, and Peak Period Units at Mernda, Craigieburn, Boronia and Templestowe.</w:t>
      </w:r>
    </w:p>
    <w:p w14:paraId="0419DE0B" w14:textId="77777777" w:rsidR="002E48CF" w:rsidRDefault="00603B69" w:rsidP="002E60B0">
      <w:pPr>
        <w:pStyle w:val="ARbody"/>
      </w:pPr>
      <w:r w:rsidRPr="00271D44">
        <w:t xml:space="preserve">The </w:t>
      </w:r>
      <w:r w:rsidR="00CD4CF8">
        <w:t>G</w:t>
      </w:r>
      <w:r w:rsidRPr="00271D44">
        <w:t xml:space="preserve">raduate </w:t>
      </w:r>
      <w:r w:rsidR="00CD4CF8">
        <w:t>B</w:t>
      </w:r>
      <w:r w:rsidRPr="00271D44">
        <w:t xml:space="preserve">ridging </w:t>
      </w:r>
      <w:r w:rsidR="00CD4CF8">
        <w:t>P</w:t>
      </w:r>
      <w:r w:rsidRPr="00271D44">
        <w:t xml:space="preserve">rogram paramedics were </w:t>
      </w:r>
      <w:r w:rsidR="00552E8C">
        <w:t xml:space="preserve">also </w:t>
      </w:r>
      <w:r w:rsidRPr="00271D44">
        <w:t xml:space="preserve">recruited to support the statewide introduction of 22 </w:t>
      </w:r>
      <w:r w:rsidR="002E60B0">
        <w:t>m</w:t>
      </w:r>
      <w:r w:rsidRPr="00271D44">
        <w:t xml:space="preserve">edium </w:t>
      </w:r>
      <w:r w:rsidR="002E60B0">
        <w:t>a</w:t>
      </w:r>
      <w:r w:rsidRPr="00271D44">
        <w:t xml:space="preserve">cuity </w:t>
      </w:r>
      <w:r w:rsidR="002E60B0">
        <w:t>t</w:t>
      </w:r>
      <w:r w:rsidRPr="00271D44">
        <w:t xml:space="preserve">ransport </w:t>
      </w:r>
      <w:r w:rsidR="002E60B0">
        <w:t>s</w:t>
      </w:r>
      <w:r w:rsidRPr="00271D44">
        <w:t xml:space="preserve">ervices. </w:t>
      </w:r>
      <w:r w:rsidR="00F476C4">
        <w:t>These</w:t>
      </w:r>
      <w:r w:rsidRPr="00271D44">
        <w:t xml:space="preserve"> </w:t>
      </w:r>
      <w:r w:rsidR="002E60B0">
        <w:t>s</w:t>
      </w:r>
      <w:r w:rsidRPr="00271D44">
        <w:t xml:space="preserve">ervices have </w:t>
      </w:r>
      <w:r w:rsidR="0095739F">
        <w:t>operated</w:t>
      </w:r>
      <w:r w:rsidRPr="00271D44">
        <w:t xml:space="preserve"> from 15 locations across metropolitan Melbourne and seven locations in rural and regional Victoria since November 2021</w:t>
      </w:r>
      <w:r w:rsidR="00EE35C8">
        <w:t>. The</w:t>
      </w:r>
      <w:r w:rsidRPr="00271D44">
        <w:t xml:space="preserve"> rural services </w:t>
      </w:r>
      <w:r w:rsidR="00EE35C8">
        <w:t xml:space="preserve">are </w:t>
      </w:r>
      <w:r w:rsidRPr="00271D44">
        <w:t>based in Geelong, Belmont, Traralgon, Wonthaggi, Wendouree, Shepparton and Eaglehawk.</w:t>
      </w:r>
    </w:p>
    <w:p w14:paraId="5AE844EF" w14:textId="6339E5AC" w:rsidR="003F0283" w:rsidRDefault="00603B69" w:rsidP="002E60B0">
      <w:pPr>
        <w:pStyle w:val="ARbody"/>
      </w:pPr>
      <w:r w:rsidRPr="00271D44">
        <w:t>Th</w:t>
      </w:r>
      <w:r w:rsidR="00704278">
        <w:t>e</w:t>
      </w:r>
      <w:r w:rsidRPr="00271D44">
        <w:t>s</w:t>
      </w:r>
      <w:r w:rsidR="00704278">
        <w:t>e</w:t>
      </w:r>
      <w:r w:rsidRPr="00271D44">
        <w:t xml:space="preserve"> service</w:t>
      </w:r>
      <w:r w:rsidR="00704278">
        <w:t>s</w:t>
      </w:r>
      <w:r w:rsidRPr="00271D44">
        <w:t xml:space="preserve"> partner the </w:t>
      </w:r>
      <w:r w:rsidR="00CD4CF8">
        <w:t>G</w:t>
      </w:r>
      <w:r w:rsidRPr="00271D44">
        <w:t xml:space="preserve">raduate </w:t>
      </w:r>
      <w:r w:rsidR="00CD4CF8">
        <w:t>B</w:t>
      </w:r>
      <w:r w:rsidRPr="00271D44">
        <w:t xml:space="preserve">ridging </w:t>
      </w:r>
      <w:r w:rsidR="00CD4CF8">
        <w:t>P</w:t>
      </w:r>
      <w:r w:rsidRPr="00271D44">
        <w:t>rogram paramedics with experienced paramedics, providing greater support to new graduates as they enter the workforce while responding to lower</w:t>
      </w:r>
      <w:r w:rsidR="00704278">
        <w:t>-</w:t>
      </w:r>
      <w:r w:rsidRPr="00271D44">
        <w:t xml:space="preserve">urgency Code 2 and 3 cases. This service also frees up </w:t>
      </w:r>
      <w:r w:rsidR="000E7B2E">
        <w:t xml:space="preserve">more experienced </w:t>
      </w:r>
      <w:r w:rsidR="00032748">
        <w:t>paramedics</w:t>
      </w:r>
      <w:r w:rsidRPr="00271D44">
        <w:t xml:space="preserve"> to respond to the most urgent and time-critical emergency cases.</w:t>
      </w:r>
    </w:p>
    <w:p w14:paraId="4BE94E32" w14:textId="176F316B" w:rsidR="003F0283" w:rsidRDefault="00603B69" w:rsidP="002E60B0">
      <w:pPr>
        <w:pStyle w:val="ARbody"/>
      </w:pPr>
      <w:r w:rsidRPr="00271D44">
        <w:t xml:space="preserve">In addition, 27 more </w:t>
      </w:r>
      <w:r w:rsidR="00704278">
        <w:t>r</w:t>
      </w:r>
      <w:r w:rsidRPr="00271D44">
        <w:t xml:space="preserve">eferral </w:t>
      </w:r>
      <w:r w:rsidR="00704278">
        <w:t>s</w:t>
      </w:r>
      <w:r w:rsidRPr="00271D44">
        <w:t xml:space="preserve">ervice </w:t>
      </w:r>
      <w:r w:rsidR="00704278">
        <w:t>t</w:t>
      </w:r>
      <w:r w:rsidRPr="00271D44">
        <w:t xml:space="preserve">riage </w:t>
      </w:r>
      <w:r w:rsidR="00704278">
        <w:t>p</w:t>
      </w:r>
      <w:r w:rsidRPr="00271D44">
        <w:t>ractitioners, a mix of nurses and paramedics, have</w:t>
      </w:r>
      <w:r w:rsidR="00E2337D">
        <w:t> </w:t>
      </w:r>
      <w:r w:rsidRPr="00271D44">
        <w:t xml:space="preserve">been deployed to support the delivery of Ambulance Victoria’s </w:t>
      </w:r>
      <w:r w:rsidR="00704278">
        <w:t>s</w:t>
      </w:r>
      <w:r w:rsidRPr="00271D44">
        <w:t xml:space="preserve">econdary </w:t>
      </w:r>
      <w:r w:rsidR="00704278">
        <w:t>t</w:t>
      </w:r>
      <w:r w:rsidRPr="00271D44">
        <w:t xml:space="preserve">riage program. Secondary </w:t>
      </w:r>
      <w:r w:rsidR="00704278">
        <w:t>t</w:t>
      </w:r>
      <w:r w:rsidRPr="00271D44">
        <w:t>riage provides a more thorough assessment of specific Code 2 and 3 Triple Zero (000) calls to better connect callers who do not require an emergency response with the right care, at the right time.</w:t>
      </w:r>
    </w:p>
    <w:p w14:paraId="18A0F582" w14:textId="54E00265" w:rsidR="00603B69" w:rsidRDefault="00603B69" w:rsidP="00603B69">
      <w:pPr>
        <w:pStyle w:val="ARbody"/>
      </w:pPr>
      <w:r w:rsidRPr="00271D44">
        <w:t>Further recruitment</w:t>
      </w:r>
      <w:r>
        <w:t xml:space="preserve"> and training is underway to enable </w:t>
      </w:r>
      <w:r w:rsidR="00FD6C09">
        <w:t>further</w:t>
      </w:r>
      <w:r>
        <w:t xml:space="preserve"> expansion of services in 202</w:t>
      </w:r>
      <w:r w:rsidR="005E4358">
        <w:t>2–</w:t>
      </w:r>
      <w:r>
        <w:t>23.</w:t>
      </w:r>
    </w:p>
    <w:p w14:paraId="71F733BF" w14:textId="77777777" w:rsidR="00603B69" w:rsidRDefault="00603B69" w:rsidP="00603B69">
      <w:pPr>
        <w:pStyle w:val="Heading5"/>
      </w:pPr>
      <w:r>
        <w:t>Buy more ambulances</w:t>
      </w:r>
    </w:p>
    <w:p w14:paraId="33891714" w14:textId="051CA095" w:rsidR="00603B69" w:rsidRDefault="00603B69" w:rsidP="00603B69">
      <w:pPr>
        <w:pStyle w:val="ARbody"/>
      </w:pPr>
      <w:r>
        <w:t>The 201</w:t>
      </w:r>
      <w:r w:rsidR="005E4358">
        <w:t>9–</w:t>
      </w:r>
      <w:r>
        <w:t>20 State Budget provided $109 million over four years to deliver the government’s election commitments</w:t>
      </w:r>
      <w:r w:rsidR="00704278">
        <w:t>,</w:t>
      </w:r>
      <w:r>
        <w:t xml:space="preserve"> including $29.9 million to convert 15</w:t>
      </w:r>
      <w:r w:rsidR="00E2337D">
        <w:t> </w:t>
      </w:r>
      <w:r>
        <w:t>single</w:t>
      </w:r>
      <w:r w:rsidR="00704278">
        <w:t>-</w:t>
      </w:r>
      <w:r>
        <w:t xml:space="preserve">crew stations in regional Victoria to </w:t>
      </w:r>
      <w:r w:rsidR="00E2337D">
        <w:br/>
      </w:r>
      <w:r>
        <w:t>dual</w:t>
      </w:r>
      <w:r w:rsidR="00704278">
        <w:t>-</w:t>
      </w:r>
      <w:r>
        <w:t>crew stations. In addition, new vehicles were</w:t>
      </w:r>
      <w:r w:rsidR="00E2337D">
        <w:t> </w:t>
      </w:r>
      <w:r>
        <w:t xml:space="preserve">introduced as part of the </w:t>
      </w:r>
      <w:r w:rsidR="00704278">
        <w:t>m</w:t>
      </w:r>
      <w:r>
        <w:t xml:space="preserve">edium </w:t>
      </w:r>
      <w:r w:rsidR="00704278">
        <w:t>a</w:t>
      </w:r>
      <w:r>
        <w:t xml:space="preserve">cuity </w:t>
      </w:r>
      <w:r w:rsidR="00704278">
        <w:t>t</w:t>
      </w:r>
      <w:r>
        <w:t xml:space="preserve">ransport </w:t>
      </w:r>
      <w:r w:rsidR="00704278">
        <w:t>s</w:t>
      </w:r>
      <w:r>
        <w:t>ervice</w:t>
      </w:r>
      <w:r w:rsidR="00704278">
        <w:t>s</w:t>
      </w:r>
      <w:r>
        <w:t xml:space="preserve"> (described above).</w:t>
      </w:r>
    </w:p>
    <w:p w14:paraId="2D473B4D" w14:textId="49258124" w:rsidR="00603B69" w:rsidRDefault="00603B69" w:rsidP="00603B69">
      <w:pPr>
        <w:pStyle w:val="ARbody"/>
      </w:pPr>
      <w:r>
        <w:t>In line with the planned phasing of the funding from 201</w:t>
      </w:r>
      <w:r w:rsidR="005E4358">
        <w:t>9–</w:t>
      </w:r>
      <w:r>
        <w:t>20, all 23 new ambulances were purchased in the first year of the investment. In 20</w:t>
      </w:r>
      <w:r w:rsidR="005E4358">
        <w:t>21–22</w:t>
      </w:r>
      <w:r>
        <w:t>, a dual</w:t>
      </w:r>
      <w:r w:rsidR="00704278">
        <w:t>-</w:t>
      </w:r>
      <w:r>
        <w:t>crew upgrade was introduced at Inglewood, following successful rollout of dual</w:t>
      </w:r>
      <w:r w:rsidR="00704278">
        <w:t>-</w:t>
      </w:r>
      <w:r>
        <w:t xml:space="preserve">crew upgrades at Camperdown, Rochester, Terang, St Arnaud, Avoca and Beechworth in previous years. </w:t>
      </w:r>
      <w:r w:rsidR="00FD6C09">
        <w:t>More</w:t>
      </w:r>
      <w:r w:rsidR="004B3D7E">
        <w:t> </w:t>
      </w:r>
      <w:r>
        <w:t>dual</w:t>
      </w:r>
      <w:r w:rsidR="00704278">
        <w:t>-</w:t>
      </w:r>
      <w:r>
        <w:t xml:space="preserve">crew upgrades are </w:t>
      </w:r>
      <w:r w:rsidR="00FD6C09">
        <w:t xml:space="preserve">also </w:t>
      </w:r>
      <w:r>
        <w:t>on track for implementation in 2022 at Rupanyup, Charlton, Murchison, Beaufort, Yarram, Foster, Euroa and</w:t>
      </w:r>
      <w:r w:rsidR="004B3D7E">
        <w:t> </w:t>
      </w:r>
      <w:r>
        <w:t>Paynesville.</w:t>
      </w:r>
    </w:p>
    <w:p w14:paraId="0302B9FE" w14:textId="48034516" w:rsidR="003F0283" w:rsidRDefault="00603B69" w:rsidP="00603B69">
      <w:pPr>
        <w:pStyle w:val="ARbody"/>
      </w:pPr>
      <w:r>
        <w:t>Work is also underway to build new ambulance stations in East Bentleigh and Clyde North, and upgrade ambulance stations at Ocean Grove and Gisborne during 202</w:t>
      </w:r>
      <w:r w:rsidR="005E4358">
        <w:t>2–</w:t>
      </w:r>
      <w:r>
        <w:t>23.</w:t>
      </w:r>
    </w:p>
    <w:p w14:paraId="35C11A94" w14:textId="0EBB1A4B" w:rsidR="00603B69" w:rsidRDefault="00603B69" w:rsidP="00603B69">
      <w:pPr>
        <w:pStyle w:val="Heading5"/>
      </w:pPr>
      <w:r>
        <w:t>Provide students with free dental check</w:t>
      </w:r>
      <w:r w:rsidR="00B37ACD">
        <w:noBreakHyphen/>
      </w:r>
      <w:r>
        <w:t>ups</w:t>
      </w:r>
    </w:p>
    <w:p w14:paraId="4C256B98" w14:textId="01941F23" w:rsidR="00603B69" w:rsidRDefault="00603B69" w:rsidP="00603B69">
      <w:pPr>
        <w:pStyle w:val="ARbody"/>
      </w:pPr>
      <w:r>
        <w:t xml:space="preserve">The department has been working with Dental Health Services Victoria and the Department of Education and Training to implement free dental examinations and treatment for government school students. The School Dental Program, </w:t>
      </w:r>
      <w:r w:rsidRPr="00D45C0F">
        <w:rPr>
          <w:i/>
          <w:iCs/>
        </w:rPr>
        <w:t>Smile Squad</w:t>
      </w:r>
      <w:r>
        <w:t>, provides free annual oral health check-ups and follow-up care for all children attending government primary and secondary schools. The</w:t>
      </w:r>
      <w:r w:rsidR="00E2337D">
        <w:t> </w:t>
      </w:r>
      <w:r>
        <w:t>$321.9 million initiative includes teeth cleaning, fluoride applications, fillings and any other non</w:t>
      </w:r>
      <w:r w:rsidR="00870195">
        <w:noBreakHyphen/>
      </w:r>
      <w:r>
        <w:t xml:space="preserve">cosmetic treatments to make sure </w:t>
      </w:r>
      <w:r w:rsidR="00813AE7">
        <w:t xml:space="preserve">Victorian </w:t>
      </w:r>
      <w:r>
        <w:t>kids have healthy teeth.</w:t>
      </w:r>
    </w:p>
    <w:p w14:paraId="529D792A" w14:textId="610E392A" w:rsidR="00603B69" w:rsidRDefault="00882385" w:rsidP="00603B69">
      <w:pPr>
        <w:pStyle w:val="ARbody"/>
      </w:pPr>
      <w:r>
        <w:t>Due to</w:t>
      </w:r>
      <w:r w:rsidR="00160F6E">
        <w:t xml:space="preserve"> </w:t>
      </w:r>
      <w:r w:rsidR="00603B69">
        <w:t xml:space="preserve">the COVID-19 pandemic, </w:t>
      </w:r>
      <w:r w:rsidR="00603B69" w:rsidRPr="00D45C0F">
        <w:rPr>
          <w:i/>
          <w:iCs/>
        </w:rPr>
        <w:t>Smile Squad</w:t>
      </w:r>
      <w:r w:rsidR="00603B69">
        <w:t xml:space="preserve"> services were paused during much of 2021. During these pauses, </w:t>
      </w:r>
      <w:r w:rsidR="00603B69" w:rsidRPr="0072538E">
        <w:rPr>
          <w:i/>
          <w:iCs/>
        </w:rPr>
        <w:t>Smile Squad</w:t>
      </w:r>
      <w:r w:rsidR="00603B69">
        <w:t xml:space="preserve"> provided six-monthly phone check-ins for students requiring care, and urgent and emergency dental care was provided in</w:t>
      </w:r>
      <w:r w:rsidR="00E2337D">
        <w:t> </w:t>
      </w:r>
      <w:r w:rsidR="00603B69">
        <w:t>community dental clinics.</w:t>
      </w:r>
    </w:p>
    <w:p w14:paraId="6E35F90C" w14:textId="6CFDD7F1" w:rsidR="003F0283" w:rsidRDefault="00603B69" w:rsidP="00603B69">
      <w:pPr>
        <w:pStyle w:val="ARbody"/>
      </w:pPr>
      <w:r>
        <w:t>Schools in 38 local government areas across Melbourne and regional Victoria</w:t>
      </w:r>
      <w:r w:rsidR="003A5CA8">
        <w:t>, as well as regional and remote areas serviced by the Royal Flying Doctor Service,</w:t>
      </w:r>
      <w:r>
        <w:t xml:space="preserve"> have now been invited to participate</w:t>
      </w:r>
      <w:r w:rsidR="003A5CA8">
        <w:t xml:space="preserve"> in the program</w:t>
      </w:r>
      <w:r>
        <w:t xml:space="preserve">. </w:t>
      </w:r>
      <w:r w:rsidR="001E0008">
        <w:t xml:space="preserve">The program </w:t>
      </w:r>
      <w:r w:rsidR="000C4EFD">
        <w:t xml:space="preserve">now reaches more than </w:t>
      </w:r>
      <w:r>
        <w:t xml:space="preserve">1,000 schools </w:t>
      </w:r>
      <w:r w:rsidR="00780586">
        <w:t>with around 430,000 Victorian students</w:t>
      </w:r>
      <w:r>
        <w:t>.</w:t>
      </w:r>
    </w:p>
    <w:p w14:paraId="2FEC1DB6" w14:textId="070CFCDD" w:rsidR="00603B69" w:rsidRDefault="00603B69" w:rsidP="00603B69">
      <w:pPr>
        <w:pStyle w:val="ARbody"/>
      </w:pPr>
      <w:r>
        <w:t xml:space="preserve">Once they are fully operational, </w:t>
      </w:r>
      <w:r w:rsidRPr="00993720">
        <w:rPr>
          <w:i/>
          <w:iCs/>
        </w:rPr>
        <w:t>Smile Squad</w:t>
      </w:r>
      <w:r>
        <w:t xml:space="preserve"> vans will offer free check-ups and dental treatment for about 630,000 school kids every year. Around 500</w:t>
      </w:r>
      <w:r w:rsidR="00E2337D">
        <w:t> </w:t>
      </w:r>
      <w:r>
        <w:t>dentists, oral health therapists and dental assistants will be employed to staff the vans.</w:t>
      </w:r>
    </w:p>
    <w:p w14:paraId="103CA151" w14:textId="6E09B15E" w:rsidR="00603B69" w:rsidRDefault="00603B69" w:rsidP="00603B69">
      <w:pPr>
        <w:pStyle w:val="Heading5"/>
      </w:pPr>
      <w:r>
        <w:t>Fund new hospital wards and emergency</w:t>
      </w:r>
      <w:r w:rsidR="00E2337D">
        <w:t> </w:t>
      </w:r>
      <w:r>
        <w:t>departments</w:t>
      </w:r>
    </w:p>
    <w:p w14:paraId="4A05C2CD" w14:textId="135C1E04" w:rsidR="003F0283" w:rsidRDefault="00603B69" w:rsidP="00603B69">
      <w:pPr>
        <w:pStyle w:val="ARbody"/>
      </w:pPr>
      <w:r>
        <w:t>In 20</w:t>
      </w:r>
      <w:r w:rsidR="005E4358">
        <w:t>21–22</w:t>
      </w:r>
      <w:r>
        <w:t>, t</w:t>
      </w:r>
      <w:r w:rsidRPr="00DC135B">
        <w:t>he</w:t>
      </w:r>
      <w:r>
        <w:t xml:space="preserve"> department’s</w:t>
      </w:r>
      <w:r w:rsidRPr="00DC135B">
        <w:t xml:space="preserve"> capital program across the health, ambulance, mental health and</w:t>
      </w:r>
      <w:r w:rsidR="00E2337D">
        <w:t> </w:t>
      </w:r>
      <w:r w:rsidRPr="00DC135B">
        <w:t xml:space="preserve">aged care portfolios </w:t>
      </w:r>
      <w:r>
        <w:t xml:space="preserve">grew to </w:t>
      </w:r>
      <w:r w:rsidRPr="006D74CD">
        <w:t>$8.8 billion</w:t>
      </w:r>
      <w:r>
        <w:t xml:space="preserve"> </w:t>
      </w:r>
      <w:r w:rsidR="003A5CA8">
        <w:t>total estimated investm</w:t>
      </w:r>
      <w:r w:rsidR="0036129E">
        <w:t>ent</w:t>
      </w:r>
      <w:r>
        <w:t xml:space="preserve"> in active projects at various stages of progress.</w:t>
      </w:r>
    </w:p>
    <w:p w14:paraId="0E160DB6" w14:textId="3963FADA" w:rsidR="003F0283" w:rsidRDefault="00603B69" w:rsidP="00603B69">
      <w:pPr>
        <w:pStyle w:val="ARbody"/>
      </w:pPr>
      <w:r>
        <w:t xml:space="preserve">Notable achievements </w:t>
      </w:r>
      <w:r w:rsidR="0036129E">
        <w:t xml:space="preserve">over </w:t>
      </w:r>
      <w:r w:rsidR="006C15A9">
        <w:t>2021–22</w:t>
      </w:r>
      <w:r w:rsidR="0036129E">
        <w:t xml:space="preserve"> </w:t>
      </w:r>
      <w:r>
        <w:t xml:space="preserve">include the completion and opening of the </w:t>
      </w:r>
      <w:r w:rsidRPr="00DC135B">
        <w:t>Monash</w:t>
      </w:r>
      <w:r>
        <w:t xml:space="preserve"> Medical Centre</w:t>
      </w:r>
      <w:r w:rsidRPr="00DC135B">
        <w:t xml:space="preserve"> E</w:t>
      </w:r>
      <w:r>
        <w:t xml:space="preserve">mergency </w:t>
      </w:r>
      <w:r w:rsidRPr="00DC135B">
        <w:t>D</w:t>
      </w:r>
      <w:r>
        <w:t>epartment expansion</w:t>
      </w:r>
      <w:r w:rsidR="0036129E">
        <w:t>,</w:t>
      </w:r>
      <w:r>
        <w:t xml:space="preserve"> with 28</w:t>
      </w:r>
      <w:r w:rsidR="00E2337D">
        <w:t> </w:t>
      </w:r>
      <w:r>
        <w:t xml:space="preserve">additional emergency beds, a dedicated children’s emergency area and </w:t>
      </w:r>
      <w:r w:rsidR="00882385">
        <w:t xml:space="preserve">a </w:t>
      </w:r>
      <w:r>
        <w:t>mental health and</w:t>
      </w:r>
      <w:r w:rsidR="00E2337D">
        <w:t> </w:t>
      </w:r>
      <w:r>
        <w:t>alcohol and other drug</w:t>
      </w:r>
      <w:r w:rsidR="0036129E">
        <w:t>s</w:t>
      </w:r>
      <w:r>
        <w:t xml:space="preserve"> hub (MHAOD); and </w:t>
      </w:r>
      <w:r w:rsidR="00882385">
        <w:t xml:space="preserve">the </w:t>
      </w:r>
      <w:r>
        <w:t>opening of the latest stage of the Goulburn Valley Health redevelopment</w:t>
      </w:r>
      <w:r w:rsidR="0036129E">
        <w:t>,</w:t>
      </w:r>
      <w:r>
        <w:t xml:space="preserve"> with a new 10-cot special care nurse</w:t>
      </w:r>
      <w:r w:rsidR="0036129E">
        <w:t>r</w:t>
      </w:r>
      <w:r>
        <w:t xml:space="preserve">y, </w:t>
      </w:r>
      <w:r w:rsidR="0036129E">
        <w:t xml:space="preserve">a </w:t>
      </w:r>
      <w:r>
        <w:t xml:space="preserve">12-bed paediatric ward and </w:t>
      </w:r>
      <w:r w:rsidR="0036129E">
        <w:t xml:space="preserve">an </w:t>
      </w:r>
      <w:r>
        <w:t>expanded emergency department.</w:t>
      </w:r>
      <w:r w:rsidRPr="00DC135B">
        <w:t xml:space="preserve"> </w:t>
      </w:r>
      <w:r w:rsidR="0036129E">
        <w:t>In a</w:t>
      </w:r>
      <w:r>
        <w:t>ddition</w:t>
      </w:r>
      <w:r w:rsidR="00882385">
        <w:t>,</w:t>
      </w:r>
      <w:r>
        <w:t xml:space="preserve"> the</w:t>
      </w:r>
      <w:r w:rsidR="00E2337D">
        <w:t> </w:t>
      </w:r>
      <w:r>
        <w:t xml:space="preserve">new program of works creating emergency departments especially designed for children commenced at five of </w:t>
      </w:r>
      <w:r w:rsidR="00813AE7">
        <w:t xml:space="preserve">the </w:t>
      </w:r>
      <w:r>
        <w:t>state’s major hospitals.</w:t>
      </w:r>
    </w:p>
    <w:p w14:paraId="78E2FBB3" w14:textId="2A67A862" w:rsidR="00603B69" w:rsidRDefault="0036129E" w:rsidP="00603B69">
      <w:pPr>
        <w:pStyle w:val="ARbody"/>
      </w:pPr>
      <w:r>
        <w:t xml:space="preserve">In response </w:t>
      </w:r>
      <w:r w:rsidR="00603B69">
        <w:t xml:space="preserve">to the recommendations </w:t>
      </w:r>
      <w:r>
        <w:t xml:space="preserve">of </w:t>
      </w:r>
      <w:r w:rsidR="00603B69">
        <w:t>the Royal Commission into Victoria’s Mental Health System, two further</w:t>
      </w:r>
      <w:r w:rsidR="00603B69" w:rsidRPr="002D7EC7">
        <w:t xml:space="preserve"> emergency department </w:t>
      </w:r>
      <w:r w:rsidR="00603B69">
        <w:t>MHAOD hubs</w:t>
      </w:r>
      <w:r w:rsidR="00603B69" w:rsidRPr="002D7EC7">
        <w:t xml:space="preserve"> </w:t>
      </w:r>
      <w:r w:rsidR="00603B69">
        <w:t>were completed in 20</w:t>
      </w:r>
      <w:r w:rsidR="005E4358">
        <w:t>21–22</w:t>
      </w:r>
      <w:r w:rsidR="00603B69">
        <w:t xml:space="preserve"> at St Vincent’s Hospital and University Hospital Geelong. The hubs will</w:t>
      </w:r>
      <w:r w:rsidR="00603B69" w:rsidRPr="002D7EC7">
        <w:t xml:space="preserve"> better support Victorians experiencing urgent mental health, alcohol and drug issues</w:t>
      </w:r>
      <w:r w:rsidR="00603B69">
        <w:t>.</w:t>
      </w:r>
    </w:p>
    <w:p w14:paraId="0FAECE2E" w14:textId="77777777" w:rsidR="002B7022" w:rsidRDefault="002B7022" w:rsidP="00603B69">
      <w:pPr>
        <w:pStyle w:val="ARbody"/>
      </w:pPr>
      <w:r>
        <w:br w:type="page"/>
      </w:r>
    </w:p>
    <w:p w14:paraId="742BC47F" w14:textId="325205A1" w:rsidR="003F0283" w:rsidRDefault="00603B69" w:rsidP="00603B69">
      <w:pPr>
        <w:pStyle w:val="ARbody"/>
      </w:pPr>
      <w:r>
        <w:t>The main façade for Australia’s first dedicated heart</w:t>
      </w:r>
      <w:r w:rsidR="00E2337D">
        <w:t> </w:t>
      </w:r>
      <w:r>
        <w:t>hospital</w:t>
      </w:r>
      <w:r w:rsidR="0036129E">
        <w:t>,</w:t>
      </w:r>
      <w:r>
        <w:t xml:space="preserve"> the Victorian Heart Hospital</w:t>
      </w:r>
      <w:r w:rsidR="0036129E">
        <w:t>,</w:t>
      </w:r>
      <w:r>
        <w:t xml:space="preserve"> was completed in October 2021</w:t>
      </w:r>
      <w:r w:rsidR="0077308E">
        <w:t>. C</w:t>
      </w:r>
      <w:r>
        <w:t xml:space="preserve">onstruction will be completed </w:t>
      </w:r>
      <w:r w:rsidR="007D1939">
        <w:t>by</w:t>
      </w:r>
      <w:r>
        <w:t xml:space="preserve"> the end of 2022</w:t>
      </w:r>
      <w:r w:rsidR="00AD4017">
        <w:t>.</w:t>
      </w:r>
      <w:r>
        <w:t xml:space="preserve"> </w:t>
      </w:r>
      <w:r w:rsidR="00AD4017" w:rsidRPr="0033532C">
        <w:t>T</w:t>
      </w:r>
      <w:r w:rsidRPr="0033532C">
        <w:t xml:space="preserve">he Royal Victorian Eye and Ear Hospital </w:t>
      </w:r>
      <w:r w:rsidR="002C2C68">
        <w:t xml:space="preserve">progressively </w:t>
      </w:r>
      <w:r w:rsidR="00150FC1">
        <w:t>opened new sections</w:t>
      </w:r>
      <w:r w:rsidR="002C2C68">
        <w:t xml:space="preserve"> </w:t>
      </w:r>
      <w:r w:rsidR="006803F6">
        <w:t>during</w:t>
      </w:r>
      <w:r w:rsidR="006803F6" w:rsidRPr="0033532C">
        <w:t xml:space="preserve"> </w:t>
      </w:r>
      <w:r w:rsidR="00150FC1">
        <w:t>the year</w:t>
      </w:r>
      <w:r w:rsidR="00CD3179" w:rsidRPr="0033532C">
        <w:t xml:space="preserve"> as </w:t>
      </w:r>
      <w:r w:rsidR="00150FC1">
        <w:t>its</w:t>
      </w:r>
      <w:r w:rsidR="00CD3179" w:rsidRPr="0033532C">
        <w:t xml:space="preserve"> redevelopment progressed</w:t>
      </w:r>
      <w:r w:rsidR="009A016C">
        <w:t>.</w:t>
      </w:r>
    </w:p>
    <w:p w14:paraId="26176FBB" w14:textId="4544C6A6" w:rsidR="00603B69" w:rsidRDefault="00603B69" w:rsidP="00603B69">
      <w:pPr>
        <w:pStyle w:val="ARbody"/>
      </w:pPr>
      <w:r>
        <w:t>Delivery of m</w:t>
      </w:r>
      <w:r w:rsidRPr="00DC135B">
        <w:t xml:space="preserve">ajor investments </w:t>
      </w:r>
      <w:r>
        <w:t>continued</w:t>
      </w:r>
      <w:r w:rsidR="00CD3179">
        <w:t>,</w:t>
      </w:r>
      <w:r>
        <w:t xml:space="preserve"> including</w:t>
      </w:r>
      <w:r w:rsidR="008C7548">
        <w:t> </w:t>
      </w:r>
      <w:r>
        <w:t xml:space="preserve">the new </w:t>
      </w:r>
      <w:r w:rsidRPr="00DC135B">
        <w:t>Footscray</w:t>
      </w:r>
      <w:r>
        <w:t xml:space="preserve"> Hospital</w:t>
      </w:r>
      <w:r w:rsidRPr="00DC135B">
        <w:t xml:space="preserve">, </w:t>
      </w:r>
      <w:r>
        <w:t xml:space="preserve">the </w:t>
      </w:r>
      <w:r w:rsidRPr="00DC135B">
        <w:t>Frankston</w:t>
      </w:r>
      <w:r>
        <w:t xml:space="preserve"> Redevelopment</w:t>
      </w:r>
      <w:r w:rsidRPr="00DC135B">
        <w:t>,</w:t>
      </w:r>
      <w:r>
        <w:t xml:space="preserve"> Ballarat Base Hospital Redevelopment,</w:t>
      </w:r>
      <w:r w:rsidRPr="00DC135B">
        <w:t xml:space="preserve"> </w:t>
      </w:r>
      <w:r>
        <w:t>Warrnambool Base Hospital Redevelopment</w:t>
      </w:r>
      <w:r w:rsidR="0077308E">
        <w:t>,</w:t>
      </w:r>
      <w:r>
        <w:t xml:space="preserve"> and the new </w:t>
      </w:r>
      <w:r w:rsidRPr="00DC135B">
        <w:t xml:space="preserve">Melton </w:t>
      </w:r>
      <w:r>
        <w:t xml:space="preserve">Hospital. These projects </w:t>
      </w:r>
      <w:r w:rsidRPr="00DC135B">
        <w:t xml:space="preserve">will </w:t>
      </w:r>
      <w:r>
        <w:t xml:space="preserve">continue to </w:t>
      </w:r>
      <w:r w:rsidRPr="00DC135B">
        <w:t xml:space="preserve">add further </w:t>
      </w:r>
      <w:r>
        <w:t>e</w:t>
      </w:r>
      <w:r w:rsidRPr="00DC135B">
        <w:t xml:space="preserve">mergency </w:t>
      </w:r>
      <w:r>
        <w:t>d</w:t>
      </w:r>
      <w:r w:rsidRPr="00DC135B">
        <w:t xml:space="preserve">epartment and </w:t>
      </w:r>
      <w:r>
        <w:t>inpatient unit</w:t>
      </w:r>
      <w:r w:rsidRPr="00DC135B">
        <w:t xml:space="preserve"> capacity</w:t>
      </w:r>
      <w:r w:rsidR="008C7548">
        <w:t> </w:t>
      </w:r>
      <w:r w:rsidRPr="00DC135B">
        <w:t>across the system</w:t>
      </w:r>
      <w:r>
        <w:t>.</w:t>
      </w:r>
    </w:p>
    <w:p w14:paraId="6C26116D" w14:textId="77777777" w:rsidR="00603B69" w:rsidRDefault="00603B69" w:rsidP="00B07026">
      <w:pPr>
        <w:pStyle w:val="Heading5"/>
      </w:pPr>
      <w:bookmarkStart w:id="92" w:name="_Provide_services_designed"/>
      <w:bookmarkEnd w:id="92"/>
      <w:r>
        <w:t>Provide services designed and developed by Aboriginal people for Aboriginal people</w:t>
      </w:r>
    </w:p>
    <w:p w14:paraId="0B778128" w14:textId="7603346D" w:rsidR="00603B69" w:rsidRDefault="00603B69" w:rsidP="00603B69">
      <w:pPr>
        <w:pStyle w:val="Heading6"/>
      </w:pPr>
      <w:r>
        <w:t>Aboriginal Health and Wellbeing Partnership</w:t>
      </w:r>
      <w:r w:rsidR="008C7548">
        <w:t> </w:t>
      </w:r>
      <w:r>
        <w:t>Forum</w:t>
      </w:r>
    </w:p>
    <w:p w14:paraId="7787F829" w14:textId="016253C7" w:rsidR="003F0283" w:rsidRDefault="00603B69" w:rsidP="00603B69">
      <w:pPr>
        <w:pStyle w:val="ARbody"/>
      </w:pPr>
      <w:r>
        <w:t xml:space="preserve">The Aboriginal Health and Wellbeing Partnership Forum is a strategic partnership between the Victorian Government, </w:t>
      </w:r>
      <w:r w:rsidR="00CD3179">
        <w:t xml:space="preserve">the </w:t>
      </w:r>
      <w:r>
        <w:t xml:space="preserve">Aboriginal community-controlled health sector and </w:t>
      </w:r>
      <w:r w:rsidR="00CD3179">
        <w:t xml:space="preserve">the </w:t>
      </w:r>
      <w:r>
        <w:t xml:space="preserve">mainstream health sector. Its role is to determine priorities </w:t>
      </w:r>
      <w:r w:rsidR="00C83920">
        <w:t xml:space="preserve">for the </w:t>
      </w:r>
      <w:r>
        <w:t>improve</w:t>
      </w:r>
      <w:r w:rsidR="00C83920">
        <w:t>ment of</w:t>
      </w:r>
      <w:r>
        <w:t xml:space="preserve"> the health and wellbeing of Aboriginal people living in Victoria</w:t>
      </w:r>
      <w:r w:rsidR="00C83920">
        <w:t xml:space="preserve"> and to ensure those priorities are actioned</w:t>
      </w:r>
      <w:r>
        <w:t>.</w:t>
      </w:r>
    </w:p>
    <w:p w14:paraId="0D2310D5" w14:textId="42C1620B" w:rsidR="003F0283" w:rsidRPr="00024E4C" w:rsidRDefault="00603B69" w:rsidP="00603B69">
      <w:pPr>
        <w:pStyle w:val="ARbody"/>
      </w:pPr>
      <w:r>
        <w:t>The Forum places self-determination at the centre</w:t>
      </w:r>
      <w:r w:rsidR="00CD3179">
        <w:t xml:space="preserve"> of its work</w:t>
      </w:r>
      <w:r>
        <w:t xml:space="preserve">, with a focus on addressing systemic barriers </w:t>
      </w:r>
      <w:r w:rsidR="0077308E">
        <w:t xml:space="preserve">to good health </w:t>
      </w:r>
      <w:r>
        <w:t xml:space="preserve">and guiding Aboriginal health and wellbeing policy reform. The Forum has provided government with 14 reform priorities to enable transformational change across Victoria’s health system. </w:t>
      </w:r>
      <w:r w:rsidR="00AB09F9">
        <w:t xml:space="preserve">These </w:t>
      </w:r>
      <w:r>
        <w:t>include improving Aboriginal cultural safety in mainstream health services, outcomes-based funding reform</w:t>
      </w:r>
      <w:r w:rsidRPr="00024E4C">
        <w:t>, infrastructure, and</w:t>
      </w:r>
      <w:r w:rsidR="008C7548">
        <w:t> </w:t>
      </w:r>
      <w:r w:rsidRPr="00024E4C">
        <w:t>shared data and evidence.</w:t>
      </w:r>
    </w:p>
    <w:p w14:paraId="407E9314" w14:textId="03A9C923" w:rsidR="003F0283" w:rsidRPr="00024E4C" w:rsidRDefault="00603B69" w:rsidP="00603B69">
      <w:pPr>
        <w:pStyle w:val="Heading6"/>
      </w:pPr>
      <w:r w:rsidRPr="00024E4C">
        <w:t>Aboriginal Workforce Fund</w:t>
      </w:r>
    </w:p>
    <w:p w14:paraId="1E8CD3CB" w14:textId="777535D7" w:rsidR="00D56A81" w:rsidRPr="00A46EBA" w:rsidRDefault="00D56A81" w:rsidP="00A46EBA">
      <w:pPr>
        <w:pStyle w:val="ARbody"/>
      </w:pPr>
      <w:r w:rsidRPr="00024E4C">
        <w:t xml:space="preserve">Aboriginal community controlled health organisations (ACCHOs) </w:t>
      </w:r>
      <w:r w:rsidR="004369A6" w:rsidRPr="00024E4C">
        <w:t>are best placed to</w:t>
      </w:r>
      <w:r w:rsidRPr="00024E4C">
        <w:t xml:space="preserve"> meet </w:t>
      </w:r>
      <w:r w:rsidR="007F0E76" w:rsidRPr="00024E4C">
        <w:t xml:space="preserve">the </w:t>
      </w:r>
      <w:r w:rsidRPr="00024E4C">
        <w:t>demand and the health needs of Aboriginal Victorians and to deliver</w:t>
      </w:r>
      <w:r w:rsidRPr="00A46EBA">
        <w:t xml:space="preserve"> on Aboriginal service models of health and wellbeing. </w:t>
      </w:r>
      <w:r w:rsidR="004369A6" w:rsidRPr="00A46EBA">
        <w:t>ACCHOs have strong connections with and a de</w:t>
      </w:r>
      <w:r w:rsidR="00D11DD7" w:rsidRPr="00A46EBA">
        <w:t>e</w:t>
      </w:r>
      <w:r w:rsidR="004369A6" w:rsidRPr="00A46EBA">
        <w:t>p knowledge of their local communities and invest in activities that are aligned with local community needs.</w:t>
      </w:r>
    </w:p>
    <w:p w14:paraId="7A20C434" w14:textId="684EEDAC" w:rsidR="00CB6BE2" w:rsidRPr="00A46EBA" w:rsidRDefault="002B7022" w:rsidP="00A46EBA">
      <w:pPr>
        <w:pStyle w:val="ARbody"/>
      </w:pPr>
      <w:r>
        <w:br w:type="column"/>
      </w:r>
      <w:r w:rsidR="00D11DD7" w:rsidRPr="00A46EBA">
        <w:t>T</w:t>
      </w:r>
      <w:r w:rsidR="00A14013" w:rsidRPr="00A46EBA">
        <w:t>he Aboriginal Workforce Fund was established</w:t>
      </w:r>
      <w:r w:rsidR="00B41808" w:rsidRPr="00A46EBA">
        <w:t xml:space="preserve"> in 2020 to expand the Aboriginal community, health and family violence workforce after the </w:t>
      </w:r>
      <w:r w:rsidR="00B41808" w:rsidRPr="00DE65A5">
        <w:t>pandemic</w:t>
      </w:r>
      <w:r w:rsidR="00D56A81" w:rsidRPr="00DE65A5">
        <w:t>.</w:t>
      </w:r>
      <w:r w:rsidR="00A14013" w:rsidRPr="00A46EBA">
        <w:t xml:space="preserve"> The department has received $21 million of the $40</w:t>
      </w:r>
      <w:r w:rsidR="00441E89">
        <w:t> </w:t>
      </w:r>
      <w:r w:rsidR="00A14013" w:rsidRPr="00A46EBA">
        <w:t xml:space="preserve">million Fund </w:t>
      </w:r>
      <w:r w:rsidR="00CB6BE2" w:rsidRPr="00A46EBA">
        <w:t>to support workforces across ACCHOs</w:t>
      </w:r>
      <w:r w:rsidR="007F0E76" w:rsidRPr="00A46EBA">
        <w:t>, according to their own organisational priorities and workforce requirements</w:t>
      </w:r>
      <w:r w:rsidR="00CB6BE2" w:rsidRPr="00A46EBA">
        <w:t>.</w:t>
      </w:r>
    </w:p>
    <w:p w14:paraId="41E2F96B" w14:textId="40286246" w:rsidR="00A46EBA" w:rsidRDefault="00464FD9" w:rsidP="00D11DD7">
      <w:pPr>
        <w:pStyle w:val="ARbody"/>
      </w:pPr>
      <w:r w:rsidRPr="00D11DD7">
        <w:t>To support this self-determination approach,</w:t>
      </w:r>
      <w:r w:rsidR="002E2464" w:rsidRPr="00D11DD7">
        <w:t xml:space="preserve"> </w:t>
      </w:r>
      <w:r w:rsidR="00CB6BE2" w:rsidRPr="00D11DD7">
        <w:t xml:space="preserve">ACCHOs were invited to submit applications </w:t>
      </w:r>
      <w:r w:rsidR="000066EE" w:rsidRPr="00D11DD7">
        <w:t>in a</w:t>
      </w:r>
      <w:r w:rsidR="00D11DD7">
        <w:t xml:space="preserve"> </w:t>
      </w:r>
      <w:r w:rsidR="001856BD" w:rsidRPr="00D11DD7">
        <w:t>submission and fund allocation process</w:t>
      </w:r>
      <w:r w:rsidR="00D11DD7">
        <w:t xml:space="preserve"> </w:t>
      </w:r>
      <w:r w:rsidR="000066EE" w:rsidRPr="00D11DD7">
        <w:t>that was</w:t>
      </w:r>
      <w:r w:rsidR="001856BD" w:rsidRPr="00D11DD7">
        <w:t xml:space="preserve"> flexible</w:t>
      </w:r>
      <w:r w:rsidR="000066EE" w:rsidRPr="00D11DD7">
        <w:t>,</w:t>
      </w:r>
      <w:r w:rsidR="001856BD" w:rsidRPr="00D11DD7">
        <w:t xml:space="preserve"> equitable</w:t>
      </w:r>
      <w:r w:rsidR="00D11DD7">
        <w:t xml:space="preserve"> </w:t>
      </w:r>
      <w:r w:rsidR="000066EE" w:rsidRPr="00D11DD7">
        <w:t>and outcomes based.</w:t>
      </w:r>
    </w:p>
    <w:p w14:paraId="1CFBD286" w14:textId="4AF76694" w:rsidR="00121A08" w:rsidRDefault="001856BD" w:rsidP="00D11DD7">
      <w:pPr>
        <w:pStyle w:val="ARbody"/>
      </w:pPr>
      <w:r w:rsidRPr="00D11DD7">
        <w:t>Submissions from across the sector were received</w:t>
      </w:r>
      <w:r w:rsidR="008C7548">
        <w:t> </w:t>
      </w:r>
      <w:r w:rsidRPr="00D11DD7">
        <w:t xml:space="preserve">to address a wide variety </w:t>
      </w:r>
      <w:r w:rsidR="00CF3F57" w:rsidRPr="00D11DD7">
        <w:t xml:space="preserve">of </w:t>
      </w:r>
      <w:r w:rsidRPr="00D11DD7">
        <w:t>workforce requirements</w:t>
      </w:r>
      <w:r w:rsidR="00341578">
        <w:t>,</w:t>
      </w:r>
      <w:r w:rsidR="00F13207" w:rsidRPr="00D11DD7">
        <w:t xml:space="preserve"> </w:t>
      </w:r>
      <w:r w:rsidR="000B626C" w:rsidRPr="000B626C">
        <w:t xml:space="preserve">with ACCHOs receiving their first instalments late in the </w:t>
      </w:r>
      <w:r w:rsidR="004D4D20">
        <w:t>2021–22</w:t>
      </w:r>
      <w:r w:rsidR="000B626C" w:rsidRPr="000B626C">
        <w:t xml:space="preserve"> financial year. The</w:t>
      </w:r>
      <w:r w:rsidR="008C7548">
        <w:t> </w:t>
      </w:r>
      <w:r w:rsidR="000B626C" w:rsidRPr="000B626C">
        <w:t>remaining instalments were delivered early in the 202</w:t>
      </w:r>
      <w:r w:rsidR="004D4D20">
        <w:t>2–</w:t>
      </w:r>
      <w:r w:rsidR="000B626C" w:rsidRPr="000B626C">
        <w:t xml:space="preserve">2023 financial year. </w:t>
      </w:r>
      <w:r w:rsidRPr="00D11DD7">
        <w:t>The Fund support</w:t>
      </w:r>
      <w:r w:rsidR="000066EE" w:rsidRPr="00D11DD7">
        <w:t>s</w:t>
      </w:r>
      <w:r w:rsidRPr="00D11DD7">
        <w:t xml:space="preserve"> both clinical and non-clinical</w:t>
      </w:r>
      <w:r>
        <w:t xml:space="preserve"> workforce, including support staff such as administration, human resources, finance, IT specialists and management positions. These positions will support strategic planning, training, career pathways and direct service </w:t>
      </w:r>
      <w:r w:rsidR="000B626C" w:rsidRPr="000B626C">
        <w:t>delivery for services such as podiatry, alcohol and other drugs, social and emotional wellbeing, aged care, child and family and chronic disease management services.</w:t>
      </w:r>
    </w:p>
    <w:p w14:paraId="2857FA28" w14:textId="105FE940" w:rsidR="00603B69" w:rsidRDefault="00603B69" w:rsidP="00603B69">
      <w:pPr>
        <w:pStyle w:val="Heading6"/>
      </w:pPr>
      <w:r>
        <w:t xml:space="preserve">COVID-19 </w:t>
      </w:r>
      <w:r w:rsidR="00501CE0">
        <w:t>d</w:t>
      </w:r>
      <w:r>
        <w:t xml:space="preserve">emand </w:t>
      </w:r>
      <w:r w:rsidR="00501CE0">
        <w:t>f</w:t>
      </w:r>
      <w:r>
        <w:t xml:space="preserve">unding for </w:t>
      </w:r>
      <w:r w:rsidR="008C7548">
        <w:br/>
      </w:r>
      <w:r>
        <w:t xml:space="preserve">Aboriginal </w:t>
      </w:r>
      <w:r w:rsidR="00501CE0">
        <w:t>h</w:t>
      </w:r>
      <w:r>
        <w:t xml:space="preserve">ealth </w:t>
      </w:r>
      <w:r w:rsidR="00501CE0">
        <w:t>o</w:t>
      </w:r>
      <w:r>
        <w:t>rganisations</w:t>
      </w:r>
    </w:p>
    <w:p w14:paraId="0EA8E9B2" w14:textId="3E3C4262" w:rsidR="003F0283" w:rsidRDefault="00603B69" w:rsidP="00603B69">
      <w:pPr>
        <w:pStyle w:val="ARbody"/>
      </w:pPr>
      <w:r>
        <w:t xml:space="preserve">The COVID-19 pandemic </w:t>
      </w:r>
      <w:r w:rsidR="00DB2EDB">
        <w:t xml:space="preserve">presented </w:t>
      </w:r>
      <w:r>
        <w:t>the Victorian</w:t>
      </w:r>
      <w:r w:rsidR="00C554E9">
        <w:t> </w:t>
      </w:r>
      <w:r>
        <w:t>health system, including ACCHOs</w:t>
      </w:r>
      <w:r w:rsidR="008901DC">
        <w:t>, with</w:t>
      </w:r>
      <w:r w:rsidR="00C554E9">
        <w:t> </w:t>
      </w:r>
      <w:r w:rsidR="008901DC">
        <w:t>unprecedented challenges</w:t>
      </w:r>
      <w:r>
        <w:t>.</w:t>
      </w:r>
    </w:p>
    <w:p w14:paraId="5E5EED18" w14:textId="2B3FD49A" w:rsidR="00603B69" w:rsidRDefault="00603B69" w:rsidP="00603B69">
      <w:pPr>
        <w:pStyle w:val="ARbody"/>
      </w:pPr>
      <w:r>
        <w:t xml:space="preserve">To support ACCHOs to meet increased service demand due to COVID-19, the department </w:t>
      </w:r>
      <w:r w:rsidR="0077308E">
        <w:t>provided</w:t>
      </w:r>
      <w:r>
        <w:t xml:space="preserve"> $12 million </w:t>
      </w:r>
      <w:r w:rsidR="0077308E">
        <w:t>for</w:t>
      </w:r>
      <w:r>
        <w:t xml:space="preserve"> community-led healthcare initiatives in response to COVID-19 and general healthcare in the community.</w:t>
      </w:r>
    </w:p>
    <w:p w14:paraId="68642605" w14:textId="218A02B8" w:rsidR="00870A81" w:rsidRDefault="00603B69" w:rsidP="00603B69">
      <w:pPr>
        <w:pStyle w:val="ARbody"/>
      </w:pPr>
      <w:r>
        <w:t>A demand</w:t>
      </w:r>
      <w:r w:rsidR="00E64BD2">
        <w:t>-</w:t>
      </w:r>
      <w:r>
        <w:t>driven investment approach</w:t>
      </w:r>
      <w:r w:rsidR="008901DC">
        <w:t>,</w:t>
      </w:r>
      <w:r>
        <w:t xml:space="preserve"> centred on</w:t>
      </w:r>
      <w:r w:rsidR="008C7548">
        <w:t> </w:t>
      </w:r>
      <w:r>
        <w:t>self-determined priorities</w:t>
      </w:r>
      <w:r w:rsidR="008901DC">
        <w:t>,</w:t>
      </w:r>
      <w:r>
        <w:t xml:space="preserve"> was </w:t>
      </w:r>
      <w:r w:rsidR="00E64BD2">
        <w:t>developed</w:t>
      </w:r>
      <w:r w:rsidR="008901DC">
        <w:t>.</w:t>
      </w:r>
      <w:r w:rsidR="003D5E1A">
        <w:t xml:space="preserve"> </w:t>
      </w:r>
      <w:r w:rsidR="008901DC">
        <w:t>This</w:t>
      </w:r>
      <w:r w:rsidR="00C554E9">
        <w:t> </w:t>
      </w:r>
      <w:r w:rsidR="008901DC">
        <w:t>gave the</w:t>
      </w:r>
      <w:r>
        <w:t xml:space="preserve"> ACCHOs</w:t>
      </w:r>
      <w:r w:rsidR="008901DC">
        <w:t xml:space="preserve"> flexibility</w:t>
      </w:r>
      <w:r>
        <w:t xml:space="preserve"> to use their local knowledge and health expertise to determine investment priorities that responded to the changing health and wellbeing needs of communities </w:t>
      </w:r>
      <w:r w:rsidR="005322CD">
        <w:t>faced with</w:t>
      </w:r>
      <w:r w:rsidR="00E64BD2">
        <w:t xml:space="preserve"> </w:t>
      </w:r>
      <w:r>
        <w:t>manag</w:t>
      </w:r>
      <w:r w:rsidR="005322CD">
        <w:t>ing</w:t>
      </w:r>
      <w:r>
        <w:t xml:space="preserve"> COVID-19 outbreaks. Priorities included increased provision of</w:t>
      </w:r>
      <w:r w:rsidR="008C7548">
        <w:t> </w:t>
      </w:r>
      <w:r>
        <w:t>primary care services, care coordination, outreach supports and in</w:t>
      </w:r>
      <w:r w:rsidR="00E64BD2">
        <w:t>-</w:t>
      </w:r>
      <w:r>
        <w:t>home health care.</w:t>
      </w:r>
    </w:p>
    <w:p w14:paraId="61718326" w14:textId="32152E9D" w:rsidR="003F0283" w:rsidRPr="00870A81" w:rsidRDefault="00870A81" w:rsidP="00BC33FC">
      <w:pPr>
        <w:pStyle w:val="Heading6"/>
      </w:pPr>
      <w:r>
        <w:br w:type="column"/>
      </w:r>
      <w:r w:rsidR="00603B69" w:rsidRPr="00870A81">
        <w:t xml:space="preserve">Aboriginal </w:t>
      </w:r>
      <w:r w:rsidR="00E64BD2" w:rsidRPr="00870A81">
        <w:t>h</w:t>
      </w:r>
      <w:r w:rsidR="00603B69" w:rsidRPr="00870A81">
        <w:t xml:space="preserve">ealth </w:t>
      </w:r>
      <w:r w:rsidR="00E64BD2" w:rsidRPr="00870A81">
        <w:t>p</w:t>
      </w:r>
      <w:r w:rsidR="00603B69" w:rsidRPr="00870A81">
        <w:t>ractitioner</w:t>
      </w:r>
      <w:r w:rsidR="00E64BD2" w:rsidRPr="00870A81">
        <w:t>-</w:t>
      </w:r>
      <w:r w:rsidR="00603B69" w:rsidRPr="00870A81">
        <w:t>led Victorian</w:t>
      </w:r>
      <w:r w:rsidR="008C7548">
        <w:t> </w:t>
      </w:r>
      <w:r w:rsidR="003D5DCA" w:rsidRPr="00870A81">
        <w:t>F</w:t>
      </w:r>
      <w:r w:rsidR="00603B69" w:rsidRPr="00870A81">
        <w:t xml:space="preserve">luoride </w:t>
      </w:r>
      <w:r w:rsidR="003D5DCA" w:rsidRPr="00870A81">
        <w:t>V</w:t>
      </w:r>
      <w:r w:rsidR="00603B69" w:rsidRPr="00870A81">
        <w:t xml:space="preserve">arnish </w:t>
      </w:r>
      <w:r w:rsidR="003D5DCA" w:rsidRPr="00870A81">
        <w:t>P</w:t>
      </w:r>
      <w:r w:rsidR="00603B69" w:rsidRPr="00870A81">
        <w:t>rogram for</w:t>
      </w:r>
      <w:r w:rsidR="008C7548">
        <w:t> </w:t>
      </w:r>
      <w:r w:rsidR="00603B69" w:rsidRPr="00870A81">
        <w:t>Aboriginal children</w:t>
      </w:r>
    </w:p>
    <w:p w14:paraId="41BC2A27" w14:textId="77777777" w:rsidR="003F0283" w:rsidRDefault="00603B69" w:rsidP="00603B69">
      <w:pPr>
        <w:pStyle w:val="ARbody"/>
      </w:pPr>
      <w:r w:rsidRPr="0042058D">
        <w:t>The Drugs, Poisons and Controlled Substances Amendment (Registered Aboriginal and Torres Strait Islander Health Practitioners) Regulations 2022 were made on 22 February 2022.</w:t>
      </w:r>
    </w:p>
    <w:p w14:paraId="11D26721" w14:textId="0A22C2C3" w:rsidR="003F0283" w:rsidRDefault="00603B69" w:rsidP="00603B69">
      <w:pPr>
        <w:pStyle w:val="ARbody"/>
      </w:pPr>
      <w:r w:rsidRPr="0042058D">
        <w:t>The amendment authorises registered Aboriginal and Torres Strait Islander health practitioners to obtain, possess and administer fluoride varnish to Aboriginal children’s teeth to prevent tooth decay.</w:t>
      </w:r>
    </w:p>
    <w:p w14:paraId="3F1D960E" w14:textId="66044760" w:rsidR="003F0283" w:rsidRDefault="00603B69" w:rsidP="00603B69">
      <w:pPr>
        <w:pStyle w:val="ARbody"/>
      </w:pPr>
      <w:r w:rsidRPr="0042058D">
        <w:t>These changes will support a prevention and early</w:t>
      </w:r>
      <w:r w:rsidR="008C7548">
        <w:t> </w:t>
      </w:r>
      <w:r w:rsidRPr="0042058D">
        <w:t xml:space="preserve">intervention program aimed at </w:t>
      </w:r>
      <w:r w:rsidR="00E64BD2">
        <w:t xml:space="preserve">promoting </w:t>
      </w:r>
      <w:r w:rsidRPr="0042058D">
        <w:t>oral</w:t>
      </w:r>
      <w:r w:rsidR="008C7548">
        <w:t> </w:t>
      </w:r>
      <w:r w:rsidRPr="0042058D">
        <w:t xml:space="preserve">health </w:t>
      </w:r>
      <w:r w:rsidR="002F3E06">
        <w:t>in</w:t>
      </w:r>
      <w:r w:rsidRPr="0042058D">
        <w:t xml:space="preserve"> Aboriginal children in a culturally appropriate healthcare setting, such as ACCHOs. This will reduce</w:t>
      </w:r>
      <w:r w:rsidR="00E64BD2">
        <w:t xml:space="preserve"> the</w:t>
      </w:r>
      <w:r w:rsidRPr="0042058D">
        <w:t xml:space="preserve"> incidence of tooth decay in a population group that is at high risk of oral disease.</w:t>
      </w:r>
    </w:p>
    <w:p w14:paraId="75CE196D" w14:textId="6AA2CCE5" w:rsidR="003F0283" w:rsidRDefault="00603B69" w:rsidP="00603B69">
      <w:pPr>
        <w:pStyle w:val="ARbody"/>
      </w:pPr>
      <w:r w:rsidRPr="0042058D">
        <w:t xml:space="preserve">The </w:t>
      </w:r>
      <w:r w:rsidR="00E64BD2">
        <w:t>d</w:t>
      </w:r>
      <w:r w:rsidRPr="0042058D">
        <w:t xml:space="preserve">epartment will work with the Victorian Aboriginal Community Controlled Health Organisation (VACCHO), the Aboriginal Community Controlled Organisations (ACCOs), and Dental Health Services Victoria (DHSV) </w:t>
      </w:r>
      <w:r w:rsidR="0095449F">
        <w:t>to</w:t>
      </w:r>
      <w:r w:rsidR="0095449F" w:rsidRPr="0042058D">
        <w:t xml:space="preserve"> </w:t>
      </w:r>
      <w:r w:rsidRPr="0042058D">
        <w:t xml:space="preserve">provide </w:t>
      </w:r>
      <w:r w:rsidR="0095449F">
        <w:t xml:space="preserve">the </w:t>
      </w:r>
      <w:r w:rsidRPr="0042058D">
        <w:t>support required, including workforce training, program implementation and referral pathways.</w:t>
      </w:r>
    </w:p>
    <w:p w14:paraId="19C9F97C" w14:textId="5B959296" w:rsidR="003F0283" w:rsidRDefault="00603B69" w:rsidP="00603B69">
      <w:pPr>
        <w:pStyle w:val="ARbody"/>
      </w:pPr>
      <w:r w:rsidRPr="0042058D">
        <w:t xml:space="preserve">The </w:t>
      </w:r>
      <w:r w:rsidR="003D5DCA">
        <w:t>F</w:t>
      </w:r>
      <w:r w:rsidRPr="0042058D">
        <w:t xml:space="preserve">luoride </w:t>
      </w:r>
      <w:r w:rsidR="003D5DCA">
        <w:t>V</w:t>
      </w:r>
      <w:r w:rsidRPr="0042058D">
        <w:t xml:space="preserve">arnish </w:t>
      </w:r>
      <w:r w:rsidR="003D5DCA">
        <w:t>P</w:t>
      </w:r>
      <w:r w:rsidRPr="0042058D">
        <w:t>rogram is part of the Aboriginal model of care for oral health</w:t>
      </w:r>
      <w:r w:rsidR="0095449F">
        <w:t>, which</w:t>
      </w:r>
      <w:r w:rsidRPr="0042058D">
        <w:t xml:space="preserve"> look</w:t>
      </w:r>
      <w:r w:rsidR="0095449F">
        <w:t>s</w:t>
      </w:r>
      <w:r w:rsidR="00C554E9">
        <w:t> </w:t>
      </w:r>
      <w:r w:rsidRPr="0042058D">
        <w:t>at strengthening culturally safe dental care and prevention services to Aboriginal Victorians. The</w:t>
      </w:r>
      <w:r w:rsidR="008C7548">
        <w:t> </w:t>
      </w:r>
      <w:r w:rsidRPr="0042058D">
        <w:t>two-year project, funded by the department and led by VACCHO</w:t>
      </w:r>
      <w:r w:rsidR="0095449F">
        <w:t>,</w:t>
      </w:r>
      <w:r w:rsidRPr="0042058D">
        <w:t xml:space="preserve"> is being developed </w:t>
      </w:r>
      <w:r w:rsidR="0095449F">
        <w:t>with</w:t>
      </w:r>
      <w:r w:rsidR="0095449F" w:rsidRPr="0042058D">
        <w:t xml:space="preserve"> </w:t>
      </w:r>
      <w:r w:rsidRPr="0042058D">
        <w:t xml:space="preserve">a self-determined approach and </w:t>
      </w:r>
      <w:r w:rsidR="0095449F">
        <w:t xml:space="preserve">is </w:t>
      </w:r>
      <w:r w:rsidRPr="0042058D">
        <w:t>co-designed with key stakeholders</w:t>
      </w:r>
      <w:r w:rsidR="0095449F">
        <w:t>,</w:t>
      </w:r>
      <w:r w:rsidRPr="0042058D">
        <w:t xml:space="preserve"> including DHSV, the ACCOs and the wider Aboriginal community.</w:t>
      </w:r>
    </w:p>
    <w:p w14:paraId="42041C66" w14:textId="0FCAB752" w:rsidR="003F0283" w:rsidRDefault="00603B69" w:rsidP="00603B69">
      <w:pPr>
        <w:pStyle w:val="ARbody"/>
      </w:pPr>
      <w:r w:rsidRPr="0042058D">
        <w:t>This program will also support the development of</w:t>
      </w:r>
      <w:r w:rsidR="008C7548">
        <w:t> </w:t>
      </w:r>
      <w:r w:rsidRPr="0042058D">
        <w:t>a</w:t>
      </w:r>
      <w:r w:rsidR="008C7548">
        <w:t> </w:t>
      </w:r>
      <w:r w:rsidRPr="0042058D">
        <w:t>strong and sustainable Aboriginal workforce and provide preventive healthcare in a culturally appropriate and safe environment</w:t>
      </w:r>
      <w:r w:rsidRPr="005322CD">
        <w:t>.</w:t>
      </w:r>
    </w:p>
    <w:p w14:paraId="48695710" w14:textId="3700BBF2" w:rsidR="00603B69" w:rsidRDefault="002B7022" w:rsidP="00603B69">
      <w:pPr>
        <w:pStyle w:val="Heading5"/>
      </w:pPr>
      <w:r>
        <w:br w:type="column"/>
      </w:r>
      <w:r w:rsidR="00603B69">
        <w:t>Continue to revitalise public sector residential aged care facilities</w:t>
      </w:r>
    </w:p>
    <w:p w14:paraId="0C3DE093" w14:textId="5E7181A2" w:rsidR="00603B69" w:rsidRPr="00103A07" w:rsidRDefault="00603B69" w:rsidP="00603B69">
      <w:pPr>
        <w:pStyle w:val="ARbody"/>
      </w:pPr>
      <w:r w:rsidRPr="00103A07">
        <w:t>In 20</w:t>
      </w:r>
      <w:r w:rsidR="005E4358">
        <w:t>21–22</w:t>
      </w:r>
      <w:r w:rsidRPr="00103A07">
        <w:t xml:space="preserve">, a significant construction milestone was reached </w:t>
      </w:r>
      <w:r w:rsidR="005322CD">
        <w:t xml:space="preserve">when </w:t>
      </w:r>
      <w:r w:rsidRPr="00103A07">
        <w:t>the main structural works on the</w:t>
      </w:r>
      <w:r w:rsidR="008C7548">
        <w:t> </w:t>
      </w:r>
      <w:r w:rsidRPr="00103A07">
        <w:t>$81.58 million Wantirna residential aged care facility</w:t>
      </w:r>
      <w:r w:rsidR="0095449F">
        <w:t xml:space="preserve"> were</w:t>
      </w:r>
      <w:r w:rsidRPr="00103A07">
        <w:t xml:space="preserve"> completed. Construction on the</w:t>
      </w:r>
      <w:r w:rsidR="004D41E7">
        <w:t xml:space="preserve"> </w:t>
      </w:r>
      <w:r w:rsidR="004D41E7">
        <w:br/>
      </w:r>
      <w:r w:rsidRPr="00103A07">
        <w:t>four-storey 120-bed facility is expected to be complete in late 2022.</w:t>
      </w:r>
    </w:p>
    <w:p w14:paraId="616B0F1B" w14:textId="7A4FE126" w:rsidR="003F0283" w:rsidRDefault="00603B69" w:rsidP="00603B69">
      <w:pPr>
        <w:pStyle w:val="ARbody"/>
      </w:pPr>
      <w:r w:rsidRPr="00103A07">
        <w:t>Design development has continued for the new</w:t>
      </w:r>
      <w:r w:rsidR="008C7548">
        <w:t> </w:t>
      </w:r>
      <w:r w:rsidRPr="00103A07">
        <w:t>150-bed facility at the Kingston Centre in</w:t>
      </w:r>
      <w:r w:rsidR="00C554E9">
        <w:t> </w:t>
      </w:r>
      <w:r w:rsidRPr="00103A07">
        <w:t>Cheltenham. Designs were released for the new</w:t>
      </w:r>
      <w:r w:rsidR="008C7548">
        <w:t> </w:t>
      </w:r>
      <w:r w:rsidRPr="00103A07">
        <w:t>$57.11 million 50-bed facility in Rutherglen</w:t>
      </w:r>
      <w:r>
        <w:t xml:space="preserve"> in</w:t>
      </w:r>
      <w:r w:rsidR="008C7548">
        <w:t> </w:t>
      </w:r>
      <w:r>
        <w:t>May 2022</w:t>
      </w:r>
      <w:r w:rsidRPr="00103A07">
        <w:t>. These two facilities will move into construction in 202</w:t>
      </w:r>
      <w:r w:rsidR="005E4358">
        <w:t>2–</w:t>
      </w:r>
      <w:r w:rsidRPr="00103A07">
        <w:t>23.</w:t>
      </w:r>
    </w:p>
    <w:p w14:paraId="2D14CB33" w14:textId="20F3C6F3" w:rsidR="003F0283" w:rsidRDefault="00603B69" w:rsidP="00603B69">
      <w:pPr>
        <w:pStyle w:val="ARbody"/>
      </w:pPr>
      <w:r w:rsidRPr="00103A07">
        <w:t>The 202</w:t>
      </w:r>
      <w:r w:rsidR="005E4358">
        <w:t>2–</w:t>
      </w:r>
      <w:r w:rsidRPr="00103A07">
        <w:t>23 State Budget funded further regional</w:t>
      </w:r>
      <w:r w:rsidR="00F266FB" w:rsidRPr="00F266FB">
        <w:t xml:space="preserve"> </w:t>
      </w:r>
      <w:r w:rsidR="00F266FB" w:rsidRPr="00103A07">
        <w:t>redevelopment</w:t>
      </w:r>
      <w:r w:rsidR="00F266FB">
        <w:t xml:space="preserve"> of</w:t>
      </w:r>
      <w:r w:rsidR="003D5E1A">
        <w:t xml:space="preserve"> </w:t>
      </w:r>
      <w:r w:rsidR="0095449F">
        <w:t>public sector residential aged care services (</w:t>
      </w:r>
      <w:r w:rsidR="0095449F" w:rsidRPr="00103A07">
        <w:t>PSRACS</w:t>
      </w:r>
      <w:r w:rsidR="0095449F">
        <w:t>)</w:t>
      </w:r>
      <w:r w:rsidR="0095449F" w:rsidRPr="00103A07">
        <w:t xml:space="preserve"> </w:t>
      </w:r>
      <w:r w:rsidRPr="00103A07">
        <w:t>at Camperdown, Orbost and Mansfield</w:t>
      </w:r>
      <w:r w:rsidR="00F266FB">
        <w:t>,</w:t>
      </w:r>
      <w:r w:rsidRPr="00103A07">
        <w:t xml:space="preserve"> with planning funding for proposed new PSRACS facilities at Mornington, Bright and Heywood.</w:t>
      </w:r>
    </w:p>
    <w:p w14:paraId="7B42AB5E" w14:textId="0C125738" w:rsidR="00603B69" w:rsidRDefault="00603B69" w:rsidP="001A559C">
      <w:pPr>
        <w:pStyle w:val="ARbody"/>
      </w:pPr>
      <w:r w:rsidRPr="00103A07">
        <w:t>The department commenced development of a longer</w:t>
      </w:r>
      <w:r w:rsidR="0095449F">
        <w:t>-</w:t>
      </w:r>
      <w:r w:rsidRPr="00103A07">
        <w:t xml:space="preserve">term </w:t>
      </w:r>
      <w:r w:rsidR="00AD32B1">
        <w:t>strategy</w:t>
      </w:r>
      <w:r w:rsidR="00AD32B1" w:rsidRPr="00103A07">
        <w:t xml:space="preserve"> </w:t>
      </w:r>
      <w:r w:rsidRPr="00103A07">
        <w:t>for the next phase of sequential improvement to existing PSRACS facilities across both metropolitan and regional Victoria, which will become the blueprint for coordinated investment to renovate, refurbish or replace outdated PSRACS.</w:t>
      </w:r>
    </w:p>
    <w:p w14:paraId="11D50FF6" w14:textId="5773E9E9" w:rsidR="002E4460" w:rsidRDefault="002E4460" w:rsidP="001A559C">
      <w:pPr>
        <w:pStyle w:val="ARbody"/>
      </w:pPr>
    </w:p>
    <w:p w14:paraId="47B51E7F" w14:textId="77777777" w:rsidR="00603B69" w:rsidRDefault="00603B69" w:rsidP="00603B69">
      <w:pPr>
        <w:pStyle w:val="ARbody"/>
        <w:sectPr w:rsidR="00603B69" w:rsidSect="00603B69">
          <w:footnotePr>
            <w:numFmt w:val="lowerLetter"/>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720ABD65" w14:textId="43DC3689" w:rsidR="00692B42" w:rsidRDefault="00692B42" w:rsidP="00044722">
      <w:pPr>
        <w:pStyle w:val="ARbody"/>
      </w:pPr>
      <w:r>
        <w:br w:type="page"/>
      </w:r>
    </w:p>
    <w:p w14:paraId="0A5FD6F7" w14:textId="4DBF27B9" w:rsidR="00603B69" w:rsidRDefault="00603B69" w:rsidP="00FC7229">
      <w:pPr>
        <w:pStyle w:val="Heading4"/>
        <w:spacing w:before="0"/>
      </w:pPr>
      <w:r>
        <w:t>Objective</w:t>
      </w:r>
      <w:r w:rsidR="00EF79FE">
        <w:t xml:space="preserve"> 3: </w:t>
      </w:r>
      <w:r w:rsidR="006A2F08">
        <w:t>I</w:t>
      </w:r>
      <w:r w:rsidR="00EF79FE">
        <w:t>ndicator</w:t>
      </w:r>
      <w:r>
        <w:t xml:space="preserve"> results</w:t>
      </w:r>
    </w:p>
    <w:tbl>
      <w:tblPr>
        <w:tblStyle w:val="TableGrid"/>
        <w:tblW w:w="9639" w:type="dxa"/>
        <w:tblLook w:val="06A0" w:firstRow="1" w:lastRow="0" w:firstColumn="1" w:lastColumn="0" w:noHBand="1" w:noVBand="1"/>
      </w:tblPr>
      <w:tblGrid>
        <w:gridCol w:w="5555"/>
        <w:gridCol w:w="1021"/>
        <w:gridCol w:w="1021"/>
        <w:gridCol w:w="1021"/>
        <w:gridCol w:w="1021"/>
      </w:tblGrid>
      <w:tr w:rsidR="004D3900" w:rsidRPr="002029AF" w14:paraId="5C073D6C" w14:textId="77777777" w:rsidTr="002B7022">
        <w:trPr>
          <w:cnfStyle w:val="100000000000" w:firstRow="1" w:lastRow="0" w:firstColumn="0" w:lastColumn="0" w:oddVBand="0" w:evenVBand="0" w:oddHBand="0" w:evenHBand="0" w:firstRowFirstColumn="0" w:firstRowLastColumn="0" w:lastRowFirstColumn="0" w:lastRowLastColumn="0"/>
          <w:tblHeader/>
        </w:trPr>
        <w:tc>
          <w:tcPr>
            <w:tcW w:w="5555" w:type="dxa"/>
          </w:tcPr>
          <w:p w14:paraId="6E34DC4B" w14:textId="77777777" w:rsidR="004D3900" w:rsidRPr="002029AF" w:rsidRDefault="004D3900" w:rsidP="004D3900">
            <w:pPr>
              <w:pStyle w:val="ARtablecolhead"/>
            </w:pPr>
          </w:p>
        </w:tc>
        <w:tc>
          <w:tcPr>
            <w:tcW w:w="1021" w:type="dxa"/>
          </w:tcPr>
          <w:p w14:paraId="7CF41C08" w14:textId="68F95782" w:rsidR="004D3900" w:rsidRPr="002029AF" w:rsidRDefault="004D3900" w:rsidP="004D3900">
            <w:pPr>
              <w:pStyle w:val="ARtablecolhead"/>
            </w:pPr>
            <w:r w:rsidRPr="002029AF">
              <w:t>201</w:t>
            </w:r>
            <w:r>
              <w:t>8</w:t>
            </w:r>
            <w:r w:rsidRPr="002029AF">
              <w:t>–1</w:t>
            </w:r>
            <w:r>
              <w:t>9</w:t>
            </w:r>
          </w:p>
        </w:tc>
        <w:tc>
          <w:tcPr>
            <w:tcW w:w="1021" w:type="dxa"/>
          </w:tcPr>
          <w:p w14:paraId="3BE46999" w14:textId="2D414447" w:rsidR="004D3900" w:rsidRPr="002029AF" w:rsidRDefault="004D3900" w:rsidP="004D3900">
            <w:pPr>
              <w:pStyle w:val="ARtablecolhead"/>
            </w:pPr>
            <w:r w:rsidRPr="002029AF">
              <w:t>201</w:t>
            </w:r>
            <w:r>
              <w:t>9</w:t>
            </w:r>
            <w:r w:rsidRPr="002029AF">
              <w:t>–</w:t>
            </w:r>
            <w:r>
              <w:t>20</w:t>
            </w:r>
          </w:p>
        </w:tc>
        <w:tc>
          <w:tcPr>
            <w:tcW w:w="1021" w:type="dxa"/>
          </w:tcPr>
          <w:p w14:paraId="44B3F4D0" w14:textId="62E762EF" w:rsidR="004D3900" w:rsidRPr="002029AF" w:rsidRDefault="004D3900" w:rsidP="004D3900">
            <w:pPr>
              <w:pStyle w:val="ARtablecolhead"/>
            </w:pPr>
            <w:r w:rsidRPr="002029AF">
              <w:t>20</w:t>
            </w:r>
            <w:r>
              <w:t>20</w:t>
            </w:r>
            <w:r w:rsidRPr="002029AF">
              <w:t>–2</w:t>
            </w:r>
            <w:r>
              <w:t>1</w:t>
            </w:r>
          </w:p>
        </w:tc>
        <w:tc>
          <w:tcPr>
            <w:tcW w:w="1021" w:type="dxa"/>
          </w:tcPr>
          <w:p w14:paraId="46C3AE6C" w14:textId="52EA07D2" w:rsidR="004D3900" w:rsidRPr="002029AF" w:rsidRDefault="004D3900" w:rsidP="004D3900">
            <w:pPr>
              <w:pStyle w:val="ARtablecolhead"/>
            </w:pPr>
            <w:r>
              <w:t>2021–22</w:t>
            </w:r>
          </w:p>
        </w:tc>
      </w:tr>
      <w:tr w:rsidR="004D3900" w:rsidRPr="002029AF" w14:paraId="65360032" w14:textId="77777777" w:rsidTr="00FA0AB0">
        <w:tc>
          <w:tcPr>
            <w:tcW w:w="9639" w:type="dxa"/>
            <w:gridSpan w:val="5"/>
          </w:tcPr>
          <w:p w14:paraId="1CCC506C" w14:textId="77777777" w:rsidR="004D3900" w:rsidRPr="002029AF" w:rsidRDefault="004D3900" w:rsidP="00044722">
            <w:pPr>
              <w:pStyle w:val="ARtablecolourbold"/>
            </w:pPr>
            <w:r w:rsidRPr="002029AF">
              <w:t>Victorians act to protect and promote health</w:t>
            </w:r>
          </w:p>
        </w:tc>
      </w:tr>
      <w:tr w:rsidR="002A4F1D" w:rsidRPr="002029AF" w14:paraId="0E70B7D3" w14:textId="77777777" w:rsidTr="005659BD">
        <w:tc>
          <w:tcPr>
            <w:tcW w:w="5555" w:type="dxa"/>
            <w:tcBorders>
              <w:bottom w:val="single" w:sz="4" w:space="0" w:color="BFBFBF" w:themeColor="background1" w:themeShade="BF"/>
            </w:tcBorders>
            <w:hideMark/>
          </w:tcPr>
          <w:p w14:paraId="63B26A82" w14:textId="77777777" w:rsidR="002A4F1D" w:rsidRPr="002029AF" w:rsidRDefault="002A4F1D" w:rsidP="002A4F1D">
            <w:pPr>
              <w:pStyle w:val="ARtabletext"/>
              <w:rPr>
                <w:i/>
              </w:rPr>
            </w:pPr>
            <w:r w:rsidRPr="002029AF">
              <w:t>Immunisation coverage: At school entry</w:t>
            </w:r>
          </w:p>
        </w:tc>
        <w:tc>
          <w:tcPr>
            <w:tcW w:w="1021" w:type="dxa"/>
            <w:tcBorders>
              <w:bottom w:val="single" w:sz="4" w:space="0" w:color="BFBFBF" w:themeColor="background1" w:themeShade="BF"/>
            </w:tcBorders>
          </w:tcPr>
          <w:p w14:paraId="4EACF017" w14:textId="1E489BA3" w:rsidR="002A4F1D" w:rsidRPr="002029AF" w:rsidRDefault="002A4F1D" w:rsidP="002A4F1D">
            <w:pPr>
              <w:pStyle w:val="ARtabletext"/>
            </w:pPr>
            <w:r w:rsidRPr="002029AF">
              <w:t>95.7%</w:t>
            </w:r>
          </w:p>
        </w:tc>
        <w:tc>
          <w:tcPr>
            <w:tcW w:w="1021" w:type="dxa"/>
            <w:tcBorders>
              <w:bottom w:val="single" w:sz="4" w:space="0" w:color="BFBFBF" w:themeColor="background1" w:themeShade="BF"/>
            </w:tcBorders>
          </w:tcPr>
          <w:p w14:paraId="5B838DA7" w14:textId="01840316" w:rsidR="002A4F1D" w:rsidRPr="002029AF" w:rsidRDefault="002A4F1D" w:rsidP="002A4F1D">
            <w:pPr>
              <w:pStyle w:val="ARtabletext"/>
            </w:pPr>
            <w:r w:rsidRPr="002029AF">
              <w:t>95.8%</w:t>
            </w:r>
          </w:p>
        </w:tc>
        <w:tc>
          <w:tcPr>
            <w:tcW w:w="1021" w:type="dxa"/>
            <w:tcBorders>
              <w:bottom w:val="single" w:sz="4" w:space="0" w:color="BFBFBF" w:themeColor="background1" w:themeShade="BF"/>
            </w:tcBorders>
          </w:tcPr>
          <w:p w14:paraId="60DE1DB4" w14:textId="3626CE6E" w:rsidR="002A4F1D" w:rsidRPr="002029AF" w:rsidRDefault="002A4F1D" w:rsidP="002A4F1D">
            <w:pPr>
              <w:pStyle w:val="ARtabletext"/>
            </w:pPr>
            <w:r>
              <w:t>96.1%</w:t>
            </w:r>
          </w:p>
        </w:tc>
        <w:tc>
          <w:tcPr>
            <w:tcW w:w="1021" w:type="dxa"/>
            <w:tcBorders>
              <w:bottom w:val="single" w:sz="4" w:space="0" w:color="BFBFBF" w:themeColor="background1" w:themeShade="BF"/>
            </w:tcBorders>
          </w:tcPr>
          <w:p w14:paraId="44265AA8" w14:textId="6C364C54" w:rsidR="002A4F1D" w:rsidRPr="00063A3F" w:rsidRDefault="00632960" w:rsidP="002A4F1D">
            <w:pPr>
              <w:pStyle w:val="ARtabletext"/>
              <w:rPr>
                <w:vertAlign w:val="superscript"/>
              </w:rPr>
            </w:pPr>
            <w:r>
              <w:t>95.</w:t>
            </w:r>
            <w:r w:rsidR="00063A3F">
              <w:t>0</w:t>
            </w:r>
            <w:r w:rsidR="00923A44">
              <w:t>%</w:t>
            </w:r>
            <w:r w:rsidR="00063A3F">
              <w:rPr>
                <w:vertAlign w:val="superscript"/>
              </w:rPr>
              <w:t>E</w:t>
            </w:r>
            <w:r w:rsidR="003E2DE1">
              <w:rPr>
                <w:rStyle w:val="FootnoteReference"/>
              </w:rPr>
              <w:t>(</w:t>
            </w:r>
            <w:r w:rsidR="003E2DE1" w:rsidRPr="00BD5FC4">
              <w:rPr>
                <w:rStyle w:val="FootnoteReference"/>
              </w:rPr>
              <w:footnoteReference w:id="11"/>
            </w:r>
            <w:r w:rsidR="003E2DE1">
              <w:rPr>
                <w:rStyle w:val="FootnoteReference"/>
              </w:rPr>
              <w:t>)</w:t>
            </w:r>
          </w:p>
        </w:tc>
      </w:tr>
      <w:tr w:rsidR="002A4F1D" w:rsidRPr="002029AF" w14:paraId="2FC2C3DD" w14:textId="77777777" w:rsidTr="005659BD">
        <w:tc>
          <w:tcPr>
            <w:tcW w:w="5555" w:type="dxa"/>
            <w:tcBorders>
              <w:top w:val="single" w:sz="4" w:space="0" w:color="BFBFBF" w:themeColor="background1" w:themeShade="BF"/>
              <w:bottom w:val="single" w:sz="4" w:space="0" w:color="BFBFBF" w:themeColor="background1" w:themeShade="BF"/>
            </w:tcBorders>
            <w:hideMark/>
          </w:tcPr>
          <w:p w14:paraId="1548D67F" w14:textId="77777777" w:rsidR="002A4F1D" w:rsidRPr="002029AF" w:rsidRDefault="002A4F1D" w:rsidP="002A4F1D">
            <w:pPr>
              <w:pStyle w:val="ARtabletext"/>
              <w:rPr>
                <w:i/>
              </w:rPr>
            </w:pPr>
            <w:r w:rsidRPr="002029AF">
              <w:t>Immunisation coverage: At two years of age</w:t>
            </w:r>
          </w:p>
        </w:tc>
        <w:tc>
          <w:tcPr>
            <w:tcW w:w="1021" w:type="dxa"/>
            <w:tcBorders>
              <w:top w:val="single" w:sz="4" w:space="0" w:color="BFBFBF" w:themeColor="background1" w:themeShade="BF"/>
              <w:bottom w:val="single" w:sz="4" w:space="0" w:color="BFBFBF" w:themeColor="background1" w:themeShade="BF"/>
            </w:tcBorders>
          </w:tcPr>
          <w:p w14:paraId="26598C7F" w14:textId="28281560" w:rsidR="002A4F1D" w:rsidRPr="002029AF" w:rsidRDefault="002A4F1D" w:rsidP="002A4F1D">
            <w:pPr>
              <w:pStyle w:val="ARtabletext"/>
            </w:pPr>
            <w:r w:rsidRPr="002029AF">
              <w:t>92.0%</w:t>
            </w:r>
          </w:p>
        </w:tc>
        <w:tc>
          <w:tcPr>
            <w:tcW w:w="1021" w:type="dxa"/>
            <w:tcBorders>
              <w:top w:val="single" w:sz="4" w:space="0" w:color="BFBFBF" w:themeColor="background1" w:themeShade="BF"/>
              <w:bottom w:val="single" w:sz="4" w:space="0" w:color="BFBFBF" w:themeColor="background1" w:themeShade="BF"/>
            </w:tcBorders>
          </w:tcPr>
          <w:p w14:paraId="546FAD1E" w14:textId="475C1942" w:rsidR="002A4F1D" w:rsidRPr="002029AF" w:rsidRDefault="002A4F1D" w:rsidP="002A4F1D">
            <w:pPr>
              <w:pStyle w:val="ARtabletext"/>
            </w:pPr>
            <w:r w:rsidRPr="002029AF">
              <w:t>92.3%</w:t>
            </w:r>
          </w:p>
        </w:tc>
        <w:tc>
          <w:tcPr>
            <w:tcW w:w="1021" w:type="dxa"/>
            <w:tcBorders>
              <w:top w:val="single" w:sz="4" w:space="0" w:color="BFBFBF" w:themeColor="background1" w:themeShade="BF"/>
              <w:bottom w:val="single" w:sz="4" w:space="0" w:color="BFBFBF" w:themeColor="background1" w:themeShade="BF"/>
            </w:tcBorders>
          </w:tcPr>
          <w:p w14:paraId="5B512E97" w14:textId="7F69ABC9" w:rsidR="002A4F1D" w:rsidRPr="002029AF" w:rsidRDefault="002A4F1D" w:rsidP="002A4F1D">
            <w:pPr>
              <w:pStyle w:val="ARtabletext"/>
            </w:pPr>
            <w:r>
              <w:t>92.2%</w:t>
            </w:r>
          </w:p>
        </w:tc>
        <w:tc>
          <w:tcPr>
            <w:tcW w:w="1021" w:type="dxa"/>
            <w:tcBorders>
              <w:top w:val="single" w:sz="4" w:space="0" w:color="BFBFBF" w:themeColor="background1" w:themeShade="BF"/>
              <w:bottom w:val="single" w:sz="4" w:space="0" w:color="BFBFBF" w:themeColor="background1" w:themeShade="BF"/>
            </w:tcBorders>
          </w:tcPr>
          <w:p w14:paraId="547536C3" w14:textId="0B0DC28C" w:rsidR="002A4F1D" w:rsidRPr="00923A44" w:rsidRDefault="00063A3F" w:rsidP="002A4F1D">
            <w:pPr>
              <w:pStyle w:val="ARtabletext"/>
              <w:rPr>
                <w:vertAlign w:val="superscript"/>
              </w:rPr>
            </w:pPr>
            <w:r>
              <w:t>93.0</w:t>
            </w:r>
            <w:r w:rsidR="00923A44">
              <w:t>%</w:t>
            </w:r>
            <w:r w:rsidR="00923A44">
              <w:rPr>
                <w:vertAlign w:val="superscript"/>
              </w:rPr>
              <w:t>E</w:t>
            </w:r>
          </w:p>
        </w:tc>
      </w:tr>
      <w:tr w:rsidR="002A4F1D" w:rsidRPr="002029AF" w14:paraId="0C8CB0A7" w14:textId="77777777" w:rsidTr="005659BD">
        <w:tc>
          <w:tcPr>
            <w:tcW w:w="5555" w:type="dxa"/>
            <w:tcBorders>
              <w:top w:val="single" w:sz="4" w:space="0" w:color="BFBFBF" w:themeColor="background1" w:themeShade="BF"/>
              <w:bottom w:val="single" w:sz="4" w:space="0" w:color="BFBFBF" w:themeColor="background1" w:themeShade="BF"/>
            </w:tcBorders>
            <w:hideMark/>
          </w:tcPr>
          <w:p w14:paraId="5DE0B3C6" w14:textId="77777777" w:rsidR="002A4F1D" w:rsidRPr="002029AF" w:rsidRDefault="002A4F1D" w:rsidP="002A4F1D">
            <w:pPr>
              <w:pStyle w:val="ARtabletext"/>
              <w:rPr>
                <w:i/>
              </w:rPr>
            </w:pPr>
            <w:r w:rsidRPr="002029AF">
              <w:t>Percentage of Aboriginal children fully immunised at 60 months</w:t>
            </w:r>
          </w:p>
        </w:tc>
        <w:tc>
          <w:tcPr>
            <w:tcW w:w="1021" w:type="dxa"/>
            <w:tcBorders>
              <w:top w:val="single" w:sz="4" w:space="0" w:color="BFBFBF" w:themeColor="background1" w:themeShade="BF"/>
              <w:bottom w:val="single" w:sz="4" w:space="0" w:color="BFBFBF" w:themeColor="background1" w:themeShade="BF"/>
            </w:tcBorders>
          </w:tcPr>
          <w:p w14:paraId="105D9F81" w14:textId="7F990498" w:rsidR="002A4F1D" w:rsidRPr="002029AF" w:rsidRDefault="002A4F1D" w:rsidP="002A4F1D">
            <w:pPr>
              <w:pStyle w:val="ARtabletext"/>
            </w:pPr>
            <w:r w:rsidRPr="002029AF">
              <w:t>96.5%</w:t>
            </w:r>
          </w:p>
        </w:tc>
        <w:tc>
          <w:tcPr>
            <w:tcW w:w="1021" w:type="dxa"/>
            <w:tcBorders>
              <w:top w:val="single" w:sz="4" w:space="0" w:color="BFBFBF" w:themeColor="background1" w:themeShade="BF"/>
              <w:bottom w:val="single" w:sz="4" w:space="0" w:color="BFBFBF" w:themeColor="background1" w:themeShade="BF"/>
            </w:tcBorders>
          </w:tcPr>
          <w:p w14:paraId="72BCD2E7" w14:textId="6709AF39" w:rsidR="002A4F1D" w:rsidRPr="002029AF" w:rsidRDefault="002A4F1D" w:rsidP="002A4F1D">
            <w:pPr>
              <w:pStyle w:val="ARtabletext"/>
            </w:pPr>
            <w:r w:rsidRPr="002029AF">
              <w:t>97.7%</w:t>
            </w:r>
          </w:p>
        </w:tc>
        <w:tc>
          <w:tcPr>
            <w:tcW w:w="1021" w:type="dxa"/>
            <w:tcBorders>
              <w:top w:val="single" w:sz="4" w:space="0" w:color="BFBFBF" w:themeColor="background1" w:themeShade="BF"/>
              <w:bottom w:val="single" w:sz="4" w:space="0" w:color="BFBFBF" w:themeColor="background1" w:themeShade="BF"/>
            </w:tcBorders>
          </w:tcPr>
          <w:p w14:paraId="50F3ED37" w14:textId="3DEE17A0" w:rsidR="002A4F1D" w:rsidRPr="002029AF" w:rsidRDefault="002A4F1D" w:rsidP="002A4F1D">
            <w:pPr>
              <w:pStyle w:val="ARtabletext"/>
            </w:pPr>
            <w:r>
              <w:t>97.2%</w:t>
            </w:r>
          </w:p>
        </w:tc>
        <w:tc>
          <w:tcPr>
            <w:tcW w:w="1021" w:type="dxa"/>
            <w:tcBorders>
              <w:top w:val="single" w:sz="4" w:space="0" w:color="BFBFBF" w:themeColor="background1" w:themeShade="BF"/>
              <w:bottom w:val="single" w:sz="4" w:space="0" w:color="BFBFBF" w:themeColor="background1" w:themeShade="BF"/>
            </w:tcBorders>
          </w:tcPr>
          <w:p w14:paraId="38E03637" w14:textId="66EE9467" w:rsidR="002A4F1D" w:rsidRPr="000E7442" w:rsidRDefault="000E7442" w:rsidP="002A4F1D">
            <w:pPr>
              <w:pStyle w:val="ARtabletext"/>
              <w:rPr>
                <w:vertAlign w:val="superscript"/>
              </w:rPr>
            </w:pPr>
            <w:r>
              <w:t>97.0%</w:t>
            </w:r>
            <w:r>
              <w:rPr>
                <w:vertAlign w:val="superscript"/>
              </w:rPr>
              <w:t>E</w:t>
            </w:r>
          </w:p>
        </w:tc>
      </w:tr>
      <w:tr w:rsidR="002A4F1D" w:rsidRPr="002029AF" w14:paraId="5ACD9F18" w14:textId="77777777" w:rsidTr="005659BD">
        <w:tc>
          <w:tcPr>
            <w:tcW w:w="5555" w:type="dxa"/>
            <w:tcBorders>
              <w:top w:val="single" w:sz="4" w:space="0" w:color="BFBFBF" w:themeColor="background1" w:themeShade="BF"/>
              <w:bottom w:val="single" w:sz="4" w:space="0" w:color="BFBFBF" w:themeColor="background1" w:themeShade="BF"/>
            </w:tcBorders>
            <w:hideMark/>
          </w:tcPr>
          <w:p w14:paraId="0C61B3E3" w14:textId="77777777" w:rsidR="002A4F1D" w:rsidRPr="002029AF" w:rsidRDefault="002A4F1D" w:rsidP="002A4F1D">
            <w:pPr>
              <w:pStyle w:val="ARtabletext"/>
            </w:pPr>
            <w:r w:rsidRPr="002029AF">
              <w:t>Eligible newborns screened for hearing deficit before one month of age</w:t>
            </w:r>
          </w:p>
        </w:tc>
        <w:tc>
          <w:tcPr>
            <w:tcW w:w="1021" w:type="dxa"/>
            <w:tcBorders>
              <w:top w:val="single" w:sz="4" w:space="0" w:color="BFBFBF" w:themeColor="background1" w:themeShade="BF"/>
              <w:bottom w:val="single" w:sz="4" w:space="0" w:color="BFBFBF" w:themeColor="background1" w:themeShade="BF"/>
            </w:tcBorders>
          </w:tcPr>
          <w:p w14:paraId="1B3ECE4E" w14:textId="7D87DA24" w:rsidR="002A4F1D" w:rsidRPr="002029AF" w:rsidRDefault="002A4F1D" w:rsidP="002A4F1D">
            <w:pPr>
              <w:pStyle w:val="ARtabletext"/>
            </w:pPr>
            <w:r w:rsidRPr="002029AF">
              <w:t>98.7%</w:t>
            </w:r>
          </w:p>
        </w:tc>
        <w:tc>
          <w:tcPr>
            <w:tcW w:w="1021" w:type="dxa"/>
            <w:tcBorders>
              <w:top w:val="single" w:sz="4" w:space="0" w:color="BFBFBF" w:themeColor="background1" w:themeShade="BF"/>
              <w:bottom w:val="single" w:sz="4" w:space="0" w:color="BFBFBF" w:themeColor="background1" w:themeShade="BF"/>
            </w:tcBorders>
          </w:tcPr>
          <w:p w14:paraId="537D3AB6" w14:textId="2EB96763" w:rsidR="002A4F1D" w:rsidRPr="002029AF" w:rsidRDefault="002A4F1D" w:rsidP="002A4F1D">
            <w:pPr>
              <w:pStyle w:val="ARtabletext"/>
            </w:pPr>
            <w:r w:rsidRPr="002029AF">
              <w:t>98.4%</w:t>
            </w:r>
          </w:p>
        </w:tc>
        <w:tc>
          <w:tcPr>
            <w:tcW w:w="1021" w:type="dxa"/>
            <w:tcBorders>
              <w:top w:val="single" w:sz="4" w:space="0" w:color="BFBFBF" w:themeColor="background1" w:themeShade="BF"/>
              <w:bottom w:val="single" w:sz="4" w:space="0" w:color="BFBFBF" w:themeColor="background1" w:themeShade="BF"/>
            </w:tcBorders>
          </w:tcPr>
          <w:p w14:paraId="064230B0" w14:textId="75AC723A" w:rsidR="002A4F1D" w:rsidRPr="002029AF" w:rsidRDefault="002A4F1D" w:rsidP="002A4F1D">
            <w:pPr>
              <w:pStyle w:val="ARtabletext"/>
            </w:pPr>
            <w:r>
              <w:t>98.3%</w:t>
            </w:r>
            <w:r w:rsidRPr="18BBDAB4">
              <w:rPr>
                <w:rStyle w:val="Superscript"/>
              </w:rPr>
              <w:t xml:space="preserve"> </w:t>
            </w:r>
          </w:p>
        </w:tc>
        <w:tc>
          <w:tcPr>
            <w:tcW w:w="1021" w:type="dxa"/>
            <w:tcBorders>
              <w:top w:val="single" w:sz="4" w:space="0" w:color="BFBFBF" w:themeColor="background1" w:themeShade="BF"/>
              <w:bottom w:val="single" w:sz="4" w:space="0" w:color="BFBFBF" w:themeColor="background1" w:themeShade="BF"/>
            </w:tcBorders>
          </w:tcPr>
          <w:p w14:paraId="345277E0" w14:textId="7966057C" w:rsidR="002A4F1D" w:rsidRPr="00F82436" w:rsidRDefault="00F82436" w:rsidP="002A4F1D">
            <w:pPr>
              <w:pStyle w:val="ARtabletext"/>
              <w:rPr>
                <w:vertAlign w:val="superscript"/>
              </w:rPr>
            </w:pPr>
            <w:r>
              <w:rPr>
                <w:rStyle w:val="Superscript"/>
                <w:vertAlign w:val="baseline"/>
              </w:rPr>
              <w:t>96.</w:t>
            </w:r>
            <w:r w:rsidR="004955FF">
              <w:rPr>
                <w:rStyle w:val="Superscript"/>
                <w:vertAlign w:val="baseline"/>
              </w:rPr>
              <w:t>3</w:t>
            </w:r>
            <w:r>
              <w:rPr>
                <w:rStyle w:val="Superscript"/>
                <w:vertAlign w:val="baseline"/>
              </w:rPr>
              <w:t>%</w:t>
            </w:r>
          </w:p>
        </w:tc>
      </w:tr>
      <w:tr w:rsidR="002A4F1D" w:rsidRPr="002029AF" w14:paraId="26B30E35" w14:textId="77777777" w:rsidTr="005659BD">
        <w:tc>
          <w:tcPr>
            <w:tcW w:w="5555" w:type="dxa"/>
            <w:tcBorders>
              <w:top w:val="single" w:sz="4" w:space="0" w:color="BFBFBF" w:themeColor="background1" w:themeShade="BF"/>
              <w:bottom w:val="single" w:sz="4" w:space="0" w:color="BFBFBF" w:themeColor="background1" w:themeShade="BF"/>
            </w:tcBorders>
            <w:hideMark/>
          </w:tcPr>
          <w:p w14:paraId="52C89D39" w14:textId="77777777" w:rsidR="002A4F1D" w:rsidRPr="002029AF" w:rsidRDefault="002A4F1D" w:rsidP="002A4F1D">
            <w:pPr>
              <w:pStyle w:val="ARtabletext"/>
              <w:rPr>
                <w:i/>
              </w:rPr>
            </w:pPr>
            <w:r w:rsidRPr="002029AF">
              <w:t>Healthcare worker immunisation – influenza</w:t>
            </w:r>
          </w:p>
        </w:tc>
        <w:tc>
          <w:tcPr>
            <w:tcW w:w="1021" w:type="dxa"/>
            <w:tcBorders>
              <w:top w:val="single" w:sz="4" w:space="0" w:color="BFBFBF" w:themeColor="background1" w:themeShade="BF"/>
              <w:bottom w:val="single" w:sz="4" w:space="0" w:color="BFBFBF" w:themeColor="background1" w:themeShade="BF"/>
            </w:tcBorders>
          </w:tcPr>
          <w:p w14:paraId="75446E38" w14:textId="6AA916CD" w:rsidR="002A4F1D" w:rsidRPr="002029AF" w:rsidRDefault="002A4F1D" w:rsidP="002A4F1D">
            <w:pPr>
              <w:pStyle w:val="ARtabletext"/>
            </w:pPr>
            <w:r w:rsidRPr="002029AF">
              <w:t>83.0%</w:t>
            </w:r>
          </w:p>
        </w:tc>
        <w:tc>
          <w:tcPr>
            <w:tcW w:w="1021" w:type="dxa"/>
            <w:tcBorders>
              <w:top w:val="single" w:sz="4" w:space="0" w:color="BFBFBF" w:themeColor="background1" w:themeShade="BF"/>
              <w:bottom w:val="single" w:sz="4" w:space="0" w:color="BFBFBF" w:themeColor="background1" w:themeShade="BF"/>
            </w:tcBorders>
          </w:tcPr>
          <w:p w14:paraId="5D45445E" w14:textId="72847D1B" w:rsidR="002A4F1D" w:rsidRPr="002029AF" w:rsidRDefault="002A4F1D" w:rsidP="002A4F1D">
            <w:pPr>
              <w:pStyle w:val="ARtabletext"/>
            </w:pPr>
            <w:r w:rsidRPr="002029AF">
              <w:t>87.7%</w:t>
            </w:r>
          </w:p>
        </w:tc>
        <w:tc>
          <w:tcPr>
            <w:tcW w:w="1021" w:type="dxa"/>
            <w:tcBorders>
              <w:top w:val="single" w:sz="4" w:space="0" w:color="BFBFBF" w:themeColor="background1" w:themeShade="BF"/>
              <w:bottom w:val="single" w:sz="4" w:space="0" w:color="BFBFBF" w:themeColor="background1" w:themeShade="BF"/>
            </w:tcBorders>
          </w:tcPr>
          <w:p w14:paraId="455CA4E3" w14:textId="75B1C1B2" w:rsidR="002A4F1D" w:rsidRPr="002029AF" w:rsidRDefault="002A4F1D" w:rsidP="002A4F1D">
            <w:pPr>
              <w:pStyle w:val="ARtabletext"/>
            </w:pPr>
            <w:r>
              <w:t>93.0%</w:t>
            </w:r>
            <w:r w:rsidRPr="002029AF">
              <w:rPr>
                <w:rStyle w:val="Superscript"/>
              </w:rPr>
              <w:t xml:space="preserve"> </w:t>
            </w:r>
          </w:p>
        </w:tc>
        <w:tc>
          <w:tcPr>
            <w:tcW w:w="1021" w:type="dxa"/>
            <w:tcBorders>
              <w:top w:val="single" w:sz="4" w:space="0" w:color="BFBFBF" w:themeColor="background1" w:themeShade="BF"/>
              <w:bottom w:val="single" w:sz="4" w:space="0" w:color="BFBFBF" w:themeColor="background1" w:themeShade="BF"/>
            </w:tcBorders>
          </w:tcPr>
          <w:p w14:paraId="0E2E7109" w14:textId="60D955D9" w:rsidR="002A4F1D" w:rsidRPr="002029AF" w:rsidRDefault="009A5F53" w:rsidP="002A4F1D">
            <w:pPr>
              <w:pStyle w:val="ARtabletext"/>
            </w:pPr>
            <w:r>
              <w:t>77.0</w:t>
            </w:r>
            <w:r w:rsidR="005E025A">
              <w:t>%</w:t>
            </w:r>
          </w:p>
        </w:tc>
      </w:tr>
      <w:tr w:rsidR="002A4F1D" w:rsidRPr="002029AF" w14:paraId="405FDBFA" w14:textId="77777777" w:rsidTr="005659BD">
        <w:tc>
          <w:tcPr>
            <w:tcW w:w="5555" w:type="dxa"/>
            <w:tcBorders>
              <w:top w:val="single" w:sz="4" w:space="0" w:color="BFBFBF" w:themeColor="background1" w:themeShade="BF"/>
              <w:bottom w:val="single" w:sz="4" w:space="0" w:color="BFBFBF" w:themeColor="background1" w:themeShade="BF"/>
            </w:tcBorders>
            <w:hideMark/>
          </w:tcPr>
          <w:p w14:paraId="177EC709" w14:textId="77777777" w:rsidR="002A4F1D" w:rsidRPr="002029AF" w:rsidRDefault="002A4F1D" w:rsidP="002A4F1D">
            <w:pPr>
              <w:pStyle w:val="ARtabletext"/>
              <w:rPr>
                <w:i/>
              </w:rPr>
            </w:pPr>
            <w:r w:rsidRPr="002029AF">
              <w:t>Perinatal and child mortality reports received, reviewed and classified</w:t>
            </w:r>
          </w:p>
        </w:tc>
        <w:tc>
          <w:tcPr>
            <w:tcW w:w="1021" w:type="dxa"/>
            <w:tcBorders>
              <w:top w:val="single" w:sz="4" w:space="0" w:color="BFBFBF" w:themeColor="background1" w:themeShade="BF"/>
              <w:bottom w:val="single" w:sz="4" w:space="0" w:color="BFBFBF" w:themeColor="background1" w:themeShade="BF"/>
            </w:tcBorders>
          </w:tcPr>
          <w:p w14:paraId="75A6636E" w14:textId="7DA34D2F" w:rsidR="002A4F1D" w:rsidRPr="002029AF" w:rsidRDefault="002A4F1D" w:rsidP="002A4F1D">
            <w:pPr>
              <w:pStyle w:val="ARtabletext"/>
              <w:rPr>
                <w:i/>
              </w:rPr>
            </w:pPr>
            <w:r w:rsidRPr="002029AF">
              <w:t>100%</w:t>
            </w:r>
          </w:p>
        </w:tc>
        <w:tc>
          <w:tcPr>
            <w:tcW w:w="1021" w:type="dxa"/>
            <w:tcBorders>
              <w:top w:val="single" w:sz="4" w:space="0" w:color="BFBFBF" w:themeColor="background1" w:themeShade="BF"/>
              <w:bottom w:val="single" w:sz="4" w:space="0" w:color="BFBFBF" w:themeColor="background1" w:themeShade="BF"/>
            </w:tcBorders>
          </w:tcPr>
          <w:p w14:paraId="0B4177E3" w14:textId="13768517" w:rsidR="002A4F1D" w:rsidRPr="002029AF" w:rsidRDefault="002A4F1D" w:rsidP="002A4F1D">
            <w:pPr>
              <w:pStyle w:val="ARtabletext"/>
              <w:rPr>
                <w:i/>
              </w:rPr>
            </w:pPr>
            <w:r w:rsidRPr="002029AF">
              <w:t>99.3%</w:t>
            </w:r>
          </w:p>
        </w:tc>
        <w:tc>
          <w:tcPr>
            <w:tcW w:w="1021" w:type="dxa"/>
            <w:tcBorders>
              <w:top w:val="single" w:sz="4" w:space="0" w:color="BFBFBF" w:themeColor="background1" w:themeShade="BF"/>
              <w:bottom w:val="single" w:sz="4" w:space="0" w:color="BFBFBF" w:themeColor="background1" w:themeShade="BF"/>
            </w:tcBorders>
          </w:tcPr>
          <w:p w14:paraId="69A0FBEE" w14:textId="5C3173BC" w:rsidR="002A4F1D" w:rsidRPr="002029AF" w:rsidRDefault="002A4F1D" w:rsidP="002A4F1D">
            <w:pPr>
              <w:pStyle w:val="ARtabletext"/>
            </w:pPr>
            <w:r>
              <w:t>95.5%</w:t>
            </w:r>
          </w:p>
        </w:tc>
        <w:tc>
          <w:tcPr>
            <w:tcW w:w="1021" w:type="dxa"/>
            <w:tcBorders>
              <w:top w:val="single" w:sz="4" w:space="0" w:color="BFBFBF" w:themeColor="background1" w:themeShade="BF"/>
              <w:bottom w:val="single" w:sz="4" w:space="0" w:color="BFBFBF" w:themeColor="background1" w:themeShade="BF"/>
            </w:tcBorders>
          </w:tcPr>
          <w:p w14:paraId="5FEDC9B4" w14:textId="1266A28D" w:rsidR="002A4F1D" w:rsidRPr="005E025A" w:rsidRDefault="005E025A" w:rsidP="002A4F1D">
            <w:pPr>
              <w:pStyle w:val="ARtabletext"/>
              <w:rPr>
                <w:vertAlign w:val="superscript"/>
              </w:rPr>
            </w:pPr>
            <w:r>
              <w:t>90.0%</w:t>
            </w:r>
            <w:r>
              <w:rPr>
                <w:vertAlign w:val="superscript"/>
              </w:rPr>
              <w:t>E</w:t>
            </w:r>
          </w:p>
        </w:tc>
      </w:tr>
      <w:tr w:rsidR="002A4F1D" w:rsidRPr="002029AF" w14:paraId="39939DBB" w14:textId="77777777" w:rsidTr="00652D71">
        <w:tc>
          <w:tcPr>
            <w:tcW w:w="5555" w:type="dxa"/>
            <w:tcBorders>
              <w:top w:val="single" w:sz="4" w:space="0" w:color="BFBFBF" w:themeColor="background1" w:themeShade="BF"/>
              <w:bottom w:val="single" w:sz="4" w:space="0" w:color="BFBFBF" w:themeColor="background1" w:themeShade="BF"/>
            </w:tcBorders>
            <w:hideMark/>
          </w:tcPr>
          <w:p w14:paraId="3886DAA4" w14:textId="77777777" w:rsidR="002A4F1D" w:rsidRPr="002029AF" w:rsidRDefault="002A4F1D" w:rsidP="002A4F1D">
            <w:pPr>
              <w:pStyle w:val="ARtabletext"/>
              <w:rPr>
                <w:i/>
              </w:rPr>
            </w:pPr>
            <w:r w:rsidRPr="002029AF">
              <w:t>Perinatal mortality rate per 1,000 of babies of Aboriginal mothers using rolling three-year average</w:t>
            </w:r>
          </w:p>
        </w:tc>
        <w:tc>
          <w:tcPr>
            <w:tcW w:w="1021" w:type="dxa"/>
            <w:tcBorders>
              <w:top w:val="single" w:sz="4" w:space="0" w:color="BFBFBF" w:themeColor="background1" w:themeShade="BF"/>
              <w:bottom w:val="single" w:sz="4" w:space="0" w:color="BFBFBF" w:themeColor="background1" w:themeShade="BF"/>
            </w:tcBorders>
          </w:tcPr>
          <w:p w14:paraId="287E90BC" w14:textId="43803367" w:rsidR="002A4F1D" w:rsidRPr="002029AF" w:rsidRDefault="002A4F1D" w:rsidP="002A4F1D">
            <w:pPr>
              <w:pStyle w:val="ARtabletext"/>
              <w:rPr>
                <w:i/>
              </w:rPr>
            </w:pPr>
            <w:r w:rsidRPr="002029AF">
              <w:t>10.0</w:t>
            </w:r>
          </w:p>
        </w:tc>
        <w:tc>
          <w:tcPr>
            <w:tcW w:w="1021" w:type="dxa"/>
            <w:tcBorders>
              <w:top w:val="single" w:sz="4" w:space="0" w:color="BFBFBF" w:themeColor="background1" w:themeShade="BF"/>
              <w:bottom w:val="single" w:sz="4" w:space="0" w:color="BFBFBF" w:themeColor="background1" w:themeShade="BF"/>
            </w:tcBorders>
          </w:tcPr>
          <w:p w14:paraId="1A8336E5" w14:textId="57EFD7C1" w:rsidR="002A4F1D" w:rsidRPr="002029AF" w:rsidRDefault="002A4F1D" w:rsidP="002A4F1D">
            <w:pPr>
              <w:pStyle w:val="ARtabletext"/>
              <w:rPr>
                <w:i/>
              </w:rPr>
            </w:pPr>
            <w:r w:rsidRPr="002029AF">
              <w:t>11.5</w:t>
            </w:r>
          </w:p>
        </w:tc>
        <w:tc>
          <w:tcPr>
            <w:tcW w:w="1021" w:type="dxa"/>
            <w:tcBorders>
              <w:top w:val="single" w:sz="4" w:space="0" w:color="BFBFBF" w:themeColor="background1" w:themeShade="BF"/>
              <w:bottom w:val="single" w:sz="4" w:space="0" w:color="BFBFBF" w:themeColor="background1" w:themeShade="BF"/>
            </w:tcBorders>
          </w:tcPr>
          <w:p w14:paraId="36DDA451" w14:textId="32CF0081" w:rsidR="002A4F1D" w:rsidRPr="002029AF" w:rsidRDefault="002A4F1D" w:rsidP="002A4F1D">
            <w:pPr>
              <w:pStyle w:val="ARtabletext"/>
            </w:pPr>
            <w:r>
              <w:t>12.6</w:t>
            </w:r>
          </w:p>
        </w:tc>
        <w:tc>
          <w:tcPr>
            <w:tcW w:w="1021" w:type="dxa"/>
            <w:tcBorders>
              <w:top w:val="single" w:sz="4" w:space="0" w:color="BFBFBF" w:themeColor="background1" w:themeShade="BF"/>
              <w:bottom w:val="single" w:sz="4" w:space="0" w:color="BFBFBF" w:themeColor="background1" w:themeShade="BF"/>
            </w:tcBorders>
          </w:tcPr>
          <w:p w14:paraId="6FF588F2" w14:textId="2BC39AB2" w:rsidR="002A4F1D" w:rsidRPr="002029AF" w:rsidRDefault="00137D72" w:rsidP="002A4F1D">
            <w:pPr>
              <w:pStyle w:val="ARtabletext"/>
            </w:pPr>
            <w:r>
              <w:t>11.3</w:t>
            </w:r>
          </w:p>
        </w:tc>
      </w:tr>
      <w:tr w:rsidR="002A4F1D" w:rsidRPr="002029AF" w14:paraId="1A1BFCE9" w14:textId="77777777" w:rsidTr="00652D71">
        <w:tc>
          <w:tcPr>
            <w:tcW w:w="5555" w:type="dxa"/>
            <w:tcBorders>
              <w:top w:val="single" w:sz="4" w:space="0" w:color="BFBFBF" w:themeColor="background1" w:themeShade="BF"/>
              <w:bottom w:val="single" w:sz="4" w:space="0" w:color="BFBFBF" w:themeColor="background1" w:themeShade="BF"/>
            </w:tcBorders>
            <w:hideMark/>
          </w:tcPr>
          <w:p w14:paraId="6F16E579" w14:textId="77777777" w:rsidR="002A4F1D" w:rsidRPr="002029AF" w:rsidRDefault="002A4F1D" w:rsidP="002A4F1D">
            <w:pPr>
              <w:pStyle w:val="ARtabletext"/>
              <w:rPr>
                <w:i/>
              </w:rPr>
            </w:pPr>
            <w:r w:rsidRPr="002029AF">
              <w:t>Smoking cessation of Aboriginal mothers</w:t>
            </w:r>
          </w:p>
        </w:tc>
        <w:tc>
          <w:tcPr>
            <w:tcW w:w="1021" w:type="dxa"/>
            <w:tcBorders>
              <w:top w:val="single" w:sz="4" w:space="0" w:color="BFBFBF" w:themeColor="background1" w:themeShade="BF"/>
              <w:bottom w:val="single" w:sz="4" w:space="0" w:color="BFBFBF" w:themeColor="background1" w:themeShade="BF"/>
            </w:tcBorders>
          </w:tcPr>
          <w:p w14:paraId="5C6E4B4A" w14:textId="713CA334" w:rsidR="002A4F1D" w:rsidRPr="002029AF" w:rsidRDefault="002A4F1D" w:rsidP="002A4F1D">
            <w:pPr>
              <w:pStyle w:val="ARtabletext"/>
              <w:rPr>
                <w:i/>
              </w:rPr>
            </w:pPr>
            <w:r w:rsidRPr="002029AF">
              <w:t>23.5%</w:t>
            </w:r>
          </w:p>
        </w:tc>
        <w:tc>
          <w:tcPr>
            <w:tcW w:w="1021" w:type="dxa"/>
            <w:tcBorders>
              <w:top w:val="single" w:sz="4" w:space="0" w:color="BFBFBF" w:themeColor="background1" w:themeShade="BF"/>
              <w:bottom w:val="single" w:sz="4" w:space="0" w:color="BFBFBF" w:themeColor="background1" w:themeShade="BF"/>
            </w:tcBorders>
          </w:tcPr>
          <w:p w14:paraId="0E4B4B4C" w14:textId="4DF30FA9" w:rsidR="002A4F1D" w:rsidRPr="002029AF" w:rsidRDefault="002A4F1D" w:rsidP="002A4F1D">
            <w:pPr>
              <w:pStyle w:val="ARtabletext"/>
              <w:rPr>
                <w:i/>
              </w:rPr>
            </w:pPr>
            <w:r w:rsidRPr="002029AF">
              <w:t>24.1%</w:t>
            </w:r>
          </w:p>
        </w:tc>
        <w:tc>
          <w:tcPr>
            <w:tcW w:w="1021" w:type="dxa"/>
            <w:tcBorders>
              <w:top w:val="single" w:sz="4" w:space="0" w:color="BFBFBF" w:themeColor="background1" w:themeShade="BF"/>
              <w:bottom w:val="single" w:sz="4" w:space="0" w:color="BFBFBF" w:themeColor="background1" w:themeShade="BF"/>
            </w:tcBorders>
          </w:tcPr>
          <w:p w14:paraId="79946E49" w14:textId="79D3CC3B" w:rsidR="002A4F1D" w:rsidRPr="002029AF" w:rsidRDefault="002A4F1D" w:rsidP="002A4F1D">
            <w:pPr>
              <w:pStyle w:val="ARtabletext"/>
            </w:pPr>
            <w:r>
              <w:t>24.1%</w:t>
            </w:r>
          </w:p>
        </w:tc>
        <w:tc>
          <w:tcPr>
            <w:tcW w:w="1021" w:type="dxa"/>
            <w:tcBorders>
              <w:top w:val="single" w:sz="4" w:space="0" w:color="BFBFBF" w:themeColor="background1" w:themeShade="BF"/>
              <w:bottom w:val="single" w:sz="4" w:space="0" w:color="BFBFBF" w:themeColor="background1" w:themeShade="BF"/>
            </w:tcBorders>
          </w:tcPr>
          <w:p w14:paraId="4E57D1E4" w14:textId="7FD7BEB4" w:rsidR="002A4F1D" w:rsidRPr="002A7410" w:rsidRDefault="002A7410" w:rsidP="002A4F1D">
            <w:pPr>
              <w:pStyle w:val="ARtabletext"/>
              <w:rPr>
                <w:rStyle w:val="Superscript"/>
                <w:vertAlign w:val="baseline"/>
              </w:rPr>
            </w:pPr>
            <w:r>
              <w:rPr>
                <w:rStyle w:val="Superscript"/>
                <w:vertAlign w:val="baseline"/>
              </w:rPr>
              <w:t>23.2%</w:t>
            </w:r>
          </w:p>
        </w:tc>
      </w:tr>
      <w:tr w:rsidR="002A4F1D" w:rsidRPr="002029AF" w14:paraId="3A0796BC" w14:textId="77777777" w:rsidTr="00652D71">
        <w:tc>
          <w:tcPr>
            <w:tcW w:w="9639" w:type="dxa"/>
            <w:gridSpan w:val="5"/>
            <w:tcBorders>
              <w:top w:val="single" w:sz="4" w:space="0" w:color="BFBFBF" w:themeColor="background1" w:themeShade="BF"/>
            </w:tcBorders>
          </w:tcPr>
          <w:p w14:paraId="3EC22B65" w14:textId="77777777" w:rsidR="002A4F1D" w:rsidRPr="002029AF" w:rsidRDefault="002A4F1D" w:rsidP="002A4F1D">
            <w:pPr>
              <w:pStyle w:val="ARtablefootnote"/>
            </w:pPr>
            <w:r w:rsidRPr="002029AF">
              <w:rPr>
                <w:rFonts w:eastAsia="Times"/>
              </w:rPr>
              <w:t>Source: Internal departmental data</w:t>
            </w:r>
          </w:p>
        </w:tc>
      </w:tr>
    </w:tbl>
    <w:p w14:paraId="362E5645" w14:textId="77777777" w:rsidR="00B07026" w:rsidRPr="00B07026" w:rsidRDefault="00B07026" w:rsidP="00B07026">
      <w:pPr>
        <w:pStyle w:val="ARbody"/>
      </w:pPr>
      <w:bookmarkStart w:id="93" w:name="_Objective_4:_Victorian"/>
      <w:bookmarkStart w:id="94" w:name="_Ref104215363"/>
      <w:bookmarkEnd w:id="93"/>
      <w:r w:rsidRPr="00B07026">
        <w:br w:type="page"/>
      </w:r>
    </w:p>
    <w:p w14:paraId="27D97848" w14:textId="0FEE7EC4" w:rsidR="00603B69" w:rsidRDefault="00603B69" w:rsidP="002B17E9">
      <w:pPr>
        <w:pStyle w:val="Heading3forTOC"/>
      </w:pPr>
      <w:bookmarkStart w:id="95" w:name="_Toc113702913"/>
      <w:bookmarkStart w:id="96" w:name="Objective4"/>
      <w:r>
        <w:t xml:space="preserve">Objective 4: </w:t>
      </w:r>
      <w:r w:rsidRPr="00006E80">
        <w:t xml:space="preserve">Victorian health services </w:t>
      </w:r>
      <w:r w:rsidRPr="00C46D64">
        <w:t>are person</w:t>
      </w:r>
      <w:r w:rsidR="00244986">
        <w:t xml:space="preserve"> </w:t>
      </w:r>
      <w:r w:rsidRPr="00C46D64">
        <w:t>centred and</w:t>
      </w:r>
      <w:r w:rsidRPr="00006E80">
        <w:t xml:space="preserve"> sustainable</w:t>
      </w:r>
      <w:bookmarkEnd w:id="94"/>
      <w:bookmarkEnd w:id="95"/>
    </w:p>
    <w:bookmarkEnd w:id="96"/>
    <w:p w14:paraId="5CE8291D" w14:textId="77777777" w:rsidR="00603B69" w:rsidRDefault="00603B69" w:rsidP="00603B69">
      <w:pPr>
        <w:pStyle w:val="ARintro"/>
      </w:pPr>
      <w:r>
        <w:t>This objective seeks to achieve the following outcomes:</w:t>
      </w:r>
    </w:p>
    <w:p w14:paraId="517E17E6" w14:textId="77777777" w:rsidR="00603B69" w:rsidRDefault="00603B69" w:rsidP="00603B69">
      <w:pPr>
        <w:pStyle w:val="ARintrobullet1"/>
      </w:pPr>
      <w:r>
        <w:t>services are appropriate and accessible in the right place, at the right time</w:t>
      </w:r>
    </w:p>
    <w:p w14:paraId="6D67AEA4" w14:textId="77777777" w:rsidR="00603B69" w:rsidRDefault="00603B69" w:rsidP="00603B69">
      <w:pPr>
        <w:pStyle w:val="ARintrobullet1"/>
      </w:pPr>
      <w:r>
        <w:t>services respond to choice, culture, identity, circumstances and goals</w:t>
      </w:r>
    </w:p>
    <w:p w14:paraId="3DA3AC7C" w14:textId="77777777" w:rsidR="00603B69" w:rsidRDefault="00603B69" w:rsidP="00603B69">
      <w:pPr>
        <w:pStyle w:val="ARintrobullet1"/>
      </w:pPr>
      <w:r>
        <w:t>services are efficient and sustainable</w:t>
      </w:r>
    </w:p>
    <w:p w14:paraId="4B1CE1E5" w14:textId="77777777" w:rsidR="00603B69" w:rsidRDefault="00603B69" w:rsidP="00603B69">
      <w:pPr>
        <w:pStyle w:val="ARintrobullet1"/>
      </w:pPr>
      <w:r>
        <w:t>services are safe, high quality and provide a positive experience.</w:t>
      </w:r>
    </w:p>
    <w:p w14:paraId="2E12E7A8" w14:textId="7C840420" w:rsidR="00603B69" w:rsidRDefault="004F6819" w:rsidP="00603B69">
      <w:pPr>
        <w:pStyle w:val="ARintro"/>
      </w:pPr>
      <w:r>
        <w:t>Through these improvements</w:t>
      </w:r>
      <w:r w:rsidR="00603B69">
        <w:t xml:space="preserve">, </w:t>
      </w:r>
      <w:r>
        <w:t>the department seeks</w:t>
      </w:r>
      <w:r w:rsidR="00603B69">
        <w:t xml:space="preserve"> better outcomes for patients and clients.</w:t>
      </w:r>
    </w:p>
    <w:p w14:paraId="264DED3A" w14:textId="56597260" w:rsidR="00603B69" w:rsidRDefault="00603B69" w:rsidP="00603B69">
      <w:pPr>
        <w:pStyle w:val="ARintro"/>
      </w:pPr>
      <w:r w:rsidRPr="008A6B14">
        <w:t>A supported health workforce delivering the best health outcomes for the community</w:t>
      </w:r>
      <w:r>
        <w:t>, and</w:t>
      </w:r>
      <w:r w:rsidRPr="008A6B14">
        <w:t xml:space="preserve"> </w:t>
      </w:r>
      <w:r>
        <w:t>s</w:t>
      </w:r>
      <w:r w:rsidRPr="008A6B14">
        <w:t>ustainable investments that deliver the greatest impact on the community’s health</w:t>
      </w:r>
      <w:r>
        <w:t>, are two of</w:t>
      </w:r>
      <w:r w:rsidR="002B7022">
        <w:t> </w:t>
      </w:r>
      <w:r>
        <w:t>the</w:t>
      </w:r>
      <w:r w:rsidR="002B7022">
        <w:t> </w:t>
      </w:r>
      <w:r>
        <w:t xml:space="preserve">department’s </w:t>
      </w:r>
      <w:r w:rsidR="00E4563C">
        <w:t xml:space="preserve">key </w:t>
      </w:r>
      <w:r>
        <w:t>priorities.</w:t>
      </w:r>
    </w:p>
    <w:p w14:paraId="169291B4" w14:textId="77777777" w:rsidR="00603B69" w:rsidRPr="00CF1ABC" w:rsidRDefault="00603B69" w:rsidP="00603B69">
      <w:pPr>
        <w:pStyle w:val="ARbody"/>
      </w:pPr>
    </w:p>
    <w:p w14:paraId="0FEC72BF" w14:textId="77777777" w:rsidR="00603B69" w:rsidRDefault="00603B69" w:rsidP="00603B69">
      <w:pPr>
        <w:pStyle w:val="ARbody"/>
        <w:sectPr w:rsidR="00603B69" w:rsidSect="0031156A">
          <w:headerReference w:type="first" r:id="rId41"/>
          <w:footnotePr>
            <w:numFmt w:val="lowerLetter"/>
            <w:numRestart w:val="eachPage"/>
          </w:footnotePr>
          <w:endnotePr>
            <w:numFmt w:val="decimal"/>
          </w:endnotePr>
          <w:type w:val="continuous"/>
          <w:pgSz w:w="11900" w:h="16840" w:code="9"/>
          <w:pgMar w:top="1985" w:right="1134" w:bottom="851" w:left="1134" w:header="510" w:footer="340" w:gutter="0"/>
          <w:cols w:space="454"/>
          <w15:footnoteColumns w:val="1"/>
        </w:sectPr>
      </w:pPr>
    </w:p>
    <w:p w14:paraId="7CFAC061" w14:textId="77777777" w:rsidR="00603B69" w:rsidRPr="00A32C9C" w:rsidRDefault="00603B69" w:rsidP="00603B69">
      <w:pPr>
        <w:pStyle w:val="Heading4"/>
      </w:pPr>
      <w:r w:rsidRPr="00A32C9C">
        <w:t>Objective indicators</w:t>
      </w:r>
    </w:p>
    <w:p w14:paraId="6FC0EA85" w14:textId="0D615521" w:rsidR="003D5E1A" w:rsidRDefault="00603B69" w:rsidP="00603B69">
      <w:pPr>
        <w:pStyle w:val="Heading5"/>
      </w:pPr>
      <w:r w:rsidRPr="00A32C9C">
        <w:t>Services are appropriate and accessible in</w:t>
      </w:r>
      <w:r w:rsidR="008C7548">
        <w:t> </w:t>
      </w:r>
      <w:r w:rsidRPr="00A32C9C">
        <w:t>the right place, at the right time</w:t>
      </w:r>
    </w:p>
    <w:p w14:paraId="2558638C" w14:textId="55D5378C" w:rsidR="00175261" w:rsidRPr="00177A80" w:rsidRDefault="00362B25" w:rsidP="00177A80">
      <w:pPr>
        <w:pStyle w:val="Heading6"/>
      </w:pPr>
      <w:r w:rsidRPr="00362B25">
        <w:t>Disability Liaison Officer</w:t>
      </w:r>
      <w:r>
        <w:t>s</w:t>
      </w:r>
    </w:p>
    <w:p w14:paraId="4BCC2D51" w14:textId="16FFE874" w:rsidR="00603B69" w:rsidRDefault="0014657C" w:rsidP="00603B69">
      <w:pPr>
        <w:pStyle w:val="ARbody"/>
      </w:pPr>
      <w:r>
        <w:t xml:space="preserve">In </w:t>
      </w:r>
      <w:r w:rsidR="006C15A9">
        <w:t>2021–22</w:t>
      </w:r>
      <w:r w:rsidR="00A1469A">
        <w:t xml:space="preserve"> </w:t>
      </w:r>
      <w:r>
        <w:t>t</w:t>
      </w:r>
      <w:r w:rsidR="00603B69">
        <w:t xml:space="preserve">he </w:t>
      </w:r>
      <w:bookmarkStart w:id="97" w:name="_Hlk110503031"/>
      <w:r w:rsidR="00603B69" w:rsidRPr="00A1469A">
        <w:t>Disability Liaison Officer</w:t>
      </w:r>
      <w:r w:rsidR="00603B69">
        <w:t xml:space="preserve"> </w:t>
      </w:r>
      <w:bookmarkEnd w:id="97"/>
      <w:r w:rsidR="00265E3E">
        <w:t>P</w:t>
      </w:r>
      <w:r w:rsidR="00603B69">
        <w:t xml:space="preserve">rogram assisted </w:t>
      </w:r>
      <w:r w:rsidR="00603B69" w:rsidRPr="00C15E5B">
        <w:t>around 20,400 people</w:t>
      </w:r>
      <w:r w:rsidR="00603B69">
        <w:t xml:space="preserve"> with disability to access timely and appropriate healthcare, including COVID-19 vaccination</w:t>
      </w:r>
      <w:r>
        <w:t>s</w:t>
      </w:r>
      <w:r w:rsidR="00603B69">
        <w:t xml:space="preserve">. Disability </w:t>
      </w:r>
      <w:r>
        <w:t>l</w:t>
      </w:r>
      <w:r w:rsidR="00603B69">
        <w:t xml:space="preserve">iaison </w:t>
      </w:r>
      <w:r>
        <w:t>o</w:t>
      </w:r>
      <w:r w:rsidR="00603B69">
        <w:t>fficers, based at 22 health services across Victoria, also partner with other</w:t>
      </w:r>
      <w:r>
        <w:t xml:space="preserve"> providers</w:t>
      </w:r>
      <w:r w:rsidR="00603B69">
        <w:t xml:space="preserve"> to design tailored </w:t>
      </w:r>
      <w:r w:rsidR="00603B69" w:rsidRPr="00175261">
        <w:t xml:space="preserve">responses and systemic improvements </w:t>
      </w:r>
      <w:r w:rsidR="00175261" w:rsidRPr="00175261">
        <w:t xml:space="preserve">to </w:t>
      </w:r>
      <w:r w:rsidR="00603B69" w:rsidRPr="00175261">
        <w:t xml:space="preserve">health service access </w:t>
      </w:r>
      <w:r w:rsidR="00175261" w:rsidRPr="00175261">
        <w:t xml:space="preserve">for </w:t>
      </w:r>
      <w:r w:rsidR="00603B69" w:rsidRPr="00175261">
        <w:t>people</w:t>
      </w:r>
      <w:r w:rsidR="00603B69">
        <w:t xml:space="preserve"> with disability.</w:t>
      </w:r>
    </w:p>
    <w:p w14:paraId="1993DC47" w14:textId="5726D56B" w:rsidR="003D5E1A" w:rsidRDefault="00603B69" w:rsidP="00603B69">
      <w:pPr>
        <w:pStyle w:val="Heading6"/>
      </w:pPr>
      <w:r w:rsidRPr="00563B32">
        <w:t>Establish public fertility care services for</w:t>
      </w:r>
      <w:r w:rsidR="008C7548">
        <w:t> </w:t>
      </w:r>
      <w:r w:rsidRPr="00563B32">
        <w:t>Victoria</w:t>
      </w:r>
    </w:p>
    <w:p w14:paraId="7D77B268" w14:textId="2E98738D" w:rsidR="00603B69" w:rsidRDefault="0073504A" w:rsidP="00603B69">
      <w:pPr>
        <w:pStyle w:val="ARbody"/>
      </w:pPr>
      <w:r>
        <w:t>In response to</w:t>
      </w:r>
      <w:r w:rsidR="00C619F4">
        <w:t xml:space="preserve"> </w:t>
      </w:r>
      <w:r w:rsidR="00603B69">
        <w:t>the Independent Review of Assisted Reproductive Treatment</w:t>
      </w:r>
      <w:r w:rsidR="00175261">
        <w:t xml:space="preserve"> conducted</w:t>
      </w:r>
      <w:r w:rsidR="00603B69">
        <w:t xml:space="preserve"> by Michael Gorton AM, the Victorian government committed $70 million</w:t>
      </w:r>
      <w:r w:rsidR="003B1CE1">
        <w:t xml:space="preserve"> over three years</w:t>
      </w:r>
      <w:r w:rsidR="00603B69">
        <w:t xml:space="preserve"> </w:t>
      </w:r>
      <w:r w:rsidR="003B1CE1">
        <w:t xml:space="preserve">in the </w:t>
      </w:r>
      <w:r w:rsidR="006C15A9">
        <w:t>2021–22</w:t>
      </w:r>
      <w:r w:rsidR="003B1CE1">
        <w:t xml:space="preserve"> State Budget </w:t>
      </w:r>
      <w:r w:rsidR="00603B69">
        <w:t xml:space="preserve">to establish Victoria’s first public fertility care services, including Victoria’s first public sperm and egg bank. This investment includes $20 million </w:t>
      </w:r>
      <w:r w:rsidR="00603B69" w:rsidRPr="003B1CE1">
        <w:t xml:space="preserve">to improve public hospital </w:t>
      </w:r>
      <w:r w:rsidR="00603B69" w:rsidRPr="0080099F">
        <w:t xml:space="preserve">facilities </w:t>
      </w:r>
      <w:r w:rsidR="00EC35FA" w:rsidRPr="0080099F">
        <w:t>for</w:t>
      </w:r>
      <w:r w:rsidR="00175261" w:rsidRPr="0080099F">
        <w:t xml:space="preserve"> </w:t>
      </w:r>
      <w:r w:rsidR="00603B69" w:rsidRPr="0080099F">
        <w:t>deliver</w:t>
      </w:r>
      <w:r w:rsidR="00EC35FA" w:rsidRPr="0080099F">
        <w:t>ing</w:t>
      </w:r>
      <w:r w:rsidR="00603B69" w:rsidRPr="003B1CE1">
        <w:t xml:space="preserve"> the services and $50 million over three</w:t>
      </w:r>
      <w:r w:rsidR="00603B69">
        <w:t xml:space="preserve"> years to provide up to 2,700 treatment cycles and </w:t>
      </w:r>
      <w:r w:rsidR="004F366E">
        <w:t>related</w:t>
      </w:r>
      <w:r w:rsidR="00603B69">
        <w:t xml:space="preserve"> fertility care services to up to 4,000 Victorians per year.</w:t>
      </w:r>
    </w:p>
    <w:p w14:paraId="7404289A" w14:textId="3FC6A067" w:rsidR="00603B69" w:rsidRDefault="00603B69" w:rsidP="00603B69">
      <w:pPr>
        <w:pStyle w:val="ARbody"/>
      </w:pPr>
      <w:r>
        <w:t>These services will mean more people, including those in regional and rural communities, LGBTIQ+ and single people, and low-income earners will have the opportunity to start a family.</w:t>
      </w:r>
    </w:p>
    <w:p w14:paraId="5E96A0A4" w14:textId="77777777" w:rsidR="00603B69" w:rsidRDefault="00603B69" w:rsidP="00603B69">
      <w:pPr>
        <w:pStyle w:val="ARbody"/>
      </w:pPr>
      <w:r>
        <w:t>With a focus on high-value care and a broad range of services, it is expected that providers of the new public fertility care services will start in a phased approach towards the end of 2022.</w:t>
      </w:r>
    </w:p>
    <w:p w14:paraId="7C0F5C07" w14:textId="42F44C98" w:rsidR="00713BB8" w:rsidRPr="00D83158" w:rsidRDefault="0034146D" w:rsidP="0034146D">
      <w:pPr>
        <w:pStyle w:val="Heading6"/>
      </w:pPr>
      <w:r w:rsidRPr="00D83158">
        <w:t>Better at Home</w:t>
      </w:r>
    </w:p>
    <w:p w14:paraId="252F9596" w14:textId="77CCE88A" w:rsidR="004D65C4" w:rsidRPr="00551D36" w:rsidRDefault="00923006" w:rsidP="00D52DF9">
      <w:pPr>
        <w:pStyle w:val="ARbody"/>
        <w:spacing w:line="254" w:lineRule="atLeast"/>
      </w:pPr>
      <w:r>
        <w:t>This initiative – announced in 2020 but building on</w:t>
      </w:r>
      <w:r w:rsidR="008C7548">
        <w:t> </w:t>
      </w:r>
      <w:r>
        <w:t>decades of health service experience – allows more patients to receive hospital care in the comfort of their homes</w:t>
      </w:r>
      <w:r w:rsidR="004411E2">
        <w:t>,</w:t>
      </w:r>
      <w:r>
        <w:t xml:space="preserve"> supported by family and friends. In 2021–22, over 350,000 admitted bed days were delivered at home – an increase of 19</w:t>
      </w:r>
      <w:r w:rsidR="008C7548">
        <w:t> </w:t>
      </w:r>
      <w:r>
        <w:t>per cent compared to the previous year. Additional funding of $698 million announced in the</w:t>
      </w:r>
      <w:r w:rsidR="008C7548">
        <w:t> </w:t>
      </w:r>
      <w:r>
        <w:t>2022–23 State Budget will support the delivery of more care at home over the next four years including acute, rehabilitation, geriatric evaluation and management, health independence program and outpatient specialist clinic services.</w:t>
      </w:r>
    </w:p>
    <w:p w14:paraId="539DA7CB" w14:textId="08E1D66D" w:rsidR="00603B69" w:rsidRDefault="00603B69" w:rsidP="008C7548">
      <w:pPr>
        <w:pStyle w:val="Heading5"/>
        <w:spacing w:before="160" w:after="60"/>
      </w:pPr>
      <w:bookmarkStart w:id="98" w:name="_Services_respond_to"/>
      <w:bookmarkEnd w:id="98"/>
      <w:r w:rsidRPr="00730C12">
        <w:t>Services respond to choice, culture, identity, circumstances and goals</w:t>
      </w:r>
    </w:p>
    <w:p w14:paraId="623AE605" w14:textId="647D2475" w:rsidR="00603B69" w:rsidRPr="00D03AE9" w:rsidRDefault="00603B69" w:rsidP="008C7548">
      <w:pPr>
        <w:pStyle w:val="Heading6"/>
        <w:spacing w:before="120"/>
      </w:pPr>
      <w:r>
        <w:t xml:space="preserve">Aboriginal </w:t>
      </w:r>
      <w:r w:rsidR="003B1CE1">
        <w:t>h</w:t>
      </w:r>
      <w:r>
        <w:t>ealth</w:t>
      </w:r>
    </w:p>
    <w:p w14:paraId="08972E67" w14:textId="2FEC840E" w:rsidR="00603B69" w:rsidRDefault="00603B69" w:rsidP="008C7548">
      <w:pPr>
        <w:pStyle w:val="ARbody"/>
        <w:spacing w:after="60" w:line="256" w:lineRule="atLeast"/>
      </w:pPr>
      <w:r>
        <w:t>The department has worked with the Aboriginal community-controlled health sector to support various initiatives</w:t>
      </w:r>
      <w:r w:rsidR="001F063C">
        <w:t>, including</w:t>
      </w:r>
      <w:r>
        <w:t>:</w:t>
      </w:r>
    </w:p>
    <w:p w14:paraId="2ADBDE11" w14:textId="120AD6A0" w:rsidR="00603B69" w:rsidRDefault="001F063C" w:rsidP="008C7548">
      <w:pPr>
        <w:pStyle w:val="ARbullet1"/>
        <w:spacing w:after="20" w:line="256" w:lineRule="atLeast"/>
      </w:pPr>
      <w:r>
        <w:t>f</w:t>
      </w:r>
      <w:r w:rsidR="00C27812">
        <w:t>u</w:t>
      </w:r>
      <w:r w:rsidR="00603B69">
        <w:t>nding of $1.1</w:t>
      </w:r>
      <w:r w:rsidR="003B1CE1">
        <w:t xml:space="preserve"> </w:t>
      </w:r>
      <w:r w:rsidR="00603B69">
        <w:t>m</w:t>
      </w:r>
      <w:r w:rsidR="003B1CE1">
        <w:t>illion</w:t>
      </w:r>
      <w:r w:rsidR="00603B69">
        <w:t xml:space="preserve"> to implement the </w:t>
      </w:r>
      <w:r w:rsidR="00625ACB">
        <w:t>‘</w:t>
      </w:r>
      <w:r w:rsidR="00964732">
        <w:t>s</w:t>
      </w:r>
      <w:r w:rsidR="00603B69">
        <w:t xml:space="preserve">trong </w:t>
      </w:r>
      <w:r w:rsidR="00625ACB">
        <w:t>v</w:t>
      </w:r>
      <w:r w:rsidR="00603B69">
        <w:t>oice</w:t>
      </w:r>
      <w:r w:rsidR="00625ACB">
        <w:t>’</w:t>
      </w:r>
      <w:r w:rsidR="00603B69">
        <w:t xml:space="preserve"> component of </w:t>
      </w:r>
      <w:r w:rsidR="003B1CE1">
        <w:t xml:space="preserve">the Victorian Aboriginal </w:t>
      </w:r>
      <w:r w:rsidR="00625ACB">
        <w:t xml:space="preserve">Community </w:t>
      </w:r>
      <w:r w:rsidR="003B1CE1">
        <w:t xml:space="preserve">Controlled Health Organisation’s </w:t>
      </w:r>
      <w:r w:rsidR="00625ACB">
        <w:t>(</w:t>
      </w:r>
      <w:r w:rsidR="00603B69">
        <w:t>VACCHO</w:t>
      </w:r>
      <w:r w:rsidR="00625ACB">
        <w:t>)</w:t>
      </w:r>
      <w:r w:rsidR="00603B69">
        <w:t xml:space="preserve"> </w:t>
      </w:r>
      <w:r w:rsidR="00625ACB">
        <w:t>s</w:t>
      </w:r>
      <w:r w:rsidR="00603B69">
        <w:t xml:space="preserve">trategic </w:t>
      </w:r>
      <w:r w:rsidR="00625ACB">
        <w:t>p</w:t>
      </w:r>
      <w:r w:rsidR="00603B69">
        <w:t>lan.</w:t>
      </w:r>
      <w:r w:rsidR="003F0283">
        <w:t xml:space="preserve"> </w:t>
      </w:r>
      <w:r w:rsidR="00603B69">
        <w:t>This work promotes the aspirations, innovations and knowledge and experience of Aboriginal communities and strengthens Aboriginal leadership for improving the health and wellbeing of Aboriginal Victorians.</w:t>
      </w:r>
    </w:p>
    <w:p w14:paraId="2D20371A" w14:textId="64CA6A51" w:rsidR="003F0283" w:rsidRDefault="001F063C" w:rsidP="008C7548">
      <w:pPr>
        <w:pStyle w:val="ARbullet1"/>
        <w:spacing w:line="256" w:lineRule="atLeast"/>
      </w:pPr>
      <w:r w:rsidRPr="0073504A">
        <w:t>work</w:t>
      </w:r>
      <w:r w:rsidRPr="00964732">
        <w:t>ing</w:t>
      </w:r>
      <w:r w:rsidRPr="0073504A">
        <w:t xml:space="preserve"> in partnership </w:t>
      </w:r>
      <w:r>
        <w:t xml:space="preserve">with </w:t>
      </w:r>
      <w:r w:rsidR="00603B69">
        <w:t>VACCHO to co</w:t>
      </w:r>
      <w:r w:rsidR="00964732">
        <w:noBreakHyphen/>
      </w:r>
      <w:r w:rsidR="00603B69">
        <w:t>design a model of care for a culturally safe virtual specialist clinic, which could be piloted in</w:t>
      </w:r>
      <w:r w:rsidR="00D52DF9">
        <w:t> </w:t>
      </w:r>
      <w:r w:rsidR="00603B69">
        <w:t>rural areas. The aim is to increase access by</w:t>
      </w:r>
      <w:r w:rsidR="00D52DF9">
        <w:t> </w:t>
      </w:r>
      <w:r w:rsidR="00603B69">
        <w:t>Aboriginal Victorians in rural areas to specialist clinical services using telehealth and</w:t>
      </w:r>
      <w:r w:rsidR="00D52DF9">
        <w:t> </w:t>
      </w:r>
      <w:r w:rsidR="00603B69">
        <w:t>coordination of care between major hospitals and ACCHOs.</w:t>
      </w:r>
    </w:p>
    <w:p w14:paraId="50687421" w14:textId="50960F9C" w:rsidR="00603B69" w:rsidRDefault="007F101C" w:rsidP="00B07026">
      <w:pPr>
        <w:pStyle w:val="ARbullet1"/>
      </w:pPr>
      <w:r>
        <w:t>th</w:t>
      </w:r>
      <w:r w:rsidR="00960BE7">
        <w:t xml:space="preserve">e </w:t>
      </w:r>
      <w:r w:rsidR="001F063C">
        <w:t>c</w:t>
      </w:r>
      <w:r w:rsidR="00603B69">
        <w:t xml:space="preserve">ommunity-led early detection and healthy living initiative to promote health-seeking behaviours for cancer screening and treatment to support the </w:t>
      </w:r>
      <w:r w:rsidR="00603B69" w:rsidRPr="00964732">
        <w:rPr>
          <w:i/>
          <w:iCs/>
        </w:rPr>
        <w:t xml:space="preserve">Victorian Aboriginal </w:t>
      </w:r>
      <w:r w:rsidR="00452C80" w:rsidRPr="00964732">
        <w:rPr>
          <w:i/>
          <w:iCs/>
        </w:rPr>
        <w:t>c</w:t>
      </w:r>
      <w:r w:rsidR="00603B69" w:rsidRPr="00964732">
        <w:rPr>
          <w:i/>
          <w:iCs/>
        </w:rPr>
        <w:t xml:space="preserve">ancer </w:t>
      </w:r>
      <w:r w:rsidR="00452C80" w:rsidRPr="00964732">
        <w:rPr>
          <w:i/>
          <w:iCs/>
        </w:rPr>
        <w:t>j</w:t>
      </w:r>
      <w:r w:rsidR="00603B69" w:rsidRPr="00964732">
        <w:rPr>
          <w:i/>
          <w:iCs/>
        </w:rPr>
        <w:t xml:space="preserve">ourney </w:t>
      </w:r>
      <w:r w:rsidR="00452C80" w:rsidRPr="00964732">
        <w:rPr>
          <w:i/>
          <w:iCs/>
        </w:rPr>
        <w:t>s</w:t>
      </w:r>
      <w:r w:rsidR="00603B69" w:rsidRPr="00964732">
        <w:rPr>
          <w:i/>
          <w:iCs/>
        </w:rPr>
        <w:t>trategy</w:t>
      </w:r>
    </w:p>
    <w:p w14:paraId="523BFE10" w14:textId="27E1BE00" w:rsidR="00603B69" w:rsidRDefault="001F063C" w:rsidP="00B07026">
      <w:pPr>
        <w:pStyle w:val="ARbullet1"/>
      </w:pPr>
      <w:r>
        <w:t>f</w:t>
      </w:r>
      <w:r w:rsidR="00603B69">
        <w:t xml:space="preserve">unding for enhancement of the Victorian Aboriginal Health Service </w:t>
      </w:r>
      <w:r w:rsidR="00265E3E">
        <w:t>S</w:t>
      </w:r>
      <w:r w:rsidR="00603B69">
        <w:t xml:space="preserve">exual </w:t>
      </w:r>
      <w:r w:rsidR="00265E3E">
        <w:t>H</w:t>
      </w:r>
      <w:r w:rsidR="00603B69">
        <w:t xml:space="preserve">ealth and </w:t>
      </w:r>
      <w:r w:rsidR="00265E3E">
        <w:t>B</w:t>
      </w:r>
      <w:r w:rsidR="00603B69">
        <w:t>lood</w:t>
      </w:r>
      <w:r w:rsidR="00452C80">
        <w:t>-</w:t>
      </w:r>
      <w:r w:rsidR="00265E3E">
        <w:t>B</w:t>
      </w:r>
      <w:r w:rsidR="00603B69">
        <w:t xml:space="preserve">orne </w:t>
      </w:r>
      <w:r w:rsidR="00265E3E">
        <w:t>V</w:t>
      </w:r>
      <w:r w:rsidR="00603B69">
        <w:t xml:space="preserve">irus </w:t>
      </w:r>
      <w:r w:rsidR="00265E3E">
        <w:t>P</w:t>
      </w:r>
      <w:r w:rsidR="00603B69">
        <w:t>rogram, with a focus on Aboriginal women’s sexual and reproductive health</w:t>
      </w:r>
    </w:p>
    <w:p w14:paraId="2B31226B" w14:textId="1A42C6D1" w:rsidR="003F0283" w:rsidRDefault="001F063C" w:rsidP="00B07026">
      <w:pPr>
        <w:pStyle w:val="ARbullet1"/>
      </w:pPr>
      <w:r>
        <w:t>e</w:t>
      </w:r>
      <w:r w:rsidR="00603B69">
        <w:t>ngage</w:t>
      </w:r>
      <w:r w:rsidR="00452C80">
        <w:t>ment</w:t>
      </w:r>
      <w:r w:rsidR="00603B69">
        <w:t xml:space="preserve"> with local Aboriginal stakeholders in Bendigo, Geelong, Whittlesea and Wyndham on the design of new </w:t>
      </w:r>
      <w:r w:rsidR="00452C80">
        <w:t>e</w:t>
      </w:r>
      <w:r w:rsidR="00603B69">
        <w:t xml:space="preserve">arly </w:t>
      </w:r>
      <w:r w:rsidR="00452C80">
        <w:t>p</w:t>
      </w:r>
      <w:r w:rsidR="00603B69">
        <w:t xml:space="preserve">arenting </w:t>
      </w:r>
      <w:r w:rsidR="00452C80">
        <w:t>c</w:t>
      </w:r>
      <w:r w:rsidR="00603B69">
        <w:t>entres; and commission</w:t>
      </w:r>
      <w:r w:rsidR="00452C80">
        <w:t>ing</w:t>
      </w:r>
      <w:r w:rsidR="003D5E1A">
        <w:t xml:space="preserve"> </w:t>
      </w:r>
      <w:r w:rsidR="00452C80">
        <w:t xml:space="preserve">of </w:t>
      </w:r>
      <w:r w:rsidR="00603B69">
        <w:t xml:space="preserve">Aboriginal artwork for the new </w:t>
      </w:r>
      <w:r w:rsidR="00452C80">
        <w:t>e</w:t>
      </w:r>
      <w:r w:rsidR="00603B69">
        <w:t xml:space="preserve">arly </w:t>
      </w:r>
      <w:r w:rsidR="00452C80">
        <w:t>p</w:t>
      </w:r>
      <w:r w:rsidR="00603B69">
        <w:t xml:space="preserve">arenting </w:t>
      </w:r>
      <w:r w:rsidR="00452C80">
        <w:t>c</w:t>
      </w:r>
      <w:r w:rsidR="00603B69">
        <w:t>entres that will contribute to a culturally safe, welcoming environment for Aboriginal families</w:t>
      </w:r>
    </w:p>
    <w:p w14:paraId="4AC070B9" w14:textId="0ED1F7FA" w:rsidR="003F0283" w:rsidRDefault="001F063C" w:rsidP="00B07026">
      <w:pPr>
        <w:pStyle w:val="ARbullet1"/>
      </w:pPr>
      <w:r>
        <w:t>e</w:t>
      </w:r>
      <w:r w:rsidR="00603B69">
        <w:t>ngage</w:t>
      </w:r>
      <w:r w:rsidR="00452C80">
        <w:t>ment</w:t>
      </w:r>
      <w:r w:rsidR="00603B69">
        <w:t xml:space="preserve"> with VACCHO and key Victorian Aboriginal health services on how an integrated early years health care approach across antenatal, maternal and child heath, and early parenting </w:t>
      </w:r>
      <w:r w:rsidR="00DC5814">
        <w:t xml:space="preserve">periods </w:t>
      </w:r>
      <w:r w:rsidR="00603B69">
        <w:t>could best support Aboriginal children and their families</w:t>
      </w:r>
    </w:p>
    <w:p w14:paraId="53161144" w14:textId="470DA606" w:rsidR="00603B69" w:rsidRDefault="001F063C" w:rsidP="00B07026">
      <w:pPr>
        <w:pStyle w:val="ARbullet1"/>
      </w:pPr>
      <w:r>
        <w:t>s</w:t>
      </w:r>
      <w:r w:rsidR="00603B69">
        <w:t>ecur</w:t>
      </w:r>
      <w:r w:rsidR="00452C80">
        <w:t>ing</w:t>
      </w:r>
      <w:r>
        <w:t xml:space="preserve"> of</w:t>
      </w:r>
      <w:r w:rsidR="00603B69">
        <w:t xml:space="preserve"> $8.2 million over four years and $2.2</w:t>
      </w:r>
      <w:r w:rsidR="00254EE6">
        <w:t> </w:t>
      </w:r>
      <w:r w:rsidR="00603B69">
        <w:t xml:space="preserve">million ongoing to sustain the Aboriginal Maternal and Child Health (MCH) </w:t>
      </w:r>
      <w:r w:rsidR="00265E3E">
        <w:t>P</w:t>
      </w:r>
      <w:r w:rsidR="00603B69">
        <w:t>rogram through the 202</w:t>
      </w:r>
      <w:r w:rsidR="005E4358">
        <w:t>2–</w:t>
      </w:r>
      <w:r w:rsidR="00603B69">
        <w:t xml:space="preserve">23 </w:t>
      </w:r>
      <w:r>
        <w:t xml:space="preserve">State Budget initiative, </w:t>
      </w:r>
      <w:r w:rsidR="00603B69" w:rsidRPr="00254EE6">
        <w:rPr>
          <w:i/>
          <w:iCs/>
        </w:rPr>
        <w:t xml:space="preserve">Closing the </w:t>
      </w:r>
      <w:r w:rsidRPr="00254EE6">
        <w:rPr>
          <w:i/>
          <w:iCs/>
        </w:rPr>
        <w:t>g</w:t>
      </w:r>
      <w:r w:rsidR="00603B69" w:rsidRPr="00254EE6">
        <w:rPr>
          <w:i/>
          <w:iCs/>
        </w:rPr>
        <w:t xml:space="preserve">ap: </w:t>
      </w:r>
      <w:r w:rsidRPr="00254EE6">
        <w:rPr>
          <w:i/>
          <w:iCs/>
        </w:rPr>
        <w:t>u</w:t>
      </w:r>
      <w:r w:rsidR="00603B69" w:rsidRPr="00254EE6">
        <w:rPr>
          <w:i/>
          <w:iCs/>
        </w:rPr>
        <w:t>niversal early years healthcare</w:t>
      </w:r>
      <w:r w:rsidR="00603B69">
        <w:t xml:space="preserve">. The Aboriginal MCH </w:t>
      </w:r>
      <w:r w:rsidR="003D5DCA">
        <w:t>P</w:t>
      </w:r>
      <w:r w:rsidR="00603B69">
        <w:t>rogram is</w:t>
      </w:r>
      <w:r w:rsidR="00D52DF9">
        <w:t> </w:t>
      </w:r>
      <w:r w:rsidR="00603B69">
        <w:t>delivered by Aboriginal health services across</w:t>
      </w:r>
      <w:r w:rsidR="00D52DF9">
        <w:t> </w:t>
      </w:r>
      <w:r w:rsidR="00603B69">
        <w:t xml:space="preserve">the state and improves access to and participation in the </w:t>
      </w:r>
      <w:r>
        <w:t>u</w:t>
      </w:r>
      <w:r w:rsidR="00603B69">
        <w:t>niversal MCH service for</w:t>
      </w:r>
      <w:r w:rsidR="00D52DF9">
        <w:t> </w:t>
      </w:r>
      <w:r w:rsidR="00603B69">
        <w:t>Aboriginal families and children by offering a</w:t>
      </w:r>
      <w:r w:rsidR="00D52DF9">
        <w:t> </w:t>
      </w:r>
      <w:r w:rsidR="00603B69">
        <w:t>culturally safe, flexible approach.</w:t>
      </w:r>
    </w:p>
    <w:p w14:paraId="10A13EE3" w14:textId="2E2A352A" w:rsidR="00603B69" w:rsidRPr="00D03AE9" w:rsidRDefault="009214BC" w:rsidP="00B07026">
      <w:pPr>
        <w:pStyle w:val="ARbullet1"/>
      </w:pPr>
      <w:r>
        <w:t>a</w:t>
      </w:r>
      <w:r w:rsidR="00603B69">
        <w:t xml:space="preserve"> storytelling project celebrating 50 years of Aboriginal </w:t>
      </w:r>
      <w:r w:rsidR="001F063C">
        <w:t>h</w:t>
      </w:r>
      <w:r w:rsidR="00603B69">
        <w:t xml:space="preserve">ospital </w:t>
      </w:r>
      <w:r w:rsidR="001F063C">
        <w:t>l</w:t>
      </w:r>
      <w:r w:rsidR="00603B69">
        <w:t xml:space="preserve">iaison </w:t>
      </w:r>
      <w:r w:rsidR="001F063C">
        <w:t>o</w:t>
      </w:r>
      <w:r w:rsidR="00603B69">
        <w:t>fficers across Victoria.</w:t>
      </w:r>
    </w:p>
    <w:p w14:paraId="14F6547F" w14:textId="76C57A59" w:rsidR="00603B69" w:rsidRDefault="00603B69" w:rsidP="00D52DF9">
      <w:pPr>
        <w:pStyle w:val="Heading6"/>
        <w:spacing w:before="180" w:after="60"/>
      </w:pPr>
      <w:bookmarkStart w:id="99" w:name="_Support_for_asylum"/>
      <w:bookmarkEnd w:id="99"/>
      <w:r w:rsidRPr="00AB7018">
        <w:t xml:space="preserve">Support for </w:t>
      </w:r>
      <w:r w:rsidR="009214BC">
        <w:t>a</w:t>
      </w:r>
      <w:r w:rsidRPr="00AB7018">
        <w:t xml:space="preserve">sylum </w:t>
      </w:r>
      <w:r w:rsidR="009214BC">
        <w:t>s</w:t>
      </w:r>
      <w:r w:rsidRPr="00AB7018">
        <w:t>eekers</w:t>
      </w:r>
    </w:p>
    <w:p w14:paraId="3709BADD" w14:textId="7E9309D6" w:rsidR="00D345B9" w:rsidRDefault="00D345B9" w:rsidP="00603B69">
      <w:pPr>
        <w:pStyle w:val="ARbody"/>
      </w:pPr>
      <w:r w:rsidRPr="00D345B9">
        <w:t>In 2021</w:t>
      </w:r>
      <w:r w:rsidR="005E6092">
        <w:t>–</w:t>
      </w:r>
      <w:r w:rsidRPr="00D345B9">
        <w:t xml:space="preserve">22 the state budget allocated $3.9 million to the ‘Support for asylum seekers’ initiative, so that people who are ineligible for Commonwealth safety net supports can take better care of their health and mental health. In </w:t>
      </w:r>
      <w:r w:rsidR="00BF7E1E">
        <w:t>2021–22</w:t>
      </w:r>
      <w:r w:rsidRPr="00D345B9">
        <w:t>, the initiative provided primary healthcare and mental health support to people without Medicare, and case coordination and financial assistance to people ineligible for income support so that they could pay for rent, food</w:t>
      </w:r>
      <w:r w:rsidR="00D52DF9">
        <w:t> </w:t>
      </w:r>
      <w:r w:rsidRPr="00D345B9">
        <w:t>and medication. Close to 5000 people were assisted across all components of the initiative.</w:t>
      </w:r>
    </w:p>
    <w:p w14:paraId="2B7F9D30" w14:textId="176079C1" w:rsidR="00603B69" w:rsidRDefault="00603B69" w:rsidP="00603B69">
      <w:pPr>
        <w:pStyle w:val="Heading6"/>
      </w:pPr>
      <w:bookmarkStart w:id="100" w:name="_Supporting_the_mental"/>
      <w:bookmarkEnd w:id="100"/>
      <w:r w:rsidRPr="00551D36">
        <w:t xml:space="preserve">Supporting </w:t>
      </w:r>
      <w:r w:rsidR="00C70497">
        <w:t xml:space="preserve">the </w:t>
      </w:r>
      <w:r w:rsidRPr="00551D36">
        <w:t>mental health of trans and</w:t>
      </w:r>
      <w:r w:rsidR="00C554E9">
        <w:t> </w:t>
      </w:r>
      <w:r w:rsidRPr="00551D36">
        <w:t>gender diverse young people</w:t>
      </w:r>
    </w:p>
    <w:p w14:paraId="243C88E7" w14:textId="2822E034" w:rsidR="00C37178" w:rsidRDefault="00706251" w:rsidP="00603B69">
      <w:pPr>
        <w:pStyle w:val="ARbody"/>
      </w:pPr>
      <w:r w:rsidRPr="00706251">
        <w:t xml:space="preserve">In </w:t>
      </w:r>
      <w:r w:rsidR="00BF7E1E">
        <w:t>2021–22</w:t>
      </w:r>
      <w:r w:rsidRPr="00706251">
        <w:t xml:space="preserve"> the ‘Supporting the mental health of trans and gender diverse young people’ </w:t>
      </w:r>
      <w:r w:rsidR="00BF560D">
        <w:t>B</w:t>
      </w:r>
      <w:r w:rsidRPr="00706251">
        <w:t>udget initiative provided more than $5 million to boost the</w:t>
      </w:r>
      <w:r w:rsidR="00D52DF9">
        <w:t> </w:t>
      </w:r>
      <w:r w:rsidRPr="00706251">
        <w:t>capacity of Royal Children’s Hospital, Monash</w:t>
      </w:r>
      <w:r w:rsidR="00C554E9">
        <w:t> </w:t>
      </w:r>
      <w:r w:rsidRPr="00706251">
        <w:t>Health, Orygen, Transgender Victoria and</w:t>
      </w:r>
      <w:r w:rsidR="00C554E9">
        <w:t> </w:t>
      </w:r>
      <w:r w:rsidRPr="00706251">
        <w:t>Transcend to provide gender affirming primary care, mental health care and peer and family support. The initiative also established a project that aims to improve the clinical pathways between services that support trans and gender diverse young people.</w:t>
      </w:r>
    </w:p>
    <w:p w14:paraId="6A061184" w14:textId="670D9F0F" w:rsidR="00603B69" w:rsidRPr="00C44F19" w:rsidRDefault="00603B69" w:rsidP="00603B69">
      <w:pPr>
        <w:pStyle w:val="Heading5"/>
      </w:pPr>
      <w:r w:rsidRPr="00C44F19">
        <w:t>Services are efficient and sustainable</w:t>
      </w:r>
    </w:p>
    <w:p w14:paraId="05DAF3F6" w14:textId="44F4DE46" w:rsidR="00603B69" w:rsidRPr="00C44F19" w:rsidRDefault="00603B69" w:rsidP="00C44F19">
      <w:pPr>
        <w:pStyle w:val="Heading6"/>
      </w:pPr>
      <w:r w:rsidRPr="00C44F19">
        <w:t xml:space="preserve">Transition to the </w:t>
      </w:r>
      <w:r w:rsidR="009A1CD3">
        <w:t>n</w:t>
      </w:r>
      <w:r w:rsidRPr="00C44F19">
        <w:t>ational</w:t>
      </w:r>
      <w:r w:rsidR="00C27812">
        <w:t xml:space="preserve"> w</w:t>
      </w:r>
      <w:r w:rsidRPr="00C44F19">
        <w:t xml:space="preserve">eighted </w:t>
      </w:r>
      <w:r w:rsidR="009A1CD3">
        <w:t>a</w:t>
      </w:r>
      <w:r w:rsidRPr="00C44F19">
        <w:t xml:space="preserve">ctivity </w:t>
      </w:r>
      <w:r w:rsidR="009A1CD3">
        <w:t>u</w:t>
      </w:r>
      <w:r w:rsidRPr="00C44F19">
        <w:t>nit</w:t>
      </w:r>
    </w:p>
    <w:p w14:paraId="1CBBC607" w14:textId="4FAFE8DD" w:rsidR="003F0283" w:rsidRPr="00D747E6" w:rsidRDefault="00603B69" w:rsidP="001A559C">
      <w:pPr>
        <w:pStyle w:val="ARbody"/>
        <w:rPr>
          <w:szCs w:val="20"/>
        </w:rPr>
      </w:pPr>
      <w:r w:rsidRPr="00D747E6">
        <w:rPr>
          <w:szCs w:val="20"/>
        </w:rPr>
        <w:t xml:space="preserve">The department has adopted the </w:t>
      </w:r>
      <w:r w:rsidR="009A1CD3" w:rsidRPr="00D747E6">
        <w:rPr>
          <w:szCs w:val="20"/>
        </w:rPr>
        <w:t>n</w:t>
      </w:r>
      <w:r w:rsidRPr="00D747E6">
        <w:rPr>
          <w:szCs w:val="20"/>
        </w:rPr>
        <w:t xml:space="preserve">ational </w:t>
      </w:r>
      <w:r w:rsidR="009A1CD3" w:rsidRPr="00D747E6">
        <w:rPr>
          <w:szCs w:val="20"/>
        </w:rPr>
        <w:t>w</w:t>
      </w:r>
      <w:r w:rsidRPr="00D747E6">
        <w:rPr>
          <w:szCs w:val="20"/>
        </w:rPr>
        <w:t xml:space="preserve">eighted </w:t>
      </w:r>
      <w:r w:rsidR="009A1CD3" w:rsidRPr="00D747E6">
        <w:rPr>
          <w:szCs w:val="20"/>
        </w:rPr>
        <w:t>a</w:t>
      </w:r>
      <w:r w:rsidRPr="00D747E6">
        <w:rPr>
          <w:szCs w:val="20"/>
        </w:rPr>
        <w:t xml:space="preserve">ctivity </w:t>
      </w:r>
      <w:r w:rsidR="009A1CD3" w:rsidRPr="00D747E6">
        <w:rPr>
          <w:szCs w:val="20"/>
        </w:rPr>
        <w:t>u</w:t>
      </w:r>
      <w:r w:rsidRPr="00D747E6">
        <w:rPr>
          <w:szCs w:val="20"/>
        </w:rPr>
        <w:t xml:space="preserve">nit (NWAU) as part of </w:t>
      </w:r>
      <w:r w:rsidR="00813AE7">
        <w:rPr>
          <w:szCs w:val="20"/>
        </w:rPr>
        <w:t xml:space="preserve">its </w:t>
      </w:r>
      <w:r w:rsidRPr="00D747E6">
        <w:rPr>
          <w:szCs w:val="20"/>
        </w:rPr>
        <w:t>funding model reform program to replace local funding models</w:t>
      </w:r>
      <w:r w:rsidR="007169D9">
        <w:rPr>
          <w:rStyle w:val="FootnoteReference"/>
        </w:rPr>
        <w:t>(</w:t>
      </w:r>
      <w:r w:rsidR="004B63F5" w:rsidRPr="00A774CA">
        <w:rPr>
          <w:szCs w:val="20"/>
          <w:vertAlign w:val="superscript"/>
        </w:rPr>
        <w:footnoteReference w:id="12"/>
      </w:r>
      <w:r w:rsidR="007169D9">
        <w:rPr>
          <w:rStyle w:val="FootnoteReference"/>
        </w:rPr>
        <w:t>)</w:t>
      </w:r>
      <w:r w:rsidRPr="007169D9">
        <w:t xml:space="preserve"> </w:t>
      </w:r>
      <w:r w:rsidRPr="00D747E6">
        <w:rPr>
          <w:szCs w:val="20"/>
        </w:rPr>
        <w:t xml:space="preserve">for acute admitted care, subacute care, emergency care and non-admitted care. A major benefit of this </w:t>
      </w:r>
      <w:r w:rsidR="00461BBA" w:rsidRPr="00D747E6">
        <w:rPr>
          <w:szCs w:val="20"/>
        </w:rPr>
        <w:t xml:space="preserve">change </w:t>
      </w:r>
      <w:r w:rsidRPr="00D747E6">
        <w:rPr>
          <w:szCs w:val="20"/>
        </w:rPr>
        <w:t>is</w:t>
      </w:r>
      <w:r w:rsidR="00461BBA" w:rsidRPr="00D747E6">
        <w:rPr>
          <w:szCs w:val="20"/>
        </w:rPr>
        <w:t xml:space="preserve"> that it</w:t>
      </w:r>
      <w:r w:rsidRPr="00D747E6">
        <w:rPr>
          <w:szCs w:val="20"/>
        </w:rPr>
        <w:t xml:space="preserve"> support</w:t>
      </w:r>
      <w:r w:rsidR="00461BBA" w:rsidRPr="00D747E6">
        <w:rPr>
          <w:szCs w:val="20"/>
        </w:rPr>
        <w:t>s</w:t>
      </w:r>
      <w:r w:rsidRPr="00D747E6">
        <w:rPr>
          <w:szCs w:val="20"/>
        </w:rPr>
        <w:t xml:space="preserve"> flexibility in </w:t>
      </w:r>
      <w:r w:rsidR="00461BBA" w:rsidRPr="00D747E6">
        <w:rPr>
          <w:szCs w:val="20"/>
        </w:rPr>
        <w:t xml:space="preserve">the </w:t>
      </w:r>
      <w:r w:rsidRPr="00D747E6">
        <w:rPr>
          <w:szCs w:val="20"/>
        </w:rPr>
        <w:t>delivery of services, where all activity is counted and funded as a common unit.</w:t>
      </w:r>
    </w:p>
    <w:p w14:paraId="622EF307" w14:textId="5C2418BB" w:rsidR="00603B69" w:rsidRPr="006F617E" w:rsidRDefault="00603B69" w:rsidP="001A559C">
      <w:pPr>
        <w:pStyle w:val="ARbody"/>
        <w:rPr>
          <w:szCs w:val="20"/>
        </w:rPr>
      </w:pPr>
      <w:r w:rsidRPr="00D747E6">
        <w:rPr>
          <w:szCs w:val="20"/>
        </w:rPr>
        <w:t>Other benefits include alignment with national reform initiatives, including progressive alignment with national safety and quality initiatives, as foreshadowed in the National Health Reform Agreement</w:t>
      </w:r>
      <w:r w:rsidR="00461BBA" w:rsidRPr="00D747E6">
        <w:rPr>
          <w:szCs w:val="20"/>
        </w:rPr>
        <w:t>,</w:t>
      </w:r>
      <w:r w:rsidRPr="00D747E6">
        <w:rPr>
          <w:szCs w:val="20"/>
        </w:rPr>
        <w:t xml:space="preserve"> and comparability of funding across service streams</w:t>
      </w:r>
      <w:r w:rsidR="00461BBA" w:rsidRPr="00D747E6">
        <w:rPr>
          <w:szCs w:val="20"/>
        </w:rPr>
        <w:t>,</w:t>
      </w:r>
      <w:r w:rsidRPr="00D747E6">
        <w:rPr>
          <w:szCs w:val="20"/>
        </w:rPr>
        <w:t xml:space="preserve"> signalling equity of funding regardless of service setting, and enhance</w:t>
      </w:r>
      <w:r w:rsidR="00461BBA" w:rsidRPr="00D747E6">
        <w:rPr>
          <w:szCs w:val="20"/>
        </w:rPr>
        <w:t>d</w:t>
      </w:r>
      <w:r w:rsidRPr="00D747E6">
        <w:rPr>
          <w:szCs w:val="20"/>
        </w:rPr>
        <w:t xml:space="preserve"> decision making on substitution of services where </w:t>
      </w:r>
      <w:r w:rsidRPr="006F617E">
        <w:rPr>
          <w:szCs w:val="20"/>
        </w:rPr>
        <w:t>clinically warranted.</w:t>
      </w:r>
    </w:p>
    <w:p w14:paraId="4D1C12EF" w14:textId="2ECF901E" w:rsidR="003D5E1A" w:rsidRPr="006F617E" w:rsidRDefault="00603B69" w:rsidP="00603B69">
      <w:pPr>
        <w:pStyle w:val="Heading5"/>
      </w:pPr>
      <w:r w:rsidRPr="006F617E">
        <w:t xml:space="preserve">Services are safe, high quality </w:t>
      </w:r>
      <w:r w:rsidR="00D52DF9" w:rsidRPr="006F617E">
        <w:br/>
      </w:r>
      <w:r w:rsidRPr="006F617E">
        <w:t>and provide a positive experience</w:t>
      </w:r>
    </w:p>
    <w:p w14:paraId="334B5121" w14:textId="77777777" w:rsidR="00542235" w:rsidRPr="006F617E" w:rsidRDefault="00542235" w:rsidP="00542235">
      <w:pPr>
        <w:pStyle w:val="Heading6"/>
        <w:spacing w:before="180" w:after="60"/>
      </w:pPr>
      <w:r w:rsidRPr="006F617E">
        <w:t>First aid regulation</w:t>
      </w:r>
    </w:p>
    <w:p w14:paraId="6B7429B1" w14:textId="5F3C18DC" w:rsidR="00542235" w:rsidRPr="006F617E" w:rsidRDefault="00542235" w:rsidP="00EF3183">
      <w:pPr>
        <w:pStyle w:val="ARbody"/>
      </w:pPr>
      <w:r w:rsidRPr="006F617E">
        <w:t xml:space="preserve">In late 2021, Victoria introduced </w:t>
      </w:r>
      <w:r w:rsidR="00BF560D" w:rsidRPr="006F617E">
        <w:t xml:space="preserve">the </w:t>
      </w:r>
      <w:r w:rsidRPr="006F617E">
        <w:t xml:space="preserve">Non-Emergency Patient Transport and First Aid Services (First Aid Services) Regulations 2021, which </w:t>
      </w:r>
      <w:r w:rsidR="00C46D64" w:rsidRPr="006F617E">
        <w:t xml:space="preserve">are </w:t>
      </w:r>
      <w:r w:rsidRPr="006F617E">
        <w:t xml:space="preserve">the first of </w:t>
      </w:r>
      <w:r w:rsidR="00C46D64" w:rsidRPr="006F617E">
        <w:t xml:space="preserve">their </w:t>
      </w:r>
      <w:r w:rsidRPr="006F617E">
        <w:t>kind in Australia. The new</w:t>
      </w:r>
      <w:r w:rsidR="002B7022">
        <w:t> </w:t>
      </w:r>
      <w:r w:rsidRPr="006F617E">
        <w:t>regulations introduce a licen</w:t>
      </w:r>
      <w:r w:rsidR="00BF560D" w:rsidRPr="006F617E">
        <w:t>s</w:t>
      </w:r>
      <w:r w:rsidRPr="006F617E">
        <w:t xml:space="preserve">ing regime for commercial first aid providers and </w:t>
      </w:r>
      <w:r w:rsidR="00C46D64" w:rsidRPr="006F617E">
        <w:t xml:space="preserve">are </w:t>
      </w:r>
      <w:r w:rsidRPr="006F617E">
        <w:t xml:space="preserve">aimed at ensuring a high standard of first aid care at public events and mass gatherings. </w:t>
      </w:r>
      <w:r w:rsidR="00E031EF" w:rsidRPr="006F617E">
        <w:t>In 2021</w:t>
      </w:r>
      <w:r w:rsidR="00005B94">
        <w:t>–</w:t>
      </w:r>
      <w:r w:rsidR="00E031EF" w:rsidRPr="006F617E">
        <w:t>22 the department issued forty licences and began inspecting first aid providers at public events.</w:t>
      </w:r>
    </w:p>
    <w:p w14:paraId="627048CF" w14:textId="77777777" w:rsidR="00542235" w:rsidRPr="006F617E" w:rsidRDefault="00542235" w:rsidP="00542235">
      <w:pPr>
        <w:pStyle w:val="Heading6"/>
        <w:spacing w:before="180" w:after="60"/>
      </w:pPr>
      <w:r w:rsidRPr="006F617E">
        <w:t>Health services regulation</w:t>
      </w:r>
    </w:p>
    <w:p w14:paraId="08A6216B" w14:textId="245B5C77" w:rsidR="00542235" w:rsidRPr="006F617E" w:rsidRDefault="00542235" w:rsidP="00542235">
      <w:pPr>
        <w:pStyle w:val="ARbody"/>
        <w:rPr>
          <w:szCs w:val="20"/>
        </w:rPr>
      </w:pPr>
      <w:r w:rsidRPr="006F617E">
        <w:rPr>
          <w:szCs w:val="20"/>
        </w:rPr>
        <w:t>The department regulates 79 private hospitals and 127 day procedure centres</w:t>
      </w:r>
      <w:r w:rsidR="005047FC" w:rsidRPr="006F617E">
        <w:rPr>
          <w:szCs w:val="20"/>
        </w:rPr>
        <w:t>,</w:t>
      </w:r>
      <w:r w:rsidRPr="006F617E">
        <w:rPr>
          <w:szCs w:val="20"/>
        </w:rPr>
        <w:t xml:space="preserve"> including liposuction facilities and mobile anaesthetists under the Health</w:t>
      </w:r>
      <w:r w:rsidR="00EF3183">
        <w:rPr>
          <w:szCs w:val="20"/>
        </w:rPr>
        <w:t> </w:t>
      </w:r>
      <w:r w:rsidRPr="006F617E">
        <w:rPr>
          <w:szCs w:val="20"/>
        </w:rPr>
        <w:t>Services (Health Service Establishments) Regulations 2013. Departmental staff with specialised clinical backgrounds inspect private facilities to ensure compliance with</w:t>
      </w:r>
      <w:r w:rsidR="005047FC" w:rsidRPr="006F617E">
        <w:rPr>
          <w:szCs w:val="20"/>
        </w:rPr>
        <w:t xml:space="preserve"> the</w:t>
      </w:r>
      <w:r w:rsidRPr="006F617E">
        <w:rPr>
          <w:szCs w:val="20"/>
        </w:rPr>
        <w:t xml:space="preserve"> </w:t>
      </w:r>
      <w:r w:rsidR="00706D7B" w:rsidRPr="006F617E">
        <w:rPr>
          <w:szCs w:val="20"/>
        </w:rPr>
        <w:t>r</w:t>
      </w:r>
      <w:r w:rsidRPr="006F617E">
        <w:rPr>
          <w:szCs w:val="20"/>
        </w:rPr>
        <w:t>egulations. During 2021</w:t>
      </w:r>
      <w:r w:rsidR="00005B94">
        <w:rPr>
          <w:szCs w:val="20"/>
        </w:rPr>
        <w:t>–</w:t>
      </w:r>
      <w:r w:rsidRPr="006F617E">
        <w:rPr>
          <w:szCs w:val="20"/>
        </w:rPr>
        <w:t xml:space="preserve">22, 100 inspections </w:t>
      </w:r>
      <w:r w:rsidR="002D6A8A" w:rsidRPr="006F617E">
        <w:rPr>
          <w:szCs w:val="20"/>
        </w:rPr>
        <w:t xml:space="preserve">were </w:t>
      </w:r>
      <w:r w:rsidRPr="006F617E">
        <w:rPr>
          <w:szCs w:val="20"/>
        </w:rPr>
        <w:t>conducted.</w:t>
      </w:r>
    </w:p>
    <w:p w14:paraId="685CAEC8" w14:textId="77777777" w:rsidR="00542235" w:rsidRPr="00EA3B98" w:rsidRDefault="00542235" w:rsidP="00542235">
      <w:pPr>
        <w:pStyle w:val="Heading6"/>
      </w:pPr>
      <w:r w:rsidRPr="006F617E">
        <w:t>Care Opinion</w:t>
      </w:r>
    </w:p>
    <w:p w14:paraId="0FAC1674" w14:textId="3C0D53E2" w:rsidR="00603B69" w:rsidRPr="00F20F89" w:rsidRDefault="00603B69" w:rsidP="001A559C">
      <w:pPr>
        <w:pStyle w:val="ARbody"/>
      </w:pPr>
      <w:r w:rsidRPr="00F20F89">
        <w:rPr>
          <w:szCs w:val="20"/>
        </w:rPr>
        <w:t>The department has invested $1.</w:t>
      </w:r>
      <w:r w:rsidR="00A774CA">
        <w:rPr>
          <w:szCs w:val="20"/>
        </w:rPr>
        <w:t>1</w:t>
      </w:r>
      <w:r>
        <w:rPr>
          <w:szCs w:val="20"/>
        </w:rPr>
        <w:t xml:space="preserve"> </w:t>
      </w:r>
      <w:r w:rsidRPr="00F20F89">
        <w:rPr>
          <w:szCs w:val="20"/>
        </w:rPr>
        <w:t>m</w:t>
      </w:r>
      <w:r>
        <w:rPr>
          <w:szCs w:val="20"/>
        </w:rPr>
        <w:t>illion</w:t>
      </w:r>
      <w:r w:rsidRPr="00F20F89">
        <w:rPr>
          <w:szCs w:val="20"/>
        </w:rPr>
        <w:t xml:space="preserve"> to expand the </w:t>
      </w:r>
      <w:r w:rsidRPr="009C1FE9">
        <w:rPr>
          <w:szCs w:val="20"/>
        </w:rPr>
        <w:t xml:space="preserve">Care Opinion </w:t>
      </w:r>
      <w:r w:rsidR="00720880">
        <w:rPr>
          <w:szCs w:val="20"/>
        </w:rPr>
        <w:t>p</w:t>
      </w:r>
      <w:r w:rsidRPr="009C1FE9">
        <w:rPr>
          <w:szCs w:val="20"/>
        </w:rPr>
        <w:t>ilot</w:t>
      </w:r>
      <w:r w:rsidRPr="00F20F89">
        <w:rPr>
          <w:szCs w:val="20"/>
        </w:rPr>
        <w:t>, which provides a platform for Victorian health consumers to report their experience</w:t>
      </w:r>
      <w:r w:rsidR="00D2330A">
        <w:rPr>
          <w:szCs w:val="20"/>
        </w:rPr>
        <w:t>,</w:t>
      </w:r>
      <w:r w:rsidRPr="00F20F89">
        <w:rPr>
          <w:szCs w:val="20"/>
        </w:rPr>
        <w:t xml:space="preserve"> and encourages care providers to respond to </w:t>
      </w:r>
      <w:r w:rsidR="004A207E">
        <w:rPr>
          <w:szCs w:val="20"/>
        </w:rPr>
        <w:t>the</w:t>
      </w:r>
      <w:r w:rsidRPr="00F20F89">
        <w:rPr>
          <w:szCs w:val="20"/>
        </w:rPr>
        <w:t xml:space="preserve"> feedback and </w:t>
      </w:r>
      <w:r w:rsidR="004A207E">
        <w:rPr>
          <w:szCs w:val="20"/>
        </w:rPr>
        <w:t>make</w:t>
      </w:r>
      <w:r w:rsidRPr="00F20F89">
        <w:rPr>
          <w:szCs w:val="20"/>
        </w:rPr>
        <w:t xml:space="preserve"> changes </w:t>
      </w:r>
      <w:r w:rsidR="004A207E">
        <w:rPr>
          <w:szCs w:val="20"/>
        </w:rPr>
        <w:t>where needed</w:t>
      </w:r>
      <w:r w:rsidRPr="00F20F89">
        <w:rPr>
          <w:szCs w:val="20"/>
        </w:rPr>
        <w:t>.</w:t>
      </w:r>
      <w:r w:rsidR="004A207E">
        <w:rPr>
          <w:szCs w:val="20"/>
        </w:rPr>
        <w:t xml:space="preserve"> Wider use of Care Opinion can help make our hospitals safer and </w:t>
      </w:r>
      <w:r w:rsidR="000D7B9E">
        <w:rPr>
          <w:szCs w:val="20"/>
        </w:rPr>
        <w:t>more consumer</w:t>
      </w:r>
      <w:r w:rsidR="005047FC">
        <w:rPr>
          <w:szCs w:val="20"/>
        </w:rPr>
        <w:t xml:space="preserve"> </w:t>
      </w:r>
      <w:r w:rsidR="000D7B9E">
        <w:rPr>
          <w:szCs w:val="20"/>
        </w:rPr>
        <w:t>centred.</w:t>
      </w:r>
    </w:p>
    <w:p w14:paraId="696C7805" w14:textId="77777777" w:rsidR="003D5E1A" w:rsidRDefault="0048075C" w:rsidP="002B7022">
      <w:pPr>
        <w:pStyle w:val="Heading4"/>
      </w:pPr>
      <w:bookmarkStart w:id="101" w:name="_A_supported_health"/>
      <w:bookmarkStart w:id="102" w:name="_Ref104215453"/>
      <w:bookmarkEnd w:id="101"/>
      <w:r>
        <w:t xml:space="preserve">Key priority: </w:t>
      </w:r>
      <w:r w:rsidR="00603B69">
        <w:t>A supported health workforce delivering the best health outcomes for the community</w:t>
      </w:r>
      <w:bookmarkEnd w:id="102"/>
    </w:p>
    <w:p w14:paraId="68B255D0" w14:textId="490F423A" w:rsidR="00603B69" w:rsidRDefault="00603B69" w:rsidP="00D52DF9">
      <w:pPr>
        <w:pStyle w:val="Heading5"/>
        <w:spacing w:before="120"/>
      </w:pPr>
      <w:r>
        <w:t>Support healthcare worker wellbeing</w:t>
      </w:r>
    </w:p>
    <w:p w14:paraId="686FF637" w14:textId="73643425" w:rsidR="003F0283" w:rsidRDefault="00603B69" w:rsidP="006501BE">
      <w:pPr>
        <w:pStyle w:val="ARbody"/>
      </w:pPr>
      <w:r w:rsidRPr="082D3549">
        <w:t xml:space="preserve">The safety and wellbeing of the health workforce have been a key priority for the Victorian Government as </w:t>
      </w:r>
      <w:r w:rsidR="000B4A45">
        <w:t>these workers</w:t>
      </w:r>
      <w:r w:rsidR="000B4A45" w:rsidRPr="082D3549">
        <w:t xml:space="preserve"> </w:t>
      </w:r>
      <w:r w:rsidRPr="082D3549">
        <w:t>have continued to</w:t>
      </w:r>
      <w:r w:rsidR="00C554E9">
        <w:t> </w:t>
      </w:r>
      <w:r w:rsidRPr="082D3549">
        <w:t>support patients during peak demand.</w:t>
      </w:r>
    </w:p>
    <w:p w14:paraId="3B489E53" w14:textId="77777777" w:rsidR="00125AAE" w:rsidRDefault="00603B69" w:rsidP="00392273">
      <w:pPr>
        <w:pStyle w:val="Heading6"/>
      </w:pPr>
      <w:r w:rsidRPr="082D3549">
        <w:t>Be Well. Be Safe</w:t>
      </w:r>
    </w:p>
    <w:p w14:paraId="461EE6F4" w14:textId="53C5D5F7" w:rsidR="003F0283" w:rsidRDefault="00125AAE" w:rsidP="006501BE">
      <w:pPr>
        <w:pStyle w:val="ARbody"/>
      </w:pPr>
      <w:r>
        <w:t>This is a</w:t>
      </w:r>
      <w:r w:rsidR="00603B69" w:rsidRPr="082D3549">
        <w:t xml:space="preserve"> </w:t>
      </w:r>
      <w:r w:rsidR="00DD382A">
        <w:t>h</w:t>
      </w:r>
      <w:r w:rsidR="00603B69" w:rsidRPr="082D3549">
        <w:t xml:space="preserve">ealthcare </w:t>
      </w:r>
      <w:r w:rsidR="00DD382A">
        <w:t>w</w:t>
      </w:r>
      <w:r w:rsidR="00603B69" w:rsidRPr="082D3549">
        <w:t xml:space="preserve">orker </w:t>
      </w:r>
      <w:r w:rsidR="00DD382A">
        <w:t>w</w:t>
      </w:r>
      <w:r w:rsidR="00603B69" w:rsidRPr="082D3549">
        <w:t>ellbeing program</w:t>
      </w:r>
      <w:r w:rsidR="000B4A45">
        <w:t>,</w:t>
      </w:r>
      <w:r w:rsidR="00603B69" w:rsidRPr="082D3549">
        <w:t xml:space="preserve"> announced by the Victorian Government in October 2021</w:t>
      </w:r>
      <w:r w:rsidR="00C21A44">
        <w:t>. The department is</w:t>
      </w:r>
      <w:r>
        <w:t xml:space="preserve"> provid</w:t>
      </w:r>
      <w:r w:rsidR="00C21A44">
        <w:t>ing</w:t>
      </w:r>
      <w:r w:rsidR="00603B69" w:rsidRPr="082D3549">
        <w:t xml:space="preserve"> $32 million to Victorian </w:t>
      </w:r>
      <w:r w:rsidR="00DD382A">
        <w:t>p</w:t>
      </w:r>
      <w:r w:rsidR="00603B69" w:rsidRPr="082D3549">
        <w:t xml:space="preserve">ublic </w:t>
      </w:r>
      <w:r w:rsidR="00DD382A">
        <w:t>h</w:t>
      </w:r>
      <w:r w:rsidR="00603B69" w:rsidRPr="082D3549">
        <w:t xml:space="preserve">ealth </w:t>
      </w:r>
      <w:r w:rsidR="00DD382A">
        <w:t>s</w:t>
      </w:r>
      <w:r w:rsidR="00603B69" w:rsidRPr="082D3549">
        <w:t>ervices, Forensicare and Ambulance Victoria to consult with staff and provide place-based wellbeing and extended supports for staff and their families. The program has supported a range of onsite psychological services, additional rest and recovery spaces, meal deliveries, strengthened safety measures for staff and coaching for new leaders.</w:t>
      </w:r>
    </w:p>
    <w:p w14:paraId="15FDD8ED" w14:textId="6EE9C67A" w:rsidR="00F0068B" w:rsidRDefault="00603B69" w:rsidP="00F0068B">
      <w:pPr>
        <w:pStyle w:val="Heading6"/>
      </w:pPr>
      <w:r w:rsidRPr="082D3549">
        <w:t xml:space="preserve">Healthcare </w:t>
      </w:r>
      <w:r w:rsidR="00DD382A">
        <w:t>w</w:t>
      </w:r>
      <w:r w:rsidRPr="082D3549">
        <w:t xml:space="preserve">orker </w:t>
      </w:r>
      <w:r w:rsidR="00DD382A">
        <w:t>w</w:t>
      </w:r>
      <w:r w:rsidRPr="082D3549">
        <w:t xml:space="preserve">ellbeing </w:t>
      </w:r>
      <w:r w:rsidR="00DD382A">
        <w:t>c</w:t>
      </w:r>
      <w:r w:rsidRPr="082D3549">
        <w:t>entre</w:t>
      </w:r>
    </w:p>
    <w:p w14:paraId="47E84EFD" w14:textId="70C89819" w:rsidR="003F0283" w:rsidRDefault="00F0068B" w:rsidP="006501BE">
      <w:pPr>
        <w:pStyle w:val="ARbody"/>
      </w:pPr>
      <w:r>
        <w:t>This centre</w:t>
      </w:r>
      <w:r w:rsidR="00603B69" w:rsidRPr="082D3549">
        <w:t>, run by Safer Care Victoria</w:t>
      </w:r>
      <w:r w:rsidR="00DD382A">
        <w:t>,</w:t>
      </w:r>
      <w:r w:rsidR="00603B69" w:rsidRPr="082D3549">
        <w:t xml:space="preserve"> continued to support health organisation</w:t>
      </w:r>
      <w:r w:rsidR="00140A5F">
        <w:t>s</w:t>
      </w:r>
      <w:r w:rsidR="00603B69" w:rsidRPr="082D3549">
        <w:t xml:space="preserve"> with </w:t>
      </w:r>
      <w:r w:rsidR="000B4A45">
        <w:t xml:space="preserve">a </w:t>
      </w:r>
      <w:r w:rsidR="00603B69" w:rsidRPr="082D3549">
        <w:t>toolkit and training to listen to staff and make changes that matter to them. The Victorian Nursing and Midwifery</w:t>
      </w:r>
      <w:r w:rsidR="000B4A45">
        <w:t xml:space="preserve"> </w:t>
      </w:r>
      <w:r w:rsidR="00A07EDC">
        <w:t xml:space="preserve">Health </w:t>
      </w:r>
      <w:r w:rsidR="00603B69" w:rsidRPr="082D3549">
        <w:t>Program and Victorian Doctors Health Program provided confidential support to</w:t>
      </w:r>
      <w:r w:rsidR="00D52DF9">
        <w:t> </w:t>
      </w:r>
      <w:r w:rsidR="00603B69" w:rsidRPr="082D3549">
        <w:t>clinicians.</w:t>
      </w:r>
    </w:p>
    <w:p w14:paraId="647BFA35" w14:textId="6C444090" w:rsidR="00A07EDC" w:rsidRDefault="00A07EDC" w:rsidP="00A07EDC">
      <w:pPr>
        <w:pStyle w:val="Heading6"/>
      </w:pPr>
      <w:r>
        <w:t>Personal protective equipment</w:t>
      </w:r>
    </w:p>
    <w:p w14:paraId="2D4E5A85" w14:textId="78E58CC8" w:rsidR="003F0283" w:rsidRDefault="00603B69" w:rsidP="006501BE">
      <w:pPr>
        <w:pStyle w:val="ARbody"/>
      </w:pPr>
      <w:r w:rsidRPr="082D3549">
        <w:t xml:space="preserve">The department has worked to ensure there is continued access to appropriate </w:t>
      </w:r>
      <w:r w:rsidR="00140A5F">
        <w:t>p</w:t>
      </w:r>
      <w:r w:rsidRPr="082D3549">
        <w:t xml:space="preserve">ersonal </w:t>
      </w:r>
      <w:r w:rsidR="00140A5F">
        <w:t>p</w:t>
      </w:r>
      <w:r w:rsidRPr="082D3549">
        <w:t xml:space="preserve">rotective </w:t>
      </w:r>
      <w:r w:rsidR="00140A5F">
        <w:t>e</w:t>
      </w:r>
      <w:r w:rsidRPr="082D3549">
        <w:t>quipment (PPE) to maintain the health and safety of frontline staff and update</w:t>
      </w:r>
      <w:r w:rsidR="00140A5F">
        <w:t>d</w:t>
      </w:r>
      <w:r w:rsidRPr="082D3549">
        <w:t xml:space="preserve"> guidance on the use of PPE to reflect best practice. Over 161,000 healthcare workers in high-risk settings have been</w:t>
      </w:r>
      <w:r w:rsidR="00D52DF9">
        <w:t> </w:t>
      </w:r>
      <w:r w:rsidRPr="082D3549">
        <w:t xml:space="preserve">fit-tested to ensure their N95 masks fit their individual features, with all public health services and Ambulance Victoria running </w:t>
      </w:r>
      <w:r w:rsidR="00140A5F">
        <w:t>r</w:t>
      </w:r>
      <w:r w:rsidRPr="082D3549">
        <w:t xml:space="preserve">espiratory </w:t>
      </w:r>
      <w:r w:rsidR="00140A5F">
        <w:t>p</w:t>
      </w:r>
      <w:r w:rsidRPr="082D3549">
        <w:t xml:space="preserve">rotection </w:t>
      </w:r>
      <w:r w:rsidR="00140A5F">
        <w:t>p</w:t>
      </w:r>
      <w:r w:rsidRPr="082D3549">
        <w:t>rograms.</w:t>
      </w:r>
    </w:p>
    <w:p w14:paraId="3E45CCDE" w14:textId="4781A62E" w:rsidR="001F4397" w:rsidRDefault="001F4397" w:rsidP="002B7022">
      <w:pPr>
        <w:pStyle w:val="Heading6"/>
        <w:spacing w:before="200" w:after="60"/>
      </w:pPr>
      <w:r>
        <w:t>Occupational violence and aggression training</w:t>
      </w:r>
    </w:p>
    <w:p w14:paraId="1D673CBD" w14:textId="0D30F12F" w:rsidR="00603B69" w:rsidRDefault="00982864" w:rsidP="006501BE">
      <w:pPr>
        <w:pStyle w:val="ARbody"/>
      </w:pPr>
      <w:r>
        <w:t>The</w:t>
      </w:r>
      <w:r w:rsidR="00603B69" w:rsidRPr="082D3549">
        <w:t xml:space="preserve"> Victorian Government </w:t>
      </w:r>
      <w:r>
        <w:t>committed</w:t>
      </w:r>
      <w:r w:rsidR="000B4A45">
        <w:t xml:space="preserve"> </w:t>
      </w:r>
      <w:r w:rsidR="00603B69" w:rsidRPr="082D3549">
        <w:t xml:space="preserve">to fund occupational violence and aggression training for 1,000 frontline healthcare workers. The department is in the process of developing de-escalation training that will be rolled out </w:t>
      </w:r>
      <w:r>
        <w:t>later this year</w:t>
      </w:r>
      <w:r w:rsidR="00603B69" w:rsidRPr="082D3549">
        <w:t>.</w:t>
      </w:r>
      <w:r w:rsidR="003F0283">
        <w:t xml:space="preserve"> </w:t>
      </w:r>
      <w:r w:rsidR="00603B69" w:rsidRPr="082D3549">
        <w:t>All healthcare workers already have access to online occupational violence and aggression training</w:t>
      </w:r>
      <w:r w:rsidR="00971488">
        <w:t>. This</w:t>
      </w:r>
      <w:r w:rsidR="00C554E9">
        <w:t> </w:t>
      </w:r>
      <w:r w:rsidR="00603B69" w:rsidRPr="082D3549">
        <w:t xml:space="preserve">includes </w:t>
      </w:r>
      <w:r w:rsidR="00EF4D40">
        <w:t xml:space="preserve">how to recognise </w:t>
      </w:r>
      <w:r w:rsidR="00603B69" w:rsidRPr="082D3549">
        <w:t>factors that may increase the likelihood of violence and aggression and how to best prevent and respond to incidents.</w:t>
      </w:r>
    </w:p>
    <w:p w14:paraId="1C91D0E7" w14:textId="77777777" w:rsidR="00603B69" w:rsidRDefault="00603B69" w:rsidP="002B7022">
      <w:pPr>
        <w:pStyle w:val="Heading5"/>
        <w:spacing w:before="160" w:after="60"/>
      </w:pPr>
      <w:r>
        <w:t>Progress a health workforce strategy</w:t>
      </w:r>
    </w:p>
    <w:p w14:paraId="62E4963F" w14:textId="2BCDD28B" w:rsidR="003F0283" w:rsidRDefault="00603B69" w:rsidP="006501BE">
      <w:pPr>
        <w:pStyle w:val="ARbody"/>
      </w:pPr>
      <w:r w:rsidRPr="082D3549">
        <w:t xml:space="preserve">The department is developing a Victorian </w:t>
      </w:r>
      <w:r w:rsidR="00EF4D40">
        <w:t>h</w:t>
      </w:r>
      <w:r w:rsidRPr="082D3549">
        <w:t xml:space="preserve">ealth </w:t>
      </w:r>
      <w:r w:rsidR="00EF4D40">
        <w:t>w</w:t>
      </w:r>
      <w:r w:rsidRPr="082D3549">
        <w:t xml:space="preserve">orkforce </w:t>
      </w:r>
      <w:r w:rsidR="00EF4D40">
        <w:t>s</w:t>
      </w:r>
      <w:r w:rsidRPr="082D3549">
        <w:t xml:space="preserve">trategy to </w:t>
      </w:r>
      <w:r w:rsidR="00971488">
        <w:t>tackle</w:t>
      </w:r>
      <w:r w:rsidRPr="082D3549">
        <w:t xml:space="preserve"> immediate, medium and long-term </w:t>
      </w:r>
      <w:r w:rsidR="002068D8">
        <w:t>needs in</w:t>
      </w:r>
      <w:r w:rsidRPr="082D3549">
        <w:t xml:space="preserve"> health workforce supply, capability and wellbeing. </w:t>
      </w:r>
      <w:r w:rsidR="002068D8">
        <w:t>While the</w:t>
      </w:r>
      <w:r w:rsidRPr="082D3549">
        <w:t xml:space="preserve"> </w:t>
      </w:r>
      <w:r w:rsidR="00EF4D40">
        <w:t>s</w:t>
      </w:r>
      <w:r w:rsidRPr="082D3549">
        <w:t>trategy will be</w:t>
      </w:r>
      <w:r w:rsidR="00C554E9">
        <w:t> </w:t>
      </w:r>
      <w:r w:rsidRPr="082D3549">
        <w:t>future</w:t>
      </w:r>
      <w:r w:rsidR="002068D8">
        <w:t>-</w:t>
      </w:r>
      <w:r w:rsidRPr="082D3549">
        <w:t xml:space="preserve">focused </w:t>
      </w:r>
      <w:r w:rsidR="002068D8">
        <w:t>to address</w:t>
      </w:r>
      <w:r w:rsidRPr="082D3549">
        <w:t xml:space="preserve"> workforce recovery, development and growth over the coming decade, </w:t>
      </w:r>
      <w:r w:rsidR="002068D8">
        <w:t xml:space="preserve">it will </w:t>
      </w:r>
      <w:r w:rsidRPr="082D3549">
        <w:t>also identify</w:t>
      </w:r>
      <w:r w:rsidR="002068D8">
        <w:t xml:space="preserve"> the</w:t>
      </w:r>
      <w:r w:rsidRPr="082D3549">
        <w:t xml:space="preserve"> immediate actions </w:t>
      </w:r>
      <w:r w:rsidR="002068D8">
        <w:t>required to</w:t>
      </w:r>
      <w:r w:rsidR="00F37F7D">
        <w:t xml:space="preserve"> </w:t>
      </w:r>
      <w:r w:rsidRPr="082D3549">
        <w:t>better support the health workforce.</w:t>
      </w:r>
    </w:p>
    <w:p w14:paraId="48098E28" w14:textId="4C7B45FD" w:rsidR="00603B69" w:rsidRDefault="00603B69" w:rsidP="00C6635F">
      <w:pPr>
        <w:pStyle w:val="ARbody"/>
      </w:pPr>
      <w:r w:rsidRPr="082D3549">
        <w:rPr>
          <w:rFonts w:eastAsia="Arial"/>
          <w:color w:val="000000" w:themeColor="text1"/>
        </w:rPr>
        <w:t>In 202</w:t>
      </w:r>
      <w:r w:rsidR="005E4358">
        <w:rPr>
          <w:rFonts w:eastAsia="Arial"/>
          <w:color w:val="000000" w:themeColor="text1"/>
        </w:rPr>
        <w:t>2–</w:t>
      </w:r>
      <w:r w:rsidRPr="082D3549">
        <w:rPr>
          <w:rFonts w:eastAsia="Arial"/>
          <w:color w:val="000000" w:themeColor="text1"/>
        </w:rPr>
        <w:t xml:space="preserve">23, the department will be undertaking stakeholder consultation with healthcare workers, their representatives and professional groups from a range of backgrounds to explore the key themes and identify immediate priorities and appropriate </w:t>
      </w:r>
      <w:r w:rsidR="00EF4D40">
        <w:rPr>
          <w:rFonts w:eastAsia="Arial"/>
          <w:color w:val="000000" w:themeColor="text1"/>
        </w:rPr>
        <w:t xml:space="preserve">actions </w:t>
      </w:r>
      <w:r w:rsidRPr="082D3549">
        <w:rPr>
          <w:rFonts w:eastAsia="Arial"/>
          <w:color w:val="000000" w:themeColor="text1"/>
        </w:rPr>
        <w:t>for the Victorian health system. This will include both clinical and non-clinical workforces.</w:t>
      </w:r>
    </w:p>
    <w:p w14:paraId="319F82F0" w14:textId="77777777" w:rsidR="00603B69" w:rsidRDefault="00603B69" w:rsidP="002B7022">
      <w:pPr>
        <w:pStyle w:val="Heading5"/>
        <w:spacing w:before="160" w:after="60"/>
      </w:pPr>
      <w:r>
        <w:t>Restore our pipeline of health workers</w:t>
      </w:r>
    </w:p>
    <w:p w14:paraId="17214EF5" w14:textId="2652E944" w:rsidR="003F0283" w:rsidRDefault="00603B69" w:rsidP="00603B69">
      <w:pPr>
        <w:pStyle w:val="ARbody"/>
        <w:rPr>
          <w:rFonts w:eastAsia="Arial"/>
          <w:color w:val="000000" w:themeColor="text1"/>
          <w:szCs w:val="20"/>
        </w:rPr>
      </w:pPr>
      <w:r w:rsidRPr="082D3549">
        <w:rPr>
          <w:rFonts w:eastAsia="Arial"/>
          <w:color w:val="000000" w:themeColor="text1"/>
          <w:szCs w:val="20"/>
        </w:rPr>
        <w:t xml:space="preserve">Due to the COVID-19 pandemic, the health workforce has continued to face increased patient demands and disruptions to the training and availability of staff. This has placed pressures on the supply of nurses, midwives, doctors and allied health professionals </w:t>
      </w:r>
      <w:r w:rsidR="00160F6E">
        <w:rPr>
          <w:rFonts w:eastAsia="Arial"/>
          <w:color w:val="000000" w:themeColor="text1"/>
          <w:szCs w:val="20"/>
        </w:rPr>
        <w:t>in</w:t>
      </w:r>
      <w:r w:rsidR="00160F6E" w:rsidRPr="082D3549">
        <w:rPr>
          <w:rFonts w:eastAsia="Arial"/>
          <w:color w:val="000000" w:themeColor="text1"/>
          <w:szCs w:val="20"/>
        </w:rPr>
        <w:t xml:space="preserve"> </w:t>
      </w:r>
      <w:r w:rsidRPr="082D3549">
        <w:rPr>
          <w:rFonts w:eastAsia="Arial"/>
          <w:color w:val="000000" w:themeColor="text1"/>
          <w:szCs w:val="20"/>
        </w:rPr>
        <w:t>Victoria’s health services.</w:t>
      </w:r>
    </w:p>
    <w:p w14:paraId="42C1C969" w14:textId="7A134C56" w:rsidR="003F0283" w:rsidRDefault="00603B69" w:rsidP="00603B69">
      <w:pPr>
        <w:pStyle w:val="ARbody"/>
        <w:rPr>
          <w:rFonts w:eastAsia="Arial"/>
          <w:color w:val="000000" w:themeColor="text1"/>
          <w:szCs w:val="20"/>
        </w:rPr>
      </w:pPr>
      <w:r w:rsidRPr="082D3549">
        <w:rPr>
          <w:rFonts w:eastAsia="Arial"/>
          <w:color w:val="000000" w:themeColor="text1"/>
          <w:szCs w:val="20"/>
        </w:rPr>
        <w:t xml:space="preserve">The pandemic significantly disrupted clinical placements for many nursing, midwifery, medical and allied health students. To address the backlog, the department supported health services to provide additional clinical placements for students across multiple settings, enabling </w:t>
      </w:r>
      <w:r w:rsidR="004A756D">
        <w:rPr>
          <w:rFonts w:eastAsia="Arial"/>
          <w:color w:val="000000" w:themeColor="text1"/>
          <w:szCs w:val="20"/>
        </w:rPr>
        <w:t xml:space="preserve">the </w:t>
      </w:r>
      <w:r w:rsidRPr="082D3549">
        <w:rPr>
          <w:rFonts w:eastAsia="Arial"/>
          <w:color w:val="000000" w:themeColor="text1"/>
          <w:szCs w:val="20"/>
        </w:rPr>
        <w:t>students to</w:t>
      </w:r>
      <w:r w:rsidR="00C554E9">
        <w:rPr>
          <w:rFonts w:eastAsia="Arial"/>
          <w:color w:val="000000" w:themeColor="text1"/>
          <w:szCs w:val="20"/>
        </w:rPr>
        <w:t> </w:t>
      </w:r>
      <w:r w:rsidRPr="082D3549">
        <w:rPr>
          <w:rFonts w:eastAsia="Arial"/>
          <w:color w:val="000000" w:themeColor="text1"/>
          <w:szCs w:val="20"/>
        </w:rPr>
        <w:t>graduate on time. In total, the department supported over one million student clinical placement days across nursing, midwifery, medicine and allied health</w:t>
      </w:r>
      <w:r w:rsidR="004A756D">
        <w:rPr>
          <w:rFonts w:eastAsia="Arial"/>
          <w:color w:val="000000" w:themeColor="text1"/>
          <w:szCs w:val="20"/>
        </w:rPr>
        <w:t xml:space="preserve"> in </w:t>
      </w:r>
      <w:r w:rsidR="006C15A9">
        <w:rPr>
          <w:rFonts w:eastAsia="Arial"/>
          <w:color w:val="000000" w:themeColor="text1"/>
          <w:szCs w:val="20"/>
        </w:rPr>
        <w:t>2021–22</w:t>
      </w:r>
      <w:r w:rsidRPr="082D3549">
        <w:rPr>
          <w:rFonts w:eastAsia="Arial"/>
          <w:color w:val="000000" w:themeColor="text1"/>
          <w:szCs w:val="20"/>
        </w:rPr>
        <w:t>.</w:t>
      </w:r>
    </w:p>
    <w:p w14:paraId="226A27D0" w14:textId="4CD2EC38" w:rsidR="003F0283" w:rsidRDefault="00603B69" w:rsidP="00603B69">
      <w:pPr>
        <w:pStyle w:val="ARbody"/>
        <w:rPr>
          <w:rFonts w:eastAsia="Arial"/>
          <w:color w:val="000000" w:themeColor="text1"/>
          <w:szCs w:val="20"/>
        </w:rPr>
      </w:pPr>
      <w:r w:rsidRPr="082D3549">
        <w:rPr>
          <w:rFonts w:eastAsia="Arial"/>
          <w:color w:val="000000" w:themeColor="text1"/>
          <w:szCs w:val="20"/>
        </w:rPr>
        <w:t xml:space="preserve">To help manage patient demand during </w:t>
      </w:r>
      <w:r w:rsidR="00D52DF9">
        <w:rPr>
          <w:rFonts w:eastAsia="Arial"/>
          <w:color w:val="000000" w:themeColor="text1"/>
          <w:szCs w:val="20"/>
        </w:rPr>
        <w:br/>
      </w:r>
      <w:r w:rsidRPr="082D3549">
        <w:rPr>
          <w:rFonts w:eastAsia="Arial"/>
          <w:color w:val="000000" w:themeColor="text1"/>
          <w:szCs w:val="20"/>
        </w:rPr>
        <w:t>COVID-19 peaks, the department introduced surge</w:t>
      </w:r>
      <w:r w:rsidR="00D52DF9">
        <w:rPr>
          <w:rFonts w:eastAsia="Arial"/>
          <w:color w:val="000000" w:themeColor="text1"/>
          <w:szCs w:val="20"/>
        </w:rPr>
        <w:t> </w:t>
      </w:r>
      <w:r w:rsidRPr="082D3549">
        <w:rPr>
          <w:rFonts w:eastAsia="Arial"/>
          <w:color w:val="000000" w:themeColor="text1"/>
          <w:szCs w:val="20"/>
        </w:rPr>
        <w:t xml:space="preserve">workforce models for acute settings; supported the employment of over 1,000 registered undergraduate nursing and midwifery students; and endorsed and trained wider professional groups to </w:t>
      </w:r>
      <w:r w:rsidR="0006412B">
        <w:rPr>
          <w:rFonts w:eastAsia="Arial"/>
          <w:color w:val="000000" w:themeColor="text1"/>
          <w:szCs w:val="20"/>
        </w:rPr>
        <w:t xml:space="preserve">conduct </w:t>
      </w:r>
      <w:r w:rsidRPr="082D3549">
        <w:rPr>
          <w:rFonts w:eastAsia="Arial"/>
          <w:color w:val="000000" w:themeColor="text1"/>
          <w:szCs w:val="20"/>
        </w:rPr>
        <w:t>vaccination and testing</w:t>
      </w:r>
      <w:r w:rsidR="004A756D">
        <w:rPr>
          <w:rFonts w:eastAsia="Arial"/>
          <w:color w:val="000000" w:themeColor="text1"/>
          <w:szCs w:val="20"/>
        </w:rPr>
        <w:t>,</w:t>
      </w:r>
      <w:r w:rsidRPr="082D3549">
        <w:rPr>
          <w:rFonts w:eastAsia="Arial"/>
          <w:color w:val="000000" w:themeColor="text1"/>
          <w:szCs w:val="20"/>
        </w:rPr>
        <w:t xml:space="preserve"> which ensured highly skilled workers remained at the bedside.</w:t>
      </w:r>
    </w:p>
    <w:p w14:paraId="061669F3" w14:textId="1894F52E" w:rsidR="00603B69" w:rsidRDefault="00603B69" w:rsidP="00603B69">
      <w:pPr>
        <w:pStyle w:val="ARbody"/>
        <w:rPr>
          <w:rFonts w:eastAsia="Arial"/>
          <w:color w:val="000000" w:themeColor="text1"/>
          <w:szCs w:val="20"/>
        </w:rPr>
      </w:pPr>
      <w:r w:rsidRPr="082D3549">
        <w:rPr>
          <w:rFonts w:eastAsia="Arial"/>
          <w:color w:val="000000" w:themeColor="text1"/>
          <w:szCs w:val="20"/>
        </w:rPr>
        <w:t>The pandemic also disrupted the recruitment of international healthcare workers into Victoria’s health system. The department supported over 440 international healthcare workers to return or take up employment in public health services in 20</w:t>
      </w:r>
      <w:r w:rsidR="005E4358">
        <w:rPr>
          <w:rFonts w:eastAsia="Arial"/>
          <w:color w:val="000000" w:themeColor="text1"/>
          <w:szCs w:val="20"/>
        </w:rPr>
        <w:t>21–22</w:t>
      </w:r>
      <w:r w:rsidRPr="082D3549">
        <w:rPr>
          <w:rFonts w:eastAsia="Arial"/>
          <w:color w:val="000000" w:themeColor="text1"/>
          <w:szCs w:val="20"/>
        </w:rPr>
        <w:t>. This program will be further expanded in 202</w:t>
      </w:r>
      <w:r w:rsidR="005E4358">
        <w:rPr>
          <w:rFonts w:eastAsia="Arial"/>
          <w:color w:val="000000" w:themeColor="text1"/>
          <w:szCs w:val="20"/>
        </w:rPr>
        <w:t>2–</w:t>
      </w:r>
      <w:r w:rsidRPr="082D3549">
        <w:rPr>
          <w:rFonts w:eastAsia="Arial"/>
          <w:color w:val="000000" w:themeColor="text1"/>
          <w:szCs w:val="20"/>
        </w:rPr>
        <w:t>23.</w:t>
      </w:r>
    </w:p>
    <w:p w14:paraId="24EB3917" w14:textId="17E3A98B" w:rsidR="00603B69" w:rsidRDefault="00603B69" w:rsidP="00603B69">
      <w:pPr>
        <w:pStyle w:val="ARbodynospace"/>
        <w:rPr>
          <w:rFonts w:eastAsia="Arial"/>
          <w:color w:val="000000" w:themeColor="text1"/>
          <w:szCs w:val="20"/>
        </w:rPr>
      </w:pPr>
      <w:r w:rsidRPr="082D3549">
        <w:rPr>
          <w:rFonts w:eastAsia="Arial"/>
          <w:color w:val="000000" w:themeColor="text1"/>
          <w:szCs w:val="20"/>
        </w:rPr>
        <w:t xml:space="preserve">Healthcare workers have also received additional financial support in critical settings to attract and retain workers during surge periods. The Hospital Surge Support Allowance operated from October 2021 </w:t>
      </w:r>
      <w:r w:rsidR="004A756D">
        <w:rPr>
          <w:rFonts w:eastAsia="Arial"/>
          <w:color w:val="000000" w:themeColor="text1"/>
          <w:szCs w:val="20"/>
        </w:rPr>
        <w:t>to</w:t>
      </w:r>
      <w:r w:rsidRPr="082D3549">
        <w:rPr>
          <w:rFonts w:eastAsia="Arial"/>
          <w:color w:val="000000" w:themeColor="text1"/>
          <w:szCs w:val="20"/>
        </w:rPr>
        <w:t xml:space="preserve"> March 2022 during the Delta </w:t>
      </w:r>
      <w:r w:rsidR="0006412B">
        <w:rPr>
          <w:rFonts w:eastAsia="Arial"/>
          <w:color w:val="000000" w:themeColor="text1"/>
          <w:szCs w:val="20"/>
        </w:rPr>
        <w:t xml:space="preserve">and </w:t>
      </w:r>
      <w:r w:rsidR="00F14A26">
        <w:rPr>
          <w:rFonts w:eastAsia="Arial"/>
          <w:color w:val="000000" w:themeColor="text1"/>
          <w:szCs w:val="20"/>
        </w:rPr>
        <w:t>Omicron</w:t>
      </w:r>
      <w:r w:rsidRPr="082D3549">
        <w:rPr>
          <w:rFonts w:eastAsia="Arial"/>
          <w:color w:val="000000" w:themeColor="text1"/>
          <w:szCs w:val="20"/>
        </w:rPr>
        <w:t xml:space="preserve"> wave</w:t>
      </w:r>
      <w:r w:rsidR="0006412B">
        <w:rPr>
          <w:rFonts w:eastAsia="Arial"/>
          <w:color w:val="000000" w:themeColor="text1"/>
          <w:szCs w:val="20"/>
        </w:rPr>
        <w:t>s</w:t>
      </w:r>
      <w:r w:rsidRPr="082D3549">
        <w:rPr>
          <w:rFonts w:eastAsia="Arial"/>
          <w:color w:val="000000" w:themeColor="text1"/>
          <w:szCs w:val="20"/>
        </w:rPr>
        <w:t>. In June 2022</w:t>
      </w:r>
      <w:r w:rsidR="00F14A26">
        <w:rPr>
          <w:rFonts w:eastAsia="Arial"/>
          <w:color w:val="000000" w:themeColor="text1"/>
          <w:szCs w:val="20"/>
        </w:rPr>
        <w:t>,</w:t>
      </w:r>
      <w:r w:rsidRPr="082D3549">
        <w:rPr>
          <w:rFonts w:eastAsia="Arial"/>
          <w:color w:val="000000" w:themeColor="text1"/>
          <w:szCs w:val="20"/>
        </w:rPr>
        <w:t xml:space="preserve"> a $353</w:t>
      </w:r>
      <w:r w:rsidR="004A756D">
        <w:rPr>
          <w:rFonts w:eastAsia="Arial"/>
          <w:color w:val="000000" w:themeColor="text1"/>
          <w:szCs w:val="20"/>
        </w:rPr>
        <w:t xml:space="preserve"> </w:t>
      </w:r>
      <w:r w:rsidRPr="082D3549">
        <w:rPr>
          <w:rFonts w:eastAsia="Arial"/>
          <w:color w:val="000000" w:themeColor="text1"/>
          <w:szCs w:val="20"/>
        </w:rPr>
        <w:t>m</w:t>
      </w:r>
      <w:r w:rsidR="004A756D">
        <w:rPr>
          <w:rFonts w:eastAsia="Arial"/>
          <w:color w:val="000000" w:themeColor="text1"/>
          <w:szCs w:val="20"/>
        </w:rPr>
        <w:t>illion</w:t>
      </w:r>
      <w:r w:rsidRPr="082D3549">
        <w:rPr>
          <w:rFonts w:eastAsia="Arial"/>
          <w:color w:val="000000" w:themeColor="text1"/>
          <w:szCs w:val="20"/>
        </w:rPr>
        <w:t xml:space="preserve"> Healthcare Worker Winter Retention and Surge </w:t>
      </w:r>
      <w:r w:rsidR="004A756D">
        <w:rPr>
          <w:rFonts w:eastAsia="Arial"/>
          <w:color w:val="000000" w:themeColor="text1"/>
          <w:szCs w:val="20"/>
        </w:rPr>
        <w:t>P</w:t>
      </w:r>
      <w:r w:rsidRPr="082D3549">
        <w:rPr>
          <w:rFonts w:eastAsia="Arial"/>
          <w:color w:val="000000" w:themeColor="text1"/>
          <w:szCs w:val="20"/>
        </w:rPr>
        <w:t xml:space="preserve">ayment </w:t>
      </w:r>
      <w:r w:rsidR="00265E3E">
        <w:rPr>
          <w:rFonts w:eastAsia="Arial"/>
          <w:color w:val="000000" w:themeColor="text1"/>
          <w:szCs w:val="20"/>
        </w:rPr>
        <w:t>P</w:t>
      </w:r>
      <w:r w:rsidRPr="082D3549">
        <w:rPr>
          <w:rFonts w:eastAsia="Arial"/>
          <w:color w:val="000000" w:themeColor="text1"/>
          <w:szCs w:val="20"/>
        </w:rPr>
        <w:t>rogram was announced, which offers payments of</w:t>
      </w:r>
      <w:r w:rsidR="00C554E9">
        <w:rPr>
          <w:rFonts w:eastAsia="Arial"/>
          <w:color w:val="000000" w:themeColor="text1"/>
          <w:szCs w:val="20"/>
        </w:rPr>
        <w:t> </w:t>
      </w:r>
      <w:r w:rsidRPr="082D3549">
        <w:rPr>
          <w:rFonts w:eastAsia="Arial"/>
          <w:color w:val="000000" w:themeColor="text1"/>
          <w:szCs w:val="20"/>
        </w:rPr>
        <w:t>$3,000 to all staff working in public hospitals and</w:t>
      </w:r>
      <w:r w:rsidR="00C554E9">
        <w:rPr>
          <w:rFonts w:eastAsia="Arial"/>
          <w:color w:val="000000" w:themeColor="text1"/>
          <w:szCs w:val="20"/>
        </w:rPr>
        <w:t> </w:t>
      </w:r>
      <w:r w:rsidRPr="082D3549">
        <w:rPr>
          <w:rFonts w:eastAsia="Arial"/>
          <w:color w:val="000000" w:themeColor="text1"/>
          <w:szCs w:val="20"/>
        </w:rPr>
        <w:t>ambulance services during the forecast surge in winter.</w:t>
      </w:r>
    </w:p>
    <w:p w14:paraId="6EF9E877" w14:textId="5C453286" w:rsidR="00603B69" w:rsidRDefault="00603B69" w:rsidP="00603B69">
      <w:pPr>
        <w:pStyle w:val="Heading5"/>
      </w:pPr>
      <w:r>
        <w:t>Specialised training for frontline healthcare</w:t>
      </w:r>
      <w:r w:rsidR="00D52DF9">
        <w:t> </w:t>
      </w:r>
      <w:r>
        <w:t>workers</w:t>
      </w:r>
    </w:p>
    <w:p w14:paraId="7A922F6C" w14:textId="632A7E67" w:rsidR="003F0283" w:rsidRDefault="00603B69" w:rsidP="00603B69">
      <w:pPr>
        <w:pStyle w:val="ARbody"/>
        <w:rPr>
          <w:rFonts w:eastAsia="Arial"/>
          <w:color w:val="000000" w:themeColor="text1"/>
          <w:szCs w:val="20"/>
        </w:rPr>
      </w:pPr>
      <w:r w:rsidRPr="082D3549">
        <w:rPr>
          <w:rFonts w:eastAsia="Arial"/>
          <w:color w:val="000000" w:themeColor="text1"/>
          <w:szCs w:val="20"/>
        </w:rPr>
        <w:t xml:space="preserve">Supporting clinical staff with ongoing training and development in specialised care </w:t>
      </w:r>
      <w:r w:rsidR="007D438A">
        <w:rPr>
          <w:rFonts w:eastAsia="Arial"/>
          <w:color w:val="000000" w:themeColor="text1"/>
          <w:szCs w:val="20"/>
        </w:rPr>
        <w:t>contributes</w:t>
      </w:r>
      <w:r w:rsidRPr="082D3549">
        <w:rPr>
          <w:rFonts w:eastAsia="Arial"/>
          <w:color w:val="000000" w:themeColor="text1"/>
          <w:szCs w:val="20"/>
        </w:rPr>
        <w:t xml:space="preserve"> to </w:t>
      </w:r>
      <w:r w:rsidR="00640BF8">
        <w:rPr>
          <w:rFonts w:eastAsia="Arial"/>
          <w:color w:val="000000" w:themeColor="text1"/>
          <w:szCs w:val="20"/>
        </w:rPr>
        <w:t xml:space="preserve">the </w:t>
      </w:r>
      <w:r w:rsidRPr="082D3549">
        <w:rPr>
          <w:rFonts w:eastAsia="Arial"/>
          <w:color w:val="000000" w:themeColor="text1"/>
          <w:szCs w:val="20"/>
        </w:rPr>
        <w:t>deliver</w:t>
      </w:r>
      <w:r w:rsidR="00640BF8">
        <w:rPr>
          <w:rFonts w:eastAsia="Arial"/>
          <w:color w:val="000000" w:themeColor="text1"/>
          <w:szCs w:val="20"/>
        </w:rPr>
        <w:t>y of</w:t>
      </w:r>
      <w:r w:rsidRPr="082D3549">
        <w:rPr>
          <w:rFonts w:eastAsia="Arial"/>
          <w:color w:val="000000" w:themeColor="text1"/>
          <w:szCs w:val="20"/>
        </w:rPr>
        <w:t xml:space="preserve"> safe and high</w:t>
      </w:r>
      <w:r w:rsidR="00640BF8">
        <w:rPr>
          <w:rFonts w:eastAsia="Arial"/>
          <w:color w:val="000000" w:themeColor="text1"/>
          <w:szCs w:val="20"/>
        </w:rPr>
        <w:t>-</w:t>
      </w:r>
      <w:r w:rsidRPr="082D3549">
        <w:rPr>
          <w:rFonts w:eastAsia="Arial"/>
          <w:color w:val="000000" w:themeColor="text1"/>
          <w:szCs w:val="20"/>
        </w:rPr>
        <w:t>quality services.</w:t>
      </w:r>
    </w:p>
    <w:p w14:paraId="428AE737" w14:textId="1B37C016" w:rsidR="00603B69" w:rsidRDefault="007D438A" w:rsidP="00603B69">
      <w:pPr>
        <w:pStyle w:val="ARbody"/>
        <w:rPr>
          <w:rFonts w:eastAsia="Arial"/>
          <w:color w:val="000000" w:themeColor="text1"/>
          <w:szCs w:val="20"/>
        </w:rPr>
      </w:pPr>
      <w:r>
        <w:rPr>
          <w:rFonts w:eastAsia="Arial"/>
          <w:color w:val="000000" w:themeColor="text1"/>
          <w:szCs w:val="20"/>
        </w:rPr>
        <w:t>Recognising this, t</w:t>
      </w:r>
      <w:r w:rsidR="00603B69" w:rsidRPr="082D3549">
        <w:rPr>
          <w:rFonts w:eastAsia="Arial"/>
          <w:color w:val="000000" w:themeColor="text1"/>
          <w:szCs w:val="20"/>
        </w:rPr>
        <w:t>he department funded a range</w:t>
      </w:r>
      <w:r w:rsidR="00C554E9">
        <w:rPr>
          <w:rFonts w:eastAsia="Arial"/>
          <w:color w:val="000000" w:themeColor="text1"/>
          <w:szCs w:val="20"/>
        </w:rPr>
        <w:t> </w:t>
      </w:r>
      <w:r w:rsidR="00603B69" w:rsidRPr="082D3549">
        <w:rPr>
          <w:rFonts w:eastAsia="Arial"/>
          <w:color w:val="000000" w:themeColor="text1"/>
          <w:szCs w:val="20"/>
        </w:rPr>
        <w:t>of</w:t>
      </w:r>
      <w:r w:rsidR="00C554E9">
        <w:rPr>
          <w:rFonts w:eastAsia="Arial"/>
          <w:color w:val="000000" w:themeColor="text1"/>
          <w:szCs w:val="20"/>
        </w:rPr>
        <w:t> </w:t>
      </w:r>
      <w:r w:rsidR="00603B69" w:rsidRPr="082D3549">
        <w:rPr>
          <w:rFonts w:eastAsia="Arial"/>
          <w:color w:val="000000" w:themeColor="text1"/>
          <w:szCs w:val="20"/>
        </w:rPr>
        <w:t>programs</w:t>
      </w:r>
      <w:r w:rsidR="00640BF8">
        <w:rPr>
          <w:rFonts w:eastAsia="Arial"/>
          <w:color w:val="000000" w:themeColor="text1"/>
          <w:szCs w:val="20"/>
        </w:rPr>
        <w:t xml:space="preserve"> in </w:t>
      </w:r>
      <w:r w:rsidR="006C15A9">
        <w:rPr>
          <w:rFonts w:eastAsia="Arial"/>
          <w:color w:val="000000" w:themeColor="text1"/>
          <w:szCs w:val="20"/>
        </w:rPr>
        <w:t>2021–22</w:t>
      </w:r>
      <w:r w:rsidR="00603B69" w:rsidRPr="082D3549">
        <w:rPr>
          <w:rFonts w:eastAsia="Arial"/>
          <w:color w:val="000000" w:themeColor="text1"/>
          <w:szCs w:val="20"/>
        </w:rPr>
        <w:t xml:space="preserve"> to support nurses, midwives, medical specialist and allied health professionals to</w:t>
      </w:r>
      <w:r w:rsidR="00D52DF9">
        <w:rPr>
          <w:rFonts w:eastAsia="Arial"/>
          <w:color w:val="000000" w:themeColor="text1"/>
          <w:szCs w:val="20"/>
        </w:rPr>
        <w:t> </w:t>
      </w:r>
      <w:r w:rsidR="00603B69" w:rsidRPr="082D3549">
        <w:rPr>
          <w:rFonts w:eastAsia="Arial"/>
          <w:color w:val="000000" w:themeColor="text1"/>
          <w:szCs w:val="20"/>
        </w:rPr>
        <w:t>develop specialist clinical and leadership skills. This</w:t>
      </w:r>
      <w:r w:rsidR="00D52DF9">
        <w:rPr>
          <w:rFonts w:eastAsia="Arial"/>
          <w:color w:val="000000" w:themeColor="text1"/>
          <w:szCs w:val="20"/>
        </w:rPr>
        <w:t> </w:t>
      </w:r>
      <w:r w:rsidR="00603B69" w:rsidRPr="082D3549">
        <w:rPr>
          <w:rFonts w:eastAsia="Arial"/>
          <w:color w:val="000000" w:themeColor="text1"/>
          <w:szCs w:val="20"/>
        </w:rPr>
        <w:t xml:space="preserve">included funding for rural </w:t>
      </w:r>
      <w:r w:rsidR="00640BF8">
        <w:rPr>
          <w:rFonts w:eastAsia="Arial"/>
          <w:color w:val="000000" w:themeColor="text1"/>
          <w:szCs w:val="20"/>
        </w:rPr>
        <w:t>general practitioner</w:t>
      </w:r>
      <w:r w:rsidR="00640BF8" w:rsidRPr="082D3549">
        <w:rPr>
          <w:rFonts w:eastAsia="Arial"/>
          <w:color w:val="000000" w:themeColor="text1"/>
          <w:szCs w:val="20"/>
        </w:rPr>
        <w:t xml:space="preserve"> </w:t>
      </w:r>
      <w:r w:rsidR="00603B69" w:rsidRPr="082D3549">
        <w:rPr>
          <w:rFonts w:eastAsia="Arial"/>
          <w:color w:val="000000" w:themeColor="text1"/>
          <w:szCs w:val="20"/>
        </w:rPr>
        <w:t>procedural positions and over 1,000 postgraduate nursing and midwifery places in</w:t>
      </w:r>
      <w:r w:rsidR="00C554E9">
        <w:rPr>
          <w:rFonts w:eastAsia="Arial"/>
          <w:color w:val="000000" w:themeColor="text1"/>
          <w:szCs w:val="20"/>
        </w:rPr>
        <w:t> </w:t>
      </w:r>
      <w:r w:rsidR="00603B69" w:rsidRPr="082D3549">
        <w:rPr>
          <w:rFonts w:eastAsia="Arial"/>
          <w:color w:val="000000" w:themeColor="text1"/>
          <w:szCs w:val="20"/>
        </w:rPr>
        <w:t>Victorian health services.</w:t>
      </w:r>
    </w:p>
    <w:p w14:paraId="02D2A3F5" w14:textId="3DBF9B65" w:rsidR="003F0283" w:rsidRDefault="00603B69" w:rsidP="00603B69">
      <w:pPr>
        <w:pStyle w:val="ARbody"/>
        <w:rPr>
          <w:rFonts w:eastAsia="Arial"/>
          <w:color w:val="000000" w:themeColor="text1"/>
          <w:szCs w:val="20"/>
        </w:rPr>
      </w:pPr>
      <w:r w:rsidRPr="082D3549">
        <w:rPr>
          <w:rFonts w:eastAsia="Arial"/>
          <w:color w:val="000000" w:themeColor="text1"/>
          <w:szCs w:val="20"/>
        </w:rPr>
        <w:t>The department also supported specialised training and development to enable the workforce to meet the demands of the COVID-1</w:t>
      </w:r>
      <w:r w:rsidR="00640BF8">
        <w:rPr>
          <w:rFonts w:eastAsia="Arial"/>
          <w:color w:val="000000" w:themeColor="text1"/>
          <w:szCs w:val="20"/>
        </w:rPr>
        <w:t>9</w:t>
      </w:r>
      <w:r w:rsidRPr="082D3549">
        <w:rPr>
          <w:rFonts w:eastAsia="Arial"/>
          <w:color w:val="000000" w:themeColor="text1"/>
          <w:szCs w:val="20"/>
        </w:rPr>
        <w:t xml:space="preserve"> pandemic. This includes investing in training for COVID</w:t>
      </w:r>
      <w:r w:rsidR="00640BF8">
        <w:rPr>
          <w:rFonts w:eastAsia="Arial"/>
          <w:color w:val="000000" w:themeColor="text1"/>
          <w:szCs w:val="20"/>
        </w:rPr>
        <w:t>-19</w:t>
      </w:r>
      <w:r w:rsidRPr="082D3549">
        <w:rPr>
          <w:rFonts w:eastAsia="Arial"/>
          <w:color w:val="000000" w:themeColor="text1"/>
          <w:szCs w:val="20"/>
        </w:rPr>
        <w:t xml:space="preserve"> critical care</w:t>
      </w:r>
      <w:r w:rsidR="00D772E7">
        <w:rPr>
          <w:rFonts w:eastAsia="Arial"/>
          <w:color w:val="000000" w:themeColor="text1"/>
          <w:szCs w:val="20"/>
        </w:rPr>
        <w:t xml:space="preserve"> and</w:t>
      </w:r>
      <w:r w:rsidRPr="082D3549">
        <w:rPr>
          <w:rFonts w:eastAsia="Arial"/>
          <w:color w:val="000000" w:themeColor="text1"/>
          <w:szCs w:val="20"/>
        </w:rPr>
        <w:t xml:space="preserve"> infection prevention and control</w:t>
      </w:r>
      <w:r w:rsidR="00640BF8">
        <w:rPr>
          <w:rFonts w:eastAsia="Arial"/>
          <w:color w:val="000000" w:themeColor="text1"/>
          <w:szCs w:val="20"/>
        </w:rPr>
        <w:t>,</w:t>
      </w:r>
      <w:r w:rsidRPr="082D3549">
        <w:rPr>
          <w:rFonts w:eastAsia="Arial"/>
          <w:color w:val="000000" w:themeColor="text1"/>
          <w:szCs w:val="20"/>
        </w:rPr>
        <w:t xml:space="preserve"> and upskilling general nurses to look after COVID</w:t>
      </w:r>
      <w:r w:rsidR="00640BF8">
        <w:rPr>
          <w:rFonts w:eastAsia="Arial"/>
          <w:color w:val="000000" w:themeColor="text1"/>
          <w:szCs w:val="20"/>
        </w:rPr>
        <w:t>-19</w:t>
      </w:r>
      <w:r w:rsidRPr="082D3549">
        <w:rPr>
          <w:rFonts w:eastAsia="Arial"/>
          <w:color w:val="000000" w:themeColor="text1"/>
          <w:szCs w:val="20"/>
        </w:rPr>
        <w:t xml:space="preserve"> patients with acute respiratory conditions.</w:t>
      </w:r>
    </w:p>
    <w:p w14:paraId="34D4C6C0" w14:textId="24056E78" w:rsidR="003D715C" w:rsidRDefault="00603B69" w:rsidP="00603B69">
      <w:pPr>
        <w:pStyle w:val="ARbody"/>
        <w:rPr>
          <w:rFonts w:eastAsia="Arial"/>
          <w:color w:val="000000" w:themeColor="text1"/>
          <w:szCs w:val="20"/>
        </w:rPr>
      </w:pPr>
      <w:r w:rsidRPr="082D3549">
        <w:rPr>
          <w:rFonts w:eastAsia="Arial"/>
          <w:color w:val="000000" w:themeColor="text1"/>
          <w:szCs w:val="20"/>
        </w:rPr>
        <w:t>The department also supported an additional 24</w:t>
      </w:r>
      <w:r w:rsidR="00D52DF9">
        <w:rPr>
          <w:rFonts w:eastAsia="Arial"/>
          <w:color w:val="000000" w:themeColor="text1"/>
          <w:szCs w:val="20"/>
        </w:rPr>
        <w:t> </w:t>
      </w:r>
      <w:r w:rsidRPr="082D3549">
        <w:rPr>
          <w:rFonts w:eastAsia="Arial"/>
          <w:color w:val="000000" w:themeColor="text1"/>
          <w:szCs w:val="20"/>
        </w:rPr>
        <w:t>allied health educators to train multidisciplinary teams within health services. These teams supplemented the acute and critical care nursing workforce.</w:t>
      </w:r>
    </w:p>
    <w:p w14:paraId="61D9892B" w14:textId="2B083DAB" w:rsidR="00603B69" w:rsidRPr="00852040" w:rsidRDefault="00603B69" w:rsidP="00603B69">
      <w:pPr>
        <w:pStyle w:val="Heading5"/>
        <w:rPr>
          <w:rFonts w:eastAsia="Times"/>
        </w:rPr>
      </w:pPr>
      <w:bookmarkStart w:id="103" w:name="_Build_the_cultural"/>
      <w:bookmarkEnd w:id="103"/>
      <w:r w:rsidRPr="00852040">
        <w:rPr>
          <w:rFonts w:eastAsia="Times"/>
        </w:rPr>
        <w:t>Build the cultural safety of the health</w:t>
      </w:r>
      <w:r w:rsidR="00D52DF9">
        <w:rPr>
          <w:rFonts w:eastAsia="Times"/>
        </w:rPr>
        <w:t> </w:t>
      </w:r>
      <w:r w:rsidRPr="00852040">
        <w:rPr>
          <w:rFonts w:eastAsia="Times"/>
        </w:rPr>
        <w:t>system and</w:t>
      </w:r>
      <w:r w:rsidRPr="00EE7FB0">
        <w:t xml:space="preserve"> </w:t>
      </w:r>
      <w:r w:rsidRPr="00852040">
        <w:rPr>
          <w:rFonts w:eastAsia="Times"/>
        </w:rPr>
        <w:t>workforce</w:t>
      </w:r>
    </w:p>
    <w:p w14:paraId="71701328" w14:textId="60F4EFD7" w:rsidR="00603B69" w:rsidRDefault="00603B69" w:rsidP="00603B69">
      <w:pPr>
        <w:pStyle w:val="Heading6"/>
      </w:pPr>
      <w:r>
        <w:t xml:space="preserve">Investments in Aboriginal </w:t>
      </w:r>
      <w:r w:rsidR="00640BF8">
        <w:t>h</w:t>
      </w:r>
      <w:r>
        <w:t xml:space="preserve">ealth </w:t>
      </w:r>
      <w:r w:rsidR="00640BF8">
        <w:t>w</w:t>
      </w:r>
      <w:r>
        <w:t>orkforce</w:t>
      </w:r>
    </w:p>
    <w:p w14:paraId="739BCBE1" w14:textId="7F6BB46D" w:rsidR="00603B69" w:rsidRDefault="00603B69" w:rsidP="00603B69">
      <w:pPr>
        <w:pStyle w:val="ARbody"/>
      </w:pPr>
      <w:r>
        <w:t>As part of the Aboriginal Workforce Fund</w:t>
      </w:r>
      <w:r w:rsidR="00D772E7">
        <w:t xml:space="preserve"> (discussed earlier under Objective 3)</w:t>
      </w:r>
      <w:r>
        <w:t xml:space="preserve"> and </w:t>
      </w:r>
      <w:r w:rsidR="00D52DF9">
        <w:br/>
      </w:r>
      <w:r>
        <w:t xml:space="preserve">COVID-19 demand funding, totalling $33 million, several </w:t>
      </w:r>
      <w:r w:rsidR="00640BF8">
        <w:t xml:space="preserve">Aboriginal </w:t>
      </w:r>
      <w:r w:rsidR="00D772E7">
        <w:t>c</w:t>
      </w:r>
      <w:r w:rsidR="00640BF8">
        <w:t xml:space="preserve">ommunity </w:t>
      </w:r>
      <w:r w:rsidR="00D772E7">
        <w:t>c</w:t>
      </w:r>
      <w:r w:rsidR="00640BF8">
        <w:t xml:space="preserve">ontrolled </w:t>
      </w:r>
      <w:r w:rsidR="00D772E7">
        <w:t>h</w:t>
      </w:r>
      <w:r w:rsidR="00640BF8">
        <w:t xml:space="preserve">ealth </w:t>
      </w:r>
      <w:r w:rsidR="00D772E7">
        <w:t>o</w:t>
      </w:r>
      <w:r w:rsidR="00640BF8">
        <w:t>rganisations</w:t>
      </w:r>
      <w:r w:rsidR="00D772E7">
        <w:t xml:space="preserve"> (</w:t>
      </w:r>
      <w:r>
        <w:t>ACCHOs</w:t>
      </w:r>
      <w:r w:rsidR="00D772E7">
        <w:t>)</w:t>
      </w:r>
      <w:r>
        <w:t xml:space="preserve"> are implementing local initiatives to strengthen partnerships with mainstream health services to increase cultural safety, break down service barriers, build trust with communities and embed Aboriginal knowledge and holistic approaches to healthcare in the broader health system.</w:t>
      </w:r>
    </w:p>
    <w:p w14:paraId="3AE97BBD" w14:textId="3D408731" w:rsidR="00603B69" w:rsidRDefault="00603B69" w:rsidP="00603B69">
      <w:pPr>
        <w:pStyle w:val="ARbody"/>
      </w:pPr>
      <w:r>
        <w:t xml:space="preserve">A key focus is to strengthen the cultural safety of both Aboriginal workers across the health sector and Aboriginal service users. A culturally safe healthcare system provides Aboriginal Victorians </w:t>
      </w:r>
      <w:r w:rsidR="005F3480">
        <w:t xml:space="preserve">with </w:t>
      </w:r>
      <w:r>
        <w:t xml:space="preserve">equitable access to services and healthcare providers that </w:t>
      </w:r>
      <w:r w:rsidRPr="00D772E7">
        <w:t>are</w:t>
      </w:r>
      <w:r>
        <w:t xml:space="preserve"> free from racism and meet health and wellbeing needs. </w:t>
      </w:r>
      <w:r w:rsidR="0009028B">
        <w:t xml:space="preserve">This </w:t>
      </w:r>
      <w:r>
        <w:t>is particularly important for those who do not have an ACCHO in their local area or require specialist services not provided by their local ACCHO.</w:t>
      </w:r>
    </w:p>
    <w:p w14:paraId="2A3CC506" w14:textId="423A70D6" w:rsidR="00603B69" w:rsidRDefault="00603B69" w:rsidP="00603B69">
      <w:pPr>
        <w:pStyle w:val="ARbody"/>
      </w:pPr>
      <w:r>
        <w:t>Health services in receipt of Aboriginal cultural safety fixed grants are required to increase Aboriginal employment and career opportunities within their service, strengthen cultural safety at all levels of the organisation and provide a cultural safety plan and annual report.</w:t>
      </w:r>
    </w:p>
    <w:p w14:paraId="28E0D95A" w14:textId="1BDDAF7F" w:rsidR="003F0283" w:rsidRDefault="00603B69" w:rsidP="00603B69">
      <w:pPr>
        <w:pStyle w:val="ARbody"/>
      </w:pPr>
      <w:r>
        <w:t>A further $12.7 million was allocated to ACCHOs to</w:t>
      </w:r>
      <w:r w:rsidR="00D52DF9">
        <w:t> </w:t>
      </w:r>
      <w:r>
        <w:t>establish and expand multidisciplinary social and</w:t>
      </w:r>
      <w:r w:rsidR="00D52DF9">
        <w:t> </w:t>
      </w:r>
      <w:r>
        <w:t>emotional wellbeing teams. Of these funds, $4.2</w:t>
      </w:r>
      <w:r w:rsidR="00D52DF9">
        <w:t> </w:t>
      </w:r>
      <w:r>
        <w:t xml:space="preserve">million was provided to ACCHOs in the </w:t>
      </w:r>
      <w:r w:rsidR="00D52DF9">
        <w:br/>
      </w:r>
      <w:r>
        <w:t>202</w:t>
      </w:r>
      <w:r w:rsidR="005E4358">
        <w:t>1–</w:t>
      </w:r>
      <w:r>
        <w:t>2022 financial year, with ACCHOs requesting that further recurrent funding</w:t>
      </w:r>
      <w:r w:rsidR="003F0283">
        <w:t xml:space="preserve"> </w:t>
      </w:r>
      <w:r>
        <w:t>be allocated through a</w:t>
      </w:r>
      <w:r w:rsidR="00D52DF9">
        <w:t> </w:t>
      </w:r>
      <w:r>
        <w:t>gradual, scaled</w:t>
      </w:r>
      <w:r w:rsidR="0009028B">
        <w:t>-</w:t>
      </w:r>
      <w:r>
        <w:t xml:space="preserve">up approach to expansion. The expansion of </w:t>
      </w:r>
      <w:r w:rsidR="0009028B">
        <w:t>these</w:t>
      </w:r>
      <w:r>
        <w:t xml:space="preserve"> teams in ACCHOs was a key recommendation from the Royal Commission into Victoria’s Mental Health System interim report. Implementation of </w:t>
      </w:r>
      <w:r w:rsidR="0009028B">
        <w:t xml:space="preserve">the </w:t>
      </w:r>
      <w:r>
        <w:t xml:space="preserve">Royal Commission reforms </w:t>
      </w:r>
      <w:r w:rsidR="0009028B">
        <w:t xml:space="preserve">has </w:t>
      </w:r>
      <w:r>
        <w:t>focused on improving Aboriginal social and emotional wellbeing</w:t>
      </w:r>
      <w:r w:rsidR="0009028B">
        <w:t>,</w:t>
      </w:r>
      <w:r>
        <w:t xml:space="preserve"> </w:t>
      </w:r>
      <w:r w:rsidR="00085F11">
        <w:t xml:space="preserve">and </w:t>
      </w:r>
      <w:r>
        <w:t>ensur</w:t>
      </w:r>
      <w:r w:rsidR="0009028B">
        <w:t>ing</w:t>
      </w:r>
      <w:r>
        <w:t xml:space="preserve"> Aboriginal people can decide where they receive treatment</w:t>
      </w:r>
      <w:r w:rsidR="00085F11">
        <w:t xml:space="preserve">. </w:t>
      </w:r>
      <w:r w:rsidR="00C56F5C">
        <w:t>T</w:t>
      </w:r>
      <w:r w:rsidR="00085F11">
        <w:t>hese reforms</w:t>
      </w:r>
      <w:r w:rsidR="00C56F5C">
        <w:t xml:space="preserve"> seek to ensure that</w:t>
      </w:r>
      <w:r w:rsidR="0038242D">
        <w:t xml:space="preserve"> </w:t>
      </w:r>
      <w:r>
        <w:t xml:space="preserve">all treatment, care and support </w:t>
      </w:r>
      <w:r w:rsidR="00C56F5C">
        <w:t>is</w:t>
      </w:r>
      <w:r>
        <w:t xml:space="preserve"> safe, inclusive, respectful and responsive</w:t>
      </w:r>
      <w:r w:rsidR="0009028B">
        <w:t>,</w:t>
      </w:r>
      <w:r>
        <w:t xml:space="preserve"> irrespective of whether it is provided through ACCHOs or mainstream health services.</w:t>
      </w:r>
    </w:p>
    <w:p w14:paraId="16C2C41C" w14:textId="5781A3B6" w:rsidR="00BE6A89" w:rsidRDefault="00BE6A89" w:rsidP="00603B69">
      <w:pPr>
        <w:pStyle w:val="ARbody"/>
      </w:pPr>
      <w:r>
        <w:t xml:space="preserve">In </w:t>
      </w:r>
      <w:r w:rsidR="00BF7E1E">
        <w:t>2021–22</w:t>
      </w:r>
      <w:r>
        <w:t xml:space="preserve">, the department supported five Aboriginal nurses in four health services to participate in the Aboriginal </w:t>
      </w:r>
      <w:r w:rsidR="003D5DCA">
        <w:t>P</w:t>
      </w:r>
      <w:r>
        <w:t xml:space="preserve">ostgraduate </w:t>
      </w:r>
      <w:r w:rsidR="003D5DCA">
        <w:t>N</w:t>
      </w:r>
      <w:r>
        <w:t xml:space="preserve">ursing and </w:t>
      </w:r>
      <w:r w:rsidR="003D5DCA">
        <w:t>M</w:t>
      </w:r>
      <w:r>
        <w:t xml:space="preserve">idwifery </w:t>
      </w:r>
      <w:r w:rsidR="003D5DCA">
        <w:t>S</w:t>
      </w:r>
      <w:r>
        <w:t xml:space="preserve">cholarship </w:t>
      </w:r>
      <w:r w:rsidR="003D5DCA">
        <w:t>P</w:t>
      </w:r>
      <w:r>
        <w:t>rogram; and 25 cadetships across 11 health services for Aboriginal nursing, midwifery, and allied health undergraduate students in their final years of study to participate in paid work experience within a Victorian public health service.</w:t>
      </w:r>
    </w:p>
    <w:p w14:paraId="441F10D5" w14:textId="7BCD9FE3" w:rsidR="00CA7B4D" w:rsidRDefault="0009028B" w:rsidP="00CA7B4D">
      <w:pPr>
        <w:pStyle w:val="ARbody"/>
      </w:pPr>
      <w:r>
        <w:t xml:space="preserve">Increasing </w:t>
      </w:r>
      <w:r w:rsidR="00603B69">
        <w:t xml:space="preserve">the number of Aboriginal health professionals employed by public health services is also important </w:t>
      </w:r>
      <w:r w:rsidR="004B16E8">
        <w:t xml:space="preserve">in </w:t>
      </w:r>
      <w:r w:rsidR="00603B69">
        <w:t>contribut</w:t>
      </w:r>
      <w:r w:rsidR="004B16E8">
        <w:t>ing</w:t>
      </w:r>
      <w:r w:rsidR="00603B69">
        <w:t xml:space="preserve"> to positive health and wellbeing outcomes for Victorian Aboriginal peoples and </w:t>
      </w:r>
      <w:r w:rsidR="00085F11">
        <w:t xml:space="preserve">their </w:t>
      </w:r>
      <w:r w:rsidR="00603B69">
        <w:t>communit</w:t>
      </w:r>
      <w:r w:rsidR="00085F11">
        <w:t>ies</w:t>
      </w:r>
      <w:r w:rsidR="005F4590">
        <w:t xml:space="preserve">, and </w:t>
      </w:r>
      <w:r w:rsidR="00F33135">
        <w:t>supporting</w:t>
      </w:r>
      <w:r w:rsidR="005F4590">
        <w:t xml:space="preserve"> </w:t>
      </w:r>
      <w:r w:rsidR="00562670">
        <w:t xml:space="preserve">a </w:t>
      </w:r>
      <w:r w:rsidR="005F4590">
        <w:t>culturally safe work environment.</w:t>
      </w:r>
    </w:p>
    <w:p w14:paraId="41EB8858" w14:textId="5505397A" w:rsidR="00603B69" w:rsidRDefault="00603B69" w:rsidP="00603B69">
      <w:pPr>
        <w:pStyle w:val="Heading6"/>
      </w:pPr>
      <w:r>
        <w:t xml:space="preserve">Aboriginal </w:t>
      </w:r>
      <w:r w:rsidR="00D74DB1">
        <w:t>c</w:t>
      </w:r>
      <w:r>
        <w:t xml:space="preserve">ultural </w:t>
      </w:r>
      <w:r w:rsidR="00D74DB1">
        <w:t>s</w:t>
      </w:r>
      <w:r>
        <w:t xml:space="preserve">afety </w:t>
      </w:r>
      <w:r w:rsidR="00D74DB1">
        <w:t>f</w:t>
      </w:r>
      <w:r>
        <w:t>ramework</w:t>
      </w:r>
    </w:p>
    <w:p w14:paraId="57F1A996" w14:textId="096CAB30" w:rsidR="003F0283" w:rsidRDefault="00603B69" w:rsidP="00603B69">
      <w:pPr>
        <w:pStyle w:val="ARbody"/>
      </w:pPr>
      <w:r>
        <w:t xml:space="preserve">The department is committed to ensuring that Aboriginal Victorians have access to culturally safe, holistic health services and continues to implement initiatives that align to the </w:t>
      </w:r>
      <w:r w:rsidRPr="009002F1">
        <w:rPr>
          <w:i/>
          <w:iCs/>
        </w:rPr>
        <w:t xml:space="preserve">Aboriginal </w:t>
      </w:r>
      <w:r w:rsidR="00AF1CD0" w:rsidRPr="009002F1">
        <w:rPr>
          <w:i/>
          <w:iCs/>
        </w:rPr>
        <w:t xml:space="preserve">and Torres Strait Islander </w:t>
      </w:r>
      <w:r w:rsidR="004B16E8" w:rsidRPr="009002F1">
        <w:rPr>
          <w:i/>
          <w:iCs/>
        </w:rPr>
        <w:t>c</w:t>
      </w:r>
      <w:r w:rsidRPr="009002F1">
        <w:rPr>
          <w:i/>
          <w:iCs/>
        </w:rPr>
        <w:t xml:space="preserve">ultural </w:t>
      </w:r>
      <w:r w:rsidR="004B16E8" w:rsidRPr="009002F1">
        <w:rPr>
          <w:i/>
          <w:iCs/>
        </w:rPr>
        <w:t>s</w:t>
      </w:r>
      <w:r w:rsidRPr="009002F1">
        <w:rPr>
          <w:i/>
          <w:iCs/>
        </w:rPr>
        <w:t xml:space="preserve">afety </w:t>
      </w:r>
      <w:r w:rsidR="004B16E8" w:rsidRPr="009002F1">
        <w:rPr>
          <w:i/>
          <w:iCs/>
        </w:rPr>
        <w:t>f</w:t>
      </w:r>
      <w:r w:rsidRPr="009002F1">
        <w:rPr>
          <w:i/>
          <w:iCs/>
        </w:rPr>
        <w:t>ramework</w:t>
      </w:r>
      <w:r>
        <w:t>. Th</w:t>
      </w:r>
      <w:r w:rsidR="004B16E8">
        <w:t>e</w:t>
      </w:r>
      <w:r>
        <w:t>s</w:t>
      </w:r>
      <w:r w:rsidR="004B16E8">
        <w:t>e</w:t>
      </w:r>
      <w:r>
        <w:t xml:space="preserve"> include:</w:t>
      </w:r>
    </w:p>
    <w:p w14:paraId="70580C55" w14:textId="6CAFC5D7" w:rsidR="00603B69" w:rsidRDefault="00603B69" w:rsidP="006501BE">
      <w:pPr>
        <w:pStyle w:val="ARbullet1"/>
      </w:pPr>
      <w:r>
        <w:t>continued funding to strengthen the cultural safety of mainstream health services through the statewide Aboriginal cultural safety fixed grant funding ($28 million per annum).</w:t>
      </w:r>
      <w:r w:rsidR="003F0283">
        <w:t xml:space="preserve"> </w:t>
      </w:r>
      <w:r>
        <w:t>Th</w:t>
      </w:r>
      <w:r w:rsidR="004B16E8">
        <w:t>is</w:t>
      </w:r>
      <w:r>
        <w:t xml:space="preserve"> funding model supports the delivery, transparency and accountability of cultural safety actions in Victorian public health services across eight cultural safety domains.</w:t>
      </w:r>
    </w:p>
    <w:p w14:paraId="7CDE0380" w14:textId="4894A45C" w:rsidR="00603B69" w:rsidRDefault="004B16E8" w:rsidP="006501BE">
      <w:pPr>
        <w:pStyle w:val="ARbullet1"/>
      </w:pPr>
      <w:r>
        <w:t xml:space="preserve">ensuring </w:t>
      </w:r>
      <w:r w:rsidR="00603B69">
        <w:t xml:space="preserve">Aboriginal cultural safety guidance notes and resources are made available to health services </w:t>
      </w:r>
      <w:r w:rsidR="00E208AD">
        <w:t xml:space="preserve">to guide them </w:t>
      </w:r>
      <w:r w:rsidR="00603B69">
        <w:t xml:space="preserve">in strategies and actions to strengthen the cultural safety of </w:t>
      </w:r>
      <w:r w:rsidR="00E208AD">
        <w:t xml:space="preserve">their </w:t>
      </w:r>
      <w:r w:rsidR="00603B69">
        <w:t>organisations, workforce and service delivery. In</w:t>
      </w:r>
      <w:r w:rsidR="00D52DF9">
        <w:t> </w:t>
      </w:r>
      <w:r w:rsidR="00603B69">
        <w:t>addition to this, funding has been provided to</w:t>
      </w:r>
      <w:r w:rsidR="00D74DB1">
        <w:t xml:space="preserve"> the Victorian Aboriginal Community Controlled Health </w:t>
      </w:r>
      <w:r w:rsidR="00E21EEB">
        <w:t>Organisation</w:t>
      </w:r>
      <w:r w:rsidR="00603B69">
        <w:t xml:space="preserve"> </w:t>
      </w:r>
      <w:r w:rsidR="00D74DB1" w:rsidRPr="00D74DB1">
        <w:t>(</w:t>
      </w:r>
      <w:r w:rsidR="00603B69" w:rsidRPr="00D74DB1">
        <w:t>VACCHO</w:t>
      </w:r>
      <w:r w:rsidR="00D74DB1" w:rsidRPr="00D74DB1">
        <w:t>)</w:t>
      </w:r>
      <w:r w:rsidR="00603B69">
        <w:t xml:space="preserve"> to develop cultural safety resources to guide and support health services in strengthening cultural safety.</w:t>
      </w:r>
    </w:p>
    <w:p w14:paraId="6C39319F" w14:textId="556E840F" w:rsidR="00603B69" w:rsidRDefault="00E208AD" w:rsidP="006501BE">
      <w:pPr>
        <w:pStyle w:val="ARbullet1"/>
      </w:pPr>
      <w:r>
        <w:t xml:space="preserve">funding </w:t>
      </w:r>
      <w:r w:rsidR="00603B69">
        <w:t xml:space="preserve">VACCHO to explore the feasibility </w:t>
      </w:r>
      <w:r>
        <w:t xml:space="preserve">of </w:t>
      </w:r>
      <w:r w:rsidR="00603B69">
        <w:t>the development and implementation of an Aboriginal cultural safety accreditation program. Th</w:t>
      </w:r>
      <w:r>
        <w:t>is</w:t>
      </w:r>
      <w:r w:rsidR="00603B69">
        <w:t xml:space="preserve"> feasibility study is scoping options </w:t>
      </w:r>
      <w:r>
        <w:t xml:space="preserve">for the </w:t>
      </w:r>
      <w:r w:rsidR="00603B69">
        <w:t>implement</w:t>
      </w:r>
      <w:r>
        <w:t>ation of</w:t>
      </w:r>
      <w:r w:rsidR="00603B69">
        <w:t xml:space="preserve"> Aboriginal</w:t>
      </w:r>
      <w:r>
        <w:t>-</w:t>
      </w:r>
      <w:r w:rsidR="00603B69">
        <w:t>defined cultural safety standards that align with current accreditation standards and programs.</w:t>
      </w:r>
    </w:p>
    <w:p w14:paraId="69317ECB" w14:textId="34FEE206" w:rsidR="00603B69" w:rsidRDefault="00603B69" w:rsidP="006501BE">
      <w:pPr>
        <w:pStyle w:val="ARbullet1"/>
      </w:pPr>
      <w:r>
        <w:t xml:space="preserve">ongoing investment </w:t>
      </w:r>
      <w:r w:rsidR="00E208AD">
        <w:t xml:space="preserve">in </w:t>
      </w:r>
      <w:r>
        <w:t xml:space="preserve">VACCHO to lead an Aboriginal network and support system for Aboriginal </w:t>
      </w:r>
      <w:r w:rsidR="00E208AD">
        <w:t>h</w:t>
      </w:r>
      <w:r>
        <w:t xml:space="preserve">ospital </w:t>
      </w:r>
      <w:r w:rsidR="00E208AD">
        <w:t>l</w:t>
      </w:r>
      <w:r>
        <w:t xml:space="preserve">iaison </w:t>
      </w:r>
      <w:r w:rsidR="00E208AD">
        <w:t>o</w:t>
      </w:r>
      <w:r>
        <w:t>fficers across the</w:t>
      </w:r>
      <w:r w:rsidR="002B7022">
        <w:t> </w:t>
      </w:r>
      <w:r>
        <w:t>state.</w:t>
      </w:r>
    </w:p>
    <w:p w14:paraId="0F818B8A" w14:textId="223327D8" w:rsidR="00603B69" w:rsidRDefault="00D74DB1" w:rsidP="006501BE">
      <w:pPr>
        <w:pStyle w:val="Heading4"/>
      </w:pPr>
      <w:bookmarkStart w:id="104" w:name="_Sustainable_investments_that"/>
      <w:bookmarkStart w:id="105" w:name="_Ref104215460"/>
      <w:bookmarkEnd w:id="104"/>
      <w:r>
        <w:t xml:space="preserve">Key priority: </w:t>
      </w:r>
      <w:r w:rsidR="00603B69">
        <w:t>Sustainable investments that deliver the greatest impact on the community’s health</w:t>
      </w:r>
      <w:bookmarkEnd w:id="105"/>
    </w:p>
    <w:p w14:paraId="59B0C79F" w14:textId="77777777" w:rsidR="003D5E1A" w:rsidRDefault="00603B69" w:rsidP="00603B69">
      <w:pPr>
        <w:pStyle w:val="Heading5"/>
      </w:pPr>
      <w:r w:rsidRPr="00C44F19">
        <w:t>Provide additional funding for elective surgery to help reduce the waitlist</w:t>
      </w:r>
    </w:p>
    <w:p w14:paraId="5D708931" w14:textId="0458B4F6" w:rsidR="00210C3C" w:rsidRDefault="005F3A1A" w:rsidP="00603B69">
      <w:pPr>
        <w:pStyle w:val="ARbody"/>
      </w:pPr>
      <w:r w:rsidRPr="00767391">
        <w:t xml:space="preserve">The Victorian Government’s </w:t>
      </w:r>
      <w:r w:rsidRPr="00D04882">
        <w:t xml:space="preserve">COVID </w:t>
      </w:r>
      <w:r w:rsidR="00D834FF">
        <w:t>C</w:t>
      </w:r>
      <w:r w:rsidRPr="00D04882">
        <w:t>atch</w:t>
      </w:r>
      <w:r w:rsidR="00CC24BB" w:rsidRPr="00D04882">
        <w:t>-</w:t>
      </w:r>
      <w:r w:rsidR="00D834FF">
        <w:t>U</w:t>
      </w:r>
      <w:r w:rsidRPr="00D04882">
        <w:t xml:space="preserve">p </w:t>
      </w:r>
      <w:r w:rsidR="00D834FF">
        <w:t>P</w:t>
      </w:r>
      <w:r w:rsidRPr="00D04882">
        <w:t>lan</w:t>
      </w:r>
      <w:r w:rsidR="00C554E9">
        <w:t> </w:t>
      </w:r>
      <w:r w:rsidRPr="00767391">
        <w:t>to boost surgical activity across Victoria is</w:t>
      </w:r>
      <w:r w:rsidR="00C554E9">
        <w:t> </w:t>
      </w:r>
      <w:r w:rsidRPr="00767391">
        <w:t xml:space="preserve">discussed in detail </w:t>
      </w:r>
      <w:r w:rsidR="00AE74EB">
        <w:t xml:space="preserve">under the heading: </w:t>
      </w:r>
      <w:hyperlink w:anchor="_Reduce_waiting_lists" w:history="1">
        <w:r w:rsidR="00015E73" w:rsidRPr="00015E73">
          <w:rPr>
            <w:rStyle w:val="Hyperlink"/>
          </w:rPr>
          <w:t>Reduce</w:t>
        </w:r>
        <w:r w:rsidR="00C554E9">
          <w:rPr>
            <w:rStyle w:val="Hyperlink"/>
          </w:rPr>
          <w:t> </w:t>
        </w:r>
        <w:r w:rsidR="00015E73" w:rsidRPr="00015E73">
          <w:rPr>
            <w:rStyle w:val="Hyperlink"/>
          </w:rPr>
          <w:t>waiting lists</w:t>
        </w:r>
      </w:hyperlink>
      <w:r w:rsidR="00015E73">
        <w:t>.</w:t>
      </w:r>
    </w:p>
    <w:p w14:paraId="1D5A35C3" w14:textId="77777777" w:rsidR="00603B69" w:rsidRPr="00C44F19" w:rsidRDefault="00603B69" w:rsidP="00603B69">
      <w:pPr>
        <w:pStyle w:val="Heading5"/>
      </w:pPr>
      <w:r w:rsidRPr="00C44F19">
        <w:t>Support the expansion of emergency department staffing</w:t>
      </w:r>
    </w:p>
    <w:p w14:paraId="41D0103A" w14:textId="0E889AFF" w:rsidR="003F0283" w:rsidRDefault="00603B69" w:rsidP="001A559C">
      <w:pPr>
        <w:pStyle w:val="ARbody"/>
      </w:pPr>
      <w:r w:rsidRPr="00C44F19">
        <w:t>I</w:t>
      </w:r>
      <w:r w:rsidRPr="00C44F19">
        <w:rPr>
          <w:rFonts w:eastAsia="Arial"/>
          <w:szCs w:val="20"/>
        </w:rPr>
        <w:t xml:space="preserve">n </w:t>
      </w:r>
      <w:r w:rsidR="006B3C1E">
        <w:rPr>
          <w:rFonts w:eastAsia="Arial"/>
          <w:szCs w:val="20"/>
        </w:rPr>
        <w:t>May</w:t>
      </w:r>
      <w:r w:rsidRPr="00C44F19">
        <w:rPr>
          <w:rFonts w:eastAsia="Arial"/>
          <w:szCs w:val="20"/>
        </w:rPr>
        <w:t xml:space="preserve"> 2021, the Victorian Government announced</w:t>
      </w:r>
      <w:r w:rsidR="00C554E9">
        <w:rPr>
          <w:rFonts w:eastAsia="Arial"/>
          <w:szCs w:val="20"/>
        </w:rPr>
        <w:t> </w:t>
      </w:r>
      <w:r w:rsidRPr="00C44F19">
        <w:rPr>
          <w:rFonts w:eastAsia="Arial"/>
          <w:color w:val="242424"/>
          <w:szCs w:val="20"/>
        </w:rPr>
        <w:t xml:space="preserve">$759 million in funding to health services to support ambulance and emergency department performance, improve </w:t>
      </w:r>
      <w:r w:rsidR="008B6450">
        <w:rPr>
          <w:rFonts w:eastAsia="Arial"/>
          <w:color w:val="242424"/>
          <w:szCs w:val="20"/>
        </w:rPr>
        <w:t>bed availability</w:t>
      </w:r>
      <w:r w:rsidRPr="00C44F19">
        <w:rPr>
          <w:rFonts w:eastAsia="Arial"/>
          <w:color w:val="242424"/>
          <w:szCs w:val="20"/>
        </w:rPr>
        <w:t xml:space="preserve"> within </w:t>
      </w:r>
      <w:r w:rsidR="008B6450">
        <w:rPr>
          <w:rFonts w:eastAsia="Arial"/>
          <w:color w:val="242424"/>
          <w:szCs w:val="20"/>
        </w:rPr>
        <w:t>hospitals,</w:t>
      </w:r>
      <w:r w:rsidRPr="00C44F19">
        <w:rPr>
          <w:rFonts w:eastAsia="Arial"/>
          <w:color w:val="242424"/>
          <w:szCs w:val="20"/>
        </w:rPr>
        <w:t xml:space="preserve"> and </w:t>
      </w:r>
      <w:r w:rsidR="00310F28">
        <w:rPr>
          <w:rFonts w:eastAsia="Arial"/>
          <w:color w:val="242424"/>
          <w:szCs w:val="20"/>
        </w:rPr>
        <w:t>expand the</w:t>
      </w:r>
      <w:r w:rsidR="00964E60">
        <w:rPr>
          <w:rFonts w:eastAsia="Arial"/>
          <w:color w:val="242424"/>
          <w:szCs w:val="20"/>
        </w:rPr>
        <w:t xml:space="preserve"> </w:t>
      </w:r>
      <w:r w:rsidRPr="00C44F19">
        <w:rPr>
          <w:rFonts w:eastAsia="Arial"/>
          <w:color w:val="242424"/>
          <w:szCs w:val="20"/>
        </w:rPr>
        <w:t>healthcare workforce.</w:t>
      </w:r>
    </w:p>
    <w:p w14:paraId="61EE927E" w14:textId="64F74496" w:rsidR="00603B69" w:rsidRDefault="00603B69" w:rsidP="001A559C">
      <w:pPr>
        <w:pStyle w:val="ARbody"/>
        <w:rPr>
          <w:rFonts w:eastAsia="Arial"/>
          <w:color w:val="242424"/>
          <w:szCs w:val="20"/>
        </w:rPr>
      </w:pPr>
      <w:r w:rsidRPr="00C44F19">
        <w:rPr>
          <w:rFonts w:eastAsia="Arial"/>
          <w:color w:val="242424"/>
          <w:szCs w:val="20"/>
        </w:rPr>
        <w:t xml:space="preserve">The funding included $266 million for Ambulance Victoria to </w:t>
      </w:r>
      <w:r w:rsidR="00964E60">
        <w:rPr>
          <w:rFonts w:eastAsia="Arial"/>
          <w:color w:val="242424"/>
          <w:szCs w:val="20"/>
        </w:rPr>
        <w:t>employ</w:t>
      </w:r>
      <w:r w:rsidRPr="00C44F19">
        <w:rPr>
          <w:rFonts w:eastAsia="Arial"/>
          <w:color w:val="242424"/>
          <w:szCs w:val="20"/>
        </w:rPr>
        <w:t xml:space="preserve"> additional triage nurses an</w:t>
      </w:r>
      <w:r w:rsidR="007C71B5">
        <w:rPr>
          <w:rFonts w:eastAsia="Arial"/>
          <w:color w:val="242424"/>
          <w:szCs w:val="20"/>
        </w:rPr>
        <w:t>d</w:t>
      </w:r>
      <w:r w:rsidRPr="00C44F19">
        <w:rPr>
          <w:rFonts w:eastAsia="Arial"/>
          <w:color w:val="242424"/>
          <w:szCs w:val="20"/>
        </w:rPr>
        <w:t xml:space="preserve"> expan</w:t>
      </w:r>
      <w:r w:rsidR="007C71B5">
        <w:rPr>
          <w:rFonts w:eastAsia="Arial"/>
          <w:color w:val="242424"/>
          <w:szCs w:val="20"/>
        </w:rPr>
        <w:t>d</w:t>
      </w:r>
      <w:r w:rsidRPr="00C44F19">
        <w:rPr>
          <w:rFonts w:eastAsia="Arial"/>
          <w:color w:val="242424"/>
          <w:szCs w:val="20"/>
        </w:rPr>
        <w:t xml:space="preserve"> secondary triage services and non-emergency patient transfers, and $89 million to</w:t>
      </w:r>
      <w:r w:rsidR="00D52DF9">
        <w:rPr>
          <w:rFonts w:eastAsia="Arial"/>
          <w:color w:val="242424"/>
          <w:szCs w:val="20"/>
        </w:rPr>
        <w:t> </w:t>
      </w:r>
      <w:r w:rsidRPr="00C44F19">
        <w:rPr>
          <w:rFonts w:eastAsia="Arial"/>
          <w:color w:val="242424"/>
          <w:szCs w:val="20"/>
        </w:rPr>
        <w:t>boost capacity and drive improvements in emergency departments.</w:t>
      </w:r>
    </w:p>
    <w:p w14:paraId="2395206D" w14:textId="2368CAC5" w:rsidR="00966351" w:rsidRPr="00C44F19" w:rsidRDefault="00966351" w:rsidP="001A559C">
      <w:pPr>
        <w:pStyle w:val="ARbody"/>
      </w:pPr>
      <w:r w:rsidRPr="00E46081">
        <w:t xml:space="preserve">Through this multi-year program the department seeks to ensure that Victorians who need urgent access to emergency care get it, wherever they live. </w:t>
      </w:r>
      <w:r w:rsidR="00E46081" w:rsidRPr="004D6831">
        <w:t xml:space="preserve">In addition, as the program is aimed at </w:t>
      </w:r>
      <w:r w:rsidRPr="00E46081">
        <w:t>primary care</w:t>
      </w:r>
      <w:r w:rsidR="00E46081">
        <w:t xml:space="preserve"> providers</w:t>
      </w:r>
      <w:r w:rsidRPr="00E46081">
        <w:t xml:space="preserve">, </w:t>
      </w:r>
      <w:r w:rsidR="00E46081" w:rsidRPr="004D6831">
        <w:t>it will also help</w:t>
      </w:r>
      <w:r w:rsidR="00D834FF" w:rsidRPr="00E46081">
        <w:t xml:space="preserve"> </w:t>
      </w:r>
      <w:r w:rsidRPr="00E46081">
        <w:t>to</w:t>
      </w:r>
      <w:r w:rsidR="00D52DF9" w:rsidRPr="00E46081">
        <w:t> </w:t>
      </w:r>
      <w:r w:rsidRPr="00E46081">
        <w:t>prevent unnecessary ambulance calls and emergency department presentations.</w:t>
      </w:r>
    </w:p>
    <w:p w14:paraId="1876DE31" w14:textId="09724666" w:rsidR="00603B69" w:rsidRPr="00C44F19" w:rsidRDefault="00603B69" w:rsidP="00603B69">
      <w:pPr>
        <w:pStyle w:val="Heading5"/>
      </w:pPr>
      <w:r w:rsidRPr="00C44F19">
        <w:t xml:space="preserve">Invest in sustainable healthcare </w:t>
      </w:r>
      <w:r w:rsidR="00D52DF9">
        <w:br/>
      </w:r>
      <w:r w:rsidRPr="00C44F19">
        <w:t>and public sector aged care delivery</w:t>
      </w:r>
    </w:p>
    <w:p w14:paraId="2336BF4A" w14:textId="6C0160E8" w:rsidR="00603B69" w:rsidRPr="00C44F19" w:rsidRDefault="00CE4516" w:rsidP="00603B69">
      <w:pPr>
        <w:pStyle w:val="ARbody"/>
      </w:pPr>
      <w:r>
        <w:t xml:space="preserve">In </w:t>
      </w:r>
      <w:r w:rsidR="006C15A9">
        <w:t>2021–22</w:t>
      </w:r>
      <w:r>
        <w:t xml:space="preserve">, </w:t>
      </w:r>
      <w:r w:rsidR="00603B69" w:rsidRPr="00C44F19">
        <w:t>$28.8 million</w:t>
      </w:r>
      <w:r>
        <w:t xml:space="preserve"> was</w:t>
      </w:r>
      <w:r w:rsidR="00603B69" w:rsidRPr="00C44F19">
        <w:t xml:space="preserve"> invested to support public sector residential aged care services to provide high</w:t>
      </w:r>
      <w:r>
        <w:t>-</w:t>
      </w:r>
      <w:r w:rsidR="00603B69" w:rsidRPr="00C44F19">
        <w:t>quality and safe care to older people living in residential aged care services</w:t>
      </w:r>
      <w:r>
        <w:t>. These funds</w:t>
      </w:r>
      <w:r w:rsidR="00603B69" w:rsidRPr="00C44F19">
        <w:t xml:space="preserve"> support Victoria’s nurse to resident ratios in high</w:t>
      </w:r>
      <w:r>
        <w:t>-</w:t>
      </w:r>
      <w:r w:rsidR="00603B69" w:rsidRPr="00C44F19">
        <w:t xml:space="preserve">care services and care supplements </w:t>
      </w:r>
      <w:r w:rsidR="000A4AF8">
        <w:t xml:space="preserve">for the </w:t>
      </w:r>
      <w:r w:rsidR="00603B69" w:rsidRPr="00C44F19">
        <w:t>complex care needs of PSRACS residents.</w:t>
      </w:r>
    </w:p>
    <w:p w14:paraId="3881773B" w14:textId="77777777" w:rsidR="00C554E9" w:rsidRPr="00C554E9" w:rsidRDefault="00C554E9" w:rsidP="00C554E9">
      <w:pPr>
        <w:pStyle w:val="ARbody"/>
      </w:pPr>
      <w:r w:rsidRPr="00C554E9">
        <w:br w:type="page"/>
      </w:r>
    </w:p>
    <w:p w14:paraId="110F822D" w14:textId="32566C32" w:rsidR="00603B69" w:rsidRPr="00C44F19" w:rsidRDefault="00603B69" w:rsidP="00603B69">
      <w:pPr>
        <w:pStyle w:val="Heading5"/>
      </w:pPr>
      <w:r w:rsidRPr="00C44F19">
        <w:t>Partner with services to enhance financial</w:t>
      </w:r>
      <w:r w:rsidR="00D52DF9">
        <w:t> </w:t>
      </w:r>
      <w:r w:rsidRPr="00C44F19">
        <w:t>monitoring and management</w:t>
      </w:r>
    </w:p>
    <w:p w14:paraId="59E28E63" w14:textId="4826CD3F" w:rsidR="003F0283" w:rsidRDefault="00603B69" w:rsidP="001A559C">
      <w:pPr>
        <w:pStyle w:val="ARbody"/>
      </w:pPr>
      <w:r w:rsidRPr="00C44F19">
        <w:rPr>
          <w:rFonts w:eastAsia="Arial"/>
          <w:color w:val="242424"/>
          <w:szCs w:val="20"/>
        </w:rPr>
        <w:t xml:space="preserve">A new system </w:t>
      </w:r>
      <w:r w:rsidRPr="6E9D0605">
        <w:rPr>
          <w:rFonts w:eastAsia="Arial"/>
          <w:color w:val="242424"/>
          <w:szCs w:val="20"/>
        </w:rPr>
        <w:t>for health services to submit monthly financial and non</w:t>
      </w:r>
      <w:r w:rsidR="000A4AF8">
        <w:rPr>
          <w:rFonts w:eastAsia="Arial"/>
          <w:color w:val="242424"/>
          <w:szCs w:val="20"/>
        </w:rPr>
        <w:t>-</w:t>
      </w:r>
      <w:r w:rsidRPr="6E9D0605">
        <w:rPr>
          <w:rFonts w:eastAsia="Arial"/>
          <w:color w:val="242424"/>
          <w:szCs w:val="20"/>
        </w:rPr>
        <w:t>financial data</w:t>
      </w:r>
      <w:r w:rsidR="000A4AF8">
        <w:rPr>
          <w:rFonts w:eastAsia="Arial"/>
          <w:color w:val="242424"/>
          <w:szCs w:val="20"/>
        </w:rPr>
        <w:t xml:space="preserve"> </w:t>
      </w:r>
      <w:r w:rsidR="000A4AF8" w:rsidRPr="00C44F19">
        <w:rPr>
          <w:rFonts w:eastAsia="Arial"/>
          <w:color w:val="242424"/>
          <w:szCs w:val="20"/>
        </w:rPr>
        <w:t>was implemented in</w:t>
      </w:r>
      <w:r w:rsidR="00D52DF9">
        <w:rPr>
          <w:rFonts w:eastAsia="Arial"/>
          <w:color w:val="242424"/>
          <w:szCs w:val="20"/>
        </w:rPr>
        <w:t> </w:t>
      </w:r>
      <w:r w:rsidR="000A4AF8" w:rsidRPr="00C44F19">
        <w:rPr>
          <w:rFonts w:eastAsia="Arial"/>
          <w:color w:val="242424"/>
          <w:szCs w:val="20"/>
        </w:rPr>
        <w:t>July</w:t>
      </w:r>
      <w:r w:rsidR="000A4AF8" w:rsidRPr="6E9D0605">
        <w:rPr>
          <w:rFonts w:eastAsia="Arial"/>
          <w:color w:val="242424"/>
          <w:szCs w:val="20"/>
        </w:rPr>
        <w:t xml:space="preserve"> 2021</w:t>
      </w:r>
      <w:r w:rsidRPr="6E9D0605">
        <w:rPr>
          <w:rFonts w:eastAsia="Arial"/>
          <w:color w:val="242424"/>
          <w:szCs w:val="20"/>
        </w:rPr>
        <w:t>. The Health Agencies Reporting Tool (HeART</w:t>
      </w:r>
      <w:r w:rsidR="00E73AE4">
        <w:rPr>
          <w:rFonts w:eastAsia="Arial"/>
          <w:color w:val="242424"/>
          <w:szCs w:val="20"/>
        </w:rPr>
        <w:t>)</w:t>
      </w:r>
      <w:r w:rsidRPr="6E9D0605">
        <w:rPr>
          <w:rFonts w:eastAsia="Arial"/>
          <w:color w:val="242424"/>
          <w:szCs w:val="20"/>
        </w:rPr>
        <w:t xml:space="preserve"> improve</w:t>
      </w:r>
      <w:r w:rsidR="0026728B">
        <w:rPr>
          <w:rFonts w:eastAsia="Arial"/>
          <w:color w:val="242424"/>
          <w:szCs w:val="20"/>
        </w:rPr>
        <w:t>s</w:t>
      </w:r>
      <w:r w:rsidRPr="6E9D0605">
        <w:rPr>
          <w:rFonts w:eastAsia="Arial"/>
          <w:color w:val="242424"/>
          <w:szCs w:val="20"/>
        </w:rPr>
        <w:t xml:space="preserve"> and standardise</w:t>
      </w:r>
      <w:r w:rsidR="0026728B">
        <w:rPr>
          <w:rFonts w:eastAsia="Arial"/>
          <w:color w:val="242424"/>
          <w:szCs w:val="20"/>
        </w:rPr>
        <w:t>s</w:t>
      </w:r>
      <w:r w:rsidRPr="6E9D0605">
        <w:rPr>
          <w:rFonts w:eastAsia="Arial"/>
          <w:color w:val="242424"/>
          <w:szCs w:val="20"/>
        </w:rPr>
        <w:t xml:space="preserve"> reporting across services</w:t>
      </w:r>
      <w:r w:rsidR="000A4AF8">
        <w:rPr>
          <w:rFonts w:eastAsia="Arial"/>
          <w:color w:val="242424"/>
          <w:szCs w:val="20"/>
        </w:rPr>
        <w:t>,</w:t>
      </w:r>
      <w:r w:rsidRPr="6E9D0605">
        <w:rPr>
          <w:rFonts w:eastAsia="Arial"/>
          <w:color w:val="242424"/>
          <w:szCs w:val="20"/>
        </w:rPr>
        <w:t xml:space="preserve"> enhanc</w:t>
      </w:r>
      <w:r w:rsidR="00E27929">
        <w:rPr>
          <w:rFonts w:eastAsia="Arial"/>
          <w:color w:val="242424"/>
          <w:szCs w:val="20"/>
        </w:rPr>
        <w:t xml:space="preserve">ing </w:t>
      </w:r>
      <w:r w:rsidRPr="6E9D0605">
        <w:rPr>
          <w:rFonts w:eastAsia="Arial"/>
          <w:color w:val="242424"/>
          <w:szCs w:val="20"/>
        </w:rPr>
        <w:t>capability and financial monitoring.</w:t>
      </w:r>
    </w:p>
    <w:p w14:paraId="0923173E" w14:textId="0201B1BE" w:rsidR="00603B69" w:rsidRPr="00C44F19" w:rsidRDefault="000A4AF8" w:rsidP="001A559C">
      <w:pPr>
        <w:pStyle w:val="ARbody"/>
      </w:pPr>
      <w:r>
        <w:rPr>
          <w:rFonts w:eastAsia="Arial"/>
          <w:color w:val="242424"/>
          <w:szCs w:val="20"/>
        </w:rPr>
        <w:t>Matters reported on</w:t>
      </w:r>
      <w:r w:rsidRPr="6E9D0605">
        <w:rPr>
          <w:rFonts w:eastAsia="Arial"/>
          <w:color w:val="242424"/>
          <w:szCs w:val="20"/>
        </w:rPr>
        <w:t xml:space="preserve"> </w:t>
      </w:r>
      <w:r w:rsidR="00603B69" w:rsidRPr="6E9D0605">
        <w:rPr>
          <w:rFonts w:eastAsia="Arial"/>
          <w:color w:val="242424"/>
          <w:szCs w:val="20"/>
        </w:rPr>
        <w:t>include a detailed trial balance, cash flow, budgets</w:t>
      </w:r>
      <w:r>
        <w:rPr>
          <w:rFonts w:eastAsia="Arial"/>
          <w:color w:val="242424"/>
          <w:szCs w:val="20"/>
        </w:rPr>
        <w:t xml:space="preserve"> and</w:t>
      </w:r>
      <w:r w:rsidR="00603B69" w:rsidRPr="6E9D0605">
        <w:rPr>
          <w:rFonts w:eastAsia="Arial"/>
          <w:color w:val="242424"/>
          <w:szCs w:val="20"/>
        </w:rPr>
        <w:t xml:space="preserve"> forecasts</w:t>
      </w:r>
      <w:r>
        <w:rPr>
          <w:rFonts w:eastAsia="Arial"/>
          <w:color w:val="242424"/>
          <w:szCs w:val="20"/>
        </w:rPr>
        <w:t>,</w:t>
      </w:r>
      <w:r w:rsidR="00603B69" w:rsidRPr="6E9D0605">
        <w:rPr>
          <w:rFonts w:eastAsia="Arial"/>
          <w:color w:val="242424"/>
          <w:szCs w:val="20"/>
        </w:rPr>
        <w:t xml:space="preserve"> as well as high</w:t>
      </w:r>
      <w:r>
        <w:rPr>
          <w:rFonts w:eastAsia="Arial"/>
          <w:color w:val="242424"/>
          <w:szCs w:val="20"/>
        </w:rPr>
        <w:t>-</w:t>
      </w:r>
      <w:r w:rsidR="00603B69" w:rsidRPr="6E9D0605">
        <w:rPr>
          <w:rFonts w:eastAsia="Arial"/>
          <w:color w:val="242424"/>
          <w:szCs w:val="20"/>
        </w:rPr>
        <w:t xml:space="preserve">level </w:t>
      </w:r>
      <w:r>
        <w:rPr>
          <w:rFonts w:eastAsia="Arial"/>
          <w:color w:val="242424"/>
          <w:szCs w:val="20"/>
        </w:rPr>
        <w:t>full</w:t>
      </w:r>
      <w:r w:rsidR="00E73AE4">
        <w:rPr>
          <w:rFonts w:eastAsia="Arial"/>
          <w:color w:val="242424"/>
          <w:szCs w:val="20"/>
        </w:rPr>
        <w:t>-</w:t>
      </w:r>
      <w:r>
        <w:rPr>
          <w:rFonts w:eastAsia="Arial"/>
          <w:color w:val="242424"/>
          <w:szCs w:val="20"/>
        </w:rPr>
        <w:t>time equivalent</w:t>
      </w:r>
      <w:r w:rsidR="00603B69" w:rsidRPr="6E9D0605">
        <w:rPr>
          <w:rFonts w:eastAsia="Arial"/>
          <w:color w:val="242424"/>
          <w:szCs w:val="20"/>
        </w:rPr>
        <w:t xml:space="preserve"> and </w:t>
      </w:r>
      <w:r w:rsidRPr="00154607">
        <w:rPr>
          <w:rFonts w:eastAsia="Arial"/>
          <w:color w:val="242424"/>
          <w:szCs w:val="20"/>
        </w:rPr>
        <w:t xml:space="preserve">national weighted activity unit </w:t>
      </w:r>
      <w:r w:rsidR="00603B69" w:rsidRPr="6E9D0605">
        <w:rPr>
          <w:rFonts w:eastAsia="Arial"/>
          <w:color w:val="242424"/>
          <w:szCs w:val="20"/>
        </w:rPr>
        <w:t xml:space="preserve">activity information. Health services </w:t>
      </w:r>
      <w:r w:rsidR="007C71B5">
        <w:rPr>
          <w:rFonts w:eastAsia="Arial"/>
          <w:color w:val="242424"/>
          <w:szCs w:val="20"/>
        </w:rPr>
        <w:t xml:space="preserve">also </w:t>
      </w:r>
      <w:r w:rsidR="00603B69" w:rsidRPr="6E9D0605">
        <w:rPr>
          <w:rFonts w:eastAsia="Arial"/>
          <w:color w:val="242424"/>
          <w:szCs w:val="20"/>
        </w:rPr>
        <w:t>have the ability to review data and reports via</w:t>
      </w:r>
      <w:r w:rsidR="00D52DF9">
        <w:rPr>
          <w:rFonts w:eastAsia="Arial"/>
          <w:color w:val="242424"/>
          <w:szCs w:val="20"/>
        </w:rPr>
        <w:t> </w:t>
      </w:r>
      <w:r w:rsidR="00603B69" w:rsidRPr="6E9D0605">
        <w:rPr>
          <w:rFonts w:eastAsia="Arial"/>
          <w:color w:val="242424"/>
          <w:szCs w:val="20"/>
        </w:rPr>
        <w:t>HeART</w:t>
      </w:r>
      <w:r>
        <w:rPr>
          <w:rFonts w:eastAsia="Arial"/>
          <w:color w:val="242424"/>
          <w:szCs w:val="20"/>
        </w:rPr>
        <w:t>,</w:t>
      </w:r>
      <w:r w:rsidR="00603B69" w:rsidRPr="6E9D0605">
        <w:rPr>
          <w:rFonts w:eastAsia="Arial"/>
          <w:color w:val="242424"/>
          <w:szCs w:val="20"/>
        </w:rPr>
        <w:t xml:space="preserve"> </w:t>
      </w:r>
      <w:r w:rsidR="00BD34D7">
        <w:rPr>
          <w:rFonts w:eastAsia="Arial"/>
          <w:color w:val="242424"/>
          <w:szCs w:val="20"/>
        </w:rPr>
        <w:t xml:space="preserve">a capability </w:t>
      </w:r>
      <w:r w:rsidR="00603B69" w:rsidRPr="6E9D0605">
        <w:rPr>
          <w:rFonts w:eastAsia="Arial"/>
          <w:color w:val="242424"/>
          <w:szCs w:val="20"/>
        </w:rPr>
        <w:t xml:space="preserve">not previously </w:t>
      </w:r>
      <w:r>
        <w:rPr>
          <w:rFonts w:eastAsia="Arial"/>
          <w:color w:val="242424"/>
          <w:szCs w:val="20"/>
        </w:rPr>
        <w:t>possible</w:t>
      </w:r>
      <w:r w:rsidR="00603B69" w:rsidRPr="6E9D0605">
        <w:rPr>
          <w:rFonts w:eastAsia="Arial"/>
          <w:color w:val="242424"/>
          <w:szCs w:val="20"/>
        </w:rPr>
        <w:t xml:space="preserve">. Complementing HeART is </w:t>
      </w:r>
      <w:r w:rsidR="003E4F25">
        <w:rPr>
          <w:rFonts w:eastAsia="Arial"/>
          <w:color w:val="242424"/>
          <w:szCs w:val="20"/>
        </w:rPr>
        <w:t>a</w:t>
      </w:r>
      <w:r w:rsidR="00603B69" w:rsidRPr="6E9D0605">
        <w:rPr>
          <w:rFonts w:eastAsia="Arial"/>
          <w:color w:val="242424"/>
          <w:szCs w:val="20"/>
        </w:rPr>
        <w:t xml:space="preserve"> </w:t>
      </w:r>
      <w:r w:rsidR="00603B69">
        <w:rPr>
          <w:rFonts w:eastAsia="Arial"/>
          <w:color w:val="242424"/>
          <w:szCs w:val="20"/>
        </w:rPr>
        <w:t>dedicated</w:t>
      </w:r>
      <w:r w:rsidR="00603B69" w:rsidRPr="6E9D0605">
        <w:rPr>
          <w:rFonts w:eastAsia="Arial"/>
          <w:color w:val="242424"/>
          <w:szCs w:val="20"/>
        </w:rPr>
        <w:t xml:space="preserve"> </w:t>
      </w:r>
      <w:r w:rsidR="00237D94">
        <w:rPr>
          <w:rFonts w:eastAsia="Arial"/>
          <w:color w:val="242424"/>
          <w:szCs w:val="20"/>
        </w:rPr>
        <w:t>h</w:t>
      </w:r>
      <w:r w:rsidR="00603B69" w:rsidRPr="6E9D0605">
        <w:rPr>
          <w:rFonts w:eastAsia="Arial"/>
          <w:color w:val="242424"/>
          <w:szCs w:val="20"/>
        </w:rPr>
        <w:t xml:space="preserve">ealth </w:t>
      </w:r>
      <w:r w:rsidR="00237D94">
        <w:rPr>
          <w:rFonts w:eastAsia="Arial"/>
          <w:color w:val="242424"/>
          <w:szCs w:val="20"/>
        </w:rPr>
        <w:t>s</w:t>
      </w:r>
      <w:r w:rsidR="00603B69" w:rsidRPr="6E9D0605">
        <w:rPr>
          <w:rFonts w:eastAsia="Arial"/>
          <w:color w:val="242424"/>
          <w:szCs w:val="20"/>
        </w:rPr>
        <w:t xml:space="preserve">ector </w:t>
      </w:r>
      <w:r w:rsidR="00237D94">
        <w:rPr>
          <w:rFonts w:eastAsia="Arial"/>
          <w:color w:val="242424"/>
          <w:szCs w:val="20"/>
        </w:rPr>
        <w:t>b</w:t>
      </w:r>
      <w:r w:rsidR="00603B69" w:rsidRPr="6E9D0605">
        <w:rPr>
          <w:rFonts w:eastAsia="Arial"/>
          <w:color w:val="242424"/>
          <w:szCs w:val="20"/>
        </w:rPr>
        <w:t xml:space="preserve">usiness </w:t>
      </w:r>
      <w:r w:rsidR="00237D94">
        <w:rPr>
          <w:rFonts w:eastAsia="Arial"/>
          <w:color w:val="242424"/>
          <w:szCs w:val="20"/>
        </w:rPr>
        <w:t>p</w:t>
      </w:r>
      <w:r w:rsidR="00603B69" w:rsidRPr="6E9D0605">
        <w:rPr>
          <w:rFonts w:eastAsia="Arial"/>
          <w:color w:val="242424"/>
          <w:szCs w:val="20"/>
        </w:rPr>
        <w:t xml:space="preserve">artnering </w:t>
      </w:r>
      <w:r w:rsidR="00603B69">
        <w:rPr>
          <w:rFonts w:eastAsia="Arial"/>
          <w:color w:val="242424"/>
          <w:szCs w:val="20"/>
        </w:rPr>
        <w:t xml:space="preserve">function </w:t>
      </w:r>
      <w:r w:rsidR="00237D94">
        <w:rPr>
          <w:rFonts w:eastAsia="Arial"/>
          <w:color w:val="242424"/>
          <w:szCs w:val="20"/>
        </w:rPr>
        <w:t>introduced</w:t>
      </w:r>
      <w:r w:rsidR="00106960">
        <w:rPr>
          <w:rFonts w:eastAsia="Arial"/>
          <w:color w:val="242424"/>
          <w:szCs w:val="20"/>
        </w:rPr>
        <w:t xml:space="preserve"> to</w:t>
      </w:r>
      <w:r w:rsidR="00603B69">
        <w:rPr>
          <w:rFonts w:eastAsia="Arial"/>
          <w:color w:val="242424"/>
          <w:szCs w:val="20"/>
        </w:rPr>
        <w:t xml:space="preserve"> </w:t>
      </w:r>
      <w:r w:rsidR="00603B69" w:rsidRPr="6E9D0605">
        <w:rPr>
          <w:rFonts w:eastAsia="Arial"/>
          <w:color w:val="242424"/>
          <w:szCs w:val="20"/>
        </w:rPr>
        <w:t xml:space="preserve">enhance </w:t>
      </w:r>
      <w:r w:rsidR="001773F9">
        <w:rPr>
          <w:rFonts w:eastAsia="Arial"/>
          <w:color w:val="242424"/>
          <w:szCs w:val="20"/>
        </w:rPr>
        <w:t>collaboration on</w:t>
      </w:r>
      <w:r w:rsidR="00603B69" w:rsidRPr="00C44F19">
        <w:rPr>
          <w:rFonts w:eastAsia="Arial"/>
          <w:color w:val="242424"/>
          <w:szCs w:val="20"/>
        </w:rPr>
        <w:t xml:space="preserve"> financial matters</w:t>
      </w:r>
      <w:r w:rsidR="001773F9">
        <w:rPr>
          <w:rFonts w:eastAsia="Arial"/>
          <w:color w:val="242424"/>
          <w:szCs w:val="20"/>
        </w:rPr>
        <w:t xml:space="preserve"> between the department and health services</w:t>
      </w:r>
      <w:r w:rsidR="00603B69" w:rsidRPr="00C44F19">
        <w:rPr>
          <w:rFonts w:eastAsia="Arial"/>
          <w:color w:val="242424"/>
          <w:szCs w:val="20"/>
        </w:rPr>
        <w:t>.</w:t>
      </w:r>
    </w:p>
    <w:p w14:paraId="223F6511" w14:textId="5F0494D1" w:rsidR="00603B69" w:rsidRPr="00C44F19" w:rsidRDefault="00603B69" w:rsidP="00C554E9">
      <w:pPr>
        <w:pStyle w:val="Heading5"/>
        <w:spacing w:before="160" w:after="60"/>
      </w:pPr>
      <w:r w:rsidRPr="00C44F19">
        <w:t>Reform our purchasing and supply</w:t>
      </w:r>
      <w:r w:rsidR="002B7022">
        <w:t> </w:t>
      </w:r>
      <w:r w:rsidRPr="00C44F19">
        <w:t>systems</w:t>
      </w:r>
    </w:p>
    <w:p w14:paraId="5B8957DD" w14:textId="70DD2BB3" w:rsidR="003F0283" w:rsidRDefault="00603B69" w:rsidP="00603B69">
      <w:pPr>
        <w:pStyle w:val="ARbody"/>
      </w:pPr>
      <w:r w:rsidRPr="00C44F19">
        <w:t>Key to reforming purchasing and supply systems is</w:t>
      </w:r>
      <w:r w:rsidR="00D52DF9">
        <w:t> </w:t>
      </w:r>
      <w:r w:rsidRPr="00C44F19">
        <w:t>the continued growth of HealthShare Victoria, a</w:t>
      </w:r>
      <w:r w:rsidR="009264CC">
        <w:t> </w:t>
      </w:r>
      <w:r w:rsidRPr="00C44F19">
        <w:t>commercially</w:t>
      </w:r>
      <w:r>
        <w:t xml:space="preserve"> oriented end-to-end supply chain, logistics and procurement service.</w:t>
      </w:r>
    </w:p>
    <w:p w14:paraId="3F8F0645" w14:textId="484B11D7" w:rsidR="00603B69" w:rsidRDefault="00237D94" w:rsidP="00603B69">
      <w:pPr>
        <w:pStyle w:val="ARbody"/>
      </w:pPr>
      <w:r>
        <w:t xml:space="preserve">In 2021–22 </w:t>
      </w:r>
      <w:r w:rsidR="00603B69">
        <w:t xml:space="preserve">HealthShare Victoria </w:t>
      </w:r>
      <w:r>
        <w:t xml:space="preserve">together with </w:t>
      </w:r>
      <w:r w:rsidR="00603B69">
        <w:t xml:space="preserve">the department </w:t>
      </w:r>
      <w:r>
        <w:t xml:space="preserve">undertook </w:t>
      </w:r>
      <w:r w:rsidR="00603B69">
        <w:t>several important streams of</w:t>
      </w:r>
      <w:r w:rsidR="00D52DF9">
        <w:t> </w:t>
      </w:r>
      <w:r w:rsidR="00603B69">
        <w:t>work</w:t>
      </w:r>
      <w:r>
        <w:t>,</w:t>
      </w:r>
      <w:r w:rsidR="00603B69">
        <w:t xml:space="preserve"> including;</w:t>
      </w:r>
    </w:p>
    <w:p w14:paraId="6CF06965" w14:textId="2ADB347E" w:rsidR="00603B69" w:rsidRDefault="00237D94" w:rsidP="006501BE">
      <w:pPr>
        <w:pStyle w:val="ARbullet1"/>
      </w:pPr>
      <w:r>
        <w:t>s</w:t>
      </w:r>
      <w:r w:rsidR="00603B69">
        <w:t>etting up a 22,500 square metre distribution centre (DC) in western Melbourne, and stocking the DC with bulk medical consumable</w:t>
      </w:r>
      <w:r w:rsidR="00186DA4">
        <w:t>s</w:t>
      </w:r>
    </w:p>
    <w:p w14:paraId="5E0829D9" w14:textId="6037925C" w:rsidR="00603B69" w:rsidRDefault="00186DA4" w:rsidP="006501BE">
      <w:pPr>
        <w:pStyle w:val="ARbullet1"/>
      </w:pPr>
      <w:r>
        <w:t>beginning</w:t>
      </w:r>
      <w:r w:rsidR="00603B69">
        <w:t xml:space="preserve"> the first stage of supply chain operations by taking over the procurement of products on collective agreements for The Royal Melbourne Hospital, Western Health, Northern Health, the Peter MacCallum Cancer Centre, The Royal Children’s Hospital, The Royal Women’s Hospital and the Royal Victorian Eye</w:t>
      </w:r>
      <w:r w:rsidR="00C554E9">
        <w:t> </w:t>
      </w:r>
      <w:r w:rsidR="00603B69">
        <w:t>and Ear Hospital.</w:t>
      </w:r>
    </w:p>
    <w:p w14:paraId="7A3A41DF" w14:textId="745425B8" w:rsidR="00603B69" w:rsidRDefault="00603B69" w:rsidP="006501BE">
      <w:pPr>
        <w:pStyle w:val="ARbullet1"/>
      </w:pPr>
      <w:r>
        <w:t xml:space="preserve">securing Tier 1 </w:t>
      </w:r>
      <w:r w:rsidR="00186DA4">
        <w:t>personal protective equipment</w:t>
      </w:r>
      <w:r w:rsidR="007467C8">
        <w:t xml:space="preserve"> (PPE)</w:t>
      </w:r>
      <w:r>
        <w:t>, hand hygiene and other disinfectants, medicines and equipment for central ordering and distribution through the State Supply Chain managed by Monash Health.</w:t>
      </w:r>
    </w:p>
    <w:p w14:paraId="7CEF69E9" w14:textId="4518040E" w:rsidR="003F0283" w:rsidRDefault="00603B69" w:rsidP="006501BE">
      <w:pPr>
        <w:pStyle w:val="ARbodyafterbullets"/>
      </w:pPr>
      <w:r>
        <w:t xml:space="preserve">Through </w:t>
      </w:r>
      <w:r w:rsidR="00CF1455">
        <w:t xml:space="preserve">its </w:t>
      </w:r>
      <w:r>
        <w:t xml:space="preserve">procurement arrangements HealthShare Victoria </w:t>
      </w:r>
      <w:r w:rsidR="00AE4207">
        <w:t>is already providing</w:t>
      </w:r>
      <w:r>
        <w:t xml:space="preserve"> savings and benefits to the health sector.</w:t>
      </w:r>
    </w:p>
    <w:p w14:paraId="483D04AA" w14:textId="25D214B7" w:rsidR="003F0283" w:rsidRDefault="00603B69" w:rsidP="00603B69">
      <w:pPr>
        <w:pStyle w:val="ARbody"/>
      </w:pPr>
      <w:r>
        <w:t xml:space="preserve">The COVID-19 pandemic has highlighted the importance of access </w:t>
      </w:r>
      <w:r w:rsidR="00CF1455">
        <w:t xml:space="preserve">to </w:t>
      </w:r>
      <w:r>
        <w:t xml:space="preserve">and </w:t>
      </w:r>
      <w:r w:rsidR="00CF1455">
        <w:t xml:space="preserve">security </w:t>
      </w:r>
      <w:r>
        <w:t xml:space="preserve">of supply </w:t>
      </w:r>
      <w:r w:rsidR="00186DA4">
        <w:t>of</w:t>
      </w:r>
      <w:r w:rsidR="002B7022">
        <w:t> </w:t>
      </w:r>
      <w:r>
        <w:t>health-related products and the importance of planning to mitigate against emerging risks.</w:t>
      </w:r>
    </w:p>
    <w:p w14:paraId="45D128D6" w14:textId="0A2B38F0" w:rsidR="00603B69" w:rsidRDefault="00603B69" w:rsidP="00603B69">
      <w:pPr>
        <w:pStyle w:val="ARbody"/>
      </w:pPr>
      <w:r>
        <w:t xml:space="preserve">While </w:t>
      </w:r>
      <w:r w:rsidR="00CF1455">
        <w:t xml:space="preserve">certain </w:t>
      </w:r>
      <w:r>
        <w:t>supplies (such as PPE) have stabilised since the start of the pandemic, the ongoing effect of longer-term supply chain disruptions has led to shortages in some areas. The department, in conjunction with HealthShare Victoria’s leadership</w:t>
      </w:r>
      <w:r w:rsidR="00CF1455">
        <w:t>,</w:t>
      </w:r>
      <w:r>
        <w:t xml:space="preserve"> continues to work in partnership with health services, Monash Health, the State Supply Chain, Safer Care Victoria and suppliers to facilitate </w:t>
      </w:r>
      <w:r w:rsidR="00CC11DB">
        <w:t>procurement</w:t>
      </w:r>
      <w:r w:rsidR="00CF1455">
        <w:t xml:space="preserve"> </w:t>
      </w:r>
      <w:r>
        <w:t>for Victoria’s public health services.</w:t>
      </w:r>
    </w:p>
    <w:p w14:paraId="0418650D" w14:textId="72A76A86" w:rsidR="00603B69" w:rsidRDefault="00603B69" w:rsidP="00603B69">
      <w:pPr>
        <w:pStyle w:val="Heading5"/>
      </w:pPr>
      <w:r>
        <w:t xml:space="preserve">Invest in quality, safety and </w:t>
      </w:r>
      <w:r w:rsidR="00D52DF9">
        <w:t>p</w:t>
      </w:r>
      <w:r>
        <w:t>atient</w:t>
      </w:r>
      <w:r w:rsidR="002B7022">
        <w:t> </w:t>
      </w:r>
      <w:r>
        <w:t>outcomes</w:t>
      </w:r>
    </w:p>
    <w:p w14:paraId="36E945E4" w14:textId="69AD2E43" w:rsidR="00603B69" w:rsidRDefault="00603B69" w:rsidP="00603B69">
      <w:pPr>
        <w:pStyle w:val="ARbody"/>
      </w:pPr>
      <w:r>
        <w:t>The department</w:t>
      </w:r>
      <w:r w:rsidR="00186DA4">
        <w:t>, in partnership with the Australian Government,</w:t>
      </w:r>
      <w:r>
        <w:t xml:space="preserve"> is leading the </w:t>
      </w:r>
      <w:r w:rsidR="00F4133B">
        <w:t>c</w:t>
      </w:r>
      <w:r w:rsidRPr="009C1FE9">
        <w:t xml:space="preserve">ardiac outcomes linked data </w:t>
      </w:r>
      <w:r>
        <w:t xml:space="preserve">project. The project aims to improve outcomes for Victorians with heart disease by giving clinicians the information they need to enhance services across general practice and </w:t>
      </w:r>
      <w:r w:rsidRPr="00C44F19">
        <w:t>specialist care.</w:t>
      </w:r>
      <w:r w:rsidR="003F0283">
        <w:t xml:space="preserve"> </w:t>
      </w:r>
      <w:r w:rsidRPr="00C44F19">
        <w:t>Data-driven insights will help general practitioners identify patient groups likely</w:t>
      </w:r>
      <w:r w:rsidR="00A25657">
        <w:t> </w:t>
      </w:r>
      <w:r w:rsidRPr="00C44F19">
        <w:t>to</w:t>
      </w:r>
      <w:r w:rsidR="00A25657">
        <w:t> </w:t>
      </w:r>
      <w:r w:rsidRPr="00C44F19">
        <w:t>require hospital care and provide early preventive</w:t>
      </w:r>
      <w:r w:rsidR="00E04D8C">
        <w:rPr>
          <w:color w:val="00B050"/>
        </w:rPr>
        <w:t xml:space="preserve"> </w:t>
      </w:r>
      <w:r w:rsidRPr="00C44F19">
        <w:t>treatments to improve patient outcomes.</w:t>
      </w:r>
    </w:p>
    <w:p w14:paraId="1AF4FFD9" w14:textId="5A2300FB" w:rsidR="0057133B" w:rsidRPr="00C44F19" w:rsidRDefault="006A3489" w:rsidP="00603B69">
      <w:pPr>
        <w:pStyle w:val="ARbody"/>
      </w:pPr>
      <w:r>
        <w:t>Safer Care Victoria</w:t>
      </w:r>
      <w:r w:rsidR="00337811">
        <w:t xml:space="preserve"> </w:t>
      </w:r>
      <w:r w:rsidR="00DA170D" w:rsidRPr="00DA170D">
        <w:t>work</w:t>
      </w:r>
      <w:r w:rsidR="00DA170D">
        <w:t>s</w:t>
      </w:r>
      <w:r w:rsidR="00DA170D" w:rsidRPr="00DA170D">
        <w:t xml:space="preserve"> with clinicians and consumers to help health services deliver better, safer healthcare to Victorians.</w:t>
      </w:r>
      <w:r w:rsidR="00DA170D">
        <w:t xml:space="preserve"> </w:t>
      </w:r>
      <w:r w:rsidR="0055504D">
        <w:t xml:space="preserve">Further information on its </w:t>
      </w:r>
      <w:r w:rsidR="004D4D20">
        <w:t>2021–22</w:t>
      </w:r>
      <w:r w:rsidR="0055504D">
        <w:t xml:space="preserve"> activities </w:t>
      </w:r>
      <w:r w:rsidR="00DD4778">
        <w:t xml:space="preserve">will be published </w:t>
      </w:r>
      <w:r w:rsidR="00A7440C">
        <w:t>in its annual report</w:t>
      </w:r>
      <w:r w:rsidR="0064545A">
        <w:t>,</w:t>
      </w:r>
      <w:r w:rsidR="00A7440C">
        <w:t xml:space="preserve"> </w:t>
      </w:r>
      <w:r w:rsidR="0011579A">
        <w:t>available</w:t>
      </w:r>
      <w:r w:rsidR="00AF700F">
        <w:t xml:space="preserve"> on</w:t>
      </w:r>
      <w:r w:rsidR="005D3391">
        <w:t xml:space="preserve"> the</w:t>
      </w:r>
      <w:r w:rsidR="00AF700F">
        <w:t xml:space="preserve"> </w:t>
      </w:r>
      <w:hyperlink r:id="rId42" w:history="1">
        <w:r w:rsidR="005D3391">
          <w:rPr>
            <w:rStyle w:val="Hyperlink"/>
          </w:rPr>
          <w:t>Safer Care Victoria w</w:t>
        </w:r>
        <w:r w:rsidR="00AF700F" w:rsidRPr="008D1911">
          <w:rPr>
            <w:rStyle w:val="Hyperlink"/>
          </w:rPr>
          <w:t>ebsite</w:t>
        </w:r>
      </w:hyperlink>
      <w:r w:rsidR="00DA170D">
        <w:t xml:space="preserve"> </w:t>
      </w:r>
      <w:r w:rsidR="00E7082A">
        <w:t>&lt;</w:t>
      </w:r>
      <w:r w:rsidR="00E7082A" w:rsidRPr="00E7082A">
        <w:t>https://www.safercare.vic.gov.au</w:t>
      </w:r>
      <w:r w:rsidR="008D1911">
        <w:t>&gt;</w:t>
      </w:r>
      <w:r w:rsidR="005D3391">
        <w:t>.</w:t>
      </w:r>
    </w:p>
    <w:p w14:paraId="2E2B0F13" w14:textId="0D7390C9" w:rsidR="00603B69" w:rsidRPr="00C44F19" w:rsidRDefault="00603B69" w:rsidP="00603B69">
      <w:pPr>
        <w:pStyle w:val="Heading5"/>
      </w:pPr>
      <w:r w:rsidRPr="00C44F19">
        <w:t>Invest in Aboriginal health</w:t>
      </w:r>
      <w:r w:rsidR="00F669DC">
        <w:t xml:space="preserve"> </w:t>
      </w:r>
      <w:r w:rsidRPr="00C44F19">
        <w:t>to improve</w:t>
      </w:r>
      <w:r w:rsidR="002B7022">
        <w:t> </w:t>
      </w:r>
      <w:r w:rsidRPr="00C44F19">
        <w:t>health outcomes for all</w:t>
      </w:r>
      <w:r w:rsidR="002B7022">
        <w:t> </w:t>
      </w:r>
      <w:r w:rsidRPr="00C44F19">
        <w:t>Aboriginal</w:t>
      </w:r>
      <w:r w:rsidR="002B7022">
        <w:t> </w:t>
      </w:r>
      <w:r w:rsidRPr="00C44F19">
        <w:t>Victorians</w:t>
      </w:r>
    </w:p>
    <w:p w14:paraId="43182E1A" w14:textId="4614C156" w:rsidR="00C72032" w:rsidRPr="0050723E" w:rsidRDefault="00C72032" w:rsidP="001A559C">
      <w:pPr>
        <w:pStyle w:val="ARbody"/>
        <w:rPr>
          <w:szCs w:val="20"/>
        </w:rPr>
      </w:pPr>
      <w:r>
        <w:rPr>
          <w:szCs w:val="20"/>
        </w:rPr>
        <w:t xml:space="preserve">Investments in Aboriginal health </w:t>
      </w:r>
      <w:r w:rsidR="00141C38">
        <w:rPr>
          <w:szCs w:val="20"/>
        </w:rPr>
        <w:t xml:space="preserve">to improve </w:t>
      </w:r>
      <w:r>
        <w:rPr>
          <w:szCs w:val="20"/>
        </w:rPr>
        <w:t xml:space="preserve">health outcomes are </w:t>
      </w:r>
      <w:r w:rsidR="00C92BE0">
        <w:rPr>
          <w:szCs w:val="20"/>
        </w:rPr>
        <w:t>reported</w:t>
      </w:r>
      <w:r>
        <w:rPr>
          <w:szCs w:val="20"/>
        </w:rPr>
        <w:t xml:space="preserve"> in detail in </w:t>
      </w:r>
      <w:r w:rsidR="00141C38">
        <w:rPr>
          <w:szCs w:val="20"/>
        </w:rPr>
        <w:t>earlier sections of this report</w:t>
      </w:r>
      <w:r w:rsidR="00314CF1">
        <w:rPr>
          <w:szCs w:val="20"/>
        </w:rPr>
        <w:t xml:space="preserve">, in </w:t>
      </w:r>
      <w:r w:rsidR="00314CF1" w:rsidRPr="0050723E">
        <w:rPr>
          <w:szCs w:val="20"/>
        </w:rPr>
        <w:t>particular:</w:t>
      </w:r>
    </w:p>
    <w:p w14:paraId="7BB8FDBB" w14:textId="78C300E4" w:rsidR="0050723E" w:rsidRDefault="00951432" w:rsidP="00141C38">
      <w:pPr>
        <w:pStyle w:val="ARbullet1"/>
      </w:pPr>
      <w:hyperlink w:anchor="_Aboriginal_and_Torres_1" w:history="1">
        <w:r w:rsidR="0050723E" w:rsidRPr="0050723E">
          <w:rPr>
            <w:rStyle w:val="Hyperlink"/>
          </w:rPr>
          <w:t>Aboriginal and Torres Strait Islander suicide</w:t>
        </w:r>
      </w:hyperlink>
    </w:p>
    <w:p w14:paraId="7C66A51A" w14:textId="0BE97F31" w:rsidR="00E04D8C" w:rsidRDefault="00951432" w:rsidP="00141C38">
      <w:pPr>
        <w:pStyle w:val="ARbullet1"/>
      </w:pPr>
      <w:hyperlink w:anchor="_Provide_services_designed" w:history="1">
        <w:r w:rsidR="00E04D8C" w:rsidRPr="00E04D8C">
          <w:rPr>
            <w:rStyle w:val="Hyperlink"/>
          </w:rPr>
          <w:t>Provide services designed and developed by Aboriginal people for Aboriginal people</w:t>
        </w:r>
      </w:hyperlink>
    </w:p>
    <w:p w14:paraId="618C97DA" w14:textId="2898EB4F" w:rsidR="00171654" w:rsidRDefault="00951432" w:rsidP="00141C38">
      <w:pPr>
        <w:pStyle w:val="ARbullet1"/>
      </w:pPr>
      <w:hyperlink w:anchor="_Services_respond_to" w:history="1">
        <w:r w:rsidR="009411F9" w:rsidRPr="009411F9">
          <w:rPr>
            <w:rStyle w:val="Hyperlink"/>
          </w:rPr>
          <w:t>Services respond to choice, culture, identity, circumstances and goals</w:t>
        </w:r>
      </w:hyperlink>
    </w:p>
    <w:p w14:paraId="178D6965" w14:textId="17C144C2" w:rsidR="003D0FE6" w:rsidRDefault="00951432" w:rsidP="00141C38">
      <w:pPr>
        <w:pStyle w:val="ARbullet1"/>
      </w:pPr>
      <w:hyperlink w:anchor="_Build_the_cultural" w:history="1">
        <w:r w:rsidR="00913E83" w:rsidRPr="00913E83">
          <w:rPr>
            <w:rStyle w:val="Hyperlink"/>
          </w:rPr>
          <w:t>Build the cultural safety of the health system and</w:t>
        </w:r>
        <w:r w:rsidR="00A25657">
          <w:rPr>
            <w:rStyle w:val="Hyperlink"/>
          </w:rPr>
          <w:t> </w:t>
        </w:r>
        <w:r w:rsidR="00913E83" w:rsidRPr="00913E83">
          <w:rPr>
            <w:rStyle w:val="Hyperlink"/>
          </w:rPr>
          <w:t>workforce</w:t>
        </w:r>
      </w:hyperlink>
    </w:p>
    <w:p w14:paraId="02CB06FE" w14:textId="34BA7DDA" w:rsidR="00E50761" w:rsidRDefault="00E50761" w:rsidP="00FE4F40">
      <w:pPr>
        <w:pStyle w:val="ARbody"/>
        <w:spacing w:before="120"/>
        <w:rPr>
          <w:szCs w:val="20"/>
        </w:rPr>
      </w:pPr>
      <w:r>
        <w:rPr>
          <w:szCs w:val="20"/>
        </w:rPr>
        <w:t>Aboriginal health and improvements in health outcomes are also discussed within the context of</w:t>
      </w:r>
      <w:r w:rsidR="00A25657">
        <w:rPr>
          <w:szCs w:val="20"/>
        </w:rPr>
        <w:t> </w:t>
      </w:r>
      <w:r>
        <w:rPr>
          <w:szCs w:val="20"/>
        </w:rPr>
        <w:t>other more general initiatives</w:t>
      </w:r>
      <w:r w:rsidR="00692067">
        <w:rPr>
          <w:szCs w:val="20"/>
        </w:rPr>
        <w:t xml:space="preserve"> described in this report.</w:t>
      </w:r>
    </w:p>
    <w:p w14:paraId="013B988D" w14:textId="77777777" w:rsidR="00603B69" w:rsidRPr="00730C12" w:rsidRDefault="00603B69" w:rsidP="001A559C">
      <w:pPr>
        <w:pStyle w:val="ARbody"/>
      </w:pPr>
    </w:p>
    <w:p w14:paraId="66580880" w14:textId="77777777" w:rsidR="00603B69" w:rsidRDefault="00603B69" w:rsidP="00603B69">
      <w:pPr>
        <w:pStyle w:val="ARbody"/>
        <w:sectPr w:rsidR="00603B69" w:rsidSect="00603B69">
          <w:footnotePr>
            <w:numFmt w:val="lowerLetter"/>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5A4B07F1" w14:textId="24BA369C" w:rsidR="00603B69" w:rsidRDefault="00603B69" w:rsidP="00D077B5">
      <w:pPr>
        <w:pStyle w:val="Heading4"/>
        <w:spacing w:before="0" w:after="0"/>
      </w:pPr>
      <w:r>
        <w:t>Objective</w:t>
      </w:r>
      <w:r w:rsidR="0048075C">
        <w:t xml:space="preserve"> 4: </w:t>
      </w:r>
      <w:r w:rsidR="006A2F08">
        <w:t>I</w:t>
      </w:r>
      <w:r w:rsidR="0048075C">
        <w:t>ndicator</w:t>
      </w:r>
      <w:r>
        <w:t xml:space="preserve"> results</w:t>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5516"/>
        <w:gridCol w:w="1017"/>
        <w:gridCol w:w="1017"/>
        <w:gridCol w:w="1017"/>
        <w:gridCol w:w="1072"/>
      </w:tblGrid>
      <w:tr w:rsidR="002A4F1D" w:rsidRPr="002029AF" w14:paraId="68771BC4" w14:textId="77777777" w:rsidTr="00FA0AB0">
        <w:trPr>
          <w:cantSplit/>
          <w:tblHeader/>
        </w:trPr>
        <w:tc>
          <w:tcPr>
            <w:tcW w:w="5516" w:type="dxa"/>
            <w:tcBorders>
              <w:top w:val="nil"/>
              <w:left w:val="single" w:sz="4" w:space="0" w:color="FFFFFF" w:themeColor="background1"/>
              <w:bottom w:val="single" w:sz="4" w:space="0" w:color="auto"/>
              <w:right w:val="single" w:sz="4" w:space="0" w:color="FFFFFF" w:themeColor="background1"/>
            </w:tcBorders>
            <w:vAlign w:val="bottom"/>
          </w:tcPr>
          <w:p w14:paraId="446093F4" w14:textId="77777777" w:rsidR="002A4F1D" w:rsidRPr="002029AF" w:rsidRDefault="002A4F1D" w:rsidP="002A4F1D">
            <w:pPr>
              <w:pStyle w:val="ARtablecolhead"/>
            </w:pPr>
          </w:p>
        </w:tc>
        <w:tc>
          <w:tcPr>
            <w:tcW w:w="1017" w:type="dxa"/>
            <w:tcBorders>
              <w:top w:val="nil"/>
              <w:left w:val="single" w:sz="4" w:space="0" w:color="FFFFFF" w:themeColor="background1"/>
              <w:bottom w:val="single" w:sz="4" w:space="0" w:color="auto"/>
              <w:right w:val="single" w:sz="4" w:space="0" w:color="FFFFFF" w:themeColor="background1"/>
            </w:tcBorders>
            <w:hideMark/>
          </w:tcPr>
          <w:p w14:paraId="4818DE71" w14:textId="3129CDDF" w:rsidR="002A4F1D" w:rsidRPr="002029AF" w:rsidRDefault="002A4F1D" w:rsidP="002A4F1D">
            <w:pPr>
              <w:pStyle w:val="ARtablecolhead"/>
            </w:pPr>
            <w:r w:rsidRPr="002029AF">
              <w:t>201</w:t>
            </w:r>
            <w:r>
              <w:t>8</w:t>
            </w:r>
            <w:r w:rsidRPr="002029AF">
              <w:t>–1</w:t>
            </w:r>
            <w:r>
              <w:t>9</w:t>
            </w:r>
          </w:p>
        </w:tc>
        <w:tc>
          <w:tcPr>
            <w:tcW w:w="1017" w:type="dxa"/>
            <w:tcBorders>
              <w:top w:val="nil"/>
              <w:left w:val="single" w:sz="4" w:space="0" w:color="FFFFFF" w:themeColor="background1"/>
              <w:bottom w:val="single" w:sz="4" w:space="0" w:color="auto"/>
              <w:right w:val="single" w:sz="4" w:space="0" w:color="FFFFFF" w:themeColor="background1"/>
            </w:tcBorders>
          </w:tcPr>
          <w:p w14:paraId="7D1A76FB" w14:textId="3E933028" w:rsidR="002A4F1D" w:rsidRPr="002029AF" w:rsidRDefault="002A4F1D" w:rsidP="002A4F1D">
            <w:pPr>
              <w:pStyle w:val="ARtablecolhead"/>
            </w:pPr>
            <w:r w:rsidRPr="002029AF">
              <w:t>201</w:t>
            </w:r>
            <w:r>
              <w:t>9</w:t>
            </w:r>
            <w:r w:rsidRPr="002029AF">
              <w:t>–</w:t>
            </w:r>
            <w:r>
              <w:t>20</w:t>
            </w:r>
          </w:p>
        </w:tc>
        <w:tc>
          <w:tcPr>
            <w:tcW w:w="1017" w:type="dxa"/>
            <w:tcBorders>
              <w:top w:val="nil"/>
              <w:left w:val="single" w:sz="4" w:space="0" w:color="FFFFFF" w:themeColor="background1"/>
              <w:bottom w:val="single" w:sz="4" w:space="0" w:color="auto"/>
              <w:right w:val="single" w:sz="4" w:space="0" w:color="FFFFFF" w:themeColor="background1"/>
            </w:tcBorders>
          </w:tcPr>
          <w:p w14:paraId="7B536488" w14:textId="59ADCE8D" w:rsidR="002A4F1D" w:rsidRPr="002029AF" w:rsidRDefault="002A4F1D" w:rsidP="002A4F1D">
            <w:pPr>
              <w:pStyle w:val="ARtablecolhead"/>
            </w:pPr>
            <w:r w:rsidRPr="002029AF">
              <w:t>20</w:t>
            </w:r>
            <w:r>
              <w:t>20</w:t>
            </w:r>
            <w:r w:rsidRPr="002029AF">
              <w:t>–2</w:t>
            </w:r>
            <w:r>
              <w:t>1</w:t>
            </w:r>
          </w:p>
        </w:tc>
        <w:tc>
          <w:tcPr>
            <w:tcW w:w="1072" w:type="dxa"/>
            <w:tcBorders>
              <w:top w:val="nil"/>
              <w:left w:val="single" w:sz="4" w:space="0" w:color="FFFFFF" w:themeColor="background1"/>
              <w:bottom w:val="single" w:sz="4" w:space="0" w:color="auto"/>
              <w:right w:val="single" w:sz="4" w:space="0" w:color="FFFFFF" w:themeColor="background1"/>
            </w:tcBorders>
          </w:tcPr>
          <w:p w14:paraId="49449E3B" w14:textId="71F3596B" w:rsidR="002A4F1D" w:rsidRPr="002029AF" w:rsidRDefault="002A4F1D" w:rsidP="002A4F1D">
            <w:pPr>
              <w:pStyle w:val="ARtablecolhead"/>
            </w:pPr>
            <w:r>
              <w:t>2021–22</w:t>
            </w:r>
          </w:p>
        </w:tc>
      </w:tr>
      <w:tr w:rsidR="002A4F1D" w:rsidRPr="002029AF" w14:paraId="5B3F5246" w14:textId="77777777" w:rsidTr="00FA0AB0">
        <w:trPr>
          <w:cantSplit/>
        </w:trPr>
        <w:tc>
          <w:tcPr>
            <w:tcW w:w="9639" w:type="dxa"/>
            <w:gridSpan w:val="5"/>
            <w:tcBorders>
              <w:top w:val="single" w:sz="4" w:space="0" w:color="auto"/>
              <w:left w:val="single" w:sz="4" w:space="0" w:color="FFFFFF" w:themeColor="background1"/>
              <w:bottom w:val="single" w:sz="4" w:space="0" w:color="BFBFBF" w:themeColor="background1" w:themeShade="BF"/>
              <w:right w:val="single" w:sz="4" w:space="0" w:color="FFFFFF" w:themeColor="background1"/>
            </w:tcBorders>
            <w:hideMark/>
          </w:tcPr>
          <w:p w14:paraId="3C712258" w14:textId="77777777" w:rsidR="002A4F1D" w:rsidRPr="002029AF" w:rsidRDefault="002A4F1D" w:rsidP="00044722">
            <w:pPr>
              <w:pStyle w:val="ARtablecolourbold"/>
            </w:pPr>
            <w:r w:rsidRPr="002029AF">
              <w:t>Services are appropriate and accessible in the right place, at the right time</w:t>
            </w:r>
          </w:p>
        </w:tc>
      </w:tr>
      <w:tr w:rsidR="002A4F1D" w:rsidRPr="002029AF" w14:paraId="403C2719" w14:textId="77777777" w:rsidTr="00FA0AB0">
        <w:trPr>
          <w:cantSplit/>
        </w:trPr>
        <w:tc>
          <w:tcPr>
            <w:tcW w:w="5516"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hideMark/>
          </w:tcPr>
          <w:p w14:paraId="27442C23" w14:textId="77777777" w:rsidR="002A4F1D" w:rsidRPr="002029AF" w:rsidRDefault="002A4F1D" w:rsidP="00D077B5">
            <w:pPr>
              <w:pStyle w:val="ARtabletext"/>
              <w:spacing w:before="50" w:after="40"/>
              <w:rPr>
                <w:i/>
              </w:rPr>
            </w:pPr>
            <w:r w:rsidRPr="002029AF">
              <w:t>Non-urgent (Category 3) elective surgery patients admitted within 365 days</w:t>
            </w:r>
          </w:p>
        </w:tc>
        <w:tc>
          <w:tcPr>
            <w:tcW w:w="101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7D5DF2FC" w14:textId="2BC62B12" w:rsidR="002A4F1D" w:rsidRPr="002029AF" w:rsidRDefault="002A4F1D" w:rsidP="00D077B5">
            <w:pPr>
              <w:pStyle w:val="ARtabletext"/>
              <w:spacing w:before="50" w:after="40"/>
            </w:pPr>
            <w:r w:rsidRPr="002029AF">
              <w:t>96.2%</w:t>
            </w:r>
          </w:p>
        </w:tc>
        <w:tc>
          <w:tcPr>
            <w:tcW w:w="101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183F9733" w14:textId="7F224271" w:rsidR="002A4F1D" w:rsidRPr="002029AF" w:rsidRDefault="002A4F1D" w:rsidP="00D077B5">
            <w:pPr>
              <w:pStyle w:val="ARtabletext"/>
              <w:spacing w:before="50" w:after="40"/>
            </w:pPr>
            <w:r w:rsidRPr="002029AF">
              <w:t>95.3%</w:t>
            </w:r>
          </w:p>
        </w:tc>
        <w:tc>
          <w:tcPr>
            <w:tcW w:w="101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5A98377F" w14:textId="41832F30" w:rsidR="002A4F1D" w:rsidRPr="002029AF" w:rsidRDefault="002A4F1D" w:rsidP="00D077B5">
            <w:pPr>
              <w:pStyle w:val="ARtabletext"/>
              <w:spacing w:before="50" w:after="40"/>
            </w:pPr>
            <w:r>
              <w:t>80.5%</w:t>
            </w:r>
          </w:p>
        </w:tc>
        <w:tc>
          <w:tcPr>
            <w:tcW w:w="1072"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1C95F747" w14:textId="6568FD4F" w:rsidR="002A4F1D" w:rsidRPr="001003BD" w:rsidRDefault="001003BD" w:rsidP="00D077B5">
            <w:pPr>
              <w:pStyle w:val="ARtabletext"/>
              <w:spacing w:before="50" w:after="40"/>
              <w:rPr>
                <w:vertAlign w:val="superscript"/>
              </w:rPr>
            </w:pPr>
            <w:r>
              <w:t>82.2%</w:t>
            </w:r>
            <w:r>
              <w:rPr>
                <w:vertAlign w:val="superscript"/>
              </w:rPr>
              <w:t>E</w:t>
            </w:r>
            <w:r w:rsidR="007C40FB">
              <w:rPr>
                <w:rStyle w:val="FootnoteReference"/>
              </w:rPr>
              <w:t>(</w:t>
            </w:r>
            <w:r w:rsidR="007C40FB" w:rsidRPr="00BD5FC4">
              <w:rPr>
                <w:rStyle w:val="FootnoteReference"/>
              </w:rPr>
              <w:footnoteReference w:id="13"/>
            </w:r>
            <w:r w:rsidR="007C40FB">
              <w:rPr>
                <w:rStyle w:val="FootnoteReference"/>
              </w:rPr>
              <w:t>)</w:t>
            </w:r>
          </w:p>
        </w:tc>
      </w:tr>
      <w:tr w:rsidR="002A4F1D" w:rsidRPr="002029AF" w14:paraId="62EA8BEC" w14:textId="77777777" w:rsidTr="00FA0AB0">
        <w:trPr>
          <w:cantSplit/>
        </w:trPr>
        <w:tc>
          <w:tcPr>
            <w:tcW w:w="5516"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5EB4CEC9" w14:textId="77777777" w:rsidR="002A4F1D" w:rsidRPr="002029AF" w:rsidRDefault="002A4F1D" w:rsidP="00D077B5">
            <w:pPr>
              <w:pStyle w:val="ARtabletext"/>
              <w:spacing w:before="50" w:after="40"/>
              <w:rPr>
                <w:i/>
              </w:rPr>
            </w:pPr>
            <w:r w:rsidRPr="002029AF">
              <w:t>Semi-urgent (Category 2) elective surgery patients admitted within 90 days</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96DD3A7" w14:textId="44F983DF" w:rsidR="002A4F1D" w:rsidRPr="002029AF" w:rsidRDefault="002A4F1D" w:rsidP="00D077B5">
            <w:pPr>
              <w:pStyle w:val="ARtabletext"/>
              <w:spacing w:before="50" w:after="40"/>
            </w:pPr>
            <w:r w:rsidRPr="002029AF">
              <w:t>82.0%</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55D9751" w14:textId="7387EDCE" w:rsidR="002A4F1D" w:rsidRPr="002029AF" w:rsidRDefault="002A4F1D" w:rsidP="00D077B5">
            <w:pPr>
              <w:pStyle w:val="ARtabletext"/>
              <w:spacing w:before="50" w:after="40"/>
            </w:pPr>
            <w:r w:rsidRPr="002029AF">
              <w:t>76.1%</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282DC9C" w14:textId="5D7D23F7" w:rsidR="002A4F1D" w:rsidRPr="002029AF" w:rsidRDefault="002A4F1D" w:rsidP="00D077B5">
            <w:pPr>
              <w:pStyle w:val="ARtabletext"/>
              <w:spacing w:before="50" w:after="40"/>
            </w:pPr>
            <w:r>
              <w:t>61.8%</w:t>
            </w:r>
          </w:p>
        </w:tc>
        <w:tc>
          <w:tcPr>
            <w:tcW w:w="1072"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015632E1" w14:textId="3E040A6A" w:rsidR="002A4F1D" w:rsidRPr="00D638BB" w:rsidRDefault="001D3333" w:rsidP="00D077B5">
            <w:pPr>
              <w:pStyle w:val="ARtabletext"/>
              <w:spacing w:before="50" w:after="40"/>
              <w:rPr>
                <w:vertAlign w:val="superscript"/>
              </w:rPr>
            </w:pPr>
            <w:r>
              <w:t>55</w:t>
            </w:r>
            <w:r w:rsidR="00D638BB">
              <w:t>.5%</w:t>
            </w:r>
            <w:r w:rsidR="00D638BB">
              <w:rPr>
                <w:vertAlign w:val="superscript"/>
              </w:rPr>
              <w:t>E</w:t>
            </w:r>
          </w:p>
        </w:tc>
      </w:tr>
      <w:tr w:rsidR="002A4F1D" w:rsidRPr="002029AF" w14:paraId="1F9F05ED" w14:textId="77777777" w:rsidTr="00FA0AB0">
        <w:trPr>
          <w:cantSplit/>
        </w:trPr>
        <w:tc>
          <w:tcPr>
            <w:tcW w:w="5516"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5B06C0B0" w14:textId="77777777" w:rsidR="002A4F1D" w:rsidRPr="002029AF" w:rsidRDefault="002A4F1D" w:rsidP="00D077B5">
            <w:pPr>
              <w:pStyle w:val="ARtabletext"/>
              <w:spacing w:before="50" w:after="40"/>
              <w:rPr>
                <w:i/>
              </w:rPr>
            </w:pPr>
            <w:r w:rsidRPr="002029AF">
              <w:t>Urgent (Category 1) elective surgery patients admitted within 30</w:t>
            </w:r>
            <w:r>
              <w:t> </w:t>
            </w:r>
            <w:r w:rsidRPr="002029AF">
              <w:t>days</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D1B1115" w14:textId="4C4A7E02" w:rsidR="002A4F1D" w:rsidRPr="002029AF" w:rsidRDefault="002A4F1D" w:rsidP="00D077B5">
            <w:pPr>
              <w:pStyle w:val="ARtabletext"/>
              <w:spacing w:before="50" w:after="40"/>
            </w:pPr>
            <w:r w:rsidRPr="002029AF">
              <w:t>100%</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26B10C0" w14:textId="4CC5092E" w:rsidR="002A4F1D" w:rsidRPr="002029AF" w:rsidRDefault="002A4F1D" w:rsidP="00D077B5">
            <w:pPr>
              <w:pStyle w:val="ARtabletext"/>
              <w:spacing w:before="50" w:after="40"/>
            </w:pPr>
            <w:r w:rsidRPr="002029AF">
              <w:t>100%</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06E391D" w14:textId="556DA34C" w:rsidR="002A4F1D" w:rsidRPr="002029AF" w:rsidRDefault="002A4F1D" w:rsidP="00D077B5">
            <w:pPr>
              <w:pStyle w:val="ARtabletext"/>
              <w:spacing w:before="50" w:after="40"/>
            </w:pPr>
            <w:r w:rsidRPr="002029AF">
              <w:t>100%</w:t>
            </w:r>
          </w:p>
        </w:tc>
        <w:tc>
          <w:tcPr>
            <w:tcW w:w="1072"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7F92038C" w14:textId="0AD4AE2E" w:rsidR="002A4F1D" w:rsidRPr="00D638BB" w:rsidRDefault="00D638BB" w:rsidP="00D077B5">
            <w:pPr>
              <w:pStyle w:val="ARtabletext"/>
              <w:spacing w:before="50" w:after="40"/>
              <w:rPr>
                <w:vertAlign w:val="superscript"/>
              </w:rPr>
            </w:pPr>
            <w:r>
              <w:t>100%</w:t>
            </w:r>
            <w:r>
              <w:rPr>
                <w:vertAlign w:val="superscript"/>
              </w:rPr>
              <w:t>E</w:t>
            </w:r>
          </w:p>
        </w:tc>
      </w:tr>
      <w:tr w:rsidR="002A4F1D" w:rsidRPr="002029AF" w14:paraId="089D75B2" w14:textId="77777777" w:rsidTr="00FA0AB0">
        <w:trPr>
          <w:cantSplit/>
        </w:trPr>
        <w:tc>
          <w:tcPr>
            <w:tcW w:w="5516"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32B31683" w14:textId="77777777" w:rsidR="002A4F1D" w:rsidRPr="002029AF" w:rsidRDefault="002A4F1D" w:rsidP="00D077B5">
            <w:pPr>
              <w:pStyle w:val="ARtabletext"/>
              <w:spacing w:before="50" w:after="40"/>
              <w:rPr>
                <w:i/>
              </w:rPr>
            </w:pPr>
            <w:r w:rsidRPr="002029AF">
              <w:t>Emergency Category 1 treated immediately</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B736906" w14:textId="30546FB2" w:rsidR="002A4F1D" w:rsidRPr="002029AF" w:rsidRDefault="002A4F1D" w:rsidP="00D077B5">
            <w:pPr>
              <w:pStyle w:val="ARtabletext"/>
              <w:spacing w:before="50" w:after="40"/>
            </w:pPr>
            <w:r w:rsidRPr="002029AF">
              <w:t>100%</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590BEF5" w14:textId="6F561EC4" w:rsidR="002A4F1D" w:rsidRPr="002029AF" w:rsidRDefault="002A4F1D" w:rsidP="00D077B5">
            <w:pPr>
              <w:pStyle w:val="ARtabletext"/>
              <w:spacing w:before="50" w:after="40"/>
            </w:pPr>
            <w:r w:rsidRPr="002029AF">
              <w:t>100%</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CFA8430" w14:textId="227E6E0D" w:rsidR="002A4F1D" w:rsidRPr="002029AF" w:rsidRDefault="002A4F1D" w:rsidP="00D077B5">
            <w:pPr>
              <w:pStyle w:val="ARtabletext"/>
              <w:spacing w:before="50" w:after="40"/>
            </w:pPr>
            <w:r w:rsidRPr="002029AF">
              <w:t>100%</w:t>
            </w:r>
          </w:p>
        </w:tc>
        <w:tc>
          <w:tcPr>
            <w:tcW w:w="1072"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01ADEE59" w14:textId="67DACC39" w:rsidR="002A4F1D" w:rsidRPr="006965EF" w:rsidRDefault="006965EF" w:rsidP="00D077B5">
            <w:pPr>
              <w:pStyle w:val="ARtabletext"/>
              <w:spacing w:before="50" w:after="40"/>
              <w:rPr>
                <w:vertAlign w:val="superscript"/>
              </w:rPr>
            </w:pPr>
            <w:r>
              <w:t>100%</w:t>
            </w:r>
          </w:p>
        </w:tc>
      </w:tr>
      <w:tr w:rsidR="002A4F1D" w:rsidRPr="002029AF" w14:paraId="501CA410" w14:textId="77777777" w:rsidTr="00FA0AB0">
        <w:trPr>
          <w:cantSplit/>
        </w:trPr>
        <w:tc>
          <w:tcPr>
            <w:tcW w:w="551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hideMark/>
          </w:tcPr>
          <w:p w14:paraId="1BB8EB56" w14:textId="77777777" w:rsidR="002A4F1D" w:rsidRPr="002029AF" w:rsidRDefault="002A4F1D" w:rsidP="00D077B5">
            <w:pPr>
              <w:pStyle w:val="ARtabletext"/>
              <w:spacing w:before="50" w:after="40"/>
            </w:pPr>
            <w:r w:rsidRPr="002029AF">
              <w:t>Emergency patients treated within clinically recommended time to treatment</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2028F928" w14:textId="1FDA84C6" w:rsidR="002A4F1D" w:rsidRPr="002029AF" w:rsidRDefault="002A4F1D" w:rsidP="00D077B5">
            <w:pPr>
              <w:pStyle w:val="ARtabletext"/>
              <w:spacing w:before="50" w:after="40"/>
            </w:pPr>
            <w:r w:rsidRPr="002029AF">
              <w:t>71.5%</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5EEB4397" w14:textId="1569F0EA" w:rsidR="002A4F1D" w:rsidRPr="002029AF" w:rsidRDefault="002A4F1D" w:rsidP="00D077B5">
            <w:pPr>
              <w:pStyle w:val="ARtabletext"/>
              <w:spacing w:before="50" w:after="40"/>
            </w:pPr>
            <w:r w:rsidRPr="002029AF">
              <w:t>73.4%</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028CE811" w14:textId="291A28C8" w:rsidR="002A4F1D" w:rsidRPr="002029AF" w:rsidRDefault="002A4F1D" w:rsidP="00D077B5">
            <w:pPr>
              <w:pStyle w:val="ARtabletext"/>
              <w:spacing w:before="50" w:after="40"/>
            </w:pPr>
            <w:r>
              <w:t>68%</w:t>
            </w:r>
          </w:p>
        </w:tc>
        <w:tc>
          <w:tcPr>
            <w:tcW w:w="107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72AF74B1" w14:textId="5B763BFD" w:rsidR="002A4F1D" w:rsidRPr="006304EB" w:rsidRDefault="006304EB" w:rsidP="00D077B5">
            <w:pPr>
              <w:pStyle w:val="ARtabletext"/>
              <w:spacing w:before="50" w:after="40"/>
              <w:rPr>
                <w:vertAlign w:val="superscript"/>
              </w:rPr>
            </w:pPr>
            <w:r>
              <w:t>6</w:t>
            </w:r>
            <w:r w:rsidR="00E56A9F">
              <w:t>4</w:t>
            </w:r>
            <w:r>
              <w:t>%</w:t>
            </w:r>
          </w:p>
        </w:tc>
      </w:tr>
      <w:tr w:rsidR="002A4F1D" w:rsidRPr="002029AF" w14:paraId="7376FD45" w14:textId="77777777" w:rsidTr="00FA0AB0">
        <w:trPr>
          <w:cantSplit/>
        </w:trPr>
        <w:tc>
          <w:tcPr>
            <w:tcW w:w="9639" w:type="dxa"/>
            <w:gridSpan w:val="5"/>
            <w:tcBorders>
              <w:top w:val="single" w:sz="4" w:space="0" w:color="auto"/>
              <w:left w:val="nil"/>
              <w:bottom w:val="single" w:sz="4" w:space="0" w:color="BFBFBF" w:themeColor="background1" w:themeShade="BF"/>
              <w:right w:val="single" w:sz="4" w:space="0" w:color="FFFFFF" w:themeColor="background1"/>
            </w:tcBorders>
            <w:hideMark/>
          </w:tcPr>
          <w:p w14:paraId="03126345" w14:textId="77777777" w:rsidR="002A4F1D" w:rsidRPr="002029AF" w:rsidRDefault="002A4F1D" w:rsidP="00044722">
            <w:pPr>
              <w:pStyle w:val="ARtablecolourbold"/>
            </w:pPr>
            <w:r w:rsidRPr="002029AF">
              <w:t>Services respond to choice, culture, identity, circumstances and goals</w:t>
            </w:r>
          </w:p>
        </w:tc>
      </w:tr>
      <w:tr w:rsidR="002A4F1D" w:rsidRPr="002029AF" w14:paraId="402D9C4C" w14:textId="77777777" w:rsidTr="00FA0AB0">
        <w:trPr>
          <w:cantSplit/>
        </w:trPr>
        <w:tc>
          <w:tcPr>
            <w:tcW w:w="5516"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hideMark/>
          </w:tcPr>
          <w:p w14:paraId="36DF2A8B" w14:textId="77777777" w:rsidR="002A4F1D" w:rsidRPr="002029AF" w:rsidRDefault="002A4F1D" w:rsidP="00D077B5">
            <w:pPr>
              <w:pStyle w:val="ARtabletext"/>
              <w:spacing w:before="50" w:after="40"/>
              <w:rPr>
                <w:i/>
              </w:rPr>
            </w:pPr>
            <w:r w:rsidRPr="002029AF">
              <w:t>Health Independence Program direct contacts</w:t>
            </w:r>
          </w:p>
        </w:tc>
        <w:tc>
          <w:tcPr>
            <w:tcW w:w="101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2A6FE53F" w14:textId="4DC9ACEB" w:rsidR="002A4F1D" w:rsidRPr="002029AF" w:rsidRDefault="002A4F1D" w:rsidP="00D077B5">
            <w:pPr>
              <w:pStyle w:val="ARtabletext"/>
              <w:spacing w:before="50" w:after="40"/>
            </w:pPr>
            <w:r w:rsidRPr="002029AF">
              <w:t>1,591</w:t>
            </w:r>
          </w:p>
        </w:tc>
        <w:tc>
          <w:tcPr>
            <w:tcW w:w="101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21BA780E" w14:textId="67AD5613" w:rsidR="002A4F1D" w:rsidRPr="002029AF" w:rsidRDefault="002A4F1D" w:rsidP="00D077B5">
            <w:pPr>
              <w:pStyle w:val="ARtabletext"/>
              <w:spacing w:before="50" w:after="40"/>
            </w:pPr>
            <w:r w:rsidRPr="002029AF">
              <w:t>1,502</w:t>
            </w:r>
          </w:p>
        </w:tc>
        <w:tc>
          <w:tcPr>
            <w:tcW w:w="101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099C8695" w14:textId="504F3EA2" w:rsidR="002A4F1D" w:rsidRPr="002029AF" w:rsidRDefault="002A4F1D" w:rsidP="00D077B5">
            <w:pPr>
              <w:pStyle w:val="ARtabletext"/>
              <w:spacing w:before="50" w:after="40"/>
            </w:pPr>
            <w:r w:rsidRPr="002029AF">
              <w:t>1,</w:t>
            </w:r>
            <w:r>
              <w:t>393</w:t>
            </w:r>
          </w:p>
        </w:tc>
        <w:tc>
          <w:tcPr>
            <w:tcW w:w="1072"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54E3BF45" w14:textId="4EB40C05" w:rsidR="002A4F1D" w:rsidRPr="009C7CB7" w:rsidRDefault="001E4BB1" w:rsidP="00D077B5">
            <w:pPr>
              <w:pStyle w:val="ARtabletext"/>
              <w:spacing w:before="50" w:after="40"/>
              <w:rPr>
                <w:highlight w:val="yellow"/>
                <w:vertAlign w:val="superscript"/>
              </w:rPr>
            </w:pPr>
            <w:r>
              <w:t>1,362</w:t>
            </w:r>
            <w:r w:rsidR="009C7CB7">
              <w:rPr>
                <w:vertAlign w:val="superscript"/>
              </w:rPr>
              <w:t>E</w:t>
            </w:r>
          </w:p>
        </w:tc>
      </w:tr>
      <w:tr w:rsidR="002A4F1D" w:rsidRPr="002029AF" w14:paraId="0ACC973C" w14:textId="77777777" w:rsidTr="00FA0AB0">
        <w:trPr>
          <w:cantSplit/>
        </w:trPr>
        <w:tc>
          <w:tcPr>
            <w:tcW w:w="5516"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30D1EE78" w14:textId="77777777" w:rsidR="002A4F1D" w:rsidRPr="002029AF" w:rsidRDefault="002A4F1D" w:rsidP="00D077B5">
            <w:pPr>
              <w:pStyle w:val="ARtabletext"/>
              <w:spacing w:before="50" w:after="40"/>
              <w:rPr>
                <w:i/>
              </w:rPr>
            </w:pPr>
            <w:r w:rsidRPr="002029AF">
              <w:t>Patients treated in specialist outpatient clinics – unweighted</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0B649CA" w14:textId="498A3B2F" w:rsidR="002A4F1D" w:rsidRPr="002029AF" w:rsidRDefault="002A4F1D" w:rsidP="00D077B5">
            <w:pPr>
              <w:pStyle w:val="ARtabletext"/>
              <w:spacing w:before="50" w:after="40"/>
            </w:pPr>
            <w:r w:rsidRPr="002029AF">
              <w:t>1,812</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C3975D7" w14:textId="331463CE" w:rsidR="002A4F1D" w:rsidRPr="002029AF" w:rsidRDefault="002A4F1D" w:rsidP="00D077B5">
            <w:pPr>
              <w:pStyle w:val="ARtabletext"/>
              <w:spacing w:before="50" w:after="40"/>
            </w:pPr>
            <w:r w:rsidRPr="002029AF">
              <w:t>1,717</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36AA06E" w14:textId="7AA56635" w:rsidR="002A4F1D" w:rsidRPr="002029AF" w:rsidRDefault="002A4F1D" w:rsidP="00D077B5">
            <w:pPr>
              <w:pStyle w:val="ARtabletext"/>
              <w:spacing w:before="50" w:after="40"/>
            </w:pPr>
            <w:r w:rsidRPr="002029AF">
              <w:t>1,</w:t>
            </w:r>
            <w:r>
              <w:t>766</w:t>
            </w:r>
          </w:p>
        </w:tc>
        <w:tc>
          <w:tcPr>
            <w:tcW w:w="1072"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5C9993EB" w14:textId="4D75C207" w:rsidR="002A4F1D" w:rsidRPr="004A5082" w:rsidRDefault="00D115CC" w:rsidP="00D077B5">
            <w:pPr>
              <w:pStyle w:val="ARtabletext"/>
              <w:spacing w:before="50" w:after="40"/>
              <w:rPr>
                <w:vertAlign w:val="superscript"/>
              </w:rPr>
            </w:pPr>
            <w:r>
              <w:t>1,846</w:t>
            </w:r>
            <w:r w:rsidR="004A5082">
              <w:rPr>
                <w:vertAlign w:val="superscript"/>
              </w:rPr>
              <w:t>E</w:t>
            </w:r>
          </w:p>
        </w:tc>
      </w:tr>
      <w:tr w:rsidR="002A4F1D" w:rsidRPr="002029AF" w14:paraId="63136576" w14:textId="77777777" w:rsidTr="00FA0AB0">
        <w:trPr>
          <w:cantSplit/>
        </w:trPr>
        <w:tc>
          <w:tcPr>
            <w:tcW w:w="5516"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65D28BBF" w14:textId="77777777" w:rsidR="002A4F1D" w:rsidRPr="002029AF" w:rsidRDefault="002A4F1D" w:rsidP="00D077B5">
            <w:pPr>
              <w:pStyle w:val="ARtabletext"/>
              <w:spacing w:before="50" w:after="40"/>
              <w:rPr>
                <w:i/>
              </w:rPr>
            </w:pPr>
            <w:r w:rsidRPr="002029AF">
              <w:t>Post-acute clients not readmitted to acute hospital</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9480C01" w14:textId="10ADB19D" w:rsidR="002A4F1D" w:rsidRPr="002029AF" w:rsidRDefault="002A4F1D" w:rsidP="00D077B5">
            <w:pPr>
              <w:pStyle w:val="ARtabletext"/>
              <w:spacing w:before="50" w:after="40"/>
            </w:pPr>
            <w:r w:rsidRPr="002029AF">
              <w:t>93.9%</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C01789A" w14:textId="3DD53D07" w:rsidR="002A4F1D" w:rsidRPr="002029AF" w:rsidRDefault="002A4F1D" w:rsidP="00D077B5">
            <w:pPr>
              <w:pStyle w:val="ARtabletext"/>
              <w:spacing w:before="50" w:after="40"/>
            </w:pPr>
            <w:r w:rsidRPr="002029AF">
              <w:t>93.7%</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F7C778D" w14:textId="79359D23" w:rsidR="002A4F1D" w:rsidRPr="002029AF" w:rsidRDefault="002A4F1D" w:rsidP="00D077B5">
            <w:pPr>
              <w:pStyle w:val="ARtabletext"/>
              <w:spacing w:before="50" w:after="40"/>
            </w:pPr>
            <w:r w:rsidRPr="002029AF">
              <w:t>93.</w:t>
            </w:r>
            <w:r>
              <w:t>5</w:t>
            </w:r>
            <w:r w:rsidRPr="002029AF">
              <w:t>%</w:t>
            </w:r>
          </w:p>
        </w:tc>
        <w:tc>
          <w:tcPr>
            <w:tcW w:w="1072"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05031A44" w14:textId="2C5D35D8" w:rsidR="002A4F1D" w:rsidRPr="007D5ACE" w:rsidRDefault="00E707BF" w:rsidP="00D077B5">
            <w:pPr>
              <w:pStyle w:val="ARtabletext"/>
              <w:spacing w:before="50" w:after="40"/>
              <w:rPr>
                <w:highlight w:val="yellow"/>
              </w:rPr>
            </w:pPr>
            <w:r w:rsidRPr="00E707BF">
              <w:t>93.6%</w:t>
            </w:r>
            <w:r w:rsidR="004A5082">
              <w:rPr>
                <w:vertAlign w:val="superscript"/>
              </w:rPr>
              <w:t>E</w:t>
            </w:r>
          </w:p>
        </w:tc>
      </w:tr>
      <w:tr w:rsidR="002A4F1D" w:rsidRPr="002029AF" w14:paraId="02BDAC58" w14:textId="77777777" w:rsidTr="00FA0AB0">
        <w:trPr>
          <w:cantSplit/>
        </w:trPr>
        <w:tc>
          <w:tcPr>
            <w:tcW w:w="5516"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7A2859FF" w14:textId="77777777" w:rsidR="002A4F1D" w:rsidRPr="002029AF" w:rsidRDefault="002A4F1D" w:rsidP="00D077B5">
            <w:pPr>
              <w:pStyle w:val="ARtabletext"/>
              <w:spacing w:before="50" w:after="40"/>
              <w:rPr>
                <w:i/>
              </w:rPr>
            </w:pPr>
            <w:r w:rsidRPr="002029AF">
              <w:t>Health Independence Program clients contacted within three days of referral</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9118EAF" w14:textId="08A41885" w:rsidR="002A4F1D" w:rsidRPr="002029AF" w:rsidRDefault="002A4F1D" w:rsidP="00D077B5">
            <w:pPr>
              <w:pStyle w:val="ARtabletext"/>
              <w:spacing w:before="50" w:after="40"/>
            </w:pPr>
            <w:r w:rsidRPr="002029AF">
              <w:t>88.7%</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19BC3F0" w14:textId="2374FE30" w:rsidR="002A4F1D" w:rsidRPr="002029AF" w:rsidRDefault="002A4F1D" w:rsidP="00D077B5">
            <w:pPr>
              <w:pStyle w:val="ARtabletext"/>
              <w:spacing w:before="50" w:after="40"/>
            </w:pPr>
            <w:r w:rsidRPr="002029AF">
              <w:t>90.8%</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FB8AB79" w14:textId="2207121E" w:rsidR="002A4F1D" w:rsidRPr="002029AF" w:rsidRDefault="002A4F1D" w:rsidP="00D077B5">
            <w:pPr>
              <w:pStyle w:val="ARtabletext"/>
              <w:spacing w:before="50" w:after="40"/>
            </w:pPr>
            <w:r>
              <w:t>91.3%</w:t>
            </w:r>
          </w:p>
        </w:tc>
        <w:tc>
          <w:tcPr>
            <w:tcW w:w="1072"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2A972044" w14:textId="4CD41CDD" w:rsidR="002A4F1D" w:rsidRPr="007D5ACE" w:rsidRDefault="00EE576D" w:rsidP="00D077B5">
            <w:pPr>
              <w:pStyle w:val="ARtabletext"/>
              <w:spacing w:before="50" w:after="40"/>
              <w:rPr>
                <w:highlight w:val="yellow"/>
              </w:rPr>
            </w:pPr>
            <w:r w:rsidRPr="00EE576D">
              <w:t>89.7%</w:t>
            </w:r>
            <w:r>
              <w:rPr>
                <w:vertAlign w:val="superscript"/>
              </w:rPr>
              <w:t>E</w:t>
            </w:r>
          </w:p>
        </w:tc>
      </w:tr>
      <w:tr w:rsidR="002A4F1D" w:rsidRPr="002029AF" w14:paraId="6E312054" w14:textId="77777777" w:rsidTr="00FA0AB0">
        <w:trPr>
          <w:cantSplit/>
        </w:trPr>
        <w:tc>
          <w:tcPr>
            <w:tcW w:w="9639" w:type="dxa"/>
            <w:gridSpan w:val="5"/>
            <w:tcBorders>
              <w:top w:val="single" w:sz="4" w:space="0" w:color="auto"/>
              <w:left w:val="nil"/>
              <w:bottom w:val="single" w:sz="4" w:space="0" w:color="BFBFBF" w:themeColor="background1" w:themeShade="BF"/>
              <w:right w:val="single" w:sz="4" w:space="0" w:color="FFFFFF" w:themeColor="background1"/>
            </w:tcBorders>
            <w:hideMark/>
          </w:tcPr>
          <w:p w14:paraId="74D6C42E" w14:textId="77777777" w:rsidR="002A4F1D" w:rsidRPr="002029AF" w:rsidRDefault="002A4F1D" w:rsidP="00044722">
            <w:pPr>
              <w:pStyle w:val="ARtablecolourbold"/>
            </w:pPr>
            <w:r w:rsidRPr="002029AF">
              <w:t>Services are efficient and sustainable</w:t>
            </w:r>
          </w:p>
        </w:tc>
      </w:tr>
      <w:tr w:rsidR="009E427C" w:rsidRPr="002029AF" w14:paraId="70345383" w14:textId="77777777" w:rsidTr="00F31219">
        <w:trPr>
          <w:cantSplit/>
        </w:trPr>
        <w:tc>
          <w:tcPr>
            <w:tcW w:w="5516"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hideMark/>
          </w:tcPr>
          <w:p w14:paraId="6DB22E06" w14:textId="77777777" w:rsidR="009E427C" w:rsidRPr="002029AF" w:rsidRDefault="009E427C" w:rsidP="00D077B5">
            <w:pPr>
              <w:pStyle w:val="ARtabletext"/>
              <w:spacing w:before="50" w:after="40"/>
              <w:rPr>
                <w:i/>
              </w:rPr>
            </w:pPr>
            <w:r w:rsidRPr="002029AF">
              <w:t>Major trauma patients transferred to a major trauma service</w:t>
            </w:r>
          </w:p>
        </w:tc>
        <w:tc>
          <w:tcPr>
            <w:tcW w:w="101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hideMark/>
          </w:tcPr>
          <w:p w14:paraId="679C9197" w14:textId="4FC7EFEC" w:rsidR="009E427C" w:rsidRPr="002029AF" w:rsidRDefault="009E427C" w:rsidP="00D077B5">
            <w:pPr>
              <w:pStyle w:val="ARtabletext"/>
              <w:spacing w:before="50" w:after="40"/>
            </w:pPr>
            <w:r w:rsidRPr="002029AF">
              <w:t>91.9%</w:t>
            </w:r>
          </w:p>
        </w:tc>
        <w:tc>
          <w:tcPr>
            <w:tcW w:w="101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7C8A3FF8" w14:textId="348C1795" w:rsidR="009E427C" w:rsidRPr="002029AF" w:rsidRDefault="009E427C" w:rsidP="00D077B5">
            <w:pPr>
              <w:pStyle w:val="ARtabletext"/>
              <w:spacing w:before="50" w:after="40"/>
            </w:pPr>
            <w:r w:rsidRPr="002029AF">
              <w:t>91.2%</w:t>
            </w:r>
          </w:p>
        </w:tc>
        <w:tc>
          <w:tcPr>
            <w:tcW w:w="101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5EC4FF6F" w14:textId="51D0B781" w:rsidR="009E427C" w:rsidRPr="002029AF" w:rsidRDefault="009E427C" w:rsidP="00D077B5">
            <w:pPr>
              <w:pStyle w:val="ARtabletext"/>
              <w:spacing w:before="50" w:after="40"/>
              <w:rPr>
                <w:rStyle w:val="Superscript"/>
              </w:rPr>
            </w:pPr>
            <w:r w:rsidRPr="002644A9">
              <w:t>90.5%</w:t>
            </w:r>
          </w:p>
        </w:tc>
        <w:tc>
          <w:tcPr>
            <w:tcW w:w="1072"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4688265B" w14:textId="0D1E4179" w:rsidR="009E427C" w:rsidRPr="002D5375" w:rsidRDefault="002D5375" w:rsidP="00D077B5">
            <w:pPr>
              <w:pStyle w:val="ARtabletext"/>
              <w:spacing w:before="50" w:after="40"/>
              <w:rPr>
                <w:vertAlign w:val="superscript"/>
              </w:rPr>
            </w:pPr>
            <w:r>
              <w:t>90.5%</w:t>
            </w:r>
            <w:r>
              <w:rPr>
                <w:vertAlign w:val="superscript"/>
              </w:rPr>
              <w:t>E</w:t>
            </w:r>
          </w:p>
        </w:tc>
      </w:tr>
      <w:tr w:rsidR="00916DE6" w:rsidRPr="002029AF" w14:paraId="7D26C077" w14:textId="77777777" w:rsidTr="00F31219">
        <w:trPr>
          <w:cantSplit/>
        </w:trPr>
        <w:tc>
          <w:tcPr>
            <w:tcW w:w="551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798EF3B6" w14:textId="1091C8A5" w:rsidR="00916DE6" w:rsidRPr="002029AF" w:rsidRDefault="00916DE6" w:rsidP="00D077B5">
            <w:pPr>
              <w:pStyle w:val="ARtabletext"/>
              <w:spacing w:before="50" w:after="40"/>
            </w:pPr>
            <w:r w:rsidRPr="00406433">
              <w:t xml:space="preserve">Unplanned readmission </w:t>
            </w:r>
            <w:r w:rsidR="007B4784">
              <w:t>after treatment</w:t>
            </w:r>
            <w:r w:rsidRPr="00406433">
              <w:t xml:space="preserve"> for acute myocardial infarction</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7C2893C3" w14:textId="10F6A688" w:rsidR="00916DE6" w:rsidRPr="002029AF" w:rsidRDefault="00916DE6" w:rsidP="00D077B5">
            <w:pPr>
              <w:pStyle w:val="ARtabletext"/>
              <w:spacing w:before="50" w:after="40"/>
            </w:pPr>
            <w:r>
              <w:t>1.5</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3BB9896A" w14:textId="615F6966" w:rsidR="00916DE6" w:rsidRPr="002029AF" w:rsidRDefault="00916DE6" w:rsidP="00D077B5">
            <w:pPr>
              <w:pStyle w:val="ARtabletext"/>
              <w:spacing w:before="50" w:after="40"/>
            </w:pPr>
            <w:r>
              <w:t>2.2</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57D97ECC" w14:textId="245B5E86" w:rsidR="00916DE6" w:rsidRDefault="00916DE6" w:rsidP="00D077B5">
            <w:pPr>
              <w:pStyle w:val="ARtabletext"/>
              <w:spacing w:before="50" w:after="40"/>
            </w:pPr>
            <w:r>
              <w:t>1.8</w:t>
            </w:r>
          </w:p>
        </w:tc>
        <w:tc>
          <w:tcPr>
            <w:tcW w:w="107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4DE24967" w14:textId="07CABE42" w:rsidR="00916DE6" w:rsidRPr="00270A20" w:rsidRDefault="007115D9" w:rsidP="00D077B5">
            <w:pPr>
              <w:pStyle w:val="ARtabletext"/>
              <w:spacing w:before="50" w:after="40"/>
              <w:rPr>
                <w:vertAlign w:val="superscript"/>
              </w:rPr>
            </w:pPr>
            <w:r>
              <w:t>4.4</w:t>
            </w:r>
            <w:r w:rsidR="00097649">
              <w:rPr>
                <w:rStyle w:val="FootnoteReference"/>
              </w:rPr>
              <w:t>(</w:t>
            </w:r>
            <w:r w:rsidR="00097649" w:rsidRPr="00BD5FC4">
              <w:rPr>
                <w:rStyle w:val="FootnoteReference"/>
              </w:rPr>
              <w:footnoteReference w:id="14"/>
            </w:r>
            <w:r w:rsidR="00097649">
              <w:rPr>
                <w:rStyle w:val="FootnoteReference"/>
              </w:rPr>
              <w:t>)</w:t>
            </w:r>
          </w:p>
        </w:tc>
      </w:tr>
      <w:tr w:rsidR="00916DE6" w:rsidRPr="002029AF" w14:paraId="48DC8F77" w14:textId="77777777" w:rsidTr="00F31219">
        <w:trPr>
          <w:cantSplit/>
        </w:trPr>
        <w:tc>
          <w:tcPr>
            <w:tcW w:w="551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42D45F02" w14:textId="6482DD84" w:rsidR="00916DE6" w:rsidRPr="002029AF" w:rsidRDefault="00916DE6" w:rsidP="00D077B5">
            <w:pPr>
              <w:pStyle w:val="ARtabletext"/>
              <w:spacing w:before="50" w:after="40"/>
            </w:pPr>
            <w:r w:rsidRPr="00406433">
              <w:t xml:space="preserve">Unplanned readmission </w:t>
            </w:r>
            <w:r w:rsidR="007B4784">
              <w:t>after treatment</w:t>
            </w:r>
            <w:r w:rsidRPr="00406433">
              <w:t xml:space="preserve"> for heart failure</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684DB2C8" w14:textId="3FE5118A" w:rsidR="00916DE6" w:rsidRPr="002029AF" w:rsidRDefault="00916DE6" w:rsidP="00D077B5">
            <w:pPr>
              <w:pStyle w:val="ARtabletext"/>
              <w:spacing w:before="50" w:after="40"/>
            </w:pPr>
            <w:r>
              <w:t>8.9</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07D08172" w14:textId="51DEB160" w:rsidR="00916DE6" w:rsidRPr="002029AF" w:rsidRDefault="00916DE6" w:rsidP="00D077B5">
            <w:pPr>
              <w:pStyle w:val="ARtabletext"/>
              <w:spacing w:before="50" w:after="40"/>
            </w:pPr>
            <w:r>
              <w:t>8.7</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65029D45" w14:textId="70111BDF" w:rsidR="00916DE6" w:rsidRPr="002644A9" w:rsidRDefault="00916DE6" w:rsidP="00D077B5">
            <w:pPr>
              <w:pStyle w:val="ARtabletext"/>
              <w:spacing w:before="50" w:after="40"/>
            </w:pPr>
            <w:r w:rsidRPr="002644A9">
              <w:t>7.5</w:t>
            </w:r>
          </w:p>
        </w:tc>
        <w:tc>
          <w:tcPr>
            <w:tcW w:w="107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30585C60" w14:textId="07F19570" w:rsidR="00916DE6" w:rsidRPr="002029AF" w:rsidRDefault="00FB480F" w:rsidP="00D077B5">
            <w:pPr>
              <w:pStyle w:val="ARtabletext"/>
              <w:spacing w:before="50" w:after="40"/>
            </w:pPr>
            <w:r>
              <w:t>11.2</w:t>
            </w:r>
            <w:r w:rsidR="007A0CF3">
              <w:rPr>
                <w:vertAlign w:val="superscript"/>
              </w:rPr>
              <w:t>(</w:t>
            </w:r>
            <w:r w:rsidR="00D05CA9">
              <w:rPr>
                <w:vertAlign w:val="superscript"/>
              </w:rPr>
              <w:t>b</w:t>
            </w:r>
            <w:r w:rsidR="007A0CF3">
              <w:rPr>
                <w:vertAlign w:val="superscript"/>
              </w:rPr>
              <w:t>)</w:t>
            </w:r>
          </w:p>
        </w:tc>
      </w:tr>
      <w:tr w:rsidR="00916DE6" w:rsidRPr="002029AF" w14:paraId="0D148F31" w14:textId="77777777" w:rsidTr="00F31219">
        <w:trPr>
          <w:cantSplit/>
        </w:trPr>
        <w:tc>
          <w:tcPr>
            <w:tcW w:w="551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073BFDCF" w14:textId="6EC8F02A" w:rsidR="00916DE6" w:rsidRPr="002029AF" w:rsidRDefault="00916DE6" w:rsidP="00D077B5">
            <w:pPr>
              <w:pStyle w:val="ARtabletext"/>
              <w:spacing w:before="50" w:after="40"/>
            </w:pPr>
            <w:r w:rsidRPr="00383C20">
              <w:t xml:space="preserve">Unplanned readmission </w:t>
            </w:r>
            <w:r w:rsidR="00334022">
              <w:t>after</w:t>
            </w:r>
            <w:r w:rsidRPr="00383C20">
              <w:t xml:space="preserve"> hip replacement</w:t>
            </w:r>
            <w:r w:rsidR="00334022">
              <w:t xml:space="preserve"> surgery</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2384AE1D" w14:textId="23D542BC" w:rsidR="00916DE6" w:rsidRPr="002029AF" w:rsidRDefault="00916DE6" w:rsidP="00D077B5">
            <w:pPr>
              <w:pStyle w:val="ARtabletext"/>
              <w:spacing w:before="50" w:after="40"/>
            </w:pPr>
            <w:r>
              <w:t>3.4</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3418660D" w14:textId="476DDB45" w:rsidR="00916DE6" w:rsidRPr="002029AF" w:rsidRDefault="00916DE6" w:rsidP="00D077B5">
            <w:pPr>
              <w:pStyle w:val="ARtabletext"/>
              <w:spacing w:before="50" w:after="40"/>
            </w:pPr>
            <w:r>
              <w:t>3.7</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270FE08F" w14:textId="24C94DD6" w:rsidR="00916DE6" w:rsidRPr="002644A9" w:rsidRDefault="00916DE6" w:rsidP="00D077B5">
            <w:pPr>
              <w:pStyle w:val="ARtabletext"/>
              <w:spacing w:before="50" w:after="40"/>
            </w:pPr>
            <w:r w:rsidRPr="002644A9">
              <w:t>3.4</w:t>
            </w:r>
          </w:p>
        </w:tc>
        <w:tc>
          <w:tcPr>
            <w:tcW w:w="107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27268DA4" w14:textId="59FEAAA6" w:rsidR="00916DE6" w:rsidRPr="002029AF" w:rsidRDefault="00FB480F" w:rsidP="00D077B5">
            <w:pPr>
              <w:pStyle w:val="ARtabletext"/>
              <w:spacing w:before="50" w:after="40"/>
            </w:pPr>
            <w:r>
              <w:t>5.1</w:t>
            </w:r>
            <w:r w:rsidR="007A0CF3">
              <w:rPr>
                <w:vertAlign w:val="superscript"/>
              </w:rPr>
              <w:t>(</w:t>
            </w:r>
            <w:r w:rsidR="00D05CA9">
              <w:rPr>
                <w:vertAlign w:val="superscript"/>
              </w:rPr>
              <w:t>b</w:t>
            </w:r>
            <w:r w:rsidR="007A0CF3">
              <w:rPr>
                <w:vertAlign w:val="superscript"/>
              </w:rPr>
              <w:t>)</w:t>
            </w:r>
          </w:p>
        </w:tc>
      </w:tr>
      <w:tr w:rsidR="00916DE6" w:rsidRPr="002029AF" w14:paraId="05822977" w14:textId="77777777" w:rsidTr="00F31219">
        <w:trPr>
          <w:cantSplit/>
        </w:trPr>
        <w:tc>
          <w:tcPr>
            <w:tcW w:w="551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688488D0" w14:textId="3E490C7B" w:rsidR="00916DE6" w:rsidRPr="002029AF" w:rsidRDefault="00916DE6" w:rsidP="00D077B5">
            <w:pPr>
              <w:pStyle w:val="ARtabletext"/>
              <w:spacing w:before="50" w:after="40"/>
            </w:pPr>
            <w:r w:rsidRPr="00383C20">
              <w:t xml:space="preserve">Unplanned readmission </w:t>
            </w:r>
            <w:r w:rsidR="003E2AA8">
              <w:t>after</w:t>
            </w:r>
            <w:r w:rsidRPr="00383C20">
              <w:t xml:space="preserve"> knee replacement</w:t>
            </w:r>
            <w:r w:rsidR="00605A85">
              <w:t xml:space="preserve"> surgery</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3F817306" w14:textId="159D7087" w:rsidR="00916DE6" w:rsidRPr="002029AF" w:rsidRDefault="00916DE6" w:rsidP="00D077B5">
            <w:pPr>
              <w:pStyle w:val="ARtabletext"/>
              <w:spacing w:before="50" w:after="40"/>
            </w:pPr>
            <w:r>
              <w:t>5.2</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64267063" w14:textId="53F296BA" w:rsidR="00916DE6" w:rsidRPr="002029AF" w:rsidRDefault="00916DE6" w:rsidP="00D077B5">
            <w:pPr>
              <w:pStyle w:val="ARtabletext"/>
              <w:spacing w:before="50" w:after="40"/>
            </w:pPr>
            <w:r>
              <w:t>5.3</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31B2838C" w14:textId="499C8777" w:rsidR="00916DE6" w:rsidRPr="002644A9" w:rsidRDefault="00916DE6" w:rsidP="00D077B5">
            <w:pPr>
              <w:pStyle w:val="ARtabletext"/>
              <w:spacing w:before="50" w:after="40"/>
            </w:pPr>
            <w:r w:rsidRPr="002644A9">
              <w:t>4.5</w:t>
            </w:r>
          </w:p>
        </w:tc>
        <w:tc>
          <w:tcPr>
            <w:tcW w:w="107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286D55D2" w14:textId="19E58EA7" w:rsidR="00916DE6" w:rsidRPr="002029AF" w:rsidRDefault="00EA2474" w:rsidP="00D077B5">
            <w:pPr>
              <w:pStyle w:val="ARtabletext"/>
              <w:spacing w:before="50" w:after="40"/>
            </w:pPr>
            <w:r>
              <w:t>5.1</w:t>
            </w:r>
            <w:r w:rsidR="007A0CF3">
              <w:rPr>
                <w:vertAlign w:val="superscript"/>
              </w:rPr>
              <w:t>(</w:t>
            </w:r>
            <w:r w:rsidR="00D05CA9">
              <w:rPr>
                <w:vertAlign w:val="superscript"/>
              </w:rPr>
              <w:t>b</w:t>
            </w:r>
            <w:r w:rsidR="007A0CF3">
              <w:rPr>
                <w:vertAlign w:val="superscript"/>
              </w:rPr>
              <w:t>)</w:t>
            </w:r>
          </w:p>
        </w:tc>
      </w:tr>
      <w:tr w:rsidR="00916DE6" w:rsidRPr="002029AF" w14:paraId="5313CFAF" w14:textId="77777777" w:rsidTr="00F31219">
        <w:trPr>
          <w:cantSplit/>
        </w:trPr>
        <w:tc>
          <w:tcPr>
            <w:tcW w:w="5516"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9377AD7" w14:textId="1370A5E0" w:rsidR="00916DE6" w:rsidRPr="002029AF" w:rsidRDefault="00916DE6" w:rsidP="00D077B5">
            <w:pPr>
              <w:pStyle w:val="ARtabletext"/>
              <w:spacing w:before="50" w:after="40"/>
            </w:pPr>
            <w:r w:rsidRPr="00383C20">
              <w:t>Unplanned readmission for paediatric tonsillectomy and adenoidectomy</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40706777" w14:textId="1260A71D" w:rsidR="00916DE6" w:rsidRPr="002029AF" w:rsidRDefault="00916DE6" w:rsidP="00D077B5">
            <w:pPr>
              <w:pStyle w:val="ARtabletext"/>
              <w:spacing w:before="50" w:after="40"/>
            </w:pPr>
            <w:r>
              <w:t>2.5</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33E2682" w14:textId="20F7BDE8" w:rsidR="00916DE6" w:rsidRPr="002029AF" w:rsidRDefault="00916DE6" w:rsidP="00D077B5">
            <w:pPr>
              <w:pStyle w:val="ARtabletext"/>
              <w:spacing w:before="50" w:after="40"/>
            </w:pPr>
            <w:r>
              <w:t>2.5</w:t>
            </w:r>
          </w:p>
        </w:tc>
        <w:tc>
          <w:tcPr>
            <w:tcW w:w="101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25820BD" w14:textId="1505C251" w:rsidR="00916DE6" w:rsidRPr="002644A9" w:rsidRDefault="00916DE6" w:rsidP="00D077B5">
            <w:pPr>
              <w:pStyle w:val="ARtabletext"/>
              <w:spacing w:before="50" w:after="40"/>
            </w:pPr>
            <w:r w:rsidRPr="002644A9">
              <w:t>2.5</w:t>
            </w:r>
          </w:p>
        </w:tc>
        <w:tc>
          <w:tcPr>
            <w:tcW w:w="1072"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39ECF8DC" w14:textId="169E692C" w:rsidR="00916DE6" w:rsidRPr="002029AF" w:rsidRDefault="00EA2474" w:rsidP="00D077B5">
            <w:pPr>
              <w:pStyle w:val="ARtabletext"/>
              <w:spacing w:before="50" w:after="40"/>
            </w:pPr>
            <w:r>
              <w:t>3.8</w:t>
            </w:r>
            <w:r w:rsidR="007A0CF3">
              <w:rPr>
                <w:vertAlign w:val="superscript"/>
              </w:rPr>
              <w:t>(</w:t>
            </w:r>
            <w:r w:rsidR="00D05CA9">
              <w:rPr>
                <w:vertAlign w:val="superscript"/>
              </w:rPr>
              <w:t>b</w:t>
            </w:r>
            <w:r w:rsidR="007A0CF3">
              <w:rPr>
                <w:vertAlign w:val="superscript"/>
              </w:rPr>
              <w:t>)</w:t>
            </w:r>
          </w:p>
        </w:tc>
      </w:tr>
      <w:tr w:rsidR="00916DE6" w:rsidRPr="002029AF" w14:paraId="0D6F27CD" w14:textId="77777777" w:rsidTr="00FA0AB0">
        <w:trPr>
          <w:cantSplit/>
        </w:trPr>
        <w:tc>
          <w:tcPr>
            <w:tcW w:w="9639" w:type="dxa"/>
            <w:gridSpan w:val="5"/>
            <w:tcBorders>
              <w:top w:val="single" w:sz="4" w:space="0" w:color="auto"/>
              <w:left w:val="nil"/>
              <w:bottom w:val="single" w:sz="4" w:space="0" w:color="BFBFBF" w:themeColor="background1" w:themeShade="BF"/>
              <w:right w:val="single" w:sz="4" w:space="0" w:color="FFFFFF" w:themeColor="background1"/>
            </w:tcBorders>
            <w:hideMark/>
          </w:tcPr>
          <w:p w14:paraId="60934948" w14:textId="77777777" w:rsidR="00916DE6" w:rsidRPr="002029AF" w:rsidRDefault="00916DE6" w:rsidP="00044722">
            <w:pPr>
              <w:pStyle w:val="ARtablecolourbold"/>
            </w:pPr>
            <w:r w:rsidRPr="005D78E1">
              <w:t>Services are safe, high</w:t>
            </w:r>
            <w:r w:rsidRPr="00620395">
              <w:t xml:space="preserve"> quality and provide a positive experience</w:t>
            </w:r>
          </w:p>
        </w:tc>
      </w:tr>
      <w:tr w:rsidR="00916DE6" w:rsidRPr="002029AF" w14:paraId="1F7886F5" w14:textId="77777777" w:rsidTr="00FA0AB0">
        <w:trPr>
          <w:cantSplit/>
        </w:trPr>
        <w:tc>
          <w:tcPr>
            <w:tcW w:w="5516"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hideMark/>
          </w:tcPr>
          <w:p w14:paraId="7C569260" w14:textId="77777777" w:rsidR="00916DE6" w:rsidRPr="002029AF" w:rsidRDefault="00916DE6" w:rsidP="00D077B5">
            <w:pPr>
              <w:pStyle w:val="ARtabletext"/>
              <w:spacing w:before="50" w:after="40"/>
              <w:rPr>
                <w:i/>
              </w:rPr>
            </w:pPr>
            <w:r w:rsidRPr="002029AF">
              <w:t>Public hospitals accredited</w:t>
            </w:r>
          </w:p>
        </w:tc>
        <w:tc>
          <w:tcPr>
            <w:tcW w:w="101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203A61D7" w14:textId="05C6505D" w:rsidR="00916DE6" w:rsidRPr="002029AF" w:rsidRDefault="00916DE6" w:rsidP="00D077B5">
            <w:pPr>
              <w:pStyle w:val="ARtabletext"/>
              <w:spacing w:before="50" w:after="40"/>
            </w:pPr>
            <w:r w:rsidRPr="002029AF">
              <w:t>100%</w:t>
            </w:r>
          </w:p>
        </w:tc>
        <w:tc>
          <w:tcPr>
            <w:tcW w:w="101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7AC83D68" w14:textId="0C61447F" w:rsidR="00916DE6" w:rsidRPr="002029AF" w:rsidRDefault="00916DE6" w:rsidP="00D077B5">
            <w:pPr>
              <w:pStyle w:val="ARtabletext"/>
              <w:spacing w:before="50" w:after="40"/>
            </w:pPr>
            <w:r w:rsidRPr="002029AF">
              <w:t>100%</w:t>
            </w:r>
          </w:p>
        </w:tc>
        <w:tc>
          <w:tcPr>
            <w:tcW w:w="101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6EE8C9D8" w14:textId="6CE903C2" w:rsidR="00916DE6" w:rsidRPr="002029AF" w:rsidRDefault="00916DE6" w:rsidP="00D077B5">
            <w:pPr>
              <w:pStyle w:val="ARtabletext"/>
              <w:spacing w:before="50" w:after="40"/>
            </w:pPr>
            <w:r w:rsidRPr="002029AF">
              <w:t>100%</w:t>
            </w:r>
          </w:p>
        </w:tc>
        <w:tc>
          <w:tcPr>
            <w:tcW w:w="1072"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73946877" w14:textId="320FB610" w:rsidR="00916DE6" w:rsidRPr="002029AF" w:rsidRDefault="001776BD" w:rsidP="00D077B5">
            <w:pPr>
              <w:pStyle w:val="ARtabletext"/>
              <w:spacing w:before="50" w:after="40"/>
            </w:pPr>
            <w:r>
              <w:t>100%</w:t>
            </w:r>
          </w:p>
        </w:tc>
      </w:tr>
      <w:tr w:rsidR="00916DE6" w:rsidRPr="002029AF" w14:paraId="1970591D" w14:textId="77777777" w:rsidTr="00F31219">
        <w:trPr>
          <w:cantSplit/>
        </w:trPr>
        <w:tc>
          <w:tcPr>
            <w:tcW w:w="551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03F78D25" w14:textId="48F4EAC7" w:rsidR="00916DE6" w:rsidRPr="002029AF" w:rsidRDefault="00916DE6" w:rsidP="00D077B5">
            <w:pPr>
              <w:pStyle w:val="ARtabletext"/>
              <w:spacing w:before="50" w:after="40"/>
            </w:pPr>
            <w:r w:rsidRPr="00AE2B14">
              <w:t>Rate of Staphylococcus aureus bacteraemias (SAB) infections per 10,000 patient days</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4AEE7BE3" w14:textId="633DCBF5" w:rsidR="00916DE6" w:rsidRPr="002029AF" w:rsidRDefault="00916DE6" w:rsidP="00D077B5">
            <w:pPr>
              <w:pStyle w:val="ARtabletext"/>
              <w:spacing w:before="50" w:after="40"/>
            </w:pPr>
            <w:r>
              <w:t>0.9</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3A139D30" w14:textId="57595E7C" w:rsidR="00916DE6" w:rsidRPr="002029AF" w:rsidRDefault="00916DE6" w:rsidP="00D077B5">
            <w:pPr>
              <w:pStyle w:val="ARtabletext"/>
              <w:spacing w:before="50" w:after="40"/>
            </w:pPr>
            <w:r>
              <w:t>0.5</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1D821F98" w14:textId="0D0D7419" w:rsidR="00916DE6" w:rsidRPr="00FE149C" w:rsidRDefault="00916DE6" w:rsidP="00D077B5">
            <w:pPr>
              <w:pStyle w:val="ARtabletext"/>
              <w:spacing w:before="50" w:after="40"/>
              <w:rPr>
                <w:highlight w:val="yellow"/>
              </w:rPr>
            </w:pPr>
            <w:r w:rsidRPr="00E650CD">
              <w:t>0.7</w:t>
            </w:r>
          </w:p>
        </w:tc>
        <w:tc>
          <w:tcPr>
            <w:tcW w:w="107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2402C5F0" w14:textId="260D0481" w:rsidR="00916DE6" w:rsidRPr="001776BD" w:rsidRDefault="001776BD" w:rsidP="00D077B5">
            <w:pPr>
              <w:pStyle w:val="ARtabletext"/>
              <w:spacing w:before="50" w:after="40"/>
            </w:pPr>
            <w:r>
              <w:t>0.5</w:t>
            </w:r>
          </w:p>
        </w:tc>
      </w:tr>
      <w:tr w:rsidR="00916DE6" w:rsidRPr="002029AF" w14:paraId="4C0D273E" w14:textId="77777777" w:rsidTr="00F31219">
        <w:trPr>
          <w:cantSplit/>
        </w:trPr>
        <w:tc>
          <w:tcPr>
            <w:tcW w:w="551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45D8A666" w14:textId="13CEA71D" w:rsidR="00916DE6" w:rsidRPr="002029AF" w:rsidRDefault="00916DE6" w:rsidP="00D077B5">
            <w:pPr>
              <w:pStyle w:val="ARtabletext"/>
              <w:spacing w:before="50" w:after="40"/>
            </w:pPr>
            <w:r w:rsidRPr="00FC2116">
              <w:t>Rate of intensive care unit central line associated blood stream infections (CLABSI) per 1,000 device days</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23747923" w14:textId="46C7E89B" w:rsidR="00916DE6" w:rsidRPr="002029AF" w:rsidRDefault="00916DE6" w:rsidP="00D077B5">
            <w:pPr>
              <w:pStyle w:val="ARtabletext"/>
              <w:spacing w:before="50" w:after="40"/>
            </w:pPr>
            <w:r>
              <w:t>0.9</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465804A3" w14:textId="130CB35C" w:rsidR="00916DE6" w:rsidRPr="002029AF" w:rsidRDefault="00916DE6" w:rsidP="00D077B5">
            <w:pPr>
              <w:pStyle w:val="ARtabletext"/>
              <w:spacing w:before="50" w:after="40"/>
            </w:pPr>
            <w:r>
              <w:t>0.6</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39B6C1A6" w14:textId="582BA624" w:rsidR="00916DE6" w:rsidRPr="00FE149C" w:rsidRDefault="00916DE6" w:rsidP="00D077B5">
            <w:pPr>
              <w:pStyle w:val="ARtabletext"/>
              <w:spacing w:before="50" w:after="40"/>
              <w:rPr>
                <w:highlight w:val="yellow"/>
              </w:rPr>
            </w:pPr>
            <w:r w:rsidRPr="00E650CD">
              <w:t>0.6</w:t>
            </w:r>
          </w:p>
        </w:tc>
        <w:tc>
          <w:tcPr>
            <w:tcW w:w="107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332FCE61" w14:textId="67F97E73" w:rsidR="00916DE6" w:rsidRPr="002E3CF1" w:rsidRDefault="002E3CF1" w:rsidP="00D077B5">
            <w:pPr>
              <w:pStyle w:val="ARtabletext"/>
              <w:spacing w:before="50" w:after="40"/>
            </w:pPr>
            <w:r>
              <w:t>0.7</w:t>
            </w:r>
          </w:p>
        </w:tc>
      </w:tr>
      <w:tr w:rsidR="00916DE6" w:rsidRPr="002029AF" w14:paraId="7E23B6F3" w14:textId="77777777" w:rsidTr="00F31219">
        <w:trPr>
          <w:cantSplit/>
        </w:trPr>
        <w:tc>
          <w:tcPr>
            <w:tcW w:w="551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hideMark/>
          </w:tcPr>
          <w:p w14:paraId="6DDE23DE" w14:textId="4F51E21B" w:rsidR="00916DE6" w:rsidRPr="001C1E1B" w:rsidRDefault="00916DE6" w:rsidP="00D077B5">
            <w:pPr>
              <w:pStyle w:val="ARtabletext"/>
              <w:spacing w:before="50" w:after="40"/>
              <w:rPr>
                <w:iCs/>
              </w:rPr>
            </w:pPr>
            <w:r>
              <w:rPr>
                <w:iCs/>
              </w:rPr>
              <w:t>Hand hygiene compliance</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7E12E4B2" w14:textId="366C54FE" w:rsidR="00916DE6" w:rsidRPr="002029AF" w:rsidRDefault="00916DE6" w:rsidP="00D077B5">
            <w:pPr>
              <w:pStyle w:val="ARtabletext"/>
              <w:spacing w:before="50" w:after="40"/>
            </w:pPr>
            <w:r>
              <w:t>85.0%</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35DC73FB" w14:textId="6AC032D4" w:rsidR="00916DE6" w:rsidRPr="002029AF" w:rsidRDefault="00916DE6" w:rsidP="00D077B5">
            <w:pPr>
              <w:pStyle w:val="ARtabletext"/>
              <w:spacing w:before="50" w:after="40"/>
            </w:pPr>
            <w:r>
              <w:rPr>
                <w:rStyle w:val="Superscript"/>
                <w:vertAlign w:val="baseline"/>
              </w:rPr>
              <w:t>87.5%</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655A2CA3" w14:textId="204EACB6" w:rsidR="00916DE6" w:rsidRPr="009E2F5B" w:rsidRDefault="00916DE6" w:rsidP="00D077B5">
            <w:pPr>
              <w:pStyle w:val="ARtabletext"/>
              <w:spacing w:before="50" w:after="40"/>
              <w:rPr>
                <w:rStyle w:val="Superscript"/>
                <w:vertAlign w:val="baseline"/>
              </w:rPr>
            </w:pPr>
            <w:r>
              <w:t>86.4%</w:t>
            </w:r>
          </w:p>
        </w:tc>
        <w:tc>
          <w:tcPr>
            <w:tcW w:w="107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4F6F5BDB" w14:textId="3126B63F" w:rsidR="00916DE6" w:rsidRPr="002029AF" w:rsidRDefault="00914A8D" w:rsidP="00D077B5">
            <w:pPr>
              <w:pStyle w:val="ARtabletext"/>
              <w:spacing w:before="50" w:after="40"/>
            </w:pPr>
            <w:r>
              <w:t>85.5%</w:t>
            </w:r>
          </w:p>
        </w:tc>
      </w:tr>
      <w:tr w:rsidR="00916DE6" w:rsidRPr="002029AF" w14:paraId="3BD2527B" w14:textId="77777777" w:rsidTr="00FA0AB0">
        <w:trPr>
          <w:cantSplit/>
        </w:trPr>
        <w:tc>
          <w:tcPr>
            <w:tcW w:w="551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hideMark/>
          </w:tcPr>
          <w:p w14:paraId="08DB2645" w14:textId="77777777" w:rsidR="00916DE6" w:rsidRPr="002029AF" w:rsidRDefault="00916DE6" w:rsidP="00D077B5">
            <w:pPr>
              <w:pStyle w:val="ARtabletext"/>
              <w:spacing w:before="50" w:after="40"/>
              <w:rPr>
                <w:i/>
              </w:rPr>
            </w:pPr>
            <w:r w:rsidRPr="002029AF">
              <w:t>Positive patient experience</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5A57D325" w14:textId="30CD1C69" w:rsidR="00916DE6" w:rsidRPr="002029AF" w:rsidRDefault="00916DE6" w:rsidP="00D077B5">
            <w:pPr>
              <w:pStyle w:val="ARtabletext"/>
              <w:spacing w:before="50" w:after="40"/>
            </w:pPr>
            <w:r w:rsidRPr="002029AF">
              <w:t>92.4%</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764C277A" w14:textId="5666A6D6" w:rsidR="00916DE6" w:rsidRPr="002029AF" w:rsidRDefault="00916DE6" w:rsidP="00D077B5">
            <w:pPr>
              <w:pStyle w:val="ARtabletext"/>
              <w:spacing w:before="50" w:after="40"/>
            </w:pPr>
            <w:r>
              <w:t>N/A</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629368E2" w14:textId="3955364F" w:rsidR="00916DE6" w:rsidRPr="002029AF" w:rsidRDefault="00916DE6" w:rsidP="00D077B5">
            <w:pPr>
              <w:pStyle w:val="ARtabletext"/>
              <w:spacing w:before="50" w:after="40"/>
            </w:pPr>
            <w:r>
              <w:t>N/A</w:t>
            </w:r>
            <w:r>
              <w:rPr>
                <w:rStyle w:val="FootnoteReference"/>
              </w:rPr>
              <w:t>(</w:t>
            </w:r>
            <w:r w:rsidRPr="00BD5FC4">
              <w:rPr>
                <w:rStyle w:val="FootnoteReference"/>
              </w:rPr>
              <w:footnoteReference w:id="15"/>
            </w:r>
            <w:r>
              <w:rPr>
                <w:rStyle w:val="FootnoteReference"/>
              </w:rPr>
              <w:t>)</w:t>
            </w:r>
          </w:p>
        </w:tc>
        <w:tc>
          <w:tcPr>
            <w:tcW w:w="107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4C2B7FCA" w14:textId="7B27D2A8" w:rsidR="00916DE6" w:rsidRPr="007719D5" w:rsidRDefault="007719D5" w:rsidP="00D077B5">
            <w:pPr>
              <w:pStyle w:val="ARtabletext"/>
              <w:spacing w:before="50" w:after="40"/>
              <w:rPr>
                <w:vertAlign w:val="superscript"/>
              </w:rPr>
            </w:pPr>
            <w:r>
              <w:t>90.4%</w:t>
            </w:r>
            <w:r>
              <w:rPr>
                <w:vertAlign w:val="superscript"/>
              </w:rPr>
              <w:t>E</w:t>
            </w:r>
          </w:p>
        </w:tc>
      </w:tr>
      <w:tr w:rsidR="00916DE6" w:rsidRPr="002029AF" w14:paraId="20113CF7" w14:textId="77777777" w:rsidTr="00FA0AB0">
        <w:trPr>
          <w:cantSplit/>
        </w:trPr>
        <w:tc>
          <w:tcPr>
            <w:tcW w:w="551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422435C2" w14:textId="5D477226" w:rsidR="00916DE6" w:rsidRPr="002029AF" w:rsidRDefault="00916DE6" w:rsidP="00D077B5">
            <w:pPr>
              <w:pStyle w:val="ARtabletext"/>
              <w:spacing w:before="50" w:after="40"/>
            </w:pPr>
            <w:r w:rsidRPr="00B37065">
              <w:t>Patient reported hospital cleanliness</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022F33FD" w14:textId="62FFC772" w:rsidR="00916DE6" w:rsidRPr="002029AF" w:rsidRDefault="00916DE6" w:rsidP="00D077B5">
            <w:pPr>
              <w:pStyle w:val="ARtabletext"/>
              <w:spacing w:before="50" w:after="40"/>
            </w:pPr>
            <w:r>
              <w:t>69.4%</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67EA2296" w14:textId="72E3621D" w:rsidR="00916DE6" w:rsidRPr="002029AF" w:rsidRDefault="00916DE6" w:rsidP="00D077B5">
            <w:pPr>
              <w:pStyle w:val="ARtabletext"/>
              <w:spacing w:before="50" w:after="40"/>
            </w:pPr>
            <w:r>
              <w:t>71.0%</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1C3DBEBF" w14:textId="67C3EB22" w:rsidR="00916DE6" w:rsidRPr="006757F4" w:rsidRDefault="00916DE6" w:rsidP="00D077B5">
            <w:pPr>
              <w:pStyle w:val="ARtabletext"/>
              <w:spacing w:before="50" w:after="40"/>
              <w:rPr>
                <w:vertAlign w:val="superscript"/>
              </w:rPr>
            </w:pPr>
            <w:r>
              <w:t>N/A</w:t>
            </w:r>
            <w:r w:rsidR="006757F4">
              <w:rPr>
                <w:vertAlign w:val="superscript"/>
              </w:rPr>
              <w:t>(</w:t>
            </w:r>
            <w:r w:rsidR="00AC4D81">
              <w:rPr>
                <w:vertAlign w:val="superscript"/>
              </w:rPr>
              <w:t>c</w:t>
            </w:r>
            <w:r w:rsidR="006757F4">
              <w:rPr>
                <w:vertAlign w:val="superscript"/>
              </w:rPr>
              <w:t>)</w:t>
            </w:r>
          </w:p>
        </w:tc>
        <w:tc>
          <w:tcPr>
            <w:tcW w:w="107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07CB5F3C" w14:textId="0F28F62E" w:rsidR="00916DE6" w:rsidRPr="00AB7987" w:rsidRDefault="00AB7987" w:rsidP="00D077B5">
            <w:pPr>
              <w:pStyle w:val="ARtabletext"/>
              <w:spacing w:before="50" w:after="40"/>
              <w:rPr>
                <w:vertAlign w:val="superscript"/>
              </w:rPr>
            </w:pPr>
            <w:r>
              <w:t>85.8%</w:t>
            </w:r>
            <w:r>
              <w:rPr>
                <w:vertAlign w:val="superscript"/>
              </w:rPr>
              <w:t>E</w:t>
            </w:r>
          </w:p>
        </w:tc>
      </w:tr>
      <w:tr w:rsidR="00916DE6" w:rsidRPr="002029AF" w14:paraId="015DB155" w14:textId="77777777" w:rsidTr="00F31219">
        <w:trPr>
          <w:cantSplit/>
        </w:trPr>
        <w:tc>
          <w:tcPr>
            <w:tcW w:w="551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hideMark/>
          </w:tcPr>
          <w:p w14:paraId="0EB31A52" w14:textId="77777777" w:rsidR="00916DE6" w:rsidRPr="002029AF" w:rsidRDefault="00916DE6" w:rsidP="00D077B5">
            <w:pPr>
              <w:pStyle w:val="ARtabletext"/>
              <w:spacing w:before="50" w:after="40"/>
              <w:rPr>
                <w:i/>
              </w:rPr>
            </w:pPr>
            <w:r w:rsidRPr="002029AF">
              <w:t>Discharge Experience Index</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080562E8" w14:textId="77706F69" w:rsidR="00916DE6" w:rsidRPr="002029AF" w:rsidRDefault="00916DE6" w:rsidP="00D077B5">
            <w:pPr>
              <w:pStyle w:val="ARtabletext"/>
              <w:spacing w:before="50" w:after="40"/>
            </w:pPr>
            <w:r w:rsidRPr="002029AF">
              <w:t>75.7%</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51B00AB7" w14:textId="52845CE3" w:rsidR="00916DE6" w:rsidRPr="002029AF" w:rsidRDefault="00916DE6" w:rsidP="00D077B5">
            <w:pPr>
              <w:pStyle w:val="ARtabletext"/>
              <w:spacing w:before="50" w:after="40"/>
            </w:pPr>
            <w:r>
              <w:t>N/A</w:t>
            </w:r>
          </w:p>
        </w:tc>
        <w:tc>
          <w:tcPr>
            <w:tcW w:w="101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6997DD4E" w14:textId="168D74B6" w:rsidR="00916DE6" w:rsidRPr="002029AF" w:rsidRDefault="00916DE6" w:rsidP="00D077B5">
            <w:pPr>
              <w:pStyle w:val="ARtabletext"/>
              <w:spacing w:before="50" w:after="40"/>
            </w:pPr>
            <w:r>
              <w:t>N/A</w:t>
            </w:r>
            <w:r w:rsidRPr="00797ECD">
              <w:rPr>
                <w:rStyle w:val="FootnoteReference"/>
              </w:rPr>
              <w:t>(</w:t>
            </w:r>
            <w:r w:rsidR="002A69CC" w:rsidRPr="002A69CC">
              <w:rPr>
                <w:vertAlign w:val="superscript"/>
              </w:rPr>
              <w:t>c</w:t>
            </w:r>
            <w:r w:rsidRPr="00797ECD">
              <w:rPr>
                <w:rStyle w:val="FootnoteReference"/>
              </w:rPr>
              <w:t>)</w:t>
            </w:r>
          </w:p>
        </w:tc>
        <w:tc>
          <w:tcPr>
            <w:tcW w:w="107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0211D67A" w14:textId="1BAA0CD9" w:rsidR="00916DE6" w:rsidRPr="007E0B61" w:rsidRDefault="00D4592D" w:rsidP="00D077B5">
            <w:pPr>
              <w:pStyle w:val="ARtabletext"/>
              <w:spacing w:before="50" w:after="40"/>
              <w:rPr>
                <w:vertAlign w:val="superscript"/>
              </w:rPr>
            </w:pPr>
            <w:r>
              <w:t>71</w:t>
            </w:r>
            <w:r w:rsidR="007E0B61">
              <w:t>.1%</w:t>
            </w:r>
            <w:r w:rsidR="007E0B61">
              <w:rPr>
                <w:vertAlign w:val="superscript"/>
              </w:rPr>
              <w:t>E</w:t>
            </w:r>
          </w:p>
        </w:tc>
      </w:tr>
      <w:tr w:rsidR="00916DE6" w:rsidRPr="002029AF" w14:paraId="08B66367" w14:textId="77777777" w:rsidTr="00FA0AB0">
        <w:trPr>
          <w:cantSplit/>
        </w:trPr>
        <w:tc>
          <w:tcPr>
            <w:tcW w:w="9639" w:type="dxa"/>
            <w:gridSpan w:val="5"/>
            <w:tcBorders>
              <w:top w:val="single" w:sz="4" w:space="0" w:color="BFBFBF" w:themeColor="background1" w:themeShade="BF"/>
              <w:left w:val="single" w:sz="4" w:space="0" w:color="FFFFFF" w:themeColor="background1"/>
              <w:bottom w:val="single" w:sz="4" w:space="0" w:color="auto"/>
              <w:right w:val="single" w:sz="4" w:space="0" w:color="FFFFFF" w:themeColor="background1"/>
            </w:tcBorders>
            <w:hideMark/>
          </w:tcPr>
          <w:p w14:paraId="0268C767" w14:textId="64393EFC" w:rsidR="00916DE6" w:rsidRPr="002029AF" w:rsidRDefault="00916DE6" w:rsidP="00D077B5">
            <w:pPr>
              <w:pStyle w:val="ARtablefootnote"/>
              <w:spacing w:before="50" w:after="40"/>
            </w:pPr>
            <w:r w:rsidRPr="002029AF">
              <w:rPr>
                <w:rFonts w:eastAsia="Times"/>
                <w:lang w:eastAsia="en-AU"/>
              </w:rPr>
              <w:t>Source</w:t>
            </w:r>
            <w:r w:rsidR="00D54923">
              <w:rPr>
                <w:rFonts w:eastAsia="Times"/>
                <w:lang w:eastAsia="en-AU"/>
              </w:rPr>
              <w:t>s</w:t>
            </w:r>
            <w:r w:rsidRPr="002029AF">
              <w:rPr>
                <w:rFonts w:eastAsia="Times"/>
                <w:lang w:eastAsia="en-AU"/>
              </w:rPr>
              <w:t xml:space="preserve">: </w:t>
            </w:r>
            <w:r w:rsidR="00D54923" w:rsidRPr="002029AF">
              <w:rPr>
                <w:rFonts w:eastAsia="Times"/>
                <w:lang w:eastAsia="en-AU"/>
              </w:rPr>
              <w:t>Internal departmental data</w:t>
            </w:r>
            <w:r w:rsidR="005659BD">
              <w:rPr>
                <w:rFonts w:eastAsia="Times"/>
                <w:lang w:eastAsia="en-AU"/>
              </w:rPr>
              <w:t>;</w:t>
            </w:r>
            <w:r w:rsidRPr="002029AF">
              <w:rPr>
                <w:rFonts w:eastAsia="Times"/>
                <w:lang w:eastAsia="en-AU"/>
              </w:rPr>
              <w:t xml:space="preserve"> Victorian Health</w:t>
            </w:r>
            <w:r>
              <w:rPr>
                <w:rFonts w:eastAsia="Times"/>
                <w:lang w:eastAsia="en-AU"/>
              </w:rPr>
              <w:t>care</w:t>
            </w:r>
            <w:r w:rsidRPr="002029AF">
              <w:rPr>
                <w:rFonts w:eastAsia="Times"/>
                <w:lang w:eastAsia="en-AU"/>
              </w:rPr>
              <w:t xml:space="preserve"> Experience Survey</w:t>
            </w:r>
          </w:p>
        </w:tc>
      </w:tr>
    </w:tbl>
    <w:p w14:paraId="4B939273" w14:textId="04DE4D4C" w:rsidR="00E701CA" w:rsidRDefault="00E701CA" w:rsidP="00D077B5">
      <w:pPr>
        <w:pStyle w:val="Heading3forTOC"/>
        <w:pageBreakBefore/>
      </w:pPr>
      <w:bookmarkStart w:id="106" w:name="_Performance_reporting"/>
      <w:bookmarkStart w:id="107" w:name="_Toc113702914"/>
      <w:bookmarkEnd w:id="69"/>
      <w:bookmarkEnd w:id="70"/>
      <w:bookmarkEnd w:id="76"/>
      <w:bookmarkEnd w:id="77"/>
      <w:bookmarkEnd w:id="106"/>
      <w:r>
        <w:t>Performance reporting</w:t>
      </w:r>
      <w:bookmarkEnd w:id="107"/>
    </w:p>
    <w:p w14:paraId="4381F6E8" w14:textId="30CFB65C" w:rsidR="00656CF9" w:rsidRDefault="00656CF9" w:rsidP="00656CF9">
      <w:pPr>
        <w:pStyle w:val="ARintro"/>
      </w:pPr>
      <w:r>
        <w:t xml:space="preserve">The department reports </w:t>
      </w:r>
      <w:r w:rsidR="00565413">
        <w:t xml:space="preserve">output </w:t>
      </w:r>
      <w:r>
        <w:t xml:space="preserve">performance </w:t>
      </w:r>
      <w:r w:rsidR="00B6261D">
        <w:t>using</w:t>
      </w:r>
      <w:r>
        <w:t xml:space="preserve"> </w:t>
      </w:r>
      <w:r w:rsidR="00DE25DA">
        <w:t xml:space="preserve">162 </w:t>
      </w:r>
      <w:r w:rsidR="00364925">
        <w:t xml:space="preserve">performance </w:t>
      </w:r>
      <w:r>
        <w:t xml:space="preserve">measures </w:t>
      </w:r>
      <w:r w:rsidR="008A0ABD">
        <w:t xml:space="preserve">set out in </w:t>
      </w:r>
      <w:r w:rsidR="004D4D20">
        <w:rPr>
          <w:i/>
          <w:iCs/>
        </w:rPr>
        <w:t>2021–22</w:t>
      </w:r>
      <w:r w:rsidRPr="000A328F">
        <w:rPr>
          <w:i/>
          <w:iCs/>
        </w:rPr>
        <w:t xml:space="preserve"> Budget Paper No. 3 – Service Delivery</w:t>
      </w:r>
      <w:r w:rsidRPr="000A328F">
        <w:t>. These have been disaggregated from ou</w:t>
      </w:r>
      <w:r>
        <w:t>tput group (a structure used in previous years) to individual outputs for consistency with standard practice across government.</w:t>
      </w:r>
    </w:p>
    <w:p w14:paraId="6BE9EF01" w14:textId="77777777" w:rsidR="00656CF9" w:rsidRPr="00D02A2E" w:rsidRDefault="00656CF9" w:rsidP="00656CF9">
      <w:pPr>
        <w:pStyle w:val="ARintro"/>
      </w:pPr>
      <w:r w:rsidRPr="00D02A2E">
        <w:t>Results in the tables below are coded according to:</w:t>
      </w:r>
    </w:p>
    <w:p w14:paraId="0882F992" w14:textId="7939D5AB" w:rsidR="00656CF9" w:rsidRPr="00D02A2E" w:rsidRDefault="002F13D8" w:rsidP="00F41769">
      <w:pPr>
        <w:pStyle w:val="ARintro"/>
        <w:ind w:left="567" w:hanging="567"/>
      </w:pPr>
      <w:r w:rsidRPr="002F13D8">
        <w:rPr>
          <w:rFonts w:ascii="Wingdings" w:hAnsi="Wingdings"/>
        </w:rPr>
        <w:t></w:t>
      </w:r>
      <w:r w:rsidR="00656CF9" w:rsidRPr="00D02A2E">
        <w:tab/>
        <w:t>Performance target achieved or exceeded</w:t>
      </w:r>
      <w:r w:rsidR="00A22568">
        <w:t xml:space="preserve"> (</w:t>
      </w:r>
      <w:r w:rsidR="00241277">
        <w:t>86</w:t>
      </w:r>
      <w:r w:rsidR="00A22568">
        <w:t xml:space="preserve"> measures)</w:t>
      </w:r>
    </w:p>
    <w:p w14:paraId="23AD016D" w14:textId="00ADB036" w:rsidR="00656CF9" w:rsidRPr="00D02A2E" w:rsidRDefault="002F13D8" w:rsidP="00F41769">
      <w:pPr>
        <w:pStyle w:val="ARintro"/>
        <w:ind w:left="567" w:hanging="567"/>
      </w:pPr>
      <w:r w:rsidRPr="002F13D8">
        <w:rPr>
          <w:rFonts w:ascii="Wingdings" w:hAnsi="Wingdings"/>
        </w:rPr>
        <w:t></w:t>
      </w:r>
      <w:r w:rsidR="00656CF9" w:rsidRPr="00D02A2E">
        <w:tab/>
        <w:t>Performance target not achieved – within five per cent variance</w:t>
      </w:r>
      <w:r w:rsidR="00A22568">
        <w:t xml:space="preserve"> (</w:t>
      </w:r>
      <w:r w:rsidR="00937491">
        <w:t xml:space="preserve">14 </w:t>
      </w:r>
      <w:r w:rsidR="001B70EC">
        <w:t>measures)</w:t>
      </w:r>
    </w:p>
    <w:p w14:paraId="3F1C6C98" w14:textId="0A9F3FFC" w:rsidR="00656CF9" w:rsidRDefault="002F13D8" w:rsidP="00F41769">
      <w:pPr>
        <w:pStyle w:val="ARintro"/>
        <w:ind w:left="567" w:hanging="567"/>
      </w:pPr>
      <w:r w:rsidRPr="002F13D8">
        <w:rPr>
          <w:rFonts w:ascii="Wingdings" w:hAnsi="Wingdings"/>
        </w:rPr>
        <w:t></w:t>
      </w:r>
      <w:r w:rsidR="00656CF9" w:rsidRPr="00D02A2E">
        <w:tab/>
        <w:t>Performance target not achieved – exceeds five per cent variance</w:t>
      </w:r>
      <w:r w:rsidR="001B70EC">
        <w:t xml:space="preserve"> (61 measures)</w:t>
      </w:r>
    </w:p>
    <w:p w14:paraId="0B94CA22" w14:textId="60EFB871" w:rsidR="00CE0BFC" w:rsidRPr="00F41769" w:rsidRDefault="00CE0BFC" w:rsidP="00F41769">
      <w:pPr>
        <w:pStyle w:val="ARbody"/>
        <w:ind w:left="567" w:hanging="567"/>
        <w:rPr>
          <w:color w:val="53565A"/>
          <w:sz w:val="22"/>
        </w:rPr>
      </w:pPr>
      <w:r w:rsidRPr="00F41769">
        <w:rPr>
          <w:color w:val="53565A"/>
          <w:sz w:val="22"/>
        </w:rPr>
        <w:t>N/A</w:t>
      </w:r>
      <w:r w:rsidRPr="00F41769">
        <w:rPr>
          <w:color w:val="53565A"/>
          <w:sz w:val="22"/>
        </w:rPr>
        <w:tab/>
      </w:r>
      <w:r w:rsidR="00666E2D" w:rsidRPr="00F41769">
        <w:rPr>
          <w:color w:val="53565A"/>
          <w:sz w:val="22"/>
        </w:rPr>
        <w:t>Performance not rated</w:t>
      </w:r>
      <w:r w:rsidR="00F41769" w:rsidRPr="00F41769">
        <w:rPr>
          <w:color w:val="53565A"/>
          <w:sz w:val="22"/>
        </w:rPr>
        <w:t xml:space="preserve"> (1 measure)</w:t>
      </w:r>
    </w:p>
    <w:p w14:paraId="156FB1CE" w14:textId="2C61FC9E" w:rsidR="00E7141A" w:rsidRPr="006E22E6" w:rsidRDefault="00E02F25" w:rsidP="00E7141A">
      <w:pPr>
        <w:pStyle w:val="ARbody"/>
        <w:rPr>
          <w:color w:val="53565A"/>
          <w:sz w:val="22"/>
        </w:rPr>
      </w:pPr>
      <w:r>
        <w:rPr>
          <w:color w:val="53565A"/>
          <w:sz w:val="22"/>
        </w:rPr>
        <w:t>Of t</w:t>
      </w:r>
      <w:r w:rsidR="002F598B">
        <w:rPr>
          <w:color w:val="53565A"/>
          <w:sz w:val="22"/>
        </w:rPr>
        <w:t>he</w:t>
      </w:r>
      <w:r w:rsidR="002F598B" w:rsidRPr="003B3B35">
        <w:rPr>
          <w:color w:val="53565A"/>
          <w:sz w:val="22"/>
        </w:rPr>
        <w:t xml:space="preserve"> </w:t>
      </w:r>
      <w:r w:rsidR="000A67EB">
        <w:rPr>
          <w:color w:val="53565A"/>
          <w:sz w:val="22"/>
        </w:rPr>
        <w:t xml:space="preserve">61 </w:t>
      </w:r>
      <w:r w:rsidR="003B3B35" w:rsidRPr="003B3B35">
        <w:rPr>
          <w:color w:val="53565A"/>
          <w:sz w:val="22"/>
        </w:rPr>
        <w:t xml:space="preserve">measures </w:t>
      </w:r>
      <w:r w:rsidR="00563691">
        <w:rPr>
          <w:color w:val="53565A"/>
          <w:sz w:val="22"/>
        </w:rPr>
        <w:t xml:space="preserve">where the performance </w:t>
      </w:r>
      <w:r w:rsidR="006350FF">
        <w:rPr>
          <w:color w:val="53565A"/>
          <w:sz w:val="22"/>
        </w:rPr>
        <w:t xml:space="preserve">target </w:t>
      </w:r>
      <w:r w:rsidR="00563691">
        <w:rPr>
          <w:color w:val="53565A"/>
          <w:sz w:val="22"/>
        </w:rPr>
        <w:t xml:space="preserve">was not achieved and </w:t>
      </w:r>
      <w:r w:rsidR="00062404">
        <w:rPr>
          <w:color w:val="53565A"/>
          <w:sz w:val="22"/>
        </w:rPr>
        <w:t>exceed</w:t>
      </w:r>
      <w:r w:rsidR="002C7CAA">
        <w:rPr>
          <w:color w:val="53565A"/>
          <w:sz w:val="22"/>
        </w:rPr>
        <w:t>ed</w:t>
      </w:r>
      <w:r w:rsidR="00062404">
        <w:rPr>
          <w:color w:val="53565A"/>
          <w:sz w:val="22"/>
        </w:rPr>
        <w:t xml:space="preserve"> </w:t>
      </w:r>
      <w:r w:rsidR="00F265A6">
        <w:rPr>
          <w:color w:val="53565A"/>
          <w:sz w:val="22"/>
        </w:rPr>
        <w:t>5 per cent variance</w:t>
      </w:r>
      <w:r w:rsidR="00D41930">
        <w:rPr>
          <w:color w:val="53565A"/>
          <w:sz w:val="22"/>
        </w:rPr>
        <w:t>,</w:t>
      </w:r>
      <w:r w:rsidR="00F265A6">
        <w:rPr>
          <w:color w:val="53565A"/>
          <w:sz w:val="22"/>
        </w:rPr>
        <w:t xml:space="preserve"> </w:t>
      </w:r>
      <w:r w:rsidR="00BB7482">
        <w:rPr>
          <w:color w:val="53565A"/>
          <w:sz w:val="22"/>
        </w:rPr>
        <w:t xml:space="preserve">most </w:t>
      </w:r>
      <w:r w:rsidR="00AA3CB3">
        <w:rPr>
          <w:color w:val="53565A"/>
          <w:sz w:val="22"/>
        </w:rPr>
        <w:t>did not m</w:t>
      </w:r>
      <w:r w:rsidR="00060EC3">
        <w:rPr>
          <w:color w:val="53565A"/>
          <w:sz w:val="22"/>
        </w:rPr>
        <w:t xml:space="preserve">eet their targets </w:t>
      </w:r>
      <w:r w:rsidR="002B0253">
        <w:rPr>
          <w:color w:val="53565A"/>
          <w:sz w:val="22"/>
        </w:rPr>
        <w:t>due</w:t>
      </w:r>
      <w:r w:rsidR="003B3B35" w:rsidRPr="003B3B35">
        <w:rPr>
          <w:color w:val="53565A"/>
          <w:sz w:val="22"/>
        </w:rPr>
        <w:t xml:space="preserve"> </w:t>
      </w:r>
      <w:r w:rsidR="002B0253">
        <w:rPr>
          <w:color w:val="53565A"/>
          <w:sz w:val="22"/>
        </w:rPr>
        <w:t>to</w:t>
      </w:r>
      <w:r w:rsidR="003B3B35" w:rsidRPr="003B3B35">
        <w:rPr>
          <w:color w:val="53565A"/>
          <w:sz w:val="22"/>
        </w:rPr>
        <w:t xml:space="preserve"> the impacts of the COVID-19 pandemic</w:t>
      </w:r>
      <w:r w:rsidR="00F50E0C">
        <w:rPr>
          <w:color w:val="53565A"/>
          <w:sz w:val="22"/>
        </w:rPr>
        <w:t xml:space="preserve">. </w:t>
      </w:r>
      <w:r w:rsidR="003B3B35" w:rsidRPr="003B3B35">
        <w:rPr>
          <w:color w:val="53565A"/>
          <w:sz w:val="22"/>
        </w:rPr>
        <w:t xml:space="preserve">The </w:t>
      </w:r>
      <w:r w:rsidR="001E7D71">
        <w:rPr>
          <w:color w:val="53565A"/>
          <w:sz w:val="22"/>
        </w:rPr>
        <w:t xml:space="preserve">department is working to </w:t>
      </w:r>
      <w:r w:rsidR="00533BE7">
        <w:rPr>
          <w:color w:val="53565A"/>
          <w:sz w:val="22"/>
        </w:rPr>
        <w:t xml:space="preserve">improve </w:t>
      </w:r>
      <w:r w:rsidR="00F24E33">
        <w:rPr>
          <w:color w:val="53565A"/>
          <w:sz w:val="22"/>
        </w:rPr>
        <w:t xml:space="preserve">performance </w:t>
      </w:r>
      <w:r w:rsidR="00236A76">
        <w:rPr>
          <w:color w:val="53565A"/>
          <w:sz w:val="22"/>
        </w:rPr>
        <w:t>in all its services to the community</w:t>
      </w:r>
      <w:r w:rsidR="003B3B35" w:rsidRPr="003B3B35">
        <w:rPr>
          <w:color w:val="53565A"/>
          <w:sz w:val="22"/>
        </w:rPr>
        <w:t>.</w:t>
      </w:r>
    </w:p>
    <w:p w14:paraId="6F1F639C" w14:textId="2C6124CF" w:rsidR="0078495E" w:rsidRDefault="0078495E" w:rsidP="00306875">
      <w:pPr>
        <w:pStyle w:val="Heading4"/>
        <w:spacing w:before="400"/>
      </w:pPr>
      <w:bookmarkStart w:id="108" w:name="_Ref112852208"/>
      <w:r>
        <w:t>Admitted Services</w:t>
      </w:r>
      <w:bookmarkEnd w:id="108"/>
    </w:p>
    <w:p w14:paraId="65F4FAB4" w14:textId="62C4B0AB" w:rsidR="0078495E" w:rsidRDefault="00E33AEF" w:rsidP="0078495E">
      <w:pPr>
        <w:pStyle w:val="ARbody"/>
      </w:pPr>
      <w:r w:rsidRPr="00E33AEF">
        <w:t>This output relates to acute and sub-acute patient services (elective and non-elective) provided at Victorian metropolitan and rural public hospitals.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06566A3A" w14:textId="77777777" w:rsidTr="004C7BEF">
        <w:trPr>
          <w:cantSplit/>
          <w:tblHeader/>
        </w:trPr>
        <w:tc>
          <w:tcPr>
            <w:tcW w:w="4761" w:type="dxa"/>
            <w:tcBorders>
              <w:bottom w:val="single" w:sz="4" w:space="0" w:color="auto"/>
            </w:tcBorders>
            <w:shd w:val="clear" w:color="auto" w:fill="auto"/>
            <w:vAlign w:val="bottom"/>
            <w:hideMark/>
          </w:tcPr>
          <w:p w14:paraId="223D5CD2"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271EB597"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60291867"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239A0A40"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67880321"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67ECE692" w14:textId="77777777" w:rsidR="0078495E" w:rsidRPr="00F72126" w:rsidRDefault="0078495E" w:rsidP="004C7BEF">
            <w:pPr>
              <w:pStyle w:val="ARtablecolheadright"/>
            </w:pPr>
            <w:r w:rsidRPr="00F72126">
              <w:t>Result</w:t>
            </w:r>
          </w:p>
        </w:tc>
      </w:tr>
      <w:tr w:rsidR="0078495E" w:rsidRPr="00D02A2E" w14:paraId="78A6F3E0" w14:textId="77777777" w:rsidTr="004C7BEF">
        <w:trPr>
          <w:cantSplit/>
        </w:trPr>
        <w:tc>
          <w:tcPr>
            <w:tcW w:w="9639" w:type="dxa"/>
            <w:gridSpan w:val="6"/>
            <w:tcBorders>
              <w:top w:val="single" w:sz="4" w:space="0" w:color="auto"/>
            </w:tcBorders>
            <w:shd w:val="clear" w:color="auto" w:fill="auto"/>
            <w:hideMark/>
          </w:tcPr>
          <w:p w14:paraId="3C35D7DC" w14:textId="77777777" w:rsidR="0078495E" w:rsidRPr="00D02A2E" w:rsidRDefault="0078495E" w:rsidP="004C7BEF">
            <w:pPr>
              <w:pStyle w:val="ARtablegreybold"/>
              <w:rPr>
                <w:rFonts w:ascii="Wingdings" w:hAnsi="Wingdings"/>
              </w:rPr>
            </w:pPr>
            <w:r w:rsidRPr="007A45E9">
              <w:t>Quantity</w:t>
            </w:r>
          </w:p>
        </w:tc>
      </w:tr>
      <w:tr w:rsidR="0078495E" w:rsidRPr="00D02A2E" w14:paraId="02693515" w14:textId="77777777" w:rsidTr="004C7BEF">
        <w:trPr>
          <w:cantSplit/>
        </w:trPr>
        <w:tc>
          <w:tcPr>
            <w:tcW w:w="4761" w:type="dxa"/>
            <w:shd w:val="clear" w:color="auto" w:fill="auto"/>
            <w:hideMark/>
          </w:tcPr>
          <w:p w14:paraId="37E6DA3A" w14:textId="77777777" w:rsidR="0078495E" w:rsidRPr="00D02A2E" w:rsidRDefault="0078495E" w:rsidP="004C7BEF">
            <w:pPr>
              <w:pStyle w:val="ARtabletext"/>
            </w:pPr>
            <w:r w:rsidRPr="000A387C">
              <w:t>Palliative separations</w:t>
            </w:r>
          </w:p>
        </w:tc>
        <w:tc>
          <w:tcPr>
            <w:tcW w:w="1021" w:type="dxa"/>
            <w:shd w:val="clear" w:color="auto" w:fill="auto"/>
            <w:hideMark/>
          </w:tcPr>
          <w:p w14:paraId="2E4EB4AB" w14:textId="77777777" w:rsidR="0078495E" w:rsidRPr="00D02A2E" w:rsidRDefault="0078495E" w:rsidP="004C7BEF">
            <w:pPr>
              <w:pStyle w:val="ARtabletextcentre"/>
            </w:pPr>
            <w:r w:rsidRPr="000A387C">
              <w:t>number</w:t>
            </w:r>
          </w:p>
        </w:tc>
        <w:tc>
          <w:tcPr>
            <w:tcW w:w="1021" w:type="dxa"/>
            <w:shd w:val="clear" w:color="auto" w:fill="auto"/>
            <w:hideMark/>
          </w:tcPr>
          <w:p w14:paraId="1C75D68B" w14:textId="77777777" w:rsidR="0078495E" w:rsidRDefault="0078495E" w:rsidP="004C7BEF">
            <w:pPr>
              <w:pStyle w:val="ARtabletextright"/>
            </w:pPr>
            <w:r w:rsidRPr="000A387C">
              <w:t>7,700</w:t>
            </w:r>
          </w:p>
        </w:tc>
        <w:tc>
          <w:tcPr>
            <w:tcW w:w="1021" w:type="dxa"/>
            <w:shd w:val="clear" w:color="auto" w:fill="auto"/>
            <w:hideMark/>
          </w:tcPr>
          <w:p w14:paraId="6FB464D7" w14:textId="77777777" w:rsidR="0078495E" w:rsidRDefault="0078495E" w:rsidP="004C7BEF">
            <w:pPr>
              <w:pStyle w:val="ARtabletextright"/>
            </w:pPr>
            <w:r w:rsidRPr="000A387C">
              <w:t>8,379</w:t>
            </w:r>
          </w:p>
        </w:tc>
        <w:tc>
          <w:tcPr>
            <w:tcW w:w="1021" w:type="dxa"/>
            <w:shd w:val="clear" w:color="auto" w:fill="auto"/>
          </w:tcPr>
          <w:p w14:paraId="768D7DD8" w14:textId="77777777" w:rsidR="0078495E" w:rsidRDefault="0078495E" w:rsidP="004C7BEF">
            <w:pPr>
              <w:pStyle w:val="ARtabletextright"/>
            </w:pPr>
            <w:r w:rsidRPr="000A387C">
              <w:t>8.8%</w:t>
            </w:r>
          </w:p>
        </w:tc>
        <w:tc>
          <w:tcPr>
            <w:tcW w:w="794" w:type="dxa"/>
            <w:shd w:val="clear" w:color="auto" w:fill="auto"/>
            <w:hideMark/>
          </w:tcPr>
          <w:p w14:paraId="2D21BD55" w14:textId="77777777" w:rsidR="0078495E" w:rsidRPr="00D02A2E" w:rsidRDefault="0078495E" w:rsidP="004C7BEF">
            <w:pPr>
              <w:pStyle w:val="ARtableperformancesymbol"/>
              <w:rPr>
                <w:rFonts w:hint="eastAsia"/>
              </w:rPr>
            </w:pPr>
            <w:r w:rsidRPr="000A387C">
              <w:t></w:t>
            </w:r>
          </w:p>
        </w:tc>
      </w:tr>
      <w:tr w:rsidR="0078495E" w:rsidRPr="00D02A2E" w14:paraId="65BBAFDE" w14:textId="77777777" w:rsidTr="004C7BEF">
        <w:trPr>
          <w:cantSplit/>
        </w:trPr>
        <w:tc>
          <w:tcPr>
            <w:tcW w:w="9639" w:type="dxa"/>
            <w:gridSpan w:val="6"/>
            <w:tcBorders>
              <w:bottom w:val="single" w:sz="4" w:space="0" w:color="BFBFBF"/>
            </w:tcBorders>
            <w:shd w:val="clear" w:color="auto" w:fill="auto"/>
            <w:noWrap/>
            <w:hideMark/>
          </w:tcPr>
          <w:p w14:paraId="192619E2" w14:textId="746AA0EA" w:rsidR="0078495E" w:rsidRPr="00D02A2E" w:rsidRDefault="0078495E" w:rsidP="004C7BEF">
            <w:pPr>
              <w:pStyle w:val="ARtablenoteindent"/>
            </w:pPr>
            <w:r w:rsidRPr="000A387C">
              <w:t xml:space="preserve">The result is higher than target. </w:t>
            </w:r>
            <w:r w:rsidR="00617419">
              <w:t>It</w:t>
            </w:r>
            <w:r w:rsidRPr="000A387C">
              <w:t xml:space="preserve"> is driven by increased admission of people with complex palliative care needs, primarily in the inner, eastern and south eastern </w:t>
            </w:r>
            <w:r w:rsidR="003A0D86">
              <w:t>m</w:t>
            </w:r>
            <w:r w:rsidRPr="000A387C">
              <w:t>etropolitan hospitals.</w:t>
            </w:r>
          </w:p>
        </w:tc>
      </w:tr>
      <w:tr w:rsidR="0078495E" w:rsidRPr="00D02A2E" w14:paraId="105E9C9A" w14:textId="77777777" w:rsidTr="004C7BEF">
        <w:trPr>
          <w:cantSplit/>
        </w:trPr>
        <w:tc>
          <w:tcPr>
            <w:tcW w:w="4761" w:type="dxa"/>
            <w:shd w:val="clear" w:color="auto" w:fill="auto"/>
            <w:hideMark/>
          </w:tcPr>
          <w:p w14:paraId="6C56D467" w14:textId="77777777" w:rsidR="0078495E" w:rsidRPr="00D02A2E" w:rsidRDefault="0078495E" w:rsidP="004C7BEF">
            <w:pPr>
              <w:pStyle w:val="ARtabletext"/>
            </w:pPr>
            <w:r w:rsidRPr="000A387C">
              <w:t>Sub-acute care separations</w:t>
            </w:r>
          </w:p>
        </w:tc>
        <w:tc>
          <w:tcPr>
            <w:tcW w:w="1021" w:type="dxa"/>
            <w:shd w:val="clear" w:color="auto" w:fill="auto"/>
            <w:hideMark/>
          </w:tcPr>
          <w:p w14:paraId="5A1F5DD1" w14:textId="77777777" w:rsidR="0078495E" w:rsidRPr="00D02A2E" w:rsidRDefault="0078495E" w:rsidP="004C7BEF">
            <w:pPr>
              <w:pStyle w:val="ARtabletextcentre"/>
            </w:pPr>
            <w:r w:rsidRPr="000A387C">
              <w:t>number</w:t>
            </w:r>
          </w:p>
        </w:tc>
        <w:tc>
          <w:tcPr>
            <w:tcW w:w="1021" w:type="dxa"/>
            <w:shd w:val="clear" w:color="auto" w:fill="auto"/>
            <w:hideMark/>
          </w:tcPr>
          <w:p w14:paraId="005EF212" w14:textId="77777777" w:rsidR="0078495E" w:rsidRDefault="0078495E" w:rsidP="004C7BEF">
            <w:pPr>
              <w:pStyle w:val="ARtabletextright"/>
            </w:pPr>
            <w:r w:rsidRPr="000A387C">
              <w:t>39,600</w:t>
            </w:r>
          </w:p>
        </w:tc>
        <w:tc>
          <w:tcPr>
            <w:tcW w:w="1021" w:type="dxa"/>
            <w:shd w:val="clear" w:color="auto" w:fill="auto"/>
            <w:hideMark/>
          </w:tcPr>
          <w:p w14:paraId="55795988" w14:textId="77777777" w:rsidR="0078495E" w:rsidRDefault="0078495E" w:rsidP="004C7BEF">
            <w:pPr>
              <w:pStyle w:val="ARtabletextright"/>
            </w:pPr>
            <w:r w:rsidRPr="000A387C">
              <w:t>31,080</w:t>
            </w:r>
          </w:p>
        </w:tc>
        <w:tc>
          <w:tcPr>
            <w:tcW w:w="1021" w:type="dxa"/>
            <w:shd w:val="clear" w:color="auto" w:fill="auto"/>
          </w:tcPr>
          <w:p w14:paraId="2B6C8AB4" w14:textId="49D62ACE" w:rsidR="0078495E" w:rsidRDefault="00C75BBB" w:rsidP="004C7BEF">
            <w:pPr>
              <w:pStyle w:val="ARtabletextright"/>
            </w:pPr>
            <w:r>
              <w:t>−</w:t>
            </w:r>
            <w:r w:rsidR="0078495E" w:rsidRPr="000A387C">
              <w:t>21.5%</w:t>
            </w:r>
          </w:p>
        </w:tc>
        <w:tc>
          <w:tcPr>
            <w:tcW w:w="794" w:type="dxa"/>
            <w:shd w:val="clear" w:color="auto" w:fill="auto"/>
            <w:hideMark/>
          </w:tcPr>
          <w:p w14:paraId="7E11EA83" w14:textId="77777777" w:rsidR="0078495E" w:rsidRPr="00D02A2E" w:rsidRDefault="0078495E" w:rsidP="004C7BEF">
            <w:pPr>
              <w:pStyle w:val="ARtableperformancesymbol"/>
              <w:rPr>
                <w:rFonts w:hint="eastAsia"/>
              </w:rPr>
            </w:pPr>
            <w:r w:rsidRPr="000A387C">
              <w:t></w:t>
            </w:r>
          </w:p>
        </w:tc>
      </w:tr>
      <w:tr w:rsidR="0078495E" w:rsidRPr="00D02A2E" w14:paraId="602030A0" w14:textId="77777777" w:rsidTr="004C7BEF">
        <w:trPr>
          <w:cantSplit/>
        </w:trPr>
        <w:tc>
          <w:tcPr>
            <w:tcW w:w="9639" w:type="dxa"/>
            <w:gridSpan w:val="6"/>
            <w:tcBorders>
              <w:bottom w:val="single" w:sz="4" w:space="0" w:color="BFBFBF"/>
            </w:tcBorders>
            <w:shd w:val="clear" w:color="auto" w:fill="auto"/>
            <w:noWrap/>
            <w:hideMark/>
          </w:tcPr>
          <w:p w14:paraId="18AA80E9" w14:textId="6038136E" w:rsidR="0078495E" w:rsidRPr="00D02A2E" w:rsidRDefault="0078495E" w:rsidP="004C7BEF">
            <w:pPr>
              <w:pStyle w:val="ARtablenoteindent"/>
            </w:pPr>
            <w:r w:rsidRPr="000A387C">
              <w:t>The result is lower than target primarily due to the ongoing impact of the COVID-19 pandemic on activities</w:t>
            </w:r>
            <w:r w:rsidR="00817356">
              <w:t>.</w:t>
            </w:r>
          </w:p>
        </w:tc>
      </w:tr>
      <w:tr w:rsidR="0078495E" w:rsidRPr="00D02A2E" w14:paraId="1BCA5F29" w14:textId="77777777" w:rsidTr="004C7BEF">
        <w:trPr>
          <w:cantSplit/>
        </w:trPr>
        <w:tc>
          <w:tcPr>
            <w:tcW w:w="4761" w:type="dxa"/>
            <w:shd w:val="clear" w:color="auto" w:fill="auto"/>
            <w:hideMark/>
          </w:tcPr>
          <w:p w14:paraId="4DF65CFD" w14:textId="77777777" w:rsidR="0078495E" w:rsidRPr="00D02A2E" w:rsidRDefault="0078495E" w:rsidP="004C7BEF">
            <w:pPr>
              <w:pStyle w:val="ARtabletext"/>
            </w:pPr>
            <w:r w:rsidRPr="000A387C">
              <w:t>Total separations – all hospitals</w:t>
            </w:r>
          </w:p>
        </w:tc>
        <w:tc>
          <w:tcPr>
            <w:tcW w:w="1021" w:type="dxa"/>
            <w:shd w:val="clear" w:color="auto" w:fill="auto"/>
            <w:hideMark/>
          </w:tcPr>
          <w:p w14:paraId="7F5A4134" w14:textId="77777777" w:rsidR="0078495E" w:rsidRPr="00D02A2E" w:rsidRDefault="0078495E" w:rsidP="004C7BEF">
            <w:pPr>
              <w:pStyle w:val="ARtabletextcentre"/>
            </w:pPr>
            <w:r w:rsidRPr="000A387C">
              <w:t>number (thousand)</w:t>
            </w:r>
          </w:p>
        </w:tc>
        <w:tc>
          <w:tcPr>
            <w:tcW w:w="1021" w:type="dxa"/>
            <w:shd w:val="clear" w:color="auto" w:fill="auto"/>
            <w:hideMark/>
          </w:tcPr>
          <w:p w14:paraId="44846C4A" w14:textId="77777777" w:rsidR="0078495E" w:rsidRDefault="0078495E" w:rsidP="004C7BEF">
            <w:pPr>
              <w:pStyle w:val="ARtabletextright"/>
            </w:pPr>
            <w:r w:rsidRPr="000A387C">
              <w:t>2,034</w:t>
            </w:r>
          </w:p>
        </w:tc>
        <w:tc>
          <w:tcPr>
            <w:tcW w:w="1021" w:type="dxa"/>
            <w:shd w:val="clear" w:color="auto" w:fill="auto"/>
            <w:hideMark/>
          </w:tcPr>
          <w:p w14:paraId="273B2B3A" w14:textId="77777777" w:rsidR="0078495E" w:rsidRDefault="0078495E" w:rsidP="004C7BEF">
            <w:pPr>
              <w:pStyle w:val="ARtabletextright"/>
            </w:pPr>
            <w:r w:rsidRPr="000A387C">
              <w:t>1,866</w:t>
            </w:r>
          </w:p>
        </w:tc>
        <w:tc>
          <w:tcPr>
            <w:tcW w:w="1021" w:type="dxa"/>
            <w:shd w:val="clear" w:color="auto" w:fill="auto"/>
          </w:tcPr>
          <w:p w14:paraId="23F60978" w14:textId="09ACA03F" w:rsidR="0078495E" w:rsidRDefault="00C75BBB" w:rsidP="004C7BEF">
            <w:pPr>
              <w:pStyle w:val="ARtabletextright"/>
            </w:pPr>
            <w:r>
              <w:t>−</w:t>
            </w:r>
            <w:r w:rsidR="0078495E" w:rsidRPr="000A387C">
              <w:t>8.3%</w:t>
            </w:r>
          </w:p>
        </w:tc>
        <w:tc>
          <w:tcPr>
            <w:tcW w:w="794" w:type="dxa"/>
            <w:shd w:val="clear" w:color="auto" w:fill="auto"/>
            <w:hideMark/>
          </w:tcPr>
          <w:p w14:paraId="30D5F951" w14:textId="77777777" w:rsidR="0078495E" w:rsidRPr="00D02A2E" w:rsidRDefault="0078495E" w:rsidP="004C7BEF">
            <w:pPr>
              <w:pStyle w:val="ARtableperformancesymbol"/>
              <w:rPr>
                <w:rFonts w:hint="eastAsia"/>
              </w:rPr>
            </w:pPr>
            <w:r w:rsidRPr="000A387C">
              <w:t></w:t>
            </w:r>
          </w:p>
        </w:tc>
      </w:tr>
      <w:tr w:rsidR="0078495E" w:rsidRPr="00D02A2E" w14:paraId="5ABCFE25" w14:textId="77777777" w:rsidTr="004C7BEF">
        <w:trPr>
          <w:cantSplit/>
        </w:trPr>
        <w:tc>
          <w:tcPr>
            <w:tcW w:w="9639" w:type="dxa"/>
            <w:gridSpan w:val="6"/>
            <w:tcBorders>
              <w:bottom w:val="single" w:sz="4" w:space="0" w:color="BFBFBF"/>
            </w:tcBorders>
            <w:shd w:val="clear" w:color="auto" w:fill="auto"/>
            <w:noWrap/>
            <w:hideMark/>
          </w:tcPr>
          <w:p w14:paraId="3DB16D5B" w14:textId="04EE1923" w:rsidR="0078495E" w:rsidRPr="00D02A2E" w:rsidRDefault="0078495E" w:rsidP="004C7BEF">
            <w:pPr>
              <w:pStyle w:val="ARtablenoteindent"/>
            </w:pPr>
            <w:r w:rsidRPr="000A387C">
              <w:t>The result is lower than target primarily due to the ongoing impact of the COVID-19 pandemic on activities</w:t>
            </w:r>
            <w:r w:rsidR="00817356">
              <w:t>.</w:t>
            </w:r>
          </w:p>
        </w:tc>
      </w:tr>
      <w:tr w:rsidR="0078495E" w:rsidRPr="00D02A2E" w14:paraId="7F1822D9" w14:textId="77777777" w:rsidTr="004C7BEF">
        <w:trPr>
          <w:cantSplit/>
        </w:trPr>
        <w:tc>
          <w:tcPr>
            <w:tcW w:w="4761" w:type="dxa"/>
            <w:shd w:val="clear" w:color="auto" w:fill="auto"/>
            <w:hideMark/>
          </w:tcPr>
          <w:p w14:paraId="1F6EB33A" w14:textId="03F28B96" w:rsidR="0078495E" w:rsidRPr="00D02A2E" w:rsidRDefault="0078495E" w:rsidP="004C7BEF">
            <w:pPr>
              <w:pStyle w:val="ARtabletext"/>
            </w:pPr>
            <w:r w:rsidRPr="000A387C">
              <w:t xml:space="preserve">NWAU </w:t>
            </w:r>
            <w:r w:rsidR="006909D3">
              <w:t xml:space="preserve">(National weighted activity unit) </w:t>
            </w:r>
            <w:r w:rsidRPr="000A387C">
              <w:t>funded separations –</w:t>
            </w:r>
            <w:r>
              <w:t xml:space="preserve"> </w:t>
            </w:r>
            <w:r w:rsidRPr="000A387C">
              <w:t>all hospitals except small rural health services</w:t>
            </w:r>
          </w:p>
        </w:tc>
        <w:tc>
          <w:tcPr>
            <w:tcW w:w="1021" w:type="dxa"/>
            <w:tcBorders>
              <w:top w:val="single" w:sz="4" w:space="0" w:color="BFBFBF"/>
            </w:tcBorders>
            <w:shd w:val="clear" w:color="auto" w:fill="auto"/>
            <w:hideMark/>
          </w:tcPr>
          <w:p w14:paraId="74DE6D1E" w14:textId="77777777" w:rsidR="0078495E" w:rsidRPr="00D02A2E" w:rsidRDefault="0078495E" w:rsidP="004C7BEF">
            <w:pPr>
              <w:pStyle w:val="ARtabletextcentre"/>
            </w:pPr>
            <w:r w:rsidRPr="000A387C">
              <w:t>number (thousand)</w:t>
            </w:r>
          </w:p>
        </w:tc>
        <w:tc>
          <w:tcPr>
            <w:tcW w:w="1021" w:type="dxa"/>
            <w:shd w:val="clear" w:color="auto" w:fill="auto"/>
            <w:hideMark/>
          </w:tcPr>
          <w:p w14:paraId="140D08D2" w14:textId="77777777" w:rsidR="0078495E" w:rsidRDefault="0078495E" w:rsidP="004C7BEF">
            <w:pPr>
              <w:pStyle w:val="ARtabletextright"/>
            </w:pPr>
            <w:r w:rsidRPr="000A387C">
              <w:t>1,840</w:t>
            </w:r>
          </w:p>
        </w:tc>
        <w:tc>
          <w:tcPr>
            <w:tcW w:w="1021" w:type="dxa"/>
            <w:shd w:val="clear" w:color="auto" w:fill="auto"/>
            <w:hideMark/>
          </w:tcPr>
          <w:p w14:paraId="53180993" w14:textId="77777777" w:rsidR="0078495E" w:rsidRDefault="0078495E" w:rsidP="004C7BEF">
            <w:pPr>
              <w:pStyle w:val="ARtabletextright"/>
            </w:pPr>
            <w:r w:rsidRPr="000A387C">
              <w:t>1,686</w:t>
            </w:r>
          </w:p>
        </w:tc>
        <w:tc>
          <w:tcPr>
            <w:tcW w:w="1021" w:type="dxa"/>
            <w:shd w:val="clear" w:color="auto" w:fill="auto"/>
          </w:tcPr>
          <w:p w14:paraId="5C342976" w14:textId="385BA7DB" w:rsidR="0078495E" w:rsidRDefault="00C75BBB" w:rsidP="004C7BEF">
            <w:pPr>
              <w:pStyle w:val="ARtabletextright"/>
            </w:pPr>
            <w:r>
              <w:t>−</w:t>
            </w:r>
            <w:r w:rsidR="0078495E" w:rsidRPr="000A387C">
              <w:t>8.4%</w:t>
            </w:r>
          </w:p>
        </w:tc>
        <w:tc>
          <w:tcPr>
            <w:tcW w:w="794" w:type="dxa"/>
            <w:shd w:val="clear" w:color="auto" w:fill="auto"/>
            <w:hideMark/>
          </w:tcPr>
          <w:p w14:paraId="582784A2" w14:textId="77777777" w:rsidR="0078495E" w:rsidRPr="00D02A2E" w:rsidRDefault="0078495E" w:rsidP="004C7BEF">
            <w:pPr>
              <w:pStyle w:val="ARtableperformancesymbol"/>
              <w:rPr>
                <w:rFonts w:hint="eastAsia"/>
              </w:rPr>
            </w:pPr>
            <w:r w:rsidRPr="000A387C">
              <w:t></w:t>
            </w:r>
          </w:p>
        </w:tc>
      </w:tr>
      <w:tr w:rsidR="0078495E" w:rsidRPr="00D02A2E" w14:paraId="360EA642" w14:textId="77777777" w:rsidTr="004C7BEF">
        <w:trPr>
          <w:cantSplit/>
        </w:trPr>
        <w:tc>
          <w:tcPr>
            <w:tcW w:w="9639" w:type="dxa"/>
            <w:gridSpan w:val="6"/>
            <w:tcBorders>
              <w:bottom w:val="single" w:sz="4" w:space="0" w:color="BFBFBF"/>
            </w:tcBorders>
            <w:shd w:val="clear" w:color="auto" w:fill="auto"/>
            <w:noWrap/>
            <w:hideMark/>
          </w:tcPr>
          <w:p w14:paraId="5BFDE387" w14:textId="00A8CBDC" w:rsidR="0078495E" w:rsidRPr="00D02A2E" w:rsidRDefault="0078495E" w:rsidP="004C7BEF">
            <w:pPr>
              <w:pStyle w:val="ARtablenoteindent"/>
            </w:pPr>
            <w:r w:rsidRPr="000A387C">
              <w:t>The result is lower than target primarily due to the ongoing impact of the COVID-19 pandemic on activities</w:t>
            </w:r>
            <w:r w:rsidR="00817356">
              <w:t>.</w:t>
            </w:r>
          </w:p>
        </w:tc>
      </w:tr>
      <w:tr w:rsidR="0078495E" w:rsidRPr="00D02A2E" w14:paraId="28C75173" w14:textId="77777777" w:rsidTr="004C7BEF">
        <w:trPr>
          <w:cantSplit/>
        </w:trPr>
        <w:tc>
          <w:tcPr>
            <w:tcW w:w="4761" w:type="dxa"/>
            <w:shd w:val="clear" w:color="auto" w:fill="auto"/>
            <w:hideMark/>
          </w:tcPr>
          <w:p w14:paraId="6B0D0140" w14:textId="77777777" w:rsidR="0078495E" w:rsidRPr="00D02A2E" w:rsidRDefault="0078495E" w:rsidP="004C7BEF">
            <w:pPr>
              <w:pStyle w:val="ARtabletext"/>
            </w:pPr>
            <w:r w:rsidRPr="00012029">
              <w:t>Perinatal mortality rate per 1000 babies of Aboriginal mothers, using rolling 3-year average</w:t>
            </w:r>
          </w:p>
        </w:tc>
        <w:tc>
          <w:tcPr>
            <w:tcW w:w="1021" w:type="dxa"/>
            <w:shd w:val="clear" w:color="auto" w:fill="auto"/>
            <w:hideMark/>
          </w:tcPr>
          <w:p w14:paraId="6CF5D4D5" w14:textId="77777777" w:rsidR="0078495E" w:rsidRPr="00D02A2E" w:rsidRDefault="0078495E" w:rsidP="004C7BEF">
            <w:pPr>
              <w:pStyle w:val="ARtabletextcentre"/>
            </w:pPr>
            <w:r w:rsidRPr="000A387C">
              <w:t>rate per 1000</w:t>
            </w:r>
          </w:p>
        </w:tc>
        <w:tc>
          <w:tcPr>
            <w:tcW w:w="1021" w:type="dxa"/>
            <w:shd w:val="clear" w:color="auto" w:fill="auto"/>
            <w:hideMark/>
          </w:tcPr>
          <w:p w14:paraId="2DF2CE77" w14:textId="77777777" w:rsidR="0078495E" w:rsidRDefault="0078495E" w:rsidP="004C7BEF">
            <w:pPr>
              <w:pStyle w:val="ARtabletextright"/>
            </w:pPr>
            <w:r w:rsidRPr="000A387C">
              <w:t>8.7</w:t>
            </w:r>
          </w:p>
        </w:tc>
        <w:tc>
          <w:tcPr>
            <w:tcW w:w="1021" w:type="dxa"/>
            <w:shd w:val="clear" w:color="auto" w:fill="auto"/>
            <w:hideMark/>
          </w:tcPr>
          <w:p w14:paraId="56E77209" w14:textId="77777777" w:rsidR="0078495E" w:rsidRDefault="0078495E" w:rsidP="004C7BEF">
            <w:pPr>
              <w:pStyle w:val="ARtabletextright"/>
            </w:pPr>
            <w:r w:rsidRPr="000A387C">
              <w:t>11.3</w:t>
            </w:r>
          </w:p>
        </w:tc>
        <w:tc>
          <w:tcPr>
            <w:tcW w:w="1021" w:type="dxa"/>
            <w:shd w:val="clear" w:color="auto" w:fill="auto"/>
          </w:tcPr>
          <w:p w14:paraId="080EB610" w14:textId="77777777" w:rsidR="0078495E" w:rsidRDefault="0078495E" w:rsidP="004C7BEF">
            <w:pPr>
              <w:pStyle w:val="ARtabletextright"/>
            </w:pPr>
            <w:r w:rsidRPr="000A387C">
              <w:t>29.9%</w:t>
            </w:r>
          </w:p>
        </w:tc>
        <w:tc>
          <w:tcPr>
            <w:tcW w:w="794" w:type="dxa"/>
            <w:shd w:val="clear" w:color="auto" w:fill="auto"/>
            <w:hideMark/>
          </w:tcPr>
          <w:p w14:paraId="376B41C7" w14:textId="77777777" w:rsidR="0078495E" w:rsidRPr="00D02A2E" w:rsidRDefault="0078495E" w:rsidP="004C7BEF">
            <w:pPr>
              <w:pStyle w:val="ARtableperformancesymbol"/>
              <w:rPr>
                <w:rFonts w:hint="eastAsia"/>
              </w:rPr>
            </w:pPr>
            <w:r w:rsidRPr="000A387C">
              <w:t></w:t>
            </w:r>
          </w:p>
        </w:tc>
      </w:tr>
      <w:tr w:rsidR="0078495E" w:rsidRPr="00D02A2E" w14:paraId="0630FC70" w14:textId="77777777" w:rsidTr="004C7BEF">
        <w:trPr>
          <w:cantSplit/>
        </w:trPr>
        <w:tc>
          <w:tcPr>
            <w:tcW w:w="9639" w:type="dxa"/>
            <w:gridSpan w:val="6"/>
            <w:tcBorders>
              <w:bottom w:val="single" w:sz="4" w:space="0" w:color="BFBFBF"/>
            </w:tcBorders>
            <w:shd w:val="clear" w:color="auto" w:fill="auto"/>
            <w:noWrap/>
            <w:hideMark/>
          </w:tcPr>
          <w:p w14:paraId="018C80AC" w14:textId="09263AEA" w:rsidR="0078495E" w:rsidRPr="00D02A2E" w:rsidRDefault="0078495E" w:rsidP="004C7BEF">
            <w:pPr>
              <w:pStyle w:val="ARtablenoteindent"/>
            </w:pPr>
            <w:r w:rsidRPr="000A387C">
              <w:t xml:space="preserve">The most recent data available is the 3-year rolling average for 2018–20. </w:t>
            </w:r>
            <w:r w:rsidR="004D7852">
              <w:t>D</w:t>
            </w:r>
            <w:r w:rsidRPr="000A387C">
              <w:t xml:space="preserve">ata </w:t>
            </w:r>
            <w:r w:rsidR="00703A93">
              <w:t xml:space="preserve">for </w:t>
            </w:r>
            <w:r w:rsidR="004D4D20">
              <w:t>2021–22</w:t>
            </w:r>
            <w:r w:rsidR="00703A93">
              <w:t xml:space="preserve"> </w:t>
            </w:r>
            <w:r w:rsidRPr="000A387C">
              <w:t>are not available. Rates can vary widely due to small numbers. S</w:t>
            </w:r>
            <w:r w:rsidR="006909D3">
              <w:t xml:space="preserve">afer </w:t>
            </w:r>
            <w:r w:rsidRPr="000A387C">
              <w:t>C</w:t>
            </w:r>
            <w:r w:rsidR="006909D3">
              <w:t xml:space="preserve">are </w:t>
            </w:r>
            <w:r w:rsidRPr="000A387C">
              <w:t>V</w:t>
            </w:r>
            <w:r w:rsidR="006909D3">
              <w:t>ictoria</w:t>
            </w:r>
            <w:r w:rsidRPr="000A387C">
              <w:t>'s Safer Baby Collaborative, in collaboration with the Victorian Aboriginal Community Controlled Health Organisation (VACCHO), is working to strengthen links with Koori maternity services to improve perinatal and maternal outcomes of Aboriginal mothers</w:t>
            </w:r>
            <w:r w:rsidR="006909D3">
              <w:t>,</w:t>
            </w:r>
            <w:r w:rsidRPr="000A387C">
              <w:t xml:space="preserve"> as set out in </w:t>
            </w:r>
            <w:r w:rsidRPr="00CF2B60">
              <w:rPr>
                <w:i/>
                <w:iCs w:val="0"/>
              </w:rPr>
              <w:t>Korin</w:t>
            </w:r>
            <w:r w:rsidRPr="00CF2B60">
              <w:rPr>
                <w:i/>
              </w:rPr>
              <w:t xml:space="preserve"> Korin Balit-</w:t>
            </w:r>
            <w:r w:rsidRPr="00CF2B60">
              <w:rPr>
                <w:i/>
                <w:iCs w:val="0"/>
              </w:rPr>
              <w:t>Djak</w:t>
            </w:r>
            <w:r w:rsidRPr="000A387C">
              <w:t>. In line with this plan, SCV supports enhancing health service participation to improve Aboriginal health outcomes. It is anticipated that the Safer Baby Collaborative will have resulted in improved outcomes for the 2019–21 period.</w:t>
            </w:r>
          </w:p>
        </w:tc>
      </w:tr>
      <w:tr w:rsidR="0078495E" w:rsidRPr="00D02A2E" w14:paraId="3214294A" w14:textId="77777777" w:rsidTr="004C7BEF">
        <w:trPr>
          <w:cantSplit/>
        </w:trPr>
        <w:tc>
          <w:tcPr>
            <w:tcW w:w="4761" w:type="dxa"/>
            <w:shd w:val="clear" w:color="auto" w:fill="auto"/>
            <w:hideMark/>
          </w:tcPr>
          <w:p w14:paraId="2050FFC6" w14:textId="77777777" w:rsidR="0078495E" w:rsidRPr="00D02A2E" w:rsidRDefault="0078495E" w:rsidP="004C7BEF">
            <w:pPr>
              <w:pStyle w:val="ARtabletext"/>
            </w:pPr>
            <w:r w:rsidRPr="000A387C">
              <w:t>Number of patients admitted from the elective surgery waiting list</w:t>
            </w:r>
          </w:p>
        </w:tc>
        <w:tc>
          <w:tcPr>
            <w:tcW w:w="1021" w:type="dxa"/>
            <w:shd w:val="clear" w:color="auto" w:fill="auto"/>
            <w:hideMark/>
          </w:tcPr>
          <w:p w14:paraId="5E711EEA" w14:textId="77777777" w:rsidR="0078495E" w:rsidRPr="00D02A2E" w:rsidRDefault="0078495E" w:rsidP="004C7BEF">
            <w:pPr>
              <w:pStyle w:val="ARtabletextcentre"/>
            </w:pPr>
            <w:r w:rsidRPr="000A387C">
              <w:t>number</w:t>
            </w:r>
          </w:p>
        </w:tc>
        <w:tc>
          <w:tcPr>
            <w:tcW w:w="1021" w:type="dxa"/>
            <w:shd w:val="clear" w:color="auto" w:fill="auto"/>
            <w:hideMark/>
          </w:tcPr>
          <w:p w14:paraId="34BBE03F" w14:textId="77777777" w:rsidR="0078495E" w:rsidRDefault="0078495E" w:rsidP="004C7BEF">
            <w:pPr>
              <w:pStyle w:val="ARtabletextright"/>
            </w:pPr>
            <w:r w:rsidRPr="000A387C">
              <w:t>208,800</w:t>
            </w:r>
          </w:p>
        </w:tc>
        <w:tc>
          <w:tcPr>
            <w:tcW w:w="1021" w:type="dxa"/>
            <w:shd w:val="clear" w:color="auto" w:fill="auto"/>
            <w:hideMark/>
          </w:tcPr>
          <w:p w14:paraId="26969BF7" w14:textId="77777777" w:rsidR="0078495E" w:rsidRDefault="0078495E" w:rsidP="004C7BEF">
            <w:pPr>
              <w:pStyle w:val="ARtabletextright"/>
            </w:pPr>
            <w:r w:rsidRPr="000A387C">
              <w:t>146,687</w:t>
            </w:r>
          </w:p>
        </w:tc>
        <w:tc>
          <w:tcPr>
            <w:tcW w:w="1021" w:type="dxa"/>
            <w:shd w:val="clear" w:color="auto" w:fill="auto"/>
          </w:tcPr>
          <w:p w14:paraId="7AEA2CB7" w14:textId="4270BA18" w:rsidR="0078495E" w:rsidRDefault="00C75BBB" w:rsidP="004C7BEF">
            <w:pPr>
              <w:pStyle w:val="ARtabletextright"/>
            </w:pPr>
            <w:r>
              <w:t>−</w:t>
            </w:r>
            <w:r w:rsidR="0078495E" w:rsidRPr="000A387C">
              <w:t>29.7%</w:t>
            </w:r>
          </w:p>
        </w:tc>
        <w:tc>
          <w:tcPr>
            <w:tcW w:w="794" w:type="dxa"/>
            <w:shd w:val="clear" w:color="auto" w:fill="auto"/>
            <w:hideMark/>
          </w:tcPr>
          <w:p w14:paraId="04C26E75" w14:textId="77777777" w:rsidR="0078495E" w:rsidRPr="00D02A2E" w:rsidRDefault="0078495E" w:rsidP="004C7BEF">
            <w:pPr>
              <w:pStyle w:val="ARtableperformancesymbol"/>
              <w:rPr>
                <w:rFonts w:hint="eastAsia"/>
              </w:rPr>
            </w:pPr>
            <w:r w:rsidRPr="000A387C">
              <w:t></w:t>
            </w:r>
          </w:p>
        </w:tc>
      </w:tr>
      <w:tr w:rsidR="0078495E" w:rsidRPr="00D02A2E" w14:paraId="49F31EA1" w14:textId="77777777" w:rsidTr="004C7BEF">
        <w:trPr>
          <w:cantSplit/>
        </w:trPr>
        <w:tc>
          <w:tcPr>
            <w:tcW w:w="9639" w:type="dxa"/>
            <w:gridSpan w:val="6"/>
            <w:tcBorders>
              <w:bottom w:val="single" w:sz="4" w:space="0" w:color="BFBFBF"/>
            </w:tcBorders>
            <w:shd w:val="clear" w:color="auto" w:fill="auto"/>
            <w:noWrap/>
            <w:hideMark/>
          </w:tcPr>
          <w:p w14:paraId="4A80CADB" w14:textId="3F6F4049" w:rsidR="0078495E" w:rsidRPr="00D02A2E" w:rsidRDefault="0078495E" w:rsidP="004C7BEF">
            <w:pPr>
              <w:pStyle w:val="ARtablenoteindent"/>
            </w:pPr>
            <w:r w:rsidRPr="000A387C">
              <w:t xml:space="preserve">The result is lower than target primarily due to the ongoing impact of the COVID-19 pandemic, including restrictions </w:t>
            </w:r>
            <w:r w:rsidR="006909D3">
              <w:t xml:space="preserve">on performing </w:t>
            </w:r>
            <w:r w:rsidR="00617419">
              <w:t xml:space="preserve">elective surgery </w:t>
            </w:r>
            <w:r w:rsidRPr="000A387C">
              <w:t>and capacity constraints throughout 2021 and 2022.</w:t>
            </w:r>
          </w:p>
        </w:tc>
      </w:tr>
      <w:tr w:rsidR="0078495E" w:rsidRPr="00D02A2E" w14:paraId="535E86FA" w14:textId="77777777" w:rsidTr="004C7BEF">
        <w:trPr>
          <w:cantSplit/>
        </w:trPr>
        <w:tc>
          <w:tcPr>
            <w:tcW w:w="4761" w:type="dxa"/>
            <w:shd w:val="clear" w:color="auto" w:fill="auto"/>
            <w:hideMark/>
          </w:tcPr>
          <w:p w14:paraId="0EEAF5FC" w14:textId="3C9C66DD" w:rsidR="0078495E" w:rsidRPr="00D02A2E" w:rsidRDefault="0078495E" w:rsidP="00355D7B">
            <w:pPr>
              <w:pStyle w:val="ARtabletext"/>
              <w:keepNext/>
            </w:pPr>
            <w:r w:rsidRPr="00345092">
              <w:t>NWAU</w:t>
            </w:r>
            <w:r w:rsidRPr="000A387C">
              <w:t xml:space="preserve"> </w:t>
            </w:r>
            <w:r w:rsidR="00C80CD2">
              <w:t xml:space="preserve">(National weighted activity unit) </w:t>
            </w:r>
            <w:r w:rsidRPr="000A387C">
              <w:t>funded emergency separations – all hospitals</w:t>
            </w:r>
          </w:p>
        </w:tc>
        <w:tc>
          <w:tcPr>
            <w:tcW w:w="1021" w:type="dxa"/>
            <w:shd w:val="clear" w:color="auto" w:fill="auto"/>
            <w:hideMark/>
          </w:tcPr>
          <w:p w14:paraId="66EB82CF" w14:textId="77777777" w:rsidR="0078495E" w:rsidRPr="00D02A2E" w:rsidRDefault="0078495E" w:rsidP="004C7BEF">
            <w:pPr>
              <w:pStyle w:val="ARtabletextcentre"/>
            </w:pPr>
            <w:r w:rsidRPr="000A387C">
              <w:t>number (thousand)</w:t>
            </w:r>
          </w:p>
        </w:tc>
        <w:tc>
          <w:tcPr>
            <w:tcW w:w="1021" w:type="dxa"/>
            <w:shd w:val="clear" w:color="auto" w:fill="auto"/>
            <w:hideMark/>
          </w:tcPr>
          <w:p w14:paraId="74063D3A" w14:textId="77777777" w:rsidR="0078495E" w:rsidRDefault="0078495E" w:rsidP="004C7BEF">
            <w:pPr>
              <w:pStyle w:val="ARtabletextright"/>
            </w:pPr>
            <w:r w:rsidRPr="000A387C">
              <w:t>759</w:t>
            </w:r>
          </w:p>
        </w:tc>
        <w:tc>
          <w:tcPr>
            <w:tcW w:w="1021" w:type="dxa"/>
            <w:shd w:val="clear" w:color="auto" w:fill="auto"/>
            <w:hideMark/>
          </w:tcPr>
          <w:p w14:paraId="2E67C7D7" w14:textId="77777777" w:rsidR="0078495E" w:rsidRDefault="0078495E" w:rsidP="004C7BEF">
            <w:pPr>
              <w:pStyle w:val="ARtabletextright"/>
            </w:pPr>
            <w:r w:rsidRPr="000A387C">
              <w:t>632</w:t>
            </w:r>
          </w:p>
        </w:tc>
        <w:tc>
          <w:tcPr>
            <w:tcW w:w="1021" w:type="dxa"/>
            <w:shd w:val="clear" w:color="auto" w:fill="auto"/>
          </w:tcPr>
          <w:p w14:paraId="5E6A60FD" w14:textId="77777777" w:rsidR="0078495E" w:rsidRDefault="0078495E" w:rsidP="004C7BEF">
            <w:pPr>
              <w:pStyle w:val="ARtabletextright"/>
            </w:pPr>
            <w:r w:rsidRPr="000A387C">
              <w:t>−16.7%</w:t>
            </w:r>
          </w:p>
        </w:tc>
        <w:tc>
          <w:tcPr>
            <w:tcW w:w="794" w:type="dxa"/>
            <w:shd w:val="clear" w:color="auto" w:fill="auto"/>
            <w:hideMark/>
          </w:tcPr>
          <w:p w14:paraId="3217BA9A" w14:textId="77777777" w:rsidR="0078495E" w:rsidRPr="00D02A2E" w:rsidRDefault="0078495E" w:rsidP="004C7BEF">
            <w:pPr>
              <w:pStyle w:val="ARtableperformancesymbol"/>
              <w:rPr>
                <w:rFonts w:hint="eastAsia"/>
              </w:rPr>
            </w:pPr>
            <w:r w:rsidRPr="000A387C">
              <w:t></w:t>
            </w:r>
          </w:p>
        </w:tc>
      </w:tr>
      <w:tr w:rsidR="0078495E" w:rsidRPr="00D02A2E" w14:paraId="2DBCFC32" w14:textId="77777777" w:rsidTr="004C7BEF">
        <w:trPr>
          <w:cantSplit/>
        </w:trPr>
        <w:tc>
          <w:tcPr>
            <w:tcW w:w="9639" w:type="dxa"/>
            <w:gridSpan w:val="6"/>
            <w:tcBorders>
              <w:bottom w:val="single" w:sz="4" w:space="0" w:color="BFBFBF"/>
            </w:tcBorders>
            <w:shd w:val="clear" w:color="auto" w:fill="auto"/>
            <w:noWrap/>
            <w:hideMark/>
          </w:tcPr>
          <w:p w14:paraId="6C6D0746" w14:textId="2BB705E8" w:rsidR="0078495E" w:rsidRPr="00D02A2E" w:rsidRDefault="0078495E" w:rsidP="004C7BEF">
            <w:pPr>
              <w:pStyle w:val="ARtablenoteindent"/>
            </w:pPr>
            <w:r w:rsidRPr="000A387C">
              <w:t>The result is lower than target primarily due to the ongoing impact of the COVID-19 pandemic on activities</w:t>
            </w:r>
            <w:r w:rsidR="004561AD">
              <w:t>,</w:t>
            </w:r>
            <w:r w:rsidRPr="000A387C">
              <w:t xml:space="preserve"> including necessary changes to the way in which care is delivered</w:t>
            </w:r>
            <w:r w:rsidR="001E0F78">
              <w:t>.</w:t>
            </w:r>
          </w:p>
        </w:tc>
      </w:tr>
      <w:tr w:rsidR="0078495E" w:rsidRPr="00D02A2E" w14:paraId="67D82416" w14:textId="77777777" w:rsidTr="004C7BEF">
        <w:trPr>
          <w:cantSplit/>
        </w:trPr>
        <w:tc>
          <w:tcPr>
            <w:tcW w:w="9639" w:type="dxa"/>
            <w:gridSpan w:val="6"/>
            <w:tcBorders>
              <w:top w:val="single" w:sz="4" w:space="0" w:color="auto"/>
            </w:tcBorders>
            <w:shd w:val="clear" w:color="auto" w:fill="auto"/>
            <w:hideMark/>
          </w:tcPr>
          <w:p w14:paraId="4623D611" w14:textId="77777777" w:rsidR="0078495E" w:rsidRPr="00D02A2E" w:rsidRDefault="0078495E" w:rsidP="004C7BEF">
            <w:pPr>
              <w:pStyle w:val="ARtablegreybold"/>
              <w:rPr>
                <w:rFonts w:ascii="Wingdings" w:hAnsi="Wingdings"/>
              </w:rPr>
            </w:pPr>
            <w:r>
              <w:t>Quality</w:t>
            </w:r>
          </w:p>
        </w:tc>
      </w:tr>
      <w:tr w:rsidR="0078495E" w:rsidRPr="00D02A2E" w14:paraId="02D80AAA" w14:textId="77777777" w:rsidTr="004C7BEF">
        <w:trPr>
          <w:cantSplit/>
        </w:trPr>
        <w:tc>
          <w:tcPr>
            <w:tcW w:w="4761" w:type="dxa"/>
            <w:tcBorders>
              <w:bottom w:val="single" w:sz="4" w:space="0" w:color="BFBFBF"/>
            </w:tcBorders>
            <w:shd w:val="clear" w:color="auto" w:fill="auto"/>
            <w:hideMark/>
          </w:tcPr>
          <w:p w14:paraId="69ED5EFE" w14:textId="77777777" w:rsidR="0078495E" w:rsidRPr="00D02A2E" w:rsidRDefault="0078495E" w:rsidP="004C7BEF">
            <w:pPr>
              <w:pStyle w:val="ARtabletext"/>
            </w:pPr>
            <w:r w:rsidRPr="000B1864">
              <w:t>Eligible newborns screened for hearing deficit before one month of age</w:t>
            </w:r>
          </w:p>
        </w:tc>
        <w:tc>
          <w:tcPr>
            <w:tcW w:w="1021" w:type="dxa"/>
            <w:tcBorders>
              <w:bottom w:val="single" w:sz="4" w:space="0" w:color="BFBFBF"/>
            </w:tcBorders>
            <w:shd w:val="clear" w:color="auto" w:fill="auto"/>
            <w:hideMark/>
          </w:tcPr>
          <w:p w14:paraId="526231E8" w14:textId="77777777" w:rsidR="0078495E" w:rsidRPr="00D02A2E" w:rsidRDefault="0078495E" w:rsidP="004C7BEF">
            <w:pPr>
              <w:pStyle w:val="ARtabletextcentre"/>
            </w:pPr>
            <w:r w:rsidRPr="000B1864">
              <w:t>per cent</w:t>
            </w:r>
          </w:p>
        </w:tc>
        <w:tc>
          <w:tcPr>
            <w:tcW w:w="1021" w:type="dxa"/>
            <w:tcBorders>
              <w:bottom w:val="single" w:sz="4" w:space="0" w:color="BFBFBF"/>
            </w:tcBorders>
            <w:shd w:val="clear" w:color="auto" w:fill="auto"/>
            <w:hideMark/>
          </w:tcPr>
          <w:p w14:paraId="1C215FE2" w14:textId="77777777" w:rsidR="0078495E" w:rsidRDefault="0078495E" w:rsidP="004C7BEF">
            <w:pPr>
              <w:pStyle w:val="ARtabletextright"/>
            </w:pPr>
            <w:r w:rsidRPr="000B1864">
              <w:t>98</w:t>
            </w:r>
          </w:p>
        </w:tc>
        <w:tc>
          <w:tcPr>
            <w:tcW w:w="1021" w:type="dxa"/>
            <w:tcBorders>
              <w:bottom w:val="single" w:sz="4" w:space="0" w:color="BFBFBF"/>
            </w:tcBorders>
            <w:shd w:val="clear" w:color="auto" w:fill="auto"/>
            <w:hideMark/>
          </w:tcPr>
          <w:p w14:paraId="47682955" w14:textId="2A8991BE" w:rsidR="0078495E" w:rsidRDefault="0078495E" w:rsidP="004C7BEF">
            <w:pPr>
              <w:pStyle w:val="ARtabletextright"/>
            </w:pPr>
            <w:r w:rsidRPr="000B1864">
              <w:t>96.</w:t>
            </w:r>
            <w:r w:rsidR="008172B4">
              <w:t>3</w:t>
            </w:r>
          </w:p>
        </w:tc>
        <w:tc>
          <w:tcPr>
            <w:tcW w:w="1021" w:type="dxa"/>
            <w:tcBorders>
              <w:bottom w:val="single" w:sz="4" w:space="0" w:color="BFBFBF"/>
            </w:tcBorders>
            <w:shd w:val="clear" w:color="auto" w:fill="auto"/>
          </w:tcPr>
          <w:p w14:paraId="02067F9E" w14:textId="3C25643B" w:rsidR="0078495E" w:rsidRDefault="0078495E" w:rsidP="004C7BEF">
            <w:pPr>
              <w:pStyle w:val="ARtabletextright"/>
            </w:pPr>
            <w:r w:rsidRPr="000B1864">
              <w:t>−1.</w:t>
            </w:r>
            <w:r w:rsidR="008172B4">
              <w:t>7</w:t>
            </w:r>
            <w:r w:rsidRPr="000B1864">
              <w:t>%</w:t>
            </w:r>
          </w:p>
        </w:tc>
        <w:tc>
          <w:tcPr>
            <w:tcW w:w="794" w:type="dxa"/>
            <w:tcBorders>
              <w:bottom w:val="single" w:sz="4" w:space="0" w:color="BFBFBF"/>
            </w:tcBorders>
            <w:shd w:val="clear" w:color="auto" w:fill="auto"/>
            <w:hideMark/>
          </w:tcPr>
          <w:p w14:paraId="4E5A8CCA" w14:textId="77777777" w:rsidR="0078495E" w:rsidRPr="00D02A2E" w:rsidRDefault="0078495E" w:rsidP="004C7BEF">
            <w:pPr>
              <w:pStyle w:val="ARtableperformancesymbol"/>
              <w:rPr>
                <w:rFonts w:hint="eastAsia"/>
              </w:rPr>
            </w:pPr>
            <w:r w:rsidRPr="000B1864">
              <w:t></w:t>
            </w:r>
          </w:p>
        </w:tc>
      </w:tr>
      <w:tr w:rsidR="0078495E" w:rsidRPr="00D02A2E" w14:paraId="6D1052F1" w14:textId="77777777" w:rsidTr="004C7BEF">
        <w:trPr>
          <w:cantSplit/>
        </w:trPr>
        <w:tc>
          <w:tcPr>
            <w:tcW w:w="4761" w:type="dxa"/>
            <w:tcBorders>
              <w:top w:val="single" w:sz="4" w:space="0" w:color="BFBFBF"/>
              <w:bottom w:val="single" w:sz="4" w:space="0" w:color="BFBFBF"/>
            </w:tcBorders>
            <w:shd w:val="clear" w:color="auto" w:fill="auto"/>
            <w:hideMark/>
          </w:tcPr>
          <w:p w14:paraId="351DC7BE" w14:textId="77777777" w:rsidR="0078495E" w:rsidRPr="00D02A2E" w:rsidRDefault="0078495E" w:rsidP="004C7BEF">
            <w:pPr>
              <w:pStyle w:val="ARtabletext"/>
            </w:pPr>
            <w:r w:rsidRPr="000B1864">
              <w:t>Hand hygiene compliance</w:t>
            </w:r>
          </w:p>
        </w:tc>
        <w:tc>
          <w:tcPr>
            <w:tcW w:w="1021" w:type="dxa"/>
            <w:tcBorders>
              <w:top w:val="single" w:sz="4" w:space="0" w:color="BFBFBF"/>
              <w:bottom w:val="single" w:sz="4" w:space="0" w:color="BFBFBF"/>
            </w:tcBorders>
            <w:shd w:val="clear" w:color="auto" w:fill="auto"/>
            <w:hideMark/>
          </w:tcPr>
          <w:p w14:paraId="52848F67" w14:textId="77777777" w:rsidR="0078495E" w:rsidRPr="00D02A2E" w:rsidRDefault="0078495E" w:rsidP="004C7BEF">
            <w:pPr>
              <w:pStyle w:val="ARtabletextcentre"/>
            </w:pPr>
            <w:r w:rsidRPr="000B1864">
              <w:t>per cent</w:t>
            </w:r>
          </w:p>
        </w:tc>
        <w:tc>
          <w:tcPr>
            <w:tcW w:w="1021" w:type="dxa"/>
            <w:tcBorders>
              <w:top w:val="single" w:sz="4" w:space="0" w:color="BFBFBF"/>
              <w:bottom w:val="single" w:sz="4" w:space="0" w:color="BFBFBF"/>
            </w:tcBorders>
            <w:shd w:val="clear" w:color="auto" w:fill="auto"/>
            <w:hideMark/>
          </w:tcPr>
          <w:p w14:paraId="427E48EC" w14:textId="77777777" w:rsidR="0078495E" w:rsidRDefault="0078495E" w:rsidP="004C7BEF">
            <w:pPr>
              <w:pStyle w:val="ARtabletextright"/>
            </w:pPr>
            <w:r w:rsidRPr="000B1864">
              <w:t>85</w:t>
            </w:r>
          </w:p>
        </w:tc>
        <w:tc>
          <w:tcPr>
            <w:tcW w:w="1021" w:type="dxa"/>
            <w:tcBorders>
              <w:top w:val="single" w:sz="4" w:space="0" w:color="BFBFBF"/>
              <w:bottom w:val="single" w:sz="4" w:space="0" w:color="BFBFBF"/>
            </w:tcBorders>
            <w:shd w:val="clear" w:color="auto" w:fill="auto"/>
            <w:hideMark/>
          </w:tcPr>
          <w:p w14:paraId="01C04BCC" w14:textId="77777777" w:rsidR="0078495E" w:rsidRDefault="0078495E" w:rsidP="004C7BEF">
            <w:pPr>
              <w:pStyle w:val="ARtabletextright"/>
            </w:pPr>
            <w:r w:rsidRPr="000B1864">
              <w:t>85.5</w:t>
            </w:r>
          </w:p>
        </w:tc>
        <w:tc>
          <w:tcPr>
            <w:tcW w:w="1021" w:type="dxa"/>
            <w:tcBorders>
              <w:top w:val="single" w:sz="4" w:space="0" w:color="BFBFBF"/>
              <w:bottom w:val="single" w:sz="4" w:space="0" w:color="BFBFBF"/>
            </w:tcBorders>
            <w:shd w:val="clear" w:color="auto" w:fill="auto"/>
          </w:tcPr>
          <w:p w14:paraId="49287E37" w14:textId="77777777" w:rsidR="0078495E" w:rsidRDefault="0078495E" w:rsidP="004C7BEF">
            <w:pPr>
              <w:pStyle w:val="ARtabletextright"/>
            </w:pPr>
            <w:r w:rsidRPr="000B1864">
              <w:t>0.5%</w:t>
            </w:r>
          </w:p>
        </w:tc>
        <w:tc>
          <w:tcPr>
            <w:tcW w:w="794" w:type="dxa"/>
            <w:tcBorders>
              <w:top w:val="single" w:sz="4" w:space="0" w:color="BFBFBF"/>
              <w:bottom w:val="single" w:sz="4" w:space="0" w:color="BFBFBF"/>
            </w:tcBorders>
            <w:shd w:val="clear" w:color="auto" w:fill="auto"/>
            <w:hideMark/>
          </w:tcPr>
          <w:p w14:paraId="317EEB29" w14:textId="77777777" w:rsidR="0078495E" w:rsidRPr="00D02A2E" w:rsidRDefault="0078495E" w:rsidP="004C7BEF">
            <w:pPr>
              <w:pStyle w:val="ARtableperformancesymbol"/>
              <w:rPr>
                <w:rFonts w:hint="eastAsia"/>
              </w:rPr>
            </w:pPr>
            <w:r w:rsidRPr="000B1864">
              <w:t></w:t>
            </w:r>
          </w:p>
        </w:tc>
      </w:tr>
      <w:tr w:rsidR="0078495E" w:rsidRPr="00D02A2E" w14:paraId="08AA06CC" w14:textId="77777777" w:rsidTr="004C7BEF">
        <w:trPr>
          <w:cantSplit/>
        </w:trPr>
        <w:tc>
          <w:tcPr>
            <w:tcW w:w="4761" w:type="dxa"/>
            <w:tcBorders>
              <w:top w:val="single" w:sz="4" w:space="0" w:color="BFBFBF"/>
            </w:tcBorders>
            <w:shd w:val="clear" w:color="auto" w:fill="auto"/>
            <w:hideMark/>
          </w:tcPr>
          <w:p w14:paraId="264AD998" w14:textId="77777777" w:rsidR="0078495E" w:rsidRPr="00D02A2E" w:rsidRDefault="0078495E" w:rsidP="004C7BEF">
            <w:pPr>
              <w:pStyle w:val="ARtabletext"/>
            </w:pPr>
            <w:r w:rsidRPr="000B1864">
              <w:t>Healthcare worker immunisation – influenza</w:t>
            </w:r>
          </w:p>
        </w:tc>
        <w:tc>
          <w:tcPr>
            <w:tcW w:w="1021" w:type="dxa"/>
            <w:tcBorders>
              <w:top w:val="single" w:sz="4" w:space="0" w:color="BFBFBF"/>
            </w:tcBorders>
            <w:shd w:val="clear" w:color="auto" w:fill="auto"/>
            <w:hideMark/>
          </w:tcPr>
          <w:p w14:paraId="208A613B" w14:textId="77777777" w:rsidR="0078495E" w:rsidRPr="00D02A2E" w:rsidRDefault="0078495E" w:rsidP="004C7BEF">
            <w:pPr>
              <w:pStyle w:val="ARtabletextcentre"/>
            </w:pPr>
            <w:r w:rsidRPr="000B1864">
              <w:t>per cent</w:t>
            </w:r>
          </w:p>
        </w:tc>
        <w:tc>
          <w:tcPr>
            <w:tcW w:w="1021" w:type="dxa"/>
            <w:tcBorders>
              <w:top w:val="single" w:sz="4" w:space="0" w:color="BFBFBF"/>
            </w:tcBorders>
            <w:shd w:val="clear" w:color="auto" w:fill="auto"/>
            <w:hideMark/>
          </w:tcPr>
          <w:p w14:paraId="77C0D312" w14:textId="77777777" w:rsidR="0078495E" w:rsidRDefault="0078495E" w:rsidP="004C7BEF">
            <w:pPr>
              <w:pStyle w:val="ARtabletextright"/>
            </w:pPr>
            <w:r w:rsidRPr="000B1864">
              <w:t>92</w:t>
            </w:r>
          </w:p>
        </w:tc>
        <w:tc>
          <w:tcPr>
            <w:tcW w:w="1021" w:type="dxa"/>
            <w:tcBorders>
              <w:top w:val="single" w:sz="4" w:space="0" w:color="BFBFBF"/>
            </w:tcBorders>
            <w:shd w:val="clear" w:color="auto" w:fill="auto"/>
            <w:hideMark/>
          </w:tcPr>
          <w:p w14:paraId="3B6E540C" w14:textId="77777777" w:rsidR="0078495E" w:rsidRDefault="0078495E" w:rsidP="004C7BEF">
            <w:pPr>
              <w:pStyle w:val="ARtabletextright"/>
            </w:pPr>
            <w:r w:rsidRPr="000B1864">
              <w:t>77</w:t>
            </w:r>
          </w:p>
        </w:tc>
        <w:tc>
          <w:tcPr>
            <w:tcW w:w="1021" w:type="dxa"/>
            <w:tcBorders>
              <w:top w:val="single" w:sz="4" w:space="0" w:color="BFBFBF"/>
            </w:tcBorders>
            <w:shd w:val="clear" w:color="auto" w:fill="auto"/>
          </w:tcPr>
          <w:p w14:paraId="129B299A" w14:textId="77777777" w:rsidR="0078495E" w:rsidRDefault="0078495E" w:rsidP="004C7BEF">
            <w:pPr>
              <w:pStyle w:val="ARtabletextright"/>
            </w:pPr>
            <w:r w:rsidRPr="000B1864">
              <w:t>−16.3%</w:t>
            </w:r>
          </w:p>
        </w:tc>
        <w:tc>
          <w:tcPr>
            <w:tcW w:w="794" w:type="dxa"/>
            <w:tcBorders>
              <w:top w:val="single" w:sz="4" w:space="0" w:color="BFBFBF"/>
            </w:tcBorders>
            <w:shd w:val="clear" w:color="auto" w:fill="auto"/>
            <w:hideMark/>
          </w:tcPr>
          <w:p w14:paraId="6597B93B" w14:textId="77777777" w:rsidR="0078495E" w:rsidRPr="00D02A2E" w:rsidRDefault="0078495E" w:rsidP="004C7BEF">
            <w:pPr>
              <w:pStyle w:val="ARtableperformancesymbol"/>
              <w:rPr>
                <w:rFonts w:hint="eastAsia"/>
              </w:rPr>
            </w:pPr>
            <w:r w:rsidRPr="000B1864">
              <w:t></w:t>
            </w:r>
          </w:p>
        </w:tc>
      </w:tr>
      <w:tr w:rsidR="0078495E" w:rsidRPr="00D02A2E" w14:paraId="31D58C62" w14:textId="77777777" w:rsidTr="004C7BEF">
        <w:trPr>
          <w:cantSplit/>
        </w:trPr>
        <w:tc>
          <w:tcPr>
            <w:tcW w:w="9639" w:type="dxa"/>
            <w:gridSpan w:val="6"/>
            <w:tcBorders>
              <w:bottom w:val="single" w:sz="4" w:space="0" w:color="BFBFBF"/>
            </w:tcBorders>
            <w:shd w:val="clear" w:color="auto" w:fill="auto"/>
            <w:noWrap/>
            <w:hideMark/>
          </w:tcPr>
          <w:p w14:paraId="7DD364F8" w14:textId="3F79EE2A" w:rsidR="0078495E" w:rsidRPr="00D02A2E" w:rsidRDefault="0078495E" w:rsidP="004C7BEF">
            <w:pPr>
              <w:pStyle w:val="ARtablenoteindent"/>
            </w:pPr>
            <w:r w:rsidRPr="000B1864">
              <w:t xml:space="preserve">Of the 81 health services that submitted data, 39 did not achieve the </w:t>
            </w:r>
            <w:r w:rsidR="004D4D20">
              <w:t>2021–22</w:t>
            </w:r>
            <w:r w:rsidRPr="000B1864">
              <w:t xml:space="preserve"> target of a 92 per cent immunisation rate. The focus on COVID-19 vaccinations reduced the level of </w:t>
            </w:r>
            <w:r w:rsidR="004561AD">
              <w:t>healthcare worker</w:t>
            </w:r>
            <w:r w:rsidR="004561AD" w:rsidRPr="000B1864">
              <w:t xml:space="preserve"> </w:t>
            </w:r>
            <w:r w:rsidRPr="000B1864">
              <w:t xml:space="preserve">influenza vaccinations. Low influenza case numbers during the 2021 influenza season meant that the low rate of healthcare worker influenza immunisation had no notable adverse impact on health services. Mandatory vaccination requirements for healthcare workers against influenza in </w:t>
            </w:r>
            <w:r w:rsidR="004D4D20">
              <w:t>2022–23</w:t>
            </w:r>
            <w:r w:rsidRPr="000B1864">
              <w:t xml:space="preserve"> will see the rate of immunisation increase.</w:t>
            </w:r>
          </w:p>
        </w:tc>
      </w:tr>
      <w:tr w:rsidR="0078495E" w:rsidRPr="00D02A2E" w14:paraId="3F04BB57" w14:textId="77777777" w:rsidTr="004C7BEF">
        <w:trPr>
          <w:cantSplit/>
        </w:trPr>
        <w:tc>
          <w:tcPr>
            <w:tcW w:w="4761" w:type="dxa"/>
            <w:shd w:val="clear" w:color="auto" w:fill="auto"/>
            <w:hideMark/>
          </w:tcPr>
          <w:p w14:paraId="6877630A" w14:textId="77777777" w:rsidR="0078495E" w:rsidRPr="00D02A2E" w:rsidRDefault="0078495E" w:rsidP="004C7BEF">
            <w:pPr>
              <w:pStyle w:val="ARtabletext"/>
            </w:pPr>
            <w:r w:rsidRPr="000B1864">
              <w:t>Intensive Care Unit central line associated blood stream infections (CLABSI) per 1000 device days</w:t>
            </w:r>
          </w:p>
        </w:tc>
        <w:tc>
          <w:tcPr>
            <w:tcW w:w="1021" w:type="dxa"/>
            <w:shd w:val="clear" w:color="auto" w:fill="auto"/>
            <w:hideMark/>
          </w:tcPr>
          <w:p w14:paraId="471F75DC" w14:textId="77777777" w:rsidR="0078495E" w:rsidRPr="00D02A2E" w:rsidRDefault="0078495E" w:rsidP="004C7BEF">
            <w:pPr>
              <w:pStyle w:val="ARtabletextcentre"/>
            </w:pPr>
            <w:r w:rsidRPr="000B1864">
              <w:t>rate</w:t>
            </w:r>
          </w:p>
        </w:tc>
        <w:tc>
          <w:tcPr>
            <w:tcW w:w="1021" w:type="dxa"/>
            <w:shd w:val="clear" w:color="auto" w:fill="auto"/>
            <w:hideMark/>
          </w:tcPr>
          <w:p w14:paraId="1CF96319" w14:textId="77777777" w:rsidR="0078495E" w:rsidRDefault="0078495E" w:rsidP="004C7BEF">
            <w:pPr>
              <w:pStyle w:val="ARtabletextright"/>
            </w:pPr>
            <w:r w:rsidRPr="000B1864">
              <w:t>0</w:t>
            </w:r>
          </w:p>
        </w:tc>
        <w:tc>
          <w:tcPr>
            <w:tcW w:w="1021" w:type="dxa"/>
            <w:shd w:val="clear" w:color="auto" w:fill="auto"/>
            <w:hideMark/>
          </w:tcPr>
          <w:p w14:paraId="265B7852" w14:textId="77777777" w:rsidR="0078495E" w:rsidRDefault="0078495E" w:rsidP="004C7BEF">
            <w:pPr>
              <w:pStyle w:val="ARtabletextright"/>
            </w:pPr>
            <w:r w:rsidRPr="000B1864">
              <w:t>0.7</w:t>
            </w:r>
          </w:p>
        </w:tc>
        <w:tc>
          <w:tcPr>
            <w:tcW w:w="1021" w:type="dxa"/>
            <w:shd w:val="clear" w:color="auto" w:fill="auto"/>
          </w:tcPr>
          <w:p w14:paraId="1E23AB25" w14:textId="5A2F40C3" w:rsidR="0078495E" w:rsidRDefault="0078495E" w:rsidP="004C7BEF">
            <w:pPr>
              <w:pStyle w:val="ARtabletextright"/>
            </w:pPr>
            <w:r w:rsidRPr="00DE26E7">
              <w:t>N/A</w:t>
            </w:r>
          </w:p>
        </w:tc>
        <w:tc>
          <w:tcPr>
            <w:tcW w:w="794" w:type="dxa"/>
            <w:shd w:val="clear" w:color="auto" w:fill="auto"/>
            <w:hideMark/>
          </w:tcPr>
          <w:p w14:paraId="59697D9C" w14:textId="2E0F76AE" w:rsidR="0078495E" w:rsidRPr="0080377B" w:rsidRDefault="0080377B" w:rsidP="004C7BEF">
            <w:pPr>
              <w:pStyle w:val="ARtableperformancesymbol"/>
              <w:rPr>
                <w:rFonts w:ascii="Arial" w:hAnsi="Arial" w:cs="Arial"/>
                <w:lang w:val="en-AU"/>
              </w:rPr>
            </w:pPr>
            <w:r>
              <w:rPr>
                <w:rFonts w:ascii="Arial" w:hAnsi="Arial" w:cs="Arial"/>
                <w:lang w:val="en-AU"/>
              </w:rPr>
              <w:t>N/A</w:t>
            </w:r>
          </w:p>
        </w:tc>
      </w:tr>
      <w:tr w:rsidR="0078495E" w:rsidRPr="00D02A2E" w14:paraId="46652EF6" w14:textId="77777777" w:rsidTr="004C7BEF">
        <w:trPr>
          <w:cantSplit/>
        </w:trPr>
        <w:tc>
          <w:tcPr>
            <w:tcW w:w="9639" w:type="dxa"/>
            <w:gridSpan w:val="6"/>
            <w:tcBorders>
              <w:bottom w:val="single" w:sz="4" w:space="0" w:color="BFBFBF"/>
            </w:tcBorders>
            <w:shd w:val="clear" w:color="auto" w:fill="auto"/>
            <w:noWrap/>
            <w:hideMark/>
          </w:tcPr>
          <w:p w14:paraId="3393C123" w14:textId="197B297D" w:rsidR="0078495E" w:rsidRPr="00D02A2E" w:rsidRDefault="0078495E" w:rsidP="004C7BEF">
            <w:pPr>
              <w:pStyle w:val="ARtablenoteindent"/>
            </w:pPr>
            <w:r w:rsidRPr="000B1864">
              <w:t>Health services continue to strive</w:t>
            </w:r>
            <w:r w:rsidRPr="000B1864" w:rsidDel="00401046">
              <w:t xml:space="preserve"> </w:t>
            </w:r>
            <w:r w:rsidR="00401046">
              <w:t xml:space="preserve">to </w:t>
            </w:r>
            <w:r w:rsidRPr="000B1864">
              <w:t>achieve a zero rate of infection for this measure. However, occasionally a small number of infections continue to be reported. To enable health service</w:t>
            </w:r>
            <w:r w:rsidR="004561AD">
              <w:t>s</w:t>
            </w:r>
            <w:r w:rsidRPr="000B1864">
              <w:t xml:space="preserve"> to focus resources on their COVID</w:t>
            </w:r>
            <w:r w:rsidR="004561AD">
              <w:t>-19</w:t>
            </w:r>
            <w:r w:rsidRPr="000B1864">
              <w:t xml:space="preserve"> response</w:t>
            </w:r>
            <w:r w:rsidR="004561AD">
              <w:t>,</w:t>
            </w:r>
            <w:r w:rsidRPr="000B1864">
              <w:t xml:space="preserve"> reporting for this measure was shifted from mandatory to voluntary fr</w:t>
            </w:r>
            <w:r w:rsidR="00A576B2">
              <w:t>om</w:t>
            </w:r>
            <w:r w:rsidRPr="000B1864">
              <w:t xml:space="preserve"> </w:t>
            </w:r>
            <w:r w:rsidR="005024AB">
              <w:t>Q</w:t>
            </w:r>
            <w:r w:rsidRPr="000B1864">
              <w:t>uarter 3</w:t>
            </w:r>
            <w:r w:rsidR="00401046">
              <w:t xml:space="preserve"> </w:t>
            </w:r>
            <w:r w:rsidR="004D4D20">
              <w:t>2021–22</w:t>
            </w:r>
            <w:r w:rsidRPr="000B1864">
              <w:t xml:space="preserve">. Some health services have continued to report this indicator, </w:t>
            </w:r>
            <w:r w:rsidR="009E2718">
              <w:t xml:space="preserve">but </w:t>
            </w:r>
            <w:r w:rsidRPr="000B1864">
              <w:t>due to the potential smaller sample size the results should be interpreted with caution.</w:t>
            </w:r>
            <w:r w:rsidR="00401046">
              <w:t xml:space="preserve"> </w:t>
            </w:r>
          </w:p>
        </w:tc>
      </w:tr>
      <w:tr w:rsidR="0078495E" w:rsidRPr="00D02A2E" w14:paraId="01A75CB7" w14:textId="77777777" w:rsidTr="009F5729">
        <w:trPr>
          <w:cantSplit/>
        </w:trPr>
        <w:tc>
          <w:tcPr>
            <w:tcW w:w="4761" w:type="dxa"/>
            <w:tcBorders>
              <w:top w:val="single" w:sz="4" w:space="0" w:color="BFBFBF"/>
              <w:bottom w:val="single" w:sz="4" w:space="0" w:color="BFBFBF"/>
            </w:tcBorders>
            <w:shd w:val="clear" w:color="auto" w:fill="auto"/>
            <w:hideMark/>
          </w:tcPr>
          <w:p w14:paraId="32C765A4" w14:textId="77777777" w:rsidR="0078495E" w:rsidRPr="00D57947" w:rsidRDefault="0078495E" w:rsidP="004C7BEF">
            <w:pPr>
              <w:pStyle w:val="ARtabletext"/>
            </w:pPr>
            <w:r w:rsidRPr="00697B8A">
              <w:t>Major trauma patients transferred to a major trauma service</w:t>
            </w:r>
          </w:p>
        </w:tc>
        <w:tc>
          <w:tcPr>
            <w:tcW w:w="1021" w:type="dxa"/>
            <w:tcBorders>
              <w:top w:val="single" w:sz="4" w:space="0" w:color="BFBFBF"/>
              <w:bottom w:val="single" w:sz="4" w:space="0" w:color="BFBFBF"/>
            </w:tcBorders>
            <w:shd w:val="clear" w:color="auto" w:fill="auto"/>
            <w:hideMark/>
          </w:tcPr>
          <w:p w14:paraId="269308FD" w14:textId="77777777" w:rsidR="0078495E" w:rsidRPr="00D02A2E" w:rsidRDefault="0078495E" w:rsidP="004C7BEF">
            <w:pPr>
              <w:pStyle w:val="ARtabletextcentre"/>
            </w:pPr>
            <w:r w:rsidRPr="00697B8A">
              <w:t>per cent</w:t>
            </w:r>
          </w:p>
        </w:tc>
        <w:tc>
          <w:tcPr>
            <w:tcW w:w="1021" w:type="dxa"/>
            <w:tcBorders>
              <w:top w:val="single" w:sz="4" w:space="0" w:color="BFBFBF"/>
              <w:bottom w:val="single" w:sz="4" w:space="0" w:color="BFBFBF"/>
            </w:tcBorders>
            <w:shd w:val="clear" w:color="auto" w:fill="auto"/>
            <w:hideMark/>
          </w:tcPr>
          <w:p w14:paraId="71CCA587" w14:textId="77777777" w:rsidR="0078495E" w:rsidRDefault="0078495E" w:rsidP="004C7BEF">
            <w:pPr>
              <w:pStyle w:val="ARtabletextright"/>
            </w:pPr>
            <w:r w:rsidRPr="00697B8A">
              <w:t>88</w:t>
            </w:r>
          </w:p>
        </w:tc>
        <w:tc>
          <w:tcPr>
            <w:tcW w:w="1021" w:type="dxa"/>
            <w:tcBorders>
              <w:top w:val="single" w:sz="4" w:space="0" w:color="BFBFBF"/>
              <w:bottom w:val="single" w:sz="4" w:space="0" w:color="BFBFBF"/>
            </w:tcBorders>
            <w:shd w:val="clear" w:color="auto" w:fill="auto"/>
            <w:hideMark/>
          </w:tcPr>
          <w:p w14:paraId="52F72128" w14:textId="77777777" w:rsidR="0078495E" w:rsidRDefault="0078495E" w:rsidP="004C7BEF">
            <w:pPr>
              <w:pStyle w:val="ARtabletextright"/>
            </w:pPr>
            <w:r w:rsidRPr="00697B8A">
              <w:t>90.5</w:t>
            </w:r>
          </w:p>
        </w:tc>
        <w:tc>
          <w:tcPr>
            <w:tcW w:w="1021" w:type="dxa"/>
            <w:tcBorders>
              <w:top w:val="single" w:sz="4" w:space="0" w:color="BFBFBF"/>
              <w:bottom w:val="single" w:sz="4" w:space="0" w:color="BFBFBF"/>
            </w:tcBorders>
            <w:shd w:val="clear" w:color="auto" w:fill="auto"/>
          </w:tcPr>
          <w:p w14:paraId="6DBFD1C5" w14:textId="77777777" w:rsidR="0078495E" w:rsidRDefault="0078495E" w:rsidP="004C7BEF">
            <w:pPr>
              <w:pStyle w:val="ARtabletextright"/>
            </w:pPr>
            <w:r w:rsidRPr="00697B8A">
              <w:t>2.8%</w:t>
            </w:r>
          </w:p>
        </w:tc>
        <w:tc>
          <w:tcPr>
            <w:tcW w:w="794" w:type="dxa"/>
            <w:tcBorders>
              <w:top w:val="single" w:sz="4" w:space="0" w:color="BFBFBF"/>
              <w:bottom w:val="single" w:sz="4" w:space="0" w:color="BFBFBF"/>
            </w:tcBorders>
            <w:shd w:val="clear" w:color="auto" w:fill="auto"/>
            <w:hideMark/>
          </w:tcPr>
          <w:p w14:paraId="72DF7563" w14:textId="77777777" w:rsidR="0078495E" w:rsidRPr="00D02A2E" w:rsidRDefault="0078495E" w:rsidP="004C7BEF">
            <w:pPr>
              <w:pStyle w:val="ARtableperformancesymbol"/>
              <w:rPr>
                <w:rFonts w:hint="eastAsia"/>
              </w:rPr>
            </w:pPr>
            <w:r w:rsidRPr="00697B8A">
              <w:t></w:t>
            </w:r>
          </w:p>
        </w:tc>
      </w:tr>
      <w:tr w:rsidR="0078495E" w:rsidRPr="00D02A2E" w14:paraId="7E78506F" w14:textId="77777777" w:rsidTr="009F5729">
        <w:trPr>
          <w:cantSplit/>
        </w:trPr>
        <w:tc>
          <w:tcPr>
            <w:tcW w:w="4761" w:type="dxa"/>
            <w:tcBorders>
              <w:top w:val="single" w:sz="4" w:space="0" w:color="BFBFBF"/>
              <w:bottom w:val="single" w:sz="4" w:space="0" w:color="A6A6A6"/>
            </w:tcBorders>
            <w:shd w:val="clear" w:color="auto" w:fill="auto"/>
            <w:hideMark/>
          </w:tcPr>
          <w:p w14:paraId="0C9C94CD" w14:textId="77777777" w:rsidR="0078495E" w:rsidRPr="00D02A2E" w:rsidRDefault="0078495E" w:rsidP="004C7BEF">
            <w:pPr>
              <w:pStyle w:val="ARtabletext"/>
            </w:pPr>
            <w:r w:rsidRPr="00697B8A">
              <w:t>Percentage of patients who reported positive experiences of their hospital stay</w:t>
            </w:r>
          </w:p>
        </w:tc>
        <w:tc>
          <w:tcPr>
            <w:tcW w:w="1021" w:type="dxa"/>
            <w:tcBorders>
              <w:top w:val="single" w:sz="4" w:space="0" w:color="BFBFBF"/>
              <w:bottom w:val="single" w:sz="4" w:space="0" w:color="A6A6A6"/>
            </w:tcBorders>
            <w:shd w:val="clear" w:color="auto" w:fill="auto"/>
            <w:hideMark/>
          </w:tcPr>
          <w:p w14:paraId="6E05386A" w14:textId="77777777" w:rsidR="0078495E" w:rsidRPr="00D02A2E" w:rsidRDefault="0078495E" w:rsidP="004C7BEF">
            <w:pPr>
              <w:pStyle w:val="ARtabletextcentre"/>
            </w:pPr>
            <w:r w:rsidRPr="00697B8A">
              <w:t>per cent</w:t>
            </w:r>
          </w:p>
        </w:tc>
        <w:tc>
          <w:tcPr>
            <w:tcW w:w="1021" w:type="dxa"/>
            <w:tcBorders>
              <w:top w:val="single" w:sz="4" w:space="0" w:color="BFBFBF"/>
              <w:bottom w:val="single" w:sz="4" w:space="0" w:color="A6A6A6"/>
            </w:tcBorders>
            <w:shd w:val="clear" w:color="auto" w:fill="auto"/>
            <w:hideMark/>
          </w:tcPr>
          <w:p w14:paraId="59522BD6" w14:textId="77777777" w:rsidR="0078495E" w:rsidRDefault="0078495E" w:rsidP="004C7BEF">
            <w:pPr>
              <w:pStyle w:val="ARtabletextright"/>
            </w:pPr>
            <w:r w:rsidRPr="00697B8A">
              <w:t>95</w:t>
            </w:r>
          </w:p>
        </w:tc>
        <w:tc>
          <w:tcPr>
            <w:tcW w:w="1021" w:type="dxa"/>
            <w:tcBorders>
              <w:top w:val="single" w:sz="4" w:space="0" w:color="BFBFBF"/>
              <w:bottom w:val="single" w:sz="4" w:space="0" w:color="A6A6A6"/>
            </w:tcBorders>
            <w:shd w:val="clear" w:color="auto" w:fill="auto"/>
            <w:hideMark/>
          </w:tcPr>
          <w:p w14:paraId="4068936C" w14:textId="77777777" w:rsidR="0078495E" w:rsidRDefault="0078495E" w:rsidP="004C7BEF">
            <w:pPr>
              <w:pStyle w:val="ARtabletextright"/>
            </w:pPr>
            <w:r w:rsidRPr="00697B8A">
              <w:t>90.4</w:t>
            </w:r>
          </w:p>
        </w:tc>
        <w:tc>
          <w:tcPr>
            <w:tcW w:w="1021" w:type="dxa"/>
            <w:tcBorders>
              <w:top w:val="single" w:sz="4" w:space="0" w:color="BFBFBF"/>
              <w:bottom w:val="single" w:sz="4" w:space="0" w:color="A6A6A6"/>
            </w:tcBorders>
            <w:shd w:val="clear" w:color="auto" w:fill="auto"/>
          </w:tcPr>
          <w:p w14:paraId="06EC788B" w14:textId="61092CF8" w:rsidR="0078495E" w:rsidRDefault="0078495E" w:rsidP="004C7BEF">
            <w:pPr>
              <w:pStyle w:val="ARtabletextright"/>
            </w:pPr>
            <w:r w:rsidRPr="00697B8A">
              <w:t>−4.8%</w:t>
            </w:r>
          </w:p>
        </w:tc>
        <w:tc>
          <w:tcPr>
            <w:tcW w:w="794" w:type="dxa"/>
            <w:tcBorders>
              <w:top w:val="single" w:sz="4" w:space="0" w:color="BFBFBF"/>
              <w:bottom w:val="single" w:sz="4" w:space="0" w:color="A6A6A6"/>
            </w:tcBorders>
            <w:shd w:val="clear" w:color="auto" w:fill="auto"/>
            <w:hideMark/>
          </w:tcPr>
          <w:p w14:paraId="38D92BF6" w14:textId="77777777" w:rsidR="0078495E" w:rsidRPr="00D02A2E" w:rsidRDefault="0078495E" w:rsidP="004C7BEF">
            <w:pPr>
              <w:pStyle w:val="ARtableperformancesymbol"/>
              <w:rPr>
                <w:rFonts w:hint="eastAsia"/>
              </w:rPr>
            </w:pPr>
            <w:r w:rsidRPr="00697B8A">
              <w:t></w:t>
            </w:r>
          </w:p>
        </w:tc>
      </w:tr>
      <w:tr w:rsidR="0078495E" w:rsidRPr="00D02A2E" w14:paraId="563615E6" w14:textId="77777777" w:rsidTr="009F5729">
        <w:trPr>
          <w:cantSplit/>
        </w:trPr>
        <w:tc>
          <w:tcPr>
            <w:tcW w:w="4761" w:type="dxa"/>
            <w:tcBorders>
              <w:top w:val="single" w:sz="4" w:space="0" w:color="A6A6A6"/>
            </w:tcBorders>
            <w:shd w:val="clear" w:color="auto" w:fill="auto"/>
            <w:hideMark/>
          </w:tcPr>
          <w:p w14:paraId="1447A573" w14:textId="77777777" w:rsidR="0078495E" w:rsidRPr="00290EE1" w:rsidRDefault="0078495E" w:rsidP="004C7BEF">
            <w:pPr>
              <w:pStyle w:val="ARtabletext"/>
              <w:rPr>
                <w:highlight w:val="yellow"/>
              </w:rPr>
            </w:pPr>
            <w:r w:rsidRPr="00633FBC">
              <w:t>Perinatal and child mortality reports received, reviewed and classified</w:t>
            </w:r>
          </w:p>
        </w:tc>
        <w:tc>
          <w:tcPr>
            <w:tcW w:w="1021" w:type="dxa"/>
            <w:tcBorders>
              <w:top w:val="single" w:sz="4" w:space="0" w:color="A6A6A6"/>
            </w:tcBorders>
            <w:shd w:val="clear" w:color="auto" w:fill="auto"/>
            <w:hideMark/>
          </w:tcPr>
          <w:p w14:paraId="1BA2E07B" w14:textId="77777777" w:rsidR="0078495E" w:rsidRPr="00D02A2E" w:rsidRDefault="0078495E" w:rsidP="004C7BEF">
            <w:pPr>
              <w:pStyle w:val="ARtabletextcentre"/>
            </w:pPr>
            <w:r w:rsidRPr="00697B8A">
              <w:t>per cent</w:t>
            </w:r>
          </w:p>
        </w:tc>
        <w:tc>
          <w:tcPr>
            <w:tcW w:w="1021" w:type="dxa"/>
            <w:tcBorders>
              <w:top w:val="single" w:sz="4" w:space="0" w:color="A6A6A6"/>
            </w:tcBorders>
            <w:shd w:val="clear" w:color="auto" w:fill="auto"/>
            <w:hideMark/>
          </w:tcPr>
          <w:p w14:paraId="528A8EE5" w14:textId="77777777" w:rsidR="0078495E" w:rsidRDefault="0078495E" w:rsidP="004C7BEF">
            <w:pPr>
              <w:pStyle w:val="ARtabletextright"/>
            </w:pPr>
            <w:r w:rsidRPr="00697B8A">
              <w:t>100</w:t>
            </w:r>
          </w:p>
        </w:tc>
        <w:tc>
          <w:tcPr>
            <w:tcW w:w="1021" w:type="dxa"/>
            <w:tcBorders>
              <w:top w:val="single" w:sz="4" w:space="0" w:color="A6A6A6"/>
            </w:tcBorders>
            <w:shd w:val="clear" w:color="auto" w:fill="auto"/>
            <w:hideMark/>
          </w:tcPr>
          <w:p w14:paraId="2898DA95" w14:textId="77777777" w:rsidR="0078495E" w:rsidRDefault="0078495E" w:rsidP="004C7BEF">
            <w:pPr>
              <w:pStyle w:val="ARtabletextright"/>
            </w:pPr>
            <w:r w:rsidRPr="00697B8A">
              <w:t>90</w:t>
            </w:r>
          </w:p>
        </w:tc>
        <w:tc>
          <w:tcPr>
            <w:tcW w:w="1021" w:type="dxa"/>
            <w:tcBorders>
              <w:top w:val="single" w:sz="4" w:space="0" w:color="A6A6A6"/>
            </w:tcBorders>
            <w:shd w:val="clear" w:color="auto" w:fill="auto"/>
          </w:tcPr>
          <w:p w14:paraId="0B06557B" w14:textId="77777777" w:rsidR="0078495E" w:rsidRDefault="0078495E" w:rsidP="004C7BEF">
            <w:pPr>
              <w:pStyle w:val="ARtabletextright"/>
            </w:pPr>
            <w:r w:rsidRPr="00697B8A">
              <w:t>−10.0%</w:t>
            </w:r>
          </w:p>
        </w:tc>
        <w:tc>
          <w:tcPr>
            <w:tcW w:w="794" w:type="dxa"/>
            <w:tcBorders>
              <w:top w:val="single" w:sz="4" w:space="0" w:color="A6A6A6"/>
            </w:tcBorders>
            <w:shd w:val="clear" w:color="auto" w:fill="auto"/>
            <w:hideMark/>
          </w:tcPr>
          <w:p w14:paraId="0D0A10E0" w14:textId="77777777" w:rsidR="0078495E" w:rsidRPr="00D02A2E" w:rsidRDefault="0078495E" w:rsidP="004C7BEF">
            <w:pPr>
              <w:pStyle w:val="ARtableperformancesymbol"/>
              <w:rPr>
                <w:rFonts w:hint="eastAsia"/>
              </w:rPr>
            </w:pPr>
            <w:r w:rsidRPr="00697B8A">
              <w:t></w:t>
            </w:r>
          </w:p>
        </w:tc>
      </w:tr>
      <w:tr w:rsidR="0078495E" w:rsidRPr="00D02A2E" w14:paraId="4C2FA882" w14:textId="77777777" w:rsidTr="004C7BEF">
        <w:trPr>
          <w:cantSplit/>
        </w:trPr>
        <w:tc>
          <w:tcPr>
            <w:tcW w:w="9639" w:type="dxa"/>
            <w:gridSpan w:val="6"/>
            <w:tcBorders>
              <w:bottom w:val="single" w:sz="4" w:space="0" w:color="BFBFBF"/>
            </w:tcBorders>
            <w:shd w:val="clear" w:color="auto" w:fill="auto"/>
            <w:noWrap/>
            <w:hideMark/>
          </w:tcPr>
          <w:p w14:paraId="73F2FF0E" w14:textId="77777777" w:rsidR="0078495E" w:rsidRPr="00D02A2E" w:rsidRDefault="0078495E" w:rsidP="004C7BEF">
            <w:pPr>
              <w:pStyle w:val="ARtablenoteindent"/>
            </w:pPr>
            <w:r w:rsidRPr="00697B8A">
              <w:t>100% of cases are received and reviewed. Currently, there are roughly 10% classifications that are pending.</w:t>
            </w:r>
          </w:p>
        </w:tc>
      </w:tr>
      <w:tr w:rsidR="0078495E" w:rsidRPr="00D02A2E" w14:paraId="66DFE1EE" w14:textId="77777777" w:rsidTr="004C7BEF">
        <w:trPr>
          <w:cantSplit/>
        </w:trPr>
        <w:tc>
          <w:tcPr>
            <w:tcW w:w="4761" w:type="dxa"/>
            <w:tcBorders>
              <w:top w:val="single" w:sz="4" w:space="0" w:color="BFBFBF"/>
              <w:bottom w:val="single" w:sz="4" w:space="0" w:color="BFBFBF"/>
            </w:tcBorders>
            <w:shd w:val="clear" w:color="auto" w:fill="auto"/>
            <w:hideMark/>
          </w:tcPr>
          <w:p w14:paraId="5B6056C5" w14:textId="77777777" w:rsidR="0078495E" w:rsidRPr="00D02A2E" w:rsidRDefault="0078495E" w:rsidP="004C7BEF">
            <w:pPr>
              <w:pStyle w:val="ARtabletext"/>
              <w:keepNext/>
            </w:pPr>
            <w:r w:rsidRPr="00C63A9A">
              <w:t>Public hospitals accredited</w:t>
            </w:r>
          </w:p>
        </w:tc>
        <w:tc>
          <w:tcPr>
            <w:tcW w:w="1021" w:type="dxa"/>
            <w:tcBorders>
              <w:top w:val="single" w:sz="4" w:space="0" w:color="BFBFBF"/>
              <w:bottom w:val="single" w:sz="4" w:space="0" w:color="BFBFBF"/>
            </w:tcBorders>
            <w:shd w:val="clear" w:color="auto" w:fill="auto"/>
            <w:hideMark/>
          </w:tcPr>
          <w:p w14:paraId="19EDB1B7" w14:textId="77777777" w:rsidR="0078495E" w:rsidRPr="00D02A2E" w:rsidRDefault="0078495E" w:rsidP="004C7BEF">
            <w:pPr>
              <w:pStyle w:val="ARtabletextcentre"/>
            </w:pPr>
            <w:r w:rsidRPr="00C63A9A">
              <w:t>per cent</w:t>
            </w:r>
          </w:p>
        </w:tc>
        <w:tc>
          <w:tcPr>
            <w:tcW w:w="1021" w:type="dxa"/>
            <w:tcBorders>
              <w:top w:val="single" w:sz="4" w:space="0" w:color="BFBFBF"/>
              <w:bottom w:val="single" w:sz="4" w:space="0" w:color="BFBFBF"/>
            </w:tcBorders>
            <w:shd w:val="clear" w:color="auto" w:fill="auto"/>
            <w:hideMark/>
          </w:tcPr>
          <w:p w14:paraId="4EC76D68" w14:textId="77777777" w:rsidR="0078495E" w:rsidRDefault="0078495E" w:rsidP="004C7BEF">
            <w:pPr>
              <w:pStyle w:val="ARtabletextright"/>
            </w:pPr>
            <w:r w:rsidRPr="00C63A9A">
              <w:t>100</w:t>
            </w:r>
          </w:p>
        </w:tc>
        <w:tc>
          <w:tcPr>
            <w:tcW w:w="1021" w:type="dxa"/>
            <w:tcBorders>
              <w:top w:val="single" w:sz="4" w:space="0" w:color="BFBFBF"/>
              <w:bottom w:val="single" w:sz="4" w:space="0" w:color="BFBFBF"/>
            </w:tcBorders>
            <w:shd w:val="clear" w:color="auto" w:fill="auto"/>
            <w:hideMark/>
          </w:tcPr>
          <w:p w14:paraId="53BD03E6" w14:textId="77777777" w:rsidR="0078495E" w:rsidRDefault="0078495E" w:rsidP="004C7BEF">
            <w:pPr>
              <w:pStyle w:val="ARtabletextright"/>
            </w:pPr>
            <w:r w:rsidRPr="00C63A9A">
              <w:t>100</w:t>
            </w:r>
          </w:p>
        </w:tc>
        <w:tc>
          <w:tcPr>
            <w:tcW w:w="1021" w:type="dxa"/>
            <w:tcBorders>
              <w:top w:val="single" w:sz="4" w:space="0" w:color="BFBFBF"/>
              <w:bottom w:val="single" w:sz="4" w:space="0" w:color="BFBFBF"/>
            </w:tcBorders>
            <w:shd w:val="clear" w:color="auto" w:fill="auto"/>
          </w:tcPr>
          <w:p w14:paraId="154B7596" w14:textId="77777777" w:rsidR="0078495E" w:rsidRDefault="0078495E" w:rsidP="004C7BEF">
            <w:pPr>
              <w:pStyle w:val="ARtabletextright"/>
            </w:pPr>
            <w:r w:rsidRPr="00C63A9A">
              <w:t>0.0%</w:t>
            </w:r>
          </w:p>
        </w:tc>
        <w:tc>
          <w:tcPr>
            <w:tcW w:w="794" w:type="dxa"/>
            <w:tcBorders>
              <w:top w:val="single" w:sz="4" w:space="0" w:color="BFBFBF"/>
              <w:bottom w:val="single" w:sz="4" w:space="0" w:color="BFBFBF"/>
            </w:tcBorders>
            <w:shd w:val="clear" w:color="auto" w:fill="auto"/>
            <w:hideMark/>
          </w:tcPr>
          <w:p w14:paraId="0AEAA59B" w14:textId="77777777" w:rsidR="0078495E" w:rsidRPr="00D02A2E" w:rsidRDefault="0078495E" w:rsidP="004C7BEF">
            <w:pPr>
              <w:pStyle w:val="ARtableperformancesymbol"/>
              <w:rPr>
                <w:rFonts w:hint="eastAsia"/>
              </w:rPr>
            </w:pPr>
            <w:r w:rsidRPr="00C63A9A">
              <w:t></w:t>
            </w:r>
          </w:p>
        </w:tc>
      </w:tr>
      <w:tr w:rsidR="0078495E" w:rsidRPr="00D02A2E" w14:paraId="461FD9AA" w14:textId="77777777" w:rsidTr="004C7BEF">
        <w:trPr>
          <w:cantSplit/>
        </w:trPr>
        <w:tc>
          <w:tcPr>
            <w:tcW w:w="4761" w:type="dxa"/>
            <w:tcBorders>
              <w:top w:val="single" w:sz="4" w:space="0" w:color="BFBFBF"/>
            </w:tcBorders>
            <w:shd w:val="clear" w:color="auto" w:fill="auto"/>
            <w:hideMark/>
          </w:tcPr>
          <w:p w14:paraId="35EB5143" w14:textId="77777777" w:rsidR="0078495E" w:rsidRPr="00D02A2E" w:rsidRDefault="0078495E" w:rsidP="004C7BEF">
            <w:pPr>
              <w:pStyle w:val="ARtabletext"/>
            </w:pPr>
            <w:r w:rsidRPr="00C63A9A">
              <w:t>Patient reported hospital cleanliness</w:t>
            </w:r>
          </w:p>
        </w:tc>
        <w:tc>
          <w:tcPr>
            <w:tcW w:w="1021" w:type="dxa"/>
            <w:tcBorders>
              <w:top w:val="single" w:sz="4" w:space="0" w:color="BFBFBF"/>
            </w:tcBorders>
            <w:shd w:val="clear" w:color="auto" w:fill="auto"/>
            <w:hideMark/>
          </w:tcPr>
          <w:p w14:paraId="1F993D1A" w14:textId="77777777" w:rsidR="0078495E" w:rsidRPr="00D02A2E" w:rsidRDefault="0078495E" w:rsidP="004C7BEF">
            <w:pPr>
              <w:pStyle w:val="ARtabletextcentre"/>
            </w:pPr>
            <w:r w:rsidRPr="00C63A9A">
              <w:t>per cent</w:t>
            </w:r>
          </w:p>
        </w:tc>
        <w:tc>
          <w:tcPr>
            <w:tcW w:w="1021" w:type="dxa"/>
            <w:tcBorders>
              <w:top w:val="single" w:sz="4" w:space="0" w:color="BFBFBF"/>
            </w:tcBorders>
            <w:shd w:val="clear" w:color="auto" w:fill="auto"/>
            <w:hideMark/>
          </w:tcPr>
          <w:p w14:paraId="54C9C60B" w14:textId="77777777" w:rsidR="0078495E" w:rsidRDefault="0078495E" w:rsidP="004C7BEF">
            <w:pPr>
              <w:pStyle w:val="ARtabletextright"/>
            </w:pPr>
            <w:r w:rsidRPr="00C63A9A">
              <w:t>70</w:t>
            </w:r>
          </w:p>
        </w:tc>
        <w:tc>
          <w:tcPr>
            <w:tcW w:w="1021" w:type="dxa"/>
            <w:tcBorders>
              <w:top w:val="single" w:sz="4" w:space="0" w:color="BFBFBF"/>
            </w:tcBorders>
            <w:shd w:val="clear" w:color="auto" w:fill="auto"/>
            <w:hideMark/>
          </w:tcPr>
          <w:p w14:paraId="5BBF654B" w14:textId="77777777" w:rsidR="0078495E" w:rsidRDefault="0078495E" w:rsidP="004C7BEF">
            <w:pPr>
              <w:pStyle w:val="ARtabletextright"/>
            </w:pPr>
            <w:r w:rsidRPr="00C63A9A">
              <w:t>85.8</w:t>
            </w:r>
          </w:p>
        </w:tc>
        <w:tc>
          <w:tcPr>
            <w:tcW w:w="1021" w:type="dxa"/>
            <w:tcBorders>
              <w:top w:val="single" w:sz="4" w:space="0" w:color="BFBFBF"/>
            </w:tcBorders>
            <w:shd w:val="clear" w:color="auto" w:fill="auto"/>
          </w:tcPr>
          <w:p w14:paraId="589DCB28" w14:textId="77777777" w:rsidR="0078495E" w:rsidRDefault="0078495E" w:rsidP="004C7BEF">
            <w:pPr>
              <w:pStyle w:val="ARtabletextright"/>
            </w:pPr>
            <w:r w:rsidRPr="00C63A9A">
              <w:t>22.6%</w:t>
            </w:r>
          </w:p>
        </w:tc>
        <w:tc>
          <w:tcPr>
            <w:tcW w:w="794" w:type="dxa"/>
            <w:tcBorders>
              <w:top w:val="single" w:sz="4" w:space="0" w:color="BFBFBF"/>
            </w:tcBorders>
            <w:shd w:val="clear" w:color="auto" w:fill="auto"/>
            <w:hideMark/>
          </w:tcPr>
          <w:p w14:paraId="3887A05D" w14:textId="77777777" w:rsidR="0078495E" w:rsidRPr="00D02A2E" w:rsidRDefault="0078495E" w:rsidP="004C7BEF">
            <w:pPr>
              <w:pStyle w:val="ARtableperformancesymbol"/>
              <w:rPr>
                <w:rFonts w:hint="eastAsia"/>
              </w:rPr>
            </w:pPr>
            <w:r w:rsidRPr="00C63A9A">
              <w:t></w:t>
            </w:r>
          </w:p>
        </w:tc>
      </w:tr>
      <w:tr w:rsidR="0078495E" w:rsidRPr="00D02A2E" w14:paraId="222800CA" w14:textId="77777777" w:rsidTr="004C7BEF">
        <w:trPr>
          <w:cantSplit/>
        </w:trPr>
        <w:tc>
          <w:tcPr>
            <w:tcW w:w="9639" w:type="dxa"/>
            <w:gridSpan w:val="6"/>
            <w:tcBorders>
              <w:bottom w:val="single" w:sz="4" w:space="0" w:color="BFBFBF"/>
            </w:tcBorders>
            <w:shd w:val="clear" w:color="auto" w:fill="auto"/>
            <w:noWrap/>
            <w:hideMark/>
          </w:tcPr>
          <w:p w14:paraId="4EEE2C58" w14:textId="4A9A103B" w:rsidR="0078495E" w:rsidRPr="00D02A2E" w:rsidRDefault="0078495E" w:rsidP="004C7BEF">
            <w:pPr>
              <w:pStyle w:val="ARtablenoteindent"/>
            </w:pPr>
            <w:r w:rsidRPr="00C63A9A">
              <w:t>The adult inpatient results are interim and indicative only. Th</w:t>
            </w:r>
            <w:r w:rsidR="00017FDC">
              <w:t xml:space="preserve">is result </w:t>
            </w:r>
            <w:r w:rsidR="00BA29E2">
              <w:t xml:space="preserve">is taken from the Victorian </w:t>
            </w:r>
            <w:r w:rsidR="009D753E">
              <w:t>Healthcare Experience Survey</w:t>
            </w:r>
            <w:r w:rsidR="00466E6D">
              <w:t>.</w:t>
            </w:r>
          </w:p>
        </w:tc>
      </w:tr>
      <w:tr w:rsidR="0078495E" w:rsidRPr="00D02A2E" w14:paraId="6A694689" w14:textId="77777777" w:rsidTr="004C7BEF">
        <w:trPr>
          <w:cantSplit/>
        </w:trPr>
        <w:tc>
          <w:tcPr>
            <w:tcW w:w="4761" w:type="dxa"/>
            <w:shd w:val="clear" w:color="auto" w:fill="auto"/>
            <w:hideMark/>
          </w:tcPr>
          <w:p w14:paraId="73B31088" w14:textId="77777777" w:rsidR="0078495E" w:rsidRPr="00D02A2E" w:rsidRDefault="0078495E" w:rsidP="004C7BEF">
            <w:pPr>
              <w:pStyle w:val="ARtabletext"/>
            </w:pPr>
            <w:r w:rsidRPr="00C63A9A">
              <w:t>Staphylococcus aureus bacteraemias (SAB) infections per 10 000 patient days</w:t>
            </w:r>
          </w:p>
        </w:tc>
        <w:tc>
          <w:tcPr>
            <w:tcW w:w="1021" w:type="dxa"/>
            <w:shd w:val="clear" w:color="auto" w:fill="auto"/>
            <w:hideMark/>
          </w:tcPr>
          <w:p w14:paraId="378E38BA" w14:textId="77777777" w:rsidR="0078495E" w:rsidRPr="00D02A2E" w:rsidRDefault="0078495E" w:rsidP="004C7BEF">
            <w:pPr>
              <w:pStyle w:val="ARtabletextcentre"/>
            </w:pPr>
            <w:r w:rsidRPr="00C63A9A">
              <w:t>rate</w:t>
            </w:r>
          </w:p>
        </w:tc>
        <w:tc>
          <w:tcPr>
            <w:tcW w:w="1021" w:type="dxa"/>
            <w:shd w:val="clear" w:color="auto" w:fill="auto"/>
            <w:hideMark/>
          </w:tcPr>
          <w:p w14:paraId="6623130E" w14:textId="77777777" w:rsidR="0078495E" w:rsidRDefault="0078495E" w:rsidP="004C7BEF">
            <w:pPr>
              <w:pStyle w:val="ARtabletextright"/>
            </w:pPr>
            <w:r w:rsidRPr="00C63A9A">
              <w:t>1</w:t>
            </w:r>
          </w:p>
        </w:tc>
        <w:tc>
          <w:tcPr>
            <w:tcW w:w="1021" w:type="dxa"/>
            <w:shd w:val="clear" w:color="auto" w:fill="auto"/>
            <w:hideMark/>
          </w:tcPr>
          <w:p w14:paraId="6A9EF7F8" w14:textId="77777777" w:rsidR="0078495E" w:rsidRDefault="0078495E" w:rsidP="004C7BEF">
            <w:pPr>
              <w:pStyle w:val="ARtabletextright"/>
            </w:pPr>
            <w:r w:rsidRPr="00C63A9A">
              <w:t>0.5</w:t>
            </w:r>
          </w:p>
        </w:tc>
        <w:tc>
          <w:tcPr>
            <w:tcW w:w="1021" w:type="dxa"/>
            <w:shd w:val="clear" w:color="auto" w:fill="auto"/>
          </w:tcPr>
          <w:p w14:paraId="6F9BD6E8" w14:textId="77777777" w:rsidR="0078495E" w:rsidRDefault="0078495E" w:rsidP="004C7BEF">
            <w:pPr>
              <w:pStyle w:val="ARtabletextright"/>
            </w:pPr>
            <w:r w:rsidRPr="00C63A9A">
              <w:t>−50.0%</w:t>
            </w:r>
          </w:p>
        </w:tc>
        <w:tc>
          <w:tcPr>
            <w:tcW w:w="794" w:type="dxa"/>
            <w:shd w:val="clear" w:color="auto" w:fill="auto"/>
            <w:hideMark/>
          </w:tcPr>
          <w:p w14:paraId="48907F1D" w14:textId="77777777" w:rsidR="0078495E" w:rsidRPr="00D02A2E" w:rsidRDefault="0078495E" w:rsidP="004C7BEF">
            <w:pPr>
              <w:pStyle w:val="ARtableperformancesymbol"/>
              <w:rPr>
                <w:rFonts w:hint="eastAsia"/>
              </w:rPr>
            </w:pPr>
            <w:r w:rsidRPr="00C63A9A">
              <w:t></w:t>
            </w:r>
          </w:p>
        </w:tc>
      </w:tr>
      <w:tr w:rsidR="0078495E" w:rsidRPr="00D02A2E" w14:paraId="6EBA8EE5" w14:textId="77777777" w:rsidTr="004C7BEF">
        <w:trPr>
          <w:cantSplit/>
        </w:trPr>
        <w:tc>
          <w:tcPr>
            <w:tcW w:w="9639" w:type="dxa"/>
            <w:gridSpan w:val="6"/>
            <w:tcBorders>
              <w:bottom w:val="single" w:sz="4" w:space="0" w:color="BFBFBF"/>
            </w:tcBorders>
            <w:shd w:val="clear" w:color="auto" w:fill="auto"/>
            <w:noWrap/>
            <w:hideMark/>
          </w:tcPr>
          <w:p w14:paraId="63C3EF27" w14:textId="24F36C64" w:rsidR="0078495E" w:rsidRPr="00D02A2E" w:rsidRDefault="0078495E" w:rsidP="004C7BEF">
            <w:pPr>
              <w:pStyle w:val="ARtablenoteindent"/>
            </w:pPr>
            <w:r w:rsidRPr="00C63A9A">
              <w:t>This is a favourable result. To enable health service</w:t>
            </w:r>
            <w:r w:rsidR="005F7D67">
              <w:t>s</w:t>
            </w:r>
            <w:r w:rsidRPr="00C63A9A">
              <w:t xml:space="preserve"> to focus resources on their COVID</w:t>
            </w:r>
            <w:r w:rsidR="005F7D67">
              <w:t>-19</w:t>
            </w:r>
            <w:r w:rsidRPr="00C63A9A">
              <w:t xml:space="preserve"> response</w:t>
            </w:r>
            <w:r w:rsidR="005F7D67">
              <w:t>,</w:t>
            </w:r>
            <w:r w:rsidRPr="00C63A9A">
              <w:t xml:space="preserve"> reporting for this measure was shifted from mandatory to voluntary f</w:t>
            </w:r>
            <w:r w:rsidR="005272AF">
              <w:t>rom</w:t>
            </w:r>
            <w:r w:rsidRPr="00C63A9A">
              <w:t xml:space="preserve"> </w:t>
            </w:r>
            <w:r w:rsidR="005024AB">
              <w:t>Q</w:t>
            </w:r>
            <w:r w:rsidRPr="00C63A9A">
              <w:t>uarter 3</w:t>
            </w:r>
            <w:r w:rsidR="005F7D67">
              <w:t xml:space="preserve"> </w:t>
            </w:r>
            <w:r w:rsidR="004D4D20">
              <w:t>2021–22</w:t>
            </w:r>
            <w:r w:rsidRPr="00C63A9A">
              <w:t>. Due to the smaller sample size</w:t>
            </w:r>
            <w:r w:rsidR="007422EB">
              <w:t>,</w:t>
            </w:r>
            <w:r w:rsidRPr="00C63A9A">
              <w:t xml:space="preserve"> the results should be interpreted with caution.</w:t>
            </w:r>
          </w:p>
        </w:tc>
      </w:tr>
      <w:tr w:rsidR="0078495E" w:rsidRPr="00D02A2E" w14:paraId="055DDE6C" w14:textId="77777777" w:rsidTr="004C7BEF">
        <w:trPr>
          <w:cantSplit/>
        </w:trPr>
        <w:tc>
          <w:tcPr>
            <w:tcW w:w="4761" w:type="dxa"/>
            <w:shd w:val="clear" w:color="auto" w:fill="auto"/>
            <w:hideMark/>
          </w:tcPr>
          <w:p w14:paraId="0608DE55" w14:textId="77777777" w:rsidR="0078495E" w:rsidRPr="00D02A2E" w:rsidRDefault="0078495E" w:rsidP="004C7BEF">
            <w:pPr>
              <w:pStyle w:val="ARtabletext"/>
            </w:pPr>
            <w:r w:rsidRPr="00C63A9A">
              <w:t>Unplanned readmission after treatment for acute myocardial infarction</w:t>
            </w:r>
          </w:p>
        </w:tc>
        <w:tc>
          <w:tcPr>
            <w:tcW w:w="1021" w:type="dxa"/>
            <w:shd w:val="clear" w:color="auto" w:fill="auto"/>
            <w:hideMark/>
          </w:tcPr>
          <w:p w14:paraId="1D460F04" w14:textId="77777777" w:rsidR="0078495E" w:rsidRPr="00D02A2E" w:rsidRDefault="0078495E" w:rsidP="004C7BEF">
            <w:pPr>
              <w:pStyle w:val="ARtabletextcentre"/>
            </w:pPr>
            <w:r w:rsidRPr="00C63A9A">
              <w:t>per cent</w:t>
            </w:r>
          </w:p>
        </w:tc>
        <w:tc>
          <w:tcPr>
            <w:tcW w:w="1021" w:type="dxa"/>
            <w:shd w:val="clear" w:color="auto" w:fill="auto"/>
            <w:hideMark/>
          </w:tcPr>
          <w:p w14:paraId="23BABF68" w14:textId="77777777" w:rsidR="0078495E" w:rsidRDefault="0078495E" w:rsidP="004C7BEF">
            <w:pPr>
              <w:pStyle w:val="ARtabletextright"/>
            </w:pPr>
            <w:r w:rsidRPr="00C63A9A">
              <w:t>4</w:t>
            </w:r>
          </w:p>
        </w:tc>
        <w:tc>
          <w:tcPr>
            <w:tcW w:w="1021" w:type="dxa"/>
            <w:shd w:val="clear" w:color="auto" w:fill="auto"/>
            <w:hideMark/>
          </w:tcPr>
          <w:p w14:paraId="4E4DC00A" w14:textId="77777777" w:rsidR="0078495E" w:rsidRDefault="0078495E" w:rsidP="004C7BEF">
            <w:pPr>
              <w:pStyle w:val="ARtabletextright"/>
            </w:pPr>
            <w:r w:rsidRPr="00C63A9A">
              <w:t>4.4</w:t>
            </w:r>
          </w:p>
        </w:tc>
        <w:tc>
          <w:tcPr>
            <w:tcW w:w="1021" w:type="dxa"/>
            <w:shd w:val="clear" w:color="auto" w:fill="auto"/>
          </w:tcPr>
          <w:p w14:paraId="17CD0F82" w14:textId="77777777" w:rsidR="0078495E" w:rsidRDefault="0078495E" w:rsidP="004C7BEF">
            <w:pPr>
              <w:pStyle w:val="ARtabletextright"/>
            </w:pPr>
            <w:r w:rsidRPr="00C63A9A">
              <w:t>8.7%</w:t>
            </w:r>
          </w:p>
        </w:tc>
        <w:tc>
          <w:tcPr>
            <w:tcW w:w="794" w:type="dxa"/>
            <w:shd w:val="clear" w:color="auto" w:fill="auto"/>
            <w:hideMark/>
          </w:tcPr>
          <w:p w14:paraId="30D8B9D5" w14:textId="77777777" w:rsidR="0078495E" w:rsidRPr="00D02A2E" w:rsidRDefault="0078495E" w:rsidP="004C7BEF">
            <w:pPr>
              <w:pStyle w:val="ARtableperformancesymbol"/>
              <w:rPr>
                <w:rFonts w:hint="eastAsia"/>
              </w:rPr>
            </w:pPr>
            <w:r w:rsidRPr="00C63A9A">
              <w:t></w:t>
            </w:r>
          </w:p>
        </w:tc>
      </w:tr>
      <w:tr w:rsidR="0078495E" w:rsidRPr="00D02A2E" w14:paraId="6615E568" w14:textId="77777777" w:rsidTr="004C7BEF">
        <w:trPr>
          <w:cantSplit/>
        </w:trPr>
        <w:tc>
          <w:tcPr>
            <w:tcW w:w="9639" w:type="dxa"/>
            <w:gridSpan w:val="6"/>
            <w:tcBorders>
              <w:bottom w:val="single" w:sz="4" w:space="0" w:color="BFBFBF"/>
            </w:tcBorders>
            <w:shd w:val="clear" w:color="auto" w:fill="auto"/>
            <w:noWrap/>
            <w:hideMark/>
          </w:tcPr>
          <w:p w14:paraId="7D2A97FE" w14:textId="2EDCFCEB" w:rsidR="0078495E" w:rsidRPr="00D02A2E" w:rsidRDefault="0078495E" w:rsidP="004C7BEF">
            <w:pPr>
              <w:pStyle w:val="ARtablenoteindent"/>
            </w:pPr>
            <w:r w:rsidRPr="00C63A9A">
              <w:t>Ten health services did not meet targets. However, no health service result was a statistically significant outlier. To improve on the current results S</w:t>
            </w:r>
            <w:r w:rsidR="007422EB">
              <w:t xml:space="preserve">afer </w:t>
            </w:r>
            <w:r w:rsidRPr="00C63A9A">
              <w:t>C</w:t>
            </w:r>
            <w:r w:rsidR="007422EB">
              <w:t xml:space="preserve">are </w:t>
            </w:r>
            <w:r w:rsidRPr="00C63A9A">
              <w:t>V</w:t>
            </w:r>
            <w:r w:rsidR="007422EB">
              <w:t>ictoria</w:t>
            </w:r>
            <w:r w:rsidRPr="00C63A9A">
              <w:t xml:space="preserve"> is running multiple </w:t>
            </w:r>
            <w:r w:rsidR="007422EB">
              <w:t>c</w:t>
            </w:r>
            <w:r w:rsidRPr="00C63A9A">
              <w:t xml:space="preserve">ardiovascular </w:t>
            </w:r>
            <w:r w:rsidR="007422EB">
              <w:t>d</w:t>
            </w:r>
            <w:r w:rsidRPr="00C63A9A">
              <w:t>isease collaborations with the sector.</w:t>
            </w:r>
          </w:p>
        </w:tc>
      </w:tr>
      <w:tr w:rsidR="0078495E" w:rsidRPr="00D02A2E" w14:paraId="04716DA5" w14:textId="77777777" w:rsidTr="009F5729">
        <w:trPr>
          <w:cantSplit/>
        </w:trPr>
        <w:tc>
          <w:tcPr>
            <w:tcW w:w="4761" w:type="dxa"/>
            <w:tcBorders>
              <w:top w:val="single" w:sz="4" w:space="0" w:color="BFBFBF"/>
              <w:bottom w:val="single" w:sz="4" w:space="0" w:color="BFBFBF"/>
            </w:tcBorders>
            <w:shd w:val="clear" w:color="auto" w:fill="auto"/>
            <w:hideMark/>
          </w:tcPr>
          <w:p w14:paraId="710EA377" w14:textId="77777777" w:rsidR="0078495E" w:rsidRPr="00D02A2E" w:rsidRDefault="0078495E" w:rsidP="006209FA">
            <w:pPr>
              <w:pStyle w:val="ARtabletext"/>
            </w:pPr>
            <w:r w:rsidRPr="00145AF3">
              <w:t>Unplanned readmission</w:t>
            </w:r>
            <w:r w:rsidRPr="00C63A9A">
              <w:t xml:space="preserve"> after treatment for heart failure</w:t>
            </w:r>
          </w:p>
        </w:tc>
        <w:tc>
          <w:tcPr>
            <w:tcW w:w="1021" w:type="dxa"/>
            <w:tcBorders>
              <w:top w:val="single" w:sz="4" w:space="0" w:color="BFBFBF"/>
              <w:bottom w:val="single" w:sz="4" w:space="0" w:color="BFBFBF"/>
            </w:tcBorders>
            <w:shd w:val="clear" w:color="auto" w:fill="auto"/>
            <w:hideMark/>
          </w:tcPr>
          <w:p w14:paraId="59A20085" w14:textId="77777777" w:rsidR="0078495E" w:rsidRPr="00D02A2E" w:rsidRDefault="0078495E" w:rsidP="004C7BEF">
            <w:pPr>
              <w:pStyle w:val="ARtabletextcentre"/>
            </w:pPr>
            <w:r w:rsidRPr="00C63A9A">
              <w:t>per cent</w:t>
            </w:r>
          </w:p>
        </w:tc>
        <w:tc>
          <w:tcPr>
            <w:tcW w:w="1021" w:type="dxa"/>
            <w:tcBorders>
              <w:top w:val="single" w:sz="4" w:space="0" w:color="BFBFBF"/>
              <w:bottom w:val="single" w:sz="4" w:space="0" w:color="BFBFBF"/>
            </w:tcBorders>
            <w:shd w:val="clear" w:color="auto" w:fill="auto"/>
            <w:hideMark/>
          </w:tcPr>
          <w:p w14:paraId="36FAC48F" w14:textId="77777777" w:rsidR="0078495E" w:rsidRDefault="0078495E" w:rsidP="004C7BEF">
            <w:pPr>
              <w:pStyle w:val="ARtabletextright"/>
            </w:pPr>
            <w:r w:rsidRPr="00C63A9A">
              <w:t>11.3</w:t>
            </w:r>
          </w:p>
        </w:tc>
        <w:tc>
          <w:tcPr>
            <w:tcW w:w="1021" w:type="dxa"/>
            <w:tcBorders>
              <w:top w:val="single" w:sz="4" w:space="0" w:color="BFBFBF"/>
              <w:bottom w:val="single" w:sz="4" w:space="0" w:color="BFBFBF"/>
            </w:tcBorders>
            <w:shd w:val="clear" w:color="auto" w:fill="auto"/>
            <w:hideMark/>
          </w:tcPr>
          <w:p w14:paraId="4D537E69" w14:textId="77777777" w:rsidR="0078495E" w:rsidRDefault="0078495E" w:rsidP="004C7BEF">
            <w:pPr>
              <w:pStyle w:val="ARtabletextright"/>
            </w:pPr>
            <w:r w:rsidRPr="00C63A9A">
              <w:t>11.2</w:t>
            </w:r>
          </w:p>
        </w:tc>
        <w:tc>
          <w:tcPr>
            <w:tcW w:w="1021" w:type="dxa"/>
            <w:tcBorders>
              <w:top w:val="single" w:sz="4" w:space="0" w:color="BFBFBF"/>
              <w:bottom w:val="single" w:sz="4" w:space="0" w:color="BFBFBF"/>
            </w:tcBorders>
            <w:shd w:val="clear" w:color="auto" w:fill="auto"/>
          </w:tcPr>
          <w:p w14:paraId="17256188" w14:textId="77777777" w:rsidR="0078495E" w:rsidRDefault="0078495E" w:rsidP="004C7BEF">
            <w:pPr>
              <w:pStyle w:val="ARtabletextright"/>
            </w:pPr>
            <w:r w:rsidRPr="00C63A9A">
              <w:t>−0.6%</w:t>
            </w:r>
          </w:p>
        </w:tc>
        <w:tc>
          <w:tcPr>
            <w:tcW w:w="794" w:type="dxa"/>
            <w:tcBorders>
              <w:top w:val="single" w:sz="4" w:space="0" w:color="BFBFBF"/>
              <w:bottom w:val="single" w:sz="4" w:space="0" w:color="BFBFBF"/>
            </w:tcBorders>
            <w:shd w:val="clear" w:color="auto" w:fill="auto"/>
            <w:hideMark/>
          </w:tcPr>
          <w:p w14:paraId="101B5AA7" w14:textId="77777777" w:rsidR="0078495E" w:rsidRPr="00D02A2E" w:rsidRDefault="0078495E" w:rsidP="004C7BEF">
            <w:pPr>
              <w:pStyle w:val="ARtableperformancesymbol"/>
              <w:rPr>
                <w:rFonts w:hint="eastAsia"/>
              </w:rPr>
            </w:pPr>
            <w:r w:rsidRPr="00C63A9A">
              <w:t></w:t>
            </w:r>
          </w:p>
        </w:tc>
      </w:tr>
      <w:tr w:rsidR="0078495E" w:rsidRPr="00D02A2E" w14:paraId="1456F9E8" w14:textId="77777777" w:rsidTr="009F5729">
        <w:trPr>
          <w:cantSplit/>
        </w:trPr>
        <w:tc>
          <w:tcPr>
            <w:tcW w:w="4761" w:type="dxa"/>
            <w:tcBorders>
              <w:top w:val="single" w:sz="4" w:space="0" w:color="BFBFBF"/>
            </w:tcBorders>
            <w:shd w:val="clear" w:color="auto" w:fill="auto"/>
            <w:hideMark/>
          </w:tcPr>
          <w:p w14:paraId="0E881688" w14:textId="7BB50BD1" w:rsidR="0078495E" w:rsidRPr="00573E1D" w:rsidRDefault="0078495E" w:rsidP="00517E71">
            <w:pPr>
              <w:pStyle w:val="ARtabletext"/>
              <w:rPr>
                <w:sz w:val="16"/>
                <w:szCs w:val="16"/>
              </w:rPr>
            </w:pPr>
            <w:r w:rsidRPr="00C63A9A">
              <w:t>Unplanned readmission after hip replacement surgery</w:t>
            </w:r>
          </w:p>
        </w:tc>
        <w:tc>
          <w:tcPr>
            <w:tcW w:w="1021" w:type="dxa"/>
            <w:tcBorders>
              <w:top w:val="single" w:sz="4" w:space="0" w:color="BFBFBF"/>
            </w:tcBorders>
            <w:shd w:val="clear" w:color="auto" w:fill="auto"/>
            <w:hideMark/>
          </w:tcPr>
          <w:p w14:paraId="15D50CBE" w14:textId="77777777" w:rsidR="0078495E" w:rsidRPr="00D02A2E" w:rsidRDefault="0078495E" w:rsidP="004C7BEF">
            <w:pPr>
              <w:pStyle w:val="ARtabletextcentre"/>
            </w:pPr>
            <w:r w:rsidRPr="00C63A9A">
              <w:t>per cent</w:t>
            </w:r>
          </w:p>
        </w:tc>
        <w:tc>
          <w:tcPr>
            <w:tcW w:w="1021" w:type="dxa"/>
            <w:tcBorders>
              <w:top w:val="single" w:sz="4" w:space="0" w:color="BFBFBF"/>
            </w:tcBorders>
            <w:shd w:val="clear" w:color="auto" w:fill="auto"/>
            <w:hideMark/>
          </w:tcPr>
          <w:p w14:paraId="29568461" w14:textId="77777777" w:rsidR="0078495E" w:rsidRDefault="0078495E" w:rsidP="004C7BEF">
            <w:pPr>
              <w:pStyle w:val="ARtabletextright"/>
            </w:pPr>
            <w:r w:rsidRPr="00C63A9A">
              <w:t>6</w:t>
            </w:r>
          </w:p>
        </w:tc>
        <w:tc>
          <w:tcPr>
            <w:tcW w:w="1021" w:type="dxa"/>
            <w:tcBorders>
              <w:top w:val="single" w:sz="4" w:space="0" w:color="BFBFBF"/>
            </w:tcBorders>
            <w:shd w:val="clear" w:color="auto" w:fill="auto"/>
            <w:hideMark/>
          </w:tcPr>
          <w:p w14:paraId="77214F48" w14:textId="77777777" w:rsidR="0078495E" w:rsidRDefault="0078495E" w:rsidP="004C7BEF">
            <w:pPr>
              <w:pStyle w:val="ARtabletextright"/>
            </w:pPr>
            <w:r w:rsidRPr="00C63A9A">
              <w:t>5.1</w:t>
            </w:r>
          </w:p>
        </w:tc>
        <w:tc>
          <w:tcPr>
            <w:tcW w:w="1021" w:type="dxa"/>
            <w:tcBorders>
              <w:top w:val="single" w:sz="4" w:space="0" w:color="BFBFBF"/>
            </w:tcBorders>
            <w:shd w:val="clear" w:color="auto" w:fill="auto"/>
          </w:tcPr>
          <w:p w14:paraId="53EB7963" w14:textId="77777777" w:rsidR="0078495E" w:rsidRDefault="0078495E" w:rsidP="004C7BEF">
            <w:pPr>
              <w:pStyle w:val="ARtabletextright"/>
            </w:pPr>
            <w:r w:rsidRPr="00C63A9A">
              <w:t>−14.7%</w:t>
            </w:r>
          </w:p>
        </w:tc>
        <w:tc>
          <w:tcPr>
            <w:tcW w:w="794" w:type="dxa"/>
            <w:tcBorders>
              <w:top w:val="single" w:sz="4" w:space="0" w:color="BFBFBF"/>
            </w:tcBorders>
            <w:shd w:val="clear" w:color="auto" w:fill="auto"/>
            <w:hideMark/>
          </w:tcPr>
          <w:p w14:paraId="0B9CAAF4" w14:textId="77777777" w:rsidR="0078495E" w:rsidRPr="00D02A2E" w:rsidRDefault="0078495E" w:rsidP="004C7BEF">
            <w:pPr>
              <w:pStyle w:val="ARtableperformancesymbol"/>
              <w:rPr>
                <w:rFonts w:hint="eastAsia"/>
              </w:rPr>
            </w:pPr>
            <w:r w:rsidRPr="00C63A9A">
              <w:t></w:t>
            </w:r>
          </w:p>
        </w:tc>
      </w:tr>
      <w:tr w:rsidR="00517E71" w:rsidRPr="00D02A2E" w14:paraId="31794067" w14:textId="77777777" w:rsidTr="009F5729">
        <w:trPr>
          <w:cantSplit/>
        </w:trPr>
        <w:tc>
          <w:tcPr>
            <w:tcW w:w="9639" w:type="dxa"/>
            <w:gridSpan w:val="6"/>
            <w:tcBorders>
              <w:bottom w:val="single" w:sz="4" w:space="0" w:color="BFBFBF"/>
            </w:tcBorders>
            <w:shd w:val="clear" w:color="auto" w:fill="auto"/>
          </w:tcPr>
          <w:p w14:paraId="0785C23D" w14:textId="1A55CDDB" w:rsidR="00517E71" w:rsidRPr="00C63A9A" w:rsidRDefault="00517E71" w:rsidP="00517E71">
            <w:pPr>
              <w:pStyle w:val="ARtablenoteindent"/>
            </w:pPr>
            <w:bookmarkStart w:id="109" w:name="_Hlk113273182"/>
            <w:r w:rsidRPr="00517E71">
              <w:t xml:space="preserve">This is </w:t>
            </w:r>
            <w:r w:rsidR="005F3072">
              <w:t xml:space="preserve">a </w:t>
            </w:r>
            <w:r w:rsidRPr="00517E71">
              <w:t>favourable result.</w:t>
            </w:r>
          </w:p>
        </w:tc>
      </w:tr>
      <w:bookmarkEnd w:id="109"/>
      <w:tr w:rsidR="0078495E" w:rsidRPr="00D02A2E" w14:paraId="7548259A" w14:textId="77777777" w:rsidTr="00355D7B">
        <w:trPr>
          <w:cantSplit/>
        </w:trPr>
        <w:tc>
          <w:tcPr>
            <w:tcW w:w="4761" w:type="dxa"/>
            <w:tcBorders>
              <w:top w:val="single" w:sz="4" w:space="0" w:color="BFBFBF"/>
              <w:bottom w:val="single" w:sz="4" w:space="0" w:color="BFBFBF"/>
            </w:tcBorders>
            <w:shd w:val="clear" w:color="auto" w:fill="auto"/>
            <w:hideMark/>
          </w:tcPr>
          <w:p w14:paraId="67BDF3A6" w14:textId="77777777" w:rsidR="0078495E" w:rsidRPr="00D02A2E" w:rsidRDefault="0078495E" w:rsidP="006209FA">
            <w:pPr>
              <w:pStyle w:val="ARtabletext"/>
            </w:pPr>
            <w:r w:rsidRPr="00C63A9A">
              <w:t>Unplanned readmission for paediatric tonsillectomy and adenoidectomy</w:t>
            </w:r>
          </w:p>
        </w:tc>
        <w:tc>
          <w:tcPr>
            <w:tcW w:w="1021" w:type="dxa"/>
            <w:tcBorders>
              <w:top w:val="single" w:sz="4" w:space="0" w:color="BFBFBF"/>
              <w:bottom w:val="single" w:sz="4" w:space="0" w:color="BFBFBF"/>
            </w:tcBorders>
            <w:shd w:val="clear" w:color="auto" w:fill="auto"/>
            <w:hideMark/>
          </w:tcPr>
          <w:p w14:paraId="7D39143F" w14:textId="77777777" w:rsidR="0078495E" w:rsidRPr="00D02A2E" w:rsidRDefault="0078495E" w:rsidP="004C7BEF">
            <w:pPr>
              <w:pStyle w:val="ARtabletextcentre"/>
            </w:pPr>
            <w:r w:rsidRPr="00C63A9A">
              <w:t>per cent</w:t>
            </w:r>
          </w:p>
        </w:tc>
        <w:tc>
          <w:tcPr>
            <w:tcW w:w="1021" w:type="dxa"/>
            <w:tcBorders>
              <w:top w:val="single" w:sz="4" w:space="0" w:color="BFBFBF"/>
              <w:bottom w:val="single" w:sz="4" w:space="0" w:color="BFBFBF"/>
            </w:tcBorders>
            <w:shd w:val="clear" w:color="auto" w:fill="auto"/>
            <w:hideMark/>
          </w:tcPr>
          <w:p w14:paraId="11CAB923" w14:textId="77777777" w:rsidR="0078495E" w:rsidRDefault="0078495E" w:rsidP="004C7BEF">
            <w:pPr>
              <w:pStyle w:val="ARtabletextright"/>
            </w:pPr>
            <w:r w:rsidRPr="00C63A9A">
              <w:t>3.7</w:t>
            </w:r>
          </w:p>
        </w:tc>
        <w:tc>
          <w:tcPr>
            <w:tcW w:w="1021" w:type="dxa"/>
            <w:tcBorders>
              <w:top w:val="single" w:sz="4" w:space="0" w:color="BFBFBF"/>
              <w:bottom w:val="single" w:sz="4" w:space="0" w:color="BFBFBF"/>
            </w:tcBorders>
            <w:shd w:val="clear" w:color="auto" w:fill="auto"/>
            <w:hideMark/>
          </w:tcPr>
          <w:p w14:paraId="292D3E1F" w14:textId="77777777" w:rsidR="0078495E" w:rsidRDefault="0078495E" w:rsidP="004C7BEF">
            <w:pPr>
              <w:pStyle w:val="ARtabletextright"/>
            </w:pPr>
            <w:r w:rsidRPr="00C63A9A">
              <w:t>3.8</w:t>
            </w:r>
          </w:p>
        </w:tc>
        <w:tc>
          <w:tcPr>
            <w:tcW w:w="1021" w:type="dxa"/>
            <w:tcBorders>
              <w:top w:val="single" w:sz="4" w:space="0" w:color="BFBFBF"/>
              <w:bottom w:val="single" w:sz="4" w:space="0" w:color="BFBFBF"/>
            </w:tcBorders>
            <w:shd w:val="clear" w:color="auto" w:fill="auto"/>
          </w:tcPr>
          <w:p w14:paraId="47B4ECE6" w14:textId="77777777" w:rsidR="0078495E" w:rsidRDefault="0078495E" w:rsidP="004C7BEF">
            <w:pPr>
              <w:pStyle w:val="ARtabletextright"/>
            </w:pPr>
            <w:r w:rsidRPr="00C63A9A">
              <w:t>1.4%</w:t>
            </w:r>
          </w:p>
        </w:tc>
        <w:tc>
          <w:tcPr>
            <w:tcW w:w="794" w:type="dxa"/>
            <w:tcBorders>
              <w:top w:val="single" w:sz="4" w:space="0" w:color="BFBFBF"/>
              <w:bottom w:val="single" w:sz="4" w:space="0" w:color="BFBFBF"/>
            </w:tcBorders>
            <w:shd w:val="clear" w:color="auto" w:fill="auto"/>
            <w:hideMark/>
          </w:tcPr>
          <w:p w14:paraId="02F111E5" w14:textId="77777777" w:rsidR="0078495E" w:rsidRPr="00D02A2E" w:rsidRDefault="0078495E" w:rsidP="004C7BEF">
            <w:pPr>
              <w:pStyle w:val="ARtableperformancesymbol"/>
              <w:rPr>
                <w:rFonts w:hint="eastAsia"/>
              </w:rPr>
            </w:pPr>
            <w:r w:rsidRPr="00C63A9A">
              <w:t></w:t>
            </w:r>
          </w:p>
        </w:tc>
      </w:tr>
      <w:tr w:rsidR="0078495E" w:rsidRPr="00D02A2E" w14:paraId="1D175876" w14:textId="77777777" w:rsidTr="00F0352D">
        <w:trPr>
          <w:cantSplit/>
        </w:trPr>
        <w:tc>
          <w:tcPr>
            <w:tcW w:w="4761" w:type="dxa"/>
            <w:tcBorders>
              <w:top w:val="single" w:sz="4" w:space="0" w:color="BFBFBF"/>
            </w:tcBorders>
            <w:shd w:val="clear" w:color="auto" w:fill="auto"/>
            <w:hideMark/>
          </w:tcPr>
          <w:p w14:paraId="6BD7739D" w14:textId="77777777" w:rsidR="0078495E" w:rsidRPr="00D02A2E" w:rsidRDefault="0078495E" w:rsidP="006209FA">
            <w:pPr>
              <w:pStyle w:val="ARtabletext"/>
            </w:pPr>
            <w:r w:rsidRPr="00C63A9A">
              <w:t>Unplanned readmission after knee replacement surgery</w:t>
            </w:r>
          </w:p>
        </w:tc>
        <w:tc>
          <w:tcPr>
            <w:tcW w:w="1021" w:type="dxa"/>
            <w:tcBorders>
              <w:top w:val="single" w:sz="4" w:space="0" w:color="BFBFBF"/>
            </w:tcBorders>
            <w:shd w:val="clear" w:color="auto" w:fill="auto"/>
            <w:hideMark/>
          </w:tcPr>
          <w:p w14:paraId="437B49BE" w14:textId="77777777" w:rsidR="0078495E" w:rsidRPr="00D02A2E" w:rsidRDefault="0078495E" w:rsidP="004C7BEF">
            <w:pPr>
              <w:pStyle w:val="ARtabletextcentre"/>
            </w:pPr>
            <w:r w:rsidRPr="00C63A9A">
              <w:t>per cent</w:t>
            </w:r>
          </w:p>
        </w:tc>
        <w:tc>
          <w:tcPr>
            <w:tcW w:w="1021" w:type="dxa"/>
            <w:tcBorders>
              <w:top w:val="single" w:sz="4" w:space="0" w:color="BFBFBF"/>
            </w:tcBorders>
            <w:shd w:val="clear" w:color="auto" w:fill="auto"/>
            <w:hideMark/>
          </w:tcPr>
          <w:p w14:paraId="6BC8D3AA" w14:textId="77777777" w:rsidR="0078495E" w:rsidRDefault="0078495E" w:rsidP="004C7BEF">
            <w:pPr>
              <w:pStyle w:val="ARtabletextright"/>
            </w:pPr>
            <w:r w:rsidRPr="00C63A9A">
              <w:t>5.5</w:t>
            </w:r>
          </w:p>
        </w:tc>
        <w:tc>
          <w:tcPr>
            <w:tcW w:w="1021" w:type="dxa"/>
            <w:tcBorders>
              <w:top w:val="single" w:sz="4" w:space="0" w:color="BFBFBF"/>
            </w:tcBorders>
            <w:shd w:val="clear" w:color="auto" w:fill="auto"/>
            <w:hideMark/>
          </w:tcPr>
          <w:p w14:paraId="126D1234" w14:textId="77777777" w:rsidR="0078495E" w:rsidRDefault="0078495E" w:rsidP="004C7BEF">
            <w:pPr>
              <w:pStyle w:val="ARtabletextright"/>
            </w:pPr>
            <w:r w:rsidRPr="00C63A9A">
              <w:t>5.1</w:t>
            </w:r>
          </w:p>
        </w:tc>
        <w:tc>
          <w:tcPr>
            <w:tcW w:w="1021" w:type="dxa"/>
            <w:tcBorders>
              <w:top w:val="single" w:sz="4" w:space="0" w:color="BFBFBF"/>
            </w:tcBorders>
            <w:shd w:val="clear" w:color="auto" w:fill="auto"/>
          </w:tcPr>
          <w:p w14:paraId="7D600883" w14:textId="77777777" w:rsidR="0078495E" w:rsidRDefault="0078495E" w:rsidP="004C7BEF">
            <w:pPr>
              <w:pStyle w:val="ARtabletextright"/>
            </w:pPr>
            <w:r w:rsidRPr="00C63A9A">
              <w:t>−8.0%</w:t>
            </w:r>
          </w:p>
        </w:tc>
        <w:tc>
          <w:tcPr>
            <w:tcW w:w="794" w:type="dxa"/>
            <w:tcBorders>
              <w:top w:val="single" w:sz="4" w:space="0" w:color="BFBFBF"/>
            </w:tcBorders>
            <w:shd w:val="clear" w:color="auto" w:fill="auto"/>
            <w:hideMark/>
          </w:tcPr>
          <w:p w14:paraId="68338F8F" w14:textId="77777777" w:rsidR="0078495E" w:rsidRPr="00D02A2E" w:rsidRDefault="0078495E" w:rsidP="004C7BEF">
            <w:pPr>
              <w:pStyle w:val="ARtableperformancesymbol"/>
              <w:rPr>
                <w:rFonts w:hint="eastAsia"/>
              </w:rPr>
            </w:pPr>
            <w:r w:rsidRPr="00C63A9A">
              <w:t></w:t>
            </w:r>
          </w:p>
        </w:tc>
      </w:tr>
      <w:tr w:rsidR="00D3274E" w:rsidRPr="00D02A2E" w14:paraId="48DA0E53" w14:textId="77777777" w:rsidTr="00F0352D">
        <w:trPr>
          <w:cantSplit/>
        </w:trPr>
        <w:tc>
          <w:tcPr>
            <w:tcW w:w="9639" w:type="dxa"/>
            <w:gridSpan w:val="6"/>
            <w:tcBorders>
              <w:bottom w:val="single" w:sz="4" w:space="0" w:color="auto"/>
            </w:tcBorders>
            <w:shd w:val="clear" w:color="auto" w:fill="auto"/>
          </w:tcPr>
          <w:p w14:paraId="2E994432" w14:textId="4506B527" w:rsidR="00D3274E" w:rsidRPr="00C63A9A" w:rsidRDefault="00D3274E" w:rsidP="008340C1">
            <w:pPr>
              <w:pStyle w:val="ARtablenoteindent"/>
            </w:pPr>
            <w:r w:rsidRPr="00517E71">
              <w:t xml:space="preserve">This is </w:t>
            </w:r>
            <w:r w:rsidR="005F3072">
              <w:t xml:space="preserve">a </w:t>
            </w:r>
            <w:r w:rsidRPr="00517E71">
              <w:t>favourable result.</w:t>
            </w:r>
          </w:p>
        </w:tc>
      </w:tr>
      <w:tr w:rsidR="0078495E" w:rsidRPr="00D02A2E" w14:paraId="371AA42E" w14:textId="77777777" w:rsidTr="00F0352D">
        <w:trPr>
          <w:cantSplit/>
        </w:trPr>
        <w:tc>
          <w:tcPr>
            <w:tcW w:w="9639" w:type="dxa"/>
            <w:gridSpan w:val="6"/>
            <w:tcBorders>
              <w:top w:val="single" w:sz="4" w:space="0" w:color="auto"/>
            </w:tcBorders>
            <w:shd w:val="clear" w:color="auto" w:fill="auto"/>
            <w:hideMark/>
          </w:tcPr>
          <w:p w14:paraId="23A975D8" w14:textId="77777777" w:rsidR="0078495E" w:rsidRPr="00D02A2E" w:rsidRDefault="0078495E" w:rsidP="006209FA">
            <w:pPr>
              <w:pStyle w:val="ARtablegreybold"/>
              <w:keepLines/>
              <w:rPr>
                <w:rFonts w:ascii="Wingdings" w:hAnsi="Wingdings"/>
              </w:rPr>
            </w:pPr>
            <w:r>
              <w:t>Timeliness</w:t>
            </w:r>
          </w:p>
        </w:tc>
      </w:tr>
      <w:tr w:rsidR="0078495E" w:rsidRPr="00D02A2E" w14:paraId="3D8C4592" w14:textId="77777777" w:rsidTr="004C7BEF">
        <w:trPr>
          <w:cantSplit/>
        </w:trPr>
        <w:tc>
          <w:tcPr>
            <w:tcW w:w="4761" w:type="dxa"/>
            <w:shd w:val="clear" w:color="auto" w:fill="auto"/>
            <w:hideMark/>
          </w:tcPr>
          <w:p w14:paraId="141941D8" w14:textId="77777777" w:rsidR="0078495E" w:rsidRPr="00D02A2E" w:rsidRDefault="0078495E" w:rsidP="006209FA">
            <w:pPr>
              <w:pStyle w:val="ARtabletext"/>
              <w:keepNext/>
            </w:pPr>
            <w:r w:rsidRPr="00145AF3">
              <w:t>Non</w:t>
            </w:r>
            <w:r w:rsidRPr="00F41388">
              <w:t>-urgent (Category 3) elective surgery patients admitted within 365 days</w:t>
            </w:r>
          </w:p>
        </w:tc>
        <w:tc>
          <w:tcPr>
            <w:tcW w:w="1021" w:type="dxa"/>
            <w:shd w:val="clear" w:color="auto" w:fill="auto"/>
            <w:hideMark/>
          </w:tcPr>
          <w:p w14:paraId="27FFB9BC" w14:textId="77777777" w:rsidR="0078495E" w:rsidRPr="00D02A2E" w:rsidRDefault="0078495E" w:rsidP="004C7BEF">
            <w:pPr>
              <w:pStyle w:val="ARtabletextcentre"/>
            </w:pPr>
            <w:r w:rsidRPr="00F41388">
              <w:t>per cent</w:t>
            </w:r>
          </w:p>
        </w:tc>
        <w:tc>
          <w:tcPr>
            <w:tcW w:w="1021" w:type="dxa"/>
            <w:shd w:val="clear" w:color="auto" w:fill="auto"/>
            <w:hideMark/>
          </w:tcPr>
          <w:p w14:paraId="188538F7" w14:textId="77777777" w:rsidR="0078495E" w:rsidRDefault="0078495E" w:rsidP="004C7BEF">
            <w:pPr>
              <w:pStyle w:val="ARtabletextright"/>
            </w:pPr>
            <w:r w:rsidRPr="00F41388">
              <w:t>95</w:t>
            </w:r>
          </w:p>
        </w:tc>
        <w:tc>
          <w:tcPr>
            <w:tcW w:w="1021" w:type="dxa"/>
            <w:shd w:val="clear" w:color="auto" w:fill="auto"/>
            <w:hideMark/>
          </w:tcPr>
          <w:p w14:paraId="49E72323" w14:textId="77777777" w:rsidR="0078495E" w:rsidRDefault="0078495E" w:rsidP="004C7BEF">
            <w:pPr>
              <w:pStyle w:val="ARtabletextright"/>
            </w:pPr>
            <w:r w:rsidRPr="00F41388">
              <w:t>82.2</w:t>
            </w:r>
          </w:p>
        </w:tc>
        <w:tc>
          <w:tcPr>
            <w:tcW w:w="1021" w:type="dxa"/>
            <w:shd w:val="clear" w:color="auto" w:fill="auto"/>
          </w:tcPr>
          <w:p w14:paraId="433BD386" w14:textId="77777777" w:rsidR="0078495E" w:rsidRDefault="0078495E" w:rsidP="004C7BEF">
            <w:pPr>
              <w:pStyle w:val="ARtabletextright"/>
            </w:pPr>
            <w:r w:rsidRPr="00F41388">
              <w:t>−13.5%</w:t>
            </w:r>
          </w:p>
        </w:tc>
        <w:tc>
          <w:tcPr>
            <w:tcW w:w="794" w:type="dxa"/>
            <w:shd w:val="clear" w:color="auto" w:fill="auto"/>
            <w:hideMark/>
          </w:tcPr>
          <w:p w14:paraId="692EA567" w14:textId="77777777" w:rsidR="0078495E" w:rsidRPr="00D02A2E" w:rsidRDefault="0078495E" w:rsidP="004C7BEF">
            <w:pPr>
              <w:pStyle w:val="ARtableperformancesymbol"/>
              <w:rPr>
                <w:rFonts w:hint="eastAsia"/>
              </w:rPr>
            </w:pPr>
            <w:r w:rsidRPr="00F41388">
              <w:t></w:t>
            </w:r>
          </w:p>
        </w:tc>
      </w:tr>
      <w:tr w:rsidR="0078495E" w:rsidRPr="00D02A2E" w14:paraId="7CB77A2E" w14:textId="77777777" w:rsidTr="004C7BEF">
        <w:trPr>
          <w:cantSplit/>
        </w:trPr>
        <w:tc>
          <w:tcPr>
            <w:tcW w:w="9639" w:type="dxa"/>
            <w:gridSpan w:val="6"/>
            <w:tcBorders>
              <w:bottom w:val="single" w:sz="4" w:space="0" w:color="BFBFBF"/>
            </w:tcBorders>
            <w:shd w:val="clear" w:color="auto" w:fill="auto"/>
            <w:noWrap/>
            <w:hideMark/>
          </w:tcPr>
          <w:p w14:paraId="4955D41F" w14:textId="0F19AB79" w:rsidR="0078495E" w:rsidRPr="00D02A2E" w:rsidRDefault="0078495E" w:rsidP="006209FA">
            <w:pPr>
              <w:pStyle w:val="ARtablenoteindent"/>
            </w:pPr>
            <w:r w:rsidRPr="00F41388">
              <w:t>The result is lower than target primarily due to the ongoing impact of the COVID-19 pandemic, including restrictions and capacity constraints on elective surgery throughout 2021 and 2022.</w:t>
            </w:r>
          </w:p>
        </w:tc>
      </w:tr>
      <w:tr w:rsidR="0078495E" w:rsidRPr="00D02A2E" w14:paraId="518FE119" w14:textId="77777777" w:rsidTr="004C7BEF">
        <w:trPr>
          <w:cantSplit/>
        </w:trPr>
        <w:tc>
          <w:tcPr>
            <w:tcW w:w="4761" w:type="dxa"/>
            <w:shd w:val="clear" w:color="auto" w:fill="auto"/>
            <w:hideMark/>
          </w:tcPr>
          <w:p w14:paraId="25D73D82" w14:textId="77777777" w:rsidR="0078495E" w:rsidRPr="00D02A2E" w:rsidRDefault="0078495E" w:rsidP="004C7BEF">
            <w:pPr>
              <w:pStyle w:val="ARtabletext"/>
            </w:pPr>
            <w:r w:rsidRPr="00F41388">
              <w:t>Semi-urgent (Category 2) elective surgery patients admitted within 90 days</w:t>
            </w:r>
          </w:p>
        </w:tc>
        <w:tc>
          <w:tcPr>
            <w:tcW w:w="1021" w:type="dxa"/>
            <w:shd w:val="clear" w:color="auto" w:fill="auto"/>
            <w:hideMark/>
          </w:tcPr>
          <w:p w14:paraId="4D5F7560" w14:textId="77777777" w:rsidR="0078495E" w:rsidRPr="00D02A2E" w:rsidRDefault="0078495E" w:rsidP="004C7BEF">
            <w:pPr>
              <w:pStyle w:val="ARtabletextcentre"/>
            </w:pPr>
            <w:r w:rsidRPr="00F41388">
              <w:t>per cent</w:t>
            </w:r>
          </w:p>
        </w:tc>
        <w:tc>
          <w:tcPr>
            <w:tcW w:w="1021" w:type="dxa"/>
            <w:shd w:val="clear" w:color="auto" w:fill="auto"/>
            <w:hideMark/>
          </w:tcPr>
          <w:p w14:paraId="6226B2D9" w14:textId="77777777" w:rsidR="0078495E" w:rsidRDefault="0078495E" w:rsidP="004C7BEF">
            <w:pPr>
              <w:pStyle w:val="ARtabletextright"/>
            </w:pPr>
            <w:r w:rsidRPr="00F41388">
              <w:t>83</w:t>
            </w:r>
          </w:p>
        </w:tc>
        <w:tc>
          <w:tcPr>
            <w:tcW w:w="1021" w:type="dxa"/>
            <w:shd w:val="clear" w:color="auto" w:fill="auto"/>
            <w:hideMark/>
          </w:tcPr>
          <w:p w14:paraId="01A819E9" w14:textId="77777777" w:rsidR="0078495E" w:rsidRDefault="0078495E" w:rsidP="004C7BEF">
            <w:pPr>
              <w:pStyle w:val="ARtabletextright"/>
            </w:pPr>
            <w:r w:rsidRPr="00F41388">
              <w:t>55.5</w:t>
            </w:r>
          </w:p>
        </w:tc>
        <w:tc>
          <w:tcPr>
            <w:tcW w:w="1021" w:type="dxa"/>
            <w:shd w:val="clear" w:color="auto" w:fill="auto"/>
          </w:tcPr>
          <w:p w14:paraId="28F6A26A" w14:textId="77777777" w:rsidR="0078495E" w:rsidRDefault="0078495E" w:rsidP="004C7BEF">
            <w:pPr>
              <w:pStyle w:val="ARtabletextright"/>
            </w:pPr>
            <w:r w:rsidRPr="00F41388">
              <w:t>−33.1%</w:t>
            </w:r>
          </w:p>
        </w:tc>
        <w:tc>
          <w:tcPr>
            <w:tcW w:w="794" w:type="dxa"/>
            <w:shd w:val="clear" w:color="auto" w:fill="auto"/>
            <w:hideMark/>
          </w:tcPr>
          <w:p w14:paraId="18C17AC7" w14:textId="77777777" w:rsidR="0078495E" w:rsidRPr="00D02A2E" w:rsidRDefault="0078495E" w:rsidP="004C7BEF">
            <w:pPr>
              <w:pStyle w:val="ARtableperformancesymbol"/>
              <w:rPr>
                <w:rFonts w:hint="eastAsia"/>
              </w:rPr>
            </w:pPr>
            <w:r w:rsidRPr="00F41388">
              <w:t></w:t>
            </w:r>
          </w:p>
        </w:tc>
      </w:tr>
      <w:tr w:rsidR="0078495E" w:rsidRPr="00D02A2E" w14:paraId="084AE6FA" w14:textId="77777777" w:rsidTr="004C7BEF">
        <w:trPr>
          <w:cantSplit/>
        </w:trPr>
        <w:tc>
          <w:tcPr>
            <w:tcW w:w="9639" w:type="dxa"/>
            <w:gridSpan w:val="6"/>
            <w:tcBorders>
              <w:bottom w:val="single" w:sz="4" w:space="0" w:color="BFBFBF"/>
            </w:tcBorders>
            <w:shd w:val="clear" w:color="auto" w:fill="auto"/>
            <w:noWrap/>
            <w:hideMark/>
          </w:tcPr>
          <w:p w14:paraId="17BB5224" w14:textId="5EEBFF6C" w:rsidR="0078495E" w:rsidRPr="00D02A2E" w:rsidRDefault="0078495E" w:rsidP="004C7BEF">
            <w:pPr>
              <w:pStyle w:val="ARtablenoteindent"/>
            </w:pPr>
            <w:r w:rsidRPr="00F41388">
              <w:t>The result is lower than target primarily due to the ongoing impact of the COVID-19 pandemic, including restrictions and capacity constraints on elective surgery throughout 2021 and 2022.</w:t>
            </w:r>
          </w:p>
        </w:tc>
      </w:tr>
      <w:tr w:rsidR="0078495E" w:rsidRPr="00D02A2E" w14:paraId="759E4F63" w14:textId="77777777" w:rsidTr="004C7BEF">
        <w:trPr>
          <w:cantSplit/>
        </w:trPr>
        <w:tc>
          <w:tcPr>
            <w:tcW w:w="4761" w:type="dxa"/>
            <w:shd w:val="clear" w:color="auto" w:fill="auto"/>
            <w:hideMark/>
          </w:tcPr>
          <w:p w14:paraId="3C8BCBA1" w14:textId="77777777" w:rsidR="0078495E" w:rsidRPr="00D02A2E" w:rsidRDefault="0078495E" w:rsidP="004C7BEF">
            <w:pPr>
              <w:pStyle w:val="ARtabletext"/>
            </w:pPr>
            <w:r w:rsidRPr="00F41388">
              <w:t>Urgent (Category 1) elective surgery patients admitted within 30 days</w:t>
            </w:r>
          </w:p>
        </w:tc>
        <w:tc>
          <w:tcPr>
            <w:tcW w:w="1021" w:type="dxa"/>
            <w:shd w:val="clear" w:color="auto" w:fill="auto"/>
            <w:hideMark/>
          </w:tcPr>
          <w:p w14:paraId="5A0FABEA" w14:textId="77777777" w:rsidR="0078495E" w:rsidRPr="00D02A2E" w:rsidRDefault="0078495E" w:rsidP="004C7BEF">
            <w:pPr>
              <w:pStyle w:val="ARtabletextcentre"/>
            </w:pPr>
            <w:r w:rsidRPr="00F41388">
              <w:t>per cent</w:t>
            </w:r>
          </w:p>
        </w:tc>
        <w:tc>
          <w:tcPr>
            <w:tcW w:w="1021" w:type="dxa"/>
            <w:shd w:val="clear" w:color="auto" w:fill="auto"/>
            <w:hideMark/>
          </w:tcPr>
          <w:p w14:paraId="26431457" w14:textId="77777777" w:rsidR="0078495E" w:rsidRDefault="0078495E" w:rsidP="004C7BEF">
            <w:pPr>
              <w:pStyle w:val="ARtabletextright"/>
            </w:pPr>
            <w:r w:rsidRPr="00F41388">
              <w:t>100</w:t>
            </w:r>
          </w:p>
        </w:tc>
        <w:tc>
          <w:tcPr>
            <w:tcW w:w="1021" w:type="dxa"/>
            <w:shd w:val="clear" w:color="auto" w:fill="auto"/>
            <w:hideMark/>
          </w:tcPr>
          <w:p w14:paraId="76700965" w14:textId="77777777" w:rsidR="0078495E" w:rsidRDefault="0078495E" w:rsidP="004C7BEF">
            <w:pPr>
              <w:pStyle w:val="ARtabletextright"/>
            </w:pPr>
            <w:r w:rsidRPr="00F41388">
              <w:t>100</w:t>
            </w:r>
          </w:p>
        </w:tc>
        <w:tc>
          <w:tcPr>
            <w:tcW w:w="1021" w:type="dxa"/>
            <w:shd w:val="clear" w:color="auto" w:fill="auto"/>
          </w:tcPr>
          <w:p w14:paraId="432565F2" w14:textId="77777777" w:rsidR="0078495E" w:rsidRDefault="0078495E" w:rsidP="004C7BEF">
            <w:pPr>
              <w:pStyle w:val="ARtabletextright"/>
            </w:pPr>
            <w:r w:rsidRPr="00F41388">
              <w:t>0.0%</w:t>
            </w:r>
          </w:p>
        </w:tc>
        <w:tc>
          <w:tcPr>
            <w:tcW w:w="794" w:type="dxa"/>
            <w:shd w:val="clear" w:color="auto" w:fill="auto"/>
            <w:hideMark/>
          </w:tcPr>
          <w:p w14:paraId="0CC4D14E" w14:textId="77777777" w:rsidR="0078495E" w:rsidRPr="00D02A2E" w:rsidRDefault="0078495E" w:rsidP="004C7BEF">
            <w:pPr>
              <w:pStyle w:val="ARtableperformancesymbol"/>
              <w:rPr>
                <w:rFonts w:hint="eastAsia"/>
              </w:rPr>
            </w:pPr>
            <w:r w:rsidRPr="00F41388">
              <w:t></w:t>
            </w:r>
          </w:p>
        </w:tc>
      </w:tr>
      <w:tr w:rsidR="0078495E" w:rsidRPr="00D02A2E" w14:paraId="3CC1B457" w14:textId="77777777" w:rsidTr="004C7BEF">
        <w:trPr>
          <w:cantSplit/>
        </w:trPr>
        <w:tc>
          <w:tcPr>
            <w:tcW w:w="9639" w:type="dxa"/>
            <w:gridSpan w:val="6"/>
            <w:tcBorders>
              <w:top w:val="single" w:sz="4" w:space="0" w:color="auto"/>
            </w:tcBorders>
            <w:shd w:val="clear" w:color="auto" w:fill="auto"/>
            <w:hideMark/>
          </w:tcPr>
          <w:p w14:paraId="55586FB1" w14:textId="77777777" w:rsidR="0078495E" w:rsidRPr="00D02A2E" w:rsidRDefault="0078495E" w:rsidP="004C7BEF">
            <w:pPr>
              <w:pStyle w:val="ARtablegreybold"/>
              <w:rPr>
                <w:rFonts w:ascii="Wingdings" w:hAnsi="Wingdings"/>
              </w:rPr>
            </w:pPr>
            <w:r w:rsidRPr="00F41388">
              <w:t>Cost</w:t>
            </w:r>
          </w:p>
        </w:tc>
      </w:tr>
      <w:tr w:rsidR="0078495E" w:rsidRPr="00633FBC" w14:paraId="29B7A180" w14:textId="77777777" w:rsidTr="004C7BEF">
        <w:trPr>
          <w:cantSplit/>
        </w:trPr>
        <w:tc>
          <w:tcPr>
            <w:tcW w:w="4761" w:type="dxa"/>
            <w:shd w:val="clear" w:color="auto" w:fill="auto"/>
            <w:hideMark/>
          </w:tcPr>
          <w:p w14:paraId="6E303BAE" w14:textId="77777777" w:rsidR="0078495E" w:rsidRPr="00633FBC" w:rsidRDefault="0078495E" w:rsidP="004C7BEF">
            <w:pPr>
              <w:pStyle w:val="ARtabletext"/>
              <w:rPr>
                <w:b/>
                <w:bCs/>
              </w:rPr>
            </w:pPr>
            <w:r w:rsidRPr="00633FBC">
              <w:rPr>
                <w:b/>
                <w:bCs/>
              </w:rPr>
              <w:t>Total Output Cost</w:t>
            </w:r>
          </w:p>
        </w:tc>
        <w:tc>
          <w:tcPr>
            <w:tcW w:w="1021" w:type="dxa"/>
            <w:shd w:val="clear" w:color="auto" w:fill="auto"/>
            <w:hideMark/>
          </w:tcPr>
          <w:p w14:paraId="4B6E6664" w14:textId="77777777" w:rsidR="0078495E" w:rsidRPr="00633FBC" w:rsidRDefault="0078495E" w:rsidP="004C7BEF">
            <w:pPr>
              <w:pStyle w:val="ARtabletextcentre"/>
              <w:rPr>
                <w:b/>
                <w:bCs/>
              </w:rPr>
            </w:pPr>
            <w:r w:rsidRPr="00633FBC">
              <w:rPr>
                <w:b/>
                <w:bCs/>
              </w:rPr>
              <w:t>$ million</w:t>
            </w:r>
          </w:p>
        </w:tc>
        <w:tc>
          <w:tcPr>
            <w:tcW w:w="1021" w:type="dxa"/>
            <w:shd w:val="clear" w:color="auto" w:fill="auto"/>
            <w:hideMark/>
          </w:tcPr>
          <w:p w14:paraId="655ADE9F" w14:textId="77777777" w:rsidR="0078495E" w:rsidRPr="00633FBC" w:rsidRDefault="0078495E" w:rsidP="004C7BEF">
            <w:pPr>
              <w:pStyle w:val="ARtabletextright"/>
              <w:rPr>
                <w:b/>
                <w:bCs/>
              </w:rPr>
            </w:pPr>
            <w:r w:rsidRPr="00633FBC">
              <w:rPr>
                <w:b/>
                <w:bCs/>
              </w:rPr>
              <w:t>12,903.4</w:t>
            </w:r>
          </w:p>
        </w:tc>
        <w:tc>
          <w:tcPr>
            <w:tcW w:w="1021" w:type="dxa"/>
            <w:shd w:val="clear" w:color="auto" w:fill="auto"/>
            <w:hideMark/>
          </w:tcPr>
          <w:p w14:paraId="6A1B60DC" w14:textId="77777777" w:rsidR="0078495E" w:rsidRPr="00633FBC" w:rsidRDefault="0078495E" w:rsidP="004C7BEF">
            <w:pPr>
              <w:pStyle w:val="ARtabletextright"/>
              <w:rPr>
                <w:b/>
                <w:bCs/>
              </w:rPr>
            </w:pPr>
            <w:r w:rsidRPr="00633FBC">
              <w:rPr>
                <w:b/>
                <w:bCs/>
              </w:rPr>
              <w:t>15,507.0</w:t>
            </w:r>
          </w:p>
        </w:tc>
        <w:tc>
          <w:tcPr>
            <w:tcW w:w="1021" w:type="dxa"/>
            <w:shd w:val="clear" w:color="auto" w:fill="auto"/>
          </w:tcPr>
          <w:p w14:paraId="375FD5BA" w14:textId="77777777" w:rsidR="0078495E" w:rsidRPr="00633FBC" w:rsidRDefault="0078495E" w:rsidP="004C7BEF">
            <w:pPr>
              <w:pStyle w:val="ARtabletextright"/>
              <w:rPr>
                <w:b/>
                <w:bCs/>
              </w:rPr>
            </w:pPr>
            <w:r w:rsidRPr="00633FBC">
              <w:rPr>
                <w:b/>
                <w:bCs/>
              </w:rPr>
              <w:t>20.2%</w:t>
            </w:r>
          </w:p>
        </w:tc>
        <w:tc>
          <w:tcPr>
            <w:tcW w:w="794" w:type="dxa"/>
            <w:shd w:val="clear" w:color="auto" w:fill="auto"/>
            <w:hideMark/>
          </w:tcPr>
          <w:p w14:paraId="7297196F" w14:textId="77777777" w:rsidR="0078495E" w:rsidRPr="00633FBC" w:rsidRDefault="0078495E" w:rsidP="004C7BEF">
            <w:pPr>
              <w:pStyle w:val="ARtabletextright"/>
              <w:rPr>
                <w:b/>
                <w:bCs/>
              </w:rPr>
            </w:pPr>
          </w:p>
        </w:tc>
      </w:tr>
      <w:tr w:rsidR="0078495E" w:rsidRPr="00D02A2E" w14:paraId="257094E3" w14:textId="77777777" w:rsidTr="004C7BEF">
        <w:trPr>
          <w:cantSplit/>
        </w:trPr>
        <w:tc>
          <w:tcPr>
            <w:tcW w:w="9639" w:type="dxa"/>
            <w:gridSpan w:val="6"/>
            <w:tcBorders>
              <w:bottom w:val="single" w:sz="4" w:space="0" w:color="auto"/>
            </w:tcBorders>
            <w:shd w:val="clear" w:color="auto" w:fill="auto"/>
            <w:noWrap/>
            <w:hideMark/>
          </w:tcPr>
          <w:p w14:paraId="04BB6DD1" w14:textId="21CF3527" w:rsidR="0078495E" w:rsidRPr="00D02A2E" w:rsidRDefault="0078495E" w:rsidP="004C7BEF">
            <w:pPr>
              <w:pStyle w:val="ARtablenoteindent"/>
            </w:pPr>
            <w:r w:rsidRPr="00F41388">
              <w:t>The 2021–22 actual outcome primarily reflects</w:t>
            </w:r>
            <w:r w:rsidR="0054543E">
              <w:t xml:space="preserve"> </w:t>
            </w:r>
            <w:r w:rsidR="00E10251">
              <w:t xml:space="preserve">funding </w:t>
            </w:r>
            <w:r w:rsidR="00131E5D">
              <w:t>increases in</w:t>
            </w:r>
            <w:r w:rsidR="0054543E">
              <w:t xml:space="preserve"> </w:t>
            </w:r>
            <w:r w:rsidRPr="00F41388">
              <w:t>government policy initiatives related to the COVID-19 response and output movements between Non</w:t>
            </w:r>
            <w:r w:rsidR="007422EB">
              <w:t>-</w:t>
            </w:r>
            <w:r w:rsidR="0061230E">
              <w:t>a</w:t>
            </w:r>
            <w:r w:rsidRPr="00F41388">
              <w:t>dmitted and Admitted Services related to the transition to the Commonwealth price model.</w:t>
            </w:r>
          </w:p>
        </w:tc>
      </w:tr>
    </w:tbl>
    <w:p w14:paraId="4D2A01DC" w14:textId="550574DC" w:rsidR="0078495E" w:rsidRDefault="0078495E" w:rsidP="00306875">
      <w:pPr>
        <w:pStyle w:val="Heading4"/>
        <w:spacing w:before="400"/>
      </w:pPr>
      <w:r>
        <w:t>Non-admitted Services</w:t>
      </w:r>
    </w:p>
    <w:p w14:paraId="1C0BDF28" w14:textId="6569B665" w:rsidR="0078495E" w:rsidRDefault="00762344" w:rsidP="0078495E">
      <w:pPr>
        <w:pStyle w:val="ARbody"/>
      </w:pPr>
      <w:r w:rsidRPr="00762344">
        <w:t>This output relates to acute and sub-acute services provided at Victorian metropolitan and rural public hospitals.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59DEE060" w14:textId="77777777" w:rsidTr="004C7BEF">
        <w:trPr>
          <w:cantSplit/>
          <w:tblHeader/>
        </w:trPr>
        <w:tc>
          <w:tcPr>
            <w:tcW w:w="4761" w:type="dxa"/>
            <w:tcBorders>
              <w:bottom w:val="single" w:sz="4" w:space="0" w:color="auto"/>
            </w:tcBorders>
            <w:shd w:val="clear" w:color="auto" w:fill="auto"/>
            <w:vAlign w:val="bottom"/>
            <w:hideMark/>
          </w:tcPr>
          <w:p w14:paraId="5F9639EC"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21390D3F"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24BDDCB1"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22C82B9F"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743E4AE0"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14CB6498" w14:textId="77777777" w:rsidR="0078495E" w:rsidRPr="00F72126" w:rsidRDefault="0078495E" w:rsidP="004C7BEF">
            <w:pPr>
              <w:pStyle w:val="ARtablecolheadright"/>
            </w:pPr>
            <w:r w:rsidRPr="00F72126">
              <w:t>Result</w:t>
            </w:r>
          </w:p>
        </w:tc>
      </w:tr>
      <w:tr w:rsidR="0078495E" w:rsidRPr="00D02A2E" w14:paraId="3E15DED4" w14:textId="77777777" w:rsidTr="004C7BEF">
        <w:trPr>
          <w:cantSplit/>
        </w:trPr>
        <w:tc>
          <w:tcPr>
            <w:tcW w:w="9639" w:type="dxa"/>
            <w:gridSpan w:val="6"/>
            <w:tcBorders>
              <w:top w:val="single" w:sz="4" w:space="0" w:color="auto"/>
            </w:tcBorders>
            <w:shd w:val="clear" w:color="auto" w:fill="auto"/>
            <w:hideMark/>
          </w:tcPr>
          <w:p w14:paraId="5652B5D0" w14:textId="77777777" w:rsidR="0078495E" w:rsidRPr="00D02A2E" w:rsidRDefault="0078495E" w:rsidP="004C7BEF">
            <w:pPr>
              <w:pStyle w:val="ARtablegreybold"/>
              <w:rPr>
                <w:rFonts w:ascii="Wingdings" w:hAnsi="Wingdings"/>
              </w:rPr>
            </w:pPr>
            <w:r w:rsidRPr="007A45E9">
              <w:t>Quantity</w:t>
            </w:r>
          </w:p>
        </w:tc>
      </w:tr>
      <w:tr w:rsidR="0078495E" w:rsidRPr="00D02A2E" w14:paraId="726971C9" w14:textId="77777777" w:rsidTr="004C7BEF">
        <w:trPr>
          <w:cantSplit/>
        </w:trPr>
        <w:tc>
          <w:tcPr>
            <w:tcW w:w="4761" w:type="dxa"/>
            <w:shd w:val="clear" w:color="auto" w:fill="auto"/>
            <w:hideMark/>
          </w:tcPr>
          <w:p w14:paraId="681244ED" w14:textId="77777777" w:rsidR="0078495E" w:rsidRPr="00D02A2E" w:rsidRDefault="0078495E" w:rsidP="004C7BEF">
            <w:pPr>
              <w:pStyle w:val="ARtabletext"/>
            </w:pPr>
            <w:r w:rsidRPr="00A20B2D">
              <w:t>Health Independence Program direct contacts</w:t>
            </w:r>
          </w:p>
        </w:tc>
        <w:tc>
          <w:tcPr>
            <w:tcW w:w="1021" w:type="dxa"/>
            <w:shd w:val="clear" w:color="auto" w:fill="auto"/>
            <w:hideMark/>
          </w:tcPr>
          <w:p w14:paraId="1FEB371A" w14:textId="77777777" w:rsidR="0078495E" w:rsidRPr="00D02A2E" w:rsidRDefault="0078495E" w:rsidP="004C7BEF">
            <w:pPr>
              <w:pStyle w:val="ARtabletextcentre"/>
            </w:pPr>
            <w:r w:rsidRPr="00A20B2D">
              <w:t>number (thousand)</w:t>
            </w:r>
          </w:p>
        </w:tc>
        <w:tc>
          <w:tcPr>
            <w:tcW w:w="1021" w:type="dxa"/>
            <w:shd w:val="clear" w:color="auto" w:fill="auto"/>
            <w:hideMark/>
          </w:tcPr>
          <w:p w14:paraId="1DADB5B7" w14:textId="77777777" w:rsidR="0078495E" w:rsidRDefault="0078495E" w:rsidP="004C7BEF">
            <w:pPr>
              <w:pStyle w:val="ARtabletextright"/>
            </w:pPr>
            <w:r w:rsidRPr="00A20B2D">
              <w:t>1,599</w:t>
            </w:r>
          </w:p>
        </w:tc>
        <w:tc>
          <w:tcPr>
            <w:tcW w:w="1021" w:type="dxa"/>
            <w:shd w:val="clear" w:color="auto" w:fill="auto"/>
            <w:hideMark/>
          </w:tcPr>
          <w:p w14:paraId="2C20FC15" w14:textId="77777777" w:rsidR="0078495E" w:rsidRDefault="0078495E" w:rsidP="004C7BEF">
            <w:pPr>
              <w:pStyle w:val="ARtabletextright"/>
            </w:pPr>
            <w:r w:rsidRPr="00A20B2D">
              <w:t>1,362</w:t>
            </w:r>
          </w:p>
        </w:tc>
        <w:tc>
          <w:tcPr>
            <w:tcW w:w="1021" w:type="dxa"/>
            <w:shd w:val="clear" w:color="auto" w:fill="auto"/>
          </w:tcPr>
          <w:p w14:paraId="087379DD" w14:textId="77777777" w:rsidR="0078495E" w:rsidRDefault="0078495E" w:rsidP="004C7BEF">
            <w:pPr>
              <w:pStyle w:val="ARtabletextright"/>
            </w:pPr>
            <w:r w:rsidRPr="00A20B2D">
              <w:t>−14.8%</w:t>
            </w:r>
          </w:p>
        </w:tc>
        <w:tc>
          <w:tcPr>
            <w:tcW w:w="794" w:type="dxa"/>
            <w:shd w:val="clear" w:color="auto" w:fill="auto"/>
            <w:hideMark/>
          </w:tcPr>
          <w:p w14:paraId="5116CAA8" w14:textId="77777777" w:rsidR="0078495E" w:rsidRPr="00D02A2E" w:rsidRDefault="0078495E" w:rsidP="004C7BEF">
            <w:pPr>
              <w:pStyle w:val="ARtableperformancesymbol"/>
              <w:rPr>
                <w:rFonts w:hint="eastAsia"/>
              </w:rPr>
            </w:pPr>
            <w:r w:rsidRPr="00A20B2D">
              <w:t></w:t>
            </w:r>
          </w:p>
        </w:tc>
      </w:tr>
      <w:tr w:rsidR="0078495E" w:rsidRPr="00D02A2E" w14:paraId="5920C007" w14:textId="77777777" w:rsidTr="004C7BEF">
        <w:trPr>
          <w:cantSplit/>
        </w:trPr>
        <w:tc>
          <w:tcPr>
            <w:tcW w:w="9639" w:type="dxa"/>
            <w:gridSpan w:val="6"/>
            <w:tcBorders>
              <w:bottom w:val="single" w:sz="4" w:space="0" w:color="BFBFBF"/>
            </w:tcBorders>
            <w:shd w:val="clear" w:color="auto" w:fill="auto"/>
            <w:noWrap/>
            <w:hideMark/>
          </w:tcPr>
          <w:p w14:paraId="523F154B" w14:textId="26A20483" w:rsidR="0078495E" w:rsidRPr="00D02A2E" w:rsidRDefault="0078495E" w:rsidP="004C7BEF">
            <w:pPr>
              <w:pStyle w:val="ARtablenoteindent"/>
            </w:pPr>
            <w:r w:rsidRPr="00A20B2D">
              <w:t>The result is lower than target primarily due to the ongoing impact of the COVID-19 pandemic on activities.</w:t>
            </w:r>
          </w:p>
        </w:tc>
      </w:tr>
      <w:tr w:rsidR="0078495E" w:rsidRPr="00D02A2E" w14:paraId="67EBAB0F" w14:textId="77777777" w:rsidTr="004C7BEF">
        <w:trPr>
          <w:cantSplit/>
        </w:trPr>
        <w:tc>
          <w:tcPr>
            <w:tcW w:w="4761" w:type="dxa"/>
            <w:shd w:val="clear" w:color="auto" w:fill="auto"/>
            <w:hideMark/>
          </w:tcPr>
          <w:p w14:paraId="5873A7F4" w14:textId="77777777" w:rsidR="0078495E" w:rsidRPr="00D02A2E" w:rsidRDefault="0078495E" w:rsidP="004C7BEF">
            <w:pPr>
              <w:pStyle w:val="ARtabletext"/>
            </w:pPr>
            <w:r w:rsidRPr="00A20B2D">
              <w:t>Patients treated in Specialist Outpatient Clinics – unweighted</w:t>
            </w:r>
          </w:p>
        </w:tc>
        <w:tc>
          <w:tcPr>
            <w:tcW w:w="1021" w:type="dxa"/>
            <w:shd w:val="clear" w:color="auto" w:fill="auto"/>
            <w:hideMark/>
          </w:tcPr>
          <w:p w14:paraId="67FF2C8E" w14:textId="77777777" w:rsidR="0078495E" w:rsidRPr="00D02A2E" w:rsidRDefault="0078495E" w:rsidP="004C7BEF">
            <w:pPr>
              <w:pStyle w:val="ARtabletextcentre"/>
            </w:pPr>
            <w:r w:rsidRPr="00A20B2D">
              <w:t>number (thousand)</w:t>
            </w:r>
          </w:p>
        </w:tc>
        <w:tc>
          <w:tcPr>
            <w:tcW w:w="1021" w:type="dxa"/>
            <w:shd w:val="clear" w:color="auto" w:fill="auto"/>
            <w:hideMark/>
          </w:tcPr>
          <w:p w14:paraId="435D3986" w14:textId="77777777" w:rsidR="0078495E" w:rsidRDefault="0078495E" w:rsidP="004C7BEF">
            <w:pPr>
              <w:pStyle w:val="ARtabletextright"/>
            </w:pPr>
            <w:r w:rsidRPr="00A20B2D">
              <w:t>1,975</w:t>
            </w:r>
          </w:p>
        </w:tc>
        <w:tc>
          <w:tcPr>
            <w:tcW w:w="1021" w:type="dxa"/>
            <w:shd w:val="clear" w:color="auto" w:fill="auto"/>
            <w:hideMark/>
          </w:tcPr>
          <w:p w14:paraId="6A749FC5" w14:textId="77777777" w:rsidR="0078495E" w:rsidRDefault="0078495E" w:rsidP="004C7BEF">
            <w:pPr>
              <w:pStyle w:val="ARtabletextright"/>
            </w:pPr>
            <w:r w:rsidRPr="00A20B2D">
              <w:t>1,846</w:t>
            </w:r>
          </w:p>
        </w:tc>
        <w:tc>
          <w:tcPr>
            <w:tcW w:w="1021" w:type="dxa"/>
            <w:shd w:val="clear" w:color="auto" w:fill="auto"/>
          </w:tcPr>
          <w:p w14:paraId="17223D75" w14:textId="77777777" w:rsidR="0078495E" w:rsidRDefault="0078495E" w:rsidP="004C7BEF">
            <w:pPr>
              <w:pStyle w:val="ARtabletextright"/>
            </w:pPr>
            <w:r w:rsidRPr="00A20B2D">
              <w:t>−6.5%</w:t>
            </w:r>
          </w:p>
        </w:tc>
        <w:tc>
          <w:tcPr>
            <w:tcW w:w="794" w:type="dxa"/>
            <w:shd w:val="clear" w:color="auto" w:fill="auto"/>
            <w:hideMark/>
          </w:tcPr>
          <w:p w14:paraId="179C72C5" w14:textId="77777777" w:rsidR="0078495E" w:rsidRPr="00D02A2E" w:rsidRDefault="0078495E" w:rsidP="004C7BEF">
            <w:pPr>
              <w:pStyle w:val="ARtableperformancesymbol"/>
              <w:rPr>
                <w:rFonts w:hint="eastAsia"/>
              </w:rPr>
            </w:pPr>
            <w:r w:rsidRPr="00A20B2D">
              <w:t></w:t>
            </w:r>
          </w:p>
        </w:tc>
      </w:tr>
      <w:tr w:rsidR="0078495E" w:rsidRPr="00D02A2E" w14:paraId="58D9F1CF" w14:textId="77777777" w:rsidTr="004C7BEF">
        <w:trPr>
          <w:cantSplit/>
        </w:trPr>
        <w:tc>
          <w:tcPr>
            <w:tcW w:w="9639" w:type="dxa"/>
            <w:gridSpan w:val="6"/>
            <w:tcBorders>
              <w:bottom w:val="single" w:sz="4" w:space="0" w:color="BFBFBF"/>
            </w:tcBorders>
            <w:shd w:val="clear" w:color="auto" w:fill="auto"/>
            <w:noWrap/>
            <w:hideMark/>
          </w:tcPr>
          <w:p w14:paraId="570E40D4" w14:textId="3191D628" w:rsidR="0078495E" w:rsidRPr="00D02A2E" w:rsidRDefault="0078495E" w:rsidP="004C7BEF">
            <w:pPr>
              <w:pStyle w:val="ARtablenoteindent"/>
            </w:pPr>
            <w:r w:rsidRPr="00A20B2D">
              <w:t>The result is lower than target primarily due to the ongoing impact of the COVID-19 pandemic on activities.</w:t>
            </w:r>
          </w:p>
        </w:tc>
      </w:tr>
      <w:tr w:rsidR="0078495E" w:rsidRPr="00D02A2E" w14:paraId="7A67DC28" w14:textId="77777777" w:rsidTr="004C7BEF">
        <w:trPr>
          <w:cantSplit/>
        </w:trPr>
        <w:tc>
          <w:tcPr>
            <w:tcW w:w="9639" w:type="dxa"/>
            <w:gridSpan w:val="6"/>
            <w:tcBorders>
              <w:top w:val="single" w:sz="4" w:space="0" w:color="auto"/>
            </w:tcBorders>
            <w:shd w:val="clear" w:color="auto" w:fill="auto"/>
            <w:hideMark/>
          </w:tcPr>
          <w:p w14:paraId="3C1E8883" w14:textId="77777777" w:rsidR="0078495E" w:rsidRPr="00D02A2E" w:rsidRDefault="0078495E" w:rsidP="004C7BEF">
            <w:pPr>
              <w:pStyle w:val="ARtablegreybold"/>
              <w:rPr>
                <w:rFonts w:ascii="Wingdings" w:hAnsi="Wingdings"/>
              </w:rPr>
            </w:pPr>
            <w:r>
              <w:t>Quality</w:t>
            </w:r>
          </w:p>
        </w:tc>
      </w:tr>
      <w:tr w:rsidR="0078495E" w:rsidRPr="00D02A2E" w14:paraId="26BB5C2B" w14:textId="77777777" w:rsidTr="004C7BEF">
        <w:trPr>
          <w:cantSplit/>
        </w:trPr>
        <w:tc>
          <w:tcPr>
            <w:tcW w:w="4761" w:type="dxa"/>
            <w:tcBorders>
              <w:bottom w:val="single" w:sz="4" w:space="0" w:color="BFBFBF"/>
            </w:tcBorders>
            <w:shd w:val="clear" w:color="auto" w:fill="auto"/>
            <w:hideMark/>
          </w:tcPr>
          <w:p w14:paraId="7D75F12D" w14:textId="77777777" w:rsidR="0078495E" w:rsidRPr="00D02A2E" w:rsidRDefault="0078495E" w:rsidP="004C7BEF">
            <w:pPr>
              <w:pStyle w:val="ARtabletext"/>
            </w:pPr>
            <w:r w:rsidRPr="00D860D1">
              <w:t>Post-acute clients not readmitted to acute hospital</w:t>
            </w:r>
          </w:p>
        </w:tc>
        <w:tc>
          <w:tcPr>
            <w:tcW w:w="1021" w:type="dxa"/>
            <w:tcBorders>
              <w:bottom w:val="single" w:sz="4" w:space="0" w:color="BFBFBF"/>
            </w:tcBorders>
            <w:shd w:val="clear" w:color="auto" w:fill="auto"/>
            <w:hideMark/>
          </w:tcPr>
          <w:p w14:paraId="30B234EC" w14:textId="77777777" w:rsidR="0078495E" w:rsidRPr="00D02A2E" w:rsidRDefault="0078495E" w:rsidP="004C7BEF">
            <w:pPr>
              <w:pStyle w:val="ARtabletextcentre"/>
            </w:pPr>
            <w:r w:rsidRPr="00D860D1">
              <w:t>per cent</w:t>
            </w:r>
          </w:p>
        </w:tc>
        <w:tc>
          <w:tcPr>
            <w:tcW w:w="1021" w:type="dxa"/>
            <w:tcBorders>
              <w:bottom w:val="single" w:sz="4" w:space="0" w:color="BFBFBF"/>
            </w:tcBorders>
            <w:shd w:val="clear" w:color="auto" w:fill="auto"/>
            <w:hideMark/>
          </w:tcPr>
          <w:p w14:paraId="3FA51907" w14:textId="77777777" w:rsidR="0078495E" w:rsidRDefault="0078495E" w:rsidP="004C7BEF">
            <w:pPr>
              <w:pStyle w:val="ARtabletextright"/>
            </w:pPr>
            <w:r w:rsidRPr="00D860D1">
              <w:t>90</w:t>
            </w:r>
          </w:p>
        </w:tc>
        <w:tc>
          <w:tcPr>
            <w:tcW w:w="1021" w:type="dxa"/>
            <w:tcBorders>
              <w:bottom w:val="single" w:sz="4" w:space="0" w:color="BFBFBF"/>
            </w:tcBorders>
            <w:shd w:val="clear" w:color="auto" w:fill="auto"/>
            <w:hideMark/>
          </w:tcPr>
          <w:p w14:paraId="3BBDEC79" w14:textId="77777777" w:rsidR="0078495E" w:rsidRDefault="0078495E" w:rsidP="004C7BEF">
            <w:pPr>
              <w:pStyle w:val="ARtabletextright"/>
            </w:pPr>
            <w:r w:rsidRPr="00D860D1">
              <w:t>93.6</w:t>
            </w:r>
          </w:p>
        </w:tc>
        <w:tc>
          <w:tcPr>
            <w:tcW w:w="1021" w:type="dxa"/>
            <w:tcBorders>
              <w:bottom w:val="single" w:sz="4" w:space="0" w:color="BFBFBF"/>
            </w:tcBorders>
            <w:shd w:val="clear" w:color="auto" w:fill="auto"/>
          </w:tcPr>
          <w:p w14:paraId="0025AA03" w14:textId="77777777" w:rsidR="0078495E" w:rsidRDefault="0078495E" w:rsidP="004C7BEF">
            <w:pPr>
              <w:pStyle w:val="ARtabletextright"/>
            </w:pPr>
            <w:r w:rsidRPr="00D860D1">
              <w:t>4.0%</w:t>
            </w:r>
          </w:p>
        </w:tc>
        <w:tc>
          <w:tcPr>
            <w:tcW w:w="794" w:type="dxa"/>
            <w:tcBorders>
              <w:bottom w:val="single" w:sz="4" w:space="0" w:color="BFBFBF"/>
            </w:tcBorders>
            <w:shd w:val="clear" w:color="auto" w:fill="auto"/>
            <w:hideMark/>
          </w:tcPr>
          <w:p w14:paraId="3FF7F694" w14:textId="77777777" w:rsidR="0078495E" w:rsidRPr="00D02A2E" w:rsidRDefault="0078495E" w:rsidP="004C7BEF">
            <w:pPr>
              <w:pStyle w:val="ARtableperformancesymbol"/>
              <w:rPr>
                <w:rFonts w:hint="eastAsia"/>
              </w:rPr>
            </w:pPr>
            <w:r w:rsidRPr="00D860D1">
              <w:t></w:t>
            </w:r>
          </w:p>
        </w:tc>
      </w:tr>
      <w:tr w:rsidR="0078495E" w:rsidRPr="00D02A2E" w14:paraId="2A1F8B85" w14:textId="77777777" w:rsidTr="004C7BEF">
        <w:trPr>
          <w:cantSplit/>
        </w:trPr>
        <w:tc>
          <w:tcPr>
            <w:tcW w:w="9639" w:type="dxa"/>
            <w:gridSpan w:val="6"/>
            <w:tcBorders>
              <w:top w:val="single" w:sz="4" w:space="0" w:color="auto"/>
            </w:tcBorders>
            <w:shd w:val="clear" w:color="auto" w:fill="auto"/>
            <w:hideMark/>
          </w:tcPr>
          <w:p w14:paraId="7CCB9BA9" w14:textId="77777777" w:rsidR="0078495E" w:rsidRPr="00D02A2E" w:rsidRDefault="0078495E" w:rsidP="004C7BEF">
            <w:pPr>
              <w:pStyle w:val="ARtablegreybold"/>
              <w:rPr>
                <w:rFonts w:ascii="Wingdings" w:hAnsi="Wingdings"/>
              </w:rPr>
            </w:pPr>
            <w:r>
              <w:t>Timeliness</w:t>
            </w:r>
          </w:p>
        </w:tc>
      </w:tr>
      <w:tr w:rsidR="0078495E" w:rsidRPr="00D02A2E" w14:paraId="0B6E6ECC" w14:textId="77777777" w:rsidTr="004C7BEF">
        <w:trPr>
          <w:cantSplit/>
        </w:trPr>
        <w:tc>
          <w:tcPr>
            <w:tcW w:w="4761" w:type="dxa"/>
            <w:shd w:val="clear" w:color="auto" w:fill="auto"/>
            <w:hideMark/>
          </w:tcPr>
          <w:p w14:paraId="1738412A" w14:textId="77777777" w:rsidR="0078495E" w:rsidRPr="00D02A2E" w:rsidRDefault="0078495E" w:rsidP="004C7BEF">
            <w:pPr>
              <w:pStyle w:val="ARtabletext"/>
            </w:pPr>
            <w:r w:rsidRPr="007C1126">
              <w:t>Health Independence Program clients contacted within three days of referral</w:t>
            </w:r>
          </w:p>
        </w:tc>
        <w:tc>
          <w:tcPr>
            <w:tcW w:w="1021" w:type="dxa"/>
            <w:shd w:val="clear" w:color="auto" w:fill="auto"/>
            <w:hideMark/>
          </w:tcPr>
          <w:p w14:paraId="6428A58C" w14:textId="77777777" w:rsidR="0078495E" w:rsidRPr="00D02A2E" w:rsidRDefault="0078495E" w:rsidP="004C7BEF">
            <w:pPr>
              <w:pStyle w:val="ARtabletextcentre"/>
            </w:pPr>
            <w:r w:rsidRPr="007C1126">
              <w:t>per cent</w:t>
            </w:r>
          </w:p>
        </w:tc>
        <w:tc>
          <w:tcPr>
            <w:tcW w:w="1021" w:type="dxa"/>
            <w:shd w:val="clear" w:color="auto" w:fill="auto"/>
            <w:hideMark/>
          </w:tcPr>
          <w:p w14:paraId="0663DC08" w14:textId="77777777" w:rsidR="0078495E" w:rsidRDefault="0078495E" w:rsidP="004C7BEF">
            <w:pPr>
              <w:pStyle w:val="ARtabletextright"/>
            </w:pPr>
            <w:r w:rsidRPr="007C1126">
              <w:t>85</w:t>
            </w:r>
          </w:p>
        </w:tc>
        <w:tc>
          <w:tcPr>
            <w:tcW w:w="1021" w:type="dxa"/>
            <w:shd w:val="clear" w:color="auto" w:fill="auto"/>
            <w:hideMark/>
          </w:tcPr>
          <w:p w14:paraId="3FFCCF29" w14:textId="77777777" w:rsidR="0078495E" w:rsidRDefault="0078495E" w:rsidP="004C7BEF">
            <w:pPr>
              <w:pStyle w:val="ARtabletextright"/>
            </w:pPr>
            <w:r w:rsidRPr="007C1126">
              <w:t>89.7</w:t>
            </w:r>
          </w:p>
        </w:tc>
        <w:tc>
          <w:tcPr>
            <w:tcW w:w="1021" w:type="dxa"/>
            <w:shd w:val="clear" w:color="auto" w:fill="auto"/>
          </w:tcPr>
          <w:p w14:paraId="60A430D5" w14:textId="77777777" w:rsidR="0078495E" w:rsidRDefault="0078495E" w:rsidP="004C7BEF">
            <w:pPr>
              <w:pStyle w:val="ARtabletextright"/>
            </w:pPr>
            <w:r w:rsidRPr="007C1126">
              <w:t>5.5%</w:t>
            </w:r>
          </w:p>
        </w:tc>
        <w:tc>
          <w:tcPr>
            <w:tcW w:w="794" w:type="dxa"/>
            <w:shd w:val="clear" w:color="auto" w:fill="auto"/>
            <w:hideMark/>
          </w:tcPr>
          <w:p w14:paraId="15F24C86" w14:textId="77777777" w:rsidR="0078495E" w:rsidRPr="00D02A2E" w:rsidRDefault="0078495E" w:rsidP="004C7BEF">
            <w:pPr>
              <w:pStyle w:val="ARtableperformancesymbol"/>
              <w:rPr>
                <w:rFonts w:hint="eastAsia"/>
              </w:rPr>
            </w:pPr>
            <w:r w:rsidRPr="007C1126">
              <w:t></w:t>
            </w:r>
          </w:p>
        </w:tc>
      </w:tr>
      <w:tr w:rsidR="006B0762" w:rsidRPr="00D02A2E" w14:paraId="1DD051EB" w14:textId="77777777" w:rsidTr="008340C1">
        <w:trPr>
          <w:cantSplit/>
        </w:trPr>
        <w:tc>
          <w:tcPr>
            <w:tcW w:w="9639" w:type="dxa"/>
            <w:gridSpan w:val="6"/>
            <w:shd w:val="clear" w:color="auto" w:fill="auto"/>
          </w:tcPr>
          <w:p w14:paraId="3428D717" w14:textId="12EB61DD" w:rsidR="006B0762" w:rsidRPr="007C1126" w:rsidRDefault="00455E66" w:rsidP="006B0762">
            <w:pPr>
              <w:pStyle w:val="ARtablenoteindent"/>
            </w:pPr>
            <w:r>
              <w:t>Th</w:t>
            </w:r>
            <w:r w:rsidR="007A55BE">
              <w:t xml:space="preserve">is result is </w:t>
            </w:r>
            <w:r w:rsidR="00C30A0E">
              <w:t xml:space="preserve">an estimate </w:t>
            </w:r>
            <w:r w:rsidR="0030011A">
              <w:t>as the</w:t>
            </w:r>
            <w:r w:rsidR="00BA382E">
              <w:t xml:space="preserve"> source</w:t>
            </w:r>
            <w:r w:rsidR="0030011A">
              <w:t xml:space="preserve"> dataset</w:t>
            </w:r>
            <w:r w:rsidR="00BA382E">
              <w:t xml:space="preserve"> is yet to be finalised.</w:t>
            </w:r>
            <w:r w:rsidR="0030011A">
              <w:t xml:space="preserve"> </w:t>
            </w:r>
          </w:p>
        </w:tc>
      </w:tr>
      <w:tr w:rsidR="0078495E" w:rsidRPr="00D02A2E" w14:paraId="7C5974C0" w14:textId="77777777" w:rsidTr="004C7BEF">
        <w:trPr>
          <w:cantSplit/>
        </w:trPr>
        <w:tc>
          <w:tcPr>
            <w:tcW w:w="9639" w:type="dxa"/>
            <w:gridSpan w:val="6"/>
            <w:tcBorders>
              <w:top w:val="single" w:sz="4" w:space="0" w:color="auto"/>
            </w:tcBorders>
            <w:shd w:val="clear" w:color="auto" w:fill="auto"/>
            <w:hideMark/>
          </w:tcPr>
          <w:p w14:paraId="269D51D7" w14:textId="77777777" w:rsidR="0078495E" w:rsidRPr="00D02A2E" w:rsidRDefault="0078495E" w:rsidP="004C7BEF">
            <w:pPr>
              <w:pStyle w:val="ARtablegreybold"/>
              <w:rPr>
                <w:rFonts w:ascii="Wingdings" w:hAnsi="Wingdings"/>
              </w:rPr>
            </w:pPr>
            <w:r w:rsidRPr="007C1126">
              <w:t>Cost</w:t>
            </w:r>
          </w:p>
        </w:tc>
      </w:tr>
      <w:tr w:rsidR="0078495E" w:rsidRPr="00DA5861" w14:paraId="062067CB" w14:textId="77777777" w:rsidTr="004C7BEF">
        <w:trPr>
          <w:cantSplit/>
        </w:trPr>
        <w:tc>
          <w:tcPr>
            <w:tcW w:w="4761" w:type="dxa"/>
            <w:shd w:val="clear" w:color="auto" w:fill="auto"/>
            <w:hideMark/>
          </w:tcPr>
          <w:p w14:paraId="0EE0ED2D" w14:textId="77777777" w:rsidR="0078495E" w:rsidRPr="00DA5861" w:rsidRDefault="0078495E" w:rsidP="004C7BEF">
            <w:pPr>
              <w:pStyle w:val="ARtabletext"/>
              <w:rPr>
                <w:b/>
                <w:bCs/>
              </w:rPr>
            </w:pPr>
            <w:r w:rsidRPr="00DA5861">
              <w:rPr>
                <w:b/>
                <w:bCs/>
              </w:rPr>
              <w:t>Total Output Cost</w:t>
            </w:r>
          </w:p>
        </w:tc>
        <w:tc>
          <w:tcPr>
            <w:tcW w:w="1021" w:type="dxa"/>
            <w:shd w:val="clear" w:color="auto" w:fill="auto"/>
            <w:hideMark/>
          </w:tcPr>
          <w:p w14:paraId="65F7A1C0" w14:textId="77777777" w:rsidR="0078495E" w:rsidRPr="00DA5861" w:rsidRDefault="0078495E" w:rsidP="004C7BEF">
            <w:pPr>
              <w:pStyle w:val="ARtabletextcentre"/>
              <w:rPr>
                <w:b/>
                <w:bCs/>
              </w:rPr>
            </w:pPr>
            <w:r w:rsidRPr="00DA5861">
              <w:rPr>
                <w:b/>
                <w:bCs/>
              </w:rPr>
              <w:t>$ million</w:t>
            </w:r>
          </w:p>
        </w:tc>
        <w:tc>
          <w:tcPr>
            <w:tcW w:w="1021" w:type="dxa"/>
            <w:shd w:val="clear" w:color="auto" w:fill="auto"/>
            <w:hideMark/>
          </w:tcPr>
          <w:p w14:paraId="68052AC0" w14:textId="77777777" w:rsidR="0078495E" w:rsidRPr="00DA5861" w:rsidRDefault="0078495E" w:rsidP="004C7BEF">
            <w:pPr>
              <w:pStyle w:val="ARtabletextright"/>
              <w:rPr>
                <w:b/>
                <w:bCs/>
              </w:rPr>
            </w:pPr>
            <w:r w:rsidRPr="00DA5861">
              <w:rPr>
                <w:b/>
                <w:bCs/>
              </w:rPr>
              <w:t>2,208.8</w:t>
            </w:r>
          </w:p>
        </w:tc>
        <w:tc>
          <w:tcPr>
            <w:tcW w:w="1021" w:type="dxa"/>
            <w:shd w:val="clear" w:color="auto" w:fill="auto"/>
            <w:hideMark/>
          </w:tcPr>
          <w:p w14:paraId="2945E616" w14:textId="77777777" w:rsidR="0078495E" w:rsidRPr="00DA5861" w:rsidRDefault="0078495E" w:rsidP="004C7BEF">
            <w:pPr>
              <w:pStyle w:val="ARtabletextright"/>
              <w:rPr>
                <w:b/>
                <w:bCs/>
              </w:rPr>
            </w:pPr>
            <w:r w:rsidRPr="00DA5861">
              <w:rPr>
                <w:b/>
                <w:bCs/>
              </w:rPr>
              <w:t>1,959.9</w:t>
            </w:r>
          </w:p>
        </w:tc>
        <w:tc>
          <w:tcPr>
            <w:tcW w:w="1021" w:type="dxa"/>
            <w:shd w:val="clear" w:color="auto" w:fill="auto"/>
          </w:tcPr>
          <w:p w14:paraId="7998A7C4" w14:textId="77777777" w:rsidR="0078495E" w:rsidRPr="00DA5861" w:rsidRDefault="0078495E" w:rsidP="004C7BEF">
            <w:pPr>
              <w:pStyle w:val="ARtabletextright"/>
              <w:rPr>
                <w:b/>
                <w:bCs/>
              </w:rPr>
            </w:pPr>
            <w:r w:rsidRPr="00DA5861">
              <w:rPr>
                <w:b/>
                <w:bCs/>
              </w:rPr>
              <w:t>−11.3%</w:t>
            </w:r>
          </w:p>
        </w:tc>
        <w:tc>
          <w:tcPr>
            <w:tcW w:w="794" w:type="dxa"/>
            <w:shd w:val="clear" w:color="auto" w:fill="auto"/>
            <w:hideMark/>
          </w:tcPr>
          <w:p w14:paraId="7068F8DF" w14:textId="77777777" w:rsidR="0078495E" w:rsidRPr="00DA5861" w:rsidRDefault="0078495E" w:rsidP="004C7BEF">
            <w:pPr>
              <w:pStyle w:val="ARtabletextright"/>
              <w:rPr>
                <w:b/>
                <w:bCs/>
              </w:rPr>
            </w:pPr>
          </w:p>
        </w:tc>
      </w:tr>
      <w:tr w:rsidR="0078495E" w:rsidRPr="00D02A2E" w14:paraId="769BA9F1" w14:textId="77777777" w:rsidTr="004C7BEF">
        <w:trPr>
          <w:cantSplit/>
        </w:trPr>
        <w:tc>
          <w:tcPr>
            <w:tcW w:w="9639" w:type="dxa"/>
            <w:gridSpan w:val="6"/>
            <w:tcBorders>
              <w:bottom w:val="single" w:sz="4" w:space="0" w:color="auto"/>
            </w:tcBorders>
            <w:shd w:val="clear" w:color="auto" w:fill="auto"/>
            <w:noWrap/>
            <w:hideMark/>
          </w:tcPr>
          <w:p w14:paraId="243A9610" w14:textId="60C33059" w:rsidR="0078495E" w:rsidRPr="00D02A2E" w:rsidRDefault="0078495E" w:rsidP="004C7BEF">
            <w:pPr>
              <w:pStyle w:val="ARtablenoteindent"/>
            </w:pPr>
            <w:r w:rsidRPr="007C1126">
              <w:t xml:space="preserve">The 2021–22 actual outcome relates to realignment of funding to Admitted Services related to the transition to the Commonwealth price model. </w:t>
            </w:r>
            <w:r w:rsidRPr="0054543E">
              <w:t>This is offset by</w:t>
            </w:r>
            <w:r w:rsidR="0054543E">
              <w:t xml:space="preserve"> </w:t>
            </w:r>
            <w:r w:rsidR="00494789">
              <w:t>funding increase</w:t>
            </w:r>
            <w:r w:rsidR="001A4FD9">
              <w:t>s in</w:t>
            </w:r>
            <w:r w:rsidR="0054543E" w:rsidRPr="000C6C33">
              <w:t xml:space="preserve"> </w:t>
            </w:r>
            <w:r w:rsidRPr="0054543E">
              <w:t>government policy initiatives and higher</w:t>
            </w:r>
            <w:r w:rsidRPr="007C1126">
              <w:t xml:space="preserve"> than expected own</w:t>
            </w:r>
            <w:r w:rsidR="001C7FAA">
              <w:t> </w:t>
            </w:r>
            <w:r w:rsidRPr="007C1126">
              <w:t>source revenue in health services.</w:t>
            </w:r>
          </w:p>
        </w:tc>
      </w:tr>
    </w:tbl>
    <w:p w14:paraId="08009A4C" w14:textId="77777777" w:rsidR="00355D7B" w:rsidRPr="00355D7B" w:rsidRDefault="00355D7B" w:rsidP="00355D7B">
      <w:pPr>
        <w:pStyle w:val="ARbody"/>
      </w:pPr>
      <w:r w:rsidRPr="00355D7B">
        <w:br w:type="page"/>
      </w:r>
    </w:p>
    <w:p w14:paraId="6962F6D3" w14:textId="068A703D" w:rsidR="0078495E" w:rsidRDefault="0078495E" w:rsidP="00306875">
      <w:pPr>
        <w:pStyle w:val="Heading4"/>
        <w:spacing w:before="400"/>
      </w:pPr>
      <w:r>
        <w:t>Emergency Services</w:t>
      </w:r>
    </w:p>
    <w:p w14:paraId="521875BD" w14:textId="33982CC8" w:rsidR="0078495E" w:rsidRDefault="000C423D" w:rsidP="0078495E">
      <w:pPr>
        <w:pStyle w:val="ARbody"/>
      </w:pPr>
      <w:r w:rsidRPr="000C423D">
        <w:t>This output relates to emergency presentations at reporting hospitals with emergency departments.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05BBFCE0" w14:textId="77777777" w:rsidTr="004C7BEF">
        <w:trPr>
          <w:cantSplit/>
          <w:tblHeader/>
        </w:trPr>
        <w:tc>
          <w:tcPr>
            <w:tcW w:w="4761" w:type="dxa"/>
            <w:tcBorders>
              <w:bottom w:val="single" w:sz="4" w:space="0" w:color="auto"/>
            </w:tcBorders>
            <w:shd w:val="clear" w:color="auto" w:fill="auto"/>
            <w:vAlign w:val="bottom"/>
            <w:hideMark/>
          </w:tcPr>
          <w:p w14:paraId="14A3E268"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6E317CE1"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7B90C06A"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7B32AC4C"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6208E14F"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09B87DBA" w14:textId="77777777" w:rsidR="0078495E" w:rsidRPr="00F72126" w:rsidRDefault="0078495E" w:rsidP="004C7BEF">
            <w:pPr>
              <w:pStyle w:val="ARtablecolheadright"/>
            </w:pPr>
            <w:r w:rsidRPr="00F72126">
              <w:t>Result</w:t>
            </w:r>
          </w:p>
        </w:tc>
      </w:tr>
      <w:tr w:rsidR="0078495E" w:rsidRPr="00D02A2E" w14:paraId="257CDB18" w14:textId="77777777" w:rsidTr="004C7BEF">
        <w:trPr>
          <w:cantSplit/>
        </w:trPr>
        <w:tc>
          <w:tcPr>
            <w:tcW w:w="9639" w:type="dxa"/>
            <w:gridSpan w:val="6"/>
            <w:tcBorders>
              <w:top w:val="single" w:sz="4" w:space="0" w:color="auto"/>
            </w:tcBorders>
            <w:shd w:val="clear" w:color="auto" w:fill="auto"/>
            <w:hideMark/>
          </w:tcPr>
          <w:p w14:paraId="17E0C89D" w14:textId="77777777" w:rsidR="0078495E" w:rsidRPr="00D02A2E" w:rsidRDefault="0078495E" w:rsidP="004C7BEF">
            <w:pPr>
              <w:pStyle w:val="ARtablegreybold"/>
              <w:rPr>
                <w:rFonts w:ascii="Wingdings" w:hAnsi="Wingdings"/>
              </w:rPr>
            </w:pPr>
            <w:r w:rsidRPr="007A45E9">
              <w:t>Quantity</w:t>
            </w:r>
          </w:p>
        </w:tc>
      </w:tr>
      <w:tr w:rsidR="0078495E" w:rsidRPr="00D02A2E" w14:paraId="2C854FC4" w14:textId="77777777" w:rsidTr="004C7BEF">
        <w:trPr>
          <w:cantSplit/>
        </w:trPr>
        <w:tc>
          <w:tcPr>
            <w:tcW w:w="4761" w:type="dxa"/>
            <w:tcBorders>
              <w:bottom w:val="single" w:sz="4" w:space="0" w:color="BFBFBF"/>
            </w:tcBorders>
            <w:shd w:val="clear" w:color="auto" w:fill="auto"/>
            <w:hideMark/>
          </w:tcPr>
          <w:p w14:paraId="41EDFA11" w14:textId="77777777" w:rsidR="0078495E" w:rsidRPr="00D02A2E" w:rsidRDefault="0078495E" w:rsidP="004C7BEF">
            <w:pPr>
              <w:pStyle w:val="ARtabletext"/>
            </w:pPr>
            <w:r w:rsidRPr="00717FFB">
              <w:t>Emergency presentations</w:t>
            </w:r>
          </w:p>
        </w:tc>
        <w:tc>
          <w:tcPr>
            <w:tcW w:w="1021" w:type="dxa"/>
            <w:tcBorders>
              <w:bottom w:val="single" w:sz="4" w:space="0" w:color="BFBFBF"/>
            </w:tcBorders>
            <w:shd w:val="clear" w:color="auto" w:fill="auto"/>
            <w:hideMark/>
          </w:tcPr>
          <w:p w14:paraId="619F298D" w14:textId="77777777" w:rsidR="0078495E" w:rsidRPr="00D02A2E" w:rsidRDefault="0078495E" w:rsidP="004C7BEF">
            <w:pPr>
              <w:pStyle w:val="ARtabletextcentre"/>
            </w:pPr>
            <w:r w:rsidRPr="00717FFB">
              <w:t>number (thousand)</w:t>
            </w:r>
          </w:p>
        </w:tc>
        <w:tc>
          <w:tcPr>
            <w:tcW w:w="1021" w:type="dxa"/>
            <w:tcBorders>
              <w:bottom w:val="single" w:sz="4" w:space="0" w:color="BFBFBF"/>
            </w:tcBorders>
            <w:shd w:val="clear" w:color="auto" w:fill="auto"/>
            <w:hideMark/>
          </w:tcPr>
          <w:p w14:paraId="3209FC16" w14:textId="77777777" w:rsidR="0078495E" w:rsidRDefault="0078495E" w:rsidP="004C7BEF">
            <w:pPr>
              <w:pStyle w:val="ARtabletextright"/>
            </w:pPr>
            <w:r w:rsidRPr="00717FFB">
              <w:t>1,944</w:t>
            </w:r>
          </w:p>
        </w:tc>
        <w:tc>
          <w:tcPr>
            <w:tcW w:w="1021" w:type="dxa"/>
            <w:tcBorders>
              <w:bottom w:val="single" w:sz="4" w:space="0" w:color="BFBFBF"/>
            </w:tcBorders>
            <w:shd w:val="clear" w:color="auto" w:fill="auto"/>
            <w:hideMark/>
          </w:tcPr>
          <w:p w14:paraId="4418A71E" w14:textId="77777777" w:rsidR="0078495E" w:rsidRDefault="0078495E" w:rsidP="004C7BEF">
            <w:pPr>
              <w:pStyle w:val="ARtabletextright"/>
            </w:pPr>
            <w:r w:rsidRPr="00717FFB">
              <w:t>1,856</w:t>
            </w:r>
          </w:p>
        </w:tc>
        <w:tc>
          <w:tcPr>
            <w:tcW w:w="1021" w:type="dxa"/>
            <w:tcBorders>
              <w:bottom w:val="single" w:sz="4" w:space="0" w:color="BFBFBF"/>
            </w:tcBorders>
            <w:shd w:val="clear" w:color="auto" w:fill="auto"/>
          </w:tcPr>
          <w:p w14:paraId="00CFFC8C" w14:textId="77777777" w:rsidR="0078495E" w:rsidRDefault="0078495E" w:rsidP="004C7BEF">
            <w:pPr>
              <w:pStyle w:val="ARtabletextright"/>
            </w:pPr>
            <w:r w:rsidRPr="00717FFB">
              <w:t>−4.5%</w:t>
            </w:r>
          </w:p>
        </w:tc>
        <w:tc>
          <w:tcPr>
            <w:tcW w:w="794" w:type="dxa"/>
            <w:tcBorders>
              <w:bottom w:val="single" w:sz="4" w:space="0" w:color="BFBFBF"/>
            </w:tcBorders>
            <w:shd w:val="clear" w:color="auto" w:fill="auto"/>
            <w:hideMark/>
          </w:tcPr>
          <w:p w14:paraId="461847BF" w14:textId="77777777" w:rsidR="0078495E" w:rsidRPr="00D02A2E" w:rsidRDefault="0078495E" w:rsidP="004C7BEF">
            <w:pPr>
              <w:pStyle w:val="ARtableperformancesymbol"/>
              <w:rPr>
                <w:rFonts w:hint="eastAsia"/>
              </w:rPr>
            </w:pPr>
            <w:r w:rsidRPr="00717FFB">
              <w:t></w:t>
            </w:r>
          </w:p>
        </w:tc>
      </w:tr>
      <w:tr w:rsidR="0078495E" w:rsidRPr="00D02A2E" w14:paraId="3EC189F4" w14:textId="77777777" w:rsidTr="004C7BEF">
        <w:trPr>
          <w:cantSplit/>
        </w:trPr>
        <w:tc>
          <w:tcPr>
            <w:tcW w:w="4761" w:type="dxa"/>
            <w:tcBorders>
              <w:top w:val="single" w:sz="4" w:space="0" w:color="BFBFBF"/>
            </w:tcBorders>
            <w:shd w:val="clear" w:color="auto" w:fill="auto"/>
            <w:hideMark/>
          </w:tcPr>
          <w:p w14:paraId="1151EE4B" w14:textId="77777777" w:rsidR="0078495E" w:rsidRPr="00D02A2E" w:rsidRDefault="0078495E" w:rsidP="006209FA">
            <w:pPr>
              <w:pStyle w:val="ARtabletext"/>
              <w:keepNext/>
            </w:pPr>
            <w:r w:rsidRPr="00717FFB">
              <w:t>Emergency patients that did not wait for treatment</w:t>
            </w:r>
          </w:p>
        </w:tc>
        <w:tc>
          <w:tcPr>
            <w:tcW w:w="1021" w:type="dxa"/>
            <w:tcBorders>
              <w:top w:val="single" w:sz="4" w:space="0" w:color="BFBFBF"/>
            </w:tcBorders>
            <w:shd w:val="clear" w:color="auto" w:fill="auto"/>
            <w:hideMark/>
          </w:tcPr>
          <w:p w14:paraId="0F2F6FCB" w14:textId="77777777" w:rsidR="0078495E" w:rsidRPr="00D02A2E" w:rsidRDefault="0078495E" w:rsidP="004C7BEF">
            <w:pPr>
              <w:pStyle w:val="ARtabletextcentre"/>
            </w:pPr>
            <w:r w:rsidRPr="00717FFB">
              <w:t>per cent</w:t>
            </w:r>
          </w:p>
        </w:tc>
        <w:tc>
          <w:tcPr>
            <w:tcW w:w="1021" w:type="dxa"/>
            <w:tcBorders>
              <w:top w:val="single" w:sz="4" w:space="0" w:color="BFBFBF"/>
            </w:tcBorders>
            <w:shd w:val="clear" w:color="auto" w:fill="auto"/>
            <w:hideMark/>
          </w:tcPr>
          <w:p w14:paraId="29E0693B" w14:textId="77777777" w:rsidR="0078495E" w:rsidRDefault="0078495E" w:rsidP="004C7BEF">
            <w:pPr>
              <w:pStyle w:val="ARtabletextright"/>
            </w:pPr>
            <w:r w:rsidRPr="00717FFB">
              <w:t>&lt;5</w:t>
            </w:r>
          </w:p>
        </w:tc>
        <w:tc>
          <w:tcPr>
            <w:tcW w:w="1021" w:type="dxa"/>
            <w:tcBorders>
              <w:top w:val="single" w:sz="4" w:space="0" w:color="BFBFBF"/>
            </w:tcBorders>
            <w:shd w:val="clear" w:color="auto" w:fill="auto"/>
            <w:hideMark/>
          </w:tcPr>
          <w:p w14:paraId="2131D5E6" w14:textId="77777777" w:rsidR="0078495E" w:rsidRDefault="0078495E" w:rsidP="004C7BEF">
            <w:pPr>
              <w:pStyle w:val="ARtabletextright"/>
            </w:pPr>
            <w:r w:rsidRPr="00717FFB">
              <w:t>5.9</w:t>
            </w:r>
          </w:p>
        </w:tc>
        <w:tc>
          <w:tcPr>
            <w:tcW w:w="1021" w:type="dxa"/>
            <w:tcBorders>
              <w:top w:val="single" w:sz="4" w:space="0" w:color="BFBFBF"/>
            </w:tcBorders>
            <w:shd w:val="clear" w:color="auto" w:fill="auto"/>
          </w:tcPr>
          <w:p w14:paraId="0FE7ADC0" w14:textId="77777777" w:rsidR="0078495E" w:rsidRDefault="0078495E" w:rsidP="004C7BEF">
            <w:pPr>
              <w:pStyle w:val="ARtabletextright"/>
            </w:pPr>
            <w:r w:rsidRPr="00717FFB">
              <w:t>18.0%</w:t>
            </w:r>
          </w:p>
        </w:tc>
        <w:tc>
          <w:tcPr>
            <w:tcW w:w="794" w:type="dxa"/>
            <w:tcBorders>
              <w:top w:val="single" w:sz="4" w:space="0" w:color="BFBFBF"/>
            </w:tcBorders>
            <w:shd w:val="clear" w:color="auto" w:fill="auto"/>
            <w:hideMark/>
          </w:tcPr>
          <w:p w14:paraId="46016662" w14:textId="77777777" w:rsidR="0078495E" w:rsidRPr="00D02A2E" w:rsidRDefault="0078495E" w:rsidP="004C7BEF">
            <w:pPr>
              <w:pStyle w:val="ARtableperformancesymbol"/>
              <w:rPr>
                <w:rFonts w:hint="eastAsia"/>
              </w:rPr>
            </w:pPr>
            <w:r w:rsidRPr="00717FFB">
              <w:t></w:t>
            </w:r>
          </w:p>
        </w:tc>
      </w:tr>
      <w:tr w:rsidR="0078495E" w:rsidRPr="00D02A2E" w14:paraId="316F6D47" w14:textId="77777777" w:rsidTr="004C7BEF">
        <w:trPr>
          <w:cantSplit/>
        </w:trPr>
        <w:tc>
          <w:tcPr>
            <w:tcW w:w="9639" w:type="dxa"/>
            <w:gridSpan w:val="6"/>
            <w:tcBorders>
              <w:bottom w:val="single" w:sz="4" w:space="0" w:color="BFBFBF"/>
            </w:tcBorders>
            <w:shd w:val="clear" w:color="auto" w:fill="auto"/>
            <w:noWrap/>
            <w:hideMark/>
          </w:tcPr>
          <w:p w14:paraId="21D63301" w14:textId="421604E6" w:rsidR="0078495E" w:rsidRPr="00D02A2E" w:rsidRDefault="0078495E" w:rsidP="004C7BEF">
            <w:pPr>
              <w:pStyle w:val="ARtablenoteindent"/>
            </w:pPr>
            <w:r w:rsidRPr="00717FFB">
              <w:t xml:space="preserve">The result is higher than target (negative result) which may be due to an increase in the average waiting time for </w:t>
            </w:r>
            <w:r w:rsidR="005D4792">
              <w:t>e</w:t>
            </w:r>
            <w:r w:rsidRPr="00717FFB">
              <w:t>mergency patients due to impacts arising from the COVID-19 pandemic</w:t>
            </w:r>
            <w:r w:rsidR="00435AFF">
              <w:t>,</w:t>
            </w:r>
            <w:r w:rsidRPr="00717FFB">
              <w:t xml:space="preserve"> including changes in patient complexity, heightened infection control practices and significant workforce impacts.</w:t>
            </w:r>
          </w:p>
        </w:tc>
      </w:tr>
      <w:tr w:rsidR="0078495E" w:rsidRPr="00D02A2E" w14:paraId="4D9F9947" w14:textId="77777777" w:rsidTr="004C7BEF">
        <w:trPr>
          <w:cantSplit/>
        </w:trPr>
        <w:tc>
          <w:tcPr>
            <w:tcW w:w="4761" w:type="dxa"/>
            <w:tcBorders>
              <w:top w:val="single" w:sz="4" w:space="0" w:color="BFBFBF"/>
              <w:bottom w:val="single" w:sz="4" w:space="0" w:color="BFBFBF"/>
            </w:tcBorders>
            <w:shd w:val="clear" w:color="auto" w:fill="auto"/>
            <w:hideMark/>
          </w:tcPr>
          <w:p w14:paraId="1AC01450" w14:textId="77777777" w:rsidR="0078495E" w:rsidRPr="00D02A2E" w:rsidRDefault="0078495E" w:rsidP="004C7BEF">
            <w:pPr>
              <w:pStyle w:val="ARtabletext"/>
            </w:pPr>
            <w:r w:rsidRPr="00717FFB">
              <w:t>Emergency patients re-presenting to the emergency department within 48 hours of previous presentation</w:t>
            </w:r>
          </w:p>
        </w:tc>
        <w:tc>
          <w:tcPr>
            <w:tcW w:w="1021" w:type="dxa"/>
            <w:tcBorders>
              <w:top w:val="single" w:sz="4" w:space="0" w:color="BFBFBF"/>
              <w:bottom w:val="single" w:sz="4" w:space="0" w:color="BFBFBF"/>
            </w:tcBorders>
            <w:shd w:val="clear" w:color="auto" w:fill="auto"/>
            <w:hideMark/>
          </w:tcPr>
          <w:p w14:paraId="55D7FA88" w14:textId="77777777" w:rsidR="0078495E" w:rsidRPr="00D02A2E" w:rsidRDefault="0078495E" w:rsidP="004C7BEF">
            <w:pPr>
              <w:pStyle w:val="ARtabletextcentre"/>
            </w:pPr>
            <w:r w:rsidRPr="00717FFB">
              <w:t>per cent</w:t>
            </w:r>
          </w:p>
        </w:tc>
        <w:tc>
          <w:tcPr>
            <w:tcW w:w="1021" w:type="dxa"/>
            <w:tcBorders>
              <w:top w:val="single" w:sz="4" w:space="0" w:color="BFBFBF"/>
              <w:bottom w:val="single" w:sz="4" w:space="0" w:color="BFBFBF"/>
            </w:tcBorders>
            <w:shd w:val="clear" w:color="auto" w:fill="auto"/>
            <w:hideMark/>
          </w:tcPr>
          <w:p w14:paraId="59B31975" w14:textId="77777777" w:rsidR="0078495E" w:rsidRDefault="0078495E" w:rsidP="004C7BEF">
            <w:pPr>
              <w:pStyle w:val="ARtabletextright"/>
            </w:pPr>
            <w:r w:rsidRPr="00717FFB">
              <w:t>&lt;6</w:t>
            </w:r>
          </w:p>
        </w:tc>
        <w:tc>
          <w:tcPr>
            <w:tcW w:w="1021" w:type="dxa"/>
            <w:tcBorders>
              <w:top w:val="single" w:sz="4" w:space="0" w:color="BFBFBF"/>
              <w:bottom w:val="single" w:sz="4" w:space="0" w:color="BFBFBF"/>
            </w:tcBorders>
            <w:shd w:val="clear" w:color="auto" w:fill="auto"/>
            <w:hideMark/>
          </w:tcPr>
          <w:p w14:paraId="46E4867A" w14:textId="77777777" w:rsidR="0078495E" w:rsidRDefault="0078495E" w:rsidP="004C7BEF">
            <w:pPr>
              <w:pStyle w:val="ARtabletextright"/>
            </w:pPr>
            <w:r w:rsidRPr="00717FFB">
              <w:t>5.9</w:t>
            </w:r>
          </w:p>
        </w:tc>
        <w:tc>
          <w:tcPr>
            <w:tcW w:w="1021" w:type="dxa"/>
            <w:tcBorders>
              <w:top w:val="single" w:sz="4" w:space="0" w:color="BFBFBF"/>
              <w:bottom w:val="single" w:sz="4" w:space="0" w:color="BFBFBF"/>
            </w:tcBorders>
            <w:shd w:val="clear" w:color="auto" w:fill="auto"/>
          </w:tcPr>
          <w:p w14:paraId="4807E284" w14:textId="77777777" w:rsidR="0078495E" w:rsidRDefault="0078495E" w:rsidP="004C7BEF">
            <w:pPr>
              <w:pStyle w:val="ARtabletextright"/>
            </w:pPr>
            <w:r w:rsidRPr="00717FFB">
              <w:t>−1.7%</w:t>
            </w:r>
          </w:p>
        </w:tc>
        <w:tc>
          <w:tcPr>
            <w:tcW w:w="794" w:type="dxa"/>
            <w:tcBorders>
              <w:top w:val="single" w:sz="4" w:space="0" w:color="BFBFBF"/>
              <w:bottom w:val="single" w:sz="4" w:space="0" w:color="BFBFBF"/>
            </w:tcBorders>
            <w:shd w:val="clear" w:color="auto" w:fill="auto"/>
            <w:hideMark/>
          </w:tcPr>
          <w:p w14:paraId="7189C6E1" w14:textId="77777777" w:rsidR="0078495E" w:rsidRPr="00D02A2E" w:rsidRDefault="0078495E" w:rsidP="004C7BEF">
            <w:pPr>
              <w:pStyle w:val="ARtableperformancesymbol"/>
              <w:rPr>
                <w:rFonts w:hint="eastAsia"/>
              </w:rPr>
            </w:pPr>
            <w:r w:rsidRPr="00717FFB">
              <w:t></w:t>
            </w:r>
          </w:p>
        </w:tc>
      </w:tr>
      <w:tr w:rsidR="0078495E" w:rsidRPr="00D02A2E" w14:paraId="0065012D" w14:textId="77777777" w:rsidTr="004C7BEF">
        <w:trPr>
          <w:cantSplit/>
        </w:trPr>
        <w:tc>
          <w:tcPr>
            <w:tcW w:w="4761" w:type="dxa"/>
            <w:tcBorders>
              <w:top w:val="single" w:sz="4" w:space="0" w:color="BFBFBF"/>
            </w:tcBorders>
            <w:shd w:val="clear" w:color="auto" w:fill="auto"/>
            <w:hideMark/>
          </w:tcPr>
          <w:p w14:paraId="7EC81613" w14:textId="77777777" w:rsidR="0078495E" w:rsidRPr="00D02A2E" w:rsidRDefault="0078495E" w:rsidP="004C7BEF">
            <w:pPr>
              <w:pStyle w:val="ARtabletext"/>
            </w:pPr>
            <w:r w:rsidRPr="00717FFB">
              <w:t>Patients’ experience of emergency department care</w:t>
            </w:r>
          </w:p>
        </w:tc>
        <w:tc>
          <w:tcPr>
            <w:tcW w:w="1021" w:type="dxa"/>
            <w:tcBorders>
              <w:top w:val="single" w:sz="4" w:space="0" w:color="BFBFBF"/>
            </w:tcBorders>
            <w:shd w:val="clear" w:color="auto" w:fill="auto"/>
            <w:hideMark/>
          </w:tcPr>
          <w:p w14:paraId="5D03DC93" w14:textId="77777777" w:rsidR="0078495E" w:rsidRPr="00D02A2E" w:rsidRDefault="0078495E" w:rsidP="004C7BEF">
            <w:pPr>
              <w:pStyle w:val="ARtabletextcentre"/>
            </w:pPr>
            <w:r w:rsidRPr="00717FFB">
              <w:t>per cent</w:t>
            </w:r>
          </w:p>
        </w:tc>
        <w:tc>
          <w:tcPr>
            <w:tcW w:w="1021" w:type="dxa"/>
            <w:tcBorders>
              <w:top w:val="single" w:sz="4" w:space="0" w:color="BFBFBF"/>
            </w:tcBorders>
            <w:shd w:val="clear" w:color="auto" w:fill="auto"/>
            <w:hideMark/>
          </w:tcPr>
          <w:p w14:paraId="7831CF09" w14:textId="77777777" w:rsidR="0078495E" w:rsidRDefault="0078495E" w:rsidP="004C7BEF">
            <w:pPr>
              <w:pStyle w:val="ARtabletextright"/>
            </w:pPr>
            <w:r w:rsidRPr="00717FFB">
              <w:t>85</w:t>
            </w:r>
          </w:p>
        </w:tc>
        <w:tc>
          <w:tcPr>
            <w:tcW w:w="1021" w:type="dxa"/>
            <w:tcBorders>
              <w:top w:val="single" w:sz="4" w:space="0" w:color="BFBFBF"/>
            </w:tcBorders>
            <w:shd w:val="clear" w:color="auto" w:fill="auto"/>
            <w:hideMark/>
          </w:tcPr>
          <w:p w14:paraId="29E09218" w14:textId="77777777" w:rsidR="0078495E" w:rsidRDefault="0078495E" w:rsidP="004C7BEF">
            <w:pPr>
              <w:pStyle w:val="ARtabletextright"/>
            </w:pPr>
            <w:r w:rsidRPr="00717FFB">
              <w:t>73</w:t>
            </w:r>
          </w:p>
        </w:tc>
        <w:tc>
          <w:tcPr>
            <w:tcW w:w="1021" w:type="dxa"/>
            <w:tcBorders>
              <w:top w:val="single" w:sz="4" w:space="0" w:color="BFBFBF"/>
            </w:tcBorders>
            <w:shd w:val="clear" w:color="auto" w:fill="auto"/>
          </w:tcPr>
          <w:p w14:paraId="275165EE" w14:textId="77777777" w:rsidR="0078495E" w:rsidRDefault="0078495E" w:rsidP="004C7BEF">
            <w:pPr>
              <w:pStyle w:val="ARtabletextright"/>
            </w:pPr>
            <w:r w:rsidRPr="00717FFB">
              <w:t>−14.1%</w:t>
            </w:r>
          </w:p>
        </w:tc>
        <w:tc>
          <w:tcPr>
            <w:tcW w:w="794" w:type="dxa"/>
            <w:tcBorders>
              <w:top w:val="single" w:sz="4" w:space="0" w:color="BFBFBF"/>
            </w:tcBorders>
            <w:shd w:val="clear" w:color="auto" w:fill="auto"/>
            <w:hideMark/>
          </w:tcPr>
          <w:p w14:paraId="78C032AD" w14:textId="77777777" w:rsidR="0078495E" w:rsidRPr="00D02A2E" w:rsidRDefault="0078495E" w:rsidP="004C7BEF">
            <w:pPr>
              <w:pStyle w:val="ARtableperformancesymbol"/>
              <w:rPr>
                <w:rFonts w:hint="eastAsia"/>
              </w:rPr>
            </w:pPr>
            <w:r w:rsidRPr="00717FFB">
              <w:t></w:t>
            </w:r>
          </w:p>
        </w:tc>
      </w:tr>
      <w:tr w:rsidR="0078495E" w:rsidRPr="00D02A2E" w14:paraId="3540EB03" w14:textId="77777777" w:rsidTr="004C7BEF">
        <w:trPr>
          <w:cantSplit/>
        </w:trPr>
        <w:tc>
          <w:tcPr>
            <w:tcW w:w="9639" w:type="dxa"/>
            <w:gridSpan w:val="6"/>
            <w:tcBorders>
              <w:bottom w:val="single" w:sz="4" w:space="0" w:color="auto"/>
            </w:tcBorders>
            <w:shd w:val="clear" w:color="auto" w:fill="auto"/>
            <w:noWrap/>
            <w:hideMark/>
          </w:tcPr>
          <w:p w14:paraId="191AD3ED" w14:textId="3BD1B95D" w:rsidR="0078495E" w:rsidRPr="00D02A2E" w:rsidRDefault="0078495E" w:rsidP="00112B3B">
            <w:pPr>
              <w:pStyle w:val="ARtablenoteindent"/>
              <w:ind w:left="0"/>
            </w:pPr>
            <w:r w:rsidRPr="00717FFB">
              <w:t>The adult inpatient results are interim. Interim results on the</w:t>
            </w:r>
            <w:r w:rsidRPr="00717FFB" w:rsidDel="00504D51">
              <w:t xml:space="preserve"> </w:t>
            </w:r>
            <w:r w:rsidR="00504D51">
              <w:t>Victorian Healthcare Experience Survey</w:t>
            </w:r>
            <w:r w:rsidR="00504D51" w:rsidRPr="00717FFB">
              <w:t xml:space="preserve"> </w:t>
            </w:r>
            <w:r w:rsidRPr="00717FFB">
              <w:t>portal are updated nightly and are</w:t>
            </w:r>
            <w:r w:rsidR="001C7FAA">
              <w:t> </w:t>
            </w:r>
            <w:r w:rsidRPr="00717FFB">
              <w:t>likely to change as more surveys are returned. The results are unweighted and should be treated as indicative.</w:t>
            </w:r>
            <w:r w:rsidR="00FB27BE">
              <w:t xml:space="preserve"> </w:t>
            </w:r>
            <w:r w:rsidRPr="00717FFB">
              <w:t>The COVID-19 pandemic has seen unprecedented demand on emergency departments, which has impacted on patient experience of their emergency department care.</w:t>
            </w:r>
          </w:p>
        </w:tc>
      </w:tr>
      <w:tr w:rsidR="0078495E" w:rsidRPr="00D02A2E" w14:paraId="7A6B7F23" w14:textId="77777777" w:rsidTr="004C7BEF">
        <w:trPr>
          <w:cantSplit/>
        </w:trPr>
        <w:tc>
          <w:tcPr>
            <w:tcW w:w="9639" w:type="dxa"/>
            <w:gridSpan w:val="6"/>
            <w:tcBorders>
              <w:top w:val="single" w:sz="4" w:space="0" w:color="auto"/>
            </w:tcBorders>
            <w:shd w:val="clear" w:color="auto" w:fill="auto"/>
            <w:hideMark/>
          </w:tcPr>
          <w:p w14:paraId="1684A99C" w14:textId="77777777" w:rsidR="0078495E" w:rsidRPr="00D02A2E" w:rsidRDefault="0078495E" w:rsidP="004C7BEF">
            <w:pPr>
              <w:pStyle w:val="ARtablegreybold"/>
              <w:rPr>
                <w:rFonts w:ascii="Wingdings" w:hAnsi="Wingdings"/>
              </w:rPr>
            </w:pPr>
            <w:r>
              <w:t>Timeliness</w:t>
            </w:r>
          </w:p>
        </w:tc>
      </w:tr>
      <w:tr w:rsidR="0078495E" w:rsidRPr="00D02A2E" w14:paraId="2D09E15F" w14:textId="77777777" w:rsidTr="004C7BEF">
        <w:trPr>
          <w:cantSplit/>
        </w:trPr>
        <w:tc>
          <w:tcPr>
            <w:tcW w:w="4761" w:type="dxa"/>
            <w:tcBorders>
              <w:bottom w:val="single" w:sz="4" w:space="0" w:color="BFBFBF"/>
            </w:tcBorders>
            <w:shd w:val="clear" w:color="auto" w:fill="auto"/>
            <w:hideMark/>
          </w:tcPr>
          <w:p w14:paraId="08F96E22" w14:textId="77777777" w:rsidR="0078495E" w:rsidRPr="00D02A2E" w:rsidRDefault="0078495E" w:rsidP="004C7BEF">
            <w:pPr>
              <w:pStyle w:val="ARtabletext"/>
            </w:pPr>
            <w:r w:rsidRPr="00D078FB">
              <w:t>Emergency Category 1 treated immediately</w:t>
            </w:r>
          </w:p>
        </w:tc>
        <w:tc>
          <w:tcPr>
            <w:tcW w:w="1021" w:type="dxa"/>
            <w:tcBorders>
              <w:bottom w:val="single" w:sz="4" w:space="0" w:color="BFBFBF"/>
            </w:tcBorders>
            <w:shd w:val="clear" w:color="auto" w:fill="auto"/>
            <w:hideMark/>
          </w:tcPr>
          <w:p w14:paraId="6402D0F6" w14:textId="77777777" w:rsidR="0078495E" w:rsidRPr="00D02A2E" w:rsidRDefault="0078495E" w:rsidP="004C7BEF">
            <w:pPr>
              <w:pStyle w:val="ARtabletextcentre"/>
            </w:pPr>
            <w:r w:rsidRPr="00D078FB">
              <w:t>per cent</w:t>
            </w:r>
          </w:p>
        </w:tc>
        <w:tc>
          <w:tcPr>
            <w:tcW w:w="1021" w:type="dxa"/>
            <w:tcBorders>
              <w:bottom w:val="single" w:sz="4" w:space="0" w:color="BFBFBF"/>
            </w:tcBorders>
            <w:shd w:val="clear" w:color="auto" w:fill="auto"/>
            <w:hideMark/>
          </w:tcPr>
          <w:p w14:paraId="5B175990" w14:textId="77777777" w:rsidR="0078495E" w:rsidRDefault="0078495E" w:rsidP="004C7BEF">
            <w:pPr>
              <w:pStyle w:val="ARtabletextright"/>
            </w:pPr>
            <w:r w:rsidRPr="00D078FB">
              <w:t>100</w:t>
            </w:r>
          </w:p>
        </w:tc>
        <w:tc>
          <w:tcPr>
            <w:tcW w:w="1021" w:type="dxa"/>
            <w:tcBorders>
              <w:bottom w:val="single" w:sz="4" w:space="0" w:color="BFBFBF"/>
            </w:tcBorders>
            <w:shd w:val="clear" w:color="auto" w:fill="auto"/>
            <w:hideMark/>
          </w:tcPr>
          <w:p w14:paraId="29D3CE3E" w14:textId="77777777" w:rsidR="0078495E" w:rsidRDefault="0078495E" w:rsidP="004C7BEF">
            <w:pPr>
              <w:pStyle w:val="ARtabletextright"/>
            </w:pPr>
            <w:r w:rsidRPr="00D078FB">
              <w:t>100</w:t>
            </w:r>
          </w:p>
        </w:tc>
        <w:tc>
          <w:tcPr>
            <w:tcW w:w="1021" w:type="dxa"/>
            <w:tcBorders>
              <w:bottom w:val="single" w:sz="4" w:space="0" w:color="BFBFBF"/>
            </w:tcBorders>
            <w:shd w:val="clear" w:color="auto" w:fill="auto"/>
          </w:tcPr>
          <w:p w14:paraId="3D9BEDB3" w14:textId="77777777" w:rsidR="0078495E" w:rsidRDefault="0078495E" w:rsidP="004C7BEF">
            <w:pPr>
              <w:pStyle w:val="ARtabletextright"/>
            </w:pPr>
            <w:r w:rsidRPr="00D078FB">
              <w:t>0.0%</w:t>
            </w:r>
          </w:p>
        </w:tc>
        <w:tc>
          <w:tcPr>
            <w:tcW w:w="794" w:type="dxa"/>
            <w:tcBorders>
              <w:bottom w:val="single" w:sz="4" w:space="0" w:color="BFBFBF"/>
            </w:tcBorders>
            <w:shd w:val="clear" w:color="auto" w:fill="auto"/>
            <w:hideMark/>
          </w:tcPr>
          <w:p w14:paraId="21FAC951" w14:textId="77777777" w:rsidR="0078495E" w:rsidRPr="00D02A2E" w:rsidRDefault="0078495E" w:rsidP="004C7BEF">
            <w:pPr>
              <w:pStyle w:val="ARtableperformancesymbol"/>
              <w:rPr>
                <w:rFonts w:hint="eastAsia"/>
              </w:rPr>
            </w:pPr>
            <w:r w:rsidRPr="00D078FB">
              <w:t></w:t>
            </w:r>
          </w:p>
        </w:tc>
      </w:tr>
      <w:tr w:rsidR="0078495E" w:rsidRPr="00D02A2E" w14:paraId="25633AC0" w14:textId="77777777" w:rsidTr="004C7BEF">
        <w:trPr>
          <w:cantSplit/>
        </w:trPr>
        <w:tc>
          <w:tcPr>
            <w:tcW w:w="4761" w:type="dxa"/>
            <w:tcBorders>
              <w:top w:val="single" w:sz="4" w:space="0" w:color="BFBFBF"/>
            </w:tcBorders>
            <w:shd w:val="clear" w:color="auto" w:fill="auto"/>
            <w:hideMark/>
          </w:tcPr>
          <w:p w14:paraId="6F17D525" w14:textId="77777777" w:rsidR="0078495E" w:rsidRPr="00D02A2E" w:rsidRDefault="0078495E" w:rsidP="004C7BEF">
            <w:pPr>
              <w:pStyle w:val="ARtabletext"/>
            </w:pPr>
            <w:r w:rsidRPr="00D078FB">
              <w:t>Emergency patients treated within clinically recommended ‘time to treatment’</w:t>
            </w:r>
          </w:p>
        </w:tc>
        <w:tc>
          <w:tcPr>
            <w:tcW w:w="1021" w:type="dxa"/>
            <w:tcBorders>
              <w:top w:val="single" w:sz="4" w:space="0" w:color="BFBFBF"/>
            </w:tcBorders>
            <w:shd w:val="clear" w:color="auto" w:fill="auto"/>
            <w:hideMark/>
          </w:tcPr>
          <w:p w14:paraId="0058F244" w14:textId="77777777" w:rsidR="0078495E" w:rsidRPr="00D02A2E" w:rsidRDefault="0078495E" w:rsidP="004C7BEF">
            <w:pPr>
              <w:pStyle w:val="ARtabletextcentre"/>
            </w:pPr>
            <w:r w:rsidRPr="00D078FB">
              <w:t>per cent</w:t>
            </w:r>
          </w:p>
        </w:tc>
        <w:tc>
          <w:tcPr>
            <w:tcW w:w="1021" w:type="dxa"/>
            <w:tcBorders>
              <w:top w:val="single" w:sz="4" w:space="0" w:color="BFBFBF"/>
            </w:tcBorders>
            <w:shd w:val="clear" w:color="auto" w:fill="auto"/>
            <w:hideMark/>
          </w:tcPr>
          <w:p w14:paraId="6F52DDE9" w14:textId="77777777" w:rsidR="0078495E" w:rsidRDefault="0078495E" w:rsidP="004C7BEF">
            <w:pPr>
              <w:pStyle w:val="ARtabletextright"/>
            </w:pPr>
            <w:r w:rsidRPr="00D078FB">
              <w:t>80</w:t>
            </w:r>
          </w:p>
        </w:tc>
        <w:tc>
          <w:tcPr>
            <w:tcW w:w="1021" w:type="dxa"/>
            <w:tcBorders>
              <w:top w:val="single" w:sz="4" w:space="0" w:color="BFBFBF"/>
            </w:tcBorders>
            <w:shd w:val="clear" w:color="auto" w:fill="auto"/>
            <w:hideMark/>
          </w:tcPr>
          <w:p w14:paraId="59183139" w14:textId="4DDB7B5D" w:rsidR="0078495E" w:rsidRDefault="0078495E" w:rsidP="004C7BEF">
            <w:pPr>
              <w:pStyle w:val="ARtabletextright"/>
            </w:pPr>
            <w:r w:rsidRPr="00D078FB">
              <w:t>6</w:t>
            </w:r>
            <w:r w:rsidR="00342D87">
              <w:t>4</w:t>
            </w:r>
          </w:p>
        </w:tc>
        <w:tc>
          <w:tcPr>
            <w:tcW w:w="1021" w:type="dxa"/>
            <w:tcBorders>
              <w:top w:val="single" w:sz="4" w:space="0" w:color="BFBFBF"/>
            </w:tcBorders>
            <w:shd w:val="clear" w:color="auto" w:fill="auto"/>
          </w:tcPr>
          <w:p w14:paraId="1025506B" w14:textId="603CA840" w:rsidR="0078495E" w:rsidRDefault="0078495E" w:rsidP="004C7BEF">
            <w:pPr>
              <w:pStyle w:val="ARtabletextright"/>
            </w:pPr>
            <w:r w:rsidRPr="00D078FB">
              <w:t>−20.</w:t>
            </w:r>
            <w:r w:rsidR="00DE11EF">
              <w:t>0</w:t>
            </w:r>
            <w:r w:rsidRPr="00D078FB">
              <w:t>%</w:t>
            </w:r>
          </w:p>
        </w:tc>
        <w:tc>
          <w:tcPr>
            <w:tcW w:w="794" w:type="dxa"/>
            <w:tcBorders>
              <w:top w:val="single" w:sz="4" w:space="0" w:color="BFBFBF"/>
            </w:tcBorders>
            <w:shd w:val="clear" w:color="auto" w:fill="auto"/>
            <w:hideMark/>
          </w:tcPr>
          <w:p w14:paraId="028AE441" w14:textId="77777777" w:rsidR="0078495E" w:rsidRPr="00D02A2E" w:rsidRDefault="0078495E" w:rsidP="004C7BEF">
            <w:pPr>
              <w:pStyle w:val="ARtableperformancesymbol"/>
              <w:rPr>
                <w:rFonts w:hint="eastAsia"/>
              </w:rPr>
            </w:pPr>
            <w:r w:rsidRPr="00D078FB">
              <w:t></w:t>
            </w:r>
          </w:p>
        </w:tc>
      </w:tr>
      <w:tr w:rsidR="0078495E" w:rsidRPr="00D02A2E" w14:paraId="07FBC907" w14:textId="77777777" w:rsidTr="004C7BEF">
        <w:trPr>
          <w:cantSplit/>
        </w:trPr>
        <w:tc>
          <w:tcPr>
            <w:tcW w:w="9639" w:type="dxa"/>
            <w:gridSpan w:val="6"/>
            <w:tcBorders>
              <w:bottom w:val="single" w:sz="4" w:space="0" w:color="BFBFBF"/>
            </w:tcBorders>
            <w:shd w:val="clear" w:color="auto" w:fill="auto"/>
            <w:noWrap/>
            <w:hideMark/>
          </w:tcPr>
          <w:p w14:paraId="6AD1A6E0" w14:textId="568E8B60" w:rsidR="0078495E" w:rsidRPr="00D02A2E" w:rsidRDefault="0078495E" w:rsidP="004C7BEF">
            <w:pPr>
              <w:pStyle w:val="ARtablenoteindent"/>
            </w:pPr>
            <w:r w:rsidRPr="00D078FB">
              <w:t>The result is lower than target primarily due to impacts arising from the COVID-19 pandemic</w:t>
            </w:r>
            <w:r w:rsidR="009E202F">
              <w:t>,</w:t>
            </w:r>
            <w:r w:rsidRPr="00D078FB">
              <w:t xml:space="preserve"> including changes in patient complexity, heightened infection control practices and significant workforce impacts.</w:t>
            </w:r>
          </w:p>
        </w:tc>
      </w:tr>
      <w:tr w:rsidR="0078495E" w:rsidRPr="00D02A2E" w14:paraId="7829DEB0" w14:textId="77777777" w:rsidTr="004C7BEF">
        <w:trPr>
          <w:cantSplit/>
        </w:trPr>
        <w:tc>
          <w:tcPr>
            <w:tcW w:w="4761" w:type="dxa"/>
            <w:shd w:val="clear" w:color="auto" w:fill="auto"/>
            <w:hideMark/>
          </w:tcPr>
          <w:p w14:paraId="615BC95D" w14:textId="77777777" w:rsidR="0078495E" w:rsidRPr="00D02A2E" w:rsidRDefault="0078495E" w:rsidP="004C7BEF">
            <w:pPr>
              <w:pStyle w:val="ARtabletext"/>
            </w:pPr>
            <w:r w:rsidRPr="00D078FB">
              <w:t>Emergency patients with a length of stay of less than four hours</w:t>
            </w:r>
          </w:p>
        </w:tc>
        <w:tc>
          <w:tcPr>
            <w:tcW w:w="1021" w:type="dxa"/>
            <w:shd w:val="clear" w:color="auto" w:fill="auto"/>
            <w:hideMark/>
          </w:tcPr>
          <w:p w14:paraId="1948DAFD" w14:textId="77777777" w:rsidR="0078495E" w:rsidRPr="00D02A2E" w:rsidRDefault="0078495E" w:rsidP="004C7BEF">
            <w:pPr>
              <w:pStyle w:val="ARtabletextcentre"/>
            </w:pPr>
            <w:r w:rsidRPr="00D078FB">
              <w:t>per cent</w:t>
            </w:r>
          </w:p>
        </w:tc>
        <w:tc>
          <w:tcPr>
            <w:tcW w:w="1021" w:type="dxa"/>
            <w:shd w:val="clear" w:color="auto" w:fill="auto"/>
            <w:hideMark/>
          </w:tcPr>
          <w:p w14:paraId="1B05EC76" w14:textId="77777777" w:rsidR="0078495E" w:rsidRDefault="0078495E" w:rsidP="004C7BEF">
            <w:pPr>
              <w:pStyle w:val="ARtabletextright"/>
            </w:pPr>
            <w:r w:rsidRPr="00D078FB">
              <w:t>75</w:t>
            </w:r>
          </w:p>
        </w:tc>
        <w:tc>
          <w:tcPr>
            <w:tcW w:w="1021" w:type="dxa"/>
            <w:shd w:val="clear" w:color="auto" w:fill="auto"/>
            <w:hideMark/>
          </w:tcPr>
          <w:p w14:paraId="4D4D2875" w14:textId="774631C8" w:rsidR="0078495E" w:rsidRDefault="0078495E" w:rsidP="004C7BEF">
            <w:pPr>
              <w:pStyle w:val="ARtabletextright"/>
            </w:pPr>
            <w:r w:rsidRPr="00D078FB">
              <w:t>55</w:t>
            </w:r>
          </w:p>
        </w:tc>
        <w:tc>
          <w:tcPr>
            <w:tcW w:w="1021" w:type="dxa"/>
            <w:shd w:val="clear" w:color="auto" w:fill="auto"/>
          </w:tcPr>
          <w:p w14:paraId="2415F62F" w14:textId="61BB1C7A" w:rsidR="0078495E" w:rsidRDefault="0078495E" w:rsidP="004C7BEF">
            <w:pPr>
              <w:pStyle w:val="ARtabletextright"/>
            </w:pPr>
            <w:r w:rsidRPr="00D078FB">
              <w:t>−26.</w:t>
            </w:r>
            <w:r w:rsidR="00DE11EF">
              <w:t>7</w:t>
            </w:r>
            <w:r w:rsidRPr="00D078FB">
              <w:t>%</w:t>
            </w:r>
          </w:p>
        </w:tc>
        <w:tc>
          <w:tcPr>
            <w:tcW w:w="794" w:type="dxa"/>
            <w:shd w:val="clear" w:color="auto" w:fill="auto"/>
            <w:hideMark/>
          </w:tcPr>
          <w:p w14:paraId="79922F34" w14:textId="77777777" w:rsidR="0078495E" w:rsidRPr="00D02A2E" w:rsidRDefault="0078495E" w:rsidP="004C7BEF">
            <w:pPr>
              <w:pStyle w:val="ARtableperformancesymbol"/>
              <w:rPr>
                <w:rFonts w:hint="eastAsia"/>
              </w:rPr>
            </w:pPr>
            <w:r w:rsidRPr="00D078FB">
              <w:t></w:t>
            </w:r>
          </w:p>
        </w:tc>
      </w:tr>
      <w:tr w:rsidR="0078495E" w:rsidRPr="00D02A2E" w14:paraId="35C9D4CA" w14:textId="77777777" w:rsidTr="004C7BEF">
        <w:trPr>
          <w:cantSplit/>
        </w:trPr>
        <w:tc>
          <w:tcPr>
            <w:tcW w:w="9639" w:type="dxa"/>
            <w:gridSpan w:val="6"/>
            <w:tcBorders>
              <w:bottom w:val="single" w:sz="4" w:space="0" w:color="BFBFBF"/>
            </w:tcBorders>
            <w:shd w:val="clear" w:color="auto" w:fill="auto"/>
            <w:noWrap/>
            <w:hideMark/>
          </w:tcPr>
          <w:p w14:paraId="79510F6E" w14:textId="4E58259A" w:rsidR="0078495E" w:rsidRPr="00D02A2E" w:rsidRDefault="0078495E" w:rsidP="004C7BEF">
            <w:pPr>
              <w:pStyle w:val="ARtablenoteindent"/>
            </w:pPr>
            <w:r w:rsidRPr="00D078FB">
              <w:t>The result is lower than target primarily due to impacts arising from the COVID-19 pandemic</w:t>
            </w:r>
            <w:r w:rsidR="00504D51">
              <w:t>,</w:t>
            </w:r>
            <w:r w:rsidRPr="00D078FB">
              <w:t xml:space="preserve"> including changes in patient complexity, heightened infection control practices and significant workforce impacts.</w:t>
            </w:r>
          </w:p>
        </w:tc>
      </w:tr>
      <w:tr w:rsidR="0078495E" w:rsidRPr="00D02A2E" w14:paraId="28D5BD13" w14:textId="77777777" w:rsidTr="004C7BEF">
        <w:trPr>
          <w:cantSplit/>
        </w:trPr>
        <w:tc>
          <w:tcPr>
            <w:tcW w:w="4761" w:type="dxa"/>
            <w:shd w:val="clear" w:color="auto" w:fill="auto"/>
            <w:hideMark/>
          </w:tcPr>
          <w:p w14:paraId="1AF51D88" w14:textId="77777777" w:rsidR="0078495E" w:rsidRPr="00D02A2E" w:rsidRDefault="0078495E" w:rsidP="004C7BEF">
            <w:pPr>
              <w:pStyle w:val="ARtabletext"/>
              <w:keepNext/>
            </w:pPr>
            <w:r w:rsidRPr="00D078FB">
              <w:t>Proportion of ambulance patient transfers within 40 minutes</w:t>
            </w:r>
          </w:p>
        </w:tc>
        <w:tc>
          <w:tcPr>
            <w:tcW w:w="1021" w:type="dxa"/>
            <w:shd w:val="clear" w:color="auto" w:fill="auto"/>
            <w:hideMark/>
          </w:tcPr>
          <w:p w14:paraId="487A9D35" w14:textId="77777777" w:rsidR="0078495E" w:rsidRPr="00D02A2E" w:rsidRDefault="0078495E" w:rsidP="004C7BEF">
            <w:pPr>
              <w:pStyle w:val="ARtabletextcentre"/>
            </w:pPr>
            <w:r w:rsidRPr="00D078FB">
              <w:t>per cent</w:t>
            </w:r>
          </w:p>
        </w:tc>
        <w:tc>
          <w:tcPr>
            <w:tcW w:w="1021" w:type="dxa"/>
            <w:shd w:val="clear" w:color="auto" w:fill="auto"/>
            <w:hideMark/>
          </w:tcPr>
          <w:p w14:paraId="22EDD9F0" w14:textId="77777777" w:rsidR="0078495E" w:rsidRDefault="0078495E" w:rsidP="004C7BEF">
            <w:pPr>
              <w:pStyle w:val="ARtabletextright"/>
            </w:pPr>
            <w:r w:rsidRPr="00D078FB">
              <w:t>90</w:t>
            </w:r>
          </w:p>
        </w:tc>
        <w:tc>
          <w:tcPr>
            <w:tcW w:w="1021" w:type="dxa"/>
            <w:shd w:val="clear" w:color="auto" w:fill="auto"/>
            <w:hideMark/>
          </w:tcPr>
          <w:p w14:paraId="19CEA44E" w14:textId="5BE2FFF3" w:rsidR="0078495E" w:rsidRDefault="0078495E" w:rsidP="004C7BEF">
            <w:pPr>
              <w:pStyle w:val="ARtabletextright"/>
            </w:pPr>
            <w:r w:rsidRPr="00D078FB">
              <w:t>63</w:t>
            </w:r>
          </w:p>
        </w:tc>
        <w:tc>
          <w:tcPr>
            <w:tcW w:w="1021" w:type="dxa"/>
            <w:shd w:val="clear" w:color="auto" w:fill="auto"/>
          </w:tcPr>
          <w:p w14:paraId="27820F31" w14:textId="18930515" w:rsidR="0078495E" w:rsidRDefault="0078495E" w:rsidP="004C7BEF">
            <w:pPr>
              <w:pStyle w:val="ARtabletextright"/>
            </w:pPr>
            <w:r w:rsidRPr="00D078FB">
              <w:t>−</w:t>
            </w:r>
            <w:r w:rsidR="00DE11EF">
              <w:t>30</w:t>
            </w:r>
            <w:r w:rsidRPr="00D078FB">
              <w:t>.</w:t>
            </w:r>
            <w:r w:rsidR="00E56A9F">
              <w:t>0</w:t>
            </w:r>
            <w:r w:rsidRPr="00D078FB">
              <w:t>%</w:t>
            </w:r>
          </w:p>
        </w:tc>
        <w:tc>
          <w:tcPr>
            <w:tcW w:w="794" w:type="dxa"/>
            <w:shd w:val="clear" w:color="auto" w:fill="auto"/>
            <w:hideMark/>
          </w:tcPr>
          <w:p w14:paraId="438D8FE3" w14:textId="77777777" w:rsidR="0078495E" w:rsidRPr="00D02A2E" w:rsidRDefault="0078495E" w:rsidP="004C7BEF">
            <w:pPr>
              <w:pStyle w:val="ARtableperformancesymbol"/>
              <w:rPr>
                <w:rFonts w:hint="eastAsia"/>
              </w:rPr>
            </w:pPr>
            <w:r w:rsidRPr="00D078FB">
              <w:t></w:t>
            </w:r>
          </w:p>
        </w:tc>
      </w:tr>
      <w:tr w:rsidR="0078495E" w:rsidRPr="00D02A2E" w14:paraId="222ACAA4" w14:textId="77777777" w:rsidTr="004C7BEF">
        <w:trPr>
          <w:cantSplit/>
        </w:trPr>
        <w:tc>
          <w:tcPr>
            <w:tcW w:w="9639" w:type="dxa"/>
            <w:gridSpan w:val="6"/>
            <w:tcBorders>
              <w:bottom w:val="single" w:sz="4" w:space="0" w:color="BFBFBF"/>
            </w:tcBorders>
            <w:shd w:val="clear" w:color="auto" w:fill="auto"/>
            <w:noWrap/>
            <w:hideMark/>
          </w:tcPr>
          <w:p w14:paraId="2AC351ED" w14:textId="4D53E851" w:rsidR="0078495E" w:rsidRPr="00D02A2E" w:rsidRDefault="0078495E" w:rsidP="004C7BEF">
            <w:pPr>
              <w:pStyle w:val="ARtablenoteindent"/>
            </w:pPr>
            <w:r w:rsidRPr="00D078FB">
              <w:t>The result is lower than target primarily due to impacts arising from the COVID-19 pandemic</w:t>
            </w:r>
            <w:r w:rsidR="00504D51">
              <w:t>,</w:t>
            </w:r>
            <w:r w:rsidRPr="00D078FB">
              <w:t xml:space="preserve"> including changes in patient complexity, heightened infection control practices and significant workforce impacts.</w:t>
            </w:r>
          </w:p>
        </w:tc>
      </w:tr>
      <w:tr w:rsidR="0078495E" w:rsidRPr="00D02A2E" w14:paraId="21376BC0" w14:textId="77777777" w:rsidTr="004C7BEF">
        <w:trPr>
          <w:cantSplit/>
        </w:trPr>
        <w:tc>
          <w:tcPr>
            <w:tcW w:w="9639" w:type="dxa"/>
            <w:gridSpan w:val="6"/>
            <w:tcBorders>
              <w:top w:val="single" w:sz="4" w:space="0" w:color="auto"/>
            </w:tcBorders>
            <w:shd w:val="clear" w:color="auto" w:fill="auto"/>
            <w:hideMark/>
          </w:tcPr>
          <w:p w14:paraId="5EACAB60" w14:textId="77777777" w:rsidR="0078495E" w:rsidRPr="00D02A2E" w:rsidRDefault="0078495E" w:rsidP="004C7BEF">
            <w:pPr>
              <w:pStyle w:val="ARtablegreybold"/>
              <w:rPr>
                <w:rFonts w:ascii="Wingdings" w:hAnsi="Wingdings"/>
              </w:rPr>
            </w:pPr>
            <w:r w:rsidRPr="00D078FB">
              <w:t>Cost</w:t>
            </w:r>
          </w:p>
        </w:tc>
      </w:tr>
      <w:tr w:rsidR="0078495E" w:rsidRPr="001D4FFF" w14:paraId="1262B9F7" w14:textId="77777777" w:rsidTr="004C7BEF">
        <w:trPr>
          <w:cantSplit/>
        </w:trPr>
        <w:tc>
          <w:tcPr>
            <w:tcW w:w="4761" w:type="dxa"/>
            <w:shd w:val="clear" w:color="auto" w:fill="auto"/>
            <w:hideMark/>
          </w:tcPr>
          <w:p w14:paraId="662D7179" w14:textId="77777777" w:rsidR="0078495E" w:rsidRPr="001D4FFF" w:rsidRDefault="0078495E" w:rsidP="004C7BEF">
            <w:pPr>
              <w:pStyle w:val="ARtabletext"/>
              <w:rPr>
                <w:b/>
                <w:bCs/>
              </w:rPr>
            </w:pPr>
            <w:r w:rsidRPr="001D4FFF">
              <w:rPr>
                <w:b/>
                <w:bCs/>
              </w:rPr>
              <w:t>Total Output Cost</w:t>
            </w:r>
          </w:p>
        </w:tc>
        <w:tc>
          <w:tcPr>
            <w:tcW w:w="1021" w:type="dxa"/>
            <w:shd w:val="clear" w:color="auto" w:fill="auto"/>
            <w:hideMark/>
          </w:tcPr>
          <w:p w14:paraId="78672F28" w14:textId="77777777" w:rsidR="0078495E" w:rsidRPr="001D4FFF" w:rsidRDefault="0078495E" w:rsidP="004C7BEF">
            <w:pPr>
              <w:pStyle w:val="ARtabletextcentre"/>
              <w:rPr>
                <w:b/>
                <w:bCs/>
              </w:rPr>
            </w:pPr>
            <w:r w:rsidRPr="001D4FFF">
              <w:rPr>
                <w:b/>
                <w:bCs/>
              </w:rPr>
              <w:t>$ million</w:t>
            </w:r>
          </w:p>
        </w:tc>
        <w:tc>
          <w:tcPr>
            <w:tcW w:w="1021" w:type="dxa"/>
            <w:shd w:val="clear" w:color="auto" w:fill="auto"/>
            <w:hideMark/>
          </w:tcPr>
          <w:p w14:paraId="29890991" w14:textId="77777777" w:rsidR="0078495E" w:rsidRPr="001D4FFF" w:rsidRDefault="0078495E" w:rsidP="004C7BEF">
            <w:pPr>
              <w:pStyle w:val="ARtabletextright"/>
              <w:rPr>
                <w:b/>
                <w:bCs/>
              </w:rPr>
            </w:pPr>
            <w:r w:rsidRPr="001D4FFF">
              <w:rPr>
                <w:b/>
                <w:bCs/>
              </w:rPr>
              <w:t>838.3</w:t>
            </w:r>
          </w:p>
        </w:tc>
        <w:tc>
          <w:tcPr>
            <w:tcW w:w="1021" w:type="dxa"/>
            <w:shd w:val="clear" w:color="auto" w:fill="auto"/>
            <w:hideMark/>
          </w:tcPr>
          <w:p w14:paraId="0940D912" w14:textId="77777777" w:rsidR="0078495E" w:rsidRPr="001D4FFF" w:rsidRDefault="0078495E" w:rsidP="004C7BEF">
            <w:pPr>
              <w:pStyle w:val="ARtabletextright"/>
              <w:rPr>
                <w:b/>
                <w:bCs/>
              </w:rPr>
            </w:pPr>
            <w:r w:rsidRPr="001D4FFF">
              <w:rPr>
                <w:b/>
                <w:bCs/>
              </w:rPr>
              <w:t>899.9</w:t>
            </w:r>
          </w:p>
        </w:tc>
        <w:tc>
          <w:tcPr>
            <w:tcW w:w="1021" w:type="dxa"/>
            <w:shd w:val="clear" w:color="auto" w:fill="auto"/>
          </w:tcPr>
          <w:p w14:paraId="17D42F67" w14:textId="77777777" w:rsidR="0078495E" w:rsidRPr="001D4FFF" w:rsidRDefault="0078495E" w:rsidP="004C7BEF">
            <w:pPr>
              <w:pStyle w:val="ARtabletextright"/>
              <w:rPr>
                <w:b/>
                <w:bCs/>
              </w:rPr>
            </w:pPr>
            <w:r w:rsidRPr="001D4FFF">
              <w:rPr>
                <w:b/>
                <w:bCs/>
              </w:rPr>
              <w:t>7.3%</w:t>
            </w:r>
          </w:p>
        </w:tc>
        <w:tc>
          <w:tcPr>
            <w:tcW w:w="794" w:type="dxa"/>
            <w:shd w:val="clear" w:color="auto" w:fill="auto"/>
            <w:hideMark/>
          </w:tcPr>
          <w:p w14:paraId="422B4E2C" w14:textId="77777777" w:rsidR="0078495E" w:rsidRPr="001D4FFF" w:rsidRDefault="0078495E" w:rsidP="004C7BEF">
            <w:pPr>
              <w:pStyle w:val="ARtabletextright"/>
              <w:rPr>
                <w:b/>
                <w:bCs/>
              </w:rPr>
            </w:pPr>
          </w:p>
        </w:tc>
      </w:tr>
      <w:tr w:rsidR="0078495E" w:rsidRPr="00D02A2E" w14:paraId="3774B2C5" w14:textId="77777777" w:rsidTr="004C7BEF">
        <w:trPr>
          <w:cantSplit/>
        </w:trPr>
        <w:tc>
          <w:tcPr>
            <w:tcW w:w="9639" w:type="dxa"/>
            <w:gridSpan w:val="6"/>
            <w:tcBorders>
              <w:bottom w:val="single" w:sz="4" w:space="0" w:color="auto"/>
            </w:tcBorders>
            <w:shd w:val="clear" w:color="auto" w:fill="auto"/>
            <w:noWrap/>
            <w:hideMark/>
          </w:tcPr>
          <w:p w14:paraId="7084F33F" w14:textId="6B32B778" w:rsidR="0078495E" w:rsidRPr="00D02A2E" w:rsidRDefault="0078495E" w:rsidP="004C7BEF">
            <w:pPr>
              <w:pStyle w:val="ARtablenoteindent"/>
            </w:pPr>
            <w:r w:rsidRPr="00D078FB">
              <w:t xml:space="preserve">The 2021–22 actual outcome primarily </w:t>
            </w:r>
            <w:r w:rsidRPr="00884C0C">
              <w:t>reflects</w:t>
            </w:r>
            <w:r w:rsidR="00345092" w:rsidRPr="00DE330B">
              <w:t xml:space="preserve"> funding</w:t>
            </w:r>
            <w:r w:rsidRPr="00C46C3C">
              <w:t xml:space="preserve"> increases </w:t>
            </w:r>
            <w:r w:rsidR="00345092" w:rsidRPr="00C46C3C">
              <w:t>associated with</w:t>
            </w:r>
            <w:r w:rsidRPr="00C46C3C">
              <w:t xml:space="preserve"> government policy initiatives</w:t>
            </w:r>
            <w:r w:rsidRPr="00D078FB">
              <w:t>.</w:t>
            </w:r>
          </w:p>
        </w:tc>
      </w:tr>
    </w:tbl>
    <w:p w14:paraId="0D013E8A" w14:textId="77777777" w:rsidR="001C60F2" w:rsidRPr="001C60F2" w:rsidRDefault="001C60F2" w:rsidP="001C60F2">
      <w:pPr>
        <w:pStyle w:val="ARbody"/>
      </w:pPr>
      <w:r w:rsidRPr="001C60F2">
        <w:br w:type="page"/>
      </w:r>
    </w:p>
    <w:p w14:paraId="3C741F47" w14:textId="27F2144B" w:rsidR="0078495E" w:rsidRDefault="0078495E" w:rsidP="00306875">
      <w:pPr>
        <w:pStyle w:val="Heading4"/>
        <w:spacing w:before="400"/>
      </w:pPr>
      <w:r>
        <w:t>Acute Training and Development</w:t>
      </w:r>
    </w:p>
    <w:p w14:paraId="74B582D1" w14:textId="41410AAB" w:rsidR="0078495E" w:rsidRDefault="007F3164" w:rsidP="0078495E">
      <w:pPr>
        <w:pStyle w:val="ARbody"/>
      </w:pPr>
      <w:r w:rsidRPr="007F3164">
        <w:t>This output relates to the provision of grants to hospitals for the training and accreditation of health workers.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42BFF71F" w14:textId="77777777" w:rsidTr="004C7BEF">
        <w:trPr>
          <w:cantSplit/>
          <w:tblHeader/>
        </w:trPr>
        <w:tc>
          <w:tcPr>
            <w:tcW w:w="4761" w:type="dxa"/>
            <w:tcBorders>
              <w:bottom w:val="single" w:sz="4" w:space="0" w:color="auto"/>
            </w:tcBorders>
            <w:shd w:val="clear" w:color="auto" w:fill="auto"/>
            <w:vAlign w:val="bottom"/>
            <w:hideMark/>
          </w:tcPr>
          <w:p w14:paraId="4DE0B7F1"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40FD752A"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56849337"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37107F58"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0EF22F0F"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7C040EFD" w14:textId="77777777" w:rsidR="0078495E" w:rsidRPr="00F72126" w:rsidRDefault="0078495E" w:rsidP="004C7BEF">
            <w:pPr>
              <w:pStyle w:val="ARtablecolheadright"/>
            </w:pPr>
            <w:r w:rsidRPr="00F72126">
              <w:t>Result</w:t>
            </w:r>
          </w:p>
        </w:tc>
      </w:tr>
      <w:tr w:rsidR="0078495E" w:rsidRPr="00D02A2E" w14:paraId="744E49A2" w14:textId="77777777" w:rsidTr="004C7BEF">
        <w:trPr>
          <w:cantSplit/>
        </w:trPr>
        <w:tc>
          <w:tcPr>
            <w:tcW w:w="9639" w:type="dxa"/>
            <w:gridSpan w:val="6"/>
            <w:tcBorders>
              <w:top w:val="single" w:sz="4" w:space="0" w:color="auto"/>
            </w:tcBorders>
            <w:shd w:val="clear" w:color="auto" w:fill="auto"/>
            <w:hideMark/>
          </w:tcPr>
          <w:p w14:paraId="597839CD" w14:textId="77777777" w:rsidR="0078495E" w:rsidRPr="00D02A2E" w:rsidRDefault="0078495E" w:rsidP="004C7BEF">
            <w:pPr>
              <w:pStyle w:val="ARtablegreybold"/>
              <w:rPr>
                <w:rFonts w:ascii="Wingdings" w:hAnsi="Wingdings"/>
              </w:rPr>
            </w:pPr>
            <w:r w:rsidRPr="007A45E9">
              <w:t>Quantity</w:t>
            </w:r>
          </w:p>
        </w:tc>
      </w:tr>
      <w:tr w:rsidR="0078495E" w:rsidRPr="00D02A2E" w14:paraId="6A4AC1DC" w14:textId="77777777" w:rsidTr="004C7BEF">
        <w:trPr>
          <w:cantSplit/>
        </w:trPr>
        <w:tc>
          <w:tcPr>
            <w:tcW w:w="4761" w:type="dxa"/>
            <w:shd w:val="clear" w:color="auto" w:fill="auto"/>
            <w:hideMark/>
          </w:tcPr>
          <w:p w14:paraId="7A6BB5B9" w14:textId="77777777" w:rsidR="0078495E" w:rsidRPr="00D02A2E" w:rsidRDefault="0078495E" w:rsidP="004C7BEF">
            <w:pPr>
              <w:pStyle w:val="ARtabletext"/>
            </w:pPr>
            <w:r w:rsidRPr="000B51F7">
              <w:t>Additional student clinical placement days</w:t>
            </w:r>
          </w:p>
        </w:tc>
        <w:tc>
          <w:tcPr>
            <w:tcW w:w="1021" w:type="dxa"/>
            <w:shd w:val="clear" w:color="auto" w:fill="auto"/>
            <w:hideMark/>
          </w:tcPr>
          <w:p w14:paraId="11276D60" w14:textId="77777777" w:rsidR="0078495E" w:rsidRPr="00D02A2E" w:rsidRDefault="0078495E" w:rsidP="004C7BEF">
            <w:pPr>
              <w:pStyle w:val="ARtabletextcentre"/>
            </w:pPr>
            <w:r w:rsidRPr="000B51F7">
              <w:t>number</w:t>
            </w:r>
          </w:p>
        </w:tc>
        <w:tc>
          <w:tcPr>
            <w:tcW w:w="1021" w:type="dxa"/>
            <w:shd w:val="clear" w:color="auto" w:fill="auto"/>
            <w:hideMark/>
          </w:tcPr>
          <w:p w14:paraId="309BB665" w14:textId="77777777" w:rsidR="0078495E" w:rsidRDefault="0078495E" w:rsidP="004C7BEF">
            <w:pPr>
              <w:pStyle w:val="ARtabletextright"/>
            </w:pPr>
            <w:r w:rsidRPr="000B51F7">
              <w:t>80,000</w:t>
            </w:r>
          </w:p>
        </w:tc>
        <w:tc>
          <w:tcPr>
            <w:tcW w:w="1021" w:type="dxa"/>
            <w:shd w:val="clear" w:color="auto" w:fill="auto"/>
            <w:hideMark/>
          </w:tcPr>
          <w:p w14:paraId="60B11535" w14:textId="77777777" w:rsidR="0078495E" w:rsidRDefault="0078495E" w:rsidP="004C7BEF">
            <w:pPr>
              <w:pStyle w:val="ARtabletextright"/>
            </w:pPr>
            <w:r w:rsidRPr="000B51F7">
              <w:t>51,082</w:t>
            </w:r>
          </w:p>
        </w:tc>
        <w:tc>
          <w:tcPr>
            <w:tcW w:w="1021" w:type="dxa"/>
            <w:shd w:val="clear" w:color="auto" w:fill="auto"/>
          </w:tcPr>
          <w:p w14:paraId="04878E44" w14:textId="77777777" w:rsidR="0078495E" w:rsidRDefault="0078495E" w:rsidP="004C7BEF">
            <w:pPr>
              <w:pStyle w:val="ARtabletextright"/>
            </w:pPr>
            <w:r w:rsidRPr="000B51F7">
              <w:t>−36.1%</w:t>
            </w:r>
          </w:p>
        </w:tc>
        <w:tc>
          <w:tcPr>
            <w:tcW w:w="794" w:type="dxa"/>
            <w:shd w:val="clear" w:color="auto" w:fill="auto"/>
            <w:hideMark/>
          </w:tcPr>
          <w:p w14:paraId="5F696B6B" w14:textId="77777777" w:rsidR="0078495E" w:rsidRPr="00D02A2E" w:rsidRDefault="0078495E" w:rsidP="004C7BEF">
            <w:pPr>
              <w:pStyle w:val="ARtableperformancesymbol"/>
              <w:rPr>
                <w:rFonts w:hint="eastAsia"/>
              </w:rPr>
            </w:pPr>
            <w:r w:rsidRPr="000B51F7">
              <w:t></w:t>
            </w:r>
          </w:p>
        </w:tc>
      </w:tr>
      <w:tr w:rsidR="0078495E" w:rsidRPr="00D02A2E" w14:paraId="6CE0D68D" w14:textId="77777777" w:rsidTr="004C7BEF">
        <w:trPr>
          <w:cantSplit/>
        </w:trPr>
        <w:tc>
          <w:tcPr>
            <w:tcW w:w="9639" w:type="dxa"/>
            <w:gridSpan w:val="6"/>
            <w:tcBorders>
              <w:bottom w:val="single" w:sz="4" w:space="0" w:color="BFBFBF"/>
            </w:tcBorders>
            <w:shd w:val="clear" w:color="auto" w:fill="auto"/>
            <w:noWrap/>
            <w:hideMark/>
          </w:tcPr>
          <w:p w14:paraId="50FBF488" w14:textId="314E203B" w:rsidR="0078495E" w:rsidRPr="00D02A2E" w:rsidRDefault="0078495E" w:rsidP="004C7BEF">
            <w:pPr>
              <w:pStyle w:val="ARtablenoteindent"/>
            </w:pPr>
            <w:r w:rsidRPr="000B51F7">
              <w:t>The 2021–22 actual is lower than the 2021–22 target primarily as a result of the impact of the COVID-19 pandemic</w:t>
            </w:r>
            <w:r w:rsidR="00131E5D">
              <w:t>.</w:t>
            </w:r>
          </w:p>
        </w:tc>
      </w:tr>
      <w:tr w:rsidR="0078495E" w:rsidRPr="00D02A2E" w14:paraId="60AC937E" w14:textId="77777777" w:rsidTr="004C7BEF">
        <w:trPr>
          <w:cantSplit/>
        </w:trPr>
        <w:tc>
          <w:tcPr>
            <w:tcW w:w="4761" w:type="dxa"/>
            <w:shd w:val="clear" w:color="auto" w:fill="auto"/>
            <w:hideMark/>
          </w:tcPr>
          <w:p w14:paraId="0893D490" w14:textId="77777777" w:rsidR="0078495E" w:rsidRPr="00D02A2E" w:rsidRDefault="0078495E" w:rsidP="004C7BEF">
            <w:pPr>
              <w:pStyle w:val="ARtabletext"/>
            </w:pPr>
            <w:r w:rsidRPr="000B51F7">
              <w:t>Clinical placement student days (medicine)</w:t>
            </w:r>
          </w:p>
        </w:tc>
        <w:tc>
          <w:tcPr>
            <w:tcW w:w="1021" w:type="dxa"/>
            <w:shd w:val="clear" w:color="auto" w:fill="auto"/>
            <w:hideMark/>
          </w:tcPr>
          <w:p w14:paraId="2A4E5D06" w14:textId="77777777" w:rsidR="0078495E" w:rsidRPr="00D02A2E" w:rsidRDefault="0078495E" w:rsidP="004C7BEF">
            <w:pPr>
              <w:pStyle w:val="ARtabletextcentre"/>
            </w:pPr>
            <w:r w:rsidRPr="000B51F7">
              <w:t>days</w:t>
            </w:r>
          </w:p>
        </w:tc>
        <w:tc>
          <w:tcPr>
            <w:tcW w:w="1021" w:type="dxa"/>
            <w:shd w:val="clear" w:color="auto" w:fill="auto"/>
            <w:hideMark/>
          </w:tcPr>
          <w:p w14:paraId="1B537850" w14:textId="77777777" w:rsidR="0078495E" w:rsidRDefault="0078495E" w:rsidP="004C7BEF">
            <w:pPr>
              <w:pStyle w:val="ARtabletextright"/>
            </w:pPr>
            <w:r w:rsidRPr="000B51F7">
              <w:t>385,000</w:t>
            </w:r>
          </w:p>
        </w:tc>
        <w:tc>
          <w:tcPr>
            <w:tcW w:w="1021" w:type="dxa"/>
            <w:shd w:val="clear" w:color="auto" w:fill="auto"/>
            <w:hideMark/>
          </w:tcPr>
          <w:p w14:paraId="6C3B5353" w14:textId="77777777" w:rsidR="0078495E" w:rsidRDefault="0078495E" w:rsidP="004C7BEF">
            <w:pPr>
              <w:pStyle w:val="ARtabletextright"/>
            </w:pPr>
            <w:r w:rsidRPr="000B51F7">
              <w:t>355,836</w:t>
            </w:r>
          </w:p>
        </w:tc>
        <w:tc>
          <w:tcPr>
            <w:tcW w:w="1021" w:type="dxa"/>
            <w:shd w:val="clear" w:color="auto" w:fill="auto"/>
          </w:tcPr>
          <w:p w14:paraId="3AF8952F" w14:textId="77777777" w:rsidR="0078495E" w:rsidRDefault="0078495E" w:rsidP="004C7BEF">
            <w:pPr>
              <w:pStyle w:val="ARtabletextright"/>
            </w:pPr>
            <w:r w:rsidRPr="000B51F7">
              <w:t>−7.6%</w:t>
            </w:r>
          </w:p>
        </w:tc>
        <w:tc>
          <w:tcPr>
            <w:tcW w:w="794" w:type="dxa"/>
            <w:shd w:val="clear" w:color="auto" w:fill="auto"/>
            <w:hideMark/>
          </w:tcPr>
          <w:p w14:paraId="6D7FF37A" w14:textId="77777777" w:rsidR="0078495E" w:rsidRPr="00D02A2E" w:rsidRDefault="0078495E" w:rsidP="004C7BEF">
            <w:pPr>
              <w:pStyle w:val="ARtableperformancesymbol"/>
              <w:rPr>
                <w:rFonts w:hint="eastAsia"/>
              </w:rPr>
            </w:pPr>
            <w:r w:rsidRPr="000B51F7">
              <w:t></w:t>
            </w:r>
          </w:p>
        </w:tc>
      </w:tr>
      <w:tr w:rsidR="0078495E" w:rsidRPr="00D02A2E" w14:paraId="2AD5174B" w14:textId="77777777" w:rsidTr="004C7BEF">
        <w:trPr>
          <w:cantSplit/>
        </w:trPr>
        <w:tc>
          <w:tcPr>
            <w:tcW w:w="9639" w:type="dxa"/>
            <w:gridSpan w:val="6"/>
            <w:tcBorders>
              <w:bottom w:val="single" w:sz="4" w:space="0" w:color="BFBFBF"/>
            </w:tcBorders>
            <w:shd w:val="clear" w:color="auto" w:fill="auto"/>
            <w:noWrap/>
            <w:hideMark/>
          </w:tcPr>
          <w:p w14:paraId="57A3327F" w14:textId="1352ECAB" w:rsidR="0078495E" w:rsidRPr="00D02A2E" w:rsidRDefault="0078495E" w:rsidP="004C7BEF">
            <w:pPr>
              <w:pStyle w:val="ARtablenoteindent"/>
            </w:pPr>
            <w:r w:rsidRPr="000B51F7">
              <w:t>The 2021–22 actual is lower than the 2021–22 target primarily as a result of the impact of the COVID-19 pandemic.</w:t>
            </w:r>
          </w:p>
        </w:tc>
      </w:tr>
      <w:tr w:rsidR="0078495E" w:rsidRPr="00D02A2E" w14:paraId="695B4E4D" w14:textId="77777777" w:rsidTr="004C7BEF">
        <w:trPr>
          <w:cantSplit/>
        </w:trPr>
        <w:tc>
          <w:tcPr>
            <w:tcW w:w="4761" w:type="dxa"/>
            <w:shd w:val="clear" w:color="auto" w:fill="auto"/>
            <w:hideMark/>
          </w:tcPr>
          <w:p w14:paraId="4BEB53F7" w14:textId="77777777" w:rsidR="0078495E" w:rsidRPr="00D02A2E" w:rsidRDefault="0078495E" w:rsidP="00355D7B">
            <w:pPr>
              <w:pStyle w:val="ARtabletext"/>
              <w:keepNext/>
            </w:pPr>
            <w:r w:rsidRPr="000B51F7">
              <w:t>Clinical placement student days (nursing and midwifery)</w:t>
            </w:r>
          </w:p>
        </w:tc>
        <w:tc>
          <w:tcPr>
            <w:tcW w:w="1021" w:type="dxa"/>
            <w:shd w:val="clear" w:color="auto" w:fill="auto"/>
            <w:hideMark/>
          </w:tcPr>
          <w:p w14:paraId="1E00FBA8" w14:textId="77777777" w:rsidR="0078495E" w:rsidRPr="00D02A2E" w:rsidRDefault="0078495E" w:rsidP="004C7BEF">
            <w:pPr>
              <w:pStyle w:val="ARtabletextcentre"/>
            </w:pPr>
            <w:r w:rsidRPr="000B51F7">
              <w:t>number</w:t>
            </w:r>
          </w:p>
        </w:tc>
        <w:tc>
          <w:tcPr>
            <w:tcW w:w="1021" w:type="dxa"/>
            <w:shd w:val="clear" w:color="auto" w:fill="auto"/>
            <w:hideMark/>
          </w:tcPr>
          <w:p w14:paraId="26C3161A" w14:textId="77777777" w:rsidR="0078495E" w:rsidRDefault="0078495E" w:rsidP="004C7BEF">
            <w:pPr>
              <w:pStyle w:val="ARtabletextright"/>
            </w:pPr>
            <w:r w:rsidRPr="000B51F7">
              <w:t>385,000</w:t>
            </w:r>
          </w:p>
        </w:tc>
        <w:tc>
          <w:tcPr>
            <w:tcW w:w="1021" w:type="dxa"/>
            <w:shd w:val="clear" w:color="auto" w:fill="auto"/>
            <w:hideMark/>
          </w:tcPr>
          <w:p w14:paraId="2533B485" w14:textId="77777777" w:rsidR="0078495E" w:rsidRDefault="0078495E" w:rsidP="004C7BEF">
            <w:pPr>
              <w:pStyle w:val="ARtabletextright"/>
            </w:pPr>
            <w:r w:rsidRPr="000B51F7">
              <w:t>468,360</w:t>
            </w:r>
          </w:p>
        </w:tc>
        <w:tc>
          <w:tcPr>
            <w:tcW w:w="1021" w:type="dxa"/>
            <w:shd w:val="clear" w:color="auto" w:fill="auto"/>
          </w:tcPr>
          <w:p w14:paraId="4BA11A52" w14:textId="77777777" w:rsidR="0078495E" w:rsidRDefault="0078495E" w:rsidP="004C7BEF">
            <w:pPr>
              <w:pStyle w:val="ARtabletextright"/>
            </w:pPr>
            <w:r w:rsidRPr="000B51F7">
              <w:t>21.7%</w:t>
            </w:r>
          </w:p>
        </w:tc>
        <w:tc>
          <w:tcPr>
            <w:tcW w:w="794" w:type="dxa"/>
            <w:shd w:val="clear" w:color="auto" w:fill="auto"/>
            <w:hideMark/>
          </w:tcPr>
          <w:p w14:paraId="7E7BAAFB" w14:textId="77777777" w:rsidR="0078495E" w:rsidRPr="00D02A2E" w:rsidRDefault="0078495E" w:rsidP="004C7BEF">
            <w:pPr>
              <w:pStyle w:val="ARtableperformancesymbol"/>
              <w:rPr>
                <w:rFonts w:hint="eastAsia"/>
              </w:rPr>
            </w:pPr>
            <w:r w:rsidRPr="000B51F7">
              <w:t></w:t>
            </w:r>
          </w:p>
        </w:tc>
      </w:tr>
      <w:tr w:rsidR="0078495E" w:rsidRPr="00D02A2E" w14:paraId="67281967" w14:textId="77777777" w:rsidTr="004C7BEF">
        <w:trPr>
          <w:cantSplit/>
        </w:trPr>
        <w:tc>
          <w:tcPr>
            <w:tcW w:w="9639" w:type="dxa"/>
            <w:gridSpan w:val="6"/>
            <w:tcBorders>
              <w:bottom w:val="single" w:sz="4" w:space="0" w:color="BFBFBF"/>
            </w:tcBorders>
            <w:shd w:val="clear" w:color="auto" w:fill="auto"/>
            <w:noWrap/>
            <w:hideMark/>
          </w:tcPr>
          <w:p w14:paraId="6ED7C832" w14:textId="5D500C62" w:rsidR="0078495E" w:rsidRPr="00D02A2E" w:rsidRDefault="00945B3B" w:rsidP="004C7BEF">
            <w:pPr>
              <w:pStyle w:val="ARtablenoteindent"/>
            </w:pPr>
            <w:r>
              <w:t>This result is above target because h</w:t>
            </w:r>
            <w:r w:rsidR="0078495E" w:rsidRPr="000B51F7">
              <w:t>ealth services worked intensively with universities to ensure that third</w:t>
            </w:r>
            <w:r w:rsidR="008C5F95">
              <w:t>-</w:t>
            </w:r>
            <w:r w:rsidR="0078495E" w:rsidRPr="000B51F7">
              <w:t>year nursing and midwifery students were able to finish their required placements in order to graduate.</w:t>
            </w:r>
          </w:p>
        </w:tc>
      </w:tr>
      <w:tr w:rsidR="0078495E" w:rsidRPr="00D02A2E" w14:paraId="377A796C" w14:textId="77777777" w:rsidTr="004C7BEF">
        <w:trPr>
          <w:cantSplit/>
        </w:trPr>
        <w:tc>
          <w:tcPr>
            <w:tcW w:w="4761" w:type="dxa"/>
            <w:shd w:val="clear" w:color="auto" w:fill="auto"/>
            <w:hideMark/>
          </w:tcPr>
          <w:p w14:paraId="08636C33" w14:textId="77777777" w:rsidR="0078495E" w:rsidRPr="00D02A2E" w:rsidRDefault="0078495E" w:rsidP="004C7BEF">
            <w:pPr>
              <w:pStyle w:val="ARtabletext"/>
            </w:pPr>
            <w:r w:rsidRPr="000B51F7">
              <w:t>Clinical placement student days (allied health)</w:t>
            </w:r>
          </w:p>
        </w:tc>
        <w:tc>
          <w:tcPr>
            <w:tcW w:w="1021" w:type="dxa"/>
            <w:shd w:val="clear" w:color="auto" w:fill="auto"/>
            <w:hideMark/>
          </w:tcPr>
          <w:p w14:paraId="693A8397" w14:textId="77777777" w:rsidR="0078495E" w:rsidRPr="00D02A2E" w:rsidRDefault="0078495E" w:rsidP="004C7BEF">
            <w:pPr>
              <w:pStyle w:val="ARtabletextcentre"/>
            </w:pPr>
            <w:r w:rsidRPr="000B51F7">
              <w:t>number</w:t>
            </w:r>
          </w:p>
        </w:tc>
        <w:tc>
          <w:tcPr>
            <w:tcW w:w="1021" w:type="dxa"/>
            <w:shd w:val="clear" w:color="auto" w:fill="auto"/>
            <w:hideMark/>
          </w:tcPr>
          <w:p w14:paraId="04D7385D" w14:textId="77777777" w:rsidR="0078495E" w:rsidRDefault="0078495E" w:rsidP="004C7BEF">
            <w:pPr>
              <w:pStyle w:val="ARtabletextright"/>
            </w:pPr>
            <w:r w:rsidRPr="000B51F7">
              <w:t>160,000</w:t>
            </w:r>
          </w:p>
        </w:tc>
        <w:tc>
          <w:tcPr>
            <w:tcW w:w="1021" w:type="dxa"/>
            <w:shd w:val="clear" w:color="auto" w:fill="auto"/>
            <w:hideMark/>
          </w:tcPr>
          <w:p w14:paraId="4F99E89A" w14:textId="77777777" w:rsidR="0078495E" w:rsidRDefault="0078495E" w:rsidP="004C7BEF">
            <w:pPr>
              <w:pStyle w:val="ARtabletextright"/>
            </w:pPr>
            <w:r w:rsidRPr="000B51F7">
              <w:t>137,818</w:t>
            </w:r>
          </w:p>
        </w:tc>
        <w:tc>
          <w:tcPr>
            <w:tcW w:w="1021" w:type="dxa"/>
            <w:shd w:val="clear" w:color="auto" w:fill="auto"/>
          </w:tcPr>
          <w:p w14:paraId="5E7D4B36" w14:textId="77777777" w:rsidR="0078495E" w:rsidRDefault="0078495E" w:rsidP="004C7BEF">
            <w:pPr>
              <w:pStyle w:val="ARtabletextright"/>
            </w:pPr>
            <w:r w:rsidRPr="000B51F7">
              <w:t>−13.9%</w:t>
            </w:r>
          </w:p>
        </w:tc>
        <w:tc>
          <w:tcPr>
            <w:tcW w:w="794" w:type="dxa"/>
            <w:shd w:val="clear" w:color="auto" w:fill="auto"/>
            <w:hideMark/>
          </w:tcPr>
          <w:p w14:paraId="07BB4CB5" w14:textId="77777777" w:rsidR="0078495E" w:rsidRPr="00D02A2E" w:rsidRDefault="0078495E" w:rsidP="004C7BEF">
            <w:pPr>
              <w:pStyle w:val="ARtableperformancesymbol"/>
              <w:rPr>
                <w:rFonts w:hint="eastAsia"/>
              </w:rPr>
            </w:pPr>
            <w:r w:rsidRPr="000B51F7">
              <w:t></w:t>
            </w:r>
          </w:p>
        </w:tc>
      </w:tr>
      <w:tr w:rsidR="0078495E" w:rsidRPr="00D02A2E" w14:paraId="0281B255" w14:textId="77777777" w:rsidTr="004C7BEF">
        <w:trPr>
          <w:cantSplit/>
        </w:trPr>
        <w:tc>
          <w:tcPr>
            <w:tcW w:w="9639" w:type="dxa"/>
            <w:gridSpan w:val="6"/>
            <w:tcBorders>
              <w:bottom w:val="single" w:sz="4" w:space="0" w:color="BFBFBF"/>
            </w:tcBorders>
            <w:shd w:val="clear" w:color="auto" w:fill="auto"/>
            <w:noWrap/>
            <w:hideMark/>
          </w:tcPr>
          <w:p w14:paraId="7090EA84" w14:textId="7946C7A6" w:rsidR="0078495E" w:rsidRPr="00D02A2E" w:rsidRDefault="0078495E" w:rsidP="004C7BEF">
            <w:pPr>
              <w:pStyle w:val="ARtablenoteindent"/>
            </w:pPr>
            <w:r w:rsidRPr="000B51F7">
              <w:t>The 2021–22 expected outcome is lower than the 2021–22 target primarily as a result of the impact of the COVID-19 pandemic</w:t>
            </w:r>
            <w:r w:rsidR="00884C0C">
              <w:t>.</w:t>
            </w:r>
          </w:p>
        </w:tc>
      </w:tr>
      <w:tr w:rsidR="0078495E" w:rsidRPr="00D02A2E" w14:paraId="48765393" w14:textId="77777777" w:rsidTr="004C7BEF">
        <w:trPr>
          <w:cantSplit/>
        </w:trPr>
        <w:tc>
          <w:tcPr>
            <w:tcW w:w="4761" w:type="dxa"/>
            <w:shd w:val="clear" w:color="auto" w:fill="auto"/>
            <w:hideMark/>
          </w:tcPr>
          <w:p w14:paraId="44A31B67" w14:textId="77777777" w:rsidR="0078495E" w:rsidRPr="00D02A2E" w:rsidRDefault="0078495E" w:rsidP="004C7BEF">
            <w:pPr>
              <w:pStyle w:val="ARtabletext"/>
            </w:pPr>
            <w:r w:rsidRPr="000B51F7">
              <w:t>Health workers trained in information sharing and family violence risk assessment and risk management</w:t>
            </w:r>
          </w:p>
        </w:tc>
        <w:tc>
          <w:tcPr>
            <w:tcW w:w="1021" w:type="dxa"/>
            <w:shd w:val="clear" w:color="auto" w:fill="auto"/>
            <w:hideMark/>
          </w:tcPr>
          <w:p w14:paraId="405F24EC" w14:textId="77777777" w:rsidR="0078495E" w:rsidRPr="00D02A2E" w:rsidRDefault="0078495E" w:rsidP="004C7BEF">
            <w:pPr>
              <w:pStyle w:val="ARtabletextcentre"/>
            </w:pPr>
            <w:r w:rsidRPr="000B51F7">
              <w:t>number</w:t>
            </w:r>
          </w:p>
        </w:tc>
        <w:tc>
          <w:tcPr>
            <w:tcW w:w="1021" w:type="dxa"/>
            <w:shd w:val="clear" w:color="auto" w:fill="auto"/>
            <w:hideMark/>
          </w:tcPr>
          <w:p w14:paraId="1D184ECC" w14:textId="77777777" w:rsidR="0078495E" w:rsidRDefault="0078495E" w:rsidP="004C7BEF">
            <w:pPr>
              <w:pStyle w:val="ARtabletextright"/>
            </w:pPr>
            <w:r w:rsidRPr="000B51F7">
              <w:t>12,000</w:t>
            </w:r>
          </w:p>
        </w:tc>
        <w:tc>
          <w:tcPr>
            <w:tcW w:w="1021" w:type="dxa"/>
            <w:shd w:val="clear" w:color="auto" w:fill="auto"/>
            <w:hideMark/>
          </w:tcPr>
          <w:p w14:paraId="4893B283" w14:textId="77777777" w:rsidR="0078495E" w:rsidRDefault="0078495E" w:rsidP="004C7BEF">
            <w:pPr>
              <w:pStyle w:val="ARtabletextright"/>
            </w:pPr>
            <w:r w:rsidRPr="000B51F7">
              <w:t>46,858</w:t>
            </w:r>
          </w:p>
        </w:tc>
        <w:tc>
          <w:tcPr>
            <w:tcW w:w="1021" w:type="dxa"/>
            <w:shd w:val="clear" w:color="auto" w:fill="auto"/>
          </w:tcPr>
          <w:p w14:paraId="65343397" w14:textId="77777777" w:rsidR="0078495E" w:rsidRDefault="0078495E" w:rsidP="004C7BEF">
            <w:pPr>
              <w:pStyle w:val="ARtabletextright"/>
            </w:pPr>
            <w:r w:rsidRPr="000B51F7">
              <w:t>290.5%</w:t>
            </w:r>
          </w:p>
        </w:tc>
        <w:tc>
          <w:tcPr>
            <w:tcW w:w="794" w:type="dxa"/>
            <w:shd w:val="clear" w:color="auto" w:fill="auto"/>
            <w:hideMark/>
          </w:tcPr>
          <w:p w14:paraId="1EAC0631" w14:textId="77777777" w:rsidR="0078495E" w:rsidRPr="00D02A2E" w:rsidRDefault="0078495E" w:rsidP="004C7BEF">
            <w:pPr>
              <w:pStyle w:val="ARtableperformancesymbol"/>
              <w:rPr>
                <w:rFonts w:hint="eastAsia"/>
              </w:rPr>
            </w:pPr>
            <w:r w:rsidRPr="000B51F7">
              <w:t></w:t>
            </w:r>
          </w:p>
        </w:tc>
      </w:tr>
      <w:tr w:rsidR="0078495E" w:rsidRPr="00D02A2E" w14:paraId="5475203E" w14:textId="77777777" w:rsidTr="004C7BEF">
        <w:trPr>
          <w:cantSplit/>
        </w:trPr>
        <w:tc>
          <w:tcPr>
            <w:tcW w:w="9639" w:type="dxa"/>
            <w:gridSpan w:val="6"/>
            <w:tcBorders>
              <w:bottom w:val="single" w:sz="4" w:space="0" w:color="BFBFBF"/>
            </w:tcBorders>
            <w:shd w:val="clear" w:color="auto" w:fill="auto"/>
            <w:noWrap/>
            <w:hideMark/>
          </w:tcPr>
          <w:p w14:paraId="7E711D11" w14:textId="79D43119" w:rsidR="0078495E" w:rsidRPr="00D02A2E" w:rsidRDefault="00945B3B" w:rsidP="004C7BEF">
            <w:pPr>
              <w:pStyle w:val="ARtablenoteindent"/>
            </w:pPr>
            <w:r>
              <w:t>This result is above target because n</w:t>
            </w:r>
            <w:r w:rsidR="0078495E" w:rsidRPr="000B51F7">
              <w:t>ew courses (including e-learning options)</w:t>
            </w:r>
            <w:r>
              <w:t xml:space="preserve"> allowed for</w:t>
            </w:r>
            <w:r w:rsidR="0078495E" w:rsidRPr="000B51F7">
              <w:t xml:space="preserve"> increased training uptake across the sector and supported the implementation of reforms to reduce family violence.</w:t>
            </w:r>
          </w:p>
        </w:tc>
      </w:tr>
      <w:tr w:rsidR="0078495E" w:rsidRPr="00D02A2E" w14:paraId="2684CF37" w14:textId="77777777" w:rsidTr="004C7BEF">
        <w:trPr>
          <w:cantSplit/>
        </w:trPr>
        <w:tc>
          <w:tcPr>
            <w:tcW w:w="4761" w:type="dxa"/>
            <w:shd w:val="clear" w:color="auto" w:fill="auto"/>
            <w:hideMark/>
          </w:tcPr>
          <w:p w14:paraId="2C62C929" w14:textId="77777777" w:rsidR="0078495E" w:rsidRPr="00D02A2E" w:rsidRDefault="0078495E" w:rsidP="004C7BEF">
            <w:pPr>
              <w:pStyle w:val="ARtabletext"/>
            </w:pPr>
            <w:r w:rsidRPr="000B51F7">
              <w:t>Number of filled rural generalist GP procedural positions</w:t>
            </w:r>
          </w:p>
        </w:tc>
        <w:tc>
          <w:tcPr>
            <w:tcW w:w="1021" w:type="dxa"/>
            <w:shd w:val="clear" w:color="auto" w:fill="auto"/>
            <w:hideMark/>
          </w:tcPr>
          <w:p w14:paraId="64CBED2E" w14:textId="77777777" w:rsidR="0078495E" w:rsidRPr="00D02A2E" w:rsidRDefault="0078495E" w:rsidP="004C7BEF">
            <w:pPr>
              <w:pStyle w:val="ARtabletextcentre"/>
            </w:pPr>
            <w:r w:rsidRPr="000B51F7">
              <w:t>number</w:t>
            </w:r>
          </w:p>
        </w:tc>
        <w:tc>
          <w:tcPr>
            <w:tcW w:w="1021" w:type="dxa"/>
            <w:shd w:val="clear" w:color="auto" w:fill="auto"/>
            <w:hideMark/>
          </w:tcPr>
          <w:p w14:paraId="7E56DBE4" w14:textId="77777777" w:rsidR="0078495E" w:rsidRDefault="0078495E" w:rsidP="004C7BEF">
            <w:pPr>
              <w:pStyle w:val="ARtabletextright"/>
            </w:pPr>
            <w:r w:rsidRPr="000B51F7">
              <w:t>15</w:t>
            </w:r>
          </w:p>
        </w:tc>
        <w:tc>
          <w:tcPr>
            <w:tcW w:w="1021" w:type="dxa"/>
            <w:shd w:val="clear" w:color="auto" w:fill="auto"/>
            <w:hideMark/>
          </w:tcPr>
          <w:p w14:paraId="653EC664" w14:textId="77777777" w:rsidR="0078495E" w:rsidRDefault="0078495E" w:rsidP="004C7BEF">
            <w:pPr>
              <w:pStyle w:val="ARtabletextright"/>
            </w:pPr>
            <w:r w:rsidRPr="000B51F7">
              <w:t>37.3</w:t>
            </w:r>
          </w:p>
        </w:tc>
        <w:tc>
          <w:tcPr>
            <w:tcW w:w="1021" w:type="dxa"/>
            <w:shd w:val="clear" w:color="auto" w:fill="auto"/>
          </w:tcPr>
          <w:p w14:paraId="344DE13E" w14:textId="77777777" w:rsidR="0078495E" w:rsidRDefault="0078495E" w:rsidP="004C7BEF">
            <w:pPr>
              <w:pStyle w:val="ARtabletextright"/>
            </w:pPr>
            <w:r w:rsidRPr="000B51F7">
              <w:t>148.3%</w:t>
            </w:r>
          </w:p>
        </w:tc>
        <w:tc>
          <w:tcPr>
            <w:tcW w:w="794" w:type="dxa"/>
            <w:shd w:val="clear" w:color="auto" w:fill="auto"/>
            <w:hideMark/>
          </w:tcPr>
          <w:p w14:paraId="2AC6C51E" w14:textId="77777777" w:rsidR="0078495E" w:rsidRPr="00D02A2E" w:rsidRDefault="0078495E" w:rsidP="004C7BEF">
            <w:pPr>
              <w:pStyle w:val="ARtableperformancesymbol"/>
              <w:rPr>
                <w:rFonts w:hint="eastAsia"/>
              </w:rPr>
            </w:pPr>
            <w:r w:rsidRPr="000B51F7">
              <w:t></w:t>
            </w:r>
          </w:p>
        </w:tc>
      </w:tr>
      <w:tr w:rsidR="0078495E" w:rsidRPr="00D02A2E" w14:paraId="4C652DF9" w14:textId="77777777" w:rsidTr="004C7BEF">
        <w:trPr>
          <w:cantSplit/>
        </w:trPr>
        <w:tc>
          <w:tcPr>
            <w:tcW w:w="9639" w:type="dxa"/>
            <w:gridSpan w:val="6"/>
            <w:tcBorders>
              <w:bottom w:val="single" w:sz="4" w:space="0" w:color="BFBFBF"/>
            </w:tcBorders>
            <w:shd w:val="clear" w:color="auto" w:fill="auto"/>
            <w:noWrap/>
            <w:hideMark/>
          </w:tcPr>
          <w:p w14:paraId="500E371D" w14:textId="77777777" w:rsidR="0078495E" w:rsidRPr="00D02A2E" w:rsidRDefault="0078495E" w:rsidP="004C7BEF">
            <w:pPr>
              <w:pStyle w:val="ARtablenoteindent"/>
            </w:pPr>
            <w:r w:rsidRPr="000B51F7">
              <w:t>The overperformance is due to a redesign of the Victorian Rural Generalist Program, which now funds additional procedural positions.</w:t>
            </w:r>
          </w:p>
        </w:tc>
      </w:tr>
      <w:tr w:rsidR="0078495E" w:rsidRPr="00D02A2E" w14:paraId="3FBAEDAA" w14:textId="77777777" w:rsidTr="004C7BEF">
        <w:trPr>
          <w:cantSplit/>
        </w:trPr>
        <w:tc>
          <w:tcPr>
            <w:tcW w:w="4761" w:type="dxa"/>
            <w:shd w:val="clear" w:color="auto" w:fill="auto"/>
            <w:hideMark/>
          </w:tcPr>
          <w:p w14:paraId="60A18C83" w14:textId="77777777" w:rsidR="0078495E" w:rsidRPr="00D02A2E" w:rsidRDefault="0078495E" w:rsidP="004C7BEF">
            <w:pPr>
              <w:pStyle w:val="ARtabletext"/>
            </w:pPr>
            <w:r w:rsidRPr="000B51F7">
              <w:t>Funded post graduate nursing and midwifery places at Diploma and Certificate level</w:t>
            </w:r>
          </w:p>
        </w:tc>
        <w:tc>
          <w:tcPr>
            <w:tcW w:w="1021" w:type="dxa"/>
            <w:shd w:val="clear" w:color="auto" w:fill="auto"/>
            <w:hideMark/>
          </w:tcPr>
          <w:p w14:paraId="30985C60" w14:textId="77777777" w:rsidR="0078495E" w:rsidRPr="00D02A2E" w:rsidRDefault="0078495E" w:rsidP="004C7BEF">
            <w:pPr>
              <w:pStyle w:val="ARtabletextcentre"/>
            </w:pPr>
            <w:r w:rsidRPr="000B51F7">
              <w:t>number</w:t>
            </w:r>
          </w:p>
        </w:tc>
        <w:tc>
          <w:tcPr>
            <w:tcW w:w="1021" w:type="dxa"/>
            <w:shd w:val="clear" w:color="auto" w:fill="auto"/>
            <w:hideMark/>
          </w:tcPr>
          <w:p w14:paraId="601CA018" w14:textId="77777777" w:rsidR="0078495E" w:rsidRDefault="0078495E" w:rsidP="004C7BEF">
            <w:pPr>
              <w:pStyle w:val="ARtabletextright"/>
            </w:pPr>
            <w:r w:rsidRPr="000B51F7">
              <w:t>954</w:t>
            </w:r>
          </w:p>
        </w:tc>
        <w:tc>
          <w:tcPr>
            <w:tcW w:w="1021" w:type="dxa"/>
            <w:shd w:val="clear" w:color="auto" w:fill="auto"/>
            <w:hideMark/>
          </w:tcPr>
          <w:p w14:paraId="4536B506" w14:textId="77777777" w:rsidR="0078495E" w:rsidRDefault="0078495E" w:rsidP="004C7BEF">
            <w:pPr>
              <w:pStyle w:val="ARtabletextright"/>
            </w:pPr>
            <w:r w:rsidRPr="000B51F7">
              <w:t>1167</w:t>
            </w:r>
          </w:p>
        </w:tc>
        <w:tc>
          <w:tcPr>
            <w:tcW w:w="1021" w:type="dxa"/>
            <w:shd w:val="clear" w:color="auto" w:fill="auto"/>
          </w:tcPr>
          <w:p w14:paraId="5ECB8E21" w14:textId="77777777" w:rsidR="0078495E" w:rsidRDefault="0078495E" w:rsidP="004C7BEF">
            <w:pPr>
              <w:pStyle w:val="ARtabletextright"/>
            </w:pPr>
            <w:r w:rsidRPr="000B51F7">
              <w:t>22.3%</w:t>
            </w:r>
          </w:p>
        </w:tc>
        <w:tc>
          <w:tcPr>
            <w:tcW w:w="794" w:type="dxa"/>
            <w:shd w:val="clear" w:color="auto" w:fill="auto"/>
            <w:hideMark/>
          </w:tcPr>
          <w:p w14:paraId="421877DB" w14:textId="77777777" w:rsidR="0078495E" w:rsidRPr="00D02A2E" w:rsidRDefault="0078495E" w:rsidP="004C7BEF">
            <w:pPr>
              <w:pStyle w:val="ARtableperformancesymbol"/>
              <w:rPr>
                <w:rFonts w:hint="eastAsia"/>
              </w:rPr>
            </w:pPr>
            <w:r w:rsidRPr="000B51F7">
              <w:t></w:t>
            </w:r>
          </w:p>
        </w:tc>
      </w:tr>
      <w:tr w:rsidR="0078495E" w:rsidRPr="00D02A2E" w14:paraId="0874E05C" w14:textId="77777777" w:rsidTr="004C7BEF">
        <w:trPr>
          <w:cantSplit/>
        </w:trPr>
        <w:tc>
          <w:tcPr>
            <w:tcW w:w="9639" w:type="dxa"/>
            <w:gridSpan w:val="6"/>
            <w:tcBorders>
              <w:bottom w:val="single" w:sz="4" w:space="0" w:color="BFBFBF"/>
            </w:tcBorders>
            <w:shd w:val="clear" w:color="auto" w:fill="auto"/>
            <w:noWrap/>
            <w:hideMark/>
          </w:tcPr>
          <w:p w14:paraId="013C7C30" w14:textId="77777777" w:rsidR="0078495E" w:rsidRPr="00D02A2E" w:rsidRDefault="0078495E" w:rsidP="004C7BEF">
            <w:pPr>
              <w:pStyle w:val="ARtablenoteindent"/>
            </w:pPr>
            <w:r w:rsidRPr="000B51F7">
              <w:t>Funding from other programs has been reprioritised to fund additional postgraduate nursing and midwifery activity.</w:t>
            </w:r>
          </w:p>
        </w:tc>
      </w:tr>
      <w:tr w:rsidR="0078495E" w:rsidRPr="00D02A2E" w14:paraId="6C02D4B5" w14:textId="77777777" w:rsidTr="004C7BEF">
        <w:trPr>
          <w:cantSplit/>
        </w:trPr>
        <w:tc>
          <w:tcPr>
            <w:tcW w:w="4761" w:type="dxa"/>
            <w:shd w:val="clear" w:color="auto" w:fill="auto"/>
            <w:hideMark/>
          </w:tcPr>
          <w:p w14:paraId="06CFCF44" w14:textId="77777777" w:rsidR="0078495E" w:rsidRPr="00D02A2E" w:rsidRDefault="0078495E" w:rsidP="004C7BEF">
            <w:pPr>
              <w:pStyle w:val="ARtabletext"/>
            </w:pPr>
            <w:r w:rsidRPr="000B51F7">
              <w:t>Total funded FTE (early graduate) allied health positions in public system</w:t>
            </w:r>
          </w:p>
        </w:tc>
        <w:tc>
          <w:tcPr>
            <w:tcW w:w="1021" w:type="dxa"/>
            <w:shd w:val="clear" w:color="auto" w:fill="auto"/>
            <w:hideMark/>
          </w:tcPr>
          <w:p w14:paraId="6D4F1843" w14:textId="77777777" w:rsidR="0078495E" w:rsidRPr="00D02A2E" w:rsidRDefault="0078495E" w:rsidP="004C7BEF">
            <w:pPr>
              <w:pStyle w:val="ARtabletextcentre"/>
            </w:pPr>
            <w:r w:rsidRPr="000B51F7">
              <w:t>number</w:t>
            </w:r>
          </w:p>
        </w:tc>
        <w:tc>
          <w:tcPr>
            <w:tcW w:w="1021" w:type="dxa"/>
            <w:shd w:val="clear" w:color="auto" w:fill="auto"/>
            <w:hideMark/>
          </w:tcPr>
          <w:p w14:paraId="0E62BF83" w14:textId="77777777" w:rsidR="0078495E" w:rsidRDefault="0078495E" w:rsidP="004C7BEF">
            <w:pPr>
              <w:pStyle w:val="ARtabletextright"/>
            </w:pPr>
            <w:r w:rsidRPr="000B51F7">
              <w:t>700</w:t>
            </w:r>
          </w:p>
        </w:tc>
        <w:tc>
          <w:tcPr>
            <w:tcW w:w="1021" w:type="dxa"/>
            <w:shd w:val="clear" w:color="auto" w:fill="auto"/>
            <w:hideMark/>
          </w:tcPr>
          <w:p w14:paraId="7D59B55D" w14:textId="77777777" w:rsidR="0078495E" w:rsidRDefault="0078495E" w:rsidP="004C7BEF">
            <w:pPr>
              <w:pStyle w:val="ARtabletextright"/>
            </w:pPr>
            <w:r w:rsidRPr="000B51F7">
              <w:t>657</w:t>
            </w:r>
          </w:p>
        </w:tc>
        <w:tc>
          <w:tcPr>
            <w:tcW w:w="1021" w:type="dxa"/>
            <w:shd w:val="clear" w:color="auto" w:fill="auto"/>
          </w:tcPr>
          <w:p w14:paraId="758FBA80" w14:textId="77777777" w:rsidR="0078495E" w:rsidRDefault="0078495E" w:rsidP="004C7BEF">
            <w:pPr>
              <w:pStyle w:val="ARtabletextright"/>
            </w:pPr>
            <w:r w:rsidRPr="000B51F7">
              <w:t>−6.1%</w:t>
            </w:r>
          </w:p>
        </w:tc>
        <w:tc>
          <w:tcPr>
            <w:tcW w:w="794" w:type="dxa"/>
            <w:shd w:val="clear" w:color="auto" w:fill="auto"/>
            <w:hideMark/>
          </w:tcPr>
          <w:p w14:paraId="25F2BB29" w14:textId="77777777" w:rsidR="0078495E" w:rsidRPr="00D02A2E" w:rsidRDefault="0078495E" w:rsidP="004C7BEF">
            <w:pPr>
              <w:pStyle w:val="ARtableperformancesymbol"/>
              <w:rPr>
                <w:rFonts w:hint="eastAsia"/>
              </w:rPr>
            </w:pPr>
            <w:r w:rsidRPr="000B51F7">
              <w:t></w:t>
            </w:r>
          </w:p>
        </w:tc>
      </w:tr>
      <w:tr w:rsidR="0078495E" w:rsidRPr="00D02A2E" w14:paraId="790ADA00" w14:textId="77777777" w:rsidTr="004C7BEF">
        <w:trPr>
          <w:cantSplit/>
        </w:trPr>
        <w:tc>
          <w:tcPr>
            <w:tcW w:w="9639" w:type="dxa"/>
            <w:gridSpan w:val="6"/>
            <w:tcBorders>
              <w:bottom w:val="single" w:sz="4" w:space="0" w:color="BFBFBF"/>
            </w:tcBorders>
            <w:shd w:val="clear" w:color="auto" w:fill="auto"/>
            <w:noWrap/>
            <w:hideMark/>
          </w:tcPr>
          <w:p w14:paraId="43A7022A" w14:textId="40267DBF" w:rsidR="0078495E" w:rsidRPr="00D02A2E" w:rsidRDefault="0078495E" w:rsidP="004C7BEF">
            <w:pPr>
              <w:pStyle w:val="ARtablenoteindent"/>
            </w:pPr>
            <w:r w:rsidRPr="000B51F7">
              <w:t xml:space="preserve">The 2021–22 actual </w:t>
            </w:r>
            <w:r w:rsidR="00945B3B">
              <w:t xml:space="preserve">result </w:t>
            </w:r>
            <w:r w:rsidRPr="000B51F7">
              <w:t>is lower than the 2021–22 target primarily as a result of changes to the graduate model and the impact of the COVID-19 pandemic on service capacity</w:t>
            </w:r>
            <w:r w:rsidR="003434FB">
              <w:t>.</w:t>
            </w:r>
          </w:p>
        </w:tc>
      </w:tr>
      <w:tr w:rsidR="0078495E" w:rsidRPr="00D02A2E" w14:paraId="400342B0" w14:textId="77777777" w:rsidTr="004C7BEF">
        <w:trPr>
          <w:cantSplit/>
        </w:trPr>
        <w:tc>
          <w:tcPr>
            <w:tcW w:w="4761" w:type="dxa"/>
            <w:shd w:val="clear" w:color="auto" w:fill="auto"/>
            <w:hideMark/>
          </w:tcPr>
          <w:p w14:paraId="305A1C8D" w14:textId="77777777" w:rsidR="0078495E" w:rsidRPr="00D02A2E" w:rsidRDefault="0078495E" w:rsidP="004C7BEF">
            <w:pPr>
              <w:pStyle w:val="ARtabletext"/>
            </w:pPr>
            <w:r w:rsidRPr="000B51F7">
              <w:t>Total funded FTE (early graduate) medical positions in public system</w:t>
            </w:r>
          </w:p>
        </w:tc>
        <w:tc>
          <w:tcPr>
            <w:tcW w:w="1021" w:type="dxa"/>
            <w:shd w:val="clear" w:color="auto" w:fill="auto"/>
            <w:hideMark/>
          </w:tcPr>
          <w:p w14:paraId="0C060BF1" w14:textId="77777777" w:rsidR="0078495E" w:rsidRPr="00D02A2E" w:rsidRDefault="0078495E" w:rsidP="004C7BEF">
            <w:pPr>
              <w:pStyle w:val="ARtabletextcentre"/>
            </w:pPr>
            <w:r w:rsidRPr="000B51F7">
              <w:t>number</w:t>
            </w:r>
          </w:p>
        </w:tc>
        <w:tc>
          <w:tcPr>
            <w:tcW w:w="1021" w:type="dxa"/>
            <w:shd w:val="clear" w:color="auto" w:fill="auto"/>
            <w:hideMark/>
          </w:tcPr>
          <w:p w14:paraId="5F04D14C" w14:textId="77777777" w:rsidR="0078495E" w:rsidRDefault="0078495E" w:rsidP="004C7BEF">
            <w:pPr>
              <w:pStyle w:val="ARtabletextright"/>
            </w:pPr>
            <w:r w:rsidRPr="000B51F7">
              <w:t>1,525</w:t>
            </w:r>
          </w:p>
        </w:tc>
        <w:tc>
          <w:tcPr>
            <w:tcW w:w="1021" w:type="dxa"/>
            <w:shd w:val="clear" w:color="auto" w:fill="auto"/>
            <w:hideMark/>
          </w:tcPr>
          <w:p w14:paraId="56DE4C04" w14:textId="77777777" w:rsidR="0078495E" w:rsidRDefault="0078495E" w:rsidP="004C7BEF">
            <w:pPr>
              <w:pStyle w:val="ARtabletextright"/>
            </w:pPr>
            <w:r w:rsidRPr="000B51F7">
              <w:t>1,623</w:t>
            </w:r>
          </w:p>
        </w:tc>
        <w:tc>
          <w:tcPr>
            <w:tcW w:w="1021" w:type="dxa"/>
            <w:shd w:val="clear" w:color="auto" w:fill="auto"/>
          </w:tcPr>
          <w:p w14:paraId="29171583" w14:textId="77777777" w:rsidR="0078495E" w:rsidRDefault="0078495E" w:rsidP="004C7BEF">
            <w:pPr>
              <w:pStyle w:val="ARtabletextright"/>
            </w:pPr>
            <w:r w:rsidRPr="000B51F7">
              <w:t>6.4%</w:t>
            </w:r>
          </w:p>
        </w:tc>
        <w:tc>
          <w:tcPr>
            <w:tcW w:w="794" w:type="dxa"/>
            <w:shd w:val="clear" w:color="auto" w:fill="auto"/>
            <w:hideMark/>
          </w:tcPr>
          <w:p w14:paraId="75A1172E" w14:textId="77777777" w:rsidR="0078495E" w:rsidRPr="00D02A2E" w:rsidRDefault="0078495E" w:rsidP="004C7BEF">
            <w:pPr>
              <w:pStyle w:val="ARtableperformancesymbol"/>
              <w:rPr>
                <w:rFonts w:hint="eastAsia"/>
              </w:rPr>
            </w:pPr>
            <w:r w:rsidRPr="000B51F7">
              <w:t></w:t>
            </w:r>
          </w:p>
        </w:tc>
      </w:tr>
      <w:tr w:rsidR="0078495E" w:rsidRPr="00D02A2E" w14:paraId="3054CB8E" w14:textId="77777777" w:rsidTr="004C7BEF">
        <w:trPr>
          <w:cantSplit/>
        </w:trPr>
        <w:tc>
          <w:tcPr>
            <w:tcW w:w="9639" w:type="dxa"/>
            <w:gridSpan w:val="6"/>
            <w:tcBorders>
              <w:bottom w:val="single" w:sz="4" w:space="0" w:color="BFBFBF"/>
            </w:tcBorders>
            <w:shd w:val="clear" w:color="auto" w:fill="auto"/>
            <w:noWrap/>
            <w:hideMark/>
          </w:tcPr>
          <w:p w14:paraId="582220E5" w14:textId="01C962FC" w:rsidR="0078495E" w:rsidRPr="00D02A2E" w:rsidRDefault="00945B3B" w:rsidP="004C7BEF">
            <w:pPr>
              <w:pStyle w:val="ARtablenoteindent"/>
            </w:pPr>
            <w:r>
              <w:t>This result is above target because f</w:t>
            </w:r>
            <w:r w:rsidR="0078495E" w:rsidRPr="000B51F7">
              <w:t xml:space="preserve">unding from other programs </w:t>
            </w:r>
            <w:r>
              <w:t>was</w:t>
            </w:r>
            <w:r w:rsidR="0078495E" w:rsidRPr="000B51F7">
              <w:t xml:space="preserve"> reprioritised to fund additional graduate medical positions.</w:t>
            </w:r>
          </w:p>
        </w:tc>
      </w:tr>
      <w:tr w:rsidR="0078495E" w:rsidRPr="00D02A2E" w14:paraId="54FA0786" w14:textId="77777777" w:rsidTr="004C7BEF">
        <w:trPr>
          <w:cantSplit/>
        </w:trPr>
        <w:tc>
          <w:tcPr>
            <w:tcW w:w="4761" w:type="dxa"/>
            <w:shd w:val="clear" w:color="auto" w:fill="auto"/>
            <w:hideMark/>
          </w:tcPr>
          <w:p w14:paraId="4011E2AC" w14:textId="77777777" w:rsidR="0078495E" w:rsidRPr="00D02A2E" w:rsidRDefault="0078495E" w:rsidP="004C7BEF">
            <w:pPr>
              <w:pStyle w:val="ARtabletext"/>
            </w:pPr>
            <w:r w:rsidRPr="000B51F7">
              <w:t>Total funded FTE (early graduate) nursing and midwifery positions in public system</w:t>
            </w:r>
          </w:p>
        </w:tc>
        <w:tc>
          <w:tcPr>
            <w:tcW w:w="1021" w:type="dxa"/>
            <w:shd w:val="clear" w:color="auto" w:fill="auto"/>
            <w:hideMark/>
          </w:tcPr>
          <w:p w14:paraId="0931C365" w14:textId="77777777" w:rsidR="0078495E" w:rsidRPr="00D02A2E" w:rsidRDefault="0078495E" w:rsidP="004C7BEF">
            <w:pPr>
              <w:pStyle w:val="ARtabletextcentre"/>
            </w:pPr>
            <w:r w:rsidRPr="000B51F7">
              <w:t>number</w:t>
            </w:r>
          </w:p>
        </w:tc>
        <w:tc>
          <w:tcPr>
            <w:tcW w:w="1021" w:type="dxa"/>
            <w:shd w:val="clear" w:color="auto" w:fill="auto"/>
            <w:hideMark/>
          </w:tcPr>
          <w:p w14:paraId="5521A42D" w14:textId="77777777" w:rsidR="0078495E" w:rsidRDefault="0078495E" w:rsidP="004C7BEF">
            <w:pPr>
              <w:pStyle w:val="ARtabletextright"/>
            </w:pPr>
            <w:r w:rsidRPr="000B51F7">
              <w:t>1,889</w:t>
            </w:r>
          </w:p>
        </w:tc>
        <w:tc>
          <w:tcPr>
            <w:tcW w:w="1021" w:type="dxa"/>
            <w:shd w:val="clear" w:color="auto" w:fill="auto"/>
            <w:hideMark/>
          </w:tcPr>
          <w:p w14:paraId="06A42BD1" w14:textId="77777777" w:rsidR="0078495E" w:rsidRDefault="0078495E" w:rsidP="004C7BEF">
            <w:pPr>
              <w:pStyle w:val="ARtabletextright"/>
            </w:pPr>
            <w:r w:rsidRPr="000B51F7">
              <w:t>1,982</w:t>
            </w:r>
          </w:p>
        </w:tc>
        <w:tc>
          <w:tcPr>
            <w:tcW w:w="1021" w:type="dxa"/>
            <w:shd w:val="clear" w:color="auto" w:fill="auto"/>
          </w:tcPr>
          <w:p w14:paraId="63319FC1" w14:textId="77777777" w:rsidR="0078495E" w:rsidRDefault="0078495E" w:rsidP="004C7BEF">
            <w:pPr>
              <w:pStyle w:val="ARtabletextright"/>
            </w:pPr>
            <w:r w:rsidRPr="000B51F7">
              <w:t>4.9%</w:t>
            </w:r>
          </w:p>
        </w:tc>
        <w:tc>
          <w:tcPr>
            <w:tcW w:w="794" w:type="dxa"/>
            <w:shd w:val="clear" w:color="auto" w:fill="auto"/>
            <w:hideMark/>
          </w:tcPr>
          <w:p w14:paraId="01CA9D1D" w14:textId="77777777" w:rsidR="0078495E" w:rsidRPr="00D02A2E" w:rsidRDefault="0078495E" w:rsidP="004C7BEF">
            <w:pPr>
              <w:pStyle w:val="ARtableperformancesymbol"/>
              <w:rPr>
                <w:rFonts w:hint="eastAsia"/>
              </w:rPr>
            </w:pPr>
            <w:r w:rsidRPr="000B51F7">
              <w:t></w:t>
            </w:r>
          </w:p>
        </w:tc>
      </w:tr>
      <w:tr w:rsidR="0078495E" w:rsidRPr="00D02A2E" w14:paraId="626CE5E9" w14:textId="77777777" w:rsidTr="004C7BEF">
        <w:trPr>
          <w:cantSplit/>
        </w:trPr>
        <w:tc>
          <w:tcPr>
            <w:tcW w:w="9639" w:type="dxa"/>
            <w:gridSpan w:val="6"/>
            <w:tcBorders>
              <w:bottom w:val="single" w:sz="4" w:space="0" w:color="auto"/>
            </w:tcBorders>
            <w:shd w:val="clear" w:color="auto" w:fill="auto"/>
            <w:noWrap/>
            <w:hideMark/>
          </w:tcPr>
          <w:p w14:paraId="16FF7D0C" w14:textId="4CC83D5D" w:rsidR="0078495E" w:rsidRPr="00D02A2E" w:rsidRDefault="00945B3B" w:rsidP="004C7BEF">
            <w:pPr>
              <w:pStyle w:val="ARtablenoteindent"/>
            </w:pPr>
            <w:r>
              <w:t>This result is above target because f</w:t>
            </w:r>
            <w:r w:rsidR="0078495E" w:rsidRPr="000B51F7">
              <w:t xml:space="preserve">unding from other programs </w:t>
            </w:r>
            <w:r>
              <w:t>was</w:t>
            </w:r>
            <w:r w:rsidR="0078495E" w:rsidRPr="000B51F7">
              <w:t xml:space="preserve"> reprioritised to fund additional nursing and midwifery graduate positions.</w:t>
            </w:r>
          </w:p>
        </w:tc>
      </w:tr>
      <w:tr w:rsidR="0078495E" w:rsidRPr="00D02A2E" w14:paraId="1E2D392A" w14:textId="77777777" w:rsidTr="004C7BEF">
        <w:trPr>
          <w:cantSplit/>
        </w:trPr>
        <w:tc>
          <w:tcPr>
            <w:tcW w:w="9639" w:type="dxa"/>
            <w:gridSpan w:val="6"/>
            <w:tcBorders>
              <w:top w:val="single" w:sz="4" w:space="0" w:color="auto"/>
            </w:tcBorders>
            <w:shd w:val="clear" w:color="auto" w:fill="auto"/>
            <w:hideMark/>
          </w:tcPr>
          <w:p w14:paraId="06BD1076" w14:textId="77777777" w:rsidR="0078495E" w:rsidRPr="00D02A2E" w:rsidRDefault="0078495E" w:rsidP="004C7BEF">
            <w:pPr>
              <w:pStyle w:val="ARtablegreybold"/>
              <w:rPr>
                <w:rFonts w:ascii="Wingdings" w:hAnsi="Wingdings"/>
              </w:rPr>
            </w:pPr>
            <w:r>
              <w:t>Quality</w:t>
            </w:r>
          </w:p>
        </w:tc>
      </w:tr>
      <w:tr w:rsidR="0078495E" w:rsidRPr="00D02A2E" w14:paraId="38C0EEA1" w14:textId="77777777" w:rsidTr="004C7BEF">
        <w:trPr>
          <w:cantSplit/>
        </w:trPr>
        <w:tc>
          <w:tcPr>
            <w:tcW w:w="4761" w:type="dxa"/>
            <w:shd w:val="clear" w:color="auto" w:fill="auto"/>
            <w:hideMark/>
          </w:tcPr>
          <w:p w14:paraId="47F6BFDF" w14:textId="77777777" w:rsidR="0078495E" w:rsidRPr="00D02A2E" w:rsidRDefault="0078495E" w:rsidP="004C7BEF">
            <w:pPr>
              <w:pStyle w:val="ARtabletext"/>
            </w:pPr>
            <w:r w:rsidRPr="00A53CB1">
              <w:t>Learner satisfaction about their feeling of safety and wellbeing while undertaking their program of study at health services</w:t>
            </w:r>
          </w:p>
        </w:tc>
        <w:tc>
          <w:tcPr>
            <w:tcW w:w="1021" w:type="dxa"/>
            <w:shd w:val="clear" w:color="auto" w:fill="auto"/>
            <w:hideMark/>
          </w:tcPr>
          <w:p w14:paraId="602BB004" w14:textId="77777777" w:rsidR="0078495E" w:rsidRPr="00D02A2E" w:rsidRDefault="0078495E" w:rsidP="004C7BEF">
            <w:pPr>
              <w:pStyle w:val="ARtabletextcentre"/>
            </w:pPr>
            <w:r w:rsidRPr="00A53CB1">
              <w:t>per cent</w:t>
            </w:r>
          </w:p>
        </w:tc>
        <w:tc>
          <w:tcPr>
            <w:tcW w:w="1021" w:type="dxa"/>
            <w:shd w:val="clear" w:color="auto" w:fill="auto"/>
            <w:hideMark/>
          </w:tcPr>
          <w:p w14:paraId="070C79C6" w14:textId="77777777" w:rsidR="0078495E" w:rsidRDefault="0078495E" w:rsidP="004C7BEF">
            <w:pPr>
              <w:pStyle w:val="ARtabletextright"/>
            </w:pPr>
            <w:r w:rsidRPr="00A53CB1">
              <w:t>80</w:t>
            </w:r>
          </w:p>
        </w:tc>
        <w:tc>
          <w:tcPr>
            <w:tcW w:w="1021" w:type="dxa"/>
            <w:shd w:val="clear" w:color="auto" w:fill="auto"/>
            <w:hideMark/>
          </w:tcPr>
          <w:p w14:paraId="04A85F20" w14:textId="77777777" w:rsidR="0078495E" w:rsidRDefault="0078495E" w:rsidP="004C7BEF">
            <w:pPr>
              <w:pStyle w:val="ARtabletextright"/>
            </w:pPr>
            <w:r w:rsidRPr="00A53CB1">
              <w:t>95</w:t>
            </w:r>
          </w:p>
        </w:tc>
        <w:tc>
          <w:tcPr>
            <w:tcW w:w="1021" w:type="dxa"/>
            <w:shd w:val="clear" w:color="auto" w:fill="auto"/>
          </w:tcPr>
          <w:p w14:paraId="4A55F8F6" w14:textId="77777777" w:rsidR="0078495E" w:rsidRDefault="0078495E" w:rsidP="004C7BEF">
            <w:pPr>
              <w:pStyle w:val="ARtabletextright"/>
            </w:pPr>
            <w:r w:rsidRPr="00A53CB1">
              <w:t>18.8%</w:t>
            </w:r>
          </w:p>
        </w:tc>
        <w:tc>
          <w:tcPr>
            <w:tcW w:w="794" w:type="dxa"/>
            <w:shd w:val="clear" w:color="auto" w:fill="auto"/>
            <w:hideMark/>
          </w:tcPr>
          <w:p w14:paraId="5F3CC0E5" w14:textId="77777777" w:rsidR="0078495E" w:rsidRPr="00D02A2E" w:rsidRDefault="0078495E" w:rsidP="004C7BEF">
            <w:pPr>
              <w:pStyle w:val="ARtableperformancesymbol"/>
              <w:rPr>
                <w:rFonts w:hint="eastAsia"/>
              </w:rPr>
            </w:pPr>
            <w:r w:rsidRPr="00A53CB1">
              <w:t></w:t>
            </w:r>
          </w:p>
        </w:tc>
      </w:tr>
      <w:tr w:rsidR="0078495E" w:rsidRPr="00D02A2E" w14:paraId="02FDD8E9" w14:textId="77777777" w:rsidTr="004C7BEF">
        <w:trPr>
          <w:cantSplit/>
        </w:trPr>
        <w:tc>
          <w:tcPr>
            <w:tcW w:w="9639" w:type="dxa"/>
            <w:gridSpan w:val="6"/>
            <w:tcBorders>
              <w:bottom w:val="single" w:sz="4" w:space="0" w:color="BFBFBF"/>
            </w:tcBorders>
            <w:shd w:val="clear" w:color="auto" w:fill="auto"/>
            <w:noWrap/>
            <w:hideMark/>
          </w:tcPr>
          <w:p w14:paraId="5C8F5D5E" w14:textId="77777777" w:rsidR="0078495E" w:rsidRPr="00D02A2E" w:rsidRDefault="0078495E" w:rsidP="004C7BEF">
            <w:pPr>
              <w:pStyle w:val="ARtablenoteindent"/>
            </w:pPr>
            <w:r w:rsidRPr="00A53CB1">
              <w:t>Performance on this measure has been consistently higher than target.</w:t>
            </w:r>
          </w:p>
        </w:tc>
      </w:tr>
      <w:tr w:rsidR="0078495E" w:rsidRPr="00D02A2E" w14:paraId="778CC9F1" w14:textId="77777777" w:rsidTr="004C7BEF">
        <w:trPr>
          <w:cantSplit/>
        </w:trPr>
        <w:tc>
          <w:tcPr>
            <w:tcW w:w="9639" w:type="dxa"/>
            <w:gridSpan w:val="6"/>
            <w:tcBorders>
              <w:top w:val="single" w:sz="4" w:space="0" w:color="auto"/>
            </w:tcBorders>
            <w:shd w:val="clear" w:color="auto" w:fill="auto"/>
            <w:hideMark/>
          </w:tcPr>
          <w:p w14:paraId="5F771C7D" w14:textId="77777777" w:rsidR="0078495E" w:rsidRPr="00D02A2E" w:rsidRDefault="0078495E" w:rsidP="004C7BEF">
            <w:pPr>
              <w:pStyle w:val="ARtablegreybold"/>
              <w:rPr>
                <w:rFonts w:ascii="Wingdings" w:hAnsi="Wingdings"/>
              </w:rPr>
            </w:pPr>
            <w:r w:rsidRPr="00A53CB1">
              <w:t>Cost</w:t>
            </w:r>
          </w:p>
        </w:tc>
      </w:tr>
      <w:tr w:rsidR="0078495E" w:rsidRPr="00E97EFD" w14:paraId="6422AC6D" w14:textId="77777777" w:rsidTr="004C7BEF">
        <w:trPr>
          <w:cantSplit/>
        </w:trPr>
        <w:tc>
          <w:tcPr>
            <w:tcW w:w="4761" w:type="dxa"/>
            <w:shd w:val="clear" w:color="auto" w:fill="auto"/>
            <w:hideMark/>
          </w:tcPr>
          <w:p w14:paraId="6F2C0DEC" w14:textId="77777777" w:rsidR="0078495E" w:rsidRPr="00E97EFD" w:rsidRDefault="0078495E" w:rsidP="004C7BEF">
            <w:pPr>
              <w:pStyle w:val="ARtabletext"/>
              <w:rPr>
                <w:b/>
                <w:bCs/>
              </w:rPr>
            </w:pPr>
            <w:r w:rsidRPr="00E97EFD">
              <w:rPr>
                <w:b/>
                <w:bCs/>
              </w:rPr>
              <w:t>Total Output Cost</w:t>
            </w:r>
          </w:p>
        </w:tc>
        <w:tc>
          <w:tcPr>
            <w:tcW w:w="1021" w:type="dxa"/>
            <w:shd w:val="clear" w:color="auto" w:fill="auto"/>
            <w:hideMark/>
          </w:tcPr>
          <w:p w14:paraId="081EFBD1" w14:textId="77777777" w:rsidR="0078495E" w:rsidRPr="00E97EFD" w:rsidRDefault="0078495E" w:rsidP="004C7BEF">
            <w:pPr>
              <w:pStyle w:val="ARtabletextcentre"/>
              <w:rPr>
                <w:b/>
                <w:bCs/>
              </w:rPr>
            </w:pPr>
            <w:r w:rsidRPr="00E97EFD">
              <w:rPr>
                <w:b/>
                <w:bCs/>
              </w:rPr>
              <w:t>$ million</w:t>
            </w:r>
          </w:p>
        </w:tc>
        <w:tc>
          <w:tcPr>
            <w:tcW w:w="1021" w:type="dxa"/>
            <w:shd w:val="clear" w:color="auto" w:fill="auto"/>
            <w:hideMark/>
          </w:tcPr>
          <w:p w14:paraId="27AF35C1" w14:textId="77777777" w:rsidR="0078495E" w:rsidRPr="00E97EFD" w:rsidRDefault="0078495E" w:rsidP="004C7BEF">
            <w:pPr>
              <w:pStyle w:val="ARtabletextright"/>
              <w:rPr>
                <w:b/>
                <w:bCs/>
              </w:rPr>
            </w:pPr>
            <w:r w:rsidRPr="00E97EFD">
              <w:rPr>
                <w:b/>
                <w:bCs/>
              </w:rPr>
              <w:t>352.3</w:t>
            </w:r>
          </w:p>
        </w:tc>
        <w:tc>
          <w:tcPr>
            <w:tcW w:w="1021" w:type="dxa"/>
            <w:shd w:val="clear" w:color="auto" w:fill="auto"/>
            <w:hideMark/>
          </w:tcPr>
          <w:p w14:paraId="07ADE2C4" w14:textId="77777777" w:rsidR="0078495E" w:rsidRPr="00E97EFD" w:rsidRDefault="0078495E" w:rsidP="004C7BEF">
            <w:pPr>
              <w:pStyle w:val="ARtabletextright"/>
              <w:rPr>
                <w:b/>
                <w:bCs/>
              </w:rPr>
            </w:pPr>
            <w:r w:rsidRPr="00E97EFD">
              <w:rPr>
                <w:b/>
                <w:bCs/>
              </w:rPr>
              <w:t>320.6</w:t>
            </w:r>
          </w:p>
        </w:tc>
        <w:tc>
          <w:tcPr>
            <w:tcW w:w="1021" w:type="dxa"/>
            <w:shd w:val="clear" w:color="auto" w:fill="auto"/>
          </w:tcPr>
          <w:p w14:paraId="34E12EC7" w14:textId="77777777" w:rsidR="0078495E" w:rsidRPr="00E97EFD" w:rsidRDefault="0078495E" w:rsidP="004C7BEF">
            <w:pPr>
              <w:pStyle w:val="ARtabletextright"/>
              <w:rPr>
                <w:b/>
                <w:bCs/>
              </w:rPr>
            </w:pPr>
            <w:r w:rsidRPr="00E97EFD">
              <w:rPr>
                <w:b/>
                <w:bCs/>
              </w:rPr>
              <w:t>−9.0%</w:t>
            </w:r>
          </w:p>
        </w:tc>
        <w:tc>
          <w:tcPr>
            <w:tcW w:w="794" w:type="dxa"/>
            <w:shd w:val="clear" w:color="auto" w:fill="auto"/>
            <w:hideMark/>
          </w:tcPr>
          <w:p w14:paraId="3DCC5D43" w14:textId="77777777" w:rsidR="0078495E" w:rsidRPr="00E97EFD" w:rsidRDefault="0078495E" w:rsidP="004C7BEF">
            <w:pPr>
              <w:pStyle w:val="ARtabletextright"/>
              <w:rPr>
                <w:b/>
                <w:bCs/>
              </w:rPr>
            </w:pPr>
          </w:p>
        </w:tc>
      </w:tr>
      <w:tr w:rsidR="0078495E" w:rsidRPr="00D02A2E" w14:paraId="5B7B5915" w14:textId="77777777" w:rsidTr="004C7BEF">
        <w:trPr>
          <w:cantSplit/>
        </w:trPr>
        <w:tc>
          <w:tcPr>
            <w:tcW w:w="9639" w:type="dxa"/>
            <w:gridSpan w:val="6"/>
            <w:tcBorders>
              <w:bottom w:val="single" w:sz="4" w:space="0" w:color="auto"/>
            </w:tcBorders>
            <w:shd w:val="clear" w:color="auto" w:fill="auto"/>
            <w:noWrap/>
            <w:hideMark/>
          </w:tcPr>
          <w:p w14:paraId="213DD0AE" w14:textId="77777777" w:rsidR="0078495E" w:rsidRPr="00D02A2E" w:rsidRDefault="0078495E" w:rsidP="004C7BEF">
            <w:pPr>
              <w:pStyle w:val="ARtablenoteindent"/>
            </w:pPr>
            <w:r w:rsidRPr="00A53CB1">
              <w:t>The 2020–21 actual outcome primarily reflects funding requested to be carried over into 2022–23 and realignment of funding to Admitted Services output related to the COVID-19 response.</w:t>
            </w:r>
          </w:p>
        </w:tc>
      </w:tr>
    </w:tbl>
    <w:p w14:paraId="7201D031" w14:textId="72689232" w:rsidR="0078495E" w:rsidRDefault="0078495E" w:rsidP="00306875">
      <w:pPr>
        <w:pStyle w:val="Heading4"/>
        <w:spacing w:before="400"/>
      </w:pPr>
      <w:r>
        <w:t>Residential Aged Care</w:t>
      </w:r>
    </w:p>
    <w:p w14:paraId="6F457100" w14:textId="6FCEC551" w:rsidR="0078495E" w:rsidRDefault="0039413E" w:rsidP="0078495E">
      <w:pPr>
        <w:pStyle w:val="ARbody"/>
      </w:pPr>
      <w:r w:rsidRPr="0039413E">
        <w:t>This output includes delivery of services for older Victorians requiring ongoing care and support in a residential aged care setting.</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2C649504" w14:textId="77777777" w:rsidTr="004C7BEF">
        <w:trPr>
          <w:cantSplit/>
          <w:tblHeader/>
        </w:trPr>
        <w:tc>
          <w:tcPr>
            <w:tcW w:w="4761" w:type="dxa"/>
            <w:tcBorders>
              <w:bottom w:val="single" w:sz="4" w:space="0" w:color="auto"/>
            </w:tcBorders>
            <w:shd w:val="clear" w:color="auto" w:fill="auto"/>
            <w:vAlign w:val="bottom"/>
            <w:hideMark/>
          </w:tcPr>
          <w:p w14:paraId="4A9CD2F3"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7D55845F"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54C43762"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068D82A5"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7DD9B7D3"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246E0939" w14:textId="77777777" w:rsidR="0078495E" w:rsidRPr="00F72126" w:rsidRDefault="0078495E" w:rsidP="004C7BEF">
            <w:pPr>
              <w:pStyle w:val="ARtablecolheadright"/>
            </w:pPr>
            <w:r w:rsidRPr="00F72126">
              <w:t>Result</w:t>
            </w:r>
          </w:p>
        </w:tc>
      </w:tr>
      <w:tr w:rsidR="0078495E" w:rsidRPr="00D02A2E" w14:paraId="3620B1C1" w14:textId="77777777" w:rsidTr="004C7BEF">
        <w:trPr>
          <w:cantSplit/>
        </w:trPr>
        <w:tc>
          <w:tcPr>
            <w:tcW w:w="9639" w:type="dxa"/>
            <w:gridSpan w:val="6"/>
            <w:tcBorders>
              <w:top w:val="single" w:sz="4" w:space="0" w:color="auto"/>
            </w:tcBorders>
            <w:shd w:val="clear" w:color="auto" w:fill="auto"/>
            <w:hideMark/>
          </w:tcPr>
          <w:p w14:paraId="29B594F8" w14:textId="77777777" w:rsidR="0078495E" w:rsidRPr="00D02A2E" w:rsidRDefault="0078495E" w:rsidP="004C7BEF">
            <w:pPr>
              <w:pStyle w:val="ARtablegreybold"/>
              <w:rPr>
                <w:rFonts w:ascii="Wingdings" w:hAnsi="Wingdings"/>
              </w:rPr>
            </w:pPr>
            <w:r w:rsidRPr="007A45E9">
              <w:t>Quantity</w:t>
            </w:r>
          </w:p>
        </w:tc>
      </w:tr>
      <w:tr w:rsidR="0078495E" w:rsidRPr="00D02A2E" w14:paraId="5CB363C5" w14:textId="77777777" w:rsidTr="004C7BEF">
        <w:trPr>
          <w:cantSplit/>
        </w:trPr>
        <w:tc>
          <w:tcPr>
            <w:tcW w:w="4761" w:type="dxa"/>
            <w:shd w:val="clear" w:color="auto" w:fill="auto"/>
            <w:hideMark/>
          </w:tcPr>
          <w:p w14:paraId="1F5013C7" w14:textId="77777777" w:rsidR="0078495E" w:rsidRPr="00D02A2E" w:rsidRDefault="0078495E" w:rsidP="004C7BEF">
            <w:pPr>
              <w:pStyle w:val="ARtabletext"/>
            </w:pPr>
            <w:r w:rsidRPr="00273116">
              <w:t>Available bed days</w:t>
            </w:r>
          </w:p>
        </w:tc>
        <w:tc>
          <w:tcPr>
            <w:tcW w:w="1021" w:type="dxa"/>
            <w:shd w:val="clear" w:color="auto" w:fill="auto"/>
            <w:hideMark/>
          </w:tcPr>
          <w:p w14:paraId="5E138AE3" w14:textId="77777777" w:rsidR="0078495E" w:rsidRPr="00D02A2E" w:rsidRDefault="0078495E" w:rsidP="004C7BEF">
            <w:pPr>
              <w:pStyle w:val="ARtabletextcentre"/>
            </w:pPr>
            <w:r w:rsidRPr="00273116">
              <w:t>days</w:t>
            </w:r>
          </w:p>
        </w:tc>
        <w:tc>
          <w:tcPr>
            <w:tcW w:w="1021" w:type="dxa"/>
            <w:shd w:val="clear" w:color="auto" w:fill="auto"/>
            <w:hideMark/>
          </w:tcPr>
          <w:p w14:paraId="2EC41F40" w14:textId="77777777" w:rsidR="0078495E" w:rsidRDefault="0078495E" w:rsidP="004C7BEF">
            <w:pPr>
              <w:pStyle w:val="ARtabletextright"/>
            </w:pPr>
            <w:r w:rsidRPr="00273116">
              <w:t>1,153,718</w:t>
            </w:r>
          </w:p>
        </w:tc>
        <w:tc>
          <w:tcPr>
            <w:tcW w:w="1021" w:type="dxa"/>
            <w:shd w:val="clear" w:color="auto" w:fill="auto"/>
            <w:hideMark/>
          </w:tcPr>
          <w:p w14:paraId="34EFAC99" w14:textId="77777777" w:rsidR="0078495E" w:rsidRDefault="0078495E" w:rsidP="004C7BEF">
            <w:pPr>
              <w:pStyle w:val="ARtabletextright"/>
            </w:pPr>
            <w:r w:rsidRPr="00273116">
              <w:t>1,134,188</w:t>
            </w:r>
          </w:p>
        </w:tc>
        <w:tc>
          <w:tcPr>
            <w:tcW w:w="1021" w:type="dxa"/>
            <w:shd w:val="clear" w:color="auto" w:fill="auto"/>
          </w:tcPr>
          <w:p w14:paraId="69BD34F5" w14:textId="77777777" w:rsidR="0078495E" w:rsidRDefault="0078495E" w:rsidP="004C7BEF">
            <w:pPr>
              <w:pStyle w:val="ARtabletextright"/>
            </w:pPr>
            <w:r w:rsidRPr="00273116">
              <w:t>−1.7%</w:t>
            </w:r>
          </w:p>
        </w:tc>
        <w:tc>
          <w:tcPr>
            <w:tcW w:w="794" w:type="dxa"/>
            <w:shd w:val="clear" w:color="auto" w:fill="auto"/>
            <w:hideMark/>
          </w:tcPr>
          <w:p w14:paraId="1AA590DE" w14:textId="77777777" w:rsidR="0078495E" w:rsidRPr="00D02A2E" w:rsidRDefault="0078495E" w:rsidP="004C7BEF">
            <w:pPr>
              <w:pStyle w:val="ARtableperformancesymbol"/>
              <w:rPr>
                <w:rFonts w:hint="eastAsia"/>
              </w:rPr>
            </w:pPr>
            <w:r w:rsidRPr="00273116">
              <w:t></w:t>
            </w:r>
          </w:p>
        </w:tc>
      </w:tr>
      <w:tr w:rsidR="0078495E" w:rsidRPr="00D02A2E" w14:paraId="5E366FA7" w14:textId="77777777" w:rsidTr="00355D7B">
        <w:trPr>
          <w:cantSplit/>
        </w:trPr>
        <w:tc>
          <w:tcPr>
            <w:tcW w:w="9639" w:type="dxa"/>
            <w:gridSpan w:val="6"/>
            <w:tcBorders>
              <w:top w:val="single" w:sz="4" w:space="0" w:color="auto"/>
            </w:tcBorders>
            <w:shd w:val="clear" w:color="auto" w:fill="auto"/>
            <w:hideMark/>
          </w:tcPr>
          <w:p w14:paraId="69077593" w14:textId="77777777" w:rsidR="0078495E" w:rsidRPr="00D02A2E" w:rsidRDefault="0078495E" w:rsidP="004C7BEF">
            <w:pPr>
              <w:pStyle w:val="ARtablegreybold"/>
              <w:rPr>
                <w:rFonts w:ascii="Wingdings" w:hAnsi="Wingdings"/>
              </w:rPr>
            </w:pPr>
            <w:r w:rsidRPr="00273116">
              <w:t>Quality</w:t>
            </w:r>
          </w:p>
        </w:tc>
      </w:tr>
      <w:tr w:rsidR="0078495E" w:rsidRPr="00D02A2E" w14:paraId="65AD47BA" w14:textId="77777777" w:rsidTr="00355D7B">
        <w:trPr>
          <w:cantSplit/>
        </w:trPr>
        <w:tc>
          <w:tcPr>
            <w:tcW w:w="4761" w:type="dxa"/>
            <w:tcBorders>
              <w:bottom w:val="single" w:sz="4" w:space="0" w:color="auto"/>
            </w:tcBorders>
            <w:shd w:val="clear" w:color="auto" w:fill="auto"/>
            <w:hideMark/>
          </w:tcPr>
          <w:p w14:paraId="69663F0B" w14:textId="77777777" w:rsidR="0078495E" w:rsidRPr="00D02A2E" w:rsidRDefault="0078495E" w:rsidP="004C7BEF">
            <w:pPr>
              <w:pStyle w:val="ARtabletext"/>
            </w:pPr>
            <w:r w:rsidRPr="00273116">
              <w:t>Residential care services accredited</w:t>
            </w:r>
          </w:p>
        </w:tc>
        <w:tc>
          <w:tcPr>
            <w:tcW w:w="1021" w:type="dxa"/>
            <w:tcBorders>
              <w:bottom w:val="single" w:sz="4" w:space="0" w:color="auto"/>
            </w:tcBorders>
            <w:shd w:val="clear" w:color="auto" w:fill="auto"/>
            <w:hideMark/>
          </w:tcPr>
          <w:p w14:paraId="128D7FFC" w14:textId="77777777" w:rsidR="0078495E" w:rsidRPr="00D02A2E" w:rsidRDefault="0078495E" w:rsidP="004C7BEF">
            <w:pPr>
              <w:pStyle w:val="ARtabletextcentre"/>
            </w:pPr>
            <w:r w:rsidRPr="00273116">
              <w:t>per cent</w:t>
            </w:r>
          </w:p>
        </w:tc>
        <w:tc>
          <w:tcPr>
            <w:tcW w:w="1021" w:type="dxa"/>
            <w:tcBorders>
              <w:bottom w:val="single" w:sz="4" w:space="0" w:color="auto"/>
            </w:tcBorders>
            <w:shd w:val="clear" w:color="auto" w:fill="auto"/>
            <w:hideMark/>
          </w:tcPr>
          <w:p w14:paraId="5973AB1B" w14:textId="77777777" w:rsidR="0078495E" w:rsidRDefault="0078495E" w:rsidP="004C7BEF">
            <w:pPr>
              <w:pStyle w:val="ARtabletextright"/>
            </w:pPr>
            <w:r w:rsidRPr="00273116">
              <w:t>100</w:t>
            </w:r>
          </w:p>
        </w:tc>
        <w:tc>
          <w:tcPr>
            <w:tcW w:w="1021" w:type="dxa"/>
            <w:tcBorders>
              <w:bottom w:val="single" w:sz="4" w:space="0" w:color="auto"/>
            </w:tcBorders>
            <w:shd w:val="clear" w:color="auto" w:fill="auto"/>
            <w:hideMark/>
          </w:tcPr>
          <w:p w14:paraId="45780C5D" w14:textId="77777777" w:rsidR="0078495E" w:rsidRDefault="0078495E" w:rsidP="004C7BEF">
            <w:pPr>
              <w:pStyle w:val="ARtabletextright"/>
            </w:pPr>
            <w:r w:rsidRPr="00273116">
              <w:t>100</w:t>
            </w:r>
          </w:p>
        </w:tc>
        <w:tc>
          <w:tcPr>
            <w:tcW w:w="1021" w:type="dxa"/>
            <w:tcBorders>
              <w:bottom w:val="single" w:sz="4" w:space="0" w:color="auto"/>
            </w:tcBorders>
            <w:shd w:val="clear" w:color="auto" w:fill="auto"/>
          </w:tcPr>
          <w:p w14:paraId="297F38A8" w14:textId="77777777" w:rsidR="0078495E" w:rsidRDefault="0078495E" w:rsidP="004C7BEF">
            <w:pPr>
              <w:pStyle w:val="ARtabletextright"/>
            </w:pPr>
            <w:r w:rsidRPr="00273116">
              <w:t>0.0%</w:t>
            </w:r>
          </w:p>
        </w:tc>
        <w:tc>
          <w:tcPr>
            <w:tcW w:w="794" w:type="dxa"/>
            <w:tcBorders>
              <w:bottom w:val="single" w:sz="4" w:space="0" w:color="auto"/>
            </w:tcBorders>
            <w:shd w:val="clear" w:color="auto" w:fill="auto"/>
            <w:hideMark/>
          </w:tcPr>
          <w:p w14:paraId="10AD5BF4" w14:textId="77777777" w:rsidR="0078495E" w:rsidRPr="00D02A2E" w:rsidRDefault="0078495E" w:rsidP="004C7BEF">
            <w:pPr>
              <w:pStyle w:val="ARtableperformancesymbol"/>
              <w:rPr>
                <w:rFonts w:hint="eastAsia"/>
              </w:rPr>
            </w:pPr>
            <w:r w:rsidRPr="00273116">
              <w:t></w:t>
            </w:r>
          </w:p>
        </w:tc>
      </w:tr>
      <w:tr w:rsidR="0078495E" w:rsidRPr="00D02A2E" w14:paraId="40DB160C" w14:textId="77777777" w:rsidTr="00355D7B">
        <w:trPr>
          <w:cantSplit/>
        </w:trPr>
        <w:tc>
          <w:tcPr>
            <w:tcW w:w="9639" w:type="dxa"/>
            <w:gridSpan w:val="6"/>
            <w:tcBorders>
              <w:top w:val="single" w:sz="4" w:space="0" w:color="auto"/>
            </w:tcBorders>
            <w:shd w:val="clear" w:color="auto" w:fill="auto"/>
            <w:hideMark/>
          </w:tcPr>
          <w:p w14:paraId="43A58B3A" w14:textId="77777777" w:rsidR="0078495E" w:rsidRPr="00D02A2E" w:rsidRDefault="0078495E" w:rsidP="004C7BEF">
            <w:pPr>
              <w:pStyle w:val="ARtablegreybold"/>
              <w:rPr>
                <w:rFonts w:ascii="Wingdings" w:hAnsi="Wingdings"/>
              </w:rPr>
            </w:pPr>
            <w:r w:rsidRPr="00273116">
              <w:t>Cost</w:t>
            </w:r>
          </w:p>
        </w:tc>
      </w:tr>
      <w:tr w:rsidR="0078495E" w:rsidRPr="006C2224" w14:paraId="09625224" w14:textId="77777777" w:rsidTr="004C7BEF">
        <w:trPr>
          <w:cantSplit/>
        </w:trPr>
        <w:tc>
          <w:tcPr>
            <w:tcW w:w="4761" w:type="dxa"/>
            <w:shd w:val="clear" w:color="auto" w:fill="auto"/>
            <w:hideMark/>
          </w:tcPr>
          <w:p w14:paraId="2FE9AC5E" w14:textId="77777777" w:rsidR="0078495E" w:rsidRPr="006C2224" w:rsidRDefault="0078495E" w:rsidP="004C7BEF">
            <w:pPr>
              <w:pStyle w:val="ARtabletext"/>
              <w:rPr>
                <w:b/>
                <w:bCs/>
              </w:rPr>
            </w:pPr>
            <w:r w:rsidRPr="006C2224">
              <w:rPr>
                <w:b/>
                <w:bCs/>
              </w:rPr>
              <w:t>Total Output Cost</w:t>
            </w:r>
          </w:p>
        </w:tc>
        <w:tc>
          <w:tcPr>
            <w:tcW w:w="1021" w:type="dxa"/>
            <w:shd w:val="clear" w:color="auto" w:fill="auto"/>
            <w:hideMark/>
          </w:tcPr>
          <w:p w14:paraId="32865C1B" w14:textId="77777777" w:rsidR="0078495E" w:rsidRPr="006C2224" w:rsidRDefault="0078495E" w:rsidP="004C7BEF">
            <w:pPr>
              <w:pStyle w:val="ARtabletextcentre"/>
              <w:rPr>
                <w:b/>
                <w:bCs/>
              </w:rPr>
            </w:pPr>
            <w:r w:rsidRPr="006C2224">
              <w:rPr>
                <w:b/>
                <w:bCs/>
              </w:rPr>
              <w:t>$ million</w:t>
            </w:r>
          </w:p>
        </w:tc>
        <w:tc>
          <w:tcPr>
            <w:tcW w:w="1021" w:type="dxa"/>
            <w:shd w:val="clear" w:color="auto" w:fill="auto"/>
            <w:hideMark/>
          </w:tcPr>
          <w:p w14:paraId="678835FF" w14:textId="77777777" w:rsidR="0078495E" w:rsidRPr="006C2224" w:rsidRDefault="0078495E" w:rsidP="004C7BEF">
            <w:pPr>
              <w:pStyle w:val="ARtabletextright"/>
              <w:rPr>
                <w:b/>
                <w:bCs/>
              </w:rPr>
            </w:pPr>
            <w:r w:rsidRPr="006C2224">
              <w:rPr>
                <w:b/>
                <w:bCs/>
              </w:rPr>
              <w:t>436.1</w:t>
            </w:r>
          </w:p>
        </w:tc>
        <w:tc>
          <w:tcPr>
            <w:tcW w:w="1021" w:type="dxa"/>
            <w:shd w:val="clear" w:color="auto" w:fill="auto"/>
            <w:hideMark/>
          </w:tcPr>
          <w:p w14:paraId="6F8C6EB2" w14:textId="77777777" w:rsidR="0078495E" w:rsidRPr="006C2224" w:rsidRDefault="0078495E" w:rsidP="004C7BEF">
            <w:pPr>
              <w:pStyle w:val="ARtabletextright"/>
              <w:rPr>
                <w:b/>
                <w:bCs/>
              </w:rPr>
            </w:pPr>
            <w:r w:rsidRPr="006C2224">
              <w:rPr>
                <w:b/>
                <w:bCs/>
              </w:rPr>
              <w:t>417.0</w:t>
            </w:r>
          </w:p>
        </w:tc>
        <w:tc>
          <w:tcPr>
            <w:tcW w:w="1021" w:type="dxa"/>
            <w:shd w:val="clear" w:color="auto" w:fill="auto"/>
          </w:tcPr>
          <w:p w14:paraId="797F948D" w14:textId="77777777" w:rsidR="0078495E" w:rsidRPr="006C2224" w:rsidRDefault="0078495E" w:rsidP="004C7BEF">
            <w:pPr>
              <w:pStyle w:val="ARtabletextright"/>
              <w:rPr>
                <w:b/>
                <w:bCs/>
              </w:rPr>
            </w:pPr>
            <w:r w:rsidRPr="006C2224">
              <w:rPr>
                <w:b/>
                <w:bCs/>
              </w:rPr>
              <w:t>−4.4%</w:t>
            </w:r>
          </w:p>
        </w:tc>
        <w:tc>
          <w:tcPr>
            <w:tcW w:w="794" w:type="dxa"/>
            <w:shd w:val="clear" w:color="auto" w:fill="auto"/>
            <w:hideMark/>
          </w:tcPr>
          <w:p w14:paraId="2E72E906" w14:textId="77777777" w:rsidR="0078495E" w:rsidRPr="006C2224" w:rsidRDefault="0078495E" w:rsidP="004C7BEF">
            <w:pPr>
              <w:pStyle w:val="ARtabletextright"/>
              <w:rPr>
                <w:b/>
                <w:bCs/>
              </w:rPr>
            </w:pPr>
          </w:p>
        </w:tc>
      </w:tr>
      <w:tr w:rsidR="0078495E" w:rsidRPr="00D02A2E" w14:paraId="4315525A" w14:textId="77777777" w:rsidTr="004C7BEF">
        <w:trPr>
          <w:cantSplit/>
        </w:trPr>
        <w:tc>
          <w:tcPr>
            <w:tcW w:w="9639" w:type="dxa"/>
            <w:gridSpan w:val="6"/>
            <w:tcBorders>
              <w:bottom w:val="single" w:sz="4" w:space="0" w:color="auto"/>
            </w:tcBorders>
            <w:shd w:val="clear" w:color="auto" w:fill="auto"/>
            <w:noWrap/>
            <w:hideMark/>
          </w:tcPr>
          <w:p w14:paraId="1BF5E315" w14:textId="77777777" w:rsidR="0078495E" w:rsidRPr="00D02A2E" w:rsidRDefault="0078495E" w:rsidP="004C7BEF">
            <w:pPr>
              <w:pStyle w:val="ARtablenoteindent"/>
            </w:pPr>
            <w:r w:rsidRPr="00273116">
              <w:t>The 2021–22 actual outcome reflects the impact of realignment of funding to Aged Support Services output.</w:t>
            </w:r>
          </w:p>
        </w:tc>
      </w:tr>
    </w:tbl>
    <w:p w14:paraId="57AECECF" w14:textId="4D2816B4" w:rsidR="0078495E" w:rsidRDefault="0078495E" w:rsidP="00306875">
      <w:pPr>
        <w:pStyle w:val="Heading4"/>
        <w:spacing w:before="400"/>
      </w:pPr>
      <w:r>
        <w:t>Aged Care Assessment</w:t>
      </w:r>
    </w:p>
    <w:p w14:paraId="1A23672F" w14:textId="60044F60" w:rsidR="0078495E" w:rsidRDefault="00FC29C6" w:rsidP="0078495E">
      <w:pPr>
        <w:pStyle w:val="ARbody"/>
      </w:pPr>
      <w:r w:rsidRPr="00FC29C6">
        <w:t>This output includes delivery of comprehensive assessment of older Victorians’ requirements for treatment and residential aged care services.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43517FED" w14:textId="77777777" w:rsidTr="004C7BEF">
        <w:trPr>
          <w:cantSplit/>
          <w:tblHeader/>
        </w:trPr>
        <w:tc>
          <w:tcPr>
            <w:tcW w:w="4761" w:type="dxa"/>
            <w:tcBorders>
              <w:bottom w:val="single" w:sz="4" w:space="0" w:color="auto"/>
            </w:tcBorders>
            <w:shd w:val="clear" w:color="auto" w:fill="auto"/>
            <w:vAlign w:val="bottom"/>
            <w:hideMark/>
          </w:tcPr>
          <w:p w14:paraId="6840C944"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18762F64"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0904C235"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169B2B8C"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59E2477D"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58DD7800" w14:textId="77777777" w:rsidR="0078495E" w:rsidRPr="00F72126" w:rsidRDefault="0078495E" w:rsidP="004C7BEF">
            <w:pPr>
              <w:pStyle w:val="ARtablecolheadright"/>
            </w:pPr>
            <w:r w:rsidRPr="00F72126">
              <w:t>Result</w:t>
            </w:r>
          </w:p>
        </w:tc>
      </w:tr>
      <w:tr w:rsidR="0078495E" w:rsidRPr="00D02A2E" w14:paraId="6FF16D20" w14:textId="77777777" w:rsidTr="004C7BEF">
        <w:trPr>
          <w:cantSplit/>
        </w:trPr>
        <w:tc>
          <w:tcPr>
            <w:tcW w:w="9639" w:type="dxa"/>
            <w:gridSpan w:val="6"/>
            <w:tcBorders>
              <w:top w:val="single" w:sz="4" w:space="0" w:color="auto"/>
            </w:tcBorders>
            <w:shd w:val="clear" w:color="auto" w:fill="auto"/>
            <w:hideMark/>
          </w:tcPr>
          <w:p w14:paraId="28A57E77" w14:textId="77777777" w:rsidR="0078495E" w:rsidRPr="00D02A2E" w:rsidRDefault="0078495E" w:rsidP="004C7BEF">
            <w:pPr>
              <w:pStyle w:val="ARtablegreybold"/>
              <w:rPr>
                <w:rFonts w:ascii="Wingdings" w:hAnsi="Wingdings"/>
              </w:rPr>
            </w:pPr>
            <w:r w:rsidRPr="007A45E9">
              <w:t>Quantity</w:t>
            </w:r>
          </w:p>
        </w:tc>
      </w:tr>
      <w:tr w:rsidR="0078495E" w:rsidRPr="00D02A2E" w14:paraId="6261BC1B" w14:textId="77777777" w:rsidTr="004C7BEF">
        <w:trPr>
          <w:cantSplit/>
        </w:trPr>
        <w:tc>
          <w:tcPr>
            <w:tcW w:w="4761" w:type="dxa"/>
            <w:shd w:val="clear" w:color="auto" w:fill="auto"/>
            <w:hideMark/>
          </w:tcPr>
          <w:p w14:paraId="1BF452EC" w14:textId="77777777" w:rsidR="0078495E" w:rsidRPr="00D02A2E" w:rsidRDefault="0078495E" w:rsidP="004C7BEF">
            <w:pPr>
              <w:pStyle w:val="ARtabletext"/>
            </w:pPr>
            <w:r w:rsidRPr="00876E0A">
              <w:t>Aged care assessments</w:t>
            </w:r>
          </w:p>
        </w:tc>
        <w:tc>
          <w:tcPr>
            <w:tcW w:w="1021" w:type="dxa"/>
            <w:shd w:val="clear" w:color="auto" w:fill="auto"/>
            <w:hideMark/>
          </w:tcPr>
          <w:p w14:paraId="071DE99A" w14:textId="77777777" w:rsidR="0078495E" w:rsidRPr="00D02A2E" w:rsidRDefault="0078495E" w:rsidP="004C7BEF">
            <w:pPr>
              <w:pStyle w:val="ARtabletextcentre"/>
            </w:pPr>
            <w:r w:rsidRPr="00876E0A">
              <w:t>number</w:t>
            </w:r>
          </w:p>
        </w:tc>
        <w:tc>
          <w:tcPr>
            <w:tcW w:w="1021" w:type="dxa"/>
            <w:shd w:val="clear" w:color="auto" w:fill="auto"/>
            <w:hideMark/>
          </w:tcPr>
          <w:p w14:paraId="21975F76" w14:textId="77777777" w:rsidR="0078495E" w:rsidRDefault="0078495E" w:rsidP="004C7BEF">
            <w:pPr>
              <w:pStyle w:val="ARtabletextright"/>
            </w:pPr>
            <w:r w:rsidRPr="00876E0A">
              <w:t>59,000</w:t>
            </w:r>
          </w:p>
        </w:tc>
        <w:tc>
          <w:tcPr>
            <w:tcW w:w="1021" w:type="dxa"/>
            <w:shd w:val="clear" w:color="auto" w:fill="auto"/>
            <w:hideMark/>
          </w:tcPr>
          <w:p w14:paraId="4735F348" w14:textId="77777777" w:rsidR="0078495E" w:rsidRDefault="0078495E" w:rsidP="004C7BEF">
            <w:pPr>
              <w:pStyle w:val="ARtabletextright"/>
            </w:pPr>
            <w:r w:rsidRPr="00876E0A">
              <w:t>53,245</w:t>
            </w:r>
          </w:p>
        </w:tc>
        <w:tc>
          <w:tcPr>
            <w:tcW w:w="1021" w:type="dxa"/>
            <w:shd w:val="clear" w:color="auto" w:fill="auto"/>
          </w:tcPr>
          <w:p w14:paraId="7BC2DA95" w14:textId="77777777" w:rsidR="0078495E" w:rsidRDefault="0078495E" w:rsidP="004C7BEF">
            <w:pPr>
              <w:pStyle w:val="ARtabletextright"/>
            </w:pPr>
            <w:r w:rsidRPr="00876E0A">
              <w:t>−9.8%</w:t>
            </w:r>
          </w:p>
        </w:tc>
        <w:tc>
          <w:tcPr>
            <w:tcW w:w="794" w:type="dxa"/>
            <w:shd w:val="clear" w:color="auto" w:fill="auto"/>
            <w:hideMark/>
          </w:tcPr>
          <w:p w14:paraId="7D4886A1" w14:textId="77777777" w:rsidR="0078495E" w:rsidRPr="00D02A2E" w:rsidRDefault="0078495E" w:rsidP="004C7BEF">
            <w:pPr>
              <w:pStyle w:val="ARtableperformancesymbol"/>
              <w:rPr>
                <w:rFonts w:hint="eastAsia"/>
              </w:rPr>
            </w:pPr>
            <w:r w:rsidRPr="00876E0A">
              <w:t></w:t>
            </w:r>
          </w:p>
        </w:tc>
      </w:tr>
      <w:tr w:rsidR="0078495E" w:rsidRPr="00D02A2E" w14:paraId="2113CDD6" w14:textId="77777777" w:rsidTr="004C7BEF">
        <w:trPr>
          <w:cantSplit/>
        </w:trPr>
        <w:tc>
          <w:tcPr>
            <w:tcW w:w="9639" w:type="dxa"/>
            <w:gridSpan w:val="6"/>
            <w:tcBorders>
              <w:bottom w:val="single" w:sz="4" w:space="0" w:color="BFBFBF"/>
            </w:tcBorders>
            <w:shd w:val="clear" w:color="auto" w:fill="auto"/>
            <w:noWrap/>
            <w:hideMark/>
          </w:tcPr>
          <w:p w14:paraId="5A7A4E1E" w14:textId="7CE68490" w:rsidR="0078495E" w:rsidRPr="00D02A2E" w:rsidRDefault="0078495E" w:rsidP="004C7BEF">
            <w:pPr>
              <w:pStyle w:val="ARtablenoteindent"/>
            </w:pPr>
            <w:r w:rsidRPr="00876E0A">
              <w:t>Activity volume has been impacted by COVID-19 issues</w:t>
            </w:r>
            <w:r w:rsidR="00F50D63">
              <w:t>,</w:t>
            </w:r>
            <w:r w:rsidRPr="00876E0A">
              <w:t xml:space="preserve"> including workforce retention, recruitment and redeployment to support urgent health responses. Staff retention and recruitment have been impacted by COVID-19 workforce fatigue and uncertainty in the sector regarding impacts of </w:t>
            </w:r>
            <w:r w:rsidRPr="004931FC">
              <w:t>the</w:t>
            </w:r>
            <w:r w:rsidR="00C80CD2" w:rsidRPr="004931FC">
              <w:t xml:space="preserve"> Commonwealth’s</w:t>
            </w:r>
            <w:r w:rsidRPr="00C80CD2">
              <w:t xml:space="preserve"> </w:t>
            </w:r>
            <w:r w:rsidR="00C80CD2">
              <w:t>a</w:t>
            </w:r>
            <w:r w:rsidRPr="00C80CD2">
              <w:t xml:space="preserve">ged </w:t>
            </w:r>
            <w:r w:rsidR="00C80CD2" w:rsidRPr="00240897">
              <w:t>c</w:t>
            </w:r>
            <w:r w:rsidRPr="00C80CD2">
              <w:t xml:space="preserve">are </w:t>
            </w:r>
            <w:r w:rsidR="00C80CD2" w:rsidRPr="00240897">
              <w:t>r</w:t>
            </w:r>
            <w:r w:rsidRPr="00C80CD2">
              <w:t>eform</w:t>
            </w:r>
            <w:r w:rsidR="00C80CD2" w:rsidRPr="00C80CD2">
              <w:t>s</w:t>
            </w:r>
            <w:r w:rsidRPr="00876E0A">
              <w:t>.</w:t>
            </w:r>
            <w:r w:rsidRPr="00876E0A" w:rsidDel="00F50D63">
              <w:t xml:space="preserve"> </w:t>
            </w:r>
            <w:r w:rsidR="00F50D63">
              <w:t>The result</w:t>
            </w:r>
            <w:r w:rsidR="00F50D63" w:rsidRPr="00876E0A">
              <w:t xml:space="preserve"> </w:t>
            </w:r>
            <w:r w:rsidRPr="00876E0A">
              <w:t>also reflects delayed uptake by clients seeking face to face assessments instead of telephone or telehealth modes. There has been increased demand for support plan reviews (SPR)</w:t>
            </w:r>
            <w:r w:rsidR="00F50D63">
              <w:t>,</w:t>
            </w:r>
            <w:r w:rsidRPr="00876E0A">
              <w:t xml:space="preserve"> which are not fully counted in this measure. </w:t>
            </w:r>
            <w:r w:rsidR="00C80CD2">
              <w:t>In addition,</w:t>
            </w:r>
            <w:r w:rsidRPr="00876E0A" w:rsidDel="000E6970">
              <w:t xml:space="preserve"> </w:t>
            </w:r>
            <w:r w:rsidR="000E6970">
              <w:t xml:space="preserve">the </w:t>
            </w:r>
            <w:r w:rsidRPr="00876E0A">
              <w:t>assessments and SPRs</w:t>
            </w:r>
            <w:r w:rsidR="000E6970">
              <w:t xml:space="preserve"> have been more complex</w:t>
            </w:r>
            <w:r w:rsidRPr="00876E0A">
              <w:t>, most likely as a response to delayed assessment and care for clients during COVID-19.</w:t>
            </w:r>
          </w:p>
        </w:tc>
      </w:tr>
      <w:tr w:rsidR="0078495E" w:rsidRPr="00D02A2E" w14:paraId="2A72F0E5" w14:textId="77777777" w:rsidTr="00D626AE">
        <w:trPr>
          <w:cantSplit/>
        </w:trPr>
        <w:tc>
          <w:tcPr>
            <w:tcW w:w="9639" w:type="dxa"/>
            <w:gridSpan w:val="6"/>
            <w:tcBorders>
              <w:top w:val="single" w:sz="4" w:space="0" w:color="auto"/>
            </w:tcBorders>
            <w:shd w:val="clear" w:color="auto" w:fill="auto"/>
            <w:hideMark/>
          </w:tcPr>
          <w:p w14:paraId="0FCC44AA" w14:textId="77777777" w:rsidR="0078495E" w:rsidRPr="00D02A2E" w:rsidRDefault="0078495E" w:rsidP="004C7BEF">
            <w:pPr>
              <w:pStyle w:val="ARtablegreybold"/>
              <w:rPr>
                <w:rFonts w:ascii="Wingdings" w:hAnsi="Wingdings"/>
              </w:rPr>
            </w:pPr>
            <w:r>
              <w:t>Timeliness</w:t>
            </w:r>
          </w:p>
        </w:tc>
      </w:tr>
      <w:tr w:rsidR="0078495E" w:rsidRPr="00D02A2E" w14:paraId="4AAA5842" w14:textId="77777777" w:rsidTr="00D626AE">
        <w:trPr>
          <w:cantSplit/>
        </w:trPr>
        <w:tc>
          <w:tcPr>
            <w:tcW w:w="4761" w:type="dxa"/>
            <w:shd w:val="clear" w:color="auto" w:fill="auto"/>
            <w:hideMark/>
          </w:tcPr>
          <w:p w14:paraId="16905171" w14:textId="65220CD4" w:rsidR="0078495E" w:rsidRPr="00D02A2E" w:rsidRDefault="0078495E" w:rsidP="00E23E3F">
            <w:pPr>
              <w:pStyle w:val="ARtabletext"/>
            </w:pPr>
            <w:r w:rsidRPr="00C20357">
              <w:t>Average waiting time (calendar days) from referral to assessment</w:t>
            </w:r>
          </w:p>
        </w:tc>
        <w:tc>
          <w:tcPr>
            <w:tcW w:w="1021" w:type="dxa"/>
            <w:shd w:val="clear" w:color="auto" w:fill="auto"/>
            <w:hideMark/>
          </w:tcPr>
          <w:p w14:paraId="39912422" w14:textId="77777777" w:rsidR="0078495E" w:rsidRPr="00D02A2E" w:rsidRDefault="0078495E" w:rsidP="004C7BEF">
            <w:pPr>
              <w:pStyle w:val="ARtabletextcentre"/>
            </w:pPr>
            <w:r w:rsidRPr="00C20357">
              <w:t>days</w:t>
            </w:r>
          </w:p>
        </w:tc>
        <w:tc>
          <w:tcPr>
            <w:tcW w:w="1021" w:type="dxa"/>
            <w:shd w:val="clear" w:color="auto" w:fill="auto"/>
            <w:hideMark/>
          </w:tcPr>
          <w:p w14:paraId="1023FC27" w14:textId="77777777" w:rsidR="0078495E" w:rsidRDefault="0078495E" w:rsidP="004C7BEF">
            <w:pPr>
              <w:pStyle w:val="ARtabletextright"/>
            </w:pPr>
            <w:r w:rsidRPr="00C20357">
              <w:t>16</w:t>
            </w:r>
          </w:p>
        </w:tc>
        <w:tc>
          <w:tcPr>
            <w:tcW w:w="1021" w:type="dxa"/>
            <w:shd w:val="clear" w:color="auto" w:fill="auto"/>
            <w:hideMark/>
          </w:tcPr>
          <w:p w14:paraId="4F8D28CD" w14:textId="77777777" w:rsidR="0078495E" w:rsidRDefault="0078495E" w:rsidP="004C7BEF">
            <w:pPr>
              <w:pStyle w:val="ARtabletextright"/>
            </w:pPr>
            <w:r w:rsidRPr="00C20357">
              <w:t>13</w:t>
            </w:r>
          </w:p>
        </w:tc>
        <w:tc>
          <w:tcPr>
            <w:tcW w:w="1021" w:type="dxa"/>
            <w:shd w:val="clear" w:color="auto" w:fill="auto"/>
          </w:tcPr>
          <w:p w14:paraId="756328FF" w14:textId="77777777" w:rsidR="0078495E" w:rsidRDefault="0078495E" w:rsidP="004C7BEF">
            <w:pPr>
              <w:pStyle w:val="ARtabletextright"/>
            </w:pPr>
            <w:r w:rsidRPr="00C20357">
              <w:t>−18.8%</w:t>
            </w:r>
          </w:p>
        </w:tc>
        <w:tc>
          <w:tcPr>
            <w:tcW w:w="794" w:type="dxa"/>
            <w:shd w:val="clear" w:color="auto" w:fill="auto"/>
            <w:hideMark/>
          </w:tcPr>
          <w:p w14:paraId="7828A762" w14:textId="77777777" w:rsidR="0078495E" w:rsidRPr="00D02A2E" w:rsidRDefault="0078495E" w:rsidP="004C7BEF">
            <w:pPr>
              <w:pStyle w:val="ARtableperformancesymbol"/>
              <w:rPr>
                <w:rFonts w:hint="eastAsia"/>
              </w:rPr>
            </w:pPr>
            <w:r w:rsidRPr="00C20357">
              <w:t></w:t>
            </w:r>
          </w:p>
        </w:tc>
      </w:tr>
      <w:tr w:rsidR="00875B23" w:rsidRPr="00D02A2E" w14:paraId="3ED0373C" w14:textId="77777777" w:rsidTr="00D626AE">
        <w:trPr>
          <w:cantSplit/>
        </w:trPr>
        <w:tc>
          <w:tcPr>
            <w:tcW w:w="9639" w:type="dxa"/>
            <w:gridSpan w:val="6"/>
            <w:tcBorders>
              <w:bottom w:val="single" w:sz="4" w:space="0" w:color="BFBFBF"/>
            </w:tcBorders>
            <w:shd w:val="clear" w:color="auto" w:fill="auto"/>
          </w:tcPr>
          <w:p w14:paraId="45EA0BB7" w14:textId="420A76D7" w:rsidR="00875B23" w:rsidRPr="00C20357" w:rsidRDefault="00875B23" w:rsidP="00E23E3F">
            <w:pPr>
              <w:pStyle w:val="ARtablenoteindent"/>
            </w:pPr>
            <w:r>
              <w:t xml:space="preserve">This is </w:t>
            </w:r>
            <w:r w:rsidR="003E0110">
              <w:t xml:space="preserve">a </w:t>
            </w:r>
            <w:r>
              <w:t>favourable result.</w:t>
            </w:r>
          </w:p>
        </w:tc>
      </w:tr>
      <w:tr w:rsidR="0078495E" w:rsidRPr="00D02A2E" w14:paraId="73EEFB12" w14:textId="77777777" w:rsidTr="004C7BEF">
        <w:trPr>
          <w:cantSplit/>
        </w:trPr>
        <w:tc>
          <w:tcPr>
            <w:tcW w:w="4761" w:type="dxa"/>
            <w:tcBorders>
              <w:top w:val="single" w:sz="4" w:space="0" w:color="BFBFBF"/>
              <w:bottom w:val="single" w:sz="4" w:space="0" w:color="BFBFBF"/>
            </w:tcBorders>
            <w:shd w:val="clear" w:color="auto" w:fill="auto"/>
            <w:hideMark/>
          </w:tcPr>
          <w:p w14:paraId="0408A6FC" w14:textId="502EBD55" w:rsidR="0078495E" w:rsidRPr="00D02A2E" w:rsidRDefault="0078495E" w:rsidP="004C7BEF">
            <w:pPr>
              <w:pStyle w:val="ARtabletext"/>
            </w:pPr>
            <w:r w:rsidRPr="00C20357">
              <w:t>Percentage of high</w:t>
            </w:r>
            <w:r w:rsidR="00F50D63">
              <w:t>-</w:t>
            </w:r>
            <w:r w:rsidRPr="00C20357">
              <w:t>priority clients assessed within the appropriate time in all settings</w:t>
            </w:r>
          </w:p>
        </w:tc>
        <w:tc>
          <w:tcPr>
            <w:tcW w:w="1021" w:type="dxa"/>
            <w:tcBorders>
              <w:top w:val="single" w:sz="4" w:space="0" w:color="BFBFBF"/>
              <w:bottom w:val="single" w:sz="4" w:space="0" w:color="BFBFBF"/>
            </w:tcBorders>
            <w:shd w:val="clear" w:color="auto" w:fill="auto"/>
            <w:hideMark/>
          </w:tcPr>
          <w:p w14:paraId="5AFABE34" w14:textId="77777777" w:rsidR="0078495E" w:rsidRPr="00D02A2E" w:rsidRDefault="0078495E" w:rsidP="004C7BEF">
            <w:pPr>
              <w:pStyle w:val="ARtabletextcentre"/>
            </w:pPr>
            <w:r w:rsidRPr="00C20357">
              <w:t>per cent</w:t>
            </w:r>
          </w:p>
        </w:tc>
        <w:tc>
          <w:tcPr>
            <w:tcW w:w="1021" w:type="dxa"/>
            <w:tcBorders>
              <w:top w:val="single" w:sz="4" w:space="0" w:color="BFBFBF"/>
              <w:bottom w:val="single" w:sz="4" w:space="0" w:color="BFBFBF"/>
            </w:tcBorders>
            <w:shd w:val="clear" w:color="auto" w:fill="auto"/>
            <w:hideMark/>
          </w:tcPr>
          <w:p w14:paraId="605FB49E" w14:textId="77777777" w:rsidR="0078495E" w:rsidRDefault="0078495E" w:rsidP="004C7BEF">
            <w:pPr>
              <w:pStyle w:val="ARtabletextright"/>
            </w:pPr>
            <w:r w:rsidRPr="00C20357">
              <w:t>90</w:t>
            </w:r>
          </w:p>
        </w:tc>
        <w:tc>
          <w:tcPr>
            <w:tcW w:w="1021" w:type="dxa"/>
            <w:tcBorders>
              <w:top w:val="single" w:sz="4" w:space="0" w:color="BFBFBF"/>
              <w:bottom w:val="single" w:sz="4" w:space="0" w:color="BFBFBF"/>
            </w:tcBorders>
            <w:shd w:val="clear" w:color="auto" w:fill="auto"/>
            <w:hideMark/>
          </w:tcPr>
          <w:p w14:paraId="52A10889" w14:textId="77777777" w:rsidR="0078495E" w:rsidRDefault="0078495E" w:rsidP="004C7BEF">
            <w:pPr>
              <w:pStyle w:val="ARtabletextright"/>
            </w:pPr>
            <w:r w:rsidRPr="00C20357">
              <w:t>93.2</w:t>
            </w:r>
          </w:p>
        </w:tc>
        <w:tc>
          <w:tcPr>
            <w:tcW w:w="1021" w:type="dxa"/>
            <w:tcBorders>
              <w:top w:val="single" w:sz="4" w:space="0" w:color="BFBFBF"/>
              <w:bottom w:val="single" w:sz="4" w:space="0" w:color="BFBFBF"/>
            </w:tcBorders>
            <w:shd w:val="clear" w:color="auto" w:fill="auto"/>
          </w:tcPr>
          <w:p w14:paraId="06D14245" w14:textId="77777777" w:rsidR="0078495E" w:rsidRDefault="0078495E" w:rsidP="004C7BEF">
            <w:pPr>
              <w:pStyle w:val="ARtabletextright"/>
            </w:pPr>
            <w:r w:rsidRPr="00C20357">
              <w:t>3.6%</w:t>
            </w:r>
          </w:p>
        </w:tc>
        <w:tc>
          <w:tcPr>
            <w:tcW w:w="794" w:type="dxa"/>
            <w:tcBorders>
              <w:top w:val="single" w:sz="4" w:space="0" w:color="BFBFBF"/>
              <w:bottom w:val="single" w:sz="4" w:space="0" w:color="BFBFBF"/>
            </w:tcBorders>
            <w:shd w:val="clear" w:color="auto" w:fill="auto"/>
            <w:hideMark/>
          </w:tcPr>
          <w:p w14:paraId="24E80405" w14:textId="77777777" w:rsidR="0078495E" w:rsidRPr="00D02A2E" w:rsidRDefault="0078495E" w:rsidP="004C7BEF">
            <w:pPr>
              <w:pStyle w:val="ARtableperformancesymbol"/>
              <w:rPr>
                <w:rFonts w:hint="eastAsia"/>
              </w:rPr>
            </w:pPr>
            <w:r w:rsidRPr="00C20357">
              <w:t></w:t>
            </w:r>
          </w:p>
        </w:tc>
      </w:tr>
      <w:tr w:rsidR="0078495E" w:rsidRPr="00D02A2E" w14:paraId="26939F42" w14:textId="77777777" w:rsidTr="004C7BEF">
        <w:trPr>
          <w:cantSplit/>
        </w:trPr>
        <w:tc>
          <w:tcPr>
            <w:tcW w:w="4761" w:type="dxa"/>
            <w:tcBorders>
              <w:top w:val="single" w:sz="4" w:space="0" w:color="BFBFBF"/>
            </w:tcBorders>
            <w:shd w:val="clear" w:color="auto" w:fill="auto"/>
            <w:hideMark/>
          </w:tcPr>
          <w:p w14:paraId="3222D7C7" w14:textId="51FECD07" w:rsidR="0078495E" w:rsidRPr="00D02A2E" w:rsidRDefault="0078495E" w:rsidP="004C7BEF">
            <w:pPr>
              <w:pStyle w:val="ARtabletext"/>
            </w:pPr>
            <w:r w:rsidRPr="00C20357">
              <w:t>Percentage of low</w:t>
            </w:r>
            <w:r w:rsidR="00046611">
              <w:t xml:space="preserve"> </w:t>
            </w:r>
            <w:r w:rsidRPr="00C20357">
              <w:t>priority clients assessed within the appropriate time in all settings</w:t>
            </w:r>
          </w:p>
        </w:tc>
        <w:tc>
          <w:tcPr>
            <w:tcW w:w="1021" w:type="dxa"/>
            <w:tcBorders>
              <w:top w:val="single" w:sz="4" w:space="0" w:color="BFBFBF"/>
            </w:tcBorders>
            <w:shd w:val="clear" w:color="auto" w:fill="auto"/>
            <w:hideMark/>
          </w:tcPr>
          <w:p w14:paraId="7DBCB8E4" w14:textId="77777777" w:rsidR="0078495E" w:rsidRPr="00D02A2E" w:rsidRDefault="0078495E" w:rsidP="004C7BEF">
            <w:pPr>
              <w:pStyle w:val="ARtabletextcentre"/>
            </w:pPr>
            <w:r w:rsidRPr="00C20357">
              <w:t>per cent</w:t>
            </w:r>
          </w:p>
        </w:tc>
        <w:tc>
          <w:tcPr>
            <w:tcW w:w="1021" w:type="dxa"/>
            <w:tcBorders>
              <w:top w:val="single" w:sz="4" w:space="0" w:color="BFBFBF"/>
            </w:tcBorders>
            <w:shd w:val="clear" w:color="auto" w:fill="auto"/>
            <w:hideMark/>
          </w:tcPr>
          <w:p w14:paraId="4C0E0D98" w14:textId="77777777" w:rsidR="0078495E" w:rsidRDefault="0078495E" w:rsidP="004C7BEF">
            <w:pPr>
              <w:pStyle w:val="ARtabletextright"/>
            </w:pPr>
            <w:r w:rsidRPr="00C20357">
              <w:t>90</w:t>
            </w:r>
          </w:p>
        </w:tc>
        <w:tc>
          <w:tcPr>
            <w:tcW w:w="1021" w:type="dxa"/>
            <w:tcBorders>
              <w:top w:val="single" w:sz="4" w:space="0" w:color="BFBFBF"/>
            </w:tcBorders>
            <w:shd w:val="clear" w:color="auto" w:fill="auto"/>
            <w:hideMark/>
          </w:tcPr>
          <w:p w14:paraId="522C6958" w14:textId="77777777" w:rsidR="0078495E" w:rsidRDefault="0078495E" w:rsidP="004C7BEF">
            <w:pPr>
              <w:pStyle w:val="ARtabletextright"/>
            </w:pPr>
            <w:r w:rsidRPr="00C20357">
              <w:t>80</w:t>
            </w:r>
          </w:p>
        </w:tc>
        <w:tc>
          <w:tcPr>
            <w:tcW w:w="1021" w:type="dxa"/>
            <w:tcBorders>
              <w:top w:val="single" w:sz="4" w:space="0" w:color="BFBFBF"/>
            </w:tcBorders>
            <w:shd w:val="clear" w:color="auto" w:fill="auto"/>
          </w:tcPr>
          <w:p w14:paraId="0CD228BE" w14:textId="77777777" w:rsidR="0078495E" w:rsidRDefault="0078495E" w:rsidP="004C7BEF">
            <w:pPr>
              <w:pStyle w:val="ARtabletextright"/>
            </w:pPr>
            <w:r w:rsidRPr="00C20357">
              <w:t>−11.1%</w:t>
            </w:r>
          </w:p>
        </w:tc>
        <w:tc>
          <w:tcPr>
            <w:tcW w:w="794" w:type="dxa"/>
            <w:tcBorders>
              <w:top w:val="single" w:sz="4" w:space="0" w:color="BFBFBF"/>
            </w:tcBorders>
            <w:shd w:val="clear" w:color="auto" w:fill="auto"/>
            <w:hideMark/>
          </w:tcPr>
          <w:p w14:paraId="7571B758" w14:textId="77777777" w:rsidR="0078495E" w:rsidRPr="00D02A2E" w:rsidRDefault="0078495E" w:rsidP="004C7BEF">
            <w:pPr>
              <w:pStyle w:val="ARtableperformancesymbol"/>
              <w:rPr>
                <w:rFonts w:hint="eastAsia"/>
              </w:rPr>
            </w:pPr>
            <w:r w:rsidRPr="00C20357">
              <w:t></w:t>
            </w:r>
          </w:p>
        </w:tc>
      </w:tr>
      <w:tr w:rsidR="0078495E" w:rsidRPr="00D02A2E" w14:paraId="0DA82339" w14:textId="77777777" w:rsidTr="004C7BEF">
        <w:trPr>
          <w:cantSplit/>
        </w:trPr>
        <w:tc>
          <w:tcPr>
            <w:tcW w:w="9639" w:type="dxa"/>
            <w:gridSpan w:val="6"/>
            <w:tcBorders>
              <w:bottom w:val="single" w:sz="4" w:space="0" w:color="BFBFBF"/>
            </w:tcBorders>
            <w:shd w:val="clear" w:color="auto" w:fill="auto"/>
            <w:noWrap/>
            <w:hideMark/>
          </w:tcPr>
          <w:p w14:paraId="393DA9CE" w14:textId="0E358F6F" w:rsidR="0078495E" w:rsidRPr="00D02A2E" w:rsidRDefault="0078495E" w:rsidP="004C7BEF">
            <w:pPr>
              <w:pStyle w:val="ARtablenoteindent"/>
            </w:pPr>
            <w:r w:rsidRPr="00C20357">
              <w:t>Performance continues to be impacted by COVID-19</w:t>
            </w:r>
            <w:r w:rsidR="00F50D63">
              <w:t>,</w:t>
            </w:r>
            <w:r w:rsidRPr="00C20357">
              <w:t xml:space="preserve"> with</w:t>
            </w:r>
            <w:r w:rsidR="003E0110">
              <w:t xml:space="preserve"> a</w:t>
            </w:r>
            <w:r w:rsidRPr="00C20357">
              <w:t xml:space="preserve"> high volume of support plan reviews </w:t>
            </w:r>
            <w:r w:rsidR="00F50D63">
              <w:t xml:space="preserve">(SPR) </w:t>
            </w:r>
            <w:r w:rsidRPr="00C20357">
              <w:t>required</w:t>
            </w:r>
            <w:r w:rsidR="00F50D63">
              <w:t>,</w:t>
            </w:r>
            <w:r w:rsidRPr="00C20357">
              <w:t xml:space="preserve"> which are not fully counted in this measure.</w:t>
            </w:r>
            <w:r w:rsidR="00966FF9">
              <w:t xml:space="preserve"> </w:t>
            </w:r>
            <w:r w:rsidRPr="00C20357">
              <w:t>There has been increased demand for both assessments and SPR.</w:t>
            </w:r>
            <w:r w:rsidRPr="00C20357" w:rsidDel="00C80CD2">
              <w:t xml:space="preserve"> </w:t>
            </w:r>
            <w:r w:rsidR="00C80CD2">
              <w:t>In addition,</w:t>
            </w:r>
            <w:r w:rsidR="00C80CD2" w:rsidRPr="00C20357">
              <w:t xml:space="preserve"> </w:t>
            </w:r>
            <w:r w:rsidR="000E6970">
              <w:t xml:space="preserve">the </w:t>
            </w:r>
            <w:r w:rsidRPr="00C20357">
              <w:t>assessments and SPRs</w:t>
            </w:r>
            <w:r w:rsidR="000E6970">
              <w:t xml:space="preserve"> are more complex</w:t>
            </w:r>
            <w:r w:rsidRPr="00C20357">
              <w:t xml:space="preserve">, likely as a response to delayed assessment and care for clients during COVID-19. Staff retention and recruitment have been impacted by COVID-19 workforce fatigue and uncertainty in the sector regarding impacts of </w:t>
            </w:r>
            <w:r w:rsidRPr="005B76EB">
              <w:t>the</w:t>
            </w:r>
            <w:r w:rsidR="00C80CD2" w:rsidRPr="00580D5F">
              <w:t xml:space="preserve"> Commonwealth’s</w:t>
            </w:r>
            <w:r w:rsidRPr="00C80CD2">
              <w:t xml:space="preserve"> </w:t>
            </w:r>
            <w:r w:rsidR="00C80CD2" w:rsidRPr="00266B44">
              <w:t>a</w:t>
            </w:r>
            <w:r w:rsidRPr="00C80CD2">
              <w:t xml:space="preserve">ged </w:t>
            </w:r>
            <w:r w:rsidR="00C80CD2" w:rsidRPr="00266B44">
              <w:t>c</w:t>
            </w:r>
            <w:r w:rsidRPr="00C80CD2">
              <w:t xml:space="preserve">are </w:t>
            </w:r>
            <w:r w:rsidR="00C80CD2" w:rsidRPr="00266B44">
              <w:t>r</w:t>
            </w:r>
            <w:r w:rsidRPr="00C80CD2">
              <w:t>eform</w:t>
            </w:r>
            <w:r w:rsidR="00C80CD2" w:rsidRPr="00C80CD2">
              <w:t>s</w:t>
            </w:r>
            <w:r w:rsidRPr="00C80CD2">
              <w:t>.</w:t>
            </w:r>
            <w:r w:rsidRPr="00C20357">
              <w:t xml:space="preserve"> Active triage processes to manage wait list for low</w:t>
            </w:r>
            <w:r w:rsidRPr="00C20357" w:rsidDel="00F50D63">
              <w:t xml:space="preserve"> </w:t>
            </w:r>
            <w:r w:rsidRPr="00C20357">
              <w:t>priority community assessments are in</w:t>
            </w:r>
            <w:r w:rsidR="001C7FAA">
              <w:t> </w:t>
            </w:r>
            <w:r w:rsidRPr="00C20357">
              <w:t>place.</w:t>
            </w:r>
          </w:p>
        </w:tc>
      </w:tr>
      <w:tr w:rsidR="0078495E" w:rsidRPr="00D02A2E" w14:paraId="063165CD" w14:textId="77777777" w:rsidTr="004C7BEF">
        <w:trPr>
          <w:cantSplit/>
        </w:trPr>
        <w:tc>
          <w:tcPr>
            <w:tcW w:w="4761" w:type="dxa"/>
            <w:shd w:val="clear" w:color="auto" w:fill="auto"/>
            <w:hideMark/>
          </w:tcPr>
          <w:p w14:paraId="065BFDF4" w14:textId="550529F1" w:rsidR="0078495E" w:rsidRPr="00D02A2E" w:rsidRDefault="0078495E" w:rsidP="00266B44">
            <w:pPr>
              <w:pStyle w:val="ARtabletext"/>
            </w:pPr>
            <w:r w:rsidRPr="00C20357">
              <w:t>Percentage of medium priority clients assessed within the appropriate time in all settings</w:t>
            </w:r>
          </w:p>
        </w:tc>
        <w:tc>
          <w:tcPr>
            <w:tcW w:w="1021" w:type="dxa"/>
            <w:shd w:val="clear" w:color="auto" w:fill="auto"/>
            <w:hideMark/>
          </w:tcPr>
          <w:p w14:paraId="122A2E9E" w14:textId="77777777" w:rsidR="0078495E" w:rsidRPr="00D02A2E" w:rsidRDefault="0078495E" w:rsidP="004C7BEF">
            <w:pPr>
              <w:pStyle w:val="ARtabletextcentre"/>
            </w:pPr>
            <w:r w:rsidRPr="00C20357">
              <w:t>per cent</w:t>
            </w:r>
          </w:p>
        </w:tc>
        <w:tc>
          <w:tcPr>
            <w:tcW w:w="1021" w:type="dxa"/>
            <w:shd w:val="clear" w:color="auto" w:fill="auto"/>
            <w:hideMark/>
          </w:tcPr>
          <w:p w14:paraId="774B26FB" w14:textId="77777777" w:rsidR="0078495E" w:rsidRDefault="0078495E" w:rsidP="004C7BEF">
            <w:pPr>
              <w:pStyle w:val="ARtabletextright"/>
            </w:pPr>
            <w:r w:rsidRPr="00C20357">
              <w:t>90</w:t>
            </w:r>
          </w:p>
        </w:tc>
        <w:tc>
          <w:tcPr>
            <w:tcW w:w="1021" w:type="dxa"/>
            <w:shd w:val="clear" w:color="auto" w:fill="auto"/>
            <w:hideMark/>
          </w:tcPr>
          <w:p w14:paraId="1923653F" w14:textId="77777777" w:rsidR="0078495E" w:rsidRDefault="0078495E" w:rsidP="004C7BEF">
            <w:pPr>
              <w:pStyle w:val="ARtabletextright"/>
            </w:pPr>
            <w:r w:rsidRPr="00C20357">
              <w:t>98.3</w:t>
            </w:r>
          </w:p>
        </w:tc>
        <w:tc>
          <w:tcPr>
            <w:tcW w:w="1021" w:type="dxa"/>
            <w:shd w:val="clear" w:color="auto" w:fill="auto"/>
          </w:tcPr>
          <w:p w14:paraId="7DEFD150" w14:textId="77777777" w:rsidR="0078495E" w:rsidRDefault="0078495E" w:rsidP="004C7BEF">
            <w:pPr>
              <w:pStyle w:val="ARtabletextright"/>
            </w:pPr>
            <w:r w:rsidRPr="00C20357">
              <w:t>9.2%</w:t>
            </w:r>
          </w:p>
        </w:tc>
        <w:tc>
          <w:tcPr>
            <w:tcW w:w="794" w:type="dxa"/>
            <w:shd w:val="clear" w:color="auto" w:fill="auto"/>
            <w:hideMark/>
          </w:tcPr>
          <w:p w14:paraId="743DE970" w14:textId="77777777" w:rsidR="0078495E" w:rsidRPr="00D02A2E" w:rsidRDefault="0078495E" w:rsidP="004C7BEF">
            <w:pPr>
              <w:pStyle w:val="ARtableperformancesymbol"/>
              <w:rPr>
                <w:rFonts w:hint="eastAsia"/>
              </w:rPr>
            </w:pPr>
            <w:r w:rsidRPr="00C20357">
              <w:t></w:t>
            </w:r>
          </w:p>
        </w:tc>
      </w:tr>
      <w:tr w:rsidR="00E23E3F" w:rsidRPr="00D02A2E" w14:paraId="657AFC00" w14:textId="77777777" w:rsidTr="008340C1">
        <w:trPr>
          <w:cantSplit/>
        </w:trPr>
        <w:tc>
          <w:tcPr>
            <w:tcW w:w="9639" w:type="dxa"/>
            <w:gridSpan w:val="6"/>
            <w:shd w:val="clear" w:color="auto" w:fill="auto"/>
          </w:tcPr>
          <w:p w14:paraId="1A0C508D" w14:textId="08044269" w:rsidR="00E23E3F" w:rsidRPr="00C20357" w:rsidRDefault="00E23E3F" w:rsidP="00E23E3F">
            <w:pPr>
              <w:pStyle w:val="ARtablenoteindent"/>
            </w:pPr>
            <w:r>
              <w:t>This is</w:t>
            </w:r>
            <w:r w:rsidR="003E0110">
              <w:t xml:space="preserve"> a</w:t>
            </w:r>
            <w:r>
              <w:t xml:space="preserve"> favourable result.</w:t>
            </w:r>
          </w:p>
        </w:tc>
      </w:tr>
      <w:tr w:rsidR="0078495E" w:rsidRPr="00D02A2E" w14:paraId="1C2F5C92" w14:textId="77777777" w:rsidTr="004C7BEF">
        <w:trPr>
          <w:cantSplit/>
        </w:trPr>
        <w:tc>
          <w:tcPr>
            <w:tcW w:w="9639" w:type="dxa"/>
            <w:gridSpan w:val="6"/>
            <w:tcBorders>
              <w:top w:val="single" w:sz="4" w:space="0" w:color="auto"/>
            </w:tcBorders>
            <w:shd w:val="clear" w:color="auto" w:fill="auto"/>
            <w:hideMark/>
          </w:tcPr>
          <w:p w14:paraId="301B238B" w14:textId="77777777" w:rsidR="0078495E" w:rsidRPr="00D02A2E" w:rsidRDefault="0078495E" w:rsidP="004C7BEF">
            <w:pPr>
              <w:pStyle w:val="ARtablegreybold"/>
              <w:rPr>
                <w:rFonts w:ascii="Wingdings" w:hAnsi="Wingdings"/>
              </w:rPr>
            </w:pPr>
            <w:r w:rsidRPr="00C20357">
              <w:t>Cost</w:t>
            </w:r>
          </w:p>
        </w:tc>
      </w:tr>
      <w:tr w:rsidR="0078495E" w:rsidRPr="006C2224" w14:paraId="6CEEFF74" w14:textId="77777777" w:rsidTr="004C7BEF">
        <w:trPr>
          <w:cantSplit/>
        </w:trPr>
        <w:tc>
          <w:tcPr>
            <w:tcW w:w="4761" w:type="dxa"/>
            <w:shd w:val="clear" w:color="auto" w:fill="auto"/>
            <w:hideMark/>
          </w:tcPr>
          <w:p w14:paraId="5FFF150B" w14:textId="77777777" w:rsidR="0078495E" w:rsidRPr="006C2224" w:rsidRDefault="0078495E" w:rsidP="004C7BEF">
            <w:pPr>
              <w:pStyle w:val="ARtabletext"/>
              <w:rPr>
                <w:b/>
                <w:bCs/>
              </w:rPr>
            </w:pPr>
            <w:r w:rsidRPr="006C2224">
              <w:rPr>
                <w:b/>
                <w:bCs/>
              </w:rPr>
              <w:t>Total Output Cost</w:t>
            </w:r>
          </w:p>
        </w:tc>
        <w:tc>
          <w:tcPr>
            <w:tcW w:w="1021" w:type="dxa"/>
            <w:shd w:val="clear" w:color="auto" w:fill="auto"/>
            <w:hideMark/>
          </w:tcPr>
          <w:p w14:paraId="57D73630" w14:textId="77777777" w:rsidR="0078495E" w:rsidRPr="006C2224" w:rsidRDefault="0078495E" w:rsidP="004C7BEF">
            <w:pPr>
              <w:pStyle w:val="ARtabletextcentre"/>
              <w:rPr>
                <w:b/>
                <w:bCs/>
              </w:rPr>
            </w:pPr>
            <w:r w:rsidRPr="006C2224">
              <w:rPr>
                <w:b/>
                <w:bCs/>
              </w:rPr>
              <w:t>$ million</w:t>
            </w:r>
          </w:p>
        </w:tc>
        <w:tc>
          <w:tcPr>
            <w:tcW w:w="1021" w:type="dxa"/>
            <w:shd w:val="clear" w:color="auto" w:fill="auto"/>
            <w:hideMark/>
          </w:tcPr>
          <w:p w14:paraId="7646BE8E" w14:textId="77777777" w:rsidR="0078495E" w:rsidRPr="006C2224" w:rsidRDefault="0078495E" w:rsidP="004C7BEF">
            <w:pPr>
              <w:pStyle w:val="ARtabletextright"/>
              <w:rPr>
                <w:b/>
                <w:bCs/>
              </w:rPr>
            </w:pPr>
            <w:r w:rsidRPr="006C2224">
              <w:rPr>
                <w:b/>
                <w:bCs/>
              </w:rPr>
              <w:t>59.6</w:t>
            </w:r>
          </w:p>
        </w:tc>
        <w:tc>
          <w:tcPr>
            <w:tcW w:w="1021" w:type="dxa"/>
            <w:shd w:val="clear" w:color="auto" w:fill="auto"/>
            <w:hideMark/>
          </w:tcPr>
          <w:p w14:paraId="130935BD" w14:textId="77777777" w:rsidR="0078495E" w:rsidRPr="006C2224" w:rsidRDefault="0078495E" w:rsidP="004C7BEF">
            <w:pPr>
              <w:pStyle w:val="ARtabletextright"/>
              <w:rPr>
                <w:b/>
                <w:bCs/>
              </w:rPr>
            </w:pPr>
            <w:r w:rsidRPr="006C2224">
              <w:rPr>
                <w:b/>
                <w:bCs/>
              </w:rPr>
              <w:t>58.2</w:t>
            </w:r>
          </w:p>
        </w:tc>
        <w:tc>
          <w:tcPr>
            <w:tcW w:w="1021" w:type="dxa"/>
            <w:shd w:val="clear" w:color="auto" w:fill="auto"/>
          </w:tcPr>
          <w:p w14:paraId="635F5991" w14:textId="77777777" w:rsidR="0078495E" w:rsidRPr="006C2224" w:rsidRDefault="0078495E" w:rsidP="004C7BEF">
            <w:pPr>
              <w:pStyle w:val="ARtabletextright"/>
              <w:rPr>
                <w:b/>
                <w:bCs/>
              </w:rPr>
            </w:pPr>
            <w:r w:rsidRPr="006C2224">
              <w:rPr>
                <w:b/>
                <w:bCs/>
              </w:rPr>
              <w:t>−2.4%</w:t>
            </w:r>
          </w:p>
        </w:tc>
        <w:tc>
          <w:tcPr>
            <w:tcW w:w="794" w:type="dxa"/>
            <w:shd w:val="clear" w:color="auto" w:fill="auto"/>
            <w:hideMark/>
          </w:tcPr>
          <w:p w14:paraId="5BFBFB92" w14:textId="77777777" w:rsidR="0078495E" w:rsidRPr="006C2224" w:rsidRDefault="0078495E" w:rsidP="004C7BEF">
            <w:pPr>
              <w:pStyle w:val="ARtabletextright"/>
              <w:rPr>
                <w:b/>
                <w:bCs/>
              </w:rPr>
            </w:pPr>
          </w:p>
        </w:tc>
      </w:tr>
      <w:tr w:rsidR="0078495E" w:rsidRPr="00D02A2E" w14:paraId="332B6C0C" w14:textId="77777777" w:rsidTr="004C7BEF">
        <w:trPr>
          <w:cantSplit/>
        </w:trPr>
        <w:tc>
          <w:tcPr>
            <w:tcW w:w="9639" w:type="dxa"/>
            <w:gridSpan w:val="6"/>
            <w:tcBorders>
              <w:bottom w:val="single" w:sz="4" w:space="0" w:color="auto"/>
            </w:tcBorders>
            <w:shd w:val="clear" w:color="auto" w:fill="auto"/>
            <w:noWrap/>
            <w:hideMark/>
          </w:tcPr>
          <w:p w14:paraId="27CB092B" w14:textId="08480059" w:rsidR="0078495E" w:rsidRPr="00D02A2E" w:rsidRDefault="0078495E" w:rsidP="004C7BEF">
            <w:pPr>
              <w:pStyle w:val="ARtablenoteindent"/>
            </w:pPr>
            <w:r w:rsidRPr="00C20357">
              <w:t xml:space="preserve">The 2021–22 actual outcome primarily reflects funding requested to be carried over into 2022–23 for Commonwealth </w:t>
            </w:r>
            <w:r w:rsidR="00946642">
              <w:t>p</w:t>
            </w:r>
            <w:r w:rsidRPr="00C20357">
              <w:t>rograms</w:t>
            </w:r>
          </w:p>
        </w:tc>
      </w:tr>
    </w:tbl>
    <w:p w14:paraId="326BDBB4" w14:textId="7EF932F4" w:rsidR="0078495E" w:rsidRDefault="0078495E" w:rsidP="00306875">
      <w:pPr>
        <w:pStyle w:val="Heading4"/>
        <w:spacing w:before="400"/>
      </w:pPr>
      <w:r>
        <w:t>Aged Support Services</w:t>
      </w:r>
    </w:p>
    <w:p w14:paraId="50BC26AB" w14:textId="28C2F9C0" w:rsidR="0078495E" w:rsidRDefault="00896B1A" w:rsidP="0078495E">
      <w:pPr>
        <w:pStyle w:val="ARbody"/>
      </w:pPr>
      <w:r w:rsidRPr="00896B1A">
        <w:t>This output includes delivery of a range of community services that support older Victorians, such as eye care services, Personal Alert Victoria services, and pension-level Supported Residential Services.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1ACF5DCA" w14:textId="77777777" w:rsidTr="004C7BEF">
        <w:trPr>
          <w:cantSplit/>
          <w:tblHeader/>
        </w:trPr>
        <w:tc>
          <w:tcPr>
            <w:tcW w:w="4761" w:type="dxa"/>
            <w:tcBorders>
              <w:bottom w:val="single" w:sz="4" w:space="0" w:color="auto"/>
            </w:tcBorders>
            <w:shd w:val="clear" w:color="auto" w:fill="auto"/>
            <w:vAlign w:val="bottom"/>
            <w:hideMark/>
          </w:tcPr>
          <w:p w14:paraId="6ED855B7"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7C5D38B3"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1F552889"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2100CCD7"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36BF0901"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59C94E58" w14:textId="77777777" w:rsidR="0078495E" w:rsidRPr="00F72126" w:rsidRDefault="0078495E" w:rsidP="004C7BEF">
            <w:pPr>
              <w:pStyle w:val="ARtablecolheadright"/>
            </w:pPr>
            <w:r w:rsidRPr="00F72126">
              <w:t>Result</w:t>
            </w:r>
          </w:p>
        </w:tc>
      </w:tr>
      <w:tr w:rsidR="0078495E" w:rsidRPr="00D02A2E" w14:paraId="61666E5A" w14:textId="77777777" w:rsidTr="004C7BEF">
        <w:trPr>
          <w:cantSplit/>
        </w:trPr>
        <w:tc>
          <w:tcPr>
            <w:tcW w:w="9639" w:type="dxa"/>
            <w:gridSpan w:val="6"/>
            <w:tcBorders>
              <w:top w:val="single" w:sz="4" w:space="0" w:color="auto"/>
            </w:tcBorders>
            <w:shd w:val="clear" w:color="auto" w:fill="auto"/>
            <w:hideMark/>
          </w:tcPr>
          <w:p w14:paraId="204DBD5D" w14:textId="77777777" w:rsidR="0078495E" w:rsidRPr="00D02A2E" w:rsidRDefault="0078495E" w:rsidP="004C7BEF">
            <w:pPr>
              <w:pStyle w:val="ARtablegreybold"/>
              <w:rPr>
                <w:rFonts w:ascii="Wingdings" w:hAnsi="Wingdings"/>
              </w:rPr>
            </w:pPr>
            <w:r w:rsidRPr="007A45E9">
              <w:t>Quantity</w:t>
            </w:r>
          </w:p>
        </w:tc>
      </w:tr>
      <w:tr w:rsidR="0078495E" w:rsidRPr="00D02A2E" w14:paraId="2E3973EA" w14:textId="77777777" w:rsidTr="004C7BEF">
        <w:trPr>
          <w:cantSplit/>
        </w:trPr>
        <w:tc>
          <w:tcPr>
            <w:tcW w:w="4761" w:type="dxa"/>
            <w:shd w:val="clear" w:color="auto" w:fill="auto"/>
            <w:hideMark/>
          </w:tcPr>
          <w:p w14:paraId="31A45D2B" w14:textId="2DECA3D2" w:rsidR="0078495E" w:rsidRPr="00D02A2E" w:rsidRDefault="0078495E" w:rsidP="004C7BEF">
            <w:pPr>
              <w:pStyle w:val="ARtabletext"/>
            </w:pPr>
            <w:r w:rsidRPr="00325072">
              <w:t>Pension-level beds available in assisted Supported Residential Services facilities</w:t>
            </w:r>
          </w:p>
        </w:tc>
        <w:tc>
          <w:tcPr>
            <w:tcW w:w="1021" w:type="dxa"/>
            <w:shd w:val="clear" w:color="auto" w:fill="auto"/>
            <w:hideMark/>
          </w:tcPr>
          <w:p w14:paraId="099718BC" w14:textId="77777777" w:rsidR="0078495E" w:rsidRPr="00D02A2E" w:rsidRDefault="0078495E" w:rsidP="004C7BEF">
            <w:pPr>
              <w:pStyle w:val="ARtabletextcentre"/>
            </w:pPr>
            <w:r w:rsidRPr="00325072">
              <w:t>number</w:t>
            </w:r>
          </w:p>
        </w:tc>
        <w:tc>
          <w:tcPr>
            <w:tcW w:w="1021" w:type="dxa"/>
            <w:shd w:val="clear" w:color="auto" w:fill="auto"/>
            <w:hideMark/>
          </w:tcPr>
          <w:p w14:paraId="049C9D2C" w14:textId="77777777" w:rsidR="0078495E" w:rsidRDefault="0078495E" w:rsidP="004C7BEF">
            <w:pPr>
              <w:pStyle w:val="ARtabletextright"/>
            </w:pPr>
            <w:r w:rsidRPr="00325072">
              <w:t>1,736</w:t>
            </w:r>
          </w:p>
        </w:tc>
        <w:tc>
          <w:tcPr>
            <w:tcW w:w="1021" w:type="dxa"/>
            <w:shd w:val="clear" w:color="auto" w:fill="auto"/>
            <w:hideMark/>
          </w:tcPr>
          <w:p w14:paraId="07464F4B" w14:textId="77777777" w:rsidR="0078495E" w:rsidRDefault="0078495E" w:rsidP="004C7BEF">
            <w:pPr>
              <w:pStyle w:val="ARtabletextright"/>
            </w:pPr>
            <w:r w:rsidRPr="00325072">
              <w:t>1,571</w:t>
            </w:r>
          </w:p>
        </w:tc>
        <w:tc>
          <w:tcPr>
            <w:tcW w:w="1021" w:type="dxa"/>
            <w:shd w:val="clear" w:color="auto" w:fill="auto"/>
          </w:tcPr>
          <w:p w14:paraId="2F5CAD77" w14:textId="77777777" w:rsidR="0078495E" w:rsidRDefault="0078495E" w:rsidP="004C7BEF">
            <w:pPr>
              <w:pStyle w:val="ARtabletextright"/>
            </w:pPr>
            <w:r w:rsidRPr="00325072">
              <w:t>−9.5%</w:t>
            </w:r>
          </w:p>
        </w:tc>
        <w:tc>
          <w:tcPr>
            <w:tcW w:w="794" w:type="dxa"/>
            <w:shd w:val="clear" w:color="auto" w:fill="auto"/>
            <w:hideMark/>
          </w:tcPr>
          <w:p w14:paraId="11777112" w14:textId="77777777" w:rsidR="0078495E" w:rsidRPr="00D02A2E" w:rsidRDefault="0078495E" w:rsidP="004C7BEF">
            <w:pPr>
              <w:pStyle w:val="ARtableperformancesymbol"/>
              <w:rPr>
                <w:rFonts w:hint="eastAsia"/>
              </w:rPr>
            </w:pPr>
            <w:r w:rsidRPr="00325072">
              <w:t></w:t>
            </w:r>
          </w:p>
        </w:tc>
      </w:tr>
      <w:tr w:rsidR="0078495E" w:rsidRPr="00D02A2E" w14:paraId="1A22C5B4" w14:textId="77777777" w:rsidTr="004C7BEF">
        <w:trPr>
          <w:cantSplit/>
        </w:trPr>
        <w:tc>
          <w:tcPr>
            <w:tcW w:w="9639" w:type="dxa"/>
            <w:gridSpan w:val="6"/>
            <w:tcBorders>
              <w:bottom w:val="single" w:sz="4" w:space="0" w:color="BFBFBF"/>
            </w:tcBorders>
            <w:shd w:val="clear" w:color="auto" w:fill="auto"/>
            <w:noWrap/>
            <w:hideMark/>
          </w:tcPr>
          <w:p w14:paraId="6D20B092" w14:textId="71AD64B3" w:rsidR="0078495E" w:rsidRPr="00D02A2E" w:rsidRDefault="0078495E" w:rsidP="004C7BEF">
            <w:pPr>
              <w:pStyle w:val="ARtablenoteindent"/>
            </w:pPr>
            <w:r w:rsidRPr="00325072">
              <w:t>The 2021–22</w:t>
            </w:r>
            <w:r w:rsidRPr="00325072" w:rsidDel="00946642">
              <w:t xml:space="preserve"> </w:t>
            </w:r>
            <w:r w:rsidR="00946642">
              <w:t>target</w:t>
            </w:r>
            <w:r w:rsidR="00946642" w:rsidRPr="00325072">
              <w:t xml:space="preserve"> </w:t>
            </w:r>
            <w:r w:rsidRPr="00325072">
              <w:t>has not been met because two further</w:t>
            </w:r>
            <w:r w:rsidR="00946642">
              <w:t xml:space="preserve"> Supporting Accommodation for Vulnerable Victorians Initiative</w:t>
            </w:r>
            <w:r w:rsidRPr="00325072">
              <w:t xml:space="preserve"> </w:t>
            </w:r>
            <w:r w:rsidR="00946642">
              <w:t>(</w:t>
            </w:r>
            <w:r w:rsidRPr="00946642">
              <w:t>SAVVI</w:t>
            </w:r>
            <w:r w:rsidR="00946642">
              <w:t>) supported residential services</w:t>
            </w:r>
            <w:r w:rsidRPr="00325072" w:rsidDel="00946642">
              <w:t xml:space="preserve"> </w:t>
            </w:r>
            <w:r w:rsidRPr="00325072">
              <w:t>have closed</w:t>
            </w:r>
            <w:r w:rsidR="00345092">
              <w:t>,</w:t>
            </w:r>
            <w:r w:rsidRPr="00325072">
              <w:t xml:space="preserve"> resulting in a loss of 62 registered beds.</w:t>
            </w:r>
          </w:p>
        </w:tc>
      </w:tr>
      <w:tr w:rsidR="0078495E" w:rsidRPr="00D02A2E" w14:paraId="1E04337E" w14:textId="77777777" w:rsidTr="004C7BEF">
        <w:trPr>
          <w:cantSplit/>
        </w:trPr>
        <w:tc>
          <w:tcPr>
            <w:tcW w:w="4761" w:type="dxa"/>
            <w:tcBorders>
              <w:top w:val="single" w:sz="4" w:space="0" w:color="BFBFBF"/>
              <w:bottom w:val="single" w:sz="4" w:space="0" w:color="BFBFBF"/>
            </w:tcBorders>
            <w:shd w:val="clear" w:color="auto" w:fill="auto"/>
            <w:hideMark/>
          </w:tcPr>
          <w:p w14:paraId="43075D30" w14:textId="23ACCB91" w:rsidR="0078495E" w:rsidRPr="00D02A2E" w:rsidRDefault="0078495E" w:rsidP="004C7BEF">
            <w:pPr>
              <w:pStyle w:val="ARtabletext"/>
            </w:pPr>
            <w:r w:rsidRPr="00325072">
              <w:t>Pension-level Supported Residential Services residents provided with service coordination and support/brokerage services</w:t>
            </w:r>
          </w:p>
        </w:tc>
        <w:tc>
          <w:tcPr>
            <w:tcW w:w="1021" w:type="dxa"/>
            <w:tcBorders>
              <w:top w:val="single" w:sz="4" w:space="0" w:color="BFBFBF"/>
              <w:bottom w:val="single" w:sz="4" w:space="0" w:color="BFBFBF"/>
            </w:tcBorders>
            <w:shd w:val="clear" w:color="auto" w:fill="auto"/>
            <w:hideMark/>
          </w:tcPr>
          <w:p w14:paraId="0C8EC944" w14:textId="77777777" w:rsidR="0078495E" w:rsidRPr="00D02A2E" w:rsidRDefault="0078495E" w:rsidP="004C7BEF">
            <w:pPr>
              <w:pStyle w:val="ARtabletextcentre"/>
            </w:pPr>
            <w:r w:rsidRPr="00325072">
              <w:t>number</w:t>
            </w:r>
          </w:p>
        </w:tc>
        <w:tc>
          <w:tcPr>
            <w:tcW w:w="1021" w:type="dxa"/>
            <w:tcBorders>
              <w:top w:val="single" w:sz="4" w:space="0" w:color="BFBFBF"/>
              <w:bottom w:val="single" w:sz="4" w:space="0" w:color="BFBFBF"/>
            </w:tcBorders>
            <w:shd w:val="clear" w:color="auto" w:fill="auto"/>
            <w:hideMark/>
          </w:tcPr>
          <w:p w14:paraId="5CCBEC79" w14:textId="77777777" w:rsidR="0078495E" w:rsidRDefault="0078495E" w:rsidP="004C7BEF">
            <w:pPr>
              <w:pStyle w:val="ARtabletextright"/>
            </w:pPr>
            <w:r w:rsidRPr="00325072">
              <w:t>775</w:t>
            </w:r>
          </w:p>
        </w:tc>
        <w:tc>
          <w:tcPr>
            <w:tcW w:w="1021" w:type="dxa"/>
            <w:tcBorders>
              <w:top w:val="single" w:sz="4" w:space="0" w:color="BFBFBF"/>
              <w:bottom w:val="single" w:sz="4" w:space="0" w:color="BFBFBF"/>
            </w:tcBorders>
            <w:shd w:val="clear" w:color="auto" w:fill="auto"/>
            <w:hideMark/>
          </w:tcPr>
          <w:p w14:paraId="163BD5B2" w14:textId="77777777" w:rsidR="0078495E" w:rsidRDefault="0078495E" w:rsidP="004C7BEF">
            <w:pPr>
              <w:pStyle w:val="ARtabletextright"/>
            </w:pPr>
            <w:r w:rsidRPr="00325072">
              <w:t>775</w:t>
            </w:r>
          </w:p>
        </w:tc>
        <w:tc>
          <w:tcPr>
            <w:tcW w:w="1021" w:type="dxa"/>
            <w:tcBorders>
              <w:top w:val="single" w:sz="4" w:space="0" w:color="BFBFBF"/>
              <w:bottom w:val="single" w:sz="4" w:space="0" w:color="BFBFBF"/>
            </w:tcBorders>
            <w:shd w:val="clear" w:color="auto" w:fill="auto"/>
          </w:tcPr>
          <w:p w14:paraId="1081CB2F" w14:textId="77777777" w:rsidR="0078495E" w:rsidRDefault="0078495E" w:rsidP="004C7BEF">
            <w:pPr>
              <w:pStyle w:val="ARtabletextright"/>
            </w:pPr>
            <w:r w:rsidRPr="00325072">
              <w:t>0.0%</w:t>
            </w:r>
          </w:p>
        </w:tc>
        <w:tc>
          <w:tcPr>
            <w:tcW w:w="794" w:type="dxa"/>
            <w:tcBorders>
              <w:top w:val="single" w:sz="4" w:space="0" w:color="BFBFBF"/>
              <w:bottom w:val="single" w:sz="4" w:space="0" w:color="BFBFBF"/>
            </w:tcBorders>
            <w:shd w:val="clear" w:color="auto" w:fill="auto"/>
            <w:hideMark/>
          </w:tcPr>
          <w:p w14:paraId="5E5C826B" w14:textId="77777777" w:rsidR="0078495E" w:rsidRPr="00D02A2E" w:rsidRDefault="0078495E" w:rsidP="004C7BEF">
            <w:pPr>
              <w:pStyle w:val="ARtableperformancesymbol"/>
              <w:rPr>
                <w:rFonts w:hint="eastAsia"/>
              </w:rPr>
            </w:pPr>
            <w:r w:rsidRPr="00325072">
              <w:t></w:t>
            </w:r>
          </w:p>
        </w:tc>
      </w:tr>
      <w:tr w:rsidR="0078495E" w:rsidRPr="00D02A2E" w14:paraId="38C00AF6" w14:textId="77777777" w:rsidTr="004C7BEF">
        <w:trPr>
          <w:cantSplit/>
        </w:trPr>
        <w:tc>
          <w:tcPr>
            <w:tcW w:w="4761" w:type="dxa"/>
            <w:tcBorders>
              <w:top w:val="single" w:sz="4" w:space="0" w:color="BFBFBF"/>
              <w:bottom w:val="single" w:sz="4" w:space="0" w:color="BFBFBF"/>
            </w:tcBorders>
            <w:shd w:val="clear" w:color="auto" w:fill="auto"/>
            <w:hideMark/>
          </w:tcPr>
          <w:p w14:paraId="22381C7A" w14:textId="77777777" w:rsidR="0078495E" w:rsidRPr="00D02A2E" w:rsidRDefault="0078495E" w:rsidP="004C7BEF">
            <w:pPr>
              <w:pStyle w:val="ARtabletext"/>
            </w:pPr>
            <w:r w:rsidRPr="00325072">
              <w:t>Personal alert units allocated</w:t>
            </w:r>
          </w:p>
        </w:tc>
        <w:tc>
          <w:tcPr>
            <w:tcW w:w="1021" w:type="dxa"/>
            <w:tcBorders>
              <w:top w:val="single" w:sz="4" w:space="0" w:color="BFBFBF"/>
              <w:bottom w:val="single" w:sz="4" w:space="0" w:color="BFBFBF"/>
            </w:tcBorders>
            <w:shd w:val="clear" w:color="auto" w:fill="auto"/>
            <w:hideMark/>
          </w:tcPr>
          <w:p w14:paraId="5DA93488" w14:textId="77777777" w:rsidR="0078495E" w:rsidRPr="00D02A2E" w:rsidRDefault="0078495E" w:rsidP="004C7BEF">
            <w:pPr>
              <w:pStyle w:val="ARtabletextcentre"/>
            </w:pPr>
            <w:r w:rsidRPr="00325072">
              <w:t>number</w:t>
            </w:r>
          </w:p>
        </w:tc>
        <w:tc>
          <w:tcPr>
            <w:tcW w:w="1021" w:type="dxa"/>
            <w:tcBorders>
              <w:top w:val="single" w:sz="4" w:space="0" w:color="BFBFBF"/>
              <w:bottom w:val="single" w:sz="4" w:space="0" w:color="BFBFBF"/>
            </w:tcBorders>
            <w:shd w:val="clear" w:color="auto" w:fill="auto"/>
            <w:hideMark/>
          </w:tcPr>
          <w:p w14:paraId="3F5138CC" w14:textId="77777777" w:rsidR="0078495E" w:rsidRDefault="0078495E" w:rsidP="004C7BEF">
            <w:pPr>
              <w:pStyle w:val="ARtabletextright"/>
            </w:pPr>
            <w:r w:rsidRPr="00325072">
              <w:t>29,121</w:t>
            </w:r>
          </w:p>
        </w:tc>
        <w:tc>
          <w:tcPr>
            <w:tcW w:w="1021" w:type="dxa"/>
            <w:tcBorders>
              <w:top w:val="single" w:sz="4" w:space="0" w:color="BFBFBF"/>
              <w:bottom w:val="single" w:sz="4" w:space="0" w:color="BFBFBF"/>
            </w:tcBorders>
            <w:shd w:val="clear" w:color="auto" w:fill="auto"/>
            <w:hideMark/>
          </w:tcPr>
          <w:p w14:paraId="29FCB976" w14:textId="77777777" w:rsidR="0078495E" w:rsidRDefault="0078495E" w:rsidP="004C7BEF">
            <w:pPr>
              <w:pStyle w:val="ARtabletextright"/>
            </w:pPr>
            <w:r w:rsidRPr="00325072">
              <w:t>29,121</w:t>
            </w:r>
          </w:p>
        </w:tc>
        <w:tc>
          <w:tcPr>
            <w:tcW w:w="1021" w:type="dxa"/>
            <w:tcBorders>
              <w:top w:val="single" w:sz="4" w:space="0" w:color="BFBFBF"/>
              <w:bottom w:val="single" w:sz="4" w:space="0" w:color="BFBFBF"/>
            </w:tcBorders>
            <w:shd w:val="clear" w:color="auto" w:fill="auto"/>
          </w:tcPr>
          <w:p w14:paraId="5F63A50E" w14:textId="77777777" w:rsidR="0078495E" w:rsidRDefault="0078495E" w:rsidP="004C7BEF">
            <w:pPr>
              <w:pStyle w:val="ARtabletextright"/>
            </w:pPr>
            <w:r w:rsidRPr="00325072">
              <w:t>0.0%</w:t>
            </w:r>
          </w:p>
        </w:tc>
        <w:tc>
          <w:tcPr>
            <w:tcW w:w="794" w:type="dxa"/>
            <w:tcBorders>
              <w:top w:val="single" w:sz="4" w:space="0" w:color="BFBFBF"/>
              <w:bottom w:val="single" w:sz="4" w:space="0" w:color="BFBFBF"/>
            </w:tcBorders>
            <w:shd w:val="clear" w:color="auto" w:fill="auto"/>
            <w:hideMark/>
          </w:tcPr>
          <w:p w14:paraId="0CBFE4FA" w14:textId="77777777" w:rsidR="0078495E" w:rsidRPr="00D02A2E" w:rsidRDefault="0078495E" w:rsidP="004C7BEF">
            <w:pPr>
              <w:pStyle w:val="ARtableperformancesymbol"/>
              <w:rPr>
                <w:rFonts w:hint="eastAsia"/>
              </w:rPr>
            </w:pPr>
            <w:r w:rsidRPr="00325072">
              <w:t></w:t>
            </w:r>
          </w:p>
        </w:tc>
      </w:tr>
      <w:tr w:rsidR="0078495E" w:rsidRPr="00D02A2E" w14:paraId="2082A5A6" w14:textId="77777777" w:rsidTr="004C7BEF">
        <w:trPr>
          <w:cantSplit/>
        </w:trPr>
        <w:tc>
          <w:tcPr>
            <w:tcW w:w="4761" w:type="dxa"/>
            <w:tcBorders>
              <w:top w:val="single" w:sz="4" w:space="0" w:color="BFBFBF"/>
            </w:tcBorders>
            <w:shd w:val="clear" w:color="auto" w:fill="auto"/>
            <w:hideMark/>
          </w:tcPr>
          <w:p w14:paraId="3A71456D" w14:textId="0C491627" w:rsidR="0078495E" w:rsidRPr="00D02A2E" w:rsidRDefault="0078495E" w:rsidP="006209FA">
            <w:pPr>
              <w:pStyle w:val="ARtabletext"/>
              <w:keepNext/>
            </w:pPr>
            <w:r w:rsidRPr="00325072">
              <w:t>Victorian Eye</w:t>
            </w:r>
            <w:r w:rsidR="00043C28">
              <w:t>c</w:t>
            </w:r>
            <w:r w:rsidRPr="00325072">
              <w:t>are Service (occasions of service)</w:t>
            </w:r>
          </w:p>
        </w:tc>
        <w:tc>
          <w:tcPr>
            <w:tcW w:w="1021" w:type="dxa"/>
            <w:tcBorders>
              <w:top w:val="single" w:sz="4" w:space="0" w:color="BFBFBF"/>
            </w:tcBorders>
            <w:shd w:val="clear" w:color="auto" w:fill="auto"/>
            <w:hideMark/>
          </w:tcPr>
          <w:p w14:paraId="26813A12" w14:textId="77777777" w:rsidR="0078495E" w:rsidRPr="00D02A2E" w:rsidRDefault="0078495E" w:rsidP="004C7BEF">
            <w:pPr>
              <w:pStyle w:val="ARtabletextcentre"/>
            </w:pPr>
            <w:r w:rsidRPr="00325072">
              <w:t>number</w:t>
            </w:r>
          </w:p>
        </w:tc>
        <w:tc>
          <w:tcPr>
            <w:tcW w:w="1021" w:type="dxa"/>
            <w:tcBorders>
              <w:top w:val="single" w:sz="4" w:space="0" w:color="BFBFBF"/>
            </w:tcBorders>
            <w:shd w:val="clear" w:color="auto" w:fill="auto"/>
            <w:hideMark/>
          </w:tcPr>
          <w:p w14:paraId="469D855A" w14:textId="77777777" w:rsidR="0078495E" w:rsidRDefault="0078495E" w:rsidP="004C7BEF">
            <w:pPr>
              <w:pStyle w:val="ARtabletextright"/>
            </w:pPr>
            <w:r w:rsidRPr="00325072">
              <w:t>75,800</w:t>
            </w:r>
          </w:p>
        </w:tc>
        <w:tc>
          <w:tcPr>
            <w:tcW w:w="1021" w:type="dxa"/>
            <w:tcBorders>
              <w:top w:val="single" w:sz="4" w:space="0" w:color="BFBFBF"/>
            </w:tcBorders>
            <w:shd w:val="clear" w:color="auto" w:fill="auto"/>
            <w:hideMark/>
          </w:tcPr>
          <w:p w14:paraId="2411AC1B" w14:textId="77777777" w:rsidR="0078495E" w:rsidRDefault="0078495E" w:rsidP="004C7BEF">
            <w:pPr>
              <w:pStyle w:val="ARtabletextright"/>
            </w:pPr>
            <w:r w:rsidRPr="00325072">
              <w:t>60,536</w:t>
            </w:r>
          </w:p>
        </w:tc>
        <w:tc>
          <w:tcPr>
            <w:tcW w:w="1021" w:type="dxa"/>
            <w:tcBorders>
              <w:top w:val="single" w:sz="4" w:space="0" w:color="BFBFBF"/>
            </w:tcBorders>
            <w:shd w:val="clear" w:color="auto" w:fill="auto"/>
          </w:tcPr>
          <w:p w14:paraId="55045C8D" w14:textId="77777777" w:rsidR="0078495E" w:rsidRDefault="0078495E" w:rsidP="004C7BEF">
            <w:pPr>
              <w:pStyle w:val="ARtabletextright"/>
            </w:pPr>
            <w:r w:rsidRPr="00325072">
              <w:t>−20.1%</w:t>
            </w:r>
          </w:p>
        </w:tc>
        <w:tc>
          <w:tcPr>
            <w:tcW w:w="794" w:type="dxa"/>
            <w:tcBorders>
              <w:top w:val="single" w:sz="4" w:space="0" w:color="BFBFBF"/>
            </w:tcBorders>
            <w:shd w:val="clear" w:color="auto" w:fill="auto"/>
            <w:hideMark/>
          </w:tcPr>
          <w:p w14:paraId="235F77C6" w14:textId="77777777" w:rsidR="0078495E" w:rsidRPr="00D02A2E" w:rsidRDefault="0078495E" w:rsidP="004C7BEF">
            <w:pPr>
              <w:pStyle w:val="ARtableperformancesymbol"/>
              <w:rPr>
                <w:rFonts w:hint="eastAsia"/>
              </w:rPr>
            </w:pPr>
            <w:r w:rsidRPr="00325072">
              <w:t></w:t>
            </w:r>
          </w:p>
        </w:tc>
      </w:tr>
      <w:tr w:rsidR="0078495E" w:rsidRPr="00D02A2E" w14:paraId="21389C22" w14:textId="77777777" w:rsidTr="004C7BEF">
        <w:trPr>
          <w:cantSplit/>
        </w:trPr>
        <w:tc>
          <w:tcPr>
            <w:tcW w:w="9639" w:type="dxa"/>
            <w:gridSpan w:val="6"/>
            <w:tcBorders>
              <w:bottom w:val="single" w:sz="4" w:space="0" w:color="BFBFBF"/>
            </w:tcBorders>
            <w:shd w:val="clear" w:color="auto" w:fill="auto"/>
            <w:noWrap/>
            <w:hideMark/>
          </w:tcPr>
          <w:p w14:paraId="4F19860E" w14:textId="5F6C0BBA" w:rsidR="0078495E" w:rsidRPr="00D02A2E" w:rsidRDefault="0078495E" w:rsidP="004C7BEF">
            <w:pPr>
              <w:pStyle w:val="ARtablenoteindent"/>
            </w:pPr>
            <w:r w:rsidRPr="00325072">
              <w:t xml:space="preserve">Factors contributing to the low service numbers </w:t>
            </w:r>
            <w:r w:rsidR="00BF286F">
              <w:t xml:space="preserve">this year </w:t>
            </w:r>
            <w:r w:rsidRPr="00325072">
              <w:t>include increased non-attendance due to the high rate of COVID</w:t>
            </w:r>
            <w:r w:rsidR="00043C28">
              <w:t>-19</w:t>
            </w:r>
            <w:r w:rsidRPr="00325072">
              <w:t xml:space="preserve"> in the community, the impact of COVID</w:t>
            </w:r>
            <w:r w:rsidR="00043C28">
              <w:t>-19</w:t>
            </w:r>
            <w:r w:rsidRPr="00325072">
              <w:t xml:space="preserve"> on staffing</w:t>
            </w:r>
            <w:r w:rsidR="00345092">
              <w:t>, which</w:t>
            </w:r>
            <w:r w:rsidRPr="00325072">
              <w:t xml:space="preserve"> affected V</w:t>
            </w:r>
            <w:r w:rsidR="00043C28">
              <w:t xml:space="preserve">ictorian </w:t>
            </w:r>
            <w:r w:rsidRPr="00325072">
              <w:t>E</w:t>
            </w:r>
            <w:r w:rsidR="00043C28">
              <w:t xml:space="preserve">yecare </w:t>
            </w:r>
            <w:r w:rsidRPr="00325072">
              <w:t>S</w:t>
            </w:r>
            <w:r w:rsidR="00043C28">
              <w:t>ervice</w:t>
            </w:r>
            <w:r w:rsidRPr="00325072">
              <w:t>'s capacity to follow up and book appointments</w:t>
            </w:r>
            <w:r w:rsidR="00043C28">
              <w:t>,</w:t>
            </w:r>
            <w:r w:rsidRPr="00325072">
              <w:t xml:space="preserve"> and a reduction in rural claims.</w:t>
            </w:r>
          </w:p>
        </w:tc>
      </w:tr>
      <w:tr w:rsidR="0078495E" w:rsidRPr="00D02A2E" w14:paraId="34D348C5" w14:textId="77777777" w:rsidTr="004C7BEF">
        <w:trPr>
          <w:cantSplit/>
        </w:trPr>
        <w:tc>
          <w:tcPr>
            <w:tcW w:w="4761" w:type="dxa"/>
            <w:shd w:val="clear" w:color="auto" w:fill="auto"/>
            <w:hideMark/>
          </w:tcPr>
          <w:p w14:paraId="13CA7E0D" w14:textId="77777777" w:rsidR="0078495E" w:rsidRPr="00D02A2E" w:rsidRDefault="0078495E" w:rsidP="004C7BEF">
            <w:pPr>
              <w:pStyle w:val="ARtabletext"/>
            </w:pPr>
            <w:r w:rsidRPr="00325072">
              <w:t>Clients accessing aids and equipment</w:t>
            </w:r>
          </w:p>
        </w:tc>
        <w:tc>
          <w:tcPr>
            <w:tcW w:w="1021" w:type="dxa"/>
            <w:shd w:val="clear" w:color="auto" w:fill="auto"/>
            <w:hideMark/>
          </w:tcPr>
          <w:p w14:paraId="5A5266F4" w14:textId="77777777" w:rsidR="0078495E" w:rsidRPr="00D02A2E" w:rsidRDefault="0078495E" w:rsidP="004C7BEF">
            <w:pPr>
              <w:pStyle w:val="ARtabletextcentre"/>
            </w:pPr>
            <w:r w:rsidRPr="00325072">
              <w:t>number</w:t>
            </w:r>
          </w:p>
        </w:tc>
        <w:tc>
          <w:tcPr>
            <w:tcW w:w="1021" w:type="dxa"/>
            <w:shd w:val="clear" w:color="auto" w:fill="auto"/>
            <w:hideMark/>
          </w:tcPr>
          <w:p w14:paraId="26447B41" w14:textId="77777777" w:rsidR="0078495E" w:rsidRDefault="0078495E" w:rsidP="004C7BEF">
            <w:pPr>
              <w:pStyle w:val="ARtabletextright"/>
            </w:pPr>
            <w:r w:rsidRPr="00325072">
              <w:t>22,658</w:t>
            </w:r>
          </w:p>
        </w:tc>
        <w:tc>
          <w:tcPr>
            <w:tcW w:w="1021" w:type="dxa"/>
            <w:shd w:val="clear" w:color="auto" w:fill="auto"/>
            <w:hideMark/>
          </w:tcPr>
          <w:p w14:paraId="2C393392" w14:textId="77777777" w:rsidR="0078495E" w:rsidRDefault="0078495E" w:rsidP="004C7BEF">
            <w:pPr>
              <w:pStyle w:val="ARtabletextright"/>
            </w:pPr>
            <w:r w:rsidRPr="00325072">
              <w:t>27,325</w:t>
            </w:r>
          </w:p>
        </w:tc>
        <w:tc>
          <w:tcPr>
            <w:tcW w:w="1021" w:type="dxa"/>
            <w:shd w:val="clear" w:color="auto" w:fill="auto"/>
          </w:tcPr>
          <w:p w14:paraId="297C4267" w14:textId="77777777" w:rsidR="0078495E" w:rsidRDefault="0078495E" w:rsidP="004C7BEF">
            <w:pPr>
              <w:pStyle w:val="ARtabletextright"/>
            </w:pPr>
            <w:r w:rsidRPr="00325072">
              <w:t>20.6%</w:t>
            </w:r>
          </w:p>
        </w:tc>
        <w:tc>
          <w:tcPr>
            <w:tcW w:w="794" w:type="dxa"/>
            <w:shd w:val="clear" w:color="auto" w:fill="auto"/>
            <w:hideMark/>
          </w:tcPr>
          <w:p w14:paraId="1F0C4582" w14:textId="77777777" w:rsidR="0078495E" w:rsidRPr="00D02A2E" w:rsidRDefault="0078495E" w:rsidP="004C7BEF">
            <w:pPr>
              <w:pStyle w:val="ARtableperformancesymbol"/>
              <w:rPr>
                <w:rFonts w:hint="eastAsia"/>
              </w:rPr>
            </w:pPr>
            <w:r w:rsidRPr="00325072">
              <w:t></w:t>
            </w:r>
          </w:p>
        </w:tc>
      </w:tr>
      <w:tr w:rsidR="0078495E" w:rsidRPr="00D02A2E" w14:paraId="704D81F8" w14:textId="77777777" w:rsidTr="004C7BEF">
        <w:trPr>
          <w:cantSplit/>
        </w:trPr>
        <w:tc>
          <w:tcPr>
            <w:tcW w:w="9639" w:type="dxa"/>
            <w:gridSpan w:val="6"/>
            <w:tcBorders>
              <w:bottom w:val="single" w:sz="4" w:space="0" w:color="BFBFBF"/>
            </w:tcBorders>
            <w:shd w:val="clear" w:color="auto" w:fill="auto"/>
            <w:noWrap/>
            <w:hideMark/>
          </w:tcPr>
          <w:p w14:paraId="289B7E6A" w14:textId="077F2834" w:rsidR="0078495E" w:rsidRPr="00D02A2E" w:rsidRDefault="0078495E" w:rsidP="004C7BEF">
            <w:pPr>
              <w:pStyle w:val="ARtablenoteindent"/>
            </w:pPr>
            <w:r w:rsidRPr="00325072">
              <w:t xml:space="preserve">Additional resourcing has increased capacity to provide more lymphoedema garments due to additional </w:t>
            </w:r>
            <w:r w:rsidR="00BF286F">
              <w:t>four</w:t>
            </w:r>
            <w:r w:rsidR="00043C28">
              <w:t>-</w:t>
            </w:r>
            <w:r w:rsidRPr="00325072">
              <w:t>year Commonwealth funding and increased capacity to meet need for other equipment/subsidies due to additional NDIS Out of Scope funding.</w:t>
            </w:r>
          </w:p>
        </w:tc>
      </w:tr>
      <w:tr w:rsidR="0078495E" w:rsidRPr="00D02A2E" w14:paraId="11F28861" w14:textId="77777777" w:rsidTr="004C7BEF">
        <w:trPr>
          <w:cantSplit/>
        </w:trPr>
        <w:tc>
          <w:tcPr>
            <w:tcW w:w="9639" w:type="dxa"/>
            <w:gridSpan w:val="6"/>
            <w:tcBorders>
              <w:top w:val="single" w:sz="4" w:space="0" w:color="auto"/>
            </w:tcBorders>
            <w:shd w:val="clear" w:color="auto" w:fill="auto"/>
            <w:hideMark/>
          </w:tcPr>
          <w:p w14:paraId="688002A6" w14:textId="77777777" w:rsidR="0078495E" w:rsidRPr="00D02A2E" w:rsidRDefault="0078495E" w:rsidP="004C7BEF">
            <w:pPr>
              <w:pStyle w:val="ARtablegreybold"/>
              <w:rPr>
                <w:rFonts w:ascii="Wingdings" w:hAnsi="Wingdings"/>
              </w:rPr>
            </w:pPr>
            <w:r>
              <w:t>Quality</w:t>
            </w:r>
          </w:p>
        </w:tc>
      </w:tr>
      <w:tr w:rsidR="0078495E" w:rsidRPr="00D02A2E" w14:paraId="4EB380AE" w14:textId="77777777" w:rsidTr="00847138">
        <w:trPr>
          <w:cantSplit/>
        </w:trPr>
        <w:tc>
          <w:tcPr>
            <w:tcW w:w="4761" w:type="dxa"/>
            <w:tcBorders>
              <w:bottom w:val="single" w:sz="4" w:space="0" w:color="BFBFBF"/>
            </w:tcBorders>
            <w:shd w:val="clear" w:color="auto" w:fill="auto"/>
            <w:hideMark/>
          </w:tcPr>
          <w:p w14:paraId="20669E33" w14:textId="77777777" w:rsidR="0078495E" w:rsidRPr="00D02A2E" w:rsidRDefault="0078495E" w:rsidP="004C7BEF">
            <w:pPr>
              <w:pStyle w:val="ARtabletext"/>
            </w:pPr>
            <w:r w:rsidRPr="00565A03">
              <w:t>Funded research and service development projects for which satisfactory reports have been received</w:t>
            </w:r>
          </w:p>
        </w:tc>
        <w:tc>
          <w:tcPr>
            <w:tcW w:w="1021" w:type="dxa"/>
            <w:tcBorders>
              <w:bottom w:val="single" w:sz="4" w:space="0" w:color="BFBFBF"/>
            </w:tcBorders>
            <w:shd w:val="clear" w:color="auto" w:fill="auto"/>
            <w:hideMark/>
          </w:tcPr>
          <w:p w14:paraId="1BCFBD68" w14:textId="77777777" w:rsidR="0078495E" w:rsidRPr="00D02A2E" w:rsidRDefault="0078495E" w:rsidP="004C7BEF">
            <w:pPr>
              <w:pStyle w:val="ARtabletextcentre"/>
            </w:pPr>
            <w:r w:rsidRPr="00565A03">
              <w:t>per cent</w:t>
            </w:r>
          </w:p>
        </w:tc>
        <w:tc>
          <w:tcPr>
            <w:tcW w:w="1021" w:type="dxa"/>
            <w:tcBorders>
              <w:bottom w:val="single" w:sz="4" w:space="0" w:color="BFBFBF"/>
            </w:tcBorders>
            <w:shd w:val="clear" w:color="auto" w:fill="auto"/>
            <w:hideMark/>
          </w:tcPr>
          <w:p w14:paraId="0BA1FF13" w14:textId="77777777" w:rsidR="0078495E" w:rsidRDefault="0078495E" w:rsidP="004C7BEF">
            <w:pPr>
              <w:pStyle w:val="ARtabletextright"/>
            </w:pPr>
            <w:r w:rsidRPr="00565A03">
              <w:t>100</w:t>
            </w:r>
          </w:p>
        </w:tc>
        <w:tc>
          <w:tcPr>
            <w:tcW w:w="1021" w:type="dxa"/>
            <w:tcBorders>
              <w:bottom w:val="single" w:sz="4" w:space="0" w:color="BFBFBF"/>
            </w:tcBorders>
            <w:shd w:val="clear" w:color="auto" w:fill="auto"/>
            <w:hideMark/>
          </w:tcPr>
          <w:p w14:paraId="60C32988" w14:textId="77777777" w:rsidR="0078495E" w:rsidRDefault="0078495E" w:rsidP="004C7BEF">
            <w:pPr>
              <w:pStyle w:val="ARtabletextright"/>
            </w:pPr>
            <w:r w:rsidRPr="00565A03">
              <w:t>100</w:t>
            </w:r>
          </w:p>
        </w:tc>
        <w:tc>
          <w:tcPr>
            <w:tcW w:w="1021" w:type="dxa"/>
            <w:tcBorders>
              <w:bottom w:val="single" w:sz="4" w:space="0" w:color="BFBFBF"/>
            </w:tcBorders>
            <w:shd w:val="clear" w:color="auto" w:fill="auto"/>
          </w:tcPr>
          <w:p w14:paraId="3A1D3800" w14:textId="77777777" w:rsidR="0078495E" w:rsidRDefault="0078495E" w:rsidP="004C7BEF">
            <w:pPr>
              <w:pStyle w:val="ARtabletextright"/>
            </w:pPr>
            <w:r w:rsidRPr="00565A03">
              <w:t>0.0%</w:t>
            </w:r>
          </w:p>
        </w:tc>
        <w:tc>
          <w:tcPr>
            <w:tcW w:w="794" w:type="dxa"/>
            <w:tcBorders>
              <w:bottom w:val="single" w:sz="4" w:space="0" w:color="BFBFBF"/>
            </w:tcBorders>
            <w:shd w:val="clear" w:color="auto" w:fill="auto"/>
            <w:hideMark/>
          </w:tcPr>
          <w:p w14:paraId="0DFA1991" w14:textId="77777777" w:rsidR="0078495E" w:rsidRPr="00D02A2E" w:rsidRDefault="0078495E" w:rsidP="004C7BEF">
            <w:pPr>
              <w:pStyle w:val="ARtableperformancesymbol"/>
              <w:rPr>
                <w:rFonts w:hint="eastAsia"/>
              </w:rPr>
            </w:pPr>
            <w:r w:rsidRPr="00565A03">
              <w:t></w:t>
            </w:r>
          </w:p>
        </w:tc>
      </w:tr>
      <w:tr w:rsidR="0078495E" w:rsidRPr="00D02A2E" w14:paraId="599DAE24" w14:textId="77777777" w:rsidTr="00847138">
        <w:trPr>
          <w:cantSplit/>
        </w:trPr>
        <w:tc>
          <w:tcPr>
            <w:tcW w:w="4761" w:type="dxa"/>
            <w:tcBorders>
              <w:top w:val="single" w:sz="4" w:space="0" w:color="BFBFBF"/>
            </w:tcBorders>
            <w:shd w:val="clear" w:color="auto" w:fill="auto"/>
            <w:hideMark/>
          </w:tcPr>
          <w:p w14:paraId="575C651B" w14:textId="77777777" w:rsidR="0078495E" w:rsidRPr="00D02A2E" w:rsidRDefault="0078495E" w:rsidP="004C7BEF">
            <w:pPr>
              <w:pStyle w:val="ARtabletext"/>
            </w:pPr>
            <w:r w:rsidRPr="00565A03">
              <w:t>Clients satisfied with the aids and equipment services system</w:t>
            </w:r>
          </w:p>
        </w:tc>
        <w:tc>
          <w:tcPr>
            <w:tcW w:w="1021" w:type="dxa"/>
            <w:tcBorders>
              <w:top w:val="single" w:sz="4" w:space="0" w:color="BFBFBF"/>
            </w:tcBorders>
            <w:shd w:val="clear" w:color="auto" w:fill="auto"/>
            <w:hideMark/>
          </w:tcPr>
          <w:p w14:paraId="0E9FAB1B" w14:textId="77777777" w:rsidR="0078495E" w:rsidRPr="00D02A2E" w:rsidRDefault="0078495E" w:rsidP="004C7BEF">
            <w:pPr>
              <w:pStyle w:val="ARtabletextcentre"/>
            </w:pPr>
            <w:r w:rsidRPr="00565A03">
              <w:t>per cent</w:t>
            </w:r>
          </w:p>
        </w:tc>
        <w:tc>
          <w:tcPr>
            <w:tcW w:w="1021" w:type="dxa"/>
            <w:tcBorders>
              <w:top w:val="single" w:sz="4" w:space="0" w:color="BFBFBF"/>
            </w:tcBorders>
            <w:shd w:val="clear" w:color="auto" w:fill="auto"/>
            <w:hideMark/>
          </w:tcPr>
          <w:p w14:paraId="1E73ECAC" w14:textId="77777777" w:rsidR="0078495E" w:rsidRDefault="0078495E" w:rsidP="004C7BEF">
            <w:pPr>
              <w:pStyle w:val="ARtabletextright"/>
            </w:pPr>
            <w:r w:rsidRPr="00565A03">
              <w:t>90</w:t>
            </w:r>
          </w:p>
        </w:tc>
        <w:tc>
          <w:tcPr>
            <w:tcW w:w="1021" w:type="dxa"/>
            <w:tcBorders>
              <w:top w:val="single" w:sz="4" w:space="0" w:color="BFBFBF"/>
            </w:tcBorders>
            <w:shd w:val="clear" w:color="auto" w:fill="auto"/>
            <w:hideMark/>
          </w:tcPr>
          <w:p w14:paraId="604B4F5C" w14:textId="77777777" w:rsidR="0078495E" w:rsidRDefault="0078495E" w:rsidP="004C7BEF">
            <w:pPr>
              <w:pStyle w:val="ARtabletextright"/>
            </w:pPr>
            <w:r w:rsidRPr="00565A03">
              <w:t>99</w:t>
            </w:r>
          </w:p>
        </w:tc>
        <w:tc>
          <w:tcPr>
            <w:tcW w:w="1021" w:type="dxa"/>
            <w:tcBorders>
              <w:top w:val="single" w:sz="4" w:space="0" w:color="BFBFBF"/>
            </w:tcBorders>
            <w:shd w:val="clear" w:color="auto" w:fill="auto"/>
          </w:tcPr>
          <w:p w14:paraId="44306433" w14:textId="77777777" w:rsidR="0078495E" w:rsidRDefault="0078495E" w:rsidP="004C7BEF">
            <w:pPr>
              <w:pStyle w:val="ARtabletextright"/>
            </w:pPr>
            <w:r w:rsidRPr="00565A03">
              <w:t>10.0%</w:t>
            </w:r>
          </w:p>
        </w:tc>
        <w:tc>
          <w:tcPr>
            <w:tcW w:w="794" w:type="dxa"/>
            <w:tcBorders>
              <w:top w:val="single" w:sz="4" w:space="0" w:color="BFBFBF"/>
            </w:tcBorders>
            <w:shd w:val="clear" w:color="auto" w:fill="auto"/>
            <w:hideMark/>
          </w:tcPr>
          <w:p w14:paraId="0F80C1F6" w14:textId="77777777" w:rsidR="0078495E" w:rsidRPr="00D02A2E" w:rsidRDefault="0078495E" w:rsidP="004C7BEF">
            <w:pPr>
              <w:pStyle w:val="ARtableperformancesymbol"/>
              <w:rPr>
                <w:rFonts w:hint="eastAsia"/>
              </w:rPr>
            </w:pPr>
            <w:r w:rsidRPr="00565A03">
              <w:t></w:t>
            </w:r>
          </w:p>
        </w:tc>
      </w:tr>
      <w:tr w:rsidR="00EC62C1" w:rsidRPr="00D02A2E" w14:paraId="37936B16" w14:textId="77777777" w:rsidTr="003420DA">
        <w:trPr>
          <w:cantSplit/>
        </w:trPr>
        <w:tc>
          <w:tcPr>
            <w:tcW w:w="9639" w:type="dxa"/>
            <w:gridSpan w:val="6"/>
            <w:tcBorders>
              <w:bottom w:val="single" w:sz="4" w:space="0" w:color="BFBFBF"/>
            </w:tcBorders>
            <w:shd w:val="clear" w:color="auto" w:fill="auto"/>
          </w:tcPr>
          <w:p w14:paraId="16222934" w14:textId="78BCDCB4" w:rsidR="00EC62C1" w:rsidRPr="00C63A9A" w:rsidRDefault="00EC62C1" w:rsidP="008340C1">
            <w:pPr>
              <w:pStyle w:val="ARtablenoteindent"/>
            </w:pPr>
            <w:r w:rsidRPr="00517E71">
              <w:t xml:space="preserve">This is </w:t>
            </w:r>
            <w:r w:rsidR="005F3072">
              <w:t xml:space="preserve">a </w:t>
            </w:r>
            <w:r w:rsidRPr="00517E71">
              <w:t>favourable result.</w:t>
            </w:r>
          </w:p>
        </w:tc>
      </w:tr>
      <w:tr w:rsidR="0078495E" w:rsidRPr="00D02A2E" w14:paraId="413C2B08" w14:textId="77777777" w:rsidTr="004C7BEF">
        <w:trPr>
          <w:cantSplit/>
        </w:trPr>
        <w:tc>
          <w:tcPr>
            <w:tcW w:w="9639" w:type="dxa"/>
            <w:gridSpan w:val="6"/>
            <w:tcBorders>
              <w:top w:val="single" w:sz="4" w:space="0" w:color="auto"/>
            </w:tcBorders>
            <w:shd w:val="clear" w:color="auto" w:fill="auto"/>
            <w:hideMark/>
          </w:tcPr>
          <w:p w14:paraId="112E88A0" w14:textId="77777777" w:rsidR="0078495E" w:rsidRPr="00D02A2E" w:rsidRDefault="0078495E" w:rsidP="004C7BEF">
            <w:pPr>
              <w:pStyle w:val="ARtablegreybold"/>
              <w:rPr>
                <w:rFonts w:ascii="Wingdings" w:hAnsi="Wingdings"/>
              </w:rPr>
            </w:pPr>
            <w:r>
              <w:t>Timeliness</w:t>
            </w:r>
          </w:p>
        </w:tc>
      </w:tr>
      <w:tr w:rsidR="0078495E" w:rsidRPr="00D02A2E" w14:paraId="110BA90D" w14:textId="77777777" w:rsidTr="004C7BEF">
        <w:trPr>
          <w:cantSplit/>
        </w:trPr>
        <w:tc>
          <w:tcPr>
            <w:tcW w:w="4761" w:type="dxa"/>
            <w:shd w:val="clear" w:color="auto" w:fill="auto"/>
            <w:hideMark/>
          </w:tcPr>
          <w:p w14:paraId="3C4BA1A1" w14:textId="77777777" w:rsidR="0078495E" w:rsidRPr="00D02A2E" w:rsidRDefault="0078495E" w:rsidP="004C7BEF">
            <w:pPr>
              <w:pStyle w:val="ARtabletext"/>
            </w:pPr>
            <w:r w:rsidRPr="00FA2F87">
              <w:t>Applications for aids and equipment acknowledged in writing within 10 working days</w:t>
            </w:r>
          </w:p>
        </w:tc>
        <w:tc>
          <w:tcPr>
            <w:tcW w:w="1021" w:type="dxa"/>
            <w:shd w:val="clear" w:color="auto" w:fill="auto"/>
            <w:hideMark/>
          </w:tcPr>
          <w:p w14:paraId="3C848185" w14:textId="77777777" w:rsidR="0078495E" w:rsidRPr="00D02A2E" w:rsidRDefault="0078495E" w:rsidP="004C7BEF">
            <w:pPr>
              <w:pStyle w:val="ARtabletextcentre"/>
            </w:pPr>
            <w:r w:rsidRPr="00FA2F87">
              <w:t>per cent</w:t>
            </w:r>
          </w:p>
        </w:tc>
        <w:tc>
          <w:tcPr>
            <w:tcW w:w="1021" w:type="dxa"/>
            <w:shd w:val="clear" w:color="auto" w:fill="auto"/>
            <w:hideMark/>
          </w:tcPr>
          <w:p w14:paraId="42699199" w14:textId="77777777" w:rsidR="0078495E" w:rsidRDefault="0078495E" w:rsidP="004C7BEF">
            <w:pPr>
              <w:pStyle w:val="ARtabletextright"/>
            </w:pPr>
            <w:r w:rsidRPr="00FA2F87">
              <w:t>90</w:t>
            </w:r>
          </w:p>
        </w:tc>
        <w:tc>
          <w:tcPr>
            <w:tcW w:w="1021" w:type="dxa"/>
            <w:shd w:val="clear" w:color="auto" w:fill="auto"/>
            <w:hideMark/>
          </w:tcPr>
          <w:p w14:paraId="670382F5" w14:textId="77777777" w:rsidR="0078495E" w:rsidRDefault="0078495E" w:rsidP="004C7BEF">
            <w:pPr>
              <w:pStyle w:val="ARtabletextright"/>
            </w:pPr>
            <w:r w:rsidRPr="00FA2F87">
              <w:t>99.9</w:t>
            </w:r>
          </w:p>
        </w:tc>
        <w:tc>
          <w:tcPr>
            <w:tcW w:w="1021" w:type="dxa"/>
            <w:shd w:val="clear" w:color="auto" w:fill="auto"/>
          </w:tcPr>
          <w:p w14:paraId="0CC3CBD2" w14:textId="77777777" w:rsidR="0078495E" w:rsidRDefault="0078495E" w:rsidP="004C7BEF">
            <w:pPr>
              <w:pStyle w:val="ARtabletextright"/>
            </w:pPr>
            <w:r w:rsidRPr="00FA2F87">
              <w:t>11.0%</w:t>
            </w:r>
          </w:p>
        </w:tc>
        <w:tc>
          <w:tcPr>
            <w:tcW w:w="794" w:type="dxa"/>
            <w:shd w:val="clear" w:color="auto" w:fill="auto"/>
            <w:hideMark/>
          </w:tcPr>
          <w:p w14:paraId="4E6EF075" w14:textId="77777777" w:rsidR="0078495E" w:rsidRPr="00D02A2E" w:rsidRDefault="0078495E" w:rsidP="004C7BEF">
            <w:pPr>
              <w:pStyle w:val="ARtableperformancesymbol"/>
              <w:rPr>
                <w:rFonts w:hint="eastAsia"/>
              </w:rPr>
            </w:pPr>
            <w:r w:rsidRPr="00FA2F87">
              <w:t></w:t>
            </w:r>
          </w:p>
        </w:tc>
      </w:tr>
      <w:tr w:rsidR="00EC62C1" w:rsidRPr="00D02A2E" w14:paraId="51D51C9A" w14:textId="77777777" w:rsidTr="008340C1">
        <w:trPr>
          <w:cantSplit/>
        </w:trPr>
        <w:tc>
          <w:tcPr>
            <w:tcW w:w="9639" w:type="dxa"/>
            <w:gridSpan w:val="6"/>
            <w:tcBorders>
              <w:bottom w:val="single" w:sz="4" w:space="0" w:color="BFBFBF"/>
            </w:tcBorders>
            <w:shd w:val="clear" w:color="auto" w:fill="auto"/>
          </w:tcPr>
          <w:p w14:paraId="54516679" w14:textId="39D82079" w:rsidR="00EC62C1" w:rsidRPr="00C63A9A" w:rsidRDefault="00EC62C1" w:rsidP="008340C1">
            <w:pPr>
              <w:pStyle w:val="ARtablenoteindent"/>
            </w:pPr>
            <w:r w:rsidRPr="00517E71">
              <w:t xml:space="preserve">This is </w:t>
            </w:r>
            <w:r w:rsidR="005F3072">
              <w:t xml:space="preserve">a </w:t>
            </w:r>
            <w:r w:rsidRPr="00517E71">
              <w:t>favourable result.</w:t>
            </w:r>
          </w:p>
        </w:tc>
      </w:tr>
      <w:tr w:rsidR="0078495E" w:rsidRPr="00D02A2E" w14:paraId="2FF4C0D7" w14:textId="77777777" w:rsidTr="004C7BEF">
        <w:trPr>
          <w:cantSplit/>
        </w:trPr>
        <w:tc>
          <w:tcPr>
            <w:tcW w:w="9639" w:type="dxa"/>
            <w:gridSpan w:val="6"/>
            <w:tcBorders>
              <w:top w:val="single" w:sz="4" w:space="0" w:color="auto"/>
            </w:tcBorders>
            <w:shd w:val="clear" w:color="auto" w:fill="auto"/>
            <w:hideMark/>
          </w:tcPr>
          <w:p w14:paraId="07610475" w14:textId="77777777" w:rsidR="0078495E" w:rsidRPr="00D02A2E" w:rsidRDefault="0078495E" w:rsidP="004C7BEF">
            <w:pPr>
              <w:pStyle w:val="ARtablegreybold"/>
              <w:rPr>
                <w:rFonts w:ascii="Wingdings" w:hAnsi="Wingdings"/>
              </w:rPr>
            </w:pPr>
            <w:r w:rsidRPr="00FA2F87">
              <w:t>Cost</w:t>
            </w:r>
          </w:p>
        </w:tc>
      </w:tr>
      <w:tr w:rsidR="0078495E" w:rsidRPr="00847A6B" w14:paraId="74980DB1" w14:textId="77777777" w:rsidTr="004C7BEF">
        <w:trPr>
          <w:cantSplit/>
        </w:trPr>
        <w:tc>
          <w:tcPr>
            <w:tcW w:w="4761" w:type="dxa"/>
            <w:shd w:val="clear" w:color="auto" w:fill="auto"/>
            <w:hideMark/>
          </w:tcPr>
          <w:p w14:paraId="5B96C4C1" w14:textId="77777777" w:rsidR="0078495E" w:rsidRPr="00847A6B" w:rsidRDefault="0078495E" w:rsidP="004C7BEF">
            <w:pPr>
              <w:pStyle w:val="ARtabletext"/>
              <w:rPr>
                <w:b/>
                <w:bCs/>
              </w:rPr>
            </w:pPr>
            <w:r w:rsidRPr="00847A6B">
              <w:rPr>
                <w:b/>
                <w:bCs/>
              </w:rPr>
              <w:t>Total Output Cost</w:t>
            </w:r>
          </w:p>
        </w:tc>
        <w:tc>
          <w:tcPr>
            <w:tcW w:w="1021" w:type="dxa"/>
            <w:shd w:val="clear" w:color="auto" w:fill="auto"/>
            <w:hideMark/>
          </w:tcPr>
          <w:p w14:paraId="42071959" w14:textId="77777777" w:rsidR="0078495E" w:rsidRPr="00847A6B" w:rsidRDefault="0078495E" w:rsidP="004C7BEF">
            <w:pPr>
              <w:pStyle w:val="ARtabletextcentre"/>
              <w:rPr>
                <w:b/>
                <w:bCs/>
              </w:rPr>
            </w:pPr>
            <w:r w:rsidRPr="00847A6B">
              <w:rPr>
                <w:b/>
                <w:bCs/>
              </w:rPr>
              <w:t>$ million</w:t>
            </w:r>
          </w:p>
        </w:tc>
        <w:tc>
          <w:tcPr>
            <w:tcW w:w="1021" w:type="dxa"/>
            <w:shd w:val="clear" w:color="auto" w:fill="auto"/>
            <w:hideMark/>
          </w:tcPr>
          <w:p w14:paraId="25644120" w14:textId="77777777" w:rsidR="0078495E" w:rsidRPr="00847A6B" w:rsidRDefault="0078495E" w:rsidP="004C7BEF">
            <w:pPr>
              <w:pStyle w:val="ARtabletextright"/>
              <w:rPr>
                <w:b/>
                <w:bCs/>
              </w:rPr>
            </w:pPr>
            <w:r w:rsidRPr="00847A6B">
              <w:rPr>
                <w:b/>
                <w:bCs/>
              </w:rPr>
              <w:t>108.8</w:t>
            </w:r>
          </w:p>
        </w:tc>
        <w:tc>
          <w:tcPr>
            <w:tcW w:w="1021" w:type="dxa"/>
            <w:shd w:val="clear" w:color="auto" w:fill="auto"/>
            <w:hideMark/>
          </w:tcPr>
          <w:p w14:paraId="122341A5" w14:textId="77777777" w:rsidR="0078495E" w:rsidRPr="00847A6B" w:rsidRDefault="0078495E" w:rsidP="004C7BEF">
            <w:pPr>
              <w:pStyle w:val="ARtabletextright"/>
              <w:rPr>
                <w:b/>
                <w:bCs/>
              </w:rPr>
            </w:pPr>
            <w:r w:rsidRPr="00847A6B">
              <w:rPr>
                <w:b/>
                <w:bCs/>
              </w:rPr>
              <w:t>129.4</w:t>
            </w:r>
          </w:p>
        </w:tc>
        <w:tc>
          <w:tcPr>
            <w:tcW w:w="1021" w:type="dxa"/>
            <w:shd w:val="clear" w:color="auto" w:fill="auto"/>
          </w:tcPr>
          <w:p w14:paraId="6D9A0253" w14:textId="77777777" w:rsidR="0078495E" w:rsidRPr="00847A6B" w:rsidRDefault="0078495E" w:rsidP="004C7BEF">
            <w:pPr>
              <w:pStyle w:val="ARtabletextright"/>
              <w:rPr>
                <w:b/>
                <w:bCs/>
              </w:rPr>
            </w:pPr>
            <w:r w:rsidRPr="00847A6B">
              <w:rPr>
                <w:b/>
                <w:bCs/>
              </w:rPr>
              <w:t>18.9%</w:t>
            </w:r>
          </w:p>
        </w:tc>
        <w:tc>
          <w:tcPr>
            <w:tcW w:w="794" w:type="dxa"/>
            <w:shd w:val="clear" w:color="auto" w:fill="auto"/>
            <w:hideMark/>
          </w:tcPr>
          <w:p w14:paraId="48580A83" w14:textId="77777777" w:rsidR="0078495E" w:rsidRPr="00847A6B" w:rsidRDefault="0078495E" w:rsidP="004C7BEF">
            <w:pPr>
              <w:pStyle w:val="ARtabletextright"/>
              <w:rPr>
                <w:b/>
                <w:bCs/>
              </w:rPr>
            </w:pPr>
          </w:p>
        </w:tc>
      </w:tr>
      <w:tr w:rsidR="0078495E" w:rsidRPr="00D02A2E" w14:paraId="544D0133" w14:textId="77777777" w:rsidTr="004C7BEF">
        <w:trPr>
          <w:cantSplit/>
        </w:trPr>
        <w:tc>
          <w:tcPr>
            <w:tcW w:w="9639" w:type="dxa"/>
            <w:gridSpan w:val="6"/>
            <w:tcBorders>
              <w:bottom w:val="single" w:sz="4" w:space="0" w:color="auto"/>
            </w:tcBorders>
            <w:shd w:val="clear" w:color="auto" w:fill="auto"/>
            <w:noWrap/>
            <w:hideMark/>
          </w:tcPr>
          <w:p w14:paraId="085231CC" w14:textId="77777777" w:rsidR="0078495E" w:rsidRPr="00D02A2E" w:rsidRDefault="0078495E" w:rsidP="004C7BEF">
            <w:pPr>
              <w:pStyle w:val="ARtablenoteindent"/>
            </w:pPr>
            <w:r w:rsidRPr="00FA2F87">
              <w:t>The 2021–22 actual outcome reflects the impact of realignment of funding from Residential Aged Care output.</w:t>
            </w:r>
          </w:p>
        </w:tc>
      </w:tr>
    </w:tbl>
    <w:p w14:paraId="776A7B86" w14:textId="77777777" w:rsidR="001C60F2" w:rsidRPr="001C60F2" w:rsidRDefault="001C60F2" w:rsidP="001C60F2">
      <w:pPr>
        <w:pStyle w:val="ARbody"/>
      </w:pPr>
      <w:r w:rsidRPr="001C60F2">
        <w:br w:type="page"/>
      </w:r>
    </w:p>
    <w:p w14:paraId="21B7A78E" w14:textId="38DC530A" w:rsidR="0078495E" w:rsidRDefault="0078495E" w:rsidP="00306875">
      <w:pPr>
        <w:pStyle w:val="Heading4"/>
        <w:spacing w:before="400"/>
      </w:pPr>
      <w:r>
        <w:t>Home and Community Care Program for Younger People</w:t>
      </w:r>
    </w:p>
    <w:p w14:paraId="3E3BBB60" w14:textId="25638899" w:rsidR="0078495E" w:rsidRDefault="00CF5B89" w:rsidP="0078495E">
      <w:pPr>
        <w:pStyle w:val="ARbody"/>
      </w:pPr>
      <w:r w:rsidRPr="00CF5B89">
        <w:t>This output includes delivery of a range of community-based nursing, allied health and support services enabling younger people to maintain their independence, including the Home and Community Care program for Younger People services.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1D56936D" w14:textId="77777777" w:rsidTr="004C7BEF">
        <w:trPr>
          <w:cantSplit/>
          <w:tblHeader/>
        </w:trPr>
        <w:tc>
          <w:tcPr>
            <w:tcW w:w="4761" w:type="dxa"/>
            <w:tcBorders>
              <w:bottom w:val="single" w:sz="4" w:space="0" w:color="auto"/>
            </w:tcBorders>
            <w:shd w:val="clear" w:color="auto" w:fill="auto"/>
            <w:vAlign w:val="bottom"/>
            <w:hideMark/>
          </w:tcPr>
          <w:p w14:paraId="1DA3AF94"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2B939510"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57CA478D"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0627C3AB"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3E8A29A0"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556BA2EF" w14:textId="77777777" w:rsidR="0078495E" w:rsidRPr="00F72126" w:rsidRDefault="0078495E" w:rsidP="004C7BEF">
            <w:pPr>
              <w:pStyle w:val="ARtablecolheadright"/>
            </w:pPr>
            <w:r w:rsidRPr="00F72126">
              <w:t>Result</w:t>
            </w:r>
          </w:p>
        </w:tc>
      </w:tr>
      <w:tr w:rsidR="0078495E" w:rsidRPr="00D02A2E" w14:paraId="67B9B4CF" w14:textId="77777777" w:rsidTr="004C7BEF">
        <w:trPr>
          <w:cantSplit/>
        </w:trPr>
        <w:tc>
          <w:tcPr>
            <w:tcW w:w="9639" w:type="dxa"/>
            <w:gridSpan w:val="6"/>
            <w:tcBorders>
              <w:top w:val="single" w:sz="4" w:space="0" w:color="auto"/>
            </w:tcBorders>
            <w:shd w:val="clear" w:color="auto" w:fill="auto"/>
            <w:hideMark/>
          </w:tcPr>
          <w:p w14:paraId="1D6285F4" w14:textId="77777777" w:rsidR="0078495E" w:rsidRPr="00D02A2E" w:rsidRDefault="0078495E" w:rsidP="004C7BEF">
            <w:pPr>
              <w:pStyle w:val="ARtablegreybold"/>
              <w:rPr>
                <w:rFonts w:ascii="Wingdings" w:hAnsi="Wingdings"/>
              </w:rPr>
            </w:pPr>
            <w:r w:rsidRPr="007A45E9">
              <w:t>Quantity</w:t>
            </w:r>
          </w:p>
        </w:tc>
      </w:tr>
      <w:tr w:rsidR="0078495E" w:rsidRPr="00D02A2E" w14:paraId="05174537" w14:textId="77777777" w:rsidTr="004C7BEF">
        <w:trPr>
          <w:cantSplit/>
        </w:trPr>
        <w:tc>
          <w:tcPr>
            <w:tcW w:w="4761" w:type="dxa"/>
            <w:tcBorders>
              <w:bottom w:val="single" w:sz="4" w:space="0" w:color="BFBFBF"/>
            </w:tcBorders>
            <w:shd w:val="clear" w:color="auto" w:fill="auto"/>
            <w:hideMark/>
          </w:tcPr>
          <w:p w14:paraId="5A5A5ADD" w14:textId="77777777" w:rsidR="0078495E" w:rsidRPr="00D02A2E" w:rsidRDefault="0078495E" w:rsidP="004C7BEF">
            <w:pPr>
              <w:pStyle w:val="ARtabletext"/>
            </w:pPr>
            <w:r w:rsidRPr="005A2201">
              <w:t>Home and Community Care for Younger People – number of clients receiving a service</w:t>
            </w:r>
          </w:p>
        </w:tc>
        <w:tc>
          <w:tcPr>
            <w:tcW w:w="1021" w:type="dxa"/>
            <w:tcBorders>
              <w:bottom w:val="single" w:sz="4" w:space="0" w:color="BFBFBF"/>
            </w:tcBorders>
            <w:shd w:val="clear" w:color="auto" w:fill="auto"/>
            <w:hideMark/>
          </w:tcPr>
          <w:p w14:paraId="575CBF2E" w14:textId="77777777" w:rsidR="0078495E" w:rsidRPr="00D02A2E" w:rsidRDefault="0078495E" w:rsidP="004C7BEF">
            <w:pPr>
              <w:pStyle w:val="ARtabletextcentre"/>
            </w:pPr>
            <w:r w:rsidRPr="005A2201">
              <w:t>number</w:t>
            </w:r>
          </w:p>
        </w:tc>
        <w:tc>
          <w:tcPr>
            <w:tcW w:w="1021" w:type="dxa"/>
            <w:tcBorders>
              <w:bottom w:val="single" w:sz="4" w:space="0" w:color="BFBFBF"/>
            </w:tcBorders>
            <w:shd w:val="clear" w:color="auto" w:fill="auto"/>
            <w:hideMark/>
          </w:tcPr>
          <w:p w14:paraId="1C1F1AF5" w14:textId="77777777" w:rsidR="0078495E" w:rsidRDefault="0078495E" w:rsidP="004C7BEF">
            <w:pPr>
              <w:pStyle w:val="ARtabletextright"/>
            </w:pPr>
            <w:r w:rsidRPr="005A2201">
              <w:t>60,000</w:t>
            </w:r>
          </w:p>
        </w:tc>
        <w:tc>
          <w:tcPr>
            <w:tcW w:w="1021" w:type="dxa"/>
            <w:tcBorders>
              <w:bottom w:val="single" w:sz="4" w:space="0" w:color="BFBFBF"/>
            </w:tcBorders>
            <w:shd w:val="clear" w:color="auto" w:fill="auto"/>
            <w:hideMark/>
          </w:tcPr>
          <w:p w14:paraId="7059FB46" w14:textId="77777777" w:rsidR="0078495E" w:rsidRDefault="0078495E" w:rsidP="004C7BEF">
            <w:pPr>
              <w:pStyle w:val="ARtabletextright"/>
            </w:pPr>
            <w:r w:rsidRPr="005A2201">
              <w:t>60,799</w:t>
            </w:r>
          </w:p>
        </w:tc>
        <w:tc>
          <w:tcPr>
            <w:tcW w:w="1021" w:type="dxa"/>
            <w:tcBorders>
              <w:bottom w:val="single" w:sz="4" w:space="0" w:color="BFBFBF"/>
            </w:tcBorders>
            <w:shd w:val="clear" w:color="auto" w:fill="auto"/>
          </w:tcPr>
          <w:p w14:paraId="47099734" w14:textId="77777777" w:rsidR="0078495E" w:rsidRDefault="0078495E" w:rsidP="004C7BEF">
            <w:pPr>
              <w:pStyle w:val="ARtabletextright"/>
            </w:pPr>
            <w:r w:rsidRPr="005A2201">
              <w:t>1.3%</w:t>
            </w:r>
          </w:p>
        </w:tc>
        <w:tc>
          <w:tcPr>
            <w:tcW w:w="794" w:type="dxa"/>
            <w:tcBorders>
              <w:bottom w:val="single" w:sz="4" w:space="0" w:color="BFBFBF"/>
            </w:tcBorders>
            <w:shd w:val="clear" w:color="auto" w:fill="auto"/>
            <w:hideMark/>
          </w:tcPr>
          <w:p w14:paraId="55FA7996" w14:textId="77777777" w:rsidR="0078495E" w:rsidRPr="00D02A2E" w:rsidRDefault="0078495E" w:rsidP="004C7BEF">
            <w:pPr>
              <w:pStyle w:val="ARtableperformancesymbol"/>
              <w:rPr>
                <w:rFonts w:hint="eastAsia"/>
              </w:rPr>
            </w:pPr>
            <w:r w:rsidRPr="005A2201">
              <w:t></w:t>
            </w:r>
          </w:p>
        </w:tc>
      </w:tr>
      <w:tr w:rsidR="0078495E" w:rsidRPr="00D02A2E" w14:paraId="1B9C459C" w14:textId="77777777" w:rsidTr="004C7BEF">
        <w:trPr>
          <w:cantSplit/>
        </w:trPr>
        <w:tc>
          <w:tcPr>
            <w:tcW w:w="4761" w:type="dxa"/>
            <w:tcBorders>
              <w:top w:val="single" w:sz="4" w:space="0" w:color="BFBFBF"/>
            </w:tcBorders>
            <w:shd w:val="clear" w:color="auto" w:fill="auto"/>
            <w:hideMark/>
          </w:tcPr>
          <w:p w14:paraId="68C6FAA9" w14:textId="77777777" w:rsidR="0078495E" w:rsidRPr="00D02A2E" w:rsidRDefault="0078495E" w:rsidP="004C7BEF">
            <w:pPr>
              <w:pStyle w:val="ARtabletext"/>
            </w:pPr>
            <w:r w:rsidRPr="005A2201">
              <w:t>Home and Community Care for Younger People – hours of service delivery</w:t>
            </w:r>
          </w:p>
        </w:tc>
        <w:tc>
          <w:tcPr>
            <w:tcW w:w="1021" w:type="dxa"/>
            <w:tcBorders>
              <w:top w:val="single" w:sz="4" w:space="0" w:color="BFBFBF"/>
            </w:tcBorders>
            <w:shd w:val="clear" w:color="auto" w:fill="auto"/>
            <w:hideMark/>
          </w:tcPr>
          <w:p w14:paraId="348B21A0" w14:textId="77777777" w:rsidR="0078495E" w:rsidRPr="00D02A2E" w:rsidRDefault="0078495E" w:rsidP="004C7BEF">
            <w:pPr>
              <w:pStyle w:val="ARtabletextcentre"/>
            </w:pPr>
            <w:r w:rsidRPr="005A2201">
              <w:t>hours (thousand)</w:t>
            </w:r>
          </w:p>
        </w:tc>
        <w:tc>
          <w:tcPr>
            <w:tcW w:w="1021" w:type="dxa"/>
            <w:tcBorders>
              <w:top w:val="single" w:sz="4" w:space="0" w:color="BFBFBF"/>
            </w:tcBorders>
            <w:shd w:val="clear" w:color="auto" w:fill="auto"/>
            <w:hideMark/>
          </w:tcPr>
          <w:p w14:paraId="5895D71B" w14:textId="77777777" w:rsidR="0078495E" w:rsidRDefault="0078495E" w:rsidP="004C7BEF">
            <w:pPr>
              <w:pStyle w:val="ARtabletextright"/>
            </w:pPr>
            <w:r w:rsidRPr="005A2201">
              <w:t>1,000</w:t>
            </w:r>
          </w:p>
        </w:tc>
        <w:tc>
          <w:tcPr>
            <w:tcW w:w="1021" w:type="dxa"/>
            <w:tcBorders>
              <w:top w:val="single" w:sz="4" w:space="0" w:color="BFBFBF"/>
            </w:tcBorders>
            <w:shd w:val="clear" w:color="auto" w:fill="auto"/>
            <w:hideMark/>
          </w:tcPr>
          <w:p w14:paraId="076A1ACD" w14:textId="77777777" w:rsidR="0078495E" w:rsidRDefault="0078495E" w:rsidP="004C7BEF">
            <w:pPr>
              <w:pStyle w:val="ARtabletextright"/>
            </w:pPr>
            <w:r w:rsidRPr="005A2201">
              <w:t>820</w:t>
            </w:r>
          </w:p>
        </w:tc>
        <w:tc>
          <w:tcPr>
            <w:tcW w:w="1021" w:type="dxa"/>
            <w:tcBorders>
              <w:top w:val="single" w:sz="4" w:space="0" w:color="BFBFBF"/>
            </w:tcBorders>
            <w:shd w:val="clear" w:color="auto" w:fill="auto"/>
          </w:tcPr>
          <w:p w14:paraId="0C92E4D8" w14:textId="77777777" w:rsidR="0078495E" w:rsidRDefault="0078495E" w:rsidP="004C7BEF">
            <w:pPr>
              <w:pStyle w:val="ARtabletextright"/>
            </w:pPr>
            <w:r w:rsidRPr="005A2201">
              <w:t>−18.0%</w:t>
            </w:r>
          </w:p>
        </w:tc>
        <w:tc>
          <w:tcPr>
            <w:tcW w:w="794" w:type="dxa"/>
            <w:tcBorders>
              <w:top w:val="single" w:sz="4" w:space="0" w:color="BFBFBF"/>
            </w:tcBorders>
            <w:shd w:val="clear" w:color="auto" w:fill="auto"/>
            <w:hideMark/>
          </w:tcPr>
          <w:p w14:paraId="7A61F90C" w14:textId="77777777" w:rsidR="0078495E" w:rsidRPr="00D02A2E" w:rsidRDefault="0078495E" w:rsidP="004C7BEF">
            <w:pPr>
              <w:pStyle w:val="ARtableperformancesymbol"/>
              <w:rPr>
                <w:rFonts w:hint="eastAsia"/>
              </w:rPr>
            </w:pPr>
            <w:r w:rsidRPr="005A2201">
              <w:t></w:t>
            </w:r>
          </w:p>
        </w:tc>
      </w:tr>
      <w:tr w:rsidR="0078495E" w:rsidRPr="00D02A2E" w14:paraId="5D388CE7" w14:textId="77777777" w:rsidTr="004C7BEF">
        <w:trPr>
          <w:cantSplit/>
        </w:trPr>
        <w:tc>
          <w:tcPr>
            <w:tcW w:w="9639" w:type="dxa"/>
            <w:gridSpan w:val="6"/>
            <w:tcBorders>
              <w:bottom w:val="single" w:sz="4" w:space="0" w:color="BFBFBF"/>
            </w:tcBorders>
            <w:shd w:val="clear" w:color="auto" w:fill="auto"/>
            <w:noWrap/>
            <w:hideMark/>
          </w:tcPr>
          <w:p w14:paraId="55273C13" w14:textId="18C928C2" w:rsidR="0078495E" w:rsidRPr="00D02A2E" w:rsidRDefault="0078495E" w:rsidP="004C7BEF">
            <w:pPr>
              <w:pStyle w:val="ARtablenoteindent"/>
            </w:pPr>
            <w:r w:rsidRPr="005A2201">
              <w:t>The</w:t>
            </w:r>
            <w:r w:rsidRPr="005A2201" w:rsidDel="00A87847">
              <w:t xml:space="preserve"> </w:t>
            </w:r>
            <w:r w:rsidR="00A87847">
              <w:t>below-target result</w:t>
            </w:r>
            <w:r w:rsidR="00A87847" w:rsidRPr="005A2201">
              <w:t xml:space="preserve"> </w:t>
            </w:r>
            <w:r w:rsidRPr="005A2201">
              <w:t xml:space="preserve">is due to staff shortages and a decrease in </w:t>
            </w:r>
            <w:r w:rsidR="00BF286F">
              <w:t xml:space="preserve">the </w:t>
            </w:r>
            <w:r w:rsidRPr="005A2201">
              <w:t>ability to provide some services due to the impact of COVID-19 and the delivery of COVID-19 supports that cannot be reported in the client database.</w:t>
            </w:r>
          </w:p>
        </w:tc>
      </w:tr>
      <w:tr w:rsidR="0078495E" w:rsidRPr="00D02A2E" w14:paraId="6C808363" w14:textId="77777777" w:rsidTr="004C7BEF">
        <w:trPr>
          <w:cantSplit/>
        </w:trPr>
        <w:tc>
          <w:tcPr>
            <w:tcW w:w="9639" w:type="dxa"/>
            <w:gridSpan w:val="6"/>
            <w:tcBorders>
              <w:top w:val="single" w:sz="4" w:space="0" w:color="auto"/>
            </w:tcBorders>
            <w:shd w:val="clear" w:color="auto" w:fill="auto"/>
            <w:hideMark/>
          </w:tcPr>
          <w:p w14:paraId="5D825840" w14:textId="77777777" w:rsidR="0078495E" w:rsidRPr="00D02A2E" w:rsidRDefault="0078495E" w:rsidP="004C7BEF">
            <w:pPr>
              <w:pStyle w:val="ARtablegreybold"/>
              <w:rPr>
                <w:rFonts w:ascii="Wingdings" w:hAnsi="Wingdings"/>
              </w:rPr>
            </w:pPr>
            <w:r w:rsidRPr="00A34BF2">
              <w:t>Cost</w:t>
            </w:r>
          </w:p>
        </w:tc>
      </w:tr>
      <w:tr w:rsidR="0078495E" w:rsidRPr="001143DE" w14:paraId="3C91AA19" w14:textId="77777777" w:rsidTr="004C7BEF">
        <w:trPr>
          <w:cantSplit/>
        </w:trPr>
        <w:tc>
          <w:tcPr>
            <w:tcW w:w="4761" w:type="dxa"/>
            <w:shd w:val="clear" w:color="auto" w:fill="auto"/>
            <w:hideMark/>
          </w:tcPr>
          <w:p w14:paraId="193D5BA3" w14:textId="77777777" w:rsidR="0078495E" w:rsidRPr="001143DE" w:rsidRDefault="0078495E" w:rsidP="004C7BEF">
            <w:pPr>
              <w:pStyle w:val="ARtabletext"/>
              <w:rPr>
                <w:b/>
                <w:bCs/>
              </w:rPr>
            </w:pPr>
            <w:r w:rsidRPr="001143DE">
              <w:rPr>
                <w:b/>
                <w:bCs/>
              </w:rPr>
              <w:t>Total Output Cost</w:t>
            </w:r>
          </w:p>
        </w:tc>
        <w:tc>
          <w:tcPr>
            <w:tcW w:w="1021" w:type="dxa"/>
            <w:shd w:val="clear" w:color="auto" w:fill="auto"/>
            <w:hideMark/>
          </w:tcPr>
          <w:p w14:paraId="61F13AA1" w14:textId="77777777" w:rsidR="0078495E" w:rsidRPr="001143DE" w:rsidRDefault="0078495E" w:rsidP="004C7BEF">
            <w:pPr>
              <w:pStyle w:val="ARtabletextcentre"/>
              <w:rPr>
                <w:b/>
                <w:bCs/>
              </w:rPr>
            </w:pPr>
            <w:r w:rsidRPr="001143DE">
              <w:rPr>
                <w:b/>
                <w:bCs/>
              </w:rPr>
              <w:t>$ million</w:t>
            </w:r>
          </w:p>
        </w:tc>
        <w:tc>
          <w:tcPr>
            <w:tcW w:w="1021" w:type="dxa"/>
            <w:shd w:val="clear" w:color="auto" w:fill="auto"/>
            <w:hideMark/>
          </w:tcPr>
          <w:p w14:paraId="7E631816" w14:textId="77777777" w:rsidR="0078495E" w:rsidRPr="001143DE" w:rsidRDefault="0078495E" w:rsidP="004C7BEF">
            <w:pPr>
              <w:pStyle w:val="ARtabletextright"/>
              <w:rPr>
                <w:b/>
                <w:bCs/>
              </w:rPr>
            </w:pPr>
            <w:r w:rsidRPr="001143DE">
              <w:rPr>
                <w:b/>
                <w:bCs/>
              </w:rPr>
              <w:t>202.2</w:t>
            </w:r>
          </w:p>
        </w:tc>
        <w:tc>
          <w:tcPr>
            <w:tcW w:w="1021" w:type="dxa"/>
            <w:shd w:val="clear" w:color="auto" w:fill="auto"/>
            <w:hideMark/>
          </w:tcPr>
          <w:p w14:paraId="3AA00FE2" w14:textId="77777777" w:rsidR="0078495E" w:rsidRPr="001143DE" w:rsidRDefault="0078495E" w:rsidP="004C7BEF">
            <w:pPr>
              <w:pStyle w:val="ARtabletextright"/>
              <w:rPr>
                <w:b/>
                <w:bCs/>
              </w:rPr>
            </w:pPr>
            <w:r w:rsidRPr="001143DE">
              <w:rPr>
                <w:b/>
                <w:bCs/>
              </w:rPr>
              <w:t>213.8</w:t>
            </w:r>
          </w:p>
        </w:tc>
        <w:tc>
          <w:tcPr>
            <w:tcW w:w="1021" w:type="dxa"/>
            <w:shd w:val="clear" w:color="auto" w:fill="auto"/>
          </w:tcPr>
          <w:p w14:paraId="298E2FBD" w14:textId="77777777" w:rsidR="0078495E" w:rsidRPr="001143DE" w:rsidRDefault="0078495E" w:rsidP="004C7BEF">
            <w:pPr>
              <w:pStyle w:val="ARtabletextright"/>
              <w:rPr>
                <w:b/>
                <w:bCs/>
              </w:rPr>
            </w:pPr>
            <w:r w:rsidRPr="001143DE">
              <w:rPr>
                <w:b/>
                <w:bCs/>
              </w:rPr>
              <w:t>5.7%</w:t>
            </w:r>
          </w:p>
        </w:tc>
        <w:tc>
          <w:tcPr>
            <w:tcW w:w="794" w:type="dxa"/>
            <w:shd w:val="clear" w:color="auto" w:fill="auto"/>
            <w:hideMark/>
          </w:tcPr>
          <w:p w14:paraId="4ECA28F2" w14:textId="77777777" w:rsidR="0078495E" w:rsidRPr="001143DE" w:rsidRDefault="0078495E" w:rsidP="004C7BEF">
            <w:pPr>
              <w:pStyle w:val="ARtabletextright"/>
              <w:rPr>
                <w:b/>
                <w:bCs/>
              </w:rPr>
            </w:pPr>
          </w:p>
        </w:tc>
      </w:tr>
      <w:tr w:rsidR="0078495E" w:rsidRPr="00D02A2E" w14:paraId="57822C11" w14:textId="77777777" w:rsidTr="004C7BEF">
        <w:trPr>
          <w:cantSplit/>
        </w:trPr>
        <w:tc>
          <w:tcPr>
            <w:tcW w:w="9639" w:type="dxa"/>
            <w:gridSpan w:val="6"/>
            <w:tcBorders>
              <w:bottom w:val="single" w:sz="4" w:space="0" w:color="auto"/>
            </w:tcBorders>
            <w:shd w:val="clear" w:color="auto" w:fill="auto"/>
            <w:noWrap/>
            <w:hideMark/>
          </w:tcPr>
          <w:p w14:paraId="3B376749" w14:textId="77777777" w:rsidR="0078495E" w:rsidRPr="00D02A2E" w:rsidRDefault="0078495E" w:rsidP="004C7BEF">
            <w:pPr>
              <w:pStyle w:val="ARtablenoteindent"/>
            </w:pPr>
            <w:r w:rsidRPr="00A34BF2">
              <w:t>The 2021–22 actual outcome reflects the impact of additional program funding transfers between the Department of Health and the Department of Families, Fairness and Housing.</w:t>
            </w:r>
          </w:p>
        </w:tc>
      </w:tr>
    </w:tbl>
    <w:p w14:paraId="38B1910D" w14:textId="3D096372" w:rsidR="0078495E" w:rsidRDefault="0078495E" w:rsidP="00306875">
      <w:pPr>
        <w:pStyle w:val="Heading4"/>
        <w:spacing w:before="400"/>
      </w:pPr>
      <w:r>
        <w:t>Ambulance Emergency Services</w:t>
      </w:r>
    </w:p>
    <w:p w14:paraId="5AA44E4F" w14:textId="0198DBBC" w:rsidR="0078495E" w:rsidRDefault="00A66AF0" w:rsidP="0078495E">
      <w:pPr>
        <w:pStyle w:val="ARbody"/>
      </w:pPr>
      <w:r w:rsidRPr="00A66AF0">
        <w:t>This output includes emergency road, rotary and fixed air wing patient treatment and transport services that provide timely and high-quality emergency ambulance services.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70F34AA9" w14:textId="77777777" w:rsidTr="004C7BEF">
        <w:trPr>
          <w:cantSplit/>
          <w:tblHeader/>
        </w:trPr>
        <w:tc>
          <w:tcPr>
            <w:tcW w:w="4761" w:type="dxa"/>
            <w:tcBorders>
              <w:bottom w:val="single" w:sz="4" w:space="0" w:color="auto"/>
            </w:tcBorders>
            <w:shd w:val="clear" w:color="auto" w:fill="auto"/>
            <w:vAlign w:val="bottom"/>
            <w:hideMark/>
          </w:tcPr>
          <w:p w14:paraId="0F1682DB"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6DA6CAF2"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32C49961"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3B3CF4A2"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2C81AEE3"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061F119C" w14:textId="77777777" w:rsidR="0078495E" w:rsidRPr="00F72126" w:rsidRDefault="0078495E" w:rsidP="004C7BEF">
            <w:pPr>
              <w:pStyle w:val="ARtablecolheadright"/>
            </w:pPr>
            <w:r w:rsidRPr="00F72126">
              <w:t>Result</w:t>
            </w:r>
          </w:p>
        </w:tc>
      </w:tr>
      <w:tr w:rsidR="0078495E" w:rsidRPr="00D02A2E" w14:paraId="2A3449E7" w14:textId="77777777" w:rsidTr="004C7BEF">
        <w:trPr>
          <w:cantSplit/>
        </w:trPr>
        <w:tc>
          <w:tcPr>
            <w:tcW w:w="9639" w:type="dxa"/>
            <w:gridSpan w:val="6"/>
            <w:tcBorders>
              <w:top w:val="single" w:sz="4" w:space="0" w:color="auto"/>
            </w:tcBorders>
            <w:shd w:val="clear" w:color="auto" w:fill="auto"/>
            <w:hideMark/>
          </w:tcPr>
          <w:p w14:paraId="4084300D" w14:textId="77777777" w:rsidR="0078495E" w:rsidRPr="00D02A2E" w:rsidRDefault="0078495E" w:rsidP="004C7BEF">
            <w:pPr>
              <w:pStyle w:val="ARtablegreybold"/>
              <w:rPr>
                <w:rFonts w:ascii="Wingdings" w:hAnsi="Wingdings"/>
              </w:rPr>
            </w:pPr>
            <w:r w:rsidRPr="007A45E9">
              <w:t>Quantity</w:t>
            </w:r>
          </w:p>
        </w:tc>
      </w:tr>
      <w:tr w:rsidR="0078495E" w:rsidRPr="00D02A2E" w14:paraId="66163B6B" w14:textId="77777777" w:rsidTr="004C7BEF">
        <w:trPr>
          <w:cantSplit/>
        </w:trPr>
        <w:tc>
          <w:tcPr>
            <w:tcW w:w="4761" w:type="dxa"/>
            <w:tcBorders>
              <w:bottom w:val="single" w:sz="4" w:space="0" w:color="BFBFBF"/>
            </w:tcBorders>
            <w:shd w:val="clear" w:color="auto" w:fill="auto"/>
            <w:hideMark/>
          </w:tcPr>
          <w:p w14:paraId="3303DAF7" w14:textId="77777777" w:rsidR="0078495E" w:rsidRPr="00D02A2E" w:rsidRDefault="0078495E" w:rsidP="004C7BEF">
            <w:pPr>
              <w:pStyle w:val="ARtabletext"/>
            </w:pPr>
            <w:r w:rsidRPr="00F5645B">
              <w:t>Community Service Obligation emergency road and air transports</w:t>
            </w:r>
          </w:p>
        </w:tc>
        <w:tc>
          <w:tcPr>
            <w:tcW w:w="1021" w:type="dxa"/>
            <w:tcBorders>
              <w:bottom w:val="single" w:sz="4" w:space="0" w:color="BFBFBF"/>
            </w:tcBorders>
            <w:shd w:val="clear" w:color="auto" w:fill="auto"/>
            <w:hideMark/>
          </w:tcPr>
          <w:p w14:paraId="35F40A7A" w14:textId="77777777" w:rsidR="0078495E" w:rsidRPr="00D02A2E" w:rsidRDefault="0078495E" w:rsidP="004C7BEF">
            <w:pPr>
              <w:pStyle w:val="ARtabletextcentre"/>
            </w:pPr>
            <w:r w:rsidRPr="00F5645B">
              <w:t>number</w:t>
            </w:r>
          </w:p>
        </w:tc>
        <w:tc>
          <w:tcPr>
            <w:tcW w:w="1021" w:type="dxa"/>
            <w:tcBorders>
              <w:bottom w:val="single" w:sz="4" w:space="0" w:color="BFBFBF"/>
            </w:tcBorders>
            <w:shd w:val="clear" w:color="auto" w:fill="auto"/>
            <w:hideMark/>
          </w:tcPr>
          <w:p w14:paraId="6E42AE81" w14:textId="77777777" w:rsidR="0078495E" w:rsidRDefault="0078495E" w:rsidP="004C7BEF">
            <w:pPr>
              <w:pStyle w:val="ARtabletextright"/>
            </w:pPr>
            <w:r w:rsidRPr="00F5645B">
              <w:t>283,447</w:t>
            </w:r>
          </w:p>
        </w:tc>
        <w:tc>
          <w:tcPr>
            <w:tcW w:w="1021" w:type="dxa"/>
            <w:tcBorders>
              <w:bottom w:val="single" w:sz="4" w:space="0" w:color="BFBFBF"/>
            </w:tcBorders>
            <w:shd w:val="clear" w:color="auto" w:fill="auto"/>
            <w:hideMark/>
          </w:tcPr>
          <w:p w14:paraId="0F2D6FF2" w14:textId="77777777" w:rsidR="0078495E" w:rsidRDefault="0078495E" w:rsidP="004C7BEF">
            <w:pPr>
              <w:pStyle w:val="ARtabletextright"/>
            </w:pPr>
            <w:r w:rsidRPr="00F5645B">
              <w:t>280,752</w:t>
            </w:r>
          </w:p>
        </w:tc>
        <w:tc>
          <w:tcPr>
            <w:tcW w:w="1021" w:type="dxa"/>
            <w:tcBorders>
              <w:bottom w:val="single" w:sz="4" w:space="0" w:color="BFBFBF"/>
            </w:tcBorders>
            <w:shd w:val="clear" w:color="auto" w:fill="auto"/>
          </w:tcPr>
          <w:p w14:paraId="5D2C4BBD" w14:textId="77777777" w:rsidR="0078495E" w:rsidRDefault="0078495E" w:rsidP="004C7BEF">
            <w:pPr>
              <w:pStyle w:val="ARtabletextright"/>
            </w:pPr>
            <w:r w:rsidRPr="00F5645B">
              <w:t>−1.0%</w:t>
            </w:r>
          </w:p>
        </w:tc>
        <w:tc>
          <w:tcPr>
            <w:tcW w:w="794" w:type="dxa"/>
            <w:tcBorders>
              <w:bottom w:val="single" w:sz="4" w:space="0" w:color="BFBFBF"/>
            </w:tcBorders>
            <w:shd w:val="clear" w:color="auto" w:fill="auto"/>
            <w:hideMark/>
          </w:tcPr>
          <w:p w14:paraId="07626DAD" w14:textId="77777777" w:rsidR="0078495E" w:rsidRPr="00D02A2E" w:rsidRDefault="0078495E" w:rsidP="004C7BEF">
            <w:pPr>
              <w:pStyle w:val="ARtableperformancesymbol"/>
              <w:rPr>
                <w:rFonts w:hint="eastAsia"/>
              </w:rPr>
            </w:pPr>
            <w:r w:rsidRPr="00F5645B">
              <w:t></w:t>
            </w:r>
          </w:p>
        </w:tc>
      </w:tr>
      <w:tr w:rsidR="0078495E" w:rsidRPr="00D02A2E" w14:paraId="464B3F6E" w14:textId="77777777" w:rsidTr="004C7BEF">
        <w:trPr>
          <w:cantSplit/>
        </w:trPr>
        <w:tc>
          <w:tcPr>
            <w:tcW w:w="4761" w:type="dxa"/>
            <w:tcBorders>
              <w:top w:val="single" w:sz="4" w:space="0" w:color="BFBFBF"/>
            </w:tcBorders>
            <w:shd w:val="clear" w:color="auto" w:fill="auto"/>
            <w:hideMark/>
          </w:tcPr>
          <w:p w14:paraId="7DF27333" w14:textId="77777777" w:rsidR="0078495E" w:rsidRPr="00D02A2E" w:rsidRDefault="0078495E" w:rsidP="004C7BEF">
            <w:pPr>
              <w:pStyle w:val="ARtabletext"/>
            </w:pPr>
            <w:r w:rsidRPr="00F5645B">
              <w:t>Statewide emergency air transports</w:t>
            </w:r>
          </w:p>
        </w:tc>
        <w:tc>
          <w:tcPr>
            <w:tcW w:w="1021" w:type="dxa"/>
            <w:tcBorders>
              <w:top w:val="single" w:sz="4" w:space="0" w:color="BFBFBF"/>
            </w:tcBorders>
            <w:shd w:val="clear" w:color="auto" w:fill="auto"/>
            <w:hideMark/>
          </w:tcPr>
          <w:p w14:paraId="593A6AFB" w14:textId="77777777" w:rsidR="0078495E" w:rsidRPr="00D02A2E" w:rsidRDefault="0078495E" w:rsidP="004C7BEF">
            <w:pPr>
              <w:pStyle w:val="ARtabletextcentre"/>
            </w:pPr>
            <w:r w:rsidRPr="00F5645B">
              <w:t>number</w:t>
            </w:r>
          </w:p>
        </w:tc>
        <w:tc>
          <w:tcPr>
            <w:tcW w:w="1021" w:type="dxa"/>
            <w:tcBorders>
              <w:top w:val="single" w:sz="4" w:space="0" w:color="BFBFBF"/>
            </w:tcBorders>
            <w:shd w:val="clear" w:color="auto" w:fill="auto"/>
            <w:hideMark/>
          </w:tcPr>
          <w:p w14:paraId="3126F7FA" w14:textId="77777777" w:rsidR="0078495E" w:rsidRDefault="0078495E" w:rsidP="004C7BEF">
            <w:pPr>
              <w:pStyle w:val="ARtabletextright"/>
            </w:pPr>
            <w:r w:rsidRPr="00F5645B">
              <w:t>5,071</w:t>
            </w:r>
          </w:p>
        </w:tc>
        <w:tc>
          <w:tcPr>
            <w:tcW w:w="1021" w:type="dxa"/>
            <w:tcBorders>
              <w:top w:val="single" w:sz="4" w:space="0" w:color="BFBFBF"/>
            </w:tcBorders>
            <w:shd w:val="clear" w:color="auto" w:fill="auto"/>
            <w:hideMark/>
          </w:tcPr>
          <w:p w14:paraId="3F03EEAA" w14:textId="77777777" w:rsidR="0078495E" w:rsidRDefault="0078495E" w:rsidP="004C7BEF">
            <w:pPr>
              <w:pStyle w:val="ARtabletextright"/>
            </w:pPr>
            <w:r w:rsidRPr="00F5645B">
              <w:t>3,777</w:t>
            </w:r>
          </w:p>
        </w:tc>
        <w:tc>
          <w:tcPr>
            <w:tcW w:w="1021" w:type="dxa"/>
            <w:tcBorders>
              <w:top w:val="single" w:sz="4" w:space="0" w:color="BFBFBF"/>
            </w:tcBorders>
            <w:shd w:val="clear" w:color="auto" w:fill="auto"/>
          </w:tcPr>
          <w:p w14:paraId="14E7B61E" w14:textId="77777777" w:rsidR="0078495E" w:rsidRDefault="0078495E" w:rsidP="004C7BEF">
            <w:pPr>
              <w:pStyle w:val="ARtabletextright"/>
            </w:pPr>
            <w:r w:rsidRPr="00F5645B">
              <w:t>−25.5%</w:t>
            </w:r>
          </w:p>
        </w:tc>
        <w:tc>
          <w:tcPr>
            <w:tcW w:w="794" w:type="dxa"/>
            <w:tcBorders>
              <w:top w:val="single" w:sz="4" w:space="0" w:color="BFBFBF"/>
            </w:tcBorders>
            <w:shd w:val="clear" w:color="auto" w:fill="auto"/>
            <w:hideMark/>
          </w:tcPr>
          <w:p w14:paraId="184265E2" w14:textId="77777777" w:rsidR="0078495E" w:rsidRPr="00D02A2E" w:rsidRDefault="0078495E" w:rsidP="004C7BEF">
            <w:pPr>
              <w:pStyle w:val="ARtableperformancesymbol"/>
              <w:rPr>
                <w:rFonts w:hint="eastAsia"/>
              </w:rPr>
            </w:pPr>
            <w:r w:rsidRPr="00F5645B">
              <w:t></w:t>
            </w:r>
          </w:p>
        </w:tc>
      </w:tr>
      <w:tr w:rsidR="0078495E" w:rsidRPr="00D02A2E" w14:paraId="0FF1B7AC" w14:textId="77777777" w:rsidTr="004C7BEF">
        <w:trPr>
          <w:cantSplit/>
        </w:trPr>
        <w:tc>
          <w:tcPr>
            <w:tcW w:w="9639" w:type="dxa"/>
            <w:gridSpan w:val="6"/>
            <w:tcBorders>
              <w:bottom w:val="single" w:sz="4" w:space="0" w:color="BFBFBF"/>
            </w:tcBorders>
            <w:shd w:val="clear" w:color="auto" w:fill="auto"/>
            <w:noWrap/>
            <w:hideMark/>
          </w:tcPr>
          <w:p w14:paraId="4FCD3EDE" w14:textId="1D07D132" w:rsidR="0078495E" w:rsidRPr="00D02A2E" w:rsidRDefault="00694BEE" w:rsidP="004C7BEF">
            <w:pPr>
              <w:pStyle w:val="ARtablenoteindent"/>
            </w:pPr>
            <w:r>
              <w:t xml:space="preserve">Activity below target reflects </w:t>
            </w:r>
            <w:r w:rsidR="00F43372">
              <w:t>lower</w:t>
            </w:r>
            <w:r w:rsidR="0078495E" w:rsidRPr="00F5645B">
              <w:t xml:space="preserve"> demand for air services</w:t>
            </w:r>
            <w:r w:rsidR="001B5487">
              <w:t>, which</w:t>
            </w:r>
            <w:r w:rsidR="0078495E" w:rsidRPr="00F5645B">
              <w:t xml:space="preserve"> has largely been influenced by Victoria's COVID-19 response</w:t>
            </w:r>
            <w:r w:rsidR="001B5487">
              <w:t xml:space="preserve"> and its impacts on </w:t>
            </w:r>
            <w:r w:rsidR="000B1924">
              <w:t>community movement and activity.</w:t>
            </w:r>
          </w:p>
        </w:tc>
      </w:tr>
      <w:tr w:rsidR="0078495E" w:rsidRPr="00D02A2E" w14:paraId="0DB22AFA" w14:textId="77777777" w:rsidTr="004C7BEF">
        <w:trPr>
          <w:cantSplit/>
        </w:trPr>
        <w:tc>
          <w:tcPr>
            <w:tcW w:w="4761" w:type="dxa"/>
            <w:tcBorders>
              <w:top w:val="single" w:sz="4" w:space="0" w:color="BFBFBF"/>
              <w:bottom w:val="single" w:sz="4" w:space="0" w:color="BFBFBF"/>
            </w:tcBorders>
            <w:shd w:val="clear" w:color="auto" w:fill="auto"/>
            <w:hideMark/>
          </w:tcPr>
          <w:p w14:paraId="471FFFF9" w14:textId="77777777" w:rsidR="0078495E" w:rsidRPr="00D02A2E" w:rsidRDefault="0078495E" w:rsidP="004C7BEF">
            <w:pPr>
              <w:pStyle w:val="ARtabletext"/>
            </w:pPr>
            <w:r w:rsidRPr="00F5645B">
              <w:t>Statewide emergency road transports</w:t>
            </w:r>
          </w:p>
        </w:tc>
        <w:tc>
          <w:tcPr>
            <w:tcW w:w="1021" w:type="dxa"/>
            <w:tcBorders>
              <w:top w:val="single" w:sz="4" w:space="0" w:color="BFBFBF"/>
              <w:bottom w:val="single" w:sz="4" w:space="0" w:color="BFBFBF"/>
            </w:tcBorders>
            <w:shd w:val="clear" w:color="auto" w:fill="auto"/>
            <w:hideMark/>
          </w:tcPr>
          <w:p w14:paraId="31ABE008" w14:textId="77777777" w:rsidR="0078495E" w:rsidRPr="00D02A2E" w:rsidRDefault="0078495E" w:rsidP="004C7BEF">
            <w:pPr>
              <w:pStyle w:val="ARtabletextcentre"/>
            </w:pPr>
            <w:r w:rsidRPr="00F5645B">
              <w:t>number</w:t>
            </w:r>
          </w:p>
        </w:tc>
        <w:tc>
          <w:tcPr>
            <w:tcW w:w="1021" w:type="dxa"/>
            <w:tcBorders>
              <w:top w:val="single" w:sz="4" w:space="0" w:color="BFBFBF"/>
              <w:bottom w:val="single" w:sz="4" w:space="0" w:color="BFBFBF"/>
            </w:tcBorders>
            <w:shd w:val="clear" w:color="auto" w:fill="auto"/>
            <w:hideMark/>
          </w:tcPr>
          <w:p w14:paraId="29BE4DF4" w14:textId="77777777" w:rsidR="0078495E" w:rsidRDefault="0078495E" w:rsidP="004C7BEF">
            <w:pPr>
              <w:pStyle w:val="ARtabletextright"/>
            </w:pPr>
            <w:r w:rsidRPr="00F5645B">
              <w:t>506,828</w:t>
            </w:r>
          </w:p>
        </w:tc>
        <w:tc>
          <w:tcPr>
            <w:tcW w:w="1021" w:type="dxa"/>
            <w:tcBorders>
              <w:top w:val="single" w:sz="4" w:space="0" w:color="BFBFBF"/>
              <w:bottom w:val="single" w:sz="4" w:space="0" w:color="BFBFBF"/>
            </w:tcBorders>
            <w:shd w:val="clear" w:color="auto" w:fill="auto"/>
            <w:hideMark/>
          </w:tcPr>
          <w:p w14:paraId="04C14237" w14:textId="77777777" w:rsidR="0078495E" w:rsidRDefault="0078495E" w:rsidP="004C7BEF">
            <w:pPr>
              <w:pStyle w:val="ARtabletextright"/>
            </w:pPr>
            <w:r w:rsidRPr="00F5645B">
              <w:t>503,315</w:t>
            </w:r>
          </w:p>
        </w:tc>
        <w:tc>
          <w:tcPr>
            <w:tcW w:w="1021" w:type="dxa"/>
            <w:tcBorders>
              <w:top w:val="single" w:sz="4" w:space="0" w:color="BFBFBF"/>
              <w:bottom w:val="single" w:sz="4" w:space="0" w:color="BFBFBF"/>
            </w:tcBorders>
            <w:shd w:val="clear" w:color="auto" w:fill="auto"/>
          </w:tcPr>
          <w:p w14:paraId="0515F0C8" w14:textId="77777777" w:rsidR="0078495E" w:rsidRDefault="0078495E" w:rsidP="004C7BEF">
            <w:pPr>
              <w:pStyle w:val="ARtabletextright"/>
            </w:pPr>
            <w:r w:rsidRPr="00F5645B">
              <w:t>−0.7%</w:t>
            </w:r>
          </w:p>
        </w:tc>
        <w:tc>
          <w:tcPr>
            <w:tcW w:w="794" w:type="dxa"/>
            <w:tcBorders>
              <w:top w:val="single" w:sz="4" w:space="0" w:color="BFBFBF"/>
              <w:bottom w:val="single" w:sz="4" w:space="0" w:color="BFBFBF"/>
            </w:tcBorders>
            <w:shd w:val="clear" w:color="auto" w:fill="auto"/>
            <w:hideMark/>
          </w:tcPr>
          <w:p w14:paraId="35C2CFFF" w14:textId="77777777" w:rsidR="0078495E" w:rsidRPr="00D02A2E" w:rsidRDefault="0078495E" w:rsidP="004C7BEF">
            <w:pPr>
              <w:pStyle w:val="ARtableperformancesymbol"/>
              <w:rPr>
                <w:rFonts w:hint="eastAsia"/>
              </w:rPr>
            </w:pPr>
            <w:r w:rsidRPr="00F5645B">
              <w:t></w:t>
            </w:r>
          </w:p>
        </w:tc>
      </w:tr>
      <w:tr w:rsidR="0078495E" w:rsidRPr="00D02A2E" w14:paraId="625C7A8F" w14:textId="77777777" w:rsidTr="004C7BEF">
        <w:trPr>
          <w:cantSplit/>
        </w:trPr>
        <w:tc>
          <w:tcPr>
            <w:tcW w:w="4761" w:type="dxa"/>
            <w:tcBorders>
              <w:top w:val="single" w:sz="4" w:space="0" w:color="BFBFBF"/>
            </w:tcBorders>
            <w:shd w:val="clear" w:color="auto" w:fill="auto"/>
            <w:hideMark/>
          </w:tcPr>
          <w:p w14:paraId="07277B49" w14:textId="77777777" w:rsidR="0078495E" w:rsidRPr="00D02A2E" w:rsidRDefault="0078495E" w:rsidP="004C7BEF">
            <w:pPr>
              <w:pStyle w:val="ARtabletext"/>
            </w:pPr>
            <w:r w:rsidRPr="00F5645B">
              <w:t>Treatment without transport</w:t>
            </w:r>
          </w:p>
        </w:tc>
        <w:tc>
          <w:tcPr>
            <w:tcW w:w="1021" w:type="dxa"/>
            <w:tcBorders>
              <w:top w:val="single" w:sz="4" w:space="0" w:color="BFBFBF"/>
            </w:tcBorders>
            <w:shd w:val="clear" w:color="auto" w:fill="auto"/>
            <w:hideMark/>
          </w:tcPr>
          <w:p w14:paraId="10B1576B" w14:textId="77777777" w:rsidR="0078495E" w:rsidRPr="00D02A2E" w:rsidRDefault="0078495E" w:rsidP="004C7BEF">
            <w:pPr>
              <w:pStyle w:val="ARtabletextcentre"/>
            </w:pPr>
            <w:r w:rsidRPr="00F5645B">
              <w:t>number</w:t>
            </w:r>
          </w:p>
        </w:tc>
        <w:tc>
          <w:tcPr>
            <w:tcW w:w="1021" w:type="dxa"/>
            <w:tcBorders>
              <w:top w:val="single" w:sz="4" w:space="0" w:color="BFBFBF"/>
            </w:tcBorders>
            <w:shd w:val="clear" w:color="auto" w:fill="auto"/>
            <w:hideMark/>
          </w:tcPr>
          <w:p w14:paraId="7E736AAD" w14:textId="77777777" w:rsidR="0078495E" w:rsidRDefault="0078495E" w:rsidP="004C7BEF">
            <w:pPr>
              <w:pStyle w:val="ARtabletextright"/>
            </w:pPr>
            <w:r w:rsidRPr="00F5645B">
              <w:t>88,587</w:t>
            </w:r>
          </w:p>
        </w:tc>
        <w:tc>
          <w:tcPr>
            <w:tcW w:w="1021" w:type="dxa"/>
            <w:tcBorders>
              <w:top w:val="single" w:sz="4" w:space="0" w:color="BFBFBF"/>
            </w:tcBorders>
            <w:shd w:val="clear" w:color="auto" w:fill="auto"/>
            <w:hideMark/>
          </w:tcPr>
          <w:p w14:paraId="2CD061A4" w14:textId="77777777" w:rsidR="0078495E" w:rsidRDefault="0078495E" w:rsidP="004C7BEF">
            <w:pPr>
              <w:pStyle w:val="ARtabletextright"/>
            </w:pPr>
            <w:r w:rsidRPr="00F5645B">
              <w:t>100,297</w:t>
            </w:r>
          </w:p>
        </w:tc>
        <w:tc>
          <w:tcPr>
            <w:tcW w:w="1021" w:type="dxa"/>
            <w:tcBorders>
              <w:top w:val="single" w:sz="4" w:space="0" w:color="BFBFBF"/>
            </w:tcBorders>
            <w:shd w:val="clear" w:color="auto" w:fill="auto"/>
          </w:tcPr>
          <w:p w14:paraId="513E8E8B" w14:textId="77777777" w:rsidR="0078495E" w:rsidRDefault="0078495E" w:rsidP="004C7BEF">
            <w:pPr>
              <w:pStyle w:val="ARtabletextright"/>
            </w:pPr>
            <w:r w:rsidRPr="00F5645B">
              <w:t>13.2%</w:t>
            </w:r>
          </w:p>
        </w:tc>
        <w:tc>
          <w:tcPr>
            <w:tcW w:w="794" w:type="dxa"/>
            <w:tcBorders>
              <w:top w:val="single" w:sz="4" w:space="0" w:color="BFBFBF"/>
            </w:tcBorders>
            <w:shd w:val="clear" w:color="auto" w:fill="auto"/>
            <w:hideMark/>
          </w:tcPr>
          <w:p w14:paraId="67EF4CA6" w14:textId="77777777" w:rsidR="0078495E" w:rsidRPr="00D02A2E" w:rsidRDefault="0078495E" w:rsidP="004C7BEF">
            <w:pPr>
              <w:pStyle w:val="ARtableperformancesymbol"/>
              <w:rPr>
                <w:rFonts w:hint="eastAsia"/>
              </w:rPr>
            </w:pPr>
            <w:r w:rsidRPr="00F5645B">
              <w:t></w:t>
            </w:r>
          </w:p>
        </w:tc>
      </w:tr>
      <w:tr w:rsidR="0078495E" w:rsidRPr="00D02A2E" w14:paraId="143587CA" w14:textId="77777777" w:rsidTr="004C7BEF">
        <w:trPr>
          <w:cantSplit/>
        </w:trPr>
        <w:tc>
          <w:tcPr>
            <w:tcW w:w="9639" w:type="dxa"/>
            <w:gridSpan w:val="6"/>
            <w:tcBorders>
              <w:bottom w:val="single" w:sz="4" w:space="0" w:color="BFBFBF"/>
            </w:tcBorders>
            <w:shd w:val="clear" w:color="auto" w:fill="auto"/>
            <w:noWrap/>
            <w:hideMark/>
          </w:tcPr>
          <w:p w14:paraId="10D69C44" w14:textId="16EFAB41" w:rsidR="0078495E" w:rsidRPr="00D02A2E" w:rsidRDefault="0078495E" w:rsidP="004C7BEF">
            <w:pPr>
              <w:pStyle w:val="ARtablenoteindent"/>
            </w:pPr>
            <w:r w:rsidRPr="00F5645B">
              <w:t xml:space="preserve">This increase reflects a focus on supporting people to remain at home or at emergency scene (when clinically appropriate to do so) rather than be transported to </w:t>
            </w:r>
            <w:r w:rsidR="00F96339">
              <w:t>an emergency department</w:t>
            </w:r>
            <w:r w:rsidRPr="00F5645B">
              <w:t>.</w:t>
            </w:r>
          </w:p>
        </w:tc>
      </w:tr>
      <w:tr w:rsidR="0078495E" w:rsidRPr="00D02A2E" w14:paraId="78D8633C" w14:textId="77777777" w:rsidTr="0013656F">
        <w:trPr>
          <w:cantSplit/>
        </w:trPr>
        <w:tc>
          <w:tcPr>
            <w:tcW w:w="9639" w:type="dxa"/>
            <w:gridSpan w:val="6"/>
            <w:tcBorders>
              <w:top w:val="single" w:sz="4" w:space="0" w:color="auto"/>
            </w:tcBorders>
            <w:shd w:val="clear" w:color="auto" w:fill="auto"/>
            <w:hideMark/>
          </w:tcPr>
          <w:p w14:paraId="64A714DE" w14:textId="77777777" w:rsidR="0078495E" w:rsidRPr="00D02A2E" w:rsidRDefault="0078495E" w:rsidP="004C7BEF">
            <w:pPr>
              <w:pStyle w:val="ARtablegreybold"/>
              <w:rPr>
                <w:rFonts w:ascii="Wingdings" w:hAnsi="Wingdings"/>
              </w:rPr>
            </w:pPr>
            <w:r>
              <w:t>Quality</w:t>
            </w:r>
          </w:p>
        </w:tc>
      </w:tr>
      <w:tr w:rsidR="0078495E" w:rsidRPr="00D02A2E" w14:paraId="3C3195E4" w14:textId="77777777" w:rsidTr="0013656F">
        <w:trPr>
          <w:cantSplit/>
        </w:trPr>
        <w:tc>
          <w:tcPr>
            <w:tcW w:w="4761" w:type="dxa"/>
            <w:shd w:val="clear" w:color="auto" w:fill="auto"/>
            <w:hideMark/>
          </w:tcPr>
          <w:p w14:paraId="2063E5CA" w14:textId="77777777" w:rsidR="0078495E" w:rsidRPr="00D02A2E" w:rsidRDefault="0078495E" w:rsidP="004C7BEF">
            <w:pPr>
              <w:pStyle w:val="ARtabletext"/>
            </w:pPr>
            <w:r w:rsidRPr="00F5645B">
              <w:t>Audited cases attended by Community Emergency Response Teams (CERT) meeting clinical practice standards</w:t>
            </w:r>
          </w:p>
        </w:tc>
        <w:tc>
          <w:tcPr>
            <w:tcW w:w="1021" w:type="dxa"/>
            <w:shd w:val="clear" w:color="auto" w:fill="auto"/>
            <w:hideMark/>
          </w:tcPr>
          <w:p w14:paraId="33734CED" w14:textId="77777777" w:rsidR="0078495E" w:rsidRPr="00D02A2E" w:rsidRDefault="0078495E" w:rsidP="004C7BEF">
            <w:pPr>
              <w:pStyle w:val="ARtabletextcentre"/>
            </w:pPr>
            <w:r w:rsidRPr="00F5645B">
              <w:t>per cent</w:t>
            </w:r>
          </w:p>
        </w:tc>
        <w:tc>
          <w:tcPr>
            <w:tcW w:w="1021" w:type="dxa"/>
            <w:shd w:val="clear" w:color="auto" w:fill="auto"/>
            <w:hideMark/>
          </w:tcPr>
          <w:p w14:paraId="695AF211" w14:textId="77777777" w:rsidR="0078495E" w:rsidRDefault="0078495E" w:rsidP="004C7BEF">
            <w:pPr>
              <w:pStyle w:val="ARtabletextright"/>
            </w:pPr>
            <w:r w:rsidRPr="00F5645B">
              <w:t>90</w:t>
            </w:r>
          </w:p>
        </w:tc>
        <w:tc>
          <w:tcPr>
            <w:tcW w:w="1021" w:type="dxa"/>
            <w:shd w:val="clear" w:color="auto" w:fill="auto"/>
            <w:hideMark/>
          </w:tcPr>
          <w:p w14:paraId="61056B70" w14:textId="77777777" w:rsidR="0078495E" w:rsidRDefault="0078495E" w:rsidP="004C7BEF">
            <w:pPr>
              <w:pStyle w:val="ARtabletextright"/>
            </w:pPr>
            <w:r w:rsidRPr="00F5645B">
              <w:t>100</w:t>
            </w:r>
          </w:p>
        </w:tc>
        <w:tc>
          <w:tcPr>
            <w:tcW w:w="1021" w:type="dxa"/>
            <w:shd w:val="clear" w:color="auto" w:fill="auto"/>
          </w:tcPr>
          <w:p w14:paraId="27F78BCB" w14:textId="77777777" w:rsidR="0078495E" w:rsidRDefault="0078495E" w:rsidP="004C7BEF">
            <w:pPr>
              <w:pStyle w:val="ARtabletextright"/>
            </w:pPr>
            <w:r w:rsidRPr="00F5645B">
              <w:t>11.1%</w:t>
            </w:r>
          </w:p>
        </w:tc>
        <w:tc>
          <w:tcPr>
            <w:tcW w:w="794" w:type="dxa"/>
            <w:shd w:val="clear" w:color="auto" w:fill="auto"/>
            <w:hideMark/>
          </w:tcPr>
          <w:p w14:paraId="5EBAB7FF" w14:textId="77777777" w:rsidR="0078495E" w:rsidRPr="00D02A2E" w:rsidRDefault="0078495E" w:rsidP="004C7BEF">
            <w:pPr>
              <w:pStyle w:val="ARtableperformancesymbol"/>
              <w:rPr>
                <w:rFonts w:hint="eastAsia"/>
              </w:rPr>
            </w:pPr>
            <w:r w:rsidRPr="00F5645B">
              <w:t></w:t>
            </w:r>
          </w:p>
        </w:tc>
      </w:tr>
      <w:tr w:rsidR="003678DD" w:rsidRPr="00D02A2E" w14:paraId="00B8E3B8" w14:textId="77777777" w:rsidTr="0013656F">
        <w:trPr>
          <w:cantSplit/>
        </w:trPr>
        <w:tc>
          <w:tcPr>
            <w:tcW w:w="9639" w:type="dxa"/>
            <w:gridSpan w:val="6"/>
            <w:tcBorders>
              <w:bottom w:val="single" w:sz="4" w:space="0" w:color="BFBFBF"/>
            </w:tcBorders>
            <w:shd w:val="clear" w:color="auto" w:fill="auto"/>
          </w:tcPr>
          <w:p w14:paraId="1B860D4C" w14:textId="77777777" w:rsidR="003678DD" w:rsidRPr="00C63A9A" w:rsidRDefault="003678DD" w:rsidP="008340C1">
            <w:pPr>
              <w:pStyle w:val="ARtablenoteindent"/>
            </w:pPr>
            <w:r w:rsidRPr="00517E71">
              <w:t xml:space="preserve">This is </w:t>
            </w:r>
            <w:r>
              <w:t xml:space="preserve">a </w:t>
            </w:r>
            <w:r w:rsidRPr="00517E71">
              <w:t>favourable result.</w:t>
            </w:r>
          </w:p>
        </w:tc>
      </w:tr>
      <w:tr w:rsidR="0078495E" w:rsidRPr="00D02A2E" w14:paraId="1FDA78EE" w14:textId="77777777" w:rsidTr="0013656F">
        <w:trPr>
          <w:cantSplit/>
        </w:trPr>
        <w:tc>
          <w:tcPr>
            <w:tcW w:w="4761" w:type="dxa"/>
            <w:tcBorders>
              <w:top w:val="single" w:sz="4" w:space="0" w:color="BFBFBF"/>
            </w:tcBorders>
            <w:shd w:val="clear" w:color="auto" w:fill="auto"/>
            <w:hideMark/>
          </w:tcPr>
          <w:p w14:paraId="55502704" w14:textId="77777777" w:rsidR="0078495E" w:rsidRPr="00D02A2E" w:rsidRDefault="0078495E" w:rsidP="004C7BEF">
            <w:pPr>
              <w:pStyle w:val="ARtabletext"/>
            </w:pPr>
            <w:r w:rsidRPr="00FC65BD">
              <w:t>Audited cases statewide meeting clinical practice standards</w:t>
            </w:r>
          </w:p>
        </w:tc>
        <w:tc>
          <w:tcPr>
            <w:tcW w:w="1021" w:type="dxa"/>
            <w:tcBorders>
              <w:top w:val="single" w:sz="4" w:space="0" w:color="BFBFBF"/>
            </w:tcBorders>
            <w:shd w:val="clear" w:color="auto" w:fill="auto"/>
            <w:hideMark/>
          </w:tcPr>
          <w:p w14:paraId="7EF5A076" w14:textId="77777777" w:rsidR="0078495E" w:rsidRPr="00D02A2E" w:rsidRDefault="0078495E" w:rsidP="004C7BEF">
            <w:pPr>
              <w:pStyle w:val="ARtabletextcentre"/>
            </w:pPr>
            <w:r w:rsidRPr="00FC65BD">
              <w:t>per cent</w:t>
            </w:r>
          </w:p>
        </w:tc>
        <w:tc>
          <w:tcPr>
            <w:tcW w:w="1021" w:type="dxa"/>
            <w:tcBorders>
              <w:top w:val="single" w:sz="4" w:space="0" w:color="BFBFBF"/>
            </w:tcBorders>
            <w:shd w:val="clear" w:color="auto" w:fill="auto"/>
            <w:hideMark/>
          </w:tcPr>
          <w:p w14:paraId="3019D12B" w14:textId="77777777" w:rsidR="0078495E" w:rsidRDefault="0078495E" w:rsidP="004C7BEF">
            <w:pPr>
              <w:pStyle w:val="ARtabletextright"/>
            </w:pPr>
            <w:r w:rsidRPr="00FC65BD">
              <w:t>95</w:t>
            </w:r>
          </w:p>
        </w:tc>
        <w:tc>
          <w:tcPr>
            <w:tcW w:w="1021" w:type="dxa"/>
            <w:tcBorders>
              <w:top w:val="single" w:sz="4" w:space="0" w:color="BFBFBF"/>
            </w:tcBorders>
            <w:shd w:val="clear" w:color="auto" w:fill="auto"/>
            <w:hideMark/>
          </w:tcPr>
          <w:p w14:paraId="697A33AA" w14:textId="77777777" w:rsidR="0078495E" w:rsidRDefault="0078495E" w:rsidP="004C7BEF">
            <w:pPr>
              <w:pStyle w:val="ARtabletextright"/>
            </w:pPr>
            <w:r w:rsidRPr="00FC65BD">
              <w:t>99.8</w:t>
            </w:r>
          </w:p>
        </w:tc>
        <w:tc>
          <w:tcPr>
            <w:tcW w:w="1021" w:type="dxa"/>
            <w:tcBorders>
              <w:top w:val="single" w:sz="4" w:space="0" w:color="BFBFBF"/>
            </w:tcBorders>
            <w:shd w:val="clear" w:color="auto" w:fill="auto"/>
          </w:tcPr>
          <w:p w14:paraId="101CE0D2" w14:textId="77777777" w:rsidR="0078495E" w:rsidRDefault="0078495E" w:rsidP="004C7BEF">
            <w:pPr>
              <w:pStyle w:val="ARtabletextright"/>
            </w:pPr>
            <w:r w:rsidRPr="00FC65BD">
              <w:t>5.1%</w:t>
            </w:r>
          </w:p>
        </w:tc>
        <w:tc>
          <w:tcPr>
            <w:tcW w:w="794" w:type="dxa"/>
            <w:tcBorders>
              <w:top w:val="single" w:sz="4" w:space="0" w:color="BFBFBF"/>
            </w:tcBorders>
            <w:shd w:val="clear" w:color="auto" w:fill="auto"/>
            <w:hideMark/>
          </w:tcPr>
          <w:p w14:paraId="3EE98685" w14:textId="77777777" w:rsidR="0078495E" w:rsidRPr="00D02A2E" w:rsidRDefault="0078495E" w:rsidP="004C7BEF">
            <w:pPr>
              <w:pStyle w:val="ARtableperformancesymbol"/>
              <w:rPr>
                <w:rFonts w:hint="eastAsia"/>
              </w:rPr>
            </w:pPr>
            <w:r w:rsidRPr="00FC65BD">
              <w:t></w:t>
            </w:r>
          </w:p>
        </w:tc>
      </w:tr>
      <w:tr w:rsidR="003678DD" w:rsidRPr="00D02A2E" w14:paraId="201855D0" w14:textId="77777777" w:rsidTr="0013656F">
        <w:trPr>
          <w:cantSplit/>
        </w:trPr>
        <w:tc>
          <w:tcPr>
            <w:tcW w:w="9639" w:type="dxa"/>
            <w:gridSpan w:val="6"/>
            <w:tcBorders>
              <w:bottom w:val="single" w:sz="4" w:space="0" w:color="BFBFBF"/>
            </w:tcBorders>
            <w:shd w:val="clear" w:color="auto" w:fill="auto"/>
          </w:tcPr>
          <w:p w14:paraId="02C02356" w14:textId="77777777" w:rsidR="003678DD" w:rsidRPr="00C63A9A" w:rsidRDefault="003678DD" w:rsidP="008340C1">
            <w:pPr>
              <w:pStyle w:val="ARtablenoteindent"/>
            </w:pPr>
            <w:r w:rsidRPr="00517E71">
              <w:t xml:space="preserve">This is </w:t>
            </w:r>
            <w:r>
              <w:t xml:space="preserve">a </w:t>
            </w:r>
            <w:r w:rsidRPr="00517E71">
              <w:t>favourable result.</w:t>
            </w:r>
          </w:p>
        </w:tc>
      </w:tr>
      <w:tr w:rsidR="0078495E" w:rsidRPr="00D02A2E" w14:paraId="1EAB7E1E" w14:textId="77777777" w:rsidTr="004C7BEF">
        <w:trPr>
          <w:cantSplit/>
        </w:trPr>
        <w:tc>
          <w:tcPr>
            <w:tcW w:w="4761" w:type="dxa"/>
            <w:tcBorders>
              <w:top w:val="single" w:sz="4" w:space="0" w:color="BFBFBF"/>
              <w:bottom w:val="single" w:sz="4" w:space="0" w:color="BFBFBF"/>
            </w:tcBorders>
            <w:shd w:val="clear" w:color="auto" w:fill="auto"/>
            <w:hideMark/>
          </w:tcPr>
          <w:p w14:paraId="1B5E096C" w14:textId="77777777" w:rsidR="0078495E" w:rsidRPr="00D02A2E" w:rsidRDefault="0078495E" w:rsidP="004C7BEF">
            <w:pPr>
              <w:pStyle w:val="ARtabletext"/>
            </w:pPr>
            <w:r w:rsidRPr="00FC65BD">
              <w:t>Proportion of adult patients suspected of having a stroke who were transported to a stroke unit with thrombolysis facilities within 60 minutes</w:t>
            </w:r>
          </w:p>
        </w:tc>
        <w:tc>
          <w:tcPr>
            <w:tcW w:w="1021" w:type="dxa"/>
            <w:tcBorders>
              <w:top w:val="single" w:sz="4" w:space="0" w:color="BFBFBF"/>
              <w:bottom w:val="single" w:sz="4" w:space="0" w:color="BFBFBF"/>
            </w:tcBorders>
            <w:shd w:val="clear" w:color="auto" w:fill="auto"/>
            <w:hideMark/>
          </w:tcPr>
          <w:p w14:paraId="019C283D" w14:textId="77777777" w:rsidR="0078495E" w:rsidRPr="00D02A2E" w:rsidRDefault="0078495E" w:rsidP="004C7BEF">
            <w:pPr>
              <w:pStyle w:val="ARtabletextcentre"/>
            </w:pPr>
            <w:r w:rsidRPr="00FC65BD">
              <w:t>per cent</w:t>
            </w:r>
          </w:p>
        </w:tc>
        <w:tc>
          <w:tcPr>
            <w:tcW w:w="1021" w:type="dxa"/>
            <w:tcBorders>
              <w:top w:val="single" w:sz="4" w:space="0" w:color="BFBFBF"/>
              <w:bottom w:val="single" w:sz="4" w:space="0" w:color="BFBFBF"/>
            </w:tcBorders>
            <w:shd w:val="clear" w:color="auto" w:fill="auto"/>
            <w:hideMark/>
          </w:tcPr>
          <w:p w14:paraId="5EC061E2" w14:textId="77777777" w:rsidR="0078495E" w:rsidRDefault="0078495E" w:rsidP="004C7BEF">
            <w:pPr>
              <w:pStyle w:val="ARtabletextright"/>
            </w:pPr>
            <w:r w:rsidRPr="00FC65BD">
              <w:t>95</w:t>
            </w:r>
          </w:p>
        </w:tc>
        <w:tc>
          <w:tcPr>
            <w:tcW w:w="1021" w:type="dxa"/>
            <w:tcBorders>
              <w:top w:val="single" w:sz="4" w:space="0" w:color="BFBFBF"/>
              <w:bottom w:val="single" w:sz="4" w:space="0" w:color="BFBFBF"/>
            </w:tcBorders>
            <w:shd w:val="clear" w:color="auto" w:fill="auto"/>
            <w:hideMark/>
          </w:tcPr>
          <w:p w14:paraId="1577FE03" w14:textId="77777777" w:rsidR="0078495E" w:rsidRDefault="0078495E" w:rsidP="004C7BEF">
            <w:pPr>
              <w:pStyle w:val="ARtabletextright"/>
            </w:pPr>
            <w:r w:rsidRPr="00FC65BD">
              <w:t>98.3</w:t>
            </w:r>
          </w:p>
        </w:tc>
        <w:tc>
          <w:tcPr>
            <w:tcW w:w="1021" w:type="dxa"/>
            <w:tcBorders>
              <w:top w:val="single" w:sz="4" w:space="0" w:color="BFBFBF"/>
              <w:bottom w:val="single" w:sz="4" w:space="0" w:color="BFBFBF"/>
            </w:tcBorders>
            <w:shd w:val="clear" w:color="auto" w:fill="auto"/>
          </w:tcPr>
          <w:p w14:paraId="37586F0A" w14:textId="77777777" w:rsidR="0078495E" w:rsidRDefault="0078495E" w:rsidP="004C7BEF">
            <w:pPr>
              <w:pStyle w:val="ARtabletextright"/>
            </w:pPr>
            <w:r w:rsidRPr="00FC65BD">
              <w:t>3.5%</w:t>
            </w:r>
          </w:p>
        </w:tc>
        <w:tc>
          <w:tcPr>
            <w:tcW w:w="794" w:type="dxa"/>
            <w:tcBorders>
              <w:top w:val="single" w:sz="4" w:space="0" w:color="BFBFBF"/>
              <w:bottom w:val="single" w:sz="4" w:space="0" w:color="BFBFBF"/>
            </w:tcBorders>
            <w:shd w:val="clear" w:color="auto" w:fill="auto"/>
            <w:hideMark/>
          </w:tcPr>
          <w:p w14:paraId="56A8A414" w14:textId="77777777" w:rsidR="0078495E" w:rsidRPr="00D02A2E" w:rsidRDefault="0078495E" w:rsidP="004C7BEF">
            <w:pPr>
              <w:pStyle w:val="ARtableperformancesymbol"/>
              <w:rPr>
                <w:rFonts w:hint="eastAsia"/>
              </w:rPr>
            </w:pPr>
            <w:r w:rsidRPr="00FC65BD">
              <w:t></w:t>
            </w:r>
          </w:p>
        </w:tc>
      </w:tr>
      <w:tr w:rsidR="0078495E" w:rsidRPr="00D02A2E" w14:paraId="3411CB2B" w14:textId="77777777" w:rsidTr="001C60F2">
        <w:trPr>
          <w:cantSplit/>
        </w:trPr>
        <w:tc>
          <w:tcPr>
            <w:tcW w:w="4761" w:type="dxa"/>
            <w:tcBorders>
              <w:bottom w:val="single" w:sz="4" w:space="0" w:color="BFBFBF"/>
            </w:tcBorders>
            <w:shd w:val="clear" w:color="auto" w:fill="auto"/>
            <w:hideMark/>
          </w:tcPr>
          <w:p w14:paraId="3411F920" w14:textId="77777777" w:rsidR="0078495E" w:rsidRPr="00D02A2E" w:rsidRDefault="0078495E" w:rsidP="004C7BEF">
            <w:pPr>
              <w:pStyle w:val="ARtabletext"/>
            </w:pPr>
            <w:r w:rsidRPr="00FC65BD">
              <w:t>Proportion of patients experiencing severe cardiac or traumatic pain whose level of pain is reduced significantly</w:t>
            </w:r>
          </w:p>
        </w:tc>
        <w:tc>
          <w:tcPr>
            <w:tcW w:w="1021" w:type="dxa"/>
            <w:tcBorders>
              <w:bottom w:val="single" w:sz="4" w:space="0" w:color="BFBFBF"/>
            </w:tcBorders>
            <w:shd w:val="clear" w:color="auto" w:fill="auto"/>
            <w:hideMark/>
          </w:tcPr>
          <w:p w14:paraId="308F0B41" w14:textId="77777777" w:rsidR="0078495E" w:rsidRPr="00D02A2E" w:rsidRDefault="0078495E" w:rsidP="004C7BEF">
            <w:pPr>
              <w:pStyle w:val="ARtabletextcentre"/>
            </w:pPr>
            <w:r w:rsidRPr="00FC65BD">
              <w:t>per cent</w:t>
            </w:r>
          </w:p>
        </w:tc>
        <w:tc>
          <w:tcPr>
            <w:tcW w:w="1021" w:type="dxa"/>
            <w:tcBorders>
              <w:bottom w:val="single" w:sz="4" w:space="0" w:color="BFBFBF"/>
            </w:tcBorders>
            <w:shd w:val="clear" w:color="auto" w:fill="auto"/>
            <w:hideMark/>
          </w:tcPr>
          <w:p w14:paraId="7AAF9327" w14:textId="77777777" w:rsidR="0078495E" w:rsidRDefault="0078495E" w:rsidP="004C7BEF">
            <w:pPr>
              <w:pStyle w:val="ARtabletextright"/>
            </w:pPr>
            <w:r w:rsidRPr="00FC65BD">
              <w:t>90</w:t>
            </w:r>
          </w:p>
        </w:tc>
        <w:tc>
          <w:tcPr>
            <w:tcW w:w="1021" w:type="dxa"/>
            <w:tcBorders>
              <w:bottom w:val="single" w:sz="4" w:space="0" w:color="BFBFBF"/>
            </w:tcBorders>
            <w:shd w:val="clear" w:color="auto" w:fill="auto"/>
            <w:hideMark/>
          </w:tcPr>
          <w:p w14:paraId="3CAD3781" w14:textId="77777777" w:rsidR="0078495E" w:rsidRDefault="0078495E" w:rsidP="004C7BEF">
            <w:pPr>
              <w:pStyle w:val="ARtabletextright"/>
            </w:pPr>
            <w:r w:rsidRPr="00FC65BD">
              <w:t>92.6</w:t>
            </w:r>
          </w:p>
        </w:tc>
        <w:tc>
          <w:tcPr>
            <w:tcW w:w="1021" w:type="dxa"/>
            <w:tcBorders>
              <w:bottom w:val="single" w:sz="4" w:space="0" w:color="BFBFBF"/>
            </w:tcBorders>
            <w:shd w:val="clear" w:color="auto" w:fill="auto"/>
          </w:tcPr>
          <w:p w14:paraId="5C371EC3" w14:textId="77777777" w:rsidR="0078495E" w:rsidRDefault="0078495E" w:rsidP="004C7BEF">
            <w:pPr>
              <w:pStyle w:val="ARtabletextright"/>
            </w:pPr>
            <w:r w:rsidRPr="00FC65BD">
              <w:t>2.9%</w:t>
            </w:r>
          </w:p>
        </w:tc>
        <w:tc>
          <w:tcPr>
            <w:tcW w:w="794" w:type="dxa"/>
            <w:tcBorders>
              <w:bottom w:val="single" w:sz="4" w:space="0" w:color="BFBFBF"/>
            </w:tcBorders>
            <w:shd w:val="clear" w:color="auto" w:fill="auto"/>
            <w:hideMark/>
          </w:tcPr>
          <w:p w14:paraId="49A402F2" w14:textId="77777777" w:rsidR="0078495E" w:rsidRPr="00D02A2E" w:rsidRDefault="0078495E" w:rsidP="004C7BEF">
            <w:pPr>
              <w:pStyle w:val="ARtableperformancesymbol"/>
              <w:rPr>
                <w:rFonts w:hint="eastAsia"/>
              </w:rPr>
            </w:pPr>
            <w:r w:rsidRPr="00FC65BD">
              <w:t></w:t>
            </w:r>
          </w:p>
        </w:tc>
      </w:tr>
      <w:tr w:rsidR="0078495E" w:rsidRPr="00D02A2E" w14:paraId="29E9C05F" w14:textId="77777777" w:rsidTr="001C60F2">
        <w:trPr>
          <w:cantSplit/>
        </w:trPr>
        <w:tc>
          <w:tcPr>
            <w:tcW w:w="4761" w:type="dxa"/>
            <w:tcBorders>
              <w:top w:val="single" w:sz="4" w:space="0" w:color="BFBFBF"/>
              <w:bottom w:val="single" w:sz="4" w:space="0" w:color="auto"/>
            </w:tcBorders>
            <w:shd w:val="clear" w:color="auto" w:fill="auto"/>
            <w:hideMark/>
          </w:tcPr>
          <w:p w14:paraId="29ABEE83" w14:textId="77777777" w:rsidR="0078495E" w:rsidRPr="00D02A2E" w:rsidRDefault="0078495E" w:rsidP="004C7BEF">
            <w:pPr>
              <w:pStyle w:val="ARtabletext"/>
            </w:pPr>
            <w:r w:rsidRPr="00FC65BD">
              <w:t>Proportion of patients very satisfied or satisfied with overall services delivered by paramedics</w:t>
            </w:r>
          </w:p>
        </w:tc>
        <w:tc>
          <w:tcPr>
            <w:tcW w:w="1021" w:type="dxa"/>
            <w:tcBorders>
              <w:top w:val="single" w:sz="4" w:space="0" w:color="BFBFBF"/>
              <w:bottom w:val="single" w:sz="4" w:space="0" w:color="auto"/>
            </w:tcBorders>
            <w:shd w:val="clear" w:color="auto" w:fill="auto"/>
            <w:hideMark/>
          </w:tcPr>
          <w:p w14:paraId="43E9F2C7" w14:textId="77777777" w:rsidR="0078495E" w:rsidRPr="00D02A2E" w:rsidRDefault="0078495E" w:rsidP="004C7BEF">
            <w:pPr>
              <w:pStyle w:val="ARtabletextcentre"/>
            </w:pPr>
            <w:r w:rsidRPr="00FC65BD">
              <w:t>per cent</w:t>
            </w:r>
          </w:p>
        </w:tc>
        <w:tc>
          <w:tcPr>
            <w:tcW w:w="1021" w:type="dxa"/>
            <w:tcBorders>
              <w:top w:val="single" w:sz="4" w:space="0" w:color="BFBFBF"/>
              <w:bottom w:val="single" w:sz="4" w:space="0" w:color="auto"/>
            </w:tcBorders>
            <w:shd w:val="clear" w:color="auto" w:fill="auto"/>
            <w:hideMark/>
          </w:tcPr>
          <w:p w14:paraId="0113984F" w14:textId="77777777" w:rsidR="0078495E" w:rsidRDefault="0078495E" w:rsidP="004C7BEF">
            <w:pPr>
              <w:pStyle w:val="ARtabletextright"/>
            </w:pPr>
            <w:r w:rsidRPr="00FC65BD">
              <w:t>95</w:t>
            </w:r>
          </w:p>
        </w:tc>
        <w:tc>
          <w:tcPr>
            <w:tcW w:w="1021" w:type="dxa"/>
            <w:tcBorders>
              <w:top w:val="single" w:sz="4" w:space="0" w:color="BFBFBF"/>
              <w:bottom w:val="single" w:sz="4" w:space="0" w:color="auto"/>
            </w:tcBorders>
            <w:shd w:val="clear" w:color="auto" w:fill="auto"/>
            <w:hideMark/>
          </w:tcPr>
          <w:p w14:paraId="67C6C445" w14:textId="77777777" w:rsidR="0078495E" w:rsidRDefault="0078495E" w:rsidP="004C7BEF">
            <w:pPr>
              <w:pStyle w:val="ARtabletextright"/>
            </w:pPr>
            <w:r w:rsidRPr="00FC65BD">
              <w:t>97.1</w:t>
            </w:r>
          </w:p>
        </w:tc>
        <w:tc>
          <w:tcPr>
            <w:tcW w:w="1021" w:type="dxa"/>
            <w:tcBorders>
              <w:top w:val="single" w:sz="4" w:space="0" w:color="BFBFBF"/>
              <w:bottom w:val="single" w:sz="4" w:space="0" w:color="auto"/>
            </w:tcBorders>
            <w:shd w:val="clear" w:color="auto" w:fill="auto"/>
          </w:tcPr>
          <w:p w14:paraId="4F648666" w14:textId="77777777" w:rsidR="0078495E" w:rsidRDefault="0078495E" w:rsidP="004C7BEF">
            <w:pPr>
              <w:pStyle w:val="ARtabletextright"/>
            </w:pPr>
            <w:r w:rsidRPr="00FC65BD">
              <w:t>2.2%</w:t>
            </w:r>
          </w:p>
        </w:tc>
        <w:tc>
          <w:tcPr>
            <w:tcW w:w="794" w:type="dxa"/>
            <w:tcBorders>
              <w:top w:val="single" w:sz="4" w:space="0" w:color="BFBFBF"/>
              <w:bottom w:val="single" w:sz="4" w:space="0" w:color="auto"/>
            </w:tcBorders>
            <w:shd w:val="clear" w:color="auto" w:fill="auto"/>
            <w:hideMark/>
          </w:tcPr>
          <w:p w14:paraId="5E84DB9B" w14:textId="77777777" w:rsidR="0078495E" w:rsidRPr="00D02A2E" w:rsidRDefault="0078495E" w:rsidP="004C7BEF">
            <w:pPr>
              <w:pStyle w:val="ARtableperformancesymbol"/>
              <w:rPr>
                <w:rFonts w:hint="eastAsia"/>
              </w:rPr>
            </w:pPr>
            <w:r w:rsidRPr="00FC65BD">
              <w:t></w:t>
            </w:r>
          </w:p>
        </w:tc>
      </w:tr>
      <w:tr w:rsidR="0078495E" w:rsidRPr="00D02A2E" w14:paraId="32580512" w14:textId="77777777" w:rsidTr="004C7BEF">
        <w:trPr>
          <w:cantSplit/>
        </w:trPr>
        <w:tc>
          <w:tcPr>
            <w:tcW w:w="9639" w:type="dxa"/>
            <w:gridSpan w:val="6"/>
            <w:tcBorders>
              <w:top w:val="single" w:sz="4" w:space="0" w:color="auto"/>
            </w:tcBorders>
            <w:shd w:val="clear" w:color="auto" w:fill="auto"/>
            <w:hideMark/>
          </w:tcPr>
          <w:p w14:paraId="0785C80B" w14:textId="77777777" w:rsidR="0078495E" w:rsidRPr="00D02A2E" w:rsidRDefault="0078495E" w:rsidP="004C7BEF">
            <w:pPr>
              <w:pStyle w:val="ARtablegreybold"/>
              <w:rPr>
                <w:rFonts w:ascii="Wingdings" w:hAnsi="Wingdings"/>
              </w:rPr>
            </w:pPr>
            <w:r>
              <w:t>Timeliness</w:t>
            </w:r>
          </w:p>
        </w:tc>
      </w:tr>
      <w:tr w:rsidR="0078495E" w:rsidRPr="00D02A2E" w14:paraId="5DFA3736" w14:textId="77777777" w:rsidTr="004C7BEF">
        <w:trPr>
          <w:cantSplit/>
        </w:trPr>
        <w:tc>
          <w:tcPr>
            <w:tcW w:w="4761" w:type="dxa"/>
            <w:shd w:val="clear" w:color="auto" w:fill="auto"/>
            <w:hideMark/>
          </w:tcPr>
          <w:p w14:paraId="75C74A6B" w14:textId="77777777" w:rsidR="0078495E" w:rsidRPr="00D02A2E" w:rsidRDefault="0078495E" w:rsidP="004C7BEF">
            <w:pPr>
              <w:pStyle w:val="ARtabletext"/>
            </w:pPr>
            <w:r w:rsidRPr="00B90D52">
              <w:t>Proportion of emergency (Code 1) incidents responded to within 15 minutes – statewide</w:t>
            </w:r>
          </w:p>
        </w:tc>
        <w:tc>
          <w:tcPr>
            <w:tcW w:w="1021" w:type="dxa"/>
            <w:shd w:val="clear" w:color="auto" w:fill="auto"/>
            <w:hideMark/>
          </w:tcPr>
          <w:p w14:paraId="797EE4A0" w14:textId="77777777" w:rsidR="0078495E" w:rsidRPr="00D02A2E" w:rsidRDefault="0078495E" w:rsidP="004C7BEF">
            <w:pPr>
              <w:pStyle w:val="ARtabletextcentre"/>
            </w:pPr>
            <w:r w:rsidRPr="00B90D52">
              <w:t>per cent</w:t>
            </w:r>
          </w:p>
        </w:tc>
        <w:tc>
          <w:tcPr>
            <w:tcW w:w="1021" w:type="dxa"/>
            <w:shd w:val="clear" w:color="auto" w:fill="auto"/>
            <w:hideMark/>
          </w:tcPr>
          <w:p w14:paraId="1415D4C6" w14:textId="77777777" w:rsidR="0078495E" w:rsidRDefault="0078495E" w:rsidP="004C7BEF">
            <w:pPr>
              <w:pStyle w:val="ARtabletextright"/>
            </w:pPr>
            <w:r w:rsidRPr="00B90D52">
              <w:t>85</w:t>
            </w:r>
          </w:p>
        </w:tc>
        <w:tc>
          <w:tcPr>
            <w:tcW w:w="1021" w:type="dxa"/>
            <w:shd w:val="clear" w:color="auto" w:fill="auto"/>
            <w:hideMark/>
          </w:tcPr>
          <w:p w14:paraId="24907324" w14:textId="77777777" w:rsidR="0078495E" w:rsidRDefault="0078495E" w:rsidP="004C7BEF">
            <w:pPr>
              <w:pStyle w:val="ARtabletextright"/>
            </w:pPr>
            <w:r w:rsidRPr="00B90D52">
              <w:t>67.5</w:t>
            </w:r>
          </w:p>
        </w:tc>
        <w:tc>
          <w:tcPr>
            <w:tcW w:w="1021" w:type="dxa"/>
            <w:shd w:val="clear" w:color="auto" w:fill="auto"/>
          </w:tcPr>
          <w:p w14:paraId="549E034B" w14:textId="77777777" w:rsidR="0078495E" w:rsidRDefault="0078495E" w:rsidP="004C7BEF">
            <w:pPr>
              <w:pStyle w:val="ARtabletextright"/>
            </w:pPr>
            <w:r w:rsidRPr="00B90D52">
              <w:t>−20.6%</w:t>
            </w:r>
          </w:p>
        </w:tc>
        <w:tc>
          <w:tcPr>
            <w:tcW w:w="794" w:type="dxa"/>
            <w:shd w:val="clear" w:color="auto" w:fill="auto"/>
            <w:hideMark/>
          </w:tcPr>
          <w:p w14:paraId="4CF13E92" w14:textId="77777777" w:rsidR="0078495E" w:rsidRPr="00D02A2E" w:rsidRDefault="0078495E" w:rsidP="004C7BEF">
            <w:pPr>
              <w:pStyle w:val="ARtableperformancesymbol"/>
              <w:rPr>
                <w:rFonts w:hint="eastAsia"/>
              </w:rPr>
            </w:pPr>
            <w:r w:rsidRPr="00B90D52">
              <w:t></w:t>
            </w:r>
          </w:p>
        </w:tc>
      </w:tr>
      <w:tr w:rsidR="0078495E" w:rsidRPr="00D02A2E" w14:paraId="1C9B3EA4" w14:textId="77777777" w:rsidTr="004C7BEF">
        <w:trPr>
          <w:cantSplit/>
        </w:trPr>
        <w:tc>
          <w:tcPr>
            <w:tcW w:w="9639" w:type="dxa"/>
            <w:gridSpan w:val="6"/>
            <w:tcBorders>
              <w:bottom w:val="single" w:sz="4" w:space="0" w:color="BFBFBF"/>
            </w:tcBorders>
            <w:shd w:val="clear" w:color="auto" w:fill="auto"/>
            <w:noWrap/>
            <w:hideMark/>
          </w:tcPr>
          <w:p w14:paraId="6324FA17" w14:textId="2B98467D" w:rsidR="0078495E" w:rsidRPr="00D02A2E" w:rsidRDefault="0078495E" w:rsidP="004C7BEF">
            <w:pPr>
              <w:pStyle w:val="ARtablenoteindent"/>
            </w:pPr>
            <w:r w:rsidRPr="00B90D52">
              <w:t xml:space="preserve">Ambulance performance has been significantly impacted by COVID-19, with increased demands on the health system across the state. Overall demand for ambulance services has been significantly above that of previous years. Ambulance Victoria is deploying a range of strategies to </w:t>
            </w:r>
            <w:r w:rsidRPr="002E0693">
              <w:t>stabilise</w:t>
            </w:r>
            <w:r w:rsidR="00F96339">
              <w:t xml:space="preserve"> </w:t>
            </w:r>
            <w:r w:rsidRPr="00B90D52">
              <w:t>performance, including hiring additional paramedics, diverting cases to secondary triage services where safe and appropriate to do so and using a surge workforce.</w:t>
            </w:r>
          </w:p>
        </w:tc>
      </w:tr>
      <w:tr w:rsidR="0078495E" w:rsidRPr="00D02A2E" w14:paraId="217E9137" w14:textId="77777777" w:rsidTr="004C7BEF">
        <w:trPr>
          <w:cantSplit/>
        </w:trPr>
        <w:tc>
          <w:tcPr>
            <w:tcW w:w="4761" w:type="dxa"/>
            <w:shd w:val="clear" w:color="auto" w:fill="auto"/>
            <w:hideMark/>
          </w:tcPr>
          <w:p w14:paraId="0ABEDDD7" w14:textId="77777777" w:rsidR="0078495E" w:rsidRPr="00D02A2E" w:rsidRDefault="0078495E" w:rsidP="004C7BEF">
            <w:pPr>
              <w:pStyle w:val="ARtabletext"/>
            </w:pPr>
            <w:r w:rsidRPr="00B90D52">
              <w:t>Proportion of emergency (Code 1) incidents responded to within 15 minutes in centres with more than 7 500 population</w:t>
            </w:r>
          </w:p>
        </w:tc>
        <w:tc>
          <w:tcPr>
            <w:tcW w:w="1021" w:type="dxa"/>
            <w:shd w:val="clear" w:color="auto" w:fill="auto"/>
            <w:hideMark/>
          </w:tcPr>
          <w:p w14:paraId="575146CA" w14:textId="77777777" w:rsidR="0078495E" w:rsidRPr="00D02A2E" w:rsidRDefault="0078495E" w:rsidP="004C7BEF">
            <w:pPr>
              <w:pStyle w:val="ARtabletextcentre"/>
            </w:pPr>
            <w:r w:rsidRPr="00B90D52">
              <w:t>per cent</w:t>
            </w:r>
          </w:p>
        </w:tc>
        <w:tc>
          <w:tcPr>
            <w:tcW w:w="1021" w:type="dxa"/>
            <w:shd w:val="clear" w:color="auto" w:fill="auto"/>
            <w:hideMark/>
          </w:tcPr>
          <w:p w14:paraId="64158A5F" w14:textId="77777777" w:rsidR="0078495E" w:rsidRDefault="0078495E" w:rsidP="004C7BEF">
            <w:pPr>
              <w:pStyle w:val="ARtabletextright"/>
            </w:pPr>
            <w:r w:rsidRPr="00B90D52">
              <w:t>90</w:t>
            </w:r>
          </w:p>
        </w:tc>
        <w:tc>
          <w:tcPr>
            <w:tcW w:w="1021" w:type="dxa"/>
            <w:shd w:val="clear" w:color="auto" w:fill="auto"/>
            <w:hideMark/>
          </w:tcPr>
          <w:p w14:paraId="296A5A4C" w14:textId="77777777" w:rsidR="0078495E" w:rsidRDefault="0078495E" w:rsidP="004C7BEF">
            <w:pPr>
              <w:pStyle w:val="ARtabletextright"/>
            </w:pPr>
            <w:r w:rsidRPr="00B90D52">
              <w:t>71.9</w:t>
            </w:r>
          </w:p>
        </w:tc>
        <w:tc>
          <w:tcPr>
            <w:tcW w:w="1021" w:type="dxa"/>
            <w:shd w:val="clear" w:color="auto" w:fill="auto"/>
          </w:tcPr>
          <w:p w14:paraId="7016CBC8" w14:textId="77777777" w:rsidR="0078495E" w:rsidRDefault="0078495E" w:rsidP="004C7BEF">
            <w:pPr>
              <w:pStyle w:val="ARtabletextright"/>
            </w:pPr>
            <w:r w:rsidRPr="00B90D52">
              <w:t>−20.1%</w:t>
            </w:r>
          </w:p>
        </w:tc>
        <w:tc>
          <w:tcPr>
            <w:tcW w:w="794" w:type="dxa"/>
            <w:shd w:val="clear" w:color="auto" w:fill="auto"/>
            <w:hideMark/>
          </w:tcPr>
          <w:p w14:paraId="35949E02" w14:textId="77777777" w:rsidR="0078495E" w:rsidRPr="00D02A2E" w:rsidRDefault="0078495E" w:rsidP="004C7BEF">
            <w:pPr>
              <w:pStyle w:val="ARtableperformancesymbol"/>
              <w:rPr>
                <w:rFonts w:hint="eastAsia"/>
              </w:rPr>
            </w:pPr>
            <w:r w:rsidRPr="00B90D52">
              <w:t></w:t>
            </w:r>
          </w:p>
        </w:tc>
      </w:tr>
      <w:tr w:rsidR="0078495E" w:rsidRPr="00D02A2E" w14:paraId="7A349CF0" w14:textId="77777777" w:rsidTr="004C7BEF">
        <w:trPr>
          <w:cantSplit/>
        </w:trPr>
        <w:tc>
          <w:tcPr>
            <w:tcW w:w="9639" w:type="dxa"/>
            <w:gridSpan w:val="6"/>
            <w:tcBorders>
              <w:bottom w:val="single" w:sz="4" w:space="0" w:color="BFBFBF"/>
            </w:tcBorders>
            <w:shd w:val="clear" w:color="auto" w:fill="auto"/>
            <w:noWrap/>
            <w:hideMark/>
          </w:tcPr>
          <w:p w14:paraId="0F95A055" w14:textId="4DDC7875" w:rsidR="0078495E" w:rsidRPr="00D02A2E" w:rsidRDefault="0078495E" w:rsidP="004C7BEF">
            <w:pPr>
              <w:pStyle w:val="ARtablenoteindent"/>
            </w:pPr>
            <w:r w:rsidRPr="00B90D52">
              <w:t xml:space="preserve">Ambulance performance has been significantly impacted by COVID-19, with increased demands on the health system across the state. Overall demand for ambulance services has been significantly above that of previous years. Ambulance Victoria is deploying a range of strategies to </w:t>
            </w:r>
            <w:r w:rsidRPr="002E0693">
              <w:t>stabilise</w:t>
            </w:r>
            <w:r w:rsidR="00AF190A">
              <w:t xml:space="preserve"> </w:t>
            </w:r>
            <w:r w:rsidRPr="00B90D52">
              <w:t>performance, including hiring additional paramedics, diverting cases to secondary triage services where safe and appropriate to do so and using a surge workforce.</w:t>
            </w:r>
          </w:p>
        </w:tc>
      </w:tr>
      <w:tr w:rsidR="0078495E" w:rsidRPr="00D02A2E" w14:paraId="70C790F4" w14:textId="77777777" w:rsidTr="004C7BEF">
        <w:trPr>
          <w:cantSplit/>
        </w:trPr>
        <w:tc>
          <w:tcPr>
            <w:tcW w:w="9639" w:type="dxa"/>
            <w:gridSpan w:val="6"/>
            <w:tcBorders>
              <w:top w:val="single" w:sz="4" w:space="0" w:color="auto"/>
            </w:tcBorders>
            <w:shd w:val="clear" w:color="auto" w:fill="auto"/>
            <w:hideMark/>
          </w:tcPr>
          <w:p w14:paraId="4F75AF01" w14:textId="77777777" w:rsidR="0078495E" w:rsidRPr="00D02A2E" w:rsidRDefault="0078495E" w:rsidP="004C7BEF">
            <w:pPr>
              <w:pStyle w:val="ARtablegreybold"/>
              <w:rPr>
                <w:rFonts w:ascii="Wingdings" w:hAnsi="Wingdings"/>
              </w:rPr>
            </w:pPr>
            <w:r w:rsidRPr="00B90D52">
              <w:t>Cost</w:t>
            </w:r>
          </w:p>
        </w:tc>
      </w:tr>
      <w:tr w:rsidR="0078495E" w:rsidRPr="00FA119A" w14:paraId="52E608FA" w14:textId="77777777" w:rsidTr="004C7BEF">
        <w:trPr>
          <w:cantSplit/>
        </w:trPr>
        <w:tc>
          <w:tcPr>
            <w:tcW w:w="4761" w:type="dxa"/>
            <w:shd w:val="clear" w:color="auto" w:fill="auto"/>
            <w:hideMark/>
          </w:tcPr>
          <w:p w14:paraId="3310C771" w14:textId="77777777" w:rsidR="0078495E" w:rsidRPr="00FA119A" w:rsidRDefault="0078495E" w:rsidP="004C7BEF">
            <w:pPr>
              <w:pStyle w:val="ARtabletext"/>
              <w:rPr>
                <w:b/>
                <w:bCs/>
              </w:rPr>
            </w:pPr>
            <w:r w:rsidRPr="00FA119A">
              <w:rPr>
                <w:b/>
                <w:bCs/>
              </w:rPr>
              <w:t>Total Output Cost</w:t>
            </w:r>
          </w:p>
        </w:tc>
        <w:tc>
          <w:tcPr>
            <w:tcW w:w="1021" w:type="dxa"/>
            <w:shd w:val="clear" w:color="auto" w:fill="auto"/>
            <w:hideMark/>
          </w:tcPr>
          <w:p w14:paraId="25C01BFC" w14:textId="77777777" w:rsidR="0078495E" w:rsidRPr="00FA119A" w:rsidRDefault="0078495E" w:rsidP="004C7BEF">
            <w:pPr>
              <w:pStyle w:val="ARtabletextcentre"/>
              <w:rPr>
                <w:b/>
                <w:bCs/>
              </w:rPr>
            </w:pPr>
            <w:r w:rsidRPr="00FA119A">
              <w:rPr>
                <w:b/>
                <w:bCs/>
              </w:rPr>
              <w:t>$ million</w:t>
            </w:r>
          </w:p>
        </w:tc>
        <w:tc>
          <w:tcPr>
            <w:tcW w:w="1021" w:type="dxa"/>
            <w:shd w:val="clear" w:color="auto" w:fill="auto"/>
            <w:hideMark/>
          </w:tcPr>
          <w:p w14:paraId="55FE5588" w14:textId="77777777" w:rsidR="0078495E" w:rsidRPr="00FA119A" w:rsidRDefault="0078495E" w:rsidP="004C7BEF">
            <w:pPr>
              <w:pStyle w:val="ARtabletextright"/>
              <w:rPr>
                <w:b/>
                <w:bCs/>
              </w:rPr>
            </w:pPr>
            <w:r w:rsidRPr="00FA119A">
              <w:rPr>
                <w:b/>
                <w:bCs/>
              </w:rPr>
              <w:t>1,166.5</w:t>
            </w:r>
          </w:p>
        </w:tc>
        <w:tc>
          <w:tcPr>
            <w:tcW w:w="1021" w:type="dxa"/>
            <w:shd w:val="clear" w:color="auto" w:fill="auto"/>
            <w:hideMark/>
          </w:tcPr>
          <w:p w14:paraId="19242B15" w14:textId="77777777" w:rsidR="0078495E" w:rsidRPr="00FA119A" w:rsidRDefault="0078495E" w:rsidP="004C7BEF">
            <w:pPr>
              <w:pStyle w:val="ARtabletextright"/>
              <w:rPr>
                <w:b/>
                <w:bCs/>
              </w:rPr>
            </w:pPr>
            <w:r w:rsidRPr="00FA119A">
              <w:rPr>
                <w:b/>
                <w:bCs/>
              </w:rPr>
              <w:t>1,215.7</w:t>
            </w:r>
          </w:p>
        </w:tc>
        <w:tc>
          <w:tcPr>
            <w:tcW w:w="1021" w:type="dxa"/>
            <w:shd w:val="clear" w:color="auto" w:fill="auto"/>
          </w:tcPr>
          <w:p w14:paraId="1B9594F4" w14:textId="77777777" w:rsidR="0078495E" w:rsidRPr="00FA119A" w:rsidRDefault="0078495E" w:rsidP="004C7BEF">
            <w:pPr>
              <w:pStyle w:val="ARtabletextright"/>
              <w:rPr>
                <w:b/>
                <w:bCs/>
              </w:rPr>
            </w:pPr>
            <w:r w:rsidRPr="00FA119A">
              <w:rPr>
                <w:b/>
                <w:bCs/>
              </w:rPr>
              <w:t>4.2%</w:t>
            </w:r>
          </w:p>
        </w:tc>
        <w:tc>
          <w:tcPr>
            <w:tcW w:w="794" w:type="dxa"/>
            <w:shd w:val="clear" w:color="auto" w:fill="auto"/>
            <w:hideMark/>
          </w:tcPr>
          <w:p w14:paraId="548023B0" w14:textId="77777777" w:rsidR="0078495E" w:rsidRPr="00FA119A" w:rsidRDefault="0078495E" w:rsidP="004C7BEF">
            <w:pPr>
              <w:pStyle w:val="ARtabletextright"/>
              <w:rPr>
                <w:b/>
                <w:bCs/>
              </w:rPr>
            </w:pPr>
          </w:p>
        </w:tc>
      </w:tr>
      <w:tr w:rsidR="0078495E" w:rsidRPr="00D02A2E" w14:paraId="59721ECE" w14:textId="77777777" w:rsidTr="004C7BEF">
        <w:trPr>
          <w:cantSplit/>
        </w:trPr>
        <w:tc>
          <w:tcPr>
            <w:tcW w:w="9639" w:type="dxa"/>
            <w:gridSpan w:val="6"/>
            <w:tcBorders>
              <w:bottom w:val="single" w:sz="4" w:space="0" w:color="auto"/>
            </w:tcBorders>
            <w:shd w:val="clear" w:color="auto" w:fill="auto"/>
            <w:noWrap/>
            <w:hideMark/>
          </w:tcPr>
          <w:p w14:paraId="5DF34A31" w14:textId="74F629A6" w:rsidR="0078495E" w:rsidRPr="00D02A2E" w:rsidRDefault="0078495E" w:rsidP="004C7BEF">
            <w:pPr>
              <w:pStyle w:val="ARtablenoteindent"/>
            </w:pPr>
            <w:r w:rsidRPr="00B90D52">
              <w:t xml:space="preserve">The 2021–22 actual outcome reflects </w:t>
            </w:r>
            <w:r w:rsidRPr="002E0693">
              <w:t>additional</w:t>
            </w:r>
            <w:r w:rsidR="00A87847" w:rsidRPr="00A60FDD">
              <w:t xml:space="preserve"> funding associated with</w:t>
            </w:r>
            <w:r w:rsidRPr="00A87847">
              <w:t xml:space="preserve"> government initiatives</w:t>
            </w:r>
            <w:r w:rsidRPr="00B90D52">
              <w:t>.</w:t>
            </w:r>
          </w:p>
        </w:tc>
      </w:tr>
    </w:tbl>
    <w:p w14:paraId="0E7AAD92" w14:textId="0F5480D7" w:rsidR="0078495E" w:rsidRDefault="0078495E" w:rsidP="00306875">
      <w:pPr>
        <w:pStyle w:val="Heading4"/>
        <w:spacing w:before="400"/>
      </w:pPr>
      <w:r>
        <w:t>Ambulance Non-Emergency Services</w:t>
      </w:r>
    </w:p>
    <w:p w14:paraId="0F3DBB2D" w14:textId="391689A1" w:rsidR="0078495E" w:rsidRDefault="007713C4" w:rsidP="0078495E">
      <w:pPr>
        <w:pStyle w:val="ARbody"/>
      </w:pPr>
      <w:r w:rsidRPr="007713C4">
        <w:t>This output includes non-emergency road, rotary and fixed air wing patient treatment and transport services that provide access to timely, high-quality non-emergency ambulance services.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6B9BDBAF" w14:textId="77777777" w:rsidTr="004C7BEF">
        <w:trPr>
          <w:cantSplit/>
          <w:tblHeader/>
        </w:trPr>
        <w:tc>
          <w:tcPr>
            <w:tcW w:w="4761" w:type="dxa"/>
            <w:tcBorders>
              <w:bottom w:val="single" w:sz="4" w:space="0" w:color="auto"/>
            </w:tcBorders>
            <w:shd w:val="clear" w:color="auto" w:fill="auto"/>
            <w:vAlign w:val="bottom"/>
            <w:hideMark/>
          </w:tcPr>
          <w:p w14:paraId="136184E6"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1F3418A5"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2CA23A9B"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66AF0EFE"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64DF1970"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5DDFBE7E" w14:textId="77777777" w:rsidR="0078495E" w:rsidRPr="00F72126" w:rsidRDefault="0078495E" w:rsidP="004C7BEF">
            <w:pPr>
              <w:pStyle w:val="ARtablecolheadright"/>
            </w:pPr>
            <w:r w:rsidRPr="00F72126">
              <w:t>Result</w:t>
            </w:r>
          </w:p>
        </w:tc>
      </w:tr>
      <w:tr w:rsidR="0078495E" w:rsidRPr="00D02A2E" w14:paraId="3DEB6C18" w14:textId="77777777" w:rsidTr="004C7BEF">
        <w:trPr>
          <w:cantSplit/>
        </w:trPr>
        <w:tc>
          <w:tcPr>
            <w:tcW w:w="9639" w:type="dxa"/>
            <w:gridSpan w:val="6"/>
            <w:tcBorders>
              <w:top w:val="single" w:sz="4" w:space="0" w:color="auto"/>
            </w:tcBorders>
            <w:shd w:val="clear" w:color="auto" w:fill="auto"/>
            <w:hideMark/>
          </w:tcPr>
          <w:p w14:paraId="5547C8B3" w14:textId="77777777" w:rsidR="0078495E" w:rsidRPr="00D02A2E" w:rsidRDefault="0078495E" w:rsidP="004C7BEF">
            <w:pPr>
              <w:pStyle w:val="ARtablegreybold"/>
              <w:rPr>
                <w:rFonts w:ascii="Wingdings" w:hAnsi="Wingdings"/>
              </w:rPr>
            </w:pPr>
            <w:r w:rsidRPr="007A45E9">
              <w:t>Quantity</w:t>
            </w:r>
          </w:p>
        </w:tc>
      </w:tr>
      <w:tr w:rsidR="0078495E" w:rsidRPr="00D02A2E" w14:paraId="6F6A0BC7" w14:textId="77777777" w:rsidTr="004C7BEF">
        <w:trPr>
          <w:cantSplit/>
        </w:trPr>
        <w:tc>
          <w:tcPr>
            <w:tcW w:w="4761" w:type="dxa"/>
            <w:tcBorders>
              <w:bottom w:val="single" w:sz="4" w:space="0" w:color="BFBFBF"/>
            </w:tcBorders>
            <w:shd w:val="clear" w:color="auto" w:fill="auto"/>
            <w:hideMark/>
          </w:tcPr>
          <w:p w14:paraId="0B9EB23C" w14:textId="77777777" w:rsidR="0078495E" w:rsidRPr="00D02A2E" w:rsidRDefault="0078495E" w:rsidP="004C7BEF">
            <w:pPr>
              <w:pStyle w:val="ARtabletext"/>
            </w:pPr>
            <w:r w:rsidRPr="00DF3FDC">
              <w:t>Community Service Obligation non-emergency road and air transports</w:t>
            </w:r>
          </w:p>
        </w:tc>
        <w:tc>
          <w:tcPr>
            <w:tcW w:w="1021" w:type="dxa"/>
            <w:tcBorders>
              <w:bottom w:val="single" w:sz="4" w:space="0" w:color="BFBFBF"/>
            </w:tcBorders>
            <w:shd w:val="clear" w:color="auto" w:fill="auto"/>
            <w:hideMark/>
          </w:tcPr>
          <w:p w14:paraId="62284F48" w14:textId="77777777" w:rsidR="0078495E" w:rsidRPr="00D02A2E" w:rsidRDefault="0078495E" w:rsidP="004C7BEF">
            <w:pPr>
              <w:pStyle w:val="ARtabletextcentre"/>
            </w:pPr>
            <w:r w:rsidRPr="00DF3FDC">
              <w:t>number</w:t>
            </w:r>
          </w:p>
        </w:tc>
        <w:tc>
          <w:tcPr>
            <w:tcW w:w="1021" w:type="dxa"/>
            <w:tcBorders>
              <w:bottom w:val="single" w:sz="4" w:space="0" w:color="BFBFBF"/>
            </w:tcBorders>
            <w:shd w:val="clear" w:color="auto" w:fill="auto"/>
            <w:hideMark/>
          </w:tcPr>
          <w:p w14:paraId="3F7672CB" w14:textId="77777777" w:rsidR="0078495E" w:rsidRDefault="0078495E" w:rsidP="004C7BEF">
            <w:pPr>
              <w:pStyle w:val="ARtabletextright"/>
            </w:pPr>
            <w:r w:rsidRPr="00DF3FDC">
              <w:t>240,596</w:t>
            </w:r>
          </w:p>
        </w:tc>
        <w:tc>
          <w:tcPr>
            <w:tcW w:w="1021" w:type="dxa"/>
            <w:tcBorders>
              <w:bottom w:val="single" w:sz="4" w:space="0" w:color="BFBFBF"/>
            </w:tcBorders>
            <w:shd w:val="clear" w:color="auto" w:fill="auto"/>
            <w:hideMark/>
          </w:tcPr>
          <w:p w14:paraId="3E1EB654" w14:textId="77777777" w:rsidR="0078495E" w:rsidRDefault="0078495E" w:rsidP="004C7BEF">
            <w:pPr>
              <w:pStyle w:val="ARtabletextright"/>
            </w:pPr>
            <w:r w:rsidRPr="00DF3FDC">
              <w:t>228,837</w:t>
            </w:r>
          </w:p>
        </w:tc>
        <w:tc>
          <w:tcPr>
            <w:tcW w:w="1021" w:type="dxa"/>
            <w:tcBorders>
              <w:bottom w:val="single" w:sz="4" w:space="0" w:color="BFBFBF"/>
            </w:tcBorders>
            <w:shd w:val="clear" w:color="auto" w:fill="auto"/>
          </w:tcPr>
          <w:p w14:paraId="3B459386" w14:textId="77777777" w:rsidR="0078495E" w:rsidRDefault="0078495E" w:rsidP="004C7BEF">
            <w:pPr>
              <w:pStyle w:val="ARtabletextright"/>
            </w:pPr>
            <w:r w:rsidRPr="00DF3FDC">
              <w:t>−4.9%</w:t>
            </w:r>
          </w:p>
        </w:tc>
        <w:tc>
          <w:tcPr>
            <w:tcW w:w="794" w:type="dxa"/>
            <w:tcBorders>
              <w:bottom w:val="single" w:sz="4" w:space="0" w:color="BFBFBF"/>
            </w:tcBorders>
            <w:shd w:val="clear" w:color="auto" w:fill="auto"/>
            <w:hideMark/>
          </w:tcPr>
          <w:p w14:paraId="773961CE" w14:textId="77777777" w:rsidR="0078495E" w:rsidRPr="00D02A2E" w:rsidRDefault="0078495E" w:rsidP="004C7BEF">
            <w:pPr>
              <w:pStyle w:val="ARtableperformancesymbol"/>
              <w:rPr>
                <w:rFonts w:hint="eastAsia"/>
              </w:rPr>
            </w:pPr>
            <w:r w:rsidRPr="00DF3FDC">
              <w:t></w:t>
            </w:r>
          </w:p>
        </w:tc>
      </w:tr>
      <w:tr w:rsidR="0078495E" w:rsidRPr="00D02A2E" w14:paraId="03683ED3" w14:textId="77777777" w:rsidTr="00D626AE">
        <w:trPr>
          <w:cantSplit/>
        </w:trPr>
        <w:tc>
          <w:tcPr>
            <w:tcW w:w="4761" w:type="dxa"/>
            <w:tcBorders>
              <w:top w:val="single" w:sz="4" w:space="0" w:color="BFBFBF"/>
            </w:tcBorders>
            <w:shd w:val="clear" w:color="auto" w:fill="auto"/>
            <w:hideMark/>
          </w:tcPr>
          <w:p w14:paraId="5252B95E" w14:textId="77777777" w:rsidR="0078495E" w:rsidRPr="00D02A2E" w:rsidRDefault="0078495E" w:rsidP="004C7BEF">
            <w:pPr>
              <w:pStyle w:val="ARtabletext"/>
            </w:pPr>
            <w:r w:rsidRPr="00DF3FDC">
              <w:t>Statewide non-emergency air transports</w:t>
            </w:r>
          </w:p>
        </w:tc>
        <w:tc>
          <w:tcPr>
            <w:tcW w:w="1021" w:type="dxa"/>
            <w:tcBorders>
              <w:top w:val="single" w:sz="4" w:space="0" w:color="BFBFBF"/>
            </w:tcBorders>
            <w:shd w:val="clear" w:color="auto" w:fill="auto"/>
            <w:hideMark/>
          </w:tcPr>
          <w:p w14:paraId="4A9E3087" w14:textId="77777777" w:rsidR="0078495E" w:rsidRPr="00D02A2E" w:rsidRDefault="0078495E" w:rsidP="004C7BEF">
            <w:pPr>
              <w:pStyle w:val="ARtabletextcentre"/>
            </w:pPr>
            <w:r w:rsidRPr="00DF3FDC">
              <w:t>number</w:t>
            </w:r>
          </w:p>
        </w:tc>
        <w:tc>
          <w:tcPr>
            <w:tcW w:w="1021" w:type="dxa"/>
            <w:tcBorders>
              <w:top w:val="single" w:sz="4" w:space="0" w:color="BFBFBF"/>
            </w:tcBorders>
            <w:shd w:val="clear" w:color="auto" w:fill="auto"/>
            <w:hideMark/>
          </w:tcPr>
          <w:p w14:paraId="31B87BAB" w14:textId="77777777" w:rsidR="0078495E" w:rsidRDefault="0078495E" w:rsidP="004C7BEF">
            <w:pPr>
              <w:pStyle w:val="ARtabletextright"/>
            </w:pPr>
            <w:r w:rsidRPr="00DF3FDC">
              <w:t>2,538</w:t>
            </w:r>
          </w:p>
        </w:tc>
        <w:tc>
          <w:tcPr>
            <w:tcW w:w="1021" w:type="dxa"/>
            <w:tcBorders>
              <w:top w:val="single" w:sz="4" w:space="0" w:color="BFBFBF"/>
            </w:tcBorders>
            <w:shd w:val="clear" w:color="auto" w:fill="auto"/>
            <w:hideMark/>
          </w:tcPr>
          <w:p w14:paraId="0D6D13AF" w14:textId="77777777" w:rsidR="0078495E" w:rsidRDefault="0078495E" w:rsidP="004C7BEF">
            <w:pPr>
              <w:pStyle w:val="ARtabletextright"/>
            </w:pPr>
            <w:r w:rsidRPr="00DF3FDC">
              <w:t>3,039</w:t>
            </w:r>
          </w:p>
        </w:tc>
        <w:tc>
          <w:tcPr>
            <w:tcW w:w="1021" w:type="dxa"/>
            <w:tcBorders>
              <w:top w:val="single" w:sz="4" w:space="0" w:color="BFBFBF"/>
            </w:tcBorders>
            <w:shd w:val="clear" w:color="auto" w:fill="auto"/>
          </w:tcPr>
          <w:p w14:paraId="2C98DBC5" w14:textId="77777777" w:rsidR="0078495E" w:rsidRDefault="0078495E" w:rsidP="004C7BEF">
            <w:pPr>
              <w:pStyle w:val="ARtabletextright"/>
            </w:pPr>
            <w:r w:rsidRPr="00DF3FDC">
              <w:t>19.7%</w:t>
            </w:r>
          </w:p>
        </w:tc>
        <w:tc>
          <w:tcPr>
            <w:tcW w:w="794" w:type="dxa"/>
            <w:tcBorders>
              <w:top w:val="single" w:sz="4" w:space="0" w:color="BFBFBF"/>
            </w:tcBorders>
            <w:shd w:val="clear" w:color="auto" w:fill="auto"/>
            <w:hideMark/>
          </w:tcPr>
          <w:p w14:paraId="7F33DB12" w14:textId="77777777" w:rsidR="0078495E" w:rsidRPr="00D02A2E" w:rsidRDefault="0078495E" w:rsidP="004C7BEF">
            <w:pPr>
              <w:pStyle w:val="ARtableperformancesymbol"/>
              <w:rPr>
                <w:rFonts w:hint="eastAsia"/>
              </w:rPr>
            </w:pPr>
            <w:r w:rsidRPr="00DF3FDC">
              <w:t></w:t>
            </w:r>
          </w:p>
        </w:tc>
      </w:tr>
      <w:tr w:rsidR="0078495E" w:rsidRPr="00D02A2E" w14:paraId="71414F51" w14:textId="77777777" w:rsidTr="00D626AE">
        <w:trPr>
          <w:cantSplit/>
        </w:trPr>
        <w:tc>
          <w:tcPr>
            <w:tcW w:w="9639" w:type="dxa"/>
            <w:gridSpan w:val="6"/>
            <w:tcBorders>
              <w:bottom w:val="single" w:sz="4" w:space="0" w:color="A6A6A6"/>
            </w:tcBorders>
            <w:shd w:val="clear" w:color="auto" w:fill="auto"/>
            <w:hideMark/>
          </w:tcPr>
          <w:p w14:paraId="513ECCBD" w14:textId="77777777" w:rsidR="0078495E" w:rsidRPr="00D02A2E" w:rsidRDefault="0078495E" w:rsidP="004C7BEF">
            <w:pPr>
              <w:pStyle w:val="ARtablenoteindent"/>
            </w:pPr>
            <w:r w:rsidRPr="00DF3FDC">
              <w:t>Air activity is entirely demand driven. Activity above target represents higher demand for air services.</w:t>
            </w:r>
          </w:p>
        </w:tc>
      </w:tr>
      <w:tr w:rsidR="0078495E" w:rsidRPr="00D02A2E" w14:paraId="0747120F" w14:textId="77777777" w:rsidTr="00D626AE">
        <w:trPr>
          <w:cantSplit/>
        </w:trPr>
        <w:tc>
          <w:tcPr>
            <w:tcW w:w="4761" w:type="dxa"/>
            <w:tcBorders>
              <w:top w:val="single" w:sz="4" w:space="0" w:color="A6A6A6"/>
              <w:bottom w:val="single" w:sz="4" w:space="0" w:color="BFBFBF"/>
            </w:tcBorders>
            <w:shd w:val="clear" w:color="auto" w:fill="auto"/>
            <w:hideMark/>
          </w:tcPr>
          <w:p w14:paraId="718CBC67" w14:textId="77777777" w:rsidR="0078495E" w:rsidRPr="00FB783A" w:rsidRDefault="0078495E" w:rsidP="004C7BEF">
            <w:pPr>
              <w:pStyle w:val="ARtabletext"/>
              <w:rPr>
                <w:highlight w:val="green"/>
              </w:rPr>
            </w:pPr>
            <w:r w:rsidRPr="00DF3FDC">
              <w:t xml:space="preserve">Statewide non-emergency </w:t>
            </w:r>
            <w:r>
              <w:t>road</w:t>
            </w:r>
            <w:r w:rsidRPr="00DF3FDC">
              <w:t xml:space="preserve"> transports</w:t>
            </w:r>
          </w:p>
        </w:tc>
        <w:tc>
          <w:tcPr>
            <w:tcW w:w="1021" w:type="dxa"/>
            <w:tcBorders>
              <w:top w:val="single" w:sz="4" w:space="0" w:color="A6A6A6"/>
              <w:bottom w:val="single" w:sz="4" w:space="0" w:color="BFBFBF"/>
            </w:tcBorders>
            <w:shd w:val="clear" w:color="auto" w:fill="auto"/>
            <w:hideMark/>
          </w:tcPr>
          <w:p w14:paraId="3F249D80" w14:textId="77777777" w:rsidR="0078495E" w:rsidRPr="00FB783A" w:rsidRDefault="0078495E" w:rsidP="004C7BEF">
            <w:pPr>
              <w:pStyle w:val="ARtabletextcentre"/>
              <w:rPr>
                <w:highlight w:val="green"/>
              </w:rPr>
            </w:pPr>
            <w:r w:rsidRPr="00DF3FDC">
              <w:t>number</w:t>
            </w:r>
          </w:p>
        </w:tc>
        <w:tc>
          <w:tcPr>
            <w:tcW w:w="1021" w:type="dxa"/>
            <w:tcBorders>
              <w:top w:val="single" w:sz="4" w:space="0" w:color="A6A6A6"/>
              <w:bottom w:val="single" w:sz="4" w:space="0" w:color="BFBFBF"/>
            </w:tcBorders>
            <w:shd w:val="clear" w:color="auto" w:fill="auto"/>
            <w:hideMark/>
          </w:tcPr>
          <w:p w14:paraId="7ABB087F" w14:textId="77777777" w:rsidR="0078495E" w:rsidRPr="00FB783A" w:rsidRDefault="0078495E" w:rsidP="004C7BEF">
            <w:pPr>
              <w:pStyle w:val="ARtabletextright"/>
              <w:rPr>
                <w:highlight w:val="green"/>
              </w:rPr>
            </w:pPr>
            <w:r>
              <w:t>295,925</w:t>
            </w:r>
          </w:p>
        </w:tc>
        <w:tc>
          <w:tcPr>
            <w:tcW w:w="1021" w:type="dxa"/>
            <w:tcBorders>
              <w:top w:val="single" w:sz="4" w:space="0" w:color="A6A6A6"/>
              <w:bottom w:val="single" w:sz="4" w:space="0" w:color="BFBFBF"/>
            </w:tcBorders>
            <w:shd w:val="clear" w:color="auto" w:fill="auto"/>
            <w:hideMark/>
          </w:tcPr>
          <w:p w14:paraId="7441D789" w14:textId="77777777" w:rsidR="0078495E" w:rsidRPr="00FB783A" w:rsidRDefault="0078495E" w:rsidP="004C7BEF">
            <w:pPr>
              <w:pStyle w:val="ARtabletextright"/>
              <w:rPr>
                <w:highlight w:val="green"/>
              </w:rPr>
            </w:pPr>
            <w:r>
              <w:t>304,864</w:t>
            </w:r>
          </w:p>
        </w:tc>
        <w:tc>
          <w:tcPr>
            <w:tcW w:w="1021" w:type="dxa"/>
            <w:tcBorders>
              <w:top w:val="single" w:sz="4" w:space="0" w:color="A6A6A6"/>
              <w:bottom w:val="single" w:sz="4" w:space="0" w:color="BFBFBF"/>
            </w:tcBorders>
            <w:shd w:val="clear" w:color="auto" w:fill="auto"/>
          </w:tcPr>
          <w:p w14:paraId="1CF69616" w14:textId="77777777" w:rsidR="0078495E" w:rsidRPr="00FB783A" w:rsidRDefault="0078495E" w:rsidP="004C7BEF">
            <w:pPr>
              <w:pStyle w:val="ARtabletextright"/>
              <w:rPr>
                <w:highlight w:val="green"/>
              </w:rPr>
            </w:pPr>
            <w:r>
              <w:t>3.0%</w:t>
            </w:r>
          </w:p>
        </w:tc>
        <w:tc>
          <w:tcPr>
            <w:tcW w:w="794" w:type="dxa"/>
            <w:tcBorders>
              <w:top w:val="single" w:sz="4" w:space="0" w:color="A6A6A6"/>
              <w:bottom w:val="single" w:sz="4" w:space="0" w:color="BFBFBF"/>
            </w:tcBorders>
            <w:shd w:val="clear" w:color="auto" w:fill="auto"/>
            <w:hideMark/>
          </w:tcPr>
          <w:p w14:paraId="3AE89273" w14:textId="77777777" w:rsidR="0078495E" w:rsidRPr="00FB783A" w:rsidRDefault="0078495E" w:rsidP="004C7BEF">
            <w:pPr>
              <w:pStyle w:val="ARtableperformancesymbol"/>
              <w:rPr>
                <w:rFonts w:hint="eastAsia"/>
                <w:highlight w:val="green"/>
                <w:lang w:val="en-US"/>
              </w:rPr>
            </w:pPr>
            <w:r w:rsidRPr="00DF3FDC">
              <w:t></w:t>
            </w:r>
          </w:p>
        </w:tc>
      </w:tr>
      <w:tr w:rsidR="0078495E" w:rsidRPr="00D02A2E" w14:paraId="441D27B8" w14:textId="77777777" w:rsidTr="00D626AE">
        <w:trPr>
          <w:cantSplit/>
        </w:trPr>
        <w:tc>
          <w:tcPr>
            <w:tcW w:w="9639" w:type="dxa"/>
            <w:gridSpan w:val="6"/>
            <w:tcBorders>
              <w:top w:val="single" w:sz="4" w:space="0" w:color="auto"/>
            </w:tcBorders>
            <w:shd w:val="clear" w:color="auto" w:fill="auto"/>
            <w:hideMark/>
          </w:tcPr>
          <w:p w14:paraId="4C8C797A" w14:textId="77777777" w:rsidR="0078495E" w:rsidRPr="00D02A2E" w:rsidRDefault="0078495E" w:rsidP="004C7BEF">
            <w:pPr>
              <w:pStyle w:val="ARtablegreybold"/>
              <w:rPr>
                <w:rFonts w:ascii="Wingdings" w:hAnsi="Wingdings"/>
              </w:rPr>
            </w:pPr>
            <w:r>
              <w:t>Quality</w:t>
            </w:r>
          </w:p>
        </w:tc>
      </w:tr>
      <w:tr w:rsidR="0078495E" w:rsidRPr="00D02A2E" w14:paraId="5C83E2B8" w14:textId="77777777" w:rsidTr="00D626AE">
        <w:trPr>
          <w:cantSplit/>
        </w:trPr>
        <w:tc>
          <w:tcPr>
            <w:tcW w:w="4761" w:type="dxa"/>
            <w:shd w:val="clear" w:color="auto" w:fill="auto"/>
            <w:hideMark/>
          </w:tcPr>
          <w:p w14:paraId="2D8994FD" w14:textId="77777777" w:rsidR="0078495E" w:rsidRPr="00D02A2E" w:rsidRDefault="0078495E" w:rsidP="004C7BEF">
            <w:pPr>
              <w:pStyle w:val="ARtabletext"/>
            </w:pPr>
            <w:r w:rsidRPr="00654713">
              <w:t>Audited cases statewide meeting clinical practice standards</w:t>
            </w:r>
          </w:p>
        </w:tc>
        <w:tc>
          <w:tcPr>
            <w:tcW w:w="1021" w:type="dxa"/>
            <w:shd w:val="clear" w:color="auto" w:fill="auto"/>
            <w:hideMark/>
          </w:tcPr>
          <w:p w14:paraId="12256AE8" w14:textId="77777777" w:rsidR="0078495E" w:rsidRPr="00D02A2E" w:rsidRDefault="0078495E" w:rsidP="004C7BEF">
            <w:pPr>
              <w:pStyle w:val="ARtabletextcentre"/>
            </w:pPr>
            <w:r w:rsidRPr="00654713">
              <w:t>per cent</w:t>
            </w:r>
          </w:p>
        </w:tc>
        <w:tc>
          <w:tcPr>
            <w:tcW w:w="1021" w:type="dxa"/>
            <w:shd w:val="clear" w:color="auto" w:fill="auto"/>
            <w:hideMark/>
          </w:tcPr>
          <w:p w14:paraId="4082F436" w14:textId="77777777" w:rsidR="0078495E" w:rsidRDefault="0078495E" w:rsidP="004C7BEF">
            <w:pPr>
              <w:pStyle w:val="ARtabletextright"/>
            </w:pPr>
            <w:r w:rsidRPr="00654713">
              <w:t>95</w:t>
            </w:r>
          </w:p>
        </w:tc>
        <w:tc>
          <w:tcPr>
            <w:tcW w:w="1021" w:type="dxa"/>
            <w:shd w:val="clear" w:color="auto" w:fill="auto"/>
            <w:hideMark/>
          </w:tcPr>
          <w:p w14:paraId="7ADFA2B7" w14:textId="77777777" w:rsidR="0078495E" w:rsidRDefault="0078495E" w:rsidP="004C7BEF">
            <w:pPr>
              <w:pStyle w:val="ARtabletextright"/>
            </w:pPr>
            <w:r w:rsidRPr="00654713">
              <w:t>100</w:t>
            </w:r>
          </w:p>
        </w:tc>
        <w:tc>
          <w:tcPr>
            <w:tcW w:w="1021" w:type="dxa"/>
            <w:shd w:val="clear" w:color="auto" w:fill="auto"/>
          </w:tcPr>
          <w:p w14:paraId="70724448" w14:textId="77777777" w:rsidR="0078495E" w:rsidRDefault="0078495E" w:rsidP="004C7BEF">
            <w:pPr>
              <w:pStyle w:val="ARtabletextright"/>
            </w:pPr>
            <w:r w:rsidRPr="00654713">
              <w:t>5.3%</w:t>
            </w:r>
          </w:p>
        </w:tc>
        <w:tc>
          <w:tcPr>
            <w:tcW w:w="794" w:type="dxa"/>
            <w:shd w:val="clear" w:color="auto" w:fill="auto"/>
            <w:hideMark/>
          </w:tcPr>
          <w:p w14:paraId="6AB27D75" w14:textId="77777777" w:rsidR="0078495E" w:rsidRPr="00D02A2E" w:rsidRDefault="0078495E" w:rsidP="004C7BEF">
            <w:pPr>
              <w:pStyle w:val="ARtableperformancesymbol"/>
              <w:rPr>
                <w:rFonts w:hint="eastAsia"/>
              </w:rPr>
            </w:pPr>
            <w:r w:rsidRPr="00654713">
              <w:t></w:t>
            </w:r>
          </w:p>
        </w:tc>
      </w:tr>
      <w:tr w:rsidR="000351AB" w:rsidRPr="00D02A2E" w14:paraId="202B6334" w14:textId="77777777" w:rsidTr="00D626AE">
        <w:trPr>
          <w:cantSplit/>
        </w:trPr>
        <w:tc>
          <w:tcPr>
            <w:tcW w:w="9639" w:type="dxa"/>
            <w:gridSpan w:val="6"/>
            <w:tcBorders>
              <w:bottom w:val="single" w:sz="4" w:space="0" w:color="auto"/>
            </w:tcBorders>
            <w:shd w:val="clear" w:color="auto" w:fill="auto"/>
          </w:tcPr>
          <w:p w14:paraId="44FFB0B8" w14:textId="02618A4D" w:rsidR="000351AB" w:rsidRPr="00654713" w:rsidRDefault="008338FA" w:rsidP="000351AB">
            <w:pPr>
              <w:pStyle w:val="ARtablenoteindent"/>
            </w:pPr>
            <w:r>
              <w:t>This result</w:t>
            </w:r>
            <w:r w:rsidR="00B14F34">
              <w:t xml:space="preserve"> is an estimate as the source dataset is yet to be finalised.</w:t>
            </w:r>
          </w:p>
        </w:tc>
      </w:tr>
      <w:tr w:rsidR="0078495E" w:rsidRPr="00D02A2E" w14:paraId="1AE83ADB" w14:textId="77777777" w:rsidTr="00D626AE">
        <w:trPr>
          <w:cantSplit/>
        </w:trPr>
        <w:tc>
          <w:tcPr>
            <w:tcW w:w="9639" w:type="dxa"/>
            <w:gridSpan w:val="6"/>
            <w:tcBorders>
              <w:top w:val="single" w:sz="4" w:space="0" w:color="auto"/>
            </w:tcBorders>
            <w:shd w:val="clear" w:color="auto" w:fill="auto"/>
            <w:hideMark/>
          </w:tcPr>
          <w:p w14:paraId="4A9D984A" w14:textId="77777777" w:rsidR="0078495E" w:rsidRPr="00D02A2E" w:rsidRDefault="0078495E" w:rsidP="004C7BEF">
            <w:pPr>
              <w:pStyle w:val="ARtablegreybold"/>
              <w:rPr>
                <w:rFonts w:ascii="Wingdings" w:hAnsi="Wingdings"/>
              </w:rPr>
            </w:pPr>
            <w:r w:rsidRPr="00654713">
              <w:t>Cost</w:t>
            </w:r>
          </w:p>
        </w:tc>
      </w:tr>
      <w:tr w:rsidR="0078495E" w:rsidRPr="00D55491" w14:paraId="25DE12F9" w14:textId="77777777" w:rsidTr="004C7BEF">
        <w:trPr>
          <w:cantSplit/>
        </w:trPr>
        <w:tc>
          <w:tcPr>
            <w:tcW w:w="4761" w:type="dxa"/>
            <w:shd w:val="clear" w:color="auto" w:fill="auto"/>
            <w:hideMark/>
          </w:tcPr>
          <w:p w14:paraId="5A26B395" w14:textId="77777777" w:rsidR="0078495E" w:rsidRPr="00D55491" w:rsidRDefault="0078495E" w:rsidP="004C7BEF">
            <w:pPr>
              <w:pStyle w:val="ARtabletext"/>
              <w:rPr>
                <w:b/>
                <w:bCs/>
              </w:rPr>
            </w:pPr>
            <w:r w:rsidRPr="00D55491">
              <w:rPr>
                <w:b/>
                <w:bCs/>
              </w:rPr>
              <w:t>Total Output Cost</w:t>
            </w:r>
          </w:p>
        </w:tc>
        <w:tc>
          <w:tcPr>
            <w:tcW w:w="1021" w:type="dxa"/>
            <w:shd w:val="clear" w:color="auto" w:fill="auto"/>
            <w:hideMark/>
          </w:tcPr>
          <w:p w14:paraId="19C434AC" w14:textId="77777777" w:rsidR="0078495E" w:rsidRPr="00D55491" w:rsidRDefault="0078495E" w:rsidP="004C7BEF">
            <w:pPr>
              <w:pStyle w:val="ARtabletextcentre"/>
              <w:rPr>
                <w:b/>
                <w:bCs/>
              </w:rPr>
            </w:pPr>
            <w:r w:rsidRPr="00D55491">
              <w:rPr>
                <w:b/>
                <w:bCs/>
              </w:rPr>
              <w:t>$ million</w:t>
            </w:r>
          </w:p>
        </w:tc>
        <w:tc>
          <w:tcPr>
            <w:tcW w:w="1021" w:type="dxa"/>
            <w:shd w:val="clear" w:color="auto" w:fill="auto"/>
            <w:hideMark/>
          </w:tcPr>
          <w:p w14:paraId="17256049" w14:textId="77777777" w:rsidR="0078495E" w:rsidRPr="00D55491" w:rsidRDefault="0078495E" w:rsidP="004C7BEF">
            <w:pPr>
              <w:pStyle w:val="ARtabletextright"/>
              <w:rPr>
                <w:b/>
                <w:bCs/>
              </w:rPr>
            </w:pPr>
            <w:r w:rsidRPr="00D55491">
              <w:rPr>
                <w:b/>
                <w:bCs/>
              </w:rPr>
              <w:t>196.9</w:t>
            </w:r>
          </w:p>
        </w:tc>
        <w:tc>
          <w:tcPr>
            <w:tcW w:w="1021" w:type="dxa"/>
            <w:shd w:val="clear" w:color="auto" w:fill="auto"/>
            <w:hideMark/>
          </w:tcPr>
          <w:p w14:paraId="0FEB9408" w14:textId="77777777" w:rsidR="0078495E" w:rsidRPr="00D55491" w:rsidRDefault="0078495E" w:rsidP="004C7BEF">
            <w:pPr>
              <w:pStyle w:val="ARtabletextright"/>
              <w:rPr>
                <w:b/>
                <w:bCs/>
              </w:rPr>
            </w:pPr>
            <w:r w:rsidRPr="00D55491">
              <w:rPr>
                <w:b/>
                <w:bCs/>
              </w:rPr>
              <w:t>188.3</w:t>
            </w:r>
          </w:p>
        </w:tc>
        <w:tc>
          <w:tcPr>
            <w:tcW w:w="1021" w:type="dxa"/>
            <w:shd w:val="clear" w:color="auto" w:fill="auto"/>
          </w:tcPr>
          <w:p w14:paraId="5B9AC3A2" w14:textId="77777777" w:rsidR="0078495E" w:rsidRPr="00D55491" w:rsidRDefault="0078495E" w:rsidP="004C7BEF">
            <w:pPr>
              <w:pStyle w:val="ARtabletextright"/>
              <w:rPr>
                <w:b/>
                <w:bCs/>
              </w:rPr>
            </w:pPr>
            <w:r w:rsidRPr="00D55491">
              <w:rPr>
                <w:b/>
                <w:bCs/>
              </w:rPr>
              <w:t>−4.4%</w:t>
            </w:r>
          </w:p>
        </w:tc>
        <w:tc>
          <w:tcPr>
            <w:tcW w:w="794" w:type="dxa"/>
            <w:shd w:val="clear" w:color="auto" w:fill="auto"/>
            <w:hideMark/>
          </w:tcPr>
          <w:p w14:paraId="5B4FF7B0" w14:textId="77777777" w:rsidR="0078495E" w:rsidRPr="00D55491" w:rsidRDefault="0078495E" w:rsidP="004C7BEF">
            <w:pPr>
              <w:pStyle w:val="ARtabletextright"/>
              <w:rPr>
                <w:b/>
                <w:bCs/>
              </w:rPr>
            </w:pPr>
          </w:p>
        </w:tc>
      </w:tr>
      <w:tr w:rsidR="0078495E" w:rsidRPr="00D02A2E" w14:paraId="0B225A10" w14:textId="77777777" w:rsidTr="004C7BEF">
        <w:trPr>
          <w:cantSplit/>
        </w:trPr>
        <w:tc>
          <w:tcPr>
            <w:tcW w:w="9639" w:type="dxa"/>
            <w:gridSpan w:val="6"/>
            <w:tcBorders>
              <w:bottom w:val="single" w:sz="4" w:space="0" w:color="auto"/>
            </w:tcBorders>
            <w:shd w:val="clear" w:color="auto" w:fill="auto"/>
            <w:noWrap/>
            <w:hideMark/>
          </w:tcPr>
          <w:p w14:paraId="538AB3D8" w14:textId="54B4C71D" w:rsidR="0078495E" w:rsidRPr="00D02A2E" w:rsidRDefault="0078495E" w:rsidP="004C7BEF">
            <w:pPr>
              <w:pStyle w:val="ARtablenoteindent"/>
            </w:pPr>
            <w:r w:rsidRPr="00654713">
              <w:t>The 2021–22 actual outcome reflects a rephase of</w:t>
            </w:r>
            <w:r w:rsidR="00AF190A">
              <w:t xml:space="preserve"> </w:t>
            </w:r>
            <w:r w:rsidR="00AF190A" w:rsidRPr="0034358F">
              <w:t xml:space="preserve">funding </w:t>
            </w:r>
            <w:r w:rsidR="00A87847" w:rsidRPr="00C613AC">
              <w:t>associated with</w:t>
            </w:r>
            <w:r w:rsidRPr="00654713">
              <w:t xml:space="preserve"> government policy initiatives </w:t>
            </w:r>
            <w:r w:rsidR="00A87847">
              <w:t xml:space="preserve">as part of </w:t>
            </w:r>
            <w:r w:rsidRPr="00654713">
              <w:t xml:space="preserve">the </w:t>
            </w:r>
            <w:r w:rsidR="001C7FAA">
              <w:br/>
            </w:r>
            <w:r w:rsidRPr="00654713">
              <w:t xml:space="preserve">COVID-19 </w:t>
            </w:r>
            <w:r w:rsidRPr="00A87847">
              <w:t>response</w:t>
            </w:r>
            <w:r w:rsidRPr="00654713">
              <w:t>.</w:t>
            </w:r>
          </w:p>
        </w:tc>
      </w:tr>
    </w:tbl>
    <w:p w14:paraId="14CB4C5E" w14:textId="77777777" w:rsidR="001C60F2" w:rsidRPr="001C60F2" w:rsidRDefault="001C60F2" w:rsidP="001C60F2">
      <w:pPr>
        <w:pStyle w:val="ARbody"/>
      </w:pPr>
      <w:r w:rsidRPr="001C60F2">
        <w:br w:type="page"/>
      </w:r>
    </w:p>
    <w:p w14:paraId="366F1E00" w14:textId="778718B2" w:rsidR="0078495E" w:rsidRDefault="0078495E" w:rsidP="00306875">
      <w:pPr>
        <w:pStyle w:val="Heading4"/>
        <w:spacing w:before="400"/>
      </w:pPr>
      <w:r>
        <w:t>Drug Prevention and Control</w:t>
      </w:r>
    </w:p>
    <w:p w14:paraId="5C728B81" w14:textId="2BF6DE4C" w:rsidR="0078495E" w:rsidRDefault="00EA24F8" w:rsidP="0078495E">
      <w:pPr>
        <w:pStyle w:val="ARbody"/>
      </w:pPr>
      <w:r w:rsidRPr="00EA24F8">
        <w:t>This output relates to encouraging all Victorians to minimise the harmful effects of alcohol and other drugs by providing a comprehensive range of strategies, which focus on education, prevention and early intervention programs, community and residential treatment services, and effective regulation.</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4D2539F5" w14:textId="77777777" w:rsidTr="004C7BEF">
        <w:trPr>
          <w:cantSplit/>
          <w:tblHeader/>
        </w:trPr>
        <w:tc>
          <w:tcPr>
            <w:tcW w:w="4761" w:type="dxa"/>
            <w:tcBorders>
              <w:bottom w:val="single" w:sz="4" w:space="0" w:color="auto"/>
            </w:tcBorders>
            <w:shd w:val="clear" w:color="auto" w:fill="auto"/>
            <w:vAlign w:val="bottom"/>
            <w:hideMark/>
          </w:tcPr>
          <w:p w14:paraId="5FDEC29C"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7FDCC7FD"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53F135A3"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67A38A4D"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07FD8EE2"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255F1E96" w14:textId="77777777" w:rsidR="0078495E" w:rsidRPr="00F72126" w:rsidRDefault="0078495E" w:rsidP="004C7BEF">
            <w:pPr>
              <w:pStyle w:val="ARtablecolheadright"/>
            </w:pPr>
            <w:r w:rsidRPr="00F72126">
              <w:t>Result</w:t>
            </w:r>
          </w:p>
        </w:tc>
      </w:tr>
      <w:tr w:rsidR="0078495E" w:rsidRPr="00D02A2E" w14:paraId="6B2B0928" w14:textId="77777777" w:rsidTr="004C7BEF">
        <w:trPr>
          <w:cantSplit/>
        </w:trPr>
        <w:tc>
          <w:tcPr>
            <w:tcW w:w="9639" w:type="dxa"/>
            <w:gridSpan w:val="6"/>
            <w:tcBorders>
              <w:top w:val="single" w:sz="4" w:space="0" w:color="auto"/>
            </w:tcBorders>
            <w:shd w:val="clear" w:color="auto" w:fill="auto"/>
            <w:hideMark/>
          </w:tcPr>
          <w:p w14:paraId="282D4133" w14:textId="77777777" w:rsidR="0078495E" w:rsidRPr="00D02A2E" w:rsidRDefault="0078495E" w:rsidP="004C7BEF">
            <w:pPr>
              <w:pStyle w:val="ARtablegreybold"/>
              <w:rPr>
                <w:rFonts w:ascii="Wingdings" w:hAnsi="Wingdings"/>
              </w:rPr>
            </w:pPr>
            <w:r w:rsidRPr="007A45E9">
              <w:t>Quantity</w:t>
            </w:r>
          </w:p>
        </w:tc>
      </w:tr>
      <w:tr w:rsidR="0078495E" w:rsidRPr="00D02A2E" w14:paraId="3E116414" w14:textId="77777777" w:rsidTr="004C7BEF">
        <w:trPr>
          <w:cantSplit/>
        </w:trPr>
        <w:tc>
          <w:tcPr>
            <w:tcW w:w="4761" w:type="dxa"/>
            <w:shd w:val="clear" w:color="auto" w:fill="auto"/>
            <w:hideMark/>
          </w:tcPr>
          <w:p w14:paraId="6D0B363E" w14:textId="77777777" w:rsidR="0078495E" w:rsidRPr="00D02A2E" w:rsidRDefault="0078495E" w:rsidP="004C7BEF">
            <w:pPr>
              <w:pStyle w:val="ARtabletext"/>
            </w:pPr>
            <w:r w:rsidRPr="00D90053">
              <w:t>Number of phone contacts from family members seeking support</w:t>
            </w:r>
          </w:p>
        </w:tc>
        <w:tc>
          <w:tcPr>
            <w:tcW w:w="1021" w:type="dxa"/>
            <w:shd w:val="clear" w:color="auto" w:fill="auto"/>
            <w:hideMark/>
          </w:tcPr>
          <w:p w14:paraId="622CEC52" w14:textId="77777777" w:rsidR="0078495E" w:rsidRPr="00D02A2E" w:rsidRDefault="0078495E" w:rsidP="004C7BEF">
            <w:pPr>
              <w:pStyle w:val="ARtabletextcentre"/>
            </w:pPr>
            <w:r w:rsidRPr="00D90053">
              <w:t>number</w:t>
            </w:r>
          </w:p>
        </w:tc>
        <w:tc>
          <w:tcPr>
            <w:tcW w:w="1021" w:type="dxa"/>
            <w:shd w:val="clear" w:color="auto" w:fill="auto"/>
            <w:hideMark/>
          </w:tcPr>
          <w:p w14:paraId="7072F31B" w14:textId="77777777" w:rsidR="0078495E" w:rsidRDefault="0078495E" w:rsidP="004C7BEF">
            <w:pPr>
              <w:pStyle w:val="ARtabletextright"/>
            </w:pPr>
            <w:r w:rsidRPr="00D90053">
              <w:t>10,682</w:t>
            </w:r>
          </w:p>
        </w:tc>
        <w:tc>
          <w:tcPr>
            <w:tcW w:w="1021" w:type="dxa"/>
            <w:shd w:val="clear" w:color="auto" w:fill="auto"/>
            <w:hideMark/>
          </w:tcPr>
          <w:p w14:paraId="04E5538A" w14:textId="77777777" w:rsidR="0078495E" w:rsidRDefault="0078495E" w:rsidP="004C7BEF">
            <w:pPr>
              <w:pStyle w:val="ARtabletextright"/>
            </w:pPr>
            <w:r w:rsidRPr="00D90053">
              <w:t>9,104</w:t>
            </w:r>
          </w:p>
        </w:tc>
        <w:tc>
          <w:tcPr>
            <w:tcW w:w="1021" w:type="dxa"/>
            <w:shd w:val="clear" w:color="auto" w:fill="auto"/>
          </w:tcPr>
          <w:p w14:paraId="6CC28ADB" w14:textId="77777777" w:rsidR="0078495E" w:rsidRDefault="0078495E" w:rsidP="004C7BEF">
            <w:pPr>
              <w:pStyle w:val="ARtabletextright"/>
            </w:pPr>
            <w:r w:rsidRPr="00D90053">
              <w:t>−14.8%</w:t>
            </w:r>
          </w:p>
        </w:tc>
        <w:tc>
          <w:tcPr>
            <w:tcW w:w="794" w:type="dxa"/>
            <w:shd w:val="clear" w:color="auto" w:fill="auto"/>
            <w:hideMark/>
          </w:tcPr>
          <w:p w14:paraId="7E55D676" w14:textId="77777777" w:rsidR="0078495E" w:rsidRPr="00D02A2E" w:rsidRDefault="0078495E" w:rsidP="004C7BEF">
            <w:pPr>
              <w:pStyle w:val="ARtableperformancesymbol"/>
              <w:rPr>
                <w:rFonts w:hint="eastAsia"/>
              </w:rPr>
            </w:pPr>
            <w:r w:rsidRPr="00D90053">
              <w:t></w:t>
            </w:r>
          </w:p>
        </w:tc>
      </w:tr>
      <w:tr w:rsidR="0078495E" w:rsidRPr="00D02A2E" w14:paraId="7878B6FF" w14:textId="77777777" w:rsidTr="004C7BEF">
        <w:trPr>
          <w:cantSplit/>
        </w:trPr>
        <w:tc>
          <w:tcPr>
            <w:tcW w:w="9639" w:type="dxa"/>
            <w:gridSpan w:val="6"/>
            <w:tcBorders>
              <w:bottom w:val="single" w:sz="4" w:space="0" w:color="BFBFBF"/>
            </w:tcBorders>
            <w:shd w:val="clear" w:color="auto" w:fill="auto"/>
            <w:noWrap/>
            <w:hideMark/>
          </w:tcPr>
          <w:p w14:paraId="3C392CCE" w14:textId="7349DED7" w:rsidR="0078495E" w:rsidRPr="00D02A2E" w:rsidRDefault="00AF190A" w:rsidP="004C7BEF">
            <w:pPr>
              <w:pStyle w:val="ARtablenoteindent"/>
            </w:pPr>
            <w:r>
              <w:t>The</w:t>
            </w:r>
            <w:r w:rsidR="0078495E" w:rsidRPr="00D90053">
              <w:t xml:space="preserve"> negative result for family member phone contacts</w:t>
            </w:r>
            <w:r w:rsidR="005773F5">
              <w:t xml:space="preserve"> </w:t>
            </w:r>
            <w:r w:rsidR="005773F5" w:rsidRPr="00D90053">
              <w:t>is</w:t>
            </w:r>
            <w:r w:rsidR="0078495E" w:rsidRPr="00D90053">
              <w:t xml:space="preserve"> offset by the</w:t>
            </w:r>
            <w:r w:rsidR="0078495E" w:rsidRPr="00D90053" w:rsidDel="00E96834">
              <w:t xml:space="preserve"> </w:t>
            </w:r>
            <w:r w:rsidR="00E96834">
              <w:t xml:space="preserve">very </w:t>
            </w:r>
            <w:r w:rsidR="0078495E" w:rsidRPr="00D90053">
              <w:t>positive result achieved against the measure</w:t>
            </w:r>
            <w:r w:rsidR="00CC58B6">
              <w:t xml:space="preserve">, </w:t>
            </w:r>
            <w:r w:rsidR="00A87847">
              <w:t>N</w:t>
            </w:r>
            <w:r w:rsidR="0078495E" w:rsidRPr="00D90053">
              <w:t>umber of telephone, email, website contacts</w:t>
            </w:r>
            <w:r w:rsidR="00BE5FC9">
              <w:t xml:space="preserve"> and requests for information on alcohol and other drugs</w:t>
            </w:r>
            <w:r w:rsidR="00A87847">
              <w:t xml:space="preserve"> (see below)</w:t>
            </w:r>
            <w:r w:rsidR="0078495E" w:rsidRPr="00D90053">
              <w:t>.</w:t>
            </w:r>
            <w:r w:rsidR="005773F5">
              <w:t xml:space="preserve"> </w:t>
            </w:r>
          </w:p>
        </w:tc>
      </w:tr>
      <w:tr w:rsidR="0078495E" w:rsidRPr="00D02A2E" w14:paraId="6664961E" w14:textId="77777777" w:rsidTr="004C7BEF">
        <w:trPr>
          <w:cantSplit/>
        </w:trPr>
        <w:tc>
          <w:tcPr>
            <w:tcW w:w="4761" w:type="dxa"/>
            <w:tcBorders>
              <w:top w:val="single" w:sz="4" w:space="0" w:color="BFBFBF"/>
              <w:bottom w:val="single" w:sz="4" w:space="0" w:color="BFBFBF"/>
            </w:tcBorders>
            <w:shd w:val="clear" w:color="auto" w:fill="auto"/>
            <w:hideMark/>
          </w:tcPr>
          <w:p w14:paraId="4A113E83" w14:textId="77777777" w:rsidR="0078495E" w:rsidRPr="00D02A2E" w:rsidRDefault="0078495E" w:rsidP="004C7BEF">
            <w:pPr>
              <w:pStyle w:val="ARtabletext"/>
            </w:pPr>
            <w:r w:rsidRPr="00D90053">
              <w:t>Needles and syringes provided through the Needle and Syringe program</w:t>
            </w:r>
          </w:p>
        </w:tc>
        <w:tc>
          <w:tcPr>
            <w:tcW w:w="1021" w:type="dxa"/>
            <w:tcBorders>
              <w:top w:val="single" w:sz="4" w:space="0" w:color="BFBFBF"/>
              <w:bottom w:val="single" w:sz="4" w:space="0" w:color="BFBFBF"/>
            </w:tcBorders>
            <w:shd w:val="clear" w:color="auto" w:fill="auto"/>
            <w:hideMark/>
          </w:tcPr>
          <w:p w14:paraId="1297F465" w14:textId="77777777" w:rsidR="0078495E" w:rsidRPr="00D02A2E" w:rsidRDefault="0078495E" w:rsidP="004C7BEF">
            <w:pPr>
              <w:pStyle w:val="ARtabletextcentre"/>
            </w:pPr>
            <w:r w:rsidRPr="00D90053">
              <w:t>number (thousand)</w:t>
            </w:r>
          </w:p>
        </w:tc>
        <w:tc>
          <w:tcPr>
            <w:tcW w:w="1021" w:type="dxa"/>
            <w:tcBorders>
              <w:top w:val="single" w:sz="4" w:space="0" w:color="BFBFBF"/>
              <w:bottom w:val="single" w:sz="4" w:space="0" w:color="BFBFBF"/>
            </w:tcBorders>
            <w:shd w:val="clear" w:color="auto" w:fill="auto"/>
            <w:hideMark/>
          </w:tcPr>
          <w:p w14:paraId="6A878122" w14:textId="77777777" w:rsidR="0078495E" w:rsidRDefault="0078495E" w:rsidP="004C7BEF">
            <w:pPr>
              <w:pStyle w:val="ARtabletextright"/>
            </w:pPr>
            <w:r w:rsidRPr="00D90053">
              <w:t>10,170</w:t>
            </w:r>
          </w:p>
        </w:tc>
        <w:tc>
          <w:tcPr>
            <w:tcW w:w="1021" w:type="dxa"/>
            <w:tcBorders>
              <w:top w:val="single" w:sz="4" w:space="0" w:color="BFBFBF"/>
              <w:bottom w:val="single" w:sz="4" w:space="0" w:color="BFBFBF"/>
            </w:tcBorders>
            <w:shd w:val="clear" w:color="auto" w:fill="auto"/>
            <w:hideMark/>
          </w:tcPr>
          <w:p w14:paraId="6B71E943" w14:textId="77777777" w:rsidR="0078495E" w:rsidRDefault="0078495E" w:rsidP="004C7BEF">
            <w:pPr>
              <w:pStyle w:val="ARtabletextright"/>
            </w:pPr>
            <w:r w:rsidRPr="00D90053">
              <w:t>9,978</w:t>
            </w:r>
          </w:p>
        </w:tc>
        <w:tc>
          <w:tcPr>
            <w:tcW w:w="1021" w:type="dxa"/>
            <w:tcBorders>
              <w:top w:val="single" w:sz="4" w:space="0" w:color="BFBFBF"/>
              <w:bottom w:val="single" w:sz="4" w:space="0" w:color="BFBFBF"/>
            </w:tcBorders>
            <w:shd w:val="clear" w:color="auto" w:fill="auto"/>
          </w:tcPr>
          <w:p w14:paraId="0C0EAF79" w14:textId="77777777" w:rsidR="0078495E" w:rsidRDefault="0078495E" w:rsidP="004C7BEF">
            <w:pPr>
              <w:pStyle w:val="ARtabletextright"/>
            </w:pPr>
            <w:r w:rsidRPr="00D90053">
              <w:t>−1.9%</w:t>
            </w:r>
          </w:p>
        </w:tc>
        <w:tc>
          <w:tcPr>
            <w:tcW w:w="794" w:type="dxa"/>
            <w:tcBorders>
              <w:top w:val="single" w:sz="4" w:space="0" w:color="BFBFBF"/>
              <w:bottom w:val="single" w:sz="4" w:space="0" w:color="BFBFBF"/>
            </w:tcBorders>
            <w:shd w:val="clear" w:color="auto" w:fill="auto"/>
            <w:hideMark/>
          </w:tcPr>
          <w:p w14:paraId="2A6E594D" w14:textId="77777777" w:rsidR="0078495E" w:rsidRPr="00D02A2E" w:rsidRDefault="0078495E" w:rsidP="004C7BEF">
            <w:pPr>
              <w:pStyle w:val="ARtableperformancesymbol"/>
              <w:rPr>
                <w:rFonts w:hint="eastAsia"/>
              </w:rPr>
            </w:pPr>
            <w:r w:rsidRPr="00D90053">
              <w:t></w:t>
            </w:r>
          </w:p>
        </w:tc>
      </w:tr>
      <w:tr w:rsidR="0078495E" w:rsidRPr="00D02A2E" w14:paraId="4BE1C712" w14:textId="77777777" w:rsidTr="004C7BEF">
        <w:trPr>
          <w:cantSplit/>
        </w:trPr>
        <w:tc>
          <w:tcPr>
            <w:tcW w:w="4761" w:type="dxa"/>
            <w:tcBorders>
              <w:top w:val="single" w:sz="4" w:space="0" w:color="BFBFBF"/>
            </w:tcBorders>
            <w:shd w:val="clear" w:color="auto" w:fill="auto"/>
            <w:hideMark/>
          </w:tcPr>
          <w:p w14:paraId="3BDFF11D" w14:textId="77777777" w:rsidR="0078495E" w:rsidRPr="00D02A2E" w:rsidRDefault="0078495E" w:rsidP="004C7BEF">
            <w:pPr>
              <w:pStyle w:val="ARtabletext"/>
            </w:pPr>
            <w:r w:rsidRPr="00D90053">
              <w:t>Number of telephone, email, website contacts and requests for information on alcohol and other drugs</w:t>
            </w:r>
          </w:p>
        </w:tc>
        <w:tc>
          <w:tcPr>
            <w:tcW w:w="1021" w:type="dxa"/>
            <w:tcBorders>
              <w:top w:val="single" w:sz="4" w:space="0" w:color="BFBFBF"/>
            </w:tcBorders>
            <w:shd w:val="clear" w:color="auto" w:fill="auto"/>
            <w:hideMark/>
          </w:tcPr>
          <w:p w14:paraId="1931B4D0" w14:textId="77777777" w:rsidR="0078495E" w:rsidRPr="00D02A2E" w:rsidRDefault="0078495E" w:rsidP="004C7BEF">
            <w:pPr>
              <w:pStyle w:val="ARtabletextcentre"/>
            </w:pPr>
            <w:r w:rsidRPr="00D90053">
              <w:t>number (thousand)</w:t>
            </w:r>
          </w:p>
        </w:tc>
        <w:tc>
          <w:tcPr>
            <w:tcW w:w="1021" w:type="dxa"/>
            <w:tcBorders>
              <w:top w:val="single" w:sz="4" w:space="0" w:color="BFBFBF"/>
            </w:tcBorders>
            <w:shd w:val="clear" w:color="auto" w:fill="auto"/>
            <w:hideMark/>
          </w:tcPr>
          <w:p w14:paraId="22F249C9" w14:textId="77777777" w:rsidR="0078495E" w:rsidRDefault="0078495E" w:rsidP="004C7BEF">
            <w:pPr>
              <w:pStyle w:val="ARtabletextright"/>
            </w:pPr>
            <w:r w:rsidRPr="00D90053">
              <w:t>4,200</w:t>
            </w:r>
          </w:p>
        </w:tc>
        <w:tc>
          <w:tcPr>
            <w:tcW w:w="1021" w:type="dxa"/>
            <w:tcBorders>
              <w:top w:val="single" w:sz="4" w:space="0" w:color="BFBFBF"/>
            </w:tcBorders>
            <w:shd w:val="clear" w:color="auto" w:fill="auto"/>
            <w:hideMark/>
          </w:tcPr>
          <w:p w14:paraId="44055CAA" w14:textId="77777777" w:rsidR="0078495E" w:rsidRDefault="0078495E" w:rsidP="004C7BEF">
            <w:pPr>
              <w:pStyle w:val="ARtabletextright"/>
            </w:pPr>
            <w:r w:rsidRPr="00D90053">
              <w:t>5,840</w:t>
            </w:r>
          </w:p>
        </w:tc>
        <w:tc>
          <w:tcPr>
            <w:tcW w:w="1021" w:type="dxa"/>
            <w:tcBorders>
              <w:top w:val="single" w:sz="4" w:space="0" w:color="BFBFBF"/>
            </w:tcBorders>
            <w:shd w:val="clear" w:color="auto" w:fill="auto"/>
          </w:tcPr>
          <w:p w14:paraId="1CC0CBE3" w14:textId="77777777" w:rsidR="0078495E" w:rsidRDefault="0078495E" w:rsidP="004C7BEF">
            <w:pPr>
              <w:pStyle w:val="ARtabletextright"/>
            </w:pPr>
            <w:r w:rsidRPr="00D90053">
              <w:t>39.0%</w:t>
            </w:r>
          </w:p>
        </w:tc>
        <w:tc>
          <w:tcPr>
            <w:tcW w:w="794" w:type="dxa"/>
            <w:tcBorders>
              <w:top w:val="single" w:sz="4" w:space="0" w:color="BFBFBF"/>
            </w:tcBorders>
            <w:shd w:val="clear" w:color="auto" w:fill="auto"/>
            <w:hideMark/>
          </w:tcPr>
          <w:p w14:paraId="2B5A8D0C" w14:textId="77777777" w:rsidR="0078495E" w:rsidRPr="00D02A2E" w:rsidRDefault="0078495E" w:rsidP="004C7BEF">
            <w:pPr>
              <w:pStyle w:val="ARtableperformancesymbol"/>
              <w:rPr>
                <w:rFonts w:hint="eastAsia"/>
              </w:rPr>
            </w:pPr>
            <w:r w:rsidRPr="00D90053">
              <w:t></w:t>
            </w:r>
          </w:p>
        </w:tc>
      </w:tr>
      <w:tr w:rsidR="0078495E" w:rsidRPr="00D02A2E" w14:paraId="7D71421F" w14:textId="77777777" w:rsidTr="004C7BEF">
        <w:trPr>
          <w:cantSplit/>
        </w:trPr>
        <w:tc>
          <w:tcPr>
            <w:tcW w:w="9639" w:type="dxa"/>
            <w:gridSpan w:val="6"/>
            <w:tcBorders>
              <w:bottom w:val="single" w:sz="4" w:space="0" w:color="BFBFBF"/>
            </w:tcBorders>
            <w:shd w:val="clear" w:color="auto" w:fill="auto"/>
            <w:noWrap/>
            <w:hideMark/>
          </w:tcPr>
          <w:p w14:paraId="2F9EE2D8" w14:textId="1CFC3670" w:rsidR="0078495E" w:rsidRPr="00D02A2E" w:rsidRDefault="0078495E" w:rsidP="004C7BEF">
            <w:pPr>
              <w:pStyle w:val="ARtablenoteindent"/>
            </w:pPr>
            <w:r w:rsidRPr="00D90053">
              <w:t>This is a positive result</w:t>
            </w:r>
            <w:r w:rsidR="00E96834">
              <w:t>,</w:t>
            </w:r>
            <w:r w:rsidRPr="00D90053">
              <w:t xml:space="preserve"> reflecting that people have adapted to seek</w:t>
            </w:r>
            <w:r w:rsidR="00E96834">
              <w:t>ing</w:t>
            </w:r>
            <w:r w:rsidRPr="00D90053">
              <w:t xml:space="preserve"> support outside of face</w:t>
            </w:r>
            <w:r w:rsidR="009B4F48" w:rsidRPr="00D90053">
              <w:t>-</w:t>
            </w:r>
            <w:r w:rsidRPr="00D90053">
              <w:t>to</w:t>
            </w:r>
            <w:r w:rsidR="009B4F48" w:rsidRPr="00D90053">
              <w:t>-</w:t>
            </w:r>
            <w:r w:rsidRPr="00D90053">
              <w:t xml:space="preserve">face methods. </w:t>
            </w:r>
            <w:r w:rsidR="00E96834">
              <w:t>Providing e</w:t>
            </w:r>
            <w:r w:rsidRPr="00D90053">
              <w:t>as</w:t>
            </w:r>
            <w:r w:rsidR="00E96834">
              <w:t>il</w:t>
            </w:r>
            <w:r w:rsidRPr="00D90053">
              <w:t>y accessib</w:t>
            </w:r>
            <w:r w:rsidR="00E96834">
              <w:t>le</w:t>
            </w:r>
            <w:r w:rsidRPr="00D90053">
              <w:t xml:space="preserve"> and availab</w:t>
            </w:r>
            <w:r w:rsidR="00E96834">
              <w:t>le</w:t>
            </w:r>
            <w:r w:rsidRPr="00D90053" w:rsidDel="00E96834">
              <w:t xml:space="preserve"> </w:t>
            </w:r>
            <w:r w:rsidRPr="00D90053">
              <w:t xml:space="preserve">alcohol and drug information is an effective way of </w:t>
            </w:r>
            <w:r w:rsidR="00E96834">
              <w:t xml:space="preserve">giving </w:t>
            </w:r>
            <w:r w:rsidRPr="00D90053">
              <w:t xml:space="preserve">support to those </w:t>
            </w:r>
            <w:r w:rsidR="00E96834">
              <w:t xml:space="preserve">who </w:t>
            </w:r>
            <w:r w:rsidRPr="00D90053">
              <w:t xml:space="preserve">seek </w:t>
            </w:r>
            <w:r w:rsidR="00E96834">
              <w:t>it</w:t>
            </w:r>
            <w:r w:rsidRPr="00D90053">
              <w:t>.</w:t>
            </w:r>
          </w:p>
        </w:tc>
      </w:tr>
      <w:tr w:rsidR="0078495E" w:rsidRPr="00D02A2E" w14:paraId="661A2784" w14:textId="77777777" w:rsidTr="004C7BEF">
        <w:trPr>
          <w:cantSplit/>
        </w:trPr>
        <w:tc>
          <w:tcPr>
            <w:tcW w:w="9639" w:type="dxa"/>
            <w:gridSpan w:val="6"/>
            <w:tcBorders>
              <w:top w:val="single" w:sz="4" w:space="0" w:color="auto"/>
            </w:tcBorders>
            <w:shd w:val="clear" w:color="auto" w:fill="auto"/>
            <w:hideMark/>
          </w:tcPr>
          <w:p w14:paraId="7D028E4D" w14:textId="77777777" w:rsidR="0078495E" w:rsidRPr="00D02A2E" w:rsidRDefault="0078495E" w:rsidP="004C7BEF">
            <w:pPr>
              <w:pStyle w:val="ARtablegreybold"/>
              <w:rPr>
                <w:rFonts w:ascii="Wingdings" w:hAnsi="Wingdings"/>
              </w:rPr>
            </w:pPr>
            <w:r>
              <w:t>Timeliness</w:t>
            </w:r>
          </w:p>
        </w:tc>
      </w:tr>
      <w:tr w:rsidR="0078495E" w:rsidRPr="00D02A2E" w14:paraId="4C97A6B7" w14:textId="77777777" w:rsidTr="004C7BEF">
        <w:trPr>
          <w:cantSplit/>
        </w:trPr>
        <w:tc>
          <w:tcPr>
            <w:tcW w:w="4761" w:type="dxa"/>
            <w:tcBorders>
              <w:bottom w:val="single" w:sz="4" w:space="0" w:color="BFBFBF"/>
            </w:tcBorders>
            <w:shd w:val="clear" w:color="auto" w:fill="auto"/>
            <w:hideMark/>
          </w:tcPr>
          <w:p w14:paraId="146AE36C" w14:textId="77777777" w:rsidR="0078495E" w:rsidRPr="00D02A2E" w:rsidRDefault="0078495E" w:rsidP="004C7BEF">
            <w:pPr>
              <w:pStyle w:val="ARtabletext"/>
            </w:pPr>
            <w:r w:rsidRPr="009D461D">
              <w:t>Pharmacotherapy permits processed within designated timeframe</w:t>
            </w:r>
          </w:p>
        </w:tc>
        <w:tc>
          <w:tcPr>
            <w:tcW w:w="1021" w:type="dxa"/>
            <w:tcBorders>
              <w:bottom w:val="single" w:sz="4" w:space="0" w:color="BFBFBF"/>
            </w:tcBorders>
            <w:shd w:val="clear" w:color="auto" w:fill="auto"/>
            <w:hideMark/>
          </w:tcPr>
          <w:p w14:paraId="63A3725C" w14:textId="77777777" w:rsidR="0078495E" w:rsidRPr="00D02A2E" w:rsidRDefault="0078495E" w:rsidP="004C7BEF">
            <w:pPr>
              <w:pStyle w:val="ARtabletextcentre"/>
            </w:pPr>
            <w:r w:rsidRPr="009D461D">
              <w:t>per cent</w:t>
            </w:r>
          </w:p>
        </w:tc>
        <w:tc>
          <w:tcPr>
            <w:tcW w:w="1021" w:type="dxa"/>
            <w:tcBorders>
              <w:bottom w:val="single" w:sz="4" w:space="0" w:color="BFBFBF"/>
            </w:tcBorders>
            <w:shd w:val="clear" w:color="auto" w:fill="auto"/>
            <w:hideMark/>
          </w:tcPr>
          <w:p w14:paraId="1067223E" w14:textId="77777777" w:rsidR="0078495E" w:rsidRDefault="0078495E" w:rsidP="004C7BEF">
            <w:pPr>
              <w:pStyle w:val="ARtabletextright"/>
            </w:pPr>
            <w:r w:rsidRPr="009D461D">
              <w:t>100</w:t>
            </w:r>
          </w:p>
        </w:tc>
        <w:tc>
          <w:tcPr>
            <w:tcW w:w="1021" w:type="dxa"/>
            <w:tcBorders>
              <w:bottom w:val="single" w:sz="4" w:space="0" w:color="BFBFBF"/>
            </w:tcBorders>
            <w:shd w:val="clear" w:color="auto" w:fill="auto"/>
            <w:hideMark/>
          </w:tcPr>
          <w:p w14:paraId="5F9970CD" w14:textId="77777777" w:rsidR="0078495E" w:rsidRDefault="0078495E" w:rsidP="004C7BEF">
            <w:pPr>
              <w:pStyle w:val="ARtabletextright"/>
            </w:pPr>
            <w:r w:rsidRPr="009D461D">
              <w:t>100</w:t>
            </w:r>
          </w:p>
        </w:tc>
        <w:tc>
          <w:tcPr>
            <w:tcW w:w="1021" w:type="dxa"/>
            <w:tcBorders>
              <w:bottom w:val="single" w:sz="4" w:space="0" w:color="BFBFBF"/>
            </w:tcBorders>
            <w:shd w:val="clear" w:color="auto" w:fill="auto"/>
          </w:tcPr>
          <w:p w14:paraId="1C893EDE" w14:textId="77777777" w:rsidR="0078495E" w:rsidRDefault="0078495E" w:rsidP="004C7BEF">
            <w:pPr>
              <w:pStyle w:val="ARtabletextright"/>
            </w:pPr>
            <w:r w:rsidRPr="009D461D">
              <w:t>0.0%</w:t>
            </w:r>
          </w:p>
        </w:tc>
        <w:tc>
          <w:tcPr>
            <w:tcW w:w="794" w:type="dxa"/>
            <w:tcBorders>
              <w:bottom w:val="single" w:sz="4" w:space="0" w:color="BFBFBF"/>
            </w:tcBorders>
            <w:shd w:val="clear" w:color="auto" w:fill="auto"/>
            <w:hideMark/>
          </w:tcPr>
          <w:p w14:paraId="583D8EAF" w14:textId="77777777" w:rsidR="0078495E" w:rsidRPr="00D02A2E" w:rsidRDefault="0078495E" w:rsidP="004C7BEF">
            <w:pPr>
              <w:pStyle w:val="ARtableperformancesymbol"/>
              <w:rPr>
                <w:rFonts w:hint="eastAsia"/>
              </w:rPr>
            </w:pPr>
            <w:r w:rsidRPr="009D461D">
              <w:t></w:t>
            </w:r>
          </w:p>
        </w:tc>
      </w:tr>
      <w:tr w:rsidR="0078495E" w:rsidRPr="00D02A2E" w14:paraId="17154F3E" w14:textId="77777777" w:rsidTr="004C7BEF">
        <w:trPr>
          <w:cantSplit/>
        </w:trPr>
        <w:tc>
          <w:tcPr>
            <w:tcW w:w="4761" w:type="dxa"/>
            <w:tcBorders>
              <w:top w:val="single" w:sz="4" w:space="0" w:color="BFBFBF"/>
              <w:bottom w:val="single" w:sz="4" w:space="0" w:color="BFBFBF"/>
            </w:tcBorders>
            <w:shd w:val="clear" w:color="auto" w:fill="auto"/>
            <w:hideMark/>
          </w:tcPr>
          <w:p w14:paraId="70E39DD5" w14:textId="77777777" w:rsidR="0078495E" w:rsidRPr="00D02A2E" w:rsidRDefault="0078495E" w:rsidP="004C7BEF">
            <w:pPr>
              <w:pStyle w:val="ARtabletext"/>
            </w:pPr>
            <w:r w:rsidRPr="009D461D">
              <w:t>Percentage of new licences and permits issued to health services or businesses for the manufacture, use or supply of drugs and poisons within six weeks following receipt of full information</w:t>
            </w:r>
          </w:p>
        </w:tc>
        <w:tc>
          <w:tcPr>
            <w:tcW w:w="1021" w:type="dxa"/>
            <w:tcBorders>
              <w:top w:val="single" w:sz="4" w:space="0" w:color="BFBFBF"/>
              <w:bottom w:val="single" w:sz="4" w:space="0" w:color="BFBFBF"/>
            </w:tcBorders>
            <w:shd w:val="clear" w:color="auto" w:fill="auto"/>
            <w:hideMark/>
          </w:tcPr>
          <w:p w14:paraId="672AEF09" w14:textId="77777777" w:rsidR="0078495E" w:rsidRPr="00D02A2E" w:rsidRDefault="0078495E" w:rsidP="004C7BEF">
            <w:pPr>
              <w:pStyle w:val="ARtabletextcentre"/>
            </w:pPr>
            <w:r w:rsidRPr="009D461D">
              <w:t>per cent</w:t>
            </w:r>
          </w:p>
        </w:tc>
        <w:tc>
          <w:tcPr>
            <w:tcW w:w="1021" w:type="dxa"/>
            <w:tcBorders>
              <w:top w:val="single" w:sz="4" w:space="0" w:color="BFBFBF"/>
              <w:bottom w:val="single" w:sz="4" w:space="0" w:color="BFBFBF"/>
            </w:tcBorders>
            <w:shd w:val="clear" w:color="auto" w:fill="auto"/>
            <w:hideMark/>
          </w:tcPr>
          <w:p w14:paraId="75211371" w14:textId="77777777" w:rsidR="0078495E" w:rsidRDefault="0078495E" w:rsidP="004C7BEF">
            <w:pPr>
              <w:pStyle w:val="ARtabletextright"/>
            </w:pPr>
            <w:r w:rsidRPr="009D461D">
              <w:t>100</w:t>
            </w:r>
          </w:p>
        </w:tc>
        <w:tc>
          <w:tcPr>
            <w:tcW w:w="1021" w:type="dxa"/>
            <w:tcBorders>
              <w:top w:val="single" w:sz="4" w:space="0" w:color="BFBFBF"/>
              <w:bottom w:val="single" w:sz="4" w:space="0" w:color="BFBFBF"/>
            </w:tcBorders>
            <w:shd w:val="clear" w:color="auto" w:fill="auto"/>
            <w:hideMark/>
          </w:tcPr>
          <w:p w14:paraId="10F3DAD4" w14:textId="77777777" w:rsidR="0078495E" w:rsidRDefault="0078495E" w:rsidP="004C7BEF">
            <w:pPr>
              <w:pStyle w:val="ARtabletextright"/>
            </w:pPr>
            <w:r w:rsidRPr="009D461D">
              <w:t>100</w:t>
            </w:r>
          </w:p>
        </w:tc>
        <w:tc>
          <w:tcPr>
            <w:tcW w:w="1021" w:type="dxa"/>
            <w:tcBorders>
              <w:top w:val="single" w:sz="4" w:space="0" w:color="BFBFBF"/>
              <w:bottom w:val="single" w:sz="4" w:space="0" w:color="BFBFBF"/>
            </w:tcBorders>
            <w:shd w:val="clear" w:color="auto" w:fill="auto"/>
          </w:tcPr>
          <w:p w14:paraId="761EA565" w14:textId="77777777" w:rsidR="0078495E" w:rsidRDefault="0078495E" w:rsidP="004C7BEF">
            <w:pPr>
              <w:pStyle w:val="ARtabletextright"/>
            </w:pPr>
            <w:r w:rsidRPr="009D461D">
              <w:t>0.0%</w:t>
            </w:r>
          </w:p>
        </w:tc>
        <w:tc>
          <w:tcPr>
            <w:tcW w:w="794" w:type="dxa"/>
            <w:tcBorders>
              <w:top w:val="single" w:sz="4" w:space="0" w:color="BFBFBF"/>
              <w:bottom w:val="single" w:sz="4" w:space="0" w:color="BFBFBF"/>
            </w:tcBorders>
            <w:shd w:val="clear" w:color="auto" w:fill="auto"/>
            <w:hideMark/>
          </w:tcPr>
          <w:p w14:paraId="10BBFE3E" w14:textId="77777777" w:rsidR="0078495E" w:rsidRPr="00D02A2E" w:rsidRDefault="0078495E" w:rsidP="004C7BEF">
            <w:pPr>
              <w:pStyle w:val="ARtableperformancesymbol"/>
              <w:rPr>
                <w:rFonts w:hint="eastAsia"/>
              </w:rPr>
            </w:pPr>
            <w:r w:rsidRPr="009D461D">
              <w:t></w:t>
            </w:r>
          </w:p>
        </w:tc>
      </w:tr>
      <w:tr w:rsidR="0078495E" w:rsidRPr="00D02A2E" w14:paraId="084B104F" w14:textId="77777777" w:rsidTr="004C7BEF">
        <w:trPr>
          <w:cantSplit/>
        </w:trPr>
        <w:tc>
          <w:tcPr>
            <w:tcW w:w="4761" w:type="dxa"/>
            <w:tcBorders>
              <w:top w:val="single" w:sz="4" w:space="0" w:color="BFBFBF"/>
            </w:tcBorders>
            <w:shd w:val="clear" w:color="auto" w:fill="auto"/>
            <w:hideMark/>
          </w:tcPr>
          <w:p w14:paraId="278DB246" w14:textId="77777777" w:rsidR="0078495E" w:rsidRPr="00D02A2E" w:rsidRDefault="0078495E" w:rsidP="006209FA">
            <w:pPr>
              <w:pStyle w:val="ARtabletext"/>
              <w:keepNext/>
            </w:pPr>
            <w:r w:rsidRPr="009D461D">
              <w:t>Percentage of treatment permits for medical practitioners or nurse practitioners to prescribe Schedule 8 drugs assessed within four weeks</w:t>
            </w:r>
          </w:p>
        </w:tc>
        <w:tc>
          <w:tcPr>
            <w:tcW w:w="1021" w:type="dxa"/>
            <w:tcBorders>
              <w:top w:val="single" w:sz="4" w:space="0" w:color="BFBFBF"/>
            </w:tcBorders>
            <w:shd w:val="clear" w:color="auto" w:fill="auto"/>
            <w:hideMark/>
          </w:tcPr>
          <w:p w14:paraId="01FCFC7A" w14:textId="77777777" w:rsidR="0078495E" w:rsidRPr="00D02A2E" w:rsidRDefault="0078495E" w:rsidP="004C7BEF">
            <w:pPr>
              <w:pStyle w:val="ARtabletextcentre"/>
            </w:pPr>
            <w:r w:rsidRPr="009D461D">
              <w:t>per cent</w:t>
            </w:r>
          </w:p>
        </w:tc>
        <w:tc>
          <w:tcPr>
            <w:tcW w:w="1021" w:type="dxa"/>
            <w:tcBorders>
              <w:top w:val="single" w:sz="4" w:space="0" w:color="BFBFBF"/>
            </w:tcBorders>
            <w:shd w:val="clear" w:color="auto" w:fill="auto"/>
            <w:hideMark/>
          </w:tcPr>
          <w:p w14:paraId="616E8E03" w14:textId="77777777" w:rsidR="0078495E" w:rsidRDefault="0078495E" w:rsidP="004C7BEF">
            <w:pPr>
              <w:pStyle w:val="ARtabletextright"/>
            </w:pPr>
            <w:r w:rsidRPr="009D461D">
              <w:t>80</w:t>
            </w:r>
          </w:p>
        </w:tc>
        <w:tc>
          <w:tcPr>
            <w:tcW w:w="1021" w:type="dxa"/>
            <w:tcBorders>
              <w:top w:val="single" w:sz="4" w:space="0" w:color="BFBFBF"/>
            </w:tcBorders>
            <w:shd w:val="clear" w:color="auto" w:fill="auto"/>
            <w:hideMark/>
          </w:tcPr>
          <w:p w14:paraId="694B040C" w14:textId="77777777" w:rsidR="0078495E" w:rsidRDefault="0078495E" w:rsidP="004C7BEF">
            <w:pPr>
              <w:pStyle w:val="ARtabletextright"/>
            </w:pPr>
            <w:r w:rsidRPr="009D461D">
              <w:t>100</w:t>
            </w:r>
          </w:p>
        </w:tc>
        <w:tc>
          <w:tcPr>
            <w:tcW w:w="1021" w:type="dxa"/>
            <w:tcBorders>
              <w:top w:val="single" w:sz="4" w:space="0" w:color="BFBFBF"/>
            </w:tcBorders>
            <w:shd w:val="clear" w:color="auto" w:fill="auto"/>
          </w:tcPr>
          <w:p w14:paraId="7DE733F8" w14:textId="77777777" w:rsidR="0078495E" w:rsidRDefault="0078495E" w:rsidP="004C7BEF">
            <w:pPr>
              <w:pStyle w:val="ARtabletextright"/>
            </w:pPr>
            <w:r w:rsidRPr="009D461D">
              <w:t>25.0%</w:t>
            </w:r>
          </w:p>
        </w:tc>
        <w:tc>
          <w:tcPr>
            <w:tcW w:w="794" w:type="dxa"/>
            <w:tcBorders>
              <w:top w:val="single" w:sz="4" w:space="0" w:color="BFBFBF"/>
            </w:tcBorders>
            <w:shd w:val="clear" w:color="auto" w:fill="auto"/>
            <w:hideMark/>
          </w:tcPr>
          <w:p w14:paraId="29C1BBB6" w14:textId="77777777" w:rsidR="0078495E" w:rsidRPr="00D02A2E" w:rsidRDefault="0078495E" w:rsidP="004C7BEF">
            <w:pPr>
              <w:pStyle w:val="ARtableperformancesymbol"/>
              <w:rPr>
                <w:rFonts w:hint="eastAsia"/>
              </w:rPr>
            </w:pPr>
            <w:r w:rsidRPr="009D461D">
              <w:t></w:t>
            </w:r>
          </w:p>
        </w:tc>
      </w:tr>
      <w:tr w:rsidR="0078495E" w:rsidRPr="00D02A2E" w14:paraId="758C9E44" w14:textId="77777777" w:rsidTr="00D626AE">
        <w:trPr>
          <w:cantSplit/>
        </w:trPr>
        <w:tc>
          <w:tcPr>
            <w:tcW w:w="9639" w:type="dxa"/>
            <w:gridSpan w:val="6"/>
            <w:tcBorders>
              <w:bottom w:val="single" w:sz="4" w:space="0" w:color="000000"/>
            </w:tcBorders>
            <w:shd w:val="clear" w:color="auto" w:fill="auto"/>
            <w:noWrap/>
            <w:hideMark/>
          </w:tcPr>
          <w:p w14:paraId="42BD5C59" w14:textId="343C74ED" w:rsidR="0078495E" w:rsidRPr="00D02A2E" w:rsidRDefault="00BE5FC9" w:rsidP="004C7BEF">
            <w:pPr>
              <w:pStyle w:val="ARtablenoteindent"/>
            </w:pPr>
            <w:r>
              <w:t>The a</w:t>
            </w:r>
            <w:r w:rsidR="0078495E" w:rsidRPr="009D461D">
              <w:t>ctual result exceed</w:t>
            </w:r>
            <w:r>
              <w:t>s the</w:t>
            </w:r>
            <w:r w:rsidR="0078495E" w:rsidRPr="009D461D">
              <w:t xml:space="preserve"> target as the more junior staff had consolidated their skills and knowledge through training </w:t>
            </w:r>
            <w:r w:rsidR="00A12527">
              <w:t>and were able to</w:t>
            </w:r>
            <w:r w:rsidR="00A12527" w:rsidRPr="009D461D">
              <w:t xml:space="preserve"> </w:t>
            </w:r>
            <w:r w:rsidR="0078495E" w:rsidRPr="009D461D">
              <w:t>take on more complex applications.</w:t>
            </w:r>
            <w:r w:rsidR="00A12527">
              <w:t xml:space="preserve"> In addition, the number of</w:t>
            </w:r>
            <w:r w:rsidR="0078495E" w:rsidRPr="009D461D">
              <w:t xml:space="preserve"> </w:t>
            </w:r>
            <w:r w:rsidR="00A12527">
              <w:t xml:space="preserve">voluntary assisted dying </w:t>
            </w:r>
            <w:r w:rsidR="0078495E" w:rsidRPr="009D461D">
              <w:t xml:space="preserve">permit applications </w:t>
            </w:r>
            <w:r w:rsidR="00A12527">
              <w:t>was</w:t>
            </w:r>
            <w:r w:rsidR="00A12527" w:rsidRPr="009D461D">
              <w:t xml:space="preserve"> </w:t>
            </w:r>
            <w:r w:rsidR="0078495E" w:rsidRPr="009D461D">
              <w:t xml:space="preserve">lower than usual compared to previous </w:t>
            </w:r>
            <w:r w:rsidR="00A12527">
              <w:t>years</w:t>
            </w:r>
            <w:r w:rsidR="0078495E" w:rsidRPr="009D461D">
              <w:t xml:space="preserve">, which freed up some </w:t>
            </w:r>
            <w:r>
              <w:t xml:space="preserve">of the </w:t>
            </w:r>
            <w:r w:rsidR="0078495E" w:rsidRPr="009D461D">
              <w:t>senior officers to help process and assess Schedule 8 permit applications.</w:t>
            </w:r>
          </w:p>
        </w:tc>
      </w:tr>
      <w:tr w:rsidR="0078495E" w:rsidRPr="00D02A2E" w14:paraId="610F3C5C" w14:textId="77777777" w:rsidTr="00D626AE">
        <w:trPr>
          <w:cantSplit/>
        </w:trPr>
        <w:tc>
          <w:tcPr>
            <w:tcW w:w="9639" w:type="dxa"/>
            <w:gridSpan w:val="6"/>
            <w:tcBorders>
              <w:top w:val="single" w:sz="4" w:space="0" w:color="000000"/>
            </w:tcBorders>
            <w:shd w:val="clear" w:color="auto" w:fill="auto"/>
            <w:hideMark/>
          </w:tcPr>
          <w:p w14:paraId="2EA09209" w14:textId="77777777" w:rsidR="0078495E" w:rsidRPr="00D02A2E" w:rsidRDefault="0078495E" w:rsidP="004C7BEF">
            <w:pPr>
              <w:pStyle w:val="ARtablegreybold"/>
              <w:rPr>
                <w:rFonts w:ascii="Wingdings" w:hAnsi="Wingdings"/>
              </w:rPr>
            </w:pPr>
            <w:r w:rsidRPr="00F41388">
              <w:t>Cost</w:t>
            </w:r>
          </w:p>
        </w:tc>
      </w:tr>
      <w:tr w:rsidR="0078495E" w:rsidRPr="00FA2F07" w14:paraId="1F6F1379" w14:textId="77777777" w:rsidTr="004C7BEF">
        <w:trPr>
          <w:cantSplit/>
        </w:trPr>
        <w:tc>
          <w:tcPr>
            <w:tcW w:w="4761" w:type="dxa"/>
            <w:shd w:val="clear" w:color="auto" w:fill="auto"/>
            <w:hideMark/>
          </w:tcPr>
          <w:p w14:paraId="208B6E24" w14:textId="77777777" w:rsidR="0078495E" w:rsidRPr="00FA2F07" w:rsidRDefault="0078495E" w:rsidP="004C7BEF">
            <w:pPr>
              <w:pStyle w:val="ARtabletext"/>
              <w:rPr>
                <w:b/>
                <w:bCs/>
              </w:rPr>
            </w:pPr>
            <w:r w:rsidRPr="00FA2F07">
              <w:rPr>
                <w:b/>
                <w:bCs/>
              </w:rPr>
              <w:t>Total Output Cost</w:t>
            </w:r>
          </w:p>
        </w:tc>
        <w:tc>
          <w:tcPr>
            <w:tcW w:w="1021" w:type="dxa"/>
            <w:shd w:val="clear" w:color="auto" w:fill="auto"/>
            <w:hideMark/>
          </w:tcPr>
          <w:p w14:paraId="200D10F4" w14:textId="77777777" w:rsidR="0078495E" w:rsidRPr="00FA2F07" w:rsidRDefault="0078495E" w:rsidP="004C7BEF">
            <w:pPr>
              <w:pStyle w:val="ARtabletextcentre"/>
              <w:rPr>
                <w:b/>
                <w:bCs/>
              </w:rPr>
            </w:pPr>
            <w:r w:rsidRPr="00FA2F07">
              <w:rPr>
                <w:b/>
                <w:bCs/>
              </w:rPr>
              <w:t>$ million</w:t>
            </w:r>
          </w:p>
        </w:tc>
        <w:tc>
          <w:tcPr>
            <w:tcW w:w="1021" w:type="dxa"/>
            <w:shd w:val="clear" w:color="auto" w:fill="auto"/>
            <w:hideMark/>
          </w:tcPr>
          <w:p w14:paraId="30502B1F" w14:textId="77777777" w:rsidR="0078495E" w:rsidRPr="00FA2F07" w:rsidRDefault="0078495E" w:rsidP="004C7BEF">
            <w:pPr>
              <w:pStyle w:val="ARtabletextright"/>
              <w:rPr>
                <w:b/>
                <w:bCs/>
              </w:rPr>
            </w:pPr>
            <w:r w:rsidRPr="00FA2F07">
              <w:rPr>
                <w:b/>
                <w:bCs/>
              </w:rPr>
              <w:t>44.8</w:t>
            </w:r>
          </w:p>
        </w:tc>
        <w:tc>
          <w:tcPr>
            <w:tcW w:w="1021" w:type="dxa"/>
            <w:shd w:val="clear" w:color="auto" w:fill="auto"/>
            <w:hideMark/>
          </w:tcPr>
          <w:p w14:paraId="0E930CDF" w14:textId="77777777" w:rsidR="0078495E" w:rsidRPr="00FA2F07" w:rsidRDefault="0078495E" w:rsidP="004C7BEF">
            <w:pPr>
              <w:pStyle w:val="ARtabletextright"/>
              <w:rPr>
                <w:b/>
                <w:bCs/>
              </w:rPr>
            </w:pPr>
            <w:r w:rsidRPr="00FA2F07">
              <w:rPr>
                <w:b/>
                <w:bCs/>
              </w:rPr>
              <w:t>33.5</w:t>
            </w:r>
          </w:p>
        </w:tc>
        <w:tc>
          <w:tcPr>
            <w:tcW w:w="1021" w:type="dxa"/>
            <w:shd w:val="clear" w:color="auto" w:fill="auto"/>
          </w:tcPr>
          <w:p w14:paraId="3A617ADD" w14:textId="77777777" w:rsidR="0078495E" w:rsidRPr="00FA2F07" w:rsidRDefault="0078495E" w:rsidP="004C7BEF">
            <w:pPr>
              <w:pStyle w:val="ARtabletextright"/>
              <w:rPr>
                <w:b/>
                <w:bCs/>
              </w:rPr>
            </w:pPr>
            <w:r w:rsidRPr="00FA2F07">
              <w:rPr>
                <w:b/>
                <w:bCs/>
              </w:rPr>
              <w:t>−25.2%</w:t>
            </w:r>
          </w:p>
        </w:tc>
        <w:tc>
          <w:tcPr>
            <w:tcW w:w="794" w:type="dxa"/>
            <w:shd w:val="clear" w:color="auto" w:fill="auto"/>
            <w:hideMark/>
          </w:tcPr>
          <w:p w14:paraId="48B33E6F" w14:textId="77777777" w:rsidR="0078495E" w:rsidRPr="00FA2F07" w:rsidRDefault="0078495E" w:rsidP="004C7BEF">
            <w:pPr>
              <w:pStyle w:val="ARtabletextright"/>
              <w:rPr>
                <w:b/>
                <w:bCs/>
              </w:rPr>
            </w:pPr>
          </w:p>
        </w:tc>
      </w:tr>
      <w:tr w:rsidR="0078495E" w:rsidRPr="00D02A2E" w14:paraId="6975CE97" w14:textId="77777777" w:rsidTr="004C7BEF">
        <w:trPr>
          <w:cantSplit/>
        </w:trPr>
        <w:tc>
          <w:tcPr>
            <w:tcW w:w="9639" w:type="dxa"/>
            <w:gridSpan w:val="6"/>
            <w:tcBorders>
              <w:bottom w:val="single" w:sz="4" w:space="0" w:color="auto"/>
            </w:tcBorders>
            <w:shd w:val="clear" w:color="auto" w:fill="auto"/>
            <w:noWrap/>
            <w:hideMark/>
          </w:tcPr>
          <w:p w14:paraId="034AD90F" w14:textId="1D32F56C" w:rsidR="0078495E" w:rsidRPr="00D02A2E" w:rsidRDefault="0078495E" w:rsidP="004C7BEF">
            <w:pPr>
              <w:pStyle w:val="ARtablenoteindent"/>
            </w:pPr>
            <w:r w:rsidRPr="00F11FC0">
              <w:t xml:space="preserve">The 2021–22 actual outcome primarily reflects lower than budgeted expenditure </w:t>
            </w:r>
            <w:r w:rsidRPr="00BE5FC9">
              <w:t>on government policy initiatives due</w:t>
            </w:r>
            <w:r w:rsidRPr="00F11FC0">
              <w:t xml:space="preserve"> to delays caused by the COVID-19 response.</w:t>
            </w:r>
          </w:p>
        </w:tc>
      </w:tr>
    </w:tbl>
    <w:p w14:paraId="20BE2BC5" w14:textId="77777777" w:rsidR="001C60F2" w:rsidRPr="001C60F2" w:rsidRDefault="001C60F2" w:rsidP="001C60F2">
      <w:pPr>
        <w:pStyle w:val="ARbody"/>
      </w:pPr>
      <w:r w:rsidRPr="001C60F2">
        <w:br w:type="page"/>
      </w:r>
    </w:p>
    <w:p w14:paraId="76FCA592" w14:textId="70E51E09" w:rsidR="0078495E" w:rsidRDefault="0078495E" w:rsidP="00306875">
      <w:pPr>
        <w:pStyle w:val="Heading4"/>
        <w:spacing w:before="400"/>
      </w:pPr>
      <w:r>
        <w:t>Drug Treatment and Rehabilitation</w:t>
      </w:r>
    </w:p>
    <w:p w14:paraId="4F5F1FEE" w14:textId="14FA44D9" w:rsidR="0078495E" w:rsidRDefault="00024252" w:rsidP="0078495E">
      <w:pPr>
        <w:pStyle w:val="ARbody"/>
      </w:pPr>
      <w:r w:rsidRPr="00024252">
        <w:t>This output includes assisting the community and individuals to control and reduce the harmful effects of illicit and licit drugs, including alcohol, in Victoria.</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2B180A82" w14:textId="77777777" w:rsidTr="004C7BEF">
        <w:trPr>
          <w:cantSplit/>
          <w:tblHeader/>
        </w:trPr>
        <w:tc>
          <w:tcPr>
            <w:tcW w:w="4761" w:type="dxa"/>
            <w:tcBorders>
              <w:bottom w:val="single" w:sz="4" w:space="0" w:color="auto"/>
            </w:tcBorders>
            <w:shd w:val="clear" w:color="auto" w:fill="auto"/>
            <w:vAlign w:val="bottom"/>
            <w:hideMark/>
          </w:tcPr>
          <w:p w14:paraId="5568BE76"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2E5F886A"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2201124B"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1E277B2C"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6BAD1C1A"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6B1BF878" w14:textId="77777777" w:rsidR="0078495E" w:rsidRPr="00F72126" w:rsidRDefault="0078495E" w:rsidP="004C7BEF">
            <w:pPr>
              <w:pStyle w:val="ARtablecolheadright"/>
            </w:pPr>
            <w:r w:rsidRPr="00F72126">
              <w:t>Result</w:t>
            </w:r>
          </w:p>
        </w:tc>
      </w:tr>
      <w:tr w:rsidR="0078495E" w:rsidRPr="00D02A2E" w14:paraId="49754979" w14:textId="77777777" w:rsidTr="00D626AE">
        <w:trPr>
          <w:cantSplit/>
        </w:trPr>
        <w:tc>
          <w:tcPr>
            <w:tcW w:w="9639" w:type="dxa"/>
            <w:gridSpan w:val="6"/>
            <w:tcBorders>
              <w:top w:val="single" w:sz="4" w:space="0" w:color="auto"/>
            </w:tcBorders>
            <w:shd w:val="clear" w:color="auto" w:fill="auto"/>
            <w:hideMark/>
          </w:tcPr>
          <w:p w14:paraId="5457DAE4" w14:textId="77777777" w:rsidR="0078495E" w:rsidRPr="00D02A2E" w:rsidRDefault="0078495E" w:rsidP="004C7BEF">
            <w:pPr>
              <w:pStyle w:val="ARtablegreybold"/>
              <w:rPr>
                <w:rFonts w:ascii="Wingdings" w:hAnsi="Wingdings"/>
              </w:rPr>
            </w:pPr>
            <w:r w:rsidRPr="007A45E9">
              <w:t>Quantity</w:t>
            </w:r>
          </w:p>
        </w:tc>
      </w:tr>
      <w:tr w:rsidR="0078495E" w:rsidRPr="00D02A2E" w14:paraId="5D4DDA01" w14:textId="77777777" w:rsidTr="00D626AE">
        <w:trPr>
          <w:cantSplit/>
        </w:trPr>
        <w:tc>
          <w:tcPr>
            <w:tcW w:w="4761" w:type="dxa"/>
            <w:shd w:val="clear" w:color="auto" w:fill="auto"/>
            <w:hideMark/>
          </w:tcPr>
          <w:p w14:paraId="33908F55" w14:textId="006C9BFF" w:rsidR="0078495E" w:rsidRPr="00D02A2E" w:rsidRDefault="0078495E" w:rsidP="004C7BEF">
            <w:pPr>
              <w:pStyle w:val="ARtabletext"/>
            </w:pPr>
            <w:r w:rsidRPr="00DB0B0C">
              <w:t>Clients on the Pharmacotherapy program</w:t>
            </w:r>
          </w:p>
        </w:tc>
        <w:tc>
          <w:tcPr>
            <w:tcW w:w="1021" w:type="dxa"/>
            <w:shd w:val="clear" w:color="auto" w:fill="auto"/>
            <w:hideMark/>
          </w:tcPr>
          <w:p w14:paraId="4BD78AB1" w14:textId="77777777" w:rsidR="0078495E" w:rsidRPr="00D02A2E" w:rsidRDefault="0078495E" w:rsidP="004C7BEF">
            <w:pPr>
              <w:pStyle w:val="ARtabletextcentre"/>
            </w:pPr>
            <w:r w:rsidRPr="00DB0B0C">
              <w:t>number</w:t>
            </w:r>
          </w:p>
        </w:tc>
        <w:tc>
          <w:tcPr>
            <w:tcW w:w="1021" w:type="dxa"/>
            <w:shd w:val="clear" w:color="auto" w:fill="auto"/>
            <w:hideMark/>
          </w:tcPr>
          <w:p w14:paraId="26F087D6" w14:textId="77777777" w:rsidR="0078495E" w:rsidRDefault="0078495E" w:rsidP="004C7BEF">
            <w:pPr>
              <w:pStyle w:val="ARtabletextright"/>
            </w:pPr>
            <w:r w:rsidRPr="00DB0B0C">
              <w:t>14,000</w:t>
            </w:r>
          </w:p>
        </w:tc>
        <w:tc>
          <w:tcPr>
            <w:tcW w:w="1021" w:type="dxa"/>
            <w:shd w:val="clear" w:color="auto" w:fill="auto"/>
            <w:hideMark/>
          </w:tcPr>
          <w:p w14:paraId="7497E6EB" w14:textId="77777777" w:rsidR="0078495E" w:rsidRDefault="0078495E" w:rsidP="004C7BEF">
            <w:pPr>
              <w:pStyle w:val="ARtabletextright"/>
            </w:pPr>
            <w:r w:rsidRPr="00DB0B0C">
              <w:t>14,804</w:t>
            </w:r>
          </w:p>
        </w:tc>
        <w:tc>
          <w:tcPr>
            <w:tcW w:w="1021" w:type="dxa"/>
            <w:shd w:val="clear" w:color="auto" w:fill="auto"/>
          </w:tcPr>
          <w:p w14:paraId="0282BED5" w14:textId="77777777" w:rsidR="0078495E" w:rsidRDefault="0078495E" w:rsidP="004C7BEF">
            <w:pPr>
              <w:pStyle w:val="ARtabletextright"/>
            </w:pPr>
            <w:r w:rsidRPr="00DB0B0C">
              <w:t>5.7%</w:t>
            </w:r>
          </w:p>
        </w:tc>
        <w:tc>
          <w:tcPr>
            <w:tcW w:w="794" w:type="dxa"/>
            <w:shd w:val="clear" w:color="auto" w:fill="auto"/>
            <w:hideMark/>
          </w:tcPr>
          <w:p w14:paraId="6CDFB5C9" w14:textId="77777777" w:rsidR="0078495E" w:rsidRPr="00D02A2E" w:rsidRDefault="0078495E" w:rsidP="004C7BEF">
            <w:pPr>
              <w:pStyle w:val="ARtableperformancesymbol"/>
              <w:rPr>
                <w:rFonts w:hint="eastAsia"/>
              </w:rPr>
            </w:pPr>
            <w:r w:rsidRPr="00DB0B0C">
              <w:t></w:t>
            </w:r>
          </w:p>
        </w:tc>
      </w:tr>
      <w:tr w:rsidR="0084368B" w:rsidRPr="00D02A2E" w14:paraId="0FFAF324" w14:textId="77777777" w:rsidTr="00D626AE">
        <w:trPr>
          <w:cantSplit/>
        </w:trPr>
        <w:tc>
          <w:tcPr>
            <w:tcW w:w="9639" w:type="dxa"/>
            <w:gridSpan w:val="6"/>
            <w:tcBorders>
              <w:bottom w:val="single" w:sz="4" w:space="0" w:color="BFBFBF"/>
            </w:tcBorders>
            <w:shd w:val="clear" w:color="auto" w:fill="auto"/>
          </w:tcPr>
          <w:p w14:paraId="4537FD3D" w14:textId="25DA9650" w:rsidR="0084368B" w:rsidRPr="00DB0B0C" w:rsidRDefault="00B14246" w:rsidP="0084368B">
            <w:pPr>
              <w:pStyle w:val="ARtablenoteindent"/>
            </w:pPr>
            <w:r w:rsidRPr="00B14246">
              <w:t>This result is an estimate as the source dataset is yet to be finalised.</w:t>
            </w:r>
          </w:p>
        </w:tc>
      </w:tr>
      <w:tr w:rsidR="0078495E" w:rsidRPr="00D02A2E" w14:paraId="0FBDC7BB" w14:textId="77777777" w:rsidTr="004C7BEF">
        <w:trPr>
          <w:cantSplit/>
        </w:trPr>
        <w:tc>
          <w:tcPr>
            <w:tcW w:w="4761" w:type="dxa"/>
            <w:tcBorders>
              <w:top w:val="single" w:sz="4" w:space="0" w:color="BFBFBF"/>
            </w:tcBorders>
            <w:shd w:val="clear" w:color="auto" w:fill="auto"/>
            <w:hideMark/>
          </w:tcPr>
          <w:p w14:paraId="0EB13E0B" w14:textId="77777777" w:rsidR="0078495E" w:rsidRPr="00D02A2E" w:rsidRDefault="0078495E" w:rsidP="004C7BEF">
            <w:pPr>
              <w:pStyle w:val="ARtabletext"/>
            </w:pPr>
            <w:r w:rsidRPr="00DB0B0C">
              <w:t>Commenced courses of treatment – community-based drug treatment services</w:t>
            </w:r>
          </w:p>
        </w:tc>
        <w:tc>
          <w:tcPr>
            <w:tcW w:w="1021" w:type="dxa"/>
            <w:tcBorders>
              <w:top w:val="single" w:sz="4" w:space="0" w:color="BFBFBF"/>
            </w:tcBorders>
            <w:shd w:val="clear" w:color="auto" w:fill="auto"/>
            <w:hideMark/>
          </w:tcPr>
          <w:p w14:paraId="40A5F221" w14:textId="77777777" w:rsidR="0078495E" w:rsidRPr="00D02A2E" w:rsidRDefault="0078495E" w:rsidP="004C7BEF">
            <w:pPr>
              <w:pStyle w:val="ARtabletextcentre"/>
            </w:pPr>
            <w:r w:rsidRPr="00DB0B0C">
              <w:t>number</w:t>
            </w:r>
          </w:p>
        </w:tc>
        <w:tc>
          <w:tcPr>
            <w:tcW w:w="1021" w:type="dxa"/>
            <w:tcBorders>
              <w:top w:val="single" w:sz="4" w:space="0" w:color="BFBFBF"/>
            </w:tcBorders>
            <w:shd w:val="clear" w:color="auto" w:fill="auto"/>
            <w:hideMark/>
          </w:tcPr>
          <w:p w14:paraId="3946B66D" w14:textId="77777777" w:rsidR="0078495E" w:rsidRDefault="0078495E" w:rsidP="004C7BEF">
            <w:pPr>
              <w:pStyle w:val="ARtabletextright"/>
            </w:pPr>
            <w:r w:rsidRPr="00DB0B0C">
              <w:t>10,189</w:t>
            </w:r>
          </w:p>
        </w:tc>
        <w:tc>
          <w:tcPr>
            <w:tcW w:w="1021" w:type="dxa"/>
            <w:tcBorders>
              <w:top w:val="single" w:sz="4" w:space="0" w:color="BFBFBF"/>
            </w:tcBorders>
            <w:shd w:val="clear" w:color="auto" w:fill="auto"/>
            <w:hideMark/>
          </w:tcPr>
          <w:p w14:paraId="68D156A7" w14:textId="77777777" w:rsidR="0078495E" w:rsidRDefault="0078495E" w:rsidP="004C7BEF">
            <w:pPr>
              <w:pStyle w:val="ARtabletextright"/>
            </w:pPr>
            <w:r w:rsidRPr="00DB0B0C">
              <w:t>11,863</w:t>
            </w:r>
          </w:p>
        </w:tc>
        <w:tc>
          <w:tcPr>
            <w:tcW w:w="1021" w:type="dxa"/>
            <w:tcBorders>
              <w:top w:val="single" w:sz="4" w:space="0" w:color="BFBFBF"/>
            </w:tcBorders>
            <w:shd w:val="clear" w:color="auto" w:fill="auto"/>
          </w:tcPr>
          <w:p w14:paraId="41F62374" w14:textId="77777777" w:rsidR="0078495E" w:rsidRDefault="0078495E" w:rsidP="004C7BEF">
            <w:pPr>
              <w:pStyle w:val="ARtabletextright"/>
            </w:pPr>
            <w:r w:rsidRPr="00DB0B0C">
              <w:t>16.4%</w:t>
            </w:r>
          </w:p>
        </w:tc>
        <w:tc>
          <w:tcPr>
            <w:tcW w:w="794" w:type="dxa"/>
            <w:tcBorders>
              <w:top w:val="single" w:sz="4" w:space="0" w:color="BFBFBF"/>
            </w:tcBorders>
            <w:shd w:val="clear" w:color="auto" w:fill="auto"/>
            <w:hideMark/>
          </w:tcPr>
          <w:p w14:paraId="1ABAEA5E" w14:textId="77777777" w:rsidR="0078495E" w:rsidRPr="00D02A2E" w:rsidRDefault="0078495E" w:rsidP="004C7BEF">
            <w:pPr>
              <w:pStyle w:val="ARtableperformancesymbol"/>
              <w:rPr>
                <w:rFonts w:hint="eastAsia"/>
              </w:rPr>
            </w:pPr>
            <w:r w:rsidRPr="00DB0B0C">
              <w:t></w:t>
            </w:r>
          </w:p>
        </w:tc>
      </w:tr>
      <w:tr w:rsidR="0078495E" w:rsidRPr="00D02A2E" w14:paraId="77410B2E" w14:textId="77777777" w:rsidTr="004C7BEF">
        <w:trPr>
          <w:cantSplit/>
        </w:trPr>
        <w:tc>
          <w:tcPr>
            <w:tcW w:w="9639" w:type="dxa"/>
            <w:gridSpan w:val="6"/>
            <w:tcBorders>
              <w:bottom w:val="single" w:sz="4" w:space="0" w:color="BFBFBF"/>
            </w:tcBorders>
            <w:shd w:val="clear" w:color="auto" w:fill="auto"/>
            <w:noWrap/>
            <w:hideMark/>
          </w:tcPr>
          <w:p w14:paraId="7EA41185" w14:textId="2A2B9356" w:rsidR="0078495E" w:rsidRPr="00D02A2E" w:rsidRDefault="0078495E" w:rsidP="004C7BEF">
            <w:pPr>
              <w:pStyle w:val="ARtablenoteindent"/>
            </w:pPr>
            <w:r w:rsidRPr="00DB0B0C">
              <w:t xml:space="preserve">This is a positive result reflective of the continued demand for services as the capacity of services </w:t>
            </w:r>
            <w:r w:rsidR="008C2861">
              <w:t xml:space="preserve">returns to normal </w:t>
            </w:r>
            <w:r w:rsidRPr="00DB0B0C">
              <w:t>and in-person attendance ha</w:t>
            </w:r>
            <w:r w:rsidR="00B317AC">
              <w:t>ve</w:t>
            </w:r>
            <w:r w:rsidRPr="00DB0B0C">
              <w:t xml:space="preserve"> resumed, following the easing of public health orders and COVID-19 restrictions in Victoria. </w:t>
            </w:r>
            <w:r w:rsidR="008C2861">
              <w:t>T</w:t>
            </w:r>
            <w:r w:rsidRPr="00DB0B0C">
              <w:t>elephone and online supports</w:t>
            </w:r>
            <w:r w:rsidR="008C2861">
              <w:t xml:space="preserve"> continued throughout the year</w:t>
            </w:r>
            <w:r w:rsidRPr="00DB0B0C">
              <w:t xml:space="preserve">. </w:t>
            </w:r>
            <w:r w:rsidR="00B317AC">
              <w:t>The number of course</w:t>
            </w:r>
            <w:r w:rsidR="000534FE">
              <w:t>s</w:t>
            </w:r>
            <w:r w:rsidR="00B317AC">
              <w:t xml:space="preserve"> of treatment</w:t>
            </w:r>
            <w:r w:rsidR="00B317AC" w:rsidRPr="00DB0B0C">
              <w:t xml:space="preserve"> </w:t>
            </w:r>
            <w:r w:rsidRPr="00DB0B0C">
              <w:t>is likely to increase</w:t>
            </w:r>
            <w:r w:rsidR="00B317AC">
              <w:t xml:space="preserve"> steadily</w:t>
            </w:r>
            <w:r w:rsidRPr="00DB0B0C">
              <w:t xml:space="preserve"> over the coming months.</w:t>
            </w:r>
          </w:p>
        </w:tc>
      </w:tr>
      <w:tr w:rsidR="0078495E" w:rsidRPr="00D02A2E" w14:paraId="21673C38" w14:textId="77777777" w:rsidTr="004C7BEF">
        <w:trPr>
          <w:cantSplit/>
        </w:trPr>
        <w:tc>
          <w:tcPr>
            <w:tcW w:w="4761" w:type="dxa"/>
            <w:shd w:val="clear" w:color="auto" w:fill="auto"/>
            <w:hideMark/>
          </w:tcPr>
          <w:p w14:paraId="1556EB42" w14:textId="77777777" w:rsidR="0078495E" w:rsidRPr="00D02A2E" w:rsidRDefault="0078495E" w:rsidP="004C7BEF">
            <w:pPr>
              <w:pStyle w:val="ARtabletext"/>
            </w:pPr>
            <w:r w:rsidRPr="00DB0B0C">
              <w:t>Number of drug treatment activity units – residential services</w:t>
            </w:r>
          </w:p>
        </w:tc>
        <w:tc>
          <w:tcPr>
            <w:tcW w:w="1021" w:type="dxa"/>
            <w:shd w:val="clear" w:color="auto" w:fill="auto"/>
            <w:hideMark/>
          </w:tcPr>
          <w:p w14:paraId="428C0D15" w14:textId="77777777" w:rsidR="0078495E" w:rsidRPr="00D02A2E" w:rsidRDefault="0078495E" w:rsidP="004C7BEF">
            <w:pPr>
              <w:pStyle w:val="ARtabletextcentre"/>
            </w:pPr>
            <w:r w:rsidRPr="00DB0B0C">
              <w:t>number</w:t>
            </w:r>
          </w:p>
        </w:tc>
        <w:tc>
          <w:tcPr>
            <w:tcW w:w="1021" w:type="dxa"/>
            <w:shd w:val="clear" w:color="auto" w:fill="auto"/>
            <w:hideMark/>
          </w:tcPr>
          <w:p w14:paraId="11DEAAC2" w14:textId="77777777" w:rsidR="0078495E" w:rsidRDefault="0078495E" w:rsidP="004C7BEF">
            <w:pPr>
              <w:pStyle w:val="ARtabletextright"/>
            </w:pPr>
            <w:r w:rsidRPr="00DB0B0C">
              <w:t>78,535</w:t>
            </w:r>
          </w:p>
        </w:tc>
        <w:tc>
          <w:tcPr>
            <w:tcW w:w="1021" w:type="dxa"/>
            <w:shd w:val="clear" w:color="auto" w:fill="auto"/>
            <w:hideMark/>
          </w:tcPr>
          <w:p w14:paraId="26499CEF" w14:textId="77777777" w:rsidR="0078495E" w:rsidRDefault="0078495E" w:rsidP="004C7BEF">
            <w:pPr>
              <w:pStyle w:val="ARtabletextright"/>
            </w:pPr>
            <w:r w:rsidRPr="00DB0B0C">
              <w:t>61,442</w:t>
            </w:r>
          </w:p>
        </w:tc>
        <w:tc>
          <w:tcPr>
            <w:tcW w:w="1021" w:type="dxa"/>
            <w:shd w:val="clear" w:color="auto" w:fill="auto"/>
          </w:tcPr>
          <w:p w14:paraId="71164919" w14:textId="77777777" w:rsidR="0078495E" w:rsidRDefault="0078495E" w:rsidP="004C7BEF">
            <w:pPr>
              <w:pStyle w:val="ARtabletextright"/>
            </w:pPr>
            <w:r w:rsidRPr="00DB0B0C">
              <w:t>−21.8%</w:t>
            </w:r>
          </w:p>
        </w:tc>
        <w:tc>
          <w:tcPr>
            <w:tcW w:w="794" w:type="dxa"/>
            <w:shd w:val="clear" w:color="auto" w:fill="auto"/>
            <w:hideMark/>
          </w:tcPr>
          <w:p w14:paraId="7EFF40D6" w14:textId="77777777" w:rsidR="0078495E" w:rsidRPr="00D02A2E" w:rsidRDefault="0078495E" w:rsidP="004C7BEF">
            <w:pPr>
              <w:pStyle w:val="ARtableperformancesymbol"/>
              <w:rPr>
                <w:rFonts w:hint="eastAsia"/>
              </w:rPr>
            </w:pPr>
            <w:r w:rsidRPr="00DB0B0C">
              <w:t></w:t>
            </w:r>
          </w:p>
        </w:tc>
      </w:tr>
      <w:tr w:rsidR="0078495E" w:rsidRPr="00D02A2E" w14:paraId="49407976" w14:textId="77777777" w:rsidTr="004C7BEF">
        <w:trPr>
          <w:cantSplit/>
        </w:trPr>
        <w:tc>
          <w:tcPr>
            <w:tcW w:w="9639" w:type="dxa"/>
            <w:gridSpan w:val="6"/>
            <w:tcBorders>
              <w:bottom w:val="single" w:sz="4" w:space="0" w:color="BFBFBF"/>
            </w:tcBorders>
            <w:shd w:val="clear" w:color="auto" w:fill="auto"/>
            <w:noWrap/>
            <w:hideMark/>
          </w:tcPr>
          <w:p w14:paraId="107DE82B" w14:textId="5E93B0FE" w:rsidR="0078495E" w:rsidRPr="00D02A2E" w:rsidRDefault="0078495E" w:rsidP="004C7BEF">
            <w:pPr>
              <w:pStyle w:val="ARtablenoteindent"/>
            </w:pPr>
            <w:r w:rsidRPr="00DB0B0C">
              <w:t xml:space="preserve">The </w:t>
            </w:r>
            <w:r w:rsidR="00856F3B">
              <w:t>below-target result</w:t>
            </w:r>
            <w:r w:rsidRPr="00DB0B0C">
              <w:t xml:space="preserve"> is primarily due to the impact of COVID-19 restrictions and outbreaks. Services needed to be responsive to the changing environment, implementing control measures such as social distancing, </w:t>
            </w:r>
            <w:r w:rsidR="00856F3B">
              <w:t>e.g</w:t>
            </w:r>
            <w:r w:rsidRPr="00DB0B0C">
              <w:t>. conversion of twin rooms to single rooms, which significantly reduced the capacity of the services and number of admissions. Service delivery was also impacted by workforce shortages and challenges similar to those experienced more broadly across Victoria.</w:t>
            </w:r>
          </w:p>
        </w:tc>
      </w:tr>
      <w:tr w:rsidR="0078495E" w:rsidRPr="00D02A2E" w14:paraId="2C7E4BC5" w14:textId="77777777" w:rsidTr="004C7BEF">
        <w:trPr>
          <w:cantSplit/>
        </w:trPr>
        <w:tc>
          <w:tcPr>
            <w:tcW w:w="4761" w:type="dxa"/>
            <w:shd w:val="clear" w:color="auto" w:fill="auto"/>
            <w:hideMark/>
          </w:tcPr>
          <w:p w14:paraId="4980746A" w14:textId="77777777" w:rsidR="0078495E" w:rsidRPr="00D02A2E" w:rsidRDefault="0078495E" w:rsidP="004C7BEF">
            <w:pPr>
              <w:pStyle w:val="ARtabletext"/>
            </w:pPr>
            <w:r w:rsidRPr="00DB0B0C">
              <w:t>Number of drug treatment activity units – community-based services</w:t>
            </w:r>
          </w:p>
        </w:tc>
        <w:tc>
          <w:tcPr>
            <w:tcW w:w="1021" w:type="dxa"/>
            <w:shd w:val="clear" w:color="auto" w:fill="auto"/>
            <w:hideMark/>
          </w:tcPr>
          <w:p w14:paraId="5FFEEA76" w14:textId="77777777" w:rsidR="0078495E" w:rsidRPr="00D02A2E" w:rsidRDefault="0078495E" w:rsidP="004C7BEF">
            <w:pPr>
              <w:pStyle w:val="ARtabletextcentre"/>
            </w:pPr>
            <w:r w:rsidRPr="00DB0B0C">
              <w:t>number</w:t>
            </w:r>
          </w:p>
        </w:tc>
        <w:tc>
          <w:tcPr>
            <w:tcW w:w="1021" w:type="dxa"/>
            <w:shd w:val="clear" w:color="auto" w:fill="auto"/>
            <w:hideMark/>
          </w:tcPr>
          <w:p w14:paraId="5175968B" w14:textId="77777777" w:rsidR="0078495E" w:rsidRDefault="0078495E" w:rsidP="004C7BEF">
            <w:pPr>
              <w:pStyle w:val="ARtabletextright"/>
            </w:pPr>
            <w:r w:rsidRPr="00DB0B0C">
              <w:t>97,855</w:t>
            </w:r>
          </w:p>
        </w:tc>
        <w:tc>
          <w:tcPr>
            <w:tcW w:w="1021" w:type="dxa"/>
            <w:shd w:val="clear" w:color="auto" w:fill="auto"/>
            <w:hideMark/>
          </w:tcPr>
          <w:p w14:paraId="271D3EFE" w14:textId="77777777" w:rsidR="0078495E" w:rsidRDefault="0078495E" w:rsidP="004C7BEF">
            <w:pPr>
              <w:pStyle w:val="ARtabletextright"/>
            </w:pPr>
            <w:r w:rsidRPr="00DB0B0C">
              <w:t>89,708</w:t>
            </w:r>
          </w:p>
        </w:tc>
        <w:tc>
          <w:tcPr>
            <w:tcW w:w="1021" w:type="dxa"/>
            <w:shd w:val="clear" w:color="auto" w:fill="auto"/>
          </w:tcPr>
          <w:p w14:paraId="280670B7" w14:textId="77777777" w:rsidR="0078495E" w:rsidRDefault="0078495E" w:rsidP="004C7BEF">
            <w:pPr>
              <w:pStyle w:val="ARtabletextright"/>
            </w:pPr>
            <w:r w:rsidRPr="00DB0B0C">
              <w:t>−8.3%</w:t>
            </w:r>
          </w:p>
        </w:tc>
        <w:tc>
          <w:tcPr>
            <w:tcW w:w="794" w:type="dxa"/>
            <w:shd w:val="clear" w:color="auto" w:fill="auto"/>
            <w:hideMark/>
          </w:tcPr>
          <w:p w14:paraId="1A1ED92D" w14:textId="77777777" w:rsidR="0078495E" w:rsidRPr="00D02A2E" w:rsidRDefault="0078495E" w:rsidP="004C7BEF">
            <w:pPr>
              <w:pStyle w:val="ARtableperformancesymbol"/>
              <w:rPr>
                <w:rFonts w:hint="eastAsia"/>
              </w:rPr>
            </w:pPr>
            <w:r w:rsidRPr="00DB0B0C">
              <w:t></w:t>
            </w:r>
          </w:p>
        </w:tc>
      </w:tr>
      <w:tr w:rsidR="0078495E" w:rsidRPr="00D02A2E" w14:paraId="63D83C53" w14:textId="77777777" w:rsidTr="004C7BEF">
        <w:trPr>
          <w:cantSplit/>
        </w:trPr>
        <w:tc>
          <w:tcPr>
            <w:tcW w:w="9639" w:type="dxa"/>
            <w:gridSpan w:val="6"/>
            <w:tcBorders>
              <w:bottom w:val="single" w:sz="4" w:space="0" w:color="BFBFBF"/>
            </w:tcBorders>
            <w:shd w:val="clear" w:color="auto" w:fill="auto"/>
            <w:noWrap/>
            <w:hideMark/>
          </w:tcPr>
          <w:p w14:paraId="042D95CB" w14:textId="44C0C96B" w:rsidR="0078495E" w:rsidRPr="00D02A2E" w:rsidRDefault="0078495E" w:rsidP="004C7BEF">
            <w:pPr>
              <w:pStyle w:val="ARtablenoteindent"/>
            </w:pPr>
            <w:r w:rsidRPr="00DB0B0C">
              <w:t xml:space="preserve">The </w:t>
            </w:r>
            <w:r w:rsidR="00856F3B">
              <w:t>below-target result</w:t>
            </w:r>
            <w:r w:rsidR="00856F3B" w:rsidRPr="00DB0B0C">
              <w:t xml:space="preserve"> </w:t>
            </w:r>
            <w:r w:rsidRPr="00DB0B0C">
              <w:t>is due to the impact of staff shortages.</w:t>
            </w:r>
          </w:p>
        </w:tc>
      </w:tr>
      <w:tr w:rsidR="0078495E" w:rsidRPr="00D02A2E" w14:paraId="09E1BCF6" w14:textId="77777777" w:rsidTr="004C7BEF">
        <w:trPr>
          <w:cantSplit/>
        </w:trPr>
        <w:tc>
          <w:tcPr>
            <w:tcW w:w="4761" w:type="dxa"/>
            <w:shd w:val="clear" w:color="auto" w:fill="auto"/>
            <w:hideMark/>
          </w:tcPr>
          <w:p w14:paraId="798F231A" w14:textId="77777777" w:rsidR="0078495E" w:rsidRPr="00D02A2E" w:rsidRDefault="0078495E" w:rsidP="004C7BEF">
            <w:pPr>
              <w:pStyle w:val="ARtabletext"/>
            </w:pPr>
            <w:r w:rsidRPr="00DB0B0C">
              <w:t>Workers complying with Alcohol and Other Drug Minimum Qualification Strategy requirements</w:t>
            </w:r>
          </w:p>
        </w:tc>
        <w:tc>
          <w:tcPr>
            <w:tcW w:w="1021" w:type="dxa"/>
            <w:shd w:val="clear" w:color="auto" w:fill="auto"/>
            <w:hideMark/>
          </w:tcPr>
          <w:p w14:paraId="03428C51" w14:textId="77777777" w:rsidR="0078495E" w:rsidRPr="00D02A2E" w:rsidRDefault="0078495E" w:rsidP="004C7BEF">
            <w:pPr>
              <w:pStyle w:val="ARtabletextcentre"/>
            </w:pPr>
            <w:r w:rsidRPr="00DB0B0C">
              <w:t>per cent</w:t>
            </w:r>
          </w:p>
        </w:tc>
        <w:tc>
          <w:tcPr>
            <w:tcW w:w="1021" w:type="dxa"/>
            <w:shd w:val="clear" w:color="auto" w:fill="auto"/>
            <w:hideMark/>
          </w:tcPr>
          <w:p w14:paraId="2B0DBA3F" w14:textId="77777777" w:rsidR="0078495E" w:rsidRDefault="0078495E" w:rsidP="004C7BEF">
            <w:pPr>
              <w:pStyle w:val="ARtabletextright"/>
            </w:pPr>
            <w:r w:rsidRPr="00DB0B0C">
              <w:t>85</w:t>
            </w:r>
          </w:p>
        </w:tc>
        <w:tc>
          <w:tcPr>
            <w:tcW w:w="1021" w:type="dxa"/>
            <w:shd w:val="clear" w:color="auto" w:fill="auto"/>
            <w:hideMark/>
          </w:tcPr>
          <w:p w14:paraId="48AECCEB" w14:textId="77777777" w:rsidR="0078495E" w:rsidRDefault="0078495E" w:rsidP="004C7BEF">
            <w:pPr>
              <w:pStyle w:val="ARtabletextright"/>
            </w:pPr>
            <w:r w:rsidRPr="00DB0B0C">
              <w:t>71</w:t>
            </w:r>
          </w:p>
        </w:tc>
        <w:tc>
          <w:tcPr>
            <w:tcW w:w="1021" w:type="dxa"/>
            <w:shd w:val="clear" w:color="auto" w:fill="auto"/>
          </w:tcPr>
          <w:p w14:paraId="74F82F88" w14:textId="77777777" w:rsidR="0078495E" w:rsidRDefault="0078495E" w:rsidP="004C7BEF">
            <w:pPr>
              <w:pStyle w:val="ARtabletextright"/>
            </w:pPr>
            <w:r w:rsidRPr="00DB0B0C">
              <w:t>−16.5%</w:t>
            </w:r>
          </w:p>
        </w:tc>
        <w:tc>
          <w:tcPr>
            <w:tcW w:w="794" w:type="dxa"/>
            <w:shd w:val="clear" w:color="auto" w:fill="auto"/>
            <w:hideMark/>
          </w:tcPr>
          <w:p w14:paraId="70445E47" w14:textId="77777777" w:rsidR="0078495E" w:rsidRPr="00D02A2E" w:rsidRDefault="0078495E" w:rsidP="004C7BEF">
            <w:pPr>
              <w:pStyle w:val="ARtableperformancesymbol"/>
              <w:rPr>
                <w:rFonts w:hint="eastAsia"/>
              </w:rPr>
            </w:pPr>
            <w:r w:rsidRPr="00DB0B0C">
              <w:t></w:t>
            </w:r>
          </w:p>
        </w:tc>
      </w:tr>
      <w:tr w:rsidR="0078495E" w:rsidRPr="00D02A2E" w14:paraId="06A54FFD" w14:textId="77777777" w:rsidTr="00D626AE">
        <w:trPr>
          <w:cantSplit/>
        </w:trPr>
        <w:tc>
          <w:tcPr>
            <w:tcW w:w="9639" w:type="dxa"/>
            <w:gridSpan w:val="6"/>
            <w:tcBorders>
              <w:bottom w:val="single" w:sz="4" w:space="0" w:color="auto"/>
            </w:tcBorders>
            <w:shd w:val="clear" w:color="auto" w:fill="auto"/>
            <w:noWrap/>
            <w:hideMark/>
          </w:tcPr>
          <w:p w14:paraId="341AE3E3" w14:textId="659F7DFD" w:rsidR="0078495E" w:rsidRPr="00D02A2E" w:rsidRDefault="00856F3B" w:rsidP="004C7BEF">
            <w:pPr>
              <w:pStyle w:val="ARtablenoteindent"/>
            </w:pPr>
            <w:r>
              <w:t>This result r</w:t>
            </w:r>
            <w:r w:rsidR="0078495E" w:rsidRPr="00DB0B0C">
              <w:t xml:space="preserve">efers to workers who had completed their qualifications only. Workers </w:t>
            </w:r>
            <w:r>
              <w:t xml:space="preserve">who were </w:t>
            </w:r>
            <w:r w:rsidR="0078495E" w:rsidRPr="00DB0B0C">
              <w:t>enrolled but had not completed their qualification were not included.</w:t>
            </w:r>
          </w:p>
        </w:tc>
      </w:tr>
      <w:tr w:rsidR="0078495E" w:rsidRPr="00D02A2E" w14:paraId="3349BEE1" w14:textId="77777777" w:rsidTr="00D626AE">
        <w:trPr>
          <w:cantSplit/>
        </w:trPr>
        <w:tc>
          <w:tcPr>
            <w:tcW w:w="9639" w:type="dxa"/>
            <w:gridSpan w:val="6"/>
            <w:tcBorders>
              <w:top w:val="single" w:sz="4" w:space="0" w:color="auto"/>
            </w:tcBorders>
            <w:shd w:val="clear" w:color="auto" w:fill="auto"/>
            <w:hideMark/>
          </w:tcPr>
          <w:p w14:paraId="0EFA4C31" w14:textId="77777777" w:rsidR="0078495E" w:rsidRPr="00D02A2E" w:rsidRDefault="0078495E" w:rsidP="004C7BEF">
            <w:pPr>
              <w:pStyle w:val="ARtablegreybold"/>
              <w:rPr>
                <w:rFonts w:ascii="Wingdings" w:hAnsi="Wingdings"/>
              </w:rPr>
            </w:pPr>
            <w:r>
              <w:t>Quality</w:t>
            </w:r>
          </w:p>
        </w:tc>
      </w:tr>
      <w:tr w:rsidR="0078495E" w:rsidRPr="00D02A2E" w14:paraId="286675E1" w14:textId="77777777" w:rsidTr="00D626AE">
        <w:trPr>
          <w:cantSplit/>
        </w:trPr>
        <w:tc>
          <w:tcPr>
            <w:tcW w:w="4761" w:type="dxa"/>
            <w:shd w:val="clear" w:color="auto" w:fill="auto"/>
            <w:hideMark/>
          </w:tcPr>
          <w:p w14:paraId="2F2C97BA" w14:textId="77777777" w:rsidR="0078495E" w:rsidRPr="00D02A2E" w:rsidRDefault="0078495E" w:rsidP="004C7BEF">
            <w:pPr>
              <w:pStyle w:val="ARtabletext"/>
            </w:pPr>
            <w:r w:rsidRPr="00322B30">
              <w:t>Percentage of new clients to existing clients</w:t>
            </w:r>
          </w:p>
        </w:tc>
        <w:tc>
          <w:tcPr>
            <w:tcW w:w="1021" w:type="dxa"/>
            <w:shd w:val="clear" w:color="auto" w:fill="auto"/>
            <w:hideMark/>
          </w:tcPr>
          <w:p w14:paraId="5CC59A2D" w14:textId="77777777" w:rsidR="0078495E" w:rsidRPr="00D02A2E" w:rsidRDefault="0078495E" w:rsidP="004C7BEF">
            <w:pPr>
              <w:pStyle w:val="ARtabletextcentre"/>
            </w:pPr>
            <w:r w:rsidRPr="00322B30">
              <w:t>per cent</w:t>
            </w:r>
          </w:p>
        </w:tc>
        <w:tc>
          <w:tcPr>
            <w:tcW w:w="1021" w:type="dxa"/>
            <w:shd w:val="clear" w:color="auto" w:fill="auto"/>
            <w:hideMark/>
          </w:tcPr>
          <w:p w14:paraId="23B8A7DC" w14:textId="77777777" w:rsidR="0078495E" w:rsidRDefault="0078495E" w:rsidP="004C7BEF">
            <w:pPr>
              <w:pStyle w:val="ARtabletextright"/>
            </w:pPr>
            <w:r w:rsidRPr="00322B30">
              <w:t>50</w:t>
            </w:r>
          </w:p>
        </w:tc>
        <w:tc>
          <w:tcPr>
            <w:tcW w:w="1021" w:type="dxa"/>
            <w:shd w:val="clear" w:color="auto" w:fill="auto"/>
            <w:hideMark/>
          </w:tcPr>
          <w:p w14:paraId="7E0C71E5" w14:textId="77777777" w:rsidR="0078495E" w:rsidRDefault="0078495E" w:rsidP="004C7BEF">
            <w:pPr>
              <w:pStyle w:val="ARtabletextright"/>
            </w:pPr>
            <w:r w:rsidRPr="00322B30">
              <w:t>59.4</w:t>
            </w:r>
          </w:p>
        </w:tc>
        <w:tc>
          <w:tcPr>
            <w:tcW w:w="1021" w:type="dxa"/>
            <w:shd w:val="clear" w:color="auto" w:fill="auto"/>
          </w:tcPr>
          <w:p w14:paraId="3E7A4944" w14:textId="77777777" w:rsidR="0078495E" w:rsidRDefault="0078495E" w:rsidP="004C7BEF">
            <w:pPr>
              <w:pStyle w:val="ARtabletextright"/>
            </w:pPr>
            <w:r w:rsidRPr="00322B30">
              <w:t>18.8%</w:t>
            </w:r>
          </w:p>
        </w:tc>
        <w:tc>
          <w:tcPr>
            <w:tcW w:w="794" w:type="dxa"/>
            <w:shd w:val="clear" w:color="auto" w:fill="auto"/>
            <w:hideMark/>
          </w:tcPr>
          <w:p w14:paraId="74597EE8" w14:textId="77777777" w:rsidR="0078495E" w:rsidRPr="00D02A2E" w:rsidRDefault="0078495E" w:rsidP="004C7BEF">
            <w:pPr>
              <w:pStyle w:val="ARtableperformancesymbol"/>
              <w:rPr>
                <w:rFonts w:hint="eastAsia"/>
              </w:rPr>
            </w:pPr>
            <w:r w:rsidRPr="00322B30">
              <w:t></w:t>
            </w:r>
          </w:p>
        </w:tc>
      </w:tr>
      <w:tr w:rsidR="0078495E" w:rsidRPr="00D02A2E" w14:paraId="0B75144E" w14:textId="77777777" w:rsidTr="004C7BEF">
        <w:trPr>
          <w:cantSplit/>
        </w:trPr>
        <w:tc>
          <w:tcPr>
            <w:tcW w:w="9639" w:type="dxa"/>
            <w:gridSpan w:val="6"/>
            <w:tcBorders>
              <w:bottom w:val="single" w:sz="4" w:space="0" w:color="BFBFBF"/>
            </w:tcBorders>
            <w:shd w:val="clear" w:color="auto" w:fill="auto"/>
            <w:noWrap/>
            <w:hideMark/>
          </w:tcPr>
          <w:p w14:paraId="7DC50C48" w14:textId="53FFDD0C" w:rsidR="0078495E" w:rsidRPr="00D02A2E" w:rsidRDefault="0078495E" w:rsidP="004C7BEF">
            <w:pPr>
              <w:pStyle w:val="ARtablenoteindent"/>
            </w:pPr>
            <w:r w:rsidRPr="00322B30">
              <w:t>The positive</w:t>
            </w:r>
            <w:r w:rsidRPr="00322B30" w:rsidDel="00856F3B">
              <w:t xml:space="preserve"> </w:t>
            </w:r>
            <w:r w:rsidR="00856F3B">
              <w:t>result</w:t>
            </w:r>
            <w:r w:rsidR="00856F3B" w:rsidRPr="00322B30">
              <w:t xml:space="preserve"> </w:t>
            </w:r>
            <w:r w:rsidRPr="00322B30">
              <w:t xml:space="preserve">in the number of new clients is reflective of the demand for services and demonstrates improved access to initial supports. It is also reflective of service providers focusing resources </w:t>
            </w:r>
            <w:r w:rsidR="00856F3B">
              <w:t>on</w:t>
            </w:r>
            <w:r w:rsidR="00856F3B" w:rsidRPr="00322B30">
              <w:t xml:space="preserve"> </w:t>
            </w:r>
            <w:r w:rsidRPr="00322B30">
              <w:t>intake and assessment activities to ensure responsiveness to new referrals for service.</w:t>
            </w:r>
          </w:p>
        </w:tc>
      </w:tr>
      <w:tr w:rsidR="0078495E" w:rsidRPr="00D02A2E" w14:paraId="34ED3CB0" w14:textId="77777777" w:rsidTr="004C7BEF">
        <w:trPr>
          <w:cantSplit/>
        </w:trPr>
        <w:tc>
          <w:tcPr>
            <w:tcW w:w="4761" w:type="dxa"/>
            <w:tcBorders>
              <w:top w:val="single" w:sz="4" w:space="0" w:color="BFBFBF"/>
              <w:bottom w:val="single" w:sz="4" w:space="0" w:color="BFBFBF"/>
            </w:tcBorders>
            <w:shd w:val="clear" w:color="auto" w:fill="auto"/>
            <w:hideMark/>
          </w:tcPr>
          <w:p w14:paraId="2598A843" w14:textId="77777777" w:rsidR="0078495E" w:rsidRPr="00D02A2E" w:rsidRDefault="0078495E" w:rsidP="004C7BEF">
            <w:pPr>
              <w:pStyle w:val="ARtabletext"/>
            </w:pPr>
            <w:r w:rsidRPr="00322B30">
              <w:t>Percentage of residential rehabilitation clients remaining in treatment for 10 days or more</w:t>
            </w:r>
          </w:p>
        </w:tc>
        <w:tc>
          <w:tcPr>
            <w:tcW w:w="1021" w:type="dxa"/>
            <w:tcBorders>
              <w:top w:val="single" w:sz="4" w:space="0" w:color="BFBFBF"/>
              <w:bottom w:val="single" w:sz="4" w:space="0" w:color="BFBFBF"/>
            </w:tcBorders>
            <w:shd w:val="clear" w:color="auto" w:fill="auto"/>
            <w:hideMark/>
          </w:tcPr>
          <w:p w14:paraId="6C7BE775" w14:textId="77777777" w:rsidR="0078495E" w:rsidRPr="00D02A2E" w:rsidRDefault="0078495E" w:rsidP="004C7BEF">
            <w:pPr>
              <w:pStyle w:val="ARtabletextcentre"/>
            </w:pPr>
            <w:r w:rsidRPr="00322B30">
              <w:t>per cent</w:t>
            </w:r>
          </w:p>
        </w:tc>
        <w:tc>
          <w:tcPr>
            <w:tcW w:w="1021" w:type="dxa"/>
            <w:tcBorders>
              <w:top w:val="single" w:sz="4" w:space="0" w:color="BFBFBF"/>
              <w:bottom w:val="single" w:sz="4" w:space="0" w:color="BFBFBF"/>
            </w:tcBorders>
            <w:shd w:val="clear" w:color="auto" w:fill="auto"/>
            <w:hideMark/>
          </w:tcPr>
          <w:p w14:paraId="686B5A87" w14:textId="77777777" w:rsidR="0078495E" w:rsidRDefault="0078495E" w:rsidP="004C7BEF">
            <w:pPr>
              <w:pStyle w:val="ARtabletextright"/>
            </w:pPr>
            <w:r w:rsidRPr="00322B30">
              <w:t>80</w:t>
            </w:r>
          </w:p>
        </w:tc>
        <w:tc>
          <w:tcPr>
            <w:tcW w:w="1021" w:type="dxa"/>
            <w:tcBorders>
              <w:top w:val="single" w:sz="4" w:space="0" w:color="BFBFBF"/>
              <w:bottom w:val="single" w:sz="4" w:space="0" w:color="BFBFBF"/>
            </w:tcBorders>
            <w:shd w:val="clear" w:color="auto" w:fill="auto"/>
            <w:hideMark/>
          </w:tcPr>
          <w:p w14:paraId="797CE3F3" w14:textId="77777777" w:rsidR="0078495E" w:rsidRDefault="0078495E" w:rsidP="004C7BEF">
            <w:pPr>
              <w:pStyle w:val="ARtabletextright"/>
            </w:pPr>
            <w:r w:rsidRPr="00322B30">
              <w:t>82.9</w:t>
            </w:r>
          </w:p>
        </w:tc>
        <w:tc>
          <w:tcPr>
            <w:tcW w:w="1021" w:type="dxa"/>
            <w:tcBorders>
              <w:top w:val="single" w:sz="4" w:space="0" w:color="BFBFBF"/>
              <w:bottom w:val="single" w:sz="4" w:space="0" w:color="BFBFBF"/>
            </w:tcBorders>
            <w:shd w:val="clear" w:color="auto" w:fill="auto"/>
          </w:tcPr>
          <w:p w14:paraId="4741EB98" w14:textId="77777777" w:rsidR="0078495E" w:rsidRDefault="0078495E" w:rsidP="004C7BEF">
            <w:pPr>
              <w:pStyle w:val="ARtabletextright"/>
            </w:pPr>
            <w:r w:rsidRPr="00322B30">
              <w:t>3.6%</w:t>
            </w:r>
          </w:p>
        </w:tc>
        <w:tc>
          <w:tcPr>
            <w:tcW w:w="794" w:type="dxa"/>
            <w:tcBorders>
              <w:top w:val="single" w:sz="4" w:space="0" w:color="BFBFBF"/>
              <w:bottom w:val="single" w:sz="4" w:space="0" w:color="BFBFBF"/>
            </w:tcBorders>
            <w:shd w:val="clear" w:color="auto" w:fill="auto"/>
            <w:hideMark/>
          </w:tcPr>
          <w:p w14:paraId="46F80BE5" w14:textId="77777777" w:rsidR="0078495E" w:rsidRPr="00D02A2E" w:rsidRDefault="0078495E" w:rsidP="004C7BEF">
            <w:pPr>
              <w:pStyle w:val="ARtableperformancesymbol"/>
              <w:rPr>
                <w:rFonts w:hint="eastAsia"/>
              </w:rPr>
            </w:pPr>
            <w:r w:rsidRPr="00322B30">
              <w:t></w:t>
            </w:r>
          </w:p>
        </w:tc>
      </w:tr>
      <w:tr w:rsidR="0078495E" w:rsidRPr="00D02A2E" w14:paraId="2F9C49EB" w14:textId="77777777" w:rsidTr="004C7BEF">
        <w:trPr>
          <w:cantSplit/>
        </w:trPr>
        <w:tc>
          <w:tcPr>
            <w:tcW w:w="4761" w:type="dxa"/>
            <w:tcBorders>
              <w:top w:val="single" w:sz="4" w:space="0" w:color="BFBFBF"/>
            </w:tcBorders>
            <w:shd w:val="clear" w:color="auto" w:fill="auto"/>
            <w:hideMark/>
          </w:tcPr>
          <w:p w14:paraId="0C3E0661" w14:textId="77777777" w:rsidR="0078495E" w:rsidRPr="00D02A2E" w:rsidRDefault="0078495E" w:rsidP="004C7BEF">
            <w:pPr>
              <w:pStyle w:val="ARtabletext"/>
            </w:pPr>
            <w:r w:rsidRPr="00322B30">
              <w:t>Successful courses of treatment (episodes of care) – community-based drug treatment services</w:t>
            </w:r>
          </w:p>
        </w:tc>
        <w:tc>
          <w:tcPr>
            <w:tcW w:w="1021" w:type="dxa"/>
            <w:tcBorders>
              <w:top w:val="single" w:sz="4" w:space="0" w:color="BFBFBF"/>
            </w:tcBorders>
            <w:shd w:val="clear" w:color="auto" w:fill="auto"/>
            <w:hideMark/>
          </w:tcPr>
          <w:p w14:paraId="428773EE" w14:textId="77777777" w:rsidR="0078495E" w:rsidRPr="00D02A2E" w:rsidRDefault="0078495E" w:rsidP="004C7BEF">
            <w:pPr>
              <w:pStyle w:val="ARtabletextcentre"/>
            </w:pPr>
            <w:r w:rsidRPr="00322B30">
              <w:t>number</w:t>
            </w:r>
          </w:p>
        </w:tc>
        <w:tc>
          <w:tcPr>
            <w:tcW w:w="1021" w:type="dxa"/>
            <w:tcBorders>
              <w:top w:val="single" w:sz="4" w:space="0" w:color="BFBFBF"/>
            </w:tcBorders>
            <w:shd w:val="clear" w:color="auto" w:fill="auto"/>
            <w:hideMark/>
          </w:tcPr>
          <w:p w14:paraId="6177503E" w14:textId="77777777" w:rsidR="0078495E" w:rsidRDefault="0078495E" w:rsidP="004C7BEF">
            <w:pPr>
              <w:pStyle w:val="ARtabletextright"/>
            </w:pPr>
            <w:r w:rsidRPr="00322B30">
              <w:t>7,385</w:t>
            </w:r>
          </w:p>
        </w:tc>
        <w:tc>
          <w:tcPr>
            <w:tcW w:w="1021" w:type="dxa"/>
            <w:tcBorders>
              <w:top w:val="single" w:sz="4" w:space="0" w:color="BFBFBF"/>
            </w:tcBorders>
            <w:shd w:val="clear" w:color="auto" w:fill="auto"/>
            <w:hideMark/>
          </w:tcPr>
          <w:p w14:paraId="394E521C" w14:textId="77777777" w:rsidR="0078495E" w:rsidRDefault="0078495E" w:rsidP="004C7BEF">
            <w:pPr>
              <w:pStyle w:val="ARtabletextright"/>
            </w:pPr>
            <w:r w:rsidRPr="00322B30">
              <w:t>10,093</w:t>
            </w:r>
          </w:p>
        </w:tc>
        <w:tc>
          <w:tcPr>
            <w:tcW w:w="1021" w:type="dxa"/>
            <w:tcBorders>
              <w:top w:val="single" w:sz="4" w:space="0" w:color="BFBFBF"/>
            </w:tcBorders>
            <w:shd w:val="clear" w:color="auto" w:fill="auto"/>
          </w:tcPr>
          <w:p w14:paraId="0CB0D21E" w14:textId="77777777" w:rsidR="0078495E" w:rsidRDefault="0078495E" w:rsidP="004C7BEF">
            <w:pPr>
              <w:pStyle w:val="ARtabletextright"/>
            </w:pPr>
            <w:r w:rsidRPr="00322B30">
              <w:t>36.7%</w:t>
            </w:r>
          </w:p>
        </w:tc>
        <w:tc>
          <w:tcPr>
            <w:tcW w:w="794" w:type="dxa"/>
            <w:tcBorders>
              <w:top w:val="single" w:sz="4" w:space="0" w:color="BFBFBF"/>
            </w:tcBorders>
            <w:shd w:val="clear" w:color="auto" w:fill="auto"/>
            <w:hideMark/>
          </w:tcPr>
          <w:p w14:paraId="7679897C" w14:textId="77777777" w:rsidR="0078495E" w:rsidRPr="00D02A2E" w:rsidRDefault="0078495E" w:rsidP="004C7BEF">
            <w:pPr>
              <w:pStyle w:val="ARtableperformancesymbol"/>
              <w:rPr>
                <w:rFonts w:hint="eastAsia"/>
              </w:rPr>
            </w:pPr>
            <w:r w:rsidRPr="00322B30">
              <w:t></w:t>
            </w:r>
          </w:p>
        </w:tc>
      </w:tr>
      <w:tr w:rsidR="0078495E" w:rsidRPr="00D02A2E" w14:paraId="54055CD4" w14:textId="77777777" w:rsidTr="004C7BEF">
        <w:trPr>
          <w:cantSplit/>
        </w:trPr>
        <w:tc>
          <w:tcPr>
            <w:tcW w:w="9639" w:type="dxa"/>
            <w:gridSpan w:val="6"/>
            <w:tcBorders>
              <w:bottom w:val="single" w:sz="4" w:space="0" w:color="BFBFBF"/>
            </w:tcBorders>
            <w:shd w:val="clear" w:color="auto" w:fill="auto"/>
            <w:noWrap/>
            <w:hideMark/>
          </w:tcPr>
          <w:p w14:paraId="19CC7731" w14:textId="2CE4A8F0" w:rsidR="0078495E" w:rsidRPr="00D02A2E" w:rsidRDefault="0078495E" w:rsidP="004C7BEF">
            <w:pPr>
              <w:pStyle w:val="ARtablenoteindent"/>
            </w:pPr>
            <w:r w:rsidRPr="00322B30">
              <w:t xml:space="preserve">This positive result is reflective of clients with </w:t>
            </w:r>
            <w:r w:rsidR="00716942">
              <w:t>alcohol and other drug</w:t>
            </w:r>
            <w:r w:rsidR="00716942" w:rsidRPr="00322B30">
              <w:t xml:space="preserve"> </w:t>
            </w:r>
            <w:r w:rsidRPr="00322B30">
              <w:t>related issues remaining in and successfully completing the course of treatment. It is also representative of the demand for services.</w:t>
            </w:r>
          </w:p>
        </w:tc>
      </w:tr>
      <w:tr w:rsidR="0078495E" w:rsidRPr="00D02A2E" w14:paraId="22FD2C16" w14:textId="77777777" w:rsidTr="001C60F2">
        <w:trPr>
          <w:cantSplit/>
        </w:trPr>
        <w:tc>
          <w:tcPr>
            <w:tcW w:w="4761" w:type="dxa"/>
            <w:tcBorders>
              <w:top w:val="single" w:sz="4" w:space="0" w:color="BFBFBF"/>
            </w:tcBorders>
            <w:shd w:val="clear" w:color="auto" w:fill="auto"/>
            <w:hideMark/>
          </w:tcPr>
          <w:p w14:paraId="6CC71C89" w14:textId="77777777" w:rsidR="0078495E" w:rsidRPr="00D02A2E" w:rsidRDefault="0078495E" w:rsidP="004C7BEF">
            <w:pPr>
              <w:pStyle w:val="ARtabletext"/>
            </w:pPr>
            <w:r w:rsidRPr="00322B30">
              <w:t>Percentage of residential withdrawal clients remaining in treatment for two days or more</w:t>
            </w:r>
          </w:p>
        </w:tc>
        <w:tc>
          <w:tcPr>
            <w:tcW w:w="1021" w:type="dxa"/>
            <w:tcBorders>
              <w:top w:val="single" w:sz="4" w:space="0" w:color="BFBFBF"/>
            </w:tcBorders>
            <w:shd w:val="clear" w:color="auto" w:fill="auto"/>
            <w:hideMark/>
          </w:tcPr>
          <w:p w14:paraId="2D9EA6B6" w14:textId="77777777" w:rsidR="0078495E" w:rsidRPr="00D02A2E" w:rsidRDefault="0078495E" w:rsidP="004C7BEF">
            <w:pPr>
              <w:pStyle w:val="ARtabletextcentre"/>
            </w:pPr>
            <w:r w:rsidRPr="00322B30">
              <w:t>per cent</w:t>
            </w:r>
          </w:p>
        </w:tc>
        <w:tc>
          <w:tcPr>
            <w:tcW w:w="1021" w:type="dxa"/>
            <w:tcBorders>
              <w:top w:val="single" w:sz="4" w:space="0" w:color="BFBFBF"/>
            </w:tcBorders>
            <w:shd w:val="clear" w:color="auto" w:fill="auto"/>
            <w:hideMark/>
          </w:tcPr>
          <w:p w14:paraId="3A6E6005" w14:textId="77777777" w:rsidR="0078495E" w:rsidRDefault="0078495E" w:rsidP="004C7BEF">
            <w:pPr>
              <w:pStyle w:val="ARtabletextright"/>
            </w:pPr>
            <w:r w:rsidRPr="00322B30">
              <w:t>80</w:t>
            </w:r>
          </w:p>
        </w:tc>
        <w:tc>
          <w:tcPr>
            <w:tcW w:w="1021" w:type="dxa"/>
            <w:tcBorders>
              <w:top w:val="single" w:sz="4" w:space="0" w:color="BFBFBF"/>
            </w:tcBorders>
            <w:shd w:val="clear" w:color="auto" w:fill="auto"/>
            <w:hideMark/>
          </w:tcPr>
          <w:p w14:paraId="376679BB" w14:textId="77777777" w:rsidR="0078495E" w:rsidRDefault="0078495E" w:rsidP="004C7BEF">
            <w:pPr>
              <w:pStyle w:val="ARtabletextright"/>
            </w:pPr>
            <w:r w:rsidRPr="00322B30">
              <w:t>95.3</w:t>
            </w:r>
          </w:p>
        </w:tc>
        <w:tc>
          <w:tcPr>
            <w:tcW w:w="1021" w:type="dxa"/>
            <w:tcBorders>
              <w:top w:val="single" w:sz="4" w:space="0" w:color="BFBFBF"/>
            </w:tcBorders>
            <w:shd w:val="clear" w:color="auto" w:fill="auto"/>
          </w:tcPr>
          <w:p w14:paraId="7158D392" w14:textId="77777777" w:rsidR="0078495E" w:rsidRDefault="0078495E" w:rsidP="004C7BEF">
            <w:pPr>
              <w:pStyle w:val="ARtabletextright"/>
            </w:pPr>
            <w:r w:rsidRPr="00322B30">
              <w:t>19.1%</w:t>
            </w:r>
          </w:p>
        </w:tc>
        <w:tc>
          <w:tcPr>
            <w:tcW w:w="794" w:type="dxa"/>
            <w:tcBorders>
              <w:top w:val="single" w:sz="4" w:space="0" w:color="BFBFBF"/>
            </w:tcBorders>
            <w:shd w:val="clear" w:color="auto" w:fill="auto"/>
            <w:hideMark/>
          </w:tcPr>
          <w:p w14:paraId="77B983AB" w14:textId="77777777" w:rsidR="0078495E" w:rsidRPr="00D02A2E" w:rsidRDefault="0078495E" w:rsidP="004C7BEF">
            <w:pPr>
              <w:pStyle w:val="ARtableperformancesymbol"/>
              <w:rPr>
                <w:rFonts w:hint="eastAsia"/>
              </w:rPr>
            </w:pPr>
            <w:r w:rsidRPr="00322B30">
              <w:t></w:t>
            </w:r>
          </w:p>
        </w:tc>
      </w:tr>
      <w:tr w:rsidR="0078495E" w:rsidRPr="00D02A2E" w14:paraId="092B1851" w14:textId="77777777" w:rsidTr="001C60F2">
        <w:trPr>
          <w:cantSplit/>
        </w:trPr>
        <w:tc>
          <w:tcPr>
            <w:tcW w:w="9639" w:type="dxa"/>
            <w:gridSpan w:val="6"/>
            <w:tcBorders>
              <w:bottom w:val="single" w:sz="4" w:space="0" w:color="auto"/>
            </w:tcBorders>
            <w:shd w:val="clear" w:color="auto" w:fill="auto"/>
            <w:noWrap/>
            <w:hideMark/>
          </w:tcPr>
          <w:p w14:paraId="6591104C" w14:textId="607E4443" w:rsidR="0078495E" w:rsidRPr="00D02A2E" w:rsidRDefault="0078495E" w:rsidP="004C7BEF">
            <w:pPr>
              <w:pStyle w:val="ARtablenoteindent"/>
            </w:pPr>
            <w:r w:rsidRPr="00C06992">
              <w:t>This positive result reflects that clients are remaining in residential withdrawal at a higher rate. This is indicative of the increased complexity of client presentation</w:t>
            </w:r>
            <w:r w:rsidR="00716942">
              <w:t>s</w:t>
            </w:r>
            <w:r w:rsidRPr="00C06992">
              <w:t>, requiring longer withdrawal periods</w:t>
            </w:r>
            <w:r w:rsidR="00716942">
              <w:t>,</w:t>
            </w:r>
            <w:r w:rsidRPr="00C06992">
              <w:t xml:space="preserve"> and the increase in treatment compliance. During COVID-19 restriction periods clients were more likely to remain in withdrawal whilst access to community</w:t>
            </w:r>
            <w:r w:rsidR="00716942">
              <w:t>-</w:t>
            </w:r>
            <w:r w:rsidRPr="00C06992">
              <w:t>based treatment services was restricted.</w:t>
            </w:r>
          </w:p>
        </w:tc>
      </w:tr>
      <w:tr w:rsidR="0078495E" w:rsidRPr="00D02A2E" w14:paraId="0F3EFD51" w14:textId="77777777" w:rsidTr="001C60F2">
        <w:trPr>
          <w:cantSplit/>
        </w:trPr>
        <w:tc>
          <w:tcPr>
            <w:tcW w:w="9639" w:type="dxa"/>
            <w:gridSpan w:val="6"/>
            <w:tcBorders>
              <w:top w:val="single" w:sz="4" w:space="0" w:color="auto"/>
            </w:tcBorders>
            <w:shd w:val="clear" w:color="auto" w:fill="auto"/>
            <w:hideMark/>
          </w:tcPr>
          <w:p w14:paraId="555093B2" w14:textId="77777777" w:rsidR="0078495E" w:rsidRPr="00D02A2E" w:rsidRDefault="0078495E" w:rsidP="001C60F2">
            <w:pPr>
              <w:pStyle w:val="ARtablegreybold"/>
              <w:pageBreakBefore/>
              <w:rPr>
                <w:rFonts w:ascii="Wingdings" w:hAnsi="Wingdings"/>
              </w:rPr>
            </w:pPr>
            <w:r>
              <w:t>Timeliness</w:t>
            </w:r>
          </w:p>
        </w:tc>
      </w:tr>
      <w:tr w:rsidR="0078495E" w:rsidRPr="00D02A2E" w14:paraId="4CCFFEC3" w14:textId="77777777" w:rsidTr="004C7BEF">
        <w:trPr>
          <w:cantSplit/>
        </w:trPr>
        <w:tc>
          <w:tcPr>
            <w:tcW w:w="4761" w:type="dxa"/>
            <w:shd w:val="clear" w:color="auto" w:fill="auto"/>
            <w:hideMark/>
          </w:tcPr>
          <w:p w14:paraId="7E88C43E" w14:textId="77777777" w:rsidR="0078495E" w:rsidRPr="00D02A2E" w:rsidRDefault="0078495E" w:rsidP="004C7BEF">
            <w:pPr>
              <w:pStyle w:val="ARtabletext"/>
            </w:pPr>
            <w:r w:rsidRPr="001C7955">
              <w:t>Median wait time between intake and assessment</w:t>
            </w:r>
          </w:p>
        </w:tc>
        <w:tc>
          <w:tcPr>
            <w:tcW w:w="1021" w:type="dxa"/>
            <w:shd w:val="clear" w:color="auto" w:fill="auto"/>
            <w:hideMark/>
          </w:tcPr>
          <w:p w14:paraId="5FDD8B16" w14:textId="77777777" w:rsidR="0078495E" w:rsidRPr="00D02A2E" w:rsidRDefault="0078495E" w:rsidP="004C7BEF">
            <w:pPr>
              <w:pStyle w:val="ARtabletextcentre"/>
            </w:pPr>
            <w:r w:rsidRPr="001C7955">
              <w:t>days</w:t>
            </w:r>
          </w:p>
        </w:tc>
        <w:tc>
          <w:tcPr>
            <w:tcW w:w="1021" w:type="dxa"/>
            <w:shd w:val="clear" w:color="auto" w:fill="auto"/>
            <w:hideMark/>
          </w:tcPr>
          <w:p w14:paraId="512DC1E7" w14:textId="77777777" w:rsidR="0078495E" w:rsidRDefault="0078495E" w:rsidP="004C7BEF">
            <w:pPr>
              <w:pStyle w:val="ARtabletextright"/>
            </w:pPr>
            <w:r w:rsidRPr="001C7955">
              <w:t>10</w:t>
            </w:r>
          </w:p>
        </w:tc>
        <w:tc>
          <w:tcPr>
            <w:tcW w:w="1021" w:type="dxa"/>
            <w:shd w:val="clear" w:color="auto" w:fill="auto"/>
            <w:hideMark/>
          </w:tcPr>
          <w:p w14:paraId="63749EDF" w14:textId="77777777" w:rsidR="0078495E" w:rsidRDefault="0078495E" w:rsidP="004C7BEF">
            <w:pPr>
              <w:pStyle w:val="ARtabletextright"/>
            </w:pPr>
            <w:r w:rsidRPr="001C7955">
              <w:t>7</w:t>
            </w:r>
          </w:p>
        </w:tc>
        <w:tc>
          <w:tcPr>
            <w:tcW w:w="1021" w:type="dxa"/>
            <w:shd w:val="clear" w:color="auto" w:fill="auto"/>
          </w:tcPr>
          <w:p w14:paraId="0BFFB6B1" w14:textId="77777777" w:rsidR="0078495E" w:rsidRDefault="0078495E" w:rsidP="004C7BEF">
            <w:pPr>
              <w:pStyle w:val="ARtabletextright"/>
            </w:pPr>
            <w:r w:rsidRPr="001C7955">
              <w:t>−30.0%</w:t>
            </w:r>
          </w:p>
        </w:tc>
        <w:tc>
          <w:tcPr>
            <w:tcW w:w="794" w:type="dxa"/>
            <w:shd w:val="clear" w:color="auto" w:fill="auto"/>
            <w:hideMark/>
          </w:tcPr>
          <w:p w14:paraId="6C106A6E" w14:textId="77777777" w:rsidR="0078495E" w:rsidRPr="00D02A2E" w:rsidRDefault="0078495E" w:rsidP="004C7BEF">
            <w:pPr>
              <w:pStyle w:val="ARtableperformancesymbol"/>
              <w:rPr>
                <w:rFonts w:hint="eastAsia"/>
              </w:rPr>
            </w:pPr>
            <w:r w:rsidRPr="001C7955">
              <w:t></w:t>
            </w:r>
          </w:p>
        </w:tc>
      </w:tr>
      <w:tr w:rsidR="0078495E" w:rsidRPr="00D02A2E" w14:paraId="19544CD9" w14:textId="77777777" w:rsidTr="004C7BEF">
        <w:trPr>
          <w:cantSplit/>
        </w:trPr>
        <w:tc>
          <w:tcPr>
            <w:tcW w:w="9639" w:type="dxa"/>
            <w:gridSpan w:val="6"/>
            <w:tcBorders>
              <w:bottom w:val="single" w:sz="4" w:space="0" w:color="BFBFBF"/>
            </w:tcBorders>
            <w:shd w:val="clear" w:color="auto" w:fill="auto"/>
            <w:noWrap/>
            <w:hideMark/>
          </w:tcPr>
          <w:p w14:paraId="626D61F8" w14:textId="02182AD0" w:rsidR="0078495E" w:rsidRPr="00D02A2E" w:rsidRDefault="0078495E" w:rsidP="004C7BEF">
            <w:pPr>
              <w:pStyle w:val="ARtablenoteindent"/>
            </w:pPr>
            <w:r w:rsidRPr="001C7955">
              <w:t xml:space="preserve">This </w:t>
            </w:r>
            <w:r w:rsidR="00716942">
              <w:t xml:space="preserve">is a positive </w:t>
            </w:r>
            <w:r w:rsidRPr="001C7955">
              <w:t>result which translates to improved client engagement.</w:t>
            </w:r>
          </w:p>
        </w:tc>
      </w:tr>
      <w:tr w:rsidR="0078495E" w:rsidRPr="00D02A2E" w14:paraId="4B1FA8C9" w14:textId="77777777" w:rsidTr="004C7BEF">
        <w:trPr>
          <w:cantSplit/>
        </w:trPr>
        <w:tc>
          <w:tcPr>
            <w:tcW w:w="4761" w:type="dxa"/>
            <w:shd w:val="clear" w:color="auto" w:fill="auto"/>
            <w:hideMark/>
          </w:tcPr>
          <w:p w14:paraId="5214EDEF" w14:textId="77777777" w:rsidR="0078495E" w:rsidRPr="00D02A2E" w:rsidRDefault="0078495E" w:rsidP="004C7BEF">
            <w:pPr>
              <w:pStyle w:val="ARtabletext"/>
            </w:pPr>
            <w:r w:rsidRPr="001C7955">
              <w:t>Median wait time between assessment and commencement of treatment</w:t>
            </w:r>
          </w:p>
        </w:tc>
        <w:tc>
          <w:tcPr>
            <w:tcW w:w="1021" w:type="dxa"/>
            <w:shd w:val="clear" w:color="auto" w:fill="auto"/>
            <w:hideMark/>
          </w:tcPr>
          <w:p w14:paraId="07F8C025" w14:textId="77777777" w:rsidR="0078495E" w:rsidRPr="00D02A2E" w:rsidRDefault="0078495E" w:rsidP="004C7BEF">
            <w:pPr>
              <w:pStyle w:val="ARtabletextcentre"/>
            </w:pPr>
            <w:r w:rsidRPr="001C7955">
              <w:t>days</w:t>
            </w:r>
          </w:p>
        </w:tc>
        <w:tc>
          <w:tcPr>
            <w:tcW w:w="1021" w:type="dxa"/>
            <w:shd w:val="clear" w:color="auto" w:fill="auto"/>
            <w:hideMark/>
          </w:tcPr>
          <w:p w14:paraId="6CF00881" w14:textId="77777777" w:rsidR="0078495E" w:rsidRDefault="0078495E" w:rsidP="004C7BEF">
            <w:pPr>
              <w:pStyle w:val="ARtabletextright"/>
            </w:pPr>
            <w:r w:rsidRPr="001C7955">
              <w:t>20</w:t>
            </w:r>
          </w:p>
        </w:tc>
        <w:tc>
          <w:tcPr>
            <w:tcW w:w="1021" w:type="dxa"/>
            <w:shd w:val="clear" w:color="auto" w:fill="auto"/>
            <w:hideMark/>
          </w:tcPr>
          <w:p w14:paraId="4F833E7D" w14:textId="77777777" w:rsidR="0078495E" w:rsidRDefault="0078495E" w:rsidP="004C7BEF">
            <w:pPr>
              <w:pStyle w:val="ARtabletextright"/>
            </w:pPr>
            <w:r w:rsidRPr="001C7955">
              <w:t>12.8</w:t>
            </w:r>
          </w:p>
        </w:tc>
        <w:tc>
          <w:tcPr>
            <w:tcW w:w="1021" w:type="dxa"/>
            <w:shd w:val="clear" w:color="auto" w:fill="auto"/>
          </w:tcPr>
          <w:p w14:paraId="79012463" w14:textId="77777777" w:rsidR="0078495E" w:rsidRDefault="0078495E" w:rsidP="004C7BEF">
            <w:pPr>
              <w:pStyle w:val="ARtabletextright"/>
            </w:pPr>
            <w:r w:rsidRPr="001C7955">
              <w:t>−36.0%</w:t>
            </w:r>
          </w:p>
        </w:tc>
        <w:tc>
          <w:tcPr>
            <w:tcW w:w="794" w:type="dxa"/>
            <w:shd w:val="clear" w:color="auto" w:fill="auto"/>
            <w:hideMark/>
          </w:tcPr>
          <w:p w14:paraId="3BDDE825" w14:textId="77777777" w:rsidR="0078495E" w:rsidRPr="00D02A2E" w:rsidRDefault="0078495E" w:rsidP="004C7BEF">
            <w:pPr>
              <w:pStyle w:val="ARtableperformancesymbol"/>
              <w:rPr>
                <w:rFonts w:hint="eastAsia"/>
              </w:rPr>
            </w:pPr>
            <w:r w:rsidRPr="001C7955">
              <w:t></w:t>
            </w:r>
          </w:p>
        </w:tc>
      </w:tr>
      <w:tr w:rsidR="0078495E" w:rsidRPr="00D02A2E" w14:paraId="0CD8F0F8" w14:textId="77777777" w:rsidTr="004C7BEF">
        <w:trPr>
          <w:cantSplit/>
        </w:trPr>
        <w:tc>
          <w:tcPr>
            <w:tcW w:w="9639" w:type="dxa"/>
            <w:gridSpan w:val="6"/>
            <w:tcBorders>
              <w:bottom w:val="single" w:sz="4" w:space="0" w:color="BFBFBF"/>
            </w:tcBorders>
            <w:shd w:val="clear" w:color="auto" w:fill="auto"/>
            <w:noWrap/>
            <w:hideMark/>
          </w:tcPr>
          <w:p w14:paraId="189AFC97" w14:textId="55C2AC4B" w:rsidR="0078495E" w:rsidRPr="00D02A2E" w:rsidRDefault="0078495E" w:rsidP="004C7BEF">
            <w:pPr>
              <w:pStyle w:val="ARtablenoteindent"/>
            </w:pPr>
            <w:r w:rsidRPr="001C7955">
              <w:t xml:space="preserve">This </w:t>
            </w:r>
            <w:r w:rsidR="00716942">
              <w:t xml:space="preserve">is a positive </w:t>
            </w:r>
            <w:r w:rsidRPr="001C7955">
              <w:t>result</w:t>
            </w:r>
            <w:r w:rsidR="00B967E3">
              <w:t>.</w:t>
            </w:r>
            <w:r w:rsidRPr="001C7955" w:rsidDel="00716942">
              <w:t xml:space="preserve"> </w:t>
            </w:r>
            <w:r w:rsidR="00716942">
              <w:t>It</w:t>
            </w:r>
            <w:r w:rsidR="00716942" w:rsidRPr="001C7955">
              <w:t xml:space="preserve"> </w:t>
            </w:r>
            <w:r w:rsidRPr="001C7955">
              <w:t>demonstrates reduced waiting times for treatment and leads to higher rates of continued client engagement and improved outcomes.</w:t>
            </w:r>
          </w:p>
        </w:tc>
      </w:tr>
      <w:tr w:rsidR="0078495E" w:rsidRPr="00D02A2E" w14:paraId="33364457" w14:textId="77777777" w:rsidTr="004C7BEF">
        <w:trPr>
          <w:cantSplit/>
        </w:trPr>
        <w:tc>
          <w:tcPr>
            <w:tcW w:w="9639" w:type="dxa"/>
            <w:gridSpan w:val="6"/>
            <w:tcBorders>
              <w:top w:val="single" w:sz="4" w:space="0" w:color="auto"/>
            </w:tcBorders>
            <w:shd w:val="clear" w:color="auto" w:fill="auto"/>
            <w:hideMark/>
          </w:tcPr>
          <w:p w14:paraId="79A111D6" w14:textId="77777777" w:rsidR="0078495E" w:rsidRPr="00D02A2E" w:rsidRDefault="0078495E" w:rsidP="004C7BEF">
            <w:pPr>
              <w:pStyle w:val="ARtablegreybold"/>
              <w:rPr>
                <w:rFonts w:ascii="Wingdings" w:hAnsi="Wingdings"/>
              </w:rPr>
            </w:pPr>
            <w:r w:rsidRPr="001C7955">
              <w:t>Cost</w:t>
            </w:r>
          </w:p>
        </w:tc>
      </w:tr>
      <w:tr w:rsidR="0078495E" w:rsidRPr="000D610E" w14:paraId="1D4D67E1" w14:textId="77777777" w:rsidTr="004C7BEF">
        <w:trPr>
          <w:cantSplit/>
        </w:trPr>
        <w:tc>
          <w:tcPr>
            <w:tcW w:w="4761" w:type="dxa"/>
            <w:shd w:val="clear" w:color="auto" w:fill="auto"/>
            <w:hideMark/>
          </w:tcPr>
          <w:p w14:paraId="43E89259" w14:textId="77777777" w:rsidR="0078495E" w:rsidRPr="000D610E" w:rsidRDefault="0078495E" w:rsidP="004C7BEF">
            <w:pPr>
              <w:pStyle w:val="ARtabletext"/>
              <w:rPr>
                <w:b/>
                <w:bCs/>
              </w:rPr>
            </w:pPr>
            <w:r w:rsidRPr="000D610E">
              <w:rPr>
                <w:b/>
                <w:bCs/>
              </w:rPr>
              <w:t>Total Output Cost</w:t>
            </w:r>
          </w:p>
        </w:tc>
        <w:tc>
          <w:tcPr>
            <w:tcW w:w="1021" w:type="dxa"/>
            <w:shd w:val="clear" w:color="auto" w:fill="auto"/>
            <w:hideMark/>
          </w:tcPr>
          <w:p w14:paraId="4C434AE1" w14:textId="77777777" w:rsidR="0078495E" w:rsidRPr="000D610E" w:rsidRDefault="0078495E" w:rsidP="004C7BEF">
            <w:pPr>
              <w:pStyle w:val="ARtabletextcentre"/>
              <w:rPr>
                <w:b/>
                <w:bCs/>
              </w:rPr>
            </w:pPr>
            <w:r w:rsidRPr="000D610E">
              <w:rPr>
                <w:b/>
                <w:bCs/>
              </w:rPr>
              <w:t>$ million</w:t>
            </w:r>
          </w:p>
        </w:tc>
        <w:tc>
          <w:tcPr>
            <w:tcW w:w="1021" w:type="dxa"/>
            <w:shd w:val="clear" w:color="auto" w:fill="auto"/>
            <w:hideMark/>
          </w:tcPr>
          <w:p w14:paraId="4C9C7ED1" w14:textId="77777777" w:rsidR="0078495E" w:rsidRPr="000D610E" w:rsidRDefault="0078495E" w:rsidP="004C7BEF">
            <w:pPr>
              <w:pStyle w:val="ARtabletextright"/>
              <w:rPr>
                <w:b/>
                <w:bCs/>
              </w:rPr>
            </w:pPr>
            <w:r w:rsidRPr="000D610E">
              <w:rPr>
                <w:b/>
                <w:bCs/>
              </w:rPr>
              <w:t>285.4</w:t>
            </w:r>
          </w:p>
        </w:tc>
        <w:tc>
          <w:tcPr>
            <w:tcW w:w="1021" w:type="dxa"/>
            <w:shd w:val="clear" w:color="auto" w:fill="auto"/>
            <w:hideMark/>
          </w:tcPr>
          <w:p w14:paraId="2AB9F30A" w14:textId="77777777" w:rsidR="0078495E" w:rsidRPr="000D610E" w:rsidRDefault="0078495E" w:rsidP="004C7BEF">
            <w:pPr>
              <w:pStyle w:val="ARtabletextright"/>
              <w:rPr>
                <w:b/>
                <w:bCs/>
              </w:rPr>
            </w:pPr>
            <w:r w:rsidRPr="000D610E">
              <w:rPr>
                <w:b/>
                <w:bCs/>
              </w:rPr>
              <w:t>308.1</w:t>
            </w:r>
          </w:p>
        </w:tc>
        <w:tc>
          <w:tcPr>
            <w:tcW w:w="1021" w:type="dxa"/>
            <w:shd w:val="clear" w:color="auto" w:fill="auto"/>
          </w:tcPr>
          <w:p w14:paraId="3AAD9BAD" w14:textId="77777777" w:rsidR="0078495E" w:rsidRPr="000D610E" w:rsidRDefault="0078495E" w:rsidP="004C7BEF">
            <w:pPr>
              <w:pStyle w:val="ARtabletextright"/>
              <w:rPr>
                <w:b/>
                <w:bCs/>
              </w:rPr>
            </w:pPr>
            <w:r w:rsidRPr="000D610E">
              <w:rPr>
                <w:b/>
                <w:bCs/>
              </w:rPr>
              <w:t>7.9%</w:t>
            </w:r>
          </w:p>
        </w:tc>
        <w:tc>
          <w:tcPr>
            <w:tcW w:w="794" w:type="dxa"/>
            <w:shd w:val="clear" w:color="auto" w:fill="auto"/>
            <w:hideMark/>
          </w:tcPr>
          <w:p w14:paraId="313A1BE8" w14:textId="77777777" w:rsidR="0078495E" w:rsidRPr="0054543E" w:rsidRDefault="0078495E" w:rsidP="004C7BEF">
            <w:pPr>
              <w:pStyle w:val="ARtabletextright"/>
              <w:rPr>
                <w:b/>
                <w:bCs/>
              </w:rPr>
            </w:pPr>
          </w:p>
        </w:tc>
      </w:tr>
      <w:tr w:rsidR="0078495E" w:rsidRPr="00D02A2E" w14:paraId="5F0F28DE" w14:textId="77777777" w:rsidTr="004C7BEF">
        <w:trPr>
          <w:cantSplit/>
        </w:trPr>
        <w:tc>
          <w:tcPr>
            <w:tcW w:w="9639" w:type="dxa"/>
            <w:gridSpan w:val="6"/>
            <w:tcBorders>
              <w:bottom w:val="single" w:sz="4" w:space="0" w:color="auto"/>
            </w:tcBorders>
            <w:shd w:val="clear" w:color="auto" w:fill="auto"/>
            <w:noWrap/>
            <w:hideMark/>
          </w:tcPr>
          <w:p w14:paraId="3D96D8FD" w14:textId="1A83F113" w:rsidR="0078495E" w:rsidRPr="0054543E" w:rsidRDefault="0078495E" w:rsidP="004C7BEF">
            <w:pPr>
              <w:pStyle w:val="ARtablenoteindent"/>
            </w:pPr>
            <w:r w:rsidRPr="0054543E">
              <w:t xml:space="preserve">The 2021–22 actual outcome primarily </w:t>
            </w:r>
            <w:r w:rsidRPr="00DB1CDA">
              <w:t xml:space="preserve">reflects </w:t>
            </w:r>
            <w:r w:rsidR="0054543E" w:rsidRPr="00DB1CDA">
              <w:t xml:space="preserve">funding </w:t>
            </w:r>
            <w:r w:rsidRPr="00DB1CDA">
              <w:t xml:space="preserve">increases </w:t>
            </w:r>
            <w:r w:rsidR="0054543E" w:rsidRPr="00DB1CDA">
              <w:t xml:space="preserve">associated with </w:t>
            </w:r>
            <w:r w:rsidRPr="00DB1CDA">
              <w:t>government</w:t>
            </w:r>
            <w:r w:rsidRPr="0054543E">
              <w:t xml:space="preserve"> policy initiatives.</w:t>
            </w:r>
          </w:p>
        </w:tc>
      </w:tr>
    </w:tbl>
    <w:p w14:paraId="18487341" w14:textId="0F58DA1C" w:rsidR="0078495E" w:rsidRDefault="0078495E" w:rsidP="00306875">
      <w:pPr>
        <w:pStyle w:val="Heading4"/>
        <w:spacing w:before="400"/>
      </w:pPr>
      <w:r>
        <w:t>Mental Health Clinical Care</w:t>
      </w:r>
    </w:p>
    <w:p w14:paraId="4029B3E3" w14:textId="5DC9879D" w:rsidR="0078495E" w:rsidRDefault="008F373E" w:rsidP="0078495E">
      <w:pPr>
        <w:pStyle w:val="ARbody"/>
      </w:pPr>
      <w:r w:rsidRPr="008F373E">
        <w:t>This output provides a range of inpatient residential and community-based clinical services to people with mental illness, and their families and carers.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730E6F09" w14:textId="77777777" w:rsidTr="004C7BEF">
        <w:trPr>
          <w:cantSplit/>
          <w:tblHeader/>
        </w:trPr>
        <w:tc>
          <w:tcPr>
            <w:tcW w:w="4761" w:type="dxa"/>
            <w:tcBorders>
              <w:bottom w:val="single" w:sz="4" w:space="0" w:color="auto"/>
            </w:tcBorders>
            <w:shd w:val="clear" w:color="auto" w:fill="auto"/>
            <w:vAlign w:val="bottom"/>
            <w:hideMark/>
          </w:tcPr>
          <w:p w14:paraId="2E7A5576"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262D6955"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372EB713"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16321B89"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1B572320"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78EB399F" w14:textId="77777777" w:rsidR="0078495E" w:rsidRPr="00F72126" w:rsidRDefault="0078495E" w:rsidP="004C7BEF">
            <w:pPr>
              <w:pStyle w:val="ARtablecolheadright"/>
            </w:pPr>
            <w:r w:rsidRPr="00F72126">
              <w:t>Result</w:t>
            </w:r>
          </w:p>
        </w:tc>
      </w:tr>
      <w:tr w:rsidR="0078495E" w:rsidRPr="00D02A2E" w14:paraId="5F7D3395" w14:textId="77777777" w:rsidTr="004C7BEF">
        <w:trPr>
          <w:cantSplit/>
        </w:trPr>
        <w:tc>
          <w:tcPr>
            <w:tcW w:w="9639" w:type="dxa"/>
            <w:gridSpan w:val="6"/>
            <w:tcBorders>
              <w:top w:val="single" w:sz="4" w:space="0" w:color="auto"/>
            </w:tcBorders>
            <w:shd w:val="clear" w:color="auto" w:fill="auto"/>
            <w:hideMark/>
          </w:tcPr>
          <w:p w14:paraId="0BC6AA3A" w14:textId="77777777" w:rsidR="0078495E" w:rsidRPr="00D02A2E" w:rsidRDefault="0078495E" w:rsidP="004C7BEF">
            <w:pPr>
              <w:pStyle w:val="ARtablegreybold"/>
              <w:rPr>
                <w:rFonts w:ascii="Wingdings" w:hAnsi="Wingdings"/>
              </w:rPr>
            </w:pPr>
            <w:r w:rsidRPr="007A45E9">
              <w:t>Quantity</w:t>
            </w:r>
          </w:p>
        </w:tc>
      </w:tr>
      <w:tr w:rsidR="0078495E" w:rsidRPr="00D02A2E" w14:paraId="04C11384" w14:textId="77777777" w:rsidTr="004C7BEF">
        <w:trPr>
          <w:cantSplit/>
        </w:trPr>
        <w:tc>
          <w:tcPr>
            <w:tcW w:w="4761" w:type="dxa"/>
            <w:shd w:val="clear" w:color="auto" w:fill="auto"/>
            <w:hideMark/>
          </w:tcPr>
          <w:p w14:paraId="6130C407" w14:textId="77777777" w:rsidR="0078495E" w:rsidRPr="00D02A2E" w:rsidRDefault="0078495E" w:rsidP="004C7BEF">
            <w:pPr>
              <w:pStyle w:val="ARtabletext"/>
            </w:pPr>
            <w:r w:rsidRPr="002D70CD">
              <w:t>Clinical inpatient separations</w:t>
            </w:r>
          </w:p>
        </w:tc>
        <w:tc>
          <w:tcPr>
            <w:tcW w:w="1021" w:type="dxa"/>
            <w:shd w:val="clear" w:color="auto" w:fill="auto"/>
            <w:hideMark/>
          </w:tcPr>
          <w:p w14:paraId="26DD25C6" w14:textId="77777777" w:rsidR="0078495E" w:rsidRPr="00D02A2E" w:rsidRDefault="0078495E" w:rsidP="004C7BEF">
            <w:pPr>
              <w:pStyle w:val="ARtabletextcentre"/>
            </w:pPr>
            <w:r w:rsidRPr="002D70CD">
              <w:t>number</w:t>
            </w:r>
          </w:p>
        </w:tc>
        <w:tc>
          <w:tcPr>
            <w:tcW w:w="1021" w:type="dxa"/>
            <w:shd w:val="clear" w:color="auto" w:fill="auto"/>
            <w:hideMark/>
          </w:tcPr>
          <w:p w14:paraId="0CFEDF9F" w14:textId="77777777" w:rsidR="0078495E" w:rsidRDefault="0078495E" w:rsidP="004C7BEF">
            <w:pPr>
              <w:pStyle w:val="ARtabletextright"/>
            </w:pPr>
            <w:r w:rsidRPr="002D70CD">
              <w:t>28,747</w:t>
            </w:r>
          </w:p>
        </w:tc>
        <w:tc>
          <w:tcPr>
            <w:tcW w:w="1021" w:type="dxa"/>
            <w:shd w:val="clear" w:color="auto" w:fill="auto"/>
            <w:hideMark/>
          </w:tcPr>
          <w:p w14:paraId="28D57D34" w14:textId="77777777" w:rsidR="0078495E" w:rsidRDefault="0078495E" w:rsidP="004C7BEF">
            <w:pPr>
              <w:pStyle w:val="ARtabletextright"/>
            </w:pPr>
            <w:r w:rsidRPr="002D70CD">
              <w:t>26,240</w:t>
            </w:r>
          </w:p>
        </w:tc>
        <w:tc>
          <w:tcPr>
            <w:tcW w:w="1021" w:type="dxa"/>
            <w:shd w:val="clear" w:color="auto" w:fill="auto"/>
          </w:tcPr>
          <w:p w14:paraId="2130EE56" w14:textId="77777777" w:rsidR="0078495E" w:rsidRDefault="0078495E" w:rsidP="004C7BEF">
            <w:pPr>
              <w:pStyle w:val="ARtabletextright"/>
            </w:pPr>
            <w:r w:rsidRPr="002D70CD">
              <w:t>−8.7%</w:t>
            </w:r>
          </w:p>
        </w:tc>
        <w:tc>
          <w:tcPr>
            <w:tcW w:w="794" w:type="dxa"/>
            <w:shd w:val="clear" w:color="auto" w:fill="auto"/>
            <w:hideMark/>
          </w:tcPr>
          <w:p w14:paraId="6D3426CA" w14:textId="77777777" w:rsidR="0078495E" w:rsidRPr="00D02A2E" w:rsidRDefault="0078495E" w:rsidP="004C7BEF">
            <w:pPr>
              <w:pStyle w:val="ARtableperformancesymbol"/>
              <w:rPr>
                <w:rFonts w:hint="eastAsia"/>
              </w:rPr>
            </w:pPr>
            <w:r w:rsidRPr="002D70CD">
              <w:t></w:t>
            </w:r>
          </w:p>
        </w:tc>
      </w:tr>
      <w:tr w:rsidR="0078495E" w:rsidRPr="00D02A2E" w14:paraId="398641C2" w14:textId="77777777" w:rsidTr="004C7BEF">
        <w:trPr>
          <w:cantSplit/>
        </w:trPr>
        <w:tc>
          <w:tcPr>
            <w:tcW w:w="9639" w:type="dxa"/>
            <w:gridSpan w:val="6"/>
            <w:tcBorders>
              <w:bottom w:val="single" w:sz="4" w:space="0" w:color="BFBFBF"/>
            </w:tcBorders>
            <w:shd w:val="clear" w:color="auto" w:fill="auto"/>
            <w:noWrap/>
            <w:hideMark/>
          </w:tcPr>
          <w:p w14:paraId="7E16534A" w14:textId="07681658" w:rsidR="0078495E" w:rsidRPr="00D02A2E" w:rsidRDefault="0078495E" w:rsidP="004C7BEF">
            <w:pPr>
              <w:pStyle w:val="ARtablenoteindent"/>
            </w:pPr>
            <w:r w:rsidRPr="002D70CD">
              <w:t>COVID-19 outbreaks and implementing COVID</w:t>
            </w:r>
            <w:r w:rsidR="00E673C1">
              <w:t>-19</w:t>
            </w:r>
            <w:r w:rsidRPr="002D70CD">
              <w:t xml:space="preserve"> safe practices have continued to have an impact on operational beds</w:t>
            </w:r>
            <w:r w:rsidR="00E673C1">
              <w:t>,</w:t>
            </w:r>
            <w:r w:rsidRPr="002D70CD">
              <w:t xml:space="preserve"> resulting in some acute bed closures.</w:t>
            </w:r>
          </w:p>
        </w:tc>
      </w:tr>
      <w:tr w:rsidR="0078495E" w:rsidRPr="00D02A2E" w14:paraId="716878A5" w14:textId="77777777" w:rsidTr="004C7BEF">
        <w:trPr>
          <w:cantSplit/>
        </w:trPr>
        <w:tc>
          <w:tcPr>
            <w:tcW w:w="4761" w:type="dxa"/>
            <w:shd w:val="clear" w:color="auto" w:fill="auto"/>
            <w:hideMark/>
          </w:tcPr>
          <w:p w14:paraId="6E957D53" w14:textId="77777777" w:rsidR="0078495E" w:rsidRPr="00D02A2E" w:rsidRDefault="0078495E" w:rsidP="004C7BEF">
            <w:pPr>
              <w:pStyle w:val="ARtabletext"/>
            </w:pPr>
            <w:r w:rsidRPr="002D70CD">
              <w:t>Total community service hours (child and adolescent)</w:t>
            </w:r>
          </w:p>
        </w:tc>
        <w:tc>
          <w:tcPr>
            <w:tcW w:w="1021" w:type="dxa"/>
            <w:shd w:val="clear" w:color="auto" w:fill="auto"/>
            <w:hideMark/>
          </w:tcPr>
          <w:p w14:paraId="77F5CEC9" w14:textId="77777777" w:rsidR="0078495E" w:rsidRPr="00D02A2E" w:rsidRDefault="0078495E" w:rsidP="004C7BEF">
            <w:pPr>
              <w:pStyle w:val="ARtabletextcentre"/>
            </w:pPr>
            <w:r w:rsidRPr="002D70CD">
              <w:t>number (thousand)</w:t>
            </w:r>
          </w:p>
        </w:tc>
        <w:tc>
          <w:tcPr>
            <w:tcW w:w="1021" w:type="dxa"/>
            <w:shd w:val="clear" w:color="auto" w:fill="auto"/>
            <w:hideMark/>
          </w:tcPr>
          <w:p w14:paraId="2C0AFBF8" w14:textId="77777777" w:rsidR="0078495E" w:rsidRDefault="0078495E" w:rsidP="004C7BEF">
            <w:pPr>
              <w:pStyle w:val="ARtabletextright"/>
            </w:pPr>
            <w:r w:rsidRPr="002D70CD">
              <w:t>266</w:t>
            </w:r>
          </w:p>
        </w:tc>
        <w:tc>
          <w:tcPr>
            <w:tcW w:w="1021" w:type="dxa"/>
            <w:shd w:val="clear" w:color="auto" w:fill="auto"/>
            <w:hideMark/>
          </w:tcPr>
          <w:p w14:paraId="3C7111D1" w14:textId="77777777" w:rsidR="0078495E" w:rsidRDefault="0078495E" w:rsidP="004C7BEF">
            <w:pPr>
              <w:pStyle w:val="ARtabletextright"/>
            </w:pPr>
            <w:r w:rsidRPr="002D70CD">
              <w:t>230</w:t>
            </w:r>
          </w:p>
        </w:tc>
        <w:tc>
          <w:tcPr>
            <w:tcW w:w="1021" w:type="dxa"/>
            <w:shd w:val="clear" w:color="auto" w:fill="auto"/>
          </w:tcPr>
          <w:p w14:paraId="58C545A8" w14:textId="77777777" w:rsidR="0078495E" w:rsidRDefault="0078495E" w:rsidP="004C7BEF">
            <w:pPr>
              <w:pStyle w:val="ARtabletextright"/>
            </w:pPr>
            <w:r w:rsidRPr="002D70CD">
              <w:t>−13.5%</w:t>
            </w:r>
          </w:p>
        </w:tc>
        <w:tc>
          <w:tcPr>
            <w:tcW w:w="794" w:type="dxa"/>
            <w:shd w:val="clear" w:color="auto" w:fill="auto"/>
            <w:hideMark/>
          </w:tcPr>
          <w:p w14:paraId="230E29DB" w14:textId="77777777" w:rsidR="0078495E" w:rsidRPr="00D02A2E" w:rsidRDefault="0078495E" w:rsidP="004C7BEF">
            <w:pPr>
              <w:pStyle w:val="ARtableperformancesymbol"/>
              <w:rPr>
                <w:rFonts w:hint="eastAsia"/>
              </w:rPr>
            </w:pPr>
            <w:r w:rsidRPr="002D70CD">
              <w:t></w:t>
            </w:r>
          </w:p>
        </w:tc>
      </w:tr>
      <w:tr w:rsidR="0078495E" w:rsidRPr="00D02A2E" w14:paraId="40721BB2" w14:textId="77777777" w:rsidTr="004C7BEF">
        <w:trPr>
          <w:cantSplit/>
        </w:trPr>
        <w:tc>
          <w:tcPr>
            <w:tcW w:w="9639" w:type="dxa"/>
            <w:gridSpan w:val="6"/>
            <w:tcBorders>
              <w:bottom w:val="single" w:sz="4" w:space="0" w:color="BFBFBF"/>
            </w:tcBorders>
            <w:shd w:val="clear" w:color="auto" w:fill="auto"/>
            <w:noWrap/>
            <w:hideMark/>
          </w:tcPr>
          <w:p w14:paraId="4FE933B9" w14:textId="02391BA3" w:rsidR="0078495E" w:rsidRPr="00D02A2E" w:rsidRDefault="0078495E" w:rsidP="004C7BEF">
            <w:pPr>
              <w:pStyle w:val="ARtablenoteindent"/>
            </w:pPr>
            <w:r w:rsidRPr="002D70CD">
              <w:t>COVID</w:t>
            </w:r>
            <w:r w:rsidR="00E673C1">
              <w:t>-</w:t>
            </w:r>
            <w:r w:rsidRPr="002D70CD">
              <w:t xml:space="preserve">19 outbreaks contributed to workforce shortages/ furlough leave in mental health programs. These factors contributed </w:t>
            </w:r>
            <w:r w:rsidR="00E673C1">
              <w:t>to</w:t>
            </w:r>
            <w:r w:rsidR="00E673C1" w:rsidRPr="002D70CD">
              <w:t xml:space="preserve"> </w:t>
            </w:r>
            <w:r w:rsidRPr="002D70CD">
              <w:t xml:space="preserve">a </w:t>
            </w:r>
            <w:r w:rsidR="00E673C1">
              <w:t>negative</w:t>
            </w:r>
            <w:r w:rsidR="00E673C1" w:rsidRPr="002D70CD">
              <w:t xml:space="preserve"> </w:t>
            </w:r>
            <w:r w:rsidRPr="002D70CD">
              <w:t>result.</w:t>
            </w:r>
          </w:p>
        </w:tc>
      </w:tr>
      <w:tr w:rsidR="0078495E" w:rsidRPr="00D02A2E" w14:paraId="454FB811" w14:textId="77777777" w:rsidTr="004C7BEF">
        <w:trPr>
          <w:cantSplit/>
        </w:trPr>
        <w:tc>
          <w:tcPr>
            <w:tcW w:w="4761" w:type="dxa"/>
            <w:shd w:val="clear" w:color="auto" w:fill="auto"/>
            <w:hideMark/>
          </w:tcPr>
          <w:p w14:paraId="749D4D2F" w14:textId="77777777" w:rsidR="0078495E" w:rsidRPr="00D02A2E" w:rsidRDefault="0078495E" w:rsidP="004C7BEF">
            <w:pPr>
              <w:pStyle w:val="ARtabletext"/>
            </w:pPr>
            <w:r w:rsidRPr="002D70CD">
              <w:t>Total community service hours (adult)</w:t>
            </w:r>
          </w:p>
        </w:tc>
        <w:tc>
          <w:tcPr>
            <w:tcW w:w="1021" w:type="dxa"/>
            <w:shd w:val="clear" w:color="auto" w:fill="auto"/>
            <w:hideMark/>
          </w:tcPr>
          <w:p w14:paraId="51A6F5E4" w14:textId="77777777" w:rsidR="0078495E" w:rsidRPr="00D02A2E" w:rsidRDefault="0078495E" w:rsidP="004C7BEF">
            <w:pPr>
              <w:pStyle w:val="ARtabletextcentre"/>
            </w:pPr>
            <w:r w:rsidRPr="002D70CD">
              <w:t>number (thousand)</w:t>
            </w:r>
          </w:p>
        </w:tc>
        <w:tc>
          <w:tcPr>
            <w:tcW w:w="1021" w:type="dxa"/>
            <w:shd w:val="clear" w:color="auto" w:fill="auto"/>
            <w:hideMark/>
          </w:tcPr>
          <w:p w14:paraId="0D340260" w14:textId="77777777" w:rsidR="0078495E" w:rsidRDefault="0078495E" w:rsidP="004C7BEF">
            <w:pPr>
              <w:pStyle w:val="ARtabletextright"/>
            </w:pPr>
            <w:r w:rsidRPr="002D70CD">
              <w:t>1,185</w:t>
            </w:r>
          </w:p>
        </w:tc>
        <w:tc>
          <w:tcPr>
            <w:tcW w:w="1021" w:type="dxa"/>
            <w:shd w:val="clear" w:color="auto" w:fill="auto"/>
            <w:hideMark/>
          </w:tcPr>
          <w:p w14:paraId="1F4BC87C" w14:textId="77777777" w:rsidR="0078495E" w:rsidRDefault="0078495E" w:rsidP="004C7BEF">
            <w:pPr>
              <w:pStyle w:val="ARtabletextright"/>
            </w:pPr>
            <w:r w:rsidRPr="002D70CD">
              <w:t>987</w:t>
            </w:r>
          </w:p>
        </w:tc>
        <w:tc>
          <w:tcPr>
            <w:tcW w:w="1021" w:type="dxa"/>
            <w:shd w:val="clear" w:color="auto" w:fill="auto"/>
          </w:tcPr>
          <w:p w14:paraId="39570BF2" w14:textId="77777777" w:rsidR="0078495E" w:rsidRDefault="0078495E" w:rsidP="004C7BEF">
            <w:pPr>
              <w:pStyle w:val="ARtabletextright"/>
            </w:pPr>
            <w:r w:rsidRPr="002D70CD">
              <w:t>−16.7%</w:t>
            </w:r>
          </w:p>
        </w:tc>
        <w:tc>
          <w:tcPr>
            <w:tcW w:w="794" w:type="dxa"/>
            <w:shd w:val="clear" w:color="auto" w:fill="auto"/>
            <w:hideMark/>
          </w:tcPr>
          <w:p w14:paraId="5B722704" w14:textId="77777777" w:rsidR="0078495E" w:rsidRPr="00D02A2E" w:rsidRDefault="0078495E" w:rsidP="004C7BEF">
            <w:pPr>
              <w:pStyle w:val="ARtableperformancesymbol"/>
              <w:rPr>
                <w:rFonts w:hint="eastAsia"/>
              </w:rPr>
            </w:pPr>
            <w:r w:rsidRPr="002D70CD">
              <w:t></w:t>
            </w:r>
          </w:p>
        </w:tc>
      </w:tr>
      <w:tr w:rsidR="0078495E" w:rsidRPr="00D02A2E" w14:paraId="48C87F26" w14:textId="77777777" w:rsidTr="004C7BEF">
        <w:trPr>
          <w:cantSplit/>
        </w:trPr>
        <w:tc>
          <w:tcPr>
            <w:tcW w:w="9639" w:type="dxa"/>
            <w:gridSpan w:val="6"/>
            <w:tcBorders>
              <w:bottom w:val="single" w:sz="4" w:space="0" w:color="BFBFBF"/>
            </w:tcBorders>
            <w:shd w:val="clear" w:color="auto" w:fill="auto"/>
            <w:noWrap/>
            <w:hideMark/>
          </w:tcPr>
          <w:p w14:paraId="1E55486F" w14:textId="1F2227E8" w:rsidR="0078495E" w:rsidRPr="00D02A2E" w:rsidRDefault="0078495E" w:rsidP="004C7BEF">
            <w:pPr>
              <w:pStyle w:val="ARtablenoteindent"/>
            </w:pPr>
            <w:r w:rsidRPr="002D70CD">
              <w:t>COVID</w:t>
            </w:r>
            <w:r w:rsidR="00E673C1">
              <w:t>-</w:t>
            </w:r>
            <w:r w:rsidRPr="002D70CD">
              <w:t xml:space="preserve">19 outbreaks contributed to workforce shortages/ furlough leave in mental health programs. These factors contributed </w:t>
            </w:r>
            <w:r w:rsidR="00E673C1">
              <w:t>to</w:t>
            </w:r>
            <w:r w:rsidR="00E673C1" w:rsidRPr="002D70CD">
              <w:t xml:space="preserve"> </w:t>
            </w:r>
            <w:r w:rsidRPr="002D70CD">
              <w:t xml:space="preserve">a </w:t>
            </w:r>
            <w:r w:rsidR="00E673C1">
              <w:t>negative</w:t>
            </w:r>
            <w:r w:rsidR="00E673C1" w:rsidRPr="002D70CD">
              <w:t xml:space="preserve"> </w:t>
            </w:r>
            <w:r w:rsidRPr="002D70CD">
              <w:t>result.</w:t>
            </w:r>
          </w:p>
        </w:tc>
      </w:tr>
      <w:tr w:rsidR="0078495E" w:rsidRPr="00D02A2E" w14:paraId="221554BB" w14:textId="77777777" w:rsidTr="004C7BEF">
        <w:trPr>
          <w:cantSplit/>
        </w:trPr>
        <w:tc>
          <w:tcPr>
            <w:tcW w:w="4761" w:type="dxa"/>
            <w:shd w:val="clear" w:color="auto" w:fill="auto"/>
            <w:hideMark/>
          </w:tcPr>
          <w:p w14:paraId="4EC2B0D1" w14:textId="77777777" w:rsidR="0078495E" w:rsidRPr="00D02A2E" w:rsidRDefault="0078495E" w:rsidP="004C7BEF">
            <w:pPr>
              <w:pStyle w:val="ARtabletext"/>
            </w:pPr>
            <w:r w:rsidRPr="002D70CD">
              <w:t>Total community service hours (aged)</w:t>
            </w:r>
          </w:p>
        </w:tc>
        <w:tc>
          <w:tcPr>
            <w:tcW w:w="1021" w:type="dxa"/>
            <w:shd w:val="clear" w:color="auto" w:fill="auto"/>
            <w:hideMark/>
          </w:tcPr>
          <w:p w14:paraId="1E061DDD" w14:textId="77777777" w:rsidR="0078495E" w:rsidRPr="00D02A2E" w:rsidRDefault="0078495E" w:rsidP="004C7BEF">
            <w:pPr>
              <w:pStyle w:val="ARtabletextcentre"/>
            </w:pPr>
            <w:r w:rsidRPr="002D70CD">
              <w:t>number (thousand)</w:t>
            </w:r>
          </w:p>
        </w:tc>
        <w:tc>
          <w:tcPr>
            <w:tcW w:w="1021" w:type="dxa"/>
            <w:shd w:val="clear" w:color="auto" w:fill="auto"/>
            <w:hideMark/>
          </w:tcPr>
          <w:p w14:paraId="6BB47C40" w14:textId="77777777" w:rsidR="0078495E" w:rsidRDefault="0078495E" w:rsidP="004C7BEF">
            <w:pPr>
              <w:pStyle w:val="ARtabletextright"/>
            </w:pPr>
            <w:r w:rsidRPr="002D70CD">
              <w:t>154</w:t>
            </w:r>
          </w:p>
        </w:tc>
        <w:tc>
          <w:tcPr>
            <w:tcW w:w="1021" w:type="dxa"/>
            <w:shd w:val="clear" w:color="auto" w:fill="auto"/>
            <w:hideMark/>
          </w:tcPr>
          <w:p w14:paraId="060FA2B5" w14:textId="77777777" w:rsidR="0078495E" w:rsidRDefault="0078495E" w:rsidP="004C7BEF">
            <w:pPr>
              <w:pStyle w:val="ARtabletextright"/>
            </w:pPr>
            <w:r w:rsidRPr="002D70CD">
              <w:t>128</w:t>
            </w:r>
          </w:p>
        </w:tc>
        <w:tc>
          <w:tcPr>
            <w:tcW w:w="1021" w:type="dxa"/>
            <w:shd w:val="clear" w:color="auto" w:fill="auto"/>
          </w:tcPr>
          <w:p w14:paraId="20E1AC2F" w14:textId="77777777" w:rsidR="0078495E" w:rsidRDefault="0078495E" w:rsidP="004C7BEF">
            <w:pPr>
              <w:pStyle w:val="ARtabletextright"/>
            </w:pPr>
            <w:r w:rsidRPr="002D70CD">
              <w:t>−16.9%</w:t>
            </w:r>
          </w:p>
        </w:tc>
        <w:tc>
          <w:tcPr>
            <w:tcW w:w="794" w:type="dxa"/>
            <w:shd w:val="clear" w:color="auto" w:fill="auto"/>
            <w:hideMark/>
          </w:tcPr>
          <w:p w14:paraId="0C9743EB" w14:textId="77777777" w:rsidR="0078495E" w:rsidRPr="00D02A2E" w:rsidRDefault="0078495E" w:rsidP="004C7BEF">
            <w:pPr>
              <w:pStyle w:val="ARtableperformancesymbol"/>
              <w:rPr>
                <w:rFonts w:hint="eastAsia"/>
              </w:rPr>
            </w:pPr>
            <w:r w:rsidRPr="002D70CD">
              <w:t></w:t>
            </w:r>
          </w:p>
        </w:tc>
      </w:tr>
      <w:tr w:rsidR="0078495E" w:rsidRPr="00D02A2E" w14:paraId="3559B1B3" w14:textId="77777777" w:rsidTr="004C7BEF">
        <w:trPr>
          <w:cantSplit/>
        </w:trPr>
        <w:tc>
          <w:tcPr>
            <w:tcW w:w="9639" w:type="dxa"/>
            <w:gridSpan w:val="6"/>
            <w:tcBorders>
              <w:bottom w:val="single" w:sz="4" w:space="0" w:color="BFBFBF"/>
            </w:tcBorders>
            <w:shd w:val="clear" w:color="auto" w:fill="auto"/>
            <w:noWrap/>
            <w:hideMark/>
          </w:tcPr>
          <w:p w14:paraId="276052EA" w14:textId="5659F9F1" w:rsidR="0078495E" w:rsidRPr="00D02A2E" w:rsidRDefault="0078495E" w:rsidP="004C7BEF">
            <w:pPr>
              <w:pStyle w:val="ARtablenoteindent"/>
            </w:pPr>
            <w:r w:rsidRPr="002D70CD">
              <w:t>COVID</w:t>
            </w:r>
            <w:r w:rsidR="00E673C1">
              <w:t>-</w:t>
            </w:r>
            <w:r w:rsidRPr="002D70CD">
              <w:t xml:space="preserve">19 outbreaks contributed to workforce shortages/ furlough leave in mental health programs. These factors contributed </w:t>
            </w:r>
            <w:r w:rsidR="00E673C1">
              <w:t>to</w:t>
            </w:r>
            <w:r w:rsidR="00E673C1" w:rsidRPr="002D70CD">
              <w:t xml:space="preserve"> </w:t>
            </w:r>
            <w:r w:rsidRPr="002D70CD">
              <w:t xml:space="preserve">a </w:t>
            </w:r>
            <w:r w:rsidR="00E673C1">
              <w:t>negative</w:t>
            </w:r>
            <w:r w:rsidR="00E673C1" w:rsidRPr="002D70CD">
              <w:t xml:space="preserve"> </w:t>
            </w:r>
            <w:r w:rsidRPr="002D70CD">
              <w:t>result.</w:t>
            </w:r>
          </w:p>
        </w:tc>
      </w:tr>
      <w:tr w:rsidR="0078495E" w:rsidRPr="00D02A2E" w14:paraId="46089B70" w14:textId="77777777" w:rsidTr="001129A5">
        <w:trPr>
          <w:cantSplit/>
        </w:trPr>
        <w:tc>
          <w:tcPr>
            <w:tcW w:w="4761" w:type="dxa"/>
            <w:tcBorders>
              <w:top w:val="single" w:sz="4" w:space="0" w:color="BFBFBF"/>
            </w:tcBorders>
            <w:shd w:val="clear" w:color="auto" w:fill="auto"/>
            <w:hideMark/>
          </w:tcPr>
          <w:p w14:paraId="4D02FFEF" w14:textId="77777777" w:rsidR="0078495E" w:rsidRPr="00D02A2E" w:rsidRDefault="0078495E" w:rsidP="004C7BEF">
            <w:pPr>
              <w:pStyle w:val="ARtabletext"/>
            </w:pPr>
            <w:r w:rsidRPr="002D70CD">
              <w:t>New case index</w:t>
            </w:r>
          </w:p>
        </w:tc>
        <w:tc>
          <w:tcPr>
            <w:tcW w:w="1021" w:type="dxa"/>
            <w:tcBorders>
              <w:top w:val="single" w:sz="4" w:space="0" w:color="BFBFBF"/>
            </w:tcBorders>
            <w:shd w:val="clear" w:color="auto" w:fill="auto"/>
            <w:hideMark/>
          </w:tcPr>
          <w:p w14:paraId="072160D9" w14:textId="77777777" w:rsidR="0078495E" w:rsidRPr="00D02A2E" w:rsidRDefault="0078495E" w:rsidP="004C7BEF">
            <w:pPr>
              <w:pStyle w:val="ARtabletextcentre"/>
            </w:pPr>
            <w:r w:rsidRPr="002D70CD">
              <w:t>per cent</w:t>
            </w:r>
          </w:p>
        </w:tc>
        <w:tc>
          <w:tcPr>
            <w:tcW w:w="1021" w:type="dxa"/>
            <w:tcBorders>
              <w:top w:val="single" w:sz="4" w:space="0" w:color="BFBFBF"/>
            </w:tcBorders>
            <w:shd w:val="clear" w:color="auto" w:fill="auto"/>
            <w:hideMark/>
          </w:tcPr>
          <w:p w14:paraId="268D2353" w14:textId="77777777" w:rsidR="0078495E" w:rsidRDefault="0078495E" w:rsidP="004C7BEF">
            <w:pPr>
              <w:pStyle w:val="ARtabletextright"/>
            </w:pPr>
            <w:r w:rsidRPr="002D70CD">
              <w:t>50</w:t>
            </w:r>
          </w:p>
        </w:tc>
        <w:tc>
          <w:tcPr>
            <w:tcW w:w="1021" w:type="dxa"/>
            <w:tcBorders>
              <w:top w:val="single" w:sz="4" w:space="0" w:color="BFBFBF"/>
            </w:tcBorders>
            <w:shd w:val="clear" w:color="auto" w:fill="auto"/>
            <w:hideMark/>
          </w:tcPr>
          <w:p w14:paraId="0F90ED5D" w14:textId="77777777" w:rsidR="0078495E" w:rsidRDefault="0078495E" w:rsidP="004C7BEF">
            <w:pPr>
              <w:pStyle w:val="ARtabletextright"/>
            </w:pPr>
            <w:r w:rsidRPr="002D70CD">
              <w:t>56</w:t>
            </w:r>
          </w:p>
        </w:tc>
        <w:tc>
          <w:tcPr>
            <w:tcW w:w="1021" w:type="dxa"/>
            <w:tcBorders>
              <w:top w:val="single" w:sz="4" w:space="0" w:color="BFBFBF"/>
            </w:tcBorders>
            <w:shd w:val="clear" w:color="auto" w:fill="auto"/>
          </w:tcPr>
          <w:p w14:paraId="45EEC3D4" w14:textId="77777777" w:rsidR="0078495E" w:rsidRDefault="0078495E" w:rsidP="004C7BEF">
            <w:pPr>
              <w:pStyle w:val="ARtabletextright"/>
            </w:pPr>
            <w:r w:rsidRPr="002D70CD">
              <w:t>12.0%</w:t>
            </w:r>
          </w:p>
        </w:tc>
        <w:tc>
          <w:tcPr>
            <w:tcW w:w="794" w:type="dxa"/>
            <w:tcBorders>
              <w:top w:val="single" w:sz="4" w:space="0" w:color="BFBFBF"/>
            </w:tcBorders>
            <w:shd w:val="clear" w:color="auto" w:fill="auto"/>
            <w:hideMark/>
          </w:tcPr>
          <w:p w14:paraId="73DB7AF2" w14:textId="77777777" w:rsidR="0078495E" w:rsidRPr="00D02A2E" w:rsidRDefault="0078495E" w:rsidP="004C7BEF">
            <w:pPr>
              <w:pStyle w:val="ARtableperformancesymbol"/>
              <w:rPr>
                <w:rFonts w:hint="eastAsia"/>
              </w:rPr>
            </w:pPr>
            <w:r w:rsidRPr="002D70CD">
              <w:t></w:t>
            </w:r>
          </w:p>
        </w:tc>
      </w:tr>
      <w:tr w:rsidR="00CE77BF" w:rsidRPr="00D02A2E" w14:paraId="47A50C42" w14:textId="77777777" w:rsidTr="001129A5">
        <w:trPr>
          <w:cantSplit/>
        </w:trPr>
        <w:tc>
          <w:tcPr>
            <w:tcW w:w="9639" w:type="dxa"/>
            <w:gridSpan w:val="6"/>
            <w:tcBorders>
              <w:bottom w:val="single" w:sz="4" w:space="0" w:color="BFBFBF"/>
            </w:tcBorders>
            <w:shd w:val="clear" w:color="auto" w:fill="auto"/>
          </w:tcPr>
          <w:p w14:paraId="02DBDC74" w14:textId="77777777" w:rsidR="00CE77BF" w:rsidRPr="00C63A9A" w:rsidRDefault="00CE77BF" w:rsidP="008340C1">
            <w:pPr>
              <w:pStyle w:val="ARtablenoteindent"/>
            </w:pPr>
            <w:r w:rsidRPr="00517E71">
              <w:t xml:space="preserve">This is </w:t>
            </w:r>
            <w:r>
              <w:t xml:space="preserve">a </w:t>
            </w:r>
            <w:r w:rsidRPr="00517E71">
              <w:t>favourable result.</w:t>
            </w:r>
          </w:p>
        </w:tc>
      </w:tr>
      <w:tr w:rsidR="0078495E" w:rsidRPr="00D02A2E" w14:paraId="6D50B568" w14:textId="77777777" w:rsidTr="001129A5">
        <w:trPr>
          <w:cantSplit/>
        </w:trPr>
        <w:tc>
          <w:tcPr>
            <w:tcW w:w="4761" w:type="dxa"/>
            <w:tcBorders>
              <w:top w:val="single" w:sz="4" w:space="0" w:color="BFBFBF"/>
            </w:tcBorders>
            <w:shd w:val="clear" w:color="auto" w:fill="auto"/>
            <w:hideMark/>
          </w:tcPr>
          <w:p w14:paraId="533FE563" w14:textId="77777777" w:rsidR="0078495E" w:rsidRPr="00D02A2E" w:rsidRDefault="0078495E" w:rsidP="00950905">
            <w:pPr>
              <w:pStyle w:val="ARtabletext"/>
              <w:keepNext/>
            </w:pPr>
            <w:r w:rsidRPr="002D70CD">
              <w:t>Registered community clients</w:t>
            </w:r>
          </w:p>
        </w:tc>
        <w:tc>
          <w:tcPr>
            <w:tcW w:w="1021" w:type="dxa"/>
            <w:tcBorders>
              <w:top w:val="single" w:sz="4" w:space="0" w:color="BFBFBF"/>
            </w:tcBorders>
            <w:shd w:val="clear" w:color="auto" w:fill="auto"/>
            <w:hideMark/>
          </w:tcPr>
          <w:p w14:paraId="554FEEAA" w14:textId="77777777" w:rsidR="0078495E" w:rsidRPr="00D02A2E" w:rsidRDefault="0078495E" w:rsidP="004C7BEF">
            <w:pPr>
              <w:pStyle w:val="ARtabletextcentre"/>
            </w:pPr>
            <w:r w:rsidRPr="002D70CD">
              <w:t>number</w:t>
            </w:r>
          </w:p>
        </w:tc>
        <w:tc>
          <w:tcPr>
            <w:tcW w:w="1021" w:type="dxa"/>
            <w:tcBorders>
              <w:top w:val="single" w:sz="4" w:space="0" w:color="BFBFBF"/>
            </w:tcBorders>
            <w:shd w:val="clear" w:color="auto" w:fill="auto"/>
            <w:hideMark/>
          </w:tcPr>
          <w:p w14:paraId="7683D894" w14:textId="77777777" w:rsidR="0078495E" w:rsidRDefault="0078495E" w:rsidP="004C7BEF">
            <w:pPr>
              <w:pStyle w:val="ARtabletextright"/>
            </w:pPr>
            <w:r w:rsidRPr="002D70CD">
              <w:t>85,863</w:t>
            </w:r>
          </w:p>
        </w:tc>
        <w:tc>
          <w:tcPr>
            <w:tcW w:w="1021" w:type="dxa"/>
            <w:tcBorders>
              <w:top w:val="single" w:sz="4" w:space="0" w:color="BFBFBF"/>
            </w:tcBorders>
            <w:shd w:val="clear" w:color="auto" w:fill="auto"/>
            <w:hideMark/>
          </w:tcPr>
          <w:p w14:paraId="3B18AA64" w14:textId="77777777" w:rsidR="0078495E" w:rsidRDefault="0078495E" w:rsidP="004C7BEF">
            <w:pPr>
              <w:pStyle w:val="ARtabletextright"/>
            </w:pPr>
            <w:r w:rsidRPr="002D70CD">
              <w:t>80,219</w:t>
            </w:r>
          </w:p>
        </w:tc>
        <w:tc>
          <w:tcPr>
            <w:tcW w:w="1021" w:type="dxa"/>
            <w:tcBorders>
              <w:top w:val="single" w:sz="4" w:space="0" w:color="BFBFBF"/>
            </w:tcBorders>
            <w:shd w:val="clear" w:color="auto" w:fill="auto"/>
          </w:tcPr>
          <w:p w14:paraId="3C4D8523" w14:textId="77777777" w:rsidR="0078495E" w:rsidRDefault="0078495E" w:rsidP="004C7BEF">
            <w:pPr>
              <w:pStyle w:val="ARtabletextright"/>
            </w:pPr>
            <w:r w:rsidRPr="002D70CD">
              <w:t>−6.6%</w:t>
            </w:r>
          </w:p>
        </w:tc>
        <w:tc>
          <w:tcPr>
            <w:tcW w:w="794" w:type="dxa"/>
            <w:tcBorders>
              <w:top w:val="single" w:sz="4" w:space="0" w:color="BFBFBF"/>
            </w:tcBorders>
            <w:shd w:val="clear" w:color="auto" w:fill="auto"/>
            <w:hideMark/>
          </w:tcPr>
          <w:p w14:paraId="04F95C25" w14:textId="77777777" w:rsidR="0078495E" w:rsidRPr="00D02A2E" w:rsidRDefault="0078495E" w:rsidP="004C7BEF">
            <w:pPr>
              <w:pStyle w:val="ARtableperformancesymbol"/>
              <w:rPr>
                <w:rFonts w:hint="eastAsia"/>
              </w:rPr>
            </w:pPr>
            <w:r w:rsidRPr="002D70CD">
              <w:t></w:t>
            </w:r>
          </w:p>
        </w:tc>
      </w:tr>
      <w:tr w:rsidR="0078495E" w:rsidRPr="00D02A2E" w14:paraId="23312715" w14:textId="77777777" w:rsidTr="004C7BEF">
        <w:trPr>
          <w:cantSplit/>
        </w:trPr>
        <w:tc>
          <w:tcPr>
            <w:tcW w:w="9639" w:type="dxa"/>
            <w:gridSpan w:val="6"/>
            <w:tcBorders>
              <w:bottom w:val="single" w:sz="4" w:space="0" w:color="BFBFBF"/>
            </w:tcBorders>
            <w:shd w:val="clear" w:color="auto" w:fill="auto"/>
            <w:noWrap/>
            <w:hideMark/>
          </w:tcPr>
          <w:p w14:paraId="4C4C38F0" w14:textId="5F379ED3" w:rsidR="0078495E" w:rsidRPr="00D02A2E" w:rsidRDefault="0078495E" w:rsidP="004C7BEF">
            <w:pPr>
              <w:pStyle w:val="ARtablenoteindent"/>
            </w:pPr>
            <w:r w:rsidRPr="002D70CD">
              <w:t>COVID</w:t>
            </w:r>
            <w:r w:rsidR="00E673C1">
              <w:t>-</w:t>
            </w:r>
            <w:r w:rsidRPr="002D70CD">
              <w:t xml:space="preserve">19 outbreaks contributed to ongoing changes to accessing mental health care treatment </w:t>
            </w:r>
            <w:r w:rsidR="00E673C1">
              <w:t>while</w:t>
            </w:r>
            <w:r w:rsidR="00E673C1" w:rsidRPr="002D70CD">
              <w:t xml:space="preserve"> </w:t>
            </w:r>
            <w:r w:rsidRPr="002D70CD">
              <w:t>care and workforce shortages/ furlough leave in mental health programs reduced consumers' ability to access treatment.</w:t>
            </w:r>
          </w:p>
        </w:tc>
      </w:tr>
      <w:tr w:rsidR="0078495E" w:rsidRPr="00D02A2E" w14:paraId="6B8A23FA" w14:textId="77777777" w:rsidTr="009F5729">
        <w:trPr>
          <w:cantSplit/>
        </w:trPr>
        <w:tc>
          <w:tcPr>
            <w:tcW w:w="4761" w:type="dxa"/>
            <w:shd w:val="clear" w:color="auto" w:fill="auto"/>
            <w:hideMark/>
          </w:tcPr>
          <w:p w14:paraId="2FB50694" w14:textId="77777777" w:rsidR="0078495E" w:rsidRPr="00D02A2E" w:rsidRDefault="0078495E" w:rsidP="004C7BEF">
            <w:pPr>
              <w:pStyle w:val="ARtabletext"/>
            </w:pPr>
            <w:r w:rsidRPr="002D70CD">
              <w:t>Occupied residential bed days</w:t>
            </w:r>
          </w:p>
        </w:tc>
        <w:tc>
          <w:tcPr>
            <w:tcW w:w="1021" w:type="dxa"/>
            <w:shd w:val="clear" w:color="auto" w:fill="auto"/>
            <w:hideMark/>
          </w:tcPr>
          <w:p w14:paraId="4ECA2D36" w14:textId="77777777" w:rsidR="0078495E" w:rsidRPr="00D02A2E" w:rsidRDefault="0078495E" w:rsidP="004C7BEF">
            <w:pPr>
              <w:pStyle w:val="ARtabletextcentre"/>
            </w:pPr>
            <w:r w:rsidRPr="002D70CD">
              <w:t>number</w:t>
            </w:r>
          </w:p>
        </w:tc>
        <w:tc>
          <w:tcPr>
            <w:tcW w:w="1021" w:type="dxa"/>
            <w:shd w:val="clear" w:color="auto" w:fill="auto"/>
            <w:hideMark/>
          </w:tcPr>
          <w:p w14:paraId="3D355B77" w14:textId="1140830B" w:rsidR="0078495E" w:rsidRDefault="0078495E" w:rsidP="004C7BEF">
            <w:pPr>
              <w:pStyle w:val="ARtabletextright"/>
            </w:pPr>
            <w:r w:rsidRPr="002D70CD">
              <w:t>153</w:t>
            </w:r>
            <w:r w:rsidR="00E673C1">
              <w:t>,</w:t>
            </w:r>
            <w:r w:rsidRPr="002D70CD">
              <w:t>574</w:t>
            </w:r>
          </w:p>
        </w:tc>
        <w:tc>
          <w:tcPr>
            <w:tcW w:w="1021" w:type="dxa"/>
            <w:shd w:val="clear" w:color="auto" w:fill="auto"/>
            <w:hideMark/>
          </w:tcPr>
          <w:p w14:paraId="4302BED2" w14:textId="1AA7ADE4" w:rsidR="0078495E" w:rsidRDefault="0078495E" w:rsidP="004C7BEF">
            <w:pPr>
              <w:pStyle w:val="ARtabletextright"/>
            </w:pPr>
            <w:r w:rsidRPr="002D70CD">
              <w:t>145</w:t>
            </w:r>
            <w:r w:rsidR="00E673C1">
              <w:t>,</w:t>
            </w:r>
            <w:r w:rsidRPr="002D70CD">
              <w:t>310</w:t>
            </w:r>
          </w:p>
        </w:tc>
        <w:tc>
          <w:tcPr>
            <w:tcW w:w="1021" w:type="dxa"/>
            <w:shd w:val="clear" w:color="auto" w:fill="auto"/>
          </w:tcPr>
          <w:p w14:paraId="5B5F48EB" w14:textId="77777777" w:rsidR="0078495E" w:rsidRDefault="0078495E" w:rsidP="004C7BEF">
            <w:pPr>
              <w:pStyle w:val="ARtabletextright"/>
            </w:pPr>
            <w:r w:rsidRPr="002D70CD">
              <w:t>−5.4%</w:t>
            </w:r>
          </w:p>
        </w:tc>
        <w:tc>
          <w:tcPr>
            <w:tcW w:w="794" w:type="dxa"/>
            <w:shd w:val="clear" w:color="auto" w:fill="auto"/>
            <w:hideMark/>
          </w:tcPr>
          <w:p w14:paraId="717D35E9" w14:textId="77777777" w:rsidR="0078495E" w:rsidRPr="00D02A2E" w:rsidRDefault="0078495E" w:rsidP="004C7BEF">
            <w:pPr>
              <w:pStyle w:val="ARtableperformancesymbol"/>
              <w:rPr>
                <w:rFonts w:hint="eastAsia"/>
              </w:rPr>
            </w:pPr>
            <w:r w:rsidRPr="002D70CD">
              <w:t></w:t>
            </w:r>
          </w:p>
        </w:tc>
      </w:tr>
      <w:tr w:rsidR="0078495E" w:rsidRPr="00D02A2E" w14:paraId="00B5C0D0" w14:textId="77777777" w:rsidTr="009F5729">
        <w:trPr>
          <w:cantSplit/>
        </w:trPr>
        <w:tc>
          <w:tcPr>
            <w:tcW w:w="9639" w:type="dxa"/>
            <w:gridSpan w:val="6"/>
            <w:tcBorders>
              <w:bottom w:val="single" w:sz="4" w:space="0" w:color="A6A6A6"/>
            </w:tcBorders>
            <w:shd w:val="clear" w:color="auto" w:fill="auto"/>
            <w:noWrap/>
            <w:hideMark/>
          </w:tcPr>
          <w:p w14:paraId="2D932316" w14:textId="22EA0F5C" w:rsidR="0078495E" w:rsidRPr="00D02A2E" w:rsidRDefault="0078495E" w:rsidP="004C7BEF">
            <w:pPr>
              <w:pStyle w:val="ARtablenoteindent"/>
            </w:pPr>
            <w:r w:rsidRPr="002D70CD">
              <w:t>COVID-19 outbreaks and implementing COVID</w:t>
            </w:r>
            <w:r w:rsidR="00E673C1">
              <w:t>-19</w:t>
            </w:r>
            <w:r w:rsidRPr="002D70CD">
              <w:t xml:space="preserve"> safe practices have continued to have an impact on operational beds</w:t>
            </w:r>
            <w:r w:rsidR="00E673C1">
              <w:t>,</w:t>
            </w:r>
            <w:r w:rsidRPr="002D70CD">
              <w:t xml:space="preserve"> resulting in some residential bed closures.</w:t>
            </w:r>
          </w:p>
        </w:tc>
      </w:tr>
      <w:tr w:rsidR="0078495E" w:rsidRPr="00D02A2E" w14:paraId="60076C4C" w14:textId="77777777" w:rsidTr="009F5729">
        <w:trPr>
          <w:cantSplit/>
        </w:trPr>
        <w:tc>
          <w:tcPr>
            <w:tcW w:w="4761" w:type="dxa"/>
            <w:tcBorders>
              <w:top w:val="single" w:sz="4" w:space="0" w:color="A6A6A6"/>
              <w:bottom w:val="single" w:sz="4" w:space="0" w:color="000000"/>
            </w:tcBorders>
            <w:shd w:val="clear" w:color="auto" w:fill="auto"/>
            <w:hideMark/>
          </w:tcPr>
          <w:p w14:paraId="57B2996B" w14:textId="77777777" w:rsidR="0078495E" w:rsidRPr="00D02A2E" w:rsidRDefault="0078495E" w:rsidP="004C7BEF">
            <w:pPr>
              <w:pStyle w:val="ARtabletext"/>
            </w:pPr>
            <w:r w:rsidRPr="002D70CD">
              <w:t>Occupied sub-acute bed days</w:t>
            </w:r>
          </w:p>
        </w:tc>
        <w:tc>
          <w:tcPr>
            <w:tcW w:w="1021" w:type="dxa"/>
            <w:tcBorders>
              <w:top w:val="single" w:sz="4" w:space="0" w:color="A6A6A6"/>
              <w:bottom w:val="single" w:sz="4" w:space="0" w:color="000000"/>
            </w:tcBorders>
            <w:shd w:val="clear" w:color="auto" w:fill="auto"/>
            <w:hideMark/>
          </w:tcPr>
          <w:p w14:paraId="79B47E01" w14:textId="77777777" w:rsidR="0078495E" w:rsidRPr="00D02A2E" w:rsidRDefault="0078495E" w:rsidP="004C7BEF">
            <w:pPr>
              <w:pStyle w:val="ARtabletextcentre"/>
            </w:pPr>
            <w:r w:rsidRPr="002D70CD">
              <w:t>number</w:t>
            </w:r>
          </w:p>
        </w:tc>
        <w:tc>
          <w:tcPr>
            <w:tcW w:w="1021" w:type="dxa"/>
            <w:tcBorders>
              <w:top w:val="single" w:sz="4" w:space="0" w:color="A6A6A6"/>
              <w:bottom w:val="single" w:sz="4" w:space="0" w:color="000000"/>
            </w:tcBorders>
            <w:shd w:val="clear" w:color="auto" w:fill="auto"/>
            <w:hideMark/>
          </w:tcPr>
          <w:p w14:paraId="1C52D364" w14:textId="77777777" w:rsidR="0078495E" w:rsidRDefault="0078495E" w:rsidP="004C7BEF">
            <w:pPr>
              <w:pStyle w:val="ARtabletextright"/>
            </w:pPr>
            <w:r w:rsidRPr="002D70CD">
              <w:t>186,771</w:t>
            </w:r>
          </w:p>
        </w:tc>
        <w:tc>
          <w:tcPr>
            <w:tcW w:w="1021" w:type="dxa"/>
            <w:tcBorders>
              <w:top w:val="single" w:sz="4" w:space="0" w:color="A6A6A6"/>
              <w:bottom w:val="single" w:sz="4" w:space="0" w:color="000000"/>
            </w:tcBorders>
            <w:shd w:val="clear" w:color="auto" w:fill="auto"/>
            <w:hideMark/>
          </w:tcPr>
          <w:p w14:paraId="308473E1" w14:textId="77777777" w:rsidR="0078495E" w:rsidRDefault="0078495E" w:rsidP="004C7BEF">
            <w:pPr>
              <w:pStyle w:val="ARtabletextright"/>
            </w:pPr>
            <w:r w:rsidRPr="002D70CD">
              <w:t>193,010</w:t>
            </w:r>
          </w:p>
        </w:tc>
        <w:tc>
          <w:tcPr>
            <w:tcW w:w="1021" w:type="dxa"/>
            <w:tcBorders>
              <w:top w:val="single" w:sz="4" w:space="0" w:color="A6A6A6"/>
              <w:bottom w:val="single" w:sz="4" w:space="0" w:color="000000"/>
            </w:tcBorders>
            <w:shd w:val="clear" w:color="auto" w:fill="auto"/>
          </w:tcPr>
          <w:p w14:paraId="645E3C54" w14:textId="77777777" w:rsidR="0078495E" w:rsidRDefault="0078495E" w:rsidP="004C7BEF">
            <w:pPr>
              <w:pStyle w:val="ARtabletextright"/>
            </w:pPr>
            <w:r w:rsidRPr="002D70CD">
              <w:t>3.3%</w:t>
            </w:r>
          </w:p>
        </w:tc>
        <w:tc>
          <w:tcPr>
            <w:tcW w:w="794" w:type="dxa"/>
            <w:tcBorders>
              <w:top w:val="single" w:sz="4" w:space="0" w:color="A6A6A6"/>
              <w:bottom w:val="single" w:sz="4" w:space="0" w:color="000000"/>
            </w:tcBorders>
            <w:shd w:val="clear" w:color="auto" w:fill="auto"/>
            <w:hideMark/>
          </w:tcPr>
          <w:p w14:paraId="0E3D4832" w14:textId="77777777" w:rsidR="0078495E" w:rsidRPr="00D02A2E" w:rsidRDefault="0078495E" w:rsidP="004C7BEF">
            <w:pPr>
              <w:pStyle w:val="ARtableperformancesymbol"/>
              <w:rPr>
                <w:rFonts w:hint="eastAsia"/>
              </w:rPr>
            </w:pPr>
            <w:r w:rsidRPr="002D70CD">
              <w:t></w:t>
            </w:r>
          </w:p>
        </w:tc>
      </w:tr>
      <w:tr w:rsidR="0078495E" w:rsidRPr="00D02A2E" w14:paraId="00A1016B" w14:textId="77777777" w:rsidTr="009F5729">
        <w:trPr>
          <w:cantSplit/>
        </w:trPr>
        <w:tc>
          <w:tcPr>
            <w:tcW w:w="9639" w:type="dxa"/>
            <w:gridSpan w:val="6"/>
            <w:tcBorders>
              <w:top w:val="single" w:sz="4" w:space="0" w:color="000000"/>
            </w:tcBorders>
            <w:shd w:val="clear" w:color="auto" w:fill="auto"/>
            <w:hideMark/>
          </w:tcPr>
          <w:p w14:paraId="17D27A0D" w14:textId="77777777" w:rsidR="0078495E" w:rsidRPr="00D02A2E" w:rsidRDefault="0078495E" w:rsidP="001C60F2">
            <w:pPr>
              <w:pStyle w:val="ARtablegreybold"/>
              <w:pageBreakBefore/>
              <w:rPr>
                <w:rFonts w:ascii="Wingdings" w:hAnsi="Wingdings"/>
              </w:rPr>
            </w:pPr>
            <w:r>
              <w:t>Quality</w:t>
            </w:r>
          </w:p>
        </w:tc>
      </w:tr>
      <w:tr w:rsidR="0078495E" w:rsidRPr="00D02A2E" w14:paraId="5EE51F0D" w14:textId="77777777" w:rsidTr="009F5729">
        <w:trPr>
          <w:cantSplit/>
        </w:trPr>
        <w:tc>
          <w:tcPr>
            <w:tcW w:w="4761" w:type="dxa"/>
            <w:shd w:val="clear" w:color="auto" w:fill="auto"/>
            <w:hideMark/>
          </w:tcPr>
          <w:p w14:paraId="3BC01E4B" w14:textId="77777777" w:rsidR="0078495E" w:rsidRPr="00D02A2E" w:rsidRDefault="0078495E" w:rsidP="004C7BEF">
            <w:pPr>
              <w:pStyle w:val="ARtabletext"/>
            </w:pPr>
            <w:r w:rsidRPr="00746D38">
              <w:t>Clients readmitted (unplanned) within 28 days</w:t>
            </w:r>
          </w:p>
        </w:tc>
        <w:tc>
          <w:tcPr>
            <w:tcW w:w="1021" w:type="dxa"/>
            <w:shd w:val="clear" w:color="auto" w:fill="auto"/>
            <w:hideMark/>
          </w:tcPr>
          <w:p w14:paraId="5456F478" w14:textId="77777777" w:rsidR="0078495E" w:rsidRPr="00D02A2E" w:rsidRDefault="0078495E" w:rsidP="004C7BEF">
            <w:pPr>
              <w:pStyle w:val="ARtabletextcentre"/>
            </w:pPr>
            <w:r w:rsidRPr="00746D38">
              <w:t>per cent</w:t>
            </w:r>
          </w:p>
        </w:tc>
        <w:tc>
          <w:tcPr>
            <w:tcW w:w="1021" w:type="dxa"/>
            <w:shd w:val="clear" w:color="auto" w:fill="auto"/>
            <w:hideMark/>
          </w:tcPr>
          <w:p w14:paraId="26ED8101" w14:textId="77777777" w:rsidR="0078495E" w:rsidRDefault="0078495E" w:rsidP="004C7BEF">
            <w:pPr>
              <w:pStyle w:val="ARtabletextright"/>
            </w:pPr>
            <w:r w:rsidRPr="00746D38">
              <w:t>14</w:t>
            </w:r>
          </w:p>
        </w:tc>
        <w:tc>
          <w:tcPr>
            <w:tcW w:w="1021" w:type="dxa"/>
            <w:shd w:val="clear" w:color="auto" w:fill="auto"/>
            <w:hideMark/>
          </w:tcPr>
          <w:p w14:paraId="007ABBF0" w14:textId="77777777" w:rsidR="0078495E" w:rsidRDefault="0078495E" w:rsidP="004C7BEF">
            <w:pPr>
              <w:pStyle w:val="ARtabletextright"/>
            </w:pPr>
            <w:r w:rsidRPr="00746D38">
              <w:t>15.3</w:t>
            </w:r>
          </w:p>
        </w:tc>
        <w:tc>
          <w:tcPr>
            <w:tcW w:w="1021" w:type="dxa"/>
            <w:shd w:val="clear" w:color="auto" w:fill="auto"/>
          </w:tcPr>
          <w:p w14:paraId="7F889EFB" w14:textId="77777777" w:rsidR="0078495E" w:rsidRDefault="0078495E" w:rsidP="004C7BEF">
            <w:pPr>
              <w:pStyle w:val="ARtabletextright"/>
            </w:pPr>
            <w:r w:rsidRPr="00746D38">
              <w:t>9.3%</w:t>
            </w:r>
          </w:p>
        </w:tc>
        <w:tc>
          <w:tcPr>
            <w:tcW w:w="794" w:type="dxa"/>
            <w:shd w:val="clear" w:color="auto" w:fill="auto"/>
            <w:hideMark/>
          </w:tcPr>
          <w:p w14:paraId="3747F740" w14:textId="77777777" w:rsidR="0078495E" w:rsidRPr="00D02A2E" w:rsidRDefault="0078495E" w:rsidP="004C7BEF">
            <w:pPr>
              <w:pStyle w:val="ARtableperformancesymbol"/>
              <w:rPr>
                <w:rFonts w:hint="eastAsia"/>
              </w:rPr>
            </w:pPr>
            <w:r w:rsidRPr="00746D38">
              <w:t></w:t>
            </w:r>
          </w:p>
        </w:tc>
      </w:tr>
      <w:tr w:rsidR="0078495E" w:rsidRPr="00D02A2E" w14:paraId="6D9E2CF4" w14:textId="77777777" w:rsidTr="009F5729">
        <w:trPr>
          <w:cantSplit/>
        </w:trPr>
        <w:tc>
          <w:tcPr>
            <w:tcW w:w="9639" w:type="dxa"/>
            <w:gridSpan w:val="6"/>
            <w:tcBorders>
              <w:bottom w:val="single" w:sz="4" w:space="0" w:color="A6A6A6"/>
            </w:tcBorders>
            <w:shd w:val="clear" w:color="auto" w:fill="auto"/>
            <w:noWrap/>
            <w:hideMark/>
          </w:tcPr>
          <w:p w14:paraId="16E51688" w14:textId="0485BD09" w:rsidR="0078495E" w:rsidRPr="00D02A2E" w:rsidRDefault="00F33A7F" w:rsidP="004C7BEF">
            <w:pPr>
              <w:pStyle w:val="ARtablenoteindent"/>
            </w:pPr>
            <w:r w:rsidRPr="00F33A7F">
              <w:t>Low average length of stay due to high demand impact</w:t>
            </w:r>
            <w:r w:rsidR="00454A3D">
              <w:t>ed</w:t>
            </w:r>
            <w:r w:rsidRPr="00F33A7F">
              <w:t xml:space="preserve"> </w:t>
            </w:r>
            <w:r w:rsidR="00454A3D">
              <w:t>the</w:t>
            </w:r>
            <w:r w:rsidRPr="00F33A7F">
              <w:t xml:space="preserve"> appropriate length of treatment and care and result</w:t>
            </w:r>
            <w:r w:rsidR="00454A3D">
              <w:t>ed</w:t>
            </w:r>
            <w:r w:rsidRPr="00F33A7F">
              <w:t xml:space="preserve"> in earlier discharges into the community</w:t>
            </w:r>
            <w:r w:rsidR="00454A3D">
              <w:t>.</w:t>
            </w:r>
            <w:r w:rsidRPr="00F33A7F">
              <w:t xml:space="preserve"> </w:t>
            </w:r>
            <w:r w:rsidR="007E0F28">
              <w:t>This led to higher instances of readmission.</w:t>
            </w:r>
          </w:p>
        </w:tc>
      </w:tr>
      <w:tr w:rsidR="0078495E" w:rsidRPr="00D02A2E" w14:paraId="0A7B859F" w14:textId="77777777" w:rsidTr="009F5729">
        <w:trPr>
          <w:cantSplit/>
        </w:trPr>
        <w:tc>
          <w:tcPr>
            <w:tcW w:w="4761" w:type="dxa"/>
            <w:tcBorders>
              <w:top w:val="single" w:sz="4" w:space="0" w:color="A6A6A6"/>
            </w:tcBorders>
            <w:shd w:val="clear" w:color="auto" w:fill="auto"/>
            <w:hideMark/>
          </w:tcPr>
          <w:p w14:paraId="682F8CC4" w14:textId="77777777" w:rsidR="0078495E" w:rsidRPr="00D02A2E" w:rsidRDefault="0078495E" w:rsidP="004C7BEF">
            <w:pPr>
              <w:pStyle w:val="ARtabletext"/>
            </w:pPr>
            <w:r w:rsidRPr="00746D38">
              <w:t>New client index</w:t>
            </w:r>
          </w:p>
        </w:tc>
        <w:tc>
          <w:tcPr>
            <w:tcW w:w="1021" w:type="dxa"/>
            <w:tcBorders>
              <w:top w:val="single" w:sz="4" w:space="0" w:color="A6A6A6"/>
            </w:tcBorders>
            <w:shd w:val="clear" w:color="auto" w:fill="auto"/>
            <w:hideMark/>
          </w:tcPr>
          <w:p w14:paraId="03382C46" w14:textId="77777777" w:rsidR="0078495E" w:rsidRPr="00D02A2E" w:rsidRDefault="0078495E" w:rsidP="004C7BEF">
            <w:pPr>
              <w:pStyle w:val="ARtabletextcentre"/>
            </w:pPr>
            <w:r w:rsidRPr="00746D38">
              <w:t>per cent</w:t>
            </w:r>
          </w:p>
        </w:tc>
        <w:tc>
          <w:tcPr>
            <w:tcW w:w="1021" w:type="dxa"/>
            <w:tcBorders>
              <w:top w:val="single" w:sz="4" w:space="0" w:color="A6A6A6"/>
            </w:tcBorders>
            <w:shd w:val="clear" w:color="auto" w:fill="auto"/>
            <w:hideMark/>
          </w:tcPr>
          <w:p w14:paraId="1D073094" w14:textId="77777777" w:rsidR="0078495E" w:rsidRDefault="0078495E" w:rsidP="004C7BEF">
            <w:pPr>
              <w:pStyle w:val="ARtabletextright"/>
            </w:pPr>
            <w:r w:rsidRPr="00746D38">
              <w:t>45</w:t>
            </w:r>
          </w:p>
        </w:tc>
        <w:tc>
          <w:tcPr>
            <w:tcW w:w="1021" w:type="dxa"/>
            <w:tcBorders>
              <w:top w:val="single" w:sz="4" w:space="0" w:color="A6A6A6"/>
            </w:tcBorders>
            <w:shd w:val="clear" w:color="auto" w:fill="auto"/>
            <w:hideMark/>
          </w:tcPr>
          <w:p w14:paraId="37DF6B9F" w14:textId="77777777" w:rsidR="0078495E" w:rsidRDefault="0078495E" w:rsidP="004C7BEF">
            <w:pPr>
              <w:pStyle w:val="ARtabletextright"/>
            </w:pPr>
            <w:r w:rsidRPr="00746D38">
              <w:t>49</w:t>
            </w:r>
          </w:p>
        </w:tc>
        <w:tc>
          <w:tcPr>
            <w:tcW w:w="1021" w:type="dxa"/>
            <w:tcBorders>
              <w:top w:val="single" w:sz="4" w:space="0" w:color="A6A6A6"/>
            </w:tcBorders>
            <w:shd w:val="clear" w:color="auto" w:fill="auto"/>
          </w:tcPr>
          <w:p w14:paraId="113072AE" w14:textId="77777777" w:rsidR="0078495E" w:rsidRDefault="0078495E" w:rsidP="004C7BEF">
            <w:pPr>
              <w:pStyle w:val="ARtabletextright"/>
            </w:pPr>
            <w:r w:rsidRPr="00746D38">
              <w:t>8.9%</w:t>
            </w:r>
          </w:p>
        </w:tc>
        <w:tc>
          <w:tcPr>
            <w:tcW w:w="794" w:type="dxa"/>
            <w:tcBorders>
              <w:top w:val="single" w:sz="4" w:space="0" w:color="A6A6A6"/>
            </w:tcBorders>
            <w:shd w:val="clear" w:color="auto" w:fill="auto"/>
            <w:hideMark/>
          </w:tcPr>
          <w:p w14:paraId="0AAC2E5E" w14:textId="77777777" w:rsidR="0078495E" w:rsidRPr="00D02A2E" w:rsidRDefault="0078495E" w:rsidP="004C7BEF">
            <w:pPr>
              <w:pStyle w:val="ARtableperformancesymbol"/>
              <w:rPr>
                <w:rFonts w:hint="eastAsia"/>
              </w:rPr>
            </w:pPr>
            <w:r w:rsidRPr="00746D38">
              <w:t></w:t>
            </w:r>
          </w:p>
        </w:tc>
      </w:tr>
      <w:tr w:rsidR="0084368B" w:rsidRPr="00D02A2E" w14:paraId="04293B2D" w14:textId="77777777" w:rsidTr="001C60F2">
        <w:trPr>
          <w:cantSplit/>
        </w:trPr>
        <w:tc>
          <w:tcPr>
            <w:tcW w:w="9639" w:type="dxa"/>
            <w:gridSpan w:val="6"/>
            <w:tcBorders>
              <w:bottom w:val="single" w:sz="4" w:space="0" w:color="BFBFBF"/>
            </w:tcBorders>
            <w:shd w:val="clear" w:color="auto" w:fill="auto"/>
          </w:tcPr>
          <w:p w14:paraId="6965DF02" w14:textId="1D7563EE" w:rsidR="0084368B" w:rsidRPr="00746D38" w:rsidRDefault="00AF1F77" w:rsidP="0084368B">
            <w:pPr>
              <w:pStyle w:val="ARtablenoteindent"/>
            </w:pPr>
            <w:r w:rsidRPr="00AF1F77">
              <w:t>This is a measure of turnover of community clients. The higher number</w:t>
            </w:r>
            <w:r w:rsidR="00D82F96">
              <w:t xml:space="preserve"> is a favourable outcome</w:t>
            </w:r>
            <w:r w:rsidR="00AE167B">
              <w:t xml:space="preserve"> as it</w:t>
            </w:r>
            <w:r w:rsidRPr="00AF1F77">
              <w:t xml:space="preserve"> </w:t>
            </w:r>
            <w:r w:rsidR="006D1985">
              <w:t>reflects</w:t>
            </w:r>
            <w:r w:rsidRPr="00AF1F77">
              <w:t xml:space="preserve"> more people seeking sup</w:t>
            </w:r>
            <w:r w:rsidR="000D4605">
              <w:t>p</w:t>
            </w:r>
            <w:r w:rsidRPr="00AF1F77">
              <w:t>ort and gaining a</w:t>
            </w:r>
            <w:r w:rsidR="000D4605">
              <w:t>c</w:t>
            </w:r>
            <w:r w:rsidRPr="00AF1F77">
              <w:t>cess to services during the past reporting period.</w:t>
            </w:r>
          </w:p>
        </w:tc>
      </w:tr>
      <w:tr w:rsidR="0078495E" w:rsidRPr="00D02A2E" w14:paraId="375A0F61" w14:textId="77777777" w:rsidTr="004C7BEF">
        <w:trPr>
          <w:cantSplit/>
        </w:trPr>
        <w:tc>
          <w:tcPr>
            <w:tcW w:w="4761" w:type="dxa"/>
            <w:tcBorders>
              <w:top w:val="single" w:sz="4" w:space="0" w:color="BFBFBF"/>
              <w:bottom w:val="single" w:sz="4" w:space="0" w:color="BFBFBF"/>
            </w:tcBorders>
            <w:shd w:val="clear" w:color="auto" w:fill="auto"/>
            <w:hideMark/>
          </w:tcPr>
          <w:p w14:paraId="3FC1E473" w14:textId="77777777" w:rsidR="0078495E" w:rsidRPr="00D02A2E" w:rsidRDefault="0078495E" w:rsidP="004C7BEF">
            <w:pPr>
              <w:pStyle w:val="ARtabletext"/>
            </w:pPr>
            <w:r w:rsidRPr="00746D38">
              <w:t>Number of designated mental health services achieving or maintaining accreditation under the National Safety and Quality in Health Service Standards</w:t>
            </w:r>
          </w:p>
        </w:tc>
        <w:tc>
          <w:tcPr>
            <w:tcW w:w="1021" w:type="dxa"/>
            <w:tcBorders>
              <w:top w:val="single" w:sz="4" w:space="0" w:color="BFBFBF"/>
              <w:bottom w:val="single" w:sz="4" w:space="0" w:color="BFBFBF"/>
            </w:tcBorders>
            <w:shd w:val="clear" w:color="auto" w:fill="auto"/>
            <w:hideMark/>
          </w:tcPr>
          <w:p w14:paraId="0C65F8C1" w14:textId="77777777" w:rsidR="0078495E" w:rsidRPr="00D02A2E" w:rsidRDefault="0078495E" w:rsidP="004C7BEF">
            <w:pPr>
              <w:pStyle w:val="ARtabletextcentre"/>
            </w:pPr>
            <w:r w:rsidRPr="00746D38">
              <w:t>number</w:t>
            </w:r>
          </w:p>
        </w:tc>
        <w:tc>
          <w:tcPr>
            <w:tcW w:w="1021" w:type="dxa"/>
            <w:tcBorders>
              <w:top w:val="single" w:sz="4" w:space="0" w:color="BFBFBF"/>
              <w:bottom w:val="single" w:sz="4" w:space="0" w:color="BFBFBF"/>
            </w:tcBorders>
            <w:shd w:val="clear" w:color="auto" w:fill="auto"/>
            <w:hideMark/>
          </w:tcPr>
          <w:p w14:paraId="3F04C9F2" w14:textId="77777777" w:rsidR="0078495E" w:rsidRDefault="0078495E" w:rsidP="004C7BEF">
            <w:pPr>
              <w:pStyle w:val="ARtabletextright"/>
            </w:pPr>
            <w:r w:rsidRPr="00746D38">
              <w:t>18</w:t>
            </w:r>
          </w:p>
        </w:tc>
        <w:tc>
          <w:tcPr>
            <w:tcW w:w="1021" w:type="dxa"/>
            <w:tcBorders>
              <w:top w:val="single" w:sz="4" w:space="0" w:color="BFBFBF"/>
              <w:bottom w:val="single" w:sz="4" w:space="0" w:color="BFBFBF"/>
            </w:tcBorders>
            <w:shd w:val="clear" w:color="auto" w:fill="auto"/>
            <w:hideMark/>
          </w:tcPr>
          <w:p w14:paraId="35C42DD8" w14:textId="77777777" w:rsidR="0078495E" w:rsidRDefault="0078495E" w:rsidP="004C7BEF">
            <w:pPr>
              <w:pStyle w:val="ARtabletextright"/>
            </w:pPr>
            <w:r w:rsidRPr="00746D38">
              <w:t>18</w:t>
            </w:r>
          </w:p>
        </w:tc>
        <w:tc>
          <w:tcPr>
            <w:tcW w:w="1021" w:type="dxa"/>
            <w:tcBorders>
              <w:top w:val="single" w:sz="4" w:space="0" w:color="BFBFBF"/>
              <w:bottom w:val="single" w:sz="4" w:space="0" w:color="BFBFBF"/>
            </w:tcBorders>
            <w:shd w:val="clear" w:color="auto" w:fill="auto"/>
          </w:tcPr>
          <w:p w14:paraId="421F84A5" w14:textId="77777777" w:rsidR="0078495E" w:rsidRDefault="0078495E" w:rsidP="004C7BEF">
            <w:pPr>
              <w:pStyle w:val="ARtabletextright"/>
            </w:pPr>
            <w:r w:rsidRPr="00746D38">
              <w:t>0.0%</w:t>
            </w:r>
          </w:p>
        </w:tc>
        <w:tc>
          <w:tcPr>
            <w:tcW w:w="794" w:type="dxa"/>
            <w:tcBorders>
              <w:top w:val="single" w:sz="4" w:space="0" w:color="BFBFBF"/>
              <w:bottom w:val="single" w:sz="4" w:space="0" w:color="BFBFBF"/>
            </w:tcBorders>
            <w:shd w:val="clear" w:color="auto" w:fill="auto"/>
            <w:hideMark/>
          </w:tcPr>
          <w:p w14:paraId="4E308B3A" w14:textId="77777777" w:rsidR="0078495E" w:rsidRPr="00D02A2E" w:rsidRDefault="0078495E" w:rsidP="004C7BEF">
            <w:pPr>
              <w:pStyle w:val="ARtableperformancesymbol"/>
              <w:rPr>
                <w:rFonts w:hint="eastAsia"/>
              </w:rPr>
            </w:pPr>
            <w:r w:rsidRPr="00746D38">
              <w:t></w:t>
            </w:r>
          </w:p>
        </w:tc>
      </w:tr>
      <w:tr w:rsidR="0078495E" w:rsidRPr="00D02A2E" w14:paraId="5A5D13C6" w14:textId="77777777" w:rsidTr="004C7BEF">
        <w:trPr>
          <w:cantSplit/>
        </w:trPr>
        <w:tc>
          <w:tcPr>
            <w:tcW w:w="4761" w:type="dxa"/>
            <w:tcBorders>
              <w:bottom w:val="single" w:sz="4" w:space="0" w:color="BFBFBF"/>
            </w:tcBorders>
            <w:shd w:val="clear" w:color="auto" w:fill="auto"/>
            <w:hideMark/>
          </w:tcPr>
          <w:p w14:paraId="150CD7E1" w14:textId="77777777" w:rsidR="0078495E" w:rsidRPr="00D02A2E" w:rsidRDefault="0078495E" w:rsidP="004C7BEF">
            <w:pPr>
              <w:pStyle w:val="ARtabletext"/>
            </w:pPr>
            <w:r w:rsidRPr="00746D38">
              <w:t>Post-discharge community care (child and adolescent)</w:t>
            </w:r>
          </w:p>
        </w:tc>
        <w:tc>
          <w:tcPr>
            <w:tcW w:w="1021" w:type="dxa"/>
            <w:tcBorders>
              <w:bottom w:val="single" w:sz="4" w:space="0" w:color="BFBFBF"/>
            </w:tcBorders>
            <w:shd w:val="clear" w:color="auto" w:fill="auto"/>
            <w:hideMark/>
          </w:tcPr>
          <w:p w14:paraId="28C28BD6" w14:textId="77777777" w:rsidR="0078495E" w:rsidRPr="00D02A2E" w:rsidRDefault="0078495E" w:rsidP="004C7BEF">
            <w:pPr>
              <w:pStyle w:val="ARtabletextcentre"/>
            </w:pPr>
            <w:r w:rsidRPr="00746D38">
              <w:t>per cent</w:t>
            </w:r>
          </w:p>
        </w:tc>
        <w:tc>
          <w:tcPr>
            <w:tcW w:w="1021" w:type="dxa"/>
            <w:tcBorders>
              <w:bottom w:val="single" w:sz="4" w:space="0" w:color="BFBFBF"/>
            </w:tcBorders>
            <w:shd w:val="clear" w:color="auto" w:fill="auto"/>
            <w:hideMark/>
          </w:tcPr>
          <w:p w14:paraId="4A7B53F4" w14:textId="77777777" w:rsidR="0078495E" w:rsidRDefault="0078495E" w:rsidP="004C7BEF">
            <w:pPr>
              <w:pStyle w:val="ARtabletextright"/>
            </w:pPr>
            <w:r w:rsidRPr="00746D38">
              <w:t>88</w:t>
            </w:r>
          </w:p>
        </w:tc>
        <w:tc>
          <w:tcPr>
            <w:tcW w:w="1021" w:type="dxa"/>
            <w:tcBorders>
              <w:bottom w:val="single" w:sz="4" w:space="0" w:color="BFBFBF"/>
            </w:tcBorders>
            <w:shd w:val="clear" w:color="auto" w:fill="auto"/>
            <w:hideMark/>
          </w:tcPr>
          <w:p w14:paraId="78508EDB" w14:textId="77777777" w:rsidR="0078495E" w:rsidRDefault="0078495E" w:rsidP="004C7BEF">
            <w:pPr>
              <w:pStyle w:val="ARtabletextright"/>
            </w:pPr>
            <w:r w:rsidRPr="00746D38">
              <w:t>87</w:t>
            </w:r>
          </w:p>
        </w:tc>
        <w:tc>
          <w:tcPr>
            <w:tcW w:w="1021" w:type="dxa"/>
            <w:tcBorders>
              <w:bottom w:val="single" w:sz="4" w:space="0" w:color="BFBFBF"/>
            </w:tcBorders>
            <w:shd w:val="clear" w:color="auto" w:fill="auto"/>
          </w:tcPr>
          <w:p w14:paraId="458551E2" w14:textId="77777777" w:rsidR="0078495E" w:rsidRDefault="0078495E" w:rsidP="004C7BEF">
            <w:pPr>
              <w:pStyle w:val="ARtabletextright"/>
            </w:pPr>
            <w:r w:rsidRPr="00746D38">
              <w:t>−1.1%</w:t>
            </w:r>
          </w:p>
        </w:tc>
        <w:tc>
          <w:tcPr>
            <w:tcW w:w="794" w:type="dxa"/>
            <w:tcBorders>
              <w:bottom w:val="single" w:sz="4" w:space="0" w:color="BFBFBF"/>
            </w:tcBorders>
            <w:shd w:val="clear" w:color="auto" w:fill="auto"/>
            <w:hideMark/>
          </w:tcPr>
          <w:p w14:paraId="26A31B5A" w14:textId="77777777" w:rsidR="0078495E" w:rsidRPr="00D02A2E" w:rsidRDefault="0078495E" w:rsidP="004C7BEF">
            <w:pPr>
              <w:pStyle w:val="ARtableperformancesymbol"/>
              <w:rPr>
                <w:rFonts w:hint="eastAsia"/>
              </w:rPr>
            </w:pPr>
            <w:r w:rsidRPr="00746D38">
              <w:t></w:t>
            </w:r>
          </w:p>
        </w:tc>
      </w:tr>
      <w:tr w:rsidR="0078495E" w:rsidRPr="00D02A2E" w14:paraId="3A2671DF" w14:textId="77777777" w:rsidTr="004C7BEF">
        <w:trPr>
          <w:cantSplit/>
        </w:trPr>
        <w:tc>
          <w:tcPr>
            <w:tcW w:w="4761" w:type="dxa"/>
            <w:tcBorders>
              <w:top w:val="single" w:sz="4" w:space="0" w:color="BFBFBF"/>
              <w:bottom w:val="single" w:sz="4" w:space="0" w:color="BFBFBF"/>
            </w:tcBorders>
            <w:shd w:val="clear" w:color="auto" w:fill="auto"/>
            <w:hideMark/>
          </w:tcPr>
          <w:p w14:paraId="3FCC8918" w14:textId="77777777" w:rsidR="0078495E" w:rsidRPr="00D02A2E" w:rsidRDefault="0078495E" w:rsidP="004C7BEF">
            <w:pPr>
              <w:pStyle w:val="ARtabletext"/>
            </w:pPr>
            <w:r w:rsidRPr="00746D38">
              <w:t>Post-discharge community care (adult)</w:t>
            </w:r>
          </w:p>
        </w:tc>
        <w:tc>
          <w:tcPr>
            <w:tcW w:w="1021" w:type="dxa"/>
            <w:tcBorders>
              <w:top w:val="single" w:sz="4" w:space="0" w:color="BFBFBF"/>
              <w:bottom w:val="single" w:sz="4" w:space="0" w:color="BFBFBF"/>
            </w:tcBorders>
            <w:shd w:val="clear" w:color="auto" w:fill="auto"/>
            <w:hideMark/>
          </w:tcPr>
          <w:p w14:paraId="24B4225B" w14:textId="77777777" w:rsidR="0078495E" w:rsidRPr="00D02A2E" w:rsidRDefault="0078495E" w:rsidP="004C7BEF">
            <w:pPr>
              <w:pStyle w:val="ARtabletextcentre"/>
            </w:pPr>
            <w:r w:rsidRPr="00746D38">
              <w:t>per cent</w:t>
            </w:r>
          </w:p>
        </w:tc>
        <w:tc>
          <w:tcPr>
            <w:tcW w:w="1021" w:type="dxa"/>
            <w:tcBorders>
              <w:top w:val="single" w:sz="4" w:space="0" w:color="BFBFBF"/>
              <w:bottom w:val="single" w:sz="4" w:space="0" w:color="BFBFBF"/>
            </w:tcBorders>
            <w:shd w:val="clear" w:color="auto" w:fill="auto"/>
            <w:hideMark/>
          </w:tcPr>
          <w:p w14:paraId="2D96BF39" w14:textId="77777777" w:rsidR="0078495E" w:rsidRDefault="0078495E" w:rsidP="004C7BEF">
            <w:pPr>
              <w:pStyle w:val="ARtabletextright"/>
            </w:pPr>
            <w:r w:rsidRPr="00746D38">
              <w:t>88</w:t>
            </w:r>
          </w:p>
        </w:tc>
        <w:tc>
          <w:tcPr>
            <w:tcW w:w="1021" w:type="dxa"/>
            <w:tcBorders>
              <w:top w:val="single" w:sz="4" w:space="0" w:color="BFBFBF"/>
              <w:bottom w:val="single" w:sz="4" w:space="0" w:color="BFBFBF"/>
            </w:tcBorders>
            <w:shd w:val="clear" w:color="auto" w:fill="auto"/>
            <w:hideMark/>
          </w:tcPr>
          <w:p w14:paraId="0B32B019" w14:textId="77777777" w:rsidR="0078495E" w:rsidRDefault="0078495E" w:rsidP="004C7BEF">
            <w:pPr>
              <w:pStyle w:val="ARtabletextright"/>
            </w:pPr>
            <w:r w:rsidRPr="00746D38">
              <w:t>84</w:t>
            </w:r>
          </w:p>
        </w:tc>
        <w:tc>
          <w:tcPr>
            <w:tcW w:w="1021" w:type="dxa"/>
            <w:tcBorders>
              <w:top w:val="single" w:sz="4" w:space="0" w:color="BFBFBF"/>
              <w:bottom w:val="single" w:sz="4" w:space="0" w:color="BFBFBF"/>
            </w:tcBorders>
            <w:shd w:val="clear" w:color="auto" w:fill="auto"/>
          </w:tcPr>
          <w:p w14:paraId="329A6003" w14:textId="77777777" w:rsidR="0078495E" w:rsidRDefault="0078495E" w:rsidP="004C7BEF">
            <w:pPr>
              <w:pStyle w:val="ARtabletextright"/>
            </w:pPr>
            <w:r w:rsidRPr="00746D38">
              <w:t>−4.5%</w:t>
            </w:r>
          </w:p>
        </w:tc>
        <w:tc>
          <w:tcPr>
            <w:tcW w:w="794" w:type="dxa"/>
            <w:tcBorders>
              <w:top w:val="single" w:sz="4" w:space="0" w:color="BFBFBF"/>
              <w:bottom w:val="single" w:sz="4" w:space="0" w:color="BFBFBF"/>
            </w:tcBorders>
            <w:shd w:val="clear" w:color="auto" w:fill="auto"/>
            <w:hideMark/>
          </w:tcPr>
          <w:p w14:paraId="67621E04" w14:textId="77777777" w:rsidR="0078495E" w:rsidRPr="00D02A2E" w:rsidRDefault="0078495E" w:rsidP="004C7BEF">
            <w:pPr>
              <w:pStyle w:val="ARtableperformancesymbol"/>
              <w:rPr>
                <w:rFonts w:hint="eastAsia"/>
              </w:rPr>
            </w:pPr>
            <w:r w:rsidRPr="00746D38">
              <w:t></w:t>
            </w:r>
          </w:p>
        </w:tc>
      </w:tr>
      <w:tr w:rsidR="0078495E" w:rsidRPr="00D02A2E" w14:paraId="4FDA0BB4" w14:textId="77777777" w:rsidTr="004C7BEF">
        <w:trPr>
          <w:cantSplit/>
        </w:trPr>
        <w:tc>
          <w:tcPr>
            <w:tcW w:w="4761" w:type="dxa"/>
            <w:tcBorders>
              <w:bottom w:val="single" w:sz="4" w:space="0" w:color="BFBFBF"/>
            </w:tcBorders>
            <w:shd w:val="clear" w:color="auto" w:fill="auto"/>
            <w:hideMark/>
          </w:tcPr>
          <w:p w14:paraId="6FEB397F" w14:textId="77777777" w:rsidR="0078495E" w:rsidRPr="00D02A2E" w:rsidRDefault="0078495E" w:rsidP="004C7BEF">
            <w:pPr>
              <w:pStyle w:val="ARtabletext"/>
            </w:pPr>
            <w:r w:rsidRPr="00746D38">
              <w:t>Post-discharge community care (aged)</w:t>
            </w:r>
          </w:p>
        </w:tc>
        <w:tc>
          <w:tcPr>
            <w:tcW w:w="1021" w:type="dxa"/>
            <w:tcBorders>
              <w:bottom w:val="single" w:sz="4" w:space="0" w:color="BFBFBF"/>
            </w:tcBorders>
            <w:shd w:val="clear" w:color="auto" w:fill="auto"/>
            <w:hideMark/>
          </w:tcPr>
          <w:p w14:paraId="2E09B3E6" w14:textId="77777777" w:rsidR="0078495E" w:rsidRPr="00D02A2E" w:rsidRDefault="0078495E" w:rsidP="004C7BEF">
            <w:pPr>
              <w:pStyle w:val="ARtabletextcentre"/>
            </w:pPr>
            <w:r w:rsidRPr="00746D38">
              <w:t>per cent</w:t>
            </w:r>
          </w:p>
        </w:tc>
        <w:tc>
          <w:tcPr>
            <w:tcW w:w="1021" w:type="dxa"/>
            <w:tcBorders>
              <w:bottom w:val="single" w:sz="4" w:space="0" w:color="BFBFBF"/>
            </w:tcBorders>
            <w:shd w:val="clear" w:color="auto" w:fill="auto"/>
            <w:hideMark/>
          </w:tcPr>
          <w:p w14:paraId="454754A6" w14:textId="77777777" w:rsidR="0078495E" w:rsidRDefault="0078495E" w:rsidP="004C7BEF">
            <w:pPr>
              <w:pStyle w:val="ARtabletextright"/>
            </w:pPr>
            <w:r w:rsidRPr="00746D38">
              <w:t>88</w:t>
            </w:r>
          </w:p>
        </w:tc>
        <w:tc>
          <w:tcPr>
            <w:tcW w:w="1021" w:type="dxa"/>
            <w:tcBorders>
              <w:bottom w:val="single" w:sz="4" w:space="0" w:color="BFBFBF"/>
            </w:tcBorders>
            <w:shd w:val="clear" w:color="auto" w:fill="auto"/>
            <w:hideMark/>
          </w:tcPr>
          <w:p w14:paraId="5C8732D4" w14:textId="77777777" w:rsidR="0078495E" w:rsidRDefault="0078495E" w:rsidP="004C7BEF">
            <w:pPr>
              <w:pStyle w:val="ARtabletextright"/>
            </w:pPr>
            <w:r w:rsidRPr="00746D38">
              <w:t>88</w:t>
            </w:r>
          </w:p>
        </w:tc>
        <w:tc>
          <w:tcPr>
            <w:tcW w:w="1021" w:type="dxa"/>
            <w:tcBorders>
              <w:bottom w:val="single" w:sz="4" w:space="0" w:color="BFBFBF"/>
            </w:tcBorders>
            <w:shd w:val="clear" w:color="auto" w:fill="auto"/>
          </w:tcPr>
          <w:p w14:paraId="49B5D6A4" w14:textId="77777777" w:rsidR="0078495E" w:rsidRDefault="0078495E" w:rsidP="004C7BEF">
            <w:pPr>
              <w:pStyle w:val="ARtabletextright"/>
            </w:pPr>
            <w:r w:rsidRPr="00746D38">
              <w:t>0.0%</w:t>
            </w:r>
          </w:p>
        </w:tc>
        <w:tc>
          <w:tcPr>
            <w:tcW w:w="794" w:type="dxa"/>
            <w:tcBorders>
              <w:bottom w:val="single" w:sz="4" w:space="0" w:color="BFBFBF"/>
            </w:tcBorders>
            <w:shd w:val="clear" w:color="auto" w:fill="auto"/>
            <w:hideMark/>
          </w:tcPr>
          <w:p w14:paraId="5FF8336F" w14:textId="77777777" w:rsidR="0078495E" w:rsidRPr="00D02A2E" w:rsidRDefault="0078495E" w:rsidP="004C7BEF">
            <w:pPr>
              <w:pStyle w:val="ARtableperformancesymbol"/>
              <w:rPr>
                <w:rFonts w:hint="eastAsia"/>
              </w:rPr>
            </w:pPr>
            <w:r w:rsidRPr="00746D38">
              <w:t></w:t>
            </w:r>
          </w:p>
        </w:tc>
      </w:tr>
      <w:tr w:rsidR="0078495E" w:rsidRPr="00D02A2E" w14:paraId="70683E74" w14:textId="77777777" w:rsidTr="004C7BEF">
        <w:trPr>
          <w:cantSplit/>
        </w:trPr>
        <w:tc>
          <w:tcPr>
            <w:tcW w:w="4761" w:type="dxa"/>
            <w:tcBorders>
              <w:top w:val="single" w:sz="4" w:space="0" w:color="BFBFBF"/>
              <w:bottom w:val="single" w:sz="4" w:space="0" w:color="BFBFBF"/>
            </w:tcBorders>
            <w:shd w:val="clear" w:color="auto" w:fill="auto"/>
            <w:hideMark/>
          </w:tcPr>
          <w:p w14:paraId="7AFFE52F" w14:textId="77777777" w:rsidR="0078495E" w:rsidRPr="00D02A2E" w:rsidRDefault="0078495E" w:rsidP="004C7BEF">
            <w:pPr>
              <w:pStyle w:val="ARtabletext"/>
            </w:pPr>
            <w:r w:rsidRPr="00746D38">
              <w:t>Pre-admission community care</w:t>
            </w:r>
          </w:p>
        </w:tc>
        <w:tc>
          <w:tcPr>
            <w:tcW w:w="1021" w:type="dxa"/>
            <w:tcBorders>
              <w:top w:val="single" w:sz="4" w:space="0" w:color="BFBFBF"/>
              <w:bottom w:val="single" w:sz="4" w:space="0" w:color="BFBFBF"/>
            </w:tcBorders>
            <w:shd w:val="clear" w:color="auto" w:fill="auto"/>
            <w:hideMark/>
          </w:tcPr>
          <w:p w14:paraId="46083263" w14:textId="77777777" w:rsidR="0078495E" w:rsidRPr="00D02A2E" w:rsidRDefault="0078495E" w:rsidP="004C7BEF">
            <w:pPr>
              <w:pStyle w:val="ARtabletextcentre"/>
            </w:pPr>
            <w:r w:rsidRPr="00746D38">
              <w:t>per cent</w:t>
            </w:r>
          </w:p>
        </w:tc>
        <w:tc>
          <w:tcPr>
            <w:tcW w:w="1021" w:type="dxa"/>
            <w:tcBorders>
              <w:top w:val="single" w:sz="4" w:space="0" w:color="BFBFBF"/>
              <w:bottom w:val="single" w:sz="4" w:space="0" w:color="BFBFBF"/>
            </w:tcBorders>
            <w:shd w:val="clear" w:color="auto" w:fill="auto"/>
            <w:hideMark/>
          </w:tcPr>
          <w:p w14:paraId="4381D29C" w14:textId="77777777" w:rsidR="0078495E" w:rsidRDefault="0078495E" w:rsidP="004C7BEF">
            <w:pPr>
              <w:pStyle w:val="ARtabletextright"/>
            </w:pPr>
            <w:r w:rsidRPr="00746D38">
              <w:t>61</w:t>
            </w:r>
          </w:p>
        </w:tc>
        <w:tc>
          <w:tcPr>
            <w:tcW w:w="1021" w:type="dxa"/>
            <w:tcBorders>
              <w:top w:val="single" w:sz="4" w:space="0" w:color="BFBFBF"/>
              <w:bottom w:val="single" w:sz="4" w:space="0" w:color="BFBFBF"/>
            </w:tcBorders>
            <w:shd w:val="clear" w:color="auto" w:fill="auto"/>
            <w:hideMark/>
          </w:tcPr>
          <w:p w14:paraId="667991EC" w14:textId="77777777" w:rsidR="0078495E" w:rsidRDefault="0078495E" w:rsidP="004C7BEF">
            <w:pPr>
              <w:pStyle w:val="ARtabletextright"/>
            </w:pPr>
            <w:r w:rsidRPr="00746D38">
              <w:t>63</w:t>
            </w:r>
          </w:p>
        </w:tc>
        <w:tc>
          <w:tcPr>
            <w:tcW w:w="1021" w:type="dxa"/>
            <w:tcBorders>
              <w:top w:val="single" w:sz="4" w:space="0" w:color="BFBFBF"/>
              <w:bottom w:val="single" w:sz="4" w:space="0" w:color="BFBFBF"/>
            </w:tcBorders>
            <w:shd w:val="clear" w:color="auto" w:fill="auto"/>
          </w:tcPr>
          <w:p w14:paraId="60DFF01C" w14:textId="77777777" w:rsidR="0078495E" w:rsidRDefault="0078495E" w:rsidP="004C7BEF">
            <w:pPr>
              <w:pStyle w:val="ARtabletextright"/>
            </w:pPr>
            <w:r w:rsidRPr="00746D38">
              <w:t>3.3%</w:t>
            </w:r>
          </w:p>
        </w:tc>
        <w:tc>
          <w:tcPr>
            <w:tcW w:w="794" w:type="dxa"/>
            <w:tcBorders>
              <w:top w:val="single" w:sz="4" w:space="0" w:color="BFBFBF"/>
              <w:bottom w:val="single" w:sz="4" w:space="0" w:color="BFBFBF"/>
            </w:tcBorders>
            <w:shd w:val="clear" w:color="auto" w:fill="auto"/>
            <w:hideMark/>
          </w:tcPr>
          <w:p w14:paraId="0A0B5929" w14:textId="77777777" w:rsidR="0078495E" w:rsidRPr="00D02A2E" w:rsidRDefault="0078495E" w:rsidP="004C7BEF">
            <w:pPr>
              <w:pStyle w:val="ARtableperformancesymbol"/>
              <w:rPr>
                <w:rFonts w:hint="eastAsia"/>
              </w:rPr>
            </w:pPr>
            <w:r w:rsidRPr="00746D38">
              <w:t></w:t>
            </w:r>
          </w:p>
        </w:tc>
      </w:tr>
      <w:tr w:rsidR="0078495E" w:rsidRPr="00D02A2E" w14:paraId="78F239AA" w14:textId="77777777" w:rsidTr="004C7BEF">
        <w:trPr>
          <w:cantSplit/>
        </w:trPr>
        <w:tc>
          <w:tcPr>
            <w:tcW w:w="4761" w:type="dxa"/>
            <w:shd w:val="clear" w:color="auto" w:fill="auto"/>
            <w:hideMark/>
          </w:tcPr>
          <w:p w14:paraId="6A30C9B2" w14:textId="77777777" w:rsidR="0078495E" w:rsidRPr="00D02A2E" w:rsidRDefault="0078495E" w:rsidP="004C7BEF">
            <w:pPr>
              <w:pStyle w:val="ARtabletext"/>
            </w:pPr>
            <w:r w:rsidRPr="00746D38">
              <w:t>Seclusions per 1 000 occupied bed days</w:t>
            </w:r>
          </w:p>
        </w:tc>
        <w:tc>
          <w:tcPr>
            <w:tcW w:w="1021" w:type="dxa"/>
            <w:shd w:val="clear" w:color="auto" w:fill="auto"/>
            <w:hideMark/>
          </w:tcPr>
          <w:p w14:paraId="6CB69E88" w14:textId="77777777" w:rsidR="0078495E" w:rsidRPr="00D02A2E" w:rsidRDefault="0078495E" w:rsidP="004C7BEF">
            <w:pPr>
              <w:pStyle w:val="ARtabletextcentre"/>
            </w:pPr>
            <w:r w:rsidRPr="00746D38">
              <w:t>rate per 1000</w:t>
            </w:r>
          </w:p>
        </w:tc>
        <w:tc>
          <w:tcPr>
            <w:tcW w:w="1021" w:type="dxa"/>
            <w:shd w:val="clear" w:color="auto" w:fill="auto"/>
            <w:hideMark/>
          </w:tcPr>
          <w:p w14:paraId="34ECC4B0" w14:textId="77777777" w:rsidR="0078495E" w:rsidRDefault="0078495E" w:rsidP="004C7BEF">
            <w:pPr>
              <w:pStyle w:val="ARtabletextright"/>
            </w:pPr>
            <w:r w:rsidRPr="00746D38">
              <w:t>8</w:t>
            </w:r>
          </w:p>
        </w:tc>
        <w:tc>
          <w:tcPr>
            <w:tcW w:w="1021" w:type="dxa"/>
            <w:shd w:val="clear" w:color="auto" w:fill="auto"/>
            <w:hideMark/>
          </w:tcPr>
          <w:p w14:paraId="7A426262" w14:textId="77777777" w:rsidR="0078495E" w:rsidRDefault="0078495E" w:rsidP="004C7BEF">
            <w:pPr>
              <w:pStyle w:val="ARtabletextright"/>
            </w:pPr>
            <w:r w:rsidRPr="00746D38">
              <w:t>8.7</w:t>
            </w:r>
          </w:p>
        </w:tc>
        <w:tc>
          <w:tcPr>
            <w:tcW w:w="1021" w:type="dxa"/>
            <w:shd w:val="clear" w:color="auto" w:fill="auto"/>
          </w:tcPr>
          <w:p w14:paraId="5FC5509F" w14:textId="77777777" w:rsidR="0078495E" w:rsidRDefault="0078495E" w:rsidP="004C7BEF">
            <w:pPr>
              <w:pStyle w:val="ARtabletextright"/>
            </w:pPr>
            <w:r w:rsidRPr="00746D38">
              <w:t>8.7%</w:t>
            </w:r>
          </w:p>
        </w:tc>
        <w:tc>
          <w:tcPr>
            <w:tcW w:w="794" w:type="dxa"/>
            <w:shd w:val="clear" w:color="auto" w:fill="auto"/>
            <w:hideMark/>
          </w:tcPr>
          <w:p w14:paraId="2FB2C9BE" w14:textId="77777777" w:rsidR="0078495E" w:rsidRPr="00D02A2E" w:rsidRDefault="0078495E" w:rsidP="004C7BEF">
            <w:pPr>
              <w:pStyle w:val="ARtableperformancesymbol"/>
              <w:rPr>
                <w:rFonts w:hint="eastAsia"/>
              </w:rPr>
            </w:pPr>
            <w:r w:rsidRPr="00746D38">
              <w:t></w:t>
            </w:r>
          </w:p>
        </w:tc>
      </w:tr>
      <w:tr w:rsidR="0078495E" w:rsidRPr="00D02A2E" w14:paraId="7D040087" w14:textId="77777777" w:rsidTr="004C7BEF">
        <w:trPr>
          <w:cantSplit/>
        </w:trPr>
        <w:tc>
          <w:tcPr>
            <w:tcW w:w="9639" w:type="dxa"/>
            <w:gridSpan w:val="6"/>
            <w:tcBorders>
              <w:bottom w:val="single" w:sz="4" w:space="0" w:color="BFBFBF"/>
            </w:tcBorders>
            <w:shd w:val="clear" w:color="auto" w:fill="auto"/>
            <w:noWrap/>
            <w:hideMark/>
          </w:tcPr>
          <w:p w14:paraId="7F9B1F12" w14:textId="08BCB290" w:rsidR="0078495E" w:rsidRPr="00D02A2E" w:rsidRDefault="000E55AE" w:rsidP="004C7BEF">
            <w:pPr>
              <w:pStyle w:val="ARtablenoteindent"/>
            </w:pPr>
            <w:r>
              <w:t>Despite</w:t>
            </w:r>
            <w:r w:rsidR="0078495E" w:rsidRPr="00746D38">
              <w:t xml:space="preserve"> a reduction in seclusion</w:t>
            </w:r>
            <w:r>
              <w:t xml:space="preserve"> in </w:t>
            </w:r>
            <w:r w:rsidR="005024AB">
              <w:t>Q</w:t>
            </w:r>
            <w:r w:rsidR="0078495E" w:rsidRPr="0020263E" w:rsidDel="0020263E">
              <w:t>uarter 4</w:t>
            </w:r>
            <w:r w:rsidR="0078495E" w:rsidRPr="00746D38">
              <w:t xml:space="preserve"> across all age ranges</w:t>
            </w:r>
            <w:r w:rsidR="0020263E">
              <w:t xml:space="preserve"> and types of patient</w:t>
            </w:r>
            <w:r w:rsidR="00565B83">
              <w:t>s</w:t>
            </w:r>
            <w:r w:rsidR="00327A06">
              <w:t>,</w:t>
            </w:r>
            <w:r w:rsidR="0078495E" w:rsidRPr="00746D38">
              <w:t xml:space="preserve"> including</w:t>
            </w:r>
            <w:r w:rsidR="0020263E">
              <w:t xml:space="preserve"> in</w:t>
            </w:r>
            <w:r w:rsidR="0078495E" w:rsidRPr="00746D38">
              <w:t xml:space="preserve"> forensic services, the </w:t>
            </w:r>
            <w:r w:rsidR="00565B83">
              <w:t>result</w:t>
            </w:r>
            <w:r w:rsidR="0078495E" w:rsidRPr="00746D38">
              <w:t xml:space="preserve"> </w:t>
            </w:r>
            <w:r w:rsidR="00327A06">
              <w:t>was</w:t>
            </w:r>
            <w:r w:rsidR="0078495E" w:rsidRPr="00746D38">
              <w:t xml:space="preserve"> impacted by a higher number of events for a small number of adult patients (</w:t>
            </w:r>
            <w:r w:rsidR="0020263E">
              <w:t xml:space="preserve">across </w:t>
            </w:r>
            <w:r w:rsidR="0078495E" w:rsidRPr="00746D38">
              <w:t>metro</w:t>
            </w:r>
            <w:r w:rsidR="0020263E">
              <w:t xml:space="preserve">politan and </w:t>
            </w:r>
            <w:r w:rsidR="0078495E" w:rsidRPr="00746D38">
              <w:t>regional</w:t>
            </w:r>
            <w:r w:rsidR="0020263E">
              <w:t xml:space="preserve"> services</w:t>
            </w:r>
            <w:r w:rsidR="0078495E" w:rsidRPr="00746D38">
              <w:t>) with challenging behaviours.</w:t>
            </w:r>
          </w:p>
        </w:tc>
      </w:tr>
      <w:tr w:rsidR="0078495E" w:rsidRPr="00D02A2E" w14:paraId="00BE3542" w14:textId="77777777" w:rsidTr="004C7BEF">
        <w:trPr>
          <w:cantSplit/>
        </w:trPr>
        <w:tc>
          <w:tcPr>
            <w:tcW w:w="9639" w:type="dxa"/>
            <w:gridSpan w:val="6"/>
            <w:tcBorders>
              <w:top w:val="single" w:sz="4" w:space="0" w:color="auto"/>
            </w:tcBorders>
            <w:shd w:val="clear" w:color="auto" w:fill="auto"/>
            <w:hideMark/>
          </w:tcPr>
          <w:p w14:paraId="1D953926" w14:textId="77777777" w:rsidR="0078495E" w:rsidRPr="00D02A2E" w:rsidRDefault="0078495E" w:rsidP="004C7BEF">
            <w:pPr>
              <w:pStyle w:val="ARtablegreybold"/>
              <w:rPr>
                <w:rFonts w:ascii="Wingdings" w:hAnsi="Wingdings"/>
              </w:rPr>
            </w:pPr>
            <w:r>
              <w:t>Timeliness</w:t>
            </w:r>
          </w:p>
        </w:tc>
      </w:tr>
      <w:tr w:rsidR="0078495E" w:rsidRPr="00D02A2E" w14:paraId="08C704E0" w14:textId="77777777" w:rsidTr="004C7BEF">
        <w:trPr>
          <w:cantSplit/>
        </w:trPr>
        <w:tc>
          <w:tcPr>
            <w:tcW w:w="4761" w:type="dxa"/>
            <w:shd w:val="clear" w:color="auto" w:fill="auto"/>
            <w:hideMark/>
          </w:tcPr>
          <w:p w14:paraId="1C0DDF46" w14:textId="77777777" w:rsidR="0078495E" w:rsidRPr="00D02A2E" w:rsidRDefault="0078495E" w:rsidP="004C7BEF">
            <w:pPr>
              <w:pStyle w:val="ARtabletext"/>
            </w:pPr>
            <w:r w:rsidRPr="009B637A">
              <w:t>Emergency patients admitted to a mental health bed within eight hours</w:t>
            </w:r>
          </w:p>
        </w:tc>
        <w:tc>
          <w:tcPr>
            <w:tcW w:w="1021" w:type="dxa"/>
            <w:shd w:val="clear" w:color="auto" w:fill="auto"/>
            <w:hideMark/>
          </w:tcPr>
          <w:p w14:paraId="5B3B400B" w14:textId="77777777" w:rsidR="0078495E" w:rsidRPr="00D02A2E" w:rsidRDefault="0078495E" w:rsidP="004C7BEF">
            <w:pPr>
              <w:pStyle w:val="ARtabletextcentre"/>
            </w:pPr>
            <w:r w:rsidRPr="009B637A">
              <w:t>per cent</w:t>
            </w:r>
          </w:p>
        </w:tc>
        <w:tc>
          <w:tcPr>
            <w:tcW w:w="1021" w:type="dxa"/>
            <w:shd w:val="clear" w:color="auto" w:fill="auto"/>
            <w:hideMark/>
          </w:tcPr>
          <w:p w14:paraId="0B14D382" w14:textId="77777777" w:rsidR="0078495E" w:rsidRDefault="0078495E" w:rsidP="004C7BEF">
            <w:pPr>
              <w:pStyle w:val="ARtabletextright"/>
            </w:pPr>
            <w:r w:rsidRPr="009B637A">
              <w:t>80</w:t>
            </w:r>
          </w:p>
        </w:tc>
        <w:tc>
          <w:tcPr>
            <w:tcW w:w="1021" w:type="dxa"/>
            <w:shd w:val="clear" w:color="auto" w:fill="auto"/>
            <w:hideMark/>
          </w:tcPr>
          <w:p w14:paraId="3902D481" w14:textId="77777777" w:rsidR="0078495E" w:rsidRDefault="0078495E" w:rsidP="004C7BEF">
            <w:pPr>
              <w:pStyle w:val="ARtabletextright"/>
            </w:pPr>
            <w:r w:rsidRPr="009B637A">
              <w:t>49.1</w:t>
            </w:r>
          </w:p>
        </w:tc>
        <w:tc>
          <w:tcPr>
            <w:tcW w:w="1021" w:type="dxa"/>
            <w:shd w:val="clear" w:color="auto" w:fill="auto"/>
          </w:tcPr>
          <w:p w14:paraId="3C9F2E22" w14:textId="77777777" w:rsidR="0078495E" w:rsidRDefault="0078495E" w:rsidP="004C7BEF">
            <w:pPr>
              <w:pStyle w:val="ARtabletextright"/>
            </w:pPr>
            <w:r w:rsidRPr="009B637A">
              <w:t>−38.6%</w:t>
            </w:r>
          </w:p>
        </w:tc>
        <w:tc>
          <w:tcPr>
            <w:tcW w:w="794" w:type="dxa"/>
            <w:shd w:val="clear" w:color="auto" w:fill="auto"/>
            <w:hideMark/>
          </w:tcPr>
          <w:p w14:paraId="41B99CF4" w14:textId="77777777" w:rsidR="0078495E" w:rsidRPr="00D02A2E" w:rsidRDefault="0078495E" w:rsidP="004C7BEF">
            <w:pPr>
              <w:pStyle w:val="ARtableperformancesymbol"/>
              <w:rPr>
                <w:rFonts w:hint="eastAsia"/>
              </w:rPr>
            </w:pPr>
            <w:r w:rsidRPr="009B637A">
              <w:t></w:t>
            </w:r>
          </w:p>
        </w:tc>
      </w:tr>
      <w:tr w:rsidR="0078495E" w:rsidRPr="00D02A2E" w14:paraId="27DFCE25" w14:textId="77777777" w:rsidTr="004C7BEF">
        <w:trPr>
          <w:cantSplit/>
        </w:trPr>
        <w:tc>
          <w:tcPr>
            <w:tcW w:w="9639" w:type="dxa"/>
            <w:gridSpan w:val="6"/>
            <w:tcBorders>
              <w:bottom w:val="single" w:sz="4" w:space="0" w:color="BFBFBF"/>
            </w:tcBorders>
            <w:shd w:val="clear" w:color="auto" w:fill="auto"/>
            <w:noWrap/>
            <w:hideMark/>
          </w:tcPr>
          <w:p w14:paraId="5612BCBF" w14:textId="6F6B0000" w:rsidR="0078495E" w:rsidRPr="00D02A2E" w:rsidRDefault="0078495E" w:rsidP="004C7BEF">
            <w:pPr>
              <w:pStyle w:val="ARtablenoteindent"/>
            </w:pPr>
            <w:r w:rsidRPr="009B637A">
              <w:t xml:space="preserve">This result is due to high demand and acuity of consumers presenting to </w:t>
            </w:r>
            <w:r w:rsidR="008B4EB3">
              <w:t>e</w:t>
            </w:r>
            <w:r w:rsidRPr="009B637A">
              <w:t xml:space="preserve">mergency </w:t>
            </w:r>
            <w:r w:rsidR="008B4EB3">
              <w:t>d</w:t>
            </w:r>
            <w:r w:rsidRPr="009B637A">
              <w:t xml:space="preserve">epartments across the </w:t>
            </w:r>
            <w:r w:rsidR="008B4EB3">
              <w:t>n</w:t>
            </w:r>
            <w:r w:rsidRPr="009B637A">
              <w:t xml:space="preserve">orth </w:t>
            </w:r>
            <w:r w:rsidR="008B4EB3">
              <w:t>w</w:t>
            </w:r>
            <w:r w:rsidRPr="009B637A">
              <w:t xml:space="preserve">est and </w:t>
            </w:r>
            <w:r w:rsidR="008B4EB3">
              <w:t>s</w:t>
            </w:r>
            <w:r w:rsidRPr="009B637A">
              <w:t xml:space="preserve">outh </w:t>
            </w:r>
            <w:r w:rsidR="008B4EB3">
              <w:t>e</w:t>
            </w:r>
            <w:r w:rsidRPr="009B637A">
              <w:t>ast metropolitan and Hume areas. At times, due to the pandemic</w:t>
            </w:r>
            <w:r w:rsidR="008B4EB3">
              <w:t>,</w:t>
            </w:r>
            <w:r w:rsidRPr="009B637A">
              <w:t xml:space="preserve"> beds were closed </w:t>
            </w:r>
            <w:r w:rsidR="00457E53">
              <w:t>because of</w:t>
            </w:r>
            <w:r w:rsidRPr="009B637A">
              <w:t xml:space="preserve"> COVID</w:t>
            </w:r>
            <w:r w:rsidR="008B4EB3">
              <w:t>-19</w:t>
            </w:r>
            <w:r w:rsidRPr="009B637A" w:rsidDel="00457E53">
              <w:t xml:space="preserve"> </w:t>
            </w:r>
            <w:r w:rsidRPr="0020263E">
              <w:t>safety</w:t>
            </w:r>
            <w:r w:rsidR="002900EC">
              <w:t xml:space="preserve"> measures</w:t>
            </w:r>
            <w:r w:rsidRPr="009B637A" w:rsidDel="0020263E">
              <w:t>,</w:t>
            </w:r>
            <w:r w:rsidRPr="009B637A" w:rsidDel="00457E53">
              <w:t xml:space="preserve"> </w:t>
            </w:r>
            <w:r w:rsidRPr="009B637A">
              <w:t>which resulted in increased pressure for throughput. The Royal Commission into Victoria’s Mental Health System Interim Report stated that the increase in mental health-related presentations outstrips both population growth and the growth in</w:t>
            </w:r>
            <w:r w:rsidR="001C7FAA">
              <w:t> </w:t>
            </w:r>
            <w:r w:rsidRPr="009B637A">
              <w:t>emergency departments generally. This issue is being addressed by the creation of 144 new acute public beds</w:t>
            </w:r>
            <w:r w:rsidR="008B4EB3">
              <w:t>,</w:t>
            </w:r>
            <w:r w:rsidRPr="009B637A">
              <w:t xml:space="preserve"> as recommended by the Royal Commission</w:t>
            </w:r>
            <w:r w:rsidR="008B4EB3">
              <w:t xml:space="preserve">, which are currently </w:t>
            </w:r>
            <w:r w:rsidR="008B4EB3" w:rsidRPr="009B637A">
              <w:t>being developed</w:t>
            </w:r>
            <w:r w:rsidRPr="009B637A">
              <w:t>.</w:t>
            </w:r>
          </w:p>
        </w:tc>
      </w:tr>
      <w:tr w:rsidR="0078495E" w:rsidRPr="00D02A2E" w14:paraId="64237266" w14:textId="77777777" w:rsidTr="004C7BEF">
        <w:trPr>
          <w:cantSplit/>
        </w:trPr>
        <w:tc>
          <w:tcPr>
            <w:tcW w:w="9639" w:type="dxa"/>
            <w:gridSpan w:val="6"/>
            <w:tcBorders>
              <w:top w:val="single" w:sz="4" w:space="0" w:color="auto"/>
            </w:tcBorders>
            <w:shd w:val="clear" w:color="auto" w:fill="auto"/>
            <w:hideMark/>
          </w:tcPr>
          <w:p w14:paraId="4FF4245A" w14:textId="77777777" w:rsidR="0078495E" w:rsidRPr="00D02A2E" w:rsidRDefault="0078495E" w:rsidP="004C7BEF">
            <w:pPr>
              <w:pStyle w:val="ARtablegreybold"/>
              <w:rPr>
                <w:rFonts w:ascii="Wingdings" w:hAnsi="Wingdings"/>
              </w:rPr>
            </w:pPr>
            <w:r w:rsidRPr="009B637A">
              <w:t>Cost</w:t>
            </w:r>
          </w:p>
        </w:tc>
      </w:tr>
      <w:tr w:rsidR="0078495E" w:rsidRPr="007C1297" w14:paraId="00F26EDA" w14:textId="77777777" w:rsidTr="004C7BEF">
        <w:trPr>
          <w:cantSplit/>
        </w:trPr>
        <w:tc>
          <w:tcPr>
            <w:tcW w:w="4761" w:type="dxa"/>
            <w:shd w:val="clear" w:color="auto" w:fill="auto"/>
            <w:hideMark/>
          </w:tcPr>
          <w:p w14:paraId="3EE8ADDD" w14:textId="77777777" w:rsidR="0078495E" w:rsidRPr="007C1297" w:rsidRDefault="0078495E" w:rsidP="004C7BEF">
            <w:pPr>
              <w:pStyle w:val="ARtabletext"/>
              <w:rPr>
                <w:b/>
                <w:bCs/>
              </w:rPr>
            </w:pPr>
            <w:r w:rsidRPr="007C1297">
              <w:rPr>
                <w:b/>
                <w:bCs/>
              </w:rPr>
              <w:t>Total Output Cost</w:t>
            </w:r>
          </w:p>
        </w:tc>
        <w:tc>
          <w:tcPr>
            <w:tcW w:w="1021" w:type="dxa"/>
            <w:shd w:val="clear" w:color="auto" w:fill="auto"/>
            <w:hideMark/>
          </w:tcPr>
          <w:p w14:paraId="7F62C5F5" w14:textId="77777777" w:rsidR="0078495E" w:rsidRPr="007C1297" w:rsidRDefault="0078495E" w:rsidP="004C7BEF">
            <w:pPr>
              <w:pStyle w:val="ARtabletextcentre"/>
              <w:rPr>
                <w:b/>
                <w:bCs/>
              </w:rPr>
            </w:pPr>
            <w:r w:rsidRPr="007C1297">
              <w:rPr>
                <w:b/>
                <w:bCs/>
              </w:rPr>
              <w:t>$ million</w:t>
            </w:r>
          </w:p>
        </w:tc>
        <w:tc>
          <w:tcPr>
            <w:tcW w:w="1021" w:type="dxa"/>
            <w:shd w:val="clear" w:color="auto" w:fill="auto"/>
            <w:hideMark/>
          </w:tcPr>
          <w:p w14:paraId="0B513D92" w14:textId="77777777" w:rsidR="0078495E" w:rsidRPr="007C1297" w:rsidRDefault="0078495E" w:rsidP="004C7BEF">
            <w:pPr>
              <w:pStyle w:val="ARtabletextright"/>
              <w:rPr>
                <w:b/>
                <w:bCs/>
              </w:rPr>
            </w:pPr>
            <w:r w:rsidRPr="007C1297">
              <w:rPr>
                <w:b/>
                <w:bCs/>
              </w:rPr>
              <w:t>2,177</w:t>
            </w:r>
          </w:p>
        </w:tc>
        <w:tc>
          <w:tcPr>
            <w:tcW w:w="1021" w:type="dxa"/>
            <w:shd w:val="clear" w:color="auto" w:fill="auto"/>
            <w:hideMark/>
          </w:tcPr>
          <w:p w14:paraId="46B3BD5D" w14:textId="77777777" w:rsidR="0078495E" w:rsidRPr="007C1297" w:rsidRDefault="0078495E" w:rsidP="004C7BEF">
            <w:pPr>
              <w:pStyle w:val="ARtabletextright"/>
              <w:rPr>
                <w:b/>
                <w:bCs/>
              </w:rPr>
            </w:pPr>
            <w:r w:rsidRPr="007C1297">
              <w:rPr>
                <w:b/>
                <w:bCs/>
              </w:rPr>
              <w:t>1,952.2</w:t>
            </w:r>
          </w:p>
        </w:tc>
        <w:tc>
          <w:tcPr>
            <w:tcW w:w="1021" w:type="dxa"/>
            <w:shd w:val="clear" w:color="auto" w:fill="auto"/>
          </w:tcPr>
          <w:p w14:paraId="787482E1" w14:textId="77777777" w:rsidR="0078495E" w:rsidRPr="007C1297" w:rsidRDefault="0078495E" w:rsidP="004C7BEF">
            <w:pPr>
              <w:pStyle w:val="ARtabletextright"/>
              <w:rPr>
                <w:b/>
                <w:bCs/>
              </w:rPr>
            </w:pPr>
            <w:r w:rsidRPr="007C1297">
              <w:rPr>
                <w:b/>
                <w:bCs/>
              </w:rPr>
              <w:t>−10.3%</w:t>
            </w:r>
          </w:p>
        </w:tc>
        <w:tc>
          <w:tcPr>
            <w:tcW w:w="794" w:type="dxa"/>
            <w:shd w:val="clear" w:color="auto" w:fill="auto"/>
            <w:hideMark/>
          </w:tcPr>
          <w:p w14:paraId="28CDF9BC" w14:textId="77777777" w:rsidR="0078495E" w:rsidRPr="007C1297" w:rsidRDefault="0078495E" w:rsidP="004C7BEF">
            <w:pPr>
              <w:pStyle w:val="ARtabletextright"/>
              <w:rPr>
                <w:b/>
                <w:bCs/>
              </w:rPr>
            </w:pPr>
          </w:p>
        </w:tc>
      </w:tr>
      <w:tr w:rsidR="0078495E" w:rsidRPr="00D02A2E" w14:paraId="02213C4A" w14:textId="77777777" w:rsidTr="004C7BEF">
        <w:trPr>
          <w:cantSplit/>
        </w:trPr>
        <w:tc>
          <w:tcPr>
            <w:tcW w:w="9639" w:type="dxa"/>
            <w:gridSpan w:val="6"/>
            <w:tcBorders>
              <w:bottom w:val="single" w:sz="4" w:space="0" w:color="auto"/>
            </w:tcBorders>
            <w:shd w:val="clear" w:color="auto" w:fill="auto"/>
            <w:noWrap/>
            <w:hideMark/>
          </w:tcPr>
          <w:p w14:paraId="6F935498" w14:textId="77777777" w:rsidR="0078495E" w:rsidRPr="00D02A2E" w:rsidRDefault="0078495E" w:rsidP="004C7BEF">
            <w:pPr>
              <w:pStyle w:val="ARtablenoteindent"/>
            </w:pPr>
            <w:r w:rsidRPr="009B637A">
              <w:t>The 2021–22 actual outcome primarily reflects funding rephased or requested to be carried over into 2022–23.</w:t>
            </w:r>
          </w:p>
        </w:tc>
      </w:tr>
    </w:tbl>
    <w:p w14:paraId="6BA22C06" w14:textId="152B4AFA" w:rsidR="0078495E" w:rsidRDefault="0078495E" w:rsidP="00306875">
      <w:pPr>
        <w:pStyle w:val="Heading4"/>
        <w:spacing w:before="400"/>
      </w:pPr>
      <w:r>
        <w:t>Mental Health Community Support Services</w:t>
      </w:r>
    </w:p>
    <w:p w14:paraId="44829CCE" w14:textId="063824F4" w:rsidR="0078495E" w:rsidRDefault="008810C2" w:rsidP="0078495E">
      <w:pPr>
        <w:pStyle w:val="ARbody"/>
      </w:pPr>
      <w:r w:rsidRPr="008810C2">
        <w:t>This output includes a range of rehabilitation and support services provided to youth and adults with a psychiatric disability, and their families and carers.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1F0E59EF" w14:textId="77777777" w:rsidTr="004C7BEF">
        <w:trPr>
          <w:cantSplit/>
          <w:tblHeader/>
        </w:trPr>
        <w:tc>
          <w:tcPr>
            <w:tcW w:w="4761" w:type="dxa"/>
            <w:tcBorders>
              <w:bottom w:val="single" w:sz="4" w:space="0" w:color="auto"/>
            </w:tcBorders>
            <w:shd w:val="clear" w:color="auto" w:fill="auto"/>
            <w:vAlign w:val="bottom"/>
            <w:hideMark/>
          </w:tcPr>
          <w:p w14:paraId="477FCCA7"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0CDB00DB"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48BC9166"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0522C69B"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2229E5E7"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3C658E3C" w14:textId="77777777" w:rsidR="0078495E" w:rsidRPr="00F72126" w:rsidRDefault="0078495E" w:rsidP="004C7BEF">
            <w:pPr>
              <w:pStyle w:val="ARtablecolheadright"/>
            </w:pPr>
            <w:r w:rsidRPr="00F72126">
              <w:t>Result</w:t>
            </w:r>
          </w:p>
        </w:tc>
      </w:tr>
      <w:tr w:rsidR="0078495E" w:rsidRPr="00D02A2E" w14:paraId="10602F9D" w14:textId="77777777" w:rsidTr="004C7BEF">
        <w:trPr>
          <w:cantSplit/>
        </w:trPr>
        <w:tc>
          <w:tcPr>
            <w:tcW w:w="9639" w:type="dxa"/>
            <w:gridSpan w:val="6"/>
            <w:tcBorders>
              <w:top w:val="single" w:sz="4" w:space="0" w:color="auto"/>
            </w:tcBorders>
            <w:shd w:val="clear" w:color="auto" w:fill="auto"/>
            <w:hideMark/>
          </w:tcPr>
          <w:p w14:paraId="049CD9E7" w14:textId="77777777" w:rsidR="0078495E" w:rsidRPr="00D02A2E" w:rsidRDefault="0078495E" w:rsidP="004C7BEF">
            <w:pPr>
              <w:pStyle w:val="ARtablegreybold"/>
              <w:rPr>
                <w:rFonts w:ascii="Wingdings" w:hAnsi="Wingdings"/>
              </w:rPr>
            </w:pPr>
            <w:r w:rsidRPr="007A45E9">
              <w:t>Quantity</w:t>
            </w:r>
          </w:p>
        </w:tc>
      </w:tr>
      <w:tr w:rsidR="0078495E" w:rsidRPr="00D02A2E" w14:paraId="4DB4943B" w14:textId="77777777" w:rsidTr="004C7BEF">
        <w:trPr>
          <w:cantSplit/>
        </w:trPr>
        <w:tc>
          <w:tcPr>
            <w:tcW w:w="4761" w:type="dxa"/>
            <w:shd w:val="clear" w:color="auto" w:fill="auto"/>
            <w:hideMark/>
          </w:tcPr>
          <w:p w14:paraId="550F5275" w14:textId="77777777" w:rsidR="0078495E" w:rsidRPr="00D02A2E" w:rsidRDefault="0078495E" w:rsidP="004C7BEF">
            <w:pPr>
              <w:pStyle w:val="ARtabletext"/>
            </w:pPr>
            <w:r w:rsidRPr="0084420C">
              <w:t>Bed days</w:t>
            </w:r>
          </w:p>
        </w:tc>
        <w:tc>
          <w:tcPr>
            <w:tcW w:w="1021" w:type="dxa"/>
            <w:shd w:val="clear" w:color="auto" w:fill="auto"/>
            <w:hideMark/>
          </w:tcPr>
          <w:p w14:paraId="47DB23BA" w14:textId="77777777" w:rsidR="0078495E" w:rsidRPr="00D02A2E" w:rsidRDefault="0078495E" w:rsidP="004C7BEF">
            <w:pPr>
              <w:pStyle w:val="ARtabletextcentre"/>
            </w:pPr>
            <w:r w:rsidRPr="0084420C">
              <w:t>number</w:t>
            </w:r>
          </w:p>
        </w:tc>
        <w:tc>
          <w:tcPr>
            <w:tcW w:w="1021" w:type="dxa"/>
            <w:shd w:val="clear" w:color="auto" w:fill="auto"/>
            <w:hideMark/>
          </w:tcPr>
          <w:p w14:paraId="3CF66C83" w14:textId="77777777" w:rsidR="0078495E" w:rsidRDefault="0078495E" w:rsidP="004C7BEF">
            <w:pPr>
              <w:pStyle w:val="ARtabletextright"/>
            </w:pPr>
            <w:r w:rsidRPr="0084420C">
              <w:t>62,744</w:t>
            </w:r>
          </w:p>
        </w:tc>
        <w:tc>
          <w:tcPr>
            <w:tcW w:w="1021" w:type="dxa"/>
            <w:shd w:val="clear" w:color="auto" w:fill="auto"/>
            <w:hideMark/>
          </w:tcPr>
          <w:p w14:paraId="54ADC48A" w14:textId="77777777" w:rsidR="0078495E" w:rsidRDefault="0078495E" w:rsidP="004C7BEF">
            <w:pPr>
              <w:pStyle w:val="ARtabletextright"/>
            </w:pPr>
            <w:r w:rsidRPr="0084420C">
              <w:t>49,100</w:t>
            </w:r>
          </w:p>
        </w:tc>
        <w:tc>
          <w:tcPr>
            <w:tcW w:w="1021" w:type="dxa"/>
            <w:shd w:val="clear" w:color="auto" w:fill="auto"/>
          </w:tcPr>
          <w:p w14:paraId="2959D201" w14:textId="77777777" w:rsidR="0078495E" w:rsidRDefault="0078495E" w:rsidP="004C7BEF">
            <w:pPr>
              <w:pStyle w:val="ARtabletextright"/>
            </w:pPr>
            <w:r w:rsidRPr="0084420C">
              <w:t>−21.7%</w:t>
            </w:r>
          </w:p>
        </w:tc>
        <w:tc>
          <w:tcPr>
            <w:tcW w:w="794" w:type="dxa"/>
            <w:shd w:val="clear" w:color="auto" w:fill="auto"/>
            <w:hideMark/>
          </w:tcPr>
          <w:p w14:paraId="75DA2B1B" w14:textId="77777777" w:rsidR="0078495E" w:rsidRPr="00D02A2E" w:rsidRDefault="0078495E" w:rsidP="004C7BEF">
            <w:pPr>
              <w:pStyle w:val="ARtableperformancesymbol"/>
              <w:rPr>
                <w:rFonts w:hint="eastAsia"/>
              </w:rPr>
            </w:pPr>
            <w:r w:rsidRPr="0084420C">
              <w:t></w:t>
            </w:r>
          </w:p>
        </w:tc>
      </w:tr>
      <w:tr w:rsidR="0078495E" w:rsidRPr="00D02A2E" w14:paraId="6D922A56" w14:textId="77777777" w:rsidTr="004C7BEF">
        <w:trPr>
          <w:cantSplit/>
        </w:trPr>
        <w:tc>
          <w:tcPr>
            <w:tcW w:w="9639" w:type="dxa"/>
            <w:gridSpan w:val="6"/>
            <w:tcBorders>
              <w:bottom w:val="single" w:sz="4" w:space="0" w:color="BFBFBF"/>
            </w:tcBorders>
            <w:shd w:val="clear" w:color="auto" w:fill="auto"/>
            <w:noWrap/>
            <w:hideMark/>
          </w:tcPr>
          <w:p w14:paraId="23A78B27" w14:textId="76377742" w:rsidR="0078495E" w:rsidRPr="00D02A2E" w:rsidRDefault="0078495E" w:rsidP="004C7BEF">
            <w:pPr>
              <w:pStyle w:val="ARtablenoteindent"/>
            </w:pPr>
            <w:r w:rsidRPr="0084420C">
              <w:t>COVID-19 outbreaks and implementing COVID</w:t>
            </w:r>
            <w:r w:rsidR="004E0D41">
              <w:t>-19</w:t>
            </w:r>
            <w:r w:rsidRPr="0084420C">
              <w:t xml:space="preserve"> safe practices have continued to have an impact on operational beds</w:t>
            </w:r>
            <w:r w:rsidR="004E0D41">
              <w:t>,</w:t>
            </w:r>
            <w:r w:rsidRPr="0084420C">
              <w:t xml:space="preserve"> resulting in some mental health community support bed closures.</w:t>
            </w:r>
          </w:p>
        </w:tc>
      </w:tr>
      <w:tr w:rsidR="0078495E" w:rsidRPr="00D02A2E" w14:paraId="7700F551" w14:textId="77777777" w:rsidTr="004C7BEF">
        <w:trPr>
          <w:cantSplit/>
        </w:trPr>
        <w:tc>
          <w:tcPr>
            <w:tcW w:w="4761" w:type="dxa"/>
            <w:shd w:val="clear" w:color="auto" w:fill="auto"/>
            <w:hideMark/>
          </w:tcPr>
          <w:p w14:paraId="1B6F16E9" w14:textId="77777777" w:rsidR="0078495E" w:rsidRPr="00D02A2E" w:rsidRDefault="0078495E" w:rsidP="004C7BEF">
            <w:pPr>
              <w:pStyle w:val="ARtabletext"/>
            </w:pPr>
            <w:r w:rsidRPr="0084420C">
              <w:t>Client Support Units</w:t>
            </w:r>
          </w:p>
        </w:tc>
        <w:tc>
          <w:tcPr>
            <w:tcW w:w="1021" w:type="dxa"/>
            <w:shd w:val="clear" w:color="auto" w:fill="auto"/>
            <w:hideMark/>
          </w:tcPr>
          <w:p w14:paraId="0FCEB141" w14:textId="77777777" w:rsidR="0078495E" w:rsidRPr="00D02A2E" w:rsidRDefault="0078495E" w:rsidP="004C7BEF">
            <w:pPr>
              <w:pStyle w:val="ARtabletextcentre"/>
            </w:pPr>
            <w:r w:rsidRPr="0084420C">
              <w:t>number</w:t>
            </w:r>
          </w:p>
        </w:tc>
        <w:tc>
          <w:tcPr>
            <w:tcW w:w="1021" w:type="dxa"/>
            <w:shd w:val="clear" w:color="auto" w:fill="auto"/>
            <w:hideMark/>
          </w:tcPr>
          <w:p w14:paraId="0772BE78" w14:textId="77777777" w:rsidR="0078495E" w:rsidRDefault="0078495E" w:rsidP="004C7BEF">
            <w:pPr>
              <w:pStyle w:val="ARtabletextright"/>
            </w:pPr>
            <w:r w:rsidRPr="0084420C">
              <w:t>44,157</w:t>
            </w:r>
          </w:p>
        </w:tc>
        <w:tc>
          <w:tcPr>
            <w:tcW w:w="1021" w:type="dxa"/>
            <w:shd w:val="clear" w:color="auto" w:fill="auto"/>
            <w:hideMark/>
          </w:tcPr>
          <w:p w14:paraId="5801A961" w14:textId="77777777" w:rsidR="0078495E" w:rsidRDefault="0078495E" w:rsidP="004C7BEF">
            <w:pPr>
              <w:pStyle w:val="ARtabletextright"/>
            </w:pPr>
            <w:r w:rsidRPr="0084420C">
              <w:t>41,249</w:t>
            </w:r>
          </w:p>
        </w:tc>
        <w:tc>
          <w:tcPr>
            <w:tcW w:w="1021" w:type="dxa"/>
            <w:shd w:val="clear" w:color="auto" w:fill="auto"/>
          </w:tcPr>
          <w:p w14:paraId="52CBD963" w14:textId="77777777" w:rsidR="0078495E" w:rsidRDefault="0078495E" w:rsidP="004C7BEF">
            <w:pPr>
              <w:pStyle w:val="ARtabletextright"/>
            </w:pPr>
            <w:r w:rsidRPr="0084420C">
              <w:t>−6.6%</w:t>
            </w:r>
          </w:p>
        </w:tc>
        <w:tc>
          <w:tcPr>
            <w:tcW w:w="794" w:type="dxa"/>
            <w:shd w:val="clear" w:color="auto" w:fill="auto"/>
            <w:hideMark/>
          </w:tcPr>
          <w:p w14:paraId="715F7B0F" w14:textId="77777777" w:rsidR="0078495E" w:rsidRPr="00D02A2E" w:rsidRDefault="0078495E" w:rsidP="004C7BEF">
            <w:pPr>
              <w:pStyle w:val="ARtableperformancesymbol"/>
              <w:rPr>
                <w:rFonts w:hint="eastAsia"/>
              </w:rPr>
            </w:pPr>
            <w:r w:rsidRPr="0084420C">
              <w:t></w:t>
            </w:r>
          </w:p>
        </w:tc>
      </w:tr>
      <w:tr w:rsidR="0078495E" w:rsidRPr="00D02A2E" w14:paraId="1DD50957" w14:textId="77777777" w:rsidTr="004C7BEF">
        <w:trPr>
          <w:cantSplit/>
        </w:trPr>
        <w:tc>
          <w:tcPr>
            <w:tcW w:w="9639" w:type="dxa"/>
            <w:gridSpan w:val="6"/>
            <w:tcBorders>
              <w:bottom w:val="single" w:sz="4" w:space="0" w:color="BFBFBF"/>
            </w:tcBorders>
            <w:shd w:val="clear" w:color="auto" w:fill="auto"/>
            <w:noWrap/>
            <w:hideMark/>
          </w:tcPr>
          <w:p w14:paraId="7AD022D4" w14:textId="4FEF1CE3" w:rsidR="0078495E" w:rsidRPr="00D02A2E" w:rsidRDefault="0078495E" w:rsidP="004C7BEF">
            <w:pPr>
              <w:pStyle w:val="ARtablenoteindent"/>
            </w:pPr>
            <w:r w:rsidRPr="0084420C">
              <w:t>COVID-19 outbreaks and implementing COVID</w:t>
            </w:r>
            <w:r w:rsidR="004E0D41">
              <w:t>-19</w:t>
            </w:r>
            <w:r w:rsidRPr="0084420C">
              <w:t xml:space="preserve"> safe practices have continued to have an impact on operational beds</w:t>
            </w:r>
            <w:r w:rsidR="004E0D41">
              <w:t>,</w:t>
            </w:r>
            <w:r w:rsidRPr="0084420C">
              <w:t xml:space="preserve"> resulting in some community support bed closures.</w:t>
            </w:r>
          </w:p>
        </w:tc>
      </w:tr>
      <w:tr w:rsidR="0078495E" w:rsidRPr="00D02A2E" w14:paraId="0244677C" w14:textId="77777777" w:rsidTr="004C7BEF">
        <w:trPr>
          <w:cantSplit/>
        </w:trPr>
        <w:tc>
          <w:tcPr>
            <w:tcW w:w="4761" w:type="dxa"/>
            <w:shd w:val="clear" w:color="auto" w:fill="auto"/>
            <w:hideMark/>
          </w:tcPr>
          <w:p w14:paraId="10D41EDB" w14:textId="77777777" w:rsidR="0078495E" w:rsidRPr="00D02A2E" w:rsidRDefault="0078495E" w:rsidP="004C7BEF">
            <w:pPr>
              <w:pStyle w:val="ARtabletext"/>
            </w:pPr>
            <w:r w:rsidRPr="0084420C">
              <w:t>Clients receiving community mental health support services</w:t>
            </w:r>
          </w:p>
        </w:tc>
        <w:tc>
          <w:tcPr>
            <w:tcW w:w="1021" w:type="dxa"/>
            <w:shd w:val="clear" w:color="auto" w:fill="auto"/>
            <w:hideMark/>
          </w:tcPr>
          <w:p w14:paraId="34B07FA4" w14:textId="77777777" w:rsidR="0078495E" w:rsidRPr="00D02A2E" w:rsidRDefault="0078495E" w:rsidP="004C7BEF">
            <w:pPr>
              <w:pStyle w:val="ARtabletextcentre"/>
            </w:pPr>
            <w:r w:rsidRPr="0084420C">
              <w:t>number</w:t>
            </w:r>
          </w:p>
        </w:tc>
        <w:tc>
          <w:tcPr>
            <w:tcW w:w="1021" w:type="dxa"/>
            <w:shd w:val="clear" w:color="auto" w:fill="auto"/>
            <w:hideMark/>
          </w:tcPr>
          <w:p w14:paraId="721D8660" w14:textId="77777777" w:rsidR="0078495E" w:rsidRDefault="0078495E" w:rsidP="004C7BEF">
            <w:pPr>
              <w:pStyle w:val="ARtabletextright"/>
            </w:pPr>
            <w:r w:rsidRPr="0084420C">
              <w:t>1,800</w:t>
            </w:r>
          </w:p>
        </w:tc>
        <w:tc>
          <w:tcPr>
            <w:tcW w:w="1021" w:type="dxa"/>
            <w:shd w:val="clear" w:color="auto" w:fill="auto"/>
            <w:hideMark/>
          </w:tcPr>
          <w:p w14:paraId="71B8FBDF" w14:textId="77777777" w:rsidR="0078495E" w:rsidRDefault="0078495E" w:rsidP="004C7BEF">
            <w:pPr>
              <w:pStyle w:val="ARtabletextright"/>
            </w:pPr>
            <w:r w:rsidRPr="0084420C">
              <w:t>2,329</w:t>
            </w:r>
          </w:p>
        </w:tc>
        <w:tc>
          <w:tcPr>
            <w:tcW w:w="1021" w:type="dxa"/>
            <w:shd w:val="clear" w:color="auto" w:fill="auto"/>
          </w:tcPr>
          <w:p w14:paraId="60A38289" w14:textId="77777777" w:rsidR="0078495E" w:rsidRDefault="0078495E" w:rsidP="004C7BEF">
            <w:pPr>
              <w:pStyle w:val="ARtabletextright"/>
            </w:pPr>
            <w:r w:rsidRPr="0084420C">
              <w:t>29.4%</w:t>
            </w:r>
          </w:p>
        </w:tc>
        <w:tc>
          <w:tcPr>
            <w:tcW w:w="794" w:type="dxa"/>
            <w:shd w:val="clear" w:color="auto" w:fill="auto"/>
            <w:hideMark/>
          </w:tcPr>
          <w:p w14:paraId="7BD3AA97" w14:textId="77777777" w:rsidR="0078495E" w:rsidRPr="00D02A2E" w:rsidRDefault="0078495E" w:rsidP="004C7BEF">
            <w:pPr>
              <w:pStyle w:val="ARtableperformancesymbol"/>
              <w:rPr>
                <w:rFonts w:hint="eastAsia"/>
              </w:rPr>
            </w:pPr>
            <w:r w:rsidRPr="0084420C">
              <w:t></w:t>
            </w:r>
          </w:p>
        </w:tc>
      </w:tr>
      <w:tr w:rsidR="0078495E" w:rsidRPr="00D02A2E" w14:paraId="3813CE34" w14:textId="77777777" w:rsidTr="004C7BEF">
        <w:trPr>
          <w:cantSplit/>
        </w:trPr>
        <w:tc>
          <w:tcPr>
            <w:tcW w:w="9639" w:type="dxa"/>
            <w:gridSpan w:val="6"/>
            <w:tcBorders>
              <w:bottom w:val="single" w:sz="4" w:space="0" w:color="BFBFBF"/>
            </w:tcBorders>
            <w:shd w:val="clear" w:color="auto" w:fill="auto"/>
            <w:noWrap/>
            <w:hideMark/>
          </w:tcPr>
          <w:p w14:paraId="1542A07E" w14:textId="039327BA" w:rsidR="0078495E" w:rsidRPr="00D02A2E" w:rsidRDefault="004E0D41" w:rsidP="004C7BEF">
            <w:pPr>
              <w:pStyle w:val="ARtablenoteindent"/>
            </w:pPr>
            <w:r>
              <w:t>Greater c</w:t>
            </w:r>
            <w:r w:rsidR="0078495E" w:rsidRPr="0084420C">
              <w:t xml:space="preserve">onsumer confidence </w:t>
            </w:r>
            <w:r>
              <w:t>in</w:t>
            </w:r>
            <w:r w:rsidRPr="0084420C">
              <w:t xml:space="preserve"> </w:t>
            </w:r>
            <w:r w:rsidR="0078495E" w:rsidRPr="0084420C">
              <w:t>access</w:t>
            </w:r>
            <w:r>
              <w:t>ing</w:t>
            </w:r>
            <w:r w:rsidR="0078495E" w:rsidRPr="0084420C">
              <w:t xml:space="preserve"> services and </w:t>
            </w:r>
            <w:r>
              <w:t xml:space="preserve">the </w:t>
            </w:r>
            <w:r w:rsidR="0078495E" w:rsidRPr="0084420C">
              <w:t xml:space="preserve">reopening of some </w:t>
            </w:r>
            <w:r w:rsidR="0078495E" w:rsidRPr="00457E53">
              <w:t xml:space="preserve">services </w:t>
            </w:r>
            <w:r>
              <w:t>are the probabl</w:t>
            </w:r>
            <w:r w:rsidR="002900EC">
              <w:t>e</w:t>
            </w:r>
            <w:r>
              <w:t xml:space="preserve"> causes for </w:t>
            </w:r>
            <w:r w:rsidR="0078495E" w:rsidRPr="0084420C">
              <w:t>this increase.</w:t>
            </w:r>
            <w:r>
              <w:t xml:space="preserve"> This is a positive result</w:t>
            </w:r>
            <w:r w:rsidR="002900EC">
              <w:t>.</w:t>
            </w:r>
          </w:p>
        </w:tc>
      </w:tr>
      <w:tr w:rsidR="0078495E" w:rsidRPr="00D02A2E" w14:paraId="59E85203" w14:textId="77777777" w:rsidTr="004C7BEF">
        <w:trPr>
          <w:cantSplit/>
        </w:trPr>
        <w:tc>
          <w:tcPr>
            <w:tcW w:w="9639" w:type="dxa"/>
            <w:gridSpan w:val="6"/>
            <w:tcBorders>
              <w:top w:val="single" w:sz="4" w:space="0" w:color="auto"/>
            </w:tcBorders>
            <w:shd w:val="clear" w:color="auto" w:fill="auto"/>
            <w:hideMark/>
          </w:tcPr>
          <w:p w14:paraId="6ADA75DB" w14:textId="77777777" w:rsidR="0078495E" w:rsidRPr="00D02A2E" w:rsidRDefault="0078495E" w:rsidP="004C7BEF">
            <w:pPr>
              <w:pStyle w:val="ARtablegreybold"/>
              <w:rPr>
                <w:rFonts w:ascii="Wingdings" w:hAnsi="Wingdings"/>
              </w:rPr>
            </w:pPr>
            <w:r>
              <w:t>Quality</w:t>
            </w:r>
          </w:p>
        </w:tc>
      </w:tr>
      <w:tr w:rsidR="0078495E" w:rsidRPr="00D02A2E" w14:paraId="14812354" w14:textId="77777777" w:rsidTr="004C7BEF">
        <w:trPr>
          <w:cantSplit/>
        </w:trPr>
        <w:tc>
          <w:tcPr>
            <w:tcW w:w="4761" w:type="dxa"/>
            <w:tcBorders>
              <w:bottom w:val="single" w:sz="4" w:space="0" w:color="BFBFBF"/>
            </w:tcBorders>
            <w:shd w:val="clear" w:color="auto" w:fill="auto"/>
            <w:hideMark/>
          </w:tcPr>
          <w:p w14:paraId="409F15E1" w14:textId="77777777" w:rsidR="0078495E" w:rsidRPr="00D02A2E" w:rsidRDefault="0078495E" w:rsidP="004C7BEF">
            <w:pPr>
              <w:pStyle w:val="ARtabletext"/>
            </w:pPr>
            <w:r w:rsidRPr="00E6494B">
              <w:t>Proportion of major agencies accredited</w:t>
            </w:r>
          </w:p>
        </w:tc>
        <w:tc>
          <w:tcPr>
            <w:tcW w:w="1021" w:type="dxa"/>
            <w:tcBorders>
              <w:bottom w:val="single" w:sz="4" w:space="0" w:color="BFBFBF"/>
            </w:tcBorders>
            <w:shd w:val="clear" w:color="auto" w:fill="auto"/>
            <w:hideMark/>
          </w:tcPr>
          <w:p w14:paraId="32173BF2" w14:textId="77777777" w:rsidR="0078495E" w:rsidRPr="00D02A2E" w:rsidRDefault="0078495E" w:rsidP="004C7BEF">
            <w:pPr>
              <w:pStyle w:val="ARtabletextcentre"/>
            </w:pPr>
            <w:r w:rsidRPr="00E6494B">
              <w:t>per cent</w:t>
            </w:r>
          </w:p>
        </w:tc>
        <w:tc>
          <w:tcPr>
            <w:tcW w:w="1021" w:type="dxa"/>
            <w:tcBorders>
              <w:bottom w:val="single" w:sz="4" w:space="0" w:color="BFBFBF"/>
            </w:tcBorders>
            <w:shd w:val="clear" w:color="auto" w:fill="auto"/>
            <w:hideMark/>
          </w:tcPr>
          <w:p w14:paraId="40637946" w14:textId="77777777" w:rsidR="0078495E" w:rsidRDefault="0078495E" w:rsidP="004C7BEF">
            <w:pPr>
              <w:pStyle w:val="ARtabletextright"/>
            </w:pPr>
            <w:r w:rsidRPr="00E6494B">
              <w:t>100</w:t>
            </w:r>
          </w:p>
        </w:tc>
        <w:tc>
          <w:tcPr>
            <w:tcW w:w="1021" w:type="dxa"/>
            <w:tcBorders>
              <w:bottom w:val="single" w:sz="4" w:space="0" w:color="BFBFBF"/>
            </w:tcBorders>
            <w:shd w:val="clear" w:color="auto" w:fill="auto"/>
            <w:hideMark/>
          </w:tcPr>
          <w:p w14:paraId="43303B69" w14:textId="77777777" w:rsidR="0078495E" w:rsidRDefault="0078495E" w:rsidP="004C7BEF">
            <w:pPr>
              <w:pStyle w:val="ARtabletextright"/>
            </w:pPr>
            <w:r w:rsidRPr="00E6494B">
              <w:t>100</w:t>
            </w:r>
          </w:p>
        </w:tc>
        <w:tc>
          <w:tcPr>
            <w:tcW w:w="1021" w:type="dxa"/>
            <w:tcBorders>
              <w:bottom w:val="single" w:sz="4" w:space="0" w:color="BFBFBF"/>
            </w:tcBorders>
            <w:shd w:val="clear" w:color="auto" w:fill="auto"/>
          </w:tcPr>
          <w:p w14:paraId="2C6401D7" w14:textId="77777777" w:rsidR="0078495E" w:rsidRDefault="0078495E" w:rsidP="004C7BEF">
            <w:pPr>
              <w:pStyle w:val="ARtabletextright"/>
            </w:pPr>
            <w:r w:rsidRPr="00E6494B">
              <w:t>0.0%</w:t>
            </w:r>
          </w:p>
        </w:tc>
        <w:tc>
          <w:tcPr>
            <w:tcW w:w="794" w:type="dxa"/>
            <w:tcBorders>
              <w:bottom w:val="single" w:sz="4" w:space="0" w:color="BFBFBF"/>
            </w:tcBorders>
            <w:shd w:val="clear" w:color="auto" w:fill="auto"/>
            <w:hideMark/>
          </w:tcPr>
          <w:p w14:paraId="13A74EA7" w14:textId="77777777" w:rsidR="0078495E" w:rsidRPr="00D02A2E" w:rsidRDefault="0078495E" w:rsidP="004C7BEF">
            <w:pPr>
              <w:pStyle w:val="ARtableperformancesymbol"/>
              <w:rPr>
                <w:rFonts w:hint="eastAsia"/>
              </w:rPr>
            </w:pPr>
            <w:r w:rsidRPr="00E6494B">
              <w:t></w:t>
            </w:r>
          </w:p>
        </w:tc>
      </w:tr>
      <w:tr w:rsidR="0078495E" w:rsidRPr="00D02A2E" w14:paraId="431A6EEF" w14:textId="77777777" w:rsidTr="004C7BEF">
        <w:trPr>
          <w:cantSplit/>
        </w:trPr>
        <w:tc>
          <w:tcPr>
            <w:tcW w:w="9639" w:type="dxa"/>
            <w:gridSpan w:val="6"/>
            <w:tcBorders>
              <w:top w:val="single" w:sz="4" w:space="0" w:color="auto"/>
            </w:tcBorders>
            <w:shd w:val="clear" w:color="auto" w:fill="auto"/>
            <w:hideMark/>
          </w:tcPr>
          <w:p w14:paraId="39350C02" w14:textId="77777777" w:rsidR="0078495E" w:rsidRPr="00D02A2E" w:rsidRDefault="0078495E" w:rsidP="004C7BEF">
            <w:pPr>
              <w:pStyle w:val="ARtablegreybold"/>
              <w:rPr>
                <w:rFonts w:ascii="Wingdings" w:hAnsi="Wingdings"/>
              </w:rPr>
            </w:pPr>
            <w:r w:rsidRPr="00E6494B">
              <w:t>Cost</w:t>
            </w:r>
          </w:p>
        </w:tc>
      </w:tr>
      <w:tr w:rsidR="0078495E" w:rsidRPr="003E37D5" w14:paraId="38DCA886" w14:textId="77777777" w:rsidTr="004C7BEF">
        <w:trPr>
          <w:cantSplit/>
        </w:trPr>
        <w:tc>
          <w:tcPr>
            <w:tcW w:w="4761" w:type="dxa"/>
            <w:shd w:val="clear" w:color="auto" w:fill="auto"/>
            <w:hideMark/>
          </w:tcPr>
          <w:p w14:paraId="681EA83B" w14:textId="77777777" w:rsidR="0078495E" w:rsidRPr="003E37D5" w:rsidRDefault="0078495E" w:rsidP="004C7BEF">
            <w:pPr>
              <w:pStyle w:val="ARtabletext"/>
              <w:rPr>
                <w:b/>
                <w:bCs/>
              </w:rPr>
            </w:pPr>
            <w:r w:rsidRPr="003E37D5">
              <w:rPr>
                <w:b/>
                <w:bCs/>
              </w:rPr>
              <w:t>Total Output Cost</w:t>
            </w:r>
          </w:p>
        </w:tc>
        <w:tc>
          <w:tcPr>
            <w:tcW w:w="1021" w:type="dxa"/>
            <w:shd w:val="clear" w:color="auto" w:fill="auto"/>
            <w:hideMark/>
          </w:tcPr>
          <w:p w14:paraId="7B28BE5D" w14:textId="77777777" w:rsidR="0078495E" w:rsidRPr="003E37D5" w:rsidRDefault="0078495E" w:rsidP="004C7BEF">
            <w:pPr>
              <w:pStyle w:val="ARtabletextcentre"/>
              <w:rPr>
                <w:b/>
                <w:bCs/>
              </w:rPr>
            </w:pPr>
            <w:r w:rsidRPr="003E37D5">
              <w:rPr>
                <w:b/>
                <w:bCs/>
              </w:rPr>
              <w:t>$ million</w:t>
            </w:r>
          </w:p>
        </w:tc>
        <w:tc>
          <w:tcPr>
            <w:tcW w:w="1021" w:type="dxa"/>
            <w:shd w:val="clear" w:color="auto" w:fill="auto"/>
            <w:hideMark/>
          </w:tcPr>
          <w:p w14:paraId="651BFB4E" w14:textId="77777777" w:rsidR="0078495E" w:rsidRPr="003E37D5" w:rsidRDefault="0078495E" w:rsidP="004C7BEF">
            <w:pPr>
              <w:pStyle w:val="ARtabletextright"/>
              <w:rPr>
                <w:b/>
                <w:bCs/>
              </w:rPr>
            </w:pPr>
            <w:r w:rsidRPr="003E37D5">
              <w:rPr>
                <w:b/>
                <w:bCs/>
              </w:rPr>
              <w:t>166.3</w:t>
            </w:r>
          </w:p>
        </w:tc>
        <w:tc>
          <w:tcPr>
            <w:tcW w:w="1021" w:type="dxa"/>
            <w:shd w:val="clear" w:color="auto" w:fill="auto"/>
            <w:hideMark/>
          </w:tcPr>
          <w:p w14:paraId="7D84D365" w14:textId="77777777" w:rsidR="0078495E" w:rsidRPr="003E37D5" w:rsidRDefault="0078495E" w:rsidP="004C7BEF">
            <w:pPr>
              <w:pStyle w:val="ARtabletextright"/>
              <w:rPr>
                <w:b/>
                <w:bCs/>
              </w:rPr>
            </w:pPr>
            <w:r w:rsidRPr="003E37D5">
              <w:rPr>
                <w:b/>
                <w:bCs/>
              </w:rPr>
              <w:t>161.2</w:t>
            </w:r>
          </w:p>
        </w:tc>
        <w:tc>
          <w:tcPr>
            <w:tcW w:w="1021" w:type="dxa"/>
            <w:shd w:val="clear" w:color="auto" w:fill="auto"/>
          </w:tcPr>
          <w:p w14:paraId="6BAED7C1" w14:textId="77777777" w:rsidR="0078495E" w:rsidRPr="003E37D5" w:rsidRDefault="0078495E" w:rsidP="004C7BEF">
            <w:pPr>
              <w:pStyle w:val="ARtabletextright"/>
              <w:rPr>
                <w:b/>
                <w:bCs/>
              </w:rPr>
            </w:pPr>
            <w:r w:rsidRPr="003E37D5">
              <w:rPr>
                <w:b/>
                <w:bCs/>
              </w:rPr>
              <w:t>−3.1%</w:t>
            </w:r>
          </w:p>
        </w:tc>
        <w:tc>
          <w:tcPr>
            <w:tcW w:w="794" w:type="dxa"/>
            <w:shd w:val="clear" w:color="auto" w:fill="auto"/>
            <w:hideMark/>
          </w:tcPr>
          <w:p w14:paraId="2D97EFF0" w14:textId="77777777" w:rsidR="0078495E" w:rsidRPr="003E37D5" w:rsidRDefault="0078495E" w:rsidP="004C7BEF">
            <w:pPr>
              <w:pStyle w:val="ARtabletextright"/>
              <w:rPr>
                <w:b/>
                <w:bCs/>
              </w:rPr>
            </w:pPr>
          </w:p>
        </w:tc>
      </w:tr>
      <w:tr w:rsidR="0078495E" w:rsidRPr="00D02A2E" w14:paraId="3CE452CF" w14:textId="77777777" w:rsidTr="004C7BEF">
        <w:trPr>
          <w:cantSplit/>
        </w:trPr>
        <w:tc>
          <w:tcPr>
            <w:tcW w:w="9639" w:type="dxa"/>
            <w:gridSpan w:val="6"/>
            <w:tcBorders>
              <w:bottom w:val="single" w:sz="4" w:space="0" w:color="auto"/>
            </w:tcBorders>
            <w:shd w:val="clear" w:color="auto" w:fill="auto"/>
            <w:noWrap/>
            <w:hideMark/>
          </w:tcPr>
          <w:p w14:paraId="0439EA76" w14:textId="77777777" w:rsidR="0078495E" w:rsidRPr="00D02A2E" w:rsidRDefault="0078495E" w:rsidP="004C7BEF">
            <w:pPr>
              <w:pStyle w:val="ARtablenoteindent"/>
            </w:pPr>
            <w:r w:rsidRPr="00E6494B">
              <w:t>The 2021–22 actual outcome primarily reflects funding requested to be carried over into 2022–23.</w:t>
            </w:r>
          </w:p>
        </w:tc>
      </w:tr>
    </w:tbl>
    <w:p w14:paraId="45CEA1DF" w14:textId="61C67588" w:rsidR="0078495E" w:rsidRDefault="0078495E" w:rsidP="00306875">
      <w:pPr>
        <w:pStyle w:val="Heading4"/>
        <w:spacing w:before="400"/>
      </w:pPr>
      <w:r>
        <w:t>Community Health Care</w:t>
      </w:r>
    </w:p>
    <w:p w14:paraId="7CE3631A" w14:textId="511AE98C" w:rsidR="0078495E" w:rsidRDefault="00EC301E" w:rsidP="0078495E">
      <w:pPr>
        <w:pStyle w:val="ARbody"/>
      </w:pPr>
      <w:r w:rsidRPr="00EC301E">
        <w:t>This output includes delivery of a range of community care and support services, including counselling, allied health and nursing, that enable people to continue to live independently in the community.</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48E37F5D" w14:textId="77777777" w:rsidTr="004C7BEF">
        <w:trPr>
          <w:cantSplit/>
          <w:tblHeader/>
        </w:trPr>
        <w:tc>
          <w:tcPr>
            <w:tcW w:w="4761" w:type="dxa"/>
            <w:tcBorders>
              <w:bottom w:val="single" w:sz="4" w:space="0" w:color="auto"/>
            </w:tcBorders>
            <w:shd w:val="clear" w:color="auto" w:fill="auto"/>
            <w:vAlign w:val="bottom"/>
            <w:hideMark/>
          </w:tcPr>
          <w:p w14:paraId="2324C633"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54D4525E"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7068B0B2"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7B4F809D"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34061314"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6816AC79" w14:textId="77777777" w:rsidR="0078495E" w:rsidRPr="00F72126" w:rsidRDefault="0078495E" w:rsidP="004C7BEF">
            <w:pPr>
              <w:pStyle w:val="ARtablecolheadright"/>
            </w:pPr>
            <w:r w:rsidRPr="00F72126">
              <w:t>Result</w:t>
            </w:r>
          </w:p>
        </w:tc>
      </w:tr>
      <w:tr w:rsidR="0078495E" w:rsidRPr="00D02A2E" w14:paraId="5EDAFF00" w14:textId="77777777" w:rsidTr="004C7BEF">
        <w:trPr>
          <w:cantSplit/>
        </w:trPr>
        <w:tc>
          <w:tcPr>
            <w:tcW w:w="9639" w:type="dxa"/>
            <w:gridSpan w:val="6"/>
            <w:tcBorders>
              <w:top w:val="single" w:sz="4" w:space="0" w:color="auto"/>
            </w:tcBorders>
            <w:shd w:val="clear" w:color="auto" w:fill="auto"/>
            <w:hideMark/>
          </w:tcPr>
          <w:p w14:paraId="5A99F1B8" w14:textId="77777777" w:rsidR="0078495E" w:rsidRPr="00D02A2E" w:rsidRDefault="0078495E" w:rsidP="004C7BEF">
            <w:pPr>
              <w:pStyle w:val="ARtablegreybold"/>
              <w:rPr>
                <w:rFonts w:ascii="Wingdings" w:hAnsi="Wingdings"/>
              </w:rPr>
            </w:pPr>
            <w:r w:rsidRPr="007A45E9">
              <w:t>Quantity</w:t>
            </w:r>
          </w:p>
        </w:tc>
      </w:tr>
      <w:tr w:rsidR="0078495E" w:rsidRPr="00D02A2E" w14:paraId="64CF7F2C" w14:textId="77777777" w:rsidTr="004C7BEF">
        <w:trPr>
          <w:cantSplit/>
        </w:trPr>
        <w:tc>
          <w:tcPr>
            <w:tcW w:w="4761" w:type="dxa"/>
            <w:tcBorders>
              <w:bottom w:val="single" w:sz="4" w:space="0" w:color="BFBFBF"/>
            </w:tcBorders>
            <w:shd w:val="clear" w:color="auto" w:fill="auto"/>
            <w:hideMark/>
          </w:tcPr>
          <w:p w14:paraId="12759711" w14:textId="77777777" w:rsidR="0078495E" w:rsidRPr="00D02A2E" w:rsidRDefault="0078495E" w:rsidP="004C7BEF">
            <w:pPr>
              <w:pStyle w:val="ARtabletext"/>
            </w:pPr>
            <w:r w:rsidRPr="00CA5C8B">
              <w:t>Rate of admissions for ambulatory care sensitive chronic conditions for Aboriginal Victorians</w:t>
            </w:r>
          </w:p>
        </w:tc>
        <w:tc>
          <w:tcPr>
            <w:tcW w:w="1021" w:type="dxa"/>
            <w:tcBorders>
              <w:bottom w:val="single" w:sz="4" w:space="0" w:color="BFBFBF"/>
            </w:tcBorders>
            <w:shd w:val="clear" w:color="auto" w:fill="auto"/>
            <w:hideMark/>
          </w:tcPr>
          <w:p w14:paraId="44312883" w14:textId="77777777" w:rsidR="0078495E" w:rsidRPr="00D02A2E" w:rsidRDefault="0078495E" w:rsidP="004C7BEF">
            <w:pPr>
              <w:pStyle w:val="ARtabletextcentre"/>
            </w:pPr>
            <w:r w:rsidRPr="00CA5C8B">
              <w:t>rate per 1000</w:t>
            </w:r>
          </w:p>
        </w:tc>
        <w:tc>
          <w:tcPr>
            <w:tcW w:w="1021" w:type="dxa"/>
            <w:tcBorders>
              <w:bottom w:val="single" w:sz="4" w:space="0" w:color="BFBFBF"/>
            </w:tcBorders>
            <w:shd w:val="clear" w:color="auto" w:fill="auto"/>
            <w:hideMark/>
          </w:tcPr>
          <w:p w14:paraId="2CEC126A" w14:textId="77777777" w:rsidR="0078495E" w:rsidRDefault="0078495E" w:rsidP="004C7BEF">
            <w:pPr>
              <w:pStyle w:val="ARtabletextright"/>
            </w:pPr>
            <w:r w:rsidRPr="00CA5C8B">
              <w:t>14.4</w:t>
            </w:r>
          </w:p>
        </w:tc>
        <w:tc>
          <w:tcPr>
            <w:tcW w:w="1021" w:type="dxa"/>
            <w:tcBorders>
              <w:bottom w:val="single" w:sz="4" w:space="0" w:color="BFBFBF"/>
            </w:tcBorders>
            <w:shd w:val="clear" w:color="auto" w:fill="auto"/>
            <w:hideMark/>
          </w:tcPr>
          <w:p w14:paraId="778B4AC4" w14:textId="77777777" w:rsidR="0078495E" w:rsidRDefault="0078495E" w:rsidP="004C7BEF">
            <w:pPr>
              <w:pStyle w:val="ARtabletextright"/>
            </w:pPr>
            <w:r w:rsidRPr="00CA5C8B">
              <w:t>14.4</w:t>
            </w:r>
          </w:p>
        </w:tc>
        <w:tc>
          <w:tcPr>
            <w:tcW w:w="1021" w:type="dxa"/>
            <w:tcBorders>
              <w:bottom w:val="single" w:sz="4" w:space="0" w:color="BFBFBF"/>
            </w:tcBorders>
            <w:shd w:val="clear" w:color="auto" w:fill="auto"/>
          </w:tcPr>
          <w:p w14:paraId="35C02E60" w14:textId="77777777" w:rsidR="0078495E" w:rsidRDefault="0078495E" w:rsidP="004C7BEF">
            <w:pPr>
              <w:pStyle w:val="ARtabletextright"/>
            </w:pPr>
            <w:r w:rsidRPr="00CA5C8B">
              <w:t>0.0%</w:t>
            </w:r>
          </w:p>
        </w:tc>
        <w:tc>
          <w:tcPr>
            <w:tcW w:w="794" w:type="dxa"/>
            <w:tcBorders>
              <w:bottom w:val="single" w:sz="4" w:space="0" w:color="BFBFBF"/>
            </w:tcBorders>
            <w:shd w:val="clear" w:color="auto" w:fill="auto"/>
            <w:hideMark/>
          </w:tcPr>
          <w:p w14:paraId="28BFE561" w14:textId="77777777" w:rsidR="0078495E" w:rsidRPr="00D02A2E" w:rsidRDefault="0078495E" w:rsidP="004C7BEF">
            <w:pPr>
              <w:pStyle w:val="ARtableperformancesymbol"/>
              <w:rPr>
                <w:rFonts w:hint="eastAsia"/>
              </w:rPr>
            </w:pPr>
            <w:r w:rsidRPr="00CA5C8B">
              <w:t></w:t>
            </w:r>
          </w:p>
        </w:tc>
      </w:tr>
      <w:tr w:rsidR="0078495E" w:rsidRPr="00D02A2E" w14:paraId="20E059C8" w14:textId="77777777" w:rsidTr="004C7BEF">
        <w:trPr>
          <w:cantSplit/>
        </w:trPr>
        <w:tc>
          <w:tcPr>
            <w:tcW w:w="4761" w:type="dxa"/>
            <w:tcBorders>
              <w:top w:val="single" w:sz="4" w:space="0" w:color="BFBFBF"/>
              <w:bottom w:val="single" w:sz="4" w:space="0" w:color="BFBFBF"/>
            </w:tcBorders>
            <w:shd w:val="clear" w:color="auto" w:fill="auto"/>
            <w:hideMark/>
          </w:tcPr>
          <w:p w14:paraId="074E9906" w14:textId="77777777" w:rsidR="0078495E" w:rsidRPr="00D02A2E" w:rsidRDefault="0078495E" w:rsidP="004C7BEF">
            <w:pPr>
              <w:pStyle w:val="ARtabletext"/>
            </w:pPr>
            <w:r w:rsidRPr="00CA5C8B">
              <w:t>Number of referrals made using secure electronic referral systems</w:t>
            </w:r>
          </w:p>
        </w:tc>
        <w:tc>
          <w:tcPr>
            <w:tcW w:w="1021" w:type="dxa"/>
            <w:tcBorders>
              <w:top w:val="single" w:sz="4" w:space="0" w:color="BFBFBF"/>
              <w:bottom w:val="single" w:sz="4" w:space="0" w:color="BFBFBF"/>
            </w:tcBorders>
            <w:shd w:val="clear" w:color="auto" w:fill="auto"/>
            <w:hideMark/>
          </w:tcPr>
          <w:p w14:paraId="6D512D14" w14:textId="77777777" w:rsidR="0078495E" w:rsidRPr="00D02A2E" w:rsidRDefault="0078495E" w:rsidP="004C7BEF">
            <w:pPr>
              <w:pStyle w:val="ARtabletextcentre"/>
            </w:pPr>
            <w:r w:rsidRPr="00CA5C8B">
              <w:t>number</w:t>
            </w:r>
          </w:p>
        </w:tc>
        <w:tc>
          <w:tcPr>
            <w:tcW w:w="1021" w:type="dxa"/>
            <w:tcBorders>
              <w:top w:val="single" w:sz="4" w:space="0" w:color="BFBFBF"/>
              <w:bottom w:val="single" w:sz="4" w:space="0" w:color="BFBFBF"/>
            </w:tcBorders>
            <w:shd w:val="clear" w:color="auto" w:fill="auto"/>
            <w:hideMark/>
          </w:tcPr>
          <w:p w14:paraId="5E3B576B" w14:textId="77777777" w:rsidR="0078495E" w:rsidRDefault="0078495E" w:rsidP="004C7BEF">
            <w:pPr>
              <w:pStyle w:val="ARtabletextright"/>
            </w:pPr>
            <w:r w:rsidRPr="00CA5C8B">
              <w:t>75,000</w:t>
            </w:r>
          </w:p>
        </w:tc>
        <w:tc>
          <w:tcPr>
            <w:tcW w:w="1021" w:type="dxa"/>
            <w:tcBorders>
              <w:top w:val="single" w:sz="4" w:space="0" w:color="BFBFBF"/>
              <w:bottom w:val="single" w:sz="4" w:space="0" w:color="BFBFBF"/>
            </w:tcBorders>
            <w:shd w:val="clear" w:color="auto" w:fill="auto"/>
            <w:hideMark/>
          </w:tcPr>
          <w:p w14:paraId="25958727" w14:textId="77777777" w:rsidR="0078495E" w:rsidRDefault="0078495E" w:rsidP="004C7BEF">
            <w:pPr>
              <w:pStyle w:val="ARtabletextright"/>
            </w:pPr>
            <w:r w:rsidRPr="00CA5C8B">
              <w:t>75,000</w:t>
            </w:r>
          </w:p>
        </w:tc>
        <w:tc>
          <w:tcPr>
            <w:tcW w:w="1021" w:type="dxa"/>
            <w:tcBorders>
              <w:top w:val="single" w:sz="4" w:space="0" w:color="BFBFBF"/>
              <w:bottom w:val="single" w:sz="4" w:space="0" w:color="BFBFBF"/>
            </w:tcBorders>
            <w:shd w:val="clear" w:color="auto" w:fill="auto"/>
          </w:tcPr>
          <w:p w14:paraId="746EB07E" w14:textId="77777777" w:rsidR="0078495E" w:rsidRDefault="0078495E" w:rsidP="004C7BEF">
            <w:pPr>
              <w:pStyle w:val="ARtabletextright"/>
            </w:pPr>
            <w:r w:rsidRPr="00CA5C8B">
              <w:t>0.0%</w:t>
            </w:r>
          </w:p>
        </w:tc>
        <w:tc>
          <w:tcPr>
            <w:tcW w:w="794" w:type="dxa"/>
            <w:tcBorders>
              <w:top w:val="single" w:sz="4" w:space="0" w:color="BFBFBF"/>
              <w:bottom w:val="single" w:sz="4" w:space="0" w:color="BFBFBF"/>
            </w:tcBorders>
            <w:shd w:val="clear" w:color="auto" w:fill="auto"/>
            <w:hideMark/>
          </w:tcPr>
          <w:p w14:paraId="5575BCFF" w14:textId="77777777" w:rsidR="0078495E" w:rsidRPr="00D02A2E" w:rsidRDefault="0078495E" w:rsidP="004C7BEF">
            <w:pPr>
              <w:pStyle w:val="ARtableperformancesymbol"/>
              <w:rPr>
                <w:rFonts w:hint="eastAsia"/>
              </w:rPr>
            </w:pPr>
            <w:r w:rsidRPr="00CA5C8B">
              <w:t></w:t>
            </w:r>
          </w:p>
        </w:tc>
      </w:tr>
      <w:tr w:rsidR="0078495E" w:rsidRPr="00D02A2E" w14:paraId="01AD1830" w14:textId="77777777" w:rsidTr="004C7BEF">
        <w:trPr>
          <w:cantSplit/>
        </w:trPr>
        <w:tc>
          <w:tcPr>
            <w:tcW w:w="4761" w:type="dxa"/>
            <w:tcBorders>
              <w:top w:val="single" w:sz="4" w:space="0" w:color="BFBFBF"/>
              <w:bottom w:val="single" w:sz="4" w:space="0" w:color="BFBFBF"/>
            </w:tcBorders>
            <w:shd w:val="clear" w:color="auto" w:fill="auto"/>
            <w:hideMark/>
          </w:tcPr>
          <w:p w14:paraId="59E10AA6" w14:textId="77777777" w:rsidR="0078495E" w:rsidRPr="00D02A2E" w:rsidRDefault="0078495E" w:rsidP="004C7BEF">
            <w:pPr>
              <w:pStyle w:val="ARtabletext"/>
            </w:pPr>
            <w:r w:rsidRPr="00CA5C8B">
              <w:t>Primary Care Partnerships with reviewed and updated Strategic Plans</w:t>
            </w:r>
          </w:p>
        </w:tc>
        <w:tc>
          <w:tcPr>
            <w:tcW w:w="1021" w:type="dxa"/>
            <w:tcBorders>
              <w:top w:val="single" w:sz="4" w:space="0" w:color="BFBFBF"/>
              <w:bottom w:val="single" w:sz="4" w:space="0" w:color="BFBFBF"/>
            </w:tcBorders>
            <w:shd w:val="clear" w:color="auto" w:fill="auto"/>
            <w:hideMark/>
          </w:tcPr>
          <w:p w14:paraId="2962569A" w14:textId="77777777" w:rsidR="0078495E" w:rsidRPr="00D02A2E" w:rsidRDefault="0078495E" w:rsidP="004C7BEF">
            <w:pPr>
              <w:pStyle w:val="ARtabletextcentre"/>
            </w:pPr>
            <w:r w:rsidRPr="00CA5C8B">
              <w:t>per cent</w:t>
            </w:r>
          </w:p>
        </w:tc>
        <w:tc>
          <w:tcPr>
            <w:tcW w:w="1021" w:type="dxa"/>
            <w:tcBorders>
              <w:top w:val="single" w:sz="4" w:space="0" w:color="BFBFBF"/>
              <w:bottom w:val="single" w:sz="4" w:space="0" w:color="BFBFBF"/>
            </w:tcBorders>
            <w:shd w:val="clear" w:color="auto" w:fill="auto"/>
            <w:hideMark/>
          </w:tcPr>
          <w:p w14:paraId="3CA112AF" w14:textId="77777777" w:rsidR="0078495E" w:rsidRDefault="0078495E" w:rsidP="004C7BEF">
            <w:pPr>
              <w:pStyle w:val="ARtabletextright"/>
            </w:pPr>
            <w:r w:rsidRPr="00CA5C8B">
              <w:t>100</w:t>
            </w:r>
          </w:p>
        </w:tc>
        <w:tc>
          <w:tcPr>
            <w:tcW w:w="1021" w:type="dxa"/>
            <w:tcBorders>
              <w:top w:val="single" w:sz="4" w:space="0" w:color="BFBFBF"/>
              <w:bottom w:val="single" w:sz="4" w:space="0" w:color="BFBFBF"/>
            </w:tcBorders>
            <w:shd w:val="clear" w:color="auto" w:fill="auto"/>
            <w:hideMark/>
          </w:tcPr>
          <w:p w14:paraId="0A569B05" w14:textId="77777777" w:rsidR="0078495E" w:rsidRDefault="0078495E" w:rsidP="004C7BEF">
            <w:pPr>
              <w:pStyle w:val="ARtabletextright"/>
            </w:pPr>
            <w:r w:rsidRPr="00CA5C8B">
              <w:t>100</w:t>
            </w:r>
          </w:p>
        </w:tc>
        <w:tc>
          <w:tcPr>
            <w:tcW w:w="1021" w:type="dxa"/>
            <w:tcBorders>
              <w:top w:val="single" w:sz="4" w:space="0" w:color="BFBFBF"/>
              <w:bottom w:val="single" w:sz="4" w:space="0" w:color="BFBFBF"/>
            </w:tcBorders>
            <w:shd w:val="clear" w:color="auto" w:fill="auto"/>
          </w:tcPr>
          <w:p w14:paraId="3785C152" w14:textId="77777777" w:rsidR="0078495E" w:rsidRDefault="0078495E" w:rsidP="004C7BEF">
            <w:pPr>
              <w:pStyle w:val="ARtabletextright"/>
            </w:pPr>
            <w:r w:rsidRPr="00CA5C8B">
              <w:t>0.0%</w:t>
            </w:r>
          </w:p>
        </w:tc>
        <w:tc>
          <w:tcPr>
            <w:tcW w:w="794" w:type="dxa"/>
            <w:tcBorders>
              <w:top w:val="single" w:sz="4" w:space="0" w:color="BFBFBF"/>
              <w:bottom w:val="single" w:sz="4" w:space="0" w:color="BFBFBF"/>
            </w:tcBorders>
            <w:shd w:val="clear" w:color="auto" w:fill="auto"/>
            <w:hideMark/>
          </w:tcPr>
          <w:p w14:paraId="21562A9A" w14:textId="77777777" w:rsidR="0078495E" w:rsidRPr="00D02A2E" w:rsidRDefault="0078495E" w:rsidP="004C7BEF">
            <w:pPr>
              <w:pStyle w:val="ARtableperformancesymbol"/>
              <w:rPr>
                <w:rFonts w:hint="eastAsia"/>
              </w:rPr>
            </w:pPr>
            <w:r w:rsidRPr="00CA5C8B">
              <w:t></w:t>
            </w:r>
          </w:p>
        </w:tc>
      </w:tr>
      <w:tr w:rsidR="0078495E" w:rsidRPr="00D02A2E" w14:paraId="0943094B" w14:textId="77777777" w:rsidTr="004C7BEF">
        <w:trPr>
          <w:cantSplit/>
        </w:trPr>
        <w:tc>
          <w:tcPr>
            <w:tcW w:w="4761" w:type="dxa"/>
            <w:tcBorders>
              <w:top w:val="single" w:sz="4" w:space="0" w:color="BFBFBF"/>
            </w:tcBorders>
            <w:shd w:val="clear" w:color="auto" w:fill="auto"/>
            <w:hideMark/>
          </w:tcPr>
          <w:p w14:paraId="68858C6D" w14:textId="77777777" w:rsidR="0078495E" w:rsidRPr="00D02A2E" w:rsidRDefault="0078495E" w:rsidP="004C7BEF">
            <w:pPr>
              <w:pStyle w:val="ARtabletext"/>
            </w:pPr>
            <w:r w:rsidRPr="00CA5C8B">
              <w:t>Service delivery hours in community health care</w:t>
            </w:r>
          </w:p>
        </w:tc>
        <w:tc>
          <w:tcPr>
            <w:tcW w:w="1021" w:type="dxa"/>
            <w:tcBorders>
              <w:top w:val="single" w:sz="4" w:space="0" w:color="BFBFBF"/>
            </w:tcBorders>
            <w:shd w:val="clear" w:color="auto" w:fill="auto"/>
            <w:hideMark/>
          </w:tcPr>
          <w:p w14:paraId="66692B22" w14:textId="77777777" w:rsidR="0078495E" w:rsidRPr="00D02A2E" w:rsidRDefault="0078495E" w:rsidP="004C7BEF">
            <w:pPr>
              <w:pStyle w:val="ARtabletextcentre"/>
            </w:pPr>
            <w:r w:rsidRPr="00CA5C8B">
              <w:t>number (thousand)</w:t>
            </w:r>
          </w:p>
        </w:tc>
        <w:tc>
          <w:tcPr>
            <w:tcW w:w="1021" w:type="dxa"/>
            <w:tcBorders>
              <w:top w:val="single" w:sz="4" w:space="0" w:color="BFBFBF"/>
            </w:tcBorders>
            <w:shd w:val="clear" w:color="auto" w:fill="auto"/>
            <w:hideMark/>
          </w:tcPr>
          <w:p w14:paraId="6BA899A8" w14:textId="77777777" w:rsidR="0078495E" w:rsidRDefault="0078495E" w:rsidP="004C7BEF">
            <w:pPr>
              <w:pStyle w:val="ARtabletextright"/>
            </w:pPr>
            <w:r w:rsidRPr="00CA5C8B">
              <w:t>1,060</w:t>
            </w:r>
          </w:p>
        </w:tc>
        <w:tc>
          <w:tcPr>
            <w:tcW w:w="1021" w:type="dxa"/>
            <w:tcBorders>
              <w:top w:val="single" w:sz="4" w:space="0" w:color="BFBFBF"/>
            </w:tcBorders>
            <w:shd w:val="clear" w:color="auto" w:fill="auto"/>
            <w:hideMark/>
          </w:tcPr>
          <w:p w14:paraId="3E1BA7DC" w14:textId="77777777" w:rsidR="0078495E" w:rsidRDefault="0078495E" w:rsidP="004C7BEF">
            <w:pPr>
              <w:pStyle w:val="ARtabletextright"/>
            </w:pPr>
            <w:r w:rsidRPr="00CA5C8B">
              <w:t>967</w:t>
            </w:r>
          </w:p>
        </w:tc>
        <w:tc>
          <w:tcPr>
            <w:tcW w:w="1021" w:type="dxa"/>
            <w:tcBorders>
              <w:top w:val="single" w:sz="4" w:space="0" w:color="BFBFBF"/>
            </w:tcBorders>
            <w:shd w:val="clear" w:color="auto" w:fill="auto"/>
          </w:tcPr>
          <w:p w14:paraId="46037711" w14:textId="77777777" w:rsidR="0078495E" w:rsidRDefault="0078495E" w:rsidP="004C7BEF">
            <w:pPr>
              <w:pStyle w:val="ARtabletextright"/>
            </w:pPr>
            <w:r w:rsidRPr="00CA5C8B">
              <w:t>−8.8%</w:t>
            </w:r>
          </w:p>
        </w:tc>
        <w:tc>
          <w:tcPr>
            <w:tcW w:w="794" w:type="dxa"/>
            <w:tcBorders>
              <w:top w:val="single" w:sz="4" w:space="0" w:color="BFBFBF"/>
            </w:tcBorders>
            <w:shd w:val="clear" w:color="auto" w:fill="auto"/>
            <w:hideMark/>
          </w:tcPr>
          <w:p w14:paraId="0DFBA058" w14:textId="77777777" w:rsidR="0078495E" w:rsidRPr="00D02A2E" w:rsidRDefault="0078495E" w:rsidP="004C7BEF">
            <w:pPr>
              <w:pStyle w:val="ARtableperformancesymbol"/>
              <w:rPr>
                <w:rFonts w:hint="eastAsia"/>
              </w:rPr>
            </w:pPr>
            <w:r w:rsidRPr="00CA5C8B">
              <w:t></w:t>
            </w:r>
          </w:p>
        </w:tc>
      </w:tr>
      <w:tr w:rsidR="0078495E" w:rsidRPr="00D02A2E" w14:paraId="7A7FAEDA" w14:textId="77777777" w:rsidTr="004C7BEF">
        <w:trPr>
          <w:cantSplit/>
        </w:trPr>
        <w:tc>
          <w:tcPr>
            <w:tcW w:w="9639" w:type="dxa"/>
            <w:gridSpan w:val="6"/>
            <w:tcBorders>
              <w:bottom w:val="single" w:sz="4" w:space="0" w:color="BFBFBF"/>
            </w:tcBorders>
            <w:shd w:val="clear" w:color="auto" w:fill="auto"/>
            <w:noWrap/>
            <w:hideMark/>
          </w:tcPr>
          <w:p w14:paraId="6BC833FF" w14:textId="28FBF8CD" w:rsidR="0078495E" w:rsidRPr="00D02A2E" w:rsidRDefault="0078495E" w:rsidP="004C7BEF">
            <w:pPr>
              <w:pStyle w:val="ARtablenoteindent"/>
            </w:pPr>
            <w:r w:rsidRPr="00CA5C8B">
              <w:t>The result is lower than target primarily due to the impact of COVID-19. Many services are supporting the response effort and these activities are not able to be captured under this measure.</w:t>
            </w:r>
          </w:p>
        </w:tc>
      </w:tr>
      <w:tr w:rsidR="0078495E" w:rsidRPr="00D02A2E" w14:paraId="02B17B80" w14:textId="77777777" w:rsidTr="004C7BEF">
        <w:trPr>
          <w:cantSplit/>
        </w:trPr>
        <w:tc>
          <w:tcPr>
            <w:tcW w:w="9639" w:type="dxa"/>
            <w:gridSpan w:val="6"/>
            <w:tcBorders>
              <w:top w:val="single" w:sz="4" w:space="0" w:color="auto"/>
            </w:tcBorders>
            <w:shd w:val="clear" w:color="auto" w:fill="auto"/>
            <w:hideMark/>
          </w:tcPr>
          <w:p w14:paraId="0F63CCB9" w14:textId="77777777" w:rsidR="0078495E" w:rsidRPr="00D02A2E" w:rsidRDefault="0078495E" w:rsidP="004C7BEF">
            <w:pPr>
              <w:pStyle w:val="ARtablegreybold"/>
              <w:rPr>
                <w:rFonts w:ascii="Wingdings" w:hAnsi="Wingdings"/>
              </w:rPr>
            </w:pPr>
            <w:r>
              <w:t>Quality</w:t>
            </w:r>
          </w:p>
        </w:tc>
      </w:tr>
      <w:tr w:rsidR="0078495E" w:rsidRPr="00D02A2E" w14:paraId="1249C894" w14:textId="77777777" w:rsidTr="004C7BEF">
        <w:trPr>
          <w:cantSplit/>
        </w:trPr>
        <w:tc>
          <w:tcPr>
            <w:tcW w:w="4761" w:type="dxa"/>
            <w:tcBorders>
              <w:bottom w:val="single" w:sz="4" w:space="0" w:color="BFBFBF"/>
            </w:tcBorders>
            <w:shd w:val="clear" w:color="auto" w:fill="auto"/>
            <w:hideMark/>
          </w:tcPr>
          <w:p w14:paraId="6DDB8A01" w14:textId="77777777" w:rsidR="0078495E" w:rsidRPr="00D02A2E" w:rsidRDefault="0078495E" w:rsidP="004C7BEF">
            <w:pPr>
              <w:pStyle w:val="ARtabletext"/>
            </w:pPr>
            <w:r w:rsidRPr="005A547A">
              <w:t>Agencies with an Integrated Health Promotion plan that meets the stipulated planning requirements</w:t>
            </w:r>
          </w:p>
        </w:tc>
        <w:tc>
          <w:tcPr>
            <w:tcW w:w="1021" w:type="dxa"/>
            <w:tcBorders>
              <w:bottom w:val="single" w:sz="4" w:space="0" w:color="BFBFBF"/>
            </w:tcBorders>
            <w:shd w:val="clear" w:color="auto" w:fill="auto"/>
            <w:hideMark/>
          </w:tcPr>
          <w:p w14:paraId="1A4A4486" w14:textId="77777777" w:rsidR="0078495E" w:rsidRPr="00D02A2E" w:rsidRDefault="0078495E" w:rsidP="004C7BEF">
            <w:pPr>
              <w:pStyle w:val="ARtabletextcentre"/>
            </w:pPr>
            <w:r w:rsidRPr="005A547A">
              <w:t>per cent</w:t>
            </w:r>
          </w:p>
        </w:tc>
        <w:tc>
          <w:tcPr>
            <w:tcW w:w="1021" w:type="dxa"/>
            <w:tcBorders>
              <w:bottom w:val="single" w:sz="4" w:space="0" w:color="BFBFBF"/>
            </w:tcBorders>
            <w:shd w:val="clear" w:color="auto" w:fill="auto"/>
            <w:hideMark/>
          </w:tcPr>
          <w:p w14:paraId="2E339256" w14:textId="77777777" w:rsidR="0078495E" w:rsidRDefault="0078495E" w:rsidP="004C7BEF">
            <w:pPr>
              <w:pStyle w:val="ARtabletextright"/>
            </w:pPr>
            <w:r w:rsidRPr="005A547A">
              <w:t>95</w:t>
            </w:r>
          </w:p>
        </w:tc>
        <w:tc>
          <w:tcPr>
            <w:tcW w:w="1021" w:type="dxa"/>
            <w:tcBorders>
              <w:bottom w:val="single" w:sz="4" w:space="0" w:color="BFBFBF"/>
            </w:tcBorders>
            <w:shd w:val="clear" w:color="auto" w:fill="auto"/>
            <w:hideMark/>
          </w:tcPr>
          <w:p w14:paraId="0B81B5ED" w14:textId="77777777" w:rsidR="0078495E" w:rsidRDefault="0078495E" w:rsidP="004C7BEF">
            <w:pPr>
              <w:pStyle w:val="ARtabletextright"/>
            </w:pPr>
            <w:r w:rsidRPr="005A547A">
              <w:t>98</w:t>
            </w:r>
          </w:p>
        </w:tc>
        <w:tc>
          <w:tcPr>
            <w:tcW w:w="1021" w:type="dxa"/>
            <w:tcBorders>
              <w:bottom w:val="single" w:sz="4" w:space="0" w:color="BFBFBF"/>
            </w:tcBorders>
            <w:shd w:val="clear" w:color="auto" w:fill="auto"/>
          </w:tcPr>
          <w:p w14:paraId="0A2CFFEC" w14:textId="77777777" w:rsidR="0078495E" w:rsidRDefault="0078495E" w:rsidP="004C7BEF">
            <w:pPr>
              <w:pStyle w:val="ARtabletextright"/>
            </w:pPr>
            <w:r w:rsidRPr="005A547A">
              <w:t>3.2%</w:t>
            </w:r>
          </w:p>
        </w:tc>
        <w:tc>
          <w:tcPr>
            <w:tcW w:w="794" w:type="dxa"/>
            <w:tcBorders>
              <w:bottom w:val="single" w:sz="4" w:space="0" w:color="BFBFBF"/>
            </w:tcBorders>
            <w:shd w:val="clear" w:color="auto" w:fill="auto"/>
            <w:hideMark/>
          </w:tcPr>
          <w:p w14:paraId="7B62A466" w14:textId="77777777" w:rsidR="0078495E" w:rsidRPr="00D02A2E" w:rsidRDefault="0078495E" w:rsidP="004C7BEF">
            <w:pPr>
              <w:pStyle w:val="ARtableperformancesymbol"/>
              <w:rPr>
                <w:rFonts w:hint="eastAsia"/>
              </w:rPr>
            </w:pPr>
            <w:r w:rsidRPr="005A547A">
              <w:t></w:t>
            </w:r>
          </w:p>
        </w:tc>
      </w:tr>
      <w:tr w:rsidR="0078495E" w:rsidRPr="00D02A2E" w14:paraId="3483B5BE" w14:textId="77777777" w:rsidTr="004C7BEF">
        <w:trPr>
          <w:cantSplit/>
        </w:trPr>
        <w:tc>
          <w:tcPr>
            <w:tcW w:w="9639" w:type="dxa"/>
            <w:gridSpan w:val="6"/>
            <w:tcBorders>
              <w:top w:val="single" w:sz="4" w:space="0" w:color="auto"/>
            </w:tcBorders>
            <w:shd w:val="clear" w:color="auto" w:fill="auto"/>
            <w:hideMark/>
          </w:tcPr>
          <w:p w14:paraId="33A0A26B" w14:textId="77777777" w:rsidR="0078495E" w:rsidRPr="00D02A2E" w:rsidRDefault="0078495E" w:rsidP="004C7BEF">
            <w:pPr>
              <w:pStyle w:val="ARtablegreybold"/>
              <w:rPr>
                <w:rFonts w:ascii="Wingdings" w:hAnsi="Wingdings"/>
              </w:rPr>
            </w:pPr>
            <w:r w:rsidRPr="005A547A">
              <w:t>Cost</w:t>
            </w:r>
          </w:p>
        </w:tc>
      </w:tr>
      <w:tr w:rsidR="0078495E" w:rsidRPr="007955CD" w14:paraId="0C49007E" w14:textId="77777777" w:rsidTr="004C7BEF">
        <w:trPr>
          <w:cantSplit/>
        </w:trPr>
        <w:tc>
          <w:tcPr>
            <w:tcW w:w="4761" w:type="dxa"/>
            <w:shd w:val="clear" w:color="auto" w:fill="auto"/>
            <w:hideMark/>
          </w:tcPr>
          <w:p w14:paraId="3BE00FD1" w14:textId="77777777" w:rsidR="0078495E" w:rsidRPr="007955CD" w:rsidRDefault="0078495E" w:rsidP="004C7BEF">
            <w:pPr>
              <w:pStyle w:val="ARtabletext"/>
              <w:rPr>
                <w:b/>
                <w:bCs/>
              </w:rPr>
            </w:pPr>
            <w:r w:rsidRPr="007955CD">
              <w:rPr>
                <w:b/>
                <w:bCs/>
              </w:rPr>
              <w:t>Total Output Cost</w:t>
            </w:r>
          </w:p>
        </w:tc>
        <w:tc>
          <w:tcPr>
            <w:tcW w:w="1021" w:type="dxa"/>
            <w:shd w:val="clear" w:color="auto" w:fill="auto"/>
            <w:hideMark/>
          </w:tcPr>
          <w:p w14:paraId="1DCB9DF1" w14:textId="77777777" w:rsidR="0078495E" w:rsidRPr="007955CD" w:rsidRDefault="0078495E" w:rsidP="004C7BEF">
            <w:pPr>
              <w:pStyle w:val="ARtabletextcentre"/>
              <w:rPr>
                <w:b/>
                <w:bCs/>
              </w:rPr>
            </w:pPr>
            <w:r w:rsidRPr="007955CD">
              <w:rPr>
                <w:b/>
                <w:bCs/>
              </w:rPr>
              <w:t>$ million</w:t>
            </w:r>
          </w:p>
        </w:tc>
        <w:tc>
          <w:tcPr>
            <w:tcW w:w="1021" w:type="dxa"/>
            <w:shd w:val="clear" w:color="auto" w:fill="auto"/>
            <w:hideMark/>
          </w:tcPr>
          <w:p w14:paraId="2776F84D" w14:textId="77777777" w:rsidR="0078495E" w:rsidRPr="007955CD" w:rsidRDefault="0078495E" w:rsidP="004C7BEF">
            <w:pPr>
              <w:pStyle w:val="ARtabletextright"/>
              <w:rPr>
                <w:b/>
                <w:bCs/>
              </w:rPr>
            </w:pPr>
            <w:r w:rsidRPr="007955CD">
              <w:rPr>
                <w:b/>
                <w:bCs/>
              </w:rPr>
              <w:t>381</w:t>
            </w:r>
          </w:p>
        </w:tc>
        <w:tc>
          <w:tcPr>
            <w:tcW w:w="1021" w:type="dxa"/>
            <w:shd w:val="clear" w:color="auto" w:fill="auto"/>
            <w:hideMark/>
          </w:tcPr>
          <w:p w14:paraId="1A205BF8" w14:textId="77777777" w:rsidR="0078495E" w:rsidRPr="007955CD" w:rsidRDefault="0078495E" w:rsidP="004C7BEF">
            <w:pPr>
              <w:pStyle w:val="ARtabletextright"/>
              <w:rPr>
                <w:b/>
                <w:bCs/>
              </w:rPr>
            </w:pPr>
            <w:r w:rsidRPr="007955CD">
              <w:rPr>
                <w:b/>
                <w:bCs/>
              </w:rPr>
              <w:t>555.2</w:t>
            </w:r>
          </w:p>
        </w:tc>
        <w:tc>
          <w:tcPr>
            <w:tcW w:w="1021" w:type="dxa"/>
            <w:shd w:val="clear" w:color="auto" w:fill="auto"/>
          </w:tcPr>
          <w:p w14:paraId="66750332" w14:textId="77777777" w:rsidR="0078495E" w:rsidRPr="007955CD" w:rsidRDefault="0078495E" w:rsidP="004C7BEF">
            <w:pPr>
              <w:pStyle w:val="ARtabletextright"/>
              <w:rPr>
                <w:b/>
                <w:bCs/>
              </w:rPr>
            </w:pPr>
            <w:r w:rsidRPr="007955CD">
              <w:rPr>
                <w:b/>
                <w:bCs/>
              </w:rPr>
              <w:t>45.7%</w:t>
            </w:r>
          </w:p>
        </w:tc>
        <w:tc>
          <w:tcPr>
            <w:tcW w:w="794" w:type="dxa"/>
            <w:shd w:val="clear" w:color="auto" w:fill="auto"/>
            <w:hideMark/>
          </w:tcPr>
          <w:p w14:paraId="320887A8" w14:textId="77777777" w:rsidR="0078495E" w:rsidRPr="007955CD" w:rsidRDefault="0078495E" w:rsidP="004C7BEF">
            <w:pPr>
              <w:pStyle w:val="ARtabletextright"/>
              <w:rPr>
                <w:b/>
                <w:bCs/>
              </w:rPr>
            </w:pPr>
          </w:p>
        </w:tc>
      </w:tr>
      <w:tr w:rsidR="0078495E" w:rsidRPr="00D02A2E" w14:paraId="2DF64155" w14:textId="77777777" w:rsidTr="004C7BEF">
        <w:trPr>
          <w:cantSplit/>
        </w:trPr>
        <w:tc>
          <w:tcPr>
            <w:tcW w:w="9639" w:type="dxa"/>
            <w:gridSpan w:val="6"/>
            <w:tcBorders>
              <w:bottom w:val="single" w:sz="4" w:space="0" w:color="auto"/>
            </w:tcBorders>
            <w:shd w:val="clear" w:color="auto" w:fill="auto"/>
            <w:noWrap/>
            <w:hideMark/>
          </w:tcPr>
          <w:p w14:paraId="67A487AF" w14:textId="24DB83F7" w:rsidR="0078495E" w:rsidRPr="00D02A2E" w:rsidRDefault="0078495E" w:rsidP="004C7BEF">
            <w:pPr>
              <w:pStyle w:val="ARtablenoteindent"/>
            </w:pPr>
            <w:bookmarkStart w:id="110" w:name="_Hlk111880948"/>
            <w:r w:rsidRPr="005A547A">
              <w:t xml:space="preserve">The 2021–22 actual outcome primarily </w:t>
            </w:r>
            <w:bookmarkStart w:id="111" w:name="_Hlk111880993"/>
            <w:r w:rsidRPr="007756A2">
              <w:t>reflects</w:t>
            </w:r>
            <w:r w:rsidR="0049001E" w:rsidRPr="007756A2">
              <w:t xml:space="preserve"> </w:t>
            </w:r>
            <w:bookmarkEnd w:id="110"/>
            <w:r w:rsidR="0049001E" w:rsidRPr="007756A2">
              <w:t>funding</w:t>
            </w:r>
            <w:r w:rsidRPr="007756A2">
              <w:t xml:space="preserve"> increases </w:t>
            </w:r>
            <w:r w:rsidR="0054543E" w:rsidRPr="007756A2">
              <w:t xml:space="preserve">associated with </w:t>
            </w:r>
            <w:r w:rsidRPr="007756A2">
              <w:t>government</w:t>
            </w:r>
            <w:r w:rsidRPr="0054543E">
              <w:t xml:space="preserve"> policy initiatives</w:t>
            </w:r>
            <w:r w:rsidRPr="005A547A">
              <w:t xml:space="preserve"> </w:t>
            </w:r>
            <w:bookmarkEnd w:id="111"/>
            <w:r w:rsidRPr="005A547A">
              <w:t>related to the COVID-19 response.</w:t>
            </w:r>
          </w:p>
        </w:tc>
      </w:tr>
    </w:tbl>
    <w:p w14:paraId="66654090" w14:textId="77777777" w:rsidR="001C60F2" w:rsidRPr="001C60F2" w:rsidRDefault="001C60F2" w:rsidP="001C60F2">
      <w:pPr>
        <w:pStyle w:val="ARbody"/>
      </w:pPr>
      <w:r w:rsidRPr="001C60F2">
        <w:br w:type="page"/>
      </w:r>
    </w:p>
    <w:p w14:paraId="0E06A22A" w14:textId="63AC5C7E" w:rsidR="0078495E" w:rsidRDefault="0078495E" w:rsidP="00306875">
      <w:pPr>
        <w:pStyle w:val="Heading4"/>
        <w:spacing w:before="400"/>
      </w:pPr>
      <w:r>
        <w:t>Dental Services</w:t>
      </w:r>
    </w:p>
    <w:p w14:paraId="106FE2FD" w14:textId="6C29EBC3" w:rsidR="0078495E" w:rsidRDefault="00E074BE" w:rsidP="0078495E">
      <w:pPr>
        <w:pStyle w:val="ARbody"/>
      </w:pPr>
      <w:r w:rsidRPr="00E074BE">
        <w:t>This output includes delivery of a range of dental health services to support health and wellbeing in the community.</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05DC672E" w14:textId="77777777" w:rsidTr="004C7BEF">
        <w:trPr>
          <w:cantSplit/>
          <w:tblHeader/>
        </w:trPr>
        <w:tc>
          <w:tcPr>
            <w:tcW w:w="4761" w:type="dxa"/>
            <w:tcBorders>
              <w:bottom w:val="single" w:sz="4" w:space="0" w:color="auto"/>
            </w:tcBorders>
            <w:shd w:val="clear" w:color="auto" w:fill="auto"/>
            <w:vAlign w:val="bottom"/>
            <w:hideMark/>
          </w:tcPr>
          <w:p w14:paraId="2F87D331"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08BDBF8B"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7269E892"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640C2844"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4171A2E0"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3F8253FA" w14:textId="77777777" w:rsidR="0078495E" w:rsidRPr="00F72126" w:rsidRDefault="0078495E" w:rsidP="004C7BEF">
            <w:pPr>
              <w:pStyle w:val="ARtablecolheadright"/>
            </w:pPr>
            <w:r w:rsidRPr="00F72126">
              <w:t>Result</w:t>
            </w:r>
          </w:p>
        </w:tc>
      </w:tr>
      <w:tr w:rsidR="0078495E" w:rsidRPr="00D02A2E" w14:paraId="03DA45A0" w14:textId="77777777" w:rsidTr="004C7BEF">
        <w:trPr>
          <w:cantSplit/>
        </w:trPr>
        <w:tc>
          <w:tcPr>
            <w:tcW w:w="9639" w:type="dxa"/>
            <w:gridSpan w:val="6"/>
            <w:tcBorders>
              <w:top w:val="single" w:sz="4" w:space="0" w:color="auto"/>
            </w:tcBorders>
            <w:shd w:val="clear" w:color="auto" w:fill="auto"/>
            <w:hideMark/>
          </w:tcPr>
          <w:p w14:paraId="736EFC84" w14:textId="77777777" w:rsidR="0078495E" w:rsidRPr="00D02A2E" w:rsidRDefault="0078495E" w:rsidP="004C7BEF">
            <w:pPr>
              <w:pStyle w:val="ARtablegreybold"/>
              <w:rPr>
                <w:rFonts w:ascii="Wingdings" w:hAnsi="Wingdings"/>
              </w:rPr>
            </w:pPr>
            <w:r w:rsidRPr="007A45E9">
              <w:t>Quantity</w:t>
            </w:r>
          </w:p>
        </w:tc>
      </w:tr>
      <w:tr w:rsidR="0078495E" w:rsidRPr="00D02A2E" w14:paraId="200801A2" w14:textId="77777777" w:rsidTr="004C7BEF">
        <w:trPr>
          <w:cantSplit/>
        </w:trPr>
        <w:tc>
          <w:tcPr>
            <w:tcW w:w="4761" w:type="dxa"/>
            <w:shd w:val="clear" w:color="auto" w:fill="auto"/>
            <w:hideMark/>
          </w:tcPr>
          <w:p w14:paraId="67ADAD5D" w14:textId="77777777" w:rsidR="0078495E" w:rsidRPr="00D02A2E" w:rsidRDefault="0078495E" w:rsidP="004C7BEF">
            <w:pPr>
              <w:pStyle w:val="ARtabletext"/>
            </w:pPr>
            <w:r w:rsidRPr="00247473">
              <w:t>Persons treated</w:t>
            </w:r>
          </w:p>
        </w:tc>
        <w:tc>
          <w:tcPr>
            <w:tcW w:w="1021" w:type="dxa"/>
            <w:shd w:val="clear" w:color="auto" w:fill="auto"/>
            <w:hideMark/>
          </w:tcPr>
          <w:p w14:paraId="0CE0C95E" w14:textId="77777777" w:rsidR="0078495E" w:rsidRPr="00D02A2E" w:rsidRDefault="0078495E" w:rsidP="004C7BEF">
            <w:pPr>
              <w:pStyle w:val="ARtabletextcentre"/>
            </w:pPr>
            <w:r w:rsidRPr="00247473">
              <w:t>number</w:t>
            </w:r>
          </w:p>
        </w:tc>
        <w:tc>
          <w:tcPr>
            <w:tcW w:w="1021" w:type="dxa"/>
            <w:shd w:val="clear" w:color="auto" w:fill="auto"/>
            <w:hideMark/>
          </w:tcPr>
          <w:p w14:paraId="2699C2F0" w14:textId="77777777" w:rsidR="0078495E" w:rsidRDefault="0078495E" w:rsidP="004C7BEF">
            <w:pPr>
              <w:pStyle w:val="ARtabletextright"/>
            </w:pPr>
            <w:r w:rsidRPr="00247473">
              <w:t>376,150</w:t>
            </w:r>
          </w:p>
        </w:tc>
        <w:tc>
          <w:tcPr>
            <w:tcW w:w="1021" w:type="dxa"/>
            <w:shd w:val="clear" w:color="auto" w:fill="auto"/>
            <w:hideMark/>
          </w:tcPr>
          <w:p w14:paraId="73D835F8" w14:textId="77777777" w:rsidR="0078495E" w:rsidRDefault="0078495E" w:rsidP="004C7BEF">
            <w:pPr>
              <w:pStyle w:val="ARtabletextright"/>
            </w:pPr>
            <w:r w:rsidRPr="00247473">
              <w:t>266,206</w:t>
            </w:r>
          </w:p>
        </w:tc>
        <w:tc>
          <w:tcPr>
            <w:tcW w:w="1021" w:type="dxa"/>
            <w:shd w:val="clear" w:color="auto" w:fill="auto"/>
          </w:tcPr>
          <w:p w14:paraId="489B618E" w14:textId="77777777" w:rsidR="0078495E" w:rsidRDefault="0078495E" w:rsidP="004C7BEF">
            <w:pPr>
              <w:pStyle w:val="ARtabletextright"/>
            </w:pPr>
            <w:r w:rsidRPr="00247473">
              <w:t>−29.2%</w:t>
            </w:r>
          </w:p>
        </w:tc>
        <w:tc>
          <w:tcPr>
            <w:tcW w:w="794" w:type="dxa"/>
            <w:shd w:val="clear" w:color="auto" w:fill="auto"/>
            <w:hideMark/>
          </w:tcPr>
          <w:p w14:paraId="0BFA652C" w14:textId="77777777" w:rsidR="0078495E" w:rsidRPr="00D02A2E" w:rsidRDefault="0078495E" w:rsidP="004C7BEF">
            <w:pPr>
              <w:pStyle w:val="ARtableperformancesymbol"/>
              <w:rPr>
                <w:rFonts w:hint="eastAsia"/>
              </w:rPr>
            </w:pPr>
            <w:r w:rsidRPr="00247473">
              <w:t></w:t>
            </w:r>
          </w:p>
        </w:tc>
      </w:tr>
      <w:tr w:rsidR="0078495E" w:rsidRPr="00D02A2E" w14:paraId="44816DFA" w14:textId="77777777" w:rsidTr="004C7BEF">
        <w:trPr>
          <w:cantSplit/>
        </w:trPr>
        <w:tc>
          <w:tcPr>
            <w:tcW w:w="9639" w:type="dxa"/>
            <w:gridSpan w:val="6"/>
            <w:tcBorders>
              <w:bottom w:val="single" w:sz="4" w:space="0" w:color="BFBFBF"/>
            </w:tcBorders>
            <w:shd w:val="clear" w:color="auto" w:fill="auto"/>
            <w:noWrap/>
            <w:hideMark/>
          </w:tcPr>
          <w:p w14:paraId="6E33639D" w14:textId="14625E05" w:rsidR="0078495E" w:rsidRPr="00D02A2E" w:rsidRDefault="0078495E" w:rsidP="004C7BEF">
            <w:pPr>
              <w:pStyle w:val="ARtablenoteindent"/>
            </w:pPr>
            <w:r w:rsidRPr="00247473">
              <w:t xml:space="preserve">The results have been impacted by the restrictions on non-urgent public dental services in response to the COVID-19 pandemic. Activity levels have recently increased </w:t>
            </w:r>
            <w:r w:rsidR="0049001E">
              <w:t xml:space="preserve">and </w:t>
            </w:r>
            <w:r w:rsidRPr="00247473">
              <w:t>performance against this measure in 2022–23</w:t>
            </w:r>
            <w:r w:rsidR="0049001E">
              <w:t xml:space="preserve"> is expected to improve</w:t>
            </w:r>
            <w:r w:rsidRPr="00247473">
              <w:t xml:space="preserve">. </w:t>
            </w:r>
          </w:p>
        </w:tc>
      </w:tr>
      <w:tr w:rsidR="0078495E" w:rsidRPr="00D02A2E" w14:paraId="31BAC719" w14:textId="77777777" w:rsidTr="004C7BEF">
        <w:trPr>
          <w:cantSplit/>
        </w:trPr>
        <w:tc>
          <w:tcPr>
            <w:tcW w:w="4761" w:type="dxa"/>
            <w:shd w:val="clear" w:color="auto" w:fill="auto"/>
            <w:hideMark/>
          </w:tcPr>
          <w:p w14:paraId="3464F7E6" w14:textId="77777777" w:rsidR="0078495E" w:rsidRPr="00D02A2E" w:rsidRDefault="0078495E" w:rsidP="004C7BEF">
            <w:pPr>
              <w:pStyle w:val="ARtabletext"/>
            </w:pPr>
            <w:r w:rsidRPr="00247473">
              <w:t>Priority and emergency clients treated</w:t>
            </w:r>
          </w:p>
        </w:tc>
        <w:tc>
          <w:tcPr>
            <w:tcW w:w="1021" w:type="dxa"/>
            <w:shd w:val="clear" w:color="auto" w:fill="auto"/>
            <w:hideMark/>
          </w:tcPr>
          <w:p w14:paraId="2086F17F" w14:textId="77777777" w:rsidR="0078495E" w:rsidRPr="00D02A2E" w:rsidRDefault="0078495E" w:rsidP="004C7BEF">
            <w:pPr>
              <w:pStyle w:val="ARtabletextcentre"/>
            </w:pPr>
            <w:r w:rsidRPr="00247473">
              <w:t>number</w:t>
            </w:r>
          </w:p>
        </w:tc>
        <w:tc>
          <w:tcPr>
            <w:tcW w:w="1021" w:type="dxa"/>
            <w:shd w:val="clear" w:color="auto" w:fill="auto"/>
            <w:hideMark/>
          </w:tcPr>
          <w:p w14:paraId="73EB5ECA" w14:textId="77777777" w:rsidR="0078495E" w:rsidRDefault="0078495E" w:rsidP="004C7BEF">
            <w:pPr>
              <w:pStyle w:val="ARtabletextright"/>
            </w:pPr>
            <w:r w:rsidRPr="00247473">
              <w:t>249,100</w:t>
            </w:r>
          </w:p>
        </w:tc>
        <w:tc>
          <w:tcPr>
            <w:tcW w:w="1021" w:type="dxa"/>
            <w:shd w:val="clear" w:color="auto" w:fill="auto"/>
            <w:hideMark/>
          </w:tcPr>
          <w:p w14:paraId="27A05A6E" w14:textId="77777777" w:rsidR="0078495E" w:rsidRDefault="0078495E" w:rsidP="004C7BEF">
            <w:pPr>
              <w:pStyle w:val="ARtabletextright"/>
            </w:pPr>
            <w:r w:rsidRPr="00247473">
              <w:t>206,462</w:t>
            </w:r>
          </w:p>
        </w:tc>
        <w:tc>
          <w:tcPr>
            <w:tcW w:w="1021" w:type="dxa"/>
            <w:shd w:val="clear" w:color="auto" w:fill="auto"/>
          </w:tcPr>
          <w:p w14:paraId="4DB9E8C7" w14:textId="77777777" w:rsidR="0078495E" w:rsidRDefault="0078495E" w:rsidP="004C7BEF">
            <w:pPr>
              <w:pStyle w:val="ARtabletextright"/>
            </w:pPr>
            <w:r w:rsidRPr="00247473">
              <w:t>−17.1%</w:t>
            </w:r>
          </w:p>
        </w:tc>
        <w:tc>
          <w:tcPr>
            <w:tcW w:w="794" w:type="dxa"/>
            <w:shd w:val="clear" w:color="auto" w:fill="auto"/>
            <w:hideMark/>
          </w:tcPr>
          <w:p w14:paraId="70240AAF" w14:textId="77777777" w:rsidR="0078495E" w:rsidRPr="00D02A2E" w:rsidRDefault="0078495E" w:rsidP="004C7BEF">
            <w:pPr>
              <w:pStyle w:val="ARtableperformancesymbol"/>
              <w:rPr>
                <w:rFonts w:hint="eastAsia"/>
              </w:rPr>
            </w:pPr>
            <w:r w:rsidRPr="00247473">
              <w:t></w:t>
            </w:r>
          </w:p>
        </w:tc>
      </w:tr>
      <w:tr w:rsidR="0078495E" w:rsidRPr="00D02A2E" w14:paraId="4E5EBD2B" w14:textId="77777777" w:rsidTr="004C7BEF">
        <w:trPr>
          <w:cantSplit/>
        </w:trPr>
        <w:tc>
          <w:tcPr>
            <w:tcW w:w="9639" w:type="dxa"/>
            <w:gridSpan w:val="6"/>
            <w:tcBorders>
              <w:bottom w:val="single" w:sz="4" w:space="0" w:color="BFBFBF"/>
            </w:tcBorders>
            <w:shd w:val="clear" w:color="auto" w:fill="auto"/>
            <w:noWrap/>
            <w:hideMark/>
          </w:tcPr>
          <w:p w14:paraId="6574D6BB" w14:textId="31555C6B" w:rsidR="0078495E" w:rsidRPr="00D02A2E" w:rsidRDefault="0078495E" w:rsidP="004C7BEF">
            <w:pPr>
              <w:pStyle w:val="ARtablenoteindent"/>
            </w:pPr>
            <w:r w:rsidRPr="00247473">
              <w:t xml:space="preserve">The results have been impacted by the restrictions on non-urgent public dental services in response to the COVID-19 pandemic. Emergency and urgent care continued to be available to all eligible clients, maintaining performance closer to target than for overall people treated. Activity levels have recently increased </w:t>
            </w:r>
            <w:r w:rsidR="00457E53">
              <w:t xml:space="preserve">and </w:t>
            </w:r>
            <w:r w:rsidRPr="00247473">
              <w:t>performance against this measure in 2022–23</w:t>
            </w:r>
            <w:r w:rsidR="0049001E">
              <w:t xml:space="preserve"> is expected to improve</w:t>
            </w:r>
            <w:r w:rsidRPr="00247473">
              <w:t xml:space="preserve">. </w:t>
            </w:r>
          </w:p>
        </w:tc>
      </w:tr>
      <w:tr w:rsidR="0078495E" w:rsidRPr="00D02A2E" w14:paraId="6FC47B9D" w14:textId="77777777" w:rsidTr="004C7BEF">
        <w:trPr>
          <w:cantSplit/>
        </w:trPr>
        <w:tc>
          <w:tcPr>
            <w:tcW w:w="4761" w:type="dxa"/>
            <w:shd w:val="clear" w:color="auto" w:fill="auto"/>
            <w:hideMark/>
          </w:tcPr>
          <w:p w14:paraId="238BF06B" w14:textId="77777777" w:rsidR="0078495E" w:rsidRPr="00D02A2E" w:rsidRDefault="0078495E" w:rsidP="004C7BEF">
            <w:pPr>
              <w:pStyle w:val="ARtabletext"/>
            </w:pPr>
            <w:r w:rsidRPr="00247473">
              <w:t>Children participating in the Smiles 4 Miles oral health promotion program</w:t>
            </w:r>
          </w:p>
        </w:tc>
        <w:tc>
          <w:tcPr>
            <w:tcW w:w="1021" w:type="dxa"/>
            <w:shd w:val="clear" w:color="auto" w:fill="auto"/>
            <w:hideMark/>
          </w:tcPr>
          <w:p w14:paraId="4A92EB86" w14:textId="77777777" w:rsidR="0078495E" w:rsidRPr="00D02A2E" w:rsidRDefault="0078495E" w:rsidP="004C7BEF">
            <w:pPr>
              <w:pStyle w:val="ARtabletextcentre"/>
            </w:pPr>
            <w:r w:rsidRPr="00247473">
              <w:t>number</w:t>
            </w:r>
          </w:p>
        </w:tc>
        <w:tc>
          <w:tcPr>
            <w:tcW w:w="1021" w:type="dxa"/>
            <w:shd w:val="clear" w:color="auto" w:fill="auto"/>
            <w:hideMark/>
          </w:tcPr>
          <w:p w14:paraId="0162456E" w14:textId="77777777" w:rsidR="0078495E" w:rsidRDefault="0078495E" w:rsidP="004C7BEF">
            <w:pPr>
              <w:pStyle w:val="ARtabletextright"/>
            </w:pPr>
            <w:r w:rsidRPr="00247473">
              <w:t>49,000</w:t>
            </w:r>
          </w:p>
        </w:tc>
        <w:tc>
          <w:tcPr>
            <w:tcW w:w="1021" w:type="dxa"/>
            <w:shd w:val="clear" w:color="auto" w:fill="auto"/>
            <w:hideMark/>
          </w:tcPr>
          <w:p w14:paraId="320E46F5" w14:textId="77777777" w:rsidR="0078495E" w:rsidRDefault="0078495E" w:rsidP="004C7BEF">
            <w:pPr>
              <w:pStyle w:val="ARtabletextright"/>
            </w:pPr>
            <w:r w:rsidRPr="00247473">
              <w:t>51,000</w:t>
            </w:r>
          </w:p>
        </w:tc>
        <w:tc>
          <w:tcPr>
            <w:tcW w:w="1021" w:type="dxa"/>
            <w:shd w:val="clear" w:color="auto" w:fill="auto"/>
          </w:tcPr>
          <w:p w14:paraId="68C4EF1B" w14:textId="77777777" w:rsidR="0078495E" w:rsidRDefault="0078495E" w:rsidP="004C7BEF">
            <w:pPr>
              <w:pStyle w:val="ARtabletextright"/>
            </w:pPr>
            <w:r w:rsidRPr="00247473">
              <w:t>4.1%</w:t>
            </w:r>
          </w:p>
        </w:tc>
        <w:tc>
          <w:tcPr>
            <w:tcW w:w="794" w:type="dxa"/>
            <w:shd w:val="clear" w:color="auto" w:fill="auto"/>
            <w:hideMark/>
          </w:tcPr>
          <w:p w14:paraId="6615DCCC" w14:textId="77777777" w:rsidR="0078495E" w:rsidRPr="00D02A2E" w:rsidRDefault="0078495E" w:rsidP="004C7BEF">
            <w:pPr>
              <w:pStyle w:val="ARtableperformancesymbol"/>
              <w:rPr>
                <w:rFonts w:hint="eastAsia"/>
              </w:rPr>
            </w:pPr>
            <w:r w:rsidRPr="00247473">
              <w:t></w:t>
            </w:r>
          </w:p>
        </w:tc>
      </w:tr>
      <w:tr w:rsidR="0078495E" w:rsidRPr="00D02A2E" w14:paraId="71F354B9" w14:textId="77777777" w:rsidTr="004C7BEF">
        <w:trPr>
          <w:cantSplit/>
        </w:trPr>
        <w:tc>
          <w:tcPr>
            <w:tcW w:w="9639" w:type="dxa"/>
            <w:gridSpan w:val="6"/>
            <w:tcBorders>
              <w:top w:val="single" w:sz="4" w:space="0" w:color="auto"/>
            </w:tcBorders>
            <w:shd w:val="clear" w:color="auto" w:fill="auto"/>
            <w:hideMark/>
          </w:tcPr>
          <w:p w14:paraId="6CE6EBDC" w14:textId="77777777" w:rsidR="0078495E" w:rsidRPr="00D02A2E" w:rsidRDefault="0078495E" w:rsidP="004C7BEF">
            <w:pPr>
              <w:pStyle w:val="ARtablegreybold"/>
              <w:rPr>
                <w:rFonts w:ascii="Wingdings" w:hAnsi="Wingdings"/>
              </w:rPr>
            </w:pPr>
            <w:r>
              <w:t>Timeliness</w:t>
            </w:r>
          </w:p>
        </w:tc>
      </w:tr>
      <w:tr w:rsidR="0078495E" w:rsidRPr="00D02A2E" w14:paraId="5E767FB8" w14:textId="77777777" w:rsidTr="00D626AE">
        <w:trPr>
          <w:cantSplit/>
        </w:trPr>
        <w:tc>
          <w:tcPr>
            <w:tcW w:w="4761" w:type="dxa"/>
            <w:shd w:val="clear" w:color="auto" w:fill="auto"/>
            <w:hideMark/>
          </w:tcPr>
          <w:p w14:paraId="1F063C83" w14:textId="77777777" w:rsidR="0078495E" w:rsidRPr="00D02A2E" w:rsidRDefault="0078495E" w:rsidP="004C7BEF">
            <w:pPr>
              <w:pStyle w:val="ARtabletext"/>
            </w:pPr>
            <w:r w:rsidRPr="00BB2280">
              <w:t>Waiting time for dentures</w:t>
            </w:r>
          </w:p>
        </w:tc>
        <w:tc>
          <w:tcPr>
            <w:tcW w:w="1021" w:type="dxa"/>
            <w:shd w:val="clear" w:color="auto" w:fill="auto"/>
            <w:hideMark/>
          </w:tcPr>
          <w:p w14:paraId="4D4C3871" w14:textId="77777777" w:rsidR="0078495E" w:rsidRPr="00D02A2E" w:rsidRDefault="0078495E" w:rsidP="004C7BEF">
            <w:pPr>
              <w:pStyle w:val="ARtabletextcentre"/>
            </w:pPr>
            <w:r w:rsidRPr="00BB2280">
              <w:t>months</w:t>
            </w:r>
          </w:p>
        </w:tc>
        <w:tc>
          <w:tcPr>
            <w:tcW w:w="1021" w:type="dxa"/>
            <w:shd w:val="clear" w:color="auto" w:fill="auto"/>
            <w:hideMark/>
          </w:tcPr>
          <w:p w14:paraId="001E3281" w14:textId="77777777" w:rsidR="0078495E" w:rsidRDefault="0078495E" w:rsidP="004C7BEF">
            <w:pPr>
              <w:pStyle w:val="ARtabletextright"/>
            </w:pPr>
            <w:r w:rsidRPr="00BB2280">
              <w:t>22</w:t>
            </w:r>
          </w:p>
        </w:tc>
        <w:tc>
          <w:tcPr>
            <w:tcW w:w="1021" w:type="dxa"/>
            <w:shd w:val="clear" w:color="auto" w:fill="auto"/>
            <w:hideMark/>
          </w:tcPr>
          <w:p w14:paraId="21841E1C" w14:textId="77777777" w:rsidR="0078495E" w:rsidRDefault="0078495E" w:rsidP="004C7BEF">
            <w:pPr>
              <w:pStyle w:val="ARtabletextright"/>
            </w:pPr>
            <w:r w:rsidRPr="00BB2280">
              <w:t>20.2</w:t>
            </w:r>
          </w:p>
        </w:tc>
        <w:tc>
          <w:tcPr>
            <w:tcW w:w="1021" w:type="dxa"/>
            <w:shd w:val="clear" w:color="auto" w:fill="auto"/>
          </w:tcPr>
          <w:p w14:paraId="6483E832" w14:textId="77777777" w:rsidR="0078495E" w:rsidRDefault="0078495E" w:rsidP="004C7BEF">
            <w:pPr>
              <w:pStyle w:val="ARtabletextright"/>
            </w:pPr>
            <w:r w:rsidRPr="00BB2280">
              <w:t>−8.2%</w:t>
            </w:r>
          </w:p>
        </w:tc>
        <w:tc>
          <w:tcPr>
            <w:tcW w:w="794" w:type="dxa"/>
            <w:shd w:val="clear" w:color="auto" w:fill="auto"/>
            <w:hideMark/>
          </w:tcPr>
          <w:p w14:paraId="336FAE17" w14:textId="77777777" w:rsidR="0078495E" w:rsidRPr="00D02A2E" w:rsidRDefault="0078495E" w:rsidP="004C7BEF">
            <w:pPr>
              <w:pStyle w:val="ARtableperformancesymbol"/>
              <w:rPr>
                <w:rFonts w:hint="eastAsia"/>
              </w:rPr>
            </w:pPr>
            <w:r w:rsidRPr="00BB2280">
              <w:t></w:t>
            </w:r>
          </w:p>
        </w:tc>
      </w:tr>
      <w:tr w:rsidR="0078495E" w:rsidRPr="00D02A2E" w14:paraId="653A09BD" w14:textId="77777777" w:rsidTr="00D626AE">
        <w:trPr>
          <w:cantSplit/>
        </w:trPr>
        <w:tc>
          <w:tcPr>
            <w:tcW w:w="9639" w:type="dxa"/>
            <w:gridSpan w:val="6"/>
            <w:tcBorders>
              <w:bottom w:val="single" w:sz="4" w:space="0" w:color="A6A6A6"/>
            </w:tcBorders>
            <w:shd w:val="clear" w:color="auto" w:fill="auto"/>
            <w:noWrap/>
            <w:hideMark/>
          </w:tcPr>
          <w:p w14:paraId="030EAE1C" w14:textId="0C7BE64A" w:rsidR="0078495E" w:rsidRPr="00D02A2E" w:rsidRDefault="00ED5484" w:rsidP="004C7BEF">
            <w:pPr>
              <w:pStyle w:val="ARtablenoteindent"/>
            </w:pPr>
            <w:r>
              <w:t>This is a favourable result.</w:t>
            </w:r>
          </w:p>
        </w:tc>
      </w:tr>
      <w:tr w:rsidR="0078495E" w:rsidRPr="00D02A2E" w14:paraId="44DD4F0C" w14:textId="77777777" w:rsidTr="00D626AE">
        <w:trPr>
          <w:cantSplit/>
        </w:trPr>
        <w:tc>
          <w:tcPr>
            <w:tcW w:w="4761" w:type="dxa"/>
            <w:tcBorders>
              <w:top w:val="single" w:sz="4" w:space="0" w:color="A6A6A6"/>
              <w:bottom w:val="single" w:sz="4" w:space="0" w:color="A6A6A6"/>
            </w:tcBorders>
            <w:shd w:val="clear" w:color="auto" w:fill="auto"/>
            <w:hideMark/>
          </w:tcPr>
          <w:p w14:paraId="7E947FE2" w14:textId="77777777" w:rsidR="0078495E" w:rsidRPr="00D02A2E" w:rsidRDefault="0078495E" w:rsidP="004C7BEF">
            <w:pPr>
              <w:pStyle w:val="ARtabletext"/>
            </w:pPr>
            <w:r w:rsidRPr="00BB2280">
              <w:t>Percentage of Dental Emergency Triage Category 1 clients treated within 24 hours</w:t>
            </w:r>
          </w:p>
        </w:tc>
        <w:tc>
          <w:tcPr>
            <w:tcW w:w="1021" w:type="dxa"/>
            <w:tcBorders>
              <w:top w:val="single" w:sz="4" w:space="0" w:color="A6A6A6"/>
              <w:bottom w:val="single" w:sz="4" w:space="0" w:color="A6A6A6"/>
            </w:tcBorders>
            <w:shd w:val="clear" w:color="auto" w:fill="auto"/>
            <w:hideMark/>
          </w:tcPr>
          <w:p w14:paraId="21FB0B59" w14:textId="77777777" w:rsidR="0078495E" w:rsidRPr="00D02A2E" w:rsidRDefault="0078495E" w:rsidP="004C7BEF">
            <w:pPr>
              <w:pStyle w:val="ARtabletextcentre"/>
            </w:pPr>
            <w:r w:rsidRPr="00BB2280">
              <w:t>per cent</w:t>
            </w:r>
          </w:p>
        </w:tc>
        <w:tc>
          <w:tcPr>
            <w:tcW w:w="1021" w:type="dxa"/>
            <w:tcBorders>
              <w:top w:val="single" w:sz="4" w:space="0" w:color="A6A6A6"/>
              <w:bottom w:val="single" w:sz="4" w:space="0" w:color="A6A6A6"/>
            </w:tcBorders>
            <w:shd w:val="clear" w:color="auto" w:fill="auto"/>
            <w:hideMark/>
          </w:tcPr>
          <w:p w14:paraId="36EF0DC1" w14:textId="77777777" w:rsidR="0078495E" w:rsidRDefault="0078495E" w:rsidP="004C7BEF">
            <w:pPr>
              <w:pStyle w:val="ARtabletextright"/>
            </w:pPr>
            <w:r w:rsidRPr="00BB2280">
              <w:t>90</w:t>
            </w:r>
          </w:p>
        </w:tc>
        <w:tc>
          <w:tcPr>
            <w:tcW w:w="1021" w:type="dxa"/>
            <w:tcBorders>
              <w:top w:val="single" w:sz="4" w:space="0" w:color="A6A6A6"/>
              <w:bottom w:val="single" w:sz="4" w:space="0" w:color="A6A6A6"/>
            </w:tcBorders>
            <w:shd w:val="clear" w:color="auto" w:fill="auto"/>
            <w:hideMark/>
          </w:tcPr>
          <w:p w14:paraId="0BEF7657" w14:textId="77777777" w:rsidR="0078495E" w:rsidRDefault="0078495E" w:rsidP="004C7BEF">
            <w:pPr>
              <w:pStyle w:val="ARtabletextright"/>
            </w:pPr>
            <w:r w:rsidRPr="00BB2280">
              <w:t>91</w:t>
            </w:r>
          </w:p>
        </w:tc>
        <w:tc>
          <w:tcPr>
            <w:tcW w:w="1021" w:type="dxa"/>
            <w:tcBorders>
              <w:top w:val="single" w:sz="4" w:space="0" w:color="A6A6A6"/>
              <w:bottom w:val="single" w:sz="4" w:space="0" w:color="A6A6A6"/>
            </w:tcBorders>
            <w:shd w:val="clear" w:color="auto" w:fill="auto"/>
          </w:tcPr>
          <w:p w14:paraId="7C9B972E" w14:textId="77777777" w:rsidR="0078495E" w:rsidRDefault="0078495E" w:rsidP="004C7BEF">
            <w:pPr>
              <w:pStyle w:val="ARtabletextright"/>
            </w:pPr>
            <w:r w:rsidRPr="00BB2280">
              <w:t>1.1%</w:t>
            </w:r>
          </w:p>
        </w:tc>
        <w:tc>
          <w:tcPr>
            <w:tcW w:w="794" w:type="dxa"/>
            <w:tcBorders>
              <w:top w:val="single" w:sz="4" w:space="0" w:color="A6A6A6"/>
              <w:bottom w:val="single" w:sz="4" w:space="0" w:color="A6A6A6"/>
            </w:tcBorders>
            <w:shd w:val="clear" w:color="auto" w:fill="auto"/>
            <w:hideMark/>
          </w:tcPr>
          <w:p w14:paraId="7803CD06" w14:textId="77777777" w:rsidR="0078495E" w:rsidRPr="00D02A2E" w:rsidRDefault="0078495E" w:rsidP="004C7BEF">
            <w:pPr>
              <w:pStyle w:val="ARtableperformancesymbol"/>
              <w:rPr>
                <w:rFonts w:hint="eastAsia"/>
              </w:rPr>
            </w:pPr>
            <w:r w:rsidRPr="00BB2280">
              <w:t></w:t>
            </w:r>
          </w:p>
        </w:tc>
      </w:tr>
      <w:tr w:rsidR="0078495E" w:rsidRPr="00D02A2E" w14:paraId="2F004C9A" w14:textId="77777777" w:rsidTr="00D626AE">
        <w:trPr>
          <w:cantSplit/>
        </w:trPr>
        <w:tc>
          <w:tcPr>
            <w:tcW w:w="4761" w:type="dxa"/>
            <w:tcBorders>
              <w:top w:val="single" w:sz="4" w:space="0" w:color="A6A6A6"/>
            </w:tcBorders>
            <w:shd w:val="clear" w:color="auto" w:fill="auto"/>
            <w:hideMark/>
          </w:tcPr>
          <w:p w14:paraId="7614C633" w14:textId="77777777" w:rsidR="0078495E" w:rsidRPr="00D02A2E" w:rsidRDefault="0078495E" w:rsidP="004C7BEF">
            <w:pPr>
              <w:pStyle w:val="ARtabletext"/>
            </w:pPr>
            <w:r w:rsidRPr="00BB2280">
              <w:t>Waiting time for general dental care</w:t>
            </w:r>
          </w:p>
        </w:tc>
        <w:tc>
          <w:tcPr>
            <w:tcW w:w="1021" w:type="dxa"/>
            <w:tcBorders>
              <w:top w:val="single" w:sz="4" w:space="0" w:color="A6A6A6"/>
            </w:tcBorders>
            <w:shd w:val="clear" w:color="auto" w:fill="auto"/>
            <w:hideMark/>
          </w:tcPr>
          <w:p w14:paraId="16048579" w14:textId="77777777" w:rsidR="0078495E" w:rsidRPr="00D02A2E" w:rsidRDefault="0078495E" w:rsidP="004C7BEF">
            <w:pPr>
              <w:pStyle w:val="ARtabletextcentre"/>
            </w:pPr>
            <w:r w:rsidRPr="00BB2280">
              <w:t>months</w:t>
            </w:r>
          </w:p>
        </w:tc>
        <w:tc>
          <w:tcPr>
            <w:tcW w:w="1021" w:type="dxa"/>
            <w:tcBorders>
              <w:top w:val="single" w:sz="4" w:space="0" w:color="A6A6A6"/>
            </w:tcBorders>
            <w:shd w:val="clear" w:color="auto" w:fill="auto"/>
            <w:hideMark/>
          </w:tcPr>
          <w:p w14:paraId="46812F6D" w14:textId="77777777" w:rsidR="0078495E" w:rsidRDefault="0078495E" w:rsidP="004C7BEF">
            <w:pPr>
              <w:pStyle w:val="ARtabletextright"/>
            </w:pPr>
            <w:r w:rsidRPr="00BB2280">
              <w:t>23</w:t>
            </w:r>
          </w:p>
        </w:tc>
        <w:tc>
          <w:tcPr>
            <w:tcW w:w="1021" w:type="dxa"/>
            <w:tcBorders>
              <w:top w:val="single" w:sz="4" w:space="0" w:color="A6A6A6"/>
            </w:tcBorders>
            <w:shd w:val="clear" w:color="auto" w:fill="auto"/>
            <w:hideMark/>
          </w:tcPr>
          <w:p w14:paraId="6505327A" w14:textId="77777777" w:rsidR="0078495E" w:rsidRDefault="0078495E" w:rsidP="004C7BEF">
            <w:pPr>
              <w:pStyle w:val="ARtabletextright"/>
            </w:pPr>
            <w:r w:rsidRPr="00BB2280">
              <w:t>26.7</w:t>
            </w:r>
          </w:p>
        </w:tc>
        <w:tc>
          <w:tcPr>
            <w:tcW w:w="1021" w:type="dxa"/>
            <w:tcBorders>
              <w:top w:val="single" w:sz="4" w:space="0" w:color="A6A6A6"/>
            </w:tcBorders>
            <w:shd w:val="clear" w:color="auto" w:fill="auto"/>
          </w:tcPr>
          <w:p w14:paraId="136E4FE9" w14:textId="77777777" w:rsidR="0078495E" w:rsidRDefault="0078495E" w:rsidP="004C7BEF">
            <w:pPr>
              <w:pStyle w:val="ARtabletextright"/>
            </w:pPr>
            <w:r w:rsidRPr="00BB2280">
              <w:t>16.1%</w:t>
            </w:r>
          </w:p>
        </w:tc>
        <w:tc>
          <w:tcPr>
            <w:tcW w:w="794" w:type="dxa"/>
            <w:tcBorders>
              <w:top w:val="single" w:sz="4" w:space="0" w:color="A6A6A6"/>
            </w:tcBorders>
            <w:shd w:val="clear" w:color="auto" w:fill="auto"/>
            <w:hideMark/>
          </w:tcPr>
          <w:p w14:paraId="09FC4C1B" w14:textId="77777777" w:rsidR="0078495E" w:rsidRPr="00D02A2E" w:rsidRDefault="0078495E" w:rsidP="004C7BEF">
            <w:pPr>
              <w:pStyle w:val="ARtableperformancesymbol"/>
              <w:rPr>
                <w:rFonts w:hint="eastAsia"/>
              </w:rPr>
            </w:pPr>
            <w:r w:rsidRPr="00BB2280">
              <w:t></w:t>
            </w:r>
          </w:p>
        </w:tc>
      </w:tr>
      <w:tr w:rsidR="0078495E" w:rsidRPr="00D02A2E" w14:paraId="1B0F0B9F" w14:textId="77777777" w:rsidTr="004C7BEF">
        <w:trPr>
          <w:cantSplit/>
        </w:trPr>
        <w:tc>
          <w:tcPr>
            <w:tcW w:w="9639" w:type="dxa"/>
            <w:gridSpan w:val="6"/>
            <w:tcBorders>
              <w:bottom w:val="single" w:sz="4" w:space="0" w:color="BFBFBF"/>
            </w:tcBorders>
            <w:shd w:val="clear" w:color="auto" w:fill="auto"/>
            <w:noWrap/>
            <w:hideMark/>
          </w:tcPr>
          <w:p w14:paraId="39876A8A" w14:textId="77777777" w:rsidR="0078495E" w:rsidRPr="00D02A2E" w:rsidRDefault="0078495E" w:rsidP="004C7BEF">
            <w:pPr>
              <w:pStyle w:val="ARtablenoteindent"/>
            </w:pPr>
            <w:r w:rsidRPr="00BB2280">
              <w:t>The results have been impacted by the cumulative effect of restrictions on non-urgent public dental services in response to the COVID-19 pandemic.</w:t>
            </w:r>
          </w:p>
        </w:tc>
      </w:tr>
      <w:tr w:rsidR="0078495E" w:rsidRPr="00D02A2E" w14:paraId="76D44FF8" w14:textId="77777777" w:rsidTr="004C7BEF">
        <w:trPr>
          <w:cantSplit/>
        </w:trPr>
        <w:tc>
          <w:tcPr>
            <w:tcW w:w="9639" w:type="dxa"/>
            <w:gridSpan w:val="6"/>
            <w:tcBorders>
              <w:top w:val="single" w:sz="4" w:space="0" w:color="auto"/>
            </w:tcBorders>
            <w:shd w:val="clear" w:color="auto" w:fill="auto"/>
            <w:hideMark/>
          </w:tcPr>
          <w:p w14:paraId="2B3DA449" w14:textId="77777777" w:rsidR="0078495E" w:rsidRPr="00D02A2E" w:rsidRDefault="0078495E" w:rsidP="004C7BEF">
            <w:pPr>
              <w:pStyle w:val="ARtablegreybold"/>
              <w:rPr>
                <w:rFonts w:ascii="Wingdings" w:hAnsi="Wingdings"/>
              </w:rPr>
            </w:pPr>
            <w:r w:rsidRPr="00BB2280">
              <w:t>Cost</w:t>
            </w:r>
          </w:p>
        </w:tc>
      </w:tr>
      <w:tr w:rsidR="0078495E" w:rsidRPr="0044137F" w14:paraId="40B89DB8" w14:textId="77777777" w:rsidTr="004C7BEF">
        <w:trPr>
          <w:cantSplit/>
        </w:trPr>
        <w:tc>
          <w:tcPr>
            <w:tcW w:w="4761" w:type="dxa"/>
            <w:shd w:val="clear" w:color="auto" w:fill="auto"/>
            <w:hideMark/>
          </w:tcPr>
          <w:p w14:paraId="4A0CD9ED" w14:textId="77777777" w:rsidR="0078495E" w:rsidRPr="0044137F" w:rsidRDefault="0078495E" w:rsidP="004C7BEF">
            <w:pPr>
              <w:pStyle w:val="ARtabletext"/>
              <w:rPr>
                <w:b/>
                <w:bCs/>
              </w:rPr>
            </w:pPr>
            <w:r w:rsidRPr="0044137F">
              <w:rPr>
                <w:b/>
                <w:bCs/>
              </w:rPr>
              <w:t>Total Output Cost</w:t>
            </w:r>
          </w:p>
        </w:tc>
        <w:tc>
          <w:tcPr>
            <w:tcW w:w="1021" w:type="dxa"/>
            <w:shd w:val="clear" w:color="auto" w:fill="auto"/>
            <w:hideMark/>
          </w:tcPr>
          <w:p w14:paraId="6A112419" w14:textId="77777777" w:rsidR="0078495E" w:rsidRPr="0044137F" w:rsidRDefault="0078495E" w:rsidP="004C7BEF">
            <w:pPr>
              <w:pStyle w:val="ARtabletextcentre"/>
              <w:rPr>
                <w:b/>
                <w:bCs/>
              </w:rPr>
            </w:pPr>
            <w:r w:rsidRPr="0044137F">
              <w:rPr>
                <w:b/>
                <w:bCs/>
              </w:rPr>
              <w:t>$ million</w:t>
            </w:r>
          </w:p>
        </w:tc>
        <w:tc>
          <w:tcPr>
            <w:tcW w:w="1021" w:type="dxa"/>
            <w:shd w:val="clear" w:color="auto" w:fill="auto"/>
            <w:hideMark/>
          </w:tcPr>
          <w:p w14:paraId="2EA2CC78" w14:textId="77777777" w:rsidR="0078495E" w:rsidRPr="0044137F" w:rsidRDefault="0078495E" w:rsidP="004C7BEF">
            <w:pPr>
              <w:pStyle w:val="ARtabletextright"/>
              <w:rPr>
                <w:b/>
                <w:bCs/>
              </w:rPr>
            </w:pPr>
            <w:r w:rsidRPr="0044137F">
              <w:rPr>
                <w:b/>
                <w:bCs/>
              </w:rPr>
              <w:t>351.9</w:t>
            </w:r>
          </w:p>
        </w:tc>
        <w:tc>
          <w:tcPr>
            <w:tcW w:w="1021" w:type="dxa"/>
            <w:shd w:val="clear" w:color="auto" w:fill="auto"/>
            <w:hideMark/>
          </w:tcPr>
          <w:p w14:paraId="368AD4F6" w14:textId="77777777" w:rsidR="0078495E" w:rsidRPr="0044137F" w:rsidRDefault="0078495E" w:rsidP="004C7BEF">
            <w:pPr>
              <w:pStyle w:val="ARtabletextright"/>
              <w:rPr>
                <w:b/>
                <w:bCs/>
              </w:rPr>
            </w:pPr>
            <w:r w:rsidRPr="0044137F">
              <w:rPr>
                <w:b/>
                <w:bCs/>
              </w:rPr>
              <w:t>282.2</w:t>
            </w:r>
          </w:p>
        </w:tc>
        <w:tc>
          <w:tcPr>
            <w:tcW w:w="1021" w:type="dxa"/>
            <w:shd w:val="clear" w:color="auto" w:fill="auto"/>
          </w:tcPr>
          <w:p w14:paraId="0718B225" w14:textId="77777777" w:rsidR="0078495E" w:rsidRPr="0044137F" w:rsidRDefault="0078495E" w:rsidP="004C7BEF">
            <w:pPr>
              <w:pStyle w:val="ARtabletextright"/>
              <w:rPr>
                <w:b/>
                <w:bCs/>
              </w:rPr>
            </w:pPr>
            <w:r w:rsidRPr="0044137F">
              <w:rPr>
                <w:b/>
                <w:bCs/>
              </w:rPr>
              <w:t>−19.8%</w:t>
            </w:r>
          </w:p>
        </w:tc>
        <w:tc>
          <w:tcPr>
            <w:tcW w:w="794" w:type="dxa"/>
            <w:shd w:val="clear" w:color="auto" w:fill="auto"/>
            <w:hideMark/>
          </w:tcPr>
          <w:p w14:paraId="5976E193" w14:textId="77777777" w:rsidR="0078495E" w:rsidRPr="0044137F" w:rsidRDefault="0078495E" w:rsidP="004C7BEF">
            <w:pPr>
              <w:pStyle w:val="ARtabletextright"/>
              <w:rPr>
                <w:b/>
                <w:bCs/>
              </w:rPr>
            </w:pPr>
          </w:p>
        </w:tc>
      </w:tr>
      <w:tr w:rsidR="0078495E" w:rsidRPr="00D02A2E" w14:paraId="35F1AC52" w14:textId="77777777" w:rsidTr="004C7BEF">
        <w:trPr>
          <w:cantSplit/>
        </w:trPr>
        <w:tc>
          <w:tcPr>
            <w:tcW w:w="9639" w:type="dxa"/>
            <w:gridSpan w:val="6"/>
            <w:tcBorders>
              <w:bottom w:val="single" w:sz="4" w:space="0" w:color="auto"/>
            </w:tcBorders>
            <w:shd w:val="clear" w:color="auto" w:fill="auto"/>
            <w:noWrap/>
            <w:hideMark/>
          </w:tcPr>
          <w:p w14:paraId="0587631B" w14:textId="1E6F0A6C" w:rsidR="0078495E" w:rsidRPr="00D02A2E" w:rsidRDefault="0078495E" w:rsidP="004C7BEF">
            <w:pPr>
              <w:pStyle w:val="ARtablenoteindent"/>
            </w:pPr>
            <w:r w:rsidRPr="00BB2280">
              <w:t>The 2021–22 actual outcome reflects rephas</w:t>
            </w:r>
            <w:r w:rsidR="0049001E">
              <w:t>ing</w:t>
            </w:r>
            <w:r w:rsidRPr="00BB2280">
              <w:t xml:space="preserve"> of funding for the Free </w:t>
            </w:r>
            <w:r w:rsidR="0049001E">
              <w:t>D</w:t>
            </w:r>
            <w:r w:rsidRPr="00BB2280">
              <w:t xml:space="preserve">ental </w:t>
            </w:r>
            <w:r w:rsidR="0049001E">
              <w:t>C</w:t>
            </w:r>
            <w:r w:rsidRPr="00BB2280">
              <w:t xml:space="preserve">are for </w:t>
            </w:r>
            <w:r w:rsidR="0049001E">
              <w:t>G</w:t>
            </w:r>
            <w:r w:rsidRPr="00BB2280">
              <w:t xml:space="preserve">overnment </w:t>
            </w:r>
            <w:r w:rsidR="0049001E">
              <w:t>S</w:t>
            </w:r>
            <w:r w:rsidRPr="00BB2280">
              <w:t xml:space="preserve">chool </w:t>
            </w:r>
            <w:r w:rsidR="0049001E">
              <w:t>S</w:t>
            </w:r>
            <w:r w:rsidRPr="00BB2280">
              <w:t>tudents initiative</w:t>
            </w:r>
            <w:r w:rsidR="000F28AC">
              <w:t>,</w:t>
            </w:r>
            <w:r w:rsidRPr="00BB2280">
              <w:t xml:space="preserve"> which was delayed due to the COVID-19 pandemic</w:t>
            </w:r>
          </w:p>
        </w:tc>
      </w:tr>
    </w:tbl>
    <w:p w14:paraId="2DD4280F" w14:textId="2F63B9C9" w:rsidR="0078495E" w:rsidRDefault="0078495E" w:rsidP="00306875">
      <w:pPr>
        <w:pStyle w:val="Heading4"/>
        <w:spacing w:before="400"/>
      </w:pPr>
      <w:r>
        <w:t>Maternal and Child Health and Early Parenting Services</w:t>
      </w:r>
    </w:p>
    <w:p w14:paraId="342DDD1B" w14:textId="43F2063B" w:rsidR="0078495E" w:rsidRDefault="003E39F9" w:rsidP="0078495E">
      <w:pPr>
        <w:pStyle w:val="ARbody"/>
      </w:pPr>
      <w:r w:rsidRPr="003E39F9">
        <w:t>This output involves the provision of community-based maternal and child health services available to all families with children.</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79791BF5" w14:textId="77777777" w:rsidTr="004C7BEF">
        <w:trPr>
          <w:cantSplit/>
          <w:tblHeader/>
        </w:trPr>
        <w:tc>
          <w:tcPr>
            <w:tcW w:w="4761" w:type="dxa"/>
            <w:tcBorders>
              <w:bottom w:val="single" w:sz="4" w:space="0" w:color="auto"/>
            </w:tcBorders>
            <w:shd w:val="clear" w:color="auto" w:fill="auto"/>
            <w:vAlign w:val="bottom"/>
            <w:hideMark/>
          </w:tcPr>
          <w:p w14:paraId="3F119B38"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217C9008"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42AE50D5"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345FD19F"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5AF99D39"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35117317" w14:textId="77777777" w:rsidR="0078495E" w:rsidRPr="00F72126" w:rsidRDefault="0078495E" w:rsidP="004C7BEF">
            <w:pPr>
              <w:pStyle w:val="ARtablecolheadright"/>
            </w:pPr>
            <w:r w:rsidRPr="00F72126">
              <w:t>Result</w:t>
            </w:r>
          </w:p>
        </w:tc>
      </w:tr>
      <w:tr w:rsidR="0078495E" w:rsidRPr="00D02A2E" w14:paraId="4B8CEE6A" w14:textId="77777777" w:rsidTr="004C7BEF">
        <w:trPr>
          <w:cantSplit/>
        </w:trPr>
        <w:tc>
          <w:tcPr>
            <w:tcW w:w="9639" w:type="dxa"/>
            <w:gridSpan w:val="6"/>
            <w:tcBorders>
              <w:top w:val="single" w:sz="4" w:space="0" w:color="auto"/>
            </w:tcBorders>
            <w:shd w:val="clear" w:color="auto" w:fill="auto"/>
            <w:hideMark/>
          </w:tcPr>
          <w:p w14:paraId="363287B5" w14:textId="77777777" w:rsidR="0078495E" w:rsidRPr="00D02A2E" w:rsidRDefault="0078495E" w:rsidP="004C7BEF">
            <w:pPr>
              <w:pStyle w:val="ARtablegreybold"/>
              <w:rPr>
                <w:rFonts w:ascii="Wingdings" w:hAnsi="Wingdings"/>
              </w:rPr>
            </w:pPr>
            <w:r w:rsidRPr="007A45E9">
              <w:t>Quantity</w:t>
            </w:r>
          </w:p>
        </w:tc>
      </w:tr>
      <w:tr w:rsidR="0078495E" w:rsidRPr="00D02A2E" w14:paraId="716D6A63" w14:textId="77777777" w:rsidTr="004C7BEF">
        <w:trPr>
          <w:cantSplit/>
        </w:trPr>
        <w:tc>
          <w:tcPr>
            <w:tcW w:w="4761" w:type="dxa"/>
            <w:tcBorders>
              <w:bottom w:val="single" w:sz="4" w:space="0" w:color="BFBFBF"/>
            </w:tcBorders>
            <w:shd w:val="clear" w:color="auto" w:fill="auto"/>
            <w:hideMark/>
          </w:tcPr>
          <w:p w14:paraId="78A3332B" w14:textId="77777777" w:rsidR="0078495E" w:rsidRPr="00D02A2E" w:rsidRDefault="0078495E" w:rsidP="004C7BEF">
            <w:pPr>
              <w:pStyle w:val="ARtabletext"/>
            </w:pPr>
            <w:r w:rsidRPr="002B743D">
              <w:t>Hours of additional support delivered through the Enhanced Maternal and Child Health program</w:t>
            </w:r>
          </w:p>
        </w:tc>
        <w:tc>
          <w:tcPr>
            <w:tcW w:w="1021" w:type="dxa"/>
            <w:tcBorders>
              <w:bottom w:val="single" w:sz="4" w:space="0" w:color="BFBFBF"/>
            </w:tcBorders>
            <w:shd w:val="clear" w:color="auto" w:fill="auto"/>
            <w:hideMark/>
          </w:tcPr>
          <w:p w14:paraId="27EEF095" w14:textId="77777777" w:rsidR="0078495E" w:rsidRPr="00D02A2E" w:rsidRDefault="0078495E" w:rsidP="004C7BEF">
            <w:pPr>
              <w:pStyle w:val="ARtabletextcentre"/>
            </w:pPr>
            <w:r w:rsidRPr="002B743D">
              <w:t>number</w:t>
            </w:r>
          </w:p>
        </w:tc>
        <w:tc>
          <w:tcPr>
            <w:tcW w:w="1021" w:type="dxa"/>
            <w:tcBorders>
              <w:bottom w:val="single" w:sz="4" w:space="0" w:color="BFBFBF"/>
            </w:tcBorders>
            <w:shd w:val="clear" w:color="auto" w:fill="auto"/>
            <w:hideMark/>
          </w:tcPr>
          <w:p w14:paraId="149056A1" w14:textId="77777777" w:rsidR="0078495E" w:rsidRDefault="0078495E" w:rsidP="004C7BEF">
            <w:pPr>
              <w:pStyle w:val="ARtabletextright"/>
            </w:pPr>
            <w:r w:rsidRPr="002B743D">
              <w:t>248,000</w:t>
            </w:r>
          </w:p>
        </w:tc>
        <w:tc>
          <w:tcPr>
            <w:tcW w:w="1021" w:type="dxa"/>
            <w:tcBorders>
              <w:bottom w:val="single" w:sz="4" w:space="0" w:color="BFBFBF"/>
            </w:tcBorders>
            <w:shd w:val="clear" w:color="auto" w:fill="auto"/>
            <w:hideMark/>
          </w:tcPr>
          <w:p w14:paraId="00581172" w14:textId="77777777" w:rsidR="0078495E" w:rsidRDefault="0078495E" w:rsidP="004C7BEF">
            <w:pPr>
              <w:pStyle w:val="ARtabletextright"/>
            </w:pPr>
            <w:r w:rsidRPr="002B743D">
              <w:t>248,000</w:t>
            </w:r>
          </w:p>
        </w:tc>
        <w:tc>
          <w:tcPr>
            <w:tcW w:w="1021" w:type="dxa"/>
            <w:tcBorders>
              <w:bottom w:val="single" w:sz="4" w:space="0" w:color="BFBFBF"/>
            </w:tcBorders>
            <w:shd w:val="clear" w:color="auto" w:fill="auto"/>
          </w:tcPr>
          <w:p w14:paraId="4DA1E34F" w14:textId="77777777" w:rsidR="0078495E" w:rsidRDefault="0078495E" w:rsidP="004C7BEF">
            <w:pPr>
              <w:pStyle w:val="ARtabletextright"/>
            </w:pPr>
            <w:r w:rsidRPr="002B743D">
              <w:t>0.0%</w:t>
            </w:r>
          </w:p>
        </w:tc>
        <w:tc>
          <w:tcPr>
            <w:tcW w:w="794" w:type="dxa"/>
            <w:tcBorders>
              <w:bottom w:val="single" w:sz="4" w:space="0" w:color="BFBFBF"/>
            </w:tcBorders>
            <w:shd w:val="clear" w:color="auto" w:fill="auto"/>
            <w:hideMark/>
          </w:tcPr>
          <w:p w14:paraId="569A1D93" w14:textId="77777777" w:rsidR="0078495E" w:rsidRPr="00D02A2E" w:rsidRDefault="0078495E" w:rsidP="004C7BEF">
            <w:pPr>
              <w:pStyle w:val="ARtableperformancesymbol"/>
              <w:rPr>
                <w:rFonts w:hint="eastAsia"/>
              </w:rPr>
            </w:pPr>
            <w:r w:rsidRPr="002B743D">
              <w:t></w:t>
            </w:r>
          </w:p>
        </w:tc>
      </w:tr>
      <w:tr w:rsidR="0078495E" w:rsidRPr="00D02A2E" w14:paraId="3F7A8F8C" w14:textId="77777777" w:rsidTr="004C7BEF">
        <w:trPr>
          <w:cantSplit/>
        </w:trPr>
        <w:tc>
          <w:tcPr>
            <w:tcW w:w="4761" w:type="dxa"/>
            <w:tcBorders>
              <w:top w:val="single" w:sz="4" w:space="0" w:color="BFBFBF"/>
            </w:tcBorders>
            <w:shd w:val="clear" w:color="auto" w:fill="auto"/>
            <w:hideMark/>
          </w:tcPr>
          <w:p w14:paraId="0D975DF1" w14:textId="77777777" w:rsidR="0078495E" w:rsidRPr="00D02A2E" w:rsidRDefault="0078495E" w:rsidP="004C7BEF">
            <w:pPr>
              <w:pStyle w:val="ARtabletext"/>
            </w:pPr>
            <w:r w:rsidRPr="002B743D">
              <w:t>Total number of Maternal and Child Health Service clients (aged 0 to 1 year)</w:t>
            </w:r>
          </w:p>
        </w:tc>
        <w:tc>
          <w:tcPr>
            <w:tcW w:w="1021" w:type="dxa"/>
            <w:tcBorders>
              <w:top w:val="single" w:sz="4" w:space="0" w:color="BFBFBF"/>
            </w:tcBorders>
            <w:shd w:val="clear" w:color="auto" w:fill="auto"/>
            <w:hideMark/>
          </w:tcPr>
          <w:p w14:paraId="02FB9157" w14:textId="77777777" w:rsidR="0078495E" w:rsidRPr="00D02A2E" w:rsidRDefault="0078495E" w:rsidP="004C7BEF">
            <w:pPr>
              <w:pStyle w:val="ARtabletextcentre"/>
            </w:pPr>
            <w:r w:rsidRPr="002B743D">
              <w:t>number</w:t>
            </w:r>
          </w:p>
        </w:tc>
        <w:tc>
          <w:tcPr>
            <w:tcW w:w="1021" w:type="dxa"/>
            <w:tcBorders>
              <w:top w:val="single" w:sz="4" w:space="0" w:color="BFBFBF"/>
            </w:tcBorders>
            <w:shd w:val="clear" w:color="auto" w:fill="auto"/>
            <w:hideMark/>
          </w:tcPr>
          <w:p w14:paraId="08035F38" w14:textId="77777777" w:rsidR="0078495E" w:rsidRDefault="0078495E" w:rsidP="004C7BEF">
            <w:pPr>
              <w:pStyle w:val="ARtabletextright"/>
            </w:pPr>
            <w:r w:rsidRPr="002B743D">
              <w:t>80,000</w:t>
            </w:r>
          </w:p>
        </w:tc>
        <w:tc>
          <w:tcPr>
            <w:tcW w:w="1021" w:type="dxa"/>
            <w:tcBorders>
              <w:top w:val="single" w:sz="4" w:space="0" w:color="BFBFBF"/>
            </w:tcBorders>
            <w:shd w:val="clear" w:color="auto" w:fill="auto"/>
            <w:hideMark/>
          </w:tcPr>
          <w:p w14:paraId="0468AC0F" w14:textId="77777777" w:rsidR="0078495E" w:rsidRDefault="0078495E" w:rsidP="004C7BEF">
            <w:pPr>
              <w:pStyle w:val="ARtabletextright"/>
            </w:pPr>
            <w:r w:rsidRPr="002B743D">
              <w:t>80,000</w:t>
            </w:r>
          </w:p>
        </w:tc>
        <w:tc>
          <w:tcPr>
            <w:tcW w:w="1021" w:type="dxa"/>
            <w:tcBorders>
              <w:top w:val="single" w:sz="4" w:space="0" w:color="BFBFBF"/>
            </w:tcBorders>
            <w:shd w:val="clear" w:color="auto" w:fill="auto"/>
          </w:tcPr>
          <w:p w14:paraId="3E9D7536" w14:textId="77777777" w:rsidR="0078495E" w:rsidRDefault="0078495E" w:rsidP="004C7BEF">
            <w:pPr>
              <w:pStyle w:val="ARtabletextright"/>
            </w:pPr>
            <w:r w:rsidRPr="002B743D">
              <w:t>0.0%</w:t>
            </w:r>
          </w:p>
        </w:tc>
        <w:tc>
          <w:tcPr>
            <w:tcW w:w="794" w:type="dxa"/>
            <w:tcBorders>
              <w:top w:val="single" w:sz="4" w:space="0" w:color="BFBFBF"/>
            </w:tcBorders>
            <w:shd w:val="clear" w:color="auto" w:fill="auto"/>
            <w:hideMark/>
          </w:tcPr>
          <w:p w14:paraId="39A664EC" w14:textId="77777777" w:rsidR="0078495E" w:rsidRPr="00D02A2E" w:rsidRDefault="0078495E" w:rsidP="004C7BEF">
            <w:pPr>
              <w:pStyle w:val="ARtableperformancesymbol"/>
              <w:rPr>
                <w:rFonts w:hint="eastAsia"/>
              </w:rPr>
            </w:pPr>
            <w:r w:rsidRPr="002B743D">
              <w:t></w:t>
            </w:r>
          </w:p>
        </w:tc>
      </w:tr>
      <w:tr w:rsidR="0078495E" w:rsidRPr="00D02A2E" w14:paraId="7C58967E" w14:textId="77777777" w:rsidTr="00950905">
        <w:trPr>
          <w:cantSplit/>
        </w:trPr>
        <w:tc>
          <w:tcPr>
            <w:tcW w:w="9639" w:type="dxa"/>
            <w:gridSpan w:val="6"/>
            <w:tcBorders>
              <w:top w:val="single" w:sz="4" w:space="0" w:color="auto"/>
            </w:tcBorders>
            <w:shd w:val="clear" w:color="auto" w:fill="auto"/>
            <w:hideMark/>
          </w:tcPr>
          <w:p w14:paraId="5BE1B138" w14:textId="77777777" w:rsidR="0078495E" w:rsidRPr="00D02A2E" w:rsidRDefault="0078495E" w:rsidP="004C7BEF">
            <w:pPr>
              <w:pStyle w:val="ARtablegreybold"/>
              <w:rPr>
                <w:rFonts w:ascii="Wingdings" w:hAnsi="Wingdings"/>
              </w:rPr>
            </w:pPr>
            <w:r w:rsidRPr="002B743D">
              <w:t>Timeliness</w:t>
            </w:r>
          </w:p>
        </w:tc>
      </w:tr>
      <w:tr w:rsidR="0078495E" w:rsidRPr="00D02A2E" w14:paraId="13ED3E6E" w14:textId="77777777" w:rsidTr="00950905">
        <w:trPr>
          <w:cantSplit/>
        </w:trPr>
        <w:tc>
          <w:tcPr>
            <w:tcW w:w="4761" w:type="dxa"/>
            <w:tcBorders>
              <w:bottom w:val="single" w:sz="4" w:space="0" w:color="auto"/>
            </w:tcBorders>
            <w:shd w:val="clear" w:color="auto" w:fill="auto"/>
            <w:hideMark/>
          </w:tcPr>
          <w:p w14:paraId="6D926837" w14:textId="77777777" w:rsidR="0078495E" w:rsidRPr="00D02A2E" w:rsidRDefault="0078495E" w:rsidP="004C7BEF">
            <w:pPr>
              <w:pStyle w:val="ARtabletext"/>
            </w:pPr>
            <w:r w:rsidRPr="002B743D">
              <w:t>Children aged 0 to 1 month enrolled at maternal and child health services from birth notifications</w:t>
            </w:r>
          </w:p>
        </w:tc>
        <w:tc>
          <w:tcPr>
            <w:tcW w:w="1021" w:type="dxa"/>
            <w:tcBorders>
              <w:bottom w:val="single" w:sz="4" w:space="0" w:color="auto"/>
            </w:tcBorders>
            <w:shd w:val="clear" w:color="auto" w:fill="auto"/>
            <w:hideMark/>
          </w:tcPr>
          <w:p w14:paraId="24B4FD58" w14:textId="77777777" w:rsidR="0078495E" w:rsidRPr="00D02A2E" w:rsidRDefault="0078495E" w:rsidP="004C7BEF">
            <w:pPr>
              <w:pStyle w:val="ARtabletextcentre"/>
            </w:pPr>
            <w:r w:rsidRPr="002B743D">
              <w:t>per cent</w:t>
            </w:r>
          </w:p>
        </w:tc>
        <w:tc>
          <w:tcPr>
            <w:tcW w:w="1021" w:type="dxa"/>
            <w:tcBorders>
              <w:bottom w:val="single" w:sz="4" w:space="0" w:color="auto"/>
            </w:tcBorders>
            <w:shd w:val="clear" w:color="auto" w:fill="auto"/>
            <w:hideMark/>
          </w:tcPr>
          <w:p w14:paraId="4E67DA15" w14:textId="77777777" w:rsidR="0078495E" w:rsidRDefault="0078495E" w:rsidP="004C7BEF">
            <w:pPr>
              <w:pStyle w:val="ARtabletextright"/>
            </w:pPr>
            <w:r w:rsidRPr="002B743D">
              <w:t>99</w:t>
            </w:r>
          </w:p>
        </w:tc>
        <w:tc>
          <w:tcPr>
            <w:tcW w:w="1021" w:type="dxa"/>
            <w:tcBorders>
              <w:bottom w:val="single" w:sz="4" w:space="0" w:color="auto"/>
            </w:tcBorders>
            <w:shd w:val="clear" w:color="auto" w:fill="auto"/>
            <w:hideMark/>
          </w:tcPr>
          <w:p w14:paraId="01262B8E" w14:textId="77777777" w:rsidR="0078495E" w:rsidRDefault="0078495E" w:rsidP="004C7BEF">
            <w:pPr>
              <w:pStyle w:val="ARtabletextright"/>
            </w:pPr>
            <w:r w:rsidRPr="002B743D">
              <w:t>99</w:t>
            </w:r>
          </w:p>
        </w:tc>
        <w:tc>
          <w:tcPr>
            <w:tcW w:w="1021" w:type="dxa"/>
            <w:tcBorders>
              <w:bottom w:val="single" w:sz="4" w:space="0" w:color="auto"/>
            </w:tcBorders>
            <w:shd w:val="clear" w:color="auto" w:fill="auto"/>
          </w:tcPr>
          <w:p w14:paraId="3061847C" w14:textId="77777777" w:rsidR="0078495E" w:rsidRDefault="0078495E" w:rsidP="004C7BEF">
            <w:pPr>
              <w:pStyle w:val="ARtabletextright"/>
            </w:pPr>
            <w:r w:rsidRPr="002B743D">
              <w:t>0.0%</w:t>
            </w:r>
          </w:p>
        </w:tc>
        <w:tc>
          <w:tcPr>
            <w:tcW w:w="794" w:type="dxa"/>
            <w:tcBorders>
              <w:bottom w:val="single" w:sz="4" w:space="0" w:color="auto"/>
            </w:tcBorders>
            <w:shd w:val="clear" w:color="auto" w:fill="auto"/>
            <w:hideMark/>
          </w:tcPr>
          <w:p w14:paraId="28244EBC" w14:textId="77777777" w:rsidR="0078495E" w:rsidRPr="00D02A2E" w:rsidRDefault="0078495E" w:rsidP="004C7BEF">
            <w:pPr>
              <w:pStyle w:val="ARtableperformancesymbol"/>
              <w:rPr>
                <w:rFonts w:hint="eastAsia"/>
              </w:rPr>
            </w:pPr>
            <w:r w:rsidRPr="002B743D">
              <w:t></w:t>
            </w:r>
          </w:p>
        </w:tc>
      </w:tr>
      <w:tr w:rsidR="0078495E" w:rsidRPr="00D02A2E" w14:paraId="5945B9B5" w14:textId="77777777" w:rsidTr="00950905">
        <w:trPr>
          <w:cantSplit/>
        </w:trPr>
        <w:tc>
          <w:tcPr>
            <w:tcW w:w="9639" w:type="dxa"/>
            <w:gridSpan w:val="6"/>
            <w:tcBorders>
              <w:top w:val="single" w:sz="4" w:space="0" w:color="auto"/>
            </w:tcBorders>
            <w:shd w:val="clear" w:color="auto" w:fill="auto"/>
            <w:hideMark/>
          </w:tcPr>
          <w:p w14:paraId="0F80BFAB" w14:textId="77777777" w:rsidR="0078495E" w:rsidRPr="00D02A2E" w:rsidRDefault="0078495E" w:rsidP="004C7BEF">
            <w:pPr>
              <w:pStyle w:val="ARtablegreybold"/>
              <w:rPr>
                <w:rFonts w:ascii="Wingdings" w:hAnsi="Wingdings"/>
              </w:rPr>
            </w:pPr>
            <w:r w:rsidRPr="002B743D">
              <w:t>Cost</w:t>
            </w:r>
          </w:p>
        </w:tc>
      </w:tr>
      <w:tr w:rsidR="0078495E" w:rsidRPr="004C4355" w14:paraId="0EE6EFE4" w14:textId="77777777" w:rsidTr="004C7BEF">
        <w:trPr>
          <w:cantSplit/>
        </w:trPr>
        <w:tc>
          <w:tcPr>
            <w:tcW w:w="4761" w:type="dxa"/>
            <w:shd w:val="clear" w:color="auto" w:fill="auto"/>
            <w:hideMark/>
          </w:tcPr>
          <w:p w14:paraId="62F227E3" w14:textId="77777777" w:rsidR="0078495E" w:rsidRPr="004C4355" w:rsidRDefault="0078495E" w:rsidP="004C7BEF">
            <w:pPr>
              <w:pStyle w:val="ARtabletext"/>
              <w:rPr>
                <w:b/>
                <w:bCs/>
              </w:rPr>
            </w:pPr>
            <w:r w:rsidRPr="004C4355">
              <w:rPr>
                <w:b/>
                <w:bCs/>
              </w:rPr>
              <w:t>Total Output Cost</w:t>
            </w:r>
          </w:p>
        </w:tc>
        <w:tc>
          <w:tcPr>
            <w:tcW w:w="1021" w:type="dxa"/>
            <w:shd w:val="clear" w:color="auto" w:fill="auto"/>
            <w:hideMark/>
          </w:tcPr>
          <w:p w14:paraId="7EF10A80" w14:textId="77777777" w:rsidR="0078495E" w:rsidRPr="004C4355" w:rsidRDefault="0078495E" w:rsidP="004C7BEF">
            <w:pPr>
              <w:pStyle w:val="ARtabletextcentre"/>
              <w:rPr>
                <w:b/>
                <w:bCs/>
              </w:rPr>
            </w:pPr>
            <w:r w:rsidRPr="004C4355">
              <w:rPr>
                <w:b/>
                <w:bCs/>
              </w:rPr>
              <w:t>$ million</w:t>
            </w:r>
          </w:p>
        </w:tc>
        <w:tc>
          <w:tcPr>
            <w:tcW w:w="1021" w:type="dxa"/>
            <w:shd w:val="clear" w:color="auto" w:fill="auto"/>
            <w:hideMark/>
          </w:tcPr>
          <w:p w14:paraId="002CC4F1" w14:textId="77777777" w:rsidR="0078495E" w:rsidRPr="004C4355" w:rsidRDefault="0078495E" w:rsidP="004C7BEF">
            <w:pPr>
              <w:pStyle w:val="ARtabletextright"/>
              <w:rPr>
                <w:b/>
                <w:bCs/>
              </w:rPr>
            </w:pPr>
            <w:r w:rsidRPr="004C4355">
              <w:rPr>
                <w:b/>
                <w:bCs/>
              </w:rPr>
              <w:t>150.6</w:t>
            </w:r>
          </w:p>
        </w:tc>
        <w:tc>
          <w:tcPr>
            <w:tcW w:w="1021" w:type="dxa"/>
            <w:shd w:val="clear" w:color="auto" w:fill="auto"/>
            <w:hideMark/>
          </w:tcPr>
          <w:p w14:paraId="508C0F5E" w14:textId="77777777" w:rsidR="0078495E" w:rsidRPr="004C4355" w:rsidRDefault="0078495E" w:rsidP="004C7BEF">
            <w:pPr>
              <w:pStyle w:val="ARtabletextright"/>
              <w:rPr>
                <w:b/>
                <w:bCs/>
              </w:rPr>
            </w:pPr>
            <w:r w:rsidRPr="004C4355">
              <w:rPr>
                <w:b/>
                <w:bCs/>
              </w:rPr>
              <w:t>143.9</w:t>
            </w:r>
          </w:p>
        </w:tc>
        <w:tc>
          <w:tcPr>
            <w:tcW w:w="1021" w:type="dxa"/>
            <w:shd w:val="clear" w:color="auto" w:fill="auto"/>
          </w:tcPr>
          <w:p w14:paraId="28365D5F" w14:textId="77777777" w:rsidR="0078495E" w:rsidRPr="004C4355" w:rsidRDefault="0078495E" w:rsidP="004C7BEF">
            <w:pPr>
              <w:pStyle w:val="ARtabletextright"/>
              <w:rPr>
                <w:b/>
                <w:bCs/>
              </w:rPr>
            </w:pPr>
            <w:r w:rsidRPr="004C4355">
              <w:rPr>
                <w:b/>
                <w:bCs/>
              </w:rPr>
              <w:t>−4.5%</w:t>
            </w:r>
          </w:p>
        </w:tc>
        <w:tc>
          <w:tcPr>
            <w:tcW w:w="794" w:type="dxa"/>
            <w:shd w:val="clear" w:color="auto" w:fill="auto"/>
            <w:hideMark/>
          </w:tcPr>
          <w:p w14:paraId="48A8CDAB" w14:textId="77777777" w:rsidR="0078495E" w:rsidRPr="004C4355" w:rsidRDefault="0078495E" w:rsidP="004C7BEF">
            <w:pPr>
              <w:pStyle w:val="ARtabletextright"/>
              <w:rPr>
                <w:b/>
                <w:bCs/>
              </w:rPr>
            </w:pPr>
          </w:p>
        </w:tc>
      </w:tr>
      <w:tr w:rsidR="0078495E" w:rsidRPr="00D02A2E" w14:paraId="74CBF881" w14:textId="77777777" w:rsidTr="004C7BEF">
        <w:trPr>
          <w:cantSplit/>
        </w:trPr>
        <w:tc>
          <w:tcPr>
            <w:tcW w:w="9639" w:type="dxa"/>
            <w:gridSpan w:val="6"/>
            <w:tcBorders>
              <w:bottom w:val="single" w:sz="4" w:space="0" w:color="auto"/>
            </w:tcBorders>
            <w:shd w:val="clear" w:color="auto" w:fill="auto"/>
            <w:noWrap/>
            <w:hideMark/>
          </w:tcPr>
          <w:p w14:paraId="4C8DBE57" w14:textId="09338074" w:rsidR="0078495E" w:rsidRPr="00D02A2E" w:rsidRDefault="0078495E" w:rsidP="004C7BEF">
            <w:pPr>
              <w:pStyle w:val="ARtablenoteindent"/>
            </w:pPr>
            <w:r w:rsidRPr="002B743D">
              <w:t xml:space="preserve">The 2021–22 actual outcome reflects timing delays in </w:t>
            </w:r>
            <w:r w:rsidRPr="00457E53">
              <w:t>expenditure on government policy initiatives</w:t>
            </w:r>
            <w:r w:rsidRPr="002B743D">
              <w:t xml:space="preserve"> driven by the impacts of the COVID-19 response.</w:t>
            </w:r>
          </w:p>
        </w:tc>
      </w:tr>
    </w:tbl>
    <w:p w14:paraId="446DB374" w14:textId="5E882F05" w:rsidR="0078495E" w:rsidRDefault="0078495E" w:rsidP="00306875">
      <w:pPr>
        <w:pStyle w:val="Heading4"/>
        <w:spacing w:before="400"/>
      </w:pPr>
      <w:bookmarkStart w:id="112" w:name="_Health_Protection"/>
      <w:bookmarkEnd w:id="112"/>
      <w:r>
        <w:t>Health Protection</w:t>
      </w:r>
    </w:p>
    <w:p w14:paraId="4C6BCCAA" w14:textId="7131C842" w:rsidR="0078495E" w:rsidRDefault="00BE02D8" w:rsidP="0078495E">
      <w:pPr>
        <w:pStyle w:val="ARbody"/>
      </w:pPr>
      <w:r w:rsidRPr="00BE02D8">
        <w:t>This output includes protecting the health of Victorians through a range of prevention programs including regulation, surveillance and the provision of statutory services.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4C3B08A1" w14:textId="77777777" w:rsidTr="004C7BEF">
        <w:trPr>
          <w:cantSplit/>
          <w:tblHeader/>
        </w:trPr>
        <w:tc>
          <w:tcPr>
            <w:tcW w:w="4761" w:type="dxa"/>
            <w:tcBorders>
              <w:bottom w:val="single" w:sz="4" w:space="0" w:color="auto"/>
            </w:tcBorders>
            <w:shd w:val="clear" w:color="auto" w:fill="auto"/>
            <w:vAlign w:val="bottom"/>
            <w:hideMark/>
          </w:tcPr>
          <w:p w14:paraId="3F8A45D4"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36A5A3F1"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0B8F2ACC"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0E698A36"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01E7F2A4"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3A5439D2" w14:textId="77777777" w:rsidR="0078495E" w:rsidRPr="00F72126" w:rsidRDefault="0078495E" w:rsidP="004C7BEF">
            <w:pPr>
              <w:pStyle w:val="ARtablecolheadright"/>
            </w:pPr>
            <w:r w:rsidRPr="00F72126">
              <w:t>Result</w:t>
            </w:r>
          </w:p>
        </w:tc>
      </w:tr>
      <w:tr w:rsidR="0078495E" w:rsidRPr="00D02A2E" w14:paraId="5C0240E5" w14:textId="77777777" w:rsidTr="004C7BEF">
        <w:trPr>
          <w:cantSplit/>
        </w:trPr>
        <w:tc>
          <w:tcPr>
            <w:tcW w:w="9639" w:type="dxa"/>
            <w:gridSpan w:val="6"/>
            <w:tcBorders>
              <w:top w:val="single" w:sz="4" w:space="0" w:color="auto"/>
            </w:tcBorders>
            <w:shd w:val="clear" w:color="auto" w:fill="auto"/>
            <w:hideMark/>
          </w:tcPr>
          <w:p w14:paraId="0FC6E314" w14:textId="77777777" w:rsidR="0078495E" w:rsidRPr="00D02A2E" w:rsidRDefault="0078495E" w:rsidP="004C7BEF">
            <w:pPr>
              <w:pStyle w:val="ARtablegreybold"/>
              <w:rPr>
                <w:rFonts w:ascii="Wingdings" w:hAnsi="Wingdings"/>
              </w:rPr>
            </w:pPr>
            <w:r w:rsidRPr="007A45E9">
              <w:t>Quantity</w:t>
            </w:r>
          </w:p>
        </w:tc>
      </w:tr>
      <w:tr w:rsidR="0078495E" w:rsidRPr="00D02A2E" w14:paraId="77EAF53A" w14:textId="77777777" w:rsidTr="004C7BEF">
        <w:trPr>
          <w:cantSplit/>
        </w:trPr>
        <w:tc>
          <w:tcPr>
            <w:tcW w:w="4761" w:type="dxa"/>
            <w:shd w:val="clear" w:color="auto" w:fill="auto"/>
            <w:hideMark/>
          </w:tcPr>
          <w:p w14:paraId="5D8067BB" w14:textId="77777777" w:rsidR="0078495E" w:rsidRPr="00D02A2E" w:rsidRDefault="0078495E" w:rsidP="004C7BEF">
            <w:pPr>
              <w:pStyle w:val="ARtabletext"/>
            </w:pPr>
            <w:r w:rsidRPr="002E6F39">
              <w:t>Inspections of cooling towers</w:t>
            </w:r>
          </w:p>
        </w:tc>
        <w:tc>
          <w:tcPr>
            <w:tcW w:w="1021" w:type="dxa"/>
            <w:shd w:val="clear" w:color="auto" w:fill="auto"/>
            <w:hideMark/>
          </w:tcPr>
          <w:p w14:paraId="22186945" w14:textId="77777777" w:rsidR="0078495E" w:rsidRPr="00D02A2E" w:rsidRDefault="0078495E" w:rsidP="004C7BEF">
            <w:pPr>
              <w:pStyle w:val="ARtabletextcentre"/>
            </w:pPr>
            <w:r w:rsidRPr="002E6F39">
              <w:t>number</w:t>
            </w:r>
          </w:p>
        </w:tc>
        <w:tc>
          <w:tcPr>
            <w:tcW w:w="1021" w:type="dxa"/>
            <w:shd w:val="clear" w:color="auto" w:fill="auto"/>
            <w:hideMark/>
          </w:tcPr>
          <w:p w14:paraId="1D8B4AF8" w14:textId="77777777" w:rsidR="0078495E" w:rsidRDefault="0078495E" w:rsidP="004C7BEF">
            <w:pPr>
              <w:pStyle w:val="ARtabletextright"/>
            </w:pPr>
            <w:r w:rsidRPr="002E6F39">
              <w:t>1,300</w:t>
            </w:r>
          </w:p>
        </w:tc>
        <w:tc>
          <w:tcPr>
            <w:tcW w:w="1021" w:type="dxa"/>
            <w:shd w:val="clear" w:color="auto" w:fill="auto"/>
            <w:hideMark/>
          </w:tcPr>
          <w:p w14:paraId="03C7C9D7" w14:textId="77777777" w:rsidR="0078495E" w:rsidRDefault="0078495E" w:rsidP="004C7BEF">
            <w:pPr>
              <w:pStyle w:val="ARtabletextright"/>
            </w:pPr>
            <w:r w:rsidRPr="002E6F39">
              <w:t>939</w:t>
            </w:r>
          </w:p>
        </w:tc>
        <w:tc>
          <w:tcPr>
            <w:tcW w:w="1021" w:type="dxa"/>
            <w:shd w:val="clear" w:color="auto" w:fill="auto"/>
          </w:tcPr>
          <w:p w14:paraId="2296E3FF" w14:textId="77777777" w:rsidR="0078495E" w:rsidRDefault="0078495E" w:rsidP="004C7BEF">
            <w:pPr>
              <w:pStyle w:val="ARtabletextright"/>
            </w:pPr>
            <w:r w:rsidRPr="002E6F39">
              <w:t>−27.8%</w:t>
            </w:r>
          </w:p>
        </w:tc>
        <w:tc>
          <w:tcPr>
            <w:tcW w:w="794" w:type="dxa"/>
            <w:shd w:val="clear" w:color="auto" w:fill="auto"/>
            <w:hideMark/>
          </w:tcPr>
          <w:p w14:paraId="11B56B88" w14:textId="77777777" w:rsidR="0078495E" w:rsidRPr="00D02A2E" w:rsidRDefault="0078495E" w:rsidP="004C7BEF">
            <w:pPr>
              <w:pStyle w:val="ARtableperformancesymbol"/>
              <w:rPr>
                <w:rFonts w:hint="eastAsia"/>
              </w:rPr>
            </w:pPr>
            <w:r w:rsidRPr="002E6F39">
              <w:t></w:t>
            </w:r>
          </w:p>
        </w:tc>
      </w:tr>
      <w:tr w:rsidR="0078495E" w:rsidRPr="00D02A2E" w14:paraId="13ED555B" w14:textId="77777777" w:rsidTr="004C7BEF">
        <w:trPr>
          <w:cantSplit/>
        </w:trPr>
        <w:tc>
          <w:tcPr>
            <w:tcW w:w="9639" w:type="dxa"/>
            <w:gridSpan w:val="6"/>
            <w:tcBorders>
              <w:bottom w:val="single" w:sz="4" w:space="0" w:color="BFBFBF"/>
            </w:tcBorders>
            <w:shd w:val="clear" w:color="auto" w:fill="auto"/>
            <w:noWrap/>
            <w:hideMark/>
          </w:tcPr>
          <w:p w14:paraId="0BCEB473" w14:textId="0417F190" w:rsidR="0078495E" w:rsidRPr="00D02A2E" w:rsidRDefault="000F28AC" w:rsidP="004C7BEF">
            <w:pPr>
              <w:pStyle w:val="ARtablenoteindent"/>
            </w:pPr>
            <w:r>
              <w:t>This result is due to working from home advisories, which meant that onsite inspections could not be carried out for certain periods over the full year, although 534 virtual audits were conducted during this time.</w:t>
            </w:r>
          </w:p>
        </w:tc>
      </w:tr>
      <w:tr w:rsidR="0078495E" w:rsidRPr="00D02A2E" w14:paraId="784FFA95" w14:textId="77777777" w:rsidTr="004C7BEF">
        <w:trPr>
          <w:cantSplit/>
        </w:trPr>
        <w:tc>
          <w:tcPr>
            <w:tcW w:w="4761" w:type="dxa"/>
            <w:shd w:val="clear" w:color="auto" w:fill="auto"/>
            <w:hideMark/>
          </w:tcPr>
          <w:p w14:paraId="12F032AB" w14:textId="77777777" w:rsidR="0078495E" w:rsidRPr="00D02A2E" w:rsidRDefault="0078495E" w:rsidP="004C7BEF">
            <w:pPr>
              <w:pStyle w:val="ARtabletext"/>
            </w:pPr>
            <w:r w:rsidRPr="000B72E3">
              <w:t>Inspections of radiation safety management licences</w:t>
            </w:r>
          </w:p>
        </w:tc>
        <w:tc>
          <w:tcPr>
            <w:tcW w:w="1021" w:type="dxa"/>
            <w:shd w:val="clear" w:color="auto" w:fill="auto"/>
            <w:hideMark/>
          </w:tcPr>
          <w:p w14:paraId="23D47CD9" w14:textId="77777777" w:rsidR="0078495E" w:rsidRPr="00D02A2E" w:rsidRDefault="0078495E" w:rsidP="004C7BEF">
            <w:pPr>
              <w:pStyle w:val="ARtabletextcentre"/>
            </w:pPr>
            <w:r w:rsidRPr="002E6F39">
              <w:t>number</w:t>
            </w:r>
          </w:p>
        </w:tc>
        <w:tc>
          <w:tcPr>
            <w:tcW w:w="1021" w:type="dxa"/>
            <w:shd w:val="clear" w:color="auto" w:fill="auto"/>
            <w:hideMark/>
          </w:tcPr>
          <w:p w14:paraId="29C6698C" w14:textId="77777777" w:rsidR="0078495E" w:rsidRDefault="0078495E" w:rsidP="004C7BEF">
            <w:pPr>
              <w:pStyle w:val="ARtabletextright"/>
            </w:pPr>
            <w:r w:rsidRPr="002E6F39">
              <w:t>480</w:t>
            </w:r>
          </w:p>
        </w:tc>
        <w:tc>
          <w:tcPr>
            <w:tcW w:w="1021" w:type="dxa"/>
            <w:shd w:val="clear" w:color="auto" w:fill="auto"/>
            <w:hideMark/>
          </w:tcPr>
          <w:p w14:paraId="3BCBFC19" w14:textId="77777777" w:rsidR="0078495E" w:rsidRDefault="0078495E" w:rsidP="004C7BEF">
            <w:pPr>
              <w:pStyle w:val="ARtabletextright"/>
            </w:pPr>
            <w:r w:rsidRPr="002E6F39">
              <w:t>169</w:t>
            </w:r>
          </w:p>
        </w:tc>
        <w:tc>
          <w:tcPr>
            <w:tcW w:w="1021" w:type="dxa"/>
            <w:shd w:val="clear" w:color="auto" w:fill="auto"/>
          </w:tcPr>
          <w:p w14:paraId="1B931590" w14:textId="77777777" w:rsidR="0078495E" w:rsidRDefault="0078495E" w:rsidP="004C7BEF">
            <w:pPr>
              <w:pStyle w:val="ARtabletextright"/>
            </w:pPr>
            <w:r w:rsidRPr="002E6F39">
              <w:t>−64.8%</w:t>
            </w:r>
          </w:p>
        </w:tc>
        <w:tc>
          <w:tcPr>
            <w:tcW w:w="794" w:type="dxa"/>
            <w:shd w:val="clear" w:color="auto" w:fill="auto"/>
            <w:hideMark/>
          </w:tcPr>
          <w:p w14:paraId="74AEFDEA" w14:textId="77777777" w:rsidR="0078495E" w:rsidRPr="00D02A2E" w:rsidRDefault="0078495E" w:rsidP="004C7BEF">
            <w:pPr>
              <w:pStyle w:val="ARtableperformancesymbol"/>
              <w:rPr>
                <w:rFonts w:hint="eastAsia"/>
              </w:rPr>
            </w:pPr>
            <w:r w:rsidRPr="002E6F39">
              <w:t></w:t>
            </w:r>
          </w:p>
        </w:tc>
      </w:tr>
      <w:tr w:rsidR="0078495E" w:rsidRPr="00D02A2E" w14:paraId="3C03F0CD" w14:textId="77777777" w:rsidTr="004C7BEF">
        <w:trPr>
          <w:cantSplit/>
        </w:trPr>
        <w:tc>
          <w:tcPr>
            <w:tcW w:w="9639" w:type="dxa"/>
            <w:gridSpan w:val="6"/>
            <w:tcBorders>
              <w:bottom w:val="single" w:sz="4" w:space="0" w:color="BFBFBF"/>
            </w:tcBorders>
            <w:shd w:val="clear" w:color="auto" w:fill="auto"/>
            <w:noWrap/>
            <w:hideMark/>
          </w:tcPr>
          <w:p w14:paraId="2F4D1AA5" w14:textId="38FC62AC" w:rsidR="0078495E" w:rsidRPr="00D02A2E" w:rsidRDefault="000F28AC" w:rsidP="004C7BEF">
            <w:pPr>
              <w:pStyle w:val="ARtablenoteindent"/>
            </w:pPr>
            <w:r>
              <w:t>In</w:t>
            </w:r>
            <w:r w:rsidR="000B72E3">
              <w:t>s</w:t>
            </w:r>
            <w:r>
              <w:t>pections were impacted by COVID-19 restrictions and working from home advisories</w:t>
            </w:r>
            <w:r w:rsidR="000B72E3">
              <w:t>, which meant that onsite inspections could not be carried out for certain periods of the year, although 58 virtual audits were conducted, primarily in the earlier part of the year. The 169 inspections that did take place were mostly conducted in Quarter 4.</w:t>
            </w:r>
          </w:p>
        </w:tc>
      </w:tr>
      <w:tr w:rsidR="0078495E" w:rsidRPr="00D02A2E" w14:paraId="5D8913B6" w14:textId="77777777" w:rsidTr="004C7BEF">
        <w:trPr>
          <w:cantSplit/>
        </w:trPr>
        <w:tc>
          <w:tcPr>
            <w:tcW w:w="4761" w:type="dxa"/>
            <w:tcBorders>
              <w:bottom w:val="single" w:sz="4" w:space="0" w:color="BFBFBF"/>
            </w:tcBorders>
            <w:shd w:val="clear" w:color="auto" w:fill="auto"/>
            <w:hideMark/>
          </w:tcPr>
          <w:p w14:paraId="7E39BF89" w14:textId="77777777" w:rsidR="0078495E" w:rsidRPr="00D02A2E" w:rsidRDefault="0078495E" w:rsidP="004C7BEF">
            <w:pPr>
              <w:pStyle w:val="ARtabletext"/>
            </w:pPr>
            <w:r w:rsidRPr="002E6F39">
              <w:t>Percentage of Aboriginal children fully immunised at 60</w:t>
            </w:r>
            <w:r>
              <w:t> </w:t>
            </w:r>
            <w:r w:rsidRPr="002E6F39">
              <w:t>months</w:t>
            </w:r>
          </w:p>
        </w:tc>
        <w:tc>
          <w:tcPr>
            <w:tcW w:w="1021" w:type="dxa"/>
            <w:tcBorders>
              <w:bottom w:val="single" w:sz="4" w:space="0" w:color="BFBFBF"/>
            </w:tcBorders>
            <w:shd w:val="clear" w:color="auto" w:fill="auto"/>
            <w:hideMark/>
          </w:tcPr>
          <w:p w14:paraId="0875ED86" w14:textId="77777777" w:rsidR="0078495E" w:rsidRPr="00D02A2E" w:rsidRDefault="0078495E" w:rsidP="004C7BEF">
            <w:pPr>
              <w:pStyle w:val="ARtabletextcentre"/>
            </w:pPr>
            <w:r w:rsidRPr="002E6F39">
              <w:t>per cent</w:t>
            </w:r>
          </w:p>
        </w:tc>
        <w:tc>
          <w:tcPr>
            <w:tcW w:w="1021" w:type="dxa"/>
            <w:tcBorders>
              <w:bottom w:val="single" w:sz="4" w:space="0" w:color="BFBFBF"/>
            </w:tcBorders>
            <w:shd w:val="clear" w:color="auto" w:fill="auto"/>
            <w:hideMark/>
          </w:tcPr>
          <w:p w14:paraId="2F25DFCF" w14:textId="77777777" w:rsidR="0078495E" w:rsidRDefault="0078495E" w:rsidP="004C7BEF">
            <w:pPr>
              <w:pStyle w:val="ARtabletextright"/>
            </w:pPr>
            <w:r w:rsidRPr="002E6F39">
              <w:t>97</w:t>
            </w:r>
          </w:p>
        </w:tc>
        <w:tc>
          <w:tcPr>
            <w:tcW w:w="1021" w:type="dxa"/>
            <w:tcBorders>
              <w:bottom w:val="single" w:sz="4" w:space="0" w:color="BFBFBF"/>
            </w:tcBorders>
            <w:shd w:val="clear" w:color="auto" w:fill="auto"/>
            <w:hideMark/>
          </w:tcPr>
          <w:p w14:paraId="5B07CF88" w14:textId="77777777" w:rsidR="0078495E" w:rsidRDefault="0078495E" w:rsidP="004C7BEF">
            <w:pPr>
              <w:pStyle w:val="ARtabletextright"/>
            </w:pPr>
            <w:r w:rsidRPr="002E6F39">
              <w:t>97</w:t>
            </w:r>
          </w:p>
        </w:tc>
        <w:tc>
          <w:tcPr>
            <w:tcW w:w="1021" w:type="dxa"/>
            <w:tcBorders>
              <w:bottom w:val="single" w:sz="4" w:space="0" w:color="BFBFBF"/>
            </w:tcBorders>
            <w:shd w:val="clear" w:color="auto" w:fill="auto"/>
          </w:tcPr>
          <w:p w14:paraId="55B16B3F" w14:textId="77777777" w:rsidR="0078495E" w:rsidRDefault="0078495E" w:rsidP="004C7BEF">
            <w:pPr>
              <w:pStyle w:val="ARtabletextright"/>
            </w:pPr>
            <w:r w:rsidRPr="002E6F39">
              <w:t>0.0%</w:t>
            </w:r>
          </w:p>
        </w:tc>
        <w:tc>
          <w:tcPr>
            <w:tcW w:w="794" w:type="dxa"/>
            <w:tcBorders>
              <w:bottom w:val="single" w:sz="4" w:space="0" w:color="BFBFBF"/>
            </w:tcBorders>
            <w:shd w:val="clear" w:color="auto" w:fill="auto"/>
            <w:hideMark/>
          </w:tcPr>
          <w:p w14:paraId="126C3DBC" w14:textId="77777777" w:rsidR="0078495E" w:rsidRPr="00D02A2E" w:rsidRDefault="0078495E" w:rsidP="004C7BEF">
            <w:pPr>
              <w:pStyle w:val="ARtableperformancesymbol"/>
              <w:rPr>
                <w:rFonts w:hint="eastAsia"/>
              </w:rPr>
            </w:pPr>
            <w:r w:rsidRPr="002E6F39">
              <w:t></w:t>
            </w:r>
          </w:p>
        </w:tc>
      </w:tr>
      <w:tr w:rsidR="0078495E" w:rsidRPr="00D02A2E" w14:paraId="3E7755A9" w14:textId="77777777" w:rsidTr="004C7BEF">
        <w:trPr>
          <w:cantSplit/>
        </w:trPr>
        <w:tc>
          <w:tcPr>
            <w:tcW w:w="4761" w:type="dxa"/>
            <w:shd w:val="clear" w:color="auto" w:fill="auto"/>
            <w:hideMark/>
          </w:tcPr>
          <w:p w14:paraId="6EC612B8" w14:textId="77777777" w:rsidR="0078495E" w:rsidRPr="00D02A2E" w:rsidRDefault="0078495E" w:rsidP="004C7BEF">
            <w:pPr>
              <w:pStyle w:val="ARtabletext"/>
            </w:pPr>
            <w:r w:rsidRPr="00CD2530">
              <w:t>Number of available HIV rapid test trial appointments used</w:t>
            </w:r>
          </w:p>
        </w:tc>
        <w:tc>
          <w:tcPr>
            <w:tcW w:w="1021" w:type="dxa"/>
            <w:shd w:val="clear" w:color="auto" w:fill="auto"/>
            <w:hideMark/>
          </w:tcPr>
          <w:p w14:paraId="3FC9025F" w14:textId="77777777" w:rsidR="0078495E" w:rsidRPr="00D02A2E" w:rsidRDefault="0078495E" w:rsidP="004C7BEF">
            <w:pPr>
              <w:pStyle w:val="ARtabletextcentre"/>
            </w:pPr>
            <w:r w:rsidRPr="00CD2530">
              <w:t>number</w:t>
            </w:r>
          </w:p>
        </w:tc>
        <w:tc>
          <w:tcPr>
            <w:tcW w:w="1021" w:type="dxa"/>
            <w:shd w:val="clear" w:color="auto" w:fill="auto"/>
            <w:hideMark/>
          </w:tcPr>
          <w:p w14:paraId="1D6CD526" w14:textId="77777777" w:rsidR="0078495E" w:rsidRDefault="0078495E" w:rsidP="004C7BEF">
            <w:pPr>
              <w:pStyle w:val="ARtabletextright"/>
            </w:pPr>
            <w:r w:rsidRPr="00CD2530">
              <w:t>2,875</w:t>
            </w:r>
          </w:p>
        </w:tc>
        <w:tc>
          <w:tcPr>
            <w:tcW w:w="1021" w:type="dxa"/>
            <w:shd w:val="clear" w:color="auto" w:fill="auto"/>
            <w:hideMark/>
          </w:tcPr>
          <w:p w14:paraId="7339D616" w14:textId="77777777" w:rsidR="0078495E" w:rsidRDefault="0078495E" w:rsidP="004C7BEF">
            <w:pPr>
              <w:pStyle w:val="ARtabletextright"/>
            </w:pPr>
            <w:r w:rsidRPr="00CD2530">
              <w:t>2,021</w:t>
            </w:r>
          </w:p>
        </w:tc>
        <w:tc>
          <w:tcPr>
            <w:tcW w:w="1021" w:type="dxa"/>
            <w:shd w:val="clear" w:color="auto" w:fill="auto"/>
          </w:tcPr>
          <w:p w14:paraId="0CD70E8B" w14:textId="77777777" w:rsidR="0078495E" w:rsidRDefault="0078495E" w:rsidP="004C7BEF">
            <w:pPr>
              <w:pStyle w:val="ARtabletextright"/>
            </w:pPr>
            <w:r w:rsidRPr="00CD2530">
              <w:t>−29.7%</w:t>
            </w:r>
          </w:p>
        </w:tc>
        <w:tc>
          <w:tcPr>
            <w:tcW w:w="794" w:type="dxa"/>
            <w:shd w:val="clear" w:color="auto" w:fill="auto"/>
            <w:hideMark/>
          </w:tcPr>
          <w:p w14:paraId="3155AA69" w14:textId="77777777" w:rsidR="0078495E" w:rsidRPr="00D02A2E" w:rsidRDefault="0078495E" w:rsidP="004C7BEF">
            <w:pPr>
              <w:pStyle w:val="ARtableperformancesymbol"/>
              <w:rPr>
                <w:rFonts w:hint="eastAsia"/>
              </w:rPr>
            </w:pPr>
            <w:r w:rsidRPr="00CD2530">
              <w:t></w:t>
            </w:r>
          </w:p>
        </w:tc>
      </w:tr>
      <w:tr w:rsidR="0078495E" w:rsidRPr="00D02A2E" w14:paraId="39B51D3D" w14:textId="77777777" w:rsidTr="004C7BEF">
        <w:trPr>
          <w:cantSplit/>
        </w:trPr>
        <w:tc>
          <w:tcPr>
            <w:tcW w:w="9639" w:type="dxa"/>
            <w:gridSpan w:val="6"/>
            <w:tcBorders>
              <w:bottom w:val="single" w:sz="4" w:space="0" w:color="BFBFBF"/>
            </w:tcBorders>
            <w:shd w:val="clear" w:color="auto" w:fill="auto"/>
            <w:noWrap/>
            <w:hideMark/>
          </w:tcPr>
          <w:p w14:paraId="33FADB20" w14:textId="2712E1B1" w:rsidR="0078495E" w:rsidRPr="00D02A2E" w:rsidRDefault="0078495E" w:rsidP="004C7BEF">
            <w:pPr>
              <w:pStyle w:val="ARtablenoteindent"/>
            </w:pPr>
            <w:r w:rsidRPr="00CD2530">
              <w:t>Pandemic lockdowns in Q</w:t>
            </w:r>
            <w:r w:rsidR="009549A1">
              <w:t xml:space="preserve">uarter </w:t>
            </w:r>
            <w:r w:rsidRPr="00CD2530">
              <w:t>1 and Q</w:t>
            </w:r>
            <w:r w:rsidR="009549A1">
              <w:t xml:space="preserve">uarter </w:t>
            </w:r>
            <w:r w:rsidRPr="00CD2530">
              <w:t>2</w:t>
            </w:r>
            <w:r w:rsidR="009549A1">
              <w:t xml:space="preserve">, when the service was closed for </w:t>
            </w:r>
            <w:r w:rsidR="009549A1" w:rsidRPr="00CD2530">
              <w:t>rapid HIV testing</w:t>
            </w:r>
            <w:r w:rsidR="009549A1">
              <w:t>,</w:t>
            </w:r>
            <w:r w:rsidRPr="00CD2530">
              <w:t xml:space="preserve"> affected the </w:t>
            </w:r>
            <w:r w:rsidR="009549A1">
              <w:t>annual</w:t>
            </w:r>
            <w:r w:rsidR="009549A1" w:rsidRPr="00CD2530">
              <w:t xml:space="preserve"> </w:t>
            </w:r>
            <w:r w:rsidR="004325A7">
              <w:t>result</w:t>
            </w:r>
            <w:r w:rsidRPr="004204CF">
              <w:t>.</w:t>
            </w:r>
            <w:r w:rsidR="004204CF" w:rsidRPr="004204CF">
              <w:t xml:space="preserve"> </w:t>
            </w:r>
            <w:r w:rsidRPr="00CD2530">
              <w:t>PRONTO</w:t>
            </w:r>
            <w:r w:rsidRPr="004204CF">
              <w:t>!</w:t>
            </w:r>
            <w:r w:rsidR="009549A1" w:rsidRPr="004204CF">
              <w:t>, the service which provides the tests,</w:t>
            </w:r>
            <w:r w:rsidRPr="004204CF">
              <w:t xml:space="preserve"> </w:t>
            </w:r>
            <w:r w:rsidR="002320E8" w:rsidRPr="004204CF">
              <w:t>was</w:t>
            </w:r>
            <w:r w:rsidRPr="00CD2530">
              <w:t xml:space="preserve"> closed on four public holidays during Q</w:t>
            </w:r>
            <w:r w:rsidR="009549A1">
              <w:t xml:space="preserve">uarter </w:t>
            </w:r>
            <w:r w:rsidRPr="00CD2530">
              <w:t>4</w:t>
            </w:r>
            <w:r w:rsidR="009549A1">
              <w:t xml:space="preserve">, </w:t>
            </w:r>
            <w:r w:rsidR="009549A1" w:rsidRPr="004204CF">
              <w:t>which also affected the result</w:t>
            </w:r>
            <w:r w:rsidRPr="004204CF">
              <w:t>.</w:t>
            </w:r>
            <w:r>
              <w:t xml:space="preserve"> </w:t>
            </w:r>
            <w:r w:rsidR="009549A1">
              <w:t xml:space="preserve">The numbers for rapid test trial appointments </w:t>
            </w:r>
            <w:r w:rsidR="004325A7">
              <w:t>are</w:t>
            </w:r>
            <w:r w:rsidR="009549A1">
              <w:t xml:space="preserve"> also affected by the fact that </w:t>
            </w:r>
            <w:r w:rsidRPr="00CD2530">
              <w:t xml:space="preserve">PRONTO! </w:t>
            </w:r>
            <w:r w:rsidR="00EF6B80">
              <w:t>a</w:t>
            </w:r>
            <w:r w:rsidRPr="00CD2530">
              <w:t>re seeing many people come in on pre-exposure prophylaxis or PrEP, for HIV prevention, making the rapid HIV test unsuitable</w:t>
            </w:r>
            <w:r w:rsidR="009549A1">
              <w:t>.</w:t>
            </w:r>
            <w:r w:rsidRPr="00CD2530">
              <w:t xml:space="preserve"> </w:t>
            </w:r>
            <w:r w:rsidR="009549A1">
              <w:t>H</w:t>
            </w:r>
            <w:r w:rsidRPr="00CD2530">
              <w:t>owever</w:t>
            </w:r>
            <w:r w:rsidR="004325A7">
              <w:t>,</w:t>
            </w:r>
            <w:r w:rsidRPr="00CD2530" w:rsidDel="009549A1">
              <w:t xml:space="preserve"> </w:t>
            </w:r>
            <w:r w:rsidR="009549A1">
              <w:t>these people</w:t>
            </w:r>
            <w:r w:rsidR="009549A1" w:rsidRPr="00CD2530">
              <w:t xml:space="preserve"> </w:t>
            </w:r>
            <w:r w:rsidRPr="00CD2530">
              <w:t xml:space="preserve">are getting a serology HIV and </w:t>
            </w:r>
            <w:r w:rsidRPr="009549A1">
              <w:t xml:space="preserve">other </w:t>
            </w:r>
            <w:r w:rsidRPr="00CD2530">
              <w:t>testing done</w:t>
            </w:r>
            <w:r w:rsidR="009549A1">
              <w:t xml:space="preserve"> for sexually </w:t>
            </w:r>
            <w:r w:rsidR="004336CD">
              <w:t>transmissible</w:t>
            </w:r>
            <w:r w:rsidR="009549A1">
              <w:t xml:space="preserve"> infections and/or blood-borne viruses</w:t>
            </w:r>
            <w:r w:rsidRPr="00CD2530">
              <w:t>.</w:t>
            </w:r>
          </w:p>
        </w:tc>
      </w:tr>
      <w:tr w:rsidR="0078495E" w:rsidRPr="00D02A2E" w14:paraId="00653D6E" w14:textId="77777777" w:rsidTr="004C7BEF">
        <w:trPr>
          <w:cantSplit/>
        </w:trPr>
        <w:tc>
          <w:tcPr>
            <w:tcW w:w="4761" w:type="dxa"/>
            <w:tcBorders>
              <w:bottom w:val="single" w:sz="4" w:space="0" w:color="BFBFBF"/>
            </w:tcBorders>
            <w:shd w:val="clear" w:color="auto" w:fill="auto"/>
            <w:hideMark/>
          </w:tcPr>
          <w:p w14:paraId="742F89FE" w14:textId="77777777" w:rsidR="0078495E" w:rsidRPr="00D02A2E" w:rsidRDefault="0078495E" w:rsidP="004C7BEF">
            <w:pPr>
              <w:pStyle w:val="ARtabletext"/>
            </w:pPr>
            <w:r w:rsidRPr="00CD2530">
              <w:t>Women screened for breast cancer by BreastScreen Victoria</w:t>
            </w:r>
          </w:p>
        </w:tc>
        <w:tc>
          <w:tcPr>
            <w:tcW w:w="1021" w:type="dxa"/>
            <w:tcBorders>
              <w:bottom w:val="single" w:sz="4" w:space="0" w:color="BFBFBF"/>
            </w:tcBorders>
            <w:shd w:val="clear" w:color="auto" w:fill="auto"/>
            <w:hideMark/>
          </w:tcPr>
          <w:p w14:paraId="5ECDD77F" w14:textId="77777777" w:rsidR="0078495E" w:rsidRPr="00D02A2E" w:rsidRDefault="0078495E" w:rsidP="004C7BEF">
            <w:pPr>
              <w:pStyle w:val="ARtabletextcentre"/>
            </w:pPr>
            <w:r w:rsidRPr="00CD2530">
              <w:t>number</w:t>
            </w:r>
          </w:p>
        </w:tc>
        <w:tc>
          <w:tcPr>
            <w:tcW w:w="1021" w:type="dxa"/>
            <w:tcBorders>
              <w:bottom w:val="single" w:sz="4" w:space="0" w:color="BFBFBF"/>
            </w:tcBorders>
            <w:shd w:val="clear" w:color="auto" w:fill="auto"/>
            <w:hideMark/>
          </w:tcPr>
          <w:p w14:paraId="19D11781" w14:textId="77777777" w:rsidR="0078495E" w:rsidRDefault="0078495E" w:rsidP="004C7BEF">
            <w:pPr>
              <w:pStyle w:val="ARtabletextright"/>
            </w:pPr>
            <w:r w:rsidRPr="00CD2530">
              <w:t>267,000</w:t>
            </w:r>
          </w:p>
        </w:tc>
        <w:tc>
          <w:tcPr>
            <w:tcW w:w="1021" w:type="dxa"/>
            <w:tcBorders>
              <w:bottom w:val="single" w:sz="4" w:space="0" w:color="BFBFBF"/>
            </w:tcBorders>
            <w:shd w:val="clear" w:color="auto" w:fill="auto"/>
            <w:hideMark/>
          </w:tcPr>
          <w:p w14:paraId="057F66B7" w14:textId="77777777" w:rsidR="0078495E" w:rsidRDefault="0078495E" w:rsidP="004C7BEF">
            <w:pPr>
              <w:pStyle w:val="ARtabletextright"/>
            </w:pPr>
            <w:r w:rsidRPr="00CD2530">
              <w:t>261,675</w:t>
            </w:r>
          </w:p>
        </w:tc>
        <w:tc>
          <w:tcPr>
            <w:tcW w:w="1021" w:type="dxa"/>
            <w:tcBorders>
              <w:bottom w:val="single" w:sz="4" w:space="0" w:color="BFBFBF"/>
            </w:tcBorders>
            <w:shd w:val="clear" w:color="auto" w:fill="auto"/>
          </w:tcPr>
          <w:p w14:paraId="03942C76" w14:textId="77777777" w:rsidR="0078495E" w:rsidRDefault="0078495E" w:rsidP="004C7BEF">
            <w:pPr>
              <w:pStyle w:val="ARtabletextright"/>
            </w:pPr>
            <w:r w:rsidRPr="00CD2530">
              <w:t>−2.0%</w:t>
            </w:r>
          </w:p>
        </w:tc>
        <w:tc>
          <w:tcPr>
            <w:tcW w:w="794" w:type="dxa"/>
            <w:tcBorders>
              <w:bottom w:val="single" w:sz="4" w:space="0" w:color="BFBFBF"/>
            </w:tcBorders>
            <w:shd w:val="clear" w:color="auto" w:fill="auto"/>
            <w:hideMark/>
          </w:tcPr>
          <w:p w14:paraId="667A6443" w14:textId="77777777" w:rsidR="0078495E" w:rsidRPr="00D02A2E" w:rsidRDefault="0078495E" w:rsidP="004C7BEF">
            <w:pPr>
              <w:pStyle w:val="ARtableperformancesymbol"/>
              <w:rPr>
                <w:rFonts w:hint="eastAsia"/>
              </w:rPr>
            </w:pPr>
            <w:r w:rsidRPr="00CD2530">
              <w:t></w:t>
            </w:r>
          </w:p>
        </w:tc>
      </w:tr>
      <w:tr w:rsidR="0078495E" w:rsidRPr="00D02A2E" w14:paraId="127ECAB9" w14:textId="77777777" w:rsidTr="004C7BEF">
        <w:trPr>
          <w:cantSplit/>
        </w:trPr>
        <w:tc>
          <w:tcPr>
            <w:tcW w:w="4761" w:type="dxa"/>
            <w:tcBorders>
              <w:bottom w:val="single" w:sz="4" w:space="0" w:color="BFBFBF"/>
            </w:tcBorders>
            <w:shd w:val="clear" w:color="auto" w:fill="auto"/>
            <w:hideMark/>
          </w:tcPr>
          <w:p w14:paraId="46F24554" w14:textId="77777777" w:rsidR="0078495E" w:rsidRPr="00D02A2E" w:rsidRDefault="0078495E" w:rsidP="004C7BEF">
            <w:pPr>
              <w:pStyle w:val="ARtabletext"/>
            </w:pPr>
            <w:r w:rsidRPr="00CD2530">
              <w:t>Number of persons participating in newborn bloodspot or maternal serum screening</w:t>
            </w:r>
          </w:p>
        </w:tc>
        <w:tc>
          <w:tcPr>
            <w:tcW w:w="1021" w:type="dxa"/>
            <w:tcBorders>
              <w:bottom w:val="single" w:sz="4" w:space="0" w:color="BFBFBF"/>
            </w:tcBorders>
            <w:shd w:val="clear" w:color="auto" w:fill="auto"/>
            <w:hideMark/>
          </w:tcPr>
          <w:p w14:paraId="575A9356" w14:textId="77777777" w:rsidR="0078495E" w:rsidRPr="00D02A2E" w:rsidRDefault="0078495E" w:rsidP="004C7BEF">
            <w:pPr>
              <w:pStyle w:val="ARtabletextcentre"/>
            </w:pPr>
            <w:r w:rsidRPr="00CD2530">
              <w:t>number</w:t>
            </w:r>
          </w:p>
        </w:tc>
        <w:tc>
          <w:tcPr>
            <w:tcW w:w="1021" w:type="dxa"/>
            <w:tcBorders>
              <w:bottom w:val="single" w:sz="4" w:space="0" w:color="BFBFBF"/>
            </w:tcBorders>
            <w:shd w:val="clear" w:color="auto" w:fill="auto"/>
            <w:hideMark/>
          </w:tcPr>
          <w:p w14:paraId="48D34114" w14:textId="77777777" w:rsidR="0078495E" w:rsidRDefault="0078495E" w:rsidP="004C7BEF">
            <w:pPr>
              <w:pStyle w:val="ARtabletextright"/>
            </w:pPr>
            <w:r w:rsidRPr="00CD2530">
              <w:t>80,000</w:t>
            </w:r>
          </w:p>
        </w:tc>
        <w:tc>
          <w:tcPr>
            <w:tcW w:w="1021" w:type="dxa"/>
            <w:tcBorders>
              <w:bottom w:val="single" w:sz="4" w:space="0" w:color="BFBFBF"/>
            </w:tcBorders>
            <w:shd w:val="clear" w:color="auto" w:fill="auto"/>
            <w:hideMark/>
          </w:tcPr>
          <w:p w14:paraId="6B747940" w14:textId="77777777" w:rsidR="0078495E" w:rsidRDefault="0078495E" w:rsidP="004C7BEF">
            <w:pPr>
              <w:pStyle w:val="ARtabletextright"/>
            </w:pPr>
            <w:r w:rsidRPr="00CD2530">
              <w:t>78,697</w:t>
            </w:r>
          </w:p>
        </w:tc>
        <w:tc>
          <w:tcPr>
            <w:tcW w:w="1021" w:type="dxa"/>
            <w:tcBorders>
              <w:bottom w:val="single" w:sz="4" w:space="0" w:color="BFBFBF"/>
            </w:tcBorders>
            <w:shd w:val="clear" w:color="auto" w:fill="auto"/>
          </w:tcPr>
          <w:p w14:paraId="6E5C760C" w14:textId="77777777" w:rsidR="0078495E" w:rsidRDefault="0078495E" w:rsidP="004C7BEF">
            <w:pPr>
              <w:pStyle w:val="ARtabletextright"/>
            </w:pPr>
            <w:r w:rsidRPr="00CD2530">
              <w:t>−1.6%</w:t>
            </w:r>
          </w:p>
        </w:tc>
        <w:tc>
          <w:tcPr>
            <w:tcW w:w="794" w:type="dxa"/>
            <w:tcBorders>
              <w:bottom w:val="single" w:sz="4" w:space="0" w:color="BFBFBF"/>
            </w:tcBorders>
            <w:shd w:val="clear" w:color="auto" w:fill="auto"/>
            <w:hideMark/>
          </w:tcPr>
          <w:p w14:paraId="6C29967B" w14:textId="77777777" w:rsidR="0078495E" w:rsidRPr="00D02A2E" w:rsidRDefault="0078495E" w:rsidP="004C7BEF">
            <w:pPr>
              <w:pStyle w:val="ARtableperformancesymbol"/>
              <w:rPr>
                <w:rFonts w:hint="eastAsia"/>
              </w:rPr>
            </w:pPr>
            <w:r w:rsidRPr="00CD2530">
              <w:t></w:t>
            </w:r>
          </w:p>
        </w:tc>
      </w:tr>
      <w:tr w:rsidR="0078495E" w:rsidRPr="00D02A2E" w14:paraId="1D1C6440" w14:textId="77777777" w:rsidTr="004C7BEF">
        <w:trPr>
          <w:cantSplit/>
        </w:trPr>
        <w:tc>
          <w:tcPr>
            <w:tcW w:w="4761" w:type="dxa"/>
            <w:tcBorders>
              <w:top w:val="single" w:sz="4" w:space="0" w:color="BFBFBF"/>
            </w:tcBorders>
            <w:shd w:val="clear" w:color="auto" w:fill="auto"/>
            <w:hideMark/>
          </w:tcPr>
          <w:p w14:paraId="2533CD30" w14:textId="77777777" w:rsidR="0078495E" w:rsidRPr="00D02A2E" w:rsidRDefault="0078495E" w:rsidP="004C7BEF">
            <w:pPr>
              <w:pStyle w:val="ARtabletext"/>
            </w:pPr>
            <w:r w:rsidRPr="009261FD">
              <w:t>Persons screened for prevention and early detection of health conditions – pulmonary tuberculosis screening</w:t>
            </w:r>
          </w:p>
        </w:tc>
        <w:tc>
          <w:tcPr>
            <w:tcW w:w="1021" w:type="dxa"/>
            <w:tcBorders>
              <w:top w:val="single" w:sz="4" w:space="0" w:color="BFBFBF"/>
            </w:tcBorders>
            <w:shd w:val="clear" w:color="auto" w:fill="auto"/>
            <w:hideMark/>
          </w:tcPr>
          <w:p w14:paraId="4F5363D5" w14:textId="77777777" w:rsidR="0078495E" w:rsidRPr="00D02A2E" w:rsidRDefault="0078495E" w:rsidP="004C7BEF">
            <w:pPr>
              <w:pStyle w:val="ARtabletextcentre"/>
            </w:pPr>
            <w:r w:rsidRPr="009261FD">
              <w:t>number</w:t>
            </w:r>
          </w:p>
        </w:tc>
        <w:tc>
          <w:tcPr>
            <w:tcW w:w="1021" w:type="dxa"/>
            <w:tcBorders>
              <w:top w:val="single" w:sz="4" w:space="0" w:color="BFBFBF"/>
            </w:tcBorders>
            <w:shd w:val="clear" w:color="auto" w:fill="auto"/>
            <w:hideMark/>
          </w:tcPr>
          <w:p w14:paraId="4D29C176" w14:textId="77777777" w:rsidR="0078495E" w:rsidRDefault="0078495E" w:rsidP="004C7BEF">
            <w:pPr>
              <w:pStyle w:val="ARtabletextright"/>
            </w:pPr>
            <w:r w:rsidRPr="009261FD">
              <w:t>2,000</w:t>
            </w:r>
          </w:p>
        </w:tc>
        <w:tc>
          <w:tcPr>
            <w:tcW w:w="1021" w:type="dxa"/>
            <w:tcBorders>
              <w:top w:val="single" w:sz="4" w:space="0" w:color="BFBFBF"/>
            </w:tcBorders>
            <w:shd w:val="clear" w:color="auto" w:fill="auto"/>
            <w:hideMark/>
          </w:tcPr>
          <w:p w14:paraId="55EFB8F6" w14:textId="77777777" w:rsidR="0078495E" w:rsidRDefault="0078495E" w:rsidP="004C7BEF">
            <w:pPr>
              <w:pStyle w:val="ARtabletextright"/>
            </w:pPr>
            <w:r w:rsidRPr="009261FD">
              <w:t>1,223</w:t>
            </w:r>
          </w:p>
        </w:tc>
        <w:tc>
          <w:tcPr>
            <w:tcW w:w="1021" w:type="dxa"/>
            <w:tcBorders>
              <w:top w:val="single" w:sz="4" w:space="0" w:color="BFBFBF"/>
            </w:tcBorders>
            <w:shd w:val="clear" w:color="auto" w:fill="auto"/>
          </w:tcPr>
          <w:p w14:paraId="6897A130" w14:textId="77777777" w:rsidR="0078495E" w:rsidRDefault="0078495E" w:rsidP="004C7BEF">
            <w:pPr>
              <w:pStyle w:val="ARtabletextright"/>
            </w:pPr>
            <w:r w:rsidRPr="009261FD">
              <w:t>−38.9%</w:t>
            </w:r>
          </w:p>
        </w:tc>
        <w:tc>
          <w:tcPr>
            <w:tcW w:w="794" w:type="dxa"/>
            <w:tcBorders>
              <w:top w:val="single" w:sz="4" w:space="0" w:color="BFBFBF"/>
            </w:tcBorders>
            <w:shd w:val="clear" w:color="auto" w:fill="auto"/>
            <w:hideMark/>
          </w:tcPr>
          <w:p w14:paraId="1C0F96E4" w14:textId="77777777" w:rsidR="0078495E" w:rsidRPr="00D02A2E" w:rsidRDefault="0078495E" w:rsidP="004C7BEF">
            <w:pPr>
              <w:pStyle w:val="ARtableperformancesymbol"/>
              <w:rPr>
                <w:rFonts w:hint="eastAsia"/>
              </w:rPr>
            </w:pPr>
            <w:r w:rsidRPr="009261FD">
              <w:t></w:t>
            </w:r>
          </w:p>
        </w:tc>
      </w:tr>
      <w:tr w:rsidR="0078495E" w:rsidRPr="00D02A2E" w14:paraId="2E987487" w14:textId="77777777" w:rsidTr="004C7BEF">
        <w:trPr>
          <w:cantSplit/>
        </w:trPr>
        <w:tc>
          <w:tcPr>
            <w:tcW w:w="9639" w:type="dxa"/>
            <w:gridSpan w:val="6"/>
            <w:tcBorders>
              <w:bottom w:val="single" w:sz="4" w:space="0" w:color="BFBFBF"/>
            </w:tcBorders>
            <w:shd w:val="clear" w:color="auto" w:fill="auto"/>
            <w:noWrap/>
            <w:hideMark/>
          </w:tcPr>
          <w:p w14:paraId="653EA04C" w14:textId="298BC2FC" w:rsidR="0078495E" w:rsidRPr="00D02A2E" w:rsidRDefault="0078495E" w:rsidP="004C7BEF">
            <w:pPr>
              <w:pStyle w:val="ARtablenoteindent"/>
            </w:pPr>
            <w:r w:rsidRPr="009261FD">
              <w:t>The 2021–22 outcome is lower than the target</w:t>
            </w:r>
            <w:r w:rsidR="004325A7">
              <w:t xml:space="preserve"> due to</w:t>
            </w:r>
            <w:r w:rsidRPr="009261FD">
              <w:t xml:space="preserve"> several factors, including the number of infectious tuberculosis cases notified each year and the number of large</w:t>
            </w:r>
            <w:r w:rsidR="00BC6523">
              <w:t>-</w:t>
            </w:r>
            <w:r w:rsidRPr="009261FD">
              <w:t>scale screenings required. COVID</w:t>
            </w:r>
            <w:r w:rsidR="00BC6523">
              <w:t>-19</w:t>
            </w:r>
            <w:r w:rsidRPr="009261FD">
              <w:t xml:space="preserve"> has also had an impact on the number of people screened.</w:t>
            </w:r>
          </w:p>
        </w:tc>
      </w:tr>
      <w:tr w:rsidR="0078495E" w:rsidRPr="00D02A2E" w14:paraId="24A26128" w14:textId="77777777" w:rsidTr="004C7BEF">
        <w:trPr>
          <w:cantSplit/>
        </w:trPr>
        <w:tc>
          <w:tcPr>
            <w:tcW w:w="4761" w:type="dxa"/>
            <w:tcBorders>
              <w:top w:val="single" w:sz="4" w:space="0" w:color="BFBFBF"/>
            </w:tcBorders>
            <w:shd w:val="clear" w:color="auto" w:fill="auto"/>
            <w:hideMark/>
          </w:tcPr>
          <w:p w14:paraId="29BB2E9E" w14:textId="77777777" w:rsidR="0078495E" w:rsidRPr="00D02A2E" w:rsidRDefault="0078495E" w:rsidP="004C7BEF">
            <w:pPr>
              <w:pStyle w:val="ARtabletext"/>
            </w:pPr>
            <w:r w:rsidRPr="009261FD">
              <w:t>Smoking cessation of Aboriginal mothers</w:t>
            </w:r>
          </w:p>
        </w:tc>
        <w:tc>
          <w:tcPr>
            <w:tcW w:w="1021" w:type="dxa"/>
            <w:tcBorders>
              <w:top w:val="single" w:sz="4" w:space="0" w:color="BFBFBF"/>
            </w:tcBorders>
            <w:shd w:val="clear" w:color="auto" w:fill="auto"/>
            <w:hideMark/>
          </w:tcPr>
          <w:p w14:paraId="0CF8397F" w14:textId="77777777" w:rsidR="0078495E" w:rsidRPr="00D02A2E" w:rsidRDefault="0078495E" w:rsidP="004C7BEF">
            <w:pPr>
              <w:pStyle w:val="ARtabletextcentre"/>
            </w:pPr>
            <w:r w:rsidRPr="009261FD">
              <w:t>per cent</w:t>
            </w:r>
          </w:p>
        </w:tc>
        <w:tc>
          <w:tcPr>
            <w:tcW w:w="1021" w:type="dxa"/>
            <w:tcBorders>
              <w:top w:val="single" w:sz="4" w:space="0" w:color="BFBFBF"/>
            </w:tcBorders>
            <w:shd w:val="clear" w:color="auto" w:fill="auto"/>
            <w:hideMark/>
          </w:tcPr>
          <w:p w14:paraId="29C2654D" w14:textId="77777777" w:rsidR="0078495E" w:rsidRDefault="0078495E" w:rsidP="004C7BEF">
            <w:pPr>
              <w:pStyle w:val="ARtabletextright"/>
            </w:pPr>
            <w:r w:rsidRPr="009261FD">
              <w:t>25.2</w:t>
            </w:r>
          </w:p>
        </w:tc>
        <w:tc>
          <w:tcPr>
            <w:tcW w:w="1021" w:type="dxa"/>
            <w:tcBorders>
              <w:top w:val="single" w:sz="4" w:space="0" w:color="BFBFBF"/>
            </w:tcBorders>
            <w:shd w:val="clear" w:color="auto" w:fill="auto"/>
            <w:hideMark/>
          </w:tcPr>
          <w:p w14:paraId="21B4FC3D" w14:textId="77777777" w:rsidR="0078495E" w:rsidRDefault="0078495E" w:rsidP="004C7BEF">
            <w:pPr>
              <w:pStyle w:val="ARtabletextright"/>
            </w:pPr>
            <w:r w:rsidRPr="009261FD">
              <w:t>23.2</w:t>
            </w:r>
          </w:p>
        </w:tc>
        <w:tc>
          <w:tcPr>
            <w:tcW w:w="1021" w:type="dxa"/>
            <w:tcBorders>
              <w:top w:val="single" w:sz="4" w:space="0" w:color="BFBFBF"/>
            </w:tcBorders>
            <w:shd w:val="clear" w:color="auto" w:fill="auto"/>
          </w:tcPr>
          <w:p w14:paraId="373D6BA7" w14:textId="77777777" w:rsidR="0078495E" w:rsidRDefault="0078495E" w:rsidP="004C7BEF">
            <w:pPr>
              <w:pStyle w:val="ARtabletextright"/>
            </w:pPr>
            <w:r w:rsidRPr="009261FD">
              <w:t>−7.9%</w:t>
            </w:r>
          </w:p>
        </w:tc>
        <w:tc>
          <w:tcPr>
            <w:tcW w:w="794" w:type="dxa"/>
            <w:tcBorders>
              <w:top w:val="single" w:sz="4" w:space="0" w:color="BFBFBF"/>
            </w:tcBorders>
            <w:shd w:val="clear" w:color="auto" w:fill="auto"/>
            <w:hideMark/>
          </w:tcPr>
          <w:p w14:paraId="4A57C80C" w14:textId="77777777" w:rsidR="0078495E" w:rsidRPr="00D02A2E" w:rsidRDefault="0078495E" w:rsidP="004C7BEF">
            <w:pPr>
              <w:pStyle w:val="ARtableperformancesymbol"/>
              <w:rPr>
                <w:rFonts w:hint="eastAsia"/>
              </w:rPr>
            </w:pPr>
            <w:r w:rsidRPr="009261FD">
              <w:t></w:t>
            </w:r>
          </w:p>
        </w:tc>
      </w:tr>
      <w:tr w:rsidR="0078495E" w:rsidRPr="00D02A2E" w14:paraId="3FA34041" w14:textId="77777777" w:rsidTr="004C7BEF">
        <w:trPr>
          <w:cantSplit/>
        </w:trPr>
        <w:tc>
          <w:tcPr>
            <w:tcW w:w="9639" w:type="dxa"/>
            <w:gridSpan w:val="6"/>
            <w:tcBorders>
              <w:bottom w:val="single" w:sz="4" w:space="0" w:color="auto"/>
            </w:tcBorders>
            <w:shd w:val="clear" w:color="auto" w:fill="auto"/>
            <w:noWrap/>
            <w:hideMark/>
          </w:tcPr>
          <w:p w14:paraId="04760B7C" w14:textId="4D8427FA" w:rsidR="0078495E" w:rsidRPr="00D02A2E" w:rsidRDefault="001106DE" w:rsidP="004C7BEF">
            <w:pPr>
              <w:pStyle w:val="ARtablenoteindent"/>
            </w:pPr>
            <w:r>
              <w:t xml:space="preserve">While the overall result is </w:t>
            </w:r>
            <w:r w:rsidR="00BC6523">
              <w:t>below target</w:t>
            </w:r>
            <w:r>
              <w:t>, the Quarter 4 result is better than the two previous quarters, which were 22.7 per cent and 22.5 per cent respectively.</w:t>
            </w:r>
          </w:p>
        </w:tc>
      </w:tr>
      <w:tr w:rsidR="0078495E" w:rsidRPr="00D02A2E" w14:paraId="0B2183B2" w14:textId="77777777" w:rsidTr="004C7BEF">
        <w:trPr>
          <w:cantSplit/>
        </w:trPr>
        <w:tc>
          <w:tcPr>
            <w:tcW w:w="9639" w:type="dxa"/>
            <w:gridSpan w:val="6"/>
            <w:tcBorders>
              <w:top w:val="single" w:sz="4" w:space="0" w:color="auto"/>
            </w:tcBorders>
            <w:shd w:val="clear" w:color="auto" w:fill="auto"/>
            <w:hideMark/>
          </w:tcPr>
          <w:p w14:paraId="74E4DDE5" w14:textId="77777777" w:rsidR="0078495E" w:rsidRPr="00D02A2E" w:rsidRDefault="0078495E" w:rsidP="004C7BEF">
            <w:pPr>
              <w:pStyle w:val="ARtablegreybold"/>
              <w:rPr>
                <w:rFonts w:ascii="Wingdings" w:hAnsi="Wingdings"/>
              </w:rPr>
            </w:pPr>
            <w:r>
              <w:t>Quality</w:t>
            </w:r>
          </w:p>
        </w:tc>
      </w:tr>
      <w:tr w:rsidR="0078495E" w:rsidRPr="00D02A2E" w14:paraId="2A4956FE" w14:textId="77777777" w:rsidTr="004C7BEF">
        <w:trPr>
          <w:cantSplit/>
        </w:trPr>
        <w:tc>
          <w:tcPr>
            <w:tcW w:w="4761" w:type="dxa"/>
            <w:tcBorders>
              <w:bottom w:val="single" w:sz="4" w:space="0" w:color="BFBFBF"/>
            </w:tcBorders>
            <w:shd w:val="clear" w:color="auto" w:fill="auto"/>
            <w:hideMark/>
          </w:tcPr>
          <w:p w14:paraId="1FC5ED8D" w14:textId="77777777" w:rsidR="0078495E" w:rsidRPr="00D02A2E" w:rsidRDefault="0078495E" w:rsidP="004C7BEF">
            <w:pPr>
              <w:pStyle w:val="ARtabletext"/>
            </w:pPr>
            <w:r w:rsidRPr="004C506E">
              <w:t>Calls to food safety hotlines that are answered</w:t>
            </w:r>
          </w:p>
        </w:tc>
        <w:tc>
          <w:tcPr>
            <w:tcW w:w="1021" w:type="dxa"/>
            <w:tcBorders>
              <w:bottom w:val="single" w:sz="4" w:space="0" w:color="BFBFBF"/>
            </w:tcBorders>
            <w:shd w:val="clear" w:color="auto" w:fill="auto"/>
            <w:hideMark/>
          </w:tcPr>
          <w:p w14:paraId="0737024F" w14:textId="77777777" w:rsidR="0078495E" w:rsidRPr="00D02A2E" w:rsidRDefault="0078495E" w:rsidP="004C7BEF">
            <w:pPr>
              <w:pStyle w:val="ARtabletextcentre"/>
            </w:pPr>
            <w:r w:rsidRPr="004C506E">
              <w:t>per cent</w:t>
            </w:r>
          </w:p>
        </w:tc>
        <w:tc>
          <w:tcPr>
            <w:tcW w:w="1021" w:type="dxa"/>
            <w:tcBorders>
              <w:bottom w:val="single" w:sz="4" w:space="0" w:color="BFBFBF"/>
            </w:tcBorders>
            <w:shd w:val="clear" w:color="auto" w:fill="auto"/>
            <w:hideMark/>
          </w:tcPr>
          <w:p w14:paraId="64603A22" w14:textId="77777777" w:rsidR="0078495E" w:rsidRDefault="0078495E" w:rsidP="004C7BEF">
            <w:pPr>
              <w:pStyle w:val="ARtabletextright"/>
            </w:pPr>
            <w:r w:rsidRPr="004C506E">
              <w:t>97</w:t>
            </w:r>
          </w:p>
        </w:tc>
        <w:tc>
          <w:tcPr>
            <w:tcW w:w="1021" w:type="dxa"/>
            <w:tcBorders>
              <w:bottom w:val="single" w:sz="4" w:space="0" w:color="BFBFBF"/>
            </w:tcBorders>
            <w:shd w:val="clear" w:color="auto" w:fill="auto"/>
            <w:hideMark/>
          </w:tcPr>
          <w:p w14:paraId="5AA31559" w14:textId="77777777" w:rsidR="0078495E" w:rsidRDefault="0078495E" w:rsidP="004C7BEF">
            <w:pPr>
              <w:pStyle w:val="ARtabletextright"/>
            </w:pPr>
            <w:r w:rsidRPr="004C506E">
              <w:t>99.3</w:t>
            </w:r>
          </w:p>
        </w:tc>
        <w:tc>
          <w:tcPr>
            <w:tcW w:w="1021" w:type="dxa"/>
            <w:tcBorders>
              <w:bottom w:val="single" w:sz="4" w:space="0" w:color="BFBFBF"/>
            </w:tcBorders>
            <w:shd w:val="clear" w:color="auto" w:fill="auto"/>
          </w:tcPr>
          <w:p w14:paraId="3D76DFDC" w14:textId="77777777" w:rsidR="0078495E" w:rsidRDefault="0078495E" w:rsidP="004C7BEF">
            <w:pPr>
              <w:pStyle w:val="ARtabletextright"/>
            </w:pPr>
            <w:r w:rsidRPr="004C506E">
              <w:t>2.4%</w:t>
            </w:r>
          </w:p>
        </w:tc>
        <w:tc>
          <w:tcPr>
            <w:tcW w:w="794" w:type="dxa"/>
            <w:tcBorders>
              <w:bottom w:val="single" w:sz="4" w:space="0" w:color="BFBFBF"/>
            </w:tcBorders>
            <w:shd w:val="clear" w:color="auto" w:fill="auto"/>
            <w:hideMark/>
          </w:tcPr>
          <w:p w14:paraId="1476BD50" w14:textId="77777777" w:rsidR="0078495E" w:rsidRPr="00D02A2E" w:rsidRDefault="0078495E" w:rsidP="004C7BEF">
            <w:pPr>
              <w:pStyle w:val="ARtableperformancesymbol"/>
              <w:rPr>
                <w:rFonts w:hint="eastAsia"/>
              </w:rPr>
            </w:pPr>
            <w:r w:rsidRPr="004C506E">
              <w:t></w:t>
            </w:r>
          </w:p>
        </w:tc>
      </w:tr>
      <w:tr w:rsidR="0078495E" w:rsidRPr="00D02A2E" w14:paraId="5B812457" w14:textId="77777777" w:rsidTr="004C7BEF">
        <w:trPr>
          <w:cantSplit/>
        </w:trPr>
        <w:tc>
          <w:tcPr>
            <w:tcW w:w="4761" w:type="dxa"/>
            <w:tcBorders>
              <w:top w:val="single" w:sz="4" w:space="0" w:color="BFBFBF"/>
            </w:tcBorders>
            <w:shd w:val="clear" w:color="auto" w:fill="auto"/>
            <w:hideMark/>
          </w:tcPr>
          <w:p w14:paraId="5A9B1933" w14:textId="77777777" w:rsidR="0078495E" w:rsidRPr="00D02A2E" w:rsidRDefault="0078495E" w:rsidP="004C7BEF">
            <w:pPr>
              <w:pStyle w:val="ARtabletext"/>
            </w:pPr>
            <w:r w:rsidRPr="004C506E">
              <w:t>Immunisation coverage – adolescent (Year 7) students fully immunised for DTPa (diphtheria, tetanus and pertussis)</w:t>
            </w:r>
          </w:p>
        </w:tc>
        <w:tc>
          <w:tcPr>
            <w:tcW w:w="1021" w:type="dxa"/>
            <w:tcBorders>
              <w:top w:val="single" w:sz="4" w:space="0" w:color="BFBFBF"/>
            </w:tcBorders>
            <w:shd w:val="clear" w:color="auto" w:fill="auto"/>
            <w:hideMark/>
          </w:tcPr>
          <w:p w14:paraId="0B22ABF2" w14:textId="77777777" w:rsidR="0078495E" w:rsidRPr="00D02A2E" w:rsidRDefault="0078495E" w:rsidP="004C7BEF">
            <w:pPr>
              <w:pStyle w:val="ARtabletextcentre"/>
            </w:pPr>
            <w:r w:rsidRPr="004C506E">
              <w:t>per cent</w:t>
            </w:r>
          </w:p>
        </w:tc>
        <w:tc>
          <w:tcPr>
            <w:tcW w:w="1021" w:type="dxa"/>
            <w:tcBorders>
              <w:top w:val="single" w:sz="4" w:space="0" w:color="BFBFBF"/>
            </w:tcBorders>
            <w:shd w:val="clear" w:color="auto" w:fill="auto"/>
            <w:hideMark/>
          </w:tcPr>
          <w:p w14:paraId="4C2B2467" w14:textId="77777777" w:rsidR="0078495E" w:rsidRDefault="0078495E" w:rsidP="004C7BEF">
            <w:pPr>
              <w:pStyle w:val="ARtabletextright"/>
            </w:pPr>
            <w:r w:rsidRPr="004C506E">
              <w:t>90</w:t>
            </w:r>
          </w:p>
        </w:tc>
        <w:tc>
          <w:tcPr>
            <w:tcW w:w="1021" w:type="dxa"/>
            <w:tcBorders>
              <w:top w:val="single" w:sz="4" w:space="0" w:color="BFBFBF"/>
            </w:tcBorders>
            <w:shd w:val="clear" w:color="auto" w:fill="auto"/>
            <w:hideMark/>
          </w:tcPr>
          <w:p w14:paraId="2E2053D1" w14:textId="5AB8918F" w:rsidR="0078495E" w:rsidRDefault="004875D9" w:rsidP="004C7BEF">
            <w:pPr>
              <w:pStyle w:val="ARtabletextright"/>
            </w:pPr>
            <w:r>
              <w:t>N</w:t>
            </w:r>
            <w:r w:rsidR="000B0872">
              <w:t>/A</w:t>
            </w:r>
          </w:p>
        </w:tc>
        <w:tc>
          <w:tcPr>
            <w:tcW w:w="1021" w:type="dxa"/>
            <w:tcBorders>
              <w:top w:val="single" w:sz="4" w:space="0" w:color="BFBFBF"/>
            </w:tcBorders>
            <w:shd w:val="clear" w:color="auto" w:fill="auto"/>
          </w:tcPr>
          <w:p w14:paraId="293C4EF2" w14:textId="77777777" w:rsidR="0078495E" w:rsidRDefault="0078495E" w:rsidP="004C7BEF">
            <w:pPr>
              <w:pStyle w:val="ARtabletextright"/>
            </w:pPr>
            <w:r w:rsidRPr="004C506E">
              <w:t>N/A</w:t>
            </w:r>
          </w:p>
        </w:tc>
        <w:tc>
          <w:tcPr>
            <w:tcW w:w="794" w:type="dxa"/>
            <w:tcBorders>
              <w:top w:val="single" w:sz="4" w:space="0" w:color="BFBFBF"/>
            </w:tcBorders>
            <w:shd w:val="clear" w:color="auto" w:fill="auto"/>
            <w:hideMark/>
          </w:tcPr>
          <w:p w14:paraId="09AD6179" w14:textId="37A51F5B" w:rsidR="0078495E" w:rsidRPr="0007232B" w:rsidRDefault="0007232B" w:rsidP="004C7BEF">
            <w:pPr>
              <w:pStyle w:val="ARtableperformancesymbol"/>
              <w:rPr>
                <w:rFonts w:ascii="Arial" w:hAnsi="Arial" w:cs="Arial"/>
                <w:lang w:val="en-AU"/>
              </w:rPr>
            </w:pPr>
            <w:r>
              <w:rPr>
                <w:rFonts w:ascii="Arial" w:hAnsi="Arial" w:cs="Arial"/>
                <w:lang w:val="en-AU"/>
              </w:rPr>
              <w:t>N/A</w:t>
            </w:r>
          </w:p>
        </w:tc>
      </w:tr>
      <w:tr w:rsidR="0078495E" w:rsidRPr="00D02A2E" w14:paraId="5855D4E5" w14:textId="77777777" w:rsidTr="004C7BEF">
        <w:trPr>
          <w:cantSplit/>
        </w:trPr>
        <w:tc>
          <w:tcPr>
            <w:tcW w:w="9639" w:type="dxa"/>
            <w:gridSpan w:val="6"/>
            <w:tcBorders>
              <w:bottom w:val="single" w:sz="4" w:space="0" w:color="BFBFBF"/>
            </w:tcBorders>
            <w:shd w:val="clear" w:color="auto" w:fill="auto"/>
            <w:noWrap/>
            <w:hideMark/>
          </w:tcPr>
          <w:p w14:paraId="045BFF17" w14:textId="77777777" w:rsidR="0078495E" w:rsidRPr="00D02A2E" w:rsidRDefault="0078495E" w:rsidP="004C7BEF">
            <w:pPr>
              <w:pStyle w:val="ARtablenoteindent"/>
            </w:pPr>
            <w:r w:rsidRPr="004C506E">
              <w:t>This target can no longer be measured. Previously this target was measured by asking local council immunisation services to report numbers of returned consent cards. However, this has not occurred in the past two years due to COVID-19 restrictions.</w:t>
            </w:r>
          </w:p>
        </w:tc>
      </w:tr>
      <w:tr w:rsidR="0078495E" w:rsidRPr="00D02A2E" w14:paraId="4E4F227F" w14:textId="77777777" w:rsidTr="004C7BEF">
        <w:trPr>
          <w:cantSplit/>
        </w:trPr>
        <w:tc>
          <w:tcPr>
            <w:tcW w:w="4761" w:type="dxa"/>
            <w:tcBorders>
              <w:top w:val="single" w:sz="4" w:space="0" w:color="BFBFBF"/>
              <w:bottom w:val="single" w:sz="4" w:space="0" w:color="BFBFBF"/>
            </w:tcBorders>
            <w:shd w:val="clear" w:color="auto" w:fill="auto"/>
            <w:hideMark/>
          </w:tcPr>
          <w:p w14:paraId="6FD5303A" w14:textId="77777777" w:rsidR="0078495E" w:rsidRPr="00D02A2E" w:rsidRDefault="0078495E" w:rsidP="004C7BEF">
            <w:pPr>
              <w:pStyle w:val="ARtabletext"/>
            </w:pPr>
            <w:r w:rsidRPr="004C506E">
              <w:t>Immunisation coverage – At school entry</w:t>
            </w:r>
          </w:p>
        </w:tc>
        <w:tc>
          <w:tcPr>
            <w:tcW w:w="1021" w:type="dxa"/>
            <w:tcBorders>
              <w:top w:val="single" w:sz="4" w:space="0" w:color="BFBFBF"/>
              <w:bottom w:val="single" w:sz="4" w:space="0" w:color="BFBFBF"/>
            </w:tcBorders>
            <w:shd w:val="clear" w:color="auto" w:fill="auto"/>
            <w:hideMark/>
          </w:tcPr>
          <w:p w14:paraId="60A81582" w14:textId="77777777" w:rsidR="0078495E" w:rsidRPr="00D02A2E" w:rsidRDefault="0078495E" w:rsidP="004C7BEF">
            <w:pPr>
              <w:pStyle w:val="ARtabletextcentre"/>
            </w:pPr>
            <w:r w:rsidRPr="004C506E">
              <w:t>per cent</w:t>
            </w:r>
          </w:p>
        </w:tc>
        <w:tc>
          <w:tcPr>
            <w:tcW w:w="1021" w:type="dxa"/>
            <w:tcBorders>
              <w:top w:val="single" w:sz="4" w:space="0" w:color="BFBFBF"/>
              <w:bottom w:val="single" w:sz="4" w:space="0" w:color="BFBFBF"/>
            </w:tcBorders>
            <w:shd w:val="clear" w:color="auto" w:fill="auto"/>
            <w:hideMark/>
          </w:tcPr>
          <w:p w14:paraId="2B4E0068" w14:textId="77777777" w:rsidR="0078495E" w:rsidRDefault="0078495E" w:rsidP="004C7BEF">
            <w:pPr>
              <w:pStyle w:val="ARtabletextright"/>
            </w:pPr>
            <w:r w:rsidRPr="004C506E">
              <w:t>95</w:t>
            </w:r>
          </w:p>
        </w:tc>
        <w:tc>
          <w:tcPr>
            <w:tcW w:w="1021" w:type="dxa"/>
            <w:tcBorders>
              <w:top w:val="single" w:sz="4" w:space="0" w:color="BFBFBF"/>
              <w:bottom w:val="single" w:sz="4" w:space="0" w:color="BFBFBF"/>
            </w:tcBorders>
            <w:shd w:val="clear" w:color="auto" w:fill="auto"/>
            <w:hideMark/>
          </w:tcPr>
          <w:p w14:paraId="6A726A00" w14:textId="77777777" w:rsidR="0078495E" w:rsidRDefault="0078495E" w:rsidP="004C7BEF">
            <w:pPr>
              <w:pStyle w:val="ARtabletextright"/>
            </w:pPr>
            <w:r w:rsidRPr="004C506E">
              <w:t>95</w:t>
            </w:r>
          </w:p>
        </w:tc>
        <w:tc>
          <w:tcPr>
            <w:tcW w:w="1021" w:type="dxa"/>
            <w:tcBorders>
              <w:top w:val="single" w:sz="4" w:space="0" w:color="BFBFBF"/>
              <w:bottom w:val="single" w:sz="4" w:space="0" w:color="BFBFBF"/>
            </w:tcBorders>
            <w:shd w:val="clear" w:color="auto" w:fill="auto"/>
          </w:tcPr>
          <w:p w14:paraId="42596222" w14:textId="77777777" w:rsidR="0078495E" w:rsidRDefault="0078495E" w:rsidP="004C7BEF">
            <w:pPr>
              <w:pStyle w:val="ARtabletextright"/>
            </w:pPr>
            <w:r w:rsidRPr="004C506E">
              <w:t>0.0%</w:t>
            </w:r>
          </w:p>
        </w:tc>
        <w:tc>
          <w:tcPr>
            <w:tcW w:w="794" w:type="dxa"/>
            <w:tcBorders>
              <w:top w:val="single" w:sz="4" w:space="0" w:color="BFBFBF"/>
              <w:bottom w:val="single" w:sz="4" w:space="0" w:color="BFBFBF"/>
            </w:tcBorders>
            <w:shd w:val="clear" w:color="auto" w:fill="auto"/>
            <w:hideMark/>
          </w:tcPr>
          <w:p w14:paraId="7A168DE9" w14:textId="77777777" w:rsidR="0078495E" w:rsidRPr="00D02A2E" w:rsidRDefault="0078495E" w:rsidP="004C7BEF">
            <w:pPr>
              <w:pStyle w:val="ARtableperformancesymbol"/>
              <w:rPr>
                <w:rFonts w:hint="eastAsia"/>
              </w:rPr>
            </w:pPr>
            <w:r w:rsidRPr="004C506E">
              <w:t></w:t>
            </w:r>
          </w:p>
        </w:tc>
      </w:tr>
      <w:tr w:rsidR="0078495E" w:rsidRPr="00D02A2E" w14:paraId="1744FCF3" w14:textId="77777777" w:rsidTr="004C7BEF">
        <w:trPr>
          <w:cantSplit/>
        </w:trPr>
        <w:tc>
          <w:tcPr>
            <w:tcW w:w="4761" w:type="dxa"/>
            <w:tcBorders>
              <w:top w:val="single" w:sz="4" w:space="0" w:color="BFBFBF"/>
              <w:bottom w:val="single" w:sz="4" w:space="0" w:color="BFBFBF"/>
            </w:tcBorders>
            <w:shd w:val="clear" w:color="auto" w:fill="auto"/>
            <w:hideMark/>
          </w:tcPr>
          <w:p w14:paraId="4CEB4FE8" w14:textId="77777777" w:rsidR="0078495E" w:rsidRPr="00D02A2E" w:rsidRDefault="0078495E" w:rsidP="004C7BEF">
            <w:pPr>
              <w:pStyle w:val="ARtabletext"/>
            </w:pPr>
            <w:r w:rsidRPr="004C506E">
              <w:t>Immunisation coverage – At two years of age</w:t>
            </w:r>
          </w:p>
        </w:tc>
        <w:tc>
          <w:tcPr>
            <w:tcW w:w="1021" w:type="dxa"/>
            <w:tcBorders>
              <w:top w:val="single" w:sz="4" w:space="0" w:color="BFBFBF"/>
              <w:bottom w:val="single" w:sz="4" w:space="0" w:color="BFBFBF"/>
            </w:tcBorders>
            <w:shd w:val="clear" w:color="auto" w:fill="auto"/>
            <w:hideMark/>
          </w:tcPr>
          <w:p w14:paraId="7A655517" w14:textId="77777777" w:rsidR="0078495E" w:rsidRPr="00D02A2E" w:rsidRDefault="0078495E" w:rsidP="004C7BEF">
            <w:pPr>
              <w:pStyle w:val="ARtabletextcentre"/>
            </w:pPr>
            <w:r w:rsidRPr="004C506E">
              <w:t>per cent</w:t>
            </w:r>
          </w:p>
        </w:tc>
        <w:tc>
          <w:tcPr>
            <w:tcW w:w="1021" w:type="dxa"/>
            <w:tcBorders>
              <w:top w:val="single" w:sz="4" w:space="0" w:color="BFBFBF"/>
              <w:bottom w:val="single" w:sz="4" w:space="0" w:color="BFBFBF"/>
            </w:tcBorders>
            <w:shd w:val="clear" w:color="auto" w:fill="auto"/>
            <w:hideMark/>
          </w:tcPr>
          <w:p w14:paraId="1C7E3D15" w14:textId="77777777" w:rsidR="0078495E" w:rsidRDefault="0078495E" w:rsidP="004C7BEF">
            <w:pPr>
              <w:pStyle w:val="ARtabletextright"/>
            </w:pPr>
            <w:r w:rsidRPr="004C506E">
              <w:t>95</w:t>
            </w:r>
          </w:p>
        </w:tc>
        <w:tc>
          <w:tcPr>
            <w:tcW w:w="1021" w:type="dxa"/>
            <w:tcBorders>
              <w:top w:val="single" w:sz="4" w:space="0" w:color="BFBFBF"/>
              <w:bottom w:val="single" w:sz="4" w:space="0" w:color="BFBFBF"/>
            </w:tcBorders>
            <w:shd w:val="clear" w:color="auto" w:fill="auto"/>
            <w:hideMark/>
          </w:tcPr>
          <w:p w14:paraId="31FA0D7F" w14:textId="77777777" w:rsidR="0078495E" w:rsidRDefault="0078495E" w:rsidP="004C7BEF">
            <w:pPr>
              <w:pStyle w:val="ARtabletextright"/>
            </w:pPr>
            <w:r w:rsidRPr="004C506E">
              <w:t>93</w:t>
            </w:r>
          </w:p>
        </w:tc>
        <w:tc>
          <w:tcPr>
            <w:tcW w:w="1021" w:type="dxa"/>
            <w:tcBorders>
              <w:top w:val="single" w:sz="4" w:space="0" w:color="BFBFBF"/>
              <w:bottom w:val="single" w:sz="4" w:space="0" w:color="BFBFBF"/>
            </w:tcBorders>
            <w:shd w:val="clear" w:color="auto" w:fill="auto"/>
          </w:tcPr>
          <w:p w14:paraId="60E483D2" w14:textId="77777777" w:rsidR="0078495E" w:rsidRDefault="0078495E" w:rsidP="004C7BEF">
            <w:pPr>
              <w:pStyle w:val="ARtabletextright"/>
            </w:pPr>
            <w:r w:rsidRPr="004C506E">
              <w:t>−2.1%</w:t>
            </w:r>
          </w:p>
        </w:tc>
        <w:tc>
          <w:tcPr>
            <w:tcW w:w="794" w:type="dxa"/>
            <w:tcBorders>
              <w:top w:val="single" w:sz="4" w:space="0" w:color="BFBFBF"/>
              <w:bottom w:val="single" w:sz="4" w:space="0" w:color="BFBFBF"/>
            </w:tcBorders>
            <w:shd w:val="clear" w:color="auto" w:fill="auto"/>
            <w:hideMark/>
          </w:tcPr>
          <w:p w14:paraId="39A20274" w14:textId="77777777" w:rsidR="0078495E" w:rsidRPr="00D02A2E" w:rsidRDefault="0078495E" w:rsidP="004C7BEF">
            <w:pPr>
              <w:pStyle w:val="ARtableperformancesymbol"/>
              <w:rPr>
                <w:rFonts w:hint="eastAsia"/>
              </w:rPr>
            </w:pPr>
            <w:r w:rsidRPr="004C506E">
              <w:t></w:t>
            </w:r>
          </w:p>
        </w:tc>
      </w:tr>
      <w:tr w:rsidR="0078495E" w:rsidRPr="00D02A2E" w14:paraId="67C7EB1D" w14:textId="77777777" w:rsidTr="004C7BEF">
        <w:trPr>
          <w:cantSplit/>
        </w:trPr>
        <w:tc>
          <w:tcPr>
            <w:tcW w:w="4761" w:type="dxa"/>
            <w:tcBorders>
              <w:top w:val="single" w:sz="4" w:space="0" w:color="BFBFBF"/>
              <w:bottom w:val="single" w:sz="4" w:space="0" w:color="BFBFBF"/>
            </w:tcBorders>
            <w:shd w:val="clear" w:color="auto" w:fill="auto"/>
            <w:hideMark/>
          </w:tcPr>
          <w:p w14:paraId="4CA8C3D4" w14:textId="77777777" w:rsidR="0078495E" w:rsidRPr="00D02A2E" w:rsidRDefault="0078495E" w:rsidP="004C7BEF">
            <w:pPr>
              <w:pStyle w:val="ARtabletext"/>
            </w:pPr>
            <w:r w:rsidRPr="004C506E">
              <w:t>Public health emergency response calls dealt with within designated plans and procedure timelines</w:t>
            </w:r>
          </w:p>
        </w:tc>
        <w:tc>
          <w:tcPr>
            <w:tcW w:w="1021" w:type="dxa"/>
            <w:tcBorders>
              <w:top w:val="single" w:sz="4" w:space="0" w:color="BFBFBF"/>
              <w:bottom w:val="single" w:sz="4" w:space="0" w:color="BFBFBF"/>
            </w:tcBorders>
            <w:shd w:val="clear" w:color="auto" w:fill="auto"/>
            <w:hideMark/>
          </w:tcPr>
          <w:p w14:paraId="016D75C9" w14:textId="77777777" w:rsidR="0078495E" w:rsidRPr="00D02A2E" w:rsidRDefault="0078495E" w:rsidP="004C7BEF">
            <w:pPr>
              <w:pStyle w:val="ARtabletextcentre"/>
            </w:pPr>
            <w:r w:rsidRPr="004C506E">
              <w:t>per cent</w:t>
            </w:r>
          </w:p>
        </w:tc>
        <w:tc>
          <w:tcPr>
            <w:tcW w:w="1021" w:type="dxa"/>
            <w:tcBorders>
              <w:top w:val="single" w:sz="4" w:space="0" w:color="BFBFBF"/>
              <w:bottom w:val="single" w:sz="4" w:space="0" w:color="BFBFBF"/>
            </w:tcBorders>
            <w:shd w:val="clear" w:color="auto" w:fill="auto"/>
            <w:hideMark/>
          </w:tcPr>
          <w:p w14:paraId="5F4C445C" w14:textId="77777777" w:rsidR="0078495E" w:rsidRDefault="0078495E" w:rsidP="004C7BEF">
            <w:pPr>
              <w:pStyle w:val="ARtabletextright"/>
            </w:pPr>
            <w:r w:rsidRPr="004C506E">
              <w:t>100</w:t>
            </w:r>
          </w:p>
        </w:tc>
        <w:tc>
          <w:tcPr>
            <w:tcW w:w="1021" w:type="dxa"/>
            <w:tcBorders>
              <w:top w:val="single" w:sz="4" w:space="0" w:color="BFBFBF"/>
              <w:bottom w:val="single" w:sz="4" w:space="0" w:color="BFBFBF"/>
            </w:tcBorders>
            <w:shd w:val="clear" w:color="auto" w:fill="auto"/>
            <w:hideMark/>
          </w:tcPr>
          <w:p w14:paraId="0BE75AF0" w14:textId="77777777" w:rsidR="0078495E" w:rsidRDefault="0078495E" w:rsidP="004C7BEF">
            <w:pPr>
              <w:pStyle w:val="ARtabletextright"/>
            </w:pPr>
            <w:r w:rsidRPr="004C506E">
              <w:t>100</w:t>
            </w:r>
          </w:p>
        </w:tc>
        <w:tc>
          <w:tcPr>
            <w:tcW w:w="1021" w:type="dxa"/>
            <w:tcBorders>
              <w:top w:val="single" w:sz="4" w:space="0" w:color="BFBFBF"/>
              <w:bottom w:val="single" w:sz="4" w:space="0" w:color="BFBFBF"/>
            </w:tcBorders>
            <w:shd w:val="clear" w:color="auto" w:fill="auto"/>
          </w:tcPr>
          <w:p w14:paraId="45985C24" w14:textId="77777777" w:rsidR="0078495E" w:rsidRDefault="0078495E" w:rsidP="004C7BEF">
            <w:pPr>
              <w:pStyle w:val="ARtabletextright"/>
            </w:pPr>
            <w:r w:rsidRPr="004C506E">
              <w:t>0.0%</w:t>
            </w:r>
          </w:p>
        </w:tc>
        <w:tc>
          <w:tcPr>
            <w:tcW w:w="794" w:type="dxa"/>
            <w:tcBorders>
              <w:top w:val="single" w:sz="4" w:space="0" w:color="BFBFBF"/>
              <w:bottom w:val="single" w:sz="4" w:space="0" w:color="BFBFBF"/>
            </w:tcBorders>
            <w:shd w:val="clear" w:color="auto" w:fill="auto"/>
            <w:hideMark/>
          </w:tcPr>
          <w:p w14:paraId="01139857" w14:textId="77777777" w:rsidR="0078495E" w:rsidRPr="00D02A2E" w:rsidRDefault="0078495E" w:rsidP="004C7BEF">
            <w:pPr>
              <w:pStyle w:val="ARtableperformancesymbol"/>
              <w:rPr>
                <w:rFonts w:hint="eastAsia"/>
              </w:rPr>
            </w:pPr>
            <w:r w:rsidRPr="004C506E">
              <w:t></w:t>
            </w:r>
          </w:p>
        </w:tc>
      </w:tr>
      <w:tr w:rsidR="0078495E" w:rsidRPr="00D02A2E" w14:paraId="6ADA835E" w14:textId="77777777" w:rsidTr="004C7BEF">
        <w:trPr>
          <w:cantSplit/>
        </w:trPr>
        <w:tc>
          <w:tcPr>
            <w:tcW w:w="9639" w:type="dxa"/>
            <w:gridSpan w:val="6"/>
            <w:tcBorders>
              <w:top w:val="single" w:sz="4" w:space="0" w:color="auto"/>
            </w:tcBorders>
            <w:shd w:val="clear" w:color="auto" w:fill="auto"/>
            <w:hideMark/>
          </w:tcPr>
          <w:p w14:paraId="7B93A980" w14:textId="77777777" w:rsidR="0078495E" w:rsidRPr="00D02A2E" w:rsidRDefault="0078495E" w:rsidP="004C7BEF">
            <w:pPr>
              <w:pStyle w:val="ARtablegreybold"/>
              <w:rPr>
                <w:rFonts w:ascii="Wingdings" w:hAnsi="Wingdings"/>
              </w:rPr>
            </w:pPr>
            <w:r>
              <w:t>Timeliness</w:t>
            </w:r>
          </w:p>
        </w:tc>
      </w:tr>
      <w:tr w:rsidR="0078495E" w:rsidRPr="00D02A2E" w14:paraId="05DB02E4" w14:textId="77777777" w:rsidTr="004C7BEF">
        <w:trPr>
          <w:cantSplit/>
        </w:trPr>
        <w:tc>
          <w:tcPr>
            <w:tcW w:w="4761" w:type="dxa"/>
            <w:tcBorders>
              <w:bottom w:val="single" w:sz="4" w:space="0" w:color="BFBFBF"/>
            </w:tcBorders>
            <w:shd w:val="clear" w:color="auto" w:fill="auto"/>
            <w:hideMark/>
          </w:tcPr>
          <w:p w14:paraId="5BEE8E54" w14:textId="77777777" w:rsidR="0078495E" w:rsidRPr="00D02A2E" w:rsidRDefault="0078495E" w:rsidP="004C7BEF">
            <w:pPr>
              <w:pStyle w:val="ARtabletext"/>
            </w:pPr>
            <w:r w:rsidRPr="00987648">
              <w:t>Percentage of food recalls acted upon within 24 hours of notification</w:t>
            </w:r>
          </w:p>
        </w:tc>
        <w:tc>
          <w:tcPr>
            <w:tcW w:w="1021" w:type="dxa"/>
            <w:tcBorders>
              <w:bottom w:val="single" w:sz="4" w:space="0" w:color="BFBFBF"/>
            </w:tcBorders>
            <w:shd w:val="clear" w:color="auto" w:fill="auto"/>
            <w:hideMark/>
          </w:tcPr>
          <w:p w14:paraId="69D71CFB" w14:textId="77777777" w:rsidR="0078495E" w:rsidRPr="00D02A2E" w:rsidRDefault="0078495E" w:rsidP="004C7BEF">
            <w:pPr>
              <w:pStyle w:val="ARtabletextcentre"/>
            </w:pPr>
            <w:r w:rsidRPr="00987648">
              <w:t>per cent</w:t>
            </w:r>
          </w:p>
        </w:tc>
        <w:tc>
          <w:tcPr>
            <w:tcW w:w="1021" w:type="dxa"/>
            <w:tcBorders>
              <w:bottom w:val="single" w:sz="4" w:space="0" w:color="BFBFBF"/>
            </w:tcBorders>
            <w:shd w:val="clear" w:color="auto" w:fill="auto"/>
            <w:hideMark/>
          </w:tcPr>
          <w:p w14:paraId="7C7FBBAC" w14:textId="77777777" w:rsidR="0078495E" w:rsidRDefault="0078495E" w:rsidP="004C7BEF">
            <w:pPr>
              <w:pStyle w:val="ARtabletextright"/>
            </w:pPr>
            <w:r w:rsidRPr="00987648">
              <w:t>97</w:t>
            </w:r>
          </w:p>
        </w:tc>
        <w:tc>
          <w:tcPr>
            <w:tcW w:w="1021" w:type="dxa"/>
            <w:tcBorders>
              <w:bottom w:val="single" w:sz="4" w:space="0" w:color="BFBFBF"/>
            </w:tcBorders>
            <w:shd w:val="clear" w:color="auto" w:fill="auto"/>
            <w:hideMark/>
          </w:tcPr>
          <w:p w14:paraId="4B4FA44E" w14:textId="77777777" w:rsidR="0078495E" w:rsidRDefault="0078495E" w:rsidP="004C7BEF">
            <w:pPr>
              <w:pStyle w:val="ARtabletextright"/>
            </w:pPr>
            <w:r w:rsidRPr="00987648">
              <w:t>100</w:t>
            </w:r>
          </w:p>
        </w:tc>
        <w:tc>
          <w:tcPr>
            <w:tcW w:w="1021" w:type="dxa"/>
            <w:tcBorders>
              <w:bottom w:val="single" w:sz="4" w:space="0" w:color="BFBFBF"/>
            </w:tcBorders>
            <w:shd w:val="clear" w:color="auto" w:fill="auto"/>
          </w:tcPr>
          <w:p w14:paraId="495F10B0" w14:textId="77777777" w:rsidR="0078495E" w:rsidRDefault="0078495E" w:rsidP="004C7BEF">
            <w:pPr>
              <w:pStyle w:val="ARtabletextright"/>
            </w:pPr>
            <w:r w:rsidRPr="00987648">
              <w:t>3.1%</w:t>
            </w:r>
          </w:p>
        </w:tc>
        <w:tc>
          <w:tcPr>
            <w:tcW w:w="794" w:type="dxa"/>
            <w:tcBorders>
              <w:bottom w:val="single" w:sz="4" w:space="0" w:color="BFBFBF"/>
            </w:tcBorders>
            <w:shd w:val="clear" w:color="auto" w:fill="auto"/>
            <w:hideMark/>
          </w:tcPr>
          <w:p w14:paraId="5F100D4C" w14:textId="77777777" w:rsidR="0078495E" w:rsidRPr="00D02A2E" w:rsidRDefault="0078495E" w:rsidP="004C7BEF">
            <w:pPr>
              <w:pStyle w:val="ARtableperformancesymbol"/>
              <w:rPr>
                <w:rFonts w:hint="eastAsia"/>
              </w:rPr>
            </w:pPr>
            <w:r w:rsidRPr="00987648">
              <w:t></w:t>
            </w:r>
          </w:p>
        </w:tc>
      </w:tr>
      <w:tr w:rsidR="0078495E" w:rsidRPr="00D02A2E" w14:paraId="379E0313" w14:textId="77777777" w:rsidTr="004C7BEF">
        <w:trPr>
          <w:cantSplit/>
        </w:trPr>
        <w:tc>
          <w:tcPr>
            <w:tcW w:w="4761" w:type="dxa"/>
            <w:tcBorders>
              <w:top w:val="single" w:sz="4" w:space="0" w:color="BFBFBF"/>
              <w:bottom w:val="single" w:sz="4" w:space="0" w:color="BFBFBF"/>
            </w:tcBorders>
            <w:shd w:val="clear" w:color="auto" w:fill="auto"/>
            <w:hideMark/>
          </w:tcPr>
          <w:p w14:paraId="3E0A95FB" w14:textId="77777777" w:rsidR="0078495E" w:rsidRPr="00D02A2E" w:rsidRDefault="0078495E" w:rsidP="004C7BEF">
            <w:pPr>
              <w:pStyle w:val="ARtabletext"/>
            </w:pPr>
            <w:r w:rsidRPr="00987648">
              <w:t>Infectious disease outbreaks responded to within 24 hours</w:t>
            </w:r>
          </w:p>
        </w:tc>
        <w:tc>
          <w:tcPr>
            <w:tcW w:w="1021" w:type="dxa"/>
            <w:tcBorders>
              <w:top w:val="single" w:sz="4" w:space="0" w:color="BFBFBF"/>
              <w:bottom w:val="single" w:sz="4" w:space="0" w:color="BFBFBF"/>
            </w:tcBorders>
            <w:shd w:val="clear" w:color="auto" w:fill="auto"/>
            <w:hideMark/>
          </w:tcPr>
          <w:p w14:paraId="37289E05" w14:textId="77777777" w:rsidR="0078495E" w:rsidRPr="00D02A2E" w:rsidRDefault="0078495E" w:rsidP="004C7BEF">
            <w:pPr>
              <w:pStyle w:val="ARtabletextcentre"/>
            </w:pPr>
            <w:r w:rsidRPr="00987648">
              <w:t>per cent</w:t>
            </w:r>
          </w:p>
        </w:tc>
        <w:tc>
          <w:tcPr>
            <w:tcW w:w="1021" w:type="dxa"/>
            <w:tcBorders>
              <w:top w:val="single" w:sz="4" w:space="0" w:color="BFBFBF"/>
              <w:bottom w:val="single" w:sz="4" w:space="0" w:color="BFBFBF"/>
            </w:tcBorders>
            <w:shd w:val="clear" w:color="auto" w:fill="auto"/>
            <w:hideMark/>
          </w:tcPr>
          <w:p w14:paraId="2C42E582" w14:textId="77777777" w:rsidR="0078495E" w:rsidRDefault="0078495E" w:rsidP="004C7BEF">
            <w:pPr>
              <w:pStyle w:val="ARtabletextright"/>
            </w:pPr>
            <w:r w:rsidRPr="00987648">
              <w:t>100</w:t>
            </w:r>
          </w:p>
        </w:tc>
        <w:tc>
          <w:tcPr>
            <w:tcW w:w="1021" w:type="dxa"/>
            <w:tcBorders>
              <w:top w:val="single" w:sz="4" w:space="0" w:color="BFBFBF"/>
              <w:bottom w:val="single" w:sz="4" w:space="0" w:color="BFBFBF"/>
            </w:tcBorders>
            <w:shd w:val="clear" w:color="auto" w:fill="auto"/>
            <w:hideMark/>
          </w:tcPr>
          <w:p w14:paraId="1D6B6ED7" w14:textId="77777777" w:rsidR="0078495E" w:rsidRDefault="0078495E" w:rsidP="004C7BEF">
            <w:pPr>
              <w:pStyle w:val="ARtabletextright"/>
            </w:pPr>
            <w:r w:rsidRPr="00987648">
              <w:t>100</w:t>
            </w:r>
          </w:p>
        </w:tc>
        <w:tc>
          <w:tcPr>
            <w:tcW w:w="1021" w:type="dxa"/>
            <w:tcBorders>
              <w:top w:val="single" w:sz="4" w:space="0" w:color="BFBFBF"/>
              <w:bottom w:val="single" w:sz="4" w:space="0" w:color="BFBFBF"/>
            </w:tcBorders>
            <w:shd w:val="clear" w:color="auto" w:fill="auto"/>
          </w:tcPr>
          <w:p w14:paraId="3D87F3F0" w14:textId="77777777" w:rsidR="0078495E" w:rsidRDefault="0078495E" w:rsidP="004C7BEF">
            <w:pPr>
              <w:pStyle w:val="ARtabletextright"/>
            </w:pPr>
            <w:r w:rsidRPr="00987648">
              <w:t>0.0%</w:t>
            </w:r>
          </w:p>
        </w:tc>
        <w:tc>
          <w:tcPr>
            <w:tcW w:w="794" w:type="dxa"/>
            <w:tcBorders>
              <w:top w:val="single" w:sz="4" w:space="0" w:color="BFBFBF"/>
              <w:bottom w:val="single" w:sz="4" w:space="0" w:color="BFBFBF"/>
            </w:tcBorders>
            <w:shd w:val="clear" w:color="auto" w:fill="auto"/>
            <w:hideMark/>
          </w:tcPr>
          <w:p w14:paraId="23A6231E" w14:textId="77777777" w:rsidR="0078495E" w:rsidRPr="00D02A2E" w:rsidRDefault="0078495E" w:rsidP="004C7BEF">
            <w:pPr>
              <w:pStyle w:val="ARtableperformancesymbol"/>
              <w:rPr>
                <w:rFonts w:hint="eastAsia"/>
              </w:rPr>
            </w:pPr>
            <w:r w:rsidRPr="00987648">
              <w:t></w:t>
            </w:r>
          </w:p>
        </w:tc>
      </w:tr>
      <w:tr w:rsidR="0078495E" w:rsidRPr="00D02A2E" w14:paraId="46E9A2E8" w14:textId="77777777" w:rsidTr="004C7BEF">
        <w:trPr>
          <w:cantSplit/>
        </w:trPr>
        <w:tc>
          <w:tcPr>
            <w:tcW w:w="4761" w:type="dxa"/>
            <w:tcBorders>
              <w:top w:val="single" w:sz="4" w:space="0" w:color="BFBFBF"/>
            </w:tcBorders>
            <w:shd w:val="clear" w:color="auto" w:fill="auto"/>
            <w:hideMark/>
          </w:tcPr>
          <w:p w14:paraId="43E8CD30" w14:textId="77777777" w:rsidR="0078495E" w:rsidRPr="00D02A2E" w:rsidRDefault="0078495E" w:rsidP="004C7BEF">
            <w:pPr>
              <w:pStyle w:val="ARtabletext"/>
            </w:pPr>
            <w:r w:rsidRPr="00987648">
              <w:t>Participation rate of women in target age range screened for breast cancer</w:t>
            </w:r>
          </w:p>
        </w:tc>
        <w:tc>
          <w:tcPr>
            <w:tcW w:w="1021" w:type="dxa"/>
            <w:tcBorders>
              <w:top w:val="single" w:sz="4" w:space="0" w:color="BFBFBF"/>
            </w:tcBorders>
            <w:shd w:val="clear" w:color="auto" w:fill="auto"/>
            <w:hideMark/>
          </w:tcPr>
          <w:p w14:paraId="551489BF" w14:textId="77777777" w:rsidR="0078495E" w:rsidRPr="00D02A2E" w:rsidRDefault="0078495E" w:rsidP="004C7BEF">
            <w:pPr>
              <w:pStyle w:val="ARtabletextcentre"/>
            </w:pPr>
            <w:r w:rsidRPr="00987648">
              <w:t>per cent</w:t>
            </w:r>
          </w:p>
        </w:tc>
        <w:tc>
          <w:tcPr>
            <w:tcW w:w="1021" w:type="dxa"/>
            <w:tcBorders>
              <w:top w:val="single" w:sz="4" w:space="0" w:color="BFBFBF"/>
            </w:tcBorders>
            <w:shd w:val="clear" w:color="auto" w:fill="auto"/>
            <w:hideMark/>
          </w:tcPr>
          <w:p w14:paraId="0FF54007" w14:textId="77777777" w:rsidR="0078495E" w:rsidRDefault="0078495E" w:rsidP="004C7BEF">
            <w:pPr>
              <w:pStyle w:val="ARtabletextright"/>
            </w:pPr>
            <w:r w:rsidRPr="00987648">
              <w:t>54</w:t>
            </w:r>
          </w:p>
        </w:tc>
        <w:tc>
          <w:tcPr>
            <w:tcW w:w="1021" w:type="dxa"/>
            <w:tcBorders>
              <w:top w:val="single" w:sz="4" w:space="0" w:color="BFBFBF"/>
            </w:tcBorders>
            <w:shd w:val="clear" w:color="auto" w:fill="auto"/>
            <w:hideMark/>
          </w:tcPr>
          <w:p w14:paraId="4EA605A3" w14:textId="77777777" w:rsidR="0078495E" w:rsidRDefault="0078495E" w:rsidP="004C7BEF">
            <w:pPr>
              <w:pStyle w:val="ARtabletextright"/>
            </w:pPr>
            <w:r w:rsidRPr="00987648">
              <w:t>45.5</w:t>
            </w:r>
          </w:p>
        </w:tc>
        <w:tc>
          <w:tcPr>
            <w:tcW w:w="1021" w:type="dxa"/>
            <w:tcBorders>
              <w:top w:val="single" w:sz="4" w:space="0" w:color="BFBFBF"/>
            </w:tcBorders>
            <w:shd w:val="clear" w:color="auto" w:fill="auto"/>
          </w:tcPr>
          <w:p w14:paraId="523327CA" w14:textId="77777777" w:rsidR="0078495E" w:rsidRDefault="0078495E" w:rsidP="004C7BEF">
            <w:pPr>
              <w:pStyle w:val="ARtabletextright"/>
            </w:pPr>
            <w:r w:rsidRPr="00987648">
              <w:t>−15.7%</w:t>
            </w:r>
          </w:p>
        </w:tc>
        <w:tc>
          <w:tcPr>
            <w:tcW w:w="794" w:type="dxa"/>
            <w:tcBorders>
              <w:top w:val="single" w:sz="4" w:space="0" w:color="BFBFBF"/>
            </w:tcBorders>
            <w:shd w:val="clear" w:color="auto" w:fill="auto"/>
            <w:hideMark/>
          </w:tcPr>
          <w:p w14:paraId="0F8A479A" w14:textId="77777777" w:rsidR="0078495E" w:rsidRPr="00D02A2E" w:rsidRDefault="0078495E" w:rsidP="004C7BEF">
            <w:pPr>
              <w:pStyle w:val="ARtableperformancesymbol"/>
              <w:rPr>
                <w:rFonts w:hint="eastAsia"/>
              </w:rPr>
            </w:pPr>
            <w:r w:rsidRPr="00987648">
              <w:t></w:t>
            </w:r>
          </w:p>
        </w:tc>
      </w:tr>
      <w:tr w:rsidR="0078495E" w:rsidRPr="00D02A2E" w14:paraId="13693F9F" w14:textId="77777777" w:rsidTr="004C7BEF">
        <w:trPr>
          <w:cantSplit/>
        </w:trPr>
        <w:tc>
          <w:tcPr>
            <w:tcW w:w="9639" w:type="dxa"/>
            <w:gridSpan w:val="6"/>
            <w:tcBorders>
              <w:bottom w:val="single" w:sz="4" w:space="0" w:color="BFBFBF"/>
            </w:tcBorders>
            <w:shd w:val="clear" w:color="auto" w:fill="auto"/>
            <w:noWrap/>
            <w:hideMark/>
          </w:tcPr>
          <w:p w14:paraId="0C1B6E75" w14:textId="2CC14C99" w:rsidR="0078495E" w:rsidRPr="00D02A2E" w:rsidRDefault="0078495E" w:rsidP="004C7BEF">
            <w:pPr>
              <w:pStyle w:val="ARtablenoteindent"/>
            </w:pPr>
            <w:r w:rsidRPr="00987648">
              <w:t>The</w:t>
            </w:r>
            <w:r w:rsidRPr="00987648" w:rsidDel="004F0038">
              <w:t xml:space="preserve"> </w:t>
            </w:r>
            <w:r w:rsidR="004F0038">
              <w:t>below-target result</w:t>
            </w:r>
            <w:r w:rsidR="004F0038" w:rsidRPr="00987648">
              <w:t xml:space="preserve"> </w:t>
            </w:r>
            <w:r w:rsidRPr="00987648">
              <w:t>is due to the COVID-19 response, which has required</w:t>
            </w:r>
            <w:r w:rsidR="00127EE4">
              <w:t xml:space="preserve"> the</w:t>
            </w:r>
            <w:r w:rsidRPr="00987648">
              <w:t xml:space="preserve"> implementation of safety measures that have reduced </w:t>
            </w:r>
            <w:r w:rsidR="00127EE4">
              <w:t xml:space="preserve">the </w:t>
            </w:r>
            <w:r w:rsidRPr="00987648">
              <w:t>capacity of some BreastScreen Victoria services.</w:t>
            </w:r>
          </w:p>
        </w:tc>
      </w:tr>
      <w:tr w:rsidR="0078495E" w:rsidRPr="00D02A2E" w14:paraId="54A7620C" w14:textId="77777777" w:rsidTr="004C7BEF">
        <w:trPr>
          <w:cantSplit/>
        </w:trPr>
        <w:tc>
          <w:tcPr>
            <w:tcW w:w="9639" w:type="dxa"/>
            <w:gridSpan w:val="6"/>
            <w:tcBorders>
              <w:top w:val="single" w:sz="4" w:space="0" w:color="auto"/>
            </w:tcBorders>
            <w:shd w:val="clear" w:color="auto" w:fill="auto"/>
            <w:hideMark/>
          </w:tcPr>
          <w:p w14:paraId="47BA6451" w14:textId="77777777" w:rsidR="0078495E" w:rsidRPr="00D02A2E" w:rsidRDefault="0078495E" w:rsidP="004C7BEF">
            <w:pPr>
              <w:pStyle w:val="ARtablegreybold"/>
              <w:rPr>
                <w:rFonts w:ascii="Wingdings" w:hAnsi="Wingdings"/>
              </w:rPr>
            </w:pPr>
            <w:r w:rsidRPr="00987648">
              <w:t>Cost</w:t>
            </w:r>
          </w:p>
        </w:tc>
      </w:tr>
      <w:tr w:rsidR="0078495E" w:rsidRPr="00FA0C19" w14:paraId="217522D6" w14:textId="77777777" w:rsidTr="004C7BEF">
        <w:trPr>
          <w:cantSplit/>
        </w:trPr>
        <w:tc>
          <w:tcPr>
            <w:tcW w:w="4761" w:type="dxa"/>
            <w:shd w:val="clear" w:color="auto" w:fill="auto"/>
            <w:hideMark/>
          </w:tcPr>
          <w:p w14:paraId="34695268" w14:textId="77777777" w:rsidR="0078495E" w:rsidRPr="00FA0C19" w:rsidRDefault="0078495E" w:rsidP="004C7BEF">
            <w:pPr>
              <w:pStyle w:val="ARtabletext"/>
              <w:keepNext/>
              <w:rPr>
                <w:b/>
                <w:bCs/>
              </w:rPr>
            </w:pPr>
            <w:r w:rsidRPr="00FA0C19">
              <w:rPr>
                <w:b/>
                <w:bCs/>
              </w:rPr>
              <w:t>Total Output Cost</w:t>
            </w:r>
          </w:p>
        </w:tc>
        <w:tc>
          <w:tcPr>
            <w:tcW w:w="1021" w:type="dxa"/>
            <w:shd w:val="clear" w:color="auto" w:fill="auto"/>
            <w:hideMark/>
          </w:tcPr>
          <w:p w14:paraId="478B36C6" w14:textId="77777777" w:rsidR="0078495E" w:rsidRPr="00FA0C19" w:rsidRDefault="0078495E" w:rsidP="004C7BEF">
            <w:pPr>
              <w:pStyle w:val="ARtabletextcentre"/>
              <w:rPr>
                <w:b/>
                <w:bCs/>
              </w:rPr>
            </w:pPr>
            <w:r w:rsidRPr="00FA0C19">
              <w:rPr>
                <w:b/>
                <w:bCs/>
              </w:rPr>
              <w:t>$ million</w:t>
            </w:r>
          </w:p>
        </w:tc>
        <w:tc>
          <w:tcPr>
            <w:tcW w:w="1021" w:type="dxa"/>
            <w:shd w:val="clear" w:color="auto" w:fill="auto"/>
            <w:hideMark/>
          </w:tcPr>
          <w:p w14:paraId="42C11F59" w14:textId="77777777" w:rsidR="0078495E" w:rsidRPr="00FA0C19" w:rsidRDefault="0078495E" w:rsidP="004C7BEF">
            <w:pPr>
              <w:pStyle w:val="ARtabletextright"/>
              <w:rPr>
                <w:b/>
                <w:bCs/>
              </w:rPr>
            </w:pPr>
            <w:r w:rsidRPr="00FA0C19">
              <w:rPr>
                <w:b/>
                <w:bCs/>
              </w:rPr>
              <w:t>555</w:t>
            </w:r>
          </w:p>
        </w:tc>
        <w:tc>
          <w:tcPr>
            <w:tcW w:w="1021" w:type="dxa"/>
            <w:shd w:val="clear" w:color="auto" w:fill="auto"/>
            <w:hideMark/>
          </w:tcPr>
          <w:p w14:paraId="05DC75DF" w14:textId="77777777" w:rsidR="0078495E" w:rsidRPr="00FA0C19" w:rsidRDefault="0078495E" w:rsidP="004C7BEF">
            <w:pPr>
              <w:pStyle w:val="ARtabletextright"/>
              <w:rPr>
                <w:b/>
                <w:bCs/>
              </w:rPr>
            </w:pPr>
            <w:r w:rsidRPr="00FA0C19">
              <w:rPr>
                <w:b/>
                <w:bCs/>
              </w:rPr>
              <w:t>2,372.0</w:t>
            </w:r>
          </w:p>
        </w:tc>
        <w:tc>
          <w:tcPr>
            <w:tcW w:w="1021" w:type="dxa"/>
            <w:shd w:val="clear" w:color="auto" w:fill="auto"/>
          </w:tcPr>
          <w:p w14:paraId="75A2ABFF" w14:textId="77777777" w:rsidR="0078495E" w:rsidRPr="00FA0C19" w:rsidRDefault="0078495E" w:rsidP="004C7BEF">
            <w:pPr>
              <w:pStyle w:val="ARtabletextright"/>
              <w:rPr>
                <w:b/>
                <w:bCs/>
              </w:rPr>
            </w:pPr>
            <w:r w:rsidRPr="00FA0C19">
              <w:rPr>
                <w:b/>
                <w:bCs/>
              </w:rPr>
              <w:t>327.4%</w:t>
            </w:r>
          </w:p>
        </w:tc>
        <w:tc>
          <w:tcPr>
            <w:tcW w:w="794" w:type="dxa"/>
            <w:shd w:val="clear" w:color="auto" w:fill="auto"/>
            <w:hideMark/>
          </w:tcPr>
          <w:p w14:paraId="7CAD5A7B" w14:textId="77777777" w:rsidR="0078495E" w:rsidRPr="00FA0C19" w:rsidRDefault="0078495E" w:rsidP="004C7BEF">
            <w:pPr>
              <w:pStyle w:val="ARtabletextright"/>
              <w:rPr>
                <w:b/>
                <w:bCs/>
              </w:rPr>
            </w:pPr>
          </w:p>
        </w:tc>
      </w:tr>
      <w:tr w:rsidR="0078495E" w:rsidRPr="00D02A2E" w14:paraId="3F999722" w14:textId="77777777" w:rsidTr="004C7BEF">
        <w:trPr>
          <w:cantSplit/>
        </w:trPr>
        <w:tc>
          <w:tcPr>
            <w:tcW w:w="9639" w:type="dxa"/>
            <w:gridSpan w:val="6"/>
            <w:tcBorders>
              <w:bottom w:val="single" w:sz="4" w:space="0" w:color="auto"/>
            </w:tcBorders>
            <w:shd w:val="clear" w:color="auto" w:fill="auto"/>
            <w:noWrap/>
            <w:hideMark/>
          </w:tcPr>
          <w:p w14:paraId="25C632DA" w14:textId="3EFEE872" w:rsidR="0078495E" w:rsidRPr="00D02A2E" w:rsidRDefault="0078495E" w:rsidP="004C7BEF">
            <w:pPr>
              <w:pStyle w:val="ARtablenoteindent"/>
            </w:pPr>
            <w:r w:rsidRPr="00987648">
              <w:t>The 2021–22 actual outcome primarily reflects</w:t>
            </w:r>
            <w:r w:rsidR="004F0038">
              <w:t xml:space="preserve"> </w:t>
            </w:r>
            <w:r w:rsidR="004F0038" w:rsidRPr="000B0872">
              <w:t>funding</w:t>
            </w:r>
            <w:r w:rsidRPr="000B0872">
              <w:t xml:space="preserve"> increases </w:t>
            </w:r>
            <w:r w:rsidR="00177990" w:rsidRPr="000B0872">
              <w:t xml:space="preserve">associated with </w:t>
            </w:r>
            <w:r w:rsidRPr="000B0872">
              <w:t>government</w:t>
            </w:r>
            <w:r w:rsidRPr="00177990">
              <w:t xml:space="preserve"> policy initiatives</w:t>
            </w:r>
            <w:r w:rsidRPr="00987648">
              <w:t xml:space="preserve"> related to the COVID-19 response.</w:t>
            </w:r>
          </w:p>
        </w:tc>
      </w:tr>
    </w:tbl>
    <w:p w14:paraId="5D6C8C56" w14:textId="28845B38" w:rsidR="0078495E" w:rsidRDefault="0078495E" w:rsidP="00306875">
      <w:pPr>
        <w:pStyle w:val="Heading4"/>
        <w:spacing w:before="400"/>
      </w:pPr>
      <w:r>
        <w:t>Health Advancement</w:t>
      </w:r>
    </w:p>
    <w:p w14:paraId="01D27B83" w14:textId="579124D4" w:rsidR="0078495E" w:rsidRDefault="00593C2D" w:rsidP="0078495E">
      <w:pPr>
        <w:pStyle w:val="ARbody"/>
      </w:pPr>
      <w:r w:rsidRPr="00593C2D">
        <w:t>This output relates to improving the general health and wellbeing of Victorians through the provision of community information and the fostering of healthy behaviours.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13B485EA" w14:textId="77777777" w:rsidTr="004C7BEF">
        <w:trPr>
          <w:cantSplit/>
          <w:tblHeader/>
        </w:trPr>
        <w:tc>
          <w:tcPr>
            <w:tcW w:w="4761" w:type="dxa"/>
            <w:tcBorders>
              <w:bottom w:val="single" w:sz="4" w:space="0" w:color="auto"/>
            </w:tcBorders>
            <w:shd w:val="clear" w:color="auto" w:fill="auto"/>
            <w:vAlign w:val="bottom"/>
            <w:hideMark/>
          </w:tcPr>
          <w:p w14:paraId="2850B57B"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3B4EFB49"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600B03EC"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21A25DDC"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6CF794B0"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711026FC" w14:textId="77777777" w:rsidR="0078495E" w:rsidRPr="00F72126" w:rsidRDefault="0078495E" w:rsidP="004C7BEF">
            <w:pPr>
              <w:pStyle w:val="ARtablecolheadright"/>
            </w:pPr>
            <w:r w:rsidRPr="00F72126">
              <w:t>Result</w:t>
            </w:r>
          </w:p>
        </w:tc>
      </w:tr>
      <w:tr w:rsidR="0078495E" w:rsidRPr="00D02A2E" w14:paraId="0D0341C6" w14:textId="77777777" w:rsidTr="004C7BEF">
        <w:trPr>
          <w:cantSplit/>
        </w:trPr>
        <w:tc>
          <w:tcPr>
            <w:tcW w:w="9639" w:type="dxa"/>
            <w:gridSpan w:val="6"/>
            <w:tcBorders>
              <w:top w:val="single" w:sz="4" w:space="0" w:color="auto"/>
            </w:tcBorders>
            <w:shd w:val="clear" w:color="auto" w:fill="auto"/>
            <w:hideMark/>
          </w:tcPr>
          <w:p w14:paraId="0F8218EF" w14:textId="77777777" w:rsidR="0078495E" w:rsidRPr="00D02A2E" w:rsidRDefault="0078495E" w:rsidP="004C7BEF">
            <w:pPr>
              <w:pStyle w:val="ARtablegreybold"/>
              <w:rPr>
                <w:rFonts w:ascii="Wingdings" w:hAnsi="Wingdings"/>
              </w:rPr>
            </w:pPr>
            <w:r w:rsidRPr="007A45E9">
              <w:t>Quantity</w:t>
            </w:r>
          </w:p>
        </w:tc>
      </w:tr>
      <w:tr w:rsidR="0078495E" w:rsidRPr="00D02A2E" w14:paraId="4DC8321C" w14:textId="77777777" w:rsidTr="004C7BEF">
        <w:trPr>
          <w:cantSplit/>
        </w:trPr>
        <w:tc>
          <w:tcPr>
            <w:tcW w:w="4761" w:type="dxa"/>
            <w:shd w:val="clear" w:color="auto" w:fill="auto"/>
            <w:hideMark/>
          </w:tcPr>
          <w:p w14:paraId="50FEFE34" w14:textId="77777777" w:rsidR="0078495E" w:rsidRPr="00D02A2E" w:rsidRDefault="0078495E" w:rsidP="004C7BEF">
            <w:pPr>
              <w:pStyle w:val="ARtabletext"/>
            </w:pPr>
            <w:r w:rsidRPr="002F4A13">
              <w:t>Persons completing the Life! – Diabetes and Cardiovascular Disease Prevention program</w:t>
            </w:r>
          </w:p>
        </w:tc>
        <w:tc>
          <w:tcPr>
            <w:tcW w:w="1021" w:type="dxa"/>
            <w:shd w:val="clear" w:color="auto" w:fill="auto"/>
            <w:hideMark/>
          </w:tcPr>
          <w:p w14:paraId="616AF059" w14:textId="77777777" w:rsidR="0078495E" w:rsidRPr="00D02A2E" w:rsidRDefault="0078495E" w:rsidP="004C7BEF">
            <w:pPr>
              <w:pStyle w:val="ARtabletextcentre"/>
            </w:pPr>
            <w:r w:rsidRPr="002F4A13">
              <w:t>number</w:t>
            </w:r>
          </w:p>
        </w:tc>
        <w:tc>
          <w:tcPr>
            <w:tcW w:w="1021" w:type="dxa"/>
            <w:shd w:val="clear" w:color="auto" w:fill="auto"/>
            <w:hideMark/>
          </w:tcPr>
          <w:p w14:paraId="5E936FE8" w14:textId="77777777" w:rsidR="0078495E" w:rsidRDefault="0078495E" w:rsidP="004C7BEF">
            <w:pPr>
              <w:pStyle w:val="ARtabletextright"/>
            </w:pPr>
            <w:r w:rsidRPr="002F4A13">
              <w:t>5,616</w:t>
            </w:r>
          </w:p>
        </w:tc>
        <w:tc>
          <w:tcPr>
            <w:tcW w:w="1021" w:type="dxa"/>
            <w:shd w:val="clear" w:color="auto" w:fill="auto"/>
            <w:hideMark/>
          </w:tcPr>
          <w:p w14:paraId="5938EE7F" w14:textId="77777777" w:rsidR="0078495E" w:rsidRDefault="0078495E" w:rsidP="004C7BEF">
            <w:pPr>
              <w:pStyle w:val="ARtabletextright"/>
            </w:pPr>
            <w:r w:rsidRPr="002F4A13">
              <w:t>3,942</w:t>
            </w:r>
          </w:p>
        </w:tc>
        <w:tc>
          <w:tcPr>
            <w:tcW w:w="1021" w:type="dxa"/>
            <w:shd w:val="clear" w:color="auto" w:fill="auto"/>
          </w:tcPr>
          <w:p w14:paraId="78226875" w14:textId="77777777" w:rsidR="0078495E" w:rsidRDefault="0078495E" w:rsidP="004C7BEF">
            <w:pPr>
              <w:pStyle w:val="ARtabletextright"/>
            </w:pPr>
            <w:r w:rsidRPr="002F4A13">
              <w:t>−29.8%</w:t>
            </w:r>
          </w:p>
        </w:tc>
        <w:tc>
          <w:tcPr>
            <w:tcW w:w="794" w:type="dxa"/>
            <w:shd w:val="clear" w:color="auto" w:fill="auto"/>
            <w:hideMark/>
          </w:tcPr>
          <w:p w14:paraId="5B0E470A" w14:textId="77777777" w:rsidR="0078495E" w:rsidRPr="00D02A2E" w:rsidRDefault="0078495E" w:rsidP="004C7BEF">
            <w:pPr>
              <w:pStyle w:val="ARtableperformancesymbol"/>
              <w:rPr>
                <w:rFonts w:hint="eastAsia"/>
              </w:rPr>
            </w:pPr>
            <w:r w:rsidRPr="002F4A13">
              <w:t></w:t>
            </w:r>
          </w:p>
        </w:tc>
      </w:tr>
      <w:tr w:rsidR="0078495E" w:rsidRPr="00D02A2E" w14:paraId="243CCCFB" w14:textId="77777777" w:rsidTr="004C7BEF">
        <w:trPr>
          <w:cantSplit/>
        </w:trPr>
        <w:tc>
          <w:tcPr>
            <w:tcW w:w="9639" w:type="dxa"/>
            <w:gridSpan w:val="6"/>
            <w:tcBorders>
              <w:bottom w:val="single" w:sz="4" w:space="0" w:color="BFBFBF"/>
            </w:tcBorders>
            <w:shd w:val="clear" w:color="auto" w:fill="auto"/>
            <w:noWrap/>
            <w:hideMark/>
          </w:tcPr>
          <w:p w14:paraId="14373018" w14:textId="1FA9DCFE" w:rsidR="0078495E" w:rsidRPr="00D02A2E" w:rsidRDefault="0078495E" w:rsidP="004C7BEF">
            <w:pPr>
              <w:pStyle w:val="ARtablenoteindent"/>
            </w:pPr>
            <w:r w:rsidRPr="002F4A13">
              <w:t>Life! continues to be significantly impacted by the COVID-19 pandemic with face to face programs only resuming</w:t>
            </w:r>
            <w:r w:rsidR="004F0038">
              <w:t xml:space="preserve"> in</w:t>
            </w:r>
            <w:r w:rsidRPr="002F4A13">
              <w:t xml:space="preserve"> May 2022. Despite efforts to offer an online program, interest from participants and referrals remains low.</w:t>
            </w:r>
          </w:p>
        </w:tc>
      </w:tr>
      <w:tr w:rsidR="0078495E" w:rsidRPr="00D02A2E" w14:paraId="41CBA38E" w14:textId="77777777" w:rsidTr="004C7BEF">
        <w:trPr>
          <w:cantSplit/>
        </w:trPr>
        <w:tc>
          <w:tcPr>
            <w:tcW w:w="4761" w:type="dxa"/>
            <w:tcBorders>
              <w:top w:val="single" w:sz="4" w:space="0" w:color="BFBFBF"/>
              <w:bottom w:val="single" w:sz="4" w:space="0" w:color="BFBFBF"/>
            </w:tcBorders>
            <w:shd w:val="clear" w:color="auto" w:fill="auto"/>
            <w:hideMark/>
          </w:tcPr>
          <w:p w14:paraId="4B907EDE" w14:textId="77777777" w:rsidR="0078495E" w:rsidRPr="00D02A2E" w:rsidRDefault="0078495E" w:rsidP="004C7BEF">
            <w:pPr>
              <w:pStyle w:val="ARtabletext"/>
            </w:pPr>
            <w:r w:rsidRPr="002F4A13">
              <w:t>Number of courses for health professionals on sexual and reproductive health</w:t>
            </w:r>
          </w:p>
        </w:tc>
        <w:tc>
          <w:tcPr>
            <w:tcW w:w="1021" w:type="dxa"/>
            <w:tcBorders>
              <w:top w:val="single" w:sz="4" w:space="0" w:color="BFBFBF"/>
              <w:bottom w:val="single" w:sz="4" w:space="0" w:color="BFBFBF"/>
            </w:tcBorders>
            <w:shd w:val="clear" w:color="auto" w:fill="auto"/>
            <w:hideMark/>
          </w:tcPr>
          <w:p w14:paraId="015FE1A5" w14:textId="45668EE2" w:rsidR="0078495E" w:rsidRPr="00D02A2E" w:rsidRDefault="00A7691D" w:rsidP="004C7BEF">
            <w:pPr>
              <w:pStyle w:val="ARtabletextcentre"/>
            </w:pPr>
            <w:r>
              <w:t>n</w:t>
            </w:r>
            <w:r w:rsidR="0078495E" w:rsidRPr="002F4A13">
              <w:t>umber</w:t>
            </w:r>
          </w:p>
        </w:tc>
        <w:tc>
          <w:tcPr>
            <w:tcW w:w="1021" w:type="dxa"/>
            <w:tcBorders>
              <w:top w:val="single" w:sz="4" w:space="0" w:color="BFBFBF"/>
              <w:bottom w:val="single" w:sz="4" w:space="0" w:color="BFBFBF"/>
            </w:tcBorders>
            <w:shd w:val="clear" w:color="auto" w:fill="auto"/>
            <w:hideMark/>
          </w:tcPr>
          <w:p w14:paraId="566025FF" w14:textId="77777777" w:rsidR="0078495E" w:rsidRDefault="0078495E" w:rsidP="004C7BEF">
            <w:pPr>
              <w:pStyle w:val="ARtabletextright"/>
            </w:pPr>
            <w:r w:rsidRPr="002F4A13">
              <w:t>50</w:t>
            </w:r>
          </w:p>
        </w:tc>
        <w:tc>
          <w:tcPr>
            <w:tcW w:w="1021" w:type="dxa"/>
            <w:tcBorders>
              <w:top w:val="single" w:sz="4" w:space="0" w:color="BFBFBF"/>
              <w:bottom w:val="single" w:sz="4" w:space="0" w:color="BFBFBF"/>
            </w:tcBorders>
            <w:shd w:val="clear" w:color="auto" w:fill="auto"/>
            <w:hideMark/>
          </w:tcPr>
          <w:p w14:paraId="419E842D" w14:textId="77777777" w:rsidR="0078495E" w:rsidRDefault="0078495E" w:rsidP="004C7BEF">
            <w:pPr>
              <w:pStyle w:val="ARtabletextright"/>
            </w:pPr>
            <w:r w:rsidRPr="002F4A13">
              <w:t>51</w:t>
            </w:r>
          </w:p>
        </w:tc>
        <w:tc>
          <w:tcPr>
            <w:tcW w:w="1021" w:type="dxa"/>
            <w:tcBorders>
              <w:top w:val="single" w:sz="4" w:space="0" w:color="BFBFBF"/>
              <w:bottom w:val="single" w:sz="4" w:space="0" w:color="BFBFBF"/>
            </w:tcBorders>
            <w:shd w:val="clear" w:color="auto" w:fill="auto"/>
          </w:tcPr>
          <w:p w14:paraId="79417DCC" w14:textId="77777777" w:rsidR="0078495E" w:rsidRDefault="0078495E" w:rsidP="004C7BEF">
            <w:pPr>
              <w:pStyle w:val="ARtabletextright"/>
            </w:pPr>
            <w:r w:rsidRPr="002F4A13">
              <w:t>2.0%</w:t>
            </w:r>
          </w:p>
        </w:tc>
        <w:tc>
          <w:tcPr>
            <w:tcW w:w="794" w:type="dxa"/>
            <w:tcBorders>
              <w:top w:val="single" w:sz="4" w:space="0" w:color="BFBFBF"/>
              <w:bottom w:val="single" w:sz="4" w:space="0" w:color="BFBFBF"/>
            </w:tcBorders>
            <w:shd w:val="clear" w:color="auto" w:fill="auto"/>
            <w:hideMark/>
          </w:tcPr>
          <w:p w14:paraId="6083F7F0" w14:textId="77777777" w:rsidR="0078495E" w:rsidRPr="00D02A2E" w:rsidRDefault="0078495E" w:rsidP="004C7BEF">
            <w:pPr>
              <w:pStyle w:val="ARtableperformancesymbol"/>
              <w:rPr>
                <w:rFonts w:hint="eastAsia"/>
              </w:rPr>
            </w:pPr>
            <w:r w:rsidRPr="002F4A13">
              <w:t></w:t>
            </w:r>
          </w:p>
        </w:tc>
      </w:tr>
      <w:tr w:rsidR="0078495E" w:rsidRPr="00D02A2E" w14:paraId="31D956BB" w14:textId="77777777" w:rsidTr="004C7BEF">
        <w:trPr>
          <w:cantSplit/>
        </w:trPr>
        <w:tc>
          <w:tcPr>
            <w:tcW w:w="4761" w:type="dxa"/>
            <w:tcBorders>
              <w:top w:val="single" w:sz="4" w:space="0" w:color="BFBFBF"/>
              <w:bottom w:val="single" w:sz="4" w:space="0" w:color="BFBFBF"/>
            </w:tcBorders>
            <w:shd w:val="clear" w:color="auto" w:fill="auto"/>
            <w:hideMark/>
          </w:tcPr>
          <w:p w14:paraId="3C4E519B" w14:textId="77777777" w:rsidR="0078495E" w:rsidRPr="00D02A2E" w:rsidRDefault="0078495E" w:rsidP="004C7BEF">
            <w:pPr>
              <w:pStyle w:val="ARtabletext"/>
            </w:pPr>
            <w:r w:rsidRPr="002F4A13">
              <w:t>Number of education or monitoring visits of tobacco or e-cigarette retailers</w:t>
            </w:r>
          </w:p>
        </w:tc>
        <w:tc>
          <w:tcPr>
            <w:tcW w:w="1021" w:type="dxa"/>
            <w:tcBorders>
              <w:top w:val="single" w:sz="4" w:space="0" w:color="BFBFBF"/>
              <w:bottom w:val="single" w:sz="4" w:space="0" w:color="BFBFBF"/>
            </w:tcBorders>
            <w:shd w:val="clear" w:color="auto" w:fill="auto"/>
            <w:hideMark/>
          </w:tcPr>
          <w:p w14:paraId="239D8B0A" w14:textId="77777777" w:rsidR="0078495E" w:rsidRPr="00D02A2E" w:rsidRDefault="0078495E" w:rsidP="004C7BEF">
            <w:pPr>
              <w:pStyle w:val="ARtabletextcentre"/>
            </w:pPr>
            <w:r w:rsidRPr="002F4A13">
              <w:t>number</w:t>
            </w:r>
          </w:p>
        </w:tc>
        <w:tc>
          <w:tcPr>
            <w:tcW w:w="1021" w:type="dxa"/>
            <w:tcBorders>
              <w:top w:val="single" w:sz="4" w:space="0" w:color="BFBFBF"/>
              <w:bottom w:val="single" w:sz="4" w:space="0" w:color="BFBFBF"/>
            </w:tcBorders>
            <w:shd w:val="clear" w:color="auto" w:fill="auto"/>
            <w:hideMark/>
          </w:tcPr>
          <w:p w14:paraId="6DEBCF67" w14:textId="77777777" w:rsidR="0078495E" w:rsidRDefault="0078495E" w:rsidP="004C7BEF">
            <w:pPr>
              <w:pStyle w:val="ARtabletextright"/>
            </w:pPr>
            <w:r w:rsidRPr="002F4A13">
              <w:t>1,500</w:t>
            </w:r>
          </w:p>
        </w:tc>
        <w:tc>
          <w:tcPr>
            <w:tcW w:w="1021" w:type="dxa"/>
            <w:tcBorders>
              <w:top w:val="single" w:sz="4" w:space="0" w:color="BFBFBF"/>
              <w:bottom w:val="single" w:sz="4" w:space="0" w:color="BFBFBF"/>
            </w:tcBorders>
            <w:shd w:val="clear" w:color="auto" w:fill="auto"/>
            <w:hideMark/>
          </w:tcPr>
          <w:p w14:paraId="0A809B48" w14:textId="77777777" w:rsidR="0078495E" w:rsidRDefault="0078495E" w:rsidP="004C7BEF">
            <w:pPr>
              <w:pStyle w:val="ARtabletextright"/>
            </w:pPr>
            <w:r w:rsidRPr="002F4A13">
              <w:t>1,500</w:t>
            </w:r>
          </w:p>
        </w:tc>
        <w:tc>
          <w:tcPr>
            <w:tcW w:w="1021" w:type="dxa"/>
            <w:tcBorders>
              <w:top w:val="single" w:sz="4" w:space="0" w:color="BFBFBF"/>
              <w:bottom w:val="single" w:sz="4" w:space="0" w:color="BFBFBF"/>
            </w:tcBorders>
            <w:shd w:val="clear" w:color="auto" w:fill="auto"/>
          </w:tcPr>
          <w:p w14:paraId="02D1CC30" w14:textId="77777777" w:rsidR="0078495E" w:rsidRDefault="0078495E" w:rsidP="004C7BEF">
            <w:pPr>
              <w:pStyle w:val="ARtabletextright"/>
            </w:pPr>
            <w:r w:rsidRPr="002F4A13">
              <w:t>0.0%</w:t>
            </w:r>
          </w:p>
        </w:tc>
        <w:tc>
          <w:tcPr>
            <w:tcW w:w="794" w:type="dxa"/>
            <w:tcBorders>
              <w:top w:val="single" w:sz="4" w:space="0" w:color="BFBFBF"/>
              <w:bottom w:val="single" w:sz="4" w:space="0" w:color="BFBFBF"/>
            </w:tcBorders>
            <w:shd w:val="clear" w:color="auto" w:fill="auto"/>
            <w:hideMark/>
          </w:tcPr>
          <w:p w14:paraId="4592F54D" w14:textId="77777777" w:rsidR="0078495E" w:rsidRPr="00D02A2E" w:rsidRDefault="0078495E" w:rsidP="004C7BEF">
            <w:pPr>
              <w:pStyle w:val="ARtableperformancesymbol"/>
              <w:rPr>
                <w:rFonts w:hint="eastAsia"/>
              </w:rPr>
            </w:pPr>
            <w:r w:rsidRPr="002F4A13">
              <w:t></w:t>
            </w:r>
          </w:p>
        </w:tc>
      </w:tr>
      <w:tr w:rsidR="0078495E" w:rsidRPr="00D02A2E" w14:paraId="39411458" w14:textId="77777777" w:rsidTr="004C7BEF">
        <w:trPr>
          <w:cantSplit/>
        </w:trPr>
        <w:tc>
          <w:tcPr>
            <w:tcW w:w="4761" w:type="dxa"/>
            <w:shd w:val="clear" w:color="auto" w:fill="auto"/>
            <w:hideMark/>
          </w:tcPr>
          <w:p w14:paraId="79E1008C" w14:textId="77777777" w:rsidR="0078495E" w:rsidRPr="00D02A2E" w:rsidRDefault="0078495E" w:rsidP="004C7BEF">
            <w:pPr>
              <w:pStyle w:val="ARtabletext"/>
            </w:pPr>
            <w:r w:rsidRPr="002F4A13">
              <w:t>Number of sales to minors test purchases undertaken</w:t>
            </w:r>
          </w:p>
        </w:tc>
        <w:tc>
          <w:tcPr>
            <w:tcW w:w="1021" w:type="dxa"/>
            <w:shd w:val="clear" w:color="auto" w:fill="auto"/>
            <w:hideMark/>
          </w:tcPr>
          <w:p w14:paraId="47DEF90A" w14:textId="77777777" w:rsidR="0078495E" w:rsidRPr="00D02A2E" w:rsidRDefault="0078495E" w:rsidP="004C7BEF">
            <w:pPr>
              <w:pStyle w:val="ARtabletextcentre"/>
            </w:pPr>
            <w:r w:rsidRPr="002F4A13">
              <w:t>number</w:t>
            </w:r>
          </w:p>
        </w:tc>
        <w:tc>
          <w:tcPr>
            <w:tcW w:w="1021" w:type="dxa"/>
            <w:shd w:val="clear" w:color="auto" w:fill="auto"/>
            <w:hideMark/>
          </w:tcPr>
          <w:p w14:paraId="5004C9FA" w14:textId="77777777" w:rsidR="0078495E" w:rsidRDefault="0078495E" w:rsidP="004C7BEF">
            <w:pPr>
              <w:pStyle w:val="ARtabletextright"/>
            </w:pPr>
            <w:r w:rsidRPr="002F4A13">
              <w:t>3,000</w:t>
            </w:r>
          </w:p>
        </w:tc>
        <w:tc>
          <w:tcPr>
            <w:tcW w:w="1021" w:type="dxa"/>
            <w:shd w:val="clear" w:color="auto" w:fill="auto"/>
            <w:hideMark/>
          </w:tcPr>
          <w:p w14:paraId="62C55163" w14:textId="77777777" w:rsidR="0078495E" w:rsidRDefault="0078495E" w:rsidP="004C7BEF">
            <w:pPr>
              <w:pStyle w:val="ARtabletextright"/>
            </w:pPr>
            <w:r w:rsidRPr="002F4A13">
              <w:t>750</w:t>
            </w:r>
          </w:p>
        </w:tc>
        <w:tc>
          <w:tcPr>
            <w:tcW w:w="1021" w:type="dxa"/>
            <w:shd w:val="clear" w:color="auto" w:fill="auto"/>
          </w:tcPr>
          <w:p w14:paraId="46D02D70" w14:textId="77777777" w:rsidR="0078495E" w:rsidRDefault="0078495E" w:rsidP="004C7BEF">
            <w:pPr>
              <w:pStyle w:val="ARtabletextright"/>
            </w:pPr>
            <w:r w:rsidRPr="002F4A13">
              <w:t>−75.0%</w:t>
            </w:r>
          </w:p>
        </w:tc>
        <w:tc>
          <w:tcPr>
            <w:tcW w:w="794" w:type="dxa"/>
            <w:shd w:val="clear" w:color="auto" w:fill="auto"/>
            <w:hideMark/>
          </w:tcPr>
          <w:p w14:paraId="3B6BFFCC" w14:textId="77777777" w:rsidR="0078495E" w:rsidRPr="00D02A2E" w:rsidRDefault="0078495E" w:rsidP="004C7BEF">
            <w:pPr>
              <w:pStyle w:val="ARtableperformancesymbol"/>
              <w:rPr>
                <w:rFonts w:hint="eastAsia"/>
              </w:rPr>
            </w:pPr>
            <w:r w:rsidRPr="002F4A13">
              <w:t></w:t>
            </w:r>
          </w:p>
        </w:tc>
      </w:tr>
      <w:tr w:rsidR="0078495E" w:rsidRPr="00D02A2E" w14:paraId="3C0D78CC" w14:textId="77777777" w:rsidTr="004C7BEF">
        <w:trPr>
          <w:cantSplit/>
        </w:trPr>
        <w:tc>
          <w:tcPr>
            <w:tcW w:w="9639" w:type="dxa"/>
            <w:gridSpan w:val="6"/>
            <w:tcBorders>
              <w:bottom w:val="single" w:sz="4" w:space="0" w:color="BFBFBF"/>
            </w:tcBorders>
            <w:shd w:val="clear" w:color="auto" w:fill="auto"/>
            <w:noWrap/>
            <w:hideMark/>
          </w:tcPr>
          <w:p w14:paraId="10B648A4" w14:textId="18F8D15C" w:rsidR="0078495E" w:rsidRPr="00D02A2E" w:rsidRDefault="0078495E" w:rsidP="004C7BEF">
            <w:pPr>
              <w:pStyle w:val="ARtablenoteindent"/>
            </w:pPr>
            <w:r w:rsidRPr="002F4A13">
              <w:t xml:space="preserve">Due to ongoing challenges associated with COVID-19, it has not been possible to carry out test purchasing activity to the targeted </w:t>
            </w:r>
            <w:r w:rsidRPr="004F0038">
              <w:t>levels.</w:t>
            </w:r>
            <w:r w:rsidRPr="002F4A13">
              <w:t xml:space="preserve"> Where councils have been unable to undertake test purchasing, they have carried out additional education visits to retailers, eating and drinking areas and outdoor areas where children and young people spend significant amounts of time.</w:t>
            </w:r>
          </w:p>
        </w:tc>
      </w:tr>
      <w:tr w:rsidR="0078495E" w:rsidRPr="00D02A2E" w14:paraId="55E642ED" w14:textId="77777777" w:rsidTr="004C7BEF">
        <w:trPr>
          <w:cantSplit/>
        </w:trPr>
        <w:tc>
          <w:tcPr>
            <w:tcW w:w="4761" w:type="dxa"/>
            <w:shd w:val="clear" w:color="auto" w:fill="auto"/>
            <w:hideMark/>
          </w:tcPr>
          <w:p w14:paraId="6BDFECF1" w14:textId="77777777" w:rsidR="0078495E" w:rsidRPr="00D02A2E" w:rsidRDefault="0078495E" w:rsidP="004C7BEF">
            <w:pPr>
              <w:pStyle w:val="ARtabletext"/>
            </w:pPr>
            <w:r w:rsidRPr="002F4A13">
              <w:t>Number of education or monitoring visits of smoke-free areas</w:t>
            </w:r>
          </w:p>
        </w:tc>
        <w:tc>
          <w:tcPr>
            <w:tcW w:w="1021" w:type="dxa"/>
            <w:shd w:val="clear" w:color="auto" w:fill="auto"/>
            <w:hideMark/>
          </w:tcPr>
          <w:p w14:paraId="0891DAA8" w14:textId="77777777" w:rsidR="0078495E" w:rsidRPr="00D02A2E" w:rsidRDefault="0078495E" w:rsidP="004C7BEF">
            <w:pPr>
              <w:pStyle w:val="ARtabletextcentre"/>
            </w:pPr>
            <w:r w:rsidRPr="002F4A13">
              <w:t>number</w:t>
            </w:r>
          </w:p>
        </w:tc>
        <w:tc>
          <w:tcPr>
            <w:tcW w:w="1021" w:type="dxa"/>
            <w:shd w:val="clear" w:color="auto" w:fill="auto"/>
            <w:hideMark/>
          </w:tcPr>
          <w:p w14:paraId="5E7E114E" w14:textId="77777777" w:rsidR="0078495E" w:rsidRDefault="0078495E" w:rsidP="004C7BEF">
            <w:pPr>
              <w:pStyle w:val="ARtabletextright"/>
            </w:pPr>
            <w:r w:rsidRPr="002F4A13">
              <w:t>3,500</w:t>
            </w:r>
          </w:p>
        </w:tc>
        <w:tc>
          <w:tcPr>
            <w:tcW w:w="1021" w:type="dxa"/>
            <w:shd w:val="clear" w:color="auto" w:fill="auto"/>
            <w:hideMark/>
          </w:tcPr>
          <w:p w14:paraId="256AD8F8" w14:textId="77777777" w:rsidR="0078495E" w:rsidRDefault="0078495E" w:rsidP="004C7BEF">
            <w:pPr>
              <w:pStyle w:val="ARtabletextright"/>
            </w:pPr>
            <w:r w:rsidRPr="002F4A13">
              <w:t>4,000</w:t>
            </w:r>
          </w:p>
        </w:tc>
        <w:tc>
          <w:tcPr>
            <w:tcW w:w="1021" w:type="dxa"/>
            <w:shd w:val="clear" w:color="auto" w:fill="auto"/>
          </w:tcPr>
          <w:p w14:paraId="0F1270B2" w14:textId="77777777" w:rsidR="0078495E" w:rsidRDefault="0078495E" w:rsidP="004C7BEF">
            <w:pPr>
              <w:pStyle w:val="ARtabletextright"/>
            </w:pPr>
            <w:r w:rsidRPr="002F4A13">
              <w:t>14.3%</w:t>
            </w:r>
          </w:p>
        </w:tc>
        <w:tc>
          <w:tcPr>
            <w:tcW w:w="794" w:type="dxa"/>
            <w:shd w:val="clear" w:color="auto" w:fill="auto"/>
            <w:hideMark/>
          </w:tcPr>
          <w:p w14:paraId="517A24E5" w14:textId="77777777" w:rsidR="0078495E" w:rsidRPr="00D02A2E" w:rsidRDefault="0078495E" w:rsidP="004C7BEF">
            <w:pPr>
              <w:pStyle w:val="ARtableperformancesymbol"/>
              <w:rPr>
                <w:rFonts w:hint="eastAsia"/>
              </w:rPr>
            </w:pPr>
            <w:r w:rsidRPr="002F4A13">
              <w:t></w:t>
            </w:r>
          </w:p>
        </w:tc>
      </w:tr>
      <w:tr w:rsidR="0078495E" w:rsidRPr="00D02A2E" w14:paraId="596A7478" w14:textId="77777777" w:rsidTr="004C7BEF">
        <w:trPr>
          <w:cantSplit/>
        </w:trPr>
        <w:tc>
          <w:tcPr>
            <w:tcW w:w="9639" w:type="dxa"/>
            <w:gridSpan w:val="6"/>
            <w:tcBorders>
              <w:bottom w:val="single" w:sz="4" w:space="0" w:color="BFBFBF"/>
            </w:tcBorders>
            <w:shd w:val="clear" w:color="auto" w:fill="auto"/>
            <w:noWrap/>
            <w:hideMark/>
          </w:tcPr>
          <w:p w14:paraId="7DA260DA" w14:textId="7048304A" w:rsidR="0078495E" w:rsidRPr="00D02A2E" w:rsidRDefault="0078495E" w:rsidP="004C7BEF">
            <w:pPr>
              <w:pStyle w:val="ARtablenoteindent"/>
            </w:pPr>
            <w:r w:rsidRPr="002F4A13">
              <w:t>Despite COVID-19 restrictions and workforce shortages, councils have exceeded targets for inspections of smoke-free areas.</w:t>
            </w:r>
          </w:p>
        </w:tc>
      </w:tr>
      <w:tr w:rsidR="0078495E" w:rsidRPr="00D02A2E" w14:paraId="62589B49" w14:textId="77777777" w:rsidTr="004C7BEF">
        <w:trPr>
          <w:cantSplit/>
        </w:trPr>
        <w:tc>
          <w:tcPr>
            <w:tcW w:w="9639" w:type="dxa"/>
            <w:gridSpan w:val="6"/>
            <w:tcBorders>
              <w:top w:val="single" w:sz="4" w:space="0" w:color="auto"/>
            </w:tcBorders>
            <w:shd w:val="clear" w:color="auto" w:fill="auto"/>
            <w:hideMark/>
          </w:tcPr>
          <w:p w14:paraId="64030160" w14:textId="77777777" w:rsidR="0078495E" w:rsidRPr="00D02A2E" w:rsidRDefault="0078495E" w:rsidP="004C7BEF">
            <w:pPr>
              <w:pStyle w:val="ARtablegreybold"/>
              <w:rPr>
                <w:rFonts w:ascii="Wingdings" w:hAnsi="Wingdings"/>
              </w:rPr>
            </w:pPr>
            <w:r>
              <w:t>Quality</w:t>
            </w:r>
          </w:p>
        </w:tc>
      </w:tr>
      <w:tr w:rsidR="0078495E" w:rsidRPr="00D02A2E" w14:paraId="156D71CE" w14:textId="77777777" w:rsidTr="004C7BEF">
        <w:trPr>
          <w:cantSplit/>
        </w:trPr>
        <w:tc>
          <w:tcPr>
            <w:tcW w:w="4761" w:type="dxa"/>
            <w:tcBorders>
              <w:bottom w:val="single" w:sz="4" w:space="0" w:color="BFBFBF"/>
            </w:tcBorders>
            <w:shd w:val="clear" w:color="auto" w:fill="auto"/>
            <w:hideMark/>
          </w:tcPr>
          <w:p w14:paraId="7C4A306F" w14:textId="77777777" w:rsidR="0078495E" w:rsidRPr="00D02A2E" w:rsidRDefault="0078495E" w:rsidP="004C7BEF">
            <w:pPr>
              <w:pStyle w:val="ARtabletext"/>
            </w:pPr>
            <w:r w:rsidRPr="007B3AA5">
              <w:t>Local Government Authorities with Municipal Public Health and Wellbeing Plans</w:t>
            </w:r>
          </w:p>
        </w:tc>
        <w:tc>
          <w:tcPr>
            <w:tcW w:w="1021" w:type="dxa"/>
            <w:tcBorders>
              <w:bottom w:val="single" w:sz="4" w:space="0" w:color="BFBFBF"/>
            </w:tcBorders>
            <w:shd w:val="clear" w:color="auto" w:fill="auto"/>
            <w:hideMark/>
          </w:tcPr>
          <w:p w14:paraId="45310843" w14:textId="77777777" w:rsidR="0078495E" w:rsidRPr="00D02A2E" w:rsidRDefault="0078495E" w:rsidP="004C7BEF">
            <w:pPr>
              <w:pStyle w:val="ARtabletextcentre"/>
            </w:pPr>
            <w:r w:rsidRPr="007B3AA5">
              <w:t>per cent</w:t>
            </w:r>
          </w:p>
        </w:tc>
        <w:tc>
          <w:tcPr>
            <w:tcW w:w="1021" w:type="dxa"/>
            <w:tcBorders>
              <w:bottom w:val="single" w:sz="4" w:space="0" w:color="BFBFBF"/>
            </w:tcBorders>
            <w:shd w:val="clear" w:color="auto" w:fill="auto"/>
            <w:hideMark/>
          </w:tcPr>
          <w:p w14:paraId="0516C870" w14:textId="77777777" w:rsidR="0078495E" w:rsidRDefault="0078495E" w:rsidP="004C7BEF">
            <w:pPr>
              <w:pStyle w:val="ARtabletextright"/>
            </w:pPr>
            <w:r w:rsidRPr="007B3AA5">
              <w:t>100</w:t>
            </w:r>
          </w:p>
        </w:tc>
        <w:tc>
          <w:tcPr>
            <w:tcW w:w="1021" w:type="dxa"/>
            <w:tcBorders>
              <w:bottom w:val="single" w:sz="4" w:space="0" w:color="BFBFBF"/>
            </w:tcBorders>
            <w:shd w:val="clear" w:color="auto" w:fill="auto"/>
            <w:hideMark/>
          </w:tcPr>
          <w:p w14:paraId="561418D9" w14:textId="77777777" w:rsidR="0078495E" w:rsidRDefault="0078495E" w:rsidP="004C7BEF">
            <w:pPr>
              <w:pStyle w:val="ARtabletextright"/>
            </w:pPr>
            <w:r w:rsidRPr="007B3AA5">
              <w:t>100</w:t>
            </w:r>
          </w:p>
        </w:tc>
        <w:tc>
          <w:tcPr>
            <w:tcW w:w="1021" w:type="dxa"/>
            <w:tcBorders>
              <w:bottom w:val="single" w:sz="4" w:space="0" w:color="BFBFBF"/>
            </w:tcBorders>
            <w:shd w:val="clear" w:color="auto" w:fill="auto"/>
          </w:tcPr>
          <w:p w14:paraId="5C0A2475" w14:textId="77777777" w:rsidR="0078495E" w:rsidRDefault="0078495E" w:rsidP="004C7BEF">
            <w:pPr>
              <w:pStyle w:val="ARtabletextright"/>
            </w:pPr>
            <w:r w:rsidRPr="007B3AA5">
              <w:t>0.0%</w:t>
            </w:r>
          </w:p>
        </w:tc>
        <w:tc>
          <w:tcPr>
            <w:tcW w:w="794" w:type="dxa"/>
            <w:tcBorders>
              <w:bottom w:val="single" w:sz="4" w:space="0" w:color="BFBFBF"/>
            </w:tcBorders>
            <w:shd w:val="clear" w:color="auto" w:fill="auto"/>
            <w:hideMark/>
          </w:tcPr>
          <w:p w14:paraId="0C257E5D" w14:textId="77777777" w:rsidR="0078495E" w:rsidRPr="00D02A2E" w:rsidRDefault="0078495E" w:rsidP="004C7BEF">
            <w:pPr>
              <w:pStyle w:val="ARtableperformancesymbol"/>
              <w:rPr>
                <w:rFonts w:hint="eastAsia"/>
              </w:rPr>
            </w:pPr>
            <w:r w:rsidRPr="007B3AA5">
              <w:t></w:t>
            </w:r>
          </w:p>
        </w:tc>
      </w:tr>
      <w:tr w:rsidR="0078495E" w:rsidRPr="00D02A2E" w14:paraId="62CAD103" w14:textId="77777777" w:rsidTr="004C7BEF">
        <w:trPr>
          <w:cantSplit/>
        </w:trPr>
        <w:tc>
          <w:tcPr>
            <w:tcW w:w="9639" w:type="dxa"/>
            <w:gridSpan w:val="6"/>
            <w:tcBorders>
              <w:top w:val="single" w:sz="4" w:space="0" w:color="auto"/>
            </w:tcBorders>
            <w:shd w:val="clear" w:color="auto" w:fill="auto"/>
            <w:hideMark/>
          </w:tcPr>
          <w:p w14:paraId="22B3B245" w14:textId="77777777" w:rsidR="0078495E" w:rsidRPr="00D02A2E" w:rsidRDefault="0078495E" w:rsidP="004C7BEF">
            <w:pPr>
              <w:pStyle w:val="ARtablegreybold"/>
              <w:rPr>
                <w:rFonts w:ascii="Wingdings" w:hAnsi="Wingdings"/>
              </w:rPr>
            </w:pPr>
            <w:r w:rsidRPr="007B3AA5">
              <w:t>Cost</w:t>
            </w:r>
          </w:p>
        </w:tc>
      </w:tr>
      <w:tr w:rsidR="0078495E" w:rsidRPr="00835480" w14:paraId="760C9096" w14:textId="77777777" w:rsidTr="004C7BEF">
        <w:trPr>
          <w:cantSplit/>
        </w:trPr>
        <w:tc>
          <w:tcPr>
            <w:tcW w:w="4761" w:type="dxa"/>
            <w:shd w:val="clear" w:color="auto" w:fill="auto"/>
            <w:hideMark/>
          </w:tcPr>
          <w:p w14:paraId="19C15907" w14:textId="77777777" w:rsidR="0078495E" w:rsidRPr="00835480" w:rsidRDefault="0078495E" w:rsidP="004C7BEF">
            <w:pPr>
              <w:pStyle w:val="ARtabletext"/>
              <w:rPr>
                <w:b/>
                <w:bCs/>
              </w:rPr>
            </w:pPr>
            <w:r w:rsidRPr="00835480">
              <w:rPr>
                <w:b/>
                <w:bCs/>
              </w:rPr>
              <w:t>Total Output Cost</w:t>
            </w:r>
          </w:p>
        </w:tc>
        <w:tc>
          <w:tcPr>
            <w:tcW w:w="1021" w:type="dxa"/>
            <w:shd w:val="clear" w:color="auto" w:fill="auto"/>
            <w:hideMark/>
          </w:tcPr>
          <w:p w14:paraId="29811B77" w14:textId="77777777" w:rsidR="0078495E" w:rsidRPr="00835480" w:rsidRDefault="0078495E" w:rsidP="004C7BEF">
            <w:pPr>
              <w:pStyle w:val="ARtabletextcentre"/>
              <w:rPr>
                <w:b/>
                <w:bCs/>
              </w:rPr>
            </w:pPr>
            <w:r w:rsidRPr="00835480">
              <w:rPr>
                <w:b/>
                <w:bCs/>
              </w:rPr>
              <w:t>$ million</w:t>
            </w:r>
          </w:p>
        </w:tc>
        <w:tc>
          <w:tcPr>
            <w:tcW w:w="1021" w:type="dxa"/>
            <w:shd w:val="clear" w:color="auto" w:fill="auto"/>
            <w:hideMark/>
          </w:tcPr>
          <w:p w14:paraId="5907675D" w14:textId="77777777" w:rsidR="0078495E" w:rsidRPr="00835480" w:rsidRDefault="0078495E" w:rsidP="004C7BEF">
            <w:pPr>
              <w:pStyle w:val="ARtabletextright"/>
              <w:rPr>
                <w:b/>
                <w:bCs/>
              </w:rPr>
            </w:pPr>
            <w:r w:rsidRPr="00835480">
              <w:rPr>
                <w:b/>
                <w:bCs/>
              </w:rPr>
              <w:t>81.5</w:t>
            </w:r>
          </w:p>
        </w:tc>
        <w:tc>
          <w:tcPr>
            <w:tcW w:w="1021" w:type="dxa"/>
            <w:shd w:val="clear" w:color="auto" w:fill="auto"/>
            <w:hideMark/>
          </w:tcPr>
          <w:p w14:paraId="0C155166" w14:textId="77777777" w:rsidR="0078495E" w:rsidRPr="00835480" w:rsidRDefault="0078495E" w:rsidP="004C7BEF">
            <w:pPr>
              <w:pStyle w:val="ARtabletextright"/>
              <w:rPr>
                <w:b/>
                <w:bCs/>
              </w:rPr>
            </w:pPr>
            <w:r w:rsidRPr="00835480">
              <w:rPr>
                <w:b/>
                <w:bCs/>
              </w:rPr>
              <w:t>95.3</w:t>
            </w:r>
          </w:p>
        </w:tc>
        <w:tc>
          <w:tcPr>
            <w:tcW w:w="1021" w:type="dxa"/>
            <w:shd w:val="clear" w:color="auto" w:fill="auto"/>
          </w:tcPr>
          <w:p w14:paraId="28E07E23" w14:textId="77777777" w:rsidR="0078495E" w:rsidRPr="00835480" w:rsidRDefault="0078495E" w:rsidP="004C7BEF">
            <w:pPr>
              <w:pStyle w:val="ARtabletextright"/>
              <w:rPr>
                <w:b/>
                <w:bCs/>
              </w:rPr>
            </w:pPr>
            <w:r w:rsidRPr="00835480">
              <w:rPr>
                <w:b/>
                <w:bCs/>
              </w:rPr>
              <w:t>16.9%</w:t>
            </w:r>
          </w:p>
        </w:tc>
        <w:tc>
          <w:tcPr>
            <w:tcW w:w="794" w:type="dxa"/>
            <w:shd w:val="clear" w:color="auto" w:fill="auto"/>
            <w:hideMark/>
          </w:tcPr>
          <w:p w14:paraId="4753D483" w14:textId="77777777" w:rsidR="0078495E" w:rsidRPr="00835480" w:rsidRDefault="0078495E" w:rsidP="004C7BEF">
            <w:pPr>
              <w:pStyle w:val="ARtabletextright"/>
              <w:rPr>
                <w:b/>
                <w:bCs/>
              </w:rPr>
            </w:pPr>
          </w:p>
        </w:tc>
      </w:tr>
      <w:tr w:rsidR="0078495E" w:rsidRPr="00D02A2E" w14:paraId="1DC78948" w14:textId="77777777" w:rsidTr="004C7BEF">
        <w:trPr>
          <w:cantSplit/>
        </w:trPr>
        <w:tc>
          <w:tcPr>
            <w:tcW w:w="9639" w:type="dxa"/>
            <w:gridSpan w:val="6"/>
            <w:tcBorders>
              <w:bottom w:val="single" w:sz="4" w:space="0" w:color="auto"/>
            </w:tcBorders>
            <w:shd w:val="clear" w:color="auto" w:fill="auto"/>
            <w:noWrap/>
            <w:hideMark/>
          </w:tcPr>
          <w:p w14:paraId="5B13B304" w14:textId="3422E57B" w:rsidR="0078495E" w:rsidRPr="00D02A2E" w:rsidRDefault="002571A7" w:rsidP="004C7BEF">
            <w:pPr>
              <w:pStyle w:val="ARtablenoteindent"/>
            </w:pPr>
            <w:r w:rsidRPr="002571A7">
              <w:t xml:space="preserve">The </w:t>
            </w:r>
            <w:r w:rsidR="004D4D20">
              <w:t>2021–22</w:t>
            </w:r>
            <w:r w:rsidRPr="002571A7">
              <w:t xml:space="preserve"> actual outcome primarily reflects increases in government policy initiatives related to the COVID-19 response.</w:t>
            </w:r>
          </w:p>
        </w:tc>
      </w:tr>
    </w:tbl>
    <w:p w14:paraId="239756E1" w14:textId="77777777" w:rsidR="00C7208D" w:rsidRPr="001C60F2" w:rsidRDefault="00C7208D" w:rsidP="001C60F2">
      <w:pPr>
        <w:pStyle w:val="ARbody"/>
      </w:pPr>
      <w:r w:rsidRPr="001C60F2">
        <w:br w:type="page"/>
      </w:r>
    </w:p>
    <w:p w14:paraId="260CDF9F" w14:textId="6B4A7C81" w:rsidR="0078495E" w:rsidRDefault="0078495E" w:rsidP="00306875">
      <w:pPr>
        <w:pStyle w:val="Heading4"/>
        <w:spacing w:before="400"/>
      </w:pPr>
      <w:r>
        <w:t>Emergency Management</w:t>
      </w:r>
    </w:p>
    <w:p w14:paraId="0DF7AA53" w14:textId="00B8ED39" w:rsidR="0078495E" w:rsidRDefault="007D3E1F" w:rsidP="0078495E">
      <w:pPr>
        <w:pStyle w:val="ARbody"/>
      </w:pPr>
      <w:r w:rsidRPr="007D3E1F">
        <w:t>This output includes training in emergency management preparedness, planning, response, relief and recovery.</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462F2DD4" w14:textId="77777777" w:rsidTr="004C7BEF">
        <w:trPr>
          <w:cantSplit/>
          <w:tblHeader/>
        </w:trPr>
        <w:tc>
          <w:tcPr>
            <w:tcW w:w="4761" w:type="dxa"/>
            <w:tcBorders>
              <w:bottom w:val="single" w:sz="4" w:space="0" w:color="auto"/>
            </w:tcBorders>
            <w:shd w:val="clear" w:color="auto" w:fill="auto"/>
            <w:vAlign w:val="bottom"/>
            <w:hideMark/>
          </w:tcPr>
          <w:p w14:paraId="56EB94BA"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26B585BA"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1CD80877"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26C9732E"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19547D29"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59525261" w14:textId="77777777" w:rsidR="0078495E" w:rsidRPr="00F72126" w:rsidRDefault="0078495E" w:rsidP="004C7BEF">
            <w:pPr>
              <w:pStyle w:val="ARtablecolheadright"/>
            </w:pPr>
            <w:r w:rsidRPr="00F72126">
              <w:t>Result</w:t>
            </w:r>
          </w:p>
        </w:tc>
      </w:tr>
      <w:tr w:rsidR="0078495E" w:rsidRPr="00D02A2E" w14:paraId="19D2D87C" w14:textId="77777777" w:rsidTr="004C7BEF">
        <w:trPr>
          <w:cantSplit/>
        </w:trPr>
        <w:tc>
          <w:tcPr>
            <w:tcW w:w="9639" w:type="dxa"/>
            <w:gridSpan w:val="6"/>
            <w:tcBorders>
              <w:top w:val="single" w:sz="4" w:space="0" w:color="auto"/>
            </w:tcBorders>
            <w:shd w:val="clear" w:color="auto" w:fill="auto"/>
            <w:hideMark/>
          </w:tcPr>
          <w:p w14:paraId="1AFDE8A6" w14:textId="77777777" w:rsidR="0078495E" w:rsidRPr="00D02A2E" w:rsidRDefault="0078495E" w:rsidP="004C7BEF">
            <w:pPr>
              <w:pStyle w:val="ARtablegreybold"/>
              <w:rPr>
                <w:rFonts w:ascii="Wingdings" w:hAnsi="Wingdings"/>
              </w:rPr>
            </w:pPr>
            <w:r w:rsidRPr="00C1437E">
              <w:t>Quantity</w:t>
            </w:r>
          </w:p>
        </w:tc>
      </w:tr>
      <w:tr w:rsidR="0078495E" w:rsidRPr="00D02A2E" w14:paraId="0F5D3433" w14:textId="77777777" w:rsidTr="004C7BEF">
        <w:trPr>
          <w:cantSplit/>
        </w:trPr>
        <w:tc>
          <w:tcPr>
            <w:tcW w:w="4761" w:type="dxa"/>
            <w:shd w:val="clear" w:color="auto" w:fill="auto"/>
            <w:hideMark/>
          </w:tcPr>
          <w:p w14:paraId="48C7DF05" w14:textId="77777777" w:rsidR="0078495E" w:rsidRPr="00D02A2E" w:rsidRDefault="0078495E" w:rsidP="004C7BEF">
            <w:pPr>
              <w:pStyle w:val="ARtabletext"/>
            </w:pPr>
            <w:r w:rsidRPr="00C1437E">
              <w:t>Number of people trained in emergency management</w:t>
            </w:r>
          </w:p>
        </w:tc>
        <w:tc>
          <w:tcPr>
            <w:tcW w:w="1021" w:type="dxa"/>
            <w:shd w:val="clear" w:color="auto" w:fill="auto"/>
            <w:hideMark/>
          </w:tcPr>
          <w:p w14:paraId="36C391B7" w14:textId="77777777" w:rsidR="0078495E" w:rsidRPr="00D02A2E" w:rsidRDefault="0078495E" w:rsidP="004C7BEF">
            <w:pPr>
              <w:pStyle w:val="ARtabletextcentre"/>
            </w:pPr>
            <w:r w:rsidRPr="00C1437E">
              <w:t>number</w:t>
            </w:r>
          </w:p>
        </w:tc>
        <w:tc>
          <w:tcPr>
            <w:tcW w:w="1021" w:type="dxa"/>
            <w:shd w:val="clear" w:color="auto" w:fill="auto"/>
            <w:hideMark/>
          </w:tcPr>
          <w:p w14:paraId="07B9FD97" w14:textId="77777777" w:rsidR="0078495E" w:rsidRDefault="0078495E" w:rsidP="004C7BEF">
            <w:pPr>
              <w:pStyle w:val="ARtabletextright"/>
            </w:pPr>
            <w:r w:rsidRPr="00C1437E">
              <w:t>2,000</w:t>
            </w:r>
          </w:p>
        </w:tc>
        <w:tc>
          <w:tcPr>
            <w:tcW w:w="1021" w:type="dxa"/>
            <w:shd w:val="clear" w:color="auto" w:fill="auto"/>
            <w:hideMark/>
          </w:tcPr>
          <w:p w14:paraId="054230BF" w14:textId="77777777" w:rsidR="0078495E" w:rsidRDefault="0078495E" w:rsidP="004C7BEF">
            <w:pPr>
              <w:pStyle w:val="ARtabletextright"/>
            </w:pPr>
            <w:r w:rsidRPr="00C1437E">
              <w:t>2,023</w:t>
            </w:r>
          </w:p>
        </w:tc>
        <w:tc>
          <w:tcPr>
            <w:tcW w:w="1021" w:type="dxa"/>
            <w:shd w:val="clear" w:color="auto" w:fill="auto"/>
          </w:tcPr>
          <w:p w14:paraId="5754CD47" w14:textId="77777777" w:rsidR="0078495E" w:rsidRDefault="0078495E" w:rsidP="004C7BEF">
            <w:pPr>
              <w:pStyle w:val="ARtabletextright"/>
            </w:pPr>
            <w:r w:rsidRPr="00C1437E">
              <w:t>1.2%</w:t>
            </w:r>
          </w:p>
        </w:tc>
        <w:tc>
          <w:tcPr>
            <w:tcW w:w="794" w:type="dxa"/>
            <w:shd w:val="clear" w:color="auto" w:fill="auto"/>
            <w:hideMark/>
          </w:tcPr>
          <w:p w14:paraId="6B53F7FA" w14:textId="77777777" w:rsidR="0078495E" w:rsidRPr="00D02A2E" w:rsidRDefault="0078495E" w:rsidP="004C7BEF">
            <w:pPr>
              <w:pStyle w:val="ARtableperformancesymbol"/>
              <w:rPr>
                <w:rFonts w:hint="eastAsia"/>
              </w:rPr>
            </w:pPr>
            <w:r w:rsidRPr="00C1437E">
              <w:t></w:t>
            </w:r>
          </w:p>
        </w:tc>
      </w:tr>
      <w:tr w:rsidR="0078495E" w:rsidRPr="00D02A2E" w14:paraId="2263406B" w14:textId="77777777" w:rsidTr="004C7BEF">
        <w:trPr>
          <w:cantSplit/>
        </w:trPr>
        <w:tc>
          <w:tcPr>
            <w:tcW w:w="9639" w:type="dxa"/>
            <w:gridSpan w:val="6"/>
            <w:tcBorders>
              <w:top w:val="single" w:sz="4" w:space="0" w:color="auto"/>
            </w:tcBorders>
            <w:shd w:val="clear" w:color="auto" w:fill="auto"/>
            <w:hideMark/>
          </w:tcPr>
          <w:p w14:paraId="05A83E1B" w14:textId="77777777" w:rsidR="0078495E" w:rsidRPr="00D02A2E" w:rsidRDefault="0078495E" w:rsidP="004C7BEF">
            <w:pPr>
              <w:pStyle w:val="ARtablegreybold"/>
              <w:rPr>
                <w:rFonts w:ascii="Wingdings" w:hAnsi="Wingdings"/>
              </w:rPr>
            </w:pPr>
            <w:r w:rsidRPr="00C1437E">
              <w:t>Cost</w:t>
            </w:r>
          </w:p>
        </w:tc>
      </w:tr>
      <w:tr w:rsidR="0078495E" w:rsidRPr="00835480" w14:paraId="14FB7B65" w14:textId="77777777" w:rsidTr="004C7BEF">
        <w:trPr>
          <w:cantSplit/>
        </w:trPr>
        <w:tc>
          <w:tcPr>
            <w:tcW w:w="4761" w:type="dxa"/>
            <w:shd w:val="clear" w:color="auto" w:fill="auto"/>
            <w:hideMark/>
          </w:tcPr>
          <w:p w14:paraId="54AAFB99" w14:textId="77777777" w:rsidR="0078495E" w:rsidRPr="00835480" w:rsidRDefault="0078495E" w:rsidP="004C7BEF">
            <w:pPr>
              <w:pStyle w:val="ARtabletext"/>
              <w:rPr>
                <w:b/>
                <w:bCs/>
              </w:rPr>
            </w:pPr>
            <w:r w:rsidRPr="00835480">
              <w:rPr>
                <w:b/>
                <w:bCs/>
              </w:rPr>
              <w:t>Total Output Cost</w:t>
            </w:r>
          </w:p>
        </w:tc>
        <w:tc>
          <w:tcPr>
            <w:tcW w:w="1021" w:type="dxa"/>
            <w:shd w:val="clear" w:color="auto" w:fill="auto"/>
            <w:hideMark/>
          </w:tcPr>
          <w:p w14:paraId="3E82F54C" w14:textId="77777777" w:rsidR="0078495E" w:rsidRPr="00835480" w:rsidRDefault="0078495E" w:rsidP="004C7BEF">
            <w:pPr>
              <w:pStyle w:val="ARtabletextcentre"/>
              <w:rPr>
                <w:b/>
                <w:bCs/>
              </w:rPr>
            </w:pPr>
            <w:r w:rsidRPr="00835480">
              <w:rPr>
                <w:b/>
                <w:bCs/>
              </w:rPr>
              <w:t>$ million</w:t>
            </w:r>
          </w:p>
        </w:tc>
        <w:tc>
          <w:tcPr>
            <w:tcW w:w="1021" w:type="dxa"/>
            <w:shd w:val="clear" w:color="auto" w:fill="auto"/>
            <w:hideMark/>
          </w:tcPr>
          <w:p w14:paraId="410940D9" w14:textId="77777777" w:rsidR="0078495E" w:rsidRPr="00835480" w:rsidRDefault="0078495E" w:rsidP="004C7BEF">
            <w:pPr>
              <w:pStyle w:val="ARtabletextright"/>
              <w:rPr>
                <w:b/>
                <w:bCs/>
              </w:rPr>
            </w:pPr>
            <w:r w:rsidRPr="00835480">
              <w:rPr>
                <w:b/>
                <w:bCs/>
              </w:rPr>
              <w:t>15</w:t>
            </w:r>
          </w:p>
        </w:tc>
        <w:tc>
          <w:tcPr>
            <w:tcW w:w="1021" w:type="dxa"/>
            <w:shd w:val="clear" w:color="auto" w:fill="auto"/>
            <w:hideMark/>
          </w:tcPr>
          <w:p w14:paraId="1B098F50" w14:textId="77777777" w:rsidR="0078495E" w:rsidRPr="00835480" w:rsidRDefault="0078495E" w:rsidP="004C7BEF">
            <w:pPr>
              <w:pStyle w:val="ARtabletextright"/>
              <w:rPr>
                <w:b/>
                <w:bCs/>
              </w:rPr>
            </w:pPr>
            <w:r w:rsidRPr="00835480">
              <w:rPr>
                <w:b/>
                <w:bCs/>
              </w:rPr>
              <w:t>16.8</w:t>
            </w:r>
          </w:p>
        </w:tc>
        <w:tc>
          <w:tcPr>
            <w:tcW w:w="1021" w:type="dxa"/>
            <w:shd w:val="clear" w:color="auto" w:fill="auto"/>
          </w:tcPr>
          <w:p w14:paraId="58CBB8AB" w14:textId="77777777" w:rsidR="0078495E" w:rsidRPr="00835480" w:rsidRDefault="0078495E" w:rsidP="004C7BEF">
            <w:pPr>
              <w:pStyle w:val="ARtabletextright"/>
              <w:rPr>
                <w:b/>
                <w:bCs/>
              </w:rPr>
            </w:pPr>
            <w:r w:rsidRPr="00835480">
              <w:rPr>
                <w:b/>
                <w:bCs/>
              </w:rPr>
              <w:t>11.9%</w:t>
            </w:r>
          </w:p>
        </w:tc>
        <w:tc>
          <w:tcPr>
            <w:tcW w:w="794" w:type="dxa"/>
            <w:shd w:val="clear" w:color="auto" w:fill="auto"/>
            <w:hideMark/>
          </w:tcPr>
          <w:p w14:paraId="1A785256" w14:textId="77777777" w:rsidR="0078495E" w:rsidRPr="00835480" w:rsidRDefault="0078495E" w:rsidP="004C7BEF">
            <w:pPr>
              <w:pStyle w:val="ARtabletextright"/>
              <w:rPr>
                <w:b/>
                <w:bCs/>
              </w:rPr>
            </w:pPr>
          </w:p>
        </w:tc>
      </w:tr>
      <w:tr w:rsidR="0078495E" w:rsidRPr="00D02A2E" w14:paraId="00CE966C" w14:textId="77777777" w:rsidTr="004C7BEF">
        <w:trPr>
          <w:cantSplit/>
        </w:trPr>
        <w:tc>
          <w:tcPr>
            <w:tcW w:w="9639" w:type="dxa"/>
            <w:gridSpan w:val="6"/>
            <w:tcBorders>
              <w:bottom w:val="single" w:sz="4" w:space="0" w:color="auto"/>
            </w:tcBorders>
            <w:shd w:val="clear" w:color="auto" w:fill="auto"/>
            <w:noWrap/>
            <w:hideMark/>
          </w:tcPr>
          <w:p w14:paraId="0EB9967B" w14:textId="548FC5F0" w:rsidR="0078495E" w:rsidRPr="00D02A2E" w:rsidRDefault="0078495E" w:rsidP="004C7BEF">
            <w:pPr>
              <w:pStyle w:val="ARtablenoteindent"/>
            </w:pPr>
            <w:r w:rsidRPr="00C1437E">
              <w:t xml:space="preserve">The 2021–22 actual outcome primarily reflects </w:t>
            </w:r>
            <w:r w:rsidR="00177990" w:rsidRPr="009E11A7">
              <w:t xml:space="preserve">funding </w:t>
            </w:r>
            <w:r w:rsidRPr="009E11A7">
              <w:t xml:space="preserve">increases </w:t>
            </w:r>
            <w:r w:rsidR="00177990" w:rsidRPr="009E11A7">
              <w:t xml:space="preserve">associated with </w:t>
            </w:r>
            <w:r w:rsidRPr="009E11A7">
              <w:t>government</w:t>
            </w:r>
            <w:r w:rsidRPr="00177990">
              <w:t xml:space="preserve"> policy initiatives</w:t>
            </w:r>
            <w:r w:rsidRPr="00C1437E">
              <w:t xml:space="preserve"> related to the COVID-19 response.</w:t>
            </w:r>
          </w:p>
        </w:tc>
      </w:tr>
    </w:tbl>
    <w:p w14:paraId="0860B58C" w14:textId="714DE720" w:rsidR="0078495E" w:rsidRDefault="0078495E" w:rsidP="00306875">
      <w:pPr>
        <w:pStyle w:val="Heading4"/>
        <w:spacing w:before="400"/>
      </w:pPr>
      <w:r>
        <w:t>Small Rural Services – Acute Health</w:t>
      </w:r>
    </w:p>
    <w:p w14:paraId="6424FB18" w14:textId="76DE30FA" w:rsidR="0078495E" w:rsidRDefault="00D22D9C" w:rsidP="0078495E">
      <w:pPr>
        <w:pStyle w:val="ARbody"/>
      </w:pPr>
      <w:r w:rsidRPr="00D22D9C">
        <w:t>This output relates to admitted and non-admitted services delivered by small rural services, including elective and non-elective surgical and medical care, accident and emergency services, and maternity services.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39047C7D" w14:textId="77777777" w:rsidTr="004C7BEF">
        <w:trPr>
          <w:cantSplit/>
          <w:tblHeader/>
        </w:trPr>
        <w:tc>
          <w:tcPr>
            <w:tcW w:w="4761" w:type="dxa"/>
            <w:tcBorders>
              <w:bottom w:val="single" w:sz="4" w:space="0" w:color="auto"/>
            </w:tcBorders>
            <w:shd w:val="clear" w:color="auto" w:fill="auto"/>
            <w:vAlign w:val="bottom"/>
            <w:hideMark/>
          </w:tcPr>
          <w:p w14:paraId="01216D64"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7A6E4B46"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744AB43D"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70F17E78"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7B8DBA9A"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073C8D46" w14:textId="77777777" w:rsidR="0078495E" w:rsidRPr="00F72126" w:rsidRDefault="0078495E" w:rsidP="004C7BEF">
            <w:pPr>
              <w:pStyle w:val="ARtablecolheadright"/>
            </w:pPr>
            <w:r w:rsidRPr="00F72126">
              <w:t>Result</w:t>
            </w:r>
          </w:p>
        </w:tc>
      </w:tr>
      <w:tr w:rsidR="0078495E" w:rsidRPr="00D02A2E" w14:paraId="3CCA90EA" w14:textId="77777777" w:rsidTr="004C7BEF">
        <w:trPr>
          <w:cantSplit/>
        </w:trPr>
        <w:tc>
          <w:tcPr>
            <w:tcW w:w="9639" w:type="dxa"/>
            <w:gridSpan w:val="6"/>
            <w:tcBorders>
              <w:top w:val="single" w:sz="4" w:space="0" w:color="auto"/>
            </w:tcBorders>
            <w:shd w:val="clear" w:color="auto" w:fill="auto"/>
            <w:hideMark/>
          </w:tcPr>
          <w:p w14:paraId="7C289AE0" w14:textId="77777777" w:rsidR="0078495E" w:rsidRPr="00D02A2E" w:rsidRDefault="0078495E" w:rsidP="004C7BEF">
            <w:pPr>
              <w:pStyle w:val="ARtablegreybold"/>
              <w:rPr>
                <w:rFonts w:ascii="Wingdings" w:hAnsi="Wingdings"/>
              </w:rPr>
            </w:pPr>
            <w:r w:rsidRPr="00676DF7">
              <w:t>Quantity</w:t>
            </w:r>
          </w:p>
        </w:tc>
      </w:tr>
      <w:tr w:rsidR="0078495E" w:rsidRPr="00D02A2E" w14:paraId="7F2580E1" w14:textId="77777777" w:rsidTr="004C7BEF">
        <w:trPr>
          <w:cantSplit/>
        </w:trPr>
        <w:tc>
          <w:tcPr>
            <w:tcW w:w="4761" w:type="dxa"/>
            <w:shd w:val="clear" w:color="auto" w:fill="auto"/>
            <w:hideMark/>
          </w:tcPr>
          <w:p w14:paraId="42263F7E" w14:textId="77777777" w:rsidR="0078495E" w:rsidRPr="00D02A2E" w:rsidRDefault="0078495E" w:rsidP="004C7BEF">
            <w:pPr>
              <w:pStyle w:val="ARtabletext"/>
            </w:pPr>
            <w:r w:rsidRPr="00676DF7">
              <w:t>Separations</w:t>
            </w:r>
          </w:p>
        </w:tc>
        <w:tc>
          <w:tcPr>
            <w:tcW w:w="1021" w:type="dxa"/>
            <w:shd w:val="clear" w:color="auto" w:fill="auto"/>
            <w:hideMark/>
          </w:tcPr>
          <w:p w14:paraId="505EA07C" w14:textId="77777777" w:rsidR="0078495E" w:rsidRPr="00D02A2E" w:rsidRDefault="0078495E" w:rsidP="004C7BEF">
            <w:pPr>
              <w:pStyle w:val="ARtabletextcentre"/>
            </w:pPr>
            <w:r w:rsidRPr="00676DF7">
              <w:t>number (thousand)</w:t>
            </w:r>
          </w:p>
        </w:tc>
        <w:tc>
          <w:tcPr>
            <w:tcW w:w="1021" w:type="dxa"/>
            <w:shd w:val="clear" w:color="auto" w:fill="auto"/>
            <w:hideMark/>
          </w:tcPr>
          <w:p w14:paraId="593F9B79" w14:textId="77777777" w:rsidR="0078495E" w:rsidRDefault="0078495E" w:rsidP="004C7BEF">
            <w:pPr>
              <w:pStyle w:val="ARtabletextright"/>
            </w:pPr>
            <w:r w:rsidRPr="00676DF7">
              <w:t>35.8</w:t>
            </w:r>
          </w:p>
        </w:tc>
        <w:tc>
          <w:tcPr>
            <w:tcW w:w="1021" w:type="dxa"/>
            <w:shd w:val="clear" w:color="auto" w:fill="auto"/>
            <w:hideMark/>
          </w:tcPr>
          <w:p w14:paraId="783C5668" w14:textId="77777777" w:rsidR="0078495E" w:rsidRDefault="0078495E" w:rsidP="004C7BEF">
            <w:pPr>
              <w:pStyle w:val="ARtabletextright"/>
            </w:pPr>
            <w:r w:rsidRPr="00676DF7">
              <w:t>31</w:t>
            </w:r>
          </w:p>
        </w:tc>
        <w:tc>
          <w:tcPr>
            <w:tcW w:w="1021" w:type="dxa"/>
            <w:shd w:val="clear" w:color="auto" w:fill="auto"/>
          </w:tcPr>
          <w:p w14:paraId="3DCBD1BC" w14:textId="77777777" w:rsidR="0078495E" w:rsidRDefault="0078495E" w:rsidP="004C7BEF">
            <w:pPr>
              <w:pStyle w:val="ARtabletextright"/>
            </w:pPr>
            <w:r w:rsidRPr="00676DF7">
              <w:t>−13.4%</w:t>
            </w:r>
          </w:p>
        </w:tc>
        <w:tc>
          <w:tcPr>
            <w:tcW w:w="794" w:type="dxa"/>
            <w:shd w:val="clear" w:color="auto" w:fill="auto"/>
            <w:hideMark/>
          </w:tcPr>
          <w:p w14:paraId="4F3A002C" w14:textId="77777777" w:rsidR="0078495E" w:rsidRPr="00D02A2E" w:rsidRDefault="0078495E" w:rsidP="004C7BEF">
            <w:pPr>
              <w:pStyle w:val="ARtableperformancesymbol"/>
              <w:rPr>
                <w:rFonts w:hint="eastAsia"/>
              </w:rPr>
            </w:pPr>
            <w:r w:rsidRPr="00676DF7">
              <w:t></w:t>
            </w:r>
          </w:p>
        </w:tc>
      </w:tr>
      <w:tr w:rsidR="0078495E" w:rsidRPr="00D02A2E" w14:paraId="6FF9D6A3" w14:textId="77777777" w:rsidTr="004C7BEF">
        <w:trPr>
          <w:cantSplit/>
        </w:trPr>
        <w:tc>
          <w:tcPr>
            <w:tcW w:w="9639" w:type="dxa"/>
            <w:gridSpan w:val="6"/>
            <w:tcBorders>
              <w:bottom w:val="single" w:sz="4" w:space="0" w:color="BFBFBF"/>
            </w:tcBorders>
            <w:shd w:val="clear" w:color="auto" w:fill="auto"/>
            <w:noWrap/>
            <w:hideMark/>
          </w:tcPr>
          <w:p w14:paraId="5CCE4354" w14:textId="29D92A03" w:rsidR="0078495E" w:rsidRPr="00D02A2E" w:rsidRDefault="0072458B" w:rsidP="004C7BEF">
            <w:pPr>
              <w:pStyle w:val="ARtablenoteindent"/>
            </w:pPr>
            <w:r>
              <w:t>This is a measure of a</w:t>
            </w:r>
            <w:r w:rsidR="0078495E" w:rsidRPr="00676DF7">
              <w:t>ctivity</w:t>
            </w:r>
            <w:r w:rsidR="00ED233B">
              <w:t>, which</w:t>
            </w:r>
            <w:r w:rsidR="0078495E" w:rsidRPr="00676DF7">
              <w:t xml:space="preserve"> remains lower than expected due to the ongoing effect of the COVID-19 pandemic</w:t>
            </w:r>
            <w:r w:rsidR="00ED233B">
              <w:t>.</w:t>
            </w:r>
          </w:p>
        </w:tc>
      </w:tr>
      <w:tr w:rsidR="0078495E" w:rsidRPr="00D02A2E" w14:paraId="2EF0692F" w14:textId="77777777" w:rsidTr="004C7BEF">
        <w:trPr>
          <w:cantSplit/>
        </w:trPr>
        <w:tc>
          <w:tcPr>
            <w:tcW w:w="4761" w:type="dxa"/>
            <w:shd w:val="clear" w:color="auto" w:fill="auto"/>
            <w:hideMark/>
          </w:tcPr>
          <w:p w14:paraId="5EAC2559" w14:textId="77777777" w:rsidR="0078495E" w:rsidRPr="00D02A2E" w:rsidRDefault="0078495E" w:rsidP="004C7BEF">
            <w:pPr>
              <w:pStyle w:val="ARtabletext"/>
            </w:pPr>
            <w:r w:rsidRPr="00676DF7">
              <w:t>Small rural weighted activity unit</w:t>
            </w:r>
          </w:p>
        </w:tc>
        <w:tc>
          <w:tcPr>
            <w:tcW w:w="1021" w:type="dxa"/>
            <w:shd w:val="clear" w:color="auto" w:fill="auto"/>
            <w:hideMark/>
          </w:tcPr>
          <w:p w14:paraId="0D21A406" w14:textId="77777777" w:rsidR="0078495E" w:rsidRPr="00D02A2E" w:rsidRDefault="0078495E" w:rsidP="004C7BEF">
            <w:pPr>
              <w:pStyle w:val="ARtabletextcentre"/>
            </w:pPr>
            <w:r w:rsidRPr="00676DF7">
              <w:t>number (thousand)</w:t>
            </w:r>
          </w:p>
        </w:tc>
        <w:tc>
          <w:tcPr>
            <w:tcW w:w="1021" w:type="dxa"/>
            <w:shd w:val="clear" w:color="auto" w:fill="auto"/>
            <w:hideMark/>
          </w:tcPr>
          <w:p w14:paraId="5E9E21BE" w14:textId="77777777" w:rsidR="0078495E" w:rsidRDefault="0078495E" w:rsidP="004C7BEF">
            <w:pPr>
              <w:pStyle w:val="ARtabletextright"/>
            </w:pPr>
            <w:r w:rsidRPr="00676DF7">
              <w:t>350,000</w:t>
            </w:r>
          </w:p>
        </w:tc>
        <w:tc>
          <w:tcPr>
            <w:tcW w:w="1021" w:type="dxa"/>
            <w:shd w:val="clear" w:color="auto" w:fill="auto"/>
            <w:hideMark/>
          </w:tcPr>
          <w:p w14:paraId="73814C43" w14:textId="77777777" w:rsidR="0078495E" w:rsidRDefault="0078495E" w:rsidP="004C7BEF">
            <w:pPr>
              <w:pStyle w:val="ARtabletextright"/>
            </w:pPr>
            <w:r w:rsidRPr="00676DF7">
              <w:t>310,000</w:t>
            </w:r>
          </w:p>
        </w:tc>
        <w:tc>
          <w:tcPr>
            <w:tcW w:w="1021" w:type="dxa"/>
            <w:shd w:val="clear" w:color="auto" w:fill="auto"/>
          </w:tcPr>
          <w:p w14:paraId="4257A92A" w14:textId="77777777" w:rsidR="0078495E" w:rsidRDefault="0078495E" w:rsidP="004C7BEF">
            <w:pPr>
              <w:pStyle w:val="ARtabletextright"/>
            </w:pPr>
            <w:r w:rsidRPr="00676DF7">
              <w:t>−11.4%</w:t>
            </w:r>
          </w:p>
        </w:tc>
        <w:tc>
          <w:tcPr>
            <w:tcW w:w="794" w:type="dxa"/>
            <w:shd w:val="clear" w:color="auto" w:fill="auto"/>
            <w:hideMark/>
          </w:tcPr>
          <w:p w14:paraId="38018FA4" w14:textId="77777777" w:rsidR="0078495E" w:rsidRPr="00D02A2E" w:rsidRDefault="0078495E" w:rsidP="004C7BEF">
            <w:pPr>
              <w:pStyle w:val="ARtableperformancesymbol"/>
              <w:rPr>
                <w:rFonts w:hint="eastAsia"/>
              </w:rPr>
            </w:pPr>
            <w:r w:rsidRPr="00676DF7">
              <w:t></w:t>
            </w:r>
          </w:p>
        </w:tc>
      </w:tr>
      <w:tr w:rsidR="0078495E" w:rsidRPr="00D02A2E" w14:paraId="14C2A519" w14:textId="77777777" w:rsidTr="004C7BEF">
        <w:trPr>
          <w:cantSplit/>
        </w:trPr>
        <w:tc>
          <w:tcPr>
            <w:tcW w:w="9639" w:type="dxa"/>
            <w:gridSpan w:val="6"/>
            <w:tcBorders>
              <w:bottom w:val="single" w:sz="4" w:space="0" w:color="BFBFBF"/>
            </w:tcBorders>
            <w:shd w:val="clear" w:color="auto" w:fill="auto"/>
            <w:noWrap/>
            <w:hideMark/>
          </w:tcPr>
          <w:p w14:paraId="58000B69" w14:textId="0680A599" w:rsidR="0078495E" w:rsidRPr="00D02A2E" w:rsidRDefault="00ED233B" w:rsidP="004C7BEF">
            <w:pPr>
              <w:pStyle w:val="ARtablenoteindent"/>
            </w:pPr>
            <w:r>
              <w:t>This is a measure of a</w:t>
            </w:r>
            <w:r w:rsidR="0078495E" w:rsidRPr="00676DF7">
              <w:t>ctivity</w:t>
            </w:r>
            <w:r>
              <w:t>, which</w:t>
            </w:r>
            <w:r w:rsidR="0078495E" w:rsidRPr="00676DF7">
              <w:t xml:space="preserve"> </w:t>
            </w:r>
            <w:r w:rsidR="00A8715F">
              <w:t>remains lower than</w:t>
            </w:r>
            <w:r w:rsidR="0078495E" w:rsidRPr="00676DF7">
              <w:t xml:space="preserve"> expected due to</w:t>
            </w:r>
            <w:r w:rsidR="002D7F42">
              <w:t xml:space="preserve"> the</w:t>
            </w:r>
            <w:r w:rsidR="0078495E" w:rsidRPr="00676DF7">
              <w:t xml:space="preserve"> ongoing effect of </w:t>
            </w:r>
            <w:r w:rsidR="002D7F42">
              <w:t xml:space="preserve">the </w:t>
            </w:r>
            <w:r w:rsidR="0078495E" w:rsidRPr="00676DF7">
              <w:t>COVID-19 pandemic</w:t>
            </w:r>
            <w:r w:rsidR="002D7F42">
              <w:t>.</w:t>
            </w:r>
          </w:p>
        </w:tc>
      </w:tr>
      <w:tr w:rsidR="0078495E" w:rsidRPr="00D02A2E" w14:paraId="7BC08139" w14:textId="77777777" w:rsidTr="004C7BEF">
        <w:trPr>
          <w:cantSplit/>
        </w:trPr>
        <w:tc>
          <w:tcPr>
            <w:tcW w:w="9639" w:type="dxa"/>
            <w:gridSpan w:val="6"/>
            <w:tcBorders>
              <w:top w:val="single" w:sz="4" w:space="0" w:color="auto"/>
            </w:tcBorders>
            <w:shd w:val="clear" w:color="auto" w:fill="auto"/>
            <w:hideMark/>
          </w:tcPr>
          <w:p w14:paraId="0A445D6B" w14:textId="77777777" w:rsidR="0078495E" w:rsidRPr="00D02A2E" w:rsidRDefault="0078495E" w:rsidP="004C7BEF">
            <w:pPr>
              <w:pStyle w:val="ARtablegreybold"/>
              <w:rPr>
                <w:rFonts w:ascii="Wingdings" w:hAnsi="Wingdings"/>
              </w:rPr>
            </w:pPr>
            <w:r w:rsidRPr="00676DF7">
              <w:t>Quality</w:t>
            </w:r>
          </w:p>
        </w:tc>
      </w:tr>
      <w:tr w:rsidR="0078495E" w:rsidRPr="00D02A2E" w14:paraId="7F69B0D7" w14:textId="77777777" w:rsidTr="004C7BEF">
        <w:trPr>
          <w:cantSplit/>
        </w:trPr>
        <w:tc>
          <w:tcPr>
            <w:tcW w:w="4761" w:type="dxa"/>
            <w:tcBorders>
              <w:bottom w:val="single" w:sz="4" w:space="0" w:color="BFBFBF"/>
            </w:tcBorders>
            <w:shd w:val="clear" w:color="auto" w:fill="auto"/>
            <w:hideMark/>
          </w:tcPr>
          <w:p w14:paraId="232A601E" w14:textId="77777777" w:rsidR="0078495E" w:rsidRPr="00D02A2E" w:rsidRDefault="0078495E" w:rsidP="004C7BEF">
            <w:pPr>
              <w:pStyle w:val="ARtabletext"/>
            </w:pPr>
            <w:r w:rsidRPr="00676DF7">
              <w:t>Percentage of health services accredited</w:t>
            </w:r>
          </w:p>
        </w:tc>
        <w:tc>
          <w:tcPr>
            <w:tcW w:w="1021" w:type="dxa"/>
            <w:tcBorders>
              <w:bottom w:val="single" w:sz="4" w:space="0" w:color="BFBFBF"/>
            </w:tcBorders>
            <w:shd w:val="clear" w:color="auto" w:fill="auto"/>
            <w:hideMark/>
          </w:tcPr>
          <w:p w14:paraId="2BB634D8" w14:textId="77777777" w:rsidR="0078495E" w:rsidRPr="00D02A2E" w:rsidRDefault="0078495E" w:rsidP="004C7BEF">
            <w:pPr>
              <w:pStyle w:val="ARtabletextcentre"/>
            </w:pPr>
            <w:r w:rsidRPr="00676DF7">
              <w:t>per cent</w:t>
            </w:r>
          </w:p>
        </w:tc>
        <w:tc>
          <w:tcPr>
            <w:tcW w:w="1021" w:type="dxa"/>
            <w:tcBorders>
              <w:bottom w:val="single" w:sz="4" w:space="0" w:color="BFBFBF"/>
            </w:tcBorders>
            <w:shd w:val="clear" w:color="auto" w:fill="auto"/>
            <w:hideMark/>
          </w:tcPr>
          <w:p w14:paraId="08160310" w14:textId="77777777" w:rsidR="0078495E" w:rsidRDefault="0078495E" w:rsidP="004C7BEF">
            <w:pPr>
              <w:pStyle w:val="ARtabletextright"/>
            </w:pPr>
            <w:r w:rsidRPr="00676DF7">
              <w:t>100</w:t>
            </w:r>
          </w:p>
        </w:tc>
        <w:tc>
          <w:tcPr>
            <w:tcW w:w="1021" w:type="dxa"/>
            <w:tcBorders>
              <w:bottom w:val="single" w:sz="4" w:space="0" w:color="BFBFBF"/>
            </w:tcBorders>
            <w:shd w:val="clear" w:color="auto" w:fill="auto"/>
            <w:hideMark/>
          </w:tcPr>
          <w:p w14:paraId="4F801FF4" w14:textId="77777777" w:rsidR="0078495E" w:rsidRDefault="0078495E" w:rsidP="004C7BEF">
            <w:pPr>
              <w:pStyle w:val="ARtabletextright"/>
            </w:pPr>
            <w:r w:rsidRPr="00676DF7">
              <w:t>100</w:t>
            </w:r>
          </w:p>
        </w:tc>
        <w:tc>
          <w:tcPr>
            <w:tcW w:w="1021" w:type="dxa"/>
            <w:tcBorders>
              <w:bottom w:val="single" w:sz="4" w:space="0" w:color="BFBFBF"/>
            </w:tcBorders>
            <w:shd w:val="clear" w:color="auto" w:fill="auto"/>
          </w:tcPr>
          <w:p w14:paraId="0156B4C0" w14:textId="77777777" w:rsidR="0078495E" w:rsidRDefault="0078495E" w:rsidP="004C7BEF">
            <w:pPr>
              <w:pStyle w:val="ARtabletextright"/>
            </w:pPr>
            <w:r w:rsidRPr="00676DF7">
              <w:t>0.0%</w:t>
            </w:r>
          </w:p>
        </w:tc>
        <w:tc>
          <w:tcPr>
            <w:tcW w:w="794" w:type="dxa"/>
            <w:tcBorders>
              <w:bottom w:val="single" w:sz="4" w:space="0" w:color="BFBFBF"/>
            </w:tcBorders>
            <w:shd w:val="clear" w:color="auto" w:fill="auto"/>
            <w:hideMark/>
          </w:tcPr>
          <w:p w14:paraId="7660ECCF" w14:textId="77777777" w:rsidR="0078495E" w:rsidRPr="00D02A2E" w:rsidRDefault="0078495E" w:rsidP="004C7BEF">
            <w:pPr>
              <w:pStyle w:val="ARtableperformancesymbol"/>
              <w:rPr>
                <w:rFonts w:hint="eastAsia"/>
              </w:rPr>
            </w:pPr>
            <w:r w:rsidRPr="00676DF7">
              <w:t></w:t>
            </w:r>
          </w:p>
        </w:tc>
      </w:tr>
      <w:tr w:rsidR="0078495E" w:rsidRPr="00D02A2E" w14:paraId="1170B412" w14:textId="77777777" w:rsidTr="004C7BEF">
        <w:trPr>
          <w:cantSplit/>
        </w:trPr>
        <w:tc>
          <w:tcPr>
            <w:tcW w:w="9639" w:type="dxa"/>
            <w:gridSpan w:val="6"/>
            <w:tcBorders>
              <w:top w:val="single" w:sz="4" w:space="0" w:color="auto"/>
            </w:tcBorders>
            <w:shd w:val="clear" w:color="auto" w:fill="auto"/>
            <w:hideMark/>
          </w:tcPr>
          <w:p w14:paraId="14B22636" w14:textId="77777777" w:rsidR="0078495E" w:rsidRPr="00D02A2E" w:rsidRDefault="0078495E" w:rsidP="004C7BEF">
            <w:pPr>
              <w:pStyle w:val="ARtablegreybold"/>
              <w:rPr>
                <w:rFonts w:ascii="Wingdings" w:hAnsi="Wingdings"/>
              </w:rPr>
            </w:pPr>
            <w:r w:rsidRPr="00676DF7">
              <w:t>Cost</w:t>
            </w:r>
          </w:p>
        </w:tc>
      </w:tr>
      <w:tr w:rsidR="0078495E" w:rsidRPr="00767500" w14:paraId="797650B0" w14:textId="77777777" w:rsidTr="004C7BEF">
        <w:trPr>
          <w:cantSplit/>
        </w:trPr>
        <w:tc>
          <w:tcPr>
            <w:tcW w:w="4761" w:type="dxa"/>
            <w:shd w:val="clear" w:color="auto" w:fill="auto"/>
            <w:hideMark/>
          </w:tcPr>
          <w:p w14:paraId="2BB8D0D6" w14:textId="77777777" w:rsidR="0078495E" w:rsidRPr="00767500" w:rsidRDefault="0078495E" w:rsidP="004C7BEF">
            <w:pPr>
              <w:pStyle w:val="ARtabletext"/>
              <w:rPr>
                <w:b/>
                <w:bCs/>
              </w:rPr>
            </w:pPr>
            <w:r w:rsidRPr="00767500">
              <w:rPr>
                <w:b/>
                <w:bCs/>
              </w:rPr>
              <w:t>Total Output Cost</w:t>
            </w:r>
          </w:p>
        </w:tc>
        <w:tc>
          <w:tcPr>
            <w:tcW w:w="1021" w:type="dxa"/>
            <w:shd w:val="clear" w:color="auto" w:fill="auto"/>
            <w:hideMark/>
          </w:tcPr>
          <w:p w14:paraId="6C30615B" w14:textId="77777777" w:rsidR="0078495E" w:rsidRPr="00767500" w:rsidRDefault="0078495E" w:rsidP="004C7BEF">
            <w:pPr>
              <w:pStyle w:val="ARtabletextcentre"/>
              <w:rPr>
                <w:b/>
                <w:bCs/>
              </w:rPr>
            </w:pPr>
            <w:r w:rsidRPr="00767500">
              <w:rPr>
                <w:b/>
                <w:bCs/>
              </w:rPr>
              <w:t>$ million</w:t>
            </w:r>
          </w:p>
        </w:tc>
        <w:tc>
          <w:tcPr>
            <w:tcW w:w="1021" w:type="dxa"/>
            <w:shd w:val="clear" w:color="auto" w:fill="auto"/>
            <w:hideMark/>
          </w:tcPr>
          <w:p w14:paraId="1713C211" w14:textId="77777777" w:rsidR="0078495E" w:rsidRPr="00767500" w:rsidRDefault="0078495E" w:rsidP="004C7BEF">
            <w:pPr>
              <w:pStyle w:val="ARtabletextright"/>
              <w:rPr>
                <w:b/>
                <w:bCs/>
              </w:rPr>
            </w:pPr>
            <w:r w:rsidRPr="00767500">
              <w:rPr>
                <w:b/>
                <w:bCs/>
              </w:rPr>
              <w:t>431.5</w:t>
            </w:r>
          </w:p>
        </w:tc>
        <w:tc>
          <w:tcPr>
            <w:tcW w:w="1021" w:type="dxa"/>
            <w:shd w:val="clear" w:color="auto" w:fill="auto"/>
            <w:hideMark/>
          </w:tcPr>
          <w:p w14:paraId="6C08D021" w14:textId="77777777" w:rsidR="0078495E" w:rsidRPr="00767500" w:rsidRDefault="0078495E" w:rsidP="004C7BEF">
            <w:pPr>
              <w:pStyle w:val="ARtabletextright"/>
              <w:rPr>
                <w:b/>
                <w:bCs/>
              </w:rPr>
            </w:pPr>
            <w:r w:rsidRPr="00767500">
              <w:rPr>
                <w:b/>
                <w:bCs/>
              </w:rPr>
              <w:t>454.2</w:t>
            </w:r>
          </w:p>
        </w:tc>
        <w:tc>
          <w:tcPr>
            <w:tcW w:w="1021" w:type="dxa"/>
            <w:shd w:val="clear" w:color="auto" w:fill="auto"/>
          </w:tcPr>
          <w:p w14:paraId="2925668B" w14:textId="77777777" w:rsidR="0078495E" w:rsidRPr="00767500" w:rsidRDefault="0078495E" w:rsidP="004C7BEF">
            <w:pPr>
              <w:pStyle w:val="ARtabletextright"/>
              <w:rPr>
                <w:b/>
                <w:bCs/>
              </w:rPr>
            </w:pPr>
            <w:r w:rsidRPr="00767500">
              <w:rPr>
                <w:b/>
                <w:bCs/>
              </w:rPr>
              <w:t>5.3%</w:t>
            </w:r>
          </w:p>
        </w:tc>
        <w:tc>
          <w:tcPr>
            <w:tcW w:w="794" w:type="dxa"/>
            <w:shd w:val="clear" w:color="auto" w:fill="auto"/>
            <w:hideMark/>
          </w:tcPr>
          <w:p w14:paraId="1ADBB332" w14:textId="77777777" w:rsidR="0078495E" w:rsidRPr="00767500" w:rsidRDefault="0078495E" w:rsidP="004C7BEF">
            <w:pPr>
              <w:pStyle w:val="ARtabletextright"/>
              <w:rPr>
                <w:b/>
                <w:bCs/>
              </w:rPr>
            </w:pPr>
          </w:p>
        </w:tc>
      </w:tr>
      <w:tr w:rsidR="0078495E" w:rsidRPr="00D02A2E" w14:paraId="381EE09E" w14:textId="77777777" w:rsidTr="004C7BEF">
        <w:trPr>
          <w:cantSplit/>
        </w:trPr>
        <w:tc>
          <w:tcPr>
            <w:tcW w:w="9639" w:type="dxa"/>
            <w:gridSpan w:val="6"/>
            <w:tcBorders>
              <w:bottom w:val="single" w:sz="4" w:space="0" w:color="auto"/>
            </w:tcBorders>
            <w:shd w:val="clear" w:color="auto" w:fill="auto"/>
            <w:noWrap/>
            <w:hideMark/>
          </w:tcPr>
          <w:p w14:paraId="4B0273BC" w14:textId="35862867" w:rsidR="0078495E" w:rsidRPr="00D02A2E" w:rsidRDefault="0078495E" w:rsidP="004C7BEF">
            <w:pPr>
              <w:pStyle w:val="ARtablenoteindent"/>
            </w:pPr>
            <w:r w:rsidRPr="00676DF7">
              <w:t xml:space="preserve">The 2021–22 actual outcome primarily </w:t>
            </w:r>
            <w:r w:rsidRPr="00177990">
              <w:t xml:space="preserve">reflects </w:t>
            </w:r>
            <w:r w:rsidR="00177990" w:rsidRPr="002D7F42">
              <w:t xml:space="preserve">funding </w:t>
            </w:r>
            <w:r w:rsidRPr="002D7F42">
              <w:t xml:space="preserve">increases </w:t>
            </w:r>
            <w:r w:rsidR="00177990" w:rsidRPr="002D7F42">
              <w:t xml:space="preserve">associated with </w:t>
            </w:r>
            <w:r w:rsidRPr="002D7F42">
              <w:t>government policy</w:t>
            </w:r>
            <w:r w:rsidRPr="00177990">
              <w:t xml:space="preserve"> initiatives</w:t>
            </w:r>
            <w:r w:rsidRPr="00676DF7">
              <w:t xml:space="preserve"> related to the COVID-19 response.</w:t>
            </w:r>
          </w:p>
        </w:tc>
      </w:tr>
    </w:tbl>
    <w:p w14:paraId="0A472137" w14:textId="77777777" w:rsidR="00C7208D" w:rsidRPr="001C60F2" w:rsidRDefault="00C7208D" w:rsidP="001C60F2">
      <w:pPr>
        <w:pStyle w:val="ARbody"/>
      </w:pPr>
      <w:r w:rsidRPr="001C60F2">
        <w:br w:type="page"/>
      </w:r>
    </w:p>
    <w:p w14:paraId="10650A02" w14:textId="33316D9E" w:rsidR="0078495E" w:rsidRDefault="0078495E" w:rsidP="00306875">
      <w:pPr>
        <w:pStyle w:val="Heading4"/>
        <w:spacing w:before="400"/>
      </w:pPr>
      <w:r>
        <w:t>Small Rural Services – Aged Care</w:t>
      </w:r>
    </w:p>
    <w:p w14:paraId="13870143" w14:textId="78742DFE" w:rsidR="0078495E" w:rsidRDefault="00560A59" w:rsidP="0078495E">
      <w:pPr>
        <w:pStyle w:val="ARbody"/>
      </w:pPr>
      <w:r w:rsidRPr="00560A59">
        <w:t>This output includes delivery of in home, community-based and residential care services for older people, delivered in small rural towns.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3FEC0CCB" w14:textId="77777777" w:rsidTr="004C7BEF">
        <w:trPr>
          <w:cantSplit/>
          <w:tblHeader/>
        </w:trPr>
        <w:tc>
          <w:tcPr>
            <w:tcW w:w="4761" w:type="dxa"/>
            <w:tcBorders>
              <w:bottom w:val="single" w:sz="4" w:space="0" w:color="auto"/>
            </w:tcBorders>
            <w:shd w:val="clear" w:color="auto" w:fill="auto"/>
            <w:vAlign w:val="bottom"/>
            <w:hideMark/>
          </w:tcPr>
          <w:p w14:paraId="0F3D9937"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492B8615"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25C3A8D3"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5E306E48"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0303B2E0"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3FF1F25F" w14:textId="77777777" w:rsidR="0078495E" w:rsidRPr="00F72126" w:rsidRDefault="0078495E" w:rsidP="004C7BEF">
            <w:pPr>
              <w:pStyle w:val="ARtablecolheadright"/>
            </w:pPr>
            <w:r w:rsidRPr="00F72126">
              <w:t>Result</w:t>
            </w:r>
          </w:p>
        </w:tc>
      </w:tr>
      <w:tr w:rsidR="0078495E" w:rsidRPr="00D02A2E" w14:paraId="4CA467AF" w14:textId="77777777" w:rsidTr="004C7BEF">
        <w:trPr>
          <w:cantSplit/>
        </w:trPr>
        <w:tc>
          <w:tcPr>
            <w:tcW w:w="9639" w:type="dxa"/>
            <w:gridSpan w:val="6"/>
            <w:tcBorders>
              <w:top w:val="single" w:sz="4" w:space="0" w:color="auto"/>
            </w:tcBorders>
            <w:shd w:val="clear" w:color="auto" w:fill="auto"/>
            <w:hideMark/>
          </w:tcPr>
          <w:p w14:paraId="5DB38FE7" w14:textId="77777777" w:rsidR="0078495E" w:rsidRPr="00D02A2E" w:rsidRDefault="0078495E" w:rsidP="004C7BEF">
            <w:pPr>
              <w:pStyle w:val="ARtablegreybold"/>
              <w:rPr>
                <w:rFonts w:ascii="Wingdings" w:hAnsi="Wingdings"/>
              </w:rPr>
            </w:pPr>
            <w:r w:rsidRPr="00C0799C">
              <w:t>Quantity</w:t>
            </w:r>
          </w:p>
        </w:tc>
      </w:tr>
      <w:tr w:rsidR="0078495E" w:rsidRPr="00D02A2E" w14:paraId="4DDC1B79" w14:textId="77777777" w:rsidTr="004C7BEF">
        <w:trPr>
          <w:cantSplit/>
        </w:trPr>
        <w:tc>
          <w:tcPr>
            <w:tcW w:w="4761" w:type="dxa"/>
            <w:shd w:val="clear" w:color="auto" w:fill="auto"/>
            <w:hideMark/>
          </w:tcPr>
          <w:p w14:paraId="5A2A8B73" w14:textId="77777777" w:rsidR="0078495E" w:rsidRPr="00D02A2E" w:rsidRDefault="0078495E" w:rsidP="004C7BEF">
            <w:pPr>
              <w:pStyle w:val="ARtabletext"/>
            </w:pPr>
            <w:r w:rsidRPr="00C0799C">
              <w:t>Small rural available bed days</w:t>
            </w:r>
          </w:p>
        </w:tc>
        <w:tc>
          <w:tcPr>
            <w:tcW w:w="1021" w:type="dxa"/>
            <w:shd w:val="clear" w:color="auto" w:fill="auto"/>
            <w:hideMark/>
          </w:tcPr>
          <w:p w14:paraId="2D34A3AE" w14:textId="77777777" w:rsidR="0078495E" w:rsidRPr="00D02A2E" w:rsidRDefault="0078495E" w:rsidP="004C7BEF">
            <w:pPr>
              <w:pStyle w:val="ARtabletextcentre"/>
            </w:pPr>
            <w:r w:rsidRPr="00C0799C">
              <w:t xml:space="preserve">number </w:t>
            </w:r>
          </w:p>
        </w:tc>
        <w:tc>
          <w:tcPr>
            <w:tcW w:w="1021" w:type="dxa"/>
            <w:shd w:val="clear" w:color="auto" w:fill="auto"/>
            <w:hideMark/>
          </w:tcPr>
          <w:p w14:paraId="57780913" w14:textId="77777777" w:rsidR="0078495E" w:rsidRDefault="0078495E" w:rsidP="004C7BEF">
            <w:pPr>
              <w:pStyle w:val="ARtabletextright"/>
            </w:pPr>
            <w:r w:rsidRPr="00C0799C">
              <w:t>701,143</w:t>
            </w:r>
          </w:p>
        </w:tc>
        <w:tc>
          <w:tcPr>
            <w:tcW w:w="1021" w:type="dxa"/>
            <w:shd w:val="clear" w:color="auto" w:fill="auto"/>
            <w:hideMark/>
          </w:tcPr>
          <w:p w14:paraId="330106F4" w14:textId="77777777" w:rsidR="0078495E" w:rsidRDefault="0078495E" w:rsidP="004C7BEF">
            <w:pPr>
              <w:pStyle w:val="ARtabletextright"/>
            </w:pPr>
            <w:r w:rsidRPr="00C0799C">
              <w:t>701,143</w:t>
            </w:r>
          </w:p>
        </w:tc>
        <w:tc>
          <w:tcPr>
            <w:tcW w:w="1021" w:type="dxa"/>
            <w:shd w:val="clear" w:color="auto" w:fill="auto"/>
          </w:tcPr>
          <w:p w14:paraId="49748B71" w14:textId="77777777" w:rsidR="0078495E" w:rsidRDefault="0078495E" w:rsidP="004C7BEF">
            <w:pPr>
              <w:pStyle w:val="ARtabletextright"/>
            </w:pPr>
            <w:r w:rsidRPr="00C0799C">
              <w:t>0.0%</w:t>
            </w:r>
          </w:p>
        </w:tc>
        <w:tc>
          <w:tcPr>
            <w:tcW w:w="794" w:type="dxa"/>
            <w:shd w:val="clear" w:color="auto" w:fill="auto"/>
            <w:hideMark/>
          </w:tcPr>
          <w:p w14:paraId="17164EDC" w14:textId="77777777" w:rsidR="0078495E" w:rsidRPr="00D02A2E" w:rsidRDefault="0078495E" w:rsidP="004C7BEF">
            <w:pPr>
              <w:pStyle w:val="ARtableperformancesymbol"/>
              <w:rPr>
                <w:rFonts w:hint="eastAsia"/>
              </w:rPr>
            </w:pPr>
            <w:r w:rsidRPr="00C0799C">
              <w:t></w:t>
            </w:r>
          </w:p>
        </w:tc>
      </w:tr>
      <w:tr w:rsidR="0078495E" w:rsidRPr="00D02A2E" w14:paraId="556BE5E9" w14:textId="77777777" w:rsidTr="004C7BEF">
        <w:trPr>
          <w:cantSplit/>
        </w:trPr>
        <w:tc>
          <w:tcPr>
            <w:tcW w:w="9639" w:type="dxa"/>
            <w:gridSpan w:val="6"/>
            <w:tcBorders>
              <w:top w:val="single" w:sz="4" w:space="0" w:color="auto"/>
            </w:tcBorders>
            <w:shd w:val="clear" w:color="auto" w:fill="auto"/>
            <w:hideMark/>
          </w:tcPr>
          <w:p w14:paraId="1016CAB9" w14:textId="77777777" w:rsidR="0078495E" w:rsidRPr="00D02A2E" w:rsidRDefault="0078495E" w:rsidP="004C7BEF">
            <w:pPr>
              <w:pStyle w:val="ARtablegreybold"/>
              <w:rPr>
                <w:rFonts w:ascii="Wingdings" w:hAnsi="Wingdings"/>
              </w:rPr>
            </w:pPr>
            <w:r w:rsidRPr="00C0799C">
              <w:t>Quality</w:t>
            </w:r>
          </w:p>
        </w:tc>
      </w:tr>
      <w:tr w:rsidR="0078495E" w:rsidRPr="00D02A2E" w14:paraId="640B88EC" w14:textId="77777777" w:rsidTr="004C7BEF">
        <w:trPr>
          <w:cantSplit/>
        </w:trPr>
        <w:tc>
          <w:tcPr>
            <w:tcW w:w="4761" w:type="dxa"/>
            <w:tcBorders>
              <w:bottom w:val="single" w:sz="4" w:space="0" w:color="BFBFBF"/>
            </w:tcBorders>
            <w:shd w:val="clear" w:color="auto" w:fill="auto"/>
            <w:hideMark/>
          </w:tcPr>
          <w:p w14:paraId="275FF928" w14:textId="77777777" w:rsidR="0078495E" w:rsidRPr="00D02A2E" w:rsidRDefault="0078495E" w:rsidP="004C7BEF">
            <w:pPr>
              <w:pStyle w:val="ARtabletext"/>
            </w:pPr>
            <w:r w:rsidRPr="00C0799C">
              <w:t>Residential care services accredited</w:t>
            </w:r>
          </w:p>
        </w:tc>
        <w:tc>
          <w:tcPr>
            <w:tcW w:w="1021" w:type="dxa"/>
            <w:tcBorders>
              <w:bottom w:val="single" w:sz="4" w:space="0" w:color="BFBFBF"/>
            </w:tcBorders>
            <w:shd w:val="clear" w:color="auto" w:fill="auto"/>
            <w:hideMark/>
          </w:tcPr>
          <w:p w14:paraId="27E64162" w14:textId="77777777" w:rsidR="0078495E" w:rsidRPr="00D02A2E" w:rsidRDefault="0078495E" w:rsidP="004C7BEF">
            <w:pPr>
              <w:pStyle w:val="ARtabletextcentre"/>
            </w:pPr>
            <w:r w:rsidRPr="00C0799C">
              <w:t>per cent</w:t>
            </w:r>
          </w:p>
        </w:tc>
        <w:tc>
          <w:tcPr>
            <w:tcW w:w="1021" w:type="dxa"/>
            <w:tcBorders>
              <w:bottom w:val="single" w:sz="4" w:space="0" w:color="BFBFBF"/>
            </w:tcBorders>
            <w:shd w:val="clear" w:color="auto" w:fill="auto"/>
            <w:hideMark/>
          </w:tcPr>
          <w:p w14:paraId="47671BE0" w14:textId="77777777" w:rsidR="0078495E" w:rsidRDefault="0078495E" w:rsidP="004C7BEF">
            <w:pPr>
              <w:pStyle w:val="ARtabletextright"/>
            </w:pPr>
            <w:r w:rsidRPr="00C0799C">
              <w:t>100</w:t>
            </w:r>
          </w:p>
        </w:tc>
        <w:tc>
          <w:tcPr>
            <w:tcW w:w="1021" w:type="dxa"/>
            <w:tcBorders>
              <w:bottom w:val="single" w:sz="4" w:space="0" w:color="BFBFBF"/>
            </w:tcBorders>
            <w:shd w:val="clear" w:color="auto" w:fill="auto"/>
            <w:hideMark/>
          </w:tcPr>
          <w:p w14:paraId="59A540F5" w14:textId="77777777" w:rsidR="0078495E" w:rsidRDefault="0078495E" w:rsidP="004C7BEF">
            <w:pPr>
              <w:pStyle w:val="ARtabletextright"/>
            </w:pPr>
            <w:r w:rsidRPr="00C0799C">
              <w:t>100</w:t>
            </w:r>
          </w:p>
        </w:tc>
        <w:tc>
          <w:tcPr>
            <w:tcW w:w="1021" w:type="dxa"/>
            <w:tcBorders>
              <w:bottom w:val="single" w:sz="4" w:space="0" w:color="BFBFBF"/>
            </w:tcBorders>
            <w:shd w:val="clear" w:color="auto" w:fill="auto"/>
          </w:tcPr>
          <w:p w14:paraId="33B9D604" w14:textId="77777777" w:rsidR="0078495E" w:rsidRDefault="0078495E" w:rsidP="004C7BEF">
            <w:pPr>
              <w:pStyle w:val="ARtabletextright"/>
            </w:pPr>
            <w:r w:rsidRPr="00C0799C">
              <w:t>0.0%</w:t>
            </w:r>
          </w:p>
        </w:tc>
        <w:tc>
          <w:tcPr>
            <w:tcW w:w="794" w:type="dxa"/>
            <w:tcBorders>
              <w:bottom w:val="single" w:sz="4" w:space="0" w:color="BFBFBF"/>
            </w:tcBorders>
            <w:shd w:val="clear" w:color="auto" w:fill="auto"/>
            <w:hideMark/>
          </w:tcPr>
          <w:p w14:paraId="7B541737" w14:textId="77777777" w:rsidR="0078495E" w:rsidRPr="00D02A2E" w:rsidRDefault="0078495E" w:rsidP="004C7BEF">
            <w:pPr>
              <w:pStyle w:val="ARtableperformancesymbol"/>
              <w:rPr>
                <w:rFonts w:hint="eastAsia"/>
              </w:rPr>
            </w:pPr>
            <w:r w:rsidRPr="00C0799C">
              <w:t></w:t>
            </w:r>
          </w:p>
        </w:tc>
      </w:tr>
      <w:tr w:rsidR="0078495E" w:rsidRPr="00D02A2E" w14:paraId="2E68C381" w14:textId="77777777" w:rsidTr="004C7BEF">
        <w:trPr>
          <w:cantSplit/>
        </w:trPr>
        <w:tc>
          <w:tcPr>
            <w:tcW w:w="9639" w:type="dxa"/>
            <w:gridSpan w:val="6"/>
            <w:tcBorders>
              <w:top w:val="single" w:sz="4" w:space="0" w:color="auto"/>
            </w:tcBorders>
            <w:shd w:val="clear" w:color="auto" w:fill="auto"/>
            <w:hideMark/>
          </w:tcPr>
          <w:p w14:paraId="2990ADD0" w14:textId="77777777" w:rsidR="0078495E" w:rsidRPr="00D02A2E" w:rsidRDefault="0078495E" w:rsidP="004C7BEF">
            <w:pPr>
              <w:pStyle w:val="ARtablegreybold"/>
              <w:rPr>
                <w:rFonts w:ascii="Wingdings" w:hAnsi="Wingdings"/>
              </w:rPr>
            </w:pPr>
            <w:r w:rsidRPr="00C0799C">
              <w:t>Cost</w:t>
            </w:r>
          </w:p>
        </w:tc>
      </w:tr>
      <w:tr w:rsidR="0078495E" w:rsidRPr="009077CD" w14:paraId="77FD05A9" w14:textId="77777777" w:rsidTr="004C7BEF">
        <w:trPr>
          <w:cantSplit/>
        </w:trPr>
        <w:tc>
          <w:tcPr>
            <w:tcW w:w="4761" w:type="dxa"/>
            <w:shd w:val="clear" w:color="auto" w:fill="auto"/>
            <w:hideMark/>
          </w:tcPr>
          <w:p w14:paraId="0420F586" w14:textId="77777777" w:rsidR="0078495E" w:rsidRPr="009077CD" w:rsidRDefault="0078495E" w:rsidP="004C7BEF">
            <w:pPr>
              <w:pStyle w:val="ARtabletext"/>
              <w:rPr>
                <w:b/>
                <w:bCs/>
              </w:rPr>
            </w:pPr>
            <w:r w:rsidRPr="009077CD">
              <w:rPr>
                <w:b/>
                <w:bCs/>
              </w:rPr>
              <w:t>Total Output Cost</w:t>
            </w:r>
          </w:p>
        </w:tc>
        <w:tc>
          <w:tcPr>
            <w:tcW w:w="1021" w:type="dxa"/>
            <w:shd w:val="clear" w:color="auto" w:fill="auto"/>
            <w:hideMark/>
          </w:tcPr>
          <w:p w14:paraId="7F77B7FE" w14:textId="77777777" w:rsidR="0078495E" w:rsidRPr="009077CD" w:rsidRDefault="0078495E" w:rsidP="004C7BEF">
            <w:pPr>
              <w:pStyle w:val="ARtabletextcentre"/>
              <w:rPr>
                <w:b/>
                <w:bCs/>
              </w:rPr>
            </w:pPr>
            <w:r w:rsidRPr="009077CD">
              <w:rPr>
                <w:b/>
                <w:bCs/>
              </w:rPr>
              <w:t>$ million</w:t>
            </w:r>
          </w:p>
        </w:tc>
        <w:tc>
          <w:tcPr>
            <w:tcW w:w="1021" w:type="dxa"/>
            <w:shd w:val="clear" w:color="auto" w:fill="auto"/>
            <w:hideMark/>
          </w:tcPr>
          <w:p w14:paraId="2EDA92D2" w14:textId="77777777" w:rsidR="0078495E" w:rsidRPr="009077CD" w:rsidRDefault="0078495E" w:rsidP="004C7BEF">
            <w:pPr>
              <w:pStyle w:val="ARtabletextright"/>
              <w:rPr>
                <w:b/>
                <w:bCs/>
              </w:rPr>
            </w:pPr>
            <w:r w:rsidRPr="009077CD">
              <w:rPr>
                <w:b/>
                <w:bCs/>
              </w:rPr>
              <w:t>243.9</w:t>
            </w:r>
          </w:p>
        </w:tc>
        <w:tc>
          <w:tcPr>
            <w:tcW w:w="1021" w:type="dxa"/>
            <w:shd w:val="clear" w:color="auto" w:fill="auto"/>
            <w:hideMark/>
          </w:tcPr>
          <w:p w14:paraId="123F4C65" w14:textId="77777777" w:rsidR="0078495E" w:rsidRPr="009077CD" w:rsidRDefault="0078495E" w:rsidP="004C7BEF">
            <w:pPr>
              <w:pStyle w:val="ARtabletextright"/>
              <w:rPr>
                <w:b/>
                <w:bCs/>
              </w:rPr>
            </w:pPr>
            <w:r w:rsidRPr="009077CD">
              <w:rPr>
                <w:b/>
                <w:bCs/>
              </w:rPr>
              <w:t>251.3</w:t>
            </w:r>
          </w:p>
        </w:tc>
        <w:tc>
          <w:tcPr>
            <w:tcW w:w="1021" w:type="dxa"/>
            <w:shd w:val="clear" w:color="auto" w:fill="auto"/>
          </w:tcPr>
          <w:p w14:paraId="21628AD2" w14:textId="77777777" w:rsidR="0078495E" w:rsidRPr="009077CD" w:rsidRDefault="0078495E" w:rsidP="004C7BEF">
            <w:pPr>
              <w:pStyle w:val="ARtabletextright"/>
              <w:rPr>
                <w:b/>
                <w:bCs/>
              </w:rPr>
            </w:pPr>
            <w:r w:rsidRPr="009077CD">
              <w:rPr>
                <w:b/>
                <w:bCs/>
              </w:rPr>
              <w:t>3.0%</w:t>
            </w:r>
          </w:p>
        </w:tc>
        <w:tc>
          <w:tcPr>
            <w:tcW w:w="794" w:type="dxa"/>
            <w:shd w:val="clear" w:color="auto" w:fill="auto"/>
            <w:hideMark/>
          </w:tcPr>
          <w:p w14:paraId="5C7462BE" w14:textId="77777777" w:rsidR="0078495E" w:rsidRPr="009077CD" w:rsidRDefault="0078495E" w:rsidP="004C7BEF">
            <w:pPr>
              <w:pStyle w:val="ARtabletextright"/>
              <w:rPr>
                <w:b/>
                <w:bCs/>
              </w:rPr>
            </w:pPr>
          </w:p>
        </w:tc>
      </w:tr>
      <w:tr w:rsidR="0078495E" w:rsidRPr="00D02A2E" w14:paraId="65379947" w14:textId="77777777" w:rsidTr="004C7BEF">
        <w:trPr>
          <w:cantSplit/>
        </w:trPr>
        <w:tc>
          <w:tcPr>
            <w:tcW w:w="9639" w:type="dxa"/>
            <w:gridSpan w:val="6"/>
            <w:tcBorders>
              <w:bottom w:val="single" w:sz="4" w:space="0" w:color="auto"/>
            </w:tcBorders>
            <w:shd w:val="clear" w:color="auto" w:fill="auto"/>
            <w:noWrap/>
            <w:hideMark/>
          </w:tcPr>
          <w:p w14:paraId="40CF2127" w14:textId="77777777" w:rsidR="0078495E" w:rsidRPr="00D02A2E" w:rsidRDefault="0078495E" w:rsidP="004C7BEF">
            <w:pPr>
              <w:pStyle w:val="ARtablenoteindent"/>
            </w:pPr>
            <w:r w:rsidRPr="00C0799C">
              <w:t>The 2021–22 actual outcome primarily reflects higher than expected Commonwealth Residential Contribution paid directly to agencies.</w:t>
            </w:r>
          </w:p>
        </w:tc>
      </w:tr>
    </w:tbl>
    <w:p w14:paraId="6B305BD6" w14:textId="3D4827EE" w:rsidR="0078495E" w:rsidRDefault="0078495E" w:rsidP="00306875">
      <w:pPr>
        <w:pStyle w:val="Heading4"/>
        <w:spacing w:before="400"/>
      </w:pPr>
      <w:r>
        <w:t>Small Rural Services – Home and Community Care Services</w:t>
      </w:r>
    </w:p>
    <w:p w14:paraId="284F4AD7" w14:textId="6C1F3CEE" w:rsidR="0078495E" w:rsidRDefault="00CA244B" w:rsidP="0078495E">
      <w:pPr>
        <w:pStyle w:val="ARbody"/>
      </w:pPr>
      <w:r w:rsidRPr="00CA244B">
        <w:t>This output includes delivery of in home, community-based care services for older people, and younger people with disabilities delivered by small rural services.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730467C8" w14:textId="77777777" w:rsidTr="004C7BEF">
        <w:trPr>
          <w:cantSplit/>
          <w:tblHeader/>
        </w:trPr>
        <w:tc>
          <w:tcPr>
            <w:tcW w:w="4761" w:type="dxa"/>
            <w:tcBorders>
              <w:bottom w:val="single" w:sz="4" w:space="0" w:color="auto"/>
            </w:tcBorders>
            <w:shd w:val="clear" w:color="auto" w:fill="auto"/>
            <w:vAlign w:val="bottom"/>
            <w:hideMark/>
          </w:tcPr>
          <w:p w14:paraId="39400453"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67F2A710"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62FFF284"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1007ACC4"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117B8385"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4A712E27" w14:textId="77777777" w:rsidR="0078495E" w:rsidRPr="00F72126" w:rsidRDefault="0078495E" w:rsidP="004C7BEF">
            <w:pPr>
              <w:pStyle w:val="ARtablecolheadright"/>
            </w:pPr>
            <w:r w:rsidRPr="00F72126">
              <w:t>Result</w:t>
            </w:r>
          </w:p>
        </w:tc>
      </w:tr>
      <w:tr w:rsidR="0078495E" w:rsidRPr="00D02A2E" w14:paraId="3DBE72D9" w14:textId="77777777" w:rsidTr="004C7BEF">
        <w:trPr>
          <w:cantSplit/>
        </w:trPr>
        <w:tc>
          <w:tcPr>
            <w:tcW w:w="9639" w:type="dxa"/>
            <w:gridSpan w:val="6"/>
            <w:tcBorders>
              <w:top w:val="single" w:sz="4" w:space="0" w:color="auto"/>
            </w:tcBorders>
            <w:shd w:val="clear" w:color="auto" w:fill="auto"/>
            <w:hideMark/>
          </w:tcPr>
          <w:p w14:paraId="0B0E46CA" w14:textId="77777777" w:rsidR="0078495E" w:rsidRPr="00D02A2E" w:rsidRDefault="0078495E" w:rsidP="004C7BEF">
            <w:pPr>
              <w:pStyle w:val="ARtablegreybold"/>
              <w:rPr>
                <w:rFonts w:ascii="Wingdings" w:hAnsi="Wingdings"/>
              </w:rPr>
            </w:pPr>
            <w:r w:rsidRPr="007A45E9">
              <w:t>Quantity</w:t>
            </w:r>
          </w:p>
        </w:tc>
      </w:tr>
      <w:tr w:rsidR="0078495E" w:rsidRPr="00D02A2E" w14:paraId="2E5EFF0B" w14:textId="77777777" w:rsidTr="004C7BEF">
        <w:trPr>
          <w:cantSplit/>
        </w:trPr>
        <w:tc>
          <w:tcPr>
            <w:tcW w:w="4761" w:type="dxa"/>
            <w:shd w:val="clear" w:color="auto" w:fill="auto"/>
            <w:hideMark/>
          </w:tcPr>
          <w:p w14:paraId="4E48C2E7" w14:textId="77777777" w:rsidR="0078495E" w:rsidRPr="00D02A2E" w:rsidRDefault="0078495E" w:rsidP="004C7BEF">
            <w:pPr>
              <w:pStyle w:val="ARtabletext"/>
            </w:pPr>
            <w:r w:rsidRPr="00811102">
              <w:t>Home and Community Care for Younger People – hours of service delivery</w:t>
            </w:r>
          </w:p>
        </w:tc>
        <w:tc>
          <w:tcPr>
            <w:tcW w:w="1021" w:type="dxa"/>
            <w:shd w:val="clear" w:color="auto" w:fill="auto"/>
            <w:hideMark/>
          </w:tcPr>
          <w:p w14:paraId="5869EA1D" w14:textId="77777777" w:rsidR="0078495E" w:rsidRPr="00D02A2E" w:rsidRDefault="0078495E" w:rsidP="004C7BEF">
            <w:pPr>
              <w:pStyle w:val="ARtabletextcentre"/>
            </w:pPr>
            <w:r w:rsidRPr="00811102">
              <w:t>hours</w:t>
            </w:r>
          </w:p>
        </w:tc>
        <w:tc>
          <w:tcPr>
            <w:tcW w:w="1021" w:type="dxa"/>
            <w:shd w:val="clear" w:color="auto" w:fill="auto"/>
            <w:hideMark/>
          </w:tcPr>
          <w:p w14:paraId="72473E56" w14:textId="77777777" w:rsidR="0078495E" w:rsidRDefault="0078495E" w:rsidP="004C7BEF">
            <w:pPr>
              <w:pStyle w:val="ARtabletextright"/>
            </w:pPr>
            <w:r w:rsidRPr="00811102">
              <w:t>55,000</w:t>
            </w:r>
          </w:p>
        </w:tc>
        <w:tc>
          <w:tcPr>
            <w:tcW w:w="1021" w:type="dxa"/>
            <w:shd w:val="clear" w:color="auto" w:fill="auto"/>
            <w:hideMark/>
          </w:tcPr>
          <w:p w14:paraId="322F6759" w14:textId="77777777" w:rsidR="0078495E" w:rsidRDefault="0078495E" w:rsidP="004C7BEF">
            <w:pPr>
              <w:pStyle w:val="ARtabletextright"/>
            </w:pPr>
            <w:r w:rsidRPr="00811102">
              <w:t>44,324</w:t>
            </w:r>
          </w:p>
        </w:tc>
        <w:tc>
          <w:tcPr>
            <w:tcW w:w="1021" w:type="dxa"/>
            <w:shd w:val="clear" w:color="auto" w:fill="auto"/>
          </w:tcPr>
          <w:p w14:paraId="5F9C8FC8" w14:textId="77777777" w:rsidR="0078495E" w:rsidRDefault="0078495E" w:rsidP="004C7BEF">
            <w:pPr>
              <w:pStyle w:val="ARtabletextright"/>
            </w:pPr>
            <w:r w:rsidRPr="00811102">
              <w:t>−19.4%</w:t>
            </w:r>
          </w:p>
        </w:tc>
        <w:tc>
          <w:tcPr>
            <w:tcW w:w="794" w:type="dxa"/>
            <w:shd w:val="clear" w:color="auto" w:fill="auto"/>
            <w:hideMark/>
          </w:tcPr>
          <w:p w14:paraId="1444CC51" w14:textId="77777777" w:rsidR="0078495E" w:rsidRPr="00D02A2E" w:rsidRDefault="0078495E" w:rsidP="004C7BEF">
            <w:pPr>
              <w:pStyle w:val="ARtableperformancesymbol"/>
              <w:rPr>
                <w:rFonts w:hint="eastAsia"/>
              </w:rPr>
            </w:pPr>
            <w:r w:rsidRPr="00811102">
              <w:t></w:t>
            </w:r>
          </w:p>
        </w:tc>
      </w:tr>
      <w:tr w:rsidR="0078495E" w:rsidRPr="00D02A2E" w14:paraId="5D9DD188" w14:textId="77777777" w:rsidTr="004C7BEF">
        <w:trPr>
          <w:cantSplit/>
        </w:trPr>
        <w:tc>
          <w:tcPr>
            <w:tcW w:w="9639" w:type="dxa"/>
            <w:gridSpan w:val="6"/>
            <w:tcBorders>
              <w:bottom w:val="single" w:sz="4" w:space="0" w:color="BFBFBF"/>
            </w:tcBorders>
            <w:shd w:val="clear" w:color="auto" w:fill="auto"/>
            <w:noWrap/>
            <w:hideMark/>
          </w:tcPr>
          <w:p w14:paraId="0D6B04A4" w14:textId="563ED349" w:rsidR="0078495E" w:rsidRPr="00D02A2E" w:rsidRDefault="0078495E" w:rsidP="004C7BEF">
            <w:pPr>
              <w:pStyle w:val="ARtablenoteindent"/>
            </w:pPr>
            <w:r w:rsidRPr="00811102">
              <w:t>The</w:t>
            </w:r>
            <w:r w:rsidRPr="00811102" w:rsidDel="006E691A">
              <w:t xml:space="preserve"> </w:t>
            </w:r>
            <w:r w:rsidR="006E691A">
              <w:t>below-target result</w:t>
            </w:r>
            <w:r w:rsidR="006E691A" w:rsidRPr="00811102">
              <w:t xml:space="preserve"> </w:t>
            </w:r>
            <w:r w:rsidRPr="00811102">
              <w:t xml:space="preserve">is due to </w:t>
            </w:r>
            <w:r w:rsidRPr="00D94909">
              <w:t>the decrease in</w:t>
            </w:r>
            <w:r w:rsidR="00D92952">
              <w:t xml:space="preserve"> the</w:t>
            </w:r>
            <w:r w:rsidRPr="00D94909">
              <w:t xml:space="preserve"> ability</w:t>
            </w:r>
            <w:r w:rsidRPr="00811102">
              <w:t xml:space="preserve"> to provide some services due to the impact of COVID-19 while alternative services being delivered cannot be reported in the client database. </w:t>
            </w:r>
            <w:r w:rsidR="006E691A">
              <w:t>In addition</w:t>
            </w:r>
            <w:r w:rsidRPr="00811102">
              <w:t>, providers are experiencing staff shortages as a result of COVID-19.</w:t>
            </w:r>
          </w:p>
        </w:tc>
      </w:tr>
      <w:tr w:rsidR="0078495E" w:rsidRPr="00D02A2E" w14:paraId="59BBD810" w14:textId="77777777" w:rsidTr="004C7BEF">
        <w:trPr>
          <w:cantSplit/>
        </w:trPr>
        <w:tc>
          <w:tcPr>
            <w:tcW w:w="9639" w:type="dxa"/>
            <w:gridSpan w:val="6"/>
            <w:tcBorders>
              <w:top w:val="single" w:sz="4" w:space="0" w:color="auto"/>
            </w:tcBorders>
            <w:shd w:val="clear" w:color="auto" w:fill="auto"/>
            <w:hideMark/>
          </w:tcPr>
          <w:p w14:paraId="0A7C32F7" w14:textId="77777777" w:rsidR="0078495E" w:rsidRPr="00D02A2E" w:rsidRDefault="0078495E" w:rsidP="004C7BEF">
            <w:pPr>
              <w:pStyle w:val="ARtablegreybold"/>
              <w:rPr>
                <w:rFonts w:ascii="Wingdings" w:hAnsi="Wingdings"/>
              </w:rPr>
            </w:pPr>
            <w:r w:rsidRPr="00F41388">
              <w:t>Cost</w:t>
            </w:r>
          </w:p>
        </w:tc>
      </w:tr>
      <w:tr w:rsidR="0078495E" w:rsidRPr="00C15647" w14:paraId="6AF5E267" w14:textId="77777777" w:rsidTr="004C7BEF">
        <w:trPr>
          <w:cantSplit/>
        </w:trPr>
        <w:tc>
          <w:tcPr>
            <w:tcW w:w="4761" w:type="dxa"/>
            <w:shd w:val="clear" w:color="auto" w:fill="auto"/>
            <w:hideMark/>
          </w:tcPr>
          <w:p w14:paraId="165CCFB5" w14:textId="77777777" w:rsidR="0078495E" w:rsidRPr="00C15647" w:rsidRDefault="0078495E" w:rsidP="004C7BEF">
            <w:pPr>
              <w:pStyle w:val="ARtabletext"/>
              <w:rPr>
                <w:b/>
                <w:bCs/>
              </w:rPr>
            </w:pPr>
            <w:r w:rsidRPr="00C15647">
              <w:rPr>
                <w:b/>
                <w:bCs/>
              </w:rPr>
              <w:t>Total Output Cost</w:t>
            </w:r>
          </w:p>
        </w:tc>
        <w:tc>
          <w:tcPr>
            <w:tcW w:w="1021" w:type="dxa"/>
            <w:shd w:val="clear" w:color="auto" w:fill="auto"/>
            <w:hideMark/>
          </w:tcPr>
          <w:p w14:paraId="019909D5" w14:textId="77777777" w:rsidR="0078495E" w:rsidRPr="00C15647" w:rsidRDefault="0078495E" w:rsidP="004C7BEF">
            <w:pPr>
              <w:pStyle w:val="ARtabletextcentre"/>
              <w:rPr>
                <w:b/>
                <w:bCs/>
              </w:rPr>
            </w:pPr>
            <w:r w:rsidRPr="00C15647">
              <w:rPr>
                <w:b/>
                <w:bCs/>
              </w:rPr>
              <w:t>$ million</w:t>
            </w:r>
          </w:p>
        </w:tc>
        <w:tc>
          <w:tcPr>
            <w:tcW w:w="1021" w:type="dxa"/>
            <w:shd w:val="clear" w:color="auto" w:fill="auto"/>
            <w:hideMark/>
          </w:tcPr>
          <w:p w14:paraId="671AD0E5" w14:textId="77777777" w:rsidR="0078495E" w:rsidRPr="00C15647" w:rsidRDefault="0078495E" w:rsidP="004C7BEF">
            <w:pPr>
              <w:pStyle w:val="ARtabletextright"/>
              <w:rPr>
                <w:b/>
                <w:bCs/>
              </w:rPr>
            </w:pPr>
            <w:r w:rsidRPr="00C15647">
              <w:rPr>
                <w:b/>
                <w:bCs/>
              </w:rPr>
              <w:t>5.3</w:t>
            </w:r>
          </w:p>
        </w:tc>
        <w:tc>
          <w:tcPr>
            <w:tcW w:w="1021" w:type="dxa"/>
            <w:shd w:val="clear" w:color="auto" w:fill="auto"/>
            <w:hideMark/>
          </w:tcPr>
          <w:p w14:paraId="0ACCDAF4" w14:textId="77777777" w:rsidR="0078495E" w:rsidRPr="00C15647" w:rsidRDefault="0078495E" w:rsidP="004C7BEF">
            <w:pPr>
              <w:pStyle w:val="ARtabletextright"/>
              <w:rPr>
                <w:b/>
                <w:bCs/>
              </w:rPr>
            </w:pPr>
            <w:r w:rsidRPr="00C15647">
              <w:rPr>
                <w:b/>
                <w:bCs/>
              </w:rPr>
              <w:t>4.7</w:t>
            </w:r>
          </w:p>
        </w:tc>
        <w:tc>
          <w:tcPr>
            <w:tcW w:w="1021" w:type="dxa"/>
            <w:shd w:val="clear" w:color="auto" w:fill="auto"/>
          </w:tcPr>
          <w:p w14:paraId="6FF887F2" w14:textId="77777777" w:rsidR="0078495E" w:rsidRPr="00C15647" w:rsidRDefault="0078495E" w:rsidP="004C7BEF">
            <w:pPr>
              <w:pStyle w:val="ARtabletextright"/>
              <w:rPr>
                <w:b/>
                <w:bCs/>
              </w:rPr>
            </w:pPr>
            <w:r w:rsidRPr="00C15647">
              <w:rPr>
                <w:b/>
                <w:bCs/>
              </w:rPr>
              <w:t>−11.1%</w:t>
            </w:r>
          </w:p>
        </w:tc>
        <w:tc>
          <w:tcPr>
            <w:tcW w:w="794" w:type="dxa"/>
            <w:shd w:val="clear" w:color="auto" w:fill="auto"/>
            <w:hideMark/>
          </w:tcPr>
          <w:p w14:paraId="2C844FCB" w14:textId="77777777" w:rsidR="0078495E" w:rsidRPr="00C15647" w:rsidRDefault="0078495E" w:rsidP="004C7BEF">
            <w:pPr>
              <w:pStyle w:val="ARtabletextright"/>
              <w:rPr>
                <w:b/>
                <w:bCs/>
              </w:rPr>
            </w:pPr>
          </w:p>
        </w:tc>
      </w:tr>
      <w:tr w:rsidR="0078495E" w:rsidRPr="00D02A2E" w14:paraId="4DFB0903" w14:textId="77777777" w:rsidTr="004C7BEF">
        <w:trPr>
          <w:cantSplit/>
        </w:trPr>
        <w:tc>
          <w:tcPr>
            <w:tcW w:w="9639" w:type="dxa"/>
            <w:gridSpan w:val="6"/>
            <w:tcBorders>
              <w:bottom w:val="single" w:sz="4" w:space="0" w:color="auto"/>
            </w:tcBorders>
            <w:shd w:val="clear" w:color="auto" w:fill="auto"/>
            <w:noWrap/>
            <w:hideMark/>
          </w:tcPr>
          <w:p w14:paraId="75FB8A71" w14:textId="77777777" w:rsidR="0078495E" w:rsidRPr="00D02A2E" w:rsidRDefault="0078495E" w:rsidP="004C7BEF">
            <w:pPr>
              <w:pStyle w:val="ARtablenoteindent"/>
            </w:pPr>
            <w:r w:rsidRPr="00D25597">
              <w:t>The 2021–22 actual outcome primarily relates to realignment of funding to the Home and Community Care Program for Younger People output.</w:t>
            </w:r>
          </w:p>
        </w:tc>
      </w:tr>
    </w:tbl>
    <w:p w14:paraId="499E4D75" w14:textId="04F6DD2C" w:rsidR="0078495E" w:rsidRDefault="0078495E" w:rsidP="00306875">
      <w:pPr>
        <w:pStyle w:val="Heading4"/>
        <w:spacing w:before="400"/>
      </w:pPr>
      <w:r>
        <w:t>Small Rural Services – Primary Health</w:t>
      </w:r>
    </w:p>
    <w:p w14:paraId="55C4011E" w14:textId="334604C9" w:rsidR="0078495E" w:rsidRDefault="008C3C38" w:rsidP="0078495E">
      <w:pPr>
        <w:pStyle w:val="ARbody"/>
      </w:pPr>
      <w:r w:rsidRPr="008C3C38">
        <w:t>This output includes delivery of in home, community-based and primary health services delivered by small rural services and designed to promote health and wellbeing and prevent the onset of more serious illness.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78495E" w:rsidRPr="00D02A2E" w14:paraId="19AAE910" w14:textId="77777777" w:rsidTr="004C7BEF">
        <w:trPr>
          <w:cantSplit/>
          <w:tblHeader/>
        </w:trPr>
        <w:tc>
          <w:tcPr>
            <w:tcW w:w="4761" w:type="dxa"/>
            <w:tcBorders>
              <w:bottom w:val="single" w:sz="4" w:space="0" w:color="auto"/>
            </w:tcBorders>
            <w:shd w:val="clear" w:color="auto" w:fill="auto"/>
            <w:vAlign w:val="bottom"/>
            <w:hideMark/>
          </w:tcPr>
          <w:p w14:paraId="590E5160" w14:textId="77777777" w:rsidR="0078495E" w:rsidRPr="00D02A2E" w:rsidRDefault="0078495E" w:rsidP="004C7BEF">
            <w:pPr>
              <w:pStyle w:val="ARtablecolhead"/>
            </w:pPr>
            <w:r w:rsidRPr="00D02A2E">
              <w:t>Performance measures</w:t>
            </w:r>
          </w:p>
        </w:tc>
        <w:tc>
          <w:tcPr>
            <w:tcW w:w="1021" w:type="dxa"/>
            <w:tcBorders>
              <w:bottom w:val="single" w:sz="4" w:space="0" w:color="auto"/>
            </w:tcBorders>
            <w:shd w:val="clear" w:color="auto" w:fill="auto"/>
            <w:vAlign w:val="bottom"/>
            <w:hideMark/>
          </w:tcPr>
          <w:p w14:paraId="1554C1D8" w14:textId="77777777" w:rsidR="0078495E" w:rsidRPr="00F72126" w:rsidRDefault="0078495E" w:rsidP="004C7BEF">
            <w:pPr>
              <w:pStyle w:val="ARtablecolheadcentre"/>
            </w:pPr>
            <w:r w:rsidRPr="00F72126">
              <w:t>Unit of measure</w:t>
            </w:r>
          </w:p>
        </w:tc>
        <w:tc>
          <w:tcPr>
            <w:tcW w:w="1021" w:type="dxa"/>
            <w:tcBorders>
              <w:bottom w:val="single" w:sz="4" w:space="0" w:color="auto"/>
            </w:tcBorders>
            <w:shd w:val="clear" w:color="auto" w:fill="auto"/>
            <w:vAlign w:val="bottom"/>
            <w:hideMark/>
          </w:tcPr>
          <w:p w14:paraId="6F9D3982" w14:textId="77777777" w:rsidR="0078495E" w:rsidRPr="00F72126" w:rsidRDefault="0078495E" w:rsidP="004C7BEF">
            <w:pPr>
              <w:pStyle w:val="ARtablecolheadright"/>
            </w:pPr>
            <w:r w:rsidRPr="00F72126">
              <w:t>20</w:t>
            </w:r>
            <w:r>
              <w:t>21</w:t>
            </w:r>
            <w:r w:rsidRPr="00F72126">
              <w:t>–</w:t>
            </w:r>
            <w:r>
              <w:t>22</w:t>
            </w:r>
            <w:r w:rsidRPr="00F72126">
              <w:t xml:space="preserve"> target</w:t>
            </w:r>
          </w:p>
        </w:tc>
        <w:tc>
          <w:tcPr>
            <w:tcW w:w="1021" w:type="dxa"/>
            <w:tcBorders>
              <w:bottom w:val="single" w:sz="4" w:space="0" w:color="auto"/>
            </w:tcBorders>
            <w:shd w:val="clear" w:color="auto" w:fill="auto"/>
            <w:vAlign w:val="bottom"/>
            <w:hideMark/>
          </w:tcPr>
          <w:p w14:paraId="7DB41959" w14:textId="77777777" w:rsidR="0078495E" w:rsidRPr="00F72126" w:rsidRDefault="0078495E" w:rsidP="004C7BEF">
            <w:pPr>
              <w:pStyle w:val="ARtablecolheadright"/>
            </w:pPr>
            <w:r w:rsidRPr="00F72126">
              <w:t>20</w:t>
            </w:r>
            <w:r>
              <w:t>21</w:t>
            </w:r>
            <w:r w:rsidRPr="00F72126">
              <w:t>–</w:t>
            </w:r>
            <w:r>
              <w:t>22</w:t>
            </w:r>
            <w:r w:rsidRPr="00F72126">
              <w:t xml:space="preserve"> actual</w:t>
            </w:r>
          </w:p>
        </w:tc>
        <w:tc>
          <w:tcPr>
            <w:tcW w:w="1021" w:type="dxa"/>
            <w:tcBorders>
              <w:bottom w:val="single" w:sz="4" w:space="0" w:color="auto"/>
            </w:tcBorders>
            <w:shd w:val="clear" w:color="auto" w:fill="auto"/>
            <w:vAlign w:val="bottom"/>
            <w:hideMark/>
          </w:tcPr>
          <w:p w14:paraId="013D658B" w14:textId="77777777" w:rsidR="0078495E" w:rsidRPr="00F72126" w:rsidRDefault="0078495E" w:rsidP="004C7BEF">
            <w:pPr>
              <w:pStyle w:val="ARtablecolheadright"/>
            </w:pPr>
            <w:r w:rsidRPr="00F72126">
              <w:t>Variation (%)</w:t>
            </w:r>
          </w:p>
        </w:tc>
        <w:tc>
          <w:tcPr>
            <w:tcW w:w="794" w:type="dxa"/>
            <w:tcBorders>
              <w:bottom w:val="single" w:sz="4" w:space="0" w:color="auto"/>
            </w:tcBorders>
            <w:shd w:val="clear" w:color="auto" w:fill="auto"/>
            <w:vAlign w:val="bottom"/>
            <w:hideMark/>
          </w:tcPr>
          <w:p w14:paraId="2B6D42DD" w14:textId="77777777" w:rsidR="0078495E" w:rsidRPr="00F72126" w:rsidRDefault="0078495E" w:rsidP="004C7BEF">
            <w:pPr>
              <w:pStyle w:val="ARtablecolheadright"/>
            </w:pPr>
            <w:r w:rsidRPr="00F72126">
              <w:t>Result</w:t>
            </w:r>
          </w:p>
        </w:tc>
      </w:tr>
      <w:tr w:rsidR="0078495E" w:rsidRPr="00D02A2E" w14:paraId="5A1F7760" w14:textId="77777777" w:rsidTr="004C7BEF">
        <w:trPr>
          <w:cantSplit/>
        </w:trPr>
        <w:tc>
          <w:tcPr>
            <w:tcW w:w="9639" w:type="dxa"/>
            <w:gridSpan w:val="6"/>
            <w:tcBorders>
              <w:top w:val="single" w:sz="4" w:space="0" w:color="auto"/>
            </w:tcBorders>
            <w:shd w:val="clear" w:color="auto" w:fill="auto"/>
            <w:hideMark/>
          </w:tcPr>
          <w:p w14:paraId="4CBBC272" w14:textId="77777777" w:rsidR="0078495E" w:rsidRPr="00D02A2E" w:rsidRDefault="0078495E" w:rsidP="004C7BEF">
            <w:pPr>
              <w:pStyle w:val="ARtablegreybold"/>
              <w:rPr>
                <w:rFonts w:ascii="Wingdings" w:hAnsi="Wingdings"/>
              </w:rPr>
            </w:pPr>
            <w:r w:rsidRPr="007A45E9">
              <w:t>Quantity</w:t>
            </w:r>
          </w:p>
        </w:tc>
      </w:tr>
      <w:tr w:rsidR="0078495E" w:rsidRPr="00D02A2E" w14:paraId="3C1412D2" w14:textId="77777777" w:rsidTr="004C7BEF">
        <w:trPr>
          <w:cantSplit/>
        </w:trPr>
        <w:tc>
          <w:tcPr>
            <w:tcW w:w="4761" w:type="dxa"/>
            <w:shd w:val="clear" w:color="auto" w:fill="auto"/>
            <w:hideMark/>
          </w:tcPr>
          <w:p w14:paraId="04338BF3" w14:textId="77777777" w:rsidR="0078495E" w:rsidRPr="00D02A2E" w:rsidRDefault="0078495E" w:rsidP="004C7BEF">
            <w:pPr>
              <w:pStyle w:val="ARtabletext"/>
            </w:pPr>
            <w:r w:rsidRPr="00D83CE2">
              <w:t>Service delivery hours in community health care</w:t>
            </w:r>
          </w:p>
        </w:tc>
        <w:tc>
          <w:tcPr>
            <w:tcW w:w="1021" w:type="dxa"/>
            <w:shd w:val="clear" w:color="auto" w:fill="auto"/>
            <w:hideMark/>
          </w:tcPr>
          <w:p w14:paraId="488C963C" w14:textId="77777777" w:rsidR="0078495E" w:rsidRPr="00D02A2E" w:rsidRDefault="0078495E" w:rsidP="004C7BEF">
            <w:pPr>
              <w:pStyle w:val="ARtabletextcentre"/>
            </w:pPr>
            <w:r w:rsidRPr="00D83CE2">
              <w:t>number</w:t>
            </w:r>
          </w:p>
        </w:tc>
        <w:tc>
          <w:tcPr>
            <w:tcW w:w="1021" w:type="dxa"/>
            <w:shd w:val="clear" w:color="auto" w:fill="auto"/>
            <w:hideMark/>
          </w:tcPr>
          <w:p w14:paraId="546C5509" w14:textId="77777777" w:rsidR="0078495E" w:rsidRDefault="0078495E" w:rsidP="004C7BEF">
            <w:pPr>
              <w:pStyle w:val="ARtabletextright"/>
            </w:pPr>
            <w:r w:rsidRPr="00D83CE2">
              <w:t>91,500</w:t>
            </w:r>
          </w:p>
        </w:tc>
        <w:tc>
          <w:tcPr>
            <w:tcW w:w="1021" w:type="dxa"/>
            <w:shd w:val="clear" w:color="auto" w:fill="auto"/>
            <w:hideMark/>
          </w:tcPr>
          <w:p w14:paraId="5B0720EC" w14:textId="77777777" w:rsidR="0078495E" w:rsidRDefault="0078495E" w:rsidP="004C7BEF">
            <w:pPr>
              <w:pStyle w:val="ARtabletextright"/>
            </w:pPr>
            <w:r w:rsidRPr="00D83CE2">
              <w:t>100,690</w:t>
            </w:r>
          </w:p>
        </w:tc>
        <w:tc>
          <w:tcPr>
            <w:tcW w:w="1021" w:type="dxa"/>
            <w:shd w:val="clear" w:color="auto" w:fill="auto"/>
          </w:tcPr>
          <w:p w14:paraId="3B86D1BB" w14:textId="77777777" w:rsidR="0078495E" w:rsidRDefault="0078495E" w:rsidP="004C7BEF">
            <w:pPr>
              <w:pStyle w:val="ARtabletextright"/>
            </w:pPr>
            <w:r w:rsidRPr="00D83CE2">
              <w:t>10.0%</w:t>
            </w:r>
          </w:p>
        </w:tc>
        <w:tc>
          <w:tcPr>
            <w:tcW w:w="794" w:type="dxa"/>
            <w:shd w:val="clear" w:color="auto" w:fill="auto"/>
            <w:hideMark/>
          </w:tcPr>
          <w:p w14:paraId="3E28BE29" w14:textId="77777777" w:rsidR="0078495E" w:rsidRPr="00D02A2E" w:rsidRDefault="0078495E" w:rsidP="004C7BEF">
            <w:pPr>
              <w:pStyle w:val="ARtableperformancesymbol"/>
              <w:rPr>
                <w:rFonts w:hint="eastAsia"/>
              </w:rPr>
            </w:pPr>
            <w:r w:rsidRPr="00D83CE2">
              <w:t></w:t>
            </w:r>
          </w:p>
        </w:tc>
      </w:tr>
      <w:tr w:rsidR="0078495E" w:rsidRPr="00D02A2E" w14:paraId="7904D3ED" w14:textId="77777777" w:rsidTr="004C7BEF">
        <w:trPr>
          <w:cantSplit/>
        </w:trPr>
        <w:tc>
          <w:tcPr>
            <w:tcW w:w="9639" w:type="dxa"/>
            <w:gridSpan w:val="6"/>
            <w:tcBorders>
              <w:bottom w:val="single" w:sz="4" w:space="0" w:color="BFBFBF"/>
            </w:tcBorders>
            <w:shd w:val="clear" w:color="auto" w:fill="auto"/>
            <w:noWrap/>
            <w:hideMark/>
          </w:tcPr>
          <w:p w14:paraId="6922D9A7" w14:textId="26AEC814" w:rsidR="0078495E" w:rsidRPr="00D02A2E" w:rsidRDefault="0078495E" w:rsidP="004C7BEF">
            <w:pPr>
              <w:pStyle w:val="ARtablenoteindent"/>
            </w:pPr>
            <w:r w:rsidRPr="00D83CE2">
              <w:t xml:space="preserve">The result is higher than </w:t>
            </w:r>
            <w:r w:rsidR="006E691A">
              <w:t xml:space="preserve">the </w:t>
            </w:r>
            <w:r w:rsidRPr="00D83CE2">
              <w:t>target due to the permissible use of funds from other outputs to provide community health services according to local need. Many services are supporting the COVID-19 response effort.</w:t>
            </w:r>
          </w:p>
        </w:tc>
      </w:tr>
      <w:tr w:rsidR="0078495E" w:rsidRPr="00D02A2E" w14:paraId="2E31F98E" w14:textId="77777777" w:rsidTr="004C7BEF">
        <w:trPr>
          <w:cantSplit/>
        </w:trPr>
        <w:tc>
          <w:tcPr>
            <w:tcW w:w="9639" w:type="dxa"/>
            <w:gridSpan w:val="6"/>
            <w:tcBorders>
              <w:top w:val="single" w:sz="4" w:space="0" w:color="auto"/>
            </w:tcBorders>
            <w:shd w:val="clear" w:color="auto" w:fill="auto"/>
            <w:hideMark/>
          </w:tcPr>
          <w:p w14:paraId="49431964" w14:textId="77777777" w:rsidR="0078495E" w:rsidRPr="00D02A2E" w:rsidRDefault="0078495E" w:rsidP="004C7BEF">
            <w:pPr>
              <w:pStyle w:val="ARtablegreybold"/>
              <w:rPr>
                <w:rFonts w:ascii="Wingdings" w:hAnsi="Wingdings"/>
              </w:rPr>
            </w:pPr>
            <w:r w:rsidRPr="00D83CE2">
              <w:t>Cost</w:t>
            </w:r>
          </w:p>
        </w:tc>
      </w:tr>
      <w:tr w:rsidR="0078495E" w:rsidRPr="00DA2DCC" w14:paraId="4FDC6E2B" w14:textId="77777777" w:rsidTr="004C7BEF">
        <w:trPr>
          <w:cantSplit/>
        </w:trPr>
        <w:tc>
          <w:tcPr>
            <w:tcW w:w="4761" w:type="dxa"/>
            <w:shd w:val="clear" w:color="auto" w:fill="auto"/>
            <w:hideMark/>
          </w:tcPr>
          <w:p w14:paraId="4E3F8976" w14:textId="77777777" w:rsidR="0078495E" w:rsidRPr="00DA2DCC" w:rsidRDefault="0078495E" w:rsidP="004C7BEF">
            <w:pPr>
              <w:pStyle w:val="ARtabletext"/>
              <w:rPr>
                <w:b/>
                <w:bCs/>
              </w:rPr>
            </w:pPr>
            <w:r w:rsidRPr="00DA2DCC">
              <w:rPr>
                <w:b/>
                <w:bCs/>
              </w:rPr>
              <w:t>Total Output Cost</w:t>
            </w:r>
          </w:p>
        </w:tc>
        <w:tc>
          <w:tcPr>
            <w:tcW w:w="1021" w:type="dxa"/>
            <w:shd w:val="clear" w:color="auto" w:fill="auto"/>
            <w:hideMark/>
          </w:tcPr>
          <w:p w14:paraId="76895BA4" w14:textId="77777777" w:rsidR="0078495E" w:rsidRPr="00DA2DCC" w:rsidRDefault="0078495E" w:rsidP="004C7BEF">
            <w:pPr>
              <w:pStyle w:val="ARtabletextcentre"/>
              <w:rPr>
                <w:b/>
                <w:bCs/>
              </w:rPr>
            </w:pPr>
            <w:r w:rsidRPr="00DA2DCC">
              <w:rPr>
                <w:b/>
                <w:bCs/>
              </w:rPr>
              <w:t>$ million</w:t>
            </w:r>
          </w:p>
        </w:tc>
        <w:tc>
          <w:tcPr>
            <w:tcW w:w="1021" w:type="dxa"/>
            <w:shd w:val="clear" w:color="auto" w:fill="auto"/>
            <w:hideMark/>
          </w:tcPr>
          <w:p w14:paraId="0E8D9260" w14:textId="77777777" w:rsidR="0078495E" w:rsidRPr="00DA2DCC" w:rsidRDefault="0078495E" w:rsidP="004C7BEF">
            <w:pPr>
              <w:pStyle w:val="ARtabletextright"/>
              <w:rPr>
                <w:b/>
                <w:bCs/>
              </w:rPr>
            </w:pPr>
            <w:r w:rsidRPr="00DA2DCC">
              <w:rPr>
                <w:b/>
                <w:bCs/>
              </w:rPr>
              <w:t>24.5</w:t>
            </w:r>
          </w:p>
        </w:tc>
        <w:tc>
          <w:tcPr>
            <w:tcW w:w="1021" w:type="dxa"/>
            <w:shd w:val="clear" w:color="auto" w:fill="auto"/>
            <w:hideMark/>
          </w:tcPr>
          <w:p w14:paraId="683520A6" w14:textId="77777777" w:rsidR="0078495E" w:rsidRPr="00DA2DCC" w:rsidRDefault="0078495E" w:rsidP="004C7BEF">
            <w:pPr>
              <w:pStyle w:val="ARtabletextright"/>
              <w:rPr>
                <w:b/>
                <w:bCs/>
              </w:rPr>
            </w:pPr>
            <w:r w:rsidRPr="00DA2DCC">
              <w:rPr>
                <w:b/>
                <w:bCs/>
              </w:rPr>
              <w:t>20.7</w:t>
            </w:r>
          </w:p>
        </w:tc>
        <w:tc>
          <w:tcPr>
            <w:tcW w:w="1021" w:type="dxa"/>
            <w:shd w:val="clear" w:color="auto" w:fill="auto"/>
          </w:tcPr>
          <w:p w14:paraId="59326DD9" w14:textId="77777777" w:rsidR="0078495E" w:rsidRPr="00DA2DCC" w:rsidRDefault="0078495E" w:rsidP="004C7BEF">
            <w:pPr>
              <w:pStyle w:val="ARtabletextright"/>
              <w:rPr>
                <w:b/>
                <w:bCs/>
              </w:rPr>
            </w:pPr>
            <w:r w:rsidRPr="00DA2DCC">
              <w:rPr>
                <w:b/>
                <w:bCs/>
              </w:rPr>
              <w:t>−15.5%</w:t>
            </w:r>
          </w:p>
        </w:tc>
        <w:tc>
          <w:tcPr>
            <w:tcW w:w="794" w:type="dxa"/>
            <w:shd w:val="clear" w:color="auto" w:fill="auto"/>
            <w:hideMark/>
          </w:tcPr>
          <w:p w14:paraId="7EAD0D19" w14:textId="77777777" w:rsidR="0078495E" w:rsidRPr="00DA2DCC" w:rsidRDefault="0078495E" w:rsidP="004C7BEF">
            <w:pPr>
              <w:pStyle w:val="ARtabletextright"/>
              <w:rPr>
                <w:b/>
                <w:bCs/>
              </w:rPr>
            </w:pPr>
          </w:p>
        </w:tc>
      </w:tr>
      <w:tr w:rsidR="0078495E" w:rsidRPr="00D02A2E" w14:paraId="53120BF3" w14:textId="77777777" w:rsidTr="004C7BEF">
        <w:trPr>
          <w:cantSplit/>
        </w:trPr>
        <w:tc>
          <w:tcPr>
            <w:tcW w:w="9639" w:type="dxa"/>
            <w:gridSpan w:val="6"/>
            <w:tcBorders>
              <w:bottom w:val="single" w:sz="4" w:space="0" w:color="auto"/>
            </w:tcBorders>
            <w:shd w:val="clear" w:color="auto" w:fill="auto"/>
            <w:noWrap/>
            <w:hideMark/>
          </w:tcPr>
          <w:p w14:paraId="567B4BA6" w14:textId="77777777" w:rsidR="0078495E" w:rsidRPr="00D02A2E" w:rsidRDefault="0078495E" w:rsidP="004C7BEF">
            <w:pPr>
              <w:pStyle w:val="ARtablenoteindent"/>
            </w:pPr>
            <w:r w:rsidRPr="00D83CE2">
              <w:t>The 2021–22 actual outcome primarily reflects lower than estimated own source revenue in small rural health services</w:t>
            </w:r>
          </w:p>
        </w:tc>
      </w:tr>
    </w:tbl>
    <w:p w14:paraId="28A2558A" w14:textId="77777777" w:rsidR="00DC19FF" w:rsidRPr="00DC19FF" w:rsidRDefault="00DC19FF" w:rsidP="00DC19FF">
      <w:pPr>
        <w:pStyle w:val="ARbody"/>
      </w:pPr>
      <w:bookmarkStart w:id="113" w:name="_Toc85121165"/>
      <w:bookmarkStart w:id="114" w:name="_Toc85121602"/>
      <w:bookmarkStart w:id="115" w:name="_Ref85202675"/>
      <w:bookmarkStart w:id="116" w:name="_Toc102734479"/>
      <w:r w:rsidRPr="00DC19FF">
        <w:br w:type="page"/>
      </w:r>
    </w:p>
    <w:p w14:paraId="69CC43B0" w14:textId="09A2957C" w:rsidR="003C1904" w:rsidRDefault="008C3C38" w:rsidP="00084E8C">
      <w:pPr>
        <w:pStyle w:val="Heading2"/>
        <w:spacing w:before="0"/>
      </w:pPr>
      <w:bookmarkStart w:id="117" w:name="_Ref112852412"/>
      <w:bookmarkStart w:id="118" w:name="_Ref112853992"/>
      <w:bookmarkStart w:id="119" w:name="_Toc113702915"/>
      <w:bookmarkEnd w:id="113"/>
      <w:bookmarkEnd w:id="114"/>
      <w:bookmarkEnd w:id="115"/>
      <w:bookmarkEnd w:id="116"/>
      <w:r w:rsidRPr="008C3C38">
        <w:t>Portfolio performance reporting – financial</w:t>
      </w:r>
      <w:bookmarkEnd w:id="117"/>
      <w:bookmarkEnd w:id="118"/>
      <w:bookmarkEnd w:id="119"/>
    </w:p>
    <w:p w14:paraId="5C4DB005" w14:textId="77777777" w:rsidR="003C1904" w:rsidRDefault="003C1904" w:rsidP="00084E8C">
      <w:pPr>
        <w:pStyle w:val="Heading3"/>
        <w:rPr>
          <w:lang w:val="en"/>
        </w:rPr>
      </w:pPr>
      <w:r>
        <w:rPr>
          <w:lang w:val="en"/>
        </w:rPr>
        <w:t>Departmental five-year financial summary</w:t>
      </w:r>
    </w:p>
    <w:tbl>
      <w:tblPr>
        <w:tblW w:w="9643" w:type="dxa"/>
        <w:tblInd w:w="4" w:type="dxa"/>
        <w:tblLayout w:type="fixed"/>
        <w:tblCellMar>
          <w:left w:w="0" w:type="dxa"/>
          <w:right w:w="0" w:type="dxa"/>
        </w:tblCellMar>
        <w:tblLook w:val="06A0" w:firstRow="1" w:lastRow="0" w:firstColumn="1" w:lastColumn="0" w:noHBand="1" w:noVBand="1"/>
      </w:tblPr>
      <w:tblGrid>
        <w:gridCol w:w="4883"/>
        <w:gridCol w:w="952"/>
        <w:gridCol w:w="952"/>
        <w:gridCol w:w="952"/>
        <w:gridCol w:w="952"/>
        <w:gridCol w:w="952"/>
      </w:tblGrid>
      <w:tr w:rsidR="003C1904" w14:paraId="630323AA" w14:textId="77777777" w:rsidTr="004C7BEF">
        <w:trPr>
          <w:cantSplit/>
          <w:trHeight w:val="1"/>
          <w:tblHeader/>
        </w:trPr>
        <w:tc>
          <w:tcPr>
            <w:tcW w:w="4883" w:type="dxa"/>
            <w:tcBorders>
              <w:top w:val="nil"/>
              <w:left w:val="single" w:sz="4" w:space="0" w:color="FFFFFF"/>
              <w:bottom w:val="single" w:sz="4" w:space="0" w:color="auto"/>
            </w:tcBorders>
            <w:vAlign w:val="bottom"/>
          </w:tcPr>
          <w:p w14:paraId="2B669E0A" w14:textId="77777777" w:rsidR="003C1904" w:rsidRDefault="003C1904" w:rsidP="004C7BEF">
            <w:pPr>
              <w:pStyle w:val="ARtablecolhead"/>
              <w:rPr>
                <w:rFonts w:ascii="Calibri" w:hAnsi="Calibri" w:cs="Calibri"/>
                <w:sz w:val="22"/>
                <w:szCs w:val="22"/>
                <w:lang w:val="en"/>
              </w:rPr>
            </w:pPr>
            <w:r>
              <w:rPr>
                <w:lang w:val="en"/>
              </w:rPr>
              <w:t>Five-year financial summary ($ millions)</w:t>
            </w:r>
          </w:p>
        </w:tc>
        <w:tc>
          <w:tcPr>
            <w:tcW w:w="952" w:type="dxa"/>
            <w:tcBorders>
              <w:top w:val="nil"/>
              <w:bottom w:val="single" w:sz="4" w:space="0" w:color="auto"/>
            </w:tcBorders>
          </w:tcPr>
          <w:p w14:paraId="1AC9A087" w14:textId="77777777" w:rsidR="003C1904" w:rsidRDefault="003C1904" w:rsidP="004C7BEF">
            <w:pPr>
              <w:pStyle w:val="ARtablecolheadright"/>
              <w:rPr>
                <w:lang w:val="en"/>
              </w:rPr>
            </w:pPr>
            <w:r>
              <w:rPr>
                <w:lang w:val="en"/>
              </w:rPr>
              <w:t>2022</w:t>
            </w:r>
          </w:p>
        </w:tc>
        <w:tc>
          <w:tcPr>
            <w:tcW w:w="952" w:type="dxa"/>
            <w:tcBorders>
              <w:top w:val="nil"/>
              <w:bottom w:val="single" w:sz="4" w:space="0" w:color="auto"/>
            </w:tcBorders>
          </w:tcPr>
          <w:p w14:paraId="44202C0A" w14:textId="77777777" w:rsidR="003C1904" w:rsidRDefault="003C1904" w:rsidP="004C7BEF">
            <w:pPr>
              <w:pStyle w:val="ARtablecolheadright"/>
              <w:rPr>
                <w:lang w:val="en"/>
              </w:rPr>
            </w:pPr>
            <w:r>
              <w:rPr>
                <w:lang w:val="en"/>
              </w:rPr>
              <w:t>2021</w:t>
            </w:r>
          </w:p>
        </w:tc>
        <w:tc>
          <w:tcPr>
            <w:tcW w:w="952" w:type="dxa"/>
            <w:tcBorders>
              <w:top w:val="nil"/>
              <w:bottom w:val="single" w:sz="4" w:space="0" w:color="auto"/>
            </w:tcBorders>
          </w:tcPr>
          <w:p w14:paraId="21466309" w14:textId="77777777" w:rsidR="003C1904" w:rsidRDefault="003C1904" w:rsidP="004C7BEF">
            <w:pPr>
              <w:pStyle w:val="ARtablecolheadright"/>
              <w:rPr>
                <w:lang w:val="en"/>
              </w:rPr>
            </w:pPr>
            <w:r>
              <w:rPr>
                <w:lang w:val="en"/>
              </w:rPr>
              <w:t>2020</w:t>
            </w:r>
          </w:p>
        </w:tc>
        <w:tc>
          <w:tcPr>
            <w:tcW w:w="952" w:type="dxa"/>
            <w:tcBorders>
              <w:top w:val="nil"/>
              <w:bottom w:val="single" w:sz="4" w:space="0" w:color="auto"/>
            </w:tcBorders>
            <w:shd w:val="clear" w:color="000000" w:fill="FFFFFF"/>
          </w:tcPr>
          <w:p w14:paraId="24521D39" w14:textId="77777777" w:rsidR="003C1904" w:rsidRDefault="003C1904" w:rsidP="004C7BEF">
            <w:pPr>
              <w:pStyle w:val="ARtablecolheadright"/>
              <w:rPr>
                <w:rFonts w:ascii="Calibri" w:hAnsi="Calibri" w:cs="Calibri"/>
                <w:sz w:val="22"/>
                <w:szCs w:val="22"/>
                <w:lang w:val="en"/>
              </w:rPr>
            </w:pPr>
            <w:r>
              <w:rPr>
                <w:lang w:val="en"/>
              </w:rPr>
              <w:t>2019</w:t>
            </w:r>
          </w:p>
        </w:tc>
        <w:tc>
          <w:tcPr>
            <w:tcW w:w="952" w:type="dxa"/>
            <w:tcBorders>
              <w:top w:val="nil"/>
              <w:bottom w:val="single" w:sz="4" w:space="0" w:color="auto"/>
            </w:tcBorders>
            <w:shd w:val="clear" w:color="000000" w:fill="FFFFFF"/>
            <w:vAlign w:val="bottom"/>
          </w:tcPr>
          <w:p w14:paraId="7D37DC16" w14:textId="77777777" w:rsidR="003C1904" w:rsidRDefault="003C1904" w:rsidP="004C7BEF">
            <w:pPr>
              <w:pStyle w:val="ARtablecolheadright"/>
              <w:rPr>
                <w:rFonts w:ascii="Calibri" w:hAnsi="Calibri" w:cs="Calibri"/>
                <w:sz w:val="22"/>
                <w:szCs w:val="22"/>
                <w:lang w:val="en"/>
              </w:rPr>
            </w:pPr>
            <w:r>
              <w:rPr>
                <w:lang w:val="en"/>
              </w:rPr>
              <w:t>2018</w:t>
            </w:r>
          </w:p>
        </w:tc>
      </w:tr>
      <w:tr w:rsidR="003C1904" w14:paraId="36DBC29A" w14:textId="77777777" w:rsidTr="004C7BEF">
        <w:trPr>
          <w:trHeight w:val="1"/>
        </w:trPr>
        <w:tc>
          <w:tcPr>
            <w:tcW w:w="4883" w:type="dxa"/>
            <w:tcBorders>
              <w:top w:val="single" w:sz="4" w:space="0" w:color="auto"/>
              <w:left w:val="single" w:sz="4" w:space="0" w:color="FFFFFF"/>
              <w:bottom w:val="single" w:sz="4" w:space="0" w:color="auto"/>
            </w:tcBorders>
          </w:tcPr>
          <w:p w14:paraId="0A7C0B5A" w14:textId="77777777" w:rsidR="003C1904" w:rsidRDefault="003C1904" w:rsidP="004C7BEF">
            <w:pPr>
              <w:pStyle w:val="ARtabletext"/>
              <w:rPr>
                <w:rFonts w:ascii="Calibri" w:hAnsi="Calibri" w:cs="Calibri"/>
                <w:sz w:val="22"/>
                <w:szCs w:val="22"/>
                <w:lang w:val="en"/>
              </w:rPr>
            </w:pPr>
            <w:r>
              <w:rPr>
                <w:lang w:val="en"/>
              </w:rPr>
              <w:t>Income from government</w:t>
            </w:r>
          </w:p>
        </w:tc>
        <w:tc>
          <w:tcPr>
            <w:tcW w:w="952" w:type="dxa"/>
            <w:tcBorders>
              <w:top w:val="single" w:sz="4" w:space="0" w:color="auto"/>
              <w:bottom w:val="single" w:sz="4" w:space="0" w:color="auto"/>
            </w:tcBorders>
            <w:vAlign w:val="bottom"/>
          </w:tcPr>
          <w:p w14:paraId="53CC1FF6" w14:textId="77777777" w:rsidR="003C1904" w:rsidRDefault="003C1904" w:rsidP="004C7BEF">
            <w:pPr>
              <w:pStyle w:val="ARtabletextright"/>
              <w:rPr>
                <w:lang w:val="en"/>
              </w:rPr>
            </w:pPr>
            <w:r>
              <w:rPr>
                <w:lang w:val="en"/>
              </w:rPr>
              <w:t>17,798.8</w:t>
            </w:r>
            <w:r w:rsidRPr="005614D8">
              <w:rPr>
                <w:lang w:val="en"/>
              </w:rPr>
              <w:t xml:space="preserve"> </w:t>
            </w:r>
          </w:p>
        </w:tc>
        <w:tc>
          <w:tcPr>
            <w:tcW w:w="952" w:type="dxa"/>
            <w:tcBorders>
              <w:top w:val="single" w:sz="4" w:space="0" w:color="auto"/>
              <w:bottom w:val="single" w:sz="4" w:space="0" w:color="auto"/>
            </w:tcBorders>
            <w:vAlign w:val="bottom"/>
          </w:tcPr>
          <w:p w14:paraId="58F2F6E8" w14:textId="77777777" w:rsidR="003C1904" w:rsidRDefault="003C1904" w:rsidP="004C7BEF">
            <w:pPr>
              <w:pStyle w:val="ARtabletextright"/>
              <w:rPr>
                <w:lang w:val="en"/>
              </w:rPr>
            </w:pPr>
            <w:r w:rsidRPr="005614D8">
              <w:rPr>
                <w:lang w:val="en"/>
              </w:rPr>
              <w:t xml:space="preserve">22,650.3 </w:t>
            </w:r>
          </w:p>
        </w:tc>
        <w:tc>
          <w:tcPr>
            <w:tcW w:w="952" w:type="dxa"/>
            <w:tcBorders>
              <w:top w:val="single" w:sz="4" w:space="0" w:color="auto"/>
              <w:bottom w:val="single" w:sz="4" w:space="0" w:color="auto"/>
            </w:tcBorders>
          </w:tcPr>
          <w:p w14:paraId="7BF71A9D" w14:textId="77777777" w:rsidR="003C1904" w:rsidRDefault="003C1904" w:rsidP="004C7BEF">
            <w:pPr>
              <w:pStyle w:val="ARtabletextright"/>
              <w:rPr>
                <w:lang w:val="en"/>
              </w:rPr>
            </w:pPr>
            <w:r>
              <w:rPr>
                <w:lang w:val="en"/>
              </w:rPr>
              <w:t>18,971.9</w:t>
            </w:r>
          </w:p>
        </w:tc>
        <w:tc>
          <w:tcPr>
            <w:tcW w:w="952" w:type="dxa"/>
            <w:tcBorders>
              <w:top w:val="single" w:sz="4" w:space="0" w:color="auto"/>
              <w:bottom w:val="single" w:sz="4" w:space="0" w:color="auto"/>
            </w:tcBorders>
            <w:shd w:val="clear" w:color="000000" w:fill="FFFFFF"/>
          </w:tcPr>
          <w:p w14:paraId="51C4EE4C" w14:textId="77777777" w:rsidR="003C1904" w:rsidRDefault="003C1904" w:rsidP="004C7BEF">
            <w:pPr>
              <w:pStyle w:val="ARtabletextright"/>
              <w:rPr>
                <w:rFonts w:ascii="Calibri" w:hAnsi="Calibri" w:cs="Calibri"/>
                <w:sz w:val="22"/>
                <w:szCs w:val="22"/>
                <w:lang w:val="en"/>
              </w:rPr>
            </w:pPr>
            <w:r>
              <w:rPr>
                <w:lang w:val="en"/>
              </w:rPr>
              <w:t>17,696.3</w:t>
            </w:r>
          </w:p>
        </w:tc>
        <w:tc>
          <w:tcPr>
            <w:tcW w:w="952" w:type="dxa"/>
            <w:tcBorders>
              <w:top w:val="single" w:sz="4" w:space="0" w:color="auto"/>
              <w:bottom w:val="single" w:sz="4" w:space="0" w:color="auto"/>
            </w:tcBorders>
            <w:shd w:val="clear" w:color="000000" w:fill="FFFFFF"/>
          </w:tcPr>
          <w:p w14:paraId="0AF6BDCB" w14:textId="77777777" w:rsidR="003C1904" w:rsidRDefault="003C1904" w:rsidP="004C7BEF">
            <w:pPr>
              <w:pStyle w:val="ARtabletextright"/>
              <w:rPr>
                <w:rFonts w:ascii="Calibri" w:hAnsi="Calibri" w:cs="Calibri"/>
                <w:sz w:val="22"/>
                <w:szCs w:val="22"/>
                <w:lang w:val="en"/>
              </w:rPr>
            </w:pPr>
            <w:r>
              <w:rPr>
                <w:lang w:val="en"/>
              </w:rPr>
              <w:t>16,373.1</w:t>
            </w:r>
          </w:p>
        </w:tc>
      </w:tr>
      <w:tr w:rsidR="003C1904" w14:paraId="6CA987D9" w14:textId="77777777" w:rsidTr="004C7BEF">
        <w:trPr>
          <w:trHeight w:val="1"/>
        </w:trPr>
        <w:tc>
          <w:tcPr>
            <w:tcW w:w="4883" w:type="dxa"/>
            <w:tcBorders>
              <w:top w:val="single" w:sz="4" w:space="0" w:color="auto"/>
              <w:left w:val="single" w:sz="4" w:space="0" w:color="FFFFFF"/>
              <w:bottom w:val="single" w:sz="4" w:space="0" w:color="auto"/>
            </w:tcBorders>
          </w:tcPr>
          <w:p w14:paraId="27C56E15" w14:textId="77777777" w:rsidR="003C1904" w:rsidRDefault="003C1904" w:rsidP="004C7BEF">
            <w:pPr>
              <w:pStyle w:val="ARtabletext"/>
              <w:rPr>
                <w:rFonts w:ascii="Calibri" w:hAnsi="Calibri" w:cs="Calibri"/>
                <w:sz w:val="22"/>
                <w:szCs w:val="22"/>
                <w:lang w:val="en"/>
              </w:rPr>
            </w:pPr>
            <w:r>
              <w:rPr>
                <w:lang w:val="en"/>
              </w:rPr>
              <w:t>Total revenue and income from transactions</w:t>
            </w:r>
          </w:p>
        </w:tc>
        <w:tc>
          <w:tcPr>
            <w:tcW w:w="952" w:type="dxa"/>
            <w:tcBorders>
              <w:top w:val="single" w:sz="4" w:space="0" w:color="auto"/>
              <w:bottom w:val="single" w:sz="4" w:space="0" w:color="auto"/>
            </w:tcBorders>
            <w:vAlign w:val="bottom"/>
          </w:tcPr>
          <w:p w14:paraId="5C1CD0D4" w14:textId="77777777" w:rsidR="003C1904" w:rsidRDefault="003C1904" w:rsidP="004C7BEF">
            <w:pPr>
              <w:pStyle w:val="ARtabletextright"/>
              <w:rPr>
                <w:lang w:val="en"/>
              </w:rPr>
            </w:pPr>
            <w:r>
              <w:rPr>
                <w:lang w:val="en"/>
              </w:rPr>
              <w:t>21,831.1</w:t>
            </w:r>
            <w:r w:rsidRPr="005614D8">
              <w:rPr>
                <w:lang w:val="en"/>
              </w:rPr>
              <w:t xml:space="preserve"> </w:t>
            </w:r>
          </w:p>
        </w:tc>
        <w:tc>
          <w:tcPr>
            <w:tcW w:w="952" w:type="dxa"/>
            <w:tcBorders>
              <w:top w:val="single" w:sz="4" w:space="0" w:color="auto"/>
              <w:bottom w:val="single" w:sz="4" w:space="0" w:color="auto"/>
            </w:tcBorders>
            <w:vAlign w:val="bottom"/>
          </w:tcPr>
          <w:p w14:paraId="58842D81" w14:textId="77777777" w:rsidR="003C1904" w:rsidRDefault="003C1904" w:rsidP="004C7BEF">
            <w:pPr>
              <w:pStyle w:val="ARtabletextright"/>
              <w:rPr>
                <w:lang w:val="en"/>
              </w:rPr>
            </w:pPr>
            <w:r w:rsidRPr="005614D8">
              <w:rPr>
                <w:lang w:val="en"/>
              </w:rPr>
              <w:t xml:space="preserve">25,698.4 </w:t>
            </w:r>
          </w:p>
        </w:tc>
        <w:tc>
          <w:tcPr>
            <w:tcW w:w="952" w:type="dxa"/>
            <w:tcBorders>
              <w:top w:val="single" w:sz="4" w:space="0" w:color="auto"/>
              <w:bottom w:val="single" w:sz="4" w:space="0" w:color="auto"/>
            </w:tcBorders>
          </w:tcPr>
          <w:p w14:paraId="61D29B8E" w14:textId="77777777" w:rsidR="003C1904" w:rsidRDefault="003C1904" w:rsidP="004C7BEF">
            <w:pPr>
              <w:pStyle w:val="ARtabletextright"/>
              <w:rPr>
                <w:lang w:val="en"/>
              </w:rPr>
            </w:pPr>
            <w:r>
              <w:rPr>
                <w:lang w:val="en"/>
              </w:rPr>
              <w:t>22,028.4</w:t>
            </w:r>
          </w:p>
        </w:tc>
        <w:tc>
          <w:tcPr>
            <w:tcW w:w="952" w:type="dxa"/>
            <w:tcBorders>
              <w:top w:val="single" w:sz="4" w:space="0" w:color="auto"/>
              <w:bottom w:val="single" w:sz="4" w:space="0" w:color="auto"/>
            </w:tcBorders>
            <w:shd w:val="clear" w:color="000000" w:fill="FFFFFF"/>
          </w:tcPr>
          <w:p w14:paraId="67A693CA" w14:textId="77777777" w:rsidR="003C1904" w:rsidRDefault="003C1904" w:rsidP="004C7BEF">
            <w:pPr>
              <w:pStyle w:val="ARtabletextright"/>
              <w:rPr>
                <w:rFonts w:ascii="Calibri" w:hAnsi="Calibri" w:cs="Calibri"/>
                <w:sz w:val="22"/>
                <w:szCs w:val="22"/>
                <w:lang w:val="en"/>
              </w:rPr>
            </w:pPr>
            <w:r>
              <w:rPr>
                <w:lang w:val="en"/>
              </w:rPr>
              <w:t>19,417.0</w:t>
            </w:r>
          </w:p>
        </w:tc>
        <w:tc>
          <w:tcPr>
            <w:tcW w:w="952" w:type="dxa"/>
            <w:tcBorders>
              <w:top w:val="single" w:sz="4" w:space="0" w:color="auto"/>
              <w:bottom w:val="single" w:sz="4" w:space="0" w:color="auto"/>
            </w:tcBorders>
            <w:shd w:val="clear" w:color="000000" w:fill="FFFFFF"/>
          </w:tcPr>
          <w:p w14:paraId="7C809A39" w14:textId="77777777" w:rsidR="003C1904" w:rsidRDefault="003C1904" w:rsidP="004C7BEF">
            <w:pPr>
              <w:pStyle w:val="ARtabletextright"/>
              <w:rPr>
                <w:rFonts w:ascii="Calibri" w:hAnsi="Calibri" w:cs="Calibri"/>
                <w:sz w:val="22"/>
                <w:szCs w:val="22"/>
                <w:lang w:val="en"/>
              </w:rPr>
            </w:pPr>
            <w:r>
              <w:rPr>
                <w:lang w:val="en"/>
              </w:rPr>
              <w:t>17,921.1</w:t>
            </w:r>
          </w:p>
        </w:tc>
      </w:tr>
      <w:tr w:rsidR="003C1904" w14:paraId="694EF55A" w14:textId="77777777" w:rsidTr="004C7BEF">
        <w:trPr>
          <w:trHeight w:val="1"/>
        </w:trPr>
        <w:tc>
          <w:tcPr>
            <w:tcW w:w="4883" w:type="dxa"/>
            <w:tcBorders>
              <w:top w:val="single" w:sz="4" w:space="0" w:color="auto"/>
              <w:left w:val="single" w:sz="4" w:space="0" w:color="FFFFFF"/>
              <w:bottom w:val="single" w:sz="4" w:space="0" w:color="auto"/>
            </w:tcBorders>
          </w:tcPr>
          <w:p w14:paraId="3ECD7583" w14:textId="77777777" w:rsidR="003C1904" w:rsidRDefault="003C1904" w:rsidP="004C7BEF">
            <w:pPr>
              <w:pStyle w:val="ARtabletext"/>
              <w:rPr>
                <w:rFonts w:ascii="Calibri" w:hAnsi="Calibri" w:cs="Calibri"/>
                <w:sz w:val="22"/>
                <w:szCs w:val="22"/>
                <w:lang w:val="en"/>
              </w:rPr>
            </w:pPr>
            <w:r>
              <w:rPr>
                <w:lang w:val="en"/>
              </w:rPr>
              <w:t>Total expenses from transactions</w:t>
            </w:r>
          </w:p>
        </w:tc>
        <w:tc>
          <w:tcPr>
            <w:tcW w:w="952" w:type="dxa"/>
            <w:tcBorders>
              <w:top w:val="single" w:sz="4" w:space="0" w:color="auto"/>
              <w:bottom w:val="single" w:sz="4" w:space="0" w:color="auto"/>
            </w:tcBorders>
            <w:vAlign w:val="bottom"/>
          </w:tcPr>
          <w:p w14:paraId="6B21E8CC" w14:textId="77777777" w:rsidR="003C1904" w:rsidRDefault="003C1904" w:rsidP="004C7BEF">
            <w:pPr>
              <w:pStyle w:val="ARtabletextright"/>
              <w:rPr>
                <w:lang w:val="en"/>
              </w:rPr>
            </w:pPr>
            <w:r w:rsidRPr="005614D8">
              <w:rPr>
                <w:lang w:val="en"/>
              </w:rPr>
              <w:t>(</w:t>
            </w:r>
            <w:r>
              <w:rPr>
                <w:lang w:val="en"/>
              </w:rPr>
              <w:t>21,094.3</w:t>
            </w:r>
            <w:r w:rsidRPr="005614D8">
              <w:rPr>
                <w:lang w:val="en"/>
              </w:rPr>
              <w:t xml:space="preserve">) </w:t>
            </w:r>
          </w:p>
        </w:tc>
        <w:tc>
          <w:tcPr>
            <w:tcW w:w="952" w:type="dxa"/>
            <w:tcBorders>
              <w:top w:val="single" w:sz="4" w:space="0" w:color="auto"/>
              <w:bottom w:val="single" w:sz="4" w:space="0" w:color="auto"/>
            </w:tcBorders>
            <w:vAlign w:val="bottom"/>
          </w:tcPr>
          <w:p w14:paraId="0EECBB85" w14:textId="77777777" w:rsidR="003C1904" w:rsidRDefault="003C1904" w:rsidP="004C7BEF">
            <w:pPr>
              <w:pStyle w:val="ARtabletextright"/>
              <w:rPr>
                <w:lang w:val="en"/>
              </w:rPr>
            </w:pPr>
            <w:r w:rsidRPr="005614D8">
              <w:rPr>
                <w:lang w:val="en"/>
              </w:rPr>
              <w:t xml:space="preserve">(25,170.7) </w:t>
            </w:r>
          </w:p>
        </w:tc>
        <w:tc>
          <w:tcPr>
            <w:tcW w:w="952" w:type="dxa"/>
            <w:tcBorders>
              <w:top w:val="single" w:sz="4" w:space="0" w:color="auto"/>
              <w:bottom w:val="single" w:sz="4" w:space="0" w:color="auto"/>
            </w:tcBorders>
          </w:tcPr>
          <w:p w14:paraId="2AE295E4" w14:textId="77777777" w:rsidR="003C1904" w:rsidRDefault="003C1904" w:rsidP="004C7BEF">
            <w:pPr>
              <w:pStyle w:val="ARtabletextright"/>
              <w:rPr>
                <w:lang w:val="en"/>
              </w:rPr>
            </w:pPr>
            <w:r>
              <w:rPr>
                <w:lang w:val="en"/>
              </w:rPr>
              <w:t>(21,420.3)</w:t>
            </w:r>
          </w:p>
        </w:tc>
        <w:tc>
          <w:tcPr>
            <w:tcW w:w="952" w:type="dxa"/>
            <w:tcBorders>
              <w:top w:val="single" w:sz="4" w:space="0" w:color="auto"/>
              <w:bottom w:val="single" w:sz="4" w:space="0" w:color="auto"/>
            </w:tcBorders>
            <w:shd w:val="clear" w:color="000000" w:fill="FFFFFF"/>
          </w:tcPr>
          <w:p w14:paraId="519D049F" w14:textId="77777777" w:rsidR="003C1904" w:rsidRDefault="003C1904" w:rsidP="004C7BEF">
            <w:pPr>
              <w:pStyle w:val="ARtabletextright"/>
              <w:rPr>
                <w:rFonts w:ascii="Calibri" w:hAnsi="Calibri" w:cs="Calibri"/>
                <w:sz w:val="22"/>
                <w:szCs w:val="22"/>
                <w:lang w:val="en"/>
              </w:rPr>
            </w:pPr>
            <w:r>
              <w:rPr>
                <w:lang w:val="en"/>
              </w:rPr>
              <w:t>(19,391.5)</w:t>
            </w:r>
          </w:p>
        </w:tc>
        <w:tc>
          <w:tcPr>
            <w:tcW w:w="952" w:type="dxa"/>
            <w:tcBorders>
              <w:top w:val="single" w:sz="4" w:space="0" w:color="auto"/>
              <w:bottom w:val="single" w:sz="4" w:space="0" w:color="auto"/>
            </w:tcBorders>
            <w:shd w:val="clear" w:color="000000" w:fill="FFFFFF"/>
          </w:tcPr>
          <w:p w14:paraId="0FC73BD4" w14:textId="77777777" w:rsidR="003C1904" w:rsidRDefault="003C1904" w:rsidP="004C7BEF">
            <w:pPr>
              <w:pStyle w:val="ARtabletextright"/>
              <w:rPr>
                <w:rFonts w:ascii="Calibri" w:hAnsi="Calibri" w:cs="Calibri"/>
                <w:sz w:val="22"/>
                <w:szCs w:val="22"/>
                <w:lang w:val="en"/>
              </w:rPr>
            </w:pPr>
            <w:r>
              <w:rPr>
                <w:lang w:val="en"/>
              </w:rPr>
              <w:t>(17,742.8)</w:t>
            </w:r>
          </w:p>
        </w:tc>
      </w:tr>
      <w:tr w:rsidR="003C1904" w14:paraId="022D0385" w14:textId="77777777" w:rsidTr="004C7BEF">
        <w:trPr>
          <w:trHeight w:val="1"/>
        </w:trPr>
        <w:tc>
          <w:tcPr>
            <w:tcW w:w="4883" w:type="dxa"/>
            <w:tcBorders>
              <w:top w:val="single" w:sz="4" w:space="0" w:color="auto"/>
              <w:left w:val="single" w:sz="4" w:space="0" w:color="FFFFFF"/>
              <w:bottom w:val="single" w:sz="4" w:space="0" w:color="auto"/>
            </w:tcBorders>
            <w:shd w:val="clear" w:color="auto" w:fill="E7E6E6"/>
          </w:tcPr>
          <w:p w14:paraId="15276686" w14:textId="77777777" w:rsidR="003C1904" w:rsidRDefault="003C1904" w:rsidP="004C7BEF">
            <w:pPr>
              <w:pStyle w:val="ARtabletext"/>
              <w:rPr>
                <w:rFonts w:ascii="Calibri" w:hAnsi="Calibri" w:cs="Calibri"/>
                <w:sz w:val="22"/>
                <w:szCs w:val="22"/>
                <w:lang w:val="en"/>
              </w:rPr>
            </w:pPr>
            <w:r>
              <w:rPr>
                <w:lang w:val="en"/>
              </w:rPr>
              <w:t>Net result from transactions</w:t>
            </w:r>
          </w:p>
        </w:tc>
        <w:tc>
          <w:tcPr>
            <w:tcW w:w="952" w:type="dxa"/>
            <w:tcBorders>
              <w:top w:val="single" w:sz="4" w:space="0" w:color="auto"/>
              <w:bottom w:val="single" w:sz="4" w:space="0" w:color="auto"/>
            </w:tcBorders>
            <w:shd w:val="clear" w:color="auto" w:fill="E7E6E6"/>
            <w:vAlign w:val="bottom"/>
          </w:tcPr>
          <w:p w14:paraId="2394DA94" w14:textId="77777777" w:rsidR="003C1904" w:rsidRDefault="003C1904" w:rsidP="004C7BEF">
            <w:pPr>
              <w:pStyle w:val="ARtabletextright"/>
              <w:rPr>
                <w:lang w:val="en"/>
              </w:rPr>
            </w:pPr>
            <w:r>
              <w:rPr>
                <w:lang w:val="en"/>
              </w:rPr>
              <w:t>718.8</w:t>
            </w:r>
            <w:r w:rsidRPr="005614D8">
              <w:rPr>
                <w:lang w:val="en"/>
              </w:rPr>
              <w:t xml:space="preserve"> </w:t>
            </w:r>
          </w:p>
        </w:tc>
        <w:tc>
          <w:tcPr>
            <w:tcW w:w="952" w:type="dxa"/>
            <w:tcBorders>
              <w:top w:val="single" w:sz="4" w:space="0" w:color="auto"/>
              <w:bottom w:val="single" w:sz="4" w:space="0" w:color="auto"/>
            </w:tcBorders>
            <w:shd w:val="clear" w:color="auto" w:fill="E7E6E6"/>
            <w:vAlign w:val="bottom"/>
          </w:tcPr>
          <w:p w14:paraId="20922693" w14:textId="77777777" w:rsidR="003C1904" w:rsidRDefault="003C1904" w:rsidP="004C7BEF">
            <w:pPr>
              <w:pStyle w:val="ARtabletextright"/>
              <w:rPr>
                <w:lang w:val="en"/>
              </w:rPr>
            </w:pPr>
            <w:r w:rsidRPr="005614D8">
              <w:rPr>
                <w:lang w:val="en"/>
              </w:rPr>
              <w:t xml:space="preserve">527.7 </w:t>
            </w:r>
          </w:p>
        </w:tc>
        <w:tc>
          <w:tcPr>
            <w:tcW w:w="952" w:type="dxa"/>
            <w:tcBorders>
              <w:top w:val="single" w:sz="4" w:space="0" w:color="auto"/>
              <w:bottom w:val="single" w:sz="4" w:space="0" w:color="auto"/>
            </w:tcBorders>
            <w:shd w:val="clear" w:color="auto" w:fill="E7E6E6"/>
          </w:tcPr>
          <w:p w14:paraId="21DEA1D5" w14:textId="77777777" w:rsidR="003C1904" w:rsidRDefault="003C1904" w:rsidP="004C7BEF">
            <w:pPr>
              <w:pStyle w:val="ARtabletextright"/>
              <w:rPr>
                <w:lang w:val="en"/>
              </w:rPr>
            </w:pPr>
            <w:r>
              <w:rPr>
                <w:lang w:val="en"/>
              </w:rPr>
              <w:t>608.1</w:t>
            </w:r>
          </w:p>
        </w:tc>
        <w:tc>
          <w:tcPr>
            <w:tcW w:w="952" w:type="dxa"/>
            <w:tcBorders>
              <w:top w:val="single" w:sz="4" w:space="0" w:color="auto"/>
              <w:bottom w:val="single" w:sz="4" w:space="0" w:color="auto"/>
            </w:tcBorders>
            <w:shd w:val="clear" w:color="auto" w:fill="E7E6E6"/>
          </w:tcPr>
          <w:p w14:paraId="74F32657" w14:textId="77777777" w:rsidR="003C1904" w:rsidRDefault="003C1904" w:rsidP="004C7BEF">
            <w:pPr>
              <w:pStyle w:val="ARtabletextright"/>
              <w:rPr>
                <w:rFonts w:ascii="Calibri" w:hAnsi="Calibri" w:cs="Calibri"/>
                <w:sz w:val="22"/>
                <w:szCs w:val="22"/>
                <w:lang w:val="en"/>
              </w:rPr>
            </w:pPr>
            <w:r>
              <w:rPr>
                <w:lang w:val="en"/>
              </w:rPr>
              <w:t>25.5</w:t>
            </w:r>
          </w:p>
        </w:tc>
        <w:tc>
          <w:tcPr>
            <w:tcW w:w="952" w:type="dxa"/>
            <w:tcBorders>
              <w:top w:val="single" w:sz="4" w:space="0" w:color="auto"/>
              <w:bottom w:val="single" w:sz="4" w:space="0" w:color="auto"/>
            </w:tcBorders>
            <w:shd w:val="clear" w:color="auto" w:fill="E7E6E6"/>
          </w:tcPr>
          <w:p w14:paraId="2F12E020" w14:textId="77777777" w:rsidR="003C1904" w:rsidRDefault="003C1904" w:rsidP="004C7BEF">
            <w:pPr>
              <w:pStyle w:val="ARtabletextright"/>
              <w:rPr>
                <w:rFonts w:ascii="Calibri" w:hAnsi="Calibri" w:cs="Calibri"/>
                <w:sz w:val="22"/>
                <w:szCs w:val="22"/>
                <w:lang w:val="en"/>
              </w:rPr>
            </w:pPr>
            <w:r>
              <w:rPr>
                <w:lang w:val="en"/>
              </w:rPr>
              <w:t>178.3</w:t>
            </w:r>
          </w:p>
        </w:tc>
      </w:tr>
      <w:tr w:rsidR="003C1904" w14:paraId="0D685FA8" w14:textId="77777777" w:rsidTr="004C7BEF">
        <w:trPr>
          <w:trHeight w:val="1"/>
        </w:trPr>
        <w:tc>
          <w:tcPr>
            <w:tcW w:w="4883" w:type="dxa"/>
            <w:tcBorders>
              <w:top w:val="single" w:sz="4" w:space="0" w:color="auto"/>
              <w:left w:val="single" w:sz="4" w:space="0" w:color="FFFFFF"/>
              <w:bottom w:val="single" w:sz="4" w:space="0" w:color="auto"/>
            </w:tcBorders>
          </w:tcPr>
          <w:p w14:paraId="13ECBB45" w14:textId="77777777" w:rsidR="003C1904" w:rsidRDefault="003C1904" w:rsidP="004C7BEF">
            <w:pPr>
              <w:pStyle w:val="ARtabletext"/>
              <w:rPr>
                <w:rFonts w:ascii="Calibri" w:hAnsi="Calibri" w:cs="Calibri"/>
                <w:sz w:val="22"/>
                <w:szCs w:val="22"/>
                <w:lang w:val="en"/>
              </w:rPr>
            </w:pPr>
            <w:r>
              <w:rPr>
                <w:lang w:val="en"/>
              </w:rPr>
              <w:t>Net result for the period</w:t>
            </w:r>
          </w:p>
        </w:tc>
        <w:tc>
          <w:tcPr>
            <w:tcW w:w="952" w:type="dxa"/>
            <w:tcBorders>
              <w:top w:val="single" w:sz="4" w:space="0" w:color="auto"/>
              <w:bottom w:val="single" w:sz="4" w:space="0" w:color="auto"/>
            </w:tcBorders>
            <w:vAlign w:val="bottom"/>
          </w:tcPr>
          <w:p w14:paraId="7BD8F126" w14:textId="77777777" w:rsidR="003C1904" w:rsidRDefault="003C1904" w:rsidP="004C7BEF">
            <w:pPr>
              <w:pStyle w:val="ARtabletextright"/>
              <w:rPr>
                <w:lang w:val="en"/>
              </w:rPr>
            </w:pPr>
            <w:r>
              <w:rPr>
                <w:lang w:val="en"/>
              </w:rPr>
              <w:t>721.8</w:t>
            </w:r>
            <w:r w:rsidRPr="005614D8">
              <w:rPr>
                <w:lang w:val="en"/>
              </w:rPr>
              <w:t xml:space="preserve"> </w:t>
            </w:r>
          </w:p>
        </w:tc>
        <w:tc>
          <w:tcPr>
            <w:tcW w:w="952" w:type="dxa"/>
            <w:tcBorders>
              <w:top w:val="single" w:sz="4" w:space="0" w:color="auto"/>
              <w:bottom w:val="single" w:sz="4" w:space="0" w:color="auto"/>
            </w:tcBorders>
            <w:vAlign w:val="bottom"/>
          </w:tcPr>
          <w:p w14:paraId="4CA840A8" w14:textId="77777777" w:rsidR="003C1904" w:rsidRDefault="003C1904" w:rsidP="004C7BEF">
            <w:pPr>
              <w:pStyle w:val="ARtabletextright"/>
              <w:rPr>
                <w:lang w:val="en"/>
              </w:rPr>
            </w:pPr>
            <w:r w:rsidRPr="005614D8">
              <w:rPr>
                <w:lang w:val="en"/>
              </w:rPr>
              <w:t xml:space="preserve">513.9 </w:t>
            </w:r>
          </w:p>
        </w:tc>
        <w:tc>
          <w:tcPr>
            <w:tcW w:w="952" w:type="dxa"/>
            <w:tcBorders>
              <w:top w:val="single" w:sz="4" w:space="0" w:color="auto"/>
              <w:bottom w:val="single" w:sz="4" w:space="0" w:color="auto"/>
            </w:tcBorders>
          </w:tcPr>
          <w:p w14:paraId="6DC53EA0" w14:textId="77777777" w:rsidR="003C1904" w:rsidRDefault="003C1904" w:rsidP="004C7BEF">
            <w:pPr>
              <w:pStyle w:val="ARtabletextright"/>
              <w:rPr>
                <w:lang w:val="en"/>
              </w:rPr>
            </w:pPr>
            <w:r>
              <w:rPr>
                <w:lang w:val="en"/>
              </w:rPr>
              <w:t>545.4</w:t>
            </w:r>
          </w:p>
        </w:tc>
        <w:tc>
          <w:tcPr>
            <w:tcW w:w="952" w:type="dxa"/>
            <w:tcBorders>
              <w:top w:val="single" w:sz="4" w:space="0" w:color="auto"/>
              <w:bottom w:val="single" w:sz="4" w:space="0" w:color="auto"/>
            </w:tcBorders>
            <w:shd w:val="clear" w:color="000000" w:fill="FFFFFF"/>
          </w:tcPr>
          <w:p w14:paraId="430078E9" w14:textId="77777777" w:rsidR="003C1904" w:rsidRDefault="003C1904" w:rsidP="004C7BEF">
            <w:pPr>
              <w:pStyle w:val="ARtabletextright"/>
              <w:rPr>
                <w:rFonts w:ascii="Calibri" w:hAnsi="Calibri" w:cs="Calibri"/>
                <w:sz w:val="22"/>
                <w:szCs w:val="22"/>
                <w:lang w:val="en"/>
              </w:rPr>
            </w:pPr>
            <w:r>
              <w:rPr>
                <w:lang w:val="en"/>
              </w:rPr>
              <w:t>(9.0)</w:t>
            </w:r>
          </w:p>
        </w:tc>
        <w:tc>
          <w:tcPr>
            <w:tcW w:w="952" w:type="dxa"/>
            <w:tcBorders>
              <w:top w:val="single" w:sz="4" w:space="0" w:color="auto"/>
              <w:bottom w:val="single" w:sz="4" w:space="0" w:color="auto"/>
            </w:tcBorders>
            <w:shd w:val="clear" w:color="000000" w:fill="FFFFFF"/>
          </w:tcPr>
          <w:p w14:paraId="042B54FF" w14:textId="77777777" w:rsidR="003C1904" w:rsidRDefault="003C1904" w:rsidP="004C7BEF">
            <w:pPr>
              <w:pStyle w:val="ARtabletextright"/>
              <w:rPr>
                <w:rFonts w:ascii="Calibri" w:hAnsi="Calibri" w:cs="Calibri"/>
                <w:sz w:val="22"/>
                <w:szCs w:val="22"/>
                <w:lang w:val="en"/>
              </w:rPr>
            </w:pPr>
            <w:r>
              <w:rPr>
                <w:lang w:val="en"/>
              </w:rPr>
              <w:t>181.7</w:t>
            </w:r>
          </w:p>
        </w:tc>
      </w:tr>
      <w:tr w:rsidR="003C1904" w14:paraId="4A2ACAA0" w14:textId="77777777" w:rsidTr="004C7BEF">
        <w:trPr>
          <w:trHeight w:val="1"/>
        </w:trPr>
        <w:tc>
          <w:tcPr>
            <w:tcW w:w="4883" w:type="dxa"/>
            <w:tcBorders>
              <w:top w:val="single" w:sz="4" w:space="0" w:color="auto"/>
              <w:left w:val="single" w:sz="4" w:space="0" w:color="FFFFFF"/>
              <w:bottom w:val="single" w:sz="4" w:space="0" w:color="auto"/>
            </w:tcBorders>
          </w:tcPr>
          <w:p w14:paraId="782A592A" w14:textId="77777777" w:rsidR="003C1904" w:rsidRDefault="003C1904" w:rsidP="004C7BEF">
            <w:pPr>
              <w:pStyle w:val="ARtabletext"/>
              <w:rPr>
                <w:rFonts w:ascii="Calibri" w:hAnsi="Calibri" w:cs="Calibri"/>
                <w:sz w:val="22"/>
                <w:szCs w:val="22"/>
                <w:lang w:val="en"/>
              </w:rPr>
            </w:pPr>
            <w:r>
              <w:rPr>
                <w:lang w:val="en"/>
              </w:rPr>
              <w:t>Net cash flow from operating activities</w:t>
            </w:r>
          </w:p>
        </w:tc>
        <w:tc>
          <w:tcPr>
            <w:tcW w:w="952" w:type="dxa"/>
            <w:tcBorders>
              <w:top w:val="single" w:sz="4" w:space="0" w:color="auto"/>
              <w:bottom w:val="single" w:sz="4" w:space="0" w:color="auto"/>
            </w:tcBorders>
            <w:vAlign w:val="bottom"/>
          </w:tcPr>
          <w:p w14:paraId="0BAB95C0" w14:textId="77777777" w:rsidR="003C1904" w:rsidRDefault="003C1904" w:rsidP="004C7BEF">
            <w:pPr>
              <w:pStyle w:val="ARtabletextright"/>
              <w:rPr>
                <w:lang w:val="en"/>
              </w:rPr>
            </w:pPr>
            <w:r>
              <w:rPr>
                <w:lang w:val="en"/>
              </w:rPr>
              <w:t>60.1</w:t>
            </w:r>
            <w:r w:rsidRPr="005614D8">
              <w:rPr>
                <w:lang w:val="en"/>
              </w:rPr>
              <w:t xml:space="preserve"> </w:t>
            </w:r>
          </w:p>
        </w:tc>
        <w:tc>
          <w:tcPr>
            <w:tcW w:w="952" w:type="dxa"/>
            <w:tcBorders>
              <w:top w:val="single" w:sz="4" w:space="0" w:color="auto"/>
              <w:bottom w:val="single" w:sz="4" w:space="0" w:color="auto"/>
            </w:tcBorders>
            <w:vAlign w:val="bottom"/>
          </w:tcPr>
          <w:p w14:paraId="509C9308" w14:textId="77777777" w:rsidR="003C1904" w:rsidRDefault="003C1904" w:rsidP="004C7BEF">
            <w:pPr>
              <w:pStyle w:val="ARtabletextright"/>
              <w:rPr>
                <w:lang w:val="en"/>
              </w:rPr>
            </w:pPr>
            <w:r w:rsidRPr="005614D8">
              <w:rPr>
                <w:lang w:val="en"/>
              </w:rPr>
              <w:t xml:space="preserve">989.6 </w:t>
            </w:r>
          </w:p>
        </w:tc>
        <w:tc>
          <w:tcPr>
            <w:tcW w:w="952" w:type="dxa"/>
            <w:tcBorders>
              <w:top w:val="single" w:sz="4" w:space="0" w:color="auto"/>
              <w:bottom w:val="single" w:sz="4" w:space="0" w:color="auto"/>
            </w:tcBorders>
          </w:tcPr>
          <w:p w14:paraId="21C18129" w14:textId="77777777" w:rsidR="003C1904" w:rsidRDefault="003C1904" w:rsidP="004C7BEF">
            <w:pPr>
              <w:pStyle w:val="ARtabletextright"/>
              <w:rPr>
                <w:lang w:val="en"/>
              </w:rPr>
            </w:pPr>
            <w:r>
              <w:rPr>
                <w:lang w:val="en"/>
              </w:rPr>
              <w:t>(96.9)</w:t>
            </w:r>
          </w:p>
        </w:tc>
        <w:tc>
          <w:tcPr>
            <w:tcW w:w="952" w:type="dxa"/>
            <w:tcBorders>
              <w:top w:val="single" w:sz="4" w:space="0" w:color="auto"/>
              <w:bottom w:val="single" w:sz="4" w:space="0" w:color="auto"/>
            </w:tcBorders>
            <w:shd w:val="clear" w:color="000000" w:fill="FFFFFF"/>
          </w:tcPr>
          <w:p w14:paraId="1784C0E9" w14:textId="77777777" w:rsidR="003C1904" w:rsidRDefault="003C1904" w:rsidP="004C7BEF">
            <w:pPr>
              <w:pStyle w:val="ARtabletextright"/>
              <w:rPr>
                <w:rFonts w:ascii="Calibri" w:hAnsi="Calibri" w:cs="Calibri"/>
                <w:sz w:val="22"/>
                <w:szCs w:val="22"/>
                <w:lang w:val="en"/>
              </w:rPr>
            </w:pPr>
            <w:r>
              <w:rPr>
                <w:lang w:val="en"/>
              </w:rPr>
              <w:t>325.9</w:t>
            </w:r>
          </w:p>
        </w:tc>
        <w:tc>
          <w:tcPr>
            <w:tcW w:w="952" w:type="dxa"/>
            <w:tcBorders>
              <w:top w:val="single" w:sz="4" w:space="0" w:color="auto"/>
              <w:bottom w:val="single" w:sz="4" w:space="0" w:color="auto"/>
            </w:tcBorders>
            <w:shd w:val="clear" w:color="000000" w:fill="FFFFFF"/>
          </w:tcPr>
          <w:p w14:paraId="5AE97B44" w14:textId="77777777" w:rsidR="003C1904" w:rsidRDefault="003C1904" w:rsidP="004C7BEF">
            <w:pPr>
              <w:pStyle w:val="ARtabletextright"/>
              <w:rPr>
                <w:rFonts w:ascii="Calibri" w:hAnsi="Calibri" w:cs="Calibri"/>
                <w:sz w:val="22"/>
                <w:szCs w:val="22"/>
                <w:lang w:val="en"/>
              </w:rPr>
            </w:pPr>
            <w:r>
              <w:rPr>
                <w:lang w:val="en"/>
              </w:rPr>
              <w:t>361.9</w:t>
            </w:r>
          </w:p>
        </w:tc>
      </w:tr>
      <w:tr w:rsidR="003C1904" w14:paraId="01294D48" w14:textId="77777777" w:rsidTr="004C7BEF">
        <w:trPr>
          <w:trHeight w:val="1"/>
        </w:trPr>
        <w:tc>
          <w:tcPr>
            <w:tcW w:w="4883" w:type="dxa"/>
            <w:tcBorders>
              <w:top w:val="single" w:sz="4" w:space="0" w:color="auto"/>
              <w:left w:val="single" w:sz="4" w:space="0" w:color="FFFFFF"/>
              <w:bottom w:val="single" w:sz="4" w:space="0" w:color="auto"/>
            </w:tcBorders>
          </w:tcPr>
          <w:p w14:paraId="66AC3DAE" w14:textId="77777777" w:rsidR="003C1904" w:rsidRDefault="003C1904" w:rsidP="004C7BEF">
            <w:pPr>
              <w:pStyle w:val="ARtabletext"/>
              <w:rPr>
                <w:rFonts w:ascii="Calibri" w:hAnsi="Calibri" w:cs="Calibri"/>
                <w:sz w:val="22"/>
                <w:szCs w:val="22"/>
                <w:lang w:val="en"/>
              </w:rPr>
            </w:pPr>
            <w:r>
              <w:rPr>
                <w:lang w:val="en"/>
              </w:rPr>
              <w:t>Total assets</w:t>
            </w:r>
          </w:p>
        </w:tc>
        <w:tc>
          <w:tcPr>
            <w:tcW w:w="952" w:type="dxa"/>
            <w:tcBorders>
              <w:top w:val="single" w:sz="4" w:space="0" w:color="auto"/>
              <w:bottom w:val="single" w:sz="4" w:space="0" w:color="auto"/>
            </w:tcBorders>
            <w:vAlign w:val="bottom"/>
          </w:tcPr>
          <w:p w14:paraId="78C72914" w14:textId="77777777" w:rsidR="003C1904" w:rsidRDefault="003C1904" w:rsidP="004C7BEF">
            <w:pPr>
              <w:pStyle w:val="ARtabletextright"/>
              <w:rPr>
                <w:lang w:val="en"/>
              </w:rPr>
            </w:pPr>
            <w:r>
              <w:rPr>
                <w:lang w:val="en"/>
              </w:rPr>
              <w:t>7,554.8</w:t>
            </w:r>
            <w:r w:rsidRPr="005614D8">
              <w:rPr>
                <w:lang w:val="en"/>
              </w:rPr>
              <w:t xml:space="preserve"> </w:t>
            </w:r>
          </w:p>
        </w:tc>
        <w:tc>
          <w:tcPr>
            <w:tcW w:w="952" w:type="dxa"/>
            <w:tcBorders>
              <w:top w:val="single" w:sz="4" w:space="0" w:color="auto"/>
              <w:bottom w:val="single" w:sz="4" w:space="0" w:color="auto"/>
            </w:tcBorders>
            <w:vAlign w:val="bottom"/>
          </w:tcPr>
          <w:p w14:paraId="0B7FE18D" w14:textId="77777777" w:rsidR="003C1904" w:rsidRDefault="003C1904" w:rsidP="004C7BEF">
            <w:pPr>
              <w:pStyle w:val="ARtabletextright"/>
              <w:rPr>
                <w:lang w:val="en"/>
              </w:rPr>
            </w:pPr>
            <w:r w:rsidRPr="005614D8">
              <w:rPr>
                <w:lang w:val="en"/>
              </w:rPr>
              <w:t xml:space="preserve">40,433.6 </w:t>
            </w:r>
          </w:p>
        </w:tc>
        <w:tc>
          <w:tcPr>
            <w:tcW w:w="952" w:type="dxa"/>
            <w:tcBorders>
              <w:top w:val="single" w:sz="4" w:space="0" w:color="auto"/>
              <w:bottom w:val="single" w:sz="4" w:space="0" w:color="auto"/>
            </w:tcBorders>
          </w:tcPr>
          <w:p w14:paraId="43FC864F" w14:textId="77777777" w:rsidR="003C1904" w:rsidRDefault="003C1904" w:rsidP="004C7BEF">
            <w:pPr>
              <w:pStyle w:val="ARtabletextright"/>
              <w:rPr>
                <w:lang w:val="en"/>
              </w:rPr>
            </w:pPr>
            <w:r>
              <w:rPr>
                <w:lang w:val="en"/>
              </w:rPr>
              <w:t>34,865.9</w:t>
            </w:r>
          </w:p>
        </w:tc>
        <w:tc>
          <w:tcPr>
            <w:tcW w:w="952" w:type="dxa"/>
            <w:tcBorders>
              <w:top w:val="single" w:sz="4" w:space="0" w:color="auto"/>
              <w:bottom w:val="single" w:sz="4" w:space="0" w:color="auto"/>
            </w:tcBorders>
            <w:shd w:val="clear" w:color="000000" w:fill="FFFFFF"/>
          </w:tcPr>
          <w:p w14:paraId="49B9655B" w14:textId="77777777" w:rsidR="003C1904" w:rsidRDefault="003C1904" w:rsidP="004C7BEF">
            <w:pPr>
              <w:pStyle w:val="ARtabletextright"/>
              <w:rPr>
                <w:rFonts w:ascii="Calibri" w:hAnsi="Calibri" w:cs="Calibri"/>
                <w:sz w:val="22"/>
                <w:szCs w:val="22"/>
                <w:lang w:val="en"/>
              </w:rPr>
            </w:pPr>
            <w:r>
              <w:rPr>
                <w:lang w:val="en"/>
              </w:rPr>
              <w:t>33,372.5</w:t>
            </w:r>
          </w:p>
        </w:tc>
        <w:tc>
          <w:tcPr>
            <w:tcW w:w="952" w:type="dxa"/>
            <w:tcBorders>
              <w:top w:val="single" w:sz="4" w:space="0" w:color="auto"/>
              <w:bottom w:val="single" w:sz="4" w:space="0" w:color="auto"/>
            </w:tcBorders>
            <w:shd w:val="clear" w:color="000000" w:fill="FFFFFF"/>
          </w:tcPr>
          <w:p w14:paraId="68723A09" w14:textId="77777777" w:rsidR="003C1904" w:rsidRDefault="003C1904" w:rsidP="004C7BEF">
            <w:pPr>
              <w:pStyle w:val="ARtabletextright"/>
              <w:rPr>
                <w:rFonts w:ascii="Calibri" w:hAnsi="Calibri" w:cs="Calibri"/>
                <w:sz w:val="22"/>
                <w:szCs w:val="22"/>
                <w:lang w:val="en"/>
              </w:rPr>
            </w:pPr>
            <w:r>
              <w:rPr>
                <w:lang w:val="en"/>
              </w:rPr>
              <w:t>34,380.8</w:t>
            </w:r>
          </w:p>
        </w:tc>
      </w:tr>
      <w:tr w:rsidR="003C1904" w14:paraId="696A6890" w14:textId="77777777" w:rsidTr="004C7BEF">
        <w:trPr>
          <w:trHeight w:val="1"/>
        </w:trPr>
        <w:tc>
          <w:tcPr>
            <w:tcW w:w="4883" w:type="dxa"/>
            <w:tcBorders>
              <w:top w:val="single" w:sz="4" w:space="0" w:color="auto"/>
              <w:left w:val="single" w:sz="4" w:space="0" w:color="FFFFFF"/>
              <w:bottom w:val="single" w:sz="4" w:space="0" w:color="auto"/>
            </w:tcBorders>
          </w:tcPr>
          <w:p w14:paraId="288666C0" w14:textId="77777777" w:rsidR="003C1904" w:rsidRDefault="003C1904" w:rsidP="004C7BEF">
            <w:pPr>
              <w:pStyle w:val="ARtabletext"/>
              <w:rPr>
                <w:rFonts w:ascii="Calibri" w:hAnsi="Calibri" w:cs="Calibri"/>
                <w:sz w:val="22"/>
                <w:szCs w:val="22"/>
                <w:lang w:val="en"/>
              </w:rPr>
            </w:pPr>
            <w:r>
              <w:rPr>
                <w:lang w:val="en"/>
              </w:rPr>
              <w:t>Total liabilities</w:t>
            </w:r>
          </w:p>
        </w:tc>
        <w:tc>
          <w:tcPr>
            <w:tcW w:w="952" w:type="dxa"/>
            <w:tcBorders>
              <w:top w:val="single" w:sz="4" w:space="0" w:color="auto"/>
              <w:bottom w:val="single" w:sz="4" w:space="0" w:color="auto"/>
            </w:tcBorders>
            <w:vAlign w:val="bottom"/>
          </w:tcPr>
          <w:p w14:paraId="472091F1" w14:textId="77777777" w:rsidR="003C1904" w:rsidRDefault="003C1904" w:rsidP="004C7BEF">
            <w:pPr>
              <w:pStyle w:val="ARtabletextright"/>
              <w:rPr>
                <w:lang w:val="en"/>
              </w:rPr>
            </w:pPr>
            <w:r>
              <w:rPr>
                <w:lang w:val="en"/>
              </w:rPr>
              <w:t>2,691.6</w:t>
            </w:r>
            <w:r w:rsidRPr="005614D8">
              <w:rPr>
                <w:lang w:val="en"/>
              </w:rPr>
              <w:t xml:space="preserve"> </w:t>
            </w:r>
          </w:p>
        </w:tc>
        <w:tc>
          <w:tcPr>
            <w:tcW w:w="952" w:type="dxa"/>
            <w:tcBorders>
              <w:top w:val="single" w:sz="4" w:space="0" w:color="auto"/>
              <w:bottom w:val="single" w:sz="4" w:space="0" w:color="auto"/>
            </w:tcBorders>
            <w:vAlign w:val="bottom"/>
          </w:tcPr>
          <w:p w14:paraId="478BA6C0" w14:textId="77777777" w:rsidR="003C1904" w:rsidRDefault="003C1904" w:rsidP="004C7BEF">
            <w:pPr>
              <w:pStyle w:val="ARtabletextright"/>
              <w:rPr>
                <w:lang w:val="en"/>
              </w:rPr>
            </w:pPr>
            <w:r w:rsidRPr="005614D8">
              <w:rPr>
                <w:lang w:val="en"/>
              </w:rPr>
              <w:t xml:space="preserve">3,157.7 </w:t>
            </w:r>
          </w:p>
        </w:tc>
        <w:tc>
          <w:tcPr>
            <w:tcW w:w="952" w:type="dxa"/>
            <w:tcBorders>
              <w:top w:val="single" w:sz="4" w:space="0" w:color="auto"/>
              <w:bottom w:val="single" w:sz="4" w:space="0" w:color="auto"/>
            </w:tcBorders>
          </w:tcPr>
          <w:p w14:paraId="5388EDF6" w14:textId="77777777" w:rsidR="003C1904" w:rsidRDefault="003C1904" w:rsidP="004C7BEF">
            <w:pPr>
              <w:pStyle w:val="ARtabletextright"/>
              <w:rPr>
                <w:lang w:val="en"/>
              </w:rPr>
            </w:pPr>
            <w:r>
              <w:rPr>
                <w:lang w:val="en"/>
              </w:rPr>
              <w:t>2,928.7</w:t>
            </w:r>
          </w:p>
        </w:tc>
        <w:tc>
          <w:tcPr>
            <w:tcW w:w="952" w:type="dxa"/>
            <w:tcBorders>
              <w:top w:val="single" w:sz="4" w:space="0" w:color="auto"/>
              <w:bottom w:val="single" w:sz="4" w:space="0" w:color="auto"/>
            </w:tcBorders>
            <w:shd w:val="clear" w:color="000000" w:fill="FFFFFF"/>
          </w:tcPr>
          <w:p w14:paraId="471DEAE1" w14:textId="77777777" w:rsidR="003C1904" w:rsidRDefault="003C1904" w:rsidP="004C7BEF">
            <w:pPr>
              <w:pStyle w:val="ARtabletextright"/>
              <w:rPr>
                <w:rFonts w:ascii="Calibri" w:hAnsi="Calibri" w:cs="Calibri"/>
                <w:sz w:val="22"/>
                <w:szCs w:val="22"/>
                <w:lang w:val="en"/>
              </w:rPr>
            </w:pPr>
            <w:r>
              <w:rPr>
                <w:lang w:val="en"/>
              </w:rPr>
              <w:t>2,177.4</w:t>
            </w:r>
          </w:p>
        </w:tc>
        <w:tc>
          <w:tcPr>
            <w:tcW w:w="952" w:type="dxa"/>
            <w:tcBorders>
              <w:top w:val="single" w:sz="4" w:space="0" w:color="auto"/>
              <w:bottom w:val="single" w:sz="4" w:space="0" w:color="auto"/>
            </w:tcBorders>
            <w:shd w:val="clear" w:color="000000" w:fill="FFFFFF"/>
          </w:tcPr>
          <w:p w14:paraId="61C8A4E2" w14:textId="77777777" w:rsidR="003C1904" w:rsidRDefault="003C1904" w:rsidP="004C7BEF">
            <w:pPr>
              <w:pStyle w:val="ARtabletextright"/>
              <w:rPr>
                <w:rFonts w:ascii="Calibri" w:hAnsi="Calibri" w:cs="Calibri"/>
                <w:sz w:val="22"/>
                <w:szCs w:val="22"/>
                <w:lang w:val="en"/>
              </w:rPr>
            </w:pPr>
            <w:r>
              <w:rPr>
                <w:lang w:val="en"/>
              </w:rPr>
              <w:t>1,968.3</w:t>
            </w:r>
          </w:p>
        </w:tc>
      </w:tr>
    </w:tbl>
    <w:p w14:paraId="06D9DE45" w14:textId="77777777" w:rsidR="006D467D" w:rsidRDefault="006D467D" w:rsidP="004C7BEF">
      <w:pPr>
        <w:pStyle w:val="ARbody"/>
        <w:rPr>
          <w:lang w:val="en" w:eastAsia="en-AU"/>
        </w:rPr>
      </w:pPr>
    </w:p>
    <w:p w14:paraId="62178BBE" w14:textId="650B8AD4" w:rsidR="00084E8C" w:rsidRDefault="00084E8C" w:rsidP="004C7BEF">
      <w:pPr>
        <w:pStyle w:val="ARbody"/>
        <w:rPr>
          <w:lang w:val="en" w:eastAsia="en-AU"/>
        </w:rPr>
        <w:sectPr w:rsidR="00084E8C" w:rsidSect="004C7BEF">
          <w:headerReference w:type="default" r:id="rId43"/>
          <w:footnotePr>
            <w:numFmt w:val="lowerLetter"/>
            <w:numRestart w:val="eachPage"/>
          </w:footnotePr>
          <w:endnotePr>
            <w:numFmt w:val="decimal"/>
          </w:endnotePr>
          <w:pgSz w:w="11900" w:h="16840" w:code="9"/>
          <w:pgMar w:top="1985" w:right="1134" w:bottom="851" w:left="1134" w:header="510" w:footer="340" w:gutter="0"/>
          <w:cols w:space="454"/>
          <w15:footnoteColumns w:val="1"/>
        </w:sectPr>
      </w:pPr>
    </w:p>
    <w:p w14:paraId="7D0F2186" w14:textId="77777777" w:rsidR="00084E8C" w:rsidRPr="002C0F14" w:rsidRDefault="00084E8C" w:rsidP="00084E8C">
      <w:pPr>
        <w:pStyle w:val="ARbody"/>
        <w:rPr>
          <w:lang w:val="en" w:eastAsia="en-AU"/>
        </w:rPr>
      </w:pPr>
      <w:r>
        <w:rPr>
          <w:lang w:val="en" w:eastAsia="en-AU"/>
        </w:rPr>
        <w:t xml:space="preserve">The Victorian Government considers the net result from transactions to be </w:t>
      </w:r>
      <w:r w:rsidRPr="002C0F14">
        <w:rPr>
          <w:lang w:val="en" w:eastAsia="en-AU"/>
        </w:rPr>
        <w:t>the appropriate measure of financial management that can be directly attributed to government policy.</w:t>
      </w:r>
    </w:p>
    <w:p w14:paraId="48861B19" w14:textId="77777777" w:rsidR="00084E8C" w:rsidRPr="002C0F14" w:rsidRDefault="00084E8C" w:rsidP="00084E8C">
      <w:pPr>
        <w:pStyle w:val="ARbody"/>
        <w:rPr>
          <w:color w:val="000000"/>
          <w:lang w:val="en" w:eastAsia="en-AU"/>
        </w:rPr>
      </w:pPr>
      <w:r w:rsidRPr="002C0F14">
        <w:rPr>
          <w:lang w:val="en" w:eastAsia="en-AU"/>
        </w:rPr>
        <w:t xml:space="preserve">This measure excludes the effects of revaluations (holding gains or losses) arising from changes in market prices and other changes in the volume of assets shown under ‘other economic flows’ on the </w:t>
      </w:r>
      <w:r w:rsidRPr="002C0F14">
        <w:rPr>
          <w:color w:val="000000"/>
          <w:lang w:val="en" w:eastAsia="en-AU"/>
        </w:rPr>
        <w:t>comprehensive operating statement, which are outside the control of the department.</w:t>
      </w:r>
    </w:p>
    <w:p w14:paraId="5BCA6CDD" w14:textId="77777777" w:rsidR="00084E8C" w:rsidRPr="002C0F14" w:rsidRDefault="00084E8C" w:rsidP="00084E8C">
      <w:pPr>
        <w:pStyle w:val="Heading3"/>
        <w:rPr>
          <w:lang w:val="en"/>
        </w:rPr>
      </w:pPr>
      <w:r w:rsidRPr="002C0F14">
        <w:rPr>
          <w:lang w:val="en"/>
        </w:rPr>
        <w:t>Departmental financial arrangements</w:t>
      </w:r>
    </w:p>
    <w:p w14:paraId="7FBF51DE" w14:textId="22F2F9C4" w:rsidR="00084E8C" w:rsidRPr="002C0F14" w:rsidRDefault="00084E8C" w:rsidP="00084E8C">
      <w:pPr>
        <w:pStyle w:val="ARbody"/>
        <w:rPr>
          <w:color w:val="000000"/>
          <w:lang w:val="en" w:eastAsia="en-AU"/>
        </w:rPr>
      </w:pPr>
      <w:r w:rsidRPr="002C0F14">
        <w:rPr>
          <w:color w:val="000000"/>
          <w:lang w:val="en" w:eastAsia="en-AU"/>
        </w:rPr>
        <w:t>The department</w:t>
      </w:r>
      <w:r>
        <w:rPr>
          <w:color w:val="000000"/>
          <w:lang w:val="en" w:eastAsia="en-AU"/>
        </w:rPr>
        <w:t>’s</w:t>
      </w:r>
      <w:r w:rsidRPr="002C0F14">
        <w:rPr>
          <w:color w:val="000000"/>
          <w:lang w:val="en" w:eastAsia="en-AU"/>
        </w:rPr>
        <w:t xml:space="preserve"> audited financial statements and the five-year </w:t>
      </w:r>
      <w:r>
        <w:rPr>
          <w:color w:val="000000"/>
          <w:lang w:val="en" w:eastAsia="en-AU"/>
        </w:rPr>
        <w:t xml:space="preserve">financial </w:t>
      </w:r>
      <w:r w:rsidRPr="002C0F14">
        <w:rPr>
          <w:color w:val="000000"/>
          <w:lang w:val="en" w:eastAsia="en-AU"/>
        </w:rPr>
        <w:t>summary exclude bodies within the department’s portfolio that are not controlled by the department and are therefore not</w:t>
      </w:r>
      <w:r w:rsidR="009A3ECE">
        <w:rPr>
          <w:color w:val="000000"/>
          <w:lang w:val="en" w:eastAsia="en-AU"/>
        </w:rPr>
        <w:t> </w:t>
      </w:r>
      <w:r w:rsidRPr="002C0F14">
        <w:rPr>
          <w:color w:val="000000"/>
          <w:lang w:val="en" w:eastAsia="en-AU"/>
        </w:rPr>
        <w:t>consolidated in the department’s accounts.</w:t>
      </w:r>
    </w:p>
    <w:p w14:paraId="69B4ADF4" w14:textId="284D1020" w:rsidR="00084E8C" w:rsidRDefault="00084E8C" w:rsidP="00084E8C">
      <w:pPr>
        <w:pStyle w:val="ARbody"/>
        <w:rPr>
          <w:color w:val="000000"/>
          <w:lang w:val="en" w:eastAsia="en-AU"/>
        </w:rPr>
      </w:pPr>
      <w:r w:rsidRPr="002C0F14">
        <w:rPr>
          <w:color w:val="000000"/>
          <w:lang w:val="en" w:eastAsia="en-AU"/>
        </w:rPr>
        <w:t>To enable efficient production of financial information</w:t>
      </w:r>
      <w:r>
        <w:rPr>
          <w:color w:val="000000"/>
          <w:lang w:val="en" w:eastAsia="en-AU"/>
        </w:rPr>
        <w:t xml:space="preserve"> </w:t>
      </w:r>
      <w:r w:rsidRPr="002C0F14">
        <w:rPr>
          <w:color w:val="000000"/>
          <w:lang w:val="en" w:eastAsia="en-AU"/>
        </w:rPr>
        <w:t>for entities related to the department</w:t>
      </w:r>
      <w:r>
        <w:rPr>
          <w:color w:val="000000"/>
          <w:lang w:val="en" w:eastAsia="en-AU"/>
        </w:rPr>
        <w:t>,</w:t>
      </w:r>
      <w:r w:rsidRPr="002C0F14">
        <w:rPr>
          <w:color w:val="000000"/>
          <w:lang w:val="en" w:eastAsia="en-AU"/>
        </w:rPr>
        <w:t xml:space="preserve"> </w:t>
      </w:r>
      <w:r>
        <w:rPr>
          <w:color w:val="000000"/>
          <w:lang w:val="en" w:eastAsia="en-AU"/>
        </w:rPr>
        <w:t>the financial information of the Mental Health Tribunal is included in the department’s 2021–22 financial statements in accordance with determinations made by the Assistant Treasurer under s</w:t>
      </w:r>
      <w:r w:rsidR="006F6154">
        <w:rPr>
          <w:color w:val="000000"/>
          <w:lang w:val="en" w:eastAsia="en-AU"/>
        </w:rPr>
        <w:t>ection</w:t>
      </w:r>
      <w:r>
        <w:rPr>
          <w:color w:val="000000"/>
          <w:lang w:val="en" w:eastAsia="en-AU"/>
        </w:rPr>
        <w:t xml:space="preserve"> 53(1)(b) of the </w:t>
      </w:r>
      <w:r w:rsidRPr="008967B9">
        <w:rPr>
          <w:i/>
          <w:iCs/>
          <w:color w:val="000000"/>
          <w:lang w:val="en" w:eastAsia="en-AU"/>
        </w:rPr>
        <w:t>Financial Management Act</w:t>
      </w:r>
      <w:r w:rsidR="00B16EF3">
        <w:rPr>
          <w:i/>
          <w:iCs/>
          <w:color w:val="000000"/>
          <w:lang w:val="en" w:eastAsia="en-AU"/>
        </w:rPr>
        <w:t> </w:t>
      </w:r>
      <w:r w:rsidRPr="008967B9">
        <w:rPr>
          <w:i/>
          <w:iCs/>
          <w:color w:val="000000"/>
          <w:lang w:val="en" w:eastAsia="en-AU"/>
        </w:rPr>
        <w:t>1994</w:t>
      </w:r>
      <w:r>
        <w:rPr>
          <w:color w:val="000000"/>
          <w:lang w:val="en" w:eastAsia="en-AU"/>
        </w:rPr>
        <w:t xml:space="preserve"> (FMA).</w:t>
      </w:r>
      <w:bookmarkStart w:id="120" w:name="_Hlk82424888"/>
    </w:p>
    <w:p w14:paraId="538250AB" w14:textId="1E6C84D0" w:rsidR="00084E8C" w:rsidRPr="00794C11" w:rsidRDefault="00084E8C" w:rsidP="00084E8C">
      <w:pPr>
        <w:pStyle w:val="ARbody"/>
        <w:rPr>
          <w:color w:val="000000"/>
          <w:lang w:val="en" w:eastAsia="en-AU"/>
        </w:rPr>
      </w:pPr>
      <w:r>
        <w:rPr>
          <w:color w:val="000000"/>
          <w:lang w:val="en" w:eastAsia="en-AU"/>
        </w:rPr>
        <w:br w:type="column"/>
      </w:r>
      <w:r w:rsidRPr="00794C11">
        <w:rPr>
          <w:color w:val="000000"/>
          <w:lang w:val="en" w:eastAsia="en-AU"/>
        </w:rPr>
        <w:t>In co</w:t>
      </w:r>
      <w:r>
        <w:rPr>
          <w:color w:val="000000"/>
          <w:lang w:val="en" w:eastAsia="en-AU"/>
        </w:rPr>
        <w:t>ntrast</w:t>
      </w:r>
      <w:r w:rsidRPr="00794C11">
        <w:rPr>
          <w:color w:val="000000"/>
          <w:lang w:val="en" w:eastAsia="en-AU"/>
        </w:rPr>
        <w:t>, the financial information of the following</w:t>
      </w:r>
      <w:r w:rsidR="00CA76FF">
        <w:rPr>
          <w:color w:val="000000"/>
          <w:lang w:val="en" w:eastAsia="en-AU"/>
        </w:rPr>
        <w:t> </w:t>
      </w:r>
      <w:r w:rsidRPr="00794C11">
        <w:rPr>
          <w:color w:val="000000"/>
          <w:lang w:val="en" w:eastAsia="en-AU"/>
        </w:rPr>
        <w:t>entities was included in the department’s 2020</w:t>
      </w:r>
      <w:r>
        <w:rPr>
          <w:color w:val="000000"/>
          <w:lang w:val="en" w:eastAsia="en-AU"/>
        </w:rPr>
        <w:t>–</w:t>
      </w:r>
      <w:r w:rsidRPr="00794C11">
        <w:rPr>
          <w:color w:val="000000"/>
          <w:lang w:val="en" w:eastAsia="en-AU"/>
        </w:rPr>
        <w:t>21 financial statements in accordance with determinations made by the Assistant Treasurer under s</w:t>
      </w:r>
      <w:r w:rsidR="006F6154">
        <w:rPr>
          <w:color w:val="000000"/>
          <w:lang w:val="en" w:eastAsia="en-AU"/>
        </w:rPr>
        <w:t>ection</w:t>
      </w:r>
      <w:r w:rsidRPr="00794C11">
        <w:rPr>
          <w:color w:val="000000"/>
          <w:lang w:val="en" w:eastAsia="en-AU"/>
        </w:rPr>
        <w:t xml:space="preserve"> 53(1)(b) of the FMA:</w:t>
      </w:r>
    </w:p>
    <w:p w14:paraId="495D8098" w14:textId="77777777" w:rsidR="00084E8C" w:rsidRPr="00794C11" w:rsidRDefault="00084E8C" w:rsidP="00084E8C">
      <w:pPr>
        <w:pStyle w:val="ARbullet1"/>
        <w:rPr>
          <w:lang w:eastAsia="en-AU"/>
        </w:rPr>
      </w:pPr>
      <w:r w:rsidRPr="00794C11">
        <w:rPr>
          <w:lang w:eastAsia="en-AU"/>
        </w:rPr>
        <w:t>Director of Housing (from 1 July 2006)</w:t>
      </w:r>
    </w:p>
    <w:p w14:paraId="231B2435" w14:textId="77777777" w:rsidR="00084E8C" w:rsidRPr="00794C11" w:rsidRDefault="00084E8C" w:rsidP="00084E8C">
      <w:pPr>
        <w:pStyle w:val="ARbullet1"/>
        <w:rPr>
          <w:lang w:eastAsia="en-AU"/>
        </w:rPr>
      </w:pPr>
      <w:r w:rsidRPr="00794C11">
        <w:rPr>
          <w:lang w:eastAsia="en-AU"/>
        </w:rPr>
        <w:t>Mental Health Tribunal (from 1 July 2014)</w:t>
      </w:r>
    </w:p>
    <w:p w14:paraId="6348C8B0" w14:textId="77777777" w:rsidR="00084E8C" w:rsidRPr="00794C11" w:rsidRDefault="00084E8C" w:rsidP="00084E8C">
      <w:pPr>
        <w:pStyle w:val="ARbullet1"/>
        <w:rPr>
          <w:lang w:eastAsia="en-AU"/>
        </w:rPr>
      </w:pPr>
      <w:r w:rsidRPr="00794C11">
        <w:rPr>
          <w:lang w:eastAsia="en-AU"/>
        </w:rPr>
        <w:t>Commission for Children and Young People (from 1 July 2015)</w:t>
      </w:r>
    </w:p>
    <w:p w14:paraId="7A47F40E" w14:textId="77777777" w:rsidR="00084E8C" w:rsidRPr="00794C11" w:rsidRDefault="00084E8C" w:rsidP="00084E8C">
      <w:pPr>
        <w:pStyle w:val="ARbullet1"/>
        <w:rPr>
          <w:lang w:eastAsia="en-AU"/>
        </w:rPr>
      </w:pPr>
      <w:r w:rsidRPr="00794C11">
        <w:rPr>
          <w:lang w:eastAsia="en-AU"/>
        </w:rPr>
        <w:t xml:space="preserve">Disability Worker Registration Board </w:t>
      </w:r>
      <w:r>
        <w:rPr>
          <w:lang w:eastAsia="en-AU"/>
        </w:rPr>
        <w:br/>
      </w:r>
      <w:r w:rsidRPr="00794C11">
        <w:rPr>
          <w:lang w:eastAsia="en-AU"/>
        </w:rPr>
        <w:t>(from 1 June 2020)</w:t>
      </w:r>
    </w:p>
    <w:p w14:paraId="356AC169" w14:textId="77777777" w:rsidR="00084E8C" w:rsidRPr="00794C11" w:rsidRDefault="00084E8C" w:rsidP="00084E8C">
      <w:pPr>
        <w:pStyle w:val="ARbullet1"/>
        <w:rPr>
          <w:lang w:eastAsia="en-AU"/>
        </w:rPr>
      </w:pPr>
      <w:r w:rsidRPr="00794C11">
        <w:rPr>
          <w:lang w:eastAsia="en-AU"/>
        </w:rPr>
        <w:t xml:space="preserve">Victorian Disability Worker Commission </w:t>
      </w:r>
      <w:r>
        <w:rPr>
          <w:lang w:eastAsia="en-AU"/>
        </w:rPr>
        <w:br/>
      </w:r>
      <w:r w:rsidRPr="00794C11">
        <w:rPr>
          <w:lang w:eastAsia="en-AU"/>
        </w:rPr>
        <w:t>(from 1 June 2020)</w:t>
      </w:r>
    </w:p>
    <w:p w14:paraId="5B8AAA71" w14:textId="77777777" w:rsidR="00084E8C" w:rsidRPr="00794C11" w:rsidRDefault="00084E8C" w:rsidP="00084E8C">
      <w:pPr>
        <w:pStyle w:val="ARbullet1"/>
        <w:rPr>
          <w:lang w:eastAsia="en-AU"/>
        </w:rPr>
      </w:pPr>
      <w:r w:rsidRPr="00794C11">
        <w:rPr>
          <w:lang w:eastAsia="en-AU"/>
        </w:rPr>
        <w:t>Department of Families, Fairness and Housing (DFFH) (from 1 February 2021)</w:t>
      </w:r>
    </w:p>
    <w:p w14:paraId="71B98DF6" w14:textId="77777777" w:rsidR="00084E8C" w:rsidRPr="00794C11" w:rsidRDefault="00084E8C" w:rsidP="00084E8C">
      <w:pPr>
        <w:pStyle w:val="ARbullet1"/>
        <w:rPr>
          <w:lang w:eastAsia="en-AU"/>
        </w:rPr>
      </w:pPr>
      <w:r w:rsidRPr="00794C11">
        <w:rPr>
          <w:lang w:eastAsia="en-AU"/>
        </w:rPr>
        <w:t>Respect Victoria (from 1 February 2021)</w:t>
      </w:r>
    </w:p>
    <w:p w14:paraId="7687F932" w14:textId="77777777" w:rsidR="00084E8C" w:rsidRPr="00794C11" w:rsidRDefault="00084E8C" w:rsidP="00084E8C">
      <w:pPr>
        <w:pStyle w:val="ARbullet1"/>
        <w:rPr>
          <w:lang w:eastAsia="en-AU"/>
        </w:rPr>
      </w:pPr>
      <w:r w:rsidRPr="00794C11">
        <w:rPr>
          <w:lang w:eastAsia="en-AU"/>
        </w:rPr>
        <w:t xml:space="preserve">Victorian Multicultural Commission </w:t>
      </w:r>
      <w:r>
        <w:rPr>
          <w:lang w:eastAsia="en-AU"/>
        </w:rPr>
        <w:br/>
      </w:r>
      <w:r w:rsidRPr="00794C11">
        <w:rPr>
          <w:lang w:eastAsia="en-AU"/>
        </w:rPr>
        <w:t>(from 1 February 2021)</w:t>
      </w:r>
    </w:p>
    <w:p w14:paraId="596FE37B" w14:textId="77777777" w:rsidR="00084E8C" w:rsidRDefault="00084E8C" w:rsidP="00084E8C">
      <w:pPr>
        <w:pStyle w:val="ARbullet1"/>
        <w:rPr>
          <w:lang w:eastAsia="en-AU"/>
        </w:rPr>
      </w:pPr>
      <w:r w:rsidRPr="00794C11">
        <w:rPr>
          <w:lang w:eastAsia="en-AU"/>
        </w:rPr>
        <w:t xml:space="preserve">Victorian Veterans Council </w:t>
      </w:r>
      <w:r>
        <w:rPr>
          <w:lang w:eastAsia="en-AU"/>
        </w:rPr>
        <w:br/>
      </w:r>
      <w:r w:rsidRPr="00794C11">
        <w:rPr>
          <w:lang w:eastAsia="en-AU"/>
        </w:rPr>
        <w:t>(from 1 February 2021).</w:t>
      </w:r>
    </w:p>
    <w:p w14:paraId="3476CA50" w14:textId="77777777" w:rsidR="00084E8C" w:rsidRPr="00794C11" w:rsidRDefault="00084E8C" w:rsidP="00084E8C">
      <w:pPr>
        <w:pStyle w:val="ARbodyafterbullets"/>
        <w:rPr>
          <w:lang w:eastAsia="en-AU"/>
        </w:rPr>
      </w:pPr>
      <w:r>
        <w:rPr>
          <w:lang w:eastAsia="en-AU"/>
        </w:rPr>
        <w:t xml:space="preserve">Since the machinery of government </w:t>
      </w:r>
      <w:r w:rsidRPr="00637383">
        <w:rPr>
          <w:lang w:eastAsia="en-AU"/>
        </w:rPr>
        <w:t>changes in 2020</w:t>
      </w:r>
      <w:r>
        <w:rPr>
          <w:lang w:eastAsia="en-AU"/>
        </w:rPr>
        <w:t>–</w:t>
      </w:r>
      <w:r w:rsidRPr="00637383">
        <w:rPr>
          <w:lang w:eastAsia="en-AU"/>
        </w:rPr>
        <w:t>21, the financial information relating to these entities is now included in the Department of Families, Fairness and Housing annual report.</w:t>
      </w:r>
    </w:p>
    <w:bookmarkEnd w:id="120"/>
    <w:p w14:paraId="2FE394C4" w14:textId="77777777" w:rsidR="00084E8C" w:rsidRPr="00084E8C" w:rsidRDefault="00084E8C" w:rsidP="00084E8C">
      <w:pPr>
        <w:pStyle w:val="ARbody"/>
      </w:pPr>
      <w:r w:rsidRPr="00084E8C">
        <w:br w:type="page"/>
      </w:r>
    </w:p>
    <w:p w14:paraId="1AF24A51" w14:textId="77777777" w:rsidR="0067141F" w:rsidRDefault="00084E8C" w:rsidP="00084E8C">
      <w:pPr>
        <w:pStyle w:val="Heading3"/>
        <w:rPr>
          <w:lang w:val="en"/>
        </w:rPr>
      </w:pPr>
      <w:bookmarkStart w:id="121" w:name="_Ref112852452"/>
      <w:r w:rsidRPr="002C0F14">
        <w:rPr>
          <w:lang w:val="en"/>
        </w:rPr>
        <w:t>Financial performance and business</w:t>
      </w:r>
      <w:r>
        <w:rPr>
          <w:lang w:val="en"/>
        </w:rPr>
        <w:t> </w:t>
      </w:r>
      <w:r w:rsidRPr="002C0F14">
        <w:rPr>
          <w:lang w:val="en"/>
        </w:rPr>
        <w:t>review</w:t>
      </w:r>
      <w:bookmarkEnd w:id="121"/>
    </w:p>
    <w:p w14:paraId="3D0C6B57" w14:textId="6E2AC779" w:rsidR="00084E8C" w:rsidRDefault="00084E8C" w:rsidP="00084E8C">
      <w:pPr>
        <w:pStyle w:val="ARbody"/>
        <w:rPr>
          <w:lang w:val="en" w:eastAsia="en-AU"/>
        </w:rPr>
      </w:pPr>
      <w:r w:rsidRPr="002C0F14">
        <w:rPr>
          <w:lang w:val="en" w:eastAsia="en-AU"/>
        </w:rPr>
        <w:t xml:space="preserve">The details below relate to the department’s consolidated financial statements including </w:t>
      </w:r>
      <w:r>
        <w:rPr>
          <w:lang w:val="en" w:eastAsia="en-AU"/>
        </w:rPr>
        <w:t>for the</w:t>
      </w:r>
      <w:r w:rsidR="00CD16CF">
        <w:rPr>
          <w:lang w:val="en" w:eastAsia="en-AU"/>
        </w:rPr>
        <w:t> </w:t>
      </w:r>
      <w:r>
        <w:rPr>
          <w:lang w:val="en" w:eastAsia="en-AU"/>
        </w:rPr>
        <w:t>Mental Health Tribunal, as indicated,</w:t>
      </w:r>
      <w:r w:rsidRPr="002C0F14">
        <w:rPr>
          <w:lang w:val="en" w:eastAsia="en-AU"/>
        </w:rPr>
        <w:t xml:space="preserve"> above.</w:t>
      </w:r>
    </w:p>
    <w:p w14:paraId="207EC66B" w14:textId="25728860" w:rsidR="00084E8C" w:rsidRDefault="00084E8C" w:rsidP="00084E8C">
      <w:pPr>
        <w:pStyle w:val="ARbody"/>
        <w:rPr>
          <w:lang w:val="en" w:eastAsia="en-AU"/>
        </w:rPr>
      </w:pPr>
      <w:bookmarkStart w:id="122" w:name="_Hlk110432261"/>
      <w:r w:rsidRPr="002C0F14">
        <w:rPr>
          <w:lang w:val="en" w:eastAsia="en-AU"/>
        </w:rPr>
        <w:t xml:space="preserve">In </w:t>
      </w:r>
      <w:r>
        <w:rPr>
          <w:lang w:val="en" w:eastAsia="en-AU"/>
        </w:rPr>
        <w:t>2021–</w:t>
      </w:r>
      <w:r w:rsidRPr="002C0F14">
        <w:rPr>
          <w:lang w:val="en" w:eastAsia="en-AU"/>
        </w:rPr>
        <w:t>2</w:t>
      </w:r>
      <w:r>
        <w:rPr>
          <w:lang w:val="en" w:eastAsia="en-AU"/>
        </w:rPr>
        <w:t>2</w:t>
      </w:r>
      <w:r w:rsidRPr="002C0F14">
        <w:rPr>
          <w:lang w:val="en" w:eastAsia="en-AU"/>
        </w:rPr>
        <w:t>, the department recorded a net gain from transactions of $</w:t>
      </w:r>
      <w:r>
        <w:rPr>
          <w:lang w:val="en" w:eastAsia="en-AU"/>
        </w:rPr>
        <w:t>718.8</w:t>
      </w:r>
      <w:r w:rsidRPr="002C0F14">
        <w:rPr>
          <w:lang w:val="en" w:eastAsia="en-AU"/>
        </w:rPr>
        <w:t xml:space="preserve"> million. </w:t>
      </w:r>
      <w:r w:rsidRPr="00C54549">
        <w:rPr>
          <w:lang w:val="en" w:eastAsia="en-AU"/>
        </w:rPr>
        <w:t xml:space="preserve">The surplus is mainly due to the accounting effect of the State Supply Arrangement where appropriation revenue was received to purchase personal protective </w:t>
      </w:r>
      <w:bookmarkEnd w:id="122"/>
      <w:r w:rsidRPr="00C54549">
        <w:rPr>
          <w:lang w:val="en" w:eastAsia="en-AU"/>
        </w:rPr>
        <w:t>equipment and rapid antigen test kits. Not all</w:t>
      </w:r>
      <w:r>
        <w:rPr>
          <w:lang w:val="en" w:eastAsia="en-AU"/>
        </w:rPr>
        <w:t xml:space="preserve"> </w:t>
      </w:r>
      <w:r w:rsidRPr="00C54549">
        <w:rPr>
          <w:lang w:val="en" w:eastAsia="en-AU"/>
        </w:rPr>
        <w:t>purchased inventory w</w:t>
      </w:r>
      <w:r>
        <w:rPr>
          <w:lang w:val="en" w:eastAsia="en-AU"/>
        </w:rPr>
        <w:t>as</w:t>
      </w:r>
      <w:r w:rsidRPr="00C54549">
        <w:rPr>
          <w:lang w:val="en" w:eastAsia="en-AU"/>
        </w:rPr>
        <w:t xml:space="preserve"> consumed during the financial year. The </w:t>
      </w:r>
      <w:r>
        <w:rPr>
          <w:lang w:val="en" w:eastAsia="en-AU"/>
        </w:rPr>
        <w:t>unused</w:t>
      </w:r>
      <w:r w:rsidRPr="00C54549">
        <w:rPr>
          <w:lang w:val="en" w:eastAsia="en-AU"/>
        </w:rPr>
        <w:t xml:space="preserve"> portion of inventory purchased during the year was recognised in the balance sheet, impacting the department’s</w:t>
      </w:r>
      <w:r>
        <w:rPr>
          <w:lang w:val="en" w:eastAsia="en-AU"/>
        </w:rPr>
        <w:t xml:space="preserve"> result</w:t>
      </w:r>
      <w:r w:rsidRPr="00C54549">
        <w:rPr>
          <w:lang w:val="en" w:eastAsia="en-AU"/>
        </w:rPr>
        <w:t>.</w:t>
      </w:r>
    </w:p>
    <w:p w14:paraId="3A8EBA3B" w14:textId="77777777" w:rsidR="00084E8C" w:rsidRPr="00A61FFC" w:rsidRDefault="00084E8C" w:rsidP="00084E8C">
      <w:pPr>
        <w:pStyle w:val="ARbody"/>
        <w:rPr>
          <w:lang w:val="en" w:eastAsia="en-AU"/>
        </w:rPr>
      </w:pPr>
      <w:r>
        <w:rPr>
          <w:lang w:val="en" w:eastAsia="en-AU"/>
        </w:rPr>
        <w:t>In addition, contributing to the department’s surplus is the result of</w:t>
      </w:r>
      <w:r w:rsidRPr="00A61FFC">
        <w:rPr>
          <w:lang w:val="en" w:eastAsia="en-AU"/>
        </w:rPr>
        <w:t xml:space="preserve"> the funding mechanism for the capital program in health services. The department is required to recognise revenue (depreciation-equivalent funding) to fully cover the depreciation expense related to assets that reside with the health services. During the financial year, the department is only able to access and allocate depreciation-equivalent funding to on-pass to health services to deliver the government’s approved capital program. The depreciation-equivalent revenue that is not able to be allocated is recognised as a receivable from the Victorian Government for application towards the future-approved capital program expenditure.</w:t>
      </w:r>
    </w:p>
    <w:p w14:paraId="108B4E97" w14:textId="66CA8420" w:rsidR="00084E8C" w:rsidRPr="002C0F14" w:rsidRDefault="00084E8C" w:rsidP="00084E8C">
      <w:pPr>
        <w:pStyle w:val="Heading3"/>
        <w:rPr>
          <w:lang w:val="en"/>
        </w:rPr>
      </w:pPr>
      <w:r>
        <w:rPr>
          <w:lang w:val="en"/>
        </w:rPr>
        <w:br w:type="column"/>
      </w:r>
      <w:bookmarkStart w:id="123" w:name="_Ref112852419"/>
      <w:r w:rsidRPr="002C0F14">
        <w:rPr>
          <w:lang w:val="en"/>
        </w:rPr>
        <w:t>Financial position – balance sheet</w:t>
      </w:r>
      <w:bookmarkEnd w:id="123"/>
    </w:p>
    <w:p w14:paraId="4B52B293" w14:textId="680489CD" w:rsidR="00084E8C" w:rsidRPr="00A0161F" w:rsidRDefault="00084E8C" w:rsidP="00084E8C">
      <w:pPr>
        <w:pStyle w:val="ARbody"/>
        <w:rPr>
          <w:lang w:eastAsia="en-AU"/>
        </w:rPr>
      </w:pPr>
      <w:r w:rsidRPr="008E7236">
        <w:rPr>
          <w:lang w:val="en" w:eastAsia="en-AU"/>
        </w:rPr>
        <w:t>Total net assets have</w:t>
      </w:r>
      <w:r w:rsidRPr="002C0F14">
        <w:rPr>
          <w:lang w:val="en" w:eastAsia="en-AU"/>
        </w:rPr>
        <w:t xml:space="preserve"> </w:t>
      </w:r>
      <w:r>
        <w:rPr>
          <w:lang w:val="en" w:eastAsia="en-AU"/>
        </w:rPr>
        <w:t>de</w:t>
      </w:r>
      <w:r w:rsidRPr="002C0F14">
        <w:rPr>
          <w:lang w:val="en" w:eastAsia="en-AU"/>
        </w:rPr>
        <w:t xml:space="preserve">creased </w:t>
      </w:r>
      <w:r w:rsidRPr="00A0161F">
        <w:rPr>
          <w:lang w:val="en" w:eastAsia="en-AU"/>
        </w:rPr>
        <w:t>by $32.</w:t>
      </w:r>
      <w:r>
        <w:rPr>
          <w:lang w:val="en" w:eastAsia="en-AU"/>
        </w:rPr>
        <w:t>4</w:t>
      </w:r>
      <w:r w:rsidRPr="00A0161F">
        <w:rPr>
          <w:lang w:val="en" w:eastAsia="en-AU"/>
        </w:rPr>
        <w:t xml:space="preserve"> billion</w:t>
      </w:r>
      <w:r w:rsidRPr="002C0F14">
        <w:rPr>
          <w:lang w:val="en" w:eastAsia="en-AU"/>
        </w:rPr>
        <w:t xml:space="preserve"> in</w:t>
      </w:r>
      <w:r w:rsidR="00CD16CF">
        <w:rPr>
          <w:lang w:val="en" w:eastAsia="en-AU"/>
        </w:rPr>
        <w:t> </w:t>
      </w:r>
      <w:r w:rsidRPr="002C0F14">
        <w:rPr>
          <w:lang w:val="en" w:eastAsia="en-AU"/>
        </w:rPr>
        <w:t>20</w:t>
      </w:r>
      <w:r>
        <w:rPr>
          <w:lang w:val="en" w:eastAsia="en-AU"/>
        </w:rPr>
        <w:t>21–</w:t>
      </w:r>
      <w:r w:rsidRPr="002C0F14">
        <w:rPr>
          <w:lang w:val="en" w:eastAsia="en-AU"/>
        </w:rPr>
        <w:t>2</w:t>
      </w:r>
      <w:r>
        <w:rPr>
          <w:lang w:val="en" w:eastAsia="en-AU"/>
        </w:rPr>
        <w:t>2</w:t>
      </w:r>
      <w:r w:rsidRPr="002C0F14">
        <w:rPr>
          <w:lang w:val="en" w:eastAsia="en-AU"/>
        </w:rPr>
        <w:t xml:space="preserve"> compared to</w:t>
      </w:r>
      <w:r>
        <w:rPr>
          <w:lang w:val="en" w:eastAsia="en-AU"/>
        </w:rPr>
        <w:t xml:space="preserve"> last</w:t>
      </w:r>
      <w:r w:rsidRPr="002C0F14">
        <w:rPr>
          <w:lang w:val="en" w:eastAsia="en-AU"/>
        </w:rPr>
        <w:t xml:space="preserve"> year</w:t>
      </w:r>
      <w:r w:rsidR="00496512">
        <w:rPr>
          <w:lang w:val="en" w:eastAsia="en-AU"/>
        </w:rPr>
        <w:t xml:space="preserve">. This is </w:t>
      </w:r>
      <w:r w:rsidRPr="002C0F14">
        <w:rPr>
          <w:lang w:val="en" w:eastAsia="en-AU"/>
        </w:rPr>
        <w:t>mostly attributed to</w:t>
      </w:r>
      <w:r>
        <w:rPr>
          <w:lang w:val="en" w:eastAsia="en-AU"/>
        </w:rPr>
        <w:t xml:space="preserve"> the decrease in property, plant and </w:t>
      </w:r>
      <w:r w:rsidRPr="000F51ED">
        <w:rPr>
          <w:lang w:val="en" w:eastAsia="en-AU"/>
        </w:rPr>
        <w:t xml:space="preserve">equipment </w:t>
      </w:r>
      <w:r>
        <w:rPr>
          <w:lang w:eastAsia="en-AU"/>
        </w:rPr>
        <w:t>related to the transfer of DFFH-related assets to the DFFH as part of the machinery of government changes in 2020–21.</w:t>
      </w:r>
    </w:p>
    <w:p w14:paraId="3E998253" w14:textId="77777777" w:rsidR="00084E8C" w:rsidRPr="002C0F14" w:rsidRDefault="00084E8C" w:rsidP="00084E8C">
      <w:pPr>
        <w:pStyle w:val="Heading3"/>
        <w:rPr>
          <w:lang w:val="en"/>
        </w:rPr>
      </w:pPr>
      <w:r w:rsidRPr="002C0F14">
        <w:rPr>
          <w:lang w:val="en"/>
        </w:rPr>
        <w:t>Cash flows</w:t>
      </w:r>
    </w:p>
    <w:p w14:paraId="22298A96" w14:textId="77777777" w:rsidR="00084E8C" w:rsidRDefault="00084E8C" w:rsidP="00084E8C">
      <w:pPr>
        <w:pStyle w:val="ARbody"/>
        <w:rPr>
          <w:lang w:eastAsia="en-AU"/>
        </w:rPr>
      </w:pPr>
      <w:r w:rsidRPr="002C0F14">
        <w:rPr>
          <w:lang w:val="en" w:eastAsia="en-AU"/>
        </w:rPr>
        <w:t>The overall cash position at the end of the 20</w:t>
      </w:r>
      <w:r>
        <w:rPr>
          <w:lang w:val="en" w:eastAsia="en-AU"/>
        </w:rPr>
        <w:t>21–</w:t>
      </w:r>
      <w:r w:rsidRPr="002C0F14">
        <w:rPr>
          <w:lang w:val="en" w:eastAsia="en-AU"/>
        </w:rPr>
        <w:t>2</w:t>
      </w:r>
      <w:r>
        <w:rPr>
          <w:lang w:val="en" w:eastAsia="en-AU"/>
        </w:rPr>
        <w:t>2</w:t>
      </w:r>
      <w:r w:rsidRPr="002C0F14">
        <w:rPr>
          <w:lang w:val="en" w:eastAsia="en-AU"/>
        </w:rPr>
        <w:t xml:space="preserve"> financial year is $</w:t>
      </w:r>
      <w:r>
        <w:rPr>
          <w:lang w:val="en" w:eastAsia="en-AU"/>
        </w:rPr>
        <w:t>106.3</w:t>
      </w:r>
      <w:r w:rsidRPr="002C0F14">
        <w:rPr>
          <w:lang w:val="en" w:eastAsia="en-AU"/>
        </w:rPr>
        <w:t xml:space="preserve"> million surplus, which is a </w:t>
      </w:r>
      <w:r>
        <w:rPr>
          <w:lang w:val="en" w:eastAsia="en-AU"/>
        </w:rPr>
        <w:t>decrease</w:t>
      </w:r>
      <w:r w:rsidRPr="002C0F14">
        <w:rPr>
          <w:lang w:val="en" w:eastAsia="en-AU"/>
        </w:rPr>
        <w:t xml:space="preserve"> of $</w:t>
      </w:r>
      <w:r>
        <w:rPr>
          <w:lang w:val="en" w:eastAsia="en-AU"/>
        </w:rPr>
        <w:t>807.6</w:t>
      </w:r>
      <w:r w:rsidRPr="002C0F14">
        <w:rPr>
          <w:lang w:val="en" w:eastAsia="en-AU"/>
        </w:rPr>
        <w:t xml:space="preserve"> million compared to the beginning of the year. </w:t>
      </w:r>
      <w:r w:rsidRPr="00794C11">
        <w:rPr>
          <w:lang w:val="en" w:eastAsia="en-AU"/>
        </w:rPr>
        <w:t xml:space="preserve">The overall decrease is mostly due to </w:t>
      </w:r>
      <w:r w:rsidRPr="00794C11">
        <w:rPr>
          <w:lang w:eastAsia="en-AU"/>
        </w:rPr>
        <w:t xml:space="preserve">the </w:t>
      </w:r>
      <w:r>
        <w:rPr>
          <w:lang w:eastAsia="en-AU"/>
        </w:rPr>
        <w:t>removal</w:t>
      </w:r>
      <w:r w:rsidRPr="00794C11">
        <w:rPr>
          <w:lang w:eastAsia="en-AU"/>
        </w:rPr>
        <w:t xml:space="preserve"> of DFFH cash and deposits as part of the machinery of government changes in 2020</w:t>
      </w:r>
      <w:r>
        <w:rPr>
          <w:lang w:eastAsia="en-AU"/>
        </w:rPr>
        <w:t>–</w:t>
      </w:r>
      <w:r w:rsidRPr="00794C11">
        <w:rPr>
          <w:lang w:eastAsia="en-AU"/>
        </w:rPr>
        <w:t>21.</w:t>
      </w:r>
    </w:p>
    <w:p w14:paraId="17B66F2A" w14:textId="33C3E403" w:rsidR="006D467D" w:rsidRDefault="006D467D" w:rsidP="004C7BEF">
      <w:pPr>
        <w:pStyle w:val="ARbody"/>
        <w:rPr>
          <w:lang w:eastAsia="en-AU"/>
        </w:rPr>
      </w:pPr>
    </w:p>
    <w:p w14:paraId="4CD36CDB" w14:textId="77777777" w:rsidR="006D467D" w:rsidRPr="00E03592" w:rsidRDefault="006D467D" w:rsidP="004C7BEF">
      <w:pPr>
        <w:pStyle w:val="ARbody"/>
        <w:rPr>
          <w:lang w:val="en" w:eastAsia="en-AU"/>
        </w:rPr>
        <w:sectPr w:rsidR="006D467D" w:rsidRPr="00E03592" w:rsidSect="004C7BEF">
          <w:footnotePr>
            <w:numFmt w:val="lowerLetter"/>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6B578FCE" w14:textId="77777777" w:rsidR="000B65DA" w:rsidRPr="002029AF" w:rsidRDefault="000B65DA" w:rsidP="000B65DA">
      <w:pPr>
        <w:pStyle w:val="Heading3"/>
        <w:spacing w:before="0"/>
      </w:pPr>
      <w:bookmarkStart w:id="124" w:name="_Toc40770921"/>
      <w:bookmarkStart w:id="125" w:name="_Toc40770922"/>
      <w:bookmarkStart w:id="126" w:name="_Toc40770823"/>
      <w:bookmarkStart w:id="127" w:name="_Toc40770943"/>
      <w:bookmarkStart w:id="128" w:name="_Toc40771364"/>
      <w:bookmarkStart w:id="129" w:name="_Toc40771384"/>
      <w:bookmarkStart w:id="130" w:name="_Toc40770824"/>
      <w:bookmarkStart w:id="131" w:name="_Toc40770944"/>
      <w:bookmarkStart w:id="132" w:name="_Toc40771365"/>
      <w:bookmarkStart w:id="133" w:name="_Toc40771385"/>
      <w:bookmarkStart w:id="134" w:name="_Toc40770825"/>
      <w:bookmarkStart w:id="135" w:name="_Toc40770945"/>
      <w:bookmarkStart w:id="136" w:name="_Toc40771366"/>
      <w:bookmarkStart w:id="137" w:name="_Toc40771386"/>
      <w:bookmarkStart w:id="138" w:name="_Toc40770826"/>
      <w:bookmarkStart w:id="139" w:name="_Toc40770946"/>
      <w:bookmarkStart w:id="140" w:name="_Toc40771367"/>
      <w:bookmarkStart w:id="141" w:name="_Toc40771387"/>
      <w:bookmarkStart w:id="142" w:name="_Toc40770959"/>
      <w:bookmarkStart w:id="143" w:name="_Toc40770960"/>
      <w:bookmarkStart w:id="144" w:name="_Toc40770961"/>
      <w:bookmarkStart w:id="145" w:name="_Toc40770962"/>
      <w:bookmarkStart w:id="146" w:name="_Toc40770963"/>
      <w:bookmarkStart w:id="147" w:name="_Toc40770964"/>
      <w:bookmarkStart w:id="148" w:name="_Toc40770965"/>
      <w:bookmarkStart w:id="149" w:name="_Toc40770966"/>
      <w:bookmarkStart w:id="150" w:name="_Toc40770967"/>
      <w:bookmarkStart w:id="151" w:name="_Toc40770968"/>
      <w:bookmarkStart w:id="152" w:name="_Toc40771115"/>
      <w:bookmarkStart w:id="153" w:name="_Toc40771124"/>
      <w:bookmarkStart w:id="154" w:name="_Toc40771125"/>
      <w:bookmarkStart w:id="155" w:name="_Toc40771126"/>
      <w:bookmarkStart w:id="156" w:name="_Toc40771130"/>
      <w:bookmarkStart w:id="157" w:name="_Toc40771131"/>
      <w:bookmarkStart w:id="158" w:name="_Toc40771132"/>
      <w:bookmarkStart w:id="159" w:name="_Toc40771133"/>
      <w:bookmarkStart w:id="160" w:name="_Toc40771134"/>
      <w:bookmarkStart w:id="161" w:name="_Capital_projects_reaching"/>
      <w:bookmarkStart w:id="162" w:name="_Capital_projects_reaching_1"/>
      <w:bookmarkStart w:id="163" w:name="_Section_2:_Governance"/>
      <w:bookmarkStart w:id="164" w:name="_Toc50996879"/>
      <w:bookmarkStart w:id="165" w:name="_Toc50998469"/>
      <w:bookmarkStart w:id="166" w:name="_Toc54690823"/>
      <w:bookmarkStart w:id="167" w:name="_Ref83202277"/>
      <w:bookmarkStart w:id="168" w:name="_Toc85121172"/>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2029AF">
        <w:t>Capital projects reaching practical completion during the financial year ended 30 June 202</w:t>
      </w:r>
      <w:bookmarkEnd w:id="164"/>
      <w:bookmarkEnd w:id="165"/>
      <w:bookmarkEnd w:id="166"/>
      <w:bookmarkEnd w:id="167"/>
      <w:bookmarkEnd w:id="168"/>
      <w:r>
        <w:t>2</w:t>
      </w:r>
    </w:p>
    <w:tbl>
      <w:tblPr>
        <w:tblW w:w="14010" w:type="dxa"/>
        <w:tblBorders>
          <w:insideH w:val="single" w:sz="4" w:space="0" w:color="auto"/>
        </w:tblBorders>
        <w:tblLayout w:type="fixed"/>
        <w:tblLook w:val="06A0" w:firstRow="1" w:lastRow="0" w:firstColumn="1" w:lastColumn="0" w:noHBand="1" w:noVBand="1"/>
      </w:tblPr>
      <w:tblGrid>
        <w:gridCol w:w="1977"/>
        <w:gridCol w:w="1073"/>
        <w:gridCol w:w="1072"/>
        <w:gridCol w:w="1072"/>
        <w:gridCol w:w="1246"/>
        <w:gridCol w:w="1072"/>
        <w:gridCol w:w="1072"/>
        <w:gridCol w:w="1072"/>
        <w:gridCol w:w="1861"/>
        <w:gridCol w:w="2493"/>
      </w:tblGrid>
      <w:tr w:rsidR="000B65DA" w:rsidRPr="002029AF" w14:paraId="4DD3FBA6" w14:textId="77777777" w:rsidTr="004C7BEF">
        <w:trPr>
          <w:cantSplit/>
          <w:tblHeader/>
        </w:trPr>
        <w:tc>
          <w:tcPr>
            <w:tcW w:w="1977" w:type="dxa"/>
            <w:tcBorders>
              <w:top w:val="nil"/>
              <w:left w:val="nil"/>
              <w:bottom w:val="single" w:sz="4" w:space="0" w:color="auto"/>
              <w:right w:val="nil"/>
            </w:tcBorders>
            <w:vAlign w:val="bottom"/>
            <w:hideMark/>
          </w:tcPr>
          <w:p w14:paraId="1934C155" w14:textId="77777777" w:rsidR="000B65DA" w:rsidRPr="002029AF" w:rsidRDefault="000B65DA" w:rsidP="004C7BEF">
            <w:pPr>
              <w:pStyle w:val="ARtablecolhead"/>
            </w:pPr>
            <w:r w:rsidRPr="002029AF">
              <w:t>Project name</w:t>
            </w:r>
          </w:p>
        </w:tc>
        <w:tc>
          <w:tcPr>
            <w:tcW w:w="1073" w:type="dxa"/>
            <w:tcBorders>
              <w:top w:val="nil"/>
              <w:left w:val="nil"/>
              <w:bottom w:val="single" w:sz="4" w:space="0" w:color="auto"/>
              <w:right w:val="nil"/>
            </w:tcBorders>
            <w:vAlign w:val="bottom"/>
            <w:hideMark/>
          </w:tcPr>
          <w:p w14:paraId="17E99826" w14:textId="77777777" w:rsidR="000B65DA" w:rsidRPr="002029AF" w:rsidRDefault="000B65DA" w:rsidP="004C7BEF">
            <w:pPr>
              <w:pStyle w:val="ARtablecolhead"/>
            </w:pPr>
            <w:r w:rsidRPr="002029AF">
              <w:t>Original comple-tion date</w:t>
            </w:r>
          </w:p>
        </w:tc>
        <w:tc>
          <w:tcPr>
            <w:tcW w:w="1072" w:type="dxa"/>
            <w:tcBorders>
              <w:top w:val="nil"/>
              <w:left w:val="nil"/>
              <w:bottom w:val="single" w:sz="4" w:space="0" w:color="auto"/>
              <w:right w:val="nil"/>
            </w:tcBorders>
            <w:vAlign w:val="bottom"/>
            <w:hideMark/>
          </w:tcPr>
          <w:p w14:paraId="777E9B1B" w14:textId="77777777" w:rsidR="000B65DA" w:rsidRPr="002029AF" w:rsidRDefault="000B65DA" w:rsidP="004C7BEF">
            <w:pPr>
              <w:pStyle w:val="ARtablecolhead"/>
            </w:pPr>
            <w:r w:rsidRPr="002029AF">
              <w:t>Latest approved comple-tion date</w:t>
            </w:r>
          </w:p>
        </w:tc>
        <w:tc>
          <w:tcPr>
            <w:tcW w:w="1072" w:type="dxa"/>
            <w:tcBorders>
              <w:top w:val="nil"/>
              <w:left w:val="nil"/>
              <w:bottom w:val="single" w:sz="4" w:space="0" w:color="auto"/>
              <w:right w:val="nil"/>
            </w:tcBorders>
            <w:vAlign w:val="bottom"/>
            <w:hideMark/>
          </w:tcPr>
          <w:p w14:paraId="4F114894" w14:textId="77777777" w:rsidR="000B65DA" w:rsidRPr="002029AF" w:rsidRDefault="000B65DA" w:rsidP="004C7BEF">
            <w:pPr>
              <w:pStyle w:val="ARtablecolhead"/>
            </w:pPr>
            <w:r w:rsidRPr="002029AF">
              <w:t>Practical comple-tion date</w:t>
            </w:r>
          </w:p>
        </w:tc>
        <w:tc>
          <w:tcPr>
            <w:tcW w:w="1246" w:type="dxa"/>
            <w:tcBorders>
              <w:top w:val="nil"/>
              <w:left w:val="nil"/>
              <w:bottom w:val="single" w:sz="4" w:space="0" w:color="auto"/>
              <w:right w:val="nil"/>
            </w:tcBorders>
            <w:vAlign w:val="bottom"/>
            <w:hideMark/>
          </w:tcPr>
          <w:p w14:paraId="651A33A6" w14:textId="77777777" w:rsidR="000B65DA" w:rsidRPr="002029AF" w:rsidRDefault="000B65DA" w:rsidP="004C7BEF">
            <w:pPr>
              <w:pStyle w:val="ARtablecolhead"/>
            </w:pPr>
            <w:r w:rsidRPr="002029AF">
              <w:t>Reason for variance in completion dates</w:t>
            </w:r>
          </w:p>
        </w:tc>
        <w:tc>
          <w:tcPr>
            <w:tcW w:w="1072" w:type="dxa"/>
            <w:tcBorders>
              <w:top w:val="nil"/>
              <w:left w:val="nil"/>
              <w:bottom w:val="single" w:sz="4" w:space="0" w:color="auto"/>
              <w:right w:val="nil"/>
            </w:tcBorders>
            <w:vAlign w:val="bottom"/>
            <w:hideMark/>
          </w:tcPr>
          <w:p w14:paraId="393C57FF" w14:textId="77777777" w:rsidR="000B65DA" w:rsidRPr="002029AF" w:rsidRDefault="000B65DA" w:rsidP="004C7BEF">
            <w:pPr>
              <w:pStyle w:val="ARtablecolheadright"/>
            </w:pPr>
            <w:r w:rsidRPr="002029AF">
              <w:t xml:space="preserve">Original approved </w:t>
            </w:r>
            <w:r w:rsidRPr="002029AF">
              <w:br/>
              <w:t>TEI budget</w:t>
            </w:r>
          </w:p>
          <w:p w14:paraId="5B08B2AB" w14:textId="77777777" w:rsidR="000B65DA" w:rsidRPr="002029AF" w:rsidRDefault="000B65DA" w:rsidP="004C7BEF">
            <w:pPr>
              <w:pStyle w:val="ARtablecolheadright"/>
            </w:pPr>
            <w:r w:rsidRPr="002029AF">
              <w:t>($M)</w:t>
            </w:r>
          </w:p>
        </w:tc>
        <w:tc>
          <w:tcPr>
            <w:tcW w:w="1072" w:type="dxa"/>
            <w:tcBorders>
              <w:top w:val="nil"/>
              <w:left w:val="nil"/>
              <w:bottom w:val="single" w:sz="4" w:space="0" w:color="auto"/>
              <w:right w:val="nil"/>
            </w:tcBorders>
            <w:vAlign w:val="bottom"/>
            <w:hideMark/>
          </w:tcPr>
          <w:p w14:paraId="77BB2C93" w14:textId="77777777" w:rsidR="000B65DA" w:rsidRPr="002029AF" w:rsidRDefault="000B65DA" w:rsidP="004C7BEF">
            <w:pPr>
              <w:pStyle w:val="ARtablecolheadright"/>
            </w:pPr>
            <w:r w:rsidRPr="002029AF">
              <w:t>Latest approved TEI budget</w:t>
            </w:r>
          </w:p>
          <w:p w14:paraId="62A9F72A" w14:textId="77777777" w:rsidR="000B65DA" w:rsidRPr="002029AF" w:rsidRDefault="000B65DA" w:rsidP="004C7BEF">
            <w:pPr>
              <w:pStyle w:val="ARtablecolheadright"/>
            </w:pPr>
            <w:r w:rsidRPr="002029AF">
              <w:t>($M)</w:t>
            </w:r>
          </w:p>
        </w:tc>
        <w:tc>
          <w:tcPr>
            <w:tcW w:w="1072" w:type="dxa"/>
            <w:tcBorders>
              <w:top w:val="nil"/>
              <w:left w:val="nil"/>
              <w:bottom w:val="single" w:sz="4" w:space="0" w:color="auto"/>
              <w:right w:val="nil"/>
            </w:tcBorders>
            <w:vAlign w:val="bottom"/>
            <w:hideMark/>
          </w:tcPr>
          <w:p w14:paraId="2D7BF886" w14:textId="77777777" w:rsidR="000B65DA" w:rsidRPr="002029AF" w:rsidRDefault="000B65DA" w:rsidP="004C7BEF">
            <w:pPr>
              <w:pStyle w:val="ARtablecolheadright"/>
            </w:pPr>
            <w:r w:rsidRPr="002029AF">
              <w:t>Actual TEI cost</w:t>
            </w:r>
          </w:p>
          <w:p w14:paraId="07FA0699" w14:textId="77777777" w:rsidR="000B65DA" w:rsidRPr="002029AF" w:rsidRDefault="000B65DA" w:rsidP="004C7BEF">
            <w:pPr>
              <w:pStyle w:val="ARtablecolheadright"/>
            </w:pPr>
            <w:r w:rsidRPr="002029AF">
              <w:t>($M)</w:t>
            </w:r>
          </w:p>
        </w:tc>
        <w:tc>
          <w:tcPr>
            <w:tcW w:w="1861" w:type="dxa"/>
            <w:tcBorders>
              <w:top w:val="nil"/>
              <w:left w:val="nil"/>
              <w:bottom w:val="single" w:sz="4" w:space="0" w:color="auto"/>
              <w:right w:val="nil"/>
            </w:tcBorders>
            <w:vAlign w:val="bottom"/>
            <w:hideMark/>
          </w:tcPr>
          <w:p w14:paraId="1DDBCDDD" w14:textId="77777777" w:rsidR="000B65DA" w:rsidRPr="002029AF" w:rsidRDefault="000B65DA" w:rsidP="004C7BEF">
            <w:pPr>
              <w:pStyle w:val="ARtablecolheadright"/>
            </w:pPr>
            <w:r w:rsidRPr="002029AF">
              <w:t>Variation between actual cost and latest approved TEI budget</w:t>
            </w:r>
          </w:p>
          <w:p w14:paraId="14754631" w14:textId="77777777" w:rsidR="000B65DA" w:rsidRPr="002029AF" w:rsidRDefault="000B65DA" w:rsidP="004C7BEF">
            <w:pPr>
              <w:pStyle w:val="ARtablecolheadright"/>
            </w:pPr>
            <w:r w:rsidRPr="002029AF">
              <w:t>($M)</w:t>
            </w:r>
          </w:p>
        </w:tc>
        <w:tc>
          <w:tcPr>
            <w:tcW w:w="2493" w:type="dxa"/>
            <w:tcBorders>
              <w:top w:val="nil"/>
              <w:left w:val="nil"/>
              <w:bottom w:val="single" w:sz="4" w:space="0" w:color="auto"/>
              <w:right w:val="nil"/>
            </w:tcBorders>
            <w:vAlign w:val="bottom"/>
            <w:hideMark/>
          </w:tcPr>
          <w:p w14:paraId="72129466" w14:textId="77777777" w:rsidR="000B65DA" w:rsidRPr="002029AF" w:rsidRDefault="000B65DA" w:rsidP="004C7BEF">
            <w:pPr>
              <w:pStyle w:val="ARtablecolhead"/>
            </w:pPr>
            <w:r w:rsidRPr="002029AF">
              <w:t>Reason for variance from latest approved TEI budget</w:t>
            </w:r>
          </w:p>
        </w:tc>
      </w:tr>
      <w:tr w:rsidR="0015488C" w:rsidRPr="002029AF" w14:paraId="430B5CB8" w14:textId="77777777" w:rsidTr="004C7BEF">
        <w:trPr>
          <w:cantSplit/>
        </w:trPr>
        <w:tc>
          <w:tcPr>
            <w:tcW w:w="1977" w:type="dxa"/>
            <w:tcBorders>
              <w:top w:val="single" w:sz="4" w:space="0" w:color="auto"/>
              <w:left w:val="nil"/>
              <w:bottom w:val="single" w:sz="4" w:space="0" w:color="auto"/>
              <w:right w:val="nil"/>
            </w:tcBorders>
            <w:shd w:val="clear" w:color="auto" w:fill="auto"/>
          </w:tcPr>
          <w:p w14:paraId="5869ED0A" w14:textId="01661A32" w:rsidR="0015488C" w:rsidRPr="002029AF" w:rsidRDefault="0015488C" w:rsidP="0015488C">
            <w:pPr>
              <w:pStyle w:val="ARtabletext"/>
            </w:pPr>
            <w:r w:rsidRPr="00FA2445">
              <w:t>Monash Medical Centre</w:t>
            </w:r>
            <w:r w:rsidR="004D4D20">
              <w:t xml:space="preserve"> – </w:t>
            </w:r>
            <w:r w:rsidRPr="00FA2445">
              <w:t>infrastructure upgrades (Clayton)</w:t>
            </w:r>
          </w:p>
        </w:tc>
        <w:tc>
          <w:tcPr>
            <w:tcW w:w="1073" w:type="dxa"/>
            <w:tcBorders>
              <w:top w:val="single" w:sz="4" w:space="0" w:color="auto"/>
              <w:left w:val="nil"/>
              <w:bottom w:val="single" w:sz="4" w:space="0" w:color="auto"/>
              <w:right w:val="nil"/>
            </w:tcBorders>
            <w:shd w:val="clear" w:color="auto" w:fill="auto"/>
          </w:tcPr>
          <w:p w14:paraId="72B77B63" w14:textId="7AF798E9" w:rsidR="0015488C" w:rsidRPr="002029AF" w:rsidRDefault="0015488C" w:rsidP="0015488C">
            <w:pPr>
              <w:pStyle w:val="ARtabletext"/>
            </w:pPr>
            <w:r>
              <w:t>June 2022</w:t>
            </w:r>
          </w:p>
        </w:tc>
        <w:tc>
          <w:tcPr>
            <w:tcW w:w="1072" w:type="dxa"/>
            <w:tcBorders>
              <w:top w:val="single" w:sz="4" w:space="0" w:color="auto"/>
              <w:left w:val="nil"/>
              <w:bottom w:val="single" w:sz="4" w:space="0" w:color="auto"/>
              <w:right w:val="nil"/>
            </w:tcBorders>
            <w:shd w:val="clear" w:color="auto" w:fill="auto"/>
          </w:tcPr>
          <w:p w14:paraId="04056E3E" w14:textId="07B224A6" w:rsidR="0015488C" w:rsidRPr="002029AF" w:rsidRDefault="0015488C" w:rsidP="0015488C">
            <w:pPr>
              <w:pStyle w:val="ARtabletext"/>
            </w:pPr>
            <w:r>
              <w:t>June 2023</w:t>
            </w:r>
          </w:p>
        </w:tc>
        <w:tc>
          <w:tcPr>
            <w:tcW w:w="1072" w:type="dxa"/>
            <w:tcBorders>
              <w:top w:val="single" w:sz="4" w:space="0" w:color="auto"/>
              <w:left w:val="nil"/>
              <w:bottom w:val="single" w:sz="4" w:space="0" w:color="auto"/>
              <w:right w:val="nil"/>
            </w:tcBorders>
            <w:shd w:val="clear" w:color="auto" w:fill="auto"/>
          </w:tcPr>
          <w:p w14:paraId="5F62FBF1" w14:textId="5834AD79" w:rsidR="0015488C" w:rsidRPr="002029AF" w:rsidRDefault="0015488C" w:rsidP="0015488C">
            <w:pPr>
              <w:pStyle w:val="ARtabletext"/>
            </w:pPr>
            <w:r>
              <w:t>May 2022</w:t>
            </w:r>
          </w:p>
        </w:tc>
        <w:tc>
          <w:tcPr>
            <w:tcW w:w="1246" w:type="dxa"/>
            <w:tcBorders>
              <w:top w:val="single" w:sz="4" w:space="0" w:color="auto"/>
              <w:left w:val="nil"/>
              <w:bottom w:val="single" w:sz="4" w:space="0" w:color="auto"/>
              <w:right w:val="nil"/>
            </w:tcBorders>
            <w:shd w:val="clear" w:color="auto" w:fill="FFFFFF" w:themeFill="background1"/>
          </w:tcPr>
          <w:p w14:paraId="736827F6" w14:textId="77EFEB7F" w:rsidR="0015488C" w:rsidRPr="002029AF" w:rsidRDefault="0015488C" w:rsidP="0015488C">
            <w:pPr>
              <w:pStyle w:val="ARtabletext"/>
            </w:pPr>
            <w:r>
              <w:t>Updated to reflect project delivery and change in scope</w:t>
            </w:r>
          </w:p>
        </w:tc>
        <w:tc>
          <w:tcPr>
            <w:tcW w:w="1072" w:type="dxa"/>
            <w:tcBorders>
              <w:top w:val="single" w:sz="4" w:space="0" w:color="auto"/>
              <w:left w:val="nil"/>
              <w:bottom w:val="single" w:sz="4" w:space="0" w:color="auto"/>
              <w:right w:val="nil"/>
            </w:tcBorders>
            <w:shd w:val="clear" w:color="auto" w:fill="auto"/>
          </w:tcPr>
          <w:p w14:paraId="7DD1F948" w14:textId="4A2A6098" w:rsidR="0015488C" w:rsidRPr="002029AF" w:rsidRDefault="0015488C" w:rsidP="0015488C">
            <w:pPr>
              <w:pStyle w:val="ARtabletextright"/>
            </w:pPr>
            <w:r>
              <w:t>63.200</w:t>
            </w:r>
          </w:p>
        </w:tc>
        <w:tc>
          <w:tcPr>
            <w:tcW w:w="1072" w:type="dxa"/>
            <w:tcBorders>
              <w:top w:val="single" w:sz="4" w:space="0" w:color="auto"/>
              <w:left w:val="nil"/>
              <w:bottom w:val="single" w:sz="4" w:space="0" w:color="auto"/>
              <w:right w:val="nil"/>
            </w:tcBorders>
            <w:shd w:val="clear" w:color="auto" w:fill="auto"/>
          </w:tcPr>
          <w:p w14:paraId="7B55352A" w14:textId="56C891FE" w:rsidR="0015488C" w:rsidRPr="002029AF" w:rsidRDefault="0015488C" w:rsidP="0015488C">
            <w:pPr>
              <w:pStyle w:val="ARtabletextright"/>
            </w:pPr>
            <w:r>
              <w:t>76.300</w:t>
            </w:r>
          </w:p>
        </w:tc>
        <w:tc>
          <w:tcPr>
            <w:tcW w:w="1072" w:type="dxa"/>
            <w:tcBorders>
              <w:top w:val="single" w:sz="4" w:space="0" w:color="auto"/>
              <w:left w:val="nil"/>
              <w:bottom w:val="single" w:sz="4" w:space="0" w:color="auto"/>
              <w:right w:val="nil"/>
            </w:tcBorders>
            <w:shd w:val="clear" w:color="auto" w:fill="auto"/>
          </w:tcPr>
          <w:p w14:paraId="0EE58FC3" w14:textId="679590E4" w:rsidR="0015488C" w:rsidRPr="002029AF" w:rsidRDefault="0015488C" w:rsidP="0015488C">
            <w:pPr>
              <w:pStyle w:val="ARtabletextright"/>
            </w:pPr>
            <w:r>
              <w:t>71.694</w:t>
            </w:r>
          </w:p>
        </w:tc>
        <w:tc>
          <w:tcPr>
            <w:tcW w:w="1861" w:type="dxa"/>
            <w:tcBorders>
              <w:top w:val="single" w:sz="4" w:space="0" w:color="auto"/>
              <w:left w:val="nil"/>
              <w:bottom w:val="single" w:sz="4" w:space="0" w:color="auto"/>
              <w:right w:val="nil"/>
            </w:tcBorders>
            <w:shd w:val="clear" w:color="auto" w:fill="auto"/>
          </w:tcPr>
          <w:p w14:paraId="17C8D6ED" w14:textId="6FE46FF0" w:rsidR="0015488C" w:rsidRPr="002029AF" w:rsidRDefault="0015488C" w:rsidP="0015488C">
            <w:pPr>
              <w:pStyle w:val="ARtabletextright"/>
            </w:pPr>
            <w:r>
              <w:t>4.606</w:t>
            </w:r>
          </w:p>
        </w:tc>
        <w:tc>
          <w:tcPr>
            <w:tcW w:w="2493" w:type="dxa"/>
            <w:tcBorders>
              <w:top w:val="single" w:sz="4" w:space="0" w:color="auto"/>
              <w:left w:val="nil"/>
              <w:bottom w:val="single" w:sz="4" w:space="0" w:color="auto"/>
              <w:right w:val="nil"/>
            </w:tcBorders>
            <w:shd w:val="clear" w:color="auto" w:fill="FFFFFF" w:themeFill="background1"/>
          </w:tcPr>
          <w:p w14:paraId="0EEA0696" w14:textId="29A746B8" w:rsidR="0015488C" w:rsidRPr="002029AF" w:rsidRDefault="0015488C" w:rsidP="0015488C">
            <w:pPr>
              <w:pStyle w:val="ARtabletext"/>
            </w:pPr>
            <w:r>
              <w:t>Balance of funding is required for financial closeout of the project, expected in the next financial year.</w:t>
            </w:r>
          </w:p>
        </w:tc>
      </w:tr>
      <w:tr w:rsidR="0015488C" w:rsidRPr="002029AF" w14:paraId="23911D43" w14:textId="77777777" w:rsidTr="004C7BEF">
        <w:trPr>
          <w:cantSplit/>
        </w:trPr>
        <w:tc>
          <w:tcPr>
            <w:tcW w:w="1977" w:type="dxa"/>
            <w:tcBorders>
              <w:top w:val="single" w:sz="4" w:space="0" w:color="auto"/>
              <w:left w:val="nil"/>
              <w:bottom w:val="single" w:sz="4" w:space="0" w:color="auto"/>
              <w:right w:val="nil"/>
            </w:tcBorders>
            <w:shd w:val="clear" w:color="auto" w:fill="auto"/>
          </w:tcPr>
          <w:p w14:paraId="25F0C979" w14:textId="52D84856" w:rsidR="0015488C" w:rsidRPr="002029AF" w:rsidRDefault="0015488C" w:rsidP="0015488C">
            <w:pPr>
              <w:pStyle w:val="ARtabletext"/>
            </w:pPr>
            <w:r w:rsidRPr="00FA2445">
              <w:t>Northern Hospital inpatient expansion</w:t>
            </w:r>
            <w:r w:rsidR="004D4D20">
              <w:t xml:space="preserve"> – </w:t>
            </w:r>
            <w:r w:rsidRPr="00FA2445">
              <w:t>Stage 2 (Epping)</w:t>
            </w:r>
          </w:p>
        </w:tc>
        <w:tc>
          <w:tcPr>
            <w:tcW w:w="1073" w:type="dxa"/>
            <w:tcBorders>
              <w:top w:val="single" w:sz="4" w:space="0" w:color="auto"/>
              <w:left w:val="nil"/>
              <w:bottom w:val="single" w:sz="4" w:space="0" w:color="auto"/>
              <w:right w:val="nil"/>
            </w:tcBorders>
            <w:shd w:val="clear" w:color="auto" w:fill="auto"/>
          </w:tcPr>
          <w:p w14:paraId="216DFD80" w14:textId="6541447D" w:rsidR="0015488C" w:rsidRPr="002029AF" w:rsidRDefault="0015488C" w:rsidP="0015488C">
            <w:pPr>
              <w:pStyle w:val="ARtabletext"/>
            </w:pPr>
            <w:r>
              <w:t>June 2022</w:t>
            </w:r>
          </w:p>
        </w:tc>
        <w:tc>
          <w:tcPr>
            <w:tcW w:w="1072" w:type="dxa"/>
            <w:tcBorders>
              <w:top w:val="single" w:sz="4" w:space="0" w:color="auto"/>
              <w:left w:val="nil"/>
              <w:bottom w:val="single" w:sz="4" w:space="0" w:color="auto"/>
              <w:right w:val="nil"/>
            </w:tcBorders>
            <w:shd w:val="clear" w:color="auto" w:fill="auto"/>
          </w:tcPr>
          <w:p w14:paraId="13A2E979" w14:textId="13ED4967" w:rsidR="0015488C" w:rsidRPr="002029AF" w:rsidRDefault="0015488C" w:rsidP="0015488C">
            <w:pPr>
              <w:pStyle w:val="ARtabletext"/>
            </w:pPr>
            <w:r>
              <w:t>December 2022</w:t>
            </w:r>
          </w:p>
        </w:tc>
        <w:tc>
          <w:tcPr>
            <w:tcW w:w="1072" w:type="dxa"/>
            <w:tcBorders>
              <w:top w:val="single" w:sz="4" w:space="0" w:color="auto"/>
              <w:left w:val="nil"/>
              <w:bottom w:val="single" w:sz="4" w:space="0" w:color="auto"/>
              <w:right w:val="nil"/>
            </w:tcBorders>
            <w:shd w:val="clear" w:color="auto" w:fill="auto"/>
          </w:tcPr>
          <w:p w14:paraId="6BE395DB" w14:textId="1125ADAB" w:rsidR="0015488C" w:rsidRPr="002029AF" w:rsidRDefault="0015488C" w:rsidP="0015488C">
            <w:pPr>
              <w:pStyle w:val="ARtabletext"/>
            </w:pPr>
            <w:r>
              <w:t>August 2021</w:t>
            </w:r>
          </w:p>
        </w:tc>
        <w:tc>
          <w:tcPr>
            <w:tcW w:w="1246" w:type="dxa"/>
            <w:tcBorders>
              <w:top w:val="single" w:sz="4" w:space="0" w:color="auto"/>
              <w:left w:val="nil"/>
              <w:bottom w:val="single" w:sz="4" w:space="0" w:color="auto"/>
              <w:right w:val="nil"/>
            </w:tcBorders>
            <w:shd w:val="clear" w:color="auto" w:fill="FFFFFF" w:themeFill="background1"/>
          </w:tcPr>
          <w:p w14:paraId="14F8D6AA" w14:textId="6D8423E7" w:rsidR="0015488C" w:rsidRPr="002029AF" w:rsidRDefault="0015488C" w:rsidP="0015488C">
            <w:pPr>
              <w:pStyle w:val="ARtabletext"/>
            </w:pPr>
            <w:r>
              <w:t>Updated to reflect project delivery and change in scope</w:t>
            </w:r>
          </w:p>
        </w:tc>
        <w:tc>
          <w:tcPr>
            <w:tcW w:w="1072" w:type="dxa"/>
            <w:tcBorders>
              <w:top w:val="single" w:sz="4" w:space="0" w:color="auto"/>
              <w:left w:val="nil"/>
              <w:bottom w:val="single" w:sz="4" w:space="0" w:color="auto"/>
              <w:right w:val="nil"/>
            </w:tcBorders>
            <w:shd w:val="clear" w:color="auto" w:fill="auto"/>
          </w:tcPr>
          <w:p w14:paraId="29500503" w14:textId="01624A43" w:rsidR="0015488C" w:rsidRPr="002029AF" w:rsidRDefault="0015488C" w:rsidP="0015488C">
            <w:pPr>
              <w:pStyle w:val="ARtabletextright"/>
            </w:pPr>
            <w:r>
              <w:t>162.672</w:t>
            </w:r>
          </w:p>
        </w:tc>
        <w:tc>
          <w:tcPr>
            <w:tcW w:w="1072" w:type="dxa"/>
            <w:tcBorders>
              <w:top w:val="single" w:sz="4" w:space="0" w:color="auto"/>
              <w:left w:val="nil"/>
              <w:bottom w:val="single" w:sz="4" w:space="0" w:color="auto"/>
              <w:right w:val="nil"/>
            </w:tcBorders>
            <w:shd w:val="clear" w:color="auto" w:fill="auto"/>
          </w:tcPr>
          <w:p w14:paraId="7DDD01FA" w14:textId="32C78AD6" w:rsidR="0015488C" w:rsidRPr="002029AF" w:rsidRDefault="0015488C" w:rsidP="0015488C">
            <w:pPr>
              <w:pStyle w:val="ARtabletextright"/>
            </w:pPr>
            <w:r>
              <w:t>162.672</w:t>
            </w:r>
          </w:p>
        </w:tc>
        <w:tc>
          <w:tcPr>
            <w:tcW w:w="1072" w:type="dxa"/>
            <w:tcBorders>
              <w:top w:val="single" w:sz="4" w:space="0" w:color="auto"/>
              <w:left w:val="nil"/>
              <w:bottom w:val="single" w:sz="4" w:space="0" w:color="auto"/>
              <w:right w:val="nil"/>
            </w:tcBorders>
            <w:shd w:val="clear" w:color="auto" w:fill="auto"/>
          </w:tcPr>
          <w:p w14:paraId="22A1D560" w14:textId="2C260AD0" w:rsidR="0015488C" w:rsidRPr="002029AF" w:rsidRDefault="0015488C" w:rsidP="0015488C">
            <w:pPr>
              <w:pStyle w:val="ARtabletextright"/>
            </w:pPr>
            <w:r>
              <w:t>158.535</w:t>
            </w:r>
          </w:p>
        </w:tc>
        <w:tc>
          <w:tcPr>
            <w:tcW w:w="1861" w:type="dxa"/>
            <w:tcBorders>
              <w:top w:val="single" w:sz="4" w:space="0" w:color="auto"/>
              <w:left w:val="nil"/>
              <w:bottom w:val="single" w:sz="4" w:space="0" w:color="auto"/>
              <w:right w:val="nil"/>
            </w:tcBorders>
            <w:shd w:val="clear" w:color="auto" w:fill="auto"/>
          </w:tcPr>
          <w:p w14:paraId="35837999" w14:textId="4A798F16" w:rsidR="0015488C" w:rsidRPr="002029AF" w:rsidRDefault="0015488C" w:rsidP="0015488C">
            <w:pPr>
              <w:pStyle w:val="ARtabletextright"/>
            </w:pPr>
            <w:r>
              <w:t>4.137</w:t>
            </w:r>
          </w:p>
        </w:tc>
        <w:tc>
          <w:tcPr>
            <w:tcW w:w="2493" w:type="dxa"/>
            <w:tcBorders>
              <w:top w:val="single" w:sz="4" w:space="0" w:color="auto"/>
              <w:left w:val="nil"/>
              <w:bottom w:val="single" w:sz="4" w:space="0" w:color="auto"/>
              <w:right w:val="nil"/>
            </w:tcBorders>
            <w:shd w:val="clear" w:color="auto" w:fill="FFFFFF" w:themeFill="background1"/>
          </w:tcPr>
          <w:p w14:paraId="0FDCC57E" w14:textId="3473260F" w:rsidR="0015488C" w:rsidRPr="002029AF" w:rsidRDefault="0015488C" w:rsidP="0015488C">
            <w:pPr>
              <w:pStyle w:val="ARtabletext"/>
            </w:pPr>
            <w:r>
              <w:t>Balance of funding is required for financial closeout of the project, expected in the next financial year.</w:t>
            </w:r>
          </w:p>
        </w:tc>
      </w:tr>
      <w:tr w:rsidR="0015488C" w:rsidRPr="002029AF" w14:paraId="678BFC87" w14:textId="77777777" w:rsidTr="004C7BEF">
        <w:trPr>
          <w:cantSplit/>
        </w:trPr>
        <w:tc>
          <w:tcPr>
            <w:tcW w:w="1977" w:type="dxa"/>
            <w:tcBorders>
              <w:top w:val="single" w:sz="4" w:space="0" w:color="auto"/>
              <w:left w:val="nil"/>
              <w:bottom w:val="single" w:sz="4" w:space="0" w:color="auto"/>
              <w:right w:val="nil"/>
            </w:tcBorders>
            <w:shd w:val="clear" w:color="auto" w:fill="auto"/>
          </w:tcPr>
          <w:p w14:paraId="111C4672" w14:textId="4087CE30" w:rsidR="0015488C" w:rsidRPr="002029AF" w:rsidRDefault="0015488C" w:rsidP="0015488C">
            <w:pPr>
              <w:pStyle w:val="ARtabletext"/>
            </w:pPr>
            <w:r>
              <w:t>Regional Drug Residential Rehabilitation Services (regional various)</w:t>
            </w:r>
          </w:p>
        </w:tc>
        <w:tc>
          <w:tcPr>
            <w:tcW w:w="1073" w:type="dxa"/>
            <w:tcBorders>
              <w:top w:val="single" w:sz="4" w:space="0" w:color="auto"/>
              <w:left w:val="nil"/>
              <w:bottom w:val="single" w:sz="4" w:space="0" w:color="auto"/>
              <w:right w:val="nil"/>
            </w:tcBorders>
            <w:shd w:val="clear" w:color="auto" w:fill="auto"/>
          </w:tcPr>
          <w:p w14:paraId="04C73240" w14:textId="34FDDEE1" w:rsidR="0015488C" w:rsidRPr="002029AF" w:rsidRDefault="0015488C" w:rsidP="0015488C">
            <w:pPr>
              <w:pStyle w:val="ARtabletext"/>
            </w:pPr>
            <w:r>
              <w:t>June 2021</w:t>
            </w:r>
          </w:p>
        </w:tc>
        <w:tc>
          <w:tcPr>
            <w:tcW w:w="1072" w:type="dxa"/>
            <w:tcBorders>
              <w:top w:val="single" w:sz="4" w:space="0" w:color="auto"/>
              <w:left w:val="nil"/>
              <w:bottom w:val="single" w:sz="4" w:space="0" w:color="auto"/>
              <w:right w:val="nil"/>
            </w:tcBorders>
            <w:shd w:val="clear" w:color="auto" w:fill="auto"/>
          </w:tcPr>
          <w:p w14:paraId="68DF6284" w14:textId="0A5C369B" w:rsidR="0015488C" w:rsidRPr="002029AF" w:rsidRDefault="0015488C" w:rsidP="0015488C">
            <w:pPr>
              <w:pStyle w:val="ARtabletext"/>
            </w:pPr>
            <w:r>
              <w:t>June 2023</w:t>
            </w:r>
          </w:p>
        </w:tc>
        <w:tc>
          <w:tcPr>
            <w:tcW w:w="1072" w:type="dxa"/>
            <w:tcBorders>
              <w:top w:val="single" w:sz="4" w:space="0" w:color="auto"/>
              <w:left w:val="nil"/>
              <w:bottom w:val="single" w:sz="4" w:space="0" w:color="auto"/>
              <w:right w:val="nil"/>
            </w:tcBorders>
            <w:shd w:val="clear" w:color="auto" w:fill="auto"/>
          </w:tcPr>
          <w:p w14:paraId="5CD354AB" w14:textId="0EA79C1F" w:rsidR="0015488C" w:rsidRPr="002029AF" w:rsidRDefault="0015488C" w:rsidP="0015488C">
            <w:pPr>
              <w:pStyle w:val="ARtabletext"/>
            </w:pPr>
            <w:r>
              <w:t>November 2021</w:t>
            </w:r>
          </w:p>
        </w:tc>
        <w:tc>
          <w:tcPr>
            <w:tcW w:w="1246" w:type="dxa"/>
            <w:tcBorders>
              <w:top w:val="single" w:sz="4" w:space="0" w:color="auto"/>
              <w:left w:val="nil"/>
              <w:bottom w:val="single" w:sz="4" w:space="0" w:color="auto"/>
              <w:right w:val="nil"/>
            </w:tcBorders>
            <w:shd w:val="clear" w:color="auto" w:fill="FFFFFF" w:themeFill="background1"/>
          </w:tcPr>
          <w:p w14:paraId="3264017C" w14:textId="4F1D137F" w:rsidR="0015488C" w:rsidRPr="002029AF" w:rsidRDefault="0015488C" w:rsidP="0015488C">
            <w:pPr>
              <w:pStyle w:val="ARtabletext"/>
            </w:pPr>
            <w:r>
              <w:t>Updated to reflect project delivery and change in scope</w:t>
            </w:r>
          </w:p>
        </w:tc>
        <w:tc>
          <w:tcPr>
            <w:tcW w:w="1072" w:type="dxa"/>
            <w:tcBorders>
              <w:top w:val="single" w:sz="4" w:space="0" w:color="auto"/>
              <w:left w:val="nil"/>
              <w:bottom w:val="single" w:sz="4" w:space="0" w:color="auto"/>
              <w:right w:val="nil"/>
            </w:tcBorders>
            <w:shd w:val="clear" w:color="auto" w:fill="auto"/>
          </w:tcPr>
          <w:p w14:paraId="4199B1F6" w14:textId="2981DEDB" w:rsidR="0015488C" w:rsidRPr="002029AF" w:rsidRDefault="0015488C" w:rsidP="0015488C">
            <w:pPr>
              <w:pStyle w:val="ARtabletextright"/>
            </w:pPr>
            <w:r>
              <w:t>40.600</w:t>
            </w:r>
          </w:p>
        </w:tc>
        <w:tc>
          <w:tcPr>
            <w:tcW w:w="1072" w:type="dxa"/>
            <w:tcBorders>
              <w:top w:val="single" w:sz="4" w:space="0" w:color="auto"/>
              <w:left w:val="nil"/>
              <w:bottom w:val="single" w:sz="4" w:space="0" w:color="auto"/>
              <w:right w:val="nil"/>
            </w:tcBorders>
            <w:shd w:val="clear" w:color="auto" w:fill="auto"/>
          </w:tcPr>
          <w:p w14:paraId="404D01E2" w14:textId="764F4ABA" w:rsidR="0015488C" w:rsidRPr="002029AF" w:rsidRDefault="0015488C" w:rsidP="0015488C">
            <w:pPr>
              <w:pStyle w:val="ARtabletextright"/>
            </w:pPr>
            <w:r>
              <w:t>52.10</w:t>
            </w:r>
          </w:p>
        </w:tc>
        <w:tc>
          <w:tcPr>
            <w:tcW w:w="1072" w:type="dxa"/>
            <w:tcBorders>
              <w:top w:val="single" w:sz="4" w:space="0" w:color="auto"/>
              <w:left w:val="nil"/>
              <w:bottom w:val="single" w:sz="4" w:space="0" w:color="auto"/>
              <w:right w:val="nil"/>
            </w:tcBorders>
            <w:shd w:val="clear" w:color="auto" w:fill="auto"/>
          </w:tcPr>
          <w:p w14:paraId="654E1AEF" w14:textId="5AF2B33C" w:rsidR="0015488C" w:rsidRPr="002029AF" w:rsidRDefault="0015488C" w:rsidP="0015488C">
            <w:pPr>
              <w:pStyle w:val="ARtabletextright"/>
            </w:pPr>
            <w:r>
              <w:t>48.344</w:t>
            </w:r>
          </w:p>
        </w:tc>
        <w:tc>
          <w:tcPr>
            <w:tcW w:w="1861" w:type="dxa"/>
            <w:tcBorders>
              <w:top w:val="single" w:sz="4" w:space="0" w:color="auto"/>
              <w:left w:val="nil"/>
              <w:bottom w:val="single" w:sz="4" w:space="0" w:color="auto"/>
              <w:right w:val="nil"/>
            </w:tcBorders>
            <w:shd w:val="clear" w:color="auto" w:fill="auto"/>
          </w:tcPr>
          <w:p w14:paraId="006C28E1" w14:textId="2BD2F3C4" w:rsidR="0015488C" w:rsidRPr="002029AF" w:rsidRDefault="0015488C" w:rsidP="0015488C">
            <w:pPr>
              <w:pStyle w:val="ARtabletextright"/>
            </w:pPr>
            <w:r>
              <w:t>3.756</w:t>
            </w:r>
          </w:p>
        </w:tc>
        <w:tc>
          <w:tcPr>
            <w:tcW w:w="2493" w:type="dxa"/>
            <w:tcBorders>
              <w:top w:val="single" w:sz="4" w:space="0" w:color="auto"/>
              <w:left w:val="nil"/>
              <w:bottom w:val="single" w:sz="4" w:space="0" w:color="auto"/>
              <w:right w:val="nil"/>
            </w:tcBorders>
            <w:shd w:val="clear" w:color="auto" w:fill="FFFFFF" w:themeFill="background1"/>
          </w:tcPr>
          <w:p w14:paraId="50690259" w14:textId="1441F508" w:rsidR="0015488C" w:rsidRPr="002029AF" w:rsidRDefault="0015488C" w:rsidP="0015488C">
            <w:pPr>
              <w:pStyle w:val="ARtabletext"/>
            </w:pPr>
            <w:r w:rsidRPr="004D2070">
              <w:t>All sites have been handed over as part of Separable Portion 1. Final activities progressing on schedule</w:t>
            </w:r>
            <w:r>
              <w:t>, with balance of funding required for financial closeout of the project</w:t>
            </w:r>
            <w:r w:rsidR="00FD01FC">
              <w:t>,</w:t>
            </w:r>
            <w:r>
              <w:t xml:space="preserve"> expected in the next financial year.</w:t>
            </w:r>
          </w:p>
        </w:tc>
      </w:tr>
      <w:tr w:rsidR="0015488C" w:rsidRPr="002029AF" w14:paraId="26FE67F2" w14:textId="77777777" w:rsidTr="004C7BEF">
        <w:trPr>
          <w:cantSplit/>
        </w:trPr>
        <w:tc>
          <w:tcPr>
            <w:tcW w:w="1977" w:type="dxa"/>
            <w:tcBorders>
              <w:top w:val="single" w:sz="4" w:space="0" w:color="auto"/>
              <w:left w:val="nil"/>
              <w:bottom w:val="single" w:sz="4" w:space="0" w:color="auto"/>
              <w:right w:val="nil"/>
            </w:tcBorders>
            <w:shd w:val="clear" w:color="auto" w:fill="auto"/>
          </w:tcPr>
          <w:p w14:paraId="0063B771" w14:textId="30F15706" w:rsidR="0015488C" w:rsidRPr="002029AF" w:rsidRDefault="0015488C" w:rsidP="0015488C">
            <w:pPr>
              <w:pStyle w:val="ARtabletext"/>
            </w:pPr>
            <w:r w:rsidRPr="00EE2EE4">
              <w:t>Youth Prevention and Recovery Care (PARC) Service (metropolitan Melbourne)</w:t>
            </w:r>
          </w:p>
        </w:tc>
        <w:tc>
          <w:tcPr>
            <w:tcW w:w="1073" w:type="dxa"/>
            <w:tcBorders>
              <w:top w:val="single" w:sz="4" w:space="0" w:color="auto"/>
              <w:left w:val="nil"/>
              <w:bottom w:val="single" w:sz="4" w:space="0" w:color="auto"/>
              <w:right w:val="nil"/>
            </w:tcBorders>
            <w:shd w:val="clear" w:color="auto" w:fill="auto"/>
          </w:tcPr>
          <w:p w14:paraId="0C8108DA" w14:textId="35A445F7" w:rsidR="0015488C" w:rsidRPr="002029AF" w:rsidRDefault="0015488C" w:rsidP="0015488C">
            <w:pPr>
              <w:pStyle w:val="ARtabletext"/>
            </w:pPr>
            <w:r>
              <w:t>December 2021</w:t>
            </w:r>
          </w:p>
        </w:tc>
        <w:tc>
          <w:tcPr>
            <w:tcW w:w="1072" w:type="dxa"/>
            <w:tcBorders>
              <w:top w:val="single" w:sz="4" w:space="0" w:color="auto"/>
              <w:left w:val="nil"/>
              <w:bottom w:val="single" w:sz="4" w:space="0" w:color="auto"/>
              <w:right w:val="nil"/>
            </w:tcBorders>
            <w:shd w:val="clear" w:color="auto" w:fill="auto"/>
          </w:tcPr>
          <w:p w14:paraId="4D3D3969" w14:textId="7A1CE4D3" w:rsidR="0015488C" w:rsidRPr="002029AF" w:rsidRDefault="0015488C" w:rsidP="0015488C">
            <w:pPr>
              <w:pStyle w:val="ARtabletext"/>
            </w:pPr>
            <w:r>
              <w:t>December 2023</w:t>
            </w:r>
          </w:p>
        </w:tc>
        <w:tc>
          <w:tcPr>
            <w:tcW w:w="1072" w:type="dxa"/>
            <w:tcBorders>
              <w:top w:val="single" w:sz="4" w:space="0" w:color="auto"/>
              <w:left w:val="nil"/>
              <w:bottom w:val="single" w:sz="4" w:space="0" w:color="auto"/>
              <w:right w:val="nil"/>
            </w:tcBorders>
            <w:shd w:val="clear" w:color="auto" w:fill="auto"/>
          </w:tcPr>
          <w:p w14:paraId="40D04B6D" w14:textId="41837986" w:rsidR="0015488C" w:rsidRPr="002029AF" w:rsidRDefault="0015488C" w:rsidP="0015488C">
            <w:pPr>
              <w:pStyle w:val="ARtabletext"/>
            </w:pPr>
            <w:r>
              <w:t>December 2021</w:t>
            </w:r>
          </w:p>
        </w:tc>
        <w:tc>
          <w:tcPr>
            <w:tcW w:w="1246" w:type="dxa"/>
            <w:tcBorders>
              <w:top w:val="single" w:sz="4" w:space="0" w:color="auto"/>
              <w:left w:val="nil"/>
              <w:bottom w:val="single" w:sz="4" w:space="0" w:color="auto"/>
              <w:right w:val="nil"/>
            </w:tcBorders>
            <w:shd w:val="clear" w:color="auto" w:fill="FFFFFF" w:themeFill="background1"/>
          </w:tcPr>
          <w:p w14:paraId="11EA5A6F" w14:textId="6BD9E1B8" w:rsidR="0015488C" w:rsidRPr="002029AF" w:rsidRDefault="0015488C" w:rsidP="0015488C">
            <w:pPr>
              <w:pStyle w:val="ARtabletext"/>
            </w:pPr>
            <w:r>
              <w:t>Updated to reflect project delivery and change in scope</w:t>
            </w:r>
          </w:p>
        </w:tc>
        <w:tc>
          <w:tcPr>
            <w:tcW w:w="1072" w:type="dxa"/>
            <w:tcBorders>
              <w:top w:val="single" w:sz="4" w:space="0" w:color="auto"/>
              <w:left w:val="nil"/>
              <w:bottom w:val="single" w:sz="4" w:space="0" w:color="auto"/>
              <w:right w:val="nil"/>
            </w:tcBorders>
            <w:shd w:val="clear" w:color="auto" w:fill="auto"/>
          </w:tcPr>
          <w:p w14:paraId="669C12E3" w14:textId="20B53A18" w:rsidR="0015488C" w:rsidRPr="002029AF" w:rsidRDefault="0015488C" w:rsidP="0015488C">
            <w:pPr>
              <w:pStyle w:val="ARtabletextright"/>
            </w:pPr>
            <w:r>
              <w:t>11.900</w:t>
            </w:r>
          </w:p>
        </w:tc>
        <w:tc>
          <w:tcPr>
            <w:tcW w:w="1072" w:type="dxa"/>
            <w:tcBorders>
              <w:top w:val="single" w:sz="4" w:space="0" w:color="auto"/>
              <w:left w:val="nil"/>
              <w:bottom w:val="single" w:sz="4" w:space="0" w:color="auto"/>
              <w:right w:val="nil"/>
            </w:tcBorders>
            <w:shd w:val="clear" w:color="auto" w:fill="auto"/>
          </w:tcPr>
          <w:p w14:paraId="0C8D8202" w14:textId="63827412" w:rsidR="0015488C" w:rsidRPr="002029AF" w:rsidRDefault="0015488C" w:rsidP="0015488C">
            <w:pPr>
              <w:pStyle w:val="ARtabletextright"/>
            </w:pPr>
            <w:r>
              <w:t>12.900</w:t>
            </w:r>
          </w:p>
        </w:tc>
        <w:tc>
          <w:tcPr>
            <w:tcW w:w="1072" w:type="dxa"/>
            <w:tcBorders>
              <w:top w:val="single" w:sz="4" w:space="0" w:color="auto"/>
              <w:left w:val="nil"/>
              <w:bottom w:val="single" w:sz="4" w:space="0" w:color="auto"/>
              <w:right w:val="nil"/>
            </w:tcBorders>
            <w:shd w:val="clear" w:color="auto" w:fill="auto"/>
          </w:tcPr>
          <w:p w14:paraId="2BC13DA7" w14:textId="1EABD013" w:rsidR="0015488C" w:rsidRPr="002029AF" w:rsidRDefault="0015488C" w:rsidP="0015488C">
            <w:pPr>
              <w:pStyle w:val="ARtabletextright"/>
            </w:pPr>
            <w:r>
              <w:t>11.403</w:t>
            </w:r>
          </w:p>
        </w:tc>
        <w:tc>
          <w:tcPr>
            <w:tcW w:w="1861" w:type="dxa"/>
            <w:tcBorders>
              <w:top w:val="single" w:sz="4" w:space="0" w:color="auto"/>
              <w:left w:val="nil"/>
              <w:bottom w:val="single" w:sz="4" w:space="0" w:color="auto"/>
              <w:right w:val="nil"/>
            </w:tcBorders>
            <w:shd w:val="clear" w:color="auto" w:fill="auto"/>
          </w:tcPr>
          <w:p w14:paraId="2F66E89D" w14:textId="405A3435" w:rsidR="0015488C" w:rsidRPr="002029AF" w:rsidRDefault="0015488C" w:rsidP="0015488C">
            <w:pPr>
              <w:pStyle w:val="ARtabletextright"/>
            </w:pPr>
            <w:r>
              <w:t>1.497</w:t>
            </w:r>
          </w:p>
        </w:tc>
        <w:tc>
          <w:tcPr>
            <w:tcW w:w="2493" w:type="dxa"/>
            <w:tcBorders>
              <w:top w:val="single" w:sz="4" w:space="0" w:color="auto"/>
              <w:left w:val="nil"/>
              <w:bottom w:val="single" w:sz="4" w:space="0" w:color="auto"/>
              <w:right w:val="nil"/>
            </w:tcBorders>
            <w:shd w:val="clear" w:color="auto" w:fill="FFFFFF" w:themeFill="background1"/>
          </w:tcPr>
          <w:p w14:paraId="19F6AAAD" w14:textId="5F919DC8" w:rsidR="0015488C" w:rsidRPr="002029AF" w:rsidRDefault="0015488C" w:rsidP="0015488C">
            <w:pPr>
              <w:pStyle w:val="ARtabletext"/>
            </w:pPr>
            <w:r>
              <w:t>Balance of funding is required for financial closeout of the project, expected in the next financial year.</w:t>
            </w:r>
          </w:p>
        </w:tc>
      </w:tr>
    </w:tbl>
    <w:p w14:paraId="0BB50CD8" w14:textId="77777777" w:rsidR="000B65DA" w:rsidRPr="002029AF" w:rsidRDefault="000B65DA" w:rsidP="001A559C">
      <w:pPr>
        <w:pStyle w:val="Heading3"/>
      </w:pPr>
      <w:bookmarkStart w:id="169" w:name="_Toc50996880"/>
      <w:bookmarkStart w:id="170" w:name="_Toc50998470"/>
      <w:bookmarkStart w:id="171" w:name="_Toc54690824"/>
      <w:bookmarkStart w:id="172" w:name="_Ref83202295"/>
      <w:bookmarkStart w:id="173" w:name="_Toc85121173"/>
      <w:r w:rsidRPr="002029AF">
        <w:t>Capital projects reaching financial completion during the financial year ended 30 June 202</w:t>
      </w:r>
      <w:bookmarkEnd w:id="169"/>
      <w:bookmarkEnd w:id="170"/>
      <w:bookmarkEnd w:id="171"/>
      <w:bookmarkEnd w:id="172"/>
      <w:bookmarkEnd w:id="173"/>
      <w:r>
        <w:t>2</w:t>
      </w:r>
    </w:p>
    <w:tbl>
      <w:tblPr>
        <w:tblStyle w:val="TableGrid"/>
        <w:tblW w:w="14010" w:type="dxa"/>
        <w:tblLayout w:type="fixed"/>
        <w:tblLook w:val="06A0" w:firstRow="1" w:lastRow="0" w:firstColumn="1" w:lastColumn="0" w:noHBand="1" w:noVBand="1"/>
      </w:tblPr>
      <w:tblGrid>
        <w:gridCol w:w="2527"/>
        <w:gridCol w:w="1321"/>
        <w:gridCol w:w="1148"/>
        <w:gridCol w:w="1320"/>
        <w:gridCol w:w="1197"/>
        <w:gridCol w:w="992"/>
        <w:gridCol w:w="1418"/>
        <w:gridCol w:w="4087"/>
      </w:tblGrid>
      <w:tr w:rsidR="000B65DA" w:rsidRPr="002029AF" w14:paraId="099B91AF" w14:textId="77777777" w:rsidTr="004C7BEF">
        <w:trPr>
          <w:cnfStyle w:val="100000000000" w:firstRow="1" w:lastRow="0" w:firstColumn="0" w:lastColumn="0" w:oddVBand="0" w:evenVBand="0" w:oddHBand="0" w:evenHBand="0" w:firstRowFirstColumn="0" w:firstRowLastColumn="0" w:lastRowFirstColumn="0" w:lastRowLastColumn="0"/>
          <w:tblHeader/>
        </w:trPr>
        <w:tc>
          <w:tcPr>
            <w:tcW w:w="2527" w:type="dxa"/>
            <w:hideMark/>
          </w:tcPr>
          <w:p w14:paraId="3BBA7E6E" w14:textId="77777777" w:rsidR="000B65DA" w:rsidRPr="002029AF" w:rsidRDefault="000B65DA" w:rsidP="004C7BEF">
            <w:pPr>
              <w:pStyle w:val="ARtablecolhead"/>
              <w:spacing w:before="70" w:after="50"/>
              <w:ind w:left="3" w:hanging="3"/>
            </w:pPr>
            <w:r w:rsidRPr="002029AF">
              <w:t>Project name</w:t>
            </w:r>
          </w:p>
        </w:tc>
        <w:tc>
          <w:tcPr>
            <w:tcW w:w="1321" w:type="dxa"/>
            <w:hideMark/>
          </w:tcPr>
          <w:p w14:paraId="7C911221" w14:textId="77777777" w:rsidR="000B65DA" w:rsidRPr="002029AF" w:rsidRDefault="000B65DA" w:rsidP="004C7BEF">
            <w:pPr>
              <w:pStyle w:val="ARtablecolhead"/>
              <w:spacing w:before="70" w:after="50"/>
            </w:pPr>
            <w:r w:rsidRPr="002029AF">
              <w:t>Practical completion date</w:t>
            </w:r>
          </w:p>
        </w:tc>
        <w:tc>
          <w:tcPr>
            <w:tcW w:w="1148" w:type="dxa"/>
            <w:hideMark/>
          </w:tcPr>
          <w:p w14:paraId="647189D3" w14:textId="77777777" w:rsidR="000B65DA" w:rsidRPr="002029AF" w:rsidRDefault="000B65DA" w:rsidP="004C7BEF">
            <w:pPr>
              <w:pStyle w:val="ARtablecolhead"/>
              <w:spacing w:before="70" w:after="50"/>
            </w:pPr>
            <w:r w:rsidRPr="002029AF">
              <w:t>Financial completion date</w:t>
            </w:r>
          </w:p>
        </w:tc>
        <w:tc>
          <w:tcPr>
            <w:tcW w:w="1320" w:type="dxa"/>
            <w:hideMark/>
          </w:tcPr>
          <w:p w14:paraId="72C15E02" w14:textId="77777777" w:rsidR="000B65DA" w:rsidRPr="002029AF" w:rsidRDefault="000B65DA" w:rsidP="004C7BEF">
            <w:pPr>
              <w:pStyle w:val="ARtablecolheadright"/>
              <w:spacing w:before="70" w:after="50"/>
            </w:pPr>
            <w:r w:rsidRPr="002029AF">
              <w:t xml:space="preserve">Original approved </w:t>
            </w:r>
            <w:r w:rsidRPr="002029AF">
              <w:br/>
              <w:t>TEI budget</w:t>
            </w:r>
          </w:p>
          <w:p w14:paraId="7F406450" w14:textId="77777777" w:rsidR="000B65DA" w:rsidRPr="002029AF" w:rsidRDefault="000B65DA" w:rsidP="004C7BEF">
            <w:pPr>
              <w:pStyle w:val="ARtablecolheadright"/>
              <w:spacing w:before="70" w:after="50"/>
            </w:pPr>
            <w:r w:rsidRPr="002029AF">
              <w:t>($M)</w:t>
            </w:r>
          </w:p>
        </w:tc>
        <w:tc>
          <w:tcPr>
            <w:tcW w:w="1197" w:type="dxa"/>
            <w:hideMark/>
          </w:tcPr>
          <w:p w14:paraId="64555F59" w14:textId="77777777" w:rsidR="000B65DA" w:rsidRPr="002029AF" w:rsidRDefault="000B65DA" w:rsidP="004C7BEF">
            <w:pPr>
              <w:pStyle w:val="ARtablecolheadright"/>
              <w:spacing w:before="70" w:after="50"/>
            </w:pPr>
            <w:r w:rsidRPr="002029AF">
              <w:t>Latest approved TEI budget</w:t>
            </w:r>
          </w:p>
          <w:p w14:paraId="3A37D723" w14:textId="77777777" w:rsidR="000B65DA" w:rsidRPr="002029AF" w:rsidRDefault="000B65DA" w:rsidP="004C7BEF">
            <w:pPr>
              <w:pStyle w:val="ARtablecolheadright"/>
              <w:spacing w:before="70" w:after="50"/>
            </w:pPr>
            <w:r w:rsidRPr="002029AF">
              <w:t>($M)</w:t>
            </w:r>
          </w:p>
        </w:tc>
        <w:tc>
          <w:tcPr>
            <w:tcW w:w="992" w:type="dxa"/>
            <w:hideMark/>
          </w:tcPr>
          <w:p w14:paraId="0B453295" w14:textId="77777777" w:rsidR="000B65DA" w:rsidRPr="002029AF" w:rsidRDefault="000B65DA" w:rsidP="004C7BEF">
            <w:pPr>
              <w:pStyle w:val="ARtablecolheadright"/>
              <w:spacing w:before="70" w:after="50"/>
            </w:pPr>
            <w:r w:rsidRPr="002029AF">
              <w:t>Actual TEI cost</w:t>
            </w:r>
          </w:p>
          <w:p w14:paraId="78B241F0" w14:textId="77777777" w:rsidR="000B65DA" w:rsidRPr="002029AF" w:rsidRDefault="000B65DA" w:rsidP="004C7BEF">
            <w:pPr>
              <w:pStyle w:val="ARtablecolheadright"/>
              <w:spacing w:before="70" w:after="50"/>
            </w:pPr>
            <w:r w:rsidRPr="002029AF">
              <w:t>($M)</w:t>
            </w:r>
          </w:p>
        </w:tc>
        <w:tc>
          <w:tcPr>
            <w:tcW w:w="1418" w:type="dxa"/>
            <w:hideMark/>
          </w:tcPr>
          <w:p w14:paraId="69987CC9" w14:textId="77777777" w:rsidR="000B65DA" w:rsidRPr="002029AF" w:rsidRDefault="000B65DA" w:rsidP="004C7BEF">
            <w:pPr>
              <w:pStyle w:val="ARtablecolheadright"/>
              <w:spacing w:before="70" w:after="50"/>
              <w:ind w:right="227"/>
            </w:pPr>
            <w:r w:rsidRPr="002029AF">
              <w:t xml:space="preserve">Variation between </w:t>
            </w:r>
            <w:r w:rsidRPr="002029AF">
              <w:br/>
              <w:t>actual cost and latest approved TEI budget</w:t>
            </w:r>
          </w:p>
          <w:p w14:paraId="19F81ABE" w14:textId="77777777" w:rsidR="000B65DA" w:rsidRPr="002029AF" w:rsidRDefault="000B65DA" w:rsidP="004C7BEF">
            <w:pPr>
              <w:pStyle w:val="ARtablecolheadright"/>
              <w:spacing w:before="70" w:after="50"/>
              <w:ind w:right="227"/>
            </w:pPr>
            <w:r w:rsidRPr="002029AF">
              <w:t>($M)</w:t>
            </w:r>
          </w:p>
        </w:tc>
        <w:tc>
          <w:tcPr>
            <w:tcW w:w="4087" w:type="dxa"/>
            <w:hideMark/>
          </w:tcPr>
          <w:p w14:paraId="5E2697D4" w14:textId="77777777" w:rsidR="000B65DA" w:rsidRPr="002029AF" w:rsidRDefault="000B65DA" w:rsidP="004C7BEF">
            <w:pPr>
              <w:pStyle w:val="ARtablecolhead"/>
              <w:spacing w:before="70" w:after="50"/>
            </w:pPr>
            <w:r w:rsidRPr="002029AF">
              <w:t>Reason for variance from latest approved TEI budget</w:t>
            </w:r>
          </w:p>
        </w:tc>
      </w:tr>
      <w:tr w:rsidR="00612D2E" w:rsidRPr="002029AF" w14:paraId="1E13DBCB" w14:textId="77777777" w:rsidTr="004C7BEF">
        <w:tc>
          <w:tcPr>
            <w:tcW w:w="2527" w:type="dxa"/>
            <w:tcBorders>
              <w:top w:val="single" w:sz="4" w:space="0" w:color="auto"/>
              <w:left w:val="nil"/>
              <w:bottom w:val="single" w:sz="4" w:space="0" w:color="auto"/>
              <w:right w:val="nil"/>
            </w:tcBorders>
            <w:shd w:val="clear" w:color="auto" w:fill="auto"/>
          </w:tcPr>
          <w:p w14:paraId="3030AF1B" w14:textId="5C62C16C" w:rsidR="00612D2E" w:rsidRPr="002029AF" w:rsidRDefault="00612D2E" w:rsidP="00612D2E">
            <w:pPr>
              <w:pStyle w:val="ARtabletext"/>
              <w:spacing w:before="60" w:after="40"/>
            </w:pPr>
            <w:r w:rsidRPr="005B52DF">
              <w:t>Modernisation of metro public sector residential aged care (Kew)</w:t>
            </w:r>
          </w:p>
        </w:tc>
        <w:tc>
          <w:tcPr>
            <w:tcW w:w="1321" w:type="dxa"/>
          </w:tcPr>
          <w:p w14:paraId="56BA720E" w14:textId="53A3319D" w:rsidR="00612D2E" w:rsidRPr="002029AF" w:rsidRDefault="00612D2E" w:rsidP="00612D2E">
            <w:pPr>
              <w:pStyle w:val="ARtabletext"/>
              <w:spacing w:before="60" w:after="40"/>
            </w:pPr>
            <w:r w:rsidRPr="00055D11">
              <w:t>August 2020</w:t>
            </w:r>
          </w:p>
        </w:tc>
        <w:tc>
          <w:tcPr>
            <w:tcW w:w="1148" w:type="dxa"/>
          </w:tcPr>
          <w:p w14:paraId="49B6555B" w14:textId="36B324A9" w:rsidR="00612D2E" w:rsidRPr="002029AF" w:rsidRDefault="00612D2E" w:rsidP="00612D2E">
            <w:pPr>
              <w:pStyle w:val="ARtabletext"/>
              <w:spacing w:before="60" w:after="40"/>
            </w:pPr>
            <w:r>
              <w:t>December 2021</w:t>
            </w:r>
          </w:p>
        </w:tc>
        <w:tc>
          <w:tcPr>
            <w:tcW w:w="1320" w:type="dxa"/>
          </w:tcPr>
          <w:p w14:paraId="72F56ED4" w14:textId="11922BF5" w:rsidR="00612D2E" w:rsidRPr="002029AF" w:rsidRDefault="00612D2E" w:rsidP="00612D2E">
            <w:pPr>
              <w:pStyle w:val="ARtabletextright"/>
              <w:spacing w:before="60" w:after="40"/>
            </w:pPr>
            <w:r w:rsidRPr="00116372">
              <w:t>57.570</w:t>
            </w:r>
          </w:p>
        </w:tc>
        <w:tc>
          <w:tcPr>
            <w:tcW w:w="1197" w:type="dxa"/>
          </w:tcPr>
          <w:p w14:paraId="4CA9B500" w14:textId="2FAD1133" w:rsidR="00612D2E" w:rsidRPr="002029AF" w:rsidRDefault="00612D2E" w:rsidP="00612D2E">
            <w:pPr>
              <w:pStyle w:val="ARtabletextright"/>
              <w:spacing w:before="60" w:after="40"/>
            </w:pPr>
            <w:r w:rsidRPr="00116372">
              <w:t>57.570</w:t>
            </w:r>
          </w:p>
        </w:tc>
        <w:tc>
          <w:tcPr>
            <w:tcW w:w="992" w:type="dxa"/>
          </w:tcPr>
          <w:p w14:paraId="25918FC0" w14:textId="1D79980A" w:rsidR="00612D2E" w:rsidRPr="002029AF" w:rsidRDefault="00612D2E" w:rsidP="00612D2E">
            <w:pPr>
              <w:pStyle w:val="ARtabletextright"/>
              <w:spacing w:before="60" w:after="40"/>
            </w:pPr>
            <w:r w:rsidRPr="00055D11">
              <w:t>57.570</w:t>
            </w:r>
          </w:p>
        </w:tc>
        <w:tc>
          <w:tcPr>
            <w:tcW w:w="1418" w:type="dxa"/>
          </w:tcPr>
          <w:p w14:paraId="5C448EEB" w14:textId="5CCA682F" w:rsidR="00612D2E" w:rsidRPr="002029AF" w:rsidRDefault="00612D2E" w:rsidP="00612D2E">
            <w:pPr>
              <w:pStyle w:val="ARtabletextright"/>
            </w:pPr>
            <w:r w:rsidRPr="00116372">
              <w:t>0.000</w:t>
            </w:r>
          </w:p>
        </w:tc>
        <w:tc>
          <w:tcPr>
            <w:tcW w:w="4087" w:type="dxa"/>
            <w:shd w:val="clear" w:color="auto" w:fill="auto"/>
          </w:tcPr>
          <w:p w14:paraId="4D2BA2DD" w14:textId="5C0BC7E3" w:rsidR="00612D2E" w:rsidRPr="002029AF" w:rsidRDefault="00612D2E" w:rsidP="00612D2E">
            <w:pPr>
              <w:pStyle w:val="ARtabletext"/>
              <w:spacing w:before="60" w:after="40"/>
            </w:pPr>
            <w:r>
              <w:t>N/A</w:t>
            </w:r>
          </w:p>
        </w:tc>
      </w:tr>
      <w:tr w:rsidR="00612D2E" w:rsidRPr="002029AF" w14:paraId="69DD57E2" w14:textId="77777777" w:rsidTr="004C7BEF">
        <w:tc>
          <w:tcPr>
            <w:tcW w:w="2527" w:type="dxa"/>
            <w:tcBorders>
              <w:top w:val="single" w:sz="4" w:space="0" w:color="auto"/>
              <w:left w:val="nil"/>
              <w:bottom w:val="single" w:sz="4" w:space="0" w:color="auto"/>
              <w:right w:val="nil"/>
            </w:tcBorders>
            <w:shd w:val="clear" w:color="auto" w:fill="auto"/>
          </w:tcPr>
          <w:p w14:paraId="7AE3B69C" w14:textId="51128231" w:rsidR="00612D2E" w:rsidRPr="002029AF" w:rsidRDefault="00612D2E" w:rsidP="00612D2E">
            <w:pPr>
              <w:pStyle w:val="ARtabletext"/>
              <w:spacing w:before="60" w:after="40"/>
            </w:pPr>
            <w:r w:rsidRPr="005B52DF">
              <w:t>Mental health and alcohol and other drugs facilities renewal 201</w:t>
            </w:r>
            <w:r w:rsidR="00BC5B6C">
              <w:t>7–</w:t>
            </w:r>
            <w:r w:rsidRPr="005B52DF">
              <w:t>18 (statewide)</w:t>
            </w:r>
          </w:p>
        </w:tc>
        <w:tc>
          <w:tcPr>
            <w:tcW w:w="1321" w:type="dxa"/>
          </w:tcPr>
          <w:p w14:paraId="0CE183E6" w14:textId="6142FB3D" w:rsidR="00612D2E" w:rsidRPr="002029AF" w:rsidRDefault="00612D2E" w:rsidP="00612D2E">
            <w:pPr>
              <w:pStyle w:val="ARtabletext"/>
              <w:spacing w:before="60" w:after="40"/>
            </w:pPr>
            <w:r>
              <w:t>June 2022</w:t>
            </w:r>
          </w:p>
        </w:tc>
        <w:tc>
          <w:tcPr>
            <w:tcW w:w="1148" w:type="dxa"/>
          </w:tcPr>
          <w:p w14:paraId="428DC088" w14:textId="61AD352A" w:rsidR="00612D2E" w:rsidRPr="002029AF" w:rsidRDefault="00612D2E" w:rsidP="00612D2E">
            <w:pPr>
              <w:pStyle w:val="ARtabletext"/>
              <w:spacing w:before="60" w:after="40"/>
            </w:pPr>
            <w:r>
              <w:t>June 2022</w:t>
            </w:r>
          </w:p>
        </w:tc>
        <w:tc>
          <w:tcPr>
            <w:tcW w:w="1320" w:type="dxa"/>
          </w:tcPr>
          <w:p w14:paraId="5320012A" w14:textId="4CDD7C93" w:rsidR="00612D2E" w:rsidRPr="002029AF" w:rsidRDefault="00612D2E" w:rsidP="00612D2E">
            <w:pPr>
              <w:pStyle w:val="ARtabletextright"/>
              <w:spacing w:before="60" w:after="40"/>
            </w:pPr>
            <w:r>
              <w:t>10.000</w:t>
            </w:r>
          </w:p>
        </w:tc>
        <w:tc>
          <w:tcPr>
            <w:tcW w:w="1197" w:type="dxa"/>
          </w:tcPr>
          <w:p w14:paraId="0DD98758" w14:textId="6800F7F4" w:rsidR="00612D2E" w:rsidRPr="002029AF" w:rsidRDefault="00612D2E" w:rsidP="00612D2E">
            <w:pPr>
              <w:pStyle w:val="ARtabletextright"/>
              <w:spacing w:before="60" w:after="40"/>
            </w:pPr>
            <w:r>
              <w:t>10.000</w:t>
            </w:r>
          </w:p>
        </w:tc>
        <w:tc>
          <w:tcPr>
            <w:tcW w:w="992" w:type="dxa"/>
          </w:tcPr>
          <w:p w14:paraId="6D2A01B3" w14:textId="083542B5" w:rsidR="00612D2E" w:rsidRPr="002029AF" w:rsidRDefault="00612D2E" w:rsidP="00612D2E">
            <w:pPr>
              <w:pStyle w:val="ARtabletextright"/>
              <w:spacing w:before="60" w:after="40"/>
            </w:pPr>
            <w:r>
              <w:t>10.000</w:t>
            </w:r>
          </w:p>
        </w:tc>
        <w:tc>
          <w:tcPr>
            <w:tcW w:w="1418" w:type="dxa"/>
          </w:tcPr>
          <w:p w14:paraId="7F901BD8" w14:textId="7E4CBEEA" w:rsidR="00612D2E" w:rsidRPr="002029AF" w:rsidRDefault="00612D2E" w:rsidP="00612D2E">
            <w:pPr>
              <w:pStyle w:val="ARtabletextright"/>
            </w:pPr>
            <w:r>
              <w:t>0.000</w:t>
            </w:r>
          </w:p>
        </w:tc>
        <w:tc>
          <w:tcPr>
            <w:tcW w:w="4087" w:type="dxa"/>
          </w:tcPr>
          <w:p w14:paraId="56893C5B" w14:textId="61451ACE" w:rsidR="00612D2E" w:rsidRPr="002029AF" w:rsidRDefault="00612D2E" w:rsidP="00612D2E">
            <w:pPr>
              <w:pStyle w:val="ARtabletext"/>
              <w:spacing w:before="60" w:after="40"/>
            </w:pPr>
            <w:r>
              <w:t>N/A</w:t>
            </w:r>
          </w:p>
        </w:tc>
      </w:tr>
      <w:tr w:rsidR="00612D2E" w:rsidRPr="002029AF" w14:paraId="45A1FC38" w14:textId="77777777" w:rsidTr="004C7BEF">
        <w:tc>
          <w:tcPr>
            <w:tcW w:w="2527" w:type="dxa"/>
            <w:tcBorders>
              <w:top w:val="single" w:sz="4" w:space="0" w:color="auto"/>
              <w:left w:val="nil"/>
              <w:bottom w:val="single" w:sz="4" w:space="0" w:color="auto"/>
              <w:right w:val="nil"/>
            </w:tcBorders>
            <w:shd w:val="clear" w:color="auto" w:fill="auto"/>
          </w:tcPr>
          <w:p w14:paraId="6B81575C" w14:textId="33223E28" w:rsidR="00612D2E" w:rsidRPr="002029AF" w:rsidRDefault="00612D2E" w:rsidP="00612D2E">
            <w:pPr>
              <w:pStyle w:val="ARtabletext"/>
              <w:spacing w:before="60" w:after="40"/>
            </w:pPr>
            <w:r w:rsidRPr="005B52DF">
              <w:t>Western Health urgent infrastructure works (Footscray and Sunshine)</w:t>
            </w:r>
          </w:p>
        </w:tc>
        <w:tc>
          <w:tcPr>
            <w:tcW w:w="1321" w:type="dxa"/>
          </w:tcPr>
          <w:p w14:paraId="5C015197" w14:textId="43B75EE5" w:rsidR="00612D2E" w:rsidRPr="002029AF" w:rsidRDefault="00612D2E" w:rsidP="00612D2E">
            <w:pPr>
              <w:pStyle w:val="ARtabletext"/>
              <w:spacing w:before="60" w:after="40"/>
            </w:pPr>
            <w:r>
              <w:t>June 2021</w:t>
            </w:r>
          </w:p>
        </w:tc>
        <w:tc>
          <w:tcPr>
            <w:tcW w:w="1148" w:type="dxa"/>
          </w:tcPr>
          <w:p w14:paraId="39A400B9" w14:textId="6CC05347" w:rsidR="00612D2E" w:rsidRPr="002029AF" w:rsidRDefault="00612D2E" w:rsidP="00612D2E">
            <w:pPr>
              <w:pStyle w:val="ARtabletext"/>
              <w:spacing w:before="60" w:after="40"/>
            </w:pPr>
            <w:r>
              <w:t>June 2022</w:t>
            </w:r>
          </w:p>
        </w:tc>
        <w:tc>
          <w:tcPr>
            <w:tcW w:w="1320" w:type="dxa"/>
          </w:tcPr>
          <w:p w14:paraId="63BC7E24" w14:textId="2947ADB3" w:rsidR="00612D2E" w:rsidRPr="002029AF" w:rsidRDefault="00612D2E" w:rsidP="00612D2E">
            <w:pPr>
              <w:pStyle w:val="ARtabletextright"/>
              <w:spacing w:before="60" w:after="40"/>
            </w:pPr>
            <w:r>
              <w:t>61.335</w:t>
            </w:r>
          </w:p>
        </w:tc>
        <w:tc>
          <w:tcPr>
            <w:tcW w:w="1197" w:type="dxa"/>
          </w:tcPr>
          <w:p w14:paraId="5140091D" w14:textId="3DDF7CE0" w:rsidR="00612D2E" w:rsidRPr="002029AF" w:rsidRDefault="00612D2E" w:rsidP="00612D2E">
            <w:pPr>
              <w:pStyle w:val="ARtabletextright"/>
              <w:spacing w:before="60" w:after="40"/>
            </w:pPr>
            <w:r>
              <w:t>61.335</w:t>
            </w:r>
          </w:p>
        </w:tc>
        <w:tc>
          <w:tcPr>
            <w:tcW w:w="992" w:type="dxa"/>
          </w:tcPr>
          <w:p w14:paraId="20AA75CE" w14:textId="41C676D7" w:rsidR="00612D2E" w:rsidRPr="002029AF" w:rsidRDefault="00612D2E" w:rsidP="00612D2E">
            <w:pPr>
              <w:pStyle w:val="ARtabletextright"/>
              <w:spacing w:before="60" w:after="40"/>
            </w:pPr>
            <w:r>
              <w:t>61.335</w:t>
            </w:r>
          </w:p>
        </w:tc>
        <w:tc>
          <w:tcPr>
            <w:tcW w:w="1418" w:type="dxa"/>
          </w:tcPr>
          <w:p w14:paraId="46761243" w14:textId="75C9EB4C" w:rsidR="00612D2E" w:rsidRPr="002029AF" w:rsidRDefault="00612D2E" w:rsidP="00612D2E">
            <w:pPr>
              <w:pStyle w:val="ARtabletextright"/>
            </w:pPr>
            <w:r>
              <w:t>0.000</w:t>
            </w:r>
          </w:p>
        </w:tc>
        <w:tc>
          <w:tcPr>
            <w:tcW w:w="4087" w:type="dxa"/>
          </w:tcPr>
          <w:p w14:paraId="3AA7778C" w14:textId="5E54B09A" w:rsidR="00612D2E" w:rsidRPr="002029AF" w:rsidRDefault="00612D2E" w:rsidP="00612D2E">
            <w:pPr>
              <w:pStyle w:val="ARtabletext"/>
              <w:spacing w:before="60" w:after="40"/>
            </w:pPr>
            <w:r>
              <w:t>N/A</w:t>
            </w:r>
          </w:p>
        </w:tc>
      </w:tr>
      <w:tr w:rsidR="00612D2E" w:rsidRPr="002029AF" w14:paraId="455F3B7F" w14:textId="77777777" w:rsidTr="004C7BEF">
        <w:tc>
          <w:tcPr>
            <w:tcW w:w="2527" w:type="dxa"/>
            <w:tcBorders>
              <w:top w:val="single" w:sz="4" w:space="0" w:color="auto"/>
              <w:left w:val="nil"/>
              <w:bottom w:val="single" w:sz="4" w:space="0" w:color="auto"/>
              <w:right w:val="nil"/>
            </w:tcBorders>
            <w:shd w:val="clear" w:color="auto" w:fill="auto"/>
          </w:tcPr>
          <w:p w14:paraId="7255B952" w14:textId="7207F6A8" w:rsidR="00612D2E" w:rsidRPr="002029AF" w:rsidRDefault="00612D2E" w:rsidP="00612D2E">
            <w:pPr>
              <w:pStyle w:val="ARtabletext"/>
              <w:spacing w:before="60" w:after="40"/>
            </w:pPr>
            <w:r w:rsidRPr="005B52DF">
              <w:t>World-Class Care for Wangaratta Patients (Wangaratta)</w:t>
            </w:r>
          </w:p>
        </w:tc>
        <w:tc>
          <w:tcPr>
            <w:tcW w:w="1321" w:type="dxa"/>
          </w:tcPr>
          <w:p w14:paraId="5DB37BD8" w14:textId="368E8EC2" w:rsidR="00612D2E" w:rsidRPr="002029AF" w:rsidRDefault="00612D2E" w:rsidP="00612D2E">
            <w:pPr>
              <w:pStyle w:val="ARtabletext"/>
              <w:spacing w:before="60" w:after="40"/>
            </w:pPr>
            <w:r>
              <w:t>June 2022</w:t>
            </w:r>
          </w:p>
        </w:tc>
        <w:tc>
          <w:tcPr>
            <w:tcW w:w="1148" w:type="dxa"/>
          </w:tcPr>
          <w:p w14:paraId="49A2ED74" w14:textId="1607688B" w:rsidR="00612D2E" w:rsidRPr="002029AF" w:rsidRDefault="00612D2E" w:rsidP="00612D2E">
            <w:pPr>
              <w:pStyle w:val="ARtabletext"/>
              <w:spacing w:before="60" w:after="40"/>
            </w:pPr>
            <w:r>
              <w:t>June 2022</w:t>
            </w:r>
          </w:p>
        </w:tc>
        <w:tc>
          <w:tcPr>
            <w:tcW w:w="1320" w:type="dxa"/>
          </w:tcPr>
          <w:p w14:paraId="0A7C48C5" w14:textId="35425B96" w:rsidR="00612D2E" w:rsidRPr="002029AF" w:rsidRDefault="00612D2E" w:rsidP="00612D2E">
            <w:pPr>
              <w:pStyle w:val="ARtabletextright"/>
              <w:spacing w:before="60" w:after="40"/>
            </w:pPr>
            <w:r>
              <w:t>7.506</w:t>
            </w:r>
          </w:p>
        </w:tc>
        <w:tc>
          <w:tcPr>
            <w:tcW w:w="1197" w:type="dxa"/>
          </w:tcPr>
          <w:p w14:paraId="5D0067EF" w14:textId="4DC06115" w:rsidR="00612D2E" w:rsidRPr="002029AF" w:rsidRDefault="00612D2E" w:rsidP="00612D2E">
            <w:pPr>
              <w:pStyle w:val="ARtabletextright"/>
              <w:spacing w:before="60" w:after="40"/>
            </w:pPr>
            <w:r>
              <w:t>7.506</w:t>
            </w:r>
          </w:p>
        </w:tc>
        <w:tc>
          <w:tcPr>
            <w:tcW w:w="992" w:type="dxa"/>
          </w:tcPr>
          <w:p w14:paraId="73A028C4" w14:textId="6859496E" w:rsidR="00612D2E" w:rsidRPr="002029AF" w:rsidRDefault="00612D2E" w:rsidP="00612D2E">
            <w:pPr>
              <w:pStyle w:val="ARtabletextright"/>
              <w:spacing w:before="60" w:after="40"/>
            </w:pPr>
            <w:r>
              <w:t>7.506</w:t>
            </w:r>
          </w:p>
        </w:tc>
        <w:tc>
          <w:tcPr>
            <w:tcW w:w="1418" w:type="dxa"/>
          </w:tcPr>
          <w:p w14:paraId="6248EB73" w14:textId="4462E2E4" w:rsidR="00612D2E" w:rsidRPr="002029AF" w:rsidRDefault="00612D2E" w:rsidP="00612D2E">
            <w:pPr>
              <w:pStyle w:val="ARtabletextright"/>
            </w:pPr>
            <w:r>
              <w:t>0.000</w:t>
            </w:r>
          </w:p>
        </w:tc>
        <w:tc>
          <w:tcPr>
            <w:tcW w:w="4087" w:type="dxa"/>
          </w:tcPr>
          <w:p w14:paraId="227D8B8C" w14:textId="20A72E2E" w:rsidR="00612D2E" w:rsidRPr="002029AF" w:rsidRDefault="00612D2E" w:rsidP="00612D2E">
            <w:pPr>
              <w:pStyle w:val="ARtabletext"/>
              <w:spacing w:before="60" w:after="40"/>
            </w:pPr>
            <w:r>
              <w:t>N/A</w:t>
            </w:r>
          </w:p>
        </w:tc>
      </w:tr>
    </w:tbl>
    <w:p w14:paraId="04E1F3ED" w14:textId="77777777" w:rsidR="000B65DA" w:rsidRDefault="000B65DA" w:rsidP="000B65DA">
      <w:pPr>
        <w:pStyle w:val="ARbody"/>
        <w:rPr>
          <w:lang w:eastAsia="en-AU"/>
        </w:rPr>
      </w:pPr>
    </w:p>
    <w:p w14:paraId="34AEC15A" w14:textId="77777777" w:rsidR="000B65DA" w:rsidRDefault="000B65DA" w:rsidP="000B65DA">
      <w:pPr>
        <w:pStyle w:val="ARbody"/>
        <w:rPr>
          <w:lang w:eastAsia="en-AU"/>
        </w:rPr>
        <w:sectPr w:rsidR="000B65DA" w:rsidSect="000B65DA">
          <w:headerReference w:type="first" r:id="rId44"/>
          <w:footerReference w:type="first" r:id="rId45"/>
          <w:footnotePr>
            <w:numFmt w:val="lowerLetter"/>
            <w:numRestart w:val="eachPage"/>
          </w:footnotePr>
          <w:endnotePr>
            <w:numFmt w:val="decimal"/>
          </w:endnotePr>
          <w:pgSz w:w="16840" w:h="11900" w:orient="landscape" w:code="9"/>
          <w:pgMar w:top="1134" w:right="1985" w:bottom="1134" w:left="851" w:header="510" w:footer="340" w:gutter="0"/>
          <w:cols w:space="708"/>
          <w:docGrid w:linePitch="299"/>
          <w15:footnoteColumns w:val="1"/>
        </w:sectPr>
      </w:pPr>
    </w:p>
    <w:p w14:paraId="3AE2ED18" w14:textId="77777777" w:rsidR="00E701CA" w:rsidRDefault="00E701CA" w:rsidP="00E701CA">
      <w:pPr>
        <w:pStyle w:val="Heading1"/>
        <w:spacing w:after="240"/>
      </w:pPr>
      <w:bookmarkStart w:id="174" w:name="_Section_2:_Governance_1"/>
      <w:bookmarkStart w:id="175" w:name="_Ref84493388"/>
      <w:bookmarkStart w:id="176" w:name="_Toc85121174"/>
      <w:bookmarkStart w:id="177" w:name="_Toc85121603"/>
      <w:bookmarkStart w:id="178" w:name="_Toc102734480"/>
      <w:bookmarkStart w:id="179" w:name="_Toc113702916"/>
      <w:bookmarkEnd w:id="174"/>
      <w:r>
        <w:t xml:space="preserve">Section 2: </w:t>
      </w:r>
      <w:r w:rsidRPr="007E1B3F">
        <w:t>Governance and</w:t>
      </w:r>
      <w:r>
        <w:t> </w:t>
      </w:r>
      <w:r w:rsidRPr="007E1B3F">
        <w:t>organisational</w:t>
      </w:r>
      <w:r>
        <w:t> </w:t>
      </w:r>
      <w:r w:rsidRPr="007E1B3F">
        <w:t>structure</w:t>
      </w:r>
      <w:bookmarkEnd w:id="175"/>
      <w:bookmarkEnd w:id="176"/>
      <w:bookmarkEnd w:id="177"/>
      <w:bookmarkEnd w:id="178"/>
      <w:bookmarkEnd w:id="179"/>
    </w:p>
    <w:p w14:paraId="2EAE729C" w14:textId="77777777" w:rsidR="00E701CA" w:rsidRDefault="00E701CA" w:rsidP="00E701CA">
      <w:pPr>
        <w:pStyle w:val="Heading2"/>
        <w:spacing w:before="0"/>
      </w:pPr>
      <w:bookmarkStart w:id="180" w:name="_Toc85121175"/>
      <w:bookmarkStart w:id="181" w:name="_Toc85121604"/>
      <w:bookmarkStart w:id="182" w:name="_Ref85202061"/>
      <w:bookmarkStart w:id="183" w:name="_Toc102734481"/>
      <w:bookmarkStart w:id="184" w:name="_Toc113702917"/>
      <w:r w:rsidRPr="00174116">
        <w:t xml:space="preserve">The </w:t>
      </w:r>
      <w:r>
        <w:t>d</w:t>
      </w:r>
      <w:r w:rsidRPr="00174116">
        <w:t>epartment</w:t>
      </w:r>
      <w:r>
        <w:t>’</w:t>
      </w:r>
      <w:r w:rsidRPr="00174116">
        <w:t xml:space="preserve">s </w:t>
      </w:r>
      <w:r>
        <w:t>m</w:t>
      </w:r>
      <w:r w:rsidRPr="00174116">
        <w:t>inisters</w:t>
      </w:r>
      <w:bookmarkEnd w:id="180"/>
      <w:bookmarkEnd w:id="181"/>
      <w:bookmarkEnd w:id="182"/>
      <w:bookmarkEnd w:id="183"/>
      <w:bookmarkEnd w:id="184"/>
    </w:p>
    <w:p w14:paraId="756F9526" w14:textId="77777777" w:rsidR="00E701CA" w:rsidRPr="008368A3" w:rsidRDefault="00E701CA" w:rsidP="00E701CA">
      <w:pPr>
        <w:pStyle w:val="ARbody"/>
        <w:spacing w:after="240"/>
        <w:rPr>
          <w:b/>
          <w:bCs/>
        </w:rPr>
      </w:pPr>
      <w:r w:rsidRPr="008368A3">
        <w:rPr>
          <w:b/>
          <w:bCs/>
        </w:rPr>
        <w:t>As at 30 June 202</w:t>
      </w:r>
      <w:r>
        <w:rPr>
          <w:b/>
          <w:bCs/>
        </w:rPr>
        <w:t>2</w:t>
      </w:r>
    </w:p>
    <w:p w14:paraId="54B9C1C6" w14:textId="77777777" w:rsidR="00E701CA" w:rsidRDefault="00E701CA" w:rsidP="00E701CA">
      <w:pPr>
        <w:pStyle w:val="ARbody"/>
        <w:sectPr w:rsidR="00E701CA" w:rsidSect="00E701CA">
          <w:headerReference w:type="first" r:id="rId46"/>
          <w:footerReference w:type="first" r:id="rId47"/>
          <w:footnotePr>
            <w:numFmt w:val="lowerLetter"/>
            <w:numRestart w:val="eachPage"/>
          </w:footnotePr>
          <w:endnotePr>
            <w:numFmt w:val="decimal"/>
          </w:endnotePr>
          <w:pgSz w:w="11900" w:h="16840" w:code="9"/>
          <w:pgMar w:top="1985" w:right="1134" w:bottom="851" w:left="1134" w:header="510" w:footer="340" w:gutter="0"/>
          <w:cols w:space="454"/>
          <w15:footnoteColumns w:val="1"/>
        </w:sectPr>
      </w:pPr>
    </w:p>
    <w:p w14:paraId="754BA337" w14:textId="4E20E2B3" w:rsidR="00E701CA" w:rsidRDefault="007337B5" w:rsidP="007337B5">
      <w:pPr>
        <w:pStyle w:val="ARbody"/>
      </w:pPr>
      <w:r>
        <w:rPr>
          <w:noProof/>
        </w:rPr>
        <w:drawing>
          <wp:inline distT="0" distB="0" distL="0" distR="0" wp14:anchorId="5EA5BF86" wp14:editId="5CE482F3">
            <wp:extent cx="1196027" cy="1439478"/>
            <wp:effectExtent l="0" t="0" r="4445" b="8890"/>
            <wp:docPr id="2" name="Picture 2" descr="Photo of Mary-Anne Thoma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of Mary-Anne Thomas MP"/>
                    <pic:cNvPicPr/>
                  </pic:nvPicPr>
                  <pic:blipFill rotWithShape="1">
                    <a:blip r:embed="rId48" cstate="print">
                      <a:extLst>
                        <a:ext uri="{28A0092B-C50C-407E-A947-70E740481C1C}">
                          <a14:useLocalDpi xmlns:a14="http://schemas.microsoft.com/office/drawing/2010/main" val="0"/>
                        </a:ext>
                      </a:extLst>
                    </a:blip>
                    <a:srcRect l="19435" r="17862" b="35878"/>
                    <a:stretch/>
                  </pic:blipFill>
                  <pic:spPr bwMode="auto">
                    <a:xfrm>
                      <a:off x="0" y="0"/>
                      <a:ext cx="1196461" cy="1440000"/>
                    </a:xfrm>
                    <a:prstGeom prst="rect">
                      <a:avLst/>
                    </a:prstGeom>
                    <a:ln>
                      <a:noFill/>
                    </a:ln>
                    <a:extLst>
                      <a:ext uri="{53640926-AAD7-44D8-BBD7-CCE9431645EC}">
                        <a14:shadowObscured xmlns:a14="http://schemas.microsoft.com/office/drawing/2010/main"/>
                      </a:ext>
                    </a:extLst>
                  </pic:spPr>
                </pic:pic>
              </a:graphicData>
            </a:graphic>
          </wp:inline>
        </w:drawing>
      </w:r>
    </w:p>
    <w:p w14:paraId="71C17076" w14:textId="77777777" w:rsidR="00E701CA" w:rsidRPr="007337B5" w:rsidRDefault="00E701CA" w:rsidP="007337B5">
      <w:pPr>
        <w:pStyle w:val="Heading3"/>
        <w:spacing w:before="0"/>
      </w:pPr>
      <w:bookmarkStart w:id="185" w:name="_Toc85121176"/>
      <w:r w:rsidRPr="007337B5">
        <w:t>Mary-Anne Thomas MP</w:t>
      </w:r>
      <w:bookmarkEnd w:id="185"/>
    </w:p>
    <w:p w14:paraId="250445E5" w14:textId="77777777" w:rsidR="00E701CA" w:rsidRPr="007337B5" w:rsidRDefault="00E701CA" w:rsidP="00E701CA">
      <w:pPr>
        <w:pStyle w:val="ARbody"/>
        <w:rPr>
          <w:b/>
        </w:rPr>
      </w:pPr>
      <w:r w:rsidRPr="007337B5">
        <w:rPr>
          <w:b/>
        </w:rPr>
        <w:t>Minister for Health</w:t>
      </w:r>
      <w:r w:rsidRPr="007337B5">
        <w:rPr>
          <w:b/>
        </w:rPr>
        <w:br/>
        <w:t>Minister for Ambulance Services</w:t>
      </w:r>
    </w:p>
    <w:p w14:paraId="2FFA32BE" w14:textId="77777777" w:rsidR="00E701CA" w:rsidRPr="007337B5" w:rsidRDefault="00E701CA" w:rsidP="00E701CA">
      <w:pPr>
        <w:pStyle w:val="ARbody"/>
      </w:pPr>
      <w:r w:rsidRPr="007337B5">
        <w:t>Mary-Anne Thomas MP was appointed as Minister for Health and Minister for Ambulance Services in June 2022.</w:t>
      </w:r>
    </w:p>
    <w:p w14:paraId="2C79609E" w14:textId="77777777" w:rsidR="00E701CA" w:rsidRPr="007337B5" w:rsidRDefault="00E701CA" w:rsidP="00E701CA">
      <w:pPr>
        <w:pStyle w:val="ARbody"/>
      </w:pPr>
      <w:r w:rsidRPr="007337B5">
        <w:t>The Minister for Health and Minister for Ambulance Services is responsible for the health and wellbeing of all Victorians, ensuring a strong public health system and its continued growth and redevelopment.</w:t>
      </w:r>
    </w:p>
    <w:p w14:paraId="477C4CB6" w14:textId="06E7CD28" w:rsidR="00E701CA" w:rsidRPr="007337B5" w:rsidRDefault="00E701CA" w:rsidP="00E701CA">
      <w:pPr>
        <w:pStyle w:val="ARbody"/>
      </w:pPr>
      <w:r w:rsidRPr="007337B5">
        <w:br w:type="column"/>
      </w:r>
      <w:r w:rsidR="007337B5">
        <w:rPr>
          <w:noProof/>
        </w:rPr>
        <w:drawing>
          <wp:inline distT="0" distB="0" distL="0" distR="0" wp14:anchorId="05B62DDC" wp14:editId="28ABB241">
            <wp:extent cx="1052963" cy="1439403"/>
            <wp:effectExtent l="0" t="0" r="0" b="8890"/>
            <wp:docPr id="3" name="Picture 3" descr="Photo of Gabrielle William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to of Gabrielle Williams MP"/>
                    <pic:cNvPicPr/>
                  </pic:nvPicPr>
                  <pic:blipFill rotWithShape="1">
                    <a:blip r:embed="rId49" cstate="print">
                      <a:extLst>
                        <a:ext uri="{28A0092B-C50C-407E-A947-70E740481C1C}">
                          <a14:useLocalDpi xmlns:a14="http://schemas.microsoft.com/office/drawing/2010/main" val="0"/>
                        </a:ext>
                      </a:extLst>
                    </a:blip>
                    <a:srcRect l="8026" r="10716"/>
                    <a:stretch/>
                  </pic:blipFill>
                  <pic:spPr bwMode="auto">
                    <a:xfrm>
                      <a:off x="0" y="0"/>
                      <a:ext cx="1053400" cy="1440000"/>
                    </a:xfrm>
                    <a:prstGeom prst="rect">
                      <a:avLst/>
                    </a:prstGeom>
                    <a:ln>
                      <a:noFill/>
                    </a:ln>
                    <a:extLst>
                      <a:ext uri="{53640926-AAD7-44D8-BBD7-CCE9431645EC}">
                        <a14:shadowObscured xmlns:a14="http://schemas.microsoft.com/office/drawing/2010/main"/>
                      </a:ext>
                    </a:extLst>
                  </pic:spPr>
                </pic:pic>
              </a:graphicData>
            </a:graphic>
          </wp:inline>
        </w:drawing>
      </w:r>
    </w:p>
    <w:p w14:paraId="0697CE9E" w14:textId="77777777" w:rsidR="00E701CA" w:rsidRPr="007337B5" w:rsidRDefault="00E701CA" w:rsidP="007337B5">
      <w:pPr>
        <w:pStyle w:val="Heading3"/>
        <w:spacing w:before="0"/>
      </w:pPr>
      <w:bookmarkStart w:id="186" w:name="_Toc85121177"/>
      <w:r w:rsidRPr="007337B5">
        <w:t>Gabrielle Williams MP</w:t>
      </w:r>
      <w:bookmarkEnd w:id="186"/>
    </w:p>
    <w:p w14:paraId="08DE377A" w14:textId="77777777" w:rsidR="00E701CA" w:rsidRPr="007337B5" w:rsidRDefault="00E701CA" w:rsidP="00E701CA">
      <w:pPr>
        <w:pStyle w:val="ARbody"/>
        <w:rPr>
          <w:b/>
        </w:rPr>
      </w:pPr>
      <w:r w:rsidRPr="007337B5">
        <w:rPr>
          <w:b/>
        </w:rPr>
        <w:t>Minister for Mental Health</w:t>
      </w:r>
    </w:p>
    <w:p w14:paraId="50030003" w14:textId="77777777" w:rsidR="00E701CA" w:rsidRPr="007337B5" w:rsidRDefault="00E701CA" w:rsidP="00E701CA">
      <w:pPr>
        <w:pStyle w:val="ARbody"/>
      </w:pPr>
      <w:r w:rsidRPr="007337B5">
        <w:t>Gabrielle Williams MP was appointed as Minister for Mental Health in June 2022. She is also the Minister for Treaty and First Peoples.</w:t>
      </w:r>
    </w:p>
    <w:p w14:paraId="1E2451E0" w14:textId="77777777" w:rsidR="00E701CA" w:rsidRPr="007337B5" w:rsidRDefault="00E701CA" w:rsidP="00D51BFB">
      <w:pPr>
        <w:pStyle w:val="ARbody"/>
        <w:spacing w:after="400"/>
      </w:pPr>
      <w:r w:rsidRPr="007337B5">
        <w:t>The Minister for Mental Health is responsible for managing the challenges created by the increasing demand for mental health services in Victoria and ensuring Victorians with mental illness and addiction, along with their families, receive the treatment and support they need.</w:t>
      </w:r>
    </w:p>
    <w:p w14:paraId="7265CF98" w14:textId="7FEED493" w:rsidR="00E701CA" w:rsidRPr="007337B5" w:rsidRDefault="00A42438" w:rsidP="007337B5">
      <w:pPr>
        <w:pStyle w:val="ARbody"/>
      </w:pPr>
      <w:r>
        <w:rPr>
          <w:noProof/>
        </w:rPr>
        <w:drawing>
          <wp:inline distT="0" distB="0" distL="0" distR="0" wp14:anchorId="085E192C" wp14:editId="1CF85393">
            <wp:extent cx="1252855" cy="1439545"/>
            <wp:effectExtent l="0" t="0" r="4445" b="8255"/>
            <wp:docPr id="5" name="Picture 5" descr="Photo of Colin Brooks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of Colin Brooks MP"/>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52855" cy="1439545"/>
                    </a:xfrm>
                    <a:prstGeom prst="rect">
                      <a:avLst/>
                    </a:prstGeom>
                  </pic:spPr>
                </pic:pic>
              </a:graphicData>
            </a:graphic>
          </wp:inline>
        </w:drawing>
      </w:r>
    </w:p>
    <w:p w14:paraId="46D9F686" w14:textId="77777777" w:rsidR="00E701CA" w:rsidRPr="007337B5" w:rsidRDefault="00E701CA" w:rsidP="007337B5">
      <w:pPr>
        <w:pStyle w:val="Heading3"/>
        <w:spacing w:before="120"/>
      </w:pPr>
      <w:bookmarkStart w:id="187" w:name="_Toc85121178"/>
      <w:r w:rsidRPr="007337B5">
        <w:t>Colin Brooks MP</w:t>
      </w:r>
      <w:bookmarkEnd w:id="187"/>
    </w:p>
    <w:p w14:paraId="32D359B5" w14:textId="77777777" w:rsidR="00E701CA" w:rsidRPr="007337B5" w:rsidRDefault="00E701CA" w:rsidP="00E701CA">
      <w:pPr>
        <w:pStyle w:val="ARbody"/>
        <w:rPr>
          <w:b/>
        </w:rPr>
      </w:pPr>
      <w:r w:rsidRPr="007337B5">
        <w:rPr>
          <w:b/>
        </w:rPr>
        <w:t>Minister for Disability, Ageing and Carers</w:t>
      </w:r>
    </w:p>
    <w:p w14:paraId="71254539" w14:textId="77777777" w:rsidR="00E701CA" w:rsidRPr="002029AF" w:rsidRDefault="00E701CA" w:rsidP="00E701CA">
      <w:pPr>
        <w:pStyle w:val="ARbody"/>
      </w:pPr>
      <w:r w:rsidRPr="007337B5">
        <w:t>Colin Brooks MP was appointed as</w:t>
      </w:r>
      <w:r w:rsidRPr="002029AF">
        <w:t xml:space="preserve"> Minister for Disability, Ageing and Carers </w:t>
      </w:r>
      <w:r>
        <w:t xml:space="preserve">and </w:t>
      </w:r>
      <w:r w:rsidRPr="002029AF">
        <w:t>Minister for Child Protection</w:t>
      </w:r>
      <w:r>
        <w:t xml:space="preserve"> and Family Services in June 2022.</w:t>
      </w:r>
    </w:p>
    <w:p w14:paraId="3DDD9F0F" w14:textId="77777777" w:rsidR="00E701CA" w:rsidRDefault="00E701CA" w:rsidP="00E701CA">
      <w:pPr>
        <w:pStyle w:val="ARbody"/>
        <w:spacing w:after="0"/>
      </w:pPr>
      <w:r w:rsidRPr="002029AF">
        <w:t>The Minister for Disability, Ageing and Carers is responsible for residential aged care, carers and child and family services – in addition to supporting Victorians with a disability as they transition to the National Disability Insurance Scheme</w:t>
      </w:r>
      <w:r>
        <w:t>.</w:t>
      </w:r>
    </w:p>
    <w:p w14:paraId="7A2BC5F5" w14:textId="77777777" w:rsidR="00E701CA" w:rsidRPr="005B2CDD" w:rsidRDefault="00E701CA" w:rsidP="00E701CA">
      <w:pPr>
        <w:pStyle w:val="ARbody"/>
        <w:sectPr w:rsidR="00E701CA" w:rsidRPr="005B2CDD" w:rsidSect="00317057">
          <w:footnotePr>
            <w:numFmt w:val="lowerLetter"/>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7C563B17" w14:textId="77777777" w:rsidR="00E701CA" w:rsidRPr="002029AF" w:rsidRDefault="00E701CA" w:rsidP="00E701CA">
      <w:pPr>
        <w:pStyle w:val="Heading2"/>
        <w:spacing w:before="0"/>
      </w:pPr>
      <w:bookmarkStart w:id="188" w:name="_Toc85121179"/>
      <w:bookmarkStart w:id="189" w:name="_Toc85121605"/>
      <w:bookmarkStart w:id="190" w:name="_Toc102734482"/>
      <w:bookmarkStart w:id="191" w:name="_Toc113702918"/>
      <w:bookmarkStart w:id="192" w:name="_Hlk79145785"/>
      <w:r w:rsidRPr="002029AF">
        <w:t>The department</w:t>
      </w:r>
      <w:r>
        <w:t>’</w:t>
      </w:r>
      <w:r w:rsidRPr="002029AF">
        <w:t>s senior executives</w:t>
      </w:r>
      <w:bookmarkEnd w:id="188"/>
      <w:bookmarkEnd w:id="189"/>
      <w:bookmarkEnd w:id="190"/>
      <w:bookmarkEnd w:id="191"/>
    </w:p>
    <w:p w14:paraId="1325E190" w14:textId="77777777" w:rsidR="00E701CA" w:rsidRPr="008368A3" w:rsidRDefault="00E701CA" w:rsidP="00E701CA">
      <w:pPr>
        <w:pStyle w:val="ARbody"/>
        <w:spacing w:after="320"/>
        <w:rPr>
          <w:b/>
          <w:bCs/>
          <w:lang w:eastAsia="en-AU"/>
        </w:rPr>
        <w:sectPr w:rsidR="00E701CA" w:rsidRPr="008368A3" w:rsidSect="00317057">
          <w:footnotePr>
            <w:numFmt w:val="lowerLetter"/>
            <w:numRestart w:val="eachPage"/>
          </w:footnotePr>
          <w:endnotePr>
            <w:numFmt w:val="decimal"/>
          </w:endnotePr>
          <w:pgSz w:w="11906" w:h="16838" w:code="9"/>
          <w:pgMar w:top="1985" w:right="1134" w:bottom="851" w:left="1134" w:header="510" w:footer="340" w:gutter="0"/>
          <w:cols w:space="397"/>
          <w:docGrid w:linePitch="360"/>
          <w15:footnoteColumns w:val="1"/>
        </w:sectPr>
      </w:pPr>
      <w:r w:rsidRPr="008368A3">
        <w:rPr>
          <w:b/>
          <w:bCs/>
          <w:lang w:eastAsia="en-AU"/>
        </w:rPr>
        <w:t>As at 30 June 202</w:t>
      </w:r>
      <w:r>
        <w:rPr>
          <w:b/>
          <w:bCs/>
          <w:lang w:eastAsia="en-AU"/>
        </w:rPr>
        <w:t>2</w:t>
      </w:r>
    </w:p>
    <w:p w14:paraId="2F4AFCB3" w14:textId="77777777" w:rsidR="00E701CA" w:rsidRDefault="00E701CA" w:rsidP="00E701CA">
      <w:pPr>
        <w:pStyle w:val="Heading3"/>
      </w:pPr>
      <w:bookmarkStart w:id="193" w:name="_Toc85121180"/>
      <w:r w:rsidRPr="0096249C" w:rsidDel="00DC30D8">
        <w:t>Professor</w:t>
      </w:r>
      <w:r w:rsidRPr="0096249C">
        <w:t xml:space="preserve"> </w:t>
      </w:r>
      <w:r w:rsidRPr="0096249C" w:rsidDel="00DC30D8">
        <w:t>Euan</w:t>
      </w:r>
      <w:r w:rsidRPr="0096249C">
        <w:t xml:space="preserve"> </w:t>
      </w:r>
      <w:r w:rsidRPr="0096249C" w:rsidDel="00DC30D8">
        <w:t>Wallace</w:t>
      </w:r>
      <w:r w:rsidRPr="0096249C">
        <w:t xml:space="preserve"> </w:t>
      </w:r>
      <w:r w:rsidRPr="0096249C" w:rsidDel="00DC30D8">
        <w:t>AM</w:t>
      </w:r>
      <w:bookmarkEnd w:id="193"/>
    </w:p>
    <w:p w14:paraId="6ACD1905" w14:textId="77777777" w:rsidR="00E701CA" w:rsidRPr="00CD16CF" w:rsidDel="00DC30D8" w:rsidRDefault="00E701CA" w:rsidP="00CD16CF">
      <w:pPr>
        <w:pStyle w:val="ARbody"/>
        <w:rPr>
          <w:b/>
          <w:bCs/>
          <w:lang w:eastAsia="en-AU"/>
        </w:rPr>
      </w:pPr>
      <w:bookmarkStart w:id="194" w:name="_Toc85121181"/>
      <w:r w:rsidRPr="00CD16CF" w:rsidDel="00DC30D8">
        <w:rPr>
          <w:b/>
          <w:bCs/>
          <w:lang w:eastAsia="en-AU"/>
        </w:rPr>
        <w:t>Secretary</w:t>
      </w:r>
      <w:bookmarkEnd w:id="194"/>
    </w:p>
    <w:p w14:paraId="5945C548" w14:textId="77777777" w:rsidR="00E701CA" w:rsidRDefault="00E701CA" w:rsidP="00E701CA">
      <w:pPr>
        <w:pStyle w:val="ARbody"/>
      </w:pPr>
      <w:r>
        <w:t>Euan Wallace</w:t>
      </w:r>
      <w:r w:rsidRPr="002029AF">
        <w:t xml:space="preserve"> was appointed </w:t>
      </w:r>
      <w:r w:rsidRPr="002029AF" w:rsidDel="00DC30D8">
        <w:t>as</w:t>
      </w:r>
      <w:r w:rsidRPr="002029AF">
        <w:t xml:space="preserve"> </w:t>
      </w:r>
      <w:r w:rsidRPr="002029AF" w:rsidDel="00DC30D8">
        <w:t>Secretary</w:t>
      </w:r>
      <w:r w:rsidRPr="002029AF">
        <w:t xml:space="preserve"> </w:t>
      </w:r>
      <w:r w:rsidRPr="00BF2CAF">
        <w:t>of the Department of Health</w:t>
      </w:r>
      <w:r w:rsidRPr="00781854">
        <w:t xml:space="preserve"> </w:t>
      </w:r>
      <w:r w:rsidRPr="00FA2501">
        <w:t>and Human Services</w:t>
      </w:r>
      <w:r>
        <w:t xml:space="preserve"> in November 2020, then as </w:t>
      </w:r>
      <w:r w:rsidRPr="002029AF" w:rsidDel="00DC30D8">
        <w:t>Secretary</w:t>
      </w:r>
      <w:r w:rsidRPr="002029AF">
        <w:t xml:space="preserve"> </w:t>
      </w:r>
      <w:r w:rsidRPr="00BF2CAF">
        <w:t>of the Department of Health</w:t>
      </w:r>
      <w:r>
        <w:t xml:space="preserve"> in February 2021.</w:t>
      </w:r>
    </w:p>
    <w:p w14:paraId="64AE4DB8" w14:textId="08EEE996" w:rsidR="00E701CA" w:rsidRPr="002029AF" w:rsidDel="00DC30D8" w:rsidRDefault="00E701CA" w:rsidP="000829D4">
      <w:pPr>
        <w:pStyle w:val="ARbody"/>
      </w:pPr>
      <w:r w:rsidRPr="002029AF">
        <w:t xml:space="preserve">The Secretary </w:t>
      </w:r>
      <w:r>
        <w:t xml:space="preserve">leads the department in its </w:t>
      </w:r>
      <w:r w:rsidR="000829D4">
        <w:t>vision for Victorians to be the healthiest people in the world</w:t>
      </w:r>
      <w:r w:rsidRPr="002029AF">
        <w:t>.</w:t>
      </w:r>
    </w:p>
    <w:p w14:paraId="0DE881A2" w14:textId="77777777" w:rsidR="00E701CA" w:rsidRPr="002A0D06" w:rsidRDefault="00E701CA" w:rsidP="00E701CA">
      <w:pPr>
        <w:pStyle w:val="Heading3"/>
      </w:pPr>
      <w:bookmarkStart w:id="195" w:name="_Toc85121182"/>
      <w:r w:rsidRPr="002A0D06">
        <w:t>Jodie Geissler</w:t>
      </w:r>
      <w:bookmarkEnd w:id="195"/>
    </w:p>
    <w:p w14:paraId="2BC1EC02" w14:textId="080DBA52" w:rsidR="00E701CA" w:rsidRPr="00CD16CF" w:rsidRDefault="00E701CA" w:rsidP="00CD16CF">
      <w:pPr>
        <w:pStyle w:val="ARbody"/>
        <w:rPr>
          <w:b/>
          <w:bCs/>
          <w:lang w:eastAsia="en-AU"/>
        </w:rPr>
      </w:pPr>
      <w:bookmarkStart w:id="196" w:name="_Toc85121183"/>
      <w:r w:rsidRPr="00CD16CF">
        <w:rPr>
          <w:b/>
          <w:bCs/>
          <w:lang w:eastAsia="en-AU"/>
        </w:rPr>
        <w:t xml:space="preserve">Deputy Secretary – Commissioning </w:t>
      </w:r>
      <w:r w:rsidR="00CD16CF">
        <w:rPr>
          <w:b/>
          <w:bCs/>
          <w:lang w:eastAsia="en-AU"/>
        </w:rPr>
        <w:br/>
      </w:r>
      <w:r w:rsidRPr="00CD16CF">
        <w:rPr>
          <w:b/>
          <w:bCs/>
          <w:lang w:eastAsia="en-AU"/>
        </w:rPr>
        <w:t>and</w:t>
      </w:r>
      <w:r w:rsidR="00CD16CF">
        <w:rPr>
          <w:b/>
          <w:bCs/>
          <w:lang w:eastAsia="en-AU"/>
        </w:rPr>
        <w:t xml:space="preserve"> </w:t>
      </w:r>
      <w:r w:rsidRPr="00CD16CF">
        <w:rPr>
          <w:b/>
          <w:bCs/>
          <w:lang w:eastAsia="en-AU"/>
        </w:rPr>
        <w:t>System Improvement</w:t>
      </w:r>
      <w:bookmarkEnd w:id="196"/>
    </w:p>
    <w:p w14:paraId="4987DF7E" w14:textId="0030321A" w:rsidR="00E701CA" w:rsidRDefault="00E701CA" w:rsidP="00E701CA">
      <w:pPr>
        <w:pStyle w:val="ARbody"/>
        <w:rPr>
          <w:lang w:eastAsia="en-AU"/>
        </w:rPr>
      </w:pPr>
      <w:r>
        <w:rPr>
          <w:lang w:eastAsia="en-AU"/>
        </w:rPr>
        <w:t>Jodie Geissler was appointed as Deputy Secretary – Commissioning and System Improvement in March 2021. Jodie oversees the </w:t>
      </w:r>
      <w:r w:rsidRPr="00424514">
        <w:rPr>
          <w:lang w:eastAsia="en-AU"/>
        </w:rPr>
        <w:t>strategic commissioning of health and aged care services, focusing on system service design and improvement, in partnership with clinicians, service</w:t>
      </w:r>
      <w:r>
        <w:rPr>
          <w:lang w:eastAsia="en-AU"/>
        </w:rPr>
        <w:t> </w:t>
      </w:r>
      <w:r w:rsidRPr="00424514">
        <w:rPr>
          <w:lang w:eastAsia="en-AU"/>
        </w:rPr>
        <w:t xml:space="preserve">providers and the community. </w:t>
      </w:r>
      <w:r>
        <w:rPr>
          <w:lang w:eastAsia="en-AU"/>
        </w:rPr>
        <w:t>She is also responsible for l</w:t>
      </w:r>
      <w:r w:rsidRPr="00424514">
        <w:rPr>
          <w:lang w:eastAsia="en-AU"/>
        </w:rPr>
        <w:t>eading operational policy development and implementation,</w:t>
      </w:r>
      <w:r w:rsidR="00FE7B32">
        <w:rPr>
          <w:lang w:eastAsia="en-AU"/>
        </w:rPr>
        <w:t xml:space="preserve"> and</w:t>
      </w:r>
      <w:r w:rsidRPr="00424514">
        <w:rPr>
          <w:lang w:eastAsia="en-AU"/>
        </w:rPr>
        <w:t xml:space="preserve"> resource allocation and funding, </w:t>
      </w:r>
      <w:r w:rsidR="00FE7B32">
        <w:rPr>
          <w:lang w:eastAsia="en-AU"/>
        </w:rPr>
        <w:t>as well as for</w:t>
      </w:r>
      <w:r w:rsidR="00FE7B32" w:rsidRPr="00424514">
        <w:rPr>
          <w:lang w:eastAsia="en-AU"/>
        </w:rPr>
        <w:t xml:space="preserve"> </w:t>
      </w:r>
      <w:r w:rsidRPr="00424514">
        <w:rPr>
          <w:lang w:eastAsia="en-AU"/>
        </w:rPr>
        <w:t>driving improvement across the health system.</w:t>
      </w:r>
    </w:p>
    <w:p w14:paraId="7C95CBA6" w14:textId="77777777" w:rsidR="00E701CA" w:rsidRDefault="00E701CA" w:rsidP="00E701CA">
      <w:pPr>
        <w:pStyle w:val="Heading3"/>
      </w:pPr>
      <w:bookmarkStart w:id="197" w:name="_Toc85121184"/>
      <w:r>
        <w:t>Katherine Whetton</w:t>
      </w:r>
      <w:bookmarkEnd w:id="197"/>
    </w:p>
    <w:p w14:paraId="19B28835" w14:textId="2CBFCADC" w:rsidR="00E701CA" w:rsidRPr="00CD16CF" w:rsidRDefault="00E701CA" w:rsidP="00CD16CF">
      <w:pPr>
        <w:pStyle w:val="ARbody"/>
        <w:rPr>
          <w:b/>
          <w:bCs/>
          <w:lang w:eastAsia="en-AU"/>
        </w:rPr>
      </w:pPr>
      <w:bookmarkStart w:id="198" w:name="_Toc85121185"/>
      <w:r w:rsidRPr="00CD16CF">
        <w:rPr>
          <w:b/>
          <w:bCs/>
          <w:lang w:eastAsia="en-AU"/>
        </w:rPr>
        <w:t>Deputy Secretary – Mental Health</w:t>
      </w:r>
      <w:bookmarkEnd w:id="198"/>
      <w:r w:rsidRPr="00CD16CF">
        <w:rPr>
          <w:b/>
          <w:bCs/>
          <w:lang w:eastAsia="en-AU"/>
        </w:rPr>
        <w:t xml:space="preserve"> and</w:t>
      </w:r>
      <w:r w:rsidR="00CD16CF">
        <w:rPr>
          <w:b/>
          <w:bCs/>
          <w:lang w:eastAsia="en-AU"/>
        </w:rPr>
        <w:t xml:space="preserve"> </w:t>
      </w:r>
      <w:r w:rsidRPr="00CD16CF">
        <w:rPr>
          <w:b/>
          <w:bCs/>
          <w:lang w:eastAsia="en-AU"/>
        </w:rPr>
        <w:t>Wellbeing</w:t>
      </w:r>
    </w:p>
    <w:p w14:paraId="7120181E" w14:textId="53FEBC8D" w:rsidR="00E701CA" w:rsidRDefault="00E701CA" w:rsidP="00E701CA">
      <w:pPr>
        <w:pStyle w:val="ARbody"/>
        <w:rPr>
          <w:lang w:eastAsia="en-AU"/>
        </w:rPr>
      </w:pPr>
      <w:r>
        <w:rPr>
          <w:lang w:eastAsia="en-AU"/>
        </w:rPr>
        <w:t xml:space="preserve">Katherine Whetton was appointed as Deputy Secretary – Mental Health in </w:t>
      </w:r>
      <w:r w:rsidRPr="00B458CA">
        <w:rPr>
          <w:lang w:eastAsia="en-AU"/>
        </w:rPr>
        <w:t>January 2021</w:t>
      </w:r>
      <w:r w:rsidRPr="004F4DD2">
        <w:rPr>
          <w:lang w:eastAsia="en-AU"/>
        </w:rPr>
        <w:t>.</w:t>
      </w:r>
      <w:r>
        <w:rPr>
          <w:lang w:eastAsia="en-AU"/>
        </w:rPr>
        <w:t xml:space="preserve"> Katherine leads the division responsible for </w:t>
      </w:r>
      <w:r w:rsidR="00FE7B32">
        <w:rPr>
          <w:lang w:eastAsia="en-AU"/>
        </w:rPr>
        <w:t xml:space="preserve">the </w:t>
      </w:r>
      <w:r>
        <w:rPr>
          <w:lang w:eastAsia="en-AU"/>
        </w:rPr>
        <w:t xml:space="preserve">delivery of </w:t>
      </w:r>
      <w:r w:rsidRPr="007D1080">
        <w:rPr>
          <w:lang w:eastAsia="en-AU"/>
        </w:rPr>
        <w:t>Victoria</w:t>
      </w:r>
      <w:r>
        <w:rPr>
          <w:lang w:eastAsia="en-AU"/>
        </w:rPr>
        <w:t>’</w:t>
      </w:r>
      <w:r w:rsidRPr="007D1080">
        <w:rPr>
          <w:lang w:eastAsia="en-AU"/>
        </w:rPr>
        <w:t xml:space="preserve">s mental health reforms </w:t>
      </w:r>
      <w:r w:rsidRPr="00B73B13">
        <w:rPr>
          <w:lang w:eastAsia="en-AU"/>
        </w:rPr>
        <w:t xml:space="preserve">and </w:t>
      </w:r>
      <w:r>
        <w:rPr>
          <w:lang w:eastAsia="en-AU"/>
        </w:rPr>
        <w:t>the </w:t>
      </w:r>
      <w:r w:rsidRPr="00B73B13">
        <w:rPr>
          <w:lang w:eastAsia="en-AU"/>
        </w:rPr>
        <w:t>continued stewardship</w:t>
      </w:r>
      <w:r w:rsidRPr="007D1080">
        <w:rPr>
          <w:lang w:eastAsia="en-AU"/>
        </w:rPr>
        <w:t xml:space="preserve"> of the mental health and</w:t>
      </w:r>
      <w:r>
        <w:rPr>
          <w:lang w:eastAsia="en-AU"/>
        </w:rPr>
        <w:t> alcohol and other drugs</w:t>
      </w:r>
      <w:r w:rsidRPr="007D1080">
        <w:rPr>
          <w:lang w:eastAsia="en-AU"/>
        </w:rPr>
        <w:t xml:space="preserve"> services sectors.</w:t>
      </w:r>
    </w:p>
    <w:p w14:paraId="774A1FF2" w14:textId="77777777" w:rsidR="00E701CA" w:rsidRDefault="00E701CA" w:rsidP="00BA1B22">
      <w:pPr>
        <w:pStyle w:val="Heading3"/>
        <w:spacing w:before="0"/>
      </w:pPr>
      <w:r>
        <w:br w:type="column"/>
      </w:r>
      <w:bookmarkStart w:id="199" w:name="_Toc85121186"/>
      <w:r>
        <w:t>Professor Zoe Wainer</w:t>
      </w:r>
      <w:bookmarkEnd w:id="199"/>
    </w:p>
    <w:p w14:paraId="71B87A3A" w14:textId="77777777" w:rsidR="00E701CA" w:rsidRPr="00CD16CF" w:rsidRDefault="00E701CA" w:rsidP="00CD16CF">
      <w:pPr>
        <w:pStyle w:val="ARbody"/>
        <w:rPr>
          <w:b/>
          <w:bCs/>
        </w:rPr>
      </w:pPr>
      <w:bookmarkStart w:id="200" w:name="_Toc85121187"/>
      <w:r w:rsidRPr="00CD16CF">
        <w:rPr>
          <w:b/>
          <w:bCs/>
        </w:rPr>
        <w:t>Deputy Secretary – Public Health</w:t>
      </w:r>
      <w:bookmarkEnd w:id="200"/>
    </w:p>
    <w:p w14:paraId="4D35F1E4" w14:textId="77777777" w:rsidR="00E701CA" w:rsidRPr="00B27FBF" w:rsidRDefault="00E701CA" w:rsidP="00E701CA">
      <w:pPr>
        <w:pStyle w:val="ARbody"/>
        <w:rPr>
          <w:lang w:eastAsia="en-AU"/>
        </w:rPr>
      </w:pPr>
      <w:r w:rsidRPr="00E0125C">
        <w:rPr>
          <w:lang w:eastAsia="en-AU"/>
        </w:rPr>
        <w:t xml:space="preserve">Zoe Wainer commenced as Deputy Secretary – Public Health in June 2021. </w:t>
      </w:r>
      <w:r>
        <w:rPr>
          <w:lang w:eastAsia="en-AU"/>
        </w:rPr>
        <w:t>Zoe leads the division</w:t>
      </w:r>
      <w:r w:rsidRPr="00E0125C">
        <w:rPr>
          <w:lang w:eastAsia="en-AU"/>
        </w:rPr>
        <w:t xml:space="preserve"> responsible for advancing</w:t>
      </w:r>
      <w:r w:rsidRPr="003A5131">
        <w:rPr>
          <w:lang w:eastAsia="en-AU"/>
        </w:rPr>
        <w:t xml:space="preserve"> public health, improving population health and wellbeing outcomes, and leading the response to health threats and broader emergencies. </w:t>
      </w:r>
    </w:p>
    <w:p w14:paraId="298D842F" w14:textId="77777777" w:rsidR="00E701CA" w:rsidRPr="002029AF" w:rsidRDefault="00E701CA" w:rsidP="00E701CA">
      <w:pPr>
        <w:pStyle w:val="Heading3"/>
      </w:pPr>
      <w:bookmarkStart w:id="201" w:name="_Toc85121190"/>
      <w:r w:rsidRPr="002029AF">
        <w:t>Chris Hotham</w:t>
      </w:r>
      <w:bookmarkEnd w:id="201"/>
    </w:p>
    <w:p w14:paraId="3514B613" w14:textId="77777777" w:rsidR="00E701CA" w:rsidRPr="00CD16CF" w:rsidRDefault="00E701CA" w:rsidP="00CD16CF">
      <w:pPr>
        <w:pStyle w:val="ARbody"/>
        <w:rPr>
          <w:b/>
          <w:bCs/>
        </w:rPr>
      </w:pPr>
      <w:bookmarkStart w:id="202" w:name="_Toc85121191"/>
      <w:r w:rsidRPr="00CD16CF">
        <w:rPr>
          <w:b/>
          <w:bCs/>
        </w:rPr>
        <w:t>Deputy Secretary – Health Infrastructure</w:t>
      </w:r>
      <w:bookmarkEnd w:id="202"/>
    </w:p>
    <w:p w14:paraId="7699B6D0" w14:textId="0F0BA960" w:rsidR="00E701CA" w:rsidRDefault="00E701CA" w:rsidP="00E701CA">
      <w:pPr>
        <w:pStyle w:val="ARbody"/>
      </w:pPr>
      <w:r w:rsidRPr="002029AF">
        <w:t xml:space="preserve">Chris Hotham was appointed as Deputy Secretary – </w:t>
      </w:r>
      <w:r>
        <w:t xml:space="preserve">Health </w:t>
      </w:r>
      <w:r w:rsidRPr="00F77943">
        <w:t>Infrastructure in December 2019. Chris</w:t>
      </w:r>
      <w:r w:rsidRPr="002029AF">
        <w:t xml:space="preserve"> leads the </w:t>
      </w:r>
      <w:r>
        <w:t>division</w:t>
      </w:r>
      <w:r w:rsidR="00FE7B32">
        <w:t xml:space="preserve"> responsible for infrastructure</w:t>
      </w:r>
      <w:r>
        <w:t xml:space="preserve"> policy, partnerships and the</w:t>
      </w:r>
      <w:r w:rsidRPr="002029AF">
        <w:t xml:space="preserve"> Victorian Health Building Authority (VHBA), </w:t>
      </w:r>
      <w:r>
        <w:t xml:space="preserve">which </w:t>
      </w:r>
      <w:r w:rsidRPr="00112253">
        <w:t>leads the planning, delivery and oversight of public health, mental health and aged care infrastructure.</w:t>
      </w:r>
    </w:p>
    <w:p w14:paraId="02074772" w14:textId="77777777" w:rsidR="00E701CA" w:rsidRDefault="00E701CA" w:rsidP="00E701CA">
      <w:pPr>
        <w:pStyle w:val="Heading3"/>
      </w:pPr>
      <w:r>
        <w:t>Nicole Brady</w:t>
      </w:r>
    </w:p>
    <w:p w14:paraId="6C4C99E2" w14:textId="77777777" w:rsidR="00E701CA" w:rsidRPr="00CD16CF" w:rsidRDefault="00E701CA" w:rsidP="00CD16CF">
      <w:pPr>
        <w:pStyle w:val="ARbody"/>
        <w:rPr>
          <w:b/>
          <w:bCs/>
          <w:lang w:eastAsia="en-AU"/>
        </w:rPr>
      </w:pPr>
      <w:bookmarkStart w:id="203" w:name="_Toc85121193"/>
      <w:r w:rsidRPr="00CD16CF">
        <w:rPr>
          <w:b/>
          <w:bCs/>
          <w:lang w:eastAsia="en-AU"/>
        </w:rPr>
        <w:t>Deputy Secretary – Reform and Planning</w:t>
      </w:r>
      <w:bookmarkEnd w:id="203"/>
    </w:p>
    <w:p w14:paraId="51B85928" w14:textId="467E4BB0" w:rsidR="00E701CA" w:rsidRDefault="00E701CA" w:rsidP="00E701CA">
      <w:pPr>
        <w:pStyle w:val="ARbody"/>
        <w:rPr>
          <w:lang w:eastAsia="en-AU"/>
        </w:rPr>
      </w:pPr>
      <w:r>
        <w:rPr>
          <w:lang w:eastAsia="en-AU"/>
        </w:rPr>
        <w:t xml:space="preserve">Nicole Brady was appointed as Deputy Secretary – Reform and Planning in </w:t>
      </w:r>
      <w:r w:rsidRPr="00B458CA">
        <w:rPr>
          <w:lang w:eastAsia="en-AU"/>
        </w:rPr>
        <w:t>February 202</w:t>
      </w:r>
      <w:r>
        <w:rPr>
          <w:lang w:eastAsia="en-AU"/>
        </w:rPr>
        <w:t>2</w:t>
      </w:r>
      <w:r w:rsidRPr="00B458CA">
        <w:rPr>
          <w:lang w:eastAsia="en-AU"/>
        </w:rPr>
        <w:t>.</w:t>
      </w:r>
      <w:r>
        <w:rPr>
          <w:lang w:eastAsia="en-AU"/>
        </w:rPr>
        <w:t xml:space="preserve"> Nicole is responsible for driving</w:t>
      </w:r>
      <w:r w:rsidRPr="002D5BFF">
        <w:rPr>
          <w:lang w:eastAsia="en-AU"/>
        </w:rPr>
        <w:t xml:space="preserve"> reform and improvement within the health system</w:t>
      </w:r>
      <w:r>
        <w:rPr>
          <w:lang w:eastAsia="en-AU"/>
        </w:rPr>
        <w:t>, including design changes to</w:t>
      </w:r>
      <w:r w:rsidRPr="002D5BFF">
        <w:rPr>
          <w:lang w:eastAsia="en-AU"/>
        </w:rPr>
        <w:t xml:space="preserve"> </w:t>
      </w:r>
      <w:r w:rsidRPr="005F66C6">
        <w:rPr>
          <w:lang w:eastAsia="en-AU"/>
        </w:rPr>
        <w:t>improve</w:t>
      </w:r>
      <w:r w:rsidRPr="002D5BFF">
        <w:rPr>
          <w:lang w:eastAsia="en-AU"/>
        </w:rPr>
        <w:t xml:space="preserve"> </w:t>
      </w:r>
      <w:r w:rsidR="00FE7B32">
        <w:rPr>
          <w:lang w:eastAsia="en-AU"/>
        </w:rPr>
        <w:t xml:space="preserve">the </w:t>
      </w:r>
      <w:r w:rsidRPr="002D5BFF">
        <w:rPr>
          <w:lang w:eastAsia="en-AU"/>
        </w:rPr>
        <w:t xml:space="preserve">equity of healthcare in Victoria and </w:t>
      </w:r>
      <w:r w:rsidR="005F66C6">
        <w:rPr>
          <w:lang w:eastAsia="en-AU"/>
        </w:rPr>
        <w:t xml:space="preserve">to better respond </w:t>
      </w:r>
      <w:r w:rsidRPr="00174E09">
        <w:rPr>
          <w:lang w:eastAsia="en-AU"/>
        </w:rPr>
        <w:t>to the needs of patients and stakeholders.</w:t>
      </w:r>
    </w:p>
    <w:p w14:paraId="28412D39" w14:textId="77777777" w:rsidR="00E701CA" w:rsidRDefault="00E701CA" w:rsidP="00E701CA">
      <w:pPr>
        <w:pStyle w:val="Heading3"/>
      </w:pPr>
      <w:bookmarkStart w:id="204" w:name="_Toc85121198"/>
      <w:r>
        <w:t>Nicole McCartney</w:t>
      </w:r>
      <w:bookmarkEnd w:id="204"/>
    </w:p>
    <w:p w14:paraId="6770A771" w14:textId="77777777" w:rsidR="00E701CA" w:rsidRPr="00CD16CF" w:rsidRDefault="00E701CA" w:rsidP="00CD16CF">
      <w:pPr>
        <w:pStyle w:val="ARbody"/>
        <w:rPr>
          <w:b/>
          <w:bCs/>
          <w:lang w:eastAsia="en-AU"/>
        </w:rPr>
      </w:pPr>
      <w:bookmarkStart w:id="205" w:name="_Toc85121199"/>
      <w:r w:rsidRPr="00CD16CF">
        <w:rPr>
          <w:b/>
          <w:bCs/>
          <w:lang w:eastAsia="en-AU"/>
        </w:rPr>
        <w:t>Chief Aboriginal Health Adviser</w:t>
      </w:r>
      <w:bookmarkEnd w:id="205"/>
    </w:p>
    <w:p w14:paraId="67D47BAE" w14:textId="77777777" w:rsidR="00E701CA" w:rsidRDefault="00E701CA" w:rsidP="00E701CA">
      <w:pPr>
        <w:pStyle w:val="ARbody"/>
        <w:rPr>
          <w:lang w:eastAsia="en-AU"/>
        </w:rPr>
      </w:pPr>
      <w:r>
        <w:t xml:space="preserve">Nicole McCartney was appointed the inaugural Chief Aboriginal Health Adviser in </w:t>
      </w:r>
      <w:r w:rsidRPr="00B458CA">
        <w:t>August 2019.</w:t>
      </w:r>
      <w:r>
        <w:t xml:space="preserve"> Nicole also leads the new Aboriginal Health Division and is</w:t>
      </w:r>
      <w:r w:rsidRPr="00535B59">
        <w:t xml:space="preserve"> </w:t>
      </w:r>
      <w:r>
        <w:t>focused on embedding self</w:t>
      </w:r>
      <w:r>
        <w:noBreakHyphen/>
        <w:t>determination and cultural safety in the Victorian health system.</w:t>
      </w:r>
    </w:p>
    <w:p w14:paraId="6CE9E384" w14:textId="0166F8E2" w:rsidR="00E701CA" w:rsidRPr="002029AF" w:rsidDel="00DC30D8" w:rsidRDefault="00E701CA" w:rsidP="00BA1B22">
      <w:pPr>
        <w:pStyle w:val="Heading3"/>
      </w:pPr>
      <w:r>
        <w:br w:type="column"/>
        <w:t>Beth Gubbins</w:t>
      </w:r>
    </w:p>
    <w:p w14:paraId="63CA3424" w14:textId="77777777" w:rsidR="00E701CA" w:rsidRPr="00CD16CF" w:rsidDel="00DC30D8" w:rsidRDefault="00E701CA" w:rsidP="00CD16CF">
      <w:pPr>
        <w:pStyle w:val="ARbody"/>
        <w:rPr>
          <w:b/>
          <w:bCs/>
          <w:lang w:eastAsia="en-AU"/>
        </w:rPr>
      </w:pPr>
      <w:bookmarkStart w:id="206" w:name="_Toc85121195"/>
      <w:r w:rsidRPr="00CD16CF">
        <w:rPr>
          <w:b/>
          <w:bCs/>
          <w:lang w:eastAsia="en-AU"/>
        </w:rPr>
        <w:t xml:space="preserve">Acting </w:t>
      </w:r>
      <w:r w:rsidRPr="00CD16CF" w:rsidDel="00DC30D8">
        <w:rPr>
          <w:b/>
          <w:bCs/>
          <w:lang w:eastAsia="en-AU"/>
        </w:rPr>
        <w:t>Deputy</w:t>
      </w:r>
      <w:r w:rsidRPr="00CD16CF">
        <w:rPr>
          <w:b/>
          <w:bCs/>
          <w:lang w:eastAsia="en-AU"/>
        </w:rPr>
        <w:t xml:space="preserve"> </w:t>
      </w:r>
      <w:r w:rsidRPr="00CD16CF" w:rsidDel="00DC30D8">
        <w:rPr>
          <w:b/>
          <w:bCs/>
          <w:lang w:eastAsia="en-AU"/>
        </w:rPr>
        <w:t>Secretary</w:t>
      </w:r>
      <w:r w:rsidRPr="00CD16CF">
        <w:rPr>
          <w:b/>
          <w:bCs/>
          <w:lang w:eastAsia="en-AU"/>
        </w:rPr>
        <w:t xml:space="preserve"> </w:t>
      </w:r>
      <w:r w:rsidRPr="00CD16CF" w:rsidDel="00DC30D8">
        <w:rPr>
          <w:b/>
          <w:bCs/>
          <w:lang w:eastAsia="en-AU"/>
        </w:rPr>
        <w:t>–</w:t>
      </w:r>
      <w:r w:rsidRPr="00CD16CF">
        <w:rPr>
          <w:b/>
          <w:bCs/>
          <w:lang w:eastAsia="en-AU"/>
        </w:rPr>
        <w:t xml:space="preserve"> </w:t>
      </w:r>
      <w:r w:rsidRPr="00CD16CF" w:rsidDel="00DC30D8">
        <w:rPr>
          <w:b/>
          <w:bCs/>
          <w:lang w:eastAsia="en-AU"/>
        </w:rPr>
        <w:t>Corporate</w:t>
      </w:r>
      <w:r w:rsidRPr="00CD16CF">
        <w:rPr>
          <w:b/>
          <w:bCs/>
          <w:lang w:eastAsia="en-AU"/>
        </w:rPr>
        <w:t xml:space="preserve"> </w:t>
      </w:r>
      <w:r w:rsidRPr="00CD16CF" w:rsidDel="00DC30D8">
        <w:rPr>
          <w:b/>
          <w:bCs/>
          <w:lang w:eastAsia="en-AU"/>
        </w:rPr>
        <w:t>Services</w:t>
      </w:r>
      <w:bookmarkEnd w:id="206"/>
    </w:p>
    <w:p w14:paraId="5F3F2636" w14:textId="5B5932B9" w:rsidR="00E701CA" w:rsidRDefault="00E701CA" w:rsidP="00E701CA">
      <w:pPr>
        <w:pStyle w:val="ARbody"/>
      </w:pPr>
      <w:r>
        <w:t>Beth Gubbins</w:t>
      </w:r>
      <w:r w:rsidRPr="002029AF">
        <w:t xml:space="preserve"> was appointed as </w:t>
      </w:r>
      <w:r>
        <w:t xml:space="preserve">Acting </w:t>
      </w:r>
      <w:r w:rsidRPr="002029AF">
        <w:t>Deputy Secretary –</w:t>
      </w:r>
      <w:r>
        <w:t xml:space="preserve"> </w:t>
      </w:r>
      <w:r w:rsidRPr="002029AF">
        <w:t xml:space="preserve">Corporate Services in </w:t>
      </w:r>
      <w:r>
        <w:t>April</w:t>
      </w:r>
      <w:r w:rsidRPr="00B458CA">
        <w:t xml:space="preserve"> 20</w:t>
      </w:r>
      <w:r>
        <w:t>22</w:t>
      </w:r>
      <w:r w:rsidRPr="00B458CA">
        <w:t>.</w:t>
      </w:r>
      <w:r w:rsidRPr="002029AF">
        <w:t xml:space="preserve"> </w:t>
      </w:r>
      <w:r>
        <w:t>Beth</w:t>
      </w:r>
      <w:r w:rsidR="00CD16CF">
        <w:t> </w:t>
      </w:r>
      <w:r w:rsidRPr="002029AF">
        <w:t xml:space="preserve">oversees the provision of </w:t>
      </w:r>
      <w:r w:rsidRPr="002029AF" w:rsidDel="00DC30D8">
        <w:t>a</w:t>
      </w:r>
      <w:r w:rsidRPr="002029AF">
        <w:t xml:space="preserve"> </w:t>
      </w:r>
      <w:r w:rsidRPr="002029AF" w:rsidDel="00DC30D8">
        <w:t>range</w:t>
      </w:r>
      <w:r w:rsidRPr="002029AF">
        <w:t xml:space="preserve"> </w:t>
      </w:r>
      <w:r w:rsidRPr="002029AF" w:rsidDel="00DC30D8">
        <w:t>of</w:t>
      </w:r>
      <w:r w:rsidRPr="002029AF">
        <w:t xml:space="preserve"> </w:t>
      </w:r>
      <w:r w:rsidRPr="002029AF" w:rsidDel="00DC30D8">
        <w:t>functions</w:t>
      </w:r>
      <w:r>
        <w:t>,</w:t>
      </w:r>
      <w:r w:rsidRPr="002029AF">
        <w:t xml:space="preserve"> </w:t>
      </w:r>
      <w:r w:rsidRPr="002029AF" w:rsidDel="00DC30D8">
        <w:t>including</w:t>
      </w:r>
      <w:r w:rsidRPr="002029AF">
        <w:t xml:space="preserve"> </w:t>
      </w:r>
      <w:r>
        <w:t xml:space="preserve">budget and </w:t>
      </w:r>
      <w:r w:rsidRPr="002029AF" w:rsidDel="00DC30D8">
        <w:t>finance,</w:t>
      </w:r>
      <w:r w:rsidRPr="002029AF">
        <w:t xml:space="preserve"> </w:t>
      </w:r>
      <w:r>
        <w:t xml:space="preserve">performance and reporting, </w:t>
      </w:r>
      <w:r w:rsidRPr="002029AF" w:rsidDel="00DC30D8">
        <w:t>people</w:t>
      </w:r>
      <w:r w:rsidRPr="002029AF">
        <w:t xml:space="preserve"> </w:t>
      </w:r>
      <w:r w:rsidRPr="002029AF" w:rsidDel="00DC30D8">
        <w:t>and</w:t>
      </w:r>
      <w:r w:rsidRPr="002029AF">
        <w:t xml:space="preserve"> </w:t>
      </w:r>
      <w:r w:rsidRPr="002029AF" w:rsidDel="00DC30D8">
        <w:t>culture,</w:t>
      </w:r>
      <w:r w:rsidRPr="002029AF">
        <w:t xml:space="preserve"> </w:t>
      </w:r>
      <w:r w:rsidRPr="002029AF" w:rsidDel="00DC30D8">
        <w:t>information</w:t>
      </w:r>
      <w:r w:rsidRPr="002029AF">
        <w:t xml:space="preserve"> </w:t>
      </w:r>
      <w:r w:rsidRPr="002029AF" w:rsidDel="00DC30D8">
        <w:t>technology,</w:t>
      </w:r>
      <w:r w:rsidRPr="002029AF">
        <w:t xml:space="preserve"> </w:t>
      </w:r>
      <w:r w:rsidRPr="002029AF" w:rsidDel="00DC30D8">
        <w:t>procurement,</w:t>
      </w:r>
      <w:r w:rsidRPr="002029AF">
        <w:t xml:space="preserve"> </w:t>
      </w:r>
      <w:r w:rsidRPr="002029AF" w:rsidDel="00DC30D8">
        <w:t>records</w:t>
      </w:r>
      <w:r w:rsidRPr="002029AF">
        <w:t xml:space="preserve"> </w:t>
      </w:r>
      <w:r w:rsidRPr="002029AF" w:rsidDel="00DC30D8">
        <w:t>management</w:t>
      </w:r>
      <w:r>
        <w:t xml:space="preserve"> and</w:t>
      </w:r>
      <w:r w:rsidR="00CD16CF">
        <w:t> </w:t>
      </w:r>
      <w:r w:rsidRPr="002029AF" w:rsidDel="00DC30D8">
        <w:t>customer</w:t>
      </w:r>
      <w:r>
        <w:t> </w:t>
      </w:r>
      <w:r w:rsidRPr="002029AF" w:rsidDel="00DC30D8">
        <w:t>support.</w:t>
      </w:r>
    </w:p>
    <w:p w14:paraId="14A9DD5B" w14:textId="77777777" w:rsidR="00E701CA" w:rsidRPr="002029AF" w:rsidDel="00DC30D8" w:rsidRDefault="00E701CA" w:rsidP="00E701CA">
      <w:pPr>
        <w:pStyle w:val="Heading3"/>
      </w:pPr>
      <w:bookmarkStart w:id="207" w:name="_Toc85121196"/>
      <w:r w:rsidRPr="002029AF" w:rsidDel="00DC30D8">
        <w:t>Jacinda</w:t>
      </w:r>
      <w:r w:rsidRPr="002029AF">
        <w:t xml:space="preserve"> </w:t>
      </w:r>
      <w:r w:rsidRPr="002029AF" w:rsidDel="00DC30D8">
        <w:t>de</w:t>
      </w:r>
      <w:r w:rsidRPr="002029AF">
        <w:t xml:space="preserve"> </w:t>
      </w:r>
      <w:r w:rsidRPr="002029AF" w:rsidDel="00DC30D8">
        <w:t>Witts</w:t>
      </w:r>
      <w:bookmarkEnd w:id="207"/>
    </w:p>
    <w:p w14:paraId="539DA993" w14:textId="62AEB1A5" w:rsidR="00E701CA" w:rsidRPr="00CD16CF" w:rsidDel="00DC30D8" w:rsidRDefault="00E701CA" w:rsidP="00CD16CF">
      <w:pPr>
        <w:pStyle w:val="ARbody"/>
        <w:rPr>
          <w:b/>
          <w:bCs/>
          <w:lang w:eastAsia="en-AU"/>
        </w:rPr>
      </w:pPr>
      <w:bookmarkStart w:id="208" w:name="_Toc85121197"/>
      <w:r w:rsidRPr="00CD16CF" w:rsidDel="00DC30D8">
        <w:rPr>
          <w:b/>
          <w:bCs/>
          <w:lang w:eastAsia="en-AU"/>
        </w:rPr>
        <w:t>Deputy</w:t>
      </w:r>
      <w:r w:rsidRPr="00CD16CF">
        <w:rPr>
          <w:b/>
          <w:bCs/>
          <w:lang w:eastAsia="en-AU"/>
        </w:rPr>
        <w:t xml:space="preserve"> </w:t>
      </w:r>
      <w:r w:rsidRPr="00CD16CF" w:rsidDel="00DC30D8">
        <w:rPr>
          <w:b/>
          <w:bCs/>
          <w:lang w:eastAsia="en-AU"/>
        </w:rPr>
        <w:t>Secretary</w:t>
      </w:r>
      <w:r w:rsidRPr="00CD16CF">
        <w:rPr>
          <w:b/>
          <w:bCs/>
          <w:lang w:eastAsia="en-AU"/>
        </w:rPr>
        <w:t xml:space="preserve"> </w:t>
      </w:r>
      <w:r w:rsidRPr="00CD16CF" w:rsidDel="00DC30D8">
        <w:rPr>
          <w:b/>
          <w:bCs/>
          <w:lang w:eastAsia="en-AU"/>
        </w:rPr>
        <w:t>–</w:t>
      </w:r>
      <w:r w:rsidRPr="00CD16CF">
        <w:rPr>
          <w:b/>
          <w:bCs/>
          <w:lang w:eastAsia="en-AU"/>
        </w:rPr>
        <w:t xml:space="preserve"> Regulatory, </w:t>
      </w:r>
      <w:r w:rsidR="00CD16CF">
        <w:rPr>
          <w:b/>
          <w:bCs/>
          <w:lang w:eastAsia="en-AU"/>
        </w:rPr>
        <w:br/>
      </w:r>
      <w:r w:rsidRPr="00CD16CF">
        <w:rPr>
          <w:b/>
          <w:bCs/>
          <w:lang w:eastAsia="en-AU"/>
        </w:rPr>
        <w:t>Risk, Integrity and Legal</w:t>
      </w:r>
      <w:bookmarkEnd w:id="208"/>
    </w:p>
    <w:p w14:paraId="627F4B1C" w14:textId="6A2C2F16" w:rsidR="00E701CA" w:rsidRDefault="00E701CA" w:rsidP="00E701CA">
      <w:pPr>
        <w:pStyle w:val="ARbody"/>
      </w:pPr>
      <w:r w:rsidRPr="0096249C" w:rsidDel="00DC30D8">
        <w:t>Jacinda</w:t>
      </w:r>
      <w:r w:rsidRPr="0096249C">
        <w:t xml:space="preserve"> </w:t>
      </w:r>
      <w:r w:rsidRPr="0096249C" w:rsidDel="00DC30D8">
        <w:t>de</w:t>
      </w:r>
      <w:r w:rsidRPr="0096249C">
        <w:t xml:space="preserve"> </w:t>
      </w:r>
      <w:r w:rsidRPr="0096249C" w:rsidDel="00DC30D8">
        <w:t>Witts</w:t>
      </w:r>
      <w:r w:rsidRPr="0096249C">
        <w:t xml:space="preserve"> was appointed as Deputy Secretary </w:t>
      </w:r>
      <w:r w:rsidR="001E10A1">
        <w:t>in</w:t>
      </w:r>
      <w:r w:rsidRPr="0096249C">
        <w:t xml:space="preserve"> </w:t>
      </w:r>
      <w:r w:rsidRPr="00B458CA">
        <w:t>January 2019.</w:t>
      </w:r>
      <w:r w:rsidRPr="0096249C">
        <w:t xml:space="preserve"> </w:t>
      </w:r>
      <w:r>
        <w:t xml:space="preserve">As </w:t>
      </w:r>
      <w:r w:rsidRPr="0096249C">
        <w:t xml:space="preserve">Deputy Secretary </w:t>
      </w:r>
      <w:r w:rsidRPr="002029AF">
        <w:t>–</w:t>
      </w:r>
      <w:r>
        <w:t xml:space="preserve"> </w:t>
      </w:r>
      <w:r w:rsidRPr="0096249C">
        <w:t>Regulatory, Risk, Integrity and Legal</w:t>
      </w:r>
      <w:r>
        <w:t>,</w:t>
      </w:r>
      <w:r w:rsidRPr="0096249C">
        <w:t xml:space="preserve"> </w:t>
      </w:r>
      <w:r>
        <w:t>Jacinda oversees the department’s</w:t>
      </w:r>
      <w:r w:rsidRPr="0096249C">
        <w:t xml:space="preserve"> health regulatory </w:t>
      </w:r>
      <w:r>
        <w:t xml:space="preserve">reform and </w:t>
      </w:r>
      <w:r w:rsidRPr="0096249C">
        <w:t>compliance</w:t>
      </w:r>
      <w:r>
        <w:t xml:space="preserve"> work</w:t>
      </w:r>
      <w:r w:rsidRPr="0096249C">
        <w:t>, safeguard</w:t>
      </w:r>
      <w:r>
        <w:t>s</w:t>
      </w:r>
      <w:r w:rsidRPr="0096249C">
        <w:t xml:space="preserve"> organisational integrity and </w:t>
      </w:r>
      <w:r>
        <w:t>provides risk and legal advisory services to the department.</w:t>
      </w:r>
    </w:p>
    <w:p w14:paraId="487161CA" w14:textId="77777777" w:rsidR="00E701CA" w:rsidRPr="008D1D5F" w:rsidRDefault="00E701CA" w:rsidP="00E701CA">
      <w:pPr>
        <w:pStyle w:val="ARbody"/>
      </w:pPr>
      <w:r w:rsidRPr="0096249C">
        <w:t>Jacinda is also the department</w:t>
      </w:r>
      <w:r>
        <w:t>’</w:t>
      </w:r>
      <w:r w:rsidRPr="0096249C">
        <w:t>s General Counsel.</w:t>
      </w:r>
    </w:p>
    <w:p w14:paraId="550467FD" w14:textId="2246E7A4" w:rsidR="00E701CA" w:rsidRPr="002029AF" w:rsidDel="00DC30D8" w:rsidRDefault="00E701CA" w:rsidP="00BA1B22">
      <w:pPr>
        <w:pStyle w:val="Heading3"/>
      </w:pPr>
      <w:r>
        <w:br w:type="column"/>
        <w:t>Professor Michael Roberts</w:t>
      </w:r>
    </w:p>
    <w:p w14:paraId="2516484D" w14:textId="67D1EC72" w:rsidR="00E701CA" w:rsidRPr="00CD16CF" w:rsidDel="00DC30D8" w:rsidRDefault="00E701CA" w:rsidP="00CD16CF">
      <w:pPr>
        <w:pStyle w:val="ARbody"/>
        <w:rPr>
          <w:b/>
          <w:bCs/>
        </w:rPr>
      </w:pPr>
      <w:bookmarkStart w:id="209" w:name="_Toc85121203"/>
      <w:r w:rsidRPr="00CD16CF" w:rsidDel="00DC30D8">
        <w:rPr>
          <w:b/>
          <w:bCs/>
        </w:rPr>
        <w:t>Chief</w:t>
      </w:r>
      <w:r w:rsidRPr="00CD16CF">
        <w:rPr>
          <w:b/>
          <w:bCs/>
        </w:rPr>
        <w:t xml:space="preserve"> </w:t>
      </w:r>
      <w:r w:rsidRPr="00CD16CF" w:rsidDel="00DC30D8">
        <w:rPr>
          <w:b/>
          <w:bCs/>
        </w:rPr>
        <w:t>Executive</w:t>
      </w:r>
      <w:r w:rsidRPr="00CD16CF">
        <w:rPr>
          <w:b/>
          <w:bCs/>
        </w:rPr>
        <w:t xml:space="preserve"> </w:t>
      </w:r>
      <w:r w:rsidRPr="00CD16CF" w:rsidDel="00DC30D8">
        <w:rPr>
          <w:b/>
          <w:bCs/>
        </w:rPr>
        <w:t>Officer</w:t>
      </w:r>
      <w:r w:rsidRPr="00CD16CF">
        <w:rPr>
          <w:b/>
          <w:bCs/>
        </w:rPr>
        <w:t xml:space="preserve"> </w:t>
      </w:r>
      <w:r w:rsidRPr="00CD16CF" w:rsidDel="00DC30D8">
        <w:rPr>
          <w:b/>
          <w:bCs/>
        </w:rPr>
        <w:t>–</w:t>
      </w:r>
      <w:r w:rsidRPr="00CD16CF">
        <w:rPr>
          <w:b/>
          <w:bCs/>
        </w:rPr>
        <w:t xml:space="preserve"> </w:t>
      </w:r>
      <w:r w:rsidRPr="00CD16CF" w:rsidDel="00DC30D8">
        <w:rPr>
          <w:b/>
          <w:bCs/>
        </w:rPr>
        <w:t>Safer</w:t>
      </w:r>
      <w:r w:rsidR="00CD16CF">
        <w:rPr>
          <w:b/>
          <w:bCs/>
        </w:rPr>
        <w:t xml:space="preserve"> </w:t>
      </w:r>
      <w:r w:rsidRPr="00CD16CF" w:rsidDel="00DC30D8">
        <w:rPr>
          <w:b/>
          <w:bCs/>
        </w:rPr>
        <w:t>Care</w:t>
      </w:r>
      <w:r w:rsidR="00CD16CF">
        <w:rPr>
          <w:b/>
          <w:bCs/>
        </w:rPr>
        <w:t xml:space="preserve"> </w:t>
      </w:r>
      <w:r w:rsidRPr="00CD16CF" w:rsidDel="00DC30D8">
        <w:rPr>
          <w:b/>
          <w:bCs/>
        </w:rPr>
        <w:t>Victoria</w:t>
      </w:r>
      <w:bookmarkEnd w:id="209"/>
    </w:p>
    <w:p w14:paraId="72A055BD" w14:textId="401A83A5" w:rsidR="007703B5" w:rsidRDefault="00F47BED" w:rsidP="00BD0D90">
      <w:pPr>
        <w:pStyle w:val="ARbody"/>
      </w:pPr>
      <w:bookmarkStart w:id="210" w:name="_Ref525048930"/>
      <w:r>
        <w:t xml:space="preserve">Mike Roberts </w:t>
      </w:r>
      <w:r w:rsidRPr="002029AF">
        <w:t xml:space="preserve">was appointed as Chief Executive Officer – Safer Care Victoria in </w:t>
      </w:r>
      <w:r>
        <w:t>August 2021</w:t>
      </w:r>
      <w:r w:rsidRPr="002029AF">
        <w:t xml:space="preserve">. </w:t>
      </w:r>
      <w:r w:rsidRPr="008B3D87">
        <w:t>Safer</w:t>
      </w:r>
      <w:r w:rsidR="00CD16CF">
        <w:t> </w:t>
      </w:r>
      <w:r w:rsidRPr="008B3D87">
        <w:t xml:space="preserve">Care Victoria </w:t>
      </w:r>
      <w:r>
        <w:t>is an administrative office of the</w:t>
      </w:r>
      <w:r w:rsidR="00CD16CF">
        <w:t> </w:t>
      </w:r>
      <w:r>
        <w:t>department. Mike leads the office in its role as</w:t>
      </w:r>
      <w:r w:rsidR="00CD16CF">
        <w:t> </w:t>
      </w:r>
      <w:r>
        <w:t>the</w:t>
      </w:r>
      <w:r w:rsidRPr="00595EB7">
        <w:t xml:space="preserve"> state</w:t>
      </w:r>
      <w:r>
        <w:t>’</w:t>
      </w:r>
      <w:r w:rsidRPr="00595EB7">
        <w:t xml:space="preserve">s </w:t>
      </w:r>
      <w:r>
        <w:t xml:space="preserve">lead </w:t>
      </w:r>
      <w:r w:rsidRPr="00595EB7">
        <w:t>healthcare quality and safety</w:t>
      </w:r>
      <w:r>
        <w:t xml:space="preserve"> improvement agency</w:t>
      </w:r>
      <w:r w:rsidRPr="008B3D87">
        <w:t>.</w:t>
      </w:r>
    </w:p>
    <w:p w14:paraId="59CE0E57" w14:textId="77777777" w:rsidR="00E701CA" w:rsidRPr="002029AF" w:rsidDel="00DC30D8" w:rsidRDefault="00E701CA" w:rsidP="00E701CA">
      <w:pPr>
        <w:pStyle w:val="Heading3"/>
      </w:pPr>
      <w:bookmarkStart w:id="211" w:name="_Ref21861577"/>
      <w:bookmarkStart w:id="212" w:name="_Toc85121204"/>
      <w:r w:rsidRPr="002029AF" w:rsidDel="00DC30D8">
        <w:t>Dr</w:t>
      </w:r>
      <w:r w:rsidRPr="002029AF">
        <w:t xml:space="preserve"> </w:t>
      </w:r>
      <w:r w:rsidRPr="002029AF" w:rsidDel="00DC30D8">
        <w:t>Lance</w:t>
      </w:r>
      <w:r w:rsidRPr="002029AF">
        <w:t xml:space="preserve"> </w:t>
      </w:r>
      <w:r w:rsidRPr="002029AF" w:rsidDel="00DC30D8">
        <w:t>Emerson</w:t>
      </w:r>
      <w:bookmarkEnd w:id="210"/>
      <w:bookmarkEnd w:id="211"/>
      <w:bookmarkEnd w:id="212"/>
    </w:p>
    <w:p w14:paraId="5108FA7E" w14:textId="317B9CF4" w:rsidR="00E701CA" w:rsidRPr="00CD16CF" w:rsidDel="00DC30D8" w:rsidRDefault="00E701CA" w:rsidP="00CD16CF">
      <w:pPr>
        <w:pStyle w:val="ARbody"/>
        <w:rPr>
          <w:b/>
          <w:bCs/>
        </w:rPr>
      </w:pPr>
      <w:bookmarkStart w:id="213" w:name="_Toc85121205"/>
      <w:r w:rsidRPr="00CD16CF" w:rsidDel="00DC30D8">
        <w:rPr>
          <w:b/>
          <w:bCs/>
        </w:rPr>
        <w:t>Chief</w:t>
      </w:r>
      <w:r w:rsidRPr="00CD16CF">
        <w:rPr>
          <w:b/>
          <w:bCs/>
        </w:rPr>
        <w:t xml:space="preserve"> </w:t>
      </w:r>
      <w:r w:rsidRPr="00CD16CF" w:rsidDel="00DC30D8">
        <w:rPr>
          <w:b/>
          <w:bCs/>
        </w:rPr>
        <w:t>Executive</w:t>
      </w:r>
      <w:r w:rsidRPr="00CD16CF">
        <w:rPr>
          <w:b/>
          <w:bCs/>
        </w:rPr>
        <w:t xml:space="preserve"> </w:t>
      </w:r>
      <w:r w:rsidRPr="00CD16CF" w:rsidDel="00DC30D8">
        <w:rPr>
          <w:b/>
          <w:bCs/>
        </w:rPr>
        <w:t>Officer</w:t>
      </w:r>
      <w:r w:rsidRPr="00CD16CF">
        <w:rPr>
          <w:b/>
          <w:bCs/>
        </w:rPr>
        <w:t xml:space="preserve"> </w:t>
      </w:r>
      <w:r w:rsidRPr="00CD16CF" w:rsidDel="00DC30D8">
        <w:rPr>
          <w:b/>
          <w:bCs/>
        </w:rPr>
        <w:t>–</w:t>
      </w:r>
      <w:r w:rsidRPr="00CD16CF">
        <w:rPr>
          <w:b/>
          <w:bCs/>
        </w:rPr>
        <w:t xml:space="preserve"> </w:t>
      </w:r>
      <w:r w:rsidRPr="00CD16CF" w:rsidDel="00DC30D8">
        <w:rPr>
          <w:b/>
          <w:bCs/>
        </w:rPr>
        <w:t>Victorian</w:t>
      </w:r>
      <w:r w:rsidRPr="00CD16CF">
        <w:rPr>
          <w:b/>
          <w:bCs/>
        </w:rPr>
        <w:t xml:space="preserve"> </w:t>
      </w:r>
      <w:r w:rsidRPr="00CD16CF" w:rsidDel="00DC30D8">
        <w:rPr>
          <w:b/>
          <w:bCs/>
        </w:rPr>
        <w:t>Agency</w:t>
      </w:r>
      <w:r w:rsidRPr="00CD16CF">
        <w:rPr>
          <w:b/>
          <w:bCs/>
        </w:rPr>
        <w:t xml:space="preserve"> </w:t>
      </w:r>
      <w:r w:rsidRPr="00CD16CF" w:rsidDel="00DC30D8">
        <w:rPr>
          <w:b/>
          <w:bCs/>
        </w:rPr>
        <w:t>for</w:t>
      </w:r>
      <w:r w:rsidR="00CD16CF">
        <w:rPr>
          <w:b/>
          <w:bCs/>
        </w:rPr>
        <w:t> </w:t>
      </w:r>
      <w:r w:rsidRPr="00CD16CF" w:rsidDel="00DC30D8">
        <w:rPr>
          <w:b/>
          <w:bCs/>
        </w:rPr>
        <w:t>Health</w:t>
      </w:r>
      <w:r w:rsidRPr="00CD16CF">
        <w:rPr>
          <w:b/>
          <w:bCs/>
        </w:rPr>
        <w:t xml:space="preserve"> </w:t>
      </w:r>
      <w:r w:rsidRPr="00CD16CF" w:rsidDel="00DC30D8">
        <w:rPr>
          <w:b/>
          <w:bCs/>
        </w:rPr>
        <w:t>Information</w:t>
      </w:r>
      <w:bookmarkEnd w:id="213"/>
    </w:p>
    <w:bookmarkEnd w:id="192"/>
    <w:p w14:paraId="607E9A46" w14:textId="74B2BFF8" w:rsidR="00E701CA" w:rsidRDefault="007F618E" w:rsidP="00E701CA">
      <w:pPr>
        <w:pStyle w:val="ARbody"/>
      </w:pPr>
      <w:r w:rsidRPr="002029AF">
        <w:t xml:space="preserve">Lance </w:t>
      </w:r>
      <w:r w:rsidRPr="002029AF" w:rsidDel="00DC30D8">
        <w:t>Emerson</w:t>
      </w:r>
      <w:r w:rsidRPr="002029AF">
        <w:t xml:space="preserve"> was appointed as Chief Executive Officer – Victorian Agency for Health Information in January 2018. </w:t>
      </w:r>
      <w:r>
        <w:t xml:space="preserve">At establishment in 2017 the agency was as administrative office, like Safer Care Victoria. In 2021 the agency became part of the department, aligned with the Reform and Planning division. </w:t>
      </w:r>
      <w:r w:rsidRPr="002029AF">
        <w:t>Lance leads the agency</w:t>
      </w:r>
      <w:r w:rsidRPr="00DC5908">
        <w:t xml:space="preserve"> </w:t>
      </w:r>
      <w:r w:rsidRPr="00595EB7">
        <w:t>in its role of providing</w:t>
      </w:r>
      <w:r w:rsidRPr="003419B4">
        <w:t xml:space="preserve"> </w:t>
      </w:r>
      <w:r w:rsidRPr="00595EB7">
        <w:t xml:space="preserve">accurate and comprehensive performance </w:t>
      </w:r>
      <w:r w:rsidRPr="003419B4">
        <w:t>information</w:t>
      </w:r>
      <w:r w:rsidRPr="00595EB7">
        <w:t xml:space="preserve"> on Victorian health services</w:t>
      </w:r>
      <w:r>
        <w:t>, both to the department and government and also to the sector – health services, clinicians and consumers</w:t>
      </w:r>
      <w:r w:rsidRPr="003419B4">
        <w:t>.</w:t>
      </w:r>
    </w:p>
    <w:p w14:paraId="73F15BD9" w14:textId="77777777" w:rsidR="00E701CA" w:rsidRDefault="00E701CA" w:rsidP="00E701CA">
      <w:pPr>
        <w:pStyle w:val="ARbody"/>
      </w:pPr>
    </w:p>
    <w:p w14:paraId="0D5D8DAB" w14:textId="77777777" w:rsidR="00E701CA" w:rsidRDefault="00E701CA" w:rsidP="00E701CA">
      <w:pPr>
        <w:pStyle w:val="ARbody"/>
        <w:sectPr w:rsidR="00E701CA" w:rsidSect="00317057">
          <w:footnotePr>
            <w:numFmt w:val="lowerLetter"/>
            <w:numRestart w:val="eachPage"/>
          </w:footnotePr>
          <w:endnotePr>
            <w:numFmt w:val="decimal"/>
          </w:endnotePr>
          <w:type w:val="continuous"/>
          <w:pgSz w:w="11906" w:h="16838" w:code="9"/>
          <w:pgMar w:top="1985" w:right="1134" w:bottom="851" w:left="1134" w:header="510" w:footer="340" w:gutter="0"/>
          <w:cols w:num="2" w:space="454"/>
          <w:docGrid w:linePitch="360"/>
          <w15:footnoteColumns w:val="1"/>
        </w:sectPr>
      </w:pPr>
    </w:p>
    <w:p w14:paraId="59109A15" w14:textId="3424552B" w:rsidR="00E701CA" w:rsidRPr="00D5726E" w:rsidRDefault="00E701CA" w:rsidP="00E701CA">
      <w:pPr>
        <w:pStyle w:val="Heading2"/>
        <w:spacing w:before="0"/>
      </w:pPr>
      <w:bookmarkStart w:id="214" w:name="_Ref52199172"/>
      <w:bookmarkStart w:id="215" w:name="_Toc85121206"/>
      <w:bookmarkStart w:id="216" w:name="_Toc85121606"/>
      <w:bookmarkStart w:id="217" w:name="_Ref85202291"/>
      <w:bookmarkStart w:id="218" w:name="_Toc102734483"/>
      <w:bookmarkStart w:id="219" w:name="_Ref112852177"/>
      <w:bookmarkStart w:id="220" w:name="_Toc113702919"/>
      <w:bookmarkStart w:id="221" w:name="_Ref21960252"/>
      <w:bookmarkStart w:id="222" w:name="_Toc463776201"/>
      <w:bookmarkStart w:id="223" w:name="_Ref492915457"/>
      <w:r w:rsidRPr="00C22A8B">
        <w:t xml:space="preserve">Organisational </w:t>
      </w:r>
      <w:bookmarkEnd w:id="214"/>
      <w:r w:rsidRPr="00C22A8B">
        <w:t>chart</w:t>
      </w:r>
      <w:bookmarkEnd w:id="215"/>
      <w:bookmarkEnd w:id="216"/>
      <w:bookmarkEnd w:id="217"/>
      <w:bookmarkEnd w:id="218"/>
      <w:bookmarkEnd w:id="219"/>
      <w:bookmarkEnd w:id="220"/>
    </w:p>
    <w:p w14:paraId="6CF403F9" w14:textId="77777777" w:rsidR="00E701CA" w:rsidRPr="008368A3" w:rsidRDefault="00E701CA" w:rsidP="00E701CA">
      <w:pPr>
        <w:pStyle w:val="ARbody"/>
        <w:spacing w:after="320"/>
        <w:rPr>
          <w:b/>
          <w:bCs/>
        </w:rPr>
      </w:pPr>
      <w:r w:rsidRPr="00C22A8B">
        <w:rPr>
          <w:b/>
          <w:bCs/>
        </w:rPr>
        <w:t>As at 30 June 2022</w:t>
      </w:r>
    </w:p>
    <w:p w14:paraId="68495A52" w14:textId="0873D21D" w:rsidR="00E701CA" w:rsidRDefault="007A5C25" w:rsidP="00E701CA">
      <w:pPr>
        <w:pStyle w:val="ARbody"/>
        <w:jc w:val="center"/>
      </w:pPr>
      <w:r>
        <w:rPr>
          <w:noProof/>
        </w:rPr>
        <w:drawing>
          <wp:inline distT="0" distB="0" distL="0" distR="0" wp14:anchorId="11347AE7" wp14:editId="101D7FF0">
            <wp:extent cx="8863878" cy="4243848"/>
            <wp:effectExtent l="0" t="0" r="0" b="4445"/>
            <wp:docPr id="1" name="Picture 1" descr="Organisation structure. To receive the organisation structure as at 30 June 2022 in accessible format, please email corporate reporting &lt;corporate.reporting@health.vic.gov.au&gt;. To see the  department’s current structure, visit About DH &lt;https://www.vic.gov.au/health/about-u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rganisation structure. To receive the organisation structure as at 30 June 2022 in accessible format, please email corporate reporting &lt;corporate.reporting@health.vic.gov.au&gt;. To see the  department’s current structure, visit About DH &lt;https://www.vic.gov.au/health/about-us&g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92143" cy="4257381"/>
                    </a:xfrm>
                    <a:prstGeom prst="rect">
                      <a:avLst/>
                    </a:prstGeom>
                    <a:noFill/>
                    <a:ln>
                      <a:noFill/>
                    </a:ln>
                  </pic:spPr>
                </pic:pic>
              </a:graphicData>
            </a:graphic>
          </wp:inline>
        </w:drawing>
      </w:r>
    </w:p>
    <w:p w14:paraId="611AE729" w14:textId="77777777" w:rsidR="00E701CA" w:rsidRDefault="00E701CA" w:rsidP="00E701CA">
      <w:pPr>
        <w:pStyle w:val="ARbody"/>
      </w:pPr>
    </w:p>
    <w:p w14:paraId="6022F4E5" w14:textId="77777777" w:rsidR="00E701CA" w:rsidRDefault="00E701CA" w:rsidP="00E701CA">
      <w:pPr>
        <w:pStyle w:val="ARbody"/>
        <w:sectPr w:rsidR="00E701CA" w:rsidSect="00317057">
          <w:headerReference w:type="first" r:id="rId52"/>
          <w:footerReference w:type="first" r:id="rId53"/>
          <w:footnotePr>
            <w:numFmt w:val="lowerLetter"/>
            <w:numRestart w:val="eachPage"/>
          </w:footnotePr>
          <w:endnotePr>
            <w:numFmt w:val="decimal"/>
          </w:endnotePr>
          <w:pgSz w:w="16838" w:h="11906" w:orient="landscape" w:code="9"/>
          <w:pgMar w:top="1134" w:right="1985" w:bottom="1134" w:left="851" w:header="510" w:footer="340" w:gutter="0"/>
          <w:cols w:space="454"/>
          <w:docGrid w:linePitch="360"/>
          <w15:footnoteColumns w:val="1"/>
        </w:sectPr>
      </w:pPr>
    </w:p>
    <w:p w14:paraId="3819EFB3" w14:textId="77777777" w:rsidR="00E701CA" w:rsidRDefault="00E701CA" w:rsidP="00BA1B22">
      <w:pPr>
        <w:pStyle w:val="Heading2"/>
        <w:spacing w:before="0"/>
      </w:pPr>
      <w:bookmarkStart w:id="224" w:name="_Toc85121207"/>
      <w:bookmarkStart w:id="225" w:name="_Toc85121607"/>
      <w:bookmarkStart w:id="226" w:name="_Toc102734484"/>
      <w:bookmarkStart w:id="227" w:name="_Toc113702920"/>
      <w:bookmarkEnd w:id="221"/>
      <w:bookmarkEnd w:id="222"/>
      <w:bookmarkEnd w:id="223"/>
      <w:r w:rsidRPr="002029AF">
        <w:t xml:space="preserve">Committee </w:t>
      </w:r>
      <w:r>
        <w:t>s</w:t>
      </w:r>
      <w:r w:rsidRPr="002029AF">
        <w:t>tructure</w:t>
      </w:r>
      <w:bookmarkEnd w:id="224"/>
      <w:bookmarkEnd w:id="225"/>
      <w:bookmarkEnd w:id="226"/>
      <w:bookmarkEnd w:id="227"/>
    </w:p>
    <w:p w14:paraId="560D7F31" w14:textId="77777777" w:rsidR="00E701CA" w:rsidRDefault="00E701CA" w:rsidP="00E701CA">
      <w:pPr>
        <w:pStyle w:val="Heading3"/>
        <w:spacing w:before="240"/>
      </w:pPr>
      <w:bookmarkStart w:id="228" w:name="_Toc85121209"/>
      <w:r>
        <w:t>Executive Board</w:t>
      </w:r>
      <w:bookmarkEnd w:id="228"/>
    </w:p>
    <w:p w14:paraId="5ED55A7C" w14:textId="76071186" w:rsidR="00E701CA" w:rsidRDefault="00E701CA" w:rsidP="00E701CA">
      <w:pPr>
        <w:pStyle w:val="ARbody"/>
        <w:rPr>
          <w:lang w:eastAsia="en-AU"/>
        </w:rPr>
      </w:pPr>
      <w:r>
        <w:rPr>
          <w:lang w:eastAsia="en-AU"/>
        </w:rPr>
        <w:t>The Executive Board assists the Secretary with strategic leadership to meet the department’s objectives (including vision, purpose and direction setting); improve performance and outcomes; and implement complex reform priorities.</w:t>
      </w:r>
    </w:p>
    <w:p w14:paraId="39FD1F2A" w14:textId="72807E9F" w:rsidR="00E701CA" w:rsidRDefault="00E701CA" w:rsidP="00E701CA">
      <w:pPr>
        <w:pStyle w:val="ARbody"/>
        <w:rPr>
          <w:lang w:eastAsia="en-AU"/>
        </w:rPr>
      </w:pPr>
      <w:r>
        <w:rPr>
          <w:lang w:eastAsia="en-AU"/>
        </w:rPr>
        <w:t xml:space="preserve">The Executive Board </w:t>
      </w:r>
      <w:r w:rsidRPr="002029AF">
        <w:t xml:space="preserve">operates </w:t>
      </w:r>
      <w:r>
        <w:t>under terms of reference</w:t>
      </w:r>
      <w:r w:rsidRPr="002029AF">
        <w:t xml:space="preserve"> and </w:t>
      </w:r>
      <w:r>
        <w:rPr>
          <w:lang w:eastAsia="en-AU"/>
        </w:rPr>
        <w:t>comprises the Secretary, Deputy Secretaries and Chief Executive Officers of Safer Care Victoria and the Victorian Agency for Health Information. Additional attendees to support Executive Board discussions include the Chief Communications Officer and the Chief Aboriginal Health Adviser.</w:t>
      </w:r>
    </w:p>
    <w:p w14:paraId="3EA1591D" w14:textId="64FF0C61" w:rsidR="00E701CA" w:rsidRDefault="000F7B44" w:rsidP="00E701CA">
      <w:pPr>
        <w:pStyle w:val="ARbodyafterbullets"/>
      </w:pPr>
      <w:r>
        <w:t>Several policy and operational</w:t>
      </w:r>
      <w:r w:rsidRPr="002029AF">
        <w:t xml:space="preserve"> subcommittees</w:t>
      </w:r>
      <w:r>
        <w:t xml:space="preserve"> </w:t>
      </w:r>
      <w:r w:rsidRPr="002029AF">
        <w:t>report to the Executive Board</w:t>
      </w:r>
      <w:r w:rsidR="00E701CA" w:rsidRPr="002029AF">
        <w:t>:</w:t>
      </w:r>
    </w:p>
    <w:p w14:paraId="4EE4729E" w14:textId="2B5BEE1C" w:rsidR="00E701CA" w:rsidRDefault="00E701CA" w:rsidP="00E701CA">
      <w:pPr>
        <w:pStyle w:val="ARbullet1"/>
      </w:pPr>
      <w:r>
        <w:t>Data Governance and Information Technology</w:t>
      </w:r>
      <w:r w:rsidR="00F0313F">
        <w:t> </w:t>
      </w:r>
      <w:r w:rsidR="002F5C5B">
        <w:t>Subcommittee</w:t>
      </w:r>
    </w:p>
    <w:p w14:paraId="2D0E035F" w14:textId="73C39FA1" w:rsidR="00E701CA" w:rsidRDefault="00E701CA" w:rsidP="00E701CA">
      <w:pPr>
        <w:pStyle w:val="ARbullet1"/>
      </w:pPr>
      <w:r>
        <w:t>Health System Reform</w:t>
      </w:r>
      <w:r w:rsidR="002F5C5B">
        <w:t xml:space="preserve"> Subcommittee</w:t>
      </w:r>
    </w:p>
    <w:p w14:paraId="0DA4238A" w14:textId="77777777" w:rsidR="00E701CA" w:rsidRPr="009D6195" w:rsidRDefault="00E701CA" w:rsidP="00E701CA">
      <w:pPr>
        <w:pStyle w:val="ARbullet1"/>
      </w:pPr>
      <w:r>
        <w:t>Infrastructure and Planning Subcommittee</w:t>
      </w:r>
    </w:p>
    <w:p w14:paraId="6CF4184E" w14:textId="77777777" w:rsidR="00E701CA" w:rsidRPr="009D6195" w:rsidRDefault="00E701CA" w:rsidP="00E701CA">
      <w:pPr>
        <w:pStyle w:val="ARbullet1"/>
      </w:pPr>
      <w:r>
        <w:t>Investment and Finance Subcommittee</w:t>
      </w:r>
    </w:p>
    <w:p w14:paraId="6B556ADC" w14:textId="77777777" w:rsidR="00E701CA" w:rsidRDefault="00E701CA" w:rsidP="00E701CA">
      <w:pPr>
        <w:pStyle w:val="ARbullet1"/>
      </w:pPr>
      <w:r>
        <w:t>People, Culture and Safety Subcommittee</w:t>
      </w:r>
    </w:p>
    <w:p w14:paraId="08D4A49E" w14:textId="5226DB2F" w:rsidR="002218F4" w:rsidRDefault="002218F4" w:rsidP="00E701CA">
      <w:pPr>
        <w:pStyle w:val="ARbullet1"/>
      </w:pPr>
      <w:r>
        <w:t>Quality, Safety and Performance Subcommittee</w:t>
      </w:r>
      <w:r w:rsidR="007A0311">
        <w:t>.</w:t>
      </w:r>
    </w:p>
    <w:p w14:paraId="0D0F803D" w14:textId="77777777" w:rsidR="00E701CA" w:rsidRPr="002029AF" w:rsidRDefault="00E701CA" w:rsidP="00E701CA">
      <w:pPr>
        <w:pStyle w:val="Heading3"/>
      </w:pPr>
      <w:bookmarkStart w:id="229" w:name="_Ref52274716"/>
      <w:bookmarkStart w:id="230" w:name="_Toc85121210"/>
      <w:r w:rsidRPr="002029AF">
        <w:t>Stand-</w:t>
      </w:r>
      <w:r>
        <w:t>a</w:t>
      </w:r>
      <w:r w:rsidRPr="002029AF">
        <w:t xml:space="preserve">lone </w:t>
      </w:r>
      <w:r>
        <w:t>l</w:t>
      </w:r>
      <w:r w:rsidRPr="002029AF">
        <w:t xml:space="preserve">egislative </w:t>
      </w:r>
      <w:r>
        <w:t>c</w:t>
      </w:r>
      <w:r w:rsidRPr="002029AF">
        <w:t>ommittees</w:t>
      </w:r>
      <w:bookmarkEnd w:id="229"/>
      <w:bookmarkEnd w:id="230"/>
    </w:p>
    <w:p w14:paraId="26B74C19" w14:textId="77777777" w:rsidR="00E701CA" w:rsidRDefault="00E701CA" w:rsidP="00E701CA">
      <w:pPr>
        <w:pStyle w:val="ARbody"/>
        <w:rPr>
          <w:lang w:eastAsia="en-AU"/>
        </w:rPr>
      </w:pPr>
      <w:r w:rsidRPr="002029AF">
        <w:rPr>
          <w:lang w:eastAsia="en-AU"/>
        </w:rPr>
        <w:t>Three stand-alone committees support statutory assurance responsibilities and may include independent or non-executive members who provide expertise and advice</w:t>
      </w:r>
      <w:r>
        <w:rPr>
          <w:lang w:eastAsia="en-AU"/>
        </w:rPr>
        <w:t>.</w:t>
      </w:r>
    </w:p>
    <w:p w14:paraId="60EF2DCD" w14:textId="77777777" w:rsidR="00E701CA" w:rsidRPr="002029AF" w:rsidRDefault="00E701CA" w:rsidP="00E701CA">
      <w:pPr>
        <w:pStyle w:val="Heading4"/>
      </w:pPr>
      <w:bookmarkStart w:id="231" w:name="_Toc85121212"/>
      <w:r w:rsidRPr="002029AF">
        <w:t>Executive Remuneration Committee</w:t>
      </w:r>
      <w:bookmarkEnd w:id="231"/>
    </w:p>
    <w:p w14:paraId="52BCFFB1" w14:textId="77777777" w:rsidR="00E701CA" w:rsidRPr="002029AF" w:rsidRDefault="00E701CA" w:rsidP="00E701CA">
      <w:pPr>
        <w:pStyle w:val="ARbody"/>
      </w:pPr>
      <w:r>
        <w:t>The Executive Remuneration Committee e</w:t>
      </w:r>
      <w:r w:rsidRPr="002029AF">
        <w:t>nsures a consistent and rigorous approach is</w:t>
      </w:r>
      <w:r>
        <w:t> </w:t>
      </w:r>
      <w:r w:rsidRPr="002029AF">
        <w:t>taken to setting and adjusting executive remuneration.</w:t>
      </w:r>
    </w:p>
    <w:p w14:paraId="37AA0A8F" w14:textId="77777777" w:rsidR="00E701CA" w:rsidRPr="002029AF" w:rsidRDefault="00E701CA" w:rsidP="00E701CA">
      <w:pPr>
        <w:pStyle w:val="Heading4"/>
      </w:pPr>
      <w:bookmarkStart w:id="232" w:name="_Toc85121213"/>
      <w:r w:rsidRPr="002029AF">
        <w:t>Health and Safety Consultation Committee</w:t>
      </w:r>
      <w:bookmarkEnd w:id="232"/>
    </w:p>
    <w:p w14:paraId="7E499908" w14:textId="77777777" w:rsidR="00BA1B22" w:rsidRDefault="00E701CA" w:rsidP="00E701CA">
      <w:pPr>
        <w:pStyle w:val="ARbody"/>
      </w:pPr>
      <w:r>
        <w:t>The Health and Safety Consultation Committee provides a department-wide forum for consultation with key stakeholders on priority departmental health and safety matters.</w:t>
      </w:r>
    </w:p>
    <w:p w14:paraId="3FB98B51" w14:textId="6880C9D4" w:rsidR="00E701CA" w:rsidRPr="00492050" w:rsidRDefault="00E701CA" w:rsidP="00BA1B22">
      <w:pPr>
        <w:pStyle w:val="Heading4"/>
      </w:pPr>
      <w:r>
        <w:br w:type="column"/>
      </w:r>
      <w:bookmarkStart w:id="233" w:name="_Toc85121211"/>
      <w:bookmarkStart w:id="234" w:name="_Ref85204074"/>
      <w:bookmarkStart w:id="235" w:name="_Ref112854010"/>
      <w:r w:rsidRPr="00F03CE3">
        <w:t>Audit and Risk Management Committee</w:t>
      </w:r>
      <w:bookmarkEnd w:id="233"/>
      <w:bookmarkEnd w:id="234"/>
      <w:bookmarkEnd w:id="235"/>
    </w:p>
    <w:p w14:paraId="4C226F60" w14:textId="77777777" w:rsidR="00E701CA" w:rsidRPr="00492050" w:rsidRDefault="00E701CA" w:rsidP="00E701CA">
      <w:pPr>
        <w:pStyle w:val="ARbody"/>
      </w:pPr>
      <w:r w:rsidRPr="00492050">
        <w:t>The Audit and Risk Management Committee is</w:t>
      </w:r>
      <w:r>
        <w:t xml:space="preserve"> </w:t>
      </w:r>
      <w:r w:rsidRPr="00492050">
        <w:t xml:space="preserve">an independent committee established in accordance with the </w:t>
      </w:r>
      <w:r w:rsidRPr="00492050">
        <w:rPr>
          <w:i/>
        </w:rPr>
        <w:t>Financial Management Act 1994</w:t>
      </w:r>
      <w:r w:rsidRPr="00492050">
        <w:t xml:space="preserve"> and the Standing Directions of the Minister for Finance.</w:t>
      </w:r>
    </w:p>
    <w:p w14:paraId="129A81B5" w14:textId="67AD79E1" w:rsidR="003D5E1A" w:rsidRDefault="002411FB" w:rsidP="00E701CA">
      <w:pPr>
        <w:pStyle w:val="ARbody"/>
      </w:pPr>
      <w:r>
        <w:t>U</w:t>
      </w:r>
      <w:r w:rsidR="00E701CA" w:rsidRPr="00492050">
        <w:t xml:space="preserve">nder </w:t>
      </w:r>
      <w:r>
        <w:t>its</w:t>
      </w:r>
      <w:r w:rsidRPr="00492050">
        <w:t xml:space="preserve"> </w:t>
      </w:r>
      <w:r w:rsidR="00E701CA" w:rsidRPr="00492050">
        <w:t>approved charter</w:t>
      </w:r>
      <w:r>
        <w:t>, the committee must</w:t>
      </w:r>
      <w:r w:rsidR="00CD16CF">
        <w:t> </w:t>
      </w:r>
      <w:r>
        <w:t xml:space="preserve">include </w:t>
      </w:r>
      <w:r w:rsidR="00E701CA" w:rsidRPr="00492050">
        <w:t>independent members with no departmental responsibility</w:t>
      </w:r>
      <w:r w:rsidR="00E701CA">
        <w:t>. At 30 June 2022, these</w:t>
      </w:r>
      <w:r w:rsidR="00EE674B">
        <w:t> </w:t>
      </w:r>
      <w:r w:rsidR="00E701CA">
        <w:t>independent members were</w:t>
      </w:r>
      <w:r w:rsidR="00E701CA" w:rsidRPr="00492050">
        <w:t>:</w:t>
      </w:r>
    </w:p>
    <w:p w14:paraId="0ED0B03E" w14:textId="04CEF505" w:rsidR="003F0283" w:rsidRDefault="00E701CA" w:rsidP="00E701CA">
      <w:pPr>
        <w:pStyle w:val="ARbullet1"/>
      </w:pPr>
      <w:r>
        <w:t>Kate Hughes</w:t>
      </w:r>
      <w:r w:rsidRPr="00AD22A2">
        <w:t>, Chair</w:t>
      </w:r>
    </w:p>
    <w:p w14:paraId="28B4E60E" w14:textId="534B678F" w:rsidR="00E701CA" w:rsidRPr="00AD22A2" w:rsidRDefault="00E701CA" w:rsidP="00E701CA">
      <w:pPr>
        <w:pStyle w:val="ARbullet1"/>
      </w:pPr>
      <w:r>
        <w:t>Laurinda Gardner</w:t>
      </w:r>
    </w:p>
    <w:p w14:paraId="3EEA6ABF" w14:textId="77777777" w:rsidR="00E701CA" w:rsidRPr="00AD22A2" w:rsidRDefault="00E701CA" w:rsidP="00E701CA">
      <w:pPr>
        <w:pStyle w:val="ARbullet1"/>
      </w:pPr>
      <w:r>
        <w:t>Mark Toohey</w:t>
      </w:r>
    </w:p>
    <w:p w14:paraId="420DFC0D" w14:textId="77777777" w:rsidR="00E701CA" w:rsidRPr="00492050" w:rsidRDefault="00E701CA" w:rsidP="00E701CA">
      <w:pPr>
        <w:pStyle w:val="ARbodyafterbullets"/>
      </w:pPr>
      <w:r w:rsidRPr="00492050">
        <w:t>The committee is integral to the department</w:t>
      </w:r>
      <w:r>
        <w:t>’</w:t>
      </w:r>
      <w:r w:rsidRPr="00492050">
        <w:t>s approach to governance, ensuring that systems and processes for identifying and monitoring risks are operating as intended.</w:t>
      </w:r>
    </w:p>
    <w:p w14:paraId="2D8B5052" w14:textId="77777777" w:rsidR="00E701CA" w:rsidRPr="00492050" w:rsidRDefault="00E701CA" w:rsidP="00E701CA">
      <w:pPr>
        <w:pStyle w:val="ARbody"/>
      </w:pPr>
      <w:r w:rsidRPr="00492050">
        <w:t>The committee</w:t>
      </w:r>
      <w:r>
        <w:t>’</w:t>
      </w:r>
      <w:r w:rsidRPr="00492050">
        <w:t>s responsibilities cover the following areas:</w:t>
      </w:r>
    </w:p>
    <w:p w14:paraId="54952C36" w14:textId="77777777" w:rsidR="00E701CA" w:rsidRPr="00492050" w:rsidRDefault="00E701CA" w:rsidP="00E701CA">
      <w:pPr>
        <w:pStyle w:val="ARbullet1"/>
      </w:pPr>
      <w:r>
        <w:t>annual financial statements</w:t>
      </w:r>
    </w:p>
    <w:p w14:paraId="79CDE5F6" w14:textId="77777777" w:rsidR="00E701CA" w:rsidRPr="00492050" w:rsidRDefault="00E701CA" w:rsidP="00E701CA">
      <w:pPr>
        <w:pStyle w:val="ARbullet1"/>
      </w:pPr>
      <w:r>
        <w:t>financial management compliance attestation</w:t>
      </w:r>
    </w:p>
    <w:p w14:paraId="6AFC001B" w14:textId="77777777" w:rsidR="00E701CA" w:rsidRPr="00492050" w:rsidRDefault="00E701CA" w:rsidP="00E701CA">
      <w:pPr>
        <w:pStyle w:val="ARbullet1"/>
      </w:pPr>
      <w:r>
        <w:t>risk management and internal controls</w:t>
      </w:r>
    </w:p>
    <w:p w14:paraId="609D01D2" w14:textId="77777777" w:rsidR="00E701CA" w:rsidRPr="00492050" w:rsidRDefault="00E701CA" w:rsidP="00E701CA">
      <w:pPr>
        <w:pStyle w:val="ARbullet1"/>
      </w:pPr>
      <w:r>
        <w:t>fraud and corruption control</w:t>
      </w:r>
    </w:p>
    <w:p w14:paraId="025BB26E" w14:textId="77777777" w:rsidR="00E701CA" w:rsidRPr="00492050" w:rsidRDefault="00E701CA" w:rsidP="00E701CA">
      <w:pPr>
        <w:pStyle w:val="ARbullet1"/>
      </w:pPr>
      <w:r>
        <w:t>legislative and policy compliance</w:t>
      </w:r>
    </w:p>
    <w:p w14:paraId="12D8D0F9" w14:textId="77777777" w:rsidR="00E701CA" w:rsidRPr="00492050" w:rsidRDefault="00E701CA" w:rsidP="00E701CA">
      <w:pPr>
        <w:pStyle w:val="ARbullet1"/>
      </w:pPr>
      <w:r>
        <w:t>internal audit</w:t>
      </w:r>
    </w:p>
    <w:p w14:paraId="22D59DFA" w14:textId="77777777" w:rsidR="00E701CA" w:rsidRDefault="00E701CA" w:rsidP="00E701CA">
      <w:pPr>
        <w:pStyle w:val="ARbullet1"/>
      </w:pPr>
      <w:r>
        <w:t>external audit.</w:t>
      </w:r>
    </w:p>
    <w:p w14:paraId="781A4F2B" w14:textId="77777777" w:rsidR="00E701CA" w:rsidRPr="002029AF" w:rsidRDefault="00E701CA" w:rsidP="00E701CA">
      <w:pPr>
        <w:pStyle w:val="Heading3"/>
      </w:pPr>
      <w:bookmarkStart w:id="236" w:name="_Toc85121214"/>
      <w:r w:rsidRPr="002029AF">
        <w:t xml:space="preserve">Other </w:t>
      </w:r>
      <w:r>
        <w:t>i</w:t>
      </w:r>
      <w:r w:rsidRPr="002029AF">
        <w:t xml:space="preserve">nternal </w:t>
      </w:r>
      <w:r>
        <w:t>c</w:t>
      </w:r>
      <w:r w:rsidRPr="002029AF">
        <w:t>ommittees</w:t>
      </w:r>
      <w:bookmarkEnd w:id="236"/>
    </w:p>
    <w:p w14:paraId="245C0C2D" w14:textId="0669D351" w:rsidR="00E701CA" w:rsidRPr="002029AF" w:rsidRDefault="00E701CA" w:rsidP="00E701CA">
      <w:pPr>
        <w:pStyle w:val="ARbody"/>
      </w:pPr>
      <w:r w:rsidRPr="002029AF">
        <w:rPr>
          <w:lang w:eastAsia="en-AU"/>
        </w:rPr>
        <w:t>The department also has the following internal committees:</w:t>
      </w:r>
    </w:p>
    <w:p w14:paraId="7A4BCF05" w14:textId="77777777" w:rsidR="00E701CA" w:rsidRPr="002029AF" w:rsidRDefault="00E701CA" w:rsidP="00E701CA">
      <w:pPr>
        <w:pStyle w:val="ARbullet1"/>
      </w:pPr>
      <w:r w:rsidRPr="00064E3C">
        <w:t>Our Pride Network Committee</w:t>
      </w:r>
    </w:p>
    <w:p w14:paraId="4951E741" w14:textId="77777777" w:rsidR="00E701CA" w:rsidRPr="000252C4" w:rsidRDefault="00E701CA" w:rsidP="00E701CA">
      <w:pPr>
        <w:pStyle w:val="ARbullet1"/>
      </w:pPr>
      <w:r w:rsidRPr="000252C4">
        <w:t>Divisional Occupational Health and Safety committees</w:t>
      </w:r>
    </w:p>
    <w:p w14:paraId="3028DBB5" w14:textId="02FB895F" w:rsidR="00E701CA" w:rsidRDefault="00E701CA" w:rsidP="008340C1">
      <w:pPr>
        <w:pStyle w:val="ARbullet1"/>
      </w:pPr>
      <w:r w:rsidRPr="000252C4">
        <w:t>Procurement Committee</w:t>
      </w:r>
      <w:r w:rsidR="007A0311">
        <w:t>.</w:t>
      </w:r>
    </w:p>
    <w:p w14:paraId="2AEABFDE" w14:textId="77777777" w:rsidR="00EF6835" w:rsidRDefault="00EF6835" w:rsidP="00E701CA">
      <w:pPr>
        <w:pStyle w:val="ARbody"/>
        <w:sectPr w:rsidR="00EF6835" w:rsidSect="00EE674B">
          <w:footnotePr>
            <w:numFmt w:val="lowerLetter"/>
            <w:numRestart w:val="eachPage"/>
          </w:footnotePr>
          <w:endnotePr>
            <w:numFmt w:val="decimal"/>
          </w:endnotePr>
          <w:pgSz w:w="11900" w:h="16840" w:code="9"/>
          <w:pgMar w:top="1985" w:right="1134" w:bottom="851" w:left="1134" w:header="510" w:footer="340" w:gutter="0"/>
          <w:cols w:num="2" w:space="454"/>
          <w:docGrid w:linePitch="299"/>
          <w15:footnoteColumns w:val="1"/>
        </w:sectPr>
      </w:pPr>
    </w:p>
    <w:p w14:paraId="3B889B4A" w14:textId="77777777" w:rsidR="001A70B8" w:rsidRDefault="001A70B8" w:rsidP="00101E5D">
      <w:pPr>
        <w:pStyle w:val="Heading1"/>
        <w:shd w:val="clear" w:color="auto" w:fill="FFFFFF" w:themeFill="background1"/>
      </w:pPr>
      <w:bookmarkStart w:id="237" w:name="_Toc85121215"/>
      <w:bookmarkStart w:id="238" w:name="_Toc85121608"/>
      <w:bookmarkStart w:id="239" w:name="_Toc102734485"/>
      <w:bookmarkStart w:id="240" w:name="_Toc113702921"/>
      <w:r>
        <w:t xml:space="preserve">Section 3: </w:t>
      </w:r>
      <w:r w:rsidRPr="00E164D6">
        <w:t>Workforce</w:t>
      </w:r>
      <w:r>
        <w:t xml:space="preserve"> </w:t>
      </w:r>
      <w:r w:rsidRPr="00E164D6">
        <w:t>data</w:t>
      </w:r>
      <w:bookmarkEnd w:id="237"/>
      <w:bookmarkEnd w:id="238"/>
      <w:bookmarkEnd w:id="239"/>
      <w:bookmarkEnd w:id="240"/>
    </w:p>
    <w:p w14:paraId="02BA26A0" w14:textId="77777777" w:rsidR="001A70B8" w:rsidRDefault="001A70B8" w:rsidP="00101E5D">
      <w:pPr>
        <w:pStyle w:val="Heading2"/>
        <w:shd w:val="clear" w:color="auto" w:fill="FFFFFF" w:themeFill="background1"/>
        <w:spacing w:before="0" w:after="240"/>
        <w:sectPr w:rsidR="001A70B8" w:rsidSect="00101E5D">
          <w:footnotePr>
            <w:numFmt w:val="lowerLetter"/>
            <w:numRestart w:val="eachPage"/>
          </w:footnotePr>
          <w:endnotePr>
            <w:numFmt w:val="decimal"/>
          </w:endnotePr>
          <w:pgSz w:w="11900" w:h="16840" w:code="9"/>
          <w:pgMar w:top="1985" w:right="1134" w:bottom="851" w:left="1134" w:header="510" w:footer="340" w:gutter="0"/>
          <w:cols w:space="708"/>
          <w:docGrid w:linePitch="299"/>
          <w15:footnoteColumns w:val="1"/>
        </w:sectPr>
      </w:pPr>
    </w:p>
    <w:p w14:paraId="3A687934" w14:textId="77777777" w:rsidR="001A70B8" w:rsidRPr="00B64216" w:rsidRDefault="001A70B8" w:rsidP="00101E5D">
      <w:pPr>
        <w:pStyle w:val="Heading2"/>
      </w:pPr>
      <w:bookmarkStart w:id="241" w:name="_Ref84240929"/>
      <w:bookmarkStart w:id="242" w:name="_Toc85121216"/>
      <w:bookmarkStart w:id="243" w:name="_Toc85121609"/>
      <w:bookmarkStart w:id="244" w:name="_Toc102734486"/>
      <w:bookmarkStart w:id="245" w:name="_Toc113702922"/>
      <w:r w:rsidRPr="00B64216">
        <w:t>Public</w:t>
      </w:r>
      <w:r>
        <w:t xml:space="preserve"> </w:t>
      </w:r>
      <w:r w:rsidRPr="00B64216">
        <w:t>sector</w:t>
      </w:r>
      <w:r>
        <w:t xml:space="preserve"> </w:t>
      </w:r>
      <w:r w:rsidRPr="00B64216">
        <w:t>values</w:t>
      </w:r>
      <w:r>
        <w:t xml:space="preserve"> </w:t>
      </w:r>
      <w:r w:rsidRPr="00B64216">
        <w:t>and</w:t>
      </w:r>
      <w:r>
        <w:t xml:space="preserve"> </w:t>
      </w:r>
      <w:r w:rsidRPr="00B64216">
        <w:t>employment</w:t>
      </w:r>
      <w:r>
        <w:t xml:space="preserve"> </w:t>
      </w:r>
      <w:r w:rsidRPr="00B64216">
        <w:t>principles</w:t>
      </w:r>
      <w:bookmarkEnd w:id="241"/>
      <w:bookmarkEnd w:id="242"/>
      <w:bookmarkEnd w:id="243"/>
      <w:bookmarkEnd w:id="244"/>
      <w:bookmarkEnd w:id="245"/>
    </w:p>
    <w:p w14:paraId="54FE98C2" w14:textId="77777777" w:rsidR="001A70B8" w:rsidRDefault="001A70B8" w:rsidP="00101E5D">
      <w:pPr>
        <w:pStyle w:val="ARbody"/>
      </w:pPr>
      <w:r>
        <w:t xml:space="preserve">The </w:t>
      </w:r>
      <w:r w:rsidRPr="00920302">
        <w:rPr>
          <w:i/>
          <w:iCs/>
        </w:rPr>
        <w:t>Public</w:t>
      </w:r>
      <w:r>
        <w:rPr>
          <w:i/>
          <w:iCs/>
        </w:rPr>
        <w:t xml:space="preserve"> </w:t>
      </w:r>
      <w:r w:rsidRPr="00920302">
        <w:rPr>
          <w:i/>
          <w:iCs/>
        </w:rPr>
        <w:t>Administration</w:t>
      </w:r>
      <w:r>
        <w:rPr>
          <w:i/>
          <w:iCs/>
        </w:rPr>
        <w:t xml:space="preserve"> </w:t>
      </w:r>
      <w:r w:rsidRPr="00920302">
        <w:rPr>
          <w:i/>
          <w:iCs/>
        </w:rPr>
        <w:t>Act</w:t>
      </w:r>
      <w:r>
        <w:rPr>
          <w:i/>
          <w:iCs/>
        </w:rPr>
        <w:t xml:space="preserve"> </w:t>
      </w:r>
      <w:r w:rsidRPr="00920302">
        <w:rPr>
          <w:i/>
          <w:iCs/>
        </w:rPr>
        <w:t>2004</w:t>
      </w:r>
      <w:r>
        <w:t xml:space="preserve"> established the Victorian Public Sector Commission (VPSC). The VPSC’s role is t</w:t>
      </w:r>
      <w:r w:rsidRPr="00162053">
        <w:t>o</w:t>
      </w:r>
      <w:r>
        <w:t xml:space="preserve"> </w:t>
      </w:r>
      <w:r w:rsidRPr="00162053">
        <w:t>strengthen</w:t>
      </w:r>
      <w:r>
        <w:t xml:space="preserve"> </w:t>
      </w:r>
      <w:r w:rsidRPr="00162053">
        <w:t>public</w:t>
      </w:r>
      <w:r>
        <w:t xml:space="preserve"> </w:t>
      </w:r>
      <w:r w:rsidRPr="00162053">
        <w:t>sector</w:t>
      </w:r>
      <w:r>
        <w:t xml:space="preserve"> </w:t>
      </w:r>
      <w:r w:rsidRPr="00162053">
        <w:t>efficiency,</w:t>
      </w:r>
      <w:r>
        <w:t xml:space="preserve"> </w:t>
      </w:r>
      <w:r w:rsidRPr="00162053">
        <w:t>effectiveness</w:t>
      </w:r>
      <w:r>
        <w:t xml:space="preserve"> </w:t>
      </w:r>
      <w:r w:rsidRPr="00162053">
        <w:t>and</w:t>
      </w:r>
      <w:r>
        <w:t xml:space="preserve"> </w:t>
      </w:r>
      <w:r w:rsidRPr="00162053">
        <w:t>capability,</w:t>
      </w:r>
      <w:r>
        <w:t xml:space="preserve"> </w:t>
      </w:r>
      <w:r w:rsidRPr="00162053">
        <w:t>and</w:t>
      </w:r>
      <w:r>
        <w:t xml:space="preserve"> </w:t>
      </w:r>
      <w:r w:rsidRPr="00162053">
        <w:t>advocate</w:t>
      </w:r>
      <w:r>
        <w:t xml:space="preserve"> </w:t>
      </w:r>
      <w:r w:rsidRPr="00162053">
        <w:t>for</w:t>
      </w:r>
      <w:r>
        <w:t xml:space="preserve"> </w:t>
      </w:r>
      <w:r w:rsidRPr="00162053">
        <w:t>public</w:t>
      </w:r>
      <w:r>
        <w:t xml:space="preserve"> </w:t>
      </w:r>
      <w:r w:rsidRPr="00162053">
        <w:t>sector</w:t>
      </w:r>
      <w:r>
        <w:t xml:space="preserve"> </w:t>
      </w:r>
      <w:r w:rsidRPr="00162053">
        <w:t>professionalism</w:t>
      </w:r>
      <w:r>
        <w:t xml:space="preserve"> </w:t>
      </w:r>
      <w:r w:rsidRPr="00162053">
        <w:t>and</w:t>
      </w:r>
      <w:r>
        <w:t xml:space="preserve"> </w:t>
      </w:r>
      <w:r w:rsidRPr="00162053">
        <w:t>integrity.</w:t>
      </w:r>
    </w:p>
    <w:p w14:paraId="78811EAE" w14:textId="25AFA4A5" w:rsidR="00A21302" w:rsidRDefault="00A21302" w:rsidP="00101E5D">
      <w:pPr>
        <w:pStyle w:val="ARbody"/>
      </w:pPr>
      <w:r>
        <w:t xml:space="preserve">The public sector values are set out in the section: </w:t>
      </w:r>
      <w:hyperlink w:anchor="_Vision,_mission_and" w:history="1">
        <w:r w:rsidRPr="00A21302">
          <w:rPr>
            <w:rStyle w:val="Hyperlink"/>
          </w:rPr>
          <w:t>Vision, mission and values</w:t>
        </w:r>
      </w:hyperlink>
      <w:r>
        <w:t>.</w:t>
      </w:r>
    </w:p>
    <w:p w14:paraId="4637254A" w14:textId="07EBB4BB" w:rsidR="001A70B8" w:rsidRDefault="001A70B8" w:rsidP="00101E5D">
      <w:pPr>
        <w:pStyle w:val="ARbody"/>
      </w:pPr>
      <w:r w:rsidRPr="00162053">
        <w:t>The</w:t>
      </w:r>
      <w:r>
        <w:t xml:space="preserve"> </w:t>
      </w:r>
      <w:r w:rsidRPr="00162053">
        <w:t>department’s</w:t>
      </w:r>
      <w:r>
        <w:t xml:space="preserve"> </w:t>
      </w:r>
      <w:r w:rsidRPr="00162053">
        <w:t>policies</w:t>
      </w:r>
      <w:r>
        <w:t xml:space="preserve"> </w:t>
      </w:r>
      <w:r w:rsidRPr="00162053">
        <w:t>and</w:t>
      </w:r>
      <w:r>
        <w:t xml:space="preserve"> </w:t>
      </w:r>
      <w:r w:rsidRPr="00162053">
        <w:t>practices</w:t>
      </w:r>
      <w:r>
        <w:t xml:space="preserve"> </w:t>
      </w:r>
      <w:r w:rsidRPr="00162053">
        <w:t>are</w:t>
      </w:r>
      <w:r>
        <w:t xml:space="preserve"> </w:t>
      </w:r>
      <w:r w:rsidRPr="00162053">
        <w:t>consistent</w:t>
      </w:r>
      <w:r>
        <w:t xml:space="preserve"> </w:t>
      </w:r>
      <w:r w:rsidRPr="00162053">
        <w:t>with</w:t>
      </w:r>
      <w:r>
        <w:t xml:space="preserve"> </w:t>
      </w:r>
      <w:r w:rsidRPr="00162053">
        <w:t>the</w:t>
      </w:r>
      <w:r>
        <w:t xml:space="preserve"> </w:t>
      </w:r>
      <w:r w:rsidRPr="00162053">
        <w:t>VPSC’s</w:t>
      </w:r>
      <w:r>
        <w:t xml:space="preserve"> </w:t>
      </w:r>
      <w:r w:rsidRPr="00162053">
        <w:t>e</w:t>
      </w:r>
      <w:r>
        <w:t xml:space="preserve">mployment standards and provide for fair treatment, career opportunities and the early resolution of workplace issues. The department advises its employees on how to avoid conflicts of interest, how to respond to offers of gifts and how </w:t>
      </w:r>
      <w:r w:rsidR="00C85EEC">
        <w:t xml:space="preserve">to deal with </w:t>
      </w:r>
      <w:r>
        <w:t>misconduct.</w:t>
      </w:r>
    </w:p>
    <w:p w14:paraId="4C9E676A" w14:textId="77777777" w:rsidR="001A70B8" w:rsidRDefault="001A70B8" w:rsidP="00101E5D">
      <w:pPr>
        <w:pStyle w:val="Heading3"/>
        <w:shd w:val="clear" w:color="auto" w:fill="FFFFFF" w:themeFill="background1"/>
      </w:pPr>
      <w:bookmarkStart w:id="246" w:name="_Toc85121217"/>
      <w:bookmarkStart w:id="247" w:name="_Ref112852351"/>
      <w:r w:rsidRPr="002029AF">
        <w:t>Employment</w:t>
      </w:r>
      <w:r>
        <w:t xml:space="preserve"> </w:t>
      </w:r>
      <w:r w:rsidRPr="002029AF">
        <w:t>and</w:t>
      </w:r>
      <w:r>
        <w:t xml:space="preserve"> </w:t>
      </w:r>
      <w:r w:rsidRPr="002029AF">
        <w:t>conduct</w:t>
      </w:r>
      <w:r>
        <w:t xml:space="preserve"> </w:t>
      </w:r>
      <w:r w:rsidRPr="002029AF">
        <w:t>principles</w:t>
      </w:r>
      <w:bookmarkEnd w:id="246"/>
      <w:bookmarkEnd w:id="247"/>
    </w:p>
    <w:p w14:paraId="73F23E0C" w14:textId="3C29F678" w:rsidR="001A70B8" w:rsidRPr="002029AF" w:rsidRDefault="001A70B8" w:rsidP="00101E5D">
      <w:pPr>
        <w:pStyle w:val="ARbody"/>
        <w:shd w:val="clear" w:color="auto" w:fill="FFFFFF" w:themeFill="background1"/>
      </w:pPr>
      <w:r w:rsidRPr="002029AF">
        <w:t>The</w:t>
      </w:r>
      <w:r>
        <w:t xml:space="preserve"> </w:t>
      </w:r>
      <w:r w:rsidRPr="002029AF">
        <w:t>values</w:t>
      </w:r>
      <w:r>
        <w:t xml:space="preserve"> </w:t>
      </w:r>
      <w:r w:rsidRPr="002029AF">
        <w:t>and</w:t>
      </w:r>
      <w:r>
        <w:t xml:space="preserve"> </w:t>
      </w:r>
      <w:r w:rsidRPr="002029AF">
        <w:t>employment</w:t>
      </w:r>
      <w:r>
        <w:t xml:space="preserve"> </w:t>
      </w:r>
      <w:r w:rsidRPr="002029AF">
        <w:t>principles</w:t>
      </w:r>
      <w:r>
        <w:t xml:space="preserve"> </w:t>
      </w:r>
      <w:r w:rsidRPr="002029AF">
        <w:t>that</w:t>
      </w:r>
      <w:r>
        <w:t xml:space="preserve"> </w:t>
      </w:r>
      <w:r w:rsidRPr="002029AF">
        <w:t>apply</w:t>
      </w:r>
      <w:r>
        <w:t xml:space="preserve"> </w:t>
      </w:r>
      <w:r w:rsidRPr="002029AF">
        <w:t>to</w:t>
      </w:r>
      <w:r>
        <w:t xml:space="preserve"> </w:t>
      </w:r>
      <w:r w:rsidRPr="002029AF">
        <w:t>the</w:t>
      </w:r>
      <w:r>
        <w:t xml:space="preserve"> </w:t>
      </w:r>
      <w:r w:rsidRPr="002029AF">
        <w:t>broader</w:t>
      </w:r>
      <w:r>
        <w:t xml:space="preserve"> </w:t>
      </w:r>
      <w:r w:rsidRPr="002029AF">
        <w:t>public</w:t>
      </w:r>
      <w:r>
        <w:t xml:space="preserve"> </w:t>
      </w:r>
      <w:r w:rsidRPr="002029AF">
        <w:t>sector</w:t>
      </w:r>
      <w:r>
        <w:t xml:space="preserve"> </w:t>
      </w:r>
      <w:r w:rsidRPr="002029AF">
        <w:t>are</w:t>
      </w:r>
      <w:r>
        <w:t xml:space="preserve"> </w:t>
      </w:r>
      <w:r w:rsidRPr="002029AF">
        <w:t>detailed</w:t>
      </w:r>
      <w:r>
        <w:t xml:space="preserve"> </w:t>
      </w:r>
      <w:r w:rsidRPr="002029AF">
        <w:t>in</w:t>
      </w:r>
      <w:r>
        <w:t xml:space="preserve"> </w:t>
      </w:r>
      <w:r w:rsidRPr="002029AF">
        <w:t>the</w:t>
      </w:r>
      <w:r>
        <w:rPr>
          <w:i/>
          <w:iCs/>
        </w:rPr>
        <w:t xml:space="preserve"> </w:t>
      </w:r>
      <w:r w:rsidRPr="002029AF">
        <w:rPr>
          <w:i/>
          <w:iCs/>
        </w:rPr>
        <w:t>Public</w:t>
      </w:r>
      <w:r>
        <w:rPr>
          <w:i/>
          <w:iCs/>
        </w:rPr>
        <w:t xml:space="preserve"> </w:t>
      </w:r>
      <w:r w:rsidRPr="002029AF">
        <w:rPr>
          <w:i/>
          <w:iCs/>
        </w:rPr>
        <w:t>Administration</w:t>
      </w:r>
      <w:r>
        <w:rPr>
          <w:i/>
          <w:iCs/>
        </w:rPr>
        <w:t xml:space="preserve"> </w:t>
      </w:r>
      <w:r w:rsidRPr="002029AF">
        <w:rPr>
          <w:i/>
          <w:iCs/>
        </w:rPr>
        <w:t>Act</w:t>
      </w:r>
      <w:r>
        <w:rPr>
          <w:i/>
          <w:iCs/>
        </w:rPr>
        <w:t xml:space="preserve"> </w:t>
      </w:r>
      <w:r w:rsidRPr="002029AF">
        <w:rPr>
          <w:i/>
          <w:iCs/>
        </w:rPr>
        <w:t>2004.</w:t>
      </w:r>
    </w:p>
    <w:p w14:paraId="2F434BD2" w14:textId="77777777" w:rsidR="001A70B8" w:rsidRPr="002029AF" w:rsidRDefault="001A70B8" w:rsidP="00101E5D">
      <w:pPr>
        <w:pStyle w:val="ARbody"/>
        <w:shd w:val="clear" w:color="auto" w:fill="FFFFFF" w:themeFill="background1"/>
      </w:pPr>
      <w:r w:rsidRPr="002029AF">
        <w:t>The</w:t>
      </w:r>
      <w:r>
        <w:t xml:space="preserve"> </w:t>
      </w:r>
      <w:r w:rsidRPr="002029AF">
        <w:t>department</w:t>
      </w:r>
      <w:r>
        <w:t xml:space="preserve"> </w:t>
      </w:r>
      <w:r w:rsidRPr="002029AF">
        <w:t>complies</w:t>
      </w:r>
      <w:r>
        <w:t xml:space="preserve"> </w:t>
      </w:r>
      <w:r w:rsidRPr="002029AF">
        <w:t>with</w:t>
      </w:r>
      <w:r>
        <w:t xml:space="preserve"> </w:t>
      </w:r>
      <w:r w:rsidRPr="002029AF">
        <w:t>these</w:t>
      </w:r>
      <w:r>
        <w:t xml:space="preserve"> </w:t>
      </w:r>
      <w:r w:rsidRPr="002029AF">
        <w:t>employment</w:t>
      </w:r>
      <w:r>
        <w:t xml:space="preserve"> </w:t>
      </w:r>
      <w:r w:rsidRPr="002029AF">
        <w:t>principles</w:t>
      </w:r>
      <w:r>
        <w:t xml:space="preserve"> </w:t>
      </w:r>
      <w:r w:rsidRPr="002029AF">
        <w:t>and</w:t>
      </w:r>
      <w:r>
        <w:t xml:space="preserve"> </w:t>
      </w:r>
      <w:r w:rsidRPr="002029AF">
        <w:t>continually</w:t>
      </w:r>
      <w:r>
        <w:t xml:space="preserve"> </w:t>
      </w:r>
      <w:r w:rsidRPr="002029AF">
        <w:t>updates</w:t>
      </w:r>
      <w:r>
        <w:t xml:space="preserve"> </w:t>
      </w:r>
      <w:r w:rsidRPr="002029AF">
        <w:t>its</w:t>
      </w:r>
      <w:r>
        <w:t xml:space="preserve"> </w:t>
      </w:r>
      <w:r w:rsidRPr="002029AF">
        <w:t>policies</w:t>
      </w:r>
      <w:r>
        <w:t xml:space="preserve"> </w:t>
      </w:r>
      <w:r w:rsidRPr="002029AF">
        <w:t>and</w:t>
      </w:r>
      <w:r>
        <w:t xml:space="preserve"> </w:t>
      </w:r>
      <w:r w:rsidRPr="002029AF">
        <w:t>procedures</w:t>
      </w:r>
      <w:r>
        <w:t xml:space="preserve"> </w:t>
      </w:r>
      <w:r w:rsidRPr="002029AF">
        <w:t>to</w:t>
      </w:r>
      <w:r>
        <w:t xml:space="preserve"> </w:t>
      </w:r>
      <w:r w:rsidRPr="002029AF">
        <w:t>advance</w:t>
      </w:r>
      <w:r>
        <w:t xml:space="preserve"> </w:t>
      </w:r>
      <w:r w:rsidRPr="002029AF">
        <w:t>them.</w:t>
      </w:r>
    </w:p>
    <w:p w14:paraId="43C07BB3" w14:textId="77777777" w:rsidR="001A70B8" w:rsidRDefault="001A70B8" w:rsidP="00101E5D">
      <w:pPr>
        <w:pStyle w:val="ARbody"/>
        <w:shd w:val="clear" w:color="auto" w:fill="FFFFFF" w:themeFill="background1"/>
      </w:pPr>
      <w:r w:rsidRPr="002029AF">
        <w:t>The</w:t>
      </w:r>
      <w:r>
        <w:t xml:space="preserve"> </w:t>
      </w:r>
      <w:r w:rsidRPr="002029AF">
        <w:t>department</w:t>
      </w:r>
      <w:r>
        <w:t>’</w:t>
      </w:r>
      <w:r w:rsidRPr="002029AF">
        <w:t>s</w:t>
      </w:r>
      <w:r>
        <w:t xml:space="preserve"> </w:t>
      </w:r>
      <w:r w:rsidRPr="002029AF">
        <w:t>values</w:t>
      </w:r>
      <w:r>
        <w:t xml:space="preserve"> </w:t>
      </w:r>
      <w:r w:rsidRPr="002029AF">
        <w:t>are</w:t>
      </w:r>
      <w:r>
        <w:t xml:space="preserve"> </w:t>
      </w:r>
      <w:r w:rsidRPr="002029AF">
        <w:t>also</w:t>
      </w:r>
      <w:r>
        <w:t xml:space="preserve"> </w:t>
      </w:r>
      <w:r w:rsidRPr="002029AF">
        <w:t>aligned</w:t>
      </w:r>
      <w:r>
        <w:t xml:space="preserve"> </w:t>
      </w:r>
      <w:r w:rsidRPr="002029AF">
        <w:t>to</w:t>
      </w:r>
      <w:r>
        <w:t xml:space="preserve"> </w:t>
      </w:r>
      <w:r w:rsidRPr="002029AF">
        <w:t>those</w:t>
      </w:r>
      <w:r>
        <w:t xml:space="preserve"> </w:t>
      </w:r>
      <w:r w:rsidRPr="002029AF">
        <w:t>set</w:t>
      </w:r>
      <w:r>
        <w:t xml:space="preserve"> </w:t>
      </w:r>
      <w:r w:rsidRPr="002029AF">
        <w:t>out</w:t>
      </w:r>
      <w:r>
        <w:t xml:space="preserve"> </w:t>
      </w:r>
      <w:r w:rsidRPr="002029AF">
        <w:t>in</w:t>
      </w:r>
      <w:r>
        <w:t xml:space="preserve"> </w:t>
      </w:r>
      <w:r w:rsidRPr="002029AF">
        <w:t>the</w:t>
      </w:r>
      <w:r>
        <w:t xml:space="preserve"> </w:t>
      </w:r>
      <w:r w:rsidRPr="002029AF">
        <w:t>Act.</w:t>
      </w:r>
      <w:r>
        <w:t xml:space="preserve"> </w:t>
      </w:r>
      <w:r w:rsidRPr="002029AF">
        <w:t>It</w:t>
      </w:r>
      <w:r>
        <w:t xml:space="preserve"> </w:t>
      </w:r>
      <w:r w:rsidRPr="002029AF">
        <w:t>is</w:t>
      </w:r>
      <w:r>
        <w:t xml:space="preserve"> </w:t>
      </w:r>
      <w:r w:rsidRPr="002029AF">
        <w:t>committed</w:t>
      </w:r>
      <w:r>
        <w:t xml:space="preserve"> </w:t>
      </w:r>
      <w:r w:rsidRPr="002029AF">
        <w:t>to</w:t>
      </w:r>
      <w:r>
        <w:t xml:space="preserve"> </w:t>
      </w:r>
      <w:r w:rsidRPr="002029AF">
        <w:t>applying</w:t>
      </w:r>
      <w:r>
        <w:t xml:space="preserve"> </w:t>
      </w:r>
      <w:r w:rsidRPr="002029AF">
        <w:t>merit</w:t>
      </w:r>
      <w:r>
        <w:t xml:space="preserve"> </w:t>
      </w:r>
      <w:r w:rsidRPr="002029AF">
        <w:t>and</w:t>
      </w:r>
      <w:r>
        <w:t xml:space="preserve"> </w:t>
      </w:r>
      <w:r w:rsidRPr="002029AF">
        <w:t>equity</w:t>
      </w:r>
      <w:r>
        <w:t xml:space="preserve"> </w:t>
      </w:r>
      <w:r w:rsidRPr="002029AF">
        <w:t>principles</w:t>
      </w:r>
      <w:r>
        <w:t xml:space="preserve"> </w:t>
      </w:r>
      <w:r w:rsidRPr="002029AF">
        <w:t>to</w:t>
      </w:r>
      <w:r>
        <w:t xml:space="preserve"> </w:t>
      </w:r>
      <w:r w:rsidRPr="002029AF">
        <w:t>all</w:t>
      </w:r>
      <w:r>
        <w:t xml:space="preserve"> </w:t>
      </w:r>
      <w:r w:rsidRPr="002029AF">
        <w:t>employment</w:t>
      </w:r>
      <w:r>
        <w:t xml:space="preserve"> </w:t>
      </w:r>
      <w:r w:rsidRPr="002029AF">
        <w:t>policies,</w:t>
      </w:r>
      <w:r>
        <w:t xml:space="preserve"> </w:t>
      </w:r>
      <w:r w:rsidRPr="002029AF">
        <w:t>programs</w:t>
      </w:r>
      <w:r>
        <w:t xml:space="preserve"> </w:t>
      </w:r>
      <w:r w:rsidRPr="002029AF">
        <w:t>and</w:t>
      </w:r>
      <w:r>
        <w:t xml:space="preserve"> </w:t>
      </w:r>
      <w:r w:rsidRPr="002029AF">
        <w:t>resources</w:t>
      </w:r>
      <w:r>
        <w:t xml:space="preserve"> </w:t>
      </w:r>
      <w:r w:rsidRPr="002029AF">
        <w:t>and</w:t>
      </w:r>
      <w:r>
        <w:t xml:space="preserve"> </w:t>
      </w:r>
      <w:r w:rsidRPr="002029AF">
        <w:t>ensures</w:t>
      </w:r>
      <w:r>
        <w:t xml:space="preserve"> </w:t>
      </w:r>
      <w:r w:rsidRPr="002029AF">
        <w:t>its</w:t>
      </w:r>
      <w:r>
        <w:t xml:space="preserve"> </w:t>
      </w:r>
      <w:r w:rsidRPr="002029AF">
        <w:t>values</w:t>
      </w:r>
      <w:r>
        <w:t xml:space="preserve"> </w:t>
      </w:r>
      <w:r w:rsidRPr="002029AF">
        <w:t>are</w:t>
      </w:r>
      <w:r>
        <w:t xml:space="preserve"> </w:t>
      </w:r>
      <w:r w:rsidRPr="002029AF">
        <w:t>implemented</w:t>
      </w:r>
      <w:r>
        <w:t xml:space="preserve"> </w:t>
      </w:r>
      <w:r w:rsidRPr="002029AF">
        <w:t>throughout</w:t>
      </w:r>
      <w:r>
        <w:t xml:space="preserve"> </w:t>
      </w:r>
      <w:r w:rsidRPr="002029AF">
        <w:t>the</w:t>
      </w:r>
      <w:r>
        <w:t xml:space="preserve"> </w:t>
      </w:r>
      <w:r w:rsidRPr="002029AF">
        <w:t>department,</w:t>
      </w:r>
      <w:r>
        <w:t xml:space="preserve"> </w:t>
      </w:r>
      <w:r w:rsidRPr="002029AF">
        <w:t>including</w:t>
      </w:r>
      <w:r>
        <w:t xml:space="preserve"> </w:t>
      </w:r>
      <w:r w:rsidRPr="002029AF">
        <w:t>through</w:t>
      </w:r>
      <w:r>
        <w:t xml:space="preserve"> </w:t>
      </w:r>
      <w:r w:rsidRPr="002029AF">
        <w:t>performance</w:t>
      </w:r>
      <w:r>
        <w:t xml:space="preserve"> </w:t>
      </w:r>
      <w:r w:rsidRPr="002029AF">
        <w:t>planning</w:t>
      </w:r>
      <w:r>
        <w:t xml:space="preserve"> </w:t>
      </w:r>
      <w:r w:rsidRPr="002029AF">
        <w:t>and</w:t>
      </w:r>
      <w:r>
        <w:t xml:space="preserve"> </w:t>
      </w:r>
      <w:r w:rsidRPr="002029AF">
        <w:t>employee</w:t>
      </w:r>
      <w:r>
        <w:t xml:space="preserve"> </w:t>
      </w:r>
      <w:r w:rsidRPr="002029AF">
        <w:t>recognition</w:t>
      </w:r>
      <w:r>
        <w:t xml:space="preserve"> </w:t>
      </w:r>
      <w:r w:rsidRPr="002029AF">
        <w:t>processes.</w:t>
      </w:r>
    </w:p>
    <w:p w14:paraId="4A5655A6" w14:textId="77777777" w:rsidR="001A70B8" w:rsidRPr="002029AF" w:rsidRDefault="001A70B8" w:rsidP="00101E5D">
      <w:pPr>
        <w:pStyle w:val="Heading3"/>
        <w:shd w:val="clear" w:color="auto" w:fill="FFFFFF" w:themeFill="background1"/>
      </w:pPr>
      <w:bookmarkStart w:id="248" w:name="_Toc85121218"/>
      <w:r w:rsidRPr="002029AF">
        <w:t>Our</w:t>
      </w:r>
      <w:r>
        <w:t xml:space="preserve"> </w:t>
      </w:r>
      <w:r w:rsidRPr="002029AF">
        <w:t>People</w:t>
      </w:r>
      <w:bookmarkEnd w:id="248"/>
    </w:p>
    <w:p w14:paraId="15433F42" w14:textId="2981F36F" w:rsidR="001A70B8" w:rsidRPr="00162053" w:rsidRDefault="001A70B8" w:rsidP="00101E5D">
      <w:pPr>
        <w:pStyle w:val="ARbody"/>
        <w:shd w:val="clear" w:color="auto" w:fill="FFFFFF" w:themeFill="background1"/>
      </w:pPr>
      <w:r w:rsidRPr="002029AF">
        <w:t>The</w:t>
      </w:r>
      <w:r>
        <w:t xml:space="preserve"> </w:t>
      </w:r>
      <w:r w:rsidRPr="002029AF">
        <w:t>department</w:t>
      </w:r>
      <w:r>
        <w:t>’</w:t>
      </w:r>
      <w:r w:rsidRPr="002029AF">
        <w:t>s</w:t>
      </w:r>
      <w:r>
        <w:t xml:space="preserve"> </w:t>
      </w:r>
      <w:r w:rsidRPr="002029AF">
        <w:t>people</w:t>
      </w:r>
      <w:r>
        <w:t xml:space="preserve"> </w:t>
      </w:r>
      <w:r w:rsidRPr="002029AF">
        <w:t>work</w:t>
      </w:r>
      <w:r>
        <w:t xml:space="preserve"> </w:t>
      </w:r>
      <w:r w:rsidRPr="002029AF">
        <w:t>across</w:t>
      </w:r>
      <w:r>
        <w:t xml:space="preserve"> </w:t>
      </w:r>
      <w:r w:rsidRPr="002029AF">
        <w:t>a</w:t>
      </w:r>
      <w:r>
        <w:t xml:space="preserve"> </w:t>
      </w:r>
      <w:r w:rsidRPr="002029AF">
        <w:t>range</w:t>
      </w:r>
      <w:r>
        <w:t xml:space="preserve"> </w:t>
      </w:r>
      <w:r w:rsidRPr="002029AF">
        <w:t>of</w:t>
      </w:r>
      <w:r>
        <w:t xml:space="preserve"> </w:t>
      </w:r>
      <w:r w:rsidRPr="002029AF">
        <w:t>fields</w:t>
      </w:r>
      <w:r w:rsidR="00C85EEC">
        <w:t>,</w:t>
      </w:r>
      <w:r>
        <w:t xml:space="preserve"> </w:t>
      </w:r>
      <w:r w:rsidRPr="002029AF">
        <w:t>including</w:t>
      </w:r>
      <w:r>
        <w:t xml:space="preserve"> </w:t>
      </w:r>
      <w:r w:rsidRPr="002029AF">
        <w:t>aged</w:t>
      </w:r>
      <w:r>
        <w:t xml:space="preserve"> </w:t>
      </w:r>
      <w:r w:rsidRPr="002029AF">
        <w:t>care,</w:t>
      </w:r>
      <w:r>
        <w:t xml:space="preserve"> </w:t>
      </w:r>
      <w:r w:rsidRPr="002029AF">
        <w:t>mental</w:t>
      </w:r>
      <w:r>
        <w:t xml:space="preserve"> </w:t>
      </w:r>
      <w:r w:rsidRPr="002029AF">
        <w:t>health</w:t>
      </w:r>
      <w:r>
        <w:t xml:space="preserve">, </w:t>
      </w:r>
      <w:r w:rsidRPr="002029AF">
        <w:t>public</w:t>
      </w:r>
      <w:r>
        <w:t xml:space="preserve"> </w:t>
      </w:r>
      <w:r w:rsidRPr="002029AF">
        <w:t>health</w:t>
      </w:r>
      <w:r>
        <w:t xml:space="preserve"> </w:t>
      </w:r>
      <w:r w:rsidRPr="002029AF">
        <w:t>and</w:t>
      </w:r>
      <w:r>
        <w:t xml:space="preserve"> </w:t>
      </w:r>
      <w:r w:rsidRPr="002029AF">
        <w:t>prevention</w:t>
      </w:r>
      <w:r>
        <w:t xml:space="preserve">. </w:t>
      </w:r>
      <w:r w:rsidRPr="002029AF">
        <w:t>The</w:t>
      </w:r>
      <w:r>
        <w:t xml:space="preserve"> </w:t>
      </w:r>
      <w:r w:rsidRPr="002029AF">
        <w:t>corporate</w:t>
      </w:r>
      <w:r>
        <w:t xml:space="preserve"> </w:t>
      </w:r>
      <w:r w:rsidRPr="002029AF">
        <w:t>and</w:t>
      </w:r>
      <w:r>
        <w:t xml:space="preserve"> </w:t>
      </w:r>
      <w:r w:rsidRPr="002029AF">
        <w:t>executive</w:t>
      </w:r>
      <w:r>
        <w:t xml:space="preserve"> </w:t>
      </w:r>
      <w:r w:rsidRPr="002029AF">
        <w:t>support</w:t>
      </w:r>
      <w:r>
        <w:t xml:space="preserve"> </w:t>
      </w:r>
      <w:r w:rsidRPr="002029AF">
        <w:t>functions</w:t>
      </w:r>
      <w:r>
        <w:t xml:space="preserve"> </w:t>
      </w:r>
      <w:r w:rsidRPr="002029AF">
        <w:t>play</w:t>
      </w:r>
      <w:r>
        <w:t xml:space="preserve"> </w:t>
      </w:r>
      <w:r w:rsidRPr="002029AF">
        <w:t>an</w:t>
      </w:r>
      <w:r>
        <w:t xml:space="preserve"> </w:t>
      </w:r>
      <w:r w:rsidRPr="002029AF">
        <w:t>essential</w:t>
      </w:r>
      <w:r>
        <w:t xml:space="preserve"> </w:t>
      </w:r>
      <w:r w:rsidRPr="002029AF">
        <w:t>enabling</w:t>
      </w:r>
      <w:r>
        <w:t xml:space="preserve"> </w:t>
      </w:r>
      <w:r w:rsidRPr="002029AF">
        <w:t>role</w:t>
      </w:r>
      <w:r>
        <w:t xml:space="preserve"> </w:t>
      </w:r>
      <w:r w:rsidRPr="002029AF">
        <w:t>across</w:t>
      </w:r>
      <w:r>
        <w:t xml:space="preserve"> </w:t>
      </w:r>
      <w:r w:rsidRPr="002029AF">
        <w:t>human</w:t>
      </w:r>
      <w:r>
        <w:t xml:space="preserve"> </w:t>
      </w:r>
      <w:r w:rsidRPr="002029AF">
        <w:t>resources,</w:t>
      </w:r>
      <w:r>
        <w:t xml:space="preserve"> </w:t>
      </w:r>
      <w:r w:rsidRPr="002029AF">
        <w:t>communications,</w:t>
      </w:r>
      <w:r>
        <w:t xml:space="preserve"> </w:t>
      </w:r>
      <w:r w:rsidRPr="002029AF">
        <w:t>information</w:t>
      </w:r>
      <w:r>
        <w:t xml:space="preserve"> </w:t>
      </w:r>
      <w:r w:rsidRPr="002029AF">
        <w:t>technology,</w:t>
      </w:r>
      <w:r>
        <w:t xml:space="preserve"> </w:t>
      </w:r>
      <w:r w:rsidRPr="002029AF">
        <w:t>finance</w:t>
      </w:r>
      <w:r>
        <w:t xml:space="preserve"> </w:t>
      </w:r>
      <w:r w:rsidRPr="002029AF">
        <w:t>and</w:t>
      </w:r>
      <w:r>
        <w:t xml:space="preserve"> </w:t>
      </w:r>
      <w:r w:rsidRPr="002029AF">
        <w:t>business</w:t>
      </w:r>
      <w:r>
        <w:t xml:space="preserve"> </w:t>
      </w:r>
      <w:r w:rsidRPr="002029AF">
        <w:t>services.</w:t>
      </w:r>
      <w:r w:rsidR="00FE46AB">
        <w:t xml:space="preserve"> </w:t>
      </w:r>
      <w:r w:rsidRPr="002029AF">
        <w:t>The</w:t>
      </w:r>
      <w:r>
        <w:t xml:space="preserve"> </w:t>
      </w:r>
      <w:r w:rsidRPr="002029AF">
        <w:t>department</w:t>
      </w:r>
      <w:r>
        <w:t>’</w:t>
      </w:r>
      <w:r w:rsidRPr="002029AF">
        <w:t>s</w:t>
      </w:r>
      <w:r>
        <w:t xml:space="preserve"> </w:t>
      </w:r>
      <w:r w:rsidRPr="002029AF">
        <w:t>strategic</w:t>
      </w:r>
      <w:r>
        <w:t xml:space="preserve"> </w:t>
      </w:r>
      <w:r w:rsidRPr="002029AF">
        <w:t>plan</w:t>
      </w:r>
      <w:r>
        <w:t xml:space="preserve"> </w:t>
      </w:r>
      <w:r w:rsidRPr="002029AF">
        <w:t>sets</w:t>
      </w:r>
      <w:r>
        <w:t xml:space="preserve"> </w:t>
      </w:r>
      <w:r w:rsidRPr="002029AF">
        <w:t>out</w:t>
      </w:r>
      <w:r>
        <w:t xml:space="preserve"> </w:t>
      </w:r>
      <w:r w:rsidRPr="002029AF">
        <w:t>the</w:t>
      </w:r>
      <w:r>
        <w:t xml:space="preserve"> </w:t>
      </w:r>
      <w:r w:rsidRPr="002029AF">
        <w:t>directions</w:t>
      </w:r>
      <w:r>
        <w:t xml:space="preserve"> </w:t>
      </w:r>
      <w:r w:rsidRPr="002029AF">
        <w:t>and</w:t>
      </w:r>
      <w:r>
        <w:t xml:space="preserve"> </w:t>
      </w:r>
      <w:r w:rsidRPr="002029AF">
        <w:t>priorities</w:t>
      </w:r>
      <w:r>
        <w:t xml:space="preserve"> </w:t>
      </w:r>
      <w:r w:rsidRPr="002029AF">
        <w:t>for</w:t>
      </w:r>
      <w:r>
        <w:t xml:space="preserve"> </w:t>
      </w:r>
      <w:r w:rsidRPr="002029AF">
        <w:t>service</w:t>
      </w:r>
      <w:r>
        <w:t xml:space="preserve"> </w:t>
      </w:r>
      <w:r w:rsidRPr="002029AF">
        <w:t>delivery.</w:t>
      </w:r>
    </w:p>
    <w:p w14:paraId="4FDE761B" w14:textId="77777777" w:rsidR="001A70B8" w:rsidRPr="002029AF" w:rsidRDefault="001A70B8" w:rsidP="00FE46AB">
      <w:pPr>
        <w:pStyle w:val="Heading4"/>
        <w:rPr>
          <w:szCs w:val="20"/>
        </w:rPr>
      </w:pPr>
      <w:bookmarkStart w:id="249" w:name="_Toc85121220"/>
      <w:r w:rsidRPr="2B5AF320">
        <w:t>Recognising</w:t>
      </w:r>
      <w:r>
        <w:t xml:space="preserve"> </w:t>
      </w:r>
      <w:r w:rsidRPr="2B5AF320">
        <w:t>our</w:t>
      </w:r>
      <w:r>
        <w:t xml:space="preserve"> </w:t>
      </w:r>
      <w:r w:rsidRPr="2B5AF320">
        <w:t>employees</w:t>
      </w:r>
      <w:bookmarkEnd w:id="249"/>
    </w:p>
    <w:p w14:paraId="2465CD51" w14:textId="404BEA65" w:rsidR="001A70B8" w:rsidRPr="002029AF" w:rsidRDefault="001A70B8" w:rsidP="00101E5D">
      <w:pPr>
        <w:pStyle w:val="ARbody"/>
        <w:shd w:val="clear" w:color="auto" w:fill="FFFFFF" w:themeFill="background1"/>
      </w:pPr>
      <w:r>
        <w:t xml:space="preserve">The department held its inaugural Reflection </w:t>
      </w:r>
      <w:r w:rsidR="00C85EEC">
        <w:t xml:space="preserve">and </w:t>
      </w:r>
      <w:r>
        <w:t xml:space="preserve">Recognition Awards </w:t>
      </w:r>
      <w:r w:rsidR="0071638C">
        <w:t xml:space="preserve">(RARAs) </w:t>
      </w:r>
      <w:r>
        <w:t>in December 2021, which acknowledge</w:t>
      </w:r>
      <w:r w:rsidR="00C85EEC">
        <w:t>d</w:t>
      </w:r>
      <w:r>
        <w:t xml:space="preserve"> the achievements and contributions of </w:t>
      </w:r>
      <w:r w:rsidR="00053F39">
        <w:t xml:space="preserve">its </w:t>
      </w:r>
      <w:r>
        <w:t>people.</w:t>
      </w:r>
    </w:p>
    <w:p w14:paraId="51E87618" w14:textId="205A864E" w:rsidR="00826569" w:rsidRDefault="001A70B8" w:rsidP="00826569">
      <w:pPr>
        <w:pStyle w:val="ARbody"/>
        <w:shd w:val="clear" w:color="auto" w:fill="FFFFFF" w:themeFill="background1"/>
      </w:pPr>
      <w:r>
        <w:t>In the virtual awards, the Secretary thanked staff for</w:t>
      </w:r>
      <w:r w:rsidR="00F0313F">
        <w:t> </w:t>
      </w:r>
      <w:r>
        <w:t>their hard work and dedication and for making a</w:t>
      </w:r>
      <w:r w:rsidR="00F0313F">
        <w:t> </w:t>
      </w:r>
      <w:r>
        <w:t>critical difference to the health and wellbeing of Victorian communities.</w:t>
      </w:r>
      <w:r w:rsidR="007702F0">
        <w:t xml:space="preserve"> </w:t>
      </w:r>
      <w:r>
        <w:t xml:space="preserve">The </w:t>
      </w:r>
      <w:r w:rsidR="0071638C">
        <w:t>RARAs</w:t>
      </w:r>
      <w:r>
        <w:t xml:space="preserve"> celebrated</w:t>
      </w:r>
      <w:r w:rsidR="00D24CC0">
        <w:t xml:space="preserve"> not just the specific </w:t>
      </w:r>
      <w:r w:rsidR="00D24CC0" w:rsidRPr="00D21221">
        <w:t>achievements of individuals but also</w:t>
      </w:r>
      <w:r w:rsidRPr="00D21221">
        <w:t xml:space="preserve"> the collective effort of all staff across the department, </w:t>
      </w:r>
      <w:r w:rsidR="00826569">
        <w:t>in the following</w:t>
      </w:r>
      <w:r w:rsidR="00AD4178" w:rsidRPr="00AD4178">
        <w:t xml:space="preserve"> categories</w:t>
      </w:r>
      <w:r w:rsidR="00826569">
        <w:t>:</w:t>
      </w:r>
    </w:p>
    <w:p w14:paraId="1DFB8E5A" w14:textId="6E21FDF1" w:rsidR="00826569" w:rsidRDefault="00826569" w:rsidP="00826569">
      <w:pPr>
        <w:pStyle w:val="ARbullet1"/>
      </w:pPr>
      <w:r>
        <w:t>I</w:t>
      </w:r>
      <w:r w:rsidR="00AD4178" w:rsidRPr="00AD4178">
        <w:t>mproving Health</w:t>
      </w:r>
    </w:p>
    <w:p w14:paraId="2565A7BA" w14:textId="19C50C11" w:rsidR="00826569" w:rsidRDefault="00826569" w:rsidP="00826569">
      <w:pPr>
        <w:pStyle w:val="ARbullet1"/>
      </w:pPr>
      <w:r w:rsidRPr="00AD4178">
        <w:t>Diversity and Inclusion</w:t>
      </w:r>
    </w:p>
    <w:p w14:paraId="03D609E8" w14:textId="5D5DF096" w:rsidR="00E94455" w:rsidRDefault="00AD4178" w:rsidP="00826569">
      <w:pPr>
        <w:pStyle w:val="ARbullet1"/>
      </w:pPr>
      <w:r w:rsidRPr="00AD4178">
        <w:t>Patient Centred Care</w:t>
      </w:r>
    </w:p>
    <w:p w14:paraId="6215AA45" w14:textId="200382F2" w:rsidR="00E94455" w:rsidRDefault="00AD4178" w:rsidP="00826569">
      <w:pPr>
        <w:pStyle w:val="ARbullet1"/>
      </w:pPr>
      <w:r w:rsidRPr="00AD4178">
        <w:t xml:space="preserve">Work </w:t>
      </w:r>
      <w:r w:rsidR="00E94455">
        <w:t>T</w:t>
      </w:r>
      <w:r w:rsidRPr="00AD4178">
        <w:t xml:space="preserve">ogether as </w:t>
      </w:r>
      <w:r w:rsidR="00E94455">
        <w:t>O</w:t>
      </w:r>
      <w:r w:rsidRPr="00AD4178">
        <w:t>ne</w:t>
      </w:r>
    </w:p>
    <w:p w14:paraId="52DC62B9" w14:textId="1AA19CDC" w:rsidR="00E94455" w:rsidRDefault="00AD4178" w:rsidP="00826569">
      <w:pPr>
        <w:pStyle w:val="ARbullet1"/>
      </w:pPr>
      <w:r w:rsidRPr="00AD4178">
        <w:t xml:space="preserve">Always </w:t>
      </w:r>
      <w:r w:rsidR="00161DC3">
        <w:t>I</w:t>
      </w:r>
      <w:r w:rsidRPr="00AD4178">
        <w:t>mproving</w:t>
      </w:r>
    </w:p>
    <w:p w14:paraId="3AA0BE20" w14:textId="4ABBD334" w:rsidR="00E94455" w:rsidRDefault="00AD4178" w:rsidP="00826569">
      <w:pPr>
        <w:pStyle w:val="ARbullet1"/>
      </w:pPr>
      <w:r w:rsidRPr="00AD4178">
        <w:t xml:space="preserve">Best </w:t>
      </w:r>
      <w:r w:rsidR="00161DC3">
        <w:t>W</w:t>
      </w:r>
      <w:r w:rsidRPr="00AD4178">
        <w:t xml:space="preserve">orkers, </w:t>
      </w:r>
      <w:r w:rsidR="00BD6D1F">
        <w:t xml:space="preserve">Best </w:t>
      </w:r>
      <w:r w:rsidR="00161DC3">
        <w:t>W</w:t>
      </w:r>
      <w:r w:rsidRPr="00AD4178">
        <w:t>orkplaces.</w:t>
      </w:r>
    </w:p>
    <w:p w14:paraId="61A244DA" w14:textId="56FBBA9F" w:rsidR="006679FE" w:rsidRDefault="00AD4178" w:rsidP="00E94455">
      <w:pPr>
        <w:pStyle w:val="ARbodyafterbullets"/>
      </w:pPr>
      <w:r w:rsidRPr="00AD4178">
        <w:t>Additionally</w:t>
      </w:r>
      <w:r w:rsidR="0015479C">
        <w:t>,</w:t>
      </w:r>
      <w:r w:rsidRPr="00AD4178">
        <w:t xml:space="preserve"> Secretary</w:t>
      </w:r>
      <w:r w:rsidR="0015479C">
        <w:t>’s</w:t>
      </w:r>
      <w:r w:rsidRPr="00AD4178">
        <w:t xml:space="preserve"> Awards were presented in</w:t>
      </w:r>
      <w:r w:rsidR="001C7FAA">
        <w:t> </w:t>
      </w:r>
      <w:r w:rsidRPr="00AD4178">
        <w:t xml:space="preserve">the </w:t>
      </w:r>
      <w:r w:rsidR="006679FE">
        <w:t xml:space="preserve">following </w:t>
      </w:r>
      <w:r w:rsidRPr="00AD4178">
        <w:t>categories</w:t>
      </w:r>
      <w:r w:rsidR="006679FE">
        <w:t>:</w:t>
      </w:r>
    </w:p>
    <w:p w14:paraId="714BB6FF" w14:textId="48709B77" w:rsidR="006679FE" w:rsidRDefault="00AD4178" w:rsidP="006679FE">
      <w:pPr>
        <w:pStyle w:val="ARbullet1"/>
      </w:pPr>
      <w:r w:rsidRPr="00AD4178">
        <w:t xml:space="preserve">Valuing </w:t>
      </w:r>
      <w:r w:rsidR="00AB5ED2">
        <w:t>K</w:t>
      </w:r>
      <w:r w:rsidRPr="00AD4178">
        <w:t>indness</w:t>
      </w:r>
    </w:p>
    <w:p w14:paraId="2E61CFF7" w14:textId="10810CEC" w:rsidR="007702F0" w:rsidRPr="002029AF" w:rsidRDefault="00AD4178" w:rsidP="006679FE">
      <w:pPr>
        <w:pStyle w:val="ARbullet1"/>
      </w:pPr>
      <w:r w:rsidRPr="00AD4178">
        <w:t xml:space="preserve">Making an </w:t>
      </w:r>
      <w:r w:rsidR="006F7E94">
        <w:t>I</w:t>
      </w:r>
      <w:r w:rsidRPr="00AD4178">
        <w:t>mpact</w:t>
      </w:r>
      <w:r>
        <w:t>.</w:t>
      </w:r>
    </w:p>
    <w:p w14:paraId="404A2800" w14:textId="77777777" w:rsidR="001A70B8" w:rsidRDefault="001A70B8" w:rsidP="00101E5D">
      <w:pPr>
        <w:pStyle w:val="Heading3"/>
        <w:shd w:val="clear" w:color="auto" w:fill="FFFFFF" w:themeFill="background1"/>
        <w:rPr>
          <w:szCs w:val="20"/>
        </w:rPr>
      </w:pPr>
      <w:bookmarkStart w:id="250" w:name="_Toc85121221"/>
      <w:r w:rsidRPr="2B5AF320">
        <w:t>Capability</w:t>
      </w:r>
      <w:r>
        <w:t xml:space="preserve"> </w:t>
      </w:r>
      <w:r w:rsidRPr="2B5AF320">
        <w:t>development</w:t>
      </w:r>
      <w:bookmarkEnd w:id="250"/>
    </w:p>
    <w:p w14:paraId="77ED59D2" w14:textId="1D7D7D50" w:rsidR="001A70B8" w:rsidRPr="003A3CC8" w:rsidRDefault="001A70B8" w:rsidP="00101E5D">
      <w:pPr>
        <w:pStyle w:val="ARbody"/>
        <w:shd w:val="clear" w:color="auto" w:fill="FFFFFF" w:themeFill="background1"/>
      </w:pPr>
      <w:r w:rsidRPr="003A3CC8">
        <w:t>COVID-19</w:t>
      </w:r>
      <w:r>
        <w:t xml:space="preserve"> </w:t>
      </w:r>
      <w:r w:rsidRPr="003A3CC8">
        <w:t>and</w:t>
      </w:r>
      <w:r>
        <w:t xml:space="preserve"> </w:t>
      </w:r>
      <w:r w:rsidRPr="003A3CC8">
        <w:t>continued</w:t>
      </w:r>
      <w:r>
        <w:t xml:space="preserve"> </w:t>
      </w:r>
      <w:r w:rsidRPr="003A3CC8">
        <w:t>advances</w:t>
      </w:r>
      <w:r>
        <w:t xml:space="preserve"> </w:t>
      </w:r>
      <w:r w:rsidRPr="003A3CC8">
        <w:t>in</w:t>
      </w:r>
      <w:r>
        <w:t xml:space="preserve"> </w:t>
      </w:r>
      <w:r w:rsidRPr="003A3CC8">
        <w:t>digital</w:t>
      </w:r>
      <w:r>
        <w:t xml:space="preserve"> </w:t>
      </w:r>
      <w:r w:rsidRPr="003A3CC8">
        <w:t>learning</w:t>
      </w:r>
      <w:r>
        <w:t xml:space="preserve"> </w:t>
      </w:r>
      <w:r w:rsidRPr="003A3CC8">
        <w:t>technology</w:t>
      </w:r>
      <w:r>
        <w:t xml:space="preserve"> </w:t>
      </w:r>
      <w:r w:rsidRPr="003A3CC8">
        <w:t>shaped</w:t>
      </w:r>
      <w:r>
        <w:t xml:space="preserve"> </w:t>
      </w:r>
      <w:r w:rsidRPr="003A3CC8">
        <w:t>the</w:t>
      </w:r>
      <w:r>
        <w:t xml:space="preserve"> </w:t>
      </w:r>
      <w:r w:rsidRPr="003A3CC8">
        <w:t>department’s</w:t>
      </w:r>
      <w:r>
        <w:t xml:space="preserve"> </w:t>
      </w:r>
      <w:r w:rsidRPr="003A3CC8">
        <w:t>learning</w:t>
      </w:r>
      <w:r>
        <w:t xml:space="preserve"> </w:t>
      </w:r>
      <w:r w:rsidRPr="003A3CC8">
        <w:t>and</w:t>
      </w:r>
      <w:r>
        <w:t xml:space="preserve"> </w:t>
      </w:r>
      <w:r w:rsidRPr="003A3CC8">
        <w:t>development</w:t>
      </w:r>
      <w:r>
        <w:t xml:space="preserve"> </w:t>
      </w:r>
      <w:r w:rsidRPr="003A3CC8">
        <w:t>approaches</w:t>
      </w:r>
      <w:r>
        <w:t xml:space="preserve"> </w:t>
      </w:r>
      <w:r w:rsidRPr="003A3CC8">
        <w:t>this</w:t>
      </w:r>
      <w:r>
        <w:t xml:space="preserve"> </w:t>
      </w:r>
      <w:r w:rsidRPr="003A3CC8">
        <w:t>year.</w:t>
      </w:r>
      <w:r>
        <w:t xml:space="preserve"> </w:t>
      </w:r>
      <w:r w:rsidRPr="003A3CC8">
        <w:t>The</w:t>
      </w:r>
      <w:r>
        <w:t xml:space="preserve"> </w:t>
      </w:r>
      <w:r w:rsidRPr="003A3CC8">
        <w:t>introduction</w:t>
      </w:r>
      <w:r>
        <w:t xml:space="preserve"> </w:t>
      </w:r>
      <w:r w:rsidRPr="003A3CC8">
        <w:t>of</w:t>
      </w:r>
      <w:r>
        <w:t xml:space="preserve"> </w:t>
      </w:r>
      <w:r w:rsidRPr="003A3CC8">
        <w:t>a</w:t>
      </w:r>
      <w:r>
        <w:t xml:space="preserve"> </w:t>
      </w:r>
      <w:r w:rsidRPr="003A3CC8">
        <w:t>new</w:t>
      </w:r>
      <w:r>
        <w:t xml:space="preserve"> </w:t>
      </w:r>
      <w:r w:rsidRPr="003A3CC8">
        <w:t>learning</w:t>
      </w:r>
      <w:r>
        <w:t xml:space="preserve"> </w:t>
      </w:r>
      <w:r w:rsidRPr="003A3CC8">
        <w:t>management</w:t>
      </w:r>
      <w:r>
        <w:t xml:space="preserve"> </w:t>
      </w:r>
      <w:r w:rsidRPr="003A3CC8">
        <w:t>system,</w:t>
      </w:r>
      <w:r>
        <w:t xml:space="preserve"> </w:t>
      </w:r>
      <w:r w:rsidRPr="003A3CC8">
        <w:t>OurPeople</w:t>
      </w:r>
      <w:r>
        <w:t xml:space="preserve"> </w:t>
      </w:r>
      <w:r w:rsidRPr="003A3CC8">
        <w:t>Learning,</w:t>
      </w:r>
      <w:r>
        <w:t xml:space="preserve"> </w:t>
      </w:r>
      <w:r w:rsidRPr="003A3CC8">
        <w:t>created</w:t>
      </w:r>
      <w:r>
        <w:t xml:space="preserve"> </w:t>
      </w:r>
      <w:r w:rsidRPr="003A3CC8">
        <w:t>a</w:t>
      </w:r>
      <w:r>
        <w:t xml:space="preserve"> </w:t>
      </w:r>
      <w:r w:rsidRPr="003A3CC8">
        <w:t>one-stop</w:t>
      </w:r>
      <w:r>
        <w:t xml:space="preserve"> </w:t>
      </w:r>
      <w:r w:rsidRPr="003A3CC8">
        <w:t>shop</w:t>
      </w:r>
      <w:r>
        <w:t xml:space="preserve"> </w:t>
      </w:r>
      <w:r w:rsidRPr="003A3CC8">
        <w:t>for</w:t>
      </w:r>
      <w:r>
        <w:t xml:space="preserve"> </w:t>
      </w:r>
      <w:r w:rsidRPr="003A3CC8">
        <w:t>staff</w:t>
      </w:r>
      <w:r>
        <w:t xml:space="preserve"> </w:t>
      </w:r>
      <w:r w:rsidRPr="003A3CC8">
        <w:t>to</w:t>
      </w:r>
      <w:r>
        <w:t xml:space="preserve"> </w:t>
      </w:r>
      <w:r w:rsidRPr="003A3CC8">
        <w:t>access</w:t>
      </w:r>
      <w:r>
        <w:t xml:space="preserve"> </w:t>
      </w:r>
      <w:r w:rsidRPr="003A3CC8">
        <w:t>a</w:t>
      </w:r>
      <w:r>
        <w:t xml:space="preserve"> </w:t>
      </w:r>
      <w:r w:rsidRPr="003A3CC8">
        <w:t>suite</w:t>
      </w:r>
      <w:r>
        <w:t xml:space="preserve"> </w:t>
      </w:r>
      <w:r w:rsidRPr="003A3CC8">
        <w:t>of</w:t>
      </w:r>
      <w:r>
        <w:t xml:space="preserve"> </w:t>
      </w:r>
      <w:r w:rsidRPr="003A3CC8">
        <w:t>238</w:t>
      </w:r>
      <w:r>
        <w:t xml:space="preserve"> </w:t>
      </w:r>
      <w:r w:rsidRPr="003A3CC8">
        <w:t>different</w:t>
      </w:r>
      <w:r>
        <w:t xml:space="preserve"> </w:t>
      </w:r>
      <w:r w:rsidRPr="003A3CC8">
        <w:t>learning</w:t>
      </w:r>
      <w:r>
        <w:t xml:space="preserve"> </w:t>
      </w:r>
      <w:r w:rsidRPr="003A3CC8">
        <w:t>offerings.</w:t>
      </w:r>
      <w:r>
        <w:t xml:space="preserve"> </w:t>
      </w:r>
      <w:r w:rsidRPr="003A3CC8">
        <w:t>These</w:t>
      </w:r>
      <w:r>
        <w:t xml:space="preserve"> </w:t>
      </w:r>
      <w:r w:rsidRPr="003A3CC8">
        <w:t>offerings</w:t>
      </w:r>
      <w:r>
        <w:t xml:space="preserve"> </w:t>
      </w:r>
      <w:r w:rsidRPr="003A3CC8">
        <w:t>were</w:t>
      </w:r>
      <w:r>
        <w:t xml:space="preserve"> </w:t>
      </w:r>
      <w:r w:rsidRPr="003A3CC8">
        <w:t>further</w:t>
      </w:r>
      <w:r>
        <w:t xml:space="preserve"> </w:t>
      </w:r>
      <w:r w:rsidRPr="003A3CC8">
        <w:t>supplemented</w:t>
      </w:r>
      <w:r>
        <w:t xml:space="preserve"> </w:t>
      </w:r>
      <w:r w:rsidRPr="003A3CC8">
        <w:t>by</w:t>
      </w:r>
      <w:r>
        <w:t xml:space="preserve"> </w:t>
      </w:r>
      <w:r w:rsidRPr="003A3CC8">
        <w:t>access</w:t>
      </w:r>
      <w:r>
        <w:t xml:space="preserve"> </w:t>
      </w:r>
      <w:r w:rsidRPr="003A3CC8">
        <w:t>to</w:t>
      </w:r>
      <w:r>
        <w:t xml:space="preserve"> </w:t>
      </w:r>
      <w:r w:rsidRPr="003A3CC8">
        <w:t>thousands</w:t>
      </w:r>
      <w:r>
        <w:t xml:space="preserve"> </w:t>
      </w:r>
      <w:r w:rsidRPr="003A3CC8">
        <w:t>of</w:t>
      </w:r>
      <w:r>
        <w:t xml:space="preserve"> </w:t>
      </w:r>
      <w:r w:rsidRPr="003A3CC8">
        <w:t>online</w:t>
      </w:r>
      <w:r>
        <w:t xml:space="preserve"> </w:t>
      </w:r>
      <w:r w:rsidRPr="003A3CC8">
        <w:t>courses</w:t>
      </w:r>
      <w:r>
        <w:t xml:space="preserve"> </w:t>
      </w:r>
      <w:r w:rsidRPr="003A3CC8">
        <w:t>through</w:t>
      </w:r>
      <w:r>
        <w:t xml:space="preserve"> </w:t>
      </w:r>
      <w:r w:rsidRPr="003A3CC8">
        <w:t>LinkedIn</w:t>
      </w:r>
      <w:r>
        <w:t xml:space="preserve"> </w:t>
      </w:r>
      <w:r w:rsidRPr="003A3CC8">
        <w:t>Learning,</w:t>
      </w:r>
      <w:r>
        <w:t xml:space="preserve"> </w:t>
      </w:r>
      <w:r w:rsidRPr="003A3CC8">
        <w:t>providing</w:t>
      </w:r>
      <w:r>
        <w:t xml:space="preserve"> </w:t>
      </w:r>
      <w:r w:rsidRPr="003A3CC8">
        <w:t>staff</w:t>
      </w:r>
      <w:r>
        <w:t xml:space="preserve"> </w:t>
      </w:r>
      <w:r w:rsidRPr="003A3CC8">
        <w:t>with</w:t>
      </w:r>
      <w:r>
        <w:t xml:space="preserve"> </w:t>
      </w:r>
      <w:r w:rsidRPr="003A3CC8">
        <w:t>the</w:t>
      </w:r>
      <w:r>
        <w:t xml:space="preserve"> </w:t>
      </w:r>
      <w:r w:rsidR="00C85EEC">
        <w:t xml:space="preserve">opportunity </w:t>
      </w:r>
      <w:r w:rsidRPr="003A3CC8">
        <w:t>to</w:t>
      </w:r>
      <w:r>
        <w:t xml:space="preserve"> </w:t>
      </w:r>
      <w:r w:rsidRPr="003A3CC8">
        <w:t>learn</w:t>
      </w:r>
      <w:r>
        <w:t xml:space="preserve"> </w:t>
      </w:r>
      <w:r w:rsidRPr="003A3CC8">
        <w:t>how,</w:t>
      </w:r>
      <w:r>
        <w:t xml:space="preserve"> </w:t>
      </w:r>
      <w:r w:rsidRPr="003A3CC8">
        <w:t>when</w:t>
      </w:r>
      <w:r>
        <w:t xml:space="preserve"> </w:t>
      </w:r>
      <w:r w:rsidRPr="003A3CC8">
        <w:t>and</w:t>
      </w:r>
      <w:r>
        <w:t xml:space="preserve"> </w:t>
      </w:r>
      <w:r w:rsidRPr="003A3CC8">
        <w:t>where</w:t>
      </w:r>
      <w:r>
        <w:t xml:space="preserve"> </w:t>
      </w:r>
      <w:r w:rsidRPr="003A3CC8">
        <w:t>it</w:t>
      </w:r>
      <w:r>
        <w:t xml:space="preserve"> </w:t>
      </w:r>
      <w:r w:rsidRPr="003A3CC8">
        <w:t>suited</w:t>
      </w:r>
      <w:r>
        <w:t xml:space="preserve"> </w:t>
      </w:r>
      <w:r w:rsidRPr="003A3CC8">
        <w:t>them.</w:t>
      </w:r>
    </w:p>
    <w:p w14:paraId="782A654F" w14:textId="705E7A3B" w:rsidR="00B4461E" w:rsidRPr="00FE46AB" w:rsidRDefault="00B4461E" w:rsidP="00FE46AB">
      <w:pPr>
        <w:pStyle w:val="Heading4"/>
      </w:pPr>
      <w:r w:rsidRPr="00FE46AB">
        <w:t>Health professional technical training</w:t>
      </w:r>
    </w:p>
    <w:p w14:paraId="5336EB49" w14:textId="0893106E" w:rsidR="00B4461E" w:rsidRDefault="001A70B8" w:rsidP="00101E5D">
      <w:pPr>
        <w:pStyle w:val="ARbody"/>
        <w:shd w:val="clear" w:color="auto" w:fill="FFFFFF" w:themeFill="background1"/>
      </w:pPr>
      <w:r w:rsidRPr="003A3CC8">
        <w:t>Learning</w:t>
      </w:r>
      <w:r>
        <w:t xml:space="preserve"> </w:t>
      </w:r>
      <w:r w:rsidRPr="003A3CC8">
        <w:t>and</w:t>
      </w:r>
      <w:r>
        <w:t xml:space="preserve"> </w:t>
      </w:r>
      <w:r w:rsidRPr="003A3CC8">
        <w:t>development</w:t>
      </w:r>
      <w:r>
        <w:t xml:space="preserve"> </w:t>
      </w:r>
      <w:r w:rsidRPr="003A3CC8">
        <w:t>continued</w:t>
      </w:r>
      <w:r>
        <w:t xml:space="preserve"> </w:t>
      </w:r>
      <w:r w:rsidRPr="003A3CC8">
        <w:t>to</w:t>
      </w:r>
      <w:r>
        <w:t xml:space="preserve"> </w:t>
      </w:r>
      <w:r w:rsidRPr="003A3CC8">
        <w:t>focus</w:t>
      </w:r>
      <w:r>
        <w:t xml:space="preserve"> </w:t>
      </w:r>
      <w:r w:rsidRPr="003A3CC8">
        <w:t>on</w:t>
      </w:r>
      <w:r>
        <w:t xml:space="preserve"> </w:t>
      </w:r>
      <w:r w:rsidRPr="003A3CC8">
        <w:t>the</w:t>
      </w:r>
      <w:r>
        <w:t xml:space="preserve"> </w:t>
      </w:r>
      <w:r w:rsidRPr="003A3CC8">
        <w:t>role</w:t>
      </w:r>
      <w:r>
        <w:t xml:space="preserve"> </w:t>
      </w:r>
      <w:r w:rsidRPr="003A3CC8">
        <w:t>of</w:t>
      </w:r>
      <w:r>
        <w:t xml:space="preserve"> </w:t>
      </w:r>
      <w:r w:rsidR="00301180">
        <w:t>the department’s</w:t>
      </w:r>
      <w:r w:rsidR="00D44732">
        <w:t xml:space="preserve"> a</w:t>
      </w:r>
      <w:r w:rsidRPr="003A3CC8">
        <w:t>uthorised</w:t>
      </w:r>
      <w:r>
        <w:t xml:space="preserve"> </w:t>
      </w:r>
      <w:r w:rsidR="00D44732">
        <w:t>o</w:t>
      </w:r>
      <w:r w:rsidRPr="003A3CC8">
        <w:t>fficer</w:t>
      </w:r>
      <w:r w:rsidR="00301180">
        <w:t>s</w:t>
      </w:r>
      <w:r>
        <w:t xml:space="preserve"> </w:t>
      </w:r>
      <w:r w:rsidRPr="003A3CC8">
        <w:t>and</w:t>
      </w:r>
      <w:r>
        <w:t xml:space="preserve"> </w:t>
      </w:r>
      <w:r w:rsidR="00D44732">
        <w:t>i</w:t>
      </w:r>
      <w:r w:rsidRPr="003A3CC8">
        <w:t>nfection</w:t>
      </w:r>
      <w:r>
        <w:t xml:space="preserve"> </w:t>
      </w:r>
      <w:r w:rsidR="00D44732">
        <w:t>p</w:t>
      </w:r>
      <w:r w:rsidRPr="003A3CC8">
        <w:t>revention</w:t>
      </w:r>
      <w:r>
        <w:t xml:space="preserve"> </w:t>
      </w:r>
      <w:r w:rsidRPr="003A3CC8">
        <w:t>and</w:t>
      </w:r>
      <w:r>
        <w:t xml:space="preserve"> </w:t>
      </w:r>
      <w:r w:rsidR="00D44732">
        <w:t>c</w:t>
      </w:r>
      <w:r w:rsidRPr="003A3CC8">
        <w:t>ontrol,</w:t>
      </w:r>
      <w:r>
        <w:t xml:space="preserve"> </w:t>
      </w:r>
      <w:r w:rsidRPr="003A3CC8">
        <w:t>supported</w:t>
      </w:r>
      <w:r>
        <w:t xml:space="preserve"> </w:t>
      </w:r>
      <w:r w:rsidRPr="003A3CC8">
        <w:t>by</w:t>
      </w:r>
      <w:r>
        <w:t xml:space="preserve"> </w:t>
      </w:r>
      <w:r w:rsidRPr="003A3CC8">
        <w:t>the</w:t>
      </w:r>
      <w:r>
        <w:t xml:space="preserve"> </w:t>
      </w:r>
      <w:r w:rsidRPr="003A3CC8">
        <w:t>Health</w:t>
      </w:r>
      <w:r>
        <w:t xml:space="preserve"> </w:t>
      </w:r>
      <w:r w:rsidRPr="003A3CC8">
        <w:t>Professional</w:t>
      </w:r>
      <w:r>
        <w:t xml:space="preserve"> </w:t>
      </w:r>
      <w:r w:rsidRPr="003A3CC8">
        <w:t>Technical</w:t>
      </w:r>
      <w:r>
        <w:t xml:space="preserve"> </w:t>
      </w:r>
      <w:r w:rsidRPr="003A3CC8">
        <w:t>Training</w:t>
      </w:r>
      <w:r>
        <w:t xml:space="preserve"> </w:t>
      </w:r>
      <w:r w:rsidRPr="003A3CC8">
        <w:t>(HPTT)</w:t>
      </w:r>
      <w:r>
        <w:t xml:space="preserve"> </w:t>
      </w:r>
      <w:r w:rsidRPr="003A3CC8">
        <w:t>team.</w:t>
      </w:r>
      <w:r>
        <w:t xml:space="preserve"> </w:t>
      </w:r>
      <w:r w:rsidRPr="003A3CC8">
        <w:t>Across</w:t>
      </w:r>
      <w:r>
        <w:t xml:space="preserve"> </w:t>
      </w:r>
      <w:r w:rsidRPr="003A3CC8">
        <w:t>the</w:t>
      </w:r>
      <w:r>
        <w:t xml:space="preserve"> </w:t>
      </w:r>
      <w:r w:rsidRPr="003A3CC8">
        <w:t>department</w:t>
      </w:r>
      <w:r>
        <w:t xml:space="preserve"> </w:t>
      </w:r>
      <w:r w:rsidRPr="003A3CC8">
        <w:t>and</w:t>
      </w:r>
      <w:r>
        <w:t xml:space="preserve"> </w:t>
      </w:r>
      <w:r w:rsidR="00D44732">
        <w:t>l</w:t>
      </w:r>
      <w:r w:rsidRPr="003A3CC8">
        <w:t>ocal</w:t>
      </w:r>
      <w:r>
        <w:t xml:space="preserve"> </w:t>
      </w:r>
      <w:r w:rsidR="00D44732">
        <w:t>p</w:t>
      </w:r>
      <w:r w:rsidRPr="003A3CC8">
        <w:t>ublic</w:t>
      </w:r>
      <w:r>
        <w:t xml:space="preserve"> </w:t>
      </w:r>
      <w:r w:rsidR="00D44732">
        <w:t>h</w:t>
      </w:r>
      <w:r w:rsidRPr="003A3CC8">
        <w:t>ealth</w:t>
      </w:r>
      <w:r>
        <w:t xml:space="preserve"> </w:t>
      </w:r>
      <w:r w:rsidR="00D44732">
        <w:t>u</w:t>
      </w:r>
      <w:r w:rsidRPr="003A3CC8">
        <w:t>nits</w:t>
      </w:r>
      <w:r>
        <w:t xml:space="preserve"> </w:t>
      </w:r>
      <w:r w:rsidRPr="003A3CC8">
        <w:t>workforce</w:t>
      </w:r>
      <w:r>
        <w:t xml:space="preserve"> </w:t>
      </w:r>
      <w:r w:rsidRPr="003A3CC8">
        <w:t>this</w:t>
      </w:r>
      <w:r>
        <w:t xml:space="preserve"> </w:t>
      </w:r>
      <w:r w:rsidRPr="003A3CC8">
        <w:t>year,</w:t>
      </w:r>
      <w:r>
        <w:t xml:space="preserve"> </w:t>
      </w:r>
      <w:r w:rsidRPr="003A3CC8">
        <w:t>general</w:t>
      </w:r>
      <w:r>
        <w:t xml:space="preserve"> </w:t>
      </w:r>
      <w:r w:rsidRPr="003A3CC8">
        <w:t>and</w:t>
      </w:r>
      <w:r>
        <w:t xml:space="preserve"> </w:t>
      </w:r>
      <w:r w:rsidRPr="003A3CC8">
        <w:t>specialist</w:t>
      </w:r>
      <w:r>
        <w:t xml:space="preserve"> </w:t>
      </w:r>
      <w:r w:rsidRPr="003A3CC8">
        <w:t>training</w:t>
      </w:r>
      <w:r>
        <w:t xml:space="preserve"> </w:t>
      </w:r>
      <w:r w:rsidRPr="003A3CC8">
        <w:t>was</w:t>
      </w:r>
      <w:r>
        <w:t xml:space="preserve"> </w:t>
      </w:r>
      <w:r w:rsidRPr="003A3CC8">
        <w:t>provided</w:t>
      </w:r>
      <w:r>
        <w:t xml:space="preserve"> </w:t>
      </w:r>
      <w:r w:rsidRPr="003A3CC8">
        <w:t>to</w:t>
      </w:r>
      <w:r>
        <w:t xml:space="preserve"> </w:t>
      </w:r>
      <w:r w:rsidRPr="003A3CC8">
        <w:t>more</w:t>
      </w:r>
      <w:r>
        <w:t xml:space="preserve"> </w:t>
      </w:r>
      <w:r w:rsidRPr="003A3CC8">
        <w:t>than</w:t>
      </w:r>
      <w:r>
        <w:t xml:space="preserve"> </w:t>
      </w:r>
      <w:r w:rsidRPr="003A3CC8">
        <w:t>630</w:t>
      </w:r>
      <w:r w:rsidR="00CD16CF">
        <w:t> </w:t>
      </w:r>
      <w:r w:rsidRPr="003A3CC8">
        <w:t>staff</w:t>
      </w:r>
      <w:r w:rsidR="00D44732">
        <w:t>,</w:t>
      </w:r>
      <w:r>
        <w:t xml:space="preserve"> </w:t>
      </w:r>
      <w:r w:rsidRPr="003A3CC8">
        <w:t>including</w:t>
      </w:r>
      <w:r>
        <w:t xml:space="preserve"> </w:t>
      </w:r>
      <w:r w:rsidRPr="003A3CC8">
        <w:t>a</w:t>
      </w:r>
      <w:r>
        <w:t xml:space="preserve"> </w:t>
      </w:r>
      <w:r w:rsidRPr="003A3CC8">
        <w:t>suite</w:t>
      </w:r>
      <w:r>
        <w:t xml:space="preserve"> </w:t>
      </w:r>
      <w:r w:rsidRPr="003A3CC8">
        <w:t>of</w:t>
      </w:r>
      <w:r>
        <w:t xml:space="preserve"> </w:t>
      </w:r>
      <w:r w:rsidR="00682CAB">
        <w:t>modules</w:t>
      </w:r>
      <w:r>
        <w:t xml:space="preserve"> </w:t>
      </w:r>
      <w:r w:rsidRPr="003A3CC8">
        <w:t>introduced</w:t>
      </w:r>
      <w:r>
        <w:t xml:space="preserve"> </w:t>
      </w:r>
      <w:r w:rsidRPr="003A3CC8">
        <w:t>through</w:t>
      </w:r>
      <w:r>
        <w:t xml:space="preserve"> </w:t>
      </w:r>
      <w:r w:rsidRPr="003A3CC8">
        <w:t>OurPeople</w:t>
      </w:r>
      <w:r>
        <w:t xml:space="preserve"> </w:t>
      </w:r>
      <w:r w:rsidRPr="003A3CC8">
        <w:t>Learning.</w:t>
      </w:r>
      <w:r>
        <w:t xml:space="preserve"> </w:t>
      </w:r>
      <w:r w:rsidRPr="003A3CC8">
        <w:t>HPTT</w:t>
      </w:r>
      <w:r>
        <w:t xml:space="preserve"> </w:t>
      </w:r>
      <w:r w:rsidRPr="003A3CC8">
        <w:t>assisted</w:t>
      </w:r>
      <w:r>
        <w:t xml:space="preserve"> </w:t>
      </w:r>
      <w:r w:rsidRPr="003A3CC8">
        <w:t>several</w:t>
      </w:r>
      <w:r>
        <w:t xml:space="preserve"> </w:t>
      </w:r>
      <w:r w:rsidRPr="003A3CC8">
        <w:t>external</w:t>
      </w:r>
      <w:r>
        <w:t xml:space="preserve"> </w:t>
      </w:r>
      <w:r w:rsidRPr="003A3CC8">
        <w:t>agencies</w:t>
      </w:r>
      <w:r>
        <w:t xml:space="preserve"> </w:t>
      </w:r>
      <w:r w:rsidRPr="003A3CC8">
        <w:t>engaged</w:t>
      </w:r>
      <w:r>
        <w:t xml:space="preserve"> </w:t>
      </w:r>
      <w:r w:rsidRPr="003A3CC8">
        <w:t>to</w:t>
      </w:r>
      <w:r>
        <w:t xml:space="preserve"> </w:t>
      </w:r>
      <w:r w:rsidRPr="003A3CC8">
        <w:t>support</w:t>
      </w:r>
      <w:r>
        <w:t xml:space="preserve"> </w:t>
      </w:r>
      <w:r w:rsidRPr="003A3CC8">
        <w:t>the</w:t>
      </w:r>
      <w:r w:rsidR="00CD16CF">
        <w:t> </w:t>
      </w:r>
      <w:r w:rsidRPr="003A3CC8">
        <w:t>department</w:t>
      </w:r>
      <w:r w:rsidR="00D44732">
        <w:t>’</w:t>
      </w:r>
      <w:r w:rsidRPr="003A3CC8">
        <w:t>s</w:t>
      </w:r>
      <w:r>
        <w:t xml:space="preserve"> </w:t>
      </w:r>
      <w:r w:rsidRPr="003A3CC8">
        <w:t>operation</w:t>
      </w:r>
      <w:r w:rsidR="00D44732">
        <w:t>s</w:t>
      </w:r>
      <w:r>
        <w:t xml:space="preserve"> </w:t>
      </w:r>
      <w:r w:rsidRPr="003A3CC8">
        <w:t>around</w:t>
      </w:r>
      <w:r>
        <w:t xml:space="preserve"> </w:t>
      </w:r>
      <w:r w:rsidRPr="003A3CC8">
        <w:t>COVID</w:t>
      </w:r>
      <w:r w:rsidR="00D44732">
        <w:t>-</w:t>
      </w:r>
      <w:r w:rsidRPr="003A3CC8">
        <w:t>19</w:t>
      </w:r>
      <w:r>
        <w:t xml:space="preserve"> </w:t>
      </w:r>
      <w:r w:rsidRPr="003A3CC8">
        <w:t>and</w:t>
      </w:r>
      <w:r w:rsidR="00CD16CF">
        <w:t> </w:t>
      </w:r>
      <w:r w:rsidRPr="003A3CC8">
        <w:t>provided</w:t>
      </w:r>
      <w:r>
        <w:t xml:space="preserve"> </w:t>
      </w:r>
      <w:r w:rsidRPr="003A3CC8">
        <w:t>training</w:t>
      </w:r>
      <w:r>
        <w:t xml:space="preserve"> </w:t>
      </w:r>
      <w:r w:rsidRPr="003A3CC8">
        <w:t>to</w:t>
      </w:r>
      <w:r>
        <w:t xml:space="preserve"> </w:t>
      </w:r>
      <w:r w:rsidRPr="003A3CC8">
        <w:t>over</w:t>
      </w:r>
      <w:r>
        <w:t xml:space="preserve"> </w:t>
      </w:r>
      <w:r w:rsidRPr="003A3CC8">
        <w:t>1</w:t>
      </w:r>
      <w:r w:rsidR="00D551EF">
        <w:t>,</w:t>
      </w:r>
      <w:r w:rsidRPr="003A3CC8">
        <w:t>300</w:t>
      </w:r>
      <w:r>
        <w:t xml:space="preserve"> </w:t>
      </w:r>
      <w:r w:rsidRPr="003A3CC8">
        <w:t>people,</w:t>
      </w:r>
      <w:r>
        <w:t xml:space="preserve"> </w:t>
      </w:r>
      <w:r w:rsidRPr="003A3CC8">
        <w:t>predominantly</w:t>
      </w:r>
      <w:r>
        <w:t xml:space="preserve"> </w:t>
      </w:r>
      <w:r w:rsidRPr="003A3CC8">
        <w:t>related</w:t>
      </w:r>
      <w:r>
        <w:t xml:space="preserve"> </w:t>
      </w:r>
      <w:r w:rsidRPr="003A3CC8">
        <w:t>to</w:t>
      </w:r>
      <w:r>
        <w:t xml:space="preserve"> </w:t>
      </w:r>
      <w:r w:rsidRPr="003A3CC8">
        <w:t>call</w:t>
      </w:r>
      <w:r>
        <w:t xml:space="preserve"> </w:t>
      </w:r>
      <w:r w:rsidRPr="003A3CC8">
        <w:t>centres.</w:t>
      </w:r>
    </w:p>
    <w:p w14:paraId="04908119" w14:textId="61055527" w:rsidR="00B4461E" w:rsidRPr="00FE46AB" w:rsidRDefault="00FE46AB" w:rsidP="00FE46AB">
      <w:pPr>
        <w:pStyle w:val="Heading4"/>
      </w:pPr>
      <w:r w:rsidRPr="00FE46AB">
        <w:t xml:space="preserve">Virtual </w:t>
      </w:r>
      <w:r w:rsidR="008609BC">
        <w:t>workshops</w:t>
      </w:r>
    </w:p>
    <w:p w14:paraId="5B6CD774" w14:textId="496EC34B" w:rsidR="001A70B8" w:rsidRPr="003A3CC8" w:rsidRDefault="001A70B8" w:rsidP="00101E5D">
      <w:pPr>
        <w:pStyle w:val="ARbody"/>
        <w:shd w:val="clear" w:color="auto" w:fill="FFFFFF" w:themeFill="background1"/>
      </w:pPr>
      <w:r w:rsidRPr="00FE46AB">
        <w:t xml:space="preserve">The department also supported over 1,000 new starters through participation in its virtual </w:t>
      </w:r>
      <w:r w:rsidR="00FE46AB" w:rsidRPr="00FE46AB">
        <w:t>i</w:t>
      </w:r>
      <w:r w:rsidRPr="00FE46AB">
        <w:t>nduction to the Department of Health facilitator-led workshop.</w:t>
      </w:r>
    </w:p>
    <w:p w14:paraId="799276F9" w14:textId="77777777" w:rsidR="001A70B8" w:rsidRPr="003A3CC8" w:rsidRDefault="001A70B8" w:rsidP="00101E5D">
      <w:pPr>
        <w:pStyle w:val="ARbody"/>
        <w:shd w:val="clear" w:color="auto" w:fill="FFFFFF" w:themeFill="background1"/>
      </w:pPr>
      <w:r w:rsidRPr="003A3CC8">
        <w:t>The</w:t>
      </w:r>
      <w:r>
        <w:t xml:space="preserve"> </w:t>
      </w:r>
      <w:r w:rsidRPr="003A3CC8">
        <w:t>department’s</w:t>
      </w:r>
      <w:r>
        <w:t xml:space="preserve"> </w:t>
      </w:r>
      <w:r w:rsidRPr="003A3CC8">
        <w:t>efforts</w:t>
      </w:r>
      <w:r>
        <w:t xml:space="preserve"> </w:t>
      </w:r>
      <w:r w:rsidRPr="003A3CC8">
        <w:t>to</w:t>
      </w:r>
      <w:r>
        <w:t xml:space="preserve"> </w:t>
      </w:r>
      <w:r w:rsidRPr="003A3CC8">
        <w:t>develop</w:t>
      </w:r>
      <w:r>
        <w:t xml:space="preserve"> </w:t>
      </w:r>
      <w:r w:rsidRPr="003A3CC8">
        <w:t>and</w:t>
      </w:r>
      <w:r>
        <w:t xml:space="preserve"> </w:t>
      </w:r>
      <w:r w:rsidRPr="003A3CC8">
        <w:t>grow</w:t>
      </w:r>
      <w:r>
        <w:t xml:space="preserve"> </w:t>
      </w:r>
      <w:r w:rsidRPr="003A3CC8">
        <w:t>workforce</w:t>
      </w:r>
      <w:r>
        <w:t xml:space="preserve"> </w:t>
      </w:r>
      <w:r w:rsidRPr="003A3CC8">
        <w:t>capability</w:t>
      </w:r>
      <w:r>
        <w:t xml:space="preserve"> </w:t>
      </w:r>
      <w:r w:rsidRPr="003A3CC8">
        <w:t>were</w:t>
      </w:r>
      <w:r>
        <w:t xml:space="preserve"> </w:t>
      </w:r>
      <w:r w:rsidRPr="003A3CC8">
        <w:t>focused</w:t>
      </w:r>
      <w:r>
        <w:t xml:space="preserve"> </w:t>
      </w:r>
      <w:r w:rsidRPr="003A3CC8">
        <w:t>on:</w:t>
      </w:r>
    </w:p>
    <w:p w14:paraId="02EB15A3" w14:textId="77777777" w:rsidR="001A70B8" w:rsidRPr="003A3CC8" w:rsidRDefault="001A70B8" w:rsidP="00101E5D">
      <w:pPr>
        <w:pStyle w:val="ARbullet1"/>
      </w:pPr>
      <w:r w:rsidRPr="003A3CC8">
        <w:t>health,</w:t>
      </w:r>
      <w:r>
        <w:t xml:space="preserve"> </w:t>
      </w:r>
      <w:r w:rsidRPr="003A3CC8">
        <w:t>safety</w:t>
      </w:r>
      <w:r>
        <w:t xml:space="preserve"> </w:t>
      </w:r>
      <w:r w:rsidRPr="003A3CC8">
        <w:t>and</w:t>
      </w:r>
      <w:r>
        <w:t xml:space="preserve"> </w:t>
      </w:r>
      <w:r w:rsidRPr="003A3CC8">
        <w:t>wellbeing</w:t>
      </w:r>
    </w:p>
    <w:p w14:paraId="0FA9C657" w14:textId="77777777" w:rsidR="001A70B8" w:rsidRPr="003A3CC8" w:rsidRDefault="001A70B8" w:rsidP="00101E5D">
      <w:pPr>
        <w:pStyle w:val="ARbullet1"/>
      </w:pPr>
      <w:r w:rsidRPr="003A3CC8">
        <w:t>COVID-19</w:t>
      </w:r>
      <w:r>
        <w:t xml:space="preserve"> </w:t>
      </w:r>
      <w:r w:rsidRPr="003A3CC8">
        <w:t>pandemic</w:t>
      </w:r>
      <w:r>
        <w:t xml:space="preserve"> </w:t>
      </w:r>
      <w:r w:rsidRPr="003A3CC8">
        <w:t>response</w:t>
      </w:r>
    </w:p>
    <w:p w14:paraId="7F2AACF4" w14:textId="77777777" w:rsidR="001A70B8" w:rsidRPr="003A3CC8" w:rsidRDefault="001A70B8" w:rsidP="00101E5D">
      <w:pPr>
        <w:pStyle w:val="ARbullet1"/>
      </w:pPr>
      <w:r w:rsidRPr="003A3CC8">
        <w:t>inclusion</w:t>
      </w:r>
      <w:r>
        <w:t xml:space="preserve"> </w:t>
      </w:r>
      <w:r w:rsidRPr="003A3CC8">
        <w:t>and</w:t>
      </w:r>
      <w:r>
        <w:t xml:space="preserve"> </w:t>
      </w:r>
      <w:r w:rsidRPr="003A3CC8">
        <w:t>cultural</w:t>
      </w:r>
      <w:r>
        <w:t xml:space="preserve"> </w:t>
      </w:r>
      <w:r w:rsidRPr="003A3CC8">
        <w:t>safety</w:t>
      </w:r>
    </w:p>
    <w:p w14:paraId="233A0A13" w14:textId="77777777" w:rsidR="001A70B8" w:rsidRPr="003A3CC8" w:rsidRDefault="001A70B8" w:rsidP="00101E5D">
      <w:pPr>
        <w:pStyle w:val="ARbullet1"/>
      </w:pPr>
      <w:r w:rsidRPr="003A3CC8">
        <w:t>professional</w:t>
      </w:r>
      <w:r>
        <w:t xml:space="preserve"> </w:t>
      </w:r>
      <w:r w:rsidRPr="003A3CC8">
        <w:t>development</w:t>
      </w:r>
    </w:p>
    <w:p w14:paraId="04A130EE" w14:textId="550B1F4C" w:rsidR="001A70B8" w:rsidRPr="003A3CC8" w:rsidRDefault="00637F6B" w:rsidP="00101E5D">
      <w:pPr>
        <w:pStyle w:val="ARbullet1"/>
      </w:pPr>
      <w:r>
        <w:t>i</w:t>
      </w:r>
      <w:r w:rsidR="001A70B8" w:rsidRPr="003A3CC8">
        <w:t>nfection</w:t>
      </w:r>
      <w:r w:rsidR="001A70B8">
        <w:t xml:space="preserve"> </w:t>
      </w:r>
      <w:r>
        <w:t>p</w:t>
      </w:r>
      <w:r w:rsidR="001A70B8" w:rsidRPr="003A3CC8">
        <w:t>revention</w:t>
      </w:r>
      <w:r w:rsidR="001A70B8">
        <w:t xml:space="preserve"> </w:t>
      </w:r>
      <w:r w:rsidR="001A70B8" w:rsidRPr="003A3CC8">
        <w:t>and</w:t>
      </w:r>
      <w:r w:rsidR="001A70B8">
        <w:t xml:space="preserve"> </w:t>
      </w:r>
      <w:r>
        <w:t>c</w:t>
      </w:r>
      <w:r w:rsidR="001A70B8" w:rsidRPr="003A3CC8">
        <w:t>ontrol</w:t>
      </w:r>
    </w:p>
    <w:p w14:paraId="36DECC84" w14:textId="77777777" w:rsidR="001A70B8" w:rsidRPr="003A3CC8" w:rsidRDefault="001A70B8" w:rsidP="00101E5D">
      <w:pPr>
        <w:pStyle w:val="ARbullet1"/>
      </w:pPr>
      <w:r w:rsidRPr="003A3CC8">
        <w:t>management</w:t>
      </w:r>
      <w:r>
        <w:t xml:space="preserve"> </w:t>
      </w:r>
      <w:r w:rsidRPr="003A3CC8">
        <w:t>and</w:t>
      </w:r>
      <w:r>
        <w:t xml:space="preserve"> </w:t>
      </w:r>
      <w:r w:rsidRPr="003A3CC8">
        <w:t>leadership</w:t>
      </w:r>
    </w:p>
    <w:p w14:paraId="1C58A452" w14:textId="77777777" w:rsidR="001A70B8" w:rsidRPr="003A3CC8" w:rsidRDefault="001A70B8" w:rsidP="00101E5D">
      <w:pPr>
        <w:pStyle w:val="ARbullet1"/>
      </w:pPr>
      <w:r w:rsidRPr="003A3CC8">
        <w:t>writing</w:t>
      </w:r>
      <w:r>
        <w:t xml:space="preserve"> </w:t>
      </w:r>
      <w:r w:rsidRPr="003A3CC8">
        <w:t>and</w:t>
      </w:r>
      <w:r>
        <w:t xml:space="preserve"> </w:t>
      </w:r>
      <w:r w:rsidRPr="003A3CC8">
        <w:t>communication</w:t>
      </w:r>
    </w:p>
    <w:p w14:paraId="0FA49264" w14:textId="77777777" w:rsidR="001A70B8" w:rsidRPr="003A3CC8" w:rsidRDefault="001A70B8" w:rsidP="00101E5D">
      <w:pPr>
        <w:pStyle w:val="ARbullet1"/>
      </w:pPr>
      <w:r w:rsidRPr="003A3CC8">
        <w:t>software</w:t>
      </w:r>
      <w:r>
        <w:t xml:space="preserve"> </w:t>
      </w:r>
      <w:r w:rsidRPr="003A3CC8">
        <w:t>and</w:t>
      </w:r>
      <w:r>
        <w:t xml:space="preserve"> </w:t>
      </w:r>
      <w:r w:rsidRPr="003A3CC8">
        <w:t>systems</w:t>
      </w:r>
    </w:p>
    <w:p w14:paraId="3790CD70" w14:textId="77777777" w:rsidR="001A70B8" w:rsidRPr="003A3CC8" w:rsidRDefault="001A70B8" w:rsidP="00101E5D">
      <w:pPr>
        <w:pStyle w:val="ARbullet1"/>
      </w:pPr>
      <w:r w:rsidRPr="003A3CC8">
        <w:t>finance</w:t>
      </w:r>
      <w:r>
        <w:t xml:space="preserve"> </w:t>
      </w:r>
      <w:r w:rsidRPr="003A3CC8">
        <w:t>and</w:t>
      </w:r>
      <w:r>
        <w:t xml:space="preserve"> </w:t>
      </w:r>
      <w:r w:rsidRPr="003A3CC8">
        <w:t>procurement.</w:t>
      </w:r>
    </w:p>
    <w:p w14:paraId="492603A0" w14:textId="02DC4F95" w:rsidR="001A70B8" w:rsidRPr="003A3CC8" w:rsidRDefault="001A70B8" w:rsidP="00101E5D">
      <w:pPr>
        <w:pStyle w:val="ARbodyafterbullets"/>
      </w:pPr>
      <w:r w:rsidRPr="003A3CC8">
        <w:t>Programs</w:t>
      </w:r>
      <w:r>
        <w:t xml:space="preserve"> </w:t>
      </w:r>
      <w:r w:rsidRPr="003A3CC8">
        <w:t>continued</w:t>
      </w:r>
      <w:r>
        <w:t xml:space="preserve"> </w:t>
      </w:r>
      <w:r w:rsidRPr="003A3CC8">
        <w:t>to</w:t>
      </w:r>
      <w:r>
        <w:t xml:space="preserve"> </w:t>
      </w:r>
      <w:r w:rsidRPr="003A3CC8">
        <w:t>be</w:t>
      </w:r>
      <w:r>
        <w:t xml:space="preserve"> </w:t>
      </w:r>
      <w:r w:rsidRPr="003A3CC8">
        <w:t>delivered</w:t>
      </w:r>
      <w:r>
        <w:t xml:space="preserve"> </w:t>
      </w:r>
      <w:r w:rsidRPr="003A3CC8">
        <w:t>virtually,</w:t>
      </w:r>
      <w:r>
        <w:t xml:space="preserve"> </w:t>
      </w:r>
      <w:r w:rsidRPr="003A3CC8">
        <w:t>with</w:t>
      </w:r>
      <w:r w:rsidR="00CD16CF">
        <w:t> </w:t>
      </w:r>
      <w:r w:rsidRPr="003A3CC8">
        <w:t>the</w:t>
      </w:r>
      <w:r>
        <w:t xml:space="preserve"> </w:t>
      </w:r>
      <w:r w:rsidRPr="003A3CC8">
        <w:t>exception</w:t>
      </w:r>
      <w:r>
        <w:t xml:space="preserve"> </w:t>
      </w:r>
      <w:r w:rsidRPr="003A3CC8">
        <w:t>of</w:t>
      </w:r>
      <w:r>
        <w:t xml:space="preserve"> </w:t>
      </w:r>
      <w:r w:rsidR="00637F6B">
        <w:t>r</w:t>
      </w:r>
      <w:r w:rsidRPr="003A3CC8">
        <w:t>egulatory</w:t>
      </w:r>
      <w:r>
        <w:t xml:space="preserve"> </w:t>
      </w:r>
      <w:r w:rsidR="00637F6B">
        <w:t>a</w:t>
      </w:r>
      <w:r w:rsidRPr="003A3CC8">
        <w:t>uthorised</w:t>
      </w:r>
      <w:r>
        <w:t xml:space="preserve"> </w:t>
      </w:r>
      <w:r w:rsidR="00637F6B">
        <w:t>o</w:t>
      </w:r>
      <w:r w:rsidRPr="003A3CC8">
        <w:t>fficer</w:t>
      </w:r>
      <w:r>
        <w:t xml:space="preserve"> </w:t>
      </w:r>
      <w:r w:rsidRPr="003A3CC8">
        <w:t>training</w:t>
      </w:r>
      <w:r w:rsidR="00637F6B">
        <w:t>,</w:t>
      </w:r>
      <w:r>
        <w:t xml:space="preserve"> </w:t>
      </w:r>
      <w:r w:rsidR="00E82D06">
        <w:t xml:space="preserve">which was </w:t>
      </w:r>
      <w:r w:rsidRPr="003A3CC8">
        <w:t>delivered</w:t>
      </w:r>
      <w:r>
        <w:t xml:space="preserve"> </w:t>
      </w:r>
      <w:r w:rsidRPr="003A3CC8">
        <w:t>face</w:t>
      </w:r>
      <w:r w:rsidR="00127EE4">
        <w:t xml:space="preserve"> </w:t>
      </w:r>
      <w:r w:rsidRPr="003A3CC8">
        <w:t>to</w:t>
      </w:r>
      <w:r w:rsidR="00127EE4">
        <w:t xml:space="preserve"> </w:t>
      </w:r>
      <w:r w:rsidRPr="003A3CC8">
        <w:t>face</w:t>
      </w:r>
      <w:r w:rsidR="00E82D06">
        <w:t xml:space="preserve"> on certain days</w:t>
      </w:r>
      <w:r>
        <w:t xml:space="preserve"> </w:t>
      </w:r>
      <w:r w:rsidRPr="003A3CC8">
        <w:t>to</w:t>
      </w:r>
      <w:r>
        <w:t xml:space="preserve"> </w:t>
      </w:r>
      <w:r w:rsidRPr="003A3CC8">
        <w:t>ensure</w:t>
      </w:r>
      <w:r>
        <w:t xml:space="preserve"> </w:t>
      </w:r>
      <w:r w:rsidR="00637F6B" w:rsidRPr="00FE46AB">
        <w:t>these</w:t>
      </w:r>
      <w:r w:rsidR="00637F6B" w:rsidRPr="00637F6B">
        <w:t xml:space="preserve"> </w:t>
      </w:r>
      <w:r w:rsidRPr="00637F6B">
        <w:t>people</w:t>
      </w:r>
      <w:r>
        <w:t xml:space="preserve"> </w:t>
      </w:r>
      <w:r w:rsidRPr="003A3CC8">
        <w:t>could</w:t>
      </w:r>
      <w:r>
        <w:t xml:space="preserve"> </w:t>
      </w:r>
      <w:r w:rsidRPr="003A3CC8">
        <w:t>continue</w:t>
      </w:r>
      <w:r>
        <w:t xml:space="preserve"> </w:t>
      </w:r>
      <w:r w:rsidRPr="003A3CC8">
        <w:t>to</w:t>
      </w:r>
      <w:r>
        <w:t xml:space="preserve"> </w:t>
      </w:r>
      <w:r w:rsidRPr="003A3CC8">
        <w:t>build</w:t>
      </w:r>
      <w:r>
        <w:t xml:space="preserve"> </w:t>
      </w:r>
      <w:r w:rsidRPr="003A3CC8">
        <w:t>their</w:t>
      </w:r>
      <w:r>
        <w:t xml:space="preserve"> </w:t>
      </w:r>
      <w:r w:rsidRPr="003A3CC8">
        <w:t>capability</w:t>
      </w:r>
      <w:r>
        <w:t xml:space="preserve"> </w:t>
      </w:r>
      <w:r w:rsidRPr="003A3CC8">
        <w:t>during</w:t>
      </w:r>
      <w:r>
        <w:t xml:space="preserve"> </w:t>
      </w:r>
      <w:r w:rsidRPr="003A3CC8">
        <w:t>the</w:t>
      </w:r>
      <w:r>
        <w:t xml:space="preserve"> </w:t>
      </w:r>
      <w:r w:rsidRPr="003A3CC8">
        <w:t>COVID-19</w:t>
      </w:r>
      <w:r>
        <w:t xml:space="preserve"> </w:t>
      </w:r>
      <w:r w:rsidRPr="003A3CC8">
        <w:t>pandemic.</w:t>
      </w:r>
    </w:p>
    <w:p w14:paraId="20C76362" w14:textId="53FFB887" w:rsidR="00B4461E" w:rsidRDefault="00FE46AB" w:rsidP="00FE46AB">
      <w:pPr>
        <w:pStyle w:val="Heading4"/>
      </w:pPr>
      <w:r>
        <w:t>Mandatory training</w:t>
      </w:r>
    </w:p>
    <w:p w14:paraId="02DD7F41" w14:textId="06846BE9" w:rsidR="00FA0AF4" w:rsidRDefault="001A70B8" w:rsidP="00101E5D">
      <w:pPr>
        <w:pStyle w:val="ARbody"/>
        <w:shd w:val="clear" w:color="auto" w:fill="FFFFFF" w:themeFill="background1"/>
      </w:pPr>
      <w:r w:rsidRPr="003A3CC8">
        <w:t>The</w:t>
      </w:r>
      <w:r>
        <w:t xml:space="preserve"> </w:t>
      </w:r>
      <w:r w:rsidRPr="003A3CC8">
        <w:t>department</w:t>
      </w:r>
      <w:r>
        <w:t xml:space="preserve"> </w:t>
      </w:r>
      <w:r w:rsidRPr="003A3CC8">
        <w:t>strengthene</w:t>
      </w:r>
      <w:r w:rsidRPr="00FE46AB">
        <w:t>d its compliance</w:t>
      </w:r>
      <w:r w:rsidR="00FE46AB" w:rsidRPr="00FE46AB">
        <w:t xml:space="preserve"> w</w:t>
      </w:r>
      <w:r w:rsidR="00BD3D4A" w:rsidRPr="00FE46AB">
        <w:t xml:space="preserve">ith statutory requirements </w:t>
      </w:r>
      <w:r w:rsidRPr="00FE46AB">
        <w:t>with the introduction of a structured schedule of</w:t>
      </w:r>
      <w:r>
        <w:t xml:space="preserve"> </w:t>
      </w:r>
      <w:r w:rsidRPr="003A3CC8">
        <w:t>refresher</w:t>
      </w:r>
      <w:r>
        <w:t xml:space="preserve"> </w:t>
      </w:r>
      <w:r w:rsidRPr="003A3CC8">
        <w:t>training</w:t>
      </w:r>
      <w:r w:rsidR="00637F6B">
        <w:t xml:space="preserve"> </w:t>
      </w:r>
      <w:r w:rsidR="00804CFF">
        <w:t>and targeted campaigns in certain fields</w:t>
      </w:r>
      <w:r w:rsidR="00BD3D4A">
        <w:t>.</w:t>
      </w:r>
      <w:r w:rsidR="00804CFF">
        <w:t xml:space="preserve"> </w:t>
      </w:r>
      <w:r w:rsidR="00FA0AF4" w:rsidRPr="00FA0AF4">
        <w:t>As a result, 66</w:t>
      </w:r>
      <w:r w:rsidR="00391AF3">
        <w:t> </w:t>
      </w:r>
      <w:r w:rsidR="006F370B">
        <w:t>per cent</w:t>
      </w:r>
      <w:r w:rsidR="00FA0AF4" w:rsidRPr="00FA0AF4">
        <w:t xml:space="preserve"> of employees have completed mandatory training </w:t>
      </w:r>
      <w:r w:rsidR="009424EA">
        <w:t xml:space="preserve">across </w:t>
      </w:r>
      <w:r w:rsidR="00FA0AF4" w:rsidRPr="00FA0AF4">
        <w:t>the suite of nine modules</w:t>
      </w:r>
      <w:r w:rsidR="009424EA">
        <w:t>,</w:t>
      </w:r>
      <w:r w:rsidR="00FA0AF4" w:rsidRPr="00FA0AF4">
        <w:t xml:space="preserve"> which include</w:t>
      </w:r>
      <w:r w:rsidR="00FA0AF4">
        <w:t>:</w:t>
      </w:r>
    </w:p>
    <w:p w14:paraId="337AAC34" w14:textId="4CC61F40" w:rsidR="00DE0066" w:rsidRDefault="00DE0066" w:rsidP="00DE0066">
      <w:pPr>
        <w:pStyle w:val="ARbullet1"/>
      </w:pPr>
      <w:r>
        <w:t>Privacy Awareness</w:t>
      </w:r>
    </w:p>
    <w:p w14:paraId="042D0802" w14:textId="5C47E26C" w:rsidR="00DE0066" w:rsidRDefault="00DE0066" w:rsidP="00DE0066">
      <w:pPr>
        <w:pStyle w:val="ARbullet1"/>
      </w:pPr>
      <w:r>
        <w:t>Prevention of Sexual Harassment</w:t>
      </w:r>
    </w:p>
    <w:p w14:paraId="4E98E248" w14:textId="18F98A37" w:rsidR="00DE0066" w:rsidRDefault="00DE0066" w:rsidP="00DE0066">
      <w:pPr>
        <w:pStyle w:val="ARbullet1"/>
      </w:pPr>
      <w:r>
        <w:t xml:space="preserve">Charter of Human </w:t>
      </w:r>
      <w:r w:rsidR="00113C7E">
        <w:t>R</w:t>
      </w:r>
      <w:r>
        <w:t xml:space="preserve">ights and </w:t>
      </w:r>
      <w:r w:rsidR="00113C7E">
        <w:t>R</w:t>
      </w:r>
      <w:r>
        <w:t>esponsibilities</w:t>
      </w:r>
    </w:p>
    <w:p w14:paraId="5A2DCEC7" w14:textId="581E7B24" w:rsidR="00DE0066" w:rsidRDefault="00DE0066" w:rsidP="00DE0066">
      <w:pPr>
        <w:pStyle w:val="ARbullet1"/>
      </w:pPr>
      <w:r>
        <w:t>Aboriginal Cultural Safety</w:t>
      </w:r>
    </w:p>
    <w:p w14:paraId="2A629457" w14:textId="17D56AEA" w:rsidR="00DE0066" w:rsidRDefault="00DE0066" w:rsidP="00DE0066">
      <w:pPr>
        <w:pStyle w:val="ARbullet1"/>
      </w:pPr>
      <w:r>
        <w:t xml:space="preserve">Preventing </w:t>
      </w:r>
      <w:r w:rsidR="009424EA">
        <w:t>B</w:t>
      </w:r>
      <w:r>
        <w:t>ull</w:t>
      </w:r>
      <w:r w:rsidR="00FF425B">
        <w:t>y</w:t>
      </w:r>
      <w:r>
        <w:t xml:space="preserve">ing and </w:t>
      </w:r>
      <w:r w:rsidR="009424EA">
        <w:t>I</w:t>
      </w:r>
      <w:r>
        <w:t xml:space="preserve">nappropriate </w:t>
      </w:r>
      <w:r w:rsidR="009424EA">
        <w:t>B</w:t>
      </w:r>
      <w:r>
        <w:t>ehaviour</w:t>
      </w:r>
    </w:p>
    <w:p w14:paraId="22E1A499" w14:textId="71735F82" w:rsidR="00DE0066" w:rsidRDefault="00DE0066" w:rsidP="00DE0066">
      <w:pPr>
        <w:pStyle w:val="ARbullet1"/>
      </w:pPr>
      <w:r>
        <w:t xml:space="preserve">Security </w:t>
      </w:r>
      <w:r w:rsidR="009424EA">
        <w:t>A</w:t>
      </w:r>
      <w:r>
        <w:t>wareness</w:t>
      </w:r>
    </w:p>
    <w:p w14:paraId="45745700" w14:textId="77777777" w:rsidR="00DE0066" w:rsidRDefault="00DE0066" w:rsidP="00DE0066">
      <w:pPr>
        <w:pStyle w:val="ARbullet1"/>
      </w:pPr>
      <w:r>
        <w:t>Workforce Diversity and Inclusion</w:t>
      </w:r>
    </w:p>
    <w:p w14:paraId="110B92A7" w14:textId="77777777" w:rsidR="006F1EC8" w:rsidRDefault="00DE0066" w:rsidP="008340C1">
      <w:pPr>
        <w:pStyle w:val="ARbullet1"/>
      </w:pPr>
      <w:r>
        <w:t>Code of Conduct</w:t>
      </w:r>
    </w:p>
    <w:p w14:paraId="541FCBB3" w14:textId="3261DEAC" w:rsidR="00714556" w:rsidRDefault="00DE0066" w:rsidP="008340C1">
      <w:pPr>
        <w:pStyle w:val="ARbullet1"/>
      </w:pPr>
      <w:r>
        <w:t>Your Health</w:t>
      </w:r>
      <w:r w:rsidR="009424EA">
        <w:t>,</w:t>
      </w:r>
      <w:r>
        <w:t xml:space="preserve"> Safety and Wellbeing</w:t>
      </w:r>
      <w:r w:rsidR="00714556" w:rsidRPr="00AD4178">
        <w:t>.</w:t>
      </w:r>
    </w:p>
    <w:p w14:paraId="0C9116D2" w14:textId="63524146" w:rsidR="00B4461E" w:rsidRDefault="00B4461E" w:rsidP="00FE46AB">
      <w:pPr>
        <w:pStyle w:val="Heading4"/>
      </w:pPr>
      <w:r>
        <w:t>Strengthening leader capability</w:t>
      </w:r>
    </w:p>
    <w:p w14:paraId="2A0DE1C0" w14:textId="2E36EF8F" w:rsidR="001A70B8" w:rsidRPr="003A3CC8" w:rsidRDefault="001A70B8" w:rsidP="00101E5D">
      <w:pPr>
        <w:pStyle w:val="ARbody"/>
        <w:shd w:val="clear" w:color="auto" w:fill="FFFFFF" w:themeFill="background1"/>
      </w:pPr>
      <w:r w:rsidRPr="003A3CC8">
        <w:t>The</w:t>
      </w:r>
      <w:r>
        <w:t xml:space="preserve"> </w:t>
      </w:r>
      <w:r w:rsidRPr="003A3CC8">
        <w:t>department</w:t>
      </w:r>
      <w:r>
        <w:t xml:space="preserve"> </w:t>
      </w:r>
      <w:r w:rsidRPr="003A3CC8">
        <w:t>continued</w:t>
      </w:r>
      <w:r>
        <w:t xml:space="preserve"> </w:t>
      </w:r>
      <w:r w:rsidRPr="003A3CC8">
        <w:t>to</w:t>
      </w:r>
      <w:r>
        <w:t xml:space="preserve"> </w:t>
      </w:r>
      <w:r w:rsidRPr="003A3CC8">
        <w:t>strengthen</w:t>
      </w:r>
      <w:r>
        <w:t xml:space="preserve"> </w:t>
      </w:r>
      <w:r w:rsidRPr="003A3CC8">
        <w:t>its</w:t>
      </w:r>
      <w:r>
        <w:t xml:space="preserve"> </w:t>
      </w:r>
      <w:r w:rsidRPr="003A3CC8">
        <w:t>leader</w:t>
      </w:r>
      <w:r>
        <w:t xml:space="preserve"> </w:t>
      </w:r>
      <w:r w:rsidRPr="003A3CC8">
        <w:t>capability</w:t>
      </w:r>
      <w:r>
        <w:t xml:space="preserve"> </w:t>
      </w:r>
      <w:r w:rsidRPr="003A3CC8">
        <w:t>at</w:t>
      </w:r>
      <w:r>
        <w:t xml:space="preserve"> </w:t>
      </w:r>
      <w:r w:rsidRPr="003A3CC8">
        <w:t>all</w:t>
      </w:r>
      <w:r>
        <w:t xml:space="preserve"> </w:t>
      </w:r>
      <w:r w:rsidRPr="003A3CC8">
        <w:t>levels</w:t>
      </w:r>
      <w:r>
        <w:t xml:space="preserve"> </w:t>
      </w:r>
      <w:r w:rsidRPr="003A3CC8">
        <w:t>by:</w:t>
      </w:r>
    </w:p>
    <w:p w14:paraId="719A4C8D" w14:textId="7223E985" w:rsidR="001A70B8" w:rsidRPr="003A3CC8" w:rsidRDefault="001A70B8" w:rsidP="00101E5D">
      <w:pPr>
        <w:pStyle w:val="ARbullet1"/>
      </w:pPr>
      <w:r>
        <w:t xml:space="preserve">introducing quarterly </w:t>
      </w:r>
      <w:r w:rsidR="002A0FBC">
        <w:t>e</w:t>
      </w:r>
      <w:r>
        <w:t xml:space="preserve">xecutive </w:t>
      </w:r>
      <w:r w:rsidR="002A0FBC">
        <w:t>l</w:t>
      </w:r>
      <w:r>
        <w:t xml:space="preserve">earning </w:t>
      </w:r>
      <w:r w:rsidR="002A0FBC">
        <w:t>f</w:t>
      </w:r>
      <w:r>
        <w:t>orums that provide a regular, thought-provoking learning experience for executive leaders</w:t>
      </w:r>
    </w:p>
    <w:p w14:paraId="4777BA34" w14:textId="6DF33EA9" w:rsidR="001A70B8" w:rsidRPr="003A3CC8" w:rsidRDefault="001A70B8" w:rsidP="00101E5D">
      <w:pPr>
        <w:pStyle w:val="ARbullet1"/>
      </w:pPr>
      <w:r>
        <w:t xml:space="preserve">developing and implementing a Manager Essentials </w:t>
      </w:r>
      <w:r w:rsidR="00265E3E">
        <w:t>P</w:t>
      </w:r>
      <w:r>
        <w:t xml:space="preserve">rogram designed for ‘new to role’ and ‘new to department’ leaders. The program aims to build </w:t>
      </w:r>
      <w:r w:rsidR="002A0FBC">
        <w:t xml:space="preserve">a manager’s </w:t>
      </w:r>
      <w:r>
        <w:t>knowledge and skills to effectively manage fundamental tasks across the employee life-cycle and includes a ‘just in time’ toolkit and calendar of ‘lunch and learns’. Since its introduction in August 2021, over 540 people leaders have participated in the ‘lunch and learn’ sessions.</w:t>
      </w:r>
    </w:p>
    <w:p w14:paraId="572F35D4" w14:textId="77777777" w:rsidR="001A70B8" w:rsidRPr="003A3CC8" w:rsidRDefault="001A70B8" w:rsidP="00101E5D">
      <w:pPr>
        <w:pStyle w:val="ARbullet1"/>
      </w:pPr>
      <w:r w:rsidRPr="003A3CC8">
        <w:t>providing</w:t>
      </w:r>
      <w:r>
        <w:t xml:space="preserve"> </w:t>
      </w:r>
      <w:r w:rsidRPr="003A3CC8">
        <w:t>over</w:t>
      </w:r>
      <w:r>
        <w:t xml:space="preserve"> </w:t>
      </w:r>
      <w:r w:rsidRPr="003A3CC8">
        <w:t>275</w:t>
      </w:r>
      <w:r>
        <w:t xml:space="preserve"> </w:t>
      </w:r>
      <w:r w:rsidRPr="003A3CC8">
        <w:t>leaders</w:t>
      </w:r>
      <w:r>
        <w:t xml:space="preserve"> </w:t>
      </w:r>
      <w:r w:rsidRPr="003A3CC8">
        <w:t>with</w:t>
      </w:r>
      <w:r>
        <w:t xml:space="preserve"> </w:t>
      </w:r>
      <w:r w:rsidRPr="003A3CC8">
        <w:t>the</w:t>
      </w:r>
      <w:r>
        <w:t xml:space="preserve"> </w:t>
      </w:r>
      <w:r w:rsidRPr="003A3CC8">
        <w:t>opportunity</w:t>
      </w:r>
      <w:r>
        <w:t xml:space="preserve"> </w:t>
      </w:r>
      <w:r w:rsidRPr="003A3CC8">
        <w:t>to</w:t>
      </w:r>
      <w:r>
        <w:t xml:space="preserve"> </w:t>
      </w:r>
      <w:r w:rsidRPr="003A3CC8">
        <w:t>participate</w:t>
      </w:r>
      <w:r>
        <w:t xml:space="preserve"> </w:t>
      </w:r>
      <w:r w:rsidRPr="003A3CC8">
        <w:t>in</w:t>
      </w:r>
      <w:r>
        <w:t xml:space="preserve"> </w:t>
      </w:r>
      <w:r w:rsidRPr="003A3CC8">
        <w:t>internally</w:t>
      </w:r>
      <w:r>
        <w:t xml:space="preserve"> </w:t>
      </w:r>
      <w:r w:rsidRPr="003A3CC8">
        <w:t>led</w:t>
      </w:r>
      <w:r>
        <w:t xml:space="preserve"> </w:t>
      </w:r>
      <w:r w:rsidRPr="003A3CC8">
        <w:t>workshops</w:t>
      </w:r>
      <w:r>
        <w:t xml:space="preserve"> </w:t>
      </w:r>
      <w:r w:rsidRPr="003A3CC8">
        <w:t>focused</w:t>
      </w:r>
      <w:r>
        <w:t xml:space="preserve"> </w:t>
      </w:r>
      <w:r w:rsidRPr="003A3CC8">
        <w:t>on</w:t>
      </w:r>
      <w:r>
        <w:t xml:space="preserve"> </w:t>
      </w:r>
      <w:r w:rsidRPr="003A3CC8">
        <w:t>employee</w:t>
      </w:r>
      <w:r>
        <w:t xml:space="preserve"> </w:t>
      </w:r>
      <w:r w:rsidRPr="003A3CC8">
        <w:t>wellbeing,</w:t>
      </w:r>
      <w:r>
        <w:t xml:space="preserve"> </w:t>
      </w:r>
      <w:r w:rsidRPr="003A3CC8">
        <w:t>collaboration</w:t>
      </w:r>
      <w:r>
        <w:t xml:space="preserve"> </w:t>
      </w:r>
      <w:r w:rsidRPr="003A3CC8">
        <w:t>and</w:t>
      </w:r>
      <w:r>
        <w:t xml:space="preserve"> </w:t>
      </w:r>
      <w:r w:rsidRPr="003A3CC8">
        <w:t>conflict</w:t>
      </w:r>
      <w:r>
        <w:t xml:space="preserve"> </w:t>
      </w:r>
      <w:r w:rsidRPr="003A3CC8">
        <w:t>resolution</w:t>
      </w:r>
    </w:p>
    <w:p w14:paraId="4930F728" w14:textId="77777777" w:rsidR="001A70B8" w:rsidRPr="003A3CC8" w:rsidRDefault="001A70B8" w:rsidP="00101E5D">
      <w:pPr>
        <w:pStyle w:val="ARbullet1"/>
      </w:pPr>
      <w:r w:rsidRPr="003A3CC8">
        <w:t>providing</w:t>
      </w:r>
      <w:r>
        <w:t xml:space="preserve"> </w:t>
      </w:r>
      <w:r w:rsidRPr="003A3CC8">
        <w:t>peer</w:t>
      </w:r>
      <w:r>
        <w:t xml:space="preserve"> </w:t>
      </w:r>
      <w:r w:rsidRPr="003A3CC8">
        <w:t>and</w:t>
      </w:r>
      <w:r>
        <w:t xml:space="preserve"> </w:t>
      </w:r>
      <w:r w:rsidRPr="003A3CC8">
        <w:t>experiential</w:t>
      </w:r>
      <w:r>
        <w:t xml:space="preserve"> </w:t>
      </w:r>
      <w:r w:rsidRPr="003A3CC8">
        <w:t>learning</w:t>
      </w:r>
      <w:r>
        <w:t xml:space="preserve"> </w:t>
      </w:r>
      <w:r w:rsidRPr="003A3CC8">
        <w:t>opportunities</w:t>
      </w:r>
      <w:r>
        <w:t xml:space="preserve"> </w:t>
      </w:r>
      <w:r w:rsidRPr="003A3CC8">
        <w:t>through</w:t>
      </w:r>
      <w:r>
        <w:t xml:space="preserve"> </w:t>
      </w:r>
      <w:r w:rsidRPr="003A3CC8">
        <w:t>structured</w:t>
      </w:r>
      <w:r>
        <w:t xml:space="preserve"> </w:t>
      </w:r>
      <w:r w:rsidRPr="003A3CC8">
        <w:t>mentoring</w:t>
      </w:r>
      <w:r>
        <w:t xml:space="preserve"> </w:t>
      </w:r>
      <w:r w:rsidRPr="003A3CC8">
        <w:t>and</w:t>
      </w:r>
      <w:r>
        <w:t xml:space="preserve"> </w:t>
      </w:r>
      <w:r w:rsidRPr="003A3CC8">
        <w:t>coaching</w:t>
      </w:r>
      <w:r>
        <w:t xml:space="preserve"> </w:t>
      </w:r>
      <w:r w:rsidRPr="003A3CC8">
        <w:t>engagements</w:t>
      </w:r>
      <w:r>
        <w:t xml:space="preserve"> </w:t>
      </w:r>
      <w:r w:rsidRPr="003A3CC8">
        <w:t>across</w:t>
      </w:r>
      <w:r>
        <w:t xml:space="preserve"> </w:t>
      </w:r>
      <w:r w:rsidRPr="003A3CC8">
        <w:t>all</w:t>
      </w:r>
      <w:r>
        <w:t xml:space="preserve"> </w:t>
      </w:r>
      <w:r w:rsidRPr="003A3CC8">
        <w:t>leader</w:t>
      </w:r>
      <w:r>
        <w:t xml:space="preserve"> </w:t>
      </w:r>
      <w:r w:rsidRPr="003A3CC8">
        <w:t>levels</w:t>
      </w:r>
    </w:p>
    <w:p w14:paraId="76869E02" w14:textId="3E527ECA" w:rsidR="001A70B8" w:rsidRPr="00E909B4" w:rsidRDefault="001A70B8" w:rsidP="00101E5D">
      <w:pPr>
        <w:pStyle w:val="ARbullet1"/>
      </w:pPr>
      <w:r w:rsidRPr="003A3CC8">
        <w:t>supporting</w:t>
      </w:r>
      <w:r>
        <w:t xml:space="preserve"> </w:t>
      </w:r>
      <w:r w:rsidRPr="003A3CC8">
        <w:t>more</w:t>
      </w:r>
      <w:r>
        <w:t xml:space="preserve"> </w:t>
      </w:r>
      <w:r w:rsidRPr="003A3CC8">
        <w:t>than</w:t>
      </w:r>
      <w:r>
        <w:t xml:space="preserve"> </w:t>
      </w:r>
      <w:r w:rsidRPr="003A3CC8">
        <w:t>43</w:t>
      </w:r>
      <w:r>
        <w:t xml:space="preserve"> </w:t>
      </w:r>
      <w:r w:rsidRPr="003A3CC8">
        <w:t>people</w:t>
      </w:r>
      <w:r>
        <w:t xml:space="preserve"> </w:t>
      </w:r>
      <w:r w:rsidRPr="003A3CC8">
        <w:t>leaders</w:t>
      </w:r>
      <w:r>
        <w:t xml:space="preserve"> </w:t>
      </w:r>
      <w:r w:rsidRPr="003A3CC8">
        <w:t>to</w:t>
      </w:r>
      <w:r>
        <w:t xml:space="preserve"> </w:t>
      </w:r>
      <w:r w:rsidRPr="003A3CC8">
        <w:t>participate</w:t>
      </w:r>
      <w:r>
        <w:t xml:space="preserve"> </w:t>
      </w:r>
      <w:r w:rsidRPr="003A3CC8">
        <w:t>in</w:t>
      </w:r>
      <w:r>
        <w:t xml:space="preserve"> </w:t>
      </w:r>
      <w:r w:rsidRPr="003A3CC8">
        <w:t>cross-department</w:t>
      </w:r>
      <w:r>
        <w:t xml:space="preserve"> </w:t>
      </w:r>
      <w:r w:rsidRPr="003A3CC8">
        <w:t>leadership</w:t>
      </w:r>
      <w:r>
        <w:t xml:space="preserve"> </w:t>
      </w:r>
      <w:r w:rsidRPr="003A3CC8">
        <w:t>and</w:t>
      </w:r>
      <w:r>
        <w:t xml:space="preserve"> </w:t>
      </w:r>
      <w:r w:rsidR="002A0FBC">
        <w:t>‘</w:t>
      </w:r>
      <w:r w:rsidRPr="003A3CC8">
        <w:t>new</w:t>
      </w:r>
      <w:r w:rsidR="002A0FBC">
        <w:t xml:space="preserve"> </w:t>
      </w:r>
      <w:r w:rsidRPr="003A3CC8">
        <w:t>to</w:t>
      </w:r>
      <w:r w:rsidR="002A0FBC">
        <w:t xml:space="preserve"> </w:t>
      </w:r>
      <w:r w:rsidRPr="003A3CC8">
        <w:t>role</w:t>
      </w:r>
      <w:r w:rsidR="002A0FBC">
        <w:t>’</w:t>
      </w:r>
      <w:r>
        <w:t xml:space="preserve"> </w:t>
      </w:r>
      <w:r w:rsidRPr="003A3CC8">
        <w:t>programs</w:t>
      </w:r>
      <w:r>
        <w:t xml:space="preserve"> </w:t>
      </w:r>
      <w:r w:rsidRPr="003A3CC8">
        <w:t>provided</w:t>
      </w:r>
      <w:r>
        <w:t xml:space="preserve"> </w:t>
      </w:r>
      <w:r w:rsidRPr="003A3CC8">
        <w:t>by</w:t>
      </w:r>
      <w:r>
        <w:t xml:space="preserve"> </w:t>
      </w:r>
      <w:r w:rsidRPr="003A3CC8">
        <w:t>the</w:t>
      </w:r>
      <w:r>
        <w:t xml:space="preserve"> </w:t>
      </w:r>
      <w:r w:rsidRPr="003A3CC8">
        <w:t>Victorian</w:t>
      </w:r>
      <w:r>
        <w:t xml:space="preserve"> </w:t>
      </w:r>
      <w:r w:rsidRPr="003A3CC8">
        <w:t>Leadership</w:t>
      </w:r>
      <w:r>
        <w:t xml:space="preserve"> </w:t>
      </w:r>
      <w:r w:rsidRPr="003A3CC8">
        <w:t>Academy.</w:t>
      </w:r>
      <w:r>
        <w:t xml:space="preserve"> </w:t>
      </w:r>
      <w:r w:rsidRPr="003A3CC8">
        <w:t>These</w:t>
      </w:r>
      <w:r>
        <w:t xml:space="preserve"> </w:t>
      </w:r>
      <w:r w:rsidRPr="003A3CC8">
        <w:t>programs</w:t>
      </w:r>
      <w:r>
        <w:t xml:space="preserve"> </w:t>
      </w:r>
      <w:r w:rsidRPr="003A3CC8">
        <w:t>continue</w:t>
      </w:r>
      <w:r>
        <w:t xml:space="preserve"> </w:t>
      </w:r>
      <w:r w:rsidRPr="00E909B4">
        <w:t>to build consistent leadership capability across this cohort</w:t>
      </w:r>
      <w:r w:rsidR="00897CF4">
        <w:t>.</w:t>
      </w:r>
    </w:p>
    <w:p w14:paraId="31E7FA5E" w14:textId="46B221D9" w:rsidR="00243D32" w:rsidRDefault="00CF350A" w:rsidP="00101E5D">
      <w:pPr>
        <w:pStyle w:val="ARbullet1"/>
      </w:pPr>
      <w:r w:rsidRPr="00CF350A">
        <w:t>launching an organisational culture survey, in which staff described their current experience of</w:t>
      </w:r>
      <w:r w:rsidR="001C7FAA">
        <w:t> </w:t>
      </w:r>
      <w:r w:rsidR="002D517D">
        <w:t xml:space="preserve">both </w:t>
      </w:r>
      <w:r w:rsidRPr="00CF350A">
        <w:t xml:space="preserve">the culture they work in and </w:t>
      </w:r>
      <w:r w:rsidR="002D517D">
        <w:t>their</w:t>
      </w:r>
      <w:r w:rsidRPr="00CF350A">
        <w:t xml:space="preserve"> desired</w:t>
      </w:r>
      <w:r w:rsidR="001C7FAA">
        <w:t> </w:t>
      </w:r>
      <w:r w:rsidRPr="00CF350A">
        <w:t xml:space="preserve">culture. </w:t>
      </w:r>
      <w:r w:rsidR="00CD585D">
        <w:t>S</w:t>
      </w:r>
      <w:r w:rsidRPr="00CF350A">
        <w:t xml:space="preserve">urvey results will </w:t>
      </w:r>
      <w:r w:rsidR="00CD585D">
        <w:t>inform the</w:t>
      </w:r>
      <w:r w:rsidR="001C7FAA">
        <w:t> </w:t>
      </w:r>
      <w:r w:rsidR="00CD585D">
        <w:t>development of</w:t>
      </w:r>
      <w:r w:rsidR="00A37813">
        <w:t xml:space="preserve"> a strategic roadmap and identify</w:t>
      </w:r>
      <w:r w:rsidRPr="00CF350A">
        <w:t xml:space="preserve"> activities and actions to improve culture.</w:t>
      </w:r>
    </w:p>
    <w:p w14:paraId="56F79003" w14:textId="0E815129" w:rsidR="00096FAA" w:rsidRDefault="00096FAA" w:rsidP="00096FAA">
      <w:pPr>
        <w:pStyle w:val="Heading4"/>
      </w:pPr>
      <w:r>
        <w:t>Secretary’s Wellbeing Roundtable</w:t>
      </w:r>
    </w:p>
    <w:p w14:paraId="4240841D" w14:textId="7CE89C20" w:rsidR="00602398" w:rsidRDefault="00096FAA" w:rsidP="00096FAA">
      <w:pPr>
        <w:pStyle w:val="ARbody"/>
        <w:shd w:val="clear" w:color="auto" w:fill="FFFFFF" w:themeFill="background1"/>
      </w:pPr>
      <w:r>
        <w:t>The Secretary’s Wellbeing Roundtable commenced</w:t>
      </w:r>
      <w:r w:rsidR="001C7FAA">
        <w:t> </w:t>
      </w:r>
      <w:r>
        <w:t>in August 2021, consisting of employee representatives from all divisions. This</w:t>
      </w:r>
      <w:r w:rsidR="001C7FAA">
        <w:t> </w:t>
      </w:r>
      <w:r>
        <w:t>initiative provides an opportunity for the Secretary to hear reflections, experiences and observations regarding the issues impacting people’s experience of work</w:t>
      </w:r>
      <w:r w:rsidR="00EA6F15">
        <w:t xml:space="preserve"> in the department</w:t>
      </w:r>
      <w:r>
        <w:t>. Employee representatives worked within their divisions  to share and support local wellbeing initiatives</w:t>
      </w:r>
      <w:r w:rsidR="00EA6F15">
        <w:t>. Four r</w:t>
      </w:r>
      <w:r>
        <w:t xml:space="preserve">oundtables </w:t>
      </w:r>
      <w:r w:rsidR="00EA6F15">
        <w:t xml:space="preserve">were </w:t>
      </w:r>
      <w:r>
        <w:t>held in 2021</w:t>
      </w:r>
      <w:r w:rsidR="00F66679">
        <w:t>–</w:t>
      </w:r>
      <w:r>
        <w:t>22.</w:t>
      </w:r>
    </w:p>
    <w:p w14:paraId="44A9183E" w14:textId="77777777" w:rsidR="00602398" w:rsidRPr="00E909B4" w:rsidRDefault="00602398" w:rsidP="00602398">
      <w:pPr>
        <w:pStyle w:val="ARbody"/>
        <w:shd w:val="clear" w:color="auto" w:fill="FFFFFF" w:themeFill="background1"/>
      </w:pPr>
    </w:p>
    <w:p w14:paraId="2568A2D2" w14:textId="77777777" w:rsidR="001A70B8" w:rsidRDefault="001A70B8" w:rsidP="00101E5D">
      <w:pPr>
        <w:pStyle w:val="ARtabletextbold"/>
        <w:shd w:val="clear" w:color="auto" w:fill="FFFFFF" w:themeFill="background1"/>
        <w:sectPr w:rsidR="001A70B8" w:rsidSect="00524C5E">
          <w:footnotePr>
            <w:numFmt w:val="lowerLetter"/>
            <w:numRestart w:val="eachPage"/>
          </w:footnotePr>
          <w:endnotePr>
            <w:numFmt w:val="decimal"/>
          </w:endnotePr>
          <w:type w:val="continuous"/>
          <w:pgSz w:w="11900" w:h="16840" w:code="9"/>
          <w:pgMar w:top="1985" w:right="1134" w:bottom="851" w:left="1134" w:header="510" w:footer="340" w:gutter="0"/>
          <w:cols w:num="2" w:space="454"/>
        </w:sectPr>
      </w:pPr>
      <w:bookmarkStart w:id="251" w:name="_Ref492905526"/>
      <w:bookmarkStart w:id="252" w:name="_Toc477967497"/>
    </w:p>
    <w:p w14:paraId="3A3B21F0" w14:textId="77777777" w:rsidR="001A70B8" w:rsidRPr="00B64216" w:rsidRDefault="001A70B8" w:rsidP="00F0313F">
      <w:pPr>
        <w:pStyle w:val="Heading2"/>
        <w:shd w:val="clear" w:color="auto" w:fill="FFFFFF" w:themeFill="background1"/>
        <w:spacing w:before="0"/>
        <w:rPr>
          <w:rFonts w:cs="Arial"/>
        </w:rPr>
      </w:pPr>
      <w:bookmarkStart w:id="253" w:name="_Ref84252571"/>
      <w:bookmarkStart w:id="254" w:name="_Toc85121222"/>
      <w:bookmarkStart w:id="255" w:name="_Toc85121610"/>
      <w:bookmarkStart w:id="256" w:name="_Toc102734487"/>
      <w:bookmarkStart w:id="257" w:name="_Toc113702923"/>
      <w:r w:rsidRPr="00B64216">
        <w:rPr>
          <w:rFonts w:cs="Arial"/>
        </w:rPr>
        <w:t>Comparative</w:t>
      </w:r>
      <w:r>
        <w:rPr>
          <w:rFonts w:cs="Arial"/>
        </w:rPr>
        <w:t xml:space="preserve"> </w:t>
      </w:r>
      <w:r w:rsidRPr="00B64216">
        <w:rPr>
          <w:rFonts w:cs="Arial"/>
        </w:rPr>
        <w:t>workforce</w:t>
      </w:r>
      <w:r>
        <w:rPr>
          <w:rFonts w:cs="Arial"/>
        </w:rPr>
        <w:t xml:space="preserve"> </w:t>
      </w:r>
      <w:r w:rsidRPr="00B64216">
        <w:rPr>
          <w:rFonts w:cs="Arial"/>
        </w:rPr>
        <w:t>data</w:t>
      </w:r>
      <w:bookmarkEnd w:id="251"/>
      <w:bookmarkEnd w:id="253"/>
      <w:bookmarkEnd w:id="254"/>
      <w:bookmarkEnd w:id="255"/>
      <w:bookmarkEnd w:id="256"/>
      <w:bookmarkEnd w:id="257"/>
    </w:p>
    <w:p w14:paraId="0991D141" w14:textId="77777777" w:rsidR="001A70B8" w:rsidRDefault="001A70B8" w:rsidP="001A70B8">
      <w:pPr>
        <w:pStyle w:val="Heading3"/>
        <w:shd w:val="clear" w:color="auto" w:fill="FFFFFF" w:themeFill="background1"/>
        <w:spacing w:before="160"/>
      </w:pPr>
      <w:bookmarkStart w:id="258" w:name="_Toc85121223"/>
      <w:r>
        <w:t xml:space="preserve">Department of Health </w:t>
      </w:r>
      <w:r w:rsidRPr="002029AF">
        <w:t>employment</w:t>
      </w:r>
      <w:r>
        <w:t xml:space="preserve"> </w:t>
      </w:r>
      <w:r w:rsidRPr="002029AF">
        <w:t>levels</w:t>
      </w:r>
      <w:bookmarkEnd w:id="258"/>
    </w:p>
    <w:p w14:paraId="3A154EA8" w14:textId="63D3D41E" w:rsidR="001A70B8" w:rsidRPr="00EB6CE0" w:rsidRDefault="001A70B8" w:rsidP="00101E5D">
      <w:pPr>
        <w:pStyle w:val="ARbody"/>
        <w:shd w:val="clear" w:color="auto" w:fill="FFFFFF" w:themeFill="background1"/>
        <w:rPr>
          <w:lang w:eastAsia="en-AU"/>
        </w:rPr>
      </w:pPr>
      <w:r w:rsidRPr="00EB6CE0">
        <w:rPr>
          <w:lang w:eastAsia="en-AU"/>
        </w:rPr>
        <w:t>The</w:t>
      </w:r>
      <w:r>
        <w:rPr>
          <w:lang w:eastAsia="en-AU"/>
        </w:rPr>
        <w:t xml:space="preserve"> </w:t>
      </w:r>
      <w:r w:rsidRPr="00EB6CE0">
        <w:rPr>
          <w:lang w:eastAsia="en-AU"/>
        </w:rPr>
        <w:t>following</w:t>
      </w:r>
      <w:r>
        <w:rPr>
          <w:lang w:eastAsia="en-AU"/>
        </w:rPr>
        <w:t xml:space="preserve"> </w:t>
      </w:r>
      <w:r w:rsidRPr="00EB6CE0">
        <w:rPr>
          <w:lang w:eastAsia="en-AU"/>
        </w:rPr>
        <w:t>table</w:t>
      </w:r>
      <w:r>
        <w:rPr>
          <w:lang w:eastAsia="en-AU"/>
        </w:rPr>
        <w:t xml:space="preserve">s </w:t>
      </w:r>
      <w:r w:rsidRPr="00EB6CE0">
        <w:rPr>
          <w:lang w:eastAsia="en-AU"/>
        </w:rPr>
        <w:t>disclose</w:t>
      </w:r>
      <w:r>
        <w:rPr>
          <w:lang w:eastAsia="en-AU"/>
        </w:rPr>
        <w:t xml:space="preserve">, by </w:t>
      </w:r>
      <w:r w:rsidRPr="00EB6CE0">
        <w:rPr>
          <w:lang w:eastAsia="en-AU"/>
        </w:rPr>
        <w:t>head</w:t>
      </w:r>
      <w:r>
        <w:rPr>
          <w:lang w:eastAsia="en-AU"/>
        </w:rPr>
        <w:t xml:space="preserve"> </w:t>
      </w:r>
      <w:r w:rsidRPr="00EB6CE0">
        <w:rPr>
          <w:lang w:eastAsia="en-AU"/>
        </w:rPr>
        <w:t>count</w:t>
      </w:r>
      <w:r>
        <w:rPr>
          <w:lang w:eastAsia="en-AU"/>
        </w:rPr>
        <w:t xml:space="preserve"> </w:t>
      </w:r>
      <w:r w:rsidRPr="00EB6CE0">
        <w:rPr>
          <w:lang w:eastAsia="en-AU"/>
        </w:rPr>
        <w:t>and</w:t>
      </w:r>
      <w:r>
        <w:rPr>
          <w:lang w:eastAsia="en-AU"/>
        </w:rPr>
        <w:t xml:space="preserve"> </w:t>
      </w:r>
      <w:r w:rsidRPr="00EB6CE0">
        <w:rPr>
          <w:lang w:eastAsia="en-AU"/>
        </w:rPr>
        <w:t>full-time</w:t>
      </w:r>
      <w:r>
        <w:rPr>
          <w:lang w:eastAsia="en-AU"/>
        </w:rPr>
        <w:t xml:space="preserve"> </w:t>
      </w:r>
      <w:r w:rsidRPr="00EB6CE0">
        <w:rPr>
          <w:lang w:eastAsia="en-AU"/>
        </w:rPr>
        <w:t>staff</w:t>
      </w:r>
      <w:r>
        <w:rPr>
          <w:lang w:eastAsia="en-AU"/>
        </w:rPr>
        <w:t xml:space="preserve"> </w:t>
      </w:r>
      <w:r w:rsidRPr="00EB6CE0">
        <w:rPr>
          <w:lang w:eastAsia="en-AU"/>
        </w:rPr>
        <w:t>equivalent</w:t>
      </w:r>
      <w:r>
        <w:rPr>
          <w:lang w:eastAsia="en-AU"/>
        </w:rPr>
        <w:t xml:space="preserve"> </w:t>
      </w:r>
      <w:r w:rsidRPr="00EB6CE0">
        <w:rPr>
          <w:lang w:eastAsia="en-AU"/>
        </w:rPr>
        <w:t>(FTE)</w:t>
      </w:r>
      <w:r>
        <w:rPr>
          <w:lang w:eastAsia="en-AU"/>
        </w:rPr>
        <w:t xml:space="preserve">, </w:t>
      </w:r>
      <w:r w:rsidRPr="00EB6CE0">
        <w:rPr>
          <w:lang w:eastAsia="en-AU"/>
        </w:rPr>
        <w:t>the</w:t>
      </w:r>
      <w:r>
        <w:rPr>
          <w:lang w:eastAsia="en-AU"/>
        </w:rPr>
        <w:t xml:space="preserve"> number </w:t>
      </w:r>
      <w:r w:rsidRPr="00EB6CE0">
        <w:rPr>
          <w:lang w:eastAsia="en-AU"/>
        </w:rPr>
        <w:t>of</w:t>
      </w:r>
      <w:r>
        <w:rPr>
          <w:lang w:eastAsia="en-AU"/>
        </w:rPr>
        <w:t xml:space="preserve"> </w:t>
      </w:r>
      <w:r w:rsidRPr="00EB6CE0">
        <w:rPr>
          <w:lang w:eastAsia="en-AU"/>
        </w:rPr>
        <w:t>all</w:t>
      </w:r>
      <w:r>
        <w:rPr>
          <w:lang w:eastAsia="en-AU"/>
        </w:rPr>
        <w:t xml:space="preserve"> </w:t>
      </w:r>
      <w:r w:rsidRPr="00EB6CE0">
        <w:rPr>
          <w:lang w:eastAsia="en-AU"/>
        </w:rPr>
        <w:t>active</w:t>
      </w:r>
      <w:r>
        <w:rPr>
          <w:lang w:eastAsia="en-AU"/>
        </w:rPr>
        <w:t xml:space="preserve"> </w:t>
      </w:r>
      <w:r w:rsidRPr="00EB6CE0">
        <w:rPr>
          <w:lang w:eastAsia="en-AU"/>
        </w:rPr>
        <w:t>public</w:t>
      </w:r>
      <w:r>
        <w:rPr>
          <w:lang w:eastAsia="en-AU"/>
        </w:rPr>
        <w:t xml:space="preserve"> </w:t>
      </w:r>
      <w:r w:rsidRPr="00EB6CE0">
        <w:rPr>
          <w:lang w:eastAsia="en-AU"/>
        </w:rPr>
        <w:t>service</w:t>
      </w:r>
      <w:r>
        <w:rPr>
          <w:lang w:eastAsia="en-AU"/>
        </w:rPr>
        <w:t xml:space="preserve"> </w:t>
      </w:r>
      <w:r w:rsidRPr="00EB6CE0">
        <w:rPr>
          <w:lang w:eastAsia="en-AU"/>
        </w:rPr>
        <w:t>employees</w:t>
      </w:r>
      <w:r>
        <w:rPr>
          <w:lang w:eastAsia="en-AU"/>
        </w:rPr>
        <w:t xml:space="preserve"> </w:t>
      </w:r>
      <w:r w:rsidRPr="00EB6CE0">
        <w:rPr>
          <w:lang w:eastAsia="en-AU"/>
        </w:rPr>
        <w:t>of</w:t>
      </w:r>
      <w:r>
        <w:rPr>
          <w:lang w:eastAsia="en-AU"/>
        </w:rPr>
        <w:t xml:space="preserve"> </w:t>
      </w:r>
      <w:r w:rsidRPr="00EB6CE0">
        <w:rPr>
          <w:lang w:eastAsia="en-AU"/>
        </w:rPr>
        <w:t>the</w:t>
      </w:r>
      <w:r>
        <w:rPr>
          <w:lang w:eastAsia="en-AU"/>
        </w:rPr>
        <w:t xml:space="preserve"> d</w:t>
      </w:r>
      <w:r w:rsidRPr="00EB6CE0">
        <w:rPr>
          <w:lang w:eastAsia="en-AU"/>
        </w:rPr>
        <w:t>epartment</w:t>
      </w:r>
      <w:r>
        <w:rPr>
          <w:lang w:eastAsia="en-AU"/>
        </w:rPr>
        <w:t xml:space="preserve"> </w:t>
      </w:r>
      <w:r w:rsidR="00D4325B" w:rsidRPr="00EB6CE0">
        <w:rPr>
          <w:lang w:eastAsia="en-AU"/>
        </w:rPr>
        <w:t>employed</w:t>
      </w:r>
      <w:r w:rsidR="00D4325B">
        <w:rPr>
          <w:lang w:eastAsia="en-AU"/>
        </w:rPr>
        <w:t xml:space="preserve"> </w:t>
      </w:r>
      <w:r w:rsidR="00D4325B" w:rsidRPr="00EB6CE0">
        <w:rPr>
          <w:lang w:eastAsia="en-AU"/>
        </w:rPr>
        <w:t>in</w:t>
      </w:r>
      <w:r w:rsidR="00D4325B">
        <w:rPr>
          <w:lang w:eastAsia="en-AU"/>
        </w:rPr>
        <w:t xml:space="preserve"> </w:t>
      </w:r>
      <w:r w:rsidR="00D4325B" w:rsidRPr="00EB6CE0">
        <w:rPr>
          <w:lang w:eastAsia="en-AU"/>
        </w:rPr>
        <w:t>the</w:t>
      </w:r>
      <w:r w:rsidR="00D4325B">
        <w:rPr>
          <w:lang w:eastAsia="en-AU"/>
        </w:rPr>
        <w:t xml:space="preserve"> </w:t>
      </w:r>
      <w:r w:rsidR="00D4325B" w:rsidRPr="00EB6CE0">
        <w:rPr>
          <w:lang w:eastAsia="en-AU"/>
        </w:rPr>
        <w:t>last</w:t>
      </w:r>
      <w:r w:rsidR="00D4325B">
        <w:rPr>
          <w:lang w:eastAsia="en-AU"/>
        </w:rPr>
        <w:t xml:space="preserve"> </w:t>
      </w:r>
      <w:r w:rsidR="00D4325B" w:rsidRPr="00EB6CE0">
        <w:rPr>
          <w:lang w:eastAsia="en-AU"/>
        </w:rPr>
        <w:t>full</w:t>
      </w:r>
      <w:r w:rsidR="00D4325B">
        <w:rPr>
          <w:lang w:eastAsia="en-AU"/>
        </w:rPr>
        <w:t xml:space="preserve"> </w:t>
      </w:r>
      <w:r w:rsidR="00D4325B" w:rsidRPr="00EB6CE0">
        <w:rPr>
          <w:lang w:eastAsia="en-AU"/>
        </w:rPr>
        <w:t>pay</w:t>
      </w:r>
      <w:r w:rsidR="00D4325B">
        <w:rPr>
          <w:lang w:eastAsia="en-AU"/>
        </w:rPr>
        <w:t xml:space="preserve"> </w:t>
      </w:r>
      <w:r w:rsidR="00D4325B" w:rsidRPr="00EB6CE0">
        <w:rPr>
          <w:lang w:eastAsia="en-AU"/>
        </w:rPr>
        <w:t>period</w:t>
      </w:r>
      <w:r w:rsidR="00D4325B">
        <w:rPr>
          <w:lang w:eastAsia="en-AU"/>
        </w:rPr>
        <w:t xml:space="preserve"> </w:t>
      </w:r>
      <w:r w:rsidR="00D4325B" w:rsidRPr="00EB6CE0">
        <w:rPr>
          <w:lang w:eastAsia="en-AU"/>
        </w:rPr>
        <w:t>in</w:t>
      </w:r>
      <w:r w:rsidR="00D4325B">
        <w:rPr>
          <w:lang w:eastAsia="en-AU"/>
        </w:rPr>
        <w:t xml:space="preserve"> </w:t>
      </w:r>
      <w:r w:rsidR="00D4325B" w:rsidRPr="00EB6CE0">
        <w:rPr>
          <w:lang w:eastAsia="en-AU"/>
        </w:rPr>
        <w:t>June</w:t>
      </w:r>
      <w:r w:rsidR="00D4325B">
        <w:rPr>
          <w:lang w:eastAsia="en-AU"/>
        </w:rPr>
        <w:t xml:space="preserve"> </w:t>
      </w:r>
      <w:r w:rsidR="00D4325B" w:rsidRPr="00EB6CE0">
        <w:rPr>
          <w:lang w:eastAsia="en-AU"/>
        </w:rPr>
        <w:t>of</w:t>
      </w:r>
      <w:r w:rsidR="00D4325B">
        <w:rPr>
          <w:lang w:eastAsia="en-AU"/>
        </w:rPr>
        <w:t xml:space="preserve"> </w:t>
      </w:r>
      <w:r w:rsidR="00D4325B" w:rsidRPr="00EB6CE0">
        <w:rPr>
          <w:lang w:eastAsia="en-AU"/>
        </w:rPr>
        <w:t>the</w:t>
      </w:r>
      <w:r w:rsidR="00D4325B">
        <w:rPr>
          <w:lang w:eastAsia="en-AU"/>
        </w:rPr>
        <w:t xml:space="preserve"> </w:t>
      </w:r>
      <w:r w:rsidR="00D4325B" w:rsidRPr="00EB6CE0">
        <w:rPr>
          <w:lang w:eastAsia="en-AU"/>
        </w:rPr>
        <w:t>current</w:t>
      </w:r>
      <w:r w:rsidR="00D4325B">
        <w:rPr>
          <w:lang w:eastAsia="en-AU"/>
        </w:rPr>
        <w:t xml:space="preserve"> </w:t>
      </w:r>
      <w:r w:rsidR="00D4325B" w:rsidRPr="00EB6CE0">
        <w:rPr>
          <w:lang w:eastAsia="en-AU"/>
        </w:rPr>
        <w:t>reporting</w:t>
      </w:r>
      <w:r w:rsidR="00D4325B">
        <w:rPr>
          <w:lang w:eastAsia="en-AU"/>
        </w:rPr>
        <w:t xml:space="preserve"> </w:t>
      </w:r>
      <w:r w:rsidR="00D4325B" w:rsidRPr="00EB6CE0">
        <w:rPr>
          <w:lang w:eastAsia="en-AU"/>
        </w:rPr>
        <w:t>period</w:t>
      </w:r>
      <w:r w:rsidR="00D4325B">
        <w:rPr>
          <w:lang w:eastAsia="en-AU"/>
        </w:rPr>
        <w:t xml:space="preserve"> </w:t>
      </w:r>
      <w:r w:rsidR="00D4325B" w:rsidRPr="00583ACC">
        <w:rPr>
          <w:lang w:eastAsia="en-AU"/>
        </w:rPr>
        <w:t>and</w:t>
      </w:r>
      <w:r w:rsidR="00D4325B">
        <w:rPr>
          <w:lang w:eastAsia="en-AU"/>
        </w:rPr>
        <w:t xml:space="preserve"> </w:t>
      </w:r>
      <w:r w:rsidR="00D4325B" w:rsidRPr="00583ACC">
        <w:rPr>
          <w:lang w:eastAsia="en-AU"/>
        </w:rPr>
        <w:t>in</w:t>
      </w:r>
      <w:r w:rsidR="00D4325B">
        <w:rPr>
          <w:lang w:eastAsia="en-AU"/>
        </w:rPr>
        <w:t xml:space="preserve"> </w:t>
      </w:r>
      <w:r w:rsidR="00D4325B" w:rsidRPr="00583ACC">
        <w:rPr>
          <w:lang w:eastAsia="en-AU"/>
        </w:rPr>
        <w:t>the</w:t>
      </w:r>
      <w:r w:rsidR="00D4325B">
        <w:rPr>
          <w:lang w:eastAsia="en-AU"/>
        </w:rPr>
        <w:t xml:space="preserve"> </w:t>
      </w:r>
      <w:r w:rsidR="00D4325B" w:rsidRPr="00583ACC">
        <w:rPr>
          <w:lang w:eastAsia="en-AU"/>
        </w:rPr>
        <w:t>last</w:t>
      </w:r>
      <w:r w:rsidR="00D4325B">
        <w:rPr>
          <w:lang w:eastAsia="en-AU"/>
        </w:rPr>
        <w:t xml:space="preserve"> </w:t>
      </w:r>
      <w:r w:rsidR="00D4325B" w:rsidRPr="00583ACC">
        <w:rPr>
          <w:lang w:eastAsia="en-AU"/>
        </w:rPr>
        <w:t>full</w:t>
      </w:r>
      <w:r w:rsidR="00D4325B">
        <w:rPr>
          <w:lang w:eastAsia="en-AU"/>
        </w:rPr>
        <w:t xml:space="preserve"> </w:t>
      </w:r>
      <w:r w:rsidR="00D4325B" w:rsidRPr="00583ACC">
        <w:rPr>
          <w:lang w:eastAsia="en-AU"/>
        </w:rPr>
        <w:t>pay</w:t>
      </w:r>
      <w:r w:rsidR="00D4325B">
        <w:rPr>
          <w:lang w:eastAsia="en-AU"/>
        </w:rPr>
        <w:t xml:space="preserve"> </w:t>
      </w:r>
      <w:r w:rsidR="00D4325B" w:rsidRPr="00583ACC">
        <w:rPr>
          <w:lang w:eastAsia="en-AU"/>
        </w:rPr>
        <w:t>period</w:t>
      </w:r>
      <w:r w:rsidR="00D4325B">
        <w:rPr>
          <w:lang w:eastAsia="en-AU"/>
        </w:rPr>
        <w:t xml:space="preserve"> </w:t>
      </w:r>
      <w:r w:rsidR="00D4325B" w:rsidRPr="00583ACC">
        <w:rPr>
          <w:lang w:eastAsia="en-AU"/>
        </w:rPr>
        <w:t>in</w:t>
      </w:r>
      <w:r w:rsidR="00D4325B">
        <w:rPr>
          <w:lang w:eastAsia="en-AU"/>
        </w:rPr>
        <w:t xml:space="preserve"> </w:t>
      </w:r>
      <w:r w:rsidR="00D4325B" w:rsidRPr="00583ACC">
        <w:rPr>
          <w:lang w:eastAsia="en-AU"/>
        </w:rPr>
        <w:t>June</w:t>
      </w:r>
      <w:r w:rsidR="00D4325B">
        <w:rPr>
          <w:lang w:eastAsia="en-AU"/>
        </w:rPr>
        <w:t xml:space="preserve"> o</w:t>
      </w:r>
      <w:r w:rsidR="00D4325B" w:rsidRPr="00583ACC">
        <w:rPr>
          <w:lang w:eastAsia="en-AU"/>
        </w:rPr>
        <w:t>f</w:t>
      </w:r>
      <w:r w:rsidR="00D4325B">
        <w:rPr>
          <w:lang w:eastAsia="en-AU"/>
        </w:rPr>
        <w:t xml:space="preserve"> </w:t>
      </w:r>
      <w:r w:rsidR="00D4325B" w:rsidRPr="00583ACC">
        <w:rPr>
          <w:lang w:eastAsia="en-AU"/>
        </w:rPr>
        <w:t>the</w:t>
      </w:r>
      <w:r w:rsidR="00D4325B">
        <w:rPr>
          <w:lang w:eastAsia="en-AU"/>
        </w:rPr>
        <w:t xml:space="preserve"> </w:t>
      </w:r>
      <w:r w:rsidR="00D4325B" w:rsidRPr="00583ACC">
        <w:rPr>
          <w:lang w:eastAsia="en-AU"/>
        </w:rPr>
        <w:t>previous</w:t>
      </w:r>
      <w:r w:rsidR="00D4325B">
        <w:rPr>
          <w:lang w:eastAsia="en-AU"/>
        </w:rPr>
        <w:t xml:space="preserve"> </w:t>
      </w:r>
      <w:r w:rsidR="00D4325B" w:rsidRPr="00583ACC">
        <w:rPr>
          <w:lang w:eastAsia="en-AU"/>
        </w:rPr>
        <w:t>reporting</w:t>
      </w:r>
      <w:r w:rsidR="00D4325B">
        <w:rPr>
          <w:lang w:eastAsia="en-AU"/>
        </w:rPr>
        <w:t xml:space="preserve"> </w:t>
      </w:r>
      <w:r w:rsidR="00D4325B" w:rsidRPr="00583ACC">
        <w:rPr>
          <w:lang w:eastAsia="en-AU"/>
        </w:rPr>
        <w:t>period</w:t>
      </w:r>
      <w:r>
        <w:rPr>
          <w:lang w:eastAsia="en-AU"/>
        </w:rPr>
        <w:t>.</w:t>
      </w:r>
    </w:p>
    <w:p w14:paraId="5E7744AB" w14:textId="69D206B5" w:rsidR="001A70B8" w:rsidRPr="00C22480" w:rsidRDefault="001A70B8" w:rsidP="00101E5D">
      <w:pPr>
        <w:pStyle w:val="Heading4"/>
        <w:shd w:val="clear" w:color="auto" w:fill="FFFFFF" w:themeFill="background1"/>
        <w:spacing w:after="120"/>
      </w:pPr>
      <w:bookmarkStart w:id="259" w:name="_Toc85121224"/>
      <w:r w:rsidRPr="002029AF">
        <w:t>Summary</w:t>
      </w:r>
      <w:r>
        <w:t xml:space="preserve"> </w:t>
      </w:r>
      <w:r w:rsidRPr="002029AF">
        <w:t>of</w:t>
      </w:r>
      <w:r>
        <w:t xml:space="preserve"> </w:t>
      </w:r>
      <w:r w:rsidRPr="002029AF">
        <w:t>employment</w:t>
      </w:r>
      <w:r>
        <w:t xml:space="preserve"> </w:t>
      </w:r>
      <w:r w:rsidRPr="002029AF">
        <w:t>levels</w:t>
      </w:r>
      <w:r>
        <w:t xml:space="preserve"> </w:t>
      </w:r>
      <w:bookmarkEnd w:id="259"/>
      <w:r w:rsidR="00FA711B" w:rsidRPr="002029AF">
        <w:t>in</w:t>
      </w:r>
      <w:r w:rsidR="00FA711B">
        <w:t xml:space="preserve"> </w:t>
      </w:r>
      <w:r w:rsidR="00FA711B" w:rsidRPr="002029AF">
        <w:t>June</w:t>
      </w:r>
      <w:r w:rsidR="00FA711B">
        <w:t xml:space="preserve"> </w:t>
      </w:r>
      <w:r w:rsidR="00FA711B" w:rsidRPr="002029AF">
        <w:t>of</w:t>
      </w:r>
      <w:r w:rsidR="00FA711B">
        <w:t xml:space="preserve"> </w:t>
      </w:r>
      <w:r w:rsidR="00DB6853">
        <w:t>2022</w:t>
      </w:r>
      <w:r w:rsidR="00FA711B">
        <w:t xml:space="preserve"> </w:t>
      </w:r>
      <w:r w:rsidR="00FA711B" w:rsidRPr="002029AF">
        <w:t>and</w:t>
      </w:r>
      <w:r w:rsidR="00FA711B">
        <w:t xml:space="preserve"> </w:t>
      </w:r>
      <w:r w:rsidR="00FA711B" w:rsidRPr="002029AF">
        <w:t>202</w:t>
      </w:r>
      <w:r w:rsidR="00DB6853">
        <w:t>1</w:t>
      </w:r>
    </w:p>
    <w:tbl>
      <w:tblPr>
        <w:tblStyle w:val="TableGrid"/>
        <w:tblW w:w="9639" w:type="dxa"/>
        <w:tblLook w:val="06A0" w:firstRow="1" w:lastRow="0" w:firstColumn="1" w:lastColumn="0" w:noHBand="1" w:noVBand="1"/>
      </w:tblPr>
      <w:tblGrid>
        <w:gridCol w:w="1204"/>
        <w:gridCol w:w="1205"/>
        <w:gridCol w:w="1205"/>
        <w:gridCol w:w="1205"/>
        <w:gridCol w:w="1205"/>
        <w:gridCol w:w="1205"/>
        <w:gridCol w:w="1205"/>
        <w:gridCol w:w="1205"/>
      </w:tblGrid>
      <w:tr w:rsidR="001A70B8" w:rsidRPr="002029AF" w14:paraId="5F9C48AC" w14:textId="77777777" w:rsidTr="00AF50BC">
        <w:trPr>
          <w:cnfStyle w:val="100000000000" w:firstRow="1" w:lastRow="0" w:firstColumn="0" w:lastColumn="0" w:oddVBand="0" w:evenVBand="0" w:oddHBand="0" w:evenHBand="0" w:firstRowFirstColumn="0" w:firstRowLastColumn="0" w:lastRowFirstColumn="0" w:lastRowLastColumn="0"/>
          <w:tblHeader/>
        </w:trPr>
        <w:tc>
          <w:tcPr>
            <w:tcW w:w="1208" w:type="dxa"/>
            <w:vMerge w:val="restart"/>
            <w:hideMark/>
          </w:tcPr>
          <w:p w14:paraId="20923275" w14:textId="77777777" w:rsidR="001A70B8" w:rsidRPr="002029AF" w:rsidRDefault="001A70B8" w:rsidP="00101E5D">
            <w:pPr>
              <w:pStyle w:val="ARtablecolhead"/>
              <w:shd w:val="clear" w:color="auto" w:fill="FFFFFF" w:themeFill="background1"/>
            </w:pPr>
            <w:bookmarkStart w:id="260" w:name="_Ref492905539"/>
          </w:p>
        </w:tc>
        <w:tc>
          <w:tcPr>
            <w:tcW w:w="1208" w:type="dxa"/>
            <w:gridSpan w:val="2"/>
            <w:tcBorders>
              <w:top w:val="nil"/>
              <w:right w:val="single" w:sz="4" w:space="0" w:color="auto"/>
            </w:tcBorders>
            <w:hideMark/>
          </w:tcPr>
          <w:p w14:paraId="23A68048" w14:textId="77777777" w:rsidR="001A70B8" w:rsidRPr="00C741F1" w:rsidRDefault="001A70B8" w:rsidP="00101E5D">
            <w:pPr>
              <w:pStyle w:val="ARtablecolheadcentre"/>
              <w:shd w:val="clear" w:color="auto" w:fill="FFFFFF" w:themeFill="background1"/>
            </w:pPr>
            <w:r w:rsidRPr="00C741F1">
              <w:t>All</w:t>
            </w:r>
            <w:r>
              <w:t xml:space="preserve"> </w:t>
            </w:r>
            <w:r w:rsidRPr="00C741F1">
              <w:t>employees</w:t>
            </w:r>
          </w:p>
        </w:tc>
        <w:tc>
          <w:tcPr>
            <w:tcW w:w="1208" w:type="dxa"/>
            <w:gridSpan w:val="3"/>
            <w:tcBorders>
              <w:top w:val="nil"/>
              <w:left w:val="single" w:sz="4" w:space="0" w:color="auto"/>
              <w:right w:val="single" w:sz="4" w:space="0" w:color="auto"/>
            </w:tcBorders>
            <w:hideMark/>
          </w:tcPr>
          <w:p w14:paraId="45941276" w14:textId="77777777" w:rsidR="001A70B8" w:rsidRPr="00C741F1" w:rsidRDefault="001A70B8" w:rsidP="00101E5D">
            <w:pPr>
              <w:pStyle w:val="ARtablecolheadcentre"/>
              <w:shd w:val="clear" w:color="auto" w:fill="FFFFFF" w:themeFill="background1"/>
            </w:pPr>
            <w:r w:rsidRPr="00C741F1">
              <w:t>Ongoing</w:t>
            </w:r>
          </w:p>
        </w:tc>
        <w:tc>
          <w:tcPr>
            <w:tcW w:w="1208" w:type="dxa"/>
            <w:gridSpan w:val="2"/>
            <w:tcBorders>
              <w:left w:val="single" w:sz="4" w:space="0" w:color="auto"/>
            </w:tcBorders>
            <w:hideMark/>
          </w:tcPr>
          <w:p w14:paraId="5C951D92" w14:textId="77777777" w:rsidR="001A70B8" w:rsidRPr="00C741F1" w:rsidRDefault="001A70B8" w:rsidP="00101E5D">
            <w:pPr>
              <w:pStyle w:val="ARtablecolheadcentre"/>
              <w:shd w:val="clear" w:color="auto" w:fill="FFFFFF" w:themeFill="background1"/>
            </w:pPr>
            <w:r w:rsidRPr="00C741F1">
              <w:t>Fixed</w:t>
            </w:r>
            <w:r>
              <w:t>-</w:t>
            </w:r>
            <w:r w:rsidRPr="00C741F1">
              <w:t>term</w:t>
            </w:r>
            <w:r>
              <w:t xml:space="preserve"> </w:t>
            </w:r>
            <w:r w:rsidRPr="00C741F1">
              <w:t>and</w:t>
            </w:r>
            <w:r>
              <w:t xml:space="preserve"> </w:t>
            </w:r>
            <w:r w:rsidRPr="00C741F1">
              <w:t>casual</w:t>
            </w:r>
          </w:p>
        </w:tc>
      </w:tr>
      <w:tr w:rsidR="001A70B8" w:rsidRPr="002029AF" w14:paraId="0B3F1723" w14:textId="77777777" w:rsidTr="00AF50BC">
        <w:trPr>
          <w:cnfStyle w:val="100000000000" w:firstRow="1" w:lastRow="0" w:firstColumn="0" w:lastColumn="0" w:oddVBand="0" w:evenVBand="0" w:oddHBand="0" w:evenHBand="0" w:firstRowFirstColumn="0" w:firstRowLastColumn="0" w:lastRowFirstColumn="0" w:lastRowLastColumn="0"/>
          <w:tblHeader/>
        </w:trPr>
        <w:tc>
          <w:tcPr>
            <w:tcW w:w="1208" w:type="dxa"/>
            <w:vMerge/>
            <w:hideMark/>
          </w:tcPr>
          <w:p w14:paraId="099CD823" w14:textId="77777777" w:rsidR="001A70B8" w:rsidRPr="002029AF" w:rsidRDefault="001A70B8" w:rsidP="00101E5D">
            <w:pPr>
              <w:shd w:val="clear" w:color="auto" w:fill="FFFFFF" w:themeFill="background1"/>
              <w:spacing w:before="40" w:after="20" w:line="240" w:lineRule="auto"/>
              <w:rPr>
                <w:rFonts w:ascii="Calibri" w:eastAsia="Times New Roman" w:hAnsi="Calibri" w:cs="Calibri"/>
                <w:i/>
                <w:iCs/>
                <w:color w:val="000000"/>
                <w:sz w:val="15"/>
                <w:szCs w:val="15"/>
              </w:rPr>
            </w:pPr>
          </w:p>
        </w:tc>
        <w:tc>
          <w:tcPr>
            <w:tcW w:w="1208" w:type="dxa"/>
            <w:hideMark/>
          </w:tcPr>
          <w:p w14:paraId="611C6E89" w14:textId="77777777" w:rsidR="001A70B8" w:rsidRPr="00C741F1" w:rsidRDefault="001A70B8" w:rsidP="00101E5D">
            <w:pPr>
              <w:pStyle w:val="ARtablecolheadright"/>
              <w:shd w:val="clear" w:color="auto" w:fill="FFFFFF" w:themeFill="background1"/>
            </w:pPr>
            <w:r w:rsidRPr="00C741F1">
              <w:t>Number</w:t>
            </w:r>
            <w:r>
              <w:t xml:space="preserve"> </w:t>
            </w:r>
            <w:r w:rsidRPr="00C741F1">
              <w:t>(head</w:t>
            </w:r>
            <w:r>
              <w:t xml:space="preserve"> </w:t>
            </w:r>
            <w:r w:rsidRPr="00C741F1">
              <w:t>count)</w:t>
            </w:r>
          </w:p>
        </w:tc>
        <w:tc>
          <w:tcPr>
            <w:tcW w:w="1208" w:type="dxa"/>
            <w:tcBorders>
              <w:top w:val="single" w:sz="4" w:space="0" w:color="auto"/>
              <w:right w:val="single" w:sz="4" w:space="0" w:color="auto"/>
            </w:tcBorders>
            <w:hideMark/>
          </w:tcPr>
          <w:p w14:paraId="1AC963F9" w14:textId="77777777" w:rsidR="001A70B8" w:rsidRPr="00C741F1" w:rsidRDefault="001A70B8" w:rsidP="00101E5D">
            <w:pPr>
              <w:pStyle w:val="ARtablecolheadright"/>
              <w:shd w:val="clear" w:color="auto" w:fill="FFFFFF" w:themeFill="background1"/>
            </w:pPr>
            <w:r w:rsidRPr="00C741F1">
              <w:t>FTE</w:t>
            </w:r>
          </w:p>
        </w:tc>
        <w:tc>
          <w:tcPr>
            <w:tcW w:w="1208" w:type="dxa"/>
            <w:tcBorders>
              <w:left w:val="single" w:sz="4" w:space="0" w:color="auto"/>
            </w:tcBorders>
            <w:hideMark/>
          </w:tcPr>
          <w:p w14:paraId="3B0D1801" w14:textId="77777777" w:rsidR="001A70B8" w:rsidRPr="00C741F1" w:rsidRDefault="001A70B8" w:rsidP="00101E5D">
            <w:pPr>
              <w:pStyle w:val="ARtablecolheadright"/>
              <w:shd w:val="clear" w:color="auto" w:fill="FFFFFF" w:themeFill="background1"/>
            </w:pPr>
            <w:r w:rsidRPr="00C741F1">
              <w:t>Full-time</w:t>
            </w:r>
            <w:r>
              <w:t xml:space="preserve"> </w:t>
            </w:r>
            <w:r w:rsidRPr="00C741F1">
              <w:t>(head</w:t>
            </w:r>
            <w:r>
              <w:t xml:space="preserve"> </w:t>
            </w:r>
            <w:r w:rsidRPr="00C741F1">
              <w:t>count)</w:t>
            </w:r>
          </w:p>
        </w:tc>
        <w:tc>
          <w:tcPr>
            <w:tcW w:w="1208" w:type="dxa"/>
            <w:hideMark/>
          </w:tcPr>
          <w:p w14:paraId="005EC252" w14:textId="77777777" w:rsidR="001A70B8" w:rsidRPr="00C741F1" w:rsidRDefault="001A70B8" w:rsidP="00101E5D">
            <w:pPr>
              <w:pStyle w:val="ARtablecolheadright"/>
              <w:shd w:val="clear" w:color="auto" w:fill="FFFFFF" w:themeFill="background1"/>
            </w:pPr>
            <w:r w:rsidRPr="00C741F1">
              <w:t>Part-time</w:t>
            </w:r>
            <w:r>
              <w:t xml:space="preserve"> </w:t>
            </w:r>
            <w:r w:rsidRPr="00C741F1">
              <w:t>(head</w:t>
            </w:r>
            <w:r>
              <w:t xml:space="preserve"> </w:t>
            </w:r>
            <w:r w:rsidRPr="00C741F1">
              <w:t>count)</w:t>
            </w:r>
          </w:p>
        </w:tc>
        <w:tc>
          <w:tcPr>
            <w:tcW w:w="1208" w:type="dxa"/>
            <w:tcBorders>
              <w:top w:val="single" w:sz="4" w:space="0" w:color="auto"/>
              <w:right w:val="single" w:sz="4" w:space="0" w:color="auto"/>
            </w:tcBorders>
            <w:hideMark/>
          </w:tcPr>
          <w:p w14:paraId="4E51831A" w14:textId="77777777" w:rsidR="001A70B8" w:rsidRPr="00C741F1" w:rsidRDefault="001A70B8" w:rsidP="00101E5D">
            <w:pPr>
              <w:pStyle w:val="ARtablecolheadright"/>
              <w:shd w:val="clear" w:color="auto" w:fill="FFFFFF" w:themeFill="background1"/>
            </w:pPr>
            <w:r w:rsidRPr="00C741F1">
              <w:t>FTE</w:t>
            </w:r>
          </w:p>
        </w:tc>
        <w:tc>
          <w:tcPr>
            <w:tcW w:w="1208" w:type="dxa"/>
            <w:tcBorders>
              <w:left w:val="single" w:sz="4" w:space="0" w:color="auto"/>
            </w:tcBorders>
            <w:hideMark/>
          </w:tcPr>
          <w:p w14:paraId="281F68F2" w14:textId="77777777" w:rsidR="001A70B8" w:rsidRPr="00C741F1" w:rsidRDefault="001A70B8" w:rsidP="00101E5D">
            <w:pPr>
              <w:pStyle w:val="ARtablecolheadright"/>
              <w:shd w:val="clear" w:color="auto" w:fill="FFFFFF" w:themeFill="background1"/>
            </w:pPr>
            <w:r w:rsidRPr="00C741F1">
              <w:t>Number</w:t>
            </w:r>
            <w:r>
              <w:t xml:space="preserve"> </w:t>
            </w:r>
            <w:r w:rsidRPr="00C741F1">
              <w:t>(head</w:t>
            </w:r>
            <w:r>
              <w:t xml:space="preserve"> </w:t>
            </w:r>
            <w:r w:rsidRPr="00C741F1">
              <w:t>count)</w:t>
            </w:r>
          </w:p>
        </w:tc>
        <w:tc>
          <w:tcPr>
            <w:tcW w:w="1208" w:type="dxa"/>
            <w:hideMark/>
          </w:tcPr>
          <w:p w14:paraId="5809CE60" w14:textId="77777777" w:rsidR="001A70B8" w:rsidRPr="00C741F1" w:rsidRDefault="001A70B8" w:rsidP="00101E5D">
            <w:pPr>
              <w:pStyle w:val="ARtablecolheadright"/>
              <w:shd w:val="clear" w:color="auto" w:fill="FFFFFF" w:themeFill="background1"/>
            </w:pPr>
            <w:r w:rsidRPr="00C741F1">
              <w:t>FTE</w:t>
            </w:r>
          </w:p>
        </w:tc>
      </w:tr>
      <w:tr w:rsidR="001A70B8" w:rsidRPr="002029AF" w14:paraId="78CF1FF3" w14:textId="77777777" w:rsidTr="00C71B20">
        <w:trPr>
          <w:cantSplit w:val="0"/>
        </w:trPr>
        <w:tc>
          <w:tcPr>
            <w:tcW w:w="1208" w:type="dxa"/>
            <w:hideMark/>
          </w:tcPr>
          <w:p w14:paraId="0E676087" w14:textId="77777777" w:rsidR="001A70B8" w:rsidRPr="002029AF" w:rsidRDefault="001A70B8" w:rsidP="00101E5D">
            <w:pPr>
              <w:pStyle w:val="ARtabletext"/>
              <w:shd w:val="clear" w:color="auto" w:fill="FFFFFF" w:themeFill="background1"/>
            </w:pPr>
            <w:r>
              <w:t>June 2022</w:t>
            </w:r>
          </w:p>
        </w:tc>
        <w:tc>
          <w:tcPr>
            <w:tcW w:w="1208" w:type="dxa"/>
          </w:tcPr>
          <w:p w14:paraId="2EEEC11C" w14:textId="77777777" w:rsidR="001A70B8" w:rsidRPr="00C741F1" w:rsidRDefault="001A70B8" w:rsidP="00101E5D">
            <w:pPr>
              <w:pStyle w:val="ARtabletextright"/>
              <w:shd w:val="clear" w:color="auto" w:fill="FFFFFF" w:themeFill="background1"/>
            </w:pPr>
            <w:r>
              <w:t>3,306</w:t>
            </w:r>
          </w:p>
        </w:tc>
        <w:tc>
          <w:tcPr>
            <w:tcW w:w="1208" w:type="dxa"/>
            <w:tcBorders>
              <w:top w:val="single" w:sz="4" w:space="0" w:color="auto"/>
              <w:bottom w:val="single" w:sz="4" w:space="0" w:color="auto"/>
              <w:right w:val="single" w:sz="4" w:space="0" w:color="auto"/>
            </w:tcBorders>
          </w:tcPr>
          <w:p w14:paraId="18730D24" w14:textId="77777777" w:rsidR="001A70B8" w:rsidRPr="00C741F1" w:rsidRDefault="001A70B8" w:rsidP="00101E5D">
            <w:pPr>
              <w:pStyle w:val="ARtabletextright"/>
              <w:shd w:val="clear" w:color="auto" w:fill="FFFFFF" w:themeFill="background1"/>
            </w:pPr>
            <w:r>
              <w:t>3,119.3</w:t>
            </w:r>
          </w:p>
        </w:tc>
        <w:tc>
          <w:tcPr>
            <w:tcW w:w="1208" w:type="dxa"/>
            <w:tcBorders>
              <w:left w:val="single" w:sz="4" w:space="0" w:color="auto"/>
            </w:tcBorders>
          </w:tcPr>
          <w:p w14:paraId="10CBD9E0" w14:textId="77777777" w:rsidR="001A70B8" w:rsidRPr="00C741F1" w:rsidRDefault="001A70B8" w:rsidP="00101E5D">
            <w:pPr>
              <w:pStyle w:val="ARtabletextright"/>
              <w:shd w:val="clear" w:color="auto" w:fill="FFFFFF" w:themeFill="background1"/>
            </w:pPr>
            <w:r w:rsidRPr="00C741F1" w:rsidDel="0019722D">
              <w:t>1,</w:t>
            </w:r>
            <w:r>
              <w:t>554</w:t>
            </w:r>
          </w:p>
        </w:tc>
        <w:tc>
          <w:tcPr>
            <w:tcW w:w="1208" w:type="dxa"/>
          </w:tcPr>
          <w:p w14:paraId="777217E6" w14:textId="77777777" w:rsidR="001A70B8" w:rsidRPr="00C741F1" w:rsidRDefault="001A70B8" w:rsidP="00101E5D">
            <w:pPr>
              <w:pStyle w:val="ARtabletextright"/>
              <w:shd w:val="clear" w:color="auto" w:fill="FFFFFF" w:themeFill="background1"/>
            </w:pPr>
            <w:r>
              <w:t>317</w:t>
            </w:r>
          </w:p>
        </w:tc>
        <w:tc>
          <w:tcPr>
            <w:tcW w:w="1208" w:type="dxa"/>
            <w:tcBorders>
              <w:top w:val="single" w:sz="4" w:space="0" w:color="auto"/>
              <w:bottom w:val="single" w:sz="4" w:space="0" w:color="auto"/>
              <w:right w:val="single" w:sz="4" w:space="0" w:color="auto"/>
            </w:tcBorders>
          </w:tcPr>
          <w:p w14:paraId="6F0BD53A" w14:textId="77777777" w:rsidR="001A70B8" w:rsidRPr="00C741F1" w:rsidRDefault="001A70B8" w:rsidP="00101E5D">
            <w:pPr>
              <w:pStyle w:val="ARtabletextright"/>
              <w:shd w:val="clear" w:color="auto" w:fill="FFFFFF" w:themeFill="background1"/>
            </w:pPr>
            <w:r w:rsidRPr="00C741F1" w:rsidDel="0019722D">
              <w:t>1,</w:t>
            </w:r>
            <w:r>
              <w:t>758.4</w:t>
            </w:r>
          </w:p>
        </w:tc>
        <w:tc>
          <w:tcPr>
            <w:tcW w:w="1208" w:type="dxa"/>
            <w:tcBorders>
              <w:left w:val="single" w:sz="4" w:space="0" w:color="auto"/>
            </w:tcBorders>
          </w:tcPr>
          <w:p w14:paraId="340009E2" w14:textId="77777777" w:rsidR="001A70B8" w:rsidRPr="00C741F1" w:rsidRDefault="001A70B8" w:rsidP="00101E5D">
            <w:pPr>
              <w:pStyle w:val="ARtabletextright"/>
              <w:shd w:val="clear" w:color="auto" w:fill="FFFFFF" w:themeFill="background1"/>
            </w:pPr>
            <w:r>
              <w:t>1,435</w:t>
            </w:r>
          </w:p>
        </w:tc>
        <w:tc>
          <w:tcPr>
            <w:tcW w:w="1208" w:type="dxa"/>
          </w:tcPr>
          <w:p w14:paraId="0087E7AA" w14:textId="77777777" w:rsidR="001A70B8" w:rsidRPr="00C741F1" w:rsidRDefault="001A70B8" w:rsidP="00101E5D">
            <w:pPr>
              <w:pStyle w:val="ARtabletextright"/>
              <w:shd w:val="clear" w:color="auto" w:fill="FFFFFF" w:themeFill="background1"/>
            </w:pPr>
            <w:r>
              <w:t>1,360.9</w:t>
            </w:r>
          </w:p>
        </w:tc>
      </w:tr>
      <w:tr w:rsidR="00C71B20" w:rsidRPr="002029AF" w14:paraId="3D86240E" w14:textId="77777777" w:rsidTr="00AF50BC">
        <w:trPr>
          <w:cantSplit w:val="0"/>
        </w:trPr>
        <w:tc>
          <w:tcPr>
            <w:tcW w:w="1208" w:type="dxa"/>
          </w:tcPr>
          <w:p w14:paraId="7FC89E55" w14:textId="0ED67BCF" w:rsidR="00C71B20" w:rsidRDefault="00C71B20" w:rsidP="00101E5D">
            <w:pPr>
              <w:pStyle w:val="ARtabletext"/>
              <w:shd w:val="clear" w:color="auto" w:fill="FFFFFF" w:themeFill="background1"/>
            </w:pPr>
            <w:r>
              <w:t>June 2021</w:t>
            </w:r>
          </w:p>
        </w:tc>
        <w:tc>
          <w:tcPr>
            <w:tcW w:w="1208" w:type="dxa"/>
          </w:tcPr>
          <w:p w14:paraId="4E6F2F4B" w14:textId="08FB0A96" w:rsidR="00C71B20" w:rsidRDefault="00C71B20" w:rsidP="00101E5D">
            <w:pPr>
              <w:pStyle w:val="ARtabletextright"/>
              <w:shd w:val="clear" w:color="auto" w:fill="FFFFFF" w:themeFill="background1"/>
            </w:pPr>
            <w:r>
              <w:t>4</w:t>
            </w:r>
            <w:r w:rsidR="00442FBC">
              <w:t>,</w:t>
            </w:r>
            <w:r>
              <w:t>342</w:t>
            </w:r>
          </w:p>
        </w:tc>
        <w:tc>
          <w:tcPr>
            <w:tcW w:w="1208" w:type="dxa"/>
            <w:tcBorders>
              <w:top w:val="single" w:sz="4" w:space="0" w:color="auto"/>
              <w:right w:val="single" w:sz="4" w:space="0" w:color="auto"/>
            </w:tcBorders>
          </w:tcPr>
          <w:p w14:paraId="1A763960" w14:textId="4BA1605F" w:rsidR="00C71B20" w:rsidRDefault="00C71B20" w:rsidP="00101E5D">
            <w:pPr>
              <w:pStyle w:val="ARtabletextright"/>
              <w:shd w:val="clear" w:color="auto" w:fill="FFFFFF" w:themeFill="background1"/>
            </w:pPr>
            <w:r>
              <w:t>4</w:t>
            </w:r>
            <w:r w:rsidR="00442FBC">
              <w:t>,</w:t>
            </w:r>
            <w:r>
              <w:t>093.6</w:t>
            </w:r>
          </w:p>
        </w:tc>
        <w:tc>
          <w:tcPr>
            <w:tcW w:w="1208" w:type="dxa"/>
            <w:tcBorders>
              <w:left w:val="single" w:sz="4" w:space="0" w:color="auto"/>
            </w:tcBorders>
          </w:tcPr>
          <w:p w14:paraId="4483C548" w14:textId="77BDE905" w:rsidR="00C71B20" w:rsidRPr="00C741F1" w:rsidDel="0019722D" w:rsidRDefault="00C71B20" w:rsidP="00101E5D">
            <w:pPr>
              <w:pStyle w:val="ARtabletextright"/>
              <w:shd w:val="clear" w:color="auto" w:fill="FFFFFF" w:themeFill="background1"/>
            </w:pPr>
            <w:r>
              <w:t>1</w:t>
            </w:r>
            <w:r w:rsidR="00442FBC">
              <w:t>,</w:t>
            </w:r>
            <w:r>
              <w:t>630</w:t>
            </w:r>
          </w:p>
        </w:tc>
        <w:tc>
          <w:tcPr>
            <w:tcW w:w="1208" w:type="dxa"/>
          </w:tcPr>
          <w:p w14:paraId="0E3437D9" w14:textId="16A0C28B" w:rsidR="00C71B20" w:rsidRDefault="00442FBC" w:rsidP="00101E5D">
            <w:pPr>
              <w:pStyle w:val="ARtabletextright"/>
              <w:shd w:val="clear" w:color="auto" w:fill="FFFFFF" w:themeFill="background1"/>
            </w:pPr>
            <w:r>
              <w:t>337</w:t>
            </w:r>
          </w:p>
        </w:tc>
        <w:tc>
          <w:tcPr>
            <w:tcW w:w="1208" w:type="dxa"/>
            <w:tcBorders>
              <w:top w:val="single" w:sz="4" w:space="0" w:color="auto"/>
              <w:right w:val="single" w:sz="4" w:space="0" w:color="auto"/>
            </w:tcBorders>
          </w:tcPr>
          <w:p w14:paraId="044F2766" w14:textId="199156DC" w:rsidR="00C71B20" w:rsidRPr="00C741F1" w:rsidDel="0019722D" w:rsidRDefault="00442FBC" w:rsidP="00101E5D">
            <w:pPr>
              <w:pStyle w:val="ARtabletextright"/>
              <w:shd w:val="clear" w:color="auto" w:fill="FFFFFF" w:themeFill="background1"/>
            </w:pPr>
            <w:r>
              <w:t>1,865.6</w:t>
            </w:r>
          </w:p>
        </w:tc>
        <w:tc>
          <w:tcPr>
            <w:tcW w:w="1208" w:type="dxa"/>
            <w:tcBorders>
              <w:left w:val="single" w:sz="4" w:space="0" w:color="auto"/>
            </w:tcBorders>
          </w:tcPr>
          <w:p w14:paraId="6BA723EE" w14:textId="6A45F9E9" w:rsidR="00C71B20" w:rsidRDefault="00442FBC" w:rsidP="00101E5D">
            <w:pPr>
              <w:pStyle w:val="ARtabletextright"/>
              <w:shd w:val="clear" w:color="auto" w:fill="FFFFFF" w:themeFill="background1"/>
            </w:pPr>
            <w:r>
              <w:t>2,375</w:t>
            </w:r>
          </w:p>
        </w:tc>
        <w:tc>
          <w:tcPr>
            <w:tcW w:w="1208" w:type="dxa"/>
          </w:tcPr>
          <w:p w14:paraId="061A644A" w14:textId="7941BEE9" w:rsidR="00C71B20" w:rsidRDefault="00442FBC" w:rsidP="00101E5D">
            <w:pPr>
              <w:pStyle w:val="ARtabletextright"/>
              <w:shd w:val="clear" w:color="auto" w:fill="FFFFFF" w:themeFill="background1"/>
            </w:pPr>
            <w:r>
              <w:t>2,228.0</w:t>
            </w:r>
          </w:p>
        </w:tc>
      </w:tr>
    </w:tbl>
    <w:p w14:paraId="3D099A26" w14:textId="77777777" w:rsidR="001A70B8" w:rsidRPr="00B012F4" w:rsidRDefault="001A70B8" w:rsidP="00101E5D">
      <w:pPr>
        <w:pStyle w:val="ARbody"/>
        <w:shd w:val="clear" w:color="auto" w:fill="FFFFFF" w:themeFill="background1"/>
        <w:rPr>
          <w:lang w:eastAsia="en-AU"/>
        </w:rPr>
        <w:sectPr w:rsidR="001A70B8" w:rsidRPr="00B012F4" w:rsidSect="00C741F1">
          <w:footnotePr>
            <w:numFmt w:val="lowerLetter"/>
            <w:numRestart w:val="eachPage"/>
          </w:footnotePr>
          <w:endnotePr>
            <w:numFmt w:val="decimal"/>
          </w:endnotePr>
          <w:type w:val="continuous"/>
          <w:pgSz w:w="11900" w:h="16840" w:code="9"/>
          <w:pgMar w:top="1985" w:right="1134" w:bottom="851" w:left="1134" w:header="510" w:footer="340" w:gutter="0"/>
          <w:cols w:space="454"/>
        </w:sectPr>
      </w:pPr>
    </w:p>
    <w:p w14:paraId="346B8630" w14:textId="77777777" w:rsidR="001A70B8" w:rsidRDefault="001A70B8" w:rsidP="00101E5D">
      <w:pPr>
        <w:pStyle w:val="Heading4"/>
        <w:shd w:val="clear" w:color="auto" w:fill="FFFFFF" w:themeFill="background1"/>
        <w:spacing w:before="0"/>
      </w:pPr>
      <w:bookmarkStart w:id="261" w:name="_Toc85121225"/>
      <w:bookmarkStart w:id="262" w:name="_Hlk19622676"/>
      <w:r>
        <w:t xml:space="preserve">Department of Health </w:t>
      </w:r>
      <w:r w:rsidRPr="002029AF">
        <w:t>employment</w:t>
      </w:r>
      <w:r>
        <w:t xml:space="preserve"> </w:t>
      </w:r>
      <w:r w:rsidRPr="002029AF">
        <w:t>levels</w:t>
      </w:r>
      <w:r>
        <w:t xml:space="preserve"> </w:t>
      </w:r>
      <w:r w:rsidRPr="002029AF">
        <w:t>in</w:t>
      </w:r>
      <w:r>
        <w:t xml:space="preserve"> </w:t>
      </w:r>
      <w:r w:rsidRPr="002029AF">
        <w:t>June</w:t>
      </w:r>
      <w:r>
        <w:t xml:space="preserve"> </w:t>
      </w:r>
      <w:bookmarkEnd w:id="261"/>
      <w:r w:rsidRPr="002029AF">
        <w:t>202</w:t>
      </w:r>
      <w:r>
        <w:t>2</w:t>
      </w:r>
    </w:p>
    <w:tbl>
      <w:tblPr>
        <w:tblStyle w:val="TableGrid"/>
        <w:tblW w:w="14029" w:type="dxa"/>
        <w:tblLook w:val="06A0" w:firstRow="1" w:lastRow="0" w:firstColumn="1" w:lastColumn="0" w:noHBand="1" w:noVBand="1"/>
      </w:tblPr>
      <w:tblGrid>
        <w:gridCol w:w="1982"/>
        <w:gridCol w:w="1515"/>
        <w:gridCol w:w="1756"/>
        <w:gridCol w:w="1754"/>
        <w:gridCol w:w="1756"/>
        <w:gridCol w:w="1754"/>
        <w:gridCol w:w="1756"/>
        <w:gridCol w:w="1756"/>
      </w:tblGrid>
      <w:tr w:rsidR="001A70B8" w:rsidRPr="002029AF" w14:paraId="5DD43E17" w14:textId="77777777" w:rsidTr="00221EB6">
        <w:trPr>
          <w:cnfStyle w:val="100000000000" w:firstRow="1" w:lastRow="0" w:firstColumn="0" w:lastColumn="0" w:oddVBand="0" w:evenVBand="0" w:oddHBand="0" w:evenHBand="0" w:firstRowFirstColumn="0" w:firstRowLastColumn="0" w:lastRowFirstColumn="0" w:lastRowLastColumn="0"/>
          <w:tblHeader/>
        </w:trPr>
        <w:tc>
          <w:tcPr>
            <w:tcW w:w="706" w:type="pct"/>
            <w:vMerge w:val="restart"/>
            <w:hideMark/>
          </w:tcPr>
          <w:p w14:paraId="1C07A5DF" w14:textId="77777777" w:rsidR="001A70B8" w:rsidRPr="002029AF" w:rsidRDefault="001A70B8" w:rsidP="00101E5D">
            <w:pPr>
              <w:pStyle w:val="ARtablecolhead"/>
              <w:shd w:val="clear" w:color="auto" w:fill="FFFFFF" w:themeFill="background1"/>
              <w:spacing w:before="20" w:after="10" w:line="240" w:lineRule="auto"/>
            </w:pPr>
          </w:p>
        </w:tc>
        <w:tc>
          <w:tcPr>
            <w:tcW w:w="1166" w:type="pct"/>
            <w:gridSpan w:val="2"/>
            <w:tcBorders>
              <w:top w:val="nil"/>
              <w:right w:val="single" w:sz="4" w:space="0" w:color="auto"/>
            </w:tcBorders>
            <w:hideMark/>
          </w:tcPr>
          <w:p w14:paraId="6C732BF5" w14:textId="77777777" w:rsidR="001A70B8" w:rsidRPr="00C741F1" w:rsidRDefault="001A70B8" w:rsidP="00101E5D">
            <w:pPr>
              <w:pStyle w:val="ARtablecolheadcentre"/>
              <w:shd w:val="clear" w:color="auto" w:fill="FFFFFF" w:themeFill="background1"/>
              <w:spacing w:before="20" w:after="10" w:line="240" w:lineRule="auto"/>
            </w:pPr>
            <w:r w:rsidRPr="00C741F1">
              <w:t>All</w:t>
            </w:r>
            <w:r>
              <w:t xml:space="preserve"> </w:t>
            </w:r>
            <w:r w:rsidRPr="00C741F1">
              <w:t>employees</w:t>
            </w:r>
          </w:p>
        </w:tc>
        <w:tc>
          <w:tcPr>
            <w:tcW w:w="1876" w:type="pct"/>
            <w:gridSpan w:val="3"/>
            <w:tcBorders>
              <w:top w:val="nil"/>
              <w:left w:val="single" w:sz="4" w:space="0" w:color="auto"/>
              <w:right w:val="single" w:sz="4" w:space="0" w:color="auto"/>
            </w:tcBorders>
            <w:hideMark/>
          </w:tcPr>
          <w:p w14:paraId="196A4EF1" w14:textId="77777777" w:rsidR="001A70B8" w:rsidRPr="00C741F1" w:rsidRDefault="001A70B8" w:rsidP="00101E5D">
            <w:pPr>
              <w:pStyle w:val="ARtablecolheadcentre"/>
              <w:shd w:val="clear" w:color="auto" w:fill="FFFFFF" w:themeFill="background1"/>
              <w:spacing w:before="20" w:after="10" w:line="240" w:lineRule="auto"/>
            </w:pPr>
            <w:r w:rsidRPr="00C741F1">
              <w:t>Ongoing</w:t>
            </w:r>
          </w:p>
        </w:tc>
        <w:tc>
          <w:tcPr>
            <w:tcW w:w="1252" w:type="pct"/>
            <w:gridSpan w:val="2"/>
            <w:tcBorders>
              <w:left w:val="single" w:sz="4" w:space="0" w:color="auto"/>
            </w:tcBorders>
            <w:hideMark/>
          </w:tcPr>
          <w:p w14:paraId="1E632D79" w14:textId="77777777" w:rsidR="001A70B8" w:rsidRPr="00C741F1" w:rsidRDefault="001A70B8" w:rsidP="00101E5D">
            <w:pPr>
              <w:pStyle w:val="ARtablecolheadcentre"/>
              <w:shd w:val="clear" w:color="auto" w:fill="FFFFFF" w:themeFill="background1"/>
              <w:spacing w:before="20" w:after="10" w:line="240" w:lineRule="auto"/>
            </w:pPr>
            <w:r w:rsidRPr="00C741F1">
              <w:t>Fixed</w:t>
            </w:r>
            <w:r>
              <w:t>-</w:t>
            </w:r>
            <w:r w:rsidRPr="00C741F1">
              <w:t>term</w:t>
            </w:r>
            <w:r>
              <w:t xml:space="preserve"> </w:t>
            </w:r>
            <w:r w:rsidRPr="00C741F1">
              <w:t>and</w:t>
            </w:r>
            <w:r>
              <w:t xml:space="preserve"> </w:t>
            </w:r>
            <w:r w:rsidRPr="00C741F1">
              <w:t>casual</w:t>
            </w:r>
          </w:p>
        </w:tc>
      </w:tr>
      <w:tr w:rsidR="001A70B8" w:rsidRPr="002029AF" w14:paraId="0F2E842E" w14:textId="77777777" w:rsidTr="00221EB6">
        <w:trPr>
          <w:cnfStyle w:val="100000000000" w:firstRow="1" w:lastRow="0" w:firstColumn="0" w:lastColumn="0" w:oddVBand="0" w:evenVBand="0" w:oddHBand="0" w:evenHBand="0" w:firstRowFirstColumn="0" w:firstRowLastColumn="0" w:lastRowFirstColumn="0" w:lastRowLastColumn="0"/>
          <w:tblHeader/>
        </w:trPr>
        <w:tc>
          <w:tcPr>
            <w:tcW w:w="706" w:type="pct"/>
            <w:vMerge/>
            <w:hideMark/>
          </w:tcPr>
          <w:p w14:paraId="325EEEF8" w14:textId="77777777" w:rsidR="001A70B8" w:rsidRPr="002029AF" w:rsidRDefault="001A70B8" w:rsidP="00101E5D">
            <w:pPr>
              <w:shd w:val="clear" w:color="auto" w:fill="FFFFFF" w:themeFill="background1"/>
              <w:spacing w:before="20" w:after="10" w:line="240" w:lineRule="auto"/>
              <w:rPr>
                <w:rFonts w:ascii="Calibri" w:eastAsia="Times New Roman" w:hAnsi="Calibri" w:cs="Calibri"/>
                <w:i/>
                <w:iCs/>
                <w:color w:val="000000"/>
                <w:sz w:val="15"/>
                <w:szCs w:val="15"/>
              </w:rPr>
            </w:pPr>
          </w:p>
        </w:tc>
        <w:tc>
          <w:tcPr>
            <w:tcW w:w="540" w:type="pct"/>
            <w:hideMark/>
          </w:tcPr>
          <w:p w14:paraId="7F02682C" w14:textId="77777777" w:rsidR="001A70B8" w:rsidRDefault="001A70B8" w:rsidP="00101E5D">
            <w:pPr>
              <w:pStyle w:val="ARtablecolheadright"/>
              <w:shd w:val="clear" w:color="auto" w:fill="FFFFFF" w:themeFill="background1"/>
              <w:spacing w:before="20" w:after="10" w:line="240" w:lineRule="auto"/>
            </w:pPr>
            <w:r w:rsidRPr="00C741F1">
              <w:t>Number</w:t>
            </w:r>
          </w:p>
          <w:p w14:paraId="1A635626" w14:textId="77777777" w:rsidR="001A70B8" w:rsidRPr="00C741F1" w:rsidRDefault="001A70B8" w:rsidP="00101E5D">
            <w:pPr>
              <w:pStyle w:val="ARtablecolheadright"/>
              <w:shd w:val="clear" w:color="auto" w:fill="FFFFFF" w:themeFill="background1"/>
              <w:spacing w:before="20" w:after="10" w:line="240" w:lineRule="auto"/>
            </w:pPr>
            <w:r w:rsidRPr="00C741F1">
              <w:t>(head</w:t>
            </w:r>
            <w:r>
              <w:t xml:space="preserve"> </w:t>
            </w:r>
            <w:r w:rsidRPr="00C741F1">
              <w:t>count)</w:t>
            </w:r>
          </w:p>
        </w:tc>
        <w:tc>
          <w:tcPr>
            <w:tcW w:w="626" w:type="pct"/>
            <w:tcBorders>
              <w:top w:val="single" w:sz="4" w:space="0" w:color="auto"/>
              <w:right w:val="single" w:sz="4" w:space="0" w:color="auto"/>
            </w:tcBorders>
            <w:hideMark/>
          </w:tcPr>
          <w:p w14:paraId="6FECB483" w14:textId="77777777" w:rsidR="001A70B8" w:rsidRPr="00C741F1" w:rsidRDefault="001A70B8" w:rsidP="00101E5D">
            <w:pPr>
              <w:pStyle w:val="ARtablecolheadright"/>
              <w:shd w:val="clear" w:color="auto" w:fill="FFFFFF" w:themeFill="background1"/>
              <w:spacing w:before="20" w:after="10" w:line="240" w:lineRule="auto"/>
            </w:pPr>
            <w:r w:rsidRPr="00C741F1">
              <w:t>FTE</w:t>
            </w:r>
          </w:p>
        </w:tc>
        <w:tc>
          <w:tcPr>
            <w:tcW w:w="625" w:type="pct"/>
            <w:tcBorders>
              <w:left w:val="single" w:sz="4" w:space="0" w:color="auto"/>
            </w:tcBorders>
            <w:hideMark/>
          </w:tcPr>
          <w:p w14:paraId="66D5F515" w14:textId="77777777" w:rsidR="001A70B8" w:rsidRDefault="001A70B8" w:rsidP="00101E5D">
            <w:pPr>
              <w:pStyle w:val="ARtablecolheadright"/>
              <w:shd w:val="clear" w:color="auto" w:fill="FFFFFF" w:themeFill="background1"/>
              <w:spacing w:before="20" w:after="10" w:line="240" w:lineRule="auto"/>
            </w:pPr>
            <w:r w:rsidRPr="00C741F1">
              <w:t>Full-time</w:t>
            </w:r>
          </w:p>
          <w:p w14:paraId="39280B42" w14:textId="77777777" w:rsidR="001A70B8" w:rsidRPr="00C741F1" w:rsidRDefault="001A70B8" w:rsidP="00101E5D">
            <w:pPr>
              <w:pStyle w:val="ARtablecolheadright"/>
              <w:shd w:val="clear" w:color="auto" w:fill="FFFFFF" w:themeFill="background1"/>
              <w:spacing w:before="20" w:after="10" w:line="240" w:lineRule="auto"/>
            </w:pPr>
            <w:r w:rsidRPr="00C741F1">
              <w:t>(head</w:t>
            </w:r>
            <w:r>
              <w:t xml:space="preserve"> </w:t>
            </w:r>
            <w:r w:rsidRPr="00C741F1">
              <w:t>count)</w:t>
            </w:r>
          </w:p>
        </w:tc>
        <w:tc>
          <w:tcPr>
            <w:tcW w:w="626" w:type="pct"/>
            <w:hideMark/>
          </w:tcPr>
          <w:p w14:paraId="5044BAA4" w14:textId="77777777" w:rsidR="001A70B8" w:rsidRDefault="001A70B8" w:rsidP="00101E5D">
            <w:pPr>
              <w:pStyle w:val="ARtablecolheadright"/>
              <w:shd w:val="clear" w:color="auto" w:fill="FFFFFF" w:themeFill="background1"/>
              <w:spacing w:before="20" w:after="10" w:line="240" w:lineRule="auto"/>
            </w:pPr>
            <w:r w:rsidRPr="00C741F1">
              <w:t>Part-time</w:t>
            </w:r>
          </w:p>
          <w:p w14:paraId="77B91358" w14:textId="77777777" w:rsidR="001A70B8" w:rsidRPr="00C741F1" w:rsidRDefault="001A70B8" w:rsidP="00101E5D">
            <w:pPr>
              <w:pStyle w:val="ARtablecolheadright"/>
              <w:shd w:val="clear" w:color="auto" w:fill="FFFFFF" w:themeFill="background1"/>
              <w:spacing w:before="20" w:after="10" w:line="240" w:lineRule="auto"/>
            </w:pPr>
            <w:r w:rsidRPr="00C741F1">
              <w:t>(head</w:t>
            </w:r>
            <w:r>
              <w:t xml:space="preserve"> </w:t>
            </w:r>
            <w:r w:rsidRPr="00C741F1">
              <w:t>count)</w:t>
            </w:r>
          </w:p>
        </w:tc>
        <w:tc>
          <w:tcPr>
            <w:tcW w:w="625" w:type="pct"/>
            <w:tcBorders>
              <w:top w:val="single" w:sz="4" w:space="0" w:color="auto"/>
              <w:right w:val="single" w:sz="4" w:space="0" w:color="auto"/>
            </w:tcBorders>
            <w:hideMark/>
          </w:tcPr>
          <w:p w14:paraId="12281B25" w14:textId="77777777" w:rsidR="001A70B8" w:rsidRPr="00C741F1" w:rsidRDefault="001A70B8" w:rsidP="00101E5D">
            <w:pPr>
              <w:pStyle w:val="ARtablecolheadright"/>
              <w:shd w:val="clear" w:color="auto" w:fill="FFFFFF" w:themeFill="background1"/>
              <w:spacing w:before="20" w:after="10" w:line="240" w:lineRule="auto"/>
            </w:pPr>
            <w:r w:rsidRPr="00C741F1">
              <w:t>FTE</w:t>
            </w:r>
          </w:p>
        </w:tc>
        <w:tc>
          <w:tcPr>
            <w:tcW w:w="626" w:type="pct"/>
            <w:tcBorders>
              <w:left w:val="single" w:sz="4" w:space="0" w:color="auto"/>
            </w:tcBorders>
            <w:hideMark/>
          </w:tcPr>
          <w:p w14:paraId="27A61DCE" w14:textId="77777777" w:rsidR="001A70B8" w:rsidRDefault="001A70B8" w:rsidP="00101E5D">
            <w:pPr>
              <w:pStyle w:val="ARtablecolheadright"/>
              <w:shd w:val="clear" w:color="auto" w:fill="FFFFFF" w:themeFill="background1"/>
              <w:spacing w:before="20" w:after="10" w:line="240" w:lineRule="auto"/>
            </w:pPr>
            <w:r w:rsidRPr="00C741F1">
              <w:t>Number</w:t>
            </w:r>
          </w:p>
          <w:p w14:paraId="2AD226A1" w14:textId="77777777" w:rsidR="001A70B8" w:rsidRPr="00C741F1" w:rsidRDefault="001A70B8" w:rsidP="00101E5D">
            <w:pPr>
              <w:pStyle w:val="ARtablecolheadright"/>
              <w:shd w:val="clear" w:color="auto" w:fill="FFFFFF" w:themeFill="background1"/>
              <w:spacing w:before="20" w:after="10" w:line="240" w:lineRule="auto"/>
            </w:pPr>
            <w:r w:rsidRPr="00C741F1">
              <w:t>(head</w:t>
            </w:r>
            <w:r>
              <w:t xml:space="preserve"> </w:t>
            </w:r>
            <w:r w:rsidRPr="00C741F1">
              <w:t>count)</w:t>
            </w:r>
          </w:p>
        </w:tc>
        <w:tc>
          <w:tcPr>
            <w:tcW w:w="626" w:type="pct"/>
            <w:hideMark/>
          </w:tcPr>
          <w:p w14:paraId="5B20AA34" w14:textId="77777777" w:rsidR="001A70B8" w:rsidRPr="00C741F1" w:rsidRDefault="001A70B8" w:rsidP="00101E5D">
            <w:pPr>
              <w:pStyle w:val="ARtablecolheadright"/>
              <w:shd w:val="clear" w:color="auto" w:fill="FFFFFF" w:themeFill="background1"/>
              <w:spacing w:before="20" w:after="10" w:line="240" w:lineRule="auto"/>
            </w:pPr>
            <w:r w:rsidRPr="00C741F1">
              <w:t>FTE</w:t>
            </w:r>
          </w:p>
        </w:tc>
      </w:tr>
      <w:tr w:rsidR="00CD16CF" w:rsidRPr="002029AF" w14:paraId="4A7B6CD2" w14:textId="77777777" w:rsidTr="00CD16CF">
        <w:trPr>
          <w:cantSplit w:val="0"/>
        </w:trPr>
        <w:tc>
          <w:tcPr>
            <w:tcW w:w="5000" w:type="pct"/>
            <w:gridSpan w:val="8"/>
          </w:tcPr>
          <w:p w14:paraId="6386EE93" w14:textId="5E933989" w:rsidR="00CD16CF" w:rsidRPr="002029AF" w:rsidRDefault="00CD16CF" w:rsidP="00A212B4">
            <w:pPr>
              <w:pStyle w:val="ARtablecolourbold"/>
              <w:spacing w:before="20" w:after="10"/>
            </w:pPr>
            <w:r w:rsidRPr="00163895">
              <w:t>Gender</w:t>
            </w:r>
          </w:p>
        </w:tc>
      </w:tr>
      <w:tr w:rsidR="001A70B8" w:rsidRPr="002029AF" w14:paraId="16A98706" w14:textId="77777777" w:rsidTr="00221EB6">
        <w:trPr>
          <w:cantSplit w:val="0"/>
        </w:trPr>
        <w:tc>
          <w:tcPr>
            <w:tcW w:w="706" w:type="pct"/>
            <w:hideMark/>
          </w:tcPr>
          <w:p w14:paraId="7C0A91F2" w14:textId="77777777" w:rsidR="001A70B8" w:rsidRPr="002029AF" w:rsidRDefault="001A70B8" w:rsidP="00A212B4">
            <w:pPr>
              <w:pStyle w:val="ARtabletext"/>
              <w:shd w:val="clear" w:color="auto" w:fill="FFFFFF" w:themeFill="background1"/>
              <w:spacing w:before="20" w:after="10" w:line="240" w:lineRule="auto"/>
            </w:pPr>
            <w:r w:rsidRPr="002029AF">
              <w:t>Women</w:t>
            </w:r>
          </w:p>
        </w:tc>
        <w:tc>
          <w:tcPr>
            <w:tcW w:w="540" w:type="pct"/>
          </w:tcPr>
          <w:p w14:paraId="3C8DF311" w14:textId="77777777" w:rsidR="001A70B8" w:rsidRPr="002029AF" w:rsidRDefault="001A70B8" w:rsidP="00A212B4">
            <w:pPr>
              <w:pStyle w:val="ARtabletextright"/>
              <w:shd w:val="clear" w:color="auto" w:fill="FFFFFF" w:themeFill="background1"/>
              <w:spacing w:before="20" w:after="10" w:line="240" w:lineRule="auto"/>
            </w:pPr>
            <w:r w:rsidDel="0019722D">
              <w:t>2,</w:t>
            </w:r>
            <w:r>
              <w:t>132</w:t>
            </w:r>
          </w:p>
        </w:tc>
        <w:tc>
          <w:tcPr>
            <w:tcW w:w="626" w:type="pct"/>
            <w:tcBorders>
              <w:top w:val="single" w:sz="4" w:space="0" w:color="auto"/>
              <w:right w:val="single" w:sz="4" w:space="0" w:color="auto"/>
            </w:tcBorders>
          </w:tcPr>
          <w:p w14:paraId="2CB29A49" w14:textId="77777777" w:rsidR="001A70B8" w:rsidRPr="002029AF" w:rsidRDefault="001A70B8" w:rsidP="00A212B4">
            <w:pPr>
              <w:pStyle w:val="ARtabletextright"/>
              <w:shd w:val="clear" w:color="auto" w:fill="FFFFFF" w:themeFill="background1"/>
              <w:spacing w:before="20" w:after="10" w:line="240" w:lineRule="auto"/>
            </w:pPr>
            <w:r>
              <w:t>1,968.2</w:t>
            </w:r>
          </w:p>
        </w:tc>
        <w:tc>
          <w:tcPr>
            <w:tcW w:w="625" w:type="pct"/>
            <w:tcBorders>
              <w:left w:val="single" w:sz="4" w:space="0" w:color="auto"/>
            </w:tcBorders>
          </w:tcPr>
          <w:p w14:paraId="5AD5A475" w14:textId="77777777" w:rsidR="001A70B8" w:rsidRPr="002029AF" w:rsidRDefault="001A70B8" w:rsidP="00A212B4">
            <w:pPr>
              <w:pStyle w:val="ARtabletextright"/>
              <w:shd w:val="clear" w:color="auto" w:fill="FFFFFF" w:themeFill="background1"/>
              <w:spacing w:before="20" w:after="10" w:line="240" w:lineRule="auto"/>
            </w:pPr>
            <w:r>
              <w:t>897</w:t>
            </w:r>
          </w:p>
        </w:tc>
        <w:tc>
          <w:tcPr>
            <w:tcW w:w="626" w:type="pct"/>
          </w:tcPr>
          <w:p w14:paraId="5112F059" w14:textId="77777777" w:rsidR="001A70B8" w:rsidRPr="002029AF" w:rsidRDefault="001A70B8" w:rsidP="00A212B4">
            <w:pPr>
              <w:pStyle w:val="ARtabletextright"/>
              <w:shd w:val="clear" w:color="auto" w:fill="FFFFFF" w:themeFill="background1"/>
              <w:spacing w:before="20" w:after="10" w:line="240" w:lineRule="auto"/>
            </w:pPr>
            <w:r>
              <w:t>289</w:t>
            </w:r>
          </w:p>
        </w:tc>
        <w:tc>
          <w:tcPr>
            <w:tcW w:w="625" w:type="pct"/>
            <w:tcBorders>
              <w:top w:val="single" w:sz="4" w:space="0" w:color="auto"/>
              <w:right w:val="single" w:sz="4" w:space="0" w:color="auto"/>
            </w:tcBorders>
          </w:tcPr>
          <w:p w14:paraId="5E9B69FC" w14:textId="77777777" w:rsidR="001A70B8" w:rsidRPr="002029AF" w:rsidRDefault="001A70B8" w:rsidP="00A212B4">
            <w:pPr>
              <w:pStyle w:val="ARtabletextright"/>
              <w:shd w:val="clear" w:color="auto" w:fill="FFFFFF" w:themeFill="background1"/>
              <w:spacing w:before="20" w:after="10" w:line="240" w:lineRule="auto"/>
            </w:pPr>
            <w:r w:rsidDel="002822C9">
              <w:t>1,</w:t>
            </w:r>
            <w:r>
              <w:t>084.4</w:t>
            </w:r>
          </w:p>
        </w:tc>
        <w:tc>
          <w:tcPr>
            <w:tcW w:w="626" w:type="pct"/>
            <w:tcBorders>
              <w:left w:val="single" w:sz="4" w:space="0" w:color="auto"/>
            </w:tcBorders>
          </w:tcPr>
          <w:p w14:paraId="0B3DD8B8" w14:textId="77777777" w:rsidR="001A70B8" w:rsidRPr="002029AF" w:rsidRDefault="001A70B8" w:rsidP="00A212B4">
            <w:pPr>
              <w:pStyle w:val="ARtabletextright"/>
              <w:shd w:val="clear" w:color="auto" w:fill="FFFFFF" w:themeFill="background1"/>
              <w:spacing w:before="20" w:after="10" w:line="240" w:lineRule="auto"/>
            </w:pPr>
            <w:r>
              <w:t>946</w:t>
            </w:r>
          </w:p>
        </w:tc>
        <w:tc>
          <w:tcPr>
            <w:tcW w:w="626" w:type="pct"/>
          </w:tcPr>
          <w:p w14:paraId="5EAFBB19" w14:textId="77777777" w:rsidR="001A70B8" w:rsidRPr="002029AF" w:rsidRDefault="001A70B8" w:rsidP="00A212B4">
            <w:pPr>
              <w:pStyle w:val="ARtabletextright"/>
              <w:shd w:val="clear" w:color="auto" w:fill="FFFFFF" w:themeFill="background1"/>
              <w:spacing w:before="20" w:after="10" w:line="240" w:lineRule="auto"/>
            </w:pPr>
            <w:r>
              <w:t>883.9</w:t>
            </w:r>
          </w:p>
        </w:tc>
      </w:tr>
      <w:tr w:rsidR="001A70B8" w:rsidRPr="002029AF" w14:paraId="2DE4905E" w14:textId="77777777" w:rsidTr="00221EB6">
        <w:trPr>
          <w:cantSplit w:val="0"/>
        </w:trPr>
        <w:tc>
          <w:tcPr>
            <w:tcW w:w="706" w:type="pct"/>
            <w:hideMark/>
          </w:tcPr>
          <w:p w14:paraId="00ADBBF6" w14:textId="77777777" w:rsidR="001A70B8" w:rsidRPr="002029AF" w:rsidRDefault="001A70B8" w:rsidP="00A212B4">
            <w:pPr>
              <w:pStyle w:val="ARtabletext"/>
              <w:shd w:val="clear" w:color="auto" w:fill="FFFFFF" w:themeFill="background1"/>
              <w:spacing w:before="20" w:after="10" w:line="240" w:lineRule="auto"/>
            </w:pPr>
            <w:r w:rsidRPr="002029AF">
              <w:t>Men</w:t>
            </w:r>
          </w:p>
        </w:tc>
        <w:tc>
          <w:tcPr>
            <w:tcW w:w="540" w:type="pct"/>
          </w:tcPr>
          <w:p w14:paraId="24108A7C" w14:textId="77777777" w:rsidR="001A70B8" w:rsidRPr="002029AF" w:rsidRDefault="001A70B8" w:rsidP="00A212B4">
            <w:pPr>
              <w:pStyle w:val="ARtabletextright"/>
              <w:shd w:val="clear" w:color="auto" w:fill="FFFFFF" w:themeFill="background1"/>
              <w:spacing w:before="20" w:after="10" w:line="240" w:lineRule="auto"/>
            </w:pPr>
            <w:r w:rsidDel="002822C9">
              <w:t>1,</w:t>
            </w:r>
            <w:r>
              <w:t>147</w:t>
            </w:r>
          </w:p>
        </w:tc>
        <w:tc>
          <w:tcPr>
            <w:tcW w:w="626" w:type="pct"/>
            <w:tcBorders>
              <w:top w:val="single" w:sz="4" w:space="0" w:color="auto"/>
              <w:right w:val="single" w:sz="4" w:space="0" w:color="auto"/>
            </w:tcBorders>
          </w:tcPr>
          <w:p w14:paraId="299D80C7" w14:textId="77777777" w:rsidR="001A70B8" w:rsidRPr="002029AF" w:rsidRDefault="001A70B8" w:rsidP="00A212B4">
            <w:pPr>
              <w:pStyle w:val="ARtabletextright"/>
              <w:shd w:val="clear" w:color="auto" w:fill="FFFFFF" w:themeFill="background1"/>
              <w:spacing w:before="20" w:after="10" w:line="240" w:lineRule="auto"/>
            </w:pPr>
            <w:r w:rsidDel="002822C9">
              <w:t>1,</w:t>
            </w:r>
            <w:r>
              <w:t>125.5</w:t>
            </w:r>
          </w:p>
        </w:tc>
        <w:tc>
          <w:tcPr>
            <w:tcW w:w="625" w:type="pct"/>
            <w:tcBorders>
              <w:left w:val="single" w:sz="4" w:space="0" w:color="auto"/>
            </w:tcBorders>
          </w:tcPr>
          <w:p w14:paraId="1A622D72" w14:textId="77777777" w:rsidR="001A70B8" w:rsidRPr="002029AF" w:rsidRDefault="001A70B8" w:rsidP="00A212B4">
            <w:pPr>
              <w:pStyle w:val="ARtabletextright"/>
              <w:shd w:val="clear" w:color="auto" w:fill="FFFFFF" w:themeFill="background1"/>
              <w:spacing w:before="20" w:after="10" w:line="240" w:lineRule="auto"/>
            </w:pPr>
            <w:r>
              <w:t>648</w:t>
            </w:r>
          </w:p>
        </w:tc>
        <w:tc>
          <w:tcPr>
            <w:tcW w:w="626" w:type="pct"/>
          </w:tcPr>
          <w:p w14:paraId="437633C3" w14:textId="77777777" w:rsidR="001A70B8" w:rsidRPr="002029AF" w:rsidRDefault="001A70B8" w:rsidP="00A212B4">
            <w:pPr>
              <w:pStyle w:val="ARtabletextright"/>
              <w:shd w:val="clear" w:color="auto" w:fill="FFFFFF" w:themeFill="background1"/>
              <w:spacing w:before="20" w:after="10" w:line="240" w:lineRule="auto"/>
            </w:pPr>
            <w:r>
              <w:t>25</w:t>
            </w:r>
          </w:p>
        </w:tc>
        <w:tc>
          <w:tcPr>
            <w:tcW w:w="625" w:type="pct"/>
            <w:tcBorders>
              <w:top w:val="single" w:sz="4" w:space="0" w:color="auto"/>
              <w:right w:val="single" w:sz="4" w:space="0" w:color="auto"/>
            </w:tcBorders>
          </w:tcPr>
          <w:p w14:paraId="28AC8AA8" w14:textId="77777777" w:rsidR="001A70B8" w:rsidRPr="002029AF" w:rsidRDefault="001A70B8" w:rsidP="00A212B4">
            <w:pPr>
              <w:pStyle w:val="ARtabletextright"/>
              <w:shd w:val="clear" w:color="auto" w:fill="FFFFFF" w:themeFill="background1"/>
              <w:spacing w:before="20" w:after="10" w:line="240" w:lineRule="auto"/>
            </w:pPr>
            <w:r>
              <w:t>663.4</w:t>
            </w:r>
          </w:p>
        </w:tc>
        <w:tc>
          <w:tcPr>
            <w:tcW w:w="626" w:type="pct"/>
            <w:tcBorders>
              <w:left w:val="single" w:sz="4" w:space="0" w:color="auto"/>
            </w:tcBorders>
          </w:tcPr>
          <w:p w14:paraId="7E5023D9" w14:textId="77777777" w:rsidR="001A70B8" w:rsidRPr="002029AF" w:rsidRDefault="001A70B8" w:rsidP="00A212B4">
            <w:pPr>
              <w:pStyle w:val="ARtabletextright"/>
              <w:shd w:val="clear" w:color="auto" w:fill="FFFFFF" w:themeFill="background1"/>
              <w:spacing w:before="20" w:after="10" w:line="240" w:lineRule="auto"/>
            </w:pPr>
            <w:r>
              <w:t>474</w:t>
            </w:r>
          </w:p>
        </w:tc>
        <w:tc>
          <w:tcPr>
            <w:tcW w:w="626" w:type="pct"/>
          </w:tcPr>
          <w:p w14:paraId="637C2D59" w14:textId="77777777" w:rsidR="001A70B8" w:rsidRPr="002029AF" w:rsidRDefault="001A70B8" w:rsidP="00A212B4">
            <w:pPr>
              <w:pStyle w:val="ARtabletextright"/>
              <w:shd w:val="clear" w:color="auto" w:fill="FFFFFF" w:themeFill="background1"/>
              <w:spacing w:before="20" w:after="10" w:line="240" w:lineRule="auto"/>
            </w:pPr>
            <w:r>
              <w:t>462.1</w:t>
            </w:r>
          </w:p>
        </w:tc>
      </w:tr>
      <w:tr w:rsidR="001A70B8" w:rsidRPr="002029AF" w14:paraId="4C781CE0" w14:textId="77777777" w:rsidTr="00221EB6">
        <w:trPr>
          <w:cantSplit w:val="0"/>
        </w:trPr>
        <w:tc>
          <w:tcPr>
            <w:tcW w:w="706" w:type="pct"/>
            <w:hideMark/>
          </w:tcPr>
          <w:p w14:paraId="3483223E" w14:textId="77777777" w:rsidR="001A70B8" w:rsidRPr="002029AF" w:rsidRDefault="001A70B8" w:rsidP="00A212B4">
            <w:pPr>
              <w:pStyle w:val="ARtabletext"/>
              <w:shd w:val="clear" w:color="auto" w:fill="FFFFFF" w:themeFill="background1"/>
              <w:spacing w:before="20" w:after="10" w:line="240" w:lineRule="auto"/>
            </w:pPr>
            <w:r w:rsidRPr="002029AF">
              <w:t>Self-described</w:t>
            </w:r>
          </w:p>
        </w:tc>
        <w:tc>
          <w:tcPr>
            <w:tcW w:w="540" w:type="pct"/>
            <w:hideMark/>
          </w:tcPr>
          <w:p w14:paraId="25C571ED" w14:textId="77777777" w:rsidR="001A70B8" w:rsidRPr="002029AF" w:rsidRDefault="001A70B8" w:rsidP="00A212B4">
            <w:pPr>
              <w:pStyle w:val="ARtabletextright"/>
              <w:shd w:val="clear" w:color="auto" w:fill="FFFFFF" w:themeFill="background1"/>
              <w:spacing w:before="20" w:after="10" w:line="240" w:lineRule="auto"/>
            </w:pPr>
            <w:r>
              <w:t>27</w:t>
            </w:r>
          </w:p>
        </w:tc>
        <w:tc>
          <w:tcPr>
            <w:tcW w:w="626" w:type="pct"/>
            <w:tcBorders>
              <w:top w:val="single" w:sz="4" w:space="0" w:color="auto"/>
              <w:right w:val="single" w:sz="4" w:space="0" w:color="auto"/>
            </w:tcBorders>
            <w:hideMark/>
          </w:tcPr>
          <w:p w14:paraId="22B05CED" w14:textId="77777777" w:rsidR="001A70B8" w:rsidRPr="002029AF" w:rsidRDefault="001A70B8" w:rsidP="00A212B4">
            <w:pPr>
              <w:pStyle w:val="ARtabletextright"/>
              <w:shd w:val="clear" w:color="auto" w:fill="FFFFFF" w:themeFill="background1"/>
              <w:spacing w:before="20" w:after="10" w:line="240" w:lineRule="auto"/>
            </w:pPr>
            <w:r>
              <w:t>25.6</w:t>
            </w:r>
          </w:p>
        </w:tc>
        <w:tc>
          <w:tcPr>
            <w:tcW w:w="625" w:type="pct"/>
            <w:tcBorders>
              <w:left w:val="single" w:sz="4" w:space="0" w:color="auto"/>
            </w:tcBorders>
            <w:hideMark/>
          </w:tcPr>
          <w:p w14:paraId="62E9C30B" w14:textId="77777777" w:rsidR="001A70B8" w:rsidRPr="002029AF" w:rsidRDefault="001A70B8" w:rsidP="00A212B4">
            <w:pPr>
              <w:pStyle w:val="ARtabletextright"/>
              <w:shd w:val="clear" w:color="auto" w:fill="FFFFFF" w:themeFill="background1"/>
              <w:spacing w:before="20" w:after="10" w:line="240" w:lineRule="auto"/>
            </w:pPr>
            <w:r>
              <w:t>9</w:t>
            </w:r>
          </w:p>
        </w:tc>
        <w:tc>
          <w:tcPr>
            <w:tcW w:w="626" w:type="pct"/>
            <w:hideMark/>
          </w:tcPr>
          <w:p w14:paraId="3CEC59C2" w14:textId="77777777" w:rsidR="001A70B8" w:rsidRPr="002029AF" w:rsidRDefault="001A70B8" w:rsidP="00A212B4">
            <w:pPr>
              <w:pStyle w:val="ARtabletextright"/>
              <w:shd w:val="clear" w:color="auto" w:fill="FFFFFF" w:themeFill="background1"/>
              <w:spacing w:before="20" w:after="10" w:line="240" w:lineRule="auto"/>
            </w:pPr>
            <w:r>
              <w:t>3</w:t>
            </w:r>
          </w:p>
        </w:tc>
        <w:tc>
          <w:tcPr>
            <w:tcW w:w="625" w:type="pct"/>
            <w:tcBorders>
              <w:top w:val="single" w:sz="4" w:space="0" w:color="auto"/>
              <w:right w:val="single" w:sz="4" w:space="0" w:color="auto"/>
            </w:tcBorders>
            <w:hideMark/>
          </w:tcPr>
          <w:p w14:paraId="523C3C5F" w14:textId="77777777" w:rsidR="001A70B8" w:rsidRPr="002029AF" w:rsidRDefault="001A70B8" w:rsidP="00A212B4">
            <w:pPr>
              <w:pStyle w:val="ARtabletextright"/>
              <w:shd w:val="clear" w:color="auto" w:fill="FFFFFF" w:themeFill="background1"/>
              <w:spacing w:before="20" w:after="10" w:line="240" w:lineRule="auto"/>
            </w:pPr>
            <w:r>
              <w:t>10.6</w:t>
            </w:r>
          </w:p>
        </w:tc>
        <w:tc>
          <w:tcPr>
            <w:tcW w:w="626" w:type="pct"/>
            <w:tcBorders>
              <w:left w:val="single" w:sz="4" w:space="0" w:color="auto"/>
            </w:tcBorders>
            <w:hideMark/>
          </w:tcPr>
          <w:p w14:paraId="6BE4DAA1" w14:textId="77777777" w:rsidR="001A70B8" w:rsidRPr="002029AF" w:rsidRDefault="001A70B8" w:rsidP="00A212B4">
            <w:pPr>
              <w:pStyle w:val="ARtabletextright"/>
              <w:shd w:val="clear" w:color="auto" w:fill="FFFFFF" w:themeFill="background1"/>
              <w:spacing w:before="20" w:after="10" w:line="240" w:lineRule="auto"/>
            </w:pPr>
            <w:r>
              <w:t>15</w:t>
            </w:r>
          </w:p>
        </w:tc>
        <w:tc>
          <w:tcPr>
            <w:tcW w:w="626" w:type="pct"/>
            <w:hideMark/>
          </w:tcPr>
          <w:p w14:paraId="45A455B0" w14:textId="77777777" w:rsidR="001A70B8" w:rsidRPr="002029AF" w:rsidRDefault="001A70B8" w:rsidP="00A212B4">
            <w:pPr>
              <w:pStyle w:val="ARtabletextright"/>
              <w:shd w:val="clear" w:color="auto" w:fill="FFFFFF" w:themeFill="background1"/>
              <w:spacing w:before="20" w:after="10" w:line="240" w:lineRule="auto"/>
            </w:pPr>
            <w:r>
              <w:t>15.0</w:t>
            </w:r>
          </w:p>
        </w:tc>
      </w:tr>
      <w:tr w:rsidR="00A212B4" w:rsidRPr="002029AF" w14:paraId="572750E0" w14:textId="77777777" w:rsidTr="00A212B4">
        <w:trPr>
          <w:cantSplit w:val="0"/>
        </w:trPr>
        <w:tc>
          <w:tcPr>
            <w:tcW w:w="5000" w:type="pct"/>
            <w:gridSpan w:val="8"/>
          </w:tcPr>
          <w:p w14:paraId="60166B82" w14:textId="3105BF09" w:rsidR="00A212B4" w:rsidRPr="002029AF" w:rsidRDefault="00A212B4" w:rsidP="00A212B4">
            <w:pPr>
              <w:pStyle w:val="ARtablecolourbold"/>
              <w:spacing w:before="20" w:after="10"/>
            </w:pPr>
            <w:r w:rsidRPr="00163895">
              <w:t>Age</w:t>
            </w:r>
          </w:p>
        </w:tc>
      </w:tr>
      <w:tr w:rsidR="001A70B8" w:rsidRPr="002029AF" w14:paraId="3D76E8AC" w14:textId="77777777" w:rsidTr="00221EB6">
        <w:trPr>
          <w:cantSplit w:val="0"/>
        </w:trPr>
        <w:tc>
          <w:tcPr>
            <w:tcW w:w="706" w:type="pct"/>
            <w:hideMark/>
          </w:tcPr>
          <w:p w14:paraId="1A568029" w14:textId="77777777" w:rsidR="001A70B8" w:rsidRPr="002029AF" w:rsidRDefault="001A70B8" w:rsidP="00A212B4">
            <w:pPr>
              <w:pStyle w:val="ARtabletext"/>
              <w:shd w:val="clear" w:color="auto" w:fill="FFFFFF" w:themeFill="background1"/>
              <w:spacing w:before="20" w:after="10" w:line="240" w:lineRule="auto"/>
            </w:pPr>
            <w:r w:rsidRPr="002029AF">
              <w:t>15–24</w:t>
            </w:r>
          </w:p>
        </w:tc>
        <w:tc>
          <w:tcPr>
            <w:tcW w:w="540" w:type="pct"/>
          </w:tcPr>
          <w:p w14:paraId="037F761F" w14:textId="77777777" w:rsidR="001A70B8" w:rsidRPr="002029AF" w:rsidRDefault="001A70B8" w:rsidP="00A212B4">
            <w:pPr>
              <w:pStyle w:val="ARtabletextright"/>
              <w:shd w:val="clear" w:color="auto" w:fill="FFFFFF" w:themeFill="background1"/>
              <w:spacing w:before="20" w:after="10" w:line="240" w:lineRule="auto"/>
            </w:pPr>
            <w:r>
              <w:t>62</w:t>
            </w:r>
          </w:p>
        </w:tc>
        <w:tc>
          <w:tcPr>
            <w:tcW w:w="626" w:type="pct"/>
            <w:tcBorders>
              <w:top w:val="single" w:sz="4" w:space="0" w:color="auto"/>
              <w:right w:val="single" w:sz="4" w:space="0" w:color="auto"/>
            </w:tcBorders>
          </w:tcPr>
          <w:p w14:paraId="4BE332D7" w14:textId="77777777" w:rsidR="001A70B8" w:rsidRPr="002029AF" w:rsidRDefault="001A70B8" w:rsidP="00A212B4">
            <w:pPr>
              <w:pStyle w:val="ARtabletextright"/>
              <w:shd w:val="clear" w:color="auto" w:fill="FFFFFF" w:themeFill="background1"/>
              <w:spacing w:before="20" w:after="10" w:line="240" w:lineRule="auto"/>
            </w:pPr>
            <w:r>
              <w:t>55.9</w:t>
            </w:r>
          </w:p>
        </w:tc>
        <w:tc>
          <w:tcPr>
            <w:tcW w:w="625" w:type="pct"/>
            <w:tcBorders>
              <w:left w:val="single" w:sz="4" w:space="0" w:color="auto"/>
            </w:tcBorders>
          </w:tcPr>
          <w:p w14:paraId="6622490E" w14:textId="77777777" w:rsidR="001A70B8" w:rsidRPr="002029AF" w:rsidRDefault="001A70B8" w:rsidP="00A212B4">
            <w:pPr>
              <w:pStyle w:val="ARtabletextright"/>
              <w:shd w:val="clear" w:color="auto" w:fill="FFFFFF" w:themeFill="background1"/>
              <w:spacing w:before="20" w:after="10" w:line="240" w:lineRule="auto"/>
            </w:pPr>
            <w:r>
              <w:t>24</w:t>
            </w:r>
          </w:p>
        </w:tc>
        <w:tc>
          <w:tcPr>
            <w:tcW w:w="626" w:type="pct"/>
          </w:tcPr>
          <w:p w14:paraId="4C598DF4" w14:textId="77777777" w:rsidR="001A70B8" w:rsidRPr="002029AF" w:rsidRDefault="001A70B8" w:rsidP="00A212B4">
            <w:pPr>
              <w:pStyle w:val="ARtabletextright"/>
              <w:shd w:val="clear" w:color="auto" w:fill="FFFFFF" w:themeFill="background1"/>
              <w:spacing w:before="20" w:after="10" w:line="240" w:lineRule="auto"/>
            </w:pPr>
            <w:r>
              <w:t>0</w:t>
            </w:r>
          </w:p>
        </w:tc>
        <w:tc>
          <w:tcPr>
            <w:tcW w:w="625" w:type="pct"/>
            <w:tcBorders>
              <w:top w:val="single" w:sz="4" w:space="0" w:color="auto"/>
              <w:right w:val="single" w:sz="4" w:space="0" w:color="auto"/>
            </w:tcBorders>
          </w:tcPr>
          <w:p w14:paraId="22A7AAC0" w14:textId="77777777" w:rsidR="001A70B8" w:rsidRPr="002029AF" w:rsidRDefault="001A70B8" w:rsidP="00A212B4">
            <w:pPr>
              <w:pStyle w:val="ARtabletextright"/>
              <w:shd w:val="clear" w:color="auto" w:fill="FFFFFF" w:themeFill="background1"/>
              <w:spacing w:before="20" w:after="10" w:line="240" w:lineRule="auto"/>
            </w:pPr>
            <w:r>
              <w:t>23.9</w:t>
            </w:r>
          </w:p>
        </w:tc>
        <w:tc>
          <w:tcPr>
            <w:tcW w:w="626" w:type="pct"/>
            <w:tcBorders>
              <w:left w:val="single" w:sz="4" w:space="0" w:color="auto"/>
            </w:tcBorders>
          </w:tcPr>
          <w:p w14:paraId="154E4AD0" w14:textId="77777777" w:rsidR="001A70B8" w:rsidRPr="002029AF" w:rsidRDefault="001A70B8" w:rsidP="00A212B4">
            <w:pPr>
              <w:pStyle w:val="ARtabletextright"/>
              <w:shd w:val="clear" w:color="auto" w:fill="FFFFFF" w:themeFill="background1"/>
              <w:spacing w:before="20" w:after="10" w:line="240" w:lineRule="auto"/>
            </w:pPr>
            <w:r>
              <w:t>38</w:t>
            </w:r>
          </w:p>
        </w:tc>
        <w:tc>
          <w:tcPr>
            <w:tcW w:w="626" w:type="pct"/>
          </w:tcPr>
          <w:p w14:paraId="7798D6D7" w14:textId="77777777" w:rsidR="001A70B8" w:rsidRPr="002029AF" w:rsidRDefault="001A70B8" w:rsidP="00A212B4">
            <w:pPr>
              <w:pStyle w:val="ARtabletextright"/>
              <w:shd w:val="clear" w:color="auto" w:fill="FFFFFF" w:themeFill="background1"/>
              <w:spacing w:before="20" w:after="10" w:line="240" w:lineRule="auto"/>
            </w:pPr>
            <w:r>
              <w:t>31.9</w:t>
            </w:r>
          </w:p>
        </w:tc>
      </w:tr>
      <w:tr w:rsidR="001A70B8" w:rsidRPr="002029AF" w14:paraId="55320886" w14:textId="77777777" w:rsidTr="00221EB6">
        <w:trPr>
          <w:cantSplit w:val="0"/>
        </w:trPr>
        <w:tc>
          <w:tcPr>
            <w:tcW w:w="706" w:type="pct"/>
            <w:hideMark/>
          </w:tcPr>
          <w:p w14:paraId="15C8DDFC" w14:textId="77777777" w:rsidR="001A70B8" w:rsidRPr="002029AF" w:rsidRDefault="001A70B8" w:rsidP="00A212B4">
            <w:pPr>
              <w:pStyle w:val="ARtabletext"/>
              <w:shd w:val="clear" w:color="auto" w:fill="FFFFFF" w:themeFill="background1"/>
              <w:spacing w:before="20" w:after="10" w:line="240" w:lineRule="auto"/>
            </w:pPr>
            <w:r w:rsidRPr="002029AF">
              <w:t>25–34</w:t>
            </w:r>
          </w:p>
        </w:tc>
        <w:tc>
          <w:tcPr>
            <w:tcW w:w="540" w:type="pct"/>
          </w:tcPr>
          <w:p w14:paraId="55F8DBAC" w14:textId="77777777" w:rsidR="001A70B8" w:rsidRPr="002029AF" w:rsidRDefault="001A70B8" w:rsidP="00A212B4">
            <w:pPr>
              <w:pStyle w:val="ARtabletextright"/>
              <w:shd w:val="clear" w:color="auto" w:fill="FFFFFF" w:themeFill="background1"/>
              <w:spacing w:before="20" w:after="10" w:line="240" w:lineRule="auto"/>
            </w:pPr>
            <w:r>
              <w:t>644</w:t>
            </w:r>
          </w:p>
        </w:tc>
        <w:tc>
          <w:tcPr>
            <w:tcW w:w="626" w:type="pct"/>
            <w:tcBorders>
              <w:top w:val="single" w:sz="4" w:space="0" w:color="auto"/>
              <w:right w:val="single" w:sz="4" w:space="0" w:color="auto"/>
            </w:tcBorders>
          </w:tcPr>
          <w:p w14:paraId="47102821" w14:textId="77777777" w:rsidR="001A70B8" w:rsidRPr="002029AF" w:rsidRDefault="001A70B8" w:rsidP="00A212B4">
            <w:pPr>
              <w:pStyle w:val="ARtabletextright"/>
              <w:shd w:val="clear" w:color="auto" w:fill="FFFFFF" w:themeFill="background1"/>
              <w:spacing w:before="20" w:after="10" w:line="240" w:lineRule="auto"/>
            </w:pPr>
            <w:r>
              <w:t>621.6</w:t>
            </w:r>
          </w:p>
        </w:tc>
        <w:tc>
          <w:tcPr>
            <w:tcW w:w="625" w:type="pct"/>
            <w:tcBorders>
              <w:left w:val="single" w:sz="4" w:space="0" w:color="auto"/>
            </w:tcBorders>
          </w:tcPr>
          <w:p w14:paraId="51E0613D" w14:textId="77777777" w:rsidR="001A70B8" w:rsidRPr="002029AF" w:rsidRDefault="001A70B8" w:rsidP="00A212B4">
            <w:pPr>
              <w:pStyle w:val="ARtabletextright"/>
              <w:shd w:val="clear" w:color="auto" w:fill="FFFFFF" w:themeFill="background1"/>
              <w:spacing w:before="20" w:after="10" w:line="240" w:lineRule="auto"/>
            </w:pPr>
            <w:r>
              <w:t>219</w:t>
            </w:r>
          </w:p>
        </w:tc>
        <w:tc>
          <w:tcPr>
            <w:tcW w:w="626" w:type="pct"/>
          </w:tcPr>
          <w:p w14:paraId="27FF468A" w14:textId="77777777" w:rsidR="001A70B8" w:rsidRPr="002029AF" w:rsidRDefault="001A70B8" w:rsidP="00A212B4">
            <w:pPr>
              <w:pStyle w:val="ARtabletextright"/>
              <w:shd w:val="clear" w:color="auto" w:fill="FFFFFF" w:themeFill="background1"/>
              <w:spacing w:before="20" w:after="10" w:line="240" w:lineRule="auto"/>
            </w:pPr>
            <w:r>
              <w:t>19</w:t>
            </w:r>
          </w:p>
        </w:tc>
        <w:tc>
          <w:tcPr>
            <w:tcW w:w="625" w:type="pct"/>
            <w:tcBorders>
              <w:top w:val="single" w:sz="4" w:space="0" w:color="auto"/>
              <w:right w:val="single" w:sz="4" w:space="0" w:color="auto"/>
            </w:tcBorders>
          </w:tcPr>
          <w:p w14:paraId="0741ECC2" w14:textId="77777777" w:rsidR="001A70B8" w:rsidRPr="002029AF" w:rsidRDefault="001A70B8" w:rsidP="00A212B4">
            <w:pPr>
              <w:pStyle w:val="ARtabletextright"/>
              <w:shd w:val="clear" w:color="auto" w:fill="FFFFFF" w:themeFill="background1"/>
              <w:spacing w:before="20" w:after="10" w:line="240" w:lineRule="auto"/>
            </w:pPr>
            <w:r>
              <w:t>232.3</w:t>
            </w:r>
          </w:p>
        </w:tc>
        <w:tc>
          <w:tcPr>
            <w:tcW w:w="626" w:type="pct"/>
            <w:tcBorders>
              <w:left w:val="single" w:sz="4" w:space="0" w:color="auto"/>
            </w:tcBorders>
          </w:tcPr>
          <w:p w14:paraId="0724930A" w14:textId="77777777" w:rsidR="001A70B8" w:rsidRPr="002029AF" w:rsidRDefault="001A70B8" w:rsidP="00A212B4">
            <w:pPr>
              <w:pStyle w:val="ARtabletextright"/>
              <w:shd w:val="clear" w:color="auto" w:fill="FFFFFF" w:themeFill="background1"/>
              <w:spacing w:before="20" w:after="10" w:line="240" w:lineRule="auto"/>
            </w:pPr>
            <w:r>
              <w:t>406</w:t>
            </w:r>
          </w:p>
        </w:tc>
        <w:tc>
          <w:tcPr>
            <w:tcW w:w="626" w:type="pct"/>
          </w:tcPr>
          <w:p w14:paraId="2129A1D4" w14:textId="77777777" w:rsidR="001A70B8" w:rsidRPr="002029AF" w:rsidRDefault="001A70B8" w:rsidP="00A212B4">
            <w:pPr>
              <w:pStyle w:val="ARtabletextright"/>
              <w:shd w:val="clear" w:color="auto" w:fill="FFFFFF" w:themeFill="background1"/>
              <w:spacing w:before="20" w:after="10" w:line="240" w:lineRule="auto"/>
            </w:pPr>
            <w:r>
              <w:t>389.3</w:t>
            </w:r>
          </w:p>
        </w:tc>
      </w:tr>
      <w:tr w:rsidR="001A70B8" w:rsidRPr="002029AF" w14:paraId="3959A41C" w14:textId="77777777" w:rsidTr="00221EB6">
        <w:trPr>
          <w:cantSplit w:val="0"/>
        </w:trPr>
        <w:tc>
          <w:tcPr>
            <w:tcW w:w="706" w:type="pct"/>
            <w:hideMark/>
          </w:tcPr>
          <w:p w14:paraId="7B7DD398" w14:textId="77777777" w:rsidR="001A70B8" w:rsidRPr="002029AF" w:rsidRDefault="001A70B8" w:rsidP="00A212B4">
            <w:pPr>
              <w:pStyle w:val="ARtabletext"/>
              <w:shd w:val="clear" w:color="auto" w:fill="FFFFFF" w:themeFill="background1"/>
              <w:spacing w:before="20" w:after="10" w:line="240" w:lineRule="auto"/>
            </w:pPr>
            <w:r w:rsidRPr="002029AF">
              <w:t>35–44</w:t>
            </w:r>
          </w:p>
        </w:tc>
        <w:tc>
          <w:tcPr>
            <w:tcW w:w="540" w:type="pct"/>
          </w:tcPr>
          <w:p w14:paraId="252B6309" w14:textId="77777777" w:rsidR="001A70B8" w:rsidRPr="002029AF" w:rsidRDefault="001A70B8" w:rsidP="00A212B4">
            <w:pPr>
              <w:pStyle w:val="ARtabletextright"/>
              <w:shd w:val="clear" w:color="auto" w:fill="FFFFFF" w:themeFill="background1"/>
              <w:spacing w:before="20" w:after="10" w:line="240" w:lineRule="auto"/>
            </w:pPr>
            <w:r>
              <w:t>977</w:t>
            </w:r>
          </w:p>
        </w:tc>
        <w:tc>
          <w:tcPr>
            <w:tcW w:w="626" w:type="pct"/>
            <w:tcBorders>
              <w:top w:val="single" w:sz="4" w:space="0" w:color="auto"/>
              <w:right w:val="single" w:sz="4" w:space="0" w:color="auto"/>
            </w:tcBorders>
          </w:tcPr>
          <w:p w14:paraId="0C830AA4" w14:textId="77777777" w:rsidR="001A70B8" w:rsidRPr="002029AF" w:rsidRDefault="001A70B8" w:rsidP="00A212B4">
            <w:pPr>
              <w:pStyle w:val="ARtabletextright"/>
              <w:shd w:val="clear" w:color="auto" w:fill="FFFFFF" w:themeFill="background1"/>
              <w:spacing w:before="20" w:after="10" w:line="240" w:lineRule="auto"/>
            </w:pPr>
            <w:r>
              <w:t>911.6</w:t>
            </w:r>
          </w:p>
        </w:tc>
        <w:tc>
          <w:tcPr>
            <w:tcW w:w="625" w:type="pct"/>
            <w:tcBorders>
              <w:left w:val="single" w:sz="4" w:space="0" w:color="auto"/>
            </w:tcBorders>
          </w:tcPr>
          <w:p w14:paraId="1A3BFC2A" w14:textId="77777777" w:rsidR="001A70B8" w:rsidRPr="002029AF" w:rsidRDefault="001A70B8" w:rsidP="00A212B4">
            <w:pPr>
              <w:pStyle w:val="ARtabletextright"/>
              <w:shd w:val="clear" w:color="auto" w:fill="FFFFFF" w:themeFill="background1"/>
              <w:spacing w:before="20" w:after="10" w:line="240" w:lineRule="auto"/>
            </w:pPr>
            <w:r>
              <w:t>422</w:t>
            </w:r>
          </w:p>
        </w:tc>
        <w:tc>
          <w:tcPr>
            <w:tcW w:w="626" w:type="pct"/>
          </w:tcPr>
          <w:p w14:paraId="0A458EC9" w14:textId="77777777" w:rsidR="001A70B8" w:rsidRPr="002029AF" w:rsidRDefault="001A70B8" w:rsidP="00A212B4">
            <w:pPr>
              <w:pStyle w:val="ARtabletextright"/>
              <w:shd w:val="clear" w:color="auto" w:fill="FFFFFF" w:themeFill="background1"/>
              <w:spacing w:before="20" w:after="10" w:line="240" w:lineRule="auto"/>
            </w:pPr>
            <w:r>
              <w:t>117</w:t>
            </w:r>
          </w:p>
        </w:tc>
        <w:tc>
          <w:tcPr>
            <w:tcW w:w="625" w:type="pct"/>
            <w:tcBorders>
              <w:top w:val="single" w:sz="4" w:space="0" w:color="auto"/>
              <w:right w:val="single" w:sz="4" w:space="0" w:color="auto"/>
            </w:tcBorders>
          </w:tcPr>
          <w:p w14:paraId="298358FD" w14:textId="77777777" w:rsidR="001A70B8" w:rsidRPr="002029AF" w:rsidRDefault="001A70B8" w:rsidP="00A212B4">
            <w:pPr>
              <w:pStyle w:val="ARtabletextright"/>
              <w:shd w:val="clear" w:color="auto" w:fill="FFFFFF" w:themeFill="background1"/>
              <w:spacing w:before="20" w:after="10" w:line="240" w:lineRule="auto"/>
            </w:pPr>
            <w:r>
              <w:t>496.6</w:t>
            </w:r>
          </w:p>
        </w:tc>
        <w:tc>
          <w:tcPr>
            <w:tcW w:w="626" w:type="pct"/>
            <w:tcBorders>
              <w:left w:val="single" w:sz="4" w:space="0" w:color="auto"/>
            </w:tcBorders>
          </w:tcPr>
          <w:p w14:paraId="2EF99C95" w14:textId="77777777" w:rsidR="001A70B8" w:rsidRPr="002029AF" w:rsidRDefault="001A70B8" w:rsidP="00A212B4">
            <w:pPr>
              <w:pStyle w:val="ARtabletextright"/>
              <w:shd w:val="clear" w:color="auto" w:fill="FFFFFF" w:themeFill="background1"/>
              <w:spacing w:before="20" w:after="10" w:line="240" w:lineRule="auto"/>
            </w:pPr>
            <w:r>
              <w:t>438</w:t>
            </w:r>
          </w:p>
        </w:tc>
        <w:tc>
          <w:tcPr>
            <w:tcW w:w="626" w:type="pct"/>
          </w:tcPr>
          <w:p w14:paraId="38F8BC39" w14:textId="77777777" w:rsidR="001A70B8" w:rsidRPr="002029AF" w:rsidRDefault="001A70B8" w:rsidP="00A212B4">
            <w:pPr>
              <w:pStyle w:val="ARtabletextright"/>
              <w:shd w:val="clear" w:color="auto" w:fill="FFFFFF" w:themeFill="background1"/>
              <w:spacing w:before="20" w:after="10" w:line="240" w:lineRule="auto"/>
            </w:pPr>
            <w:r>
              <w:t>415.0</w:t>
            </w:r>
          </w:p>
        </w:tc>
      </w:tr>
      <w:tr w:rsidR="001A70B8" w:rsidRPr="002029AF" w14:paraId="60DAE97C" w14:textId="77777777" w:rsidTr="00221EB6">
        <w:trPr>
          <w:cantSplit w:val="0"/>
        </w:trPr>
        <w:tc>
          <w:tcPr>
            <w:tcW w:w="706" w:type="pct"/>
            <w:hideMark/>
          </w:tcPr>
          <w:p w14:paraId="3EF99200" w14:textId="77777777" w:rsidR="001A70B8" w:rsidRPr="002029AF" w:rsidRDefault="001A70B8" w:rsidP="00A212B4">
            <w:pPr>
              <w:pStyle w:val="ARtabletext"/>
              <w:shd w:val="clear" w:color="auto" w:fill="FFFFFF" w:themeFill="background1"/>
              <w:spacing w:before="20" w:after="10" w:line="240" w:lineRule="auto"/>
            </w:pPr>
            <w:r w:rsidRPr="002029AF">
              <w:t>45–54</w:t>
            </w:r>
          </w:p>
        </w:tc>
        <w:tc>
          <w:tcPr>
            <w:tcW w:w="540" w:type="pct"/>
          </w:tcPr>
          <w:p w14:paraId="0762DCF3" w14:textId="77777777" w:rsidR="001A70B8" w:rsidRPr="002029AF" w:rsidRDefault="001A70B8" w:rsidP="00A212B4">
            <w:pPr>
              <w:pStyle w:val="ARtabletextright"/>
              <w:shd w:val="clear" w:color="auto" w:fill="FFFFFF" w:themeFill="background1"/>
              <w:spacing w:before="20" w:after="10" w:line="240" w:lineRule="auto"/>
            </w:pPr>
            <w:r>
              <w:t>880</w:t>
            </w:r>
          </w:p>
        </w:tc>
        <w:tc>
          <w:tcPr>
            <w:tcW w:w="626" w:type="pct"/>
            <w:tcBorders>
              <w:top w:val="single" w:sz="4" w:space="0" w:color="auto"/>
              <w:right w:val="single" w:sz="4" w:space="0" w:color="auto"/>
            </w:tcBorders>
          </w:tcPr>
          <w:p w14:paraId="76C30CAC" w14:textId="77777777" w:rsidR="001A70B8" w:rsidRPr="002029AF" w:rsidRDefault="001A70B8" w:rsidP="00A212B4">
            <w:pPr>
              <w:pStyle w:val="ARtabletextright"/>
              <w:shd w:val="clear" w:color="auto" w:fill="FFFFFF" w:themeFill="background1"/>
              <w:spacing w:before="20" w:after="10" w:line="240" w:lineRule="auto"/>
            </w:pPr>
            <w:r>
              <w:t>841.1</w:t>
            </w:r>
          </w:p>
        </w:tc>
        <w:tc>
          <w:tcPr>
            <w:tcW w:w="625" w:type="pct"/>
            <w:tcBorders>
              <w:left w:val="single" w:sz="4" w:space="0" w:color="auto"/>
            </w:tcBorders>
          </w:tcPr>
          <w:p w14:paraId="33CA1DBE" w14:textId="77777777" w:rsidR="001A70B8" w:rsidRPr="002029AF" w:rsidRDefault="001A70B8" w:rsidP="00A212B4">
            <w:pPr>
              <w:pStyle w:val="ARtabletextright"/>
              <w:shd w:val="clear" w:color="auto" w:fill="FFFFFF" w:themeFill="background1"/>
              <w:spacing w:before="20" w:after="10" w:line="240" w:lineRule="auto"/>
            </w:pPr>
            <w:r>
              <w:t>442</w:t>
            </w:r>
          </w:p>
        </w:tc>
        <w:tc>
          <w:tcPr>
            <w:tcW w:w="626" w:type="pct"/>
          </w:tcPr>
          <w:p w14:paraId="6BE3D438" w14:textId="77777777" w:rsidR="001A70B8" w:rsidRPr="002029AF" w:rsidRDefault="001A70B8" w:rsidP="00A212B4">
            <w:pPr>
              <w:pStyle w:val="ARtabletextright"/>
              <w:shd w:val="clear" w:color="auto" w:fill="FFFFFF" w:themeFill="background1"/>
              <w:spacing w:before="20" w:after="10" w:line="240" w:lineRule="auto"/>
            </w:pPr>
            <w:r>
              <w:t>83</w:t>
            </w:r>
          </w:p>
        </w:tc>
        <w:tc>
          <w:tcPr>
            <w:tcW w:w="625" w:type="pct"/>
            <w:tcBorders>
              <w:top w:val="single" w:sz="4" w:space="0" w:color="auto"/>
              <w:right w:val="single" w:sz="4" w:space="0" w:color="auto"/>
            </w:tcBorders>
          </w:tcPr>
          <w:p w14:paraId="1E514C27" w14:textId="77777777" w:rsidR="001A70B8" w:rsidRPr="002029AF" w:rsidRDefault="001A70B8" w:rsidP="00A212B4">
            <w:pPr>
              <w:pStyle w:val="ARtabletextright"/>
              <w:shd w:val="clear" w:color="auto" w:fill="FFFFFF" w:themeFill="background1"/>
              <w:spacing w:before="20" w:after="10" w:line="240" w:lineRule="auto"/>
            </w:pPr>
            <w:r>
              <w:t>497.8</w:t>
            </w:r>
          </w:p>
        </w:tc>
        <w:tc>
          <w:tcPr>
            <w:tcW w:w="626" w:type="pct"/>
            <w:tcBorders>
              <w:left w:val="single" w:sz="4" w:space="0" w:color="auto"/>
            </w:tcBorders>
          </w:tcPr>
          <w:p w14:paraId="2FE3258C" w14:textId="77777777" w:rsidR="001A70B8" w:rsidRPr="002029AF" w:rsidRDefault="001A70B8" w:rsidP="00A212B4">
            <w:pPr>
              <w:pStyle w:val="ARtabletextright"/>
              <w:shd w:val="clear" w:color="auto" w:fill="FFFFFF" w:themeFill="background1"/>
              <w:spacing w:before="20" w:after="10" w:line="240" w:lineRule="auto"/>
            </w:pPr>
            <w:r>
              <w:t>355</w:t>
            </w:r>
          </w:p>
        </w:tc>
        <w:tc>
          <w:tcPr>
            <w:tcW w:w="626" w:type="pct"/>
          </w:tcPr>
          <w:p w14:paraId="38243A3C" w14:textId="77777777" w:rsidR="001A70B8" w:rsidRPr="002029AF" w:rsidRDefault="001A70B8" w:rsidP="00A212B4">
            <w:pPr>
              <w:pStyle w:val="ARtabletextright"/>
              <w:shd w:val="clear" w:color="auto" w:fill="FFFFFF" w:themeFill="background1"/>
              <w:spacing w:before="20" w:after="10" w:line="240" w:lineRule="auto"/>
            </w:pPr>
            <w:r>
              <w:t>343.3</w:t>
            </w:r>
          </w:p>
        </w:tc>
      </w:tr>
      <w:tr w:rsidR="001A70B8" w:rsidRPr="002029AF" w14:paraId="41E56FAF" w14:textId="77777777" w:rsidTr="00221EB6">
        <w:trPr>
          <w:cantSplit w:val="0"/>
        </w:trPr>
        <w:tc>
          <w:tcPr>
            <w:tcW w:w="706" w:type="pct"/>
            <w:hideMark/>
          </w:tcPr>
          <w:p w14:paraId="493C2425" w14:textId="77777777" w:rsidR="001A70B8" w:rsidRPr="002029AF" w:rsidRDefault="001A70B8" w:rsidP="00A212B4">
            <w:pPr>
              <w:pStyle w:val="ARtabletext"/>
              <w:shd w:val="clear" w:color="auto" w:fill="FFFFFF" w:themeFill="background1"/>
              <w:spacing w:before="20" w:after="10" w:line="240" w:lineRule="auto"/>
            </w:pPr>
            <w:r w:rsidRPr="002029AF">
              <w:t>55–64</w:t>
            </w:r>
          </w:p>
        </w:tc>
        <w:tc>
          <w:tcPr>
            <w:tcW w:w="540" w:type="pct"/>
          </w:tcPr>
          <w:p w14:paraId="23438113" w14:textId="77777777" w:rsidR="001A70B8" w:rsidRPr="002029AF" w:rsidRDefault="001A70B8" w:rsidP="00A212B4">
            <w:pPr>
              <w:pStyle w:val="ARtabletextright"/>
              <w:shd w:val="clear" w:color="auto" w:fill="FFFFFF" w:themeFill="background1"/>
              <w:spacing w:before="20" w:after="10" w:line="240" w:lineRule="auto"/>
            </w:pPr>
            <w:r>
              <w:t>589</w:t>
            </w:r>
          </w:p>
        </w:tc>
        <w:tc>
          <w:tcPr>
            <w:tcW w:w="626" w:type="pct"/>
            <w:tcBorders>
              <w:top w:val="single" w:sz="4" w:space="0" w:color="auto"/>
              <w:right w:val="single" w:sz="4" w:space="0" w:color="auto"/>
            </w:tcBorders>
          </w:tcPr>
          <w:p w14:paraId="6FBB8360" w14:textId="77777777" w:rsidR="001A70B8" w:rsidRPr="002029AF" w:rsidRDefault="001A70B8" w:rsidP="00A212B4">
            <w:pPr>
              <w:pStyle w:val="ARtabletextright"/>
              <w:shd w:val="clear" w:color="auto" w:fill="FFFFFF" w:themeFill="background1"/>
              <w:spacing w:before="20" w:after="10" w:line="240" w:lineRule="auto"/>
            </w:pPr>
            <w:r>
              <w:t>554.8</w:t>
            </w:r>
          </w:p>
        </w:tc>
        <w:tc>
          <w:tcPr>
            <w:tcW w:w="625" w:type="pct"/>
            <w:tcBorders>
              <w:left w:val="single" w:sz="4" w:space="0" w:color="auto"/>
            </w:tcBorders>
          </w:tcPr>
          <w:p w14:paraId="07ABF30A" w14:textId="77777777" w:rsidR="001A70B8" w:rsidRPr="002029AF" w:rsidRDefault="001A70B8" w:rsidP="00A212B4">
            <w:pPr>
              <w:pStyle w:val="ARtabletextright"/>
              <w:shd w:val="clear" w:color="auto" w:fill="FFFFFF" w:themeFill="background1"/>
              <w:spacing w:before="20" w:after="10" w:line="240" w:lineRule="auto"/>
            </w:pPr>
            <w:r>
              <w:t>357</w:t>
            </w:r>
          </w:p>
        </w:tc>
        <w:tc>
          <w:tcPr>
            <w:tcW w:w="626" w:type="pct"/>
          </w:tcPr>
          <w:p w14:paraId="6A976F2B" w14:textId="77777777" w:rsidR="001A70B8" w:rsidRPr="002029AF" w:rsidRDefault="001A70B8" w:rsidP="00A212B4">
            <w:pPr>
              <w:pStyle w:val="ARtabletextright"/>
              <w:shd w:val="clear" w:color="auto" w:fill="FFFFFF" w:themeFill="background1"/>
              <w:spacing w:before="20" w:after="10" w:line="240" w:lineRule="auto"/>
            </w:pPr>
            <w:r>
              <w:t>68</w:t>
            </w:r>
          </w:p>
        </w:tc>
        <w:tc>
          <w:tcPr>
            <w:tcW w:w="625" w:type="pct"/>
            <w:tcBorders>
              <w:top w:val="single" w:sz="4" w:space="0" w:color="auto"/>
              <w:right w:val="single" w:sz="4" w:space="0" w:color="auto"/>
            </w:tcBorders>
          </w:tcPr>
          <w:p w14:paraId="4E90A8BA" w14:textId="77777777" w:rsidR="001A70B8" w:rsidRPr="002029AF" w:rsidRDefault="001A70B8" w:rsidP="00A212B4">
            <w:pPr>
              <w:pStyle w:val="ARtabletextright"/>
              <w:shd w:val="clear" w:color="auto" w:fill="FFFFFF" w:themeFill="background1"/>
              <w:spacing w:before="20" w:after="10" w:line="240" w:lineRule="auto"/>
            </w:pPr>
            <w:r>
              <w:t>401.0</w:t>
            </w:r>
          </w:p>
        </w:tc>
        <w:tc>
          <w:tcPr>
            <w:tcW w:w="626" w:type="pct"/>
            <w:tcBorders>
              <w:left w:val="single" w:sz="4" w:space="0" w:color="auto"/>
            </w:tcBorders>
          </w:tcPr>
          <w:p w14:paraId="1EA5B4D3" w14:textId="77777777" w:rsidR="001A70B8" w:rsidRPr="002029AF" w:rsidRDefault="001A70B8" w:rsidP="00A212B4">
            <w:pPr>
              <w:pStyle w:val="ARtabletextright"/>
              <w:shd w:val="clear" w:color="auto" w:fill="FFFFFF" w:themeFill="background1"/>
              <w:spacing w:before="20" w:after="10" w:line="240" w:lineRule="auto"/>
            </w:pPr>
            <w:r>
              <w:t>164</w:t>
            </w:r>
          </w:p>
        </w:tc>
        <w:tc>
          <w:tcPr>
            <w:tcW w:w="626" w:type="pct"/>
          </w:tcPr>
          <w:p w14:paraId="5616C08B" w14:textId="77777777" w:rsidR="001A70B8" w:rsidRPr="002029AF" w:rsidRDefault="001A70B8" w:rsidP="00A212B4">
            <w:pPr>
              <w:pStyle w:val="ARtabletextright"/>
              <w:shd w:val="clear" w:color="auto" w:fill="FFFFFF" w:themeFill="background1"/>
              <w:spacing w:before="20" w:after="10" w:line="240" w:lineRule="auto"/>
            </w:pPr>
            <w:r>
              <w:t>153.7</w:t>
            </w:r>
          </w:p>
        </w:tc>
      </w:tr>
      <w:tr w:rsidR="001A70B8" w:rsidRPr="002029AF" w14:paraId="3E4EA53A" w14:textId="77777777" w:rsidTr="00221EB6">
        <w:trPr>
          <w:cantSplit w:val="0"/>
        </w:trPr>
        <w:tc>
          <w:tcPr>
            <w:tcW w:w="706" w:type="pct"/>
            <w:hideMark/>
          </w:tcPr>
          <w:p w14:paraId="19FA6897" w14:textId="77777777" w:rsidR="001A70B8" w:rsidRPr="002029AF" w:rsidRDefault="001A70B8" w:rsidP="00A212B4">
            <w:pPr>
              <w:pStyle w:val="ARtabletext"/>
              <w:shd w:val="clear" w:color="auto" w:fill="FFFFFF" w:themeFill="background1"/>
              <w:spacing w:before="20" w:after="10" w:line="240" w:lineRule="auto"/>
            </w:pPr>
            <w:r w:rsidRPr="002029AF">
              <w:t>65+</w:t>
            </w:r>
          </w:p>
        </w:tc>
        <w:tc>
          <w:tcPr>
            <w:tcW w:w="540" w:type="pct"/>
          </w:tcPr>
          <w:p w14:paraId="368B1E6E" w14:textId="77777777" w:rsidR="001A70B8" w:rsidRPr="002029AF" w:rsidRDefault="001A70B8" w:rsidP="00A212B4">
            <w:pPr>
              <w:pStyle w:val="ARtabletextright"/>
              <w:shd w:val="clear" w:color="auto" w:fill="FFFFFF" w:themeFill="background1"/>
              <w:spacing w:before="20" w:after="10" w:line="240" w:lineRule="auto"/>
            </w:pPr>
            <w:r>
              <w:t>154</w:t>
            </w:r>
          </w:p>
        </w:tc>
        <w:tc>
          <w:tcPr>
            <w:tcW w:w="626" w:type="pct"/>
            <w:tcBorders>
              <w:top w:val="single" w:sz="4" w:space="0" w:color="auto"/>
              <w:right w:val="single" w:sz="4" w:space="0" w:color="auto"/>
            </w:tcBorders>
          </w:tcPr>
          <w:p w14:paraId="121B36EF" w14:textId="77777777" w:rsidR="001A70B8" w:rsidRPr="002029AF" w:rsidRDefault="001A70B8" w:rsidP="00A212B4">
            <w:pPr>
              <w:pStyle w:val="ARtabletextright"/>
              <w:shd w:val="clear" w:color="auto" w:fill="FFFFFF" w:themeFill="background1"/>
              <w:spacing w:before="20" w:after="10" w:line="240" w:lineRule="auto"/>
            </w:pPr>
            <w:r>
              <w:t>134.3</w:t>
            </w:r>
          </w:p>
        </w:tc>
        <w:tc>
          <w:tcPr>
            <w:tcW w:w="625" w:type="pct"/>
            <w:tcBorders>
              <w:left w:val="single" w:sz="4" w:space="0" w:color="auto"/>
            </w:tcBorders>
          </w:tcPr>
          <w:p w14:paraId="3917218D" w14:textId="77777777" w:rsidR="001A70B8" w:rsidRPr="002029AF" w:rsidRDefault="001A70B8" w:rsidP="00A212B4">
            <w:pPr>
              <w:pStyle w:val="ARtabletextright"/>
              <w:shd w:val="clear" w:color="auto" w:fill="FFFFFF" w:themeFill="background1"/>
              <w:spacing w:before="20" w:after="10" w:line="240" w:lineRule="auto"/>
            </w:pPr>
            <w:r>
              <w:t>90</w:t>
            </w:r>
          </w:p>
        </w:tc>
        <w:tc>
          <w:tcPr>
            <w:tcW w:w="626" w:type="pct"/>
          </w:tcPr>
          <w:p w14:paraId="476EF6F0" w14:textId="77777777" w:rsidR="001A70B8" w:rsidRPr="002029AF" w:rsidRDefault="001A70B8" w:rsidP="00A212B4">
            <w:pPr>
              <w:pStyle w:val="ARtabletextright"/>
              <w:shd w:val="clear" w:color="auto" w:fill="FFFFFF" w:themeFill="background1"/>
              <w:spacing w:before="20" w:after="10" w:line="240" w:lineRule="auto"/>
            </w:pPr>
            <w:r>
              <w:t>30</w:t>
            </w:r>
          </w:p>
        </w:tc>
        <w:tc>
          <w:tcPr>
            <w:tcW w:w="625" w:type="pct"/>
            <w:tcBorders>
              <w:top w:val="single" w:sz="4" w:space="0" w:color="auto"/>
              <w:right w:val="single" w:sz="4" w:space="0" w:color="auto"/>
            </w:tcBorders>
          </w:tcPr>
          <w:p w14:paraId="0704316E" w14:textId="77777777" w:rsidR="001A70B8" w:rsidRPr="002029AF" w:rsidRDefault="001A70B8" w:rsidP="00A212B4">
            <w:pPr>
              <w:pStyle w:val="ARtabletextright"/>
              <w:shd w:val="clear" w:color="auto" w:fill="FFFFFF" w:themeFill="background1"/>
              <w:spacing w:before="20" w:after="10" w:line="240" w:lineRule="auto"/>
            </w:pPr>
            <w:r>
              <w:t>106.7</w:t>
            </w:r>
          </w:p>
        </w:tc>
        <w:tc>
          <w:tcPr>
            <w:tcW w:w="626" w:type="pct"/>
            <w:tcBorders>
              <w:left w:val="single" w:sz="4" w:space="0" w:color="auto"/>
            </w:tcBorders>
          </w:tcPr>
          <w:p w14:paraId="46E8ED14" w14:textId="77777777" w:rsidR="001A70B8" w:rsidRPr="002029AF" w:rsidRDefault="001A70B8" w:rsidP="00A212B4">
            <w:pPr>
              <w:pStyle w:val="ARtabletextright"/>
              <w:shd w:val="clear" w:color="auto" w:fill="FFFFFF" w:themeFill="background1"/>
              <w:spacing w:before="20" w:after="10" w:line="240" w:lineRule="auto"/>
            </w:pPr>
            <w:r>
              <w:t>34</w:t>
            </w:r>
          </w:p>
        </w:tc>
        <w:tc>
          <w:tcPr>
            <w:tcW w:w="626" w:type="pct"/>
          </w:tcPr>
          <w:p w14:paraId="70DBE0DE" w14:textId="77777777" w:rsidR="001A70B8" w:rsidRPr="002029AF" w:rsidRDefault="001A70B8" w:rsidP="00A212B4">
            <w:pPr>
              <w:pStyle w:val="ARtabletextright"/>
              <w:shd w:val="clear" w:color="auto" w:fill="FFFFFF" w:themeFill="background1"/>
              <w:spacing w:before="20" w:after="10" w:line="240" w:lineRule="auto"/>
            </w:pPr>
            <w:r>
              <w:t>27.6</w:t>
            </w:r>
          </w:p>
        </w:tc>
      </w:tr>
      <w:tr w:rsidR="00A212B4" w:rsidRPr="002029AF" w14:paraId="4292215E" w14:textId="77777777" w:rsidTr="00A212B4">
        <w:trPr>
          <w:cantSplit w:val="0"/>
        </w:trPr>
        <w:tc>
          <w:tcPr>
            <w:tcW w:w="5000" w:type="pct"/>
            <w:gridSpan w:val="8"/>
          </w:tcPr>
          <w:p w14:paraId="2832DE97" w14:textId="2A1DA367" w:rsidR="00A212B4" w:rsidRPr="002029AF" w:rsidRDefault="00A212B4" w:rsidP="00A212B4">
            <w:pPr>
              <w:pStyle w:val="ARtablecolourbold"/>
              <w:spacing w:before="20" w:after="10"/>
            </w:pPr>
            <w:r w:rsidRPr="00163895">
              <w:t>Classification</w:t>
            </w:r>
          </w:p>
        </w:tc>
      </w:tr>
      <w:tr w:rsidR="001A70B8" w:rsidRPr="002029AF" w14:paraId="44C22BDE" w14:textId="77777777" w:rsidTr="00221EB6">
        <w:trPr>
          <w:cantSplit w:val="0"/>
        </w:trPr>
        <w:tc>
          <w:tcPr>
            <w:tcW w:w="706" w:type="pct"/>
            <w:hideMark/>
          </w:tcPr>
          <w:p w14:paraId="7B16FD2B" w14:textId="77777777" w:rsidR="001A70B8" w:rsidRPr="002029AF" w:rsidRDefault="001A70B8" w:rsidP="00101E5D">
            <w:pPr>
              <w:pStyle w:val="ARtabletext"/>
              <w:shd w:val="clear" w:color="auto" w:fill="FFFFFF" w:themeFill="background1"/>
              <w:spacing w:before="20" w:after="10" w:line="240" w:lineRule="auto"/>
            </w:pPr>
            <w:r w:rsidRPr="002029AF">
              <w:t>VPS</w:t>
            </w:r>
            <w:r>
              <w:t xml:space="preserve"> </w:t>
            </w:r>
            <w:r w:rsidRPr="002029AF">
              <w:t>1</w:t>
            </w:r>
          </w:p>
        </w:tc>
        <w:tc>
          <w:tcPr>
            <w:tcW w:w="540" w:type="pct"/>
          </w:tcPr>
          <w:p w14:paraId="3BFB5BA6" w14:textId="77777777" w:rsidR="001A70B8" w:rsidRPr="002029AF" w:rsidRDefault="001A70B8" w:rsidP="00101E5D">
            <w:pPr>
              <w:pStyle w:val="ARtabletextright"/>
              <w:shd w:val="clear" w:color="auto" w:fill="FFFFFF" w:themeFill="background1"/>
              <w:spacing w:before="20" w:after="10" w:line="240" w:lineRule="auto"/>
            </w:pPr>
            <w:r>
              <w:t>14</w:t>
            </w:r>
          </w:p>
        </w:tc>
        <w:tc>
          <w:tcPr>
            <w:tcW w:w="626" w:type="pct"/>
            <w:tcBorders>
              <w:top w:val="single" w:sz="4" w:space="0" w:color="auto"/>
              <w:right w:val="single" w:sz="4" w:space="0" w:color="auto"/>
            </w:tcBorders>
          </w:tcPr>
          <w:p w14:paraId="34F7C0E7" w14:textId="77777777" w:rsidR="001A70B8" w:rsidRPr="002029AF" w:rsidRDefault="001A70B8" w:rsidP="00101E5D">
            <w:pPr>
              <w:pStyle w:val="ARtabletextright"/>
              <w:shd w:val="clear" w:color="auto" w:fill="FFFFFF" w:themeFill="background1"/>
              <w:spacing w:before="20" w:after="10" w:line="240" w:lineRule="auto"/>
            </w:pPr>
            <w:r>
              <w:t>10.9</w:t>
            </w:r>
          </w:p>
        </w:tc>
        <w:tc>
          <w:tcPr>
            <w:tcW w:w="625" w:type="pct"/>
            <w:tcBorders>
              <w:left w:val="single" w:sz="4" w:space="0" w:color="auto"/>
            </w:tcBorders>
          </w:tcPr>
          <w:p w14:paraId="1FB03057" w14:textId="77777777" w:rsidR="001A70B8" w:rsidRPr="002029AF" w:rsidRDefault="001A70B8" w:rsidP="00101E5D">
            <w:pPr>
              <w:pStyle w:val="ARtabletextright"/>
              <w:shd w:val="clear" w:color="auto" w:fill="FFFFFF" w:themeFill="background1"/>
              <w:spacing w:before="20" w:after="10" w:line="240" w:lineRule="auto"/>
            </w:pPr>
            <w:r>
              <w:t>0</w:t>
            </w:r>
          </w:p>
        </w:tc>
        <w:tc>
          <w:tcPr>
            <w:tcW w:w="626" w:type="pct"/>
          </w:tcPr>
          <w:p w14:paraId="453B4BF4" w14:textId="77777777" w:rsidR="001A70B8" w:rsidRPr="002029AF" w:rsidRDefault="001A70B8" w:rsidP="00101E5D">
            <w:pPr>
              <w:pStyle w:val="ARtabletextright"/>
              <w:shd w:val="clear" w:color="auto" w:fill="FFFFFF" w:themeFill="background1"/>
              <w:spacing w:before="20" w:after="10" w:line="240" w:lineRule="auto"/>
            </w:pPr>
            <w:r>
              <w:t>0</w:t>
            </w:r>
          </w:p>
        </w:tc>
        <w:tc>
          <w:tcPr>
            <w:tcW w:w="625" w:type="pct"/>
            <w:tcBorders>
              <w:top w:val="single" w:sz="4" w:space="0" w:color="auto"/>
              <w:right w:val="single" w:sz="4" w:space="0" w:color="auto"/>
            </w:tcBorders>
          </w:tcPr>
          <w:p w14:paraId="0EDD9B06" w14:textId="77777777" w:rsidR="001A70B8" w:rsidRPr="002029AF" w:rsidRDefault="001A70B8" w:rsidP="00101E5D">
            <w:pPr>
              <w:pStyle w:val="ARtabletextright"/>
              <w:shd w:val="clear" w:color="auto" w:fill="FFFFFF" w:themeFill="background1"/>
              <w:spacing w:before="20" w:after="10" w:line="240" w:lineRule="auto"/>
            </w:pPr>
            <w:r>
              <w:t>0.0</w:t>
            </w:r>
          </w:p>
        </w:tc>
        <w:tc>
          <w:tcPr>
            <w:tcW w:w="626" w:type="pct"/>
            <w:tcBorders>
              <w:left w:val="single" w:sz="4" w:space="0" w:color="auto"/>
            </w:tcBorders>
          </w:tcPr>
          <w:p w14:paraId="6690DE50" w14:textId="77777777" w:rsidR="001A70B8" w:rsidRPr="002029AF" w:rsidRDefault="001A70B8" w:rsidP="00101E5D">
            <w:pPr>
              <w:pStyle w:val="ARtabletextright"/>
              <w:shd w:val="clear" w:color="auto" w:fill="FFFFFF" w:themeFill="background1"/>
              <w:spacing w:before="20" w:after="10" w:line="240" w:lineRule="auto"/>
            </w:pPr>
            <w:r>
              <w:t>14</w:t>
            </w:r>
          </w:p>
        </w:tc>
        <w:tc>
          <w:tcPr>
            <w:tcW w:w="626" w:type="pct"/>
          </w:tcPr>
          <w:p w14:paraId="5EAD988C" w14:textId="77777777" w:rsidR="001A70B8" w:rsidRPr="002029AF" w:rsidRDefault="001A70B8" w:rsidP="00101E5D">
            <w:pPr>
              <w:pStyle w:val="ARtabletextright"/>
              <w:shd w:val="clear" w:color="auto" w:fill="FFFFFF" w:themeFill="background1"/>
              <w:spacing w:before="20" w:after="10" w:line="240" w:lineRule="auto"/>
            </w:pPr>
            <w:r>
              <w:t>10.9</w:t>
            </w:r>
          </w:p>
        </w:tc>
      </w:tr>
      <w:tr w:rsidR="001A70B8" w:rsidRPr="002029AF" w14:paraId="3126ED38" w14:textId="77777777" w:rsidTr="00221EB6">
        <w:trPr>
          <w:cantSplit w:val="0"/>
        </w:trPr>
        <w:tc>
          <w:tcPr>
            <w:tcW w:w="706" w:type="pct"/>
            <w:hideMark/>
          </w:tcPr>
          <w:p w14:paraId="6819CAE6" w14:textId="77777777" w:rsidR="001A70B8" w:rsidRPr="002029AF" w:rsidRDefault="001A70B8" w:rsidP="00101E5D">
            <w:pPr>
              <w:pStyle w:val="ARtabletext"/>
              <w:shd w:val="clear" w:color="auto" w:fill="FFFFFF" w:themeFill="background1"/>
              <w:spacing w:before="20" w:after="10" w:line="240" w:lineRule="auto"/>
            </w:pPr>
            <w:r w:rsidRPr="002029AF">
              <w:t>VPS</w:t>
            </w:r>
            <w:r>
              <w:t xml:space="preserve"> </w:t>
            </w:r>
            <w:r w:rsidRPr="002029AF">
              <w:t>2</w:t>
            </w:r>
          </w:p>
        </w:tc>
        <w:tc>
          <w:tcPr>
            <w:tcW w:w="540" w:type="pct"/>
          </w:tcPr>
          <w:p w14:paraId="4089BEEF" w14:textId="77777777" w:rsidR="001A70B8" w:rsidRPr="002029AF" w:rsidRDefault="001A70B8" w:rsidP="00101E5D">
            <w:pPr>
              <w:pStyle w:val="ARtabletextright"/>
              <w:shd w:val="clear" w:color="auto" w:fill="FFFFFF" w:themeFill="background1"/>
              <w:spacing w:before="20" w:after="10" w:line="240" w:lineRule="auto"/>
            </w:pPr>
            <w:r>
              <w:t>76</w:t>
            </w:r>
          </w:p>
        </w:tc>
        <w:tc>
          <w:tcPr>
            <w:tcW w:w="626" w:type="pct"/>
            <w:tcBorders>
              <w:top w:val="single" w:sz="4" w:space="0" w:color="auto"/>
              <w:right w:val="single" w:sz="4" w:space="0" w:color="auto"/>
            </w:tcBorders>
          </w:tcPr>
          <w:p w14:paraId="7F6EA772" w14:textId="77777777" w:rsidR="001A70B8" w:rsidRPr="002029AF" w:rsidRDefault="001A70B8" w:rsidP="00101E5D">
            <w:pPr>
              <w:pStyle w:val="ARtabletextright"/>
              <w:shd w:val="clear" w:color="auto" w:fill="FFFFFF" w:themeFill="background1"/>
              <w:spacing w:before="20" w:after="10" w:line="240" w:lineRule="auto"/>
            </w:pPr>
            <w:r>
              <w:t>69.2</w:t>
            </w:r>
          </w:p>
        </w:tc>
        <w:tc>
          <w:tcPr>
            <w:tcW w:w="625" w:type="pct"/>
            <w:tcBorders>
              <w:left w:val="single" w:sz="4" w:space="0" w:color="auto"/>
            </w:tcBorders>
          </w:tcPr>
          <w:p w14:paraId="531AAB56" w14:textId="77777777" w:rsidR="001A70B8" w:rsidRPr="002029AF" w:rsidRDefault="001A70B8" w:rsidP="00101E5D">
            <w:pPr>
              <w:pStyle w:val="ARtabletextright"/>
              <w:shd w:val="clear" w:color="auto" w:fill="FFFFFF" w:themeFill="background1"/>
              <w:spacing w:before="20" w:after="10" w:line="240" w:lineRule="auto"/>
            </w:pPr>
            <w:r>
              <w:t>37</w:t>
            </w:r>
          </w:p>
        </w:tc>
        <w:tc>
          <w:tcPr>
            <w:tcW w:w="626" w:type="pct"/>
          </w:tcPr>
          <w:p w14:paraId="412BE3E0" w14:textId="77777777" w:rsidR="001A70B8" w:rsidRPr="002029AF" w:rsidRDefault="001A70B8" w:rsidP="00101E5D">
            <w:pPr>
              <w:pStyle w:val="ARtabletextright"/>
              <w:shd w:val="clear" w:color="auto" w:fill="FFFFFF" w:themeFill="background1"/>
              <w:spacing w:before="20" w:after="10" w:line="240" w:lineRule="auto"/>
            </w:pPr>
            <w:r>
              <w:t>15</w:t>
            </w:r>
          </w:p>
        </w:tc>
        <w:tc>
          <w:tcPr>
            <w:tcW w:w="625" w:type="pct"/>
            <w:tcBorders>
              <w:top w:val="single" w:sz="4" w:space="0" w:color="auto"/>
              <w:right w:val="single" w:sz="4" w:space="0" w:color="auto"/>
            </w:tcBorders>
          </w:tcPr>
          <w:p w14:paraId="4BD1D5DA" w14:textId="77777777" w:rsidR="001A70B8" w:rsidRPr="002029AF" w:rsidRDefault="001A70B8" w:rsidP="00101E5D">
            <w:pPr>
              <w:pStyle w:val="ARtabletextright"/>
              <w:shd w:val="clear" w:color="auto" w:fill="FFFFFF" w:themeFill="background1"/>
              <w:spacing w:before="20" w:after="10" w:line="240" w:lineRule="auto"/>
            </w:pPr>
            <w:r w:rsidDel="003918AE">
              <w:t>46.</w:t>
            </w:r>
            <w:r>
              <w:t>0</w:t>
            </w:r>
          </w:p>
        </w:tc>
        <w:tc>
          <w:tcPr>
            <w:tcW w:w="626" w:type="pct"/>
            <w:tcBorders>
              <w:left w:val="single" w:sz="4" w:space="0" w:color="auto"/>
            </w:tcBorders>
          </w:tcPr>
          <w:p w14:paraId="4C05DEFE" w14:textId="77777777" w:rsidR="001A70B8" w:rsidRPr="002029AF" w:rsidRDefault="001A70B8" w:rsidP="00101E5D">
            <w:pPr>
              <w:pStyle w:val="ARtabletextright"/>
              <w:shd w:val="clear" w:color="auto" w:fill="FFFFFF" w:themeFill="background1"/>
              <w:spacing w:before="20" w:after="10" w:line="240" w:lineRule="auto"/>
            </w:pPr>
            <w:r>
              <w:t>24</w:t>
            </w:r>
          </w:p>
        </w:tc>
        <w:tc>
          <w:tcPr>
            <w:tcW w:w="626" w:type="pct"/>
          </w:tcPr>
          <w:p w14:paraId="1848851A" w14:textId="77777777" w:rsidR="001A70B8" w:rsidRPr="002029AF" w:rsidRDefault="001A70B8" w:rsidP="00101E5D">
            <w:pPr>
              <w:pStyle w:val="ARtabletextright"/>
              <w:shd w:val="clear" w:color="auto" w:fill="FFFFFF" w:themeFill="background1"/>
              <w:spacing w:before="20" w:after="10" w:line="240" w:lineRule="auto"/>
            </w:pPr>
            <w:r>
              <w:t>23.2</w:t>
            </w:r>
          </w:p>
        </w:tc>
      </w:tr>
      <w:tr w:rsidR="001A70B8" w:rsidRPr="002029AF" w14:paraId="7CEDD1D3" w14:textId="77777777" w:rsidTr="00221EB6">
        <w:trPr>
          <w:cantSplit w:val="0"/>
        </w:trPr>
        <w:tc>
          <w:tcPr>
            <w:tcW w:w="706" w:type="pct"/>
            <w:hideMark/>
          </w:tcPr>
          <w:p w14:paraId="3D674EB7" w14:textId="77777777" w:rsidR="001A70B8" w:rsidRPr="002029AF" w:rsidRDefault="001A70B8" w:rsidP="00101E5D">
            <w:pPr>
              <w:pStyle w:val="ARtabletext"/>
              <w:shd w:val="clear" w:color="auto" w:fill="FFFFFF" w:themeFill="background1"/>
              <w:spacing w:before="20" w:after="10" w:line="240" w:lineRule="auto"/>
            </w:pPr>
            <w:r w:rsidRPr="002029AF">
              <w:t>VPS</w:t>
            </w:r>
            <w:r>
              <w:t xml:space="preserve"> </w:t>
            </w:r>
            <w:r w:rsidRPr="002029AF">
              <w:t>3</w:t>
            </w:r>
          </w:p>
        </w:tc>
        <w:tc>
          <w:tcPr>
            <w:tcW w:w="540" w:type="pct"/>
          </w:tcPr>
          <w:p w14:paraId="3F43A65C" w14:textId="77777777" w:rsidR="001A70B8" w:rsidRPr="002029AF" w:rsidRDefault="001A70B8" w:rsidP="00101E5D">
            <w:pPr>
              <w:pStyle w:val="ARtabletextright"/>
              <w:shd w:val="clear" w:color="auto" w:fill="FFFFFF" w:themeFill="background1"/>
              <w:spacing w:before="20" w:after="10" w:line="240" w:lineRule="auto"/>
            </w:pPr>
            <w:r>
              <w:t>265</w:t>
            </w:r>
          </w:p>
        </w:tc>
        <w:tc>
          <w:tcPr>
            <w:tcW w:w="626" w:type="pct"/>
            <w:tcBorders>
              <w:top w:val="single" w:sz="4" w:space="0" w:color="auto"/>
              <w:right w:val="single" w:sz="4" w:space="0" w:color="auto"/>
            </w:tcBorders>
          </w:tcPr>
          <w:p w14:paraId="2151F622" w14:textId="77777777" w:rsidR="001A70B8" w:rsidRPr="002029AF" w:rsidRDefault="001A70B8" w:rsidP="00101E5D">
            <w:pPr>
              <w:pStyle w:val="ARtabletextright"/>
              <w:shd w:val="clear" w:color="auto" w:fill="FFFFFF" w:themeFill="background1"/>
              <w:spacing w:before="20" w:after="10" w:line="240" w:lineRule="auto"/>
            </w:pPr>
            <w:r>
              <w:t>256.0</w:t>
            </w:r>
          </w:p>
        </w:tc>
        <w:tc>
          <w:tcPr>
            <w:tcW w:w="625" w:type="pct"/>
            <w:tcBorders>
              <w:left w:val="single" w:sz="4" w:space="0" w:color="auto"/>
            </w:tcBorders>
          </w:tcPr>
          <w:p w14:paraId="605C409B" w14:textId="77777777" w:rsidR="001A70B8" w:rsidRPr="002029AF" w:rsidRDefault="001A70B8" w:rsidP="00101E5D">
            <w:pPr>
              <w:pStyle w:val="ARtabletextright"/>
              <w:shd w:val="clear" w:color="auto" w:fill="FFFFFF" w:themeFill="background1"/>
              <w:spacing w:before="20" w:after="10" w:line="240" w:lineRule="auto"/>
            </w:pPr>
            <w:r>
              <w:t>169</w:t>
            </w:r>
          </w:p>
        </w:tc>
        <w:tc>
          <w:tcPr>
            <w:tcW w:w="626" w:type="pct"/>
          </w:tcPr>
          <w:p w14:paraId="4E27545F" w14:textId="77777777" w:rsidR="001A70B8" w:rsidRPr="002029AF" w:rsidRDefault="001A70B8" w:rsidP="00101E5D">
            <w:pPr>
              <w:pStyle w:val="ARtabletextright"/>
              <w:shd w:val="clear" w:color="auto" w:fill="FFFFFF" w:themeFill="background1"/>
              <w:spacing w:before="20" w:after="10" w:line="240" w:lineRule="auto"/>
            </w:pPr>
            <w:r>
              <w:t>21</w:t>
            </w:r>
          </w:p>
        </w:tc>
        <w:tc>
          <w:tcPr>
            <w:tcW w:w="625" w:type="pct"/>
            <w:tcBorders>
              <w:top w:val="single" w:sz="4" w:space="0" w:color="auto"/>
              <w:right w:val="single" w:sz="4" w:space="0" w:color="auto"/>
            </w:tcBorders>
          </w:tcPr>
          <w:p w14:paraId="55DCA716" w14:textId="77777777" w:rsidR="001A70B8" w:rsidRPr="002029AF" w:rsidRDefault="001A70B8" w:rsidP="00101E5D">
            <w:pPr>
              <w:pStyle w:val="ARtabletextright"/>
              <w:shd w:val="clear" w:color="auto" w:fill="FFFFFF" w:themeFill="background1"/>
              <w:spacing w:before="20" w:after="10" w:line="240" w:lineRule="auto"/>
            </w:pPr>
            <w:r w:rsidDel="00706BDD">
              <w:t>184.</w:t>
            </w:r>
            <w:r>
              <w:t>4</w:t>
            </w:r>
          </w:p>
        </w:tc>
        <w:tc>
          <w:tcPr>
            <w:tcW w:w="626" w:type="pct"/>
            <w:tcBorders>
              <w:left w:val="single" w:sz="4" w:space="0" w:color="auto"/>
            </w:tcBorders>
          </w:tcPr>
          <w:p w14:paraId="0D02EA63" w14:textId="77777777" w:rsidR="001A70B8" w:rsidRPr="002029AF" w:rsidRDefault="001A70B8" w:rsidP="00101E5D">
            <w:pPr>
              <w:pStyle w:val="ARtabletextright"/>
              <w:shd w:val="clear" w:color="auto" w:fill="FFFFFF" w:themeFill="background1"/>
              <w:spacing w:before="20" w:after="10" w:line="240" w:lineRule="auto"/>
            </w:pPr>
            <w:r>
              <w:t>75</w:t>
            </w:r>
          </w:p>
        </w:tc>
        <w:tc>
          <w:tcPr>
            <w:tcW w:w="626" w:type="pct"/>
          </w:tcPr>
          <w:p w14:paraId="43E680F3" w14:textId="77777777" w:rsidR="001A70B8" w:rsidRPr="002029AF" w:rsidRDefault="001A70B8" w:rsidP="00101E5D">
            <w:pPr>
              <w:pStyle w:val="ARtabletextright"/>
              <w:shd w:val="clear" w:color="auto" w:fill="FFFFFF" w:themeFill="background1"/>
              <w:spacing w:before="20" w:after="10" w:line="240" w:lineRule="auto"/>
            </w:pPr>
            <w:r>
              <w:t>71.6</w:t>
            </w:r>
          </w:p>
        </w:tc>
      </w:tr>
      <w:tr w:rsidR="001A70B8" w:rsidRPr="002029AF" w14:paraId="0042969F" w14:textId="77777777" w:rsidTr="00221EB6">
        <w:trPr>
          <w:cantSplit w:val="0"/>
        </w:trPr>
        <w:tc>
          <w:tcPr>
            <w:tcW w:w="706" w:type="pct"/>
            <w:hideMark/>
          </w:tcPr>
          <w:p w14:paraId="4A978CE7" w14:textId="77777777" w:rsidR="001A70B8" w:rsidRPr="002029AF" w:rsidRDefault="001A70B8" w:rsidP="00101E5D">
            <w:pPr>
              <w:pStyle w:val="ARtabletext"/>
              <w:shd w:val="clear" w:color="auto" w:fill="FFFFFF" w:themeFill="background1"/>
              <w:spacing w:before="20" w:after="10" w:line="240" w:lineRule="auto"/>
            </w:pPr>
            <w:r w:rsidRPr="002029AF">
              <w:t>VPS</w:t>
            </w:r>
            <w:r>
              <w:t xml:space="preserve"> </w:t>
            </w:r>
            <w:r w:rsidRPr="002029AF">
              <w:t>4</w:t>
            </w:r>
          </w:p>
        </w:tc>
        <w:tc>
          <w:tcPr>
            <w:tcW w:w="540" w:type="pct"/>
          </w:tcPr>
          <w:p w14:paraId="3305607F" w14:textId="77777777" w:rsidR="001A70B8" w:rsidRPr="002029AF" w:rsidRDefault="001A70B8" w:rsidP="00101E5D">
            <w:pPr>
              <w:pStyle w:val="ARtabletextright"/>
              <w:shd w:val="clear" w:color="auto" w:fill="FFFFFF" w:themeFill="background1"/>
              <w:spacing w:before="20" w:after="10" w:line="240" w:lineRule="auto"/>
            </w:pPr>
            <w:r>
              <w:t>616</w:t>
            </w:r>
          </w:p>
        </w:tc>
        <w:tc>
          <w:tcPr>
            <w:tcW w:w="626" w:type="pct"/>
            <w:tcBorders>
              <w:top w:val="single" w:sz="4" w:space="0" w:color="auto"/>
              <w:right w:val="single" w:sz="4" w:space="0" w:color="auto"/>
            </w:tcBorders>
          </w:tcPr>
          <w:p w14:paraId="7053B529" w14:textId="77777777" w:rsidR="001A70B8" w:rsidRPr="002029AF" w:rsidRDefault="001A70B8" w:rsidP="00101E5D">
            <w:pPr>
              <w:pStyle w:val="ARtabletextright"/>
              <w:shd w:val="clear" w:color="auto" w:fill="FFFFFF" w:themeFill="background1"/>
              <w:spacing w:before="20" w:after="10" w:line="240" w:lineRule="auto"/>
            </w:pPr>
            <w:r>
              <w:t>587.0</w:t>
            </w:r>
          </w:p>
        </w:tc>
        <w:tc>
          <w:tcPr>
            <w:tcW w:w="625" w:type="pct"/>
            <w:tcBorders>
              <w:left w:val="single" w:sz="4" w:space="0" w:color="auto"/>
            </w:tcBorders>
          </w:tcPr>
          <w:p w14:paraId="5659DB9B" w14:textId="77777777" w:rsidR="001A70B8" w:rsidRPr="002029AF" w:rsidRDefault="001A70B8" w:rsidP="00101E5D">
            <w:pPr>
              <w:pStyle w:val="ARtabletextright"/>
              <w:shd w:val="clear" w:color="auto" w:fill="FFFFFF" w:themeFill="background1"/>
              <w:spacing w:before="20" w:after="10" w:line="240" w:lineRule="auto"/>
            </w:pPr>
            <w:r>
              <w:t>254</w:t>
            </w:r>
          </w:p>
        </w:tc>
        <w:tc>
          <w:tcPr>
            <w:tcW w:w="626" w:type="pct"/>
          </w:tcPr>
          <w:p w14:paraId="504AB0EF" w14:textId="77777777" w:rsidR="001A70B8" w:rsidRPr="002029AF" w:rsidRDefault="001A70B8" w:rsidP="00101E5D">
            <w:pPr>
              <w:pStyle w:val="ARtabletextright"/>
              <w:shd w:val="clear" w:color="auto" w:fill="FFFFFF" w:themeFill="background1"/>
              <w:spacing w:before="20" w:after="10" w:line="240" w:lineRule="auto"/>
            </w:pPr>
            <w:r>
              <w:t>44</w:t>
            </w:r>
          </w:p>
        </w:tc>
        <w:tc>
          <w:tcPr>
            <w:tcW w:w="625" w:type="pct"/>
            <w:tcBorders>
              <w:top w:val="single" w:sz="4" w:space="0" w:color="auto"/>
              <w:right w:val="single" w:sz="4" w:space="0" w:color="auto"/>
            </w:tcBorders>
          </w:tcPr>
          <w:p w14:paraId="5C72A2AE" w14:textId="77777777" w:rsidR="001A70B8" w:rsidRPr="002029AF" w:rsidRDefault="001A70B8" w:rsidP="00101E5D">
            <w:pPr>
              <w:pStyle w:val="ARtabletextright"/>
              <w:shd w:val="clear" w:color="auto" w:fill="FFFFFF" w:themeFill="background1"/>
              <w:spacing w:before="20" w:after="10" w:line="240" w:lineRule="auto"/>
            </w:pPr>
            <w:r>
              <w:t>282.4</w:t>
            </w:r>
          </w:p>
        </w:tc>
        <w:tc>
          <w:tcPr>
            <w:tcW w:w="626" w:type="pct"/>
            <w:tcBorders>
              <w:left w:val="single" w:sz="4" w:space="0" w:color="auto"/>
            </w:tcBorders>
          </w:tcPr>
          <w:p w14:paraId="34D7CF98" w14:textId="77777777" w:rsidR="001A70B8" w:rsidRPr="002029AF" w:rsidRDefault="001A70B8" w:rsidP="00101E5D">
            <w:pPr>
              <w:pStyle w:val="ARtabletextright"/>
              <w:shd w:val="clear" w:color="auto" w:fill="FFFFFF" w:themeFill="background1"/>
              <w:spacing w:before="20" w:after="10" w:line="240" w:lineRule="auto"/>
            </w:pPr>
            <w:r>
              <w:t>318</w:t>
            </w:r>
          </w:p>
        </w:tc>
        <w:tc>
          <w:tcPr>
            <w:tcW w:w="626" w:type="pct"/>
          </w:tcPr>
          <w:p w14:paraId="5643C0A6" w14:textId="77777777" w:rsidR="001A70B8" w:rsidRPr="002029AF" w:rsidRDefault="001A70B8" w:rsidP="00101E5D">
            <w:pPr>
              <w:pStyle w:val="ARtabletextright"/>
              <w:shd w:val="clear" w:color="auto" w:fill="FFFFFF" w:themeFill="background1"/>
              <w:spacing w:before="20" w:after="10" w:line="240" w:lineRule="auto"/>
            </w:pPr>
            <w:r>
              <w:t>304.6</w:t>
            </w:r>
          </w:p>
        </w:tc>
      </w:tr>
      <w:tr w:rsidR="001A70B8" w:rsidRPr="002029AF" w14:paraId="1C98F3BF" w14:textId="77777777" w:rsidTr="00221EB6">
        <w:trPr>
          <w:cantSplit w:val="0"/>
        </w:trPr>
        <w:tc>
          <w:tcPr>
            <w:tcW w:w="706" w:type="pct"/>
            <w:hideMark/>
          </w:tcPr>
          <w:p w14:paraId="1598FDF9" w14:textId="77777777" w:rsidR="001A70B8" w:rsidRPr="002029AF" w:rsidRDefault="001A70B8" w:rsidP="00101E5D">
            <w:pPr>
              <w:pStyle w:val="ARtabletext"/>
              <w:shd w:val="clear" w:color="auto" w:fill="FFFFFF" w:themeFill="background1"/>
              <w:spacing w:before="20" w:after="10" w:line="240" w:lineRule="auto"/>
            </w:pPr>
            <w:r w:rsidRPr="002029AF">
              <w:t>VPS</w:t>
            </w:r>
            <w:r>
              <w:t xml:space="preserve"> </w:t>
            </w:r>
            <w:r w:rsidRPr="002029AF">
              <w:t>5</w:t>
            </w:r>
          </w:p>
        </w:tc>
        <w:tc>
          <w:tcPr>
            <w:tcW w:w="540" w:type="pct"/>
          </w:tcPr>
          <w:p w14:paraId="2953F361" w14:textId="77777777" w:rsidR="001A70B8" w:rsidRPr="002029AF" w:rsidRDefault="001A70B8" w:rsidP="00101E5D">
            <w:pPr>
              <w:pStyle w:val="ARtabletextright"/>
              <w:shd w:val="clear" w:color="auto" w:fill="FFFFFF" w:themeFill="background1"/>
              <w:spacing w:before="20" w:after="10" w:line="240" w:lineRule="auto"/>
            </w:pPr>
            <w:r w:rsidDel="00C32D03">
              <w:t>1,</w:t>
            </w:r>
            <w:r>
              <w:t>116</w:t>
            </w:r>
          </w:p>
        </w:tc>
        <w:tc>
          <w:tcPr>
            <w:tcW w:w="626" w:type="pct"/>
            <w:tcBorders>
              <w:top w:val="single" w:sz="4" w:space="0" w:color="auto"/>
              <w:right w:val="single" w:sz="4" w:space="0" w:color="auto"/>
            </w:tcBorders>
          </w:tcPr>
          <w:p w14:paraId="14ACA1BF" w14:textId="77777777" w:rsidR="001A70B8" w:rsidRPr="002029AF" w:rsidRDefault="001A70B8" w:rsidP="00101E5D">
            <w:pPr>
              <w:pStyle w:val="ARtabletextright"/>
              <w:shd w:val="clear" w:color="auto" w:fill="FFFFFF" w:themeFill="background1"/>
              <w:spacing w:before="20" w:after="10" w:line="240" w:lineRule="auto"/>
            </w:pPr>
            <w:r w:rsidDel="00C32D03">
              <w:t>1,</w:t>
            </w:r>
            <w:r>
              <w:t>053.9</w:t>
            </w:r>
          </w:p>
        </w:tc>
        <w:tc>
          <w:tcPr>
            <w:tcW w:w="625" w:type="pct"/>
            <w:tcBorders>
              <w:left w:val="single" w:sz="4" w:space="0" w:color="auto"/>
            </w:tcBorders>
          </w:tcPr>
          <w:p w14:paraId="3DC5C958" w14:textId="77777777" w:rsidR="001A70B8" w:rsidRPr="002029AF" w:rsidRDefault="001A70B8" w:rsidP="00101E5D">
            <w:pPr>
              <w:pStyle w:val="ARtabletextright"/>
              <w:shd w:val="clear" w:color="auto" w:fill="FFFFFF" w:themeFill="background1"/>
              <w:spacing w:before="20" w:after="10" w:line="240" w:lineRule="auto"/>
            </w:pPr>
            <w:r>
              <w:t>563</w:t>
            </w:r>
          </w:p>
        </w:tc>
        <w:tc>
          <w:tcPr>
            <w:tcW w:w="626" w:type="pct"/>
          </w:tcPr>
          <w:p w14:paraId="67CA0E35" w14:textId="77777777" w:rsidR="001A70B8" w:rsidRPr="002029AF" w:rsidRDefault="001A70B8" w:rsidP="00101E5D">
            <w:pPr>
              <w:pStyle w:val="ARtabletextright"/>
              <w:shd w:val="clear" w:color="auto" w:fill="FFFFFF" w:themeFill="background1"/>
              <w:spacing w:before="20" w:after="10" w:line="240" w:lineRule="auto"/>
            </w:pPr>
            <w:r>
              <w:t>125</w:t>
            </w:r>
          </w:p>
        </w:tc>
        <w:tc>
          <w:tcPr>
            <w:tcW w:w="625" w:type="pct"/>
            <w:tcBorders>
              <w:top w:val="single" w:sz="4" w:space="0" w:color="auto"/>
              <w:right w:val="single" w:sz="4" w:space="0" w:color="auto"/>
            </w:tcBorders>
          </w:tcPr>
          <w:p w14:paraId="4D8FEDE8" w14:textId="77777777" w:rsidR="001A70B8" w:rsidRPr="002029AF" w:rsidRDefault="001A70B8" w:rsidP="00101E5D">
            <w:pPr>
              <w:pStyle w:val="ARtabletextright"/>
              <w:shd w:val="clear" w:color="auto" w:fill="FFFFFF" w:themeFill="background1"/>
              <w:spacing w:before="20" w:after="10" w:line="240" w:lineRule="auto"/>
            </w:pPr>
            <w:r>
              <w:t>646.9</w:t>
            </w:r>
          </w:p>
        </w:tc>
        <w:tc>
          <w:tcPr>
            <w:tcW w:w="626" w:type="pct"/>
            <w:tcBorders>
              <w:left w:val="single" w:sz="4" w:space="0" w:color="auto"/>
            </w:tcBorders>
          </w:tcPr>
          <w:p w14:paraId="25A6B147" w14:textId="77777777" w:rsidR="001A70B8" w:rsidRPr="002029AF" w:rsidRDefault="001A70B8" w:rsidP="00101E5D">
            <w:pPr>
              <w:pStyle w:val="ARtabletextright"/>
              <w:shd w:val="clear" w:color="auto" w:fill="FFFFFF" w:themeFill="background1"/>
              <w:spacing w:before="20" w:after="10" w:line="240" w:lineRule="auto"/>
            </w:pPr>
            <w:r>
              <w:t>428</w:t>
            </w:r>
          </w:p>
        </w:tc>
        <w:tc>
          <w:tcPr>
            <w:tcW w:w="626" w:type="pct"/>
          </w:tcPr>
          <w:p w14:paraId="06EBBC06" w14:textId="77777777" w:rsidR="001A70B8" w:rsidRPr="002029AF" w:rsidRDefault="001A70B8" w:rsidP="00101E5D">
            <w:pPr>
              <w:pStyle w:val="ARtabletextright"/>
              <w:shd w:val="clear" w:color="auto" w:fill="FFFFFF" w:themeFill="background1"/>
              <w:spacing w:before="20" w:after="10" w:line="240" w:lineRule="auto"/>
            </w:pPr>
            <w:r>
              <w:t>407.0</w:t>
            </w:r>
          </w:p>
        </w:tc>
      </w:tr>
      <w:tr w:rsidR="001A70B8" w:rsidRPr="002029AF" w14:paraId="4D653874" w14:textId="77777777" w:rsidTr="00221EB6">
        <w:trPr>
          <w:cantSplit w:val="0"/>
        </w:trPr>
        <w:tc>
          <w:tcPr>
            <w:tcW w:w="706" w:type="pct"/>
            <w:hideMark/>
          </w:tcPr>
          <w:p w14:paraId="32CB9764" w14:textId="77777777" w:rsidR="001A70B8" w:rsidRPr="002029AF" w:rsidRDefault="001A70B8" w:rsidP="00101E5D">
            <w:pPr>
              <w:pStyle w:val="ARtabletext"/>
              <w:shd w:val="clear" w:color="auto" w:fill="FFFFFF" w:themeFill="background1"/>
              <w:spacing w:before="20" w:after="10" w:line="240" w:lineRule="auto"/>
            </w:pPr>
            <w:r w:rsidRPr="002029AF">
              <w:t>VPS</w:t>
            </w:r>
            <w:r>
              <w:t xml:space="preserve"> </w:t>
            </w:r>
            <w:r w:rsidRPr="002029AF">
              <w:t>6</w:t>
            </w:r>
          </w:p>
        </w:tc>
        <w:tc>
          <w:tcPr>
            <w:tcW w:w="540" w:type="pct"/>
          </w:tcPr>
          <w:p w14:paraId="477BA93A" w14:textId="77777777" w:rsidR="001A70B8" w:rsidRPr="002029AF" w:rsidRDefault="001A70B8" w:rsidP="00101E5D">
            <w:pPr>
              <w:pStyle w:val="ARtabletextright"/>
              <w:shd w:val="clear" w:color="auto" w:fill="FFFFFF" w:themeFill="background1"/>
              <w:spacing w:before="20" w:after="10" w:line="240" w:lineRule="auto"/>
            </w:pPr>
            <w:r>
              <w:t>853</w:t>
            </w:r>
          </w:p>
        </w:tc>
        <w:tc>
          <w:tcPr>
            <w:tcW w:w="626" w:type="pct"/>
            <w:tcBorders>
              <w:top w:val="single" w:sz="4" w:space="0" w:color="auto"/>
              <w:right w:val="single" w:sz="4" w:space="0" w:color="auto"/>
            </w:tcBorders>
          </w:tcPr>
          <w:p w14:paraId="6E17DE00" w14:textId="77777777" w:rsidR="001A70B8" w:rsidRPr="002029AF" w:rsidRDefault="001A70B8" w:rsidP="00101E5D">
            <w:pPr>
              <w:pStyle w:val="ARtabletextright"/>
              <w:shd w:val="clear" w:color="auto" w:fill="FFFFFF" w:themeFill="background1"/>
              <w:spacing w:before="20" w:after="10" w:line="240" w:lineRule="auto"/>
            </w:pPr>
            <w:r>
              <w:t>823.5</w:t>
            </w:r>
          </w:p>
        </w:tc>
        <w:tc>
          <w:tcPr>
            <w:tcW w:w="625" w:type="pct"/>
            <w:tcBorders>
              <w:left w:val="single" w:sz="4" w:space="0" w:color="auto"/>
            </w:tcBorders>
          </w:tcPr>
          <w:p w14:paraId="24AC8E3A" w14:textId="77777777" w:rsidR="001A70B8" w:rsidRPr="002029AF" w:rsidRDefault="001A70B8" w:rsidP="00101E5D">
            <w:pPr>
              <w:pStyle w:val="ARtabletextright"/>
              <w:shd w:val="clear" w:color="auto" w:fill="FFFFFF" w:themeFill="background1"/>
              <w:spacing w:before="20" w:after="10" w:line="240" w:lineRule="auto"/>
            </w:pPr>
            <w:r>
              <w:t>470</w:t>
            </w:r>
          </w:p>
        </w:tc>
        <w:tc>
          <w:tcPr>
            <w:tcW w:w="626" w:type="pct"/>
          </w:tcPr>
          <w:p w14:paraId="0AD91406" w14:textId="77777777" w:rsidR="001A70B8" w:rsidRPr="002029AF" w:rsidRDefault="001A70B8" w:rsidP="00101E5D">
            <w:pPr>
              <w:pStyle w:val="ARtabletextright"/>
              <w:shd w:val="clear" w:color="auto" w:fill="FFFFFF" w:themeFill="background1"/>
              <w:spacing w:before="20" w:after="10" w:line="240" w:lineRule="auto"/>
            </w:pPr>
            <w:r>
              <w:t>57</w:t>
            </w:r>
          </w:p>
        </w:tc>
        <w:tc>
          <w:tcPr>
            <w:tcW w:w="625" w:type="pct"/>
            <w:tcBorders>
              <w:top w:val="single" w:sz="4" w:space="0" w:color="auto"/>
              <w:right w:val="single" w:sz="4" w:space="0" w:color="auto"/>
            </w:tcBorders>
          </w:tcPr>
          <w:p w14:paraId="44E1F28F" w14:textId="77777777" w:rsidR="001A70B8" w:rsidRPr="002029AF" w:rsidRDefault="001A70B8" w:rsidP="00101E5D">
            <w:pPr>
              <w:pStyle w:val="ARtabletextright"/>
              <w:shd w:val="clear" w:color="auto" w:fill="FFFFFF" w:themeFill="background1"/>
              <w:spacing w:before="20" w:after="10" w:line="240" w:lineRule="auto"/>
            </w:pPr>
            <w:r>
              <w:t>510.0</w:t>
            </w:r>
          </w:p>
        </w:tc>
        <w:tc>
          <w:tcPr>
            <w:tcW w:w="626" w:type="pct"/>
            <w:tcBorders>
              <w:left w:val="single" w:sz="4" w:space="0" w:color="auto"/>
            </w:tcBorders>
          </w:tcPr>
          <w:p w14:paraId="2B23439F" w14:textId="77777777" w:rsidR="001A70B8" w:rsidRPr="002029AF" w:rsidRDefault="001A70B8" w:rsidP="00101E5D">
            <w:pPr>
              <w:pStyle w:val="ARtabletextright"/>
              <w:shd w:val="clear" w:color="auto" w:fill="FFFFFF" w:themeFill="background1"/>
              <w:spacing w:before="20" w:after="10" w:line="240" w:lineRule="auto"/>
            </w:pPr>
            <w:r>
              <w:t>326</w:t>
            </w:r>
          </w:p>
        </w:tc>
        <w:tc>
          <w:tcPr>
            <w:tcW w:w="626" w:type="pct"/>
          </w:tcPr>
          <w:p w14:paraId="02E60547" w14:textId="77777777" w:rsidR="001A70B8" w:rsidRPr="002029AF" w:rsidRDefault="001A70B8" w:rsidP="00101E5D">
            <w:pPr>
              <w:pStyle w:val="ARtabletextright"/>
              <w:shd w:val="clear" w:color="auto" w:fill="FFFFFF" w:themeFill="background1"/>
              <w:spacing w:before="20" w:after="10" w:line="240" w:lineRule="auto"/>
            </w:pPr>
            <w:r>
              <w:t>313.5</w:t>
            </w:r>
          </w:p>
        </w:tc>
      </w:tr>
      <w:tr w:rsidR="001A70B8" w:rsidRPr="002029AF" w14:paraId="1CB02CA7" w14:textId="77777777" w:rsidTr="00221EB6">
        <w:trPr>
          <w:cantSplit w:val="0"/>
        </w:trPr>
        <w:tc>
          <w:tcPr>
            <w:tcW w:w="706" w:type="pct"/>
          </w:tcPr>
          <w:p w14:paraId="3F3394CE" w14:textId="77777777" w:rsidR="001A70B8" w:rsidRPr="002029AF" w:rsidRDefault="001A70B8" w:rsidP="00101E5D">
            <w:pPr>
              <w:pStyle w:val="ARtabletext"/>
              <w:shd w:val="clear" w:color="auto" w:fill="FFFFFF" w:themeFill="background1"/>
              <w:spacing w:before="20" w:after="10" w:line="240" w:lineRule="auto"/>
            </w:pPr>
            <w:r>
              <w:t>SMA</w:t>
            </w:r>
            <w:r w:rsidRPr="00C9735C">
              <w:rPr>
                <w:rStyle w:val="FootnoteReference"/>
              </w:rPr>
              <w:t>(</w:t>
            </w:r>
            <w:r>
              <w:rPr>
                <w:rStyle w:val="FootnoteReference"/>
              </w:rPr>
              <w:footnoteReference w:id="16"/>
            </w:r>
            <w:r w:rsidRPr="00C9735C">
              <w:rPr>
                <w:rStyle w:val="FootnoteReference"/>
              </w:rPr>
              <w:t>)</w:t>
            </w:r>
          </w:p>
        </w:tc>
        <w:tc>
          <w:tcPr>
            <w:tcW w:w="540" w:type="pct"/>
          </w:tcPr>
          <w:p w14:paraId="38E08B70" w14:textId="77777777" w:rsidR="001A70B8" w:rsidRDefault="001A70B8" w:rsidP="00101E5D">
            <w:pPr>
              <w:pStyle w:val="ARtabletextright"/>
              <w:shd w:val="clear" w:color="auto" w:fill="FFFFFF" w:themeFill="background1"/>
              <w:spacing w:before="20" w:after="10" w:line="240" w:lineRule="auto"/>
            </w:pPr>
            <w:r>
              <w:t>13</w:t>
            </w:r>
          </w:p>
        </w:tc>
        <w:tc>
          <w:tcPr>
            <w:tcW w:w="626" w:type="pct"/>
            <w:tcBorders>
              <w:top w:val="single" w:sz="4" w:space="0" w:color="auto"/>
              <w:right w:val="single" w:sz="4" w:space="0" w:color="auto"/>
            </w:tcBorders>
          </w:tcPr>
          <w:p w14:paraId="1952110C" w14:textId="77777777" w:rsidR="001A70B8" w:rsidRDefault="001A70B8" w:rsidP="00101E5D">
            <w:pPr>
              <w:pStyle w:val="ARtabletextright"/>
              <w:shd w:val="clear" w:color="auto" w:fill="FFFFFF" w:themeFill="background1"/>
              <w:spacing w:before="20" w:after="10" w:line="240" w:lineRule="auto"/>
            </w:pPr>
            <w:r>
              <w:t>11.1</w:t>
            </w:r>
          </w:p>
        </w:tc>
        <w:tc>
          <w:tcPr>
            <w:tcW w:w="625" w:type="pct"/>
            <w:tcBorders>
              <w:left w:val="single" w:sz="4" w:space="0" w:color="auto"/>
            </w:tcBorders>
          </w:tcPr>
          <w:p w14:paraId="7C64A62A" w14:textId="77777777" w:rsidR="001A70B8" w:rsidRDefault="001A70B8" w:rsidP="00101E5D">
            <w:pPr>
              <w:pStyle w:val="ARtabletextright"/>
              <w:shd w:val="clear" w:color="auto" w:fill="FFFFFF" w:themeFill="background1"/>
              <w:spacing w:before="20" w:after="10" w:line="240" w:lineRule="auto"/>
            </w:pPr>
            <w:r>
              <w:t>2</w:t>
            </w:r>
          </w:p>
        </w:tc>
        <w:tc>
          <w:tcPr>
            <w:tcW w:w="626" w:type="pct"/>
          </w:tcPr>
          <w:p w14:paraId="3C478AED" w14:textId="77777777" w:rsidR="001A70B8" w:rsidRDefault="001A70B8" w:rsidP="00101E5D">
            <w:pPr>
              <w:pStyle w:val="ARtabletextright"/>
              <w:shd w:val="clear" w:color="auto" w:fill="FFFFFF" w:themeFill="background1"/>
              <w:spacing w:before="20" w:after="10" w:line="240" w:lineRule="auto"/>
            </w:pPr>
            <w:r>
              <w:t>0</w:t>
            </w:r>
          </w:p>
        </w:tc>
        <w:tc>
          <w:tcPr>
            <w:tcW w:w="625" w:type="pct"/>
            <w:tcBorders>
              <w:top w:val="single" w:sz="4" w:space="0" w:color="auto"/>
              <w:right w:val="single" w:sz="4" w:space="0" w:color="auto"/>
            </w:tcBorders>
          </w:tcPr>
          <w:p w14:paraId="1FA96EB5" w14:textId="77777777" w:rsidR="001A70B8" w:rsidRDefault="001A70B8" w:rsidP="00101E5D">
            <w:pPr>
              <w:pStyle w:val="ARtabletextright"/>
              <w:shd w:val="clear" w:color="auto" w:fill="FFFFFF" w:themeFill="background1"/>
              <w:spacing w:before="20" w:after="10" w:line="240" w:lineRule="auto"/>
            </w:pPr>
            <w:r>
              <w:t>2.0</w:t>
            </w:r>
          </w:p>
        </w:tc>
        <w:tc>
          <w:tcPr>
            <w:tcW w:w="626" w:type="pct"/>
            <w:tcBorders>
              <w:left w:val="single" w:sz="4" w:space="0" w:color="auto"/>
            </w:tcBorders>
          </w:tcPr>
          <w:p w14:paraId="4208C99B" w14:textId="77777777" w:rsidR="001A70B8" w:rsidRDefault="001A70B8" w:rsidP="00101E5D">
            <w:pPr>
              <w:pStyle w:val="ARtabletextright"/>
              <w:shd w:val="clear" w:color="auto" w:fill="FFFFFF" w:themeFill="background1"/>
              <w:spacing w:before="20" w:after="10" w:line="240" w:lineRule="auto"/>
            </w:pPr>
            <w:r>
              <w:t>11</w:t>
            </w:r>
          </w:p>
        </w:tc>
        <w:tc>
          <w:tcPr>
            <w:tcW w:w="626" w:type="pct"/>
          </w:tcPr>
          <w:p w14:paraId="662B0D75" w14:textId="77777777" w:rsidR="001A70B8" w:rsidRDefault="001A70B8" w:rsidP="00101E5D">
            <w:pPr>
              <w:pStyle w:val="ARtabletextright"/>
              <w:shd w:val="clear" w:color="auto" w:fill="FFFFFF" w:themeFill="background1"/>
              <w:spacing w:before="20" w:after="10" w:line="240" w:lineRule="auto"/>
            </w:pPr>
            <w:r>
              <w:t>9.1</w:t>
            </w:r>
          </w:p>
        </w:tc>
      </w:tr>
      <w:tr w:rsidR="001A70B8" w:rsidRPr="002029AF" w14:paraId="20FF3401" w14:textId="77777777" w:rsidTr="00221EB6">
        <w:trPr>
          <w:cantSplit w:val="0"/>
        </w:trPr>
        <w:tc>
          <w:tcPr>
            <w:tcW w:w="706" w:type="pct"/>
            <w:hideMark/>
          </w:tcPr>
          <w:p w14:paraId="2DADD2C5" w14:textId="77777777" w:rsidR="001A70B8" w:rsidRPr="002029AF" w:rsidRDefault="001A70B8" w:rsidP="00101E5D">
            <w:pPr>
              <w:pStyle w:val="ARtabletext"/>
              <w:shd w:val="clear" w:color="auto" w:fill="FFFFFF" w:themeFill="background1"/>
              <w:spacing w:before="20" w:after="10" w:line="240" w:lineRule="auto"/>
            </w:pPr>
            <w:r w:rsidRPr="002029AF">
              <w:t>STS</w:t>
            </w:r>
            <w:r w:rsidRPr="00C9735C">
              <w:rPr>
                <w:rStyle w:val="FootnoteReference"/>
              </w:rPr>
              <w:t>(</w:t>
            </w:r>
            <w:r>
              <w:rPr>
                <w:rStyle w:val="FootnoteReference"/>
              </w:rPr>
              <w:footnoteReference w:id="17"/>
            </w:r>
            <w:r w:rsidRPr="00C9735C">
              <w:rPr>
                <w:rStyle w:val="FootnoteReference"/>
              </w:rPr>
              <w:t>)</w:t>
            </w:r>
          </w:p>
        </w:tc>
        <w:tc>
          <w:tcPr>
            <w:tcW w:w="540" w:type="pct"/>
          </w:tcPr>
          <w:p w14:paraId="007B89B7" w14:textId="77777777" w:rsidR="001A70B8" w:rsidRPr="002029AF" w:rsidRDefault="001A70B8" w:rsidP="00101E5D">
            <w:pPr>
              <w:pStyle w:val="ARtabletextright"/>
              <w:shd w:val="clear" w:color="auto" w:fill="FFFFFF" w:themeFill="background1"/>
              <w:spacing w:before="20" w:after="10" w:line="240" w:lineRule="auto"/>
            </w:pPr>
            <w:r>
              <w:t>31</w:t>
            </w:r>
          </w:p>
        </w:tc>
        <w:tc>
          <w:tcPr>
            <w:tcW w:w="626" w:type="pct"/>
            <w:tcBorders>
              <w:top w:val="single" w:sz="4" w:space="0" w:color="auto"/>
              <w:right w:val="single" w:sz="4" w:space="0" w:color="auto"/>
            </w:tcBorders>
          </w:tcPr>
          <w:p w14:paraId="1E5EE329" w14:textId="77777777" w:rsidR="001A70B8" w:rsidRPr="002029AF" w:rsidRDefault="001A70B8" w:rsidP="00101E5D">
            <w:pPr>
              <w:pStyle w:val="ARtabletextright"/>
              <w:shd w:val="clear" w:color="auto" w:fill="FFFFFF" w:themeFill="background1"/>
              <w:spacing w:before="20" w:after="10" w:line="240" w:lineRule="auto"/>
            </w:pPr>
            <w:r>
              <w:t>30.8</w:t>
            </w:r>
          </w:p>
        </w:tc>
        <w:tc>
          <w:tcPr>
            <w:tcW w:w="625" w:type="pct"/>
            <w:tcBorders>
              <w:left w:val="single" w:sz="4" w:space="0" w:color="auto"/>
            </w:tcBorders>
          </w:tcPr>
          <w:p w14:paraId="393D5FC8" w14:textId="77777777" w:rsidR="001A70B8" w:rsidRPr="002029AF" w:rsidRDefault="001A70B8" w:rsidP="00101E5D">
            <w:pPr>
              <w:pStyle w:val="ARtabletextright"/>
              <w:shd w:val="clear" w:color="auto" w:fill="FFFFFF" w:themeFill="background1"/>
              <w:spacing w:before="20" w:after="10" w:line="240" w:lineRule="auto"/>
            </w:pPr>
            <w:r>
              <w:t>10</w:t>
            </w:r>
          </w:p>
        </w:tc>
        <w:tc>
          <w:tcPr>
            <w:tcW w:w="626" w:type="pct"/>
          </w:tcPr>
          <w:p w14:paraId="0290505E" w14:textId="77777777" w:rsidR="001A70B8" w:rsidRPr="002029AF" w:rsidRDefault="001A70B8" w:rsidP="00101E5D">
            <w:pPr>
              <w:pStyle w:val="ARtabletextright"/>
              <w:shd w:val="clear" w:color="auto" w:fill="FFFFFF" w:themeFill="background1"/>
              <w:spacing w:before="20" w:after="10" w:line="240" w:lineRule="auto"/>
            </w:pPr>
            <w:r w:rsidDel="008D29AD">
              <w:t>0</w:t>
            </w:r>
          </w:p>
        </w:tc>
        <w:tc>
          <w:tcPr>
            <w:tcW w:w="625" w:type="pct"/>
            <w:tcBorders>
              <w:top w:val="single" w:sz="4" w:space="0" w:color="auto"/>
              <w:right w:val="single" w:sz="4" w:space="0" w:color="auto"/>
            </w:tcBorders>
          </w:tcPr>
          <w:p w14:paraId="7567D3B4" w14:textId="77777777" w:rsidR="001A70B8" w:rsidRPr="002029AF" w:rsidRDefault="001A70B8" w:rsidP="00101E5D">
            <w:pPr>
              <w:pStyle w:val="ARtabletextright"/>
              <w:shd w:val="clear" w:color="auto" w:fill="FFFFFF" w:themeFill="background1"/>
              <w:spacing w:before="20" w:after="10" w:line="240" w:lineRule="auto"/>
            </w:pPr>
            <w:r>
              <w:t>10.0</w:t>
            </w:r>
          </w:p>
        </w:tc>
        <w:tc>
          <w:tcPr>
            <w:tcW w:w="626" w:type="pct"/>
            <w:tcBorders>
              <w:left w:val="single" w:sz="4" w:space="0" w:color="auto"/>
            </w:tcBorders>
          </w:tcPr>
          <w:p w14:paraId="2B318B04" w14:textId="77777777" w:rsidR="001A70B8" w:rsidRPr="002029AF" w:rsidRDefault="001A70B8" w:rsidP="00101E5D">
            <w:pPr>
              <w:pStyle w:val="ARtabletextright"/>
              <w:shd w:val="clear" w:color="auto" w:fill="FFFFFF" w:themeFill="background1"/>
              <w:spacing w:before="20" w:after="10" w:line="240" w:lineRule="auto"/>
            </w:pPr>
            <w:r>
              <w:t>21</w:t>
            </w:r>
          </w:p>
        </w:tc>
        <w:tc>
          <w:tcPr>
            <w:tcW w:w="626" w:type="pct"/>
          </w:tcPr>
          <w:p w14:paraId="26AEF524" w14:textId="77777777" w:rsidR="001A70B8" w:rsidRPr="002029AF" w:rsidRDefault="001A70B8" w:rsidP="00101E5D">
            <w:pPr>
              <w:pStyle w:val="ARtabletextright"/>
              <w:shd w:val="clear" w:color="auto" w:fill="FFFFFF" w:themeFill="background1"/>
              <w:spacing w:before="20" w:after="10" w:line="240" w:lineRule="auto"/>
            </w:pPr>
            <w:r>
              <w:t>20.8</w:t>
            </w:r>
          </w:p>
        </w:tc>
      </w:tr>
      <w:tr w:rsidR="001A70B8" w:rsidRPr="002029AF" w14:paraId="6161CE09" w14:textId="77777777" w:rsidTr="00221EB6">
        <w:trPr>
          <w:cantSplit w:val="0"/>
        </w:trPr>
        <w:tc>
          <w:tcPr>
            <w:tcW w:w="706" w:type="pct"/>
            <w:hideMark/>
          </w:tcPr>
          <w:p w14:paraId="797AE09A" w14:textId="77777777" w:rsidR="001A70B8" w:rsidRPr="002029AF" w:rsidRDefault="001A70B8" w:rsidP="00101E5D">
            <w:pPr>
              <w:pStyle w:val="ARtabletext"/>
              <w:shd w:val="clear" w:color="auto" w:fill="FFFFFF" w:themeFill="background1"/>
              <w:spacing w:before="20" w:after="10" w:line="240" w:lineRule="auto"/>
            </w:pPr>
            <w:r w:rsidRPr="002029AF">
              <w:t>Executives</w:t>
            </w:r>
          </w:p>
        </w:tc>
        <w:tc>
          <w:tcPr>
            <w:tcW w:w="540" w:type="pct"/>
          </w:tcPr>
          <w:p w14:paraId="7A0776C4" w14:textId="77777777" w:rsidR="001A70B8" w:rsidRPr="002029AF" w:rsidRDefault="001A70B8" w:rsidP="00101E5D">
            <w:pPr>
              <w:pStyle w:val="ARtabletextright"/>
              <w:shd w:val="clear" w:color="auto" w:fill="FFFFFF" w:themeFill="background1"/>
              <w:spacing w:before="20" w:after="10" w:line="240" w:lineRule="auto"/>
            </w:pPr>
            <w:r>
              <w:t>189</w:t>
            </w:r>
          </w:p>
        </w:tc>
        <w:tc>
          <w:tcPr>
            <w:tcW w:w="626" w:type="pct"/>
            <w:tcBorders>
              <w:top w:val="single" w:sz="4" w:space="0" w:color="auto"/>
              <w:right w:val="single" w:sz="4" w:space="0" w:color="auto"/>
            </w:tcBorders>
          </w:tcPr>
          <w:p w14:paraId="0B6442F4" w14:textId="77777777" w:rsidR="001A70B8" w:rsidRPr="002029AF" w:rsidRDefault="001A70B8" w:rsidP="00101E5D">
            <w:pPr>
              <w:pStyle w:val="ARtabletextright"/>
              <w:shd w:val="clear" w:color="auto" w:fill="FFFFFF" w:themeFill="background1"/>
              <w:spacing w:before="20" w:after="10" w:line="240" w:lineRule="auto"/>
            </w:pPr>
            <w:r>
              <w:t>186.2</w:t>
            </w:r>
          </w:p>
        </w:tc>
        <w:tc>
          <w:tcPr>
            <w:tcW w:w="625" w:type="pct"/>
            <w:tcBorders>
              <w:left w:val="single" w:sz="4" w:space="0" w:color="auto"/>
            </w:tcBorders>
          </w:tcPr>
          <w:p w14:paraId="206946F6" w14:textId="77777777" w:rsidR="001A70B8" w:rsidRPr="002029AF" w:rsidRDefault="001A70B8" w:rsidP="00101E5D">
            <w:pPr>
              <w:pStyle w:val="ARtabletextright"/>
              <w:shd w:val="clear" w:color="auto" w:fill="FFFFFF" w:themeFill="background1"/>
              <w:spacing w:before="20" w:after="10" w:line="240" w:lineRule="auto"/>
            </w:pPr>
            <w:r>
              <w:t>7</w:t>
            </w:r>
            <w:r w:rsidRPr="00C9735C">
              <w:rPr>
                <w:rStyle w:val="FootnoteReference"/>
              </w:rPr>
              <w:t>(</w:t>
            </w:r>
            <w:r>
              <w:rPr>
                <w:rStyle w:val="FootnoteReference"/>
              </w:rPr>
              <w:footnoteReference w:id="18"/>
            </w:r>
            <w:r w:rsidRPr="00C9735C">
              <w:rPr>
                <w:rStyle w:val="FootnoteReference"/>
              </w:rPr>
              <w:t>)</w:t>
            </w:r>
          </w:p>
        </w:tc>
        <w:tc>
          <w:tcPr>
            <w:tcW w:w="626" w:type="pct"/>
          </w:tcPr>
          <w:p w14:paraId="01D40750" w14:textId="77777777" w:rsidR="001A70B8" w:rsidRPr="002029AF" w:rsidRDefault="001A70B8" w:rsidP="00101E5D">
            <w:pPr>
              <w:pStyle w:val="ARtabletextright"/>
              <w:shd w:val="clear" w:color="auto" w:fill="FFFFFF" w:themeFill="background1"/>
              <w:spacing w:before="20" w:after="10" w:line="240" w:lineRule="auto"/>
            </w:pPr>
            <w:r>
              <w:t>0</w:t>
            </w:r>
          </w:p>
        </w:tc>
        <w:tc>
          <w:tcPr>
            <w:tcW w:w="625" w:type="pct"/>
            <w:tcBorders>
              <w:top w:val="single" w:sz="4" w:space="0" w:color="auto"/>
              <w:right w:val="single" w:sz="4" w:space="0" w:color="auto"/>
            </w:tcBorders>
          </w:tcPr>
          <w:p w14:paraId="3E294787" w14:textId="77777777" w:rsidR="001A70B8" w:rsidRPr="002029AF" w:rsidRDefault="001A70B8" w:rsidP="00101E5D">
            <w:pPr>
              <w:pStyle w:val="ARtabletextright"/>
              <w:shd w:val="clear" w:color="auto" w:fill="FFFFFF" w:themeFill="background1"/>
              <w:spacing w:before="20" w:after="10" w:line="240" w:lineRule="auto"/>
            </w:pPr>
            <w:r>
              <w:t>7.0</w:t>
            </w:r>
          </w:p>
        </w:tc>
        <w:tc>
          <w:tcPr>
            <w:tcW w:w="626" w:type="pct"/>
            <w:tcBorders>
              <w:left w:val="single" w:sz="4" w:space="0" w:color="auto"/>
            </w:tcBorders>
          </w:tcPr>
          <w:p w14:paraId="50A9DA1D" w14:textId="77777777" w:rsidR="001A70B8" w:rsidRPr="002029AF" w:rsidRDefault="001A70B8" w:rsidP="00101E5D">
            <w:pPr>
              <w:pStyle w:val="ARtabletextright"/>
              <w:shd w:val="clear" w:color="auto" w:fill="FFFFFF" w:themeFill="background1"/>
              <w:spacing w:before="20" w:after="10" w:line="240" w:lineRule="auto"/>
            </w:pPr>
            <w:r>
              <w:t>182</w:t>
            </w:r>
          </w:p>
        </w:tc>
        <w:tc>
          <w:tcPr>
            <w:tcW w:w="626" w:type="pct"/>
          </w:tcPr>
          <w:p w14:paraId="1F2173BD" w14:textId="77777777" w:rsidR="001A70B8" w:rsidRPr="002029AF" w:rsidRDefault="001A70B8" w:rsidP="00101E5D">
            <w:pPr>
              <w:pStyle w:val="ARtabletextright"/>
              <w:shd w:val="clear" w:color="auto" w:fill="FFFFFF" w:themeFill="background1"/>
              <w:spacing w:before="20" w:after="10" w:line="240" w:lineRule="auto"/>
            </w:pPr>
            <w:r>
              <w:t>179.2</w:t>
            </w:r>
          </w:p>
        </w:tc>
      </w:tr>
      <w:tr w:rsidR="001A70B8" w:rsidRPr="002029AF" w14:paraId="3D6D0A82" w14:textId="77777777" w:rsidTr="00221EB6">
        <w:trPr>
          <w:cantSplit w:val="0"/>
        </w:trPr>
        <w:tc>
          <w:tcPr>
            <w:tcW w:w="706" w:type="pct"/>
            <w:hideMark/>
          </w:tcPr>
          <w:p w14:paraId="002A07D7" w14:textId="77777777" w:rsidR="001A70B8" w:rsidRPr="002029AF" w:rsidRDefault="001A70B8" w:rsidP="00101E5D">
            <w:pPr>
              <w:pStyle w:val="ARtabletext"/>
              <w:shd w:val="clear" w:color="auto" w:fill="FFFFFF" w:themeFill="background1"/>
              <w:spacing w:before="20" w:after="10" w:line="240" w:lineRule="auto"/>
            </w:pPr>
            <w:r w:rsidRPr="002029AF">
              <w:t>Other</w:t>
            </w:r>
            <w:r w:rsidRPr="0031211C">
              <w:rPr>
                <w:rStyle w:val="FootnoteReference"/>
              </w:rPr>
              <w:t>(</w:t>
            </w:r>
            <w:r>
              <w:rPr>
                <w:rStyle w:val="FootnoteReference"/>
              </w:rPr>
              <w:footnoteReference w:id="19"/>
            </w:r>
            <w:r w:rsidRPr="0031211C">
              <w:rPr>
                <w:rStyle w:val="FootnoteReference"/>
              </w:rPr>
              <w:t>)</w:t>
            </w:r>
          </w:p>
        </w:tc>
        <w:tc>
          <w:tcPr>
            <w:tcW w:w="540" w:type="pct"/>
          </w:tcPr>
          <w:p w14:paraId="677B6B0A" w14:textId="77777777" w:rsidR="001A70B8" w:rsidRPr="002029AF" w:rsidRDefault="001A70B8" w:rsidP="00101E5D">
            <w:pPr>
              <w:pStyle w:val="ARtabletextright"/>
              <w:shd w:val="clear" w:color="auto" w:fill="FFFFFF" w:themeFill="background1"/>
              <w:spacing w:before="20" w:after="10" w:line="240" w:lineRule="auto"/>
            </w:pPr>
            <w:r>
              <w:t>133</w:t>
            </w:r>
          </w:p>
        </w:tc>
        <w:tc>
          <w:tcPr>
            <w:tcW w:w="626" w:type="pct"/>
            <w:tcBorders>
              <w:top w:val="single" w:sz="4" w:space="0" w:color="auto"/>
              <w:right w:val="single" w:sz="4" w:space="0" w:color="auto"/>
            </w:tcBorders>
          </w:tcPr>
          <w:p w14:paraId="04C657B9" w14:textId="77777777" w:rsidR="001A70B8" w:rsidRPr="002029AF" w:rsidRDefault="001A70B8" w:rsidP="00101E5D">
            <w:pPr>
              <w:pStyle w:val="ARtabletextright"/>
              <w:shd w:val="clear" w:color="auto" w:fill="FFFFFF" w:themeFill="background1"/>
              <w:spacing w:before="20" w:after="10" w:line="240" w:lineRule="auto"/>
            </w:pPr>
            <w:r>
              <w:t>90.7</w:t>
            </w:r>
          </w:p>
        </w:tc>
        <w:tc>
          <w:tcPr>
            <w:tcW w:w="625" w:type="pct"/>
            <w:tcBorders>
              <w:left w:val="single" w:sz="4" w:space="0" w:color="auto"/>
            </w:tcBorders>
          </w:tcPr>
          <w:p w14:paraId="48200416" w14:textId="77777777" w:rsidR="001A70B8" w:rsidRPr="002029AF" w:rsidRDefault="001A70B8" w:rsidP="00101E5D">
            <w:pPr>
              <w:pStyle w:val="ARtabletextright"/>
              <w:shd w:val="clear" w:color="auto" w:fill="FFFFFF" w:themeFill="background1"/>
              <w:spacing w:before="20" w:after="10" w:line="240" w:lineRule="auto"/>
            </w:pPr>
            <w:r>
              <w:t>42</w:t>
            </w:r>
          </w:p>
        </w:tc>
        <w:tc>
          <w:tcPr>
            <w:tcW w:w="626" w:type="pct"/>
          </w:tcPr>
          <w:p w14:paraId="0F499C75" w14:textId="77777777" w:rsidR="001A70B8" w:rsidRPr="002029AF" w:rsidRDefault="001A70B8" w:rsidP="00101E5D">
            <w:pPr>
              <w:pStyle w:val="ARtabletextright"/>
              <w:shd w:val="clear" w:color="auto" w:fill="FFFFFF" w:themeFill="background1"/>
              <w:spacing w:before="20" w:after="10" w:line="240" w:lineRule="auto"/>
            </w:pPr>
            <w:r>
              <w:t>55</w:t>
            </w:r>
          </w:p>
        </w:tc>
        <w:tc>
          <w:tcPr>
            <w:tcW w:w="625" w:type="pct"/>
            <w:tcBorders>
              <w:top w:val="single" w:sz="4" w:space="0" w:color="auto"/>
              <w:right w:val="single" w:sz="4" w:space="0" w:color="auto"/>
            </w:tcBorders>
          </w:tcPr>
          <w:p w14:paraId="1603ED87" w14:textId="77777777" w:rsidR="001A70B8" w:rsidRPr="002029AF" w:rsidRDefault="001A70B8" w:rsidP="00101E5D">
            <w:pPr>
              <w:pStyle w:val="ARtabletextright"/>
              <w:shd w:val="clear" w:color="auto" w:fill="FFFFFF" w:themeFill="background1"/>
              <w:spacing w:before="20" w:after="10" w:line="240" w:lineRule="auto"/>
            </w:pPr>
            <w:r>
              <w:t>69.7</w:t>
            </w:r>
          </w:p>
        </w:tc>
        <w:tc>
          <w:tcPr>
            <w:tcW w:w="626" w:type="pct"/>
            <w:tcBorders>
              <w:left w:val="single" w:sz="4" w:space="0" w:color="auto"/>
            </w:tcBorders>
          </w:tcPr>
          <w:p w14:paraId="2FBC1049" w14:textId="77777777" w:rsidR="001A70B8" w:rsidRPr="002029AF" w:rsidRDefault="001A70B8" w:rsidP="00101E5D">
            <w:pPr>
              <w:pStyle w:val="ARtabletextright"/>
              <w:shd w:val="clear" w:color="auto" w:fill="FFFFFF" w:themeFill="background1"/>
              <w:spacing w:before="20" w:after="10" w:line="240" w:lineRule="auto"/>
            </w:pPr>
            <w:r>
              <w:t>36</w:t>
            </w:r>
          </w:p>
        </w:tc>
        <w:tc>
          <w:tcPr>
            <w:tcW w:w="626" w:type="pct"/>
          </w:tcPr>
          <w:p w14:paraId="5CC99BDB" w14:textId="77777777" w:rsidR="001A70B8" w:rsidRPr="002029AF" w:rsidRDefault="001A70B8" w:rsidP="00101E5D">
            <w:pPr>
              <w:pStyle w:val="ARtabletextright"/>
              <w:shd w:val="clear" w:color="auto" w:fill="FFFFFF" w:themeFill="background1"/>
              <w:spacing w:before="20" w:after="10" w:line="240" w:lineRule="auto"/>
            </w:pPr>
            <w:r>
              <w:t>21.0</w:t>
            </w:r>
          </w:p>
        </w:tc>
      </w:tr>
      <w:tr w:rsidR="001A70B8" w:rsidRPr="002029AF" w14:paraId="0BE2259B" w14:textId="77777777" w:rsidTr="00221EB6">
        <w:trPr>
          <w:cantSplit w:val="0"/>
        </w:trPr>
        <w:tc>
          <w:tcPr>
            <w:tcW w:w="706" w:type="pct"/>
            <w:hideMark/>
          </w:tcPr>
          <w:p w14:paraId="1B38F0ED" w14:textId="77777777" w:rsidR="001A70B8" w:rsidRPr="002029AF" w:rsidRDefault="001A70B8" w:rsidP="00101E5D">
            <w:pPr>
              <w:pStyle w:val="ARtabletextbold"/>
              <w:shd w:val="clear" w:color="auto" w:fill="FFFFFF" w:themeFill="background1"/>
              <w:spacing w:before="20" w:after="10" w:line="240" w:lineRule="auto"/>
            </w:pPr>
            <w:r w:rsidRPr="002029AF">
              <w:t>Total</w:t>
            </w:r>
            <w:r>
              <w:t xml:space="preserve"> </w:t>
            </w:r>
            <w:r w:rsidRPr="002029AF">
              <w:t>employees</w:t>
            </w:r>
          </w:p>
        </w:tc>
        <w:tc>
          <w:tcPr>
            <w:tcW w:w="540" w:type="pct"/>
          </w:tcPr>
          <w:p w14:paraId="727F6373" w14:textId="77777777" w:rsidR="001A70B8" w:rsidRPr="002029AF" w:rsidRDefault="001A70B8" w:rsidP="00101E5D">
            <w:pPr>
              <w:pStyle w:val="ARtabletextrightbold"/>
              <w:shd w:val="clear" w:color="auto" w:fill="FFFFFF" w:themeFill="background1"/>
              <w:spacing w:before="20" w:after="10" w:line="240" w:lineRule="auto"/>
            </w:pPr>
            <w:r>
              <w:t>3,306</w:t>
            </w:r>
          </w:p>
        </w:tc>
        <w:tc>
          <w:tcPr>
            <w:tcW w:w="626" w:type="pct"/>
            <w:tcBorders>
              <w:top w:val="single" w:sz="4" w:space="0" w:color="auto"/>
              <w:right w:val="single" w:sz="4" w:space="0" w:color="auto"/>
            </w:tcBorders>
          </w:tcPr>
          <w:p w14:paraId="1C172B31" w14:textId="77777777" w:rsidR="001A70B8" w:rsidRPr="002029AF" w:rsidRDefault="001A70B8" w:rsidP="00101E5D">
            <w:pPr>
              <w:pStyle w:val="ARtabletextrightbold"/>
              <w:shd w:val="clear" w:color="auto" w:fill="FFFFFF" w:themeFill="background1"/>
              <w:spacing w:before="20" w:after="10" w:line="240" w:lineRule="auto"/>
            </w:pPr>
            <w:r>
              <w:t>3,119.3</w:t>
            </w:r>
          </w:p>
        </w:tc>
        <w:tc>
          <w:tcPr>
            <w:tcW w:w="625" w:type="pct"/>
            <w:tcBorders>
              <w:left w:val="single" w:sz="4" w:space="0" w:color="auto"/>
            </w:tcBorders>
          </w:tcPr>
          <w:p w14:paraId="3FE0A661" w14:textId="77777777" w:rsidR="001A70B8" w:rsidRPr="002029AF" w:rsidRDefault="001A70B8" w:rsidP="00101E5D">
            <w:pPr>
              <w:pStyle w:val="ARtabletextrightbold"/>
              <w:shd w:val="clear" w:color="auto" w:fill="FFFFFF" w:themeFill="background1"/>
              <w:spacing w:before="20" w:after="10" w:line="240" w:lineRule="auto"/>
            </w:pPr>
            <w:r w:rsidDel="009055CF">
              <w:t>1,</w:t>
            </w:r>
            <w:r>
              <w:t>554</w:t>
            </w:r>
          </w:p>
        </w:tc>
        <w:tc>
          <w:tcPr>
            <w:tcW w:w="626" w:type="pct"/>
          </w:tcPr>
          <w:p w14:paraId="285BBE31" w14:textId="77777777" w:rsidR="001A70B8" w:rsidRPr="002029AF" w:rsidRDefault="001A70B8" w:rsidP="00101E5D">
            <w:pPr>
              <w:pStyle w:val="ARtabletextrightbold"/>
              <w:shd w:val="clear" w:color="auto" w:fill="FFFFFF" w:themeFill="background1"/>
              <w:spacing w:before="20" w:after="10" w:line="240" w:lineRule="auto"/>
            </w:pPr>
            <w:r>
              <w:t>317</w:t>
            </w:r>
          </w:p>
        </w:tc>
        <w:tc>
          <w:tcPr>
            <w:tcW w:w="625" w:type="pct"/>
            <w:tcBorders>
              <w:top w:val="single" w:sz="4" w:space="0" w:color="auto"/>
              <w:right w:val="single" w:sz="4" w:space="0" w:color="auto"/>
            </w:tcBorders>
          </w:tcPr>
          <w:p w14:paraId="629C274E" w14:textId="77777777" w:rsidR="001A70B8" w:rsidRPr="002029AF" w:rsidRDefault="001A70B8" w:rsidP="00101E5D">
            <w:pPr>
              <w:pStyle w:val="ARtabletextrightbold"/>
              <w:shd w:val="clear" w:color="auto" w:fill="FFFFFF" w:themeFill="background1"/>
              <w:spacing w:before="20" w:after="10" w:line="240" w:lineRule="auto"/>
            </w:pPr>
            <w:r w:rsidDel="009055CF">
              <w:t>1,</w:t>
            </w:r>
            <w:r>
              <w:t>758.4</w:t>
            </w:r>
          </w:p>
        </w:tc>
        <w:tc>
          <w:tcPr>
            <w:tcW w:w="626" w:type="pct"/>
            <w:tcBorders>
              <w:left w:val="single" w:sz="4" w:space="0" w:color="auto"/>
            </w:tcBorders>
          </w:tcPr>
          <w:p w14:paraId="1B9CBC72" w14:textId="77777777" w:rsidR="001A70B8" w:rsidRPr="002029AF" w:rsidRDefault="001A70B8" w:rsidP="00101E5D">
            <w:pPr>
              <w:pStyle w:val="ARtabletextrightbold"/>
              <w:shd w:val="clear" w:color="auto" w:fill="FFFFFF" w:themeFill="background1"/>
              <w:spacing w:before="20" w:after="10" w:line="240" w:lineRule="auto"/>
            </w:pPr>
            <w:r>
              <w:t>1,435</w:t>
            </w:r>
          </w:p>
        </w:tc>
        <w:tc>
          <w:tcPr>
            <w:tcW w:w="626" w:type="pct"/>
          </w:tcPr>
          <w:p w14:paraId="66F62479" w14:textId="77777777" w:rsidR="001A70B8" w:rsidRPr="002029AF" w:rsidRDefault="001A70B8" w:rsidP="00101E5D">
            <w:pPr>
              <w:pStyle w:val="ARtabletextrightbold"/>
              <w:shd w:val="clear" w:color="auto" w:fill="FFFFFF" w:themeFill="background1"/>
              <w:spacing w:before="20" w:after="10" w:line="240" w:lineRule="auto"/>
            </w:pPr>
            <w:r>
              <w:t>1,360.9</w:t>
            </w:r>
          </w:p>
        </w:tc>
      </w:tr>
    </w:tbl>
    <w:p w14:paraId="7DC95125" w14:textId="77777777" w:rsidR="001A70B8" w:rsidRPr="002029AF" w:rsidRDefault="001A70B8" w:rsidP="00101E5D">
      <w:pPr>
        <w:pStyle w:val="ARtablefootnote"/>
        <w:shd w:val="clear" w:color="auto" w:fill="FFFFFF" w:themeFill="background1"/>
        <w:spacing w:before="40" w:after="20"/>
      </w:pPr>
      <w:bookmarkStart w:id="263" w:name="_Ref492894739"/>
      <w:bookmarkEnd w:id="260"/>
      <w:bookmarkEnd w:id="262"/>
      <w:r w:rsidRPr="002029AF">
        <w:t>Note:</w:t>
      </w:r>
    </w:p>
    <w:p w14:paraId="2F3AEE3B" w14:textId="77777777" w:rsidR="001A70B8" w:rsidRDefault="001A70B8" w:rsidP="00101E5D">
      <w:pPr>
        <w:pStyle w:val="ARtablefootnote"/>
        <w:shd w:val="clear" w:color="auto" w:fill="FFFFFF" w:themeFill="background1"/>
        <w:spacing w:before="40" w:after="20"/>
      </w:pPr>
      <w:r w:rsidRPr="002B1364">
        <w:t>There</w:t>
      </w:r>
      <w:r>
        <w:t xml:space="preserve"> </w:t>
      </w:r>
      <w:r w:rsidRPr="003B64C5">
        <w:t>may</w:t>
      </w:r>
      <w:r>
        <w:t xml:space="preserve"> </w:t>
      </w:r>
      <w:r w:rsidRPr="003B64C5">
        <w:t>be</w:t>
      </w:r>
      <w:r>
        <w:t xml:space="preserve"> </w:t>
      </w:r>
      <w:r w:rsidRPr="002B1364">
        <w:t>rounding</w:t>
      </w:r>
      <w:r>
        <w:t xml:space="preserve"> </w:t>
      </w:r>
      <w:r w:rsidRPr="002B1364">
        <w:t>errors</w:t>
      </w:r>
      <w:r>
        <w:t xml:space="preserve"> </w:t>
      </w:r>
      <w:r w:rsidRPr="00BE7E49">
        <w:t>in</w:t>
      </w:r>
      <w:r>
        <w:t xml:space="preserve"> </w:t>
      </w:r>
      <w:r w:rsidRPr="00BE7E49">
        <w:t>FTE</w:t>
      </w:r>
      <w:r>
        <w:t xml:space="preserve"> </w:t>
      </w:r>
      <w:r w:rsidRPr="00BE7E49">
        <w:t>tables</w:t>
      </w:r>
      <w:r>
        <w:t xml:space="preserve"> </w:t>
      </w:r>
      <w:r w:rsidRPr="00BE7E49">
        <w:t>due</w:t>
      </w:r>
      <w:r>
        <w:t xml:space="preserve"> </w:t>
      </w:r>
      <w:r w:rsidRPr="00BE7E49">
        <w:t>to</w:t>
      </w:r>
      <w:r>
        <w:t xml:space="preserve"> </w:t>
      </w:r>
      <w:r w:rsidRPr="00BE7E49">
        <w:t>data</w:t>
      </w:r>
      <w:r>
        <w:t xml:space="preserve"> </w:t>
      </w:r>
      <w:r w:rsidRPr="00BE7E49">
        <w:t>being</w:t>
      </w:r>
      <w:r>
        <w:t xml:space="preserve"> </w:t>
      </w:r>
      <w:r w:rsidRPr="00BE7E49">
        <w:t>formatted</w:t>
      </w:r>
      <w:r>
        <w:t xml:space="preserve"> </w:t>
      </w:r>
      <w:r w:rsidRPr="00BE7E49">
        <w:t>to</w:t>
      </w:r>
      <w:r>
        <w:t xml:space="preserve"> </w:t>
      </w:r>
      <w:r w:rsidRPr="00BE7E49">
        <w:t>one</w:t>
      </w:r>
      <w:r>
        <w:t xml:space="preserve"> </w:t>
      </w:r>
      <w:r w:rsidRPr="00BE7E49">
        <w:t>decimal</w:t>
      </w:r>
      <w:r>
        <w:t xml:space="preserve"> </w:t>
      </w:r>
      <w:r w:rsidRPr="00BE7E49">
        <w:t>place.</w:t>
      </w:r>
    </w:p>
    <w:p w14:paraId="02D21598" w14:textId="0D76CA54" w:rsidR="001A70B8" w:rsidRPr="00B2558D" w:rsidRDefault="001A70B8" w:rsidP="00101E5D">
      <w:pPr>
        <w:pStyle w:val="ARtablefootnote"/>
        <w:shd w:val="clear" w:color="auto" w:fill="FFFFFF" w:themeFill="background1"/>
        <w:spacing w:before="20" w:after="10"/>
        <w:sectPr w:rsidR="001A70B8" w:rsidRPr="00B2558D" w:rsidSect="00F0313F">
          <w:footnotePr>
            <w:numFmt w:val="lowerLetter"/>
            <w:numRestart w:val="eachPage"/>
          </w:footnotePr>
          <w:endnotePr>
            <w:numFmt w:val="decimal"/>
          </w:endnotePr>
          <w:pgSz w:w="16838" w:h="11906" w:orient="landscape" w:code="9"/>
          <w:pgMar w:top="1134" w:right="1985" w:bottom="1134" w:left="851" w:header="510" w:footer="340" w:gutter="0"/>
          <w:cols w:space="454"/>
          <w:docGrid w:linePitch="360"/>
        </w:sectPr>
      </w:pPr>
      <w:r w:rsidRPr="004B421A">
        <w:rPr>
          <w:rFonts w:cs="Arial"/>
          <w:shd w:val="clear" w:color="auto" w:fill="FAF9F8"/>
        </w:rPr>
        <w:t>There</w:t>
      </w:r>
      <w:r>
        <w:rPr>
          <w:rFonts w:cs="Arial"/>
          <w:shd w:val="clear" w:color="auto" w:fill="FAF9F8"/>
        </w:rPr>
        <w:t xml:space="preserve"> </w:t>
      </w:r>
      <w:r w:rsidRPr="004B421A">
        <w:rPr>
          <w:rFonts w:cs="Arial"/>
          <w:shd w:val="clear" w:color="auto" w:fill="FAF9F8"/>
        </w:rPr>
        <w:t>are</w:t>
      </w:r>
      <w:r>
        <w:rPr>
          <w:rFonts w:cs="Arial"/>
          <w:shd w:val="clear" w:color="auto" w:fill="FAF9F8"/>
        </w:rPr>
        <w:t xml:space="preserve"> </w:t>
      </w:r>
      <w:r w:rsidRPr="004B421A">
        <w:rPr>
          <w:rFonts w:cs="Arial"/>
          <w:shd w:val="clear" w:color="auto" w:fill="FAF9F8"/>
        </w:rPr>
        <w:t>10</w:t>
      </w:r>
      <w:r>
        <w:rPr>
          <w:rFonts w:cs="Arial"/>
          <w:shd w:val="clear" w:color="auto" w:fill="FAF9F8"/>
        </w:rPr>
        <w:t xml:space="preserve"> </w:t>
      </w:r>
      <w:r w:rsidRPr="004B421A">
        <w:rPr>
          <w:rFonts w:cs="Arial"/>
          <w:shd w:val="clear" w:color="auto" w:fill="FAF9F8"/>
        </w:rPr>
        <w:t>Workcover</w:t>
      </w:r>
      <w:r>
        <w:rPr>
          <w:rFonts w:cs="Arial"/>
          <w:shd w:val="clear" w:color="auto" w:fill="FAF9F8"/>
        </w:rPr>
        <w:t xml:space="preserve"> </w:t>
      </w:r>
      <w:r w:rsidRPr="004B421A">
        <w:rPr>
          <w:rFonts w:cs="Arial"/>
          <w:shd w:val="clear" w:color="auto" w:fill="FAF9F8"/>
        </w:rPr>
        <w:t>employees</w:t>
      </w:r>
      <w:r>
        <w:rPr>
          <w:rFonts w:cs="Arial"/>
          <w:shd w:val="clear" w:color="auto" w:fill="FAF9F8"/>
        </w:rPr>
        <w:t xml:space="preserve"> </w:t>
      </w:r>
      <w:r w:rsidRPr="004B421A">
        <w:rPr>
          <w:rFonts w:cs="Arial"/>
          <w:shd w:val="clear" w:color="auto" w:fill="FAF9F8"/>
        </w:rPr>
        <w:t>included</w:t>
      </w:r>
      <w:r>
        <w:rPr>
          <w:rFonts w:cs="Arial"/>
          <w:shd w:val="clear" w:color="auto" w:fill="FAF9F8"/>
        </w:rPr>
        <w:t xml:space="preserve"> </w:t>
      </w:r>
      <w:r w:rsidRPr="004B421A">
        <w:rPr>
          <w:rFonts w:cs="Arial"/>
          <w:shd w:val="clear" w:color="auto" w:fill="FAF9F8"/>
        </w:rPr>
        <w:t>in</w:t>
      </w:r>
      <w:r>
        <w:rPr>
          <w:rFonts w:cs="Arial"/>
          <w:shd w:val="clear" w:color="auto" w:fill="FAF9F8"/>
        </w:rPr>
        <w:t xml:space="preserve"> </w:t>
      </w:r>
      <w:r w:rsidRPr="004B421A">
        <w:rPr>
          <w:rFonts w:cs="Arial"/>
          <w:shd w:val="clear" w:color="auto" w:fill="FAF9F8"/>
        </w:rPr>
        <w:t>the</w:t>
      </w:r>
      <w:r>
        <w:rPr>
          <w:rFonts w:cs="Arial"/>
          <w:shd w:val="clear" w:color="auto" w:fill="FAF9F8"/>
        </w:rPr>
        <w:t xml:space="preserve"> </w:t>
      </w:r>
      <w:r w:rsidRPr="004B421A">
        <w:rPr>
          <w:rFonts w:cs="Arial"/>
          <w:shd w:val="clear" w:color="auto" w:fill="FAF9F8"/>
        </w:rPr>
        <w:t>Ongoing</w:t>
      </w:r>
      <w:r>
        <w:rPr>
          <w:rFonts w:cs="Arial"/>
          <w:shd w:val="clear" w:color="auto" w:fill="FAF9F8"/>
        </w:rPr>
        <w:t xml:space="preserve"> </w:t>
      </w:r>
      <w:r w:rsidR="004E65FF">
        <w:rPr>
          <w:rFonts w:cs="Arial"/>
          <w:shd w:val="clear" w:color="auto" w:fill="FAF9F8"/>
        </w:rPr>
        <w:t>c</w:t>
      </w:r>
      <w:r w:rsidRPr="004B421A">
        <w:rPr>
          <w:rFonts w:cs="Arial"/>
          <w:shd w:val="clear" w:color="auto" w:fill="FAF9F8"/>
        </w:rPr>
        <w:t>ategory</w:t>
      </w:r>
      <w:r>
        <w:rPr>
          <w:rFonts w:cs="Arial"/>
          <w:shd w:val="clear" w:color="auto" w:fill="FAF9F8"/>
        </w:rPr>
        <w:t xml:space="preserve"> </w:t>
      </w:r>
      <w:r w:rsidRPr="004B421A">
        <w:rPr>
          <w:rFonts w:cs="Arial"/>
          <w:shd w:val="clear" w:color="auto" w:fill="FAF9F8"/>
        </w:rPr>
        <w:t>count</w:t>
      </w:r>
      <w:r>
        <w:rPr>
          <w:rFonts w:cs="Arial"/>
          <w:shd w:val="clear" w:color="auto" w:fill="FAF9F8"/>
        </w:rPr>
        <w:t>.</w:t>
      </w:r>
    </w:p>
    <w:p w14:paraId="5093189F" w14:textId="77777777" w:rsidR="001A70B8" w:rsidRDefault="001A70B8" w:rsidP="00101E5D">
      <w:pPr>
        <w:pStyle w:val="Heading4"/>
        <w:shd w:val="clear" w:color="auto" w:fill="FFFFFF" w:themeFill="background1"/>
        <w:spacing w:before="0"/>
      </w:pPr>
      <w:bookmarkStart w:id="264" w:name="_Toc85121226"/>
      <w:r w:rsidRPr="002029AF">
        <w:t>Annualised</w:t>
      </w:r>
      <w:r>
        <w:t xml:space="preserve"> </w:t>
      </w:r>
      <w:r w:rsidRPr="002029AF">
        <w:t>total</w:t>
      </w:r>
      <w:r>
        <w:t xml:space="preserve"> </w:t>
      </w:r>
      <w:r w:rsidRPr="002029AF">
        <w:t>salary,</w:t>
      </w:r>
      <w:r>
        <w:t xml:space="preserve"> </w:t>
      </w:r>
      <w:r w:rsidRPr="002029AF">
        <w:t>by</w:t>
      </w:r>
      <w:r>
        <w:t xml:space="preserve"> </w:t>
      </w:r>
      <w:r w:rsidRPr="002029AF">
        <w:t>$20,000</w:t>
      </w:r>
      <w:r>
        <w:t xml:space="preserve"> </w:t>
      </w:r>
      <w:r w:rsidRPr="002029AF">
        <w:t>bands,</w:t>
      </w:r>
      <w:r>
        <w:t xml:space="preserve"> </w:t>
      </w:r>
      <w:r w:rsidRPr="002029AF">
        <w:t>for</w:t>
      </w:r>
      <w:r>
        <w:t xml:space="preserve"> </w:t>
      </w:r>
      <w:r w:rsidRPr="002029AF">
        <w:t>executives</w:t>
      </w:r>
      <w:r>
        <w:t xml:space="preserve"> </w:t>
      </w:r>
      <w:r w:rsidRPr="002029AF">
        <w:t>and</w:t>
      </w:r>
      <w:r>
        <w:t xml:space="preserve"> </w:t>
      </w:r>
      <w:r w:rsidRPr="002029AF">
        <w:t>other</w:t>
      </w:r>
      <w:r>
        <w:t xml:space="preserve"> </w:t>
      </w:r>
      <w:r w:rsidRPr="002029AF">
        <w:t>senior</w:t>
      </w:r>
      <w:r>
        <w:t xml:space="preserve"> </w:t>
      </w:r>
      <w:r w:rsidRPr="002029AF">
        <w:t>non</w:t>
      </w:r>
      <w:r>
        <w:noBreakHyphen/>
      </w:r>
      <w:r w:rsidRPr="002029AF">
        <w:t>executive</w:t>
      </w:r>
      <w:r>
        <w:t xml:space="preserve"> </w:t>
      </w:r>
      <w:r w:rsidRPr="002029AF">
        <w:t>staff</w:t>
      </w:r>
      <w:bookmarkEnd w:id="264"/>
    </w:p>
    <w:p w14:paraId="362472A4" w14:textId="77777777" w:rsidR="001A70B8" w:rsidRDefault="001A70B8" w:rsidP="00101E5D">
      <w:pPr>
        <w:pStyle w:val="ARbodybeforetable"/>
        <w:shd w:val="clear" w:color="auto" w:fill="FFFFFF" w:themeFill="background1"/>
        <w:spacing w:after="160"/>
      </w:pPr>
      <w:r w:rsidRPr="001D5E51">
        <w:t>The</w:t>
      </w:r>
      <w:r>
        <w:t xml:space="preserve"> </w:t>
      </w:r>
      <w:r w:rsidRPr="001D5E51">
        <w:t>following</w:t>
      </w:r>
      <w:r>
        <w:t xml:space="preserve"> </w:t>
      </w:r>
      <w:r w:rsidRPr="001D5E51">
        <w:t>table</w:t>
      </w:r>
      <w:r>
        <w:t xml:space="preserve"> </w:t>
      </w:r>
      <w:r w:rsidRPr="001D5E51">
        <w:t>discloses</w:t>
      </w:r>
      <w:r>
        <w:t xml:space="preserve"> </w:t>
      </w:r>
      <w:r w:rsidRPr="001D5E51">
        <w:t>the</w:t>
      </w:r>
      <w:r>
        <w:t xml:space="preserve"> </w:t>
      </w:r>
      <w:r w:rsidRPr="001D5E51">
        <w:t>annualised</w:t>
      </w:r>
      <w:r>
        <w:t xml:space="preserve"> </w:t>
      </w:r>
      <w:r w:rsidRPr="001D5E51">
        <w:t>total</w:t>
      </w:r>
      <w:r>
        <w:t xml:space="preserve"> </w:t>
      </w:r>
      <w:r w:rsidRPr="001D5E51">
        <w:t>salary</w:t>
      </w:r>
      <w:r>
        <w:t xml:space="preserve"> </w:t>
      </w:r>
      <w:r w:rsidRPr="001D5E51">
        <w:t>for</w:t>
      </w:r>
      <w:r>
        <w:t xml:space="preserve"> </w:t>
      </w:r>
      <w:r w:rsidRPr="001D5E51">
        <w:t>senior</w:t>
      </w:r>
      <w:r>
        <w:t xml:space="preserve"> </w:t>
      </w:r>
      <w:r w:rsidRPr="001D5E51">
        <w:t>employees</w:t>
      </w:r>
      <w:r>
        <w:t xml:space="preserve"> </w:t>
      </w:r>
      <w:r w:rsidRPr="001D5E51">
        <w:t>of</w:t>
      </w:r>
      <w:r>
        <w:t xml:space="preserve"> </w:t>
      </w:r>
      <w:r w:rsidRPr="001D5E51">
        <w:t>the</w:t>
      </w:r>
      <w:r>
        <w:t xml:space="preserve"> d</w:t>
      </w:r>
      <w:r w:rsidRPr="001D5E51">
        <w:t>epartment,</w:t>
      </w:r>
      <w:r>
        <w:t xml:space="preserve"> </w:t>
      </w:r>
      <w:r w:rsidRPr="001D5E51">
        <w:t>categorised</w:t>
      </w:r>
      <w:r>
        <w:t xml:space="preserve"> </w:t>
      </w:r>
      <w:r w:rsidRPr="001D5E51">
        <w:t>by</w:t>
      </w:r>
      <w:r>
        <w:t xml:space="preserve"> </w:t>
      </w:r>
      <w:r w:rsidRPr="001D5E51">
        <w:t>classification.</w:t>
      </w:r>
      <w:r>
        <w:t xml:space="preserve"> </w:t>
      </w:r>
      <w:r w:rsidRPr="001D5E51">
        <w:t>The</w:t>
      </w:r>
      <w:r>
        <w:t xml:space="preserve"> </w:t>
      </w:r>
      <w:r w:rsidRPr="001D5E51">
        <w:t>salary</w:t>
      </w:r>
      <w:r>
        <w:t xml:space="preserve"> </w:t>
      </w:r>
      <w:r w:rsidRPr="001D5E51">
        <w:t>amount</w:t>
      </w:r>
      <w:r>
        <w:t xml:space="preserve">s </w:t>
      </w:r>
      <w:r w:rsidRPr="00500114">
        <w:t>are</w:t>
      </w:r>
      <w:r>
        <w:t xml:space="preserve"> </w:t>
      </w:r>
      <w:r w:rsidRPr="00500114">
        <w:t>for</w:t>
      </w:r>
      <w:r>
        <w:t xml:space="preserve"> </w:t>
      </w:r>
      <w:r w:rsidRPr="00500114">
        <w:t>the</w:t>
      </w:r>
      <w:r>
        <w:t xml:space="preserve"> </w:t>
      </w:r>
      <w:r w:rsidRPr="00500114">
        <w:t>full</w:t>
      </w:r>
      <w:r>
        <w:t xml:space="preserve"> </w:t>
      </w:r>
      <w:r w:rsidRPr="00500114">
        <w:t>financial</w:t>
      </w:r>
      <w:r>
        <w:t xml:space="preserve"> </w:t>
      </w:r>
      <w:r w:rsidRPr="00500114">
        <w:t>year,</w:t>
      </w:r>
      <w:r>
        <w:t xml:space="preserve"> </w:t>
      </w:r>
      <w:r w:rsidRPr="00500114">
        <w:t>at</w:t>
      </w:r>
      <w:r>
        <w:t xml:space="preserve"> </w:t>
      </w:r>
      <w:r w:rsidRPr="00500114">
        <w:t>a</w:t>
      </w:r>
      <w:r>
        <w:t xml:space="preserve"> </w:t>
      </w:r>
      <w:r w:rsidRPr="00500114">
        <w:t>1-FTE</w:t>
      </w:r>
      <w:r>
        <w:t xml:space="preserve"> </w:t>
      </w:r>
      <w:r w:rsidRPr="00500114">
        <w:t>rate,</w:t>
      </w:r>
      <w:r>
        <w:t xml:space="preserve"> </w:t>
      </w:r>
      <w:r w:rsidRPr="00500114">
        <w:t>and</w:t>
      </w:r>
      <w:r>
        <w:t xml:space="preserve"> </w:t>
      </w:r>
      <w:r w:rsidRPr="00500114">
        <w:t>exclude</w:t>
      </w:r>
      <w:r>
        <w:t xml:space="preserve"> </w:t>
      </w:r>
      <w:r w:rsidRPr="00500114">
        <w:t>superannuation</w:t>
      </w:r>
      <w:r w:rsidRPr="001D5E51">
        <w:t>.</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2542"/>
        <w:gridCol w:w="1262"/>
        <w:gridCol w:w="976"/>
        <w:gridCol w:w="826"/>
        <w:gridCol w:w="2226"/>
        <w:gridCol w:w="978"/>
        <w:gridCol w:w="835"/>
      </w:tblGrid>
      <w:tr w:rsidR="001A70B8" w:rsidRPr="002029AF" w14:paraId="42C401DC" w14:textId="77777777" w:rsidTr="00D429B0">
        <w:trPr>
          <w:cantSplit/>
          <w:tblHeader/>
        </w:trPr>
        <w:tc>
          <w:tcPr>
            <w:tcW w:w="1318" w:type="pct"/>
            <w:shd w:val="clear" w:color="auto" w:fill="auto"/>
            <w:vAlign w:val="bottom"/>
          </w:tcPr>
          <w:p w14:paraId="2F4ED71E" w14:textId="77777777" w:rsidR="001A70B8" w:rsidRPr="002029AF" w:rsidRDefault="001A70B8" w:rsidP="00101E5D">
            <w:pPr>
              <w:pStyle w:val="ARtablecolhead"/>
              <w:shd w:val="clear" w:color="auto" w:fill="FFFFFF" w:themeFill="background1"/>
            </w:pPr>
            <w:r w:rsidRPr="002029AF">
              <w:t>Income</w:t>
            </w:r>
            <w:r>
              <w:t xml:space="preserve"> </w:t>
            </w:r>
            <w:r w:rsidRPr="002029AF">
              <w:t>band</w:t>
            </w:r>
            <w:r>
              <w:t xml:space="preserve"> </w:t>
            </w:r>
            <w:r w:rsidRPr="002029AF">
              <w:t>(salary)</w:t>
            </w:r>
          </w:p>
        </w:tc>
        <w:tc>
          <w:tcPr>
            <w:tcW w:w="654" w:type="pct"/>
            <w:tcBorders>
              <w:top w:val="nil"/>
            </w:tcBorders>
            <w:shd w:val="clear" w:color="auto" w:fill="auto"/>
            <w:vAlign w:val="bottom"/>
          </w:tcPr>
          <w:p w14:paraId="7E9F760F" w14:textId="77777777" w:rsidR="001A70B8" w:rsidRPr="002029AF" w:rsidRDefault="001A70B8" w:rsidP="00101E5D">
            <w:pPr>
              <w:pStyle w:val="ARtablecolheadright"/>
              <w:shd w:val="clear" w:color="auto" w:fill="FFFFFF" w:themeFill="background1"/>
            </w:pPr>
            <w:r w:rsidRPr="002029AF">
              <w:t>Executives</w:t>
            </w:r>
          </w:p>
        </w:tc>
        <w:tc>
          <w:tcPr>
            <w:tcW w:w="506" w:type="pct"/>
            <w:tcBorders>
              <w:top w:val="nil"/>
            </w:tcBorders>
            <w:shd w:val="clear" w:color="auto" w:fill="auto"/>
            <w:vAlign w:val="bottom"/>
          </w:tcPr>
          <w:p w14:paraId="46810753" w14:textId="77777777" w:rsidR="001A70B8" w:rsidRPr="002029AF" w:rsidRDefault="001A70B8" w:rsidP="00101E5D">
            <w:pPr>
              <w:pStyle w:val="ARtablecolheadright"/>
              <w:shd w:val="clear" w:color="auto" w:fill="FFFFFF" w:themeFill="background1"/>
            </w:pPr>
            <w:r w:rsidRPr="002029AF">
              <w:t>STS</w:t>
            </w:r>
            <w:r w:rsidRPr="00BB3F1B">
              <w:rPr>
                <w:rStyle w:val="FootnoteReference"/>
              </w:rPr>
              <w:t>(</w:t>
            </w:r>
            <w:r>
              <w:rPr>
                <w:rStyle w:val="FootnoteReference"/>
              </w:rPr>
              <w:footnoteReference w:id="20"/>
            </w:r>
            <w:r w:rsidRPr="00BB3F1B">
              <w:rPr>
                <w:rStyle w:val="FootnoteReference"/>
              </w:rPr>
              <w:t>)</w:t>
            </w:r>
          </w:p>
        </w:tc>
        <w:tc>
          <w:tcPr>
            <w:tcW w:w="428" w:type="pct"/>
            <w:tcBorders>
              <w:top w:val="nil"/>
            </w:tcBorders>
            <w:shd w:val="clear" w:color="auto" w:fill="auto"/>
            <w:vAlign w:val="bottom"/>
          </w:tcPr>
          <w:p w14:paraId="5F02C7F4" w14:textId="77777777" w:rsidR="001A70B8" w:rsidRPr="002029AF" w:rsidRDefault="001A70B8" w:rsidP="00101E5D">
            <w:pPr>
              <w:pStyle w:val="ARtablecolheadright"/>
              <w:shd w:val="clear" w:color="auto" w:fill="FFFFFF" w:themeFill="background1"/>
            </w:pPr>
            <w:r w:rsidRPr="002B1364">
              <w:t>PS</w:t>
            </w:r>
          </w:p>
        </w:tc>
        <w:tc>
          <w:tcPr>
            <w:tcW w:w="1154" w:type="pct"/>
            <w:tcBorders>
              <w:top w:val="nil"/>
            </w:tcBorders>
            <w:vAlign w:val="bottom"/>
          </w:tcPr>
          <w:p w14:paraId="08BDBC74" w14:textId="77777777" w:rsidR="001A70B8" w:rsidRPr="002029AF" w:rsidRDefault="001A70B8" w:rsidP="00101E5D">
            <w:pPr>
              <w:pStyle w:val="ARtablecolheadright"/>
              <w:shd w:val="clear" w:color="auto" w:fill="FFFFFF" w:themeFill="background1"/>
            </w:pPr>
            <w:r w:rsidRPr="002029AF">
              <w:t>SMA</w:t>
            </w:r>
          </w:p>
        </w:tc>
        <w:tc>
          <w:tcPr>
            <w:tcW w:w="507" w:type="pct"/>
            <w:tcBorders>
              <w:top w:val="nil"/>
            </w:tcBorders>
            <w:vAlign w:val="bottom"/>
          </w:tcPr>
          <w:p w14:paraId="71F35553" w14:textId="77777777" w:rsidR="001A70B8" w:rsidRPr="002029AF" w:rsidRDefault="001A70B8" w:rsidP="00101E5D">
            <w:pPr>
              <w:pStyle w:val="ARtablecolheadright"/>
              <w:shd w:val="clear" w:color="auto" w:fill="FFFFFF" w:themeFill="background1"/>
            </w:pPr>
            <w:r w:rsidRPr="002B1364">
              <w:t>SRA</w:t>
            </w:r>
          </w:p>
        </w:tc>
        <w:tc>
          <w:tcPr>
            <w:tcW w:w="433" w:type="pct"/>
            <w:tcBorders>
              <w:top w:val="nil"/>
            </w:tcBorders>
            <w:vAlign w:val="bottom"/>
          </w:tcPr>
          <w:p w14:paraId="1F1D5148" w14:textId="77777777" w:rsidR="001A70B8" w:rsidRPr="002029AF" w:rsidRDefault="001A70B8" w:rsidP="00101E5D">
            <w:pPr>
              <w:pStyle w:val="ARtablecolheadright"/>
              <w:shd w:val="clear" w:color="auto" w:fill="FFFFFF" w:themeFill="background1"/>
            </w:pPr>
            <w:r w:rsidRPr="002029AF">
              <w:t>Other</w:t>
            </w:r>
          </w:p>
        </w:tc>
      </w:tr>
      <w:tr w:rsidR="001A70B8" w:rsidRPr="002029AF" w14:paraId="32708C9E" w14:textId="77777777" w:rsidTr="00D429B0">
        <w:trPr>
          <w:cantSplit/>
        </w:trPr>
        <w:tc>
          <w:tcPr>
            <w:tcW w:w="1318" w:type="pct"/>
            <w:tcBorders>
              <w:top w:val="single" w:sz="4" w:space="0" w:color="BFBFBF" w:themeColor="background1" w:themeShade="BF"/>
              <w:bottom w:val="single" w:sz="4" w:space="0" w:color="BFBFBF" w:themeColor="background1" w:themeShade="BF"/>
            </w:tcBorders>
            <w:shd w:val="clear" w:color="auto" w:fill="auto"/>
          </w:tcPr>
          <w:p w14:paraId="7488326E" w14:textId="77777777" w:rsidR="001A70B8" w:rsidRPr="00AF50BC" w:rsidRDefault="001A70B8" w:rsidP="00101E5D">
            <w:pPr>
              <w:pStyle w:val="ARtabletext"/>
              <w:shd w:val="clear" w:color="auto" w:fill="FFFFFF" w:themeFill="background1"/>
            </w:pPr>
            <w:r w:rsidRPr="00AF50BC">
              <w:t>&lt;</w:t>
            </w:r>
            <w:r>
              <w:t xml:space="preserve"> </w:t>
            </w:r>
            <w:r w:rsidRPr="00AF50BC">
              <w:t>$160,000</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28039A2D" w14:textId="77777777" w:rsidR="001A70B8" w:rsidRPr="002029AF" w:rsidRDefault="001A70B8" w:rsidP="00101E5D">
            <w:pPr>
              <w:pStyle w:val="ARtabletextright"/>
              <w:shd w:val="clear" w:color="auto" w:fill="FFFFFF" w:themeFill="background1"/>
              <w:rPr>
                <w:color w:val="000000" w:themeColor="text1"/>
                <w:vertAlign w:val="superscript"/>
              </w:rPr>
            </w:pPr>
          </w:p>
        </w:tc>
        <w:tc>
          <w:tcPr>
            <w:tcW w:w="506" w:type="pct"/>
            <w:tcBorders>
              <w:top w:val="single" w:sz="4" w:space="0" w:color="BFBFBF" w:themeColor="background1" w:themeShade="BF"/>
              <w:bottom w:val="single" w:sz="4" w:space="0" w:color="BFBFBF" w:themeColor="background1" w:themeShade="BF"/>
            </w:tcBorders>
            <w:shd w:val="clear" w:color="auto" w:fill="auto"/>
          </w:tcPr>
          <w:p w14:paraId="2D3E7FB3" w14:textId="77777777" w:rsidR="001A70B8" w:rsidRPr="002029AF" w:rsidRDefault="001A70B8" w:rsidP="00101E5D">
            <w:pPr>
              <w:pStyle w:val="ARtabletextright"/>
              <w:shd w:val="clear" w:color="auto" w:fill="FFFFFF" w:themeFill="background1"/>
              <w:rPr>
                <w:color w:val="000000" w:themeColor="text1"/>
                <w:vertAlign w:val="superscript"/>
              </w:rPr>
            </w:pPr>
          </w:p>
        </w:tc>
        <w:tc>
          <w:tcPr>
            <w:tcW w:w="428" w:type="pct"/>
            <w:tcBorders>
              <w:top w:val="single" w:sz="4" w:space="0" w:color="BFBFBF" w:themeColor="background1" w:themeShade="BF"/>
              <w:bottom w:val="single" w:sz="4" w:space="0" w:color="BFBFBF" w:themeColor="background1" w:themeShade="BF"/>
            </w:tcBorders>
            <w:shd w:val="clear" w:color="auto" w:fill="auto"/>
          </w:tcPr>
          <w:p w14:paraId="51B5B737" w14:textId="77777777" w:rsidR="001A70B8" w:rsidRPr="002029AF" w:rsidRDefault="001A70B8" w:rsidP="00101E5D">
            <w:pPr>
              <w:pStyle w:val="ARtabletextright"/>
              <w:shd w:val="clear" w:color="auto" w:fill="FFFFFF" w:themeFill="background1"/>
            </w:pPr>
          </w:p>
        </w:tc>
        <w:tc>
          <w:tcPr>
            <w:tcW w:w="1154" w:type="pct"/>
            <w:tcBorders>
              <w:top w:val="single" w:sz="4" w:space="0" w:color="BFBFBF" w:themeColor="background1" w:themeShade="BF"/>
              <w:bottom w:val="single" w:sz="4" w:space="0" w:color="BFBFBF" w:themeColor="background1" w:themeShade="BF"/>
            </w:tcBorders>
          </w:tcPr>
          <w:p w14:paraId="434293DE" w14:textId="77777777" w:rsidR="001A70B8" w:rsidRPr="002029AF" w:rsidRDefault="001A70B8" w:rsidP="00101E5D">
            <w:pPr>
              <w:pStyle w:val="ARtabletextright"/>
              <w:shd w:val="clear" w:color="auto" w:fill="FFFFFF" w:themeFill="background1"/>
              <w:rPr>
                <w:color w:val="000000" w:themeColor="text1"/>
                <w:vertAlign w:val="superscript"/>
              </w:rPr>
            </w:pPr>
          </w:p>
        </w:tc>
        <w:tc>
          <w:tcPr>
            <w:tcW w:w="507" w:type="pct"/>
            <w:tcBorders>
              <w:top w:val="single" w:sz="4" w:space="0" w:color="BFBFBF" w:themeColor="background1" w:themeShade="BF"/>
              <w:bottom w:val="single" w:sz="4" w:space="0" w:color="BFBFBF" w:themeColor="background1" w:themeShade="BF"/>
            </w:tcBorders>
          </w:tcPr>
          <w:p w14:paraId="6C2F9226" w14:textId="77777777" w:rsidR="001A70B8" w:rsidRPr="002029AF" w:rsidRDefault="001A70B8" w:rsidP="00101E5D">
            <w:pPr>
              <w:pStyle w:val="ARtabletextright"/>
              <w:shd w:val="clear" w:color="auto" w:fill="FFFFFF" w:themeFill="background1"/>
            </w:pPr>
          </w:p>
        </w:tc>
        <w:tc>
          <w:tcPr>
            <w:tcW w:w="433" w:type="pct"/>
            <w:tcBorders>
              <w:top w:val="single" w:sz="4" w:space="0" w:color="BFBFBF" w:themeColor="background1" w:themeShade="BF"/>
              <w:bottom w:val="single" w:sz="4" w:space="0" w:color="BFBFBF" w:themeColor="background1" w:themeShade="BF"/>
            </w:tcBorders>
          </w:tcPr>
          <w:p w14:paraId="7806A839" w14:textId="77777777" w:rsidR="001A70B8" w:rsidRPr="002029AF" w:rsidRDefault="001A70B8" w:rsidP="00101E5D">
            <w:pPr>
              <w:pStyle w:val="ARtabletextright"/>
              <w:shd w:val="clear" w:color="auto" w:fill="FFFFFF" w:themeFill="background1"/>
            </w:pPr>
            <w:r>
              <w:t>128</w:t>
            </w:r>
          </w:p>
        </w:tc>
      </w:tr>
      <w:tr w:rsidR="001A70B8" w:rsidRPr="002029AF" w14:paraId="396106F1" w14:textId="77777777" w:rsidTr="00D429B0">
        <w:trPr>
          <w:cantSplit/>
        </w:trPr>
        <w:tc>
          <w:tcPr>
            <w:tcW w:w="1318" w:type="pct"/>
            <w:tcBorders>
              <w:top w:val="single" w:sz="4" w:space="0" w:color="BFBFBF" w:themeColor="background1" w:themeShade="BF"/>
              <w:bottom w:val="single" w:sz="4" w:space="0" w:color="BFBFBF" w:themeColor="background1" w:themeShade="BF"/>
            </w:tcBorders>
            <w:shd w:val="clear" w:color="auto" w:fill="auto"/>
          </w:tcPr>
          <w:p w14:paraId="22CF5142" w14:textId="77777777" w:rsidR="001A70B8" w:rsidRPr="00AF50BC" w:rsidRDefault="001A70B8" w:rsidP="00101E5D">
            <w:pPr>
              <w:pStyle w:val="ARtabletext"/>
              <w:shd w:val="clear" w:color="auto" w:fill="FFFFFF" w:themeFill="background1"/>
            </w:pPr>
            <w:r w:rsidRPr="00AF50BC">
              <w:t>$160,000–$179,999</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066D0BE0" w14:textId="77777777" w:rsidR="001A70B8" w:rsidRPr="002029AF" w:rsidRDefault="001A70B8" w:rsidP="00101E5D">
            <w:pPr>
              <w:pStyle w:val="ARtabletextright"/>
              <w:shd w:val="clear" w:color="auto" w:fill="FFFFFF" w:themeFill="background1"/>
              <w:rPr>
                <w:color w:val="000000" w:themeColor="text1"/>
                <w:vertAlign w:val="superscript"/>
              </w:rPr>
            </w:pPr>
          </w:p>
        </w:tc>
        <w:tc>
          <w:tcPr>
            <w:tcW w:w="506" w:type="pct"/>
            <w:tcBorders>
              <w:top w:val="single" w:sz="4" w:space="0" w:color="BFBFBF" w:themeColor="background1" w:themeShade="BF"/>
              <w:bottom w:val="single" w:sz="4" w:space="0" w:color="BFBFBF" w:themeColor="background1" w:themeShade="BF"/>
            </w:tcBorders>
            <w:shd w:val="clear" w:color="auto" w:fill="auto"/>
          </w:tcPr>
          <w:p w14:paraId="206D3B03"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10</w:t>
            </w:r>
          </w:p>
        </w:tc>
        <w:tc>
          <w:tcPr>
            <w:tcW w:w="428" w:type="pct"/>
            <w:tcBorders>
              <w:top w:val="single" w:sz="4" w:space="0" w:color="BFBFBF" w:themeColor="background1" w:themeShade="BF"/>
              <w:bottom w:val="single" w:sz="4" w:space="0" w:color="BFBFBF" w:themeColor="background1" w:themeShade="BF"/>
            </w:tcBorders>
            <w:shd w:val="clear" w:color="auto" w:fill="auto"/>
          </w:tcPr>
          <w:p w14:paraId="197DA321"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bottom w:val="single" w:sz="4" w:space="0" w:color="BFBFBF" w:themeColor="background1" w:themeShade="BF"/>
            </w:tcBorders>
          </w:tcPr>
          <w:p w14:paraId="03E7F5F2" w14:textId="77777777" w:rsidR="001A70B8" w:rsidRPr="002029AF" w:rsidRDefault="001A70B8" w:rsidP="00101E5D">
            <w:pPr>
              <w:pStyle w:val="ARtabletextright"/>
              <w:shd w:val="clear" w:color="auto" w:fill="FFFFFF" w:themeFill="background1"/>
            </w:pPr>
            <w:r>
              <w:t>3</w:t>
            </w:r>
            <w:r w:rsidRPr="50E7A32B">
              <w:rPr>
                <w:color w:val="000000" w:themeColor="text1"/>
                <w:vertAlign w:val="superscript"/>
              </w:rPr>
              <w:t>(</w:t>
            </w:r>
            <w:r w:rsidRPr="50E7A32B">
              <w:rPr>
                <w:rStyle w:val="FootnoteReference"/>
                <w:color w:val="000000" w:themeColor="text1"/>
              </w:rPr>
              <w:footnoteReference w:id="21"/>
            </w:r>
            <w:r w:rsidRPr="50E7A32B">
              <w:rPr>
                <w:color w:val="000000" w:themeColor="text1"/>
                <w:vertAlign w:val="superscript"/>
              </w:rPr>
              <w:t>)</w:t>
            </w:r>
          </w:p>
        </w:tc>
        <w:tc>
          <w:tcPr>
            <w:tcW w:w="507" w:type="pct"/>
            <w:tcBorders>
              <w:top w:val="single" w:sz="4" w:space="0" w:color="BFBFBF" w:themeColor="background1" w:themeShade="BF"/>
              <w:bottom w:val="single" w:sz="4" w:space="0" w:color="BFBFBF" w:themeColor="background1" w:themeShade="BF"/>
            </w:tcBorders>
          </w:tcPr>
          <w:p w14:paraId="74D2E6EE" w14:textId="77777777" w:rsidR="001A70B8" w:rsidRPr="002029AF" w:rsidRDefault="001A70B8" w:rsidP="00C27C9D">
            <w:pPr>
              <w:pStyle w:val="ARtabletextright"/>
              <w:shd w:val="clear" w:color="auto" w:fill="FFFFFF" w:themeFill="background1"/>
            </w:pPr>
          </w:p>
        </w:tc>
        <w:tc>
          <w:tcPr>
            <w:tcW w:w="433" w:type="pct"/>
            <w:tcBorders>
              <w:top w:val="single" w:sz="4" w:space="0" w:color="BFBFBF" w:themeColor="background1" w:themeShade="BF"/>
              <w:bottom w:val="single" w:sz="4" w:space="0" w:color="BFBFBF" w:themeColor="background1" w:themeShade="BF"/>
            </w:tcBorders>
          </w:tcPr>
          <w:p w14:paraId="59F22422" w14:textId="77777777" w:rsidR="001A70B8" w:rsidRPr="002029AF" w:rsidRDefault="001A70B8" w:rsidP="00101E5D">
            <w:pPr>
              <w:pStyle w:val="ARtabletextright"/>
              <w:shd w:val="clear" w:color="auto" w:fill="FFFFFF" w:themeFill="background1"/>
            </w:pPr>
            <w:r>
              <w:t>5</w:t>
            </w:r>
          </w:p>
        </w:tc>
      </w:tr>
      <w:tr w:rsidR="001A70B8" w:rsidRPr="002029AF" w14:paraId="6AF2FB37" w14:textId="77777777" w:rsidTr="00D429B0">
        <w:trPr>
          <w:cantSplit/>
        </w:trPr>
        <w:tc>
          <w:tcPr>
            <w:tcW w:w="1318" w:type="pct"/>
            <w:tcBorders>
              <w:top w:val="single" w:sz="4" w:space="0" w:color="BFBFBF" w:themeColor="background1" w:themeShade="BF"/>
              <w:bottom w:val="single" w:sz="4" w:space="0" w:color="BFBFBF" w:themeColor="background1" w:themeShade="BF"/>
            </w:tcBorders>
            <w:shd w:val="clear" w:color="auto" w:fill="auto"/>
          </w:tcPr>
          <w:p w14:paraId="5A54162E" w14:textId="77777777" w:rsidR="001A70B8" w:rsidRPr="00AF50BC" w:rsidRDefault="001A70B8" w:rsidP="00101E5D">
            <w:pPr>
              <w:pStyle w:val="ARtabletext"/>
              <w:shd w:val="clear" w:color="auto" w:fill="FFFFFF" w:themeFill="background1"/>
            </w:pPr>
            <w:r w:rsidRPr="00AF50BC">
              <w:t>$180,000–$199,999</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66E3B940" w14:textId="77777777" w:rsidR="001A70B8" w:rsidRPr="002029AF" w:rsidRDefault="001A70B8" w:rsidP="00101E5D">
            <w:pPr>
              <w:pStyle w:val="ARtabletextright"/>
              <w:shd w:val="clear" w:color="auto" w:fill="FFFFFF" w:themeFill="background1"/>
              <w:rPr>
                <w:color w:val="000000" w:themeColor="text1"/>
                <w:vertAlign w:val="superscript"/>
              </w:rPr>
            </w:pPr>
            <w:r>
              <w:rPr>
                <w:color w:val="000000" w:themeColor="text1"/>
              </w:rPr>
              <w:t>37</w:t>
            </w:r>
            <w:r w:rsidRPr="00500114">
              <w:rPr>
                <w:color w:val="000000" w:themeColor="text1"/>
                <w:vertAlign w:val="superscript"/>
              </w:rPr>
              <w:t>(</w:t>
            </w:r>
            <w:r>
              <w:rPr>
                <w:rStyle w:val="FootnoteReference"/>
                <w:color w:val="000000" w:themeColor="text1"/>
              </w:rPr>
              <w:footnoteReference w:id="22"/>
            </w:r>
            <w:r w:rsidRPr="00500114">
              <w:rPr>
                <w:color w:val="000000" w:themeColor="text1"/>
                <w:vertAlign w:val="superscript"/>
              </w:rPr>
              <w:t>)</w:t>
            </w:r>
          </w:p>
        </w:tc>
        <w:tc>
          <w:tcPr>
            <w:tcW w:w="506" w:type="pct"/>
            <w:tcBorders>
              <w:top w:val="single" w:sz="4" w:space="0" w:color="BFBFBF" w:themeColor="background1" w:themeShade="BF"/>
              <w:bottom w:val="single" w:sz="4" w:space="0" w:color="BFBFBF" w:themeColor="background1" w:themeShade="BF"/>
            </w:tcBorders>
            <w:shd w:val="clear" w:color="auto" w:fill="auto"/>
          </w:tcPr>
          <w:p w14:paraId="4946C496" w14:textId="77777777" w:rsidR="001A70B8" w:rsidRPr="002029AF" w:rsidRDefault="001A70B8" w:rsidP="00101E5D">
            <w:pPr>
              <w:pStyle w:val="ARtabletextright"/>
              <w:shd w:val="clear" w:color="auto" w:fill="FFFFFF" w:themeFill="background1"/>
              <w:rPr>
                <w:color w:val="000000" w:themeColor="text1"/>
              </w:rPr>
            </w:pPr>
            <w:r w:rsidRPr="238733A9">
              <w:rPr>
                <w:color w:val="000000" w:themeColor="text1"/>
              </w:rPr>
              <w:t>13</w:t>
            </w:r>
            <w:r>
              <w:rPr>
                <w:color w:val="000000" w:themeColor="text1"/>
                <w:vertAlign w:val="superscript"/>
              </w:rPr>
              <w:t xml:space="preserve"> </w:t>
            </w:r>
            <w:r w:rsidRPr="238733A9">
              <w:rPr>
                <w:color w:val="000000" w:themeColor="text1"/>
                <w:vertAlign w:val="superscript"/>
              </w:rPr>
              <w:t>(</w:t>
            </w:r>
            <w:r w:rsidRPr="238733A9">
              <w:rPr>
                <w:rStyle w:val="FootnoteReference"/>
                <w:color w:val="000000" w:themeColor="text1"/>
              </w:rPr>
              <w:footnoteReference w:id="23"/>
            </w:r>
            <w:r w:rsidRPr="238733A9">
              <w:rPr>
                <w:color w:val="000000" w:themeColor="text1"/>
                <w:vertAlign w:val="superscript"/>
              </w:rPr>
              <w:t>)</w:t>
            </w:r>
          </w:p>
        </w:tc>
        <w:tc>
          <w:tcPr>
            <w:tcW w:w="428" w:type="pct"/>
            <w:tcBorders>
              <w:top w:val="single" w:sz="4" w:space="0" w:color="BFBFBF" w:themeColor="background1" w:themeShade="BF"/>
              <w:bottom w:val="single" w:sz="4" w:space="0" w:color="BFBFBF" w:themeColor="background1" w:themeShade="BF"/>
            </w:tcBorders>
            <w:shd w:val="clear" w:color="auto" w:fill="auto"/>
          </w:tcPr>
          <w:p w14:paraId="3AF07D64"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bottom w:val="single" w:sz="4" w:space="0" w:color="BFBFBF" w:themeColor="background1" w:themeShade="BF"/>
            </w:tcBorders>
          </w:tcPr>
          <w:p w14:paraId="3707496F" w14:textId="77777777" w:rsidR="001A70B8" w:rsidRPr="002029AF" w:rsidRDefault="001A70B8" w:rsidP="00101E5D">
            <w:pPr>
              <w:pStyle w:val="ARtabletextright"/>
              <w:shd w:val="clear" w:color="auto" w:fill="FFFFFF" w:themeFill="background1"/>
              <w:rPr>
                <w:color w:val="000000" w:themeColor="text1"/>
              </w:rPr>
            </w:pPr>
          </w:p>
        </w:tc>
        <w:tc>
          <w:tcPr>
            <w:tcW w:w="507" w:type="pct"/>
            <w:tcBorders>
              <w:top w:val="single" w:sz="4" w:space="0" w:color="BFBFBF" w:themeColor="background1" w:themeShade="BF"/>
              <w:bottom w:val="single" w:sz="4" w:space="0" w:color="BFBFBF" w:themeColor="background1" w:themeShade="BF"/>
            </w:tcBorders>
          </w:tcPr>
          <w:p w14:paraId="2D98F494" w14:textId="77777777" w:rsidR="001A70B8" w:rsidRPr="002029AF" w:rsidRDefault="001A70B8" w:rsidP="00101E5D">
            <w:pPr>
              <w:pStyle w:val="ARtabletextright"/>
              <w:shd w:val="clear" w:color="auto" w:fill="FFFFFF" w:themeFill="background1"/>
            </w:pPr>
          </w:p>
        </w:tc>
        <w:tc>
          <w:tcPr>
            <w:tcW w:w="433" w:type="pct"/>
            <w:tcBorders>
              <w:top w:val="single" w:sz="4" w:space="0" w:color="BFBFBF" w:themeColor="background1" w:themeShade="BF"/>
              <w:bottom w:val="single" w:sz="4" w:space="0" w:color="BFBFBF" w:themeColor="background1" w:themeShade="BF"/>
            </w:tcBorders>
          </w:tcPr>
          <w:p w14:paraId="5FEB8FA8" w14:textId="77777777" w:rsidR="001A70B8" w:rsidRPr="002029AF" w:rsidRDefault="001A70B8" w:rsidP="00101E5D">
            <w:pPr>
              <w:pStyle w:val="ARtabletextright"/>
              <w:shd w:val="clear" w:color="auto" w:fill="FFFFFF" w:themeFill="background1"/>
            </w:pPr>
          </w:p>
        </w:tc>
      </w:tr>
      <w:tr w:rsidR="001A70B8" w:rsidRPr="002029AF" w14:paraId="49BD3A08" w14:textId="77777777" w:rsidTr="00D429B0">
        <w:trPr>
          <w:cantSplit/>
        </w:trPr>
        <w:tc>
          <w:tcPr>
            <w:tcW w:w="1318" w:type="pct"/>
            <w:tcBorders>
              <w:top w:val="single" w:sz="4" w:space="0" w:color="BFBFBF" w:themeColor="background1" w:themeShade="BF"/>
              <w:bottom w:val="single" w:sz="4" w:space="0" w:color="BFBFBF" w:themeColor="background1" w:themeShade="BF"/>
            </w:tcBorders>
            <w:shd w:val="clear" w:color="auto" w:fill="auto"/>
          </w:tcPr>
          <w:p w14:paraId="069C6F5C" w14:textId="77777777" w:rsidR="001A70B8" w:rsidRPr="00AF50BC" w:rsidRDefault="001A70B8" w:rsidP="00101E5D">
            <w:pPr>
              <w:pStyle w:val="ARtabletext"/>
              <w:shd w:val="clear" w:color="auto" w:fill="FFFFFF" w:themeFill="background1"/>
            </w:pPr>
            <w:r w:rsidRPr="00AF50BC">
              <w:t>$200,000–$219,999</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3A68D1FF" w14:textId="77777777" w:rsidR="001A70B8" w:rsidRPr="002029AF" w:rsidRDefault="001A70B8" w:rsidP="00101E5D">
            <w:pPr>
              <w:pStyle w:val="ARtabletextright"/>
              <w:shd w:val="clear" w:color="auto" w:fill="FFFFFF" w:themeFill="background1"/>
              <w:rPr>
                <w:color w:val="000000" w:themeColor="text1"/>
                <w:vertAlign w:val="superscript"/>
              </w:rPr>
            </w:pPr>
            <w:r>
              <w:rPr>
                <w:color w:val="000000" w:themeColor="text1"/>
              </w:rPr>
              <w:t>40</w:t>
            </w:r>
          </w:p>
        </w:tc>
        <w:tc>
          <w:tcPr>
            <w:tcW w:w="506" w:type="pct"/>
            <w:tcBorders>
              <w:top w:val="single" w:sz="4" w:space="0" w:color="BFBFBF" w:themeColor="background1" w:themeShade="BF"/>
              <w:bottom w:val="single" w:sz="4" w:space="0" w:color="BFBFBF" w:themeColor="background1" w:themeShade="BF"/>
            </w:tcBorders>
            <w:shd w:val="clear" w:color="auto" w:fill="auto"/>
          </w:tcPr>
          <w:p w14:paraId="624CF89B"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6</w:t>
            </w:r>
          </w:p>
        </w:tc>
        <w:tc>
          <w:tcPr>
            <w:tcW w:w="428" w:type="pct"/>
            <w:tcBorders>
              <w:top w:val="single" w:sz="4" w:space="0" w:color="BFBFBF" w:themeColor="background1" w:themeShade="BF"/>
              <w:bottom w:val="single" w:sz="4" w:space="0" w:color="BFBFBF" w:themeColor="background1" w:themeShade="BF"/>
            </w:tcBorders>
            <w:shd w:val="clear" w:color="auto" w:fill="auto"/>
          </w:tcPr>
          <w:p w14:paraId="3DEA2B66"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bottom w:val="single" w:sz="4" w:space="0" w:color="BFBFBF" w:themeColor="background1" w:themeShade="BF"/>
            </w:tcBorders>
          </w:tcPr>
          <w:p w14:paraId="5B8FC0C5"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1</w:t>
            </w:r>
          </w:p>
        </w:tc>
        <w:tc>
          <w:tcPr>
            <w:tcW w:w="507" w:type="pct"/>
            <w:tcBorders>
              <w:top w:val="single" w:sz="4" w:space="0" w:color="BFBFBF" w:themeColor="background1" w:themeShade="BF"/>
              <w:bottom w:val="single" w:sz="4" w:space="0" w:color="BFBFBF" w:themeColor="background1" w:themeShade="BF"/>
            </w:tcBorders>
          </w:tcPr>
          <w:p w14:paraId="34E321CE" w14:textId="77777777" w:rsidR="001A70B8" w:rsidRPr="002029AF" w:rsidRDefault="001A70B8" w:rsidP="00101E5D">
            <w:pPr>
              <w:pStyle w:val="ARtabletextright"/>
              <w:shd w:val="clear" w:color="auto" w:fill="FFFFFF" w:themeFill="background1"/>
            </w:pPr>
          </w:p>
        </w:tc>
        <w:tc>
          <w:tcPr>
            <w:tcW w:w="433" w:type="pct"/>
            <w:tcBorders>
              <w:top w:val="single" w:sz="4" w:space="0" w:color="BFBFBF" w:themeColor="background1" w:themeShade="BF"/>
              <w:bottom w:val="single" w:sz="4" w:space="0" w:color="BFBFBF" w:themeColor="background1" w:themeShade="BF"/>
            </w:tcBorders>
          </w:tcPr>
          <w:p w14:paraId="0894A652" w14:textId="77777777" w:rsidR="001A70B8" w:rsidRPr="002029AF" w:rsidRDefault="001A70B8" w:rsidP="00101E5D">
            <w:pPr>
              <w:pStyle w:val="ARtabletextright"/>
              <w:shd w:val="clear" w:color="auto" w:fill="FFFFFF" w:themeFill="background1"/>
            </w:pPr>
          </w:p>
        </w:tc>
      </w:tr>
      <w:tr w:rsidR="001A70B8" w:rsidRPr="002029AF" w14:paraId="3F75915C" w14:textId="77777777" w:rsidTr="00D429B0">
        <w:trPr>
          <w:cantSplit/>
        </w:trPr>
        <w:tc>
          <w:tcPr>
            <w:tcW w:w="1318" w:type="pct"/>
            <w:tcBorders>
              <w:top w:val="single" w:sz="4" w:space="0" w:color="BFBFBF" w:themeColor="background1" w:themeShade="BF"/>
              <w:bottom w:val="single" w:sz="4" w:space="0" w:color="BFBFBF" w:themeColor="background1" w:themeShade="BF"/>
            </w:tcBorders>
            <w:shd w:val="clear" w:color="auto" w:fill="auto"/>
          </w:tcPr>
          <w:p w14:paraId="7B681F1E" w14:textId="77777777" w:rsidR="001A70B8" w:rsidRPr="00AF50BC" w:rsidRDefault="001A70B8" w:rsidP="00101E5D">
            <w:pPr>
              <w:pStyle w:val="ARtabletext"/>
              <w:shd w:val="clear" w:color="auto" w:fill="FFFFFF" w:themeFill="background1"/>
            </w:pPr>
            <w:r w:rsidRPr="00AF50BC">
              <w:t>$220,000–$239,999</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647EB669"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30</w:t>
            </w:r>
          </w:p>
        </w:tc>
        <w:tc>
          <w:tcPr>
            <w:tcW w:w="506" w:type="pct"/>
            <w:tcBorders>
              <w:top w:val="single" w:sz="4" w:space="0" w:color="BFBFBF" w:themeColor="background1" w:themeShade="BF"/>
              <w:bottom w:val="single" w:sz="4" w:space="0" w:color="BFBFBF" w:themeColor="background1" w:themeShade="BF"/>
            </w:tcBorders>
            <w:shd w:val="clear" w:color="auto" w:fill="auto"/>
          </w:tcPr>
          <w:p w14:paraId="6C28C55D"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2</w:t>
            </w:r>
          </w:p>
        </w:tc>
        <w:tc>
          <w:tcPr>
            <w:tcW w:w="428" w:type="pct"/>
            <w:tcBorders>
              <w:top w:val="single" w:sz="4" w:space="0" w:color="BFBFBF" w:themeColor="background1" w:themeShade="BF"/>
              <w:bottom w:val="single" w:sz="4" w:space="0" w:color="BFBFBF" w:themeColor="background1" w:themeShade="BF"/>
            </w:tcBorders>
            <w:shd w:val="clear" w:color="auto" w:fill="auto"/>
          </w:tcPr>
          <w:p w14:paraId="73287E36"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bottom w:val="single" w:sz="4" w:space="0" w:color="BFBFBF" w:themeColor="background1" w:themeShade="BF"/>
            </w:tcBorders>
          </w:tcPr>
          <w:p w14:paraId="737EE05D"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1</w:t>
            </w:r>
          </w:p>
        </w:tc>
        <w:tc>
          <w:tcPr>
            <w:tcW w:w="507" w:type="pct"/>
            <w:tcBorders>
              <w:top w:val="single" w:sz="4" w:space="0" w:color="BFBFBF" w:themeColor="background1" w:themeShade="BF"/>
              <w:bottom w:val="single" w:sz="4" w:space="0" w:color="BFBFBF" w:themeColor="background1" w:themeShade="BF"/>
            </w:tcBorders>
          </w:tcPr>
          <w:p w14:paraId="65724EA3" w14:textId="77777777" w:rsidR="001A70B8" w:rsidRPr="002029AF" w:rsidRDefault="001A70B8" w:rsidP="00101E5D">
            <w:pPr>
              <w:pStyle w:val="ARtabletextright"/>
              <w:shd w:val="clear" w:color="auto" w:fill="FFFFFF" w:themeFill="background1"/>
            </w:pPr>
          </w:p>
        </w:tc>
        <w:tc>
          <w:tcPr>
            <w:tcW w:w="433" w:type="pct"/>
            <w:tcBorders>
              <w:top w:val="single" w:sz="4" w:space="0" w:color="BFBFBF" w:themeColor="background1" w:themeShade="BF"/>
              <w:bottom w:val="single" w:sz="4" w:space="0" w:color="BFBFBF" w:themeColor="background1" w:themeShade="BF"/>
            </w:tcBorders>
          </w:tcPr>
          <w:p w14:paraId="6D3FB0FB" w14:textId="77777777" w:rsidR="001A70B8" w:rsidRPr="002029AF" w:rsidRDefault="001A70B8" w:rsidP="00101E5D">
            <w:pPr>
              <w:pStyle w:val="ARtabletextright"/>
              <w:shd w:val="clear" w:color="auto" w:fill="FFFFFF" w:themeFill="background1"/>
            </w:pPr>
          </w:p>
        </w:tc>
      </w:tr>
      <w:tr w:rsidR="001A70B8" w:rsidRPr="002029AF" w14:paraId="35EACAF9" w14:textId="77777777" w:rsidTr="00D429B0">
        <w:trPr>
          <w:cantSplit/>
        </w:trPr>
        <w:tc>
          <w:tcPr>
            <w:tcW w:w="1318" w:type="pct"/>
            <w:tcBorders>
              <w:top w:val="single" w:sz="4" w:space="0" w:color="BFBFBF" w:themeColor="background1" w:themeShade="BF"/>
              <w:bottom w:val="single" w:sz="4" w:space="0" w:color="BFBFBF" w:themeColor="background1" w:themeShade="BF"/>
            </w:tcBorders>
            <w:shd w:val="clear" w:color="auto" w:fill="auto"/>
          </w:tcPr>
          <w:p w14:paraId="1C5639C9" w14:textId="77777777" w:rsidR="001A70B8" w:rsidRPr="00AF50BC" w:rsidRDefault="001A70B8" w:rsidP="00101E5D">
            <w:pPr>
              <w:pStyle w:val="ARtabletext"/>
              <w:shd w:val="clear" w:color="auto" w:fill="FFFFFF" w:themeFill="background1"/>
            </w:pPr>
            <w:r w:rsidRPr="00AF50BC">
              <w:t>$240,000–$259,999</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32F392D0" w14:textId="77777777" w:rsidR="001A70B8" w:rsidRPr="002029AF" w:rsidRDefault="001A70B8" w:rsidP="00101E5D">
            <w:pPr>
              <w:pStyle w:val="ARtabletextright"/>
              <w:shd w:val="clear" w:color="auto" w:fill="FFFFFF" w:themeFill="background1"/>
              <w:rPr>
                <w:color w:val="000000" w:themeColor="text1"/>
                <w:vertAlign w:val="superscript"/>
              </w:rPr>
            </w:pPr>
            <w:r w:rsidRPr="722C2731">
              <w:rPr>
                <w:color w:val="000000" w:themeColor="text1"/>
              </w:rPr>
              <w:t>31</w:t>
            </w:r>
            <w:r w:rsidRPr="722C2731">
              <w:rPr>
                <w:color w:val="000000" w:themeColor="text1"/>
                <w:vertAlign w:val="superscript"/>
              </w:rPr>
              <w:t>(</w:t>
            </w:r>
            <w:r w:rsidRPr="722C2731">
              <w:rPr>
                <w:rStyle w:val="FootnoteReference"/>
                <w:color w:val="000000" w:themeColor="text1"/>
              </w:rPr>
              <w:footnoteReference w:id="24"/>
            </w:r>
            <w:r w:rsidRPr="722C2731">
              <w:rPr>
                <w:color w:val="000000" w:themeColor="text1"/>
                <w:vertAlign w:val="superscript"/>
              </w:rPr>
              <w:t>)</w:t>
            </w:r>
          </w:p>
        </w:tc>
        <w:tc>
          <w:tcPr>
            <w:tcW w:w="506" w:type="pct"/>
            <w:tcBorders>
              <w:top w:val="single" w:sz="4" w:space="0" w:color="BFBFBF" w:themeColor="background1" w:themeShade="BF"/>
              <w:bottom w:val="single" w:sz="4" w:space="0" w:color="BFBFBF" w:themeColor="background1" w:themeShade="BF"/>
            </w:tcBorders>
            <w:shd w:val="clear" w:color="auto" w:fill="auto"/>
          </w:tcPr>
          <w:p w14:paraId="4553F148" w14:textId="77777777" w:rsidR="001A70B8" w:rsidRPr="002029AF" w:rsidRDefault="001A70B8" w:rsidP="00101E5D">
            <w:pPr>
              <w:pStyle w:val="ARtabletextright"/>
              <w:shd w:val="clear" w:color="auto" w:fill="FFFFFF" w:themeFill="background1"/>
              <w:rPr>
                <w:color w:val="000000" w:themeColor="text1"/>
              </w:rPr>
            </w:pPr>
          </w:p>
        </w:tc>
        <w:tc>
          <w:tcPr>
            <w:tcW w:w="428" w:type="pct"/>
            <w:tcBorders>
              <w:top w:val="single" w:sz="4" w:space="0" w:color="BFBFBF" w:themeColor="background1" w:themeShade="BF"/>
              <w:bottom w:val="single" w:sz="4" w:space="0" w:color="BFBFBF" w:themeColor="background1" w:themeShade="BF"/>
            </w:tcBorders>
            <w:shd w:val="clear" w:color="auto" w:fill="auto"/>
          </w:tcPr>
          <w:p w14:paraId="405C2814"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bottom w:val="single" w:sz="4" w:space="0" w:color="BFBFBF" w:themeColor="background1" w:themeShade="BF"/>
            </w:tcBorders>
          </w:tcPr>
          <w:p w14:paraId="2A7A67B3"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1</w:t>
            </w:r>
          </w:p>
        </w:tc>
        <w:tc>
          <w:tcPr>
            <w:tcW w:w="507" w:type="pct"/>
            <w:tcBorders>
              <w:top w:val="single" w:sz="4" w:space="0" w:color="BFBFBF" w:themeColor="background1" w:themeShade="BF"/>
              <w:bottom w:val="single" w:sz="4" w:space="0" w:color="BFBFBF" w:themeColor="background1" w:themeShade="BF"/>
            </w:tcBorders>
          </w:tcPr>
          <w:p w14:paraId="34E90F1A" w14:textId="77777777" w:rsidR="001A70B8" w:rsidRPr="002029AF" w:rsidRDefault="001A70B8" w:rsidP="00101E5D">
            <w:pPr>
              <w:pStyle w:val="ARtabletextright"/>
              <w:shd w:val="clear" w:color="auto" w:fill="FFFFFF" w:themeFill="background1"/>
            </w:pPr>
          </w:p>
        </w:tc>
        <w:tc>
          <w:tcPr>
            <w:tcW w:w="433" w:type="pct"/>
            <w:tcBorders>
              <w:top w:val="single" w:sz="4" w:space="0" w:color="BFBFBF" w:themeColor="background1" w:themeShade="BF"/>
              <w:bottom w:val="single" w:sz="4" w:space="0" w:color="BFBFBF" w:themeColor="background1" w:themeShade="BF"/>
            </w:tcBorders>
          </w:tcPr>
          <w:p w14:paraId="6BF52073" w14:textId="77777777" w:rsidR="001A70B8" w:rsidRPr="002029AF" w:rsidRDefault="001A70B8" w:rsidP="00101E5D">
            <w:pPr>
              <w:pStyle w:val="ARtabletextright"/>
              <w:shd w:val="clear" w:color="auto" w:fill="FFFFFF" w:themeFill="background1"/>
            </w:pPr>
          </w:p>
        </w:tc>
      </w:tr>
      <w:tr w:rsidR="001A70B8" w:rsidRPr="002029AF" w14:paraId="453E213F" w14:textId="77777777" w:rsidTr="00D429B0">
        <w:trPr>
          <w:cantSplit/>
        </w:trPr>
        <w:tc>
          <w:tcPr>
            <w:tcW w:w="1318" w:type="pct"/>
            <w:tcBorders>
              <w:top w:val="single" w:sz="4" w:space="0" w:color="BFBFBF" w:themeColor="background1" w:themeShade="BF"/>
              <w:bottom w:val="single" w:sz="4" w:space="0" w:color="BFBFBF" w:themeColor="background1" w:themeShade="BF"/>
            </w:tcBorders>
            <w:shd w:val="clear" w:color="auto" w:fill="auto"/>
          </w:tcPr>
          <w:p w14:paraId="0B797B37" w14:textId="77777777" w:rsidR="001A70B8" w:rsidRPr="00AF50BC" w:rsidRDefault="001A70B8" w:rsidP="00101E5D">
            <w:pPr>
              <w:pStyle w:val="ARtabletext"/>
              <w:shd w:val="clear" w:color="auto" w:fill="FFFFFF" w:themeFill="background1"/>
            </w:pPr>
            <w:r w:rsidRPr="00AF50BC">
              <w:t>$260,000–$279,999</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4E78AEC4" w14:textId="77777777" w:rsidR="001A70B8" w:rsidRPr="002029AF" w:rsidRDefault="001A70B8" w:rsidP="00101E5D">
            <w:pPr>
              <w:pStyle w:val="ARtabletextright"/>
              <w:shd w:val="clear" w:color="auto" w:fill="FFFFFF" w:themeFill="background1"/>
              <w:rPr>
                <w:color w:val="000000" w:themeColor="text1"/>
                <w:vertAlign w:val="superscript"/>
              </w:rPr>
            </w:pPr>
            <w:r w:rsidRPr="722C2731">
              <w:rPr>
                <w:color w:val="000000" w:themeColor="text1"/>
              </w:rPr>
              <w:t>11</w:t>
            </w:r>
            <w:r w:rsidRPr="722C2731">
              <w:rPr>
                <w:color w:val="000000" w:themeColor="text1"/>
                <w:vertAlign w:val="superscript"/>
              </w:rPr>
              <w:t>(</w:t>
            </w:r>
            <w:r w:rsidRPr="722C2731">
              <w:rPr>
                <w:rStyle w:val="FootnoteReference"/>
                <w:color w:val="000000" w:themeColor="text1"/>
              </w:rPr>
              <w:footnoteReference w:id="25"/>
            </w:r>
            <w:r w:rsidRPr="722C2731">
              <w:rPr>
                <w:color w:val="000000" w:themeColor="text1"/>
                <w:vertAlign w:val="superscript"/>
              </w:rPr>
              <w:t>)</w:t>
            </w:r>
          </w:p>
        </w:tc>
        <w:tc>
          <w:tcPr>
            <w:tcW w:w="506" w:type="pct"/>
            <w:tcBorders>
              <w:top w:val="single" w:sz="4" w:space="0" w:color="BFBFBF" w:themeColor="background1" w:themeShade="BF"/>
              <w:bottom w:val="single" w:sz="4" w:space="0" w:color="BFBFBF" w:themeColor="background1" w:themeShade="BF"/>
            </w:tcBorders>
            <w:shd w:val="clear" w:color="auto" w:fill="auto"/>
          </w:tcPr>
          <w:p w14:paraId="06D5817A" w14:textId="77777777" w:rsidR="001A70B8" w:rsidRPr="002029AF" w:rsidRDefault="001A70B8" w:rsidP="00101E5D">
            <w:pPr>
              <w:pStyle w:val="ARtabletextright"/>
              <w:shd w:val="clear" w:color="auto" w:fill="FFFFFF" w:themeFill="background1"/>
              <w:rPr>
                <w:color w:val="000000" w:themeColor="text1"/>
              </w:rPr>
            </w:pPr>
          </w:p>
        </w:tc>
        <w:tc>
          <w:tcPr>
            <w:tcW w:w="428" w:type="pct"/>
            <w:tcBorders>
              <w:top w:val="single" w:sz="4" w:space="0" w:color="BFBFBF" w:themeColor="background1" w:themeShade="BF"/>
              <w:bottom w:val="single" w:sz="4" w:space="0" w:color="BFBFBF" w:themeColor="background1" w:themeShade="BF"/>
            </w:tcBorders>
            <w:shd w:val="clear" w:color="auto" w:fill="auto"/>
          </w:tcPr>
          <w:p w14:paraId="47D4EADB"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bottom w:val="single" w:sz="4" w:space="0" w:color="BFBFBF" w:themeColor="background1" w:themeShade="BF"/>
            </w:tcBorders>
          </w:tcPr>
          <w:p w14:paraId="4E429C9D" w14:textId="77777777" w:rsidR="001A70B8" w:rsidRPr="002029AF" w:rsidRDefault="001A70B8" w:rsidP="00101E5D">
            <w:pPr>
              <w:pStyle w:val="ARtabletextright"/>
              <w:shd w:val="clear" w:color="auto" w:fill="FFFFFF" w:themeFill="background1"/>
              <w:rPr>
                <w:color w:val="000000" w:themeColor="text1"/>
                <w:vertAlign w:val="superscript"/>
              </w:rPr>
            </w:pPr>
          </w:p>
        </w:tc>
        <w:tc>
          <w:tcPr>
            <w:tcW w:w="507" w:type="pct"/>
            <w:tcBorders>
              <w:top w:val="single" w:sz="4" w:space="0" w:color="BFBFBF" w:themeColor="background1" w:themeShade="BF"/>
              <w:bottom w:val="single" w:sz="4" w:space="0" w:color="BFBFBF" w:themeColor="background1" w:themeShade="BF"/>
            </w:tcBorders>
          </w:tcPr>
          <w:p w14:paraId="6C7F10B1" w14:textId="77777777" w:rsidR="001A70B8" w:rsidRPr="002029AF" w:rsidRDefault="001A70B8" w:rsidP="00101E5D">
            <w:pPr>
              <w:pStyle w:val="ARtabletextright"/>
              <w:shd w:val="clear" w:color="auto" w:fill="FFFFFF" w:themeFill="background1"/>
            </w:pPr>
          </w:p>
        </w:tc>
        <w:tc>
          <w:tcPr>
            <w:tcW w:w="433" w:type="pct"/>
            <w:tcBorders>
              <w:top w:val="single" w:sz="4" w:space="0" w:color="BFBFBF" w:themeColor="background1" w:themeShade="BF"/>
              <w:bottom w:val="single" w:sz="4" w:space="0" w:color="BFBFBF" w:themeColor="background1" w:themeShade="BF"/>
            </w:tcBorders>
          </w:tcPr>
          <w:p w14:paraId="61B05873" w14:textId="77777777" w:rsidR="001A70B8" w:rsidRPr="002029AF" w:rsidRDefault="001A70B8" w:rsidP="00101E5D">
            <w:pPr>
              <w:pStyle w:val="ARtabletextright"/>
              <w:shd w:val="clear" w:color="auto" w:fill="FFFFFF" w:themeFill="background1"/>
            </w:pPr>
          </w:p>
        </w:tc>
      </w:tr>
      <w:tr w:rsidR="001A70B8" w:rsidRPr="002029AF" w14:paraId="6AF616BA" w14:textId="77777777" w:rsidTr="00D429B0">
        <w:trPr>
          <w:cantSplit/>
        </w:trPr>
        <w:tc>
          <w:tcPr>
            <w:tcW w:w="1318" w:type="pct"/>
            <w:tcBorders>
              <w:top w:val="single" w:sz="4" w:space="0" w:color="BFBFBF" w:themeColor="background1" w:themeShade="BF"/>
              <w:bottom w:val="single" w:sz="4" w:space="0" w:color="BFBFBF" w:themeColor="background1" w:themeShade="BF"/>
            </w:tcBorders>
            <w:shd w:val="clear" w:color="auto" w:fill="auto"/>
          </w:tcPr>
          <w:p w14:paraId="7B8E562F" w14:textId="77777777" w:rsidR="001A70B8" w:rsidRPr="00AF50BC" w:rsidRDefault="001A70B8" w:rsidP="00101E5D">
            <w:pPr>
              <w:pStyle w:val="ARtabletext"/>
              <w:shd w:val="clear" w:color="auto" w:fill="FFFFFF" w:themeFill="background1"/>
            </w:pPr>
            <w:r w:rsidRPr="00AF50BC">
              <w:t>$280,000–$299,999</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1E8D4349" w14:textId="77777777" w:rsidR="001A70B8" w:rsidRPr="002029AF" w:rsidRDefault="001A70B8" w:rsidP="00101E5D">
            <w:pPr>
              <w:pStyle w:val="ARtabletextright"/>
              <w:shd w:val="clear" w:color="auto" w:fill="FFFFFF" w:themeFill="background1"/>
              <w:rPr>
                <w:color w:val="000000" w:themeColor="text1"/>
                <w:vertAlign w:val="superscript"/>
              </w:rPr>
            </w:pPr>
            <w:r>
              <w:rPr>
                <w:color w:val="000000" w:themeColor="text1"/>
              </w:rPr>
              <w:t>12</w:t>
            </w:r>
            <w:r w:rsidRPr="722C2731">
              <w:rPr>
                <w:color w:val="000000" w:themeColor="text1"/>
                <w:vertAlign w:val="superscript"/>
              </w:rPr>
              <w:t>(</w:t>
            </w:r>
            <w:r w:rsidRPr="722C2731">
              <w:rPr>
                <w:rStyle w:val="FootnoteReference"/>
                <w:color w:val="000000" w:themeColor="text1"/>
              </w:rPr>
              <w:footnoteReference w:id="26"/>
            </w:r>
            <w:r w:rsidRPr="722C2731">
              <w:rPr>
                <w:color w:val="000000" w:themeColor="text1"/>
                <w:vertAlign w:val="superscript"/>
              </w:rPr>
              <w:t>)</w:t>
            </w:r>
          </w:p>
        </w:tc>
        <w:tc>
          <w:tcPr>
            <w:tcW w:w="506" w:type="pct"/>
            <w:tcBorders>
              <w:top w:val="single" w:sz="4" w:space="0" w:color="BFBFBF" w:themeColor="background1" w:themeShade="BF"/>
              <w:bottom w:val="single" w:sz="4" w:space="0" w:color="BFBFBF" w:themeColor="background1" w:themeShade="BF"/>
            </w:tcBorders>
            <w:shd w:val="clear" w:color="auto" w:fill="auto"/>
          </w:tcPr>
          <w:p w14:paraId="2C5B04E3" w14:textId="77777777" w:rsidR="001A70B8" w:rsidRPr="002029AF" w:rsidRDefault="001A70B8" w:rsidP="00101E5D">
            <w:pPr>
              <w:pStyle w:val="ARtabletextright"/>
              <w:shd w:val="clear" w:color="auto" w:fill="FFFFFF" w:themeFill="background1"/>
              <w:rPr>
                <w:color w:val="000000" w:themeColor="text1"/>
              </w:rPr>
            </w:pPr>
          </w:p>
        </w:tc>
        <w:tc>
          <w:tcPr>
            <w:tcW w:w="428" w:type="pct"/>
            <w:tcBorders>
              <w:top w:val="single" w:sz="4" w:space="0" w:color="BFBFBF" w:themeColor="background1" w:themeShade="BF"/>
              <w:bottom w:val="single" w:sz="4" w:space="0" w:color="BFBFBF" w:themeColor="background1" w:themeShade="BF"/>
            </w:tcBorders>
            <w:shd w:val="clear" w:color="auto" w:fill="auto"/>
          </w:tcPr>
          <w:p w14:paraId="3AD7493D"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bottom w:val="single" w:sz="4" w:space="0" w:color="BFBFBF" w:themeColor="background1" w:themeShade="BF"/>
            </w:tcBorders>
          </w:tcPr>
          <w:p w14:paraId="70217BA7" w14:textId="77777777" w:rsidR="001A70B8" w:rsidRPr="002029AF" w:rsidRDefault="001A70B8" w:rsidP="00101E5D">
            <w:pPr>
              <w:pStyle w:val="ARtabletextright"/>
              <w:shd w:val="clear" w:color="auto" w:fill="FFFFFF" w:themeFill="background1"/>
              <w:rPr>
                <w:color w:val="000000" w:themeColor="text1"/>
                <w:vertAlign w:val="superscript"/>
              </w:rPr>
            </w:pPr>
          </w:p>
        </w:tc>
        <w:tc>
          <w:tcPr>
            <w:tcW w:w="507" w:type="pct"/>
            <w:tcBorders>
              <w:top w:val="single" w:sz="4" w:space="0" w:color="BFBFBF" w:themeColor="background1" w:themeShade="BF"/>
              <w:bottom w:val="single" w:sz="4" w:space="0" w:color="BFBFBF" w:themeColor="background1" w:themeShade="BF"/>
            </w:tcBorders>
          </w:tcPr>
          <w:p w14:paraId="4F91B558" w14:textId="77777777" w:rsidR="001A70B8" w:rsidRPr="002029AF" w:rsidRDefault="001A70B8" w:rsidP="00101E5D">
            <w:pPr>
              <w:pStyle w:val="ARtabletextright"/>
              <w:shd w:val="clear" w:color="auto" w:fill="FFFFFF" w:themeFill="background1"/>
            </w:pPr>
          </w:p>
        </w:tc>
        <w:tc>
          <w:tcPr>
            <w:tcW w:w="433" w:type="pct"/>
            <w:tcBorders>
              <w:top w:val="single" w:sz="4" w:space="0" w:color="BFBFBF" w:themeColor="background1" w:themeShade="BF"/>
              <w:bottom w:val="single" w:sz="4" w:space="0" w:color="BFBFBF" w:themeColor="background1" w:themeShade="BF"/>
            </w:tcBorders>
          </w:tcPr>
          <w:p w14:paraId="23E6DE97" w14:textId="77777777" w:rsidR="001A70B8" w:rsidRPr="002029AF" w:rsidRDefault="001A70B8" w:rsidP="00101E5D">
            <w:pPr>
              <w:pStyle w:val="ARtabletextright"/>
              <w:shd w:val="clear" w:color="auto" w:fill="FFFFFF" w:themeFill="background1"/>
            </w:pPr>
          </w:p>
        </w:tc>
      </w:tr>
      <w:tr w:rsidR="001A70B8" w:rsidRPr="002029AF" w14:paraId="65852451" w14:textId="77777777" w:rsidTr="00D429B0">
        <w:trPr>
          <w:cantSplit/>
        </w:trPr>
        <w:tc>
          <w:tcPr>
            <w:tcW w:w="1318" w:type="pct"/>
            <w:tcBorders>
              <w:top w:val="single" w:sz="4" w:space="0" w:color="BFBFBF" w:themeColor="background1" w:themeShade="BF"/>
              <w:bottom w:val="single" w:sz="4" w:space="0" w:color="BFBFBF" w:themeColor="background1" w:themeShade="BF"/>
            </w:tcBorders>
            <w:shd w:val="clear" w:color="auto" w:fill="auto"/>
          </w:tcPr>
          <w:p w14:paraId="7DD2CF88" w14:textId="77777777" w:rsidR="001A70B8" w:rsidRPr="00AF50BC" w:rsidRDefault="001A70B8" w:rsidP="00101E5D">
            <w:pPr>
              <w:pStyle w:val="ARtabletext"/>
              <w:shd w:val="clear" w:color="auto" w:fill="FFFFFF" w:themeFill="background1"/>
            </w:pPr>
            <w:r w:rsidRPr="00AF50BC">
              <w:t>$300,000–$319,999</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1B709F40" w14:textId="77777777" w:rsidR="001A70B8" w:rsidRPr="002029AF" w:rsidRDefault="001A70B8" w:rsidP="00101E5D">
            <w:pPr>
              <w:pStyle w:val="ARtabletextright"/>
              <w:shd w:val="clear" w:color="auto" w:fill="FFFFFF" w:themeFill="background1"/>
              <w:rPr>
                <w:color w:val="000000" w:themeColor="text1"/>
              </w:rPr>
            </w:pPr>
            <w:r w:rsidRPr="50E7A32B">
              <w:rPr>
                <w:color w:val="000000" w:themeColor="text1"/>
              </w:rPr>
              <w:t>6</w:t>
            </w:r>
          </w:p>
        </w:tc>
        <w:tc>
          <w:tcPr>
            <w:tcW w:w="506" w:type="pct"/>
            <w:tcBorders>
              <w:top w:val="single" w:sz="4" w:space="0" w:color="BFBFBF" w:themeColor="background1" w:themeShade="BF"/>
              <w:bottom w:val="single" w:sz="4" w:space="0" w:color="BFBFBF" w:themeColor="background1" w:themeShade="BF"/>
            </w:tcBorders>
            <w:shd w:val="clear" w:color="auto" w:fill="auto"/>
          </w:tcPr>
          <w:p w14:paraId="4A9A240E" w14:textId="77777777" w:rsidR="001A70B8" w:rsidRPr="002029AF" w:rsidRDefault="001A70B8" w:rsidP="00101E5D">
            <w:pPr>
              <w:pStyle w:val="ARtabletextright"/>
              <w:shd w:val="clear" w:color="auto" w:fill="FFFFFF" w:themeFill="background1"/>
              <w:rPr>
                <w:color w:val="000000" w:themeColor="text1"/>
              </w:rPr>
            </w:pPr>
          </w:p>
        </w:tc>
        <w:tc>
          <w:tcPr>
            <w:tcW w:w="428" w:type="pct"/>
            <w:tcBorders>
              <w:top w:val="single" w:sz="4" w:space="0" w:color="BFBFBF" w:themeColor="background1" w:themeShade="BF"/>
              <w:bottom w:val="single" w:sz="4" w:space="0" w:color="BFBFBF" w:themeColor="background1" w:themeShade="BF"/>
            </w:tcBorders>
            <w:shd w:val="clear" w:color="auto" w:fill="auto"/>
          </w:tcPr>
          <w:p w14:paraId="166603B5"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bottom w:val="single" w:sz="4" w:space="0" w:color="BFBFBF" w:themeColor="background1" w:themeShade="BF"/>
            </w:tcBorders>
          </w:tcPr>
          <w:p w14:paraId="62A8E954" w14:textId="77777777" w:rsidR="001A70B8" w:rsidRPr="002029AF" w:rsidRDefault="001A70B8" w:rsidP="00101E5D">
            <w:pPr>
              <w:pStyle w:val="ARtabletextright"/>
              <w:shd w:val="clear" w:color="auto" w:fill="FFFFFF" w:themeFill="background1"/>
              <w:rPr>
                <w:color w:val="000000" w:themeColor="text1"/>
              </w:rPr>
            </w:pPr>
          </w:p>
        </w:tc>
        <w:tc>
          <w:tcPr>
            <w:tcW w:w="507" w:type="pct"/>
            <w:tcBorders>
              <w:top w:val="single" w:sz="4" w:space="0" w:color="BFBFBF" w:themeColor="background1" w:themeShade="BF"/>
              <w:bottom w:val="single" w:sz="4" w:space="0" w:color="BFBFBF" w:themeColor="background1" w:themeShade="BF"/>
            </w:tcBorders>
          </w:tcPr>
          <w:p w14:paraId="050C2CA9" w14:textId="77777777" w:rsidR="001A70B8" w:rsidRPr="002029AF" w:rsidRDefault="001A70B8" w:rsidP="00101E5D">
            <w:pPr>
              <w:pStyle w:val="ARtabletextright"/>
              <w:shd w:val="clear" w:color="auto" w:fill="FFFFFF" w:themeFill="background1"/>
            </w:pPr>
          </w:p>
        </w:tc>
        <w:tc>
          <w:tcPr>
            <w:tcW w:w="433" w:type="pct"/>
            <w:tcBorders>
              <w:top w:val="single" w:sz="4" w:space="0" w:color="BFBFBF" w:themeColor="background1" w:themeShade="BF"/>
              <w:bottom w:val="single" w:sz="4" w:space="0" w:color="BFBFBF" w:themeColor="background1" w:themeShade="BF"/>
            </w:tcBorders>
          </w:tcPr>
          <w:p w14:paraId="3F1A0D83" w14:textId="77777777" w:rsidR="001A70B8" w:rsidRPr="002029AF" w:rsidRDefault="001A70B8" w:rsidP="00101E5D">
            <w:pPr>
              <w:pStyle w:val="ARtabletextright"/>
              <w:shd w:val="clear" w:color="auto" w:fill="FFFFFF" w:themeFill="background1"/>
            </w:pPr>
          </w:p>
        </w:tc>
      </w:tr>
      <w:tr w:rsidR="001A70B8" w:rsidRPr="002029AF" w14:paraId="41468F12" w14:textId="77777777" w:rsidTr="00D429B0">
        <w:trPr>
          <w:cantSplit/>
        </w:trPr>
        <w:tc>
          <w:tcPr>
            <w:tcW w:w="1318" w:type="pct"/>
            <w:tcBorders>
              <w:top w:val="single" w:sz="4" w:space="0" w:color="BFBFBF" w:themeColor="background1" w:themeShade="BF"/>
              <w:bottom w:val="single" w:sz="4" w:space="0" w:color="BFBFBF" w:themeColor="background1" w:themeShade="BF"/>
            </w:tcBorders>
            <w:shd w:val="clear" w:color="auto" w:fill="auto"/>
          </w:tcPr>
          <w:p w14:paraId="3FCF2D70" w14:textId="77777777" w:rsidR="001A70B8" w:rsidRPr="00AF50BC" w:rsidRDefault="001A70B8" w:rsidP="00101E5D">
            <w:pPr>
              <w:pStyle w:val="ARtabletext"/>
              <w:shd w:val="clear" w:color="auto" w:fill="FFFFFF" w:themeFill="background1"/>
            </w:pPr>
            <w:r w:rsidRPr="00AF50BC">
              <w:t>$320,000–$339,999</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0A0EFEC1"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3</w:t>
            </w:r>
          </w:p>
        </w:tc>
        <w:tc>
          <w:tcPr>
            <w:tcW w:w="506" w:type="pct"/>
            <w:tcBorders>
              <w:top w:val="single" w:sz="4" w:space="0" w:color="BFBFBF" w:themeColor="background1" w:themeShade="BF"/>
              <w:bottom w:val="single" w:sz="4" w:space="0" w:color="BFBFBF" w:themeColor="background1" w:themeShade="BF"/>
            </w:tcBorders>
            <w:shd w:val="clear" w:color="auto" w:fill="auto"/>
          </w:tcPr>
          <w:p w14:paraId="7C4FD627" w14:textId="77777777" w:rsidR="001A70B8" w:rsidRPr="002029AF" w:rsidRDefault="001A70B8" w:rsidP="00101E5D">
            <w:pPr>
              <w:pStyle w:val="ARtabletextright"/>
              <w:shd w:val="clear" w:color="auto" w:fill="FFFFFF" w:themeFill="background1"/>
              <w:rPr>
                <w:color w:val="000000" w:themeColor="text1"/>
              </w:rPr>
            </w:pPr>
          </w:p>
        </w:tc>
        <w:tc>
          <w:tcPr>
            <w:tcW w:w="428" w:type="pct"/>
            <w:tcBorders>
              <w:top w:val="single" w:sz="4" w:space="0" w:color="BFBFBF" w:themeColor="background1" w:themeShade="BF"/>
              <w:bottom w:val="single" w:sz="4" w:space="0" w:color="BFBFBF" w:themeColor="background1" w:themeShade="BF"/>
            </w:tcBorders>
            <w:shd w:val="clear" w:color="auto" w:fill="auto"/>
          </w:tcPr>
          <w:p w14:paraId="1DD77E2C"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bottom w:val="single" w:sz="4" w:space="0" w:color="BFBFBF" w:themeColor="background1" w:themeShade="BF"/>
            </w:tcBorders>
          </w:tcPr>
          <w:p w14:paraId="6F1015F4"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1</w:t>
            </w:r>
          </w:p>
        </w:tc>
        <w:tc>
          <w:tcPr>
            <w:tcW w:w="507" w:type="pct"/>
            <w:tcBorders>
              <w:top w:val="single" w:sz="4" w:space="0" w:color="BFBFBF" w:themeColor="background1" w:themeShade="BF"/>
              <w:bottom w:val="single" w:sz="4" w:space="0" w:color="BFBFBF" w:themeColor="background1" w:themeShade="BF"/>
            </w:tcBorders>
          </w:tcPr>
          <w:p w14:paraId="572725C7" w14:textId="77777777" w:rsidR="001A70B8" w:rsidRPr="002029AF" w:rsidRDefault="001A70B8" w:rsidP="00101E5D">
            <w:pPr>
              <w:pStyle w:val="ARtabletextright"/>
              <w:shd w:val="clear" w:color="auto" w:fill="FFFFFF" w:themeFill="background1"/>
            </w:pPr>
          </w:p>
        </w:tc>
        <w:tc>
          <w:tcPr>
            <w:tcW w:w="433" w:type="pct"/>
            <w:tcBorders>
              <w:top w:val="single" w:sz="4" w:space="0" w:color="BFBFBF" w:themeColor="background1" w:themeShade="BF"/>
              <w:bottom w:val="single" w:sz="4" w:space="0" w:color="BFBFBF" w:themeColor="background1" w:themeShade="BF"/>
            </w:tcBorders>
          </w:tcPr>
          <w:p w14:paraId="13E131F7" w14:textId="77777777" w:rsidR="001A70B8" w:rsidRPr="002029AF" w:rsidRDefault="001A70B8" w:rsidP="00101E5D">
            <w:pPr>
              <w:pStyle w:val="ARtabletextright"/>
              <w:shd w:val="clear" w:color="auto" w:fill="FFFFFF" w:themeFill="background1"/>
            </w:pPr>
          </w:p>
        </w:tc>
      </w:tr>
      <w:tr w:rsidR="001A70B8" w:rsidRPr="002029AF" w14:paraId="28FBCA85" w14:textId="77777777" w:rsidTr="00D429B0">
        <w:trPr>
          <w:cantSplit/>
        </w:trPr>
        <w:tc>
          <w:tcPr>
            <w:tcW w:w="1318" w:type="pct"/>
            <w:tcBorders>
              <w:top w:val="single" w:sz="4" w:space="0" w:color="BFBFBF" w:themeColor="background1" w:themeShade="BF"/>
              <w:bottom w:val="single" w:sz="4" w:space="0" w:color="BFBFBF" w:themeColor="background1" w:themeShade="BF"/>
            </w:tcBorders>
            <w:shd w:val="clear" w:color="auto" w:fill="auto"/>
          </w:tcPr>
          <w:p w14:paraId="4AEB842C" w14:textId="77777777" w:rsidR="001A70B8" w:rsidRPr="00AF50BC" w:rsidRDefault="001A70B8" w:rsidP="00101E5D">
            <w:pPr>
              <w:pStyle w:val="ARtabletext"/>
              <w:shd w:val="clear" w:color="auto" w:fill="FFFFFF" w:themeFill="background1"/>
            </w:pPr>
            <w:r w:rsidRPr="00AF50BC">
              <w:t>$340,000–$359,999</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483A75A2"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6</w:t>
            </w:r>
          </w:p>
        </w:tc>
        <w:tc>
          <w:tcPr>
            <w:tcW w:w="506" w:type="pct"/>
            <w:tcBorders>
              <w:top w:val="single" w:sz="4" w:space="0" w:color="BFBFBF" w:themeColor="background1" w:themeShade="BF"/>
              <w:bottom w:val="single" w:sz="4" w:space="0" w:color="BFBFBF" w:themeColor="background1" w:themeShade="BF"/>
            </w:tcBorders>
            <w:shd w:val="clear" w:color="auto" w:fill="auto"/>
          </w:tcPr>
          <w:p w14:paraId="05BFA60A" w14:textId="77777777" w:rsidR="001A70B8" w:rsidRPr="002029AF" w:rsidRDefault="001A70B8" w:rsidP="00101E5D">
            <w:pPr>
              <w:pStyle w:val="ARtabletextright"/>
              <w:shd w:val="clear" w:color="auto" w:fill="FFFFFF" w:themeFill="background1"/>
              <w:rPr>
                <w:color w:val="000000" w:themeColor="text1"/>
              </w:rPr>
            </w:pPr>
          </w:p>
        </w:tc>
        <w:tc>
          <w:tcPr>
            <w:tcW w:w="428" w:type="pct"/>
            <w:tcBorders>
              <w:top w:val="single" w:sz="4" w:space="0" w:color="BFBFBF" w:themeColor="background1" w:themeShade="BF"/>
              <w:bottom w:val="single" w:sz="4" w:space="0" w:color="BFBFBF" w:themeColor="background1" w:themeShade="BF"/>
            </w:tcBorders>
            <w:shd w:val="clear" w:color="auto" w:fill="auto"/>
          </w:tcPr>
          <w:p w14:paraId="24518D79"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bottom w:val="single" w:sz="4" w:space="0" w:color="BFBFBF" w:themeColor="background1" w:themeShade="BF"/>
            </w:tcBorders>
          </w:tcPr>
          <w:p w14:paraId="67AD2B81" w14:textId="77777777" w:rsidR="001A70B8" w:rsidRPr="002029AF" w:rsidRDefault="001A70B8" w:rsidP="00101E5D">
            <w:pPr>
              <w:pStyle w:val="ARtabletextright"/>
              <w:shd w:val="clear" w:color="auto" w:fill="FFFFFF" w:themeFill="background1"/>
              <w:rPr>
                <w:color w:val="000000" w:themeColor="text1"/>
              </w:rPr>
            </w:pPr>
            <w:r w:rsidRPr="50E7A32B">
              <w:rPr>
                <w:color w:val="000000" w:themeColor="text1"/>
              </w:rPr>
              <w:t>4</w:t>
            </w:r>
          </w:p>
        </w:tc>
        <w:tc>
          <w:tcPr>
            <w:tcW w:w="507" w:type="pct"/>
            <w:tcBorders>
              <w:top w:val="single" w:sz="4" w:space="0" w:color="BFBFBF" w:themeColor="background1" w:themeShade="BF"/>
              <w:bottom w:val="single" w:sz="4" w:space="0" w:color="BFBFBF" w:themeColor="background1" w:themeShade="BF"/>
            </w:tcBorders>
          </w:tcPr>
          <w:p w14:paraId="796AD7D0" w14:textId="77777777" w:rsidR="001A70B8" w:rsidRPr="002029AF" w:rsidRDefault="001A70B8" w:rsidP="00101E5D">
            <w:pPr>
              <w:pStyle w:val="ARtabletextright"/>
              <w:shd w:val="clear" w:color="auto" w:fill="FFFFFF" w:themeFill="background1"/>
            </w:pPr>
          </w:p>
        </w:tc>
        <w:tc>
          <w:tcPr>
            <w:tcW w:w="433" w:type="pct"/>
            <w:tcBorders>
              <w:top w:val="single" w:sz="4" w:space="0" w:color="BFBFBF" w:themeColor="background1" w:themeShade="BF"/>
              <w:bottom w:val="single" w:sz="4" w:space="0" w:color="BFBFBF" w:themeColor="background1" w:themeShade="BF"/>
            </w:tcBorders>
          </w:tcPr>
          <w:p w14:paraId="12E6529B" w14:textId="77777777" w:rsidR="001A70B8" w:rsidRPr="002029AF" w:rsidRDefault="001A70B8" w:rsidP="00101E5D">
            <w:pPr>
              <w:pStyle w:val="ARtabletextright"/>
              <w:shd w:val="clear" w:color="auto" w:fill="FFFFFF" w:themeFill="background1"/>
            </w:pPr>
          </w:p>
        </w:tc>
      </w:tr>
      <w:tr w:rsidR="001A70B8" w:rsidRPr="002029AF" w14:paraId="1E045B4B" w14:textId="77777777" w:rsidTr="00D429B0">
        <w:trPr>
          <w:cantSplit/>
        </w:trPr>
        <w:tc>
          <w:tcPr>
            <w:tcW w:w="1318" w:type="pct"/>
            <w:tcBorders>
              <w:top w:val="single" w:sz="4" w:space="0" w:color="BFBFBF" w:themeColor="background1" w:themeShade="BF"/>
              <w:bottom w:val="single" w:sz="4" w:space="0" w:color="BFBFBF" w:themeColor="background1" w:themeShade="BF"/>
            </w:tcBorders>
            <w:shd w:val="clear" w:color="auto" w:fill="auto"/>
          </w:tcPr>
          <w:p w14:paraId="5E950B5C" w14:textId="77777777" w:rsidR="001A70B8" w:rsidRPr="00AF50BC" w:rsidRDefault="001A70B8" w:rsidP="00101E5D">
            <w:pPr>
              <w:pStyle w:val="ARtabletext"/>
              <w:shd w:val="clear" w:color="auto" w:fill="FFFFFF" w:themeFill="background1"/>
            </w:pPr>
            <w:r w:rsidRPr="00AF50BC">
              <w:t>$360,000–$379,999</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16E1A75C"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7</w:t>
            </w:r>
          </w:p>
        </w:tc>
        <w:tc>
          <w:tcPr>
            <w:tcW w:w="506" w:type="pct"/>
            <w:tcBorders>
              <w:top w:val="single" w:sz="4" w:space="0" w:color="BFBFBF" w:themeColor="background1" w:themeShade="BF"/>
              <w:bottom w:val="single" w:sz="4" w:space="0" w:color="BFBFBF" w:themeColor="background1" w:themeShade="BF"/>
            </w:tcBorders>
            <w:shd w:val="clear" w:color="auto" w:fill="auto"/>
          </w:tcPr>
          <w:p w14:paraId="69DE2D37" w14:textId="77777777" w:rsidR="001A70B8" w:rsidRPr="002029AF" w:rsidRDefault="001A70B8" w:rsidP="00101E5D">
            <w:pPr>
              <w:pStyle w:val="ARtabletextright"/>
              <w:shd w:val="clear" w:color="auto" w:fill="FFFFFF" w:themeFill="background1"/>
              <w:rPr>
                <w:color w:val="000000" w:themeColor="text1"/>
              </w:rPr>
            </w:pPr>
          </w:p>
        </w:tc>
        <w:tc>
          <w:tcPr>
            <w:tcW w:w="428" w:type="pct"/>
            <w:tcBorders>
              <w:top w:val="single" w:sz="4" w:space="0" w:color="BFBFBF" w:themeColor="background1" w:themeShade="BF"/>
              <w:bottom w:val="single" w:sz="4" w:space="0" w:color="BFBFBF" w:themeColor="background1" w:themeShade="BF"/>
            </w:tcBorders>
            <w:shd w:val="clear" w:color="auto" w:fill="auto"/>
          </w:tcPr>
          <w:p w14:paraId="0B798B0C"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bottom w:val="single" w:sz="4" w:space="0" w:color="BFBFBF" w:themeColor="background1" w:themeShade="BF"/>
            </w:tcBorders>
          </w:tcPr>
          <w:p w14:paraId="50D80CB2" w14:textId="77777777" w:rsidR="001A70B8" w:rsidRPr="002029AF" w:rsidRDefault="001A70B8" w:rsidP="00101E5D">
            <w:pPr>
              <w:pStyle w:val="ARtabletextright"/>
            </w:pPr>
            <w:r w:rsidRPr="50E7A32B">
              <w:t>2</w:t>
            </w:r>
            <w:r w:rsidRPr="722C2731">
              <w:rPr>
                <w:color w:val="000000" w:themeColor="text1"/>
                <w:vertAlign w:val="superscript"/>
              </w:rPr>
              <w:t>(</w:t>
            </w:r>
            <w:r w:rsidRPr="722C2731">
              <w:rPr>
                <w:rStyle w:val="FootnoteReference"/>
                <w:color w:val="000000" w:themeColor="text1"/>
              </w:rPr>
              <w:footnoteReference w:id="27"/>
            </w:r>
            <w:r w:rsidRPr="722C2731">
              <w:rPr>
                <w:color w:val="000000" w:themeColor="text1"/>
                <w:vertAlign w:val="superscript"/>
              </w:rPr>
              <w:t>)</w:t>
            </w:r>
          </w:p>
        </w:tc>
        <w:tc>
          <w:tcPr>
            <w:tcW w:w="507" w:type="pct"/>
            <w:tcBorders>
              <w:top w:val="single" w:sz="4" w:space="0" w:color="BFBFBF" w:themeColor="background1" w:themeShade="BF"/>
              <w:bottom w:val="single" w:sz="4" w:space="0" w:color="BFBFBF" w:themeColor="background1" w:themeShade="BF"/>
            </w:tcBorders>
          </w:tcPr>
          <w:p w14:paraId="0B6BF17E" w14:textId="77777777" w:rsidR="001A70B8" w:rsidRPr="002029AF" w:rsidRDefault="001A70B8" w:rsidP="00101E5D">
            <w:pPr>
              <w:pStyle w:val="ARtabletextright"/>
              <w:shd w:val="clear" w:color="auto" w:fill="FFFFFF" w:themeFill="background1"/>
            </w:pPr>
          </w:p>
        </w:tc>
        <w:tc>
          <w:tcPr>
            <w:tcW w:w="433" w:type="pct"/>
            <w:tcBorders>
              <w:top w:val="single" w:sz="4" w:space="0" w:color="BFBFBF" w:themeColor="background1" w:themeShade="BF"/>
              <w:bottom w:val="single" w:sz="4" w:space="0" w:color="BFBFBF" w:themeColor="background1" w:themeShade="BF"/>
            </w:tcBorders>
          </w:tcPr>
          <w:p w14:paraId="471C26AB" w14:textId="77777777" w:rsidR="001A70B8" w:rsidRPr="002029AF" w:rsidRDefault="001A70B8" w:rsidP="00101E5D">
            <w:pPr>
              <w:pStyle w:val="ARtabletextright"/>
              <w:shd w:val="clear" w:color="auto" w:fill="FFFFFF" w:themeFill="background1"/>
            </w:pPr>
          </w:p>
        </w:tc>
      </w:tr>
      <w:tr w:rsidR="001A70B8" w:rsidRPr="002029AF" w14:paraId="4AE57E2D" w14:textId="77777777" w:rsidTr="00D429B0">
        <w:trPr>
          <w:cantSplit/>
        </w:trPr>
        <w:tc>
          <w:tcPr>
            <w:tcW w:w="1318" w:type="pct"/>
            <w:tcBorders>
              <w:top w:val="single" w:sz="4" w:space="0" w:color="BFBFBF" w:themeColor="background1" w:themeShade="BF"/>
              <w:bottom w:val="single" w:sz="4" w:space="0" w:color="BFBFBF" w:themeColor="background1" w:themeShade="BF"/>
            </w:tcBorders>
            <w:shd w:val="clear" w:color="auto" w:fill="auto"/>
          </w:tcPr>
          <w:p w14:paraId="282F18AD" w14:textId="77777777" w:rsidR="001A70B8" w:rsidRPr="00AF50BC" w:rsidRDefault="001A70B8" w:rsidP="00101E5D">
            <w:pPr>
              <w:pStyle w:val="ARtabletext"/>
              <w:shd w:val="clear" w:color="auto" w:fill="FFFFFF" w:themeFill="background1"/>
            </w:pPr>
            <w:r w:rsidRPr="00AF50BC">
              <w:t>$380,000–$399,999</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31D262D1"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1</w:t>
            </w:r>
          </w:p>
        </w:tc>
        <w:tc>
          <w:tcPr>
            <w:tcW w:w="506" w:type="pct"/>
            <w:tcBorders>
              <w:top w:val="single" w:sz="4" w:space="0" w:color="BFBFBF" w:themeColor="background1" w:themeShade="BF"/>
              <w:bottom w:val="single" w:sz="4" w:space="0" w:color="BFBFBF" w:themeColor="background1" w:themeShade="BF"/>
            </w:tcBorders>
            <w:shd w:val="clear" w:color="auto" w:fill="auto"/>
          </w:tcPr>
          <w:p w14:paraId="6F25A7B7" w14:textId="77777777" w:rsidR="001A70B8" w:rsidRPr="002029AF" w:rsidRDefault="001A70B8" w:rsidP="00101E5D">
            <w:pPr>
              <w:pStyle w:val="ARtabletextright"/>
              <w:shd w:val="clear" w:color="auto" w:fill="FFFFFF" w:themeFill="background1"/>
              <w:rPr>
                <w:color w:val="000000" w:themeColor="text1"/>
              </w:rPr>
            </w:pPr>
          </w:p>
        </w:tc>
        <w:tc>
          <w:tcPr>
            <w:tcW w:w="428" w:type="pct"/>
            <w:tcBorders>
              <w:top w:val="single" w:sz="4" w:space="0" w:color="BFBFBF" w:themeColor="background1" w:themeShade="BF"/>
              <w:bottom w:val="single" w:sz="4" w:space="0" w:color="BFBFBF" w:themeColor="background1" w:themeShade="BF"/>
            </w:tcBorders>
            <w:shd w:val="clear" w:color="auto" w:fill="auto"/>
          </w:tcPr>
          <w:p w14:paraId="12A015BD"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bottom w:val="single" w:sz="4" w:space="0" w:color="BFBFBF" w:themeColor="background1" w:themeShade="BF"/>
            </w:tcBorders>
          </w:tcPr>
          <w:p w14:paraId="226EA9B0" w14:textId="77777777" w:rsidR="001A70B8" w:rsidRPr="002029AF" w:rsidRDefault="001A70B8" w:rsidP="00101E5D">
            <w:pPr>
              <w:pStyle w:val="ARtabletextright"/>
              <w:shd w:val="clear" w:color="auto" w:fill="FFFFFF" w:themeFill="background1"/>
              <w:rPr>
                <w:color w:val="000000" w:themeColor="text1"/>
              </w:rPr>
            </w:pPr>
          </w:p>
        </w:tc>
        <w:tc>
          <w:tcPr>
            <w:tcW w:w="507" w:type="pct"/>
            <w:tcBorders>
              <w:top w:val="single" w:sz="4" w:space="0" w:color="BFBFBF" w:themeColor="background1" w:themeShade="BF"/>
              <w:bottom w:val="single" w:sz="4" w:space="0" w:color="BFBFBF" w:themeColor="background1" w:themeShade="BF"/>
            </w:tcBorders>
          </w:tcPr>
          <w:p w14:paraId="0A7076FE" w14:textId="77777777" w:rsidR="001A70B8" w:rsidRPr="002029AF" w:rsidRDefault="001A70B8" w:rsidP="00101E5D">
            <w:pPr>
              <w:pStyle w:val="ARtabletextright"/>
              <w:shd w:val="clear" w:color="auto" w:fill="FFFFFF" w:themeFill="background1"/>
            </w:pPr>
          </w:p>
        </w:tc>
        <w:tc>
          <w:tcPr>
            <w:tcW w:w="433" w:type="pct"/>
            <w:tcBorders>
              <w:top w:val="single" w:sz="4" w:space="0" w:color="BFBFBF" w:themeColor="background1" w:themeShade="BF"/>
              <w:bottom w:val="single" w:sz="4" w:space="0" w:color="BFBFBF" w:themeColor="background1" w:themeShade="BF"/>
            </w:tcBorders>
          </w:tcPr>
          <w:p w14:paraId="1791AEA4" w14:textId="77777777" w:rsidR="001A70B8" w:rsidRPr="002029AF" w:rsidRDefault="001A70B8" w:rsidP="00101E5D">
            <w:pPr>
              <w:pStyle w:val="ARtabletextright"/>
              <w:shd w:val="clear" w:color="auto" w:fill="FFFFFF" w:themeFill="background1"/>
            </w:pPr>
          </w:p>
        </w:tc>
      </w:tr>
      <w:tr w:rsidR="001A70B8" w:rsidRPr="002029AF" w14:paraId="01A2ADA2" w14:textId="77777777" w:rsidTr="00D429B0">
        <w:trPr>
          <w:cantSplit/>
        </w:trPr>
        <w:tc>
          <w:tcPr>
            <w:tcW w:w="1318" w:type="pct"/>
            <w:tcBorders>
              <w:top w:val="single" w:sz="4" w:space="0" w:color="BFBFBF" w:themeColor="background1" w:themeShade="BF"/>
              <w:bottom w:val="single" w:sz="4" w:space="0" w:color="BFBFBF" w:themeColor="background1" w:themeShade="BF"/>
            </w:tcBorders>
            <w:shd w:val="clear" w:color="auto" w:fill="auto"/>
          </w:tcPr>
          <w:p w14:paraId="612671D1" w14:textId="77777777" w:rsidR="001A70B8" w:rsidRPr="00AF50BC" w:rsidRDefault="001A70B8" w:rsidP="00101E5D">
            <w:pPr>
              <w:pStyle w:val="ARtabletext"/>
              <w:shd w:val="clear" w:color="auto" w:fill="FFFFFF" w:themeFill="background1"/>
            </w:pPr>
            <w:r w:rsidRPr="00AF50BC">
              <w:t>$400,000–$419,999</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1AE9473B"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2</w:t>
            </w:r>
          </w:p>
        </w:tc>
        <w:tc>
          <w:tcPr>
            <w:tcW w:w="506" w:type="pct"/>
            <w:tcBorders>
              <w:top w:val="single" w:sz="4" w:space="0" w:color="BFBFBF" w:themeColor="background1" w:themeShade="BF"/>
              <w:bottom w:val="single" w:sz="4" w:space="0" w:color="BFBFBF" w:themeColor="background1" w:themeShade="BF"/>
            </w:tcBorders>
            <w:shd w:val="clear" w:color="auto" w:fill="auto"/>
          </w:tcPr>
          <w:p w14:paraId="025E4FEB" w14:textId="77777777" w:rsidR="001A70B8" w:rsidRPr="002029AF" w:rsidRDefault="001A70B8" w:rsidP="00101E5D">
            <w:pPr>
              <w:pStyle w:val="ARtabletextright"/>
              <w:shd w:val="clear" w:color="auto" w:fill="FFFFFF" w:themeFill="background1"/>
              <w:rPr>
                <w:color w:val="000000" w:themeColor="text1"/>
              </w:rPr>
            </w:pPr>
          </w:p>
        </w:tc>
        <w:tc>
          <w:tcPr>
            <w:tcW w:w="428" w:type="pct"/>
            <w:tcBorders>
              <w:top w:val="single" w:sz="4" w:space="0" w:color="BFBFBF" w:themeColor="background1" w:themeShade="BF"/>
              <w:bottom w:val="single" w:sz="4" w:space="0" w:color="BFBFBF" w:themeColor="background1" w:themeShade="BF"/>
            </w:tcBorders>
            <w:shd w:val="clear" w:color="auto" w:fill="auto"/>
          </w:tcPr>
          <w:p w14:paraId="772CA7A9"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bottom w:val="single" w:sz="4" w:space="0" w:color="BFBFBF" w:themeColor="background1" w:themeShade="BF"/>
            </w:tcBorders>
          </w:tcPr>
          <w:p w14:paraId="0728EE91" w14:textId="77777777" w:rsidR="001A70B8" w:rsidRPr="002029AF" w:rsidRDefault="001A70B8" w:rsidP="00101E5D">
            <w:pPr>
              <w:pStyle w:val="ARtabletextright"/>
              <w:shd w:val="clear" w:color="auto" w:fill="FFFFFF" w:themeFill="background1"/>
              <w:rPr>
                <w:color w:val="000000" w:themeColor="text1"/>
              </w:rPr>
            </w:pPr>
          </w:p>
        </w:tc>
        <w:tc>
          <w:tcPr>
            <w:tcW w:w="507" w:type="pct"/>
            <w:tcBorders>
              <w:top w:val="single" w:sz="4" w:space="0" w:color="BFBFBF" w:themeColor="background1" w:themeShade="BF"/>
              <w:bottom w:val="single" w:sz="4" w:space="0" w:color="BFBFBF" w:themeColor="background1" w:themeShade="BF"/>
            </w:tcBorders>
          </w:tcPr>
          <w:p w14:paraId="4854F7EF" w14:textId="77777777" w:rsidR="001A70B8" w:rsidRPr="002029AF" w:rsidRDefault="001A70B8" w:rsidP="00101E5D">
            <w:pPr>
              <w:pStyle w:val="ARtabletextright"/>
              <w:shd w:val="clear" w:color="auto" w:fill="FFFFFF" w:themeFill="background1"/>
            </w:pPr>
          </w:p>
        </w:tc>
        <w:tc>
          <w:tcPr>
            <w:tcW w:w="433" w:type="pct"/>
            <w:tcBorders>
              <w:top w:val="single" w:sz="4" w:space="0" w:color="BFBFBF" w:themeColor="background1" w:themeShade="BF"/>
              <w:bottom w:val="single" w:sz="4" w:space="0" w:color="BFBFBF" w:themeColor="background1" w:themeShade="BF"/>
            </w:tcBorders>
          </w:tcPr>
          <w:p w14:paraId="7EB85BB2" w14:textId="77777777" w:rsidR="001A70B8" w:rsidRPr="002029AF" w:rsidRDefault="001A70B8" w:rsidP="00101E5D">
            <w:pPr>
              <w:pStyle w:val="ARtabletextright"/>
              <w:shd w:val="clear" w:color="auto" w:fill="FFFFFF" w:themeFill="background1"/>
            </w:pPr>
          </w:p>
        </w:tc>
      </w:tr>
      <w:tr w:rsidR="001A70B8" w:rsidRPr="002029AF" w14:paraId="714F570F" w14:textId="77777777" w:rsidTr="00D429B0">
        <w:trPr>
          <w:cantSplit/>
        </w:trPr>
        <w:tc>
          <w:tcPr>
            <w:tcW w:w="1318" w:type="pct"/>
            <w:tcBorders>
              <w:top w:val="single" w:sz="4" w:space="0" w:color="BFBFBF" w:themeColor="background1" w:themeShade="BF"/>
              <w:bottom w:val="single" w:sz="4" w:space="0" w:color="BFBFBF" w:themeColor="background1" w:themeShade="BF"/>
            </w:tcBorders>
            <w:shd w:val="clear" w:color="auto" w:fill="auto"/>
          </w:tcPr>
          <w:p w14:paraId="58EBDDF7" w14:textId="77777777" w:rsidR="001A70B8" w:rsidRPr="00AF50BC" w:rsidRDefault="001A70B8" w:rsidP="00101E5D">
            <w:pPr>
              <w:pStyle w:val="ARtabletext"/>
              <w:shd w:val="clear" w:color="auto" w:fill="FFFFFF" w:themeFill="background1"/>
            </w:pPr>
            <w:r w:rsidRPr="00AF50BC">
              <w:t>$420,000–$439,999</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6BAF3CD2"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1</w:t>
            </w:r>
          </w:p>
        </w:tc>
        <w:tc>
          <w:tcPr>
            <w:tcW w:w="506" w:type="pct"/>
            <w:tcBorders>
              <w:top w:val="single" w:sz="4" w:space="0" w:color="BFBFBF" w:themeColor="background1" w:themeShade="BF"/>
              <w:bottom w:val="single" w:sz="4" w:space="0" w:color="BFBFBF" w:themeColor="background1" w:themeShade="BF"/>
            </w:tcBorders>
            <w:shd w:val="clear" w:color="auto" w:fill="auto"/>
          </w:tcPr>
          <w:p w14:paraId="3CBD45C4" w14:textId="77777777" w:rsidR="001A70B8" w:rsidRPr="002029AF" w:rsidRDefault="001A70B8" w:rsidP="00101E5D">
            <w:pPr>
              <w:pStyle w:val="ARtabletextright"/>
              <w:shd w:val="clear" w:color="auto" w:fill="FFFFFF" w:themeFill="background1"/>
              <w:rPr>
                <w:color w:val="000000" w:themeColor="text1"/>
              </w:rPr>
            </w:pPr>
          </w:p>
        </w:tc>
        <w:tc>
          <w:tcPr>
            <w:tcW w:w="428" w:type="pct"/>
            <w:tcBorders>
              <w:top w:val="single" w:sz="4" w:space="0" w:color="BFBFBF" w:themeColor="background1" w:themeShade="BF"/>
              <w:bottom w:val="single" w:sz="4" w:space="0" w:color="BFBFBF" w:themeColor="background1" w:themeShade="BF"/>
            </w:tcBorders>
            <w:shd w:val="clear" w:color="auto" w:fill="auto"/>
          </w:tcPr>
          <w:p w14:paraId="442A453F"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bottom w:val="single" w:sz="4" w:space="0" w:color="BFBFBF" w:themeColor="background1" w:themeShade="BF"/>
            </w:tcBorders>
          </w:tcPr>
          <w:p w14:paraId="24AF61F2" w14:textId="77777777" w:rsidR="001A70B8" w:rsidRPr="002029AF" w:rsidRDefault="001A70B8" w:rsidP="00101E5D">
            <w:pPr>
              <w:pStyle w:val="ARtabletextright"/>
              <w:shd w:val="clear" w:color="auto" w:fill="FFFFFF" w:themeFill="background1"/>
              <w:rPr>
                <w:color w:val="000000" w:themeColor="text1"/>
              </w:rPr>
            </w:pPr>
          </w:p>
        </w:tc>
        <w:tc>
          <w:tcPr>
            <w:tcW w:w="507" w:type="pct"/>
            <w:tcBorders>
              <w:top w:val="single" w:sz="4" w:space="0" w:color="BFBFBF" w:themeColor="background1" w:themeShade="BF"/>
              <w:bottom w:val="single" w:sz="4" w:space="0" w:color="BFBFBF" w:themeColor="background1" w:themeShade="BF"/>
            </w:tcBorders>
          </w:tcPr>
          <w:p w14:paraId="774D5581" w14:textId="77777777" w:rsidR="001A70B8" w:rsidRPr="002029AF" w:rsidRDefault="001A70B8" w:rsidP="00101E5D">
            <w:pPr>
              <w:pStyle w:val="ARtabletextright"/>
              <w:shd w:val="clear" w:color="auto" w:fill="FFFFFF" w:themeFill="background1"/>
            </w:pPr>
          </w:p>
        </w:tc>
        <w:tc>
          <w:tcPr>
            <w:tcW w:w="433" w:type="pct"/>
            <w:tcBorders>
              <w:top w:val="single" w:sz="4" w:space="0" w:color="BFBFBF" w:themeColor="background1" w:themeShade="BF"/>
              <w:bottom w:val="single" w:sz="4" w:space="0" w:color="BFBFBF" w:themeColor="background1" w:themeShade="BF"/>
            </w:tcBorders>
          </w:tcPr>
          <w:p w14:paraId="6CD638D6" w14:textId="77777777" w:rsidR="001A70B8" w:rsidRPr="002029AF" w:rsidRDefault="001A70B8" w:rsidP="00101E5D">
            <w:pPr>
              <w:pStyle w:val="ARtabletextright"/>
              <w:shd w:val="clear" w:color="auto" w:fill="FFFFFF" w:themeFill="background1"/>
            </w:pPr>
          </w:p>
        </w:tc>
      </w:tr>
      <w:tr w:rsidR="001A70B8" w:rsidRPr="002029AF" w14:paraId="23811DD9" w14:textId="77777777" w:rsidTr="00D429B0">
        <w:trPr>
          <w:cantSplit/>
        </w:trPr>
        <w:tc>
          <w:tcPr>
            <w:tcW w:w="1318" w:type="pct"/>
            <w:tcBorders>
              <w:top w:val="single" w:sz="4" w:space="0" w:color="BFBFBF" w:themeColor="background1" w:themeShade="BF"/>
              <w:bottom w:val="single" w:sz="4" w:space="0" w:color="BFBFBF" w:themeColor="background1" w:themeShade="BF"/>
            </w:tcBorders>
            <w:shd w:val="clear" w:color="auto" w:fill="auto"/>
          </w:tcPr>
          <w:p w14:paraId="0BCBDB41" w14:textId="77777777" w:rsidR="001A70B8" w:rsidRPr="00AF50BC" w:rsidRDefault="001A70B8" w:rsidP="00101E5D">
            <w:pPr>
              <w:pStyle w:val="ARtabletext"/>
              <w:shd w:val="clear" w:color="auto" w:fill="FFFFFF" w:themeFill="background1"/>
            </w:pPr>
            <w:r w:rsidRPr="00AF50BC">
              <w:t>$440,000–$459,999</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26A70962" w14:textId="77777777" w:rsidR="001A70B8" w:rsidRPr="002029AF" w:rsidRDefault="001A70B8" w:rsidP="00101E5D">
            <w:pPr>
              <w:pStyle w:val="ARtabletextright"/>
              <w:shd w:val="clear" w:color="auto" w:fill="FFFFFF" w:themeFill="background1"/>
              <w:rPr>
                <w:color w:val="000000" w:themeColor="text1"/>
              </w:rPr>
            </w:pPr>
          </w:p>
        </w:tc>
        <w:tc>
          <w:tcPr>
            <w:tcW w:w="506" w:type="pct"/>
            <w:tcBorders>
              <w:top w:val="single" w:sz="4" w:space="0" w:color="BFBFBF" w:themeColor="background1" w:themeShade="BF"/>
              <w:bottom w:val="single" w:sz="4" w:space="0" w:color="BFBFBF" w:themeColor="background1" w:themeShade="BF"/>
            </w:tcBorders>
            <w:shd w:val="clear" w:color="auto" w:fill="auto"/>
          </w:tcPr>
          <w:p w14:paraId="711FB3FD" w14:textId="77777777" w:rsidR="001A70B8" w:rsidRPr="002029AF" w:rsidRDefault="001A70B8" w:rsidP="00101E5D">
            <w:pPr>
              <w:pStyle w:val="ARtabletextright"/>
              <w:shd w:val="clear" w:color="auto" w:fill="FFFFFF" w:themeFill="background1"/>
              <w:rPr>
                <w:color w:val="000000" w:themeColor="text1"/>
              </w:rPr>
            </w:pPr>
          </w:p>
        </w:tc>
        <w:tc>
          <w:tcPr>
            <w:tcW w:w="428" w:type="pct"/>
            <w:tcBorders>
              <w:top w:val="single" w:sz="4" w:space="0" w:color="BFBFBF" w:themeColor="background1" w:themeShade="BF"/>
              <w:bottom w:val="single" w:sz="4" w:space="0" w:color="BFBFBF" w:themeColor="background1" w:themeShade="BF"/>
            </w:tcBorders>
            <w:shd w:val="clear" w:color="auto" w:fill="auto"/>
          </w:tcPr>
          <w:p w14:paraId="6848E45F"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bottom w:val="single" w:sz="4" w:space="0" w:color="BFBFBF" w:themeColor="background1" w:themeShade="BF"/>
            </w:tcBorders>
          </w:tcPr>
          <w:p w14:paraId="4F6E0D44" w14:textId="77777777" w:rsidR="001A70B8" w:rsidRPr="002029AF" w:rsidRDefault="001A70B8" w:rsidP="00101E5D">
            <w:pPr>
              <w:pStyle w:val="ARtabletextright"/>
              <w:shd w:val="clear" w:color="auto" w:fill="FFFFFF" w:themeFill="background1"/>
              <w:rPr>
                <w:color w:val="000000" w:themeColor="text1"/>
              </w:rPr>
            </w:pPr>
          </w:p>
        </w:tc>
        <w:tc>
          <w:tcPr>
            <w:tcW w:w="507" w:type="pct"/>
            <w:tcBorders>
              <w:top w:val="single" w:sz="4" w:space="0" w:color="BFBFBF" w:themeColor="background1" w:themeShade="BF"/>
              <w:bottom w:val="single" w:sz="4" w:space="0" w:color="BFBFBF" w:themeColor="background1" w:themeShade="BF"/>
            </w:tcBorders>
          </w:tcPr>
          <w:p w14:paraId="4BFFD41A" w14:textId="77777777" w:rsidR="001A70B8" w:rsidRPr="002029AF" w:rsidRDefault="001A70B8" w:rsidP="00101E5D">
            <w:pPr>
              <w:pStyle w:val="ARtabletextright"/>
              <w:shd w:val="clear" w:color="auto" w:fill="FFFFFF" w:themeFill="background1"/>
            </w:pPr>
          </w:p>
        </w:tc>
        <w:tc>
          <w:tcPr>
            <w:tcW w:w="433" w:type="pct"/>
            <w:tcBorders>
              <w:top w:val="single" w:sz="4" w:space="0" w:color="BFBFBF" w:themeColor="background1" w:themeShade="BF"/>
              <w:bottom w:val="single" w:sz="4" w:space="0" w:color="BFBFBF" w:themeColor="background1" w:themeShade="BF"/>
            </w:tcBorders>
          </w:tcPr>
          <w:p w14:paraId="3078C097" w14:textId="77777777" w:rsidR="001A70B8" w:rsidRPr="002029AF" w:rsidRDefault="001A70B8" w:rsidP="00101E5D">
            <w:pPr>
              <w:pStyle w:val="ARtabletextright"/>
              <w:shd w:val="clear" w:color="auto" w:fill="FFFFFF" w:themeFill="background1"/>
            </w:pPr>
          </w:p>
        </w:tc>
      </w:tr>
      <w:tr w:rsidR="001A70B8" w:rsidRPr="002029AF" w14:paraId="2175BE81" w14:textId="77777777" w:rsidTr="00D429B0">
        <w:trPr>
          <w:cantSplit/>
        </w:trPr>
        <w:tc>
          <w:tcPr>
            <w:tcW w:w="1318" w:type="pct"/>
            <w:tcBorders>
              <w:top w:val="single" w:sz="4" w:space="0" w:color="BFBFBF" w:themeColor="background1" w:themeShade="BF"/>
              <w:bottom w:val="single" w:sz="4" w:space="0" w:color="BFBFBF" w:themeColor="background1" w:themeShade="BF"/>
            </w:tcBorders>
            <w:shd w:val="clear" w:color="auto" w:fill="auto"/>
          </w:tcPr>
          <w:p w14:paraId="2B62E221" w14:textId="77777777" w:rsidR="001A70B8" w:rsidRPr="00AF50BC" w:rsidRDefault="001A70B8" w:rsidP="00101E5D">
            <w:pPr>
              <w:pStyle w:val="ARtabletext"/>
              <w:shd w:val="clear" w:color="auto" w:fill="FFFFFF" w:themeFill="background1"/>
            </w:pPr>
            <w:r w:rsidRPr="00AF50BC">
              <w:t>$460,000–$479,999</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0B89CCBB"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1</w:t>
            </w:r>
          </w:p>
        </w:tc>
        <w:tc>
          <w:tcPr>
            <w:tcW w:w="506" w:type="pct"/>
            <w:tcBorders>
              <w:top w:val="single" w:sz="4" w:space="0" w:color="BFBFBF" w:themeColor="background1" w:themeShade="BF"/>
              <w:bottom w:val="single" w:sz="4" w:space="0" w:color="BFBFBF" w:themeColor="background1" w:themeShade="BF"/>
            </w:tcBorders>
            <w:shd w:val="clear" w:color="auto" w:fill="auto"/>
          </w:tcPr>
          <w:p w14:paraId="407FD303" w14:textId="77777777" w:rsidR="001A70B8" w:rsidRPr="002029AF" w:rsidRDefault="001A70B8" w:rsidP="00101E5D">
            <w:pPr>
              <w:pStyle w:val="ARtabletextright"/>
              <w:shd w:val="clear" w:color="auto" w:fill="FFFFFF" w:themeFill="background1"/>
              <w:rPr>
                <w:color w:val="000000" w:themeColor="text1"/>
              </w:rPr>
            </w:pPr>
          </w:p>
        </w:tc>
        <w:tc>
          <w:tcPr>
            <w:tcW w:w="428" w:type="pct"/>
            <w:tcBorders>
              <w:top w:val="single" w:sz="4" w:space="0" w:color="BFBFBF" w:themeColor="background1" w:themeShade="BF"/>
              <w:bottom w:val="single" w:sz="4" w:space="0" w:color="BFBFBF" w:themeColor="background1" w:themeShade="BF"/>
            </w:tcBorders>
            <w:shd w:val="clear" w:color="auto" w:fill="auto"/>
          </w:tcPr>
          <w:p w14:paraId="02CEF2F5"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bottom w:val="single" w:sz="4" w:space="0" w:color="BFBFBF" w:themeColor="background1" w:themeShade="BF"/>
            </w:tcBorders>
          </w:tcPr>
          <w:p w14:paraId="584B64D0" w14:textId="77777777" w:rsidR="001A70B8" w:rsidRPr="002029AF" w:rsidRDefault="001A70B8" w:rsidP="00101E5D">
            <w:pPr>
              <w:pStyle w:val="ARtabletextright"/>
              <w:shd w:val="clear" w:color="auto" w:fill="FFFFFF" w:themeFill="background1"/>
              <w:rPr>
                <w:color w:val="000000" w:themeColor="text1"/>
              </w:rPr>
            </w:pPr>
          </w:p>
        </w:tc>
        <w:tc>
          <w:tcPr>
            <w:tcW w:w="507" w:type="pct"/>
            <w:tcBorders>
              <w:top w:val="single" w:sz="4" w:space="0" w:color="BFBFBF" w:themeColor="background1" w:themeShade="BF"/>
              <w:bottom w:val="single" w:sz="4" w:space="0" w:color="BFBFBF" w:themeColor="background1" w:themeShade="BF"/>
            </w:tcBorders>
          </w:tcPr>
          <w:p w14:paraId="5F67682A" w14:textId="77777777" w:rsidR="001A70B8" w:rsidRPr="002029AF" w:rsidRDefault="001A70B8" w:rsidP="00101E5D">
            <w:pPr>
              <w:pStyle w:val="ARtabletextright"/>
              <w:shd w:val="clear" w:color="auto" w:fill="FFFFFF" w:themeFill="background1"/>
            </w:pPr>
          </w:p>
        </w:tc>
        <w:tc>
          <w:tcPr>
            <w:tcW w:w="433" w:type="pct"/>
            <w:tcBorders>
              <w:top w:val="single" w:sz="4" w:space="0" w:color="BFBFBF" w:themeColor="background1" w:themeShade="BF"/>
              <w:bottom w:val="single" w:sz="4" w:space="0" w:color="BFBFBF" w:themeColor="background1" w:themeShade="BF"/>
            </w:tcBorders>
          </w:tcPr>
          <w:p w14:paraId="1D13F39E" w14:textId="77777777" w:rsidR="001A70B8" w:rsidRPr="002029AF" w:rsidRDefault="001A70B8" w:rsidP="00101E5D">
            <w:pPr>
              <w:pStyle w:val="ARtabletextright"/>
              <w:shd w:val="clear" w:color="auto" w:fill="FFFFFF" w:themeFill="background1"/>
            </w:pPr>
          </w:p>
        </w:tc>
      </w:tr>
      <w:tr w:rsidR="001A70B8" w:rsidRPr="002029AF" w14:paraId="79256F3E" w14:textId="77777777" w:rsidTr="00D429B0">
        <w:trPr>
          <w:cantSplit/>
        </w:trPr>
        <w:tc>
          <w:tcPr>
            <w:tcW w:w="1318" w:type="pct"/>
            <w:tcBorders>
              <w:top w:val="single" w:sz="4" w:space="0" w:color="BFBFBF" w:themeColor="background1" w:themeShade="BF"/>
              <w:bottom w:val="single" w:sz="4" w:space="0" w:color="BFBFBF" w:themeColor="background1" w:themeShade="BF"/>
            </w:tcBorders>
            <w:shd w:val="clear" w:color="auto" w:fill="auto"/>
          </w:tcPr>
          <w:p w14:paraId="3D1A26FE" w14:textId="77777777" w:rsidR="001A70B8" w:rsidRPr="00AF50BC" w:rsidRDefault="001A70B8" w:rsidP="00101E5D">
            <w:pPr>
              <w:pStyle w:val="ARtabletext"/>
              <w:shd w:val="clear" w:color="auto" w:fill="FFFFFF" w:themeFill="background1"/>
            </w:pPr>
            <w:r w:rsidRPr="00AF50BC">
              <w:t>$520,000–$539,999</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2F56A6BB" w14:textId="77777777" w:rsidR="001A70B8" w:rsidRPr="002029AF" w:rsidRDefault="001A70B8" w:rsidP="00101E5D">
            <w:pPr>
              <w:pStyle w:val="ARtabletextright"/>
              <w:shd w:val="clear" w:color="auto" w:fill="FFFFFF" w:themeFill="background1"/>
              <w:rPr>
                <w:color w:val="000000" w:themeColor="text1"/>
              </w:rPr>
            </w:pPr>
          </w:p>
        </w:tc>
        <w:tc>
          <w:tcPr>
            <w:tcW w:w="506" w:type="pct"/>
            <w:tcBorders>
              <w:top w:val="single" w:sz="4" w:space="0" w:color="BFBFBF" w:themeColor="background1" w:themeShade="BF"/>
              <w:bottom w:val="single" w:sz="4" w:space="0" w:color="BFBFBF" w:themeColor="background1" w:themeShade="BF"/>
            </w:tcBorders>
            <w:shd w:val="clear" w:color="auto" w:fill="auto"/>
          </w:tcPr>
          <w:p w14:paraId="2A472036" w14:textId="77777777" w:rsidR="001A70B8" w:rsidRPr="002029AF" w:rsidRDefault="001A70B8" w:rsidP="00101E5D">
            <w:pPr>
              <w:pStyle w:val="ARtabletextright"/>
              <w:shd w:val="clear" w:color="auto" w:fill="FFFFFF" w:themeFill="background1"/>
              <w:rPr>
                <w:color w:val="000000" w:themeColor="text1"/>
              </w:rPr>
            </w:pPr>
          </w:p>
        </w:tc>
        <w:tc>
          <w:tcPr>
            <w:tcW w:w="428" w:type="pct"/>
            <w:tcBorders>
              <w:top w:val="single" w:sz="4" w:space="0" w:color="BFBFBF" w:themeColor="background1" w:themeShade="BF"/>
              <w:bottom w:val="single" w:sz="4" w:space="0" w:color="BFBFBF" w:themeColor="background1" w:themeShade="BF"/>
            </w:tcBorders>
            <w:shd w:val="clear" w:color="auto" w:fill="auto"/>
          </w:tcPr>
          <w:p w14:paraId="05AB8E03"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bottom w:val="single" w:sz="4" w:space="0" w:color="BFBFBF" w:themeColor="background1" w:themeShade="BF"/>
            </w:tcBorders>
          </w:tcPr>
          <w:p w14:paraId="2173CD20" w14:textId="77777777" w:rsidR="001A70B8" w:rsidRPr="002029AF" w:rsidRDefault="001A70B8" w:rsidP="00101E5D">
            <w:pPr>
              <w:pStyle w:val="ARtabletextright"/>
              <w:shd w:val="clear" w:color="auto" w:fill="FFFFFF" w:themeFill="background1"/>
              <w:rPr>
                <w:color w:val="000000" w:themeColor="text1"/>
              </w:rPr>
            </w:pPr>
          </w:p>
        </w:tc>
        <w:tc>
          <w:tcPr>
            <w:tcW w:w="507" w:type="pct"/>
            <w:tcBorders>
              <w:top w:val="single" w:sz="4" w:space="0" w:color="BFBFBF" w:themeColor="background1" w:themeShade="BF"/>
              <w:bottom w:val="single" w:sz="4" w:space="0" w:color="BFBFBF" w:themeColor="background1" w:themeShade="BF"/>
            </w:tcBorders>
          </w:tcPr>
          <w:p w14:paraId="72911BC4" w14:textId="77777777" w:rsidR="001A70B8" w:rsidRPr="002029AF" w:rsidRDefault="001A70B8" w:rsidP="00101E5D">
            <w:pPr>
              <w:pStyle w:val="ARtabletextright"/>
              <w:shd w:val="clear" w:color="auto" w:fill="FFFFFF" w:themeFill="background1"/>
            </w:pPr>
          </w:p>
        </w:tc>
        <w:tc>
          <w:tcPr>
            <w:tcW w:w="433" w:type="pct"/>
            <w:tcBorders>
              <w:top w:val="single" w:sz="4" w:space="0" w:color="BFBFBF" w:themeColor="background1" w:themeShade="BF"/>
              <w:bottom w:val="single" w:sz="4" w:space="0" w:color="BFBFBF" w:themeColor="background1" w:themeShade="BF"/>
            </w:tcBorders>
          </w:tcPr>
          <w:p w14:paraId="43E3118F" w14:textId="77777777" w:rsidR="001A70B8" w:rsidRPr="002029AF" w:rsidRDefault="001A70B8" w:rsidP="00101E5D">
            <w:pPr>
              <w:pStyle w:val="ARtabletextright"/>
              <w:shd w:val="clear" w:color="auto" w:fill="FFFFFF" w:themeFill="background1"/>
            </w:pPr>
          </w:p>
        </w:tc>
      </w:tr>
      <w:tr w:rsidR="001A70B8" w:rsidRPr="002029AF" w14:paraId="3E833A6D" w14:textId="77777777" w:rsidTr="00D429B0">
        <w:trPr>
          <w:cantSplit/>
        </w:trPr>
        <w:tc>
          <w:tcPr>
            <w:tcW w:w="1318" w:type="pct"/>
            <w:tcBorders>
              <w:top w:val="single" w:sz="4" w:space="0" w:color="BFBFBF" w:themeColor="background1" w:themeShade="BF"/>
              <w:bottom w:val="single" w:sz="4" w:space="0" w:color="BFBFBF" w:themeColor="background1" w:themeShade="BF"/>
            </w:tcBorders>
            <w:shd w:val="clear" w:color="auto" w:fill="auto"/>
          </w:tcPr>
          <w:p w14:paraId="2C2984A0" w14:textId="77777777" w:rsidR="001A70B8" w:rsidRPr="00AF50BC" w:rsidRDefault="001A70B8" w:rsidP="00101E5D">
            <w:pPr>
              <w:pStyle w:val="ARtabletext"/>
              <w:shd w:val="clear" w:color="auto" w:fill="FFFFFF" w:themeFill="background1"/>
            </w:pPr>
            <w:r w:rsidRPr="00AF50BC">
              <w:t>$540,000–$559,999</w:t>
            </w:r>
          </w:p>
        </w:tc>
        <w:tc>
          <w:tcPr>
            <w:tcW w:w="654" w:type="pct"/>
            <w:tcBorders>
              <w:top w:val="single" w:sz="4" w:space="0" w:color="BFBFBF" w:themeColor="background1" w:themeShade="BF"/>
              <w:bottom w:val="single" w:sz="4" w:space="0" w:color="BFBFBF" w:themeColor="background1" w:themeShade="BF"/>
            </w:tcBorders>
            <w:shd w:val="clear" w:color="auto" w:fill="auto"/>
          </w:tcPr>
          <w:p w14:paraId="4FD1C591" w14:textId="77777777" w:rsidR="001A70B8" w:rsidRPr="002029AF" w:rsidRDefault="001A70B8" w:rsidP="00101E5D">
            <w:pPr>
              <w:pStyle w:val="ARtabletextright"/>
              <w:shd w:val="clear" w:color="auto" w:fill="FFFFFF" w:themeFill="background1"/>
              <w:rPr>
                <w:color w:val="000000" w:themeColor="text1"/>
              </w:rPr>
            </w:pPr>
          </w:p>
        </w:tc>
        <w:tc>
          <w:tcPr>
            <w:tcW w:w="506" w:type="pct"/>
            <w:tcBorders>
              <w:top w:val="single" w:sz="4" w:space="0" w:color="BFBFBF" w:themeColor="background1" w:themeShade="BF"/>
              <w:bottom w:val="single" w:sz="4" w:space="0" w:color="BFBFBF" w:themeColor="background1" w:themeShade="BF"/>
            </w:tcBorders>
            <w:shd w:val="clear" w:color="auto" w:fill="auto"/>
          </w:tcPr>
          <w:p w14:paraId="3D95248B" w14:textId="77777777" w:rsidR="001A70B8" w:rsidRPr="002029AF" w:rsidRDefault="001A70B8" w:rsidP="00101E5D">
            <w:pPr>
              <w:pStyle w:val="ARtabletextright"/>
              <w:shd w:val="clear" w:color="auto" w:fill="FFFFFF" w:themeFill="background1"/>
              <w:rPr>
                <w:color w:val="000000" w:themeColor="text1"/>
              </w:rPr>
            </w:pPr>
          </w:p>
        </w:tc>
        <w:tc>
          <w:tcPr>
            <w:tcW w:w="428" w:type="pct"/>
            <w:tcBorders>
              <w:top w:val="single" w:sz="4" w:space="0" w:color="BFBFBF" w:themeColor="background1" w:themeShade="BF"/>
              <w:bottom w:val="single" w:sz="4" w:space="0" w:color="BFBFBF" w:themeColor="background1" w:themeShade="BF"/>
            </w:tcBorders>
            <w:shd w:val="clear" w:color="auto" w:fill="auto"/>
          </w:tcPr>
          <w:p w14:paraId="1DA7AC4F"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bottom w:val="single" w:sz="4" w:space="0" w:color="BFBFBF" w:themeColor="background1" w:themeShade="BF"/>
            </w:tcBorders>
          </w:tcPr>
          <w:p w14:paraId="448A14F0" w14:textId="77777777" w:rsidR="001A70B8" w:rsidRPr="002029AF" w:rsidRDefault="001A70B8" w:rsidP="00101E5D">
            <w:pPr>
              <w:pStyle w:val="ARtabletextright"/>
              <w:shd w:val="clear" w:color="auto" w:fill="FFFFFF" w:themeFill="background1"/>
              <w:rPr>
                <w:color w:val="000000" w:themeColor="text1"/>
              </w:rPr>
            </w:pPr>
          </w:p>
        </w:tc>
        <w:tc>
          <w:tcPr>
            <w:tcW w:w="507" w:type="pct"/>
            <w:tcBorders>
              <w:top w:val="single" w:sz="4" w:space="0" w:color="BFBFBF" w:themeColor="background1" w:themeShade="BF"/>
              <w:bottom w:val="single" w:sz="4" w:space="0" w:color="BFBFBF" w:themeColor="background1" w:themeShade="BF"/>
            </w:tcBorders>
          </w:tcPr>
          <w:p w14:paraId="0052048C" w14:textId="77777777" w:rsidR="001A70B8" w:rsidRPr="002029AF" w:rsidRDefault="001A70B8" w:rsidP="00101E5D">
            <w:pPr>
              <w:pStyle w:val="ARtabletextright"/>
              <w:shd w:val="clear" w:color="auto" w:fill="FFFFFF" w:themeFill="background1"/>
            </w:pPr>
          </w:p>
        </w:tc>
        <w:tc>
          <w:tcPr>
            <w:tcW w:w="433" w:type="pct"/>
            <w:tcBorders>
              <w:top w:val="single" w:sz="4" w:space="0" w:color="BFBFBF" w:themeColor="background1" w:themeShade="BF"/>
              <w:bottom w:val="single" w:sz="4" w:space="0" w:color="BFBFBF" w:themeColor="background1" w:themeShade="BF"/>
            </w:tcBorders>
          </w:tcPr>
          <w:p w14:paraId="65851BAA" w14:textId="77777777" w:rsidR="001A70B8" w:rsidRPr="002029AF" w:rsidRDefault="001A70B8" w:rsidP="00101E5D">
            <w:pPr>
              <w:pStyle w:val="ARtabletextright"/>
              <w:shd w:val="clear" w:color="auto" w:fill="FFFFFF" w:themeFill="background1"/>
            </w:pPr>
          </w:p>
        </w:tc>
      </w:tr>
      <w:tr w:rsidR="001A70B8" w:rsidRPr="002029AF" w14:paraId="045913CD" w14:textId="77777777" w:rsidTr="00D429B0">
        <w:trPr>
          <w:cantSplit/>
        </w:trPr>
        <w:tc>
          <w:tcPr>
            <w:tcW w:w="1318" w:type="pct"/>
            <w:tcBorders>
              <w:top w:val="single" w:sz="4" w:space="0" w:color="BFBFBF" w:themeColor="background1" w:themeShade="BF"/>
            </w:tcBorders>
            <w:shd w:val="clear" w:color="auto" w:fill="auto"/>
          </w:tcPr>
          <w:p w14:paraId="4B653E84" w14:textId="77777777" w:rsidR="001A70B8" w:rsidRPr="00AF50BC" w:rsidRDefault="001A70B8" w:rsidP="00101E5D">
            <w:pPr>
              <w:pStyle w:val="ARtabletext"/>
              <w:shd w:val="clear" w:color="auto" w:fill="FFFFFF" w:themeFill="background1"/>
            </w:pPr>
            <w:r>
              <w:t>$560,000–$579,999</w:t>
            </w:r>
          </w:p>
        </w:tc>
        <w:tc>
          <w:tcPr>
            <w:tcW w:w="654" w:type="pct"/>
            <w:tcBorders>
              <w:top w:val="single" w:sz="4" w:space="0" w:color="BFBFBF" w:themeColor="background1" w:themeShade="BF"/>
            </w:tcBorders>
            <w:shd w:val="clear" w:color="auto" w:fill="auto"/>
          </w:tcPr>
          <w:p w14:paraId="061C1C68" w14:textId="77777777" w:rsidR="001A70B8" w:rsidRPr="00F42917" w:rsidRDefault="001A70B8" w:rsidP="00101E5D">
            <w:pPr>
              <w:pStyle w:val="ARtabletextright"/>
              <w:shd w:val="clear" w:color="auto" w:fill="FFFFFF" w:themeFill="background1"/>
              <w:rPr>
                <w:color w:val="000000" w:themeColor="text1"/>
              </w:rPr>
            </w:pPr>
          </w:p>
        </w:tc>
        <w:tc>
          <w:tcPr>
            <w:tcW w:w="506" w:type="pct"/>
            <w:tcBorders>
              <w:top w:val="single" w:sz="4" w:space="0" w:color="BFBFBF" w:themeColor="background1" w:themeShade="BF"/>
            </w:tcBorders>
            <w:shd w:val="clear" w:color="auto" w:fill="auto"/>
          </w:tcPr>
          <w:p w14:paraId="7F7A7C12" w14:textId="77777777" w:rsidR="001A70B8" w:rsidRDefault="001A70B8" w:rsidP="00101E5D">
            <w:pPr>
              <w:pStyle w:val="ARtabletextright"/>
              <w:shd w:val="clear" w:color="auto" w:fill="FFFFFF" w:themeFill="background1"/>
              <w:rPr>
                <w:color w:val="000000" w:themeColor="text1"/>
              </w:rPr>
            </w:pPr>
          </w:p>
        </w:tc>
        <w:tc>
          <w:tcPr>
            <w:tcW w:w="428" w:type="pct"/>
            <w:tcBorders>
              <w:top w:val="single" w:sz="4" w:space="0" w:color="BFBFBF" w:themeColor="background1" w:themeShade="BF"/>
            </w:tcBorders>
            <w:shd w:val="clear" w:color="auto" w:fill="auto"/>
          </w:tcPr>
          <w:p w14:paraId="18F6CAE2"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tcBorders>
          </w:tcPr>
          <w:p w14:paraId="4ED1FBD2" w14:textId="77777777" w:rsidR="001A70B8" w:rsidRDefault="001A70B8" w:rsidP="00101E5D">
            <w:pPr>
              <w:pStyle w:val="ARtabletextright"/>
              <w:shd w:val="clear" w:color="auto" w:fill="FFFFFF" w:themeFill="background1"/>
              <w:rPr>
                <w:color w:val="000000" w:themeColor="text1"/>
              </w:rPr>
            </w:pPr>
          </w:p>
        </w:tc>
        <w:tc>
          <w:tcPr>
            <w:tcW w:w="507" w:type="pct"/>
            <w:tcBorders>
              <w:top w:val="single" w:sz="4" w:space="0" w:color="BFBFBF" w:themeColor="background1" w:themeShade="BF"/>
            </w:tcBorders>
          </w:tcPr>
          <w:p w14:paraId="68B67836" w14:textId="77777777" w:rsidR="001A70B8" w:rsidRPr="002029AF" w:rsidRDefault="001A70B8" w:rsidP="00101E5D">
            <w:pPr>
              <w:pStyle w:val="ARtabletextright"/>
              <w:shd w:val="clear" w:color="auto" w:fill="FFFFFF" w:themeFill="background1"/>
              <w:rPr>
                <w:highlight w:val="yellow"/>
              </w:rPr>
            </w:pPr>
          </w:p>
        </w:tc>
        <w:tc>
          <w:tcPr>
            <w:tcW w:w="433" w:type="pct"/>
            <w:tcBorders>
              <w:top w:val="single" w:sz="4" w:space="0" w:color="BFBFBF" w:themeColor="background1" w:themeShade="BF"/>
            </w:tcBorders>
          </w:tcPr>
          <w:p w14:paraId="3B2E900D" w14:textId="77777777" w:rsidR="001A70B8" w:rsidRPr="002029AF" w:rsidRDefault="001A70B8" w:rsidP="00101E5D">
            <w:pPr>
              <w:pStyle w:val="ARtabletextright"/>
              <w:shd w:val="clear" w:color="auto" w:fill="FFFFFF" w:themeFill="background1"/>
            </w:pPr>
          </w:p>
        </w:tc>
      </w:tr>
      <w:tr w:rsidR="001A70B8" w:rsidRPr="002029AF" w14:paraId="15CA34A5" w14:textId="77777777" w:rsidTr="00D429B0">
        <w:trPr>
          <w:cantSplit/>
        </w:trPr>
        <w:tc>
          <w:tcPr>
            <w:tcW w:w="1318" w:type="pct"/>
            <w:tcBorders>
              <w:top w:val="single" w:sz="4" w:space="0" w:color="BFBFBF" w:themeColor="background1" w:themeShade="BF"/>
            </w:tcBorders>
            <w:shd w:val="clear" w:color="auto" w:fill="auto"/>
          </w:tcPr>
          <w:p w14:paraId="6859411D" w14:textId="77777777" w:rsidR="001A70B8" w:rsidRDefault="001A70B8" w:rsidP="00101E5D">
            <w:pPr>
              <w:pStyle w:val="ARtabletext"/>
              <w:shd w:val="clear" w:color="auto" w:fill="FFFFFF" w:themeFill="background1"/>
            </w:pPr>
            <w:r>
              <w:t>$580,000–$599,999</w:t>
            </w:r>
          </w:p>
        </w:tc>
        <w:tc>
          <w:tcPr>
            <w:tcW w:w="654" w:type="pct"/>
            <w:tcBorders>
              <w:top w:val="single" w:sz="4" w:space="0" w:color="BFBFBF" w:themeColor="background1" w:themeShade="BF"/>
            </w:tcBorders>
            <w:shd w:val="clear" w:color="auto" w:fill="auto"/>
          </w:tcPr>
          <w:p w14:paraId="4323E4BB" w14:textId="77777777" w:rsidR="001A70B8" w:rsidRDefault="001A70B8" w:rsidP="00101E5D">
            <w:pPr>
              <w:pStyle w:val="ARtabletextright"/>
              <w:shd w:val="clear" w:color="auto" w:fill="FFFFFF" w:themeFill="background1"/>
              <w:rPr>
                <w:color w:val="000000" w:themeColor="text1"/>
              </w:rPr>
            </w:pPr>
          </w:p>
        </w:tc>
        <w:tc>
          <w:tcPr>
            <w:tcW w:w="506" w:type="pct"/>
            <w:tcBorders>
              <w:top w:val="single" w:sz="4" w:space="0" w:color="BFBFBF" w:themeColor="background1" w:themeShade="BF"/>
            </w:tcBorders>
            <w:shd w:val="clear" w:color="auto" w:fill="auto"/>
          </w:tcPr>
          <w:p w14:paraId="530AA2B0" w14:textId="77777777" w:rsidR="001A70B8" w:rsidRDefault="001A70B8" w:rsidP="00101E5D">
            <w:pPr>
              <w:pStyle w:val="ARtabletextright"/>
              <w:shd w:val="clear" w:color="auto" w:fill="FFFFFF" w:themeFill="background1"/>
              <w:rPr>
                <w:color w:val="000000" w:themeColor="text1"/>
              </w:rPr>
            </w:pPr>
          </w:p>
        </w:tc>
        <w:tc>
          <w:tcPr>
            <w:tcW w:w="428" w:type="pct"/>
            <w:tcBorders>
              <w:top w:val="single" w:sz="4" w:space="0" w:color="BFBFBF" w:themeColor="background1" w:themeShade="BF"/>
            </w:tcBorders>
            <w:shd w:val="clear" w:color="auto" w:fill="auto"/>
          </w:tcPr>
          <w:p w14:paraId="5A102216"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tcBorders>
          </w:tcPr>
          <w:p w14:paraId="37F89244" w14:textId="77777777" w:rsidR="001A70B8" w:rsidRDefault="001A70B8" w:rsidP="00101E5D">
            <w:pPr>
              <w:pStyle w:val="ARtabletextright"/>
              <w:shd w:val="clear" w:color="auto" w:fill="FFFFFF" w:themeFill="background1"/>
              <w:rPr>
                <w:color w:val="000000" w:themeColor="text1"/>
              </w:rPr>
            </w:pPr>
          </w:p>
        </w:tc>
        <w:tc>
          <w:tcPr>
            <w:tcW w:w="507" w:type="pct"/>
            <w:tcBorders>
              <w:top w:val="single" w:sz="4" w:space="0" w:color="BFBFBF" w:themeColor="background1" w:themeShade="BF"/>
            </w:tcBorders>
          </w:tcPr>
          <w:p w14:paraId="5610003C" w14:textId="77777777" w:rsidR="001A70B8" w:rsidRPr="002029AF" w:rsidRDefault="001A70B8" w:rsidP="00101E5D">
            <w:pPr>
              <w:pStyle w:val="ARtabletextright"/>
              <w:shd w:val="clear" w:color="auto" w:fill="FFFFFF" w:themeFill="background1"/>
              <w:rPr>
                <w:highlight w:val="yellow"/>
              </w:rPr>
            </w:pPr>
          </w:p>
        </w:tc>
        <w:tc>
          <w:tcPr>
            <w:tcW w:w="433" w:type="pct"/>
            <w:tcBorders>
              <w:top w:val="single" w:sz="4" w:space="0" w:color="BFBFBF" w:themeColor="background1" w:themeShade="BF"/>
            </w:tcBorders>
          </w:tcPr>
          <w:p w14:paraId="3EE5ED37" w14:textId="77777777" w:rsidR="001A70B8" w:rsidRPr="002029AF" w:rsidRDefault="001A70B8" w:rsidP="00101E5D">
            <w:pPr>
              <w:pStyle w:val="ARtabletextright"/>
              <w:shd w:val="clear" w:color="auto" w:fill="FFFFFF" w:themeFill="background1"/>
            </w:pPr>
          </w:p>
        </w:tc>
      </w:tr>
      <w:tr w:rsidR="001A70B8" w:rsidRPr="002029AF" w14:paraId="7CE8702E" w14:textId="77777777" w:rsidTr="00D429B0">
        <w:trPr>
          <w:cantSplit/>
        </w:trPr>
        <w:tc>
          <w:tcPr>
            <w:tcW w:w="1318" w:type="pct"/>
            <w:tcBorders>
              <w:top w:val="single" w:sz="4" w:space="0" w:color="BFBFBF" w:themeColor="background1" w:themeShade="BF"/>
            </w:tcBorders>
            <w:shd w:val="clear" w:color="auto" w:fill="auto"/>
          </w:tcPr>
          <w:p w14:paraId="0952535E" w14:textId="77777777" w:rsidR="001A70B8" w:rsidRDefault="001A70B8" w:rsidP="00101E5D">
            <w:pPr>
              <w:pStyle w:val="ARtabletext"/>
              <w:shd w:val="clear" w:color="auto" w:fill="FFFFFF" w:themeFill="background1"/>
            </w:pPr>
            <w:r>
              <w:t>$600,000–$629,999</w:t>
            </w:r>
          </w:p>
        </w:tc>
        <w:tc>
          <w:tcPr>
            <w:tcW w:w="654" w:type="pct"/>
            <w:tcBorders>
              <w:top w:val="single" w:sz="4" w:space="0" w:color="BFBFBF" w:themeColor="background1" w:themeShade="BF"/>
            </w:tcBorders>
            <w:shd w:val="clear" w:color="auto" w:fill="auto"/>
          </w:tcPr>
          <w:p w14:paraId="3655042E" w14:textId="77777777" w:rsidR="001A70B8" w:rsidRDefault="001A70B8" w:rsidP="00101E5D">
            <w:pPr>
              <w:pStyle w:val="ARtabletextright"/>
              <w:shd w:val="clear" w:color="auto" w:fill="FFFFFF" w:themeFill="background1"/>
              <w:rPr>
                <w:color w:val="000000" w:themeColor="text1"/>
              </w:rPr>
            </w:pPr>
            <w:r>
              <w:rPr>
                <w:color w:val="000000" w:themeColor="text1"/>
              </w:rPr>
              <w:t>1</w:t>
            </w:r>
          </w:p>
        </w:tc>
        <w:tc>
          <w:tcPr>
            <w:tcW w:w="506" w:type="pct"/>
            <w:tcBorders>
              <w:top w:val="single" w:sz="4" w:space="0" w:color="BFBFBF" w:themeColor="background1" w:themeShade="BF"/>
            </w:tcBorders>
            <w:shd w:val="clear" w:color="auto" w:fill="auto"/>
          </w:tcPr>
          <w:p w14:paraId="768E3A0A" w14:textId="77777777" w:rsidR="001A70B8" w:rsidRDefault="001A70B8" w:rsidP="00101E5D">
            <w:pPr>
              <w:pStyle w:val="ARtabletextright"/>
              <w:shd w:val="clear" w:color="auto" w:fill="FFFFFF" w:themeFill="background1"/>
              <w:rPr>
                <w:color w:val="000000" w:themeColor="text1"/>
              </w:rPr>
            </w:pPr>
          </w:p>
        </w:tc>
        <w:tc>
          <w:tcPr>
            <w:tcW w:w="428" w:type="pct"/>
            <w:tcBorders>
              <w:top w:val="single" w:sz="4" w:space="0" w:color="BFBFBF" w:themeColor="background1" w:themeShade="BF"/>
            </w:tcBorders>
            <w:shd w:val="clear" w:color="auto" w:fill="auto"/>
          </w:tcPr>
          <w:p w14:paraId="49558FF6" w14:textId="77777777" w:rsidR="001A70B8" w:rsidRPr="002029AF" w:rsidRDefault="001A70B8" w:rsidP="00101E5D">
            <w:pPr>
              <w:pStyle w:val="ARtabletextright"/>
              <w:shd w:val="clear" w:color="auto" w:fill="FFFFFF" w:themeFill="background1"/>
              <w:rPr>
                <w:color w:val="000000" w:themeColor="text1"/>
              </w:rPr>
            </w:pPr>
          </w:p>
        </w:tc>
        <w:tc>
          <w:tcPr>
            <w:tcW w:w="1154" w:type="pct"/>
            <w:tcBorders>
              <w:top w:val="single" w:sz="4" w:space="0" w:color="BFBFBF" w:themeColor="background1" w:themeShade="BF"/>
            </w:tcBorders>
          </w:tcPr>
          <w:p w14:paraId="7280B3A5" w14:textId="77777777" w:rsidR="001A70B8" w:rsidRDefault="001A70B8" w:rsidP="00101E5D">
            <w:pPr>
              <w:pStyle w:val="ARtabletextright"/>
              <w:shd w:val="clear" w:color="auto" w:fill="FFFFFF" w:themeFill="background1"/>
              <w:rPr>
                <w:color w:val="000000" w:themeColor="text1"/>
              </w:rPr>
            </w:pPr>
          </w:p>
        </w:tc>
        <w:tc>
          <w:tcPr>
            <w:tcW w:w="507" w:type="pct"/>
            <w:tcBorders>
              <w:top w:val="single" w:sz="4" w:space="0" w:color="BFBFBF" w:themeColor="background1" w:themeShade="BF"/>
            </w:tcBorders>
          </w:tcPr>
          <w:p w14:paraId="4E78B4A1" w14:textId="77777777" w:rsidR="001A70B8" w:rsidRPr="002029AF" w:rsidRDefault="001A70B8" w:rsidP="00101E5D">
            <w:pPr>
              <w:pStyle w:val="ARtabletextright"/>
              <w:shd w:val="clear" w:color="auto" w:fill="FFFFFF" w:themeFill="background1"/>
              <w:rPr>
                <w:highlight w:val="yellow"/>
              </w:rPr>
            </w:pPr>
          </w:p>
        </w:tc>
        <w:tc>
          <w:tcPr>
            <w:tcW w:w="433" w:type="pct"/>
            <w:tcBorders>
              <w:top w:val="single" w:sz="4" w:space="0" w:color="BFBFBF" w:themeColor="background1" w:themeShade="BF"/>
            </w:tcBorders>
          </w:tcPr>
          <w:p w14:paraId="07B66FB7" w14:textId="77777777" w:rsidR="001A70B8" w:rsidRPr="002029AF" w:rsidRDefault="001A70B8" w:rsidP="00101E5D">
            <w:pPr>
              <w:pStyle w:val="ARtabletextright"/>
              <w:shd w:val="clear" w:color="auto" w:fill="FFFFFF" w:themeFill="background1"/>
            </w:pPr>
          </w:p>
        </w:tc>
      </w:tr>
      <w:tr w:rsidR="001A70B8" w:rsidRPr="002029AF" w14:paraId="7D74951E" w14:textId="77777777" w:rsidTr="00D429B0">
        <w:trPr>
          <w:cantSplit/>
        </w:trPr>
        <w:tc>
          <w:tcPr>
            <w:tcW w:w="1318" w:type="pct"/>
            <w:tcBorders>
              <w:top w:val="single" w:sz="4" w:space="0" w:color="BFBFBF" w:themeColor="background1" w:themeShade="BF"/>
            </w:tcBorders>
            <w:shd w:val="clear" w:color="auto" w:fill="auto"/>
          </w:tcPr>
          <w:p w14:paraId="7C249775" w14:textId="77777777" w:rsidR="001A70B8" w:rsidRPr="00AF50BC" w:rsidRDefault="001A70B8" w:rsidP="006E3A00">
            <w:pPr>
              <w:pStyle w:val="ARtabletextbold"/>
            </w:pPr>
            <w:r w:rsidRPr="00AF50BC">
              <w:t>Total</w:t>
            </w:r>
          </w:p>
        </w:tc>
        <w:tc>
          <w:tcPr>
            <w:tcW w:w="654" w:type="pct"/>
            <w:tcBorders>
              <w:top w:val="single" w:sz="4" w:space="0" w:color="BFBFBF" w:themeColor="background1" w:themeShade="BF"/>
            </w:tcBorders>
            <w:shd w:val="clear" w:color="auto" w:fill="auto"/>
          </w:tcPr>
          <w:p w14:paraId="22D3625C" w14:textId="77777777" w:rsidR="001A70B8" w:rsidRPr="002029AF" w:rsidRDefault="001A70B8" w:rsidP="006E3A00">
            <w:pPr>
              <w:pStyle w:val="ARtabletextrightbold"/>
            </w:pPr>
            <w:r w:rsidRPr="00F42917">
              <w:t>1</w:t>
            </w:r>
            <w:r>
              <w:t>89</w:t>
            </w:r>
          </w:p>
        </w:tc>
        <w:tc>
          <w:tcPr>
            <w:tcW w:w="506" w:type="pct"/>
            <w:tcBorders>
              <w:top w:val="single" w:sz="4" w:space="0" w:color="BFBFBF" w:themeColor="background1" w:themeShade="BF"/>
            </w:tcBorders>
            <w:shd w:val="clear" w:color="auto" w:fill="auto"/>
          </w:tcPr>
          <w:p w14:paraId="22712AD5" w14:textId="77777777" w:rsidR="001A70B8" w:rsidRPr="002029AF" w:rsidRDefault="001A70B8" w:rsidP="006E3A00">
            <w:pPr>
              <w:pStyle w:val="ARtabletextrightbold"/>
            </w:pPr>
            <w:r>
              <w:t>31</w:t>
            </w:r>
          </w:p>
        </w:tc>
        <w:tc>
          <w:tcPr>
            <w:tcW w:w="428" w:type="pct"/>
            <w:tcBorders>
              <w:top w:val="single" w:sz="4" w:space="0" w:color="BFBFBF" w:themeColor="background1" w:themeShade="BF"/>
            </w:tcBorders>
            <w:shd w:val="clear" w:color="auto" w:fill="auto"/>
          </w:tcPr>
          <w:p w14:paraId="6A84E4D3" w14:textId="77777777" w:rsidR="001A70B8" w:rsidRPr="002029AF" w:rsidRDefault="001A70B8" w:rsidP="006E3A00">
            <w:pPr>
              <w:pStyle w:val="ARtabletextrightbold"/>
            </w:pPr>
          </w:p>
        </w:tc>
        <w:tc>
          <w:tcPr>
            <w:tcW w:w="1154" w:type="pct"/>
            <w:tcBorders>
              <w:top w:val="single" w:sz="4" w:space="0" w:color="BFBFBF" w:themeColor="background1" w:themeShade="BF"/>
            </w:tcBorders>
          </w:tcPr>
          <w:p w14:paraId="074B5C61" w14:textId="77777777" w:rsidR="001A70B8" w:rsidRPr="002029AF" w:rsidRDefault="001A70B8" w:rsidP="006E3A00">
            <w:pPr>
              <w:pStyle w:val="ARtabletextrightbold"/>
            </w:pPr>
            <w:r>
              <w:t>13</w:t>
            </w:r>
          </w:p>
        </w:tc>
        <w:tc>
          <w:tcPr>
            <w:tcW w:w="507" w:type="pct"/>
            <w:tcBorders>
              <w:top w:val="single" w:sz="4" w:space="0" w:color="BFBFBF" w:themeColor="background1" w:themeShade="BF"/>
            </w:tcBorders>
          </w:tcPr>
          <w:p w14:paraId="7123B407" w14:textId="77777777" w:rsidR="001A70B8" w:rsidRPr="002029AF" w:rsidRDefault="001A70B8" w:rsidP="006E3A00">
            <w:pPr>
              <w:pStyle w:val="ARtabletextrightbold"/>
              <w:rPr>
                <w:highlight w:val="yellow"/>
              </w:rPr>
            </w:pPr>
          </w:p>
        </w:tc>
        <w:tc>
          <w:tcPr>
            <w:tcW w:w="433" w:type="pct"/>
            <w:tcBorders>
              <w:top w:val="single" w:sz="4" w:space="0" w:color="BFBFBF" w:themeColor="background1" w:themeShade="BF"/>
            </w:tcBorders>
          </w:tcPr>
          <w:p w14:paraId="01BE52A1" w14:textId="77777777" w:rsidR="001A70B8" w:rsidRPr="002029AF" w:rsidRDefault="001A70B8" w:rsidP="006E3A00">
            <w:pPr>
              <w:pStyle w:val="ARtabletextrightbold"/>
            </w:pPr>
            <w:r>
              <w:t>133</w:t>
            </w:r>
          </w:p>
        </w:tc>
      </w:tr>
    </w:tbl>
    <w:p w14:paraId="7C89ADA9" w14:textId="77777777" w:rsidR="001A70B8" w:rsidRDefault="001A70B8" w:rsidP="00101E5D">
      <w:pPr>
        <w:pStyle w:val="Heading3"/>
        <w:shd w:val="clear" w:color="auto" w:fill="FFFFFF" w:themeFill="background1"/>
      </w:pPr>
      <w:bookmarkStart w:id="265" w:name="_Toc85121231"/>
      <w:r w:rsidRPr="002029AF">
        <w:t>Safer</w:t>
      </w:r>
      <w:r>
        <w:t xml:space="preserve"> </w:t>
      </w:r>
      <w:r w:rsidRPr="002029AF">
        <w:t>Care</w:t>
      </w:r>
      <w:r>
        <w:t xml:space="preserve"> </w:t>
      </w:r>
      <w:r w:rsidRPr="002029AF">
        <w:t>Victoria</w:t>
      </w:r>
      <w:r>
        <w:t xml:space="preserve"> </w:t>
      </w:r>
      <w:r w:rsidRPr="002029AF">
        <w:t>employment</w:t>
      </w:r>
      <w:r>
        <w:t xml:space="preserve"> </w:t>
      </w:r>
      <w:r w:rsidRPr="002029AF">
        <w:t>levels</w:t>
      </w:r>
      <w:bookmarkEnd w:id="265"/>
    </w:p>
    <w:p w14:paraId="48D836A3" w14:textId="034442C0" w:rsidR="001A70B8" w:rsidRPr="00B26015" w:rsidRDefault="001A70B8" w:rsidP="00101E5D">
      <w:pPr>
        <w:pStyle w:val="ARbody"/>
        <w:shd w:val="clear" w:color="auto" w:fill="FFFFFF" w:themeFill="background1"/>
        <w:rPr>
          <w:lang w:eastAsia="en-AU"/>
        </w:rPr>
      </w:pPr>
      <w:r w:rsidRPr="00EB6CE0">
        <w:rPr>
          <w:lang w:eastAsia="en-AU"/>
        </w:rPr>
        <w:t>The</w:t>
      </w:r>
      <w:r>
        <w:rPr>
          <w:lang w:eastAsia="en-AU"/>
        </w:rPr>
        <w:t xml:space="preserve"> </w:t>
      </w:r>
      <w:r w:rsidRPr="00EB6CE0">
        <w:rPr>
          <w:lang w:eastAsia="en-AU"/>
        </w:rPr>
        <w:t>following</w:t>
      </w:r>
      <w:r>
        <w:rPr>
          <w:lang w:eastAsia="en-AU"/>
        </w:rPr>
        <w:t xml:space="preserve"> </w:t>
      </w:r>
      <w:r w:rsidRPr="00EB6CE0">
        <w:rPr>
          <w:lang w:eastAsia="en-AU"/>
        </w:rPr>
        <w:t>table</w:t>
      </w:r>
      <w:r>
        <w:rPr>
          <w:lang w:eastAsia="en-AU"/>
        </w:rPr>
        <w:t xml:space="preserve">s </w:t>
      </w:r>
      <w:r w:rsidRPr="00EB6CE0">
        <w:rPr>
          <w:lang w:eastAsia="en-AU"/>
        </w:rPr>
        <w:t>disclose</w:t>
      </w:r>
      <w:r>
        <w:rPr>
          <w:lang w:eastAsia="en-AU"/>
        </w:rPr>
        <w:t xml:space="preserve">, by </w:t>
      </w:r>
      <w:r w:rsidRPr="00EB6CE0">
        <w:rPr>
          <w:lang w:eastAsia="en-AU"/>
        </w:rPr>
        <w:t>head</w:t>
      </w:r>
      <w:r>
        <w:rPr>
          <w:lang w:eastAsia="en-AU"/>
        </w:rPr>
        <w:t xml:space="preserve"> </w:t>
      </w:r>
      <w:r w:rsidRPr="00EB6CE0">
        <w:rPr>
          <w:lang w:eastAsia="en-AU"/>
        </w:rPr>
        <w:t>count</w:t>
      </w:r>
      <w:r>
        <w:rPr>
          <w:lang w:eastAsia="en-AU"/>
        </w:rPr>
        <w:t xml:space="preserve"> </w:t>
      </w:r>
      <w:r w:rsidRPr="00EB6CE0">
        <w:rPr>
          <w:lang w:eastAsia="en-AU"/>
        </w:rPr>
        <w:t>and</w:t>
      </w:r>
      <w:r>
        <w:rPr>
          <w:lang w:eastAsia="en-AU"/>
        </w:rPr>
        <w:t xml:space="preserve"> </w:t>
      </w:r>
      <w:r w:rsidRPr="00EB6CE0">
        <w:rPr>
          <w:lang w:eastAsia="en-AU"/>
        </w:rPr>
        <w:t>full-time</w:t>
      </w:r>
      <w:r>
        <w:rPr>
          <w:lang w:eastAsia="en-AU"/>
        </w:rPr>
        <w:t xml:space="preserve"> </w:t>
      </w:r>
      <w:r w:rsidRPr="00EB6CE0">
        <w:rPr>
          <w:lang w:eastAsia="en-AU"/>
        </w:rPr>
        <w:t>staff</w:t>
      </w:r>
      <w:r>
        <w:rPr>
          <w:lang w:eastAsia="en-AU"/>
        </w:rPr>
        <w:t xml:space="preserve"> </w:t>
      </w:r>
      <w:r w:rsidRPr="00EB6CE0">
        <w:rPr>
          <w:lang w:eastAsia="en-AU"/>
        </w:rPr>
        <w:t>equivalent</w:t>
      </w:r>
      <w:r>
        <w:rPr>
          <w:lang w:eastAsia="en-AU"/>
        </w:rPr>
        <w:t xml:space="preserve"> </w:t>
      </w:r>
      <w:r w:rsidRPr="00EB6CE0">
        <w:rPr>
          <w:lang w:eastAsia="en-AU"/>
        </w:rPr>
        <w:t>(FTE)</w:t>
      </w:r>
      <w:r>
        <w:rPr>
          <w:lang w:eastAsia="en-AU"/>
        </w:rPr>
        <w:t xml:space="preserve">, the number </w:t>
      </w:r>
      <w:r w:rsidRPr="00EB6CE0">
        <w:rPr>
          <w:lang w:eastAsia="en-AU"/>
        </w:rPr>
        <w:t>of</w:t>
      </w:r>
      <w:r>
        <w:rPr>
          <w:lang w:eastAsia="en-AU"/>
        </w:rPr>
        <w:t xml:space="preserve"> </w:t>
      </w:r>
      <w:r w:rsidRPr="00EB6CE0">
        <w:rPr>
          <w:lang w:eastAsia="en-AU"/>
        </w:rPr>
        <w:t>all</w:t>
      </w:r>
      <w:r>
        <w:rPr>
          <w:lang w:eastAsia="en-AU"/>
        </w:rPr>
        <w:t xml:space="preserve"> </w:t>
      </w:r>
      <w:r w:rsidRPr="00EB6CE0">
        <w:rPr>
          <w:lang w:eastAsia="en-AU"/>
        </w:rPr>
        <w:t>active</w:t>
      </w:r>
      <w:r>
        <w:rPr>
          <w:lang w:eastAsia="en-AU"/>
        </w:rPr>
        <w:t xml:space="preserve"> </w:t>
      </w:r>
      <w:r w:rsidRPr="00EB6CE0">
        <w:rPr>
          <w:lang w:eastAsia="en-AU"/>
        </w:rPr>
        <w:t>public</w:t>
      </w:r>
      <w:r>
        <w:rPr>
          <w:lang w:eastAsia="en-AU"/>
        </w:rPr>
        <w:t xml:space="preserve"> </w:t>
      </w:r>
      <w:r w:rsidRPr="00EB6CE0">
        <w:rPr>
          <w:lang w:eastAsia="en-AU"/>
        </w:rPr>
        <w:t>service</w:t>
      </w:r>
      <w:r>
        <w:rPr>
          <w:lang w:eastAsia="en-AU"/>
        </w:rPr>
        <w:t xml:space="preserve"> </w:t>
      </w:r>
      <w:r w:rsidRPr="00EB6CE0">
        <w:rPr>
          <w:lang w:eastAsia="en-AU"/>
        </w:rPr>
        <w:t>employees</w:t>
      </w:r>
      <w:r>
        <w:rPr>
          <w:lang w:eastAsia="en-AU"/>
        </w:rPr>
        <w:t xml:space="preserve"> </w:t>
      </w:r>
      <w:r w:rsidRPr="00EB6CE0">
        <w:rPr>
          <w:lang w:eastAsia="en-AU"/>
        </w:rPr>
        <w:t>of</w:t>
      </w:r>
      <w:r>
        <w:rPr>
          <w:lang w:eastAsia="en-AU"/>
        </w:rPr>
        <w:t xml:space="preserve"> </w:t>
      </w:r>
      <w:r w:rsidRPr="00EB6CE0">
        <w:rPr>
          <w:lang w:eastAsia="en-AU"/>
        </w:rPr>
        <w:t>the</w:t>
      </w:r>
      <w:r>
        <w:rPr>
          <w:lang w:eastAsia="en-AU"/>
        </w:rPr>
        <w:t xml:space="preserve"> administrative office</w:t>
      </w:r>
      <w:r w:rsidR="006021B0">
        <w:rPr>
          <w:lang w:eastAsia="en-AU"/>
        </w:rPr>
        <w:t>,</w:t>
      </w:r>
      <w:r>
        <w:rPr>
          <w:lang w:eastAsia="en-AU"/>
        </w:rPr>
        <w:t xml:space="preserve"> Safer Care Victoria</w:t>
      </w:r>
      <w:r w:rsidRPr="00EB6CE0">
        <w:rPr>
          <w:lang w:eastAsia="en-AU"/>
        </w:rPr>
        <w:t>,</w:t>
      </w:r>
      <w:r>
        <w:rPr>
          <w:lang w:eastAsia="en-AU"/>
        </w:rPr>
        <w:t xml:space="preserve"> </w:t>
      </w:r>
      <w:r w:rsidRPr="00EB6CE0">
        <w:rPr>
          <w:lang w:eastAsia="en-AU"/>
        </w:rPr>
        <w:t>employed</w:t>
      </w:r>
      <w:r>
        <w:rPr>
          <w:lang w:eastAsia="en-AU"/>
        </w:rPr>
        <w:t xml:space="preserve"> </w:t>
      </w:r>
      <w:r w:rsidRPr="00EB6CE0">
        <w:rPr>
          <w:lang w:eastAsia="en-AU"/>
        </w:rPr>
        <w:t>in</w:t>
      </w:r>
      <w:r>
        <w:rPr>
          <w:lang w:eastAsia="en-AU"/>
        </w:rPr>
        <w:t xml:space="preserve"> </w:t>
      </w:r>
      <w:r w:rsidRPr="00EB6CE0">
        <w:rPr>
          <w:lang w:eastAsia="en-AU"/>
        </w:rPr>
        <w:t>the</w:t>
      </w:r>
      <w:r>
        <w:rPr>
          <w:lang w:eastAsia="en-AU"/>
        </w:rPr>
        <w:t xml:space="preserve"> </w:t>
      </w:r>
      <w:r w:rsidRPr="00EB6CE0">
        <w:rPr>
          <w:lang w:eastAsia="en-AU"/>
        </w:rPr>
        <w:t>last</w:t>
      </w:r>
      <w:r>
        <w:rPr>
          <w:lang w:eastAsia="en-AU"/>
        </w:rPr>
        <w:t xml:space="preserve"> </w:t>
      </w:r>
      <w:r w:rsidRPr="00EB6CE0">
        <w:rPr>
          <w:lang w:eastAsia="en-AU"/>
        </w:rPr>
        <w:t>full</w:t>
      </w:r>
      <w:r>
        <w:rPr>
          <w:lang w:eastAsia="en-AU"/>
        </w:rPr>
        <w:t xml:space="preserve"> </w:t>
      </w:r>
      <w:r w:rsidRPr="00EB6CE0">
        <w:rPr>
          <w:lang w:eastAsia="en-AU"/>
        </w:rPr>
        <w:t>pay</w:t>
      </w:r>
      <w:r>
        <w:rPr>
          <w:lang w:eastAsia="en-AU"/>
        </w:rPr>
        <w:t xml:space="preserve"> </w:t>
      </w:r>
      <w:r w:rsidRPr="00EB6CE0">
        <w:rPr>
          <w:lang w:eastAsia="en-AU"/>
        </w:rPr>
        <w:t>period</w:t>
      </w:r>
      <w:r>
        <w:rPr>
          <w:lang w:eastAsia="en-AU"/>
        </w:rPr>
        <w:t xml:space="preserve"> </w:t>
      </w:r>
      <w:r w:rsidRPr="00EB6CE0">
        <w:rPr>
          <w:lang w:eastAsia="en-AU"/>
        </w:rPr>
        <w:t>in</w:t>
      </w:r>
      <w:r>
        <w:rPr>
          <w:lang w:eastAsia="en-AU"/>
        </w:rPr>
        <w:t xml:space="preserve"> </w:t>
      </w:r>
      <w:r w:rsidRPr="00EB6CE0">
        <w:rPr>
          <w:lang w:eastAsia="en-AU"/>
        </w:rPr>
        <w:t>June</w:t>
      </w:r>
      <w:r>
        <w:rPr>
          <w:lang w:eastAsia="en-AU"/>
        </w:rPr>
        <w:t xml:space="preserve"> </w:t>
      </w:r>
      <w:r w:rsidRPr="00EB6CE0">
        <w:rPr>
          <w:lang w:eastAsia="en-AU"/>
        </w:rPr>
        <w:t>of</w:t>
      </w:r>
      <w:r>
        <w:rPr>
          <w:lang w:eastAsia="en-AU"/>
        </w:rPr>
        <w:t xml:space="preserve"> </w:t>
      </w:r>
      <w:r w:rsidRPr="00EB6CE0">
        <w:rPr>
          <w:lang w:eastAsia="en-AU"/>
        </w:rPr>
        <w:t>the</w:t>
      </w:r>
      <w:r>
        <w:rPr>
          <w:lang w:eastAsia="en-AU"/>
        </w:rPr>
        <w:t xml:space="preserve"> </w:t>
      </w:r>
      <w:r w:rsidRPr="00EB6CE0">
        <w:rPr>
          <w:lang w:eastAsia="en-AU"/>
        </w:rPr>
        <w:t>current</w:t>
      </w:r>
      <w:r>
        <w:rPr>
          <w:lang w:eastAsia="en-AU"/>
        </w:rPr>
        <w:t xml:space="preserve"> </w:t>
      </w:r>
      <w:r w:rsidRPr="00EB6CE0">
        <w:rPr>
          <w:lang w:eastAsia="en-AU"/>
        </w:rPr>
        <w:t>reporting</w:t>
      </w:r>
      <w:r>
        <w:rPr>
          <w:lang w:eastAsia="en-AU"/>
        </w:rPr>
        <w:t xml:space="preserve"> </w:t>
      </w:r>
      <w:r w:rsidRPr="00EB6CE0">
        <w:rPr>
          <w:lang w:eastAsia="en-AU"/>
        </w:rPr>
        <w:t>period</w:t>
      </w:r>
      <w:r>
        <w:rPr>
          <w:lang w:eastAsia="en-AU"/>
        </w:rPr>
        <w:t xml:space="preserve"> </w:t>
      </w:r>
      <w:r w:rsidRPr="00583ACC">
        <w:rPr>
          <w:lang w:eastAsia="en-AU"/>
        </w:rPr>
        <w:t>and</w:t>
      </w:r>
      <w:r>
        <w:rPr>
          <w:lang w:eastAsia="en-AU"/>
        </w:rPr>
        <w:t xml:space="preserve"> </w:t>
      </w:r>
      <w:r w:rsidRPr="00583ACC">
        <w:rPr>
          <w:lang w:eastAsia="en-AU"/>
        </w:rPr>
        <w:t>in</w:t>
      </w:r>
      <w:r>
        <w:rPr>
          <w:lang w:eastAsia="en-AU"/>
        </w:rPr>
        <w:t xml:space="preserve"> </w:t>
      </w:r>
      <w:r w:rsidRPr="00583ACC">
        <w:rPr>
          <w:lang w:eastAsia="en-AU"/>
        </w:rPr>
        <w:t>the</w:t>
      </w:r>
      <w:r>
        <w:rPr>
          <w:lang w:eastAsia="en-AU"/>
        </w:rPr>
        <w:t xml:space="preserve"> </w:t>
      </w:r>
      <w:r w:rsidRPr="00583ACC">
        <w:rPr>
          <w:lang w:eastAsia="en-AU"/>
        </w:rPr>
        <w:t>last</w:t>
      </w:r>
      <w:r>
        <w:rPr>
          <w:lang w:eastAsia="en-AU"/>
        </w:rPr>
        <w:t xml:space="preserve"> </w:t>
      </w:r>
      <w:r w:rsidRPr="00583ACC">
        <w:rPr>
          <w:lang w:eastAsia="en-AU"/>
        </w:rPr>
        <w:t>full</w:t>
      </w:r>
      <w:r>
        <w:rPr>
          <w:lang w:eastAsia="en-AU"/>
        </w:rPr>
        <w:t xml:space="preserve"> </w:t>
      </w:r>
      <w:r w:rsidRPr="00583ACC">
        <w:rPr>
          <w:lang w:eastAsia="en-AU"/>
        </w:rPr>
        <w:t>pay</w:t>
      </w:r>
      <w:r>
        <w:rPr>
          <w:lang w:eastAsia="en-AU"/>
        </w:rPr>
        <w:t xml:space="preserve"> </w:t>
      </w:r>
      <w:r w:rsidRPr="00583ACC">
        <w:rPr>
          <w:lang w:eastAsia="en-AU"/>
        </w:rPr>
        <w:t>period</w:t>
      </w:r>
      <w:r>
        <w:rPr>
          <w:lang w:eastAsia="en-AU"/>
        </w:rPr>
        <w:t xml:space="preserve"> </w:t>
      </w:r>
      <w:r w:rsidRPr="00583ACC">
        <w:rPr>
          <w:lang w:eastAsia="en-AU"/>
        </w:rPr>
        <w:t>in</w:t>
      </w:r>
      <w:r>
        <w:rPr>
          <w:lang w:eastAsia="en-AU"/>
        </w:rPr>
        <w:t xml:space="preserve"> </w:t>
      </w:r>
      <w:r w:rsidRPr="00583ACC">
        <w:rPr>
          <w:lang w:eastAsia="en-AU"/>
        </w:rPr>
        <w:t>June</w:t>
      </w:r>
      <w:r>
        <w:rPr>
          <w:lang w:eastAsia="en-AU"/>
        </w:rPr>
        <w:t xml:space="preserve"> o</w:t>
      </w:r>
      <w:r w:rsidRPr="00583ACC">
        <w:rPr>
          <w:lang w:eastAsia="en-AU"/>
        </w:rPr>
        <w:t>f</w:t>
      </w:r>
      <w:r>
        <w:rPr>
          <w:lang w:eastAsia="en-AU"/>
        </w:rPr>
        <w:t xml:space="preserve"> </w:t>
      </w:r>
      <w:r w:rsidRPr="00583ACC">
        <w:rPr>
          <w:lang w:eastAsia="en-AU"/>
        </w:rPr>
        <w:t>the</w:t>
      </w:r>
      <w:r>
        <w:rPr>
          <w:lang w:eastAsia="en-AU"/>
        </w:rPr>
        <w:t xml:space="preserve"> </w:t>
      </w:r>
      <w:r w:rsidRPr="00583ACC">
        <w:rPr>
          <w:lang w:eastAsia="en-AU"/>
        </w:rPr>
        <w:t>previous</w:t>
      </w:r>
      <w:r>
        <w:rPr>
          <w:lang w:eastAsia="en-AU"/>
        </w:rPr>
        <w:t xml:space="preserve"> </w:t>
      </w:r>
      <w:r w:rsidRPr="00583ACC">
        <w:rPr>
          <w:lang w:eastAsia="en-AU"/>
        </w:rPr>
        <w:t>reporting</w:t>
      </w:r>
      <w:r>
        <w:rPr>
          <w:lang w:eastAsia="en-AU"/>
        </w:rPr>
        <w:t xml:space="preserve"> </w:t>
      </w:r>
      <w:r w:rsidRPr="00583ACC">
        <w:rPr>
          <w:lang w:eastAsia="en-AU"/>
        </w:rPr>
        <w:t>period.</w:t>
      </w:r>
    </w:p>
    <w:p w14:paraId="29B4EA00" w14:textId="56A75D25" w:rsidR="001A70B8" w:rsidRDefault="001A70B8" w:rsidP="00101E5D">
      <w:pPr>
        <w:pStyle w:val="Heading4"/>
        <w:shd w:val="clear" w:color="auto" w:fill="FFFFFF" w:themeFill="background1"/>
        <w:spacing w:after="120"/>
      </w:pPr>
      <w:bookmarkStart w:id="266" w:name="_Toc85121232"/>
      <w:r w:rsidRPr="002029AF">
        <w:t>Summary</w:t>
      </w:r>
      <w:r>
        <w:t xml:space="preserve"> </w:t>
      </w:r>
      <w:r w:rsidRPr="002029AF">
        <w:t>of</w:t>
      </w:r>
      <w:r>
        <w:t xml:space="preserve"> </w:t>
      </w:r>
      <w:r w:rsidRPr="002029AF">
        <w:t>employment</w:t>
      </w:r>
      <w:r>
        <w:t xml:space="preserve"> </w:t>
      </w:r>
      <w:r w:rsidRPr="002029AF">
        <w:t>levels</w:t>
      </w:r>
      <w:r>
        <w:t xml:space="preserve"> </w:t>
      </w:r>
      <w:r w:rsidRPr="002029AF">
        <w:t>in</w:t>
      </w:r>
      <w:r>
        <w:t xml:space="preserve"> </w:t>
      </w:r>
      <w:r w:rsidRPr="002029AF">
        <w:t>June</w:t>
      </w:r>
      <w:r>
        <w:t xml:space="preserve"> </w:t>
      </w:r>
      <w:r w:rsidRPr="002029AF">
        <w:t>of</w:t>
      </w:r>
      <w:r>
        <w:t xml:space="preserve"> </w:t>
      </w:r>
      <w:r w:rsidRPr="002029AF">
        <w:t>2</w:t>
      </w:r>
      <w:r>
        <w:t>02</w:t>
      </w:r>
      <w:r w:rsidR="00DB6853">
        <w:t>2</w:t>
      </w:r>
      <w:r>
        <w:t xml:space="preserve"> </w:t>
      </w:r>
      <w:r w:rsidRPr="002029AF">
        <w:t>and</w:t>
      </w:r>
      <w:r>
        <w:t xml:space="preserve"> </w:t>
      </w:r>
      <w:bookmarkEnd w:id="266"/>
      <w:r w:rsidRPr="002029AF">
        <w:t>202</w:t>
      </w:r>
      <w:r w:rsidR="00DB6853">
        <w:t>1</w:t>
      </w:r>
    </w:p>
    <w:tbl>
      <w:tblPr>
        <w:tblStyle w:val="TableGrid"/>
        <w:tblW w:w="9639" w:type="dxa"/>
        <w:tblLook w:val="06A0" w:firstRow="1" w:lastRow="0" w:firstColumn="1" w:lastColumn="0" w:noHBand="1" w:noVBand="1"/>
      </w:tblPr>
      <w:tblGrid>
        <w:gridCol w:w="1203"/>
        <w:gridCol w:w="1206"/>
        <w:gridCol w:w="1205"/>
        <w:gridCol w:w="1205"/>
        <w:gridCol w:w="1205"/>
        <w:gridCol w:w="1205"/>
        <w:gridCol w:w="1206"/>
        <w:gridCol w:w="1204"/>
      </w:tblGrid>
      <w:tr w:rsidR="001A70B8" w:rsidRPr="002029AF" w14:paraId="39EB8ACB" w14:textId="77777777" w:rsidTr="00A212B4">
        <w:trPr>
          <w:cnfStyle w:val="100000000000" w:firstRow="1" w:lastRow="0" w:firstColumn="0" w:lastColumn="0" w:oddVBand="0" w:evenVBand="0" w:oddHBand="0" w:evenHBand="0" w:firstRowFirstColumn="0" w:firstRowLastColumn="0" w:lastRowFirstColumn="0" w:lastRowLastColumn="0"/>
          <w:tblHeader/>
        </w:trPr>
        <w:tc>
          <w:tcPr>
            <w:tcW w:w="1208" w:type="dxa"/>
            <w:vMerge w:val="restart"/>
            <w:hideMark/>
          </w:tcPr>
          <w:p w14:paraId="1C81D33A" w14:textId="77777777" w:rsidR="001A70B8" w:rsidRPr="002029AF" w:rsidRDefault="001A70B8" w:rsidP="00101E5D">
            <w:pPr>
              <w:pStyle w:val="ARtablecolhead"/>
              <w:shd w:val="clear" w:color="auto" w:fill="FFFFFF" w:themeFill="background1"/>
            </w:pPr>
          </w:p>
        </w:tc>
        <w:tc>
          <w:tcPr>
            <w:tcW w:w="1208" w:type="dxa"/>
            <w:gridSpan w:val="2"/>
            <w:tcBorders>
              <w:top w:val="nil"/>
              <w:right w:val="single" w:sz="4" w:space="0" w:color="000000"/>
            </w:tcBorders>
            <w:hideMark/>
          </w:tcPr>
          <w:p w14:paraId="3B9107A6" w14:textId="77777777" w:rsidR="001A70B8" w:rsidRPr="00C741F1" w:rsidRDefault="001A70B8" w:rsidP="00101E5D">
            <w:pPr>
              <w:pStyle w:val="ARtablecolheadcentre"/>
              <w:shd w:val="clear" w:color="auto" w:fill="FFFFFF" w:themeFill="background1"/>
            </w:pPr>
            <w:r w:rsidRPr="00C741F1">
              <w:t>All</w:t>
            </w:r>
            <w:r>
              <w:t xml:space="preserve"> </w:t>
            </w:r>
            <w:r w:rsidRPr="00C741F1">
              <w:t>employees</w:t>
            </w:r>
          </w:p>
        </w:tc>
        <w:tc>
          <w:tcPr>
            <w:tcW w:w="1208" w:type="dxa"/>
            <w:gridSpan w:val="3"/>
            <w:tcBorders>
              <w:top w:val="nil"/>
              <w:left w:val="single" w:sz="4" w:space="0" w:color="000000"/>
              <w:right w:val="single" w:sz="4" w:space="0" w:color="000000"/>
            </w:tcBorders>
            <w:hideMark/>
          </w:tcPr>
          <w:p w14:paraId="45DF5242" w14:textId="77777777" w:rsidR="001A70B8" w:rsidRPr="00C741F1" w:rsidRDefault="001A70B8" w:rsidP="00101E5D">
            <w:pPr>
              <w:pStyle w:val="ARtablecolheadcentre"/>
              <w:shd w:val="clear" w:color="auto" w:fill="FFFFFF" w:themeFill="background1"/>
            </w:pPr>
            <w:r w:rsidRPr="00C741F1">
              <w:t>Ongoing</w:t>
            </w:r>
          </w:p>
        </w:tc>
        <w:tc>
          <w:tcPr>
            <w:tcW w:w="1208" w:type="dxa"/>
            <w:gridSpan w:val="2"/>
            <w:tcBorders>
              <w:left w:val="single" w:sz="4" w:space="0" w:color="000000"/>
            </w:tcBorders>
            <w:hideMark/>
          </w:tcPr>
          <w:p w14:paraId="2363777C" w14:textId="77777777" w:rsidR="001A70B8" w:rsidRPr="00C741F1" w:rsidRDefault="001A70B8" w:rsidP="00101E5D">
            <w:pPr>
              <w:pStyle w:val="ARtablecolheadcentre"/>
              <w:shd w:val="clear" w:color="auto" w:fill="FFFFFF" w:themeFill="background1"/>
            </w:pPr>
            <w:r w:rsidRPr="00C741F1">
              <w:t>Fixed</w:t>
            </w:r>
            <w:r>
              <w:t>-</w:t>
            </w:r>
            <w:r w:rsidRPr="00C741F1">
              <w:t>term</w:t>
            </w:r>
            <w:r>
              <w:t xml:space="preserve"> </w:t>
            </w:r>
            <w:r w:rsidRPr="00C741F1">
              <w:t>and</w:t>
            </w:r>
            <w:r>
              <w:t xml:space="preserve"> </w:t>
            </w:r>
            <w:r w:rsidRPr="00C741F1">
              <w:t>casual</w:t>
            </w:r>
          </w:p>
        </w:tc>
      </w:tr>
      <w:tr w:rsidR="001A70B8" w:rsidRPr="002029AF" w14:paraId="070BE780" w14:textId="77777777" w:rsidTr="00AF50BC">
        <w:trPr>
          <w:cnfStyle w:val="100000000000" w:firstRow="1" w:lastRow="0" w:firstColumn="0" w:lastColumn="0" w:oddVBand="0" w:evenVBand="0" w:oddHBand="0" w:evenHBand="0" w:firstRowFirstColumn="0" w:firstRowLastColumn="0" w:lastRowFirstColumn="0" w:lastRowLastColumn="0"/>
          <w:tblHeader/>
        </w:trPr>
        <w:tc>
          <w:tcPr>
            <w:tcW w:w="1208" w:type="dxa"/>
            <w:vMerge/>
            <w:hideMark/>
          </w:tcPr>
          <w:p w14:paraId="1C3850CF" w14:textId="77777777" w:rsidR="001A70B8" w:rsidRPr="002029AF" w:rsidRDefault="001A70B8" w:rsidP="00101E5D">
            <w:pPr>
              <w:shd w:val="clear" w:color="auto" w:fill="FFFFFF" w:themeFill="background1"/>
              <w:spacing w:before="40" w:after="20" w:line="240" w:lineRule="auto"/>
              <w:rPr>
                <w:rFonts w:ascii="Calibri" w:eastAsia="Times New Roman" w:hAnsi="Calibri" w:cs="Calibri"/>
                <w:i/>
                <w:iCs/>
                <w:color w:val="000000"/>
                <w:sz w:val="15"/>
                <w:szCs w:val="15"/>
              </w:rPr>
            </w:pPr>
          </w:p>
        </w:tc>
        <w:tc>
          <w:tcPr>
            <w:tcW w:w="1208" w:type="dxa"/>
            <w:hideMark/>
          </w:tcPr>
          <w:p w14:paraId="3780DE7B" w14:textId="77777777" w:rsidR="001A70B8" w:rsidRPr="00C741F1" w:rsidRDefault="001A70B8" w:rsidP="00101E5D">
            <w:pPr>
              <w:pStyle w:val="ARtablecolheadright"/>
              <w:shd w:val="clear" w:color="auto" w:fill="FFFFFF" w:themeFill="background1"/>
            </w:pPr>
            <w:r w:rsidRPr="00C741F1">
              <w:t>Number</w:t>
            </w:r>
            <w:r>
              <w:t xml:space="preserve"> </w:t>
            </w:r>
            <w:r w:rsidRPr="00C741F1">
              <w:t>(head</w:t>
            </w:r>
            <w:r>
              <w:t xml:space="preserve"> </w:t>
            </w:r>
            <w:r w:rsidRPr="00C741F1">
              <w:t>count)</w:t>
            </w:r>
          </w:p>
        </w:tc>
        <w:tc>
          <w:tcPr>
            <w:tcW w:w="1208" w:type="dxa"/>
            <w:tcBorders>
              <w:top w:val="single" w:sz="4" w:space="0" w:color="auto"/>
              <w:right w:val="single" w:sz="4" w:space="0" w:color="auto"/>
            </w:tcBorders>
            <w:hideMark/>
          </w:tcPr>
          <w:p w14:paraId="65E3E0E2" w14:textId="77777777" w:rsidR="001A70B8" w:rsidRPr="00C741F1" w:rsidRDefault="001A70B8" w:rsidP="00101E5D">
            <w:pPr>
              <w:pStyle w:val="ARtablecolheadright"/>
              <w:shd w:val="clear" w:color="auto" w:fill="FFFFFF" w:themeFill="background1"/>
            </w:pPr>
            <w:r w:rsidRPr="00C741F1">
              <w:t>FTE</w:t>
            </w:r>
          </w:p>
        </w:tc>
        <w:tc>
          <w:tcPr>
            <w:tcW w:w="1208" w:type="dxa"/>
            <w:tcBorders>
              <w:left w:val="single" w:sz="4" w:space="0" w:color="auto"/>
            </w:tcBorders>
            <w:hideMark/>
          </w:tcPr>
          <w:p w14:paraId="723733E3" w14:textId="77777777" w:rsidR="001A70B8" w:rsidRPr="00C741F1" w:rsidRDefault="001A70B8" w:rsidP="00101E5D">
            <w:pPr>
              <w:pStyle w:val="ARtablecolheadright"/>
              <w:shd w:val="clear" w:color="auto" w:fill="FFFFFF" w:themeFill="background1"/>
            </w:pPr>
            <w:r w:rsidRPr="00C741F1">
              <w:t>Full-time</w:t>
            </w:r>
            <w:r>
              <w:t xml:space="preserve"> </w:t>
            </w:r>
            <w:r w:rsidRPr="00C741F1">
              <w:t>(head</w:t>
            </w:r>
            <w:r>
              <w:t xml:space="preserve"> </w:t>
            </w:r>
            <w:r w:rsidRPr="00C741F1">
              <w:t>count)</w:t>
            </w:r>
          </w:p>
        </w:tc>
        <w:tc>
          <w:tcPr>
            <w:tcW w:w="1208" w:type="dxa"/>
            <w:hideMark/>
          </w:tcPr>
          <w:p w14:paraId="4ACE79FC" w14:textId="77777777" w:rsidR="001A70B8" w:rsidRPr="00C741F1" w:rsidRDefault="001A70B8" w:rsidP="00101E5D">
            <w:pPr>
              <w:pStyle w:val="ARtablecolheadright"/>
              <w:shd w:val="clear" w:color="auto" w:fill="FFFFFF" w:themeFill="background1"/>
            </w:pPr>
            <w:r w:rsidRPr="00C741F1">
              <w:t>Part-time</w:t>
            </w:r>
            <w:r>
              <w:t xml:space="preserve"> </w:t>
            </w:r>
            <w:r w:rsidRPr="00C741F1">
              <w:t>(head</w:t>
            </w:r>
            <w:r>
              <w:t xml:space="preserve"> </w:t>
            </w:r>
            <w:r w:rsidRPr="00C741F1">
              <w:t>count)</w:t>
            </w:r>
          </w:p>
        </w:tc>
        <w:tc>
          <w:tcPr>
            <w:tcW w:w="1208" w:type="dxa"/>
            <w:tcBorders>
              <w:top w:val="single" w:sz="4" w:space="0" w:color="auto"/>
              <w:right w:val="single" w:sz="4" w:space="0" w:color="auto"/>
            </w:tcBorders>
            <w:hideMark/>
          </w:tcPr>
          <w:p w14:paraId="6E2A8F63" w14:textId="77777777" w:rsidR="001A70B8" w:rsidRPr="00C741F1" w:rsidRDefault="001A70B8" w:rsidP="00101E5D">
            <w:pPr>
              <w:pStyle w:val="ARtablecolheadright"/>
              <w:shd w:val="clear" w:color="auto" w:fill="FFFFFF" w:themeFill="background1"/>
            </w:pPr>
            <w:r w:rsidRPr="00C741F1">
              <w:t>FTE</w:t>
            </w:r>
          </w:p>
        </w:tc>
        <w:tc>
          <w:tcPr>
            <w:tcW w:w="1208" w:type="dxa"/>
            <w:tcBorders>
              <w:left w:val="single" w:sz="4" w:space="0" w:color="auto"/>
            </w:tcBorders>
            <w:hideMark/>
          </w:tcPr>
          <w:p w14:paraId="71CBB6CF" w14:textId="77777777" w:rsidR="001A70B8" w:rsidRPr="00C741F1" w:rsidRDefault="001A70B8" w:rsidP="00101E5D">
            <w:pPr>
              <w:pStyle w:val="ARtablecolheadright"/>
              <w:shd w:val="clear" w:color="auto" w:fill="FFFFFF" w:themeFill="background1"/>
            </w:pPr>
            <w:r w:rsidRPr="00C741F1">
              <w:t>Number</w:t>
            </w:r>
            <w:r>
              <w:t xml:space="preserve"> </w:t>
            </w:r>
            <w:r w:rsidRPr="00C741F1">
              <w:t>(head</w:t>
            </w:r>
            <w:r>
              <w:t xml:space="preserve"> </w:t>
            </w:r>
            <w:r w:rsidRPr="00C741F1">
              <w:t>count)</w:t>
            </w:r>
          </w:p>
        </w:tc>
        <w:tc>
          <w:tcPr>
            <w:tcW w:w="1208" w:type="dxa"/>
            <w:hideMark/>
          </w:tcPr>
          <w:p w14:paraId="2F3107FB" w14:textId="77777777" w:rsidR="001A70B8" w:rsidRPr="00C741F1" w:rsidRDefault="001A70B8" w:rsidP="00101E5D">
            <w:pPr>
              <w:pStyle w:val="ARtablecolheadright"/>
              <w:shd w:val="clear" w:color="auto" w:fill="FFFFFF" w:themeFill="background1"/>
            </w:pPr>
            <w:r w:rsidRPr="00C741F1">
              <w:t>FTE</w:t>
            </w:r>
          </w:p>
        </w:tc>
      </w:tr>
      <w:tr w:rsidR="001A70B8" w:rsidRPr="002029AF" w14:paraId="1614E178" w14:textId="77777777" w:rsidTr="00AF50BC">
        <w:trPr>
          <w:cantSplit w:val="0"/>
        </w:trPr>
        <w:tc>
          <w:tcPr>
            <w:tcW w:w="1208" w:type="dxa"/>
            <w:hideMark/>
          </w:tcPr>
          <w:p w14:paraId="6EBCDFA1" w14:textId="77777777" w:rsidR="001A70B8" w:rsidRPr="00C741F1" w:rsidRDefault="001A70B8" w:rsidP="00101E5D">
            <w:pPr>
              <w:pStyle w:val="ARtabletext"/>
              <w:shd w:val="clear" w:color="auto" w:fill="FFFFFF" w:themeFill="background1"/>
            </w:pPr>
            <w:r w:rsidRPr="00C741F1">
              <w:t>June</w:t>
            </w:r>
            <w:r>
              <w:t xml:space="preserve"> </w:t>
            </w:r>
            <w:r w:rsidRPr="00C741F1">
              <w:t>202</w:t>
            </w:r>
            <w:r>
              <w:t>2</w:t>
            </w:r>
          </w:p>
        </w:tc>
        <w:tc>
          <w:tcPr>
            <w:tcW w:w="1208" w:type="dxa"/>
          </w:tcPr>
          <w:p w14:paraId="5EDC244A" w14:textId="77777777" w:rsidR="001A70B8" w:rsidRPr="00C741F1" w:rsidRDefault="001A70B8" w:rsidP="00101E5D">
            <w:pPr>
              <w:pStyle w:val="ARtabletextright"/>
              <w:shd w:val="clear" w:color="auto" w:fill="FFFFFF" w:themeFill="background1"/>
            </w:pPr>
            <w:r w:rsidRPr="00C741F1">
              <w:t>1</w:t>
            </w:r>
            <w:r>
              <w:t>85</w:t>
            </w:r>
          </w:p>
        </w:tc>
        <w:tc>
          <w:tcPr>
            <w:tcW w:w="1208" w:type="dxa"/>
            <w:tcBorders>
              <w:top w:val="single" w:sz="4" w:space="0" w:color="auto"/>
              <w:bottom w:val="single" w:sz="4" w:space="0" w:color="auto"/>
              <w:right w:val="single" w:sz="4" w:space="0" w:color="auto"/>
            </w:tcBorders>
          </w:tcPr>
          <w:p w14:paraId="3E690E03" w14:textId="77777777" w:rsidR="001A70B8" w:rsidRPr="00C741F1" w:rsidRDefault="001A70B8" w:rsidP="00101E5D">
            <w:pPr>
              <w:pStyle w:val="ARtabletextright"/>
              <w:shd w:val="clear" w:color="auto" w:fill="FFFFFF" w:themeFill="background1"/>
            </w:pPr>
            <w:r>
              <w:t>169.0</w:t>
            </w:r>
          </w:p>
        </w:tc>
        <w:tc>
          <w:tcPr>
            <w:tcW w:w="1208" w:type="dxa"/>
            <w:tcBorders>
              <w:left w:val="single" w:sz="4" w:space="0" w:color="auto"/>
            </w:tcBorders>
          </w:tcPr>
          <w:p w14:paraId="5F4B6ED7" w14:textId="77777777" w:rsidR="001A70B8" w:rsidRPr="00C741F1" w:rsidRDefault="001A70B8" w:rsidP="00101E5D">
            <w:pPr>
              <w:pStyle w:val="ARtabletextright"/>
              <w:shd w:val="clear" w:color="auto" w:fill="FFFFFF" w:themeFill="background1"/>
            </w:pPr>
            <w:r>
              <w:t>63</w:t>
            </w:r>
          </w:p>
        </w:tc>
        <w:tc>
          <w:tcPr>
            <w:tcW w:w="1208" w:type="dxa"/>
          </w:tcPr>
          <w:p w14:paraId="6BE82191" w14:textId="77777777" w:rsidR="001A70B8" w:rsidRPr="00C741F1" w:rsidRDefault="001A70B8" w:rsidP="00101E5D">
            <w:pPr>
              <w:pStyle w:val="ARtabletextright"/>
              <w:shd w:val="clear" w:color="auto" w:fill="FFFFFF" w:themeFill="background1"/>
            </w:pPr>
            <w:r>
              <w:t>26</w:t>
            </w:r>
          </w:p>
        </w:tc>
        <w:tc>
          <w:tcPr>
            <w:tcW w:w="1208" w:type="dxa"/>
            <w:tcBorders>
              <w:top w:val="single" w:sz="4" w:space="0" w:color="auto"/>
              <w:bottom w:val="single" w:sz="4" w:space="0" w:color="auto"/>
              <w:right w:val="single" w:sz="4" w:space="0" w:color="auto"/>
            </w:tcBorders>
          </w:tcPr>
          <w:p w14:paraId="435CB45B" w14:textId="77777777" w:rsidR="001A70B8" w:rsidRPr="00C741F1" w:rsidRDefault="001A70B8" w:rsidP="00101E5D">
            <w:pPr>
              <w:pStyle w:val="ARtabletextright"/>
              <w:shd w:val="clear" w:color="auto" w:fill="FFFFFF" w:themeFill="background1"/>
            </w:pPr>
            <w:r>
              <w:t>80.7</w:t>
            </w:r>
          </w:p>
        </w:tc>
        <w:tc>
          <w:tcPr>
            <w:tcW w:w="1208" w:type="dxa"/>
            <w:tcBorders>
              <w:left w:val="single" w:sz="4" w:space="0" w:color="auto"/>
            </w:tcBorders>
          </w:tcPr>
          <w:p w14:paraId="567FEA7D" w14:textId="77777777" w:rsidR="001A70B8" w:rsidRPr="00C741F1" w:rsidRDefault="001A70B8" w:rsidP="00101E5D">
            <w:pPr>
              <w:pStyle w:val="ARtabletextright"/>
              <w:shd w:val="clear" w:color="auto" w:fill="FFFFFF" w:themeFill="background1"/>
            </w:pPr>
            <w:r>
              <w:t>96</w:t>
            </w:r>
          </w:p>
        </w:tc>
        <w:tc>
          <w:tcPr>
            <w:tcW w:w="1208" w:type="dxa"/>
          </w:tcPr>
          <w:p w14:paraId="045398AD" w14:textId="77777777" w:rsidR="001A70B8" w:rsidRPr="00C741F1" w:rsidRDefault="001A70B8" w:rsidP="00101E5D">
            <w:pPr>
              <w:pStyle w:val="ARtabletextright"/>
              <w:shd w:val="clear" w:color="auto" w:fill="FFFFFF" w:themeFill="background1"/>
            </w:pPr>
            <w:r>
              <w:t>88.4</w:t>
            </w:r>
          </w:p>
        </w:tc>
      </w:tr>
      <w:tr w:rsidR="001A70B8" w:rsidRPr="002029AF" w14:paraId="724DAF33" w14:textId="77777777" w:rsidTr="00AF50BC">
        <w:trPr>
          <w:cantSplit w:val="0"/>
        </w:trPr>
        <w:tc>
          <w:tcPr>
            <w:tcW w:w="1208" w:type="dxa"/>
          </w:tcPr>
          <w:p w14:paraId="3A1A6A0C" w14:textId="77777777" w:rsidR="001A70B8" w:rsidRPr="00C741F1" w:rsidRDefault="001A70B8" w:rsidP="00101E5D">
            <w:pPr>
              <w:pStyle w:val="ARtabletext"/>
              <w:shd w:val="clear" w:color="auto" w:fill="FFFFFF" w:themeFill="background1"/>
            </w:pPr>
            <w:r w:rsidRPr="00C741F1">
              <w:t>June</w:t>
            </w:r>
            <w:r>
              <w:t xml:space="preserve"> </w:t>
            </w:r>
            <w:r w:rsidRPr="00C741F1">
              <w:t>202</w:t>
            </w:r>
            <w:r>
              <w:t>1</w:t>
            </w:r>
          </w:p>
        </w:tc>
        <w:tc>
          <w:tcPr>
            <w:tcW w:w="1208" w:type="dxa"/>
          </w:tcPr>
          <w:p w14:paraId="226323B4" w14:textId="77777777" w:rsidR="001A70B8" w:rsidRPr="00C741F1" w:rsidRDefault="001A70B8" w:rsidP="00101E5D">
            <w:pPr>
              <w:pStyle w:val="ARtabletextright"/>
              <w:shd w:val="clear" w:color="auto" w:fill="FFFFFF" w:themeFill="background1"/>
            </w:pPr>
            <w:r>
              <w:t>146</w:t>
            </w:r>
          </w:p>
        </w:tc>
        <w:tc>
          <w:tcPr>
            <w:tcW w:w="1208" w:type="dxa"/>
            <w:tcBorders>
              <w:top w:val="single" w:sz="4" w:space="0" w:color="auto"/>
              <w:right w:val="single" w:sz="4" w:space="0" w:color="auto"/>
            </w:tcBorders>
          </w:tcPr>
          <w:p w14:paraId="505D85F5" w14:textId="77777777" w:rsidR="001A70B8" w:rsidRPr="00C741F1" w:rsidRDefault="001A70B8" w:rsidP="00101E5D">
            <w:pPr>
              <w:pStyle w:val="ARtabletextright"/>
              <w:shd w:val="clear" w:color="auto" w:fill="FFFFFF" w:themeFill="background1"/>
            </w:pPr>
            <w:r>
              <w:t>134.0</w:t>
            </w:r>
          </w:p>
        </w:tc>
        <w:tc>
          <w:tcPr>
            <w:tcW w:w="1208" w:type="dxa"/>
            <w:tcBorders>
              <w:left w:val="single" w:sz="4" w:space="0" w:color="auto"/>
            </w:tcBorders>
          </w:tcPr>
          <w:p w14:paraId="2EE8F27A" w14:textId="77777777" w:rsidR="001A70B8" w:rsidRPr="00C741F1" w:rsidRDefault="001A70B8" w:rsidP="00101E5D">
            <w:pPr>
              <w:pStyle w:val="ARtabletextright"/>
              <w:shd w:val="clear" w:color="auto" w:fill="FFFFFF" w:themeFill="background1"/>
            </w:pPr>
            <w:r>
              <w:t>84</w:t>
            </w:r>
          </w:p>
        </w:tc>
        <w:tc>
          <w:tcPr>
            <w:tcW w:w="1208" w:type="dxa"/>
          </w:tcPr>
          <w:p w14:paraId="39AB106E" w14:textId="77777777" w:rsidR="001A70B8" w:rsidRPr="00C741F1" w:rsidRDefault="001A70B8" w:rsidP="00101E5D">
            <w:pPr>
              <w:pStyle w:val="ARtabletextright"/>
              <w:shd w:val="clear" w:color="auto" w:fill="FFFFFF" w:themeFill="background1"/>
            </w:pPr>
            <w:r>
              <w:t>31</w:t>
            </w:r>
          </w:p>
        </w:tc>
        <w:tc>
          <w:tcPr>
            <w:tcW w:w="1208" w:type="dxa"/>
            <w:tcBorders>
              <w:top w:val="single" w:sz="4" w:space="0" w:color="auto"/>
              <w:right w:val="single" w:sz="4" w:space="0" w:color="auto"/>
            </w:tcBorders>
          </w:tcPr>
          <w:p w14:paraId="72A22B31" w14:textId="77777777" w:rsidR="001A70B8" w:rsidRPr="00C741F1" w:rsidRDefault="001A70B8" w:rsidP="00101E5D">
            <w:pPr>
              <w:pStyle w:val="ARtabletextright"/>
              <w:shd w:val="clear" w:color="auto" w:fill="FFFFFF" w:themeFill="background1"/>
            </w:pPr>
            <w:r>
              <w:t>105.9</w:t>
            </w:r>
          </w:p>
        </w:tc>
        <w:tc>
          <w:tcPr>
            <w:tcW w:w="1208" w:type="dxa"/>
            <w:tcBorders>
              <w:left w:val="single" w:sz="4" w:space="0" w:color="auto"/>
            </w:tcBorders>
          </w:tcPr>
          <w:p w14:paraId="525FF1D5" w14:textId="77777777" w:rsidR="001A70B8" w:rsidRPr="00C741F1" w:rsidRDefault="001A70B8" w:rsidP="00101E5D">
            <w:pPr>
              <w:pStyle w:val="ARtabletextright"/>
              <w:shd w:val="clear" w:color="auto" w:fill="FFFFFF" w:themeFill="background1"/>
            </w:pPr>
            <w:r>
              <w:t>31</w:t>
            </w:r>
          </w:p>
        </w:tc>
        <w:tc>
          <w:tcPr>
            <w:tcW w:w="1208" w:type="dxa"/>
          </w:tcPr>
          <w:p w14:paraId="45CD5BF5" w14:textId="77777777" w:rsidR="001A70B8" w:rsidRPr="00C741F1" w:rsidRDefault="001A70B8" w:rsidP="00101E5D">
            <w:pPr>
              <w:pStyle w:val="ARtabletextright"/>
              <w:shd w:val="clear" w:color="auto" w:fill="FFFFFF" w:themeFill="background1"/>
            </w:pPr>
            <w:r>
              <w:t>28.2</w:t>
            </w:r>
          </w:p>
        </w:tc>
      </w:tr>
    </w:tbl>
    <w:p w14:paraId="294738A1" w14:textId="77777777" w:rsidR="001A70B8" w:rsidRPr="00696172" w:rsidRDefault="001A70B8" w:rsidP="00101E5D">
      <w:pPr>
        <w:pStyle w:val="ARbody"/>
        <w:shd w:val="clear" w:color="auto" w:fill="FFFFFF" w:themeFill="background1"/>
      </w:pPr>
    </w:p>
    <w:p w14:paraId="2C545121" w14:textId="77777777" w:rsidR="001A70B8" w:rsidRPr="002029AF" w:rsidRDefault="001A70B8" w:rsidP="00101E5D">
      <w:pPr>
        <w:pStyle w:val="Heading4"/>
        <w:shd w:val="clear" w:color="auto" w:fill="FFFFFF" w:themeFill="background1"/>
        <w:sectPr w:rsidR="001A70B8" w:rsidRPr="002029AF" w:rsidSect="00524C5E">
          <w:footnotePr>
            <w:numFmt w:val="lowerLetter"/>
            <w:numRestart w:val="eachPage"/>
          </w:footnotePr>
          <w:endnotePr>
            <w:numFmt w:val="decimal"/>
          </w:endnotePr>
          <w:pgSz w:w="11906" w:h="16838" w:code="9"/>
          <w:pgMar w:top="1985" w:right="1134" w:bottom="851" w:left="1134" w:header="510" w:footer="340" w:gutter="0"/>
          <w:cols w:space="454"/>
          <w:docGrid w:linePitch="360"/>
        </w:sectPr>
      </w:pPr>
    </w:p>
    <w:p w14:paraId="39B93442" w14:textId="77777777" w:rsidR="001A70B8" w:rsidRPr="002029AF" w:rsidRDefault="001A70B8" w:rsidP="00101E5D">
      <w:pPr>
        <w:pStyle w:val="Heading4"/>
        <w:shd w:val="clear" w:color="auto" w:fill="FFFFFF" w:themeFill="background1"/>
        <w:spacing w:before="0"/>
      </w:pPr>
      <w:bookmarkStart w:id="267" w:name="_Toc85121233"/>
      <w:r w:rsidRPr="002029AF">
        <w:t>Safer</w:t>
      </w:r>
      <w:r>
        <w:t xml:space="preserve"> </w:t>
      </w:r>
      <w:r w:rsidRPr="002029AF">
        <w:t>Care</w:t>
      </w:r>
      <w:r>
        <w:t xml:space="preserve"> </w:t>
      </w:r>
      <w:r w:rsidRPr="002029AF">
        <w:t>Victoria</w:t>
      </w:r>
      <w:r>
        <w:t xml:space="preserve"> </w:t>
      </w:r>
      <w:r w:rsidRPr="002029AF">
        <w:t>employment</w:t>
      </w:r>
      <w:r>
        <w:t xml:space="preserve"> </w:t>
      </w:r>
      <w:r w:rsidRPr="002029AF">
        <w:t>levels</w:t>
      </w:r>
      <w:r>
        <w:t xml:space="preserve"> </w:t>
      </w:r>
      <w:r w:rsidRPr="002029AF">
        <w:t>in</w:t>
      </w:r>
      <w:r>
        <w:t xml:space="preserve"> </w:t>
      </w:r>
      <w:r w:rsidRPr="002029AF">
        <w:t>June</w:t>
      </w:r>
      <w:r>
        <w:t xml:space="preserve"> </w:t>
      </w:r>
      <w:r w:rsidRPr="002029AF">
        <w:t>of</w:t>
      </w:r>
      <w:r>
        <w:t xml:space="preserve"> </w:t>
      </w:r>
      <w:r w:rsidRPr="002029AF">
        <w:t>202</w:t>
      </w:r>
      <w:r>
        <w:t xml:space="preserve">1 </w:t>
      </w:r>
      <w:r w:rsidRPr="002029AF">
        <w:t>and</w:t>
      </w:r>
      <w:r>
        <w:t xml:space="preserve"> </w:t>
      </w:r>
      <w:bookmarkEnd w:id="267"/>
      <w:r w:rsidRPr="002029AF">
        <w:t>20</w:t>
      </w:r>
      <w:r>
        <w:t>22</w:t>
      </w:r>
    </w:p>
    <w:tbl>
      <w:tblPr>
        <w:tblStyle w:val="TableGrid"/>
        <w:tblW w:w="14005" w:type="dxa"/>
        <w:tblLook w:val="06A0" w:firstRow="1" w:lastRow="0" w:firstColumn="1" w:lastColumn="0" w:noHBand="1" w:noVBand="1"/>
      </w:tblPr>
      <w:tblGrid>
        <w:gridCol w:w="2429"/>
        <w:gridCol w:w="900"/>
        <w:gridCol w:w="810"/>
        <w:gridCol w:w="796"/>
        <w:gridCol w:w="795"/>
        <w:gridCol w:w="801"/>
        <w:gridCol w:w="899"/>
        <w:gridCol w:w="798"/>
        <w:gridCol w:w="899"/>
        <w:gridCol w:w="798"/>
        <w:gridCol w:w="795"/>
        <w:gridCol w:w="795"/>
        <w:gridCol w:w="801"/>
        <w:gridCol w:w="899"/>
        <w:gridCol w:w="790"/>
      </w:tblGrid>
      <w:tr w:rsidR="001A70B8" w:rsidRPr="002029AF" w14:paraId="1695AE45" w14:textId="77777777" w:rsidTr="00524C5E">
        <w:trPr>
          <w:cnfStyle w:val="100000000000" w:firstRow="1" w:lastRow="0" w:firstColumn="0" w:lastColumn="0" w:oddVBand="0" w:evenVBand="0" w:oddHBand="0" w:evenHBand="0" w:firstRowFirstColumn="0" w:firstRowLastColumn="0" w:lastRowFirstColumn="0" w:lastRowLastColumn="0"/>
          <w:tblHeader/>
        </w:trPr>
        <w:tc>
          <w:tcPr>
            <w:tcW w:w="867" w:type="pct"/>
            <w:vMerge w:val="restart"/>
            <w:hideMark/>
          </w:tcPr>
          <w:p w14:paraId="11169694" w14:textId="77777777" w:rsidR="001A70B8" w:rsidRPr="002029AF" w:rsidRDefault="001A70B8" w:rsidP="00101E5D">
            <w:pPr>
              <w:pStyle w:val="ARtablecolhead"/>
              <w:shd w:val="clear" w:color="auto" w:fill="FFFFFF" w:themeFill="background1"/>
              <w:spacing w:before="20" w:after="10"/>
            </w:pPr>
          </w:p>
        </w:tc>
        <w:tc>
          <w:tcPr>
            <w:tcW w:w="2070" w:type="pct"/>
            <w:gridSpan w:val="7"/>
            <w:tcBorders>
              <w:top w:val="nil"/>
              <w:right w:val="single" w:sz="4" w:space="0" w:color="auto"/>
            </w:tcBorders>
            <w:hideMark/>
          </w:tcPr>
          <w:p w14:paraId="2A9B7400" w14:textId="77777777" w:rsidR="001A70B8" w:rsidRPr="002029AF" w:rsidRDefault="001A70B8" w:rsidP="00101E5D">
            <w:pPr>
              <w:pStyle w:val="ARtablecolheadcentre"/>
              <w:shd w:val="clear" w:color="auto" w:fill="FFFFFF" w:themeFill="background1"/>
              <w:spacing w:before="20" w:after="10"/>
            </w:pPr>
            <w:r w:rsidRPr="002029AF">
              <w:t>June</w:t>
            </w:r>
            <w:r>
              <w:t xml:space="preserve"> </w:t>
            </w:r>
            <w:r w:rsidRPr="002029AF">
              <w:t>202</w:t>
            </w:r>
            <w:r>
              <w:t>2</w:t>
            </w:r>
          </w:p>
        </w:tc>
        <w:tc>
          <w:tcPr>
            <w:tcW w:w="2062" w:type="pct"/>
            <w:gridSpan w:val="7"/>
            <w:tcBorders>
              <w:left w:val="single" w:sz="4" w:space="0" w:color="auto"/>
            </w:tcBorders>
            <w:hideMark/>
          </w:tcPr>
          <w:p w14:paraId="28BDDB60" w14:textId="77777777" w:rsidR="001A70B8" w:rsidRPr="002029AF" w:rsidRDefault="001A70B8" w:rsidP="00101E5D">
            <w:pPr>
              <w:pStyle w:val="ARtablecolheadcentre"/>
              <w:shd w:val="clear" w:color="auto" w:fill="FFFFFF" w:themeFill="background1"/>
              <w:spacing w:before="20" w:after="10"/>
            </w:pPr>
            <w:r w:rsidRPr="002029AF">
              <w:t>June</w:t>
            </w:r>
            <w:r>
              <w:t xml:space="preserve"> </w:t>
            </w:r>
            <w:r w:rsidRPr="002029AF">
              <w:t>20</w:t>
            </w:r>
            <w:r>
              <w:t>21</w:t>
            </w:r>
          </w:p>
        </w:tc>
      </w:tr>
      <w:tr w:rsidR="001A70B8" w:rsidRPr="002029AF" w14:paraId="21C55B57" w14:textId="77777777" w:rsidTr="00524C5E">
        <w:trPr>
          <w:cnfStyle w:val="100000000000" w:firstRow="1" w:lastRow="0" w:firstColumn="0" w:lastColumn="0" w:oddVBand="0" w:evenVBand="0" w:oddHBand="0" w:evenHBand="0" w:firstRowFirstColumn="0" w:firstRowLastColumn="0" w:lastRowFirstColumn="0" w:lastRowLastColumn="0"/>
          <w:tblHeader/>
        </w:trPr>
        <w:tc>
          <w:tcPr>
            <w:tcW w:w="867" w:type="pct"/>
            <w:vMerge/>
            <w:hideMark/>
          </w:tcPr>
          <w:p w14:paraId="074B4FFB" w14:textId="77777777" w:rsidR="001A70B8" w:rsidRPr="002029AF" w:rsidRDefault="001A70B8" w:rsidP="00101E5D">
            <w:pPr>
              <w:shd w:val="clear" w:color="auto" w:fill="FFFFFF" w:themeFill="background1"/>
              <w:spacing w:before="20" w:after="10" w:line="240" w:lineRule="auto"/>
              <w:rPr>
                <w:rFonts w:ascii="Calibri" w:eastAsia="Times New Roman" w:hAnsi="Calibri" w:cs="Calibri"/>
                <w:i/>
                <w:iCs/>
                <w:color w:val="000000"/>
                <w:sz w:val="15"/>
                <w:szCs w:val="15"/>
              </w:rPr>
            </w:pPr>
          </w:p>
        </w:tc>
        <w:tc>
          <w:tcPr>
            <w:tcW w:w="610" w:type="pct"/>
            <w:gridSpan w:val="2"/>
            <w:tcBorders>
              <w:top w:val="single" w:sz="4" w:space="0" w:color="auto"/>
              <w:right w:val="single" w:sz="4" w:space="0" w:color="auto"/>
            </w:tcBorders>
            <w:hideMark/>
          </w:tcPr>
          <w:p w14:paraId="6F480B86" w14:textId="77777777" w:rsidR="001A70B8" w:rsidRPr="002029AF" w:rsidRDefault="001A70B8" w:rsidP="00101E5D">
            <w:pPr>
              <w:pStyle w:val="ARtablecolheadcentre"/>
              <w:shd w:val="clear" w:color="auto" w:fill="FFFFFF" w:themeFill="background1"/>
              <w:spacing w:before="20" w:after="10"/>
            </w:pPr>
            <w:r w:rsidRPr="002029AF">
              <w:t>All</w:t>
            </w:r>
            <w:r>
              <w:t xml:space="preserve"> </w:t>
            </w:r>
            <w:r w:rsidRPr="002029AF">
              <w:t>employees</w:t>
            </w:r>
          </w:p>
        </w:tc>
        <w:tc>
          <w:tcPr>
            <w:tcW w:w="854" w:type="pct"/>
            <w:gridSpan w:val="3"/>
            <w:tcBorders>
              <w:top w:val="single" w:sz="4" w:space="0" w:color="auto"/>
              <w:left w:val="single" w:sz="4" w:space="0" w:color="auto"/>
              <w:right w:val="single" w:sz="4" w:space="0" w:color="auto"/>
            </w:tcBorders>
            <w:hideMark/>
          </w:tcPr>
          <w:p w14:paraId="39EF0E7D" w14:textId="77777777" w:rsidR="001A70B8" w:rsidRPr="002029AF" w:rsidRDefault="001A70B8" w:rsidP="00101E5D">
            <w:pPr>
              <w:pStyle w:val="ARtablecolheadcentre"/>
              <w:shd w:val="clear" w:color="auto" w:fill="FFFFFF" w:themeFill="background1"/>
              <w:spacing w:before="20" w:after="10"/>
            </w:pPr>
            <w:r w:rsidRPr="002029AF">
              <w:t>Ongoing</w:t>
            </w:r>
          </w:p>
        </w:tc>
        <w:tc>
          <w:tcPr>
            <w:tcW w:w="606" w:type="pct"/>
            <w:gridSpan w:val="2"/>
            <w:tcBorders>
              <w:top w:val="single" w:sz="4" w:space="0" w:color="auto"/>
              <w:left w:val="single" w:sz="4" w:space="0" w:color="auto"/>
              <w:right w:val="single" w:sz="4" w:space="0" w:color="auto"/>
            </w:tcBorders>
            <w:hideMark/>
          </w:tcPr>
          <w:p w14:paraId="230BA029" w14:textId="77777777" w:rsidR="001A70B8" w:rsidRPr="002029AF" w:rsidRDefault="001A70B8" w:rsidP="00101E5D">
            <w:pPr>
              <w:pStyle w:val="ARtablecolheadcentre"/>
              <w:shd w:val="clear" w:color="auto" w:fill="FFFFFF" w:themeFill="background1"/>
              <w:spacing w:before="20" w:after="10"/>
            </w:pPr>
            <w:r w:rsidRPr="002029AF">
              <w:t>Fixed</w:t>
            </w:r>
            <w:r>
              <w:t>-</w:t>
            </w:r>
            <w:r w:rsidRPr="002029AF">
              <w:t>term</w:t>
            </w:r>
            <w:r>
              <w:t xml:space="preserve"> </w:t>
            </w:r>
            <w:r w:rsidRPr="002029AF">
              <w:t>and</w:t>
            </w:r>
            <w:r>
              <w:t xml:space="preserve"> </w:t>
            </w:r>
            <w:r w:rsidRPr="002029AF">
              <w:t>casual</w:t>
            </w:r>
          </w:p>
        </w:tc>
        <w:tc>
          <w:tcPr>
            <w:tcW w:w="606" w:type="pct"/>
            <w:gridSpan w:val="2"/>
            <w:tcBorders>
              <w:top w:val="single" w:sz="4" w:space="0" w:color="auto"/>
              <w:left w:val="single" w:sz="4" w:space="0" w:color="auto"/>
              <w:right w:val="single" w:sz="4" w:space="0" w:color="auto"/>
            </w:tcBorders>
            <w:hideMark/>
          </w:tcPr>
          <w:p w14:paraId="100C1B11" w14:textId="77777777" w:rsidR="001A70B8" w:rsidRPr="002029AF" w:rsidRDefault="001A70B8" w:rsidP="00101E5D">
            <w:pPr>
              <w:pStyle w:val="ARtablecolheadcentre"/>
              <w:shd w:val="clear" w:color="auto" w:fill="FFFFFF" w:themeFill="background1"/>
              <w:spacing w:before="20" w:after="10"/>
            </w:pPr>
            <w:r w:rsidRPr="002029AF">
              <w:t>All</w:t>
            </w:r>
            <w:r>
              <w:t xml:space="preserve"> </w:t>
            </w:r>
            <w:r w:rsidRPr="002029AF">
              <w:t>employees</w:t>
            </w:r>
          </w:p>
        </w:tc>
        <w:tc>
          <w:tcPr>
            <w:tcW w:w="854" w:type="pct"/>
            <w:gridSpan w:val="3"/>
            <w:tcBorders>
              <w:top w:val="single" w:sz="4" w:space="0" w:color="auto"/>
              <w:left w:val="single" w:sz="4" w:space="0" w:color="auto"/>
              <w:right w:val="single" w:sz="4" w:space="0" w:color="auto"/>
            </w:tcBorders>
            <w:hideMark/>
          </w:tcPr>
          <w:p w14:paraId="3B770A4E" w14:textId="77777777" w:rsidR="001A70B8" w:rsidRPr="002029AF" w:rsidRDefault="001A70B8" w:rsidP="00101E5D">
            <w:pPr>
              <w:pStyle w:val="ARtablecolheadcentre"/>
              <w:shd w:val="clear" w:color="auto" w:fill="FFFFFF" w:themeFill="background1"/>
              <w:spacing w:before="20" w:after="10"/>
            </w:pPr>
            <w:r w:rsidRPr="002029AF">
              <w:t>Ongoing</w:t>
            </w:r>
          </w:p>
        </w:tc>
        <w:tc>
          <w:tcPr>
            <w:tcW w:w="603" w:type="pct"/>
            <w:gridSpan w:val="2"/>
            <w:tcBorders>
              <w:left w:val="single" w:sz="4" w:space="0" w:color="auto"/>
            </w:tcBorders>
            <w:hideMark/>
          </w:tcPr>
          <w:p w14:paraId="60D335D7" w14:textId="77777777" w:rsidR="001A70B8" w:rsidRPr="002029AF" w:rsidRDefault="001A70B8" w:rsidP="00101E5D">
            <w:pPr>
              <w:pStyle w:val="ARtablecolheadcentre"/>
              <w:shd w:val="clear" w:color="auto" w:fill="FFFFFF" w:themeFill="background1"/>
              <w:spacing w:before="20" w:after="10"/>
            </w:pPr>
            <w:r w:rsidRPr="002029AF">
              <w:t>Fixed</w:t>
            </w:r>
            <w:r>
              <w:t>-</w:t>
            </w:r>
            <w:r w:rsidRPr="002029AF">
              <w:t>term</w:t>
            </w:r>
            <w:r>
              <w:t xml:space="preserve"> </w:t>
            </w:r>
            <w:r w:rsidRPr="002029AF">
              <w:t>and</w:t>
            </w:r>
            <w:r>
              <w:t xml:space="preserve"> </w:t>
            </w:r>
            <w:r w:rsidRPr="002029AF">
              <w:t>casual</w:t>
            </w:r>
          </w:p>
        </w:tc>
      </w:tr>
      <w:tr w:rsidR="001A70B8" w:rsidRPr="002029AF" w14:paraId="2B22C9E3" w14:textId="77777777" w:rsidTr="00524C5E">
        <w:trPr>
          <w:cnfStyle w:val="100000000000" w:firstRow="1" w:lastRow="0" w:firstColumn="0" w:lastColumn="0" w:oddVBand="0" w:evenVBand="0" w:oddHBand="0" w:evenHBand="0" w:firstRowFirstColumn="0" w:firstRowLastColumn="0" w:lastRowFirstColumn="0" w:lastRowLastColumn="0"/>
          <w:tblHeader/>
        </w:trPr>
        <w:tc>
          <w:tcPr>
            <w:tcW w:w="867" w:type="pct"/>
            <w:vMerge/>
            <w:hideMark/>
          </w:tcPr>
          <w:p w14:paraId="2B4DD11A" w14:textId="77777777" w:rsidR="001A70B8" w:rsidRPr="002029AF" w:rsidRDefault="001A70B8" w:rsidP="00101E5D">
            <w:pPr>
              <w:shd w:val="clear" w:color="auto" w:fill="FFFFFF" w:themeFill="background1"/>
              <w:spacing w:before="20" w:after="10" w:line="240" w:lineRule="auto"/>
              <w:rPr>
                <w:rFonts w:ascii="Calibri" w:eastAsia="Times New Roman" w:hAnsi="Calibri" w:cs="Calibri"/>
                <w:i/>
                <w:iCs/>
                <w:color w:val="000000"/>
                <w:sz w:val="15"/>
                <w:szCs w:val="15"/>
              </w:rPr>
            </w:pPr>
          </w:p>
        </w:tc>
        <w:tc>
          <w:tcPr>
            <w:tcW w:w="321" w:type="pct"/>
            <w:tcBorders>
              <w:top w:val="single" w:sz="4" w:space="0" w:color="auto"/>
            </w:tcBorders>
            <w:hideMark/>
          </w:tcPr>
          <w:p w14:paraId="635BAAA2" w14:textId="77777777" w:rsidR="001A70B8" w:rsidRPr="002029AF" w:rsidRDefault="001A70B8" w:rsidP="00101E5D">
            <w:pPr>
              <w:pStyle w:val="ARtablecolheadright"/>
              <w:shd w:val="clear" w:color="auto" w:fill="FFFFFF" w:themeFill="background1"/>
              <w:spacing w:before="20" w:after="10"/>
            </w:pPr>
            <w:r w:rsidRPr="002029AF">
              <w:t>Number</w:t>
            </w:r>
            <w:r>
              <w:t xml:space="preserve"> </w:t>
            </w:r>
            <w:r w:rsidRPr="002029AF">
              <w:t>(head</w:t>
            </w:r>
            <w:r>
              <w:t xml:space="preserve"> </w:t>
            </w:r>
            <w:r w:rsidRPr="002029AF">
              <w:t>count)</w:t>
            </w:r>
          </w:p>
        </w:tc>
        <w:tc>
          <w:tcPr>
            <w:tcW w:w="289" w:type="pct"/>
            <w:tcBorders>
              <w:top w:val="single" w:sz="4" w:space="0" w:color="auto"/>
              <w:right w:val="single" w:sz="4" w:space="0" w:color="auto"/>
            </w:tcBorders>
            <w:hideMark/>
          </w:tcPr>
          <w:p w14:paraId="4EAE0109" w14:textId="77777777" w:rsidR="001A70B8" w:rsidRPr="002029AF" w:rsidRDefault="001A70B8" w:rsidP="00101E5D">
            <w:pPr>
              <w:pStyle w:val="ARtablecolheadright"/>
              <w:shd w:val="clear" w:color="auto" w:fill="FFFFFF" w:themeFill="background1"/>
              <w:spacing w:before="20" w:after="10"/>
            </w:pPr>
            <w:r w:rsidRPr="002029AF">
              <w:t>FTE</w:t>
            </w:r>
          </w:p>
        </w:tc>
        <w:tc>
          <w:tcPr>
            <w:tcW w:w="284" w:type="pct"/>
            <w:tcBorders>
              <w:top w:val="single" w:sz="4" w:space="0" w:color="auto"/>
              <w:left w:val="single" w:sz="4" w:space="0" w:color="auto"/>
            </w:tcBorders>
            <w:hideMark/>
          </w:tcPr>
          <w:p w14:paraId="046A9D99" w14:textId="77777777" w:rsidR="001A70B8" w:rsidRPr="002029AF" w:rsidRDefault="001A70B8" w:rsidP="00101E5D">
            <w:pPr>
              <w:pStyle w:val="ARtablecolheadright"/>
              <w:shd w:val="clear" w:color="auto" w:fill="FFFFFF" w:themeFill="background1"/>
              <w:spacing w:before="20" w:after="10"/>
            </w:pPr>
            <w:r w:rsidRPr="002029AF">
              <w:t>Full-time</w:t>
            </w:r>
            <w:r>
              <w:t xml:space="preserve"> </w:t>
            </w:r>
            <w:r w:rsidRPr="002029AF">
              <w:t>(head</w:t>
            </w:r>
            <w:r>
              <w:t xml:space="preserve"> </w:t>
            </w:r>
            <w:r w:rsidRPr="002029AF">
              <w:t>count)</w:t>
            </w:r>
          </w:p>
        </w:tc>
        <w:tc>
          <w:tcPr>
            <w:tcW w:w="284" w:type="pct"/>
            <w:tcBorders>
              <w:top w:val="single" w:sz="4" w:space="0" w:color="auto"/>
            </w:tcBorders>
            <w:hideMark/>
          </w:tcPr>
          <w:p w14:paraId="092CBC92" w14:textId="77777777" w:rsidR="001A70B8" w:rsidRPr="002029AF" w:rsidRDefault="001A70B8" w:rsidP="00101E5D">
            <w:pPr>
              <w:pStyle w:val="ARtablecolheadright"/>
              <w:shd w:val="clear" w:color="auto" w:fill="FFFFFF" w:themeFill="background1"/>
              <w:spacing w:before="20" w:after="10"/>
            </w:pPr>
            <w:r w:rsidRPr="002029AF">
              <w:t>Part-time</w:t>
            </w:r>
            <w:r>
              <w:t xml:space="preserve"> </w:t>
            </w:r>
            <w:r w:rsidRPr="002029AF">
              <w:t>(head</w:t>
            </w:r>
            <w:r>
              <w:t xml:space="preserve"> </w:t>
            </w:r>
            <w:r w:rsidRPr="002029AF">
              <w:t>count)</w:t>
            </w:r>
          </w:p>
        </w:tc>
        <w:tc>
          <w:tcPr>
            <w:tcW w:w="286" w:type="pct"/>
            <w:tcBorders>
              <w:top w:val="single" w:sz="4" w:space="0" w:color="auto"/>
              <w:right w:val="single" w:sz="4" w:space="0" w:color="auto"/>
            </w:tcBorders>
            <w:hideMark/>
          </w:tcPr>
          <w:p w14:paraId="144AD32E" w14:textId="77777777" w:rsidR="001A70B8" w:rsidRPr="002029AF" w:rsidRDefault="001A70B8" w:rsidP="00101E5D">
            <w:pPr>
              <w:pStyle w:val="ARtablecolheadright"/>
              <w:shd w:val="clear" w:color="auto" w:fill="FFFFFF" w:themeFill="background1"/>
              <w:spacing w:before="20" w:after="10"/>
            </w:pPr>
            <w:r w:rsidRPr="002029AF">
              <w:t>FTE</w:t>
            </w:r>
          </w:p>
        </w:tc>
        <w:tc>
          <w:tcPr>
            <w:tcW w:w="321" w:type="pct"/>
            <w:tcBorders>
              <w:top w:val="single" w:sz="4" w:space="0" w:color="auto"/>
              <w:left w:val="single" w:sz="4" w:space="0" w:color="auto"/>
            </w:tcBorders>
            <w:hideMark/>
          </w:tcPr>
          <w:p w14:paraId="159450A6" w14:textId="77777777" w:rsidR="001A70B8" w:rsidRPr="002029AF" w:rsidRDefault="001A70B8" w:rsidP="00101E5D">
            <w:pPr>
              <w:pStyle w:val="ARtablecolheadright"/>
              <w:shd w:val="clear" w:color="auto" w:fill="FFFFFF" w:themeFill="background1"/>
              <w:spacing w:before="20" w:after="10"/>
            </w:pPr>
            <w:r w:rsidRPr="002029AF">
              <w:t>Number</w:t>
            </w:r>
            <w:r>
              <w:t xml:space="preserve"> </w:t>
            </w:r>
            <w:r w:rsidRPr="002029AF">
              <w:t>(head</w:t>
            </w:r>
            <w:r>
              <w:t xml:space="preserve"> </w:t>
            </w:r>
            <w:r w:rsidRPr="002029AF">
              <w:t>count)</w:t>
            </w:r>
          </w:p>
        </w:tc>
        <w:tc>
          <w:tcPr>
            <w:tcW w:w="285" w:type="pct"/>
            <w:tcBorders>
              <w:top w:val="single" w:sz="4" w:space="0" w:color="auto"/>
              <w:right w:val="single" w:sz="4" w:space="0" w:color="auto"/>
            </w:tcBorders>
            <w:hideMark/>
          </w:tcPr>
          <w:p w14:paraId="75E6A7F9" w14:textId="77777777" w:rsidR="001A70B8" w:rsidRPr="002029AF" w:rsidRDefault="001A70B8" w:rsidP="00101E5D">
            <w:pPr>
              <w:pStyle w:val="ARtablecolheadright"/>
              <w:shd w:val="clear" w:color="auto" w:fill="FFFFFF" w:themeFill="background1"/>
              <w:spacing w:before="20" w:after="10"/>
            </w:pPr>
            <w:r w:rsidRPr="002029AF">
              <w:t>FTE</w:t>
            </w:r>
          </w:p>
        </w:tc>
        <w:tc>
          <w:tcPr>
            <w:tcW w:w="321" w:type="pct"/>
            <w:tcBorders>
              <w:top w:val="single" w:sz="4" w:space="0" w:color="auto"/>
              <w:left w:val="single" w:sz="4" w:space="0" w:color="auto"/>
            </w:tcBorders>
            <w:hideMark/>
          </w:tcPr>
          <w:p w14:paraId="2CC6FA16" w14:textId="77777777" w:rsidR="001A70B8" w:rsidRPr="002029AF" w:rsidRDefault="001A70B8" w:rsidP="00101E5D">
            <w:pPr>
              <w:pStyle w:val="ARtablecolheadright"/>
              <w:shd w:val="clear" w:color="auto" w:fill="FFFFFF" w:themeFill="background1"/>
              <w:spacing w:before="20" w:after="10"/>
            </w:pPr>
            <w:r w:rsidRPr="002029AF">
              <w:t>Number</w:t>
            </w:r>
            <w:r>
              <w:t xml:space="preserve"> </w:t>
            </w:r>
            <w:r w:rsidRPr="002029AF">
              <w:t>(head</w:t>
            </w:r>
            <w:r>
              <w:t xml:space="preserve"> </w:t>
            </w:r>
            <w:r w:rsidRPr="002029AF">
              <w:t>count)</w:t>
            </w:r>
          </w:p>
        </w:tc>
        <w:tc>
          <w:tcPr>
            <w:tcW w:w="285" w:type="pct"/>
            <w:tcBorders>
              <w:top w:val="single" w:sz="4" w:space="0" w:color="auto"/>
              <w:right w:val="single" w:sz="4" w:space="0" w:color="auto"/>
            </w:tcBorders>
            <w:hideMark/>
          </w:tcPr>
          <w:p w14:paraId="6874F6C8" w14:textId="77777777" w:rsidR="001A70B8" w:rsidRPr="002029AF" w:rsidRDefault="001A70B8" w:rsidP="00101E5D">
            <w:pPr>
              <w:pStyle w:val="ARtablecolheadright"/>
              <w:shd w:val="clear" w:color="auto" w:fill="FFFFFF" w:themeFill="background1"/>
              <w:spacing w:before="20" w:after="10"/>
            </w:pPr>
            <w:r w:rsidRPr="002029AF">
              <w:t>FTE</w:t>
            </w:r>
          </w:p>
        </w:tc>
        <w:tc>
          <w:tcPr>
            <w:tcW w:w="284" w:type="pct"/>
            <w:tcBorders>
              <w:top w:val="single" w:sz="4" w:space="0" w:color="auto"/>
              <w:left w:val="single" w:sz="4" w:space="0" w:color="auto"/>
            </w:tcBorders>
            <w:hideMark/>
          </w:tcPr>
          <w:p w14:paraId="6A2C39DC" w14:textId="77777777" w:rsidR="001A70B8" w:rsidRPr="002029AF" w:rsidRDefault="001A70B8" w:rsidP="00101E5D">
            <w:pPr>
              <w:pStyle w:val="ARtablecolheadright"/>
              <w:shd w:val="clear" w:color="auto" w:fill="FFFFFF" w:themeFill="background1"/>
              <w:spacing w:before="20" w:after="10"/>
            </w:pPr>
            <w:r w:rsidRPr="002029AF">
              <w:t>Full-time</w:t>
            </w:r>
            <w:r>
              <w:t xml:space="preserve"> </w:t>
            </w:r>
            <w:r w:rsidRPr="002029AF">
              <w:t>(head</w:t>
            </w:r>
            <w:r>
              <w:t xml:space="preserve"> </w:t>
            </w:r>
            <w:r w:rsidRPr="002029AF">
              <w:t>count)</w:t>
            </w:r>
          </w:p>
        </w:tc>
        <w:tc>
          <w:tcPr>
            <w:tcW w:w="284" w:type="pct"/>
            <w:tcBorders>
              <w:top w:val="single" w:sz="4" w:space="0" w:color="auto"/>
            </w:tcBorders>
            <w:hideMark/>
          </w:tcPr>
          <w:p w14:paraId="3DB499A5" w14:textId="77777777" w:rsidR="001A70B8" w:rsidRPr="002029AF" w:rsidRDefault="001A70B8" w:rsidP="00101E5D">
            <w:pPr>
              <w:pStyle w:val="ARtablecolheadright"/>
              <w:shd w:val="clear" w:color="auto" w:fill="FFFFFF" w:themeFill="background1"/>
              <w:spacing w:before="20" w:after="10"/>
            </w:pPr>
            <w:r w:rsidRPr="002029AF">
              <w:t>Part-time</w:t>
            </w:r>
            <w:r>
              <w:t xml:space="preserve"> </w:t>
            </w:r>
            <w:r w:rsidRPr="002029AF">
              <w:t>(head</w:t>
            </w:r>
            <w:r>
              <w:t xml:space="preserve"> </w:t>
            </w:r>
            <w:r w:rsidRPr="002029AF">
              <w:t>count)</w:t>
            </w:r>
          </w:p>
        </w:tc>
        <w:tc>
          <w:tcPr>
            <w:tcW w:w="286" w:type="pct"/>
            <w:tcBorders>
              <w:top w:val="single" w:sz="4" w:space="0" w:color="auto"/>
              <w:right w:val="single" w:sz="4" w:space="0" w:color="auto"/>
            </w:tcBorders>
            <w:hideMark/>
          </w:tcPr>
          <w:p w14:paraId="547717EC" w14:textId="77777777" w:rsidR="001A70B8" w:rsidRPr="002029AF" w:rsidRDefault="001A70B8" w:rsidP="00101E5D">
            <w:pPr>
              <w:pStyle w:val="ARtablecolheadright"/>
              <w:shd w:val="clear" w:color="auto" w:fill="FFFFFF" w:themeFill="background1"/>
              <w:spacing w:before="20" w:after="10"/>
            </w:pPr>
            <w:r w:rsidRPr="002029AF">
              <w:t>FTE</w:t>
            </w:r>
          </w:p>
        </w:tc>
        <w:tc>
          <w:tcPr>
            <w:tcW w:w="321" w:type="pct"/>
            <w:tcBorders>
              <w:left w:val="single" w:sz="4" w:space="0" w:color="auto"/>
            </w:tcBorders>
            <w:hideMark/>
          </w:tcPr>
          <w:p w14:paraId="77DD8F6C" w14:textId="77777777" w:rsidR="001A70B8" w:rsidRPr="002029AF" w:rsidRDefault="001A70B8" w:rsidP="00101E5D">
            <w:pPr>
              <w:pStyle w:val="ARtablecolheadright"/>
              <w:shd w:val="clear" w:color="auto" w:fill="FFFFFF" w:themeFill="background1"/>
              <w:spacing w:before="20" w:after="10"/>
            </w:pPr>
            <w:r w:rsidRPr="002029AF">
              <w:t>Number</w:t>
            </w:r>
            <w:r>
              <w:t xml:space="preserve"> </w:t>
            </w:r>
            <w:r w:rsidRPr="002029AF">
              <w:t>(head</w:t>
            </w:r>
            <w:r>
              <w:t xml:space="preserve"> </w:t>
            </w:r>
            <w:r w:rsidRPr="002029AF">
              <w:t>count)</w:t>
            </w:r>
          </w:p>
        </w:tc>
        <w:tc>
          <w:tcPr>
            <w:tcW w:w="282" w:type="pct"/>
            <w:hideMark/>
          </w:tcPr>
          <w:p w14:paraId="09D42882" w14:textId="77777777" w:rsidR="001A70B8" w:rsidRPr="002029AF" w:rsidRDefault="001A70B8" w:rsidP="00101E5D">
            <w:pPr>
              <w:pStyle w:val="ARtablecolheadright"/>
              <w:shd w:val="clear" w:color="auto" w:fill="FFFFFF" w:themeFill="background1"/>
              <w:spacing w:before="20" w:after="10"/>
            </w:pPr>
            <w:r w:rsidRPr="002029AF">
              <w:t>FTE</w:t>
            </w:r>
          </w:p>
        </w:tc>
      </w:tr>
      <w:tr w:rsidR="00A212B4" w:rsidRPr="002029AF" w14:paraId="14104EC6" w14:textId="77777777" w:rsidTr="00A212B4">
        <w:tc>
          <w:tcPr>
            <w:tcW w:w="5000" w:type="pct"/>
            <w:gridSpan w:val="15"/>
            <w:hideMark/>
          </w:tcPr>
          <w:p w14:paraId="68154BF8" w14:textId="43D5A4BB" w:rsidR="00A212B4" w:rsidRPr="002029AF" w:rsidRDefault="00A212B4" w:rsidP="00A212B4">
            <w:pPr>
              <w:pStyle w:val="ARtablecolourbold"/>
              <w:spacing w:before="30" w:after="10"/>
            </w:pPr>
            <w:r w:rsidRPr="002029AF">
              <w:t>Gender</w:t>
            </w:r>
          </w:p>
        </w:tc>
      </w:tr>
      <w:tr w:rsidR="001A70B8" w:rsidRPr="002029AF" w14:paraId="5B0F319F" w14:textId="77777777" w:rsidTr="00524C5E">
        <w:tc>
          <w:tcPr>
            <w:tcW w:w="867" w:type="pct"/>
          </w:tcPr>
          <w:p w14:paraId="50AAC810" w14:textId="77777777" w:rsidR="001A70B8" w:rsidRPr="002029AF" w:rsidRDefault="001A70B8" w:rsidP="00A212B4">
            <w:pPr>
              <w:pStyle w:val="ARtabletext"/>
              <w:shd w:val="clear" w:color="auto" w:fill="FFFFFF" w:themeFill="background1"/>
              <w:spacing w:before="30" w:after="10"/>
            </w:pPr>
            <w:r w:rsidRPr="002029AF">
              <w:t>Women</w:t>
            </w:r>
          </w:p>
        </w:tc>
        <w:tc>
          <w:tcPr>
            <w:tcW w:w="321" w:type="pct"/>
            <w:tcBorders>
              <w:top w:val="single" w:sz="4" w:space="0" w:color="auto"/>
            </w:tcBorders>
          </w:tcPr>
          <w:p w14:paraId="42C9E840" w14:textId="77777777" w:rsidR="001A70B8" w:rsidRPr="002029AF" w:rsidRDefault="001A70B8" w:rsidP="00A212B4">
            <w:pPr>
              <w:pStyle w:val="ARtabletextright"/>
              <w:shd w:val="clear" w:color="auto" w:fill="FFFFFF" w:themeFill="background1"/>
              <w:spacing w:before="30" w:after="10"/>
            </w:pPr>
            <w:r>
              <w:t>160</w:t>
            </w:r>
          </w:p>
        </w:tc>
        <w:tc>
          <w:tcPr>
            <w:tcW w:w="289" w:type="pct"/>
            <w:tcBorders>
              <w:top w:val="single" w:sz="4" w:space="0" w:color="auto"/>
              <w:right w:val="single" w:sz="4" w:space="0" w:color="auto"/>
            </w:tcBorders>
          </w:tcPr>
          <w:p w14:paraId="56DFC24E" w14:textId="77777777" w:rsidR="001A70B8" w:rsidRPr="002029AF" w:rsidRDefault="001A70B8" w:rsidP="00A212B4">
            <w:pPr>
              <w:pStyle w:val="ARtabletextright"/>
              <w:shd w:val="clear" w:color="auto" w:fill="FFFFFF" w:themeFill="background1"/>
              <w:spacing w:before="30" w:after="10"/>
            </w:pPr>
            <w:r>
              <w:t>145.2</w:t>
            </w:r>
          </w:p>
        </w:tc>
        <w:tc>
          <w:tcPr>
            <w:tcW w:w="284" w:type="pct"/>
            <w:tcBorders>
              <w:top w:val="single" w:sz="4" w:space="0" w:color="auto"/>
              <w:left w:val="single" w:sz="4" w:space="0" w:color="auto"/>
            </w:tcBorders>
          </w:tcPr>
          <w:p w14:paraId="612E091E" w14:textId="77777777" w:rsidR="001A70B8" w:rsidRPr="002029AF" w:rsidRDefault="001A70B8" w:rsidP="00A212B4">
            <w:pPr>
              <w:pStyle w:val="ARtabletextright"/>
              <w:shd w:val="clear" w:color="auto" w:fill="FFFFFF" w:themeFill="background1"/>
              <w:spacing w:before="30" w:after="10"/>
            </w:pPr>
            <w:r>
              <w:t>55</w:t>
            </w:r>
          </w:p>
        </w:tc>
        <w:tc>
          <w:tcPr>
            <w:tcW w:w="284" w:type="pct"/>
            <w:tcBorders>
              <w:top w:val="single" w:sz="4" w:space="0" w:color="auto"/>
            </w:tcBorders>
          </w:tcPr>
          <w:p w14:paraId="3E20BB7C" w14:textId="77777777" w:rsidR="001A70B8" w:rsidRPr="002029AF" w:rsidRDefault="001A70B8" w:rsidP="00A212B4">
            <w:pPr>
              <w:pStyle w:val="ARtabletextright"/>
              <w:shd w:val="clear" w:color="auto" w:fill="FFFFFF" w:themeFill="background1"/>
              <w:spacing w:before="30" w:after="10"/>
            </w:pPr>
            <w:r>
              <w:t>25</w:t>
            </w:r>
          </w:p>
        </w:tc>
        <w:tc>
          <w:tcPr>
            <w:tcW w:w="286" w:type="pct"/>
            <w:tcBorders>
              <w:top w:val="single" w:sz="4" w:space="0" w:color="auto"/>
              <w:right w:val="single" w:sz="4" w:space="0" w:color="auto"/>
            </w:tcBorders>
          </w:tcPr>
          <w:p w14:paraId="08C559FE" w14:textId="77777777" w:rsidR="001A70B8" w:rsidRPr="002029AF" w:rsidRDefault="001A70B8" w:rsidP="00A212B4">
            <w:pPr>
              <w:pStyle w:val="ARtabletextright"/>
              <w:shd w:val="clear" w:color="auto" w:fill="FFFFFF" w:themeFill="background1"/>
              <w:spacing w:before="30" w:after="10"/>
            </w:pPr>
            <w:r>
              <w:t>72.2</w:t>
            </w:r>
          </w:p>
        </w:tc>
        <w:tc>
          <w:tcPr>
            <w:tcW w:w="321" w:type="pct"/>
            <w:tcBorders>
              <w:top w:val="single" w:sz="4" w:space="0" w:color="auto"/>
              <w:left w:val="single" w:sz="4" w:space="0" w:color="auto"/>
            </w:tcBorders>
          </w:tcPr>
          <w:p w14:paraId="161A25DD" w14:textId="77777777" w:rsidR="001A70B8" w:rsidRPr="002029AF" w:rsidRDefault="001A70B8" w:rsidP="00A212B4">
            <w:pPr>
              <w:pStyle w:val="ARtabletextright"/>
              <w:shd w:val="clear" w:color="auto" w:fill="FFFFFF" w:themeFill="background1"/>
              <w:spacing w:before="30" w:after="10"/>
            </w:pPr>
            <w:r>
              <w:t>80</w:t>
            </w:r>
          </w:p>
        </w:tc>
        <w:tc>
          <w:tcPr>
            <w:tcW w:w="285" w:type="pct"/>
            <w:tcBorders>
              <w:top w:val="single" w:sz="4" w:space="0" w:color="auto"/>
              <w:right w:val="single" w:sz="4" w:space="0" w:color="auto"/>
            </w:tcBorders>
          </w:tcPr>
          <w:p w14:paraId="042B58CB" w14:textId="77777777" w:rsidR="001A70B8" w:rsidRPr="002029AF" w:rsidRDefault="001A70B8" w:rsidP="00A212B4">
            <w:pPr>
              <w:pStyle w:val="ARtabletextright"/>
              <w:shd w:val="clear" w:color="auto" w:fill="FFFFFF" w:themeFill="background1"/>
              <w:spacing w:before="30" w:after="10"/>
            </w:pPr>
            <w:r>
              <w:t>73.1</w:t>
            </w:r>
          </w:p>
        </w:tc>
        <w:tc>
          <w:tcPr>
            <w:tcW w:w="321" w:type="pct"/>
            <w:tcBorders>
              <w:top w:val="single" w:sz="4" w:space="0" w:color="auto"/>
              <w:left w:val="single" w:sz="4" w:space="0" w:color="auto"/>
            </w:tcBorders>
          </w:tcPr>
          <w:p w14:paraId="0DFA1E7E" w14:textId="77777777" w:rsidR="001A70B8" w:rsidRPr="002029AF" w:rsidRDefault="001A70B8" w:rsidP="00A212B4">
            <w:pPr>
              <w:pStyle w:val="ARtabletextright"/>
              <w:shd w:val="clear" w:color="auto" w:fill="FFFFFF" w:themeFill="background1"/>
              <w:spacing w:before="30" w:after="10"/>
            </w:pPr>
            <w:r>
              <w:t>131</w:t>
            </w:r>
          </w:p>
        </w:tc>
        <w:tc>
          <w:tcPr>
            <w:tcW w:w="285" w:type="pct"/>
            <w:tcBorders>
              <w:top w:val="single" w:sz="4" w:space="0" w:color="auto"/>
              <w:right w:val="single" w:sz="4" w:space="0" w:color="auto"/>
            </w:tcBorders>
          </w:tcPr>
          <w:p w14:paraId="4F708AD5" w14:textId="77777777" w:rsidR="001A70B8" w:rsidRPr="002029AF" w:rsidRDefault="001A70B8" w:rsidP="00A212B4">
            <w:pPr>
              <w:pStyle w:val="ARtabletextright"/>
              <w:shd w:val="clear" w:color="auto" w:fill="FFFFFF" w:themeFill="background1"/>
              <w:spacing w:before="30" w:after="10"/>
            </w:pPr>
            <w:r>
              <w:t>119.5</w:t>
            </w:r>
          </w:p>
        </w:tc>
        <w:tc>
          <w:tcPr>
            <w:tcW w:w="284" w:type="pct"/>
            <w:tcBorders>
              <w:top w:val="single" w:sz="4" w:space="0" w:color="auto"/>
              <w:left w:val="single" w:sz="4" w:space="0" w:color="auto"/>
            </w:tcBorders>
          </w:tcPr>
          <w:p w14:paraId="2B8AFD06" w14:textId="77777777" w:rsidR="001A70B8" w:rsidRPr="002029AF" w:rsidRDefault="001A70B8" w:rsidP="00A212B4">
            <w:pPr>
              <w:pStyle w:val="ARtabletextright"/>
              <w:shd w:val="clear" w:color="auto" w:fill="FFFFFF" w:themeFill="background1"/>
              <w:spacing w:before="30" w:after="10"/>
            </w:pPr>
            <w:r>
              <w:t>75</w:t>
            </w:r>
          </w:p>
        </w:tc>
        <w:tc>
          <w:tcPr>
            <w:tcW w:w="284" w:type="pct"/>
            <w:tcBorders>
              <w:top w:val="single" w:sz="4" w:space="0" w:color="auto"/>
            </w:tcBorders>
          </w:tcPr>
          <w:p w14:paraId="0E199B63" w14:textId="77777777" w:rsidR="001A70B8" w:rsidRPr="002029AF" w:rsidRDefault="001A70B8" w:rsidP="00A212B4">
            <w:pPr>
              <w:pStyle w:val="ARtabletextright"/>
              <w:shd w:val="clear" w:color="auto" w:fill="FFFFFF" w:themeFill="background1"/>
              <w:spacing w:before="30" w:after="10"/>
            </w:pPr>
            <w:r w:rsidRPr="002029AF" w:rsidDel="0060278C">
              <w:t>30</w:t>
            </w:r>
          </w:p>
        </w:tc>
        <w:tc>
          <w:tcPr>
            <w:tcW w:w="286" w:type="pct"/>
            <w:tcBorders>
              <w:top w:val="single" w:sz="4" w:space="0" w:color="auto"/>
              <w:right w:val="single" w:sz="4" w:space="0" w:color="auto"/>
            </w:tcBorders>
          </w:tcPr>
          <w:p w14:paraId="076ACE08" w14:textId="77777777" w:rsidR="001A70B8" w:rsidRPr="002029AF" w:rsidRDefault="001A70B8" w:rsidP="00A212B4">
            <w:pPr>
              <w:pStyle w:val="ARtabletextright"/>
              <w:shd w:val="clear" w:color="auto" w:fill="FFFFFF" w:themeFill="background1"/>
              <w:spacing w:before="30" w:after="10"/>
            </w:pPr>
            <w:r>
              <w:t>96.4</w:t>
            </w:r>
          </w:p>
        </w:tc>
        <w:tc>
          <w:tcPr>
            <w:tcW w:w="321" w:type="pct"/>
            <w:tcBorders>
              <w:left w:val="single" w:sz="4" w:space="0" w:color="auto"/>
            </w:tcBorders>
          </w:tcPr>
          <w:p w14:paraId="276EAAB3" w14:textId="77777777" w:rsidR="001A70B8" w:rsidRPr="002029AF" w:rsidRDefault="001A70B8" w:rsidP="00A212B4">
            <w:pPr>
              <w:pStyle w:val="ARtabletextright"/>
              <w:shd w:val="clear" w:color="auto" w:fill="FFFFFF" w:themeFill="background1"/>
              <w:spacing w:before="30" w:after="10"/>
            </w:pPr>
            <w:r>
              <w:t>26</w:t>
            </w:r>
          </w:p>
        </w:tc>
        <w:tc>
          <w:tcPr>
            <w:tcW w:w="282" w:type="pct"/>
          </w:tcPr>
          <w:p w14:paraId="5B976BCB" w14:textId="77777777" w:rsidR="001A70B8" w:rsidRPr="002029AF" w:rsidRDefault="001A70B8" w:rsidP="00A212B4">
            <w:pPr>
              <w:pStyle w:val="ARtabletextright"/>
              <w:shd w:val="clear" w:color="auto" w:fill="FFFFFF" w:themeFill="background1"/>
              <w:spacing w:before="30" w:after="10"/>
            </w:pPr>
            <w:r>
              <w:t>23.2</w:t>
            </w:r>
          </w:p>
        </w:tc>
      </w:tr>
      <w:tr w:rsidR="001A70B8" w:rsidRPr="002029AF" w14:paraId="3FC26AD8" w14:textId="77777777" w:rsidTr="00524C5E">
        <w:tc>
          <w:tcPr>
            <w:tcW w:w="867" w:type="pct"/>
            <w:hideMark/>
          </w:tcPr>
          <w:p w14:paraId="70EF89A9" w14:textId="77777777" w:rsidR="001A70B8" w:rsidRPr="002029AF" w:rsidRDefault="001A70B8" w:rsidP="00A212B4">
            <w:pPr>
              <w:pStyle w:val="ARtabletext"/>
              <w:shd w:val="clear" w:color="auto" w:fill="FFFFFF" w:themeFill="background1"/>
              <w:spacing w:before="30" w:after="10"/>
            </w:pPr>
            <w:r w:rsidRPr="002029AF">
              <w:t>Men</w:t>
            </w:r>
          </w:p>
        </w:tc>
        <w:tc>
          <w:tcPr>
            <w:tcW w:w="321" w:type="pct"/>
            <w:tcBorders>
              <w:top w:val="single" w:sz="4" w:space="0" w:color="auto"/>
            </w:tcBorders>
          </w:tcPr>
          <w:p w14:paraId="3080FDA0" w14:textId="77777777" w:rsidR="001A70B8" w:rsidRPr="002029AF" w:rsidRDefault="001A70B8" w:rsidP="00A212B4">
            <w:pPr>
              <w:pStyle w:val="ARtabletextright"/>
              <w:shd w:val="clear" w:color="auto" w:fill="FFFFFF" w:themeFill="background1"/>
              <w:spacing w:before="30" w:after="10"/>
            </w:pPr>
            <w:r>
              <w:t>22</w:t>
            </w:r>
          </w:p>
        </w:tc>
        <w:tc>
          <w:tcPr>
            <w:tcW w:w="289" w:type="pct"/>
            <w:tcBorders>
              <w:top w:val="single" w:sz="4" w:space="0" w:color="auto"/>
              <w:right w:val="single" w:sz="4" w:space="0" w:color="auto"/>
            </w:tcBorders>
          </w:tcPr>
          <w:p w14:paraId="5F8EA5E2" w14:textId="77777777" w:rsidR="001A70B8" w:rsidRPr="002029AF" w:rsidRDefault="001A70B8" w:rsidP="00A212B4">
            <w:pPr>
              <w:pStyle w:val="ARtabletextright"/>
              <w:shd w:val="clear" w:color="auto" w:fill="FFFFFF" w:themeFill="background1"/>
              <w:spacing w:before="30" w:after="10"/>
            </w:pPr>
            <w:r>
              <w:t>21.0</w:t>
            </w:r>
          </w:p>
        </w:tc>
        <w:tc>
          <w:tcPr>
            <w:tcW w:w="284" w:type="pct"/>
            <w:tcBorders>
              <w:top w:val="single" w:sz="4" w:space="0" w:color="auto"/>
              <w:left w:val="single" w:sz="4" w:space="0" w:color="auto"/>
            </w:tcBorders>
          </w:tcPr>
          <w:p w14:paraId="7E7EC93B" w14:textId="77777777" w:rsidR="001A70B8" w:rsidRPr="002029AF" w:rsidRDefault="001A70B8" w:rsidP="00A212B4">
            <w:pPr>
              <w:pStyle w:val="ARtabletextright"/>
              <w:shd w:val="clear" w:color="auto" w:fill="FFFFFF" w:themeFill="background1"/>
              <w:spacing w:before="30" w:after="10"/>
            </w:pPr>
            <w:r>
              <w:t>7</w:t>
            </w:r>
          </w:p>
        </w:tc>
        <w:tc>
          <w:tcPr>
            <w:tcW w:w="284" w:type="pct"/>
            <w:tcBorders>
              <w:top w:val="single" w:sz="4" w:space="0" w:color="auto"/>
            </w:tcBorders>
          </w:tcPr>
          <w:p w14:paraId="60FADF7B" w14:textId="77777777" w:rsidR="001A70B8" w:rsidRPr="002029AF" w:rsidRDefault="001A70B8" w:rsidP="00A212B4">
            <w:pPr>
              <w:pStyle w:val="ARtabletextright"/>
              <w:shd w:val="clear" w:color="auto" w:fill="FFFFFF" w:themeFill="background1"/>
              <w:spacing w:before="30" w:after="10"/>
            </w:pPr>
            <w:r>
              <w:t>1</w:t>
            </w:r>
          </w:p>
        </w:tc>
        <w:tc>
          <w:tcPr>
            <w:tcW w:w="286" w:type="pct"/>
            <w:tcBorders>
              <w:top w:val="single" w:sz="4" w:space="0" w:color="auto"/>
              <w:right w:val="single" w:sz="4" w:space="0" w:color="auto"/>
            </w:tcBorders>
          </w:tcPr>
          <w:p w14:paraId="135C660D" w14:textId="77777777" w:rsidR="001A70B8" w:rsidRPr="002029AF" w:rsidRDefault="001A70B8" w:rsidP="00A212B4">
            <w:pPr>
              <w:pStyle w:val="ARtabletextright"/>
              <w:shd w:val="clear" w:color="auto" w:fill="FFFFFF" w:themeFill="background1"/>
              <w:spacing w:before="30" w:after="10"/>
            </w:pPr>
            <w:r>
              <w:t>7.5</w:t>
            </w:r>
          </w:p>
        </w:tc>
        <w:tc>
          <w:tcPr>
            <w:tcW w:w="321" w:type="pct"/>
            <w:tcBorders>
              <w:top w:val="single" w:sz="4" w:space="0" w:color="auto"/>
              <w:left w:val="single" w:sz="4" w:space="0" w:color="auto"/>
            </w:tcBorders>
          </w:tcPr>
          <w:p w14:paraId="5AC3B792" w14:textId="77777777" w:rsidR="001A70B8" w:rsidRPr="002029AF" w:rsidRDefault="001A70B8" w:rsidP="00A212B4">
            <w:pPr>
              <w:pStyle w:val="ARtabletextright"/>
              <w:shd w:val="clear" w:color="auto" w:fill="FFFFFF" w:themeFill="background1"/>
              <w:spacing w:before="30" w:after="10"/>
            </w:pPr>
            <w:r>
              <w:t>14</w:t>
            </w:r>
          </w:p>
        </w:tc>
        <w:tc>
          <w:tcPr>
            <w:tcW w:w="285" w:type="pct"/>
            <w:tcBorders>
              <w:top w:val="single" w:sz="4" w:space="0" w:color="auto"/>
              <w:right w:val="single" w:sz="4" w:space="0" w:color="auto"/>
            </w:tcBorders>
          </w:tcPr>
          <w:p w14:paraId="21663462" w14:textId="77777777" w:rsidR="001A70B8" w:rsidRPr="002029AF" w:rsidRDefault="001A70B8" w:rsidP="00A212B4">
            <w:pPr>
              <w:pStyle w:val="ARtabletextright"/>
              <w:shd w:val="clear" w:color="auto" w:fill="FFFFFF" w:themeFill="background1"/>
              <w:spacing w:before="30" w:after="10"/>
            </w:pPr>
            <w:r>
              <w:t>13.5</w:t>
            </w:r>
          </w:p>
        </w:tc>
        <w:tc>
          <w:tcPr>
            <w:tcW w:w="321" w:type="pct"/>
            <w:tcBorders>
              <w:top w:val="single" w:sz="4" w:space="0" w:color="auto"/>
              <w:left w:val="single" w:sz="4" w:space="0" w:color="auto"/>
            </w:tcBorders>
            <w:hideMark/>
          </w:tcPr>
          <w:p w14:paraId="68F44CFF" w14:textId="77777777" w:rsidR="001A70B8" w:rsidRPr="002029AF" w:rsidRDefault="001A70B8" w:rsidP="00A212B4">
            <w:pPr>
              <w:pStyle w:val="ARtabletextright"/>
              <w:shd w:val="clear" w:color="auto" w:fill="FFFFFF" w:themeFill="background1"/>
              <w:spacing w:before="30" w:after="10"/>
            </w:pPr>
            <w:r>
              <w:t>15</w:t>
            </w:r>
          </w:p>
        </w:tc>
        <w:tc>
          <w:tcPr>
            <w:tcW w:w="285" w:type="pct"/>
            <w:tcBorders>
              <w:top w:val="single" w:sz="4" w:space="0" w:color="auto"/>
              <w:right w:val="single" w:sz="4" w:space="0" w:color="auto"/>
            </w:tcBorders>
            <w:hideMark/>
          </w:tcPr>
          <w:p w14:paraId="7F3AB1B8" w14:textId="77777777" w:rsidR="001A70B8" w:rsidRPr="002029AF" w:rsidRDefault="001A70B8" w:rsidP="00A212B4">
            <w:pPr>
              <w:pStyle w:val="ARtabletextright"/>
              <w:shd w:val="clear" w:color="auto" w:fill="FFFFFF" w:themeFill="background1"/>
              <w:spacing w:before="30" w:after="10"/>
            </w:pPr>
            <w:r>
              <w:t>14.5</w:t>
            </w:r>
          </w:p>
        </w:tc>
        <w:tc>
          <w:tcPr>
            <w:tcW w:w="284" w:type="pct"/>
            <w:tcBorders>
              <w:top w:val="single" w:sz="4" w:space="0" w:color="auto"/>
              <w:left w:val="single" w:sz="4" w:space="0" w:color="auto"/>
            </w:tcBorders>
            <w:hideMark/>
          </w:tcPr>
          <w:p w14:paraId="09C0CCF1" w14:textId="77777777" w:rsidR="001A70B8" w:rsidRPr="002029AF" w:rsidRDefault="001A70B8" w:rsidP="00A212B4">
            <w:pPr>
              <w:pStyle w:val="ARtabletextright"/>
              <w:shd w:val="clear" w:color="auto" w:fill="FFFFFF" w:themeFill="background1"/>
              <w:spacing w:before="30" w:after="10"/>
            </w:pPr>
            <w:r>
              <w:t>9</w:t>
            </w:r>
          </w:p>
        </w:tc>
        <w:tc>
          <w:tcPr>
            <w:tcW w:w="284" w:type="pct"/>
            <w:tcBorders>
              <w:top w:val="single" w:sz="4" w:space="0" w:color="auto"/>
            </w:tcBorders>
            <w:hideMark/>
          </w:tcPr>
          <w:p w14:paraId="4482FF02" w14:textId="77777777" w:rsidR="001A70B8" w:rsidRPr="002029AF" w:rsidRDefault="001A70B8" w:rsidP="00A212B4">
            <w:pPr>
              <w:pStyle w:val="ARtabletextright"/>
              <w:shd w:val="clear" w:color="auto" w:fill="FFFFFF" w:themeFill="background1"/>
              <w:spacing w:before="30" w:after="10"/>
            </w:pPr>
            <w:r>
              <w:t>1</w:t>
            </w:r>
          </w:p>
        </w:tc>
        <w:tc>
          <w:tcPr>
            <w:tcW w:w="286" w:type="pct"/>
            <w:tcBorders>
              <w:top w:val="single" w:sz="4" w:space="0" w:color="auto"/>
              <w:right w:val="single" w:sz="4" w:space="0" w:color="auto"/>
            </w:tcBorders>
            <w:hideMark/>
          </w:tcPr>
          <w:p w14:paraId="707DD82D" w14:textId="77777777" w:rsidR="001A70B8" w:rsidRPr="002029AF" w:rsidRDefault="001A70B8" w:rsidP="00A212B4">
            <w:pPr>
              <w:pStyle w:val="ARtabletextright"/>
              <w:shd w:val="clear" w:color="auto" w:fill="FFFFFF" w:themeFill="background1"/>
              <w:spacing w:before="30" w:after="10"/>
            </w:pPr>
            <w:r w:rsidRPr="002029AF" w:rsidDel="0060278C">
              <w:t>9.</w:t>
            </w:r>
            <w:r>
              <w:t>5</w:t>
            </w:r>
          </w:p>
        </w:tc>
        <w:tc>
          <w:tcPr>
            <w:tcW w:w="321" w:type="pct"/>
            <w:tcBorders>
              <w:left w:val="single" w:sz="4" w:space="0" w:color="auto"/>
            </w:tcBorders>
            <w:hideMark/>
          </w:tcPr>
          <w:p w14:paraId="26DB1822" w14:textId="77777777" w:rsidR="001A70B8" w:rsidRPr="002029AF" w:rsidRDefault="001A70B8" w:rsidP="00A212B4">
            <w:pPr>
              <w:pStyle w:val="ARtabletextright"/>
              <w:shd w:val="clear" w:color="auto" w:fill="FFFFFF" w:themeFill="background1"/>
              <w:spacing w:before="30" w:after="10"/>
            </w:pPr>
            <w:r>
              <w:t>5</w:t>
            </w:r>
          </w:p>
        </w:tc>
        <w:tc>
          <w:tcPr>
            <w:tcW w:w="282" w:type="pct"/>
            <w:hideMark/>
          </w:tcPr>
          <w:p w14:paraId="3E39857A" w14:textId="77777777" w:rsidR="001A70B8" w:rsidRPr="002029AF" w:rsidRDefault="001A70B8" w:rsidP="00A212B4">
            <w:pPr>
              <w:pStyle w:val="ARtabletextright"/>
              <w:shd w:val="clear" w:color="auto" w:fill="FFFFFF" w:themeFill="background1"/>
              <w:spacing w:before="30" w:after="10"/>
            </w:pPr>
            <w:r>
              <w:t>5.0</w:t>
            </w:r>
          </w:p>
        </w:tc>
      </w:tr>
      <w:tr w:rsidR="001A70B8" w:rsidRPr="002029AF" w14:paraId="088C7625" w14:textId="77777777" w:rsidTr="00524C5E">
        <w:tc>
          <w:tcPr>
            <w:tcW w:w="867" w:type="pct"/>
            <w:hideMark/>
          </w:tcPr>
          <w:p w14:paraId="2089ABEC" w14:textId="77777777" w:rsidR="001A70B8" w:rsidRPr="002029AF" w:rsidRDefault="001A70B8" w:rsidP="00A212B4">
            <w:pPr>
              <w:pStyle w:val="ARtabletext"/>
              <w:shd w:val="clear" w:color="auto" w:fill="FFFFFF" w:themeFill="background1"/>
              <w:spacing w:before="30" w:after="10"/>
            </w:pPr>
            <w:r w:rsidRPr="002029AF">
              <w:t>Self-described</w:t>
            </w:r>
          </w:p>
        </w:tc>
        <w:tc>
          <w:tcPr>
            <w:tcW w:w="321" w:type="pct"/>
            <w:tcBorders>
              <w:top w:val="single" w:sz="4" w:space="0" w:color="auto"/>
            </w:tcBorders>
          </w:tcPr>
          <w:p w14:paraId="5C955333" w14:textId="77777777" w:rsidR="001A70B8" w:rsidRPr="006C72E5" w:rsidRDefault="001A70B8" w:rsidP="00A212B4">
            <w:pPr>
              <w:pStyle w:val="ARtabletextright"/>
              <w:shd w:val="clear" w:color="auto" w:fill="FFFFFF" w:themeFill="background1"/>
              <w:spacing w:before="30" w:after="10"/>
              <w:rPr>
                <w:rStyle w:val="FootnoteReference"/>
              </w:rPr>
            </w:pPr>
            <w:r>
              <w:t>3</w:t>
            </w:r>
          </w:p>
        </w:tc>
        <w:tc>
          <w:tcPr>
            <w:tcW w:w="289" w:type="pct"/>
            <w:tcBorders>
              <w:top w:val="single" w:sz="4" w:space="0" w:color="auto"/>
              <w:right w:val="single" w:sz="4" w:space="0" w:color="auto"/>
            </w:tcBorders>
          </w:tcPr>
          <w:p w14:paraId="67A5BCE4" w14:textId="77777777" w:rsidR="001A70B8" w:rsidRPr="002029AF" w:rsidRDefault="001A70B8" w:rsidP="00A212B4">
            <w:pPr>
              <w:pStyle w:val="ARtabletextright"/>
              <w:shd w:val="clear" w:color="auto" w:fill="FFFFFF" w:themeFill="background1"/>
              <w:spacing w:before="30" w:after="10"/>
            </w:pPr>
            <w:r>
              <w:t>2.8</w:t>
            </w:r>
          </w:p>
        </w:tc>
        <w:tc>
          <w:tcPr>
            <w:tcW w:w="284" w:type="pct"/>
            <w:tcBorders>
              <w:top w:val="single" w:sz="4" w:space="0" w:color="auto"/>
              <w:left w:val="single" w:sz="4" w:space="0" w:color="auto"/>
            </w:tcBorders>
          </w:tcPr>
          <w:p w14:paraId="5C4C7036" w14:textId="77777777" w:rsidR="001A70B8" w:rsidRPr="002029AF" w:rsidRDefault="001A70B8" w:rsidP="00A212B4">
            <w:pPr>
              <w:pStyle w:val="ARtabletextright"/>
              <w:shd w:val="clear" w:color="auto" w:fill="FFFFFF" w:themeFill="background1"/>
              <w:spacing w:before="30" w:after="10"/>
            </w:pPr>
            <w:r>
              <w:t>1</w:t>
            </w:r>
          </w:p>
        </w:tc>
        <w:tc>
          <w:tcPr>
            <w:tcW w:w="284" w:type="pct"/>
            <w:tcBorders>
              <w:top w:val="single" w:sz="4" w:space="0" w:color="auto"/>
            </w:tcBorders>
          </w:tcPr>
          <w:p w14:paraId="7B79AB58" w14:textId="77777777" w:rsidR="001A70B8" w:rsidRPr="002029AF" w:rsidRDefault="001A70B8" w:rsidP="00A212B4">
            <w:pPr>
              <w:pStyle w:val="ARtabletextright"/>
              <w:shd w:val="clear" w:color="auto" w:fill="FFFFFF" w:themeFill="background1"/>
              <w:spacing w:before="30" w:after="10"/>
            </w:pPr>
            <w:r>
              <w:t>0</w:t>
            </w:r>
          </w:p>
        </w:tc>
        <w:tc>
          <w:tcPr>
            <w:tcW w:w="286" w:type="pct"/>
            <w:tcBorders>
              <w:top w:val="single" w:sz="4" w:space="0" w:color="auto"/>
              <w:right w:val="single" w:sz="4" w:space="0" w:color="auto"/>
            </w:tcBorders>
          </w:tcPr>
          <w:p w14:paraId="05AF461C" w14:textId="77777777" w:rsidR="001A70B8" w:rsidRPr="002029AF" w:rsidRDefault="001A70B8" w:rsidP="00A212B4">
            <w:pPr>
              <w:pStyle w:val="ARtabletextright"/>
              <w:shd w:val="clear" w:color="auto" w:fill="FFFFFF" w:themeFill="background1"/>
              <w:spacing w:before="30" w:after="10"/>
            </w:pPr>
            <w:r>
              <w:t>1.0</w:t>
            </w:r>
          </w:p>
        </w:tc>
        <w:tc>
          <w:tcPr>
            <w:tcW w:w="321" w:type="pct"/>
            <w:tcBorders>
              <w:top w:val="single" w:sz="4" w:space="0" w:color="auto"/>
              <w:left w:val="single" w:sz="4" w:space="0" w:color="auto"/>
            </w:tcBorders>
          </w:tcPr>
          <w:p w14:paraId="30214C4E" w14:textId="77777777" w:rsidR="001A70B8" w:rsidRPr="002029AF" w:rsidRDefault="001A70B8" w:rsidP="00A212B4">
            <w:pPr>
              <w:pStyle w:val="ARtabletextright"/>
              <w:shd w:val="clear" w:color="auto" w:fill="FFFFFF" w:themeFill="background1"/>
              <w:spacing w:before="30" w:after="10"/>
            </w:pPr>
            <w:r>
              <w:t>2</w:t>
            </w:r>
          </w:p>
        </w:tc>
        <w:tc>
          <w:tcPr>
            <w:tcW w:w="285" w:type="pct"/>
            <w:tcBorders>
              <w:top w:val="single" w:sz="4" w:space="0" w:color="auto"/>
              <w:right w:val="single" w:sz="4" w:space="0" w:color="auto"/>
            </w:tcBorders>
          </w:tcPr>
          <w:p w14:paraId="087925A7" w14:textId="77777777" w:rsidR="001A70B8" w:rsidRPr="002029AF" w:rsidRDefault="001A70B8" w:rsidP="00A212B4">
            <w:pPr>
              <w:pStyle w:val="ARtabletextright"/>
              <w:shd w:val="clear" w:color="auto" w:fill="FFFFFF" w:themeFill="background1"/>
              <w:spacing w:before="30" w:after="10"/>
            </w:pPr>
            <w:r>
              <w:t>1.8</w:t>
            </w:r>
          </w:p>
        </w:tc>
        <w:tc>
          <w:tcPr>
            <w:tcW w:w="321" w:type="pct"/>
            <w:tcBorders>
              <w:top w:val="single" w:sz="4" w:space="0" w:color="auto"/>
              <w:left w:val="single" w:sz="4" w:space="0" w:color="auto"/>
            </w:tcBorders>
            <w:hideMark/>
          </w:tcPr>
          <w:p w14:paraId="2AA63EED" w14:textId="77777777" w:rsidR="001A70B8" w:rsidRPr="002029AF" w:rsidRDefault="001A70B8" w:rsidP="00A212B4">
            <w:pPr>
              <w:pStyle w:val="ARtabletextright"/>
              <w:shd w:val="clear" w:color="auto" w:fill="FFFFFF" w:themeFill="background1"/>
              <w:spacing w:before="30" w:after="10"/>
            </w:pPr>
            <w:r w:rsidRPr="002029AF">
              <w:t>na</w:t>
            </w:r>
          </w:p>
        </w:tc>
        <w:tc>
          <w:tcPr>
            <w:tcW w:w="285" w:type="pct"/>
            <w:tcBorders>
              <w:top w:val="single" w:sz="4" w:space="0" w:color="auto"/>
              <w:right w:val="single" w:sz="4" w:space="0" w:color="auto"/>
            </w:tcBorders>
            <w:hideMark/>
          </w:tcPr>
          <w:p w14:paraId="46C8D9F9" w14:textId="77777777" w:rsidR="001A70B8" w:rsidRPr="002029AF" w:rsidRDefault="001A70B8" w:rsidP="00A212B4">
            <w:pPr>
              <w:pStyle w:val="ARtabletextright"/>
              <w:shd w:val="clear" w:color="auto" w:fill="FFFFFF" w:themeFill="background1"/>
              <w:spacing w:before="30" w:after="10"/>
            </w:pPr>
            <w:r w:rsidRPr="002029AF">
              <w:t>na</w:t>
            </w:r>
          </w:p>
        </w:tc>
        <w:tc>
          <w:tcPr>
            <w:tcW w:w="284" w:type="pct"/>
            <w:tcBorders>
              <w:top w:val="single" w:sz="4" w:space="0" w:color="auto"/>
              <w:left w:val="single" w:sz="4" w:space="0" w:color="auto"/>
            </w:tcBorders>
            <w:hideMark/>
          </w:tcPr>
          <w:p w14:paraId="225EF110" w14:textId="77777777" w:rsidR="001A70B8" w:rsidRPr="002029AF" w:rsidRDefault="001A70B8" w:rsidP="00A212B4">
            <w:pPr>
              <w:pStyle w:val="ARtabletextright"/>
              <w:shd w:val="clear" w:color="auto" w:fill="FFFFFF" w:themeFill="background1"/>
              <w:spacing w:before="30" w:after="10"/>
            </w:pPr>
            <w:r w:rsidRPr="002029AF">
              <w:t>na</w:t>
            </w:r>
          </w:p>
        </w:tc>
        <w:tc>
          <w:tcPr>
            <w:tcW w:w="284" w:type="pct"/>
            <w:tcBorders>
              <w:top w:val="single" w:sz="4" w:space="0" w:color="auto"/>
            </w:tcBorders>
            <w:hideMark/>
          </w:tcPr>
          <w:p w14:paraId="2F52B0DB" w14:textId="77777777" w:rsidR="001A70B8" w:rsidRPr="002029AF" w:rsidRDefault="001A70B8" w:rsidP="00A212B4">
            <w:pPr>
              <w:pStyle w:val="ARtabletextright"/>
              <w:shd w:val="clear" w:color="auto" w:fill="FFFFFF" w:themeFill="background1"/>
              <w:spacing w:before="30" w:after="10"/>
            </w:pPr>
            <w:r w:rsidRPr="002029AF">
              <w:t>na</w:t>
            </w:r>
          </w:p>
        </w:tc>
        <w:tc>
          <w:tcPr>
            <w:tcW w:w="286" w:type="pct"/>
            <w:tcBorders>
              <w:top w:val="single" w:sz="4" w:space="0" w:color="auto"/>
              <w:right w:val="single" w:sz="4" w:space="0" w:color="auto"/>
            </w:tcBorders>
            <w:hideMark/>
          </w:tcPr>
          <w:p w14:paraId="12578453" w14:textId="77777777" w:rsidR="001A70B8" w:rsidRPr="002029AF" w:rsidRDefault="001A70B8" w:rsidP="00A212B4">
            <w:pPr>
              <w:pStyle w:val="ARtabletextright"/>
              <w:shd w:val="clear" w:color="auto" w:fill="FFFFFF" w:themeFill="background1"/>
              <w:spacing w:before="30" w:after="10"/>
            </w:pPr>
            <w:r w:rsidRPr="002029AF">
              <w:t>na</w:t>
            </w:r>
          </w:p>
        </w:tc>
        <w:tc>
          <w:tcPr>
            <w:tcW w:w="321" w:type="pct"/>
            <w:tcBorders>
              <w:left w:val="single" w:sz="4" w:space="0" w:color="auto"/>
            </w:tcBorders>
            <w:hideMark/>
          </w:tcPr>
          <w:p w14:paraId="427C118F" w14:textId="77777777" w:rsidR="001A70B8" w:rsidRPr="002029AF" w:rsidRDefault="001A70B8" w:rsidP="00A212B4">
            <w:pPr>
              <w:pStyle w:val="ARtabletextright"/>
              <w:shd w:val="clear" w:color="auto" w:fill="FFFFFF" w:themeFill="background1"/>
              <w:spacing w:before="30" w:after="10"/>
            </w:pPr>
            <w:r w:rsidRPr="002029AF">
              <w:t>na</w:t>
            </w:r>
          </w:p>
        </w:tc>
        <w:tc>
          <w:tcPr>
            <w:tcW w:w="282" w:type="pct"/>
            <w:hideMark/>
          </w:tcPr>
          <w:p w14:paraId="2CBA77A3" w14:textId="77777777" w:rsidR="001A70B8" w:rsidRPr="002029AF" w:rsidRDefault="001A70B8" w:rsidP="00A212B4">
            <w:pPr>
              <w:pStyle w:val="ARtabletextright"/>
              <w:shd w:val="clear" w:color="auto" w:fill="FFFFFF" w:themeFill="background1"/>
              <w:spacing w:before="30" w:after="10"/>
            </w:pPr>
            <w:r w:rsidRPr="002029AF">
              <w:t>na</w:t>
            </w:r>
          </w:p>
        </w:tc>
      </w:tr>
      <w:tr w:rsidR="00A212B4" w:rsidRPr="002029AF" w14:paraId="04B60C37" w14:textId="77777777" w:rsidTr="00A212B4">
        <w:tc>
          <w:tcPr>
            <w:tcW w:w="5000" w:type="pct"/>
            <w:gridSpan w:val="15"/>
          </w:tcPr>
          <w:p w14:paraId="15F8CBFB" w14:textId="7EB9AB0B" w:rsidR="00A212B4" w:rsidRPr="002029AF" w:rsidRDefault="00A212B4" w:rsidP="00A212B4">
            <w:pPr>
              <w:pStyle w:val="ARtablecolourbold"/>
              <w:spacing w:before="30" w:after="10"/>
            </w:pPr>
            <w:r w:rsidRPr="002029AF">
              <w:t>Age</w:t>
            </w:r>
          </w:p>
        </w:tc>
      </w:tr>
      <w:tr w:rsidR="001A70B8" w:rsidRPr="002029AF" w14:paraId="1D492985" w14:textId="77777777" w:rsidTr="00524C5E">
        <w:tc>
          <w:tcPr>
            <w:tcW w:w="867" w:type="pct"/>
            <w:hideMark/>
          </w:tcPr>
          <w:p w14:paraId="56FF5E04" w14:textId="77777777" w:rsidR="001A70B8" w:rsidRPr="002029AF" w:rsidRDefault="001A70B8" w:rsidP="00A212B4">
            <w:pPr>
              <w:pStyle w:val="ARtabletext"/>
              <w:shd w:val="clear" w:color="auto" w:fill="FFFFFF" w:themeFill="background1"/>
              <w:spacing w:before="30" w:after="10"/>
            </w:pPr>
            <w:r w:rsidRPr="002029AF">
              <w:t>15–24</w:t>
            </w:r>
          </w:p>
        </w:tc>
        <w:tc>
          <w:tcPr>
            <w:tcW w:w="321" w:type="pct"/>
            <w:tcBorders>
              <w:top w:val="single" w:sz="4" w:space="0" w:color="auto"/>
            </w:tcBorders>
          </w:tcPr>
          <w:p w14:paraId="1DC69699" w14:textId="77777777" w:rsidR="001A70B8" w:rsidRPr="002029AF" w:rsidRDefault="001A70B8" w:rsidP="00A212B4">
            <w:pPr>
              <w:pStyle w:val="ARtabletextright"/>
              <w:shd w:val="clear" w:color="auto" w:fill="FFFFFF" w:themeFill="background1"/>
              <w:spacing w:before="30" w:after="10"/>
            </w:pPr>
            <w:r>
              <w:t>0</w:t>
            </w:r>
          </w:p>
        </w:tc>
        <w:tc>
          <w:tcPr>
            <w:tcW w:w="289" w:type="pct"/>
            <w:tcBorders>
              <w:top w:val="single" w:sz="4" w:space="0" w:color="auto"/>
              <w:right w:val="single" w:sz="4" w:space="0" w:color="auto"/>
            </w:tcBorders>
          </w:tcPr>
          <w:p w14:paraId="668C2892" w14:textId="77777777" w:rsidR="001A70B8" w:rsidRPr="002029AF" w:rsidRDefault="001A70B8" w:rsidP="00A212B4">
            <w:pPr>
              <w:pStyle w:val="ARtabletextright"/>
              <w:shd w:val="clear" w:color="auto" w:fill="FFFFFF" w:themeFill="background1"/>
              <w:spacing w:before="30" w:after="10"/>
            </w:pPr>
            <w:r>
              <w:t>0.0</w:t>
            </w:r>
          </w:p>
        </w:tc>
        <w:tc>
          <w:tcPr>
            <w:tcW w:w="284" w:type="pct"/>
            <w:tcBorders>
              <w:top w:val="single" w:sz="4" w:space="0" w:color="auto"/>
              <w:left w:val="single" w:sz="4" w:space="0" w:color="auto"/>
            </w:tcBorders>
          </w:tcPr>
          <w:p w14:paraId="29FD63B3" w14:textId="77777777" w:rsidR="001A70B8" w:rsidRPr="002029AF" w:rsidRDefault="001A70B8" w:rsidP="00A212B4">
            <w:pPr>
              <w:pStyle w:val="ARtabletextright"/>
              <w:shd w:val="clear" w:color="auto" w:fill="FFFFFF" w:themeFill="background1"/>
              <w:spacing w:before="30" w:after="10"/>
            </w:pPr>
            <w:r>
              <w:t>0</w:t>
            </w:r>
          </w:p>
        </w:tc>
        <w:tc>
          <w:tcPr>
            <w:tcW w:w="284" w:type="pct"/>
            <w:tcBorders>
              <w:top w:val="single" w:sz="4" w:space="0" w:color="auto"/>
            </w:tcBorders>
          </w:tcPr>
          <w:p w14:paraId="78E68AC3" w14:textId="77777777" w:rsidR="001A70B8" w:rsidRPr="002029AF" w:rsidRDefault="001A70B8" w:rsidP="00A212B4">
            <w:pPr>
              <w:pStyle w:val="ARtabletextright"/>
              <w:shd w:val="clear" w:color="auto" w:fill="FFFFFF" w:themeFill="background1"/>
              <w:spacing w:before="30" w:after="10"/>
            </w:pPr>
            <w:r>
              <w:t>0</w:t>
            </w:r>
          </w:p>
        </w:tc>
        <w:tc>
          <w:tcPr>
            <w:tcW w:w="286" w:type="pct"/>
            <w:tcBorders>
              <w:top w:val="single" w:sz="4" w:space="0" w:color="auto"/>
              <w:right w:val="single" w:sz="4" w:space="0" w:color="auto"/>
            </w:tcBorders>
          </w:tcPr>
          <w:p w14:paraId="3F6658A5" w14:textId="77777777" w:rsidR="001A70B8" w:rsidRPr="002029AF" w:rsidRDefault="001A70B8" w:rsidP="00A212B4">
            <w:pPr>
              <w:pStyle w:val="ARtabletextright"/>
              <w:shd w:val="clear" w:color="auto" w:fill="FFFFFF" w:themeFill="background1"/>
              <w:spacing w:before="30" w:after="10"/>
            </w:pPr>
            <w:r>
              <w:t>0.0</w:t>
            </w:r>
          </w:p>
        </w:tc>
        <w:tc>
          <w:tcPr>
            <w:tcW w:w="321" w:type="pct"/>
            <w:tcBorders>
              <w:top w:val="single" w:sz="4" w:space="0" w:color="auto"/>
              <w:left w:val="single" w:sz="4" w:space="0" w:color="auto"/>
            </w:tcBorders>
          </w:tcPr>
          <w:p w14:paraId="54638AE1" w14:textId="77777777" w:rsidR="001A70B8" w:rsidRPr="002029AF" w:rsidRDefault="001A70B8" w:rsidP="00A212B4">
            <w:pPr>
              <w:pStyle w:val="ARtabletextright"/>
              <w:shd w:val="clear" w:color="auto" w:fill="FFFFFF" w:themeFill="background1"/>
              <w:spacing w:before="30" w:after="10"/>
            </w:pPr>
            <w:r>
              <w:t>0</w:t>
            </w:r>
          </w:p>
        </w:tc>
        <w:tc>
          <w:tcPr>
            <w:tcW w:w="285" w:type="pct"/>
            <w:tcBorders>
              <w:top w:val="single" w:sz="4" w:space="0" w:color="auto"/>
              <w:right w:val="single" w:sz="4" w:space="0" w:color="auto"/>
            </w:tcBorders>
          </w:tcPr>
          <w:p w14:paraId="09D3CAE2" w14:textId="77777777" w:rsidR="001A70B8" w:rsidRPr="002029AF" w:rsidRDefault="001A70B8" w:rsidP="00A212B4">
            <w:pPr>
              <w:pStyle w:val="ARtabletextright"/>
              <w:shd w:val="clear" w:color="auto" w:fill="FFFFFF" w:themeFill="background1"/>
              <w:spacing w:before="30" w:after="10"/>
            </w:pPr>
            <w:r>
              <w:t>0.0</w:t>
            </w:r>
          </w:p>
        </w:tc>
        <w:tc>
          <w:tcPr>
            <w:tcW w:w="321" w:type="pct"/>
            <w:tcBorders>
              <w:top w:val="single" w:sz="4" w:space="0" w:color="auto"/>
              <w:left w:val="single" w:sz="4" w:space="0" w:color="auto"/>
            </w:tcBorders>
            <w:hideMark/>
          </w:tcPr>
          <w:p w14:paraId="1D1AFE38" w14:textId="77777777" w:rsidR="001A70B8" w:rsidRPr="002029AF" w:rsidRDefault="001A70B8" w:rsidP="00A212B4">
            <w:pPr>
              <w:pStyle w:val="ARtabletextright"/>
              <w:shd w:val="clear" w:color="auto" w:fill="FFFFFF" w:themeFill="background1"/>
              <w:spacing w:before="30" w:after="10"/>
            </w:pPr>
            <w:r>
              <w:t>0</w:t>
            </w:r>
          </w:p>
        </w:tc>
        <w:tc>
          <w:tcPr>
            <w:tcW w:w="285" w:type="pct"/>
            <w:tcBorders>
              <w:top w:val="single" w:sz="4" w:space="0" w:color="auto"/>
              <w:right w:val="single" w:sz="4" w:space="0" w:color="auto"/>
            </w:tcBorders>
            <w:hideMark/>
          </w:tcPr>
          <w:p w14:paraId="2F977413" w14:textId="77777777" w:rsidR="001A70B8" w:rsidRPr="002029AF" w:rsidRDefault="001A70B8" w:rsidP="00A212B4">
            <w:pPr>
              <w:pStyle w:val="ARtabletextright"/>
              <w:shd w:val="clear" w:color="auto" w:fill="FFFFFF" w:themeFill="background1"/>
              <w:spacing w:before="30" w:after="10"/>
            </w:pPr>
            <w:r>
              <w:t>0</w:t>
            </w:r>
          </w:p>
        </w:tc>
        <w:tc>
          <w:tcPr>
            <w:tcW w:w="284" w:type="pct"/>
            <w:tcBorders>
              <w:top w:val="single" w:sz="4" w:space="0" w:color="auto"/>
              <w:left w:val="single" w:sz="4" w:space="0" w:color="auto"/>
            </w:tcBorders>
            <w:hideMark/>
          </w:tcPr>
          <w:p w14:paraId="604CCC8D" w14:textId="77777777" w:rsidR="001A70B8" w:rsidRPr="002029AF" w:rsidRDefault="001A70B8" w:rsidP="00A212B4">
            <w:pPr>
              <w:pStyle w:val="ARtabletextright"/>
              <w:shd w:val="clear" w:color="auto" w:fill="FFFFFF" w:themeFill="background1"/>
              <w:spacing w:before="30" w:after="10"/>
            </w:pPr>
            <w:r>
              <w:t>0</w:t>
            </w:r>
          </w:p>
        </w:tc>
        <w:tc>
          <w:tcPr>
            <w:tcW w:w="284" w:type="pct"/>
            <w:tcBorders>
              <w:top w:val="single" w:sz="4" w:space="0" w:color="auto"/>
            </w:tcBorders>
            <w:hideMark/>
          </w:tcPr>
          <w:p w14:paraId="7D501A48" w14:textId="77777777" w:rsidR="001A70B8" w:rsidRPr="002029AF" w:rsidRDefault="001A70B8" w:rsidP="00A212B4">
            <w:pPr>
              <w:pStyle w:val="ARtabletextright"/>
              <w:shd w:val="clear" w:color="auto" w:fill="FFFFFF" w:themeFill="background1"/>
              <w:spacing w:before="30" w:after="10"/>
            </w:pPr>
            <w:r w:rsidRPr="002029AF">
              <w:t>0</w:t>
            </w:r>
          </w:p>
        </w:tc>
        <w:tc>
          <w:tcPr>
            <w:tcW w:w="286" w:type="pct"/>
            <w:tcBorders>
              <w:top w:val="single" w:sz="4" w:space="0" w:color="auto"/>
              <w:right w:val="single" w:sz="4" w:space="0" w:color="auto"/>
            </w:tcBorders>
            <w:hideMark/>
          </w:tcPr>
          <w:p w14:paraId="050D2CED" w14:textId="77777777" w:rsidR="001A70B8" w:rsidRPr="002029AF" w:rsidRDefault="001A70B8" w:rsidP="00A212B4">
            <w:pPr>
              <w:pStyle w:val="ARtabletextright"/>
              <w:shd w:val="clear" w:color="auto" w:fill="FFFFFF" w:themeFill="background1"/>
              <w:spacing w:before="30" w:after="10"/>
            </w:pPr>
            <w:r>
              <w:t>0</w:t>
            </w:r>
          </w:p>
        </w:tc>
        <w:tc>
          <w:tcPr>
            <w:tcW w:w="321" w:type="pct"/>
            <w:tcBorders>
              <w:left w:val="single" w:sz="4" w:space="0" w:color="auto"/>
            </w:tcBorders>
            <w:hideMark/>
          </w:tcPr>
          <w:p w14:paraId="658141CF" w14:textId="77777777" w:rsidR="001A70B8" w:rsidRPr="002029AF" w:rsidRDefault="001A70B8" w:rsidP="00A212B4">
            <w:pPr>
              <w:pStyle w:val="ARtabletextright"/>
              <w:shd w:val="clear" w:color="auto" w:fill="FFFFFF" w:themeFill="background1"/>
              <w:spacing w:before="30" w:after="10"/>
            </w:pPr>
            <w:r w:rsidRPr="002029AF">
              <w:t>0</w:t>
            </w:r>
          </w:p>
        </w:tc>
        <w:tc>
          <w:tcPr>
            <w:tcW w:w="282" w:type="pct"/>
            <w:hideMark/>
          </w:tcPr>
          <w:p w14:paraId="2AC68781" w14:textId="77777777" w:rsidR="001A70B8" w:rsidRPr="002029AF" w:rsidRDefault="001A70B8" w:rsidP="00A212B4">
            <w:pPr>
              <w:pStyle w:val="ARtabletextright"/>
              <w:shd w:val="clear" w:color="auto" w:fill="FFFFFF" w:themeFill="background1"/>
              <w:spacing w:before="30" w:after="10"/>
            </w:pPr>
            <w:r w:rsidRPr="002029AF">
              <w:t>0</w:t>
            </w:r>
          </w:p>
        </w:tc>
      </w:tr>
      <w:tr w:rsidR="001A70B8" w:rsidRPr="002029AF" w14:paraId="10CA42D5" w14:textId="77777777" w:rsidTr="00524C5E">
        <w:tc>
          <w:tcPr>
            <w:tcW w:w="867" w:type="pct"/>
            <w:hideMark/>
          </w:tcPr>
          <w:p w14:paraId="1ACA9C00" w14:textId="77777777" w:rsidR="001A70B8" w:rsidRPr="002029AF" w:rsidRDefault="001A70B8" w:rsidP="00A212B4">
            <w:pPr>
              <w:pStyle w:val="ARtabletext"/>
              <w:shd w:val="clear" w:color="auto" w:fill="FFFFFF" w:themeFill="background1"/>
              <w:spacing w:before="30" w:after="10"/>
            </w:pPr>
            <w:r w:rsidRPr="002029AF">
              <w:t>25–34</w:t>
            </w:r>
          </w:p>
        </w:tc>
        <w:tc>
          <w:tcPr>
            <w:tcW w:w="321" w:type="pct"/>
            <w:tcBorders>
              <w:top w:val="single" w:sz="4" w:space="0" w:color="auto"/>
            </w:tcBorders>
          </w:tcPr>
          <w:p w14:paraId="69CF66D1" w14:textId="77777777" w:rsidR="001A70B8" w:rsidRPr="002029AF" w:rsidRDefault="001A70B8" w:rsidP="00A212B4">
            <w:pPr>
              <w:pStyle w:val="ARtabletextright"/>
              <w:shd w:val="clear" w:color="auto" w:fill="FFFFFF" w:themeFill="background1"/>
              <w:spacing w:before="30" w:after="10"/>
            </w:pPr>
            <w:r>
              <w:t>48</w:t>
            </w:r>
          </w:p>
        </w:tc>
        <w:tc>
          <w:tcPr>
            <w:tcW w:w="289" w:type="pct"/>
            <w:tcBorders>
              <w:top w:val="single" w:sz="4" w:space="0" w:color="auto"/>
              <w:right w:val="single" w:sz="4" w:space="0" w:color="auto"/>
            </w:tcBorders>
          </w:tcPr>
          <w:p w14:paraId="54A85051" w14:textId="77777777" w:rsidR="001A70B8" w:rsidRPr="002029AF" w:rsidRDefault="001A70B8" w:rsidP="00A212B4">
            <w:pPr>
              <w:pStyle w:val="ARtabletextright"/>
              <w:shd w:val="clear" w:color="auto" w:fill="FFFFFF" w:themeFill="background1"/>
              <w:spacing w:before="30" w:after="10"/>
            </w:pPr>
            <w:r>
              <w:t>45.2</w:t>
            </w:r>
          </w:p>
        </w:tc>
        <w:tc>
          <w:tcPr>
            <w:tcW w:w="284" w:type="pct"/>
            <w:tcBorders>
              <w:top w:val="single" w:sz="4" w:space="0" w:color="auto"/>
              <w:left w:val="single" w:sz="4" w:space="0" w:color="auto"/>
            </w:tcBorders>
          </w:tcPr>
          <w:p w14:paraId="581E1EF2" w14:textId="77777777" w:rsidR="001A70B8" w:rsidRPr="002029AF" w:rsidRDefault="001A70B8" w:rsidP="00A212B4">
            <w:pPr>
              <w:pStyle w:val="ARtabletextright"/>
              <w:shd w:val="clear" w:color="auto" w:fill="FFFFFF" w:themeFill="background1"/>
              <w:spacing w:before="30" w:after="10"/>
            </w:pPr>
            <w:r>
              <w:t>17</w:t>
            </w:r>
          </w:p>
        </w:tc>
        <w:tc>
          <w:tcPr>
            <w:tcW w:w="284" w:type="pct"/>
            <w:tcBorders>
              <w:top w:val="single" w:sz="4" w:space="0" w:color="auto"/>
            </w:tcBorders>
          </w:tcPr>
          <w:p w14:paraId="16961CDB" w14:textId="77777777" w:rsidR="001A70B8" w:rsidRPr="002029AF" w:rsidRDefault="001A70B8" w:rsidP="00A212B4">
            <w:pPr>
              <w:pStyle w:val="ARtabletextright"/>
              <w:shd w:val="clear" w:color="auto" w:fill="FFFFFF" w:themeFill="background1"/>
              <w:spacing w:before="30" w:after="10"/>
            </w:pPr>
            <w:r>
              <w:t>3</w:t>
            </w:r>
          </w:p>
        </w:tc>
        <w:tc>
          <w:tcPr>
            <w:tcW w:w="286" w:type="pct"/>
            <w:tcBorders>
              <w:top w:val="single" w:sz="4" w:space="0" w:color="auto"/>
              <w:right w:val="single" w:sz="4" w:space="0" w:color="auto"/>
            </w:tcBorders>
          </w:tcPr>
          <w:p w14:paraId="17DDC977" w14:textId="77777777" w:rsidR="001A70B8" w:rsidRPr="002029AF" w:rsidRDefault="001A70B8" w:rsidP="00A212B4">
            <w:pPr>
              <w:pStyle w:val="ARtabletextright"/>
              <w:shd w:val="clear" w:color="auto" w:fill="FFFFFF" w:themeFill="background1"/>
              <w:spacing w:before="30" w:after="10"/>
            </w:pPr>
            <w:r>
              <w:t>19.1</w:t>
            </w:r>
          </w:p>
        </w:tc>
        <w:tc>
          <w:tcPr>
            <w:tcW w:w="321" w:type="pct"/>
            <w:tcBorders>
              <w:top w:val="single" w:sz="4" w:space="0" w:color="auto"/>
              <w:left w:val="single" w:sz="4" w:space="0" w:color="auto"/>
            </w:tcBorders>
          </w:tcPr>
          <w:p w14:paraId="32868DC8" w14:textId="77777777" w:rsidR="001A70B8" w:rsidRPr="002029AF" w:rsidRDefault="001A70B8" w:rsidP="00A212B4">
            <w:pPr>
              <w:pStyle w:val="ARtabletextright"/>
              <w:shd w:val="clear" w:color="auto" w:fill="FFFFFF" w:themeFill="background1"/>
              <w:spacing w:before="30" w:after="10"/>
            </w:pPr>
            <w:r>
              <w:t>28</w:t>
            </w:r>
          </w:p>
        </w:tc>
        <w:tc>
          <w:tcPr>
            <w:tcW w:w="285" w:type="pct"/>
            <w:tcBorders>
              <w:top w:val="single" w:sz="4" w:space="0" w:color="auto"/>
              <w:right w:val="single" w:sz="4" w:space="0" w:color="auto"/>
            </w:tcBorders>
          </w:tcPr>
          <w:p w14:paraId="6EFA0A4B" w14:textId="77777777" w:rsidR="001A70B8" w:rsidRPr="002029AF" w:rsidRDefault="001A70B8" w:rsidP="00A212B4">
            <w:pPr>
              <w:pStyle w:val="ARtabletextright"/>
              <w:shd w:val="clear" w:color="auto" w:fill="FFFFFF" w:themeFill="background1"/>
              <w:spacing w:before="30" w:after="10"/>
            </w:pPr>
            <w:r>
              <w:t>26.1</w:t>
            </w:r>
          </w:p>
        </w:tc>
        <w:tc>
          <w:tcPr>
            <w:tcW w:w="321" w:type="pct"/>
            <w:tcBorders>
              <w:top w:val="single" w:sz="4" w:space="0" w:color="auto"/>
              <w:left w:val="single" w:sz="4" w:space="0" w:color="auto"/>
            </w:tcBorders>
            <w:hideMark/>
          </w:tcPr>
          <w:p w14:paraId="0969DAE2" w14:textId="77777777" w:rsidR="001A70B8" w:rsidRPr="002029AF" w:rsidRDefault="001A70B8" w:rsidP="00A212B4">
            <w:pPr>
              <w:pStyle w:val="ARtabletextright"/>
              <w:shd w:val="clear" w:color="auto" w:fill="FFFFFF" w:themeFill="background1"/>
              <w:spacing w:before="30" w:after="10"/>
            </w:pPr>
            <w:r>
              <w:t>37</w:t>
            </w:r>
          </w:p>
        </w:tc>
        <w:tc>
          <w:tcPr>
            <w:tcW w:w="285" w:type="pct"/>
            <w:tcBorders>
              <w:top w:val="single" w:sz="4" w:space="0" w:color="auto"/>
              <w:right w:val="single" w:sz="4" w:space="0" w:color="auto"/>
            </w:tcBorders>
            <w:hideMark/>
          </w:tcPr>
          <w:p w14:paraId="3CFEB857" w14:textId="77777777" w:rsidR="001A70B8" w:rsidRPr="002029AF" w:rsidRDefault="001A70B8" w:rsidP="00A212B4">
            <w:pPr>
              <w:pStyle w:val="ARtabletextright"/>
              <w:shd w:val="clear" w:color="auto" w:fill="FFFFFF" w:themeFill="background1"/>
              <w:spacing w:before="30" w:after="10"/>
            </w:pPr>
            <w:r>
              <w:t>36.2</w:t>
            </w:r>
          </w:p>
        </w:tc>
        <w:tc>
          <w:tcPr>
            <w:tcW w:w="284" w:type="pct"/>
            <w:tcBorders>
              <w:top w:val="single" w:sz="4" w:space="0" w:color="auto"/>
              <w:left w:val="single" w:sz="4" w:space="0" w:color="auto"/>
            </w:tcBorders>
            <w:hideMark/>
          </w:tcPr>
          <w:p w14:paraId="12F2A9D7" w14:textId="77777777" w:rsidR="001A70B8" w:rsidRPr="002029AF" w:rsidRDefault="001A70B8" w:rsidP="00A212B4">
            <w:pPr>
              <w:pStyle w:val="ARtabletextright"/>
              <w:shd w:val="clear" w:color="auto" w:fill="FFFFFF" w:themeFill="background1"/>
              <w:spacing w:before="30" w:after="10"/>
            </w:pPr>
            <w:r>
              <w:t>25</w:t>
            </w:r>
          </w:p>
        </w:tc>
        <w:tc>
          <w:tcPr>
            <w:tcW w:w="284" w:type="pct"/>
            <w:tcBorders>
              <w:top w:val="single" w:sz="4" w:space="0" w:color="auto"/>
            </w:tcBorders>
            <w:hideMark/>
          </w:tcPr>
          <w:p w14:paraId="026A547B" w14:textId="77777777" w:rsidR="001A70B8" w:rsidRPr="002029AF" w:rsidRDefault="001A70B8" w:rsidP="00A212B4">
            <w:pPr>
              <w:pStyle w:val="ARtabletextright"/>
              <w:shd w:val="clear" w:color="auto" w:fill="FFFFFF" w:themeFill="background1"/>
              <w:spacing w:before="30" w:after="10"/>
            </w:pPr>
            <w:r>
              <w:t>4</w:t>
            </w:r>
          </w:p>
        </w:tc>
        <w:tc>
          <w:tcPr>
            <w:tcW w:w="286" w:type="pct"/>
            <w:tcBorders>
              <w:top w:val="single" w:sz="4" w:space="0" w:color="auto"/>
              <w:right w:val="single" w:sz="4" w:space="0" w:color="auto"/>
            </w:tcBorders>
            <w:hideMark/>
          </w:tcPr>
          <w:p w14:paraId="4437AF13" w14:textId="77777777" w:rsidR="001A70B8" w:rsidRPr="002029AF" w:rsidRDefault="001A70B8" w:rsidP="00A212B4">
            <w:pPr>
              <w:pStyle w:val="ARtabletextright"/>
              <w:shd w:val="clear" w:color="auto" w:fill="FFFFFF" w:themeFill="background1"/>
              <w:spacing w:before="30" w:after="10"/>
            </w:pPr>
            <w:r>
              <w:t>28.2</w:t>
            </w:r>
          </w:p>
        </w:tc>
        <w:tc>
          <w:tcPr>
            <w:tcW w:w="321" w:type="pct"/>
            <w:tcBorders>
              <w:left w:val="single" w:sz="4" w:space="0" w:color="auto"/>
            </w:tcBorders>
            <w:hideMark/>
          </w:tcPr>
          <w:p w14:paraId="2744552E" w14:textId="77777777" w:rsidR="001A70B8" w:rsidRPr="002029AF" w:rsidRDefault="001A70B8" w:rsidP="00A212B4">
            <w:pPr>
              <w:pStyle w:val="ARtabletextright"/>
              <w:shd w:val="clear" w:color="auto" w:fill="FFFFFF" w:themeFill="background1"/>
              <w:spacing w:before="30" w:after="10"/>
            </w:pPr>
            <w:r>
              <w:t>8</w:t>
            </w:r>
          </w:p>
        </w:tc>
        <w:tc>
          <w:tcPr>
            <w:tcW w:w="282" w:type="pct"/>
            <w:hideMark/>
          </w:tcPr>
          <w:p w14:paraId="03849810" w14:textId="77777777" w:rsidR="001A70B8" w:rsidRPr="002029AF" w:rsidRDefault="001A70B8" w:rsidP="00A212B4">
            <w:pPr>
              <w:pStyle w:val="ARtabletextright"/>
              <w:shd w:val="clear" w:color="auto" w:fill="FFFFFF" w:themeFill="background1"/>
              <w:spacing w:before="30" w:after="10"/>
            </w:pPr>
            <w:r>
              <w:t>8.0</w:t>
            </w:r>
          </w:p>
        </w:tc>
      </w:tr>
      <w:tr w:rsidR="001A70B8" w:rsidRPr="002029AF" w14:paraId="735BD700" w14:textId="77777777" w:rsidTr="00524C5E">
        <w:tc>
          <w:tcPr>
            <w:tcW w:w="867" w:type="pct"/>
            <w:hideMark/>
          </w:tcPr>
          <w:p w14:paraId="3A728E84" w14:textId="77777777" w:rsidR="001A70B8" w:rsidRPr="002029AF" w:rsidRDefault="001A70B8" w:rsidP="00A212B4">
            <w:pPr>
              <w:pStyle w:val="ARtabletext"/>
              <w:shd w:val="clear" w:color="auto" w:fill="FFFFFF" w:themeFill="background1"/>
              <w:spacing w:before="30" w:after="10"/>
            </w:pPr>
            <w:r w:rsidRPr="002029AF">
              <w:t>35–44</w:t>
            </w:r>
          </w:p>
        </w:tc>
        <w:tc>
          <w:tcPr>
            <w:tcW w:w="321" w:type="pct"/>
            <w:tcBorders>
              <w:top w:val="single" w:sz="4" w:space="0" w:color="auto"/>
            </w:tcBorders>
          </w:tcPr>
          <w:p w14:paraId="57D22D14" w14:textId="77777777" w:rsidR="001A70B8" w:rsidRPr="002029AF" w:rsidRDefault="001A70B8" w:rsidP="00A212B4">
            <w:pPr>
              <w:pStyle w:val="ARtabletextright"/>
              <w:shd w:val="clear" w:color="auto" w:fill="FFFFFF" w:themeFill="background1"/>
              <w:spacing w:before="30" w:after="10"/>
            </w:pPr>
            <w:r>
              <w:t>66</w:t>
            </w:r>
          </w:p>
        </w:tc>
        <w:tc>
          <w:tcPr>
            <w:tcW w:w="289" w:type="pct"/>
            <w:tcBorders>
              <w:top w:val="single" w:sz="4" w:space="0" w:color="auto"/>
              <w:right w:val="single" w:sz="4" w:space="0" w:color="auto"/>
            </w:tcBorders>
          </w:tcPr>
          <w:p w14:paraId="35182AEA" w14:textId="77777777" w:rsidR="001A70B8" w:rsidRPr="002029AF" w:rsidRDefault="001A70B8" w:rsidP="00A212B4">
            <w:pPr>
              <w:pStyle w:val="ARtabletextright"/>
              <w:shd w:val="clear" w:color="auto" w:fill="FFFFFF" w:themeFill="background1"/>
              <w:spacing w:before="30" w:after="10"/>
            </w:pPr>
            <w:r>
              <w:t>59.5</w:t>
            </w:r>
          </w:p>
        </w:tc>
        <w:tc>
          <w:tcPr>
            <w:tcW w:w="284" w:type="pct"/>
            <w:tcBorders>
              <w:top w:val="single" w:sz="4" w:space="0" w:color="auto"/>
              <w:left w:val="single" w:sz="4" w:space="0" w:color="auto"/>
            </w:tcBorders>
          </w:tcPr>
          <w:p w14:paraId="7B3313E4" w14:textId="77777777" w:rsidR="001A70B8" w:rsidRPr="002029AF" w:rsidRDefault="001A70B8" w:rsidP="00A212B4">
            <w:pPr>
              <w:pStyle w:val="ARtabletextright"/>
              <w:shd w:val="clear" w:color="auto" w:fill="FFFFFF" w:themeFill="background1"/>
              <w:spacing w:before="30" w:after="10"/>
            </w:pPr>
            <w:r>
              <w:t>22</w:t>
            </w:r>
          </w:p>
        </w:tc>
        <w:tc>
          <w:tcPr>
            <w:tcW w:w="284" w:type="pct"/>
            <w:tcBorders>
              <w:top w:val="single" w:sz="4" w:space="0" w:color="auto"/>
            </w:tcBorders>
          </w:tcPr>
          <w:p w14:paraId="718F1D91" w14:textId="77777777" w:rsidR="001A70B8" w:rsidRPr="002029AF" w:rsidRDefault="001A70B8" w:rsidP="00A212B4">
            <w:pPr>
              <w:pStyle w:val="ARtabletextright"/>
              <w:shd w:val="clear" w:color="auto" w:fill="FFFFFF" w:themeFill="background1"/>
              <w:spacing w:before="30" w:after="10"/>
            </w:pPr>
            <w:r w:rsidDel="00C16DF1">
              <w:t>9</w:t>
            </w:r>
          </w:p>
        </w:tc>
        <w:tc>
          <w:tcPr>
            <w:tcW w:w="286" w:type="pct"/>
            <w:tcBorders>
              <w:top w:val="single" w:sz="4" w:space="0" w:color="auto"/>
              <w:right w:val="single" w:sz="4" w:space="0" w:color="auto"/>
            </w:tcBorders>
          </w:tcPr>
          <w:p w14:paraId="1A6E3ABD" w14:textId="77777777" w:rsidR="001A70B8" w:rsidRPr="002029AF" w:rsidRDefault="001A70B8" w:rsidP="00A212B4">
            <w:pPr>
              <w:pStyle w:val="ARtabletextright"/>
              <w:shd w:val="clear" w:color="auto" w:fill="FFFFFF" w:themeFill="background1"/>
              <w:spacing w:before="30" w:after="10"/>
            </w:pPr>
            <w:r>
              <w:t>27.5</w:t>
            </w:r>
          </w:p>
        </w:tc>
        <w:tc>
          <w:tcPr>
            <w:tcW w:w="321" w:type="pct"/>
            <w:tcBorders>
              <w:top w:val="single" w:sz="4" w:space="0" w:color="auto"/>
              <w:left w:val="single" w:sz="4" w:space="0" w:color="auto"/>
            </w:tcBorders>
          </w:tcPr>
          <w:p w14:paraId="11D03044" w14:textId="77777777" w:rsidR="001A70B8" w:rsidRPr="002029AF" w:rsidRDefault="001A70B8" w:rsidP="00A212B4">
            <w:pPr>
              <w:pStyle w:val="ARtabletextright"/>
              <w:shd w:val="clear" w:color="auto" w:fill="FFFFFF" w:themeFill="background1"/>
              <w:spacing w:before="30" w:after="10"/>
            </w:pPr>
            <w:r>
              <w:t>35</w:t>
            </w:r>
          </w:p>
        </w:tc>
        <w:tc>
          <w:tcPr>
            <w:tcW w:w="285" w:type="pct"/>
            <w:tcBorders>
              <w:top w:val="single" w:sz="4" w:space="0" w:color="auto"/>
              <w:right w:val="single" w:sz="4" w:space="0" w:color="auto"/>
            </w:tcBorders>
          </w:tcPr>
          <w:p w14:paraId="7AD85EBE" w14:textId="77777777" w:rsidR="001A70B8" w:rsidRPr="002029AF" w:rsidRDefault="001A70B8" w:rsidP="00A212B4">
            <w:pPr>
              <w:pStyle w:val="ARtabletextright"/>
              <w:shd w:val="clear" w:color="auto" w:fill="FFFFFF" w:themeFill="background1"/>
              <w:spacing w:before="30" w:after="10"/>
            </w:pPr>
            <w:r>
              <w:t>32.0</w:t>
            </w:r>
          </w:p>
        </w:tc>
        <w:tc>
          <w:tcPr>
            <w:tcW w:w="321" w:type="pct"/>
            <w:tcBorders>
              <w:top w:val="single" w:sz="4" w:space="0" w:color="auto"/>
              <w:left w:val="single" w:sz="4" w:space="0" w:color="auto"/>
            </w:tcBorders>
            <w:hideMark/>
          </w:tcPr>
          <w:p w14:paraId="59B78826" w14:textId="77777777" w:rsidR="001A70B8" w:rsidRPr="002029AF" w:rsidRDefault="001A70B8" w:rsidP="00A212B4">
            <w:pPr>
              <w:pStyle w:val="ARtabletextright"/>
              <w:shd w:val="clear" w:color="auto" w:fill="FFFFFF" w:themeFill="background1"/>
              <w:spacing w:before="30" w:after="10"/>
            </w:pPr>
            <w:r>
              <w:t>48</w:t>
            </w:r>
          </w:p>
        </w:tc>
        <w:tc>
          <w:tcPr>
            <w:tcW w:w="285" w:type="pct"/>
            <w:tcBorders>
              <w:top w:val="single" w:sz="4" w:space="0" w:color="auto"/>
              <w:right w:val="single" w:sz="4" w:space="0" w:color="auto"/>
            </w:tcBorders>
            <w:hideMark/>
          </w:tcPr>
          <w:p w14:paraId="70EEEDA6" w14:textId="77777777" w:rsidR="001A70B8" w:rsidRPr="002029AF" w:rsidRDefault="001A70B8" w:rsidP="00A212B4">
            <w:pPr>
              <w:pStyle w:val="ARtabletextright"/>
              <w:shd w:val="clear" w:color="auto" w:fill="FFFFFF" w:themeFill="background1"/>
              <w:spacing w:before="30" w:after="10"/>
            </w:pPr>
            <w:r>
              <w:t>43.7</w:t>
            </w:r>
          </w:p>
        </w:tc>
        <w:tc>
          <w:tcPr>
            <w:tcW w:w="284" w:type="pct"/>
            <w:tcBorders>
              <w:top w:val="single" w:sz="4" w:space="0" w:color="auto"/>
              <w:left w:val="single" w:sz="4" w:space="0" w:color="auto"/>
            </w:tcBorders>
            <w:hideMark/>
          </w:tcPr>
          <w:p w14:paraId="191FDCF6" w14:textId="77777777" w:rsidR="001A70B8" w:rsidRPr="002029AF" w:rsidRDefault="001A70B8" w:rsidP="00A212B4">
            <w:pPr>
              <w:pStyle w:val="ARtabletextright"/>
              <w:shd w:val="clear" w:color="auto" w:fill="FFFFFF" w:themeFill="background1"/>
              <w:spacing w:before="30" w:after="10"/>
            </w:pPr>
            <w:r>
              <w:t>26</w:t>
            </w:r>
          </w:p>
        </w:tc>
        <w:tc>
          <w:tcPr>
            <w:tcW w:w="284" w:type="pct"/>
            <w:tcBorders>
              <w:top w:val="single" w:sz="4" w:space="0" w:color="auto"/>
            </w:tcBorders>
            <w:hideMark/>
          </w:tcPr>
          <w:p w14:paraId="766C932B" w14:textId="77777777" w:rsidR="001A70B8" w:rsidRPr="002029AF" w:rsidRDefault="001A70B8" w:rsidP="00A212B4">
            <w:pPr>
              <w:pStyle w:val="ARtabletextright"/>
              <w:shd w:val="clear" w:color="auto" w:fill="FFFFFF" w:themeFill="background1"/>
              <w:spacing w:before="30" w:after="10"/>
            </w:pPr>
            <w:r>
              <w:t>9</w:t>
            </w:r>
          </w:p>
        </w:tc>
        <w:tc>
          <w:tcPr>
            <w:tcW w:w="286" w:type="pct"/>
            <w:tcBorders>
              <w:top w:val="single" w:sz="4" w:space="0" w:color="auto"/>
              <w:right w:val="single" w:sz="4" w:space="0" w:color="auto"/>
            </w:tcBorders>
            <w:hideMark/>
          </w:tcPr>
          <w:p w14:paraId="3E56D59A" w14:textId="77777777" w:rsidR="001A70B8" w:rsidRPr="002029AF" w:rsidRDefault="001A70B8" w:rsidP="00A212B4">
            <w:pPr>
              <w:pStyle w:val="ARtabletextright"/>
              <w:shd w:val="clear" w:color="auto" w:fill="FFFFFF" w:themeFill="background1"/>
              <w:spacing w:before="30" w:after="10"/>
            </w:pPr>
            <w:r>
              <w:t>31.7</w:t>
            </w:r>
          </w:p>
        </w:tc>
        <w:tc>
          <w:tcPr>
            <w:tcW w:w="321" w:type="pct"/>
            <w:tcBorders>
              <w:left w:val="single" w:sz="4" w:space="0" w:color="auto"/>
            </w:tcBorders>
            <w:hideMark/>
          </w:tcPr>
          <w:p w14:paraId="244D4DE3" w14:textId="77777777" w:rsidR="001A70B8" w:rsidRPr="002029AF" w:rsidRDefault="001A70B8" w:rsidP="00A212B4">
            <w:pPr>
              <w:pStyle w:val="ARtabletextright"/>
              <w:shd w:val="clear" w:color="auto" w:fill="FFFFFF" w:themeFill="background1"/>
              <w:spacing w:before="30" w:after="10"/>
            </w:pPr>
            <w:r>
              <w:t>13</w:t>
            </w:r>
          </w:p>
        </w:tc>
        <w:tc>
          <w:tcPr>
            <w:tcW w:w="282" w:type="pct"/>
            <w:hideMark/>
          </w:tcPr>
          <w:p w14:paraId="44B1C83E" w14:textId="77777777" w:rsidR="001A70B8" w:rsidRPr="002029AF" w:rsidRDefault="001A70B8" w:rsidP="00A212B4">
            <w:pPr>
              <w:pStyle w:val="ARtabletextright"/>
              <w:shd w:val="clear" w:color="auto" w:fill="FFFFFF" w:themeFill="background1"/>
              <w:spacing w:before="30" w:after="10"/>
            </w:pPr>
            <w:r>
              <w:t>12.0</w:t>
            </w:r>
          </w:p>
        </w:tc>
      </w:tr>
      <w:tr w:rsidR="001A70B8" w:rsidRPr="002029AF" w14:paraId="627B62E9" w14:textId="77777777" w:rsidTr="00524C5E">
        <w:tc>
          <w:tcPr>
            <w:tcW w:w="867" w:type="pct"/>
            <w:hideMark/>
          </w:tcPr>
          <w:p w14:paraId="25540B18" w14:textId="77777777" w:rsidR="001A70B8" w:rsidRPr="002029AF" w:rsidRDefault="001A70B8" w:rsidP="00A212B4">
            <w:pPr>
              <w:pStyle w:val="ARtabletext"/>
              <w:shd w:val="clear" w:color="auto" w:fill="FFFFFF" w:themeFill="background1"/>
              <w:spacing w:before="30" w:after="10"/>
            </w:pPr>
            <w:r w:rsidRPr="002029AF">
              <w:t>45–54</w:t>
            </w:r>
          </w:p>
        </w:tc>
        <w:tc>
          <w:tcPr>
            <w:tcW w:w="321" w:type="pct"/>
            <w:tcBorders>
              <w:top w:val="single" w:sz="4" w:space="0" w:color="auto"/>
            </w:tcBorders>
          </w:tcPr>
          <w:p w14:paraId="243A675F" w14:textId="77777777" w:rsidR="001A70B8" w:rsidRPr="002029AF" w:rsidRDefault="001A70B8" w:rsidP="00A212B4">
            <w:pPr>
              <w:pStyle w:val="ARtabletextright"/>
              <w:shd w:val="clear" w:color="auto" w:fill="FFFFFF" w:themeFill="background1"/>
              <w:spacing w:before="30" w:after="10"/>
            </w:pPr>
            <w:r>
              <w:t>41</w:t>
            </w:r>
          </w:p>
        </w:tc>
        <w:tc>
          <w:tcPr>
            <w:tcW w:w="289" w:type="pct"/>
            <w:tcBorders>
              <w:top w:val="single" w:sz="4" w:space="0" w:color="auto"/>
              <w:right w:val="single" w:sz="4" w:space="0" w:color="auto"/>
            </w:tcBorders>
          </w:tcPr>
          <w:p w14:paraId="6F9C5E35" w14:textId="77777777" w:rsidR="001A70B8" w:rsidRPr="002029AF" w:rsidRDefault="001A70B8" w:rsidP="00A212B4">
            <w:pPr>
              <w:pStyle w:val="ARtabletextright"/>
              <w:shd w:val="clear" w:color="auto" w:fill="FFFFFF" w:themeFill="background1"/>
              <w:spacing w:before="30" w:after="10"/>
            </w:pPr>
            <w:r>
              <w:t>36.6</w:t>
            </w:r>
          </w:p>
        </w:tc>
        <w:tc>
          <w:tcPr>
            <w:tcW w:w="284" w:type="pct"/>
            <w:tcBorders>
              <w:top w:val="single" w:sz="4" w:space="0" w:color="auto"/>
              <w:left w:val="single" w:sz="4" w:space="0" w:color="auto"/>
            </w:tcBorders>
          </w:tcPr>
          <w:p w14:paraId="5CD70805" w14:textId="77777777" w:rsidR="001A70B8" w:rsidRPr="002029AF" w:rsidRDefault="001A70B8" w:rsidP="00A212B4">
            <w:pPr>
              <w:pStyle w:val="ARtabletextright"/>
              <w:shd w:val="clear" w:color="auto" w:fill="FFFFFF" w:themeFill="background1"/>
              <w:spacing w:before="30" w:after="10"/>
            </w:pPr>
            <w:r>
              <w:t>13</w:t>
            </w:r>
          </w:p>
        </w:tc>
        <w:tc>
          <w:tcPr>
            <w:tcW w:w="284" w:type="pct"/>
            <w:tcBorders>
              <w:top w:val="single" w:sz="4" w:space="0" w:color="auto"/>
            </w:tcBorders>
          </w:tcPr>
          <w:p w14:paraId="405B8FE4" w14:textId="77777777" w:rsidR="001A70B8" w:rsidRPr="002029AF" w:rsidRDefault="001A70B8" w:rsidP="00A212B4">
            <w:pPr>
              <w:pStyle w:val="ARtabletextright"/>
              <w:shd w:val="clear" w:color="auto" w:fill="FFFFFF" w:themeFill="background1"/>
              <w:spacing w:before="30" w:after="10"/>
            </w:pPr>
            <w:r>
              <w:t>7</w:t>
            </w:r>
          </w:p>
        </w:tc>
        <w:tc>
          <w:tcPr>
            <w:tcW w:w="286" w:type="pct"/>
            <w:tcBorders>
              <w:top w:val="single" w:sz="4" w:space="0" w:color="auto"/>
              <w:right w:val="single" w:sz="4" w:space="0" w:color="auto"/>
            </w:tcBorders>
          </w:tcPr>
          <w:p w14:paraId="13AC0322" w14:textId="77777777" w:rsidR="001A70B8" w:rsidRPr="002029AF" w:rsidRDefault="001A70B8" w:rsidP="00A212B4">
            <w:pPr>
              <w:pStyle w:val="ARtabletextright"/>
              <w:shd w:val="clear" w:color="auto" w:fill="FFFFFF" w:themeFill="background1"/>
              <w:spacing w:before="30" w:after="10"/>
            </w:pPr>
            <w:r>
              <w:t>17.7</w:t>
            </w:r>
          </w:p>
        </w:tc>
        <w:tc>
          <w:tcPr>
            <w:tcW w:w="321" w:type="pct"/>
            <w:tcBorders>
              <w:top w:val="single" w:sz="4" w:space="0" w:color="auto"/>
              <w:left w:val="single" w:sz="4" w:space="0" w:color="auto"/>
            </w:tcBorders>
          </w:tcPr>
          <w:p w14:paraId="4900F901" w14:textId="77777777" w:rsidR="001A70B8" w:rsidRPr="002029AF" w:rsidRDefault="001A70B8" w:rsidP="00A212B4">
            <w:pPr>
              <w:pStyle w:val="ARtabletextright"/>
              <w:shd w:val="clear" w:color="auto" w:fill="FFFFFF" w:themeFill="background1"/>
              <w:spacing w:before="30" w:after="10"/>
            </w:pPr>
            <w:r>
              <w:t>21</w:t>
            </w:r>
          </w:p>
        </w:tc>
        <w:tc>
          <w:tcPr>
            <w:tcW w:w="285" w:type="pct"/>
            <w:tcBorders>
              <w:top w:val="single" w:sz="4" w:space="0" w:color="auto"/>
              <w:right w:val="single" w:sz="4" w:space="0" w:color="auto"/>
            </w:tcBorders>
          </w:tcPr>
          <w:p w14:paraId="455D8A68" w14:textId="77777777" w:rsidR="001A70B8" w:rsidRPr="002029AF" w:rsidRDefault="001A70B8" w:rsidP="00A212B4">
            <w:pPr>
              <w:pStyle w:val="ARtabletextright"/>
              <w:shd w:val="clear" w:color="auto" w:fill="FFFFFF" w:themeFill="background1"/>
              <w:spacing w:before="30" w:after="10"/>
            </w:pPr>
            <w:r>
              <w:t>18.9</w:t>
            </w:r>
          </w:p>
        </w:tc>
        <w:tc>
          <w:tcPr>
            <w:tcW w:w="321" w:type="pct"/>
            <w:tcBorders>
              <w:top w:val="single" w:sz="4" w:space="0" w:color="auto"/>
              <w:left w:val="single" w:sz="4" w:space="0" w:color="auto"/>
            </w:tcBorders>
            <w:hideMark/>
          </w:tcPr>
          <w:p w14:paraId="309398F7" w14:textId="77777777" w:rsidR="001A70B8" w:rsidRPr="002029AF" w:rsidRDefault="001A70B8" w:rsidP="00A212B4">
            <w:pPr>
              <w:pStyle w:val="ARtabletextright"/>
              <w:shd w:val="clear" w:color="auto" w:fill="FFFFFF" w:themeFill="background1"/>
              <w:spacing w:before="30" w:after="10"/>
            </w:pPr>
            <w:r>
              <w:t>42</w:t>
            </w:r>
          </w:p>
        </w:tc>
        <w:tc>
          <w:tcPr>
            <w:tcW w:w="285" w:type="pct"/>
            <w:tcBorders>
              <w:top w:val="single" w:sz="4" w:space="0" w:color="auto"/>
              <w:right w:val="single" w:sz="4" w:space="0" w:color="auto"/>
            </w:tcBorders>
            <w:hideMark/>
          </w:tcPr>
          <w:p w14:paraId="296005C3" w14:textId="77777777" w:rsidR="001A70B8" w:rsidRPr="002029AF" w:rsidRDefault="001A70B8" w:rsidP="00A212B4">
            <w:pPr>
              <w:pStyle w:val="ARtabletextright"/>
              <w:shd w:val="clear" w:color="auto" w:fill="FFFFFF" w:themeFill="background1"/>
              <w:spacing w:before="30" w:after="10"/>
            </w:pPr>
            <w:r>
              <w:t>37.8</w:t>
            </w:r>
          </w:p>
        </w:tc>
        <w:tc>
          <w:tcPr>
            <w:tcW w:w="284" w:type="pct"/>
            <w:tcBorders>
              <w:top w:val="single" w:sz="4" w:space="0" w:color="auto"/>
              <w:left w:val="single" w:sz="4" w:space="0" w:color="auto"/>
            </w:tcBorders>
            <w:hideMark/>
          </w:tcPr>
          <w:p w14:paraId="63C9CEFF" w14:textId="77777777" w:rsidR="001A70B8" w:rsidRPr="002029AF" w:rsidRDefault="001A70B8" w:rsidP="00A212B4">
            <w:pPr>
              <w:pStyle w:val="ARtabletextright"/>
              <w:shd w:val="clear" w:color="auto" w:fill="FFFFFF" w:themeFill="background1"/>
              <w:spacing w:before="30" w:after="10"/>
            </w:pPr>
            <w:r>
              <w:t>24</w:t>
            </w:r>
          </w:p>
        </w:tc>
        <w:tc>
          <w:tcPr>
            <w:tcW w:w="284" w:type="pct"/>
            <w:tcBorders>
              <w:top w:val="single" w:sz="4" w:space="0" w:color="auto"/>
            </w:tcBorders>
            <w:hideMark/>
          </w:tcPr>
          <w:p w14:paraId="5016FF93" w14:textId="77777777" w:rsidR="001A70B8" w:rsidRPr="002029AF" w:rsidRDefault="001A70B8" w:rsidP="00A212B4">
            <w:pPr>
              <w:pStyle w:val="ARtabletextright"/>
              <w:shd w:val="clear" w:color="auto" w:fill="FFFFFF" w:themeFill="background1"/>
              <w:spacing w:before="30" w:after="10"/>
            </w:pPr>
            <w:r>
              <w:t>11</w:t>
            </w:r>
          </w:p>
        </w:tc>
        <w:tc>
          <w:tcPr>
            <w:tcW w:w="286" w:type="pct"/>
            <w:tcBorders>
              <w:top w:val="single" w:sz="4" w:space="0" w:color="auto"/>
              <w:right w:val="single" w:sz="4" w:space="0" w:color="auto"/>
            </w:tcBorders>
            <w:hideMark/>
          </w:tcPr>
          <w:p w14:paraId="1D579CAC" w14:textId="77777777" w:rsidR="001A70B8" w:rsidRPr="002029AF" w:rsidRDefault="001A70B8" w:rsidP="00A212B4">
            <w:pPr>
              <w:pStyle w:val="ARtabletextright"/>
              <w:shd w:val="clear" w:color="auto" w:fill="FFFFFF" w:themeFill="background1"/>
              <w:spacing w:before="30" w:after="10"/>
            </w:pPr>
            <w:r>
              <w:t>31.8</w:t>
            </w:r>
          </w:p>
        </w:tc>
        <w:tc>
          <w:tcPr>
            <w:tcW w:w="321" w:type="pct"/>
            <w:tcBorders>
              <w:left w:val="single" w:sz="4" w:space="0" w:color="auto"/>
            </w:tcBorders>
            <w:hideMark/>
          </w:tcPr>
          <w:p w14:paraId="45222609" w14:textId="77777777" w:rsidR="001A70B8" w:rsidRPr="002029AF" w:rsidRDefault="001A70B8" w:rsidP="00A212B4">
            <w:pPr>
              <w:pStyle w:val="ARtabletextright"/>
              <w:shd w:val="clear" w:color="auto" w:fill="FFFFFF" w:themeFill="background1"/>
              <w:spacing w:before="30" w:after="10"/>
            </w:pPr>
            <w:r>
              <w:t>7</w:t>
            </w:r>
          </w:p>
        </w:tc>
        <w:tc>
          <w:tcPr>
            <w:tcW w:w="282" w:type="pct"/>
            <w:hideMark/>
          </w:tcPr>
          <w:p w14:paraId="4A19FFE9" w14:textId="77777777" w:rsidR="001A70B8" w:rsidRPr="002029AF" w:rsidRDefault="001A70B8" w:rsidP="00A212B4">
            <w:pPr>
              <w:pStyle w:val="ARtabletextright"/>
              <w:shd w:val="clear" w:color="auto" w:fill="FFFFFF" w:themeFill="background1"/>
              <w:spacing w:before="30" w:after="10"/>
            </w:pPr>
            <w:r w:rsidRPr="002029AF" w:rsidDel="00F03F3F">
              <w:t>6</w:t>
            </w:r>
            <w:r>
              <w:t>.0</w:t>
            </w:r>
          </w:p>
        </w:tc>
      </w:tr>
      <w:tr w:rsidR="001A70B8" w:rsidRPr="002029AF" w14:paraId="027F5875" w14:textId="77777777" w:rsidTr="00524C5E">
        <w:tc>
          <w:tcPr>
            <w:tcW w:w="867" w:type="pct"/>
            <w:hideMark/>
          </w:tcPr>
          <w:p w14:paraId="328E799C" w14:textId="77777777" w:rsidR="001A70B8" w:rsidRPr="002029AF" w:rsidRDefault="001A70B8" w:rsidP="00A212B4">
            <w:pPr>
              <w:pStyle w:val="ARtabletext"/>
              <w:shd w:val="clear" w:color="auto" w:fill="FFFFFF" w:themeFill="background1"/>
              <w:spacing w:before="30" w:after="10"/>
            </w:pPr>
            <w:r w:rsidRPr="002029AF">
              <w:t>55–64</w:t>
            </w:r>
          </w:p>
        </w:tc>
        <w:tc>
          <w:tcPr>
            <w:tcW w:w="321" w:type="pct"/>
            <w:tcBorders>
              <w:top w:val="single" w:sz="4" w:space="0" w:color="auto"/>
            </w:tcBorders>
          </w:tcPr>
          <w:p w14:paraId="1EDC1DE8" w14:textId="77777777" w:rsidR="001A70B8" w:rsidRPr="002029AF" w:rsidRDefault="001A70B8" w:rsidP="00A212B4">
            <w:pPr>
              <w:pStyle w:val="ARtabletextright"/>
              <w:shd w:val="clear" w:color="auto" w:fill="FFFFFF" w:themeFill="background1"/>
              <w:spacing w:before="30" w:after="10"/>
            </w:pPr>
            <w:r>
              <w:t>28</w:t>
            </w:r>
          </w:p>
        </w:tc>
        <w:tc>
          <w:tcPr>
            <w:tcW w:w="289" w:type="pct"/>
            <w:tcBorders>
              <w:top w:val="single" w:sz="4" w:space="0" w:color="auto"/>
              <w:right w:val="single" w:sz="4" w:space="0" w:color="auto"/>
            </w:tcBorders>
          </w:tcPr>
          <w:p w14:paraId="7D7404A6" w14:textId="77777777" w:rsidR="001A70B8" w:rsidRPr="002029AF" w:rsidRDefault="001A70B8" w:rsidP="00A212B4">
            <w:pPr>
              <w:pStyle w:val="ARtabletextright"/>
              <w:shd w:val="clear" w:color="auto" w:fill="FFFFFF" w:themeFill="background1"/>
              <w:spacing w:before="30" w:after="10"/>
            </w:pPr>
            <w:r>
              <w:t>26.0</w:t>
            </w:r>
          </w:p>
        </w:tc>
        <w:tc>
          <w:tcPr>
            <w:tcW w:w="284" w:type="pct"/>
            <w:tcBorders>
              <w:top w:val="single" w:sz="4" w:space="0" w:color="auto"/>
              <w:left w:val="single" w:sz="4" w:space="0" w:color="auto"/>
            </w:tcBorders>
          </w:tcPr>
          <w:p w14:paraId="66E35D6C" w14:textId="77777777" w:rsidR="001A70B8" w:rsidRPr="002029AF" w:rsidRDefault="001A70B8" w:rsidP="00A212B4">
            <w:pPr>
              <w:pStyle w:val="ARtabletextright"/>
              <w:shd w:val="clear" w:color="auto" w:fill="FFFFFF" w:themeFill="background1"/>
              <w:spacing w:before="30" w:after="10"/>
            </w:pPr>
            <w:r>
              <w:t>11</w:t>
            </w:r>
          </w:p>
        </w:tc>
        <w:tc>
          <w:tcPr>
            <w:tcW w:w="284" w:type="pct"/>
            <w:tcBorders>
              <w:top w:val="single" w:sz="4" w:space="0" w:color="auto"/>
            </w:tcBorders>
          </w:tcPr>
          <w:p w14:paraId="3B83E182" w14:textId="77777777" w:rsidR="001A70B8" w:rsidRPr="002029AF" w:rsidRDefault="001A70B8" w:rsidP="00A212B4">
            <w:pPr>
              <w:pStyle w:val="ARtabletextright"/>
              <w:shd w:val="clear" w:color="auto" w:fill="FFFFFF" w:themeFill="background1"/>
              <w:spacing w:before="30" w:after="10"/>
            </w:pPr>
            <w:r>
              <w:t>6</w:t>
            </w:r>
          </w:p>
        </w:tc>
        <w:tc>
          <w:tcPr>
            <w:tcW w:w="286" w:type="pct"/>
            <w:tcBorders>
              <w:top w:val="single" w:sz="4" w:space="0" w:color="auto"/>
              <w:right w:val="single" w:sz="4" w:space="0" w:color="auto"/>
            </w:tcBorders>
          </w:tcPr>
          <w:p w14:paraId="4D6F19EF" w14:textId="77777777" w:rsidR="001A70B8" w:rsidRPr="002029AF" w:rsidRDefault="001A70B8" w:rsidP="00A212B4">
            <w:pPr>
              <w:pStyle w:val="ARtabletextright"/>
              <w:shd w:val="clear" w:color="auto" w:fill="FFFFFF" w:themeFill="background1"/>
              <w:spacing w:before="30" w:after="10"/>
            </w:pPr>
            <w:r>
              <w:t>15.6</w:t>
            </w:r>
          </w:p>
        </w:tc>
        <w:tc>
          <w:tcPr>
            <w:tcW w:w="321" w:type="pct"/>
            <w:tcBorders>
              <w:top w:val="single" w:sz="4" w:space="0" w:color="auto"/>
              <w:left w:val="single" w:sz="4" w:space="0" w:color="auto"/>
            </w:tcBorders>
          </w:tcPr>
          <w:p w14:paraId="3A42BA45" w14:textId="77777777" w:rsidR="001A70B8" w:rsidRPr="002029AF" w:rsidRDefault="001A70B8" w:rsidP="00A212B4">
            <w:pPr>
              <w:pStyle w:val="ARtabletextright"/>
              <w:shd w:val="clear" w:color="auto" w:fill="FFFFFF" w:themeFill="background1"/>
              <w:spacing w:before="30" w:after="10"/>
            </w:pPr>
            <w:r>
              <w:t>11</w:t>
            </w:r>
          </w:p>
        </w:tc>
        <w:tc>
          <w:tcPr>
            <w:tcW w:w="285" w:type="pct"/>
            <w:tcBorders>
              <w:top w:val="single" w:sz="4" w:space="0" w:color="auto"/>
              <w:right w:val="single" w:sz="4" w:space="0" w:color="auto"/>
            </w:tcBorders>
          </w:tcPr>
          <w:p w14:paraId="2CF0B7BE" w14:textId="77777777" w:rsidR="001A70B8" w:rsidRPr="002029AF" w:rsidRDefault="001A70B8" w:rsidP="00A212B4">
            <w:pPr>
              <w:pStyle w:val="ARtabletextright"/>
              <w:shd w:val="clear" w:color="auto" w:fill="FFFFFF" w:themeFill="background1"/>
              <w:spacing w:before="30" w:after="10"/>
            </w:pPr>
            <w:r>
              <w:t>10.4</w:t>
            </w:r>
          </w:p>
        </w:tc>
        <w:tc>
          <w:tcPr>
            <w:tcW w:w="321" w:type="pct"/>
            <w:tcBorders>
              <w:top w:val="single" w:sz="4" w:space="0" w:color="auto"/>
              <w:left w:val="single" w:sz="4" w:space="0" w:color="auto"/>
            </w:tcBorders>
            <w:hideMark/>
          </w:tcPr>
          <w:p w14:paraId="29C5C339" w14:textId="77777777" w:rsidR="001A70B8" w:rsidRPr="002029AF" w:rsidRDefault="001A70B8" w:rsidP="00A212B4">
            <w:pPr>
              <w:pStyle w:val="ARtabletextright"/>
              <w:shd w:val="clear" w:color="auto" w:fill="FFFFFF" w:themeFill="background1"/>
              <w:spacing w:before="30" w:after="10"/>
            </w:pPr>
            <w:r>
              <w:t>17</w:t>
            </w:r>
          </w:p>
        </w:tc>
        <w:tc>
          <w:tcPr>
            <w:tcW w:w="285" w:type="pct"/>
            <w:tcBorders>
              <w:top w:val="single" w:sz="4" w:space="0" w:color="auto"/>
              <w:right w:val="single" w:sz="4" w:space="0" w:color="auto"/>
            </w:tcBorders>
            <w:hideMark/>
          </w:tcPr>
          <w:p w14:paraId="22DF3B53" w14:textId="77777777" w:rsidR="001A70B8" w:rsidRPr="002029AF" w:rsidRDefault="001A70B8" w:rsidP="00A212B4">
            <w:pPr>
              <w:pStyle w:val="ARtabletextright"/>
              <w:shd w:val="clear" w:color="auto" w:fill="FFFFFF" w:themeFill="background1"/>
              <w:spacing w:before="30" w:after="10"/>
            </w:pPr>
            <w:r>
              <w:t>15.1</w:t>
            </w:r>
          </w:p>
        </w:tc>
        <w:tc>
          <w:tcPr>
            <w:tcW w:w="284" w:type="pct"/>
            <w:tcBorders>
              <w:top w:val="single" w:sz="4" w:space="0" w:color="auto"/>
              <w:left w:val="single" w:sz="4" w:space="0" w:color="auto"/>
            </w:tcBorders>
            <w:hideMark/>
          </w:tcPr>
          <w:p w14:paraId="68F39BEB" w14:textId="77777777" w:rsidR="001A70B8" w:rsidRPr="002029AF" w:rsidRDefault="001A70B8" w:rsidP="00A212B4">
            <w:pPr>
              <w:pStyle w:val="ARtabletextright"/>
              <w:shd w:val="clear" w:color="auto" w:fill="FFFFFF" w:themeFill="background1"/>
              <w:spacing w:before="30" w:after="10"/>
            </w:pPr>
            <w:r>
              <w:t>9</w:t>
            </w:r>
          </w:p>
        </w:tc>
        <w:tc>
          <w:tcPr>
            <w:tcW w:w="284" w:type="pct"/>
            <w:tcBorders>
              <w:top w:val="single" w:sz="4" w:space="0" w:color="auto"/>
            </w:tcBorders>
            <w:hideMark/>
          </w:tcPr>
          <w:p w14:paraId="64B16C1F" w14:textId="77777777" w:rsidR="001A70B8" w:rsidRPr="002029AF" w:rsidRDefault="001A70B8" w:rsidP="00A212B4">
            <w:pPr>
              <w:pStyle w:val="ARtabletextright"/>
              <w:shd w:val="clear" w:color="auto" w:fill="FFFFFF" w:themeFill="background1"/>
              <w:spacing w:before="30" w:after="10"/>
            </w:pPr>
            <w:r>
              <w:t>5</w:t>
            </w:r>
          </w:p>
        </w:tc>
        <w:tc>
          <w:tcPr>
            <w:tcW w:w="286" w:type="pct"/>
            <w:tcBorders>
              <w:top w:val="single" w:sz="4" w:space="0" w:color="auto"/>
              <w:right w:val="single" w:sz="4" w:space="0" w:color="auto"/>
            </w:tcBorders>
            <w:hideMark/>
          </w:tcPr>
          <w:p w14:paraId="058DD4BB" w14:textId="77777777" w:rsidR="001A70B8" w:rsidRPr="002029AF" w:rsidRDefault="001A70B8" w:rsidP="00A212B4">
            <w:pPr>
              <w:pStyle w:val="ARtabletextright"/>
              <w:shd w:val="clear" w:color="auto" w:fill="FFFFFF" w:themeFill="background1"/>
              <w:spacing w:before="30" w:after="10"/>
            </w:pPr>
            <w:r>
              <w:t>12.9</w:t>
            </w:r>
          </w:p>
        </w:tc>
        <w:tc>
          <w:tcPr>
            <w:tcW w:w="321" w:type="pct"/>
            <w:tcBorders>
              <w:left w:val="single" w:sz="4" w:space="0" w:color="auto"/>
            </w:tcBorders>
            <w:hideMark/>
          </w:tcPr>
          <w:p w14:paraId="2D26B9E4" w14:textId="77777777" w:rsidR="001A70B8" w:rsidRPr="002029AF" w:rsidRDefault="001A70B8" w:rsidP="00A212B4">
            <w:pPr>
              <w:pStyle w:val="ARtabletextright"/>
              <w:shd w:val="clear" w:color="auto" w:fill="FFFFFF" w:themeFill="background1"/>
              <w:spacing w:before="30" w:after="10"/>
            </w:pPr>
            <w:r>
              <w:t>3</w:t>
            </w:r>
          </w:p>
        </w:tc>
        <w:tc>
          <w:tcPr>
            <w:tcW w:w="282" w:type="pct"/>
            <w:hideMark/>
          </w:tcPr>
          <w:p w14:paraId="41B61CE5" w14:textId="77777777" w:rsidR="001A70B8" w:rsidRPr="002029AF" w:rsidRDefault="001A70B8" w:rsidP="00A212B4">
            <w:pPr>
              <w:pStyle w:val="ARtabletextright"/>
              <w:shd w:val="clear" w:color="auto" w:fill="FFFFFF" w:themeFill="background1"/>
              <w:spacing w:before="30" w:after="10"/>
            </w:pPr>
            <w:r w:rsidRPr="002029AF" w:rsidDel="00F03F3F">
              <w:t>2</w:t>
            </w:r>
            <w:r>
              <w:t>.2</w:t>
            </w:r>
          </w:p>
        </w:tc>
      </w:tr>
      <w:tr w:rsidR="001A70B8" w:rsidRPr="002029AF" w14:paraId="30A45A4C" w14:textId="77777777" w:rsidTr="00524C5E">
        <w:tc>
          <w:tcPr>
            <w:tcW w:w="867" w:type="pct"/>
            <w:hideMark/>
          </w:tcPr>
          <w:p w14:paraId="6A713D1E" w14:textId="77777777" w:rsidR="001A70B8" w:rsidRPr="002029AF" w:rsidRDefault="001A70B8" w:rsidP="00A212B4">
            <w:pPr>
              <w:pStyle w:val="ARtabletext"/>
              <w:shd w:val="clear" w:color="auto" w:fill="FFFFFF" w:themeFill="background1"/>
              <w:spacing w:before="30" w:after="10"/>
            </w:pPr>
            <w:r w:rsidRPr="002029AF">
              <w:t>65+</w:t>
            </w:r>
          </w:p>
        </w:tc>
        <w:tc>
          <w:tcPr>
            <w:tcW w:w="321" w:type="pct"/>
            <w:tcBorders>
              <w:top w:val="single" w:sz="4" w:space="0" w:color="auto"/>
            </w:tcBorders>
          </w:tcPr>
          <w:p w14:paraId="1542A615" w14:textId="77777777" w:rsidR="001A70B8" w:rsidRPr="002029AF" w:rsidRDefault="001A70B8" w:rsidP="00A212B4">
            <w:pPr>
              <w:pStyle w:val="ARtabletextright"/>
              <w:shd w:val="clear" w:color="auto" w:fill="FFFFFF" w:themeFill="background1"/>
              <w:spacing w:before="30" w:after="10"/>
            </w:pPr>
            <w:r w:rsidDel="00F03F3F">
              <w:t>2</w:t>
            </w:r>
          </w:p>
        </w:tc>
        <w:tc>
          <w:tcPr>
            <w:tcW w:w="289" w:type="pct"/>
            <w:tcBorders>
              <w:top w:val="single" w:sz="4" w:space="0" w:color="auto"/>
              <w:right w:val="single" w:sz="4" w:space="0" w:color="auto"/>
            </w:tcBorders>
          </w:tcPr>
          <w:p w14:paraId="38EA399D" w14:textId="77777777" w:rsidR="001A70B8" w:rsidRPr="002029AF" w:rsidRDefault="001A70B8" w:rsidP="00A212B4">
            <w:pPr>
              <w:pStyle w:val="ARtabletextright"/>
              <w:shd w:val="clear" w:color="auto" w:fill="FFFFFF" w:themeFill="background1"/>
              <w:spacing w:before="30" w:after="10"/>
            </w:pPr>
            <w:r w:rsidDel="00F03F3F">
              <w:t>1.</w:t>
            </w:r>
            <w:r>
              <w:t>8</w:t>
            </w:r>
          </w:p>
        </w:tc>
        <w:tc>
          <w:tcPr>
            <w:tcW w:w="284" w:type="pct"/>
            <w:tcBorders>
              <w:top w:val="single" w:sz="4" w:space="0" w:color="auto"/>
              <w:left w:val="single" w:sz="4" w:space="0" w:color="auto"/>
            </w:tcBorders>
          </w:tcPr>
          <w:p w14:paraId="0CB1088A" w14:textId="77777777" w:rsidR="001A70B8" w:rsidRPr="002029AF" w:rsidRDefault="001A70B8" w:rsidP="00A212B4">
            <w:pPr>
              <w:pStyle w:val="ARtabletextright"/>
              <w:shd w:val="clear" w:color="auto" w:fill="FFFFFF" w:themeFill="background1"/>
              <w:spacing w:before="30" w:after="10"/>
            </w:pPr>
            <w:r w:rsidDel="00F03F3F">
              <w:t>0</w:t>
            </w:r>
          </w:p>
        </w:tc>
        <w:tc>
          <w:tcPr>
            <w:tcW w:w="284" w:type="pct"/>
            <w:tcBorders>
              <w:top w:val="single" w:sz="4" w:space="0" w:color="auto"/>
            </w:tcBorders>
          </w:tcPr>
          <w:p w14:paraId="7EA15B10" w14:textId="77777777" w:rsidR="001A70B8" w:rsidRPr="002029AF" w:rsidRDefault="001A70B8" w:rsidP="00A212B4">
            <w:pPr>
              <w:pStyle w:val="ARtabletextright"/>
              <w:shd w:val="clear" w:color="auto" w:fill="FFFFFF" w:themeFill="background1"/>
              <w:spacing w:before="30" w:after="10"/>
            </w:pPr>
            <w:r>
              <w:t>1</w:t>
            </w:r>
          </w:p>
        </w:tc>
        <w:tc>
          <w:tcPr>
            <w:tcW w:w="286" w:type="pct"/>
            <w:tcBorders>
              <w:top w:val="single" w:sz="4" w:space="0" w:color="auto"/>
              <w:right w:val="single" w:sz="4" w:space="0" w:color="auto"/>
            </w:tcBorders>
          </w:tcPr>
          <w:p w14:paraId="0F2F7937" w14:textId="77777777" w:rsidR="001A70B8" w:rsidRPr="002029AF" w:rsidRDefault="001A70B8" w:rsidP="00A212B4">
            <w:pPr>
              <w:pStyle w:val="ARtabletextright"/>
              <w:shd w:val="clear" w:color="auto" w:fill="FFFFFF" w:themeFill="background1"/>
              <w:spacing w:before="30" w:after="10"/>
            </w:pPr>
            <w:r>
              <w:t>0.8</w:t>
            </w:r>
          </w:p>
        </w:tc>
        <w:tc>
          <w:tcPr>
            <w:tcW w:w="321" w:type="pct"/>
            <w:tcBorders>
              <w:top w:val="single" w:sz="4" w:space="0" w:color="auto"/>
              <w:left w:val="single" w:sz="4" w:space="0" w:color="auto"/>
            </w:tcBorders>
          </w:tcPr>
          <w:p w14:paraId="2B49E4F6" w14:textId="77777777" w:rsidR="001A70B8" w:rsidRPr="002029AF" w:rsidRDefault="001A70B8" w:rsidP="00A212B4">
            <w:pPr>
              <w:pStyle w:val="ARtabletextright"/>
              <w:shd w:val="clear" w:color="auto" w:fill="FFFFFF" w:themeFill="background1"/>
              <w:spacing w:before="30" w:after="10"/>
            </w:pPr>
            <w:r>
              <w:t>1</w:t>
            </w:r>
          </w:p>
        </w:tc>
        <w:tc>
          <w:tcPr>
            <w:tcW w:w="285" w:type="pct"/>
            <w:tcBorders>
              <w:top w:val="single" w:sz="4" w:space="0" w:color="auto"/>
              <w:right w:val="single" w:sz="4" w:space="0" w:color="auto"/>
            </w:tcBorders>
          </w:tcPr>
          <w:p w14:paraId="4CE16AC3" w14:textId="77777777" w:rsidR="001A70B8" w:rsidRPr="002029AF" w:rsidRDefault="001A70B8" w:rsidP="00A212B4">
            <w:pPr>
              <w:pStyle w:val="ARtabletextright"/>
              <w:shd w:val="clear" w:color="auto" w:fill="FFFFFF" w:themeFill="background1"/>
              <w:spacing w:before="30" w:after="10"/>
            </w:pPr>
            <w:r>
              <w:t>1.0</w:t>
            </w:r>
          </w:p>
        </w:tc>
        <w:tc>
          <w:tcPr>
            <w:tcW w:w="321" w:type="pct"/>
            <w:tcBorders>
              <w:top w:val="single" w:sz="4" w:space="0" w:color="auto"/>
              <w:left w:val="single" w:sz="4" w:space="0" w:color="auto"/>
            </w:tcBorders>
            <w:hideMark/>
          </w:tcPr>
          <w:p w14:paraId="7EC999EC" w14:textId="77777777" w:rsidR="001A70B8" w:rsidRPr="002029AF" w:rsidRDefault="001A70B8" w:rsidP="00A212B4">
            <w:pPr>
              <w:pStyle w:val="ARtabletextright"/>
              <w:shd w:val="clear" w:color="auto" w:fill="FFFFFF" w:themeFill="background1"/>
              <w:spacing w:before="30" w:after="10"/>
            </w:pPr>
            <w:r>
              <w:t>2</w:t>
            </w:r>
          </w:p>
        </w:tc>
        <w:tc>
          <w:tcPr>
            <w:tcW w:w="285" w:type="pct"/>
            <w:tcBorders>
              <w:top w:val="single" w:sz="4" w:space="0" w:color="auto"/>
              <w:right w:val="single" w:sz="4" w:space="0" w:color="auto"/>
            </w:tcBorders>
            <w:hideMark/>
          </w:tcPr>
          <w:p w14:paraId="1722DFD5" w14:textId="77777777" w:rsidR="001A70B8" w:rsidRPr="002029AF" w:rsidRDefault="001A70B8" w:rsidP="00A212B4">
            <w:pPr>
              <w:pStyle w:val="ARtabletextright"/>
              <w:shd w:val="clear" w:color="auto" w:fill="FFFFFF" w:themeFill="background1"/>
              <w:spacing w:before="30" w:after="10"/>
            </w:pPr>
            <w:r>
              <w:t>1.3</w:t>
            </w:r>
          </w:p>
        </w:tc>
        <w:tc>
          <w:tcPr>
            <w:tcW w:w="284" w:type="pct"/>
            <w:tcBorders>
              <w:top w:val="single" w:sz="4" w:space="0" w:color="auto"/>
              <w:left w:val="single" w:sz="4" w:space="0" w:color="auto"/>
            </w:tcBorders>
            <w:hideMark/>
          </w:tcPr>
          <w:p w14:paraId="2FF1B3D7" w14:textId="77777777" w:rsidR="001A70B8" w:rsidRPr="002029AF" w:rsidRDefault="001A70B8" w:rsidP="00A212B4">
            <w:pPr>
              <w:pStyle w:val="ARtabletextright"/>
              <w:shd w:val="clear" w:color="auto" w:fill="FFFFFF" w:themeFill="background1"/>
              <w:spacing w:before="30" w:after="10"/>
            </w:pPr>
            <w:r w:rsidRPr="002029AF" w:rsidDel="00A74254">
              <w:t>0</w:t>
            </w:r>
          </w:p>
        </w:tc>
        <w:tc>
          <w:tcPr>
            <w:tcW w:w="284" w:type="pct"/>
            <w:tcBorders>
              <w:top w:val="single" w:sz="4" w:space="0" w:color="auto"/>
            </w:tcBorders>
            <w:hideMark/>
          </w:tcPr>
          <w:p w14:paraId="668D0131" w14:textId="77777777" w:rsidR="001A70B8" w:rsidRPr="002029AF" w:rsidRDefault="001A70B8" w:rsidP="00A212B4">
            <w:pPr>
              <w:pStyle w:val="ARtabletextright"/>
              <w:shd w:val="clear" w:color="auto" w:fill="FFFFFF" w:themeFill="background1"/>
              <w:spacing w:before="30" w:after="10"/>
            </w:pPr>
            <w:r>
              <w:t>2</w:t>
            </w:r>
          </w:p>
        </w:tc>
        <w:tc>
          <w:tcPr>
            <w:tcW w:w="286" w:type="pct"/>
            <w:tcBorders>
              <w:top w:val="single" w:sz="4" w:space="0" w:color="auto"/>
              <w:right w:val="single" w:sz="4" w:space="0" w:color="auto"/>
            </w:tcBorders>
            <w:hideMark/>
          </w:tcPr>
          <w:p w14:paraId="4A739695" w14:textId="77777777" w:rsidR="001A70B8" w:rsidRPr="002029AF" w:rsidRDefault="001A70B8" w:rsidP="00A212B4">
            <w:pPr>
              <w:pStyle w:val="ARtabletextright"/>
              <w:shd w:val="clear" w:color="auto" w:fill="FFFFFF" w:themeFill="background1"/>
              <w:spacing w:before="30" w:after="10"/>
            </w:pPr>
            <w:r>
              <w:t>1.3</w:t>
            </w:r>
          </w:p>
        </w:tc>
        <w:tc>
          <w:tcPr>
            <w:tcW w:w="321" w:type="pct"/>
            <w:tcBorders>
              <w:left w:val="single" w:sz="4" w:space="0" w:color="auto"/>
            </w:tcBorders>
            <w:hideMark/>
          </w:tcPr>
          <w:p w14:paraId="4F64AD8A" w14:textId="77777777" w:rsidR="001A70B8" w:rsidRPr="002029AF" w:rsidRDefault="001A70B8" w:rsidP="00A212B4">
            <w:pPr>
              <w:pStyle w:val="ARtabletextright"/>
              <w:shd w:val="clear" w:color="auto" w:fill="FFFFFF" w:themeFill="background1"/>
              <w:spacing w:before="30" w:after="10"/>
            </w:pPr>
            <w:r w:rsidRPr="002029AF">
              <w:t>0</w:t>
            </w:r>
          </w:p>
        </w:tc>
        <w:tc>
          <w:tcPr>
            <w:tcW w:w="282" w:type="pct"/>
            <w:hideMark/>
          </w:tcPr>
          <w:p w14:paraId="6462780C" w14:textId="77777777" w:rsidR="001A70B8" w:rsidRPr="002029AF" w:rsidRDefault="001A70B8" w:rsidP="00A212B4">
            <w:pPr>
              <w:pStyle w:val="ARtabletextright"/>
              <w:shd w:val="clear" w:color="auto" w:fill="FFFFFF" w:themeFill="background1"/>
              <w:spacing w:before="30" w:after="10"/>
            </w:pPr>
            <w:r w:rsidRPr="002029AF">
              <w:t>0</w:t>
            </w:r>
          </w:p>
        </w:tc>
      </w:tr>
      <w:tr w:rsidR="00A212B4" w:rsidRPr="002029AF" w14:paraId="7F1C1A8F" w14:textId="77777777" w:rsidTr="00A212B4">
        <w:tc>
          <w:tcPr>
            <w:tcW w:w="5000" w:type="pct"/>
            <w:gridSpan w:val="15"/>
          </w:tcPr>
          <w:p w14:paraId="5E97C2E1" w14:textId="3A241FBF" w:rsidR="00A212B4" w:rsidRPr="002029AF" w:rsidRDefault="00A212B4" w:rsidP="00A212B4">
            <w:pPr>
              <w:pStyle w:val="ARtablecolourbold"/>
              <w:spacing w:before="30" w:after="10"/>
            </w:pPr>
            <w:r w:rsidRPr="002029AF">
              <w:t>Classification</w:t>
            </w:r>
          </w:p>
        </w:tc>
      </w:tr>
      <w:tr w:rsidR="001A70B8" w:rsidRPr="002029AF" w14:paraId="049F2146" w14:textId="77777777" w:rsidTr="00524C5E">
        <w:tc>
          <w:tcPr>
            <w:tcW w:w="867" w:type="pct"/>
            <w:hideMark/>
          </w:tcPr>
          <w:p w14:paraId="7433E492" w14:textId="77777777" w:rsidR="001A70B8" w:rsidRPr="002029AF" w:rsidRDefault="001A70B8" w:rsidP="00A212B4">
            <w:pPr>
              <w:pStyle w:val="ARtabletext"/>
              <w:shd w:val="clear" w:color="auto" w:fill="FFFFFF" w:themeFill="background1"/>
              <w:spacing w:before="30" w:after="10"/>
            </w:pPr>
            <w:r w:rsidRPr="002029AF">
              <w:t>VPS</w:t>
            </w:r>
            <w:r>
              <w:t xml:space="preserve"> </w:t>
            </w:r>
            <w:r w:rsidRPr="002029AF">
              <w:t>2</w:t>
            </w:r>
          </w:p>
        </w:tc>
        <w:tc>
          <w:tcPr>
            <w:tcW w:w="321" w:type="pct"/>
            <w:tcBorders>
              <w:top w:val="single" w:sz="4" w:space="0" w:color="auto"/>
            </w:tcBorders>
          </w:tcPr>
          <w:p w14:paraId="05D4A237" w14:textId="77777777" w:rsidR="001A70B8" w:rsidRPr="002029AF" w:rsidRDefault="001A70B8" w:rsidP="00A212B4">
            <w:pPr>
              <w:pStyle w:val="ARtabletextright"/>
              <w:shd w:val="clear" w:color="auto" w:fill="FFFFFF" w:themeFill="background1"/>
              <w:spacing w:before="30" w:after="10"/>
            </w:pPr>
            <w:r>
              <w:t>0</w:t>
            </w:r>
          </w:p>
        </w:tc>
        <w:tc>
          <w:tcPr>
            <w:tcW w:w="289" w:type="pct"/>
            <w:tcBorders>
              <w:top w:val="single" w:sz="4" w:space="0" w:color="auto"/>
              <w:right w:val="single" w:sz="4" w:space="0" w:color="auto"/>
            </w:tcBorders>
          </w:tcPr>
          <w:p w14:paraId="495FBE1E" w14:textId="77777777" w:rsidR="001A70B8" w:rsidRPr="002029AF" w:rsidRDefault="001A70B8" w:rsidP="00A212B4">
            <w:pPr>
              <w:pStyle w:val="ARtabletextright"/>
              <w:shd w:val="clear" w:color="auto" w:fill="FFFFFF" w:themeFill="background1"/>
              <w:spacing w:before="30" w:after="10"/>
            </w:pPr>
            <w:r>
              <w:t>0.0</w:t>
            </w:r>
          </w:p>
        </w:tc>
        <w:tc>
          <w:tcPr>
            <w:tcW w:w="284" w:type="pct"/>
            <w:tcBorders>
              <w:top w:val="single" w:sz="4" w:space="0" w:color="auto"/>
              <w:left w:val="single" w:sz="4" w:space="0" w:color="auto"/>
            </w:tcBorders>
          </w:tcPr>
          <w:p w14:paraId="790D7031" w14:textId="77777777" w:rsidR="001A70B8" w:rsidRPr="002029AF" w:rsidRDefault="001A70B8" w:rsidP="00A212B4">
            <w:pPr>
              <w:pStyle w:val="ARtabletextright"/>
              <w:shd w:val="clear" w:color="auto" w:fill="FFFFFF" w:themeFill="background1"/>
              <w:spacing w:before="30" w:after="10"/>
            </w:pPr>
            <w:r>
              <w:t>0</w:t>
            </w:r>
          </w:p>
        </w:tc>
        <w:tc>
          <w:tcPr>
            <w:tcW w:w="284" w:type="pct"/>
            <w:tcBorders>
              <w:top w:val="single" w:sz="4" w:space="0" w:color="auto"/>
            </w:tcBorders>
          </w:tcPr>
          <w:p w14:paraId="13960C34" w14:textId="77777777" w:rsidR="001A70B8" w:rsidRPr="002029AF" w:rsidRDefault="001A70B8" w:rsidP="00A212B4">
            <w:pPr>
              <w:pStyle w:val="ARtabletextright"/>
              <w:shd w:val="clear" w:color="auto" w:fill="FFFFFF" w:themeFill="background1"/>
              <w:spacing w:before="30" w:after="10"/>
            </w:pPr>
            <w:r>
              <w:t>0</w:t>
            </w:r>
          </w:p>
        </w:tc>
        <w:tc>
          <w:tcPr>
            <w:tcW w:w="286" w:type="pct"/>
            <w:tcBorders>
              <w:top w:val="single" w:sz="4" w:space="0" w:color="auto"/>
              <w:right w:val="single" w:sz="4" w:space="0" w:color="auto"/>
            </w:tcBorders>
          </w:tcPr>
          <w:p w14:paraId="7E5ED8DD" w14:textId="77777777" w:rsidR="001A70B8" w:rsidRPr="002029AF" w:rsidRDefault="001A70B8" w:rsidP="00A212B4">
            <w:pPr>
              <w:pStyle w:val="ARtabletextright"/>
              <w:shd w:val="clear" w:color="auto" w:fill="FFFFFF" w:themeFill="background1"/>
              <w:spacing w:before="30" w:after="10"/>
            </w:pPr>
            <w:r>
              <w:t>0.0</w:t>
            </w:r>
          </w:p>
        </w:tc>
        <w:tc>
          <w:tcPr>
            <w:tcW w:w="321" w:type="pct"/>
            <w:tcBorders>
              <w:top w:val="single" w:sz="4" w:space="0" w:color="auto"/>
              <w:left w:val="single" w:sz="4" w:space="0" w:color="auto"/>
            </w:tcBorders>
          </w:tcPr>
          <w:p w14:paraId="17B29C69" w14:textId="77777777" w:rsidR="001A70B8" w:rsidRPr="002029AF" w:rsidRDefault="001A70B8" w:rsidP="00A212B4">
            <w:pPr>
              <w:pStyle w:val="ARtabletextright"/>
              <w:shd w:val="clear" w:color="auto" w:fill="FFFFFF" w:themeFill="background1"/>
              <w:spacing w:before="30" w:after="10"/>
            </w:pPr>
            <w:r>
              <w:t>0</w:t>
            </w:r>
          </w:p>
        </w:tc>
        <w:tc>
          <w:tcPr>
            <w:tcW w:w="285" w:type="pct"/>
            <w:tcBorders>
              <w:top w:val="single" w:sz="4" w:space="0" w:color="auto"/>
              <w:right w:val="single" w:sz="4" w:space="0" w:color="auto"/>
            </w:tcBorders>
          </w:tcPr>
          <w:p w14:paraId="3A2720DE" w14:textId="77777777" w:rsidR="001A70B8" w:rsidRPr="002029AF" w:rsidRDefault="001A70B8" w:rsidP="00A212B4">
            <w:pPr>
              <w:pStyle w:val="ARtabletextright"/>
              <w:shd w:val="clear" w:color="auto" w:fill="FFFFFF" w:themeFill="background1"/>
              <w:spacing w:before="30" w:after="10"/>
            </w:pPr>
            <w:r>
              <w:t>0.0</w:t>
            </w:r>
          </w:p>
        </w:tc>
        <w:tc>
          <w:tcPr>
            <w:tcW w:w="321" w:type="pct"/>
            <w:tcBorders>
              <w:top w:val="single" w:sz="4" w:space="0" w:color="auto"/>
              <w:left w:val="single" w:sz="4" w:space="0" w:color="auto"/>
            </w:tcBorders>
            <w:hideMark/>
          </w:tcPr>
          <w:p w14:paraId="0A24AB62" w14:textId="77777777" w:rsidR="001A70B8" w:rsidRPr="002029AF" w:rsidRDefault="001A70B8" w:rsidP="00A212B4">
            <w:pPr>
              <w:pStyle w:val="ARtabletextright"/>
              <w:shd w:val="clear" w:color="auto" w:fill="FFFFFF" w:themeFill="background1"/>
              <w:spacing w:before="30" w:after="10"/>
            </w:pPr>
            <w:r>
              <w:t>0</w:t>
            </w:r>
          </w:p>
        </w:tc>
        <w:tc>
          <w:tcPr>
            <w:tcW w:w="285" w:type="pct"/>
            <w:tcBorders>
              <w:top w:val="single" w:sz="4" w:space="0" w:color="auto"/>
              <w:right w:val="single" w:sz="4" w:space="0" w:color="auto"/>
            </w:tcBorders>
            <w:hideMark/>
          </w:tcPr>
          <w:p w14:paraId="3BCF9410" w14:textId="77777777" w:rsidR="001A70B8" w:rsidRPr="002029AF" w:rsidRDefault="001A70B8" w:rsidP="00A212B4">
            <w:pPr>
              <w:pStyle w:val="ARtabletextright"/>
              <w:shd w:val="clear" w:color="auto" w:fill="FFFFFF" w:themeFill="background1"/>
              <w:spacing w:before="30" w:after="10"/>
            </w:pPr>
            <w:r>
              <w:t>0</w:t>
            </w:r>
          </w:p>
        </w:tc>
        <w:tc>
          <w:tcPr>
            <w:tcW w:w="284" w:type="pct"/>
            <w:tcBorders>
              <w:top w:val="single" w:sz="4" w:space="0" w:color="auto"/>
              <w:left w:val="single" w:sz="4" w:space="0" w:color="auto"/>
            </w:tcBorders>
            <w:hideMark/>
          </w:tcPr>
          <w:p w14:paraId="256FEBE7" w14:textId="77777777" w:rsidR="001A70B8" w:rsidRPr="002029AF" w:rsidRDefault="001A70B8" w:rsidP="00A212B4">
            <w:pPr>
              <w:pStyle w:val="ARtabletextright"/>
              <w:shd w:val="clear" w:color="auto" w:fill="FFFFFF" w:themeFill="background1"/>
              <w:spacing w:before="30" w:after="10"/>
            </w:pPr>
            <w:r>
              <w:t>0</w:t>
            </w:r>
          </w:p>
        </w:tc>
        <w:tc>
          <w:tcPr>
            <w:tcW w:w="284" w:type="pct"/>
            <w:tcBorders>
              <w:top w:val="single" w:sz="4" w:space="0" w:color="auto"/>
            </w:tcBorders>
            <w:hideMark/>
          </w:tcPr>
          <w:p w14:paraId="51B9B856" w14:textId="77777777" w:rsidR="001A70B8" w:rsidRPr="002029AF" w:rsidRDefault="001A70B8" w:rsidP="00A212B4">
            <w:pPr>
              <w:pStyle w:val="ARtabletextright"/>
              <w:shd w:val="clear" w:color="auto" w:fill="FFFFFF" w:themeFill="background1"/>
              <w:spacing w:before="30" w:after="10"/>
            </w:pPr>
            <w:r w:rsidRPr="002029AF">
              <w:t>0</w:t>
            </w:r>
          </w:p>
        </w:tc>
        <w:tc>
          <w:tcPr>
            <w:tcW w:w="286" w:type="pct"/>
            <w:tcBorders>
              <w:top w:val="single" w:sz="4" w:space="0" w:color="auto"/>
              <w:right w:val="single" w:sz="4" w:space="0" w:color="auto"/>
            </w:tcBorders>
            <w:hideMark/>
          </w:tcPr>
          <w:p w14:paraId="5CE196A7" w14:textId="77777777" w:rsidR="001A70B8" w:rsidRPr="002029AF" w:rsidRDefault="001A70B8" w:rsidP="00A212B4">
            <w:pPr>
              <w:pStyle w:val="ARtabletextright"/>
              <w:shd w:val="clear" w:color="auto" w:fill="FFFFFF" w:themeFill="background1"/>
              <w:spacing w:before="30" w:after="10"/>
            </w:pPr>
            <w:r>
              <w:t>0</w:t>
            </w:r>
          </w:p>
        </w:tc>
        <w:tc>
          <w:tcPr>
            <w:tcW w:w="321" w:type="pct"/>
            <w:tcBorders>
              <w:left w:val="single" w:sz="4" w:space="0" w:color="auto"/>
            </w:tcBorders>
            <w:hideMark/>
          </w:tcPr>
          <w:p w14:paraId="555D7595" w14:textId="77777777" w:rsidR="001A70B8" w:rsidRPr="002029AF" w:rsidRDefault="001A70B8" w:rsidP="00A212B4">
            <w:pPr>
              <w:pStyle w:val="ARtabletextright"/>
              <w:shd w:val="clear" w:color="auto" w:fill="FFFFFF" w:themeFill="background1"/>
              <w:spacing w:before="30" w:after="10"/>
            </w:pPr>
            <w:r w:rsidRPr="002029AF">
              <w:t>0</w:t>
            </w:r>
          </w:p>
        </w:tc>
        <w:tc>
          <w:tcPr>
            <w:tcW w:w="282" w:type="pct"/>
            <w:hideMark/>
          </w:tcPr>
          <w:p w14:paraId="7D74CB10" w14:textId="77777777" w:rsidR="001A70B8" w:rsidRPr="002029AF" w:rsidRDefault="001A70B8" w:rsidP="00A212B4">
            <w:pPr>
              <w:pStyle w:val="ARtabletextright"/>
              <w:shd w:val="clear" w:color="auto" w:fill="FFFFFF" w:themeFill="background1"/>
              <w:spacing w:before="30" w:after="10"/>
            </w:pPr>
            <w:r w:rsidRPr="002029AF">
              <w:t>0</w:t>
            </w:r>
          </w:p>
        </w:tc>
      </w:tr>
      <w:tr w:rsidR="001A70B8" w:rsidRPr="002029AF" w14:paraId="2BC4213F" w14:textId="77777777" w:rsidTr="00524C5E">
        <w:tc>
          <w:tcPr>
            <w:tcW w:w="867" w:type="pct"/>
            <w:hideMark/>
          </w:tcPr>
          <w:p w14:paraId="67CC22AA" w14:textId="77777777" w:rsidR="001A70B8" w:rsidRPr="002029AF" w:rsidRDefault="001A70B8" w:rsidP="00A212B4">
            <w:pPr>
              <w:pStyle w:val="ARtabletext"/>
              <w:shd w:val="clear" w:color="auto" w:fill="FFFFFF" w:themeFill="background1"/>
              <w:spacing w:before="30" w:after="10"/>
            </w:pPr>
            <w:r w:rsidRPr="002029AF">
              <w:t>VPS</w:t>
            </w:r>
            <w:r>
              <w:t xml:space="preserve"> </w:t>
            </w:r>
            <w:r w:rsidRPr="002029AF">
              <w:t>3</w:t>
            </w:r>
          </w:p>
        </w:tc>
        <w:tc>
          <w:tcPr>
            <w:tcW w:w="321" w:type="pct"/>
            <w:tcBorders>
              <w:top w:val="single" w:sz="4" w:space="0" w:color="auto"/>
            </w:tcBorders>
          </w:tcPr>
          <w:p w14:paraId="1D5AC25B" w14:textId="77777777" w:rsidR="001A70B8" w:rsidRPr="002029AF" w:rsidRDefault="001A70B8" w:rsidP="00A212B4">
            <w:pPr>
              <w:pStyle w:val="ARtabletextright"/>
              <w:shd w:val="clear" w:color="auto" w:fill="FFFFFF" w:themeFill="background1"/>
              <w:spacing w:before="30" w:after="10"/>
            </w:pPr>
            <w:r>
              <w:t>3</w:t>
            </w:r>
          </w:p>
        </w:tc>
        <w:tc>
          <w:tcPr>
            <w:tcW w:w="289" w:type="pct"/>
            <w:tcBorders>
              <w:top w:val="single" w:sz="4" w:space="0" w:color="auto"/>
              <w:right w:val="single" w:sz="4" w:space="0" w:color="auto"/>
            </w:tcBorders>
          </w:tcPr>
          <w:p w14:paraId="3DDED46E" w14:textId="77777777" w:rsidR="001A70B8" w:rsidRPr="002029AF" w:rsidRDefault="001A70B8" w:rsidP="00A212B4">
            <w:pPr>
              <w:pStyle w:val="ARtabletextright"/>
              <w:shd w:val="clear" w:color="auto" w:fill="FFFFFF" w:themeFill="background1"/>
              <w:spacing w:before="30" w:after="10"/>
            </w:pPr>
            <w:r>
              <w:t>2.6</w:t>
            </w:r>
          </w:p>
        </w:tc>
        <w:tc>
          <w:tcPr>
            <w:tcW w:w="284" w:type="pct"/>
            <w:tcBorders>
              <w:top w:val="single" w:sz="4" w:space="0" w:color="auto"/>
              <w:left w:val="single" w:sz="4" w:space="0" w:color="auto"/>
            </w:tcBorders>
          </w:tcPr>
          <w:p w14:paraId="288862B8" w14:textId="77777777" w:rsidR="001A70B8" w:rsidRPr="002029AF" w:rsidRDefault="001A70B8" w:rsidP="00A212B4">
            <w:pPr>
              <w:pStyle w:val="ARtabletextright"/>
              <w:shd w:val="clear" w:color="auto" w:fill="FFFFFF" w:themeFill="background1"/>
              <w:spacing w:before="30" w:after="10"/>
            </w:pPr>
            <w:r>
              <w:t>1</w:t>
            </w:r>
          </w:p>
        </w:tc>
        <w:tc>
          <w:tcPr>
            <w:tcW w:w="284" w:type="pct"/>
            <w:tcBorders>
              <w:top w:val="single" w:sz="4" w:space="0" w:color="auto"/>
            </w:tcBorders>
          </w:tcPr>
          <w:p w14:paraId="133FEFC2" w14:textId="77777777" w:rsidR="001A70B8" w:rsidRPr="002029AF" w:rsidRDefault="001A70B8" w:rsidP="00A212B4">
            <w:pPr>
              <w:pStyle w:val="ARtabletextright"/>
              <w:shd w:val="clear" w:color="auto" w:fill="FFFFFF" w:themeFill="background1"/>
              <w:spacing w:before="30" w:after="10"/>
            </w:pPr>
            <w:r>
              <w:t>1</w:t>
            </w:r>
          </w:p>
        </w:tc>
        <w:tc>
          <w:tcPr>
            <w:tcW w:w="286" w:type="pct"/>
            <w:tcBorders>
              <w:top w:val="single" w:sz="4" w:space="0" w:color="auto"/>
              <w:right w:val="single" w:sz="4" w:space="0" w:color="auto"/>
            </w:tcBorders>
          </w:tcPr>
          <w:p w14:paraId="16DDA0D3" w14:textId="77777777" w:rsidR="001A70B8" w:rsidRPr="002029AF" w:rsidRDefault="001A70B8" w:rsidP="00A212B4">
            <w:pPr>
              <w:pStyle w:val="ARtabletextright"/>
              <w:shd w:val="clear" w:color="auto" w:fill="FFFFFF" w:themeFill="background1"/>
              <w:spacing w:before="30" w:after="10"/>
            </w:pPr>
            <w:r>
              <w:t>1.6</w:t>
            </w:r>
          </w:p>
        </w:tc>
        <w:tc>
          <w:tcPr>
            <w:tcW w:w="321" w:type="pct"/>
            <w:tcBorders>
              <w:top w:val="single" w:sz="4" w:space="0" w:color="auto"/>
              <w:left w:val="single" w:sz="4" w:space="0" w:color="auto"/>
            </w:tcBorders>
          </w:tcPr>
          <w:p w14:paraId="4F6F6CBC" w14:textId="77777777" w:rsidR="001A70B8" w:rsidRPr="002029AF" w:rsidRDefault="001A70B8" w:rsidP="00A212B4">
            <w:pPr>
              <w:pStyle w:val="ARtabletextright"/>
              <w:shd w:val="clear" w:color="auto" w:fill="FFFFFF" w:themeFill="background1"/>
              <w:spacing w:before="30" w:after="10"/>
            </w:pPr>
            <w:r>
              <w:t>1</w:t>
            </w:r>
          </w:p>
        </w:tc>
        <w:tc>
          <w:tcPr>
            <w:tcW w:w="285" w:type="pct"/>
            <w:tcBorders>
              <w:top w:val="single" w:sz="4" w:space="0" w:color="auto"/>
              <w:right w:val="single" w:sz="4" w:space="0" w:color="auto"/>
            </w:tcBorders>
          </w:tcPr>
          <w:p w14:paraId="00AB36FA" w14:textId="77777777" w:rsidR="001A70B8" w:rsidRPr="002029AF" w:rsidRDefault="001A70B8" w:rsidP="00A212B4">
            <w:pPr>
              <w:pStyle w:val="ARtabletextright"/>
              <w:shd w:val="clear" w:color="auto" w:fill="FFFFFF" w:themeFill="background1"/>
              <w:spacing w:before="30" w:after="10"/>
            </w:pPr>
            <w:r>
              <w:t>1.0</w:t>
            </w:r>
          </w:p>
        </w:tc>
        <w:tc>
          <w:tcPr>
            <w:tcW w:w="321" w:type="pct"/>
            <w:tcBorders>
              <w:top w:val="single" w:sz="4" w:space="0" w:color="auto"/>
              <w:left w:val="single" w:sz="4" w:space="0" w:color="auto"/>
            </w:tcBorders>
            <w:hideMark/>
          </w:tcPr>
          <w:p w14:paraId="4368BDA8" w14:textId="77777777" w:rsidR="001A70B8" w:rsidRPr="002029AF" w:rsidRDefault="001A70B8" w:rsidP="00A212B4">
            <w:pPr>
              <w:pStyle w:val="ARtabletextright"/>
              <w:shd w:val="clear" w:color="auto" w:fill="FFFFFF" w:themeFill="background1"/>
              <w:spacing w:before="30" w:after="10"/>
            </w:pPr>
            <w:r>
              <w:t>6</w:t>
            </w:r>
          </w:p>
        </w:tc>
        <w:tc>
          <w:tcPr>
            <w:tcW w:w="285" w:type="pct"/>
            <w:tcBorders>
              <w:top w:val="single" w:sz="4" w:space="0" w:color="auto"/>
              <w:right w:val="single" w:sz="4" w:space="0" w:color="auto"/>
            </w:tcBorders>
            <w:hideMark/>
          </w:tcPr>
          <w:p w14:paraId="2440AFA6" w14:textId="77777777" w:rsidR="001A70B8" w:rsidRPr="002029AF" w:rsidRDefault="001A70B8" w:rsidP="00A212B4">
            <w:pPr>
              <w:pStyle w:val="ARtabletextright"/>
              <w:shd w:val="clear" w:color="auto" w:fill="FFFFFF" w:themeFill="background1"/>
              <w:spacing w:before="30" w:after="10"/>
            </w:pPr>
            <w:r>
              <w:t>5.2</w:t>
            </w:r>
          </w:p>
        </w:tc>
        <w:tc>
          <w:tcPr>
            <w:tcW w:w="284" w:type="pct"/>
            <w:tcBorders>
              <w:top w:val="single" w:sz="4" w:space="0" w:color="auto"/>
              <w:left w:val="single" w:sz="4" w:space="0" w:color="auto"/>
            </w:tcBorders>
            <w:hideMark/>
          </w:tcPr>
          <w:p w14:paraId="609F3B89" w14:textId="77777777" w:rsidR="001A70B8" w:rsidRPr="002029AF" w:rsidRDefault="001A70B8" w:rsidP="00A212B4">
            <w:pPr>
              <w:pStyle w:val="ARtabletextright"/>
              <w:shd w:val="clear" w:color="auto" w:fill="FFFFFF" w:themeFill="background1"/>
              <w:spacing w:before="30" w:after="10"/>
            </w:pPr>
            <w:r>
              <w:t>4</w:t>
            </w:r>
          </w:p>
        </w:tc>
        <w:tc>
          <w:tcPr>
            <w:tcW w:w="284" w:type="pct"/>
            <w:tcBorders>
              <w:top w:val="single" w:sz="4" w:space="0" w:color="auto"/>
            </w:tcBorders>
            <w:hideMark/>
          </w:tcPr>
          <w:p w14:paraId="57BBD481" w14:textId="77777777" w:rsidR="001A70B8" w:rsidRPr="002029AF" w:rsidRDefault="001A70B8" w:rsidP="00A212B4">
            <w:pPr>
              <w:pStyle w:val="ARtabletextright"/>
              <w:shd w:val="clear" w:color="auto" w:fill="FFFFFF" w:themeFill="background1"/>
              <w:spacing w:before="30" w:after="10"/>
            </w:pPr>
            <w:r w:rsidRPr="002029AF" w:rsidDel="00D94774">
              <w:t>2</w:t>
            </w:r>
          </w:p>
        </w:tc>
        <w:tc>
          <w:tcPr>
            <w:tcW w:w="286" w:type="pct"/>
            <w:tcBorders>
              <w:top w:val="single" w:sz="4" w:space="0" w:color="auto"/>
              <w:right w:val="single" w:sz="4" w:space="0" w:color="auto"/>
            </w:tcBorders>
            <w:hideMark/>
          </w:tcPr>
          <w:p w14:paraId="5BD43B9E" w14:textId="77777777" w:rsidR="001A70B8" w:rsidRPr="002029AF" w:rsidRDefault="001A70B8" w:rsidP="00A212B4">
            <w:pPr>
              <w:pStyle w:val="ARtabletextright"/>
              <w:shd w:val="clear" w:color="auto" w:fill="FFFFFF" w:themeFill="background1"/>
              <w:spacing w:before="30" w:after="10"/>
            </w:pPr>
            <w:r>
              <w:t>5.2</w:t>
            </w:r>
          </w:p>
        </w:tc>
        <w:tc>
          <w:tcPr>
            <w:tcW w:w="321" w:type="pct"/>
            <w:tcBorders>
              <w:left w:val="single" w:sz="4" w:space="0" w:color="auto"/>
            </w:tcBorders>
            <w:hideMark/>
          </w:tcPr>
          <w:p w14:paraId="780005AB" w14:textId="77777777" w:rsidR="001A70B8" w:rsidRPr="002029AF" w:rsidRDefault="001A70B8" w:rsidP="00A212B4">
            <w:pPr>
              <w:pStyle w:val="ARtabletextright"/>
              <w:shd w:val="clear" w:color="auto" w:fill="FFFFFF" w:themeFill="background1"/>
              <w:spacing w:before="30" w:after="10"/>
            </w:pPr>
            <w:r w:rsidRPr="002029AF">
              <w:t>0</w:t>
            </w:r>
          </w:p>
        </w:tc>
        <w:tc>
          <w:tcPr>
            <w:tcW w:w="282" w:type="pct"/>
            <w:hideMark/>
          </w:tcPr>
          <w:p w14:paraId="33E67931" w14:textId="77777777" w:rsidR="001A70B8" w:rsidRPr="002029AF" w:rsidRDefault="001A70B8" w:rsidP="00A212B4">
            <w:pPr>
              <w:pStyle w:val="ARtabletextright"/>
              <w:shd w:val="clear" w:color="auto" w:fill="FFFFFF" w:themeFill="background1"/>
              <w:spacing w:before="30" w:after="10"/>
            </w:pPr>
            <w:r w:rsidRPr="002029AF">
              <w:t>0</w:t>
            </w:r>
          </w:p>
        </w:tc>
      </w:tr>
      <w:tr w:rsidR="001A70B8" w:rsidRPr="002029AF" w14:paraId="3D71A546" w14:textId="77777777" w:rsidTr="00524C5E">
        <w:tc>
          <w:tcPr>
            <w:tcW w:w="867" w:type="pct"/>
            <w:hideMark/>
          </w:tcPr>
          <w:p w14:paraId="1E3C3C90" w14:textId="77777777" w:rsidR="001A70B8" w:rsidRPr="002029AF" w:rsidRDefault="001A70B8" w:rsidP="00A212B4">
            <w:pPr>
              <w:pStyle w:val="ARtabletext"/>
              <w:shd w:val="clear" w:color="auto" w:fill="FFFFFF" w:themeFill="background1"/>
              <w:spacing w:before="30" w:after="10"/>
            </w:pPr>
            <w:r w:rsidRPr="002029AF">
              <w:t>VPS</w:t>
            </w:r>
            <w:r>
              <w:t xml:space="preserve"> </w:t>
            </w:r>
            <w:r w:rsidRPr="002029AF">
              <w:t>4</w:t>
            </w:r>
          </w:p>
        </w:tc>
        <w:tc>
          <w:tcPr>
            <w:tcW w:w="321" w:type="pct"/>
            <w:tcBorders>
              <w:top w:val="single" w:sz="4" w:space="0" w:color="auto"/>
            </w:tcBorders>
          </w:tcPr>
          <w:p w14:paraId="07EC2F84" w14:textId="77777777" w:rsidR="001A70B8" w:rsidRPr="002029AF" w:rsidRDefault="001A70B8" w:rsidP="00A212B4">
            <w:pPr>
              <w:pStyle w:val="ARtabletextright"/>
              <w:shd w:val="clear" w:color="auto" w:fill="FFFFFF" w:themeFill="background1"/>
              <w:spacing w:before="30" w:after="10"/>
            </w:pPr>
            <w:r>
              <w:t>47</w:t>
            </w:r>
          </w:p>
        </w:tc>
        <w:tc>
          <w:tcPr>
            <w:tcW w:w="289" w:type="pct"/>
            <w:tcBorders>
              <w:top w:val="single" w:sz="4" w:space="0" w:color="auto"/>
              <w:right w:val="single" w:sz="4" w:space="0" w:color="auto"/>
            </w:tcBorders>
          </w:tcPr>
          <w:p w14:paraId="0AE78E35" w14:textId="77777777" w:rsidR="001A70B8" w:rsidRPr="002029AF" w:rsidRDefault="001A70B8" w:rsidP="00A212B4">
            <w:pPr>
              <w:pStyle w:val="ARtabletextright"/>
              <w:shd w:val="clear" w:color="auto" w:fill="FFFFFF" w:themeFill="background1"/>
              <w:spacing w:before="30" w:after="10"/>
            </w:pPr>
            <w:r>
              <w:t>41.8</w:t>
            </w:r>
          </w:p>
        </w:tc>
        <w:tc>
          <w:tcPr>
            <w:tcW w:w="284" w:type="pct"/>
            <w:tcBorders>
              <w:top w:val="single" w:sz="4" w:space="0" w:color="auto"/>
              <w:left w:val="single" w:sz="4" w:space="0" w:color="auto"/>
            </w:tcBorders>
          </w:tcPr>
          <w:p w14:paraId="70474405" w14:textId="77777777" w:rsidR="001A70B8" w:rsidRPr="002029AF" w:rsidRDefault="001A70B8" w:rsidP="00A212B4">
            <w:pPr>
              <w:pStyle w:val="ARtabletextright"/>
              <w:shd w:val="clear" w:color="auto" w:fill="FFFFFF" w:themeFill="background1"/>
              <w:spacing w:before="30" w:after="10"/>
            </w:pPr>
            <w:r>
              <w:t>18</w:t>
            </w:r>
          </w:p>
        </w:tc>
        <w:tc>
          <w:tcPr>
            <w:tcW w:w="284" w:type="pct"/>
            <w:tcBorders>
              <w:top w:val="single" w:sz="4" w:space="0" w:color="auto"/>
            </w:tcBorders>
          </w:tcPr>
          <w:p w14:paraId="79095991" w14:textId="77777777" w:rsidR="001A70B8" w:rsidRPr="002029AF" w:rsidRDefault="001A70B8" w:rsidP="00A212B4">
            <w:pPr>
              <w:pStyle w:val="ARtabletextright"/>
              <w:shd w:val="clear" w:color="auto" w:fill="FFFFFF" w:themeFill="background1"/>
              <w:spacing w:before="30" w:after="10"/>
            </w:pPr>
            <w:r>
              <w:t>7</w:t>
            </w:r>
          </w:p>
        </w:tc>
        <w:tc>
          <w:tcPr>
            <w:tcW w:w="286" w:type="pct"/>
            <w:tcBorders>
              <w:top w:val="single" w:sz="4" w:space="0" w:color="auto"/>
              <w:right w:val="single" w:sz="4" w:space="0" w:color="auto"/>
            </w:tcBorders>
          </w:tcPr>
          <w:p w14:paraId="76BE0323" w14:textId="77777777" w:rsidR="001A70B8" w:rsidRPr="002029AF" w:rsidRDefault="001A70B8" w:rsidP="00A212B4">
            <w:pPr>
              <w:pStyle w:val="ARtabletextright"/>
              <w:shd w:val="clear" w:color="auto" w:fill="FFFFFF" w:themeFill="background1"/>
              <w:spacing w:before="30" w:after="10"/>
            </w:pPr>
            <w:r>
              <w:t>22.7</w:t>
            </w:r>
          </w:p>
        </w:tc>
        <w:tc>
          <w:tcPr>
            <w:tcW w:w="321" w:type="pct"/>
            <w:tcBorders>
              <w:top w:val="single" w:sz="4" w:space="0" w:color="auto"/>
              <w:left w:val="single" w:sz="4" w:space="0" w:color="auto"/>
            </w:tcBorders>
          </w:tcPr>
          <w:p w14:paraId="728B5278" w14:textId="77777777" w:rsidR="001A70B8" w:rsidRPr="002029AF" w:rsidRDefault="001A70B8" w:rsidP="00A212B4">
            <w:pPr>
              <w:pStyle w:val="ARtabletextright"/>
              <w:shd w:val="clear" w:color="auto" w:fill="FFFFFF" w:themeFill="background1"/>
              <w:spacing w:before="30" w:after="10"/>
            </w:pPr>
            <w:r>
              <w:t>22</w:t>
            </w:r>
          </w:p>
        </w:tc>
        <w:tc>
          <w:tcPr>
            <w:tcW w:w="285" w:type="pct"/>
            <w:tcBorders>
              <w:top w:val="single" w:sz="4" w:space="0" w:color="auto"/>
              <w:right w:val="single" w:sz="4" w:space="0" w:color="auto"/>
            </w:tcBorders>
          </w:tcPr>
          <w:p w14:paraId="65E7B011" w14:textId="77777777" w:rsidR="001A70B8" w:rsidRPr="002029AF" w:rsidRDefault="001A70B8" w:rsidP="00A212B4">
            <w:pPr>
              <w:pStyle w:val="ARtabletextright"/>
              <w:shd w:val="clear" w:color="auto" w:fill="FFFFFF" w:themeFill="background1"/>
              <w:spacing w:before="30" w:after="10"/>
            </w:pPr>
            <w:r>
              <w:t>19.1</w:t>
            </w:r>
          </w:p>
        </w:tc>
        <w:tc>
          <w:tcPr>
            <w:tcW w:w="321" w:type="pct"/>
            <w:tcBorders>
              <w:top w:val="single" w:sz="4" w:space="0" w:color="auto"/>
              <w:left w:val="single" w:sz="4" w:space="0" w:color="auto"/>
            </w:tcBorders>
            <w:hideMark/>
          </w:tcPr>
          <w:p w14:paraId="045A5A5D" w14:textId="77777777" w:rsidR="001A70B8" w:rsidRPr="002029AF" w:rsidRDefault="001A70B8" w:rsidP="00A212B4">
            <w:pPr>
              <w:pStyle w:val="ARtabletextright"/>
              <w:shd w:val="clear" w:color="auto" w:fill="FFFFFF" w:themeFill="background1"/>
              <w:spacing w:before="30" w:after="10"/>
            </w:pPr>
            <w:r>
              <w:t>34</w:t>
            </w:r>
          </w:p>
        </w:tc>
        <w:tc>
          <w:tcPr>
            <w:tcW w:w="285" w:type="pct"/>
            <w:tcBorders>
              <w:top w:val="single" w:sz="4" w:space="0" w:color="auto"/>
              <w:right w:val="single" w:sz="4" w:space="0" w:color="auto"/>
            </w:tcBorders>
            <w:hideMark/>
          </w:tcPr>
          <w:p w14:paraId="194961A0" w14:textId="77777777" w:rsidR="001A70B8" w:rsidRPr="002029AF" w:rsidRDefault="001A70B8" w:rsidP="00A212B4">
            <w:pPr>
              <w:pStyle w:val="ARtabletextright"/>
              <w:shd w:val="clear" w:color="auto" w:fill="FFFFFF" w:themeFill="background1"/>
              <w:spacing w:before="30" w:after="10"/>
            </w:pPr>
            <w:r>
              <w:t>31.6</w:t>
            </w:r>
          </w:p>
        </w:tc>
        <w:tc>
          <w:tcPr>
            <w:tcW w:w="284" w:type="pct"/>
            <w:tcBorders>
              <w:top w:val="single" w:sz="4" w:space="0" w:color="auto"/>
              <w:left w:val="single" w:sz="4" w:space="0" w:color="auto"/>
            </w:tcBorders>
            <w:hideMark/>
          </w:tcPr>
          <w:p w14:paraId="2F3307AD" w14:textId="77777777" w:rsidR="001A70B8" w:rsidRPr="002029AF" w:rsidRDefault="001A70B8" w:rsidP="00A212B4">
            <w:pPr>
              <w:pStyle w:val="ARtabletextright"/>
              <w:shd w:val="clear" w:color="auto" w:fill="FFFFFF" w:themeFill="background1"/>
              <w:spacing w:before="30" w:after="10"/>
            </w:pPr>
            <w:r>
              <w:t>20</w:t>
            </w:r>
          </w:p>
        </w:tc>
        <w:tc>
          <w:tcPr>
            <w:tcW w:w="284" w:type="pct"/>
            <w:tcBorders>
              <w:top w:val="single" w:sz="4" w:space="0" w:color="auto"/>
            </w:tcBorders>
            <w:hideMark/>
          </w:tcPr>
          <w:p w14:paraId="53BA3570" w14:textId="77777777" w:rsidR="001A70B8" w:rsidRPr="002029AF" w:rsidRDefault="001A70B8" w:rsidP="00A212B4">
            <w:pPr>
              <w:pStyle w:val="ARtabletextright"/>
              <w:shd w:val="clear" w:color="auto" w:fill="FFFFFF" w:themeFill="background1"/>
              <w:spacing w:before="30" w:after="10"/>
            </w:pPr>
            <w:r>
              <w:t>6</w:t>
            </w:r>
          </w:p>
        </w:tc>
        <w:tc>
          <w:tcPr>
            <w:tcW w:w="286" w:type="pct"/>
            <w:tcBorders>
              <w:top w:val="single" w:sz="4" w:space="0" w:color="auto"/>
              <w:right w:val="single" w:sz="4" w:space="0" w:color="auto"/>
            </w:tcBorders>
            <w:hideMark/>
          </w:tcPr>
          <w:p w14:paraId="29A0EF5E" w14:textId="77777777" w:rsidR="001A70B8" w:rsidRPr="002029AF" w:rsidRDefault="001A70B8" w:rsidP="00A212B4">
            <w:pPr>
              <w:pStyle w:val="ARtabletextright"/>
              <w:shd w:val="clear" w:color="auto" w:fill="FFFFFF" w:themeFill="background1"/>
              <w:spacing w:before="30" w:after="10"/>
            </w:pPr>
            <w:r>
              <w:t>24.0</w:t>
            </w:r>
          </w:p>
        </w:tc>
        <w:tc>
          <w:tcPr>
            <w:tcW w:w="321" w:type="pct"/>
            <w:tcBorders>
              <w:left w:val="single" w:sz="4" w:space="0" w:color="auto"/>
            </w:tcBorders>
            <w:hideMark/>
          </w:tcPr>
          <w:p w14:paraId="1E0BAF49" w14:textId="77777777" w:rsidR="001A70B8" w:rsidRPr="002029AF" w:rsidRDefault="001A70B8" w:rsidP="00A212B4">
            <w:pPr>
              <w:pStyle w:val="ARtabletextright"/>
              <w:shd w:val="clear" w:color="auto" w:fill="FFFFFF" w:themeFill="background1"/>
              <w:spacing w:before="30" w:after="10"/>
            </w:pPr>
            <w:r w:rsidRPr="002029AF" w:rsidDel="00D94774">
              <w:t>8</w:t>
            </w:r>
          </w:p>
        </w:tc>
        <w:tc>
          <w:tcPr>
            <w:tcW w:w="282" w:type="pct"/>
            <w:hideMark/>
          </w:tcPr>
          <w:p w14:paraId="41503798" w14:textId="77777777" w:rsidR="001A70B8" w:rsidRPr="002029AF" w:rsidRDefault="001A70B8" w:rsidP="00A212B4">
            <w:pPr>
              <w:pStyle w:val="ARtabletextright"/>
              <w:shd w:val="clear" w:color="auto" w:fill="FFFFFF" w:themeFill="background1"/>
              <w:spacing w:before="30" w:after="10"/>
            </w:pPr>
            <w:r>
              <w:t>7.6</w:t>
            </w:r>
          </w:p>
        </w:tc>
      </w:tr>
      <w:tr w:rsidR="001A70B8" w:rsidRPr="002029AF" w14:paraId="3E279EC8" w14:textId="77777777" w:rsidTr="00524C5E">
        <w:tc>
          <w:tcPr>
            <w:tcW w:w="867" w:type="pct"/>
            <w:hideMark/>
          </w:tcPr>
          <w:p w14:paraId="4BDE4D37" w14:textId="77777777" w:rsidR="001A70B8" w:rsidRPr="002029AF" w:rsidRDefault="001A70B8" w:rsidP="00A212B4">
            <w:pPr>
              <w:pStyle w:val="ARtabletext"/>
              <w:shd w:val="clear" w:color="auto" w:fill="FFFFFF" w:themeFill="background1"/>
              <w:spacing w:before="30" w:after="10"/>
            </w:pPr>
            <w:r w:rsidRPr="002029AF">
              <w:t>VPS</w:t>
            </w:r>
            <w:r>
              <w:t xml:space="preserve"> </w:t>
            </w:r>
            <w:r w:rsidRPr="002029AF">
              <w:t>5</w:t>
            </w:r>
          </w:p>
        </w:tc>
        <w:tc>
          <w:tcPr>
            <w:tcW w:w="321" w:type="pct"/>
            <w:tcBorders>
              <w:top w:val="single" w:sz="4" w:space="0" w:color="auto"/>
            </w:tcBorders>
          </w:tcPr>
          <w:p w14:paraId="2A450834" w14:textId="77777777" w:rsidR="001A70B8" w:rsidRPr="002029AF" w:rsidRDefault="001A70B8" w:rsidP="00A212B4">
            <w:pPr>
              <w:pStyle w:val="ARtabletextright"/>
              <w:shd w:val="clear" w:color="auto" w:fill="FFFFFF" w:themeFill="background1"/>
              <w:spacing w:before="30" w:after="10"/>
            </w:pPr>
            <w:r>
              <w:t>97</w:t>
            </w:r>
          </w:p>
        </w:tc>
        <w:tc>
          <w:tcPr>
            <w:tcW w:w="289" w:type="pct"/>
            <w:tcBorders>
              <w:top w:val="single" w:sz="4" w:space="0" w:color="auto"/>
              <w:right w:val="single" w:sz="4" w:space="0" w:color="auto"/>
            </w:tcBorders>
          </w:tcPr>
          <w:p w14:paraId="355888D6" w14:textId="77777777" w:rsidR="001A70B8" w:rsidRPr="002029AF" w:rsidRDefault="001A70B8" w:rsidP="00A212B4">
            <w:pPr>
              <w:pStyle w:val="ARtabletextright"/>
              <w:shd w:val="clear" w:color="auto" w:fill="FFFFFF" w:themeFill="background1"/>
              <w:spacing w:before="30" w:after="10"/>
            </w:pPr>
            <w:r>
              <w:t>89.1</w:t>
            </w:r>
          </w:p>
        </w:tc>
        <w:tc>
          <w:tcPr>
            <w:tcW w:w="284" w:type="pct"/>
            <w:tcBorders>
              <w:top w:val="single" w:sz="4" w:space="0" w:color="auto"/>
              <w:left w:val="single" w:sz="4" w:space="0" w:color="auto"/>
            </w:tcBorders>
          </w:tcPr>
          <w:p w14:paraId="20863A55" w14:textId="77777777" w:rsidR="001A70B8" w:rsidRPr="002029AF" w:rsidRDefault="001A70B8" w:rsidP="00A212B4">
            <w:pPr>
              <w:pStyle w:val="ARtabletextright"/>
              <w:shd w:val="clear" w:color="auto" w:fill="FFFFFF" w:themeFill="background1"/>
              <w:spacing w:before="30" w:after="10"/>
            </w:pPr>
            <w:r>
              <w:t>30</w:t>
            </w:r>
          </w:p>
        </w:tc>
        <w:tc>
          <w:tcPr>
            <w:tcW w:w="284" w:type="pct"/>
            <w:tcBorders>
              <w:top w:val="single" w:sz="4" w:space="0" w:color="auto"/>
            </w:tcBorders>
          </w:tcPr>
          <w:p w14:paraId="58789862" w14:textId="77777777" w:rsidR="001A70B8" w:rsidRPr="002029AF" w:rsidRDefault="001A70B8" w:rsidP="00A212B4">
            <w:pPr>
              <w:pStyle w:val="ARtabletextright"/>
              <w:shd w:val="clear" w:color="auto" w:fill="FFFFFF" w:themeFill="background1"/>
              <w:spacing w:before="30" w:after="10"/>
            </w:pPr>
            <w:r>
              <w:t>16</w:t>
            </w:r>
          </w:p>
        </w:tc>
        <w:tc>
          <w:tcPr>
            <w:tcW w:w="286" w:type="pct"/>
            <w:tcBorders>
              <w:top w:val="single" w:sz="4" w:space="0" w:color="auto"/>
              <w:right w:val="single" w:sz="4" w:space="0" w:color="auto"/>
            </w:tcBorders>
          </w:tcPr>
          <w:p w14:paraId="257AC8B6" w14:textId="77777777" w:rsidR="001A70B8" w:rsidRPr="002029AF" w:rsidRDefault="001A70B8" w:rsidP="00A212B4">
            <w:pPr>
              <w:pStyle w:val="ARtabletextright"/>
              <w:shd w:val="clear" w:color="auto" w:fill="FFFFFF" w:themeFill="background1"/>
              <w:spacing w:before="30" w:after="10"/>
            </w:pPr>
            <w:r>
              <w:t>41.3</w:t>
            </w:r>
          </w:p>
        </w:tc>
        <w:tc>
          <w:tcPr>
            <w:tcW w:w="321" w:type="pct"/>
            <w:tcBorders>
              <w:top w:val="single" w:sz="4" w:space="0" w:color="auto"/>
              <w:left w:val="single" w:sz="4" w:space="0" w:color="auto"/>
            </w:tcBorders>
          </w:tcPr>
          <w:p w14:paraId="7272B12D" w14:textId="77777777" w:rsidR="001A70B8" w:rsidRPr="002029AF" w:rsidRDefault="001A70B8" w:rsidP="00A212B4">
            <w:pPr>
              <w:pStyle w:val="ARtabletextright"/>
              <w:shd w:val="clear" w:color="auto" w:fill="FFFFFF" w:themeFill="background1"/>
              <w:spacing w:before="30" w:after="10"/>
            </w:pPr>
            <w:r>
              <w:t>51</w:t>
            </w:r>
          </w:p>
        </w:tc>
        <w:tc>
          <w:tcPr>
            <w:tcW w:w="285" w:type="pct"/>
            <w:tcBorders>
              <w:top w:val="single" w:sz="4" w:space="0" w:color="auto"/>
              <w:right w:val="single" w:sz="4" w:space="0" w:color="auto"/>
            </w:tcBorders>
          </w:tcPr>
          <w:p w14:paraId="3503FAFE" w14:textId="77777777" w:rsidR="001A70B8" w:rsidRPr="002029AF" w:rsidRDefault="001A70B8" w:rsidP="00A212B4">
            <w:pPr>
              <w:pStyle w:val="ARtabletextright"/>
              <w:shd w:val="clear" w:color="auto" w:fill="FFFFFF" w:themeFill="background1"/>
              <w:spacing w:before="30" w:after="10"/>
            </w:pPr>
            <w:r>
              <w:t>47.8</w:t>
            </w:r>
          </w:p>
        </w:tc>
        <w:tc>
          <w:tcPr>
            <w:tcW w:w="321" w:type="pct"/>
            <w:tcBorders>
              <w:top w:val="single" w:sz="4" w:space="0" w:color="auto"/>
              <w:left w:val="single" w:sz="4" w:space="0" w:color="auto"/>
            </w:tcBorders>
            <w:hideMark/>
          </w:tcPr>
          <w:p w14:paraId="74C0AE79" w14:textId="77777777" w:rsidR="001A70B8" w:rsidRPr="002029AF" w:rsidRDefault="001A70B8" w:rsidP="00A212B4">
            <w:pPr>
              <w:pStyle w:val="ARtabletextright"/>
              <w:shd w:val="clear" w:color="auto" w:fill="FFFFFF" w:themeFill="background1"/>
              <w:spacing w:before="30" w:after="10"/>
            </w:pPr>
            <w:r>
              <w:t>71</w:t>
            </w:r>
          </w:p>
        </w:tc>
        <w:tc>
          <w:tcPr>
            <w:tcW w:w="285" w:type="pct"/>
            <w:tcBorders>
              <w:top w:val="single" w:sz="4" w:space="0" w:color="auto"/>
              <w:right w:val="single" w:sz="4" w:space="0" w:color="auto"/>
            </w:tcBorders>
            <w:hideMark/>
          </w:tcPr>
          <w:p w14:paraId="1EF24DBF" w14:textId="77777777" w:rsidR="001A70B8" w:rsidRPr="002029AF" w:rsidRDefault="001A70B8" w:rsidP="00A212B4">
            <w:pPr>
              <w:pStyle w:val="ARtabletextright"/>
              <w:shd w:val="clear" w:color="auto" w:fill="FFFFFF" w:themeFill="background1"/>
              <w:spacing w:before="30" w:after="10"/>
            </w:pPr>
            <w:r>
              <w:t>65.4</w:t>
            </w:r>
          </w:p>
        </w:tc>
        <w:tc>
          <w:tcPr>
            <w:tcW w:w="284" w:type="pct"/>
            <w:tcBorders>
              <w:top w:val="single" w:sz="4" w:space="0" w:color="auto"/>
              <w:left w:val="single" w:sz="4" w:space="0" w:color="auto"/>
            </w:tcBorders>
            <w:hideMark/>
          </w:tcPr>
          <w:p w14:paraId="509D608B" w14:textId="77777777" w:rsidR="001A70B8" w:rsidRPr="002029AF" w:rsidRDefault="001A70B8" w:rsidP="00A212B4">
            <w:pPr>
              <w:pStyle w:val="ARtabletextright"/>
              <w:shd w:val="clear" w:color="auto" w:fill="FFFFFF" w:themeFill="background1"/>
              <w:spacing w:before="30" w:after="10"/>
            </w:pPr>
            <w:r>
              <w:t>37</w:t>
            </w:r>
          </w:p>
        </w:tc>
        <w:tc>
          <w:tcPr>
            <w:tcW w:w="284" w:type="pct"/>
            <w:tcBorders>
              <w:top w:val="single" w:sz="4" w:space="0" w:color="auto"/>
            </w:tcBorders>
            <w:hideMark/>
          </w:tcPr>
          <w:p w14:paraId="408D8B43" w14:textId="77777777" w:rsidR="001A70B8" w:rsidRPr="002029AF" w:rsidRDefault="001A70B8" w:rsidP="00A212B4">
            <w:pPr>
              <w:pStyle w:val="ARtabletextright"/>
              <w:shd w:val="clear" w:color="auto" w:fill="FFFFFF" w:themeFill="background1"/>
              <w:spacing w:before="30" w:after="10"/>
            </w:pPr>
            <w:r>
              <w:t>18</w:t>
            </w:r>
          </w:p>
        </w:tc>
        <w:tc>
          <w:tcPr>
            <w:tcW w:w="286" w:type="pct"/>
            <w:tcBorders>
              <w:top w:val="single" w:sz="4" w:space="0" w:color="auto"/>
              <w:right w:val="single" w:sz="4" w:space="0" w:color="auto"/>
            </w:tcBorders>
            <w:hideMark/>
          </w:tcPr>
          <w:p w14:paraId="11247038" w14:textId="77777777" w:rsidR="001A70B8" w:rsidRPr="002029AF" w:rsidRDefault="001A70B8" w:rsidP="00A212B4">
            <w:pPr>
              <w:pStyle w:val="ARtabletextright"/>
              <w:shd w:val="clear" w:color="auto" w:fill="FFFFFF" w:themeFill="background1"/>
              <w:spacing w:before="30" w:after="10"/>
            </w:pPr>
            <w:r>
              <w:t>50.9</w:t>
            </w:r>
          </w:p>
        </w:tc>
        <w:tc>
          <w:tcPr>
            <w:tcW w:w="321" w:type="pct"/>
            <w:tcBorders>
              <w:left w:val="single" w:sz="4" w:space="0" w:color="auto"/>
            </w:tcBorders>
            <w:hideMark/>
          </w:tcPr>
          <w:p w14:paraId="3DF1D6E1" w14:textId="77777777" w:rsidR="001A70B8" w:rsidRPr="002029AF" w:rsidRDefault="001A70B8" w:rsidP="00A212B4">
            <w:pPr>
              <w:pStyle w:val="ARtabletextright"/>
              <w:shd w:val="clear" w:color="auto" w:fill="FFFFFF" w:themeFill="background1"/>
              <w:spacing w:before="30" w:after="10"/>
            </w:pPr>
            <w:r>
              <w:t>16</w:t>
            </w:r>
          </w:p>
        </w:tc>
        <w:tc>
          <w:tcPr>
            <w:tcW w:w="282" w:type="pct"/>
            <w:hideMark/>
          </w:tcPr>
          <w:p w14:paraId="01CD5AF8" w14:textId="77777777" w:rsidR="001A70B8" w:rsidRPr="002029AF" w:rsidRDefault="001A70B8" w:rsidP="00A212B4">
            <w:pPr>
              <w:pStyle w:val="ARtabletextright"/>
              <w:shd w:val="clear" w:color="auto" w:fill="FFFFFF" w:themeFill="background1"/>
              <w:spacing w:before="30" w:after="10"/>
            </w:pPr>
            <w:r>
              <w:t>14.5</w:t>
            </w:r>
          </w:p>
        </w:tc>
      </w:tr>
      <w:tr w:rsidR="001A70B8" w:rsidRPr="002029AF" w14:paraId="79BA8EFA" w14:textId="77777777" w:rsidTr="00524C5E">
        <w:tc>
          <w:tcPr>
            <w:tcW w:w="867" w:type="pct"/>
            <w:hideMark/>
          </w:tcPr>
          <w:p w14:paraId="11032B77" w14:textId="77777777" w:rsidR="001A70B8" w:rsidRPr="002029AF" w:rsidRDefault="001A70B8" w:rsidP="00A212B4">
            <w:pPr>
              <w:pStyle w:val="ARtabletext"/>
              <w:shd w:val="clear" w:color="auto" w:fill="FFFFFF" w:themeFill="background1"/>
              <w:spacing w:before="30" w:after="10"/>
            </w:pPr>
            <w:r w:rsidRPr="002029AF">
              <w:t>VPS</w:t>
            </w:r>
            <w:r>
              <w:t xml:space="preserve"> </w:t>
            </w:r>
            <w:r w:rsidRPr="002029AF">
              <w:t>6</w:t>
            </w:r>
          </w:p>
        </w:tc>
        <w:tc>
          <w:tcPr>
            <w:tcW w:w="321" w:type="pct"/>
            <w:tcBorders>
              <w:top w:val="single" w:sz="4" w:space="0" w:color="auto"/>
            </w:tcBorders>
          </w:tcPr>
          <w:p w14:paraId="41A71F51" w14:textId="77777777" w:rsidR="001A70B8" w:rsidRPr="002029AF" w:rsidRDefault="001A70B8" w:rsidP="00A212B4">
            <w:pPr>
              <w:pStyle w:val="ARtabletextright"/>
              <w:shd w:val="clear" w:color="auto" w:fill="FFFFFF" w:themeFill="background1"/>
              <w:spacing w:before="30" w:after="10"/>
            </w:pPr>
            <w:r>
              <w:t>28</w:t>
            </w:r>
          </w:p>
        </w:tc>
        <w:tc>
          <w:tcPr>
            <w:tcW w:w="289" w:type="pct"/>
            <w:tcBorders>
              <w:top w:val="single" w:sz="4" w:space="0" w:color="auto"/>
              <w:right w:val="single" w:sz="4" w:space="0" w:color="auto"/>
            </w:tcBorders>
          </w:tcPr>
          <w:p w14:paraId="43692AE9" w14:textId="77777777" w:rsidR="001A70B8" w:rsidRPr="002029AF" w:rsidRDefault="001A70B8" w:rsidP="00A212B4">
            <w:pPr>
              <w:pStyle w:val="ARtabletextright"/>
              <w:shd w:val="clear" w:color="auto" w:fill="FFFFFF" w:themeFill="background1"/>
              <w:spacing w:before="30" w:after="10"/>
            </w:pPr>
            <w:r>
              <w:t>26.2</w:t>
            </w:r>
          </w:p>
        </w:tc>
        <w:tc>
          <w:tcPr>
            <w:tcW w:w="284" w:type="pct"/>
            <w:tcBorders>
              <w:top w:val="single" w:sz="4" w:space="0" w:color="auto"/>
              <w:left w:val="single" w:sz="4" w:space="0" w:color="auto"/>
            </w:tcBorders>
          </w:tcPr>
          <w:p w14:paraId="34A0073C" w14:textId="77777777" w:rsidR="001A70B8" w:rsidRPr="002029AF" w:rsidRDefault="001A70B8" w:rsidP="00A212B4">
            <w:pPr>
              <w:pStyle w:val="ARtabletextright"/>
              <w:shd w:val="clear" w:color="auto" w:fill="FFFFFF" w:themeFill="background1"/>
              <w:spacing w:before="30" w:after="10"/>
            </w:pPr>
            <w:r>
              <w:t>13</w:t>
            </w:r>
          </w:p>
        </w:tc>
        <w:tc>
          <w:tcPr>
            <w:tcW w:w="284" w:type="pct"/>
            <w:tcBorders>
              <w:top w:val="single" w:sz="4" w:space="0" w:color="auto"/>
            </w:tcBorders>
          </w:tcPr>
          <w:p w14:paraId="7A42536C" w14:textId="77777777" w:rsidR="001A70B8" w:rsidRPr="002029AF" w:rsidRDefault="001A70B8" w:rsidP="00A212B4">
            <w:pPr>
              <w:pStyle w:val="ARtabletextright"/>
              <w:shd w:val="clear" w:color="auto" w:fill="FFFFFF" w:themeFill="background1"/>
              <w:spacing w:before="30" w:after="10"/>
            </w:pPr>
            <w:r>
              <w:t>2</w:t>
            </w:r>
          </w:p>
        </w:tc>
        <w:tc>
          <w:tcPr>
            <w:tcW w:w="286" w:type="pct"/>
            <w:tcBorders>
              <w:top w:val="single" w:sz="4" w:space="0" w:color="auto"/>
              <w:right w:val="single" w:sz="4" w:space="0" w:color="auto"/>
            </w:tcBorders>
          </w:tcPr>
          <w:p w14:paraId="5D875323" w14:textId="77777777" w:rsidR="001A70B8" w:rsidRPr="002029AF" w:rsidRDefault="001A70B8" w:rsidP="00A212B4">
            <w:pPr>
              <w:pStyle w:val="ARtabletextright"/>
              <w:shd w:val="clear" w:color="auto" w:fill="FFFFFF" w:themeFill="background1"/>
              <w:spacing w:before="30" w:after="10"/>
            </w:pPr>
            <w:r>
              <w:t>14.1</w:t>
            </w:r>
          </w:p>
        </w:tc>
        <w:tc>
          <w:tcPr>
            <w:tcW w:w="321" w:type="pct"/>
            <w:tcBorders>
              <w:top w:val="single" w:sz="4" w:space="0" w:color="auto"/>
              <w:left w:val="single" w:sz="4" w:space="0" w:color="auto"/>
            </w:tcBorders>
          </w:tcPr>
          <w:p w14:paraId="2B8D5E20" w14:textId="77777777" w:rsidR="001A70B8" w:rsidRPr="002029AF" w:rsidRDefault="001A70B8" w:rsidP="00A212B4">
            <w:pPr>
              <w:pStyle w:val="ARtabletextright"/>
              <w:shd w:val="clear" w:color="auto" w:fill="FFFFFF" w:themeFill="background1"/>
              <w:spacing w:before="30" w:after="10"/>
            </w:pPr>
            <w:r>
              <w:t>13</w:t>
            </w:r>
          </w:p>
        </w:tc>
        <w:tc>
          <w:tcPr>
            <w:tcW w:w="285" w:type="pct"/>
            <w:tcBorders>
              <w:top w:val="single" w:sz="4" w:space="0" w:color="auto"/>
              <w:right w:val="single" w:sz="4" w:space="0" w:color="auto"/>
            </w:tcBorders>
          </w:tcPr>
          <w:p w14:paraId="6960C77E" w14:textId="77777777" w:rsidR="001A70B8" w:rsidRPr="002029AF" w:rsidRDefault="001A70B8" w:rsidP="00A212B4">
            <w:pPr>
              <w:pStyle w:val="ARtabletextright"/>
              <w:shd w:val="clear" w:color="auto" w:fill="FFFFFF" w:themeFill="background1"/>
              <w:spacing w:before="30" w:after="10"/>
            </w:pPr>
            <w:r>
              <w:t>12.1</w:t>
            </w:r>
          </w:p>
        </w:tc>
        <w:tc>
          <w:tcPr>
            <w:tcW w:w="321" w:type="pct"/>
            <w:tcBorders>
              <w:top w:val="single" w:sz="4" w:space="0" w:color="auto"/>
              <w:left w:val="single" w:sz="4" w:space="0" w:color="auto"/>
            </w:tcBorders>
            <w:hideMark/>
          </w:tcPr>
          <w:p w14:paraId="40D20CC2" w14:textId="77777777" w:rsidR="001A70B8" w:rsidRPr="002029AF" w:rsidRDefault="001A70B8" w:rsidP="00A212B4">
            <w:pPr>
              <w:pStyle w:val="ARtabletextright"/>
              <w:shd w:val="clear" w:color="auto" w:fill="FFFFFF" w:themeFill="background1"/>
              <w:spacing w:before="30" w:after="10"/>
            </w:pPr>
            <w:r>
              <w:t>26</w:t>
            </w:r>
          </w:p>
        </w:tc>
        <w:tc>
          <w:tcPr>
            <w:tcW w:w="285" w:type="pct"/>
            <w:tcBorders>
              <w:top w:val="single" w:sz="4" w:space="0" w:color="auto"/>
              <w:right w:val="single" w:sz="4" w:space="0" w:color="auto"/>
            </w:tcBorders>
            <w:hideMark/>
          </w:tcPr>
          <w:p w14:paraId="55403C1A" w14:textId="77777777" w:rsidR="001A70B8" w:rsidRPr="002029AF" w:rsidRDefault="001A70B8" w:rsidP="00A212B4">
            <w:pPr>
              <w:pStyle w:val="ARtabletextright"/>
              <w:shd w:val="clear" w:color="auto" w:fill="FFFFFF" w:themeFill="background1"/>
              <w:spacing w:before="30" w:after="10"/>
            </w:pPr>
            <w:r>
              <w:t>23.7</w:t>
            </w:r>
          </w:p>
        </w:tc>
        <w:tc>
          <w:tcPr>
            <w:tcW w:w="284" w:type="pct"/>
            <w:tcBorders>
              <w:top w:val="single" w:sz="4" w:space="0" w:color="auto"/>
              <w:left w:val="single" w:sz="4" w:space="0" w:color="auto"/>
            </w:tcBorders>
            <w:hideMark/>
          </w:tcPr>
          <w:p w14:paraId="1C4E922E" w14:textId="77777777" w:rsidR="001A70B8" w:rsidRPr="002029AF" w:rsidRDefault="001A70B8" w:rsidP="00A212B4">
            <w:pPr>
              <w:pStyle w:val="ARtabletextright"/>
              <w:shd w:val="clear" w:color="auto" w:fill="FFFFFF" w:themeFill="background1"/>
              <w:spacing w:before="30" w:after="10"/>
            </w:pPr>
            <w:r>
              <w:t>18</w:t>
            </w:r>
          </w:p>
        </w:tc>
        <w:tc>
          <w:tcPr>
            <w:tcW w:w="284" w:type="pct"/>
            <w:tcBorders>
              <w:top w:val="single" w:sz="4" w:space="0" w:color="auto"/>
            </w:tcBorders>
            <w:hideMark/>
          </w:tcPr>
          <w:p w14:paraId="0D4AB54C" w14:textId="77777777" w:rsidR="001A70B8" w:rsidRPr="002029AF" w:rsidRDefault="001A70B8" w:rsidP="00A212B4">
            <w:pPr>
              <w:pStyle w:val="ARtabletextright"/>
              <w:shd w:val="clear" w:color="auto" w:fill="FFFFFF" w:themeFill="background1"/>
              <w:spacing w:before="30" w:after="10"/>
            </w:pPr>
            <w:r>
              <w:t>4</w:t>
            </w:r>
          </w:p>
        </w:tc>
        <w:tc>
          <w:tcPr>
            <w:tcW w:w="286" w:type="pct"/>
            <w:tcBorders>
              <w:top w:val="single" w:sz="4" w:space="0" w:color="auto"/>
              <w:right w:val="single" w:sz="4" w:space="0" w:color="auto"/>
            </w:tcBorders>
            <w:hideMark/>
          </w:tcPr>
          <w:p w14:paraId="0619DC23" w14:textId="77777777" w:rsidR="001A70B8" w:rsidRPr="002029AF" w:rsidRDefault="001A70B8" w:rsidP="00A212B4">
            <w:pPr>
              <w:pStyle w:val="ARtabletextright"/>
              <w:shd w:val="clear" w:color="auto" w:fill="FFFFFF" w:themeFill="background1"/>
              <w:spacing w:before="30" w:after="10"/>
            </w:pPr>
            <w:r w:rsidRPr="002029AF" w:rsidDel="002E0A18">
              <w:t>20.</w:t>
            </w:r>
            <w:r>
              <w:t>3</w:t>
            </w:r>
          </w:p>
        </w:tc>
        <w:tc>
          <w:tcPr>
            <w:tcW w:w="321" w:type="pct"/>
            <w:tcBorders>
              <w:left w:val="single" w:sz="4" w:space="0" w:color="auto"/>
            </w:tcBorders>
            <w:hideMark/>
          </w:tcPr>
          <w:p w14:paraId="291ECEAF" w14:textId="77777777" w:rsidR="001A70B8" w:rsidRPr="002029AF" w:rsidRDefault="001A70B8" w:rsidP="00A212B4">
            <w:pPr>
              <w:pStyle w:val="ARtabletextright"/>
              <w:shd w:val="clear" w:color="auto" w:fill="FFFFFF" w:themeFill="background1"/>
              <w:spacing w:before="30" w:after="10"/>
            </w:pPr>
            <w:r>
              <w:t>4</w:t>
            </w:r>
          </w:p>
        </w:tc>
        <w:tc>
          <w:tcPr>
            <w:tcW w:w="282" w:type="pct"/>
            <w:hideMark/>
          </w:tcPr>
          <w:p w14:paraId="1DEBCA3F" w14:textId="77777777" w:rsidR="001A70B8" w:rsidRPr="002029AF" w:rsidRDefault="001A70B8" w:rsidP="00A212B4">
            <w:pPr>
              <w:pStyle w:val="ARtabletextright"/>
              <w:shd w:val="clear" w:color="auto" w:fill="FFFFFF" w:themeFill="background1"/>
              <w:spacing w:before="30" w:after="10"/>
            </w:pPr>
            <w:r>
              <w:t>3.4</w:t>
            </w:r>
          </w:p>
        </w:tc>
      </w:tr>
      <w:tr w:rsidR="001A70B8" w:rsidRPr="002029AF" w14:paraId="1EF96446" w14:textId="77777777" w:rsidTr="00524C5E">
        <w:tc>
          <w:tcPr>
            <w:tcW w:w="867" w:type="pct"/>
          </w:tcPr>
          <w:p w14:paraId="050C0097" w14:textId="77777777" w:rsidR="001A70B8" w:rsidRPr="002029AF" w:rsidRDefault="001A70B8" w:rsidP="00A212B4">
            <w:pPr>
              <w:pStyle w:val="ARtabletext"/>
              <w:shd w:val="clear" w:color="auto" w:fill="FFFFFF" w:themeFill="background1"/>
              <w:spacing w:before="30" w:after="10"/>
            </w:pPr>
            <w:r>
              <w:t>SMA</w:t>
            </w:r>
            <w:r w:rsidRPr="007314FC">
              <w:rPr>
                <w:rStyle w:val="FootnoteReference"/>
              </w:rPr>
              <w:t>(</w:t>
            </w:r>
            <w:r>
              <w:rPr>
                <w:rStyle w:val="FootnoteReference"/>
              </w:rPr>
              <w:footnoteReference w:id="28"/>
            </w:r>
            <w:r w:rsidRPr="007314FC">
              <w:rPr>
                <w:rStyle w:val="FootnoteReference"/>
              </w:rPr>
              <w:t>)</w:t>
            </w:r>
          </w:p>
        </w:tc>
        <w:tc>
          <w:tcPr>
            <w:tcW w:w="321" w:type="pct"/>
            <w:tcBorders>
              <w:top w:val="single" w:sz="4" w:space="0" w:color="auto"/>
            </w:tcBorders>
          </w:tcPr>
          <w:p w14:paraId="387F4665" w14:textId="77777777" w:rsidR="001A70B8" w:rsidRDefault="001A70B8" w:rsidP="00A212B4">
            <w:pPr>
              <w:pStyle w:val="ARtabletextright"/>
              <w:shd w:val="clear" w:color="auto" w:fill="FFFFFF" w:themeFill="background1"/>
              <w:spacing w:before="30" w:after="10"/>
            </w:pPr>
            <w:r>
              <w:t>1</w:t>
            </w:r>
          </w:p>
        </w:tc>
        <w:tc>
          <w:tcPr>
            <w:tcW w:w="289" w:type="pct"/>
            <w:tcBorders>
              <w:top w:val="single" w:sz="4" w:space="0" w:color="auto"/>
              <w:right w:val="single" w:sz="4" w:space="0" w:color="auto"/>
            </w:tcBorders>
          </w:tcPr>
          <w:p w14:paraId="05BC6A9C" w14:textId="77777777" w:rsidR="001A70B8" w:rsidRDefault="001A70B8" w:rsidP="00A212B4">
            <w:pPr>
              <w:pStyle w:val="ARtabletextright"/>
              <w:shd w:val="clear" w:color="auto" w:fill="FFFFFF" w:themeFill="background1"/>
              <w:spacing w:before="30" w:after="10"/>
            </w:pPr>
            <w:r>
              <w:t>1.0</w:t>
            </w:r>
          </w:p>
        </w:tc>
        <w:tc>
          <w:tcPr>
            <w:tcW w:w="284" w:type="pct"/>
            <w:tcBorders>
              <w:top w:val="single" w:sz="4" w:space="0" w:color="auto"/>
              <w:left w:val="single" w:sz="4" w:space="0" w:color="auto"/>
            </w:tcBorders>
          </w:tcPr>
          <w:p w14:paraId="285294F3" w14:textId="77777777" w:rsidR="001A70B8" w:rsidRDefault="001A70B8" w:rsidP="00A212B4">
            <w:pPr>
              <w:pStyle w:val="ARtabletextright"/>
              <w:shd w:val="clear" w:color="auto" w:fill="FFFFFF" w:themeFill="background1"/>
              <w:spacing w:before="30" w:after="10"/>
            </w:pPr>
            <w:r>
              <w:t>0</w:t>
            </w:r>
          </w:p>
        </w:tc>
        <w:tc>
          <w:tcPr>
            <w:tcW w:w="284" w:type="pct"/>
            <w:tcBorders>
              <w:top w:val="single" w:sz="4" w:space="0" w:color="auto"/>
            </w:tcBorders>
          </w:tcPr>
          <w:p w14:paraId="0329038D" w14:textId="77777777" w:rsidR="001A70B8" w:rsidRDefault="001A70B8" w:rsidP="00A212B4">
            <w:pPr>
              <w:pStyle w:val="ARtabletextright"/>
              <w:shd w:val="clear" w:color="auto" w:fill="FFFFFF" w:themeFill="background1"/>
              <w:spacing w:before="30" w:after="10"/>
            </w:pPr>
            <w:r>
              <w:t>0</w:t>
            </w:r>
          </w:p>
        </w:tc>
        <w:tc>
          <w:tcPr>
            <w:tcW w:w="286" w:type="pct"/>
            <w:tcBorders>
              <w:top w:val="single" w:sz="4" w:space="0" w:color="auto"/>
              <w:right w:val="single" w:sz="4" w:space="0" w:color="auto"/>
            </w:tcBorders>
          </w:tcPr>
          <w:p w14:paraId="5779E075" w14:textId="77777777" w:rsidR="001A70B8" w:rsidRDefault="001A70B8" w:rsidP="00A212B4">
            <w:pPr>
              <w:pStyle w:val="ARtabletextright"/>
              <w:shd w:val="clear" w:color="auto" w:fill="FFFFFF" w:themeFill="background1"/>
              <w:spacing w:before="30" w:after="10"/>
            </w:pPr>
            <w:r>
              <w:t>0.0</w:t>
            </w:r>
          </w:p>
        </w:tc>
        <w:tc>
          <w:tcPr>
            <w:tcW w:w="321" w:type="pct"/>
            <w:tcBorders>
              <w:top w:val="single" w:sz="4" w:space="0" w:color="auto"/>
              <w:left w:val="single" w:sz="4" w:space="0" w:color="auto"/>
            </w:tcBorders>
          </w:tcPr>
          <w:p w14:paraId="79A4D719" w14:textId="77777777" w:rsidR="001A70B8" w:rsidRDefault="001A70B8" w:rsidP="00A212B4">
            <w:pPr>
              <w:pStyle w:val="ARtabletextright"/>
              <w:shd w:val="clear" w:color="auto" w:fill="FFFFFF" w:themeFill="background1"/>
              <w:spacing w:before="30" w:after="10"/>
            </w:pPr>
            <w:r>
              <w:t>1</w:t>
            </w:r>
          </w:p>
        </w:tc>
        <w:tc>
          <w:tcPr>
            <w:tcW w:w="285" w:type="pct"/>
            <w:tcBorders>
              <w:top w:val="single" w:sz="4" w:space="0" w:color="auto"/>
              <w:right w:val="single" w:sz="4" w:space="0" w:color="auto"/>
            </w:tcBorders>
          </w:tcPr>
          <w:p w14:paraId="43DCCED2" w14:textId="77777777" w:rsidR="001A70B8" w:rsidRDefault="001A70B8" w:rsidP="00A212B4">
            <w:pPr>
              <w:pStyle w:val="ARtabletextright"/>
              <w:shd w:val="clear" w:color="auto" w:fill="FFFFFF" w:themeFill="background1"/>
              <w:spacing w:before="30" w:after="10"/>
            </w:pPr>
            <w:r>
              <w:t>1.0</w:t>
            </w:r>
          </w:p>
        </w:tc>
        <w:tc>
          <w:tcPr>
            <w:tcW w:w="321" w:type="pct"/>
            <w:tcBorders>
              <w:top w:val="single" w:sz="4" w:space="0" w:color="auto"/>
              <w:left w:val="single" w:sz="4" w:space="0" w:color="auto"/>
            </w:tcBorders>
          </w:tcPr>
          <w:p w14:paraId="08F727FB" w14:textId="77777777" w:rsidR="001A70B8" w:rsidRPr="002029AF" w:rsidRDefault="001A70B8" w:rsidP="00A212B4">
            <w:pPr>
              <w:pStyle w:val="ARtabletextright"/>
              <w:shd w:val="clear" w:color="auto" w:fill="FFFFFF" w:themeFill="background1"/>
              <w:spacing w:before="30" w:after="10"/>
            </w:pPr>
            <w:r>
              <w:t>1</w:t>
            </w:r>
          </w:p>
        </w:tc>
        <w:tc>
          <w:tcPr>
            <w:tcW w:w="285" w:type="pct"/>
            <w:tcBorders>
              <w:top w:val="single" w:sz="4" w:space="0" w:color="auto"/>
              <w:right w:val="single" w:sz="4" w:space="0" w:color="auto"/>
            </w:tcBorders>
          </w:tcPr>
          <w:p w14:paraId="0CC58BEC" w14:textId="77777777" w:rsidR="001A70B8" w:rsidRPr="002029AF" w:rsidRDefault="001A70B8" w:rsidP="00A212B4">
            <w:pPr>
              <w:pStyle w:val="ARtabletextright"/>
              <w:shd w:val="clear" w:color="auto" w:fill="FFFFFF" w:themeFill="background1"/>
              <w:spacing w:before="30" w:after="10"/>
            </w:pPr>
            <w:r>
              <w:t>1.0</w:t>
            </w:r>
          </w:p>
        </w:tc>
        <w:tc>
          <w:tcPr>
            <w:tcW w:w="284" w:type="pct"/>
            <w:tcBorders>
              <w:top w:val="single" w:sz="4" w:space="0" w:color="auto"/>
              <w:left w:val="single" w:sz="4" w:space="0" w:color="auto"/>
            </w:tcBorders>
          </w:tcPr>
          <w:p w14:paraId="11959801" w14:textId="77777777" w:rsidR="001A70B8" w:rsidRPr="002029AF" w:rsidRDefault="001A70B8" w:rsidP="00A212B4">
            <w:pPr>
              <w:pStyle w:val="ARtabletextright"/>
              <w:shd w:val="clear" w:color="auto" w:fill="FFFFFF" w:themeFill="background1"/>
              <w:spacing w:before="30" w:after="10"/>
            </w:pPr>
            <w:r>
              <w:t>0</w:t>
            </w:r>
          </w:p>
        </w:tc>
        <w:tc>
          <w:tcPr>
            <w:tcW w:w="284" w:type="pct"/>
            <w:tcBorders>
              <w:top w:val="single" w:sz="4" w:space="0" w:color="auto"/>
            </w:tcBorders>
          </w:tcPr>
          <w:p w14:paraId="32F52BD7" w14:textId="77777777" w:rsidR="001A70B8" w:rsidRPr="002029AF" w:rsidRDefault="001A70B8" w:rsidP="00A212B4">
            <w:pPr>
              <w:pStyle w:val="ARtabletextright"/>
              <w:shd w:val="clear" w:color="auto" w:fill="FFFFFF" w:themeFill="background1"/>
              <w:spacing w:before="30" w:after="10"/>
            </w:pPr>
            <w:r>
              <w:t>0</w:t>
            </w:r>
          </w:p>
        </w:tc>
        <w:tc>
          <w:tcPr>
            <w:tcW w:w="286" w:type="pct"/>
            <w:tcBorders>
              <w:top w:val="single" w:sz="4" w:space="0" w:color="auto"/>
              <w:right w:val="single" w:sz="4" w:space="0" w:color="auto"/>
            </w:tcBorders>
          </w:tcPr>
          <w:p w14:paraId="029FA9E8" w14:textId="77777777" w:rsidR="001A70B8" w:rsidRPr="002029AF" w:rsidRDefault="001A70B8" w:rsidP="00A212B4">
            <w:pPr>
              <w:pStyle w:val="ARtabletextright"/>
              <w:shd w:val="clear" w:color="auto" w:fill="FFFFFF" w:themeFill="background1"/>
              <w:spacing w:before="30" w:after="10"/>
            </w:pPr>
            <w:r>
              <w:t>0.0</w:t>
            </w:r>
          </w:p>
        </w:tc>
        <w:tc>
          <w:tcPr>
            <w:tcW w:w="321" w:type="pct"/>
            <w:tcBorders>
              <w:left w:val="single" w:sz="4" w:space="0" w:color="auto"/>
            </w:tcBorders>
          </w:tcPr>
          <w:p w14:paraId="4245D1BE" w14:textId="77777777" w:rsidR="001A70B8" w:rsidRPr="002029AF" w:rsidRDefault="001A70B8" w:rsidP="00A212B4">
            <w:pPr>
              <w:pStyle w:val="ARtabletextright"/>
              <w:shd w:val="clear" w:color="auto" w:fill="FFFFFF" w:themeFill="background1"/>
              <w:spacing w:before="30" w:after="10"/>
            </w:pPr>
            <w:r>
              <w:t>1</w:t>
            </w:r>
          </w:p>
        </w:tc>
        <w:tc>
          <w:tcPr>
            <w:tcW w:w="282" w:type="pct"/>
          </w:tcPr>
          <w:p w14:paraId="0B8C432A" w14:textId="77777777" w:rsidR="001A70B8" w:rsidRPr="002029AF" w:rsidRDefault="001A70B8" w:rsidP="00A212B4">
            <w:pPr>
              <w:pStyle w:val="ARtabletextright"/>
              <w:shd w:val="clear" w:color="auto" w:fill="FFFFFF" w:themeFill="background1"/>
              <w:spacing w:before="30" w:after="10"/>
            </w:pPr>
            <w:r>
              <w:t>1.0</w:t>
            </w:r>
          </w:p>
        </w:tc>
      </w:tr>
      <w:tr w:rsidR="001A70B8" w:rsidRPr="002029AF" w14:paraId="50B4B153" w14:textId="77777777" w:rsidTr="00524C5E">
        <w:tc>
          <w:tcPr>
            <w:tcW w:w="867" w:type="pct"/>
            <w:hideMark/>
          </w:tcPr>
          <w:p w14:paraId="608885E1" w14:textId="77777777" w:rsidR="001A70B8" w:rsidRPr="002029AF" w:rsidRDefault="001A70B8" w:rsidP="00A212B4">
            <w:pPr>
              <w:pStyle w:val="ARtabletext"/>
              <w:shd w:val="clear" w:color="auto" w:fill="FFFFFF" w:themeFill="background1"/>
              <w:spacing w:before="30" w:after="10"/>
            </w:pPr>
            <w:r w:rsidRPr="002029AF">
              <w:t>STS</w:t>
            </w:r>
            <w:r w:rsidRPr="007314FC">
              <w:rPr>
                <w:rStyle w:val="FootnoteReference"/>
              </w:rPr>
              <w:t>(</w:t>
            </w:r>
            <w:r>
              <w:rPr>
                <w:rStyle w:val="FootnoteReference"/>
              </w:rPr>
              <w:footnoteReference w:id="29"/>
            </w:r>
            <w:r w:rsidRPr="007314FC">
              <w:rPr>
                <w:rStyle w:val="FootnoteReference"/>
              </w:rPr>
              <w:t>)</w:t>
            </w:r>
          </w:p>
        </w:tc>
        <w:tc>
          <w:tcPr>
            <w:tcW w:w="321" w:type="pct"/>
            <w:tcBorders>
              <w:top w:val="single" w:sz="4" w:space="0" w:color="auto"/>
            </w:tcBorders>
          </w:tcPr>
          <w:p w14:paraId="7084E845" w14:textId="77777777" w:rsidR="001A70B8" w:rsidRPr="002029AF" w:rsidRDefault="001A70B8" w:rsidP="00A212B4">
            <w:pPr>
              <w:pStyle w:val="ARtabletextright"/>
              <w:shd w:val="clear" w:color="auto" w:fill="FFFFFF" w:themeFill="background1"/>
              <w:spacing w:before="30" w:after="10"/>
            </w:pPr>
            <w:r w:rsidDel="00A24491">
              <w:t>2</w:t>
            </w:r>
          </w:p>
        </w:tc>
        <w:tc>
          <w:tcPr>
            <w:tcW w:w="289" w:type="pct"/>
            <w:tcBorders>
              <w:top w:val="single" w:sz="4" w:space="0" w:color="auto"/>
              <w:right w:val="single" w:sz="4" w:space="0" w:color="auto"/>
            </w:tcBorders>
          </w:tcPr>
          <w:p w14:paraId="35CF8F9C" w14:textId="77777777" w:rsidR="001A70B8" w:rsidRPr="002029AF" w:rsidRDefault="001A70B8" w:rsidP="00A212B4">
            <w:pPr>
              <w:pStyle w:val="ARtabletextright"/>
              <w:shd w:val="clear" w:color="auto" w:fill="FFFFFF" w:themeFill="background1"/>
              <w:spacing w:before="30" w:after="10"/>
            </w:pPr>
            <w:r w:rsidDel="00A24491">
              <w:t>1.</w:t>
            </w:r>
            <w:r>
              <w:t>8</w:t>
            </w:r>
          </w:p>
        </w:tc>
        <w:tc>
          <w:tcPr>
            <w:tcW w:w="284" w:type="pct"/>
            <w:tcBorders>
              <w:top w:val="single" w:sz="4" w:space="0" w:color="auto"/>
              <w:left w:val="single" w:sz="4" w:space="0" w:color="auto"/>
            </w:tcBorders>
          </w:tcPr>
          <w:p w14:paraId="76C526C4" w14:textId="77777777" w:rsidR="001A70B8" w:rsidRPr="002029AF" w:rsidRDefault="001A70B8" w:rsidP="00A212B4">
            <w:pPr>
              <w:pStyle w:val="ARtabletextright"/>
              <w:shd w:val="clear" w:color="auto" w:fill="FFFFFF" w:themeFill="background1"/>
              <w:spacing w:before="30" w:after="10"/>
            </w:pPr>
            <w:r>
              <w:t>0</w:t>
            </w:r>
          </w:p>
        </w:tc>
        <w:tc>
          <w:tcPr>
            <w:tcW w:w="284" w:type="pct"/>
            <w:tcBorders>
              <w:top w:val="single" w:sz="4" w:space="0" w:color="auto"/>
            </w:tcBorders>
          </w:tcPr>
          <w:p w14:paraId="046D17E8" w14:textId="77777777" w:rsidR="001A70B8" w:rsidRPr="002029AF" w:rsidRDefault="001A70B8" w:rsidP="00A212B4">
            <w:pPr>
              <w:pStyle w:val="ARtabletextright"/>
              <w:shd w:val="clear" w:color="auto" w:fill="FFFFFF" w:themeFill="background1"/>
              <w:spacing w:before="30" w:after="10"/>
            </w:pPr>
            <w:r>
              <w:t>0</w:t>
            </w:r>
          </w:p>
        </w:tc>
        <w:tc>
          <w:tcPr>
            <w:tcW w:w="286" w:type="pct"/>
            <w:tcBorders>
              <w:top w:val="single" w:sz="4" w:space="0" w:color="auto"/>
              <w:right w:val="single" w:sz="4" w:space="0" w:color="auto"/>
            </w:tcBorders>
          </w:tcPr>
          <w:p w14:paraId="683AC591" w14:textId="77777777" w:rsidR="001A70B8" w:rsidRPr="002029AF" w:rsidRDefault="001A70B8" w:rsidP="00A212B4">
            <w:pPr>
              <w:pStyle w:val="ARtabletextright"/>
              <w:shd w:val="clear" w:color="auto" w:fill="FFFFFF" w:themeFill="background1"/>
              <w:spacing w:before="30" w:after="10"/>
            </w:pPr>
            <w:r>
              <w:t>0.0</w:t>
            </w:r>
          </w:p>
        </w:tc>
        <w:tc>
          <w:tcPr>
            <w:tcW w:w="321" w:type="pct"/>
            <w:tcBorders>
              <w:top w:val="single" w:sz="4" w:space="0" w:color="auto"/>
              <w:left w:val="single" w:sz="4" w:space="0" w:color="auto"/>
            </w:tcBorders>
          </w:tcPr>
          <w:p w14:paraId="31BA44E9" w14:textId="77777777" w:rsidR="001A70B8" w:rsidRPr="002029AF" w:rsidRDefault="001A70B8" w:rsidP="00A212B4">
            <w:pPr>
              <w:pStyle w:val="ARtabletextright"/>
              <w:shd w:val="clear" w:color="auto" w:fill="FFFFFF" w:themeFill="background1"/>
              <w:spacing w:before="30" w:after="10"/>
            </w:pPr>
            <w:r>
              <w:t>2</w:t>
            </w:r>
          </w:p>
        </w:tc>
        <w:tc>
          <w:tcPr>
            <w:tcW w:w="285" w:type="pct"/>
            <w:tcBorders>
              <w:top w:val="single" w:sz="4" w:space="0" w:color="auto"/>
              <w:right w:val="single" w:sz="4" w:space="0" w:color="auto"/>
            </w:tcBorders>
          </w:tcPr>
          <w:p w14:paraId="51F27470" w14:textId="77777777" w:rsidR="001A70B8" w:rsidRPr="002029AF" w:rsidRDefault="001A70B8" w:rsidP="00A212B4">
            <w:pPr>
              <w:pStyle w:val="ARtabletextright"/>
              <w:shd w:val="clear" w:color="auto" w:fill="FFFFFF" w:themeFill="background1"/>
              <w:spacing w:before="30" w:after="10"/>
            </w:pPr>
            <w:r w:rsidDel="002F4B4A">
              <w:t>1.</w:t>
            </w:r>
            <w:r>
              <w:t>8</w:t>
            </w:r>
          </w:p>
        </w:tc>
        <w:tc>
          <w:tcPr>
            <w:tcW w:w="321" w:type="pct"/>
            <w:tcBorders>
              <w:top w:val="single" w:sz="4" w:space="0" w:color="auto"/>
              <w:left w:val="single" w:sz="4" w:space="0" w:color="auto"/>
            </w:tcBorders>
            <w:hideMark/>
          </w:tcPr>
          <w:p w14:paraId="5D69C5B3" w14:textId="77777777" w:rsidR="001A70B8" w:rsidRPr="002029AF" w:rsidRDefault="001A70B8" w:rsidP="00A212B4">
            <w:pPr>
              <w:pStyle w:val="ARtabletextright"/>
              <w:shd w:val="clear" w:color="auto" w:fill="FFFFFF" w:themeFill="background1"/>
              <w:spacing w:before="30" w:after="10"/>
            </w:pPr>
            <w:r>
              <w:t>2</w:t>
            </w:r>
          </w:p>
        </w:tc>
        <w:tc>
          <w:tcPr>
            <w:tcW w:w="285" w:type="pct"/>
            <w:tcBorders>
              <w:top w:val="single" w:sz="4" w:space="0" w:color="auto"/>
              <w:right w:val="single" w:sz="4" w:space="0" w:color="auto"/>
            </w:tcBorders>
            <w:hideMark/>
          </w:tcPr>
          <w:p w14:paraId="3DD25C23" w14:textId="77777777" w:rsidR="001A70B8" w:rsidRPr="002029AF" w:rsidRDefault="001A70B8" w:rsidP="00A212B4">
            <w:pPr>
              <w:pStyle w:val="ARtabletextright"/>
              <w:shd w:val="clear" w:color="auto" w:fill="FFFFFF" w:themeFill="background1"/>
              <w:spacing w:before="30" w:after="10"/>
            </w:pPr>
            <w:r>
              <w:t>1.7</w:t>
            </w:r>
          </w:p>
        </w:tc>
        <w:tc>
          <w:tcPr>
            <w:tcW w:w="284" w:type="pct"/>
            <w:tcBorders>
              <w:top w:val="single" w:sz="4" w:space="0" w:color="auto"/>
              <w:left w:val="single" w:sz="4" w:space="0" w:color="auto"/>
            </w:tcBorders>
            <w:hideMark/>
          </w:tcPr>
          <w:p w14:paraId="4A258B13" w14:textId="77777777" w:rsidR="001A70B8" w:rsidRPr="002029AF" w:rsidRDefault="001A70B8" w:rsidP="00A212B4">
            <w:pPr>
              <w:pStyle w:val="ARtabletextright"/>
              <w:shd w:val="clear" w:color="auto" w:fill="FFFFFF" w:themeFill="background1"/>
              <w:spacing w:before="30" w:after="10"/>
            </w:pPr>
            <w:r w:rsidRPr="002029AF">
              <w:t>0</w:t>
            </w:r>
          </w:p>
        </w:tc>
        <w:tc>
          <w:tcPr>
            <w:tcW w:w="284" w:type="pct"/>
            <w:tcBorders>
              <w:top w:val="single" w:sz="4" w:space="0" w:color="auto"/>
            </w:tcBorders>
            <w:hideMark/>
          </w:tcPr>
          <w:p w14:paraId="1D552202" w14:textId="77777777" w:rsidR="001A70B8" w:rsidRPr="002029AF" w:rsidRDefault="001A70B8" w:rsidP="00A212B4">
            <w:pPr>
              <w:pStyle w:val="ARtabletextright"/>
              <w:shd w:val="clear" w:color="auto" w:fill="FFFFFF" w:themeFill="background1"/>
              <w:spacing w:before="30" w:after="10"/>
            </w:pPr>
            <w:r w:rsidRPr="002029AF">
              <w:t>0</w:t>
            </w:r>
          </w:p>
        </w:tc>
        <w:tc>
          <w:tcPr>
            <w:tcW w:w="286" w:type="pct"/>
            <w:tcBorders>
              <w:top w:val="single" w:sz="4" w:space="0" w:color="auto"/>
              <w:right w:val="single" w:sz="4" w:space="0" w:color="auto"/>
            </w:tcBorders>
            <w:hideMark/>
          </w:tcPr>
          <w:p w14:paraId="660672DA" w14:textId="77777777" w:rsidR="001A70B8" w:rsidRPr="002029AF" w:rsidRDefault="001A70B8" w:rsidP="00A212B4">
            <w:pPr>
              <w:pStyle w:val="ARtabletextright"/>
              <w:shd w:val="clear" w:color="auto" w:fill="FFFFFF" w:themeFill="background1"/>
              <w:spacing w:before="30" w:after="10"/>
            </w:pPr>
            <w:r w:rsidRPr="002029AF">
              <w:t>0</w:t>
            </w:r>
          </w:p>
        </w:tc>
        <w:tc>
          <w:tcPr>
            <w:tcW w:w="321" w:type="pct"/>
            <w:tcBorders>
              <w:left w:val="single" w:sz="4" w:space="0" w:color="auto"/>
            </w:tcBorders>
            <w:hideMark/>
          </w:tcPr>
          <w:p w14:paraId="20710404" w14:textId="77777777" w:rsidR="001A70B8" w:rsidRPr="002029AF" w:rsidRDefault="001A70B8" w:rsidP="00A212B4">
            <w:pPr>
              <w:pStyle w:val="ARtabletextright"/>
              <w:shd w:val="clear" w:color="auto" w:fill="FFFFFF" w:themeFill="background1"/>
              <w:spacing w:before="30" w:after="10"/>
            </w:pPr>
            <w:r>
              <w:t>2</w:t>
            </w:r>
          </w:p>
        </w:tc>
        <w:tc>
          <w:tcPr>
            <w:tcW w:w="282" w:type="pct"/>
            <w:hideMark/>
          </w:tcPr>
          <w:p w14:paraId="2AB3D9BB" w14:textId="77777777" w:rsidR="001A70B8" w:rsidRPr="002029AF" w:rsidRDefault="001A70B8" w:rsidP="00A212B4">
            <w:pPr>
              <w:pStyle w:val="ARtabletextright"/>
              <w:shd w:val="clear" w:color="auto" w:fill="FFFFFF" w:themeFill="background1"/>
              <w:spacing w:before="30" w:after="10"/>
            </w:pPr>
            <w:r>
              <w:t>1.7</w:t>
            </w:r>
          </w:p>
        </w:tc>
      </w:tr>
      <w:tr w:rsidR="001A70B8" w:rsidRPr="002029AF" w14:paraId="290CF2CA" w14:textId="77777777" w:rsidTr="00524C5E">
        <w:tc>
          <w:tcPr>
            <w:tcW w:w="867" w:type="pct"/>
            <w:hideMark/>
          </w:tcPr>
          <w:p w14:paraId="3F03A78D" w14:textId="77777777" w:rsidR="001A70B8" w:rsidRPr="002029AF" w:rsidRDefault="001A70B8" w:rsidP="00A212B4">
            <w:pPr>
              <w:pStyle w:val="ARtabletext"/>
              <w:shd w:val="clear" w:color="auto" w:fill="FFFFFF" w:themeFill="background1"/>
              <w:spacing w:before="30" w:after="10"/>
            </w:pPr>
            <w:r w:rsidRPr="002029AF">
              <w:t>Executives</w:t>
            </w:r>
          </w:p>
        </w:tc>
        <w:tc>
          <w:tcPr>
            <w:tcW w:w="321" w:type="pct"/>
            <w:tcBorders>
              <w:top w:val="single" w:sz="4" w:space="0" w:color="auto"/>
            </w:tcBorders>
          </w:tcPr>
          <w:p w14:paraId="0A3FA35E" w14:textId="77777777" w:rsidR="001A70B8" w:rsidRPr="002029AF" w:rsidRDefault="001A70B8" w:rsidP="00A212B4">
            <w:pPr>
              <w:pStyle w:val="ARtabletextright"/>
              <w:shd w:val="clear" w:color="auto" w:fill="FFFFFF" w:themeFill="background1"/>
              <w:spacing w:before="30" w:after="10"/>
            </w:pPr>
            <w:r>
              <w:t>7</w:t>
            </w:r>
          </w:p>
        </w:tc>
        <w:tc>
          <w:tcPr>
            <w:tcW w:w="289" w:type="pct"/>
            <w:tcBorders>
              <w:top w:val="single" w:sz="4" w:space="0" w:color="auto"/>
              <w:right w:val="single" w:sz="4" w:space="0" w:color="auto"/>
            </w:tcBorders>
          </w:tcPr>
          <w:p w14:paraId="466B0A24" w14:textId="77777777" w:rsidR="001A70B8" w:rsidRPr="002029AF" w:rsidRDefault="001A70B8" w:rsidP="00A212B4">
            <w:pPr>
              <w:pStyle w:val="ARtabletextright"/>
              <w:shd w:val="clear" w:color="auto" w:fill="FFFFFF" w:themeFill="background1"/>
              <w:spacing w:before="30" w:after="10"/>
            </w:pPr>
            <w:r>
              <w:t>6.5</w:t>
            </w:r>
          </w:p>
        </w:tc>
        <w:tc>
          <w:tcPr>
            <w:tcW w:w="284" w:type="pct"/>
            <w:tcBorders>
              <w:top w:val="single" w:sz="4" w:space="0" w:color="auto"/>
              <w:left w:val="single" w:sz="4" w:space="0" w:color="auto"/>
            </w:tcBorders>
          </w:tcPr>
          <w:p w14:paraId="1370DB60" w14:textId="77777777" w:rsidR="001A70B8" w:rsidRPr="002029AF" w:rsidRDefault="001A70B8" w:rsidP="00A212B4">
            <w:pPr>
              <w:pStyle w:val="ARtabletextright"/>
              <w:shd w:val="clear" w:color="auto" w:fill="FFFFFF" w:themeFill="background1"/>
              <w:spacing w:before="30" w:after="10"/>
            </w:pPr>
            <w:r>
              <w:t>1</w:t>
            </w:r>
            <w:r w:rsidRPr="007314FC">
              <w:rPr>
                <w:rStyle w:val="FootnoteReference"/>
              </w:rPr>
              <w:t>(</w:t>
            </w:r>
            <w:r>
              <w:rPr>
                <w:rStyle w:val="FootnoteReference"/>
              </w:rPr>
              <w:footnoteReference w:id="30"/>
            </w:r>
            <w:r w:rsidRPr="007314FC">
              <w:rPr>
                <w:rStyle w:val="FootnoteReference"/>
              </w:rPr>
              <w:t>)</w:t>
            </w:r>
          </w:p>
        </w:tc>
        <w:tc>
          <w:tcPr>
            <w:tcW w:w="284" w:type="pct"/>
            <w:tcBorders>
              <w:top w:val="single" w:sz="4" w:space="0" w:color="auto"/>
            </w:tcBorders>
          </w:tcPr>
          <w:p w14:paraId="6B9CB29C" w14:textId="77777777" w:rsidR="001A70B8" w:rsidRPr="002029AF" w:rsidRDefault="001A70B8" w:rsidP="00A212B4">
            <w:pPr>
              <w:pStyle w:val="ARtabletextright"/>
              <w:shd w:val="clear" w:color="auto" w:fill="FFFFFF" w:themeFill="background1"/>
              <w:spacing w:before="30" w:after="10"/>
            </w:pPr>
            <w:r>
              <w:t>0</w:t>
            </w:r>
          </w:p>
        </w:tc>
        <w:tc>
          <w:tcPr>
            <w:tcW w:w="286" w:type="pct"/>
            <w:tcBorders>
              <w:top w:val="single" w:sz="4" w:space="0" w:color="auto"/>
              <w:right w:val="single" w:sz="4" w:space="0" w:color="auto"/>
            </w:tcBorders>
          </w:tcPr>
          <w:p w14:paraId="757D0879" w14:textId="77777777" w:rsidR="001A70B8" w:rsidRPr="002029AF" w:rsidRDefault="001A70B8" w:rsidP="00A212B4">
            <w:pPr>
              <w:pStyle w:val="ARtabletextright"/>
              <w:shd w:val="clear" w:color="auto" w:fill="FFFFFF" w:themeFill="background1"/>
              <w:spacing w:before="30" w:after="10"/>
            </w:pPr>
            <w:r>
              <w:t>1.0</w:t>
            </w:r>
          </w:p>
        </w:tc>
        <w:tc>
          <w:tcPr>
            <w:tcW w:w="321" w:type="pct"/>
            <w:tcBorders>
              <w:top w:val="single" w:sz="4" w:space="0" w:color="auto"/>
              <w:left w:val="single" w:sz="4" w:space="0" w:color="auto"/>
            </w:tcBorders>
          </w:tcPr>
          <w:p w14:paraId="58BB0942" w14:textId="77777777" w:rsidR="001A70B8" w:rsidRPr="002029AF" w:rsidRDefault="001A70B8" w:rsidP="00A212B4">
            <w:pPr>
              <w:pStyle w:val="ARtabletextright"/>
              <w:shd w:val="clear" w:color="auto" w:fill="FFFFFF" w:themeFill="background1"/>
              <w:spacing w:before="30" w:after="10"/>
            </w:pPr>
            <w:r>
              <w:t>6</w:t>
            </w:r>
          </w:p>
        </w:tc>
        <w:tc>
          <w:tcPr>
            <w:tcW w:w="285" w:type="pct"/>
            <w:tcBorders>
              <w:top w:val="single" w:sz="4" w:space="0" w:color="auto"/>
              <w:right w:val="single" w:sz="4" w:space="0" w:color="auto"/>
            </w:tcBorders>
          </w:tcPr>
          <w:p w14:paraId="1A5F1A32" w14:textId="77777777" w:rsidR="001A70B8" w:rsidRPr="002029AF" w:rsidRDefault="001A70B8" w:rsidP="00A212B4">
            <w:pPr>
              <w:pStyle w:val="ARtabletextright"/>
              <w:shd w:val="clear" w:color="auto" w:fill="FFFFFF" w:themeFill="background1"/>
              <w:spacing w:before="30" w:after="10"/>
            </w:pPr>
            <w:r>
              <w:t>5.5</w:t>
            </w:r>
          </w:p>
        </w:tc>
        <w:tc>
          <w:tcPr>
            <w:tcW w:w="321" w:type="pct"/>
            <w:tcBorders>
              <w:top w:val="single" w:sz="4" w:space="0" w:color="auto"/>
              <w:left w:val="single" w:sz="4" w:space="0" w:color="auto"/>
            </w:tcBorders>
            <w:hideMark/>
          </w:tcPr>
          <w:p w14:paraId="4D7CB53F" w14:textId="77777777" w:rsidR="001A70B8" w:rsidRPr="002029AF" w:rsidRDefault="001A70B8" w:rsidP="00A212B4">
            <w:pPr>
              <w:pStyle w:val="ARtabletextright"/>
              <w:shd w:val="clear" w:color="auto" w:fill="FFFFFF" w:themeFill="background1"/>
              <w:spacing w:before="30" w:after="10"/>
            </w:pPr>
            <w:r>
              <w:t>6</w:t>
            </w:r>
          </w:p>
        </w:tc>
        <w:tc>
          <w:tcPr>
            <w:tcW w:w="285" w:type="pct"/>
            <w:tcBorders>
              <w:top w:val="single" w:sz="4" w:space="0" w:color="auto"/>
              <w:right w:val="single" w:sz="4" w:space="0" w:color="auto"/>
            </w:tcBorders>
            <w:hideMark/>
          </w:tcPr>
          <w:p w14:paraId="44421DDC" w14:textId="77777777" w:rsidR="001A70B8" w:rsidRPr="002029AF" w:rsidRDefault="001A70B8" w:rsidP="00A212B4">
            <w:pPr>
              <w:pStyle w:val="ARtabletextright"/>
              <w:shd w:val="clear" w:color="auto" w:fill="FFFFFF" w:themeFill="background1"/>
              <w:spacing w:before="30" w:after="10"/>
            </w:pPr>
            <w:r>
              <w:t>5.5</w:t>
            </w:r>
          </w:p>
        </w:tc>
        <w:tc>
          <w:tcPr>
            <w:tcW w:w="284" w:type="pct"/>
            <w:tcBorders>
              <w:top w:val="single" w:sz="4" w:space="0" w:color="auto"/>
              <w:left w:val="single" w:sz="4" w:space="0" w:color="auto"/>
            </w:tcBorders>
            <w:hideMark/>
          </w:tcPr>
          <w:p w14:paraId="378050F2" w14:textId="77777777" w:rsidR="001A70B8" w:rsidRPr="002029AF" w:rsidRDefault="001A70B8" w:rsidP="00A212B4">
            <w:pPr>
              <w:pStyle w:val="ARtabletextright"/>
              <w:shd w:val="clear" w:color="auto" w:fill="FFFFFF" w:themeFill="background1"/>
              <w:spacing w:before="30" w:after="10"/>
            </w:pPr>
            <w:r w:rsidRPr="002029AF" w:rsidDel="00E209E7">
              <w:t>5</w:t>
            </w:r>
          </w:p>
        </w:tc>
        <w:tc>
          <w:tcPr>
            <w:tcW w:w="284" w:type="pct"/>
            <w:tcBorders>
              <w:top w:val="single" w:sz="4" w:space="0" w:color="auto"/>
            </w:tcBorders>
            <w:hideMark/>
          </w:tcPr>
          <w:p w14:paraId="50AE2D74" w14:textId="77777777" w:rsidR="001A70B8" w:rsidRPr="002029AF" w:rsidRDefault="001A70B8" w:rsidP="00A212B4">
            <w:pPr>
              <w:pStyle w:val="ARtabletextright"/>
              <w:shd w:val="clear" w:color="auto" w:fill="FFFFFF" w:themeFill="background1"/>
              <w:spacing w:before="30" w:after="10"/>
            </w:pPr>
            <w:r>
              <w:t>1</w:t>
            </w:r>
          </w:p>
        </w:tc>
        <w:tc>
          <w:tcPr>
            <w:tcW w:w="286" w:type="pct"/>
            <w:tcBorders>
              <w:top w:val="single" w:sz="4" w:space="0" w:color="auto"/>
              <w:right w:val="single" w:sz="4" w:space="0" w:color="auto"/>
            </w:tcBorders>
            <w:hideMark/>
          </w:tcPr>
          <w:p w14:paraId="4512974D" w14:textId="77777777" w:rsidR="001A70B8" w:rsidRPr="002029AF" w:rsidRDefault="001A70B8" w:rsidP="00A212B4">
            <w:pPr>
              <w:pStyle w:val="ARtabletextright"/>
              <w:shd w:val="clear" w:color="auto" w:fill="FFFFFF" w:themeFill="background1"/>
              <w:spacing w:before="30" w:after="10"/>
            </w:pPr>
            <w:r>
              <w:t>5.5</w:t>
            </w:r>
          </w:p>
        </w:tc>
        <w:tc>
          <w:tcPr>
            <w:tcW w:w="321" w:type="pct"/>
            <w:tcBorders>
              <w:left w:val="single" w:sz="4" w:space="0" w:color="auto"/>
            </w:tcBorders>
            <w:hideMark/>
          </w:tcPr>
          <w:p w14:paraId="75434ED8" w14:textId="77777777" w:rsidR="001A70B8" w:rsidRPr="002029AF" w:rsidRDefault="001A70B8" w:rsidP="00A212B4">
            <w:pPr>
              <w:pStyle w:val="ARtabletextright"/>
              <w:shd w:val="clear" w:color="auto" w:fill="FFFFFF" w:themeFill="background1"/>
              <w:spacing w:before="30" w:after="10"/>
            </w:pPr>
            <w:r w:rsidRPr="002029AF">
              <w:t>0</w:t>
            </w:r>
          </w:p>
        </w:tc>
        <w:tc>
          <w:tcPr>
            <w:tcW w:w="282" w:type="pct"/>
            <w:hideMark/>
          </w:tcPr>
          <w:p w14:paraId="3234A78F" w14:textId="77777777" w:rsidR="001A70B8" w:rsidRPr="002029AF" w:rsidRDefault="001A70B8" w:rsidP="00A212B4">
            <w:pPr>
              <w:pStyle w:val="ARtabletextright"/>
              <w:shd w:val="clear" w:color="auto" w:fill="FFFFFF" w:themeFill="background1"/>
              <w:spacing w:before="30" w:after="10"/>
            </w:pPr>
            <w:r w:rsidRPr="002029AF">
              <w:t>0</w:t>
            </w:r>
          </w:p>
        </w:tc>
      </w:tr>
      <w:tr w:rsidR="001A70B8" w:rsidRPr="002029AF" w14:paraId="0E49C205" w14:textId="77777777" w:rsidTr="00524C5E">
        <w:tc>
          <w:tcPr>
            <w:tcW w:w="867" w:type="pct"/>
            <w:hideMark/>
          </w:tcPr>
          <w:p w14:paraId="70CB010D" w14:textId="77777777" w:rsidR="001A70B8" w:rsidRPr="002029AF" w:rsidRDefault="001A70B8" w:rsidP="00A212B4">
            <w:pPr>
              <w:pStyle w:val="ARtabletextbold"/>
              <w:shd w:val="clear" w:color="auto" w:fill="FFFFFF" w:themeFill="background1"/>
              <w:spacing w:before="30" w:after="10"/>
            </w:pPr>
            <w:r w:rsidRPr="002029AF">
              <w:t>Total</w:t>
            </w:r>
            <w:r>
              <w:t xml:space="preserve"> </w:t>
            </w:r>
            <w:r w:rsidRPr="002029AF">
              <w:t>employees</w:t>
            </w:r>
          </w:p>
        </w:tc>
        <w:tc>
          <w:tcPr>
            <w:tcW w:w="321" w:type="pct"/>
            <w:tcBorders>
              <w:top w:val="single" w:sz="4" w:space="0" w:color="auto"/>
            </w:tcBorders>
          </w:tcPr>
          <w:p w14:paraId="36F44F7A" w14:textId="77777777" w:rsidR="001A70B8" w:rsidRPr="002029AF" w:rsidRDefault="001A70B8" w:rsidP="00A212B4">
            <w:pPr>
              <w:pStyle w:val="ARtabletextrightbold"/>
              <w:shd w:val="clear" w:color="auto" w:fill="FFFFFF" w:themeFill="background1"/>
              <w:spacing w:before="30" w:after="10"/>
            </w:pPr>
            <w:r>
              <w:t>185</w:t>
            </w:r>
          </w:p>
        </w:tc>
        <w:tc>
          <w:tcPr>
            <w:tcW w:w="289" w:type="pct"/>
            <w:tcBorders>
              <w:top w:val="single" w:sz="4" w:space="0" w:color="auto"/>
              <w:right w:val="single" w:sz="4" w:space="0" w:color="auto"/>
            </w:tcBorders>
          </w:tcPr>
          <w:p w14:paraId="5599C99F" w14:textId="77777777" w:rsidR="001A70B8" w:rsidRPr="002029AF" w:rsidRDefault="001A70B8" w:rsidP="00A212B4">
            <w:pPr>
              <w:pStyle w:val="ARtabletextrightbold"/>
              <w:shd w:val="clear" w:color="auto" w:fill="FFFFFF" w:themeFill="background1"/>
              <w:spacing w:before="30" w:after="10"/>
            </w:pPr>
            <w:r>
              <w:t>169.0</w:t>
            </w:r>
          </w:p>
        </w:tc>
        <w:tc>
          <w:tcPr>
            <w:tcW w:w="284" w:type="pct"/>
            <w:tcBorders>
              <w:top w:val="single" w:sz="4" w:space="0" w:color="auto"/>
              <w:left w:val="single" w:sz="4" w:space="0" w:color="auto"/>
            </w:tcBorders>
          </w:tcPr>
          <w:p w14:paraId="07D8AB7C" w14:textId="77777777" w:rsidR="001A70B8" w:rsidRPr="002029AF" w:rsidRDefault="001A70B8" w:rsidP="00A212B4">
            <w:pPr>
              <w:pStyle w:val="ARtabletextrightbold"/>
              <w:shd w:val="clear" w:color="auto" w:fill="FFFFFF" w:themeFill="background1"/>
              <w:spacing w:before="30" w:after="10"/>
            </w:pPr>
            <w:r>
              <w:t>63</w:t>
            </w:r>
          </w:p>
        </w:tc>
        <w:tc>
          <w:tcPr>
            <w:tcW w:w="284" w:type="pct"/>
            <w:tcBorders>
              <w:top w:val="single" w:sz="4" w:space="0" w:color="auto"/>
            </w:tcBorders>
          </w:tcPr>
          <w:p w14:paraId="1E377BE8" w14:textId="77777777" w:rsidR="001A70B8" w:rsidRPr="002029AF" w:rsidRDefault="001A70B8" w:rsidP="00A212B4">
            <w:pPr>
              <w:pStyle w:val="ARtabletextrightbold"/>
              <w:shd w:val="clear" w:color="auto" w:fill="FFFFFF" w:themeFill="background1"/>
              <w:spacing w:before="30" w:after="10"/>
            </w:pPr>
            <w:r>
              <w:t>26</w:t>
            </w:r>
          </w:p>
        </w:tc>
        <w:tc>
          <w:tcPr>
            <w:tcW w:w="286" w:type="pct"/>
            <w:tcBorders>
              <w:top w:val="single" w:sz="4" w:space="0" w:color="auto"/>
              <w:right w:val="single" w:sz="4" w:space="0" w:color="auto"/>
            </w:tcBorders>
          </w:tcPr>
          <w:p w14:paraId="51992E2D" w14:textId="77777777" w:rsidR="001A70B8" w:rsidRPr="002029AF" w:rsidRDefault="001A70B8" w:rsidP="00A212B4">
            <w:pPr>
              <w:pStyle w:val="ARtabletextrightbold"/>
              <w:shd w:val="clear" w:color="auto" w:fill="FFFFFF" w:themeFill="background1"/>
              <w:spacing w:before="30" w:after="10"/>
            </w:pPr>
            <w:r>
              <w:t>80.7</w:t>
            </w:r>
          </w:p>
        </w:tc>
        <w:tc>
          <w:tcPr>
            <w:tcW w:w="321" w:type="pct"/>
            <w:tcBorders>
              <w:top w:val="single" w:sz="4" w:space="0" w:color="auto"/>
              <w:left w:val="single" w:sz="4" w:space="0" w:color="auto"/>
            </w:tcBorders>
          </w:tcPr>
          <w:p w14:paraId="7C8D4557" w14:textId="77777777" w:rsidR="001A70B8" w:rsidRPr="002029AF" w:rsidRDefault="001A70B8" w:rsidP="00A212B4">
            <w:pPr>
              <w:pStyle w:val="ARtabletextrightbold"/>
              <w:shd w:val="clear" w:color="auto" w:fill="FFFFFF" w:themeFill="background1"/>
              <w:spacing w:before="30" w:after="10"/>
            </w:pPr>
            <w:r>
              <w:t>96</w:t>
            </w:r>
          </w:p>
        </w:tc>
        <w:tc>
          <w:tcPr>
            <w:tcW w:w="285" w:type="pct"/>
            <w:tcBorders>
              <w:top w:val="single" w:sz="4" w:space="0" w:color="auto"/>
              <w:right w:val="single" w:sz="4" w:space="0" w:color="auto"/>
            </w:tcBorders>
          </w:tcPr>
          <w:p w14:paraId="52AA285E" w14:textId="77777777" w:rsidR="001A70B8" w:rsidRPr="002029AF" w:rsidRDefault="001A70B8" w:rsidP="00A212B4">
            <w:pPr>
              <w:pStyle w:val="ARtabletextrightbold"/>
              <w:shd w:val="clear" w:color="auto" w:fill="FFFFFF" w:themeFill="background1"/>
              <w:spacing w:before="30" w:after="10"/>
            </w:pPr>
            <w:r>
              <w:t>88.4</w:t>
            </w:r>
          </w:p>
        </w:tc>
        <w:tc>
          <w:tcPr>
            <w:tcW w:w="321" w:type="pct"/>
            <w:tcBorders>
              <w:top w:val="single" w:sz="4" w:space="0" w:color="auto"/>
              <w:left w:val="single" w:sz="4" w:space="0" w:color="auto"/>
            </w:tcBorders>
            <w:hideMark/>
          </w:tcPr>
          <w:p w14:paraId="64DB9176" w14:textId="77777777" w:rsidR="001A70B8" w:rsidRPr="002029AF" w:rsidRDefault="001A70B8" w:rsidP="00A212B4">
            <w:pPr>
              <w:pStyle w:val="ARtabletextrightbold"/>
              <w:shd w:val="clear" w:color="auto" w:fill="FFFFFF" w:themeFill="background1"/>
              <w:spacing w:before="30" w:after="10"/>
            </w:pPr>
            <w:r>
              <w:t>146</w:t>
            </w:r>
          </w:p>
        </w:tc>
        <w:tc>
          <w:tcPr>
            <w:tcW w:w="285" w:type="pct"/>
            <w:tcBorders>
              <w:top w:val="single" w:sz="4" w:space="0" w:color="auto"/>
              <w:right w:val="single" w:sz="4" w:space="0" w:color="auto"/>
            </w:tcBorders>
            <w:hideMark/>
          </w:tcPr>
          <w:p w14:paraId="56684A9C" w14:textId="77777777" w:rsidR="001A70B8" w:rsidRPr="002029AF" w:rsidRDefault="001A70B8" w:rsidP="00A212B4">
            <w:pPr>
              <w:pStyle w:val="ARtabletextrightbold"/>
              <w:shd w:val="clear" w:color="auto" w:fill="FFFFFF" w:themeFill="background1"/>
              <w:spacing w:before="30" w:after="10"/>
            </w:pPr>
            <w:r>
              <w:t>134.0</w:t>
            </w:r>
          </w:p>
        </w:tc>
        <w:tc>
          <w:tcPr>
            <w:tcW w:w="284" w:type="pct"/>
            <w:tcBorders>
              <w:top w:val="single" w:sz="4" w:space="0" w:color="auto"/>
              <w:left w:val="single" w:sz="4" w:space="0" w:color="auto"/>
            </w:tcBorders>
            <w:hideMark/>
          </w:tcPr>
          <w:p w14:paraId="7A032E57" w14:textId="77777777" w:rsidR="001A70B8" w:rsidRPr="002029AF" w:rsidRDefault="001A70B8" w:rsidP="00A212B4">
            <w:pPr>
              <w:pStyle w:val="ARtabletextrightbold"/>
              <w:shd w:val="clear" w:color="auto" w:fill="FFFFFF" w:themeFill="background1"/>
              <w:spacing w:before="30" w:after="10"/>
            </w:pPr>
            <w:r>
              <w:t>84</w:t>
            </w:r>
          </w:p>
        </w:tc>
        <w:tc>
          <w:tcPr>
            <w:tcW w:w="284" w:type="pct"/>
            <w:tcBorders>
              <w:top w:val="single" w:sz="4" w:space="0" w:color="auto"/>
            </w:tcBorders>
            <w:hideMark/>
          </w:tcPr>
          <w:p w14:paraId="6715C07B" w14:textId="77777777" w:rsidR="001A70B8" w:rsidRPr="002029AF" w:rsidRDefault="001A70B8" w:rsidP="00A212B4">
            <w:pPr>
              <w:pStyle w:val="ARtabletextrightbold"/>
              <w:shd w:val="clear" w:color="auto" w:fill="FFFFFF" w:themeFill="background1"/>
              <w:spacing w:before="30" w:after="10"/>
            </w:pPr>
            <w:r>
              <w:t>31</w:t>
            </w:r>
          </w:p>
        </w:tc>
        <w:tc>
          <w:tcPr>
            <w:tcW w:w="286" w:type="pct"/>
            <w:tcBorders>
              <w:top w:val="single" w:sz="4" w:space="0" w:color="auto"/>
              <w:right w:val="single" w:sz="4" w:space="0" w:color="auto"/>
            </w:tcBorders>
            <w:hideMark/>
          </w:tcPr>
          <w:p w14:paraId="488618B5" w14:textId="77777777" w:rsidR="001A70B8" w:rsidRPr="002029AF" w:rsidRDefault="001A70B8" w:rsidP="00A212B4">
            <w:pPr>
              <w:pStyle w:val="ARtabletextrightbold"/>
              <w:shd w:val="clear" w:color="auto" w:fill="FFFFFF" w:themeFill="background1"/>
              <w:spacing w:before="30" w:after="10"/>
            </w:pPr>
            <w:r>
              <w:t>105.9</w:t>
            </w:r>
          </w:p>
        </w:tc>
        <w:tc>
          <w:tcPr>
            <w:tcW w:w="321" w:type="pct"/>
            <w:tcBorders>
              <w:left w:val="single" w:sz="4" w:space="0" w:color="auto"/>
            </w:tcBorders>
            <w:hideMark/>
          </w:tcPr>
          <w:p w14:paraId="5B6EB26A" w14:textId="77777777" w:rsidR="001A70B8" w:rsidRPr="002029AF" w:rsidRDefault="001A70B8" w:rsidP="00A212B4">
            <w:pPr>
              <w:pStyle w:val="ARtabletextrightbold"/>
              <w:shd w:val="clear" w:color="auto" w:fill="FFFFFF" w:themeFill="background1"/>
              <w:spacing w:before="30" w:after="10"/>
            </w:pPr>
            <w:r>
              <w:t>31</w:t>
            </w:r>
          </w:p>
        </w:tc>
        <w:tc>
          <w:tcPr>
            <w:tcW w:w="282" w:type="pct"/>
            <w:hideMark/>
          </w:tcPr>
          <w:p w14:paraId="40BF8478" w14:textId="77777777" w:rsidR="001A70B8" w:rsidRPr="002029AF" w:rsidRDefault="001A70B8" w:rsidP="00A212B4">
            <w:pPr>
              <w:pStyle w:val="ARtabletextrightbold"/>
              <w:shd w:val="clear" w:color="auto" w:fill="FFFFFF" w:themeFill="background1"/>
              <w:spacing w:before="30" w:after="10"/>
            </w:pPr>
            <w:r>
              <w:t>28.2</w:t>
            </w:r>
          </w:p>
        </w:tc>
      </w:tr>
    </w:tbl>
    <w:p w14:paraId="3EA4E5CD" w14:textId="77777777" w:rsidR="001A70B8" w:rsidRPr="002029AF" w:rsidRDefault="001A70B8" w:rsidP="00101E5D">
      <w:pPr>
        <w:pStyle w:val="ARtablefootnote"/>
        <w:keepNext/>
        <w:shd w:val="clear" w:color="auto" w:fill="FFFFFF" w:themeFill="background1"/>
        <w:rPr>
          <w:rFonts w:eastAsia="Times"/>
        </w:rPr>
      </w:pPr>
      <w:r w:rsidRPr="002029AF">
        <w:rPr>
          <w:rFonts w:eastAsia="Times"/>
        </w:rPr>
        <w:t>Note:</w:t>
      </w:r>
    </w:p>
    <w:p w14:paraId="5710B4D9" w14:textId="77777777" w:rsidR="001A70B8" w:rsidRDefault="001A70B8" w:rsidP="00101E5D">
      <w:pPr>
        <w:pStyle w:val="ARtablefootnote"/>
        <w:shd w:val="clear" w:color="auto" w:fill="FFFFFF" w:themeFill="background1"/>
        <w:rPr>
          <w:rFonts w:eastAsia="Times"/>
        </w:rPr>
      </w:pPr>
      <w:r>
        <w:rPr>
          <w:rFonts w:eastAsia="Times"/>
        </w:rPr>
        <w:t>There may be r</w:t>
      </w:r>
      <w:r w:rsidRPr="002029AF">
        <w:rPr>
          <w:rFonts w:eastAsia="Times"/>
        </w:rPr>
        <w:t>ounding</w:t>
      </w:r>
      <w:r>
        <w:rPr>
          <w:rFonts w:eastAsia="Times"/>
        </w:rPr>
        <w:t xml:space="preserve"> </w:t>
      </w:r>
      <w:r w:rsidRPr="002029AF">
        <w:rPr>
          <w:rFonts w:eastAsia="Times"/>
        </w:rPr>
        <w:t>errors</w:t>
      </w:r>
      <w:r>
        <w:rPr>
          <w:rFonts w:eastAsia="Times"/>
        </w:rPr>
        <w:t xml:space="preserve"> </w:t>
      </w:r>
      <w:r w:rsidRPr="002029AF">
        <w:rPr>
          <w:rFonts w:eastAsia="Times"/>
        </w:rPr>
        <w:t>in</w:t>
      </w:r>
      <w:r>
        <w:rPr>
          <w:rFonts w:eastAsia="Times"/>
        </w:rPr>
        <w:t xml:space="preserve"> </w:t>
      </w:r>
      <w:r w:rsidRPr="002029AF">
        <w:rPr>
          <w:rFonts w:eastAsia="Times"/>
        </w:rPr>
        <w:t>FTE</w:t>
      </w:r>
      <w:r>
        <w:rPr>
          <w:rFonts w:eastAsia="Times"/>
        </w:rPr>
        <w:t xml:space="preserve"> </w:t>
      </w:r>
      <w:r w:rsidRPr="002029AF">
        <w:rPr>
          <w:rFonts w:eastAsia="Times"/>
        </w:rPr>
        <w:t>tables</w:t>
      </w:r>
      <w:r>
        <w:rPr>
          <w:rFonts w:eastAsia="Times"/>
        </w:rPr>
        <w:t xml:space="preserve"> </w:t>
      </w:r>
      <w:r w:rsidRPr="002029AF">
        <w:rPr>
          <w:rFonts w:eastAsia="Times"/>
        </w:rPr>
        <w:t>due</w:t>
      </w:r>
      <w:r>
        <w:rPr>
          <w:rFonts w:eastAsia="Times"/>
        </w:rPr>
        <w:t xml:space="preserve"> </w:t>
      </w:r>
      <w:r w:rsidRPr="002029AF">
        <w:rPr>
          <w:rFonts w:eastAsia="Times"/>
        </w:rPr>
        <w:t>to</w:t>
      </w:r>
      <w:r>
        <w:rPr>
          <w:rFonts w:eastAsia="Times"/>
        </w:rPr>
        <w:t xml:space="preserve"> </w:t>
      </w:r>
      <w:r w:rsidRPr="002029AF">
        <w:rPr>
          <w:rFonts w:eastAsia="Times"/>
        </w:rPr>
        <w:t>data</w:t>
      </w:r>
      <w:r>
        <w:rPr>
          <w:rFonts w:eastAsia="Times"/>
        </w:rPr>
        <w:t xml:space="preserve"> </w:t>
      </w:r>
      <w:r w:rsidRPr="002029AF">
        <w:rPr>
          <w:rFonts w:eastAsia="Times"/>
        </w:rPr>
        <w:t>being</w:t>
      </w:r>
      <w:r>
        <w:rPr>
          <w:rFonts w:eastAsia="Times"/>
        </w:rPr>
        <w:t xml:space="preserve"> </w:t>
      </w:r>
      <w:r w:rsidRPr="002029AF">
        <w:rPr>
          <w:rFonts w:eastAsia="Times"/>
        </w:rPr>
        <w:t>formatted</w:t>
      </w:r>
      <w:r>
        <w:rPr>
          <w:rFonts w:eastAsia="Times"/>
        </w:rPr>
        <w:t xml:space="preserve"> </w:t>
      </w:r>
      <w:r w:rsidRPr="002029AF">
        <w:rPr>
          <w:rFonts w:eastAsia="Times"/>
        </w:rPr>
        <w:t>to</w:t>
      </w:r>
      <w:r>
        <w:rPr>
          <w:rFonts w:eastAsia="Times"/>
        </w:rPr>
        <w:t xml:space="preserve"> </w:t>
      </w:r>
      <w:r w:rsidRPr="002029AF">
        <w:rPr>
          <w:rFonts w:eastAsia="Times"/>
        </w:rPr>
        <w:t>one</w:t>
      </w:r>
      <w:r>
        <w:rPr>
          <w:rFonts w:eastAsia="Times"/>
        </w:rPr>
        <w:t xml:space="preserve"> </w:t>
      </w:r>
      <w:r w:rsidRPr="002029AF">
        <w:rPr>
          <w:rFonts w:eastAsia="Times"/>
        </w:rPr>
        <w:t>decimal</w:t>
      </w:r>
      <w:r>
        <w:rPr>
          <w:rFonts w:eastAsia="Times"/>
        </w:rPr>
        <w:t xml:space="preserve"> </w:t>
      </w:r>
      <w:r w:rsidRPr="002029AF">
        <w:rPr>
          <w:rFonts w:eastAsia="Times"/>
        </w:rPr>
        <w:t>place</w:t>
      </w:r>
      <w:r>
        <w:rPr>
          <w:rFonts w:eastAsia="Times"/>
        </w:rPr>
        <w:t>.</w:t>
      </w:r>
    </w:p>
    <w:p w14:paraId="36F6DEB2" w14:textId="77777777" w:rsidR="001A70B8" w:rsidRPr="001E59E3" w:rsidRDefault="001A70B8" w:rsidP="00101E5D">
      <w:pPr>
        <w:pStyle w:val="ARtablefootnote"/>
        <w:shd w:val="clear" w:color="auto" w:fill="FFFFFF" w:themeFill="background1"/>
        <w:rPr>
          <w:rFonts w:eastAsia="Times"/>
        </w:rPr>
        <w:sectPr w:rsidR="001A70B8" w:rsidRPr="001E59E3" w:rsidSect="00524C5E">
          <w:footnotePr>
            <w:numFmt w:val="lowerLetter"/>
            <w:numRestart w:val="eachPage"/>
          </w:footnotePr>
          <w:endnotePr>
            <w:numFmt w:val="decimal"/>
          </w:endnotePr>
          <w:pgSz w:w="16838" w:h="11906" w:orient="landscape" w:code="9"/>
          <w:pgMar w:top="1134" w:right="1985" w:bottom="1134" w:left="851" w:header="510" w:footer="340" w:gutter="0"/>
          <w:cols w:space="454"/>
          <w:docGrid w:linePitch="360"/>
        </w:sectPr>
      </w:pPr>
    </w:p>
    <w:p w14:paraId="37CA21CA" w14:textId="77777777" w:rsidR="001A70B8" w:rsidRDefault="001A70B8" w:rsidP="00101E5D">
      <w:pPr>
        <w:pStyle w:val="Heading4"/>
        <w:shd w:val="clear" w:color="auto" w:fill="FFFFFF" w:themeFill="background1"/>
        <w:spacing w:before="0"/>
      </w:pPr>
      <w:bookmarkStart w:id="268" w:name="_Toc85121234"/>
      <w:r w:rsidRPr="002029AF">
        <w:t>Annualised</w:t>
      </w:r>
      <w:r>
        <w:t xml:space="preserve"> </w:t>
      </w:r>
      <w:r w:rsidRPr="002029AF">
        <w:t>total</w:t>
      </w:r>
      <w:r>
        <w:t xml:space="preserve"> </w:t>
      </w:r>
      <w:r w:rsidRPr="002029AF">
        <w:t>salary,</w:t>
      </w:r>
      <w:r>
        <w:t xml:space="preserve"> </w:t>
      </w:r>
      <w:r w:rsidRPr="002029AF">
        <w:t>by</w:t>
      </w:r>
      <w:r>
        <w:t xml:space="preserve"> </w:t>
      </w:r>
      <w:r w:rsidRPr="002029AF">
        <w:t>$20,000</w:t>
      </w:r>
      <w:r>
        <w:t xml:space="preserve"> </w:t>
      </w:r>
      <w:r w:rsidRPr="002029AF">
        <w:t>bands,</w:t>
      </w:r>
      <w:r>
        <w:t xml:space="preserve"> </w:t>
      </w:r>
      <w:r w:rsidRPr="002029AF">
        <w:t>for</w:t>
      </w:r>
      <w:r>
        <w:t xml:space="preserve"> </w:t>
      </w:r>
      <w:r w:rsidRPr="002029AF">
        <w:t>executives</w:t>
      </w:r>
      <w:r>
        <w:t xml:space="preserve"> </w:t>
      </w:r>
      <w:r w:rsidRPr="002029AF">
        <w:t>and</w:t>
      </w:r>
      <w:r>
        <w:t xml:space="preserve"> </w:t>
      </w:r>
      <w:r w:rsidRPr="002029AF">
        <w:t>other</w:t>
      </w:r>
      <w:r>
        <w:t xml:space="preserve"> </w:t>
      </w:r>
      <w:r w:rsidRPr="002029AF">
        <w:t>senior</w:t>
      </w:r>
      <w:r>
        <w:t xml:space="preserve"> </w:t>
      </w:r>
      <w:r w:rsidRPr="002029AF">
        <w:t>non</w:t>
      </w:r>
      <w:r>
        <w:noBreakHyphen/>
      </w:r>
      <w:r w:rsidRPr="002029AF">
        <w:t>executive</w:t>
      </w:r>
      <w:r>
        <w:t xml:space="preserve"> </w:t>
      </w:r>
      <w:r w:rsidRPr="002029AF">
        <w:t>staff</w:t>
      </w:r>
      <w:bookmarkEnd w:id="268"/>
    </w:p>
    <w:p w14:paraId="607F1507" w14:textId="77777777" w:rsidR="001A70B8" w:rsidRPr="00B26015" w:rsidRDefault="001A70B8" w:rsidP="00101E5D">
      <w:pPr>
        <w:pStyle w:val="ARbodybeforetable"/>
        <w:shd w:val="clear" w:color="auto" w:fill="FFFFFF" w:themeFill="background1"/>
      </w:pPr>
      <w:r w:rsidRPr="001D5E51">
        <w:t>The</w:t>
      </w:r>
      <w:r>
        <w:t xml:space="preserve"> </w:t>
      </w:r>
      <w:r w:rsidRPr="001D5E51">
        <w:t>following</w:t>
      </w:r>
      <w:r>
        <w:t xml:space="preserve"> </w:t>
      </w:r>
      <w:r w:rsidRPr="001D5E51">
        <w:t>table</w:t>
      </w:r>
      <w:r>
        <w:t xml:space="preserve"> </w:t>
      </w:r>
      <w:r w:rsidRPr="001D5E51">
        <w:t>discloses</w:t>
      </w:r>
      <w:r>
        <w:t xml:space="preserve"> </w:t>
      </w:r>
      <w:r w:rsidRPr="001D5E51">
        <w:t>the</w:t>
      </w:r>
      <w:r>
        <w:t xml:space="preserve"> </w:t>
      </w:r>
      <w:r w:rsidRPr="001D5E51">
        <w:t>annualised</w:t>
      </w:r>
      <w:r>
        <w:t xml:space="preserve"> </w:t>
      </w:r>
      <w:r w:rsidRPr="001D5E51">
        <w:t>total</w:t>
      </w:r>
      <w:r>
        <w:t xml:space="preserve"> </w:t>
      </w:r>
      <w:r w:rsidRPr="001D5E51">
        <w:t>salary</w:t>
      </w:r>
      <w:r>
        <w:t xml:space="preserve"> </w:t>
      </w:r>
      <w:r w:rsidRPr="001D5E51">
        <w:t>for</w:t>
      </w:r>
      <w:r>
        <w:t xml:space="preserve"> </w:t>
      </w:r>
      <w:r w:rsidRPr="001D5E51">
        <w:t>senior</w:t>
      </w:r>
      <w:r>
        <w:t xml:space="preserve"> </w:t>
      </w:r>
      <w:r w:rsidRPr="001D5E51">
        <w:t>employees</w:t>
      </w:r>
      <w:r>
        <w:t xml:space="preserve"> </w:t>
      </w:r>
      <w:r w:rsidRPr="001D5E51">
        <w:t>of</w:t>
      </w:r>
      <w:r>
        <w:t xml:space="preserve"> Safer Care Victoria</w:t>
      </w:r>
      <w:r w:rsidRPr="001D5E51">
        <w:t>,</w:t>
      </w:r>
      <w:r>
        <w:t xml:space="preserve"> </w:t>
      </w:r>
      <w:r w:rsidRPr="001D5E51">
        <w:t>categorised</w:t>
      </w:r>
      <w:r>
        <w:t xml:space="preserve"> </w:t>
      </w:r>
      <w:r w:rsidRPr="001D5E51">
        <w:t>by</w:t>
      </w:r>
      <w:r>
        <w:t xml:space="preserve"> </w:t>
      </w:r>
      <w:r w:rsidRPr="001D5E51">
        <w:t>classification.</w:t>
      </w:r>
      <w:r>
        <w:t xml:space="preserve"> </w:t>
      </w:r>
      <w:r w:rsidRPr="001D5E51">
        <w:t>The</w:t>
      </w:r>
      <w:r>
        <w:t xml:space="preserve"> </w:t>
      </w:r>
      <w:r w:rsidRPr="001D5E51">
        <w:t>salary</w:t>
      </w:r>
      <w:r>
        <w:t xml:space="preserve"> </w:t>
      </w:r>
      <w:r w:rsidRPr="001D5E51">
        <w:t>amount</w:t>
      </w:r>
      <w:r>
        <w:t xml:space="preserve">s </w:t>
      </w:r>
      <w:r w:rsidRPr="00500114">
        <w:t>are</w:t>
      </w:r>
      <w:r>
        <w:t xml:space="preserve"> </w:t>
      </w:r>
      <w:r w:rsidRPr="00500114">
        <w:t>for</w:t>
      </w:r>
      <w:r>
        <w:t xml:space="preserve"> </w:t>
      </w:r>
      <w:r w:rsidRPr="00500114">
        <w:t>the</w:t>
      </w:r>
      <w:r>
        <w:t xml:space="preserve"> </w:t>
      </w:r>
      <w:r w:rsidRPr="00500114">
        <w:t>full</w:t>
      </w:r>
      <w:r>
        <w:t xml:space="preserve"> </w:t>
      </w:r>
      <w:r w:rsidRPr="00500114">
        <w:t>financial</w:t>
      </w:r>
      <w:r>
        <w:t xml:space="preserve"> </w:t>
      </w:r>
      <w:r w:rsidRPr="00500114">
        <w:t>year,</w:t>
      </w:r>
      <w:r>
        <w:t xml:space="preserve"> </w:t>
      </w:r>
      <w:r w:rsidRPr="00500114">
        <w:t>at</w:t>
      </w:r>
      <w:r>
        <w:t xml:space="preserve"> </w:t>
      </w:r>
      <w:r w:rsidRPr="00500114">
        <w:t>a</w:t>
      </w:r>
      <w:r>
        <w:t xml:space="preserve"> </w:t>
      </w:r>
      <w:r w:rsidRPr="00500114">
        <w:t>1-FTE</w:t>
      </w:r>
      <w:r>
        <w:t xml:space="preserve"> </w:t>
      </w:r>
      <w:r w:rsidRPr="00500114">
        <w:t>rate,</w:t>
      </w:r>
      <w:r>
        <w:t xml:space="preserve"> </w:t>
      </w:r>
      <w:r w:rsidRPr="00500114">
        <w:t>and</w:t>
      </w:r>
      <w:r>
        <w:t xml:space="preserve"> </w:t>
      </w:r>
      <w:r w:rsidRPr="00500114">
        <w:t>exclude</w:t>
      </w:r>
      <w:r>
        <w:t xml:space="preserve"> </w:t>
      </w:r>
      <w:r w:rsidRPr="00500114">
        <w:t>superannuation</w:t>
      </w:r>
      <w:r w:rsidRPr="001D5E51">
        <w:t>.</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2699"/>
        <w:gridCol w:w="1418"/>
        <w:gridCol w:w="1134"/>
        <w:gridCol w:w="1134"/>
        <w:gridCol w:w="1134"/>
        <w:gridCol w:w="1134"/>
        <w:gridCol w:w="992"/>
      </w:tblGrid>
      <w:tr w:rsidR="001A70B8" w:rsidRPr="002029AF" w14:paraId="71C66FAD" w14:textId="77777777" w:rsidTr="00D429B0">
        <w:trPr>
          <w:cantSplit/>
          <w:tblHeader/>
        </w:trPr>
        <w:tc>
          <w:tcPr>
            <w:tcW w:w="1399" w:type="pct"/>
            <w:tcBorders>
              <w:top w:val="nil"/>
              <w:bottom w:val="single" w:sz="4" w:space="0" w:color="auto"/>
            </w:tcBorders>
            <w:shd w:val="clear" w:color="auto" w:fill="auto"/>
          </w:tcPr>
          <w:p w14:paraId="065694CC" w14:textId="77777777" w:rsidR="001A70B8" w:rsidRPr="002029AF" w:rsidRDefault="001A70B8" w:rsidP="00101E5D">
            <w:pPr>
              <w:pStyle w:val="ARtablecolhead"/>
              <w:shd w:val="clear" w:color="auto" w:fill="FFFFFF" w:themeFill="background1"/>
            </w:pPr>
            <w:r w:rsidRPr="002029AF">
              <w:t>Income</w:t>
            </w:r>
            <w:r>
              <w:t xml:space="preserve"> </w:t>
            </w:r>
            <w:r w:rsidRPr="002029AF">
              <w:t>band</w:t>
            </w:r>
            <w:r>
              <w:t xml:space="preserve"> </w:t>
            </w:r>
            <w:r w:rsidRPr="002029AF">
              <w:t>(salary)</w:t>
            </w:r>
          </w:p>
        </w:tc>
        <w:tc>
          <w:tcPr>
            <w:tcW w:w="735" w:type="pct"/>
            <w:tcBorders>
              <w:top w:val="nil"/>
              <w:bottom w:val="single" w:sz="4" w:space="0" w:color="auto"/>
            </w:tcBorders>
            <w:shd w:val="clear" w:color="auto" w:fill="auto"/>
            <w:vAlign w:val="bottom"/>
          </w:tcPr>
          <w:p w14:paraId="42971520" w14:textId="77777777" w:rsidR="001A70B8" w:rsidRPr="002029AF" w:rsidRDefault="001A70B8" w:rsidP="00101E5D">
            <w:pPr>
              <w:pStyle w:val="ARtablecolheadright"/>
              <w:shd w:val="clear" w:color="auto" w:fill="FFFFFF" w:themeFill="background1"/>
            </w:pPr>
            <w:r w:rsidRPr="002029AF">
              <w:t>Executives</w:t>
            </w:r>
          </w:p>
        </w:tc>
        <w:tc>
          <w:tcPr>
            <w:tcW w:w="588" w:type="pct"/>
            <w:tcBorders>
              <w:top w:val="nil"/>
              <w:bottom w:val="single" w:sz="4" w:space="0" w:color="auto"/>
            </w:tcBorders>
            <w:shd w:val="clear" w:color="auto" w:fill="auto"/>
            <w:vAlign w:val="bottom"/>
          </w:tcPr>
          <w:p w14:paraId="39123D40" w14:textId="77777777" w:rsidR="001A70B8" w:rsidRPr="002029AF" w:rsidRDefault="001A70B8" w:rsidP="00101E5D">
            <w:pPr>
              <w:pStyle w:val="ARtablecolheadright"/>
              <w:shd w:val="clear" w:color="auto" w:fill="FFFFFF" w:themeFill="background1"/>
            </w:pPr>
            <w:r w:rsidRPr="002029AF">
              <w:t>STS</w:t>
            </w:r>
            <w:r w:rsidRPr="00BB3F1B">
              <w:rPr>
                <w:rStyle w:val="FootnoteReference"/>
              </w:rPr>
              <w:t>(</w:t>
            </w:r>
            <w:r>
              <w:rPr>
                <w:rStyle w:val="FootnoteReference"/>
              </w:rPr>
              <w:footnoteReference w:id="31"/>
            </w:r>
            <w:r w:rsidRPr="00BB3F1B">
              <w:rPr>
                <w:rStyle w:val="FootnoteReference"/>
              </w:rPr>
              <w:t>)</w:t>
            </w:r>
          </w:p>
        </w:tc>
        <w:tc>
          <w:tcPr>
            <w:tcW w:w="588" w:type="pct"/>
            <w:tcBorders>
              <w:top w:val="nil"/>
              <w:bottom w:val="single" w:sz="4" w:space="0" w:color="auto"/>
            </w:tcBorders>
            <w:shd w:val="clear" w:color="auto" w:fill="auto"/>
            <w:vAlign w:val="bottom"/>
          </w:tcPr>
          <w:p w14:paraId="0BC484D0" w14:textId="77777777" w:rsidR="001A70B8" w:rsidRPr="002029AF" w:rsidRDefault="001A70B8" w:rsidP="00101E5D">
            <w:pPr>
              <w:pStyle w:val="ARtablecolheadright"/>
              <w:shd w:val="clear" w:color="auto" w:fill="FFFFFF" w:themeFill="background1"/>
            </w:pPr>
            <w:r w:rsidRPr="002029AF">
              <w:t>PS</w:t>
            </w:r>
          </w:p>
        </w:tc>
        <w:tc>
          <w:tcPr>
            <w:tcW w:w="588" w:type="pct"/>
            <w:tcBorders>
              <w:top w:val="nil"/>
              <w:bottom w:val="single" w:sz="4" w:space="0" w:color="auto"/>
            </w:tcBorders>
            <w:vAlign w:val="bottom"/>
          </w:tcPr>
          <w:p w14:paraId="0D27DAC2" w14:textId="77777777" w:rsidR="001A70B8" w:rsidRPr="002029AF" w:rsidRDefault="001A70B8" w:rsidP="00101E5D">
            <w:pPr>
              <w:pStyle w:val="ARtablecolheadright"/>
              <w:shd w:val="clear" w:color="auto" w:fill="FFFFFF" w:themeFill="background1"/>
            </w:pPr>
            <w:r w:rsidRPr="002029AF">
              <w:t>SMA</w:t>
            </w:r>
          </w:p>
        </w:tc>
        <w:tc>
          <w:tcPr>
            <w:tcW w:w="588" w:type="pct"/>
            <w:tcBorders>
              <w:top w:val="nil"/>
              <w:bottom w:val="single" w:sz="4" w:space="0" w:color="auto"/>
            </w:tcBorders>
            <w:vAlign w:val="bottom"/>
          </w:tcPr>
          <w:p w14:paraId="4D000AFC" w14:textId="77777777" w:rsidR="001A70B8" w:rsidRPr="002029AF" w:rsidRDefault="001A70B8" w:rsidP="00101E5D">
            <w:pPr>
              <w:pStyle w:val="ARtablecolheadright"/>
              <w:shd w:val="clear" w:color="auto" w:fill="FFFFFF" w:themeFill="background1"/>
            </w:pPr>
            <w:r w:rsidRPr="002029AF">
              <w:t>SRA</w:t>
            </w:r>
          </w:p>
        </w:tc>
        <w:tc>
          <w:tcPr>
            <w:tcW w:w="514" w:type="pct"/>
            <w:tcBorders>
              <w:top w:val="nil"/>
              <w:bottom w:val="single" w:sz="4" w:space="0" w:color="auto"/>
            </w:tcBorders>
            <w:vAlign w:val="bottom"/>
          </w:tcPr>
          <w:p w14:paraId="15B23C77" w14:textId="77777777" w:rsidR="001A70B8" w:rsidRPr="002029AF" w:rsidRDefault="001A70B8" w:rsidP="00101E5D">
            <w:pPr>
              <w:pStyle w:val="ARtablecolheadright"/>
              <w:shd w:val="clear" w:color="auto" w:fill="FFFFFF" w:themeFill="background1"/>
            </w:pPr>
            <w:r w:rsidRPr="002029AF">
              <w:t>Other</w:t>
            </w:r>
          </w:p>
        </w:tc>
      </w:tr>
      <w:tr w:rsidR="001A70B8" w:rsidRPr="002029AF" w14:paraId="771B39AD" w14:textId="77777777" w:rsidTr="00D429B0">
        <w:trPr>
          <w:cantSplit/>
        </w:trPr>
        <w:tc>
          <w:tcPr>
            <w:tcW w:w="1399" w:type="pct"/>
            <w:tcBorders>
              <w:top w:val="single" w:sz="4" w:space="0" w:color="auto"/>
              <w:bottom w:val="single" w:sz="4" w:space="0" w:color="auto"/>
            </w:tcBorders>
            <w:shd w:val="clear" w:color="auto" w:fill="auto"/>
          </w:tcPr>
          <w:p w14:paraId="64B746DE" w14:textId="77777777" w:rsidR="001A70B8" w:rsidRPr="002029AF" w:rsidRDefault="001A70B8" w:rsidP="00101E5D">
            <w:pPr>
              <w:pStyle w:val="ARtabletext"/>
              <w:shd w:val="clear" w:color="auto" w:fill="FFFFFF" w:themeFill="background1"/>
            </w:pPr>
            <w:r w:rsidRPr="002029AF">
              <w:t>&lt;</w:t>
            </w:r>
            <w:r>
              <w:t xml:space="preserve"> </w:t>
            </w:r>
            <w:r w:rsidRPr="002029AF">
              <w:t>$160,000</w:t>
            </w:r>
          </w:p>
        </w:tc>
        <w:tc>
          <w:tcPr>
            <w:tcW w:w="735" w:type="pct"/>
            <w:tcBorders>
              <w:top w:val="single" w:sz="4" w:space="0" w:color="auto"/>
              <w:bottom w:val="single" w:sz="4" w:space="0" w:color="auto"/>
            </w:tcBorders>
            <w:shd w:val="clear" w:color="auto" w:fill="auto"/>
          </w:tcPr>
          <w:p w14:paraId="662698A0"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shd w:val="clear" w:color="auto" w:fill="auto"/>
          </w:tcPr>
          <w:p w14:paraId="71BA1421"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shd w:val="clear" w:color="auto" w:fill="auto"/>
          </w:tcPr>
          <w:p w14:paraId="0AA3264F"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tcPr>
          <w:p w14:paraId="300162F7"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tcPr>
          <w:p w14:paraId="403E7566" w14:textId="77777777" w:rsidR="001A70B8" w:rsidRPr="002029AF" w:rsidRDefault="001A70B8" w:rsidP="00101E5D">
            <w:pPr>
              <w:pStyle w:val="ARtabletextright"/>
              <w:shd w:val="clear" w:color="auto" w:fill="FFFFFF" w:themeFill="background1"/>
            </w:pPr>
          </w:p>
        </w:tc>
        <w:tc>
          <w:tcPr>
            <w:tcW w:w="514" w:type="pct"/>
            <w:tcBorders>
              <w:top w:val="single" w:sz="4" w:space="0" w:color="auto"/>
              <w:bottom w:val="single" w:sz="4" w:space="0" w:color="auto"/>
            </w:tcBorders>
          </w:tcPr>
          <w:p w14:paraId="372A9176" w14:textId="77777777" w:rsidR="001A70B8" w:rsidRPr="002029AF" w:rsidRDefault="001A70B8" w:rsidP="00101E5D">
            <w:pPr>
              <w:pStyle w:val="ARtabletextright"/>
              <w:shd w:val="clear" w:color="auto" w:fill="FFFFFF" w:themeFill="background1"/>
            </w:pPr>
          </w:p>
        </w:tc>
      </w:tr>
      <w:tr w:rsidR="001A70B8" w:rsidRPr="002029AF" w14:paraId="68B596B2" w14:textId="77777777" w:rsidTr="00D429B0">
        <w:trPr>
          <w:cantSplit/>
        </w:trPr>
        <w:tc>
          <w:tcPr>
            <w:tcW w:w="1399" w:type="pct"/>
            <w:tcBorders>
              <w:top w:val="single" w:sz="4" w:space="0" w:color="auto"/>
              <w:bottom w:val="single" w:sz="4" w:space="0" w:color="auto"/>
            </w:tcBorders>
            <w:shd w:val="clear" w:color="auto" w:fill="auto"/>
          </w:tcPr>
          <w:p w14:paraId="6A808B92" w14:textId="77777777" w:rsidR="001A70B8" w:rsidRPr="002029AF" w:rsidRDefault="001A70B8" w:rsidP="00101E5D">
            <w:pPr>
              <w:pStyle w:val="ARtabletext"/>
              <w:shd w:val="clear" w:color="auto" w:fill="FFFFFF" w:themeFill="background1"/>
            </w:pPr>
            <w:r w:rsidRPr="002029AF">
              <w:t>$160,000–$179,999</w:t>
            </w:r>
          </w:p>
        </w:tc>
        <w:tc>
          <w:tcPr>
            <w:tcW w:w="735" w:type="pct"/>
            <w:tcBorders>
              <w:top w:val="single" w:sz="4" w:space="0" w:color="auto"/>
              <w:bottom w:val="single" w:sz="4" w:space="0" w:color="auto"/>
            </w:tcBorders>
            <w:shd w:val="clear" w:color="auto" w:fill="auto"/>
          </w:tcPr>
          <w:p w14:paraId="60774544"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5AA92AC0"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26D9FAEB"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137BC3D1"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tcPr>
          <w:p w14:paraId="0E13F67B" w14:textId="77777777" w:rsidR="001A70B8" w:rsidRPr="002029AF" w:rsidRDefault="001A70B8" w:rsidP="00101E5D">
            <w:pPr>
              <w:pStyle w:val="ARtabletextright"/>
              <w:shd w:val="clear" w:color="auto" w:fill="FFFFFF" w:themeFill="background1"/>
            </w:pPr>
          </w:p>
        </w:tc>
        <w:tc>
          <w:tcPr>
            <w:tcW w:w="514" w:type="pct"/>
            <w:tcBorders>
              <w:top w:val="single" w:sz="4" w:space="0" w:color="auto"/>
              <w:bottom w:val="single" w:sz="4" w:space="0" w:color="auto"/>
            </w:tcBorders>
          </w:tcPr>
          <w:p w14:paraId="2EE38016" w14:textId="77777777" w:rsidR="001A70B8" w:rsidRPr="002029AF" w:rsidRDefault="001A70B8" w:rsidP="00101E5D">
            <w:pPr>
              <w:pStyle w:val="ARtabletextright"/>
              <w:shd w:val="clear" w:color="auto" w:fill="FFFFFF" w:themeFill="background1"/>
            </w:pPr>
          </w:p>
        </w:tc>
      </w:tr>
      <w:tr w:rsidR="001A70B8" w:rsidRPr="002029AF" w14:paraId="44F37438" w14:textId="77777777" w:rsidTr="00D429B0">
        <w:trPr>
          <w:cantSplit/>
        </w:trPr>
        <w:tc>
          <w:tcPr>
            <w:tcW w:w="1399" w:type="pct"/>
            <w:tcBorders>
              <w:top w:val="single" w:sz="4" w:space="0" w:color="auto"/>
              <w:bottom w:val="single" w:sz="4" w:space="0" w:color="auto"/>
            </w:tcBorders>
            <w:shd w:val="clear" w:color="auto" w:fill="auto"/>
          </w:tcPr>
          <w:p w14:paraId="1963082D" w14:textId="77777777" w:rsidR="001A70B8" w:rsidRPr="002029AF" w:rsidRDefault="001A70B8" w:rsidP="00101E5D">
            <w:pPr>
              <w:pStyle w:val="ARtabletext"/>
              <w:shd w:val="clear" w:color="auto" w:fill="FFFFFF" w:themeFill="background1"/>
            </w:pPr>
            <w:r w:rsidRPr="002029AF">
              <w:t>$180,000–$199,999</w:t>
            </w:r>
          </w:p>
        </w:tc>
        <w:tc>
          <w:tcPr>
            <w:tcW w:w="735" w:type="pct"/>
            <w:tcBorders>
              <w:top w:val="single" w:sz="4" w:space="0" w:color="auto"/>
              <w:bottom w:val="single" w:sz="4" w:space="0" w:color="auto"/>
            </w:tcBorders>
            <w:shd w:val="clear" w:color="auto" w:fill="auto"/>
          </w:tcPr>
          <w:p w14:paraId="073D7434"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3</w:t>
            </w:r>
          </w:p>
        </w:tc>
        <w:tc>
          <w:tcPr>
            <w:tcW w:w="588" w:type="pct"/>
            <w:tcBorders>
              <w:top w:val="single" w:sz="4" w:space="0" w:color="auto"/>
              <w:bottom w:val="single" w:sz="4" w:space="0" w:color="auto"/>
            </w:tcBorders>
            <w:shd w:val="clear" w:color="auto" w:fill="auto"/>
          </w:tcPr>
          <w:p w14:paraId="5B9F97CD"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1</w:t>
            </w:r>
          </w:p>
        </w:tc>
        <w:tc>
          <w:tcPr>
            <w:tcW w:w="588" w:type="pct"/>
            <w:tcBorders>
              <w:top w:val="single" w:sz="4" w:space="0" w:color="auto"/>
              <w:bottom w:val="single" w:sz="4" w:space="0" w:color="auto"/>
            </w:tcBorders>
            <w:shd w:val="clear" w:color="auto" w:fill="auto"/>
          </w:tcPr>
          <w:p w14:paraId="148F740F"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5E641C18"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tcPr>
          <w:p w14:paraId="4196AAD9" w14:textId="77777777" w:rsidR="001A70B8" w:rsidRPr="002029AF" w:rsidRDefault="001A70B8" w:rsidP="00101E5D">
            <w:pPr>
              <w:pStyle w:val="ARtabletextright"/>
              <w:shd w:val="clear" w:color="auto" w:fill="FFFFFF" w:themeFill="background1"/>
            </w:pPr>
          </w:p>
        </w:tc>
        <w:tc>
          <w:tcPr>
            <w:tcW w:w="514" w:type="pct"/>
            <w:tcBorders>
              <w:top w:val="single" w:sz="4" w:space="0" w:color="auto"/>
              <w:bottom w:val="single" w:sz="4" w:space="0" w:color="auto"/>
            </w:tcBorders>
          </w:tcPr>
          <w:p w14:paraId="4C251069" w14:textId="77777777" w:rsidR="001A70B8" w:rsidRPr="002029AF" w:rsidRDefault="001A70B8" w:rsidP="00101E5D">
            <w:pPr>
              <w:pStyle w:val="ARtabletextright"/>
              <w:shd w:val="clear" w:color="auto" w:fill="FFFFFF" w:themeFill="background1"/>
            </w:pPr>
          </w:p>
        </w:tc>
      </w:tr>
      <w:tr w:rsidR="001A70B8" w:rsidRPr="002029AF" w14:paraId="36BBF55E" w14:textId="77777777" w:rsidTr="00D429B0">
        <w:trPr>
          <w:cantSplit/>
        </w:trPr>
        <w:tc>
          <w:tcPr>
            <w:tcW w:w="1399" w:type="pct"/>
            <w:tcBorders>
              <w:top w:val="single" w:sz="4" w:space="0" w:color="auto"/>
              <w:bottom w:val="single" w:sz="4" w:space="0" w:color="auto"/>
            </w:tcBorders>
            <w:shd w:val="clear" w:color="auto" w:fill="auto"/>
          </w:tcPr>
          <w:p w14:paraId="4ABE6DA5" w14:textId="77777777" w:rsidR="001A70B8" w:rsidRPr="002029AF" w:rsidRDefault="001A70B8" w:rsidP="00101E5D">
            <w:pPr>
              <w:pStyle w:val="ARtabletext"/>
              <w:shd w:val="clear" w:color="auto" w:fill="FFFFFF" w:themeFill="background1"/>
            </w:pPr>
            <w:r w:rsidRPr="002029AF">
              <w:t>$200,000–$219,999</w:t>
            </w:r>
          </w:p>
        </w:tc>
        <w:tc>
          <w:tcPr>
            <w:tcW w:w="735" w:type="pct"/>
            <w:tcBorders>
              <w:top w:val="single" w:sz="4" w:space="0" w:color="auto"/>
              <w:bottom w:val="single" w:sz="4" w:space="0" w:color="auto"/>
            </w:tcBorders>
            <w:shd w:val="clear" w:color="auto" w:fill="auto"/>
          </w:tcPr>
          <w:p w14:paraId="068142F7"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1</w:t>
            </w:r>
          </w:p>
        </w:tc>
        <w:tc>
          <w:tcPr>
            <w:tcW w:w="588" w:type="pct"/>
            <w:tcBorders>
              <w:top w:val="single" w:sz="4" w:space="0" w:color="auto"/>
              <w:bottom w:val="single" w:sz="4" w:space="0" w:color="auto"/>
            </w:tcBorders>
            <w:shd w:val="clear" w:color="auto" w:fill="auto"/>
          </w:tcPr>
          <w:p w14:paraId="27F2A00D"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21F2CD8B"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7AC41786" w14:textId="77777777" w:rsidR="001A70B8" w:rsidRPr="002029AF" w:rsidRDefault="001A70B8" w:rsidP="00101E5D">
            <w:pPr>
              <w:pStyle w:val="ARtabletextright"/>
              <w:shd w:val="clear" w:color="auto" w:fill="FFFFFF" w:themeFill="background1"/>
            </w:pPr>
            <w:r>
              <w:t>1</w:t>
            </w:r>
          </w:p>
        </w:tc>
        <w:tc>
          <w:tcPr>
            <w:tcW w:w="588" w:type="pct"/>
            <w:tcBorders>
              <w:top w:val="single" w:sz="4" w:space="0" w:color="auto"/>
              <w:bottom w:val="single" w:sz="4" w:space="0" w:color="auto"/>
            </w:tcBorders>
          </w:tcPr>
          <w:p w14:paraId="4FC75B33" w14:textId="77777777" w:rsidR="001A70B8" w:rsidRPr="002029AF" w:rsidRDefault="001A70B8" w:rsidP="00101E5D">
            <w:pPr>
              <w:pStyle w:val="ARtabletextright"/>
              <w:shd w:val="clear" w:color="auto" w:fill="FFFFFF" w:themeFill="background1"/>
            </w:pPr>
          </w:p>
        </w:tc>
        <w:tc>
          <w:tcPr>
            <w:tcW w:w="514" w:type="pct"/>
            <w:tcBorders>
              <w:top w:val="single" w:sz="4" w:space="0" w:color="auto"/>
              <w:bottom w:val="single" w:sz="4" w:space="0" w:color="auto"/>
            </w:tcBorders>
          </w:tcPr>
          <w:p w14:paraId="2E02A68B" w14:textId="77777777" w:rsidR="001A70B8" w:rsidRPr="002029AF" w:rsidRDefault="001A70B8" w:rsidP="00101E5D">
            <w:pPr>
              <w:pStyle w:val="ARtabletextright"/>
              <w:shd w:val="clear" w:color="auto" w:fill="FFFFFF" w:themeFill="background1"/>
            </w:pPr>
          </w:p>
        </w:tc>
      </w:tr>
      <w:tr w:rsidR="001A70B8" w:rsidRPr="002029AF" w14:paraId="47F462AE" w14:textId="77777777" w:rsidTr="00D429B0">
        <w:trPr>
          <w:cantSplit/>
        </w:trPr>
        <w:tc>
          <w:tcPr>
            <w:tcW w:w="1399" w:type="pct"/>
            <w:tcBorders>
              <w:top w:val="single" w:sz="4" w:space="0" w:color="auto"/>
              <w:bottom w:val="single" w:sz="4" w:space="0" w:color="auto"/>
            </w:tcBorders>
            <w:shd w:val="clear" w:color="auto" w:fill="auto"/>
          </w:tcPr>
          <w:p w14:paraId="63C0ECF1" w14:textId="77777777" w:rsidR="001A70B8" w:rsidRPr="002029AF" w:rsidRDefault="001A70B8" w:rsidP="00101E5D">
            <w:pPr>
              <w:pStyle w:val="ARtabletext"/>
              <w:shd w:val="clear" w:color="auto" w:fill="FFFFFF" w:themeFill="background1"/>
            </w:pPr>
            <w:r w:rsidRPr="002029AF">
              <w:t>$220,000–$239,999</w:t>
            </w:r>
          </w:p>
        </w:tc>
        <w:tc>
          <w:tcPr>
            <w:tcW w:w="735" w:type="pct"/>
            <w:tcBorders>
              <w:top w:val="single" w:sz="4" w:space="0" w:color="auto"/>
              <w:bottom w:val="single" w:sz="4" w:space="0" w:color="auto"/>
            </w:tcBorders>
            <w:shd w:val="clear" w:color="auto" w:fill="auto"/>
          </w:tcPr>
          <w:p w14:paraId="7B4EB290" w14:textId="77777777" w:rsidR="001A70B8" w:rsidRPr="002029AF" w:rsidRDefault="001A70B8" w:rsidP="00101E5D">
            <w:pPr>
              <w:pStyle w:val="ARtabletextright"/>
              <w:shd w:val="clear" w:color="auto" w:fill="FFFFFF" w:themeFill="background1"/>
              <w:rPr>
                <w:color w:val="000000" w:themeColor="text1"/>
                <w:vertAlign w:val="superscript"/>
              </w:rPr>
            </w:pPr>
          </w:p>
        </w:tc>
        <w:tc>
          <w:tcPr>
            <w:tcW w:w="588" w:type="pct"/>
            <w:tcBorders>
              <w:top w:val="single" w:sz="4" w:space="0" w:color="auto"/>
              <w:bottom w:val="single" w:sz="4" w:space="0" w:color="auto"/>
            </w:tcBorders>
            <w:shd w:val="clear" w:color="auto" w:fill="auto"/>
          </w:tcPr>
          <w:p w14:paraId="1525366D" w14:textId="0A27112E" w:rsidR="001A70B8" w:rsidRPr="002029AF" w:rsidRDefault="001A70B8" w:rsidP="00101E5D">
            <w:pPr>
              <w:pStyle w:val="ARtabletextright"/>
              <w:shd w:val="clear" w:color="auto" w:fill="FFFFFF" w:themeFill="background1"/>
              <w:rPr>
                <w:color w:val="000000" w:themeColor="text1"/>
              </w:rPr>
            </w:pPr>
            <w:r w:rsidRPr="7FF407B0">
              <w:rPr>
                <w:color w:val="000000" w:themeColor="text1"/>
              </w:rPr>
              <w:t>1</w:t>
            </w:r>
            <w:r w:rsidRPr="1204680F">
              <w:rPr>
                <w:color w:val="000000" w:themeColor="text1"/>
                <w:vertAlign w:val="superscript"/>
              </w:rPr>
              <w:t>(</w:t>
            </w:r>
            <w:r w:rsidRPr="1204680F">
              <w:rPr>
                <w:rStyle w:val="FootnoteReference"/>
                <w:color w:val="000000" w:themeColor="text1"/>
              </w:rPr>
              <w:footnoteReference w:id="32"/>
            </w:r>
            <w:r w:rsidRPr="1204680F">
              <w:rPr>
                <w:color w:val="000000" w:themeColor="text1"/>
                <w:vertAlign w:val="superscript"/>
              </w:rPr>
              <w:t>)</w:t>
            </w:r>
          </w:p>
        </w:tc>
        <w:tc>
          <w:tcPr>
            <w:tcW w:w="588" w:type="pct"/>
            <w:tcBorders>
              <w:top w:val="single" w:sz="4" w:space="0" w:color="auto"/>
              <w:bottom w:val="single" w:sz="4" w:space="0" w:color="auto"/>
            </w:tcBorders>
            <w:shd w:val="clear" w:color="auto" w:fill="auto"/>
          </w:tcPr>
          <w:p w14:paraId="4FA5ADAB"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22044A32"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tcPr>
          <w:p w14:paraId="199F282C" w14:textId="77777777" w:rsidR="001A70B8" w:rsidRPr="002029AF" w:rsidRDefault="001A70B8" w:rsidP="00101E5D">
            <w:pPr>
              <w:pStyle w:val="ARtabletextright"/>
              <w:shd w:val="clear" w:color="auto" w:fill="FFFFFF" w:themeFill="background1"/>
            </w:pPr>
          </w:p>
        </w:tc>
        <w:tc>
          <w:tcPr>
            <w:tcW w:w="514" w:type="pct"/>
            <w:tcBorders>
              <w:top w:val="single" w:sz="4" w:space="0" w:color="auto"/>
              <w:bottom w:val="single" w:sz="4" w:space="0" w:color="auto"/>
            </w:tcBorders>
          </w:tcPr>
          <w:p w14:paraId="09D4E8D1" w14:textId="77777777" w:rsidR="001A70B8" w:rsidRPr="002029AF" w:rsidRDefault="001A70B8" w:rsidP="00101E5D">
            <w:pPr>
              <w:pStyle w:val="ARtabletextright"/>
              <w:shd w:val="clear" w:color="auto" w:fill="FFFFFF" w:themeFill="background1"/>
            </w:pPr>
          </w:p>
        </w:tc>
      </w:tr>
      <w:tr w:rsidR="001A70B8" w:rsidRPr="002029AF" w14:paraId="38DF28A8" w14:textId="77777777" w:rsidTr="00D429B0">
        <w:trPr>
          <w:cantSplit/>
        </w:trPr>
        <w:tc>
          <w:tcPr>
            <w:tcW w:w="1399" w:type="pct"/>
            <w:tcBorders>
              <w:top w:val="single" w:sz="4" w:space="0" w:color="auto"/>
              <w:bottom w:val="single" w:sz="4" w:space="0" w:color="auto"/>
            </w:tcBorders>
            <w:shd w:val="clear" w:color="auto" w:fill="auto"/>
          </w:tcPr>
          <w:p w14:paraId="057A955D" w14:textId="77777777" w:rsidR="001A70B8" w:rsidRPr="002029AF" w:rsidRDefault="001A70B8" w:rsidP="00101E5D">
            <w:pPr>
              <w:pStyle w:val="ARtabletext"/>
              <w:shd w:val="clear" w:color="auto" w:fill="FFFFFF" w:themeFill="background1"/>
            </w:pPr>
            <w:r w:rsidRPr="002029AF">
              <w:t>$240,000–$259,999</w:t>
            </w:r>
          </w:p>
        </w:tc>
        <w:tc>
          <w:tcPr>
            <w:tcW w:w="735" w:type="pct"/>
            <w:tcBorders>
              <w:top w:val="single" w:sz="4" w:space="0" w:color="auto"/>
              <w:bottom w:val="single" w:sz="4" w:space="0" w:color="auto"/>
            </w:tcBorders>
            <w:shd w:val="clear" w:color="auto" w:fill="auto"/>
          </w:tcPr>
          <w:p w14:paraId="4AC0D6B1"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1</w:t>
            </w:r>
          </w:p>
        </w:tc>
        <w:tc>
          <w:tcPr>
            <w:tcW w:w="588" w:type="pct"/>
            <w:tcBorders>
              <w:top w:val="single" w:sz="4" w:space="0" w:color="auto"/>
              <w:bottom w:val="single" w:sz="4" w:space="0" w:color="auto"/>
            </w:tcBorders>
            <w:shd w:val="clear" w:color="auto" w:fill="auto"/>
          </w:tcPr>
          <w:p w14:paraId="62F93032"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0CBADD96"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77D37AC9"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tcPr>
          <w:p w14:paraId="071A732C" w14:textId="77777777" w:rsidR="001A70B8" w:rsidRPr="002029AF" w:rsidRDefault="001A70B8" w:rsidP="00101E5D">
            <w:pPr>
              <w:pStyle w:val="ARtabletextright"/>
              <w:shd w:val="clear" w:color="auto" w:fill="FFFFFF" w:themeFill="background1"/>
            </w:pPr>
          </w:p>
        </w:tc>
        <w:tc>
          <w:tcPr>
            <w:tcW w:w="514" w:type="pct"/>
            <w:tcBorders>
              <w:top w:val="single" w:sz="4" w:space="0" w:color="auto"/>
              <w:bottom w:val="single" w:sz="4" w:space="0" w:color="auto"/>
            </w:tcBorders>
          </w:tcPr>
          <w:p w14:paraId="1CC12618" w14:textId="77777777" w:rsidR="001A70B8" w:rsidRPr="002029AF" w:rsidRDefault="001A70B8" w:rsidP="00101E5D">
            <w:pPr>
              <w:pStyle w:val="ARtabletextright"/>
              <w:shd w:val="clear" w:color="auto" w:fill="FFFFFF" w:themeFill="background1"/>
            </w:pPr>
          </w:p>
        </w:tc>
      </w:tr>
      <w:tr w:rsidR="001A70B8" w:rsidRPr="002029AF" w14:paraId="77DFACD9" w14:textId="77777777" w:rsidTr="00D429B0">
        <w:trPr>
          <w:cantSplit/>
        </w:trPr>
        <w:tc>
          <w:tcPr>
            <w:tcW w:w="1399" w:type="pct"/>
            <w:tcBorders>
              <w:top w:val="single" w:sz="4" w:space="0" w:color="auto"/>
              <w:bottom w:val="single" w:sz="4" w:space="0" w:color="auto"/>
            </w:tcBorders>
            <w:shd w:val="clear" w:color="auto" w:fill="auto"/>
          </w:tcPr>
          <w:p w14:paraId="642788E0" w14:textId="77777777" w:rsidR="001A70B8" w:rsidRPr="002029AF" w:rsidRDefault="001A70B8" w:rsidP="00101E5D">
            <w:pPr>
              <w:pStyle w:val="ARtabletext"/>
              <w:shd w:val="clear" w:color="auto" w:fill="FFFFFF" w:themeFill="background1"/>
            </w:pPr>
            <w:r w:rsidRPr="002029AF">
              <w:t>$260,000–$279,999</w:t>
            </w:r>
          </w:p>
        </w:tc>
        <w:tc>
          <w:tcPr>
            <w:tcW w:w="735" w:type="pct"/>
            <w:tcBorders>
              <w:top w:val="single" w:sz="4" w:space="0" w:color="auto"/>
              <w:bottom w:val="single" w:sz="4" w:space="0" w:color="auto"/>
            </w:tcBorders>
            <w:shd w:val="clear" w:color="auto" w:fill="auto"/>
          </w:tcPr>
          <w:p w14:paraId="5BBADD07"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2ABE45B6"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60852DBC"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70385E3C"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tcPr>
          <w:p w14:paraId="3D8414F0" w14:textId="77777777" w:rsidR="001A70B8" w:rsidRPr="002029AF" w:rsidRDefault="001A70B8" w:rsidP="00101E5D">
            <w:pPr>
              <w:pStyle w:val="ARtabletextright"/>
              <w:shd w:val="clear" w:color="auto" w:fill="FFFFFF" w:themeFill="background1"/>
            </w:pPr>
          </w:p>
        </w:tc>
        <w:tc>
          <w:tcPr>
            <w:tcW w:w="514" w:type="pct"/>
            <w:tcBorders>
              <w:top w:val="single" w:sz="4" w:space="0" w:color="auto"/>
              <w:bottom w:val="single" w:sz="4" w:space="0" w:color="auto"/>
            </w:tcBorders>
          </w:tcPr>
          <w:p w14:paraId="0F241FAB" w14:textId="77777777" w:rsidR="001A70B8" w:rsidRPr="002029AF" w:rsidRDefault="001A70B8" w:rsidP="00101E5D">
            <w:pPr>
              <w:pStyle w:val="ARtabletextright"/>
              <w:shd w:val="clear" w:color="auto" w:fill="FFFFFF" w:themeFill="background1"/>
            </w:pPr>
          </w:p>
        </w:tc>
      </w:tr>
      <w:tr w:rsidR="001A70B8" w:rsidRPr="002029AF" w14:paraId="1D123CF6" w14:textId="77777777" w:rsidTr="00D429B0">
        <w:trPr>
          <w:cantSplit/>
        </w:trPr>
        <w:tc>
          <w:tcPr>
            <w:tcW w:w="1399" w:type="pct"/>
            <w:tcBorders>
              <w:top w:val="single" w:sz="4" w:space="0" w:color="auto"/>
              <w:bottom w:val="single" w:sz="4" w:space="0" w:color="auto"/>
            </w:tcBorders>
            <w:shd w:val="clear" w:color="auto" w:fill="auto"/>
          </w:tcPr>
          <w:p w14:paraId="5AF6F6D8" w14:textId="77777777" w:rsidR="001A70B8" w:rsidRPr="002029AF" w:rsidRDefault="001A70B8" w:rsidP="00101E5D">
            <w:pPr>
              <w:pStyle w:val="ARtabletext"/>
              <w:shd w:val="clear" w:color="auto" w:fill="FFFFFF" w:themeFill="background1"/>
            </w:pPr>
            <w:r w:rsidRPr="002029AF">
              <w:t>$280,000–$299,999</w:t>
            </w:r>
          </w:p>
        </w:tc>
        <w:tc>
          <w:tcPr>
            <w:tcW w:w="735" w:type="pct"/>
            <w:tcBorders>
              <w:top w:val="single" w:sz="4" w:space="0" w:color="auto"/>
              <w:bottom w:val="single" w:sz="4" w:space="0" w:color="auto"/>
            </w:tcBorders>
            <w:shd w:val="clear" w:color="auto" w:fill="auto"/>
          </w:tcPr>
          <w:p w14:paraId="4F68999B"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7AD9A0AD"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09F61718"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40E0AC24"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tcPr>
          <w:p w14:paraId="0638B24E" w14:textId="77777777" w:rsidR="001A70B8" w:rsidRPr="002029AF" w:rsidRDefault="001A70B8" w:rsidP="00101E5D">
            <w:pPr>
              <w:pStyle w:val="ARtabletextright"/>
              <w:shd w:val="clear" w:color="auto" w:fill="FFFFFF" w:themeFill="background1"/>
            </w:pPr>
          </w:p>
        </w:tc>
        <w:tc>
          <w:tcPr>
            <w:tcW w:w="514" w:type="pct"/>
            <w:tcBorders>
              <w:top w:val="single" w:sz="4" w:space="0" w:color="auto"/>
              <w:bottom w:val="single" w:sz="4" w:space="0" w:color="auto"/>
            </w:tcBorders>
          </w:tcPr>
          <w:p w14:paraId="481D09EA" w14:textId="77777777" w:rsidR="001A70B8" w:rsidRPr="002029AF" w:rsidRDefault="001A70B8" w:rsidP="00101E5D">
            <w:pPr>
              <w:pStyle w:val="ARtabletextright"/>
              <w:shd w:val="clear" w:color="auto" w:fill="FFFFFF" w:themeFill="background1"/>
            </w:pPr>
          </w:p>
        </w:tc>
      </w:tr>
      <w:tr w:rsidR="001A70B8" w:rsidRPr="002029AF" w14:paraId="0E127469" w14:textId="77777777" w:rsidTr="00D429B0">
        <w:trPr>
          <w:cantSplit/>
        </w:trPr>
        <w:tc>
          <w:tcPr>
            <w:tcW w:w="1399" w:type="pct"/>
            <w:tcBorders>
              <w:top w:val="single" w:sz="4" w:space="0" w:color="auto"/>
              <w:bottom w:val="single" w:sz="4" w:space="0" w:color="auto"/>
            </w:tcBorders>
            <w:shd w:val="clear" w:color="auto" w:fill="auto"/>
          </w:tcPr>
          <w:p w14:paraId="5FB972DF" w14:textId="77777777" w:rsidR="001A70B8" w:rsidRPr="002029AF" w:rsidRDefault="001A70B8" w:rsidP="00101E5D">
            <w:pPr>
              <w:pStyle w:val="ARtabletext"/>
              <w:shd w:val="clear" w:color="auto" w:fill="FFFFFF" w:themeFill="background1"/>
            </w:pPr>
            <w:r w:rsidRPr="002029AF">
              <w:t>$300,000–$319,999</w:t>
            </w:r>
          </w:p>
        </w:tc>
        <w:tc>
          <w:tcPr>
            <w:tcW w:w="735" w:type="pct"/>
            <w:tcBorders>
              <w:top w:val="single" w:sz="4" w:space="0" w:color="auto"/>
              <w:bottom w:val="single" w:sz="4" w:space="0" w:color="auto"/>
            </w:tcBorders>
            <w:shd w:val="clear" w:color="auto" w:fill="auto"/>
          </w:tcPr>
          <w:p w14:paraId="6878B61E"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79EF8652"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7500E76E"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3EBB5987"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tcPr>
          <w:p w14:paraId="34665F8B" w14:textId="77777777" w:rsidR="001A70B8" w:rsidRPr="002029AF" w:rsidRDefault="001A70B8" w:rsidP="00101E5D">
            <w:pPr>
              <w:pStyle w:val="ARtabletextright"/>
              <w:shd w:val="clear" w:color="auto" w:fill="FFFFFF" w:themeFill="background1"/>
            </w:pPr>
          </w:p>
        </w:tc>
        <w:tc>
          <w:tcPr>
            <w:tcW w:w="514" w:type="pct"/>
            <w:tcBorders>
              <w:top w:val="single" w:sz="4" w:space="0" w:color="auto"/>
              <w:bottom w:val="single" w:sz="4" w:space="0" w:color="auto"/>
            </w:tcBorders>
          </w:tcPr>
          <w:p w14:paraId="566C269F" w14:textId="77777777" w:rsidR="001A70B8" w:rsidRPr="002029AF" w:rsidRDefault="001A70B8" w:rsidP="00101E5D">
            <w:pPr>
              <w:pStyle w:val="ARtabletextright"/>
              <w:shd w:val="clear" w:color="auto" w:fill="FFFFFF" w:themeFill="background1"/>
            </w:pPr>
          </w:p>
        </w:tc>
      </w:tr>
      <w:tr w:rsidR="001A70B8" w:rsidRPr="002029AF" w14:paraId="240E8698" w14:textId="77777777" w:rsidTr="00D429B0">
        <w:trPr>
          <w:cantSplit/>
        </w:trPr>
        <w:tc>
          <w:tcPr>
            <w:tcW w:w="1399" w:type="pct"/>
            <w:tcBorders>
              <w:top w:val="single" w:sz="4" w:space="0" w:color="auto"/>
              <w:bottom w:val="single" w:sz="4" w:space="0" w:color="auto"/>
            </w:tcBorders>
            <w:shd w:val="clear" w:color="auto" w:fill="auto"/>
          </w:tcPr>
          <w:p w14:paraId="7508A108" w14:textId="77777777" w:rsidR="001A70B8" w:rsidRPr="002029AF" w:rsidRDefault="001A70B8" w:rsidP="00101E5D">
            <w:pPr>
              <w:pStyle w:val="ARtabletext"/>
              <w:shd w:val="clear" w:color="auto" w:fill="FFFFFF" w:themeFill="background1"/>
            </w:pPr>
            <w:r w:rsidRPr="002029AF">
              <w:t>$320,000–$339,999</w:t>
            </w:r>
          </w:p>
        </w:tc>
        <w:tc>
          <w:tcPr>
            <w:tcW w:w="735" w:type="pct"/>
            <w:tcBorders>
              <w:top w:val="single" w:sz="4" w:space="0" w:color="auto"/>
              <w:bottom w:val="single" w:sz="4" w:space="0" w:color="auto"/>
            </w:tcBorders>
            <w:shd w:val="clear" w:color="auto" w:fill="auto"/>
          </w:tcPr>
          <w:p w14:paraId="67169548"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6869E237"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411849DF"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5BD6CD72"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tcPr>
          <w:p w14:paraId="5A947BA9" w14:textId="77777777" w:rsidR="001A70B8" w:rsidRPr="002029AF" w:rsidRDefault="001A70B8" w:rsidP="00101E5D">
            <w:pPr>
              <w:pStyle w:val="ARtabletextright"/>
              <w:shd w:val="clear" w:color="auto" w:fill="FFFFFF" w:themeFill="background1"/>
            </w:pPr>
          </w:p>
        </w:tc>
        <w:tc>
          <w:tcPr>
            <w:tcW w:w="514" w:type="pct"/>
            <w:tcBorders>
              <w:top w:val="single" w:sz="4" w:space="0" w:color="auto"/>
              <w:bottom w:val="single" w:sz="4" w:space="0" w:color="auto"/>
            </w:tcBorders>
          </w:tcPr>
          <w:p w14:paraId="0D58D5CB" w14:textId="77777777" w:rsidR="001A70B8" w:rsidRPr="002029AF" w:rsidRDefault="001A70B8" w:rsidP="00101E5D">
            <w:pPr>
              <w:pStyle w:val="ARtabletextright"/>
              <w:shd w:val="clear" w:color="auto" w:fill="FFFFFF" w:themeFill="background1"/>
            </w:pPr>
          </w:p>
        </w:tc>
      </w:tr>
      <w:tr w:rsidR="001A70B8" w:rsidRPr="002029AF" w14:paraId="6902CD16" w14:textId="77777777" w:rsidTr="00D429B0">
        <w:trPr>
          <w:cantSplit/>
        </w:trPr>
        <w:tc>
          <w:tcPr>
            <w:tcW w:w="1399" w:type="pct"/>
            <w:tcBorders>
              <w:top w:val="single" w:sz="4" w:space="0" w:color="auto"/>
              <w:bottom w:val="single" w:sz="4" w:space="0" w:color="auto"/>
            </w:tcBorders>
            <w:shd w:val="clear" w:color="auto" w:fill="auto"/>
          </w:tcPr>
          <w:p w14:paraId="5C4E3163" w14:textId="77777777" w:rsidR="001A70B8" w:rsidRPr="002029AF" w:rsidRDefault="001A70B8" w:rsidP="00101E5D">
            <w:pPr>
              <w:pStyle w:val="ARtabletext"/>
              <w:shd w:val="clear" w:color="auto" w:fill="FFFFFF" w:themeFill="background1"/>
            </w:pPr>
            <w:r w:rsidRPr="002029AF">
              <w:t>$340,000–$359,999</w:t>
            </w:r>
          </w:p>
        </w:tc>
        <w:tc>
          <w:tcPr>
            <w:tcW w:w="735" w:type="pct"/>
            <w:tcBorders>
              <w:top w:val="single" w:sz="4" w:space="0" w:color="auto"/>
              <w:bottom w:val="single" w:sz="4" w:space="0" w:color="auto"/>
            </w:tcBorders>
            <w:shd w:val="clear" w:color="auto" w:fill="auto"/>
          </w:tcPr>
          <w:p w14:paraId="3EC97756"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51F3E5F3"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14C96E9A"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0EA4BCD3"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tcPr>
          <w:p w14:paraId="60ECAAF0" w14:textId="77777777" w:rsidR="001A70B8" w:rsidRPr="002029AF" w:rsidRDefault="001A70B8" w:rsidP="00101E5D">
            <w:pPr>
              <w:pStyle w:val="ARtabletextright"/>
              <w:shd w:val="clear" w:color="auto" w:fill="FFFFFF" w:themeFill="background1"/>
            </w:pPr>
          </w:p>
        </w:tc>
        <w:tc>
          <w:tcPr>
            <w:tcW w:w="514" w:type="pct"/>
            <w:tcBorders>
              <w:top w:val="single" w:sz="4" w:space="0" w:color="auto"/>
              <w:bottom w:val="single" w:sz="4" w:space="0" w:color="auto"/>
            </w:tcBorders>
          </w:tcPr>
          <w:p w14:paraId="7266B38B" w14:textId="77777777" w:rsidR="001A70B8" w:rsidRPr="002029AF" w:rsidRDefault="001A70B8" w:rsidP="00101E5D">
            <w:pPr>
              <w:pStyle w:val="ARtabletextright"/>
              <w:shd w:val="clear" w:color="auto" w:fill="FFFFFF" w:themeFill="background1"/>
            </w:pPr>
          </w:p>
        </w:tc>
      </w:tr>
      <w:tr w:rsidR="001A70B8" w:rsidRPr="002029AF" w14:paraId="61ADED6C" w14:textId="77777777" w:rsidTr="00D429B0">
        <w:trPr>
          <w:cantSplit/>
        </w:trPr>
        <w:tc>
          <w:tcPr>
            <w:tcW w:w="1399" w:type="pct"/>
            <w:tcBorders>
              <w:top w:val="single" w:sz="4" w:space="0" w:color="auto"/>
              <w:bottom w:val="single" w:sz="4" w:space="0" w:color="auto"/>
            </w:tcBorders>
            <w:shd w:val="clear" w:color="auto" w:fill="auto"/>
          </w:tcPr>
          <w:p w14:paraId="2B82ACEB" w14:textId="77777777" w:rsidR="001A70B8" w:rsidRPr="002029AF" w:rsidRDefault="001A70B8" w:rsidP="00101E5D">
            <w:pPr>
              <w:pStyle w:val="ARtabletext"/>
              <w:shd w:val="clear" w:color="auto" w:fill="FFFFFF" w:themeFill="background1"/>
            </w:pPr>
            <w:r w:rsidRPr="002029AF">
              <w:t>$360,000–$379,999</w:t>
            </w:r>
          </w:p>
        </w:tc>
        <w:tc>
          <w:tcPr>
            <w:tcW w:w="735" w:type="pct"/>
            <w:tcBorders>
              <w:top w:val="single" w:sz="4" w:space="0" w:color="auto"/>
              <w:bottom w:val="single" w:sz="4" w:space="0" w:color="auto"/>
            </w:tcBorders>
            <w:shd w:val="clear" w:color="auto" w:fill="auto"/>
          </w:tcPr>
          <w:p w14:paraId="4F308ABD"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1447468F"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0D6AA3E2"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4F1DD6F7"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tcPr>
          <w:p w14:paraId="46CC8E9B" w14:textId="77777777" w:rsidR="001A70B8" w:rsidRPr="002029AF" w:rsidRDefault="001A70B8" w:rsidP="00101E5D">
            <w:pPr>
              <w:pStyle w:val="ARtabletextright"/>
              <w:shd w:val="clear" w:color="auto" w:fill="FFFFFF" w:themeFill="background1"/>
            </w:pPr>
          </w:p>
        </w:tc>
        <w:tc>
          <w:tcPr>
            <w:tcW w:w="514" w:type="pct"/>
            <w:tcBorders>
              <w:top w:val="single" w:sz="4" w:space="0" w:color="auto"/>
              <w:bottom w:val="single" w:sz="4" w:space="0" w:color="auto"/>
            </w:tcBorders>
          </w:tcPr>
          <w:p w14:paraId="3087B816" w14:textId="77777777" w:rsidR="001A70B8" w:rsidRPr="002029AF" w:rsidRDefault="001A70B8" w:rsidP="00101E5D">
            <w:pPr>
              <w:pStyle w:val="ARtabletextright"/>
              <w:shd w:val="clear" w:color="auto" w:fill="FFFFFF" w:themeFill="background1"/>
            </w:pPr>
          </w:p>
        </w:tc>
      </w:tr>
      <w:tr w:rsidR="001A70B8" w:rsidRPr="002029AF" w14:paraId="5D3789A8" w14:textId="77777777" w:rsidTr="00D429B0">
        <w:trPr>
          <w:cantSplit/>
        </w:trPr>
        <w:tc>
          <w:tcPr>
            <w:tcW w:w="1399" w:type="pct"/>
            <w:tcBorders>
              <w:top w:val="single" w:sz="4" w:space="0" w:color="auto"/>
              <w:bottom w:val="single" w:sz="4" w:space="0" w:color="auto"/>
            </w:tcBorders>
            <w:shd w:val="clear" w:color="auto" w:fill="auto"/>
          </w:tcPr>
          <w:p w14:paraId="687A225F" w14:textId="77777777" w:rsidR="001A70B8" w:rsidRPr="002029AF" w:rsidRDefault="001A70B8" w:rsidP="00101E5D">
            <w:pPr>
              <w:pStyle w:val="ARtabletext"/>
              <w:shd w:val="clear" w:color="auto" w:fill="FFFFFF" w:themeFill="background1"/>
            </w:pPr>
            <w:r w:rsidRPr="002029AF">
              <w:t>$380,000–$399,999</w:t>
            </w:r>
          </w:p>
        </w:tc>
        <w:tc>
          <w:tcPr>
            <w:tcW w:w="735" w:type="pct"/>
            <w:tcBorders>
              <w:top w:val="single" w:sz="4" w:space="0" w:color="auto"/>
              <w:bottom w:val="single" w:sz="4" w:space="0" w:color="auto"/>
            </w:tcBorders>
            <w:shd w:val="clear" w:color="auto" w:fill="auto"/>
          </w:tcPr>
          <w:p w14:paraId="3085840F" w14:textId="77777777" w:rsidR="001A70B8" w:rsidRPr="002029AF" w:rsidRDefault="001A70B8" w:rsidP="00101E5D">
            <w:pPr>
              <w:pStyle w:val="ARtabletextright"/>
              <w:shd w:val="clear" w:color="auto" w:fill="FFFFFF" w:themeFill="background1"/>
              <w:rPr>
                <w:color w:val="000000" w:themeColor="text1"/>
              </w:rPr>
            </w:pPr>
            <w:r>
              <w:rPr>
                <w:color w:val="000000" w:themeColor="text1"/>
              </w:rPr>
              <w:t>1</w:t>
            </w:r>
          </w:p>
        </w:tc>
        <w:tc>
          <w:tcPr>
            <w:tcW w:w="588" w:type="pct"/>
            <w:tcBorders>
              <w:top w:val="single" w:sz="4" w:space="0" w:color="auto"/>
              <w:bottom w:val="single" w:sz="4" w:space="0" w:color="auto"/>
            </w:tcBorders>
            <w:shd w:val="clear" w:color="auto" w:fill="auto"/>
          </w:tcPr>
          <w:p w14:paraId="0D27FC5C"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5208FEC8"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3E2322B0"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tcPr>
          <w:p w14:paraId="64F68038" w14:textId="77777777" w:rsidR="001A70B8" w:rsidRPr="002029AF" w:rsidRDefault="001A70B8" w:rsidP="00101E5D">
            <w:pPr>
              <w:pStyle w:val="ARtabletextright"/>
              <w:shd w:val="clear" w:color="auto" w:fill="FFFFFF" w:themeFill="background1"/>
            </w:pPr>
          </w:p>
        </w:tc>
        <w:tc>
          <w:tcPr>
            <w:tcW w:w="514" w:type="pct"/>
            <w:tcBorders>
              <w:top w:val="single" w:sz="4" w:space="0" w:color="auto"/>
              <w:bottom w:val="single" w:sz="4" w:space="0" w:color="auto"/>
            </w:tcBorders>
          </w:tcPr>
          <w:p w14:paraId="5FA1CCB8" w14:textId="77777777" w:rsidR="001A70B8" w:rsidRPr="002029AF" w:rsidRDefault="001A70B8" w:rsidP="00101E5D">
            <w:pPr>
              <w:pStyle w:val="ARtabletextright"/>
              <w:shd w:val="clear" w:color="auto" w:fill="FFFFFF" w:themeFill="background1"/>
            </w:pPr>
          </w:p>
        </w:tc>
      </w:tr>
      <w:tr w:rsidR="001A70B8" w:rsidRPr="002029AF" w14:paraId="5BDA0DDA" w14:textId="77777777" w:rsidTr="00D429B0">
        <w:trPr>
          <w:cantSplit/>
        </w:trPr>
        <w:tc>
          <w:tcPr>
            <w:tcW w:w="1399" w:type="pct"/>
            <w:tcBorders>
              <w:top w:val="single" w:sz="4" w:space="0" w:color="auto"/>
              <w:bottom w:val="single" w:sz="4" w:space="0" w:color="auto"/>
            </w:tcBorders>
            <w:shd w:val="clear" w:color="auto" w:fill="auto"/>
          </w:tcPr>
          <w:p w14:paraId="36A8D191" w14:textId="77777777" w:rsidR="001A70B8" w:rsidRPr="002029AF" w:rsidRDefault="001A70B8" w:rsidP="00101E5D">
            <w:pPr>
              <w:pStyle w:val="ARtabletext"/>
              <w:shd w:val="clear" w:color="auto" w:fill="FFFFFF" w:themeFill="background1"/>
            </w:pPr>
            <w:r w:rsidRPr="002029AF">
              <w:t>$400,000–$419,999</w:t>
            </w:r>
          </w:p>
        </w:tc>
        <w:tc>
          <w:tcPr>
            <w:tcW w:w="735" w:type="pct"/>
            <w:tcBorders>
              <w:top w:val="single" w:sz="4" w:space="0" w:color="auto"/>
              <w:bottom w:val="single" w:sz="4" w:space="0" w:color="auto"/>
            </w:tcBorders>
            <w:shd w:val="clear" w:color="auto" w:fill="auto"/>
          </w:tcPr>
          <w:p w14:paraId="057C71DC"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1228B1A8"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3E343E5E"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754968CC"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tcPr>
          <w:p w14:paraId="1C465359" w14:textId="77777777" w:rsidR="001A70B8" w:rsidRPr="002029AF" w:rsidRDefault="001A70B8" w:rsidP="00101E5D">
            <w:pPr>
              <w:pStyle w:val="ARtabletextright"/>
              <w:shd w:val="clear" w:color="auto" w:fill="FFFFFF" w:themeFill="background1"/>
            </w:pPr>
          </w:p>
        </w:tc>
        <w:tc>
          <w:tcPr>
            <w:tcW w:w="514" w:type="pct"/>
            <w:tcBorders>
              <w:top w:val="single" w:sz="4" w:space="0" w:color="auto"/>
              <w:bottom w:val="single" w:sz="4" w:space="0" w:color="auto"/>
            </w:tcBorders>
          </w:tcPr>
          <w:p w14:paraId="50F82CC3" w14:textId="77777777" w:rsidR="001A70B8" w:rsidRPr="002029AF" w:rsidRDefault="001A70B8" w:rsidP="00101E5D">
            <w:pPr>
              <w:pStyle w:val="ARtabletextright"/>
              <w:shd w:val="clear" w:color="auto" w:fill="FFFFFF" w:themeFill="background1"/>
            </w:pPr>
          </w:p>
        </w:tc>
      </w:tr>
      <w:tr w:rsidR="001A70B8" w:rsidRPr="002029AF" w14:paraId="4F10F014" w14:textId="77777777" w:rsidTr="00D429B0">
        <w:trPr>
          <w:cantSplit/>
        </w:trPr>
        <w:tc>
          <w:tcPr>
            <w:tcW w:w="1399" w:type="pct"/>
            <w:tcBorders>
              <w:top w:val="single" w:sz="4" w:space="0" w:color="auto"/>
              <w:bottom w:val="single" w:sz="4" w:space="0" w:color="auto"/>
            </w:tcBorders>
            <w:shd w:val="clear" w:color="auto" w:fill="auto"/>
          </w:tcPr>
          <w:p w14:paraId="57525C4E" w14:textId="77777777" w:rsidR="001A70B8" w:rsidRPr="002029AF" w:rsidRDefault="001A70B8" w:rsidP="00101E5D">
            <w:pPr>
              <w:pStyle w:val="ARtabletext"/>
              <w:shd w:val="clear" w:color="auto" w:fill="FFFFFF" w:themeFill="background1"/>
            </w:pPr>
            <w:r w:rsidRPr="002029AF">
              <w:t>$420,000–$439,999</w:t>
            </w:r>
          </w:p>
        </w:tc>
        <w:tc>
          <w:tcPr>
            <w:tcW w:w="735" w:type="pct"/>
            <w:tcBorders>
              <w:top w:val="single" w:sz="4" w:space="0" w:color="auto"/>
              <w:bottom w:val="single" w:sz="4" w:space="0" w:color="auto"/>
            </w:tcBorders>
            <w:shd w:val="clear" w:color="auto" w:fill="auto"/>
          </w:tcPr>
          <w:p w14:paraId="0DABFCB2"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1A0A02C5"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0D190BB2"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14E2741F"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tcPr>
          <w:p w14:paraId="4E8D958A" w14:textId="77777777" w:rsidR="001A70B8" w:rsidRPr="002029AF" w:rsidRDefault="001A70B8" w:rsidP="00101E5D">
            <w:pPr>
              <w:pStyle w:val="ARtabletextright"/>
              <w:shd w:val="clear" w:color="auto" w:fill="FFFFFF" w:themeFill="background1"/>
            </w:pPr>
          </w:p>
        </w:tc>
        <w:tc>
          <w:tcPr>
            <w:tcW w:w="514" w:type="pct"/>
            <w:tcBorders>
              <w:top w:val="single" w:sz="4" w:space="0" w:color="auto"/>
              <w:bottom w:val="single" w:sz="4" w:space="0" w:color="auto"/>
            </w:tcBorders>
          </w:tcPr>
          <w:p w14:paraId="28AEA587" w14:textId="77777777" w:rsidR="001A70B8" w:rsidRPr="002029AF" w:rsidRDefault="001A70B8" w:rsidP="00101E5D">
            <w:pPr>
              <w:pStyle w:val="ARtabletextright"/>
              <w:shd w:val="clear" w:color="auto" w:fill="FFFFFF" w:themeFill="background1"/>
            </w:pPr>
          </w:p>
        </w:tc>
      </w:tr>
      <w:tr w:rsidR="001A70B8" w:rsidRPr="002029AF" w14:paraId="434FC7C2" w14:textId="77777777" w:rsidTr="00D429B0">
        <w:trPr>
          <w:cantSplit/>
        </w:trPr>
        <w:tc>
          <w:tcPr>
            <w:tcW w:w="1399" w:type="pct"/>
            <w:tcBorders>
              <w:top w:val="single" w:sz="4" w:space="0" w:color="auto"/>
              <w:bottom w:val="single" w:sz="4" w:space="0" w:color="auto"/>
            </w:tcBorders>
            <w:shd w:val="clear" w:color="auto" w:fill="auto"/>
          </w:tcPr>
          <w:p w14:paraId="57D70668" w14:textId="77777777" w:rsidR="001A70B8" w:rsidRPr="002029AF" w:rsidRDefault="001A70B8" w:rsidP="00101E5D">
            <w:pPr>
              <w:pStyle w:val="ARtabletext"/>
              <w:shd w:val="clear" w:color="auto" w:fill="FFFFFF" w:themeFill="background1"/>
            </w:pPr>
            <w:r w:rsidRPr="002029AF">
              <w:t>$440,000–$459,999</w:t>
            </w:r>
          </w:p>
        </w:tc>
        <w:tc>
          <w:tcPr>
            <w:tcW w:w="735" w:type="pct"/>
            <w:tcBorders>
              <w:top w:val="single" w:sz="4" w:space="0" w:color="auto"/>
              <w:bottom w:val="single" w:sz="4" w:space="0" w:color="auto"/>
            </w:tcBorders>
            <w:shd w:val="clear" w:color="auto" w:fill="auto"/>
          </w:tcPr>
          <w:p w14:paraId="6F1DA722"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5FA1BE02"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5B0339E7"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25D13154"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tcPr>
          <w:p w14:paraId="655E3842" w14:textId="77777777" w:rsidR="001A70B8" w:rsidRPr="002029AF" w:rsidRDefault="001A70B8" w:rsidP="00101E5D">
            <w:pPr>
              <w:pStyle w:val="ARtabletextright"/>
              <w:shd w:val="clear" w:color="auto" w:fill="FFFFFF" w:themeFill="background1"/>
            </w:pPr>
          </w:p>
        </w:tc>
        <w:tc>
          <w:tcPr>
            <w:tcW w:w="514" w:type="pct"/>
            <w:tcBorders>
              <w:top w:val="single" w:sz="4" w:space="0" w:color="auto"/>
              <w:bottom w:val="single" w:sz="4" w:space="0" w:color="auto"/>
            </w:tcBorders>
          </w:tcPr>
          <w:p w14:paraId="6AA12686" w14:textId="77777777" w:rsidR="001A70B8" w:rsidRPr="002029AF" w:rsidRDefault="001A70B8" w:rsidP="00101E5D">
            <w:pPr>
              <w:pStyle w:val="ARtabletextright"/>
              <w:shd w:val="clear" w:color="auto" w:fill="FFFFFF" w:themeFill="background1"/>
            </w:pPr>
          </w:p>
        </w:tc>
      </w:tr>
      <w:tr w:rsidR="001A70B8" w:rsidRPr="002029AF" w14:paraId="793881F1" w14:textId="77777777" w:rsidTr="00D429B0">
        <w:trPr>
          <w:cantSplit/>
        </w:trPr>
        <w:tc>
          <w:tcPr>
            <w:tcW w:w="1399" w:type="pct"/>
            <w:tcBorders>
              <w:top w:val="single" w:sz="4" w:space="0" w:color="auto"/>
              <w:bottom w:val="single" w:sz="4" w:space="0" w:color="auto"/>
            </w:tcBorders>
            <w:shd w:val="clear" w:color="auto" w:fill="auto"/>
          </w:tcPr>
          <w:p w14:paraId="66AF3896" w14:textId="77777777" w:rsidR="001A70B8" w:rsidRPr="002029AF" w:rsidRDefault="001A70B8" w:rsidP="00101E5D">
            <w:pPr>
              <w:pStyle w:val="ARtabletext"/>
              <w:shd w:val="clear" w:color="auto" w:fill="FFFFFF" w:themeFill="background1"/>
            </w:pPr>
            <w:r w:rsidRPr="002029AF">
              <w:t>$460,000–$479,999</w:t>
            </w:r>
          </w:p>
        </w:tc>
        <w:tc>
          <w:tcPr>
            <w:tcW w:w="735" w:type="pct"/>
            <w:tcBorders>
              <w:top w:val="single" w:sz="4" w:space="0" w:color="auto"/>
              <w:bottom w:val="single" w:sz="4" w:space="0" w:color="auto"/>
            </w:tcBorders>
            <w:shd w:val="clear" w:color="auto" w:fill="auto"/>
          </w:tcPr>
          <w:p w14:paraId="6B1ACDE6" w14:textId="77777777" w:rsidR="001A70B8" w:rsidRPr="002029AF" w:rsidRDefault="001A70B8" w:rsidP="00101E5D">
            <w:pPr>
              <w:pStyle w:val="ARtabletextright"/>
              <w:shd w:val="clear" w:color="auto" w:fill="FFFFFF" w:themeFill="background1"/>
              <w:rPr>
                <w:color w:val="000000" w:themeColor="text1"/>
              </w:rPr>
            </w:pPr>
            <w:r w:rsidRPr="4506FAB0">
              <w:rPr>
                <w:color w:val="000000" w:themeColor="text1"/>
              </w:rPr>
              <w:t>1</w:t>
            </w:r>
            <w:r w:rsidRPr="4506FAB0">
              <w:rPr>
                <w:color w:val="000000" w:themeColor="text1"/>
                <w:vertAlign w:val="superscript"/>
              </w:rPr>
              <w:t>(</w:t>
            </w:r>
            <w:r w:rsidRPr="4506FAB0">
              <w:rPr>
                <w:rStyle w:val="FootnoteReference"/>
                <w:color w:val="000000" w:themeColor="text1"/>
              </w:rPr>
              <w:footnoteReference w:id="33"/>
            </w:r>
            <w:r w:rsidRPr="4506FAB0">
              <w:rPr>
                <w:color w:val="000000" w:themeColor="text1"/>
                <w:vertAlign w:val="superscript"/>
              </w:rPr>
              <w:t>)</w:t>
            </w:r>
          </w:p>
        </w:tc>
        <w:tc>
          <w:tcPr>
            <w:tcW w:w="588" w:type="pct"/>
            <w:tcBorders>
              <w:top w:val="single" w:sz="4" w:space="0" w:color="auto"/>
              <w:bottom w:val="single" w:sz="4" w:space="0" w:color="auto"/>
            </w:tcBorders>
            <w:shd w:val="clear" w:color="auto" w:fill="auto"/>
          </w:tcPr>
          <w:p w14:paraId="7E59D09C"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56A4EBA1"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0FF05C2E"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tcPr>
          <w:p w14:paraId="130CF847" w14:textId="77777777" w:rsidR="001A70B8" w:rsidRPr="002029AF" w:rsidRDefault="001A70B8" w:rsidP="00101E5D">
            <w:pPr>
              <w:pStyle w:val="ARtabletextright"/>
              <w:shd w:val="clear" w:color="auto" w:fill="FFFFFF" w:themeFill="background1"/>
            </w:pPr>
          </w:p>
        </w:tc>
        <w:tc>
          <w:tcPr>
            <w:tcW w:w="514" w:type="pct"/>
            <w:tcBorders>
              <w:top w:val="single" w:sz="4" w:space="0" w:color="auto"/>
              <w:bottom w:val="single" w:sz="4" w:space="0" w:color="auto"/>
            </w:tcBorders>
          </w:tcPr>
          <w:p w14:paraId="739D6BAB" w14:textId="77777777" w:rsidR="001A70B8" w:rsidRPr="002029AF" w:rsidRDefault="001A70B8" w:rsidP="00101E5D">
            <w:pPr>
              <w:pStyle w:val="ARtabletextright"/>
              <w:shd w:val="clear" w:color="auto" w:fill="FFFFFF" w:themeFill="background1"/>
            </w:pPr>
          </w:p>
        </w:tc>
      </w:tr>
      <w:tr w:rsidR="001A70B8" w:rsidRPr="002029AF" w14:paraId="76A40AB3" w14:textId="77777777" w:rsidTr="00D429B0">
        <w:trPr>
          <w:cantSplit/>
        </w:trPr>
        <w:tc>
          <w:tcPr>
            <w:tcW w:w="1399" w:type="pct"/>
            <w:tcBorders>
              <w:top w:val="single" w:sz="4" w:space="0" w:color="auto"/>
              <w:bottom w:val="single" w:sz="4" w:space="0" w:color="auto"/>
            </w:tcBorders>
            <w:shd w:val="clear" w:color="auto" w:fill="auto"/>
          </w:tcPr>
          <w:p w14:paraId="07DE004D" w14:textId="77777777" w:rsidR="001A70B8" w:rsidRPr="002029AF" w:rsidRDefault="001A70B8" w:rsidP="00101E5D">
            <w:pPr>
              <w:pStyle w:val="ARtabletext"/>
              <w:shd w:val="clear" w:color="auto" w:fill="FFFFFF" w:themeFill="background1"/>
            </w:pPr>
            <w:r w:rsidRPr="002029AF">
              <w:t>$520,000–$539,999</w:t>
            </w:r>
          </w:p>
        </w:tc>
        <w:tc>
          <w:tcPr>
            <w:tcW w:w="735" w:type="pct"/>
            <w:tcBorders>
              <w:top w:val="single" w:sz="4" w:space="0" w:color="auto"/>
              <w:bottom w:val="single" w:sz="4" w:space="0" w:color="auto"/>
            </w:tcBorders>
            <w:shd w:val="clear" w:color="auto" w:fill="auto"/>
          </w:tcPr>
          <w:p w14:paraId="6ABE464A"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209B6731"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shd w:val="clear" w:color="auto" w:fill="auto"/>
          </w:tcPr>
          <w:p w14:paraId="04D28245" w14:textId="77777777" w:rsidR="001A70B8" w:rsidRPr="002029AF" w:rsidRDefault="001A70B8" w:rsidP="00101E5D">
            <w:pPr>
              <w:pStyle w:val="ARtabletextright"/>
              <w:shd w:val="clear" w:color="auto" w:fill="FFFFFF" w:themeFill="background1"/>
              <w:rPr>
                <w:color w:val="000000" w:themeColor="text1"/>
              </w:rPr>
            </w:pPr>
          </w:p>
        </w:tc>
        <w:tc>
          <w:tcPr>
            <w:tcW w:w="588" w:type="pct"/>
            <w:tcBorders>
              <w:top w:val="single" w:sz="4" w:space="0" w:color="auto"/>
              <w:bottom w:val="single" w:sz="4" w:space="0" w:color="auto"/>
            </w:tcBorders>
          </w:tcPr>
          <w:p w14:paraId="1ADC3EC6" w14:textId="77777777" w:rsidR="001A70B8" w:rsidRPr="002029AF" w:rsidRDefault="001A70B8" w:rsidP="00101E5D">
            <w:pPr>
              <w:pStyle w:val="ARtabletextright"/>
              <w:shd w:val="clear" w:color="auto" w:fill="FFFFFF" w:themeFill="background1"/>
            </w:pPr>
          </w:p>
        </w:tc>
        <w:tc>
          <w:tcPr>
            <w:tcW w:w="588" w:type="pct"/>
            <w:tcBorders>
              <w:top w:val="single" w:sz="4" w:space="0" w:color="auto"/>
              <w:bottom w:val="single" w:sz="4" w:space="0" w:color="auto"/>
            </w:tcBorders>
          </w:tcPr>
          <w:p w14:paraId="0E610421" w14:textId="77777777" w:rsidR="001A70B8" w:rsidRPr="002029AF" w:rsidRDefault="001A70B8" w:rsidP="00101E5D">
            <w:pPr>
              <w:pStyle w:val="ARtabletextright"/>
              <w:shd w:val="clear" w:color="auto" w:fill="FFFFFF" w:themeFill="background1"/>
            </w:pPr>
          </w:p>
        </w:tc>
        <w:tc>
          <w:tcPr>
            <w:tcW w:w="514" w:type="pct"/>
            <w:tcBorders>
              <w:top w:val="single" w:sz="4" w:space="0" w:color="auto"/>
              <w:bottom w:val="single" w:sz="4" w:space="0" w:color="auto"/>
            </w:tcBorders>
          </w:tcPr>
          <w:p w14:paraId="3AE8236E" w14:textId="77777777" w:rsidR="001A70B8" w:rsidRPr="002029AF" w:rsidRDefault="001A70B8" w:rsidP="00101E5D">
            <w:pPr>
              <w:pStyle w:val="ARtabletextright"/>
              <w:shd w:val="clear" w:color="auto" w:fill="FFFFFF" w:themeFill="background1"/>
            </w:pPr>
          </w:p>
        </w:tc>
      </w:tr>
      <w:tr w:rsidR="001A70B8" w:rsidRPr="002029AF" w14:paraId="121FBE04" w14:textId="77777777" w:rsidTr="00D429B0">
        <w:trPr>
          <w:cantSplit/>
        </w:trPr>
        <w:tc>
          <w:tcPr>
            <w:tcW w:w="1399" w:type="pct"/>
            <w:tcBorders>
              <w:top w:val="single" w:sz="4" w:space="0" w:color="auto"/>
            </w:tcBorders>
            <w:shd w:val="clear" w:color="auto" w:fill="auto"/>
          </w:tcPr>
          <w:p w14:paraId="0E3B69C5" w14:textId="77777777" w:rsidR="001A70B8" w:rsidRPr="002029AF" w:rsidRDefault="001A70B8" w:rsidP="00101E5D">
            <w:pPr>
              <w:pStyle w:val="ARtabletextbold"/>
              <w:shd w:val="clear" w:color="auto" w:fill="FFFFFF" w:themeFill="background1"/>
            </w:pPr>
            <w:r w:rsidRPr="002029AF">
              <w:t>Total</w:t>
            </w:r>
          </w:p>
        </w:tc>
        <w:tc>
          <w:tcPr>
            <w:tcW w:w="735" w:type="pct"/>
            <w:tcBorders>
              <w:top w:val="single" w:sz="4" w:space="0" w:color="auto"/>
            </w:tcBorders>
            <w:shd w:val="clear" w:color="auto" w:fill="auto"/>
          </w:tcPr>
          <w:p w14:paraId="18555DE5" w14:textId="77777777" w:rsidR="001A70B8" w:rsidRPr="002029AF" w:rsidRDefault="001A70B8" w:rsidP="00101E5D">
            <w:pPr>
              <w:pStyle w:val="ARtabletextrightbold"/>
              <w:shd w:val="clear" w:color="auto" w:fill="FFFFFF" w:themeFill="background1"/>
              <w:rPr>
                <w:color w:val="000000" w:themeColor="text1"/>
              </w:rPr>
            </w:pPr>
            <w:r>
              <w:rPr>
                <w:color w:val="000000" w:themeColor="text1"/>
              </w:rPr>
              <w:t>7</w:t>
            </w:r>
          </w:p>
        </w:tc>
        <w:tc>
          <w:tcPr>
            <w:tcW w:w="588" w:type="pct"/>
            <w:tcBorders>
              <w:top w:val="single" w:sz="4" w:space="0" w:color="auto"/>
            </w:tcBorders>
            <w:shd w:val="clear" w:color="auto" w:fill="auto"/>
          </w:tcPr>
          <w:p w14:paraId="1DFFDDEE" w14:textId="77777777" w:rsidR="001A70B8" w:rsidRPr="002029AF" w:rsidRDefault="001A70B8" w:rsidP="00101E5D">
            <w:pPr>
              <w:pStyle w:val="ARtabletextrightbold"/>
              <w:shd w:val="clear" w:color="auto" w:fill="FFFFFF" w:themeFill="background1"/>
              <w:rPr>
                <w:color w:val="000000" w:themeColor="text1"/>
              </w:rPr>
            </w:pPr>
            <w:r>
              <w:rPr>
                <w:color w:val="000000" w:themeColor="text1"/>
              </w:rPr>
              <w:t>2</w:t>
            </w:r>
          </w:p>
        </w:tc>
        <w:tc>
          <w:tcPr>
            <w:tcW w:w="588" w:type="pct"/>
            <w:tcBorders>
              <w:top w:val="single" w:sz="4" w:space="0" w:color="auto"/>
            </w:tcBorders>
            <w:shd w:val="clear" w:color="auto" w:fill="auto"/>
          </w:tcPr>
          <w:p w14:paraId="7BF1AEBA" w14:textId="77777777" w:rsidR="001A70B8" w:rsidRPr="002029AF" w:rsidRDefault="001A70B8" w:rsidP="00101E5D">
            <w:pPr>
              <w:pStyle w:val="ARtabletextrightbold"/>
              <w:shd w:val="clear" w:color="auto" w:fill="FFFFFF" w:themeFill="background1"/>
              <w:rPr>
                <w:color w:val="000000" w:themeColor="text1"/>
              </w:rPr>
            </w:pPr>
          </w:p>
        </w:tc>
        <w:tc>
          <w:tcPr>
            <w:tcW w:w="588" w:type="pct"/>
            <w:tcBorders>
              <w:top w:val="single" w:sz="4" w:space="0" w:color="auto"/>
            </w:tcBorders>
          </w:tcPr>
          <w:p w14:paraId="01C9096A" w14:textId="77777777" w:rsidR="001A70B8" w:rsidRPr="002029AF" w:rsidRDefault="001A70B8" w:rsidP="00101E5D">
            <w:pPr>
              <w:pStyle w:val="ARtabletextrightbold"/>
              <w:shd w:val="clear" w:color="auto" w:fill="FFFFFF" w:themeFill="background1"/>
            </w:pPr>
            <w:r>
              <w:t>1</w:t>
            </w:r>
          </w:p>
        </w:tc>
        <w:tc>
          <w:tcPr>
            <w:tcW w:w="588" w:type="pct"/>
            <w:tcBorders>
              <w:top w:val="single" w:sz="4" w:space="0" w:color="auto"/>
            </w:tcBorders>
          </w:tcPr>
          <w:p w14:paraId="187AD3F1" w14:textId="77777777" w:rsidR="001A70B8" w:rsidRPr="002029AF" w:rsidRDefault="001A70B8" w:rsidP="00101E5D">
            <w:pPr>
              <w:pStyle w:val="ARtabletextrightbold"/>
              <w:shd w:val="clear" w:color="auto" w:fill="FFFFFF" w:themeFill="background1"/>
              <w:jc w:val="left"/>
            </w:pPr>
          </w:p>
        </w:tc>
        <w:tc>
          <w:tcPr>
            <w:tcW w:w="514" w:type="pct"/>
            <w:tcBorders>
              <w:top w:val="single" w:sz="4" w:space="0" w:color="auto"/>
            </w:tcBorders>
          </w:tcPr>
          <w:p w14:paraId="3B219361" w14:textId="77777777" w:rsidR="001A70B8" w:rsidRPr="002029AF" w:rsidRDefault="001A70B8" w:rsidP="00101E5D">
            <w:pPr>
              <w:pStyle w:val="ARtabletextrightbold"/>
              <w:shd w:val="clear" w:color="auto" w:fill="FFFFFF" w:themeFill="background1"/>
            </w:pPr>
          </w:p>
        </w:tc>
      </w:tr>
    </w:tbl>
    <w:p w14:paraId="66C967C2" w14:textId="77777777" w:rsidR="001A70B8" w:rsidRDefault="001A70B8" w:rsidP="00101E5D">
      <w:pPr>
        <w:pStyle w:val="ARbody"/>
        <w:shd w:val="clear" w:color="auto" w:fill="FFFFFF" w:themeFill="background1"/>
      </w:pPr>
      <w:bookmarkStart w:id="269" w:name="_Ref525047436"/>
      <w:bookmarkEnd w:id="252"/>
      <w:bookmarkEnd w:id="263"/>
      <w:bookmarkEnd w:id="269"/>
      <w:r>
        <w:br w:type="page"/>
      </w:r>
    </w:p>
    <w:p w14:paraId="579E622E" w14:textId="77777777" w:rsidR="001A70B8" w:rsidRPr="00B64216" w:rsidRDefault="001A70B8" w:rsidP="00101E5D">
      <w:pPr>
        <w:pStyle w:val="Heading2"/>
        <w:shd w:val="clear" w:color="auto" w:fill="FFFFFF" w:themeFill="background1"/>
        <w:rPr>
          <w:rFonts w:cs="Arial"/>
        </w:rPr>
      </w:pPr>
      <w:bookmarkStart w:id="270" w:name="_Ref21960664"/>
      <w:bookmarkStart w:id="271" w:name="_Ref84252391"/>
      <w:bookmarkStart w:id="272" w:name="_Toc85121235"/>
      <w:bookmarkStart w:id="273" w:name="_Toc85121611"/>
      <w:bookmarkStart w:id="274" w:name="_Toc102734488"/>
      <w:bookmarkStart w:id="275" w:name="_Toc113702924"/>
      <w:r w:rsidRPr="000D5C8D">
        <w:rPr>
          <w:rFonts w:cs="Arial"/>
        </w:rPr>
        <w:t>Executive</w:t>
      </w:r>
      <w:r>
        <w:rPr>
          <w:rFonts w:cs="Arial"/>
        </w:rPr>
        <w:t xml:space="preserve"> </w:t>
      </w:r>
      <w:r w:rsidRPr="000D5C8D">
        <w:rPr>
          <w:rFonts w:cs="Arial"/>
        </w:rPr>
        <w:t>data</w:t>
      </w:r>
      <w:bookmarkEnd w:id="270"/>
      <w:bookmarkEnd w:id="271"/>
      <w:bookmarkEnd w:id="272"/>
      <w:bookmarkEnd w:id="273"/>
      <w:bookmarkEnd w:id="274"/>
      <w:bookmarkEnd w:id="275"/>
    </w:p>
    <w:p w14:paraId="72295D58" w14:textId="62CC2A61" w:rsidR="001A70B8" w:rsidRDefault="001A70B8" w:rsidP="00101E5D">
      <w:pPr>
        <w:pStyle w:val="ARbody"/>
      </w:pPr>
      <w:r w:rsidRPr="00425517">
        <w:t>For</w:t>
      </w:r>
      <w:r>
        <w:t xml:space="preserve"> </w:t>
      </w:r>
      <w:r w:rsidRPr="00425517">
        <w:t>a</w:t>
      </w:r>
      <w:r>
        <w:t xml:space="preserve"> </w:t>
      </w:r>
      <w:r w:rsidRPr="00425517">
        <w:t>department,</w:t>
      </w:r>
      <w:r>
        <w:t xml:space="preserve"> </w:t>
      </w:r>
      <w:r w:rsidRPr="00425517">
        <w:t>a</w:t>
      </w:r>
      <w:r>
        <w:t xml:space="preserve"> </w:t>
      </w:r>
      <w:r w:rsidRPr="00425517">
        <w:t>member</w:t>
      </w:r>
      <w:r>
        <w:t xml:space="preserve"> </w:t>
      </w:r>
      <w:r w:rsidRPr="00425517">
        <w:t>of</w:t>
      </w:r>
      <w:r>
        <w:t xml:space="preserve"> </w:t>
      </w:r>
      <w:r w:rsidRPr="00425517">
        <w:t>the</w:t>
      </w:r>
      <w:r>
        <w:t xml:space="preserve"> </w:t>
      </w:r>
      <w:r w:rsidRPr="00425517">
        <w:t>Senior</w:t>
      </w:r>
      <w:r>
        <w:t xml:space="preserve"> </w:t>
      </w:r>
      <w:r w:rsidRPr="00425517">
        <w:t>Executive</w:t>
      </w:r>
      <w:r>
        <w:t xml:space="preserve"> </w:t>
      </w:r>
      <w:r w:rsidRPr="00425517">
        <w:t>Service</w:t>
      </w:r>
      <w:r>
        <w:t xml:space="preserve"> </w:t>
      </w:r>
      <w:r w:rsidRPr="00425517">
        <w:t>(SES)</w:t>
      </w:r>
      <w:r>
        <w:t xml:space="preserve"> </w:t>
      </w:r>
      <w:r w:rsidRPr="00425517">
        <w:t>is</w:t>
      </w:r>
      <w:r>
        <w:t xml:space="preserve"> </w:t>
      </w:r>
      <w:r w:rsidRPr="00425517">
        <w:t>defined</w:t>
      </w:r>
      <w:r>
        <w:t xml:space="preserve"> </w:t>
      </w:r>
      <w:r w:rsidRPr="00425517">
        <w:t>as</w:t>
      </w:r>
      <w:r>
        <w:t xml:space="preserve"> </w:t>
      </w:r>
      <w:r w:rsidRPr="00425517">
        <w:t>a</w:t>
      </w:r>
      <w:r>
        <w:t xml:space="preserve"> </w:t>
      </w:r>
      <w:r w:rsidRPr="00425517">
        <w:t>person</w:t>
      </w:r>
      <w:r>
        <w:t xml:space="preserve"> </w:t>
      </w:r>
      <w:r w:rsidRPr="00425517">
        <w:t>employed</w:t>
      </w:r>
      <w:r>
        <w:t xml:space="preserve"> </w:t>
      </w:r>
      <w:r w:rsidRPr="00425517">
        <w:t>as</w:t>
      </w:r>
      <w:r>
        <w:t xml:space="preserve"> </w:t>
      </w:r>
      <w:r w:rsidRPr="00425517">
        <w:t>an</w:t>
      </w:r>
      <w:r w:rsidR="00F0313F">
        <w:t> </w:t>
      </w:r>
      <w:r w:rsidRPr="00425517">
        <w:t>executive</w:t>
      </w:r>
      <w:r>
        <w:t xml:space="preserve"> </w:t>
      </w:r>
      <w:r w:rsidRPr="00425517">
        <w:t>under</w:t>
      </w:r>
      <w:r>
        <w:t xml:space="preserve"> </w:t>
      </w:r>
      <w:r w:rsidRPr="00425517">
        <w:t>Part</w:t>
      </w:r>
      <w:r>
        <w:t xml:space="preserve"> </w:t>
      </w:r>
      <w:r w:rsidRPr="00425517">
        <w:t>3</w:t>
      </w:r>
      <w:r>
        <w:t xml:space="preserve"> </w:t>
      </w:r>
      <w:r w:rsidRPr="00425517">
        <w:t>of</w:t>
      </w:r>
      <w:r>
        <w:t xml:space="preserve"> </w:t>
      </w:r>
      <w:r w:rsidRPr="00425517">
        <w:t>the</w:t>
      </w:r>
      <w:r>
        <w:t xml:space="preserve"> </w:t>
      </w:r>
      <w:r w:rsidRPr="00425517">
        <w:rPr>
          <w:i/>
          <w:iCs/>
        </w:rPr>
        <w:t>Public</w:t>
      </w:r>
      <w:r>
        <w:rPr>
          <w:i/>
          <w:iCs/>
        </w:rPr>
        <w:t xml:space="preserve"> </w:t>
      </w:r>
      <w:r w:rsidRPr="00425517">
        <w:rPr>
          <w:i/>
          <w:iCs/>
        </w:rPr>
        <w:t>Administration</w:t>
      </w:r>
      <w:r>
        <w:rPr>
          <w:i/>
          <w:iCs/>
        </w:rPr>
        <w:t xml:space="preserve"> </w:t>
      </w:r>
      <w:r w:rsidRPr="00425517">
        <w:rPr>
          <w:i/>
          <w:iCs/>
        </w:rPr>
        <w:t>Act</w:t>
      </w:r>
      <w:r>
        <w:rPr>
          <w:i/>
          <w:iCs/>
        </w:rPr>
        <w:t xml:space="preserve"> </w:t>
      </w:r>
      <w:r w:rsidRPr="00425517">
        <w:rPr>
          <w:i/>
          <w:iCs/>
        </w:rPr>
        <w:t>2004</w:t>
      </w:r>
      <w:r>
        <w:t xml:space="preserve"> </w:t>
      </w:r>
      <w:r w:rsidRPr="00425517">
        <w:t>(PAA).</w:t>
      </w:r>
      <w:r>
        <w:t xml:space="preserve"> </w:t>
      </w:r>
      <w:r w:rsidRPr="00425517">
        <w:t>For</w:t>
      </w:r>
      <w:r>
        <w:t xml:space="preserve"> </w:t>
      </w:r>
      <w:r w:rsidRPr="00425517">
        <w:t>a</w:t>
      </w:r>
      <w:r>
        <w:t xml:space="preserve"> </w:t>
      </w:r>
      <w:r w:rsidRPr="00425517">
        <w:t>public</w:t>
      </w:r>
      <w:r>
        <w:t xml:space="preserve"> </w:t>
      </w:r>
      <w:r w:rsidRPr="00425517">
        <w:t>body,</w:t>
      </w:r>
      <w:r>
        <w:t xml:space="preserve"> </w:t>
      </w:r>
      <w:r w:rsidRPr="00425517">
        <w:t>an</w:t>
      </w:r>
      <w:r>
        <w:t xml:space="preserve"> </w:t>
      </w:r>
      <w:r w:rsidRPr="00425517">
        <w:t>executive</w:t>
      </w:r>
      <w:r>
        <w:t xml:space="preserve"> </w:t>
      </w:r>
      <w:r w:rsidRPr="00425517">
        <w:t>is</w:t>
      </w:r>
      <w:r>
        <w:t xml:space="preserve"> </w:t>
      </w:r>
      <w:r w:rsidRPr="00425517">
        <w:t>defined</w:t>
      </w:r>
      <w:r>
        <w:t xml:space="preserve"> </w:t>
      </w:r>
      <w:r w:rsidRPr="00425517">
        <w:t>as</w:t>
      </w:r>
      <w:r>
        <w:t xml:space="preserve"> </w:t>
      </w:r>
      <w:r w:rsidRPr="00425517">
        <w:t>a</w:t>
      </w:r>
      <w:r>
        <w:t xml:space="preserve"> </w:t>
      </w:r>
      <w:r w:rsidRPr="00425517">
        <w:t>person</w:t>
      </w:r>
      <w:r>
        <w:t xml:space="preserve"> </w:t>
      </w:r>
      <w:r w:rsidRPr="00425517">
        <w:t>employed</w:t>
      </w:r>
      <w:r>
        <w:t xml:space="preserve"> </w:t>
      </w:r>
      <w:r w:rsidRPr="00425517">
        <w:t>as</w:t>
      </w:r>
      <w:r>
        <w:t xml:space="preserve"> </w:t>
      </w:r>
      <w:r w:rsidRPr="00425517">
        <w:t>an</w:t>
      </w:r>
      <w:r>
        <w:t xml:space="preserve"> </w:t>
      </w:r>
      <w:r w:rsidRPr="00425517">
        <w:t>executive</w:t>
      </w:r>
      <w:r>
        <w:t xml:space="preserve"> </w:t>
      </w:r>
      <w:r w:rsidRPr="00425517">
        <w:t>under</w:t>
      </w:r>
      <w:r>
        <w:t xml:space="preserve"> </w:t>
      </w:r>
      <w:r w:rsidRPr="00425517">
        <w:t>Part</w:t>
      </w:r>
      <w:r>
        <w:t xml:space="preserve"> </w:t>
      </w:r>
      <w:r w:rsidRPr="00425517">
        <w:t>3</w:t>
      </w:r>
      <w:r>
        <w:t xml:space="preserve"> </w:t>
      </w:r>
      <w:r w:rsidRPr="00425517">
        <w:t>of</w:t>
      </w:r>
      <w:r>
        <w:t xml:space="preserve"> </w:t>
      </w:r>
      <w:r w:rsidRPr="00425517">
        <w:t>the</w:t>
      </w:r>
      <w:r>
        <w:t xml:space="preserve"> </w:t>
      </w:r>
      <w:r w:rsidRPr="00425517">
        <w:t>PAA</w:t>
      </w:r>
      <w:r>
        <w:t xml:space="preserve"> </w:t>
      </w:r>
      <w:r w:rsidRPr="00425517">
        <w:t>or</w:t>
      </w:r>
      <w:r>
        <w:t xml:space="preserve"> </w:t>
      </w:r>
      <w:r w:rsidRPr="00425517">
        <w:t>a</w:t>
      </w:r>
      <w:r>
        <w:t xml:space="preserve"> </w:t>
      </w:r>
      <w:r w:rsidRPr="00425517">
        <w:t>person</w:t>
      </w:r>
      <w:r>
        <w:t xml:space="preserve"> </w:t>
      </w:r>
      <w:r w:rsidRPr="00425517">
        <w:t>to</w:t>
      </w:r>
      <w:r>
        <w:t xml:space="preserve"> </w:t>
      </w:r>
      <w:r w:rsidRPr="00425517">
        <w:t>whom</w:t>
      </w:r>
      <w:r>
        <w:t xml:space="preserve"> </w:t>
      </w:r>
      <w:r w:rsidRPr="00425517">
        <w:t>the</w:t>
      </w:r>
      <w:r>
        <w:t xml:space="preserve"> </w:t>
      </w:r>
      <w:r w:rsidRPr="00425517">
        <w:t>Victorian</w:t>
      </w:r>
      <w:r>
        <w:t xml:space="preserve"> </w:t>
      </w:r>
      <w:r w:rsidRPr="00425517">
        <w:t>Government’s</w:t>
      </w:r>
      <w:r>
        <w:t xml:space="preserve"> </w:t>
      </w:r>
      <w:r w:rsidRPr="00425517">
        <w:rPr>
          <w:i/>
          <w:iCs/>
        </w:rPr>
        <w:t>Public</w:t>
      </w:r>
      <w:r>
        <w:rPr>
          <w:i/>
          <w:iCs/>
        </w:rPr>
        <w:t xml:space="preserve"> </w:t>
      </w:r>
      <w:r w:rsidR="003F4A24">
        <w:rPr>
          <w:i/>
          <w:iCs/>
        </w:rPr>
        <w:t>e</w:t>
      </w:r>
      <w:r w:rsidRPr="00425517">
        <w:rPr>
          <w:i/>
          <w:iCs/>
        </w:rPr>
        <w:t>ntity</w:t>
      </w:r>
      <w:r>
        <w:rPr>
          <w:i/>
          <w:iCs/>
        </w:rPr>
        <w:t xml:space="preserve"> </w:t>
      </w:r>
      <w:r w:rsidR="003F4A24">
        <w:rPr>
          <w:i/>
          <w:iCs/>
        </w:rPr>
        <w:t>e</w:t>
      </w:r>
      <w:r w:rsidRPr="00425517">
        <w:rPr>
          <w:i/>
          <w:iCs/>
        </w:rPr>
        <w:t>xecutive</w:t>
      </w:r>
      <w:r>
        <w:rPr>
          <w:i/>
          <w:iCs/>
        </w:rPr>
        <w:t xml:space="preserve"> </w:t>
      </w:r>
      <w:r w:rsidR="003F4A24">
        <w:rPr>
          <w:i/>
          <w:iCs/>
        </w:rPr>
        <w:t>r</w:t>
      </w:r>
      <w:r w:rsidRPr="00425517">
        <w:rPr>
          <w:i/>
          <w:iCs/>
        </w:rPr>
        <w:t>emuneration</w:t>
      </w:r>
      <w:r>
        <w:rPr>
          <w:i/>
          <w:iCs/>
        </w:rPr>
        <w:t xml:space="preserve"> </w:t>
      </w:r>
      <w:r w:rsidR="003F4A24">
        <w:rPr>
          <w:i/>
          <w:iCs/>
        </w:rPr>
        <w:t>p</w:t>
      </w:r>
      <w:r w:rsidRPr="00425517">
        <w:rPr>
          <w:i/>
          <w:iCs/>
        </w:rPr>
        <w:t>olicy</w:t>
      </w:r>
      <w:r>
        <w:t xml:space="preserve"> </w:t>
      </w:r>
      <w:r w:rsidRPr="00425517">
        <w:t>applies.</w:t>
      </w:r>
      <w:r>
        <w:t xml:space="preserve"> </w:t>
      </w:r>
      <w:r w:rsidRPr="00425517">
        <w:t>All</w:t>
      </w:r>
      <w:r>
        <w:t xml:space="preserve"> </w:t>
      </w:r>
      <w:r w:rsidRPr="00425517">
        <w:t>figures</w:t>
      </w:r>
      <w:r>
        <w:t xml:space="preserve"> </w:t>
      </w:r>
      <w:r w:rsidRPr="00425517">
        <w:t>reflect</w:t>
      </w:r>
      <w:r>
        <w:t xml:space="preserve"> </w:t>
      </w:r>
      <w:r w:rsidRPr="00425517">
        <w:t>employment</w:t>
      </w:r>
      <w:r>
        <w:t xml:space="preserve"> </w:t>
      </w:r>
      <w:r w:rsidRPr="00425517">
        <w:t>levels</w:t>
      </w:r>
      <w:r>
        <w:t xml:space="preserve"> </w:t>
      </w:r>
      <w:r w:rsidRPr="00425517">
        <w:t>at</w:t>
      </w:r>
      <w:r>
        <w:t xml:space="preserve"> </w:t>
      </w:r>
      <w:r w:rsidRPr="00425517">
        <w:t>the</w:t>
      </w:r>
      <w:r>
        <w:t xml:space="preserve"> </w:t>
      </w:r>
      <w:r w:rsidRPr="00425517">
        <w:t>last</w:t>
      </w:r>
      <w:r>
        <w:t xml:space="preserve"> </w:t>
      </w:r>
      <w:r w:rsidRPr="00425517">
        <w:t>full</w:t>
      </w:r>
      <w:r>
        <w:t xml:space="preserve"> </w:t>
      </w:r>
      <w:r w:rsidRPr="00425517">
        <w:t>pay</w:t>
      </w:r>
      <w:r>
        <w:t xml:space="preserve"> </w:t>
      </w:r>
      <w:r w:rsidRPr="00425517">
        <w:t>period</w:t>
      </w:r>
      <w:r>
        <w:t xml:space="preserve"> </w:t>
      </w:r>
      <w:r w:rsidRPr="00425517">
        <w:t>in</w:t>
      </w:r>
      <w:r>
        <w:t xml:space="preserve"> </w:t>
      </w:r>
      <w:r w:rsidRPr="00425517">
        <w:t>June</w:t>
      </w:r>
      <w:r>
        <w:t xml:space="preserve"> </w:t>
      </w:r>
      <w:r w:rsidRPr="00425517">
        <w:t>of</w:t>
      </w:r>
      <w:r>
        <w:t xml:space="preserve"> </w:t>
      </w:r>
      <w:r w:rsidRPr="00425517">
        <w:t>the</w:t>
      </w:r>
      <w:r>
        <w:t xml:space="preserve"> </w:t>
      </w:r>
      <w:r w:rsidRPr="00425517">
        <w:t>current</w:t>
      </w:r>
      <w:r>
        <w:t xml:space="preserve"> </w:t>
      </w:r>
      <w:r w:rsidRPr="00425517">
        <w:t>and</w:t>
      </w:r>
      <w:r>
        <w:t xml:space="preserve"> </w:t>
      </w:r>
      <w:r w:rsidRPr="00425517">
        <w:t>corresponding</w:t>
      </w:r>
      <w:r>
        <w:t xml:space="preserve"> </w:t>
      </w:r>
      <w:r w:rsidRPr="00425517">
        <w:t>previous</w:t>
      </w:r>
      <w:r>
        <w:t xml:space="preserve"> </w:t>
      </w:r>
      <w:r w:rsidRPr="00425517">
        <w:t>reporting</w:t>
      </w:r>
      <w:r>
        <w:t xml:space="preserve"> </w:t>
      </w:r>
      <w:r w:rsidRPr="00425517">
        <w:t>year.</w:t>
      </w:r>
    </w:p>
    <w:p w14:paraId="37EEE29E" w14:textId="77777777" w:rsidR="001A70B8" w:rsidRPr="00425517" w:rsidRDefault="001A70B8" w:rsidP="00101E5D">
      <w:pPr>
        <w:pStyle w:val="ARbody"/>
      </w:pPr>
      <w:r w:rsidRPr="00425517">
        <w:t>The</w:t>
      </w:r>
      <w:r>
        <w:t xml:space="preserve"> </w:t>
      </w:r>
      <w:r w:rsidRPr="00425517">
        <w:t>definition</w:t>
      </w:r>
      <w:r>
        <w:t xml:space="preserve"> </w:t>
      </w:r>
      <w:r w:rsidRPr="00425517">
        <w:t>of</w:t>
      </w:r>
      <w:r>
        <w:t xml:space="preserve"> </w:t>
      </w:r>
      <w:r w:rsidRPr="00425517">
        <w:t>SES</w:t>
      </w:r>
      <w:r>
        <w:t xml:space="preserve"> </w:t>
      </w:r>
      <w:r w:rsidRPr="00425517">
        <w:t>does</w:t>
      </w:r>
      <w:r>
        <w:t xml:space="preserve"> </w:t>
      </w:r>
      <w:r w:rsidRPr="00425517">
        <w:t>not</w:t>
      </w:r>
      <w:r>
        <w:t xml:space="preserve"> </w:t>
      </w:r>
      <w:r w:rsidRPr="00425517">
        <w:t>include</w:t>
      </w:r>
      <w:r>
        <w:t xml:space="preserve"> </w:t>
      </w:r>
      <w:r w:rsidRPr="00425517">
        <w:t>a</w:t>
      </w:r>
      <w:r>
        <w:t xml:space="preserve"> </w:t>
      </w:r>
      <w:r w:rsidRPr="00425517">
        <w:t>statutory</w:t>
      </w:r>
      <w:r>
        <w:t xml:space="preserve"> </w:t>
      </w:r>
      <w:r w:rsidRPr="00425517">
        <w:t>office</w:t>
      </w:r>
      <w:r>
        <w:t xml:space="preserve"> </w:t>
      </w:r>
      <w:r w:rsidRPr="00425517">
        <w:t>holder</w:t>
      </w:r>
      <w:r>
        <w:t xml:space="preserve"> </w:t>
      </w:r>
      <w:r w:rsidRPr="00425517">
        <w:t>or</w:t>
      </w:r>
      <w:r>
        <w:t xml:space="preserve"> </w:t>
      </w:r>
      <w:r w:rsidRPr="00425517">
        <w:t>an</w:t>
      </w:r>
      <w:r>
        <w:t xml:space="preserve"> </w:t>
      </w:r>
      <w:r w:rsidRPr="00425517">
        <w:t>Accountable</w:t>
      </w:r>
      <w:r>
        <w:t xml:space="preserve"> </w:t>
      </w:r>
      <w:r w:rsidRPr="00425517">
        <w:t>Officer.</w:t>
      </w:r>
    </w:p>
    <w:p w14:paraId="6278A595" w14:textId="71E1DC14" w:rsidR="001A70B8" w:rsidRPr="00425517" w:rsidRDefault="001A70B8" w:rsidP="00101E5D">
      <w:pPr>
        <w:pStyle w:val="ARbody"/>
      </w:pPr>
      <w:r w:rsidRPr="00425517">
        <w:t>The</w:t>
      </w:r>
      <w:r>
        <w:t xml:space="preserve"> </w:t>
      </w:r>
      <w:r w:rsidRPr="00425517">
        <w:t>following</w:t>
      </w:r>
      <w:r>
        <w:t xml:space="preserve"> </w:t>
      </w:r>
      <w:r w:rsidRPr="00425517">
        <w:t>tables</w:t>
      </w:r>
      <w:r>
        <w:t xml:space="preserve"> </w:t>
      </w:r>
      <w:r w:rsidRPr="00425517">
        <w:t>disclose</w:t>
      </w:r>
      <w:r>
        <w:t xml:space="preserve"> </w:t>
      </w:r>
      <w:r w:rsidRPr="00425517">
        <w:t>the</w:t>
      </w:r>
      <w:r>
        <w:t xml:space="preserve"> </w:t>
      </w:r>
      <w:r w:rsidRPr="00425517">
        <w:t>SES</w:t>
      </w:r>
      <w:r>
        <w:t xml:space="preserve"> </w:t>
      </w:r>
      <w:r w:rsidRPr="00425517">
        <w:t>of</w:t>
      </w:r>
      <w:r>
        <w:t xml:space="preserve"> </w:t>
      </w:r>
      <w:r w:rsidRPr="00425517">
        <w:t>the</w:t>
      </w:r>
      <w:r>
        <w:t xml:space="preserve"> </w:t>
      </w:r>
      <w:r w:rsidR="003075FF">
        <w:t>d</w:t>
      </w:r>
      <w:r w:rsidRPr="00425517">
        <w:t>epartment</w:t>
      </w:r>
      <w:r>
        <w:t xml:space="preserve"> </w:t>
      </w:r>
      <w:r w:rsidRPr="00425517">
        <w:t>and</w:t>
      </w:r>
      <w:r>
        <w:t xml:space="preserve"> </w:t>
      </w:r>
      <w:r w:rsidRPr="00425517">
        <w:t>its</w:t>
      </w:r>
      <w:r>
        <w:t xml:space="preserve"> </w:t>
      </w:r>
      <w:r w:rsidRPr="00425517">
        <w:t>portfolio</w:t>
      </w:r>
      <w:r>
        <w:t xml:space="preserve"> </w:t>
      </w:r>
      <w:r w:rsidRPr="00425517">
        <w:t>agencies</w:t>
      </w:r>
      <w:r>
        <w:t xml:space="preserve"> </w:t>
      </w:r>
      <w:r w:rsidRPr="00425517">
        <w:t>for</w:t>
      </w:r>
      <w:r>
        <w:t xml:space="preserve"> </w:t>
      </w:r>
      <w:r w:rsidRPr="00425517">
        <w:t>June</w:t>
      </w:r>
      <w:r w:rsidR="000F68B8">
        <w:t xml:space="preserve"> 2022:</w:t>
      </w:r>
    </w:p>
    <w:p w14:paraId="49752B55" w14:textId="78D0BB91" w:rsidR="001A70B8" w:rsidRPr="00425517" w:rsidRDefault="001A70B8" w:rsidP="00101E5D">
      <w:pPr>
        <w:pStyle w:val="ARbullet1"/>
      </w:pPr>
      <w:r w:rsidRPr="00425517">
        <w:t>Table</w:t>
      </w:r>
      <w:r w:rsidR="003075FF">
        <w:t>s</w:t>
      </w:r>
      <w:r>
        <w:t xml:space="preserve"> 1 and 3 </w:t>
      </w:r>
      <w:r w:rsidRPr="00425517">
        <w:t>disclose</w:t>
      </w:r>
      <w:r>
        <w:t xml:space="preserve"> </w:t>
      </w:r>
      <w:r w:rsidRPr="00425517">
        <w:t>the</w:t>
      </w:r>
      <w:r>
        <w:t xml:space="preserve"> </w:t>
      </w:r>
      <w:r w:rsidRPr="00425517">
        <w:t>total</w:t>
      </w:r>
      <w:r>
        <w:t xml:space="preserve"> </w:t>
      </w:r>
      <w:r w:rsidRPr="00425517">
        <w:t>numbers</w:t>
      </w:r>
      <w:r>
        <w:t xml:space="preserve"> </w:t>
      </w:r>
      <w:r w:rsidRPr="00425517">
        <w:t>of</w:t>
      </w:r>
      <w:r>
        <w:t xml:space="preserve"> </w:t>
      </w:r>
      <w:r w:rsidRPr="00425517">
        <w:t>SES,</w:t>
      </w:r>
      <w:r>
        <w:t xml:space="preserve"> </w:t>
      </w:r>
      <w:r w:rsidRPr="00425517">
        <w:t>broken</w:t>
      </w:r>
      <w:r>
        <w:t xml:space="preserve"> </w:t>
      </w:r>
      <w:r w:rsidRPr="00425517">
        <w:t>down</w:t>
      </w:r>
      <w:r>
        <w:t xml:space="preserve"> </w:t>
      </w:r>
      <w:r w:rsidRPr="00425517">
        <w:t>by</w:t>
      </w:r>
      <w:r>
        <w:t xml:space="preserve"> </w:t>
      </w:r>
      <w:r w:rsidRPr="00425517">
        <w:t>gender</w:t>
      </w:r>
    </w:p>
    <w:p w14:paraId="2F0C2C6E" w14:textId="7AB89665" w:rsidR="001A70B8" w:rsidRPr="00425517" w:rsidRDefault="001A70B8" w:rsidP="00101E5D">
      <w:pPr>
        <w:pStyle w:val="ARbullet1"/>
      </w:pPr>
      <w:r w:rsidRPr="00425517">
        <w:t>Table</w:t>
      </w:r>
      <w:r w:rsidR="003075FF">
        <w:t>s</w:t>
      </w:r>
      <w:r>
        <w:t xml:space="preserve"> 2 and 4 </w:t>
      </w:r>
      <w:r w:rsidRPr="00425517">
        <w:t>provide</w:t>
      </w:r>
      <w:r>
        <w:t xml:space="preserve"> </w:t>
      </w:r>
      <w:r w:rsidRPr="00425517">
        <w:t>a</w:t>
      </w:r>
      <w:r>
        <w:t xml:space="preserve"> </w:t>
      </w:r>
      <w:r w:rsidRPr="00425517">
        <w:t>reconciliation</w:t>
      </w:r>
      <w:r>
        <w:t xml:space="preserve"> </w:t>
      </w:r>
      <w:r w:rsidRPr="00425517">
        <w:t>of</w:t>
      </w:r>
      <w:r>
        <w:t xml:space="preserve"> </w:t>
      </w:r>
      <w:r w:rsidRPr="00425517">
        <w:t>executive</w:t>
      </w:r>
      <w:r>
        <w:t xml:space="preserve"> </w:t>
      </w:r>
      <w:r w:rsidRPr="00425517">
        <w:t>numbers</w:t>
      </w:r>
      <w:r>
        <w:t xml:space="preserve"> </w:t>
      </w:r>
      <w:r w:rsidRPr="00425517">
        <w:t>presented</w:t>
      </w:r>
      <w:r>
        <w:t xml:space="preserve"> </w:t>
      </w:r>
      <w:r w:rsidRPr="00425517">
        <w:t>between</w:t>
      </w:r>
      <w:r>
        <w:t xml:space="preserve"> </w:t>
      </w:r>
      <w:r w:rsidRPr="00425517">
        <w:t>the</w:t>
      </w:r>
      <w:r>
        <w:t xml:space="preserve"> </w:t>
      </w:r>
      <w:r w:rsidRPr="00425517">
        <w:t>report</w:t>
      </w:r>
      <w:r>
        <w:t xml:space="preserve"> </w:t>
      </w:r>
      <w:r w:rsidRPr="00425517">
        <w:t>of</w:t>
      </w:r>
      <w:r>
        <w:t xml:space="preserve"> </w:t>
      </w:r>
      <w:r w:rsidRPr="00425517">
        <w:t>operations</w:t>
      </w:r>
      <w:r>
        <w:t xml:space="preserve"> </w:t>
      </w:r>
      <w:r w:rsidRPr="00425517">
        <w:t>and</w:t>
      </w:r>
      <w:r>
        <w:t xml:space="preserve"> </w:t>
      </w:r>
      <w:r w:rsidRPr="00425517">
        <w:t>Note</w:t>
      </w:r>
      <w:r>
        <w:t xml:space="preserve"> </w:t>
      </w:r>
      <w:r w:rsidRPr="00425517">
        <w:t>9.</w:t>
      </w:r>
      <w:r>
        <w:t xml:space="preserve">7 </w:t>
      </w:r>
      <w:r w:rsidRPr="00425517">
        <w:rPr>
          <w:i/>
          <w:iCs/>
        </w:rPr>
        <w:t>Remuneration</w:t>
      </w:r>
      <w:r>
        <w:rPr>
          <w:i/>
          <w:iCs/>
        </w:rPr>
        <w:t xml:space="preserve"> </w:t>
      </w:r>
      <w:r w:rsidRPr="00425517">
        <w:rPr>
          <w:i/>
          <w:iCs/>
        </w:rPr>
        <w:t>of</w:t>
      </w:r>
      <w:r>
        <w:rPr>
          <w:i/>
          <w:iCs/>
        </w:rPr>
        <w:t xml:space="preserve"> </w:t>
      </w:r>
      <w:r w:rsidRPr="00425517">
        <w:rPr>
          <w:i/>
          <w:iCs/>
        </w:rPr>
        <w:t>executives</w:t>
      </w:r>
      <w:r>
        <w:t xml:space="preserve"> </w:t>
      </w:r>
      <w:r w:rsidRPr="00425517">
        <w:t>in</w:t>
      </w:r>
      <w:r>
        <w:t xml:space="preserve"> </w:t>
      </w:r>
      <w:r w:rsidRPr="00425517">
        <w:t>the</w:t>
      </w:r>
      <w:r>
        <w:t xml:space="preserve"> </w:t>
      </w:r>
      <w:r w:rsidRPr="00425517">
        <w:t>financial</w:t>
      </w:r>
      <w:r>
        <w:t xml:space="preserve"> </w:t>
      </w:r>
      <w:r w:rsidRPr="00425517">
        <w:t>statements</w:t>
      </w:r>
    </w:p>
    <w:p w14:paraId="0111358E" w14:textId="166E901D" w:rsidR="001A70B8" w:rsidRPr="00425517" w:rsidRDefault="001A70B8" w:rsidP="00101E5D">
      <w:pPr>
        <w:pStyle w:val="ARbullet1"/>
      </w:pPr>
      <w:r w:rsidRPr="00425517">
        <w:t>Table</w:t>
      </w:r>
      <w:r>
        <w:t xml:space="preserve"> 5 </w:t>
      </w:r>
      <w:r w:rsidRPr="00425517">
        <w:t>provides</w:t>
      </w:r>
      <w:r>
        <w:t xml:space="preserve"> </w:t>
      </w:r>
      <w:r w:rsidRPr="00425517">
        <w:t>the</w:t>
      </w:r>
      <w:r>
        <w:t xml:space="preserve"> </w:t>
      </w:r>
      <w:r w:rsidRPr="00425517">
        <w:t>total</w:t>
      </w:r>
      <w:r>
        <w:t xml:space="preserve"> </w:t>
      </w:r>
      <w:r w:rsidRPr="00425517">
        <w:t>executive</w:t>
      </w:r>
      <w:r>
        <w:t xml:space="preserve"> </w:t>
      </w:r>
      <w:r w:rsidRPr="00425517">
        <w:t>numbers</w:t>
      </w:r>
      <w:r>
        <w:t xml:space="preserve"> </w:t>
      </w:r>
      <w:r w:rsidRPr="00425517">
        <w:t>for</w:t>
      </w:r>
      <w:r>
        <w:t xml:space="preserve"> </w:t>
      </w:r>
      <w:r w:rsidRPr="00425517">
        <w:t>all</w:t>
      </w:r>
      <w:r>
        <w:t xml:space="preserve"> </w:t>
      </w:r>
      <w:r w:rsidRPr="00425517">
        <w:t>of</w:t>
      </w:r>
      <w:r>
        <w:t xml:space="preserve"> </w:t>
      </w:r>
      <w:r w:rsidRPr="00425517">
        <w:t>the</w:t>
      </w:r>
      <w:r>
        <w:t xml:space="preserve"> </w:t>
      </w:r>
      <w:r w:rsidR="003075FF">
        <w:t>d</w:t>
      </w:r>
      <w:r w:rsidRPr="00425517">
        <w:t>epartment’s</w:t>
      </w:r>
      <w:r>
        <w:t xml:space="preserve"> </w:t>
      </w:r>
      <w:r w:rsidRPr="00425517">
        <w:t>portfolio</w:t>
      </w:r>
      <w:r>
        <w:t xml:space="preserve"> </w:t>
      </w:r>
      <w:r w:rsidRPr="00425517">
        <w:t>agencies</w:t>
      </w:r>
    </w:p>
    <w:p w14:paraId="0C4047E7" w14:textId="77777777" w:rsidR="001A70B8" w:rsidRDefault="001A70B8" w:rsidP="00101E5D">
      <w:pPr>
        <w:pStyle w:val="ARbullet1"/>
      </w:pPr>
      <w:r w:rsidRPr="00425517">
        <w:t>Tables</w:t>
      </w:r>
      <w:r>
        <w:t xml:space="preserve"> 1 </w:t>
      </w:r>
      <w:r w:rsidRPr="00425517">
        <w:t>to</w:t>
      </w:r>
      <w:r>
        <w:t xml:space="preserve"> 5 </w:t>
      </w:r>
      <w:r w:rsidRPr="00425517">
        <w:t>also</w:t>
      </w:r>
      <w:r>
        <w:t xml:space="preserve"> </w:t>
      </w:r>
      <w:r w:rsidRPr="00425517">
        <w:t>disclose</w:t>
      </w:r>
      <w:r>
        <w:t xml:space="preserve"> </w:t>
      </w:r>
      <w:r w:rsidRPr="00425517">
        <w:t>the</w:t>
      </w:r>
      <w:r>
        <w:t xml:space="preserve"> </w:t>
      </w:r>
      <w:r w:rsidRPr="00425517">
        <w:t>variations,</w:t>
      </w:r>
      <w:r>
        <w:t xml:space="preserve"> </w:t>
      </w:r>
      <w:r w:rsidRPr="00425517">
        <w:t>denoted</w:t>
      </w:r>
      <w:r>
        <w:t xml:space="preserve"> </w:t>
      </w:r>
      <w:r w:rsidRPr="00425517">
        <w:t>by</w:t>
      </w:r>
      <w:r>
        <w:t xml:space="preserve"> </w:t>
      </w:r>
      <w:r w:rsidRPr="00425517">
        <w:t>‘var’,</w:t>
      </w:r>
      <w:r>
        <w:t xml:space="preserve"> </w:t>
      </w:r>
      <w:r w:rsidRPr="00425517">
        <w:t>between</w:t>
      </w:r>
      <w:r>
        <w:t xml:space="preserve"> </w:t>
      </w:r>
      <w:r w:rsidRPr="00425517">
        <w:t>the</w:t>
      </w:r>
      <w:r>
        <w:t xml:space="preserve"> </w:t>
      </w:r>
      <w:r w:rsidRPr="00425517">
        <w:t>current</w:t>
      </w:r>
      <w:r>
        <w:t xml:space="preserve"> </w:t>
      </w:r>
      <w:r w:rsidRPr="00425517">
        <w:t>and</w:t>
      </w:r>
      <w:r>
        <w:t xml:space="preserve"> </w:t>
      </w:r>
      <w:r w:rsidRPr="00425517">
        <w:t>previous</w:t>
      </w:r>
      <w:r>
        <w:t xml:space="preserve"> </w:t>
      </w:r>
      <w:r w:rsidRPr="00425517">
        <w:t>reporting</w:t>
      </w:r>
      <w:r>
        <w:t xml:space="preserve"> </w:t>
      </w:r>
      <w:r w:rsidRPr="00425517">
        <w:t>periods.</w:t>
      </w:r>
    </w:p>
    <w:p w14:paraId="19132F0E" w14:textId="6FBB0349" w:rsidR="001A70B8" w:rsidRPr="002029AF" w:rsidRDefault="001A70B8" w:rsidP="00101E5D">
      <w:pPr>
        <w:pStyle w:val="Heading3EOdata"/>
      </w:pPr>
      <w:bookmarkStart w:id="276" w:name="_Toc85121236"/>
      <w:r w:rsidRPr="00661AB5">
        <w:t>Table</w:t>
      </w:r>
      <w:r>
        <w:t xml:space="preserve"> </w:t>
      </w:r>
      <w:r w:rsidRPr="00661AB5">
        <w:t>1:</w:t>
      </w:r>
      <w:r>
        <w:t xml:space="preserve"> </w:t>
      </w:r>
      <w:r w:rsidRPr="00661AB5">
        <w:t>Total</w:t>
      </w:r>
      <w:r>
        <w:t xml:space="preserve"> </w:t>
      </w:r>
      <w:r w:rsidRPr="00661AB5">
        <w:t>number</w:t>
      </w:r>
      <w:r>
        <w:t xml:space="preserve"> </w:t>
      </w:r>
      <w:r w:rsidRPr="00661AB5">
        <w:t>of</w:t>
      </w:r>
      <w:r>
        <w:t xml:space="preserve"> </w:t>
      </w:r>
      <w:r w:rsidRPr="00661AB5">
        <w:t>SES</w:t>
      </w:r>
      <w:r>
        <w:t xml:space="preserve"> </w:t>
      </w:r>
      <w:r w:rsidRPr="00661AB5">
        <w:t>for</w:t>
      </w:r>
      <w:r>
        <w:t xml:space="preserve"> </w:t>
      </w:r>
      <w:r w:rsidRPr="00661AB5">
        <w:t>the</w:t>
      </w:r>
      <w:r>
        <w:t xml:space="preserve"> </w:t>
      </w:r>
      <w:r w:rsidR="003075FF">
        <w:t>d</w:t>
      </w:r>
      <w:r w:rsidRPr="00661AB5">
        <w:t>epartment,</w:t>
      </w:r>
      <w:r>
        <w:t xml:space="preserve"> </w:t>
      </w:r>
      <w:r w:rsidRPr="00661AB5">
        <w:t>broken</w:t>
      </w:r>
      <w:r>
        <w:t xml:space="preserve"> </w:t>
      </w:r>
      <w:r w:rsidRPr="00661AB5">
        <w:t>down</w:t>
      </w:r>
      <w:r>
        <w:t xml:space="preserve"> </w:t>
      </w:r>
      <w:r w:rsidR="001D445F">
        <w:t xml:space="preserve">by </w:t>
      </w:r>
      <w:r w:rsidRPr="00661AB5">
        <w:t>gender</w:t>
      </w:r>
      <w:bookmarkEnd w:id="276"/>
    </w:p>
    <w:tbl>
      <w:tblPr>
        <w:tblStyle w:val="TableGrid"/>
        <w:tblW w:w="9639" w:type="dxa"/>
        <w:tblLayout w:type="fixed"/>
        <w:tblLook w:val="06A0" w:firstRow="1" w:lastRow="0" w:firstColumn="1" w:lastColumn="0" w:noHBand="1" w:noVBand="1"/>
      </w:tblPr>
      <w:tblGrid>
        <w:gridCol w:w="1702"/>
        <w:gridCol w:w="994"/>
        <w:gridCol w:w="994"/>
        <w:gridCol w:w="1130"/>
        <w:gridCol w:w="843"/>
        <w:gridCol w:w="994"/>
        <w:gridCol w:w="994"/>
        <w:gridCol w:w="994"/>
        <w:gridCol w:w="994"/>
      </w:tblGrid>
      <w:tr w:rsidR="001A70B8" w14:paraId="02BD52A6" w14:textId="77777777" w:rsidTr="00A212B4">
        <w:trPr>
          <w:cnfStyle w:val="100000000000" w:firstRow="1" w:lastRow="0" w:firstColumn="0" w:lastColumn="0" w:oddVBand="0" w:evenVBand="0" w:oddHBand="0" w:evenHBand="0" w:firstRowFirstColumn="0" w:firstRowLastColumn="0" w:lastRowFirstColumn="0" w:lastRowLastColumn="0"/>
          <w:tblHeader/>
        </w:trPr>
        <w:tc>
          <w:tcPr>
            <w:tcW w:w="1695" w:type="dxa"/>
            <w:vMerge w:val="restart"/>
          </w:tcPr>
          <w:p w14:paraId="1000EBAA" w14:textId="77777777" w:rsidR="001A70B8" w:rsidRDefault="001A70B8" w:rsidP="00101E5D">
            <w:pPr>
              <w:pStyle w:val="ARtablecolhead"/>
            </w:pPr>
            <w:r w:rsidRPr="16FA3065">
              <w:t>Class</w:t>
            </w:r>
          </w:p>
        </w:tc>
        <w:tc>
          <w:tcPr>
            <w:tcW w:w="1980" w:type="dxa"/>
            <w:gridSpan w:val="2"/>
            <w:tcBorders>
              <w:top w:val="nil"/>
              <w:right w:val="single" w:sz="4" w:space="0" w:color="000000"/>
            </w:tcBorders>
          </w:tcPr>
          <w:p w14:paraId="0E5DA41A" w14:textId="77777777" w:rsidR="001A70B8" w:rsidRDefault="001A70B8" w:rsidP="00101E5D">
            <w:pPr>
              <w:pStyle w:val="ARtablecolheadcentre"/>
            </w:pPr>
            <w:r w:rsidRPr="16FA3065">
              <w:t>All</w:t>
            </w:r>
          </w:p>
        </w:tc>
        <w:tc>
          <w:tcPr>
            <w:tcW w:w="1965" w:type="dxa"/>
            <w:gridSpan w:val="2"/>
            <w:tcBorders>
              <w:top w:val="nil"/>
              <w:left w:val="single" w:sz="4" w:space="0" w:color="000000"/>
              <w:right w:val="single" w:sz="4" w:space="0" w:color="000000"/>
            </w:tcBorders>
          </w:tcPr>
          <w:p w14:paraId="396D3247" w14:textId="77777777" w:rsidR="001A70B8" w:rsidRDefault="001A70B8" w:rsidP="00101E5D">
            <w:pPr>
              <w:pStyle w:val="ARtablecolheadcentre"/>
            </w:pPr>
            <w:r w:rsidRPr="16FA3065">
              <w:t>Women</w:t>
            </w:r>
          </w:p>
        </w:tc>
        <w:tc>
          <w:tcPr>
            <w:tcW w:w="1980" w:type="dxa"/>
            <w:gridSpan w:val="2"/>
            <w:tcBorders>
              <w:top w:val="nil"/>
              <w:left w:val="single" w:sz="4" w:space="0" w:color="000000"/>
              <w:right w:val="single" w:sz="4" w:space="0" w:color="000000"/>
            </w:tcBorders>
          </w:tcPr>
          <w:p w14:paraId="2D2EB229" w14:textId="77777777" w:rsidR="001A70B8" w:rsidRDefault="001A70B8" w:rsidP="00101E5D">
            <w:pPr>
              <w:pStyle w:val="ARtablecolheadcentre"/>
            </w:pPr>
            <w:r w:rsidRPr="16FA3065">
              <w:t>Men</w:t>
            </w:r>
          </w:p>
        </w:tc>
        <w:tc>
          <w:tcPr>
            <w:tcW w:w="1980" w:type="dxa"/>
            <w:gridSpan w:val="2"/>
            <w:tcBorders>
              <w:left w:val="single" w:sz="4" w:space="0" w:color="000000"/>
            </w:tcBorders>
          </w:tcPr>
          <w:p w14:paraId="7375A163" w14:textId="77777777" w:rsidR="001A70B8" w:rsidRDefault="001A70B8" w:rsidP="00101E5D">
            <w:pPr>
              <w:pStyle w:val="ARtablecolheadcentre"/>
            </w:pPr>
            <w:r w:rsidRPr="16FA3065">
              <w:t>Self-described</w:t>
            </w:r>
          </w:p>
        </w:tc>
      </w:tr>
      <w:tr w:rsidR="001A70B8" w14:paraId="422928D3" w14:textId="77777777" w:rsidTr="00A212B4">
        <w:trPr>
          <w:cnfStyle w:val="100000000000" w:firstRow="1" w:lastRow="0" w:firstColumn="0" w:lastColumn="0" w:oddVBand="0" w:evenVBand="0" w:oddHBand="0" w:evenHBand="0" w:firstRowFirstColumn="0" w:firstRowLastColumn="0" w:lastRowFirstColumn="0" w:lastRowLastColumn="0"/>
          <w:tblHeader/>
        </w:trPr>
        <w:tc>
          <w:tcPr>
            <w:tcW w:w="1695" w:type="dxa"/>
            <w:vMerge/>
          </w:tcPr>
          <w:p w14:paraId="34184B33" w14:textId="77777777" w:rsidR="001A70B8" w:rsidRDefault="001A70B8" w:rsidP="00101E5D">
            <w:pPr>
              <w:pStyle w:val="ARtablecolheadright"/>
            </w:pPr>
          </w:p>
        </w:tc>
        <w:tc>
          <w:tcPr>
            <w:tcW w:w="990" w:type="dxa"/>
          </w:tcPr>
          <w:p w14:paraId="2309B368" w14:textId="77777777" w:rsidR="001A70B8" w:rsidRDefault="001A70B8" w:rsidP="00101E5D">
            <w:pPr>
              <w:pStyle w:val="ARtablecolheadright"/>
            </w:pPr>
            <w:r w:rsidRPr="16FA3065">
              <w:t>No.</w:t>
            </w:r>
          </w:p>
        </w:tc>
        <w:tc>
          <w:tcPr>
            <w:tcW w:w="990" w:type="dxa"/>
            <w:tcBorders>
              <w:top w:val="single" w:sz="4" w:space="0" w:color="auto"/>
              <w:right w:val="single" w:sz="4" w:space="0" w:color="000000"/>
            </w:tcBorders>
          </w:tcPr>
          <w:p w14:paraId="46345906" w14:textId="77777777" w:rsidR="001A70B8" w:rsidRDefault="001A70B8" w:rsidP="00101E5D">
            <w:pPr>
              <w:pStyle w:val="ARtablecolheadright"/>
            </w:pPr>
            <w:r w:rsidRPr="16FA3065">
              <w:t>Var.</w:t>
            </w:r>
          </w:p>
        </w:tc>
        <w:tc>
          <w:tcPr>
            <w:tcW w:w="1125" w:type="dxa"/>
            <w:tcBorders>
              <w:left w:val="single" w:sz="4" w:space="0" w:color="000000"/>
            </w:tcBorders>
          </w:tcPr>
          <w:p w14:paraId="61481684" w14:textId="77777777" w:rsidR="001A70B8" w:rsidRDefault="001A70B8" w:rsidP="00101E5D">
            <w:pPr>
              <w:pStyle w:val="ARtablecolheadright"/>
            </w:pPr>
            <w:r w:rsidRPr="16FA3065">
              <w:t>No.</w:t>
            </w:r>
          </w:p>
        </w:tc>
        <w:tc>
          <w:tcPr>
            <w:tcW w:w="840" w:type="dxa"/>
            <w:tcBorders>
              <w:top w:val="single" w:sz="4" w:space="0" w:color="auto"/>
              <w:right w:val="single" w:sz="4" w:space="0" w:color="000000"/>
            </w:tcBorders>
          </w:tcPr>
          <w:p w14:paraId="2594AFE7" w14:textId="77777777" w:rsidR="001A70B8" w:rsidRDefault="001A70B8" w:rsidP="00101E5D">
            <w:pPr>
              <w:pStyle w:val="ARtablecolheadright"/>
            </w:pPr>
            <w:r w:rsidRPr="16FA3065">
              <w:t>Var.</w:t>
            </w:r>
          </w:p>
        </w:tc>
        <w:tc>
          <w:tcPr>
            <w:tcW w:w="990" w:type="dxa"/>
            <w:tcBorders>
              <w:left w:val="single" w:sz="4" w:space="0" w:color="000000"/>
            </w:tcBorders>
          </w:tcPr>
          <w:p w14:paraId="542D049D" w14:textId="77777777" w:rsidR="001A70B8" w:rsidRDefault="001A70B8" w:rsidP="00101E5D">
            <w:pPr>
              <w:pStyle w:val="ARtablecolheadright"/>
            </w:pPr>
            <w:r w:rsidRPr="16FA3065">
              <w:t>No.</w:t>
            </w:r>
          </w:p>
        </w:tc>
        <w:tc>
          <w:tcPr>
            <w:tcW w:w="990" w:type="dxa"/>
            <w:tcBorders>
              <w:top w:val="single" w:sz="4" w:space="0" w:color="auto"/>
              <w:right w:val="single" w:sz="4" w:space="0" w:color="000000"/>
            </w:tcBorders>
          </w:tcPr>
          <w:p w14:paraId="5E16D0C0" w14:textId="77777777" w:rsidR="001A70B8" w:rsidRDefault="001A70B8" w:rsidP="00101E5D">
            <w:pPr>
              <w:pStyle w:val="ARtablecolheadright"/>
            </w:pPr>
            <w:r w:rsidRPr="16FA3065">
              <w:t>Var.</w:t>
            </w:r>
          </w:p>
        </w:tc>
        <w:tc>
          <w:tcPr>
            <w:tcW w:w="990" w:type="dxa"/>
            <w:tcBorders>
              <w:left w:val="single" w:sz="4" w:space="0" w:color="000000"/>
            </w:tcBorders>
          </w:tcPr>
          <w:p w14:paraId="2C534E29" w14:textId="77777777" w:rsidR="001A70B8" w:rsidRDefault="001A70B8" w:rsidP="00101E5D">
            <w:pPr>
              <w:pStyle w:val="ARtablecolheadright"/>
            </w:pPr>
            <w:r w:rsidRPr="16FA3065">
              <w:t>No.</w:t>
            </w:r>
          </w:p>
        </w:tc>
        <w:tc>
          <w:tcPr>
            <w:tcW w:w="990" w:type="dxa"/>
          </w:tcPr>
          <w:p w14:paraId="12EA50C4" w14:textId="77777777" w:rsidR="001A70B8" w:rsidRDefault="001A70B8" w:rsidP="00101E5D">
            <w:pPr>
              <w:pStyle w:val="ARtablecolheadright"/>
            </w:pPr>
            <w:r w:rsidRPr="16FA3065">
              <w:t>Var.</w:t>
            </w:r>
          </w:p>
        </w:tc>
      </w:tr>
      <w:tr w:rsidR="001A70B8" w14:paraId="133030B6" w14:textId="77777777" w:rsidTr="00A212B4">
        <w:trPr>
          <w:cantSplit w:val="0"/>
          <w:trHeight w:val="330"/>
        </w:trPr>
        <w:tc>
          <w:tcPr>
            <w:tcW w:w="1695" w:type="dxa"/>
          </w:tcPr>
          <w:p w14:paraId="400FF447" w14:textId="77777777" w:rsidR="001A70B8" w:rsidRDefault="001A70B8" w:rsidP="00101E5D">
            <w:pPr>
              <w:pStyle w:val="ARtabletext"/>
            </w:pPr>
            <w:r w:rsidRPr="16FA3065">
              <w:t>Secretary</w:t>
            </w:r>
          </w:p>
        </w:tc>
        <w:tc>
          <w:tcPr>
            <w:tcW w:w="990" w:type="dxa"/>
          </w:tcPr>
          <w:p w14:paraId="3F1B2887" w14:textId="77777777" w:rsidR="001A70B8" w:rsidRDefault="001A70B8" w:rsidP="00101E5D">
            <w:pPr>
              <w:pStyle w:val="ARtabletextright"/>
            </w:pPr>
            <w:r w:rsidRPr="16FA3065">
              <w:t>1</w:t>
            </w:r>
          </w:p>
        </w:tc>
        <w:tc>
          <w:tcPr>
            <w:tcW w:w="990" w:type="dxa"/>
            <w:tcBorders>
              <w:top w:val="single" w:sz="4" w:space="0" w:color="auto"/>
              <w:right w:val="single" w:sz="4" w:space="0" w:color="000000"/>
            </w:tcBorders>
          </w:tcPr>
          <w:p w14:paraId="0FEE89A1" w14:textId="77777777" w:rsidR="001A70B8" w:rsidRDefault="001A70B8" w:rsidP="00101E5D">
            <w:pPr>
              <w:pStyle w:val="ARtabletextright"/>
            </w:pPr>
            <w:r w:rsidRPr="16FA3065">
              <w:t>0</w:t>
            </w:r>
          </w:p>
        </w:tc>
        <w:tc>
          <w:tcPr>
            <w:tcW w:w="1125" w:type="dxa"/>
            <w:tcBorders>
              <w:left w:val="single" w:sz="4" w:space="0" w:color="000000"/>
            </w:tcBorders>
          </w:tcPr>
          <w:p w14:paraId="4D229D02" w14:textId="77777777" w:rsidR="001A70B8" w:rsidRDefault="001A70B8" w:rsidP="00101E5D">
            <w:pPr>
              <w:pStyle w:val="ARtabletextright"/>
            </w:pPr>
            <w:r w:rsidRPr="16FA3065">
              <w:t>0</w:t>
            </w:r>
          </w:p>
        </w:tc>
        <w:tc>
          <w:tcPr>
            <w:tcW w:w="840" w:type="dxa"/>
            <w:tcBorders>
              <w:top w:val="single" w:sz="4" w:space="0" w:color="auto"/>
              <w:right w:val="single" w:sz="4" w:space="0" w:color="000000"/>
            </w:tcBorders>
          </w:tcPr>
          <w:p w14:paraId="43EE466B" w14:textId="77777777" w:rsidR="001A70B8" w:rsidRDefault="001A70B8" w:rsidP="00101E5D">
            <w:pPr>
              <w:pStyle w:val="ARtabletextright"/>
            </w:pPr>
            <w:r w:rsidRPr="16FA3065">
              <w:t>0</w:t>
            </w:r>
          </w:p>
        </w:tc>
        <w:tc>
          <w:tcPr>
            <w:tcW w:w="990" w:type="dxa"/>
            <w:tcBorders>
              <w:left w:val="single" w:sz="4" w:space="0" w:color="000000"/>
            </w:tcBorders>
          </w:tcPr>
          <w:p w14:paraId="271057E8" w14:textId="77777777" w:rsidR="001A70B8" w:rsidRDefault="001A70B8" w:rsidP="00101E5D">
            <w:pPr>
              <w:pStyle w:val="ARtabletextright"/>
            </w:pPr>
            <w:r w:rsidRPr="16FA3065">
              <w:t>1</w:t>
            </w:r>
          </w:p>
        </w:tc>
        <w:tc>
          <w:tcPr>
            <w:tcW w:w="990" w:type="dxa"/>
            <w:tcBorders>
              <w:top w:val="single" w:sz="4" w:space="0" w:color="auto"/>
              <w:right w:val="single" w:sz="4" w:space="0" w:color="000000"/>
            </w:tcBorders>
          </w:tcPr>
          <w:p w14:paraId="39091B60" w14:textId="77777777" w:rsidR="001A70B8" w:rsidRDefault="001A70B8" w:rsidP="00101E5D">
            <w:pPr>
              <w:pStyle w:val="ARtabletextright"/>
            </w:pPr>
            <w:r w:rsidRPr="16FA3065">
              <w:t>0</w:t>
            </w:r>
          </w:p>
        </w:tc>
        <w:tc>
          <w:tcPr>
            <w:tcW w:w="990" w:type="dxa"/>
            <w:tcBorders>
              <w:left w:val="single" w:sz="4" w:space="0" w:color="000000"/>
            </w:tcBorders>
          </w:tcPr>
          <w:p w14:paraId="2D6BFF47" w14:textId="77777777" w:rsidR="001A70B8" w:rsidRDefault="001A70B8" w:rsidP="00101E5D">
            <w:pPr>
              <w:pStyle w:val="ARtabletextright"/>
            </w:pPr>
            <w:r w:rsidRPr="16FA3065">
              <w:t>0</w:t>
            </w:r>
          </w:p>
        </w:tc>
        <w:tc>
          <w:tcPr>
            <w:tcW w:w="990" w:type="dxa"/>
          </w:tcPr>
          <w:p w14:paraId="232D129F" w14:textId="77777777" w:rsidR="001A70B8" w:rsidRDefault="001A70B8" w:rsidP="00101E5D">
            <w:pPr>
              <w:pStyle w:val="ARtabletextright"/>
            </w:pPr>
            <w:r w:rsidRPr="16FA3065">
              <w:t>0</w:t>
            </w:r>
          </w:p>
        </w:tc>
      </w:tr>
      <w:tr w:rsidR="001A70B8" w14:paraId="032D4A71" w14:textId="77777777" w:rsidTr="00A212B4">
        <w:trPr>
          <w:cantSplit w:val="0"/>
          <w:trHeight w:val="330"/>
        </w:trPr>
        <w:tc>
          <w:tcPr>
            <w:tcW w:w="1695" w:type="dxa"/>
          </w:tcPr>
          <w:p w14:paraId="3AC96C84" w14:textId="77777777" w:rsidR="001A70B8" w:rsidRDefault="001A70B8" w:rsidP="00101E5D">
            <w:pPr>
              <w:pStyle w:val="ARtabletext"/>
            </w:pPr>
            <w:r w:rsidRPr="16FA3065">
              <w:t>SES-3</w:t>
            </w:r>
          </w:p>
        </w:tc>
        <w:tc>
          <w:tcPr>
            <w:tcW w:w="990" w:type="dxa"/>
          </w:tcPr>
          <w:p w14:paraId="5C54D8D8" w14:textId="77777777" w:rsidR="001A70B8" w:rsidRDefault="001A70B8" w:rsidP="00101E5D">
            <w:pPr>
              <w:pStyle w:val="ARtabletextright"/>
              <w:rPr>
                <w:color w:val="000000" w:themeColor="text1"/>
              </w:rPr>
            </w:pPr>
            <w:r w:rsidRPr="16FA3065">
              <w:rPr>
                <w:color w:val="000000" w:themeColor="text1"/>
              </w:rPr>
              <w:t>9</w:t>
            </w:r>
          </w:p>
        </w:tc>
        <w:tc>
          <w:tcPr>
            <w:tcW w:w="990" w:type="dxa"/>
            <w:tcBorders>
              <w:top w:val="single" w:sz="4" w:space="0" w:color="auto"/>
              <w:right w:val="single" w:sz="4" w:space="0" w:color="000000"/>
            </w:tcBorders>
          </w:tcPr>
          <w:p w14:paraId="3E0FCEF4" w14:textId="77777777" w:rsidR="001A70B8" w:rsidRDefault="001A70B8" w:rsidP="00101E5D">
            <w:pPr>
              <w:pStyle w:val="ARtabletextright"/>
            </w:pPr>
            <w:r w:rsidRPr="16FA3065">
              <w:t>(1)</w:t>
            </w:r>
          </w:p>
        </w:tc>
        <w:tc>
          <w:tcPr>
            <w:tcW w:w="1125" w:type="dxa"/>
            <w:tcBorders>
              <w:left w:val="single" w:sz="4" w:space="0" w:color="000000"/>
            </w:tcBorders>
          </w:tcPr>
          <w:p w14:paraId="7F834379" w14:textId="77777777" w:rsidR="001A70B8" w:rsidRDefault="001A70B8" w:rsidP="00101E5D">
            <w:pPr>
              <w:pStyle w:val="ARtabletextright"/>
            </w:pPr>
            <w:r w:rsidRPr="16FA3065">
              <w:t>6</w:t>
            </w:r>
          </w:p>
        </w:tc>
        <w:tc>
          <w:tcPr>
            <w:tcW w:w="840" w:type="dxa"/>
            <w:tcBorders>
              <w:top w:val="single" w:sz="4" w:space="0" w:color="auto"/>
              <w:right w:val="single" w:sz="4" w:space="0" w:color="000000"/>
            </w:tcBorders>
          </w:tcPr>
          <w:p w14:paraId="69C07B2E" w14:textId="77777777" w:rsidR="001A70B8" w:rsidRDefault="001A70B8" w:rsidP="00101E5D">
            <w:pPr>
              <w:pStyle w:val="ARtabletextright"/>
            </w:pPr>
            <w:r w:rsidRPr="16FA3065">
              <w:t>1</w:t>
            </w:r>
          </w:p>
        </w:tc>
        <w:tc>
          <w:tcPr>
            <w:tcW w:w="990" w:type="dxa"/>
            <w:tcBorders>
              <w:left w:val="single" w:sz="4" w:space="0" w:color="000000"/>
            </w:tcBorders>
          </w:tcPr>
          <w:p w14:paraId="18428814" w14:textId="77777777" w:rsidR="001A70B8" w:rsidRDefault="001A70B8" w:rsidP="00101E5D">
            <w:pPr>
              <w:pStyle w:val="ARtabletextright"/>
            </w:pPr>
            <w:r w:rsidRPr="16FA3065">
              <w:t>3</w:t>
            </w:r>
          </w:p>
        </w:tc>
        <w:tc>
          <w:tcPr>
            <w:tcW w:w="990" w:type="dxa"/>
            <w:tcBorders>
              <w:top w:val="single" w:sz="4" w:space="0" w:color="auto"/>
              <w:right w:val="single" w:sz="4" w:space="0" w:color="000000"/>
            </w:tcBorders>
          </w:tcPr>
          <w:p w14:paraId="4B6B1E1D" w14:textId="77777777" w:rsidR="001A70B8" w:rsidRDefault="001A70B8" w:rsidP="00101E5D">
            <w:pPr>
              <w:pStyle w:val="ARtabletextright"/>
            </w:pPr>
            <w:r w:rsidRPr="16FA3065">
              <w:t>(2)</w:t>
            </w:r>
          </w:p>
        </w:tc>
        <w:tc>
          <w:tcPr>
            <w:tcW w:w="990" w:type="dxa"/>
            <w:tcBorders>
              <w:left w:val="single" w:sz="4" w:space="0" w:color="000000"/>
            </w:tcBorders>
          </w:tcPr>
          <w:p w14:paraId="676F16E0" w14:textId="77777777" w:rsidR="001A70B8" w:rsidRDefault="001A70B8" w:rsidP="00101E5D">
            <w:pPr>
              <w:pStyle w:val="ARtabletextright"/>
            </w:pPr>
            <w:r w:rsidRPr="16FA3065">
              <w:t>0</w:t>
            </w:r>
          </w:p>
        </w:tc>
        <w:tc>
          <w:tcPr>
            <w:tcW w:w="990" w:type="dxa"/>
          </w:tcPr>
          <w:p w14:paraId="2BCD6F23" w14:textId="77777777" w:rsidR="001A70B8" w:rsidRDefault="001A70B8" w:rsidP="00101E5D">
            <w:pPr>
              <w:pStyle w:val="ARtabletextright"/>
            </w:pPr>
            <w:r w:rsidRPr="16FA3065">
              <w:t>0</w:t>
            </w:r>
          </w:p>
        </w:tc>
      </w:tr>
      <w:tr w:rsidR="001A70B8" w14:paraId="3E4BE7D1" w14:textId="77777777" w:rsidTr="00A212B4">
        <w:trPr>
          <w:cantSplit w:val="0"/>
          <w:trHeight w:val="330"/>
        </w:trPr>
        <w:tc>
          <w:tcPr>
            <w:tcW w:w="1695" w:type="dxa"/>
          </w:tcPr>
          <w:p w14:paraId="7B8D716B" w14:textId="77777777" w:rsidR="001A70B8" w:rsidRDefault="001A70B8" w:rsidP="00101E5D">
            <w:pPr>
              <w:pStyle w:val="ARtabletext"/>
            </w:pPr>
            <w:r w:rsidRPr="16FA3065">
              <w:t>SES-2</w:t>
            </w:r>
          </w:p>
        </w:tc>
        <w:tc>
          <w:tcPr>
            <w:tcW w:w="990" w:type="dxa"/>
          </w:tcPr>
          <w:p w14:paraId="7C4501B1" w14:textId="77777777" w:rsidR="001A70B8" w:rsidRDefault="001A70B8" w:rsidP="00101E5D">
            <w:pPr>
              <w:pStyle w:val="ARtabletextright"/>
              <w:rPr>
                <w:color w:val="000000" w:themeColor="text1"/>
              </w:rPr>
            </w:pPr>
            <w:r w:rsidRPr="16FA3065">
              <w:rPr>
                <w:color w:val="000000" w:themeColor="text1"/>
              </w:rPr>
              <w:t>52</w:t>
            </w:r>
          </w:p>
        </w:tc>
        <w:tc>
          <w:tcPr>
            <w:tcW w:w="990" w:type="dxa"/>
            <w:tcBorders>
              <w:top w:val="single" w:sz="4" w:space="0" w:color="auto"/>
              <w:right w:val="single" w:sz="4" w:space="0" w:color="000000"/>
            </w:tcBorders>
          </w:tcPr>
          <w:p w14:paraId="7E5EE2C0" w14:textId="77777777" w:rsidR="001A70B8" w:rsidRDefault="001A70B8" w:rsidP="00101E5D">
            <w:pPr>
              <w:pStyle w:val="ARtabletextright"/>
            </w:pPr>
            <w:r w:rsidRPr="16FA3065">
              <w:t>1</w:t>
            </w:r>
          </w:p>
        </w:tc>
        <w:tc>
          <w:tcPr>
            <w:tcW w:w="1125" w:type="dxa"/>
            <w:tcBorders>
              <w:left w:val="single" w:sz="4" w:space="0" w:color="000000"/>
            </w:tcBorders>
          </w:tcPr>
          <w:p w14:paraId="192DDEE8" w14:textId="77777777" w:rsidR="001A70B8" w:rsidRDefault="001A70B8" w:rsidP="00101E5D">
            <w:pPr>
              <w:pStyle w:val="ARtabletextright"/>
            </w:pPr>
            <w:r w:rsidRPr="16FA3065">
              <w:t>32</w:t>
            </w:r>
          </w:p>
        </w:tc>
        <w:tc>
          <w:tcPr>
            <w:tcW w:w="840" w:type="dxa"/>
            <w:tcBorders>
              <w:top w:val="single" w:sz="4" w:space="0" w:color="auto"/>
              <w:right w:val="single" w:sz="4" w:space="0" w:color="000000"/>
            </w:tcBorders>
          </w:tcPr>
          <w:p w14:paraId="0FCD2734" w14:textId="77777777" w:rsidR="001A70B8" w:rsidRDefault="001A70B8" w:rsidP="00101E5D">
            <w:pPr>
              <w:pStyle w:val="ARtabletextright"/>
            </w:pPr>
            <w:r w:rsidRPr="16FA3065">
              <w:t>5</w:t>
            </w:r>
          </w:p>
        </w:tc>
        <w:tc>
          <w:tcPr>
            <w:tcW w:w="990" w:type="dxa"/>
            <w:tcBorders>
              <w:left w:val="single" w:sz="4" w:space="0" w:color="000000"/>
            </w:tcBorders>
          </w:tcPr>
          <w:p w14:paraId="4C659CDA" w14:textId="77777777" w:rsidR="001A70B8" w:rsidRDefault="001A70B8" w:rsidP="00101E5D">
            <w:pPr>
              <w:pStyle w:val="ARtabletextright"/>
            </w:pPr>
            <w:r w:rsidRPr="16FA3065">
              <w:t>19</w:t>
            </w:r>
          </w:p>
        </w:tc>
        <w:tc>
          <w:tcPr>
            <w:tcW w:w="990" w:type="dxa"/>
            <w:tcBorders>
              <w:top w:val="single" w:sz="4" w:space="0" w:color="auto"/>
              <w:right w:val="single" w:sz="4" w:space="0" w:color="000000"/>
            </w:tcBorders>
          </w:tcPr>
          <w:p w14:paraId="713F426A" w14:textId="77777777" w:rsidR="001A70B8" w:rsidRDefault="001A70B8" w:rsidP="00101E5D">
            <w:pPr>
              <w:pStyle w:val="ARtabletextright"/>
            </w:pPr>
            <w:r w:rsidRPr="16FA3065">
              <w:t>(5)</w:t>
            </w:r>
          </w:p>
        </w:tc>
        <w:tc>
          <w:tcPr>
            <w:tcW w:w="990" w:type="dxa"/>
            <w:tcBorders>
              <w:left w:val="single" w:sz="4" w:space="0" w:color="000000"/>
            </w:tcBorders>
          </w:tcPr>
          <w:p w14:paraId="22E3D9F1" w14:textId="77777777" w:rsidR="001A70B8" w:rsidRDefault="001A70B8" w:rsidP="00101E5D">
            <w:pPr>
              <w:pStyle w:val="ARtabletextright"/>
            </w:pPr>
            <w:r w:rsidRPr="16FA3065">
              <w:t>1</w:t>
            </w:r>
          </w:p>
        </w:tc>
        <w:tc>
          <w:tcPr>
            <w:tcW w:w="990" w:type="dxa"/>
          </w:tcPr>
          <w:p w14:paraId="1A2CA894" w14:textId="77777777" w:rsidR="001A70B8" w:rsidRDefault="001A70B8" w:rsidP="00101E5D">
            <w:pPr>
              <w:pStyle w:val="ARtabletextright"/>
            </w:pPr>
            <w:r w:rsidRPr="16FA3065">
              <w:t>1</w:t>
            </w:r>
          </w:p>
        </w:tc>
      </w:tr>
      <w:tr w:rsidR="001A70B8" w14:paraId="6D930BC7" w14:textId="77777777" w:rsidTr="00A212B4">
        <w:trPr>
          <w:cantSplit w:val="0"/>
          <w:trHeight w:val="330"/>
        </w:trPr>
        <w:tc>
          <w:tcPr>
            <w:tcW w:w="1695" w:type="dxa"/>
          </w:tcPr>
          <w:p w14:paraId="010923A8" w14:textId="77777777" w:rsidR="001A70B8" w:rsidRDefault="001A70B8" w:rsidP="00101E5D">
            <w:pPr>
              <w:pStyle w:val="ARtabletext"/>
            </w:pPr>
            <w:r w:rsidRPr="16FA3065">
              <w:t>SES-1</w:t>
            </w:r>
          </w:p>
        </w:tc>
        <w:tc>
          <w:tcPr>
            <w:tcW w:w="990" w:type="dxa"/>
          </w:tcPr>
          <w:p w14:paraId="56A998A1" w14:textId="77777777" w:rsidR="001A70B8" w:rsidRDefault="001A70B8" w:rsidP="00101E5D">
            <w:pPr>
              <w:pStyle w:val="ARtabletextright"/>
              <w:rPr>
                <w:color w:val="000000" w:themeColor="text1"/>
              </w:rPr>
            </w:pPr>
            <w:r w:rsidRPr="16FA3065">
              <w:rPr>
                <w:color w:val="000000" w:themeColor="text1"/>
              </w:rPr>
              <w:t>127</w:t>
            </w:r>
          </w:p>
        </w:tc>
        <w:tc>
          <w:tcPr>
            <w:tcW w:w="990" w:type="dxa"/>
            <w:tcBorders>
              <w:top w:val="single" w:sz="4" w:space="0" w:color="auto"/>
              <w:right w:val="single" w:sz="4" w:space="0" w:color="000000"/>
            </w:tcBorders>
          </w:tcPr>
          <w:p w14:paraId="435145F6" w14:textId="77777777" w:rsidR="001A70B8" w:rsidRDefault="001A70B8" w:rsidP="00101E5D">
            <w:pPr>
              <w:pStyle w:val="ARtabletextright"/>
            </w:pPr>
            <w:r w:rsidRPr="16FA3065">
              <w:t>20</w:t>
            </w:r>
          </w:p>
        </w:tc>
        <w:tc>
          <w:tcPr>
            <w:tcW w:w="1125" w:type="dxa"/>
            <w:tcBorders>
              <w:left w:val="single" w:sz="4" w:space="0" w:color="000000"/>
            </w:tcBorders>
          </w:tcPr>
          <w:p w14:paraId="1FF5BBC5" w14:textId="77777777" w:rsidR="001A70B8" w:rsidRDefault="001A70B8" w:rsidP="00101E5D">
            <w:pPr>
              <w:pStyle w:val="ARtabletextright"/>
            </w:pPr>
            <w:r w:rsidRPr="16FA3065">
              <w:t>79</w:t>
            </w:r>
          </w:p>
        </w:tc>
        <w:tc>
          <w:tcPr>
            <w:tcW w:w="840" w:type="dxa"/>
            <w:tcBorders>
              <w:top w:val="single" w:sz="4" w:space="0" w:color="auto"/>
              <w:right w:val="single" w:sz="4" w:space="0" w:color="000000"/>
            </w:tcBorders>
          </w:tcPr>
          <w:p w14:paraId="31314065" w14:textId="77777777" w:rsidR="001A70B8" w:rsidRDefault="001A70B8" w:rsidP="00101E5D">
            <w:pPr>
              <w:pStyle w:val="ARtabletextright"/>
            </w:pPr>
            <w:r w:rsidRPr="16FA3065">
              <w:t>7</w:t>
            </w:r>
          </w:p>
        </w:tc>
        <w:tc>
          <w:tcPr>
            <w:tcW w:w="990" w:type="dxa"/>
            <w:tcBorders>
              <w:left w:val="single" w:sz="4" w:space="0" w:color="000000"/>
            </w:tcBorders>
          </w:tcPr>
          <w:p w14:paraId="498035A3" w14:textId="77777777" w:rsidR="001A70B8" w:rsidRDefault="001A70B8" w:rsidP="00101E5D">
            <w:pPr>
              <w:pStyle w:val="ARtabletextright"/>
            </w:pPr>
            <w:r w:rsidRPr="16FA3065">
              <w:t>46</w:t>
            </w:r>
          </w:p>
        </w:tc>
        <w:tc>
          <w:tcPr>
            <w:tcW w:w="990" w:type="dxa"/>
            <w:tcBorders>
              <w:top w:val="single" w:sz="4" w:space="0" w:color="auto"/>
              <w:right w:val="single" w:sz="4" w:space="0" w:color="000000"/>
            </w:tcBorders>
          </w:tcPr>
          <w:p w14:paraId="56968AFA" w14:textId="77777777" w:rsidR="001A70B8" w:rsidRDefault="001A70B8" w:rsidP="00101E5D">
            <w:pPr>
              <w:pStyle w:val="ARtabletextright"/>
            </w:pPr>
            <w:r w:rsidRPr="16FA3065">
              <w:t>11</w:t>
            </w:r>
          </w:p>
        </w:tc>
        <w:tc>
          <w:tcPr>
            <w:tcW w:w="990" w:type="dxa"/>
            <w:tcBorders>
              <w:left w:val="single" w:sz="4" w:space="0" w:color="000000"/>
            </w:tcBorders>
          </w:tcPr>
          <w:p w14:paraId="685E6DB6" w14:textId="77777777" w:rsidR="001A70B8" w:rsidRDefault="001A70B8" w:rsidP="00101E5D">
            <w:pPr>
              <w:pStyle w:val="ARtabletextright"/>
            </w:pPr>
            <w:r w:rsidRPr="16FA3065">
              <w:t>2</w:t>
            </w:r>
          </w:p>
        </w:tc>
        <w:tc>
          <w:tcPr>
            <w:tcW w:w="990" w:type="dxa"/>
          </w:tcPr>
          <w:p w14:paraId="09A3D79B" w14:textId="77777777" w:rsidR="001A70B8" w:rsidRDefault="001A70B8" w:rsidP="00101E5D">
            <w:pPr>
              <w:pStyle w:val="ARtabletextright"/>
            </w:pPr>
            <w:r w:rsidRPr="16FA3065">
              <w:t>2</w:t>
            </w:r>
          </w:p>
        </w:tc>
      </w:tr>
      <w:tr w:rsidR="001A70B8" w14:paraId="65A69886" w14:textId="77777777" w:rsidTr="00A212B4">
        <w:trPr>
          <w:cantSplit w:val="0"/>
          <w:trHeight w:val="330"/>
        </w:trPr>
        <w:tc>
          <w:tcPr>
            <w:tcW w:w="1695" w:type="dxa"/>
          </w:tcPr>
          <w:p w14:paraId="3D37D385" w14:textId="77777777" w:rsidR="001A70B8" w:rsidRDefault="001A70B8" w:rsidP="00101E5D">
            <w:pPr>
              <w:pStyle w:val="ARtabletextbold"/>
            </w:pPr>
            <w:r w:rsidRPr="16FA3065">
              <w:t>Total</w:t>
            </w:r>
          </w:p>
        </w:tc>
        <w:tc>
          <w:tcPr>
            <w:tcW w:w="990" w:type="dxa"/>
          </w:tcPr>
          <w:p w14:paraId="21BA6352" w14:textId="77777777" w:rsidR="001A70B8" w:rsidRDefault="001A70B8" w:rsidP="00101E5D">
            <w:pPr>
              <w:pStyle w:val="ARtabletextrightbold"/>
            </w:pPr>
            <w:r w:rsidRPr="16FA3065">
              <w:t>189</w:t>
            </w:r>
          </w:p>
        </w:tc>
        <w:tc>
          <w:tcPr>
            <w:tcW w:w="990" w:type="dxa"/>
            <w:tcBorders>
              <w:top w:val="single" w:sz="4" w:space="0" w:color="auto"/>
              <w:right w:val="single" w:sz="4" w:space="0" w:color="000000"/>
            </w:tcBorders>
          </w:tcPr>
          <w:p w14:paraId="0680F7A4" w14:textId="77777777" w:rsidR="001A70B8" w:rsidRDefault="001A70B8" w:rsidP="00101E5D">
            <w:pPr>
              <w:pStyle w:val="ARtabletextrightbold"/>
            </w:pPr>
            <w:r w:rsidRPr="16FA3065">
              <w:t>20</w:t>
            </w:r>
          </w:p>
        </w:tc>
        <w:tc>
          <w:tcPr>
            <w:tcW w:w="1125" w:type="dxa"/>
            <w:tcBorders>
              <w:left w:val="single" w:sz="4" w:space="0" w:color="000000"/>
            </w:tcBorders>
          </w:tcPr>
          <w:p w14:paraId="1CA9008F" w14:textId="77777777" w:rsidR="001A70B8" w:rsidRDefault="001A70B8" w:rsidP="00101E5D">
            <w:pPr>
              <w:pStyle w:val="ARtabletextrightbold"/>
            </w:pPr>
            <w:r w:rsidRPr="16FA3065">
              <w:t>117</w:t>
            </w:r>
          </w:p>
        </w:tc>
        <w:tc>
          <w:tcPr>
            <w:tcW w:w="840" w:type="dxa"/>
            <w:tcBorders>
              <w:top w:val="single" w:sz="4" w:space="0" w:color="auto"/>
              <w:right w:val="single" w:sz="4" w:space="0" w:color="000000"/>
            </w:tcBorders>
          </w:tcPr>
          <w:p w14:paraId="1A872759" w14:textId="77777777" w:rsidR="001A70B8" w:rsidRDefault="001A70B8" w:rsidP="00101E5D">
            <w:pPr>
              <w:pStyle w:val="ARtabletextrightbold"/>
            </w:pPr>
            <w:r w:rsidRPr="16FA3065">
              <w:t>13</w:t>
            </w:r>
          </w:p>
        </w:tc>
        <w:tc>
          <w:tcPr>
            <w:tcW w:w="990" w:type="dxa"/>
            <w:tcBorders>
              <w:left w:val="single" w:sz="4" w:space="0" w:color="000000"/>
            </w:tcBorders>
          </w:tcPr>
          <w:p w14:paraId="4DFD3A0D" w14:textId="77777777" w:rsidR="001A70B8" w:rsidRDefault="001A70B8" w:rsidP="00101E5D">
            <w:pPr>
              <w:pStyle w:val="ARtabletextrightbold"/>
            </w:pPr>
            <w:r w:rsidRPr="16FA3065">
              <w:t>69</w:t>
            </w:r>
          </w:p>
        </w:tc>
        <w:tc>
          <w:tcPr>
            <w:tcW w:w="990" w:type="dxa"/>
            <w:tcBorders>
              <w:top w:val="single" w:sz="4" w:space="0" w:color="auto"/>
              <w:right w:val="single" w:sz="4" w:space="0" w:color="000000"/>
            </w:tcBorders>
          </w:tcPr>
          <w:p w14:paraId="06A8F1D2" w14:textId="77777777" w:rsidR="001A70B8" w:rsidRDefault="001A70B8" w:rsidP="00101E5D">
            <w:pPr>
              <w:pStyle w:val="ARtabletextrightbold"/>
            </w:pPr>
            <w:r w:rsidRPr="16FA3065">
              <w:t>4</w:t>
            </w:r>
          </w:p>
        </w:tc>
        <w:tc>
          <w:tcPr>
            <w:tcW w:w="990" w:type="dxa"/>
            <w:tcBorders>
              <w:left w:val="single" w:sz="4" w:space="0" w:color="000000"/>
            </w:tcBorders>
          </w:tcPr>
          <w:p w14:paraId="1A51CAC0" w14:textId="77777777" w:rsidR="001A70B8" w:rsidRDefault="001A70B8" w:rsidP="00101E5D">
            <w:pPr>
              <w:pStyle w:val="ARtabletextrightbold"/>
            </w:pPr>
            <w:r w:rsidRPr="16FA3065">
              <w:t>3</w:t>
            </w:r>
          </w:p>
        </w:tc>
        <w:tc>
          <w:tcPr>
            <w:tcW w:w="990" w:type="dxa"/>
          </w:tcPr>
          <w:p w14:paraId="4EDBE9D6" w14:textId="77777777" w:rsidR="001A70B8" w:rsidRDefault="001A70B8" w:rsidP="00101E5D">
            <w:pPr>
              <w:pStyle w:val="ARtabletextrightbold"/>
            </w:pPr>
            <w:r w:rsidRPr="16FA3065">
              <w:t>3</w:t>
            </w:r>
          </w:p>
        </w:tc>
      </w:tr>
    </w:tbl>
    <w:p w14:paraId="43362818" w14:textId="0BE065F9" w:rsidR="001A70B8" w:rsidRPr="00E25EC3" w:rsidRDefault="001A70B8" w:rsidP="00101E5D">
      <w:pPr>
        <w:pStyle w:val="ARbodyaftertable"/>
      </w:pPr>
      <w:r w:rsidRPr="319EAB88">
        <w:t>The</w:t>
      </w:r>
      <w:r>
        <w:t xml:space="preserve"> </w:t>
      </w:r>
      <w:r w:rsidRPr="319EAB88">
        <w:t>number</w:t>
      </w:r>
      <w:r>
        <w:t xml:space="preserve"> </w:t>
      </w:r>
      <w:r w:rsidRPr="319EAB88">
        <w:t>of</w:t>
      </w:r>
      <w:r>
        <w:t xml:space="preserve"> </w:t>
      </w:r>
      <w:r w:rsidRPr="319EAB88">
        <w:t>executives</w:t>
      </w:r>
      <w:r>
        <w:t xml:space="preserve"> </w:t>
      </w:r>
      <w:r w:rsidRPr="319EAB88">
        <w:t>in</w:t>
      </w:r>
      <w:r>
        <w:t xml:space="preserve"> </w:t>
      </w:r>
      <w:r w:rsidRPr="319EAB88">
        <w:t>the</w:t>
      </w:r>
      <w:r>
        <w:t xml:space="preserve"> </w:t>
      </w:r>
      <w:r w:rsidRPr="319EAB88">
        <w:t>report</w:t>
      </w:r>
      <w:r>
        <w:t xml:space="preserve"> </w:t>
      </w:r>
      <w:r w:rsidRPr="319EAB88">
        <w:t>of</w:t>
      </w:r>
      <w:r>
        <w:t xml:space="preserve"> </w:t>
      </w:r>
      <w:r w:rsidRPr="319EAB88">
        <w:t>operations</w:t>
      </w:r>
      <w:r>
        <w:t xml:space="preserve"> </w:t>
      </w:r>
      <w:r w:rsidRPr="319EAB88">
        <w:t>is</w:t>
      </w:r>
      <w:r>
        <w:t xml:space="preserve"> </w:t>
      </w:r>
      <w:r w:rsidRPr="319EAB88">
        <w:t>based</w:t>
      </w:r>
      <w:r>
        <w:t xml:space="preserve"> </w:t>
      </w:r>
      <w:r w:rsidRPr="319EAB88">
        <w:t>on</w:t>
      </w:r>
      <w:r>
        <w:t xml:space="preserve"> </w:t>
      </w:r>
      <w:r w:rsidRPr="319EAB88">
        <w:t>the</w:t>
      </w:r>
      <w:r>
        <w:t xml:space="preserve"> </w:t>
      </w:r>
      <w:r w:rsidRPr="319EAB88">
        <w:t>number</w:t>
      </w:r>
      <w:r>
        <w:t xml:space="preserve"> </w:t>
      </w:r>
      <w:r w:rsidRPr="319EAB88">
        <w:t>of</w:t>
      </w:r>
      <w:r>
        <w:t xml:space="preserve"> </w:t>
      </w:r>
      <w:r w:rsidRPr="319EAB88">
        <w:t>executive</w:t>
      </w:r>
      <w:r>
        <w:t xml:space="preserve"> </w:t>
      </w:r>
      <w:r w:rsidRPr="319EAB88">
        <w:t>positions</w:t>
      </w:r>
      <w:r>
        <w:t xml:space="preserve"> </w:t>
      </w:r>
      <w:r w:rsidRPr="319EAB88">
        <w:t>that</w:t>
      </w:r>
      <w:r>
        <w:t xml:space="preserve"> </w:t>
      </w:r>
      <w:r w:rsidRPr="319EAB88">
        <w:t>are</w:t>
      </w:r>
      <w:r>
        <w:t xml:space="preserve"> </w:t>
      </w:r>
      <w:r w:rsidRPr="319EAB88">
        <w:t>occupied</w:t>
      </w:r>
      <w:r>
        <w:t xml:space="preserve"> </w:t>
      </w:r>
      <w:r w:rsidRPr="319EAB88">
        <w:t>at</w:t>
      </w:r>
      <w:r>
        <w:t xml:space="preserve"> </w:t>
      </w:r>
      <w:r w:rsidRPr="319EAB88">
        <w:t>the</w:t>
      </w:r>
      <w:r>
        <w:t xml:space="preserve"> </w:t>
      </w:r>
      <w:r w:rsidRPr="319EAB88">
        <w:t>end</w:t>
      </w:r>
      <w:r>
        <w:t xml:space="preserve"> </w:t>
      </w:r>
      <w:r w:rsidRPr="319EAB88">
        <w:t>of</w:t>
      </w:r>
      <w:r>
        <w:t xml:space="preserve"> </w:t>
      </w:r>
      <w:r w:rsidRPr="319EAB88">
        <w:t>the</w:t>
      </w:r>
      <w:r>
        <w:t xml:space="preserve"> </w:t>
      </w:r>
      <w:r w:rsidRPr="319EAB88">
        <w:t>financial</w:t>
      </w:r>
      <w:r>
        <w:t xml:space="preserve"> </w:t>
      </w:r>
      <w:r w:rsidRPr="319EAB88">
        <w:t>year.</w:t>
      </w:r>
      <w:r>
        <w:t xml:space="preserve"> </w:t>
      </w:r>
      <w:r w:rsidRPr="319EAB88">
        <w:t>Note</w:t>
      </w:r>
      <w:r>
        <w:t xml:space="preserve"> </w:t>
      </w:r>
      <w:r w:rsidRPr="319EAB88">
        <w:t>9.7</w:t>
      </w:r>
      <w:r>
        <w:t xml:space="preserve"> </w:t>
      </w:r>
      <w:r w:rsidRPr="319EAB88">
        <w:t>in</w:t>
      </w:r>
      <w:r>
        <w:t xml:space="preserve"> </w:t>
      </w:r>
      <w:r w:rsidRPr="319EAB88">
        <w:t>the</w:t>
      </w:r>
      <w:r>
        <w:t xml:space="preserve"> </w:t>
      </w:r>
      <w:r w:rsidRPr="319EAB88">
        <w:t>financial</w:t>
      </w:r>
      <w:r>
        <w:t xml:space="preserve"> </w:t>
      </w:r>
      <w:r w:rsidRPr="319EAB88">
        <w:t>statements</w:t>
      </w:r>
      <w:r>
        <w:t xml:space="preserve"> </w:t>
      </w:r>
      <w:r w:rsidRPr="319EAB88">
        <w:t>lists</w:t>
      </w:r>
      <w:r>
        <w:t xml:space="preserve"> </w:t>
      </w:r>
      <w:r w:rsidRPr="319EAB88">
        <w:t>the</w:t>
      </w:r>
      <w:r>
        <w:t xml:space="preserve"> </w:t>
      </w:r>
      <w:r w:rsidRPr="319EAB88">
        <w:t>actual</w:t>
      </w:r>
      <w:r>
        <w:t xml:space="preserve"> </w:t>
      </w:r>
      <w:r w:rsidRPr="319EAB88">
        <w:t>number</w:t>
      </w:r>
      <w:r>
        <w:t xml:space="preserve"> </w:t>
      </w:r>
      <w:r w:rsidRPr="319EAB88">
        <w:t>of</w:t>
      </w:r>
      <w:r>
        <w:t xml:space="preserve"> </w:t>
      </w:r>
      <w:r w:rsidRPr="319EAB88">
        <w:t>SES</w:t>
      </w:r>
      <w:r>
        <w:t xml:space="preserve"> </w:t>
      </w:r>
      <w:r w:rsidRPr="319EAB88">
        <w:t>and</w:t>
      </w:r>
      <w:r>
        <w:t xml:space="preserve"> </w:t>
      </w:r>
      <w:r w:rsidRPr="319EAB88">
        <w:t>the</w:t>
      </w:r>
      <w:r>
        <w:t xml:space="preserve"> </w:t>
      </w:r>
      <w:r w:rsidRPr="319EAB88">
        <w:t>total</w:t>
      </w:r>
      <w:r>
        <w:t xml:space="preserve"> </w:t>
      </w:r>
      <w:r w:rsidRPr="319EAB88">
        <w:t>remuneration</w:t>
      </w:r>
      <w:r>
        <w:t xml:space="preserve"> </w:t>
      </w:r>
      <w:r w:rsidRPr="319EAB88">
        <w:t>paid</w:t>
      </w:r>
      <w:r>
        <w:t xml:space="preserve"> </w:t>
      </w:r>
      <w:r w:rsidRPr="319EAB88">
        <w:t>to</w:t>
      </w:r>
      <w:r>
        <w:t xml:space="preserve"> </w:t>
      </w:r>
      <w:r w:rsidRPr="319EAB88">
        <w:t>SES</w:t>
      </w:r>
      <w:r>
        <w:t xml:space="preserve"> </w:t>
      </w:r>
      <w:r w:rsidRPr="319EAB88">
        <w:t>over</w:t>
      </w:r>
      <w:r>
        <w:t xml:space="preserve"> </w:t>
      </w:r>
      <w:r w:rsidRPr="319EAB88">
        <w:t>the</w:t>
      </w:r>
      <w:r>
        <w:t xml:space="preserve"> </w:t>
      </w:r>
      <w:r w:rsidRPr="319EAB88">
        <w:t>course</w:t>
      </w:r>
      <w:r>
        <w:t xml:space="preserve"> </w:t>
      </w:r>
      <w:r w:rsidRPr="319EAB88">
        <w:t>of</w:t>
      </w:r>
      <w:r>
        <w:t xml:space="preserve"> </w:t>
      </w:r>
      <w:r w:rsidRPr="319EAB88">
        <w:t>the</w:t>
      </w:r>
      <w:r>
        <w:t xml:space="preserve"> </w:t>
      </w:r>
      <w:r w:rsidRPr="319EAB88">
        <w:t>reporting</w:t>
      </w:r>
      <w:r>
        <w:t xml:space="preserve"> </w:t>
      </w:r>
      <w:r w:rsidRPr="319EAB88">
        <w:t>period.</w:t>
      </w:r>
      <w:r>
        <w:t xml:space="preserve"> </w:t>
      </w:r>
      <w:r w:rsidRPr="319EAB88">
        <w:t>The</w:t>
      </w:r>
      <w:r>
        <w:t xml:space="preserve"> </w:t>
      </w:r>
      <w:r w:rsidRPr="319EAB88">
        <w:t>financial</w:t>
      </w:r>
      <w:r>
        <w:t xml:space="preserve"> </w:t>
      </w:r>
      <w:r w:rsidRPr="319EAB88">
        <w:t>statements</w:t>
      </w:r>
      <w:r>
        <w:t xml:space="preserve"> </w:t>
      </w:r>
      <w:r w:rsidRPr="319EAB88">
        <w:t>note</w:t>
      </w:r>
      <w:r>
        <w:t xml:space="preserve"> </w:t>
      </w:r>
      <w:r w:rsidRPr="319EAB88">
        <w:t>does</w:t>
      </w:r>
      <w:r>
        <w:t xml:space="preserve"> </w:t>
      </w:r>
      <w:r w:rsidRPr="319EAB88">
        <w:t>not</w:t>
      </w:r>
      <w:r>
        <w:t xml:space="preserve"> </w:t>
      </w:r>
      <w:r w:rsidRPr="319EAB88">
        <w:t>include</w:t>
      </w:r>
      <w:r>
        <w:t xml:space="preserve"> </w:t>
      </w:r>
      <w:r w:rsidRPr="319EAB88">
        <w:t>the</w:t>
      </w:r>
      <w:r>
        <w:t xml:space="preserve"> </w:t>
      </w:r>
      <w:r w:rsidRPr="319EAB88">
        <w:t>Accountable</w:t>
      </w:r>
      <w:r>
        <w:t xml:space="preserve"> </w:t>
      </w:r>
      <w:r w:rsidRPr="319EAB88">
        <w:t>Officer,</w:t>
      </w:r>
      <w:r>
        <w:t xml:space="preserve"> </w:t>
      </w:r>
      <w:r w:rsidRPr="319EAB88">
        <w:t>nor</w:t>
      </w:r>
      <w:r>
        <w:t xml:space="preserve"> </w:t>
      </w:r>
      <w:r w:rsidRPr="319EAB88">
        <w:t>does</w:t>
      </w:r>
      <w:r>
        <w:t xml:space="preserve"> </w:t>
      </w:r>
      <w:r w:rsidRPr="319EAB88">
        <w:t>it</w:t>
      </w:r>
      <w:r>
        <w:t xml:space="preserve"> </w:t>
      </w:r>
      <w:r w:rsidRPr="319EAB88">
        <w:t>distinguish</w:t>
      </w:r>
      <w:r>
        <w:t xml:space="preserve"> </w:t>
      </w:r>
      <w:r w:rsidRPr="319EAB88">
        <w:t>between</w:t>
      </w:r>
      <w:r>
        <w:t xml:space="preserve"> </w:t>
      </w:r>
      <w:r w:rsidRPr="319EAB88">
        <w:t>executive</w:t>
      </w:r>
      <w:r>
        <w:t xml:space="preserve"> </w:t>
      </w:r>
      <w:r w:rsidRPr="319EAB88">
        <w:t>levels</w:t>
      </w:r>
      <w:r>
        <w:t xml:space="preserve"> </w:t>
      </w:r>
      <w:r w:rsidRPr="319EAB88">
        <w:t>or</w:t>
      </w:r>
      <w:r>
        <w:t xml:space="preserve"> </w:t>
      </w:r>
      <w:r w:rsidRPr="319EAB88">
        <w:t>disclose</w:t>
      </w:r>
      <w:r>
        <w:t xml:space="preserve"> </w:t>
      </w:r>
      <w:r w:rsidRPr="319EAB88">
        <w:t>separations.</w:t>
      </w:r>
      <w:r>
        <w:t xml:space="preserve"> </w:t>
      </w:r>
      <w:r w:rsidRPr="319EAB88">
        <w:t>Separations</w:t>
      </w:r>
      <w:r>
        <w:t xml:space="preserve"> </w:t>
      </w:r>
      <w:r w:rsidRPr="319EAB88">
        <w:t>are</w:t>
      </w:r>
      <w:r>
        <w:t xml:space="preserve"> </w:t>
      </w:r>
      <w:r w:rsidRPr="319EAB88">
        <w:t>executives</w:t>
      </w:r>
      <w:r>
        <w:t xml:space="preserve"> </w:t>
      </w:r>
      <w:r w:rsidRPr="319EAB88">
        <w:t>who</w:t>
      </w:r>
      <w:r>
        <w:t xml:space="preserve"> </w:t>
      </w:r>
      <w:r w:rsidRPr="319EAB88">
        <w:t>have</w:t>
      </w:r>
      <w:r>
        <w:t xml:space="preserve"> </w:t>
      </w:r>
      <w:r w:rsidRPr="319EAB88">
        <w:t>left</w:t>
      </w:r>
      <w:r>
        <w:t xml:space="preserve"> </w:t>
      </w:r>
      <w:r w:rsidRPr="319EAB88">
        <w:t>the</w:t>
      </w:r>
      <w:r>
        <w:t xml:space="preserve"> </w:t>
      </w:r>
      <w:r w:rsidR="003075FF">
        <w:t>d</w:t>
      </w:r>
      <w:r w:rsidRPr="319EAB88">
        <w:t>epartment</w:t>
      </w:r>
      <w:r>
        <w:t xml:space="preserve"> </w:t>
      </w:r>
      <w:r w:rsidRPr="319EAB88">
        <w:t>during</w:t>
      </w:r>
      <w:r>
        <w:t xml:space="preserve"> </w:t>
      </w:r>
      <w:r w:rsidRPr="319EAB88">
        <w:t>the</w:t>
      </w:r>
      <w:r>
        <w:t xml:space="preserve"> </w:t>
      </w:r>
      <w:r w:rsidRPr="319EAB88">
        <w:t>relevant</w:t>
      </w:r>
      <w:r>
        <w:t xml:space="preserve"> </w:t>
      </w:r>
      <w:r w:rsidRPr="319EAB88">
        <w:t>reporting</w:t>
      </w:r>
      <w:r>
        <w:t xml:space="preserve"> </w:t>
      </w:r>
      <w:r w:rsidRPr="319EAB88">
        <w:t>period.</w:t>
      </w:r>
      <w:r>
        <w:t xml:space="preserve"> </w:t>
      </w:r>
      <w:r w:rsidRPr="319EAB88">
        <w:t>To</w:t>
      </w:r>
      <w:r>
        <w:t xml:space="preserve"> </w:t>
      </w:r>
      <w:r w:rsidRPr="319EAB88">
        <w:t>assist</w:t>
      </w:r>
      <w:r>
        <w:t xml:space="preserve"> </w:t>
      </w:r>
      <w:r w:rsidRPr="319EAB88">
        <w:t>readers,</w:t>
      </w:r>
      <w:r>
        <w:t xml:space="preserve"> </w:t>
      </w:r>
      <w:r w:rsidRPr="319EAB88">
        <w:t>these</w:t>
      </w:r>
      <w:r>
        <w:t xml:space="preserve"> </w:t>
      </w:r>
      <w:r w:rsidRPr="319EAB88">
        <w:t>two</w:t>
      </w:r>
      <w:r>
        <w:t xml:space="preserve"> </w:t>
      </w:r>
      <w:r w:rsidRPr="319EAB88">
        <w:t>disclosures</w:t>
      </w:r>
      <w:r>
        <w:t xml:space="preserve"> </w:t>
      </w:r>
      <w:r w:rsidRPr="319EAB88">
        <w:t>are</w:t>
      </w:r>
      <w:r>
        <w:t xml:space="preserve"> </w:t>
      </w:r>
      <w:r w:rsidRPr="319EAB88">
        <w:t>reconciled</w:t>
      </w:r>
      <w:r>
        <w:t xml:space="preserve"> </w:t>
      </w:r>
      <w:r w:rsidRPr="319EAB88">
        <w:t>below.</w:t>
      </w:r>
    </w:p>
    <w:p w14:paraId="0FACEB47" w14:textId="77777777" w:rsidR="001A70B8" w:rsidRPr="002029AF" w:rsidRDefault="001A70B8" w:rsidP="00101E5D">
      <w:pPr>
        <w:pStyle w:val="Heading3EOdata"/>
      </w:pPr>
      <w:bookmarkStart w:id="277" w:name="_Toc85121237"/>
      <w:bookmarkStart w:id="278" w:name="_Hlk19622283"/>
      <w:r w:rsidRPr="00661AB5">
        <w:t>Table</w:t>
      </w:r>
      <w:r>
        <w:t xml:space="preserve"> </w:t>
      </w:r>
      <w:r w:rsidRPr="00661AB5">
        <w:t>2:</w:t>
      </w:r>
      <w:r>
        <w:t xml:space="preserve"> </w:t>
      </w:r>
      <w:r w:rsidRPr="00661AB5">
        <w:t>Reconciliation</w:t>
      </w:r>
      <w:r>
        <w:t xml:space="preserve"> </w:t>
      </w:r>
      <w:r w:rsidRPr="00661AB5">
        <w:t>of</w:t>
      </w:r>
      <w:r>
        <w:t xml:space="preserve"> </w:t>
      </w:r>
      <w:r w:rsidRPr="00661AB5">
        <w:t>executive</w:t>
      </w:r>
      <w:r>
        <w:t xml:space="preserve"> </w:t>
      </w:r>
      <w:r w:rsidRPr="00661AB5">
        <w:t>numbers</w:t>
      </w:r>
      <w:r>
        <w:t xml:space="preserve"> </w:t>
      </w:r>
      <w:r w:rsidRPr="00661AB5">
        <w:t>for</w:t>
      </w:r>
      <w:r>
        <w:t xml:space="preserve"> </w:t>
      </w:r>
      <w:r w:rsidRPr="00661AB5">
        <w:t>the</w:t>
      </w:r>
      <w:r>
        <w:t xml:space="preserve"> </w:t>
      </w:r>
      <w:r w:rsidRPr="00661AB5">
        <w:t>department</w:t>
      </w:r>
      <w:bookmarkEnd w:id="277"/>
    </w:p>
    <w:tbl>
      <w:tblPr>
        <w:tblStyle w:val="TableGrid"/>
        <w:tblW w:w="9639" w:type="dxa"/>
        <w:tblLook w:val="06A0" w:firstRow="1" w:lastRow="0" w:firstColumn="1" w:lastColumn="0" w:noHBand="1" w:noVBand="1"/>
      </w:tblPr>
      <w:tblGrid>
        <w:gridCol w:w="7655"/>
        <w:gridCol w:w="992"/>
        <w:gridCol w:w="992"/>
      </w:tblGrid>
      <w:tr w:rsidR="001A70B8" w:rsidRPr="002029AF" w14:paraId="3E93A70A" w14:textId="77777777" w:rsidTr="00FD1DB2">
        <w:trPr>
          <w:cnfStyle w:val="100000000000" w:firstRow="1" w:lastRow="0" w:firstColumn="0" w:lastColumn="0" w:oddVBand="0" w:evenVBand="0" w:oddHBand="0" w:evenHBand="0" w:firstRowFirstColumn="0" w:firstRowLastColumn="0" w:lastRowFirstColumn="0" w:lastRowLastColumn="0"/>
          <w:tblHeader/>
        </w:trPr>
        <w:tc>
          <w:tcPr>
            <w:tcW w:w="7655" w:type="dxa"/>
            <w:tcBorders>
              <w:top w:val="nil"/>
            </w:tcBorders>
          </w:tcPr>
          <w:p w14:paraId="77CAAC00" w14:textId="77777777" w:rsidR="001A70B8" w:rsidRPr="002029AF" w:rsidRDefault="001A70B8" w:rsidP="00101E5D">
            <w:pPr>
              <w:pStyle w:val="ARtablecolhead"/>
              <w:shd w:val="clear" w:color="auto" w:fill="FFFFFF" w:themeFill="background1"/>
            </w:pPr>
          </w:p>
        </w:tc>
        <w:tc>
          <w:tcPr>
            <w:tcW w:w="992" w:type="dxa"/>
            <w:tcBorders>
              <w:top w:val="nil"/>
            </w:tcBorders>
          </w:tcPr>
          <w:p w14:paraId="35357875" w14:textId="77777777" w:rsidR="001A70B8" w:rsidRPr="00106C52" w:rsidRDefault="001A70B8" w:rsidP="00101E5D">
            <w:pPr>
              <w:pStyle w:val="ARtablecolheadright"/>
              <w:shd w:val="clear" w:color="auto" w:fill="FFFFFF" w:themeFill="background1"/>
            </w:pPr>
            <w:r w:rsidRPr="00106C52">
              <w:t>202</w:t>
            </w:r>
            <w:r>
              <w:t>2</w:t>
            </w:r>
          </w:p>
        </w:tc>
        <w:tc>
          <w:tcPr>
            <w:tcW w:w="992" w:type="dxa"/>
            <w:tcBorders>
              <w:top w:val="nil"/>
            </w:tcBorders>
          </w:tcPr>
          <w:p w14:paraId="5F5AEF1A" w14:textId="77777777" w:rsidR="001A70B8" w:rsidRPr="00106C52" w:rsidRDefault="001A70B8" w:rsidP="00101E5D">
            <w:pPr>
              <w:pStyle w:val="ARtablecolheadright"/>
              <w:shd w:val="clear" w:color="auto" w:fill="FFFFFF" w:themeFill="background1"/>
            </w:pPr>
            <w:r w:rsidRPr="00106C52">
              <w:t>202</w:t>
            </w:r>
            <w:r>
              <w:t>1</w:t>
            </w:r>
          </w:p>
        </w:tc>
      </w:tr>
      <w:tr w:rsidR="001A70B8" w:rsidRPr="002029AF" w14:paraId="08532483" w14:textId="77777777" w:rsidTr="00FD1DB2">
        <w:trPr>
          <w:cantSplit w:val="0"/>
        </w:trPr>
        <w:tc>
          <w:tcPr>
            <w:tcW w:w="7655" w:type="dxa"/>
            <w:tcBorders>
              <w:top w:val="single" w:sz="4" w:space="0" w:color="70AD47" w:themeColor="accent6"/>
            </w:tcBorders>
          </w:tcPr>
          <w:p w14:paraId="417C085E" w14:textId="77777777" w:rsidR="001A70B8" w:rsidRPr="002029AF" w:rsidRDefault="001A70B8" w:rsidP="00101E5D">
            <w:pPr>
              <w:pStyle w:val="ARtabletext"/>
              <w:shd w:val="clear" w:color="auto" w:fill="FFFFFF" w:themeFill="background1"/>
            </w:pPr>
            <w:r w:rsidRPr="002029AF">
              <w:t>Executives</w:t>
            </w:r>
            <w:r>
              <w:t xml:space="preserve"> (financial statement Note 9.7)</w:t>
            </w:r>
          </w:p>
        </w:tc>
        <w:tc>
          <w:tcPr>
            <w:tcW w:w="992" w:type="dxa"/>
            <w:tcBorders>
              <w:top w:val="single" w:sz="4" w:space="0" w:color="70AD47" w:themeColor="accent6"/>
            </w:tcBorders>
          </w:tcPr>
          <w:p w14:paraId="4E59E0E7" w14:textId="77777777" w:rsidR="001A70B8" w:rsidRPr="00222619" w:rsidRDefault="001A70B8" w:rsidP="00101E5D">
            <w:pPr>
              <w:pStyle w:val="ARtabletextright"/>
              <w:shd w:val="clear" w:color="auto" w:fill="FFFFFF" w:themeFill="background1"/>
            </w:pPr>
            <w:r>
              <w:t>270</w:t>
            </w:r>
          </w:p>
        </w:tc>
        <w:tc>
          <w:tcPr>
            <w:tcW w:w="992" w:type="dxa"/>
            <w:tcBorders>
              <w:top w:val="single" w:sz="4" w:space="0" w:color="70AD47" w:themeColor="accent6"/>
            </w:tcBorders>
          </w:tcPr>
          <w:p w14:paraId="6915E731" w14:textId="77777777" w:rsidR="001A70B8" w:rsidRPr="00222619" w:rsidRDefault="001A70B8" w:rsidP="00101E5D">
            <w:pPr>
              <w:pStyle w:val="ARtabletextright"/>
              <w:shd w:val="clear" w:color="auto" w:fill="FFFFFF" w:themeFill="background1"/>
            </w:pPr>
            <w:r>
              <w:t>183</w:t>
            </w:r>
          </w:p>
        </w:tc>
      </w:tr>
      <w:tr w:rsidR="001A70B8" w:rsidRPr="002029AF" w14:paraId="5B2D0255" w14:textId="77777777" w:rsidTr="00FD1DB2">
        <w:trPr>
          <w:cantSplit w:val="0"/>
        </w:trPr>
        <w:tc>
          <w:tcPr>
            <w:tcW w:w="7655" w:type="dxa"/>
          </w:tcPr>
          <w:p w14:paraId="78AC63AB" w14:textId="77777777" w:rsidR="001A70B8" w:rsidRPr="002029AF" w:rsidRDefault="001A70B8" w:rsidP="00101E5D">
            <w:pPr>
              <w:pStyle w:val="ARtabletext"/>
              <w:shd w:val="clear" w:color="auto" w:fill="FFFFFF" w:themeFill="background1"/>
            </w:pPr>
            <w:r w:rsidRPr="002029AF">
              <w:t>Accountable</w:t>
            </w:r>
            <w:r>
              <w:t xml:space="preserve"> </w:t>
            </w:r>
            <w:r w:rsidRPr="002029AF">
              <w:t>Officer</w:t>
            </w:r>
            <w:r>
              <w:t xml:space="preserve"> </w:t>
            </w:r>
            <w:r w:rsidRPr="002029AF">
              <w:t>(</w:t>
            </w:r>
            <w:r>
              <w:t>Secretary</w:t>
            </w:r>
            <w:r w:rsidRPr="002029AF">
              <w:t>)</w:t>
            </w:r>
          </w:p>
        </w:tc>
        <w:tc>
          <w:tcPr>
            <w:tcW w:w="992" w:type="dxa"/>
          </w:tcPr>
          <w:p w14:paraId="08788C2A" w14:textId="77777777" w:rsidR="001A70B8" w:rsidRPr="00222619" w:rsidRDefault="001A70B8" w:rsidP="00101E5D">
            <w:pPr>
              <w:pStyle w:val="ARtabletextright"/>
              <w:shd w:val="clear" w:color="auto" w:fill="FFFFFF" w:themeFill="background1"/>
            </w:pPr>
            <w:r>
              <w:t>1</w:t>
            </w:r>
          </w:p>
        </w:tc>
        <w:tc>
          <w:tcPr>
            <w:tcW w:w="992" w:type="dxa"/>
          </w:tcPr>
          <w:p w14:paraId="13A5D019" w14:textId="77777777" w:rsidR="001A70B8" w:rsidRPr="00222619" w:rsidRDefault="001A70B8" w:rsidP="00101E5D">
            <w:pPr>
              <w:pStyle w:val="ARtabletextright"/>
              <w:shd w:val="clear" w:color="auto" w:fill="FFFFFF" w:themeFill="background1"/>
            </w:pPr>
            <w:r w:rsidRPr="00222619">
              <w:t>1</w:t>
            </w:r>
          </w:p>
        </w:tc>
      </w:tr>
      <w:tr w:rsidR="001A70B8" w:rsidRPr="002029AF" w14:paraId="19986857" w14:textId="77777777" w:rsidTr="00FD1DB2">
        <w:trPr>
          <w:cantSplit w:val="0"/>
        </w:trPr>
        <w:tc>
          <w:tcPr>
            <w:tcW w:w="7655" w:type="dxa"/>
          </w:tcPr>
          <w:p w14:paraId="68BF5A02" w14:textId="77777777" w:rsidR="001A70B8" w:rsidRPr="002029AF" w:rsidRDefault="001A70B8" w:rsidP="00101E5D">
            <w:pPr>
              <w:pStyle w:val="ARtabletext"/>
              <w:shd w:val="clear" w:color="auto" w:fill="FFFFFF" w:themeFill="background1"/>
            </w:pPr>
            <w:r w:rsidRPr="002029AF">
              <w:t>Less</w:t>
            </w:r>
            <w:r>
              <w:t xml:space="preserve"> </w:t>
            </w:r>
            <w:r w:rsidRPr="002029AF">
              <w:t>separations</w:t>
            </w:r>
          </w:p>
        </w:tc>
        <w:tc>
          <w:tcPr>
            <w:tcW w:w="992" w:type="dxa"/>
          </w:tcPr>
          <w:p w14:paraId="0FECE47C" w14:textId="77777777" w:rsidR="001A70B8" w:rsidRPr="00106C52" w:rsidRDefault="001A70B8" w:rsidP="00101E5D">
            <w:pPr>
              <w:pStyle w:val="ARtabletextright"/>
              <w:shd w:val="clear" w:color="auto" w:fill="FFFFFF" w:themeFill="background1"/>
            </w:pPr>
            <w:r>
              <w:t>(82)</w:t>
            </w:r>
          </w:p>
        </w:tc>
        <w:tc>
          <w:tcPr>
            <w:tcW w:w="992" w:type="dxa"/>
          </w:tcPr>
          <w:p w14:paraId="0E060FCA" w14:textId="77777777" w:rsidR="001A70B8" w:rsidRPr="00106C52" w:rsidRDefault="001A70B8" w:rsidP="00101E5D">
            <w:pPr>
              <w:pStyle w:val="ARtabletextright"/>
              <w:shd w:val="clear" w:color="auto" w:fill="FFFFFF" w:themeFill="background1"/>
            </w:pPr>
            <w:r>
              <w:t>(13)</w:t>
            </w:r>
          </w:p>
        </w:tc>
      </w:tr>
      <w:tr w:rsidR="001A70B8" w:rsidRPr="002029AF" w14:paraId="2B22570A" w14:textId="77777777" w:rsidTr="00FD1DB2">
        <w:trPr>
          <w:cantSplit w:val="0"/>
        </w:trPr>
        <w:tc>
          <w:tcPr>
            <w:tcW w:w="7655" w:type="dxa"/>
          </w:tcPr>
          <w:p w14:paraId="06E78EAD" w14:textId="77777777" w:rsidR="001A70B8" w:rsidRPr="002029AF" w:rsidRDefault="001A70B8" w:rsidP="00101E5D">
            <w:pPr>
              <w:pStyle w:val="ARtabletext"/>
              <w:shd w:val="clear" w:color="auto" w:fill="FFFFFF" w:themeFill="background1"/>
            </w:pPr>
            <w:r>
              <w:t>Less executives employed by other departments</w:t>
            </w:r>
          </w:p>
        </w:tc>
        <w:tc>
          <w:tcPr>
            <w:tcW w:w="992" w:type="dxa"/>
          </w:tcPr>
          <w:p w14:paraId="7C5937BE" w14:textId="77777777" w:rsidR="001A70B8" w:rsidRPr="00106C52" w:rsidRDefault="001A70B8" w:rsidP="00101E5D">
            <w:pPr>
              <w:pStyle w:val="ARtabletextright"/>
              <w:shd w:val="clear" w:color="auto" w:fill="FFFFFF" w:themeFill="background1"/>
            </w:pPr>
            <w:r>
              <w:t>(0)</w:t>
            </w:r>
          </w:p>
        </w:tc>
        <w:tc>
          <w:tcPr>
            <w:tcW w:w="992" w:type="dxa"/>
          </w:tcPr>
          <w:p w14:paraId="05BC7D5F" w14:textId="77777777" w:rsidR="001A70B8" w:rsidRDefault="001A70B8" w:rsidP="00101E5D">
            <w:pPr>
              <w:pStyle w:val="ARtabletextright"/>
              <w:shd w:val="clear" w:color="auto" w:fill="FFFFFF" w:themeFill="background1"/>
            </w:pPr>
            <w:r>
              <w:t>(2)</w:t>
            </w:r>
          </w:p>
        </w:tc>
      </w:tr>
      <w:tr w:rsidR="001A70B8" w:rsidRPr="002029AF" w14:paraId="52F6E0A7" w14:textId="77777777" w:rsidTr="00FD1DB2">
        <w:trPr>
          <w:cantSplit w:val="0"/>
        </w:trPr>
        <w:tc>
          <w:tcPr>
            <w:tcW w:w="7655" w:type="dxa"/>
          </w:tcPr>
          <w:p w14:paraId="5F71F6F1" w14:textId="77777777" w:rsidR="001A70B8" w:rsidRPr="002029AF" w:rsidRDefault="001A70B8" w:rsidP="00101E5D">
            <w:pPr>
              <w:pStyle w:val="ARtabletextbold"/>
              <w:shd w:val="clear" w:color="auto" w:fill="FFFFFF" w:themeFill="background1"/>
            </w:pPr>
            <w:r w:rsidRPr="002029AF">
              <w:t>Total</w:t>
            </w:r>
            <w:r>
              <w:t xml:space="preserve"> </w:t>
            </w:r>
            <w:r w:rsidRPr="002029AF">
              <w:t>executive</w:t>
            </w:r>
            <w:r>
              <w:t xml:space="preserve"> </w:t>
            </w:r>
            <w:r w:rsidRPr="002029AF">
              <w:t>numbers</w:t>
            </w:r>
            <w:r>
              <w:t xml:space="preserve"> </w:t>
            </w:r>
            <w:r w:rsidRPr="002029AF">
              <w:t>at</w:t>
            </w:r>
            <w:r>
              <w:t xml:space="preserve"> </w:t>
            </w:r>
            <w:r w:rsidRPr="002029AF">
              <w:t>30</w:t>
            </w:r>
            <w:r>
              <w:t xml:space="preserve"> </w:t>
            </w:r>
            <w:r w:rsidRPr="002029AF">
              <w:t>June</w:t>
            </w:r>
          </w:p>
        </w:tc>
        <w:tc>
          <w:tcPr>
            <w:tcW w:w="992" w:type="dxa"/>
          </w:tcPr>
          <w:p w14:paraId="321B735D" w14:textId="77777777" w:rsidR="001A70B8" w:rsidRPr="001B07B5" w:rsidRDefault="001A70B8" w:rsidP="00101E5D">
            <w:pPr>
              <w:pStyle w:val="ARtabletextrightbold"/>
              <w:shd w:val="clear" w:color="auto" w:fill="FFFFFF" w:themeFill="background1"/>
            </w:pPr>
            <w:r>
              <w:t>189</w:t>
            </w:r>
          </w:p>
        </w:tc>
        <w:tc>
          <w:tcPr>
            <w:tcW w:w="992" w:type="dxa"/>
          </w:tcPr>
          <w:p w14:paraId="62257B45" w14:textId="77777777" w:rsidR="001A70B8" w:rsidRPr="001B07B5" w:rsidRDefault="001A70B8" w:rsidP="00101E5D">
            <w:pPr>
              <w:pStyle w:val="ARtabletextrightbold"/>
              <w:shd w:val="clear" w:color="auto" w:fill="FFFFFF" w:themeFill="background1"/>
            </w:pPr>
            <w:r>
              <w:t>169</w:t>
            </w:r>
          </w:p>
        </w:tc>
      </w:tr>
    </w:tbl>
    <w:p w14:paraId="641557A8" w14:textId="77777777" w:rsidR="001A70B8" w:rsidRPr="00BB1F44" w:rsidRDefault="001A70B8" w:rsidP="00101E5D">
      <w:pPr>
        <w:pStyle w:val="ARbody"/>
      </w:pPr>
      <w:bookmarkStart w:id="279" w:name="_Toc85121238"/>
      <w:bookmarkEnd w:id="278"/>
      <w:r w:rsidRPr="00BB1F44">
        <w:br w:type="page"/>
      </w:r>
    </w:p>
    <w:p w14:paraId="21D0C4F0" w14:textId="77777777" w:rsidR="001A70B8" w:rsidRPr="002029AF" w:rsidRDefault="001A70B8" w:rsidP="00101E5D">
      <w:pPr>
        <w:pStyle w:val="Heading3EOdata"/>
      </w:pPr>
      <w:r w:rsidRPr="00661AB5">
        <w:t>Table</w:t>
      </w:r>
      <w:r>
        <w:t xml:space="preserve"> </w:t>
      </w:r>
      <w:r w:rsidRPr="00661AB5">
        <w:t>3:</w:t>
      </w:r>
      <w:r>
        <w:t xml:space="preserve"> </w:t>
      </w:r>
      <w:r w:rsidRPr="00661AB5">
        <w:t>Total</w:t>
      </w:r>
      <w:r>
        <w:t xml:space="preserve"> </w:t>
      </w:r>
      <w:r w:rsidRPr="00661AB5">
        <w:t>number</w:t>
      </w:r>
      <w:r>
        <w:t xml:space="preserve"> </w:t>
      </w:r>
      <w:r w:rsidRPr="00661AB5">
        <w:t>of</w:t>
      </w:r>
      <w:r>
        <w:t xml:space="preserve"> </w:t>
      </w:r>
      <w:r w:rsidRPr="00661AB5">
        <w:t>SES</w:t>
      </w:r>
      <w:r>
        <w:t xml:space="preserve"> </w:t>
      </w:r>
      <w:r w:rsidRPr="00661AB5">
        <w:t>for</w:t>
      </w:r>
      <w:r>
        <w:t xml:space="preserve"> </w:t>
      </w:r>
      <w:r w:rsidRPr="00661AB5">
        <w:t>Safer</w:t>
      </w:r>
      <w:r>
        <w:t xml:space="preserve"> </w:t>
      </w:r>
      <w:r w:rsidRPr="00661AB5">
        <w:t>Care</w:t>
      </w:r>
      <w:r>
        <w:t xml:space="preserve"> </w:t>
      </w:r>
      <w:r w:rsidRPr="00661AB5">
        <w:t>Victoria,</w:t>
      </w:r>
      <w:r>
        <w:t xml:space="preserve"> </w:t>
      </w:r>
      <w:r w:rsidRPr="00661AB5">
        <w:t>broken</w:t>
      </w:r>
      <w:r>
        <w:t xml:space="preserve"> </w:t>
      </w:r>
      <w:r w:rsidRPr="00661AB5">
        <w:t>down</w:t>
      </w:r>
      <w:r>
        <w:t xml:space="preserve"> </w:t>
      </w:r>
      <w:r w:rsidRPr="00661AB5">
        <w:t>by</w:t>
      </w:r>
      <w:r>
        <w:t xml:space="preserve"> </w:t>
      </w:r>
      <w:r w:rsidRPr="00661AB5">
        <w:t>gender</w:t>
      </w:r>
      <w:bookmarkEnd w:id="279"/>
    </w:p>
    <w:tbl>
      <w:tblPr>
        <w:tblStyle w:val="TableGrid"/>
        <w:tblW w:w="9630" w:type="dxa"/>
        <w:tblLayout w:type="fixed"/>
        <w:tblLook w:val="06A0" w:firstRow="1" w:lastRow="0" w:firstColumn="1" w:lastColumn="0" w:noHBand="1" w:noVBand="1"/>
      </w:tblPr>
      <w:tblGrid>
        <w:gridCol w:w="1691"/>
        <w:gridCol w:w="1002"/>
        <w:gridCol w:w="988"/>
        <w:gridCol w:w="1139"/>
        <w:gridCol w:w="854"/>
        <w:gridCol w:w="989"/>
        <w:gridCol w:w="988"/>
        <w:gridCol w:w="989"/>
        <w:gridCol w:w="990"/>
      </w:tblGrid>
      <w:tr w:rsidR="00A212B4" w14:paraId="35955BAB" w14:textId="77777777" w:rsidTr="000D06B0">
        <w:trPr>
          <w:cnfStyle w:val="100000000000" w:firstRow="1" w:lastRow="0" w:firstColumn="0" w:lastColumn="0" w:oddVBand="0" w:evenVBand="0" w:oddHBand="0" w:evenHBand="0" w:firstRowFirstColumn="0" w:firstRowLastColumn="0" w:lastRowFirstColumn="0" w:lastRowLastColumn="0"/>
          <w:tblHeader/>
        </w:trPr>
        <w:tc>
          <w:tcPr>
            <w:tcW w:w="1691" w:type="dxa"/>
            <w:vMerge w:val="restart"/>
          </w:tcPr>
          <w:p w14:paraId="10404129" w14:textId="031F8E5C" w:rsidR="00A212B4" w:rsidRDefault="00A212B4" w:rsidP="00A212B4">
            <w:pPr>
              <w:pStyle w:val="ARtablecolhead"/>
            </w:pPr>
            <w:r w:rsidRPr="24BF271C">
              <w:t>Class</w:t>
            </w:r>
          </w:p>
        </w:tc>
        <w:tc>
          <w:tcPr>
            <w:tcW w:w="1990" w:type="dxa"/>
            <w:gridSpan w:val="2"/>
            <w:tcBorders>
              <w:top w:val="nil"/>
              <w:right w:val="single" w:sz="4" w:space="0" w:color="000000"/>
            </w:tcBorders>
          </w:tcPr>
          <w:p w14:paraId="6F98C1FD" w14:textId="45686E93" w:rsidR="00A212B4" w:rsidRPr="24BF271C" w:rsidRDefault="00A212B4" w:rsidP="000D06B0">
            <w:pPr>
              <w:pStyle w:val="ARtablecolheadcentre"/>
              <w:ind w:left="284"/>
            </w:pPr>
            <w:r w:rsidRPr="24BF271C">
              <w:t>All</w:t>
            </w:r>
          </w:p>
        </w:tc>
        <w:tc>
          <w:tcPr>
            <w:tcW w:w="1993" w:type="dxa"/>
            <w:gridSpan w:val="2"/>
            <w:tcBorders>
              <w:top w:val="nil"/>
              <w:left w:val="single" w:sz="4" w:space="0" w:color="000000"/>
              <w:right w:val="single" w:sz="4" w:space="0" w:color="000000"/>
            </w:tcBorders>
          </w:tcPr>
          <w:p w14:paraId="6FE6B336" w14:textId="1DC19998" w:rsidR="00A212B4" w:rsidRPr="00A212B4" w:rsidRDefault="00A212B4" w:rsidP="000D06B0">
            <w:pPr>
              <w:pStyle w:val="ARtablecolheadcentre"/>
              <w:ind w:left="284"/>
              <w:rPr>
                <w:b w:val="0"/>
                <w:bCs/>
              </w:rPr>
            </w:pPr>
            <w:r w:rsidRPr="24BF271C">
              <w:t>Women</w:t>
            </w:r>
          </w:p>
        </w:tc>
        <w:tc>
          <w:tcPr>
            <w:tcW w:w="1977" w:type="dxa"/>
            <w:gridSpan w:val="2"/>
            <w:tcBorders>
              <w:top w:val="nil"/>
              <w:left w:val="single" w:sz="4" w:space="0" w:color="000000"/>
              <w:right w:val="single" w:sz="4" w:space="0" w:color="000000"/>
            </w:tcBorders>
          </w:tcPr>
          <w:p w14:paraId="4B61744D" w14:textId="734CE7D3" w:rsidR="00A212B4" w:rsidRPr="24BF271C" w:rsidRDefault="00A212B4" w:rsidP="000D06B0">
            <w:pPr>
              <w:pStyle w:val="ARtablecolheadcentre"/>
              <w:ind w:left="284"/>
            </w:pPr>
            <w:r w:rsidRPr="24BF271C">
              <w:t>Men</w:t>
            </w:r>
          </w:p>
        </w:tc>
        <w:tc>
          <w:tcPr>
            <w:tcW w:w="1979" w:type="dxa"/>
            <w:gridSpan w:val="2"/>
            <w:tcBorders>
              <w:left w:val="single" w:sz="4" w:space="0" w:color="000000"/>
            </w:tcBorders>
          </w:tcPr>
          <w:p w14:paraId="40E1E830" w14:textId="11C8E2B8" w:rsidR="00A212B4" w:rsidRPr="24BF271C" w:rsidRDefault="00A212B4" w:rsidP="000D06B0">
            <w:pPr>
              <w:pStyle w:val="ARtablecolheadcentre"/>
              <w:ind w:left="284"/>
            </w:pPr>
            <w:r w:rsidRPr="24BF271C">
              <w:t>Self-described</w:t>
            </w:r>
          </w:p>
        </w:tc>
      </w:tr>
      <w:tr w:rsidR="00A212B4" w14:paraId="09FBF700" w14:textId="77777777" w:rsidTr="000D06B0">
        <w:trPr>
          <w:cnfStyle w:val="100000000000" w:firstRow="1" w:lastRow="0" w:firstColumn="0" w:lastColumn="0" w:oddVBand="0" w:evenVBand="0" w:oddHBand="0" w:evenHBand="0" w:firstRowFirstColumn="0" w:firstRowLastColumn="0" w:lastRowFirstColumn="0" w:lastRowLastColumn="0"/>
          <w:tblHeader/>
        </w:trPr>
        <w:tc>
          <w:tcPr>
            <w:tcW w:w="1691" w:type="dxa"/>
            <w:vMerge/>
          </w:tcPr>
          <w:p w14:paraId="612965B6" w14:textId="77777777" w:rsidR="00A212B4" w:rsidRDefault="00A212B4" w:rsidP="00101E5D">
            <w:pPr>
              <w:pStyle w:val="ARtabletextright"/>
            </w:pPr>
          </w:p>
        </w:tc>
        <w:tc>
          <w:tcPr>
            <w:tcW w:w="1002" w:type="dxa"/>
          </w:tcPr>
          <w:p w14:paraId="0C2FD30F" w14:textId="77777777" w:rsidR="00A212B4" w:rsidRDefault="00A212B4" w:rsidP="00101E5D">
            <w:pPr>
              <w:pStyle w:val="ARtablecolheadright"/>
            </w:pPr>
            <w:r w:rsidRPr="24BF271C">
              <w:t>No.</w:t>
            </w:r>
          </w:p>
        </w:tc>
        <w:tc>
          <w:tcPr>
            <w:tcW w:w="988" w:type="dxa"/>
            <w:tcBorders>
              <w:top w:val="single" w:sz="4" w:space="0" w:color="auto"/>
              <w:right w:val="single" w:sz="4" w:space="0" w:color="000000"/>
            </w:tcBorders>
          </w:tcPr>
          <w:p w14:paraId="21C0950F" w14:textId="77777777" w:rsidR="00A212B4" w:rsidRDefault="00A212B4" w:rsidP="00101E5D">
            <w:pPr>
              <w:pStyle w:val="ARtablecolheadright"/>
            </w:pPr>
            <w:r w:rsidRPr="24BF271C">
              <w:t>Var.</w:t>
            </w:r>
          </w:p>
        </w:tc>
        <w:tc>
          <w:tcPr>
            <w:tcW w:w="1139" w:type="dxa"/>
            <w:tcBorders>
              <w:left w:val="single" w:sz="4" w:space="0" w:color="000000"/>
            </w:tcBorders>
          </w:tcPr>
          <w:p w14:paraId="7423132C" w14:textId="77777777" w:rsidR="00A212B4" w:rsidRDefault="00A212B4" w:rsidP="00101E5D">
            <w:pPr>
              <w:pStyle w:val="ARtablecolheadright"/>
            </w:pPr>
            <w:r w:rsidRPr="24BF271C">
              <w:t>No.</w:t>
            </w:r>
          </w:p>
        </w:tc>
        <w:tc>
          <w:tcPr>
            <w:tcW w:w="854" w:type="dxa"/>
            <w:tcBorders>
              <w:top w:val="single" w:sz="4" w:space="0" w:color="auto"/>
              <w:right w:val="single" w:sz="4" w:space="0" w:color="000000"/>
            </w:tcBorders>
          </w:tcPr>
          <w:p w14:paraId="00A37E11" w14:textId="77777777" w:rsidR="00A212B4" w:rsidRDefault="00A212B4" w:rsidP="00101E5D">
            <w:pPr>
              <w:pStyle w:val="ARtablecolheadright"/>
            </w:pPr>
            <w:r w:rsidRPr="24BF271C">
              <w:t>Var.</w:t>
            </w:r>
          </w:p>
        </w:tc>
        <w:tc>
          <w:tcPr>
            <w:tcW w:w="989" w:type="dxa"/>
            <w:tcBorders>
              <w:left w:val="single" w:sz="4" w:space="0" w:color="000000"/>
            </w:tcBorders>
          </w:tcPr>
          <w:p w14:paraId="1B28080D" w14:textId="77777777" w:rsidR="00A212B4" w:rsidRDefault="00A212B4" w:rsidP="00101E5D">
            <w:pPr>
              <w:pStyle w:val="ARtablecolheadright"/>
            </w:pPr>
            <w:r w:rsidRPr="24BF271C">
              <w:t>No.</w:t>
            </w:r>
          </w:p>
        </w:tc>
        <w:tc>
          <w:tcPr>
            <w:tcW w:w="988" w:type="dxa"/>
            <w:tcBorders>
              <w:top w:val="single" w:sz="4" w:space="0" w:color="auto"/>
              <w:right w:val="single" w:sz="4" w:space="0" w:color="000000"/>
            </w:tcBorders>
          </w:tcPr>
          <w:p w14:paraId="69C9A533" w14:textId="77777777" w:rsidR="00A212B4" w:rsidRDefault="00A212B4" w:rsidP="00101E5D">
            <w:pPr>
              <w:pStyle w:val="ARtablecolheadright"/>
            </w:pPr>
            <w:r w:rsidRPr="24BF271C">
              <w:t>Var.</w:t>
            </w:r>
          </w:p>
        </w:tc>
        <w:tc>
          <w:tcPr>
            <w:tcW w:w="989" w:type="dxa"/>
            <w:tcBorders>
              <w:left w:val="single" w:sz="4" w:space="0" w:color="000000"/>
            </w:tcBorders>
          </w:tcPr>
          <w:p w14:paraId="77D38FFF" w14:textId="77777777" w:rsidR="00A212B4" w:rsidRDefault="00A212B4" w:rsidP="00101E5D">
            <w:pPr>
              <w:pStyle w:val="ARtablecolheadright"/>
            </w:pPr>
            <w:r w:rsidRPr="24BF271C">
              <w:t>No.</w:t>
            </w:r>
          </w:p>
        </w:tc>
        <w:tc>
          <w:tcPr>
            <w:tcW w:w="990" w:type="dxa"/>
          </w:tcPr>
          <w:p w14:paraId="0A48128A" w14:textId="77777777" w:rsidR="00A212B4" w:rsidRDefault="00A212B4" w:rsidP="00101E5D">
            <w:pPr>
              <w:pStyle w:val="ARtablecolheadright"/>
            </w:pPr>
            <w:r w:rsidRPr="24BF271C">
              <w:t>Var.</w:t>
            </w:r>
          </w:p>
        </w:tc>
      </w:tr>
      <w:tr w:rsidR="001A70B8" w14:paraId="44B8DAC1" w14:textId="77777777" w:rsidTr="000D06B0">
        <w:trPr>
          <w:trHeight w:val="345"/>
        </w:trPr>
        <w:tc>
          <w:tcPr>
            <w:tcW w:w="1691" w:type="dxa"/>
          </w:tcPr>
          <w:p w14:paraId="223F7DB0" w14:textId="77777777" w:rsidR="001A70B8" w:rsidRDefault="001A70B8" w:rsidP="00101E5D">
            <w:pPr>
              <w:pStyle w:val="ARtabletext"/>
            </w:pPr>
            <w:r w:rsidRPr="24BF271C">
              <w:t>SES-1</w:t>
            </w:r>
          </w:p>
        </w:tc>
        <w:tc>
          <w:tcPr>
            <w:tcW w:w="1002" w:type="dxa"/>
          </w:tcPr>
          <w:p w14:paraId="78C595BC" w14:textId="77777777" w:rsidR="001A70B8" w:rsidRDefault="001A70B8" w:rsidP="00101E5D">
            <w:pPr>
              <w:pStyle w:val="ARtabletextright"/>
            </w:pPr>
            <w:r w:rsidRPr="24BF271C">
              <w:t>4</w:t>
            </w:r>
          </w:p>
        </w:tc>
        <w:tc>
          <w:tcPr>
            <w:tcW w:w="988" w:type="dxa"/>
            <w:tcBorders>
              <w:top w:val="single" w:sz="4" w:space="0" w:color="auto"/>
              <w:right w:val="single" w:sz="4" w:space="0" w:color="000000"/>
            </w:tcBorders>
          </w:tcPr>
          <w:p w14:paraId="4F0E5478" w14:textId="77777777" w:rsidR="001A70B8" w:rsidRDefault="001A70B8" w:rsidP="00101E5D">
            <w:pPr>
              <w:pStyle w:val="ARtabletextright"/>
            </w:pPr>
            <w:r w:rsidRPr="24BF271C">
              <w:t>3</w:t>
            </w:r>
          </w:p>
        </w:tc>
        <w:tc>
          <w:tcPr>
            <w:tcW w:w="1139" w:type="dxa"/>
            <w:tcBorders>
              <w:left w:val="single" w:sz="4" w:space="0" w:color="000000"/>
            </w:tcBorders>
          </w:tcPr>
          <w:p w14:paraId="73CB4D24" w14:textId="77777777" w:rsidR="001A70B8" w:rsidRDefault="001A70B8" w:rsidP="00101E5D">
            <w:pPr>
              <w:pStyle w:val="ARtabletextright"/>
            </w:pPr>
            <w:r w:rsidRPr="24BF271C">
              <w:t>4</w:t>
            </w:r>
          </w:p>
        </w:tc>
        <w:tc>
          <w:tcPr>
            <w:tcW w:w="854" w:type="dxa"/>
            <w:tcBorders>
              <w:top w:val="single" w:sz="4" w:space="0" w:color="auto"/>
              <w:right w:val="single" w:sz="4" w:space="0" w:color="000000"/>
            </w:tcBorders>
          </w:tcPr>
          <w:p w14:paraId="595B5E34" w14:textId="77777777" w:rsidR="001A70B8" w:rsidRDefault="001A70B8" w:rsidP="00101E5D">
            <w:pPr>
              <w:pStyle w:val="ARtabletextright"/>
            </w:pPr>
            <w:r w:rsidRPr="24BF271C">
              <w:t>4</w:t>
            </w:r>
          </w:p>
        </w:tc>
        <w:tc>
          <w:tcPr>
            <w:tcW w:w="989" w:type="dxa"/>
            <w:tcBorders>
              <w:left w:val="single" w:sz="4" w:space="0" w:color="000000"/>
            </w:tcBorders>
          </w:tcPr>
          <w:p w14:paraId="2139E1F6" w14:textId="77777777" w:rsidR="001A70B8" w:rsidRDefault="001A70B8" w:rsidP="00101E5D">
            <w:pPr>
              <w:pStyle w:val="ARtabletextright"/>
            </w:pPr>
            <w:r w:rsidRPr="24BF271C">
              <w:t>0</w:t>
            </w:r>
          </w:p>
        </w:tc>
        <w:tc>
          <w:tcPr>
            <w:tcW w:w="988" w:type="dxa"/>
            <w:tcBorders>
              <w:top w:val="single" w:sz="4" w:space="0" w:color="auto"/>
              <w:right w:val="single" w:sz="4" w:space="0" w:color="000000"/>
            </w:tcBorders>
          </w:tcPr>
          <w:p w14:paraId="449E5184" w14:textId="77777777" w:rsidR="001A70B8" w:rsidRDefault="001A70B8" w:rsidP="00101E5D">
            <w:pPr>
              <w:pStyle w:val="ARtabletextright"/>
            </w:pPr>
            <w:r w:rsidRPr="24BF271C">
              <w:t>(1)</w:t>
            </w:r>
          </w:p>
        </w:tc>
        <w:tc>
          <w:tcPr>
            <w:tcW w:w="989" w:type="dxa"/>
            <w:tcBorders>
              <w:left w:val="single" w:sz="4" w:space="0" w:color="000000"/>
            </w:tcBorders>
          </w:tcPr>
          <w:p w14:paraId="08AA02CF" w14:textId="77777777" w:rsidR="001A70B8" w:rsidRDefault="001A70B8" w:rsidP="00101E5D">
            <w:pPr>
              <w:pStyle w:val="ARtabletextright"/>
            </w:pPr>
            <w:r w:rsidRPr="24BF271C">
              <w:t>0</w:t>
            </w:r>
          </w:p>
        </w:tc>
        <w:tc>
          <w:tcPr>
            <w:tcW w:w="990" w:type="dxa"/>
          </w:tcPr>
          <w:p w14:paraId="7D3A681B" w14:textId="77777777" w:rsidR="001A70B8" w:rsidRDefault="001A70B8" w:rsidP="00101E5D">
            <w:pPr>
              <w:pStyle w:val="ARtabletextright"/>
            </w:pPr>
            <w:r w:rsidRPr="24BF271C">
              <w:t>0</w:t>
            </w:r>
          </w:p>
        </w:tc>
      </w:tr>
      <w:tr w:rsidR="001A70B8" w14:paraId="0A449F84" w14:textId="77777777" w:rsidTr="000D06B0">
        <w:trPr>
          <w:trHeight w:val="345"/>
        </w:trPr>
        <w:tc>
          <w:tcPr>
            <w:tcW w:w="1691" w:type="dxa"/>
          </w:tcPr>
          <w:p w14:paraId="02ACFD34" w14:textId="77777777" w:rsidR="001A70B8" w:rsidRDefault="001A70B8" w:rsidP="00101E5D">
            <w:pPr>
              <w:pStyle w:val="ARtabletext"/>
            </w:pPr>
            <w:r w:rsidRPr="24BF271C">
              <w:t>SES-2</w:t>
            </w:r>
          </w:p>
        </w:tc>
        <w:tc>
          <w:tcPr>
            <w:tcW w:w="1002" w:type="dxa"/>
          </w:tcPr>
          <w:p w14:paraId="417A5443" w14:textId="77777777" w:rsidR="001A70B8" w:rsidRDefault="001A70B8" w:rsidP="00101E5D">
            <w:pPr>
              <w:pStyle w:val="ARtabletextright"/>
            </w:pPr>
            <w:r w:rsidRPr="24BF271C">
              <w:t>1</w:t>
            </w:r>
          </w:p>
        </w:tc>
        <w:tc>
          <w:tcPr>
            <w:tcW w:w="988" w:type="dxa"/>
            <w:tcBorders>
              <w:top w:val="single" w:sz="4" w:space="0" w:color="auto"/>
              <w:right w:val="single" w:sz="4" w:space="0" w:color="000000"/>
            </w:tcBorders>
          </w:tcPr>
          <w:p w14:paraId="0CFF53CE" w14:textId="77777777" w:rsidR="001A70B8" w:rsidRDefault="001A70B8" w:rsidP="00101E5D">
            <w:pPr>
              <w:pStyle w:val="ARtabletextright"/>
            </w:pPr>
            <w:r w:rsidRPr="24BF271C">
              <w:t>1</w:t>
            </w:r>
          </w:p>
        </w:tc>
        <w:tc>
          <w:tcPr>
            <w:tcW w:w="1139" w:type="dxa"/>
            <w:tcBorders>
              <w:left w:val="single" w:sz="4" w:space="0" w:color="000000"/>
            </w:tcBorders>
          </w:tcPr>
          <w:p w14:paraId="3A3EB890" w14:textId="77777777" w:rsidR="001A70B8" w:rsidRDefault="001A70B8" w:rsidP="00101E5D">
            <w:pPr>
              <w:pStyle w:val="ARtabletextright"/>
            </w:pPr>
            <w:r w:rsidRPr="24BF271C">
              <w:t>1</w:t>
            </w:r>
          </w:p>
        </w:tc>
        <w:tc>
          <w:tcPr>
            <w:tcW w:w="854" w:type="dxa"/>
            <w:tcBorders>
              <w:top w:val="single" w:sz="4" w:space="0" w:color="auto"/>
              <w:right w:val="single" w:sz="4" w:space="0" w:color="000000"/>
            </w:tcBorders>
          </w:tcPr>
          <w:p w14:paraId="133B4508" w14:textId="77777777" w:rsidR="001A70B8" w:rsidRDefault="001A70B8" w:rsidP="00101E5D">
            <w:pPr>
              <w:pStyle w:val="ARtabletextright"/>
            </w:pPr>
            <w:r w:rsidRPr="24BF271C">
              <w:t>1</w:t>
            </w:r>
          </w:p>
        </w:tc>
        <w:tc>
          <w:tcPr>
            <w:tcW w:w="989" w:type="dxa"/>
            <w:tcBorders>
              <w:left w:val="single" w:sz="4" w:space="0" w:color="000000"/>
            </w:tcBorders>
          </w:tcPr>
          <w:p w14:paraId="63D3F9C7" w14:textId="77777777" w:rsidR="001A70B8" w:rsidRDefault="001A70B8" w:rsidP="00101E5D">
            <w:pPr>
              <w:pStyle w:val="ARtabletextright"/>
            </w:pPr>
            <w:r w:rsidRPr="24BF271C">
              <w:t>0</w:t>
            </w:r>
          </w:p>
        </w:tc>
        <w:tc>
          <w:tcPr>
            <w:tcW w:w="988" w:type="dxa"/>
            <w:tcBorders>
              <w:top w:val="single" w:sz="4" w:space="0" w:color="auto"/>
              <w:right w:val="single" w:sz="4" w:space="0" w:color="000000"/>
            </w:tcBorders>
          </w:tcPr>
          <w:p w14:paraId="56223822" w14:textId="77777777" w:rsidR="001A70B8" w:rsidRDefault="001A70B8" w:rsidP="00101E5D">
            <w:pPr>
              <w:pStyle w:val="ARtabletextright"/>
            </w:pPr>
            <w:r w:rsidRPr="24BF271C">
              <w:t>0</w:t>
            </w:r>
          </w:p>
        </w:tc>
        <w:tc>
          <w:tcPr>
            <w:tcW w:w="989" w:type="dxa"/>
            <w:tcBorders>
              <w:left w:val="single" w:sz="4" w:space="0" w:color="000000"/>
            </w:tcBorders>
          </w:tcPr>
          <w:p w14:paraId="79D05F51" w14:textId="77777777" w:rsidR="001A70B8" w:rsidRDefault="001A70B8" w:rsidP="00101E5D">
            <w:pPr>
              <w:pStyle w:val="ARtabletextright"/>
            </w:pPr>
            <w:r w:rsidRPr="24BF271C">
              <w:t>0</w:t>
            </w:r>
          </w:p>
        </w:tc>
        <w:tc>
          <w:tcPr>
            <w:tcW w:w="990" w:type="dxa"/>
          </w:tcPr>
          <w:p w14:paraId="49E5A701" w14:textId="77777777" w:rsidR="001A70B8" w:rsidRDefault="001A70B8" w:rsidP="00101E5D">
            <w:pPr>
              <w:pStyle w:val="ARtabletextright"/>
            </w:pPr>
            <w:r w:rsidRPr="24BF271C">
              <w:t>0</w:t>
            </w:r>
          </w:p>
        </w:tc>
      </w:tr>
      <w:tr w:rsidR="001A70B8" w14:paraId="30E5A235" w14:textId="77777777" w:rsidTr="000D06B0">
        <w:trPr>
          <w:trHeight w:val="345"/>
        </w:trPr>
        <w:tc>
          <w:tcPr>
            <w:tcW w:w="1691" w:type="dxa"/>
          </w:tcPr>
          <w:p w14:paraId="05A84FBE" w14:textId="77777777" w:rsidR="001A70B8" w:rsidRDefault="001A70B8" w:rsidP="00101E5D">
            <w:pPr>
              <w:pStyle w:val="ARtabletext"/>
            </w:pPr>
            <w:r w:rsidRPr="24BF271C">
              <w:t>SES-3</w:t>
            </w:r>
          </w:p>
        </w:tc>
        <w:tc>
          <w:tcPr>
            <w:tcW w:w="1002" w:type="dxa"/>
          </w:tcPr>
          <w:p w14:paraId="2507D5C3" w14:textId="77777777" w:rsidR="001A70B8" w:rsidRDefault="001A70B8" w:rsidP="00101E5D">
            <w:pPr>
              <w:pStyle w:val="ARtabletextright"/>
            </w:pPr>
            <w:r w:rsidRPr="24BF271C">
              <w:t>2</w:t>
            </w:r>
          </w:p>
        </w:tc>
        <w:tc>
          <w:tcPr>
            <w:tcW w:w="988" w:type="dxa"/>
            <w:tcBorders>
              <w:top w:val="single" w:sz="4" w:space="0" w:color="auto"/>
              <w:right w:val="single" w:sz="4" w:space="0" w:color="000000"/>
            </w:tcBorders>
          </w:tcPr>
          <w:p w14:paraId="38A053FC" w14:textId="77777777" w:rsidR="001A70B8" w:rsidRDefault="001A70B8" w:rsidP="00101E5D">
            <w:pPr>
              <w:pStyle w:val="ARtabletextright"/>
            </w:pPr>
            <w:r w:rsidRPr="24BF271C">
              <w:t>(3)</w:t>
            </w:r>
          </w:p>
        </w:tc>
        <w:tc>
          <w:tcPr>
            <w:tcW w:w="1139" w:type="dxa"/>
            <w:tcBorders>
              <w:left w:val="single" w:sz="4" w:space="0" w:color="000000"/>
            </w:tcBorders>
          </w:tcPr>
          <w:p w14:paraId="79C2C296" w14:textId="77777777" w:rsidR="001A70B8" w:rsidRDefault="001A70B8" w:rsidP="00101E5D">
            <w:pPr>
              <w:pStyle w:val="ARtabletextright"/>
            </w:pPr>
            <w:r w:rsidRPr="24BF271C">
              <w:t>0</w:t>
            </w:r>
          </w:p>
        </w:tc>
        <w:tc>
          <w:tcPr>
            <w:tcW w:w="854" w:type="dxa"/>
            <w:tcBorders>
              <w:top w:val="single" w:sz="4" w:space="0" w:color="auto"/>
              <w:right w:val="single" w:sz="4" w:space="0" w:color="000000"/>
            </w:tcBorders>
          </w:tcPr>
          <w:p w14:paraId="3FAFDEBE" w14:textId="77777777" w:rsidR="001A70B8" w:rsidRDefault="001A70B8" w:rsidP="00101E5D">
            <w:pPr>
              <w:pStyle w:val="ARtabletextright"/>
            </w:pPr>
            <w:r w:rsidRPr="24BF271C">
              <w:t>(5)</w:t>
            </w:r>
          </w:p>
        </w:tc>
        <w:tc>
          <w:tcPr>
            <w:tcW w:w="989" w:type="dxa"/>
            <w:tcBorders>
              <w:left w:val="single" w:sz="4" w:space="0" w:color="000000"/>
            </w:tcBorders>
          </w:tcPr>
          <w:p w14:paraId="5900E83A" w14:textId="77777777" w:rsidR="001A70B8" w:rsidRDefault="001A70B8" w:rsidP="00101E5D">
            <w:pPr>
              <w:pStyle w:val="ARtabletextright"/>
            </w:pPr>
            <w:r w:rsidRPr="24BF271C">
              <w:t>2</w:t>
            </w:r>
          </w:p>
        </w:tc>
        <w:tc>
          <w:tcPr>
            <w:tcW w:w="988" w:type="dxa"/>
            <w:tcBorders>
              <w:top w:val="single" w:sz="4" w:space="0" w:color="auto"/>
              <w:right w:val="single" w:sz="4" w:space="0" w:color="000000"/>
            </w:tcBorders>
          </w:tcPr>
          <w:p w14:paraId="12D9E4AC" w14:textId="77777777" w:rsidR="001A70B8" w:rsidRDefault="001A70B8" w:rsidP="00101E5D">
            <w:pPr>
              <w:pStyle w:val="ARtabletextright"/>
            </w:pPr>
            <w:r w:rsidRPr="24BF271C">
              <w:t>2</w:t>
            </w:r>
          </w:p>
        </w:tc>
        <w:tc>
          <w:tcPr>
            <w:tcW w:w="989" w:type="dxa"/>
            <w:tcBorders>
              <w:left w:val="single" w:sz="4" w:space="0" w:color="000000"/>
            </w:tcBorders>
          </w:tcPr>
          <w:p w14:paraId="4C2647AA" w14:textId="77777777" w:rsidR="001A70B8" w:rsidRDefault="001A70B8" w:rsidP="00101E5D">
            <w:pPr>
              <w:pStyle w:val="ARtabletextright"/>
            </w:pPr>
            <w:r w:rsidRPr="24BF271C">
              <w:t>0</w:t>
            </w:r>
          </w:p>
        </w:tc>
        <w:tc>
          <w:tcPr>
            <w:tcW w:w="990" w:type="dxa"/>
          </w:tcPr>
          <w:p w14:paraId="739832E6" w14:textId="77777777" w:rsidR="001A70B8" w:rsidRDefault="001A70B8" w:rsidP="00101E5D">
            <w:pPr>
              <w:pStyle w:val="ARtabletextright"/>
            </w:pPr>
            <w:r w:rsidRPr="24BF271C">
              <w:t>0</w:t>
            </w:r>
          </w:p>
        </w:tc>
      </w:tr>
      <w:tr w:rsidR="001A70B8" w14:paraId="2B9DABEC" w14:textId="77777777" w:rsidTr="000D06B0">
        <w:trPr>
          <w:trHeight w:val="345"/>
        </w:trPr>
        <w:tc>
          <w:tcPr>
            <w:tcW w:w="1691" w:type="dxa"/>
          </w:tcPr>
          <w:p w14:paraId="748CA072" w14:textId="77777777" w:rsidR="001A70B8" w:rsidRDefault="001A70B8" w:rsidP="00101E5D">
            <w:pPr>
              <w:pStyle w:val="ARtabletextbold"/>
            </w:pPr>
            <w:r w:rsidRPr="24BF271C">
              <w:t>Total</w:t>
            </w:r>
          </w:p>
        </w:tc>
        <w:tc>
          <w:tcPr>
            <w:tcW w:w="1002" w:type="dxa"/>
          </w:tcPr>
          <w:p w14:paraId="51F42368" w14:textId="77777777" w:rsidR="001A70B8" w:rsidRDefault="001A70B8" w:rsidP="00101E5D">
            <w:pPr>
              <w:pStyle w:val="ARtabletextrightbold"/>
            </w:pPr>
            <w:r w:rsidRPr="24BF271C">
              <w:t>7</w:t>
            </w:r>
          </w:p>
        </w:tc>
        <w:tc>
          <w:tcPr>
            <w:tcW w:w="988" w:type="dxa"/>
            <w:tcBorders>
              <w:top w:val="single" w:sz="4" w:space="0" w:color="auto"/>
              <w:right w:val="single" w:sz="4" w:space="0" w:color="000000"/>
            </w:tcBorders>
          </w:tcPr>
          <w:p w14:paraId="1DFF3F80" w14:textId="77777777" w:rsidR="001A70B8" w:rsidRDefault="001A70B8" w:rsidP="00101E5D">
            <w:pPr>
              <w:pStyle w:val="ARtabletextrightbold"/>
            </w:pPr>
            <w:r w:rsidRPr="24BF271C">
              <w:t>1</w:t>
            </w:r>
          </w:p>
        </w:tc>
        <w:tc>
          <w:tcPr>
            <w:tcW w:w="1139" w:type="dxa"/>
            <w:tcBorders>
              <w:left w:val="single" w:sz="4" w:space="0" w:color="000000"/>
            </w:tcBorders>
          </w:tcPr>
          <w:p w14:paraId="6433C87F" w14:textId="77777777" w:rsidR="001A70B8" w:rsidRDefault="001A70B8" w:rsidP="00101E5D">
            <w:pPr>
              <w:pStyle w:val="ARtabletextrightbold"/>
            </w:pPr>
            <w:r w:rsidRPr="24BF271C">
              <w:t>5</w:t>
            </w:r>
          </w:p>
        </w:tc>
        <w:tc>
          <w:tcPr>
            <w:tcW w:w="854" w:type="dxa"/>
            <w:tcBorders>
              <w:top w:val="single" w:sz="4" w:space="0" w:color="auto"/>
              <w:right w:val="single" w:sz="4" w:space="0" w:color="000000"/>
            </w:tcBorders>
          </w:tcPr>
          <w:p w14:paraId="319F966A" w14:textId="77777777" w:rsidR="001A70B8" w:rsidRDefault="001A70B8" w:rsidP="00101E5D">
            <w:pPr>
              <w:pStyle w:val="ARtabletextrightbold"/>
            </w:pPr>
            <w:r w:rsidRPr="24BF271C">
              <w:t>0</w:t>
            </w:r>
          </w:p>
        </w:tc>
        <w:tc>
          <w:tcPr>
            <w:tcW w:w="989" w:type="dxa"/>
            <w:tcBorders>
              <w:left w:val="single" w:sz="4" w:space="0" w:color="000000"/>
            </w:tcBorders>
          </w:tcPr>
          <w:p w14:paraId="525A3806" w14:textId="77777777" w:rsidR="001A70B8" w:rsidRDefault="001A70B8" w:rsidP="00101E5D">
            <w:pPr>
              <w:pStyle w:val="ARtabletextrightbold"/>
            </w:pPr>
            <w:r w:rsidRPr="24BF271C">
              <w:t>2</w:t>
            </w:r>
          </w:p>
        </w:tc>
        <w:tc>
          <w:tcPr>
            <w:tcW w:w="988" w:type="dxa"/>
            <w:tcBorders>
              <w:top w:val="single" w:sz="4" w:space="0" w:color="auto"/>
              <w:right w:val="single" w:sz="4" w:space="0" w:color="000000"/>
            </w:tcBorders>
          </w:tcPr>
          <w:p w14:paraId="6A241E03" w14:textId="77777777" w:rsidR="001A70B8" w:rsidRDefault="001A70B8" w:rsidP="00101E5D">
            <w:pPr>
              <w:pStyle w:val="ARtabletextrightbold"/>
            </w:pPr>
            <w:r w:rsidRPr="24BF271C">
              <w:t>1</w:t>
            </w:r>
          </w:p>
        </w:tc>
        <w:tc>
          <w:tcPr>
            <w:tcW w:w="989" w:type="dxa"/>
            <w:tcBorders>
              <w:left w:val="single" w:sz="4" w:space="0" w:color="000000"/>
            </w:tcBorders>
          </w:tcPr>
          <w:p w14:paraId="06A03F25" w14:textId="77777777" w:rsidR="001A70B8" w:rsidRDefault="001A70B8" w:rsidP="00101E5D">
            <w:pPr>
              <w:pStyle w:val="ARtabletextrightbold"/>
            </w:pPr>
            <w:r w:rsidRPr="24BF271C">
              <w:t>0</w:t>
            </w:r>
          </w:p>
        </w:tc>
        <w:tc>
          <w:tcPr>
            <w:tcW w:w="990" w:type="dxa"/>
          </w:tcPr>
          <w:p w14:paraId="4CA3310D" w14:textId="77777777" w:rsidR="001A70B8" w:rsidRDefault="001A70B8" w:rsidP="00101E5D">
            <w:pPr>
              <w:pStyle w:val="ARtabletextrightbold"/>
            </w:pPr>
            <w:r w:rsidRPr="24BF271C">
              <w:t>0</w:t>
            </w:r>
          </w:p>
        </w:tc>
      </w:tr>
    </w:tbl>
    <w:p w14:paraId="5AD93B4C" w14:textId="546C33C4" w:rsidR="001A70B8" w:rsidRPr="00E25EC3" w:rsidRDefault="001A70B8" w:rsidP="00101E5D">
      <w:pPr>
        <w:pStyle w:val="ARbodyaftertable"/>
      </w:pPr>
      <w:r w:rsidRPr="319EAB88">
        <w:t>The</w:t>
      </w:r>
      <w:r>
        <w:t xml:space="preserve"> </w:t>
      </w:r>
      <w:r w:rsidRPr="319EAB88">
        <w:t>number</w:t>
      </w:r>
      <w:r>
        <w:t xml:space="preserve"> </w:t>
      </w:r>
      <w:r w:rsidRPr="319EAB88">
        <w:t>of</w:t>
      </w:r>
      <w:r>
        <w:t xml:space="preserve"> </w:t>
      </w:r>
      <w:r w:rsidRPr="319EAB88">
        <w:t>executives</w:t>
      </w:r>
      <w:r>
        <w:t xml:space="preserve"> </w:t>
      </w:r>
      <w:r w:rsidRPr="319EAB88">
        <w:t>in</w:t>
      </w:r>
      <w:r>
        <w:t xml:space="preserve"> </w:t>
      </w:r>
      <w:r w:rsidRPr="319EAB88">
        <w:t>the</w:t>
      </w:r>
      <w:r>
        <w:t xml:space="preserve"> </w:t>
      </w:r>
      <w:r w:rsidRPr="319EAB88">
        <w:t>report</w:t>
      </w:r>
      <w:r>
        <w:t xml:space="preserve"> </w:t>
      </w:r>
      <w:r w:rsidRPr="319EAB88">
        <w:t>of</w:t>
      </w:r>
      <w:r>
        <w:t xml:space="preserve"> </w:t>
      </w:r>
      <w:r w:rsidRPr="319EAB88">
        <w:t>operations</w:t>
      </w:r>
      <w:r>
        <w:t xml:space="preserve"> </w:t>
      </w:r>
      <w:r w:rsidRPr="319EAB88">
        <w:t>is</w:t>
      </w:r>
      <w:r>
        <w:t xml:space="preserve"> </w:t>
      </w:r>
      <w:r w:rsidRPr="319EAB88">
        <w:t>based</w:t>
      </w:r>
      <w:r>
        <w:t xml:space="preserve"> </w:t>
      </w:r>
      <w:r w:rsidRPr="319EAB88">
        <w:t>on</w:t>
      </w:r>
      <w:r>
        <w:t xml:space="preserve"> </w:t>
      </w:r>
      <w:r w:rsidRPr="319EAB88">
        <w:t>the</w:t>
      </w:r>
      <w:r>
        <w:t xml:space="preserve"> </w:t>
      </w:r>
      <w:r w:rsidRPr="319EAB88">
        <w:t>number</w:t>
      </w:r>
      <w:r>
        <w:t xml:space="preserve"> </w:t>
      </w:r>
      <w:r w:rsidRPr="319EAB88">
        <w:t>of</w:t>
      </w:r>
      <w:r>
        <w:t xml:space="preserve"> </w:t>
      </w:r>
      <w:r w:rsidRPr="319EAB88">
        <w:t>executive</w:t>
      </w:r>
      <w:r>
        <w:t xml:space="preserve"> </w:t>
      </w:r>
      <w:r w:rsidRPr="319EAB88">
        <w:t>positions</w:t>
      </w:r>
      <w:r>
        <w:t xml:space="preserve"> </w:t>
      </w:r>
      <w:r w:rsidRPr="319EAB88">
        <w:t>that</w:t>
      </w:r>
      <w:r>
        <w:t xml:space="preserve"> </w:t>
      </w:r>
      <w:r w:rsidRPr="319EAB88">
        <w:t>are</w:t>
      </w:r>
      <w:r w:rsidR="000D06B0">
        <w:t> </w:t>
      </w:r>
      <w:r w:rsidRPr="319EAB88">
        <w:t>occupied</w:t>
      </w:r>
      <w:r>
        <w:t xml:space="preserve"> </w:t>
      </w:r>
      <w:r w:rsidRPr="319EAB88">
        <w:t>at</w:t>
      </w:r>
      <w:r>
        <w:t xml:space="preserve"> </w:t>
      </w:r>
      <w:r w:rsidRPr="319EAB88">
        <w:t>the</w:t>
      </w:r>
      <w:r>
        <w:t xml:space="preserve"> </w:t>
      </w:r>
      <w:r w:rsidRPr="319EAB88">
        <w:t>end</w:t>
      </w:r>
      <w:r>
        <w:t xml:space="preserve"> </w:t>
      </w:r>
      <w:r w:rsidRPr="319EAB88">
        <w:t>of</w:t>
      </w:r>
      <w:r>
        <w:t xml:space="preserve"> </w:t>
      </w:r>
      <w:r w:rsidRPr="319EAB88">
        <w:t>the</w:t>
      </w:r>
      <w:r>
        <w:t xml:space="preserve"> </w:t>
      </w:r>
      <w:r w:rsidRPr="319EAB88">
        <w:t>financial</w:t>
      </w:r>
      <w:r>
        <w:t xml:space="preserve"> </w:t>
      </w:r>
      <w:r w:rsidRPr="319EAB88">
        <w:t>year.</w:t>
      </w:r>
      <w:r>
        <w:t xml:space="preserve"> </w:t>
      </w:r>
      <w:r w:rsidRPr="319EAB88">
        <w:t>Note</w:t>
      </w:r>
      <w:r>
        <w:t xml:space="preserve"> </w:t>
      </w:r>
      <w:r w:rsidRPr="319EAB88">
        <w:t>9.7</w:t>
      </w:r>
      <w:r>
        <w:t xml:space="preserve"> </w:t>
      </w:r>
      <w:r w:rsidRPr="319EAB88">
        <w:t>in</w:t>
      </w:r>
      <w:r>
        <w:t xml:space="preserve"> </w:t>
      </w:r>
      <w:r w:rsidRPr="319EAB88">
        <w:t>the</w:t>
      </w:r>
      <w:r>
        <w:t xml:space="preserve"> </w:t>
      </w:r>
      <w:r w:rsidRPr="319EAB88">
        <w:t>financial</w:t>
      </w:r>
      <w:r>
        <w:t xml:space="preserve"> </w:t>
      </w:r>
      <w:r w:rsidRPr="319EAB88">
        <w:t>statements</w:t>
      </w:r>
      <w:r>
        <w:t xml:space="preserve"> </w:t>
      </w:r>
      <w:r w:rsidRPr="319EAB88">
        <w:t>lists</w:t>
      </w:r>
      <w:r>
        <w:t xml:space="preserve"> </w:t>
      </w:r>
      <w:r w:rsidRPr="319EAB88">
        <w:t>the</w:t>
      </w:r>
      <w:r>
        <w:t xml:space="preserve"> </w:t>
      </w:r>
      <w:r w:rsidRPr="319EAB88">
        <w:t>actual</w:t>
      </w:r>
      <w:r>
        <w:t xml:space="preserve"> </w:t>
      </w:r>
      <w:r w:rsidRPr="319EAB88">
        <w:t>number</w:t>
      </w:r>
      <w:r>
        <w:t xml:space="preserve"> </w:t>
      </w:r>
      <w:r w:rsidRPr="319EAB88">
        <w:t>of</w:t>
      </w:r>
      <w:r>
        <w:t xml:space="preserve"> </w:t>
      </w:r>
      <w:r w:rsidRPr="319EAB88">
        <w:t>SES</w:t>
      </w:r>
      <w:r>
        <w:t xml:space="preserve"> </w:t>
      </w:r>
      <w:r w:rsidRPr="319EAB88">
        <w:t>and</w:t>
      </w:r>
      <w:r>
        <w:t xml:space="preserve"> </w:t>
      </w:r>
      <w:r w:rsidRPr="319EAB88">
        <w:t>the</w:t>
      </w:r>
      <w:r>
        <w:t xml:space="preserve"> </w:t>
      </w:r>
      <w:r w:rsidRPr="319EAB88">
        <w:t>total</w:t>
      </w:r>
      <w:r>
        <w:t xml:space="preserve"> </w:t>
      </w:r>
      <w:r w:rsidRPr="319EAB88">
        <w:t>remuneration</w:t>
      </w:r>
      <w:r>
        <w:t xml:space="preserve"> </w:t>
      </w:r>
      <w:r w:rsidRPr="319EAB88">
        <w:t>paid</w:t>
      </w:r>
      <w:r>
        <w:t xml:space="preserve"> </w:t>
      </w:r>
      <w:r w:rsidRPr="319EAB88">
        <w:t>to</w:t>
      </w:r>
      <w:r>
        <w:t xml:space="preserve"> </w:t>
      </w:r>
      <w:r w:rsidRPr="319EAB88">
        <w:t>SES</w:t>
      </w:r>
      <w:r>
        <w:t xml:space="preserve"> </w:t>
      </w:r>
      <w:r w:rsidRPr="319EAB88">
        <w:t>over</w:t>
      </w:r>
      <w:r>
        <w:t xml:space="preserve"> </w:t>
      </w:r>
      <w:r w:rsidRPr="319EAB88">
        <w:t>the</w:t>
      </w:r>
      <w:r>
        <w:t xml:space="preserve"> </w:t>
      </w:r>
      <w:r w:rsidRPr="319EAB88">
        <w:t>course</w:t>
      </w:r>
      <w:r>
        <w:t xml:space="preserve"> </w:t>
      </w:r>
      <w:r w:rsidRPr="319EAB88">
        <w:t>of</w:t>
      </w:r>
      <w:r>
        <w:t xml:space="preserve"> </w:t>
      </w:r>
      <w:r w:rsidRPr="319EAB88">
        <w:t>the</w:t>
      </w:r>
      <w:r>
        <w:t xml:space="preserve"> </w:t>
      </w:r>
      <w:r w:rsidRPr="319EAB88">
        <w:t>reporting</w:t>
      </w:r>
      <w:r>
        <w:t xml:space="preserve"> </w:t>
      </w:r>
      <w:r w:rsidRPr="319EAB88">
        <w:t>period.</w:t>
      </w:r>
      <w:r>
        <w:t xml:space="preserve"> </w:t>
      </w:r>
      <w:r w:rsidRPr="319EAB88">
        <w:t>The</w:t>
      </w:r>
      <w:r>
        <w:t xml:space="preserve"> </w:t>
      </w:r>
      <w:r w:rsidRPr="319EAB88">
        <w:t>financial</w:t>
      </w:r>
      <w:r>
        <w:t xml:space="preserve"> </w:t>
      </w:r>
      <w:r w:rsidRPr="319EAB88">
        <w:t>statements</w:t>
      </w:r>
      <w:r>
        <w:t xml:space="preserve"> </w:t>
      </w:r>
      <w:r w:rsidRPr="319EAB88">
        <w:t>note</w:t>
      </w:r>
      <w:r>
        <w:t xml:space="preserve"> </w:t>
      </w:r>
      <w:r w:rsidRPr="319EAB88">
        <w:t>does</w:t>
      </w:r>
      <w:r>
        <w:t xml:space="preserve"> </w:t>
      </w:r>
      <w:r w:rsidRPr="319EAB88">
        <w:t>not</w:t>
      </w:r>
      <w:r>
        <w:t xml:space="preserve"> </w:t>
      </w:r>
      <w:r w:rsidRPr="319EAB88">
        <w:t>include</w:t>
      </w:r>
      <w:r>
        <w:t xml:space="preserve"> </w:t>
      </w:r>
      <w:r w:rsidRPr="319EAB88">
        <w:t>the</w:t>
      </w:r>
      <w:r>
        <w:t xml:space="preserve"> </w:t>
      </w:r>
      <w:r w:rsidRPr="319EAB88">
        <w:t>Accountable</w:t>
      </w:r>
      <w:r>
        <w:t xml:space="preserve"> </w:t>
      </w:r>
      <w:r w:rsidRPr="319EAB88">
        <w:t>Officer,</w:t>
      </w:r>
      <w:r>
        <w:t xml:space="preserve"> </w:t>
      </w:r>
      <w:r w:rsidRPr="319EAB88">
        <w:t>nor</w:t>
      </w:r>
      <w:r>
        <w:t xml:space="preserve"> </w:t>
      </w:r>
      <w:r w:rsidRPr="319EAB88">
        <w:t>does</w:t>
      </w:r>
      <w:r>
        <w:t xml:space="preserve"> </w:t>
      </w:r>
      <w:r w:rsidRPr="319EAB88">
        <w:t>it</w:t>
      </w:r>
      <w:r>
        <w:t xml:space="preserve"> </w:t>
      </w:r>
      <w:r w:rsidRPr="319EAB88">
        <w:t>distinguish</w:t>
      </w:r>
      <w:r>
        <w:t xml:space="preserve"> </w:t>
      </w:r>
      <w:r w:rsidRPr="319EAB88">
        <w:t>between</w:t>
      </w:r>
      <w:r>
        <w:t xml:space="preserve"> </w:t>
      </w:r>
      <w:r w:rsidRPr="319EAB88">
        <w:t>executive</w:t>
      </w:r>
      <w:r>
        <w:t xml:space="preserve"> </w:t>
      </w:r>
      <w:r w:rsidRPr="319EAB88">
        <w:t>levels</w:t>
      </w:r>
      <w:r>
        <w:t xml:space="preserve"> </w:t>
      </w:r>
      <w:r w:rsidRPr="319EAB88">
        <w:t>or</w:t>
      </w:r>
      <w:r>
        <w:t xml:space="preserve"> </w:t>
      </w:r>
      <w:r w:rsidRPr="319EAB88">
        <w:t>disclose</w:t>
      </w:r>
      <w:r>
        <w:t xml:space="preserve"> </w:t>
      </w:r>
      <w:r w:rsidRPr="319EAB88">
        <w:t>separations.</w:t>
      </w:r>
      <w:r>
        <w:t xml:space="preserve"> </w:t>
      </w:r>
      <w:r w:rsidRPr="319EAB88">
        <w:t>Separations</w:t>
      </w:r>
      <w:r>
        <w:t xml:space="preserve"> </w:t>
      </w:r>
      <w:r w:rsidRPr="319EAB88">
        <w:t>are</w:t>
      </w:r>
      <w:r>
        <w:t xml:space="preserve"> </w:t>
      </w:r>
      <w:r w:rsidRPr="319EAB88">
        <w:t>executives</w:t>
      </w:r>
      <w:r>
        <w:t xml:space="preserve"> </w:t>
      </w:r>
      <w:r w:rsidRPr="319EAB88">
        <w:t>who</w:t>
      </w:r>
      <w:r>
        <w:t xml:space="preserve"> </w:t>
      </w:r>
      <w:r w:rsidRPr="319EAB88">
        <w:t>have</w:t>
      </w:r>
      <w:r>
        <w:t xml:space="preserve"> </w:t>
      </w:r>
      <w:r w:rsidRPr="319EAB88">
        <w:t>left</w:t>
      </w:r>
      <w:r>
        <w:t xml:space="preserve"> </w:t>
      </w:r>
      <w:r w:rsidRPr="319EAB88">
        <w:t>the</w:t>
      </w:r>
      <w:r>
        <w:t xml:space="preserve"> </w:t>
      </w:r>
      <w:r w:rsidR="00684105">
        <w:t>d</w:t>
      </w:r>
      <w:r w:rsidRPr="319EAB88">
        <w:t>epartment</w:t>
      </w:r>
      <w:r>
        <w:t xml:space="preserve"> </w:t>
      </w:r>
      <w:r w:rsidRPr="319EAB88">
        <w:t>during</w:t>
      </w:r>
      <w:r>
        <w:t xml:space="preserve"> </w:t>
      </w:r>
      <w:r w:rsidRPr="319EAB88">
        <w:t>the</w:t>
      </w:r>
      <w:r>
        <w:t xml:space="preserve"> </w:t>
      </w:r>
      <w:r w:rsidRPr="319EAB88">
        <w:t>relevant</w:t>
      </w:r>
      <w:r>
        <w:t xml:space="preserve"> </w:t>
      </w:r>
      <w:r w:rsidRPr="319EAB88">
        <w:t>reporting</w:t>
      </w:r>
      <w:r>
        <w:t xml:space="preserve"> </w:t>
      </w:r>
      <w:r w:rsidRPr="319EAB88">
        <w:t>period.</w:t>
      </w:r>
      <w:r>
        <w:t xml:space="preserve"> </w:t>
      </w:r>
      <w:r w:rsidRPr="319EAB88">
        <w:t>To</w:t>
      </w:r>
      <w:r>
        <w:t xml:space="preserve"> </w:t>
      </w:r>
      <w:r w:rsidRPr="319EAB88">
        <w:t>assist</w:t>
      </w:r>
      <w:r>
        <w:t xml:space="preserve"> </w:t>
      </w:r>
      <w:r w:rsidRPr="319EAB88">
        <w:t>readers,</w:t>
      </w:r>
      <w:r>
        <w:t xml:space="preserve"> </w:t>
      </w:r>
      <w:r w:rsidRPr="319EAB88">
        <w:t>these</w:t>
      </w:r>
      <w:r>
        <w:t xml:space="preserve"> </w:t>
      </w:r>
      <w:r w:rsidRPr="319EAB88">
        <w:t>two</w:t>
      </w:r>
      <w:r>
        <w:t xml:space="preserve"> </w:t>
      </w:r>
      <w:r w:rsidRPr="319EAB88">
        <w:t>disclosures</w:t>
      </w:r>
      <w:r>
        <w:t xml:space="preserve"> </w:t>
      </w:r>
      <w:r w:rsidRPr="319EAB88">
        <w:t>are</w:t>
      </w:r>
      <w:r>
        <w:t xml:space="preserve"> </w:t>
      </w:r>
      <w:r w:rsidRPr="319EAB88">
        <w:t>reconciled</w:t>
      </w:r>
      <w:r>
        <w:t xml:space="preserve"> </w:t>
      </w:r>
      <w:r w:rsidRPr="319EAB88">
        <w:t>below.</w:t>
      </w:r>
    </w:p>
    <w:p w14:paraId="5AC4C626" w14:textId="77777777" w:rsidR="001A70B8" w:rsidRPr="002029AF" w:rsidRDefault="001A70B8" w:rsidP="00101E5D">
      <w:pPr>
        <w:pStyle w:val="Heading3EOdata"/>
      </w:pPr>
      <w:bookmarkStart w:id="280" w:name="_Toc85121239"/>
      <w:r w:rsidRPr="00661AB5">
        <w:t>Table</w:t>
      </w:r>
      <w:r>
        <w:t xml:space="preserve"> </w:t>
      </w:r>
      <w:r w:rsidRPr="00661AB5">
        <w:t>4:</w:t>
      </w:r>
      <w:r>
        <w:t xml:space="preserve"> </w:t>
      </w:r>
      <w:r w:rsidRPr="00661AB5">
        <w:t>Reconciliation</w:t>
      </w:r>
      <w:r>
        <w:t xml:space="preserve"> </w:t>
      </w:r>
      <w:r w:rsidRPr="00661AB5">
        <w:t>of</w:t>
      </w:r>
      <w:r>
        <w:t xml:space="preserve"> </w:t>
      </w:r>
      <w:r w:rsidRPr="00661AB5">
        <w:t>executive</w:t>
      </w:r>
      <w:r>
        <w:t xml:space="preserve"> </w:t>
      </w:r>
      <w:r w:rsidRPr="00661AB5">
        <w:t>numbers</w:t>
      </w:r>
      <w:r>
        <w:t xml:space="preserve"> </w:t>
      </w:r>
      <w:r w:rsidRPr="00661AB5">
        <w:t>for</w:t>
      </w:r>
      <w:r>
        <w:t xml:space="preserve"> </w:t>
      </w:r>
      <w:r w:rsidRPr="00661AB5">
        <w:t>Safer</w:t>
      </w:r>
      <w:r>
        <w:t xml:space="preserve"> </w:t>
      </w:r>
      <w:r w:rsidRPr="00661AB5">
        <w:t>Care</w:t>
      </w:r>
      <w:r>
        <w:t xml:space="preserve"> </w:t>
      </w:r>
      <w:r w:rsidRPr="00661AB5">
        <w:t>Victoria</w:t>
      </w:r>
      <w:bookmarkEnd w:id="280"/>
    </w:p>
    <w:tbl>
      <w:tblPr>
        <w:tblStyle w:val="TableGrid"/>
        <w:tblW w:w="9639" w:type="dxa"/>
        <w:tblLook w:val="06A0" w:firstRow="1" w:lastRow="0" w:firstColumn="1" w:lastColumn="0" w:noHBand="1" w:noVBand="1"/>
      </w:tblPr>
      <w:tblGrid>
        <w:gridCol w:w="7655"/>
        <w:gridCol w:w="992"/>
        <w:gridCol w:w="992"/>
      </w:tblGrid>
      <w:tr w:rsidR="001A70B8" w:rsidRPr="002029AF" w14:paraId="4DA7ED39" w14:textId="77777777" w:rsidTr="00FD1DB2">
        <w:trPr>
          <w:cnfStyle w:val="100000000000" w:firstRow="1" w:lastRow="0" w:firstColumn="0" w:lastColumn="0" w:oddVBand="0" w:evenVBand="0" w:oddHBand="0" w:evenHBand="0" w:firstRowFirstColumn="0" w:firstRowLastColumn="0" w:lastRowFirstColumn="0" w:lastRowLastColumn="0"/>
          <w:tblHeader/>
        </w:trPr>
        <w:tc>
          <w:tcPr>
            <w:tcW w:w="7655" w:type="dxa"/>
            <w:tcBorders>
              <w:top w:val="nil"/>
            </w:tcBorders>
          </w:tcPr>
          <w:p w14:paraId="49F27D17" w14:textId="77777777" w:rsidR="001A70B8" w:rsidRPr="002029AF" w:rsidRDefault="001A70B8" w:rsidP="00101E5D">
            <w:pPr>
              <w:pStyle w:val="ARtablecolhead"/>
              <w:shd w:val="clear" w:color="auto" w:fill="FFFFFF" w:themeFill="background1"/>
            </w:pPr>
          </w:p>
        </w:tc>
        <w:tc>
          <w:tcPr>
            <w:tcW w:w="992" w:type="dxa"/>
            <w:tcBorders>
              <w:top w:val="nil"/>
            </w:tcBorders>
          </w:tcPr>
          <w:p w14:paraId="76B5BAA9" w14:textId="77777777" w:rsidR="001A70B8" w:rsidRPr="00106C52" w:rsidRDefault="001A70B8" w:rsidP="00101E5D">
            <w:pPr>
              <w:pStyle w:val="ARtablecolheadright"/>
              <w:shd w:val="clear" w:color="auto" w:fill="FFFFFF" w:themeFill="background1"/>
            </w:pPr>
            <w:r w:rsidRPr="00106C52">
              <w:t>202</w:t>
            </w:r>
            <w:r>
              <w:t>2</w:t>
            </w:r>
          </w:p>
        </w:tc>
        <w:tc>
          <w:tcPr>
            <w:tcW w:w="992" w:type="dxa"/>
            <w:tcBorders>
              <w:top w:val="nil"/>
            </w:tcBorders>
          </w:tcPr>
          <w:p w14:paraId="34C6E765" w14:textId="77777777" w:rsidR="001A70B8" w:rsidRPr="00106C52" w:rsidRDefault="001A70B8" w:rsidP="00101E5D">
            <w:pPr>
              <w:pStyle w:val="ARtablecolheadright"/>
              <w:shd w:val="clear" w:color="auto" w:fill="FFFFFF" w:themeFill="background1"/>
            </w:pPr>
            <w:r w:rsidRPr="00106C52">
              <w:t>202</w:t>
            </w:r>
            <w:r>
              <w:t>1</w:t>
            </w:r>
          </w:p>
        </w:tc>
      </w:tr>
      <w:tr w:rsidR="001A70B8" w:rsidRPr="002029AF" w14:paraId="014FFCC7" w14:textId="77777777" w:rsidTr="00FD1DB2">
        <w:trPr>
          <w:cantSplit w:val="0"/>
        </w:trPr>
        <w:tc>
          <w:tcPr>
            <w:tcW w:w="7655" w:type="dxa"/>
            <w:tcBorders>
              <w:top w:val="single" w:sz="4" w:space="0" w:color="70AD47" w:themeColor="accent6"/>
            </w:tcBorders>
          </w:tcPr>
          <w:p w14:paraId="3E449440" w14:textId="77777777" w:rsidR="001A70B8" w:rsidRPr="002029AF" w:rsidRDefault="001A70B8" w:rsidP="00101E5D">
            <w:pPr>
              <w:pStyle w:val="ARtabletext"/>
              <w:shd w:val="clear" w:color="auto" w:fill="FFFFFF" w:themeFill="background1"/>
            </w:pPr>
            <w:r w:rsidRPr="002029AF">
              <w:t>Executives</w:t>
            </w:r>
            <w:r>
              <w:t xml:space="preserve"> (financial statement Note 9.7)</w:t>
            </w:r>
          </w:p>
        </w:tc>
        <w:tc>
          <w:tcPr>
            <w:tcW w:w="992" w:type="dxa"/>
            <w:tcBorders>
              <w:top w:val="single" w:sz="4" w:space="0" w:color="70AD47" w:themeColor="accent6"/>
            </w:tcBorders>
          </w:tcPr>
          <w:p w14:paraId="67F82E58" w14:textId="77777777" w:rsidR="001A70B8" w:rsidRPr="00222619" w:rsidRDefault="001A70B8" w:rsidP="00101E5D">
            <w:pPr>
              <w:pStyle w:val="ARtabletextright"/>
              <w:shd w:val="clear" w:color="auto" w:fill="FFFFFF" w:themeFill="background1"/>
            </w:pPr>
            <w:r>
              <w:t>9</w:t>
            </w:r>
          </w:p>
        </w:tc>
        <w:tc>
          <w:tcPr>
            <w:tcW w:w="992" w:type="dxa"/>
            <w:tcBorders>
              <w:top w:val="single" w:sz="4" w:space="0" w:color="70AD47" w:themeColor="accent6"/>
            </w:tcBorders>
          </w:tcPr>
          <w:p w14:paraId="3716D0AB" w14:textId="77777777" w:rsidR="001A70B8" w:rsidRPr="00222619" w:rsidRDefault="001A70B8" w:rsidP="00101E5D">
            <w:pPr>
              <w:pStyle w:val="ARtabletextright"/>
              <w:shd w:val="clear" w:color="auto" w:fill="FFFFFF" w:themeFill="background1"/>
            </w:pPr>
            <w:r w:rsidRPr="00222619">
              <w:t>6</w:t>
            </w:r>
          </w:p>
        </w:tc>
      </w:tr>
      <w:tr w:rsidR="001A70B8" w:rsidRPr="002029AF" w14:paraId="239225CE" w14:textId="77777777" w:rsidTr="00FD1DB2">
        <w:trPr>
          <w:cantSplit w:val="0"/>
        </w:trPr>
        <w:tc>
          <w:tcPr>
            <w:tcW w:w="7655" w:type="dxa"/>
          </w:tcPr>
          <w:p w14:paraId="74A10ACC" w14:textId="77777777" w:rsidR="001A70B8" w:rsidRPr="002029AF" w:rsidRDefault="001A70B8" w:rsidP="00101E5D">
            <w:pPr>
              <w:pStyle w:val="ARtabletext"/>
              <w:shd w:val="clear" w:color="auto" w:fill="FFFFFF" w:themeFill="background1"/>
            </w:pPr>
            <w:r w:rsidRPr="002029AF">
              <w:t>Accountable</w:t>
            </w:r>
            <w:r>
              <w:t xml:space="preserve"> </w:t>
            </w:r>
            <w:r w:rsidRPr="002029AF">
              <w:t>Officer</w:t>
            </w:r>
            <w:r>
              <w:t xml:space="preserve"> </w:t>
            </w:r>
            <w:r w:rsidRPr="002029AF">
              <w:t>(Chief</w:t>
            </w:r>
            <w:r>
              <w:t xml:space="preserve"> </w:t>
            </w:r>
            <w:r w:rsidRPr="002029AF">
              <w:t>Executive</w:t>
            </w:r>
            <w:r>
              <w:t xml:space="preserve"> </w:t>
            </w:r>
            <w:r w:rsidRPr="002029AF">
              <w:t>Officer)</w:t>
            </w:r>
          </w:p>
        </w:tc>
        <w:tc>
          <w:tcPr>
            <w:tcW w:w="992" w:type="dxa"/>
          </w:tcPr>
          <w:p w14:paraId="61283044" w14:textId="77777777" w:rsidR="001A70B8" w:rsidRPr="00222619" w:rsidRDefault="001A70B8" w:rsidP="00101E5D">
            <w:pPr>
              <w:pStyle w:val="ARtabletextright"/>
              <w:shd w:val="clear" w:color="auto" w:fill="FFFFFF" w:themeFill="background1"/>
            </w:pPr>
            <w:r>
              <w:t>1</w:t>
            </w:r>
          </w:p>
        </w:tc>
        <w:tc>
          <w:tcPr>
            <w:tcW w:w="992" w:type="dxa"/>
          </w:tcPr>
          <w:p w14:paraId="5DD0852E" w14:textId="77777777" w:rsidR="001A70B8" w:rsidRPr="00222619" w:rsidRDefault="001A70B8" w:rsidP="00101E5D">
            <w:pPr>
              <w:pStyle w:val="ARtabletextright"/>
              <w:shd w:val="clear" w:color="auto" w:fill="FFFFFF" w:themeFill="background1"/>
            </w:pPr>
            <w:r w:rsidRPr="00222619">
              <w:t>1</w:t>
            </w:r>
          </w:p>
        </w:tc>
      </w:tr>
      <w:tr w:rsidR="001A70B8" w:rsidRPr="002029AF" w14:paraId="0F8E9868" w14:textId="77777777" w:rsidTr="00FD1DB2">
        <w:trPr>
          <w:cantSplit w:val="0"/>
        </w:trPr>
        <w:tc>
          <w:tcPr>
            <w:tcW w:w="7655" w:type="dxa"/>
          </w:tcPr>
          <w:p w14:paraId="38C11F7C" w14:textId="77777777" w:rsidR="001A70B8" w:rsidRPr="002029AF" w:rsidRDefault="001A70B8" w:rsidP="00101E5D">
            <w:pPr>
              <w:pStyle w:val="ARtabletext"/>
              <w:shd w:val="clear" w:color="auto" w:fill="FFFFFF" w:themeFill="background1"/>
            </w:pPr>
            <w:r w:rsidRPr="002029AF">
              <w:t>Less</w:t>
            </w:r>
            <w:r>
              <w:t xml:space="preserve"> </w:t>
            </w:r>
            <w:r w:rsidRPr="002029AF">
              <w:t>separations</w:t>
            </w:r>
          </w:p>
        </w:tc>
        <w:tc>
          <w:tcPr>
            <w:tcW w:w="992" w:type="dxa"/>
          </w:tcPr>
          <w:p w14:paraId="63E1B51B" w14:textId="77777777" w:rsidR="001A70B8" w:rsidRPr="00106C52" w:rsidRDefault="001A70B8" w:rsidP="00101E5D">
            <w:pPr>
              <w:pStyle w:val="ARtabletextright"/>
              <w:shd w:val="clear" w:color="auto" w:fill="FFFFFF" w:themeFill="background1"/>
            </w:pPr>
            <w:r>
              <w:t>(3)</w:t>
            </w:r>
          </w:p>
        </w:tc>
        <w:tc>
          <w:tcPr>
            <w:tcW w:w="992" w:type="dxa"/>
          </w:tcPr>
          <w:p w14:paraId="64EDBD93" w14:textId="77777777" w:rsidR="001A70B8" w:rsidRPr="00106C52" w:rsidRDefault="001A70B8" w:rsidP="00101E5D">
            <w:pPr>
              <w:pStyle w:val="ARtabletextright"/>
              <w:shd w:val="clear" w:color="auto" w:fill="FFFFFF" w:themeFill="background1"/>
            </w:pPr>
            <w:r w:rsidRPr="00106C52">
              <w:t>0</w:t>
            </w:r>
          </w:p>
        </w:tc>
      </w:tr>
      <w:tr w:rsidR="001A70B8" w:rsidRPr="002029AF" w14:paraId="48D11E0E" w14:textId="77777777" w:rsidTr="00FD1DB2">
        <w:trPr>
          <w:cantSplit w:val="0"/>
        </w:trPr>
        <w:tc>
          <w:tcPr>
            <w:tcW w:w="7655" w:type="dxa"/>
          </w:tcPr>
          <w:p w14:paraId="6C7985C0" w14:textId="77777777" w:rsidR="001A70B8" w:rsidRPr="002029AF" w:rsidRDefault="001A70B8" w:rsidP="00101E5D">
            <w:pPr>
              <w:pStyle w:val="ARtabletextbold"/>
              <w:shd w:val="clear" w:color="auto" w:fill="FFFFFF" w:themeFill="background1"/>
            </w:pPr>
            <w:r w:rsidRPr="002029AF">
              <w:t>Total</w:t>
            </w:r>
            <w:r>
              <w:t xml:space="preserve"> </w:t>
            </w:r>
            <w:r w:rsidRPr="002029AF">
              <w:t>executive</w:t>
            </w:r>
            <w:r>
              <w:t xml:space="preserve"> </w:t>
            </w:r>
            <w:r w:rsidRPr="002029AF">
              <w:t>numbers</w:t>
            </w:r>
            <w:r>
              <w:t xml:space="preserve"> </w:t>
            </w:r>
            <w:r w:rsidRPr="002029AF">
              <w:t>at</w:t>
            </w:r>
            <w:r>
              <w:t xml:space="preserve"> </w:t>
            </w:r>
            <w:r w:rsidRPr="002029AF">
              <w:t>30</w:t>
            </w:r>
            <w:r>
              <w:t xml:space="preserve"> </w:t>
            </w:r>
            <w:r w:rsidRPr="002029AF">
              <w:t>June</w:t>
            </w:r>
          </w:p>
        </w:tc>
        <w:tc>
          <w:tcPr>
            <w:tcW w:w="992" w:type="dxa"/>
          </w:tcPr>
          <w:p w14:paraId="0D0D0AE4" w14:textId="77777777" w:rsidR="001A70B8" w:rsidRPr="001B07B5" w:rsidRDefault="001A70B8" w:rsidP="00101E5D">
            <w:pPr>
              <w:pStyle w:val="ARtabletextrightbold"/>
              <w:shd w:val="clear" w:color="auto" w:fill="FFFFFF" w:themeFill="background1"/>
            </w:pPr>
            <w:r>
              <w:t>7</w:t>
            </w:r>
          </w:p>
        </w:tc>
        <w:tc>
          <w:tcPr>
            <w:tcW w:w="992" w:type="dxa"/>
          </w:tcPr>
          <w:p w14:paraId="48679522" w14:textId="77777777" w:rsidR="001A70B8" w:rsidRPr="001B07B5" w:rsidRDefault="001A70B8" w:rsidP="00101E5D">
            <w:pPr>
              <w:pStyle w:val="ARtabletextrightbold"/>
              <w:shd w:val="clear" w:color="auto" w:fill="FFFFFF" w:themeFill="background1"/>
            </w:pPr>
            <w:r w:rsidRPr="001B07B5">
              <w:t>7</w:t>
            </w:r>
          </w:p>
        </w:tc>
      </w:tr>
    </w:tbl>
    <w:p w14:paraId="08C2F6F5" w14:textId="77777777" w:rsidR="00814451" w:rsidRPr="00E00DF0" w:rsidRDefault="00814451" w:rsidP="00E00DF0">
      <w:pPr>
        <w:pStyle w:val="ARbody"/>
      </w:pPr>
      <w:bookmarkStart w:id="281" w:name="_Toc85121242"/>
    </w:p>
    <w:p w14:paraId="21CADB58" w14:textId="5CC4E646" w:rsidR="00E00DF0" w:rsidRPr="00E00DF0" w:rsidRDefault="00E00DF0" w:rsidP="00E00DF0">
      <w:pPr>
        <w:pStyle w:val="ARbody"/>
        <w:sectPr w:rsidR="00E00DF0" w:rsidRPr="00E00DF0" w:rsidSect="00216915">
          <w:headerReference w:type="first" r:id="rId54"/>
          <w:footerReference w:type="first" r:id="rId55"/>
          <w:footnotePr>
            <w:numFmt w:val="lowerLetter"/>
            <w:numRestart w:val="eachPage"/>
          </w:footnotePr>
          <w:endnotePr>
            <w:numFmt w:val="decimal"/>
          </w:endnotePr>
          <w:type w:val="continuous"/>
          <w:pgSz w:w="11900" w:h="16840" w:code="9"/>
          <w:pgMar w:top="1985" w:right="1134" w:bottom="851" w:left="1134" w:header="510" w:footer="340" w:gutter="0"/>
          <w:cols w:space="454"/>
        </w:sectPr>
      </w:pPr>
    </w:p>
    <w:p w14:paraId="197ADDB9" w14:textId="7323A4C9" w:rsidR="001A70B8" w:rsidRPr="00C906BD" w:rsidRDefault="001A70B8" w:rsidP="00F0313F">
      <w:pPr>
        <w:pStyle w:val="Heading3EOdata"/>
        <w:spacing w:before="0"/>
      </w:pPr>
      <w:r w:rsidRPr="00C906BD">
        <w:t xml:space="preserve">Table 5: Number of SES for the </w:t>
      </w:r>
      <w:r w:rsidR="00684105" w:rsidRPr="00C906BD">
        <w:t>d</w:t>
      </w:r>
      <w:r w:rsidRPr="00C906BD">
        <w:t>epartment’s portfolio agencies</w:t>
      </w:r>
      <w:bookmarkEnd w:id="281"/>
    </w:p>
    <w:tbl>
      <w:tblPr>
        <w:tblStyle w:val="TableGrid"/>
        <w:tblW w:w="14005" w:type="dxa"/>
        <w:tblLook w:val="06A0" w:firstRow="1" w:lastRow="0" w:firstColumn="1" w:lastColumn="0" w:noHBand="1" w:noVBand="1"/>
      </w:tblPr>
      <w:tblGrid>
        <w:gridCol w:w="3971"/>
        <w:gridCol w:w="837"/>
        <w:gridCol w:w="837"/>
        <w:gridCol w:w="836"/>
        <w:gridCol w:w="836"/>
        <w:gridCol w:w="836"/>
        <w:gridCol w:w="836"/>
        <w:gridCol w:w="836"/>
        <w:gridCol w:w="836"/>
        <w:gridCol w:w="836"/>
        <w:gridCol w:w="836"/>
        <w:gridCol w:w="836"/>
        <w:gridCol w:w="836"/>
      </w:tblGrid>
      <w:tr w:rsidR="00156FDC" w:rsidRPr="005050F3" w14:paraId="18D05DC9" w14:textId="77777777" w:rsidTr="0077067A">
        <w:trPr>
          <w:cnfStyle w:val="100000000000" w:firstRow="1" w:lastRow="0" w:firstColumn="0" w:lastColumn="0" w:oddVBand="0" w:evenVBand="0" w:oddHBand="0" w:evenHBand="0" w:firstRowFirstColumn="0" w:firstRowLastColumn="0" w:lastRowFirstColumn="0" w:lastRowLastColumn="0"/>
          <w:trHeight w:val="255"/>
          <w:tblHeader/>
        </w:trPr>
        <w:tc>
          <w:tcPr>
            <w:tcW w:w="3969" w:type="dxa"/>
            <w:vMerge w:val="restart"/>
            <w:noWrap/>
            <w:hideMark/>
          </w:tcPr>
          <w:p w14:paraId="2FC2CBF1" w14:textId="677F0403" w:rsidR="00156FDC" w:rsidRPr="005050F3" w:rsidRDefault="00156FDC" w:rsidP="0077067A">
            <w:pPr>
              <w:pStyle w:val="ARfintablecolhead"/>
              <w:spacing w:before="50" w:after="30"/>
            </w:pPr>
            <w:r w:rsidRPr="005050F3">
              <w:t>Organisation name</w:t>
            </w:r>
          </w:p>
        </w:tc>
        <w:tc>
          <w:tcPr>
            <w:tcW w:w="836" w:type="dxa"/>
            <w:gridSpan w:val="4"/>
            <w:tcBorders>
              <w:top w:val="nil"/>
              <w:right w:val="single" w:sz="4" w:space="0" w:color="000000"/>
            </w:tcBorders>
            <w:noWrap/>
            <w:hideMark/>
          </w:tcPr>
          <w:p w14:paraId="5F16B736" w14:textId="77777777" w:rsidR="00156FDC" w:rsidRPr="005050F3" w:rsidRDefault="00156FDC" w:rsidP="0077067A">
            <w:pPr>
              <w:pStyle w:val="ARtablecolheadcentre"/>
              <w:spacing w:before="50" w:after="30"/>
            </w:pPr>
            <w:r w:rsidRPr="005050F3">
              <w:t>2022</w:t>
            </w:r>
          </w:p>
        </w:tc>
        <w:tc>
          <w:tcPr>
            <w:tcW w:w="836" w:type="dxa"/>
            <w:gridSpan w:val="4"/>
            <w:tcBorders>
              <w:top w:val="nil"/>
              <w:left w:val="single" w:sz="4" w:space="0" w:color="000000"/>
              <w:right w:val="single" w:sz="4" w:space="0" w:color="000000"/>
            </w:tcBorders>
            <w:noWrap/>
            <w:hideMark/>
          </w:tcPr>
          <w:p w14:paraId="057F8A95" w14:textId="77777777" w:rsidR="00156FDC" w:rsidRPr="005050F3" w:rsidRDefault="00156FDC" w:rsidP="0077067A">
            <w:pPr>
              <w:pStyle w:val="ARtablecolheadcentre"/>
              <w:spacing w:before="50" w:after="30"/>
            </w:pPr>
            <w:r w:rsidRPr="005050F3">
              <w:t>2021</w:t>
            </w:r>
          </w:p>
        </w:tc>
        <w:tc>
          <w:tcPr>
            <w:tcW w:w="836" w:type="dxa"/>
            <w:gridSpan w:val="4"/>
            <w:tcBorders>
              <w:left w:val="single" w:sz="4" w:space="0" w:color="000000"/>
            </w:tcBorders>
            <w:noWrap/>
            <w:hideMark/>
          </w:tcPr>
          <w:p w14:paraId="08F42231" w14:textId="77777777" w:rsidR="00156FDC" w:rsidRPr="005050F3" w:rsidRDefault="00156FDC" w:rsidP="0077067A">
            <w:pPr>
              <w:pStyle w:val="ARtablecolheadcentre"/>
              <w:spacing w:before="50" w:after="30"/>
            </w:pPr>
            <w:r w:rsidRPr="005050F3">
              <w:t>Variance</w:t>
            </w:r>
          </w:p>
        </w:tc>
      </w:tr>
      <w:tr w:rsidR="00156FDC" w:rsidRPr="005050F3" w14:paraId="33F9686C" w14:textId="77777777" w:rsidTr="0077067A">
        <w:trPr>
          <w:cnfStyle w:val="100000000000" w:firstRow="1" w:lastRow="0" w:firstColumn="0" w:lastColumn="0" w:oddVBand="0" w:evenVBand="0" w:oddHBand="0" w:evenHBand="0" w:firstRowFirstColumn="0" w:firstRowLastColumn="0" w:lastRowFirstColumn="0" w:lastRowLastColumn="0"/>
          <w:trHeight w:val="270"/>
          <w:tblHeader/>
        </w:trPr>
        <w:tc>
          <w:tcPr>
            <w:tcW w:w="3969" w:type="dxa"/>
            <w:vMerge/>
            <w:noWrap/>
            <w:hideMark/>
          </w:tcPr>
          <w:p w14:paraId="0CAAB367" w14:textId="7700746A" w:rsidR="00156FDC" w:rsidRPr="005050F3" w:rsidRDefault="00156FDC" w:rsidP="0077067A">
            <w:pPr>
              <w:pStyle w:val="ARbodynospace"/>
              <w:spacing w:before="50" w:after="30"/>
            </w:pPr>
          </w:p>
        </w:tc>
        <w:tc>
          <w:tcPr>
            <w:tcW w:w="836" w:type="dxa"/>
            <w:noWrap/>
            <w:hideMark/>
          </w:tcPr>
          <w:p w14:paraId="0BB11F8F" w14:textId="77777777" w:rsidR="00156FDC" w:rsidRPr="005050F3" w:rsidRDefault="00156FDC" w:rsidP="0077067A">
            <w:pPr>
              <w:pStyle w:val="ARtablecolheadright"/>
              <w:spacing w:before="50" w:after="30"/>
            </w:pPr>
            <w:r w:rsidRPr="005050F3">
              <w:t>Women</w:t>
            </w:r>
          </w:p>
        </w:tc>
        <w:tc>
          <w:tcPr>
            <w:tcW w:w="836" w:type="dxa"/>
            <w:noWrap/>
            <w:hideMark/>
          </w:tcPr>
          <w:p w14:paraId="251459B6" w14:textId="77777777" w:rsidR="00156FDC" w:rsidRPr="005050F3" w:rsidRDefault="00156FDC" w:rsidP="0077067A">
            <w:pPr>
              <w:pStyle w:val="ARtablecolheadright"/>
              <w:spacing w:before="50" w:after="30"/>
            </w:pPr>
            <w:r w:rsidRPr="005050F3">
              <w:t>Men</w:t>
            </w:r>
          </w:p>
        </w:tc>
        <w:tc>
          <w:tcPr>
            <w:tcW w:w="836" w:type="dxa"/>
            <w:tcBorders>
              <w:top w:val="single" w:sz="4" w:space="0" w:color="auto"/>
            </w:tcBorders>
            <w:noWrap/>
            <w:hideMark/>
          </w:tcPr>
          <w:p w14:paraId="18C26DC4" w14:textId="55924C7D" w:rsidR="00156FDC" w:rsidRPr="005050F3" w:rsidRDefault="00156FDC" w:rsidP="0077067A">
            <w:pPr>
              <w:pStyle w:val="ARtablecolheadright"/>
              <w:spacing w:before="50" w:after="30"/>
            </w:pPr>
            <w:r w:rsidRPr="005050F3">
              <w:t xml:space="preserve">Prefer </w:t>
            </w:r>
            <w:r>
              <w:br/>
            </w:r>
            <w:r w:rsidRPr="005050F3">
              <w:t>not to say</w:t>
            </w:r>
          </w:p>
        </w:tc>
        <w:tc>
          <w:tcPr>
            <w:tcW w:w="836" w:type="dxa"/>
            <w:tcBorders>
              <w:top w:val="single" w:sz="4" w:space="0" w:color="auto"/>
              <w:right w:val="single" w:sz="4" w:space="0" w:color="000000"/>
            </w:tcBorders>
            <w:noWrap/>
            <w:hideMark/>
          </w:tcPr>
          <w:p w14:paraId="75F9B917" w14:textId="77777777" w:rsidR="00156FDC" w:rsidRPr="005050F3" w:rsidRDefault="00156FDC" w:rsidP="0077067A">
            <w:pPr>
              <w:pStyle w:val="ARtablecolheadright"/>
              <w:spacing w:before="50" w:after="30"/>
            </w:pPr>
            <w:r w:rsidRPr="005050F3">
              <w:t>Total</w:t>
            </w:r>
          </w:p>
        </w:tc>
        <w:tc>
          <w:tcPr>
            <w:tcW w:w="836" w:type="dxa"/>
            <w:tcBorders>
              <w:left w:val="single" w:sz="4" w:space="0" w:color="000000"/>
            </w:tcBorders>
            <w:noWrap/>
            <w:hideMark/>
          </w:tcPr>
          <w:p w14:paraId="083E8CBD" w14:textId="77777777" w:rsidR="00156FDC" w:rsidRPr="005050F3" w:rsidRDefault="00156FDC" w:rsidP="0077067A">
            <w:pPr>
              <w:pStyle w:val="ARtablecolheadright"/>
              <w:spacing w:before="50" w:after="30"/>
            </w:pPr>
            <w:r w:rsidRPr="005050F3">
              <w:t>Women</w:t>
            </w:r>
          </w:p>
        </w:tc>
        <w:tc>
          <w:tcPr>
            <w:tcW w:w="836" w:type="dxa"/>
            <w:noWrap/>
            <w:hideMark/>
          </w:tcPr>
          <w:p w14:paraId="62A9D8FE" w14:textId="77777777" w:rsidR="00156FDC" w:rsidRPr="005050F3" w:rsidRDefault="00156FDC" w:rsidP="0077067A">
            <w:pPr>
              <w:pStyle w:val="ARtablecolheadright"/>
              <w:spacing w:before="50" w:after="30"/>
            </w:pPr>
            <w:r w:rsidRPr="005050F3">
              <w:t>Men</w:t>
            </w:r>
          </w:p>
        </w:tc>
        <w:tc>
          <w:tcPr>
            <w:tcW w:w="836" w:type="dxa"/>
            <w:noWrap/>
            <w:hideMark/>
          </w:tcPr>
          <w:p w14:paraId="28F67A2B" w14:textId="688D42DB" w:rsidR="00156FDC" w:rsidRPr="005050F3" w:rsidRDefault="00156FDC" w:rsidP="0077067A">
            <w:pPr>
              <w:pStyle w:val="ARtablecolheadright"/>
              <w:spacing w:before="50" w:after="30"/>
            </w:pPr>
            <w:r w:rsidRPr="005050F3">
              <w:t xml:space="preserve">Prefer </w:t>
            </w:r>
            <w:r>
              <w:br/>
            </w:r>
            <w:r w:rsidRPr="005050F3">
              <w:t>not to say</w:t>
            </w:r>
          </w:p>
        </w:tc>
        <w:tc>
          <w:tcPr>
            <w:tcW w:w="836" w:type="dxa"/>
            <w:tcBorders>
              <w:top w:val="single" w:sz="4" w:space="0" w:color="auto"/>
              <w:right w:val="single" w:sz="4" w:space="0" w:color="000000"/>
            </w:tcBorders>
            <w:noWrap/>
            <w:hideMark/>
          </w:tcPr>
          <w:p w14:paraId="12B97AB2" w14:textId="77777777" w:rsidR="00156FDC" w:rsidRPr="005050F3" w:rsidRDefault="00156FDC" w:rsidP="0077067A">
            <w:pPr>
              <w:pStyle w:val="ARtablecolheadright"/>
              <w:spacing w:before="50" w:after="30"/>
            </w:pPr>
            <w:r w:rsidRPr="005050F3">
              <w:t>Total</w:t>
            </w:r>
          </w:p>
        </w:tc>
        <w:tc>
          <w:tcPr>
            <w:tcW w:w="836" w:type="dxa"/>
            <w:tcBorders>
              <w:left w:val="single" w:sz="4" w:space="0" w:color="000000"/>
            </w:tcBorders>
            <w:noWrap/>
            <w:hideMark/>
          </w:tcPr>
          <w:p w14:paraId="70A4C58B" w14:textId="77777777" w:rsidR="00156FDC" w:rsidRPr="005050F3" w:rsidRDefault="00156FDC" w:rsidP="0077067A">
            <w:pPr>
              <w:pStyle w:val="ARtablecolheadright"/>
              <w:spacing w:before="50" w:after="30"/>
            </w:pPr>
            <w:r w:rsidRPr="005050F3">
              <w:t>Women</w:t>
            </w:r>
          </w:p>
        </w:tc>
        <w:tc>
          <w:tcPr>
            <w:tcW w:w="836" w:type="dxa"/>
            <w:noWrap/>
            <w:hideMark/>
          </w:tcPr>
          <w:p w14:paraId="7C3B5F40" w14:textId="77777777" w:rsidR="00156FDC" w:rsidRPr="005050F3" w:rsidRDefault="00156FDC" w:rsidP="0077067A">
            <w:pPr>
              <w:pStyle w:val="ARtablecolheadright"/>
              <w:spacing w:before="50" w:after="30"/>
            </w:pPr>
            <w:r w:rsidRPr="005050F3">
              <w:t>Men</w:t>
            </w:r>
          </w:p>
        </w:tc>
        <w:tc>
          <w:tcPr>
            <w:tcW w:w="836" w:type="dxa"/>
            <w:noWrap/>
            <w:hideMark/>
          </w:tcPr>
          <w:p w14:paraId="0CC220E6" w14:textId="0E4AB789" w:rsidR="00156FDC" w:rsidRPr="005050F3" w:rsidRDefault="00156FDC" w:rsidP="0077067A">
            <w:pPr>
              <w:pStyle w:val="ARtablecolheadright"/>
              <w:spacing w:before="50" w:after="30"/>
            </w:pPr>
            <w:r w:rsidRPr="005050F3">
              <w:t xml:space="preserve">Prefer </w:t>
            </w:r>
            <w:r>
              <w:br/>
            </w:r>
            <w:r w:rsidRPr="005050F3">
              <w:t>not to say</w:t>
            </w:r>
          </w:p>
        </w:tc>
        <w:tc>
          <w:tcPr>
            <w:tcW w:w="836" w:type="dxa"/>
            <w:noWrap/>
            <w:hideMark/>
          </w:tcPr>
          <w:p w14:paraId="0E74DAC5" w14:textId="77777777" w:rsidR="00156FDC" w:rsidRPr="005050F3" w:rsidRDefault="00156FDC" w:rsidP="0077067A">
            <w:pPr>
              <w:pStyle w:val="ARtablecolheadright"/>
              <w:spacing w:before="50" w:after="30"/>
            </w:pPr>
            <w:r w:rsidRPr="005050F3">
              <w:t>Total</w:t>
            </w:r>
          </w:p>
        </w:tc>
      </w:tr>
      <w:tr w:rsidR="00156FDC" w:rsidRPr="005050F3" w14:paraId="1DF3B933" w14:textId="77777777" w:rsidTr="0077067A">
        <w:trPr>
          <w:cantSplit w:val="0"/>
          <w:trHeight w:val="255"/>
        </w:trPr>
        <w:tc>
          <w:tcPr>
            <w:tcW w:w="3969" w:type="dxa"/>
            <w:noWrap/>
            <w:hideMark/>
          </w:tcPr>
          <w:p w14:paraId="0227BB33" w14:textId="77777777" w:rsidR="00156FDC" w:rsidRPr="005050F3" w:rsidRDefault="00156FDC" w:rsidP="0077067A">
            <w:pPr>
              <w:pStyle w:val="ARtabletext"/>
              <w:spacing w:before="50" w:after="30"/>
            </w:pPr>
            <w:r w:rsidRPr="005050F3">
              <w:t>Albury Wodonga Health</w:t>
            </w:r>
          </w:p>
        </w:tc>
        <w:tc>
          <w:tcPr>
            <w:tcW w:w="836" w:type="dxa"/>
            <w:noWrap/>
            <w:hideMark/>
          </w:tcPr>
          <w:p w14:paraId="49453D56" w14:textId="77777777" w:rsidR="00156FDC" w:rsidRPr="005050F3" w:rsidRDefault="00156FDC" w:rsidP="0077067A">
            <w:pPr>
              <w:pStyle w:val="ARtabletextright"/>
              <w:spacing w:before="50" w:after="30"/>
            </w:pPr>
            <w:r w:rsidRPr="005050F3">
              <w:t>3</w:t>
            </w:r>
          </w:p>
        </w:tc>
        <w:tc>
          <w:tcPr>
            <w:tcW w:w="836" w:type="dxa"/>
            <w:noWrap/>
            <w:hideMark/>
          </w:tcPr>
          <w:p w14:paraId="004EF3BA"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6FE8C4C4"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4FD174C3" w14:textId="77777777" w:rsidR="00156FDC" w:rsidRPr="005050F3" w:rsidRDefault="00156FDC" w:rsidP="0077067A">
            <w:pPr>
              <w:pStyle w:val="ARtabletextright"/>
              <w:spacing w:before="50" w:after="30"/>
            </w:pPr>
            <w:r w:rsidRPr="005050F3">
              <w:t>4</w:t>
            </w:r>
          </w:p>
        </w:tc>
        <w:tc>
          <w:tcPr>
            <w:tcW w:w="836" w:type="dxa"/>
            <w:tcBorders>
              <w:left w:val="single" w:sz="4" w:space="0" w:color="000000"/>
            </w:tcBorders>
            <w:noWrap/>
            <w:hideMark/>
          </w:tcPr>
          <w:p w14:paraId="317931BC" w14:textId="77777777" w:rsidR="00156FDC" w:rsidRPr="005050F3" w:rsidRDefault="00156FDC" w:rsidP="0077067A">
            <w:pPr>
              <w:pStyle w:val="ARtabletextright"/>
              <w:spacing w:before="50" w:after="30"/>
            </w:pPr>
            <w:r w:rsidRPr="005050F3">
              <w:t>3</w:t>
            </w:r>
          </w:p>
        </w:tc>
        <w:tc>
          <w:tcPr>
            <w:tcW w:w="836" w:type="dxa"/>
            <w:noWrap/>
            <w:hideMark/>
          </w:tcPr>
          <w:p w14:paraId="1175CB6C" w14:textId="77777777" w:rsidR="00156FDC" w:rsidRPr="005050F3" w:rsidRDefault="00156FDC" w:rsidP="0077067A">
            <w:pPr>
              <w:pStyle w:val="ARtabletextright"/>
              <w:spacing w:before="50" w:after="30"/>
            </w:pPr>
            <w:r w:rsidRPr="005050F3">
              <w:t>2</w:t>
            </w:r>
          </w:p>
        </w:tc>
        <w:tc>
          <w:tcPr>
            <w:tcW w:w="836" w:type="dxa"/>
            <w:noWrap/>
            <w:hideMark/>
          </w:tcPr>
          <w:p w14:paraId="6F09A4B4"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60008F9D" w14:textId="77777777" w:rsidR="00156FDC" w:rsidRPr="005050F3" w:rsidRDefault="00156FDC" w:rsidP="0077067A">
            <w:pPr>
              <w:pStyle w:val="ARtabletextright"/>
              <w:spacing w:before="50" w:after="30"/>
            </w:pPr>
            <w:r w:rsidRPr="005050F3">
              <w:t>5</w:t>
            </w:r>
          </w:p>
        </w:tc>
        <w:tc>
          <w:tcPr>
            <w:tcW w:w="836" w:type="dxa"/>
            <w:tcBorders>
              <w:left w:val="single" w:sz="4" w:space="0" w:color="000000"/>
            </w:tcBorders>
            <w:noWrap/>
            <w:hideMark/>
          </w:tcPr>
          <w:p w14:paraId="10926E67" w14:textId="77777777" w:rsidR="00156FDC" w:rsidRPr="005050F3" w:rsidRDefault="00156FDC" w:rsidP="0077067A">
            <w:pPr>
              <w:pStyle w:val="ARtabletextright"/>
              <w:spacing w:before="50" w:after="30"/>
            </w:pPr>
            <w:r w:rsidRPr="005050F3">
              <w:t>0</w:t>
            </w:r>
          </w:p>
        </w:tc>
        <w:tc>
          <w:tcPr>
            <w:tcW w:w="836" w:type="dxa"/>
            <w:noWrap/>
            <w:hideMark/>
          </w:tcPr>
          <w:p w14:paraId="5CA21C44" w14:textId="6DE5AF1A" w:rsidR="00156FDC" w:rsidRPr="005050F3" w:rsidRDefault="00FA72CF" w:rsidP="0077067A">
            <w:pPr>
              <w:pStyle w:val="ARtabletextright"/>
              <w:spacing w:before="50" w:after="30"/>
            </w:pPr>
            <w:r>
              <w:t>−</w:t>
            </w:r>
            <w:r w:rsidR="00156FDC" w:rsidRPr="005050F3">
              <w:t>1</w:t>
            </w:r>
          </w:p>
        </w:tc>
        <w:tc>
          <w:tcPr>
            <w:tcW w:w="836" w:type="dxa"/>
            <w:noWrap/>
            <w:hideMark/>
          </w:tcPr>
          <w:p w14:paraId="5223350B" w14:textId="77777777" w:rsidR="00156FDC" w:rsidRPr="005050F3" w:rsidRDefault="00156FDC" w:rsidP="0077067A">
            <w:pPr>
              <w:pStyle w:val="ARtabletextright"/>
              <w:spacing w:before="50" w:after="30"/>
            </w:pPr>
            <w:r w:rsidRPr="005050F3">
              <w:t>0</w:t>
            </w:r>
          </w:p>
        </w:tc>
        <w:tc>
          <w:tcPr>
            <w:tcW w:w="836" w:type="dxa"/>
            <w:noWrap/>
            <w:hideMark/>
          </w:tcPr>
          <w:p w14:paraId="2BB6C6C2" w14:textId="471BB496" w:rsidR="00156FDC" w:rsidRPr="005050F3" w:rsidRDefault="00156FDC" w:rsidP="0077067A">
            <w:pPr>
              <w:pStyle w:val="ARtabletextright"/>
              <w:spacing w:before="50" w:after="30"/>
            </w:pPr>
            <w:r>
              <w:t>−</w:t>
            </w:r>
            <w:r w:rsidRPr="005050F3">
              <w:t>1</w:t>
            </w:r>
          </w:p>
        </w:tc>
      </w:tr>
      <w:tr w:rsidR="00156FDC" w:rsidRPr="005050F3" w14:paraId="075842D1" w14:textId="77777777" w:rsidTr="0077067A">
        <w:trPr>
          <w:cantSplit w:val="0"/>
          <w:trHeight w:val="255"/>
        </w:trPr>
        <w:tc>
          <w:tcPr>
            <w:tcW w:w="3969" w:type="dxa"/>
            <w:noWrap/>
            <w:hideMark/>
          </w:tcPr>
          <w:p w14:paraId="2A14A043" w14:textId="77777777" w:rsidR="00156FDC" w:rsidRPr="005050F3" w:rsidRDefault="00156FDC" w:rsidP="0077067A">
            <w:pPr>
              <w:pStyle w:val="ARtabletext"/>
              <w:spacing w:before="50" w:after="30"/>
            </w:pPr>
            <w:r w:rsidRPr="005050F3">
              <w:t>Alexandra District Health</w:t>
            </w:r>
          </w:p>
        </w:tc>
        <w:tc>
          <w:tcPr>
            <w:tcW w:w="836" w:type="dxa"/>
            <w:noWrap/>
            <w:hideMark/>
          </w:tcPr>
          <w:p w14:paraId="7454EFCC" w14:textId="77777777" w:rsidR="00156FDC" w:rsidRPr="005050F3" w:rsidRDefault="00156FDC" w:rsidP="0077067A">
            <w:pPr>
              <w:pStyle w:val="ARtabletextright"/>
              <w:spacing w:before="50" w:after="30"/>
            </w:pPr>
            <w:r w:rsidRPr="005050F3">
              <w:t>1</w:t>
            </w:r>
          </w:p>
        </w:tc>
        <w:tc>
          <w:tcPr>
            <w:tcW w:w="836" w:type="dxa"/>
            <w:noWrap/>
            <w:hideMark/>
          </w:tcPr>
          <w:p w14:paraId="79804D8E"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4A2C48BB"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FEF096C"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304945C2" w14:textId="77777777" w:rsidR="00156FDC" w:rsidRPr="005050F3" w:rsidRDefault="00156FDC" w:rsidP="0077067A">
            <w:pPr>
              <w:pStyle w:val="ARtabletextright"/>
              <w:spacing w:before="50" w:after="30"/>
            </w:pPr>
            <w:r w:rsidRPr="005050F3">
              <w:t>1</w:t>
            </w:r>
          </w:p>
        </w:tc>
        <w:tc>
          <w:tcPr>
            <w:tcW w:w="836" w:type="dxa"/>
            <w:noWrap/>
            <w:hideMark/>
          </w:tcPr>
          <w:p w14:paraId="0605EEEF" w14:textId="77777777" w:rsidR="00156FDC" w:rsidRPr="005050F3" w:rsidRDefault="00156FDC" w:rsidP="0077067A">
            <w:pPr>
              <w:pStyle w:val="ARtabletextright"/>
              <w:spacing w:before="50" w:after="30"/>
            </w:pPr>
            <w:r w:rsidRPr="005050F3">
              <w:t>0</w:t>
            </w:r>
          </w:p>
        </w:tc>
        <w:tc>
          <w:tcPr>
            <w:tcW w:w="836" w:type="dxa"/>
            <w:noWrap/>
            <w:hideMark/>
          </w:tcPr>
          <w:p w14:paraId="2CABF6EE"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C2CD376"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3EB94F40" w14:textId="77777777" w:rsidR="00156FDC" w:rsidRPr="005050F3" w:rsidRDefault="00156FDC" w:rsidP="0077067A">
            <w:pPr>
              <w:pStyle w:val="ARtabletextright"/>
              <w:spacing w:before="50" w:after="30"/>
            </w:pPr>
            <w:r w:rsidRPr="005050F3">
              <w:t>0</w:t>
            </w:r>
          </w:p>
        </w:tc>
        <w:tc>
          <w:tcPr>
            <w:tcW w:w="836" w:type="dxa"/>
            <w:noWrap/>
            <w:hideMark/>
          </w:tcPr>
          <w:p w14:paraId="66222DFA" w14:textId="77777777" w:rsidR="00156FDC" w:rsidRPr="005050F3" w:rsidRDefault="00156FDC" w:rsidP="0077067A">
            <w:pPr>
              <w:pStyle w:val="ARtabletextright"/>
              <w:spacing w:before="50" w:after="30"/>
            </w:pPr>
            <w:r w:rsidRPr="005050F3">
              <w:t>0</w:t>
            </w:r>
          </w:p>
        </w:tc>
        <w:tc>
          <w:tcPr>
            <w:tcW w:w="836" w:type="dxa"/>
            <w:noWrap/>
            <w:hideMark/>
          </w:tcPr>
          <w:p w14:paraId="484AC6F5" w14:textId="77777777" w:rsidR="00156FDC" w:rsidRPr="005050F3" w:rsidRDefault="00156FDC" w:rsidP="0077067A">
            <w:pPr>
              <w:pStyle w:val="ARtabletextright"/>
              <w:spacing w:before="50" w:after="30"/>
            </w:pPr>
            <w:r w:rsidRPr="005050F3">
              <w:t>0</w:t>
            </w:r>
          </w:p>
        </w:tc>
        <w:tc>
          <w:tcPr>
            <w:tcW w:w="836" w:type="dxa"/>
            <w:noWrap/>
            <w:hideMark/>
          </w:tcPr>
          <w:p w14:paraId="77BF777F" w14:textId="77777777" w:rsidR="00156FDC" w:rsidRPr="005050F3" w:rsidRDefault="00156FDC" w:rsidP="0077067A">
            <w:pPr>
              <w:pStyle w:val="ARtabletextright"/>
              <w:spacing w:before="50" w:after="30"/>
            </w:pPr>
            <w:r w:rsidRPr="005050F3">
              <w:t>0</w:t>
            </w:r>
          </w:p>
        </w:tc>
      </w:tr>
      <w:tr w:rsidR="00156FDC" w:rsidRPr="005050F3" w14:paraId="37DB5C68" w14:textId="77777777" w:rsidTr="0077067A">
        <w:trPr>
          <w:cantSplit w:val="0"/>
          <w:trHeight w:val="255"/>
        </w:trPr>
        <w:tc>
          <w:tcPr>
            <w:tcW w:w="3969" w:type="dxa"/>
            <w:noWrap/>
            <w:hideMark/>
          </w:tcPr>
          <w:p w14:paraId="6008132E" w14:textId="77777777" w:rsidR="00156FDC" w:rsidRPr="005050F3" w:rsidRDefault="00156FDC" w:rsidP="0077067A">
            <w:pPr>
              <w:pStyle w:val="ARtabletext"/>
              <w:spacing w:before="50" w:after="30"/>
            </w:pPr>
            <w:r w:rsidRPr="005050F3">
              <w:t>Alfred Health</w:t>
            </w:r>
          </w:p>
        </w:tc>
        <w:tc>
          <w:tcPr>
            <w:tcW w:w="836" w:type="dxa"/>
            <w:noWrap/>
            <w:hideMark/>
          </w:tcPr>
          <w:p w14:paraId="30D4C1F3" w14:textId="77777777" w:rsidR="00156FDC" w:rsidRPr="005050F3" w:rsidRDefault="00156FDC" w:rsidP="0077067A">
            <w:pPr>
              <w:pStyle w:val="ARtabletextright"/>
              <w:spacing w:before="50" w:after="30"/>
            </w:pPr>
            <w:r w:rsidRPr="005050F3">
              <w:t>6</w:t>
            </w:r>
          </w:p>
        </w:tc>
        <w:tc>
          <w:tcPr>
            <w:tcW w:w="836" w:type="dxa"/>
            <w:noWrap/>
            <w:hideMark/>
          </w:tcPr>
          <w:p w14:paraId="6D2152E1" w14:textId="77777777" w:rsidR="00156FDC" w:rsidRPr="005050F3" w:rsidRDefault="00156FDC" w:rsidP="0077067A">
            <w:pPr>
              <w:pStyle w:val="ARtabletextright"/>
              <w:spacing w:before="50" w:after="30"/>
            </w:pPr>
            <w:r w:rsidRPr="005050F3">
              <w:t>6</w:t>
            </w:r>
          </w:p>
        </w:tc>
        <w:tc>
          <w:tcPr>
            <w:tcW w:w="836" w:type="dxa"/>
            <w:tcBorders>
              <w:top w:val="single" w:sz="4" w:space="0" w:color="auto"/>
            </w:tcBorders>
            <w:noWrap/>
            <w:hideMark/>
          </w:tcPr>
          <w:p w14:paraId="32756625"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CDC5C33" w14:textId="77777777" w:rsidR="00156FDC" w:rsidRPr="005050F3" w:rsidRDefault="00156FDC" w:rsidP="0077067A">
            <w:pPr>
              <w:pStyle w:val="ARtabletextright"/>
              <w:spacing w:before="50" w:after="30"/>
            </w:pPr>
            <w:r w:rsidRPr="005050F3">
              <w:t>12</w:t>
            </w:r>
          </w:p>
        </w:tc>
        <w:tc>
          <w:tcPr>
            <w:tcW w:w="836" w:type="dxa"/>
            <w:tcBorders>
              <w:left w:val="single" w:sz="4" w:space="0" w:color="000000"/>
            </w:tcBorders>
            <w:noWrap/>
            <w:hideMark/>
          </w:tcPr>
          <w:p w14:paraId="0CCA0AAA" w14:textId="77777777" w:rsidR="00156FDC" w:rsidRPr="005050F3" w:rsidRDefault="00156FDC" w:rsidP="0077067A">
            <w:pPr>
              <w:pStyle w:val="ARtabletextright"/>
              <w:spacing w:before="50" w:after="30"/>
            </w:pPr>
            <w:r w:rsidRPr="005050F3">
              <w:t>5</w:t>
            </w:r>
          </w:p>
        </w:tc>
        <w:tc>
          <w:tcPr>
            <w:tcW w:w="836" w:type="dxa"/>
            <w:noWrap/>
            <w:hideMark/>
          </w:tcPr>
          <w:p w14:paraId="3E07D215" w14:textId="77777777" w:rsidR="00156FDC" w:rsidRPr="005050F3" w:rsidRDefault="00156FDC" w:rsidP="0077067A">
            <w:pPr>
              <w:pStyle w:val="ARtabletextright"/>
              <w:spacing w:before="50" w:after="30"/>
            </w:pPr>
            <w:r w:rsidRPr="005050F3">
              <w:t>5</w:t>
            </w:r>
          </w:p>
        </w:tc>
        <w:tc>
          <w:tcPr>
            <w:tcW w:w="836" w:type="dxa"/>
            <w:noWrap/>
            <w:hideMark/>
          </w:tcPr>
          <w:p w14:paraId="4D133D8E"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762D46D3" w14:textId="77777777" w:rsidR="00156FDC" w:rsidRPr="005050F3" w:rsidRDefault="00156FDC" w:rsidP="0077067A">
            <w:pPr>
              <w:pStyle w:val="ARtabletextright"/>
              <w:spacing w:before="50" w:after="30"/>
            </w:pPr>
            <w:r w:rsidRPr="005050F3">
              <w:t>10</w:t>
            </w:r>
          </w:p>
        </w:tc>
        <w:tc>
          <w:tcPr>
            <w:tcW w:w="836" w:type="dxa"/>
            <w:tcBorders>
              <w:left w:val="single" w:sz="4" w:space="0" w:color="000000"/>
            </w:tcBorders>
            <w:noWrap/>
            <w:hideMark/>
          </w:tcPr>
          <w:p w14:paraId="42030F7A" w14:textId="77777777" w:rsidR="00156FDC" w:rsidRPr="005050F3" w:rsidRDefault="00156FDC" w:rsidP="0077067A">
            <w:pPr>
              <w:pStyle w:val="ARtabletextright"/>
              <w:spacing w:before="50" w:after="30"/>
            </w:pPr>
            <w:r w:rsidRPr="005050F3">
              <w:t>1</w:t>
            </w:r>
          </w:p>
        </w:tc>
        <w:tc>
          <w:tcPr>
            <w:tcW w:w="836" w:type="dxa"/>
            <w:noWrap/>
            <w:hideMark/>
          </w:tcPr>
          <w:p w14:paraId="0A759AB5" w14:textId="77777777" w:rsidR="00156FDC" w:rsidRPr="005050F3" w:rsidRDefault="00156FDC" w:rsidP="0077067A">
            <w:pPr>
              <w:pStyle w:val="ARtabletextright"/>
              <w:spacing w:before="50" w:after="30"/>
            </w:pPr>
            <w:r w:rsidRPr="005050F3">
              <w:t>1</w:t>
            </w:r>
          </w:p>
        </w:tc>
        <w:tc>
          <w:tcPr>
            <w:tcW w:w="836" w:type="dxa"/>
            <w:noWrap/>
            <w:hideMark/>
          </w:tcPr>
          <w:p w14:paraId="5CBCCDFF" w14:textId="77777777" w:rsidR="00156FDC" w:rsidRPr="005050F3" w:rsidRDefault="00156FDC" w:rsidP="0077067A">
            <w:pPr>
              <w:pStyle w:val="ARtabletextright"/>
              <w:spacing w:before="50" w:after="30"/>
            </w:pPr>
            <w:r w:rsidRPr="005050F3">
              <w:t>0</w:t>
            </w:r>
          </w:p>
        </w:tc>
        <w:tc>
          <w:tcPr>
            <w:tcW w:w="836" w:type="dxa"/>
            <w:noWrap/>
            <w:hideMark/>
          </w:tcPr>
          <w:p w14:paraId="52378AF9" w14:textId="77777777" w:rsidR="00156FDC" w:rsidRPr="005050F3" w:rsidRDefault="00156FDC" w:rsidP="0077067A">
            <w:pPr>
              <w:pStyle w:val="ARtabletextright"/>
              <w:spacing w:before="50" w:after="30"/>
            </w:pPr>
            <w:r w:rsidRPr="005050F3">
              <w:t>2</w:t>
            </w:r>
          </w:p>
        </w:tc>
      </w:tr>
      <w:tr w:rsidR="00156FDC" w:rsidRPr="005050F3" w14:paraId="50E67C9B" w14:textId="77777777" w:rsidTr="0077067A">
        <w:trPr>
          <w:cantSplit w:val="0"/>
          <w:trHeight w:val="255"/>
        </w:trPr>
        <w:tc>
          <w:tcPr>
            <w:tcW w:w="3969" w:type="dxa"/>
            <w:noWrap/>
            <w:hideMark/>
          </w:tcPr>
          <w:p w14:paraId="7574D579" w14:textId="77777777" w:rsidR="00156FDC" w:rsidRPr="005050F3" w:rsidRDefault="00156FDC" w:rsidP="0077067A">
            <w:pPr>
              <w:pStyle w:val="ARtabletext"/>
              <w:spacing w:before="50" w:after="30"/>
            </w:pPr>
            <w:r w:rsidRPr="005050F3">
              <w:t>Alpine Health</w:t>
            </w:r>
          </w:p>
        </w:tc>
        <w:tc>
          <w:tcPr>
            <w:tcW w:w="836" w:type="dxa"/>
            <w:noWrap/>
            <w:hideMark/>
          </w:tcPr>
          <w:p w14:paraId="1E2E7F0A" w14:textId="77777777" w:rsidR="00156FDC" w:rsidRPr="005050F3" w:rsidRDefault="00156FDC" w:rsidP="0077067A">
            <w:pPr>
              <w:pStyle w:val="ARtabletextright"/>
              <w:spacing w:before="50" w:after="30"/>
            </w:pPr>
            <w:r w:rsidRPr="005050F3">
              <w:t>0</w:t>
            </w:r>
          </w:p>
        </w:tc>
        <w:tc>
          <w:tcPr>
            <w:tcW w:w="836" w:type="dxa"/>
            <w:noWrap/>
            <w:hideMark/>
          </w:tcPr>
          <w:p w14:paraId="78CC74AD"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56A50D14"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4F39840"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60249CE0" w14:textId="77777777" w:rsidR="00156FDC" w:rsidRPr="005050F3" w:rsidRDefault="00156FDC" w:rsidP="0077067A">
            <w:pPr>
              <w:pStyle w:val="ARtabletextright"/>
              <w:spacing w:before="50" w:after="30"/>
            </w:pPr>
            <w:r w:rsidRPr="005050F3">
              <w:t>0</w:t>
            </w:r>
          </w:p>
        </w:tc>
        <w:tc>
          <w:tcPr>
            <w:tcW w:w="836" w:type="dxa"/>
            <w:noWrap/>
            <w:hideMark/>
          </w:tcPr>
          <w:p w14:paraId="77A31E1B" w14:textId="77777777" w:rsidR="00156FDC" w:rsidRPr="005050F3" w:rsidRDefault="00156FDC" w:rsidP="0077067A">
            <w:pPr>
              <w:pStyle w:val="ARtabletextright"/>
              <w:spacing w:before="50" w:after="30"/>
            </w:pPr>
            <w:r w:rsidRPr="005050F3">
              <w:t>1</w:t>
            </w:r>
          </w:p>
        </w:tc>
        <w:tc>
          <w:tcPr>
            <w:tcW w:w="836" w:type="dxa"/>
            <w:noWrap/>
            <w:hideMark/>
          </w:tcPr>
          <w:p w14:paraId="47C6DEC1"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335C7000"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7C417A53" w14:textId="77777777" w:rsidR="00156FDC" w:rsidRPr="005050F3" w:rsidRDefault="00156FDC" w:rsidP="0077067A">
            <w:pPr>
              <w:pStyle w:val="ARtabletextright"/>
              <w:spacing w:before="50" w:after="30"/>
            </w:pPr>
            <w:r w:rsidRPr="005050F3">
              <w:t>0</w:t>
            </w:r>
          </w:p>
        </w:tc>
        <w:tc>
          <w:tcPr>
            <w:tcW w:w="836" w:type="dxa"/>
            <w:noWrap/>
            <w:hideMark/>
          </w:tcPr>
          <w:p w14:paraId="76FEC98B" w14:textId="77777777" w:rsidR="00156FDC" w:rsidRPr="005050F3" w:rsidRDefault="00156FDC" w:rsidP="0077067A">
            <w:pPr>
              <w:pStyle w:val="ARtabletextright"/>
              <w:spacing w:before="50" w:after="30"/>
            </w:pPr>
            <w:r w:rsidRPr="005050F3">
              <w:t>0</w:t>
            </w:r>
          </w:p>
        </w:tc>
        <w:tc>
          <w:tcPr>
            <w:tcW w:w="836" w:type="dxa"/>
            <w:noWrap/>
            <w:hideMark/>
          </w:tcPr>
          <w:p w14:paraId="2786E264" w14:textId="77777777" w:rsidR="00156FDC" w:rsidRPr="005050F3" w:rsidRDefault="00156FDC" w:rsidP="0077067A">
            <w:pPr>
              <w:pStyle w:val="ARtabletextright"/>
              <w:spacing w:before="50" w:after="30"/>
            </w:pPr>
            <w:r w:rsidRPr="005050F3">
              <w:t>0</w:t>
            </w:r>
          </w:p>
        </w:tc>
        <w:tc>
          <w:tcPr>
            <w:tcW w:w="836" w:type="dxa"/>
            <w:noWrap/>
            <w:hideMark/>
          </w:tcPr>
          <w:p w14:paraId="7CA7EAC5" w14:textId="77777777" w:rsidR="00156FDC" w:rsidRPr="005050F3" w:rsidRDefault="00156FDC" w:rsidP="0077067A">
            <w:pPr>
              <w:pStyle w:val="ARtabletextright"/>
              <w:spacing w:before="50" w:after="30"/>
            </w:pPr>
            <w:r w:rsidRPr="005050F3">
              <w:t>0</w:t>
            </w:r>
          </w:p>
        </w:tc>
      </w:tr>
      <w:tr w:rsidR="00156FDC" w:rsidRPr="005050F3" w14:paraId="75E6FF9E" w14:textId="77777777" w:rsidTr="0077067A">
        <w:trPr>
          <w:cantSplit w:val="0"/>
          <w:trHeight w:val="255"/>
        </w:trPr>
        <w:tc>
          <w:tcPr>
            <w:tcW w:w="3969" w:type="dxa"/>
            <w:noWrap/>
            <w:hideMark/>
          </w:tcPr>
          <w:p w14:paraId="35471582" w14:textId="77777777" w:rsidR="00156FDC" w:rsidRPr="005050F3" w:rsidRDefault="00156FDC" w:rsidP="0077067A">
            <w:pPr>
              <w:pStyle w:val="ARtabletext"/>
              <w:spacing w:before="50" w:after="30"/>
            </w:pPr>
            <w:r w:rsidRPr="005050F3">
              <w:t>Austin Health</w:t>
            </w:r>
          </w:p>
        </w:tc>
        <w:tc>
          <w:tcPr>
            <w:tcW w:w="836" w:type="dxa"/>
            <w:noWrap/>
            <w:hideMark/>
          </w:tcPr>
          <w:p w14:paraId="0310F5D8" w14:textId="77777777" w:rsidR="00156FDC" w:rsidRPr="005050F3" w:rsidRDefault="00156FDC" w:rsidP="0077067A">
            <w:pPr>
              <w:pStyle w:val="ARtabletextright"/>
              <w:spacing w:before="50" w:after="30"/>
            </w:pPr>
            <w:r w:rsidRPr="005050F3">
              <w:t>5</w:t>
            </w:r>
          </w:p>
        </w:tc>
        <w:tc>
          <w:tcPr>
            <w:tcW w:w="836" w:type="dxa"/>
            <w:noWrap/>
            <w:hideMark/>
          </w:tcPr>
          <w:p w14:paraId="3CB41C3C" w14:textId="77777777" w:rsidR="00156FDC" w:rsidRPr="005050F3" w:rsidRDefault="00156FDC" w:rsidP="0077067A">
            <w:pPr>
              <w:pStyle w:val="ARtabletextright"/>
              <w:spacing w:before="50" w:after="30"/>
            </w:pPr>
            <w:r w:rsidRPr="005050F3">
              <w:t>4</w:t>
            </w:r>
          </w:p>
        </w:tc>
        <w:tc>
          <w:tcPr>
            <w:tcW w:w="836" w:type="dxa"/>
            <w:tcBorders>
              <w:top w:val="single" w:sz="4" w:space="0" w:color="auto"/>
            </w:tcBorders>
            <w:noWrap/>
            <w:hideMark/>
          </w:tcPr>
          <w:p w14:paraId="64AC0F8D"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37DD7854" w14:textId="77777777" w:rsidR="00156FDC" w:rsidRPr="005050F3" w:rsidRDefault="00156FDC" w:rsidP="0077067A">
            <w:pPr>
              <w:pStyle w:val="ARtabletextright"/>
              <w:spacing w:before="50" w:after="30"/>
            </w:pPr>
            <w:r w:rsidRPr="005050F3">
              <w:t>9</w:t>
            </w:r>
          </w:p>
        </w:tc>
        <w:tc>
          <w:tcPr>
            <w:tcW w:w="836" w:type="dxa"/>
            <w:tcBorders>
              <w:left w:val="single" w:sz="4" w:space="0" w:color="000000"/>
            </w:tcBorders>
            <w:noWrap/>
            <w:hideMark/>
          </w:tcPr>
          <w:p w14:paraId="465DFBC4" w14:textId="77777777" w:rsidR="00156FDC" w:rsidRPr="005050F3" w:rsidRDefault="00156FDC" w:rsidP="0077067A">
            <w:pPr>
              <w:pStyle w:val="ARtabletextright"/>
              <w:spacing w:before="50" w:after="30"/>
            </w:pPr>
            <w:r w:rsidRPr="005050F3">
              <w:t>2</w:t>
            </w:r>
          </w:p>
        </w:tc>
        <w:tc>
          <w:tcPr>
            <w:tcW w:w="836" w:type="dxa"/>
            <w:noWrap/>
            <w:hideMark/>
          </w:tcPr>
          <w:p w14:paraId="1E907276" w14:textId="77777777" w:rsidR="00156FDC" w:rsidRPr="005050F3" w:rsidRDefault="00156FDC" w:rsidP="0077067A">
            <w:pPr>
              <w:pStyle w:val="ARtabletextright"/>
              <w:spacing w:before="50" w:after="30"/>
            </w:pPr>
            <w:r w:rsidRPr="005050F3">
              <w:t>6</w:t>
            </w:r>
          </w:p>
        </w:tc>
        <w:tc>
          <w:tcPr>
            <w:tcW w:w="836" w:type="dxa"/>
            <w:noWrap/>
            <w:hideMark/>
          </w:tcPr>
          <w:p w14:paraId="2683CDB2"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976DB50" w14:textId="77777777" w:rsidR="00156FDC" w:rsidRPr="005050F3" w:rsidRDefault="00156FDC" w:rsidP="0077067A">
            <w:pPr>
              <w:pStyle w:val="ARtabletextright"/>
              <w:spacing w:before="50" w:after="30"/>
            </w:pPr>
            <w:r w:rsidRPr="005050F3">
              <w:t>8</w:t>
            </w:r>
          </w:p>
        </w:tc>
        <w:tc>
          <w:tcPr>
            <w:tcW w:w="836" w:type="dxa"/>
            <w:tcBorders>
              <w:left w:val="single" w:sz="4" w:space="0" w:color="000000"/>
            </w:tcBorders>
            <w:noWrap/>
            <w:hideMark/>
          </w:tcPr>
          <w:p w14:paraId="4FC86800" w14:textId="77777777" w:rsidR="00156FDC" w:rsidRPr="005050F3" w:rsidRDefault="00156FDC" w:rsidP="0077067A">
            <w:pPr>
              <w:pStyle w:val="ARtabletextright"/>
              <w:spacing w:before="50" w:after="30"/>
            </w:pPr>
            <w:r w:rsidRPr="005050F3">
              <w:t>3</w:t>
            </w:r>
          </w:p>
        </w:tc>
        <w:tc>
          <w:tcPr>
            <w:tcW w:w="836" w:type="dxa"/>
            <w:noWrap/>
            <w:hideMark/>
          </w:tcPr>
          <w:p w14:paraId="564A9CF8" w14:textId="5E8E2CF3" w:rsidR="00156FDC" w:rsidRPr="005050F3" w:rsidRDefault="00FA72CF" w:rsidP="0077067A">
            <w:pPr>
              <w:pStyle w:val="ARtabletextright"/>
              <w:spacing w:before="50" w:after="30"/>
            </w:pPr>
            <w:r>
              <w:t>−</w:t>
            </w:r>
            <w:r w:rsidR="00156FDC" w:rsidRPr="005050F3">
              <w:t>2</w:t>
            </w:r>
          </w:p>
        </w:tc>
        <w:tc>
          <w:tcPr>
            <w:tcW w:w="836" w:type="dxa"/>
            <w:noWrap/>
            <w:hideMark/>
          </w:tcPr>
          <w:p w14:paraId="0774AF30" w14:textId="77777777" w:rsidR="00156FDC" w:rsidRPr="005050F3" w:rsidRDefault="00156FDC" w:rsidP="0077067A">
            <w:pPr>
              <w:pStyle w:val="ARtabletextright"/>
              <w:spacing w:before="50" w:after="30"/>
            </w:pPr>
            <w:r w:rsidRPr="005050F3">
              <w:t>0</w:t>
            </w:r>
          </w:p>
        </w:tc>
        <w:tc>
          <w:tcPr>
            <w:tcW w:w="836" w:type="dxa"/>
            <w:noWrap/>
            <w:hideMark/>
          </w:tcPr>
          <w:p w14:paraId="227176CB" w14:textId="77777777" w:rsidR="00156FDC" w:rsidRPr="005050F3" w:rsidRDefault="00156FDC" w:rsidP="0077067A">
            <w:pPr>
              <w:pStyle w:val="ARtabletextright"/>
              <w:spacing w:before="50" w:after="30"/>
            </w:pPr>
            <w:r w:rsidRPr="005050F3">
              <w:t>1</w:t>
            </w:r>
          </w:p>
        </w:tc>
      </w:tr>
      <w:tr w:rsidR="00156FDC" w:rsidRPr="005050F3" w14:paraId="67D965DA" w14:textId="77777777" w:rsidTr="0077067A">
        <w:trPr>
          <w:cantSplit w:val="0"/>
          <w:trHeight w:val="255"/>
        </w:trPr>
        <w:tc>
          <w:tcPr>
            <w:tcW w:w="3969" w:type="dxa"/>
            <w:noWrap/>
            <w:hideMark/>
          </w:tcPr>
          <w:p w14:paraId="39E9413E" w14:textId="77777777" w:rsidR="00156FDC" w:rsidRPr="005050F3" w:rsidRDefault="00156FDC" w:rsidP="0077067A">
            <w:pPr>
              <w:pStyle w:val="ARtabletext"/>
              <w:spacing w:before="50" w:after="30"/>
            </w:pPr>
            <w:r w:rsidRPr="005050F3">
              <w:t>Bairnsdale Regional Health Service</w:t>
            </w:r>
          </w:p>
        </w:tc>
        <w:tc>
          <w:tcPr>
            <w:tcW w:w="836" w:type="dxa"/>
            <w:noWrap/>
            <w:hideMark/>
          </w:tcPr>
          <w:p w14:paraId="4478B021" w14:textId="77777777" w:rsidR="00156FDC" w:rsidRPr="005050F3" w:rsidRDefault="00156FDC" w:rsidP="0077067A">
            <w:pPr>
              <w:pStyle w:val="ARtabletextright"/>
              <w:spacing w:before="50" w:after="30"/>
            </w:pPr>
            <w:r w:rsidRPr="005050F3">
              <w:t>1</w:t>
            </w:r>
          </w:p>
        </w:tc>
        <w:tc>
          <w:tcPr>
            <w:tcW w:w="836" w:type="dxa"/>
            <w:noWrap/>
            <w:hideMark/>
          </w:tcPr>
          <w:p w14:paraId="6509BC33"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4185E50B"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48B09BC8" w14:textId="77777777" w:rsidR="00156FDC" w:rsidRPr="005050F3" w:rsidRDefault="00156FDC" w:rsidP="0077067A">
            <w:pPr>
              <w:pStyle w:val="ARtabletextright"/>
              <w:spacing w:before="50" w:after="30"/>
            </w:pPr>
            <w:r w:rsidRPr="005050F3">
              <w:t>2</w:t>
            </w:r>
          </w:p>
        </w:tc>
        <w:tc>
          <w:tcPr>
            <w:tcW w:w="836" w:type="dxa"/>
            <w:tcBorders>
              <w:left w:val="single" w:sz="4" w:space="0" w:color="000000"/>
            </w:tcBorders>
            <w:noWrap/>
            <w:hideMark/>
          </w:tcPr>
          <w:p w14:paraId="3A5517C1" w14:textId="77777777" w:rsidR="00156FDC" w:rsidRPr="005050F3" w:rsidRDefault="00156FDC" w:rsidP="0077067A">
            <w:pPr>
              <w:pStyle w:val="ARtabletextright"/>
              <w:spacing w:before="50" w:after="30"/>
            </w:pPr>
            <w:r w:rsidRPr="005050F3">
              <w:t>2</w:t>
            </w:r>
          </w:p>
        </w:tc>
        <w:tc>
          <w:tcPr>
            <w:tcW w:w="836" w:type="dxa"/>
            <w:noWrap/>
            <w:hideMark/>
          </w:tcPr>
          <w:p w14:paraId="6D7D279E" w14:textId="77777777" w:rsidR="00156FDC" w:rsidRPr="005050F3" w:rsidRDefault="00156FDC" w:rsidP="0077067A">
            <w:pPr>
              <w:pStyle w:val="ARtabletextright"/>
              <w:spacing w:before="50" w:after="30"/>
            </w:pPr>
            <w:r w:rsidRPr="005050F3">
              <w:t>1</w:t>
            </w:r>
          </w:p>
        </w:tc>
        <w:tc>
          <w:tcPr>
            <w:tcW w:w="836" w:type="dxa"/>
            <w:noWrap/>
            <w:hideMark/>
          </w:tcPr>
          <w:p w14:paraId="7565D6CD"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EEE60CB" w14:textId="77777777" w:rsidR="00156FDC" w:rsidRPr="005050F3" w:rsidRDefault="00156FDC" w:rsidP="0077067A">
            <w:pPr>
              <w:pStyle w:val="ARtabletextright"/>
              <w:spacing w:before="50" w:after="30"/>
            </w:pPr>
            <w:r w:rsidRPr="005050F3">
              <w:t>3</w:t>
            </w:r>
          </w:p>
        </w:tc>
        <w:tc>
          <w:tcPr>
            <w:tcW w:w="836" w:type="dxa"/>
            <w:tcBorders>
              <w:left w:val="single" w:sz="4" w:space="0" w:color="000000"/>
            </w:tcBorders>
            <w:noWrap/>
            <w:hideMark/>
          </w:tcPr>
          <w:p w14:paraId="7A04425B" w14:textId="56CF122D" w:rsidR="00156FDC" w:rsidRPr="005050F3" w:rsidRDefault="00FA72CF" w:rsidP="0077067A">
            <w:pPr>
              <w:pStyle w:val="ARtabletextright"/>
              <w:spacing w:before="50" w:after="30"/>
            </w:pPr>
            <w:r>
              <w:t>−</w:t>
            </w:r>
            <w:r w:rsidR="00156FDC" w:rsidRPr="005050F3">
              <w:t>1</w:t>
            </w:r>
          </w:p>
        </w:tc>
        <w:tc>
          <w:tcPr>
            <w:tcW w:w="836" w:type="dxa"/>
            <w:noWrap/>
            <w:hideMark/>
          </w:tcPr>
          <w:p w14:paraId="10728B82" w14:textId="77777777" w:rsidR="00156FDC" w:rsidRPr="005050F3" w:rsidRDefault="00156FDC" w:rsidP="0077067A">
            <w:pPr>
              <w:pStyle w:val="ARtabletextright"/>
              <w:spacing w:before="50" w:after="30"/>
            </w:pPr>
            <w:r w:rsidRPr="005050F3">
              <w:t>0</w:t>
            </w:r>
          </w:p>
        </w:tc>
        <w:tc>
          <w:tcPr>
            <w:tcW w:w="836" w:type="dxa"/>
            <w:noWrap/>
            <w:hideMark/>
          </w:tcPr>
          <w:p w14:paraId="155EA3AA" w14:textId="77777777" w:rsidR="00156FDC" w:rsidRPr="005050F3" w:rsidRDefault="00156FDC" w:rsidP="0077067A">
            <w:pPr>
              <w:pStyle w:val="ARtabletextright"/>
              <w:spacing w:before="50" w:after="30"/>
            </w:pPr>
            <w:r w:rsidRPr="005050F3">
              <w:t>0</w:t>
            </w:r>
          </w:p>
        </w:tc>
        <w:tc>
          <w:tcPr>
            <w:tcW w:w="836" w:type="dxa"/>
            <w:noWrap/>
            <w:hideMark/>
          </w:tcPr>
          <w:p w14:paraId="6AB97564" w14:textId="54E88BD6" w:rsidR="00156FDC" w:rsidRPr="005050F3" w:rsidRDefault="00FA72CF" w:rsidP="0077067A">
            <w:pPr>
              <w:pStyle w:val="ARtabletextright"/>
              <w:spacing w:before="50" w:after="30"/>
            </w:pPr>
            <w:r>
              <w:t>−</w:t>
            </w:r>
            <w:r w:rsidR="00156FDC" w:rsidRPr="005050F3">
              <w:t>1</w:t>
            </w:r>
          </w:p>
        </w:tc>
      </w:tr>
      <w:tr w:rsidR="00156FDC" w:rsidRPr="005050F3" w14:paraId="025CDEB0" w14:textId="77777777" w:rsidTr="0077067A">
        <w:trPr>
          <w:cantSplit w:val="0"/>
          <w:trHeight w:val="255"/>
        </w:trPr>
        <w:tc>
          <w:tcPr>
            <w:tcW w:w="3969" w:type="dxa"/>
            <w:noWrap/>
            <w:hideMark/>
          </w:tcPr>
          <w:p w14:paraId="1A2544F3" w14:textId="77777777" w:rsidR="00156FDC" w:rsidRPr="005050F3" w:rsidRDefault="00156FDC" w:rsidP="0077067A">
            <w:pPr>
              <w:pStyle w:val="ARtabletext"/>
              <w:spacing w:before="50" w:after="30"/>
            </w:pPr>
            <w:r w:rsidRPr="005050F3">
              <w:t>Barwon Health</w:t>
            </w:r>
          </w:p>
        </w:tc>
        <w:tc>
          <w:tcPr>
            <w:tcW w:w="836" w:type="dxa"/>
            <w:noWrap/>
            <w:hideMark/>
          </w:tcPr>
          <w:p w14:paraId="22D2CF35" w14:textId="77777777" w:rsidR="00156FDC" w:rsidRPr="005050F3" w:rsidRDefault="00156FDC" w:rsidP="0077067A">
            <w:pPr>
              <w:pStyle w:val="ARtabletextright"/>
              <w:spacing w:before="50" w:after="30"/>
            </w:pPr>
            <w:r w:rsidRPr="005050F3">
              <w:t>6</w:t>
            </w:r>
          </w:p>
        </w:tc>
        <w:tc>
          <w:tcPr>
            <w:tcW w:w="836" w:type="dxa"/>
            <w:noWrap/>
            <w:hideMark/>
          </w:tcPr>
          <w:p w14:paraId="0C63EF30" w14:textId="77777777" w:rsidR="00156FDC" w:rsidRPr="005050F3" w:rsidRDefault="00156FDC" w:rsidP="0077067A">
            <w:pPr>
              <w:pStyle w:val="ARtabletextright"/>
              <w:spacing w:before="50" w:after="30"/>
            </w:pPr>
            <w:r w:rsidRPr="005050F3">
              <w:t>3</w:t>
            </w:r>
          </w:p>
        </w:tc>
        <w:tc>
          <w:tcPr>
            <w:tcW w:w="836" w:type="dxa"/>
            <w:tcBorders>
              <w:top w:val="single" w:sz="4" w:space="0" w:color="auto"/>
            </w:tcBorders>
            <w:noWrap/>
            <w:hideMark/>
          </w:tcPr>
          <w:p w14:paraId="70DBAA20"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361A757A" w14:textId="77777777" w:rsidR="00156FDC" w:rsidRPr="005050F3" w:rsidRDefault="00156FDC" w:rsidP="0077067A">
            <w:pPr>
              <w:pStyle w:val="ARtabletextright"/>
              <w:spacing w:before="50" w:after="30"/>
            </w:pPr>
            <w:r w:rsidRPr="005050F3">
              <w:t>9</w:t>
            </w:r>
          </w:p>
        </w:tc>
        <w:tc>
          <w:tcPr>
            <w:tcW w:w="836" w:type="dxa"/>
            <w:tcBorders>
              <w:left w:val="single" w:sz="4" w:space="0" w:color="000000"/>
            </w:tcBorders>
            <w:noWrap/>
            <w:hideMark/>
          </w:tcPr>
          <w:p w14:paraId="301999B8" w14:textId="77777777" w:rsidR="00156FDC" w:rsidRPr="005050F3" w:rsidRDefault="00156FDC" w:rsidP="0077067A">
            <w:pPr>
              <w:pStyle w:val="ARtabletextright"/>
              <w:spacing w:before="50" w:after="30"/>
            </w:pPr>
            <w:r w:rsidRPr="005050F3">
              <w:t>5</w:t>
            </w:r>
          </w:p>
        </w:tc>
        <w:tc>
          <w:tcPr>
            <w:tcW w:w="836" w:type="dxa"/>
            <w:noWrap/>
            <w:hideMark/>
          </w:tcPr>
          <w:p w14:paraId="612AFDDC" w14:textId="77777777" w:rsidR="00156FDC" w:rsidRPr="005050F3" w:rsidRDefault="00156FDC" w:rsidP="0077067A">
            <w:pPr>
              <w:pStyle w:val="ARtabletextright"/>
              <w:spacing w:before="50" w:after="30"/>
            </w:pPr>
            <w:r w:rsidRPr="005050F3">
              <w:t>3</w:t>
            </w:r>
          </w:p>
        </w:tc>
        <w:tc>
          <w:tcPr>
            <w:tcW w:w="836" w:type="dxa"/>
            <w:noWrap/>
            <w:hideMark/>
          </w:tcPr>
          <w:p w14:paraId="4959CED7"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560F9DB" w14:textId="77777777" w:rsidR="00156FDC" w:rsidRPr="005050F3" w:rsidRDefault="00156FDC" w:rsidP="0077067A">
            <w:pPr>
              <w:pStyle w:val="ARtabletextright"/>
              <w:spacing w:before="50" w:after="30"/>
            </w:pPr>
            <w:r w:rsidRPr="005050F3">
              <w:t>8</w:t>
            </w:r>
          </w:p>
        </w:tc>
        <w:tc>
          <w:tcPr>
            <w:tcW w:w="836" w:type="dxa"/>
            <w:tcBorders>
              <w:left w:val="single" w:sz="4" w:space="0" w:color="000000"/>
            </w:tcBorders>
            <w:noWrap/>
            <w:hideMark/>
          </w:tcPr>
          <w:p w14:paraId="445E01AD" w14:textId="77777777" w:rsidR="00156FDC" w:rsidRPr="005050F3" w:rsidRDefault="00156FDC" w:rsidP="0077067A">
            <w:pPr>
              <w:pStyle w:val="ARtabletextright"/>
              <w:spacing w:before="50" w:after="30"/>
            </w:pPr>
            <w:r w:rsidRPr="005050F3">
              <w:t>1</w:t>
            </w:r>
          </w:p>
        </w:tc>
        <w:tc>
          <w:tcPr>
            <w:tcW w:w="836" w:type="dxa"/>
            <w:noWrap/>
            <w:hideMark/>
          </w:tcPr>
          <w:p w14:paraId="65732FC0" w14:textId="77777777" w:rsidR="00156FDC" w:rsidRPr="005050F3" w:rsidRDefault="00156FDC" w:rsidP="0077067A">
            <w:pPr>
              <w:pStyle w:val="ARtabletextright"/>
              <w:spacing w:before="50" w:after="30"/>
            </w:pPr>
            <w:r w:rsidRPr="005050F3">
              <w:t>0</w:t>
            </w:r>
          </w:p>
        </w:tc>
        <w:tc>
          <w:tcPr>
            <w:tcW w:w="836" w:type="dxa"/>
            <w:noWrap/>
            <w:hideMark/>
          </w:tcPr>
          <w:p w14:paraId="0EFBB3CB" w14:textId="77777777" w:rsidR="00156FDC" w:rsidRPr="005050F3" w:rsidRDefault="00156FDC" w:rsidP="0077067A">
            <w:pPr>
              <w:pStyle w:val="ARtabletextright"/>
              <w:spacing w:before="50" w:after="30"/>
            </w:pPr>
            <w:r w:rsidRPr="005050F3">
              <w:t>0</w:t>
            </w:r>
          </w:p>
        </w:tc>
        <w:tc>
          <w:tcPr>
            <w:tcW w:w="836" w:type="dxa"/>
            <w:noWrap/>
            <w:hideMark/>
          </w:tcPr>
          <w:p w14:paraId="692D1A75" w14:textId="77777777" w:rsidR="00156FDC" w:rsidRPr="005050F3" w:rsidRDefault="00156FDC" w:rsidP="0077067A">
            <w:pPr>
              <w:pStyle w:val="ARtabletextright"/>
              <w:spacing w:before="50" w:after="30"/>
            </w:pPr>
            <w:r w:rsidRPr="005050F3">
              <w:t>1</w:t>
            </w:r>
          </w:p>
        </w:tc>
      </w:tr>
      <w:tr w:rsidR="00156FDC" w:rsidRPr="005050F3" w14:paraId="2DDE043D" w14:textId="77777777" w:rsidTr="0077067A">
        <w:trPr>
          <w:cantSplit w:val="0"/>
          <w:trHeight w:val="255"/>
        </w:trPr>
        <w:tc>
          <w:tcPr>
            <w:tcW w:w="3969" w:type="dxa"/>
            <w:noWrap/>
            <w:hideMark/>
          </w:tcPr>
          <w:p w14:paraId="3FD7B3CB" w14:textId="77777777" w:rsidR="00156FDC" w:rsidRPr="005050F3" w:rsidRDefault="00156FDC" w:rsidP="0077067A">
            <w:pPr>
              <w:pStyle w:val="ARtabletext"/>
              <w:spacing w:before="50" w:after="30"/>
            </w:pPr>
            <w:r w:rsidRPr="005050F3">
              <w:t>Bass Coast Health</w:t>
            </w:r>
          </w:p>
        </w:tc>
        <w:tc>
          <w:tcPr>
            <w:tcW w:w="836" w:type="dxa"/>
            <w:noWrap/>
            <w:hideMark/>
          </w:tcPr>
          <w:p w14:paraId="511952E1" w14:textId="77777777" w:rsidR="00156FDC" w:rsidRPr="005050F3" w:rsidRDefault="00156FDC" w:rsidP="0077067A">
            <w:pPr>
              <w:pStyle w:val="ARtabletextright"/>
              <w:spacing w:before="50" w:after="30"/>
            </w:pPr>
            <w:r w:rsidRPr="005050F3">
              <w:t>2</w:t>
            </w:r>
          </w:p>
        </w:tc>
        <w:tc>
          <w:tcPr>
            <w:tcW w:w="836" w:type="dxa"/>
            <w:noWrap/>
            <w:hideMark/>
          </w:tcPr>
          <w:p w14:paraId="538D744E"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74B3A3C2"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A9E37FF" w14:textId="77777777" w:rsidR="00156FDC" w:rsidRPr="005050F3" w:rsidRDefault="00156FDC" w:rsidP="0077067A">
            <w:pPr>
              <w:pStyle w:val="ARtabletextright"/>
              <w:spacing w:before="50" w:after="30"/>
            </w:pPr>
            <w:r w:rsidRPr="005050F3">
              <w:t>3</w:t>
            </w:r>
          </w:p>
        </w:tc>
        <w:tc>
          <w:tcPr>
            <w:tcW w:w="836" w:type="dxa"/>
            <w:tcBorders>
              <w:left w:val="single" w:sz="4" w:space="0" w:color="000000"/>
            </w:tcBorders>
            <w:noWrap/>
            <w:hideMark/>
          </w:tcPr>
          <w:p w14:paraId="12D7087B" w14:textId="77777777" w:rsidR="00156FDC" w:rsidRPr="005050F3" w:rsidRDefault="00156FDC" w:rsidP="0077067A">
            <w:pPr>
              <w:pStyle w:val="ARtabletextright"/>
              <w:spacing w:before="50" w:after="30"/>
            </w:pPr>
            <w:r w:rsidRPr="005050F3">
              <w:t>2</w:t>
            </w:r>
          </w:p>
        </w:tc>
        <w:tc>
          <w:tcPr>
            <w:tcW w:w="836" w:type="dxa"/>
            <w:noWrap/>
            <w:hideMark/>
          </w:tcPr>
          <w:p w14:paraId="5E6D1E2A" w14:textId="77777777" w:rsidR="00156FDC" w:rsidRPr="005050F3" w:rsidRDefault="00156FDC" w:rsidP="0077067A">
            <w:pPr>
              <w:pStyle w:val="ARtabletextright"/>
              <w:spacing w:before="50" w:after="30"/>
            </w:pPr>
            <w:r w:rsidRPr="005050F3">
              <w:t>0</w:t>
            </w:r>
          </w:p>
        </w:tc>
        <w:tc>
          <w:tcPr>
            <w:tcW w:w="836" w:type="dxa"/>
            <w:noWrap/>
            <w:hideMark/>
          </w:tcPr>
          <w:p w14:paraId="1B2B160A"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EF93CDF" w14:textId="77777777" w:rsidR="00156FDC" w:rsidRPr="005050F3" w:rsidRDefault="00156FDC" w:rsidP="0077067A">
            <w:pPr>
              <w:pStyle w:val="ARtabletextright"/>
              <w:spacing w:before="50" w:after="30"/>
            </w:pPr>
            <w:r w:rsidRPr="005050F3">
              <w:t>2</w:t>
            </w:r>
          </w:p>
        </w:tc>
        <w:tc>
          <w:tcPr>
            <w:tcW w:w="836" w:type="dxa"/>
            <w:tcBorders>
              <w:left w:val="single" w:sz="4" w:space="0" w:color="000000"/>
            </w:tcBorders>
            <w:noWrap/>
            <w:hideMark/>
          </w:tcPr>
          <w:p w14:paraId="1AA11C8B" w14:textId="77777777" w:rsidR="00156FDC" w:rsidRPr="005050F3" w:rsidRDefault="00156FDC" w:rsidP="0077067A">
            <w:pPr>
              <w:pStyle w:val="ARtabletextright"/>
              <w:spacing w:before="50" w:after="30"/>
            </w:pPr>
            <w:r w:rsidRPr="005050F3">
              <w:t>0</w:t>
            </w:r>
          </w:p>
        </w:tc>
        <w:tc>
          <w:tcPr>
            <w:tcW w:w="836" w:type="dxa"/>
            <w:noWrap/>
            <w:hideMark/>
          </w:tcPr>
          <w:p w14:paraId="31D0B8B2" w14:textId="77777777" w:rsidR="00156FDC" w:rsidRPr="005050F3" w:rsidRDefault="00156FDC" w:rsidP="0077067A">
            <w:pPr>
              <w:pStyle w:val="ARtabletextright"/>
              <w:spacing w:before="50" w:after="30"/>
            </w:pPr>
            <w:r w:rsidRPr="005050F3">
              <w:t>1</w:t>
            </w:r>
          </w:p>
        </w:tc>
        <w:tc>
          <w:tcPr>
            <w:tcW w:w="836" w:type="dxa"/>
            <w:noWrap/>
            <w:hideMark/>
          </w:tcPr>
          <w:p w14:paraId="2F4A40FC" w14:textId="77777777" w:rsidR="00156FDC" w:rsidRPr="005050F3" w:rsidRDefault="00156FDC" w:rsidP="0077067A">
            <w:pPr>
              <w:pStyle w:val="ARtabletextright"/>
              <w:spacing w:before="50" w:after="30"/>
            </w:pPr>
            <w:r w:rsidRPr="005050F3">
              <w:t>0</w:t>
            </w:r>
          </w:p>
        </w:tc>
        <w:tc>
          <w:tcPr>
            <w:tcW w:w="836" w:type="dxa"/>
            <w:noWrap/>
            <w:hideMark/>
          </w:tcPr>
          <w:p w14:paraId="4EABBF7D" w14:textId="77777777" w:rsidR="00156FDC" w:rsidRPr="005050F3" w:rsidRDefault="00156FDC" w:rsidP="0077067A">
            <w:pPr>
              <w:pStyle w:val="ARtabletextright"/>
              <w:spacing w:before="50" w:after="30"/>
            </w:pPr>
            <w:r w:rsidRPr="005050F3">
              <w:t>1</w:t>
            </w:r>
          </w:p>
        </w:tc>
      </w:tr>
      <w:tr w:rsidR="00156FDC" w:rsidRPr="005050F3" w14:paraId="62EA91B0" w14:textId="77777777" w:rsidTr="0077067A">
        <w:trPr>
          <w:cantSplit w:val="0"/>
          <w:trHeight w:val="255"/>
        </w:trPr>
        <w:tc>
          <w:tcPr>
            <w:tcW w:w="3969" w:type="dxa"/>
            <w:noWrap/>
            <w:hideMark/>
          </w:tcPr>
          <w:p w14:paraId="39556C3B" w14:textId="77777777" w:rsidR="00156FDC" w:rsidRPr="005050F3" w:rsidRDefault="00156FDC" w:rsidP="0077067A">
            <w:pPr>
              <w:pStyle w:val="ARtabletext"/>
              <w:spacing w:before="50" w:after="30"/>
            </w:pPr>
            <w:r w:rsidRPr="005050F3">
              <w:t>Beaufort and Skipton Health Service</w:t>
            </w:r>
          </w:p>
        </w:tc>
        <w:tc>
          <w:tcPr>
            <w:tcW w:w="836" w:type="dxa"/>
            <w:noWrap/>
            <w:hideMark/>
          </w:tcPr>
          <w:p w14:paraId="1D25E5A2" w14:textId="77777777" w:rsidR="00156FDC" w:rsidRPr="005050F3" w:rsidRDefault="00156FDC" w:rsidP="0077067A">
            <w:pPr>
              <w:pStyle w:val="ARtabletextright"/>
              <w:spacing w:before="50" w:after="30"/>
            </w:pPr>
            <w:r w:rsidRPr="005050F3">
              <w:t>1</w:t>
            </w:r>
          </w:p>
        </w:tc>
        <w:tc>
          <w:tcPr>
            <w:tcW w:w="836" w:type="dxa"/>
            <w:noWrap/>
            <w:hideMark/>
          </w:tcPr>
          <w:p w14:paraId="51E7354B"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2DF455FD"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193994A"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666C5F35" w14:textId="77777777" w:rsidR="00156FDC" w:rsidRPr="005050F3" w:rsidRDefault="00156FDC" w:rsidP="0077067A">
            <w:pPr>
              <w:pStyle w:val="ARtabletextright"/>
              <w:spacing w:before="50" w:after="30"/>
            </w:pPr>
            <w:r w:rsidRPr="005050F3">
              <w:t>1</w:t>
            </w:r>
          </w:p>
        </w:tc>
        <w:tc>
          <w:tcPr>
            <w:tcW w:w="836" w:type="dxa"/>
            <w:noWrap/>
            <w:hideMark/>
          </w:tcPr>
          <w:p w14:paraId="668D5E5A" w14:textId="77777777" w:rsidR="00156FDC" w:rsidRPr="005050F3" w:rsidRDefault="00156FDC" w:rsidP="0077067A">
            <w:pPr>
              <w:pStyle w:val="ARtabletextright"/>
              <w:spacing w:before="50" w:after="30"/>
            </w:pPr>
            <w:r w:rsidRPr="005050F3">
              <w:t>0</w:t>
            </w:r>
          </w:p>
        </w:tc>
        <w:tc>
          <w:tcPr>
            <w:tcW w:w="836" w:type="dxa"/>
            <w:noWrap/>
            <w:hideMark/>
          </w:tcPr>
          <w:p w14:paraId="58698453"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630657FD"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056A7E13" w14:textId="77777777" w:rsidR="00156FDC" w:rsidRPr="005050F3" w:rsidRDefault="00156FDC" w:rsidP="0077067A">
            <w:pPr>
              <w:pStyle w:val="ARtabletextright"/>
              <w:spacing w:before="50" w:after="30"/>
            </w:pPr>
            <w:r w:rsidRPr="005050F3">
              <w:t>0</w:t>
            </w:r>
          </w:p>
        </w:tc>
        <w:tc>
          <w:tcPr>
            <w:tcW w:w="836" w:type="dxa"/>
            <w:noWrap/>
            <w:hideMark/>
          </w:tcPr>
          <w:p w14:paraId="6173475D" w14:textId="77777777" w:rsidR="00156FDC" w:rsidRPr="005050F3" w:rsidRDefault="00156FDC" w:rsidP="0077067A">
            <w:pPr>
              <w:pStyle w:val="ARtabletextright"/>
              <w:spacing w:before="50" w:after="30"/>
            </w:pPr>
            <w:r w:rsidRPr="005050F3">
              <w:t>0</w:t>
            </w:r>
          </w:p>
        </w:tc>
        <w:tc>
          <w:tcPr>
            <w:tcW w:w="836" w:type="dxa"/>
            <w:noWrap/>
            <w:hideMark/>
          </w:tcPr>
          <w:p w14:paraId="1E8597EC" w14:textId="77777777" w:rsidR="00156FDC" w:rsidRPr="005050F3" w:rsidRDefault="00156FDC" w:rsidP="0077067A">
            <w:pPr>
              <w:pStyle w:val="ARtabletextright"/>
              <w:spacing w:before="50" w:after="30"/>
            </w:pPr>
            <w:r w:rsidRPr="005050F3">
              <w:t>0</w:t>
            </w:r>
          </w:p>
        </w:tc>
        <w:tc>
          <w:tcPr>
            <w:tcW w:w="836" w:type="dxa"/>
            <w:noWrap/>
            <w:hideMark/>
          </w:tcPr>
          <w:p w14:paraId="06220A1C" w14:textId="77777777" w:rsidR="00156FDC" w:rsidRPr="005050F3" w:rsidRDefault="00156FDC" w:rsidP="0077067A">
            <w:pPr>
              <w:pStyle w:val="ARtabletextright"/>
              <w:spacing w:before="50" w:after="30"/>
            </w:pPr>
            <w:r w:rsidRPr="005050F3">
              <w:t>0</w:t>
            </w:r>
          </w:p>
        </w:tc>
      </w:tr>
      <w:tr w:rsidR="00156FDC" w:rsidRPr="005050F3" w14:paraId="4D9D3E7F" w14:textId="77777777" w:rsidTr="0077067A">
        <w:trPr>
          <w:cantSplit w:val="0"/>
          <w:trHeight w:val="255"/>
        </w:trPr>
        <w:tc>
          <w:tcPr>
            <w:tcW w:w="3969" w:type="dxa"/>
            <w:noWrap/>
            <w:hideMark/>
          </w:tcPr>
          <w:p w14:paraId="5BE3EBA5" w14:textId="77777777" w:rsidR="00156FDC" w:rsidRPr="005050F3" w:rsidRDefault="00156FDC" w:rsidP="0077067A">
            <w:pPr>
              <w:pStyle w:val="ARtabletext"/>
              <w:spacing w:before="50" w:after="30"/>
            </w:pPr>
            <w:r w:rsidRPr="005050F3">
              <w:t>Beechworth Health Service</w:t>
            </w:r>
          </w:p>
        </w:tc>
        <w:tc>
          <w:tcPr>
            <w:tcW w:w="836" w:type="dxa"/>
            <w:noWrap/>
            <w:hideMark/>
          </w:tcPr>
          <w:p w14:paraId="51D4098F" w14:textId="77777777" w:rsidR="00156FDC" w:rsidRPr="005050F3" w:rsidRDefault="00156FDC" w:rsidP="0077067A">
            <w:pPr>
              <w:pStyle w:val="ARtabletextright"/>
              <w:spacing w:before="50" w:after="30"/>
            </w:pPr>
            <w:r w:rsidRPr="005050F3">
              <w:t>0</w:t>
            </w:r>
          </w:p>
        </w:tc>
        <w:tc>
          <w:tcPr>
            <w:tcW w:w="836" w:type="dxa"/>
            <w:noWrap/>
            <w:hideMark/>
          </w:tcPr>
          <w:p w14:paraId="4E7F8D03"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0E5192AC"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6A747725"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110BBC28" w14:textId="77777777" w:rsidR="00156FDC" w:rsidRPr="005050F3" w:rsidRDefault="00156FDC" w:rsidP="0077067A">
            <w:pPr>
              <w:pStyle w:val="ARtabletextright"/>
              <w:spacing w:before="50" w:after="30"/>
            </w:pPr>
            <w:r w:rsidRPr="005050F3">
              <w:t>0</w:t>
            </w:r>
          </w:p>
        </w:tc>
        <w:tc>
          <w:tcPr>
            <w:tcW w:w="836" w:type="dxa"/>
            <w:noWrap/>
            <w:hideMark/>
          </w:tcPr>
          <w:p w14:paraId="0A3E0BB9" w14:textId="77777777" w:rsidR="00156FDC" w:rsidRPr="005050F3" w:rsidRDefault="00156FDC" w:rsidP="0077067A">
            <w:pPr>
              <w:pStyle w:val="ARtabletextright"/>
              <w:spacing w:before="50" w:after="30"/>
            </w:pPr>
            <w:r w:rsidRPr="005050F3">
              <w:t>1</w:t>
            </w:r>
          </w:p>
        </w:tc>
        <w:tc>
          <w:tcPr>
            <w:tcW w:w="836" w:type="dxa"/>
            <w:noWrap/>
            <w:hideMark/>
          </w:tcPr>
          <w:p w14:paraId="09546CBC"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06DC2870"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470816BF" w14:textId="77777777" w:rsidR="00156FDC" w:rsidRPr="005050F3" w:rsidRDefault="00156FDC" w:rsidP="0077067A">
            <w:pPr>
              <w:pStyle w:val="ARtabletextright"/>
              <w:spacing w:before="50" w:after="30"/>
            </w:pPr>
            <w:r w:rsidRPr="005050F3">
              <w:t>0</w:t>
            </w:r>
          </w:p>
        </w:tc>
        <w:tc>
          <w:tcPr>
            <w:tcW w:w="836" w:type="dxa"/>
            <w:noWrap/>
            <w:hideMark/>
          </w:tcPr>
          <w:p w14:paraId="1C5D70DC" w14:textId="77777777" w:rsidR="00156FDC" w:rsidRPr="005050F3" w:rsidRDefault="00156FDC" w:rsidP="0077067A">
            <w:pPr>
              <w:pStyle w:val="ARtabletextright"/>
              <w:spacing w:before="50" w:after="30"/>
            </w:pPr>
            <w:r w:rsidRPr="005050F3">
              <w:t>0</w:t>
            </w:r>
          </w:p>
        </w:tc>
        <w:tc>
          <w:tcPr>
            <w:tcW w:w="836" w:type="dxa"/>
            <w:noWrap/>
            <w:hideMark/>
          </w:tcPr>
          <w:p w14:paraId="47BF68BC" w14:textId="77777777" w:rsidR="00156FDC" w:rsidRPr="005050F3" w:rsidRDefault="00156FDC" w:rsidP="0077067A">
            <w:pPr>
              <w:pStyle w:val="ARtabletextright"/>
              <w:spacing w:before="50" w:after="30"/>
            </w:pPr>
            <w:r w:rsidRPr="005050F3">
              <w:t>0</w:t>
            </w:r>
          </w:p>
        </w:tc>
        <w:tc>
          <w:tcPr>
            <w:tcW w:w="836" w:type="dxa"/>
            <w:noWrap/>
            <w:hideMark/>
          </w:tcPr>
          <w:p w14:paraId="1521D2B6" w14:textId="77777777" w:rsidR="00156FDC" w:rsidRPr="005050F3" w:rsidRDefault="00156FDC" w:rsidP="0077067A">
            <w:pPr>
              <w:pStyle w:val="ARtabletextright"/>
              <w:spacing w:before="50" w:after="30"/>
            </w:pPr>
            <w:r w:rsidRPr="005050F3">
              <w:t>0</w:t>
            </w:r>
          </w:p>
        </w:tc>
      </w:tr>
      <w:tr w:rsidR="00156FDC" w:rsidRPr="005050F3" w14:paraId="35365ECA" w14:textId="77777777" w:rsidTr="0077067A">
        <w:trPr>
          <w:cantSplit w:val="0"/>
          <w:trHeight w:val="255"/>
        </w:trPr>
        <w:tc>
          <w:tcPr>
            <w:tcW w:w="3969" w:type="dxa"/>
            <w:noWrap/>
            <w:hideMark/>
          </w:tcPr>
          <w:p w14:paraId="247378B0" w14:textId="77777777" w:rsidR="00156FDC" w:rsidRPr="005050F3" w:rsidRDefault="00156FDC" w:rsidP="0077067A">
            <w:pPr>
              <w:pStyle w:val="ARtabletext"/>
              <w:spacing w:before="50" w:after="30"/>
            </w:pPr>
            <w:r w:rsidRPr="005050F3">
              <w:t>Benalla Health</w:t>
            </w:r>
          </w:p>
        </w:tc>
        <w:tc>
          <w:tcPr>
            <w:tcW w:w="836" w:type="dxa"/>
            <w:noWrap/>
            <w:hideMark/>
          </w:tcPr>
          <w:p w14:paraId="7CE9B6A6" w14:textId="77777777" w:rsidR="00156FDC" w:rsidRPr="005050F3" w:rsidRDefault="00156FDC" w:rsidP="0077067A">
            <w:pPr>
              <w:pStyle w:val="ARtabletextright"/>
              <w:spacing w:before="50" w:after="30"/>
            </w:pPr>
            <w:r w:rsidRPr="005050F3">
              <w:t>1</w:t>
            </w:r>
          </w:p>
        </w:tc>
        <w:tc>
          <w:tcPr>
            <w:tcW w:w="836" w:type="dxa"/>
            <w:noWrap/>
            <w:hideMark/>
          </w:tcPr>
          <w:p w14:paraId="2D10FFC8"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003170B4"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03BD6317"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138F1797" w14:textId="77777777" w:rsidR="00156FDC" w:rsidRPr="005050F3" w:rsidRDefault="00156FDC" w:rsidP="0077067A">
            <w:pPr>
              <w:pStyle w:val="ARtabletextright"/>
              <w:spacing w:before="50" w:after="30"/>
            </w:pPr>
            <w:r w:rsidRPr="005050F3">
              <w:t>1</w:t>
            </w:r>
          </w:p>
        </w:tc>
        <w:tc>
          <w:tcPr>
            <w:tcW w:w="836" w:type="dxa"/>
            <w:noWrap/>
            <w:hideMark/>
          </w:tcPr>
          <w:p w14:paraId="7388C079" w14:textId="77777777" w:rsidR="00156FDC" w:rsidRPr="005050F3" w:rsidRDefault="00156FDC" w:rsidP="0077067A">
            <w:pPr>
              <w:pStyle w:val="ARtabletextright"/>
              <w:spacing w:before="50" w:after="30"/>
            </w:pPr>
            <w:r w:rsidRPr="005050F3">
              <w:t>0</w:t>
            </w:r>
          </w:p>
        </w:tc>
        <w:tc>
          <w:tcPr>
            <w:tcW w:w="836" w:type="dxa"/>
            <w:noWrap/>
            <w:hideMark/>
          </w:tcPr>
          <w:p w14:paraId="604CD9F4"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7F524EC3"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13A488FA" w14:textId="77777777" w:rsidR="00156FDC" w:rsidRPr="005050F3" w:rsidRDefault="00156FDC" w:rsidP="0077067A">
            <w:pPr>
              <w:pStyle w:val="ARtabletextright"/>
              <w:spacing w:before="50" w:after="30"/>
            </w:pPr>
            <w:r w:rsidRPr="005050F3">
              <w:t>0</w:t>
            </w:r>
          </w:p>
        </w:tc>
        <w:tc>
          <w:tcPr>
            <w:tcW w:w="836" w:type="dxa"/>
            <w:noWrap/>
            <w:hideMark/>
          </w:tcPr>
          <w:p w14:paraId="2A279525" w14:textId="77777777" w:rsidR="00156FDC" w:rsidRPr="005050F3" w:rsidRDefault="00156FDC" w:rsidP="0077067A">
            <w:pPr>
              <w:pStyle w:val="ARtabletextright"/>
              <w:spacing w:before="50" w:after="30"/>
            </w:pPr>
            <w:r w:rsidRPr="005050F3">
              <w:t>0</w:t>
            </w:r>
          </w:p>
        </w:tc>
        <w:tc>
          <w:tcPr>
            <w:tcW w:w="836" w:type="dxa"/>
            <w:noWrap/>
            <w:hideMark/>
          </w:tcPr>
          <w:p w14:paraId="4B917A5E" w14:textId="77777777" w:rsidR="00156FDC" w:rsidRPr="005050F3" w:rsidRDefault="00156FDC" w:rsidP="0077067A">
            <w:pPr>
              <w:pStyle w:val="ARtabletextright"/>
              <w:spacing w:before="50" w:after="30"/>
            </w:pPr>
            <w:r w:rsidRPr="005050F3">
              <w:t>0</w:t>
            </w:r>
          </w:p>
        </w:tc>
        <w:tc>
          <w:tcPr>
            <w:tcW w:w="836" w:type="dxa"/>
            <w:noWrap/>
            <w:hideMark/>
          </w:tcPr>
          <w:p w14:paraId="27103E65" w14:textId="77777777" w:rsidR="00156FDC" w:rsidRPr="005050F3" w:rsidRDefault="00156FDC" w:rsidP="0077067A">
            <w:pPr>
              <w:pStyle w:val="ARtabletextright"/>
              <w:spacing w:before="50" w:after="30"/>
            </w:pPr>
            <w:r w:rsidRPr="005050F3">
              <w:t>0</w:t>
            </w:r>
          </w:p>
        </w:tc>
      </w:tr>
      <w:tr w:rsidR="00156FDC" w:rsidRPr="005050F3" w14:paraId="357FB807" w14:textId="77777777" w:rsidTr="0077067A">
        <w:trPr>
          <w:cantSplit w:val="0"/>
          <w:trHeight w:val="255"/>
        </w:trPr>
        <w:tc>
          <w:tcPr>
            <w:tcW w:w="3969" w:type="dxa"/>
            <w:noWrap/>
            <w:hideMark/>
          </w:tcPr>
          <w:p w14:paraId="01DF4AC5" w14:textId="77777777" w:rsidR="00156FDC" w:rsidRPr="005050F3" w:rsidRDefault="00156FDC" w:rsidP="0077067A">
            <w:pPr>
              <w:pStyle w:val="ARtabletext"/>
              <w:spacing w:before="50" w:after="30"/>
            </w:pPr>
            <w:r w:rsidRPr="005050F3">
              <w:t>Bendigo Health Care Group</w:t>
            </w:r>
          </w:p>
        </w:tc>
        <w:tc>
          <w:tcPr>
            <w:tcW w:w="836" w:type="dxa"/>
            <w:noWrap/>
            <w:hideMark/>
          </w:tcPr>
          <w:p w14:paraId="6E4423CE" w14:textId="77777777" w:rsidR="00156FDC" w:rsidRPr="005050F3" w:rsidRDefault="00156FDC" w:rsidP="0077067A">
            <w:pPr>
              <w:pStyle w:val="ARtabletextright"/>
              <w:spacing w:before="50" w:after="30"/>
            </w:pPr>
            <w:r w:rsidRPr="005050F3">
              <w:t>1</w:t>
            </w:r>
          </w:p>
        </w:tc>
        <w:tc>
          <w:tcPr>
            <w:tcW w:w="836" w:type="dxa"/>
            <w:noWrap/>
            <w:hideMark/>
          </w:tcPr>
          <w:p w14:paraId="471E978A" w14:textId="77777777" w:rsidR="00156FDC" w:rsidRPr="005050F3" w:rsidRDefault="00156FDC" w:rsidP="0077067A">
            <w:pPr>
              <w:pStyle w:val="ARtabletextright"/>
              <w:spacing w:before="50" w:after="30"/>
            </w:pPr>
            <w:r w:rsidRPr="005050F3">
              <w:t>4</w:t>
            </w:r>
          </w:p>
        </w:tc>
        <w:tc>
          <w:tcPr>
            <w:tcW w:w="836" w:type="dxa"/>
            <w:tcBorders>
              <w:top w:val="single" w:sz="4" w:space="0" w:color="auto"/>
            </w:tcBorders>
            <w:noWrap/>
            <w:hideMark/>
          </w:tcPr>
          <w:p w14:paraId="7BA863B8"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06067AD7" w14:textId="77777777" w:rsidR="00156FDC" w:rsidRPr="005050F3" w:rsidRDefault="00156FDC" w:rsidP="0077067A">
            <w:pPr>
              <w:pStyle w:val="ARtabletextright"/>
              <w:spacing w:before="50" w:after="30"/>
            </w:pPr>
            <w:r w:rsidRPr="005050F3">
              <w:t>5</w:t>
            </w:r>
          </w:p>
        </w:tc>
        <w:tc>
          <w:tcPr>
            <w:tcW w:w="836" w:type="dxa"/>
            <w:tcBorders>
              <w:left w:val="single" w:sz="4" w:space="0" w:color="000000"/>
            </w:tcBorders>
            <w:noWrap/>
            <w:hideMark/>
          </w:tcPr>
          <w:p w14:paraId="41A33A49" w14:textId="77777777" w:rsidR="00156FDC" w:rsidRPr="005050F3" w:rsidRDefault="00156FDC" w:rsidP="0077067A">
            <w:pPr>
              <w:pStyle w:val="ARtabletextright"/>
              <w:spacing w:before="50" w:after="30"/>
            </w:pPr>
            <w:r w:rsidRPr="005050F3">
              <w:t>3</w:t>
            </w:r>
          </w:p>
        </w:tc>
        <w:tc>
          <w:tcPr>
            <w:tcW w:w="836" w:type="dxa"/>
            <w:noWrap/>
            <w:hideMark/>
          </w:tcPr>
          <w:p w14:paraId="2DFFD47E" w14:textId="77777777" w:rsidR="00156FDC" w:rsidRPr="005050F3" w:rsidRDefault="00156FDC" w:rsidP="0077067A">
            <w:pPr>
              <w:pStyle w:val="ARtabletextright"/>
              <w:spacing w:before="50" w:after="30"/>
            </w:pPr>
            <w:r w:rsidRPr="005050F3">
              <w:t>4</w:t>
            </w:r>
          </w:p>
        </w:tc>
        <w:tc>
          <w:tcPr>
            <w:tcW w:w="836" w:type="dxa"/>
            <w:noWrap/>
            <w:hideMark/>
          </w:tcPr>
          <w:p w14:paraId="4A87B4AC"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32B0E96" w14:textId="77777777" w:rsidR="00156FDC" w:rsidRPr="005050F3" w:rsidRDefault="00156FDC" w:rsidP="0077067A">
            <w:pPr>
              <w:pStyle w:val="ARtabletextright"/>
              <w:spacing w:before="50" w:after="30"/>
            </w:pPr>
            <w:r w:rsidRPr="005050F3">
              <w:t>7</w:t>
            </w:r>
          </w:p>
        </w:tc>
        <w:tc>
          <w:tcPr>
            <w:tcW w:w="836" w:type="dxa"/>
            <w:tcBorders>
              <w:left w:val="single" w:sz="4" w:space="0" w:color="000000"/>
            </w:tcBorders>
            <w:noWrap/>
            <w:hideMark/>
          </w:tcPr>
          <w:p w14:paraId="35DB841C" w14:textId="33E3C3CB" w:rsidR="00156FDC" w:rsidRPr="005050F3" w:rsidRDefault="00FA72CF" w:rsidP="0077067A">
            <w:pPr>
              <w:pStyle w:val="ARtabletextright"/>
              <w:spacing w:before="50" w:after="30"/>
            </w:pPr>
            <w:r>
              <w:t>−</w:t>
            </w:r>
            <w:r w:rsidR="00156FDC" w:rsidRPr="005050F3">
              <w:t>2</w:t>
            </w:r>
          </w:p>
        </w:tc>
        <w:tc>
          <w:tcPr>
            <w:tcW w:w="836" w:type="dxa"/>
            <w:noWrap/>
            <w:hideMark/>
          </w:tcPr>
          <w:p w14:paraId="4167E410" w14:textId="77777777" w:rsidR="00156FDC" w:rsidRPr="005050F3" w:rsidRDefault="00156FDC" w:rsidP="0077067A">
            <w:pPr>
              <w:pStyle w:val="ARtabletextright"/>
              <w:spacing w:before="50" w:after="30"/>
            </w:pPr>
            <w:r w:rsidRPr="005050F3">
              <w:t>0</w:t>
            </w:r>
          </w:p>
        </w:tc>
        <w:tc>
          <w:tcPr>
            <w:tcW w:w="836" w:type="dxa"/>
            <w:noWrap/>
            <w:hideMark/>
          </w:tcPr>
          <w:p w14:paraId="49A51500" w14:textId="77777777" w:rsidR="00156FDC" w:rsidRPr="005050F3" w:rsidRDefault="00156FDC" w:rsidP="0077067A">
            <w:pPr>
              <w:pStyle w:val="ARtabletextright"/>
              <w:spacing w:before="50" w:after="30"/>
            </w:pPr>
            <w:r w:rsidRPr="005050F3">
              <w:t>0</w:t>
            </w:r>
          </w:p>
        </w:tc>
        <w:tc>
          <w:tcPr>
            <w:tcW w:w="836" w:type="dxa"/>
            <w:noWrap/>
            <w:hideMark/>
          </w:tcPr>
          <w:p w14:paraId="5D237D03" w14:textId="45F04EAB" w:rsidR="00156FDC" w:rsidRPr="005050F3" w:rsidRDefault="00FA72CF" w:rsidP="0077067A">
            <w:pPr>
              <w:pStyle w:val="ARtabletextright"/>
              <w:spacing w:before="50" w:after="30"/>
            </w:pPr>
            <w:r>
              <w:t>−</w:t>
            </w:r>
            <w:r w:rsidR="00156FDC" w:rsidRPr="005050F3">
              <w:t>2</w:t>
            </w:r>
          </w:p>
        </w:tc>
      </w:tr>
      <w:tr w:rsidR="00156FDC" w:rsidRPr="005050F3" w14:paraId="7B4CB27D" w14:textId="77777777" w:rsidTr="0077067A">
        <w:trPr>
          <w:cantSplit w:val="0"/>
          <w:trHeight w:val="255"/>
        </w:trPr>
        <w:tc>
          <w:tcPr>
            <w:tcW w:w="3969" w:type="dxa"/>
            <w:noWrap/>
            <w:hideMark/>
          </w:tcPr>
          <w:p w14:paraId="7FC3B982" w14:textId="77777777" w:rsidR="00156FDC" w:rsidRPr="005050F3" w:rsidRDefault="00156FDC" w:rsidP="0077067A">
            <w:pPr>
              <w:pStyle w:val="ARtabletext"/>
              <w:spacing w:before="50" w:after="30"/>
            </w:pPr>
            <w:r w:rsidRPr="005050F3">
              <w:t>Boort District Health</w:t>
            </w:r>
          </w:p>
        </w:tc>
        <w:tc>
          <w:tcPr>
            <w:tcW w:w="836" w:type="dxa"/>
            <w:noWrap/>
            <w:hideMark/>
          </w:tcPr>
          <w:p w14:paraId="12B0AFAF" w14:textId="77777777" w:rsidR="00156FDC" w:rsidRPr="005050F3" w:rsidRDefault="00156FDC" w:rsidP="0077067A">
            <w:pPr>
              <w:pStyle w:val="ARtabletextright"/>
              <w:spacing w:before="50" w:after="30"/>
            </w:pPr>
            <w:r w:rsidRPr="005050F3">
              <w:t>1</w:t>
            </w:r>
          </w:p>
        </w:tc>
        <w:tc>
          <w:tcPr>
            <w:tcW w:w="836" w:type="dxa"/>
            <w:noWrap/>
            <w:hideMark/>
          </w:tcPr>
          <w:p w14:paraId="1F507F01"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6E250634"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D6BE59D"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4F548117" w14:textId="77777777" w:rsidR="00156FDC" w:rsidRPr="005050F3" w:rsidRDefault="00156FDC" w:rsidP="0077067A">
            <w:pPr>
              <w:pStyle w:val="ARtabletextright"/>
              <w:spacing w:before="50" w:after="30"/>
            </w:pPr>
            <w:r w:rsidRPr="005050F3">
              <w:t>0</w:t>
            </w:r>
          </w:p>
        </w:tc>
        <w:tc>
          <w:tcPr>
            <w:tcW w:w="836" w:type="dxa"/>
            <w:noWrap/>
            <w:hideMark/>
          </w:tcPr>
          <w:p w14:paraId="77E92D03" w14:textId="77777777" w:rsidR="00156FDC" w:rsidRPr="005050F3" w:rsidRDefault="00156FDC" w:rsidP="0077067A">
            <w:pPr>
              <w:pStyle w:val="ARtabletextright"/>
              <w:spacing w:before="50" w:after="30"/>
            </w:pPr>
            <w:r w:rsidRPr="005050F3">
              <w:t>1</w:t>
            </w:r>
          </w:p>
        </w:tc>
        <w:tc>
          <w:tcPr>
            <w:tcW w:w="836" w:type="dxa"/>
            <w:noWrap/>
            <w:hideMark/>
          </w:tcPr>
          <w:p w14:paraId="4770CE3D"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4DA4E7A1"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4A56F3CA" w14:textId="77777777" w:rsidR="00156FDC" w:rsidRPr="005050F3" w:rsidRDefault="00156FDC" w:rsidP="0077067A">
            <w:pPr>
              <w:pStyle w:val="ARtabletextright"/>
              <w:spacing w:before="50" w:after="30"/>
            </w:pPr>
            <w:r w:rsidRPr="005050F3">
              <w:t>1</w:t>
            </w:r>
          </w:p>
        </w:tc>
        <w:tc>
          <w:tcPr>
            <w:tcW w:w="836" w:type="dxa"/>
            <w:noWrap/>
            <w:hideMark/>
          </w:tcPr>
          <w:p w14:paraId="04D3603B" w14:textId="318D7740" w:rsidR="00156FDC" w:rsidRPr="005050F3" w:rsidRDefault="00FA72CF" w:rsidP="0077067A">
            <w:pPr>
              <w:pStyle w:val="ARtabletextright"/>
              <w:spacing w:before="50" w:after="30"/>
            </w:pPr>
            <w:r>
              <w:t>−</w:t>
            </w:r>
            <w:r w:rsidR="00156FDC" w:rsidRPr="005050F3">
              <w:t>1</w:t>
            </w:r>
          </w:p>
        </w:tc>
        <w:tc>
          <w:tcPr>
            <w:tcW w:w="836" w:type="dxa"/>
            <w:noWrap/>
            <w:hideMark/>
          </w:tcPr>
          <w:p w14:paraId="3C1F74BA" w14:textId="77777777" w:rsidR="00156FDC" w:rsidRPr="005050F3" w:rsidRDefault="00156FDC" w:rsidP="0077067A">
            <w:pPr>
              <w:pStyle w:val="ARtabletextright"/>
              <w:spacing w:before="50" w:after="30"/>
            </w:pPr>
            <w:r w:rsidRPr="005050F3">
              <w:t>0</w:t>
            </w:r>
          </w:p>
        </w:tc>
        <w:tc>
          <w:tcPr>
            <w:tcW w:w="836" w:type="dxa"/>
            <w:noWrap/>
            <w:hideMark/>
          </w:tcPr>
          <w:p w14:paraId="1DCDCD61" w14:textId="77777777" w:rsidR="00156FDC" w:rsidRPr="005050F3" w:rsidRDefault="00156FDC" w:rsidP="0077067A">
            <w:pPr>
              <w:pStyle w:val="ARtabletextright"/>
              <w:spacing w:before="50" w:after="30"/>
            </w:pPr>
            <w:r w:rsidRPr="005050F3">
              <w:t>0</w:t>
            </w:r>
          </w:p>
        </w:tc>
      </w:tr>
      <w:tr w:rsidR="00156FDC" w:rsidRPr="005050F3" w14:paraId="422233E3" w14:textId="77777777" w:rsidTr="0077067A">
        <w:trPr>
          <w:cantSplit w:val="0"/>
          <w:trHeight w:val="255"/>
        </w:trPr>
        <w:tc>
          <w:tcPr>
            <w:tcW w:w="3969" w:type="dxa"/>
            <w:noWrap/>
            <w:hideMark/>
          </w:tcPr>
          <w:p w14:paraId="486864B7" w14:textId="77777777" w:rsidR="00156FDC" w:rsidRPr="005050F3" w:rsidRDefault="00156FDC" w:rsidP="0077067A">
            <w:pPr>
              <w:pStyle w:val="ARtabletext"/>
              <w:spacing w:before="50" w:after="30"/>
            </w:pPr>
            <w:r w:rsidRPr="005050F3">
              <w:t>Casterton Memorial Hospital</w:t>
            </w:r>
          </w:p>
        </w:tc>
        <w:tc>
          <w:tcPr>
            <w:tcW w:w="836" w:type="dxa"/>
            <w:noWrap/>
            <w:hideMark/>
          </w:tcPr>
          <w:p w14:paraId="67EC8B55" w14:textId="77777777" w:rsidR="00156FDC" w:rsidRPr="005050F3" w:rsidRDefault="00156FDC" w:rsidP="0077067A">
            <w:pPr>
              <w:pStyle w:val="ARtabletextright"/>
              <w:spacing w:before="50" w:after="30"/>
            </w:pPr>
            <w:r w:rsidRPr="005050F3">
              <w:t>0</w:t>
            </w:r>
          </w:p>
        </w:tc>
        <w:tc>
          <w:tcPr>
            <w:tcW w:w="836" w:type="dxa"/>
            <w:noWrap/>
            <w:hideMark/>
          </w:tcPr>
          <w:p w14:paraId="78AA2753"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32B38720"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C53A6BA"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202FE7B8" w14:textId="77777777" w:rsidR="00156FDC" w:rsidRPr="005050F3" w:rsidRDefault="00156FDC" w:rsidP="0077067A">
            <w:pPr>
              <w:pStyle w:val="ARtabletextright"/>
              <w:spacing w:before="50" w:after="30"/>
            </w:pPr>
            <w:r w:rsidRPr="005050F3">
              <w:t>0</w:t>
            </w:r>
          </w:p>
        </w:tc>
        <w:tc>
          <w:tcPr>
            <w:tcW w:w="836" w:type="dxa"/>
            <w:noWrap/>
            <w:hideMark/>
          </w:tcPr>
          <w:p w14:paraId="68D92F85" w14:textId="77777777" w:rsidR="00156FDC" w:rsidRPr="005050F3" w:rsidRDefault="00156FDC" w:rsidP="0077067A">
            <w:pPr>
              <w:pStyle w:val="ARtabletextright"/>
              <w:spacing w:before="50" w:after="30"/>
            </w:pPr>
            <w:r w:rsidRPr="005050F3">
              <w:t>1</w:t>
            </w:r>
          </w:p>
        </w:tc>
        <w:tc>
          <w:tcPr>
            <w:tcW w:w="836" w:type="dxa"/>
            <w:noWrap/>
            <w:hideMark/>
          </w:tcPr>
          <w:p w14:paraId="6F00EB90"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159E2E2"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4061BD69" w14:textId="77777777" w:rsidR="00156FDC" w:rsidRPr="005050F3" w:rsidRDefault="00156FDC" w:rsidP="0077067A">
            <w:pPr>
              <w:pStyle w:val="ARtabletextright"/>
              <w:spacing w:before="50" w:after="30"/>
            </w:pPr>
            <w:r w:rsidRPr="005050F3">
              <w:t>0</w:t>
            </w:r>
          </w:p>
        </w:tc>
        <w:tc>
          <w:tcPr>
            <w:tcW w:w="836" w:type="dxa"/>
            <w:noWrap/>
            <w:hideMark/>
          </w:tcPr>
          <w:p w14:paraId="00AC3FA9" w14:textId="77777777" w:rsidR="00156FDC" w:rsidRPr="005050F3" w:rsidRDefault="00156FDC" w:rsidP="0077067A">
            <w:pPr>
              <w:pStyle w:val="ARtabletextright"/>
              <w:spacing w:before="50" w:after="30"/>
            </w:pPr>
            <w:r w:rsidRPr="005050F3">
              <w:t>0</w:t>
            </w:r>
          </w:p>
        </w:tc>
        <w:tc>
          <w:tcPr>
            <w:tcW w:w="836" w:type="dxa"/>
            <w:noWrap/>
            <w:hideMark/>
          </w:tcPr>
          <w:p w14:paraId="6B12FA0D" w14:textId="77777777" w:rsidR="00156FDC" w:rsidRPr="005050F3" w:rsidRDefault="00156FDC" w:rsidP="0077067A">
            <w:pPr>
              <w:pStyle w:val="ARtabletextright"/>
              <w:spacing w:before="50" w:after="30"/>
            </w:pPr>
            <w:r w:rsidRPr="005050F3">
              <w:t>0</w:t>
            </w:r>
          </w:p>
        </w:tc>
        <w:tc>
          <w:tcPr>
            <w:tcW w:w="836" w:type="dxa"/>
            <w:noWrap/>
            <w:hideMark/>
          </w:tcPr>
          <w:p w14:paraId="520FC5C0" w14:textId="77777777" w:rsidR="00156FDC" w:rsidRPr="005050F3" w:rsidRDefault="00156FDC" w:rsidP="0077067A">
            <w:pPr>
              <w:pStyle w:val="ARtabletextright"/>
              <w:spacing w:before="50" w:after="30"/>
            </w:pPr>
            <w:r w:rsidRPr="005050F3">
              <w:t>0</w:t>
            </w:r>
          </w:p>
        </w:tc>
      </w:tr>
      <w:tr w:rsidR="00156FDC" w:rsidRPr="005050F3" w14:paraId="0174DEA7" w14:textId="77777777" w:rsidTr="0077067A">
        <w:trPr>
          <w:cantSplit w:val="0"/>
          <w:trHeight w:val="255"/>
        </w:trPr>
        <w:tc>
          <w:tcPr>
            <w:tcW w:w="3969" w:type="dxa"/>
            <w:noWrap/>
            <w:hideMark/>
          </w:tcPr>
          <w:p w14:paraId="352D5CD7" w14:textId="77777777" w:rsidR="00156FDC" w:rsidRPr="005050F3" w:rsidRDefault="00156FDC" w:rsidP="0077067A">
            <w:pPr>
              <w:pStyle w:val="ARtabletext"/>
              <w:spacing w:before="50" w:after="30"/>
            </w:pPr>
            <w:r w:rsidRPr="005050F3">
              <w:t>Central Gippsland Health Service</w:t>
            </w:r>
          </w:p>
        </w:tc>
        <w:tc>
          <w:tcPr>
            <w:tcW w:w="836" w:type="dxa"/>
            <w:noWrap/>
            <w:hideMark/>
          </w:tcPr>
          <w:p w14:paraId="284F61A0" w14:textId="77777777" w:rsidR="00156FDC" w:rsidRPr="005050F3" w:rsidRDefault="00156FDC" w:rsidP="0077067A">
            <w:pPr>
              <w:pStyle w:val="ARtabletextright"/>
              <w:spacing w:before="50" w:after="30"/>
            </w:pPr>
            <w:r w:rsidRPr="005050F3">
              <w:t>2</w:t>
            </w:r>
          </w:p>
        </w:tc>
        <w:tc>
          <w:tcPr>
            <w:tcW w:w="836" w:type="dxa"/>
            <w:noWrap/>
            <w:hideMark/>
          </w:tcPr>
          <w:p w14:paraId="0860EF7A"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09CFBF37"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01E754AF" w14:textId="77777777" w:rsidR="00156FDC" w:rsidRPr="005050F3" w:rsidRDefault="00156FDC" w:rsidP="0077067A">
            <w:pPr>
              <w:pStyle w:val="ARtabletextright"/>
              <w:spacing w:before="50" w:after="30"/>
            </w:pPr>
            <w:r w:rsidRPr="005050F3">
              <w:t>3</w:t>
            </w:r>
          </w:p>
        </w:tc>
        <w:tc>
          <w:tcPr>
            <w:tcW w:w="836" w:type="dxa"/>
            <w:tcBorders>
              <w:left w:val="single" w:sz="4" w:space="0" w:color="000000"/>
            </w:tcBorders>
            <w:noWrap/>
            <w:hideMark/>
          </w:tcPr>
          <w:p w14:paraId="22A87DCA" w14:textId="77777777" w:rsidR="00156FDC" w:rsidRPr="005050F3" w:rsidRDefault="00156FDC" w:rsidP="0077067A">
            <w:pPr>
              <w:pStyle w:val="ARtabletextright"/>
              <w:spacing w:before="50" w:after="30"/>
            </w:pPr>
            <w:r w:rsidRPr="005050F3">
              <w:t>2</w:t>
            </w:r>
          </w:p>
        </w:tc>
        <w:tc>
          <w:tcPr>
            <w:tcW w:w="836" w:type="dxa"/>
            <w:noWrap/>
            <w:hideMark/>
          </w:tcPr>
          <w:p w14:paraId="34EE7B6A" w14:textId="77777777" w:rsidR="00156FDC" w:rsidRPr="005050F3" w:rsidRDefault="00156FDC" w:rsidP="0077067A">
            <w:pPr>
              <w:pStyle w:val="ARtabletextright"/>
              <w:spacing w:before="50" w:after="30"/>
            </w:pPr>
            <w:r w:rsidRPr="005050F3">
              <w:t>2</w:t>
            </w:r>
          </w:p>
        </w:tc>
        <w:tc>
          <w:tcPr>
            <w:tcW w:w="836" w:type="dxa"/>
            <w:noWrap/>
            <w:hideMark/>
          </w:tcPr>
          <w:p w14:paraId="3C01517F"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9A053A0" w14:textId="77777777" w:rsidR="00156FDC" w:rsidRPr="005050F3" w:rsidRDefault="00156FDC" w:rsidP="0077067A">
            <w:pPr>
              <w:pStyle w:val="ARtabletextright"/>
              <w:spacing w:before="50" w:after="30"/>
            </w:pPr>
            <w:r w:rsidRPr="005050F3">
              <w:t>4</w:t>
            </w:r>
          </w:p>
        </w:tc>
        <w:tc>
          <w:tcPr>
            <w:tcW w:w="836" w:type="dxa"/>
            <w:tcBorders>
              <w:left w:val="single" w:sz="4" w:space="0" w:color="000000"/>
            </w:tcBorders>
            <w:noWrap/>
            <w:hideMark/>
          </w:tcPr>
          <w:p w14:paraId="36B4D67A" w14:textId="77777777" w:rsidR="00156FDC" w:rsidRPr="005050F3" w:rsidRDefault="00156FDC" w:rsidP="0077067A">
            <w:pPr>
              <w:pStyle w:val="ARtabletextright"/>
              <w:spacing w:before="50" w:after="30"/>
            </w:pPr>
            <w:r w:rsidRPr="005050F3">
              <w:t>0</w:t>
            </w:r>
          </w:p>
        </w:tc>
        <w:tc>
          <w:tcPr>
            <w:tcW w:w="836" w:type="dxa"/>
            <w:noWrap/>
            <w:hideMark/>
          </w:tcPr>
          <w:p w14:paraId="5294C662" w14:textId="66A61A26" w:rsidR="00156FDC" w:rsidRPr="005050F3" w:rsidRDefault="00FA72CF" w:rsidP="0077067A">
            <w:pPr>
              <w:pStyle w:val="ARtabletextright"/>
              <w:spacing w:before="50" w:after="30"/>
            </w:pPr>
            <w:r>
              <w:t>−</w:t>
            </w:r>
            <w:r w:rsidR="00156FDC" w:rsidRPr="005050F3">
              <w:t>1</w:t>
            </w:r>
          </w:p>
        </w:tc>
        <w:tc>
          <w:tcPr>
            <w:tcW w:w="836" w:type="dxa"/>
            <w:noWrap/>
            <w:hideMark/>
          </w:tcPr>
          <w:p w14:paraId="308B830E" w14:textId="77777777" w:rsidR="00156FDC" w:rsidRPr="005050F3" w:rsidRDefault="00156FDC" w:rsidP="0077067A">
            <w:pPr>
              <w:pStyle w:val="ARtabletextright"/>
              <w:spacing w:before="50" w:after="30"/>
            </w:pPr>
            <w:r w:rsidRPr="005050F3">
              <w:t>0</w:t>
            </w:r>
          </w:p>
        </w:tc>
        <w:tc>
          <w:tcPr>
            <w:tcW w:w="836" w:type="dxa"/>
            <w:noWrap/>
            <w:hideMark/>
          </w:tcPr>
          <w:p w14:paraId="732F87AD" w14:textId="55144717" w:rsidR="00156FDC" w:rsidRPr="005050F3" w:rsidRDefault="00FA72CF" w:rsidP="0077067A">
            <w:pPr>
              <w:pStyle w:val="ARtabletextright"/>
              <w:spacing w:before="50" w:after="30"/>
            </w:pPr>
            <w:r>
              <w:t>−</w:t>
            </w:r>
            <w:r w:rsidR="00156FDC" w:rsidRPr="005050F3">
              <w:t>1</w:t>
            </w:r>
          </w:p>
        </w:tc>
      </w:tr>
      <w:tr w:rsidR="00156FDC" w:rsidRPr="005050F3" w14:paraId="69C75D6F" w14:textId="77777777" w:rsidTr="0077067A">
        <w:trPr>
          <w:cantSplit w:val="0"/>
          <w:trHeight w:val="255"/>
        </w:trPr>
        <w:tc>
          <w:tcPr>
            <w:tcW w:w="3969" w:type="dxa"/>
            <w:noWrap/>
            <w:hideMark/>
          </w:tcPr>
          <w:p w14:paraId="7B8E683C" w14:textId="77777777" w:rsidR="00156FDC" w:rsidRPr="005050F3" w:rsidRDefault="00156FDC" w:rsidP="0077067A">
            <w:pPr>
              <w:pStyle w:val="ARtabletext"/>
              <w:spacing w:before="50" w:after="30"/>
            </w:pPr>
            <w:r w:rsidRPr="005050F3">
              <w:t>Central Highlands Rural Health</w:t>
            </w:r>
          </w:p>
        </w:tc>
        <w:tc>
          <w:tcPr>
            <w:tcW w:w="836" w:type="dxa"/>
            <w:noWrap/>
            <w:hideMark/>
          </w:tcPr>
          <w:p w14:paraId="2141AF26" w14:textId="77777777" w:rsidR="00156FDC" w:rsidRPr="005050F3" w:rsidRDefault="00156FDC" w:rsidP="0077067A">
            <w:pPr>
              <w:pStyle w:val="ARtabletextright"/>
              <w:spacing w:before="50" w:after="30"/>
            </w:pPr>
            <w:r w:rsidRPr="005050F3">
              <w:t>1</w:t>
            </w:r>
          </w:p>
        </w:tc>
        <w:tc>
          <w:tcPr>
            <w:tcW w:w="836" w:type="dxa"/>
            <w:noWrap/>
            <w:hideMark/>
          </w:tcPr>
          <w:p w14:paraId="6FE912A7"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5B7D864E"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79963EEA"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13F89C62" w14:textId="77777777" w:rsidR="00156FDC" w:rsidRPr="005050F3" w:rsidRDefault="00156FDC" w:rsidP="0077067A">
            <w:pPr>
              <w:pStyle w:val="ARtabletextright"/>
              <w:spacing w:before="50" w:after="30"/>
            </w:pPr>
            <w:r w:rsidRPr="005050F3">
              <w:t>1</w:t>
            </w:r>
          </w:p>
        </w:tc>
        <w:tc>
          <w:tcPr>
            <w:tcW w:w="836" w:type="dxa"/>
            <w:noWrap/>
            <w:hideMark/>
          </w:tcPr>
          <w:p w14:paraId="43941B5E" w14:textId="77777777" w:rsidR="00156FDC" w:rsidRPr="005050F3" w:rsidRDefault="00156FDC" w:rsidP="0077067A">
            <w:pPr>
              <w:pStyle w:val="ARtabletextright"/>
              <w:spacing w:before="50" w:after="30"/>
            </w:pPr>
            <w:r w:rsidRPr="005050F3">
              <w:t>0</w:t>
            </w:r>
          </w:p>
        </w:tc>
        <w:tc>
          <w:tcPr>
            <w:tcW w:w="836" w:type="dxa"/>
            <w:noWrap/>
            <w:hideMark/>
          </w:tcPr>
          <w:p w14:paraId="23EAAEBB"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7D3DFDA4"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4E38883E" w14:textId="77777777" w:rsidR="00156FDC" w:rsidRPr="005050F3" w:rsidRDefault="00156FDC" w:rsidP="0077067A">
            <w:pPr>
              <w:pStyle w:val="ARtabletextright"/>
              <w:spacing w:before="50" w:after="30"/>
            </w:pPr>
            <w:r w:rsidRPr="005050F3">
              <w:t>0</w:t>
            </w:r>
          </w:p>
        </w:tc>
        <w:tc>
          <w:tcPr>
            <w:tcW w:w="836" w:type="dxa"/>
            <w:noWrap/>
            <w:hideMark/>
          </w:tcPr>
          <w:p w14:paraId="69CFA28A" w14:textId="77777777" w:rsidR="00156FDC" w:rsidRPr="005050F3" w:rsidRDefault="00156FDC" w:rsidP="0077067A">
            <w:pPr>
              <w:pStyle w:val="ARtabletextright"/>
              <w:spacing w:before="50" w:after="30"/>
            </w:pPr>
            <w:r w:rsidRPr="005050F3">
              <w:t>0</w:t>
            </w:r>
          </w:p>
        </w:tc>
        <w:tc>
          <w:tcPr>
            <w:tcW w:w="836" w:type="dxa"/>
            <w:noWrap/>
            <w:hideMark/>
          </w:tcPr>
          <w:p w14:paraId="5D9B772D" w14:textId="77777777" w:rsidR="00156FDC" w:rsidRPr="005050F3" w:rsidRDefault="00156FDC" w:rsidP="0077067A">
            <w:pPr>
              <w:pStyle w:val="ARtabletextright"/>
              <w:spacing w:before="50" w:after="30"/>
            </w:pPr>
            <w:r w:rsidRPr="005050F3">
              <w:t>0</w:t>
            </w:r>
          </w:p>
        </w:tc>
        <w:tc>
          <w:tcPr>
            <w:tcW w:w="836" w:type="dxa"/>
            <w:noWrap/>
            <w:hideMark/>
          </w:tcPr>
          <w:p w14:paraId="3037DA88" w14:textId="77777777" w:rsidR="00156FDC" w:rsidRPr="005050F3" w:rsidRDefault="00156FDC" w:rsidP="0077067A">
            <w:pPr>
              <w:pStyle w:val="ARtabletextright"/>
              <w:spacing w:before="50" w:after="30"/>
            </w:pPr>
            <w:r w:rsidRPr="005050F3">
              <w:t>0</w:t>
            </w:r>
          </w:p>
        </w:tc>
      </w:tr>
      <w:tr w:rsidR="00156FDC" w:rsidRPr="005050F3" w14:paraId="404C0A0B" w14:textId="77777777" w:rsidTr="0077067A">
        <w:trPr>
          <w:cantSplit w:val="0"/>
          <w:trHeight w:val="255"/>
        </w:trPr>
        <w:tc>
          <w:tcPr>
            <w:tcW w:w="3969" w:type="dxa"/>
            <w:noWrap/>
            <w:hideMark/>
          </w:tcPr>
          <w:p w14:paraId="205856D9" w14:textId="77777777" w:rsidR="00156FDC" w:rsidRPr="005050F3" w:rsidRDefault="00156FDC" w:rsidP="0077067A">
            <w:pPr>
              <w:pStyle w:val="ARtabletext"/>
              <w:spacing w:before="50" w:after="30"/>
            </w:pPr>
            <w:r w:rsidRPr="005050F3">
              <w:t>Cohuna District Hospital</w:t>
            </w:r>
          </w:p>
        </w:tc>
        <w:tc>
          <w:tcPr>
            <w:tcW w:w="836" w:type="dxa"/>
            <w:noWrap/>
            <w:hideMark/>
          </w:tcPr>
          <w:p w14:paraId="78088F68" w14:textId="77777777" w:rsidR="00156FDC" w:rsidRPr="005050F3" w:rsidRDefault="00156FDC" w:rsidP="0077067A">
            <w:pPr>
              <w:pStyle w:val="ARtabletextright"/>
              <w:spacing w:before="50" w:after="30"/>
            </w:pPr>
            <w:r w:rsidRPr="005050F3">
              <w:t>1</w:t>
            </w:r>
          </w:p>
        </w:tc>
        <w:tc>
          <w:tcPr>
            <w:tcW w:w="836" w:type="dxa"/>
            <w:noWrap/>
            <w:hideMark/>
          </w:tcPr>
          <w:p w14:paraId="7B727B0B"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71E75558"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2C21704"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7AF9CCA4" w14:textId="77777777" w:rsidR="00156FDC" w:rsidRPr="005050F3" w:rsidRDefault="00156FDC" w:rsidP="0077067A">
            <w:pPr>
              <w:pStyle w:val="ARtabletextright"/>
              <w:spacing w:before="50" w:after="30"/>
            </w:pPr>
            <w:r w:rsidRPr="005050F3">
              <w:t>1</w:t>
            </w:r>
          </w:p>
        </w:tc>
        <w:tc>
          <w:tcPr>
            <w:tcW w:w="836" w:type="dxa"/>
            <w:noWrap/>
            <w:hideMark/>
          </w:tcPr>
          <w:p w14:paraId="5C2CA7C3" w14:textId="77777777" w:rsidR="00156FDC" w:rsidRPr="005050F3" w:rsidRDefault="00156FDC" w:rsidP="0077067A">
            <w:pPr>
              <w:pStyle w:val="ARtabletextright"/>
              <w:spacing w:before="50" w:after="30"/>
            </w:pPr>
            <w:r w:rsidRPr="005050F3">
              <w:t>0</w:t>
            </w:r>
          </w:p>
        </w:tc>
        <w:tc>
          <w:tcPr>
            <w:tcW w:w="836" w:type="dxa"/>
            <w:noWrap/>
            <w:hideMark/>
          </w:tcPr>
          <w:p w14:paraId="382CCB2B"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97AF69B"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6D5364CF" w14:textId="77777777" w:rsidR="00156FDC" w:rsidRPr="005050F3" w:rsidRDefault="00156FDC" w:rsidP="0077067A">
            <w:pPr>
              <w:pStyle w:val="ARtabletextright"/>
              <w:spacing w:before="50" w:after="30"/>
            </w:pPr>
            <w:r w:rsidRPr="005050F3">
              <w:t>0</w:t>
            </w:r>
          </w:p>
        </w:tc>
        <w:tc>
          <w:tcPr>
            <w:tcW w:w="836" w:type="dxa"/>
            <w:noWrap/>
            <w:hideMark/>
          </w:tcPr>
          <w:p w14:paraId="334F447F" w14:textId="77777777" w:rsidR="00156FDC" w:rsidRPr="005050F3" w:rsidRDefault="00156FDC" w:rsidP="0077067A">
            <w:pPr>
              <w:pStyle w:val="ARtabletextright"/>
              <w:spacing w:before="50" w:after="30"/>
            </w:pPr>
            <w:r w:rsidRPr="005050F3">
              <w:t>0</w:t>
            </w:r>
          </w:p>
        </w:tc>
        <w:tc>
          <w:tcPr>
            <w:tcW w:w="836" w:type="dxa"/>
            <w:noWrap/>
            <w:hideMark/>
          </w:tcPr>
          <w:p w14:paraId="03039A2D" w14:textId="77777777" w:rsidR="00156FDC" w:rsidRPr="005050F3" w:rsidRDefault="00156FDC" w:rsidP="0077067A">
            <w:pPr>
              <w:pStyle w:val="ARtabletextright"/>
              <w:spacing w:before="50" w:after="30"/>
            </w:pPr>
            <w:r w:rsidRPr="005050F3">
              <w:t>0</w:t>
            </w:r>
          </w:p>
        </w:tc>
        <w:tc>
          <w:tcPr>
            <w:tcW w:w="836" w:type="dxa"/>
            <w:noWrap/>
            <w:hideMark/>
          </w:tcPr>
          <w:p w14:paraId="3C3E6240" w14:textId="77777777" w:rsidR="00156FDC" w:rsidRPr="005050F3" w:rsidRDefault="00156FDC" w:rsidP="0077067A">
            <w:pPr>
              <w:pStyle w:val="ARtabletextright"/>
              <w:spacing w:before="50" w:after="30"/>
            </w:pPr>
            <w:r w:rsidRPr="005050F3">
              <w:t>0</w:t>
            </w:r>
          </w:p>
        </w:tc>
      </w:tr>
      <w:tr w:rsidR="00156FDC" w:rsidRPr="005050F3" w14:paraId="36E1609B" w14:textId="77777777" w:rsidTr="0077067A">
        <w:trPr>
          <w:cantSplit w:val="0"/>
          <w:trHeight w:val="255"/>
        </w:trPr>
        <w:tc>
          <w:tcPr>
            <w:tcW w:w="3969" w:type="dxa"/>
            <w:noWrap/>
            <w:hideMark/>
          </w:tcPr>
          <w:p w14:paraId="402A1BD7" w14:textId="77777777" w:rsidR="00156FDC" w:rsidRPr="005050F3" w:rsidRDefault="00156FDC" w:rsidP="0077067A">
            <w:pPr>
              <w:pStyle w:val="ARtabletext"/>
              <w:spacing w:before="50" w:after="30"/>
            </w:pPr>
            <w:r w:rsidRPr="005050F3">
              <w:t>Colac Area Health</w:t>
            </w:r>
          </w:p>
        </w:tc>
        <w:tc>
          <w:tcPr>
            <w:tcW w:w="836" w:type="dxa"/>
            <w:noWrap/>
            <w:hideMark/>
          </w:tcPr>
          <w:p w14:paraId="2A7AEAC3" w14:textId="77777777" w:rsidR="00156FDC" w:rsidRPr="005050F3" w:rsidRDefault="00156FDC" w:rsidP="0077067A">
            <w:pPr>
              <w:pStyle w:val="ARtabletextright"/>
              <w:spacing w:before="50" w:after="30"/>
            </w:pPr>
            <w:r w:rsidRPr="005050F3">
              <w:t>1</w:t>
            </w:r>
          </w:p>
        </w:tc>
        <w:tc>
          <w:tcPr>
            <w:tcW w:w="836" w:type="dxa"/>
            <w:noWrap/>
            <w:hideMark/>
          </w:tcPr>
          <w:p w14:paraId="488D04A5"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64F8048E"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9D3BAE4"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6AB5879B" w14:textId="77777777" w:rsidR="00156FDC" w:rsidRPr="005050F3" w:rsidRDefault="00156FDC" w:rsidP="0077067A">
            <w:pPr>
              <w:pStyle w:val="ARtabletextright"/>
              <w:spacing w:before="50" w:after="30"/>
            </w:pPr>
            <w:r w:rsidRPr="005050F3">
              <w:t>1</w:t>
            </w:r>
          </w:p>
        </w:tc>
        <w:tc>
          <w:tcPr>
            <w:tcW w:w="836" w:type="dxa"/>
            <w:noWrap/>
            <w:hideMark/>
          </w:tcPr>
          <w:p w14:paraId="512029C9" w14:textId="77777777" w:rsidR="00156FDC" w:rsidRPr="005050F3" w:rsidRDefault="00156FDC" w:rsidP="0077067A">
            <w:pPr>
              <w:pStyle w:val="ARtabletextright"/>
              <w:spacing w:before="50" w:after="30"/>
            </w:pPr>
            <w:r w:rsidRPr="005050F3">
              <w:t>0</w:t>
            </w:r>
          </w:p>
        </w:tc>
        <w:tc>
          <w:tcPr>
            <w:tcW w:w="836" w:type="dxa"/>
            <w:noWrap/>
            <w:hideMark/>
          </w:tcPr>
          <w:p w14:paraId="59EFF41C"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6574CC2F"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4CCA0422" w14:textId="77777777" w:rsidR="00156FDC" w:rsidRPr="005050F3" w:rsidRDefault="00156FDC" w:rsidP="0077067A">
            <w:pPr>
              <w:pStyle w:val="ARtabletextright"/>
              <w:spacing w:before="50" w:after="30"/>
            </w:pPr>
            <w:r w:rsidRPr="005050F3">
              <w:t>0</w:t>
            </w:r>
          </w:p>
        </w:tc>
        <w:tc>
          <w:tcPr>
            <w:tcW w:w="836" w:type="dxa"/>
            <w:noWrap/>
            <w:hideMark/>
          </w:tcPr>
          <w:p w14:paraId="7D0D7D1E" w14:textId="77777777" w:rsidR="00156FDC" w:rsidRPr="005050F3" w:rsidRDefault="00156FDC" w:rsidP="0077067A">
            <w:pPr>
              <w:pStyle w:val="ARtabletextright"/>
              <w:spacing w:before="50" w:after="30"/>
            </w:pPr>
            <w:r w:rsidRPr="005050F3">
              <w:t>0</w:t>
            </w:r>
          </w:p>
        </w:tc>
        <w:tc>
          <w:tcPr>
            <w:tcW w:w="836" w:type="dxa"/>
            <w:noWrap/>
            <w:hideMark/>
          </w:tcPr>
          <w:p w14:paraId="0985CFE7" w14:textId="77777777" w:rsidR="00156FDC" w:rsidRPr="005050F3" w:rsidRDefault="00156FDC" w:rsidP="0077067A">
            <w:pPr>
              <w:pStyle w:val="ARtabletextright"/>
              <w:spacing w:before="50" w:after="30"/>
            </w:pPr>
            <w:r w:rsidRPr="005050F3">
              <w:t>0</w:t>
            </w:r>
          </w:p>
        </w:tc>
        <w:tc>
          <w:tcPr>
            <w:tcW w:w="836" w:type="dxa"/>
            <w:noWrap/>
            <w:hideMark/>
          </w:tcPr>
          <w:p w14:paraId="6D8588E3" w14:textId="77777777" w:rsidR="00156FDC" w:rsidRPr="005050F3" w:rsidRDefault="00156FDC" w:rsidP="0077067A">
            <w:pPr>
              <w:pStyle w:val="ARtabletextright"/>
              <w:spacing w:before="50" w:after="30"/>
            </w:pPr>
            <w:r w:rsidRPr="005050F3">
              <w:t>0</w:t>
            </w:r>
          </w:p>
        </w:tc>
      </w:tr>
      <w:tr w:rsidR="00156FDC" w:rsidRPr="005050F3" w14:paraId="4DD074A3" w14:textId="77777777" w:rsidTr="0077067A">
        <w:trPr>
          <w:cantSplit w:val="0"/>
          <w:trHeight w:val="255"/>
        </w:trPr>
        <w:tc>
          <w:tcPr>
            <w:tcW w:w="3969" w:type="dxa"/>
            <w:noWrap/>
            <w:hideMark/>
          </w:tcPr>
          <w:p w14:paraId="7F43E29C" w14:textId="77777777" w:rsidR="00156FDC" w:rsidRPr="005050F3" w:rsidRDefault="00156FDC" w:rsidP="0077067A">
            <w:pPr>
              <w:pStyle w:val="ARtabletext"/>
              <w:spacing w:before="50" w:after="30"/>
            </w:pPr>
            <w:r w:rsidRPr="005050F3">
              <w:t>Corryong Health</w:t>
            </w:r>
          </w:p>
        </w:tc>
        <w:tc>
          <w:tcPr>
            <w:tcW w:w="836" w:type="dxa"/>
            <w:noWrap/>
            <w:hideMark/>
          </w:tcPr>
          <w:p w14:paraId="6A5985BD" w14:textId="77777777" w:rsidR="00156FDC" w:rsidRPr="005050F3" w:rsidRDefault="00156FDC" w:rsidP="0077067A">
            <w:pPr>
              <w:pStyle w:val="ARtabletextright"/>
              <w:spacing w:before="50" w:after="30"/>
            </w:pPr>
            <w:r w:rsidRPr="005050F3">
              <w:t>0</w:t>
            </w:r>
          </w:p>
        </w:tc>
        <w:tc>
          <w:tcPr>
            <w:tcW w:w="836" w:type="dxa"/>
            <w:noWrap/>
            <w:hideMark/>
          </w:tcPr>
          <w:p w14:paraId="076C824C"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68CF60E5"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76C50F60"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00EBBC15" w14:textId="77777777" w:rsidR="00156FDC" w:rsidRPr="005050F3" w:rsidRDefault="00156FDC" w:rsidP="0077067A">
            <w:pPr>
              <w:pStyle w:val="ARtabletextright"/>
              <w:spacing w:before="50" w:after="30"/>
            </w:pPr>
            <w:r w:rsidRPr="005050F3">
              <w:t>0</w:t>
            </w:r>
          </w:p>
        </w:tc>
        <w:tc>
          <w:tcPr>
            <w:tcW w:w="836" w:type="dxa"/>
            <w:noWrap/>
            <w:hideMark/>
          </w:tcPr>
          <w:p w14:paraId="6E9B1BD0" w14:textId="77777777" w:rsidR="00156FDC" w:rsidRPr="005050F3" w:rsidRDefault="00156FDC" w:rsidP="0077067A">
            <w:pPr>
              <w:pStyle w:val="ARtabletextright"/>
              <w:spacing w:before="50" w:after="30"/>
            </w:pPr>
            <w:r w:rsidRPr="005050F3">
              <w:t>1</w:t>
            </w:r>
          </w:p>
        </w:tc>
        <w:tc>
          <w:tcPr>
            <w:tcW w:w="836" w:type="dxa"/>
            <w:noWrap/>
            <w:hideMark/>
          </w:tcPr>
          <w:p w14:paraId="4F86DE84"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04135F2C"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7636E011" w14:textId="77777777" w:rsidR="00156FDC" w:rsidRPr="005050F3" w:rsidRDefault="00156FDC" w:rsidP="0077067A">
            <w:pPr>
              <w:pStyle w:val="ARtabletextright"/>
              <w:spacing w:before="50" w:after="30"/>
            </w:pPr>
            <w:r w:rsidRPr="005050F3">
              <w:t>0</w:t>
            </w:r>
          </w:p>
        </w:tc>
        <w:tc>
          <w:tcPr>
            <w:tcW w:w="836" w:type="dxa"/>
            <w:noWrap/>
            <w:hideMark/>
          </w:tcPr>
          <w:p w14:paraId="323ED826" w14:textId="77777777" w:rsidR="00156FDC" w:rsidRPr="005050F3" w:rsidRDefault="00156FDC" w:rsidP="0077067A">
            <w:pPr>
              <w:pStyle w:val="ARtabletextright"/>
              <w:spacing w:before="50" w:after="30"/>
            </w:pPr>
            <w:r w:rsidRPr="005050F3">
              <w:t>0</w:t>
            </w:r>
          </w:p>
        </w:tc>
        <w:tc>
          <w:tcPr>
            <w:tcW w:w="836" w:type="dxa"/>
            <w:noWrap/>
            <w:hideMark/>
          </w:tcPr>
          <w:p w14:paraId="2FF6F9E8" w14:textId="77777777" w:rsidR="00156FDC" w:rsidRPr="005050F3" w:rsidRDefault="00156FDC" w:rsidP="0077067A">
            <w:pPr>
              <w:pStyle w:val="ARtabletextright"/>
              <w:spacing w:before="50" w:after="30"/>
            </w:pPr>
            <w:r w:rsidRPr="005050F3">
              <w:t>0</w:t>
            </w:r>
          </w:p>
        </w:tc>
        <w:tc>
          <w:tcPr>
            <w:tcW w:w="836" w:type="dxa"/>
            <w:noWrap/>
            <w:hideMark/>
          </w:tcPr>
          <w:p w14:paraId="30DDF36D" w14:textId="77777777" w:rsidR="00156FDC" w:rsidRPr="005050F3" w:rsidRDefault="00156FDC" w:rsidP="0077067A">
            <w:pPr>
              <w:pStyle w:val="ARtabletextright"/>
              <w:spacing w:before="50" w:after="30"/>
            </w:pPr>
            <w:r w:rsidRPr="005050F3">
              <w:t>0</w:t>
            </w:r>
          </w:p>
        </w:tc>
      </w:tr>
      <w:tr w:rsidR="00156FDC" w:rsidRPr="005050F3" w14:paraId="3E1618E4" w14:textId="77777777" w:rsidTr="0077067A">
        <w:trPr>
          <w:cantSplit w:val="0"/>
          <w:trHeight w:val="255"/>
        </w:trPr>
        <w:tc>
          <w:tcPr>
            <w:tcW w:w="3969" w:type="dxa"/>
            <w:noWrap/>
            <w:hideMark/>
          </w:tcPr>
          <w:p w14:paraId="51177B76" w14:textId="77777777" w:rsidR="00156FDC" w:rsidRPr="005050F3" w:rsidRDefault="00156FDC" w:rsidP="0077067A">
            <w:pPr>
              <w:pStyle w:val="ARtabletext"/>
              <w:spacing w:before="50" w:after="30"/>
            </w:pPr>
            <w:r w:rsidRPr="005050F3">
              <w:t>Dental Health Services Victoria</w:t>
            </w:r>
          </w:p>
        </w:tc>
        <w:tc>
          <w:tcPr>
            <w:tcW w:w="836" w:type="dxa"/>
            <w:noWrap/>
            <w:hideMark/>
          </w:tcPr>
          <w:p w14:paraId="0CE84D70" w14:textId="77777777" w:rsidR="00156FDC" w:rsidRPr="005050F3" w:rsidRDefault="00156FDC" w:rsidP="0077067A">
            <w:pPr>
              <w:pStyle w:val="ARtabletextright"/>
              <w:spacing w:before="50" w:after="30"/>
            </w:pPr>
            <w:r w:rsidRPr="005050F3">
              <w:t>1</w:t>
            </w:r>
          </w:p>
        </w:tc>
        <w:tc>
          <w:tcPr>
            <w:tcW w:w="836" w:type="dxa"/>
            <w:noWrap/>
            <w:hideMark/>
          </w:tcPr>
          <w:p w14:paraId="46EF86EC" w14:textId="77777777" w:rsidR="00156FDC" w:rsidRPr="005050F3" w:rsidRDefault="00156FDC" w:rsidP="0077067A">
            <w:pPr>
              <w:pStyle w:val="ARtabletextright"/>
              <w:spacing w:before="50" w:after="30"/>
            </w:pPr>
            <w:r w:rsidRPr="005050F3">
              <w:t>5</w:t>
            </w:r>
          </w:p>
        </w:tc>
        <w:tc>
          <w:tcPr>
            <w:tcW w:w="836" w:type="dxa"/>
            <w:tcBorders>
              <w:top w:val="single" w:sz="4" w:space="0" w:color="auto"/>
            </w:tcBorders>
            <w:noWrap/>
            <w:hideMark/>
          </w:tcPr>
          <w:p w14:paraId="6E17DF47"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4DD94F1" w14:textId="77777777" w:rsidR="00156FDC" w:rsidRPr="005050F3" w:rsidRDefault="00156FDC" w:rsidP="0077067A">
            <w:pPr>
              <w:pStyle w:val="ARtabletextright"/>
              <w:spacing w:before="50" w:after="30"/>
            </w:pPr>
            <w:r w:rsidRPr="005050F3">
              <w:t>6</w:t>
            </w:r>
          </w:p>
        </w:tc>
        <w:tc>
          <w:tcPr>
            <w:tcW w:w="836" w:type="dxa"/>
            <w:tcBorders>
              <w:left w:val="single" w:sz="4" w:space="0" w:color="000000"/>
            </w:tcBorders>
            <w:noWrap/>
            <w:hideMark/>
          </w:tcPr>
          <w:p w14:paraId="63A79579" w14:textId="77777777" w:rsidR="00156FDC" w:rsidRPr="005050F3" w:rsidRDefault="00156FDC" w:rsidP="0077067A">
            <w:pPr>
              <w:pStyle w:val="ARtabletextright"/>
              <w:spacing w:before="50" w:after="30"/>
            </w:pPr>
            <w:r w:rsidRPr="005050F3">
              <w:t>1</w:t>
            </w:r>
          </w:p>
        </w:tc>
        <w:tc>
          <w:tcPr>
            <w:tcW w:w="836" w:type="dxa"/>
            <w:noWrap/>
            <w:hideMark/>
          </w:tcPr>
          <w:p w14:paraId="2F1E3E71" w14:textId="77777777" w:rsidR="00156FDC" w:rsidRPr="005050F3" w:rsidRDefault="00156FDC" w:rsidP="0077067A">
            <w:pPr>
              <w:pStyle w:val="ARtabletextright"/>
              <w:spacing w:before="50" w:after="30"/>
            </w:pPr>
            <w:r w:rsidRPr="005050F3">
              <w:t>5</w:t>
            </w:r>
          </w:p>
        </w:tc>
        <w:tc>
          <w:tcPr>
            <w:tcW w:w="836" w:type="dxa"/>
            <w:noWrap/>
            <w:hideMark/>
          </w:tcPr>
          <w:p w14:paraId="364E35B7"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716F7DF3" w14:textId="77777777" w:rsidR="00156FDC" w:rsidRPr="005050F3" w:rsidRDefault="00156FDC" w:rsidP="0077067A">
            <w:pPr>
              <w:pStyle w:val="ARtabletextright"/>
              <w:spacing w:before="50" w:after="30"/>
            </w:pPr>
            <w:r w:rsidRPr="005050F3">
              <w:t>6</w:t>
            </w:r>
          </w:p>
        </w:tc>
        <w:tc>
          <w:tcPr>
            <w:tcW w:w="836" w:type="dxa"/>
            <w:tcBorders>
              <w:left w:val="single" w:sz="4" w:space="0" w:color="000000"/>
            </w:tcBorders>
            <w:noWrap/>
            <w:hideMark/>
          </w:tcPr>
          <w:p w14:paraId="5D3FD6A0" w14:textId="77777777" w:rsidR="00156FDC" w:rsidRPr="005050F3" w:rsidRDefault="00156FDC" w:rsidP="0077067A">
            <w:pPr>
              <w:pStyle w:val="ARtabletextright"/>
              <w:spacing w:before="50" w:after="30"/>
            </w:pPr>
            <w:r w:rsidRPr="005050F3">
              <w:t>0</w:t>
            </w:r>
          </w:p>
        </w:tc>
        <w:tc>
          <w:tcPr>
            <w:tcW w:w="836" w:type="dxa"/>
            <w:noWrap/>
            <w:hideMark/>
          </w:tcPr>
          <w:p w14:paraId="7519A1FF" w14:textId="77777777" w:rsidR="00156FDC" w:rsidRPr="005050F3" w:rsidRDefault="00156FDC" w:rsidP="0077067A">
            <w:pPr>
              <w:pStyle w:val="ARtabletextright"/>
              <w:spacing w:before="50" w:after="30"/>
            </w:pPr>
            <w:r w:rsidRPr="005050F3">
              <w:t>0</w:t>
            </w:r>
          </w:p>
        </w:tc>
        <w:tc>
          <w:tcPr>
            <w:tcW w:w="836" w:type="dxa"/>
            <w:noWrap/>
            <w:hideMark/>
          </w:tcPr>
          <w:p w14:paraId="7368A6B9" w14:textId="77777777" w:rsidR="00156FDC" w:rsidRPr="005050F3" w:rsidRDefault="00156FDC" w:rsidP="0077067A">
            <w:pPr>
              <w:pStyle w:val="ARtabletextright"/>
              <w:spacing w:before="50" w:after="30"/>
            </w:pPr>
            <w:r w:rsidRPr="005050F3">
              <w:t>0</w:t>
            </w:r>
          </w:p>
        </w:tc>
        <w:tc>
          <w:tcPr>
            <w:tcW w:w="836" w:type="dxa"/>
            <w:noWrap/>
            <w:hideMark/>
          </w:tcPr>
          <w:p w14:paraId="10D1076A" w14:textId="77777777" w:rsidR="00156FDC" w:rsidRPr="005050F3" w:rsidRDefault="00156FDC" w:rsidP="0077067A">
            <w:pPr>
              <w:pStyle w:val="ARtabletextright"/>
              <w:spacing w:before="50" w:after="30"/>
            </w:pPr>
            <w:r w:rsidRPr="005050F3">
              <w:t>0</w:t>
            </w:r>
          </w:p>
        </w:tc>
      </w:tr>
      <w:tr w:rsidR="00156FDC" w:rsidRPr="005050F3" w14:paraId="53878F85" w14:textId="77777777" w:rsidTr="0077067A">
        <w:trPr>
          <w:cantSplit w:val="0"/>
          <w:trHeight w:val="255"/>
        </w:trPr>
        <w:tc>
          <w:tcPr>
            <w:tcW w:w="3969" w:type="dxa"/>
            <w:noWrap/>
            <w:hideMark/>
          </w:tcPr>
          <w:p w14:paraId="70C5C32F" w14:textId="243B62A6" w:rsidR="00156FDC" w:rsidRPr="005050F3" w:rsidRDefault="00156FDC" w:rsidP="0077067A">
            <w:pPr>
              <w:pStyle w:val="ARtabletext"/>
              <w:spacing w:before="50" w:after="30"/>
            </w:pPr>
            <w:r w:rsidRPr="005050F3">
              <w:t>Dhelkaya Health</w:t>
            </w:r>
          </w:p>
        </w:tc>
        <w:tc>
          <w:tcPr>
            <w:tcW w:w="836" w:type="dxa"/>
            <w:noWrap/>
            <w:hideMark/>
          </w:tcPr>
          <w:p w14:paraId="6DDDD28A" w14:textId="77777777" w:rsidR="00156FDC" w:rsidRPr="005050F3" w:rsidRDefault="00156FDC" w:rsidP="0077067A">
            <w:pPr>
              <w:pStyle w:val="ARtabletextright"/>
              <w:spacing w:before="50" w:after="30"/>
            </w:pPr>
            <w:r w:rsidRPr="005050F3">
              <w:t>1</w:t>
            </w:r>
          </w:p>
        </w:tc>
        <w:tc>
          <w:tcPr>
            <w:tcW w:w="836" w:type="dxa"/>
            <w:noWrap/>
            <w:hideMark/>
          </w:tcPr>
          <w:p w14:paraId="71E2EAB2"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2952A487"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627E9E3E"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2E898A24" w14:textId="77777777" w:rsidR="00156FDC" w:rsidRPr="005050F3" w:rsidRDefault="00156FDC" w:rsidP="0077067A">
            <w:pPr>
              <w:pStyle w:val="ARtabletextright"/>
              <w:spacing w:before="50" w:after="30"/>
            </w:pPr>
            <w:r w:rsidRPr="005050F3">
              <w:t>1</w:t>
            </w:r>
          </w:p>
        </w:tc>
        <w:tc>
          <w:tcPr>
            <w:tcW w:w="836" w:type="dxa"/>
            <w:noWrap/>
            <w:hideMark/>
          </w:tcPr>
          <w:p w14:paraId="6D8543D8" w14:textId="77777777" w:rsidR="00156FDC" w:rsidRPr="005050F3" w:rsidRDefault="00156FDC" w:rsidP="0077067A">
            <w:pPr>
              <w:pStyle w:val="ARtabletextright"/>
              <w:spacing w:before="50" w:after="30"/>
            </w:pPr>
            <w:r w:rsidRPr="005050F3">
              <w:t>0</w:t>
            </w:r>
          </w:p>
        </w:tc>
        <w:tc>
          <w:tcPr>
            <w:tcW w:w="836" w:type="dxa"/>
            <w:noWrap/>
            <w:hideMark/>
          </w:tcPr>
          <w:p w14:paraId="2C889B39"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0FB7A6D0"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13872985" w14:textId="77777777" w:rsidR="00156FDC" w:rsidRPr="005050F3" w:rsidRDefault="00156FDC" w:rsidP="0077067A">
            <w:pPr>
              <w:pStyle w:val="ARtabletextright"/>
              <w:spacing w:before="50" w:after="30"/>
            </w:pPr>
            <w:r w:rsidRPr="005050F3">
              <w:t>0</w:t>
            </w:r>
          </w:p>
        </w:tc>
        <w:tc>
          <w:tcPr>
            <w:tcW w:w="836" w:type="dxa"/>
            <w:noWrap/>
            <w:hideMark/>
          </w:tcPr>
          <w:p w14:paraId="43509062" w14:textId="77777777" w:rsidR="00156FDC" w:rsidRPr="005050F3" w:rsidRDefault="00156FDC" w:rsidP="0077067A">
            <w:pPr>
              <w:pStyle w:val="ARtabletextright"/>
              <w:spacing w:before="50" w:after="30"/>
            </w:pPr>
            <w:r w:rsidRPr="005050F3">
              <w:t>0</w:t>
            </w:r>
          </w:p>
        </w:tc>
        <w:tc>
          <w:tcPr>
            <w:tcW w:w="836" w:type="dxa"/>
            <w:noWrap/>
            <w:hideMark/>
          </w:tcPr>
          <w:p w14:paraId="04BFDADE" w14:textId="77777777" w:rsidR="00156FDC" w:rsidRPr="005050F3" w:rsidRDefault="00156FDC" w:rsidP="0077067A">
            <w:pPr>
              <w:pStyle w:val="ARtabletextright"/>
              <w:spacing w:before="50" w:after="30"/>
            </w:pPr>
            <w:r w:rsidRPr="005050F3">
              <w:t>0</w:t>
            </w:r>
          </w:p>
        </w:tc>
        <w:tc>
          <w:tcPr>
            <w:tcW w:w="836" w:type="dxa"/>
            <w:noWrap/>
            <w:hideMark/>
          </w:tcPr>
          <w:p w14:paraId="4F3C3344" w14:textId="77777777" w:rsidR="00156FDC" w:rsidRPr="005050F3" w:rsidRDefault="00156FDC" w:rsidP="0077067A">
            <w:pPr>
              <w:pStyle w:val="ARtabletextright"/>
              <w:spacing w:before="50" w:after="30"/>
            </w:pPr>
            <w:r w:rsidRPr="005050F3">
              <w:t>0</w:t>
            </w:r>
          </w:p>
        </w:tc>
      </w:tr>
      <w:tr w:rsidR="00156FDC" w:rsidRPr="005050F3" w14:paraId="2F5DBB95" w14:textId="77777777" w:rsidTr="0077067A">
        <w:trPr>
          <w:cantSplit w:val="0"/>
          <w:trHeight w:val="255"/>
        </w:trPr>
        <w:tc>
          <w:tcPr>
            <w:tcW w:w="3969" w:type="dxa"/>
            <w:noWrap/>
            <w:hideMark/>
          </w:tcPr>
          <w:p w14:paraId="1299B6AA" w14:textId="77777777" w:rsidR="00156FDC" w:rsidRPr="005050F3" w:rsidRDefault="00156FDC" w:rsidP="0077067A">
            <w:pPr>
              <w:pStyle w:val="ARtabletext"/>
              <w:spacing w:before="50" w:after="30"/>
            </w:pPr>
            <w:r w:rsidRPr="005050F3">
              <w:t>East Grampians Health Service</w:t>
            </w:r>
          </w:p>
        </w:tc>
        <w:tc>
          <w:tcPr>
            <w:tcW w:w="836" w:type="dxa"/>
            <w:noWrap/>
            <w:hideMark/>
          </w:tcPr>
          <w:p w14:paraId="2E0146F7" w14:textId="77777777" w:rsidR="00156FDC" w:rsidRPr="005050F3" w:rsidRDefault="00156FDC" w:rsidP="0077067A">
            <w:pPr>
              <w:pStyle w:val="ARtabletextright"/>
              <w:spacing w:before="50" w:after="30"/>
            </w:pPr>
            <w:r w:rsidRPr="005050F3">
              <w:t>0</w:t>
            </w:r>
          </w:p>
        </w:tc>
        <w:tc>
          <w:tcPr>
            <w:tcW w:w="836" w:type="dxa"/>
            <w:noWrap/>
            <w:hideMark/>
          </w:tcPr>
          <w:p w14:paraId="020C35D8"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297A5738"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570B837"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605801A7" w14:textId="77777777" w:rsidR="00156FDC" w:rsidRPr="005050F3" w:rsidRDefault="00156FDC" w:rsidP="0077067A">
            <w:pPr>
              <w:pStyle w:val="ARtabletextright"/>
              <w:spacing w:before="50" w:after="30"/>
            </w:pPr>
            <w:r w:rsidRPr="005050F3">
              <w:t>0</w:t>
            </w:r>
          </w:p>
        </w:tc>
        <w:tc>
          <w:tcPr>
            <w:tcW w:w="836" w:type="dxa"/>
            <w:noWrap/>
            <w:hideMark/>
          </w:tcPr>
          <w:p w14:paraId="2B443E2F" w14:textId="77777777" w:rsidR="00156FDC" w:rsidRPr="005050F3" w:rsidRDefault="00156FDC" w:rsidP="0077067A">
            <w:pPr>
              <w:pStyle w:val="ARtabletextright"/>
              <w:spacing w:before="50" w:after="30"/>
            </w:pPr>
            <w:r w:rsidRPr="005050F3">
              <w:t>1</w:t>
            </w:r>
          </w:p>
        </w:tc>
        <w:tc>
          <w:tcPr>
            <w:tcW w:w="836" w:type="dxa"/>
            <w:noWrap/>
            <w:hideMark/>
          </w:tcPr>
          <w:p w14:paraId="741254BB"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7E498AF5"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6664D0F6" w14:textId="77777777" w:rsidR="00156FDC" w:rsidRPr="005050F3" w:rsidRDefault="00156FDC" w:rsidP="0077067A">
            <w:pPr>
              <w:pStyle w:val="ARtabletextright"/>
              <w:spacing w:before="50" w:after="30"/>
            </w:pPr>
            <w:r w:rsidRPr="005050F3">
              <w:t>0</w:t>
            </w:r>
          </w:p>
        </w:tc>
        <w:tc>
          <w:tcPr>
            <w:tcW w:w="836" w:type="dxa"/>
            <w:noWrap/>
            <w:hideMark/>
          </w:tcPr>
          <w:p w14:paraId="44B1663A" w14:textId="77777777" w:rsidR="00156FDC" w:rsidRPr="005050F3" w:rsidRDefault="00156FDC" w:rsidP="0077067A">
            <w:pPr>
              <w:pStyle w:val="ARtabletextright"/>
              <w:spacing w:before="50" w:after="30"/>
            </w:pPr>
            <w:r w:rsidRPr="005050F3">
              <w:t>0</w:t>
            </w:r>
          </w:p>
        </w:tc>
        <w:tc>
          <w:tcPr>
            <w:tcW w:w="836" w:type="dxa"/>
            <w:noWrap/>
            <w:hideMark/>
          </w:tcPr>
          <w:p w14:paraId="64AB9862" w14:textId="77777777" w:rsidR="00156FDC" w:rsidRPr="005050F3" w:rsidRDefault="00156FDC" w:rsidP="0077067A">
            <w:pPr>
              <w:pStyle w:val="ARtabletextright"/>
              <w:spacing w:before="50" w:after="30"/>
            </w:pPr>
            <w:r w:rsidRPr="005050F3">
              <w:t>0</w:t>
            </w:r>
          </w:p>
        </w:tc>
        <w:tc>
          <w:tcPr>
            <w:tcW w:w="836" w:type="dxa"/>
            <w:noWrap/>
            <w:hideMark/>
          </w:tcPr>
          <w:p w14:paraId="2601D539" w14:textId="77777777" w:rsidR="00156FDC" w:rsidRPr="005050F3" w:rsidRDefault="00156FDC" w:rsidP="0077067A">
            <w:pPr>
              <w:pStyle w:val="ARtabletextright"/>
              <w:spacing w:before="50" w:after="30"/>
            </w:pPr>
            <w:r w:rsidRPr="005050F3">
              <w:t>0</w:t>
            </w:r>
          </w:p>
        </w:tc>
      </w:tr>
      <w:tr w:rsidR="00156FDC" w:rsidRPr="005050F3" w14:paraId="3000331C" w14:textId="77777777" w:rsidTr="0077067A">
        <w:trPr>
          <w:cantSplit w:val="0"/>
          <w:trHeight w:val="255"/>
        </w:trPr>
        <w:tc>
          <w:tcPr>
            <w:tcW w:w="3969" w:type="dxa"/>
            <w:noWrap/>
            <w:hideMark/>
          </w:tcPr>
          <w:p w14:paraId="39F20EBB" w14:textId="77777777" w:rsidR="00156FDC" w:rsidRPr="005050F3" w:rsidRDefault="00156FDC" w:rsidP="0077067A">
            <w:pPr>
              <w:pStyle w:val="ARtabletext"/>
              <w:spacing w:before="50" w:after="30"/>
            </w:pPr>
            <w:r w:rsidRPr="005050F3">
              <w:t>East Wimmera Health Service</w:t>
            </w:r>
          </w:p>
        </w:tc>
        <w:tc>
          <w:tcPr>
            <w:tcW w:w="836" w:type="dxa"/>
            <w:noWrap/>
            <w:hideMark/>
          </w:tcPr>
          <w:p w14:paraId="162C0057" w14:textId="77777777" w:rsidR="00156FDC" w:rsidRPr="005050F3" w:rsidRDefault="00156FDC" w:rsidP="0077067A">
            <w:pPr>
              <w:pStyle w:val="ARtabletextright"/>
              <w:spacing w:before="50" w:after="30"/>
            </w:pPr>
            <w:r w:rsidRPr="005050F3">
              <w:t>0</w:t>
            </w:r>
          </w:p>
        </w:tc>
        <w:tc>
          <w:tcPr>
            <w:tcW w:w="836" w:type="dxa"/>
            <w:noWrap/>
            <w:hideMark/>
          </w:tcPr>
          <w:p w14:paraId="3115CC5E"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2C4E05EB"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4845E50F"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3C713E60" w14:textId="77777777" w:rsidR="00156FDC" w:rsidRPr="005050F3" w:rsidRDefault="00156FDC" w:rsidP="0077067A">
            <w:pPr>
              <w:pStyle w:val="ARtabletextright"/>
              <w:spacing w:before="50" w:after="30"/>
            </w:pPr>
            <w:r w:rsidRPr="005050F3">
              <w:t>0</w:t>
            </w:r>
          </w:p>
        </w:tc>
        <w:tc>
          <w:tcPr>
            <w:tcW w:w="836" w:type="dxa"/>
            <w:noWrap/>
            <w:hideMark/>
          </w:tcPr>
          <w:p w14:paraId="5F72BF1E" w14:textId="77777777" w:rsidR="00156FDC" w:rsidRPr="005050F3" w:rsidRDefault="00156FDC" w:rsidP="0077067A">
            <w:pPr>
              <w:pStyle w:val="ARtabletextright"/>
              <w:spacing w:before="50" w:after="30"/>
            </w:pPr>
            <w:r w:rsidRPr="005050F3">
              <w:t>1</w:t>
            </w:r>
          </w:p>
        </w:tc>
        <w:tc>
          <w:tcPr>
            <w:tcW w:w="836" w:type="dxa"/>
            <w:noWrap/>
            <w:hideMark/>
          </w:tcPr>
          <w:p w14:paraId="501ABE5C"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D05AECF"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4E0FF771" w14:textId="77777777" w:rsidR="00156FDC" w:rsidRPr="005050F3" w:rsidRDefault="00156FDC" w:rsidP="0077067A">
            <w:pPr>
              <w:pStyle w:val="ARtabletextright"/>
              <w:spacing w:before="50" w:after="30"/>
            </w:pPr>
            <w:r w:rsidRPr="005050F3">
              <w:t>0</w:t>
            </w:r>
          </w:p>
        </w:tc>
        <w:tc>
          <w:tcPr>
            <w:tcW w:w="836" w:type="dxa"/>
            <w:noWrap/>
            <w:hideMark/>
          </w:tcPr>
          <w:p w14:paraId="55948563" w14:textId="77777777" w:rsidR="00156FDC" w:rsidRPr="005050F3" w:rsidRDefault="00156FDC" w:rsidP="0077067A">
            <w:pPr>
              <w:pStyle w:val="ARtabletextright"/>
              <w:spacing w:before="50" w:after="30"/>
            </w:pPr>
            <w:r w:rsidRPr="005050F3">
              <w:t>0</w:t>
            </w:r>
          </w:p>
        </w:tc>
        <w:tc>
          <w:tcPr>
            <w:tcW w:w="836" w:type="dxa"/>
            <w:noWrap/>
            <w:hideMark/>
          </w:tcPr>
          <w:p w14:paraId="3DCE10EA" w14:textId="77777777" w:rsidR="00156FDC" w:rsidRPr="005050F3" w:rsidRDefault="00156FDC" w:rsidP="0077067A">
            <w:pPr>
              <w:pStyle w:val="ARtabletextright"/>
              <w:spacing w:before="50" w:after="30"/>
            </w:pPr>
            <w:r w:rsidRPr="005050F3">
              <w:t>0</w:t>
            </w:r>
          </w:p>
        </w:tc>
        <w:tc>
          <w:tcPr>
            <w:tcW w:w="836" w:type="dxa"/>
            <w:noWrap/>
            <w:hideMark/>
          </w:tcPr>
          <w:p w14:paraId="256BB4B4" w14:textId="77777777" w:rsidR="00156FDC" w:rsidRPr="005050F3" w:rsidRDefault="00156FDC" w:rsidP="0077067A">
            <w:pPr>
              <w:pStyle w:val="ARtabletextright"/>
              <w:spacing w:before="50" w:after="30"/>
            </w:pPr>
            <w:r w:rsidRPr="005050F3">
              <w:t>0</w:t>
            </w:r>
          </w:p>
        </w:tc>
      </w:tr>
      <w:tr w:rsidR="00156FDC" w:rsidRPr="005050F3" w14:paraId="18164D48" w14:textId="77777777" w:rsidTr="0077067A">
        <w:trPr>
          <w:cantSplit w:val="0"/>
          <w:trHeight w:val="255"/>
        </w:trPr>
        <w:tc>
          <w:tcPr>
            <w:tcW w:w="3969" w:type="dxa"/>
            <w:noWrap/>
            <w:hideMark/>
          </w:tcPr>
          <w:p w14:paraId="12B58B39" w14:textId="77777777" w:rsidR="00156FDC" w:rsidRPr="005050F3" w:rsidRDefault="00156FDC" w:rsidP="0077067A">
            <w:pPr>
              <w:pStyle w:val="ARtabletext"/>
              <w:spacing w:before="50" w:after="30"/>
            </w:pPr>
            <w:r w:rsidRPr="005050F3">
              <w:t>Eastern Health</w:t>
            </w:r>
          </w:p>
        </w:tc>
        <w:tc>
          <w:tcPr>
            <w:tcW w:w="836" w:type="dxa"/>
            <w:noWrap/>
            <w:hideMark/>
          </w:tcPr>
          <w:p w14:paraId="59AAB936" w14:textId="77777777" w:rsidR="00156FDC" w:rsidRPr="005050F3" w:rsidRDefault="00156FDC" w:rsidP="0077067A">
            <w:pPr>
              <w:pStyle w:val="ARtabletextright"/>
              <w:spacing w:before="50" w:after="30"/>
            </w:pPr>
            <w:r w:rsidRPr="005050F3">
              <w:t>5</w:t>
            </w:r>
          </w:p>
        </w:tc>
        <w:tc>
          <w:tcPr>
            <w:tcW w:w="836" w:type="dxa"/>
            <w:noWrap/>
            <w:hideMark/>
          </w:tcPr>
          <w:p w14:paraId="05902C9B" w14:textId="77777777" w:rsidR="00156FDC" w:rsidRPr="005050F3" w:rsidRDefault="00156FDC" w:rsidP="0077067A">
            <w:pPr>
              <w:pStyle w:val="ARtabletextright"/>
              <w:spacing w:before="50" w:after="30"/>
            </w:pPr>
            <w:r w:rsidRPr="005050F3">
              <w:t>2</w:t>
            </w:r>
          </w:p>
        </w:tc>
        <w:tc>
          <w:tcPr>
            <w:tcW w:w="836" w:type="dxa"/>
            <w:tcBorders>
              <w:top w:val="single" w:sz="4" w:space="0" w:color="auto"/>
            </w:tcBorders>
            <w:noWrap/>
            <w:hideMark/>
          </w:tcPr>
          <w:p w14:paraId="070BDD93"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6D400AC5" w14:textId="77777777" w:rsidR="00156FDC" w:rsidRPr="005050F3" w:rsidRDefault="00156FDC" w:rsidP="0077067A">
            <w:pPr>
              <w:pStyle w:val="ARtabletextright"/>
              <w:spacing w:before="50" w:after="30"/>
            </w:pPr>
            <w:r w:rsidRPr="005050F3">
              <w:t>7</w:t>
            </w:r>
          </w:p>
        </w:tc>
        <w:tc>
          <w:tcPr>
            <w:tcW w:w="836" w:type="dxa"/>
            <w:tcBorders>
              <w:left w:val="single" w:sz="4" w:space="0" w:color="000000"/>
            </w:tcBorders>
            <w:noWrap/>
            <w:hideMark/>
          </w:tcPr>
          <w:p w14:paraId="4CEA1483" w14:textId="77777777" w:rsidR="00156FDC" w:rsidRPr="005050F3" w:rsidRDefault="00156FDC" w:rsidP="0077067A">
            <w:pPr>
              <w:pStyle w:val="ARtabletextright"/>
              <w:spacing w:before="50" w:after="30"/>
            </w:pPr>
            <w:r w:rsidRPr="005050F3">
              <w:t>5</w:t>
            </w:r>
          </w:p>
        </w:tc>
        <w:tc>
          <w:tcPr>
            <w:tcW w:w="836" w:type="dxa"/>
            <w:noWrap/>
            <w:hideMark/>
          </w:tcPr>
          <w:p w14:paraId="4B21C37A" w14:textId="77777777" w:rsidR="00156FDC" w:rsidRPr="005050F3" w:rsidRDefault="00156FDC" w:rsidP="0077067A">
            <w:pPr>
              <w:pStyle w:val="ARtabletextright"/>
              <w:spacing w:before="50" w:after="30"/>
            </w:pPr>
            <w:r w:rsidRPr="005050F3">
              <w:t>3</w:t>
            </w:r>
          </w:p>
        </w:tc>
        <w:tc>
          <w:tcPr>
            <w:tcW w:w="836" w:type="dxa"/>
            <w:noWrap/>
            <w:hideMark/>
          </w:tcPr>
          <w:p w14:paraId="6954E9A6"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79946655" w14:textId="77777777" w:rsidR="00156FDC" w:rsidRPr="005050F3" w:rsidRDefault="00156FDC" w:rsidP="0077067A">
            <w:pPr>
              <w:pStyle w:val="ARtabletextright"/>
              <w:spacing w:before="50" w:after="30"/>
            </w:pPr>
            <w:r w:rsidRPr="005050F3">
              <w:t>8</w:t>
            </w:r>
          </w:p>
        </w:tc>
        <w:tc>
          <w:tcPr>
            <w:tcW w:w="836" w:type="dxa"/>
            <w:tcBorders>
              <w:left w:val="single" w:sz="4" w:space="0" w:color="000000"/>
            </w:tcBorders>
            <w:noWrap/>
            <w:hideMark/>
          </w:tcPr>
          <w:p w14:paraId="4D26D3B3" w14:textId="77777777" w:rsidR="00156FDC" w:rsidRPr="005050F3" w:rsidRDefault="00156FDC" w:rsidP="0077067A">
            <w:pPr>
              <w:pStyle w:val="ARtabletextright"/>
              <w:spacing w:before="50" w:after="30"/>
            </w:pPr>
            <w:r w:rsidRPr="005050F3">
              <w:t>0</w:t>
            </w:r>
          </w:p>
        </w:tc>
        <w:tc>
          <w:tcPr>
            <w:tcW w:w="836" w:type="dxa"/>
            <w:noWrap/>
            <w:hideMark/>
          </w:tcPr>
          <w:p w14:paraId="6594476D" w14:textId="1AA15F33" w:rsidR="00156FDC" w:rsidRPr="005050F3" w:rsidRDefault="00FA72CF" w:rsidP="0077067A">
            <w:pPr>
              <w:pStyle w:val="ARtabletextright"/>
              <w:spacing w:before="50" w:after="30"/>
            </w:pPr>
            <w:r>
              <w:t>−</w:t>
            </w:r>
            <w:r w:rsidR="00156FDC" w:rsidRPr="005050F3">
              <w:t>1</w:t>
            </w:r>
          </w:p>
        </w:tc>
        <w:tc>
          <w:tcPr>
            <w:tcW w:w="836" w:type="dxa"/>
            <w:noWrap/>
            <w:hideMark/>
          </w:tcPr>
          <w:p w14:paraId="048512CB" w14:textId="77777777" w:rsidR="00156FDC" w:rsidRPr="005050F3" w:rsidRDefault="00156FDC" w:rsidP="0077067A">
            <w:pPr>
              <w:pStyle w:val="ARtabletextright"/>
              <w:spacing w:before="50" w:after="30"/>
            </w:pPr>
            <w:r w:rsidRPr="005050F3">
              <w:t>0</w:t>
            </w:r>
          </w:p>
        </w:tc>
        <w:tc>
          <w:tcPr>
            <w:tcW w:w="836" w:type="dxa"/>
            <w:noWrap/>
            <w:hideMark/>
          </w:tcPr>
          <w:p w14:paraId="002EA255" w14:textId="652EF1D3" w:rsidR="00156FDC" w:rsidRPr="005050F3" w:rsidRDefault="00FA72CF" w:rsidP="0077067A">
            <w:pPr>
              <w:pStyle w:val="ARtabletextright"/>
              <w:spacing w:before="50" w:after="30"/>
            </w:pPr>
            <w:r>
              <w:t>−</w:t>
            </w:r>
            <w:r w:rsidR="00156FDC" w:rsidRPr="005050F3">
              <w:t>1</w:t>
            </w:r>
          </w:p>
        </w:tc>
      </w:tr>
      <w:tr w:rsidR="00156FDC" w:rsidRPr="005050F3" w14:paraId="0DE0F63E" w14:textId="77777777" w:rsidTr="0077067A">
        <w:trPr>
          <w:cantSplit w:val="0"/>
          <w:trHeight w:val="255"/>
        </w:trPr>
        <w:tc>
          <w:tcPr>
            <w:tcW w:w="3969" w:type="dxa"/>
            <w:noWrap/>
            <w:hideMark/>
          </w:tcPr>
          <w:p w14:paraId="2A9F71B1" w14:textId="77777777" w:rsidR="00156FDC" w:rsidRPr="005050F3" w:rsidRDefault="00156FDC" w:rsidP="0077067A">
            <w:pPr>
              <w:pStyle w:val="ARtabletext"/>
              <w:spacing w:before="50" w:after="30"/>
            </w:pPr>
            <w:r w:rsidRPr="005050F3">
              <w:t>Echuca Regional Health</w:t>
            </w:r>
          </w:p>
        </w:tc>
        <w:tc>
          <w:tcPr>
            <w:tcW w:w="836" w:type="dxa"/>
            <w:noWrap/>
            <w:hideMark/>
          </w:tcPr>
          <w:p w14:paraId="41D94D6D" w14:textId="77777777" w:rsidR="00156FDC" w:rsidRPr="005050F3" w:rsidRDefault="00156FDC" w:rsidP="0077067A">
            <w:pPr>
              <w:pStyle w:val="ARtabletextright"/>
              <w:spacing w:before="50" w:after="30"/>
            </w:pPr>
            <w:r w:rsidRPr="005050F3">
              <w:t>2</w:t>
            </w:r>
          </w:p>
        </w:tc>
        <w:tc>
          <w:tcPr>
            <w:tcW w:w="836" w:type="dxa"/>
            <w:noWrap/>
            <w:hideMark/>
          </w:tcPr>
          <w:p w14:paraId="487C2E81"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5F10F7E2"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9027DF5" w14:textId="77777777" w:rsidR="00156FDC" w:rsidRPr="005050F3" w:rsidRDefault="00156FDC" w:rsidP="0077067A">
            <w:pPr>
              <w:pStyle w:val="ARtabletextright"/>
              <w:spacing w:before="50" w:after="30"/>
            </w:pPr>
            <w:r w:rsidRPr="005050F3">
              <w:t>2</w:t>
            </w:r>
          </w:p>
        </w:tc>
        <w:tc>
          <w:tcPr>
            <w:tcW w:w="836" w:type="dxa"/>
            <w:tcBorders>
              <w:left w:val="single" w:sz="4" w:space="0" w:color="000000"/>
            </w:tcBorders>
            <w:noWrap/>
            <w:hideMark/>
          </w:tcPr>
          <w:p w14:paraId="5FA6E636" w14:textId="77777777" w:rsidR="00156FDC" w:rsidRPr="005050F3" w:rsidRDefault="00156FDC" w:rsidP="0077067A">
            <w:pPr>
              <w:pStyle w:val="ARtabletextright"/>
              <w:spacing w:before="50" w:after="30"/>
            </w:pPr>
            <w:r w:rsidRPr="005050F3">
              <w:t>1</w:t>
            </w:r>
          </w:p>
        </w:tc>
        <w:tc>
          <w:tcPr>
            <w:tcW w:w="836" w:type="dxa"/>
            <w:noWrap/>
            <w:hideMark/>
          </w:tcPr>
          <w:p w14:paraId="20DA8707" w14:textId="77777777" w:rsidR="00156FDC" w:rsidRPr="005050F3" w:rsidRDefault="00156FDC" w:rsidP="0077067A">
            <w:pPr>
              <w:pStyle w:val="ARtabletextright"/>
              <w:spacing w:before="50" w:after="30"/>
            </w:pPr>
            <w:r w:rsidRPr="005050F3">
              <w:t>1</w:t>
            </w:r>
          </w:p>
        </w:tc>
        <w:tc>
          <w:tcPr>
            <w:tcW w:w="836" w:type="dxa"/>
            <w:noWrap/>
            <w:hideMark/>
          </w:tcPr>
          <w:p w14:paraId="7A7AD01C"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48EC7B1" w14:textId="77777777" w:rsidR="00156FDC" w:rsidRPr="005050F3" w:rsidRDefault="00156FDC" w:rsidP="0077067A">
            <w:pPr>
              <w:pStyle w:val="ARtabletextright"/>
              <w:spacing w:before="50" w:after="30"/>
            </w:pPr>
            <w:r w:rsidRPr="005050F3">
              <w:t>2</w:t>
            </w:r>
          </w:p>
        </w:tc>
        <w:tc>
          <w:tcPr>
            <w:tcW w:w="836" w:type="dxa"/>
            <w:tcBorders>
              <w:left w:val="single" w:sz="4" w:space="0" w:color="000000"/>
            </w:tcBorders>
            <w:noWrap/>
            <w:hideMark/>
          </w:tcPr>
          <w:p w14:paraId="048FC55E" w14:textId="77777777" w:rsidR="00156FDC" w:rsidRPr="005050F3" w:rsidRDefault="00156FDC" w:rsidP="0077067A">
            <w:pPr>
              <w:pStyle w:val="ARtabletextright"/>
              <w:spacing w:before="50" w:after="30"/>
            </w:pPr>
            <w:r w:rsidRPr="005050F3">
              <w:t>1</w:t>
            </w:r>
          </w:p>
        </w:tc>
        <w:tc>
          <w:tcPr>
            <w:tcW w:w="836" w:type="dxa"/>
            <w:noWrap/>
            <w:hideMark/>
          </w:tcPr>
          <w:p w14:paraId="1A93687D" w14:textId="7F01ABDF" w:rsidR="00156FDC" w:rsidRPr="005050F3" w:rsidRDefault="00FA72CF" w:rsidP="0077067A">
            <w:pPr>
              <w:pStyle w:val="ARtabletextright"/>
              <w:spacing w:before="50" w:after="30"/>
            </w:pPr>
            <w:r>
              <w:t>−</w:t>
            </w:r>
            <w:r w:rsidR="00156FDC" w:rsidRPr="005050F3">
              <w:t>1</w:t>
            </w:r>
          </w:p>
        </w:tc>
        <w:tc>
          <w:tcPr>
            <w:tcW w:w="836" w:type="dxa"/>
            <w:noWrap/>
            <w:hideMark/>
          </w:tcPr>
          <w:p w14:paraId="241C45E0" w14:textId="77777777" w:rsidR="00156FDC" w:rsidRPr="005050F3" w:rsidRDefault="00156FDC" w:rsidP="0077067A">
            <w:pPr>
              <w:pStyle w:val="ARtabletextright"/>
              <w:spacing w:before="50" w:after="30"/>
            </w:pPr>
            <w:r w:rsidRPr="005050F3">
              <w:t>0</w:t>
            </w:r>
          </w:p>
        </w:tc>
        <w:tc>
          <w:tcPr>
            <w:tcW w:w="836" w:type="dxa"/>
            <w:noWrap/>
            <w:hideMark/>
          </w:tcPr>
          <w:p w14:paraId="6BB15A45" w14:textId="77777777" w:rsidR="00156FDC" w:rsidRPr="005050F3" w:rsidRDefault="00156FDC" w:rsidP="0077067A">
            <w:pPr>
              <w:pStyle w:val="ARtabletextright"/>
              <w:spacing w:before="50" w:after="30"/>
            </w:pPr>
            <w:r w:rsidRPr="005050F3">
              <w:t>0</w:t>
            </w:r>
          </w:p>
        </w:tc>
      </w:tr>
      <w:tr w:rsidR="00156FDC" w:rsidRPr="005050F3" w14:paraId="2B624253" w14:textId="77777777" w:rsidTr="0077067A">
        <w:trPr>
          <w:cantSplit w:val="0"/>
          <w:trHeight w:val="255"/>
        </w:trPr>
        <w:tc>
          <w:tcPr>
            <w:tcW w:w="3969" w:type="dxa"/>
            <w:noWrap/>
            <w:hideMark/>
          </w:tcPr>
          <w:p w14:paraId="0A534EAA" w14:textId="77777777" w:rsidR="00156FDC" w:rsidRPr="005050F3" w:rsidRDefault="00156FDC" w:rsidP="0077067A">
            <w:pPr>
              <w:pStyle w:val="ARtabletext"/>
              <w:spacing w:before="50" w:after="30"/>
            </w:pPr>
            <w:r w:rsidRPr="005050F3">
              <w:t>Gippsland Southern Health Service</w:t>
            </w:r>
          </w:p>
        </w:tc>
        <w:tc>
          <w:tcPr>
            <w:tcW w:w="836" w:type="dxa"/>
            <w:noWrap/>
            <w:hideMark/>
          </w:tcPr>
          <w:p w14:paraId="38FD94B1" w14:textId="77777777" w:rsidR="00156FDC" w:rsidRPr="005050F3" w:rsidRDefault="00156FDC" w:rsidP="0077067A">
            <w:pPr>
              <w:pStyle w:val="ARtabletextright"/>
              <w:spacing w:before="50" w:after="30"/>
            </w:pPr>
            <w:r w:rsidRPr="005050F3">
              <w:t>0</w:t>
            </w:r>
          </w:p>
        </w:tc>
        <w:tc>
          <w:tcPr>
            <w:tcW w:w="836" w:type="dxa"/>
            <w:noWrap/>
            <w:hideMark/>
          </w:tcPr>
          <w:p w14:paraId="733E2855"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329E4382"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7C90AB03"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54FD9BA8" w14:textId="77777777" w:rsidR="00156FDC" w:rsidRPr="005050F3" w:rsidRDefault="00156FDC" w:rsidP="0077067A">
            <w:pPr>
              <w:pStyle w:val="ARtabletextright"/>
              <w:spacing w:before="50" w:after="30"/>
            </w:pPr>
            <w:r w:rsidRPr="005050F3">
              <w:t>0</w:t>
            </w:r>
          </w:p>
        </w:tc>
        <w:tc>
          <w:tcPr>
            <w:tcW w:w="836" w:type="dxa"/>
            <w:noWrap/>
            <w:hideMark/>
          </w:tcPr>
          <w:p w14:paraId="204968C1" w14:textId="77777777" w:rsidR="00156FDC" w:rsidRPr="005050F3" w:rsidRDefault="00156FDC" w:rsidP="0077067A">
            <w:pPr>
              <w:pStyle w:val="ARtabletextright"/>
              <w:spacing w:before="50" w:after="30"/>
            </w:pPr>
            <w:r w:rsidRPr="005050F3">
              <w:t>2</w:t>
            </w:r>
          </w:p>
        </w:tc>
        <w:tc>
          <w:tcPr>
            <w:tcW w:w="836" w:type="dxa"/>
            <w:noWrap/>
            <w:hideMark/>
          </w:tcPr>
          <w:p w14:paraId="3B447D18"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4D7FD869" w14:textId="77777777" w:rsidR="00156FDC" w:rsidRPr="005050F3" w:rsidRDefault="00156FDC" w:rsidP="0077067A">
            <w:pPr>
              <w:pStyle w:val="ARtabletextright"/>
              <w:spacing w:before="50" w:after="30"/>
            </w:pPr>
            <w:r w:rsidRPr="005050F3">
              <w:t>2</w:t>
            </w:r>
          </w:p>
        </w:tc>
        <w:tc>
          <w:tcPr>
            <w:tcW w:w="836" w:type="dxa"/>
            <w:tcBorders>
              <w:left w:val="single" w:sz="4" w:space="0" w:color="000000"/>
            </w:tcBorders>
            <w:noWrap/>
            <w:hideMark/>
          </w:tcPr>
          <w:p w14:paraId="3C9E140E" w14:textId="77777777" w:rsidR="00156FDC" w:rsidRPr="005050F3" w:rsidRDefault="00156FDC" w:rsidP="0077067A">
            <w:pPr>
              <w:pStyle w:val="ARtabletextright"/>
              <w:spacing w:before="50" w:after="30"/>
            </w:pPr>
            <w:r w:rsidRPr="005050F3">
              <w:t>0</w:t>
            </w:r>
          </w:p>
        </w:tc>
        <w:tc>
          <w:tcPr>
            <w:tcW w:w="836" w:type="dxa"/>
            <w:noWrap/>
            <w:hideMark/>
          </w:tcPr>
          <w:p w14:paraId="177423BF" w14:textId="64F54DA9" w:rsidR="00156FDC" w:rsidRPr="005050F3" w:rsidRDefault="00FA72CF" w:rsidP="0077067A">
            <w:pPr>
              <w:pStyle w:val="ARtabletextright"/>
              <w:spacing w:before="50" w:after="30"/>
            </w:pPr>
            <w:r>
              <w:t>−</w:t>
            </w:r>
            <w:r w:rsidR="00156FDC" w:rsidRPr="005050F3">
              <w:t>1</w:t>
            </w:r>
          </w:p>
        </w:tc>
        <w:tc>
          <w:tcPr>
            <w:tcW w:w="836" w:type="dxa"/>
            <w:noWrap/>
            <w:hideMark/>
          </w:tcPr>
          <w:p w14:paraId="5D8C14E0" w14:textId="77777777" w:rsidR="00156FDC" w:rsidRPr="005050F3" w:rsidRDefault="00156FDC" w:rsidP="0077067A">
            <w:pPr>
              <w:pStyle w:val="ARtabletextright"/>
              <w:spacing w:before="50" w:after="30"/>
            </w:pPr>
            <w:r w:rsidRPr="005050F3">
              <w:t>0</w:t>
            </w:r>
          </w:p>
        </w:tc>
        <w:tc>
          <w:tcPr>
            <w:tcW w:w="836" w:type="dxa"/>
            <w:noWrap/>
            <w:hideMark/>
          </w:tcPr>
          <w:p w14:paraId="6209C1F2" w14:textId="763C84A3" w:rsidR="00156FDC" w:rsidRPr="005050F3" w:rsidRDefault="00FA72CF" w:rsidP="0077067A">
            <w:pPr>
              <w:pStyle w:val="ARtabletextright"/>
              <w:spacing w:before="50" w:after="30"/>
            </w:pPr>
            <w:r>
              <w:t>−</w:t>
            </w:r>
            <w:r w:rsidR="00156FDC" w:rsidRPr="005050F3">
              <w:t>1</w:t>
            </w:r>
          </w:p>
        </w:tc>
      </w:tr>
      <w:tr w:rsidR="00156FDC" w:rsidRPr="005050F3" w14:paraId="22BA3C52" w14:textId="77777777" w:rsidTr="0077067A">
        <w:trPr>
          <w:cantSplit w:val="0"/>
          <w:trHeight w:val="255"/>
        </w:trPr>
        <w:tc>
          <w:tcPr>
            <w:tcW w:w="3969" w:type="dxa"/>
            <w:noWrap/>
            <w:hideMark/>
          </w:tcPr>
          <w:p w14:paraId="739722B8" w14:textId="77777777" w:rsidR="00156FDC" w:rsidRPr="005050F3" w:rsidRDefault="00156FDC" w:rsidP="0077067A">
            <w:pPr>
              <w:pStyle w:val="ARtabletext"/>
              <w:spacing w:before="50" w:after="30"/>
            </w:pPr>
            <w:r w:rsidRPr="005050F3">
              <w:t>Goulburn Valley Health Services</w:t>
            </w:r>
          </w:p>
        </w:tc>
        <w:tc>
          <w:tcPr>
            <w:tcW w:w="836" w:type="dxa"/>
            <w:noWrap/>
            <w:hideMark/>
          </w:tcPr>
          <w:p w14:paraId="081BF25F" w14:textId="77777777" w:rsidR="00156FDC" w:rsidRPr="005050F3" w:rsidRDefault="00156FDC" w:rsidP="0077067A">
            <w:pPr>
              <w:pStyle w:val="ARtabletextright"/>
              <w:spacing w:before="50" w:after="30"/>
            </w:pPr>
            <w:r w:rsidRPr="005050F3">
              <w:t>4</w:t>
            </w:r>
          </w:p>
        </w:tc>
        <w:tc>
          <w:tcPr>
            <w:tcW w:w="836" w:type="dxa"/>
            <w:noWrap/>
            <w:hideMark/>
          </w:tcPr>
          <w:p w14:paraId="332DCDDA" w14:textId="77777777" w:rsidR="00156FDC" w:rsidRPr="005050F3" w:rsidRDefault="00156FDC" w:rsidP="0077067A">
            <w:pPr>
              <w:pStyle w:val="ARtabletextright"/>
              <w:spacing w:before="50" w:after="30"/>
            </w:pPr>
            <w:r w:rsidRPr="005050F3">
              <w:t>4</w:t>
            </w:r>
          </w:p>
        </w:tc>
        <w:tc>
          <w:tcPr>
            <w:tcW w:w="836" w:type="dxa"/>
            <w:tcBorders>
              <w:top w:val="single" w:sz="4" w:space="0" w:color="auto"/>
            </w:tcBorders>
            <w:noWrap/>
            <w:hideMark/>
          </w:tcPr>
          <w:p w14:paraId="7F3EE587"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AF87B3C" w14:textId="77777777" w:rsidR="00156FDC" w:rsidRPr="005050F3" w:rsidRDefault="00156FDC" w:rsidP="0077067A">
            <w:pPr>
              <w:pStyle w:val="ARtabletextright"/>
              <w:spacing w:before="50" w:after="30"/>
            </w:pPr>
            <w:r w:rsidRPr="005050F3">
              <w:t>8</w:t>
            </w:r>
          </w:p>
        </w:tc>
        <w:tc>
          <w:tcPr>
            <w:tcW w:w="836" w:type="dxa"/>
            <w:tcBorders>
              <w:left w:val="single" w:sz="4" w:space="0" w:color="000000"/>
            </w:tcBorders>
            <w:noWrap/>
            <w:hideMark/>
          </w:tcPr>
          <w:p w14:paraId="199C64C5" w14:textId="77777777" w:rsidR="00156FDC" w:rsidRPr="005050F3" w:rsidRDefault="00156FDC" w:rsidP="0077067A">
            <w:pPr>
              <w:pStyle w:val="ARtabletextright"/>
              <w:spacing w:before="50" w:after="30"/>
            </w:pPr>
            <w:r w:rsidRPr="005050F3">
              <w:t>4</w:t>
            </w:r>
          </w:p>
        </w:tc>
        <w:tc>
          <w:tcPr>
            <w:tcW w:w="836" w:type="dxa"/>
            <w:noWrap/>
            <w:hideMark/>
          </w:tcPr>
          <w:p w14:paraId="1FD2A758" w14:textId="77777777" w:rsidR="00156FDC" w:rsidRPr="005050F3" w:rsidRDefault="00156FDC" w:rsidP="0077067A">
            <w:pPr>
              <w:pStyle w:val="ARtabletextright"/>
              <w:spacing w:before="50" w:after="30"/>
            </w:pPr>
            <w:r w:rsidRPr="005050F3">
              <w:t>3</w:t>
            </w:r>
          </w:p>
        </w:tc>
        <w:tc>
          <w:tcPr>
            <w:tcW w:w="836" w:type="dxa"/>
            <w:noWrap/>
            <w:hideMark/>
          </w:tcPr>
          <w:p w14:paraId="6F6AA346"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69069922" w14:textId="77777777" w:rsidR="00156FDC" w:rsidRPr="005050F3" w:rsidRDefault="00156FDC" w:rsidP="0077067A">
            <w:pPr>
              <w:pStyle w:val="ARtabletextright"/>
              <w:spacing w:before="50" w:after="30"/>
            </w:pPr>
            <w:r w:rsidRPr="005050F3">
              <w:t>7</w:t>
            </w:r>
          </w:p>
        </w:tc>
        <w:tc>
          <w:tcPr>
            <w:tcW w:w="836" w:type="dxa"/>
            <w:tcBorders>
              <w:left w:val="single" w:sz="4" w:space="0" w:color="000000"/>
            </w:tcBorders>
            <w:noWrap/>
            <w:hideMark/>
          </w:tcPr>
          <w:p w14:paraId="3D2D8BFD" w14:textId="77777777" w:rsidR="00156FDC" w:rsidRPr="005050F3" w:rsidRDefault="00156FDC" w:rsidP="0077067A">
            <w:pPr>
              <w:pStyle w:val="ARtabletextright"/>
              <w:spacing w:before="50" w:after="30"/>
            </w:pPr>
            <w:r w:rsidRPr="005050F3">
              <w:t>0</w:t>
            </w:r>
          </w:p>
        </w:tc>
        <w:tc>
          <w:tcPr>
            <w:tcW w:w="836" w:type="dxa"/>
            <w:noWrap/>
            <w:hideMark/>
          </w:tcPr>
          <w:p w14:paraId="17602C33" w14:textId="77777777" w:rsidR="00156FDC" w:rsidRPr="005050F3" w:rsidRDefault="00156FDC" w:rsidP="0077067A">
            <w:pPr>
              <w:pStyle w:val="ARtabletextright"/>
              <w:spacing w:before="50" w:after="30"/>
            </w:pPr>
            <w:r w:rsidRPr="005050F3">
              <w:t>1</w:t>
            </w:r>
          </w:p>
        </w:tc>
        <w:tc>
          <w:tcPr>
            <w:tcW w:w="836" w:type="dxa"/>
            <w:noWrap/>
            <w:hideMark/>
          </w:tcPr>
          <w:p w14:paraId="5F8C5859" w14:textId="77777777" w:rsidR="00156FDC" w:rsidRPr="005050F3" w:rsidRDefault="00156FDC" w:rsidP="0077067A">
            <w:pPr>
              <w:pStyle w:val="ARtabletextright"/>
              <w:spacing w:before="50" w:after="30"/>
            </w:pPr>
            <w:r w:rsidRPr="005050F3">
              <w:t>0</w:t>
            </w:r>
          </w:p>
        </w:tc>
        <w:tc>
          <w:tcPr>
            <w:tcW w:w="836" w:type="dxa"/>
            <w:noWrap/>
            <w:hideMark/>
          </w:tcPr>
          <w:p w14:paraId="26263489" w14:textId="77777777" w:rsidR="00156FDC" w:rsidRPr="005050F3" w:rsidRDefault="00156FDC" w:rsidP="0077067A">
            <w:pPr>
              <w:pStyle w:val="ARtabletextright"/>
              <w:spacing w:before="50" w:after="30"/>
            </w:pPr>
            <w:r w:rsidRPr="005050F3">
              <w:t>1</w:t>
            </w:r>
          </w:p>
        </w:tc>
      </w:tr>
      <w:tr w:rsidR="00156FDC" w:rsidRPr="005050F3" w14:paraId="3281ECB7" w14:textId="77777777" w:rsidTr="0077067A">
        <w:trPr>
          <w:cantSplit w:val="0"/>
          <w:trHeight w:val="255"/>
        </w:trPr>
        <w:tc>
          <w:tcPr>
            <w:tcW w:w="3969" w:type="dxa"/>
            <w:noWrap/>
            <w:hideMark/>
          </w:tcPr>
          <w:p w14:paraId="5DA8D361" w14:textId="454EBC8D" w:rsidR="00156FDC" w:rsidRPr="005050F3" w:rsidRDefault="00156FDC" w:rsidP="0077067A">
            <w:pPr>
              <w:pStyle w:val="ARtabletext"/>
              <w:spacing w:before="50" w:after="30"/>
            </w:pPr>
            <w:r w:rsidRPr="005050F3">
              <w:t>Grampians Health</w:t>
            </w:r>
          </w:p>
        </w:tc>
        <w:tc>
          <w:tcPr>
            <w:tcW w:w="836" w:type="dxa"/>
            <w:noWrap/>
            <w:hideMark/>
          </w:tcPr>
          <w:p w14:paraId="30C215EB" w14:textId="77777777" w:rsidR="00156FDC" w:rsidRPr="005050F3" w:rsidRDefault="00156FDC" w:rsidP="0077067A">
            <w:pPr>
              <w:pStyle w:val="ARtabletextright"/>
              <w:spacing w:before="50" w:after="30"/>
            </w:pPr>
            <w:r w:rsidRPr="005050F3">
              <w:t>3</w:t>
            </w:r>
          </w:p>
        </w:tc>
        <w:tc>
          <w:tcPr>
            <w:tcW w:w="836" w:type="dxa"/>
            <w:noWrap/>
            <w:hideMark/>
          </w:tcPr>
          <w:p w14:paraId="20CF9E82" w14:textId="77777777" w:rsidR="00156FDC" w:rsidRPr="005050F3" w:rsidRDefault="00156FDC" w:rsidP="0077067A">
            <w:pPr>
              <w:pStyle w:val="ARtabletextright"/>
              <w:spacing w:before="50" w:after="30"/>
            </w:pPr>
            <w:r w:rsidRPr="005050F3">
              <w:t>6</w:t>
            </w:r>
          </w:p>
        </w:tc>
        <w:tc>
          <w:tcPr>
            <w:tcW w:w="836" w:type="dxa"/>
            <w:tcBorders>
              <w:top w:val="single" w:sz="4" w:space="0" w:color="auto"/>
            </w:tcBorders>
            <w:noWrap/>
            <w:hideMark/>
          </w:tcPr>
          <w:p w14:paraId="5800954D"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96C8E08" w14:textId="77777777" w:rsidR="00156FDC" w:rsidRPr="005050F3" w:rsidRDefault="00156FDC" w:rsidP="0077067A">
            <w:pPr>
              <w:pStyle w:val="ARtabletextright"/>
              <w:spacing w:before="50" w:after="30"/>
            </w:pPr>
            <w:r w:rsidRPr="005050F3">
              <w:t>9</w:t>
            </w:r>
          </w:p>
        </w:tc>
        <w:tc>
          <w:tcPr>
            <w:tcW w:w="836" w:type="dxa"/>
            <w:tcBorders>
              <w:left w:val="single" w:sz="4" w:space="0" w:color="000000"/>
            </w:tcBorders>
            <w:noWrap/>
            <w:hideMark/>
          </w:tcPr>
          <w:p w14:paraId="44918154" w14:textId="77777777" w:rsidR="00156FDC" w:rsidRPr="005050F3" w:rsidRDefault="00156FDC" w:rsidP="0077067A">
            <w:pPr>
              <w:pStyle w:val="ARtabletextright"/>
              <w:spacing w:before="50" w:after="30"/>
            </w:pPr>
            <w:r w:rsidRPr="005050F3">
              <w:t>6</w:t>
            </w:r>
          </w:p>
        </w:tc>
        <w:tc>
          <w:tcPr>
            <w:tcW w:w="836" w:type="dxa"/>
            <w:noWrap/>
            <w:hideMark/>
          </w:tcPr>
          <w:p w14:paraId="1D1B44BE" w14:textId="77777777" w:rsidR="00156FDC" w:rsidRPr="005050F3" w:rsidRDefault="00156FDC" w:rsidP="0077067A">
            <w:pPr>
              <w:pStyle w:val="ARtabletextright"/>
              <w:spacing w:before="50" w:after="30"/>
            </w:pPr>
            <w:r w:rsidRPr="005050F3">
              <w:t>8</w:t>
            </w:r>
          </w:p>
        </w:tc>
        <w:tc>
          <w:tcPr>
            <w:tcW w:w="836" w:type="dxa"/>
            <w:noWrap/>
            <w:hideMark/>
          </w:tcPr>
          <w:p w14:paraId="3A28DC9B"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4CA3E6E5" w14:textId="77777777" w:rsidR="00156FDC" w:rsidRPr="005050F3" w:rsidRDefault="00156FDC" w:rsidP="0077067A">
            <w:pPr>
              <w:pStyle w:val="ARtabletextright"/>
              <w:spacing w:before="50" w:after="30"/>
            </w:pPr>
            <w:r w:rsidRPr="005050F3">
              <w:t>14</w:t>
            </w:r>
          </w:p>
        </w:tc>
        <w:tc>
          <w:tcPr>
            <w:tcW w:w="836" w:type="dxa"/>
            <w:tcBorders>
              <w:left w:val="single" w:sz="4" w:space="0" w:color="000000"/>
            </w:tcBorders>
            <w:noWrap/>
            <w:hideMark/>
          </w:tcPr>
          <w:p w14:paraId="46DDCF0F" w14:textId="013201C8" w:rsidR="00156FDC" w:rsidRPr="005050F3" w:rsidRDefault="00FA72CF" w:rsidP="0077067A">
            <w:pPr>
              <w:pStyle w:val="ARtabletextright"/>
              <w:spacing w:before="50" w:after="30"/>
            </w:pPr>
            <w:r>
              <w:t>−</w:t>
            </w:r>
            <w:r w:rsidR="00156FDC" w:rsidRPr="005050F3">
              <w:t>3</w:t>
            </w:r>
          </w:p>
        </w:tc>
        <w:tc>
          <w:tcPr>
            <w:tcW w:w="836" w:type="dxa"/>
            <w:noWrap/>
            <w:hideMark/>
          </w:tcPr>
          <w:p w14:paraId="465D538E" w14:textId="6A31027A" w:rsidR="00156FDC" w:rsidRPr="005050F3" w:rsidRDefault="00FA72CF" w:rsidP="0077067A">
            <w:pPr>
              <w:pStyle w:val="ARtabletextright"/>
              <w:spacing w:before="50" w:after="30"/>
            </w:pPr>
            <w:r>
              <w:t>−</w:t>
            </w:r>
            <w:r w:rsidR="00156FDC" w:rsidRPr="005050F3">
              <w:t>2</w:t>
            </w:r>
          </w:p>
        </w:tc>
        <w:tc>
          <w:tcPr>
            <w:tcW w:w="836" w:type="dxa"/>
            <w:noWrap/>
            <w:hideMark/>
          </w:tcPr>
          <w:p w14:paraId="055B5804" w14:textId="77777777" w:rsidR="00156FDC" w:rsidRPr="005050F3" w:rsidRDefault="00156FDC" w:rsidP="0077067A">
            <w:pPr>
              <w:pStyle w:val="ARtabletextright"/>
              <w:spacing w:before="50" w:after="30"/>
            </w:pPr>
            <w:r w:rsidRPr="005050F3">
              <w:t>0</w:t>
            </w:r>
          </w:p>
        </w:tc>
        <w:tc>
          <w:tcPr>
            <w:tcW w:w="836" w:type="dxa"/>
            <w:noWrap/>
            <w:hideMark/>
          </w:tcPr>
          <w:p w14:paraId="1C4C345F" w14:textId="265F2926" w:rsidR="00156FDC" w:rsidRPr="005050F3" w:rsidRDefault="00FA72CF" w:rsidP="0077067A">
            <w:pPr>
              <w:pStyle w:val="ARtabletextright"/>
              <w:spacing w:before="50" w:after="30"/>
            </w:pPr>
            <w:r>
              <w:t>−</w:t>
            </w:r>
            <w:r w:rsidR="00156FDC" w:rsidRPr="005050F3">
              <w:t>5</w:t>
            </w:r>
          </w:p>
        </w:tc>
      </w:tr>
      <w:tr w:rsidR="00156FDC" w:rsidRPr="005050F3" w14:paraId="7796F6DA" w14:textId="77777777" w:rsidTr="0077067A">
        <w:trPr>
          <w:cantSplit w:val="0"/>
          <w:trHeight w:val="255"/>
        </w:trPr>
        <w:tc>
          <w:tcPr>
            <w:tcW w:w="3969" w:type="dxa"/>
            <w:noWrap/>
            <w:hideMark/>
          </w:tcPr>
          <w:p w14:paraId="3D62F7E8" w14:textId="77777777" w:rsidR="00156FDC" w:rsidRPr="005050F3" w:rsidRDefault="00156FDC" w:rsidP="0077067A">
            <w:pPr>
              <w:pStyle w:val="ARtabletext"/>
              <w:spacing w:before="50" w:after="30"/>
            </w:pPr>
            <w:r w:rsidRPr="005050F3">
              <w:t>Great Ocean Road Health</w:t>
            </w:r>
          </w:p>
        </w:tc>
        <w:tc>
          <w:tcPr>
            <w:tcW w:w="836" w:type="dxa"/>
            <w:noWrap/>
            <w:hideMark/>
          </w:tcPr>
          <w:p w14:paraId="18CD4771" w14:textId="77777777" w:rsidR="00156FDC" w:rsidRPr="005050F3" w:rsidRDefault="00156FDC" w:rsidP="0077067A">
            <w:pPr>
              <w:pStyle w:val="ARtabletextright"/>
              <w:spacing w:before="50" w:after="30"/>
            </w:pPr>
            <w:r w:rsidRPr="005050F3">
              <w:t>1</w:t>
            </w:r>
          </w:p>
        </w:tc>
        <w:tc>
          <w:tcPr>
            <w:tcW w:w="836" w:type="dxa"/>
            <w:noWrap/>
            <w:hideMark/>
          </w:tcPr>
          <w:p w14:paraId="163A6A75"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5A12CB04"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E03415B"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7DEEFEEC" w14:textId="77777777" w:rsidR="00156FDC" w:rsidRPr="005050F3" w:rsidRDefault="00156FDC" w:rsidP="0077067A">
            <w:pPr>
              <w:pStyle w:val="ARtabletextright"/>
              <w:spacing w:before="50" w:after="30"/>
            </w:pPr>
            <w:r w:rsidRPr="005050F3">
              <w:t>1</w:t>
            </w:r>
          </w:p>
        </w:tc>
        <w:tc>
          <w:tcPr>
            <w:tcW w:w="836" w:type="dxa"/>
            <w:noWrap/>
            <w:hideMark/>
          </w:tcPr>
          <w:p w14:paraId="54B68CC8" w14:textId="77777777" w:rsidR="00156FDC" w:rsidRPr="005050F3" w:rsidRDefault="00156FDC" w:rsidP="0077067A">
            <w:pPr>
              <w:pStyle w:val="ARtabletextright"/>
              <w:spacing w:before="50" w:after="30"/>
            </w:pPr>
            <w:r w:rsidRPr="005050F3">
              <w:t>0</w:t>
            </w:r>
          </w:p>
        </w:tc>
        <w:tc>
          <w:tcPr>
            <w:tcW w:w="836" w:type="dxa"/>
            <w:noWrap/>
            <w:hideMark/>
          </w:tcPr>
          <w:p w14:paraId="7A43C7D1"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555A419"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118520A3" w14:textId="77777777" w:rsidR="00156FDC" w:rsidRPr="005050F3" w:rsidRDefault="00156FDC" w:rsidP="0077067A">
            <w:pPr>
              <w:pStyle w:val="ARtabletextright"/>
              <w:spacing w:before="50" w:after="30"/>
            </w:pPr>
            <w:r w:rsidRPr="005050F3">
              <w:t>0</w:t>
            </w:r>
          </w:p>
        </w:tc>
        <w:tc>
          <w:tcPr>
            <w:tcW w:w="836" w:type="dxa"/>
            <w:noWrap/>
            <w:hideMark/>
          </w:tcPr>
          <w:p w14:paraId="3B41C09E" w14:textId="77777777" w:rsidR="00156FDC" w:rsidRPr="005050F3" w:rsidRDefault="00156FDC" w:rsidP="0077067A">
            <w:pPr>
              <w:pStyle w:val="ARtabletextright"/>
              <w:spacing w:before="50" w:after="30"/>
            </w:pPr>
            <w:r w:rsidRPr="005050F3">
              <w:t>0</w:t>
            </w:r>
          </w:p>
        </w:tc>
        <w:tc>
          <w:tcPr>
            <w:tcW w:w="836" w:type="dxa"/>
            <w:noWrap/>
            <w:hideMark/>
          </w:tcPr>
          <w:p w14:paraId="6487381A" w14:textId="77777777" w:rsidR="00156FDC" w:rsidRPr="005050F3" w:rsidRDefault="00156FDC" w:rsidP="0077067A">
            <w:pPr>
              <w:pStyle w:val="ARtabletextright"/>
              <w:spacing w:before="50" w:after="30"/>
            </w:pPr>
            <w:r w:rsidRPr="005050F3">
              <w:t>0</w:t>
            </w:r>
          </w:p>
        </w:tc>
        <w:tc>
          <w:tcPr>
            <w:tcW w:w="836" w:type="dxa"/>
            <w:noWrap/>
            <w:hideMark/>
          </w:tcPr>
          <w:p w14:paraId="32801AF5" w14:textId="77777777" w:rsidR="00156FDC" w:rsidRPr="005050F3" w:rsidRDefault="00156FDC" w:rsidP="0077067A">
            <w:pPr>
              <w:pStyle w:val="ARtabletextright"/>
              <w:spacing w:before="50" w:after="30"/>
            </w:pPr>
            <w:r w:rsidRPr="005050F3">
              <w:t>0</w:t>
            </w:r>
          </w:p>
        </w:tc>
      </w:tr>
      <w:tr w:rsidR="00156FDC" w:rsidRPr="005050F3" w14:paraId="5ADE2A38" w14:textId="77777777" w:rsidTr="0077067A">
        <w:trPr>
          <w:cantSplit w:val="0"/>
          <w:trHeight w:val="255"/>
        </w:trPr>
        <w:tc>
          <w:tcPr>
            <w:tcW w:w="3969" w:type="dxa"/>
            <w:noWrap/>
            <w:hideMark/>
          </w:tcPr>
          <w:p w14:paraId="7588FED4" w14:textId="77777777" w:rsidR="00156FDC" w:rsidRPr="005050F3" w:rsidRDefault="00156FDC" w:rsidP="0077067A">
            <w:pPr>
              <w:pStyle w:val="ARtabletext"/>
              <w:spacing w:before="50" w:after="30"/>
            </w:pPr>
            <w:r w:rsidRPr="005050F3">
              <w:t>Heathcote Health</w:t>
            </w:r>
          </w:p>
        </w:tc>
        <w:tc>
          <w:tcPr>
            <w:tcW w:w="836" w:type="dxa"/>
            <w:noWrap/>
            <w:hideMark/>
          </w:tcPr>
          <w:p w14:paraId="23A511F7" w14:textId="77777777" w:rsidR="00156FDC" w:rsidRPr="005050F3" w:rsidRDefault="00156FDC" w:rsidP="0077067A">
            <w:pPr>
              <w:pStyle w:val="ARtabletextright"/>
              <w:spacing w:before="50" w:after="30"/>
            </w:pPr>
            <w:r w:rsidRPr="005050F3">
              <w:t>0</w:t>
            </w:r>
          </w:p>
        </w:tc>
        <w:tc>
          <w:tcPr>
            <w:tcW w:w="836" w:type="dxa"/>
            <w:noWrap/>
            <w:hideMark/>
          </w:tcPr>
          <w:p w14:paraId="0EAEE974"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673ECDDF"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6F6CCFD5"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3C6E06D4" w14:textId="77777777" w:rsidR="00156FDC" w:rsidRPr="005050F3" w:rsidRDefault="00156FDC" w:rsidP="0077067A">
            <w:pPr>
              <w:pStyle w:val="ARtabletextright"/>
              <w:spacing w:before="50" w:after="30"/>
            </w:pPr>
            <w:r w:rsidRPr="005050F3">
              <w:t>0</w:t>
            </w:r>
          </w:p>
        </w:tc>
        <w:tc>
          <w:tcPr>
            <w:tcW w:w="836" w:type="dxa"/>
            <w:noWrap/>
            <w:hideMark/>
          </w:tcPr>
          <w:p w14:paraId="6408D4CC" w14:textId="77777777" w:rsidR="00156FDC" w:rsidRPr="005050F3" w:rsidRDefault="00156FDC" w:rsidP="0077067A">
            <w:pPr>
              <w:pStyle w:val="ARtabletextright"/>
              <w:spacing w:before="50" w:after="30"/>
            </w:pPr>
            <w:r w:rsidRPr="005050F3">
              <w:t>1</w:t>
            </w:r>
          </w:p>
        </w:tc>
        <w:tc>
          <w:tcPr>
            <w:tcW w:w="836" w:type="dxa"/>
            <w:noWrap/>
            <w:hideMark/>
          </w:tcPr>
          <w:p w14:paraId="41D87186"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787EC3C"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247E895F" w14:textId="77777777" w:rsidR="00156FDC" w:rsidRPr="005050F3" w:rsidRDefault="00156FDC" w:rsidP="0077067A">
            <w:pPr>
              <w:pStyle w:val="ARtabletextright"/>
              <w:spacing w:before="50" w:after="30"/>
            </w:pPr>
            <w:r w:rsidRPr="005050F3">
              <w:t>0</w:t>
            </w:r>
          </w:p>
        </w:tc>
        <w:tc>
          <w:tcPr>
            <w:tcW w:w="836" w:type="dxa"/>
            <w:noWrap/>
            <w:hideMark/>
          </w:tcPr>
          <w:p w14:paraId="2568D79B" w14:textId="77777777" w:rsidR="00156FDC" w:rsidRPr="005050F3" w:rsidRDefault="00156FDC" w:rsidP="0077067A">
            <w:pPr>
              <w:pStyle w:val="ARtabletextright"/>
              <w:spacing w:before="50" w:after="30"/>
            </w:pPr>
            <w:r w:rsidRPr="005050F3">
              <w:t>0</w:t>
            </w:r>
          </w:p>
        </w:tc>
        <w:tc>
          <w:tcPr>
            <w:tcW w:w="836" w:type="dxa"/>
            <w:noWrap/>
            <w:hideMark/>
          </w:tcPr>
          <w:p w14:paraId="422423D5" w14:textId="77777777" w:rsidR="00156FDC" w:rsidRPr="005050F3" w:rsidRDefault="00156FDC" w:rsidP="0077067A">
            <w:pPr>
              <w:pStyle w:val="ARtabletextright"/>
              <w:spacing w:before="50" w:after="30"/>
            </w:pPr>
            <w:r w:rsidRPr="005050F3">
              <w:t>0</w:t>
            </w:r>
          </w:p>
        </w:tc>
        <w:tc>
          <w:tcPr>
            <w:tcW w:w="836" w:type="dxa"/>
            <w:noWrap/>
            <w:hideMark/>
          </w:tcPr>
          <w:p w14:paraId="7F7F8A00" w14:textId="77777777" w:rsidR="00156FDC" w:rsidRPr="005050F3" w:rsidRDefault="00156FDC" w:rsidP="0077067A">
            <w:pPr>
              <w:pStyle w:val="ARtabletextright"/>
              <w:spacing w:before="50" w:after="30"/>
            </w:pPr>
            <w:r w:rsidRPr="005050F3">
              <w:t>0</w:t>
            </w:r>
          </w:p>
        </w:tc>
      </w:tr>
      <w:tr w:rsidR="00156FDC" w:rsidRPr="005050F3" w14:paraId="2C5FB6FD" w14:textId="77777777" w:rsidTr="0077067A">
        <w:trPr>
          <w:cantSplit w:val="0"/>
          <w:trHeight w:val="255"/>
        </w:trPr>
        <w:tc>
          <w:tcPr>
            <w:tcW w:w="3969" w:type="dxa"/>
            <w:noWrap/>
            <w:hideMark/>
          </w:tcPr>
          <w:p w14:paraId="180688BA" w14:textId="77777777" w:rsidR="00156FDC" w:rsidRPr="005050F3" w:rsidRDefault="00156FDC" w:rsidP="0077067A">
            <w:pPr>
              <w:pStyle w:val="ARtabletext"/>
              <w:spacing w:before="50" w:after="30"/>
            </w:pPr>
            <w:r w:rsidRPr="005050F3">
              <w:t>Hesse Rural Health Service</w:t>
            </w:r>
          </w:p>
        </w:tc>
        <w:tc>
          <w:tcPr>
            <w:tcW w:w="836" w:type="dxa"/>
            <w:noWrap/>
            <w:hideMark/>
          </w:tcPr>
          <w:p w14:paraId="4DB80E01" w14:textId="77777777" w:rsidR="00156FDC" w:rsidRPr="005050F3" w:rsidRDefault="00156FDC" w:rsidP="0077067A">
            <w:pPr>
              <w:pStyle w:val="ARtabletextright"/>
              <w:spacing w:before="50" w:after="30"/>
            </w:pPr>
            <w:r w:rsidRPr="005050F3">
              <w:t>1</w:t>
            </w:r>
          </w:p>
        </w:tc>
        <w:tc>
          <w:tcPr>
            <w:tcW w:w="836" w:type="dxa"/>
            <w:noWrap/>
            <w:hideMark/>
          </w:tcPr>
          <w:p w14:paraId="28FE0C50"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352B2BA2"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435C622"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2DFEEFDA" w14:textId="77777777" w:rsidR="00156FDC" w:rsidRPr="005050F3" w:rsidRDefault="00156FDC" w:rsidP="0077067A">
            <w:pPr>
              <w:pStyle w:val="ARtabletextright"/>
              <w:spacing w:before="50" w:after="30"/>
            </w:pPr>
            <w:r w:rsidRPr="005050F3">
              <w:t>1</w:t>
            </w:r>
          </w:p>
        </w:tc>
        <w:tc>
          <w:tcPr>
            <w:tcW w:w="836" w:type="dxa"/>
            <w:noWrap/>
            <w:hideMark/>
          </w:tcPr>
          <w:p w14:paraId="28444E72" w14:textId="77777777" w:rsidR="00156FDC" w:rsidRPr="005050F3" w:rsidRDefault="00156FDC" w:rsidP="0077067A">
            <w:pPr>
              <w:pStyle w:val="ARtabletextright"/>
              <w:spacing w:before="50" w:after="30"/>
            </w:pPr>
            <w:r w:rsidRPr="005050F3">
              <w:t>0</w:t>
            </w:r>
          </w:p>
        </w:tc>
        <w:tc>
          <w:tcPr>
            <w:tcW w:w="836" w:type="dxa"/>
            <w:noWrap/>
            <w:hideMark/>
          </w:tcPr>
          <w:p w14:paraId="5F82337E"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0FE5EF0"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598CE1D2" w14:textId="77777777" w:rsidR="00156FDC" w:rsidRPr="005050F3" w:rsidRDefault="00156FDC" w:rsidP="0077067A">
            <w:pPr>
              <w:pStyle w:val="ARtabletextright"/>
              <w:spacing w:before="50" w:after="30"/>
            </w:pPr>
            <w:r w:rsidRPr="005050F3">
              <w:t>0</w:t>
            </w:r>
          </w:p>
        </w:tc>
        <w:tc>
          <w:tcPr>
            <w:tcW w:w="836" w:type="dxa"/>
            <w:noWrap/>
            <w:hideMark/>
          </w:tcPr>
          <w:p w14:paraId="0CC01DD1" w14:textId="77777777" w:rsidR="00156FDC" w:rsidRPr="005050F3" w:rsidRDefault="00156FDC" w:rsidP="0077067A">
            <w:pPr>
              <w:pStyle w:val="ARtabletextright"/>
              <w:spacing w:before="50" w:after="30"/>
            </w:pPr>
            <w:r w:rsidRPr="005050F3">
              <w:t>0</w:t>
            </w:r>
          </w:p>
        </w:tc>
        <w:tc>
          <w:tcPr>
            <w:tcW w:w="836" w:type="dxa"/>
            <w:noWrap/>
            <w:hideMark/>
          </w:tcPr>
          <w:p w14:paraId="41449D50" w14:textId="77777777" w:rsidR="00156FDC" w:rsidRPr="005050F3" w:rsidRDefault="00156FDC" w:rsidP="0077067A">
            <w:pPr>
              <w:pStyle w:val="ARtabletextright"/>
              <w:spacing w:before="50" w:after="30"/>
            </w:pPr>
            <w:r w:rsidRPr="005050F3">
              <w:t>0</w:t>
            </w:r>
          </w:p>
        </w:tc>
        <w:tc>
          <w:tcPr>
            <w:tcW w:w="836" w:type="dxa"/>
            <w:noWrap/>
            <w:hideMark/>
          </w:tcPr>
          <w:p w14:paraId="0053DD5C" w14:textId="77777777" w:rsidR="00156FDC" w:rsidRPr="005050F3" w:rsidRDefault="00156FDC" w:rsidP="0077067A">
            <w:pPr>
              <w:pStyle w:val="ARtabletextright"/>
              <w:spacing w:before="50" w:after="30"/>
            </w:pPr>
            <w:r w:rsidRPr="005050F3">
              <w:t>0</w:t>
            </w:r>
          </w:p>
        </w:tc>
      </w:tr>
      <w:tr w:rsidR="00156FDC" w:rsidRPr="005050F3" w14:paraId="5EE12E8F" w14:textId="77777777" w:rsidTr="0077067A">
        <w:trPr>
          <w:cantSplit w:val="0"/>
          <w:trHeight w:val="255"/>
        </w:trPr>
        <w:tc>
          <w:tcPr>
            <w:tcW w:w="3969" w:type="dxa"/>
            <w:noWrap/>
            <w:hideMark/>
          </w:tcPr>
          <w:p w14:paraId="6EFBD3F6" w14:textId="77777777" w:rsidR="00156FDC" w:rsidRPr="005050F3" w:rsidRDefault="00156FDC" w:rsidP="0077067A">
            <w:pPr>
              <w:pStyle w:val="ARtabletext"/>
              <w:spacing w:before="50" w:after="30"/>
            </w:pPr>
            <w:r w:rsidRPr="005050F3">
              <w:t>Heywood Rural Health</w:t>
            </w:r>
          </w:p>
        </w:tc>
        <w:tc>
          <w:tcPr>
            <w:tcW w:w="836" w:type="dxa"/>
            <w:noWrap/>
            <w:hideMark/>
          </w:tcPr>
          <w:p w14:paraId="4DFF7A9A" w14:textId="77777777" w:rsidR="00156FDC" w:rsidRPr="005050F3" w:rsidRDefault="00156FDC" w:rsidP="0077067A">
            <w:pPr>
              <w:pStyle w:val="ARtabletextright"/>
              <w:spacing w:before="50" w:after="30"/>
            </w:pPr>
            <w:r w:rsidRPr="005050F3">
              <w:t>0</w:t>
            </w:r>
          </w:p>
        </w:tc>
        <w:tc>
          <w:tcPr>
            <w:tcW w:w="836" w:type="dxa"/>
            <w:noWrap/>
            <w:hideMark/>
          </w:tcPr>
          <w:p w14:paraId="5D0F57E9"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30AC6A0D"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616D377B"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35F663D1" w14:textId="77777777" w:rsidR="00156FDC" w:rsidRPr="005050F3" w:rsidRDefault="00156FDC" w:rsidP="0077067A">
            <w:pPr>
              <w:pStyle w:val="ARtabletextright"/>
              <w:spacing w:before="50" w:after="30"/>
            </w:pPr>
            <w:r w:rsidRPr="005050F3">
              <w:t>0</w:t>
            </w:r>
          </w:p>
        </w:tc>
        <w:tc>
          <w:tcPr>
            <w:tcW w:w="836" w:type="dxa"/>
            <w:noWrap/>
            <w:hideMark/>
          </w:tcPr>
          <w:p w14:paraId="4860259D" w14:textId="77777777" w:rsidR="00156FDC" w:rsidRPr="005050F3" w:rsidRDefault="00156FDC" w:rsidP="0077067A">
            <w:pPr>
              <w:pStyle w:val="ARtabletextright"/>
              <w:spacing w:before="50" w:after="30"/>
            </w:pPr>
            <w:r w:rsidRPr="005050F3">
              <w:t>1</w:t>
            </w:r>
          </w:p>
        </w:tc>
        <w:tc>
          <w:tcPr>
            <w:tcW w:w="836" w:type="dxa"/>
            <w:noWrap/>
            <w:hideMark/>
          </w:tcPr>
          <w:p w14:paraId="2B8FC5F6"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45AA449C"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3016F122" w14:textId="77777777" w:rsidR="00156FDC" w:rsidRPr="005050F3" w:rsidRDefault="00156FDC" w:rsidP="0077067A">
            <w:pPr>
              <w:pStyle w:val="ARtabletextright"/>
              <w:spacing w:before="50" w:after="30"/>
            </w:pPr>
            <w:r w:rsidRPr="005050F3">
              <w:t>0</w:t>
            </w:r>
          </w:p>
        </w:tc>
        <w:tc>
          <w:tcPr>
            <w:tcW w:w="836" w:type="dxa"/>
            <w:noWrap/>
            <w:hideMark/>
          </w:tcPr>
          <w:p w14:paraId="7B2D84BB" w14:textId="77777777" w:rsidR="00156FDC" w:rsidRPr="005050F3" w:rsidRDefault="00156FDC" w:rsidP="0077067A">
            <w:pPr>
              <w:pStyle w:val="ARtabletextright"/>
              <w:spacing w:before="50" w:after="30"/>
            </w:pPr>
            <w:r w:rsidRPr="005050F3">
              <w:t>0</w:t>
            </w:r>
          </w:p>
        </w:tc>
        <w:tc>
          <w:tcPr>
            <w:tcW w:w="836" w:type="dxa"/>
            <w:noWrap/>
            <w:hideMark/>
          </w:tcPr>
          <w:p w14:paraId="1C4A02E8" w14:textId="77777777" w:rsidR="00156FDC" w:rsidRPr="005050F3" w:rsidRDefault="00156FDC" w:rsidP="0077067A">
            <w:pPr>
              <w:pStyle w:val="ARtabletextright"/>
              <w:spacing w:before="50" w:after="30"/>
            </w:pPr>
            <w:r w:rsidRPr="005050F3">
              <w:t>0</w:t>
            </w:r>
          </w:p>
        </w:tc>
        <w:tc>
          <w:tcPr>
            <w:tcW w:w="836" w:type="dxa"/>
            <w:noWrap/>
            <w:hideMark/>
          </w:tcPr>
          <w:p w14:paraId="5E5E3341" w14:textId="77777777" w:rsidR="00156FDC" w:rsidRPr="005050F3" w:rsidRDefault="00156FDC" w:rsidP="0077067A">
            <w:pPr>
              <w:pStyle w:val="ARtabletextright"/>
              <w:spacing w:before="50" w:after="30"/>
            </w:pPr>
            <w:r w:rsidRPr="005050F3">
              <w:t>0</w:t>
            </w:r>
          </w:p>
        </w:tc>
      </w:tr>
      <w:tr w:rsidR="00156FDC" w:rsidRPr="005050F3" w14:paraId="0A19ACD0" w14:textId="77777777" w:rsidTr="0077067A">
        <w:trPr>
          <w:cantSplit w:val="0"/>
          <w:trHeight w:val="255"/>
        </w:trPr>
        <w:tc>
          <w:tcPr>
            <w:tcW w:w="3969" w:type="dxa"/>
            <w:noWrap/>
            <w:hideMark/>
          </w:tcPr>
          <w:p w14:paraId="7FC41E01" w14:textId="77777777" w:rsidR="00156FDC" w:rsidRPr="005050F3" w:rsidRDefault="00156FDC" w:rsidP="0077067A">
            <w:pPr>
              <w:pStyle w:val="ARtabletext"/>
              <w:spacing w:before="50" w:after="30"/>
            </w:pPr>
            <w:r w:rsidRPr="005050F3">
              <w:t>Inglewood and Districts Health Service</w:t>
            </w:r>
          </w:p>
        </w:tc>
        <w:tc>
          <w:tcPr>
            <w:tcW w:w="836" w:type="dxa"/>
            <w:noWrap/>
            <w:hideMark/>
          </w:tcPr>
          <w:p w14:paraId="21C00872" w14:textId="77777777" w:rsidR="00156FDC" w:rsidRPr="005050F3" w:rsidRDefault="00156FDC" w:rsidP="0077067A">
            <w:pPr>
              <w:pStyle w:val="ARtabletextright"/>
              <w:spacing w:before="50" w:after="30"/>
            </w:pPr>
            <w:r w:rsidRPr="005050F3">
              <w:t>0</w:t>
            </w:r>
          </w:p>
        </w:tc>
        <w:tc>
          <w:tcPr>
            <w:tcW w:w="836" w:type="dxa"/>
            <w:noWrap/>
            <w:hideMark/>
          </w:tcPr>
          <w:p w14:paraId="5F10CF75"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22F3B7BD"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7ADC8747"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793EA2C7" w14:textId="77777777" w:rsidR="00156FDC" w:rsidRPr="005050F3" w:rsidRDefault="00156FDC" w:rsidP="0077067A">
            <w:pPr>
              <w:pStyle w:val="ARtabletextright"/>
              <w:spacing w:before="50" w:after="30"/>
            </w:pPr>
            <w:r w:rsidRPr="005050F3">
              <w:t>0</w:t>
            </w:r>
          </w:p>
        </w:tc>
        <w:tc>
          <w:tcPr>
            <w:tcW w:w="836" w:type="dxa"/>
            <w:noWrap/>
            <w:hideMark/>
          </w:tcPr>
          <w:p w14:paraId="72F7B363" w14:textId="77777777" w:rsidR="00156FDC" w:rsidRPr="005050F3" w:rsidRDefault="00156FDC" w:rsidP="0077067A">
            <w:pPr>
              <w:pStyle w:val="ARtabletextright"/>
              <w:spacing w:before="50" w:after="30"/>
            </w:pPr>
            <w:r w:rsidRPr="005050F3">
              <w:t>0</w:t>
            </w:r>
          </w:p>
        </w:tc>
        <w:tc>
          <w:tcPr>
            <w:tcW w:w="836" w:type="dxa"/>
            <w:noWrap/>
            <w:hideMark/>
          </w:tcPr>
          <w:p w14:paraId="23A9C9FD"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43B6AD7A" w14:textId="77777777" w:rsidR="00156FDC" w:rsidRPr="005050F3" w:rsidRDefault="00156FDC" w:rsidP="0077067A">
            <w:pPr>
              <w:pStyle w:val="ARtabletextright"/>
              <w:spacing w:before="50" w:after="30"/>
            </w:pPr>
            <w:r w:rsidRPr="005050F3">
              <w:t>0</w:t>
            </w:r>
          </w:p>
        </w:tc>
        <w:tc>
          <w:tcPr>
            <w:tcW w:w="836" w:type="dxa"/>
            <w:tcBorders>
              <w:left w:val="single" w:sz="4" w:space="0" w:color="000000"/>
            </w:tcBorders>
            <w:noWrap/>
            <w:hideMark/>
          </w:tcPr>
          <w:p w14:paraId="5229EE7F" w14:textId="77777777" w:rsidR="00156FDC" w:rsidRPr="005050F3" w:rsidRDefault="00156FDC" w:rsidP="0077067A">
            <w:pPr>
              <w:pStyle w:val="ARtabletextright"/>
              <w:spacing w:before="50" w:after="30"/>
            </w:pPr>
            <w:r w:rsidRPr="005050F3">
              <w:t>0</w:t>
            </w:r>
          </w:p>
        </w:tc>
        <w:tc>
          <w:tcPr>
            <w:tcW w:w="836" w:type="dxa"/>
            <w:noWrap/>
            <w:hideMark/>
          </w:tcPr>
          <w:p w14:paraId="2DAF5B6D" w14:textId="77777777" w:rsidR="00156FDC" w:rsidRPr="005050F3" w:rsidRDefault="00156FDC" w:rsidP="0077067A">
            <w:pPr>
              <w:pStyle w:val="ARtabletextright"/>
              <w:spacing w:before="50" w:after="30"/>
            </w:pPr>
            <w:r w:rsidRPr="005050F3">
              <w:t>1</w:t>
            </w:r>
          </w:p>
        </w:tc>
        <w:tc>
          <w:tcPr>
            <w:tcW w:w="836" w:type="dxa"/>
            <w:noWrap/>
            <w:hideMark/>
          </w:tcPr>
          <w:p w14:paraId="3B531D8B" w14:textId="77777777" w:rsidR="00156FDC" w:rsidRPr="005050F3" w:rsidRDefault="00156FDC" w:rsidP="0077067A">
            <w:pPr>
              <w:pStyle w:val="ARtabletextright"/>
              <w:spacing w:before="50" w:after="30"/>
            </w:pPr>
            <w:r w:rsidRPr="005050F3">
              <w:t>0</w:t>
            </w:r>
          </w:p>
        </w:tc>
        <w:tc>
          <w:tcPr>
            <w:tcW w:w="836" w:type="dxa"/>
            <w:noWrap/>
            <w:hideMark/>
          </w:tcPr>
          <w:p w14:paraId="7EA13921" w14:textId="77777777" w:rsidR="00156FDC" w:rsidRPr="005050F3" w:rsidRDefault="00156FDC" w:rsidP="0077067A">
            <w:pPr>
              <w:pStyle w:val="ARtabletextright"/>
              <w:spacing w:before="50" w:after="30"/>
            </w:pPr>
            <w:r w:rsidRPr="005050F3">
              <w:t>1</w:t>
            </w:r>
          </w:p>
        </w:tc>
      </w:tr>
      <w:tr w:rsidR="00156FDC" w:rsidRPr="005050F3" w14:paraId="0B2525B7" w14:textId="77777777" w:rsidTr="0077067A">
        <w:trPr>
          <w:cantSplit w:val="0"/>
          <w:trHeight w:val="255"/>
        </w:trPr>
        <w:tc>
          <w:tcPr>
            <w:tcW w:w="3969" w:type="dxa"/>
            <w:noWrap/>
            <w:hideMark/>
          </w:tcPr>
          <w:p w14:paraId="16076AC7" w14:textId="77777777" w:rsidR="00156FDC" w:rsidRPr="005050F3" w:rsidRDefault="00156FDC" w:rsidP="0077067A">
            <w:pPr>
              <w:pStyle w:val="ARtabletext"/>
              <w:spacing w:before="50" w:after="30"/>
            </w:pPr>
            <w:r w:rsidRPr="005050F3">
              <w:t>Kerang District Health</w:t>
            </w:r>
          </w:p>
        </w:tc>
        <w:tc>
          <w:tcPr>
            <w:tcW w:w="836" w:type="dxa"/>
            <w:noWrap/>
            <w:hideMark/>
          </w:tcPr>
          <w:p w14:paraId="35980526" w14:textId="77777777" w:rsidR="00156FDC" w:rsidRPr="005050F3" w:rsidRDefault="00156FDC" w:rsidP="0077067A">
            <w:pPr>
              <w:pStyle w:val="ARtabletextright"/>
              <w:spacing w:before="50" w:after="30"/>
            </w:pPr>
            <w:r w:rsidRPr="005050F3">
              <w:t>1</w:t>
            </w:r>
          </w:p>
        </w:tc>
        <w:tc>
          <w:tcPr>
            <w:tcW w:w="836" w:type="dxa"/>
            <w:noWrap/>
            <w:hideMark/>
          </w:tcPr>
          <w:p w14:paraId="240A46C4"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39499D61"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827535A"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77B5779D" w14:textId="77777777" w:rsidR="00156FDC" w:rsidRPr="005050F3" w:rsidRDefault="00156FDC" w:rsidP="0077067A">
            <w:pPr>
              <w:pStyle w:val="ARtabletextright"/>
              <w:spacing w:before="50" w:after="30"/>
            </w:pPr>
            <w:r w:rsidRPr="005050F3">
              <w:t>0</w:t>
            </w:r>
          </w:p>
        </w:tc>
        <w:tc>
          <w:tcPr>
            <w:tcW w:w="836" w:type="dxa"/>
            <w:noWrap/>
            <w:hideMark/>
          </w:tcPr>
          <w:p w14:paraId="07BAACA9" w14:textId="77777777" w:rsidR="00156FDC" w:rsidRPr="005050F3" w:rsidRDefault="00156FDC" w:rsidP="0077067A">
            <w:pPr>
              <w:pStyle w:val="ARtabletextright"/>
              <w:spacing w:before="50" w:after="30"/>
            </w:pPr>
            <w:r w:rsidRPr="005050F3">
              <w:t>1</w:t>
            </w:r>
          </w:p>
        </w:tc>
        <w:tc>
          <w:tcPr>
            <w:tcW w:w="836" w:type="dxa"/>
            <w:noWrap/>
            <w:hideMark/>
          </w:tcPr>
          <w:p w14:paraId="1F7E9528"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62CD721"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1145DE4A" w14:textId="77777777" w:rsidR="00156FDC" w:rsidRPr="005050F3" w:rsidRDefault="00156FDC" w:rsidP="0077067A">
            <w:pPr>
              <w:pStyle w:val="ARtabletextright"/>
              <w:spacing w:before="50" w:after="30"/>
            </w:pPr>
            <w:r w:rsidRPr="005050F3">
              <w:t>1</w:t>
            </w:r>
          </w:p>
        </w:tc>
        <w:tc>
          <w:tcPr>
            <w:tcW w:w="836" w:type="dxa"/>
            <w:noWrap/>
            <w:hideMark/>
          </w:tcPr>
          <w:p w14:paraId="406D736E" w14:textId="266FAA6E" w:rsidR="00156FDC" w:rsidRPr="005050F3" w:rsidRDefault="00FA72CF" w:rsidP="0077067A">
            <w:pPr>
              <w:pStyle w:val="ARtabletextright"/>
              <w:spacing w:before="50" w:after="30"/>
            </w:pPr>
            <w:r>
              <w:t>−</w:t>
            </w:r>
            <w:r w:rsidR="00156FDC" w:rsidRPr="005050F3">
              <w:t>1</w:t>
            </w:r>
          </w:p>
        </w:tc>
        <w:tc>
          <w:tcPr>
            <w:tcW w:w="836" w:type="dxa"/>
            <w:noWrap/>
            <w:hideMark/>
          </w:tcPr>
          <w:p w14:paraId="41F225CB" w14:textId="77777777" w:rsidR="00156FDC" w:rsidRPr="005050F3" w:rsidRDefault="00156FDC" w:rsidP="0077067A">
            <w:pPr>
              <w:pStyle w:val="ARtabletextright"/>
              <w:spacing w:before="50" w:after="30"/>
            </w:pPr>
            <w:r w:rsidRPr="005050F3">
              <w:t>0</w:t>
            </w:r>
          </w:p>
        </w:tc>
        <w:tc>
          <w:tcPr>
            <w:tcW w:w="836" w:type="dxa"/>
            <w:noWrap/>
            <w:hideMark/>
          </w:tcPr>
          <w:p w14:paraId="01A0A6A1" w14:textId="77777777" w:rsidR="00156FDC" w:rsidRPr="005050F3" w:rsidRDefault="00156FDC" w:rsidP="0077067A">
            <w:pPr>
              <w:pStyle w:val="ARtabletextright"/>
              <w:spacing w:before="50" w:after="30"/>
            </w:pPr>
            <w:r w:rsidRPr="005050F3">
              <w:t>0</w:t>
            </w:r>
          </w:p>
        </w:tc>
      </w:tr>
      <w:tr w:rsidR="00156FDC" w:rsidRPr="005050F3" w14:paraId="67161A3B" w14:textId="77777777" w:rsidTr="0077067A">
        <w:trPr>
          <w:cantSplit w:val="0"/>
          <w:trHeight w:val="255"/>
        </w:trPr>
        <w:tc>
          <w:tcPr>
            <w:tcW w:w="3969" w:type="dxa"/>
            <w:noWrap/>
            <w:hideMark/>
          </w:tcPr>
          <w:p w14:paraId="2B248BF0" w14:textId="77777777" w:rsidR="00156FDC" w:rsidRPr="005050F3" w:rsidRDefault="00156FDC" w:rsidP="0077067A">
            <w:pPr>
              <w:pStyle w:val="ARtabletext"/>
              <w:spacing w:before="50" w:after="30"/>
            </w:pPr>
            <w:r w:rsidRPr="005050F3">
              <w:t>Kilmore and District Hospital</w:t>
            </w:r>
          </w:p>
        </w:tc>
        <w:tc>
          <w:tcPr>
            <w:tcW w:w="836" w:type="dxa"/>
            <w:noWrap/>
            <w:hideMark/>
          </w:tcPr>
          <w:p w14:paraId="34194CD8" w14:textId="77777777" w:rsidR="00156FDC" w:rsidRPr="005050F3" w:rsidRDefault="00156FDC" w:rsidP="0077067A">
            <w:pPr>
              <w:pStyle w:val="ARtabletextright"/>
              <w:spacing w:before="50" w:after="30"/>
            </w:pPr>
            <w:r w:rsidRPr="005050F3">
              <w:t>0</w:t>
            </w:r>
          </w:p>
        </w:tc>
        <w:tc>
          <w:tcPr>
            <w:tcW w:w="836" w:type="dxa"/>
            <w:noWrap/>
            <w:hideMark/>
          </w:tcPr>
          <w:p w14:paraId="49A5C3B6"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7751F904"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ECAF329"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6ADF242A" w14:textId="77777777" w:rsidR="00156FDC" w:rsidRPr="005050F3" w:rsidRDefault="00156FDC" w:rsidP="0077067A">
            <w:pPr>
              <w:pStyle w:val="ARtabletextright"/>
              <w:spacing w:before="50" w:after="30"/>
            </w:pPr>
            <w:r w:rsidRPr="005050F3">
              <w:t>0</w:t>
            </w:r>
          </w:p>
        </w:tc>
        <w:tc>
          <w:tcPr>
            <w:tcW w:w="836" w:type="dxa"/>
            <w:noWrap/>
            <w:hideMark/>
          </w:tcPr>
          <w:p w14:paraId="0D7B48E9" w14:textId="77777777" w:rsidR="00156FDC" w:rsidRPr="005050F3" w:rsidRDefault="00156FDC" w:rsidP="0077067A">
            <w:pPr>
              <w:pStyle w:val="ARtabletextright"/>
              <w:spacing w:before="50" w:after="30"/>
            </w:pPr>
            <w:r w:rsidRPr="005050F3">
              <w:t>1</w:t>
            </w:r>
          </w:p>
        </w:tc>
        <w:tc>
          <w:tcPr>
            <w:tcW w:w="836" w:type="dxa"/>
            <w:noWrap/>
            <w:hideMark/>
          </w:tcPr>
          <w:p w14:paraId="4DA8CA77"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F6C1D6E"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51B1FBDF" w14:textId="77777777" w:rsidR="00156FDC" w:rsidRPr="005050F3" w:rsidRDefault="00156FDC" w:rsidP="0077067A">
            <w:pPr>
              <w:pStyle w:val="ARtabletextright"/>
              <w:spacing w:before="50" w:after="30"/>
            </w:pPr>
            <w:r w:rsidRPr="005050F3">
              <w:t>0</w:t>
            </w:r>
          </w:p>
        </w:tc>
        <w:tc>
          <w:tcPr>
            <w:tcW w:w="836" w:type="dxa"/>
            <w:noWrap/>
            <w:hideMark/>
          </w:tcPr>
          <w:p w14:paraId="34187DF8" w14:textId="77777777" w:rsidR="00156FDC" w:rsidRPr="005050F3" w:rsidRDefault="00156FDC" w:rsidP="0077067A">
            <w:pPr>
              <w:pStyle w:val="ARtabletextright"/>
              <w:spacing w:before="50" w:after="30"/>
            </w:pPr>
            <w:r w:rsidRPr="005050F3">
              <w:t>0</w:t>
            </w:r>
          </w:p>
        </w:tc>
        <w:tc>
          <w:tcPr>
            <w:tcW w:w="836" w:type="dxa"/>
            <w:noWrap/>
            <w:hideMark/>
          </w:tcPr>
          <w:p w14:paraId="2AA55269" w14:textId="77777777" w:rsidR="00156FDC" w:rsidRPr="005050F3" w:rsidRDefault="00156FDC" w:rsidP="0077067A">
            <w:pPr>
              <w:pStyle w:val="ARtabletextright"/>
              <w:spacing w:before="50" w:after="30"/>
            </w:pPr>
            <w:r w:rsidRPr="005050F3">
              <w:t>0</w:t>
            </w:r>
          </w:p>
        </w:tc>
        <w:tc>
          <w:tcPr>
            <w:tcW w:w="836" w:type="dxa"/>
            <w:noWrap/>
            <w:hideMark/>
          </w:tcPr>
          <w:p w14:paraId="23574C48" w14:textId="77777777" w:rsidR="00156FDC" w:rsidRPr="005050F3" w:rsidRDefault="00156FDC" w:rsidP="0077067A">
            <w:pPr>
              <w:pStyle w:val="ARtabletextright"/>
              <w:spacing w:before="50" w:after="30"/>
            </w:pPr>
            <w:r w:rsidRPr="005050F3">
              <w:t>0</w:t>
            </w:r>
          </w:p>
        </w:tc>
      </w:tr>
      <w:tr w:rsidR="00156FDC" w:rsidRPr="005050F3" w14:paraId="7E2AE982" w14:textId="77777777" w:rsidTr="0077067A">
        <w:trPr>
          <w:cantSplit w:val="0"/>
          <w:trHeight w:val="255"/>
        </w:trPr>
        <w:tc>
          <w:tcPr>
            <w:tcW w:w="3969" w:type="dxa"/>
            <w:noWrap/>
            <w:hideMark/>
          </w:tcPr>
          <w:p w14:paraId="55F92C7D" w14:textId="77777777" w:rsidR="00156FDC" w:rsidRPr="005050F3" w:rsidRDefault="00156FDC" w:rsidP="0077067A">
            <w:pPr>
              <w:pStyle w:val="ARtabletext"/>
              <w:spacing w:before="50" w:after="30"/>
            </w:pPr>
            <w:r w:rsidRPr="005050F3">
              <w:t>Kooweerup Regional Health Service</w:t>
            </w:r>
          </w:p>
        </w:tc>
        <w:tc>
          <w:tcPr>
            <w:tcW w:w="836" w:type="dxa"/>
            <w:noWrap/>
            <w:hideMark/>
          </w:tcPr>
          <w:p w14:paraId="532C9632" w14:textId="77777777" w:rsidR="00156FDC" w:rsidRPr="005050F3" w:rsidRDefault="00156FDC" w:rsidP="0077067A">
            <w:pPr>
              <w:pStyle w:val="ARtabletextright"/>
              <w:spacing w:before="50" w:after="30"/>
            </w:pPr>
            <w:r w:rsidRPr="005050F3">
              <w:t>1</w:t>
            </w:r>
          </w:p>
        </w:tc>
        <w:tc>
          <w:tcPr>
            <w:tcW w:w="836" w:type="dxa"/>
            <w:noWrap/>
            <w:hideMark/>
          </w:tcPr>
          <w:p w14:paraId="708ACD62"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17F624E9"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8F2BF4E"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73A20A2B" w14:textId="77777777" w:rsidR="00156FDC" w:rsidRPr="005050F3" w:rsidRDefault="00156FDC" w:rsidP="0077067A">
            <w:pPr>
              <w:pStyle w:val="ARtabletextright"/>
              <w:spacing w:before="50" w:after="30"/>
            </w:pPr>
            <w:r w:rsidRPr="005050F3">
              <w:t>1</w:t>
            </w:r>
          </w:p>
        </w:tc>
        <w:tc>
          <w:tcPr>
            <w:tcW w:w="836" w:type="dxa"/>
            <w:noWrap/>
            <w:hideMark/>
          </w:tcPr>
          <w:p w14:paraId="2A6D16F9" w14:textId="77777777" w:rsidR="00156FDC" w:rsidRPr="005050F3" w:rsidRDefault="00156FDC" w:rsidP="0077067A">
            <w:pPr>
              <w:pStyle w:val="ARtabletextright"/>
              <w:spacing w:before="50" w:after="30"/>
            </w:pPr>
            <w:r w:rsidRPr="005050F3">
              <w:t>0</w:t>
            </w:r>
          </w:p>
        </w:tc>
        <w:tc>
          <w:tcPr>
            <w:tcW w:w="836" w:type="dxa"/>
            <w:noWrap/>
            <w:hideMark/>
          </w:tcPr>
          <w:p w14:paraId="361711F8"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E1923D2"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15800922" w14:textId="77777777" w:rsidR="00156FDC" w:rsidRPr="005050F3" w:rsidRDefault="00156FDC" w:rsidP="0077067A">
            <w:pPr>
              <w:pStyle w:val="ARtabletextright"/>
              <w:spacing w:before="50" w:after="30"/>
            </w:pPr>
            <w:r w:rsidRPr="005050F3">
              <w:t>0</w:t>
            </w:r>
          </w:p>
        </w:tc>
        <w:tc>
          <w:tcPr>
            <w:tcW w:w="836" w:type="dxa"/>
            <w:noWrap/>
            <w:hideMark/>
          </w:tcPr>
          <w:p w14:paraId="6BEB08A8" w14:textId="77777777" w:rsidR="00156FDC" w:rsidRPr="005050F3" w:rsidRDefault="00156FDC" w:rsidP="0077067A">
            <w:pPr>
              <w:pStyle w:val="ARtabletextright"/>
              <w:spacing w:before="50" w:after="30"/>
            </w:pPr>
            <w:r w:rsidRPr="005050F3">
              <w:t>0</w:t>
            </w:r>
          </w:p>
        </w:tc>
        <w:tc>
          <w:tcPr>
            <w:tcW w:w="836" w:type="dxa"/>
            <w:noWrap/>
            <w:hideMark/>
          </w:tcPr>
          <w:p w14:paraId="32B814C9" w14:textId="77777777" w:rsidR="00156FDC" w:rsidRPr="005050F3" w:rsidRDefault="00156FDC" w:rsidP="0077067A">
            <w:pPr>
              <w:pStyle w:val="ARtabletextright"/>
              <w:spacing w:before="50" w:after="30"/>
            </w:pPr>
            <w:r w:rsidRPr="005050F3">
              <w:t>0</w:t>
            </w:r>
          </w:p>
        </w:tc>
        <w:tc>
          <w:tcPr>
            <w:tcW w:w="836" w:type="dxa"/>
            <w:noWrap/>
            <w:hideMark/>
          </w:tcPr>
          <w:p w14:paraId="5B023151" w14:textId="77777777" w:rsidR="00156FDC" w:rsidRPr="005050F3" w:rsidRDefault="00156FDC" w:rsidP="0077067A">
            <w:pPr>
              <w:pStyle w:val="ARtabletextright"/>
              <w:spacing w:before="50" w:after="30"/>
            </w:pPr>
            <w:r w:rsidRPr="005050F3">
              <w:t>0</w:t>
            </w:r>
          </w:p>
        </w:tc>
      </w:tr>
      <w:tr w:rsidR="00156FDC" w:rsidRPr="005050F3" w14:paraId="1A75BDE5" w14:textId="77777777" w:rsidTr="0077067A">
        <w:trPr>
          <w:cantSplit w:val="0"/>
          <w:trHeight w:val="255"/>
        </w:trPr>
        <w:tc>
          <w:tcPr>
            <w:tcW w:w="3969" w:type="dxa"/>
            <w:noWrap/>
            <w:hideMark/>
          </w:tcPr>
          <w:p w14:paraId="4F4D0E72" w14:textId="77777777" w:rsidR="00156FDC" w:rsidRPr="005050F3" w:rsidRDefault="00156FDC" w:rsidP="0077067A">
            <w:pPr>
              <w:pStyle w:val="ARtabletext"/>
              <w:spacing w:before="50" w:after="30"/>
            </w:pPr>
            <w:r w:rsidRPr="005050F3">
              <w:t>Kyabram and District Health Service</w:t>
            </w:r>
          </w:p>
        </w:tc>
        <w:tc>
          <w:tcPr>
            <w:tcW w:w="836" w:type="dxa"/>
            <w:noWrap/>
            <w:hideMark/>
          </w:tcPr>
          <w:p w14:paraId="5A300CBF" w14:textId="77777777" w:rsidR="00156FDC" w:rsidRPr="005050F3" w:rsidRDefault="00156FDC" w:rsidP="0077067A">
            <w:pPr>
              <w:pStyle w:val="ARtabletextright"/>
              <w:spacing w:before="50" w:after="30"/>
            </w:pPr>
            <w:r w:rsidRPr="005050F3">
              <w:t>1</w:t>
            </w:r>
          </w:p>
        </w:tc>
        <w:tc>
          <w:tcPr>
            <w:tcW w:w="836" w:type="dxa"/>
            <w:noWrap/>
            <w:hideMark/>
          </w:tcPr>
          <w:p w14:paraId="0065D35B"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5D6A06F9"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479A7226"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0B19EF0E" w14:textId="77777777" w:rsidR="00156FDC" w:rsidRPr="005050F3" w:rsidRDefault="00156FDC" w:rsidP="0077067A">
            <w:pPr>
              <w:pStyle w:val="ARtabletextright"/>
              <w:spacing w:before="50" w:after="30"/>
            </w:pPr>
            <w:r w:rsidRPr="005050F3">
              <w:t>1</w:t>
            </w:r>
          </w:p>
        </w:tc>
        <w:tc>
          <w:tcPr>
            <w:tcW w:w="836" w:type="dxa"/>
            <w:noWrap/>
            <w:hideMark/>
          </w:tcPr>
          <w:p w14:paraId="7CF497FE" w14:textId="77777777" w:rsidR="00156FDC" w:rsidRPr="005050F3" w:rsidRDefault="00156FDC" w:rsidP="0077067A">
            <w:pPr>
              <w:pStyle w:val="ARtabletextright"/>
              <w:spacing w:before="50" w:after="30"/>
            </w:pPr>
            <w:r w:rsidRPr="005050F3">
              <w:t>0</w:t>
            </w:r>
          </w:p>
        </w:tc>
        <w:tc>
          <w:tcPr>
            <w:tcW w:w="836" w:type="dxa"/>
            <w:noWrap/>
            <w:hideMark/>
          </w:tcPr>
          <w:p w14:paraId="4E77D60C"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665B5E0D"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5A3414CD" w14:textId="77777777" w:rsidR="00156FDC" w:rsidRPr="005050F3" w:rsidRDefault="00156FDC" w:rsidP="0077067A">
            <w:pPr>
              <w:pStyle w:val="ARtabletextright"/>
              <w:spacing w:before="50" w:after="30"/>
            </w:pPr>
            <w:r w:rsidRPr="005050F3">
              <w:t>0</w:t>
            </w:r>
          </w:p>
        </w:tc>
        <w:tc>
          <w:tcPr>
            <w:tcW w:w="836" w:type="dxa"/>
            <w:noWrap/>
            <w:hideMark/>
          </w:tcPr>
          <w:p w14:paraId="1B0EF4E3" w14:textId="77777777" w:rsidR="00156FDC" w:rsidRPr="005050F3" w:rsidRDefault="00156FDC" w:rsidP="0077067A">
            <w:pPr>
              <w:pStyle w:val="ARtabletextright"/>
              <w:spacing w:before="50" w:after="30"/>
            </w:pPr>
            <w:r w:rsidRPr="005050F3">
              <w:t>0</w:t>
            </w:r>
          </w:p>
        </w:tc>
        <w:tc>
          <w:tcPr>
            <w:tcW w:w="836" w:type="dxa"/>
            <w:noWrap/>
            <w:hideMark/>
          </w:tcPr>
          <w:p w14:paraId="27D557F9" w14:textId="77777777" w:rsidR="00156FDC" w:rsidRPr="005050F3" w:rsidRDefault="00156FDC" w:rsidP="0077067A">
            <w:pPr>
              <w:pStyle w:val="ARtabletextright"/>
              <w:spacing w:before="50" w:after="30"/>
            </w:pPr>
            <w:r w:rsidRPr="005050F3">
              <w:t>0</w:t>
            </w:r>
          </w:p>
        </w:tc>
        <w:tc>
          <w:tcPr>
            <w:tcW w:w="836" w:type="dxa"/>
            <w:noWrap/>
            <w:hideMark/>
          </w:tcPr>
          <w:p w14:paraId="3E9CA514" w14:textId="77777777" w:rsidR="00156FDC" w:rsidRPr="005050F3" w:rsidRDefault="00156FDC" w:rsidP="0077067A">
            <w:pPr>
              <w:pStyle w:val="ARtabletextright"/>
              <w:spacing w:before="50" w:after="30"/>
            </w:pPr>
            <w:r w:rsidRPr="005050F3">
              <w:t>0</w:t>
            </w:r>
          </w:p>
        </w:tc>
      </w:tr>
      <w:tr w:rsidR="00156FDC" w:rsidRPr="005050F3" w14:paraId="7F9BD048" w14:textId="77777777" w:rsidTr="0077067A">
        <w:trPr>
          <w:cantSplit w:val="0"/>
          <w:trHeight w:val="255"/>
        </w:trPr>
        <w:tc>
          <w:tcPr>
            <w:tcW w:w="3969" w:type="dxa"/>
            <w:noWrap/>
            <w:hideMark/>
          </w:tcPr>
          <w:p w14:paraId="3202B490" w14:textId="77777777" w:rsidR="00156FDC" w:rsidRPr="005050F3" w:rsidRDefault="00156FDC" w:rsidP="0077067A">
            <w:pPr>
              <w:pStyle w:val="ARtabletext"/>
              <w:spacing w:before="50" w:after="30"/>
            </w:pPr>
            <w:r w:rsidRPr="005050F3">
              <w:t>Latrobe Regional Hospital</w:t>
            </w:r>
          </w:p>
        </w:tc>
        <w:tc>
          <w:tcPr>
            <w:tcW w:w="836" w:type="dxa"/>
            <w:noWrap/>
            <w:hideMark/>
          </w:tcPr>
          <w:p w14:paraId="2CD5BEE5" w14:textId="77777777" w:rsidR="00156FDC" w:rsidRPr="005050F3" w:rsidRDefault="00156FDC" w:rsidP="0077067A">
            <w:pPr>
              <w:pStyle w:val="ARtabletextright"/>
              <w:spacing w:before="50" w:after="30"/>
            </w:pPr>
            <w:r w:rsidRPr="005050F3">
              <w:t>1</w:t>
            </w:r>
          </w:p>
        </w:tc>
        <w:tc>
          <w:tcPr>
            <w:tcW w:w="836" w:type="dxa"/>
            <w:noWrap/>
            <w:hideMark/>
          </w:tcPr>
          <w:p w14:paraId="1F093514" w14:textId="77777777" w:rsidR="00156FDC" w:rsidRPr="005050F3" w:rsidRDefault="00156FDC" w:rsidP="0077067A">
            <w:pPr>
              <w:pStyle w:val="ARtabletextright"/>
              <w:spacing w:before="50" w:after="30"/>
            </w:pPr>
            <w:r w:rsidRPr="005050F3">
              <w:t>6</w:t>
            </w:r>
          </w:p>
        </w:tc>
        <w:tc>
          <w:tcPr>
            <w:tcW w:w="836" w:type="dxa"/>
            <w:tcBorders>
              <w:top w:val="single" w:sz="4" w:space="0" w:color="auto"/>
            </w:tcBorders>
            <w:noWrap/>
            <w:hideMark/>
          </w:tcPr>
          <w:p w14:paraId="3F460A98"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7D114A3F" w14:textId="77777777" w:rsidR="00156FDC" w:rsidRPr="005050F3" w:rsidRDefault="00156FDC" w:rsidP="0077067A">
            <w:pPr>
              <w:pStyle w:val="ARtabletextright"/>
              <w:spacing w:before="50" w:after="30"/>
            </w:pPr>
            <w:r w:rsidRPr="005050F3">
              <w:t>7</w:t>
            </w:r>
          </w:p>
        </w:tc>
        <w:tc>
          <w:tcPr>
            <w:tcW w:w="836" w:type="dxa"/>
            <w:tcBorders>
              <w:left w:val="single" w:sz="4" w:space="0" w:color="000000"/>
            </w:tcBorders>
            <w:noWrap/>
            <w:hideMark/>
          </w:tcPr>
          <w:p w14:paraId="1B5A5BB5" w14:textId="77777777" w:rsidR="00156FDC" w:rsidRPr="005050F3" w:rsidRDefault="00156FDC" w:rsidP="0077067A">
            <w:pPr>
              <w:pStyle w:val="ARtabletextright"/>
              <w:spacing w:before="50" w:after="30"/>
            </w:pPr>
            <w:r w:rsidRPr="005050F3">
              <w:t>3</w:t>
            </w:r>
          </w:p>
        </w:tc>
        <w:tc>
          <w:tcPr>
            <w:tcW w:w="836" w:type="dxa"/>
            <w:noWrap/>
            <w:hideMark/>
          </w:tcPr>
          <w:p w14:paraId="747CFC27" w14:textId="77777777" w:rsidR="00156FDC" w:rsidRPr="005050F3" w:rsidRDefault="00156FDC" w:rsidP="0077067A">
            <w:pPr>
              <w:pStyle w:val="ARtabletextright"/>
              <w:spacing w:before="50" w:after="30"/>
            </w:pPr>
            <w:r w:rsidRPr="005050F3">
              <w:t>4</w:t>
            </w:r>
          </w:p>
        </w:tc>
        <w:tc>
          <w:tcPr>
            <w:tcW w:w="836" w:type="dxa"/>
            <w:noWrap/>
            <w:hideMark/>
          </w:tcPr>
          <w:p w14:paraId="79E2565B"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7B17DA5D" w14:textId="77777777" w:rsidR="00156FDC" w:rsidRPr="005050F3" w:rsidRDefault="00156FDC" w:rsidP="0077067A">
            <w:pPr>
              <w:pStyle w:val="ARtabletextright"/>
              <w:spacing w:before="50" w:after="30"/>
            </w:pPr>
            <w:r w:rsidRPr="005050F3">
              <w:t>7</w:t>
            </w:r>
          </w:p>
        </w:tc>
        <w:tc>
          <w:tcPr>
            <w:tcW w:w="836" w:type="dxa"/>
            <w:tcBorders>
              <w:left w:val="single" w:sz="4" w:space="0" w:color="000000"/>
            </w:tcBorders>
            <w:noWrap/>
            <w:hideMark/>
          </w:tcPr>
          <w:p w14:paraId="5D2124FC" w14:textId="42E7ED6C" w:rsidR="00156FDC" w:rsidRPr="005050F3" w:rsidRDefault="00FA72CF" w:rsidP="0077067A">
            <w:pPr>
              <w:pStyle w:val="ARtabletextright"/>
              <w:spacing w:before="50" w:after="30"/>
            </w:pPr>
            <w:r>
              <w:t>−</w:t>
            </w:r>
            <w:r w:rsidR="00156FDC" w:rsidRPr="005050F3">
              <w:t>2</w:t>
            </w:r>
          </w:p>
        </w:tc>
        <w:tc>
          <w:tcPr>
            <w:tcW w:w="836" w:type="dxa"/>
            <w:noWrap/>
            <w:hideMark/>
          </w:tcPr>
          <w:p w14:paraId="5B94B37C" w14:textId="77777777" w:rsidR="00156FDC" w:rsidRPr="005050F3" w:rsidRDefault="00156FDC" w:rsidP="0077067A">
            <w:pPr>
              <w:pStyle w:val="ARtabletextright"/>
              <w:spacing w:before="50" w:after="30"/>
            </w:pPr>
            <w:r w:rsidRPr="005050F3">
              <w:t>2</w:t>
            </w:r>
          </w:p>
        </w:tc>
        <w:tc>
          <w:tcPr>
            <w:tcW w:w="836" w:type="dxa"/>
            <w:noWrap/>
            <w:hideMark/>
          </w:tcPr>
          <w:p w14:paraId="72B67103" w14:textId="77777777" w:rsidR="00156FDC" w:rsidRPr="005050F3" w:rsidRDefault="00156FDC" w:rsidP="0077067A">
            <w:pPr>
              <w:pStyle w:val="ARtabletextright"/>
              <w:spacing w:before="50" w:after="30"/>
            </w:pPr>
            <w:r w:rsidRPr="005050F3">
              <w:t>0</w:t>
            </w:r>
          </w:p>
        </w:tc>
        <w:tc>
          <w:tcPr>
            <w:tcW w:w="836" w:type="dxa"/>
            <w:noWrap/>
            <w:hideMark/>
          </w:tcPr>
          <w:p w14:paraId="5C1A7F8B" w14:textId="77777777" w:rsidR="00156FDC" w:rsidRPr="005050F3" w:rsidRDefault="00156FDC" w:rsidP="0077067A">
            <w:pPr>
              <w:pStyle w:val="ARtabletextright"/>
              <w:spacing w:before="50" w:after="30"/>
            </w:pPr>
            <w:r w:rsidRPr="005050F3">
              <w:t>0</w:t>
            </w:r>
          </w:p>
        </w:tc>
      </w:tr>
      <w:tr w:rsidR="00156FDC" w:rsidRPr="005050F3" w14:paraId="6438C991" w14:textId="77777777" w:rsidTr="0077067A">
        <w:trPr>
          <w:cantSplit w:val="0"/>
          <w:trHeight w:val="255"/>
        </w:trPr>
        <w:tc>
          <w:tcPr>
            <w:tcW w:w="3969" w:type="dxa"/>
            <w:noWrap/>
            <w:hideMark/>
          </w:tcPr>
          <w:p w14:paraId="179263BA" w14:textId="77777777" w:rsidR="00156FDC" w:rsidRPr="005050F3" w:rsidRDefault="00156FDC" w:rsidP="0077067A">
            <w:pPr>
              <w:pStyle w:val="ARtabletext"/>
              <w:spacing w:before="50" w:after="30"/>
            </w:pPr>
            <w:r w:rsidRPr="005050F3">
              <w:t>Mallee Track Health and Community Service</w:t>
            </w:r>
          </w:p>
        </w:tc>
        <w:tc>
          <w:tcPr>
            <w:tcW w:w="836" w:type="dxa"/>
            <w:noWrap/>
            <w:hideMark/>
          </w:tcPr>
          <w:p w14:paraId="66089CED" w14:textId="77777777" w:rsidR="00156FDC" w:rsidRPr="005050F3" w:rsidRDefault="00156FDC" w:rsidP="0077067A">
            <w:pPr>
              <w:pStyle w:val="ARtabletextright"/>
              <w:spacing w:before="50" w:after="30"/>
            </w:pPr>
            <w:r w:rsidRPr="005050F3">
              <w:t>1</w:t>
            </w:r>
          </w:p>
        </w:tc>
        <w:tc>
          <w:tcPr>
            <w:tcW w:w="836" w:type="dxa"/>
            <w:noWrap/>
            <w:hideMark/>
          </w:tcPr>
          <w:p w14:paraId="73791F70"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08B808BF"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7344102"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4AAEB75A" w14:textId="77777777" w:rsidR="00156FDC" w:rsidRPr="005050F3" w:rsidRDefault="00156FDC" w:rsidP="0077067A">
            <w:pPr>
              <w:pStyle w:val="ARtabletextright"/>
              <w:spacing w:before="50" w:after="30"/>
            </w:pPr>
            <w:r w:rsidRPr="005050F3">
              <w:t>1</w:t>
            </w:r>
          </w:p>
        </w:tc>
        <w:tc>
          <w:tcPr>
            <w:tcW w:w="836" w:type="dxa"/>
            <w:noWrap/>
            <w:hideMark/>
          </w:tcPr>
          <w:p w14:paraId="2BBCD86E" w14:textId="77777777" w:rsidR="00156FDC" w:rsidRPr="005050F3" w:rsidRDefault="00156FDC" w:rsidP="0077067A">
            <w:pPr>
              <w:pStyle w:val="ARtabletextright"/>
              <w:spacing w:before="50" w:after="30"/>
            </w:pPr>
            <w:r w:rsidRPr="005050F3">
              <w:t>0</w:t>
            </w:r>
          </w:p>
        </w:tc>
        <w:tc>
          <w:tcPr>
            <w:tcW w:w="836" w:type="dxa"/>
            <w:noWrap/>
            <w:hideMark/>
          </w:tcPr>
          <w:p w14:paraId="06C7BA8C"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374C4462"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03E82DEF" w14:textId="77777777" w:rsidR="00156FDC" w:rsidRPr="005050F3" w:rsidRDefault="00156FDC" w:rsidP="0077067A">
            <w:pPr>
              <w:pStyle w:val="ARtabletextright"/>
              <w:spacing w:before="50" w:after="30"/>
            </w:pPr>
            <w:r w:rsidRPr="005050F3">
              <w:t>0</w:t>
            </w:r>
          </w:p>
        </w:tc>
        <w:tc>
          <w:tcPr>
            <w:tcW w:w="836" w:type="dxa"/>
            <w:noWrap/>
            <w:hideMark/>
          </w:tcPr>
          <w:p w14:paraId="7D36E47D" w14:textId="77777777" w:rsidR="00156FDC" w:rsidRPr="005050F3" w:rsidRDefault="00156FDC" w:rsidP="0077067A">
            <w:pPr>
              <w:pStyle w:val="ARtabletextright"/>
              <w:spacing w:before="50" w:after="30"/>
            </w:pPr>
            <w:r w:rsidRPr="005050F3">
              <w:t>0</w:t>
            </w:r>
          </w:p>
        </w:tc>
        <w:tc>
          <w:tcPr>
            <w:tcW w:w="836" w:type="dxa"/>
            <w:noWrap/>
            <w:hideMark/>
          </w:tcPr>
          <w:p w14:paraId="3DE8983B" w14:textId="77777777" w:rsidR="00156FDC" w:rsidRPr="005050F3" w:rsidRDefault="00156FDC" w:rsidP="0077067A">
            <w:pPr>
              <w:pStyle w:val="ARtabletextright"/>
              <w:spacing w:before="50" w:after="30"/>
            </w:pPr>
            <w:r w:rsidRPr="005050F3">
              <w:t>0</w:t>
            </w:r>
          </w:p>
        </w:tc>
        <w:tc>
          <w:tcPr>
            <w:tcW w:w="836" w:type="dxa"/>
            <w:noWrap/>
            <w:hideMark/>
          </w:tcPr>
          <w:p w14:paraId="1F24DCD6" w14:textId="77777777" w:rsidR="00156FDC" w:rsidRPr="005050F3" w:rsidRDefault="00156FDC" w:rsidP="0077067A">
            <w:pPr>
              <w:pStyle w:val="ARtabletextright"/>
              <w:spacing w:before="50" w:after="30"/>
            </w:pPr>
            <w:r w:rsidRPr="005050F3">
              <w:t>0</w:t>
            </w:r>
          </w:p>
        </w:tc>
      </w:tr>
      <w:tr w:rsidR="00156FDC" w:rsidRPr="005050F3" w14:paraId="3B4C797E" w14:textId="77777777" w:rsidTr="0077067A">
        <w:trPr>
          <w:cantSplit w:val="0"/>
          <w:trHeight w:val="255"/>
        </w:trPr>
        <w:tc>
          <w:tcPr>
            <w:tcW w:w="3969" w:type="dxa"/>
            <w:noWrap/>
            <w:hideMark/>
          </w:tcPr>
          <w:p w14:paraId="7199B8FB" w14:textId="77777777" w:rsidR="00156FDC" w:rsidRPr="005050F3" w:rsidRDefault="00156FDC" w:rsidP="0077067A">
            <w:pPr>
              <w:pStyle w:val="ARtabletext"/>
              <w:spacing w:before="50" w:after="30"/>
            </w:pPr>
            <w:r w:rsidRPr="005050F3">
              <w:t>Mansfield District Hospital</w:t>
            </w:r>
          </w:p>
        </w:tc>
        <w:tc>
          <w:tcPr>
            <w:tcW w:w="836" w:type="dxa"/>
            <w:noWrap/>
            <w:hideMark/>
          </w:tcPr>
          <w:p w14:paraId="315A784F" w14:textId="77777777" w:rsidR="00156FDC" w:rsidRPr="005050F3" w:rsidRDefault="00156FDC" w:rsidP="0077067A">
            <w:pPr>
              <w:pStyle w:val="ARtabletextright"/>
              <w:spacing w:before="50" w:after="30"/>
            </w:pPr>
            <w:r w:rsidRPr="005050F3">
              <w:t>0</w:t>
            </w:r>
          </w:p>
        </w:tc>
        <w:tc>
          <w:tcPr>
            <w:tcW w:w="836" w:type="dxa"/>
            <w:noWrap/>
            <w:hideMark/>
          </w:tcPr>
          <w:p w14:paraId="76C64397"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2F1BF057"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DE01671"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78C9C8E9" w14:textId="77777777" w:rsidR="00156FDC" w:rsidRPr="005050F3" w:rsidRDefault="00156FDC" w:rsidP="0077067A">
            <w:pPr>
              <w:pStyle w:val="ARtabletextright"/>
              <w:spacing w:before="50" w:after="30"/>
            </w:pPr>
            <w:r w:rsidRPr="005050F3">
              <w:t>0</w:t>
            </w:r>
          </w:p>
        </w:tc>
        <w:tc>
          <w:tcPr>
            <w:tcW w:w="836" w:type="dxa"/>
            <w:noWrap/>
            <w:hideMark/>
          </w:tcPr>
          <w:p w14:paraId="702D8701" w14:textId="77777777" w:rsidR="00156FDC" w:rsidRPr="005050F3" w:rsidRDefault="00156FDC" w:rsidP="0077067A">
            <w:pPr>
              <w:pStyle w:val="ARtabletextright"/>
              <w:spacing w:before="50" w:after="30"/>
            </w:pPr>
            <w:r w:rsidRPr="005050F3">
              <w:t>1</w:t>
            </w:r>
          </w:p>
        </w:tc>
        <w:tc>
          <w:tcPr>
            <w:tcW w:w="836" w:type="dxa"/>
            <w:noWrap/>
            <w:hideMark/>
          </w:tcPr>
          <w:p w14:paraId="1DA13504"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4C7B9379"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3BD56B90" w14:textId="77777777" w:rsidR="00156FDC" w:rsidRPr="005050F3" w:rsidRDefault="00156FDC" w:rsidP="0077067A">
            <w:pPr>
              <w:pStyle w:val="ARtabletextright"/>
              <w:spacing w:before="50" w:after="30"/>
            </w:pPr>
            <w:r w:rsidRPr="005050F3">
              <w:t>0</w:t>
            </w:r>
          </w:p>
        </w:tc>
        <w:tc>
          <w:tcPr>
            <w:tcW w:w="836" w:type="dxa"/>
            <w:noWrap/>
            <w:hideMark/>
          </w:tcPr>
          <w:p w14:paraId="058C4EA7" w14:textId="77777777" w:rsidR="00156FDC" w:rsidRPr="005050F3" w:rsidRDefault="00156FDC" w:rsidP="0077067A">
            <w:pPr>
              <w:pStyle w:val="ARtabletextright"/>
              <w:spacing w:before="50" w:after="30"/>
            </w:pPr>
            <w:r w:rsidRPr="005050F3">
              <w:t>0</w:t>
            </w:r>
          </w:p>
        </w:tc>
        <w:tc>
          <w:tcPr>
            <w:tcW w:w="836" w:type="dxa"/>
            <w:noWrap/>
            <w:hideMark/>
          </w:tcPr>
          <w:p w14:paraId="72B22040" w14:textId="77777777" w:rsidR="00156FDC" w:rsidRPr="005050F3" w:rsidRDefault="00156FDC" w:rsidP="0077067A">
            <w:pPr>
              <w:pStyle w:val="ARtabletextright"/>
              <w:spacing w:before="50" w:after="30"/>
            </w:pPr>
            <w:r w:rsidRPr="005050F3">
              <w:t>0</w:t>
            </w:r>
          </w:p>
        </w:tc>
        <w:tc>
          <w:tcPr>
            <w:tcW w:w="836" w:type="dxa"/>
            <w:noWrap/>
            <w:hideMark/>
          </w:tcPr>
          <w:p w14:paraId="368C314F" w14:textId="77777777" w:rsidR="00156FDC" w:rsidRPr="005050F3" w:rsidRDefault="00156FDC" w:rsidP="0077067A">
            <w:pPr>
              <w:pStyle w:val="ARtabletextright"/>
              <w:spacing w:before="50" w:after="30"/>
            </w:pPr>
            <w:r w:rsidRPr="005050F3">
              <w:t>0</w:t>
            </w:r>
          </w:p>
        </w:tc>
      </w:tr>
      <w:tr w:rsidR="00156FDC" w:rsidRPr="005050F3" w14:paraId="634DE877" w14:textId="77777777" w:rsidTr="0077067A">
        <w:trPr>
          <w:cantSplit w:val="0"/>
          <w:trHeight w:val="255"/>
        </w:trPr>
        <w:tc>
          <w:tcPr>
            <w:tcW w:w="3969" w:type="dxa"/>
            <w:noWrap/>
            <w:hideMark/>
          </w:tcPr>
          <w:p w14:paraId="7FDDAFC9" w14:textId="77777777" w:rsidR="00156FDC" w:rsidRPr="005050F3" w:rsidRDefault="00156FDC" w:rsidP="0077067A">
            <w:pPr>
              <w:pStyle w:val="ARtabletext"/>
              <w:spacing w:before="50" w:after="30"/>
            </w:pPr>
            <w:r w:rsidRPr="005050F3">
              <w:t>Maryborough District Health Service</w:t>
            </w:r>
          </w:p>
        </w:tc>
        <w:tc>
          <w:tcPr>
            <w:tcW w:w="836" w:type="dxa"/>
            <w:noWrap/>
            <w:hideMark/>
          </w:tcPr>
          <w:p w14:paraId="76ADAA20" w14:textId="77777777" w:rsidR="00156FDC" w:rsidRPr="005050F3" w:rsidRDefault="00156FDC" w:rsidP="0077067A">
            <w:pPr>
              <w:pStyle w:val="ARtabletextright"/>
              <w:spacing w:before="50" w:after="30"/>
            </w:pPr>
            <w:r w:rsidRPr="005050F3">
              <w:t>1</w:t>
            </w:r>
          </w:p>
        </w:tc>
        <w:tc>
          <w:tcPr>
            <w:tcW w:w="836" w:type="dxa"/>
            <w:noWrap/>
            <w:hideMark/>
          </w:tcPr>
          <w:p w14:paraId="7F64946B"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509EC462"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75E0B2A6"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48327C58" w14:textId="77777777" w:rsidR="00156FDC" w:rsidRPr="005050F3" w:rsidRDefault="00156FDC" w:rsidP="0077067A">
            <w:pPr>
              <w:pStyle w:val="ARtabletextright"/>
              <w:spacing w:before="50" w:after="30"/>
            </w:pPr>
            <w:r w:rsidRPr="005050F3">
              <w:t>1</w:t>
            </w:r>
          </w:p>
        </w:tc>
        <w:tc>
          <w:tcPr>
            <w:tcW w:w="836" w:type="dxa"/>
            <w:noWrap/>
            <w:hideMark/>
          </w:tcPr>
          <w:p w14:paraId="53D92757" w14:textId="77777777" w:rsidR="00156FDC" w:rsidRPr="005050F3" w:rsidRDefault="00156FDC" w:rsidP="0077067A">
            <w:pPr>
              <w:pStyle w:val="ARtabletextright"/>
              <w:spacing w:before="50" w:after="30"/>
            </w:pPr>
            <w:r w:rsidRPr="005050F3">
              <w:t>0</w:t>
            </w:r>
          </w:p>
        </w:tc>
        <w:tc>
          <w:tcPr>
            <w:tcW w:w="836" w:type="dxa"/>
            <w:noWrap/>
            <w:hideMark/>
          </w:tcPr>
          <w:p w14:paraId="4CC7199C"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0D2E49D2"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43D2B017" w14:textId="77777777" w:rsidR="00156FDC" w:rsidRPr="005050F3" w:rsidRDefault="00156FDC" w:rsidP="0077067A">
            <w:pPr>
              <w:pStyle w:val="ARtabletextright"/>
              <w:spacing w:before="50" w:after="30"/>
            </w:pPr>
            <w:r w:rsidRPr="005050F3">
              <w:t>0</w:t>
            </w:r>
          </w:p>
        </w:tc>
        <w:tc>
          <w:tcPr>
            <w:tcW w:w="836" w:type="dxa"/>
            <w:noWrap/>
            <w:hideMark/>
          </w:tcPr>
          <w:p w14:paraId="04BA420B" w14:textId="77777777" w:rsidR="00156FDC" w:rsidRPr="005050F3" w:rsidRDefault="00156FDC" w:rsidP="0077067A">
            <w:pPr>
              <w:pStyle w:val="ARtabletextright"/>
              <w:spacing w:before="50" w:after="30"/>
            </w:pPr>
            <w:r w:rsidRPr="005050F3">
              <w:t>0</w:t>
            </w:r>
          </w:p>
        </w:tc>
        <w:tc>
          <w:tcPr>
            <w:tcW w:w="836" w:type="dxa"/>
            <w:noWrap/>
            <w:hideMark/>
          </w:tcPr>
          <w:p w14:paraId="788451BF" w14:textId="77777777" w:rsidR="00156FDC" w:rsidRPr="005050F3" w:rsidRDefault="00156FDC" w:rsidP="0077067A">
            <w:pPr>
              <w:pStyle w:val="ARtabletextright"/>
              <w:spacing w:before="50" w:after="30"/>
            </w:pPr>
            <w:r w:rsidRPr="005050F3">
              <w:t>0</w:t>
            </w:r>
          </w:p>
        </w:tc>
        <w:tc>
          <w:tcPr>
            <w:tcW w:w="836" w:type="dxa"/>
            <w:noWrap/>
            <w:hideMark/>
          </w:tcPr>
          <w:p w14:paraId="0740FD9B" w14:textId="77777777" w:rsidR="00156FDC" w:rsidRPr="005050F3" w:rsidRDefault="00156FDC" w:rsidP="0077067A">
            <w:pPr>
              <w:pStyle w:val="ARtabletextright"/>
              <w:spacing w:before="50" w:after="30"/>
            </w:pPr>
            <w:r w:rsidRPr="005050F3">
              <w:t>0</w:t>
            </w:r>
          </w:p>
        </w:tc>
      </w:tr>
      <w:tr w:rsidR="00156FDC" w:rsidRPr="005050F3" w14:paraId="64E6F2F1" w14:textId="77777777" w:rsidTr="0077067A">
        <w:trPr>
          <w:cantSplit w:val="0"/>
          <w:trHeight w:val="255"/>
        </w:trPr>
        <w:tc>
          <w:tcPr>
            <w:tcW w:w="3969" w:type="dxa"/>
            <w:noWrap/>
            <w:hideMark/>
          </w:tcPr>
          <w:p w14:paraId="3EDC102C" w14:textId="77777777" w:rsidR="00156FDC" w:rsidRPr="005050F3" w:rsidRDefault="00156FDC" w:rsidP="0077067A">
            <w:pPr>
              <w:pStyle w:val="ARtabletext"/>
              <w:spacing w:before="50" w:after="30"/>
            </w:pPr>
            <w:r w:rsidRPr="005050F3">
              <w:t>Melbourne Health</w:t>
            </w:r>
          </w:p>
        </w:tc>
        <w:tc>
          <w:tcPr>
            <w:tcW w:w="836" w:type="dxa"/>
            <w:noWrap/>
            <w:hideMark/>
          </w:tcPr>
          <w:p w14:paraId="1B6533E4" w14:textId="77777777" w:rsidR="00156FDC" w:rsidRPr="005050F3" w:rsidRDefault="00156FDC" w:rsidP="0077067A">
            <w:pPr>
              <w:pStyle w:val="ARtabletextright"/>
              <w:spacing w:before="50" w:after="30"/>
            </w:pPr>
            <w:r w:rsidRPr="005050F3">
              <w:t>7</w:t>
            </w:r>
          </w:p>
        </w:tc>
        <w:tc>
          <w:tcPr>
            <w:tcW w:w="836" w:type="dxa"/>
            <w:noWrap/>
            <w:hideMark/>
          </w:tcPr>
          <w:p w14:paraId="14846562"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363212E1"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3A0B1702" w14:textId="77777777" w:rsidR="00156FDC" w:rsidRPr="005050F3" w:rsidRDefault="00156FDC" w:rsidP="0077067A">
            <w:pPr>
              <w:pStyle w:val="ARtabletextright"/>
              <w:spacing w:before="50" w:after="30"/>
            </w:pPr>
            <w:r w:rsidRPr="005050F3">
              <w:t>8</w:t>
            </w:r>
          </w:p>
        </w:tc>
        <w:tc>
          <w:tcPr>
            <w:tcW w:w="836" w:type="dxa"/>
            <w:tcBorders>
              <w:left w:val="single" w:sz="4" w:space="0" w:color="000000"/>
            </w:tcBorders>
            <w:noWrap/>
            <w:hideMark/>
          </w:tcPr>
          <w:p w14:paraId="567E7653" w14:textId="77777777" w:rsidR="00156FDC" w:rsidRPr="005050F3" w:rsidRDefault="00156FDC" w:rsidP="0077067A">
            <w:pPr>
              <w:pStyle w:val="ARtabletextright"/>
              <w:spacing w:before="50" w:after="30"/>
            </w:pPr>
            <w:r w:rsidRPr="005050F3">
              <w:t>4</w:t>
            </w:r>
          </w:p>
        </w:tc>
        <w:tc>
          <w:tcPr>
            <w:tcW w:w="836" w:type="dxa"/>
            <w:noWrap/>
            <w:hideMark/>
          </w:tcPr>
          <w:p w14:paraId="4C8E3CBF" w14:textId="77777777" w:rsidR="00156FDC" w:rsidRPr="005050F3" w:rsidRDefault="00156FDC" w:rsidP="0077067A">
            <w:pPr>
              <w:pStyle w:val="ARtabletextright"/>
              <w:spacing w:before="50" w:after="30"/>
            </w:pPr>
            <w:r w:rsidRPr="005050F3">
              <w:t>2</w:t>
            </w:r>
          </w:p>
        </w:tc>
        <w:tc>
          <w:tcPr>
            <w:tcW w:w="836" w:type="dxa"/>
            <w:noWrap/>
            <w:hideMark/>
          </w:tcPr>
          <w:p w14:paraId="07BD4920"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03AB0D05" w14:textId="77777777" w:rsidR="00156FDC" w:rsidRPr="005050F3" w:rsidRDefault="00156FDC" w:rsidP="0077067A">
            <w:pPr>
              <w:pStyle w:val="ARtabletextright"/>
              <w:spacing w:before="50" w:after="30"/>
            </w:pPr>
            <w:r w:rsidRPr="005050F3">
              <w:t>6</w:t>
            </w:r>
          </w:p>
        </w:tc>
        <w:tc>
          <w:tcPr>
            <w:tcW w:w="836" w:type="dxa"/>
            <w:tcBorders>
              <w:left w:val="single" w:sz="4" w:space="0" w:color="000000"/>
            </w:tcBorders>
            <w:noWrap/>
            <w:hideMark/>
          </w:tcPr>
          <w:p w14:paraId="541F3BBA" w14:textId="77777777" w:rsidR="00156FDC" w:rsidRPr="005050F3" w:rsidRDefault="00156FDC" w:rsidP="0077067A">
            <w:pPr>
              <w:pStyle w:val="ARtabletextright"/>
              <w:spacing w:before="50" w:after="30"/>
            </w:pPr>
            <w:r w:rsidRPr="005050F3">
              <w:t>3</w:t>
            </w:r>
          </w:p>
        </w:tc>
        <w:tc>
          <w:tcPr>
            <w:tcW w:w="836" w:type="dxa"/>
            <w:noWrap/>
            <w:hideMark/>
          </w:tcPr>
          <w:p w14:paraId="4D433047" w14:textId="583ACDA0" w:rsidR="00156FDC" w:rsidRPr="005050F3" w:rsidRDefault="00FA72CF" w:rsidP="0077067A">
            <w:pPr>
              <w:pStyle w:val="ARtabletextright"/>
              <w:spacing w:before="50" w:after="30"/>
            </w:pPr>
            <w:r>
              <w:t>−</w:t>
            </w:r>
            <w:r w:rsidR="00156FDC" w:rsidRPr="005050F3">
              <w:t>1</w:t>
            </w:r>
          </w:p>
        </w:tc>
        <w:tc>
          <w:tcPr>
            <w:tcW w:w="836" w:type="dxa"/>
            <w:noWrap/>
            <w:hideMark/>
          </w:tcPr>
          <w:p w14:paraId="259FE83D" w14:textId="77777777" w:rsidR="00156FDC" w:rsidRPr="005050F3" w:rsidRDefault="00156FDC" w:rsidP="0077067A">
            <w:pPr>
              <w:pStyle w:val="ARtabletextright"/>
              <w:spacing w:before="50" w:after="30"/>
            </w:pPr>
            <w:r w:rsidRPr="005050F3">
              <w:t>0</w:t>
            </w:r>
          </w:p>
        </w:tc>
        <w:tc>
          <w:tcPr>
            <w:tcW w:w="836" w:type="dxa"/>
            <w:noWrap/>
            <w:hideMark/>
          </w:tcPr>
          <w:p w14:paraId="029D3AD7" w14:textId="77777777" w:rsidR="00156FDC" w:rsidRPr="005050F3" w:rsidRDefault="00156FDC" w:rsidP="0077067A">
            <w:pPr>
              <w:pStyle w:val="ARtabletextright"/>
              <w:spacing w:before="50" w:after="30"/>
            </w:pPr>
            <w:r w:rsidRPr="005050F3">
              <w:t>2</w:t>
            </w:r>
          </w:p>
        </w:tc>
      </w:tr>
      <w:tr w:rsidR="00156FDC" w:rsidRPr="005050F3" w14:paraId="51A7D0AB" w14:textId="77777777" w:rsidTr="0077067A">
        <w:trPr>
          <w:cantSplit w:val="0"/>
          <w:trHeight w:val="255"/>
        </w:trPr>
        <w:tc>
          <w:tcPr>
            <w:tcW w:w="3969" w:type="dxa"/>
            <w:noWrap/>
            <w:hideMark/>
          </w:tcPr>
          <w:p w14:paraId="0B02E12C" w14:textId="77777777" w:rsidR="00156FDC" w:rsidRPr="005050F3" w:rsidRDefault="00156FDC" w:rsidP="0077067A">
            <w:pPr>
              <w:pStyle w:val="ARtabletext"/>
              <w:spacing w:before="50" w:after="30"/>
            </w:pPr>
            <w:r w:rsidRPr="005050F3">
              <w:t>Mildura Base Public Hospital</w:t>
            </w:r>
          </w:p>
        </w:tc>
        <w:tc>
          <w:tcPr>
            <w:tcW w:w="836" w:type="dxa"/>
            <w:noWrap/>
            <w:hideMark/>
          </w:tcPr>
          <w:p w14:paraId="08850265" w14:textId="77777777" w:rsidR="00156FDC" w:rsidRPr="005050F3" w:rsidRDefault="00156FDC" w:rsidP="0077067A">
            <w:pPr>
              <w:pStyle w:val="ARtabletextright"/>
              <w:spacing w:before="50" w:after="30"/>
            </w:pPr>
            <w:r w:rsidRPr="005050F3">
              <w:t>1</w:t>
            </w:r>
          </w:p>
        </w:tc>
        <w:tc>
          <w:tcPr>
            <w:tcW w:w="836" w:type="dxa"/>
            <w:noWrap/>
            <w:hideMark/>
          </w:tcPr>
          <w:p w14:paraId="71B99303" w14:textId="77777777" w:rsidR="00156FDC" w:rsidRPr="005050F3" w:rsidRDefault="00156FDC" w:rsidP="0077067A">
            <w:pPr>
              <w:pStyle w:val="ARtabletextright"/>
              <w:spacing w:before="50" w:after="30"/>
            </w:pPr>
            <w:r w:rsidRPr="005050F3">
              <w:t>2</w:t>
            </w:r>
          </w:p>
        </w:tc>
        <w:tc>
          <w:tcPr>
            <w:tcW w:w="836" w:type="dxa"/>
            <w:tcBorders>
              <w:top w:val="single" w:sz="4" w:space="0" w:color="auto"/>
            </w:tcBorders>
            <w:noWrap/>
            <w:hideMark/>
          </w:tcPr>
          <w:p w14:paraId="7749CE60"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657F357B" w14:textId="77777777" w:rsidR="00156FDC" w:rsidRPr="005050F3" w:rsidRDefault="00156FDC" w:rsidP="0077067A">
            <w:pPr>
              <w:pStyle w:val="ARtabletextright"/>
              <w:spacing w:before="50" w:after="30"/>
            </w:pPr>
            <w:r w:rsidRPr="005050F3">
              <w:t>3</w:t>
            </w:r>
          </w:p>
        </w:tc>
        <w:tc>
          <w:tcPr>
            <w:tcW w:w="836" w:type="dxa"/>
            <w:tcBorders>
              <w:left w:val="single" w:sz="4" w:space="0" w:color="000000"/>
            </w:tcBorders>
            <w:noWrap/>
            <w:hideMark/>
          </w:tcPr>
          <w:p w14:paraId="5C338C38" w14:textId="77777777" w:rsidR="00156FDC" w:rsidRPr="005050F3" w:rsidRDefault="00156FDC" w:rsidP="0077067A">
            <w:pPr>
              <w:pStyle w:val="ARtabletextright"/>
              <w:spacing w:before="50" w:after="30"/>
            </w:pPr>
            <w:r w:rsidRPr="005050F3">
              <w:t>2</w:t>
            </w:r>
          </w:p>
        </w:tc>
        <w:tc>
          <w:tcPr>
            <w:tcW w:w="836" w:type="dxa"/>
            <w:noWrap/>
            <w:hideMark/>
          </w:tcPr>
          <w:p w14:paraId="409726B2" w14:textId="77777777" w:rsidR="00156FDC" w:rsidRPr="005050F3" w:rsidRDefault="00156FDC" w:rsidP="0077067A">
            <w:pPr>
              <w:pStyle w:val="ARtabletextright"/>
              <w:spacing w:before="50" w:after="30"/>
            </w:pPr>
            <w:r w:rsidRPr="005050F3">
              <w:t>2</w:t>
            </w:r>
          </w:p>
        </w:tc>
        <w:tc>
          <w:tcPr>
            <w:tcW w:w="836" w:type="dxa"/>
            <w:noWrap/>
            <w:hideMark/>
          </w:tcPr>
          <w:p w14:paraId="01B45927"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7ECCE283" w14:textId="77777777" w:rsidR="00156FDC" w:rsidRPr="005050F3" w:rsidRDefault="00156FDC" w:rsidP="0077067A">
            <w:pPr>
              <w:pStyle w:val="ARtabletextright"/>
              <w:spacing w:before="50" w:after="30"/>
            </w:pPr>
            <w:r w:rsidRPr="005050F3">
              <w:t>4</w:t>
            </w:r>
          </w:p>
        </w:tc>
        <w:tc>
          <w:tcPr>
            <w:tcW w:w="836" w:type="dxa"/>
            <w:tcBorders>
              <w:left w:val="single" w:sz="4" w:space="0" w:color="000000"/>
            </w:tcBorders>
            <w:noWrap/>
            <w:hideMark/>
          </w:tcPr>
          <w:p w14:paraId="151AC863" w14:textId="1453CFC8" w:rsidR="00156FDC" w:rsidRPr="005050F3" w:rsidRDefault="00FA72CF" w:rsidP="0077067A">
            <w:pPr>
              <w:pStyle w:val="ARtabletextright"/>
              <w:spacing w:before="50" w:after="30"/>
            </w:pPr>
            <w:r>
              <w:t>−</w:t>
            </w:r>
            <w:r w:rsidR="00156FDC" w:rsidRPr="005050F3">
              <w:t>1</w:t>
            </w:r>
          </w:p>
        </w:tc>
        <w:tc>
          <w:tcPr>
            <w:tcW w:w="836" w:type="dxa"/>
            <w:noWrap/>
            <w:hideMark/>
          </w:tcPr>
          <w:p w14:paraId="3F862DB2" w14:textId="77777777" w:rsidR="00156FDC" w:rsidRPr="005050F3" w:rsidRDefault="00156FDC" w:rsidP="0077067A">
            <w:pPr>
              <w:pStyle w:val="ARtabletextright"/>
              <w:spacing w:before="50" w:after="30"/>
            </w:pPr>
            <w:r w:rsidRPr="005050F3">
              <w:t>0</w:t>
            </w:r>
          </w:p>
        </w:tc>
        <w:tc>
          <w:tcPr>
            <w:tcW w:w="836" w:type="dxa"/>
            <w:noWrap/>
            <w:hideMark/>
          </w:tcPr>
          <w:p w14:paraId="1993D431" w14:textId="77777777" w:rsidR="00156FDC" w:rsidRPr="005050F3" w:rsidRDefault="00156FDC" w:rsidP="0077067A">
            <w:pPr>
              <w:pStyle w:val="ARtabletextright"/>
              <w:spacing w:before="50" w:after="30"/>
            </w:pPr>
            <w:r w:rsidRPr="005050F3">
              <w:t>0</w:t>
            </w:r>
          </w:p>
        </w:tc>
        <w:tc>
          <w:tcPr>
            <w:tcW w:w="836" w:type="dxa"/>
            <w:noWrap/>
            <w:hideMark/>
          </w:tcPr>
          <w:p w14:paraId="57401D10" w14:textId="16112926" w:rsidR="00156FDC" w:rsidRPr="005050F3" w:rsidRDefault="00FA72CF" w:rsidP="0077067A">
            <w:pPr>
              <w:pStyle w:val="ARtabletextright"/>
              <w:spacing w:before="50" w:after="30"/>
            </w:pPr>
            <w:r>
              <w:t>−</w:t>
            </w:r>
            <w:r w:rsidR="00156FDC" w:rsidRPr="005050F3">
              <w:t>1</w:t>
            </w:r>
          </w:p>
        </w:tc>
      </w:tr>
      <w:tr w:rsidR="00156FDC" w:rsidRPr="005050F3" w14:paraId="37A8F518" w14:textId="77777777" w:rsidTr="0077067A">
        <w:trPr>
          <w:cantSplit w:val="0"/>
          <w:trHeight w:val="255"/>
        </w:trPr>
        <w:tc>
          <w:tcPr>
            <w:tcW w:w="3969" w:type="dxa"/>
            <w:noWrap/>
            <w:hideMark/>
          </w:tcPr>
          <w:p w14:paraId="2DFD1281" w14:textId="77777777" w:rsidR="00156FDC" w:rsidRPr="005050F3" w:rsidRDefault="00156FDC" w:rsidP="0077067A">
            <w:pPr>
              <w:pStyle w:val="ARtabletext"/>
              <w:spacing w:before="50" w:after="30"/>
            </w:pPr>
            <w:r w:rsidRPr="005050F3">
              <w:t>Monash Health</w:t>
            </w:r>
          </w:p>
        </w:tc>
        <w:tc>
          <w:tcPr>
            <w:tcW w:w="836" w:type="dxa"/>
            <w:noWrap/>
            <w:hideMark/>
          </w:tcPr>
          <w:p w14:paraId="60BBA54B" w14:textId="77777777" w:rsidR="00156FDC" w:rsidRPr="005050F3" w:rsidRDefault="00156FDC" w:rsidP="0077067A">
            <w:pPr>
              <w:pStyle w:val="ARtabletextright"/>
              <w:spacing w:before="50" w:after="30"/>
            </w:pPr>
            <w:r w:rsidRPr="005050F3">
              <w:t>14</w:t>
            </w:r>
          </w:p>
        </w:tc>
        <w:tc>
          <w:tcPr>
            <w:tcW w:w="836" w:type="dxa"/>
            <w:noWrap/>
            <w:hideMark/>
          </w:tcPr>
          <w:p w14:paraId="19C1248F" w14:textId="77777777" w:rsidR="00156FDC" w:rsidRPr="005050F3" w:rsidRDefault="00156FDC" w:rsidP="0077067A">
            <w:pPr>
              <w:pStyle w:val="ARtabletextright"/>
              <w:spacing w:before="50" w:after="30"/>
            </w:pPr>
            <w:r w:rsidRPr="005050F3">
              <w:t>8</w:t>
            </w:r>
          </w:p>
        </w:tc>
        <w:tc>
          <w:tcPr>
            <w:tcW w:w="836" w:type="dxa"/>
            <w:tcBorders>
              <w:top w:val="single" w:sz="4" w:space="0" w:color="auto"/>
            </w:tcBorders>
            <w:noWrap/>
            <w:hideMark/>
          </w:tcPr>
          <w:p w14:paraId="21A45486"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384B529A" w14:textId="77777777" w:rsidR="00156FDC" w:rsidRPr="005050F3" w:rsidRDefault="00156FDC" w:rsidP="0077067A">
            <w:pPr>
              <w:pStyle w:val="ARtabletextright"/>
              <w:spacing w:before="50" w:after="30"/>
            </w:pPr>
            <w:r w:rsidRPr="005050F3">
              <w:t>22</w:t>
            </w:r>
          </w:p>
        </w:tc>
        <w:tc>
          <w:tcPr>
            <w:tcW w:w="836" w:type="dxa"/>
            <w:tcBorders>
              <w:left w:val="single" w:sz="4" w:space="0" w:color="000000"/>
            </w:tcBorders>
            <w:noWrap/>
            <w:hideMark/>
          </w:tcPr>
          <w:p w14:paraId="3CACA115" w14:textId="77777777" w:rsidR="00156FDC" w:rsidRPr="005050F3" w:rsidRDefault="00156FDC" w:rsidP="0077067A">
            <w:pPr>
              <w:pStyle w:val="ARtabletextright"/>
              <w:spacing w:before="50" w:after="30"/>
            </w:pPr>
            <w:r w:rsidRPr="005050F3">
              <w:t>10</w:t>
            </w:r>
          </w:p>
        </w:tc>
        <w:tc>
          <w:tcPr>
            <w:tcW w:w="836" w:type="dxa"/>
            <w:noWrap/>
            <w:hideMark/>
          </w:tcPr>
          <w:p w14:paraId="45AC72E1" w14:textId="77777777" w:rsidR="00156FDC" w:rsidRPr="005050F3" w:rsidRDefault="00156FDC" w:rsidP="0077067A">
            <w:pPr>
              <w:pStyle w:val="ARtabletextright"/>
              <w:spacing w:before="50" w:after="30"/>
            </w:pPr>
            <w:r w:rsidRPr="005050F3">
              <w:t>9</w:t>
            </w:r>
          </w:p>
        </w:tc>
        <w:tc>
          <w:tcPr>
            <w:tcW w:w="836" w:type="dxa"/>
            <w:noWrap/>
            <w:hideMark/>
          </w:tcPr>
          <w:p w14:paraId="03BFE9D3"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7479ED16" w14:textId="77777777" w:rsidR="00156FDC" w:rsidRPr="005050F3" w:rsidRDefault="00156FDC" w:rsidP="0077067A">
            <w:pPr>
              <w:pStyle w:val="ARtabletextright"/>
              <w:spacing w:before="50" w:after="30"/>
            </w:pPr>
            <w:r w:rsidRPr="005050F3">
              <w:t>19</w:t>
            </w:r>
          </w:p>
        </w:tc>
        <w:tc>
          <w:tcPr>
            <w:tcW w:w="836" w:type="dxa"/>
            <w:tcBorders>
              <w:left w:val="single" w:sz="4" w:space="0" w:color="000000"/>
            </w:tcBorders>
            <w:noWrap/>
            <w:hideMark/>
          </w:tcPr>
          <w:p w14:paraId="04894FFE" w14:textId="77777777" w:rsidR="00156FDC" w:rsidRPr="005050F3" w:rsidRDefault="00156FDC" w:rsidP="0077067A">
            <w:pPr>
              <w:pStyle w:val="ARtabletextright"/>
              <w:spacing w:before="50" w:after="30"/>
            </w:pPr>
            <w:r w:rsidRPr="005050F3">
              <w:t>4</w:t>
            </w:r>
          </w:p>
        </w:tc>
        <w:tc>
          <w:tcPr>
            <w:tcW w:w="836" w:type="dxa"/>
            <w:noWrap/>
            <w:hideMark/>
          </w:tcPr>
          <w:p w14:paraId="22CE8570" w14:textId="40298D59" w:rsidR="00156FDC" w:rsidRPr="005050F3" w:rsidRDefault="00FA72CF" w:rsidP="0077067A">
            <w:pPr>
              <w:pStyle w:val="ARtabletextright"/>
              <w:spacing w:before="50" w:after="30"/>
            </w:pPr>
            <w:r>
              <w:t>−</w:t>
            </w:r>
            <w:r w:rsidR="00156FDC" w:rsidRPr="005050F3">
              <w:t>1</w:t>
            </w:r>
          </w:p>
        </w:tc>
        <w:tc>
          <w:tcPr>
            <w:tcW w:w="836" w:type="dxa"/>
            <w:noWrap/>
            <w:hideMark/>
          </w:tcPr>
          <w:p w14:paraId="67E1DC12" w14:textId="77777777" w:rsidR="00156FDC" w:rsidRPr="005050F3" w:rsidRDefault="00156FDC" w:rsidP="0077067A">
            <w:pPr>
              <w:pStyle w:val="ARtabletextright"/>
              <w:spacing w:before="50" w:after="30"/>
            </w:pPr>
            <w:r w:rsidRPr="005050F3">
              <w:t>0</w:t>
            </w:r>
          </w:p>
        </w:tc>
        <w:tc>
          <w:tcPr>
            <w:tcW w:w="836" w:type="dxa"/>
            <w:noWrap/>
            <w:hideMark/>
          </w:tcPr>
          <w:p w14:paraId="5EC49C31" w14:textId="77777777" w:rsidR="00156FDC" w:rsidRPr="005050F3" w:rsidRDefault="00156FDC" w:rsidP="0077067A">
            <w:pPr>
              <w:pStyle w:val="ARtabletextright"/>
              <w:spacing w:before="50" w:after="30"/>
            </w:pPr>
            <w:r w:rsidRPr="005050F3">
              <w:t>3</w:t>
            </w:r>
          </w:p>
        </w:tc>
      </w:tr>
      <w:tr w:rsidR="00156FDC" w:rsidRPr="005050F3" w14:paraId="745771AE" w14:textId="77777777" w:rsidTr="0077067A">
        <w:trPr>
          <w:cantSplit w:val="0"/>
          <w:trHeight w:val="255"/>
        </w:trPr>
        <w:tc>
          <w:tcPr>
            <w:tcW w:w="3969" w:type="dxa"/>
            <w:noWrap/>
            <w:hideMark/>
          </w:tcPr>
          <w:p w14:paraId="67CF65C5" w14:textId="77777777" w:rsidR="00156FDC" w:rsidRPr="005050F3" w:rsidRDefault="00156FDC" w:rsidP="0077067A">
            <w:pPr>
              <w:pStyle w:val="ARtabletext"/>
              <w:spacing w:before="50" w:after="30"/>
            </w:pPr>
            <w:r w:rsidRPr="005050F3">
              <w:t>Moyne Health Services</w:t>
            </w:r>
          </w:p>
        </w:tc>
        <w:tc>
          <w:tcPr>
            <w:tcW w:w="836" w:type="dxa"/>
            <w:noWrap/>
            <w:hideMark/>
          </w:tcPr>
          <w:p w14:paraId="1A801E6B" w14:textId="77777777" w:rsidR="00156FDC" w:rsidRPr="005050F3" w:rsidRDefault="00156FDC" w:rsidP="0077067A">
            <w:pPr>
              <w:pStyle w:val="ARtabletextright"/>
              <w:spacing w:before="50" w:after="30"/>
            </w:pPr>
            <w:r w:rsidRPr="005050F3">
              <w:t>1</w:t>
            </w:r>
          </w:p>
        </w:tc>
        <w:tc>
          <w:tcPr>
            <w:tcW w:w="836" w:type="dxa"/>
            <w:noWrap/>
            <w:hideMark/>
          </w:tcPr>
          <w:p w14:paraId="401BBF45"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03859017"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35F5638D"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21F8DD9C" w14:textId="77777777" w:rsidR="00156FDC" w:rsidRPr="005050F3" w:rsidRDefault="00156FDC" w:rsidP="0077067A">
            <w:pPr>
              <w:pStyle w:val="ARtabletextright"/>
              <w:spacing w:before="50" w:after="30"/>
            </w:pPr>
            <w:r w:rsidRPr="005050F3">
              <w:t>1</w:t>
            </w:r>
          </w:p>
        </w:tc>
        <w:tc>
          <w:tcPr>
            <w:tcW w:w="836" w:type="dxa"/>
            <w:noWrap/>
            <w:hideMark/>
          </w:tcPr>
          <w:p w14:paraId="635A64CA" w14:textId="77777777" w:rsidR="00156FDC" w:rsidRPr="005050F3" w:rsidRDefault="00156FDC" w:rsidP="0077067A">
            <w:pPr>
              <w:pStyle w:val="ARtabletextright"/>
              <w:spacing w:before="50" w:after="30"/>
            </w:pPr>
            <w:r w:rsidRPr="005050F3">
              <w:t>0</w:t>
            </w:r>
          </w:p>
        </w:tc>
        <w:tc>
          <w:tcPr>
            <w:tcW w:w="836" w:type="dxa"/>
            <w:noWrap/>
            <w:hideMark/>
          </w:tcPr>
          <w:p w14:paraId="1DD97F4A"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3BF4EE8F"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3E70B206" w14:textId="77777777" w:rsidR="00156FDC" w:rsidRPr="005050F3" w:rsidRDefault="00156FDC" w:rsidP="0077067A">
            <w:pPr>
              <w:pStyle w:val="ARtabletextright"/>
              <w:spacing w:before="50" w:after="30"/>
            </w:pPr>
            <w:r w:rsidRPr="005050F3">
              <w:t>0</w:t>
            </w:r>
          </w:p>
        </w:tc>
        <w:tc>
          <w:tcPr>
            <w:tcW w:w="836" w:type="dxa"/>
            <w:noWrap/>
            <w:hideMark/>
          </w:tcPr>
          <w:p w14:paraId="046A745D" w14:textId="77777777" w:rsidR="00156FDC" w:rsidRPr="005050F3" w:rsidRDefault="00156FDC" w:rsidP="0077067A">
            <w:pPr>
              <w:pStyle w:val="ARtabletextright"/>
              <w:spacing w:before="50" w:after="30"/>
            </w:pPr>
            <w:r w:rsidRPr="005050F3">
              <w:t>0</w:t>
            </w:r>
          </w:p>
        </w:tc>
        <w:tc>
          <w:tcPr>
            <w:tcW w:w="836" w:type="dxa"/>
            <w:noWrap/>
            <w:hideMark/>
          </w:tcPr>
          <w:p w14:paraId="02FEC1A5" w14:textId="77777777" w:rsidR="00156FDC" w:rsidRPr="005050F3" w:rsidRDefault="00156FDC" w:rsidP="0077067A">
            <w:pPr>
              <w:pStyle w:val="ARtabletextright"/>
              <w:spacing w:before="50" w:after="30"/>
            </w:pPr>
            <w:r w:rsidRPr="005050F3">
              <w:t>0</w:t>
            </w:r>
          </w:p>
        </w:tc>
        <w:tc>
          <w:tcPr>
            <w:tcW w:w="836" w:type="dxa"/>
            <w:noWrap/>
            <w:hideMark/>
          </w:tcPr>
          <w:p w14:paraId="025790B7" w14:textId="77777777" w:rsidR="00156FDC" w:rsidRPr="005050F3" w:rsidRDefault="00156FDC" w:rsidP="0077067A">
            <w:pPr>
              <w:pStyle w:val="ARtabletextright"/>
              <w:spacing w:before="50" w:after="30"/>
            </w:pPr>
            <w:r w:rsidRPr="005050F3">
              <w:t>0</w:t>
            </w:r>
          </w:p>
        </w:tc>
      </w:tr>
      <w:tr w:rsidR="00156FDC" w:rsidRPr="005050F3" w14:paraId="11CD1755" w14:textId="77777777" w:rsidTr="0077067A">
        <w:trPr>
          <w:cantSplit w:val="0"/>
          <w:trHeight w:val="255"/>
        </w:trPr>
        <w:tc>
          <w:tcPr>
            <w:tcW w:w="3969" w:type="dxa"/>
            <w:noWrap/>
            <w:hideMark/>
          </w:tcPr>
          <w:p w14:paraId="59B10FB3" w14:textId="77777777" w:rsidR="00156FDC" w:rsidRPr="005050F3" w:rsidRDefault="00156FDC" w:rsidP="0077067A">
            <w:pPr>
              <w:pStyle w:val="ARtabletext"/>
              <w:spacing w:before="50" w:after="30"/>
            </w:pPr>
            <w:r w:rsidRPr="005050F3">
              <w:t>NCN Health</w:t>
            </w:r>
          </w:p>
        </w:tc>
        <w:tc>
          <w:tcPr>
            <w:tcW w:w="836" w:type="dxa"/>
            <w:noWrap/>
            <w:hideMark/>
          </w:tcPr>
          <w:p w14:paraId="78B42303" w14:textId="77777777" w:rsidR="00156FDC" w:rsidRPr="005050F3" w:rsidRDefault="00156FDC" w:rsidP="0077067A">
            <w:pPr>
              <w:pStyle w:val="ARtabletextright"/>
              <w:spacing w:before="50" w:after="30"/>
            </w:pPr>
            <w:r w:rsidRPr="005050F3">
              <w:t>1</w:t>
            </w:r>
          </w:p>
        </w:tc>
        <w:tc>
          <w:tcPr>
            <w:tcW w:w="836" w:type="dxa"/>
            <w:noWrap/>
            <w:hideMark/>
          </w:tcPr>
          <w:p w14:paraId="31B013E4"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4AF7D796"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1167374"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7557FA6F" w14:textId="77777777" w:rsidR="00156FDC" w:rsidRPr="005050F3" w:rsidRDefault="00156FDC" w:rsidP="0077067A">
            <w:pPr>
              <w:pStyle w:val="ARtabletextright"/>
              <w:spacing w:before="50" w:after="30"/>
            </w:pPr>
            <w:r w:rsidRPr="005050F3">
              <w:t>1</w:t>
            </w:r>
          </w:p>
        </w:tc>
        <w:tc>
          <w:tcPr>
            <w:tcW w:w="836" w:type="dxa"/>
            <w:noWrap/>
            <w:hideMark/>
          </w:tcPr>
          <w:p w14:paraId="4B2F7799" w14:textId="77777777" w:rsidR="00156FDC" w:rsidRPr="005050F3" w:rsidRDefault="00156FDC" w:rsidP="0077067A">
            <w:pPr>
              <w:pStyle w:val="ARtabletextright"/>
              <w:spacing w:before="50" w:after="30"/>
            </w:pPr>
            <w:r w:rsidRPr="005050F3">
              <w:t>0</w:t>
            </w:r>
          </w:p>
        </w:tc>
        <w:tc>
          <w:tcPr>
            <w:tcW w:w="836" w:type="dxa"/>
            <w:noWrap/>
            <w:hideMark/>
          </w:tcPr>
          <w:p w14:paraId="770C0B69"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41EAB64"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47A1D28D" w14:textId="77777777" w:rsidR="00156FDC" w:rsidRPr="005050F3" w:rsidRDefault="00156FDC" w:rsidP="0077067A">
            <w:pPr>
              <w:pStyle w:val="ARtabletextright"/>
              <w:spacing w:before="50" w:after="30"/>
            </w:pPr>
            <w:r w:rsidRPr="005050F3">
              <w:t>0</w:t>
            </w:r>
          </w:p>
        </w:tc>
        <w:tc>
          <w:tcPr>
            <w:tcW w:w="836" w:type="dxa"/>
            <w:noWrap/>
            <w:hideMark/>
          </w:tcPr>
          <w:p w14:paraId="2617400B" w14:textId="77777777" w:rsidR="00156FDC" w:rsidRPr="005050F3" w:rsidRDefault="00156FDC" w:rsidP="0077067A">
            <w:pPr>
              <w:pStyle w:val="ARtabletextright"/>
              <w:spacing w:before="50" w:after="30"/>
            </w:pPr>
            <w:r w:rsidRPr="005050F3">
              <w:t>0</w:t>
            </w:r>
          </w:p>
        </w:tc>
        <w:tc>
          <w:tcPr>
            <w:tcW w:w="836" w:type="dxa"/>
            <w:noWrap/>
            <w:hideMark/>
          </w:tcPr>
          <w:p w14:paraId="6500B126" w14:textId="77777777" w:rsidR="00156FDC" w:rsidRPr="005050F3" w:rsidRDefault="00156FDC" w:rsidP="0077067A">
            <w:pPr>
              <w:pStyle w:val="ARtabletextright"/>
              <w:spacing w:before="50" w:after="30"/>
            </w:pPr>
            <w:r w:rsidRPr="005050F3">
              <w:t>0</w:t>
            </w:r>
          </w:p>
        </w:tc>
        <w:tc>
          <w:tcPr>
            <w:tcW w:w="836" w:type="dxa"/>
            <w:noWrap/>
            <w:hideMark/>
          </w:tcPr>
          <w:p w14:paraId="6698DFC3" w14:textId="77777777" w:rsidR="00156FDC" w:rsidRPr="005050F3" w:rsidRDefault="00156FDC" w:rsidP="0077067A">
            <w:pPr>
              <w:pStyle w:val="ARtabletextright"/>
              <w:spacing w:before="50" w:after="30"/>
            </w:pPr>
            <w:r w:rsidRPr="005050F3">
              <w:t>0</w:t>
            </w:r>
          </w:p>
        </w:tc>
      </w:tr>
      <w:tr w:rsidR="00156FDC" w:rsidRPr="005050F3" w14:paraId="298740DC" w14:textId="77777777" w:rsidTr="0077067A">
        <w:trPr>
          <w:cantSplit w:val="0"/>
          <w:trHeight w:val="255"/>
        </w:trPr>
        <w:tc>
          <w:tcPr>
            <w:tcW w:w="3969" w:type="dxa"/>
            <w:noWrap/>
            <w:hideMark/>
          </w:tcPr>
          <w:p w14:paraId="0404C30B" w14:textId="77777777" w:rsidR="00156FDC" w:rsidRPr="005050F3" w:rsidRDefault="00156FDC" w:rsidP="0077067A">
            <w:pPr>
              <w:pStyle w:val="ARtabletext"/>
              <w:spacing w:before="50" w:after="30"/>
            </w:pPr>
            <w:r w:rsidRPr="005050F3">
              <w:t>Northeast Health Wangaratta</w:t>
            </w:r>
          </w:p>
        </w:tc>
        <w:tc>
          <w:tcPr>
            <w:tcW w:w="836" w:type="dxa"/>
            <w:noWrap/>
            <w:hideMark/>
          </w:tcPr>
          <w:p w14:paraId="45BB2216" w14:textId="77777777" w:rsidR="00156FDC" w:rsidRPr="005050F3" w:rsidRDefault="00156FDC" w:rsidP="0077067A">
            <w:pPr>
              <w:pStyle w:val="ARtabletextright"/>
              <w:spacing w:before="50" w:after="30"/>
            </w:pPr>
            <w:r w:rsidRPr="005050F3">
              <w:t>6</w:t>
            </w:r>
          </w:p>
        </w:tc>
        <w:tc>
          <w:tcPr>
            <w:tcW w:w="836" w:type="dxa"/>
            <w:noWrap/>
            <w:hideMark/>
          </w:tcPr>
          <w:p w14:paraId="37177C76"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1B0E85DF"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7328F09" w14:textId="77777777" w:rsidR="00156FDC" w:rsidRPr="005050F3" w:rsidRDefault="00156FDC" w:rsidP="0077067A">
            <w:pPr>
              <w:pStyle w:val="ARtabletextright"/>
              <w:spacing w:before="50" w:after="30"/>
            </w:pPr>
            <w:r w:rsidRPr="005050F3">
              <w:t>6</w:t>
            </w:r>
          </w:p>
        </w:tc>
        <w:tc>
          <w:tcPr>
            <w:tcW w:w="836" w:type="dxa"/>
            <w:tcBorders>
              <w:left w:val="single" w:sz="4" w:space="0" w:color="000000"/>
            </w:tcBorders>
            <w:noWrap/>
            <w:hideMark/>
          </w:tcPr>
          <w:p w14:paraId="09A609A4" w14:textId="77777777" w:rsidR="00156FDC" w:rsidRPr="005050F3" w:rsidRDefault="00156FDC" w:rsidP="0077067A">
            <w:pPr>
              <w:pStyle w:val="ARtabletextright"/>
              <w:spacing w:before="50" w:after="30"/>
            </w:pPr>
            <w:r w:rsidRPr="005050F3">
              <w:t>3</w:t>
            </w:r>
          </w:p>
        </w:tc>
        <w:tc>
          <w:tcPr>
            <w:tcW w:w="836" w:type="dxa"/>
            <w:noWrap/>
            <w:hideMark/>
          </w:tcPr>
          <w:p w14:paraId="41CC82FD" w14:textId="77777777" w:rsidR="00156FDC" w:rsidRPr="005050F3" w:rsidRDefault="00156FDC" w:rsidP="0077067A">
            <w:pPr>
              <w:pStyle w:val="ARtabletextright"/>
              <w:spacing w:before="50" w:after="30"/>
            </w:pPr>
            <w:r w:rsidRPr="005050F3">
              <w:t>0</w:t>
            </w:r>
          </w:p>
        </w:tc>
        <w:tc>
          <w:tcPr>
            <w:tcW w:w="836" w:type="dxa"/>
            <w:noWrap/>
            <w:hideMark/>
          </w:tcPr>
          <w:p w14:paraId="5DC9F668"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7FECD19" w14:textId="77777777" w:rsidR="00156FDC" w:rsidRPr="005050F3" w:rsidRDefault="00156FDC" w:rsidP="0077067A">
            <w:pPr>
              <w:pStyle w:val="ARtabletextright"/>
              <w:spacing w:before="50" w:after="30"/>
            </w:pPr>
            <w:r w:rsidRPr="005050F3">
              <w:t>3</w:t>
            </w:r>
          </w:p>
        </w:tc>
        <w:tc>
          <w:tcPr>
            <w:tcW w:w="836" w:type="dxa"/>
            <w:tcBorders>
              <w:left w:val="single" w:sz="4" w:space="0" w:color="000000"/>
            </w:tcBorders>
            <w:noWrap/>
            <w:hideMark/>
          </w:tcPr>
          <w:p w14:paraId="750EFF56" w14:textId="77777777" w:rsidR="00156FDC" w:rsidRPr="005050F3" w:rsidRDefault="00156FDC" w:rsidP="0077067A">
            <w:pPr>
              <w:pStyle w:val="ARtabletextright"/>
              <w:spacing w:before="50" w:after="30"/>
            </w:pPr>
            <w:r w:rsidRPr="005050F3">
              <w:t>3</w:t>
            </w:r>
          </w:p>
        </w:tc>
        <w:tc>
          <w:tcPr>
            <w:tcW w:w="836" w:type="dxa"/>
            <w:noWrap/>
            <w:hideMark/>
          </w:tcPr>
          <w:p w14:paraId="5B667C7A" w14:textId="77777777" w:rsidR="00156FDC" w:rsidRPr="005050F3" w:rsidRDefault="00156FDC" w:rsidP="0077067A">
            <w:pPr>
              <w:pStyle w:val="ARtabletextright"/>
              <w:spacing w:before="50" w:after="30"/>
            </w:pPr>
            <w:r w:rsidRPr="005050F3">
              <w:t>0</w:t>
            </w:r>
          </w:p>
        </w:tc>
        <w:tc>
          <w:tcPr>
            <w:tcW w:w="836" w:type="dxa"/>
            <w:noWrap/>
            <w:hideMark/>
          </w:tcPr>
          <w:p w14:paraId="05C2464A" w14:textId="77777777" w:rsidR="00156FDC" w:rsidRPr="005050F3" w:rsidRDefault="00156FDC" w:rsidP="0077067A">
            <w:pPr>
              <w:pStyle w:val="ARtabletextright"/>
              <w:spacing w:before="50" w:after="30"/>
            </w:pPr>
            <w:r w:rsidRPr="005050F3">
              <w:t>0</w:t>
            </w:r>
          </w:p>
        </w:tc>
        <w:tc>
          <w:tcPr>
            <w:tcW w:w="836" w:type="dxa"/>
            <w:noWrap/>
            <w:hideMark/>
          </w:tcPr>
          <w:p w14:paraId="090F42ED" w14:textId="77777777" w:rsidR="00156FDC" w:rsidRPr="005050F3" w:rsidRDefault="00156FDC" w:rsidP="0077067A">
            <w:pPr>
              <w:pStyle w:val="ARtabletextright"/>
              <w:spacing w:before="50" w:after="30"/>
            </w:pPr>
            <w:r w:rsidRPr="005050F3">
              <w:t>3</w:t>
            </w:r>
          </w:p>
        </w:tc>
      </w:tr>
      <w:tr w:rsidR="00156FDC" w:rsidRPr="005050F3" w14:paraId="5298EDA7" w14:textId="77777777" w:rsidTr="0077067A">
        <w:trPr>
          <w:cantSplit w:val="0"/>
          <w:trHeight w:val="255"/>
        </w:trPr>
        <w:tc>
          <w:tcPr>
            <w:tcW w:w="3969" w:type="dxa"/>
            <w:noWrap/>
            <w:hideMark/>
          </w:tcPr>
          <w:p w14:paraId="44D00BB1" w14:textId="77777777" w:rsidR="00156FDC" w:rsidRPr="005050F3" w:rsidRDefault="00156FDC" w:rsidP="0077067A">
            <w:pPr>
              <w:pStyle w:val="ARtabletext"/>
              <w:spacing w:before="50" w:after="30"/>
            </w:pPr>
            <w:r w:rsidRPr="005050F3">
              <w:t>Northern Health</w:t>
            </w:r>
          </w:p>
        </w:tc>
        <w:tc>
          <w:tcPr>
            <w:tcW w:w="836" w:type="dxa"/>
            <w:noWrap/>
            <w:hideMark/>
          </w:tcPr>
          <w:p w14:paraId="7C5D61FC" w14:textId="77777777" w:rsidR="00156FDC" w:rsidRPr="005050F3" w:rsidRDefault="00156FDC" w:rsidP="0077067A">
            <w:pPr>
              <w:pStyle w:val="ARtabletextright"/>
              <w:spacing w:before="50" w:after="30"/>
            </w:pPr>
            <w:r w:rsidRPr="005050F3">
              <w:t>4</w:t>
            </w:r>
          </w:p>
        </w:tc>
        <w:tc>
          <w:tcPr>
            <w:tcW w:w="836" w:type="dxa"/>
            <w:noWrap/>
            <w:hideMark/>
          </w:tcPr>
          <w:p w14:paraId="2584F4D6" w14:textId="77777777" w:rsidR="00156FDC" w:rsidRPr="005050F3" w:rsidRDefault="00156FDC" w:rsidP="0077067A">
            <w:pPr>
              <w:pStyle w:val="ARtabletextright"/>
              <w:spacing w:before="50" w:after="30"/>
            </w:pPr>
            <w:r w:rsidRPr="005050F3">
              <w:t>4</w:t>
            </w:r>
          </w:p>
        </w:tc>
        <w:tc>
          <w:tcPr>
            <w:tcW w:w="836" w:type="dxa"/>
            <w:tcBorders>
              <w:top w:val="single" w:sz="4" w:space="0" w:color="auto"/>
            </w:tcBorders>
            <w:noWrap/>
            <w:hideMark/>
          </w:tcPr>
          <w:p w14:paraId="78B18BFB"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4E541F02" w14:textId="77777777" w:rsidR="00156FDC" w:rsidRPr="005050F3" w:rsidRDefault="00156FDC" w:rsidP="0077067A">
            <w:pPr>
              <w:pStyle w:val="ARtabletextright"/>
              <w:spacing w:before="50" w:after="30"/>
            </w:pPr>
            <w:r w:rsidRPr="005050F3">
              <w:t>8</w:t>
            </w:r>
          </w:p>
        </w:tc>
        <w:tc>
          <w:tcPr>
            <w:tcW w:w="836" w:type="dxa"/>
            <w:tcBorders>
              <w:left w:val="single" w:sz="4" w:space="0" w:color="000000"/>
            </w:tcBorders>
            <w:noWrap/>
            <w:hideMark/>
          </w:tcPr>
          <w:p w14:paraId="0C366F1D" w14:textId="77777777" w:rsidR="00156FDC" w:rsidRPr="005050F3" w:rsidRDefault="00156FDC" w:rsidP="0077067A">
            <w:pPr>
              <w:pStyle w:val="ARtabletextright"/>
              <w:spacing w:before="50" w:after="30"/>
            </w:pPr>
            <w:r w:rsidRPr="005050F3">
              <w:t>12</w:t>
            </w:r>
          </w:p>
        </w:tc>
        <w:tc>
          <w:tcPr>
            <w:tcW w:w="836" w:type="dxa"/>
            <w:noWrap/>
            <w:hideMark/>
          </w:tcPr>
          <w:p w14:paraId="1F5167C8" w14:textId="77777777" w:rsidR="00156FDC" w:rsidRPr="005050F3" w:rsidRDefault="00156FDC" w:rsidP="0077067A">
            <w:pPr>
              <w:pStyle w:val="ARtabletextright"/>
              <w:spacing w:before="50" w:after="30"/>
            </w:pPr>
            <w:r w:rsidRPr="005050F3">
              <w:t>13</w:t>
            </w:r>
          </w:p>
        </w:tc>
        <w:tc>
          <w:tcPr>
            <w:tcW w:w="836" w:type="dxa"/>
            <w:noWrap/>
            <w:hideMark/>
          </w:tcPr>
          <w:p w14:paraId="110718A2"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848C270" w14:textId="77777777" w:rsidR="00156FDC" w:rsidRPr="005050F3" w:rsidRDefault="00156FDC" w:rsidP="0077067A">
            <w:pPr>
              <w:pStyle w:val="ARtabletextright"/>
              <w:spacing w:before="50" w:after="30"/>
            </w:pPr>
            <w:r w:rsidRPr="005050F3">
              <w:t>25</w:t>
            </w:r>
          </w:p>
        </w:tc>
        <w:tc>
          <w:tcPr>
            <w:tcW w:w="836" w:type="dxa"/>
            <w:tcBorders>
              <w:left w:val="single" w:sz="4" w:space="0" w:color="000000"/>
            </w:tcBorders>
            <w:noWrap/>
            <w:hideMark/>
          </w:tcPr>
          <w:p w14:paraId="7A581661" w14:textId="16BD56AD" w:rsidR="00156FDC" w:rsidRPr="005050F3" w:rsidRDefault="00FA72CF" w:rsidP="0077067A">
            <w:pPr>
              <w:pStyle w:val="ARtabletextright"/>
              <w:spacing w:before="50" w:after="30"/>
            </w:pPr>
            <w:r>
              <w:t>−</w:t>
            </w:r>
            <w:r w:rsidR="00156FDC" w:rsidRPr="005050F3">
              <w:t>8</w:t>
            </w:r>
          </w:p>
        </w:tc>
        <w:tc>
          <w:tcPr>
            <w:tcW w:w="836" w:type="dxa"/>
            <w:noWrap/>
            <w:hideMark/>
          </w:tcPr>
          <w:p w14:paraId="205F8352" w14:textId="04C23CE4" w:rsidR="00156FDC" w:rsidRPr="005050F3" w:rsidRDefault="00FA72CF" w:rsidP="0077067A">
            <w:pPr>
              <w:pStyle w:val="ARtabletextright"/>
              <w:spacing w:before="50" w:after="30"/>
            </w:pPr>
            <w:r>
              <w:t>−</w:t>
            </w:r>
            <w:r w:rsidR="00156FDC" w:rsidRPr="005050F3">
              <w:t>9</w:t>
            </w:r>
          </w:p>
        </w:tc>
        <w:tc>
          <w:tcPr>
            <w:tcW w:w="836" w:type="dxa"/>
            <w:noWrap/>
            <w:hideMark/>
          </w:tcPr>
          <w:p w14:paraId="0B3DB2D7" w14:textId="77777777" w:rsidR="00156FDC" w:rsidRPr="005050F3" w:rsidRDefault="00156FDC" w:rsidP="0077067A">
            <w:pPr>
              <w:pStyle w:val="ARtabletextright"/>
              <w:spacing w:before="50" w:after="30"/>
            </w:pPr>
            <w:r w:rsidRPr="005050F3">
              <w:t>0</w:t>
            </w:r>
          </w:p>
        </w:tc>
        <w:tc>
          <w:tcPr>
            <w:tcW w:w="836" w:type="dxa"/>
            <w:noWrap/>
            <w:hideMark/>
          </w:tcPr>
          <w:p w14:paraId="5902919C" w14:textId="58BD6E8A" w:rsidR="00156FDC" w:rsidRPr="005050F3" w:rsidRDefault="00FA72CF" w:rsidP="0077067A">
            <w:pPr>
              <w:pStyle w:val="ARtabletextright"/>
              <w:spacing w:before="50" w:after="30"/>
            </w:pPr>
            <w:r>
              <w:t>−</w:t>
            </w:r>
            <w:r w:rsidR="00156FDC" w:rsidRPr="005050F3">
              <w:t>17</w:t>
            </w:r>
          </w:p>
        </w:tc>
      </w:tr>
      <w:tr w:rsidR="00156FDC" w:rsidRPr="005050F3" w14:paraId="5CBED0E0" w14:textId="77777777" w:rsidTr="0077067A">
        <w:trPr>
          <w:cantSplit w:val="0"/>
          <w:trHeight w:val="255"/>
        </w:trPr>
        <w:tc>
          <w:tcPr>
            <w:tcW w:w="3969" w:type="dxa"/>
            <w:noWrap/>
            <w:hideMark/>
          </w:tcPr>
          <w:p w14:paraId="4FE213A8" w14:textId="77777777" w:rsidR="00156FDC" w:rsidRPr="005050F3" w:rsidRDefault="00156FDC" w:rsidP="0077067A">
            <w:pPr>
              <w:pStyle w:val="ARtabletext"/>
              <w:spacing w:before="50" w:after="30"/>
            </w:pPr>
            <w:r w:rsidRPr="005050F3">
              <w:t>Omeo District Health</w:t>
            </w:r>
          </w:p>
        </w:tc>
        <w:tc>
          <w:tcPr>
            <w:tcW w:w="836" w:type="dxa"/>
            <w:noWrap/>
            <w:hideMark/>
          </w:tcPr>
          <w:p w14:paraId="2F18F4C4" w14:textId="77777777" w:rsidR="00156FDC" w:rsidRPr="005050F3" w:rsidRDefault="00156FDC" w:rsidP="0077067A">
            <w:pPr>
              <w:pStyle w:val="ARtabletextright"/>
              <w:spacing w:before="50" w:after="30"/>
            </w:pPr>
            <w:r w:rsidRPr="005050F3">
              <w:t>0</w:t>
            </w:r>
          </w:p>
        </w:tc>
        <w:tc>
          <w:tcPr>
            <w:tcW w:w="836" w:type="dxa"/>
            <w:noWrap/>
            <w:hideMark/>
          </w:tcPr>
          <w:p w14:paraId="6B72C9C9" w14:textId="77777777" w:rsidR="00156FDC" w:rsidRPr="005050F3" w:rsidRDefault="00156FDC" w:rsidP="0077067A">
            <w:pPr>
              <w:pStyle w:val="ARtabletextright"/>
              <w:spacing w:before="50" w:after="30"/>
            </w:pPr>
            <w:r w:rsidRPr="005050F3">
              <w:t>2</w:t>
            </w:r>
          </w:p>
        </w:tc>
        <w:tc>
          <w:tcPr>
            <w:tcW w:w="836" w:type="dxa"/>
            <w:tcBorders>
              <w:top w:val="single" w:sz="4" w:space="0" w:color="auto"/>
            </w:tcBorders>
            <w:noWrap/>
            <w:hideMark/>
          </w:tcPr>
          <w:p w14:paraId="2DB401E8"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6DB9EBAF" w14:textId="77777777" w:rsidR="00156FDC" w:rsidRPr="005050F3" w:rsidRDefault="00156FDC" w:rsidP="0077067A">
            <w:pPr>
              <w:pStyle w:val="ARtabletextright"/>
              <w:spacing w:before="50" w:after="30"/>
            </w:pPr>
            <w:r w:rsidRPr="005050F3">
              <w:t>2</w:t>
            </w:r>
          </w:p>
        </w:tc>
        <w:tc>
          <w:tcPr>
            <w:tcW w:w="836" w:type="dxa"/>
            <w:tcBorders>
              <w:left w:val="single" w:sz="4" w:space="0" w:color="000000"/>
            </w:tcBorders>
            <w:noWrap/>
            <w:hideMark/>
          </w:tcPr>
          <w:p w14:paraId="10938094" w14:textId="77777777" w:rsidR="00156FDC" w:rsidRPr="005050F3" w:rsidRDefault="00156FDC" w:rsidP="0077067A">
            <w:pPr>
              <w:pStyle w:val="ARtabletextright"/>
              <w:spacing w:before="50" w:after="30"/>
            </w:pPr>
            <w:r w:rsidRPr="005050F3">
              <w:t>0</w:t>
            </w:r>
          </w:p>
        </w:tc>
        <w:tc>
          <w:tcPr>
            <w:tcW w:w="836" w:type="dxa"/>
            <w:noWrap/>
            <w:hideMark/>
          </w:tcPr>
          <w:p w14:paraId="05B865BE" w14:textId="77777777" w:rsidR="00156FDC" w:rsidRPr="005050F3" w:rsidRDefault="00156FDC" w:rsidP="0077067A">
            <w:pPr>
              <w:pStyle w:val="ARtabletextright"/>
              <w:spacing w:before="50" w:after="30"/>
            </w:pPr>
            <w:r w:rsidRPr="005050F3">
              <w:t>1</w:t>
            </w:r>
          </w:p>
        </w:tc>
        <w:tc>
          <w:tcPr>
            <w:tcW w:w="836" w:type="dxa"/>
            <w:noWrap/>
            <w:hideMark/>
          </w:tcPr>
          <w:p w14:paraId="0E23D170"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0F267DFF"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52BC5DFA" w14:textId="77777777" w:rsidR="00156FDC" w:rsidRPr="005050F3" w:rsidRDefault="00156FDC" w:rsidP="0077067A">
            <w:pPr>
              <w:pStyle w:val="ARtabletextright"/>
              <w:spacing w:before="50" w:after="30"/>
            </w:pPr>
            <w:r w:rsidRPr="005050F3">
              <w:t>0</w:t>
            </w:r>
          </w:p>
        </w:tc>
        <w:tc>
          <w:tcPr>
            <w:tcW w:w="836" w:type="dxa"/>
            <w:noWrap/>
            <w:hideMark/>
          </w:tcPr>
          <w:p w14:paraId="1F6E1E75" w14:textId="77777777" w:rsidR="00156FDC" w:rsidRPr="005050F3" w:rsidRDefault="00156FDC" w:rsidP="0077067A">
            <w:pPr>
              <w:pStyle w:val="ARtabletextright"/>
              <w:spacing w:before="50" w:after="30"/>
            </w:pPr>
            <w:r w:rsidRPr="005050F3">
              <w:t>1</w:t>
            </w:r>
          </w:p>
        </w:tc>
        <w:tc>
          <w:tcPr>
            <w:tcW w:w="836" w:type="dxa"/>
            <w:noWrap/>
            <w:hideMark/>
          </w:tcPr>
          <w:p w14:paraId="5E9331CA" w14:textId="77777777" w:rsidR="00156FDC" w:rsidRPr="005050F3" w:rsidRDefault="00156FDC" w:rsidP="0077067A">
            <w:pPr>
              <w:pStyle w:val="ARtabletextright"/>
              <w:spacing w:before="50" w:after="30"/>
            </w:pPr>
            <w:r w:rsidRPr="005050F3">
              <w:t>0</w:t>
            </w:r>
          </w:p>
        </w:tc>
        <w:tc>
          <w:tcPr>
            <w:tcW w:w="836" w:type="dxa"/>
            <w:noWrap/>
            <w:hideMark/>
          </w:tcPr>
          <w:p w14:paraId="4FE9F091" w14:textId="77777777" w:rsidR="00156FDC" w:rsidRPr="005050F3" w:rsidRDefault="00156FDC" w:rsidP="0077067A">
            <w:pPr>
              <w:pStyle w:val="ARtabletextright"/>
              <w:spacing w:before="50" w:after="30"/>
            </w:pPr>
            <w:r w:rsidRPr="005050F3">
              <w:t>1</w:t>
            </w:r>
          </w:p>
        </w:tc>
      </w:tr>
      <w:tr w:rsidR="00156FDC" w:rsidRPr="005050F3" w14:paraId="48E6180A" w14:textId="77777777" w:rsidTr="0077067A">
        <w:trPr>
          <w:cantSplit w:val="0"/>
          <w:trHeight w:val="255"/>
        </w:trPr>
        <w:tc>
          <w:tcPr>
            <w:tcW w:w="3969" w:type="dxa"/>
            <w:noWrap/>
            <w:hideMark/>
          </w:tcPr>
          <w:p w14:paraId="1F60184A" w14:textId="77777777" w:rsidR="00156FDC" w:rsidRPr="005050F3" w:rsidRDefault="00156FDC" w:rsidP="0077067A">
            <w:pPr>
              <w:pStyle w:val="ARtabletext"/>
              <w:spacing w:before="50" w:after="30"/>
            </w:pPr>
            <w:r w:rsidRPr="005050F3">
              <w:t>Orbost Regional Health</w:t>
            </w:r>
          </w:p>
        </w:tc>
        <w:tc>
          <w:tcPr>
            <w:tcW w:w="836" w:type="dxa"/>
            <w:noWrap/>
            <w:hideMark/>
          </w:tcPr>
          <w:p w14:paraId="44908C79" w14:textId="77777777" w:rsidR="00156FDC" w:rsidRPr="005050F3" w:rsidRDefault="00156FDC" w:rsidP="0077067A">
            <w:pPr>
              <w:pStyle w:val="ARtabletextright"/>
              <w:spacing w:before="50" w:after="30"/>
            </w:pPr>
            <w:r w:rsidRPr="005050F3">
              <w:t>1</w:t>
            </w:r>
          </w:p>
        </w:tc>
        <w:tc>
          <w:tcPr>
            <w:tcW w:w="836" w:type="dxa"/>
            <w:noWrap/>
            <w:hideMark/>
          </w:tcPr>
          <w:p w14:paraId="7869E3A2"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114EAA5A"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1E9F2C6"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5713529F" w14:textId="77777777" w:rsidR="00156FDC" w:rsidRPr="005050F3" w:rsidRDefault="00156FDC" w:rsidP="0077067A">
            <w:pPr>
              <w:pStyle w:val="ARtabletextright"/>
              <w:spacing w:before="50" w:after="30"/>
            </w:pPr>
            <w:r w:rsidRPr="005050F3">
              <w:t>1</w:t>
            </w:r>
          </w:p>
        </w:tc>
        <w:tc>
          <w:tcPr>
            <w:tcW w:w="836" w:type="dxa"/>
            <w:noWrap/>
            <w:hideMark/>
          </w:tcPr>
          <w:p w14:paraId="1B557C8C" w14:textId="77777777" w:rsidR="00156FDC" w:rsidRPr="005050F3" w:rsidRDefault="00156FDC" w:rsidP="0077067A">
            <w:pPr>
              <w:pStyle w:val="ARtabletextright"/>
              <w:spacing w:before="50" w:after="30"/>
            </w:pPr>
            <w:r w:rsidRPr="005050F3">
              <w:t>0</w:t>
            </w:r>
          </w:p>
        </w:tc>
        <w:tc>
          <w:tcPr>
            <w:tcW w:w="836" w:type="dxa"/>
            <w:noWrap/>
            <w:hideMark/>
          </w:tcPr>
          <w:p w14:paraId="3997D815"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1497393"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49E38EFE" w14:textId="77777777" w:rsidR="00156FDC" w:rsidRPr="005050F3" w:rsidRDefault="00156FDC" w:rsidP="0077067A">
            <w:pPr>
              <w:pStyle w:val="ARtabletextright"/>
              <w:spacing w:before="50" w:after="30"/>
            </w:pPr>
            <w:r w:rsidRPr="005050F3">
              <w:t>0</w:t>
            </w:r>
          </w:p>
        </w:tc>
        <w:tc>
          <w:tcPr>
            <w:tcW w:w="836" w:type="dxa"/>
            <w:noWrap/>
            <w:hideMark/>
          </w:tcPr>
          <w:p w14:paraId="39F16FC7" w14:textId="77777777" w:rsidR="00156FDC" w:rsidRPr="005050F3" w:rsidRDefault="00156FDC" w:rsidP="0077067A">
            <w:pPr>
              <w:pStyle w:val="ARtabletextright"/>
              <w:spacing w:before="50" w:after="30"/>
            </w:pPr>
            <w:r w:rsidRPr="005050F3">
              <w:t>0</w:t>
            </w:r>
          </w:p>
        </w:tc>
        <w:tc>
          <w:tcPr>
            <w:tcW w:w="836" w:type="dxa"/>
            <w:noWrap/>
            <w:hideMark/>
          </w:tcPr>
          <w:p w14:paraId="7E5A0666" w14:textId="77777777" w:rsidR="00156FDC" w:rsidRPr="005050F3" w:rsidRDefault="00156FDC" w:rsidP="0077067A">
            <w:pPr>
              <w:pStyle w:val="ARtabletextright"/>
              <w:spacing w:before="50" w:after="30"/>
            </w:pPr>
            <w:r w:rsidRPr="005050F3">
              <w:t>0</w:t>
            </w:r>
          </w:p>
        </w:tc>
        <w:tc>
          <w:tcPr>
            <w:tcW w:w="836" w:type="dxa"/>
            <w:noWrap/>
            <w:hideMark/>
          </w:tcPr>
          <w:p w14:paraId="5EB4607A" w14:textId="77777777" w:rsidR="00156FDC" w:rsidRPr="005050F3" w:rsidRDefault="00156FDC" w:rsidP="0077067A">
            <w:pPr>
              <w:pStyle w:val="ARtabletextright"/>
              <w:spacing w:before="50" w:after="30"/>
            </w:pPr>
            <w:r w:rsidRPr="005050F3">
              <w:t>0</w:t>
            </w:r>
          </w:p>
        </w:tc>
      </w:tr>
      <w:tr w:rsidR="00156FDC" w:rsidRPr="005050F3" w14:paraId="531181C1" w14:textId="77777777" w:rsidTr="0077067A">
        <w:trPr>
          <w:cantSplit w:val="0"/>
          <w:trHeight w:val="255"/>
        </w:trPr>
        <w:tc>
          <w:tcPr>
            <w:tcW w:w="3969" w:type="dxa"/>
            <w:noWrap/>
            <w:hideMark/>
          </w:tcPr>
          <w:p w14:paraId="3E350ACE" w14:textId="77777777" w:rsidR="00156FDC" w:rsidRPr="005050F3" w:rsidRDefault="00156FDC" w:rsidP="0077067A">
            <w:pPr>
              <w:pStyle w:val="ARtabletext"/>
              <w:spacing w:before="50" w:after="30"/>
            </w:pPr>
            <w:r w:rsidRPr="005050F3">
              <w:t>Peninsula Health</w:t>
            </w:r>
          </w:p>
        </w:tc>
        <w:tc>
          <w:tcPr>
            <w:tcW w:w="836" w:type="dxa"/>
            <w:noWrap/>
            <w:hideMark/>
          </w:tcPr>
          <w:p w14:paraId="13EC4C24" w14:textId="77777777" w:rsidR="00156FDC" w:rsidRPr="005050F3" w:rsidRDefault="00156FDC" w:rsidP="0077067A">
            <w:pPr>
              <w:pStyle w:val="ARtabletextright"/>
              <w:spacing w:before="50" w:after="30"/>
            </w:pPr>
            <w:r w:rsidRPr="005050F3">
              <w:t>4</w:t>
            </w:r>
          </w:p>
        </w:tc>
        <w:tc>
          <w:tcPr>
            <w:tcW w:w="836" w:type="dxa"/>
            <w:noWrap/>
            <w:hideMark/>
          </w:tcPr>
          <w:p w14:paraId="6B31C99B" w14:textId="77777777" w:rsidR="00156FDC" w:rsidRPr="005050F3" w:rsidRDefault="00156FDC" w:rsidP="0077067A">
            <w:pPr>
              <w:pStyle w:val="ARtabletextright"/>
              <w:spacing w:before="50" w:after="30"/>
            </w:pPr>
            <w:r w:rsidRPr="005050F3">
              <w:t>2</w:t>
            </w:r>
          </w:p>
        </w:tc>
        <w:tc>
          <w:tcPr>
            <w:tcW w:w="836" w:type="dxa"/>
            <w:tcBorders>
              <w:top w:val="single" w:sz="4" w:space="0" w:color="auto"/>
            </w:tcBorders>
            <w:noWrap/>
            <w:hideMark/>
          </w:tcPr>
          <w:p w14:paraId="701038EA"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396461B8" w14:textId="77777777" w:rsidR="00156FDC" w:rsidRPr="005050F3" w:rsidRDefault="00156FDC" w:rsidP="0077067A">
            <w:pPr>
              <w:pStyle w:val="ARtabletextright"/>
              <w:spacing w:before="50" w:after="30"/>
            </w:pPr>
            <w:r w:rsidRPr="005050F3">
              <w:t>6</w:t>
            </w:r>
          </w:p>
        </w:tc>
        <w:tc>
          <w:tcPr>
            <w:tcW w:w="836" w:type="dxa"/>
            <w:tcBorders>
              <w:left w:val="single" w:sz="4" w:space="0" w:color="000000"/>
            </w:tcBorders>
            <w:noWrap/>
            <w:hideMark/>
          </w:tcPr>
          <w:p w14:paraId="5B059B4C" w14:textId="77777777" w:rsidR="00156FDC" w:rsidRPr="005050F3" w:rsidRDefault="00156FDC" w:rsidP="0077067A">
            <w:pPr>
              <w:pStyle w:val="ARtabletextright"/>
              <w:spacing w:before="50" w:after="30"/>
            </w:pPr>
            <w:r w:rsidRPr="005050F3">
              <w:t>5</w:t>
            </w:r>
          </w:p>
        </w:tc>
        <w:tc>
          <w:tcPr>
            <w:tcW w:w="836" w:type="dxa"/>
            <w:noWrap/>
            <w:hideMark/>
          </w:tcPr>
          <w:p w14:paraId="01238915" w14:textId="77777777" w:rsidR="00156FDC" w:rsidRPr="005050F3" w:rsidRDefault="00156FDC" w:rsidP="0077067A">
            <w:pPr>
              <w:pStyle w:val="ARtabletextright"/>
              <w:spacing w:before="50" w:after="30"/>
            </w:pPr>
            <w:r w:rsidRPr="005050F3">
              <w:t>1</w:t>
            </w:r>
          </w:p>
        </w:tc>
        <w:tc>
          <w:tcPr>
            <w:tcW w:w="836" w:type="dxa"/>
            <w:noWrap/>
            <w:hideMark/>
          </w:tcPr>
          <w:p w14:paraId="4B4E8F45"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FDB1D17" w14:textId="77777777" w:rsidR="00156FDC" w:rsidRPr="005050F3" w:rsidRDefault="00156FDC" w:rsidP="0077067A">
            <w:pPr>
              <w:pStyle w:val="ARtabletextright"/>
              <w:spacing w:before="50" w:after="30"/>
            </w:pPr>
            <w:r w:rsidRPr="005050F3">
              <w:t>6</w:t>
            </w:r>
          </w:p>
        </w:tc>
        <w:tc>
          <w:tcPr>
            <w:tcW w:w="836" w:type="dxa"/>
            <w:tcBorders>
              <w:left w:val="single" w:sz="4" w:space="0" w:color="000000"/>
            </w:tcBorders>
            <w:noWrap/>
            <w:hideMark/>
          </w:tcPr>
          <w:p w14:paraId="33F7C430" w14:textId="0A4180C9" w:rsidR="00156FDC" w:rsidRPr="005050F3" w:rsidRDefault="00FA72CF" w:rsidP="0077067A">
            <w:pPr>
              <w:pStyle w:val="ARtabletextright"/>
              <w:spacing w:before="50" w:after="30"/>
            </w:pPr>
            <w:r>
              <w:t>−</w:t>
            </w:r>
            <w:r w:rsidR="00156FDC" w:rsidRPr="005050F3">
              <w:t>1</w:t>
            </w:r>
          </w:p>
        </w:tc>
        <w:tc>
          <w:tcPr>
            <w:tcW w:w="836" w:type="dxa"/>
            <w:noWrap/>
            <w:hideMark/>
          </w:tcPr>
          <w:p w14:paraId="432E2E31" w14:textId="77777777" w:rsidR="00156FDC" w:rsidRPr="005050F3" w:rsidRDefault="00156FDC" w:rsidP="0077067A">
            <w:pPr>
              <w:pStyle w:val="ARtabletextright"/>
              <w:spacing w:before="50" w:after="30"/>
            </w:pPr>
            <w:r w:rsidRPr="005050F3">
              <w:t>1</w:t>
            </w:r>
          </w:p>
        </w:tc>
        <w:tc>
          <w:tcPr>
            <w:tcW w:w="836" w:type="dxa"/>
            <w:noWrap/>
            <w:hideMark/>
          </w:tcPr>
          <w:p w14:paraId="5DAEF5F3" w14:textId="77777777" w:rsidR="00156FDC" w:rsidRPr="005050F3" w:rsidRDefault="00156FDC" w:rsidP="0077067A">
            <w:pPr>
              <w:pStyle w:val="ARtabletextright"/>
              <w:spacing w:before="50" w:after="30"/>
            </w:pPr>
            <w:r w:rsidRPr="005050F3">
              <w:t>0</w:t>
            </w:r>
          </w:p>
        </w:tc>
        <w:tc>
          <w:tcPr>
            <w:tcW w:w="836" w:type="dxa"/>
            <w:noWrap/>
            <w:hideMark/>
          </w:tcPr>
          <w:p w14:paraId="1C1E578D" w14:textId="77777777" w:rsidR="00156FDC" w:rsidRPr="005050F3" w:rsidRDefault="00156FDC" w:rsidP="0077067A">
            <w:pPr>
              <w:pStyle w:val="ARtabletextright"/>
              <w:spacing w:before="50" w:after="30"/>
            </w:pPr>
            <w:r w:rsidRPr="005050F3">
              <w:t>0</w:t>
            </w:r>
          </w:p>
        </w:tc>
      </w:tr>
      <w:tr w:rsidR="00156FDC" w:rsidRPr="005050F3" w14:paraId="69FF4754" w14:textId="77777777" w:rsidTr="0077067A">
        <w:trPr>
          <w:cantSplit w:val="0"/>
          <w:trHeight w:val="255"/>
        </w:trPr>
        <w:tc>
          <w:tcPr>
            <w:tcW w:w="3969" w:type="dxa"/>
            <w:noWrap/>
            <w:hideMark/>
          </w:tcPr>
          <w:p w14:paraId="61ABB888" w14:textId="77777777" w:rsidR="00156FDC" w:rsidRPr="005050F3" w:rsidRDefault="00156FDC" w:rsidP="0077067A">
            <w:pPr>
              <w:pStyle w:val="ARtabletext"/>
              <w:spacing w:before="50" w:after="30"/>
            </w:pPr>
            <w:r w:rsidRPr="005050F3">
              <w:t>Peter MacCallum Cancer Centre</w:t>
            </w:r>
          </w:p>
        </w:tc>
        <w:tc>
          <w:tcPr>
            <w:tcW w:w="836" w:type="dxa"/>
            <w:noWrap/>
            <w:hideMark/>
          </w:tcPr>
          <w:p w14:paraId="13D31712" w14:textId="77777777" w:rsidR="00156FDC" w:rsidRPr="005050F3" w:rsidRDefault="00156FDC" w:rsidP="0077067A">
            <w:pPr>
              <w:pStyle w:val="ARtabletextright"/>
              <w:spacing w:before="50" w:after="30"/>
            </w:pPr>
            <w:r w:rsidRPr="005050F3">
              <w:t>5</w:t>
            </w:r>
          </w:p>
        </w:tc>
        <w:tc>
          <w:tcPr>
            <w:tcW w:w="836" w:type="dxa"/>
            <w:noWrap/>
            <w:hideMark/>
          </w:tcPr>
          <w:p w14:paraId="2428C2F7" w14:textId="77777777" w:rsidR="00156FDC" w:rsidRPr="005050F3" w:rsidRDefault="00156FDC" w:rsidP="0077067A">
            <w:pPr>
              <w:pStyle w:val="ARtabletextright"/>
              <w:spacing w:before="50" w:after="30"/>
            </w:pPr>
            <w:r w:rsidRPr="005050F3">
              <w:t>2</w:t>
            </w:r>
          </w:p>
        </w:tc>
        <w:tc>
          <w:tcPr>
            <w:tcW w:w="836" w:type="dxa"/>
            <w:tcBorders>
              <w:top w:val="single" w:sz="4" w:space="0" w:color="auto"/>
            </w:tcBorders>
            <w:noWrap/>
            <w:hideMark/>
          </w:tcPr>
          <w:p w14:paraId="4ACC44C3"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976CE2D" w14:textId="77777777" w:rsidR="00156FDC" w:rsidRPr="005050F3" w:rsidRDefault="00156FDC" w:rsidP="0077067A">
            <w:pPr>
              <w:pStyle w:val="ARtabletextright"/>
              <w:spacing w:before="50" w:after="30"/>
            </w:pPr>
            <w:r w:rsidRPr="005050F3">
              <w:t>7</w:t>
            </w:r>
          </w:p>
        </w:tc>
        <w:tc>
          <w:tcPr>
            <w:tcW w:w="836" w:type="dxa"/>
            <w:tcBorders>
              <w:left w:val="single" w:sz="4" w:space="0" w:color="000000"/>
            </w:tcBorders>
            <w:noWrap/>
            <w:hideMark/>
          </w:tcPr>
          <w:p w14:paraId="7DD045F2" w14:textId="77777777" w:rsidR="00156FDC" w:rsidRPr="005050F3" w:rsidRDefault="00156FDC" w:rsidP="0077067A">
            <w:pPr>
              <w:pStyle w:val="ARtabletextright"/>
              <w:spacing w:before="50" w:after="30"/>
            </w:pPr>
            <w:r w:rsidRPr="005050F3">
              <w:t>5</w:t>
            </w:r>
          </w:p>
        </w:tc>
        <w:tc>
          <w:tcPr>
            <w:tcW w:w="836" w:type="dxa"/>
            <w:noWrap/>
            <w:hideMark/>
          </w:tcPr>
          <w:p w14:paraId="3A185E8F" w14:textId="77777777" w:rsidR="00156FDC" w:rsidRPr="005050F3" w:rsidRDefault="00156FDC" w:rsidP="0077067A">
            <w:pPr>
              <w:pStyle w:val="ARtabletextright"/>
              <w:spacing w:before="50" w:after="30"/>
            </w:pPr>
            <w:r w:rsidRPr="005050F3">
              <w:t>2</w:t>
            </w:r>
          </w:p>
        </w:tc>
        <w:tc>
          <w:tcPr>
            <w:tcW w:w="836" w:type="dxa"/>
            <w:noWrap/>
            <w:hideMark/>
          </w:tcPr>
          <w:p w14:paraId="53F06159"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47D38586" w14:textId="77777777" w:rsidR="00156FDC" w:rsidRPr="005050F3" w:rsidRDefault="00156FDC" w:rsidP="0077067A">
            <w:pPr>
              <w:pStyle w:val="ARtabletextright"/>
              <w:spacing w:before="50" w:after="30"/>
            </w:pPr>
            <w:r w:rsidRPr="005050F3">
              <w:t>7</w:t>
            </w:r>
          </w:p>
        </w:tc>
        <w:tc>
          <w:tcPr>
            <w:tcW w:w="836" w:type="dxa"/>
            <w:tcBorders>
              <w:left w:val="single" w:sz="4" w:space="0" w:color="000000"/>
            </w:tcBorders>
            <w:noWrap/>
            <w:hideMark/>
          </w:tcPr>
          <w:p w14:paraId="18B638A1" w14:textId="77777777" w:rsidR="00156FDC" w:rsidRPr="005050F3" w:rsidRDefault="00156FDC" w:rsidP="0077067A">
            <w:pPr>
              <w:pStyle w:val="ARtabletextright"/>
              <w:spacing w:before="50" w:after="30"/>
            </w:pPr>
            <w:r w:rsidRPr="005050F3">
              <w:t>0</w:t>
            </w:r>
          </w:p>
        </w:tc>
        <w:tc>
          <w:tcPr>
            <w:tcW w:w="836" w:type="dxa"/>
            <w:noWrap/>
            <w:hideMark/>
          </w:tcPr>
          <w:p w14:paraId="21A72EE3" w14:textId="77777777" w:rsidR="00156FDC" w:rsidRPr="005050F3" w:rsidRDefault="00156FDC" w:rsidP="0077067A">
            <w:pPr>
              <w:pStyle w:val="ARtabletextright"/>
              <w:spacing w:before="50" w:after="30"/>
            </w:pPr>
            <w:r w:rsidRPr="005050F3">
              <w:t>0</w:t>
            </w:r>
          </w:p>
        </w:tc>
        <w:tc>
          <w:tcPr>
            <w:tcW w:w="836" w:type="dxa"/>
            <w:noWrap/>
            <w:hideMark/>
          </w:tcPr>
          <w:p w14:paraId="25BE8F5C" w14:textId="77777777" w:rsidR="00156FDC" w:rsidRPr="005050F3" w:rsidRDefault="00156FDC" w:rsidP="0077067A">
            <w:pPr>
              <w:pStyle w:val="ARtabletextright"/>
              <w:spacing w:before="50" w:after="30"/>
            </w:pPr>
            <w:r w:rsidRPr="005050F3">
              <w:t>0</w:t>
            </w:r>
          </w:p>
        </w:tc>
        <w:tc>
          <w:tcPr>
            <w:tcW w:w="836" w:type="dxa"/>
            <w:noWrap/>
            <w:hideMark/>
          </w:tcPr>
          <w:p w14:paraId="1A8E8E8C" w14:textId="77777777" w:rsidR="00156FDC" w:rsidRPr="005050F3" w:rsidRDefault="00156FDC" w:rsidP="0077067A">
            <w:pPr>
              <w:pStyle w:val="ARtabletextright"/>
              <w:spacing w:before="50" w:after="30"/>
            </w:pPr>
            <w:r w:rsidRPr="005050F3">
              <w:t>0</w:t>
            </w:r>
          </w:p>
        </w:tc>
      </w:tr>
      <w:tr w:rsidR="00156FDC" w:rsidRPr="005050F3" w14:paraId="109ABE5E" w14:textId="77777777" w:rsidTr="0077067A">
        <w:trPr>
          <w:cantSplit w:val="0"/>
          <w:trHeight w:val="255"/>
        </w:trPr>
        <w:tc>
          <w:tcPr>
            <w:tcW w:w="3969" w:type="dxa"/>
            <w:noWrap/>
            <w:hideMark/>
          </w:tcPr>
          <w:p w14:paraId="016063BF" w14:textId="77777777" w:rsidR="00156FDC" w:rsidRPr="005050F3" w:rsidRDefault="00156FDC" w:rsidP="0077067A">
            <w:pPr>
              <w:pStyle w:val="ARtabletext"/>
              <w:spacing w:before="50" w:after="30"/>
            </w:pPr>
            <w:r w:rsidRPr="005050F3">
              <w:t>Portland District Health</w:t>
            </w:r>
          </w:p>
        </w:tc>
        <w:tc>
          <w:tcPr>
            <w:tcW w:w="836" w:type="dxa"/>
            <w:noWrap/>
            <w:hideMark/>
          </w:tcPr>
          <w:p w14:paraId="69DF3E06" w14:textId="77777777" w:rsidR="00156FDC" w:rsidRPr="005050F3" w:rsidRDefault="00156FDC" w:rsidP="0077067A">
            <w:pPr>
              <w:pStyle w:val="ARtabletextright"/>
              <w:spacing w:before="50" w:after="30"/>
            </w:pPr>
            <w:r w:rsidRPr="005050F3">
              <w:t>0</w:t>
            </w:r>
          </w:p>
        </w:tc>
        <w:tc>
          <w:tcPr>
            <w:tcW w:w="836" w:type="dxa"/>
            <w:noWrap/>
            <w:hideMark/>
          </w:tcPr>
          <w:p w14:paraId="345B4965"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2D1B6522"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0F03A119"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1947E419" w14:textId="77777777" w:rsidR="00156FDC" w:rsidRPr="005050F3" w:rsidRDefault="00156FDC" w:rsidP="0077067A">
            <w:pPr>
              <w:pStyle w:val="ARtabletextright"/>
              <w:spacing w:before="50" w:after="30"/>
            </w:pPr>
            <w:r w:rsidRPr="005050F3">
              <w:t>1</w:t>
            </w:r>
          </w:p>
        </w:tc>
        <w:tc>
          <w:tcPr>
            <w:tcW w:w="836" w:type="dxa"/>
            <w:noWrap/>
            <w:hideMark/>
          </w:tcPr>
          <w:p w14:paraId="76064668" w14:textId="77777777" w:rsidR="00156FDC" w:rsidRPr="005050F3" w:rsidRDefault="00156FDC" w:rsidP="0077067A">
            <w:pPr>
              <w:pStyle w:val="ARtabletextright"/>
              <w:spacing w:before="50" w:after="30"/>
            </w:pPr>
            <w:r w:rsidRPr="005050F3">
              <w:t>1</w:t>
            </w:r>
          </w:p>
        </w:tc>
        <w:tc>
          <w:tcPr>
            <w:tcW w:w="836" w:type="dxa"/>
            <w:noWrap/>
            <w:hideMark/>
          </w:tcPr>
          <w:p w14:paraId="69C7EDE1"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35FDB25F" w14:textId="77777777" w:rsidR="00156FDC" w:rsidRPr="005050F3" w:rsidRDefault="00156FDC" w:rsidP="0077067A">
            <w:pPr>
              <w:pStyle w:val="ARtabletextright"/>
              <w:spacing w:before="50" w:after="30"/>
            </w:pPr>
            <w:r w:rsidRPr="005050F3">
              <w:t>2</w:t>
            </w:r>
          </w:p>
        </w:tc>
        <w:tc>
          <w:tcPr>
            <w:tcW w:w="836" w:type="dxa"/>
            <w:tcBorders>
              <w:left w:val="single" w:sz="4" w:space="0" w:color="000000"/>
            </w:tcBorders>
            <w:noWrap/>
            <w:hideMark/>
          </w:tcPr>
          <w:p w14:paraId="60B0B3FC" w14:textId="400C49AF" w:rsidR="00156FDC" w:rsidRPr="005050F3" w:rsidRDefault="00FA72CF" w:rsidP="0077067A">
            <w:pPr>
              <w:pStyle w:val="ARtabletextright"/>
              <w:spacing w:before="50" w:after="30"/>
            </w:pPr>
            <w:r>
              <w:t>−</w:t>
            </w:r>
            <w:r w:rsidR="00156FDC" w:rsidRPr="005050F3">
              <w:t>1</w:t>
            </w:r>
          </w:p>
        </w:tc>
        <w:tc>
          <w:tcPr>
            <w:tcW w:w="836" w:type="dxa"/>
            <w:noWrap/>
            <w:hideMark/>
          </w:tcPr>
          <w:p w14:paraId="75F5C3B4" w14:textId="77777777" w:rsidR="00156FDC" w:rsidRPr="005050F3" w:rsidRDefault="00156FDC" w:rsidP="0077067A">
            <w:pPr>
              <w:pStyle w:val="ARtabletextright"/>
              <w:spacing w:before="50" w:after="30"/>
            </w:pPr>
            <w:r w:rsidRPr="005050F3">
              <w:t>0</w:t>
            </w:r>
          </w:p>
        </w:tc>
        <w:tc>
          <w:tcPr>
            <w:tcW w:w="836" w:type="dxa"/>
            <w:noWrap/>
            <w:hideMark/>
          </w:tcPr>
          <w:p w14:paraId="7061C593" w14:textId="77777777" w:rsidR="00156FDC" w:rsidRPr="005050F3" w:rsidRDefault="00156FDC" w:rsidP="0077067A">
            <w:pPr>
              <w:pStyle w:val="ARtabletextright"/>
              <w:spacing w:before="50" w:after="30"/>
            </w:pPr>
            <w:r w:rsidRPr="005050F3">
              <w:t>0</w:t>
            </w:r>
          </w:p>
        </w:tc>
        <w:tc>
          <w:tcPr>
            <w:tcW w:w="836" w:type="dxa"/>
            <w:noWrap/>
            <w:hideMark/>
          </w:tcPr>
          <w:p w14:paraId="71E59BE6" w14:textId="1954590B" w:rsidR="00156FDC" w:rsidRPr="005050F3" w:rsidRDefault="00FA72CF" w:rsidP="0077067A">
            <w:pPr>
              <w:pStyle w:val="ARtabletextright"/>
              <w:spacing w:before="50" w:after="30"/>
            </w:pPr>
            <w:r>
              <w:t>−</w:t>
            </w:r>
            <w:r w:rsidR="00156FDC" w:rsidRPr="005050F3">
              <w:t>1</w:t>
            </w:r>
          </w:p>
        </w:tc>
      </w:tr>
      <w:tr w:rsidR="00156FDC" w:rsidRPr="005050F3" w14:paraId="3C2D4685" w14:textId="77777777" w:rsidTr="0077067A">
        <w:trPr>
          <w:cantSplit w:val="0"/>
          <w:trHeight w:val="255"/>
        </w:trPr>
        <w:tc>
          <w:tcPr>
            <w:tcW w:w="3969" w:type="dxa"/>
            <w:noWrap/>
            <w:hideMark/>
          </w:tcPr>
          <w:p w14:paraId="1B85E0B6" w14:textId="77777777" w:rsidR="00156FDC" w:rsidRPr="005050F3" w:rsidRDefault="00156FDC" w:rsidP="0077067A">
            <w:pPr>
              <w:pStyle w:val="ARtabletext"/>
              <w:spacing w:before="50" w:after="30"/>
            </w:pPr>
            <w:r w:rsidRPr="005050F3">
              <w:t>Robinvale District Health Services</w:t>
            </w:r>
          </w:p>
        </w:tc>
        <w:tc>
          <w:tcPr>
            <w:tcW w:w="836" w:type="dxa"/>
            <w:noWrap/>
            <w:hideMark/>
          </w:tcPr>
          <w:p w14:paraId="7A0A614F" w14:textId="77777777" w:rsidR="00156FDC" w:rsidRPr="005050F3" w:rsidRDefault="00156FDC" w:rsidP="0077067A">
            <w:pPr>
              <w:pStyle w:val="ARtabletextright"/>
              <w:spacing w:before="50" w:after="30"/>
            </w:pPr>
            <w:r w:rsidRPr="005050F3">
              <w:t>2</w:t>
            </w:r>
          </w:p>
        </w:tc>
        <w:tc>
          <w:tcPr>
            <w:tcW w:w="836" w:type="dxa"/>
            <w:noWrap/>
            <w:hideMark/>
          </w:tcPr>
          <w:p w14:paraId="7B440091"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7AD6B807"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A5EE067" w14:textId="77777777" w:rsidR="00156FDC" w:rsidRPr="005050F3" w:rsidRDefault="00156FDC" w:rsidP="0077067A">
            <w:pPr>
              <w:pStyle w:val="ARtabletextright"/>
              <w:spacing w:before="50" w:after="30"/>
            </w:pPr>
            <w:r w:rsidRPr="005050F3">
              <w:t>2</w:t>
            </w:r>
          </w:p>
        </w:tc>
        <w:tc>
          <w:tcPr>
            <w:tcW w:w="836" w:type="dxa"/>
            <w:tcBorders>
              <w:left w:val="single" w:sz="4" w:space="0" w:color="000000"/>
            </w:tcBorders>
            <w:noWrap/>
            <w:hideMark/>
          </w:tcPr>
          <w:p w14:paraId="44D38CA2" w14:textId="77777777" w:rsidR="00156FDC" w:rsidRPr="005050F3" w:rsidRDefault="00156FDC" w:rsidP="0077067A">
            <w:pPr>
              <w:pStyle w:val="ARtabletextright"/>
              <w:spacing w:before="50" w:after="30"/>
            </w:pPr>
            <w:r w:rsidRPr="005050F3">
              <w:t>1</w:t>
            </w:r>
          </w:p>
        </w:tc>
        <w:tc>
          <w:tcPr>
            <w:tcW w:w="836" w:type="dxa"/>
            <w:noWrap/>
            <w:hideMark/>
          </w:tcPr>
          <w:p w14:paraId="02C70C0E" w14:textId="77777777" w:rsidR="00156FDC" w:rsidRPr="005050F3" w:rsidRDefault="00156FDC" w:rsidP="0077067A">
            <w:pPr>
              <w:pStyle w:val="ARtabletextright"/>
              <w:spacing w:before="50" w:after="30"/>
            </w:pPr>
            <w:r w:rsidRPr="005050F3">
              <w:t>0</w:t>
            </w:r>
          </w:p>
        </w:tc>
        <w:tc>
          <w:tcPr>
            <w:tcW w:w="836" w:type="dxa"/>
            <w:noWrap/>
            <w:hideMark/>
          </w:tcPr>
          <w:p w14:paraId="29262976"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38116C70"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0F79C3A1" w14:textId="77777777" w:rsidR="00156FDC" w:rsidRPr="005050F3" w:rsidRDefault="00156FDC" w:rsidP="0077067A">
            <w:pPr>
              <w:pStyle w:val="ARtabletextright"/>
              <w:spacing w:before="50" w:after="30"/>
            </w:pPr>
            <w:r w:rsidRPr="005050F3">
              <w:t>1</w:t>
            </w:r>
          </w:p>
        </w:tc>
        <w:tc>
          <w:tcPr>
            <w:tcW w:w="836" w:type="dxa"/>
            <w:noWrap/>
            <w:hideMark/>
          </w:tcPr>
          <w:p w14:paraId="4D52C124" w14:textId="77777777" w:rsidR="00156FDC" w:rsidRPr="005050F3" w:rsidRDefault="00156FDC" w:rsidP="0077067A">
            <w:pPr>
              <w:pStyle w:val="ARtabletextright"/>
              <w:spacing w:before="50" w:after="30"/>
            </w:pPr>
            <w:r w:rsidRPr="005050F3">
              <w:t>0</w:t>
            </w:r>
          </w:p>
        </w:tc>
        <w:tc>
          <w:tcPr>
            <w:tcW w:w="836" w:type="dxa"/>
            <w:noWrap/>
            <w:hideMark/>
          </w:tcPr>
          <w:p w14:paraId="7AC8711E" w14:textId="77777777" w:rsidR="00156FDC" w:rsidRPr="005050F3" w:rsidRDefault="00156FDC" w:rsidP="0077067A">
            <w:pPr>
              <w:pStyle w:val="ARtabletextright"/>
              <w:spacing w:before="50" w:after="30"/>
            </w:pPr>
            <w:r w:rsidRPr="005050F3">
              <w:t>0</w:t>
            </w:r>
          </w:p>
        </w:tc>
        <w:tc>
          <w:tcPr>
            <w:tcW w:w="836" w:type="dxa"/>
            <w:noWrap/>
            <w:hideMark/>
          </w:tcPr>
          <w:p w14:paraId="76A89371" w14:textId="77777777" w:rsidR="00156FDC" w:rsidRPr="005050F3" w:rsidRDefault="00156FDC" w:rsidP="0077067A">
            <w:pPr>
              <w:pStyle w:val="ARtabletextright"/>
              <w:spacing w:before="50" w:after="30"/>
            </w:pPr>
            <w:r w:rsidRPr="005050F3">
              <w:t>1</w:t>
            </w:r>
          </w:p>
        </w:tc>
      </w:tr>
      <w:tr w:rsidR="00156FDC" w:rsidRPr="005050F3" w14:paraId="68D6E26A" w14:textId="77777777" w:rsidTr="0077067A">
        <w:trPr>
          <w:cantSplit w:val="0"/>
          <w:trHeight w:val="255"/>
        </w:trPr>
        <w:tc>
          <w:tcPr>
            <w:tcW w:w="3969" w:type="dxa"/>
            <w:noWrap/>
            <w:hideMark/>
          </w:tcPr>
          <w:p w14:paraId="2FF72885" w14:textId="77777777" w:rsidR="00156FDC" w:rsidRPr="005050F3" w:rsidRDefault="00156FDC" w:rsidP="0077067A">
            <w:pPr>
              <w:pStyle w:val="ARtabletext"/>
              <w:spacing w:before="50" w:after="30"/>
            </w:pPr>
            <w:r w:rsidRPr="005050F3">
              <w:t>Rochester and Elmore District Health Service</w:t>
            </w:r>
          </w:p>
        </w:tc>
        <w:tc>
          <w:tcPr>
            <w:tcW w:w="836" w:type="dxa"/>
            <w:noWrap/>
            <w:hideMark/>
          </w:tcPr>
          <w:p w14:paraId="37DA45BE" w14:textId="77777777" w:rsidR="00156FDC" w:rsidRPr="005050F3" w:rsidRDefault="00156FDC" w:rsidP="0077067A">
            <w:pPr>
              <w:pStyle w:val="ARtabletextright"/>
              <w:spacing w:before="50" w:after="30"/>
            </w:pPr>
            <w:r w:rsidRPr="005050F3">
              <w:t>1</w:t>
            </w:r>
          </w:p>
        </w:tc>
        <w:tc>
          <w:tcPr>
            <w:tcW w:w="836" w:type="dxa"/>
            <w:noWrap/>
            <w:hideMark/>
          </w:tcPr>
          <w:p w14:paraId="4BB2522E"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1307857B"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2988033"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4F7AE710" w14:textId="77777777" w:rsidR="00156FDC" w:rsidRPr="005050F3" w:rsidRDefault="00156FDC" w:rsidP="0077067A">
            <w:pPr>
              <w:pStyle w:val="ARtabletextright"/>
              <w:spacing w:before="50" w:after="30"/>
            </w:pPr>
            <w:r w:rsidRPr="005050F3">
              <w:t>1</w:t>
            </w:r>
          </w:p>
        </w:tc>
        <w:tc>
          <w:tcPr>
            <w:tcW w:w="836" w:type="dxa"/>
            <w:noWrap/>
            <w:hideMark/>
          </w:tcPr>
          <w:p w14:paraId="38FF360B" w14:textId="77777777" w:rsidR="00156FDC" w:rsidRPr="005050F3" w:rsidRDefault="00156FDC" w:rsidP="0077067A">
            <w:pPr>
              <w:pStyle w:val="ARtabletextright"/>
              <w:spacing w:before="50" w:after="30"/>
            </w:pPr>
            <w:r w:rsidRPr="005050F3">
              <w:t>0</w:t>
            </w:r>
          </w:p>
        </w:tc>
        <w:tc>
          <w:tcPr>
            <w:tcW w:w="836" w:type="dxa"/>
            <w:noWrap/>
            <w:hideMark/>
          </w:tcPr>
          <w:p w14:paraId="31C906AF"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08123461"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3D7027AF" w14:textId="77777777" w:rsidR="00156FDC" w:rsidRPr="005050F3" w:rsidRDefault="00156FDC" w:rsidP="0077067A">
            <w:pPr>
              <w:pStyle w:val="ARtabletextright"/>
              <w:spacing w:before="50" w:after="30"/>
            </w:pPr>
            <w:r w:rsidRPr="005050F3">
              <w:t>0</w:t>
            </w:r>
          </w:p>
        </w:tc>
        <w:tc>
          <w:tcPr>
            <w:tcW w:w="836" w:type="dxa"/>
            <w:noWrap/>
            <w:hideMark/>
          </w:tcPr>
          <w:p w14:paraId="12AF3221" w14:textId="77777777" w:rsidR="00156FDC" w:rsidRPr="005050F3" w:rsidRDefault="00156FDC" w:rsidP="0077067A">
            <w:pPr>
              <w:pStyle w:val="ARtabletextright"/>
              <w:spacing w:before="50" w:after="30"/>
            </w:pPr>
            <w:r w:rsidRPr="005050F3">
              <w:t>0</w:t>
            </w:r>
          </w:p>
        </w:tc>
        <w:tc>
          <w:tcPr>
            <w:tcW w:w="836" w:type="dxa"/>
            <w:noWrap/>
            <w:hideMark/>
          </w:tcPr>
          <w:p w14:paraId="6622CF63" w14:textId="77777777" w:rsidR="00156FDC" w:rsidRPr="005050F3" w:rsidRDefault="00156FDC" w:rsidP="0077067A">
            <w:pPr>
              <w:pStyle w:val="ARtabletextright"/>
              <w:spacing w:before="50" w:after="30"/>
            </w:pPr>
            <w:r w:rsidRPr="005050F3">
              <w:t>0</w:t>
            </w:r>
          </w:p>
        </w:tc>
        <w:tc>
          <w:tcPr>
            <w:tcW w:w="836" w:type="dxa"/>
            <w:noWrap/>
            <w:hideMark/>
          </w:tcPr>
          <w:p w14:paraId="607AFA08" w14:textId="77777777" w:rsidR="00156FDC" w:rsidRPr="005050F3" w:rsidRDefault="00156FDC" w:rsidP="0077067A">
            <w:pPr>
              <w:pStyle w:val="ARtabletextright"/>
              <w:spacing w:before="50" w:after="30"/>
            </w:pPr>
            <w:r w:rsidRPr="005050F3">
              <w:t>0</w:t>
            </w:r>
          </w:p>
        </w:tc>
      </w:tr>
      <w:tr w:rsidR="00156FDC" w:rsidRPr="005050F3" w14:paraId="3D143FA1" w14:textId="77777777" w:rsidTr="0077067A">
        <w:trPr>
          <w:cantSplit w:val="0"/>
          <w:trHeight w:val="255"/>
        </w:trPr>
        <w:tc>
          <w:tcPr>
            <w:tcW w:w="3969" w:type="dxa"/>
            <w:noWrap/>
            <w:hideMark/>
          </w:tcPr>
          <w:p w14:paraId="16B8F0B9" w14:textId="77777777" w:rsidR="00156FDC" w:rsidRPr="005050F3" w:rsidRDefault="00156FDC" w:rsidP="0077067A">
            <w:pPr>
              <w:pStyle w:val="ARtabletext"/>
              <w:spacing w:before="50" w:after="30"/>
            </w:pPr>
            <w:r w:rsidRPr="005050F3">
              <w:t>Royal Children's Hospital</w:t>
            </w:r>
          </w:p>
        </w:tc>
        <w:tc>
          <w:tcPr>
            <w:tcW w:w="836" w:type="dxa"/>
            <w:noWrap/>
            <w:hideMark/>
          </w:tcPr>
          <w:p w14:paraId="4FF7B87B" w14:textId="77777777" w:rsidR="00156FDC" w:rsidRPr="005050F3" w:rsidRDefault="00156FDC" w:rsidP="0077067A">
            <w:pPr>
              <w:pStyle w:val="ARtabletextright"/>
              <w:spacing w:before="50" w:after="30"/>
            </w:pPr>
            <w:r w:rsidRPr="005050F3">
              <w:t>7</w:t>
            </w:r>
          </w:p>
        </w:tc>
        <w:tc>
          <w:tcPr>
            <w:tcW w:w="836" w:type="dxa"/>
            <w:noWrap/>
            <w:hideMark/>
          </w:tcPr>
          <w:p w14:paraId="6D6D2744" w14:textId="77777777" w:rsidR="00156FDC" w:rsidRPr="005050F3" w:rsidRDefault="00156FDC" w:rsidP="0077067A">
            <w:pPr>
              <w:pStyle w:val="ARtabletextright"/>
              <w:spacing w:before="50" w:after="30"/>
            </w:pPr>
            <w:r w:rsidRPr="005050F3">
              <w:t>2</w:t>
            </w:r>
          </w:p>
        </w:tc>
        <w:tc>
          <w:tcPr>
            <w:tcW w:w="836" w:type="dxa"/>
            <w:tcBorders>
              <w:top w:val="single" w:sz="4" w:space="0" w:color="auto"/>
            </w:tcBorders>
            <w:noWrap/>
            <w:hideMark/>
          </w:tcPr>
          <w:p w14:paraId="0F883AB7"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78413E3E" w14:textId="77777777" w:rsidR="00156FDC" w:rsidRPr="005050F3" w:rsidRDefault="00156FDC" w:rsidP="0077067A">
            <w:pPr>
              <w:pStyle w:val="ARtabletextright"/>
              <w:spacing w:before="50" w:after="30"/>
            </w:pPr>
            <w:r w:rsidRPr="005050F3">
              <w:t>9</w:t>
            </w:r>
          </w:p>
        </w:tc>
        <w:tc>
          <w:tcPr>
            <w:tcW w:w="836" w:type="dxa"/>
            <w:tcBorders>
              <w:left w:val="single" w:sz="4" w:space="0" w:color="000000"/>
            </w:tcBorders>
            <w:noWrap/>
            <w:hideMark/>
          </w:tcPr>
          <w:p w14:paraId="79FDC077" w14:textId="77777777" w:rsidR="00156FDC" w:rsidRPr="005050F3" w:rsidRDefault="00156FDC" w:rsidP="0077067A">
            <w:pPr>
              <w:pStyle w:val="ARtabletextright"/>
              <w:spacing w:before="50" w:after="30"/>
            </w:pPr>
            <w:r w:rsidRPr="005050F3">
              <w:t>4</w:t>
            </w:r>
          </w:p>
        </w:tc>
        <w:tc>
          <w:tcPr>
            <w:tcW w:w="836" w:type="dxa"/>
            <w:noWrap/>
            <w:hideMark/>
          </w:tcPr>
          <w:p w14:paraId="16CD7D4F" w14:textId="77777777" w:rsidR="00156FDC" w:rsidRPr="005050F3" w:rsidRDefault="00156FDC" w:rsidP="0077067A">
            <w:pPr>
              <w:pStyle w:val="ARtabletextright"/>
              <w:spacing w:before="50" w:after="30"/>
            </w:pPr>
            <w:r w:rsidRPr="005050F3">
              <w:t>3</w:t>
            </w:r>
          </w:p>
        </w:tc>
        <w:tc>
          <w:tcPr>
            <w:tcW w:w="836" w:type="dxa"/>
            <w:noWrap/>
            <w:hideMark/>
          </w:tcPr>
          <w:p w14:paraId="644CFEB6"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78D4831A" w14:textId="77777777" w:rsidR="00156FDC" w:rsidRPr="005050F3" w:rsidRDefault="00156FDC" w:rsidP="0077067A">
            <w:pPr>
              <w:pStyle w:val="ARtabletextright"/>
              <w:spacing w:before="50" w:after="30"/>
            </w:pPr>
            <w:r w:rsidRPr="005050F3">
              <w:t>7</w:t>
            </w:r>
          </w:p>
        </w:tc>
        <w:tc>
          <w:tcPr>
            <w:tcW w:w="836" w:type="dxa"/>
            <w:tcBorders>
              <w:left w:val="single" w:sz="4" w:space="0" w:color="000000"/>
            </w:tcBorders>
            <w:noWrap/>
            <w:hideMark/>
          </w:tcPr>
          <w:p w14:paraId="0BB6675F" w14:textId="77777777" w:rsidR="00156FDC" w:rsidRPr="005050F3" w:rsidRDefault="00156FDC" w:rsidP="0077067A">
            <w:pPr>
              <w:pStyle w:val="ARtabletextright"/>
              <w:spacing w:before="50" w:after="30"/>
            </w:pPr>
            <w:r w:rsidRPr="005050F3">
              <w:t>3</w:t>
            </w:r>
          </w:p>
        </w:tc>
        <w:tc>
          <w:tcPr>
            <w:tcW w:w="836" w:type="dxa"/>
            <w:noWrap/>
            <w:hideMark/>
          </w:tcPr>
          <w:p w14:paraId="6FA862C7" w14:textId="20FE63AF" w:rsidR="00156FDC" w:rsidRPr="005050F3" w:rsidRDefault="00FA72CF" w:rsidP="0077067A">
            <w:pPr>
              <w:pStyle w:val="ARtabletextright"/>
              <w:spacing w:before="50" w:after="30"/>
            </w:pPr>
            <w:r>
              <w:t>−</w:t>
            </w:r>
            <w:r w:rsidR="00156FDC" w:rsidRPr="005050F3">
              <w:t>1</w:t>
            </w:r>
          </w:p>
        </w:tc>
        <w:tc>
          <w:tcPr>
            <w:tcW w:w="836" w:type="dxa"/>
            <w:noWrap/>
            <w:hideMark/>
          </w:tcPr>
          <w:p w14:paraId="29E26022" w14:textId="77777777" w:rsidR="00156FDC" w:rsidRPr="005050F3" w:rsidRDefault="00156FDC" w:rsidP="0077067A">
            <w:pPr>
              <w:pStyle w:val="ARtabletextright"/>
              <w:spacing w:before="50" w:after="30"/>
            </w:pPr>
            <w:r w:rsidRPr="005050F3">
              <w:t>0</w:t>
            </w:r>
          </w:p>
        </w:tc>
        <w:tc>
          <w:tcPr>
            <w:tcW w:w="836" w:type="dxa"/>
            <w:noWrap/>
            <w:hideMark/>
          </w:tcPr>
          <w:p w14:paraId="6C8ECB25" w14:textId="77777777" w:rsidR="00156FDC" w:rsidRPr="005050F3" w:rsidRDefault="00156FDC" w:rsidP="0077067A">
            <w:pPr>
              <w:pStyle w:val="ARtabletextright"/>
              <w:spacing w:before="50" w:after="30"/>
            </w:pPr>
            <w:r w:rsidRPr="005050F3">
              <w:t>2</w:t>
            </w:r>
          </w:p>
        </w:tc>
      </w:tr>
      <w:tr w:rsidR="00156FDC" w:rsidRPr="005050F3" w14:paraId="4C8B5BCB" w14:textId="77777777" w:rsidTr="0077067A">
        <w:trPr>
          <w:cantSplit w:val="0"/>
          <w:trHeight w:val="255"/>
        </w:trPr>
        <w:tc>
          <w:tcPr>
            <w:tcW w:w="3969" w:type="dxa"/>
            <w:noWrap/>
            <w:hideMark/>
          </w:tcPr>
          <w:p w14:paraId="4CD9E0A0" w14:textId="77777777" w:rsidR="00156FDC" w:rsidRPr="005050F3" w:rsidRDefault="00156FDC" w:rsidP="0077067A">
            <w:pPr>
              <w:pStyle w:val="ARtabletext"/>
              <w:spacing w:before="50" w:after="30"/>
            </w:pPr>
            <w:r w:rsidRPr="005050F3">
              <w:t>Royal Victorian Eye and Ear Hospital</w:t>
            </w:r>
          </w:p>
        </w:tc>
        <w:tc>
          <w:tcPr>
            <w:tcW w:w="836" w:type="dxa"/>
            <w:noWrap/>
            <w:hideMark/>
          </w:tcPr>
          <w:p w14:paraId="5D8B2B7F" w14:textId="77777777" w:rsidR="00156FDC" w:rsidRPr="005050F3" w:rsidRDefault="00156FDC" w:rsidP="0077067A">
            <w:pPr>
              <w:pStyle w:val="ARtabletextright"/>
              <w:spacing w:before="50" w:after="30"/>
            </w:pPr>
            <w:r w:rsidRPr="005050F3">
              <w:t>3</w:t>
            </w:r>
          </w:p>
        </w:tc>
        <w:tc>
          <w:tcPr>
            <w:tcW w:w="836" w:type="dxa"/>
            <w:noWrap/>
            <w:hideMark/>
          </w:tcPr>
          <w:p w14:paraId="3F108B04" w14:textId="77777777" w:rsidR="00156FDC" w:rsidRPr="005050F3" w:rsidRDefault="00156FDC" w:rsidP="0077067A">
            <w:pPr>
              <w:pStyle w:val="ARtabletextright"/>
              <w:spacing w:before="50" w:after="30"/>
            </w:pPr>
            <w:r w:rsidRPr="005050F3">
              <w:t>3</w:t>
            </w:r>
          </w:p>
        </w:tc>
        <w:tc>
          <w:tcPr>
            <w:tcW w:w="836" w:type="dxa"/>
            <w:tcBorders>
              <w:top w:val="single" w:sz="4" w:space="0" w:color="auto"/>
            </w:tcBorders>
            <w:noWrap/>
            <w:hideMark/>
          </w:tcPr>
          <w:p w14:paraId="78B1F729"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E63D083" w14:textId="77777777" w:rsidR="00156FDC" w:rsidRPr="005050F3" w:rsidRDefault="00156FDC" w:rsidP="0077067A">
            <w:pPr>
              <w:pStyle w:val="ARtabletextright"/>
              <w:spacing w:before="50" w:after="30"/>
            </w:pPr>
            <w:r w:rsidRPr="005050F3">
              <w:t>6</w:t>
            </w:r>
          </w:p>
        </w:tc>
        <w:tc>
          <w:tcPr>
            <w:tcW w:w="836" w:type="dxa"/>
            <w:tcBorders>
              <w:left w:val="single" w:sz="4" w:space="0" w:color="000000"/>
            </w:tcBorders>
            <w:noWrap/>
            <w:hideMark/>
          </w:tcPr>
          <w:p w14:paraId="36430BBB" w14:textId="77777777" w:rsidR="00156FDC" w:rsidRPr="005050F3" w:rsidRDefault="00156FDC" w:rsidP="0077067A">
            <w:pPr>
              <w:pStyle w:val="ARtabletextright"/>
              <w:spacing w:before="50" w:after="30"/>
            </w:pPr>
            <w:r w:rsidRPr="005050F3">
              <w:t>1</w:t>
            </w:r>
          </w:p>
        </w:tc>
        <w:tc>
          <w:tcPr>
            <w:tcW w:w="836" w:type="dxa"/>
            <w:noWrap/>
            <w:hideMark/>
          </w:tcPr>
          <w:p w14:paraId="4525CC1E" w14:textId="77777777" w:rsidR="00156FDC" w:rsidRPr="005050F3" w:rsidRDefault="00156FDC" w:rsidP="0077067A">
            <w:pPr>
              <w:pStyle w:val="ARtabletextright"/>
              <w:spacing w:before="50" w:after="30"/>
            </w:pPr>
            <w:r w:rsidRPr="005050F3">
              <w:t>4</w:t>
            </w:r>
          </w:p>
        </w:tc>
        <w:tc>
          <w:tcPr>
            <w:tcW w:w="836" w:type="dxa"/>
            <w:noWrap/>
            <w:hideMark/>
          </w:tcPr>
          <w:p w14:paraId="561463CD"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6745A58F" w14:textId="77777777" w:rsidR="00156FDC" w:rsidRPr="005050F3" w:rsidRDefault="00156FDC" w:rsidP="0077067A">
            <w:pPr>
              <w:pStyle w:val="ARtabletextright"/>
              <w:spacing w:before="50" w:after="30"/>
            </w:pPr>
            <w:r w:rsidRPr="005050F3">
              <w:t>5</w:t>
            </w:r>
          </w:p>
        </w:tc>
        <w:tc>
          <w:tcPr>
            <w:tcW w:w="836" w:type="dxa"/>
            <w:tcBorders>
              <w:left w:val="single" w:sz="4" w:space="0" w:color="000000"/>
            </w:tcBorders>
            <w:noWrap/>
            <w:hideMark/>
          </w:tcPr>
          <w:p w14:paraId="75ED42FA" w14:textId="77777777" w:rsidR="00156FDC" w:rsidRPr="005050F3" w:rsidRDefault="00156FDC" w:rsidP="0077067A">
            <w:pPr>
              <w:pStyle w:val="ARtabletextright"/>
              <w:spacing w:before="50" w:after="30"/>
            </w:pPr>
            <w:r w:rsidRPr="005050F3">
              <w:t>2</w:t>
            </w:r>
          </w:p>
        </w:tc>
        <w:tc>
          <w:tcPr>
            <w:tcW w:w="836" w:type="dxa"/>
            <w:noWrap/>
            <w:hideMark/>
          </w:tcPr>
          <w:p w14:paraId="2A2F5D78" w14:textId="5378954A" w:rsidR="00156FDC" w:rsidRPr="005050F3" w:rsidRDefault="00FA72CF" w:rsidP="0077067A">
            <w:pPr>
              <w:pStyle w:val="ARtabletextright"/>
              <w:spacing w:before="50" w:after="30"/>
            </w:pPr>
            <w:r>
              <w:t>−</w:t>
            </w:r>
            <w:r w:rsidR="00156FDC" w:rsidRPr="005050F3">
              <w:t>1</w:t>
            </w:r>
          </w:p>
        </w:tc>
        <w:tc>
          <w:tcPr>
            <w:tcW w:w="836" w:type="dxa"/>
            <w:noWrap/>
            <w:hideMark/>
          </w:tcPr>
          <w:p w14:paraId="7621869A" w14:textId="77777777" w:rsidR="00156FDC" w:rsidRPr="005050F3" w:rsidRDefault="00156FDC" w:rsidP="0077067A">
            <w:pPr>
              <w:pStyle w:val="ARtabletextright"/>
              <w:spacing w:before="50" w:after="30"/>
            </w:pPr>
            <w:r w:rsidRPr="005050F3">
              <w:t>0</w:t>
            </w:r>
          </w:p>
        </w:tc>
        <w:tc>
          <w:tcPr>
            <w:tcW w:w="836" w:type="dxa"/>
            <w:noWrap/>
            <w:hideMark/>
          </w:tcPr>
          <w:p w14:paraId="7F35C31E" w14:textId="77777777" w:rsidR="00156FDC" w:rsidRPr="005050F3" w:rsidRDefault="00156FDC" w:rsidP="0077067A">
            <w:pPr>
              <w:pStyle w:val="ARtabletextright"/>
              <w:spacing w:before="50" w:after="30"/>
            </w:pPr>
            <w:r w:rsidRPr="005050F3">
              <w:t>1</w:t>
            </w:r>
          </w:p>
        </w:tc>
      </w:tr>
      <w:tr w:rsidR="00156FDC" w:rsidRPr="005050F3" w14:paraId="268F6A42" w14:textId="77777777" w:rsidTr="0077067A">
        <w:trPr>
          <w:cantSplit w:val="0"/>
          <w:trHeight w:val="255"/>
        </w:trPr>
        <w:tc>
          <w:tcPr>
            <w:tcW w:w="3969" w:type="dxa"/>
            <w:noWrap/>
            <w:hideMark/>
          </w:tcPr>
          <w:p w14:paraId="194D6B5E" w14:textId="77777777" w:rsidR="00156FDC" w:rsidRPr="005050F3" w:rsidRDefault="00156FDC" w:rsidP="0077067A">
            <w:pPr>
              <w:pStyle w:val="ARtabletext"/>
              <w:spacing w:before="50" w:after="30"/>
            </w:pPr>
            <w:r w:rsidRPr="005050F3">
              <w:t>Royal Women's Hospital</w:t>
            </w:r>
          </w:p>
        </w:tc>
        <w:tc>
          <w:tcPr>
            <w:tcW w:w="836" w:type="dxa"/>
            <w:noWrap/>
            <w:hideMark/>
          </w:tcPr>
          <w:p w14:paraId="4A1CA8D9" w14:textId="77777777" w:rsidR="00156FDC" w:rsidRPr="005050F3" w:rsidRDefault="00156FDC" w:rsidP="0077067A">
            <w:pPr>
              <w:pStyle w:val="ARtabletextright"/>
              <w:spacing w:before="50" w:after="30"/>
            </w:pPr>
            <w:r w:rsidRPr="005050F3">
              <w:t>7</w:t>
            </w:r>
          </w:p>
        </w:tc>
        <w:tc>
          <w:tcPr>
            <w:tcW w:w="836" w:type="dxa"/>
            <w:noWrap/>
            <w:hideMark/>
          </w:tcPr>
          <w:p w14:paraId="48867369" w14:textId="77777777" w:rsidR="00156FDC" w:rsidRPr="005050F3" w:rsidRDefault="00156FDC" w:rsidP="0077067A">
            <w:pPr>
              <w:pStyle w:val="ARtabletextright"/>
              <w:spacing w:before="50" w:after="30"/>
            </w:pPr>
            <w:r w:rsidRPr="005050F3">
              <w:t>4</w:t>
            </w:r>
          </w:p>
        </w:tc>
        <w:tc>
          <w:tcPr>
            <w:tcW w:w="836" w:type="dxa"/>
            <w:tcBorders>
              <w:top w:val="single" w:sz="4" w:space="0" w:color="auto"/>
            </w:tcBorders>
            <w:noWrap/>
            <w:hideMark/>
          </w:tcPr>
          <w:p w14:paraId="6906502B"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323E7756" w14:textId="77777777" w:rsidR="00156FDC" w:rsidRPr="005050F3" w:rsidRDefault="00156FDC" w:rsidP="0077067A">
            <w:pPr>
              <w:pStyle w:val="ARtabletextright"/>
              <w:spacing w:before="50" w:after="30"/>
            </w:pPr>
            <w:r w:rsidRPr="005050F3">
              <w:t>11</w:t>
            </w:r>
          </w:p>
        </w:tc>
        <w:tc>
          <w:tcPr>
            <w:tcW w:w="836" w:type="dxa"/>
            <w:tcBorders>
              <w:left w:val="single" w:sz="4" w:space="0" w:color="000000"/>
            </w:tcBorders>
            <w:noWrap/>
            <w:hideMark/>
          </w:tcPr>
          <w:p w14:paraId="2174DF6F" w14:textId="77777777" w:rsidR="00156FDC" w:rsidRPr="005050F3" w:rsidRDefault="00156FDC" w:rsidP="0077067A">
            <w:pPr>
              <w:pStyle w:val="ARtabletextright"/>
              <w:spacing w:before="50" w:after="30"/>
            </w:pPr>
            <w:r w:rsidRPr="005050F3">
              <w:t>7</w:t>
            </w:r>
          </w:p>
        </w:tc>
        <w:tc>
          <w:tcPr>
            <w:tcW w:w="836" w:type="dxa"/>
            <w:noWrap/>
            <w:hideMark/>
          </w:tcPr>
          <w:p w14:paraId="1BAC59DA" w14:textId="77777777" w:rsidR="00156FDC" w:rsidRPr="005050F3" w:rsidRDefault="00156FDC" w:rsidP="0077067A">
            <w:pPr>
              <w:pStyle w:val="ARtabletextright"/>
              <w:spacing w:before="50" w:after="30"/>
            </w:pPr>
            <w:r w:rsidRPr="005050F3">
              <w:t>4</w:t>
            </w:r>
          </w:p>
        </w:tc>
        <w:tc>
          <w:tcPr>
            <w:tcW w:w="836" w:type="dxa"/>
            <w:noWrap/>
            <w:hideMark/>
          </w:tcPr>
          <w:p w14:paraId="3DFFC056"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782694E" w14:textId="77777777" w:rsidR="00156FDC" w:rsidRPr="005050F3" w:rsidRDefault="00156FDC" w:rsidP="0077067A">
            <w:pPr>
              <w:pStyle w:val="ARtabletextright"/>
              <w:spacing w:before="50" w:after="30"/>
            </w:pPr>
            <w:r w:rsidRPr="005050F3">
              <w:t>11</w:t>
            </w:r>
          </w:p>
        </w:tc>
        <w:tc>
          <w:tcPr>
            <w:tcW w:w="836" w:type="dxa"/>
            <w:tcBorders>
              <w:left w:val="single" w:sz="4" w:space="0" w:color="000000"/>
            </w:tcBorders>
            <w:noWrap/>
            <w:hideMark/>
          </w:tcPr>
          <w:p w14:paraId="010E8272" w14:textId="77777777" w:rsidR="00156FDC" w:rsidRPr="005050F3" w:rsidRDefault="00156FDC" w:rsidP="0077067A">
            <w:pPr>
              <w:pStyle w:val="ARtabletextright"/>
              <w:spacing w:before="50" w:after="30"/>
            </w:pPr>
            <w:r w:rsidRPr="005050F3">
              <w:t>0</w:t>
            </w:r>
          </w:p>
        </w:tc>
        <w:tc>
          <w:tcPr>
            <w:tcW w:w="836" w:type="dxa"/>
            <w:noWrap/>
            <w:hideMark/>
          </w:tcPr>
          <w:p w14:paraId="24AF103B" w14:textId="77777777" w:rsidR="00156FDC" w:rsidRPr="005050F3" w:rsidRDefault="00156FDC" w:rsidP="0077067A">
            <w:pPr>
              <w:pStyle w:val="ARtabletextright"/>
              <w:spacing w:before="50" w:after="30"/>
            </w:pPr>
            <w:r w:rsidRPr="005050F3">
              <w:t>0</w:t>
            </w:r>
          </w:p>
        </w:tc>
        <w:tc>
          <w:tcPr>
            <w:tcW w:w="836" w:type="dxa"/>
            <w:noWrap/>
            <w:hideMark/>
          </w:tcPr>
          <w:p w14:paraId="6B0E5F7B" w14:textId="77777777" w:rsidR="00156FDC" w:rsidRPr="005050F3" w:rsidRDefault="00156FDC" w:rsidP="0077067A">
            <w:pPr>
              <w:pStyle w:val="ARtabletextright"/>
              <w:spacing w:before="50" w:after="30"/>
            </w:pPr>
            <w:r w:rsidRPr="005050F3">
              <w:t>0</w:t>
            </w:r>
          </w:p>
        </w:tc>
        <w:tc>
          <w:tcPr>
            <w:tcW w:w="836" w:type="dxa"/>
            <w:noWrap/>
            <w:hideMark/>
          </w:tcPr>
          <w:p w14:paraId="2171D1EE" w14:textId="77777777" w:rsidR="00156FDC" w:rsidRPr="005050F3" w:rsidRDefault="00156FDC" w:rsidP="0077067A">
            <w:pPr>
              <w:pStyle w:val="ARtabletextright"/>
              <w:spacing w:before="50" w:after="30"/>
            </w:pPr>
            <w:r w:rsidRPr="005050F3">
              <w:t>0</w:t>
            </w:r>
          </w:p>
        </w:tc>
      </w:tr>
      <w:tr w:rsidR="00156FDC" w:rsidRPr="005050F3" w14:paraId="5084DB5A" w14:textId="77777777" w:rsidTr="0077067A">
        <w:trPr>
          <w:cantSplit w:val="0"/>
          <w:trHeight w:val="255"/>
        </w:trPr>
        <w:tc>
          <w:tcPr>
            <w:tcW w:w="3969" w:type="dxa"/>
            <w:noWrap/>
            <w:hideMark/>
          </w:tcPr>
          <w:p w14:paraId="66EC34CD" w14:textId="77777777" w:rsidR="00156FDC" w:rsidRPr="005050F3" w:rsidRDefault="00156FDC" w:rsidP="0077067A">
            <w:pPr>
              <w:pStyle w:val="ARtabletext"/>
              <w:spacing w:before="50" w:after="30"/>
            </w:pPr>
            <w:r w:rsidRPr="005050F3">
              <w:t>Rural Northwest Health</w:t>
            </w:r>
          </w:p>
        </w:tc>
        <w:tc>
          <w:tcPr>
            <w:tcW w:w="836" w:type="dxa"/>
            <w:noWrap/>
            <w:hideMark/>
          </w:tcPr>
          <w:p w14:paraId="0EB2799D" w14:textId="77777777" w:rsidR="00156FDC" w:rsidRPr="005050F3" w:rsidRDefault="00156FDC" w:rsidP="0077067A">
            <w:pPr>
              <w:pStyle w:val="ARtabletextright"/>
              <w:spacing w:before="50" w:after="30"/>
            </w:pPr>
            <w:r w:rsidRPr="005050F3">
              <w:t>1</w:t>
            </w:r>
          </w:p>
        </w:tc>
        <w:tc>
          <w:tcPr>
            <w:tcW w:w="836" w:type="dxa"/>
            <w:noWrap/>
            <w:hideMark/>
          </w:tcPr>
          <w:p w14:paraId="6FF0270B"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6B16B4E0"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6125D428"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0348FA32" w14:textId="77777777" w:rsidR="00156FDC" w:rsidRPr="005050F3" w:rsidRDefault="00156FDC" w:rsidP="0077067A">
            <w:pPr>
              <w:pStyle w:val="ARtabletextright"/>
              <w:spacing w:before="50" w:after="30"/>
            </w:pPr>
            <w:r w:rsidRPr="005050F3">
              <w:t>0</w:t>
            </w:r>
          </w:p>
        </w:tc>
        <w:tc>
          <w:tcPr>
            <w:tcW w:w="836" w:type="dxa"/>
            <w:noWrap/>
            <w:hideMark/>
          </w:tcPr>
          <w:p w14:paraId="21B306B7" w14:textId="77777777" w:rsidR="00156FDC" w:rsidRPr="005050F3" w:rsidRDefault="00156FDC" w:rsidP="0077067A">
            <w:pPr>
              <w:pStyle w:val="ARtabletextright"/>
              <w:spacing w:before="50" w:after="30"/>
            </w:pPr>
            <w:r w:rsidRPr="005050F3">
              <w:t>0</w:t>
            </w:r>
          </w:p>
        </w:tc>
        <w:tc>
          <w:tcPr>
            <w:tcW w:w="836" w:type="dxa"/>
            <w:noWrap/>
            <w:hideMark/>
          </w:tcPr>
          <w:p w14:paraId="6C1556F3"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09B5892A" w14:textId="77777777" w:rsidR="00156FDC" w:rsidRPr="005050F3" w:rsidRDefault="00156FDC" w:rsidP="0077067A">
            <w:pPr>
              <w:pStyle w:val="ARtabletextright"/>
              <w:spacing w:before="50" w:after="30"/>
            </w:pPr>
            <w:r w:rsidRPr="005050F3">
              <w:t>0</w:t>
            </w:r>
          </w:p>
        </w:tc>
        <w:tc>
          <w:tcPr>
            <w:tcW w:w="836" w:type="dxa"/>
            <w:tcBorders>
              <w:left w:val="single" w:sz="4" w:space="0" w:color="000000"/>
            </w:tcBorders>
            <w:noWrap/>
            <w:hideMark/>
          </w:tcPr>
          <w:p w14:paraId="145BBE7E" w14:textId="77777777" w:rsidR="00156FDC" w:rsidRPr="005050F3" w:rsidRDefault="00156FDC" w:rsidP="0077067A">
            <w:pPr>
              <w:pStyle w:val="ARtabletextright"/>
              <w:spacing w:before="50" w:after="30"/>
            </w:pPr>
            <w:r w:rsidRPr="005050F3">
              <w:t>1</w:t>
            </w:r>
          </w:p>
        </w:tc>
        <w:tc>
          <w:tcPr>
            <w:tcW w:w="836" w:type="dxa"/>
            <w:noWrap/>
            <w:hideMark/>
          </w:tcPr>
          <w:p w14:paraId="1EA79E06" w14:textId="77777777" w:rsidR="00156FDC" w:rsidRPr="005050F3" w:rsidRDefault="00156FDC" w:rsidP="0077067A">
            <w:pPr>
              <w:pStyle w:val="ARtabletextright"/>
              <w:spacing w:before="50" w:after="30"/>
            </w:pPr>
            <w:r w:rsidRPr="005050F3">
              <w:t>0</w:t>
            </w:r>
          </w:p>
        </w:tc>
        <w:tc>
          <w:tcPr>
            <w:tcW w:w="836" w:type="dxa"/>
            <w:noWrap/>
            <w:hideMark/>
          </w:tcPr>
          <w:p w14:paraId="1F661324" w14:textId="77777777" w:rsidR="00156FDC" w:rsidRPr="005050F3" w:rsidRDefault="00156FDC" w:rsidP="0077067A">
            <w:pPr>
              <w:pStyle w:val="ARtabletextright"/>
              <w:spacing w:before="50" w:after="30"/>
            </w:pPr>
            <w:r w:rsidRPr="005050F3">
              <w:t>0</w:t>
            </w:r>
          </w:p>
        </w:tc>
        <w:tc>
          <w:tcPr>
            <w:tcW w:w="836" w:type="dxa"/>
            <w:noWrap/>
            <w:hideMark/>
          </w:tcPr>
          <w:p w14:paraId="29F90014" w14:textId="77777777" w:rsidR="00156FDC" w:rsidRPr="005050F3" w:rsidRDefault="00156FDC" w:rsidP="0077067A">
            <w:pPr>
              <w:pStyle w:val="ARtabletextright"/>
              <w:spacing w:before="50" w:after="30"/>
            </w:pPr>
            <w:r w:rsidRPr="005050F3">
              <w:t>1</w:t>
            </w:r>
          </w:p>
        </w:tc>
      </w:tr>
      <w:tr w:rsidR="00156FDC" w:rsidRPr="005050F3" w14:paraId="1FE18772" w14:textId="77777777" w:rsidTr="0077067A">
        <w:trPr>
          <w:cantSplit w:val="0"/>
          <w:trHeight w:val="255"/>
        </w:trPr>
        <w:tc>
          <w:tcPr>
            <w:tcW w:w="3969" w:type="dxa"/>
            <w:noWrap/>
            <w:hideMark/>
          </w:tcPr>
          <w:p w14:paraId="13DFEE9B" w14:textId="77777777" w:rsidR="00156FDC" w:rsidRPr="005050F3" w:rsidRDefault="00156FDC" w:rsidP="0077067A">
            <w:pPr>
              <w:pStyle w:val="ARtabletext"/>
              <w:spacing w:before="50" w:after="30"/>
            </w:pPr>
            <w:r w:rsidRPr="005050F3">
              <w:t>Seymour Health</w:t>
            </w:r>
          </w:p>
        </w:tc>
        <w:tc>
          <w:tcPr>
            <w:tcW w:w="836" w:type="dxa"/>
            <w:noWrap/>
            <w:hideMark/>
          </w:tcPr>
          <w:p w14:paraId="10D15ACC" w14:textId="77777777" w:rsidR="00156FDC" w:rsidRPr="005050F3" w:rsidRDefault="00156FDC" w:rsidP="0077067A">
            <w:pPr>
              <w:pStyle w:val="ARtabletextright"/>
              <w:spacing w:before="50" w:after="30"/>
            </w:pPr>
            <w:r w:rsidRPr="005050F3">
              <w:t>0</w:t>
            </w:r>
          </w:p>
        </w:tc>
        <w:tc>
          <w:tcPr>
            <w:tcW w:w="836" w:type="dxa"/>
            <w:noWrap/>
            <w:hideMark/>
          </w:tcPr>
          <w:p w14:paraId="4A94F736"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4FDCA7CF"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F1E9E31"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34A7B084" w14:textId="77777777" w:rsidR="00156FDC" w:rsidRPr="005050F3" w:rsidRDefault="00156FDC" w:rsidP="0077067A">
            <w:pPr>
              <w:pStyle w:val="ARtabletextright"/>
              <w:spacing w:before="50" w:after="30"/>
            </w:pPr>
            <w:r w:rsidRPr="005050F3">
              <w:t>0</w:t>
            </w:r>
          </w:p>
        </w:tc>
        <w:tc>
          <w:tcPr>
            <w:tcW w:w="836" w:type="dxa"/>
            <w:noWrap/>
            <w:hideMark/>
          </w:tcPr>
          <w:p w14:paraId="202B9551" w14:textId="77777777" w:rsidR="00156FDC" w:rsidRPr="005050F3" w:rsidRDefault="00156FDC" w:rsidP="0077067A">
            <w:pPr>
              <w:pStyle w:val="ARtabletextright"/>
              <w:spacing w:before="50" w:after="30"/>
            </w:pPr>
            <w:r w:rsidRPr="005050F3">
              <w:t>1</w:t>
            </w:r>
          </w:p>
        </w:tc>
        <w:tc>
          <w:tcPr>
            <w:tcW w:w="836" w:type="dxa"/>
            <w:noWrap/>
            <w:hideMark/>
          </w:tcPr>
          <w:p w14:paraId="430C0457"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3F0F551F"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4A416618" w14:textId="77777777" w:rsidR="00156FDC" w:rsidRPr="005050F3" w:rsidRDefault="00156FDC" w:rsidP="0077067A">
            <w:pPr>
              <w:pStyle w:val="ARtabletextright"/>
              <w:spacing w:before="50" w:after="30"/>
            </w:pPr>
            <w:r w:rsidRPr="005050F3">
              <w:t>0</w:t>
            </w:r>
          </w:p>
        </w:tc>
        <w:tc>
          <w:tcPr>
            <w:tcW w:w="836" w:type="dxa"/>
            <w:noWrap/>
            <w:hideMark/>
          </w:tcPr>
          <w:p w14:paraId="49F68CC5" w14:textId="77777777" w:rsidR="00156FDC" w:rsidRPr="005050F3" w:rsidRDefault="00156FDC" w:rsidP="0077067A">
            <w:pPr>
              <w:pStyle w:val="ARtabletextright"/>
              <w:spacing w:before="50" w:after="30"/>
            </w:pPr>
            <w:r w:rsidRPr="005050F3">
              <w:t>0</w:t>
            </w:r>
          </w:p>
        </w:tc>
        <w:tc>
          <w:tcPr>
            <w:tcW w:w="836" w:type="dxa"/>
            <w:noWrap/>
            <w:hideMark/>
          </w:tcPr>
          <w:p w14:paraId="12834A8B" w14:textId="77777777" w:rsidR="00156FDC" w:rsidRPr="005050F3" w:rsidRDefault="00156FDC" w:rsidP="0077067A">
            <w:pPr>
              <w:pStyle w:val="ARtabletextright"/>
              <w:spacing w:before="50" w:after="30"/>
            </w:pPr>
            <w:r w:rsidRPr="005050F3">
              <w:t>0</w:t>
            </w:r>
          </w:p>
        </w:tc>
        <w:tc>
          <w:tcPr>
            <w:tcW w:w="836" w:type="dxa"/>
            <w:noWrap/>
            <w:hideMark/>
          </w:tcPr>
          <w:p w14:paraId="51CF7C54" w14:textId="77777777" w:rsidR="00156FDC" w:rsidRPr="005050F3" w:rsidRDefault="00156FDC" w:rsidP="0077067A">
            <w:pPr>
              <w:pStyle w:val="ARtabletextright"/>
              <w:spacing w:before="50" w:after="30"/>
            </w:pPr>
            <w:r w:rsidRPr="005050F3">
              <w:t>0</w:t>
            </w:r>
          </w:p>
        </w:tc>
      </w:tr>
      <w:tr w:rsidR="00156FDC" w:rsidRPr="005050F3" w14:paraId="2B177067" w14:textId="77777777" w:rsidTr="0077067A">
        <w:trPr>
          <w:cantSplit w:val="0"/>
          <w:trHeight w:val="255"/>
        </w:trPr>
        <w:tc>
          <w:tcPr>
            <w:tcW w:w="3969" w:type="dxa"/>
            <w:noWrap/>
            <w:hideMark/>
          </w:tcPr>
          <w:p w14:paraId="2A15ED98" w14:textId="77777777" w:rsidR="00156FDC" w:rsidRPr="005050F3" w:rsidRDefault="00156FDC" w:rsidP="0077067A">
            <w:pPr>
              <w:pStyle w:val="ARtabletext"/>
              <w:spacing w:before="50" w:after="30"/>
            </w:pPr>
            <w:r w:rsidRPr="005050F3">
              <w:t>South Gippsland Hospital</w:t>
            </w:r>
          </w:p>
        </w:tc>
        <w:tc>
          <w:tcPr>
            <w:tcW w:w="836" w:type="dxa"/>
            <w:noWrap/>
            <w:hideMark/>
          </w:tcPr>
          <w:p w14:paraId="26489725" w14:textId="77777777" w:rsidR="00156FDC" w:rsidRPr="005050F3" w:rsidRDefault="00156FDC" w:rsidP="0077067A">
            <w:pPr>
              <w:pStyle w:val="ARtabletextright"/>
              <w:spacing w:before="50" w:after="30"/>
            </w:pPr>
            <w:r w:rsidRPr="005050F3">
              <w:t>0</w:t>
            </w:r>
          </w:p>
        </w:tc>
        <w:tc>
          <w:tcPr>
            <w:tcW w:w="836" w:type="dxa"/>
            <w:noWrap/>
            <w:hideMark/>
          </w:tcPr>
          <w:p w14:paraId="49DB1F63"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764FF499"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74679767"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452833FE" w14:textId="77777777" w:rsidR="00156FDC" w:rsidRPr="005050F3" w:rsidRDefault="00156FDC" w:rsidP="0077067A">
            <w:pPr>
              <w:pStyle w:val="ARtabletextright"/>
              <w:spacing w:before="50" w:after="30"/>
            </w:pPr>
            <w:r w:rsidRPr="005050F3">
              <w:t>0</w:t>
            </w:r>
          </w:p>
        </w:tc>
        <w:tc>
          <w:tcPr>
            <w:tcW w:w="836" w:type="dxa"/>
            <w:noWrap/>
            <w:hideMark/>
          </w:tcPr>
          <w:p w14:paraId="325F6E91" w14:textId="77777777" w:rsidR="00156FDC" w:rsidRPr="005050F3" w:rsidRDefault="00156FDC" w:rsidP="0077067A">
            <w:pPr>
              <w:pStyle w:val="ARtabletextright"/>
              <w:spacing w:before="50" w:after="30"/>
            </w:pPr>
            <w:r w:rsidRPr="005050F3">
              <w:t>1</w:t>
            </w:r>
          </w:p>
        </w:tc>
        <w:tc>
          <w:tcPr>
            <w:tcW w:w="836" w:type="dxa"/>
            <w:noWrap/>
            <w:hideMark/>
          </w:tcPr>
          <w:p w14:paraId="12217B9B"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98FB55D"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092D7247" w14:textId="77777777" w:rsidR="00156FDC" w:rsidRPr="005050F3" w:rsidRDefault="00156FDC" w:rsidP="0077067A">
            <w:pPr>
              <w:pStyle w:val="ARtabletextright"/>
              <w:spacing w:before="50" w:after="30"/>
            </w:pPr>
            <w:r w:rsidRPr="005050F3">
              <w:t>0</w:t>
            </w:r>
          </w:p>
        </w:tc>
        <w:tc>
          <w:tcPr>
            <w:tcW w:w="836" w:type="dxa"/>
            <w:noWrap/>
            <w:hideMark/>
          </w:tcPr>
          <w:p w14:paraId="2F85B7D4" w14:textId="77777777" w:rsidR="00156FDC" w:rsidRPr="005050F3" w:rsidRDefault="00156FDC" w:rsidP="0077067A">
            <w:pPr>
              <w:pStyle w:val="ARtabletextright"/>
              <w:spacing w:before="50" w:after="30"/>
            </w:pPr>
            <w:r w:rsidRPr="005050F3">
              <w:t>0</w:t>
            </w:r>
          </w:p>
        </w:tc>
        <w:tc>
          <w:tcPr>
            <w:tcW w:w="836" w:type="dxa"/>
            <w:noWrap/>
            <w:hideMark/>
          </w:tcPr>
          <w:p w14:paraId="37EA1609" w14:textId="77777777" w:rsidR="00156FDC" w:rsidRPr="005050F3" w:rsidRDefault="00156FDC" w:rsidP="0077067A">
            <w:pPr>
              <w:pStyle w:val="ARtabletextright"/>
              <w:spacing w:before="50" w:after="30"/>
            </w:pPr>
            <w:r w:rsidRPr="005050F3">
              <w:t>0</w:t>
            </w:r>
          </w:p>
        </w:tc>
        <w:tc>
          <w:tcPr>
            <w:tcW w:w="836" w:type="dxa"/>
            <w:noWrap/>
            <w:hideMark/>
          </w:tcPr>
          <w:p w14:paraId="2A5C1ED4" w14:textId="77777777" w:rsidR="00156FDC" w:rsidRPr="005050F3" w:rsidRDefault="00156FDC" w:rsidP="0077067A">
            <w:pPr>
              <w:pStyle w:val="ARtabletextright"/>
              <w:spacing w:before="50" w:after="30"/>
            </w:pPr>
            <w:r w:rsidRPr="005050F3">
              <w:t>0</w:t>
            </w:r>
          </w:p>
        </w:tc>
      </w:tr>
      <w:tr w:rsidR="00156FDC" w:rsidRPr="005050F3" w14:paraId="3AE9A650" w14:textId="77777777" w:rsidTr="0077067A">
        <w:trPr>
          <w:cantSplit w:val="0"/>
          <w:trHeight w:val="255"/>
        </w:trPr>
        <w:tc>
          <w:tcPr>
            <w:tcW w:w="3969" w:type="dxa"/>
            <w:noWrap/>
            <w:hideMark/>
          </w:tcPr>
          <w:p w14:paraId="3D3FDA89" w14:textId="77777777" w:rsidR="00156FDC" w:rsidRPr="005050F3" w:rsidRDefault="00156FDC" w:rsidP="0077067A">
            <w:pPr>
              <w:pStyle w:val="ARtabletext"/>
              <w:spacing w:before="50" w:after="30"/>
            </w:pPr>
            <w:r w:rsidRPr="005050F3">
              <w:t>South West Healthcare</w:t>
            </w:r>
          </w:p>
        </w:tc>
        <w:tc>
          <w:tcPr>
            <w:tcW w:w="836" w:type="dxa"/>
            <w:noWrap/>
            <w:hideMark/>
          </w:tcPr>
          <w:p w14:paraId="55AF9FAC" w14:textId="77777777" w:rsidR="00156FDC" w:rsidRPr="005050F3" w:rsidRDefault="00156FDC" w:rsidP="0077067A">
            <w:pPr>
              <w:pStyle w:val="ARtabletextright"/>
              <w:spacing w:before="50" w:after="30"/>
            </w:pPr>
            <w:r w:rsidRPr="005050F3">
              <w:t>1</w:t>
            </w:r>
          </w:p>
        </w:tc>
        <w:tc>
          <w:tcPr>
            <w:tcW w:w="836" w:type="dxa"/>
            <w:noWrap/>
            <w:hideMark/>
          </w:tcPr>
          <w:p w14:paraId="4D8D6486" w14:textId="77777777" w:rsidR="00156FDC" w:rsidRPr="005050F3" w:rsidRDefault="00156FDC" w:rsidP="0077067A">
            <w:pPr>
              <w:pStyle w:val="ARtabletextright"/>
              <w:spacing w:before="50" w:after="30"/>
            </w:pPr>
            <w:r w:rsidRPr="005050F3">
              <w:t>4</w:t>
            </w:r>
          </w:p>
        </w:tc>
        <w:tc>
          <w:tcPr>
            <w:tcW w:w="836" w:type="dxa"/>
            <w:tcBorders>
              <w:top w:val="single" w:sz="4" w:space="0" w:color="auto"/>
            </w:tcBorders>
            <w:noWrap/>
            <w:hideMark/>
          </w:tcPr>
          <w:p w14:paraId="445636C1"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3A7F6E4B" w14:textId="77777777" w:rsidR="00156FDC" w:rsidRPr="005050F3" w:rsidRDefault="00156FDC" w:rsidP="0077067A">
            <w:pPr>
              <w:pStyle w:val="ARtabletextright"/>
              <w:spacing w:before="50" w:after="30"/>
            </w:pPr>
            <w:r w:rsidRPr="005050F3">
              <w:t>5</w:t>
            </w:r>
          </w:p>
        </w:tc>
        <w:tc>
          <w:tcPr>
            <w:tcW w:w="836" w:type="dxa"/>
            <w:tcBorders>
              <w:left w:val="single" w:sz="4" w:space="0" w:color="000000"/>
            </w:tcBorders>
            <w:noWrap/>
            <w:hideMark/>
          </w:tcPr>
          <w:p w14:paraId="45B70777" w14:textId="77777777" w:rsidR="00156FDC" w:rsidRPr="005050F3" w:rsidRDefault="00156FDC" w:rsidP="0077067A">
            <w:pPr>
              <w:pStyle w:val="ARtabletextright"/>
              <w:spacing w:before="50" w:after="30"/>
            </w:pPr>
            <w:r w:rsidRPr="005050F3">
              <w:t>2</w:t>
            </w:r>
          </w:p>
        </w:tc>
        <w:tc>
          <w:tcPr>
            <w:tcW w:w="836" w:type="dxa"/>
            <w:noWrap/>
            <w:hideMark/>
          </w:tcPr>
          <w:p w14:paraId="19A6405E" w14:textId="77777777" w:rsidR="00156FDC" w:rsidRPr="005050F3" w:rsidRDefault="00156FDC" w:rsidP="0077067A">
            <w:pPr>
              <w:pStyle w:val="ARtabletextright"/>
              <w:spacing w:before="50" w:after="30"/>
            </w:pPr>
            <w:r w:rsidRPr="005050F3">
              <w:t>3</w:t>
            </w:r>
          </w:p>
        </w:tc>
        <w:tc>
          <w:tcPr>
            <w:tcW w:w="836" w:type="dxa"/>
            <w:noWrap/>
            <w:hideMark/>
          </w:tcPr>
          <w:p w14:paraId="1A000B5A"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0EC02DD3" w14:textId="77777777" w:rsidR="00156FDC" w:rsidRPr="005050F3" w:rsidRDefault="00156FDC" w:rsidP="0077067A">
            <w:pPr>
              <w:pStyle w:val="ARtabletextright"/>
              <w:spacing w:before="50" w:after="30"/>
            </w:pPr>
            <w:r w:rsidRPr="005050F3">
              <w:t>5</w:t>
            </w:r>
          </w:p>
        </w:tc>
        <w:tc>
          <w:tcPr>
            <w:tcW w:w="836" w:type="dxa"/>
            <w:tcBorders>
              <w:left w:val="single" w:sz="4" w:space="0" w:color="000000"/>
            </w:tcBorders>
            <w:noWrap/>
            <w:hideMark/>
          </w:tcPr>
          <w:p w14:paraId="7DAABEFB" w14:textId="3D845CB9" w:rsidR="00156FDC" w:rsidRPr="005050F3" w:rsidRDefault="00FA72CF" w:rsidP="0077067A">
            <w:pPr>
              <w:pStyle w:val="ARtabletextright"/>
              <w:spacing w:before="50" w:after="30"/>
            </w:pPr>
            <w:r>
              <w:t>−</w:t>
            </w:r>
            <w:r w:rsidR="00156FDC" w:rsidRPr="005050F3">
              <w:t>1</w:t>
            </w:r>
          </w:p>
        </w:tc>
        <w:tc>
          <w:tcPr>
            <w:tcW w:w="836" w:type="dxa"/>
            <w:noWrap/>
            <w:hideMark/>
          </w:tcPr>
          <w:p w14:paraId="1A6DA064" w14:textId="77777777" w:rsidR="00156FDC" w:rsidRPr="005050F3" w:rsidRDefault="00156FDC" w:rsidP="0077067A">
            <w:pPr>
              <w:pStyle w:val="ARtabletextright"/>
              <w:spacing w:before="50" w:after="30"/>
            </w:pPr>
            <w:r w:rsidRPr="005050F3">
              <w:t>1</w:t>
            </w:r>
          </w:p>
        </w:tc>
        <w:tc>
          <w:tcPr>
            <w:tcW w:w="836" w:type="dxa"/>
            <w:noWrap/>
            <w:hideMark/>
          </w:tcPr>
          <w:p w14:paraId="7AAEE3E2" w14:textId="77777777" w:rsidR="00156FDC" w:rsidRPr="005050F3" w:rsidRDefault="00156FDC" w:rsidP="0077067A">
            <w:pPr>
              <w:pStyle w:val="ARtabletextright"/>
              <w:spacing w:before="50" w:after="30"/>
            </w:pPr>
            <w:r w:rsidRPr="005050F3">
              <w:t>0</w:t>
            </w:r>
          </w:p>
        </w:tc>
        <w:tc>
          <w:tcPr>
            <w:tcW w:w="836" w:type="dxa"/>
            <w:noWrap/>
            <w:hideMark/>
          </w:tcPr>
          <w:p w14:paraId="226940DA" w14:textId="77777777" w:rsidR="00156FDC" w:rsidRPr="005050F3" w:rsidRDefault="00156FDC" w:rsidP="0077067A">
            <w:pPr>
              <w:pStyle w:val="ARtabletextright"/>
              <w:spacing w:before="50" w:after="30"/>
            </w:pPr>
            <w:r w:rsidRPr="005050F3">
              <w:t>0</w:t>
            </w:r>
          </w:p>
        </w:tc>
      </w:tr>
      <w:tr w:rsidR="00156FDC" w:rsidRPr="005050F3" w14:paraId="255E2493" w14:textId="77777777" w:rsidTr="0077067A">
        <w:trPr>
          <w:cantSplit w:val="0"/>
          <w:trHeight w:val="255"/>
        </w:trPr>
        <w:tc>
          <w:tcPr>
            <w:tcW w:w="3969" w:type="dxa"/>
            <w:noWrap/>
            <w:hideMark/>
          </w:tcPr>
          <w:p w14:paraId="309E30F7" w14:textId="77777777" w:rsidR="00156FDC" w:rsidRPr="005050F3" w:rsidRDefault="00156FDC" w:rsidP="0077067A">
            <w:pPr>
              <w:pStyle w:val="ARtabletext"/>
              <w:spacing w:before="50" w:after="30"/>
            </w:pPr>
            <w:r w:rsidRPr="005050F3">
              <w:t>Swan Hill District Health</w:t>
            </w:r>
          </w:p>
        </w:tc>
        <w:tc>
          <w:tcPr>
            <w:tcW w:w="836" w:type="dxa"/>
            <w:noWrap/>
            <w:hideMark/>
          </w:tcPr>
          <w:p w14:paraId="3FC94EC5" w14:textId="77777777" w:rsidR="00156FDC" w:rsidRPr="005050F3" w:rsidRDefault="00156FDC" w:rsidP="0077067A">
            <w:pPr>
              <w:pStyle w:val="ARtabletextright"/>
              <w:spacing w:before="50" w:after="30"/>
            </w:pPr>
            <w:r w:rsidRPr="005050F3">
              <w:t>1</w:t>
            </w:r>
          </w:p>
        </w:tc>
        <w:tc>
          <w:tcPr>
            <w:tcW w:w="836" w:type="dxa"/>
            <w:noWrap/>
            <w:hideMark/>
          </w:tcPr>
          <w:p w14:paraId="28DFA9A5" w14:textId="77777777" w:rsidR="00156FDC" w:rsidRPr="005050F3" w:rsidRDefault="00156FDC" w:rsidP="0077067A">
            <w:pPr>
              <w:pStyle w:val="ARtabletextright"/>
              <w:spacing w:before="50" w:after="30"/>
            </w:pPr>
            <w:r w:rsidRPr="005050F3">
              <w:t>2</w:t>
            </w:r>
          </w:p>
        </w:tc>
        <w:tc>
          <w:tcPr>
            <w:tcW w:w="836" w:type="dxa"/>
            <w:tcBorders>
              <w:top w:val="single" w:sz="4" w:space="0" w:color="auto"/>
            </w:tcBorders>
            <w:noWrap/>
            <w:hideMark/>
          </w:tcPr>
          <w:p w14:paraId="277BDCC2"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5D0D2B2" w14:textId="77777777" w:rsidR="00156FDC" w:rsidRPr="005050F3" w:rsidRDefault="00156FDC" w:rsidP="0077067A">
            <w:pPr>
              <w:pStyle w:val="ARtabletextright"/>
              <w:spacing w:before="50" w:after="30"/>
            </w:pPr>
            <w:r w:rsidRPr="005050F3">
              <w:t>3</w:t>
            </w:r>
          </w:p>
        </w:tc>
        <w:tc>
          <w:tcPr>
            <w:tcW w:w="836" w:type="dxa"/>
            <w:tcBorders>
              <w:left w:val="single" w:sz="4" w:space="0" w:color="000000"/>
            </w:tcBorders>
            <w:noWrap/>
            <w:hideMark/>
          </w:tcPr>
          <w:p w14:paraId="472FD6CC" w14:textId="77777777" w:rsidR="00156FDC" w:rsidRPr="005050F3" w:rsidRDefault="00156FDC" w:rsidP="0077067A">
            <w:pPr>
              <w:pStyle w:val="ARtabletextright"/>
              <w:spacing w:before="50" w:after="30"/>
            </w:pPr>
            <w:r w:rsidRPr="005050F3">
              <w:t>1</w:t>
            </w:r>
          </w:p>
        </w:tc>
        <w:tc>
          <w:tcPr>
            <w:tcW w:w="836" w:type="dxa"/>
            <w:noWrap/>
            <w:hideMark/>
          </w:tcPr>
          <w:p w14:paraId="11502BAD" w14:textId="77777777" w:rsidR="00156FDC" w:rsidRPr="005050F3" w:rsidRDefault="00156FDC" w:rsidP="0077067A">
            <w:pPr>
              <w:pStyle w:val="ARtabletextright"/>
              <w:spacing w:before="50" w:after="30"/>
            </w:pPr>
            <w:r w:rsidRPr="005050F3">
              <w:t>2</w:t>
            </w:r>
          </w:p>
        </w:tc>
        <w:tc>
          <w:tcPr>
            <w:tcW w:w="836" w:type="dxa"/>
            <w:noWrap/>
            <w:hideMark/>
          </w:tcPr>
          <w:p w14:paraId="4BA83DF9"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05E6728" w14:textId="77777777" w:rsidR="00156FDC" w:rsidRPr="005050F3" w:rsidRDefault="00156FDC" w:rsidP="0077067A">
            <w:pPr>
              <w:pStyle w:val="ARtabletextright"/>
              <w:spacing w:before="50" w:after="30"/>
            </w:pPr>
            <w:r w:rsidRPr="005050F3">
              <w:t>3</w:t>
            </w:r>
          </w:p>
        </w:tc>
        <w:tc>
          <w:tcPr>
            <w:tcW w:w="836" w:type="dxa"/>
            <w:tcBorders>
              <w:left w:val="single" w:sz="4" w:space="0" w:color="000000"/>
            </w:tcBorders>
            <w:noWrap/>
            <w:hideMark/>
          </w:tcPr>
          <w:p w14:paraId="10A81A03" w14:textId="77777777" w:rsidR="00156FDC" w:rsidRPr="005050F3" w:rsidRDefault="00156FDC" w:rsidP="0077067A">
            <w:pPr>
              <w:pStyle w:val="ARtabletextright"/>
              <w:spacing w:before="50" w:after="30"/>
            </w:pPr>
            <w:r w:rsidRPr="005050F3">
              <w:t>0</w:t>
            </w:r>
          </w:p>
        </w:tc>
        <w:tc>
          <w:tcPr>
            <w:tcW w:w="836" w:type="dxa"/>
            <w:noWrap/>
            <w:hideMark/>
          </w:tcPr>
          <w:p w14:paraId="1BFAAC93" w14:textId="77777777" w:rsidR="00156FDC" w:rsidRPr="005050F3" w:rsidRDefault="00156FDC" w:rsidP="0077067A">
            <w:pPr>
              <w:pStyle w:val="ARtabletextright"/>
              <w:spacing w:before="50" w:after="30"/>
            </w:pPr>
            <w:r w:rsidRPr="005050F3">
              <w:t>0</w:t>
            </w:r>
          </w:p>
        </w:tc>
        <w:tc>
          <w:tcPr>
            <w:tcW w:w="836" w:type="dxa"/>
            <w:noWrap/>
            <w:hideMark/>
          </w:tcPr>
          <w:p w14:paraId="7ABB41D0" w14:textId="77777777" w:rsidR="00156FDC" w:rsidRPr="005050F3" w:rsidRDefault="00156FDC" w:rsidP="0077067A">
            <w:pPr>
              <w:pStyle w:val="ARtabletextright"/>
              <w:spacing w:before="50" w:after="30"/>
            </w:pPr>
            <w:r w:rsidRPr="005050F3">
              <w:t>0</w:t>
            </w:r>
          </w:p>
        </w:tc>
        <w:tc>
          <w:tcPr>
            <w:tcW w:w="836" w:type="dxa"/>
            <w:noWrap/>
            <w:hideMark/>
          </w:tcPr>
          <w:p w14:paraId="7CD8D486" w14:textId="77777777" w:rsidR="00156FDC" w:rsidRPr="005050F3" w:rsidRDefault="00156FDC" w:rsidP="0077067A">
            <w:pPr>
              <w:pStyle w:val="ARtabletextright"/>
              <w:spacing w:before="50" w:after="30"/>
            </w:pPr>
            <w:r w:rsidRPr="005050F3">
              <w:t>0</w:t>
            </w:r>
          </w:p>
        </w:tc>
      </w:tr>
      <w:tr w:rsidR="00156FDC" w:rsidRPr="005050F3" w14:paraId="5105392D" w14:textId="77777777" w:rsidTr="0077067A">
        <w:trPr>
          <w:cantSplit w:val="0"/>
          <w:trHeight w:val="255"/>
        </w:trPr>
        <w:tc>
          <w:tcPr>
            <w:tcW w:w="3969" w:type="dxa"/>
            <w:noWrap/>
            <w:hideMark/>
          </w:tcPr>
          <w:p w14:paraId="27ADD3AD" w14:textId="77777777" w:rsidR="00156FDC" w:rsidRPr="005050F3" w:rsidRDefault="00156FDC" w:rsidP="0077067A">
            <w:pPr>
              <w:pStyle w:val="ARtabletext"/>
              <w:spacing w:before="50" w:after="30"/>
            </w:pPr>
            <w:r w:rsidRPr="005050F3">
              <w:t>Tallangatta Health Service</w:t>
            </w:r>
          </w:p>
        </w:tc>
        <w:tc>
          <w:tcPr>
            <w:tcW w:w="836" w:type="dxa"/>
            <w:noWrap/>
            <w:hideMark/>
          </w:tcPr>
          <w:p w14:paraId="529E5722" w14:textId="77777777" w:rsidR="00156FDC" w:rsidRPr="005050F3" w:rsidRDefault="00156FDC" w:rsidP="0077067A">
            <w:pPr>
              <w:pStyle w:val="ARtabletextright"/>
              <w:spacing w:before="50" w:after="30"/>
            </w:pPr>
            <w:r w:rsidRPr="005050F3">
              <w:t>1</w:t>
            </w:r>
          </w:p>
        </w:tc>
        <w:tc>
          <w:tcPr>
            <w:tcW w:w="836" w:type="dxa"/>
            <w:noWrap/>
            <w:hideMark/>
          </w:tcPr>
          <w:p w14:paraId="1F81918A"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48B91AF9"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004C9302"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14B07152" w14:textId="77777777" w:rsidR="00156FDC" w:rsidRPr="005050F3" w:rsidRDefault="00156FDC" w:rsidP="0077067A">
            <w:pPr>
              <w:pStyle w:val="ARtabletextright"/>
              <w:spacing w:before="50" w:after="30"/>
            </w:pPr>
            <w:r w:rsidRPr="005050F3">
              <w:t>1</w:t>
            </w:r>
          </w:p>
        </w:tc>
        <w:tc>
          <w:tcPr>
            <w:tcW w:w="836" w:type="dxa"/>
            <w:noWrap/>
            <w:hideMark/>
          </w:tcPr>
          <w:p w14:paraId="4FF8161B" w14:textId="77777777" w:rsidR="00156FDC" w:rsidRPr="005050F3" w:rsidRDefault="00156FDC" w:rsidP="0077067A">
            <w:pPr>
              <w:pStyle w:val="ARtabletextright"/>
              <w:spacing w:before="50" w:after="30"/>
            </w:pPr>
            <w:r w:rsidRPr="005050F3">
              <w:t>0</w:t>
            </w:r>
          </w:p>
        </w:tc>
        <w:tc>
          <w:tcPr>
            <w:tcW w:w="836" w:type="dxa"/>
            <w:noWrap/>
            <w:hideMark/>
          </w:tcPr>
          <w:p w14:paraId="7B74DE4E"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4D815A36"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766E9777" w14:textId="77777777" w:rsidR="00156FDC" w:rsidRPr="005050F3" w:rsidRDefault="00156FDC" w:rsidP="0077067A">
            <w:pPr>
              <w:pStyle w:val="ARtabletextright"/>
              <w:spacing w:before="50" w:after="30"/>
            </w:pPr>
            <w:r w:rsidRPr="005050F3">
              <w:t>0</w:t>
            </w:r>
          </w:p>
        </w:tc>
        <w:tc>
          <w:tcPr>
            <w:tcW w:w="836" w:type="dxa"/>
            <w:noWrap/>
            <w:hideMark/>
          </w:tcPr>
          <w:p w14:paraId="0BB5A5DF" w14:textId="77777777" w:rsidR="00156FDC" w:rsidRPr="005050F3" w:rsidRDefault="00156FDC" w:rsidP="0077067A">
            <w:pPr>
              <w:pStyle w:val="ARtabletextright"/>
              <w:spacing w:before="50" w:after="30"/>
            </w:pPr>
            <w:r w:rsidRPr="005050F3">
              <w:t>0</w:t>
            </w:r>
          </w:p>
        </w:tc>
        <w:tc>
          <w:tcPr>
            <w:tcW w:w="836" w:type="dxa"/>
            <w:noWrap/>
            <w:hideMark/>
          </w:tcPr>
          <w:p w14:paraId="52A9163B" w14:textId="77777777" w:rsidR="00156FDC" w:rsidRPr="005050F3" w:rsidRDefault="00156FDC" w:rsidP="0077067A">
            <w:pPr>
              <w:pStyle w:val="ARtabletextright"/>
              <w:spacing w:before="50" w:after="30"/>
            </w:pPr>
            <w:r w:rsidRPr="005050F3">
              <w:t>0</w:t>
            </w:r>
          </w:p>
        </w:tc>
        <w:tc>
          <w:tcPr>
            <w:tcW w:w="836" w:type="dxa"/>
            <w:noWrap/>
            <w:hideMark/>
          </w:tcPr>
          <w:p w14:paraId="3BC6B471" w14:textId="77777777" w:rsidR="00156FDC" w:rsidRPr="005050F3" w:rsidRDefault="00156FDC" w:rsidP="0077067A">
            <w:pPr>
              <w:pStyle w:val="ARtabletextright"/>
              <w:spacing w:before="50" w:after="30"/>
            </w:pPr>
            <w:r w:rsidRPr="005050F3">
              <w:t>0</w:t>
            </w:r>
          </w:p>
        </w:tc>
      </w:tr>
      <w:tr w:rsidR="00156FDC" w:rsidRPr="005050F3" w14:paraId="71B8F608" w14:textId="77777777" w:rsidTr="0077067A">
        <w:trPr>
          <w:cantSplit w:val="0"/>
          <w:trHeight w:val="255"/>
        </w:trPr>
        <w:tc>
          <w:tcPr>
            <w:tcW w:w="3969" w:type="dxa"/>
            <w:noWrap/>
            <w:hideMark/>
          </w:tcPr>
          <w:p w14:paraId="506F634A" w14:textId="77777777" w:rsidR="00156FDC" w:rsidRPr="005050F3" w:rsidRDefault="00156FDC" w:rsidP="0077067A">
            <w:pPr>
              <w:pStyle w:val="ARtabletext"/>
              <w:spacing w:before="50" w:after="30"/>
            </w:pPr>
            <w:r w:rsidRPr="005050F3">
              <w:t>Terang and Mortlake Health Service</w:t>
            </w:r>
          </w:p>
        </w:tc>
        <w:tc>
          <w:tcPr>
            <w:tcW w:w="836" w:type="dxa"/>
            <w:noWrap/>
            <w:hideMark/>
          </w:tcPr>
          <w:p w14:paraId="5C40F5F5" w14:textId="77777777" w:rsidR="00156FDC" w:rsidRPr="005050F3" w:rsidRDefault="00156FDC" w:rsidP="0077067A">
            <w:pPr>
              <w:pStyle w:val="ARtabletextright"/>
              <w:spacing w:before="50" w:after="30"/>
            </w:pPr>
            <w:r w:rsidRPr="005050F3">
              <w:t>1</w:t>
            </w:r>
          </w:p>
        </w:tc>
        <w:tc>
          <w:tcPr>
            <w:tcW w:w="836" w:type="dxa"/>
            <w:noWrap/>
            <w:hideMark/>
          </w:tcPr>
          <w:p w14:paraId="43289D4F"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0827A95C"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7498D0BC"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258CC3D8" w14:textId="77777777" w:rsidR="00156FDC" w:rsidRPr="005050F3" w:rsidRDefault="00156FDC" w:rsidP="0077067A">
            <w:pPr>
              <w:pStyle w:val="ARtabletextright"/>
              <w:spacing w:before="50" w:after="30"/>
            </w:pPr>
            <w:r w:rsidRPr="005050F3">
              <w:t>1</w:t>
            </w:r>
          </w:p>
        </w:tc>
        <w:tc>
          <w:tcPr>
            <w:tcW w:w="836" w:type="dxa"/>
            <w:noWrap/>
            <w:hideMark/>
          </w:tcPr>
          <w:p w14:paraId="2441FF93" w14:textId="77777777" w:rsidR="00156FDC" w:rsidRPr="005050F3" w:rsidRDefault="00156FDC" w:rsidP="0077067A">
            <w:pPr>
              <w:pStyle w:val="ARtabletextright"/>
              <w:spacing w:before="50" w:after="30"/>
            </w:pPr>
            <w:r w:rsidRPr="005050F3">
              <w:t>0</w:t>
            </w:r>
          </w:p>
        </w:tc>
        <w:tc>
          <w:tcPr>
            <w:tcW w:w="836" w:type="dxa"/>
            <w:noWrap/>
            <w:hideMark/>
          </w:tcPr>
          <w:p w14:paraId="12F67688"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42E07DD"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44F07590" w14:textId="77777777" w:rsidR="00156FDC" w:rsidRPr="005050F3" w:rsidRDefault="00156FDC" w:rsidP="0077067A">
            <w:pPr>
              <w:pStyle w:val="ARtabletextright"/>
              <w:spacing w:before="50" w:after="30"/>
            </w:pPr>
            <w:r w:rsidRPr="005050F3">
              <w:t>0</w:t>
            </w:r>
          </w:p>
        </w:tc>
        <w:tc>
          <w:tcPr>
            <w:tcW w:w="836" w:type="dxa"/>
            <w:noWrap/>
            <w:hideMark/>
          </w:tcPr>
          <w:p w14:paraId="57DAEBB4" w14:textId="77777777" w:rsidR="00156FDC" w:rsidRPr="005050F3" w:rsidRDefault="00156FDC" w:rsidP="0077067A">
            <w:pPr>
              <w:pStyle w:val="ARtabletextright"/>
              <w:spacing w:before="50" w:after="30"/>
            </w:pPr>
            <w:r w:rsidRPr="005050F3">
              <w:t>0</w:t>
            </w:r>
          </w:p>
        </w:tc>
        <w:tc>
          <w:tcPr>
            <w:tcW w:w="836" w:type="dxa"/>
            <w:noWrap/>
            <w:hideMark/>
          </w:tcPr>
          <w:p w14:paraId="049142CB" w14:textId="77777777" w:rsidR="00156FDC" w:rsidRPr="005050F3" w:rsidRDefault="00156FDC" w:rsidP="0077067A">
            <w:pPr>
              <w:pStyle w:val="ARtabletextright"/>
              <w:spacing w:before="50" w:after="30"/>
            </w:pPr>
            <w:r w:rsidRPr="005050F3">
              <w:t>0</w:t>
            </w:r>
          </w:p>
        </w:tc>
        <w:tc>
          <w:tcPr>
            <w:tcW w:w="836" w:type="dxa"/>
            <w:noWrap/>
            <w:hideMark/>
          </w:tcPr>
          <w:p w14:paraId="53BC1686" w14:textId="77777777" w:rsidR="00156FDC" w:rsidRPr="005050F3" w:rsidRDefault="00156FDC" w:rsidP="0077067A">
            <w:pPr>
              <w:pStyle w:val="ARtabletextright"/>
              <w:spacing w:before="50" w:after="30"/>
            </w:pPr>
            <w:r w:rsidRPr="005050F3">
              <w:t>0</w:t>
            </w:r>
          </w:p>
        </w:tc>
      </w:tr>
      <w:tr w:rsidR="00156FDC" w:rsidRPr="005050F3" w14:paraId="53361FF4" w14:textId="77777777" w:rsidTr="0077067A">
        <w:trPr>
          <w:cantSplit w:val="0"/>
          <w:trHeight w:val="255"/>
        </w:trPr>
        <w:tc>
          <w:tcPr>
            <w:tcW w:w="3969" w:type="dxa"/>
            <w:noWrap/>
            <w:hideMark/>
          </w:tcPr>
          <w:p w14:paraId="5FC38B90" w14:textId="77777777" w:rsidR="00156FDC" w:rsidRPr="005050F3" w:rsidRDefault="00156FDC" w:rsidP="0077067A">
            <w:pPr>
              <w:pStyle w:val="ARtabletext"/>
              <w:spacing w:before="50" w:after="30"/>
            </w:pPr>
            <w:r w:rsidRPr="005050F3">
              <w:t>Timboon and District Healthcare Service</w:t>
            </w:r>
          </w:p>
        </w:tc>
        <w:tc>
          <w:tcPr>
            <w:tcW w:w="836" w:type="dxa"/>
            <w:noWrap/>
            <w:hideMark/>
          </w:tcPr>
          <w:p w14:paraId="6BCDFA7D" w14:textId="77777777" w:rsidR="00156FDC" w:rsidRPr="005050F3" w:rsidRDefault="00156FDC" w:rsidP="0077067A">
            <w:pPr>
              <w:pStyle w:val="ARtabletextright"/>
              <w:spacing w:before="50" w:after="30"/>
            </w:pPr>
            <w:r w:rsidRPr="005050F3">
              <w:t>1</w:t>
            </w:r>
          </w:p>
        </w:tc>
        <w:tc>
          <w:tcPr>
            <w:tcW w:w="836" w:type="dxa"/>
            <w:noWrap/>
            <w:hideMark/>
          </w:tcPr>
          <w:p w14:paraId="580F6BD2"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62A82C08"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68AE1974"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7A135C37" w14:textId="77777777" w:rsidR="00156FDC" w:rsidRPr="005050F3" w:rsidRDefault="00156FDC" w:rsidP="0077067A">
            <w:pPr>
              <w:pStyle w:val="ARtabletextright"/>
              <w:spacing w:before="50" w:after="30"/>
            </w:pPr>
            <w:r w:rsidRPr="005050F3">
              <w:t>1</w:t>
            </w:r>
          </w:p>
        </w:tc>
        <w:tc>
          <w:tcPr>
            <w:tcW w:w="836" w:type="dxa"/>
            <w:noWrap/>
            <w:hideMark/>
          </w:tcPr>
          <w:p w14:paraId="53C5AB75" w14:textId="77777777" w:rsidR="00156FDC" w:rsidRPr="005050F3" w:rsidRDefault="00156FDC" w:rsidP="0077067A">
            <w:pPr>
              <w:pStyle w:val="ARtabletextright"/>
              <w:spacing w:before="50" w:after="30"/>
            </w:pPr>
            <w:r w:rsidRPr="005050F3">
              <w:t>0</w:t>
            </w:r>
          </w:p>
        </w:tc>
        <w:tc>
          <w:tcPr>
            <w:tcW w:w="836" w:type="dxa"/>
            <w:noWrap/>
            <w:hideMark/>
          </w:tcPr>
          <w:p w14:paraId="614F7C8C"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4169E6EB"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16CC99F8" w14:textId="77777777" w:rsidR="00156FDC" w:rsidRPr="005050F3" w:rsidRDefault="00156FDC" w:rsidP="0077067A">
            <w:pPr>
              <w:pStyle w:val="ARtabletextright"/>
              <w:spacing w:before="50" w:after="30"/>
            </w:pPr>
            <w:r w:rsidRPr="005050F3">
              <w:t>0</w:t>
            </w:r>
          </w:p>
        </w:tc>
        <w:tc>
          <w:tcPr>
            <w:tcW w:w="836" w:type="dxa"/>
            <w:noWrap/>
            <w:hideMark/>
          </w:tcPr>
          <w:p w14:paraId="423B7558" w14:textId="77777777" w:rsidR="00156FDC" w:rsidRPr="005050F3" w:rsidRDefault="00156FDC" w:rsidP="0077067A">
            <w:pPr>
              <w:pStyle w:val="ARtabletextright"/>
              <w:spacing w:before="50" w:after="30"/>
            </w:pPr>
            <w:r w:rsidRPr="005050F3">
              <w:t>0</w:t>
            </w:r>
          </w:p>
        </w:tc>
        <w:tc>
          <w:tcPr>
            <w:tcW w:w="836" w:type="dxa"/>
            <w:noWrap/>
            <w:hideMark/>
          </w:tcPr>
          <w:p w14:paraId="7E1177EC" w14:textId="77777777" w:rsidR="00156FDC" w:rsidRPr="005050F3" w:rsidRDefault="00156FDC" w:rsidP="0077067A">
            <w:pPr>
              <w:pStyle w:val="ARtabletextright"/>
              <w:spacing w:before="50" w:after="30"/>
            </w:pPr>
            <w:r w:rsidRPr="005050F3">
              <w:t>0</w:t>
            </w:r>
          </w:p>
        </w:tc>
        <w:tc>
          <w:tcPr>
            <w:tcW w:w="836" w:type="dxa"/>
            <w:noWrap/>
            <w:hideMark/>
          </w:tcPr>
          <w:p w14:paraId="7F329975" w14:textId="77777777" w:rsidR="00156FDC" w:rsidRPr="005050F3" w:rsidRDefault="00156FDC" w:rsidP="0077067A">
            <w:pPr>
              <w:pStyle w:val="ARtabletextright"/>
              <w:spacing w:before="50" w:after="30"/>
            </w:pPr>
            <w:r w:rsidRPr="005050F3">
              <w:t>0</w:t>
            </w:r>
          </w:p>
        </w:tc>
      </w:tr>
      <w:tr w:rsidR="00156FDC" w:rsidRPr="005050F3" w14:paraId="46B267B8" w14:textId="77777777" w:rsidTr="0077067A">
        <w:trPr>
          <w:cantSplit w:val="0"/>
          <w:trHeight w:val="255"/>
        </w:trPr>
        <w:tc>
          <w:tcPr>
            <w:tcW w:w="3969" w:type="dxa"/>
            <w:noWrap/>
            <w:hideMark/>
          </w:tcPr>
          <w:p w14:paraId="5E74B69F" w14:textId="77777777" w:rsidR="00156FDC" w:rsidRPr="005050F3" w:rsidRDefault="00156FDC" w:rsidP="0077067A">
            <w:pPr>
              <w:pStyle w:val="ARtabletext"/>
              <w:spacing w:before="50" w:after="30"/>
            </w:pPr>
            <w:r w:rsidRPr="005050F3">
              <w:t>Victorian Institute of Forensic Mental Health</w:t>
            </w:r>
          </w:p>
        </w:tc>
        <w:tc>
          <w:tcPr>
            <w:tcW w:w="836" w:type="dxa"/>
            <w:noWrap/>
            <w:hideMark/>
          </w:tcPr>
          <w:p w14:paraId="3E8EC994" w14:textId="77777777" w:rsidR="00156FDC" w:rsidRPr="005050F3" w:rsidRDefault="00156FDC" w:rsidP="0077067A">
            <w:pPr>
              <w:pStyle w:val="ARtabletextright"/>
              <w:spacing w:before="50" w:after="30"/>
            </w:pPr>
            <w:r w:rsidRPr="005050F3">
              <w:t>7</w:t>
            </w:r>
          </w:p>
        </w:tc>
        <w:tc>
          <w:tcPr>
            <w:tcW w:w="836" w:type="dxa"/>
            <w:noWrap/>
            <w:hideMark/>
          </w:tcPr>
          <w:p w14:paraId="06D8081D" w14:textId="77777777" w:rsidR="00156FDC" w:rsidRPr="005050F3" w:rsidRDefault="00156FDC" w:rsidP="0077067A">
            <w:pPr>
              <w:pStyle w:val="ARtabletextright"/>
              <w:spacing w:before="50" w:after="30"/>
            </w:pPr>
            <w:r w:rsidRPr="005050F3">
              <w:t>5</w:t>
            </w:r>
          </w:p>
        </w:tc>
        <w:tc>
          <w:tcPr>
            <w:tcW w:w="836" w:type="dxa"/>
            <w:tcBorders>
              <w:top w:val="single" w:sz="4" w:space="0" w:color="auto"/>
            </w:tcBorders>
            <w:noWrap/>
            <w:hideMark/>
          </w:tcPr>
          <w:p w14:paraId="28BBEFBE"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4CE91022" w14:textId="77777777" w:rsidR="00156FDC" w:rsidRPr="005050F3" w:rsidRDefault="00156FDC" w:rsidP="0077067A">
            <w:pPr>
              <w:pStyle w:val="ARtabletextright"/>
              <w:spacing w:before="50" w:after="30"/>
            </w:pPr>
            <w:r w:rsidRPr="005050F3">
              <w:t>12</w:t>
            </w:r>
          </w:p>
        </w:tc>
        <w:tc>
          <w:tcPr>
            <w:tcW w:w="836" w:type="dxa"/>
            <w:tcBorders>
              <w:left w:val="single" w:sz="4" w:space="0" w:color="000000"/>
            </w:tcBorders>
            <w:noWrap/>
            <w:hideMark/>
          </w:tcPr>
          <w:p w14:paraId="241CC677" w14:textId="77777777" w:rsidR="00156FDC" w:rsidRPr="005050F3" w:rsidRDefault="00156FDC" w:rsidP="0077067A">
            <w:pPr>
              <w:pStyle w:val="ARtabletextright"/>
              <w:spacing w:before="50" w:after="30"/>
            </w:pPr>
            <w:r w:rsidRPr="005050F3">
              <w:t>6</w:t>
            </w:r>
          </w:p>
        </w:tc>
        <w:tc>
          <w:tcPr>
            <w:tcW w:w="836" w:type="dxa"/>
            <w:noWrap/>
            <w:hideMark/>
          </w:tcPr>
          <w:p w14:paraId="7EF67C19" w14:textId="77777777" w:rsidR="00156FDC" w:rsidRPr="005050F3" w:rsidRDefault="00156FDC" w:rsidP="0077067A">
            <w:pPr>
              <w:pStyle w:val="ARtabletextright"/>
              <w:spacing w:before="50" w:after="30"/>
            </w:pPr>
            <w:r w:rsidRPr="005050F3">
              <w:t>3</w:t>
            </w:r>
          </w:p>
        </w:tc>
        <w:tc>
          <w:tcPr>
            <w:tcW w:w="836" w:type="dxa"/>
            <w:noWrap/>
            <w:hideMark/>
          </w:tcPr>
          <w:p w14:paraId="5103C61D"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8D42A1E" w14:textId="77777777" w:rsidR="00156FDC" w:rsidRPr="005050F3" w:rsidRDefault="00156FDC" w:rsidP="0077067A">
            <w:pPr>
              <w:pStyle w:val="ARtabletextright"/>
              <w:spacing w:before="50" w:after="30"/>
            </w:pPr>
            <w:r w:rsidRPr="005050F3">
              <w:t>9</w:t>
            </w:r>
          </w:p>
        </w:tc>
        <w:tc>
          <w:tcPr>
            <w:tcW w:w="836" w:type="dxa"/>
            <w:tcBorders>
              <w:left w:val="single" w:sz="4" w:space="0" w:color="000000"/>
            </w:tcBorders>
            <w:noWrap/>
            <w:hideMark/>
          </w:tcPr>
          <w:p w14:paraId="1E6083BD" w14:textId="77777777" w:rsidR="00156FDC" w:rsidRPr="005050F3" w:rsidRDefault="00156FDC" w:rsidP="0077067A">
            <w:pPr>
              <w:pStyle w:val="ARtabletextright"/>
              <w:spacing w:before="50" w:after="30"/>
            </w:pPr>
            <w:r w:rsidRPr="005050F3">
              <w:t>1</w:t>
            </w:r>
          </w:p>
        </w:tc>
        <w:tc>
          <w:tcPr>
            <w:tcW w:w="836" w:type="dxa"/>
            <w:noWrap/>
            <w:hideMark/>
          </w:tcPr>
          <w:p w14:paraId="77AA9E08" w14:textId="77777777" w:rsidR="00156FDC" w:rsidRPr="005050F3" w:rsidRDefault="00156FDC" w:rsidP="0077067A">
            <w:pPr>
              <w:pStyle w:val="ARtabletextright"/>
              <w:spacing w:before="50" w:after="30"/>
            </w:pPr>
            <w:r w:rsidRPr="005050F3">
              <w:t>2</w:t>
            </w:r>
          </w:p>
        </w:tc>
        <w:tc>
          <w:tcPr>
            <w:tcW w:w="836" w:type="dxa"/>
            <w:noWrap/>
            <w:hideMark/>
          </w:tcPr>
          <w:p w14:paraId="677D97D5" w14:textId="77777777" w:rsidR="00156FDC" w:rsidRPr="005050F3" w:rsidRDefault="00156FDC" w:rsidP="0077067A">
            <w:pPr>
              <w:pStyle w:val="ARtabletextright"/>
              <w:spacing w:before="50" w:after="30"/>
            </w:pPr>
            <w:r w:rsidRPr="005050F3">
              <w:t>0</w:t>
            </w:r>
          </w:p>
        </w:tc>
        <w:tc>
          <w:tcPr>
            <w:tcW w:w="836" w:type="dxa"/>
            <w:noWrap/>
            <w:hideMark/>
          </w:tcPr>
          <w:p w14:paraId="5836BB0B" w14:textId="77777777" w:rsidR="00156FDC" w:rsidRPr="005050F3" w:rsidRDefault="00156FDC" w:rsidP="0077067A">
            <w:pPr>
              <w:pStyle w:val="ARtabletextright"/>
              <w:spacing w:before="50" w:after="30"/>
            </w:pPr>
            <w:r w:rsidRPr="005050F3">
              <w:t>3</w:t>
            </w:r>
          </w:p>
        </w:tc>
      </w:tr>
      <w:tr w:rsidR="00156FDC" w:rsidRPr="005050F3" w14:paraId="245FFF9B" w14:textId="77777777" w:rsidTr="0077067A">
        <w:trPr>
          <w:cantSplit w:val="0"/>
          <w:trHeight w:val="255"/>
        </w:trPr>
        <w:tc>
          <w:tcPr>
            <w:tcW w:w="3969" w:type="dxa"/>
            <w:noWrap/>
            <w:hideMark/>
          </w:tcPr>
          <w:p w14:paraId="4541C5B3" w14:textId="77777777" w:rsidR="00156FDC" w:rsidRPr="005050F3" w:rsidRDefault="00156FDC" w:rsidP="0077067A">
            <w:pPr>
              <w:pStyle w:val="ARtabletext"/>
              <w:spacing w:before="50" w:after="30"/>
            </w:pPr>
            <w:r w:rsidRPr="005050F3">
              <w:t>West Gippsland Healthcare Group</w:t>
            </w:r>
          </w:p>
        </w:tc>
        <w:tc>
          <w:tcPr>
            <w:tcW w:w="836" w:type="dxa"/>
            <w:noWrap/>
            <w:hideMark/>
          </w:tcPr>
          <w:p w14:paraId="074A454A" w14:textId="77777777" w:rsidR="00156FDC" w:rsidRPr="005050F3" w:rsidRDefault="00156FDC" w:rsidP="0077067A">
            <w:pPr>
              <w:pStyle w:val="ARtabletextright"/>
              <w:spacing w:before="50" w:after="30"/>
            </w:pPr>
            <w:r w:rsidRPr="005050F3">
              <w:t>1</w:t>
            </w:r>
          </w:p>
        </w:tc>
        <w:tc>
          <w:tcPr>
            <w:tcW w:w="836" w:type="dxa"/>
            <w:noWrap/>
            <w:hideMark/>
          </w:tcPr>
          <w:p w14:paraId="4750D284" w14:textId="77777777" w:rsidR="00156FDC" w:rsidRPr="005050F3" w:rsidRDefault="00156FDC" w:rsidP="0077067A">
            <w:pPr>
              <w:pStyle w:val="ARtabletextright"/>
              <w:spacing w:before="50" w:after="30"/>
            </w:pPr>
            <w:r w:rsidRPr="005050F3">
              <w:t>2</w:t>
            </w:r>
          </w:p>
        </w:tc>
        <w:tc>
          <w:tcPr>
            <w:tcW w:w="836" w:type="dxa"/>
            <w:tcBorders>
              <w:top w:val="single" w:sz="4" w:space="0" w:color="auto"/>
            </w:tcBorders>
            <w:noWrap/>
            <w:hideMark/>
          </w:tcPr>
          <w:p w14:paraId="02A8F95C"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772E503" w14:textId="77777777" w:rsidR="00156FDC" w:rsidRPr="005050F3" w:rsidRDefault="00156FDC" w:rsidP="0077067A">
            <w:pPr>
              <w:pStyle w:val="ARtabletextright"/>
              <w:spacing w:before="50" w:after="30"/>
            </w:pPr>
            <w:r w:rsidRPr="005050F3">
              <w:t>3</w:t>
            </w:r>
          </w:p>
        </w:tc>
        <w:tc>
          <w:tcPr>
            <w:tcW w:w="836" w:type="dxa"/>
            <w:tcBorders>
              <w:left w:val="single" w:sz="4" w:space="0" w:color="000000"/>
            </w:tcBorders>
            <w:noWrap/>
            <w:hideMark/>
          </w:tcPr>
          <w:p w14:paraId="7DC86C78" w14:textId="77777777" w:rsidR="00156FDC" w:rsidRPr="005050F3" w:rsidRDefault="00156FDC" w:rsidP="0077067A">
            <w:pPr>
              <w:pStyle w:val="ARtabletextright"/>
              <w:spacing w:before="50" w:after="30"/>
            </w:pPr>
            <w:r w:rsidRPr="005050F3">
              <w:t>1</w:t>
            </w:r>
          </w:p>
        </w:tc>
        <w:tc>
          <w:tcPr>
            <w:tcW w:w="836" w:type="dxa"/>
            <w:noWrap/>
            <w:hideMark/>
          </w:tcPr>
          <w:p w14:paraId="0CF63A46" w14:textId="77777777" w:rsidR="00156FDC" w:rsidRPr="005050F3" w:rsidRDefault="00156FDC" w:rsidP="0077067A">
            <w:pPr>
              <w:pStyle w:val="ARtabletextright"/>
              <w:spacing w:before="50" w:after="30"/>
            </w:pPr>
            <w:r w:rsidRPr="005050F3">
              <w:t>2</w:t>
            </w:r>
          </w:p>
        </w:tc>
        <w:tc>
          <w:tcPr>
            <w:tcW w:w="836" w:type="dxa"/>
            <w:noWrap/>
            <w:hideMark/>
          </w:tcPr>
          <w:p w14:paraId="5D263A83"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E9F9E71" w14:textId="77777777" w:rsidR="00156FDC" w:rsidRPr="005050F3" w:rsidRDefault="00156FDC" w:rsidP="0077067A">
            <w:pPr>
              <w:pStyle w:val="ARtabletextright"/>
              <w:spacing w:before="50" w:after="30"/>
            </w:pPr>
            <w:r w:rsidRPr="005050F3">
              <w:t>3</w:t>
            </w:r>
          </w:p>
        </w:tc>
        <w:tc>
          <w:tcPr>
            <w:tcW w:w="836" w:type="dxa"/>
            <w:tcBorders>
              <w:left w:val="single" w:sz="4" w:space="0" w:color="000000"/>
            </w:tcBorders>
            <w:noWrap/>
            <w:hideMark/>
          </w:tcPr>
          <w:p w14:paraId="6C8E0946" w14:textId="77777777" w:rsidR="00156FDC" w:rsidRPr="005050F3" w:rsidRDefault="00156FDC" w:rsidP="0077067A">
            <w:pPr>
              <w:pStyle w:val="ARtabletextright"/>
              <w:spacing w:before="50" w:after="30"/>
            </w:pPr>
            <w:r w:rsidRPr="005050F3">
              <w:t>0</w:t>
            </w:r>
          </w:p>
        </w:tc>
        <w:tc>
          <w:tcPr>
            <w:tcW w:w="836" w:type="dxa"/>
            <w:noWrap/>
            <w:hideMark/>
          </w:tcPr>
          <w:p w14:paraId="2006B36C" w14:textId="77777777" w:rsidR="00156FDC" w:rsidRPr="005050F3" w:rsidRDefault="00156FDC" w:rsidP="0077067A">
            <w:pPr>
              <w:pStyle w:val="ARtabletextright"/>
              <w:spacing w:before="50" w:after="30"/>
            </w:pPr>
            <w:r w:rsidRPr="005050F3">
              <w:t>0</w:t>
            </w:r>
          </w:p>
        </w:tc>
        <w:tc>
          <w:tcPr>
            <w:tcW w:w="836" w:type="dxa"/>
            <w:noWrap/>
            <w:hideMark/>
          </w:tcPr>
          <w:p w14:paraId="3C1E0CC7" w14:textId="77777777" w:rsidR="00156FDC" w:rsidRPr="005050F3" w:rsidRDefault="00156FDC" w:rsidP="0077067A">
            <w:pPr>
              <w:pStyle w:val="ARtabletextright"/>
              <w:spacing w:before="50" w:after="30"/>
            </w:pPr>
            <w:r w:rsidRPr="005050F3">
              <w:t>0</w:t>
            </w:r>
          </w:p>
        </w:tc>
        <w:tc>
          <w:tcPr>
            <w:tcW w:w="836" w:type="dxa"/>
            <w:noWrap/>
            <w:hideMark/>
          </w:tcPr>
          <w:p w14:paraId="67DD0043" w14:textId="77777777" w:rsidR="00156FDC" w:rsidRPr="005050F3" w:rsidRDefault="00156FDC" w:rsidP="0077067A">
            <w:pPr>
              <w:pStyle w:val="ARtabletextright"/>
              <w:spacing w:before="50" w:after="30"/>
            </w:pPr>
            <w:r w:rsidRPr="005050F3">
              <w:t>0</w:t>
            </w:r>
          </w:p>
        </w:tc>
      </w:tr>
      <w:tr w:rsidR="00156FDC" w:rsidRPr="005050F3" w14:paraId="57B3E96F" w14:textId="77777777" w:rsidTr="0077067A">
        <w:trPr>
          <w:cantSplit w:val="0"/>
          <w:trHeight w:val="255"/>
        </w:trPr>
        <w:tc>
          <w:tcPr>
            <w:tcW w:w="3969" w:type="dxa"/>
            <w:noWrap/>
            <w:hideMark/>
          </w:tcPr>
          <w:p w14:paraId="11DD9B0D" w14:textId="77777777" w:rsidR="00156FDC" w:rsidRPr="005050F3" w:rsidRDefault="00156FDC" w:rsidP="0077067A">
            <w:pPr>
              <w:pStyle w:val="ARtabletext"/>
              <w:spacing w:before="50" w:after="30"/>
            </w:pPr>
            <w:r w:rsidRPr="005050F3">
              <w:t>West Wimmera Health Service</w:t>
            </w:r>
          </w:p>
        </w:tc>
        <w:tc>
          <w:tcPr>
            <w:tcW w:w="836" w:type="dxa"/>
            <w:noWrap/>
            <w:hideMark/>
          </w:tcPr>
          <w:p w14:paraId="7D920EF8" w14:textId="77777777" w:rsidR="00156FDC" w:rsidRPr="005050F3" w:rsidRDefault="00156FDC" w:rsidP="0077067A">
            <w:pPr>
              <w:pStyle w:val="ARtabletextright"/>
              <w:spacing w:before="50" w:after="30"/>
            </w:pPr>
            <w:r w:rsidRPr="005050F3">
              <w:t>3</w:t>
            </w:r>
          </w:p>
        </w:tc>
        <w:tc>
          <w:tcPr>
            <w:tcW w:w="836" w:type="dxa"/>
            <w:noWrap/>
            <w:hideMark/>
          </w:tcPr>
          <w:p w14:paraId="67554AB6" w14:textId="77777777" w:rsidR="00156FDC" w:rsidRPr="005050F3" w:rsidRDefault="00156FDC" w:rsidP="0077067A">
            <w:pPr>
              <w:pStyle w:val="ARtabletextright"/>
              <w:spacing w:before="50" w:after="30"/>
            </w:pPr>
            <w:r w:rsidRPr="005050F3">
              <w:t>2</w:t>
            </w:r>
          </w:p>
        </w:tc>
        <w:tc>
          <w:tcPr>
            <w:tcW w:w="836" w:type="dxa"/>
            <w:tcBorders>
              <w:top w:val="single" w:sz="4" w:space="0" w:color="auto"/>
            </w:tcBorders>
            <w:noWrap/>
            <w:hideMark/>
          </w:tcPr>
          <w:p w14:paraId="4E20034E"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3D2BA359" w14:textId="77777777" w:rsidR="00156FDC" w:rsidRPr="005050F3" w:rsidRDefault="00156FDC" w:rsidP="0077067A">
            <w:pPr>
              <w:pStyle w:val="ARtabletextright"/>
              <w:spacing w:before="50" w:after="30"/>
            </w:pPr>
            <w:r w:rsidRPr="005050F3">
              <w:t>5</w:t>
            </w:r>
          </w:p>
        </w:tc>
        <w:tc>
          <w:tcPr>
            <w:tcW w:w="836" w:type="dxa"/>
            <w:tcBorders>
              <w:left w:val="single" w:sz="4" w:space="0" w:color="000000"/>
            </w:tcBorders>
            <w:noWrap/>
            <w:hideMark/>
          </w:tcPr>
          <w:p w14:paraId="4E266945" w14:textId="77777777" w:rsidR="00156FDC" w:rsidRPr="005050F3" w:rsidRDefault="00156FDC" w:rsidP="0077067A">
            <w:pPr>
              <w:pStyle w:val="ARtabletextright"/>
              <w:spacing w:before="50" w:after="30"/>
            </w:pPr>
            <w:r w:rsidRPr="005050F3">
              <w:t>4</w:t>
            </w:r>
          </w:p>
        </w:tc>
        <w:tc>
          <w:tcPr>
            <w:tcW w:w="836" w:type="dxa"/>
            <w:noWrap/>
            <w:hideMark/>
          </w:tcPr>
          <w:p w14:paraId="32A15109" w14:textId="77777777" w:rsidR="00156FDC" w:rsidRPr="005050F3" w:rsidRDefault="00156FDC" w:rsidP="0077067A">
            <w:pPr>
              <w:pStyle w:val="ARtabletextright"/>
              <w:spacing w:before="50" w:after="30"/>
            </w:pPr>
            <w:r w:rsidRPr="005050F3">
              <w:t>2</w:t>
            </w:r>
          </w:p>
        </w:tc>
        <w:tc>
          <w:tcPr>
            <w:tcW w:w="836" w:type="dxa"/>
            <w:noWrap/>
            <w:hideMark/>
          </w:tcPr>
          <w:p w14:paraId="71AE9F5B"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3246523" w14:textId="77777777" w:rsidR="00156FDC" w:rsidRPr="005050F3" w:rsidRDefault="00156FDC" w:rsidP="0077067A">
            <w:pPr>
              <w:pStyle w:val="ARtabletextright"/>
              <w:spacing w:before="50" w:after="30"/>
            </w:pPr>
            <w:r w:rsidRPr="005050F3">
              <w:t>6</w:t>
            </w:r>
          </w:p>
        </w:tc>
        <w:tc>
          <w:tcPr>
            <w:tcW w:w="836" w:type="dxa"/>
            <w:tcBorders>
              <w:left w:val="single" w:sz="4" w:space="0" w:color="000000"/>
            </w:tcBorders>
            <w:noWrap/>
            <w:hideMark/>
          </w:tcPr>
          <w:p w14:paraId="3648CBF4" w14:textId="242EE6CC" w:rsidR="00156FDC" w:rsidRPr="005050F3" w:rsidRDefault="00FA72CF" w:rsidP="0077067A">
            <w:pPr>
              <w:pStyle w:val="ARtabletextright"/>
              <w:spacing w:before="50" w:after="30"/>
            </w:pPr>
            <w:r>
              <w:t>−</w:t>
            </w:r>
            <w:r w:rsidR="00156FDC" w:rsidRPr="005050F3">
              <w:t>1</w:t>
            </w:r>
          </w:p>
        </w:tc>
        <w:tc>
          <w:tcPr>
            <w:tcW w:w="836" w:type="dxa"/>
            <w:noWrap/>
            <w:hideMark/>
          </w:tcPr>
          <w:p w14:paraId="21C51A1F" w14:textId="77777777" w:rsidR="00156FDC" w:rsidRPr="005050F3" w:rsidRDefault="00156FDC" w:rsidP="0077067A">
            <w:pPr>
              <w:pStyle w:val="ARtabletextright"/>
              <w:spacing w:before="50" w:after="30"/>
            </w:pPr>
            <w:r w:rsidRPr="005050F3">
              <w:t>0</w:t>
            </w:r>
          </w:p>
        </w:tc>
        <w:tc>
          <w:tcPr>
            <w:tcW w:w="836" w:type="dxa"/>
            <w:noWrap/>
            <w:hideMark/>
          </w:tcPr>
          <w:p w14:paraId="2187DFDF" w14:textId="77777777" w:rsidR="00156FDC" w:rsidRPr="005050F3" w:rsidRDefault="00156FDC" w:rsidP="0077067A">
            <w:pPr>
              <w:pStyle w:val="ARtabletextright"/>
              <w:spacing w:before="50" w:after="30"/>
            </w:pPr>
            <w:r w:rsidRPr="005050F3">
              <w:t>0</w:t>
            </w:r>
          </w:p>
        </w:tc>
        <w:tc>
          <w:tcPr>
            <w:tcW w:w="836" w:type="dxa"/>
            <w:noWrap/>
            <w:hideMark/>
          </w:tcPr>
          <w:p w14:paraId="74A421DC" w14:textId="0AC51BA1" w:rsidR="00156FDC" w:rsidRPr="005050F3" w:rsidRDefault="00FA72CF" w:rsidP="0077067A">
            <w:pPr>
              <w:pStyle w:val="ARtabletextright"/>
              <w:spacing w:before="50" w:after="30"/>
            </w:pPr>
            <w:r>
              <w:t>−</w:t>
            </w:r>
            <w:r w:rsidR="00156FDC" w:rsidRPr="005050F3">
              <w:t>1</w:t>
            </w:r>
          </w:p>
        </w:tc>
      </w:tr>
      <w:tr w:rsidR="00156FDC" w:rsidRPr="005050F3" w14:paraId="16F8951C" w14:textId="77777777" w:rsidTr="0077067A">
        <w:trPr>
          <w:cantSplit w:val="0"/>
          <w:trHeight w:val="255"/>
        </w:trPr>
        <w:tc>
          <w:tcPr>
            <w:tcW w:w="3969" w:type="dxa"/>
            <w:noWrap/>
            <w:hideMark/>
          </w:tcPr>
          <w:p w14:paraId="2C0F328C" w14:textId="77777777" w:rsidR="00156FDC" w:rsidRPr="005050F3" w:rsidRDefault="00156FDC" w:rsidP="0077067A">
            <w:pPr>
              <w:pStyle w:val="ARtabletext"/>
              <w:spacing w:before="50" w:after="30"/>
            </w:pPr>
            <w:r w:rsidRPr="005050F3">
              <w:t>Western District Health Service</w:t>
            </w:r>
          </w:p>
        </w:tc>
        <w:tc>
          <w:tcPr>
            <w:tcW w:w="836" w:type="dxa"/>
            <w:noWrap/>
            <w:hideMark/>
          </w:tcPr>
          <w:p w14:paraId="5E12FBED" w14:textId="77777777" w:rsidR="00156FDC" w:rsidRPr="005050F3" w:rsidRDefault="00156FDC" w:rsidP="0077067A">
            <w:pPr>
              <w:pStyle w:val="ARtabletextright"/>
              <w:spacing w:before="50" w:after="30"/>
            </w:pPr>
            <w:r w:rsidRPr="005050F3">
              <w:t>0</w:t>
            </w:r>
          </w:p>
        </w:tc>
        <w:tc>
          <w:tcPr>
            <w:tcW w:w="836" w:type="dxa"/>
            <w:noWrap/>
            <w:hideMark/>
          </w:tcPr>
          <w:p w14:paraId="19578F7D"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4F286076"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B097598"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14F1232F" w14:textId="77777777" w:rsidR="00156FDC" w:rsidRPr="005050F3" w:rsidRDefault="00156FDC" w:rsidP="0077067A">
            <w:pPr>
              <w:pStyle w:val="ARtabletextright"/>
              <w:spacing w:before="50" w:after="30"/>
            </w:pPr>
            <w:r w:rsidRPr="005050F3">
              <w:t>0</w:t>
            </w:r>
          </w:p>
        </w:tc>
        <w:tc>
          <w:tcPr>
            <w:tcW w:w="836" w:type="dxa"/>
            <w:noWrap/>
            <w:hideMark/>
          </w:tcPr>
          <w:p w14:paraId="01DF892F" w14:textId="77777777" w:rsidR="00156FDC" w:rsidRPr="005050F3" w:rsidRDefault="00156FDC" w:rsidP="0077067A">
            <w:pPr>
              <w:pStyle w:val="ARtabletextright"/>
              <w:spacing w:before="50" w:after="30"/>
            </w:pPr>
            <w:r w:rsidRPr="005050F3">
              <w:t>1</w:t>
            </w:r>
          </w:p>
        </w:tc>
        <w:tc>
          <w:tcPr>
            <w:tcW w:w="836" w:type="dxa"/>
            <w:noWrap/>
            <w:hideMark/>
          </w:tcPr>
          <w:p w14:paraId="779E9202"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95450F1"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52B1DB7B" w14:textId="77777777" w:rsidR="00156FDC" w:rsidRPr="005050F3" w:rsidRDefault="00156FDC" w:rsidP="0077067A">
            <w:pPr>
              <w:pStyle w:val="ARtabletextright"/>
              <w:spacing w:before="50" w:after="30"/>
            </w:pPr>
            <w:r w:rsidRPr="005050F3">
              <w:t>0</w:t>
            </w:r>
          </w:p>
        </w:tc>
        <w:tc>
          <w:tcPr>
            <w:tcW w:w="836" w:type="dxa"/>
            <w:noWrap/>
            <w:hideMark/>
          </w:tcPr>
          <w:p w14:paraId="0C3DE4CA" w14:textId="77777777" w:rsidR="00156FDC" w:rsidRPr="005050F3" w:rsidRDefault="00156FDC" w:rsidP="0077067A">
            <w:pPr>
              <w:pStyle w:val="ARtabletextright"/>
              <w:spacing w:before="50" w:after="30"/>
            </w:pPr>
            <w:r w:rsidRPr="005050F3">
              <w:t>0</w:t>
            </w:r>
          </w:p>
        </w:tc>
        <w:tc>
          <w:tcPr>
            <w:tcW w:w="836" w:type="dxa"/>
            <w:noWrap/>
            <w:hideMark/>
          </w:tcPr>
          <w:p w14:paraId="3D7ECA76" w14:textId="77777777" w:rsidR="00156FDC" w:rsidRPr="005050F3" w:rsidRDefault="00156FDC" w:rsidP="0077067A">
            <w:pPr>
              <w:pStyle w:val="ARtabletextright"/>
              <w:spacing w:before="50" w:after="30"/>
            </w:pPr>
            <w:r w:rsidRPr="005050F3">
              <w:t>0</w:t>
            </w:r>
          </w:p>
        </w:tc>
        <w:tc>
          <w:tcPr>
            <w:tcW w:w="836" w:type="dxa"/>
            <w:noWrap/>
            <w:hideMark/>
          </w:tcPr>
          <w:p w14:paraId="4429E9BB" w14:textId="77777777" w:rsidR="00156FDC" w:rsidRPr="005050F3" w:rsidRDefault="00156FDC" w:rsidP="0077067A">
            <w:pPr>
              <w:pStyle w:val="ARtabletextright"/>
              <w:spacing w:before="50" w:after="30"/>
            </w:pPr>
            <w:r w:rsidRPr="005050F3">
              <w:t>0</w:t>
            </w:r>
          </w:p>
        </w:tc>
      </w:tr>
      <w:tr w:rsidR="00156FDC" w:rsidRPr="005050F3" w14:paraId="16BFFFEC" w14:textId="77777777" w:rsidTr="0077067A">
        <w:trPr>
          <w:cantSplit w:val="0"/>
          <w:trHeight w:val="255"/>
        </w:trPr>
        <w:tc>
          <w:tcPr>
            <w:tcW w:w="3969" w:type="dxa"/>
            <w:noWrap/>
            <w:hideMark/>
          </w:tcPr>
          <w:p w14:paraId="597D1568" w14:textId="77777777" w:rsidR="00156FDC" w:rsidRPr="005050F3" w:rsidRDefault="00156FDC" w:rsidP="0077067A">
            <w:pPr>
              <w:pStyle w:val="ARtabletext"/>
              <w:spacing w:before="50" w:after="30"/>
            </w:pPr>
            <w:r w:rsidRPr="005050F3">
              <w:t>Western Health</w:t>
            </w:r>
          </w:p>
        </w:tc>
        <w:tc>
          <w:tcPr>
            <w:tcW w:w="836" w:type="dxa"/>
            <w:noWrap/>
            <w:hideMark/>
          </w:tcPr>
          <w:p w14:paraId="2EAB2680" w14:textId="77777777" w:rsidR="00156FDC" w:rsidRPr="005050F3" w:rsidRDefault="00156FDC" w:rsidP="0077067A">
            <w:pPr>
              <w:pStyle w:val="ARtabletextright"/>
              <w:spacing w:before="50" w:after="30"/>
            </w:pPr>
            <w:r w:rsidRPr="005050F3">
              <w:t>10</w:t>
            </w:r>
          </w:p>
        </w:tc>
        <w:tc>
          <w:tcPr>
            <w:tcW w:w="836" w:type="dxa"/>
            <w:noWrap/>
            <w:hideMark/>
          </w:tcPr>
          <w:p w14:paraId="76F0CFAB" w14:textId="77777777" w:rsidR="00156FDC" w:rsidRPr="005050F3" w:rsidRDefault="00156FDC" w:rsidP="0077067A">
            <w:pPr>
              <w:pStyle w:val="ARtabletextright"/>
              <w:spacing w:before="50" w:after="30"/>
            </w:pPr>
            <w:r w:rsidRPr="005050F3">
              <w:t>10</w:t>
            </w:r>
          </w:p>
        </w:tc>
        <w:tc>
          <w:tcPr>
            <w:tcW w:w="836" w:type="dxa"/>
            <w:tcBorders>
              <w:top w:val="single" w:sz="4" w:space="0" w:color="auto"/>
            </w:tcBorders>
            <w:noWrap/>
            <w:hideMark/>
          </w:tcPr>
          <w:p w14:paraId="0F5BC4CA"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4E9941FD" w14:textId="77777777" w:rsidR="00156FDC" w:rsidRPr="005050F3" w:rsidRDefault="00156FDC" w:rsidP="0077067A">
            <w:pPr>
              <w:pStyle w:val="ARtabletextright"/>
              <w:spacing w:before="50" w:after="30"/>
            </w:pPr>
            <w:r w:rsidRPr="005050F3">
              <w:t>20</w:t>
            </w:r>
          </w:p>
        </w:tc>
        <w:tc>
          <w:tcPr>
            <w:tcW w:w="836" w:type="dxa"/>
            <w:tcBorders>
              <w:left w:val="single" w:sz="4" w:space="0" w:color="000000"/>
            </w:tcBorders>
            <w:noWrap/>
            <w:hideMark/>
          </w:tcPr>
          <w:p w14:paraId="6885611F" w14:textId="77777777" w:rsidR="00156FDC" w:rsidRPr="005050F3" w:rsidRDefault="00156FDC" w:rsidP="0077067A">
            <w:pPr>
              <w:pStyle w:val="ARtabletextright"/>
              <w:spacing w:before="50" w:after="30"/>
            </w:pPr>
            <w:r w:rsidRPr="005050F3">
              <w:t>13</w:t>
            </w:r>
          </w:p>
        </w:tc>
        <w:tc>
          <w:tcPr>
            <w:tcW w:w="836" w:type="dxa"/>
            <w:noWrap/>
            <w:hideMark/>
          </w:tcPr>
          <w:p w14:paraId="5FEBD6C6" w14:textId="77777777" w:rsidR="00156FDC" w:rsidRPr="005050F3" w:rsidRDefault="00156FDC" w:rsidP="0077067A">
            <w:pPr>
              <w:pStyle w:val="ARtabletextright"/>
              <w:spacing w:before="50" w:after="30"/>
            </w:pPr>
            <w:r w:rsidRPr="005050F3">
              <w:t>9</w:t>
            </w:r>
          </w:p>
        </w:tc>
        <w:tc>
          <w:tcPr>
            <w:tcW w:w="836" w:type="dxa"/>
            <w:noWrap/>
            <w:hideMark/>
          </w:tcPr>
          <w:p w14:paraId="759B5513"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631BB05D" w14:textId="77777777" w:rsidR="00156FDC" w:rsidRPr="005050F3" w:rsidRDefault="00156FDC" w:rsidP="0077067A">
            <w:pPr>
              <w:pStyle w:val="ARtabletextright"/>
              <w:spacing w:before="50" w:after="30"/>
            </w:pPr>
            <w:r w:rsidRPr="005050F3">
              <w:t>22</w:t>
            </w:r>
          </w:p>
        </w:tc>
        <w:tc>
          <w:tcPr>
            <w:tcW w:w="836" w:type="dxa"/>
            <w:tcBorders>
              <w:left w:val="single" w:sz="4" w:space="0" w:color="000000"/>
            </w:tcBorders>
            <w:noWrap/>
            <w:hideMark/>
          </w:tcPr>
          <w:p w14:paraId="3849C05E" w14:textId="10199270" w:rsidR="00156FDC" w:rsidRPr="005050F3" w:rsidRDefault="00FA72CF" w:rsidP="0077067A">
            <w:pPr>
              <w:pStyle w:val="ARtabletextright"/>
              <w:spacing w:before="50" w:after="30"/>
            </w:pPr>
            <w:r>
              <w:t>−</w:t>
            </w:r>
            <w:r w:rsidR="00156FDC" w:rsidRPr="005050F3">
              <w:t>3</w:t>
            </w:r>
          </w:p>
        </w:tc>
        <w:tc>
          <w:tcPr>
            <w:tcW w:w="836" w:type="dxa"/>
            <w:noWrap/>
            <w:hideMark/>
          </w:tcPr>
          <w:p w14:paraId="0065B529" w14:textId="77777777" w:rsidR="00156FDC" w:rsidRPr="005050F3" w:rsidRDefault="00156FDC" w:rsidP="0077067A">
            <w:pPr>
              <w:pStyle w:val="ARtabletextright"/>
              <w:spacing w:before="50" w:after="30"/>
            </w:pPr>
            <w:r w:rsidRPr="005050F3">
              <w:t>1</w:t>
            </w:r>
          </w:p>
        </w:tc>
        <w:tc>
          <w:tcPr>
            <w:tcW w:w="836" w:type="dxa"/>
            <w:noWrap/>
            <w:hideMark/>
          </w:tcPr>
          <w:p w14:paraId="58E3A5A8" w14:textId="77777777" w:rsidR="00156FDC" w:rsidRPr="005050F3" w:rsidRDefault="00156FDC" w:rsidP="0077067A">
            <w:pPr>
              <w:pStyle w:val="ARtabletextright"/>
              <w:spacing w:before="50" w:after="30"/>
            </w:pPr>
            <w:r w:rsidRPr="005050F3">
              <w:t>0</w:t>
            </w:r>
          </w:p>
        </w:tc>
        <w:tc>
          <w:tcPr>
            <w:tcW w:w="836" w:type="dxa"/>
            <w:noWrap/>
            <w:hideMark/>
          </w:tcPr>
          <w:p w14:paraId="30570DFA" w14:textId="47A18FD8" w:rsidR="00156FDC" w:rsidRPr="005050F3" w:rsidRDefault="00FA72CF" w:rsidP="0077067A">
            <w:pPr>
              <w:pStyle w:val="ARtabletextright"/>
              <w:spacing w:before="50" w:after="30"/>
            </w:pPr>
            <w:r>
              <w:t>−</w:t>
            </w:r>
            <w:r w:rsidR="00156FDC" w:rsidRPr="005050F3">
              <w:t>2</w:t>
            </w:r>
          </w:p>
        </w:tc>
      </w:tr>
      <w:tr w:rsidR="00156FDC" w:rsidRPr="005050F3" w14:paraId="5B2FDB9E" w14:textId="77777777" w:rsidTr="0077067A">
        <w:trPr>
          <w:cantSplit w:val="0"/>
          <w:trHeight w:val="255"/>
        </w:trPr>
        <w:tc>
          <w:tcPr>
            <w:tcW w:w="3969" w:type="dxa"/>
            <w:noWrap/>
            <w:hideMark/>
          </w:tcPr>
          <w:p w14:paraId="5EC9BAE1" w14:textId="77777777" w:rsidR="00156FDC" w:rsidRPr="005050F3" w:rsidRDefault="00156FDC" w:rsidP="0077067A">
            <w:pPr>
              <w:pStyle w:val="ARtabletext"/>
              <w:spacing w:before="50" w:after="30"/>
            </w:pPr>
            <w:r w:rsidRPr="005050F3">
              <w:t>Yarram and District Health Service</w:t>
            </w:r>
          </w:p>
        </w:tc>
        <w:tc>
          <w:tcPr>
            <w:tcW w:w="836" w:type="dxa"/>
            <w:noWrap/>
            <w:hideMark/>
          </w:tcPr>
          <w:p w14:paraId="7C1321C7" w14:textId="77777777" w:rsidR="00156FDC" w:rsidRPr="005050F3" w:rsidRDefault="00156FDC" w:rsidP="0077067A">
            <w:pPr>
              <w:pStyle w:val="ARtabletextright"/>
              <w:spacing w:before="50" w:after="30"/>
            </w:pPr>
            <w:r w:rsidRPr="005050F3">
              <w:t>0</w:t>
            </w:r>
          </w:p>
        </w:tc>
        <w:tc>
          <w:tcPr>
            <w:tcW w:w="836" w:type="dxa"/>
            <w:noWrap/>
            <w:hideMark/>
          </w:tcPr>
          <w:p w14:paraId="0503B98C"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7AF1D2B3"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A2D08A0"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1CB0B5AC" w14:textId="77777777" w:rsidR="00156FDC" w:rsidRPr="005050F3" w:rsidRDefault="00156FDC" w:rsidP="0077067A">
            <w:pPr>
              <w:pStyle w:val="ARtabletextright"/>
              <w:spacing w:before="50" w:after="30"/>
            </w:pPr>
            <w:r w:rsidRPr="005050F3">
              <w:t>1</w:t>
            </w:r>
          </w:p>
        </w:tc>
        <w:tc>
          <w:tcPr>
            <w:tcW w:w="836" w:type="dxa"/>
            <w:noWrap/>
            <w:hideMark/>
          </w:tcPr>
          <w:p w14:paraId="42364F44" w14:textId="77777777" w:rsidR="00156FDC" w:rsidRPr="005050F3" w:rsidRDefault="00156FDC" w:rsidP="0077067A">
            <w:pPr>
              <w:pStyle w:val="ARtabletextright"/>
              <w:spacing w:before="50" w:after="30"/>
            </w:pPr>
            <w:r w:rsidRPr="005050F3">
              <w:t>0</w:t>
            </w:r>
          </w:p>
        </w:tc>
        <w:tc>
          <w:tcPr>
            <w:tcW w:w="836" w:type="dxa"/>
            <w:noWrap/>
            <w:hideMark/>
          </w:tcPr>
          <w:p w14:paraId="388BBDFE"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64048E64" w14:textId="77777777" w:rsidR="00156FDC" w:rsidRPr="005050F3" w:rsidRDefault="00156FDC" w:rsidP="0077067A">
            <w:pPr>
              <w:pStyle w:val="ARtabletextright"/>
              <w:spacing w:before="50" w:after="30"/>
            </w:pPr>
            <w:r w:rsidRPr="005050F3">
              <w:t>1</w:t>
            </w:r>
          </w:p>
        </w:tc>
        <w:tc>
          <w:tcPr>
            <w:tcW w:w="836" w:type="dxa"/>
            <w:tcBorders>
              <w:left w:val="single" w:sz="4" w:space="0" w:color="000000"/>
            </w:tcBorders>
            <w:noWrap/>
            <w:hideMark/>
          </w:tcPr>
          <w:p w14:paraId="1DD7795B" w14:textId="66A9C2B7" w:rsidR="00156FDC" w:rsidRPr="005050F3" w:rsidRDefault="00FA72CF" w:rsidP="0077067A">
            <w:pPr>
              <w:pStyle w:val="ARtabletextright"/>
              <w:spacing w:before="50" w:after="30"/>
            </w:pPr>
            <w:r>
              <w:t>−</w:t>
            </w:r>
            <w:r w:rsidR="00156FDC" w:rsidRPr="005050F3">
              <w:t>1</w:t>
            </w:r>
          </w:p>
        </w:tc>
        <w:tc>
          <w:tcPr>
            <w:tcW w:w="836" w:type="dxa"/>
            <w:noWrap/>
            <w:hideMark/>
          </w:tcPr>
          <w:p w14:paraId="6E576887" w14:textId="77777777" w:rsidR="00156FDC" w:rsidRPr="005050F3" w:rsidRDefault="00156FDC" w:rsidP="0077067A">
            <w:pPr>
              <w:pStyle w:val="ARtabletextright"/>
              <w:spacing w:before="50" w:after="30"/>
            </w:pPr>
            <w:r w:rsidRPr="005050F3">
              <w:t>1</w:t>
            </w:r>
          </w:p>
        </w:tc>
        <w:tc>
          <w:tcPr>
            <w:tcW w:w="836" w:type="dxa"/>
            <w:noWrap/>
            <w:hideMark/>
          </w:tcPr>
          <w:p w14:paraId="2A520665" w14:textId="77777777" w:rsidR="00156FDC" w:rsidRPr="005050F3" w:rsidRDefault="00156FDC" w:rsidP="0077067A">
            <w:pPr>
              <w:pStyle w:val="ARtabletextright"/>
              <w:spacing w:before="50" w:after="30"/>
            </w:pPr>
            <w:r w:rsidRPr="005050F3">
              <w:t>0</w:t>
            </w:r>
          </w:p>
        </w:tc>
        <w:tc>
          <w:tcPr>
            <w:tcW w:w="836" w:type="dxa"/>
            <w:noWrap/>
            <w:hideMark/>
          </w:tcPr>
          <w:p w14:paraId="27CC1434" w14:textId="77777777" w:rsidR="00156FDC" w:rsidRPr="005050F3" w:rsidRDefault="00156FDC" w:rsidP="0077067A">
            <w:pPr>
              <w:pStyle w:val="ARtabletextright"/>
              <w:spacing w:before="50" w:after="30"/>
            </w:pPr>
            <w:r w:rsidRPr="005050F3">
              <w:t>0</w:t>
            </w:r>
          </w:p>
        </w:tc>
      </w:tr>
      <w:tr w:rsidR="00156FDC" w:rsidRPr="005050F3" w14:paraId="5178D78A" w14:textId="77777777" w:rsidTr="0077067A">
        <w:trPr>
          <w:cantSplit w:val="0"/>
          <w:trHeight w:val="255"/>
        </w:trPr>
        <w:tc>
          <w:tcPr>
            <w:tcW w:w="3969" w:type="dxa"/>
            <w:noWrap/>
            <w:hideMark/>
          </w:tcPr>
          <w:p w14:paraId="5609163D" w14:textId="77777777" w:rsidR="00156FDC" w:rsidRPr="005050F3" w:rsidRDefault="00156FDC" w:rsidP="0077067A">
            <w:pPr>
              <w:pStyle w:val="ARtabletext"/>
              <w:spacing w:before="50" w:after="30"/>
            </w:pPr>
            <w:r w:rsidRPr="005050F3">
              <w:t>Yarrawonga Health</w:t>
            </w:r>
          </w:p>
        </w:tc>
        <w:tc>
          <w:tcPr>
            <w:tcW w:w="836" w:type="dxa"/>
            <w:noWrap/>
            <w:hideMark/>
          </w:tcPr>
          <w:p w14:paraId="35A6F3D5" w14:textId="77777777" w:rsidR="00156FDC" w:rsidRPr="005050F3" w:rsidRDefault="00156FDC" w:rsidP="0077067A">
            <w:pPr>
              <w:pStyle w:val="ARtabletextright"/>
              <w:spacing w:before="50" w:after="30"/>
            </w:pPr>
            <w:r w:rsidRPr="005050F3">
              <w:t>1</w:t>
            </w:r>
          </w:p>
        </w:tc>
        <w:tc>
          <w:tcPr>
            <w:tcW w:w="836" w:type="dxa"/>
            <w:noWrap/>
            <w:hideMark/>
          </w:tcPr>
          <w:p w14:paraId="60E50BC4" w14:textId="77777777" w:rsidR="00156FDC" w:rsidRPr="005050F3" w:rsidRDefault="00156FDC" w:rsidP="0077067A">
            <w:pPr>
              <w:pStyle w:val="ARtabletextright"/>
              <w:spacing w:before="50" w:after="30"/>
            </w:pPr>
            <w:r w:rsidRPr="005050F3">
              <w:t>1</w:t>
            </w:r>
          </w:p>
        </w:tc>
        <w:tc>
          <w:tcPr>
            <w:tcW w:w="836" w:type="dxa"/>
            <w:tcBorders>
              <w:top w:val="single" w:sz="4" w:space="0" w:color="auto"/>
            </w:tcBorders>
            <w:noWrap/>
            <w:hideMark/>
          </w:tcPr>
          <w:p w14:paraId="4E0152CA"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23D20180" w14:textId="77777777" w:rsidR="00156FDC" w:rsidRPr="005050F3" w:rsidRDefault="00156FDC" w:rsidP="0077067A">
            <w:pPr>
              <w:pStyle w:val="ARtabletextright"/>
              <w:spacing w:before="50" w:after="30"/>
            </w:pPr>
            <w:r w:rsidRPr="005050F3">
              <w:t>2</w:t>
            </w:r>
          </w:p>
        </w:tc>
        <w:tc>
          <w:tcPr>
            <w:tcW w:w="836" w:type="dxa"/>
            <w:tcBorders>
              <w:left w:val="single" w:sz="4" w:space="0" w:color="000000"/>
            </w:tcBorders>
            <w:noWrap/>
            <w:hideMark/>
          </w:tcPr>
          <w:p w14:paraId="4A90577A" w14:textId="77777777" w:rsidR="00156FDC" w:rsidRPr="005050F3" w:rsidRDefault="00156FDC" w:rsidP="0077067A">
            <w:pPr>
              <w:pStyle w:val="ARtabletextright"/>
              <w:spacing w:before="50" w:after="30"/>
            </w:pPr>
            <w:r w:rsidRPr="005050F3">
              <w:t>1</w:t>
            </w:r>
          </w:p>
        </w:tc>
        <w:tc>
          <w:tcPr>
            <w:tcW w:w="836" w:type="dxa"/>
            <w:noWrap/>
            <w:hideMark/>
          </w:tcPr>
          <w:p w14:paraId="1E78C434" w14:textId="77777777" w:rsidR="00156FDC" w:rsidRPr="005050F3" w:rsidRDefault="00156FDC" w:rsidP="0077067A">
            <w:pPr>
              <w:pStyle w:val="ARtabletextright"/>
              <w:spacing w:before="50" w:after="30"/>
            </w:pPr>
            <w:r w:rsidRPr="005050F3">
              <w:t>1</w:t>
            </w:r>
          </w:p>
        </w:tc>
        <w:tc>
          <w:tcPr>
            <w:tcW w:w="836" w:type="dxa"/>
            <w:noWrap/>
            <w:hideMark/>
          </w:tcPr>
          <w:p w14:paraId="1A0BD36A"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2BA38C9" w14:textId="77777777" w:rsidR="00156FDC" w:rsidRPr="005050F3" w:rsidRDefault="00156FDC" w:rsidP="0077067A">
            <w:pPr>
              <w:pStyle w:val="ARtabletextright"/>
              <w:spacing w:before="50" w:after="30"/>
            </w:pPr>
            <w:r w:rsidRPr="005050F3">
              <w:t>2</w:t>
            </w:r>
          </w:p>
        </w:tc>
        <w:tc>
          <w:tcPr>
            <w:tcW w:w="836" w:type="dxa"/>
            <w:tcBorders>
              <w:left w:val="single" w:sz="4" w:space="0" w:color="000000"/>
            </w:tcBorders>
            <w:noWrap/>
            <w:hideMark/>
          </w:tcPr>
          <w:p w14:paraId="4D216876" w14:textId="77777777" w:rsidR="00156FDC" w:rsidRPr="005050F3" w:rsidRDefault="00156FDC" w:rsidP="0077067A">
            <w:pPr>
              <w:pStyle w:val="ARtabletextright"/>
              <w:spacing w:before="50" w:after="30"/>
            </w:pPr>
            <w:r w:rsidRPr="005050F3">
              <w:t>0</w:t>
            </w:r>
          </w:p>
        </w:tc>
        <w:tc>
          <w:tcPr>
            <w:tcW w:w="836" w:type="dxa"/>
            <w:noWrap/>
            <w:hideMark/>
          </w:tcPr>
          <w:p w14:paraId="15B150DC" w14:textId="77777777" w:rsidR="00156FDC" w:rsidRPr="005050F3" w:rsidRDefault="00156FDC" w:rsidP="0077067A">
            <w:pPr>
              <w:pStyle w:val="ARtabletextright"/>
              <w:spacing w:before="50" w:after="30"/>
            </w:pPr>
            <w:r w:rsidRPr="005050F3">
              <w:t>0</w:t>
            </w:r>
          </w:p>
        </w:tc>
        <w:tc>
          <w:tcPr>
            <w:tcW w:w="836" w:type="dxa"/>
            <w:noWrap/>
            <w:hideMark/>
          </w:tcPr>
          <w:p w14:paraId="4E77C12B" w14:textId="77777777" w:rsidR="00156FDC" w:rsidRPr="005050F3" w:rsidRDefault="00156FDC" w:rsidP="0077067A">
            <w:pPr>
              <w:pStyle w:val="ARtabletextright"/>
              <w:spacing w:before="50" w:after="30"/>
            </w:pPr>
            <w:r w:rsidRPr="005050F3">
              <w:t>0</w:t>
            </w:r>
          </w:p>
        </w:tc>
        <w:tc>
          <w:tcPr>
            <w:tcW w:w="836" w:type="dxa"/>
            <w:noWrap/>
            <w:hideMark/>
          </w:tcPr>
          <w:p w14:paraId="633A5FC4" w14:textId="77777777" w:rsidR="00156FDC" w:rsidRPr="005050F3" w:rsidRDefault="00156FDC" w:rsidP="0077067A">
            <w:pPr>
              <w:pStyle w:val="ARtabletextright"/>
              <w:spacing w:before="50" w:after="30"/>
            </w:pPr>
            <w:r w:rsidRPr="005050F3">
              <w:t>0</w:t>
            </w:r>
          </w:p>
        </w:tc>
      </w:tr>
      <w:tr w:rsidR="00156FDC" w:rsidRPr="005050F3" w14:paraId="63B9FF71" w14:textId="77777777" w:rsidTr="0077067A">
        <w:trPr>
          <w:cantSplit w:val="0"/>
          <w:trHeight w:val="270"/>
        </w:trPr>
        <w:tc>
          <w:tcPr>
            <w:tcW w:w="3969" w:type="dxa"/>
            <w:noWrap/>
            <w:hideMark/>
          </w:tcPr>
          <w:p w14:paraId="23F1B435" w14:textId="77777777" w:rsidR="00156FDC" w:rsidRPr="005050F3" w:rsidRDefault="00156FDC" w:rsidP="0077067A">
            <w:pPr>
              <w:pStyle w:val="ARtabletext"/>
              <w:spacing w:before="50" w:after="30"/>
            </w:pPr>
            <w:r w:rsidRPr="005050F3">
              <w:t>Yea and District Memorial Hospital</w:t>
            </w:r>
          </w:p>
        </w:tc>
        <w:tc>
          <w:tcPr>
            <w:tcW w:w="836" w:type="dxa"/>
            <w:noWrap/>
            <w:hideMark/>
          </w:tcPr>
          <w:p w14:paraId="0A9B1E63" w14:textId="77777777" w:rsidR="00156FDC" w:rsidRPr="005050F3" w:rsidRDefault="00156FDC" w:rsidP="0077067A">
            <w:pPr>
              <w:pStyle w:val="ARtabletextright"/>
              <w:spacing w:before="50" w:after="30"/>
            </w:pPr>
            <w:r w:rsidRPr="005050F3">
              <w:t>0</w:t>
            </w:r>
          </w:p>
        </w:tc>
        <w:tc>
          <w:tcPr>
            <w:tcW w:w="836" w:type="dxa"/>
            <w:noWrap/>
            <w:hideMark/>
          </w:tcPr>
          <w:p w14:paraId="7BE97A3A" w14:textId="77777777" w:rsidR="00156FDC" w:rsidRPr="005050F3" w:rsidRDefault="00156FDC" w:rsidP="0077067A">
            <w:pPr>
              <w:pStyle w:val="ARtabletextright"/>
              <w:spacing w:before="50" w:after="30"/>
            </w:pPr>
            <w:r w:rsidRPr="005050F3">
              <w:t>0</w:t>
            </w:r>
          </w:p>
        </w:tc>
        <w:tc>
          <w:tcPr>
            <w:tcW w:w="836" w:type="dxa"/>
            <w:tcBorders>
              <w:top w:val="single" w:sz="4" w:space="0" w:color="auto"/>
            </w:tcBorders>
            <w:noWrap/>
            <w:hideMark/>
          </w:tcPr>
          <w:p w14:paraId="47030119"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594E09DA" w14:textId="77777777" w:rsidR="00156FDC" w:rsidRPr="005050F3" w:rsidRDefault="00156FDC" w:rsidP="0077067A">
            <w:pPr>
              <w:pStyle w:val="ARtabletextright"/>
              <w:spacing w:before="50" w:after="30"/>
            </w:pPr>
            <w:r w:rsidRPr="005050F3">
              <w:t>0</w:t>
            </w:r>
          </w:p>
        </w:tc>
        <w:tc>
          <w:tcPr>
            <w:tcW w:w="836" w:type="dxa"/>
            <w:tcBorders>
              <w:left w:val="single" w:sz="4" w:space="0" w:color="000000"/>
            </w:tcBorders>
            <w:noWrap/>
            <w:hideMark/>
          </w:tcPr>
          <w:p w14:paraId="21DCCE02" w14:textId="77777777" w:rsidR="00156FDC" w:rsidRPr="005050F3" w:rsidRDefault="00156FDC" w:rsidP="0077067A">
            <w:pPr>
              <w:pStyle w:val="ARtabletextright"/>
              <w:spacing w:before="50" w:after="30"/>
            </w:pPr>
            <w:r w:rsidRPr="005050F3">
              <w:t>0</w:t>
            </w:r>
          </w:p>
        </w:tc>
        <w:tc>
          <w:tcPr>
            <w:tcW w:w="836" w:type="dxa"/>
            <w:noWrap/>
            <w:hideMark/>
          </w:tcPr>
          <w:p w14:paraId="2ED7E617" w14:textId="77777777" w:rsidR="00156FDC" w:rsidRPr="005050F3" w:rsidRDefault="00156FDC" w:rsidP="0077067A">
            <w:pPr>
              <w:pStyle w:val="ARtabletextright"/>
              <w:spacing w:before="50" w:after="30"/>
            </w:pPr>
            <w:r w:rsidRPr="005050F3">
              <w:t>0</w:t>
            </w:r>
          </w:p>
        </w:tc>
        <w:tc>
          <w:tcPr>
            <w:tcW w:w="836" w:type="dxa"/>
            <w:noWrap/>
            <w:hideMark/>
          </w:tcPr>
          <w:p w14:paraId="2BA2BF26" w14:textId="77777777" w:rsidR="00156FDC" w:rsidRPr="005050F3" w:rsidRDefault="00156FDC" w:rsidP="0077067A">
            <w:pPr>
              <w:pStyle w:val="ARtabletextright"/>
              <w:spacing w:before="50" w:after="30"/>
            </w:pPr>
            <w:r w:rsidRPr="005050F3">
              <w:t>0</w:t>
            </w:r>
          </w:p>
        </w:tc>
        <w:tc>
          <w:tcPr>
            <w:tcW w:w="836" w:type="dxa"/>
            <w:tcBorders>
              <w:top w:val="single" w:sz="4" w:space="0" w:color="auto"/>
              <w:right w:val="single" w:sz="4" w:space="0" w:color="000000"/>
            </w:tcBorders>
            <w:noWrap/>
            <w:hideMark/>
          </w:tcPr>
          <w:p w14:paraId="1D8BD086" w14:textId="77777777" w:rsidR="00156FDC" w:rsidRPr="005050F3" w:rsidRDefault="00156FDC" w:rsidP="0077067A">
            <w:pPr>
              <w:pStyle w:val="ARtabletextright"/>
              <w:spacing w:before="50" w:after="30"/>
            </w:pPr>
            <w:r w:rsidRPr="005050F3">
              <w:t>0</w:t>
            </w:r>
          </w:p>
        </w:tc>
        <w:tc>
          <w:tcPr>
            <w:tcW w:w="836" w:type="dxa"/>
            <w:tcBorders>
              <w:left w:val="single" w:sz="4" w:space="0" w:color="000000"/>
            </w:tcBorders>
            <w:noWrap/>
            <w:hideMark/>
          </w:tcPr>
          <w:p w14:paraId="17CB759B" w14:textId="77777777" w:rsidR="00156FDC" w:rsidRPr="005050F3" w:rsidRDefault="00156FDC" w:rsidP="0077067A">
            <w:pPr>
              <w:pStyle w:val="ARtabletextright"/>
              <w:spacing w:before="50" w:after="30"/>
            </w:pPr>
            <w:r w:rsidRPr="005050F3">
              <w:t>0</w:t>
            </w:r>
          </w:p>
        </w:tc>
        <w:tc>
          <w:tcPr>
            <w:tcW w:w="836" w:type="dxa"/>
            <w:noWrap/>
            <w:hideMark/>
          </w:tcPr>
          <w:p w14:paraId="736B7560" w14:textId="77777777" w:rsidR="00156FDC" w:rsidRPr="005050F3" w:rsidRDefault="00156FDC" w:rsidP="0077067A">
            <w:pPr>
              <w:pStyle w:val="ARtabletextright"/>
              <w:spacing w:before="50" w:after="30"/>
            </w:pPr>
            <w:r w:rsidRPr="005050F3">
              <w:t>0</w:t>
            </w:r>
          </w:p>
        </w:tc>
        <w:tc>
          <w:tcPr>
            <w:tcW w:w="836" w:type="dxa"/>
            <w:noWrap/>
            <w:hideMark/>
          </w:tcPr>
          <w:p w14:paraId="7C82DB4F" w14:textId="77777777" w:rsidR="00156FDC" w:rsidRPr="005050F3" w:rsidRDefault="00156FDC" w:rsidP="0077067A">
            <w:pPr>
              <w:pStyle w:val="ARtabletextright"/>
              <w:spacing w:before="50" w:after="30"/>
            </w:pPr>
            <w:r w:rsidRPr="005050F3">
              <w:t>0</w:t>
            </w:r>
          </w:p>
        </w:tc>
        <w:tc>
          <w:tcPr>
            <w:tcW w:w="836" w:type="dxa"/>
            <w:noWrap/>
            <w:hideMark/>
          </w:tcPr>
          <w:p w14:paraId="43245412" w14:textId="77777777" w:rsidR="00156FDC" w:rsidRPr="005050F3" w:rsidRDefault="00156FDC" w:rsidP="0077067A">
            <w:pPr>
              <w:pStyle w:val="ARtabletextright"/>
              <w:spacing w:before="50" w:after="30"/>
            </w:pPr>
            <w:r w:rsidRPr="005050F3">
              <w:t>0</w:t>
            </w:r>
          </w:p>
        </w:tc>
      </w:tr>
      <w:tr w:rsidR="00156FDC" w:rsidRPr="005050F3" w14:paraId="367A5A3F" w14:textId="77777777" w:rsidTr="0077067A">
        <w:trPr>
          <w:cantSplit w:val="0"/>
          <w:trHeight w:val="270"/>
        </w:trPr>
        <w:tc>
          <w:tcPr>
            <w:tcW w:w="3969" w:type="dxa"/>
            <w:noWrap/>
            <w:hideMark/>
          </w:tcPr>
          <w:p w14:paraId="71898823" w14:textId="77777777" w:rsidR="00156FDC" w:rsidRPr="005050F3" w:rsidRDefault="00156FDC" w:rsidP="006E3A00">
            <w:pPr>
              <w:pStyle w:val="ARtabletextbold"/>
              <w:spacing w:before="50" w:after="30"/>
            </w:pPr>
            <w:r w:rsidRPr="005050F3">
              <w:t>Total</w:t>
            </w:r>
          </w:p>
        </w:tc>
        <w:tc>
          <w:tcPr>
            <w:tcW w:w="836" w:type="dxa"/>
            <w:noWrap/>
            <w:hideMark/>
          </w:tcPr>
          <w:p w14:paraId="44388ABF" w14:textId="77777777" w:rsidR="00156FDC" w:rsidRPr="005050F3" w:rsidRDefault="00156FDC" w:rsidP="006E3A00">
            <w:pPr>
              <w:pStyle w:val="ARtabletextrightbold"/>
              <w:spacing w:before="50" w:after="30"/>
            </w:pPr>
            <w:r w:rsidRPr="005050F3">
              <w:t>149</w:t>
            </w:r>
          </w:p>
        </w:tc>
        <w:tc>
          <w:tcPr>
            <w:tcW w:w="836" w:type="dxa"/>
            <w:noWrap/>
            <w:hideMark/>
          </w:tcPr>
          <w:p w14:paraId="482F87BF" w14:textId="77777777" w:rsidR="00156FDC" w:rsidRPr="005050F3" w:rsidRDefault="00156FDC" w:rsidP="006E3A00">
            <w:pPr>
              <w:pStyle w:val="ARtabletextrightbold"/>
              <w:spacing w:before="50" w:after="30"/>
            </w:pPr>
            <w:r w:rsidRPr="005050F3">
              <w:t>117</w:t>
            </w:r>
          </w:p>
        </w:tc>
        <w:tc>
          <w:tcPr>
            <w:tcW w:w="836" w:type="dxa"/>
            <w:tcBorders>
              <w:top w:val="single" w:sz="4" w:space="0" w:color="auto"/>
            </w:tcBorders>
            <w:noWrap/>
            <w:hideMark/>
          </w:tcPr>
          <w:p w14:paraId="6277735D" w14:textId="77777777" w:rsidR="00156FDC" w:rsidRPr="005050F3" w:rsidRDefault="00156FDC" w:rsidP="006E3A00">
            <w:pPr>
              <w:pStyle w:val="ARtabletextrightbold"/>
              <w:spacing w:before="50" w:after="30"/>
            </w:pPr>
            <w:r w:rsidRPr="005050F3">
              <w:t>0</w:t>
            </w:r>
          </w:p>
        </w:tc>
        <w:tc>
          <w:tcPr>
            <w:tcW w:w="836" w:type="dxa"/>
            <w:tcBorders>
              <w:top w:val="single" w:sz="4" w:space="0" w:color="auto"/>
              <w:right w:val="single" w:sz="4" w:space="0" w:color="000000"/>
            </w:tcBorders>
            <w:noWrap/>
            <w:hideMark/>
          </w:tcPr>
          <w:p w14:paraId="1B91B3D8" w14:textId="77777777" w:rsidR="00156FDC" w:rsidRPr="005050F3" w:rsidRDefault="00156FDC" w:rsidP="006E3A00">
            <w:pPr>
              <w:pStyle w:val="ARtabletextrightbold"/>
              <w:spacing w:before="50" w:after="30"/>
            </w:pPr>
            <w:r w:rsidRPr="005050F3">
              <w:t>266</w:t>
            </w:r>
          </w:p>
        </w:tc>
        <w:tc>
          <w:tcPr>
            <w:tcW w:w="836" w:type="dxa"/>
            <w:tcBorders>
              <w:left w:val="single" w:sz="4" w:space="0" w:color="000000"/>
            </w:tcBorders>
            <w:noWrap/>
            <w:hideMark/>
          </w:tcPr>
          <w:p w14:paraId="3FAD1F04" w14:textId="77777777" w:rsidR="00156FDC" w:rsidRPr="005050F3" w:rsidRDefault="00156FDC" w:rsidP="006E3A00">
            <w:pPr>
              <w:pStyle w:val="ARtabletextrightbold"/>
              <w:spacing w:before="50" w:after="30"/>
            </w:pPr>
            <w:r w:rsidRPr="005050F3">
              <w:t>148</w:t>
            </w:r>
          </w:p>
        </w:tc>
        <w:tc>
          <w:tcPr>
            <w:tcW w:w="836" w:type="dxa"/>
            <w:noWrap/>
            <w:hideMark/>
          </w:tcPr>
          <w:p w14:paraId="6F8BA31C" w14:textId="77777777" w:rsidR="00156FDC" w:rsidRPr="005050F3" w:rsidRDefault="00156FDC" w:rsidP="006E3A00">
            <w:pPr>
              <w:pStyle w:val="ARtabletextrightbold"/>
              <w:spacing w:before="50" w:after="30"/>
            </w:pPr>
            <w:r w:rsidRPr="005050F3">
              <w:t>128</w:t>
            </w:r>
          </w:p>
        </w:tc>
        <w:tc>
          <w:tcPr>
            <w:tcW w:w="836" w:type="dxa"/>
            <w:noWrap/>
            <w:hideMark/>
          </w:tcPr>
          <w:p w14:paraId="5AFD4E06" w14:textId="77777777" w:rsidR="00156FDC" w:rsidRPr="005050F3" w:rsidRDefault="00156FDC" w:rsidP="006E3A00">
            <w:pPr>
              <w:pStyle w:val="ARtabletextrightbold"/>
              <w:spacing w:before="50" w:after="30"/>
            </w:pPr>
            <w:r w:rsidRPr="005050F3">
              <w:t>0</w:t>
            </w:r>
          </w:p>
        </w:tc>
        <w:tc>
          <w:tcPr>
            <w:tcW w:w="836" w:type="dxa"/>
            <w:tcBorders>
              <w:top w:val="single" w:sz="4" w:space="0" w:color="auto"/>
              <w:right w:val="single" w:sz="4" w:space="0" w:color="000000"/>
            </w:tcBorders>
            <w:noWrap/>
            <w:hideMark/>
          </w:tcPr>
          <w:p w14:paraId="42A728C0" w14:textId="77777777" w:rsidR="00156FDC" w:rsidRPr="005050F3" w:rsidRDefault="00156FDC" w:rsidP="006E3A00">
            <w:pPr>
              <w:pStyle w:val="ARtabletextrightbold"/>
              <w:spacing w:before="50" w:after="30"/>
            </w:pPr>
            <w:r w:rsidRPr="005050F3">
              <w:t>276</w:t>
            </w:r>
          </w:p>
        </w:tc>
        <w:tc>
          <w:tcPr>
            <w:tcW w:w="836" w:type="dxa"/>
            <w:tcBorders>
              <w:left w:val="single" w:sz="4" w:space="0" w:color="000000"/>
            </w:tcBorders>
            <w:noWrap/>
            <w:hideMark/>
          </w:tcPr>
          <w:p w14:paraId="21D32F29" w14:textId="77777777" w:rsidR="00156FDC" w:rsidRPr="005050F3" w:rsidRDefault="00156FDC" w:rsidP="006E3A00">
            <w:pPr>
              <w:pStyle w:val="ARtabletextrightbold"/>
              <w:spacing w:before="50" w:after="30"/>
            </w:pPr>
            <w:r w:rsidRPr="005050F3">
              <w:t>1</w:t>
            </w:r>
          </w:p>
        </w:tc>
        <w:tc>
          <w:tcPr>
            <w:tcW w:w="836" w:type="dxa"/>
            <w:noWrap/>
            <w:hideMark/>
          </w:tcPr>
          <w:p w14:paraId="3DC4F077" w14:textId="21541372" w:rsidR="00156FDC" w:rsidRPr="005050F3" w:rsidRDefault="00FA72CF" w:rsidP="006E3A00">
            <w:pPr>
              <w:pStyle w:val="ARtabletextrightbold"/>
              <w:spacing w:before="50" w:after="30"/>
            </w:pPr>
            <w:r>
              <w:t>−</w:t>
            </w:r>
            <w:r w:rsidR="00156FDC" w:rsidRPr="005050F3">
              <w:t>11</w:t>
            </w:r>
          </w:p>
        </w:tc>
        <w:tc>
          <w:tcPr>
            <w:tcW w:w="836" w:type="dxa"/>
            <w:noWrap/>
            <w:hideMark/>
          </w:tcPr>
          <w:p w14:paraId="4749E464" w14:textId="77777777" w:rsidR="00156FDC" w:rsidRPr="005050F3" w:rsidRDefault="00156FDC" w:rsidP="006E3A00">
            <w:pPr>
              <w:pStyle w:val="ARtabletextrightbold"/>
              <w:spacing w:before="50" w:after="30"/>
            </w:pPr>
            <w:r w:rsidRPr="005050F3">
              <w:t>0</w:t>
            </w:r>
          </w:p>
        </w:tc>
        <w:tc>
          <w:tcPr>
            <w:tcW w:w="836" w:type="dxa"/>
            <w:noWrap/>
            <w:hideMark/>
          </w:tcPr>
          <w:p w14:paraId="78CB9E07" w14:textId="4C9D79C6" w:rsidR="00156FDC" w:rsidRPr="005050F3" w:rsidRDefault="00FA72CF" w:rsidP="006E3A00">
            <w:pPr>
              <w:pStyle w:val="ARtabletextrightbold"/>
              <w:spacing w:before="50" w:after="30"/>
            </w:pPr>
            <w:r>
              <w:t>−</w:t>
            </w:r>
            <w:r w:rsidR="00156FDC" w:rsidRPr="005050F3">
              <w:t>10</w:t>
            </w:r>
          </w:p>
        </w:tc>
      </w:tr>
    </w:tbl>
    <w:p w14:paraId="095C2CA4" w14:textId="77777777" w:rsidR="00814451" w:rsidRDefault="00814451" w:rsidP="00101E5D">
      <w:pPr>
        <w:pStyle w:val="ARbody"/>
      </w:pPr>
    </w:p>
    <w:p w14:paraId="5A50A3EA" w14:textId="77777777" w:rsidR="001A70B8" w:rsidRDefault="001A70B8" w:rsidP="00101E5D">
      <w:pPr>
        <w:pStyle w:val="ARbody"/>
        <w:sectPr w:rsidR="001A70B8" w:rsidSect="00814451">
          <w:footnotePr>
            <w:numFmt w:val="lowerLetter"/>
            <w:numRestart w:val="eachPage"/>
          </w:footnotePr>
          <w:endnotePr>
            <w:numFmt w:val="decimal"/>
          </w:endnotePr>
          <w:pgSz w:w="16840" w:h="11900" w:orient="landscape" w:code="9"/>
          <w:pgMar w:top="1134" w:right="1985" w:bottom="1134" w:left="851" w:header="510" w:footer="340" w:gutter="0"/>
          <w:cols w:space="454"/>
          <w:docGrid w:linePitch="299"/>
        </w:sectPr>
      </w:pPr>
    </w:p>
    <w:p w14:paraId="62AD3A92" w14:textId="77777777" w:rsidR="001A70B8" w:rsidRDefault="001A70B8" w:rsidP="00101E5D">
      <w:pPr>
        <w:pStyle w:val="Heading2"/>
        <w:shd w:val="clear" w:color="auto" w:fill="FFFFFF" w:themeFill="background1"/>
        <w:spacing w:before="0"/>
        <w:rPr>
          <w:rFonts w:cs="Arial"/>
        </w:rPr>
      </w:pPr>
      <w:bookmarkStart w:id="282" w:name="_Workforce_inclusion"/>
      <w:bookmarkStart w:id="283" w:name="_Toc85121243"/>
      <w:bookmarkStart w:id="284" w:name="_Toc85121612"/>
      <w:bookmarkStart w:id="285" w:name="_Toc102734489"/>
      <w:bookmarkStart w:id="286" w:name="_Toc113702925"/>
      <w:bookmarkEnd w:id="282"/>
      <w:r w:rsidRPr="00B64216">
        <w:rPr>
          <w:rFonts w:cs="Arial"/>
        </w:rPr>
        <w:t>Workforce</w:t>
      </w:r>
      <w:r>
        <w:rPr>
          <w:rFonts w:cs="Arial"/>
        </w:rPr>
        <w:t xml:space="preserve"> </w:t>
      </w:r>
      <w:r w:rsidRPr="00B64216">
        <w:rPr>
          <w:rFonts w:cs="Arial"/>
        </w:rPr>
        <w:t>inclusion</w:t>
      </w:r>
      <w:bookmarkEnd w:id="283"/>
      <w:bookmarkEnd w:id="284"/>
      <w:bookmarkEnd w:id="285"/>
      <w:bookmarkEnd w:id="286"/>
    </w:p>
    <w:p w14:paraId="2AACE8D4" w14:textId="77777777" w:rsidR="001A70B8" w:rsidRDefault="001A70B8" w:rsidP="00101E5D">
      <w:pPr>
        <w:pStyle w:val="ARbody"/>
        <w:shd w:val="clear" w:color="auto" w:fill="FFFFFF" w:themeFill="background1"/>
      </w:pPr>
      <w:r w:rsidRPr="00490B49">
        <w:t>The</w:t>
      </w:r>
      <w:r>
        <w:t xml:space="preserve"> </w:t>
      </w:r>
      <w:r w:rsidRPr="00490B49">
        <w:t>department</w:t>
      </w:r>
      <w:r>
        <w:t xml:space="preserve"> </w:t>
      </w:r>
      <w:r w:rsidRPr="00490B49">
        <w:t>remains</w:t>
      </w:r>
      <w:r>
        <w:t xml:space="preserve"> </w:t>
      </w:r>
      <w:r w:rsidRPr="00490B49">
        <w:t>committed</w:t>
      </w:r>
      <w:r>
        <w:t xml:space="preserve"> </w:t>
      </w:r>
      <w:r w:rsidRPr="00490B49">
        <w:t>to</w:t>
      </w:r>
      <w:r>
        <w:t xml:space="preserve"> </w:t>
      </w:r>
      <w:r w:rsidRPr="00490B49">
        <w:t>creating</w:t>
      </w:r>
      <w:r>
        <w:t xml:space="preserve"> </w:t>
      </w:r>
      <w:r w:rsidRPr="00490B49">
        <w:t>a</w:t>
      </w:r>
      <w:r>
        <w:t xml:space="preserve"> </w:t>
      </w:r>
      <w:r w:rsidRPr="00490B49">
        <w:t>workplace</w:t>
      </w:r>
      <w:r>
        <w:t xml:space="preserve"> </w:t>
      </w:r>
      <w:r w:rsidRPr="00490B49">
        <w:t>that</w:t>
      </w:r>
      <w:r>
        <w:t xml:space="preserve"> </w:t>
      </w:r>
      <w:r w:rsidRPr="00490B49">
        <w:t>reflects</w:t>
      </w:r>
      <w:r>
        <w:t xml:space="preserve"> </w:t>
      </w:r>
      <w:r w:rsidRPr="00490B49">
        <w:t>the</w:t>
      </w:r>
      <w:r>
        <w:t xml:space="preserve"> </w:t>
      </w:r>
      <w:r w:rsidRPr="00490B49">
        <w:t>significant</w:t>
      </w:r>
      <w:r>
        <w:t xml:space="preserve"> </w:t>
      </w:r>
      <w:r w:rsidRPr="00490B49">
        <w:t>diversity</w:t>
      </w:r>
      <w:r>
        <w:t xml:space="preserve"> of the </w:t>
      </w:r>
      <w:r w:rsidRPr="00490B49">
        <w:t>Victorian</w:t>
      </w:r>
      <w:r>
        <w:t xml:space="preserve"> </w:t>
      </w:r>
      <w:r w:rsidRPr="00490B49">
        <w:t>community.</w:t>
      </w:r>
    </w:p>
    <w:p w14:paraId="466CD52C" w14:textId="3155BE5F" w:rsidR="001A70B8" w:rsidRPr="00490B49" w:rsidRDefault="008366B8" w:rsidP="00101E5D">
      <w:pPr>
        <w:pStyle w:val="ARbody"/>
        <w:shd w:val="clear" w:color="auto" w:fill="FFFFFF" w:themeFill="background1"/>
      </w:pPr>
      <w:r w:rsidRPr="00490B49">
        <w:t>The</w:t>
      </w:r>
      <w:r>
        <w:t xml:space="preserve"> </w:t>
      </w:r>
      <w:r w:rsidRPr="00490B49">
        <w:t>department</w:t>
      </w:r>
      <w:r>
        <w:t xml:space="preserve"> </w:t>
      </w:r>
      <w:r w:rsidR="001A70B8" w:rsidRPr="00490B49">
        <w:t>understand</w:t>
      </w:r>
      <w:r w:rsidR="00D069D6">
        <w:t xml:space="preserve">s </w:t>
      </w:r>
      <w:r w:rsidR="001A70B8" w:rsidRPr="00490B49">
        <w:t>the</w:t>
      </w:r>
      <w:r w:rsidR="001A70B8">
        <w:t xml:space="preserve"> </w:t>
      </w:r>
      <w:r w:rsidR="001A70B8" w:rsidRPr="00490B49">
        <w:t>unique</w:t>
      </w:r>
      <w:r w:rsidR="001A70B8">
        <w:t xml:space="preserve"> </w:t>
      </w:r>
      <w:r w:rsidR="001A70B8" w:rsidRPr="00490B49">
        <w:t>and</w:t>
      </w:r>
      <w:r w:rsidR="001A70B8">
        <w:t xml:space="preserve"> </w:t>
      </w:r>
      <w:r w:rsidR="001A70B8" w:rsidRPr="00490B49">
        <w:t>varied</w:t>
      </w:r>
      <w:r w:rsidR="000D06B0">
        <w:t> </w:t>
      </w:r>
      <w:r w:rsidR="001A70B8" w:rsidRPr="00490B49">
        <w:t>challenges</w:t>
      </w:r>
      <w:r w:rsidR="001A70B8">
        <w:t xml:space="preserve"> of </w:t>
      </w:r>
      <w:r w:rsidR="00053F39">
        <w:t xml:space="preserve">a </w:t>
      </w:r>
      <w:r w:rsidR="001A70B8" w:rsidRPr="00490B49">
        <w:t>diverse</w:t>
      </w:r>
      <w:r w:rsidR="001A70B8">
        <w:t xml:space="preserve"> </w:t>
      </w:r>
      <w:r w:rsidR="001A70B8" w:rsidRPr="00490B49">
        <w:t>workforce</w:t>
      </w:r>
      <w:r w:rsidR="001A70B8">
        <w:t xml:space="preserve"> </w:t>
      </w:r>
      <w:r w:rsidR="001A70B8" w:rsidRPr="00490B49">
        <w:t>and</w:t>
      </w:r>
      <w:r w:rsidR="001A70B8">
        <w:t xml:space="preserve"> </w:t>
      </w:r>
      <w:r w:rsidR="001A70B8" w:rsidRPr="00490B49">
        <w:t>their</w:t>
      </w:r>
      <w:r w:rsidR="001A70B8">
        <w:t xml:space="preserve"> </w:t>
      </w:r>
      <w:r w:rsidR="001A70B8" w:rsidRPr="00490B49">
        <w:t>families,</w:t>
      </w:r>
      <w:r w:rsidR="001A70B8">
        <w:t xml:space="preserve"> </w:t>
      </w:r>
      <w:r w:rsidR="001A70B8" w:rsidRPr="00490B49">
        <w:t>and</w:t>
      </w:r>
      <w:r w:rsidR="001A70B8">
        <w:t xml:space="preserve"> </w:t>
      </w:r>
      <w:r w:rsidR="00D069D6">
        <w:t>is</w:t>
      </w:r>
      <w:r w:rsidR="001A70B8">
        <w:t xml:space="preserve"> </w:t>
      </w:r>
      <w:r w:rsidR="001A70B8" w:rsidRPr="00490B49">
        <w:t>committed</w:t>
      </w:r>
      <w:r w:rsidR="001A70B8">
        <w:t xml:space="preserve"> </w:t>
      </w:r>
      <w:r w:rsidR="001A70B8" w:rsidRPr="00490B49">
        <w:t>to</w:t>
      </w:r>
      <w:r w:rsidR="001A70B8">
        <w:t xml:space="preserve"> </w:t>
      </w:r>
      <w:r w:rsidR="001A70B8" w:rsidRPr="00490B49">
        <w:t>removing</w:t>
      </w:r>
      <w:r w:rsidR="001A70B8">
        <w:t xml:space="preserve"> </w:t>
      </w:r>
      <w:r w:rsidR="001A70B8" w:rsidRPr="00490B49">
        <w:t>barriers</w:t>
      </w:r>
      <w:r w:rsidR="001A70B8">
        <w:t xml:space="preserve"> </w:t>
      </w:r>
      <w:r w:rsidR="001A70B8" w:rsidRPr="00490B49">
        <w:t>and</w:t>
      </w:r>
      <w:r w:rsidR="001C7FAA">
        <w:t> </w:t>
      </w:r>
      <w:r w:rsidR="001A70B8" w:rsidRPr="00490B49">
        <w:t>achieving</w:t>
      </w:r>
      <w:r w:rsidR="001A70B8">
        <w:t xml:space="preserve"> </w:t>
      </w:r>
      <w:r w:rsidR="001A70B8" w:rsidRPr="00490B49">
        <w:t>equality,</w:t>
      </w:r>
      <w:r w:rsidR="001A70B8">
        <w:t xml:space="preserve"> </w:t>
      </w:r>
      <w:r w:rsidR="001A70B8" w:rsidRPr="00490B49">
        <w:t>fairness</w:t>
      </w:r>
      <w:r w:rsidR="001A70B8">
        <w:t xml:space="preserve"> </w:t>
      </w:r>
      <w:r w:rsidR="001A70B8" w:rsidRPr="00490B49">
        <w:t>and</w:t>
      </w:r>
      <w:r w:rsidR="001A70B8">
        <w:t xml:space="preserve"> </w:t>
      </w:r>
      <w:r w:rsidR="001A70B8" w:rsidRPr="00490B49">
        <w:t>inclusion.</w:t>
      </w:r>
      <w:r w:rsidR="001A70B8">
        <w:t xml:space="preserve"> </w:t>
      </w:r>
      <w:r w:rsidR="00D069D6" w:rsidRPr="00490B49">
        <w:t>The</w:t>
      </w:r>
      <w:r w:rsidR="00D069D6">
        <w:t xml:space="preserve"> </w:t>
      </w:r>
      <w:r w:rsidR="00D069D6" w:rsidRPr="00490B49">
        <w:t>department</w:t>
      </w:r>
      <w:r w:rsidR="00D069D6">
        <w:t xml:space="preserve"> also </w:t>
      </w:r>
      <w:r w:rsidR="001A70B8" w:rsidRPr="00490B49">
        <w:t>aim</w:t>
      </w:r>
      <w:r w:rsidR="00D069D6">
        <w:t>s</w:t>
      </w:r>
      <w:r w:rsidR="001A70B8">
        <w:t xml:space="preserve"> </w:t>
      </w:r>
      <w:r w:rsidR="001A70B8" w:rsidRPr="00490B49">
        <w:t>to</w:t>
      </w:r>
      <w:r w:rsidR="001A70B8">
        <w:t xml:space="preserve"> </w:t>
      </w:r>
      <w:r w:rsidR="001A70B8" w:rsidRPr="00490B49">
        <w:t>create</w:t>
      </w:r>
      <w:r w:rsidR="001A70B8">
        <w:t xml:space="preserve"> </w:t>
      </w:r>
      <w:r w:rsidR="001A70B8" w:rsidRPr="00490B49">
        <w:t>a</w:t>
      </w:r>
      <w:r w:rsidR="001A70B8">
        <w:t xml:space="preserve"> </w:t>
      </w:r>
      <w:r w:rsidR="001A70B8" w:rsidRPr="00490B49">
        <w:t>working</w:t>
      </w:r>
      <w:r w:rsidR="001A70B8">
        <w:t xml:space="preserve"> </w:t>
      </w:r>
      <w:r w:rsidR="001A70B8" w:rsidRPr="00490B49">
        <w:t>culture</w:t>
      </w:r>
      <w:r w:rsidR="001A70B8">
        <w:t xml:space="preserve"> </w:t>
      </w:r>
      <w:r w:rsidR="001A70B8" w:rsidRPr="00490B49">
        <w:t>and</w:t>
      </w:r>
      <w:r w:rsidR="001A70B8">
        <w:t xml:space="preserve"> </w:t>
      </w:r>
      <w:r w:rsidR="001A70B8" w:rsidRPr="00490B49">
        <w:t>environment</w:t>
      </w:r>
      <w:r w:rsidR="001A70B8">
        <w:t xml:space="preserve"> </w:t>
      </w:r>
      <w:r w:rsidR="001A70B8" w:rsidRPr="00490B49">
        <w:t>that</w:t>
      </w:r>
      <w:r w:rsidR="001A70B8">
        <w:t xml:space="preserve"> </w:t>
      </w:r>
      <w:r w:rsidR="001A70B8" w:rsidRPr="00490B49">
        <w:t>recognises,</w:t>
      </w:r>
      <w:r w:rsidR="001A70B8">
        <w:t xml:space="preserve"> </w:t>
      </w:r>
      <w:r w:rsidR="001A70B8" w:rsidRPr="00490B49">
        <w:t>appreciates</w:t>
      </w:r>
      <w:r w:rsidR="001A70B8">
        <w:t xml:space="preserve"> </w:t>
      </w:r>
      <w:r w:rsidR="001A70B8" w:rsidRPr="00490B49">
        <w:t>and</w:t>
      </w:r>
      <w:r w:rsidR="001A70B8">
        <w:t xml:space="preserve"> </w:t>
      </w:r>
      <w:r w:rsidR="001A70B8" w:rsidRPr="00490B49">
        <w:t>effectively</w:t>
      </w:r>
      <w:r w:rsidR="001A70B8">
        <w:t xml:space="preserve"> </w:t>
      </w:r>
      <w:r w:rsidR="001A70B8" w:rsidRPr="00490B49">
        <w:t>utilises</w:t>
      </w:r>
      <w:r w:rsidR="001A70B8">
        <w:t xml:space="preserve"> </w:t>
      </w:r>
      <w:r w:rsidR="001A70B8" w:rsidRPr="00490B49">
        <w:t>the</w:t>
      </w:r>
      <w:r w:rsidR="001A70B8">
        <w:t xml:space="preserve"> </w:t>
      </w:r>
      <w:r w:rsidR="001A70B8" w:rsidRPr="00490B49">
        <w:t>talents,</w:t>
      </w:r>
      <w:r w:rsidR="001A70B8">
        <w:t xml:space="preserve"> </w:t>
      </w:r>
      <w:r w:rsidR="001A70B8" w:rsidRPr="00490B49">
        <w:t>skills</w:t>
      </w:r>
      <w:r w:rsidR="001A70B8">
        <w:t xml:space="preserve"> </w:t>
      </w:r>
      <w:r w:rsidR="001A70B8" w:rsidRPr="00490B49">
        <w:t>and</w:t>
      </w:r>
      <w:r w:rsidR="001A70B8">
        <w:t xml:space="preserve"> </w:t>
      </w:r>
      <w:r w:rsidR="001A70B8" w:rsidRPr="00490B49">
        <w:t>unique</w:t>
      </w:r>
      <w:r w:rsidR="001A70B8">
        <w:t xml:space="preserve"> </w:t>
      </w:r>
      <w:r w:rsidR="001A70B8" w:rsidRPr="00490B49">
        <w:t>perspectives</w:t>
      </w:r>
      <w:r w:rsidR="001A70B8">
        <w:t xml:space="preserve"> </w:t>
      </w:r>
      <w:r w:rsidR="001A70B8" w:rsidRPr="00490B49">
        <w:t>of</w:t>
      </w:r>
      <w:r w:rsidR="001A70B8">
        <w:t xml:space="preserve"> </w:t>
      </w:r>
      <w:r w:rsidR="001A70B8" w:rsidRPr="00490B49">
        <w:t>people.</w:t>
      </w:r>
    </w:p>
    <w:p w14:paraId="583ACFC0" w14:textId="77777777" w:rsidR="001A70B8" w:rsidRDefault="001A70B8" w:rsidP="00101E5D">
      <w:pPr>
        <w:pStyle w:val="Heading3"/>
      </w:pPr>
      <w:bookmarkStart w:id="287" w:name="_Ref113702756"/>
      <w:r w:rsidRPr="00490B49">
        <w:t>Gender</w:t>
      </w:r>
      <w:r>
        <w:t xml:space="preserve"> </w:t>
      </w:r>
      <w:r w:rsidRPr="00490B49">
        <w:t>equality</w:t>
      </w:r>
      <w:bookmarkEnd w:id="287"/>
    </w:p>
    <w:p w14:paraId="6340DFA0" w14:textId="65C8FF96" w:rsidR="001A70B8" w:rsidRDefault="001A70B8" w:rsidP="00101E5D">
      <w:pPr>
        <w:pStyle w:val="ARbody"/>
        <w:shd w:val="clear" w:color="auto" w:fill="FFFFFF" w:themeFill="background1"/>
      </w:pPr>
      <w:r w:rsidRPr="00490B49">
        <w:t>The</w:t>
      </w:r>
      <w:r>
        <w:t xml:space="preserve"> </w:t>
      </w:r>
      <w:r w:rsidRPr="00490B49">
        <w:t>department</w:t>
      </w:r>
      <w:r>
        <w:t xml:space="preserve"> </w:t>
      </w:r>
      <w:r w:rsidRPr="00490B49">
        <w:t>has</w:t>
      </w:r>
      <w:r>
        <w:t xml:space="preserve"> </w:t>
      </w:r>
      <w:r w:rsidRPr="00490B49">
        <w:t>continued</w:t>
      </w:r>
      <w:r>
        <w:t xml:space="preserve"> </w:t>
      </w:r>
      <w:r w:rsidRPr="00490B49">
        <w:t>implementing</w:t>
      </w:r>
      <w:r>
        <w:t xml:space="preserve"> </w:t>
      </w:r>
      <w:r w:rsidRPr="00490B49">
        <w:t>its</w:t>
      </w:r>
      <w:r>
        <w:t xml:space="preserve"> </w:t>
      </w:r>
      <w:r w:rsidRPr="00490B49">
        <w:t>obligations</w:t>
      </w:r>
      <w:r>
        <w:t xml:space="preserve"> </w:t>
      </w:r>
      <w:r w:rsidRPr="00490B49">
        <w:t>under</w:t>
      </w:r>
      <w:r>
        <w:t xml:space="preserve"> </w:t>
      </w:r>
      <w:r w:rsidRPr="00490B49">
        <w:t>the</w:t>
      </w:r>
      <w:r>
        <w:t xml:space="preserve"> </w:t>
      </w:r>
      <w:r w:rsidRPr="00254157">
        <w:rPr>
          <w:i/>
        </w:rPr>
        <w:t>Gender</w:t>
      </w:r>
      <w:r>
        <w:rPr>
          <w:i/>
        </w:rPr>
        <w:t xml:space="preserve"> </w:t>
      </w:r>
      <w:r w:rsidRPr="00254157">
        <w:rPr>
          <w:i/>
        </w:rPr>
        <w:t>Equality</w:t>
      </w:r>
      <w:r>
        <w:rPr>
          <w:i/>
        </w:rPr>
        <w:t xml:space="preserve"> </w:t>
      </w:r>
      <w:r w:rsidRPr="00254157">
        <w:rPr>
          <w:i/>
        </w:rPr>
        <w:t>Act</w:t>
      </w:r>
      <w:r>
        <w:rPr>
          <w:i/>
        </w:rPr>
        <w:t xml:space="preserve"> </w:t>
      </w:r>
      <w:r w:rsidRPr="00254157">
        <w:rPr>
          <w:i/>
        </w:rPr>
        <w:t>2020</w:t>
      </w:r>
      <w:r w:rsidR="00C32FEE">
        <w:t>. So</w:t>
      </w:r>
      <w:r w:rsidR="000D06B0">
        <w:t> </w:t>
      </w:r>
      <w:r w:rsidR="00C32FEE">
        <w:t>far, it has</w:t>
      </w:r>
      <w:r>
        <w:t xml:space="preserve"> </w:t>
      </w:r>
      <w:r w:rsidRPr="00490B49">
        <w:t>achieved</w:t>
      </w:r>
      <w:r w:rsidR="00684105">
        <w:t xml:space="preserve"> the following</w:t>
      </w:r>
      <w:r>
        <w:t xml:space="preserve"> </w:t>
      </w:r>
      <w:r w:rsidRPr="00490B49">
        <w:t>key</w:t>
      </w:r>
      <w:r>
        <w:t xml:space="preserve"> </w:t>
      </w:r>
      <w:r w:rsidRPr="00490B49">
        <w:t>milestones:</w:t>
      </w:r>
    </w:p>
    <w:p w14:paraId="4ACFE606" w14:textId="0DC607A2" w:rsidR="001A70B8" w:rsidRDefault="00684105" w:rsidP="00101E5D">
      <w:pPr>
        <w:pStyle w:val="ARbullet1"/>
      </w:pPr>
      <w:r>
        <w:t>s</w:t>
      </w:r>
      <w:r w:rsidR="001A70B8">
        <w:t>uccessful complet</w:t>
      </w:r>
      <w:r w:rsidR="00F25079">
        <w:t>ion of</w:t>
      </w:r>
      <w:r w:rsidR="001A70B8">
        <w:t xml:space="preserve"> the department’s first workplace gender audit by 1 December 2021</w:t>
      </w:r>
      <w:r w:rsidR="00F35F6A">
        <w:t xml:space="preserve">, </w:t>
      </w:r>
      <w:r w:rsidR="001A70B8">
        <w:t>based on workforce data as at 30 June 2021</w:t>
      </w:r>
      <w:r w:rsidR="00340122">
        <w:t xml:space="preserve"> – </w:t>
      </w:r>
      <w:r w:rsidR="00F706CE">
        <w:t>the audit</w:t>
      </w:r>
      <w:r w:rsidR="00F25079">
        <w:t xml:space="preserve"> </w:t>
      </w:r>
      <w:r w:rsidR="001A70B8">
        <w:t>was deemed compliant by the Commission for Gender Equality in the Public Sector (the Commission)</w:t>
      </w:r>
    </w:p>
    <w:p w14:paraId="24B85969" w14:textId="011F9823" w:rsidR="001A70B8" w:rsidRDefault="00F25079" w:rsidP="00101E5D">
      <w:pPr>
        <w:pStyle w:val="ARbullet1"/>
      </w:pPr>
      <w:r>
        <w:t xml:space="preserve">completion of </w:t>
      </w:r>
      <w:r w:rsidR="001A70B8" w:rsidRPr="00490B49">
        <w:t>extensive</w:t>
      </w:r>
      <w:r w:rsidR="001A70B8">
        <w:t xml:space="preserve"> </w:t>
      </w:r>
      <w:r w:rsidR="001A70B8" w:rsidRPr="00490B49">
        <w:t>consultation</w:t>
      </w:r>
      <w:r w:rsidR="001A70B8">
        <w:t xml:space="preserve"> </w:t>
      </w:r>
      <w:r w:rsidR="001A70B8" w:rsidRPr="00490B49">
        <w:t>in</w:t>
      </w:r>
      <w:r w:rsidR="001A70B8">
        <w:t xml:space="preserve"> </w:t>
      </w:r>
      <w:r w:rsidR="001A70B8" w:rsidRPr="00490B49">
        <w:t>two</w:t>
      </w:r>
      <w:r w:rsidR="001A70B8">
        <w:t xml:space="preserve"> </w:t>
      </w:r>
      <w:r w:rsidR="001A70B8" w:rsidRPr="00490B49">
        <w:t>phases</w:t>
      </w:r>
      <w:r w:rsidR="001A70B8">
        <w:t xml:space="preserve"> </w:t>
      </w:r>
      <w:r w:rsidR="001A70B8" w:rsidRPr="00490B49">
        <w:t>with</w:t>
      </w:r>
      <w:r w:rsidR="001A70B8">
        <w:t xml:space="preserve"> </w:t>
      </w:r>
      <w:r w:rsidR="001A70B8" w:rsidRPr="00490B49">
        <w:t>over</w:t>
      </w:r>
      <w:r w:rsidR="001A70B8">
        <w:t xml:space="preserve"> </w:t>
      </w:r>
      <w:r w:rsidR="00684105">
        <w:t>100</w:t>
      </w:r>
      <w:r w:rsidR="001A70B8">
        <w:t xml:space="preserve"> </w:t>
      </w:r>
      <w:r w:rsidR="001A70B8" w:rsidRPr="00490B49">
        <w:t>departmental</w:t>
      </w:r>
      <w:r w:rsidR="001A70B8">
        <w:t xml:space="preserve"> </w:t>
      </w:r>
      <w:r w:rsidR="001A70B8" w:rsidRPr="00490B49">
        <w:t>staff</w:t>
      </w:r>
      <w:r w:rsidR="001A70B8">
        <w:t xml:space="preserve"> </w:t>
      </w:r>
      <w:r w:rsidR="001A70B8" w:rsidRPr="00490B49">
        <w:t>across</w:t>
      </w:r>
      <w:r w:rsidR="001A70B8">
        <w:t xml:space="preserve"> </w:t>
      </w:r>
      <w:r>
        <w:t xml:space="preserve">all </w:t>
      </w:r>
      <w:r w:rsidR="001A70B8" w:rsidRPr="00490B49">
        <w:t>divisions,</w:t>
      </w:r>
      <w:r w:rsidR="001A70B8">
        <w:t xml:space="preserve"> </w:t>
      </w:r>
      <w:r w:rsidR="001A70B8" w:rsidRPr="00490B49">
        <w:t>levels</w:t>
      </w:r>
      <w:r w:rsidR="001A70B8">
        <w:t xml:space="preserve"> </w:t>
      </w:r>
      <w:r w:rsidR="001A70B8" w:rsidRPr="00490B49">
        <w:t>of</w:t>
      </w:r>
      <w:r w:rsidR="001A70B8">
        <w:t xml:space="preserve"> </w:t>
      </w:r>
      <w:r w:rsidR="001A70B8" w:rsidRPr="00490B49">
        <w:t>the</w:t>
      </w:r>
      <w:r w:rsidR="001A70B8">
        <w:t xml:space="preserve"> </w:t>
      </w:r>
      <w:r w:rsidR="001A70B8" w:rsidRPr="00490B49">
        <w:t>workforce</w:t>
      </w:r>
      <w:r>
        <w:t xml:space="preserve"> and</w:t>
      </w:r>
      <w:r w:rsidR="001A70B8">
        <w:t xml:space="preserve"> </w:t>
      </w:r>
      <w:r w:rsidR="001A70B8" w:rsidRPr="00490B49">
        <w:t>staff</w:t>
      </w:r>
      <w:r w:rsidR="001A70B8">
        <w:t xml:space="preserve"> </w:t>
      </w:r>
      <w:r w:rsidR="001A70B8" w:rsidRPr="00490B49">
        <w:t>networks</w:t>
      </w:r>
      <w:r>
        <w:t>,</w:t>
      </w:r>
      <w:r w:rsidR="001A70B8">
        <w:t xml:space="preserve"> </w:t>
      </w:r>
      <w:r w:rsidR="001A70B8" w:rsidRPr="00490B49">
        <w:t>as</w:t>
      </w:r>
      <w:r w:rsidR="001A70B8">
        <w:t xml:space="preserve"> </w:t>
      </w:r>
      <w:r w:rsidR="001A70B8" w:rsidRPr="00490B49">
        <w:t>well</w:t>
      </w:r>
      <w:r w:rsidR="001A70B8">
        <w:t xml:space="preserve"> </w:t>
      </w:r>
      <w:r w:rsidR="001A70B8" w:rsidRPr="00490B49">
        <w:t>as</w:t>
      </w:r>
      <w:r w:rsidR="001A70B8">
        <w:t xml:space="preserve"> </w:t>
      </w:r>
      <w:r w:rsidR="001A70B8" w:rsidRPr="00490B49">
        <w:t>with</w:t>
      </w:r>
      <w:r w:rsidR="001A70B8">
        <w:t xml:space="preserve"> </w:t>
      </w:r>
      <w:r w:rsidR="001A70B8" w:rsidRPr="00490B49">
        <w:t>the</w:t>
      </w:r>
      <w:r w:rsidR="001A70B8">
        <w:t xml:space="preserve"> </w:t>
      </w:r>
      <w:r w:rsidR="001A70B8" w:rsidRPr="00490B49">
        <w:t>Community</w:t>
      </w:r>
      <w:r w:rsidR="001A70B8">
        <w:t xml:space="preserve"> </w:t>
      </w:r>
      <w:r w:rsidR="001A70B8" w:rsidRPr="00490B49">
        <w:t>and</w:t>
      </w:r>
      <w:r w:rsidR="001A70B8">
        <w:t xml:space="preserve"> </w:t>
      </w:r>
      <w:r w:rsidR="001A70B8" w:rsidRPr="00490B49">
        <w:t>Public</w:t>
      </w:r>
      <w:r w:rsidR="001A70B8">
        <w:t xml:space="preserve"> </w:t>
      </w:r>
      <w:r w:rsidR="001A70B8" w:rsidRPr="00490B49">
        <w:t>Sector</w:t>
      </w:r>
      <w:r w:rsidR="001A70B8">
        <w:t xml:space="preserve"> </w:t>
      </w:r>
      <w:r w:rsidR="001A70B8" w:rsidRPr="00490B49">
        <w:t>Union</w:t>
      </w:r>
      <w:r w:rsidR="007D22C8">
        <w:t>,</w:t>
      </w:r>
      <w:r w:rsidR="001A70B8">
        <w:t xml:space="preserve"> </w:t>
      </w:r>
      <w:r w:rsidR="001A70B8" w:rsidRPr="00490B49">
        <w:t>to</w:t>
      </w:r>
      <w:r w:rsidR="001A70B8">
        <w:t xml:space="preserve"> </w:t>
      </w:r>
      <w:r w:rsidR="001A70B8" w:rsidRPr="00490B49">
        <w:t>inform</w:t>
      </w:r>
      <w:r w:rsidR="001A70B8">
        <w:t xml:space="preserve"> </w:t>
      </w:r>
      <w:r w:rsidR="001A70B8" w:rsidRPr="00490B49">
        <w:t>the</w:t>
      </w:r>
      <w:r w:rsidR="001A70B8">
        <w:t xml:space="preserve"> </w:t>
      </w:r>
      <w:r w:rsidR="001A70B8" w:rsidRPr="00490B49">
        <w:t>development</w:t>
      </w:r>
      <w:r w:rsidR="001A70B8">
        <w:t xml:space="preserve"> </w:t>
      </w:r>
      <w:r w:rsidR="001A70B8" w:rsidRPr="00490B49">
        <w:t>of</w:t>
      </w:r>
      <w:r w:rsidR="001A70B8">
        <w:t xml:space="preserve"> </w:t>
      </w:r>
      <w:r w:rsidR="001A70B8" w:rsidRPr="00490B49">
        <w:t>the</w:t>
      </w:r>
      <w:r w:rsidR="001A70B8">
        <w:t xml:space="preserve"> </w:t>
      </w:r>
      <w:r w:rsidR="001A70B8" w:rsidRPr="00490B49">
        <w:t>department’s</w:t>
      </w:r>
      <w:r w:rsidR="001A70B8">
        <w:t xml:space="preserve"> </w:t>
      </w:r>
      <w:r w:rsidR="001A70B8" w:rsidRPr="00490B49">
        <w:t>first</w:t>
      </w:r>
      <w:r w:rsidR="001A70B8">
        <w:t xml:space="preserve"> </w:t>
      </w:r>
      <w:r w:rsidR="001A70B8" w:rsidRPr="00490B49">
        <w:t>gender</w:t>
      </w:r>
      <w:r w:rsidR="001A70B8">
        <w:t xml:space="preserve"> </w:t>
      </w:r>
      <w:r w:rsidR="001A70B8" w:rsidRPr="00490B49">
        <w:t>equality</w:t>
      </w:r>
      <w:r w:rsidR="001A70B8">
        <w:t xml:space="preserve"> </w:t>
      </w:r>
      <w:r w:rsidR="001A70B8" w:rsidRPr="00490B49">
        <w:t>action</w:t>
      </w:r>
      <w:r w:rsidR="001A70B8">
        <w:t xml:space="preserve"> </w:t>
      </w:r>
      <w:r w:rsidR="001A70B8" w:rsidRPr="00490B49">
        <w:t>plan</w:t>
      </w:r>
      <w:r w:rsidR="001A70B8">
        <w:t xml:space="preserve"> </w:t>
      </w:r>
      <w:r w:rsidR="00111996">
        <w:t xml:space="preserve">(GEAP) </w:t>
      </w:r>
      <w:r w:rsidR="001A70B8" w:rsidRPr="00490B49">
        <w:t>under</w:t>
      </w:r>
      <w:r w:rsidR="001A70B8">
        <w:t xml:space="preserve"> </w:t>
      </w:r>
      <w:r w:rsidR="001A70B8" w:rsidRPr="00490B49">
        <w:t>the</w:t>
      </w:r>
      <w:r w:rsidR="001A70B8">
        <w:t xml:space="preserve"> </w:t>
      </w:r>
      <w:r w:rsidR="001A70B8" w:rsidRPr="00490B49">
        <w:t>Act</w:t>
      </w:r>
    </w:p>
    <w:p w14:paraId="4F4AD3D5" w14:textId="1F598B8B" w:rsidR="001A70B8" w:rsidRDefault="00F25079" w:rsidP="00101E5D">
      <w:pPr>
        <w:pStyle w:val="ARbullet1"/>
      </w:pPr>
      <w:r>
        <w:t>c</w:t>
      </w:r>
      <w:r w:rsidR="001A70B8" w:rsidRPr="00490B49">
        <w:t>omplet</w:t>
      </w:r>
      <w:r>
        <w:t>ion</w:t>
      </w:r>
      <w:r w:rsidR="001A70B8">
        <w:t xml:space="preserve"> </w:t>
      </w:r>
      <w:r>
        <w:t>of</w:t>
      </w:r>
      <w:r w:rsidR="001A70B8">
        <w:t xml:space="preserve"> </w:t>
      </w:r>
      <w:r w:rsidR="001A70B8" w:rsidRPr="00490B49">
        <w:t>the</w:t>
      </w:r>
      <w:r w:rsidR="001A70B8">
        <w:t xml:space="preserve"> </w:t>
      </w:r>
      <w:r w:rsidR="001A70B8" w:rsidRPr="00111996">
        <w:t xml:space="preserve">department’s GEAP 2022–25 </w:t>
      </w:r>
      <w:r w:rsidRPr="00111996">
        <w:t xml:space="preserve">and </w:t>
      </w:r>
      <w:r w:rsidR="00F92B1A" w:rsidRPr="00111996">
        <w:t>its</w:t>
      </w:r>
      <w:r w:rsidR="00F92B1A">
        <w:t xml:space="preserve"> </w:t>
      </w:r>
      <w:r>
        <w:t xml:space="preserve">submission </w:t>
      </w:r>
      <w:r w:rsidR="001A70B8" w:rsidRPr="00490B49">
        <w:t>to</w:t>
      </w:r>
      <w:r w:rsidR="001A70B8">
        <w:t xml:space="preserve"> </w:t>
      </w:r>
      <w:r w:rsidR="001A70B8" w:rsidRPr="00490B49">
        <w:t>the</w:t>
      </w:r>
      <w:r w:rsidR="001A70B8">
        <w:t xml:space="preserve"> </w:t>
      </w:r>
      <w:r w:rsidR="001A70B8" w:rsidRPr="00490B49">
        <w:t>Commission</w:t>
      </w:r>
      <w:r>
        <w:t>. The GEAP</w:t>
      </w:r>
      <w:r w:rsidR="001A70B8">
        <w:t xml:space="preserve"> </w:t>
      </w:r>
      <w:r w:rsidR="001A70B8" w:rsidRPr="00490B49">
        <w:t>was</w:t>
      </w:r>
      <w:r w:rsidR="001A70B8">
        <w:t xml:space="preserve"> </w:t>
      </w:r>
      <w:r w:rsidR="001A70B8" w:rsidRPr="00490B49">
        <w:t>launch</w:t>
      </w:r>
      <w:r w:rsidR="007D22C8">
        <w:t>ed</w:t>
      </w:r>
      <w:r w:rsidR="001A70B8">
        <w:t xml:space="preserve"> </w:t>
      </w:r>
      <w:r w:rsidR="00111996">
        <w:t xml:space="preserve">in </w:t>
      </w:r>
      <w:r w:rsidR="001A70B8" w:rsidRPr="00490B49">
        <w:t>August</w:t>
      </w:r>
      <w:r w:rsidR="001A70B8">
        <w:t xml:space="preserve"> </w:t>
      </w:r>
      <w:r w:rsidR="001A70B8" w:rsidRPr="00490B49">
        <w:t>2022.</w:t>
      </w:r>
    </w:p>
    <w:p w14:paraId="04AD5F2F" w14:textId="45B09026" w:rsidR="001A70B8" w:rsidRDefault="001A70B8" w:rsidP="000D6FBF">
      <w:pPr>
        <w:pStyle w:val="ARbodyafterbullets"/>
      </w:pPr>
      <w:r w:rsidRPr="00490B49">
        <w:t>To</w:t>
      </w:r>
      <w:r>
        <w:t xml:space="preserve"> </w:t>
      </w:r>
      <w:r w:rsidRPr="00490B49">
        <w:t>support</w:t>
      </w:r>
      <w:r>
        <w:t xml:space="preserve"> </w:t>
      </w:r>
      <w:r w:rsidRPr="00490B49">
        <w:t>the</w:t>
      </w:r>
      <w:r>
        <w:t xml:space="preserve"> </w:t>
      </w:r>
      <w:r w:rsidRPr="00490B49">
        <w:t>implementation</w:t>
      </w:r>
      <w:r>
        <w:t xml:space="preserve"> </w:t>
      </w:r>
      <w:r w:rsidRPr="00490B49">
        <w:t>of</w:t>
      </w:r>
      <w:r>
        <w:t xml:space="preserve"> </w:t>
      </w:r>
      <w:r w:rsidRPr="00490B49">
        <w:t>the</w:t>
      </w:r>
      <w:r>
        <w:t xml:space="preserve"> </w:t>
      </w:r>
      <w:r w:rsidRPr="00490B49">
        <w:t>GEAP,</w:t>
      </w:r>
      <w:r>
        <w:t xml:space="preserve"> </w:t>
      </w:r>
      <w:r w:rsidRPr="00490B49">
        <w:t>a</w:t>
      </w:r>
      <w:r>
        <w:t xml:space="preserve"> </w:t>
      </w:r>
      <w:r w:rsidRPr="00490B49">
        <w:t>year</w:t>
      </w:r>
      <w:r>
        <w:t xml:space="preserve"> </w:t>
      </w:r>
      <w:r w:rsidRPr="00490B49">
        <w:t>one</w:t>
      </w:r>
      <w:r>
        <w:t xml:space="preserve"> </w:t>
      </w:r>
      <w:r w:rsidRPr="00490B49">
        <w:t>implementation</w:t>
      </w:r>
      <w:r>
        <w:t xml:space="preserve"> </w:t>
      </w:r>
      <w:r w:rsidRPr="00490B49">
        <w:t>plan</w:t>
      </w:r>
      <w:r w:rsidR="003F4B02">
        <w:t xml:space="preserve"> </w:t>
      </w:r>
      <w:r w:rsidR="003F4B02" w:rsidRPr="00490B49">
        <w:t>has</w:t>
      </w:r>
      <w:r w:rsidR="003F4B02">
        <w:t xml:space="preserve"> </w:t>
      </w:r>
      <w:r w:rsidR="003F4B02" w:rsidRPr="00490B49">
        <w:t>been</w:t>
      </w:r>
      <w:r w:rsidR="003F4B02">
        <w:t xml:space="preserve"> </w:t>
      </w:r>
      <w:r w:rsidR="003F4B02" w:rsidRPr="00490B49">
        <w:t>developed</w:t>
      </w:r>
      <w:r w:rsidR="003F4B02">
        <w:t xml:space="preserve"> </w:t>
      </w:r>
      <w:r w:rsidR="003F4B02" w:rsidRPr="00490B49">
        <w:t>and</w:t>
      </w:r>
      <w:r w:rsidR="003F4B02">
        <w:t xml:space="preserve"> </w:t>
      </w:r>
      <w:r w:rsidR="003F4B02" w:rsidRPr="00490B49">
        <w:t>endorsed</w:t>
      </w:r>
      <w:r w:rsidR="003F4B02">
        <w:t>.</w:t>
      </w:r>
      <w:r w:rsidR="00D95AEE">
        <w:t xml:space="preserve"> </w:t>
      </w:r>
      <w:r w:rsidR="006A7ED5">
        <w:t>The plan includes performance goals</w:t>
      </w:r>
      <w:r w:rsidR="006A7ED5" w:rsidRPr="006A7ED5">
        <w:t xml:space="preserve"> </w:t>
      </w:r>
      <w:r w:rsidR="006A7ED5" w:rsidRPr="00D95AEE">
        <w:t xml:space="preserve">which will be monitored and reviewed annually with changes made as the available </w:t>
      </w:r>
      <w:r w:rsidR="000D6FBF" w:rsidRPr="00D95AEE">
        <w:t xml:space="preserve">data </w:t>
      </w:r>
      <w:r w:rsidR="006A7ED5" w:rsidRPr="00D95AEE">
        <w:t>improves</w:t>
      </w:r>
      <w:r w:rsidR="000D6FBF">
        <w:t xml:space="preserve">. Progress </w:t>
      </w:r>
      <w:r w:rsidR="00D95AEE" w:rsidRPr="00D95AEE">
        <w:t>against high</w:t>
      </w:r>
      <w:r w:rsidR="000D6FBF">
        <w:t>-</w:t>
      </w:r>
      <w:r w:rsidR="00D95AEE" w:rsidRPr="00D95AEE">
        <w:t>level measures from the department’s baseline workplace gender audit will</w:t>
      </w:r>
      <w:r w:rsidR="001C7FAA">
        <w:t> </w:t>
      </w:r>
      <w:r w:rsidR="00D95AEE" w:rsidRPr="00D95AEE">
        <w:t>be included in future annual reports.</w:t>
      </w:r>
    </w:p>
    <w:p w14:paraId="6CCFE3DD" w14:textId="6F325A66" w:rsidR="001A70B8" w:rsidRDefault="001A70B8" w:rsidP="00101E5D">
      <w:pPr>
        <w:pStyle w:val="ARbody"/>
        <w:shd w:val="clear" w:color="auto" w:fill="FFFFFF" w:themeFill="background1"/>
      </w:pPr>
      <w:r w:rsidRPr="007D22C8">
        <w:t>The department has also continued</w:t>
      </w:r>
      <w:r>
        <w:t xml:space="preserve"> </w:t>
      </w:r>
      <w:r w:rsidRPr="00490B49">
        <w:t>to</w:t>
      </w:r>
      <w:r>
        <w:t xml:space="preserve"> </w:t>
      </w:r>
      <w:r w:rsidRPr="00490B49">
        <w:t>implement</w:t>
      </w:r>
      <w:r>
        <w:t xml:space="preserve"> </w:t>
      </w:r>
      <w:r w:rsidR="003F4B02">
        <w:t>g</w:t>
      </w:r>
      <w:r w:rsidRPr="00490B49">
        <w:t>ender</w:t>
      </w:r>
      <w:r>
        <w:t xml:space="preserve"> </w:t>
      </w:r>
      <w:r w:rsidR="003F4B02">
        <w:t>i</w:t>
      </w:r>
      <w:r w:rsidRPr="00490B49">
        <w:t>mpact</w:t>
      </w:r>
      <w:r>
        <w:t xml:space="preserve"> </w:t>
      </w:r>
      <w:r w:rsidR="003F4B02">
        <w:t>a</w:t>
      </w:r>
      <w:r w:rsidRPr="00490B49">
        <w:t>ssessments</w:t>
      </w:r>
      <w:r>
        <w:t xml:space="preserve"> </w:t>
      </w:r>
      <w:r w:rsidRPr="00490B49">
        <w:t>across</w:t>
      </w:r>
      <w:r>
        <w:t xml:space="preserve"> </w:t>
      </w:r>
      <w:r w:rsidRPr="00490B49">
        <w:t>new</w:t>
      </w:r>
      <w:r>
        <w:t xml:space="preserve"> </w:t>
      </w:r>
      <w:r w:rsidRPr="00490B49">
        <w:t>policies,</w:t>
      </w:r>
      <w:r>
        <w:t xml:space="preserve"> </w:t>
      </w:r>
      <w:r w:rsidRPr="00490B49">
        <w:t>programs</w:t>
      </w:r>
      <w:r>
        <w:t xml:space="preserve"> </w:t>
      </w:r>
      <w:r w:rsidRPr="00490B49">
        <w:t>and</w:t>
      </w:r>
      <w:r>
        <w:t xml:space="preserve"> </w:t>
      </w:r>
      <w:r w:rsidRPr="00490B49">
        <w:t>services</w:t>
      </w:r>
      <w:r>
        <w:t xml:space="preserve"> </w:t>
      </w:r>
      <w:r w:rsidRPr="00490B49">
        <w:t>that</w:t>
      </w:r>
      <w:r>
        <w:t xml:space="preserve"> </w:t>
      </w:r>
      <w:r w:rsidRPr="00490B49">
        <w:t>have</w:t>
      </w:r>
      <w:r>
        <w:t xml:space="preserve"> </w:t>
      </w:r>
      <w:r w:rsidRPr="00490B49">
        <w:t>a</w:t>
      </w:r>
      <w:r>
        <w:t xml:space="preserve"> </w:t>
      </w:r>
      <w:r w:rsidRPr="00490B49">
        <w:t>significant</w:t>
      </w:r>
      <w:r>
        <w:t xml:space="preserve"> </w:t>
      </w:r>
      <w:r w:rsidRPr="00490B49">
        <w:t>impact</w:t>
      </w:r>
      <w:r>
        <w:t xml:space="preserve"> </w:t>
      </w:r>
      <w:r w:rsidRPr="00490B49">
        <w:t>on</w:t>
      </w:r>
      <w:r>
        <w:t xml:space="preserve"> </w:t>
      </w:r>
      <w:r w:rsidRPr="00490B49">
        <w:t>the</w:t>
      </w:r>
      <w:r>
        <w:t xml:space="preserve"> </w:t>
      </w:r>
      <w:r w:rsidRPr="00490B49">
        <w:t>public.</w:t>
      </w:r>
      <w:r w:rsidR="001F3AE2">
        <w:t xml:space="preserve"> </w:t>
      </w:r>
      <w:r w:rsidR="007D22C8">
        <w:t xml:space="preserve">In addition, it has continued </w:t>
      </w:r>
      <w:r w:rsidRPr="00490B49">
        <w:t>initiatives</w:t>
      </w:r>
      <w:r>
        <w:t xml:space="preserve"> </w:t>
      </w:r>
      <w:r w:rsidRPr="00490B49">
        <w:t>toward</w:t>
      </w:r>
      <w:r>
        <w:t xml:space="preserve"> </w:t>
      </w:r>
      <w:r w:rsidRPr="00490B49">
        <w:t>the</w:t>
      </w:r>
      <w:r>
        <w:t xml:space="preserve"> </w:t>
      </w:r>
      <w:r w:rsidRPr="00490B49">
        <w:t>advancement</w:t>
      </w:r>
      <w:r>
        <w:t xml:space="preserve"> </w:t>
      </w:r>
      <w:r w:rsidRPr="00490B49">
        <w:t>of</w:t>
      </w:r>
      <w:r>
        <w:t xml:space="preserve"> </w:t>
      </w:r>
      <w:r w:rsidRPr="00490B49">
        <w:t>gender</w:t>
      </w:r>
      <w:r>
        <w:t xml:space="preserve"> </w:t>
      </w:r>
      <w:r w:rsidRPr="00490B49">
        <w:t>equality</w:t>
      </w:r>
      <w:r>
        <w:t xml:space="preserve"> </w:t>
      </w:r>
      <w:r w:rsidR="00C32FEE">
        <w:t xml:space="preserve">that stemmed </w:t>
      </w:r>
      <w:r w:rsidRPr="00490B49">
        <w:t>from</w:t>
      </w:r>
      <w:r>
        <w:t xml:space="preserve"> </w:t>
      </w:r>
      <w:r w:rsidRPr="00490B49">
        <w:t>the</w:t>
      </w:r>
      <w:r>
        <w:t xml:space="preserve"> previous </w:t>
      </w:r>
      <w:r w:rsidRPr="00490B49">
        <w:t>gender</w:t>
      </w:r>
      <w:r>
        <w:t xml:space="preserve"> </w:t>
      </w:r>
      <w:r w:rsidRPr="00490B49">
        <w:t>equality</w:t>
      </w:r>
      <w:r>
        <w:t xml:space="preserve"> </w:t>
      </w:r>
      <w:r w:rsidRPr="00490B49">
        <w:t>action</w:t>
      </w:r>
      <w:r>
        <w:t xml:space="preserve"> </w:t>
      </w:r>
      <w:r w:rsidRPr="00490B49">
        <w:t>plan</w:t>
      </w:r>
      <w:r>
        <w:t xml:space="preserve"> </w:t>
      </w:r>
      <w:r w:rsidRPr="00490B49">
        <w:t>launched</w:t>
      </w:r>
      <w:r>
        <w:t xml:space="preserve"> </w:t>
      </w:r>
      <w:r w:rsidRPr="00490B49">
        <w:t>in</w:t>
      </w:r>
      <w:r>
        <w:t xml:space="preserve"> </w:t>
      </w:r>
      <w:r w:rsidRPr="00490B49">
        <w:t>July</w:t>
      </w:r>
      <w:r>
        <w:t xml:space="preserve"> </w:t>
      </w:r>
      <w:r w:rsidRPr="00490B49">
        <w:t>2019,</w:t>
      </w:r>
      <w:r>
        <w:t xml:space="preserve"> </w:t>
      </w:r>
      <w:r w:rsidRPr="00490B49">
        <w:t>including:</w:t>
      </w:r>
    </w:p>
    <w:p w14:paraId="7E659569" w14:textId="341C38BA" w:rsidR="001A70B8" w:rsidRDefault="003F4B02" w:rsidP="00101E5D">
      <w:pPr>
        <w:pStyle w:val="ARbullet1"/>
      </w:pPr>
      <w:r>
        <w:t>p</w:t>
      </w:r>
      <w:r w:rsidR="001A70B8">
        <w:t>romotion of gender balance in recruitment selection panels and unconscious bias training for panel members to reduce recruitment bias</w:t>
      </w:r>
    </w:p>
    <w:p w14:paraId="1A21CE37" w14:textId="39B91263" w:rsidR="001A70B8" w:rsidRPr="003E0EC5" w:rsidRDefault="003F4B02" w:rsidP="00101E5D">
      <w:pPr>
        <w:pStyle w:val="ARbullet1"/>
      </w:pPr>
      <w:r>
        <w:t>r</w:t>
      </w:r>
      <w:r w:rsidR="001A70B8" w:rsidRPr="00490B49">
        <w:t>egular</w:t>
      </w:r>
      <w:r w:rsidR="001A70B8">
        <w:t xml:space="preserve"> </w:t>
      </w:r>
      <w:r w:rsidR="001A70B8" w:rsidRPr="003E0EC5">
        <w:t>whole</w:t>
      </w:r>
      <w:r w:rsidR="007D22C8" w:rsidRPr="003E0EC5">
        <w:t xml:space="preserve"> </w:t>
      </w:r>
      <w:r w:rsidR="001A70B8" w:rsidRPr="003E0EC5">
        <w:t>of</w:t>
      </w:r>
      <w:r w:rsidR="007D22C8" w:rsidRPr="003E0EC5">
        <w:t xml:space="preserve"> </w:t>
      </w:r>
      <w:r w:rsidR="001A70B8" w:rsidRPr="003E0EC5">
        <w:t>department communications from the Deputy Secretary</w:t>
      </w:r>
      <w:r w:rsidR="007D22C8" w:rsidRPr="003E0EC5">
        <w:t xml:space="preserve"> with the </w:t>
      </w:r>
      <w:r w:rsidR="00CC3E54" w:rsidRPr="003E0EC5">
        <w:t xml:space="preserve">additional </w:t>
      </w:r>
      <w:r w:rsidR="007D22C8" w:rsidRPr="003E0EC5">
        <w:t>role of</w:t>
      </w:r>
      <w:r w:rsidR="00CC3E54" w:rsidRPr="003E0EC5">
        <w:t xml:space="preserve"> </w:t>
      </w:r>
      <w:r w:rsidR="001A70B8" w:rsidRPr="003E0EC5">
        <w:t>Gender Equality Champion</w:t>
      </w:r>
    </w:p>
    <w:p w14:paraId="1DF0CB34" w14:textId="0C0324A4" w:rsidR="001A70B8" w:rsidRDefault="003F4B02" w:rsidP="00101E5D">
      <w:pPr>
        <w:pStyle w:val="ARbullet1"/>
      </w:pPr>
      <w:r w:rsidRPr="003E0EC5">
        <w:t>r</w:t>
      </w:r>
      <w:r w:rsidR="001A70B8" w:rsidRPr="003E0EC5">
        <w:t>egular monitoring</w:t>
      </w:r>
      <w:r w:rsidR="001A70B8">
        <w:t xml:space="preserve"> of executive gender pay gaps</w:t>
      </w:r>
    </w:p>
    <w:p w14:paraId="39B05EB6" w14:textId="48E4223C" w:rsidR="001A70B8" w:rsidRDefault="003F4B02" w:rsidP="00101E5D">
      <w:pPr>
        <w:pStyle w:val="ARbullet1"/>
      </w:pPr>
      <w:r>
        <w:t>c</w:t>
      </w:r>
      <w:r w:rsidR="001A70B8" w:rsidRPr="00490B49">
        <w:t>ontinued</w:t>
      </w:r>
      <w:r w:rsidR="001A70B8">
        <w:t xml:space="preserve"> </w:t>
      </w:r>
      <w:r w:rsidR="001A70B8" w:rsidRPr="00490B49">
        <w:t>engagement</w:t>
      </w:r>
      <w:r w:rsidR="001A70B8">
        <w:t xml:space="preserve"> </w:t>
      </w:r>
      <w:r w:rsidR="001A70B8" w:rsidRPr="00490B49">
        <w:t>of</w:t>
      </w:r>
      <w:r w:rsidR="001A70B8">
        <w:t xml:space="preserve"> </w:t>
      </w:r>
      <w:r w:rsidR="001A70B8" w:rsidRPr="00490B49">
        <w:t>an</w:t>
      </w:r>
      <w:r w:rsidR="001A70B8">
        <w:t xml:space="preserve"> </w:t>
      </w:r>
      <w:r w:rsidR="001A70B8" w:rsidRPr="00490B49">
        <w:t>external</w:t>
      </w:r>
      <w:r w:rsidR="001A70B8">
        <w:t xml:space="preserve"> </w:t>
      </w:r>
      <w:r w:rsidR="001A70B8" w:rsidRPr="00490B49">
        <w:t>provider</w:t>
      </w:r>
      <w:r w:rsidR="001A70B8">
        <w:t xml:space="preserve"> </w:t>
      </w:r>
      <w:r w:rsidR="001A70B8" w:rsidRPr="00490B49">
        <w:t>to</w:t>
      </w:r>
      <w:r w:rsidR="000D06B0">
        <w:t> </w:t>
      </w:r>
      <w:r w:rsidR="001A70B8" w:rsidRPr="00490B49">
        <w:t>offer</w:t>
      </w:r>
      <w:r w:rsidR="001A70B8">
        <w:t xml:space="preserve"> </w:t>
      </w:r>
      <w:r w:rsidR="001A70B8" w:rsidRPr="00490B49">
        <w:t>parental</w:t>
      </w:r>
      <w:r w:rsidR="001A70B8">
        <w:t xml:space="preserve"> </w:t>
      </w:r>
      <w:r w:rsidR="001A70B8" w:rsidRPr="00490B49">
        <w:t>leave</w:t>
      </w:r>
      <w:r w:rsidR="001A70B8">
        <w:t xml:space="preserve"> </w:t>
      </w:r>
      <w:r w:rsidR="001A70B8" w:rsidRPr="00490B49">
        <w:t>supports</w:t>
      </w:r>
      <w:r>
        <w:t>,</w:t>
      </w:r>
      <w:r w:rsidR="001A70B8">
        <w:t xml:space="preserve"> </w:t>
      </w:r>
      <w:r w:rsidR="001A70B8" w:rsidRPr="00490B49">
        <w:t>including</w:t>
      </w:r>
      <w:r w:rsidR="001A70B8">
        <w:t xml:space="preserve"> </w:t>
      </w:r>
      <w:r w:rsidR="001A70B8" w:rsidRPr="00490B49">
        <w:t>for</w:t>
      </w:r>
      <w:r w:rsidR="001A70B8">
        <w:t xml:space="preserve"> </w:t>
      </w:r>
      <w:r w:rsidR="001A70B8" w:rsidRPr="00490B49">
        <w:t>parents</w:t>
      </w:r>
      <w:r w:rsidR="001A70B8">
        <w:t xml:space="preserve"> </w:t>
      </w:r>
      <w:r w:rsidR="001A70B8" w:rsidRPr="00490B49">
        <w:t>preparing</w:t>
      </w:r>
      <w:r w:rsidR="001A70B8">
        <w:t xml:space="preserve"> </w:t>
      </w:r>
      <w:r w:rsidR="001A70B8" w:rsidRPr="00490B49">
        <w:t>for</w:t>
      </w:r>
      <w:r w:rsidR="001A70B8">
        <w:t xml:space="preserve"> </w:t>
      </w:r>
      <w:r w:rsidR="001A70B8" w:rsidRPr="00490B49">
        <w:t>and</w:t>
      </w:r>
      <w:r w:rsidR="001A70B8">
        <w:t xml:space="preserve"> </w:t>
      </w:r>
      <w:r w:rsidR="001A70B8" w:rsidRPr="00490B49">
        <w:t>returning</w:t>
      </w:r>
      <w:r w:rsidR="001A70B8">
        <w:t xml:space="preserve"> </w:t>
      </w:r>
      <w:r w:rsidR="001A70B8" w:rsidRPr="00490B49">
        <w:t>from</w:t>
      </w:r>
      <w:r w:rsidR="001A70B8">
        <w:t xml:space="preserve"> </w:t>
      </w:r>
      <w:r w:rsidR="001A70B8" w:rsidRPr="00490B49">
        <w:t>parental</w:t>
      </w:r>
      <w:r w:rsidR="001A70B8">
        <w:t xml:space="preserve"> </w:t>
      </w:r>
      <w:r w:rsidR="001A70B8" w:rsidRPr="00490B49">
        <w:t>leave</w:t>
      </w:r>
      <w:r>
        <w:t>,</w:t>
      </w:r>
      <w:r w:rsidR="001A70B8">
        <w:t xml:space="preserve"> </w:t>
      </w:r>
      <w:r w:rsidR="001A70B8" w:rsidRPr="00490B49">
        <w:t>as</w:t>
      </w:r>
      <w:r w:rsidR="001A70B8">
        <w:t xml:space="preserve"> </w:t>
      </w:r>
      <w:r w:rsidR="001A70B8" w:rsidRPr="00490B49">
        <w:t>well</w:t>
      </w:r>
      <w:r w:rsidR="001A70B8">
        <w:t xml:space="preserve"> </w:t>
      </w:r>
      <w:r w:rsidR="001A70B8" w:rsidRPr="00490B49">
        <w:t>as</w:t>
      </w:r>
      <w:r w:rsidR="001A70B8">
        <w:t xml:space="preserve"> </w:t>
      </w:r>
      <w:r w:rsidR="001A70B8" w:rsidRPr="00490B49">
        <w:t>guidance</w:t>
      </w:r>
      <w:r w:rsidR="001A70B8">
        <w:t xml:space="preserve"> </w:t>
      </w:r>
      <w:r w:rsidR="001A70B8" w:rsidRPr="00490B49">
        <w:t>on</w:t>
      </w:r>
      <w:r w:rsidR="001A70B8">
        <w:t xml:space="preserve"> </w:t>
      </w:r>
      <w:r w:rsidR="001A70B8" w:rsidRPr="00490B49">
        <w:t>working</w:t>
      </w:r>
      <w:r w:rsidR="001A70B8">
        <w:t xml:space="preserve"> </w:t>
      </w:r>
      <w:r w:rsidR="001A70B8" w:rsidRPr="00490B49">
        <w:t>and</w:t>
      </w:r>
      <w:r w:rsidR="001A70B8">
        <w:t xml:space="preserve"> </w:t>
      </w:r>
      <w:r w:rsidR="001A70B8" w:rsidRPr="00490B49">
        <w:t>managing</w:t>
      </w:r>
      <w:r w:rsidR="001A70B8">
        <w:t xml:space="preserve"> </w:t>
      </w:r>
      <w:r w:rsidR="001A70B8" w:rsidRPr="00490B49">
        <w:t>in</w:t>
      </w:r>
      <w:r w:rsidR="001A70B8">
        <w:t xml:space="preserve"> </w:t>
      </w:r>
      <w:r w:rsidR="001A70B8" w:rsidRPr="00490B49">
        <w:t>a</w:t>
      </w:r>
      <w:r w:rsidR="001A70B8">
        <w:t xml:space="preserve"> </w:t>
      </w:r>
      <w:r w:rsidR="001A70B8" w:rsidRPr="00490B49">
        <w:t>flexible</w:t>
      </w:r>
      <w:r w:rsidR="001A70B8">
        <w:t xml:space="preserve"> </w:t>
      </w:r>
      <w:r w:rsidR="001A70B8" w:rsidRPr="00490B49">
        <w:t>work</w:t>
      </w:r>
      <w:r w:rsidR="001A70B8">
        <w:t xml:space="preserve"> </w:t>
      </w:r>
      <w:r w:rsidR="001A70B8" w:rsidRPr="00490B49">
        <w:t>environment.</w:t>
      </w:r>
    </w:p>
    <w:p w14:paraId="3E2E3745" w14:textId="246E4C1A" w:rsidR="001A70B8" w:rsidRDefault="005D38B6" w:rsidP="00101E5D">
      <w:pPr>
        <w:pStyle w:val="Heading3"/>
      </w:pPr>
      <w:r w:rsidRPr="00DE290C">
        <w:t>Disabi</w:t>
      </w:r>
      <w:r w:rsidR="00A976C9">
        <w:t>l</w:t>
      </w:r>
      <w:r w:rsidRPr="00DE290C">
        <w:t>ity employment</w:t>
      </w:r>
    </w:p>
    <w:p w14:paraId="0E0B3307" w14:textId="1632F4C8" w:rsidR="001A70B8" w:rsidRPr="00490B49" w:rsidRDefault="001A70B8" w:rsidP="00101E5D">
      <w:pPr>
        <w:pStyle w:val="ARbody"/>
        <w:shd w:val="clear" w:color="auto" w:fill="FFFFFF" w:themeFill="background1"/>
      </w:pPr>
      <w:r w:rsidRPr="00490B49">
        <w:t>The</w:t>
      </w:r>
      <w:r>
        <w:t xml:space="preserve"> </w:t>
      </w:r>
      <w:r w:rsidRPr="00490B49">
        <w:t>department’s</w:t>
      </w:r>
      <w:r>
        <w:t xml:space="preserve"> </w:t>
      </w:r>
      <w:r w:rsidRPr="00490B49">
        <w:rPr>
          <w:i/>
          <w:iCs/>
        </w:rPr>
        <w:t>Disability</w:t>
      </w:r>
      <w:r>
        <w:rPr>
          <w:i/>
          <w:iCs/>
        </w:rPr>
        <w:t xml:space="preserve"> </w:t>
      </w:r>
      <w:r w:rsidRPr="00490B49">
        <w:rPr>
          <w:i/>
          <w:iCs/>
        </w:rPr>
        <w:t>employment</w:t>
      </w:r>
      <w:r>
        <w:rPr>
          <w:i/>
          <w:iCs/>
        </w:rPr>
        <w:t xml:space="preserve"> </w:t>
      </w:r>
      <w:r w:rsidRPr="00490B49">
        <w:rPr>
          <w:i/>
          <w:iCs/>
        </w:rPr>
        <w:t>strategy:</w:t>
      </w:r>
      <w:r>
        <w:rPr>
          <w:i/>
          <w:iCs/>
        </w:rPr>
        <w:t xml:space="preserve"> </w:t>
      </w:r>
      <w:r w:rsidRPr="00490B49">
        <w:rPr>
          <w:i/>
          <w:iCs/>
        </w:rPr>
        <w:t>2018</w:t>
      </w:r>
      <w:r>
        <w:rPr>
          <w:i/>
          <w:iCs/>
        </w:rPr>
        <w:t>–</w:t>
      </w:r>
      <w:r w:rsidRPr="00490B49">
        <w:rPr>
          <w:i/>
          <w:iCs/>
        </w:rPr>
        <w:t>2020</w:t>
      </w:r>
      <w:r>
        <w:t xml:space="preserve"> </w:t>
      </w:r>
      <w:r w:rsidRPr="00490B49">
        <w:t>supported</w:t>
      </w:r>
      <w:r>
        <w:t xml:space="preserve"> </w:t>
      </w:r>
      <w:r w:rsidRPr="00490B49">
        <w:t>increased</w:t>
      </w:r>
      <w:r>
        <w:t xml:space="preserve"> </w:t>
      </w:r>
      <w:r w:rsidRPr="00490B49">
        <w:t>opportunities</w:t>
      </w:r>
      <w:r>
        <w:t xml:space="preserve"> </w:t>
      </w:r>
      <w:r w:rsidRPr="00490B49">
        <w:t>for</w:t>
      </w:r>
      <w:r>
        <w:t xml:space="preserve"> </w:t>
      </w:r>
      <w:r w:rsidRPr="00490B49">
        <w:t>people</w:t>
      </w:r>
      <w:r>
        <w:t xml:space="preserve"> </w:t>
      </w:r>
      <w:r w:rsidRPr="00490B49">
        <w:t>with</w:t>
      </w:r>
      <w:r>
        <w:t xml:space="preserve"> </w:t>
      </w:r>
      <w:r w:rsidRPr="00490B49">
        <w:t>disability</w:t>
      </w:r>
      <w:r>
        <w:t xml:space="preserve"> </w:t>
      </w:r>
      <w:r w:rsidRPr="00490B49">
        <w:t>to</w:t>
      </w:r>
      <w:r>
        <w:t xml:space="preserve"> </w:t>
      </w:r>
      <w:r w:rsidRPr="00490B49">
        <w:t>work</w:t>
      </w:r>
      <w:r>
        <w:t xml:space="preserve"> </w:t>
      </w:r>
      <w:r w:rsidRPr="00490B49">
        <w:t>in</w:t>
      </w:r>
      <w:r>
        <w:t xml:space="preserve"> </w:t>
      </w:r>
      <w:r w:rsidRPr="00490B49">
        <w:t>the</w:t>
      </w:r>
      <w:r>
        <w:t xml:space="preserve"> </w:t>
      </w:r>
      <w:r w:rsidRPr="00490B49">
        <w:t>department</w:t>
      </w:r>
      <w:r>
        <w:t xml:space="preserve"> </w:t>
      </w:r>
      <w:r w:rsidRPr="00490B49">
        <w:t>and</w:t>
      </w:r>
      <w:r>
        <w:t xml:space="preserve"> </w:t>
      </w:r>
      <w:r w:rsidRPr="00490B49">
        <w:t>provided</w:t>
      </w:r>
      <w:r>
        <w:t xml:space="preserve"> </w:t>
      </w:r>
      <w:r w:rsidRPr="00490B49">
        <w:t>a</w:t>
      </w:r>
      <w:r>
        <w:t xml:space="preserve"> </w:t>
      </w:r>
      <w:r w:rsidRPr="00490B49">
        <w:t>focus</w:t>
      </w:r>
      <w:r>
        <w:t xml:space="preserve"> </w:t>
      </w:r>
      <w:r w:rsidRPr="00490B49">
        <w:t>to</w:t>
      </w:r>
      <w:r>
        <w:t xml:space="preserve"> </w:t>
      </w:r>
      <w:r w:rsidRPr="00490B49">
        <w:t>ensure</w:t>
      </w:r>
      <w:r>
        <w:t xml:space="preserve"> </w:t>
      </w:r>
      <w:r w:rsidRPr="00490B49">
        <w:t>staff</w:t>
      </w:r>
      <w:r>
        <w:t xml:space="preserve"> </w:t>
      </w:r>
      <w:r w:rsidRPr="00490B49">
        <w:t>with</w:t>
      </w:r>
      <w:r>
        <w:t xml:space="preserve"> </w:t>
      </w:r>
      <w:r w:rsidRPr="00490B49">
        <w:t>disability</w:t>
      </w:r>
      <w:r>
        <w:t xml:space="preserve"> </w:t>
      </w:r>
      <w:r w:rsidRPr="00490B49">
        <w:t>were</w:t>
      </w:r>
      <w:r>
        <w:t xml:space="preserve"> </w:t>
      </w:r>
      <w:r w:rsidRPr="00490B49">
        <w:t>enabled</w:t>
      </w:r>
      <w:r>
        <w:t xml:space="preserve"> </w:t>
      </w:r>
      <w:r w:rsidRPr="00490B49">
        <w:t>and</w:t>
      </w:r>
      <w:r>
        <w:t xml:space="preserve"> </w:t>
      </w:r>
      <w:r w:rsidRPr="00490B49">
        <w:t>supported</w:t>
      </w:r>
      <w:r>
        <w:t xml:space="preserve"> </w:t>
      </w:r>
      <w:r w:rsidRPr="00490B49">
        <w:t>throughout</w:t>
      </w:r>
      <w:r>
        <w:t xml:space="preserve"> </w:t>
      </w:r>
      <w:r w:rsidRPr="00490B49">
        <w:t>the</w:t>
      </w:r>
      <w:r>
        <w:t xml:space="preserve"> </w:t>
      </w:r>
      <w:r w:rsidRPr="00490B49">
        <w:t>recruitment</w:t>
      </w:r>
      <w:r>
        <w:t xml:space="preserve"> </w:t>
      </w:r>
      <w:r w:rsidRPr="00490B49">
        <w:t>process</w:t>
      </w:r>
      <w:r>
        <w:t xml:space="preserve"> </w:t>
      </w:r>
      <w:r w:rsidRPr="00490B49">
        <w:t>and</w:t>
      </w:r>
      <w:r>
        <w:t xml:space="preserve"> </w:t>
      </w:r>
      <w:r w:rsidRPr="00490B49">
        <w:t>with</w:t>
      </w:r>
      <w:r>
        <w:t xml:space="preserve"> </w:t>
      </w:r>
      <w:r w:rsidRPr="00490B49">
        <w:t>adjustments</w:t>
      </w:r>
      <w:r>
        <w:t xml:space="preserve"> </w:t>
      </w:r>
      <w:r w:rsidRPr="00490B49">
        <w:t>to</w:t>
      </w:r>
      <w:r>
        <w:t xml:space="preserve"> </w:t>
      </w:r>
      <w:r w:rsidRPr="00490B49">
        <w:t>the</w:t>
      </w:r>
      <w:r>
        <w:t xml:space="preserve"> </w:t>
      </w:r>
      <w:r w:rsidRPr="00490B49">
        <w:t>workplace.</w:t>
      </w:r>
    </w:p>
    <w:p w14:paraId="5EB148AA" w14:textId="3657D961" w:rsidR="001A70B8" w:rsidRPr="00490B49" w:rsidRDefault="001A70B8" w:rsidP="00101E5D">
      <w:pPr>
        <w:pStyle w:val="ARbody"/>
        <w:shd w:val="clear" w:color="auto" w:fill="FFFFFF" w:themeFill="background1"/>
      </w:pPr>
      <w:r w:rsidRPr="00490B49">
        <w:t>The</w:t>
      </w:r>
      <w:r>
        <w:t xml:space="preserve"> </w:t>
      </w:r>
      <w:r w:rsidRPr="00490B49">
        <w:t>expiry</w:t>
      </w:r>
      <w:r>
        <w:t xml:space="preserve"> </w:t>
      </w:r>
      <w:r w:rsidRPr="00490B49">
        <w:t>of</w:t>
      </w:r>
      <w:r>
        <w:t xml:space="preserve"> </w:t>
      </w:r>
      <w:r w:rsidRPr="00490B49">
        <w:t>the</w:t>
      </w:r>
      <w:r>
        <w:t xml:space="preserve"> </w:t>
      </w:r>
      <w:r w:rsidRPr="00490B49">
        <w:t>strategy</w:t>
      </w:r>
      <w:r>
        <w:t xml:space="preserve"> </w:t>
      </w:r>
      <w:r w:rsidRPr="00490B49">
        <w:t>has</w:t>
      </w:r>
      <w:r>
        <w:t xml:space="preserve"> </w:t>
      </w:r>
      <w:r w:rsidRPr="00490B49">
        <w:t>led</w:t>
      </w:r>
      <w:r>
        <w:t xml:space="preserve"> </w:t>
      </w:r>
      <w:r w:rsidRPr="00490B49">
        <w:t>to</w:t>
      </w:r>
      <w:r>
        <w:t xml:space="preserve"> </w:t>
      </w:r>
      <w:r w:rsidRPr="00490B49">
        <w:t>the</w:t>
      </w:r>
      <w:r>
        <w:t xml:space="preserve"> </w:t>
      </w:r>
      <w:r w:rsidRPr="00490B49">
        <w:t>development</w:t>
      </w:r>
      <w:r>
        <w:t xml:space="preserve"> </w:t>
      </w:r>
      <w:r w:rsidRPr="00490B49">
        <w:t>of</w:t>
      </w:r>
      <w:r>
        <w:t xml:space="preserve"> </w:t>
      </w:r>
      <w:r w:rsidRPr="00490B49">
        <w:t>a</w:t>
      </w:r>
      <w:r>
        <w:t xml:space="preserve"> </w:t>
      </w:r>
      <w:r w:rsidRPr="00490B49">
        <w:rPr>
          <w:i/>
          <w:iCs/>
        </w:rPr>
        <w:t>Disability</w:t>
      </w:r>
      <w:r>
        <w:rPr>
          <w:i/>
          <w:iCs/>
        </w:rPr>
        <w:t xml:space="preserve"> </w:t>
      </w:r>
      <w:r w:rsidRPr="00490B49">
        <w:rPr>
          <w:i/>
          <w:iCs/>
        </w:rPr>
        <w:t>employment</w:t>
      </w:r>
      <w:r>
        <w:rPr>
          <w:i/>
          <w:iCs/>
        </w:rPr>
        <w:t xml:space="preserve"> </w:t>
      </w:r>
      <w:r w:rsidRPr="00490B49">
        <w:rPr>
          <w:i/>
          <w:iCs/>
        </w:rPr>
        <w:t>implementation</w:t>
      </w:r>
      <w:r>
        <w:rPr>
          <w:i/>
          <w:iCs/>
        </w:rPr>
        <w:t xml:space="preserve"> </w:t>
      </w:r>
      <w:r w:rsidRPr="00490B49">
        <w:rPr>
          <w:i/>
          <w:iCs/>
        </w:rPr>
        <w:t>plan</w:t>
      </w:r>
      <w:r w:rsidRPr="008D2F99">
        <w:t xml:space="preserve"> which b</w:t>
      </w:r>
      <w:r w:rsidRPr="00490B49">
        <w:t>uilds</w:t>
      </w:r>
      <w:r>
        <w:t xml:space="preserve"> </w:t>
      </w:r>
      <w:r w:rsidRPr="00490B49">
        <w:t>on</w:t>
      </w:r>
      <w:r>
        <w:t xml:space="preserve"> </w:t>
      </w:r>
      <w:r w:rsidRPr="00490B49">
        <w:t>existing</w:t>
      </w:r>
      <w:r>
        <w:t xml:space="preserve"> </w:t>
      </w:r>
      <w:r w:rsidRPr="00490B49">
        <w:t>work</w:t>
      </w:r>
      <w:r w:rsidR="001C7FAA">
        <w:t> </w:t>
      </w:r>
      <w:r w:rsidRPr="00490B49">
        <w:t>the</w:t>
      </w:r>
      <w:r>
        <w:t xml:space="preserve"> </w:t>
      </w:r>
      <w:r w:rsidRPr="00490B49">
        <w:t>department</w:t>
      </w:r>
      <w:r>
        <w:t xml:space="preserve"> </w:t>
      </w:r>
      <w:r w:rsidRPr="00490B49">
        <w:t>has</w:t>
      </w:r>
      <w:r>
        <w:t xml:space="preserve"> </w:t>
      </w:r>
      <w:r w:rsidRPr="00490B49">
        <w:t>undertaken</w:t>
      </w:r>
      <w:r>
        <w:t xml:space="preserve"> </w:t>
      </w:r>
      <w:r w:rsidRPr="00490B49">
        <w:t>to</w:t>
      </w:r>
      <w:r>
        <w:t xml:space="preserve"> </w:t>
      </w:r>
      <w:r w:rsidRPr="00490B49">
        <w:t>enhance</w:t>
      </w:r>
      <w:r>
        <w:t xml:space="preserve"> </w:t>
      </w:r>
      <w:r w:rsidRPr="00490B49">
        <w:t>the</w:t>
      </w:r>
      <w:r>
        <w:t xml:space="preserve"> </w:t>
      </w:r>
      <w:r w:rsidRPr="00490B49">
        <w:t>employment</w:t>
      </w:r>
      <w:r>
        <w:t xml:space="preserve"> </w:t>
      </w:r>
      <w:r w:rsidRPr="00490B49">
        <w:t>of</w:t>
      </w:r>
      <w:r>
        <w:t xml:space="preserve"> </w:t>
      </w:r>
      <w:r w:rsidRPr="00490B49">
        <w:t>people</w:t>
      </w:r>
      <w:r>
        <w:t xml:space="preserve"> </w:t>
      </w:r>
      <w:r w:rsidRPr="00490B49">
        <w:t>with</w:t>
      </w:r>
      <w:r>
        <w:t xml:space="preserve"> </w:t>
      </w:r>
      <w:r w:rsidRPr="00490B49">
        <w:t>disability.</w:t>
      </w:r>
    </w:p>
    <w:p w14:paraId="3A3DB0F0" w14:textId="381FB5E7" w:rsidR="009A3C27" w:rsidRPr="00490B49" w:rsidRDefault="009A3C27" w:rsidP="009A3C27">
      <w:pPr>
        <w:pStyle w:val="ARbody"/>
        <w:shd w:val="clear" w:color="auto" w:fill="FFFFFF" w:themeFill="background1"/>
      </w:pPr>
      <w:r w:rsidRPr="00490B49">
        <w:t>The</w:t>
      </w:r>
      <w:r>
        <w:t xml:space="preserve"> </w:t>
      </w:r>
      <w:r w:rsidRPr="00490B49">
        <w:t>plan</w:t>
      </w:r>
      <w:r>
        <w:t xml:space="preserve"> </w:t>
      </w:r>
      <w:r w:rsidRPr="00490B49">
        <w:t>highlights</w:t>
      </w:r>
      <w:r>
        <w:t xml:space="preserve"> </w:t>
      </w:r>
      <w:r w:rsidRPr="00490B49">
        <w:t>the</w:t>
      </w:r>
      <w:r>
        <w:t xml:space="preserve"> </w:t>
      </w:r>
      <w:r w:rsidRPr="00490B49">
        <w:t>department’s</w:t>
      </w:r>
      <w:r>
        <w:t xml:space="preserve"> </w:t>
      </w:r>
      <w:r w:rsidRPr="00490B49">
        <w:t>focus</w:t>
      </w:r>
      <w:r>
        <w:t xml:space="preserve"> </w:t>
      </w:r>
      <w:r w:rsidRPr="00490B49">
        <w:t>on</w:t>
      </w:r>
      <w:r>
        <w:t xml:space="preserve"> </w:t>
      </w:r>
      <w:r w:rsidRPr="00490B49">
        <w:t>being</w:t>
      </w:r>
      <w:r w:rsidR="000D06B0">
        <w:t> </w:t>
      </w:r>
      <w:r w:rsidRPr="00490B49">
        <w:t>an</w:t>
      </w:r>
      <w:r>
        <w:t xml:space="preserve"> </w:t>
      </w:r>
      <w:r w:rsidRPr="00490B49">
        <w:t>employer</w:t>
      </w:r>
      <w:r>
        <w:t xml:space="preserve"> </w:t>
      </w:r>
      <w:r w:rsidRPr="00490B49">
        <w:t>of</w:t>
      </w:r>
      <w:r>
        <w:t xml:space="preserve"> </w:t>
      </w:r>
      <w:r w:rsidRPr="00490B49">
        <w:t>choice</w:t>
      </w:r>
      <w:r>
        <w:t xml:space="preserve"> </w:t>
      </w:r>
      <w:r w:rsidRPr="00490B49">
        <w:t>for</w:t>
      </w:r>
      <w:r>
        <w:t xml:space="preserve"> </w:t>
      </w:r>
      <w:r w:rsidRPr="00490B49">
        <w:t>people</w:t>
      </w:r>
      <w:r>
        <w:t xml:space="preserve"> </w:t>
      </w:r>
      <w:r w:rsidRPr="00490B49">
        <w:t>with</w:t>
      </w:r>
      <w:r>
        <w:t xml:space="preserve"> </w:t>
      </w:r>
      <w:r w:rsidRPr="00490B49">
        <w:t>disability</w:t>
      </w:r>
      <w:r>
        <w:t xml:space="preserve"> </w:t>
      </w:r>
      <w:r w:rsidRPr="00490B49">
        <w:t>and</w:t>
      </w:r>
      <w:r>
        <w:t xml:space="preserve"> </w:t>
      </w:r>
      <w:r w:rsidRPr="00490B49">
        <w:t>tackles</w:t>
      </w:r>
      <w:r>
        <w:t xml:space="preserve"> </w:t>
      </w:r>
      <w:r w:rsidRPr="00490B49">
        <w:t>employment</w:t>
      </w:r>
      <w:r>
        <w:t xml:space="preserve"> </w:t>
      </w:r>
      <w:r w:rsidRPr="00490B49">
        <w:t>barriers</w:t>
      </w:r>
      <w:r>
        <w:t xml:space="preserve"> </w:t>
      </w:r>
      <w:r w:rsidRPr="00490B49">
        <w:t>such</w:t>
      </w:r>
      <w:r>
        <w:t xml:space="preserve"> </w:t>
      </w:r>
      <w:r w:rsidRPr="00490B49">
        <w:t>as</w:t>
      </w:r>
      <w:r>
        <w:t xml:space="preserve"> </w:t>
      </w:r>
      <w:r w:rsidRPr="00490B49">
        <w:t>attitudes</w:t>
      </w:r>
      <w:r>
        <w:t xml:space="preserve"> </w:t>
      </w:r>
      <w:r w:rsidRPr="00490B49">
        <w:t>and</w:t>
      </w:r>
      <w:r>
        <w:t xml:space="preserve"> </w:t>
      </w:r>
      <w:r w:rsidRPr="00490B49">
        <w:t>behaviour,</w:t>
      </w:r>
      <w:r>
        <w:t xml:space="preserve"> </w:t>
      </w:r>
      <w:r w:rsidRPr="00490B49">
        <w:t>job</w:t>
      </w:r>
      <w:r>
        <w:t xml:space="preserve"> </w:t>
      </w:r>
      <w:r w:rsidRPr="00490B49">
        <w:t>design,</w:t>
      </w:r>
      <w:r>
        <w:t xml:space="preserve"> </w:t>
      </w:r>
      <w:r w:rsidRPr="00490B49">
        <w:t>inaccessible</w:t>
      </w:r>
      <w:r>
        <w:t xml:space="preserve"> </w:t>
      </w:r>
      <w:r w:rsidRPr="00490B49">
        <w:t>work</w:t>
      </w:r>
      <w:r>
        <w:t xml:space="preserve"> </w:t>
      </w:r>
      <w:r w:rsidRPr="00490B49">
        <w:t>environments</w:t>
      </w:r>
      <w:r>
        <w:t xml:space="preserve"> </w:t>
      </w:r>
      <w:r w:rsidRPr="00490B49">
        <w:t>and</w:t>
      </w:r>
      <w:r>
        <w:t xml:space="preserve"> </w:t>
      </w:r>
      <w:r w:rsidRPr="00490B49">
        <w:t>lack</w:t>
      </w:r>
      <w:r>
        <w:t xml:space="preserve"> </w:t>
      </w:r>
      <w:r w:rsidRPr="00490B49">
        <w:t>of</w:t>
      </w:r>
      <w:r>
        <w:t xml:space="preserve"> </w:t>
      </w:r>
      <w:r w:rsidRPr="00490B49">
        <w:t>ongoing</w:t>
      </w:r>
      <w:r>
        <w:t xml:space="preserve"> </w:t>
      </w:r>
      <w:r w:rsidRPr="00490B49">
        <w:t>workplace</w:t>
      </w:r>
      <w:r>
        <w:t xml:space="preserve"> </w:t>
      </w:r>
      <w:r w:rsidRPr="00490B49">
        <w:t>development</w:t>
      </w:r>
      <w:r>
        <w:t xml:space="preserve"> </w:t>
      </w:r>
      <w:r w:rsidRPr="00490B49">
        <w:t>and</w:t>
      </w:r>
      <w:r>
        <w:t xml:space="preserve"> </w:t>
      </w:r>
      <w:r w:rsidRPr="00490B49">
        <w:t>support.</w:t>
      </w:r>
      <w:r w:rsidRPr="009A3C27">
        <w:t xml:space="preserve"> </w:t>
      </w:r>
      <w:r>
        <w:t>The department employs</w:t>
      </w:r>
      <w:r w:rsidRPr="00993EBD">
        <w:t xml:space="preserve"> a dedicated </w:t>
      </w:r>
      <w:r>
        <w:t>d</w:t>
      </w:r>
      <w:r w:rsidRPr="00993EBD">
        <w:t>isability employment adviser</w:t>
      </w:r>
      <w:r>
        <w:t xml:space="preserve"> to lead this work.</w:t>
      </w:r>
    </w:p>
    <w:p w14:paraId="2EBDF66A" w14:textId="13AC9007" w:rsidR="00341781" w:rsidRPr="00490B49" w:rsidRDefault="001A70B8" w:rsidP="004B795B">
      <w:pPr>
        <w:pStyle w:val="ARbody"/>
        <w:shd w:val="clear" w:color="auto" w:fill="FFFFFF" w:themeFill="background1"/>
      </w:pPr>
      <w:r w:rsidRPr="00490B49">
        <w:t>The</w:t>
      </w:r>
      <w:r>
        <w:t xml:space="preserve"> </w:t>
      </w:r>
      <w:r w:rsidRPr="00490B49">
        <w:t>plan</w:t>
      </w:r>
      <w:r>
        <w:t xml:space="preserve"> </w:t>
      </w:r>
      <w:r w:rsidRPr="00490B49">
        <w:t>is</w:t>
      </w:r>
      <w:r>
        <w:t xml:space="preserve"> </w:t>
      </w:r>
      <w:r w:rsidRPr="00490B49">
        <w:t>guided</w:t>
      </w:r>
      <w:r>
        <w:t xml:space="preserve"> </w:t>
      </w:r>
      <w:r w:rsidRPr="00490B49">
        <w:t>by</w:t>
      </w:r>
      <w:r>
        <w:t xml:space="preserve"> </w:t>
      </w:r>
      <w:r w:rsidR="008E55AC" w:rsidRPr="00E73443">
        <w:rPr>
          <w:i/>
          <w:iCs/>
        </w:rPr>
        <w:t xml:space="preserve">Getting to work: </w:t>
      </w:r>
      <w:r w:rsidR="008E55AC" w:rsidRPr="00E73443">
        <w:rPr>
          <w:rFonts w:ascii="Tahoma" w:hAnsi="Tahoma" w:cs="Tahoma"/>
          <w:i/>
          <w:iCs/>
        </w:rPr>
        <w:t>⁠</w:t>
      </w:r>
      <w:r w:rsidR="008E55AC" w:rsidRPr="00E73443">
        <w:rPr>
          <w:i/>
          <w:iCs/>
        </w:rPr>
        <w:t>Victorian public sector disability employment action plan 2018 – 2025</w:t>
      </w:r>
      <w:r w:rsidR="003F4B02">
        <w:rPr>
          <w:i/>
          <w:iCs/>
        </w:rPr>
        <w:t>,</w:t>
      </w:r>
      <w:r>
        <w:t xml:space="preserve"> </w:t>
      </w:r>
      <w:r w:rsidRPr="00490B49">
        <w:t>which</w:t>
      </w:r>
      <w:r>
        <w:t xml:space="preserve"> </w:t>
      </w:r>
      <w:r w:rsidR="00F64B9A">
        <w:t xml:space="preserve">aims </w:t>
      </w:r>
      <w:r w:rsidRPr="00490B49">
        <w:t>for</w:t>
      </w:r>
      <w:r>
        <w:t xml:space="preserve"> </w:t>
      </w:r>
      <w:r w:rsidR="00F64B9A">
        <w:t xml:space="preserve">greater numbers </w:t>
      </w:r>
      <w:r w:rsidR="008F4D73">
        <w:t xml:space="preserve">of </w:t>
      </w:r>
      <w:r w:rsidRPr="00490B49">
        <w:t>people</w:t>
      </w:r>
      <w:r>
        <w:t xml:space="preserve"> </w:t>
      </w:r>
      <w:r w:rsidRPr="00490B49">
        <w:t>with</w:t>
      </w:r>
      <w:r>
        <w:t xml:space="preserve"> </w:t>
      </w:r>
      <w:r w:rsidRPr="00490B49">
        <w:t>disability</w:t>
      </w:r>
      <w:r>
        <w:t xml:space="preserve"> </w:t>
      </w:r>
      <w:r w:rsidR="008B7A23">
        <w:t xml:space="preserve">to be employed </w:t>
      </w:r>
      <w:r w:rsidRPr="00490B49">
        <w:t>at</w:t>
      </w:r>
      <w:r>
        <w:t xml:space="preserve"> </w:t>
      </w:r>
      <w:r w:rsidRPr="00490B49">
        <w:t>all</w:t>
      </w:r>
      <w:r>
        <w:t xml:space="preserve"> </w:t>
      </w:r>
      <w:r w:rsidRPr="00490B49">
        <w:t>levels</w:t>
      </w:r>
      <w:r>
        <w:t xml:space="preserve"> </w:t>
      </w:r>
      <w:r w:rsidRPr="00490B49">
        <w:t>of</w:t>
      </w:r>
      <w:r>
        <w:t xml:space="preserve"> </w:t>
      </w:r>
      <w:r w:rsidRPr="00490B49">
        <w:t>the</w:t>
      </w:r>
      <w:r>
        <w:t xml:space="preserve"> </w:t>
      </w:r>
      <w:r w:rsidRPr="00490B49">
        <w:t>public</w:t>
      </w:r>
      <w:r>
        <w:t xml:space="preserve"> </w:t>
      </w:r>
      <w:r w:rsidRPr="00490B49">
        <w:t>service,</w:t>
      </w:r>
      <w:r>
        <w:t xml:space="preserve"> </w:t>
      </w:r>
      <w:r w:rsidR="002074C9">
        <w:t xml:space="preserve">and </w:t>
      </w:r>
      <w:r w:rsidR="00F64B9A">
        <w:t xml:space="preserve">for them </w:t>
      </w:r>
      <w:r w:rsidR="002074C9">
        <w:t xml:space="preserve">to </w:t>
      </w:r>
      <w:r w:rsidRPr="00490B49">
        <w:t>have</w:t>
      </w:r>
      <w:r>
        <w:t xml:space="preserve"> </w:t>
      </w:r>
      <w:r w:rsidRPr="00490B49">
        <w:t>successful</w:t>
      </w:r>
      <w:r>
        <w:t xml:space="preserve"> </w:t>
      </w:r>
      <w:r w:rsidRPr="00490B49">
        <w:t>careers</w:t>
      </w:r>
      <w:r>
        <w:t xml:space="preserve"> </w:t>
      </w:r>
      <w:r w:rsidRPr="00490B49">
        <w:t>and</w:t>
      </w:r>
      <w:r>
        <w:t xml:space="preserve"> </w:t>
      </w:r>
      <w:r w:rsidRPr="00490B49">
        <w:t>a</w:t>
      </w:r>
      <w:r>
        <w:t xml:space="preserve"> </w:t>
      </w:r>
      <w:r w:rsidRPr="00490B49">
        <w:t>fairer</w:t>
      </w:r>
      <w:r>
        <w:t xml:space="preserve"> </w:t>
      </w:r>
      <w:r w:rsidRPr="00490B49">
        <w:t>employment</w:t>
      </w:r>
      <w:r>
        <w:t xml:space="preserve"> </w:t>
      </w:r>
      <w:r w:rsidRPr="00490B49">
        <w:t>experience.</w:t>
      </w:r>
    </w:p>
    <w:p w14:paraId="5BF0DF55" w14:textId="295713B0" w:rsidR="00CE1F05" w:rsidRDefault="009A3C27" w:rsidP="00CE1F05">
      <w:pPr>
        <w:pStyle w:val="ARbodyafterbullets"/>
      </w:pPr>
      <w:r w:rsidRPr="00490B49">
        <w:t>Its</w:t>
      </w:r>
      <w:r>
        <w:t xml:space="preserve"> </w:t>
      </w:r>
      <w:r w:rsidRPr="00490B49">
        <w:t>principal</w:t>
      </w:r>
      <w:r>
        <w:t xml:space="preserve"> </w:t>
      </w:r>
      <w:r w:rsidRPr="00490B49">
        <w:t>objective</w:t>
      </w:r>
      <w:r>
        <w:t xml:space="preserve"> </w:t>
      </w:r>
      <w:r w:rsidRPr="00490B49">
        <w:t>is</w:t>
      </w:r>
      <w:r>
        <w:t xml:space="preserve"> </w:t>
      </w:r>
      <w:r w:rsidRPr="00490B49">
        <w:t>to</w:t>
      </w:r>
      <w:r>
        <w:t xml:space="preserve"> </w:t>
      </w:r>
      <w:r w:rsidRPr="00490B49">
        <w:t>increase</w:t>
      </w:r>
      <w:r>
        <w:t xml:space="preserve"> </w:t>
      </w:r>
      <w:r w:rsidRPr="00490B49">
        <w:t>the</w:t>
      </w:r>
      <w:r>
        <w:t xml:space="preserve"> </w:t>
      </w:r>
      <w:r w:rsidRPr="00490B49">
        <w:t>overall</w:t>
      </w:r>
      <w:r>
        <w:t xml:space="preserve"> </w:t>
      </w:r>
      <w:r w:rsidRPr="00490B49">
        <w:t>engagement,</w:t>
      </w:r>
      <w:r>
        <w:t xml:space="preserve"> </w:t>
      </w:r>
      <w:r w:rsidRPr="00490B49">
        <w:t>representation</w:t>
      </w:r>
      <w:r>
        <w:t xml:space="preserve"> </w:t>
      </w:r>
      <w:r w:rsidRPr="00490B49">
        <w:t>and</w:t>
      </w:r>
      <w:r>
        <w:t xml:space="preserve"> </w:t>
      </w:r>
      <w:r w:rsidRPr="00490B49">
        <w:t>meaningful</w:t>
      </w:r>
      <w:r>
        <w:t xml:space="preserve"> </w:t>
      </w:r>
      <w:r w:rsidRPr="00490B49">
        <w:t>employment</w:t>
      </w:r>
      <w:r>
        <w:t xml:space="preserve"> </w:t>
      </w:r>
      <w:r w:rsidRPr="00490B49">
        <w:t>of</w:t>
      </w:r>
      <w:r>
        <w:t xml:space="preserve"> </w:t>
      </w:r>
      <w:r w:rsidRPr="00490B49">
        <w:t>people</w:t>
      </w:r>
      <w:r>
        <w:t xml:space="preserve"> </w:t>
      </w:r>
      <w:r w:rsidRPr="00490B49">
        <w:t>with</w:t>
      </w:r>
      <w:r>
        <w:t xml:space="preserve"> </w:t>
      </w:r>
      <w:r w:rsidRPr="00490B49">
        <w:t>disability</w:t>
      </w:r>
      <w:r>
        <w:t xml:space="preserve"> </w:t>
      </w:r>
      <w:r w:rsidRPr="00490B49">
        <w:t>across</w:t>
      </w:r>
      <w:r>
        <w:t xml:space="preserve"> </w:t>
      </w:r>
      <w:r w:rsidRPr="00490B49">
        <w:t>every</w:t>
      </w:r>
      <w:r>
        <w:t xml:space="preserve"> </w:t>
      </w:r>
      <w:r w:rsidRPr="00490B49">
        <w:t>level</w:t>
      </w:r>
      <w:r>
        <w:t xml:space="preserve"> </w:t>
      </w:r>
      <w:r w:rsidRPr="00490B49">
        <w:t>and</w:t>
      </w:r>
      <w:r w:rsidR="0034696F">
        <w:t xml:space="preserve"> it</w:t>
      </w:r>
      <w:r>
        <w:t xml:space="preserve"> </w:t>
      </w:r>
      <w:r w:rsidRPr="00490B49">
        <w:t>commits</w:t>
      </w:r>
      <w:r>
        <w:t xml:space="preserve"> </w:t>
      </w:r>
      <w:r w:rsidRPr="00490B49">
        <w:t>to</w:t>
      </w:r>
      <w:r>
        <w:t xml:space="preserve"> </w:t>
      </w:r>
      <w:r w:rsidRPr="00490B49">
        <w:t>achieving</w:t>
      </w:r>
      <w:r>
        <w:t xml:space="preserve"> </w:t>
      </w:r>
      <w:r w:rsidRPr="00490B49">
        <w:t>an</w:t>
      </w:r>
      <w:r>
        <w:t xml:space="preserve"> </w:t>
      </w:r>
      <w:r w:rsidRPr="00490B49">
        <w:t>employment</w:t>
      </w:r>
      <w:r>
        <w:t xml:space="preserve"> </w:t>
      </w:r>
      <w:r w:rsidRPr="001C7964">
        <w:t xml:space="preserve">target </w:t>
      </w:r>
      <w:r>
        <w:t>where people with disability make up 12</w:t>
      </w:r>
      <w:r w:rsidR="000D06B0">
        <w:t> </w:t>
      </w:r>
      <w:r>
        <w:t>per</w:t>
      </w:r>
      <w:r w:rsidR="000D06B0">
        <w:t> </w:t>
      </w:r>
      <w:r>
        <w:t>cent of employees across all government departments by 2025.</w:t>
      </w:r>
    </w:p>
    <w:p w14:paraId="3CCD6B29" w14:textId="57B391E1" w:rsidR="009A3C27" w:rsidRDefault="00CE1F05" w:rsidP="00CE1F05">
      <w:pPr>
        <w:pStyle w:val="ARbodyafterbullets"/>
      </w:pPr>
      <w:r w:rsidRPr="00CE1F05">
        <w:t>The department continues to develop and implement resources and establish guidelines to support managers with hiring responsibilities across each stage of the recruitment process, through the creation of disability awareness essentials around unconscious bias, workplace adjustments, and disability-specific advice and support for hiring panels.</w:t>
      </w:r>
      <w:r>
        <w:t xml:space="preserve"> The department also </w:t>
      </w:r>
      <w:r w:rsidR="002B40B7">
        <w:t xml:space="preserve">supports </w:t>
      </w:r>
      <w:r w:rsidR="002E21BB">
        <w:t xml:space="preserve">staff </w:t>
      </w:r>
      <w:r w:rsidR="002B40B7">
        <w:t>participation in the VPS Enablers Network.</w:t>
      </w:r>
    </w:p>
    <w:p w14:paraId="086EB161" w14:textId="386AECD6" w:rsidR="00C0750D" w:rsidRDefault="002835C0" w:rsidP="006B3266">
      <w:pPr>
        <w:pStyle w:val="Heading3"/>
      </w:pPr>
      <w:r>
        <w:t>Neurodiverse employment</w:t>
      </w:r>
    </w:p>
    <w:p w14:paraId="5C0B99A8" w14:textId="2BC6E5E8" w:rsidR="001650BF" w:rsidRDefault="00C0750D" w:rsidP="00CE1F05">
      <w:pPr>
        <w:pStyle w:val="Heading4"/>
      </w:pPr>
      <w:r>
        <w:t>RISE Program</w:t>
      </w:r>
    </w:p>
    <w:p w14:paraId="2F94CEE6" w14:textId="3B5861B5" w:rsidR="001A70B8" w:rsidRPr="00490B49" w:rsidRDefault="001A70B8" w:rsidP="00101E5D">
      <w:pPr>
        <w:pStyle w:val="ARbody"/>
        <w:shd w:val="clear" w:color="auto" w:fill="FFFFFF" w:themeFill="background1"/>
      </w:pPr>
      <w:r w:rsidRPr="00490B49">
        <w:t>The</w:t>
      </w:r>
      <w:r>
        <w:t xml:space="preserve"> </w:t>
      </w:r>
      <w:r w:rsidRPr="00490B49">
        <w:t>RISE</w:t>
      </w:r>
      <w:r>
        <w:t xml:space="preserve"> </w:t>
      </w:r>
      <w:r w:rsidRPr="00490B49">
        <w:t>Program</w:t>
      </w:r>
      <w:r w:rsidR="008B7A23">
        <w:t>,</w:t>
      </w:r>
      <w:r>
        <w:t xml:space="preserve"> </w:t>
      </w:r>
      <w:r w:rsidRPr="00490B49">
        <w:t>which</w:t>
      </w:r>
      <w:r>
        <w:t xml:space="preserve"> </w:t>
      </w:r>
      <w:r w:rsidRPr="00490B49">
        <w:t>was</w:t>
      </w:r>
      <w:r>
        <w:t xml:space="preserve"> </w:t>
      </w:r>
      <w:r w:rsidRPr="00490B49">
        <w:t>launched</w:t>
      </w:r>
      <w:r>
        <w:t xml:space="preserve"> </w:t>
      </w:r>
      <w:r w:rsidRPr="00490B49">
        <w:t>in</w:t>
      </w:r>
      <w:r>
        <w:t xml:space="preserve"> </w:t>
      </w:r>
      <w:r w:rsidRPr="00490B49">
        <w:t>2017</w:t>
      </w:r>
      <w:r>
        <w:t xml:space="preserve"> </w:t>
      </w:r>
      <w:r w:rsidRPr="00490B49">
        <w:t>in</w:t>
      </w:r>
      <w:r w:rsidR="000D06B0">
        <w:t> </w:t>
      </w:r>
      <w:r w:rsidRPr="00490B49">
        <w:t>partnership</w:t>
      </w:r>
      <w:r>
        <w:t xml:space="preserve"> </w:t>
      </w:r>
      <w:r w:rsidRPr="00490B49">
        <w:t>with</w:t>
      </w:r>
      <w:r>
        <w:t xml:space="preserve"> </w:t>
      </w:r>
      <w:r w:rsidRPr="00490B49">
        <w:t>Specialisterne</w:t>
      </w:r>
      <w:r>
        <w:t xml:space="preserve"> </w:t>
      </w:r>
      <w:r w:rsidRPr="00490B49">
        <w:t>Australia</w:t>
      </w:r>
      <w:r w:rsidR="008B7A23">
        <w:t>,</w:t>
      </w:r>
      <w:r>
        <w:t xml:space="preserve"> </w:t>
      </w:r>
      <w:r w:rsidRPr="00490B49">
        <w:t>is</w:t>
      </w:r>
      <w:r>
        <w:t xml:space="preserve"> </w:t>
      </w:r>
      <w:r w:rsidRPr="00490B49">
        <w:t>a</w:t>
      </w:r>
      <w:r>
        <w:t xml:space="preserve"> </w:t>
      </w:r>
      <w:r w:rsidRPr="00490B49">
        <w:t>unique</w:t>
      </w:r>
      <w:r>
        <w:t xml:space="preserve"> </w:t>
      </w:r>
      <w:r w:rsidRPr="00490B49">
        <w:t>recruitment</w:t>
      </w:r>
      <w:r>
        <w:t xml:space="preserve"> </w:t>
      </w:r>
      <w:r w:rsidRPr="00490B49">
        <w:t>and</w:t>
      </w:r>
      <w:r>
        <w:t xml:space="preserve"> </w:t>
      </w:r>
      <w:r w:rsidRPr="00490B49">
        <w:t>support</w:t>
      </w:r>
      <w:r>
        <w:t xml:space="preserve"> </w:t>
      </w:r>
      <w:r w:rsidRPr="00490B49">
        <w:t>initiative</w:t>
      </w:r>
      <w:r>
        <w:t xml:space="preserve"> </w:t>
      </w:r>
      <w:r w:rsidRPr="00490B49">
        <w:t>to</w:t>
      </w:r>
      <w:r>
        <w:t xml:space="preserve"> </w:t>
      </w:r>
      <w:r w:rsidRPr="00490B49">
        <w:t>enable</w:t>
      </w:r>
      <w:r>
        <w:t xml:space="preserve"> </w:t>
      </w:r>
      <w:r w:rsidRPr="00490B49">
        <w:t>people</w:t>
      </w:r>
      <w:r>
        <w:t xml:space="preserve"> </w:t>
      </w:r>
      <w:r w:rsidRPr="00490B49">
        <w:t>on</w:t>
      </w:r>
      <w:r>
        <w:t xml:space="preserve"> </w:t>
      </w:r>
      <w:r w:rsidRPr="00490B49">
        <w:t>the</w:t>
      </w:r>
      <w:r>
        <w:t xml:space="preserve"> </w:t>
      </w:r>
      <w:r w:rsidRPr="00490B49">
        <w:t>autism</w:t>
      </w:r>
      <w:r>
        <w:t xml:space="preserve"> </w:t>
      </w:r>
      <w:r w:rsidRPr="00490B49">
        <w:t>spectrum</w:t>
      </w:r>
      <w:r>
        <w:t xml:space="preserve"> </w:t>
      </w:r>
      <w:r w:rsidRPr="00490B49">
        <w:t>to</w:t>
      </w:r>
      <w:r>
        <w:t xml:space="preserve"> </w:t>
      </w:r>
      <w:r w:rsidRPr="00490B49">
        <w:t>enter</w:t>
      </w:r>
      <w:r>
        <w:t xml:space="preserve"> </w:t>
      </w:r>
      <w:r w:rsidRPr="00490B49">
        <w:t>the</w:t>
      </w:r>
      <w:r>
        <w:t xml:space="preserve"> </w:t>
      </w:r>
      <w:r w:rsidRPr="00490B49">
        <w:t>Victorian</w:t>
      </w:r>
      <w:r>
        <w:t xml:space="preserve"> </w:t>
      </w:r>
      <w:r w:rsidRPr="00490B49">
        <w:t>Public</w:t>
      </w:r>
      <w:r>
        <w:t xml:space="preserve"> </w:t>
      </w:r>
      <w:r w:rsidRPr="00490B49">
        <w:t>Service.</w:t>
      </w:r>
    </w:p>
    <w:p w14:paraId="07763701" w14:textId="23FFD4F9" w:rsidR="004D4D20" w:rsidRDefault="001A70B8" w:rsidP="00101E5D">
      <w:pPr>
        <w:pStyle w:val="ARbody"/>
      </w:pPr>
      <w:r w:rsidRPr="00490B49">
        <w:t>The</w:t>
      </w:r>
      <w:r>
        <w:t xml:space="preserve"> </w:t>
      </w:r>
      <w:r w:rsidRPr="00490B49">
        <w:t>aim</w:t>
      </w:r>
      <w:r>
        <w:t xml:space="preserve"> </w:t>
      </w:r>
      <w:r w:rsidRPr="00490B49">
        <w:t>of</w:t>
      </w:r>
      <w:r>
        <w:t xml:space="preserve"> </w:t>
      </w:r>
      <w:r w:rsidRPr="00490B49">
        <w:t>the</w:t>
      </w:r>
      <w:r>
        <w:t xml:space="preserve"> </w:t>
      </w:r>
      <w:r w:rsidRPr="00490B49">
        <w:t>program,</w:t>
      </w:r>
      <w:r>
        <w:t xml:space="preserve"> </w:t>
      </w:r>
      <w:r w:rsidRPr="00490B49">
        <w:t>underpinned</w:t>
      </w:r>
      <w:r>
        <w:t xml:space="preserve"> </w:t>
      </w:r>
      <w:r w:rsidRPr="00490B49">
        <w:t>by</w:t>
      </w:r>
      <w:r>
        <w:t xml:space="preserve"> </w:t>
      </w:r>
      <w:r w:rsidRPr="00490B49">
        <w:t>the</w:t>
      </w:r>
      <w:r>
        <w:t xml:space="preserve"> </w:t>
      </w:r>
      <w:r w:rsidRPr="00E849E0">
        <w:rPr>
          <w:i/>
          <w:iCs/>
        </w:rPr>
        <w:t>RISE</w:t>
      </w:r>
      <w:r>
        <w:t xml:space="preserve"> </w:t>
      </w:r>
      <w:r w:rsidR="00AF1CD0">
        <w:rPr>
          <w:i/>
          <w:iCs/>
        </w:rPr>
        <w:t>r</w:t>
      </w:r>
      <w:r w:rsidRPr="00E849E0">
        <w:rPr>
          <w:i/>
          <w:iCs/>
        </w:rPr>
        <w:t xml:space="preserve">ecruitment and </w:t>
      </w:r>
      <w:r w:rsidR="00AF1CD0" w:rsidRPr="00E849E0">
        <w:rPr>
          <w:i/>
          <w:iCs/>
        </w:rPr>
        <w:t>s</w:t>
      </w:r>
      <w:r w:rsidRPr="00E849E0">
        <w:rPr>
          <w:i/>
          <w:iCs/>
        </w:rPr>
        <w:t xml:space="preserve">upport </w:t>
      </w:r>
      <w:r w:rsidR="00AF1CD0" w:rsidRPr="00E849E0">
        <w:rPr>
          <w:i/>
          <w:iCs/>
        </w:rPr>
        <w:t>f</w:t>
      </w:r>
      <w:r w:rsidRPr="00E849E0">
        <w:rPr>
          <w:i/>
          <w:iCs/>
        </w:rPr>
        <w:t>ramework</w:t>
      </w:r>
      <w:r w:rsidR="00406B08">
        <w:t>,</w:t>
      </w:r>
      <w:r>
        <w:t xml:space="preserve"> </w:t>
      </w:r>
      <w:r w:rsidRPr="00490B49">
        <w:t>launched</w:t>
      </w:r>
      <w:r>
        <w:t xml:space="preserve"> </w:t>
      </w:r>
      <w:r w:rsidRPr="00490B49">
        <w:t>in</w:t>
      </w:r>
      <w:r>
        <w:t xml:space="preserve"> </w:t>
      </w:r>
      <w:r w:rsidRPr="00490B49">
        <w:t>October</w:t>
      </w:r>
      <w:r>
        <w:t xml:space="preserve"> </w:t>
      </w:r>
      <w:r w:rsidRPr="00490B49">
        <w:t>2020,</w:t>
      </w:r>
      <w:r>
        <w:t xml:space="preserve"> </w:t>
      </w:r>
      <w:r w:rsidRPr="00490B49">
        <w:t>is</w:t>
      </w:r>
      <w:r>
        <w:t xml:space="preserve"> </w:t>
      </w:r>
      <w:r w:rsidRPr="00490B49">
        <w:t>to</w:t>
      </w:r>
      <w:r>
        <w:t xml:space="preserve"> </w:t>
      </w:r>
      <w:r w:rsidRPr="00490B49">
        <w:t>support</w:t>
      </w:r>
      <w:r>
        <w:t xml:space="preserve"> </w:t>
      </w:r>
      <w:r w:rsidRPr="00490B49">
        <w:t>autistic</w:t>
      </w:r>
      <w:r>
        <w:t xml:space="preserve"> </w:t>
      </w:r>
      <w:r w:rsidRPr="00490B49">
        <w:t>employees</w:t>
      </w:r>
      <w:r>
        <w:t xml:space="preserve"> </w:t>
      </w:r>
      <w:r w:rsidR="001650BF" w:rsidRPr="00406B08">
        <w:t>and</w:t>
      </w:r>
      <w:r w:rsidR="000D06B0">
        <w:t> </w:t>
      </w:r>
      <w:r w:rsidRPr="00406B08">
        <w:t>create momentum</w:t>
      </w:r>
      <w:r>
        <w:t xml:space="preserve"> </w:t>
      </w:r>
      <w:r w:rsidRPr="00490B49">
        <w:t>for</w:t>
      </w:r>
      <w:r w:rsidR="001650BF">
        <w:t xml:space="preserve"> them to have</w:t>
      </w:r>
      <w:r>
        <w:t xml:space="preserve"> </w:t>
      </w:r>
      <w:r w:rsidRPr="00490B49">
        <w:t>a</w:t>
      </w:r>
      <w:r>
        <w:t xml:space="preserve"> </w:t>
      </w:r>
      <w:r w:rsidRPr="00490B49">
        <w:t>positive</w:t>
      </w:r>
      <w:r>
        <w:t xml:space="preserve"> </w:t>
      </w:r>
      <w:r w:rsidRPr="00490B49">
        <w:t>transition</w:t>
      </w:r>
      <w:r>
        <w:t xml:space="preserve"> </w:t>
      </w:r>
      <w:r w:rsidRPr="00490B49">
        <w:t>into</w:t>
      </w:r>
      <w:r>
        <w:t xml:space="preserve"> </w:t>
      </w:r>
      <w:r w:rsidRPr="00490B49">
        <w:t>the</w:t>
      </w:r>
      <w:r>
        <w:t xml:space="preserve"> </w:t>
      </w:r>
      <w:r w:rsidRPr="00490B49">
        <w:t>workforce.</w:t>
      </w:r>
      <w:r>
        <w:t xml:space="preserve"> </w:t>
      </w:r>
      <w:r w:rsidRPr="00490B49">
        <w:t>The</w:t>
      </w:r>
      <w:r>
        <w:t xml:space="preserve"> </w:t>
      </w:r>
      <w:r w:rsidRPr="00490B49">
        <w:t>expectati</w:t>
      </w:r>
      <w:r w:rsidRPr="008D2F99">
        <w:t>on is that</w:t>
      </w:r>
      <w:r w:rsidR="000D06B0">
        <w:t> </w:t>
      </w:r>
      <w:r w:rsidRPr="008D2F99">
        <w:t>some will move onto other roles within the department or be promoted on merit once they become familiar with the working environment, policies, programs and practices.</w:t>
      </w:r>
      <w:r w:rsidR="002835C0">
        <w:t xml:space="preserve"> </w:t>
      </w:r>
      <w:r w:rsidR="00C0750D">
        <w:t xml:space="preserve">As they move on </w:t>
      </w:r>
      <w:r w:rsidR="001650BF">
        <w:t xml:space="preserve">in </w:t>
      </w:r>
      <w:r w:rsidR="00406B08">
        <w:t>the</w:t>
      </w:r>
      <w:r w:rsidR="001650BF">
        <w:t xml:space="preserve"> program</w:t>
      </w:r>
      <w:r w:rsidRPr="008D2F99">
        <w:t>, new</w:t>
      </w:r>
      <w:r w:rsidR="00983FA7">
        <w:t xml:space="preserve"> people on the autism spectrum</w:t>
      </w:r>
      <w:r w:rsidR="00C0750D">
        <w:t xml:space="preserve"> are recruited to fill the</w:t>
      </w:r>
      <w:r w:rsidR="00983FA7">
        <w:t xml:space="preserve"> vacancies created</w:t>
      </w:r>
      <w:r w:rsidRPr="008D2F99">
        <w:t xml:space="preserve">, </w:t>
      </w:r>
      <w:r w:rsidR="00C0750D">
        <w:t>which</w:t>
      </w:r>
      <w:r w:rsidR="00406B08">
        <w:t xml:space="preserve"> both creates a pipeline of employees and</w:t>
      </w:r>
      <w:r w:rsidR="00C0750D">
        <w:t xml:space="preserve"> allows</w:t>
      </w:r>
      <w:r w:rsidRPr="008D2F99">
        <w:t xml:space="preserve"> the program </w:t>
      </w:r>
      <w:r w:rsidR="00C0750D">
        <w:t>to be</w:t>
      </w:r>
      <w:r w:rsidR="00C0750D" w:rsidRPr="008D2F99">
        <w:t xml:space="preserve"> </w:t>
      </w:r>
      <w:r w:rsidRPr="008D2F99">
        <w:t>seen as a potential pathway to a</w:t>
      </w:r>
      <w:r w:rsidR="000D06B0">
        <w:t> </w:t>
      </w:r>
      <w:r w:rsidRPr="008D2F99">
        <w:t>career in the VPS.</w:t>
      </w:r>
    </w:p>
    <w:p w14:paraId="6A388B21" w14:textId="2B6CC960" w:rsidR="001A70B8" w:rsidRPr="008D2F99" w:rsidRDefault="001A70B8" w:rsidP="00101E5D">
      <w:pPr>
        <w:pStyle w:val="ARbody"/>
      </w:pPr>
      <w:r w:rsidRPr="008D2F99">
        <w:t>The program initially focused on providing data entry services within a records management environment. However, in 2020 it expanded to provide digitisation and printing</w:t>
      </w:r>
      <w:r w:rsidR="008B7A23">
        <w:t xml:space="preserve"> services</w:t>
      </w:r>
      <w:r w:rsidRPr="008D2F99">
        <w:t xml:space="preserve"> for the department, as well as across the Victorian </w:t>
      </w:r>
      <w:r w:rsidR="008B7A23">
        <w:t>G</w:t>
      </w:r>
      <w:r w:rsidRPr="008D2F99">
        <w:t>overnment, as part of the COVID-19 response.</w:t>
      </w:r>
    </w:p>
    <w:p w14:paraId="163E6834" w14:textId="32FD896B" w:rsidR="001A70B8" w:rsidRPr="008D2F99" w:rsidRDefault="001A70B8" w:rsidP="00101E5D">
      <w:pPr>
        <w:pStyle w:val="ARbody"/>
      </w:pPr>
      <w:r w:rsidRPr="008D2F99">
        <w:t>The program has continued to provide meaningful employment for people on the autism spectrum and as of 30 June 2022, 18 staff remain</w:t>
      </w:r>
      <w:r w:rsidR="00983FA7">
        <w:t>ed</w:t>
      </w:r>
      <w:r w:rsidRPr="008D2F99">
        <w:t xml:space="preserve"> </w:t>
      </w:r>
      <w:r w:rsidR="00267362">
        <w:t>employed</w:t>
      </w:r>
      <w:r w:rsidR="00267362" w:rsidRPr="008D2F99">
        <w:t xml:space="preserve"> </w:t>
      </w:r>
      <w:r w:rsidRPr="008D2F99">
        <w:t xml:space="preserve">in </w:t>
      </w:r>
      <w:r w:rsidR="00267362">
        <w:t>various</w:t>
      </w:r>
      <w:r w:rsidR="00267362" w:rsidRPr="008D2F99">
        <w:t xml:space="preserve"> </w:t>
      </w:r>
      <w:r w:rsidRPr="008D2F99">
        <w:t>roles and</w:t>
      </w:r>
      <w:r w:rsidR="00267362">
        <w:t xml:space="preserve"> at different</w:t>
      </w:r>
      <w:r w:rsidRPr="008D2F99">
        <w:t xml:space="preserve"> grades across the department.</w:t>
      </w:r>
    </w:p>
    <w:p w14:paraId="6773246C" w14:textId="43378761" w:rsidR="00C0750D" w:rsidRDefault="00C0750D" w:rsidP="009A26F2">
      <w:pPr>
        <w:pStyle w:val="Heading4"/>
      </w:pPr>
      <w:r>
        <w:t>Other supports</w:t>
      </w:r>
    </w:p>
    <w:p w14:paraId="1DF9F678" w14:textId="582FF5A9" w:rsidR="001A70B8" w:rsidRPr="008D2F99" w:rsidRDefault="001A70B8" w:rsidP="00101E5D">
      <w:pPr>
        <w:pStyle w:val="ARbody"/>
      </w:pPr>
      <w:r w:rsidRPr="008D2F99">
        <w:t xml:space="preserve">Poor understanding of autism and a lack of support for employees </w:t>
      </w:r>
      <w:r w:rsidR="00983FA7">
        <w:t xml:space="preserve">on the autism spectrum </w:t>
      </w:r>
      <w:r w:rsidRPr="008D2F99">
        <w:t xml:space="preserve">can create barriers to </w:t>
      </w:r>
      <w:r w:rsidR="00267362">
        <w:t xml:space="preserve">gaining and </w:t>
      </w:r>
      <w:r w:rsidRPr="008D2F99">
        <w:t xml:space="preserve">maintaining employment. </w:t>
      </w:r>
      <w:r w:rsidR="00267362">
        <w:t>A</w:t>
      </w:r>
      <w:r w:rsidR="000D06B0">
        <w:t> </w:t>
      </w:r>
      <w:r w:rsidRPr="008D2F99">
        <w:t>Neurodiverse Confident Services (NCS) panel, a</w:t>
      </w:r>
      <w:r w:rsidR="000D06B0">
        <w:t> </w:t>
      </w:r>
      <w:r w:rsidRPr="008D2F99">
        <w:t xml:space="preserve">collaboration between the department, </w:t>
      </w:r>
      <w:r w:rsidR="00C0750D">
        <w:t xml:space="preserve">the </w:t>
      </w:r>
      <w:r w:rsidRPr="008D2F99">
        <w:t>Victorian Public Sector Commission and VPS Autism Success Network, was established in April 2022 to provide ad-hoc and ongoing support to neurodiverse staff, their managers, colleagues and</w:t>
      </w:r>
      <w:r w:rsidR="000D06B0">
        <w:t> </w:t>
      </w:r>
      <w:r w:rsidRPr="008D2F99">
        <w:t>teams.</w:t>
      </w:r>
      <w:r w:rsidR="00D263F7">
        <w:t xml:space="preserve"> </w:t>
      </w:r>
      <w:r w:rsidRPr="008D2F99">
        <w:t>The panel of five providers deliver</w:t>
      </w:r>
      <w:r w:rsidR="00D263F7">
        <w:t>s</w:t>
      </w:r>
      <w:r w:rsidRPr="008D2F99">
        <w:t>:</w:t>
      </w:r>
    </w:p>
    <w:p w14:paraId="1971214E" w14:textId="7223C836" w:rsidR="001A70B8" w:rsidRDefault="00267362" w:rsidP="00101E5D">
      <w:pPr>
        <w:pStyle w:val="ARbullet1"/>
      </w:pPr>
      <w:r>
        <w:rPr>
          <w:rStyle w:val="Strong"/>
          <w:b w:val="0"/>
          <w:bCs w:val="0"/>
        </w:rPr>
        <w:t>c</w:t>
      </w:r>
      <w:r w:rsidR="001A70B8" w:rsidRPr="006274FD">
        <w:rPr>
          <w:rStyle w:val="Strong"/>
          <w:b w:val="0"/>
          <w:bCs w:val="0"/>
        </w:rPr>
        <w:t>ounselling</w:t>
      </w:r>
      <w:r w:rsidR="001A70B8">
        <w:t xml:space="preserve"> </w:t>
      </w:r>
      <w:r w:rsidR="001A70B8" w:rsidRPr="00490B49">
        <w:t>–</w:t>
      </w:r>
      <w:r w:rsidR="001A70B8">
        <w:t xml:space="preserve"> </w:t>
      </w:r>
      <w:r w:rsidR="001A70B8" w:rsidRPr="00490B49">
        <w:t>to</w:t>
      </w:r>
      <w:r w:rsidR="001A70B8">
        <w:t xml:space="preserve"> </w:t>
      </w:r>
      <w:r w:rsidR="001A70B8" w:rsidRPr="00490B49">
        <w:t>ensure</w:t>
      </w:r>
      <w:r w:rsidR="001A70B8">
        <w:t xml:space="preserve"> </w:t>
      </w:r>
      <w:r w:rsidR="001A70B8" w:rsidRPr="00490B49">
        <w:t>organisational</w:t>
      </w:r>
      <w:r w:rsidR="001A70B8">
        <w:t xml:space="preserve"> </w:t>
      </w:r>
      <w:r w:rsidR="001A70B8" w:rsidRPr="00490B49">
        <w:t>factors</w:t>
      </w:r>
      <w:r w:rsidR="001A70B8">
        <w:t xml:space="preserve"> </w:t>
      </w:r>
      <w:r w:rsidR="001A70B8" w:rsidRPr="00490B49">
        <w:t>are</w:t>
      </w:r>
      <w:r w:rsidR="001A70B8">
        <w:t xml:space="preserve"> </w:t>
      </w:r>
      <w:r w:rsidR="001A70B8" w:rsidRPr="00490B49">
        <w:t>effective</w:t>
      </w:r>
      <w:r w:rsidR="001A70B8">
        <w:t xml:space="preserve"> </w:t>
      </w:r>
      <w:r w:rsidR="001A70B8" w:rsidRPr="00490B49">
        <w:t>and</w:t>
      </w:r>
      <w:r w:rsidR="001A70B8">
        <w:t xml:space="preserve"> </w:t>
      </w:r>
      <w:r w:rsidR="001A70B8" w:rsidRPr="00490B49">
        <w:t>workplace</w:t>
      </w:r>
      <w:r w:rsidR="001A70B8">
        <w:t xml:space="preserve"> </w:t>
      </w:r>
      <w:r w:rsidR="001A70B8" w:rsidRPr="00490B49">
        <w:t>wellbeing</w:t>
      </w:r>
      <w:r w:rsidR="001A70B8">
        <w:t xml:space="preserve"> </w:t>
      </w:r>
      <w:r w:rsidR="001A70B8" w:rsidRPr="00490B49">
        <w:t>is</w:t>
      </w:r>
      <w:r w:rsidR="001A70B8">
        <w:t xml:space="preserve"> </w:t>
      </w:r>
      <w:r w:rsidR="001A70B8" w:rsidRPr="00490B49">
        <w:t>robust</w:t>
      </w:r>
    </w:p>
    <w:p w14:paraId="24175A4C" w14:textId="6E53F1EE" w:rsidR="001A70B8" w:rsidRPr="00CE1F05" w:rsidRDefault="00267362" w:rsidP="00101E5D">
      <w:pPr>
        <w:pStyle w:val="ARbullet1"/>
      </w:pPr>
      <w:r>
        <w:rPr>
          <w:rStyle w:val="Strong"/>
          <w:b w:val="0"/>
          <w:bCs w:val="0"/>
        </w:rPr>
        <w:t>w</w:t>
      </w:r>
      <w:r w:rsidR="001A70B8" w:rsidRPr="006274FD">
        <w:rPr>
          <w:rStyle w:val="Strong"/>
          <w:b w:val="0"/>
          <w:bCs w:val="0"/>
        </w:rPr>
        <w:t>orkplace enablement</w:t>
      </w:r>
      <w:r w:rsidR="001A70B8">
        <w:t xml:space="preserve"> – to increase awareness, understanding, confidence and skills </w:t>
      </w:r>
      <w:r>
        <w:t>on the part</w:t>
      </w:r>
      <w:r w:rsidR="001C7FAA">
        <w:t> </w:t>
      </w:r>
      <w:r>
        <w:t xml:space="preserve">of </w:t>
      </w:r>
      <w:r w:rsidR="001A70B8">
        <w:t xml:space="preserve">managers and colleagues to create a supportive team environment for new and existing </w:t>
      </w:r>
      <w:r w:rsidR="001A70B8" w:rsidRPr="00CE1F05">
        <w:t>neurodiverse</w:t>
      </w:r>
      <w:r w:rsidR="006274FD" w:rsidRPr="00CE1F05">
        <w:t xml:space="preserve"> </w:t>
      </w:r>
      <w:r w:rsidR="001A70B8" w:rsidRPr="00CE1F05">
        <w:t>employees.</w:t>
      </w:r>
    </w:p>
    <w:p w14:paraId="3FEB23B3" w14:textId="177D33AE" w:rsidR="001A70B8" w:rsidRDefault="00156D63" w:rsidP="00DD6A54">
      <w:pPr>
        <w:pStyle w:val="ARbody"/>
        <w:shd w:val="clear" w:color="auto" w:fill="FFFFFF" w:themeFill="background1"/>
        <w:spacing w:before="120"/>
      </w:pPr>
      <w:r>
        <w:t xml:space="preserve">The department also supports </w:t>
      </w:r>
      <w:r w:rsidR="002E21BB">
        <w:t xml:space="preserve">staff </w:t>
      </w:r>
      <w:r>
        <w:t>participation in</w:t>
      </w:r>
      <w:r w:rsidR="000D06B0">
        <w:t> </w:t>
      </w:r>
      <w:r>
        <w:t xml:space="preserve">the VPS </w:t>
      </w:r>
      <w:r w:rsidR="00DD6A54" w:rsidRPr="008D2F99">
        <w:t>Autism Success Network</w:t>
      </w:r>
      <w:r>
        <w:t>.</w:t>
      </w:r>
    </w:p>
    <w:p w14:paraId="3AC55E06" w14:textId="72BE39D8" w:rsidR="001A70B8" w:rsidRPr="00490B49" w:rsidRDefault="001A70B8" w:rsidP="00101E5D">
      <w:pPr>
        <w:pStyle w:val="Heading3"/>
      </w:pPr>
      <w:r w:rsidRPr="00490B49">
        <w:t>Aboriginal</w:t>
      </w:r>
      <w:r>
        <w:t xml:space="preserve"> </w:t>
      </w:r>
      <w:r w:rsidR="00AC097C">
        <w:t>w</w:t>
      </w:r>
      <w:r w:rsidRPr="00490B49">
        <w:t>orkforce</w:t>
      </w:r>
      <w:r>
        <w:t xml:space="preserve"> </w:t>
      </w:r>
      <w:r w:rsidR="00AC097C">
        <w:t>s</w:t>
      </w:r>
      <w:r w:rsidRPr="00490B49">
        <w:t>trategy</w:t>
      </w:r>
    </w:p>
    <w:p w14:paraId="40B4D768" w14:textId="5AA1E2C4" w:rsidR="001A70B8" w:rsidRPr="00490B49" w:rsidRDefault="00023B0C" w:rsidP="00101E5D">
      <w:pPr>
        <w:pStyle w:val="ARbody"/>
        <w:shd w:val="clear" w:color="auto" w:fill="FFFFFF" w:themeFill="background1"/>
      </w:pPr>
      <w:r>
        <w:t>The department’s</w:t>
      </w:r>
      <w:r w:rsidR="001A70B8">
        <w:t xml:space="preserve"> </w:t>
      </w:r>
      <w:r w:rsidR="001A70B8" w:rsidRPr="00490B49">
        <w:t>new</w:t>
      </w:r>
      <w:r w:rsidR="001A70B8">
        <w:t xml:space="preserve"> </w:t>
      </w:r>
      <w:r w:rsidR="001A70B8" w:rsidRPr="00C72B0A">
        <w:rPr>
          <w:i/>
          <w:iCs/>
        </w:rPr>
        <w:t xml:space="preserve">Aboriginal </w:t>
      </w:r>
      <w:r w:rsidR="00AC097C">
        <w:rPr>
          <w:i/>
          <w:iCs/>
        </w:rPr>
        <w:t>w</w:t>
      </w:r>
      <w:r w:rsidR="001A70B8" w:rsidRPr="00C72B0A">
        <w:rPr>
          <w:i/>
          <w:iCs/>
        </w:rPr>
        <w:t xml:space="preserve">orkforce </w:t>
      </w:r>
      <w:r w:rsidR="00AC097C">
        <w:rPr>
          <w:i/>
          <w:iCs/>
        </w:rPr>
        <w:t>s</w:t>
      </w:r>
      <w:r w:rsidR="001A70B8" w:rsidRPr="00C72B0A">
        <w:rPr>
          <w:i/>
          <w:iCs/>
        </w:rPr>
        <w:t>trategy 2021–2026</w:t>
      </w:r>
      <w:r w:rsidR="001A70B8">
        <w:t xml:space="preserve"> </w:t>
      </w:r>
      <w:r w:rsidR="001A70B8" w:rsidRPr="00490B49">
        <w:t>was</w:t>
      </w:r>
      <w:r w:rsidR="001A70B8">
        <w:t xml:space="preserve"> </w:t>
      </w:r>
      <w:r w:rsidR="001A70B8" w:rsidRPr="00490B49">
        <w:t>launched</w:t>
      </w:r>
      <w:r w:rsidR="001A70B8">
        <w:t xml:space="preserve"> </w:t>
      </w:r>
      <w:r w:rsidR="001A70B8" w:rsidRPr="00490B49">
        <w:t>at</w:t>
      </w:r>
      <w:r w:rsidR="001A70B8">
        <w:t xml:space="preserve"> </w:t>
      </w:r>
      <w:r w:rsidR="001A70B8" w:rsidRPr="00490B49">
        <w:t>the</w:t>
      </w:r>
      <w:r w:rsidR="001A70B8">
        <w:t xml:space="preserve"> </w:t>
      </w:r>
      <w:r w:rsidR="00322C67">
        <w:t>a</w:t>
      </w:r>
      <w:r w:rsidR="001A70B8" w:rsidRPr="00490B49">
        <w:t>ll</w:t>
      </w:r>
      <w:r w:rsidR="00BA7D74">
        <w:t>-</w:t>
      </w:r>
      <w:r w:rsidR="00322C67">
        <w:t>s</w:t>
      </w:r>
      <w:r w:rsidR="001A70B8" w:rsidRPr="00490B49">
        <w:t>taff</w:t>
      </w:r>
      <w:r w:rsidR="00A85190">
        <w:t xml:space="preserve"> </w:t>
      </w:r>
      <w:r w:rsidR="00322C67">
        <w:t>f</w:t>
      </w:r>
      <w:r w:rsidR="001A70B8" w:rsidRPr="00490B49">
        <w:t>orum</w:t>
      </w:r>
      <w:r w:rsidR="001A70B8">
        <w:t xml:space="preserve"> </w:t>
      </w:r>
      <w:r w:rsidR="001A70B8" w:rsidRPr="00490B49">
        <w:t>on</w:t>
      </w:r>
      <w:r w:rsidR="001A70B8">
        <w:t xml:space="preserve"> </w:t>
      </w:r>
      <w:r w:rsidR="001A70B8" w:rsidRPr="00490B49">
        <w:t>19</w:t>
      </w:r>
      <w:r w:rsidR="001A70B8">
        <w:t xml:space="preserve"> </w:t>
      </w:r>
      <w:r w:rsidR="001A70B8" w:rsidRPr="00490B49">
        <w:t>November</w:t>
      </w:r>
      <w:r w:rsidR="001A70B8">
        <w:t xml:space="preserve"> </w:t>
      </w:r>
      <w:r w:rsidR="001A70B8" w:rsidRPr="00490B49">
        <w:t>2021.</w:t>
      </w:r>
      <w:r w:rsidR="001A70B8">
        <w:t xml:space="preserve"> </w:t>
      </w:r>
      <w:r w:rsidR="001A70B8" w:rsidRPr="00490B49">
        <w:t>This</w:t>
      </w:r>
      <w:r w:rsidR="001A70B8">
        <w:t xml:space="preserve"> </w:t>
      </w:r>
      <w:r w:rsidR="001A70B8" w:rsidRPr="00490B49">
        <w:t>strategy</w:t>
      </w:r>
      <w:r w:rsidR="001A70B8">
        <w:t xml:space="preserve"> </w:t>
      </w:r>
      <w:r w:rsidR="001A70B8" w:rsidRPr="00490B49">
        <w:t>demonstrates</w:t>
      </w:r>
      <w:r w:rsidR="001A70B8">
        <w:t xml:space="preserve"> </w:t>
      </w:r>
      <w:r>
        <w:t>a</w:t>
      </w:r>
      <w:r w:rsidR="001A70B8">
        <w:t xml:space="preserve"> </w:t>
      </w:r>
      <w:r w:rsidR="001A70B8" w:rsidRPr="00490B49">
        <w:t>commitment</w:t>
      </w:r>
      <w:r w:rsidR="001A70B8">
        <w:t xml:space="preserve"> </w:t>
      </w:r>
      <w:r w:rsidR="001A70B8" w:rsidRPr="00490B49">
        <w:t>to</w:t>
      </w:r>
      <w:r w:rsidR="001A70B8">
        <w:t xml:space="preserve"> </w:t>
      </w:r>
      <w:r w:rsidR="00DE290C">
        <w:t xml:space="preserve">ensuring </w:t>
      </w:r>
      <w:r w:rsidR="001A70B8" w:rsidRPr="00490B49">
        <w:t>the</w:t>
      </w:r>
      <w:r w:rsidR="001A70B8">
        <w:t xml:space="preserve"> </w:t>
      </w:r>
      <w:r w:rsidR="001A70B8" w:rsidRPr="00490B49">
        <w:t>principles</w:t>
      </w:r>
      <w:r w:rsidR="001A70B8">
        <w:t xml:space="preserve"> </w:t>
      </w:r>
      <w:r w:rsidR="001A70B8" w:rsidRPr="00490B49">
        <w:t>of</w:t>
      </w:r>
      <w:r w:rsidR="001A70B8">
        <w:t xml:space="preserve"> </w:t>
      </w:r>
      <w:r w:rsidR="001A70B8" w:rsidRPr="00490B49">
        <w:t>self-determination</w:t>
      </w:r>
      <w:r w:rsidR="001A70B8">
        <w:t xml:space="preserve"> </w:t>
      </w:r>
      <w:r w:rsidR="001A70B8" w:rsidRPr="00490B49">
        <w:t>and</w:t>
      </w:r>
      <w:r w:rsidR="001A70B8">
        <w:t xml:space="preserve"> </w:t>
      </w:r>
      <w:r w:rsidR="001A70B8" w:rsidRPr="00490B49">
        <w:t>cultural</w:t>
      </w:r>
      <w:r w:rsidR="001A70B8">
        <w:t xml:space="preserve"> </w:t>
      </w:r>
      <w:r w:rsidR="001A70B8" w:rsidRPr="00490B49">
        <w:t>safety</w:t>
      </w:r>
      <w:r w:rsidR="001A70B8">
        <w:t xml:space="preserve"> </w:t>
      </w:r>
      <w:r w:rsidR="00DE290C" w:rsidRPr="001C7964">
        <w:t>are embedded in</w:t>
      </w:r>
      <w:r w:rsidR="001C7964" w:rsidRPr="00C72B0A">
        <w:t xml:space="preserve"> everything we do</w:t>
      </w:r>
      <w:r w:rsidR="001A70B8" w:rsidRPr="001C7964">
        <w:t>.</w:t>
      </w:r>
      <w:r w:rsidR="00DE290C">
        <w:t xml:space="preserve"> </w:t>
      </w:r>
      <w:r>
        <w:t>This will</w:t>
      </w:r>
      <w:r w:rsidR="001A70B8">
        <w:t xml:space="preserve"> </w:t>
      </w:r>
      <w:r w:rsidR="001A70B8" w:rsidRPr="00490B49">
        <w:t>improve</w:t>
      </w:r>
      <w:r w:rsidR="001A70B8">
        <w:t xml:space="preserve"> </w:t>
      </w:r>
      <w:r w:rsidR="001C7964">
        <w:t xml:space="preserve">both the employee experience for the Aboriginal workforce and </w:t>
      </w:r>
      <w:r w:rsidR="00322C67">
        <w:t xml:space="preserve">the </w:t>
      </w:r>
      <w:r w:rsidR="001A70B8" w:rsidRPr="00490B49">
        <w:t>health,</w:t>
      </w:r>
      <w:r w:rsidR="001A70B8">
        <w:t xml:space="preserve"> </w:t>
      </w:r>
      <w:r w:rsidR="001A70B8" w:rsidRPr="00490B49">
        <w:t>safety</w:t>
      </w:r>
      <w:r w:rsidR="001A70B8">
        <w:t xml:space="preserve"> </w:t>
      </w:r>
      <w:r w:rsidR="001A70B8" w:rsidRPr="00490B49">
        <w:t>and</w:t>
      </w:r>
      <w:r w:rsidR="001A70B8">
        <w:t xml:space="preserve"> </w:t>
      </w:r>
      <w:r w:rsidR="001A70B8" w:rsidRPr="00490B49">
        <w:t>wellbeing</w:t>
      </w:r>
      <w:r w:rsidR="001A70B8">
        <w:t xml:space="preserve"> </w:t>
      </w:r>
      <w:r w:rsidR="001A70B8" w:rsidRPr="00490B49">
        <w:t>outcomes</w:t>
      </w:r>
      <w:r w:rsidR="001A70B8">
        <w:t xml:space="preserve"> </w:t>
      </w:r>
      <w:r w:rsidR="001A70B8" w:rsidRPr="00490B49">
        <w:t>for</w:t>
      </w:r>
      <w:r w:rsidR="001A70B8">
        <w:t> </w:t>
      </w:r>
      <w:r w:rsidR="001A70B8" w:rsidRPr="00490B49">
        <w:t>Aboriginal</w:t>
      </w:r>
      <w:r w:rsidR="001A70B8">
        <w:t xml:space="preserve"> </w:t>
      </w:r>
      <w:r w:rsidR="001A70B8" w:rsidRPr="00490B49">
        <w:t>communities.</w:t>
      </w:r>
    </w:p>
    <w:p w14:paraId="74B898B4" w14:textId="22571F30" w:rsidR="001A70B8" w:rsidRPr="00490B49" w:rsidRDefault="001A70B8" w:rsidP="00101E5D">
      <w:pPr>
        <w:pStyle w:val="ARbody"/>
        <w:shd w:val="clear" w:color="auto" w:fill="FFFFFF" w:themeFill="background1"/>
      </w:pPr>
      <w:r w:rsidRPr="00490B49">
        <w:t>Self-determination</w:t>
      </w:r>
      <w:r>
        <w:t xml:space="preserve"> </w:t>
      </w:r>
      <w:r w:rsidRPr="00490B49">
        <w:t>is</w:t>
      </w:r>
      <w:r>
        <w:t xml:space="preserve"> </w:t>
      </w:r>
      <w:r w:rsidRPr="00490B49">
        <w:t>interwoven</w:t>
      </w:r>
      <w:r>
        <w:t xml:space="preserve"> </w:t>
      </w:r>
      <w:r w:rsidRPr="00490B49">
        <w:t>into</w:t>
      </w:r>
      <w:r>
        <w:t xml:space="preserve"> </w:t>
      </w:r>
      <w:r w:rsidRPr="00490B49">
        <w:t>the</w:t>
      </w:r>
      <w:r>
        <w:t xml:space="preserve"> </w:t>
      </w:r>
      <w:r w:rsidRPr="00490B49">
        <w:t>fabric</w:t>
      </w:r>
      <w:r>
        <w:t xml:space="preserve"> </w:t>
      </w:r>
      <w:r w:rsidRPr="00490B49">
        <w:t>of</w:t>
      </w:r>
      <w:r w:rsidR="000D06B0">
        <w:t> </w:t>
      </w:r>
      <w:r w:rsidR="00322C67">
        <w:t>the strategy</w:t>
      </w:r>
      <w:r w:rsidR="00983FA7">
        <w:t>,</w:t>
      </w:r>
      <w:r>
        <w:t xml:space="preserve"> </w:t>
      </w:r>
      <w:r w:rsidRPr="00490B49">
        <w:t>aligning</w:t>
      </w:r>
      <w:r>
        <w:t xml:space="preserve"> </w:t>
      </w:r>
      <w:r w:rsidR="00652710">
        <w:t>the department</w:t>
      </w:r>
      <w:r>
        <w:t xml:space="preserve"> </w:t>
      </w:r>
      <w:r w:rsidRPr="00490B49">
        <w:t>with</w:t>
      </w:r>
      <w:r>
        <w:t xml:space="preserve"> </w:t>
      </w:r>
      <w:r w:rsidRPr="00490B49">
        <w:t>the</w:t>
      </w:r>
      <w:r>
        <w:t xml:space="preserve"> </w:t>
      </w:r>
      <w:r w:rsidRPr="00490B49">
        <w:t>Victorian</w:t>
      </w:r>
      <w:r>
        <w:t xml:space="preserve"> </w:t>
      </w:r>
      <w:r w:rsidRPr="00490B49">
        <w:t>Government’s</w:t>
      </w:r>
      <w:r>
        <w:t xml:space="preserve"> </w:t>
      </w:r>
      <w:r w:rsidRPr="00490B49">
        <w:t>commitment</w:t>
      </w:r>
      <w:r>
        <w:t xml:space="preserve"> </w:t>
      </w:r>
      <w:r w:rsidRPr="00490B49">
        <w:t>to</w:t>
      </w:r>
      <w:r>
        <w:t xml:space="preserve"> </w:t>
      </w:r>
      <w:r w:rsidRPr="00490B49">
        <w:t>the</w:t>
      </w:r>
      <w:r>
        <w:t xml:space="preserve"> </w:t>
      </w:r>
      <w:r w:rsidRPr="00490B49">
        <w:t>practical</w:t>
      </w:r>
      <w:r>
        <w:t xml:space="preserve"> </w:t>
      </w:r>
      <w:r w:rsidRPr="00490B49">
        <w:t>outcomes</w:t>
      </w:r>
      <w:r>
        <w:t xml:space="preserve"> </w:t>
      </w:r>
      <w:r w:rsidRPr="00490B49">
        <w:t>of</w:t>
      </w:r>
      <w:r>
        <w:t xml:space="preserve"> </w:t>
      </w:r>
      <w:r w:rsidRPr="00490B49">
        <w:t>both</w:t>
      </w:r>
      <w:r>
        <w:t xml:space="preserve"> </w:t>
      </w:r>
      <w:r w:rsidRPr="00490B49">
        <w:t>the</w:t>
      </w:r>
      <w:r>
        <w:t xml:space="preserve"> </w:t>
      </w:r>
      <w:r w:rsidRPr="00490B49">
        <w:t>Treaty</w:t>
      </w:r>
      <w:r>
        <w:t xml:space="preserve"> </w:t>
      </w:r>
      <w:r w:rsidRPr="00490B49">
        <w:t>and</w:t>
      </w:r>
      <w:r>
        <w:t xml:space="preserve"> </w:t>
      </w:r>
      <w:r w:rsidRPr="00490B49">
        <w:t>truth-telling</w:t>
      </w:r>
      <w:r w:rsidR="00581D2C">
        <w:t xml:space="preserve"> </w:t>
      </w:r>
      <w:r w:rsidR="00581D2C" w:rsidRPr="00490B49">
        <w:t>process</w:t>
      </w:r>
      <w:r>
        <w:t xml:space="preserve"> </w:t>
      </w:r>
      <w:r w:rsidRPr="00490B49">
        <w:t>through</w:t>
      </w:r>
      <w:r>
        <w:t xml:space="preserve"> </w:t>
      </w:r>
      <w:r w:rsidRPr="00490B49">
        <w:t>the</w:t>
      </w:r>
      <w:r>
        <w:t xml:space="preserve"> </w:t>
      </w:r>
      <w:r w:rsidRPr="00490B49">
        <w:t>Yoorrook</w:t>
      </w:r>
      <w:r>
        <w:t xml:space="preserve"> </w:t>
      </w:r>
      <w:r w:rsidR="00A52CB5">
        <w:t xml:space="preserve">Justice </w:t>
      </w:r>
      <w:r w:rsidRPr="00490B49">
        <w:t>Commission</w:t>
      </w:r>
      <w:r w:rsidR="00746C4F">
        <w:t>,</w:t>
      </w:r>
      <w:r w:rsidR="00CB104D">
        <w:t xml:space="preserve"> as well</w:t>
      </w:r>
      <w:r w:rsidR="000D06B0">
        <w:t> </w:t>
      </w:r>
      <w:r w:rsidR="00CB104D">
        <w:t>as</w:t>
      </w:r>
      <w:r w:rsidR="00746C4F">
        <w:t xml:space="preserve"> with</w:t>
      </w:r>
      <w:r w:rsidR="00CB104D">
        <w:t xml:space="preserve"> the </w:t>
      </w:r>
      <w:r w:rsidR="003037CF">
        <w:t>priorities and targets</w:t>
      </w:r>
      <w:r>
        <w:t xml:space="preserve"> </w:t>
      </w:r>
      <w:r w:rsidRPr="00490B49">
        <w:t>set</w:t>
      </w:r>
      <w:r>
        <w:t xml:space="preserve"> </w:t>
      </w:r>
      <w:r w:rsidRPr="00490B49">
        <w:t>out</w:t>
      </w:r>
      <w:r>
        <w:t xml:space="preserve"> </w:t>
      </w:r>
      <w:r w:rsidRPr="00490B49">
        <w:t>in</w:t>
      </w:r>
      <w:r>
        <w:t xml:space="preserve"> </w:t>
      </w:r>
      <w:r w:rsidR="00CB104D">
        <w:t xml:space="preserve">the </w:t>
      </w:r>
      <w:r w:rsidR="00CB104D" w:rsidRPr="00CB104D">
        <w:rPr>
          <w:i/>
          <w:iCs/>
        </w:rPr>
        <w:t>V</w:t>
      </w:r>
      <w:r w:rsidRPr="00CB104D">
        <w:rPr>
          <w:i/>
          <w:iCs/>
        </w:rPr>
        <w:t>ictoria</w:t>
      </w:r>
      <w:r w:rsidR="00CB104D" w:rsidRPr="00CB104D">
        <w:rPr>
          <w:i/>
          <w:iCs/>
        </w:rPr>
        <w:t>n</w:t>
      </w:r>
      <w:r w:rsidRPr="00CB104D">
        <w:rPr>
          <w:i/>
          <w:iCs/>
        </w:rPr>
        <w:t xml:space="preserve"> Closing</w:t>
      </w:r>
      <w:r w:rsidRPr="00C72B0A">
        <w:rPr>
          <w:i/>
          <w:iCs/>
        </w:rPr>
        <w:t xml:space="preserve"> the Gap Implementation Plan</w:t>
      </w:r>
      <w:r w:rsidRPr="00490B49">
        <w:t>.</w:t>
      </w:r>
    </w:p>
    <w:p w14:paraId="68C72F1E" w14:textId="3821129E" w:rsidR="001A70B8" w:rsidRPr="00490B49" w:rsidRDefault="001A70B8" w:rsidP="00101E5D">
      <w:pPr>
        <w:pStyle w:val="ARbody"/>
        <w:shd w:val="clear" w:color="auto" w:fill="FFFFFF" w:themeFill="background1"/>
      </w:pPr>
      <w:r w:rsidRPr="009A26F2">
        <w:t xml:space="preserve">To become an employer of choice for Aboriginal people </w:t>
      </w:r>
      <w:r w:rsidR="00A60A41" w:rsidRPr="009A26F2">
        <w:t xml:space="preserve">the </w:t>
      </w:r>
      <w:r w:rsidRPr="009A26F2">
        <w:t>strategy aims to create an outstanding culturally safe employee experience, where individuals are valued for their cultural knowledge and lived experience</w:t>
      </w:r>
      <w:r w:rsidR="00322C67" w:rsidRPr="009A26F2">
        <w:t>. The strategy also commits to a target</w:t>
      </w:r>
      <w:r w:rsidR="00A60A41" w:rsidRPr="009A26F2">
        <w:t xml:space="preserve"> where the Aboriginal workforce makes up three per cent of the department’s total workforce by </w:t>
      </w:r>
      <w:r w:rsidR="009A26F2" w:rsidRPr="009A26F2">
        <w:t>2026.</w:t>
      </w:r>
    </w:p>
    <w:p w14:paraId="3C678A29" w14:textId="77777777" w:rsidR="001A70B8" w:rsidRPr="00490B49" w:rsidRDefault="001A70B8" w:rsidP="009A656A">
      <w:pPr>
        <w:pStyle w:val="Heading4"/>
      </w:pPr>
      <w:r w:rsidRPr="00490B49">
        <w:t>Cultural</w:t>
      </w:r>
      <w:r>
        <w:t xml:space="preserve"> </w:t>
      </w:r>
      <w:r w:rsidRPr="00490B49">
        <w:t>Safety</w:t>
      </w:r>
    </w:p>
    <w:p w14:paraId="6B2C0ED3" w14:textId="25B43D46" w:rsidR="001A70B8" w:rsidRDefault="001A70B8" w:rsidP="00101E5D">
      <w:pPr>
        <w:pStyle w:val="ARbody"/>
        <w:shd w:val="clear" w:color="auto" w:fill="FFFFFF" w:themeFill="background1"/>
      </w:pPr>
      <w:r w:rsidRPr="00490B49">
        <w:t>The</w:t>
      </w:r>
      <w:r>
        <w:t xml:space="preserve"> </w:t>
      </w:r>
      <w:r w:rsidRPr="00490B49">
        <w:t>department’s</w:t>
      </w:r>
      <w:r>
        <w:t xml:space="preserve"> </w:t>
      </w:r>
      <w:r w:rsidRPr="009A26F2">
        <w:rPr>
          <w:i/>
          <w:iCs/>
        </w:rPr>
        <w:t>Aboriginal and Torres Strait Islander Cultural Safety Framework</w:t>
      </w:r>
      <w:r>
        <w:t xml:space="preserve"> </w:t>
      </w:r>
      <w:r w:rsidRPr="00490B49">
        <w:t>was</w:t>
      </w:r>
      <w:r>
        <w:t xml:space="preserve"> </w:t>
      </w:r>
      <w:r w:rsidRPr="00490B49">
        <w:t>first</w:t>
      </w:r>
      <w:r>
        <w:t xml:space="preserve"> </w:t>
      </w:r>
      <w:r w:rsidRPr="00490B49">
        <w:t>launched</w:t>
      </w:r>
      <w:r>
        <w:t xml:space="preserve"> </w:t>
      </w:r>
      <w:r w:rsidRPr="00490B49">
        <w:t>in</w:t>
      </w:r>
      <w:r>
        <w:t xml:space="preserve"> </w:t>
      </w:r>
      <w:r w:rsidRPr="00490B49">
        <w:t>June</w:t>
      </w:r>
      <w:r>
        <w:t xml:space="preserve"> </w:t>
      </w:r>
      <w:r w:rsidRPr="00490B49">
        <w:t>2019</w:t>
      </w:r>
      <w:r>
        <w:t xml:space="preserve"> </w:t>
      </w:r>
      <w:r w:rsidRPr="00490B49">
        <w:t>following</w:t>
      </w:r>
      <w:r>
        <w:t xml:space="preserve"> </w:t>
      </w:r>
      <w:r w:rsidRPr="00490B49">
        <w:t>extensive</w:t>
      </w:r>
      <w:r>
        <w:t xml:space="preserve"> </w:t>
      </w:r>
      <w:r w:rsidRPr="00490B49">
        <w:t>consultation</w:t>
      </w:r>
      <w:r>
        <w:t xml:space="preserve"> </w:t>
      </w:r>
      <w:r w:rsidRPr="00490B49">
        <w:t>with</w:t>
      </w:r>
      <w:r>
        <w:t xml:space="preserve"> </w:t>
      </w:r>
      <w:r w:rsidRPr="00490B49">
        <w:t>Aboriginal</w:t>
      </w:r>
      <w:r>
        <w:t xml:space="preserve"> </w:t>
      </w:r>
      <w:r w:rsidRPr="00490B49">
        <w:t>staff</w:t>
      </w:r>
      <w:r>
        <w:t xml:space="preserve"> </w:t>
      </w:r>
      <w:r w:rsidRPr="00490B49">
        <w:t>and</w:t>
      </w:r>
      <w:r>
        <w:t xml:space="preserve"> </w:t>
      </w:r>
      <w:r w:rsidRPr="00490B49">
        <w:t>community.</w:t>
      </w:r>
    </w:p>
    <w:p w14:paraId="14419CE1" w14:textId="30E17744" w:rsidR="001A70B8" w:rsidRDefault="001A70B8" w:rsidP="00101E5D">
      <w:pPr>
        <w:pStyle w:val="ARbody"/>
        <w:shd w:val="clear" w:color="auto" w:fill="FFFFFF" w:themeFill="background1"/>
      </w:pPr>
      <w:r w:rsidRPr="00490B49">
        <w:t>The</w:t>
      </w:r>
      <w:r>
        <w:t xml:space="preserve"> </w:t>
      </w:r>
      <w:r w:rsidRPr="00490B49">
        <w:t>department</w:t>
      </w:r>
      <w:r>
        <w:t xml:space="preserve"> </w:t>
      </w:r>
      <w:r w:rsidRPr="00490B49">
        <w:t>has</w:t>
      </w:r>
      <w:r>
        <w:t xml:space="preserve"> </w:t>
      </w:r>
      <w:r w:rsidRPr="00490B49">
        <w:t>made</w:t>
      </w:r>
      <w:r>
        <w:t xml:space="preserve"> </w:t>
      </w:r>
      <w:r w:rsidRPr="00490B49">
        <w:t>substantial</w:t>
      </w:r>
      <w:r>
        <w:t xml:space="preserve"> </w:t>
      </w:r>
      <w:r w:rsidRPr="00490B49">
        <w:t>progress</w:t>
      </w:r>
      <w:r>
        <w:t xml:space="preserve"> </w:t>
      </w:r>
      <w:r w:rsidRPr="00490B49">
        <w:t>in</w:t>
      </w:r>
      <w:r w:rsidR="000D06B0">
        <w:t> </w:t>
      </w:r>
      <w:r w:rsidRPr="00490B49">
        <w:t>implementing</w:t>
      </w:r>
      <w:r>
        <w:t xml:space="preserve"> </w:t>
      </w:r>
      <w:r w:rsidRPr="00490B49">
        <w:t>the</w:t>
      </w:r>
      <w:r>
        <w:t xml:space="preserve"> </w:t>
      </w:r>
      <w:r w:rsidR="00D4139B">
        <w:t>f</w:t>
      </w:r>
      <w:r w:rsidRPr="00490B49">
        <w:t>ramework</w:t>
      </w:r>
      <w:r>
        <w:t xml:space="preserve"> </w:t>
      </w:r>
      <w:r w:rsidRPr="00490B49">
        <w:t>in</w:t>
      </w:r>
      <w:r>
        <w:t xml:space="preserve"> </w:t>
      </w:r>
      <w:r w:rsidRPr="00490B49">
        <w:t>the</w:t>
      </w:r>
      <w:r>
        <w:t xml:space="preserve"> </w:t>
      </w:r>
      <w:r w:rsidRPr="00490B49">
        <w:t>workplace,</w:t>
      </w:r>
      <w:r>
        <w:t xml:space="preserve"> </w:t>
      </w:r>
      <w:r w:rsidRPr="00490B49">
        <w:t>however</w:t>
      </w:r>
      <w:r>
        <w:t xml:space="preserve"> </w:t>
      </w:r>
      <w:r w:rsidRPr="00490B49">
        <w:t>there</w:t>
      </w:r>
      <w:r>
        <w:t xml:space="preserve"> </w:t>
      </w:r>
      <w:r w:rsidRPr="00490B49">
        <w:t>is</w:t>
      </w:r>
      <w:r>
        <w:t xml:space="preserve"> </w:t>
      </w:r>
      <w:r w:rsidRPr="00490B49">
        <w:t>still</w:t>
      </w:r>
      <w:r>
        <w:t xml:space="preserve"> </w:t>
      </w:r>
      <w:r w:rsidRPr="00490B49">
        <w:t>significant</w:t>
      </w:r>
      <w:r>
        <w:t xml:space="preserve"> </w:t>
      </w:r>
      <w:r w:rsidRPr="00490B49">
        <w:t>work</w:t>
      </w:r>
      <w:r>
        <w:t xml:space="preserve"> </w:t>
      </w:r>
      <w:r w:rsidRPr="00490B49">
        <w:t>to</w:t>
      </w:r>
      <w:r>
        <w:t xml:space="preserve"> </w:t>
      </w:r>
      <w:r w:rsidRPr="00490B49">
        <w:t>be</w:t>
      </w:r>
      <w:r>
        <w:t xml:space="preserve"> </w:t>
      </w:r>
      <w:r w:rsidRPr="00490B49">
        <w:t>done</w:t>
      </w:r>
      <w:r>
        <w:t xml:space="preserve"> </w:t>
      </w:r>
      <w:r w:rsidRPr="00490B49">
        <w:t>to</w:t>
      </w:r>
      <w:r w:rsidR="000D06B0">
        <w:t> </w:t>
      </w:r>
      <w:r w:rsidRPr="00490B49">
        <w:t>ensure</w:t>
      </w:r>
      <w:r>
        <w:t xml:space="preserve"> </w:t>
      </w:r>
      <w:r w:rsidRPr="00490B49">
        <w:t>Aboriginal</w:t>
      </w:r>
      <w:r>
        <w:t xml:space="preserve"> </w:t>
      </w:r>
      <w:r w:rsidRPr="00490B49">
        <w:t>cultural</w:t>
      </w:r>
      <w:r>
        <w:t xml:space="preserve"> </w:t>
      </w:r>
      <w:r w:rsidRPr="00490B49">
        <w:t>safety</w:t>
      </w:r>
      <w:r>
        <w:t xml:space="preserve"> </w:t>
      </w:r>
      <w:r w:rsidRPr="00490B49">
        <w:t>is</w:t>
      </w:r>
      <w:r>
        <w:t xml:space="preserve"> </w:t>
      </w:r>
      <w:r w:rsidRPr="00490B49">
        <w:t>embedded</w:t>
      </w:r>
      <w:r>
        <w:t xml:space="preserve"> </w:t>
      </w:r>
      <w:r w:rsidRPr="00383A71">
        <w:t>consistently</w:t>
      </w:r>
      <w:r w:rsidR="00581D2C" w:rsidRPr="00383A71">
        <w:t xml:space="preserve"> </w:t>
      </w:r>
      <w:r w:rsidR="00B67AFA" w:rsidRPr="00383A71">
        <w:t>in</w:t>
      </w:r>
      <w:r w:rsidR="00582E7E" w:rsidRPr="00383A71">
        <w:t xml:space="preserve"> </w:t>
      </w:r>
      <w:r w:rsidR="00383A71" w:rsidRPr="00383A71">
        <w:t>the</w:t>
      </w:r>
      <w:r w:rsidR="00582E7E" w:rsidRPr="00383A71">
        <w:t xml:space="preserve"> workplace</w:t>
      </w:r>
      <w:r w:rsidRPr="00383A71">
        <w:t xml:space="preserve"> and to track organisational change over time. The development of an Aboriginal</w:t>
      </w:r>
      <w:r>
        <w:t xml:space="preserve"> </w:t>
      </w:r>
      <w:r w:rsidRPr="00490B49">
        <w:t>Cultural</w:t>
      </w:r>
      <w:r>
        <w:t xml:space="preserve"> </w:t>
      </w:r>
      <w:r w:rsidRPr="00490B49">
        <w:t>Safety</w:t>
      </w:r>
      <w:r>
        <w:t xml:space="preserve"> </w:t>
      </w:r>
      <w:r w:rsidRPr="00490B49">
        <w:t>Measurement</w:t>
      </w:r>
      <w:r>
        <w:t xml:space="preserve"> </w:t>
      </w:r>
      <w:r w:rsidRPr="00490B49">
        <w:t>and</w:t>
      </w:r>
      <w:r>
        <w:t xml:space="preserve"> </w:t>
      </w:r>
      <w:r w:rsidRPr="00490B49">
        <w:t>Assessment</w:t>
      </w:r>
      <w:r>
        <w:t xml:space="preserve"> </w:t>
      </w:r>
      <w:r w:rsidRPr="00490B49">
        <w:t>Tool</w:t>
      </w:r>
      <w:r>
        <w:t xml:space="preserve"> </w:t>
      </w:r>
      <w:r w:rsidRPr="00490B49">
        <w:t>(MAT)</w:t>
      </w:r>
      <w:r>
        <w:t xml:space="preserve"> </w:t>
      </w:r>
      <w:r w:rsidRPr="00490B49">
        <w:t>is</w:t>
      </w:r>
      <w:r>
        <w:t xml:space="preserve"> </w:t>
      </w:r>
      <w:r w:rsidRPr="00490B49">
        <w:t>a</w:t>
      </w:r>
      <w:r>
        <w:t xml:space="preserve"> </w:t>
      </w:r>
      <w:r w:rsidRPr="00490B49">
        <w:t>key</w:t>
      </w:r>
      <w:r>
        <w:t xml:space="preserve"> </w:t>
      </w:r>
      <w:r w:rsidR="00D4139B">
        <w:t>accompaniment to</w:t>
      </w:r>
      <w:r w:rsidR="000D06B0">
        <w:t> </w:t>
      </w:r>
      <w:r w:rsidRPr="00490B49">
        <w:t>the</w:t>
      </w:r>
      <w:r>
        <w:t xml:space="preserve"> </w:t>
      </w:r>
      <w:r w:rsidRPr="00490B49">
        <w:t>framework.</w:t>
      </w:r>
    </w:p>
    <w:p w14:paraId="342C30B1" w14:textId="12802D38" w:rsidR="001A70B8" w:rsidRDefault="00D4139B" w:rsidP="00101E5D">
      <w:pPr>
        <w:pStyle w:val="ARbody"/>
        <w:shd w:val="clear" w:color="auto" w:fill="FFFFFF" w:themeFill="background1"/>
      </w:pPr>
      <w:r>
        <w:t xml:space="preserve">Currently </w:t>
      </w:r>
      <w:r w:rsidR="001A70B8" w:rsidRPr="00490B49">
        <w:t>in</w:t>
      </w:r>
      <w:r w:rsidR="001A70B8">
        <w:t xml:space="preserve"> </w:t>
      </w:r>
      <w:r w:rsidR="001A70B8" w:rsidRPr="00490B49">
        <w:t>the</w:t>
      </w:r>
      <w:r w:rsidR="001A70B8">
        <w:t xml:space="preserve"> </w:t>
      </w:r>
      <w:r w:rsidR="001A70B8" w:rsidRPr="00490B49">
        <w:t>early</w:t>
      </w:r>
      <w:r w:rsidR="001A70B8">
        <w:t xml:space="preserve"> </w:t>
      </w:r>
      <w:r w:rsidR="001A70B8" w:rsidRPr="00490B49">
        <w:t>stages</w:t>
      </w:r>
      <w:r w:rsidR="001A70B8">
        <w:t xml:space="preserve"> </w:t>
      </w:r>
      <w:r w:rsidR="001A70B8" w:rsidRPr="00490B49">
        <w:t>of</w:t>
      </w:r>
      <w:r w:rsidR="001A70B8">
        <w:t xml:space="preserve"> </w:t>
      </w:r>
      <w:r w:rsidR="001A70B8" w:rsidRPr="00490B49">
        <w:t>consultation</w:t>
      </w:r>
      <w:r w:rsidR="001A70B8">
        <w:t xml:space="preserve"> </w:t>
      </w:r>
      <w:r w:rsidR="001A70B8" w:rsidRPr="00490B49">
        <w:t>and</w:t>
      </w:r>
      <w:r w:rsidR="001A70B8">
        <w:t xml:space="preserve"> </w:t>
      </w:r>
      <w:r w:rsidR="001A70B8" w:rsidRPr="00490B49">
        <w:t>development,</w:t>
      </w:r>
      <w:r w:rsidR="001A70B8">
        <w:t xml:space="preserve"> </w:t>
      </w:r>
      <w:r w:rsidR="001A70B8" w:rsidRPr="00490B49">
        <w:t>the</w:t>
      </w:r>
      <w:r w:rsidR="001A70B8">
        <w:t xml:space="preserve"> </w:t>
      </w:r>
      <w:r w:rsidR="001A70B8" w:rsidRPr="00490B49">
        <w:t>Cultural</w:t>
      </w:r>
      <w:r w:rsidR="001A70B8">
        <w:t xml:space="preserve"> </w:t>
      </w:r>
      <w:r w:rsidR="001A70B8" w:rsidRPr="00490B49">
        <w:t>Safety</w:t>
      </w:r>
      <w:r w:rsidR="001A70B8">
        <w:t xml:space="preserve"> </w:t>
      </w:r>
      <w:r w:rsidR="001A70B8" w:rsidRPr="00490B49">
        <w:t>MAT</w:t>
      </w:r>
      <w:r w:rsidR="001A70B8">
        <w:t xml:space="preserve"> </w:t>
      </w:r>
      <w:r w:rsidR="001A70B8" w:rsidRPr="00490B49">
        <w:t>will</w:t>
      </w:r>
      <w:r w:rsidR="001A70B8">
        <w:t xml:space="preserve"> </w:t>
      </w:r>
      <w:r w:rsidR="001A70B8" w:rsidRPr="00490B49">
        <w:t>identify</w:t>
      </w:r>
      <w:r w:rsidR="001A70B8">
        <w:t xml:space="preserve"> </w:t>
      </w:r>
      <w:r w:rsidR="001A70B8" w:rsidRPr="00490B49">
        <w:t>where</w:t>
      </w:r>
      <w:r w:rsidR="001A70B8">
        <w:t xml:space="preserve"> </w:t>
      </w:r>
      <w:r w:rsidR="001A70B8" w:rsidRPr="00490B49">
        <w:t>the</w:t>
      </w:r>
      <w:r w:rsidR="001A70B8">
        <w:t xml:space="preserve"> </w:t>
      </w:r>
      <w:r w:rsidR="001A70B8" w:rsidRPr="00490B49">
        <w:t>department</w:t>
      </w:r>
      <w:r w:rsidR="001A70B8">
        <w:t xml:space="preserve"> </w:t>
      </w:r>
      <w:r w:rsidR="001A70B8" w:rsidRPr="00490B49">
        <w:t>is</w:t>
      </w:r>
      <w:r w:rsidR="001A70B8">
        <w:t xml:space="preserve"> </w:t>
      </w:r>
      <w:r w:rsidR="001A70B8" w:rsidRPr="00490B49">
        <w:t>placed</w:t>
      </w:r>
      <w:r w:rsidR="001A70B8">
        <w:t xml:space="preserve"> </w:t>
      </w:r>
      <w:r w:rsidR="001A70B8" w:rsidRPr="00490B49">
        <w:t>on</w:t>
      </w:r>
      <w:r w:rsidR="001A70B8">
        <w:t xml:space="preserve"> </w:t>
      </w:r>
      <w:r w:rsidR="001A70B8" w:rsidRPr="00490B49">
        <w:t>the</w:t>
      </w:r>
      <w:r w:rsidR="001A70B8">
        <w:t xml:space="preserve"> </w:t>
      </w:r>
      <w:r w:rsidR="001A70B8" w:rsidRPr="00490B49">
        <w:t>cultural</w:t>
      </w:r>
      <w:r w:rsidR="001A70B8">
        <w:t xml:space="preserve"> </w:t>
      </w:r>
      <w:r w:rsidR="001A70B8" w:rsidRPr="00490B49">
        <w:t>safety</w:t>
      </w:r>
      <w:r w:rsidR="001A70B8">
        <w:t xml:space="preserve"> </w:t>
      </w:r>
      <w:r w:rsidR="001A70B8" w:rsidRPr="00490B49">
        <w:t>framework</w:t>
      </w:r>
      <w:r w:rsidR="001A70B8">
        <w:t xml:space="preserve"> </w:t>
      </w:r>
      <w:r w:rsidR="001A70B8" w:rsidRPr="00490B49">
        <w:t>continuum</w:t>
      </w:r>
      <w:r w:rsidR="001A70B8">
        <w:t xml:space="preserve"> </w:t>
      </w:r>
      <w:r w:rsidR="001A70B8" w:rsidRPr="00490B49">
        <w:t>and</w:t>
      </w:r>
      <w:r w:rsidR="001A70B8">
        <w:t xml:space="preserve"> </w:t>
      </w:r>
      <w:r w:rsidR="000A0256">
        <w:t>provides measurements to monitor</w:t>
      </w:r>
      <w:r>
        <w:t xml:space="preserve"> </w:t>
      </w:r>
      <w:r w:rsidR="001A70B8" w:rsidRPr="00490B49">
        <w:t>progress</w:t>
      </w:r>
      <w:r w:rsidR="001A70B8">
        <w:t xml:space="preserve"> </w:t>
      </w:r>
      <w:r>
        <w:t xml:space="preserve">in </w:t>
      </w:r>
      <w:r w:rsidR="001A70B8" w:rsidRPr="00490B49">
        <w:t>implementing</w:t>
      </w:r>
      <w:r w:rsidR="001A70B8">
        <w:t xml:space="preserve"> </w:t>
      </w:r>
      <w:r w:rsidR="001A70B8" w:rsidRPr="00490B49">
        <w:t>the</w:t>
      </w:r>
      <w:r w:rsidR="001A70B8">
        <w:t xml:space="preserve"> </w:t>
      </w:r>
      <w:r w:rsidR="001A70B8" w:rsidRPr="00490B49">
        <w:t>cultural</w:t>
      </w:r>
      <w:r w:rsidR="001A70B8">
        <w:t xml:space="preserve"> </w:t>
      </w:r>
      <w:r w:rsidR="001A70B8" w:rsidRPr="00490B49">
        <w:t>safety</w:t>
      </w:r>
      <w:r w:rsidR="001A70B8">
        <w:t xml:space="preserve"> </w:t>
      </w:r>
      <w:r w:rsidR="001A70B8" w:rsidRPr="00490B49">
        <w:t>framework</w:t>
      </w:r>
      <w:r w:rsidR="001A70B8">
        <w:t xml:space="preserve"> </w:t>
      </w:r>
      <w:r w:rsidR="001A70B8" w:rsidRPr="00490B49">
        <w:t>and</w:t>
      </w:r>
      <w:r w:rsidR="001A70B8">
        <w:t xml:space="preserve"> </w:t>
      </w:r>
      <w:r w:rsidR="001A70B8" w:rsidRPr="00490B49">
        <w:t>organisational</w:t>
      </w:r>
      <w:r w:rsidR="001A70B8">
        <w:t xml:space="preserve"> </w:t>
      </w:r>
      <w:r w:rsidR="001A70B8" w:rsidRPr="00490B49">
        <w:t>change</w:t>
      </w:r>
      <w:r w:rsidR="001A70B8">
        <w:t xml:space="preserve"> </w:t>
      </w:r>
      <w:r w:rsidR="001A70B8" w:rsidRPr="00490B49">
        <w:t>over</w:t>
      </w:r>
      <w:r w:rsidR="001A70B8">
        <w:t xml:space="preserve"> </w:t>
      </w:r>
      <w:r w:rsidR="001A70B8" w:rsidRPr="00490B49">
        <w:t>time.</w:t>
      </w:r>
    </w:p>
    <w:p w14:paraId="1E54BEAF" w14:textId="51D98AC9" w:rsidR="001A70B8" w:rsidRDefault="001A70B8" w:rsidP="00101E5D">
      <w:pPr>
        <w:pStyle w:val="ARbody"/>
        <w:shd w:val="clear" w:color="auto" w:fill="FFFFFF" w:themeFill="background1"/>
      </w:pPr>
      <w:r w:rsidRPr="00490B49">
        <w:t>The</w:t>
      </w:r>
      <w:r>
        <w:t xml:space="preserve"> </w:t>
      </w:r>
      <w:r w:rsidRPr="00490B49">
        <w:t>development</w:t>
      </w:r>
      <w:r>
        <w:t xml:space="preserve"> </w:t>
      </w:r>
      <w:r w:rsidRPr="00490B49">
        <w:t>of</w:t>
      </w:r>
      <w:r>
        <w:t xml:space="preserve"> </w:t>
      </w:r>
      <w:r w:rsidRPr="00490B49">
        <w:t>a</w:t>
      </w:r>
      <w:r w:rsidR="00383A71">
        <w:t xml:space="preserve"> </w:t>
      </w:r>
      <w:r w:rsidR="00383A71" w:rsidRPr="00490B49">
        <w:t>Cultural</w:t>
      </w:r>
      <w:r w:rsidR="00383A71">
        <w:t xml:space="preserve"> </w:t>
      </w:r>
      <w:r w:rsidR="00383A71" w:rsidRPr="00490B49">
        <w:t>Safety</w:t>
      </w:r>
      <w:r w:rsidR="00383A71">
        <w:t xml:space="preserve"> </w:t>
      </w:r>
      <w:r w:rsidR="00383A71" w:rsidRPr="00490B49">
        <w:t>MAT</w:t>
      </w:r>
      <w:r w:rsidR="00383A71">
        <w:t xml:space="preserve"> </w:t>
      </w:r>
      <w:r w:rsidRPr="00490B49">
        <w:t>that</w:t>
      </w:r>
      <w:r>
        <w:t xml:space="preserve"> </w:t>
      </w:r>
      <w:r w:rsidRPr="00490B49">
        <w:t>is</w:t>
      </w:r>
      <w:r>
        <w:t xml:space="preserve"> </w:t>
      </w:r>
      <w:r w:rsidRPr="00490B49">
        <w:t>practical</w:t>
      </w:r>
      <w:r>
        <w:t xml:space="preserve"> </w:t>
      </w:r>
      <w:r w:rsidRPr="00490B49">
        <w:t>and</w:t>
      </w:r>
      <w:r>
        <w:t xml:space="preserve"> </w:t>
      </w:r>
      <w:r w:rsidRPr="00490B49">
        <w:t>provides</w:t>
      </w:r>
      <w:r>
        <w:t xml:space="preserve"> </w:t>
      </w:r>
      <w:r w:rsidRPr="00490B49">
        <w:t>an</w:t>
      </w:r>
      <w:r>
        <w:t xml:space="preserve"> </w:t>
      </w:r>
      <w:r w:rsidRPr="00490B49">
        <w:t>annual</w:t>
      </w:r>
      <w:r>
        <w:t xml:space="preserve"> </w:t>
      </w:r>
      <w:r w:rsidRPr="00490B49">
        <w:t>monitoring</w:t>
      </w:r>
      <w:r>
        <w:t xml:space="preserve"> </w:t>
      </w:r>
      <w:r w:rsidRPr="00490B49">
        <w:t>and</w:t>
      </w:r>
      <w:r>
        <w:t xml:space="preserve"> </w:t>
      </w:r>
      <w:r w:rsidRPr="00490B49">
        <w:t>accountability</w:t>
      </w:r>
      <w:r>
        <w:t xml:space="preserve"> </w:t>
      </w:r>
      <w:r w:rsidRPr="00490B49">
        <w:t>mechanism</w:t>
      </w:r>
      <w:r>
        <w:t xml:space="preserve"> </w:t>
      </w:r>
      <w:r w:rsidRPr="00490B49">
        <w:t>will</w:t>
      </w:r>
      <w:r>
        <w:t xml:space="preserve"> </w:t>
      </w:r>
      <w:r w:rsidRPr="00490B49">
        <w:t>enable</w:t>
      </w:r>
      <w:r>
        <w:t xml:space="preserve"> </w:t>
      </w:r>
      <w:r w:rsidR="006902E3">
        <w:t>it to be implemented</w:t>
      </w:r>
      <w:r>
        <w:t xml:space="preserve"> </w:t>
      </w:r>
      <w:r w:rsidRPr="00490B49">
        <w:t>across</w:t>
      </w:r>
      <w:r>
        <w:t xml:space="preserve"> </w:t>
      </w:r>
      <w:r w:rsidRPr="00490B49">
        <w:t>all</w:t>
      </w:r>
      <w:r>
        <w:t xml:space="preserve"> </w:t>
      </w:r>
      <w:r w:rsidR="009C4EDC">
        <w:t>the department’s</w:t>
      </w:r>
      <w:r>
        <w:t xml:space="preserve"> </w:t>
      </w:r>
      <w:r w:rsidRPr="00490B49">
        <w:t>divisions</w:t>
      </w:r>
      <w:r w:rsidR="006902E3">
        <w:t>.</w:t>
      </w:r>
    </w:p>
    <w:p w14:paraId="342404E2" w14:textId="083A2566" w:rsidR="001A70B8" w:rsidRDefault="001A70B8" w:rsidP="00101E5D">
      <w:pPr>
        <w:pStyle w:val="ARbody"/>
        <w:shd w:val="clear" w:color="auto" w:fill="FFFFFF" w:themeFill="background1"/>
      </w:pPr>
      <w:r w:rsidRPr="00490B49">
        <w:t>This</w:t>
      </w:r>
      <w:r>
        <w:t xml:space="preserve"> </w:t>
      </w:r>
      <w:r w:rsidRPr="00490B49">
        <w:t>ground</w:t>
      </w:r>
      <w:r>
        <w:t>-</w:t>
      </w:r>
      <w:r w:rsidRPr="00490B49">
        <w:t>breaking</w:t>
      </w:r>
      <w:r>
        <w:t xml:space="preserve"> </w:t>
      </w:r>
      <w:r w:rsidRPr="00490B49">
        <w:t>tool</w:t>
      </w:r>
      <w:r>
        <w:t xml:space="preserve"> </w:t>
      </w:r>
      <w:r w:rsidRPr="00490B49">
        <w:t>is</w:t>
      </w:r>
      <w:r>
        <w:t xml:space="preserve"> </w:t>
      </w:r>
      <w:r w:rsidRPr="00490B49">
        <w:t>planned</w:t>
      </w:r>
      <w:r>
        <w:t xml:space="preserve"> </w:t>
      </w:r>
      <w:r w:rsidRPr="00490B49">
        <w:t>for</w:t>
      </w:r>
      <w:r>
        <w:t xml:space="preserve"> </w:t>
      </w:r>
      <w:r w:rsidRPr="00490B49">
        <w:t>implementation</w:t>
      </w:r>
      <w:r>
        <w:t xml:space="preserve"> </w:t>
      </w:r>
      <w:r w:rsidRPr="00490B49">
        <w:t>in</w:t>
      </w:r>
      <w:r>
        <w:t xml:space="preserve"> </w:t>
      </w:r>
      <w:r w:rsidRPr="00490B49">
        <w:t>2023</w:t>
      </w:r>
      <w:r>
        <w:t xml:space="preserve"> </w:t>
      </w:r>
      <w:r w:rsidRPr="00490B49">
        <w:t>and</w:t>
      </w:r>
      <w:r>
        <w:t xml:space="preserve"> </w:t>
      </w:r>
      <w:r w:rsidRPr="00490B49">
        <w:t>will</w:t>
      </w:r>
      <w:r>
        <w:t xml:space="preserve"> </w:t>
      </w:r>
      <w:r w:rsidRPr="00490B49">
        <w:t>be</w:t>
      </w:r>
      <w:r>
        <w:t xml:space="preserve"> </w:t>
      </w:r>
      <w:r w:rsidRPr="00490B49">
        <w:t>accompanied</w:t>
      </w:r>
      <w:r>
        <w:t xml:space="preserve"> </w:t>
      </w:r>
      <w:r w:rsidRPr="00490B49">
        <w:t>by</w:t>
      </w:r>
      <w:r>
        <w:t xml:space="preserve"> </w:t>
      </w:r>
      <w:r w:rsidRPr="00490B49">
        <w:t>the</w:t>
      </w:r>
      <w:r>
        <w:t xml:space="preserve"> </w:t>
      </w:r>
      <w:r w:rsidRPr="009C4EDC">
        <w:rPr>
          <w:i/>
          <w:iCs/>
        </w:rPr>
        <w:t>Aboriginal cultural safety capability framework</w:t>
      </w:r>
      <w:r w:rsidR="004D5D6C">
        <w:rPr>
          <w:i/>
          <w:iCs/>
        </w:rPr>
        <w:t>,</w:t>
      </w:r>
      <w:r>
        <w:t xml:space="preserve"> </w:t>
      </w:r>
      <w:r w:rsidR="004D5D6C">
        <w:t xml:space="preserve">which </w:t>
      </w:r>
      <w:r w:rsidRPr="00490B49">
        <w:t>guides</w:t>
      </w:r>
      <w:r>
        <w:t xml:space="preserve"> </w:t>
      </w:r>
      <w:r w:rsidRPr="00490B49">
        <w:t>practice</w:t>
      </w:r>
      <w:r>
        <w:t xml:space="preserve"> </w:t>
      </w:r>
      <w:r w:rsidRPr="00490B49">
        <w:t>improvement.</w:t>
      </w:r>
    </w:p>
    <w:p w14:paraId="64DC2C9D" w14:textId="77777777" w:rsidR="001A70B8" w:rsidRPr="00490B49" w:rsidRDefault="001A70B8" w:rsidP="009A656A">
      <w:pPr>
        <w:pStyle w:val="Heading4"/>
      </w:pPr>
      <w:r w:rsidRPr="00490B49">
        <w:t>Aboriginal</w:t>
      </w:r>
      <w:r>
        <w:t xml:space="preserve"> </w:t>
      </w:r>
      <w:r w:rsidRPr="00490B49">
        <w:t>Staff</w:t>
      </w:r>
      <w:r>
        <w:t xml:space="preserve"> </w:t>
      </w:r>
      <w:r w:rsidRPr="00490B49">
        <w:t>Network</w:t>
      </w:r>
    </w:p>
    <w:p w14:paraId="6DA86D0E" w14:textId="333FFA39" w:rsidR="001A70B8" w:rsidRDefault="001A70B8" w:rsidP="00101E5D">
      <w:pPr>
        <w:pStyle w:val="ARbody"/>
        <w:shd w:val="clear" w:color="auto" w:fill="FFFFFF" w:themeFill="background1"/>
      </w:pPr>
      <w:r w:rsidRPr="00490B49">
        <w:t>The</w:t>
      </w:r>
      <w:r>
        <w:t xml:space="preserve"> </w:t>
      </w:r>
      <w:r w:rsidRPr="00490B49">
        <w:t>Aboriginal</w:t>
      </w:r>
      <w:r>
        <w:t xml:space="preserve"> </w:t>
      </w:r>
      <w:r w:rsidRPr="00490B49">
        <w:t>Staff</w:t>
      </w:r>
      <w:r>
        <w:t xml:space="preserve"> </w:t>
      </w:r>
      <w:r w:rsidRPr="00490B49">
        <w:t>Network</w:t>
      </w:r>
      <w:r>
        <w:t xml:space="preserve"> </w:t>
      </w:r>
      <w:r w:rsidRPr="00490B49">
        <w:t>(ASN)</w:t>
      </w:r>
      <w:r w:rsidR="00E0723F">
        <w:t xml:space="preserve">, under the </w:t>
      </w:r>
      <w:r w:rsidR="00E0723F" w:rsidRPr="00411E36">
        <w:rPr>
          <w:i/>
          <w:iCs/>
        </w:rPr>
        <w:t xml:space="preserve">Aboriginal </w:t>
      </w:r>
      <w:r w:rsidR="00AC097C" w:rsidRPr="00411E36">
        <w:rPr>
          <w:i/>
          <w:iCs/>
        </w:rPr>
        <w:t>w</w:t>
      </w:r>
      <w:r w:rsidR="00E0723F" w:rsidRPr="00411E36">
        <w:rPr>
          <w:i/>
          <w:iCs/>
        </w:rPr>
        <w:t xml:space="preserve">orkforce </w:t>
      </w:r>
      <w:r w:rsidR="00AC097C" w:rsidRPr="00411E36">
        <w:rPr>
          <w:i/>
          <w:iCs/>
        </w:rPr>
        <w:t>s</w:t>
      </w:r>
      <w:r w:rsidR="00E0723F" w:rsidRPr="00411E36">
        <w:rPr>
          <w:i/>
          <w:iCs/>
        </w:rPr>
        <w:t>trategy</w:t>
      </w:r>
      <w:r w:rsidR="00E0723F">
        <w:t>,</w:t>
      </w:r>
      <w:r>
        <w:t xml:space="preserve"> </w:t>
      </w:r>
      <w:r w:rsidRPr="00490B49">
        <w:t>plays</w:t>
      </w:r>
      <w:r>
        <w:t xml:space="preserve"> </w:t>
      </w:r>
      <w:r w:rsidRPr="00490B49">
        <w:t>a</w:t>
      </w:r>
      <w:r>
        <w:t xml:space="preserve"> </w:t>
      </w:r>
      <w:r w:rsidRPr="00490B49">
        <w:t>crucial</w:t>
      </w:r>
      <w:r>
        <w:t xml:space="preserve"> </w:t>
      </w:r>
      <w:r w:rsidRPr="00490B49">
        <w:t>role</w:t>
      </w:r>
      <w:r>
        <w:t xml:space="preserve"> </w:t>
      </w:r>
      <w:r w:rsidR="00E0723F">
        <w:t>in</w:t>
      </w:r>
      <w:r w:rsidR="000D06B0">
        <w:t> </w:t>
      </w:r>
      <w:r w:rsidR="00E0723F">
        <w:t>the</w:t>
      </w:r>
      <w:r>
        <w:t xml:space="preserve"> </w:t>
      </w:r>
      <w:r w:rsidRPr="00490B49">
        <w:t>retention</w:t>
      </w:r>
      <w:r>
        <w:t xml:space="preserve"> </w:t>
      </w:r>
      <w:r w:rsidRPr="00490B49">
        <w:t>of</w:t>
      </w:r>
      <w:r>
        <w:t xml:space="preserve"> </w:t>
      </w:r>
      <w:r w:rsidRPr="00490B49">
        <w:t>Aboriginal</w:t>
      </w:r>
      <w:r>
        <w:t xml:space="preserve"> </w:t>
      </w:r>
      <w:r w:rsidR="00E0723F">
        <w:t>staff.</w:t>
      </w:r>
      <w:r>
        <w:t xml:space="preserve"> </w:t>
      </w:r>
      <w:r w:rsidR="00E0723F">
        <w:t>I</w:t>
      </w:r>
      <w:r w:rsidRPr="00490B49">
        <w:t>t</w:t>
      </w:r>
      <w:r>
        <w:t xml:space="preserve"> </w:t>
      </w:r>
      <w:r w:rsidRPr="00490B49">
        <w:t>supports</w:t>
      </w:r>
      <w:r>
        <w:t xml:space="preserve"> </w:t>
      </w:r>
      <w:r w:rsidRPr="00490B49">
        <w:t>the</w:t>
      </w:r>
      <w:r>
        <w:t xml:space="preserve"> </w:t>
      </w:r>
      <w:r w:rsidRPr="00490B49">
        <w:t>employment</w:t>
      </w:r>
      <w:r>
        <w:t xml:space="preserve"> </w:t>
      </w:r>
      <w:r w:rsidRPr="00490B49">
        <w:t>life</w:t>
      </w:r>
      <w:r>
        <w:t xml:space="preserve"> </w:t>
      </w:r>
      <w:r w:rsidRPr="00490B49">
        <w:t>cycle</w:t>
      </w:r>
      <w:r w:rsidR="006902E3">
        <w:t xml:space="preserve"> of Aboriginal employees</w:t>
      </w:r>
      <w:r>
        <w:t xml:space="preserve"> </w:t>
      </w:r>
      <w:r w:rsidRPr="00490B49">
        <w:t>from</w:t>
      </w:r>
      <w:r>
        <w:t xml:space="preserve"> </w:t>
      </w:r>
      <w:r w:rsidRPr="00490B49">
        <w:t>induction</w:t>
      </w:r>
      <w:r w:rsidR="006902E3">
        <w:t xml:space="preserve"> to</w:t>
      </w:r>
      <w:r>
        <w:t xml:space="preserve"> </w:t>
      </w:r>
      <w:r w:rsidRPr="00490B49">
        <w:t>cultural</w:t>
      </w:r>
      <w:r>
        <w:t xml:space="preserve"> </w:t>
      </w:r>
      <w:r w:rsidRPr="00490B49">
        <w:t>support,</w:t>
      </w:r>
      <w:r>
        <w:t xml:space="preserve"> </w:t>
      </w:r>
      <w:r w:rsidRPr="00490B49">
        <w:t>career</w:t>
      </w:r>
      <w:r>
        <w:t xml:space="preserve"> </w:t>
      </w:r>
      <w:r w:rsidRPr="00490B49">
        <w:t>development</w:t>
      </w:r>
      <w:r>
        <w:t xml:space="preserve"> </w:t>
      </w:r>
      <w:r w:rsidRPr="00490B49">
        <w:t>and</w:t>
      </w:r>
      <w:r w:rsidR="006902E3">
        <w:t xml:space="preserve"> the</w:t>
      </w:r>
      <w:r>
        <w:t xml:space="preserve"> </w:t>
      </w:r>
      <w:r w:rsidRPr="00490B49">
        <w:t>sharing</w:t>
      </w:r>
      <w:r>
        <w:t xml:space="preserve"> </w:t>
      </w:r>
      <w:r w:rsidR="008C51C0">
        <w:t xml:space="preserve">of </w:t>
      </w:r>
      <w:r w:rsidRPr="00490B49">
        <w:t>the</w:t>
      </w:r>
      <w:r>
        <w:t xml:space="preserve"> </w:t>
      </w:r>
      <w:r w:rsidRPr="00490B49">
        <w:t>passion</w:t>
      </w:r>
      <w:r>
        <w:t xml:space="preserve"> </w:t>
      </w:r>
      <w:r w:rsidRPr="00490B49">
        <w:t>and</w:t>
      </w:r>
      <w:r>
        <w:t xml:space="preserve"> </w:t>
      </w:r>
      <w:r w:rsidRPr="00490B49">
        <w:t>stories</w:t>
      </w:r>
      <w:r>
        <w:t xml:space="preserve"> </w:t>
      </w:r>
      <w:r w:rsidRPr="00490B49">
        <w:t>of</w:t>
      </w:r>
      <w:r>
        <w:t xml:space="preserve"> </w:t>
      </w:r>
      <w:r w:rsidRPr="00490B49">
        <w:t>the</w:t>
      </w:r>
      <w:r>
        <w:t xml:space="preserve"> </w:t>
      </w:r>
      <w:r w:rsidRPr="00490B49">
        <w:t>Aboriginal</w:t>
      </w:r>
      <w:r>
        <w:t xml:space="preserve"> </w:t>
      </w:r>
      <w:r w:rsidRPr="00490B49">
        <w:t>voice.</w:t>
      </w:r>
      <w:r>
        <w:t xml:space="preserve"> </w:t>
      </w:r>
      <w:r w:rsidRPr="00490B49">
        <w:t>The</w:t>
      </w:r>
      <w:r>
        <w:t xml:space="preserve"> </w:t>
      </w:r>
      <w:r w:rsidRPr="00490B49">
        <w:t>Aboriginal</w:t>
      </w:r>
      <w:r>
        <w:t xml:space="preserve"> </w:t>
      </w:r>
      <w:r w:rsidRPr="00490B49">
        <w:t>Staff</w:t>
      </w:r>
      <w:r>
        <w:t xml:space="preserve"> </w:t>
      </w:r>
      <w:r w:rsidRPr="00490B49">
        <w:t>Network</w:t>
      </w:r>
      <w:r>
        <w:t xml:space="preserve"> </w:t>
      </w:r>
      <w:r w:rsidRPr="00490B49">
        <w:t>Forum</w:t>
      </w:r>
      <w:r>
        <w:t xml:space="preserve"> </w:t>
      </w:r>
      <w:r w:rsidRPr="00490B49">
        <w:t>was</w:t>
      </w:r>
      <w:r>
        <w:t xml:space="preserve"> </w:t>
      </w:r>
      <w:r w:rsidRPr="00490B49">
        <w:t>held</w:t>
      </w:r>
      <w:r>
        <w:t xml:space="preserve"> </w:t>
      </w:r>
      <w:r w:rsidRPr="00490B49">
        <w:t>in</w:t>
      </w:r>
      <w:r>
        <w:t xml:space="preserve"> </w:t>
      </w:r>
      <w:r w:rsidRPr="00490B49">
        <w:t>May</w:t>
      </w:r>
      <w:r>
        <w:t xml:space="preserve"> </w:t>
      </w:r>
      <w:r w:rsidRPr="00490B49">
        <w:t>2022,</w:t>
      </w:r>
      <w:r>
        <w:t xml:space="preserve"> </w:t>
      </w:r>
      <w:r w:rsidRPr="00490B49">
        <w:t>in</w:t>
      </w:r>
      <w:r>
        <w:t xml:space="preserve"> </w:t>
      </w:r>
      <w:r w:rsidRPr="00490B49">
        <w:t>partnership</w:t>
      </w:r>
      <w:r>
        <w:t xml:space="preserve"> </w:t>
      </w:r>
      <w:r w:rsidRPr="00490B49">
        <w:t>with</w:t>
      </w:r>
      <w:r w:rsidR="000D06B0">
        <w:t> </w:t>
      </w:r>
      <w:r w:rsidR="00581D2C">
        <w:t xml:space="preserve">the </w:t>
      </w:r>
      <w:r w:rsidRPr="00490B49">
        <w:t>Department</w:t>
      </w:r>
      <w:r>
        <w:t xml:space="preserve"> </w:t>
      </w:r>
      <w:r w:rsidRPr="00490B49">
        <w:t>of</w:t>
      </w:r>
      <w:r>
        <w:t xml:space="preserve"> </w:t>
      </w:r>
      <w:r w:rsidRPr="00490B49">
        <w:t>Families,</w:t>
      </w:r>
      <w:r>
        <w:t xml:space="preserve"> </w:t>
      </w:r>
      <w:r w:rsidRPr="00490B49">
        <w:t>Fairness</w:t>
      </w:r>
      <w:r>
        <w:t xml:space="preserve"> </w:t>
      </w:r>
      <w:r w:rsidRPr="00490B49">
        <w:t>and</w:t>
      </w:r>
      <w:r>
        <w:t xml:space="preserve"> </w:t>
      </w:r>
      <w:r w:rsidRPr="00490B49">
        <w:t>Housing</w:t>
      </w:r>
      <w:r w:rsidR="008C51C0">
        <w:t>’s</w:t>
      </w:r>
      <w:r w:rsidR="00581D2C">
        <w:t xml:space="preserve"> </w:t>
      </w:r>
      <w:r w:rsidRPr="00490B49">
        <w:t>ASN</w:t>
      </w:r>
      <w:r w:rsidR="008C51C0">
        <w:t>.</w:t>
      </w:r>
      <w:r>
        <w:t xml:space="preserve"> </w:t>
      </w:r>
      <w:r w:rsidR="008C51C0">
        <w:t>I</w:t>
      </w:r>
      <w:r w:rsidRPr="00490B49">
        <w:t>t</w:t>
      </w:r>
      <w:r>
        <w:t xml:space="preserve"> </w:t>
      </w:r>
      <w:r w:rsidRPr="00490B49">
        <w:t>was</w:t>
      </w:r>
      <w:r>
        <w:t xml:space="preserve"> </w:t>
      </w:r>
      <w:r w:rsidRPr="00490B49">
        <w:t>a</w:t>
      </w:r>
      <w:r>
        <w:t xml:space="preserve"> </w:t>
      </w:r>
      <w:r w:rsidRPr="00490B49">
        <w:t>great</w:t>
      </w:r>
      <w:r>
        <w:t xml:space="preserve"> </w:t>
      </w:r>
      <w:r w:rsidRPr="00490B49">
        <w:t>success</w:t>
      </w:r>
      <w:r>
        <w:t xml:space="preserve"> </w:t>
      </w:r>
      <w:r w:rsidRPr="00490B49">
        <w:t>and</w:t>
      </w:r>
      <w:r>
        <w:t xml:space="preserve"> </w:t>
      </w:r>
      <w:r w:rsidRPr="00490B49">
        <w:t>a</w:t>
      </w:r>
      <w:r>
        <w:t xml:space="preserve"> </w:t>
      </w:r>
      <w:r w:rsidRPr="00490B49">
        <w:t>real</w:t>
      </w:r>
      <w:r w:rsidR="000D06B0">
        <w:t> </w:t>
      </w:r>
      <w:r w:rsidRPr="00490B49">
        <w:t>milestone,</w:t>
      </w:r>
      <w:r>
        <w:t xml:space="preserve"> </w:t>
      </w:r>
      <w:r w:rsidRPr="00490B49">
        <w:t>as</w:t>
      </w:r>
      <w:r>
        <w:t xml:space="preserve"> </w:t>
      </w:r>
      <w:r w:rsidRPr="00490B49">
        <w:t>this</w:t>
      </w:r>
      <w:r>
        <w:t xml:space="preserve"> </w:t>
      </w:r>
      <w:r w:rsidRPr="00490B49">
        <w:t>was</w:t>
      </w:r>
      <w:r>
        <w:t xml:space="preserve"> </w:t>
      </w:r>
      <w:r w:rsidRPr="00490B49">
        <w:t>the</w:t>
      </w:r>
      <w:r>
        <w:t xml:space="preserve"> </w:t>
      </w:r>
      <w:r w:rsidRPr="00490B49">
        <w:t>first</w:t>
      </w:r>
      <w:r>
        <w:t xml:space="preserve"> </w:t>
      </w:r>
      <w:r w:rsidRPr="00490B49">
        <w:t>face</w:t>
      </w:r>
      <w:r>
        <w:t xml:space="preserve"> </w:t>
      </w:r>
      <w:r w:rsidRPr="00490B49">
        <w:t>to</w:t>
      </w:r>
      <w:r>
        <w:t xml:space="preserve"> </w:t>
      </w:r>
      <w:r w:rsidRPr="00490B49">
        <w:t>face</w:t>
      </w:r>
      <w:r>
        <w:t xml:space="preserve"> </w:t>
      </w:r>
      <w:r w:rsidRPr="00490B49">
        <w:t>gathering</w:t>
      </w:r>
      <w:r>
        <w:t xml:space="preserve"> </w:t>
      </w:r>
      <w:r w:rsidRPr="00490B49">
        <w:t>since</w:t>
      </w:r>
      <w:r>
        <w:t xml:space="preserve"> </w:t>
      </w:r>
      <w:r w:rsidR="008C51C0">
        <w:t xml:space="preserve">the beginning of the </w:t>
      </w:r>
      <w:r w:rsidRPr="00490B49">
        <w:t>COVID</w:t>
      </w:r>
      <w:r w:rsidR="008C51C0">
        <w:t>-</w:t>
      </w:r>
      <w:r w:rsidRPr="00490B49">
        <w:t>19</w:t>
      </w:r>
      <w:r w:rsidR="008C51C0">
        <w:t xml:space="preserve"> pandemic</w:t>
      </w:r>
      <w:r w:rsidRPr="00490B49">
        <w:t>.</w:t>
      </w:r>
      <w:r>
        <w:t xml:space="preserve"> </w:t>
      </w:r>
      <w:r w:rsidRPr="00490B49">
        <w:t>The</w:t>
      </w:r>
      <w:r>
        <w:t xml:space="preserve"> </w:t>
      </w:r>
      <w:r w:rsidRPr="00490B49">
        <w:t>ASN</w:t>
      </w:r>
      <w:r>
        <w:t xml:space="preserve"> </w:t>
      </w:r>
      <w:r w:rsidRPr="00490B49">
        <w:t>will</w:t>
      </w:r>
      <w:r>
        <w:t xml:space="preserve"> </w:t>
      </w:r>
      <w:r w:rsidRPr="00490B49">
        <w:t>grow</w:t>
      </w:r>
      <w:r>
        <w:t xml:space="preserve"> </w:t>
      </w:r>
      <w:r w:rsidRPr="00490B49">
        <w:t>under</w:t>
      </w:r>
      <w:r>
        <w:t xml:space="preserve"> </w:t>
      </w:r>
      <w:r w:rsidR="00053F39">
        <w:t xml:space="preserve">the </w:t>
      </w:r>
      <w:r w:rsidRPr="00490B49">
        <w:t>new</w:t>
      </w:r>
      <w:r w:rsidR="004D4D20">
        <w:t xml:space="preserve"> </w:t>
      </w:r>
      <w:r w:rsidR="008C51C0" w:rsidRPr="00411E36">
        <w:rPr>
          <w:i/>
          <w:iCs/>
        </w:rPr>
        <w:t>Aboriginal Workforce Strategy</w:t>
      </w:r>
      <w:r w:rsidR="00E0723F">
        <w:t>;</w:t>
      </w:r>
      <w:r>
        <w:t xml:space="preserve"> </w:t>
      </w:r>
      <w:r w:rsidR="00DE3E91">
        <w:t>the department</w:t>
      </w:r>
      <w:r>
        <w:t xml:space="preserve"> </w:t>
      </w:r>
      <w:r w:rsidRPr="00490B49">
        <w:t>will</w:t>
      </w:r>
      <w:r w:rsidR="000D06B0">
        <w:t> </w:t>
      </w:r>
      <w:r w:rsidRPr="00490B49">
        <w:t>continue</w:t>
      </w:r>
      <w:r>
        <w:t xml:space="preserve"> </w:t>
      </w:r>
      <w:r w:rsidRPr="00490B49">
        <w:t>to</w:t>
      </w:r>
      <w:r>
        <w:t xml:space="preserve"> </w:t>
      </w:r>
      <w:r w:rsidRPr="00490B49">
        <w:t>share</w:t>
      </w:r>
      <w:r>
        <w:t xml:space="preserve"> </w:t>
      </w:r>
      <w:r w:rsidRPr="00490B49">
        <w:t>knowledge</w:t>
      </w:r>
      <w:r>
        <w:t xml:space="preserve"> </w:t>
      </w:r>
      <w:r w:rsidRPr="00490B49">
        <w:t>and</w:t>
      </w:r>
      <w:r>
        <w:t xml:space="preserve"> </w:t>
      </w:r>
      <w:r w:rsidRPr="00490B49">
        <w:t>contribute</w:t>
      </w:r>
      <w:r>
        <w:t xml:space="preserve"> </w:t>
      </w:r>
      <w:r w:rsidRPr="00490B49">
        <w:t>to</w:t>
      </w:r>
      <w:r w:rsidR="000D06B0">
        <w:t> </w:t>
      </w:r>
      <w:r w:rsidRPr="00490B49">
        <w:t>the</w:t>
      </w:r>
      <w:r>
        <w:t xml:space="preserve"> </w:t>
      </w:r>
      <w:r w:rsidRPr="00490B49">
        <w:t>Aboriginal</w:t>
      </w:r>
      <w:r>
        <w:t xml:space="preserve"> </w:t>
      </w:r>
      <w:r w:rsidRPr="00490B49">
        <w:t>Cultural</w:t>
      </w:r>
      <w:r>
        <w:t xml:space="preserve"> </w:t>
      </w:r>
      <w:r w:rsidRPr="00490B49">
        <w:t>Safety</w:t>
      </w:r>
      <w:r>
        <w:t xml:space="preserve"> </w:t>
      </w:r>
      <w:r w:rsidRPr="00490B49">
        <w:t>Measurement</w:t>
      </w:r>
      <w:r>
        <w:t xml:space="preserve"> </w:t>
      </w:r>
      <w:r w:rsidRPr="00490B49">
        <w:t>and</w:t>
      </w:r>
      <w:r w:rsidR="000D06B0">
        <w:t> </w:t>
      </w:r>
      <w:r w:rsidRPr="00490B49">
        <w:t>Assessment</w:t>
      </w:r>
      <w:r>
        <w:t xml:space="preserve"> </w:t>
      </w:r>
      <w:r w:rsidRPr="00490B49">
        <w:t>Tool</w:t>
      </w:r>
      <w:r>
        <w:t xml:space="preserve"> </w:t>
      </w:r>
      <w:r w:rsidRPr="00490B49">
        <w:t>development.</w:t>
      </w:r>
    </w:p>
    <w:p w14:paraId="716CB31C" w14:textId="77777777" w:rsidR="001A70B8" w:rsidRPr="00490B49" w:rsidRDefault="001A70B8" w:rsidP="00101E5D">
      <w:pPr>
        <w:pStyle w:val="Heading3"/>
      </w:pPr>
      <w:r w:rsidRPr="00490B49">
        <w:t>LGBTIQ+</w:t>
      </w:r>
      <w:r>
        <w:t xml:space="preserve"> </w:t>
      </w:r>
      <w:r w:rsidRPr="00490B49">
        <w:t>Inclusion</w:t>
      </w:r>
    </w:p>
    <w:p w14:paraId="72203121" w14:textId="4BF4DC18" w:rsidR="001A70B8" w:rsidRPr="00490B49" w:rsidRDefault="00581D2C" w:rsidP="00101E5D">
      <w:pPr>
        <w:pStyle w:val="ARbody"/>
        <w:shd w:val="clear" w:color="auto" w:fill="FFFFFF" w:themeFill="background1"/>
      </w:pPr>
      <w:r>
        <w:t xml:space="preserve">After a number of disruptions due to </w:t>
      </w:r>
      <w:r w:rsidR="001A70B8" w:rsidRPr="00012029">
        <w:t>COVID-19</w:t>
      </w:r>
      <w:r w:rsidR="001A70B8">
        <w:t xml:space="preserve"> </w:t>
      </w:r>
      <w:r w:rsidR="001A70B8" w:rsidRPr="00490B49">
        <w:t>priorities</w:t>
      </w:r>
      <w:r>
        <w:t xml:space="preserve"> over the last couple of years</w:t>
      </w:r>
      <w:r w:rsidR="001A70B8" w:rsidRPr="00490B49">
        <w:t>,</w:t>
      </w:r>
      <w:r w:rsidR="001A70B8">
        <w:t xml:space="preserve"> </w:t>
      </w:r>
      <w:r w:rsidR="001A70B8" w:rsidRPr="00490B49">
        <w:t>the</w:t>
      </w:r>
      <w:r w:rsidR="001A70B8">
        <w:t xml:space="preserve"> </w:t>
      </w:r>
      <w:r w:rsidR="001A70B8" w:rsidRPr="00490B49">
        <w:t>department’s</w:t>
      </w:r>
      <w:r w:rsidR="001A70B8">
        <w:t xml:space="preserve"> </w:t>
      </w:r>
      <w:r w:rsidR="001A70B8" w:rsidRPr="00490B49">
        <w:t>PRIDE</w:t>
      </w:r>
      <w:r w:rsidR="001A70B8">
        <w:t xml:space="preserve"> </w:t>
      </w:r>
      <w:r w:rsidR="001A70B8" w:rsidRPr="00490B49">
        <w:t>Network</w:t>
      </w:r>
      <w:r w:rsidR="001A70B8">
        <w:t xml:space="preserve"> </w:t>
      </w:r>
      <w:r>
        <w:t xml:space="preserve">was recently </w:t>
      </w:r>
      <w:r w:rsidR="001A70B8" w:rsidRPr="00490B49">
        <w:t>reactivated</w:t>
      </w:r>
      <w:r w:rsidR="00425DE5">
        <w:t>.</w:t>
      </w:r>
      <w:r w:rsidR="001A70B8">
        <w:t xml:space="preserve"> </w:t>
      </w:r>
      <w:r w:rsidR="001A70B8" w:rsidRPr="00490B49">
        <w:t>As</w:t>
      </w:r>
      <w:r w:rsidR="001A70B8">
        <w:t xml:space="preserve"> </w:t>
      </w:r>
      <w:r w:rsidR="001A70B8" w:rsidRPr="00490B49">
        <w:t>part</w:t>
      </w:r>
      <w:r w:rsidR="001A70B8">
        <w:t xml:space="preserve"> </w:t>
      </w:r>
      <w:r w:rsidR="001A70B8" w:rsidRPr="00490B49">
        <w:t>of</w:t>
      </w:r>
      <w:r w:rsidR="001A70B8">
        <w:t xml:space="preserve"> </w:t>
      </w:r>
      <w:r w:rsidR="001A70B8" w:rsidRPr="00490B49">
        <w:t>the</w:t>
      </w:r>
      <w:r w:rsidR="001A70B8">
        <w:t xml:space="preserve"> </w:t>
      </w:r>
      <w:r w:rsidR="001A70B8" w:rsidRPr="00490B49">
        <w:t>whole</w:t>
      </w:r>
      <w:r w:rsidR="001A70B8">
        <w:t xml:space="preserve"> </w:t>
      </w:r>
      <w:r w:rsidR="001A70B8" w:rsidRPr="00490B49">
        <w:t>of</w:t>
      </w:r>
      <w:r w:rsidR="001A70B8">
        <w:t xml:space="preserve"> </w:t>
      </w:r>
      <w:r w:rsidR="001A70B8" w:rsidRPr="00490B49">
        <w:t>Victorian</w:t>
      </w:r>
      <w:r w:rsidR="001A70B8">
        <w:t xml:space="preserve"> </w:t>
      </w:r>
      <w:r w:rsidR="001A70B8" w:rsidRPr="00490B49">
        <w:t>Government</w:t>
      </w:r>
      <w:r w:rsidR="001A70B8">
        <w:t xml:space="preserve"> </w:t>
      </w:r>
      <w:r w:rsidR="001A70B8" w:rsidRPr="00490B49">
        <w:t>Pride</w:t>
      </w:r>
      <w:r w:rsidR="001A70B8">
        <w:t xml:space="preserve"> </w:t>
      </w:r>
      <w:r w:rsidR="001A70B8" w:rsidRPr="00490B49">
        <w:t>Network,</w:t>
      </w:r>
      <w:r w:rsidR="001A70B8">
        <w:t xml:space="preserve"> </w:t>
      </w:r>
      <w:r w:rsidR="001A70B8" w:rsidRPr="00490B49">
        <w:t>the</w:t>
      </w:r>
      <w:r w:rsidR="001A70B8">
        <w:t xml:space="preserve"> </w:t>
      </w:r>
      <w:r w:rsidR="001A70B8" w:rsidRPr="00490B49">
        <w:t>network</w:t>
      </w:r>
      <w:r w:rsidR="001A70B8">
        <w:t xml:space="preserve"> </w:t>
      </w:r>
      <w:r w:rsidR="001A70B8" w:rsidRPr="00490B49">
        <w:t>aims</w:t>
      </w:r>
      <w:r w:rsidR="001A70B8">
        <w:t xml:space="preserve"> </w:t>
      </w:r>
      <w:r w:rsidR="001A70B8" w:rsidRPr="00490B49">
        <w:t>to</w:t>
      </w:r>
      <w:r w:rsidR="000D06B0">
        <w:t> </w:t>
      </w:r>
      <w:r w:rsidR="001A70B8" w:rsidRPr="00490B49">
        <w:t>ensure</w:t>
      </w:r>
      <w:r w:rsidR="001A70B8">
        <w:t xml:space="preserve"> </w:t>
      </w:r>
      <w:r w:rsidR="001A70B8" w:rsidRPr="00490B49">
        <w:t>LGBTIQ+</w:t>
      </w:r>
      <w:r w:rsidR="001A70B8">
        <w:t xml:space="preserve"> </w:t>
      </w:r>
      <w:r w:rsidR="001A70B8" w:rsidRPr="00490B49">
        <w:t>staff</w:t>
      </w:r>
      <w:r w:rsidR="001A70B8">
        <w:t xml:space="preserve"> </w:t>
      </w:r>
      <w:r w:rsidR="001A70B8" w:rsidRPr="00490B49">
        <w:t>and</w:t>
      </w:r>
      <w:r w:rsidR="001A70B8">
        <w:t xml:space="preserve"> </w:t>
      </w:r>
      <w:r w:rsidR="001A70B8" w:rsidRPr="00490B49">
        <w:t>community</w:t>
      </w:r>
      <w:r w:rsidR="001A70B8">
        <w:t xml:space="preserve"> </w:t>
      </w:r>
      <w:r w:rsidR="001A70B8" w:rsidRPr="00490B49">
        <w:t>remain</w:t>
      </w:r>
      <w:r w:rsidR="001A70B8">
        <w:t xml:space="preserve"> </w:t>
      </w:r>
      <w:r w:rsidR="001A70B8" w:rsidRPr="00490B49">
        <w:t>connected</w:t>
      </w:r>
      <w:r w:rsidR="001A70B8">
        <w:t xml:space="preserve"> </w:t>
      </w:r>
      <w:r w:rsidR="001A70B8" w:rsidRPr="00490B49">
        <w:t>and</w:t>
      </w:r>
      <w:r w:rsidR="001A70B8">
        <w:t xml:space="preserve"> </w:t>
      </w:r>
      <w:r w:rsidR="001A70B8" w:rsidRPr="00490B49">
        <w:t>supported.</w:t>
      </w:r>
      <w:r w:rsidR="001A70B8">
        <w:t xml:space="preserve"> </w:t>
      </w:r>
      <w:r w:rsidR="001A70B8" w:rsidRPr="00490B49">
        <w:t>The</w:t>
      </w:r>
      <w:r w:rsidR="001A70B8">
        <w:t xml:space="preserve"> </w:t>
      </w:r>
      <w:r w:rsidR="001A70B8" w:rsidRPr="00490B49">
        <w:t>network</w:t>
      </w:r>
      <w:r w:rsidR="001A70B8">
        <w:t xml:space="preserve"> </w:t>
      </w:r>
      <w:r w:rsidR="001A70B8" w:rsidRPr="00490B49">
        <w:t>provided</w:t>
      </w:r>
      <w:r w:rsidR="001A70B8">
        <w:t xml:space="preserve"> </w:t>
      </w:r>
      <w:r w:rsidR="001A70B8" w:rsidRPr="00490B49">
        <w:t>a</w:t>
      </w:r>
      <w:r w:rsidR="001A70B8">
        <w:t xml:space="preserve"> </w:t>
      </w:r>
      <w:r w:rsidR="001A70B8" w:rsidRPr="00490B49">
        <w:t>pivotal</w:t>
      </w:r>
      <w:r w:rsidR="001A70B8">
        <w:t xml:space="preserve"> </w:t>
      </w:r>
      <w:r w:rsidR="001A70B8" w:rsidRPr="00490B49">
        <w:t>role</w:t>
      </w:r>
      <w:r w:rsidR="001A70B8">
        <w:t xml:space="preserve"> </w:t>
      </w:r>
      <w:r w:rsidR="001A70B8" w:rsidRPr="00490B49">
        <w:t>in</w:t>
      </w:r>
      <w:r w:rsidR="001A70B8">
        <w:t xml:space="preserve"> </w:t>
      </w:r>
      <w:r w:rsidR="001A70B8" w:rsidRPr="00490B49">
        <w:t>the</w:t>
      </w:r>
      <w:r w:rsidR="001A70B8">
        <w:t xml:space="preserve"> </w:t>
      </w:r>
      <w:r w:rsidR="001A70B8" w:rsidRPr="00490B49">
        <w:t>development</w:t>
      </w:r>
      <w:r w:rsidR="001A70B8">
        <w:t xml:space="preserve"> </w:t>
      </w:r>
      <w:r w:rsidR="001A70B8" w:rsidRPr="00490B49">
        <w:t>of</w:t>
      </w:r>
      <w:r w:rsidR="001A70B8">
        <w:t xml:space="preserve"> </w:t>
      </w:r>
      <w:r w:rsidR="001A70B8" w:rsidRPr="00490B49">
        <w:t>the</w:t>
      </w:r>
      <w:r w:rsidR="001A70B8">
        <w:t xml:space="preserve"> </w:t>
      </w:r>
      <w:r w:rsidR="001A70B8" w:rsidRPr="00490B49">
        <w:t>department’s</w:t>
      </w:r>
      <w:r w:rsidR="001A70B8">
        <w:t xml:space="preserve"> </w:t>
      </w:r>
      <w:r w:rsidR="001A70B8" w:rsidRPr="00490B49">
        <w:t>new</w:t>
      </w:r>
      <w:r w:rsidR="001A70B8">
        <w:t xml:space="preserve"> </w:t>
      </w:r>
      <w:r w:rsidR="001A70B8" w:rsidRPr="00425DE5">
        <w:rPr>
          <w:i/>
          <w:iCs/>
        </w:rPr>
        <w:t xml:space="preserve">Gender </w:t>
      </w:r>
      <w:r w:rsidR="00F92B1A" w:rsidRPr="00425DE5">
        <w:rPr>
          <w:i/>
          <w:iCs/>
        </w:rPr>
        <w:t>e</w:t>
      </w:r>
      <w:r w:rsidR="001A70B8" w:rsidRPr="00425DE5">
        <w:rPr>
          <w:i/>
          <w:iCs/>
        </w:rPr>
        <w:t xml:space="preserve">quality </w:t>
      </w:r>
      <w:r w:rsidR="00F92B1A" w:rsidRPr="00425DE5">
        <w:rPr>
          <w:i/>
          <w:iCs/>
        </w:rPr>
        <w:t>a</w:t>
      </w:r>
      <w:r w:rsidR="001A70B8" w:rsidRPr="00425DE5">
        <w:rPr>
          <w:i/>
          <w:iCs/>
        </w:rPr>
        <w:t xml:space="preserve">ction </w:t>
      </w:r>
      <w:r w:rsidR="00F92B1A" w:rsidRPr="00425DE5">
        <w:rPr>
          <w:i/>
          <w:iCs/>
        </w:rPr>
        <w:t>p</w:t>
      </w:r>
      <w:r w:rsidR="001A70B8" w:rsidRPr="00425DE5">
        <w:rPr>
          <w:i/>
          <w:iCs/>
        </w:rPr>
        <w:t>lan</w:t>
      </w:r>
      <w:r w:rsidR="008C51C0">
        <w:t>,</w:t>
      </w:r>
      <w:r w:rsidR="001A70B8">
        <w:t xml:space="preserve"> </w:t>
      </w:r>
      <w:r w:rsidR="001A70B8" w:rsidRPr="00490B49">
        <w:t>ensuring</w:t>
      </w:r>
      <w:r w:rsidR="001A70B8">
        <w:t xml:space="preserve"> </w:t>
      </w:r>
      <w:r w:rsidR="001A70B8" w:rsidRPr="00490B49">
        <w:t>that</w:t>
      </w:r>
      <w:r w:rsidR="001A70B8">
        <w:t xml:space="preserve"> </w:t>
      </w:r>
      <w:r w:rsidR="001A70B8" w:rsidRPr="00490B49">
        <w:t>the</w:t>
      </w:r>
      <w:r w:rsidR="001A70B8">
        <w:t xml:space="preserve"> </w:t>
      </w:r>
      <w:r w:rsidR="001A70B8" w:rsidRPr="00490B49">
        <w:t>voices</w:t>
      </w:r>
      <w:r w:rsidR="001A70B8">
        <w:t xml:space="preserve"> </w:t>
      </w:r>
      <w:r w:rsidR="001A70B8" w:rsidRPr="00490B49">
        <w:t>of</w:t>
      </w:r>
      <w:r w:rsidR="001A70B8">
        <w:t xml:space="preserve"> </w:t>
      </w:r>
      <w:r w:rsidR="001A70B8" w:rsidRPr="00490B49">
        <w:t>LGBTIQ+</w:t>
      </w:r>
      <w:r w:rsidR="001A70B8">
        <w:t xml:space="preserve"> </w:t>
      </w:r>
      <w:r w:rsidR="001A70B8" w:rsidRPr="00490B49">
        <w:t>and</w:t>
      </w:r>
      <w:r w:rsidR="001A70B8">
        <w:t xml:space="preserve"> </w:t>
      </w:r>
      <w:r w:rsidR="001A70B8" w:rsidRPr="00490B49">
        <w:t>gender</w:t>
      </w:r>
      <w:r w:rsidR="001A70B8">
        <w:t xml:space="preserve"> </w:t>
      </w:r>
      <w:r w:rsidR="001A70B8" w:rsidRPr="00490B49">
        <w:t>diverse</w:t>
      </w:r>
      <w:r w:rsidR="001A70B8">
        <w:t xml:space="preserve"> </w:t>
      </w:r>
      <w:r w:rsidR="001A70B8" w:rsidRPr="00490B49">
        <w:t>employees</w:t>
      </w:r>
      <w:r w:rsidR="001A70B8">
        <w:t xml:space="preserve"> </w:t>
      </w:r>
      <w:r w:rsidR="001A70B8" w:rsidRPr="00490B49">
        <w:t>were</w:t>
      </w:r>
      <w:r w:rsidR="001A70B8">
        <w:t xml:space="preserve"> </w:t>
      </w:r>
      <w:r w:rsidR="001A70B8" w:rsidRPr="00490B49">
        <w:t>heard</w:t>
      </w:r>
      <w:r w:rsidR="001A70B8">
        <w:t xml:space="preserve"> </w:t>
      </w:r>
      <w:r w:rsidR="001A70B8" w:rsidRPr="00490B49">
        <w:t>and</w:t>
      </w:r>
      <w:r w:rsidR="001A70B8">
        <w:t xml:space="preserve"> </w:t>
      </w:r>
      <w:r w:rsidR="001A70B8" w:rsidRPr="00490B49">
        <w:t>represented</w:t>
      </w:r>
      <w:r w:rsidR="001A70B8">
        <w:t xml:space="preserve"> </w:t>
      </w:r>
      <w:r w:rsidR="001A70B8" w:rsidRPr="00490B49">
        <w:t>in</w:t>
      </w:r>
      <w:r w:rsidR="001A70B8">
        <w:t xml:space="preserve"> </w:t>
      </w:r>
      <w:r w:rsidR="001A70B8" w:rsidRPr="00490B49">
        <w:t>the</w:t>
      </w:r>
      <w:r w:rsidR="001A70B8">
        <w:t xml:space="preserve"> </w:t>
      </w:r>
      <w:r w:rsidR="001A70B8" w:rsidRPr="00490B49">
        <w:t>plan.</w:t>
      </w:r>
      <w:r w:rsidR="001A70B8">
        <w:t xml:space="preserve"> </w:t>
      </w:r>
      <w:r w:rsidR="008C51C0">
        <w:t>In addition</w:t>
      </w:r>
      <w:r w:rsidR="001A70B8" w:rsidRPr="00490B49">
        <w:t>,</w:t>
      </w:r>
      <w:r w:rsidR="001A70B8">
        <w:t xml:space="preserve"> </w:t>
      </w:r>
      <w:r w:rsidR="001A70B8" w:rsidRPr="00490B49">
        <w:t>the</w:t>
      </w:r>
      <w:r w:rsidR="001A70B8">
        <w:t xml:space="preserve"> </w:t>
      </w:r>
      <w:r w:rsidR="001A70B8" w:rsidRPr="00490B49">
        <w:t>PRIDE</w:t>
      </w:r>
      <w:r w:rsidR="001A70B8">
        <w:t xml:space="preserve"> </w:t>
      </w:r>
      <w:r w:rsidR="001A70B8" w:rsidRPr="00490B49">
        <w:t>Network</w:t>
      </w:r>
      <w:r w:rsidR="001A70B8">
        <w:t xml:space="preserve"> </w:t>
      </w:r>
      <w:r w:rsidR="001A70B8" w:rsidRPr="00490B49">
        <w:t>has</w:t>
      </w:r>
      <w:r w:rsidR="001A70B8">
        <w:t xml:space="preserve"> </w:t>
      </w:r>
      <w:r w:rsidR="001A70B8" w:rsidRPr="00490B49">
        <w:t>advocated</w:t>
      </w:r>
      <w:r w:rsidR="001A70B8">
        <w:t xml:space="preserve"> </w:t>
      </w:r>
      <w:r w:rsidR="001A70B8" w:rsidRPr="00490B49">
        <w:t>for</w:t>
      </w:r>
      <w:r w:rsidR="001A70B8">
        <w:t xml:space="preserve"> </w:t>
      </w:r>
      <w:r w:rsidR="001A70B8" w:rsidRPr="00490B49">
        <w:t>increased</w:t>
      </w:r>
      <w:r w:rsidR="001A70B8">
        <w:t xml:space="preserve"> </w:t>
      </w:r>
      <w:r w:rsidR="001A70B8" w:rsidRPr="00490B49">
        <w:t>access</w:t>
      </w:r>
      <w:r w:rsidR="001A70B8">
        <w:t xml:space="preserve"> </w:t>
      </w:r>
      <w:r w:rsidR="001A70B8" w:rsidRPr="00490B49">
        <w:t>to</w:t>
      </w:r>
      <w:r w:rsidR="001A70B8">
        <w:t xml:space="preserve"> </w:t>
      </w:r>
      <w:r w:rsidR="001A70B8" w:rsidRPr="00490B49">
        <w:t>all-gender</w:t>
      </w:r>
      <w:r w:rsidR="001A70B8">
        <w:t xml:space="preserve"> </w:t>
      </w:r>
      <w:r w:rsidR="001A70B8" w:rsidRPr="00490B49">
        <w:t>facilities</w:t>
      </w:r>
      <w:r w:rsidR="001A70B8">
        <w:t xml:space="preserve"> </w:t>
      </w:r>
      <w:r w:rsidR="001A70B8" w:rsidRPr="00490B49">
        <w:t>in</w:t>
      </w:r>
      <w:r w:rsidR="001A70B8">
        <w:t xml:space="preserve"> </w:t>
      </w:r>
      <w:r w:rsidR="008C51C0">
        <w:t xml:space="preserve">departmental </w:t>
      </w:r>
      <w:r w:rsidR="001A70B8" w:rsidRPr="00490B49">
        <w:t>workplaces</w:t>
      </w:r>
      <w:r w:rsidR="001A70B8">
        <w:t xml:space="preserve"> </w:t>
      </w:r>
      <w:r w:rsidR="001A70B8" w:rsidRPr="00490B49">
        <w:t>and</w:t>
      </w:r>
      <w:r w:rsidR="001A70B8">
        <w:t xml:space="preserve"> </w:t>
      </w:r>
      <w:r w:rsidR="001A70B8" w:rsidRPr="00490B49">
        <w:t>updates</w:t>
      </w:r>
      <w:r w:rsidR="001A70B8">
        <w:t xml:space="preserve"> </w:t>
      </w:r>
      <w:r w:rsidR="001A70B8" w:rsidRPr="00490B49">
        <w:t>to</w:t>
      </w:r>
      <w:r w:rsidR="001A70B8">
        <w:t xml:space="preserve"> </w:t>
      </w:r>
      <w:r w:rsidR="001A70B8" w:rsidRPr="00490B49">
        <w:t>staff</w:t>
      </w:r>
      <w:r w:rsidR="001A70B8">
        <w:t xml:space="preserve"> </w:t>
      </w:r>
      <w:r w:rsidR="001A70B8" w:rsidRPr="00490B49">
        <w:t>signature</w:t>
      </w:r>
      <w:r w:rsidR="001A70B8">
        <w:t xml:space="preserve"> </w:t>
      </w:r>
      <w:r w:rsidR="001A70B8" w:rsidRPr="00490B49">
        <w:t>blocks</w:t>
      </w:r>
      <w:r w:rsidR="001A70B8">
        <w:t xml:space="preserve"> </w:t>
      </w:r>
      <w:r w:rsidR="007044DC">
        <w:t>as</w:t>
      </w:r>
      <w:r w:rsidR="000D06B0">
        <w:t> </w:t>
      </w:r>
      <w:r w:rsidR="007044DC">
        <w:t xml:space="preserve">an outward demonstration of </w:t>
      </w:r>
      <w:r w:rsidR="001A70B8" w:rsidRPr="007044DC">
        <w:t>an inclusive culture at the department.</w:t>
      </w:r>
    </w:p>
    <w:p w14:paraId="5809B7D9" w14:textId="0038686C" w:rsidR="001A70B8" w:rsidRDefault="001A70B8" w:rsidP="00101E5D">
      <w:pPr>
        <w:pStyle w:val="ARbody"/>
        <w:shd w:val="clear" w:color="auto" w:fill="FFFFFF" w:themeFill="background1"/>
      </w:pPr>
      <w:r w:rsidRPr="00490B49">
        <w:t>The</w:t>
      </w:r>
      <w:r>
        <w:t xml:space="preserve"> </w:t>
      </w:r>
      <w:r w:rsidRPr="00490B49">
        <w:t>department</w:t>
      </w:r>
      <w:r>
        <w:t xml:space="preserve"> </w:t>
      </w:r>
      <w:r w:rsidRPr="00490B49">
        <w:t>continued</w:t>
      </w:r>
      <w:r>
        <w:t xml:space="preserve"> </w:t>
      </w:r>
      <w:r w:rsidR="00053F39">
        <w:t xml:space="preserve">its </w:t>
      </w:r>
      <w:r w:rsidRPr="00490B49">
        <w:t>partnership</w:t>
      </w:r>
      <w:r>
        <w:t xml:space="preserve"> </w:t>
      </w:r>
      <w:r w:rsidRPr="00490B49">
        <w:t>with</w:t>
      </w:r>
      <w:r>
        <w:t xml:space="preserve"> </w:t>
      </w:r>
      <w:r w:rsidRPr="00490B49">
        <w:t>PRIDE</w:t>
      </w:r>
      <w:r>
        <w:t xml:space="preserve"> </w:t>
      </w:r>
      <w:r w:rsidRPr="00490B49">
        <w:t>in</w:t>
      </w:r>
      <w:r>
        <w:t xml:space="preserve"> </w:t>
      </w:r>
      <w:r w:rsidRPr="00490B49">
        <w:t>Diversity</w:t>
      </w:r>
      <w:r>
        <w:t xml:space="preserve"> </w:t>
      </w:r>
      <w:r w:rsidRPr="00490B49">
        <w:t>to</w:t>
      </w:r>
      <w:r>
        <w:t xml:space="preserve"> </w:t>
      </w:r>
      <w:r w:rsidRPr="00490B49">
        <w:t>ensure</w:t>
      </w:r>
      <w:r>
        <w:t xml:space="preserve"> </w:t>
      </w:r>
      <w:r w:rsidRPr="00490B49">
        <w:t>inclusive</w:t>
      </w:r>
      <w:r>
        <w:t xml:space="preserve"> </w:t>
      </w:r>
      <w:r w:rsidRPr="00490B49">
        <w:t>policy</w:t>
      </w:r>
      <w:r>
        <w:t xml:space="preserve"> </w:t>
      </w:r>
      <w:r w:rsidRPr="00490B49">
        <w:t>and</w:t>
      </w:r>
      <w:r>
        <w:t xml:space="preserve"> </w:t>
      </w:r>
      <w:r w:rsidRPr="00490B49">
        <w:t>practice</w:t>
      </w:r>
      <w:r>
        <w:t xml:space="preserve"> </w:t>
      </w:r>
      <w:r w:rsidRPr="00490B49">
        <w:t>and</w:t>
      </w:r>
      <w:r>
        <w:t xml:space="preserve"> </w:t>
      </w:r>
      <w:r w:rsidRPr="00490B49">
        <w:t>has</w:t>
      </w:r>
      <w:r>
        <w:t xml:space="preserve"> </w:t>
      </w:r>
      <w:r w:rsidRPr="00490B49">
        <w:t>access</w:t>
      </w:r>
      <w:r>
        <w:t xml:space="preserve"> </w:t>
      </w:r>
      <w:r w:rsidRPr="00490B49">
        <w:t>to</w:t>
      </w:r>
      <w:r>
        <w:t xml:space="preserve"> </w:t>
      </w:r>
      <w:r w:rsidRPr="00490B49">
        <w:t>best</w:t>
      </w:r>
      <w:r>
        <w:t xml:space="preserve"> </w:t>
      </w:r>
      <w:r w:rsidRPr="00490B49">
        <w:t>practice</w:t>
      </w:r>
      <w:r>
        <w:t xml:space="preserve"> </w:t>
      </w:r>
      <w:r w:rsidRPr="00490B49">
        <w:t>awareness</w:t>
      </w:r>
      <w:r>
        <w:t xml:space="preserve"> </w:t>
      </w:r>
      <w:r w:rsidRPr="00490B49">
        <w:t>training.</w:t>
      </w:r>
      <w:r>
        <w:t xml:space="preserve"> </w:t>
      </w:r>
      <w:r w:rsidRPr="00490B49">
        <w:t>The</w:t>
      </w:r>
      <w:r>
        <w:t xml:space="preserve"> </w:t>
      </w:r>
      <w:r w:rsidRPr="00490B49">
        <w:t>PRIDE</w:t>
      </w:r>
      <w:r>
        <w:t xml:space="preserve"> </w:t>
      </w:r>
      <w:r w:rsidRPr="00490B49">
        <w:t>Network</w:t>
      </w:r>
      <w:r>
        <w:t xml:space="preserve"> </w:t>
      </w:r>
      <w:r w:rsidRPr="00490B49">
        <w:t>worked</w:t>
      </w:r>
      <w:r>
        <w:t xml:space="preserve"> </w:t>
      </w:r>
      <w:r w:rsidRPr="00490B49">
        <w:t>alongside</w:t>
      </w:r>
      <w:r>
        <w:t xml:space="preserve"> </w:t>
      </w:r>
      <w:r w:rsidRPr="00490B49">
        <w:t>the</w:t>
      </w:r>
      <w:r w:rsidR="000D06B0">
        <w:t> </w:t>
      </w:r>
      <w:r w:rsidRPr="00490B49">
        <w:t>Inclusion</w:t>
      </w:r>
      <w:r>
        <w:t xml:space="preserve"> </w:t>
      </w:r>
      <w:r w:rsidRPr="00490B49">
        <w:t>Team</w:t>
      </w:r>
      <w:r>
        <w:t xml:space="preserve"> </w:t>
      </w:r>
      <w:r w:rsidRPr="00490B49">
        <w:t>to</w:t>
      </w:r>
      <w:r>
        <w:t xml:space="preserve"> </w:t>
      </w:r>
      <w:r w:rsidRPr="00490B49">
        <w:t>review</w:t>
      </w:r>
      <w:r>
        <w:t xml:space="preserve"> </w:t>
      </w:r>
      <w:r w:rsidRPr="00490B49">
        <w:t>the</w:t>
      </w:r>
      <w:r>
        <w:t xml:space="preserve"> </w:t>
      </w:r>
      <w:r w:rsidRPr="00490B49">
        <w:t>Pride</w:t>
      </w:r>
      <w:r>
        <w:t xml:space="preserve"> </w:t>
      </w:r>
      <w:r w:rsidRPr="00490B49">
        <w:t>In</w:t>
      </w:r>
      <w:r>
        <w:t xml:space="preserve"> </w:t>
      </w:r>
      <w:r w:rsidRPr="00490B49">
        <w:t>Diversity</w:t>
      </w:r>
      <w:r>
        <w:t xml:space="preserve"> </w:t>
      </w:r>
      <w:r w:rsidRPr="00490B49">
        <w:t>awareness</w:t>
      </w:r>
      <w:r>
        <w:t xml:space="preserve"> </w:t>
      </w:r>
      <w:r w:rsidRPr="00490B49">
        <w:t>training</w:t>
      </w:r>
      <w:r>
        <w:t xml:space="preserve"> </w:t>
      </w:r>
      <w:r w:rsidRPr="00490B49">
        <w:t>materials,</w:t>
      </w:r>
      <w:r>
        <w:t xml:space="preserve"> </w:t>
      </w:r>
      <w:r w:rsidRPr="00490B49">
        <w:t>which</w:t>
      </w:r>
      <w:r>
        <w:t xml:space="preserve"> </w:t>
      </w:r>
      <w:r w:rsidRPr="00490B49">
        <w:t>are</w:t>
      </w:r>
      <w:r>
        <w:t xml:space="preserve"> </w:t>
      </w:r>
      <w:r w:rsidRPr="00490B49">
        <w:t>scheduled</w:t>
      </w:r>
      <w:r>
        <w:t xml:space="preserve"> </w:t>
      </w:r>
      <w:r w:rsidRPr="00490B49">
        <w:t>for</w:t>
      </w:r>
      <w:r>
        <w:t xml:space="preserve"> </w:t>
      </w:r>
      <w:r w:rsidRPr="00490B49">
        <w:t>delivery</w:t>
      </w:r>
      <w:r>
        <w:t xml:space="preserve"> </w:t>
      </w:r>
      <w:r w:rsidRPr="00490B49">
        <w:t>in</w:t>
      </w:r>
      <w:r>
        <w:t xml:space="preserve"> </w:t>
      </w:r>
      <w:r w:rsidRPr="00490B49">
        <w:t>August</w:t>
      </w:r>
      <w:r>
        <w:t xml:space="preserve"> </w:t>
      </w:r>
      <w:r w:rsidRPr="00490B49">
        <w:t>and</w:t>
      </w:r>
      <w:r>
        <w:t xml:space="preserve"> </w:t>
      </w:r>
      <w:r w:rsidRPr="00490B49">
        <w:t>September</w:t>
      </w:r>
      <w:r>
        <w:t xml:space="preserve"> </w:t>
      </w:r>
      <w:r w:rsidRPr="00490B49">
        <w:t>2022.</w:t>
      </w:r>
      <w:r>
        <w:t xml:space="preserve"> </w:t>
      </w:r>
      <w:r w:rsidRPr="00490B49">
        <w:t>The</w:t>
      </w:r>
      <w:r w:rsidR="000D06B0">
        <w:t> </w:t>
      </w:r>
      <w:r w:rsidRPr="00490B49">
        <w:t>Inclusion</w:t>
      </w:r>
      <w:r>
        <w:t xml:space="preserve"> </w:t>
      </w:r>
      <w:r w:rsidR="00DA3AB5">
        <w:t>T</w:t>
      </w:r>
      <w:r w:rsidRPr="00490B49">
        <w:t>eam</w:t>
      </w:r>
      <w:r>
        <w:t xml:space="preserve"> </w:t>
      </w:r>
      <w:r w:rsidRPr="00490B49">
        <w:t>and</w:t>
      </w:r>
      <w:r>
        <w:t xml:space="preserve"> </w:t>
      </w:r>
      <w:r w:rsidRPr="00490B49">
        <w:t>PRIDE</w:t>
      </w:r>
      <w:r>
        <w:t xml:space="preserve"> </w:t>
      </w:r>
      <w:r w:rsidRPr="00490B49">
        <w:t>Network</w:t>
      </w:r>
      <w:r>
        <w:t xml:space="preserve"> </w:t>
      </w:r>
      <w:r w:rsidRPr="00490B49">
        <w:t>plan</w:t>
      </w:r>
      <w:r>
        <w:t xml:space="preserve"> </w:t>
      </w:r>
      <w:r w:rsidRPr="00490B49">
        <w:t>to</w:t>
      </w:r>
      <w:r>
        <w:t xml:space="preserve"> </w:t>
      </w:r>
      <w:r w:rsidRPr="00490B49">
        <w:t>develop</w:t>
      </w:r>
      <w:r>
        <w:t xml:space="preserve"> </w:t>
      </w:r>
      <w:r w:rsidRPr="00490B49">
        <w:t>a</w:t>
      </w:r>
      <w:r>
        <w:t xml:space="preserve"> </w:t>
      </w:r>
      <w:r w:rsidRPr="00490B49">
        <w:t>new</w:t>
      </w:r>
      <w:r>
        <w:t xml:space="preserve"> </w:t>
      </w:r>
      <w:r w:rsidRPr="00490B49">
        <w:t>LGBTIQ+</w:t>
      </w:r>
      <w:r>
        <w:t xml:space="preserve"> </w:t>
      </w:r>
      <w:r w:rsidR="00DA3AB5">
        <w:t>i</w:t>
      </w:r>
      <w:r w:rsidRPr="00490B49">
        <w:t>nclusion</w:t>
      </w:r>
      <w:r>
        <w:t xml:space="preserve"> </w:t>
      </w:r>
      <w:r w:rsidR="00DA3AB5">
        <w:t>s</w:t>
      </w:r>
      <w:r w:rsidRPr="00490B49">
        <w:t>trategy</w:t>
      </w:r>
      <w:r>
        <w:t xml:space="preserve"> </w:t>
      </w:r>
      <w:r w:rsidRPr="00490B49">
        <w:t>and</w:t>
      </w:r>
      <w:r>
        <w:t xml:space="preserve"> </w:t>
      </w:r>
      <w:r w:rsidRPr="00490B49">
        <w:t>implementation</w:t>
      </w:r>
      <w:r>
        <w:t xml:space="preserve"> </w:t>
      </w:r>
      <w:r w:rsidRPr="00490B49">
        <w:t>plan</w:t>
      </w:r>
      <w:r>
        <w:t xml:space="preserve"> </w:t>
      </w:r>
      <w:r w:rsidRPr="00490B49">
        <w:t>to</w:t>
      </w:r>
      <w:r>
        <w:t xml:space="preserve"> </w:t>
      </w:r>
      <w:r w:rsidRPr="00490B49">
        <w:t>be</w:t>
      </w:r>
      <w:r>
        <w:t xml:space="preserve"> </w:t>
      </w:r>
      <w:r w:rsidRPr="00490B49">
        <w:t>launched</w:t>
      </w:r>
      <w:r w:rsidR="00DA3AB5">
        <w:t xml:space="preserve"> in</w:t>
      </w:r>
      <w:r>
        <w:t xml:space="preserve"> </w:t>
      </w:r>
      <w:r w:rsidRPr="00490B49">
        <w:t>late</w:t>
      </w:r>
      <w:r>
        <w:t xml:space="preserve"> </w:t>
      </w:r>
      <w:r w:rsidRPr="00490B49">
        <w:t>2022.</w:t>
      </w:r>
    </w:p>
    <w:p w14:paraId="07DED93A" w14:textId="67E93E15" w:rsidR="001A70B8" w:rsidRDefault="001A70B8" w:rsidP="00101E5D">
      <w:pPr>
        <w:pStyle w:val="Heading3"/>
      </w:pPr>
      <w:r w:rsidRPr="00490B49">
        <w:t>Employment</w:t>
      </w:r>
      <w:r>
        <w:t xml:space="preserve"> </w:t>
      </w:r>
      <w:r w:rsidR="00A306FA">
        <w:t>p</w:t>
      </w:r>
      <w:r w:rsidRPr="00490B49">
        <w:t>rograms</w:t>
      </w:r>
    </w:p>
    <w:p w14:paraId="0B402DF0" w14:textId="77777777" w:rsidR="001A70B8" w:rsidRDefault="001A70B8" w:rsidP="00101E5D">
      <w:pPr>
        <w:pStyle w:val="Heading4"/>
      </w:pPr>
      <w:bookmarkStart w:id="288" w:name="_Hlk109743836"/>
      <w:r w:rsidRPr="00490B49">
        <w:t>Graduate</w:t>
      </w:r>
      <w:r>
        <w:t xml:space="preserve"> </w:t>
      </w:r>
      <w:r w:rsidRPr="00490B49">
        <w:t>recruitment</w:t>
      </w:r>
    </w:p>
    <w:p w14:paraId="382EF594" w14:textId="4F95237C" w:rsidR="001A70B8" w:rsidRPr="00490B49" w:rsidRDefault="001A70B8" w:rsidP="00101E5D">
      <w:pPr>
        <w:pStyle w:val="ARbody"/>
        <w:shd w:val="clear" w:color="auto" w:fill="FFFFFF" w:themeFill="background1"/>
      </w:pPr>
      <w:r w:rsidRPr="00490B49">
        <w:t>The</w:t>
      </w:r>
      <w:r>
        <w:t xml:space="preserve"> </w:t>
      </w:r>
      <w:r w:rsidRPr="00490B49">
        <w:t>department</w:t>
      </w:r>
      <w:r>
        <w:t xml:space="preserve"> </w:t>
      </w:r>
      <w:r w:rsidRPr="00490B49">
        <w:t>had</w:t>
      </w:r>
      <w:r>
        <w:t xml:space="preserve"> </w:t>
      </w:r>
      <w:r w:rsidRPr="00490B49">
        <w:t>three</w:t>
      </w:r>
      <w:r>
        <w:t xml:space="preserve"> </w:t>
      </w:r>
      <w:r w:rsidRPr="00490B49">
        <w:t>graduates</w:t>
      </w:r>
      <w:r>
        <w:t xml:space="preserve"> </w:t>
      </w:r>
      <w:r w:rsidRPr="00490B49">
        <w:t>participating</w:t>
      </w:r>
      <w:r w:rsidR="000D06B0">
        <w:t> </w:t>
      </w:r>
      <w:r w:rsidRPr="00490B49">
        <w:t>in</w:t>
      </w:r>
      <w:r>
        <w:t xml:space="preserve"> </w:t>
      </w:r>
      <w:r w:rsidRPr="00490B49">
        <w:t>the</w:t>
      </w:r>
      <w:r>
        <w:t xml:space="preserve"> </w:t>
      </w:r>
      <w:r w:rsidRPr="00490B49">
        <w:t>2021</w:t>
      </w:r>
      <w:r>
        <w:t xml:space="preserve"> </w:t>
      </w:r>
      <w:r w:rsidRPr="00490B49">
        <w:t>Victorian</w:t>
      </w:r>
      <w:r>
        <w:t xml:space="preserve"> </w:t>
      </w:r>
      <w:r w:rsidRPr="00490B49">
        <w:t>Public</w:t>
      </w:r>
      <w:r>
        <w:t xml:space="preserve"> </w:t>
      </w:r>
      <w:r w:rsidRPr="00490B49">
        <w:t>Service</w:t>
      </w:r>
      <w:r>
        <w:t xml:space="preserve"> </w:t>
      </w:r>
      <w:r w:rsidRPr="00490B49">
        <w:t>(VPS)</w:t>
      </w:r>
      <w:r>
        <w:t xml:space="preserve"> </w:t>
      </w:r>
      <w:r w:rsidRPr="00490B49">
        <w:t>Graduate</w:t>
      </w:r>
      <w:r>
        <w:t xml:space="preserve"> </w:t>
      </w:r>
      <w:r w:rsidRPr="00490B49">
        <w:t>Recruitment</w:t>
      </w:r>
      <w:r>
        <w:t xml:space="preserve"> </w:t>
      </w:r>
      <w:r w:rsidRPr="00490B49">
        <w:t>and</w:t>
      </w:r>
      <w:r>
        <w:t xml:space="preserve"> </w:t>
      </w:r>
      <w:r w:rsidRPr="00490B49">
        <w:t>Development</w:t>
      </w:r>
      <w:r>
        <w:t xml:space="preserve"> </w:t>
      </w:r>
      <w:r w:rsidRPr="00490B49">
        <w:t>Scheme</w:t>
      </w:r>
      <w:r>
        <w:t xml:space="preserve"> </w:t>
      </w:r>
      <w:r w:rsidRPr="00490B49">
        <w:t>(GRADS).</w:t>
      </w:r>
      <w:r>
        <w:t xml:space="preserve"> </w:t>
      </w:r>
      <w:r w:rsidRPr="00490B49">
        <w:t>However</w:t>
      </w:r>
      <w:r w:rsidR="00DA3AB5">
        <w:t>,</w:t>
      </w:r>
      <w:r>
        <w:t xml:space="preserve"> </w:t>
      </w:r>
      <w:r w:rsidRPr="00490B49">
        <w:t>due</w:t>
      </w:r>
      <w:r>
        <w:t xml:space="preserve"> </w:t>
      </w:r>
      <w:r w:rsidRPr="00490B49">
        <w:t>to</w:t>
      </w:r>
      <w:r>
        <w:t xml:space="preserve"> </w:t>
      </w:r>
      <w:r w:rsidR="00DA3AB5">
        <w:t>m</w:t>
      </w:r>
      <w:r w:rsidRPr="00490B49">
        <w:t>achinery</w:t>
      </w:r>
      <w:r>
        <w:t xml:space="preserve"> </w:t>
      </w:r>
      <w:r w:rsidRPr="00490B49">
        <w:t>of</w:t>
      </w:r>
      <w:r w:rsidR="000D06B0">
        <w:t> </w:t>
      </w:r>
      <w:r w:rsidR="00DA3AB5">
        <w:t>g</w:t>
      </w:r>
      <w:r w:rsidRPr="00490B49">
        <w:t>overnment</w:t>
      </w:r>
      <w:r>
        <w:t xml:space="preserve"> </w:t>
      </w:r>
      <w:r w:rsidRPr="00490B49">
        <w:t>changes,</w:t>
      </w:r>
      <w:r>
        <w:t xml:space="preserve"> </w:t>
      </w:r>
      <w:r w:rsidRPr="00490B49">
        <w:t>these</w:t>
      </w:r>
      <w:r>
        <w:t xml:space="preserve"> </w:t>
      </w:r>
      <w:r w:rsidRPr="00490B49">
        <w:t>graduate</w:t>
      </w:r>
      <w:r>
        <w:t xml:space="preserve"> </w:t>
      </w:r>
      <w:r w:rsidRPr="00490B49">
        <w:t>positions</w:t>
      </w:r>
      <w:r>
        <w:t xml:space="preserve"> </w:t>
      </w:r>
      <w:r w:rsidRPr="00490B49">
        <w:t>were</w:t>
      </w:r>
      <w:r>
        <w:t xml:space="preserve"> </w:t>
      </w:r>
      <w:r w:rsidRPr="00490B49">
        <w:t>transitioned</w:t>
      </w:r>
      <w:r>
        <w:t xml:space="preserve"> </w:t>
      </w:r>
      <w:r w:rsidRPr="00490B49">
        <w:t>across</w:t>
      </w:r>
      <w:r>
        <w:t xml:space="preserve"> </w:t>
      </w:r>
      <w:r w:rsidRPr="00490B49">
        <w:t>to</w:t>
      </w:r>
      <w:r>
        <w:t xml:space="preserve"> </w:t>
      </w:r>
      <w:r w:rsidRPr="00490B49">
        <w:t>the</w:t>
      </w:r>
      <w:r>
        <w:t xml:space="preserve"> </w:t>
      </w:r>
      <w:r w:rsidRPr="00490B49">
        <w:t>new</w:t>
      </w:r>
      <w:r>
        <w:t xml:space="preserve"> </w:t>
      </w:r>
      <w:r w:rsidRPr="00490B49">
        <w:t>Department</w:t>
      </w:r>
      <w:r>
        <w:t xml:space="preserve"> </w:t>
      </w:r>
      <w:r w:rsidRPr="00490B49">
        <w:t>of</w:t>
      </w:r>
      <w:r w:rsidR="000D06B0">
        <w:t> </w:t>
      </w:r>
      <w:r w:rsidRPr="00490B49">
        <w:t>Families,</w:t>
      </w:r>
      <w:r>
        <w:t xml:space="preserve"> </w:t>
      </w:r>
      <w:r w:rsidRPr="00490B49">
        <w:t>Fairness</w:t>
      </w:r>
      <w:r>
        <w:t xml:space="preserve"> </w:t>
      </w:r>
      <w:r w:rsidRPr="00490B49">
        <w:t>and</w:t>
      </w:r>
      <w:r>
        <w:t xml:space="preserve"> </w:t>
      </w:r>
      <w:r w:rsidRPr="00490B49">
        <w:t>Housing</w:t>
      </w:r>
      <w:r>
        <w:t xml:space="preserve"> </w:t>
      </w:r>
      <w:r w:rsidRPr="00490B49">
        <w:t>where,</w:t>
      </w:r>
      <w:r>
        <w:t xml:space="preserve"> </w:t>
      </w:r>
      <w:r w:rsidRPr="00490B49">
        <w:t>following</w:t>
      </w:r>
      <w:r>
        <w:t xml:space="preserve"> </w:t>
      </w:r>
      <w:r w:rsidRPr="00490B49">
        <w:t>the</w:t>
      </w:r>
      <w:r>
        <w:t xml:space="preserve"> </w:t>
      </w:r>
      <w:r w:rsidRPr="00490B49">
        <w:t>successful</w:t>
      </w:r>
      <w:r>
        <w:t xml:space="preserve"> </w:t>
      </w:r>
      <w:r w:rsidRPr="00490B49">
        <w:t>completion</w:t>
      </w:r>
      <w:r>
        <w:t xml:space="preserve"> </w:t>
      </w:r>
      <w:r w:rsidRPr="00490B49">
        <w:t>of</w:t>
      </w:r>
      <w:r>
        <w:t xml:space="preserve"> </w:t>
      </w:r>
      <w:r w:rsidRPr="00490B49">
        <w:t>their</w:t>
      </w:r>
      <w:r>
        <w:t xml:space="preserve"> </w:t>
      </w:r>
      <w:r w:rsidRPr="00490B49">
        <w:t>graduate</w:t>
      </w:r>
      <w:r>
        <w:t xml:space="preserve"> </w:t>
      </w:r>
      <w:r w:rsidRPr="00490B49">
        <w:t>year,</w:t>
      </w:r>
      <w:r>
        <w:t xml:space="preserve"> </w:t>
      </w:r>
      <w:r w:rsidRPr="00490B49">
        <w:t>they</w:t>
      </w:r>
      <w:r>
        <w:t xml:space="preserve"> </w:t>
      </w:r>
      <w:r w:rsidRPr="00490B49">
        <w:t>commenced</w:t>
      </w:r>
      <w:r>
        <w:t xml:space="preserve"> </w:t>
      </w:r>
      <w:r w:rsidRPr="00490B49">
        <w:t>ongoing</w:t>
      </w:r>
      <w:r>
        <w:t xml:space="preserve"> </w:t>
      </w:r>
      <w:r w:rsidRPr="00490B49">
        <w:t>VPS3</w:t>
      </w:r>
      <w:r>
        <w:t xml:space="preserve"> </w:t>
      </w:r>
      <w:r w:rsidRPr="00490B49">
        <w:t>roles</w:t>
      </w:r>
      <w:r>
        <w:t xml:space="preserve"> </w:t>
      </w:r>
      <w:r w:rsidRPr="00490B49">
        <w:t>effective</w:t>
      </w:r>
      <w:r>
        <w:t xml:space="preserve"> </w:t>
      </w:r>
      <w:r w:rsidRPr="00490B49">
        <w:t>as</w:t>
      </w:r>
      <w:r w:rsidR="000D06B0">
        <w:t> </w:t>
      </w:r>
      <w:r w:rsidRPr="00490B49">
        <w:t>of</w:t>
      </w:r>
      <w:r>
        <w:t xml:space="preserve"> </w:t>
      </w:r>
      <w:r w:rsidRPr="00490B49">
        <w:t>24</w:t>
      </w:r>
      <w:r>
        <w:t xml:space="preserve"> </w:t>
      </w:r>
      <w:r w:rsidRPr="00490B49">
        <w:t>January</w:t>
      </w:r>
      <w:r>
        <w:t xml:space="preserve"> </w:t>
      </w:r>
      <w:r w:rsidRPr="00490B49">
        <w:t>2022.</w:t>
      </w:r>
    </w:p>
    <w:p w14:paraId="7C8FFABD" w14:textId="545041F6" w:rsidR="001A70B8" w:rsidRDefault="001A70B8" w:rsidP="00101E5D">
      <w:pPr>
        <w:pStyle w:val="ARbody"/>
        <w:shd w:val="clear" w:color="auto" w:fill="FFFFFF" w:themeFill="background1"/>
      </w:pPr>
      <w:r w:rsidRPr="00490B49">
        <w:t>For</w:t>
      </w:r>
      <w:r>
        <w:t xml:space="preserve"> </w:t>
      </w:r>
      <w:r w:rsidRPr="00490B49">
        <w:t>the</w:t>
      </w:r>
      <w:r>
        <w:t xml:space="preserve"> </w:t>
      </w:r>
      <w:r w:rsidRPr="00490B49">
        <w:t>2022</w:t>
      </w:r>
      <w:r>
        <w:t xml:space="preserve"> </w:t>
      </w:r>
      <w:r w:rsidRPr="00490B49">
        <w:t>intake,</w:t>
      </w:r>
      <w:r>
        <w:t xml:space="preserve"> </w:t>
      </w:r>
      <w:r w:rsidRPr="00490B49">
        <w:t>the</w:t>
      </w:r>
      <w:r>
        <w:t xml:space="preserve"> </w:t>
      </w:r>
      <w:r w:rsidRPr="00490B49">
        <w:t>department</w:t>
      </w:r>
      <w:r>
        <w:t xml:space="preserve"> </w:t>
      </w:r>
      <w:r w:rsidRPr="00490B49">
        <w:t>recruited</w:t>
      </w:r>
      <w:r>
        <w:t xml:space="preserve"> </w:t>
      </w:r>
      <w:r w:rsidRPr="00490B49">
        <w:t>five</w:t>
      </w:r>
      <w:r w:rsidR="000D06B0">
        <w:t> </w:t>
      </w:r>
      <w:r w:rsidRPr="00490B49">
        <w:t>graduates</w:t>
      </w:r>
      <w:r>
        <w:t xml:space="preserve"> </w:t>
      </w:r>
      <w:r w:rsidRPr="00490B49">
        <w:t>from</w:t>
      </w:r>
      <w:r>
        <w:t xml:space="preserve"> </w:t>
      </w:r>
      <w:r w:rsidRPr="00490B49">
        <w:t>diverse</w:t>
      </w:r>
      <w:r>
        <w:t xml:space="preserve"> </w:t>
      </w:r>
      <w:r w:rsidRPr="00490B49">
        <w:t>academic</w:t>
      </w:r>
      <w:r>
        <w:t xml:space="preserve"> </w:t>
      </w:r>
      <w:r w:rsidRPr="00490B49">
        <w:t>backgrounds.</w:t>
      </w:r>
      <w:r>
        <w:t xml:space="preserve"> </w:t>
      </w:r>
      <w:r w:rsidRPr="00490B49">
        <w:t>In</w:t>
      </w:r>
      <w:r>
        <w:t xml:space="preserve"> </w:t>
      </w:r>
      <w:r w:rsidRPr="00490B49">
        <w:t>addition,</w:t>
      </w:r>
      <w:r>
        <w:t xml:space="preserve"> </w:t>
      </w:r>
      <w:r w:rsidRPr="00490B49">
        <w:t>the</w:t>
      </w:r>
      <w:r>
        <w:t xml:space="preserve"> </w:t>
      </w:r>
      <w:r w:rsidRPr="00490B49">
        <w:t>department</w:t>
      </w:r>
      <w:r>
        <w:t xml:space="preserve"> </w:t>
      </w:r>
      <w:r w:rsidRPr="00490B49">
        <w:t>had</w:t>
      </w:r>
      <w:r>
        <w:t xml:space="preserve"> </w:t>
      </w:r>
      <w:r w:rsidRPr="00490B49">
        <w:t>a</w:t>
      </w:r>
      <w:r>
        <w:t xml:space="preserve"> </w:t>
      </w:r>
      <w:r w:rsidRPr="00490B49">
        <w:t>further</w:t>
      </w:r>
      <w:r>
        <w:t xml:space="preserve"> </w:t>
      </w:r>
      <w:r w:rsidRPr="00490B49">
        <w:t>intake</w:t>
      </w:r>
      <w:r>
        <w:t xml:space="preserve"> </w:t>
      </w:r>
      <w:r w:rsidRPr="00490B49">
        <w:t>of</w:t>
      </w:r>
      <w:r>
        <w:t xml:space="preserve"> </w:t>
      </w:r>
      <w:r w:rsidRPr="00490B49">
        <w:t>five</w:t>
      </w:r>
      <w:r>
        <w:t xml:space="preserve"> </w:t>
      </w:r>
      <w:r w:rsidRPr="00490B49">
        <w:t>graduates</w:t>
      </w:r>
      <w:r>
        <w:t xml:space="preserve"> </w:t>
      </w:r>
      <w:r w:rsidRPr="00490B49">
        <w:t>participating</w:t>
      </w:r>
      <w:r>
        <w:t xml:space="preserve"> </w:t>
      </w:r>
      <w:r w:rsidRPr="00490B49">
        <w:t>in</w:t>
      </w:r>
      <w:r>
        <w:t xml:space="preserve"> </w:t>
      </w:r>
      <w:r w:rsidRPr="00490B49">
        <w:t>its</w:t>
      </w:r>
      <w:r>
        <w:t xml:space="preserve"> </w:t>
      </w:r>
      <w:r w:rsidRPr="00490B49">
        <w:t>internal</w:t>
      </w:r>
      <w:r>
        <w:t xml:space="preserve"> </w:t>
      </w:r>
      <w:r w:rsidRPr="00490B49">
        <w:t>Aboriginal</w:t>
      </w:r>
      <w:r>
        <w:t xml:space="preserve"> </w:t>
      </w:r>
      <w:r w:rsidRPr="00490B49">
        <w:t>Graduate</w:t>
      </w:r>
      <w:r>
        <w:t xml:space="preserve"> </w:t>
      </w:r>
      <w:r w:rsidR="00A306FA">
        <w:t>P</w:t>
      </w:r>
      <w:r w:rsidRPr="00490B49">
        <w:t>rogram</w:t>
      </w:r>
      <w:r>
        <w:t xml:space="preserve"> </w:t>
      </w:r>
      <w:r w:rsidRPr="00490B49">
        <w:t>over</w:t>
      </w:r>
      <w:r>
        <w:t xml:space="preserve"> </w:t>
      </w:r>
      <w:r w:rsidR="00DA3AB5">
        <w:t xml:space="preserve">the same </w:t>
      </w:r>
      <w:r w:rsidRPr="00490B49">
        <w:t>period.</w:t>
      </w:r>
    </w:p>
    <w:p w14:paraId="3A932BE8" w14:textId="77777777" w:rsidR="001A70B8" w:rsidRDefault="001A70B8" w:rsidP="00101E5D">
      <w:pPr>
        <w:pStyle w:val="ARbody"/>
        <w:shd w:val="clear" w:color="auto" w:fill="FFFFFF" w:themeFill="background1"/>
      </w:pPr>
      <w:r w:rsidRPr="00490B49">
        <w:t>Graduates</w:t>
      </w:r>
      <w:r>
        <w:t xml:space="preserve"> </w:t>
      </w:r>
      <w:r w:rsidRPr="00490B49">
        <w:t>participating</w:t>
      </w:r>
      <w:r>
        <w:t xml:space="preserve"> </w:t>
      </w:r>
      <w:r w:rsidRPr="00490B49">
        <w:t>in</w:t>
      </w:r>
      <w:r>
        <w:t xml:space="preserve"> </w:t>
      </w:r>
      <w:r w:rsidRPr="00490B49">
        <w:t>the</w:t>
      </w:r>
      <w:r>
        <w:t xml:space="preserve"> </w:t>
      </w:r>
      <w:r w:rsidRPr="00490B49">
        <w:t>12-month</w:t>
      </w:r>
      <w:r>
        <w:t xml:space="preserve"> </w:t>
      </w:r>
      <w:r w:rsidRPr="00490B49">
        <w:t>graduate</w:t>
      </w:r>
      <w:r>
        <w:t xml:space="preserve"> </w:t>
      </w:r>
      <w:r w:rsidRPr="00490B49">
        <w:t>programs</w:t>
      </w:r>
      <w:r>
        <w:t xml:space="preserve"> </w:t>
      </w:r>
      <w:r w:rsidRPr="00490B49">
        <w:t>complete</w:t>
      </w:r>
      <w:r>
        <w:t xml:space="preserve"> </w:t>
      </w:r>
      <w:r w:rsidRPr="00490B49">
        <w:t>three</w:t>
      </w:r>
      <w:r>
        <w:t xml:space="preserve"> </w:t>
      </w:r>
      <w:r w:rsidRPr="00490B49">
        <w:t>rotations</w:t>
      </w:r>
      <w:r>
        <w:t xml:space="preserve"> </w:t>
      </w:r>
      <w:r w:rsidRPr="00490B49">
        <w:t>to</w:t>
      </w:r>
      <w:r>
        <w:t xml:space="preserve"> </w:t>
      </w:r>
      <w:r w:rsidRPr="00490B49">
        <w:t>develop</w:t>
      </w:r>
      <w:r>
        <w:t xml:space="preserve"> </w:t>
      </w:r>
      <w:r w:rsidRPr="00490B49">
        <w:t>core</w:t>
      </w:r>
      <w:r>
        <w:t xml:space="preserve"> </w:t>
      </w:r>
      <w:r w:rsidRPr="00490B49">
        <w:t>skills</w:t>
      </w:r>
      <w:r>
        <w:t xml:space="preserve"> </w:t>
      </w:r>
      <w:r w:rsidRPr="00490B49">
        <w:t>and</w:t>
      </w:r>
      <w:r>
        <w:t xml:space="preserve"> </w:t>
      </w:r>
      <w:r w:rsidRPr="00490B49">
        <w:t>gain</w:t>
      </w:r>
      <w:r>
        <w:t xml:space="preserve"> </w:t>
      </w:r>
      <w:r w:rsidRPr="00490B49">
        <w:t>broad</w:t>
      </w:r>
      <w:r>
        <w:t xml:space="preserve"> </w:t>
      </w:r>
      <w:r w:rsidRPr="00490B49">
        <w:t>experience</w:t>
      </w:r>
      <w:r>
        <w:t xml:space="preserve"> </w:t>
      </w:r>
      <w:r w:rsidRPr="00490B49">
        <w:t>working</w:t>
      </w:r>
      <w:r>
        <w:t xml:space="preserve"> </w:t>
      </w:r>
      <w:r w:rsidRPr="00490B49">
        <w:t>within</w:t>
      </w:r>
      <w:r>
        <w:t xml:space="preserve"> </w:t>
      </w:r>
      <w:r w:rsidRPr="00490B49">
        <w:t>various</w:t>
      </w:r>
      <w:r>
        <w:t xml:space="preserve"> </w:t>
      </w:r>
      <w:r w:rsidRPr="00490B49">
        <w:t>business</w:t>
      </w:r>
      <w:r>
        <w:t xml:space="preserve"> </w:t>
      </w:r>
      <w:r w:rsidRPr="00490B49">
        <w:t>units.</w:t>
      </w:r>
      <w:bookmarkEnd w:id="288"/>
    </w:p>
    <w:p w14:paraId="3B0837E0" w14:textId="77777777" w:rsidR="001A70B8" w:rsidRDefault="001A70B8" w:rsidP="00101E5D">
      <w:pPr>
        <w:pStyle w:val="Heading4"/>
      </w:pPr>
      <w:bookmarkStart w:id="289" w:name="_Hlk109744503"/>
      <w:r w:rsidRPr="00490B49">
        <w:t>Student</w:t>
      </w:r>
      <w:r>
        <w:t xml:space="preserve"> </w:t>
      </w:r>
      <w:r w:rsidRPr="00490B49">
        <w:t>placement</w:t>
      </w:r>
      <w:r>
        <w:t xml:space="preserve"> </w:t>
      </w:r>
      <w:r w:rsidRPr="00490B49">
        <w:t>program</w:t>
      </w:r>
    </w:p>
    <w:p w14:paraId="455468FD" w14:textId="5347D925" w:rsidR="001A70B8" w:rsidRDefault="001A70B8" w:rsidP="00101E5D">
      <w:pPr>
        <w:pStyle w:val="ARbody"/>
        <w:shd w:val="clear" w:color="auto" w:fill="FFFFFF" w:themeFill="background1"/>
      </w:pPr>
      <w:r w:rsidRPr="00490B49">
        <w:t>The</w:t>
      </w:r>
      <w:r>
        <w:t xml:space="preserve"> </w:t>
      </w:r>
      <w:r w:rsidRPr="00490B49">
        <w:t>department</w:t>
      </w:r>
      <w:r>
        <w:t xml:space="preserve"> </w:t>
      </w:r>
      <w:r w:rsidRPr="00490B49">
        <w:t>offers</w:t>
      </w:r>
      <w:r>
        <w:t xml:space="preserve"> </w:t>
      </w:r>
      <w:r w:rsidRPr="00490B49">
        <w:t>students</w:t>
      </w:r>
      <w:r>
        <w:t xml:space="preserve"> </w:t>
      </w:r>
      <w:r w:rsidRPr="00490B49">
        <w:t>undertaking</w:t>
      </w:r>
      <w:r>
        <w:t xml:space="preserve"> </w:t>
      </w:r>
      <w:r w:rsidRPr="00490B49">
        <w:t>a</w:t>
      </w:r>
      <w:r>
        <w:t xml:space="preserve"> </w:t>
      </w:r>
      <w:r w:rsidRPr="00490B49">
        <w:t>tertiary</w:t>
      </w:r>
      <w:r>
        <w:t xml:space="preserve"> </w:t>
      </w:r>
      <w:r w:rsidRPr="00490B49">
        <w:t>qualification</w:t>
      </w:r>
      <w:r>
        <w:t xml:space="preserve"> </w:t>
      </w:r>
      <w:r w:rsidRPr="00490B49">
        <w:t>the</w:t>
      </w:r>
      <w:r>
        <w:t xml:space="preserve"> </w:t>
      </w:r>
      <w:r w:rsidRPr="00490B49">
        <w:t>opportunity</w:t>
      </w:r>
      <w:r>
        <w:t xml:space="preserve"> </w:t>
      </w:r>
      <w:r w:rsidRPr="00490B49">
        <w:t>to</w:t>
      </w:r>
      <w:r>
        <w:t xml:space="preserve"> </w:t>
      </w:r>
      <w:r w:rsidRPr="00490B49">
        <w:t>complete</w:t>
      </w:r>
      <w:r>
        <w:t xml:space="preserve"> a</w:t>
      </w:r>
      <w:r w:rsidR="000D06B0">
        <w:t> </w:t>
      </w:r>
      <w:r>
        <w:t xml:space="preserve">student </w:t>
      </w:r>
      <w:r w:rsidRPr="00490B49">
        <w:t>placement</w:t>
      </w:r>
      <w:r>
        <w:t xml:space="preserve"> </w:t>
      </w:r>
      <w:r w:rsidRPr="00490B49">
        <w:t>as</w:t>
      </w:r>
      <w:r>
        <w:t xml:space="preserve"> </w:t>
      </w:r>
      <w:r w:rsidRPr="00490B49">
        <w:t>part</w:t>
      </w:r>
      <w:r>
        <w:t xml:space="preserve"> </w:t>
      </w:r>
      <w:r w:rsidRPr="00490B49">
        <w:t>of</w:t>
      </w:r>
      <w:r>
        <w:t xml:space="preserve"> </w:t>
      </w:r>
      <w:r w:rsidRPr="00490B49">
        <w:t>their</w:t>
      </w:r>
      <w:r>
        <w:t xml:space="preserve"> </w:t>
      </w:r>
      <w:r w:rsidRPr="00490B49">
        <w:t>relevant</w:t>
      </w:r>
      <w:r>
        <w:t xml:space="preserve"> tertiary</w:t>
      </w:r>
      <w:r w:rsidR="000D06B0">
        <w:t> </w:t>
      </w:r>
      <w:r>
        <w:t>course</w:t>
      </w:r>
      <w:r w:rsidRPr="00490B49">
        <w:t>.</w:t>
      </w:r>
    </w:p>
    <w:p w14:paraId="24333198" w14:textId="129A04EA" w:rsidR="000D06B0" w:rsidRPr="000D06B0" w:rsidRDefault="001A70B8" w:rsidP="00527BC0">
      <w:pPr>
        <w:pStyle w:val="ARbody"/>
        <w:shd w:val="clear" w:color="auto" w:fill="FFFFFF" w:themeFill="background1"/>
      </w:pPr>
      <w:r>
        <w:t xml:space="preserve">A total of </w:t>
      </w:r>
      <w:r w:rsidR="00DA3AB5">
        <w:t>eight</w:t>
      </w:r>
      <w:r>
        <w:t xml:space="preserve"> tertiary student placements were completed across various program areas in the department. This </w:t>
      </w:r>
      <w:r w:rsidR="000C7C60">
        <w:t xml:space="preserve">smaller </w:t>
      </w:r>
      <w:r>
        <w:t>number</w:t>
      </w:r>
      <w:r w:rsidR="000C7C60">
        <w:t xml:space="preserve"> compared to</w:t>
      </w:r>
      <w:r w:rsidR="00DA3AB5">
        <w:t xml:space="preserve"> previous years</w:t>
      </w:r>
      <w:r>
        <w:t xml:space="preserve"> was due to the challenges of COVID-19 and associated restrictions</w:t>
      </w:r>
      <w:r w:rsidR="00DA3AB5">
        <w:t>,</w:t>
      </w:r>
      <w:r>
        <w:t xml:space="preserve"> which </w:t>
      </w:r>
      <w:r w:rsidR="000C7C60">
        <w:t>meant</w:t>
      </w:r>
      <w:r w:rsidR="000D06B0">
        <w:t> </w:t>
      </w:r>
      <w:r>
        <w:t>a significant number of student placements were disrupted or unable to be completed.</w:t>
      </w:r>
      <w:bookmarkEnd w:id="289"/>
    </w:p>
    <w:p w14:paraId="4F07CE17" w14:textId="77777777" w:rsidR="002465B4" w:rsidRPr="002465B4" w:rsidRDefault="002465B4" w:rsidP="002465B4">
      <w:pPr>
        <w:pStyle w:val="ARbody"/>
      </w:pPr>
      <w:r w:rsidRPr="002465B4">
        <w:br w:type="page"/>
      </w:r>
    </w:p>
    <w:p w14:paraId="6E0ACA2D" w14:textId="6967D29D" w:rsidR="001A70B8" w:rsidRDefault="001A70B8" w:rsidP="00101E5D">
      <w:pPr>
        <w:pStyle w:val="Heading4"/>
      </w:pPr>
      <w:r w:rsidRPr="00490B49">
        <w:t>Digital</w:t>
      </w:r>
      <w:r>
        <w:t xml:space="preserve"> </w:t>
      </w:r>
      <w:r w:rsidR="000C7C60">
        <w:t>J</w:t>
      </w:r>
      <w:r w:rsidRPr="00490B49">
        <w:t>obs</w:t>
      </w:r>
      <w:r>
        <w:t xml:space="preserve"> </w:t>
      </w:r>
      <w:r w:rsidR="000C7C60">
        <w:t>I</w:t>
      </w:r>
      <w:r w:rsidRPr="00490B49">
        <w:t>nternship</w:t>
      </w:r>
      <w:r>
        <w:t xml:space="preserve"> </w:t>
      </w:r>
      <w:r w:rsidR="000C7C60">
        <w:t>P</w:t>
      </w:r>
      <w:r w:rsidRPr="00490B49">
        <w:t>rogram</w:t>
      </w:r>
    </w:p>
    <w:p w14:paraId="2EFB0341" w14:textId="3D5ADF31" w:rsidR="001A70B8" w:rsidRDefault="001A70B8" w:rsidP="00101E5D">
      <w:pPr>
        <w:pStyle w:val="ARbody"/>
        <w:shd w:val="clear" w:color="auto" w:fill="FFFFFF" w:themeFill="background1"/>
      </w:pPr>
      <w:r w:rsidRPr="00490B49">
        <w:t>The</w:t>
      </w:r>
      <w:r>
        <w:t xml:space="preserve"> </w:t>
      </w:r>
      <w:r w:rsidRPr="00490B49">
        <w:t>Victorian</w:t>
      </w:r>
      <w:r>
        <w:t xml:space="preserve"> </w:t>
      </w:r>
      <w:r w:rsidR="000C7C60">
        <w:t>G</w:t>
      </w:r>
      <w:r w:rsidRPr="00490B49">
        <w:t>overnment’s</w:t>
      </w:r>
      <w:r>
        <w:t xml:space="preserve"> </w:t>
      </w:r>
      <w:r w:rsidRPr="00490B49">
        <w:t>Digital</w:t>
      </w:r>
      <w:r>
        <w:t xml:space="preserve"> </w:t>
      </w:r>
      <w:r w:rsidRPr="00490B49">
        <w:t>Jobs</w:t>
      </w:r>
      <w:r>
        <w:t xml:space="preserve"> </w:t>
      </w:r>
      <w:r w:rsidRPr="00490B49">
        <w:t>Internship</w:t>
      </w:r>
      <w:r>
        <w:t xml:space="preserve"> </w:t>
      </w:r>
      <w:r w:rsidR="000C7C60">
        <w:t>P</w:t>
      </w:r>
      <w:r w:rsidRPr="00490B49">
        <w:t>rogram</w:t>
      </w:r>
      <w:r>
        <w:t xml:space="preserve"> </w:t>
      </w:r>
      <w:r w:rsidRPr="00490B49">
        <w:t>supports</w:t>
      </w:r>
      <w:r>
        <w:t xml:space="preserve"> </w:t>
      </w:r>
      <w:r w:rsidRPr="00490B49">
        <w:t>individuals</w:t>
      </w:r>
      <w:r>
        <w:t xml:space="preserve"> </w:t>
      </w:r>
      <w:r w:rsidRPr="00490B49">
        <w:t>who</w:t>
      </w:r>
      <w:r>
        <w:t xml:space="preserve"> </w:t>
      </w:r>
      <w:r w:rsidRPr="00490B49">
        <w:t>are</w:t>
      </w:r>
      <w:r>
        <w:t xml:space="preserve"> </w:t>
      </w:r>
      <w:r w:rsidRPr="00490B49">
        <w:t>over</w:t>
      </w:r>
      <w:r>
        <w:t xml:space="preserve"> </w:t>
      </w:r>
      <w:r w:rsidRPr="00490B49">
        <w:t>the</w:t>
      </w:r>
      <w:r>
        <w:t xml:space="preserve"> </w:t>
      </w:r>
      <w:r w:rsidRPr="00490B49">
        <w:t>age</w:t>
      </w:r>
      <w:r>
        <w:t xml:space="preserve"> </w:t>
      </w:r>
      <w:r w:rsidRPr="00490B49">
        <w:t>of</w:t>
      </w:r>
      <w:r>
        <w:t xml:space="preserve"> </w:t>
      </w:r>
      <w:r w:rsidRPr="00490B49">
        <w:t>thirty</w:t>
      </w:r>
      <w:r>
        <w:t xml:space="preserve"> </w:t>
      </w:r>
      <w:r w:rsidRPr="00490B49">
        <w:t>and</w:t>
      </w:r>
      <w:r>
        <w:t xml:space="preserve"> </w:t>
      </w:r>
      <w:r w:rsidRPr="00490B49">
        <w:t>have</w:t>
      </w:r>
      <w:r>
        <w:t xml:space="preserve"> </w:t>
      </w:r>
      <w:r w:rsidRPr="00490B49">
        <w:t>over</w:t>
      </w:r>
      <w:r>
        <w:t xml:space="preserve"> </w:t>
      </w:r>
      <w:r w:rsidRPr="00490B49">
        <w:t>ten</w:t>
      </w:r>
      <w:r>
        <w:t xml:space="preserve"> </w:t>
      </w:r>
      <w:r w:rsidRPr="00490B49">
        <w:t>years</w:t>
      </w:r>
      <w:r w:rsidR="000C7C60">
        <w:t>’</w:t>
      </w:r>
      <w:r>
        <w:t xml:space="preserve"> </w:t>
      </w:r>
      <w:r w:rsidRPr="00490B49">
        <w:t>work</w:t>
      </w:r>
      <w:r>
        <w:t xml:space="preserve"> </w:t>
      </w:r>
      <w:r w:rsidRPr="00490B49">
        <w:t>experience</w:t>
      </w:r>
      <w:r>
        <w:t xml:space="preserve"> </w:t>
      </w:r>
      <w:r w:rsidRPr="00490B49">
        <w:t>to</w:t>
      </w:r>
      <w:r>
        <w:t xml:space="preserve"> </w:t>
      </w:r>
      <w:r w:rsidRPr="00490B49">
        <w:t>change</w:t>
      </w:r>
      <w:r>
        <w:t xml:space="preserve"> </w:t>
      </w:r>
      <w:r w:rsidRPr="00490B49">
        <w:t>their</w:t>
      </w:r>
      <w:r>
        <w:t xml:space="preserve"> </w:t>
      </w:r>
      <w:r w:rsidRPr="00490B49">
        <w:t>career</w:t>
      </w:r>
      <w:r>
        <w:t xml:space="preserve"> </w:t>
      </w:r>
      <w:r w:rsidRPr="00490B49">
        <w:t>into</w:t>
      </w:r>
      <w:r>
        <w:t xml:space="preserve"> </w:t>
      </w:r>
      <w:r w:rsidRPr="00490B49">
        <w:t>one</w:t>
      </w:r>
      <w:r>
        <w:t xml:space="preserve"> </w:t>
      </w:r>
      <w:r w:rsidRPr="00490B49">
        <w:t>of</w:t>
      </w:r>
      <w:r>
        <w:t xml:space="preserve"> </w:t>
      </w:r>
      <w:r w:rsidRPr="00490B49">
        <w:t>several</w:t>
      </w:r>
      <w:r>
        <w:t xml:space="preserve"> </w:t>
      </w:r>
      <w:r w:rsidRPr="00490B49">
        <w:t>digital</w:t>
      </w:r>
      <w:r>
        <w:t xml:space="preserve"> </w:t>
      </w:r>
      <w:r w:rsidRPr="00490B49">
        <w:t>job</w:t>
      </w:r>
      <w:r>
        <w:t xml:space="preserve"> </w:t>
      </w:r>
      <w:r w:rsidRPr="00490B49">
        <w:t>categories.</w:t>
      </w:r>
      <w:r>
        <w:t xml:space="preserve"> </w:t>
      </w:r>
      <w:r w:rsidRPr="00490B49">
        <w:t>Following</w:t>
      </w:r>
      <w:r>
        <w:t xml:space="preserve"> </w:t>
      </w:r>
      <w:r w:rsidRPr="00490B49">
        <w:t>a</w:t>
      </w:r>
      <w:r>
        <w:t xml:space="preserve"> </w:t>
      </w:r>
      <w:r w:rsidRPr="00490B49">
        <w:t>twelve-week</w:t>
      </w:r>
      <w:r>
        <w:t xml:space="preserve"> </w:t>
      </w:r>
      <w:r w:rsidRPr="00490B49">
        <w:t>training</w:t>
      </w:r>
      <w:r>
        <w:t xml:space="preserve"> </w:t>
      </w:r>
      <w:r w:rsidRPr="00490B49">
        <w:t>course</w:t>
      </w:r>
      <w:r>
        <w:t xml:space="preserve"> </w:t>
      </w:r>
      <w:r w:rsidRPr="00490B49">
        <w:t>in</w:t>
      </w:r>
      <w:r>
        <w:t xml:space="preserve"> </w:t>
      </w:r>
      <w:r w:rsidRPr="00490B49">
        <w:t>the</w:t>
      </w:r>
      <w:r>
        <w:t xml:space="preserve"> </w:t>
      </w:r>
      <w:r w:rsidRPr="00490B49">
        <w:t>selected</w:t>
      </w:r>
      <w:r>
        <w:t xml:space="preserve"> </w:t>
      </w:r>
      <w:r w:rsidRPr="00490B49">
        <w:t>job</w:t>
      </w:r>
      <w:r>
        <w:t xml:space="preserve"> </w:t>
      </w:r>
      <w:r w:rsidRPr="00490B49">
        <w:t>category,</w:t>
      </w:r>
      <w:r>
        <w:t xml:space="preserve"> </w:t>
      </w:r>
      <w:r w:rsidRPr="00490B49">
        <w:t>participants</w:t>
      </w:r>
      <w:r>
        <w:t xml:space="preserve"> </w:t>
      </w:r>
      <w:r w:rsidRPr="00490B49">
        <w:t>complete</w:t>
      </w:r>
      <w:r>
        <w:t xml:space="preserve"> </w:t>
      </w:r>
      <w:r w:rsidRPr="00490B49">
        <w:t>a</w:t>
      </w:r>
      <w:r>
        <w:t xml:space="preserve"> </w:t>
      </w:r>
      <w:r w:rsidRPr="00490B49">
        <w:t>twelve</w:t>
      </w:r>
      <w:r w:rsidR="000C7C60">
        <w:t>-</w:t>
      </w:r>
      <w:r w:rsidRPr="00490B49">
        <w:t>week</w:t>
      </w:r>
      <w:r>
        <w:t xml:space="preserve"> </w:t>
      </w:r>
      <w:r w:rsidRPr="00490B49">
        <w:t>internship</w:t>
      </w:r>
      <w:r>
        <w:t xml:space="preserve"> </w:t>
      </w:r>
      <w:r w:rsidRPr="00490B49">
        <w:t>as</w:t>
      </w:r>
      <w:r>
        <w:t xml:space="preserve"> </w:t>
      </w:r>
      <w:r w:rsidRPr="00490B49">
        <w:t>a</w:t>
      </w:r>
      <w:r>
        <w:t xml:space="preserve"> </w:t>
      </w:r>
      <w:r w:rsidRPr="00490B49">
        <w:t>paid</w:t>
      </w:r>
      <w:r>
        <w:t xml:space="preserve"> </w:t>
      </w:r>
      <w:r w:rsidRPr="00490B49">
        <w:t>VPS2.</w:t>
      </w:r>
      <w:r>
        <w:t xml:space="preserve"> </w:t>
      </w:r>
      <w:r w:rsidRPr="00490B49">
        <w:t>During</w:t>
      </w:r>
      <w:r>
        <w:t xml:space="preserve"> </w:t>
      </w:r>
      <w:r w:rsidRPr="00490B49">
        <w:t>the</w:t>
      </w:r>
      <w:r>
        <w:t xml:space="preserve"> </w:t>
      </w:r>
      <w:r w:rsidRPr="00490B49">
        <w:t>2021</w:t>
      </w:r>
      <w:r>
        <w:t>–</w:t>
      </w:r>
      <w:r w:rsidRPr="00490B49">
        <w:t>22</w:t>
      </w:r>
      <w:r>
        <w:t xml:space="preserve"> </w:t>
      </w:r>
      <w:r w:rsidRPr="00490B49">
        <w:t>financial</w:t>
      </w:r>
      <w:r>
        <w:t xml:space="preserve"> </w:t>
      </w:r>
      <w:r w:rsidRPr="00490B49">
        <w:t>year,</w:t>
      </w:r>
      <w:r>
        <w:t xml:space="preserve"> </w:t>
      </w:r>
      <w:r w:rsidRPr="00490B49">
        <w:t>the</w:t>
      </w:r>
      <w:r>
        <w:t xml:space="preserve"> </w:t>
      </w:r>
      <w:r w:rsidRPr="00490B49">
        <w:t>department</w:t>
      </w:r>
      <w:r>
        <w:t xml:space="preserve"> </w:t>
      </w:r>
      <w:r w:rsidRPr="00490B49">
        <w:t>employed</w:t>
      </w:r>
      <w:r>
        <w:t xml:space="preserve"> </w:t>
      </w:r>
      <w:r w:rsidRPr="00490B49">
        <w:t>a</w:t>
      </w:r>
      <w:r>
        <w:t xml:space="preserve"> </w:t>
      </w:r>
      <w:r w:rsidRPr="00490B49">
        <w:t>total</w:t>
      </w:r>
      <w:r>
        <w:t xml:space="preserve"> </w:t>
      </w:r>
      <w:r w:rsidRPr="00490B49">
        <w:t>of</w:t>
      </w:r>
      <w:r>
        <w:t xml:space="preserve"> </w:t>
      </w:r>
      <w:r w:rsidR="000C7C60">
        <w:t xml:space="preserve">five </w:t>
      </w:r>
      <w:r w:rsidRPr="00490B49">
        <w:t>interns</w:t>
      </w:r>
      <w:r>
        <w:t xml:space="preserve"> </w:t>
      </w:r>
      <w:r w:rsidRPr="00490B49">
        <w:t>through</w:t>
      </w:r>
      <w:r>
        <w:t xml:space="preserve"> </w:t>
      </w:r>
      <w:r w:rsidRPr="00490B49">
        <w:t>this</w:t>
      </w:r>
      <w:r>
        <w:t xml:space="preserve"> </w:t>
      </w:r>
      <w:r w:rsidRPr="00490B49">
        <w:t>innovative</w:t>
      </w:r>
      <w:r>
        <w:t xml:space="preserve"> </w:t>
      </w:r>
      <w:r w:rsidRPr="00490B49">
        <w:t>program.</w:t>
      </w:r>
    </w:p>
    <w:p w14:paraId="6EB8A575" w14:textId="77777777" w:rsidR="001A70B8" w:rsidRDefault="001A70B8" w:rsidP="00101E5D">
      <w:pPr>
        <w:pStyle w:val="Heading4"/>
      </w:pPr>
      <w:r w:rsidRPr="00490B49">
        <w:t>Youth</w:t>
      </w:r>
      <w:r>
        <w:t xml:space="preserve"> </w:t>
      </w:r>
      <w:r w:rsidRPr="00490B49">
        <w:t>Employment</w:t>
      </w:r>
      <w:r>
        <w:t xml:space="preserve"> </w:t>
      </w:r>
      <w:r w:rsidRPr="00490B49">
        <w:t>Scheme</w:t>
      </w:r>
    </w:p>
    <w:p w14:paraId="3CB07955" w14:textId="77777777" w:rsidR="001A70B8" w:rsidRDefault="001A70B8" w:rsidP="00101E5D">
      <w:pPr>
        <w:pStyle w:val="ARbody"/>
        <w:shd w:val="clear" w:color="auto" w:fill="FFFFFF" w:themeFill="background1"/>
      </w:pPr>
      <w:r w:rsidRPr="00490B49">
        <w:t>The</w:t>
      </w:r>
      <w:r>
        <w:t xml:space="preserve"> </w:t>
      </w:r>
      <w:r w:rsidRPr="00490B49">
        <w:t>department</w:t>
      </w:r>
      <w:r>
        <w:t xml:space="preserve"> </w:t>
      </w:r>
      <w:r w:rsidRPr="00490B49">
        <w:t>is</w:t>
      </w:r>
      <w:r>
        <w:t xml:space="preserve"> </w:t>
      </w:r>
      <w:r w:rsidRPr="00490B49">
        <w:t>active</w:t>
      </w:r>
      <w:r>
        <w:t xml:space="preserve"> </w:t>
      </w:r>
      <w:r w:rsidRPr="00490B49">
        <w:t>in</w:t>
      </w:r>
      <w:r>
        <w:t xml:space="preserve"> </w:t>
      </w:r>
      <w:r w:rsidRPr="00490B49">
        <w:t>providing</w:t>
      </w:r>
      <w:r>
        <w:t xml:space="preserve"> </w:t>
      </w:r>
      <w:r w:rsidRPr="00490B49">
        <w:t>job</w:t>
      </w:r>
      <w:r>
        <w:t xml:space="preserve"> </w:t>
      </w:r>
      <w:r w:rsidRPr="00490B49">
        <w:t>opportunities</w:t>
      </w:r>
      <w:r>
        <w:t xml:space="preserve"> </w:t>
      </w:r>
      <w:r w:rsidRPr="00490B49">
        <w:t>for</w:t>
      </w:r>
      <w:r>
        <w:t xml:space="preserve"> </w:t>
      </w:r>
      <w:r w:rsidRPr="00490B49">
        <w:t>disadvantaged</w:t>
      </w:r>
      <w:r>
        <w:t xml:space="preserve"> </w:t>
      </w:r>
      <w:r w:rsidRPr="00490B49">
        <w:t>job</w:t>
      </w:r>
      <w:r>
        <w:t xml:space="preserve"> </w:t>
      </w:r>
      <w:r w:rsidRPr="00490B49">
        <w:t>seekers</w:t>
      </w:r>
      <w:r>
        <w:t xml:space="preserve"> through the </w:t>
      </w:r>
      <w:r w:rsidRPr="00490B49">
        <w:t>Youth</w:t>
      </w:r>
      <w:r>
        <w:t xml:space="preserve"> </w:t>
      </w:r>
      <w:r w:rsidRPr="00490B49">
        <w:t>Employment</w:t>
      </w:r>
      <w:r>
        <w:t xml:space="preserve"> </w:t>
      </w:r>
      <w:r w:rsidRPr="00490B49">
        <w:t>Scheme</w:t>
      </w:r>
      <w:r>
        <w:t xml:space="preserve"> </w:t>
      </w:r>
      <w:r w:rsidRPr="00490B49">
        <w:t>(YES).</w:t>
      </w:r>
      <w:r>
        <w:t xml:space="preserve"> </w:t>
      </w:r>
      <w:r w:rsidRPr="00490B49">
        <w:t>YES</w:t>
      </w:r>
      <w:r>
        <w:t xml:space="preserve"> </w:t>
      </w:r>
      <w:r w:rsidRPr="00490B49">
        <w:t>is</w:t>
      </w:r>
      <w:r>
        <w:t xml:space="preserve"> </w:t>
      </w:r>
      <w:r w:rsidRPr="00490B49">
        <w:t>a</w:t>
      </w:r>
      <w:r>
        <w:t xml:space="preserve"> </w:t>
      </w:r>
      <w:r w:rsidRPr="00490B49">
        <w:t>Victorian</w:t>
      </w:r>
      <w:r>
        <w:t xml:space="preserve"> </w:t>
      </w:r>
      <w:r w:rsidRPr="00490B49">
        <w:t>Government</w:t>
      </w:r>
      <w:r>
        <w:t xml:space="preserve"> </w:t>
      </w:r>
      <w:r w:rsidRPr="00490B49">
        <w:t>initiative</w:t>
      </w:r>
      <w:r>
        <w:t xml:space="preserve"> </w:t>
      </w:r>
      <w:r w:rsidRPr="00490B49">
        <w:t>that</w:t>
      </w:r>
      <w:r>
        <w:t xml:space="preserve"> </w:t>
      </w:r>
      <w:r w:rsidRPr="00490B49">
        <w:t>enables</w:t>
      </w:r>
      <w:r>
        <w:t xml:space="preserve"> </w:t>
      </w:r>
      <w:r w:rsidRPr="00490B49">
        <w:t>unemployed</w:t>
      </w:r>
      <w:r>
        <w:t xml:space="preserve"> </w:t>
      </w:r>
      <w:r w:rsidRPr="00490B49">
        <w:t>or</w:t>
      </w:r>
      <w:r>
        <w:t xml:space="preserve"> </w:t>
      </w:r>
      <w:r w:rsidRPr="00490B49">
        <w:t>otherwise</w:t>
      </w:r>
      <w:r>
        <w:t xml:space="preserve"> </w:t>
      </w:r>
      <w:r w:rsidRPr="00490B49">
        <w:t>disadvantaged</w:t>
      </w:r>
      <w:r>
        <w:t xml:space="preserve"> </w:t>
      </w:r>
      <w:r w:rsidRPr="00490B49">
        <w:t>young</w:t>
      </w:r>
      <w:r>
        <w:t xml:space="preserve"> </w:t>
      </w:r>
      <w:r w:rsidRPr="00490B49">
        <w:t>people</w:t>
      </w:r>
      <w:r>
        <w:t xml:space="preserve"> </w:t>
      </w:r>
      <w:r w:rsidRPr="00490B49">
        <w:t>aged</w:t>
      </w:r>
      <w:r>
        <w:t xml:space="preserve"> </w:t>
      </w:r>
      <w:r w:rsidRPr="00490B49">
        <w:t>15</w:t>
      </w:r>
      <w:r>
        <w:t xml:space="preserve"> </w:t>
      </w:r>
      <w:r w:rsidRPr="00490B49">
        <w:t>to</w:t>
      </w:r>
      <w:r>
        <w:t xml:space="preserve"> 29 years </w:t>
      </w:r>
      <w:r w:rsidRPr="00490B49">
        <w:t>old</w:t>
      </w:r>
      <w:r>
        <w:t xml:space="preserve"> </w:t>
      </w:r>
      <w:r w:rsidRPr="00490B49">
        <w:t>to</w:t>
      </w:r>
      <w:r>
        <w:t xml:space="preserve"> </w:t>
      </w:r>
      <w:r w:rsidRPr="00490B49">
        <w:t>enter</w:t>
      </w:r>
      <w:r>
        <w:t xml:space="preserve"> </w:t>
      </w:r>
      <w:r w:rsidRPr="00490B49">
        <w:t>the</w:t>
      </w:r>
      <w:r>
        <w:t xml:space="preserve"> </w:t>
      </w:r>
      <w:r w:rsidRPr="00490B49">
        <w:t>workforce</w:t>
      </w:r>
      <w:r>
        <w:t xml:space="preserve"> </w:t>
      </w:r>
      <w:r w:rsidRPr="00490B49">
        <w:t>with</w:t>
      </w:r>
      <w:r>
        <w:t xml:space="preserve"> </w:t>
      </w:r>
      <w:r w:rsidRPr="00490B49">
        <w:t>the</w:t>
      </w:r>
      <w:r>
        <w:t xml:space="preserve"> </w:t>
      </w:r>
      <w:r w:rsidRPr="00490B49">
        <w:t>potential</w:t>
      </w:r>
      <w:r>
        <w:t xml:space="preserve"> </w:t>
      </w:r>
      <w:r w:rsidRPr="00490B49">
        <w:t>to</w:t>
      </w:r>
      <w:r>
        <w:t xml:space="preserve"> </w:t>
      </w:r>
      <w:r w:rsidRPr="00490B49">
        <w:t>build</w:t>
      </w:r>
      <w:r>
        <w:t xml:space="preserve"> </w:t>
      </w:r>
      <w:r w:rsidRPr="00490B49">
        <w:t>sustainable</w:t>
      </w:r>
      <w:r>
        <w:t xml:space="preserve"> </w:t>
      </w:r>
      <w:r w:rsidRPr="00490B49">
        <w:t>careers</w:t>
      </w:r>
      <w:r>
        <w:t xml:space="preserve"> </w:t>
      </w:r>
      <w:r w:rsidRPr="00490B49">
        <w:t>through</w:t>
      </w:r>
      <w:r>
        <w:t xml:space="preserve"> </w:t>
      </w:r>
      <w:r w:rsidRPr="00490B49">
        <w:t>traineeships</w:t>
      </w:r>
      <w:r>
        <w:t xml:space="preserve"> </w:t>
      </w:r>
      <w:r w:rsidRPr="00490B49">
        <w:t>while</w:t>
      </w:r>
      <w:r>
        <w:t xml:space="preserve"> </w:t>
      </w:r>
      <w:r w:rsidRPr="00490B49">
        <w:t>attaining</w:t>
      </w:r>
      <w:r>
        <w:t xml:space="preserve"> </w:t>
      </w:r>
      <w:r w:rsidRPr="00490B49">
        <w:t>a</w:t>
      </w:r>
      <w:r>
        <w:t xml:space="preserve"> </w:t>
      </w:r>
      <w:r w:rsidRPr="00490B49">
        <w:t>qualification.</w:t>
      </w:r>
    </w:p>
    <w:p w14:paraId="592B8712" w14:textId="5AE361CF" w:rsidR="001A70B8" w:rsidRDefault="001A70B8" w:rsidP="00101E5D">
      <w:pPr>
        <w:pStyle w:val="ARbody"/>
        <w:shd w:val="clear" w:color="auto" w:fill="FFFFFF" w:themeFill="background1"/>
      </w:pPr>
      <w:r w:rsidRPr="00490B49">
        <w:t>During</w:t>
      </w:r>
      <w:r>
        <w:t xml:space="preserve"> </w:t>
      </w:r>
      <w:r w:rsidRPr="00490B49">
        <w:t>2021–2022,</w:t>
      </w:r>
      <w:r>
        <w:t xml:space="preserve"> </w:t>
      </w:r>
      <w:r w:rsidRPr="00490B49">
        <w:t>the</w:t>
      </w:r>
      <w:r>
        <w:t xml:space="preserve"> </w:t>
      </w:r>
      <w:r w:rsidRPr="00490B49">
        <w:t>ongoing</w:t>
      </w:r>
      <w:r>
        <w:t xml:space="preserve"> </w:t>
      </w:r>
      <w:r w:rsidRPr="00490B49">
        <w:t>effects</w:t>
      </w:r>
      <w:r>
        <w:t xml:space="preserve"> </w:t>
      </w:r>
      <w:r w:rsidRPr="00490B49">
        <w:t>of</w:t>
      </w:r>
      <w:r>
        <w:t xml:space="preserve"> </w:t>
      </w:r>
      <w:r w:rsidRPr="00490B49">
        <w:t>the</w:t>
      </w:r>
      <w:r>
        <w:t xml:space="preserve"> </w:t>
      </w:r>
      <w:r w:rsidRPr="00490B49">
        <w:t>pandemic</w:t>
      </w:r>
      <w:r>
        <w:t xml:space="preserve"> </w:t>
      </w:r>
      <w:r w:rsidRPr="00490B49">
        <w:t>caused</w:t>
      </w:r>
      <w:r>
        <w:t xml:space="preserve"> </w:t>
      </w:r>
      <w:r w:rsidRPr="00490B49">
        <w:t>challenges</w:t>
      </w:r>
      <w:r>
        <w:t xml:space="preserve"> </w:t>
      </w:r>
      <w:r w:rsidRPr="00490B49">
        <w:t>with</w:t>
      </w:r>
      <w:r>
        <w:t xml:space="preserve"> </w:t>
      </w:r>
      <w:r w:rsidRPr="00490B49">
        <w:t>sourcing</w:t>
      </w:r>
      <w:r>
        <w:t xml:space="preserve"> </w:t>
      </w:r>
      <w:r w:rsidRPr="00490B49">
        <w:t>and</w:t>
      </w:r>
      <w:r>
        <w:t xml:space="preserve"> </w:t>
      </w:r>
      <w:r w:rsidRPr="00490B49">
        <w:t>engaging</w:t>
      </w:r>
      <w:r>
        <w:t xml:space="preserve"> </w:t>
      </w:r>
      <w:r w:rsidRPr="00490B49">
        <w:t>young</w:t>
      </w:r>
      <w:r>
        <w:t xml:space="preserve"> </w:t>
      </w:r>
      <w:r w:rsidRPr="00490B49">
        <w:t>people.</w:t>
      </w:r>
      <w:r>
        <w:t xml:space="preserve"> </w:t>
      </w:r>
      <w:r w:rsidRPr="00490B49">
        <w:t>Three</w:t>
      </w:r>
      <w:r>
        <w:t xml:space="preserve"> </w:t>
      </w:r>
      <w:r w:rsidRPr="00490B49">
        <w:t>YES</w:t>
      </w:r>
      <w:r>
        <w:t xml:space="preserve"> </w:t>
      </w:r>
      <w:r w:rsidRPr="00490B49">
        <w:t>trainees</w:t>
      </w:r>
      <w:r>
        <w:t xml:space="preserve"> </w:t>
      </w:r>
      <w:r w:rsidRPr="00490B49">
        <w:t>were</w:t>
      </w:r>
      <w:r>
        <w:t xml:space="preserve"> </w:t>
      </w:r>
      <w:r w:rsidRPr="00490B49">
        <w:t>placed</w:t>
      </w:r>
      <w:r>
        <w:t xml:space="preserve"> </w:t>
      </w:r>
      <w:r w:rsidRPr="00490B49">
        <w:t>in</w:t>
      </w:r>
      <w:r>
        <w:t xml:space="preserve"> </w:t>
      </w:r>
      <w:r w:rsidRPr="00490B49">
        <w:t>the</w:t>
      </w:r>
      <w:r>
        <w:t xml:space="preserve"> </w:t>
      </w:r>
      <w:r w:rsidRPr="00490B49">
        <w:t>department</w:t>
      </w:r>
      <w:r>
        <w:t xml:space="preserve"> </w:t>
      </w:r>
      <w:r w:rsidRPr="00490B49">
        <w:t>and</w:t>
      </w:r>
      <w:r>
        <w:t xml:space="preserve"> </w:t>
      </w:r>
      <w:r w:rsidRPr="00490B49">
        <w:t>another</w:t>
      </w:r>
      <w:r>
        <w:t xml:space="preserve"> </w:t>
      </w:r>
      <w:r w:rsidR="000C7C60">
        <w:t>eight</w:t>
      </w:r>
      <w:r>
        <w:t xml:space="preserve"> </w:t>
      </w:r>
      <w:r w:rsidRPr="00490B49">
        <w:t>in</w:t>
      </w:r>
      <w:r>
        <w:t xml:space="preserve"> </w:t>
      </w:r>
      <w:r w:rsidRPr="00490B49">
        <w:t>the</w:t>
      </w:r>
      <w:r>
        <w:t xml:space="preserve"> health sector. </w:t>
      </w:r>
      <w:r w:rsidRPr="00490B49">
        <w:t>Of</w:t>
      </w:r>
      <w:r>
        <w:t xml:space="preserve"> </w:t>
      </w:r>
      <w:r w:rsidRPr="00490B49">
        <w:t>the</w:t>
      </w:r>
      <w:r>
        <w:t xml:space="preserve"> </w:t>
      </w:r>
      <w:r w:rsidRPr="00490B49">
        <w:t>11</w:t>
      </w:r>
      <w:r>
        <w:t xml:space="preserve"> </w:t>
      </w:r>
      <w:r w:rsidRPr="00490B49">
        <w:t>engaged</w:t>
      </w:r>
      <w:r w:rsidR="000C7C60">
        <w:t xml:space="preserve"> overall, </w:t>
      </w:r>
      <w:r w:rsidR="00AB055A">
        <w:t>the department has</w:t>
      </w:r>
      <w:r>
        <w:t xml:space="preserve"> </w:t>
      </w:r>
      <w:r w:rsidRPr="00490B49">
        <w:t>placed</w:t>
      </w:r>
      <w:r>
        <w:t xml:space="preserve"> </w:t>
      </w:r>
      <w:r w:rsidR="000C7C60">
        <w:t>one</w:t>
      </w:r>
      <w:r>
        <w:t xml:space="preserve"> person </w:t>
      </w:r>
      <w:r w:rsidRPr="00490B49">
        <w:t>with</w:t>
      </w:r>
      <w:r>
        <w:t xml:space="preserve"> </w:t>
      </w:r>
      <w:r w:rsidRPr="00490B49">
        <w:t>a</w:t>
      </w:r>
      <w:r>
        <w:t xml:space="preserve"> </w:t>
      </w:r>
      <w:r w:rsidRPr="00490B49">
        <w:t>disability,</w:t>
      </w:r>
      <w:r>
        <w:t xml:space="preserve"> </w:t>
      </w:r>
      <w:r w:rsidR="000C7C60">
        <w:t>three</w:t>
      </w:r>
      <w:r>
        <w:t xml:space="preserve"> people </w:t>
      </w:r>
      <w:r w:rsidRPr="00490B49">
        <w:t>with</w:t>
      </w:r>
      <w:r>
        <w:t xml:space="preserve"> </w:t>
      </w:r>
      <w:r w:rsidRPr="00490B49">
        <w:t>refugee</w:t>
      </w:r>
      <w:r>
        <w:t xml:space="preserve"> </w:t>
      </w:r>
      <w:r w:rsidRPr="00490B49">
        <w:t>backgrounds</w:t>
      </w:r>
      <w:r>
        <w:t xml:space="preserve"> </w:t>
      </w:r>
      <w:r w:rsidRPr="00490B49">
        <w:t>and</w:t>
      </w:r>
      <w:r>
        <w:t xml:space="preserve"> </w:t>
      </w:r>
      <w:r w:rsidR="000C7C60">
        <w:t>two</w:t>
      </w:r>
      <w:r>
        <w:t xml:space="preserve"> people who identify as </w:t>
      </w:r>
      <w:r w:rsidRPr="00490B49">
        <w:t>Aboriginal</w:t>
      </w:r>
      <w:r>
        <w:t xml:space="preserve"> </w:t>
      </w:r>
      <w:r w:rsidR="000C7C60">
        <w:t xml:space="preserve">as </w:t>
      </w:r>
      <w:r w:rsidRPr="00490B49">
        <w:t>YES</w:t>
      </w:r>
      <w:r>
        <w:t xml:space="preserve"> </w:t>
      </w:r>
      <w:r w:rsidRPr="00490B49">
        <w:t>trainees.</w:t>
      </w:r>
      <w:r>
        <w:t xml:space="preserve"> </w:t>
      </w:r>
      <w:r w:rsidRPr="00490B49">
        <w:t>Two</w:t>
      </w:r>
      <w:r>
        <w:t xml:space="preserve"> </w:t>
      </w:r>
      <w:r w:rsidRPr="00490B49">
        <w:t>of</w:t>
      </w:r>
      <w:r>
        <w:t xml:space="preserve"> </w:t>
      </w:r>
      <w:r w:rsidR="003C1572">
        <w:t>the</w:t>
      </w:r>
      <w:r>
        <w:t xml:space="preserve"> </w:t>
      </w:r>
      <w:r w:rsidRPr="00490B49">
        <w:t>YES</w:t>
      </w:r>
      <w:r>
        <w:t xml:space="preserve"> </w:t>
      </w:r>
      <w:r w:rsidRPr="00490B49">
        <w:t>trainees</w:t>
      </w:r>
      <w:r>
        <w:t xml:space="preserve"> </w:t>
      </w:r>
      <w:r w:rsidRPr="00490B49">
        <w:t>have</w:t>
      </w:r>
      <w:r>
        <w:t xml:space="preserve"> </w:t>
      </w:r>
      <w:r w:rsidRPr="00490B49">
        <w:t>secured</w:t>
      </w:r>
      <w:r>
        <w:t xml:space="preserve"> </w:t>
      </w:r>
      <w:r w:rsidRPr="00490B49">
        <w:t>further</w:t>
      </w:r>
      <w:r>
        <w:t xml:space="preserve"> </w:t>
      </w:r>
      <w:r w:rsidRPr="00490B49">
        <w:t>VPS</w:t>
      </w:r>
      <w:r>
        <w:t xml:space="preserve"> </w:t>
      </w:r>
      <w:r w:rsidRPr="00490B49">
        <w:t>roles</w:t>
      </w:r>
      <w:r>
        <w:t xml:space="preserve"> </w:t>
      </w:r>
      <w:r w:rsidRPr="00490B49">
        <w:t>and</w:t>
      </w:r>
      <w:r>
        <w:t xml:space="preserve"> </w:t>
      </w:r>
      <w:r w:rsidR="000C7C60">
        <w:t>two</w:t>
      </w:r>
      <w:r>
        <w:t xml:space="preserve"> </w:t>
      </w:r>
      <w:r w:rsidRPr="00490B49">
        <w:t>more</w:t>
      </w:r>
      <w:r>
        <w:t xml:space="preserve"> </w:t>
      </w:r>
      <w:r w:rsidRPr="00490B49">
        <w:t>have</w:t>
      </w:r>
      <w:r>
        <w:t xml:space="preserve"> </w:t>
      </w:r>
      <w:r w:rsidRPr="00490B49">
        <w:t>had</w:t>
      </w:r>
      <w:r>
        <w:t xml:space="preserve"> </w:t>
      </w:r>
      <w:r w:rsidRPr="00490B49">
        <w:t>their</w:t>
      </w:r>
      <w:r>
        <w:t xml:space="preserve"> </w:t>
      </w:r>
      <w:r w:rsidRPr="00490B49">
        <w:t>traineeship</w:t>
      </w:r>
      <w:r w:rsidR="000C7C60">
        <w:t>s</w:t>
      </w:r>
      <w:r>
        <w:t xml:space="preserve"> </w:t>
      </w:r>
      <w:r w:rsidRPr="00490B49">
        <w:t>extended</w:t>
      </w:r>
      <w:r>
        <w:t>.</w:t>
      </w:r>
    </w:p>
    <w:p w14:paraId="75E9AB88" w14:textId="0D855B18" w:rsidR="001A70B8" w:rsidRDefault="00DD0FB0" w:rsidP="00101E5D">
      <w:pPr>
        <w:pStyle w:val="Heading4"/>
      </w:pPr>
      <w:r>
        <w:br w:type="column"/>
      </w:r>
      <w:r w:rsidR="001A70B8" w:rsidRPr="00490B49">
        <w:t>Youth</w:t>
      </w:r>
      <w:r w:rsidR="001A70B8">
        <w:t xml:space="preserve"> </w:t>
      </w:r>
      <w:r w:rsidR="001A70B8" w:rsidRPr="00490B49">
        <w:t>Employment</w:t>
      </w:r>
      <w:r w:rsidR="001A70B8">
        <w:t xml:space="preserve"> </w:t>
      </w:r>
      <w:r w:rsidR="001A70B8" w:rsidRPr="00490B49">
        <w:t>Program</w:t>
      </w:r>
    </w:p>
    <w:p w14:paraId="20667320" w14:textId="459DF06E" w:rsidR="001A70B8" w:rsidRPr="00490B49" w:rsidRDefault="001A70B8" w:rsidP="00101E5D">
      <w:pPr>
        <w:pStyle w:val="ARbody"/>
        <w:shd w:val="clear" w:color="auto" w:fill="FFFFFF" w:themeFill="background1"/>
      </w:pPr>
      <w:r w:rsidRPr="00490B49">
        <w:t>The</w:t>
      </w:r>
      <w:r>
        <w:t xml:space="preserve"> </w:t>
      </w:r>
      <w:r w:rsidRPr="00490B49">
        <w:t>Youth</w:t>
      </w:r>
      <w:r>
        <w:t xml:space="preserve"> </w:t>
      </w:r>
      <w:r w:rsidRPr="00490B49">
        <w:t>Employment</w:t>
      </w:r>
      <w:r>
        <w:t xml:space="preserve"> </w:t>
      </w:r>
      <w:r w:rsidRPr="00490B49">
        <w:t>Program</w:t>
      </w:r>
      <w:r>
        <w:t xml:space="preserve"> </w:t>
      </w:r>
      <w:r w:rsidRPr="00490B49">
        <w:t>(YEP)</w:t>
      </w:r>
      <w:r>
        <w:t xml:space="preserve"> </w:t>
      </w:r>
      <w:r w:rsidRPr="00490B49">
        <w:t>is</w:t>
      </w:r>
      <w:r>
        <w:t xml:space="preserve"> </w:t>
      </w:r>
      <w:r w:rsidRPr="00490B49">
        <w:t>an</w:t>
      </w:r>
      <w:r>
        <w:t xml:space="preserve"> </w:t>
      </w:r>
      <w:r w:rsidRPr="00490B49">
        <w:t>initiative</w:t>
      </w:r>
      <w:r>
        <w:t xml:space="preserve"> </w:t>
      </w:r>
      <w:r w:rsidRPr="00490B49">
        <w:t>of</w:t>
      </w:r>
      <w:r>
        <w:t xml:space="preserve"> </w:t>
      </w:r>
      <w:r w:rsidRPr="00490B49">
        <w:t>Working</w:t>
      </w:r>
      <w:r>
        <w:t xml:space="preserve"> </w:t>
      </w:r>
      <w:r w:rsidRPr="00490B49">
        <w:t>for</w:t>
      </w:r>
      <w:r>
        <w:t xml:space="preserve"> </w:t>
      </w:r>
      <w:r w:rsidRPr="00490B49">
        <w:t>Victoria</w:t>
      </w:r>
      <w:r>
        <w:t xml:space="preserve"> </w:t>
      </w:r>
      <w:r w:rsidRPr="00490B49">
        <w:t>in</w:t>
      </w:r>
      <w:r>
        <w:t xml:space="preserve"> </w:t>
      </w:r>
      <w:r w:rsidRPr="00490B49">
        <w:t>response</w:t>
      </w:r>
      <w:r>
        <w:t xml:space="preserve"> </w:t>
      </w:r>
      <w:r w:rsidRPr="00490B49">
        <w:t>to</w:t>
      </w:r>
      <w:r>
        <w:t xml:space="preserve"> </w:t>
      </w:r>
      <w:r w:rsidRPr="00490B49">
        <w:t>the</w:t>
      </w:r>
      <w:r>
        <w:t xml:space="preserve"> </w:t>
      </w:r>
      <w:r w:rsidRPr="00490B49">
        <w:t>COVID-19</w:t>
      </w:r>
      <w:r>
        <w:t xml:space="preserve"> </w:t>
      </w:r>
      <w:r w:rsidRPr="00490B49">
        <w:t>pandemic.</w:t>
      </w:r>
      <w:r>
        <w:t xml:space="preserve"> </w:t>
      </w:r>
      <w:r w:rsidRPr="00490B49">
        <w:t>Placements</w:t>
      </w:r>
      <w:r>
        <w:t xml:space="preserve"> </w:t>
      </w:r>
      <w:r w:rsidRPr="00490B49">
        <w:t>for</w:t>
      </w:r>
      <w:r>
        <w:t xml:space="preserve"> </w:t>
      </w:r>
      <w:r w:rsidRPr="00490B49">
        <w:t>17-to-29-year-olds</w:t>
      </w:r>
      <w:r>
        <w:t xml:space="preserve"> </w:t>
      </w:r>
      <w:r w:rsidRPr="00490B49">
        <w:t>were</w:t>
      </w:r>
      <w:r>
        <w:t xml:space="preserve"> </w:t>
      </w:r>
      <w:r w:rsidRPr="00490B49">
        <w:t>fully</w:t>
      </w:r>
      <w:r>
        <w:t xml:space="preserve"> </w:t>
      </w:r>
      <w:r w:rsidRPr="00490B49">
        <w:t>funded</w:t>
      </w:r>
      <w:r>
        <w:t xml:space="preserve"> </w:t>
      </w:r>
      <w:r w:rsidRPr="00490B49">
        <w:t>as</w:t>
      </w:r>
      <w:r>
        <w:t xml:space="preserve"> </w:t>
      </w:r>
      <w:r w:rsidRPr="00490B49">
        <w:t>studies</w:t>
      </w:r>
      <w:r>
        <w:t xml:space="preserve"> </w:t>
      </w:r>
      <w:r w:rsidRPr="00490B49">
        <w:t>have</w:t>
      </w:r>
      <w:r>
        <w:t xml:space="preserve"> </w:t>
      </w:r>
      <w:r w:rsidRPr="00490B49">
        <w:t>shown</w:t>
      </w:r>
      <w:r w:rsidR="000D06B0">
        <w:t> </w:t>
      </w:r>
      <w:r w:rsidRPr="00490B49">
        <w:t>this</w:t>
      </w:r>
      <w:r>
        <w:t xml:space="preserve"> </w:t>
      </w:r>
      <w:r w:rsidRPr="00490B49">
        <w:t>cohort</w:t>
      </w:r>
      <w:r>
        <w:t xml:space="preserve"> </w:t>
      </w:r>
      <w:r w:rsidRPr="00490B49">
        <w:t>were</w:t>
      </w:r>
      <w:r>
        <w:t xml:space="preserve"> </w:t>
      </w:r>
      <w:r w:rsidRPr="00490B49">
        <w:t>among</w:t>
      </w:r>
      <w:r>
        <w:t xml:space="preserve"> </w:t>
      </w:r>
      <w:r w:rsidRPr="00490B49">
        <w:t>the</w:t>
      </w:r>
      <w:r>
        <w:t xml:space="preserve"> </w:t>
      </w:r>
      <w:r w:rsidRPr="00490B49">
        <w:t>most</w:t>
      </w:r>
      <w:r>
        <w:t xml:space="preserve"> </w:t>
      </w:r>
      <w:r w:rsidRPr="00490B49">
        <w:t>severely</w:t>
      </w:r>
      <w:r>
        <w:t xml:space="preserve"> </w:t>
      </w:r>
      <w:r w:rsidRPr="00490B49">
        <w:t>impacted</w:t>
      </w:r>
      <w:r>
        <w:t xml:space="preserve"> </w:t>
      </w:r>
      <w:r w:rsidRPr="00490B49">
        <w:t>by</w:t>
      </w:r>
      <w:r>
        <w:t xml:space="preserve"> </w:t>
      </w:r>
      <w:r w:rsidRPr="00490B49">
        <w:t>the</w:t>
      </w:r>
      <w:r>
        <w:t xml:space="preserve"> </w:t>
      </w:r>
      <w:r w:rsidRPr="00490B49">
        <w:t>economic</w:t>
      </w:r>
      <w:r>
        <w:t xml:space="preserve"> </w:t>
      </w:r>
      <w:r w:rsidRPr="00490B49">
        <w:t>downturn</w:t>
      </w:r>
      <w:r w:rsidR="000C7C60">
        <w:t xml:space="preserve"> associated with COVID</w:t>
      </w:r>
      <w:r w:rsidR="003C1572">
        <w:noBreakHyphen/>
      </w:r>
      <w:r w:rsidR="000C7C60">
        <w:t>19</w:t>
      </w:r>
      <w:r w:rsidRPr="00490B49">
        <w:t>.</w:t>
      </w:r>
      <w:r>
        <w:t xml:space="preserve"> </w:t>
      </w:r>
      <w:r w:rsidRPr="00490B49">
        <w:t>This</w:t>
      </w:r>
      <w:r>
        <w:t xml:space="preserve"> </w:t>
      </w:r>
      <w:r w:rsidRPr="00490B49">
        <w:t>group</w:t>
      </w:r>
      <w:r>
        <w:t xml:space="preserve"> </w:t>
      </w:r>
      <w:r w:rsidRPr="00490B49">
        <w:t>was</w:t>
      </w:r>
      <w:r w:rsidR="00B77D1C">
        <w:t xml:space="preserve"> </w:t>
      </w:r>
      <w:r w:rsidRPr="00490B49">
        <w:t>prioritised</w:t>
      </w:r>
      <w:r>
        <w:t xml:space="preserve"> </w:t>
      </w:r>
      <w:r w:rsidR="000A2960">
        <w:t xml:space="preserve">also because </w:t>
      </w:r>
      <w:r w:rsidRPr="00490B49">
        <w:t>further</w:t>
      </w:r>
      <w:r>
        <w:t xml:space="preserve"> </w:t>
      </w:r>
      <w:r w:rsidRPr="00490B49">
        <w:t>studies</w:t>
      </w:r>
      <w:r w:rsidR="00B77D1C">
        <w:t xml:space="preserve"> have</w:t>
      </w:r>
      <w:r>
        <w:t xml:space="preserve"> </w:t>
      </w:r>
      <w:r w:rsidRPr="00490B49">
        <w:t>show</w:t>
      </w:r>
      <w:r w:rsidR="00B77D1C">
        <w:t>n that</w:t>
      </w:r>
      <w:r>
        <w:t xml:space="preserve"> </w:t>
      </w:r>
      <w:r w:rsidRPr="00490B49">
        <w:t>a</w:t>
      </w:r>
      <w:r>
        <w:t xml:space="preserve"> </w:t>
      </w:r>
      <w:r w:rsidRPr="00490B49">
        <w:t>larger</w:t>
      </w:r>
      <w:r>
        <w:t xml:space="preserve"> </w:t>
      </w:r>
      <w:r w:rsidRPr="00490B49">
        <w:t>proportion</w:t>
      </w:r>
      <w:r>
        <w:t xml:space="preserve"> </w:t>
      </w:r>
      <w:r w:rsidRPr="00490B49">
        <w:t>of</w:t>
      </w:r>
      <w:r>
        <w:t xml:space="preserve"> </w:t>
      </w:r>
      <w:r w:rsidRPr="00490B49">
        <w:t>people</w:t>
      </w:r>
      <w:r>
        <w:t xml:space="preserve"> </w:t>
      </w:r>
      <w:r w:rsidRPr="00490B49">
        <w:t>aged</w:t>
      </w:r>
      <w:r>
        <w:t xml:space="preserve"> </w:t>
      </w:r>
      <w:r w:rsidRPr="00490B49">
        <w:t>under</w:t>
      </w:r>
      <w:r>
        <w:t xml:space="preserve"> </w:t>
      </w:r>
      <w:r w:rsidRPr="00490B49">
        <w:t>30</w:t>
      </w:r>
      <w:r>
        <w:t xml:space="preserve"> </w:t>
      </w:r>
      <w:r w:rsidRPr="00490B49">
        <w:t>years</w:t>
      </w:r>
      <w:r>
        <w:t xml:space="preserve"> </w:t>
      </w:r>
      <w:r w:rsidRPr="00490B49">
        <w:t>lose</w:t>
      </w:r>
      <w:r>
        <w:t xml:space="preserve"> </w:t>
      </w:r>
      <w:r w:rsidRPr="00490B49">
        <w:t>their</w:t>
      </w:r>
      <w:r>
        <w:t xml:space="preserve"> </w:t>
      </w:r>
      <w:r w:rsidRPr="00490B49">
        <w:t>jobs</w:t>
      </w:r>
      <w:r>
        <w:t xml:space="preserve"> </w:t>
      </w:r>
      <w:r w:rsidRPr="00490B49">
        <w:t>during</w:t>
      </w:r>
      <w:r>
        <w:t xml:space="preserve"> </w:t>
      </w:r>
      <w:r w:rsidRPr="00490B49">
        <w:t>economic</w:t>
      </w:r>
      <w:r>
        <w:t xml:space="preserve"> </w:t>
      </w:r>
      <w:r w:rsidRPr="00490B49">
        <w:t>downturns</w:t>
      </w:r>
      <w:r>
        <w:t xml:space="preserve"> </w:t>
      </w:r>
      <w:r w:rsidRPr="00490B49">
        <w:t>and</w:t>
      </w:r>
      <w:r>
        <w:t xml:space="preserve"> </w:t>
      </w:r>
      <w:r w:rsidRPr="00490B49">
        <w:t>take</w:t>
      </w:r>
      <w:r>
        <w:t xml:space="preserve"> </w:t>
      </w:r>
      <w:r w:rsidRPr="00490B49">
        <w:t>longer</w:t>
      </w:r>
      <w:r>
        <w:t xml:space="preserve"> </w:t>
      </w:r>
      <w:r w:rsidRPr="00490B49">
        <w:t>to</w:t>
      </w:r>
      <w:r w:rsidR="000D06B0">
        <w:t> </w:t>
      </w:r>
      <w:r w:rsidRPr="00490B49">
        <w:t>find</w:t>
      </w:r>
      <w:r>
        <w:t xml:space="preserve"> </w:t>
      </w:r>
      <w:r w:rsidRPr="00490B49">
        <w:t>another</w:t>
      </w:r>
      <w:r>
        <w:t xml:space="preserve"> </w:t>
      </w:r>
      <w:r w:rsidRPr="00490B49">
        <w:t>job</w:t>
      </w:r>
      <w:r w:rsidR="00B77D1C">
        <w:t>,</w:t>
      </w:r>
      <w:r>
        <w:t xml:space="preserve"> </w:t>
      </w:r>
      <w:r w:rsidRPr="00490B49">
        <w:t>especially</w:t>
      </w:r>
      <w:r>
        <w:t xml:space="preserve"> </w:t>
      </w:r>
      <w:r w:rsidRPr="00490B49">
        <w:t>if</w:t>
      </w:r>
      <w:r>
        <w:t xml:space="preserve"> </w:t>
      </w:r>
      <w:r w:rsidRPr="00490B49">
        <w:t>they</w:t>
      </w:r>
      <w:r>
        <w:t xml:space="preserve"> </w:t>
      </w:r>
      <w:r w:rsidRPr="00490B49">
        <w:t>lack</w:t>
      </w:r>
      <w:r>
        <w:t xml:space="preserve"> </w:t>
      </w:r>
      <w:r w:rsidRPr="00490B49">
        <w:t>tertiary</w:t>
      </w:r>
      <w:r>
        <w:t xml:space="preserve"> </w:t>
      </w:r>
      <w:r w:rsidRPr="00490B49">
        <w:t>qualifications.</w:t>
      </w:r>
      <w:r>
        <w:t xml:space="preserve"> The pandemic </w:t>
      </w:r>
      <w:r w:rsidRPr="00490B49">
        <w:t>has</w:t>
      </w:r>
      <w:r>
        <w:t xml:space="preserve"> </w:t>
      </w:r>
      <w:r w:rsidRPr="00490B49">
        <w:t>also</w:t>
      </w:r>
      <w:r>
        <w:t xml:space="preserve"> </w:t>
      </w:r>
      <w:r w:rsidRPr="00490B49">
        <w:t>been</w:t>
      </w:r>
      <w:r>
        <w:t xml:space="preserve"> </w:t>
      </w:r>
      <w:r w:rsidRPr="00490B49">
        <w:t>shown</w:t>
      </w:r>
      <w:r>
        <w:t xml:space="preserve"> </w:t>
      </w:r>
      <w:r w:rsidRPr="00490B49">
        <w:t>to</w:t>
      </w:r>
      <w:r>
        <w:t xml:space="preserve"> </w:t>
      </w:r>
      <w:r w:rsidRPr="00490B49">
        <w:t>have</w:t>
      </w:r>
      <w:r>
        <w:t xml:space="preserve"> </w:t>
      </w:r>
      <w:r w:rsidRPr="00490B49">
        <w:t>had</w:t>
      </w:r>
      <w:r>
        <w:t xml:space="preserve"> a significant </w:t>
      </w:r>
      <w:r w:rsidRPr="00490B49">
        <w:t>impact</w:t>
      </w:r>
      <w:r>
        <w:t xml:space="preserve"> </w:t>
      </w:r>
      <w:r w:rsidRPr="00490B49">
        <w:t>on</w:t>
      </w:r>
      <w:r>
        <w:t xml:space="preserve"> </w:t>
      </w:r>
      <w:r w:rsidRPr="00490B49">
        <w:t>women</w:t>
      </w:r>
      <w:r>
        <w:t xml:space="preserve"> </w:t>
      </w:r>
      <w:r w:rsidRPr="00490B49">
        <w:t>and</w:t>
      </w:r>
      <w:r>
        <w:t xml:space="preserve"> </w:t>
      </w:r>
      <w:r w:rsidRPr="00490B49">
        <w:t>culturally</w:t>
      </w:r>
      <w:r>
        <w:t xml:space="preserve"> </w:t>
      </w:r>
      <w:r w:rsidRPr="00490B49">
        <w:t>and</w:t>
      </w:r>
      <w:r>
        <w:t xml:space="preserve"> </w:t>
      </w:r>
      <w:r w:rsidRPr="00490B49">
        <w:t>linguistically</w:t>
      </w:r>
      <w:r>
        <w:t xml:space="preserve"> </w:t>
      </w:r>
      <w:r w:rsidRPr="00490B49">
        <w:t>diverse</w:t>
      </w:r>
      <w:r>
        <w:t xml:space="preserve"> </w:t>
      </w:r>
      <w:r w:rsidRPr="00490B49">
        <w:t>(CALD)</w:t>
      </w:r>
      <w:r>
        <w:t xml:space="preserve"> </w:t>
      </w:r>
      <w:r w:rsidRPr="00490B49">
        <w:t>cohorts,</w:t>
      </w:r>
      <w:r>
        <w:t xml:space="preserve"> </w:t>
      </w:r>
      <w:r w:rsidRPr="00490B49">
        <w:t>so</w:t>
      </w:r>
      <w:r>
        <w:t xml:space="preserve"> </w:t>
      </w:r>
      <w:r w:rsidRPr="00490B49">
        <w:t>these</w:t>
      </w:r>
      <w:r>
        <w:t xml:space="preserve"> </w:t>
      </w:r>
      <w:r w:rsidRPr="00490B49">
        <w:t>groups</w:t>
      </w:r>
      <w:r>
        <w:t xml:space="preserve"> </w:t>
      </w:r>
      <w:r w:rsidRPr="00490B49">
        <w:t>were</w:t>
      </w:r>
      <w:r>
        <w:t xml:space="preserve"> </w:t>
      </w:r>
      <w:r w:rsidRPr="00490B49">
        <w:t>also</w:t>
      </w:r>
      <w:r>
        <w:t xml:space="preserve"> </w:t>
      </w:r>
      <w:r w:rsidRPr="00490B49">
        <w:t>a</w:t>
      </w:r>
      <w:r>
        <w:t xml:space="preserve"> </w:t>
      </w:r>
      <w:r w:rsidRPr="00490B49">
        <w:t>priority</w:t>
      </w:r>
      <w:r>
        <w:t xml:space="preserve"> </w:t>
      </w:r>
      <w:r w:rsidRPr="00490B49">
        <w:t>under</w:t>
      </w:r>
      <w:r>
        <w:t xml:space="preserve"> </w:t>
      </w:r>
      <w:r w:rsidRPr="00490B49">
        <w:t>YEP.</w:t>
      </w:r>
      <w:r>
        <w:t xml:space="preserve"> </w:t>
      </w:r>
      <w:r w:rsidRPr="000A2960">
        <w:t>Th</w:t>
      </w:r>
      <w:r w:rsidR="000A2960" w:rsidRPr="00B631AD">
        <w:t>e</w:t>
      </w:r>
      <w:r w:rsidRPr="000A2960">
        <w:t xml:space="preserve"> </w:t>
      </w:r>
      <w:r w:rsidR="000A2960" w:rsidRPr="00B631AD">
        <w:t>CAL</w:t>
      </w:r>
      <w:r w:rsidR="005842E8">
        <w:t>D</w:t>
      </w:r>
      <w:r w:rsidR="000A2960" w:rsidRPr="00B631AD">
        <w:t xml:space="preserve"> </w:t>
      </w:r>
      <w:r w:rsidRPr="000A2960">
        <w:t>cohort</w:t>
      </w:r>
      <w:r>
        <w:t xml:space="preserve"> </w:t>
      </w:r>
      <w:r w:rsidRPr="00490B49">
        <w:t>engaged</w:t>
      </w:r>
      <w:r>
        <w:t xml:space="preserve"> </w:t>
      </w:r>
      <w:r w:rsidRPr="00490B49">
        <w:t>by</w:t>
      </w:r>
      <w:r>
        <w:t xml:space="preserve"> </w:t>
      </w:r>
      <w:r w:rsidRPr="00490B49">
        <w:t>the</w:t>
      </w:r>
      <w:r>
        <w:t xml:space="preserve"> </w:t>
      </w:r>
      <w:r w:rsidRPr="00490B49">
        <w:t>department</w:t>
      </w:r>
      <w:r>
        <w:t xml:space="preserve"> </w:t>
      </w:r>
      <w:r w:rsidRPr="00490B49">
        <w:t>included</w:t>
      </w:r>
      <w:r>
        <w:t xml:space="preserve"> </w:t>
      </w:r>
      <w:r w:rsidRPr="00490B49">
        <w:t>young</w:t>
      </w:r>
      <w:r>
        <w:t xml:space="preserve"> </w:t>
      </w:r>
      <w:r w:rsidRPr="00490B49">
        <w:t>people</w:t>
      </w:r>
      <w:r>
        <w:t xml:space="preserve"> </w:t>
      </w:r>
      <w:r w:rsidRPr="00490B49">
        <w:t>from</w:t>
      </w:r>
      <w:r>
        <w:t xml:space="preserve"> </w:t>
      </w:r>
      <w:r w:rsidRPr="00490B49">
        <w:t>21</w:t>
      </w:r>
      <w:r>
        <w:t xml:space="preserve"> </w:t>
      </w:r>
      <w:r w:rsidRPr="00490B49">
        <w:t>different</w:t>
      </w:r>
      <w:r>
        <w:t xml:space="preserve"> </w:t>
      </w:r>
      <w:r w:rsidRPr="00490B49">
        <w:t>countries</w:t>
      </w:r>
      <w:r>
        <w:t xml:space="preserve"> </w:t>
      </w:r>
      <w:r w:rsidRPr="00490B49">
        <w:t>and</w:t>
      </w:r>
      <w:r>
        <w:t xml:space="preserve"> </w:t>
      </w:r>
      <w:r w:rsidRPr="00490B49">
        <w:t>28</w:t>
      </w:r>
      <w:r>
        <w:t xml:space="preserve"> </w:t>
      </w:r>
      <w:r w:rsidRPr="00490B49">
        <w:t>who</w:t>
      </w:r>
      <w:r>
        <w:t xml:space="preserve"> </w:t>
      </w:r>
      <w:r w:rsidRPr="00490B49">
        <w:t>spoke</w:t>
      </w:r>
      <w:r>
        <w:t xml:space="preserve"> </w:t>
      </w:r>
      <w:r w:rsidRPr="00490B49">
        <w:t>English</w:t>
      </w:r>
      <w:r>
        <w:t xml:space="preserve"> </w:t>
      </w:r>
      <w:r w:rsidRPr="00490B49">
        <w:t>as</w:t>
      </w:r>
      <w:r>
        <w:t xml:space="preserve"> </w:t>
      </w:r>
      <w:r w:rsidRPr="00490B49">
        <w:t>a</w:t>
      </w:r>
      <w:r>
        <w:t xml:space="preserve"> </w:t>
      </w:r>
      <w:r w:rsidRPr="00490B49">
        <w:t>second</w:t>
      </w:r>
      <w:r>
        <w:t xml:space="preserve"> </w:t>
      </w:r>
      <w:r w:rsidRPr="00490B49">
        <w:t>language.</w:t>
      </w:r>
    </w:p>
    <w:p w14:paraId="155B49B3" w14:textId="77777777" w:rsidR="001A70B8" w:rsidRDefault="001A70B8" w:rsidP="00101E5D">
      <w:pPr>
        <w:pStyle w:val="ARbody"/>
        <w:shd w:val="clear" w:color="auto" w:fill="FFFFFF" w:themeFill="background1"/>
      </w:pPr>
      <w:r w:rsidRPr="00490B49">
        <w:t>YEP</w:t>
      </w:r>
      <w:r>
        <w:t xml:space="preserve"> </w:t>
      </w:r>
      <w:r w:rsidRPr="00490B49">
        <w:t>participants</w:t>
      </w:r>
      <w:r>
        <w:t xml:space="preserve"> </w:t>
      </w:r>
      <w:r w:rsidRPr="00490B49">
        <w:t>are</w:t>
      </w:r>
      <w:r>
        <w:t xml:space="preserve"> </w:t>
      </w:r>
      <w:r w:rsidRPr="00490B49">
        <w:t>employed</w:t>
      </w:r>
      <w:r>
        <w:t xml:space="preserve"> </w:t>
      </w:r>
      <w:r w:rsidRPr="00490B49">
        <w:t>directly</w:t>
      </w:r>
      <w:r>
        <w:t xml:space="preserve"> </w:t>
      </w:r>
      <w:r w:rsidRPr="00490B49">
        <w:t>by</w:t>
      </w:r>
      <w:r>
        <w:t xml:space="preserve"> </w:t>
      </w:r>
      <w:r w:rsidRPr="00490B49">
        <w:t>departments</w:t>
      </w:r>
      <w:r>
        <w:t xml:space="preserve"> </w:t>
      </w:r>
      <w:r w:rsidRPr="00490B49">
        <w:t>and</w:t>
      </w:r>
      <w:r>
        <w:t xml:space="preserve"> </w:t>
      </w:r>
      <w:r w:rsidRPr="00490B49">
        <w:t>hospitals.</w:t>
      </w:r>
      <w:r>
        <w:t xml:space="preserve"> </w:t>
      </w:r>
      <w:r w:rsidRPr="00490B49">
        <w:t>These</w:t>
      </w:r>
      <w:r>
        <w:t xml:space="preserve"> </w:t>
      </w:r>
      <w:r w:rsidRPr="00490B49">
        <w:t>placements</w:t>
      </w:r>
      <w:r>
        <w:t xml:space="preserve"> </w:t>
      </w:r>
      <w:r w:rsidRPr="00490B49">
        <w:t>allow</w:t>
      </w:r>
      <w:r>
        <w:t xml:space="preserve"> </w:t>
      </w:r>
      <w:r w:rsidRPr="00490B49">
        <w:t>participants</w:t>
      </w:r>
      <w:r>
        <w:t xml:space="preserve"> </w:t>
      </w:r>
      <w:r w:rsidRPr="00490B49">
        <w:t>to</w:t>
      </w:r>
      <w:r>
        <w:t xml:space="preserve"> </w:t>
      </w:r>
      <w:r w:rsidRPr="00490B49">
        <w:t>have</w:t>
      </w:r>
      <w:r>
        <w:t xml:space="preserve"> </w:t>
      </w:r>
      <w:r w:rsidRPr="00490B49">
        <w:t>paid</w:t>
      </w:r>
      <w:r>
        <w:t xml:space="preserve"> </w:t>
      </w:r>
      <w:r w:rsidRPr="00490B49">
        <w:t>employment</w:t>
      </w:r>
      <w:r>
        <w:t xml:space="preserve"> </w:t>
      </w:r>
      <w:r w:rsidRPr="00490B49">
        <w:t>while</w:t>
      </w:r>
      <w:r>
        <w:t xml:space="preserve"> </w:t>
      </w:r>
      <w:r w:rsidRPr="00490B49">
        <w:t>attaining</w:t>
      </w:r>
      <w:r>
        <w:t xml:space="preserve"> </w:t>
      </w:r>
      <w:r w:rsidRPr="00490B49">
        <w:t>a</w:t>
      </w:r>
      <w:r>
        <w:t xml:space="preserve"> </w:t>
      </w:r>
      <w:r w:rsidRPr="00490B49">
        <w:t>qualification.</w:t>
      </w:r>
    </w:p>
    <w:p w14:paraId="6A271EE8" w14:textId="20ED2DA1" w:rsidR="001A70B8" w:rsidRDefault="001A70B8" w:rsidP="00101E5D">
      <w:pPr>
        <w:pStyle w:val="ARbody"/>
        <w:shd w:val="clear" w:color="auto" w:fill="FFFFFF" w:themeFill="background1"/>
      </w:pPr>
      <w:r w:rsidRPr="00490B49">
        <w:t>The</w:t>
      </w:r>
      <w:r>
        <w:t xml:space="preserve"> </w:t>
      </w:r>
      <w:r w:rsidRPr="00490B49">
        <w:t>placements</w:t>
      </w:r>
      <w:r>
        <w:t xml:space="preserve"> </w:t>
      </w:r>
      <w:r w:rsidRPr="00490B49">
        <w:t>started</w:t>
      </w:r>
      <w:r>
        <w:t xml:space="preserve"> </w:t>
      </w:r>
      <w:r w:rsidR="00B77D1C">
        <w:t xml:space="preserve">in </w:t>
      </w:r>
      <w:r w:rsidRPr="00490B49">
        <w:t>September</w:t>
      </w:r>
      <w:r>
        <w:t xml:space="preserve"> </w:t>
      </w:r>
      <w:r w:rsidRPr="00490B49">
        <w:t>2020</w:t>
      </w:r>
      <w:r>
        <w:t xml:space="preserve"> – </w:t>
      </w:r>
      <w:r w:rsidRPr="00490B49">
        <w:t>47</w:t>
      </w:r>
      <w:r w:rsidR="000D06B0">
        <w:t> </w:t>
      </w:r>
      <w:r w:rsidRPr="00490B49">
        <w:t>fully</w:t>
      </w:r>
      <w:r>
        <w:t xml:space="preserve"> </w:t>
      </w:r>
      <w:r w:rsidRPr="00490B49">
        <w:t>funded</w:t>
      </w:r>
      <w:r>
        <w:t xml:space="preserve"> </w:t>
      </w:r>
      <w:r w:rsidRPr="00490B49">
        <w:t>placements</w:t>
      </w:r>
      <w:r>
        <w:t xml:space="preserve"> </w:t>
      </w:r>
      <w:r w:rsidRPr="00490B49">
        <w:t>were</w:t>
      </w:r>
      <w:r>
        <w:t xml:space="preserve"> </w:t>
      </w:r>
      <w:r w:rsidRPr="00490B49">
        <w:t>approved,</w:t>
      </w:r>
      <w:r>
        <w:t xml:space="preserve"> </w:t>
      </w:r>
      <w:r w:rsidRPr="00490B49">
        <w:t>of</w:t>
      </w:r>
      <w:r>
        <w:t xml:space="preserve"> </w:t>
      </w:r>
      <w:r w:rsidRPr="00490B49">
        <w:t>which</w:t>
      </w:r>
      <w:r>
        <w:t xml:space="preserve"> </w:t>
      </w:r>
      <w:r w:rsidRPr="00490B49">
        <w:t>39</w:t>
      </w:r>
      <w:r>
        <w:t xml:space="preserve"> </w:t>
      </w:r>
      <w:r w:rsidRPr="00490B49">
        <w:t>were</w:t>
      </w:r>
      <w:r>
        <w:t xml:space="preserve"> </w:t>
      </w:r>
      <w:r w:rsidRPr="00490B49">
        <w:t>12-month</w:t>
      </w:r>
      <w:r>
        <w:t xml:space="preserve"> </w:t>
      </w:r>
      <w:r w:rsidRPr="00490B49">
        <w:t>placements</w:t>
      </w:r>
      <w:r>
        <w:t xml:space="preserve"> </w:t>
      </w:r>
      <w:r w:rsidRPr="00490B49">
        <w:t>and</w:t>
      </w:r>
      <w:r>
        <w:t xml:space="preserve"> </w:t>
      </w:r>
      <w:r w:rsidRPr="00490B49">
        <w:t>8</w:t>
      </w:r>
      <w:r>
        <w:t xml:space="preserve"> </w:t>
      </w:r>
      <w:r w:rsidRPr="00490B49">
        <w:t>were</w:t>
      </w:r>
      <w:r>
        <w:t xml:space="preserve"> </w:t>
      </w:r>
      <w:r w:rsidRPr="00490B49">
        <w:t>nine-month</w:t>
      </w:r>
      <w:r>
        <w:t xml:space="preserve"> </w:t>
      </w:r>
      <w:r w:rsidRPr="00490B49">
        <w:t>placements.</w:t>
      </w:r>
      <w:r>
        <w:t xml:space="preserve"> </w:t>
      </w:r>
      <w:r w:rsidRPr="00490B49">
        <w:t>During</w:t>
      </w:r>
      <w:r>
        <w:t xml:space="preserve"> </w:t>
      </w:r>
      <w:r w:rsidRPr="00490B49">
        <w:t>2021</w:t>
      </w:r>
      <w:r>
        <w:t>–</w:t>
      </w:r>
      <w:r w:rsidRPr="00490B49">
        <w:t>2022</w:t>
      </w:r>
      <w:r>
        <w:t xml:space="preserve"> </w:t>
      </w:r>
      <w:r w:rsidR="00F37F7D">
        <w:t xml:space="preserve">the department </w:t>
      </w:r>
      <w:r w:rsidRPr="00490B49">
        <w:t>engaged</w:t>
      </w:r>
      <w:r>
        <w:t xml:space="preserve"> </w:t>
      </w:r>
      <w:r w:rsidRPr="00490B49">
        <w:t>a</w:t>
      </w:r>
      <w:r>
        <w:t xml:space="preserve"> </w:t>
      </w:r>
      <w:r w:rsidRPr="00490B49">
        <w:t>further</w:t>
      </w:r>
      <w:r>
        <w:t xml:space="preserve"> </w:t>
      </w:r>
      <w:r w:rsidRPr="00490B49">
        <w:t>22</w:t>
      </w:r>
      <w:r>
        <w:t xml:space="preserve"> </w:t>
      </w:r>
      <w:r w:rsidRPr="00490B49">
        <w:t>YEP</w:t>
      </w:r>
      <w:r>
        <w:t xml:space="preserve"> </w:t>
      </w:r>
      <w:r w:rsidRPr="00490B49">
        <w:t>candidates.</w:t>
      </w:r>
    </w:p>
    <w:p w14:paraId="79D9A409" w14:textId="23CB8665" w:rsidR="001A70B8" w:rsidRDefault="00791B26" w:rsidP="00101E5D">
      <w:pPr>
        <w:pStyle w:val="ARbody"/>
        <w:shd w:val="clear" w:color="auto" w:fill="FFFFFF" w:themeFill="background1"/>
      </w:pPr>
      <w:r>
        <w:t>This year’s</w:t>
      </w:r>
      <w:r w:rsidR="001A70B8">
        <w:t xml:space="preserve"> </w:t>
      </w:r>
      <w:r w:rsidR="001A70B8" w:rsidRPr="00490B49">
        <w:t>YEP</w:t>
      </w:r>
      <w:r w:rsidR="001A70B8">
        <w:t xml:space="preserve"> </w:t>
      </w:r>
      <w:r w:rsidR="001A70B8" w:rsidRPr="00490B49">
        <w:t>candidates</w:t>
      </w:r>
      <w:r w:rsidR="001A70B8">
        <w:t xml:space="preserve"> </w:t>
      </w:r>
      <w:r w:rsidR="001A70B8" w:rsidRPr="00490B49">
        <w:t>included</w:t>
      </w:r>
      <w:r w:rsidR="001A70B8">
        <w:t xml:space="preserve"> </w:t>
      </w:r>
      <w:r w:rsidR="001A70B8" w:rsidRPr="00490B49">
        <w:t>tertiary-qualified</w:t>
      </w:r>
      <w:r w:rsidR="001A70B8">
        <w:t xml:space="preserve"> </w:t>
      </w:r>
      <w:r w:rsidR="00B77D1C">
        <w:t xml:space="preserve">people </w:t>
      </w:r>
      <w:r w:rsidR="001A70B8" w:rsidRPr="00490B49">
        <w:t>and</w:t>
      </w:r>
      <w:r w:rsidR="001A70B8">
        <w:t xml:space="preserve"> </w:t>
      </w:r>
      <w:r w:rsidR="001A70B8" w:rsidRPr="00490B49">
        <w:t>young</w:t>
      </w:r>
      <w:r w:rsidR="001A70B8">
        <w:t xml:space="preserve"> </w:t>
      </w:r>
      <w:r w:rsidR="001A70B8" w:rsidRPr="00490B49">
        <w:t>people</w:t>
      </w:r>
      <w:r w:rsidR="001A70B8">
        <w:t xml:space="preserve"> </w:t>
      </w:r>
      <w:r w:rsidR="001A70B8" w:rsidRPr="00490B49">
        <w:t>with</w:t>
      </w:r>
      <w:r w:rsidR="001A70B8">
        <w:t xml:space="preserve"> </w:t>
      </w:r>
      <w:r w:rsidR="001A70B8" w:rsidRPr="00490B49">
        <w:t>substantial</w:t>
      </w:r>
      <w:r w:rsidR="001A70B8">
        <w:t xml:space="preserve"> </w:t>
      </w:r>
      <w:r w:rsidR="001A70B8" w:rsidRPr="00490B49">
        <w:t>work</w:t>
      </w:r>
      <w:r w:rsidR="001A70B8">
        <w:t xml:space="preserve"> </w:t>
      </w:r>
      <w:r w:rsidR="001A70B8" w:rsidRPr="00490B49">
        <w:t>experience,</w:t>
      </w:r>
      <w:r w:rsidR="001A70B8">
        <w:t xml:space="preserve"> </w:t>
      </w:r>
      <w:r w:rsidR="001A70B8" w:rsidRPr="00490B49">
        <w:t>several</w:t>
      </w:r>
      <w:r w:rsidR="001A70B8">
        <w:t xml:space="preserve"> </w:t>
      </w:r>
      <w:r w:rsidR="001A70B8" w:rsidRPr="00490B49">
        <w:t>of</w:t>
      </w:r>
      <w:r w:rsidR="001A70B8">
        <w:t xml:space="preserve"> </w:t>
      </w:r>
      <w:r w:rsidR="001A70B8" w:rsidRPr="00490B49">
        <w:t>whom</w:t>
      </w:r>
      <w:r w:rsidR="001A70B8">
        <w:t xml:space="preserve"> </w:t>
      </w:r>
      <w:r w:rsidR="001A70B8" w:rsidRPr="00490B49">
        <w:t>have</w:t>
      </w:r>
      <w:r w:rsidR="001A70B8">
        <w:t xml:space="preserve"> </w:t>
      </w:r>
      <w:r w:rsidR="001A70B8" w:rsidRPr="00490B49">
        <w:t>moved</w:t>
      </w:r>
      <w:r w:rsidR="001A70B8">
        <w:t xml:space="preserve"> </w:t>
      </w:r>
      <w:r w:rsidR="001A70B8" w:rsidRPr="00490B49">
        <w:t>on</w:t>
      </w:r>
      <w:r w:rsidR="001A70B8">
        <w:t xml:space="preserve"> </w:t>
      </w:r>
      <w:r w:rsidR="001A70B8" w:rsidRPr="00490B49">
        <w:t>to</w:t>
      </w:r>
      <w:r w:rsidR="001A70B8">
        <w:t xml:space="preserve"> </w:t>
      </w:r>
      <w:r w:rsidR="001A70B8" w:rsidRPr="00490B49">
        <w:t>higher</w:t>
      </w:r>
      <w:r w:rsidR="001A70B8">
        <w:t xml:space="preserve"> </w:t>
      </w:r>
      <w:r w:rsidR="001A70B8" w:rsidRPr="00490B49">
        <w:t>VPS</w:t>
      </w:r>
      <w:r w:rsidR="001A70B8">
        <w:t xml:space="preserve"> </w:t>
      </w:r>
      <w:r w:rsidR="001A70B8" w:rsidRPr="00490B49">
        <w:t>grade</w:t>
      </w:r>
      <w:r w:rsidR="001A70B8">
        <w:t xml:space="preserve"> </w:t>
      </w:r>
      <w:r w:rsidR="001A70B8" w:rsidRPr="00490B49">
        <w:t>levels.</w:t>
      </w:r>
      <w:r w:rsidR="001A70B8">
        <w:t xml:space="preserve"> </w:t>
      </w:r>
      <w:r w:rsidR="00B77D1C">
        <w:t xml:space="preserve">Of the </w:t>
      </w:r>
      <w:r w:rsidR="004D4D20">
        <w:t>2021–22</w:t>
      </w:r>
      <w:r w:rsidR="00B77D1C">
        <w:t xml:space="preserve"> intake,</w:t>
      </w:r>
      <w:r w:rsidR="001A70B8">
        <w:t xml:space="preserve"> </w:t>
      </w:r>
      <w:r w:rsidR="001A70B8" w:rsidRPr="00490B49">
        <w:t>41</w:t>
      </w:r>
      <w:r w:rsidR="000D06B0">
        <w:t> </w:t>
      </w:r>
      <w:r w:rsidR="00B77D1C">
        <w:t>per</w:t>
      </w:r>
      <w:r w:rsidR="00D94909">
        <w:t xml:space="preserve"> </w:t>
      </w:r>
      <w:r w:rsidR="00B77D1C">
        <w:t>cent</w:t>
      </w:r>
      <w:r w:rsidR="001A70B8">
        <w:t xml:space="preserve"> </w:t>
      </w:r>
      <w:r w:rsidR="001A70B8" w:rsidRPr="00490B49">
        <w:t>advanced</w:t>
      </w:r>
      <w:r w:rsidR="001A70B8">
        <w:t xml:space="preserve"> </w:t>
      </w:r>
      <w:r w:rsidR="001A70B8" w:rsidRPr="00490B49">
        <w:t>to</w:t>
      </w:r>
      <w:r w:rsidR="001A70B8">
        <w:t xml:space="preserve"> </w:t>
      </w:r>
      <w:r w:rsidR="001A70B8" w:rsidRPr="00490B49">
        <w:t>long-term</w:t>
      </w:r>
      <w:r w:rsidR="001A70B8">
        <w:t xml:space="preserve"> </w:t>
      </w:r>
      <w:r w:rsidR="001A70B8" w:rsidRPr="00490B49">
        <w:t>VPS</w:t>
      </w:r>
      <w:r w:rsidR="001A70B8">
        <w:t xml:space="preserve"> </w:t>
      </w:r>
      <w:r w:rsidR="001A70B8" w:rsidRPr="00490B49">
        <w:t>employment</w:t>
      </w:r>
      <w:r w:rsidR="00B77D1C">
        <w:t>, including six</w:t>
      </w:r>
      <w:r w:rsidR="001A70B8">
        <w:t xml:space="preserve"> </w:t>
      </w:r>
      <w:r w:rsidR="00B77D1C">
        <w:t xml:space="preserve">who </w:t>
      </w:r>
      <w:r w:rsidR="001A70B8" w:rsidRPr="00490B49">
        <w:t>now</w:t>
      </w:r>
      <w:r w:rsidR="001A70B8">
        <w:t xml:space="preserve"> </w:t>
      </w:r>
      <w:r w:rsidR="001A70B8" w:rsidRPr="00490B49">
        <w:t>have</w:t>
      </w:r>
      <w:r w:rsidR="001A70B8">
        <w:t xml:space="preserve"> </w:t>
      </w:r>
      <w:r w:rsidR="001A70B8" w:rsidRPr="00490B49">
        <w:t>ongoing</w:t>
      </w:r>
      <w:r w:rsidR="000D06B0">
        <w:t> </w:t>
      </w:r>
      <w:r w:rsidR="001A70B8" w:rsidRPr="00490B49">
        <w:t>VPS</w:t>
      </w:r>
      <w:r w:rsidR="001A70B8">
        <w:t xml:space="preserve"> </w:t>
      </w:r>
      <w:r w:rsidR="001A70B8" w:rsidRPr="00490B49">
        <w:t>positions</w:t>
      </w:r>
      <w:r w:rsidR="001A70B8">
        <w:t xml:space="preserve"> </w:t>
      </w:r>
      <w:r w:rsidR="001A70B8" w:rsidRPr="00490B49">
        <w:t>in</w:t>
      </w:r>
      <w:r w:rsidR="001A70B8">
        <w:t xml:space="preserve"> the department.</w:t>
      </w:r>
    </w:p>
    <w:p w14:paraId="2D76F3D8" w14:textId="77777777" w:rsidR="001A70B8" w:rsidRDefault="001A70B8" w:rsidP="00101E5D">
      <w:pPr>
        <w:pStyle w:val="Heading4"/>
      </w:pPr>
      <w:r w:rsidRPr="00490B49">
        <w:t>Career</w:t>
      </w:r>
      <w:r>
        <w:t xml:space="preserve"> </w:t>
      </w:r>
      <w:r w:rsidRPr="00490B49">
        <w:t>Trackers</w:t>
      </w:r>
      <w:r>
        <w:t xml:space="preserve"> </w:t>
      </w:r>
      <w:r w:rsidRPr="00490B49">
        <w:t>and</w:t>
      </w:r>
      <w:r>
        <w:t xml:space="preserve"> </w:t>
      </w:r>
      <w:r w:rsidRPr="00490B49">
        <w:t>Career</w:t>
      </w:r>
      <w:r>
        <w:t xml:space="preserve"> </w:t>
      </w:r>
      <w:r w:rsidRPr="00490B49">
        <w:t>Seekers</w:t>
      </w:r>
    </w:p>
    <w:p w14:paraId="477561A3" w14:textId="7886582E" w:rsidR="001A70B8" w:rsidRDefault="001A70B8" w:rsidP="00101E5D">
      <w:pPr>
        <w:pStyle w:val="ARbody"/>
        <w:shd w:val="clear" w:color="auto" w:fill="FFFFFF" w:themeFill="background1"/>
      </w:pPr>
      <w:r w:rsidRPr="00490B49">
        <w:t>The</w:t>
      </w:r>
      <w:r>
        <w:t xml:space="preserve"> </w:t>
      </w:r>
      <w:r w:rsidRPr="00490B49">
        <w:t>department</w:t>
      </w:r>
      <w:r>
        <w:t xml:space="preserve"> </w:t>
      </w:r>
      <w:r w:rsidRPr="00490B49">
        <w:t>is</w:t>
      </w:r>
      <w:r>
        <w:t xml:space="preserve"> </w:t>
      </w:r>
      <w:r w:rsidRPr="00490B49">
        <w:t>committed</w:t>
      </w:r>
      <w:r>
        <w:t xml:space="preserve"> </w:t>
      </w:r>
      <w:r w:rsidRPr="00490B49">
        <w:t>to</w:t>
      </w:r>
      <w:r>
        <w:t xml:space="preserve"> </w:t>
      </w:r>
      <w:r w:rsidRPr="00490B49">
        <w:t>supporting</w:t>
      </w:r>
      <w:r>
        <w:t xml:space="preserve"> </w:t>
      </w:r>
      <w:r w:rsidRPr="00490B49">
        <w:t>employment</w:t>
      </w:r>
      <w:r>
        <w:t xml:space="preserve"> </w:t>
      </w:r>
      <w:r w:rsidRPr="00490B49">
        <w:t>pathways</w:t>
      </w:r>
      <w:r>
        <w:t xml:space="preserve"> </w:t>
      </w:r>
      <w:r w:rsidRPr="00490B49">
        <w:t>for</w:t>
      </w:r>
      <w:r>
        <w:t xml:space="preserve"> </w:t>
      </w:r>
      <w:r w:rsidRPr="00490B49">
        <w:t>asylum</w:t>
      </w:r>
      <w:r>
        <w:t xml:space="preserve"> </w:t>
      </w:r>
      <w:r w:rsidRPr="00490B49">
        <w:t>seekers</w:t>
      </w:r>
      <w:r>
        <w:t xml:space="preserve"> </w:t>
      </w:r>
      <w:r w:rsidRPr="00490B49">
        <w:t>and</w:t>
      </w:r>
      <w:r>
        <w:t xml:space="preserve"> </w:t>
      </w:r>
      <w:r w:rsidRPr="00490B49">
        <w:t>refugees</w:t>
      </w:r>
      <w:r>
        <w:t xml:space="preserve"> </w:t>
      </w:r>
      <w:r w:rsidRPr="00490B49">
        <w:t>though</w:t>
      </w:r>
      <w:r>
        <w:t xml:space="preserve"> </w:t>
      </w:r>
      <w:r w:rsidR="00053F39">
        <w:t xml:space="preserve">its </w:t>
      </w:r>
      <w:r w:rsidRPr="00490B49">
        <w:t>ongoing</w:t>
      </w:r>
      <w:r>
        <w:t xml:space="preserve"> </w:t>
      </w:r>
      <w:r w:rsidRPr="00490B49">
        <w:t>participation</w:t>
      </w:r>
      <w:r>
        <w:t xml:space="preserve"> </w:t>
      </w:r>
      <w:r w:rsidRPr="00490B49">
        <w:t>in</w:t>
      </w:r>
      <w:r>
        <w:t xml:space="preserve"> </w:t>
      </w:r>
      <w:r w:rsidRPr="00490B49">
        <w:t>the</w:t>
      </w:r>
      <w:r>
        <w:t xml:space="preserve"> </w:t>
      </w:r>
      <w:r w:rsidRPr="00490B49">
        <w:t>Career</w:t>
      </w:r>
      <w:r w:rsidR="001044AF">
        <w:t xml:space="preserve"> </w:t>
      </w:r>
      <w:r w:rsidRPr="00490B49">
        <w:t>Seeker</w:t>
      </w:r>
      <w:r>
        <w:t xml:space="preserve"> </w:t>
      </w:r>
      <w:r w:rsidRPr="00490B49">
        <w:t>Program.</w:t>
      </w:r>
      <w:r>
        <w:t xml:space="preserve"> </w:t>
      </w:r>
      <w:r w:rsidR="00E111F8">
        <w:t>The department has</w:t>
      </w:r>
      <w:r>
        <w:t xml:space="preserve"> </w:t>
      </w:r>
      <w:r w:rsidRPr="00490B49">
        <w:t>also</w:t>
      </w:r>
      <w:r w:rsidR="000D06B0">
        <w:t> </w:t>
      </w:r>
      <w:r w:rsidRPr="00490B49">
        <w:t>continued</w:t>
      </w:r>
      <w:r>
        <w:t xml:space="preserve"> </w:t>
      </w:r>
      <w:r w:rsidR="00E111F8">
        <w:t>its</w:t>
      </w:r>
      <w:r>
        <w:t xml:space="preserve"> </w:t>
      </w:r>
      <w:r w:rsidRPr="00490B49">
        <w:t>Career</w:t>
      </w:r>
      <w:r w:rsidR="001044AF">
        <w:t xml:space="preserve"> </w:t>
      </w:r>
      <w:r w:rsidRPr="00490B49">
        <w:t>Trackers</w:t>
      </w:r>
      <w:r>
        <w:t xml:space="preserve"> </w:t>
      </w:r>
      <w:r w:rsidR="00A306FA">
        <w:t>P</w:t>
      </w:r>
      <w:r w:rsidRPr="00490B49">
        <w:t>rogram</w:t>
      </w:r>
      <w:r>
        <w:t xml:space="preserve"> </w:t>
      </w:r>
      <w:r w:rsidRPr="00490B49">
        <w:t>for</w:t>
      </w:r>
      <w:r>
        <w:t xml:space="preserve"> </w:t>
      </w:r>
      <w:r w:rsidRPr="00490B49">
        <w:t>Aboriginal</w:t>
      </w:r>
      <w:r>
        <w:t xml:space="preserve"> </w:t>
      </w:r>
      <w:r w:rsidRPr="00490B49">
        <w:t>university</w:t>
      </w:r>
      <w:r>
        <w:t xml:space="preserve"> </w:t>
      </w:r>
      <w:r w:rsidRPr="00490B49">
        <w:t>students</w:t>
      </w:r>
      <w:r w:rsidR="001044AF">
        <w:t>,</w:t>
      </w:r>
      <w:r>
        <w:t xml:space="preserve"> </w:t>
      </w:r>
      <w:r w:rsidRPr="00490B49">
        <w:t>supporting</w:t>
      </w:r>
      <w:r>
        <w:t xml:space="preserve"> </w:t>
      </w:r>
      <w:r w:rsidRPr="00490B49">
        <w:t>students</w:t>
      </w:r>
      <w:r>
        <w:t xml:space="preserve"> </w:t>
      </w:r>
      <w:r w:rsidRPr="00490B49">
        <w:t>to</w:t>
      </w:r>
      <w:r>
        <w:t xml:space="preserve"> </w:t>
      </w:r>
      <w:r w:rsidRPr="00490B49">
        <w:t>gain</w:t>
      </w:r>
      <w:r>
        <w:t xml:space="preserve"> </w:t>
      </w:r>
      <w:r w:rsidRPr="00490B49">
        <w:t>valuable</w:t>
      </w:r>
      <w:r>
        <w:t xml:space="preserve"> </w:t>
      </w:r>
      <w:r w:rsidRPr="00490B49">
        <w:t>work</w:t>
      </w:r>
      <w:r>
        <w:t xml:space="preserve"> </w:t>
      </w:r>
      <w:r w:rsidRPr="00490B49">
        <w:t>experience.</w:t>
      </w:r>
    </w:p>
    <w:p w14:paraId="7D2F7E95" w14:textId="77777777" w:rsidR="001A70B8" w:rsidRDefault="001A70B8" w:rsidP="00101E5D">
      <w:pPr>
        <w:pStyle w:val="ARbody"/>
      </w:pPr>
      <w:r>
        <w:br w:type="page"/>
      </w:r>
    </w:p>
    <w:p w14:paraId="22180833" w14:textId="77777777" w:rsidR="001A70B8" w:rsidRPr="00B64216" w:rsidRDefault="001A70B8" w:rsidP="00101E5D">
      <w:pPr>
        <w:pStyle w:val="Heading2"/>
        <w:shd w:val="clear" w:color="auto" w:fill="FFFFFF" w:themeFill="background1"/>
        <w:spacing w:before="0"/>
        <w:rPr>
          <w:rFonts w:cs="Arial"/>
        </w:rPr>
      </w:pPr>
      <w:bookmarkStart w:id="290" w:name="_Ref84252320"/>
      <w:bookmarkStart w:id="291" w:name="_Toc85121254"/>
      <w:bookmarkStart w:id="292" w:name="_Toc85121613"/>
      <w:bookmarkStart w:id="293" w:name="_Toc102734490"/>
      <w:bookmarkStart w:id="294" w:name="_Toc113702926"/>
      <w:r w:rsidRPr="00B64216">
        <w:rPr>
          <w:rFonts w:cs="Arial"/>
        </w:rPr>
        <w:t>Occupational</w:t>
      </w:r>
      <w:r>
        <w:rPr>
          <w:rFonts w:cs="Arial"/>
        </w:rPr>
        <w:t xml:space="preserve"> </w:t>
      </w:r>
      <w:r w:rsidRPr="00B64216">
        <w:rPr>
          <w:rFonts w:cs="Arial"/>
        </w:rPr>
        <w:t>health</w:t>
      </w:r>
      <w:r>
        <w:rPr>
          <w:rFonts w:cs="Arial"/>
        </w:rPr>
        <w:t xml:space="preserve"> </w:t>
      </w:r>
      <w:r w:rsidRPr="00B64216">
        <w:rPr>
          <w:rFonts w:cs="Arial"/>
        </w:rPr>
        <w:t>and</w:t>
      </w:r>
      <w:r>
        <w:rPr>
          <w:rFonts w:cs="Arial"/>
        </w:rPr>
        <w:t xml:space="preserve"> </w:t>
      </w:r>
      <w:r w:rsidRPr="00B64216">
        <w:rPr>
          <w:rFonts w:cs="Arial"/>
        </w:rPr>
        <w:t>safety</w:t>
      </w:r>
      <w:bookmarkEnd w:id="290"/>
      <w:bookmarkEnd w:id="291"/>
      <w:bookmarkEnd w:id="292"/>
      <w:bookmarkEnd w:id="293"/>
      <w:bookmarkEnd w:id="294"/>
    </w:p>
    <w:p w14:paraId="0EFF5FED" w14:textId="0A787FFF" w:rsidR="001A70B8" w:rsidRDefault="001A70B8" w:rsidP="00101E5D">
      <w:pPr>
        <w:pStyle w:val="ARbody"/>
      </w:pPr>
      <w:r w:rsidRPr="006D75DF">
        <w:t>The</w:t>
      </w:r>
      <w:r>
        <w:t xml:space="preserve"> </w:t>
      </w:r>
      <w:r w:rsidRPr="006D75DF">
        <w:t>department</w:t>
      </w:r>
      <w:r>
        <w:t xml:space="preserve"> </w:t>
      </w:r>
      <w:r w:rsidRPr="006D75DF">
        <w:t>is</w:t>
      </w:r>
      <w:r>
        <w:t xml:space="preserve"> </w:t>
      </w:r>
      <w:r w:rsidRPr="006D75DF">
        <w:t>committed</w:t>
      </w:r>
      <w:r>
        <w:t xml:space="preserve"> </w:t>
      </w:r>
      <w:r w:rsidRPr="006D75DF">
        <w:t>to</w:t>
      </w:r>
      <w:r>
        <w:t xml:space="preserve"> </w:t>
      </w:r>
      <w:r w:rsidRPr="006D75DF">
        <w:t>the</w:t>
      </w:r>
      <w:r>
        <w:t xml:space="preserve"> </w:t>
      </w:r>
      <w:r w:rsidRPr="006D75DF">
        <w:t>health,</w:t>
      </w:r>
      <w:r>
        <w:t xml:space="preserve"> </w:t>
      </w:r>
      <w:r w:rsidRPr="006D75DF">
        <w:t>safety</w:t>
      </w:r>
      <w:r>
        <w:t xml:space="preserve"> </w:t>
      </w:r>
      <w:r w:rsidRPr="006D75DF">
        <w:t>and</w:t>
      </w:r>
      <w:r>
        <w:t xml:space="preserve"> </w:t>
      </w:r>
      <w:r w:rsidRPr="006D75DF">
        <w:t>wellbeing</w:t>
      </w:r>
      <w:r>
        <w:t xml:space="preserve"> </w:t>
      </w:r>
      <w:r w:rsidRPr="006D75DF">
        <w:t>of</w:t>
      </w:r>
      <w:r>
        <w:t xml:space="preserve"> </w:t>
      </w:r>
      <w:r w:rsidRPr="006D75DF">
        <w:t>its</w:t>
      </w:r>
      <w:r>
        <w:t xml:space="preserve"> </w:t>
      </w:r>
      <w:r w:rsidRPr="006D75DF">
        <w:t>workforce</w:t>
      </w:r>
      <w:r>
        <w:t xml:space="preserve"> </w:t>
      </w:r>
      <w:r w:rsidRPr="006D75DF">
        <w:t>to</w:t>
      </w:r>
      <w:r>
        <w:t xml:space="preserve"> </w:t>
      </w:r>
      <w:r w:rsidRPr="006D75DF">
        <w:t>effectively</w:t>
      </w:r>
      <w:r>
        <w:t xml:space="preserve"> </w:t>
      </w:r>
      <w:r w:rsidRPr="006D75DF">
        <w:t>deliver</w:t>
      </w:r>
      <w:r>
        <w:t xml:space="preserve"> </w:t>
      </w:r>
      <w:r w:rsidRPr="006D75DF">
        <w:t>successful</w:t>
      </w:r>
      <w:r>
        <w:t xml:space="preserve"> </w:t>
      </w:r>
      <w:r w:rsidRPr="006D75DF">
        <w:t>and</w:t>
      </w:r>
      <w:r>
        <w:t xml:space="preserve"> </w:t>
      </w:r>
      <w:r w:rsidRPr="006D75DF">
        <w:t>sustainable</w:t>
      </w:r>
      <w:r>
        <w:t xml:space="preserve"> </w:t>
      </w:r>
      <w:r w:rsidRPr="006D75DF">
        <w:t>health</w:t>
      </w:r>
      <w:r>
        <w:t xml:space="preserve"> </w:t>
      </w:r>
      <w:r w:rsidRPr="006D75DF">
        <w:t>outcomes</w:t>
      </w:r>
      <w:r>
        <w:t xml:space="preserve"> </w:t>
      </w:r>
      <w:r w:rsidRPr="006D75DF">
        <w:t>for</w:t>
      </w:r>
      <w:r>
        <w:t xml:space="preserve"> </w:t>
      </w:r>
      <w:r w:rsidRPr="006D75DF">
        <w:t>all</w:t>
      </w:r>
      <w:r>
        <w:t xml:space="preserve"> </w:t>
      </w:r>
      <w:r w:rsidRPr="006D75DF">
        <w:t>Victorians</w:t>
      </w:r>
      <w:r w:rsidR="0035368D">
        <w:t xml:space="preserve"> – by taking a </w:t>
      </w:r>
      <w:r w:rsidRPr="00794B28">
        <w:t xml:space="preserve">holistic view </w:t>
      </w:r>
      <w:r w:rsidR="001044AF" w:rsidRPr="00794B28">
        <w:t xml:space="preserve">of </w:t>
      </w:r>
      <w:r w:rsidRPr="00794B28">
        <w:t>employee health, safety and wellbeing</w:t>
      </w:r>
      <w:r w:rsidR="00BB40D5">
        <w:t>,</w:t>
      </w:r>
      <w:r w:rsidR="006E7344">
        <w:t xml:space="preserve"> and by</w:t>
      </w:r>
      <w:r w:rsidR="000A2960" w:rsidRPr="00DE26E7">
        <w:t xml:space="preserve"> </w:t>
      </w:r>
      <w:r w:rsidRPr="00794B28">
        <w:t>focusing on prevention</w:t>
      </w:r>
      <w:r w:rsidR="00BB40D5">
        <w:t xml:space="preserve"> and</w:t>
      </w:r>
      <w:r w:rsidRPr="00794B28">
        <w:t xml:space="preserve"> early intervention</w:t>
      </w:r>
      <w:r w:rsidR="00E111F8">
        <w:t xml:space="preserve">. </w:t>
      </w:r>
      <w:r w:rsidRPr="00DE26E7">
        <w:t>The department has assigned clear safety responsibilities and accountabilities</w:t>
      </w:r>
      <w:r w:rsidR="001044AF" w:rsidRPr="00DE26E7">
        <w:t xml:space="preserve"> to </w:t>
      </w:r>
      <w:r w:rsidR="00DE26E7" w:rsidRPr="00DE26E7">
        <w:t>all staff</w:t>
      </w:r>
      <w:r w:rsidRPr="00DE26E7">
        <w:t xml:space="preserve"> so that everyone understands their auth</w:t>
      </w:r>
      <w:r w:rsidRPr="006D75DF">
        <w:t>ority,</w:t>
      </w:r>
      <w:r>
        <w:t xml:space="preserve"> </w:t>
      </w:r>
      <w:r w:rsidRPr="006D75DF">
        <w:t>agency</w:t>
      </w:r>
      <w:r>
        <w:t xml:space="preserve"> </w:t>
      </w:r>
      <w:r w:rsidRPr="006D75DF">
        <w:t>and</w:t>
      </w:r>
      <w:r>
        <w:t xml:space="preserve"> </w:t>
      </w:r>
      <w:r w:rsidRPr="006D75DF">
        <w:t>personal</w:t>
      </w:r>
      <w:r>
        <w:t xml:space="preserve"> </w:t>
      </w:r>
      <w:r w:rsidRPr="006D75DF">
        <w:t>responsibility</w:t>
      </w:r>
      <w:r>
        <w:t xml:space="preserve"> </w:t>
      </w:r>
      <w:r w:rsidRPr="006D75DF">
        <w:t>to</w:t>
      </w:r>
      <w:r>
        <w:t xml:space="preserve"> </w:t>
      </w:r>
      <w:r w:rsidRPr="006D75DF">
        <w:t>act</w:t>
      </w:r>
      <w:r>
        <w:t xml:space="preserve"> </w:t>
      </w:r>
      <w:r w:rsidRPr="006D75DF">
        <w:t>to</w:t>
      </w:r>
      <w:r>
        <w:t xml:space="preserve"> </w:t>
      </w:r>
      <w:r w:rsidRPr="006D75DF">
        <w:t>support</w:t>
      </w:r>
      <w:r>
        <w:t xml:space="preserve"> </w:t>
      </w:r>
      <w:r w:rsidRPr="006D75DF">
        <w:t>their</w:t>
      </w:r>
      <w:r>
        <w:t xml:space="preserve"> </w:t>
      </w:r>
      <w:r w:rsidRPr="006D75DF">
        <w:t>own</w:t>
      </w:r>
      <w:r>
        <w:t xml:space="preserve"> </w:t>
      </w:r>
      <w:r w:rsidRPr="006D75DF">
        <w:t>safety</w:t>
      </w:r>
      <w:r>
        <w:t xml:space="preserve"> </w:t>
      </w:r>
      <w:r w:rsidRPr="006D75DF">
        <w:t>and</w:t>
      </w:r>
      <w:r>
        <w:t xml:space="preserve"> </w:t>
      </w:r>
      <w:r w:rsidRPr="006D75DF">
        <w:t>that</w:t>
      </w:r>
      <w:r>
        <w:t xml:space="preserve"> </w:t>
      </w:r>
      <w:r w:rsidRPr="006D75DF">
        <w:t>of</w:t>
      </w:r>
      <w:r>
        <w:t xml:space="preserve"> </w:t>
      </w:r>
      <w:r w:rsidRPr="006D75DF">
        <w:t>others.</w:t>
      </w:r>
    </w:p>
    <w:p w14:paraId="760FC0F0" w14:textId="115AC9D8" w:rsidR="001A70B8" w:rsidRPr="002029AF" w:rsidRDefault="001A70B8" w:rsidP="000D06B0">
      <w:pPr>
        <w:pStyle w:val="Heading3"/>
        <w:shd w:val="clear" w:color="auto" w:fill="FFFFFF" w:themeFill="background1"/>
        <w:spacing w:before="240"/>
      </w:pPr>
      <w:bookmarkStart w:id="295" w:name="_Toc85121255"/>
      <w:r w:rsidRPr="002029AF">
        <w:t>Health,</w:t>
      </w:r>
      <w:r>
        <w:t xml:space="preserve"> </w:t>
      </w:r>
      <w:r w:rsidR="001044AF">
        <w:t>s</w:t>
      </w:r>
      <w:r w:rsidRPr="002029AF">
        <w:t>afety</w:t>
      </w:r>
      <w:r>
        <w:t xml:space="preserve"> </w:t>
      </w:r>
      <w:r w:rsidRPr="002029AF">
        <w:t>and</w:t>
      </w:r>
      <w:r>
        <w:t xml:space="preserve"> </w:t>
      </w:r>
      <w:r w:rsidR="001044AF">
        <w:t>w</w:t>
      </w:r>
      <w:r w:rsidRPr="002029AF">
        <w:t>ellbeing</w:t>
      </w:r>
      <w:bookmarkEnd w:id="295"/>
    </w:p>
    <w:p w14:paraId="5569C015" w14:textId="2EF000D0" w:rsidR="001A70B8" w:rsidRDefault="001A70B8" w:rsidP="00101E5D">
      <w:pPr>
        <w:pStyle w:val="ARbody"/>
        <w:shd w:val="clear" w:color="auto" w:fill="FFFFFF" w:themeFill="background1"/>
      </w:pPr>
      <w:r w:rsidRPr="474DAF75">
        <w:rPr>
          <w:rFonts w:eastAsia="Arial"/>
          <w:szCs w:val="20"/>
        </w:rPr>
        <w:t>The</w:t>
      </w:r>
      <w:r>
        <w:rPr>
          <w:rFonts w:eastAsia="Arial"/>
          <w:szCs w:val="20"/>
        </w:rPr>
        <w:t xml:space="preserve"> </w:t>
      </w:r>
      <w:r w:rsidRPr="474DAF75">
        <w:rPr>
          <w:rFonts w:eastAsia="Arial"/>
          <w:szCs w:val="20"/>
        </w:rPr>
        <w:t>department</w:t>
      </w:r>
      <w:r>
        <w:rPr>
          <w:rFonts w:eastAsia="Arial"/>
          <w:szCs w:val="20"/>
        </w:rPr>
        <w:t xml:space="preserve"> </w:t>
      </w:r>
      <w:r w:rsidRPr="474DAF75">
        <w:rPr>
          <w:rFonts w:eastAsia="Arial"/>
          <w:szCs w:val="20"/>
        </w:rPr>
        <w:t>continues</w:t>
      </w:r>
      <w:r>
        <w:rPr>
          <w:rFonts w:eastAsia="Arial"/>
          <w:szCs w:val="20"/>
        </w:rPr>
        <w:t xml:space="preserve"> </w:t>
      </w:r>
      <w:r w:rsidRPr="474DAF75">
        <w:rPr>
          <w:rFonts w:eastAsia="Arial"/>
          <w:szCs w:val="20"/>
        </w:rPr>
        <w:t>to</w:t>
      </w:r>
      <w:r>
        <w:rPr>
          <w:rFonts w:eastAsia="Arial"/>
          <w:szCs w:val="20"/>
        </w:rPr>
        <w:t xml:space="preserve"> </w:t>
      </w:r>
      <w:r w:rsidRPr="474DAF75">
        <w:rPr>
          <w:rFonts w:eastAsia="Arial"/>
          <w:szCs w:val="20"/>
        </w:rPr>
        <w:t>offer</w:t>
      </w:r>
      <w:r>
        <w:rPr>
          <w:rFonts w:eastAsia="Arial"/>
          <w:szCs w:val="20"/>
        </w:rPr>
        <w:t xml:space="preserve"> </w:t>
      </w:r>
      <w:r w:rsidRPr="474DAF75">
        <w:rPr>
          <w:rFonts w:eastAsia="Arial"/>
          <w:szCs w:val="20"/>
        </w:rPr>
        <w:t>a</w:t>
      </w:r>
      <w:r>
        <w:rPr>
          <w:rFonts w:eastAsia="Arial"/>
          <w:szCs w:val="20"/>
        </w:rPr>
        <w:t xml:space="preserve"> </w:t>
      </w:r>
      <w:r w:rsidRPr="474DAF75">
        <w:rPr>
          <w:rFonts w:eastAsia="Arial"/>
          <w:szCs w:val="20"/>
        </w:rPr>
        <w:t>range</w:t>
      </w:r>
      <w:r>
        <w:rPr>
          <w:rFonts w:eastAsia="Arial"/>
          <w:szCs w:val="20"/>
        </w:rPr>
        <w:t xml:space="preserve"> </w:t>
      </w:r>
      <w:r w:rsidRPr="474DAF75">
        <w:rPr>
          <w:rFonts w:eastAsia="Arial"/>
          <w:szCs w:val="20"/>
        </w:rPr>
        <w:t>of</w:t>
      </w:r>
      <w:r>
        <w:rPr>
          <w:rFonts w:eastAsia="Arial"/>
          <w:szCs w:val="20"/>
        </w:rPr>
        <w:t xml:space="preserve"> </w:t>
      </w:r>
      <w:r w:rsidRPr="474DAF75">
        <w:rPr>
          <w:rFonts w:eastAsia="Arial"/>
          <w:szCs w:val="20"/>
        </w:rPr>
        <w:t>employee</w:t>
      </w:r>
      <w:r>
        <w:rPr>
          <w:rFonts w:eastAsia="Arial"/>
          <w:szCs w:val="20"/>
        </w:rPr>
        <w:t xml:space="preserve"> </w:t>
      </w:r>
      <w:r w:rsidRPr="474DAF75">
        <w:rPr>
          <w:rFonts w:eastAsia="Arial"/>
          <w:szCs w:val="20"/>
        </w:rPr>
        <w:t>wellbeing</w:t>
      </w:r>
      <w:r>
        <w:rPr>
          <w:rFonts w:eastAsia="Arial"/>
          <w:szCs w:val="20"/>
        </w:rPr>
        <w:t xml:space="preserve"> </w:t>
      </w:r>
      <w:r w:rsidRPr="474DAF75">
        <w:rPr>
          <w:rFonts w:eastAsia="Arial"/>
          <w:szCs w:val="20"/>
        </w:rPr>
        <w:t>supports</w:t>
      </w:r>
      <w:r>
        <w:rPr>
          <w:rFonts w:eastAsia="Arial"/>
          <w:szCs w:val="20"/>
        </w:rPr>
        <w:t xml:space="preserve"> </w:t>
      </w:r>
      <w:r w:rsidRPr="474DAF75">
        <w:rPr>
          <w:rFonts w:eastAsia="Arial"/>
          <w:szCs w:val="20"/>
        </w:rPr>
        <w:t>to</w:t>
      </w:r>
      <w:r>
        <w:rPr>
          <w:rFonts w:eastAsia="Arial"/>
          <w:szCs w:val="20"/>
        </w:rPr>
        <w:t xml:space="preserve"> </w:t>
      </w:r>
      <w:r w:rsidRPr="474DAF75">
        <w:rPr>
          <w:rFonts w:eastAsia="Arial"/>
          <w:szCs w:val="20"/>
        </w:rPr>
        <w:t>ensure</w:t>
      </w:r>
      <w:r>
        <w:rPr>
          <w:rFonts w:eastAsia="Arial"/>
          <w:szCs w:val="20"/>
        </w:rPr>
        <w:t xml:space="preserve"> </w:t>
      </w:r>
      <w:r w:rsidRPr="474DAF75">
        <w:rPr>
          <w:rFonts w:eastAsia="Arial"/>
          <w:szCs w:val="20"/>
        </w:rPr>
        <w:t>the</w:t>
      </w:r>
      <w:r>
        <w:rPr>
          <w:rFonts w:eastAsia="Arial"/>
          <w:szCs w:val="20"/>
        </w:rPr>
        <w:t xml:space="preserve"> </w:t>
      </w:r>
      <w:r w:rsidRPr="474DAF75">
        <w:rPr>
          <w:rFonts w:eastAsia="Arial"/>
          <w:szCs w:val="20"/>
        </w:rPr>
        <w:t>needs</w:t>
      </w:r>
      <w:r>
        <w:rPr>
          <w:rFonts w:eastAsia="Arial"/>
          <w:szCs w:val="20"/>
        </w:rPr>
        <w:t xml:space="preserve"> </w:t>
      </w:r>
      <w:r w:rsidRPr="474DAF75">
        <w:rPr>
          <w:rFonts w:eastAsia="Arial"/>
          <w:szCs w:val="20"/>
        </w:rPr>
        <w:t>of</w:t>
      </w:r>
      <w:r>
        <w:rPr>
          <w:rFonts w:eastAsia="Arial"/>
          <w:szCs w:val="20"/>
        </w:rPr>
        <w:t xml:space="preserve"> </w:t>
      </w:r>
      <w:r w:rsidR="00053F39">
        <w:rPr>
          <w:rFonts w:eastAsia="Arial"/>
          <w:szCs w:val="20"/>
        </w:rPr>
        <w:t xml:space="preserve">its </w:t>
      </w:r>
      <w:r w:rsidRPr="474DAF75">
        <w:rPr>
          <w:rFonts w:eastAsia="Arial"/>
          <w:szCs w:val="20"/>
        </w:rPr>
        <w:t>diverse</w:t>
      </w:r>
      <w:r>
        <w:rPr>
          <w:rFonts w:eastAsia="Arial"/>
          <w:szCs w:val="20"/>
        </w:rPr>
        <w:t xml:space="preserve"> </w:t>
      </w:r>
      <w:r w:rsidRPr="474DAF75">
        <w:rPr>
          <w:rFonts w:eastAsia="Arial"/>
          <w:szCs w:val="20"/>
        </w:rPr>
        <w:t>workforc</w:t>
      </w:r>
      <w:r w:rsidRPr="00F8606E">
        <w:t>e</w:t>
      </w:r>
      <w:r>
        <w:t xml:space="preserve"> </w:t>
      </w:r>
      <w:r w:rsidRPr="00F8606E">
        <w:t>are</w:t>
      </w:r>
      <w:r>
        <w:t xml:space="preserve"> </w:t>
      </w:r>
      <w:r w:rsidRPr="00F8606E">
        <w:t>met.</w:t>
      </w:r>
      <w:r>
        <w:t xml:space="preserve"> </w:t>
      </w:r>
      <w:r w:rsidR="00053F39">
        <w:t xml:space="preserve">Its </w:t>
      </w:r>
      <w:r w:rsidRPr="00F8606E">
        <w:t>Employee</w:t>
      </w:r>
      <w:r>
        <w:t xml:space="preserve"> </w:t>
      </w:r>
      <w:r w:rsidRPr="00F8606E">
        <w:t>Wellbeing</w:t>
      </w:r>
      <w:r>
        <w:t xml:space="preserve"> </w:t>
      </w:r>
      <w:r w:rsidRPr="00F8606E">
        <w:t>and</w:t>
      </w:r>
      <w:r>
        <w:t xml:space="preserve"> </w:t>
      </w:r>
      <w:r w:rsidRPr="00F8606E">
        <w:t>Support</w:t>
      </w:r>
      <w:r>
        <w:t xml:space="preserve"> </w:t>
      </w:r>
      <w:r w:rsidRPr="00F8606E">
        <w:t>Program</w:t>
      </w:r>
      <w:r>
        <w:t xml:space="preserve"> </w:t>
      </w:r>
      <w:r w:rsidRPr="00F8606E">
        <w:t>offers</w:t>
      </w:r>
      <w:r>
        <w:t xml:space="preserve"> </w:t>
      </w:r>
      <w:r w:rsidRPr="00F8606E">
        <w:t>specialised</w:t>
      </w:r>
      <w:r>
        <w:t xml:space="preserve"> </w:t>
      </w:r>
      <w:r w:rsidRPr="00F8606E">
        <w:t>employee</w:t>
      </w:r>
      <w:r>
        <w:t xml:space="preserve"> </w:t>
      </w:r>
      <w:r w:rsidRPr="00F8606E">
        <w:t>support</w:t>
      </w:r>
      <w:r>
        <w:t xml:space="preserve"> </w:t>
      </w:r>
      <w:r w:rsidRPr="00F8606E">
        <w:t>services</w:t>
      </w:r>
      <w:r>
        <w:t xml:space="preserve"> </w:t>
      </w:r>
      <w:r w:rsidRPr="00F8606E">
        <w:t>that</w:t>
      </w:r>
      <w:r>
        <w:t xml:space="preserve"> </w:t>
      </w:r>
      <w:r w:rsidRPr="00F8606E">
        <w:t>are</w:t>
      </w:r>
      <w:r>
        <w:t xml:space="preserve"> a</w:t>
      </w:r>
      <w:r w:rsidRPr="00F8606E">
        <w:t>vailable</w:t>
      </w:r>
      <w:r>
        <w:t xml:space="preserve"> </w:t>
      </w:r>
      <w:r w:rsidRPr="00F8606E">
        <w:t>to</w:t>
      </w:r>
      <w:r>
        <w:t xml:space="preserve"> </w:t>
      </w:r>
      <w:r w:rsidRPr="00F8606E">
        <w:t>all</w:t>
      </w:r>
      <w:r>
        <w:t xml:space="preserve"> </w:t>
      </w:r>
      <w:r w:rsidRPr="00F8606E">
        <w:t>employees</w:t>
      </w:r>
      <w:r>
        <w:t xml:space="preserve"> </w:t>
      </w:r>
      <w:r w:rsidRPr="00F8606E">
        <w:t>and</w:t>
      </w:r>
      <w:r>
        <w:t xml:space="preserve"> </w:t>
      </w:r>
      <w:r w:rsidRPr="00F8606E">
        <w:t>their</w:t>
      </w:r>
      <w:r>
        <w:t xml:space="preserve"> </w:t>
      </w:r>
      <w:r w:rsidRPr="00F8606E">
        <w:t>immediate</w:t>
      </w:r>
      <w:r>
        <w:t xml:space="preserve"> </w:t>
      </w:r>
      <w:r w:rsidRPr="00F8606E">
        <w:t>family</w:t>
      </w:r>
      <w:r>
        <w:t xml:space="preserve"> </w:t>
      </w:r>
      <w:r w:rsidRPr="00F8606E">
        <w:t>members</w:t>
      </w:r>
      <w:r>
        <w:t xml:space="preserve"> </w:t>
      </w:r>
      <w:r w:rsidRPr="00F8606E">
        <w:t>at</w:t>
      </w:r>
      <w:r>
        <w:t xml:space="preserve"> </w:t>
      </w:r>
      <w:r w:rsidRPr="00F8606E">
        <w:t>no</w:t>
      </w:r>
      <w:r>
        <w:t xml:space="preserve"> </w:t>
      </w:r>
      <w:r w:rsidRPr="00F8606E">
        <w:t>cost.</w:t>
      </w:r>
      <w:r>
        <w:t xml:space="preserve"> </w:t>
      </w:r>
      <w:r w:rsidRPr="4FCE31F0">
        <w:t>The</w:t>
      </w:r>
      <w:r>
        <w:t xml:space="preserve"> </w:t>
      </w:r>
      <w:r w:rsidRPr="4FCE31F0">
        <w:t>program</w:t>
      </w:r>
      <w:r>
        <w:t xml:space="preserve"> </w:t>
      </w:r>
      <w:r w:rsidRPr="4FCE31F0">
        <w:t>has</w:t>
      </w:r>
      <w:r>
        <w:t xml:space="preserve"> </w:t>
      </w:r>
      <w:r w:rsidRPr="4FCE31F0">
        <w:t>been</w:t>
      </w:r>
      <w:r>
        <w:t xml:space="preserve"> </w:t>
      </w:r>
      <w:r w:rsidRPr="4FCE31F0">
        <w:t>well</w:t>
      </w:r>
      <w:r>
        <w:t xml:space="preserve"> </w:t>
      </w:r>
      <w:r w:rsidRPr="4FCE31F0">
        <w:t>received</w:t>
      </w:r>
      <w:r>
        <w:t xml:space="preserve"> </w:t>
      </w:r>
      <w:r w:rsidRPr="4FCE31F0">
        <w:t>by</w:t>
      </w:r>
      <w:r>
        <w:t xml:space="preserve"> </w:t>
      </w:r>
      <w:r w:rsidRPr="4FCE31F0">
        <w:t>staff</w:t>
      </w:r>
      <w:r>
        <w:t xml:space="preserve"> </w:t>
      </w:r>
      <w:r w:rsidRPr="4FCE31F0">
        <w:t>with</w:t>
      </w:r>
      <w:r>
        <w:t xml:space="preserve"> </w:t>
      </w:r>
      <w:r w:rsidRPr="4FCE31F0">
        <w:t>an</w:t>
      </w:r>
      <w:r>
        <w:t xml:space="preserve"> </w:t>
      </w:r>
      <w:r w:rsidRPr="4FCE31F0">
        <w:t>annual</w:t>
      </w:r>
      <w:r>
        <w:t xml:space="preserve"> </w:t>
      </w:r>
      <w:r w:rsidRPr="4FCE31F0">
        <w:t>utilisation</w:t>
      </w:r>
      <w:r>
        <w:t xml:space="preserve"> </w:t>
      </w:r>
      <w:r w:rsidRPr="4FCE31F0">
        <w:t>rate</w:t>
      </w:r>
      <w:r>
        <w:t xml:space="preserve"> </w:t>
      </w:r>
      <w:r w:rsidRPr="4FCE31F0">
        <w:t>of</w:t>
      </w:r>
      <w:r>
        <w:t xml:space="preserve"> 29.7 per cent – </w:t>
      </w:r>
      <w:r w:rsidR="00794B28">
        <w:t xml:space="preserve">compared to </w:t>
      </w:r>
      <w:r>
        <w:t xml:space="preserve">the industry benchmark </w:t>
      </w:r>
      <w:r w:rsidR="00794B28">
        <w:t xml:space="preserve">of </w:t>
      </w:r>
      <w:r>
        <w:t>7.8</w:t>
      </w:r>
      <w:r w:rsidR="001044AF">
        <w:t xml:space="preserve"> per cent</w:t>
      </w:r>
      <w:r>
        <w:t xml:space="preserve">. Through the Employee Wellbeing and Support </w:t>
      </w:r>
      <w:r w:rsidR="00A306FA">
        <w:t>P</w:t>
      </w:r>
      <w:r>
        <w:t xml:space="preserve">rogram </w:t>
      </w:r>
      <w:r w:rsidR="00F37F7D">
        <w:t xml:space="preserve">the department </w:t>
      </w:r>
      <w:r>
        <w:t>offer</w:t>
      </w:r>
      <w:r w:rsidR="00F37F7D">
        <w:t>s</w:t>
      </w:r>
      <w:r>
        <w:t xml:space="preserve"> </w:t>
      </w:r>
      <w:r w:rsidR="00794B28">
        <w:t>i</w:t>
      </w:r>
      <w:r w:rsidR="001044AF">
        <w:t xml:space="preserve">ndividualised </w:t>
      </w:r>
      <w:r>
        <w:t>coaching for managers and executives that is proactive, ongoing and set up to</w:t>
      </w:r>
      <w:r w:rsidR="000D06B0">
        <w:t> </w:t>
      </w:r>
      <w:r>
        <w:t xml:space="preserve">ensure </w:t>
      </w:r>
      <w:r w:rsidR="00794B28">
        <w:t>they</w:t>
      </w:r>
      <w:r>
        <w:t xml:space="preserve"> are supported to do their roles </w:t>
      </w:r>
      <w:r w:rsidR="001044AF">
        <w:t xml:space="preserve">as </w:t>
      </w:r>
      <w:r w:rsidR="00794B28">
        <w:t>best</w:t>
      </w:r>
      <w:r w:rsidR="001044AF">
        <w:t xml:space="preserve"> they can</w:t>
      </w:r>
      <w:r>
        <w:t>. As of June 2022, 33</w:t>
      </w:r>
      <w:r w:rsidR="001044AF">
        <w:t xml:space="preserve"> per cent</w:t>
      </w:r>
      <w:r>
        <w:t xml:space="preserve"> of </w:t>
      </w:r>
      <w:r w:rsidR="001044AF">
        <w:t>e</w:t>
      </w:r>
      <w:r>
        <w:t xml:space="preserve">xecutives and </w:t>
      </w:r>
      <w:r w:rsidR="001044AF">
        <w:t>six per cent</w:t>
      </w:r>
      <w:r>
        <w:t xml:space="preserve"> of </w:t>
      </w:r>
      <w:r w:rsidR="001044AF">
        <w:t>p</w:t>
      </w:r>
      <w:r>
        <w:t xml:space="preserve">eople </w:t>
      </w:r>
      <w:r w:rsidR="001044AF">
        <w:t>m</w:t>
      </w:r>
      <w:r>
        <w:t>anagers</w:t>
      </w:r>
      <w:r w:rsidR="001044AF">
        <w:t xml:space="preserve"> had</w:t>
      </w:r>
      <w:r>
        <w:t xml:space="preserve"> engaged </w:t>
      </w:r>
      <w:r w:rsidR="005842E8">
        <w:t xml:space="preserve">with </w:t>
      </w:r>
      <w:r>
        <w:t>this support.</w:t>
      </w:r>
    </w:p>
    <w:p w14:paraId="54FABA12" w14:textId="77777777" w:rsidR="001A70B8" w:rsidRPr="009D03E6" w:rsidRDefault="001A70B8" w:rsidP="00101E5D">
      <w:pPr>
        <w:pStyle w:val="Heading3"/>
        <w:shd w:val="clear" w:color="auto" w:fill="FFFFFF" w:themeFill="background1"/>
      </w:pPr>
      <w:bookmarkStart w:id="296" w:name="_Toc85121256"/>
      <w:r w:rsidRPr="009D03E6">
        <w:t>Peer</w:t>
      </w:r>
      <w:r>
        <w:t xml:space="preserve"> </w:t>
      </w:r>
      <w:r w:rsidRPr="009D03E6">
        <w:t>Support</w:t>
      </w:r>
      <w:r>
        <w:t xml:space="preserve"> </w:t>
      </w:r>
      <w:r w:rsidRPr="009D03E6">
        <w:t>Network</w:t>
      </w:r>
      <w:bookmarkEnd w:id="296"/>
    </w:p>
    <w:p w14:paraId="31C13994" w14:textId="04808C47" w:rsidR="001A70B8" w:rsidRDefault="001A70B8" w:rsidP="00101E5D">
      <w:pPr>
        <w:pStyle w:val="ARbody"/>
        <w:shd w:val="clear" w:color="auto" w:fill="FFFFFF" w:themeFill="background1"/>
      </w:pPr>
      <w:r>
        <w:t xml:space="preserve">Complementary to the department’s </w:t>
      </w:r>
      <w:r w:rsidR="00A306FA">
        <w:t>E</w:t>
      </w:r>
      <w:r>
        <w:t xml:space="preserve">mployee </w:t>
      </w:r>
      <w:r w:rsidR="00A306FA">
        <w:t>W</w:t>
      </w:r>
      <w:r>
        <w:t xml:space="preserve">ellbeing and </w:t>
      </w:r>
      <w:r w:rsidR="00A306FA">
        <w:t>S</w:t>
      </w:r>
      <w:r>
        <w:t xml:space="preserve">upport </w:t>
      </w:r>
      <w:r w:rsidR="00A306FA">
        <w:t>P</w:t>
      </w:r>
      <w:r>
        <w:t xml:space="preserve">rogram </w:t>
      </w:r>
      <w:r w:rsidR="00C0301D">
        <w:t>is the</w:t>
      </w:r>
      <w:r>
        <w:t xml:space="preserve"> best practice Peer Support Network, which provides informal, confidential support to employees by using an active listening, clarification and referral model. Assistance is provided by peer supporters – departmental employees who volunteer their time to support their colleagues. Over the last year the Network has consolidated the shared service model and the new contract with </w:t>
      </w:r>
      <w:r w:rsidR="00C0301D">
        <w:t xml:space="preserve">the </w:t>
      </w:r>
      <w:r>
        <w:t>training provider</w:t>
      </w:r>
      <w:r w:rsidR="00C0301D">
        <w:t>,</w:t>
      </w:r>
      <w:r>
        <w:t xml:space="preserve"> Converge International</w:t>
      </w:r>
      <w:r w:rsidR="00C0301D">
        <w:t>,</w:t>
      </w:r>
      <w:r>
        <w:t xml:space="preserve"> which commenced in May 2021. A new Peer Supporter reflective practice model was also established during the year</w:t>
      </w:r>
      <w:r w:rsidR="00C0301D">
        <w:t>.</w:t>
      </w:r>
      <w:r>
        <w:t xml:space="preserve"> </w:t>
      </w:r>
      <w:r w:rsidR="00C0301D">
        <w:t>It</w:t>
      </w:r>
      <w:r w:rsidR="0030377F">
        <w:t> </w:t>
      </w:r>
      <w:r>
        <w:t>provides a range of specifically designed services to support the wellbeing of the peer supporters within the Network. The growth of the Peer Support Network has continued over the last year, with a focus on having a peer in every division across the</w:t>
      </w:r>
      <w:r w:rsidR="0030377F">
        <w:t> </w:t>
      </w:r>
      <w:r>
        <w:t>organisation.</w:t>
      </w:r>
    </w:p>
    <w:p w14:paraId="5CCAB1F7" w14:textId="03367584" w:rsidR="001A70B8" w:rsidRPr="009D03E6" w:rsidRDefault="001A70B8" w:rsidP="00101E5D">
      <w:pPr>
        <w:pStyle w:val="Heading3"/>
      </w:pPr>
      <w:r w:rsidRPr="04568B33">
        <w:t>Workplace</w:t>
      </w:r>
      <w:r>
        <w:t xml:space="preserve"> </w:t>
      </w:r>
      <w:r w:rsidR="00C0301D">
        <w:t>f</w:t>
      </w:r>
      <w:r w:rsidRPr="04568B33">
        <w:t>acilitator</w:t>
      </w:r>
    </w:p>
    <w:p w14:paraId="671A2A58" w14:textId="09D2B9ED" w:rsidR="001A70B8" w:rsidRDefault="001A70B8" w:rsidP="00101E5D">
      <w:pPr>
        <w:pStyle w:val="ARbody"/>
        <w:shd w:val="clear" w:color="auto" w:fill="FFFFFF" w:themeFill="background1"/>
      </w:pPr>
      <w:r w:rsidRPr="04568B33">
        <w:rPr>
          <w:rFonts w:eastAsia="MS Gothic" w:cs="Times New Roman"/>
          <w:szCs w:val="20"/>
          <w:lang w:eastAsia="en-AU"/>
        </w:rPr>
        <w:t>The</w:t>
      </w:r>
      <w:r>
        <w:rPr>
          <w:rFonts w:eastAsia="MS Gothic" w:cs="Times New Roman"/>
          <w:szCs w:val="20"/>
          <w:lang w:eastAsia="en-AU"/>
        </w:rPr>
        <w:t xml:space="preserve"> </w:t>
      </w:r>
      <w:r w:rsidR="00C0301D">
        <w:rPr>
          <w:rFonts w:eastAsia="Arial"/>
          <w:szCs w:val="20"/>
        </w:rPr>
        <w:t>w</w:t>
      </w:r>
      <w:r w:rsidRPr="04568B33">
        <w:rPr>
          <w:rFonts w:eastAsia="Arial"/>
          <w:szCs w:val="20"/>
        </w:rPr>
        <w:t>orkplace</w:t>
      </w:r>
      <w:r>
        <w:rPr>
          <w:rFonts w:eastAsia="Arial"/>
          <w:szCs w:val="20"/>
        </w:rPr>
        <w:t xml:space="preserve"> </w:t>
      </w:r>
      <w:r w:rsidR="00C0301D">
        <w:rPr>
          <w:rFonts w:eastAsia="Arial"/>
          <w:szCs w:val="20"/>
        </w:rPr>
        <w:t>f</w:t>
      </w:r>
      <w:r w:rsidRPr="04568B33">
        <w:rPr>
          <w:rFonts w:eastAsia="Arial"/>
          <w:szCs w:val="20"/>
        </w:rPr>
        <w:t>acilitator</w:t>
      </w:r>
      <w:r>
        <w:rPr>
          <w:rFonts w:eastAsia="Arial"/>
          <w:szCs w:val="20"/>
        </w:rPr>
        <w:t xml:space="preserve"> </w:t>
      </w:r>
      <w:r w:rsidRPr="04568B33">
        <w:rPr>
          <w:rFonts w:eastAsia="Arial"/>
          <w:szCs w:val="20"/>
        </w:rPr>
        <w:t>offers</w:t>
      </w:r>
      <w:r>
        <w:rPr>
          <w:rFonts w:eastAsia="Arial"/>
          <w:szCs w:val="20"/>
        </w:rPr>
        <w:t xml:space="preserve"> </w:t>
      </w:r>
      <w:r w:rsidRPr="04568B33">
        <w:rPr>
          <w:rFonts w:eastAsia="Arial"/>
          <w:szCs w:val="20"/>
        </w:rPr>
        <w:t>a</w:t>
      </w:r>
      <w:r>
        <w:rPr>
          <w:rFonts w:eastAsia="Arial"/>
          <w:szCs w:val="20"/>
        </w:rPr>
        <w:t xml:space="preserve"> </w:t>
      </w:r>
      <w:r w:rsidRPr="04568B33">
        <w:rPr>
          <w:rFonts w:eastAsia="Arial"/>
          <w:szCs w:val="20"/>
        </w:rPr>
        <w:t>confidential,</w:t>
      </w:r>
      <w:r>
        <w:rPr>
          <w:rFonts w:eastAsia="Arial"/>
          <w:szCs w:val="20"/>
        </w:rPr>
        <w:t xml:space="preserve"> </w:t>
      </w:r>
      <w:r w:rsidRPr="04568B33">
        <w:rPr>
          <w:rFonts w:eastAsia="Arial"/>
          <w:szCs w:val="20"/>
        </w:rPr>
        <w:t>independent,</w:t>
      </w:r>
      <w:r>
        <w:rPr>
          <w:rFonts w:eastAsia="Arial"/>
          <w:szCs w:val="20"/>
        </w:rPr>
        <w:t xml:space="preserve"> </w:t>
      </w:r>
      <w:r w:rsidRPr="04568B33">
        <w:rPr>
          <w:rFonts w:eastAsia="Arial"/>
          <w:szCs w:val="20"/>
        </w:rPr>
        <w:t>and</w:t>
      </w:r>
      <w:r>
        <w:rPr>
          <w:rFonts w:eastAsia="Arial"/>
          <w:szCs w:val="20"/>
        </w:rPr>
        <w:t xml:space="preserve"> </w:t>
      </w:r>
      <w:r w:rsidRPr="04568B33">
        <w:rPr>
          <w:rFonts w:eastAsia="Arial"/>
          <w:szCs w:val="20"/>
        </w:rPr>
        <w:t>neutral</w:t>
      </w:r>
      <w:r>
        <w:rPr>
          <w:rFonts w:eastAsia="Arial"/>
          <w:szCs w:val="20"/>
        </w:rPr>
        <w:t xml:space="preserve"> </w:t>
      </w:r>
      <w:r w:rsidRPr="04568B33">
        <w:rPr>
          <w:rFonts w:eastAsia="Arial"/>
          <w:szCs w:val="20"/>
        </w:rPr>
        <w:t>service</w:t>
      </w:r>
      <w:r>
        <w:rPr>
          <w:rFonts w:eastAsia="Arial"/>
          <w:szCs w:val="20"/>
        </w:rPr>
        <w:t xml:space="preserve"> </w:t>
      </w:r>
      <w:r w:rsidRPr="04568B33">
        <w:rPr>
          <w:rFonts w:eastAsia="Arial"/>
          <w:szCs w:val="20"/>
        </w:rPr>
        <w:t>to</w:t>
      </w:r>
      <w:r>
        <w:rPr>
          <w:rFonts w:eastAsia="Arial"/>
          <w:szCs w:val="20"/>
        </w:rPr>
        <w:t xml:space="preserve"> </w:t>
      </w:r>
      <w:r w:rsidRPr="04568B33">
        <w:rPr>
          <w:rFonts w:eastAsia="Arial"/>
          <w:szCs w:val="20"/>
        </w:rPr>
        <w:t>assist</w:t>
      </w:r>
      <w:r>
        <w:rPr>
          <w:rFonts w:eastAsia="Arial"/>
          <w:szCs w:val="20"/>
        </w:rPr>
        <w:t xml:space="preserve"> </w:t>
      </w:r>
      <w:r w:rsidRPr="04568B33">
        <w:rPr>
          <w:rFonts w:eastAsia="Arial"/>
          <w:szCs w:val="20"/>
        </w:rPr>
        <w:t>employees</w:t>
      </w:r>
      <w:r>
        <w:rPr>
          <w:rFonts w:eastAsia="Arial"/>
          <w:szCs w:val="20"/>
        </w:rPr>
        <w:t xml:space="preserve"> </w:t>
      </w:r>
      <w:r w:rsidRPr="04568B33">
        <w:rPr>
          <w:rFonts w:eastAsia="Arial"/>
          <w:szCs w:val="20"/>
        </w:rPr>
        <w:t>develop</w:t>
      </w:r>
      <w:r>
        <w:rPr>
          <w:rFonts w:eastAsia="Arial"/>
          <w:szCs w:val="20"/>
        </w:rPr>
        <w:t xml:space="preserve"> </w:t>
      </w:r>
      <w:r w:rsidRPr="04568B33">
        <w:rPr>
          <w:rFonts w:eastAsia="Arial"/>
          <w:szCs w:val="20"/>
        </w:rPr>
        <w:t>strategies</w:t>
      </w:r>
      <w:r>
        <w:rPr>
          <w:rFonts w:eastAsia="Arial"/>
          <w:szCs w:val="20"/>
        </w:rPr>
        <w:t xml:space="preserve"> </w:t>
      </w:r>
      <w:r w:rsidRPr="04568B33">
        <w:rPr>
          <w:rFonts w:eastAsia="Arial"/>
          <w:szCs w:val="20"/>
        </w:rPr>
        <w:t>to</w:t>
      </w:r>
      <w:r>
        <w:rPr>
          <w:rFonts w:eastAsia="Arial"/>
          <w:szCs w:val="20"/>
        </w:rPr>
        <w:t xml:space="preserve"> </w:t>
      </w:r>
      <w:r w:rsidRPr="04568B33">
        <w:rPr>
          <w:rFonts w:eastAsia="Arial"/>
          <w:szCs w:val="20"/>
        </w:rPr>
        <w:t>manage</w:t>
      </w:r>
      <w:r>
        <w:rPr>
          <w:rFonts w:eastAsia="Arial"/>
          <w:szCs w:val="20"/>
        </w:rPr>
        <w:t xml:space="preserve"> </w:t>
      </w:r>
      <w:r w:rsidRPr="04568B33">
        <w:rPr>
          <w:rFonts w:eastAsia="Arial"/>
          <w:szCs w:val="20"/>
        </w:rPr>
        <w:t>workplace</w:t>
      </w:r>
      <w:r>
        <w:rPr>
          <w:rFonts w:eastAsia="Arial"/>
          <w:szCs w:val="20"/>
        </w:rPr>
        <w:t xml:space="preserve"> </w:t>
      </w:r>
      <w:r w:rsidRPr="04568B33">
        <w:rPr>
          <w:rFonts w:eastAsia="Arial"/>
          <w:szCs w:val="20"/>
        </w:rPr>
        <w:t>issues</w:t>
      </w:r>
      <w:r>
        <w:rPr>
          <w:rFonts w:eastAsia="Arial"/>
          <w:szCs w:val="20"/>
        </w:rPr>
        <w:t xml:space="preserve"> </w:t>
      </w:r>
      <w:r w:rsidRPr="04568B33">
        <w:rPr>
          <w:rFonts w:eastAsia="Arial"/>
          <w:szCs w:val="20"/>
        </w:rPr>
        <w:t>at</w:t>
      </w:r>
      <w:r>
        <w:rPr>
          <w:rFonts w:eastAsia="Arial"/>
          <w:szCs w:val="20"/>
        </w:rPr>
        <w:t xml:space="preserve"> </w:t>
      </w:r>
      <w:r w:rsidRPr="04568B33">
        <w:rPr>
          <w:rFonts w:eastAsia="Arial"/>
          <w:szCs w:val="20"/>
        </w:rPr>
        <w:t>a</w:t>
      </w:r>
      <w:r>
        <w:rPr>
          <w:rFonts w:eastAsia="Arial"/>
          <w:szCs w:val="20"/>
        </w:rPr>
        <w:t xml:space="preserve"> </w:t>
      </w:r>
      <w:r w:rsidRPr="04568B33">
        <w:rPr>
          <w:rFonts w:eastAsia="Arial"/>
          <w:szCs w:val="20"/>
        </w:rPr>
        <w:t>local</w:t>
      </w:r>
      <w:r>
        <w:rPr>
          <w:rFonts w:eastAsia="Arial"/>
          <w:szCs w:val="20"/>
        </w:rPr>
        <w:t xml:space="preserve"> </w:t>
      </w:r>
      <w:r w:rsidRPr="04568B33">
        <w:rPr>
          <w:rFonts w:eastAsia="Arial"/>
          <w:szCs w:val="20"/>
        </w:rPr>
        <w:t>level.</w:t>
      </w:r>
      <w:r>
        <w:rPr>
          <w:rFonts w:eastAsia="Arial"/>
          <w:szCs w:val="20"/>
        </w:rPr>
        <w:t xml:space="preserve"> </w:t>
      </w:r>
      <w:r w:rsidRPr="04568B33">
        <w:rPr>
          <w:rFonts w:eastAsia="Arial"/>
          <w:szCs w:val="20"/>
        </w:rPr>
        <w:t>The</w:t>
      </w:r>
      <w:r>
        <w:rPr>
          <w:rFonts w:eastAsia="Arial"/>
          <w:szCs w:val="20"/>
        </w:rPr>
        <w:t xml:space="preserve"> </w:t>
      </w:r>
      <w:r w:rsidRPr="04568B33">
        <w:rPr>
          <w:rFonts w:eastAsia="Arial"/>
          <w:szCs w:val="20"/>
        </w:rPr>
        <w:t>role</w:t>
      </w:r>
      <w:r>
        <w:rPr>
          <w:rFonts w:eastAsia="Arial"/>
          <w:szCs w:val="20"/>
        </w:rPr>
        <w:t xml:space="preserve"> </w:t>
      </w:r>
      <w:r w:rsidRPr="04568B33">
        <w:rPr>
          <w:rFonts w:eastAsia="Arial"/>
          <w:szCs w:val="20"/>
        </w:rPr>
        <w:t>is</w:t>
      </w:r>
      <w:r>
        <w:rPr>
          <w:rFonts w:eastAsia="Arial"/>
          <w:szCs w:val="20"/>
        </w:rPr>
        <w:t xml:space="preserve"> </w:t>
      </w:r>
      <w:r w:rsidRPr="04568B33">
        <w:rPr>
          <w:rFonts w:eastAsia="Arial"/>
          <w:szCs w:val="20"/>
        </w:rPr>
        <w:t>focused</w:t>
      </w:r>
      <w:r>
        <w:rPr>
          <w:rFonts w:eastAsia="Arial"/>
          <w:szCs w:val="20"/>
        </w:rPr>
        <w:t xml:space="preserve"> </w:t>
      </w:r>
      <w:r w:rsidRPr="04568B33">
        <w:rPr>
          <w:rFonts w:eastAsia="Arial"/>
          <w:szCs w:val="20"/>
        </w:rPr>
        <w:t>on</w:t>
      </w:r>
      <w:r>
        <w:rPr>
          <w:rFonts w:eastAsia="Arial"/>
          <w:szCs w:val="20"/>
        </w:rPr>
        <w:t xml:space="preserve"> </w:t>
      </w:r>
      <w:r w:rsidRPr="04568B33">
        <w:rPr>
          <w:rFonts w:eastAsia="Arial"/>
          <w:szCs w:val="20"/>
        </w:rPr>
        <w:t>self-determination</w:t>
      </w:r>
      <w:r>
        <w:rPr>
          <w:rFonts w:eastAsia="Arial"/>
          <w:szCs w:val="20"/>
        </w:rPr>
        <w:t xml:space="preserve"> </w:t>
      </w:r>
      <w:r w:rsidRPr="04568B33">
        <w:rPr>
          <w:rFonts w:eastAsia="Arial"/>
          <w:szCs w:val="20"/>
        </w:rPr>
        <w:t>and</w:t>
      </w:r>
      <w:r>
        <w:rPr>
          <w:rFonts w:eastAsia="Arial"/>
          <w:szCs w:val="20"/>
        </w:rPr>
        <w:t xml:space="preserve"> </w:t>
      </w:r>
      <w:r w:rsidRPr="04568B33">
        <w:rPr>
          <w:rFonts w:eastAsia="Arial"/>
          <w:szCs w:val="20"/>
        </w:rPr>
        <w:t>seeks</w:t>
      </w:r>
      <w:r>
        <w:rPr>
          <w:rFonts w:eastAsia="Arial"/>
          <w:szCs w:val="20"/>
        </w:rPr>
        <w:t xml:space="preserve"> </w:t>
      </w:r>
      <w:r w:rsidRPr="04568B33">
        <w:rPr>
          <w:rFonts w:eastAsia="Arial"/>
          <w:szCs w:val="20"/>
        </w:rPr>
        <w:t>to</w:t>
      </w:r>
      <w:r>
        <w:rPr>
          <w:rFonts w:eastAsia="Arial"/>
          <w:szCs w:val="20"/>
        </w:rPr>
        <w:t xml:space="preserve"> </w:t>
      </w:r>
      <w:r w:rsidRPr="04568B33">
        <w:rPr>
          <w:rFonts w:eastAsia="Arial"/>
          <w:szCs w:val="20"/>
        </w:rPr>
        <w:t>empower</w:t>
      </w:r>
      <w:r>
        <w:rPr>
          <w:rFonts w:eastAsia="Arial"/>
          <w:szCs w:val="20"/>
        </w:rPr>
        <w:t xml:space="preserve"> </w:t>
      </w:r>
      <w:r w:rsidRPr="04568B33">
        <w:rPr>
          <w:rFonts w:eastAsia="Arial"/>
          <w:szCs w:val="20"/>
        </w:rPr>
        <w:t>staff</w:t>
      </w:r>
      <w:r>
        <w:rPr>
          <w:rFonts w:eastAsia="Arial"/>
          <w:szCs w:val="20"/>
        </w:rPr>
        <w:t xml:space="preserve"> </w:t>
      </w:r>
      <w:r w:rsidRPr="04568B33">
        <w:rPr>
          <w:rFonts w:eastAsia="Arial"/>
          <w:szCs w:val="20"/>
        </w:rPr>
        <w:t>at</w:t>
      </w:r>
      <w:r>
        <w:rPr>
          <w:rFonts w:eastAsia="Arial"/>
          <w:szCs w:val="20"/>
        </w:rPr>
        <w:t xml:space="preserve"> </w:t>
      </w:r>
      <w:r w:rsidRPr="04568B33">
        <w:rPr>
          <w:rFonts w:eastAsia="Arial"/>
          <w:szCs w:val="20"/>
        </w:rPr>
        <w:t>all</w:t>
      </w:r>
      <w:r>
        <w:rPr>
          <w:rFonts w:eastAsia="Arial"/>
          <w:szCs w:val="20"/>
        </w:rPr>
        <w:t xml:space="preserve"> </w:t>
      </w:r>
      <w:r w:rsidRPr="04568B33">
        <w:rPr>
          <w:rFonts w:eastAsia="Arial"/>
          <w:szCs w:val="20"/>
        </w:rPr>
        <w:t>levels</w:t>
      </w:r>
      <w:r>
        <w:rPr>
          <w:rFonts w:eastAsia="Arial"/>
          <w:szCs w:val="20"/>
        </w:rPr>
        <w:t xml:space="preserve"> </w:t>
      </w:r>
      <w:r w:rsidRPr="04568B33">
        <w:rPr>
          <w:rFonts w:eastAsia="Arial"/>
          <w:szCs w:val="20"/>
        </w:rPr>
        <w:t>to</w:t>
      </w:r>
      <w:r>
        <w:rPr>
          <w:rFonts w:eastAsia="Arial"/>
          <w:szCs w:val="20"/>
        </w:rPr>
        <w:t xml:space="preserve"> </w:t>
      </w:r>
      <w:r w:rsidRPr="04568B33">
        <w:rPr>
          <w:rFonts w:eastAsia="Arial"/>
          <w:szCs w:val="20"/>
        </w:rPr>
        <w:t>manage</w:t>
      </w:r>
      <w:r>
        <w:rPr>
          <w:rFonts w:eastAsia="Arial"/>
          <w:szCs w:val="20"/>
        </w:rPr>
        <w:t xml:space="preserve"> </w:t>
      </w:r>
      <w:r w:rsidRPr="04568B33">
        <w:rPr>
          <w:rFonts w:eastAsia="Arial"/>
          <w:szCs w:val="20"/>
        </w:rPr>
        <w:t>conflict</w:t>
      </w:r>
      <w:r>
        <w:rPr>
          <w:rFonts w:eastAsia="Arial"/>
          <w:szCs w:val="20"/>
        </w:rPr>
        <w:t xml:space="preserve"> </w:t>
      </w:r>
      <w:r w:rsidRPr="04568B33">
        <w:rPr>
          <w:rFonts w:eastAsia="Arial"/>
          <w:szCs w:val="20"/>
        </w:rPr>
        <w:t>confidently</w:t>
      </w:r>
      <w:r>
        <w:rPr>
          <w:rFonts w:eastAsia="Arial"/>
          <w:szCs w:val="20"/>
        </w:rPr>
        <w:t xml:space="preserve"> </w:t>
      </w:r>
      <w:r w:rsidRPr="04568B33">
        <w:rPr>
          <w:rFonts w:eastAsia="Arial"/>
          <w:szCs w:val="20"/>
        </w:rPr>
        <w:t>and</w:t>
      </w:r>
      <w:r>
        <w:rPr>
          <w:rFonts w:eastAsia="Arial"/>
          <w:szCs w:val="20"/>
        </w:rPr>
        <w:t xml:space="preserve"> </w:t>
      </w:r>
      <w:r w:rsidRPr="04568B33">
        <w:rPr>
          <w:rFonts w:eastAsia="Arial"/>
          <w:szCs w:val="20"/>
        </w:rPr>
        <w:t>develop</w:t>
      </w:r>
      <w:r>
        <w:rPr>
          <w:rFonts w:eastAsia="Arial"/>
          <w:szCs w:val="20"/>
        </w:rPr>
        <w:t xml:space="preserve"> </w:t>
      </w:r>
      <w:r w:rsidRPr="04568B33">
        <w:rPr>
          <w:rFonts w:eastAsia="Arial"/>
          <w:szCs w:val="20"/>
        </w:rPr>
        <w:t>effective</w:t>
      </w:r>
      <w:r>
        <w:rPr>
          <w:rFonts w:eastAsia="Arial"/>
          <w:szCs w:val="20"/>
        </w:rPr>
        <w:t xml:space="preserve"> </w:t>
      </w:r>
      <w:r w:rsidRPr="04568B33">
        <w:rPr>
          <w:rFonts w:eastAsia="Arial"/>
          <w:szCs w:val="20"/>
        </w:rPr>
        <w:t>communication</w:t>
      </w:r>
      <w:r>
        <w:rPr>
          <w:rFonts w:eastAsia="Arial"/>
          <w:szCs w:val="20"/>
        </w:rPr>
        <w:t xml:space="preserve"> </w:t>
      </w:r>
      <w:r w:rsidRPr="04568B33">
        <w:rPr>
          <w:rFonts w:eastAsia="Arial"/>
          <w:szCs w:val="20"/>
        </w:rPr>
        <w:t>skills.</w:t>
      </w:r>
      <w:r>
        <w:rPr>
          <w:rFonts w:eastAsia="Arial"/>
          <w:szCs w:val="20"/>
        </w:rPr>
        <w:t xml:space="preserve"> </w:t>
      </w:r>
      <w:r w:rsidRPr="04568B33">
        <w:rPr>
          <w:rFonts w:eastAsia="Arial"/>
          <w:szCs w:val="20"/>
        </w:rPr>
        <w:t>The</w:t>
      </w:r>
      <w:r>
        <w:rPr>
          <w:rFonts w:eastAsia="Arial"/>
          <w:szCs w:val="20"/>
        </w:rPr>
        <w:t xml:space="preserve"> </w:t>
      </w:r>
      <w:r w:rsidRPr="04568B33">
        <w:rPr>
          <w:rFonts w:eastAsia="Arial"/>
          <w:szCs w:val="20"/>
        </w:rPr>
        <w:t>service</w:t>
      </w:r>
      <w:r>
        <w:rPr>
          <w:rFonts w:eastAsia="Arial"/>
          <w:szCs w:val="20"/>
        </w:rPr>
        <w:t xml:space="preserve"> </w:t>
      </w:r>
      <w:r w:rsidRPr="04568B33">
        <w:rPr>
          <w:rFonts w:eastAsia="Arial"/>
          <w:szCs w:val="20"/>
        </w:rPr>
        <w:t>includes</w:t>
      </w:r>
      <w:r>
        <w:rPr>
          <w:rFonts w:eastAsia="Arial"/>
          <w:szCs w:val="20"/>
        </w:rPr>
        <w:t xml:space="preserve"> </w:t>
      </w:r>
      <w:r w:rsidRPr="04568B33">
        <w:rPr>
          <w:rFonts w:eastAsia="Arial"/>
          <w:szCs w:val="20"/>
        </w:rPr>
        <w:t>coaching</w:t>
      </w:r>
      <w:r>
        <w:rPr>
          <w:rFonts w:eastAsia="Arial"/>
          <w:szCs w:val="20"/>
        </w:rPr>
        <w:t xml:space="preserve"> </w:t>
      </w:r>
      <w:r w:rsidRPr="04568B33">
        <w:rPr>
          <w:rFonts w:eastAsia="Arial"/>
          <w:szCs w:val="20"/>
        </w:rPr>
        <w:t>and</w:t>
      </w:r>
      <w:r>
        <w:rPr>
          <w:rFonts w:eastAsia="Arial"/>
          <w:szCs w:val="20"/>
        </w:rPr>
        <w:t xml:space="preserve"> </w:t>
      </w:r>
      <w:r w:rsidRPr="04568B33">
        <w:rPr>
          <w:rFonts w:eastAsia="Arial"/>
          <w:szCs w:val="20"/>
        </w:rPr>
        <w:t>facilitation</w:t>
      </w:r>
      <w:r>
        <w:rPr>
          <w:rFonts w:eastAsia="Arial"/>
          <w:szCs w:val="20"/>
        </w:rPr>
        <w:t xml:space="preserve"> </w:t>
      </w:r>
      <w:r w:rsidRPr="04568B33">
        <w:rPr>
          <w:rFonts w:eastAsia="Arial"/>
          <w:szCs w:val="20"/>
        </w:rPr>
        <w:t>for</w:t>
      </w:r>
      <w:r>
        <w:rPr>
          <w:rFonts w:eastAsia="Arial"/>
          <w:szCs w:val="20"/>
        </w:rPr>
        <w:t xml:space="preserve"> </w:t>
      </w:r>
      <w:r w:rsidRPr="04568B33">
        <w:rPr>
          <w:rFonts w:eastAsia="Arial"/>
          <w:szCs w:val="20"/>
        </w:rPr>
        <w:t>employees</w:t>
      </w:r>
      <w:r>
        <w:rPr>
          <w:rFonts w:eastAsia="Arial"/>
          <w:szCs w:val="20"/>
        </w:rPr>
        <w:t xml:space="preserve"> </w:t>
      </w:r>
      <w:r w:rsidRPr="04568B33">
        <w:rPr>
          <w:rFonts w:eastAsia="Arial"/>
          <w:szCs w:val="20"/>
        </w:rPr>
        <w:t>and</w:t>
      </w:r>
      <w:r>
        <w:rPr>
          <w:rFonts w:eastAsia="Arial"/>
          <w:szCs w:val="20"/>
        </w:rPr>
        <w:t xml:space="preserve"> </w:t>
      </w:r>
      <w:r w:rsidRPr="04568B33">
        <w:rPr>
          <w:rFonts w:eastAsia="Arial"/>
          <w:szCs w:val="20"/>
        </w:rPr>
        <w:t>teams</w:t>
      </w:r>
      <w:r>
        <w:rPr>
          <w:rFonts w:eastAsia="Arial"/>
          <w:szCs w:val="20"/>
        </w:rPr>
        <w:t xml:space="preserve"> </w:t>
      </w:r>
      <w:r w:rsidRPr="04568B33">
        <w:rPr>
          <w:rFonts w:eastAsia="Arial"/>
          <w:szCs w:val="20"/>
        </w:rPr>
        <w:t>and</w:t>
      </w:r>
      <w:r>
        <w:rPr>
          <w:rFonts w:eastAsia="Arial"/>
          <w:szCs w:val="20"/>
        </w:rPr>
        <w:t xml:space="preserve"> </w:t>
      </w:r>
      <w:r w:rsidRPr="04568B33">
        <w:rPr>
          <w:rFonts w:eastAsia="Arial"/>
          <w:szCs w:val="20"/>
        </w:rPr>
        <w:t>compl</w:t>
      </w:r>
      <w:r w:rsidR="00C0301D">
        <w:rPr>
          <w:rFonts w:eastAsia="Arial"/>
          <w:szCs w:val="20"/>
        </w:rPr>
        <w:t>e</w:t>
      </w:r>
      <w:r w:rsidRPr="04568B33">
        <w:rPr>
          <w:rFonts w:eastAsia="Arial"/>
          <w:szCs w:val="20"/>
        </w:rPr>
        <w:t>ments</w:t>
      </w:r>
      <w:r>
        <w:rPr>
          <w:rFonts w:eastAsia="Arial"/>
          <w:szCs w:val="20"/>
        </w:rPr>
        <w:t xml:space="preserve"> </w:t>
      </w:r>
      <w:r w:rsidRPr="04568B33">
        <w:rPr>
          <w:rFonts w:eastAsia="Arial"/>
          <w:szCs w:val="20"/>
        </w:rPr>
        <w:t>the</w:t>
      </w:r>
      <w:r>
        <w:rPr>
          <w:rFonts w:eastAsia="Arial"/>
          <w:szCs w:val="20"/>
        </w:rPr>
        <w:t xml:space="preserve"> </w:t>
      </w:r>
      <w:r w:rsidRPr="04568B33">
        <w:rPr>
          <w:rFonts w:eastAsia="Arial"/>
          <w:szCs w:val="20"/>
        </w:rPr>
        <w:t>other</w:t>
      </w:r>
      <w:r>
        <w:rPr>
          <w:rFonts w:eastAsia="Arial"/>
          <w:szCs w:val="20"/>
        </w:rPr>
        <w:t xml:space="preserve"> </w:t>
      </w:r>
      <w:r w:rsidRPr="04568B33">
        <w:rPr>
          <w:rFonts w:eastAsia="Arial"/>
          <w:szCs w:val="20"/>
        </w:rPr>
        <w:t>employee</w:t>
      </w:r>
      <w:r>
        <w:rPr>
          <w:rFonts w:eastAsia="Arial"/>
          <w:szCs w:val="20"/>
        </w:rPr>
        <w:t xml:space="preserve"> </w:t>
      </w:r>
      <w:r w:rsidRPr="04568B33">
        <w:rPr>
          <w:rFonts w:eastAsia="Arial"/>
          <w:szCs w:val="20"/>
        </w:rPr>
        <w:t>wellbeing</w:t>
      </w:r>
      <w:r>
        <w:rPr>
          <w:rFonts w:eastAsia="Arial"/>
          <w:szCs w:val="20"/>
        </w:rPr>
        <w:t xml:space="preserve"> </w:t>
      </w:r>
      <w:r w:rsidRPr="04568B33">
        <w:rPr>
          <w:rFonts w:eastAsia="Arial"/>
          <w:szCs w:val="20"/>
        </w:rPr>
        <w:t>supports</w:t>
      </w:r>
      <w:r>
        <w:rPr>
          <w:rFonts w:eastAsia="Arial"/>
          <w:szCs w:val="20"/>
        </w:rPr>
        <w:t xml:space="preserve"> </w:t>
      </w:r>
      <w:r w:rsidRPr="04568B33">
        <w:rPr>
          <w:rFonts w:eastAsia="Arial"/>
          <w:szCs w:val="20"/>
        </w:rPr>
        <w:t>provided</w:t>
      </w:r>
      <w:r>
        <w:rPr>
          <w:rFonts w:eastAsia="Arial"/>
          <w:szCs w:val="20"/>
        </w:rPr>
        <w:t xml:space="preserve"> </w:t>
      </w:r>
      <w:r w:rsidRPr="04568B33">
        <w:rPr>
          <w:rFonts w:eastAsia="Arial"/>
          <w:szCs w:val="20"/>
        </w:rPr>
        <w:t>by</w:t>
      </w:r>
      <w:r>
        <w:rPr>
          <w:rFonts w:eastAsia="Arial"/>
          <w:szCs w:val="20"/>
        </w:rPr>
        <w:t xml:space="preserve"> </w:t>
      </w:r>
      <w:r w:rsidRPr="04568B33">
        <w:rPr>
          <w:rFonts w:eastAsia="Arial"/>
          <w:szCs w:val="20"/>
        </w:rPr>
        <w:t>the</w:t>
      </w:r>
      <w:r w:rsidR="000D06B0">
        <w:rPr>
          <w:rFonts w:eastAsia="Arial"/>
          <w:szCs w:val="20"/>
        </w:rPr>
        <w:t> </w:t>
      </w:r>
      <w:r w:rsidRPr="04568B33">
        <w:rPr>
          <w:rFonts w:eastAsia="Arial"/>
          <w:szCs w:val="20"/>
        </w:rPr>
        <w:t>department.</w:t>
      </w:r>
      <w:r>
        <w:rPr>
          <w:rFonts w:eastAsia="Arial"/>
          <w:szCs w:val="20"/>
        </w:rPr>
        <w:t xml:space="preserve"> Approximately </w:t>
      </w:r>
      <w:r w:rsidRPr="04568B33">
        <w:rPr>
          <w:rFonts w:eastAsia="Arial"/>
          <w:szCs w:val="20"/>
        </w:rPr>
        <w:t>22</w:t>
      </w:r>
      <w:r w:rsidR="00C0301D">
        <w:rPr>
          <w:rFonts w:eastAsia="Arial"/>
          <w:szCs w:val="20"/>
        </w:rPr>
        <w:t xml:space="preserve"> per cent</w:t>
      </w:r>
      <w:r>
        <w:rPr>
          <w:rFonts w:eastAsia="Arial"/>
          <w:szCs w:val="20"/>
        </w:rPr>
        <w:t xml:space="preserve"> </w:t>
      </w:r>
      <w:r w:rsidRPr="04568B33">
        <w:rPr>
          <w:rFonts w:eastAsia="Arial"/>
          <w:szCs w:val="20"/>
        </w:rPr>
        <w:t>of</w:t>
      </w:r>
      <w:r>
        <w:rPr>
          <w:rFonts w:eastAsia="Arial"/>
          <w:szCs w:val="20"/>
        </w:rPr>
        <w:t xml:space="preserve"> </w:t>
      </w:r>
      <w:r w:rsidRPr="04568B33">
        <w:rPr>
          <w:rFonts w:eastAsia="Arial"/>
          <w:szCs w:val="20"/>
        </w:rPr>
        <w:t>employees</w:t>
      </w:r>
      <w:r>
        <w:rPr>
          <w:rFonts w:eastAsia="Arial"/>
          <w:szCs w:val="20"/>
        </w:rPr>
        <w:t xml:space="preserve"> </w:t>
      </w:r>
      <w:r w:rsidRPr="04568B33">
        <w:rPr>
          <w:rFonts w:eastAsia="Arial"/>
          <w:szCs w:val="20"/>
        </w:rPr>
        <w:t>who</w:t>
      </w:r>
      <w:r>
        <w:rPr>
          <w:rFonts w:eastAsia="Arial"/>
          <w:szCs w:val="20"/>
        </w:rPr>
        <w:t xml:space="preserve"> </w:t>
      </w:r>
      <w:r w:rsidRPr="04568B33">
        <w:rPr>
          <w:rFonts w:eastAsia="Arial"/>
          <w:szCs w:val="20"/>
        </w:rPr>
        <w:t>utilised</w:t>
      </w:r>
      <w:r>
        <w:rPr>
          <w:rFonts w:eastAsia="Arial"/>
          <w:szCs w:val="20"/>
        </w:rPr>
        <w:t xml:space="preserve"> </w:t>
      </w:r>
      <w:r w:rsidRPr="04568B33">
        <w:rPr>
          <w:rFonts w:eastAsia="Arial"/>
          <w:szCs w:val="20"/>
        </w:rPr>
        <w:t>the</w:t>
      </w:r>
      <w:r>
        <w:rPr>
          <w:rFonts w:eastAsia="Arial"/>
          <w:szCs w:val="20"/>
        </w:rPr>
        <w:t xml:space="preserve"> </w:t>
      </w:r>
      <w:r w:rsidRPr="04568B33">
        <w:rPr>
          <w:rFonts w:eastAsia="Arial"/>
          <w:szCs w:val="20"/>
        </w:rPr>
        <w:t>service</w:t>
      </w:r>
      <w:r>
        <w:rPr>
          <w:rFonts w:eastAsia="Arial"/>
          <w:szCs w:val="20"/>
        </w:rPr>
        <w:t xml:space="preserve"> </w:t>
      </w:r>
      <w:r w:rsidRPr="04568B33">
        <w:rPr>
          <w:rFonts w:eastAsia="Arial"/>
          <w:szCs w:val="20"/>
        </w:rPr>
        <w:t>in</w:t>
      </w:r>
      <w:r>
        <w:rPr>
          <w:rFonts w:eastAsia="Arial"/>
          <w:szCs w:val="20"/>
        </w:rPr>
        <w:t xml:space="preserve"> </w:t>
      </w:r>
      <w:r w:rsidRPr="04568B33">
        <w:rPr>
          <w:rFonts w:eastAsia="Arial"/>
          <w:szCs w:val="20"/>
        </w:rPr>
        <w:t>2021</w:t>
      </w:r>
      <w:r>
        <w:t>–</w:t>
      </w:r>
      <w:r w:rsidRPr="04568B33">
        <w:rPr>
          <w:rFonts w:eastAsia="Arial"/>
          <w:szCs w:val="20"/>
        </w:rPr>
        <w:t>22</w:t>
      </w:r>
      <w:r>
        <w:rPr>
          <w:rFonts w:eastAsia="Arial"/>
          <w:szCs w:val="20"/>
        </w:rPr>
        <w:t xml:space="preserve"> </w:t>
      </w:r>
      <w:r w:rsidRPr="04568B33">
        <w:rPr>
          <w:rFonts w:eastAsia="Arial"/>
          <w:szCs w:val="20"/>
        </w:rPr>
        <w:t>were</w:t>
      </w:r>
      <w:r>
        <w:rPr>
          <w:rFonts w:eastAsia="Arial"/>
          <w:szCs w:val="20"/>
        </w:rPr>
        <w:t xml:space="preserve"> </w:t>
      </w:r>
      <w:r w:rsidRPr="04568B33">
        <w:rPr>
          <w:rFonts w:eastAsia="Arial"/>
          <w:szCs w:val="20"/>
        </w:rPr>
        <w:t>return</w:t>
      </w:r>
      <w:r>
        <w:rPr>
          <w:rFonts w:eastAsia="Arial"/>
          <w:szCs w:val="20"/>
        </w:rPr>
        <w:t xml:space="preserve"> </w:t>
      </w:r>
      <w:r w:rsidRPr="04568B33">
        <w:rPr>
          <w:rFonts w:eastAsia="Arial"/>
          <w:szCs w:val="20"/>
        </w:rPr>
        <w:t>clients.</w:t>
      </w:r>
      <w:r>
        <w:rPr>
          <w:rFonts w:eastAsia="Arial"/>
          <w:sz w:val="21"/>
          <w:szCs w:val="21"/>
        </w:rPr>
        <w:t xml:space="preserve"> </w:t>
      </w:r>
      <w:r w:rsidRPr="04568B33">
        <w:rPr>
          <w:rFonts w:eastAsia="Arial"/>
          <w:szCs w:val="20"/>
        </w:rPr>
        <w:t>Most</w:t>
      </w:r>
      <w:r>
        <w:rPr>
          <w:rFonts w:eastAsia="Arial"/>
          <w:szCs w:val="20"/>
        </w:rPr>
        <w:t xml:space="preserve"> </w:t>
      </w:r>
      <w:r w:rsidRPr="04568B33">
        <w:rPr>
          <w:rFonts w:eastAsia="Arial"/>
          <w:szCs w:val="20"/>
        </w:rPr>
        <w:t>of</w:t>
      </w:r>
      <w:r>
        <w:rPr>
          <w:rFonts w:eastAsia="Arial"/>
          <w:szCs w:val="20"/>
        </w:rPr>
        <w:t xml:space="preserve"> </w:t>
      </w:r>
      <w:r w:rsidRPr="04568B33">
        <w:rPr>
          <w:rFonts w:eastAsia="Arial"/>
          <w:szCs w:val="20"/>
        </w:rPr>
        <w:t>these</w:t>
      </w:r>
      <w:r>
        <w:rPr>
          <w:rFonts w:eastAsia="Arial"/>
          <w:szCs w:val="20"/>
        </w:rPr>
        <w:t xml:space="preserve"> </w:t>
      </w:r>
      <w:r w:rsidRPr="04568B33">
        <w:rPr>
          <w:rFonts w:eastAsia="Arial"/>
          <w:szCs w:val="20"/>
        </w:rPr>
        <w:t>employees</w:t>
      </w:r>
      <w:r>
        <w:rPr>
          <w:rFonts w:eastAsia="Arial"/>
          <w:szCs w:val="20"/>
        </w:rPr>
        <w:t xml:space="preserve"> </w:t>
      </w:r>
      <w:r w:rsidRPr="04568B33">
        <w:rPr>
          <w:rFonts w:eastAsia="Arial"/>
          <w:szCs w:val="20"/>
        </w:rPr>
        <w:t>have</w:t>
      </w:r>
      <w:r>
        <w:rPr>
          <w:rFonts w:eastAsia="Arial"/>
          <w:szCs w:val="20"/>
        </w:rPr>
        <w:t xml:space="preserve"> </w:t>
      </w:r>
      <w:r w:rsidRPr="04568B33">
        <w:rPr>
          <w:rFonts w:eastAsia="Arial"/>
          <w:szCs w:val="20"/>
        </w:rPr>
        <w:t>returned</w:t>
      </w:r>
      <w:r>
        <w:rPr>
          <w:rFonts w:eastAsia="Arial"/>
          <w:szCs w:val="20"/>
        </w:rPr>
        <w:t xml:space="preserve"> </w:t>
      </w:r>
      <w:r w:rsidRPr="04568B33">
        <w:rPr>
          <w:rFonts w:eastAsia="Arial"/>
          <w:szCs w:val="20"/>
        </w:rPr>
        <w:t>to</w:t>
      </w:r>
      <w:r>
        <w:rPr>
          <w:rFonts w:eastAsia="Arial"/>
          <w:szCs w:val="20"/>
        </w:rPr>
        <w:t xml:space="preserve"> </w:t>
      </w:r>
      <w:r w:rsidRPr="04568B33">
        <w:rPr>
          <w:rFonts w:eastAsia="Arial"/>
          <w:szCs w:val="20"/>
        </w:rPr>
        <w:t>use</w:t>
      </w:r>
      <w:r>
        <w:rPr>
          <w:rFonts w:eastAsia="Arial"/>
          <w:szCs w:val="20"/>
        </w:rPr>
        <w:t xml:space="preserve"> </w:t>
      </w:r>
      <w:r w:rsidRPr="04568B33">
        <w:rPr>
          <w:rFonts w:eastAsia="Arial"/>
          <w:szCs w:val="20"/>
        </w:rPr>
        <w:t>the</w:t>
      </w:r>
      <w:r>
        <w:rPr>
          <w:rFonts w:eastAsia="Arial"/>
          <w:szCs w:val="20"/>
        </w:rPr>
        <w:t xml:space="preserve"> </w:t>
      </w:r>
      <w:r w:rsidRPr="04568B33">
        <w:rPr>
          <w:rFonts w:eastAsia="Arial"/>
          <w:szCs w:val="20"/>
        </w:rPr>
        <w:t>service</w:t>
      </w:r>
      <w:r>
        <w:rPr>
          <w:rFonts w:eastAsia="Arial"/>
          <w:szCs w:val="20"/>
        </w:rPr>
        <w:t xml:space="preserve"> </w:t>
      </w:r>
      <w:r w:rsidRPr="04568B33">
        <w:rPr>
          <w:rFonts w:eastAsia="Arial"/>
          <w:szCs w:val="20"/>
        </w:rPr>
        <w:t>to</w:t>
      </w:r>
      <w:r>
        <w:rPr>
          <w:rFonts w:eastAsia="Arial"/>
          <w:szCs w:val="20"/>
        </w:rPr>
        <w:t xml:space="preserve"> </w:t>
      </w:r>
      <w:r w:rsidRPr="04568B33">
        <w:rPr>
          <w:rFonts w:eastAsia="Arial"/>
          <w:szCs w:val="20"/>
        </w:rPr>
        <w:t>proactively</w:t>
      </w:r>
      <w:r>
        <w:rPr>
          <w:rFonts w:eastAsia="Arial"/>
          <w:szCs w:val="20"/>
        </w:rPr>
        <w:t xml:space="preserve"> </w:t>
      </w:r>
      <w:r w:rsidRPr="04568B33">
        <w:rPr>
          <w:rFonts w:eastAsia="Arial"/>
          <w:szCs w:val="20"/>
        </w:rPr>
        <w:t>support</w:t>
      </w:r>
      <w:r>
        <w:rPr>
          <w:rFonts w:eastAsia="Arial"/>
          <w:szCs w:val="20"/>
        </w:rPr>
        <w:t xml:space="preserve"> </w:t>
      </w:r>
      <w:r w:rsidRPr="04568B33">
        <w:rPr>
          <w:rFonts w:eastAsia="Arial"/>
          <w:szCs w:val="20"/>
        </w:rPr>
        <w:t>early</w:t>
      </w:r>
      <w:r>
        <w:rPr>
          <w:rFonts w:eastAsia="Arial"/>
          <w:szCs w:val="20"/>
        </w:rPr>
        <w:t xml:space="preserve"> </w:t>
      </w:r>
      <w:r w:rsidRPr="04568B33">
        <w:rPr>
          <w:rFonts w:eastAsia="Arial"/>
          <w:szCs w:val="20"/>
        </w:rPr>
        <w:t>intervention</w:t>
      </w:r>
      <w:r>
        <w:rPr>
          <w:rFonts w:eastAsia="Arial"/>
          <w:szCs w:val="20"/>
        </w:rPr>
        <w:t xml:space="preserve"> </w:t>
      </w:r>
      <w:r w:rsidRPr="04568B33">
        <w:rPr>
          <w:rFonts w:eastAsia="Arial"/>
          <w:szCs w:val="20"/>
        </w:rPr>
        <w:t>or</w:t>
      </w:r>
      <w:r>
        <w:rPr>
          <w:rFonts w:eastAsia="Arial"/>
          <w:szCs w:val="20"/>
        </w:rPr>
        <w:t xml:space="preserve"> </w:t>
      </w:r>
      <w:r w:rsidRPr="04568B33">
        <w:rPr>
          <w:rFonts w:eastAsia="Arial"/>
          <w:szCs w:val="20"/>
        </w:rPr>
        <w:t>de-escalation</w:t>
      </w:r>
      <w:r>
        <w:rPr>
          <w:rFonts w:eastAsia="Arial"/>
          <w:szCs w:val="20"/>
        </w:rPr>
        <w:t xml:space="preserve"> </w:t>
      </w:r>
      <w:r w:rsidRPr="04568B33">
        <w:rPr>
          <w:rFonts w:eastAsia="Arial"/>
          <w:szCs w:val="20"/>
        </w:rPr>
        <w:t>of</w:t>
      </w:r>
      <w:r>
        <w:rPr>
          <w:rFonts w:eastAsia="Arial"/>
          <w:szCs w:val="20"/>
        </w:rPr>
        <w:t xml:space="preserve"> </w:t>
      </w:r>
      <w:r w:rsidRPr="04568B33">
        <w:rPr>
          <w:rFonts w:eastAsia="Arial"/>
          <w:szCs w:val="20"/>
        </w:rPr>
        <w:t>an</w:t>
      </w:r>
      <w:r>
        <w:rPr>
          <w:rFonts w:eastAsia="Arial"/>
          <w:szCs w:val="20"/>
        </w:rPr>
        <w:t xml:space="preserve"> </w:t>
      </w:r>
      <w:r w:rsidRPr="04568B33">
        <w:rPr>
          <w:rFonts w:eastAsia="Arial"/>
          <w:szCs w:val="20"/>
        </w:rPr>
        <w:t>issue,</w:t>
      </w:r>
      <w:r>
        <w:rPr>
          <w:rFonts w:eastAsia="Arial"/>
          <w:szCs w:val="20"/>
        </w:rPr>
        <w:t xml:space="preserve"> </w:t>
      </w:r>
      <w:r w:rsidRPr="04568B33">
        <w:rPr>
          <w:rFonts w:eastAsia="Arial"/>
          <w:szCs w:val="20"/>
        </w:rPr>
        <w:t>to</w:t>
      </w:r>
      <w:r>
        <w:rPr>
          <w:rFonts w:eastAsia="Arial"/>
          <w:szCs w:val="20"/>
        </w:rPr>
        <w:t xml:space="preserve"> </w:t>
      </w:r>
      <w:r w:rsidRPr="04568B33">
        <w:rPr>
          <w:rFonts w:eastAsia="Arial"/>
          <w:szCs w:val="20"/>
        </w:rPr>
        <w:t>receive</w:t>
      </w:r>
      <w:r>
        <w:rPr>
          <w:rFonts w:eastAsia="Arial"/>
          <w:szCs w:val="20"/>
        </w:rPr>
        <w:t xml:space="preserve"> </w:t>
      </w:r>
      <w:r w:rsidRPr="04568B33">
        <w:rPr>
          <w:rFonts w:eastAsia="Arial"/>
          <w:szCs w:val="20"/>
        </w:rPr>
        <w:t>coaching</w:t>
      </w:r>
      <w:r>
        <w:rPr>
          <w:rFonts w:eastAsia="Arial"/>
          <w:szCs w:val="20"/>
        </w:rPr>
        <w:t xml:space="preserve"> </w:t>
      </w:r>
      <w:r w:rsidRPr="04568B33">
        <w:rPr>
          <w:rFonts w:eastAsia="Arial"/>
          <w:szCs w:val="20"/>
        </w:rPr>
        <w:t>around</w:t>
      </w:r>
      <w:r>
        <w:rPr>
          <w:rFonts w:eastAsia="Arial"/>
          <w:szCs w:val="20"/>
        </w:rPr>
        <w:t xml:space="preserve"> </w:t>
      </w:r>
      <w:r w:rsidRPr="04568B33">
        <w:rPr>
          <w:rFonts w:eastAsia="Arial"/>
          <w:szCs w:val="20"/>
        </w:rPr>
        <w:t>strategic</w:t>
      </w:r>
      <w:r>
        <w:rPr>
          <w:rFonts w:eastAsia="Arial"/>
          <w:szCs w:val="20"/>
        </w:rPr>
        <w:t xml:space="preserve"> </w:t>
      </w:r>
      <w:r w:rsidRPr="04568B33">
        <w:rPr>
          <w:rFonts w:eastAsia="Arial"/>
          <w:szCs w:val="20"/>
        </w:rPr>
        <w:t>communication,</w:t>
      </w:r>
      <w:r>
        <w:rPr>
          <w:rFonts w:eastAsia="Arial"/>
          <w:szCs w:val="20"/>
        </w:rPr>
        <w:t xml:space="preserve"> </w:t>
      </w:r>
      <w:r w:rsidRPr="04568B33">
        <w:rPr>
          <w:rFonts w:eastAsia="Arial"/>
          <w:szCs w:val="20"/>
        </w:rPr>
        <w:t>or</w:t>
      </w:r>
      <w:r w:rsidR="00C0301D">
        <w:rPr>
          <w:rFonts w:eastAsia="Arial"/>
          <w:szCs w:val="20"/>
        </w:rPr>
        <w:t xml:space="preserve"> to</w:t>
      </w:r>
      <w:r>
        <w:rPr>
          <w:rFonts w:eastAsia="Arial"/>
          <w:szCs w:val="20"/>
        </w:rPr>
        <w:t xml:space="preserve"> </w:t>
      </w:r>
      <w:r w:rsidRPr="04568B33">
        <w:rPr>
          <w:rFonts w:eastAsia="Arial"/>
          <w:szCs w:val="20"/>
        </w:rPr>
        <w:t>develop</w:t>
      </w:r>
      <w:r>
        <w:rPr>
          <w:rFonts w:eastAsia="Arial"/>
          <w:szCs w:val="20"/>
        </w:rPr>
        <w:t xml:space="preserve"> </w:t>
      </w:r>
      <w:r w:rsidRPr="04568B33">
        <w:rPr>
          <w:rFonts w:eastAsia="Arial"/>
          <w:szCs w:val="20"/>
        </w:rPr>
        <w:t>strategies</w:t>
      </w:r>
      <w:r>
        <w:rPr>
          <w:rFonts w:eastAsia="Arial"/>
          <w:szCs w:val="20"/>
        </w:rPr>
        <w:t xml:space="preserve"> </w:t>
      </w:r>
      <w:r w:rsidRPr="04568B33">
        <w:rPr>
          <w:rFonts w:eastAsia="Arial"/>
          <w:szCs w:val="20"/>
        </w:rPr>
        <w:t>for</w:t>
      </w:r>
      <w:r>
        <w:rPr>
          <w:rFonts w:eastAsia="Arial"/>
          <w:szCs w:val="20"/>
        </w:rPr>
        <w:t xml:space="preserve"> </w:t>
      </w:r>
      <w:r w:rsidRPr="04568B33">
        <w:rPr>
          <w:rFonts w:eastAsia="Arial"/>
          <w:szCs w:val="20"/>
        </w:rPr>
        <w:t>effective</w:t>
      </w:r>
      <w:r>
        <w:rPr>
          <w:rFonts w:eastAsia="Arial"/>
          <w:szCs w:val="20"/>
        </w:rPr>
        <w:t xml:space="preserve"> </w:t>
      </w:r>
      <w:r w:rsidRPr="04568B33">
        <w:rPr>
          <w:rFonts w:eastAsia="Arial"/>
          <w:szCs w:val="20"/>
        </w:rPr>
        <w:t>collaboration.</w:t>
      </w:r>
    </w:p>
    <w:p w14:paraId="71D75519" w14:textId="77777777" w:rsidR="001A70B8" w:rsidRPr="00E858D4" w:rsidRDefault="001A70B8" w:rsidP="000D06B0">
      <w:pPr>
        <w:pStyle w:val="Heading3"/>
      </w:pPr>
      <w:r w:rsidRPr="00E858D4">
        <w:t>Improvement</w:t>
      </w:r>
      <w:r>
        <w:t xml:space="preserve"> </w:t>
      </w:r>
      <w:r w:rsidRPr="00E858D4">
        <w:t>measures</w:t>
      </w:r>
      <w:r>
        <w:t xml:space="preserve"> </w:t>
      </w:r>
      <w:r w:rsidRPr="00E858D4">
        <w:t>in</w:t>
      </w:r>
      <w:r>
        <w:t xml:space="preserve"> </w:t>
      </w:r>
      <w:r w:rsidRPr="00E858D4">
        <w:t>2021–22</w:t>
      </w:r>
    </w:p>
    <w:p w14:paraId="6CE885D5" w14:textId="267E1A41" w:rsidR="001A70B8" w:rsidRPr="00597312" w:rsidRDefault="001A70B8" w:rsidP="00101E5D">
      <w:pPr>
        <w:pStyle w:val="ARbody"/>
        <w:shd w:val="clear" w:color="auto" w:fill="FFFFFF" w:themeFill="background1"/>
      </w:pPr>
      <w:r w:rsidRPr="00597312">
        <w:t>Other</w:t>
      </w:r>
      <w:r w:rsidR="00C0301D">
        <w:t xml:space="preserve"> </w:t>
      </w:r>
      <w:r w:rsidR="004E0099">
        <w:t>e</w:t>
      </w:r>
      <w:r w:rsidR="00C0301D">
        <w:t>mployee support</w:t>
      </w:r>
      <w:r>
        <w:t xml:space="preserve"> </w:t>
      </w:r>
      <w:r w:rsidRPr="00597312">
        <w:t>improvements</w:t>
      </w:r>
      <w:r>
        <w:t xml:space="preserve"> </w:t>
      </w:r>
      <w:r w:rsidR="000D06B0">
        <w:br/>
      </w:r>
      <w:r w:rsidRPr="00597312">
        <w:t>in</w:t>
      </w:r>
      <w:r>
        <w:t xml:space="preserve"> </w:t>
      </w:r>
      <w:r w:rsidRPr="00597312">
        <w:t>2021–22</w:t>
      </w:r>
      <w:r>
        <w:t xml:space="preserve"> </w:t>
      </w:r>
      <w:r w:rsidRPr="00597312">
        <w:t>include:</w:t>
      </w:r>
    </w:p>
    <w:p w14:paraId="2F632FD8" w14:textId="480B0185" w:rsidR="001A70B8" w:rsidRPr="00064137" w:rsidRDefault="00C0301D" w:rsidP="00101E5D">
      <w:pPr>
        <w:pStyle w:val="ARbullet1"/>
      </w:pPr>
      <w:r>
        <w:t>the</w:t>
      </w:r>
      <w:r w:rsidR="001A70B8">
        <w:t xml:space="preserve"> </w:t>
      </w:r>
      <w:r w:rsidR="001A70B8" w:rsidRPr="43E42705">
        <w:t>launch</w:t>
      </w:r>
      <w:r>
        <w:t xml:space="preserve"> of</w:t>
      </w:r>
      <w:r w:rsidR="001A70B8">
        <w:t xml:space="preserve"> </w:t>
      </w:r>
      <w:r w:rsidR="001A70B8" w:rsidRPr="43E42705">
        <w:t>a</w:t>
      </w:r>
      <w:r w:rsidR="001A70B8">
        <w:t xml:space="preserve"> </w:t>
      </w:r>
      <w:r w:rsidR="001A70B8" w:rsidRPr="43E42705">
        <w:t>new</w:t>
      </w:r>
      <w:r w:rsidR="001A70B8">
        <w:t xml:space="preserve"> </w:t>
      </w:r>
      <w:r w:rsidR="001A70B8" w:rsidRPr="43E42705">
        <w:t>suit</w:t>
      </w:r>
      <w:r>
        <w:t>e</w:t>
      </w:r>
      <w:r w:rsidR="001A70B8">
        <w:t xml:space="preserve"> </w:t>
      </w:r>
      <w:r w:rsidR="001A70B8" w:rsidRPr="43E42705">
        <w:t>of</w:t>
      </w:r>
      <w:r w:rsidR="001A70B8">
        <w:t xml:space="preserve"> resources </w:t>
      </w:r>
      <w:r w:rsidR="001A70B8" w:rsidRPr="43E42705">
        <w:t>and</w:t>
      </w:r>
      <w:r w:rsidR="001A70B8">
        <w:t xml:space="preserve"> </w:t>
      </w:r>
      <w:r w:rsidR="001A70B8" w:rsidRPr="43E42705">
        <w:t>tools</w:t>
      </w:r>
      <w:r w:rsidR="000D06B0">
        <w:t> </w:t>
      </w:r>
      <w:r w:rsidR="001A70B8" w:rsidRPr="43E42705">
        <w:t>to</w:t>
      </w:r>
      <w:r w:rsidR="001A70B8">
        <w:t xml:space="preserve"> </w:t>
      </w:r>
      <w:r w:rsidR="001A70B8" w:rsidRPr="43E42705">
        <w:t>support</w:t>
      </w:r>
      <w:r w:rsidR="001A70B8">
        <w:t xml:space="preserve"> </w:t>
      </w:r>
      <w:r w:rsidR="001A70B8" w:rsidRPr="43E42705">
        <w:t>staff</w:t>
      </w:r>
      <w:r w:rsidR="001A70B8">
        <w:t xml:space="preserve"> </w:t>
      </w:r>
      <w:r w:rsidR="001A70B8" w:rsidRPr="43E42705">
        <w:t>and</w:t>
      </w:r>
      <w:r w:rsidR="001A70B8">
        <w:t xml:space="preserve"> </w:t>
      </w:r>
      <w:r w:rsidR="001A70B8" w:rsidRPr="00064137">
        <w:t>managers to navigate challenging conversations. These guides are</w:t>
      </w:r>
      <w:r w:rsidR="000D06B0">
        <w:t> </w:t>
      </w:r>
      <w:r w:rsidR="001A70B8" w:rsidRPr="00064137">
        <w:t xml:space="preserve">designed to help employees develop the skills required to </w:t>
      </w:r>
      <w:r>
        <w:t>make these</w:t>
      </w:r>
      <w:r w:rsidR="001A70B8" w:rsidRPr="00064137">
        <w:t xml:space="preserve"> conversations</w:t>
      </w:r>
      <w:r>
        <w:t xml:space="preserve"> </w:t>
      </w:r>
      <w:r w:rsidRPr="00064137">
        <w:t>productive</w:t>
      </w:r>
      <w:r w:rsidR="001A70B8" w:rsidRPr="00064137">
        <w:t xml:space="preserve">. The resources, </w:t>
      </w:r>
      <w:r>
        <w:t xml:space="preserve">which consist of </w:t>
      </w:r>
      <w:r w:rsidR="001A70B8" w:rsidRPr="00064137">
        <w:t xml:space="preserve">a guide for all employees and a guide for people leaders, </w:t>
      </w:r>
      <w:r w:rsidR="00030682">
        <w:t xml:space="preserve">come </w:t>
      </w:r>
      <w:r>
        <w:t>in an</w:t>
      </w:r>
      <w:r w:rsidR="001A70B8" w:rsidRPr="00064137">
        <w:t xml:space="preserve"> easy to use format </w:t>
      </w:r>
      <w:r w:rsidR="00030682">
        <w:t>and</w:t>
      </w:r>
      <w:r w:rsidR="00030682" w:rsidRPr="00064137">
        <w:t xml:space="preserve"> </w:t>
      </w:r>
      <w:r w:rsidR="001A70B8" w:rsidRPr="00064137">
        <w:t>can</w:t>
      </w:r>
      <w:r w:rsidR="000D06B0">
        <w:t> </w:t>
      </w:r>
      <w:r w:rsidR="001A70B8" w:rsidRPr="00064137">
        <w:t xml:space="preserve">be used in any situation. </w:t>
      </w:r>
      <w:r w:rsidR="004E0099">
        <w:t>They</w:t>
      </w:r>
      <w:r w:rsidR="001A70B8" w:rsidRPr="00064137">
        <w:t xml:space="preserve"> upskill </w:t>
      </w:r>
      <w:r w:rsidR="007F0C8F">
        <w:t>the</w:t>
      </w:r>
      <w:r w:rsidR="000D06B0">
        <w:t> </w:t>
      </w:r>
      <w:r w:rsidR="007F0C8F">
        <w:t>department’s</w:t>
      </w:r>
      <w:r w:rsidR="001A70B8" w:rsidRPr="00064137">
        <w:t xml:space="preserve"> workforce </w:t>
      </w:r>
      <w:r w:rsidR="00030682">
        <w:t xml:space="preserve">and </w:t>
      </w:r>
      <w:r w:rsidR="007F0C8F">
        <w:t>foster</w:t>
      </w:r>
      <w:r w:rsidR="001A70B8" w:rsidRPr="00064137">
        <w:t xml:space="preserve"> an environment where everyone feels heard and </w:t>
      </w:r>
      <w:r w:rsidR="009E41B4">
        <w:t>able</w:t>
      </w:r>
      <w:r w:rsidR="001A70B8" w:rsidRPr="00064137">
        <w:t xml:space="preserve"> to contribute to conversations. These resources complement the support provide</w:t>
      </w:r>
      <w:r w:rsidR="00030682">
        <w:t>d</w:t>
      </w:r>
      <w:r w:rsidR="001A70B8" w:rsidRPr="00064137">
        <w:t xml:space="preserve"> by the </w:t>
      </w:r>
      <w:r w:rsidR="00030682">
        <w:t>w</w:t>
      </w:r>
      <w:r w:rsidR="001A70B8" w:rsidRPr="00064137">
        <w:t xml:space="preserve">orkplace </w:t>
      </w:r>
      <w:r w:rsidR="00030682">
        <w:t>f</w:t>
      </w:r>
      <w:r w:rsidR="001A70B8" w:rsidRPr="00064137">
        <w:t xml:space="preserve">acilitator and the Conflict Assist stream </w:t>
      </w:r>
      <w:r w:rsidR="001A70B8" w:rsidRPr="005631D4">
        <w:t>through</w:t>
      </w:r>
      <w:r w:rsidR="001A70B8" w:rsidRPr="00064137">
        <w:t xml:space="preserve"> the Employee Wellbeing and Support Program.</w:t>
      </w:r>
    </w:p>
    <w:p w14:paraId="0B2F47DD" w14:textId="47A9C67C" w:rsidR="001A70B8" w:rsidRPr="00064137" w:rsidRDefault="00030682" w:rsidP="00101E5D">
      <w:pPr>
        <w:pStyle w:val="ARbullet1"/>
      </w:pPr>
      <w:r>
        <w:t>the introduction, i</w:t>
      </w:r>
      <w:r w:rsidR="001A70B8">
        <w:t>n September 2021</w:t>
      </w:r>
      <w:r w:rsidR="00747BB9">
        <w:t>,</w:t>
      </w:r>
      <w:r w:rsidR="001A70B8">
        <w:t xml:space="preserve"> </w:t>
      </w:r>
      <w:r>
        <w:t xml:space="preserve">of the Aboriginal Social and Emotional Employee Wellbeing </w:t>
      </w:r>
      <w:r w:rsidR="00A306FA">
        <w:t>P</w:t>
      </w:r>
      <w:r>
        <w:t>rogram</w:t>
      </w:r>
      <w:r w:rsidR="00747BB9">
        <w:t>,</w:t>
      </w:r>
      <w:r>
        <w:t xml:space="preserve"> </w:t>
      </w:r>
      <w:r w:rsidR="001A70B8">
        <w:t xml:space="preserve">available to all Aboriginal staff across the </w:t>
      </w:r>
      <w:r>
        <w:t>d</w:t>
      </w:r>
      <w:r w:rsidR="001A70B8">
        <w:t>epartment. The supports available through</w:t>
      </w:r>
      <w:r>
        <w:t xml:space="preserve"> this program</w:t>
      </w:r>
      <w:r w:rsidR="001A70B8">
        <w:t xml:space="preserve"> provide Aboriginal staff with an opportunity to yarn in a confidential, non-judgemental space and take away strategies to help address their needs. The support</w:t>
      </w:r>
      <w:r>
        <w:t>s</w:t>
      </w:r>
      <w:r w:rsidR="001A70B8">
        <w:t xml:space="preserve"> </w:t>
      </w:r>
      <w:r>
        <w:t xml:space="preserve">are </w:t>
      </w:r>
      <w:r w:rsidR="001A70B8">
        <w:t>available through the Victorian Aboriginal Health Service’</w:t>
      </w:r>
      <w:r>
        <w:t>s</w:t>
      </w:r>
      <w:r w:rsidR="001A70B8">
        <w:t xml:space="preserve"> (VAHS) specialist Employee Assistance Program</w:t>
      </w:r>
      <w:r w:rsidR="00612F0B">
        <w:t xml:space="preserve">, </w:t>
      </w:r>
      <w:r w:rsidR="007C3003">
        <w:t>which helps</w:t>
      </w:r>
      <w:r w:rsidR="001A70B8">
        <w:t xml:space="preserve"> Aboriginal staff to </w:t>
      </w:r>
      <w:r w:rsidR="00612F0B">
        <w:t xml:space="preserve">consider </w:t>
      </w:r>
      <w:r w:rsidR="001A70B8">
        <w:t xml:space="preserve">their challenges, </w:t>
      </w:r>
      <w:r w:rsidR="00612F0B">
        <w:t>find</w:t>
      </w:r>
      <w:r w:rsidR="0030377F">
        <w:t> </w:t>
      </w:r>
      <w:r w:rsidR="001A70B8">
        <w:t>healing and develop strategies to address identified issues in accordance with cultural safety and self-determination. Th</w:t>
      </w:r>
      <w:r w:rsidR="00612F0B">
        <w:t xml:space="preserve">is program </w:t>
      </w:r>
      <w:r w:rsidR="001A70B8">
        <w:t>is compl</w:t>
      </w:r>
      <w:r w:rsidR="00612F0B">
        <w:t>e</w:t>
      </w:r>
      <w:r w:rsidR="001A70B8">
        <w:t xml:space="preserve">mented by </w:t>
      </w:r>
      <w:r w:rsidR="00BD33D7">
        <w:t>the</w:t>
      </w:r>
      <w:r w:rsidR="001A70B8">
        <w:t xml:space="preserve"> Aboriginal Pe</w:t>
      </w:r>
      <w:r w:rsidR="00612F0B">
        <w:t>e</w:t>
      </w:r>
      <w:r w:rsidR="001A70B8">
        <w:t>r Support Network</w:t>
      </w:r>
      <w:r w:rsidR="00BD33D7">
        <w:t xml:space="preserve"> noted earlier</w:t>
      </w:r>
      <w:r w:rsidR="001A70B8">
        <w:t>.</w:t>
      </w:r>
    </w:p>
    <w:p w14:paraId="2FE4AD52" w14:textId="37BE1C23" w:rsidR="001A70B8" w:rsidRPr="00064137" w:rsidRDefault="004E0099" w:rsidP="00101E5D">
      <w:pPr>
        <w:pStyle w:val="ARbullet1"/>
      </w:pPr>
      <w:r>
        <w:t>progress toward</w:t>
      </w:r>
      <w:r w:rsidR="004C5C40">
        <w:t xml:space="preserve"> the implementation </w:t>
      </w:r>
      <w:r w:rsidR="001A70B8" w:rsidRPr="00064137">
        <w:t xml:space="preserve">of the </w:t>
      </w:r>
      <w:r w:rsidR="001A70B8" w:rsidRPr="00503165">
        <w:rPr>
          <w:i/>
          <w:iCs/>
        </w:rPr>
        <w:t xml:space="preserve">Family </w:t>
      </w:r>
      <w:r w:rsidR="00DC562B">
        <w:rPr>
          <w:i/>
          <w:iCs/>
        </w:rPr>
        <w:t>v</w:t>
      </w:r>
      <w:r w:rsidR="001A70B8" w:rsidRPr="00503165">
        <w:rPr>
          <w:i/>
          <w:iCs/>
        </w:rPr>
        <w:t xml:space="preserve">iolence </w:t>
      </w:r>
      <w:r w:rsidR="00DC562B">
        <w:rPr>
          <w:i/>
          <w:iCs/>
        </w:rPr>
        <w:t>m</w:t>
      </w:r>
      <w:r w:rsidR="001A70B8" w:rsidRPr="00503165">
        <w:rPr>
          <w:i/>
          <w:iCs/>
        </w:rPr>
        <w:t>ulti-</w:t>
      </w:r>
      <w:r w:rsidR="00DC562B">
        <w:rPr>
          <w:i/>
          <w:iCs/>
        </w:rPr>
        <w:t>a</w:t>
      </w:r>
      <w:r w:rsidR="001A70B8" w:rsidRPr="00503165">
        <w:rPr>
          <w:i/>
          <w:iCs/>
        </w:rPr>
        <w:t xml:space="preserve">gency </w:t>
      </w:r>
      <w:r w:rsidR="00DC562B">
        <w:rPr>
          <w:i/>
          <w:iCs/>
        </w:rPr>
        <w:t>r</w:t>
      </w:r>
      <w:r w:rsidR="001A70B8" w:rsidRPr="00503165">
        <w:rPr>
          <w:i/>
          <w:iCs/>
        </w:rPr>
        <w:t xml:space="preserve">isk </w:t>
      </w:r>
      <w:r w:rsidR="00DC562B">
        <w:rPr>
          <w:i/>
          <w:iCs/>
        </w:rPr>
        <w:t>a</w:t>
      </w:r>
      <w:r w:rsidR="001A70B8" w:rsidRPr="00503165">
        <w:rPr>
          <w:i/>
          <w:iCs/>
        </w:rPr>
        <w:t xml:space="preserve">ssessment and </w:t>
      </w:r>
      <w:r w:rsidR="00DC562B">
        <w:rPr>
          <w:i/>
          <w:iCs/>
        </w:rPr>
        <w:t>m</w:t>
      </w:r>
      <w:r w:rsidR="001A70B8" w:rsidRPr="00503165">
        <w:rPr>
          <w:i/>
          <w:iCs/>
        </w:rPr>
        <w:t>anagement (MARAM) framework</w:t>
      </w:r>
      <w:r w:rsidR="004C5C40">
        <w:t xml:space="preserve">, which </w:t>
      </w:r>
      <w:r>
        <w:t xml:space="preserve">applies to </w:t>
      </w:r>
      <w:r w:rsidR="004C5C40">
        <w:t>the department as a prescribed organisation</w:t>
      </w:r>
      <w:r w:rsidR="001A70B8" w:rsidRPr="00064137">
        <w:t>. This framework is designed to</w:t>
      </w:r>
      <w:r w:rsidR="002465B4">
        <w:t> </w:t>
      </w:r>
      <w:r w:rsidR="001A70B8" w:rsidRPr="00064137">
        <w:t>increase the safety and wellbeing of the</w:t>
      </w:r>
      <w:r w:rsidR="002465B4">
        <w:t> </w:t>
      </w:r>
      <w:r w:rsidR="001A70B8" w:rsidRPr="00064137">
        <w:t>department</w:t>
      </w:r>
      <w:r w:rsidR="004C5C40">
        <w:t>’</w:t>
      </w:r>
      <w:r w:rsidR="001A70B8" w:rsidRPr="00064137">
        <w:t>s staff through identifying, assessing</w:t>
      </w:r>
      <w:r w:rsidR="0030377F">
        <w:t> </w:t>
      </w:r>
      <w:r w:rsidR="001A70B8" w:rsidRPr="00064137">
        <w:t xml:space="preserve">and managing family violence risk effectively. </w:t>
      </w:r>
      <w:r w:rsidR="004C5C40">
        <w:t>It</w:t>
      </w:r>
      <w:r w:rsidR="001A70B8" w:rsidRPr="00064137">
        <w:t xml:space="preserve"> was developed in response to the 2015 Royal Commission into Family Violence and is established in law under the </w:t>
      </w:r>
      <w:r w:rsidR="001A70B8" w:rsidRPr="00503165">
        <w:rPr>
          <w:i/>
          <w:iCs/>
        </w:rPr>
        <w:t>Family Violence Protection Act 2008</w:t>
      </w:r>
      <w:r w:rsidR="001A70B8" w:rsidRPr="00064137">
        <w:t>.</w:t>
      </w:r>
    </w:p>
    <w:p w14:paraId="72D9F9EE" w14:textId="4342E6A3" w:rsidR="001A70B8" w:rsidRDefault="004C5C40" w:rsidP="00101E5D">
      <w:pPr>
        <w:pStyle w:val="ARbullet1"/>
        <w:rPr>
          <w:rFonts w:asciiTheme="minorHAnsi" w:eastAsiaTheme="minorEastAsia" w:hAnsiTheme="minorHAnsi" w:cstheme="minorBidi"/>
          <w:color w:val="000000" w:themeColor="text1"/>
          <w:szCs w:val="20"/>
        </w:rPr>
      </w:pPr>
      <w:r>
        <w:t>the creation of</w:t>
      </w:r>
      <w:r w:rsidR="001A70B8" w:rsidRPr="00064137">
        <w:t xml:space="preserve"> a dedicated </w:t>
      </w:r>
      <w:r w:rsidR="00772990">
        <w:t>suite</w:t>
      </w:r>
      <w:r>
        <w:t xml:space="preserve"> of </w:t>
      </w:r>
      <w:r w:rsidR="001A70B8" w:rsidRPr="00064137">
        <w:t>resource</w:t>
      </w:r>
      <w:r>
        <w:t>s</w:t>
      </w:r>
      <w:r w:rsidR="001A70B8" w:rsidRPr="00064137">
        <w:t xml:space="preserve"> to support staff who may be experiencing grief and loss. These resources acknowledge that grief and loss </w:t>
      </w:r>
      <w:r w:rsidR="00772990">
        <w:t>are</w:t>
      </w:r>
      <w:r w:rsidR="00772990" w:rsidRPr="00064137">
        <w:t xml:space="preserve"> </w:t>
      </w:r>
      <w:r w:rsidR="001A70B8" w:rsidRPr="00064137">
        <w:t>not just experienced in relation to the death of a loved one but also as a result of any major loss</w:t>
      </w:r>
      <w:r w:rsidR="006C5186">
        <w:t>,</w:t>
      </w:r>
      <w:r w:rsidR="001A70B8" w:rsidRPr="00064137">
        <w:t xml:space="preserve"> including</w:t>
      </w:r>
      <w:r w:rsidR="006C5186">
        <w:t xml:space="preserve"> relationship</w:t>
      </w:r>
      <w:r w:rsidR="001A70B8" w:rsidRPr="00064137">
        <w:t xml:space="preserve"> break</w:t>
      </w:r>
      <w:r w:rsidR="006C5186">
        <w:t>-</w:t>
      </w:r>
      <w:r w:rsidR="001A70B8" w:rsidRPr="00064137">
        <w:t>up, loss of a living situation, job loss, retirement, retrenchment or significant job change</w:t>
      </w:r>
      <w:r w:rsidR="006C5186">
        <w:t>s</w:t>
      </w:r>
      <w:r w:rsidR="001A70B8" w:rsidRPr="00064137">
        <w:t xml:space="preserve"> as a result of a restructure. The </w:t>
      </w:r>
      <w:r w:rsidR="001A70B8" w:rsidRPr="001A04C0">
        <w:rPr>
          <w:i/>
          <w:iCs/>
        </w:rPr>
        <w:t xml:space="preserve">Grief, </w:t>
      </w:r>
      <w:r w:rsidR="006C5186">
        <w:rPr>
          <w:i/>
          <w:iCs/>
        </w:rPr>
        <w:t>l</w:t>
      </w:r>
      <w:r w:rsidR="001A70B8" w:rsidRPr="001A04C0">
        <w:rPr>
          <w:i/>
          <w:iCs/>
        </w:rPr>
        <w:t xml:space="preserve">oss and </w:t>
      </w:r>
      <w:r w:rsidR="006C5186">
        <w:rPr>
          <w:i/>
          <w:iCs/>
        </w:rPr>
        <w:t>b</w:t>
      </w:r>
      <w:r w:rsidR="001A70B8" w:rsidRPr="001A04C0">
        <w:rPr>
          <w:i/>
          <w:iCs/>
        </w:rPr>
        <w:t xml:space="preserve">ereavement </w:t>
      </w:r>
      <w:r w:rsidR="006C5186">
        <w:rPr>
          <w:i/>
          <w:iCs/>
        </w:rPr>
        <w:t>g</w:t>
      </w:r>
      <w:r w:rsidR="001A70B8" w:rsidRPr="001A04C0">
        <w:rPr>
          <w:i/>
          <w:iCs/>
        </w:rPr>
        <w:t>uide</w:t>
      </w:r>
      <w:r w:rsidR="001A70B8" w:rsidRPr="00064137">
        <w:t xml:space="preserve"> and supporting resources provide practical information about the manifestation of grief and loss and tools and</w:t>
      </w:r>
      <w:r w:rsidR="002465B4">
        <w:t> </w:t>
      </w:r>
      <w:r w:rsidR="001A70B8" w:rsidRPr="00064137">
        <w:t>tips</w:t>
      </w:r>
      <w:r w:rsidR="002465B4">
        <w:t> </w:t>
      </w:r>
      <w:r w:rsidR="001A70B8" w:rsidRPr="00064137">
        <w:t>on how to look after yourself when experi</w:t>
      </w:r>
      <w:r w:rsidR="001A70B8" w:rsidRPr="27253489">
        <w:t>encing</w:t>
      </w:r>
      <w:r w:rsidR="001A70B8">
        <w:t xml:space="preserve"> </w:t>
      </w:r>
      <w:r w:rsidR="001A70B8" w:rsidRPr="27253489">
        <w:t>grief.</w:t>
      </w:r>
      <w:r w:rsidR="001A70B8">
        <w:t xml:space="preserve"> </w:t>
      </w:r>
      <w:r w:rsidR="001A70B8" w:rsidRPr="27253489">
        <w:t>There</w:t>
      </w:r>
      <w:r w:rsidR="001A70B8">
        <w:t xml:space="preserve"> </w:t>
      </w:r>
      <w:r w:rsidR="006C5186">
        <w:t xml:space="preserve">are </w:t>
      </w:r>
      <w:r w:rsidR="001A70B8" w:rsidRPr="27253489">
        <w:t>also</w:t>
      </w:r>
      <w:r w:rsidR="001A70B8">
        <w:t xml:space="preserve"> </w:t>
      </w:r>
      <w:r w:rsidR="001A70B8" w:rsidRPr="27253489">
        <w:t>resources</w:t>
      </w:r>
      <w:r w:rsidR="001A70B8">
        <w:t xml:space="preserve"> </w:t>
      </w:r>
      <w:r w:rsidR="001A70B8" w:rsidRPr="27253489">
        <w:t>aimed</w:t>
      </w:r>
      <w:r w:rsidR="001A70B8">
        <w:t xml:space="preserve"> </w:t>
      </w:r>
      <w:r w:rsidR="001A70B8" w:rsidRPr="27253489">
        <w:t>at</w:t>
      </w:r>
      <w:r w:rsidR="001A70B8">
        <w:t xml:space="preserve"> </w:t>
      </w:r>
      <w:r w:rsidR="001A70B8" w:rsidRPr="27253489">
        <w:t>those</w:t>
      </w:r>
      <w:r w:rsidR="001A70B8">
        <w:t xml:space="preserve"> </w:t>
      </w:r>
      <w:r w:rsidR="001A70B8" w:rsidRPr="27253489">
        <w:t>who</w:t>
      </w:r>
      <w:r w:rsidR="001A70B8">
        <w:t xml:space="preserve"> </w:t>
      </w:r>
      <w:r w:rsidR="001A70B8" w:rsidRPr="27253489">
        <w:t>may</w:t>
      </w:r>
      <w:r w:rsidR="001A70B8">
        <w:t xml:space="preserve"> </w:t>
      </w:r>
      <w:r w:rsidR="001A70B8" w:rsidRPr="27253489">
        <w:t>be</w:t>
      </w:r>
      <w:r w:rsidR="001A70B8">
        <w:t xml:space="preserve"> </w:t>
      </w:r>
      <w:r w:rsidR="001A70B8" w:rsidRPr="27253489">
        <w:t>supporting</w:t>
      </w:r>
      <w:r w:rsidR="001A70B8">
        <w:t xml:space="preserve"> </w:t>
      </w:r>
      <w:r w:rsidR="001A70B8" w:rsidRPr="27253489">
        <w:t>colleagues</w:t>
      </w:r>
      <w:r w:rsidR="001A70B8">
        <w:t xml:space="preserve"> </w:t>
      </w:r>
      <w:r w:rsidR="001A70B8" w:rsidRPr="27253489">
        <w:t>or</w:t>
      </w:r>
      <w:r w:rsidR="001A70B8">
        <w:t xml:space="preserve"> </w:t>
      </w:r>
      <w:r w:rsidR="001A70B8" w:rsidRPr="27253489">
        <w:t>employees</w:t>
      </w:r>
      <w:r w:rsidR="001A70B8">
        <w:t xml:space="preserve"> </w:t>
      </w:r>
      <w:r w:rsidR="001A70B8" w:rsidRPr="27253489">
        <w:t>who</w:t>
      </w:r>
      <w:r w:rsidR="001A70B8">
        <w:t xml:space="preserve"> </w:t>
      </w:r>
      <w:r w:rsidR="001A70B8" w:rsidRPr="27253489">
        <w:t>are</w:t>
      </w:r>
      <w:r w:rsidR="001A70B8">
        <w:t xml:space="preserve"> </w:t>
      </w:r>
      <w:r w:rsidR="001A70B8" w:rsidRPr="27253489">
        <w:t>experiencing</w:t>
      </w:r>
      <w:r w:rsidR="001A70B8">
        <w:t xml:space="preserve"> </w:t>
      </w:r>
      <w:r w:rsidR="001A70B8" w:rsidRPr="27253489">
        <w:t>grief</w:t>
      </w:r>
      <w:r w:rsidR="001A70B8">
        <w:t xml:space="preserve"> </w:t>
      </w:r>
      <w:r w:rsidR="001A70B8" w:rsidRPr="27253489">
        <w:t>and</w:t>
      </w:r>
      <w:r w:rsidR="001A70B8">
        <w:t xml:space="preserve"> </w:t>
      </w:r>
      <w:r w:rsidR="001A70B8" w:rsidRPr="27253489">
        <w:t>loss</w:t>
      </w:r>
      <w:r w:rsidR="001A70B8" w:rsidRPr="124BAB83">
        <w:t>.</w:t>
      </w:r>
    </w:p>
    <w:p w14:paraId="2F5602D1" w14:textId="77777777" w:rsidR="001A70B8" w:rsidRDefault="001A70B8" w:rsidP="00101E5D">
      <w:pPr>
        <w:pStyle w:val="Heading3"/>
        <w:shd w:val="clear" w:color="auto" w:fill="FFFFFF" w:themeFill="background1"/>
        <w:spacing w:before="0"/>
        <w:sectPr w:rsidR="001A70B8" w:rsidSect="0015132C">
          <w:footnotePr>
            <w:numFmt w:val="lowerLetter"/>
            <w:numRestart w:val="eachPage"/>
          </w:footnotePr>
          <w:endnotePr>
            <w:numFmt w:val="decimal"/>
          </w:endnotePr>
          <w:pgSz w:w="11900" w:h="16840" w:code="9"/>
          <w:pgMar w:top="1985" w:right="1134" w:bottom="851" w:left="1134" w:header="510" w:footer="340" w:gutter="0"/>
          <w:cols w:num="2" w:space="454"/>
        </w:sectPr>
      </w:pPr>
      <w:bookmarkStart w:id="297" w:name="_Ref21955871"/>
      <w:bookmarkStart w:id="298" w:name="_Ref525047492"/>
    </w:p>
    <w:p w14:paraId="11B6E039" w14:textId="77777777" w:rsidR="001A70B8" w:rsidRDefault="001A70B8" w:rsidP="00101E5D">
      <w:pPr>
        <w:pStyle w:val="Heading3"/>
        <w:shd w:val="clear" w:color="auto" w:fill="FFFFFF" w:themeFill="background1"/>
        <w:spacing w:before="0"/>
      </w:pPr>
      <w:bookmarkStart w:id="299" w:name="_Toc85121258"/>
      <w:r w:rsidRPr="002029AF">
        <w:t>The</w:t>
      </w:r>
      <w:r>
        <w:t xml:space="preserve"> </w:t>
      </w:r>
      <w:r w:rsidRPr="002029AF">
        <w:t>department</w:t>
      </w:r>
      <w:r>
        <w:t>’</w:t>
      </w:r>
      <w:r w:rsidRPr="002029AF">
        <w:t>s</w:t>
      </w:r>
      <w:r>
        <w:t xml:space="preserve"> </w:t>
      </w:r>
      <w:r w:rsidRPr="002029AF">
        <w:t>performance</w:t>
      </w:r>
      <w:r>
        <w:t xml:space="preserve"> </w:t>
      </w:r>
      <w:r w:rsidRPr="002029AF">
        <w:t>against</w:t>
      </w:r>
      <w:r>
        <w:t xml:space="preserve"> </w:t>
      </w:r>
      <w:r w:rsidRPr="002029AF">
        <w:t>occupational</w:t>
      </w:r>
      <w:r>
        <w:t xml:space="preserve"> </w:t>
      </w:r>
      <w:r w:rsidRPr="002029AF">
        <w:t>health</w:t>
      </w:r>
      <w:r>
        <w:t xml:space="preserve"> </w:t>
      </w:r>
      <w:r w:rsidRPr="002029AF">
        <w:t>and</w:t>
      </w:r>
      <w:r>
        <w:t xml:space="preserve"> </w:t>
      </w:r>
      <w:r w:rsidRPr="002029AF">
        <w:t>safety</w:t>
      </w:r>
      <w:r>
        <w:t xml:space="preserve"> </w:t>
      </w:r>
      <w:r w:rsidRPr="002029AF">
        <w:t>management</w:t>
      </w:r>
      <w:r>
        <w:t xml:space="preserve"> </w:t>
      </w:r>
      <w:r w:rsidRPr="002029AF">
        <w:t>measures</w:t>
      </w:r>
      <w:bookmarkEnd w:id="297"/>
      <w:bookmarkEnd w:id="299"/>
    </w:p>
    <w:p w14:paraId="2FC4AB72" w14:textId="223D9862" w:rsidR="001A70B8" w:rsidRPr="00260E00" w:rsidRDefault="001A70B8" w:rsidP="00101E5D">
      <w:pPr>
        <w:pStyle w:val="ARbodybeforetable"/>
        <w:shd w:val="clear" w:color="auto" w:fill="FFFFFF" w:themeFill="background1"/>
      </w:pPr>
      <w:r w:rsidRPr="00682015">
        <w:t>The</w:t>
      </w:r>
      <w:r>
        <w:t xml:space="preserve"> </w:t>
      </w:r>
      <w:r w:rsidRPr="00682015">
        <w:t>right-hand</w:t>
      </w:r>
      <w:r>
        <w:t xml:space="preserve"> </w:t>
      </w:r>
      <w:r w:rsidRPr="00682015">
        <w:t>column</w:t>
      </w:r>
      <w:r>
        <w:t xml:space="preserve"> </w:t>
      </w:r>
      <w:r w:rsidRPr="00682015">
        <w:t>of</w:t>
      </w:r>
      <w:r>
        <w:t xml:space="preserve"> </w:t>
      </w:r>
      <w:r w:rsidRPr="00682015">
        <w:t>this</w:t>
      </w:r>
      <w:r>
        <w:t xml:space="preserve"> </w:t>
      </w:r>
      <w:r w:rsidRPr="00682015">
        <w:t>report</w:t>
      </w:r>
      <w:r>
        <w:t xml:space="preserve"> </w:t>
      </w:r>
      <w:r w:rsidRPr="00682015">
        <w:t>provides</w:t>
      </w:r>
      <w:r>
        <w:t xml:space="preserve"> </w:t>
      </w:r>
      <w:r w:rsidRPr="00682015">
        <w:t>data</w:t>
      </w:r>
      <w:r>
        <w:t xml:space="preserve"> </w:t>
      </w:r>
      <w:r w:rsidRPr="00682015">
        <w:t>for</w:t>
      </w:r>
      <w:r>
        <w:t xml:space="preserve"> </w:t>
      </w:r>
      <w:r w:rsidRPr="00682015">
        <w:t>the</w:t>
      </w:r>
      <w:r>
        <w:t xml:space="preserve"> </w:t>
      </w:r>
      <w:r w:rsidRPr="00682015">
        <w:t>202</w:t>
      </w:r>
      <w:r>
        <w:t>1–</w:t>
      </w:r>
      <w:r w:rsidRPr="00682015">
        <w:t>2</w:t>
      </w:r>
      <w:r>
        <w:t xml:space="preserve">2 </w:t>
      </w:r>
      <w:r w:rsidRPr="00682015">
        <w:t>financial</w:t>
      </w:r>
      <w:r>
        <w:t xml:space="preserve"> </w:t>
      </w:r>
      <w:r w:rsidRPr="00682015">
        <w:t>year</w:t>
      </w:r>
      <w:r>
        <w:t xml:space="preserve"> </w:t>
      </w:r>
      <w:r w:rsidRPr="00682015">
        <w:t>based</w:t>
      </w:r>
      <w:r>
        <w:t xml:space="preserve"> </w:t>
      </w:r>
      <w:r w:rsidRPr="00682015">
        <w:t>on</w:t>
      </w:r>
      <w:r>
        <w:t xml:space="preserve"> </w:t>
      </w:r>
      <w:r w:rsidRPr="00682015">
        <w:t>claims</w:t>
      </w:r>
      <w:r>
        <w:t xml:space="preserve"> </w:t>
      </w:r>
      <w:r w:rsidRPr="00682015">
        <w:t>received</w:t>
      </w:r>
      <w:r>
        <w:t xml:space="preserve"> </w:t>
      </w:r>
      <w:r w:rsidRPr="00682015">
        <w:t>for</w:t>
      </w:r>
      <w:r>
        <w:t xml:space="preserve"> </w:t>
      </w:r>
      <w:r w:rsidRPr="00682015">
        <w:t>the</w:t>
      </w:r>
      <w:r>
        <w:t xml:space="preserve"> </w:t>
      </w:r>
      <w:r w:rsidRPr="00682015">
        <w:t>period</w:t>
      </w:r>
      <w:r>
        <w:t xml:space="preserve"> </w:t>
      </w:r>
      <w:r w:rsidRPr="00682015">
        <w:t>1</w:t>
      </w:r>
      <w:r>
        <w:t xml:space="preserve"> </w:t>
      </w:r>
      <w:r w:rsidRPr="00682015">
        <w:t>July</w:t>
      </w:r>
      <w:r>
        <w:t xml:space="preserve"> </w:t>
      </w:r>
      <w:r w:rsidRPr="00682015">
        <w:t>202</w:t>
      </w:r>
      <w:r>
        <w:t xml:space="preserve">1 </w:t>
      </w:r>
      <w:r w:rsidRPr="00682015">
        <w:t>to</w:t>
      </w:r>
      <w:r>
        <w:t xml:space="preserve"> </w:t>
      </w:r>
      <w:r w:rsidRPr="00682015">
        <w:t>30</w:t>
      </w:r>
      <w:r>
        <w:t xml:space="preserve"> </w:t>
      </w:r>
      <w:r w:rsidRPr="00682015">
        <w:t>June</w:t>
      </w:r>
      <w:r>
        <w:t xml:space="preserve"> </w:t>
      </w:r>
      <w:r w:rsidRPr="00682015">
        <w:t>202</w:t>
      </w:r>
      <w:r>
        <w:t>2</w:t>
      </w:r>
      <w:r w:rsidRPr="00682015">
        <w:t>.</w:t>
      </w:r>
      <w:r>
        <w:t xml:space="preserve"> </w:t>
      </w:r>
      <w:r w:rsidRPr="00682015">
        <w:t>The</w:t>
      </w:r>
      <w:r>
        <w:t xml:space="preserve"> </w:t>
      </w:r>
      <w:r w:rsidRPr="00682015">
        <w:t>claims</w:t>
      </w:r>
      <w:r>
        <w:t xml:space="preserve"> </w:t>
      </w:r>
      <w:r w:rsidRPr="00682015">
        <w:t>information</w:t>
      </w:r>
      <w:r>
        <w:t xml:space="preserve"> </w:t>
      </w:r>
      <w:r w:rsidRPr="00682015">
        <w:t>for</w:t>
      </w:r>
      <w:r>
        <w:t xml:space="preserve"> </w:t>
      </w:r>
      <w:r w:rsidRPr="00682015">
        <w:t>201</w:t>
      </w:r>
      <w:r>
        <w:t>9–</w:t>
      </w:r>
      <w:r w:rsidRPr="00682015">
        <w:t>20</w:t>
      </w:r>
      <w:r>
        <w:t xml:space="preserve"> </w:t>
      </w:r>
      <w:r w:rsidRPr="001272BE">
        <w:t>reflects</w:t>
      </w:r>
      <w:r>
        <w:t xml:space="preserve"> </w:t>
      </w:r>
      <w:r w:rsidRPr="001272BE">
        <w:t>the</w:t>
      </w:r>
      <w:r>
        <w:t xml:space="preserve"> </w:t>
      </w:r>
      <w:r w:rsidRPr="001272BE">
        <w:t>Department</w:t>
      </w:r>
      <w:r>
        <w:t xml:space="preserve"> </w:t>
      </w:r>
      <w:r w:rsidRPr="001272BE">
        <w:t>of</w:t>
      </w:r>
      <w:r w:rsidR="002465B4">
        <w:t> </w:t>
      </w:r>
      <w:r w:rsidRPr="001272BE">
        <w:t>Health</w:t>
      </w:r>
      <w:r>
        <w:t xml:space="preserve"> </w:t>
      </w:r>
      <w:r w:rsidRPr="001272BE">
        <w:t>and</w:t>
      </w:r>
      <w:r>
        <w:t xml:space="preserve"> </w:t>
      </w:r>
      <w:r w:rsidRPr="001272BE">
        <w:t>Human</w:t>
      </w:r>
      <w:r>
        <w:t xml:space="preserve"> </w:t>
      </w:r>
      <w:r w:rsidRPr="001272BE">
        <w:t>Services</w:t>
      </w:r>
      <w:r>
        <w:t xml:space="preserve"> </w:t>
      </w:r>
      <w:r w:rsidRPr="001272BE">
        <w:t>prior</w:t>
      </w:r>
      <w:r>
        <w:t xml:space="preserve"> </w:t>
      </w:r>
      <w:r w:rsidRPr="001272BE">
        <w:t>to</w:t>
      </w:r>
      <w:r>
        <w:t xml:space="preserve"> </w:t>
      </w:r>
      <w:r w:rsidRPr="001272BE">
        <w:t>the</w:t>
      </w:r>
      <w:r>
        <w:t xml:space="preserve"> </w:t>
      </w:r>
      <w:r w:rsidRPr="001272BE">
        <w:t>machinery</w:t>
      </w:r>
      <w:r>
        <w:t xml:space="preserve"> </w:t>
      </w:r>
      <w:r w:rsidRPr="001272BE">
        <w:t>of</w:t>
      </w:r>
      <w:r>
        <w:t xml:space="preserve"> </w:t>
      </w:r>
      <w:r w:rsidRPr="001272BE">
        <w:t>government</w:t>
      </w:r>
      <w:r>
        <w:t xml:space="preserve"> </w:t>
      </w:r>
      <w:r w:rsidRPr="001272BE">
        <w:t>changes</w:t>
      </w:r>
      <w:r>
        <w:t xml:space="preserve"> </w:t>
      </w:r>
      <w:r w:rsidRPr="001272BE">
        <w:t>on</w:t>
      </w:r>
      <w:r>
        <w:t xml:space="preserve"> </w:t>
      </w:r>
      <w:r w:rsidRPr="001272BE">
        <w:t>1</w:t>
      </w:r>
      <w:r>
        <w:t xml:space="preserve"> </w:t>
      </w:r>
      <w:r w:rsidRPr="0095234B">
        <w:t>February</w:t>
      </w:r>
      <w:r>
        <w:t xml:space="preserve"> </w:t>
      </w:r>
      <w:r w:rsidRPr="0095234B">
        <w:t>2021</w:t>
      </w:r>
      <w:r>
        <w:t xml:space="preserve"> </w:t>
      </w:r>
      <w:r w:rsidRPr="0095234B">
        <w:t>as</w:t>
      </w:r>
      <w:r>
        <w:t xml:space="preserve"> </w:t>
      </w:r>
      <w:r w:rsidRPr="0095234B">
        <w:t>the</w:t>
      </w:r>
      <w:r>
        <w:t xml:space="preserve"> </w:t>
      </w:r>
      <w:r w:rsidRPr="0095234B">
        <w:t>Victorian</w:t>
      </w:r>
      <w:r>
        <w:t xml:space="preserve"> </w:t>
      </w:r>
      <w:r w:rsidRPr="0095234B">
        <w:t>WorkCover</w:t>
      </w:r>
      <w:r>
        <w:t xml:space="preserve"> </w:t>
      </w:r>
      <w:r w:rsidRPr="0095234B">
        <w:t>Authority</w:t>
      </w:r>
      <w:r>
        <w:t xml:space="preserve"> </w:t>
      </w:r>
      <w:r w:rsidRPr="0095234B">
        <w:t>has</w:t>
      </w:r>
      <w:r>
        <w:t xml:space="preserve"> </w:t>
      </w:r>
      <w:r w:rsidRPr="0095234B">
        <w:t>been</w:t>
      </w:r>
      <w:r>
        <w:t xml:space="preserve"> </w:t>
      </w:r>
      <w:r w:rsidRPr="0095234B">
        <w:t>unable</w:t>
      </w:r>
      <w:r>
        <w:t xml:space="preserve"> </w:t>
      </w:r>
      <w:r w:rsidRPr="0095234B">
        <w:t>to</w:t>
      </w:r>
      <w:r>
        <w:t xml:space="preserve"> </w:t>
      </w:r>
      <w:r w:rsidRPr="0095234B">
        <w:t>disaggregate</w:t>
      </w:r>
      <w:r>
        <w:t xml:space="preserve"> </w:t>
      </w:r>
      <w:r w:rsidRPr="0095234B">
        <w:t>the</w:t>
      </w:r>
      <w:r>
        <w:t xml:space="preserve"> </w:t>
      </w:r>
      <w:r w:rsidRPr="0095234B">
        <w:t>data.</w:t>
      </w:r>
      <w:r>
        <w:t xml:space="preserve"> </w:t>
      </w:r>
      <w:r w:rsidRPr="0095234B">
        <w:t>The</w:t>
      </w:r>
      <w:r>
        <w:t xml:space="preserve"> </w:t>
      </w:r>
      <w:r w:rsidRPr="0095234B">
        <w:t>202</w:t>
      </w:r>
      <w:r>
        <w:t>0–</w:t>
      </w:r>
      <w:r w:rsidRPr="0095234B">
        <w:t>21</w:t>
      </w:r>
      <w:r>
        <w:t xml:space="preserve"> </w:t>
      </w:r>
      <w:r w:rsidRPr="0095234B">
        <w:t>column</w:t>
      </w:r>
      <w:r>
        <w:t xml:space="preserve"> </w:t>
      </w:r>
      <w:r w:rsidRPr="0095234B">
        <w:t>reflects</w:t>
      </w:r>
      <w:r>
        <w:t xml:space="preserve"> </w:t>
      </w:r>
      <w:r w:rsidRPr="0095234B">
        <w:t>Department</w:t>
      </w:r>
      <w:r>
        <w:t xml:space="preserve"> </w:t>
      </w:r>
      <w:r w:rsidRPr="0095234B">
        <w:t>of</w:t>
      </w:r>
      <w:r>
        <w:t xml:space="preserve"> </w:t>
      </w:r>
      <w:r w:rsidRPr="0095234B">
        <w:t>Health</w:t>
      </w:r>
      <w:r>
        <w:t xml:space="preserve"> </w:t>
      </w:r>
      <w:r w:rsidRPr="0095234B">
        <w:t>data</w:t>
      </w:r>
      <w:r>
        <w:t xml:space="preserve"> </w:t>
      </w:r>
      <w:r w:rsidRPr="0095234B">
        <w:t>only</w:t>
      </w:r>
      <w:r>
        <w:t xml:space="preserve"> </w:t>
      </w:r>
      <w:r w:rsidRPr="0095234B">
        <w:t>as</w:t>
      </w:r>
      <w:r>
        <w:t xml:space="preserve"> </w:t>
      </w:r>
      <w:r w:rsidRPr="0095234B">
        <w:t>provided</w:t>
      </w:r>
      <w:r>
        <w:t xml:space="preserve"> </w:t>
      </w:r>
      <w:r w:rsidRPr="0095234B">
        <w:t>by</w:t>
      </w:r>
      <w:r>
        <w:t xml:space="preserve"> </w:t>
      </w:r>
      <w:r w:rsidRPr="0095234B">
        <w:t>the</w:t>
      </w:r>
      <w:r>
        <w:t xml:space="preserve"> </w:t>
      </w:r>
      <w:r w:rsidRPr="0095234B">
        <w:t>Victorian</w:t>
      </w:r>
      <w:r>
        <w:t xml:space="preserve"> </w:t>
      </w:r>
      <w:r w:rsidRPr="0095234B">
        <w:t>WorkCover</w:t>
      </w:r>
      <w:r>
        <w:t xml:space="preserve"> </w:t>
      </w:r>
      <w:r w:rsidRPr="0095234B">
        <w:t>Authority,</w:t>
      </w:r>
      <w:r>
        <w:t xml:space="preserve"> </w:t>
      </w:r>
      <w:r w:rsidRPr="0095234B">
        <w:t>and</w:t>
      </w:r>
      <w:r>
        <w:t xml:space="preserve"> </w:t>
      </w:r>
      <w:r w:rsidRPr="0095234B">
        <w:t>some</w:t>
      </w:r>
      <w:r>
        <w:t xml:space="preserve"> </w:t>
      </w:r>
      <w:r w:rsidRPr="0095234B">
        <w:t>metrics</w:t>
      </w:r>
      <w:r>
        <w:t xml:space="preserve"> </w:t>
      </w:r>
      <w:r w:rsidRPr="0095234B">
        <w:t>cannot</w:t>
      </w:r>
      <w:r>
        <w:t xml:space="preserve"> </w:t>
      </w:r>
      <w:r w:rsidRPr="0095234B">
        <w:t>be</w:t>
      </w:r>
      <w:r>
        <w:t xml:space="preserve"> </w:t>
      </w:r>
      <w:r w:rsidRPr="0095234B">
        <w:t>calculated</w:t>
      </w:r>
      <w:r>
        <w:t xml:space="preserve"> </w:t>
      </w:r>
      <w:r w:rsidRPr="0095234B">
        <w:t>for</w:t>
      </w:r>
      <w:r>
        <w:t xml:space="preserve"> </w:t>
      </w:r>
      <w:r w:rsidRPr="0095234B">
        <w:t>the</w:t>
      </w:r>
      <w:r>
        <w:t xml:space="preserve"> </w:t>
      </w:r>
      <w:r w:rsidRPr="0095234B">
        <w:t>period</w:t>
      </w:r>
      <w:r>
        <w:t xml:space="preserve"> </w:t>
      </w:r>
      <w:r w:rsidRPr="0095234B">
        <w:t>due</w:t>
      </w:r>
      <w:r>
        <w:t xml:space="preserve"> </w:t>
      </w:r>
      <w:r w:rsidRPr="0095234B">
        <w:t>to</w:t>
      </w:r>
      <w:r>
        <w:t xml:space="preserve"> </w:t>
      </w:r>
      <w:r w:rsidRPr="0095234B">
        <w:t>the</w:t>
      </w:r>
      <w:r>
        <w:t xml:space="preserve"> </w:t>
      </w:r>
      <w:r w:rsidRPr="0095234B">
        <w:t>machinery</w:t>
      </w:r>
      <w:r>
        <w:t xml:space="preserve"> </w:t>
      </w:r>
      <w:r w:rsidRPr="0095234B">
        <w:t>of</w:t>
      </w:r>
      <w:r>
        <w:t xml:space="preserve"> </w:t>
      </w:r>
      <w:r w:rsidRPr="0095234B">
        <w:t>government</w:t>
      </w:r>
      <w:r>
        <w:t xml:space="preserve"> </w:t>
      </w:r>
      <w:r w:rsidRPr="0095234B">
        <w:t>changes,</w:t>
      </w:r>
      <w:r>
        <w:t xml:space="preserve"> </w:t>
      </w:r>
      <w:r w:rsidRPr="0095234B">
        <w:t>including</w:t>
      </w:r>
      <w:r>
        <w:t xml:space="preserve"> </w:t>
      </w:r>
      <w:r w:rsidRPr="0095234B">
        <w:t>the</w:t>
      </w:r>
      <w:r>
        <w:t xml:space="preserve"> </w:t>
      </w:r>
      <w:r w:rsidRPr="0095234B">
        <w:t>rates</w:t>
      </w:r>
      <w:r>
        <w:t xml:space="preserve"> </w:t>
      </w:r>
      <w:r w:rsidRPr="001272BE">
        <w:t>per</w:t>
      </w:r>
      <w:r>
        <w:t xml:space="preserve"> </w:t>
      </w:r>
      <w:r w:rsidRPr="001272BE">
        <w:t>100</w:t>
      </w:r>
      <w:r>
        <w:t xml:space="preserve"> </w:t>
      </w:r>
      <w:r w:rsidRPr="001272BE">
        <w:t>FT</w:t>
      </w:r>
      <w:r w:rsidR="00587C21">
        <w:t>E.</w:t>
      </w:r>
      <w:r w:rsidRPr="001272BE">
        <w:rPr>
          <w:rStyle w:val="FootnoteReference"/>
        </w:rPr>
        <w:t>(</w:t>
      </w:r>
      <w:r w:rsidRPr="001272BE">
        <w:rPr>
          <w:rStyle w:val="FootnoteReference"/>
        </w:rPr>
        <w:footnoteReference w:id="34"/>
      </w:r>
      <w:r w:rsidRPr="001272BE">
        <w:rPr>
          <w:rStyle w:val="FootnoteReference"/>
        </w:rPr>
        <w:t>)</w:t>
      </w:r>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CellMar>
          <w:left w:w="0" w:type="dxa"/>
        </w:tblCellMar>
        <w:tblLook w:val="06A0" w:firstRow="1" w:lastRow="0" w:firstColumn="1" w:lastColumn="0" w:noHBand="1" w:noVBand="1"/>
      </w:tblPr>
      <w:tblGrid>
        <w:gridCol w:w="2225"/>
        <w:gridCol w:w="3299"/>
        <w:gridCol w:w="1195"/>
        <w:gridCol w:w="10"/>
        <w:gridCol w:w="1400"/>
        <w:gridCol w:w="1510"/>
      </w:tblGrid>
      <w:tr w:rsidR="001A70B8" w:rsidRPr="002029AF" w14:paraId="5250862C" w14:textId="77777777" w:rsidTr="00D429B0">
        <w:trPr>
          <w:cantSplit/>
          <w:tblHeader/>
        </w:trPr>
        <w:tc>
          <w:tcPr>
            <w:tcW w:w="2225" w:type="dxa"/>
            <w:vAlign w:val="bottom"/>
          </w:tcPr>
          <w:p w14:paraId="26F20BDB" w14:textId="77777777" w:rsidR="001A70B8" w:rsidRPr="002029AF" w:rsidRDefault="001A70B8" w:rsidP="00101E5D">
            <w:pPr>
              <w:pStyle w:val="ARtablecolhead"/>
              <w:shd w:val="clear" w:color="auto" w:fill="FFFFFF" w:themeFill="background1"/>
              <w:rPr>
                <w:lang w:eastAsia="en-AU"/>
              </w:rPr>
            </w:pPr>
            <w:r w:rsidRPr="002029AF">
              <w:rPr>
                <w:lang w:eastAsia="en-AU"/>
              </w:rPr>
              <w:t>Measure</w:t>
            </w:r>
          </w:p>
        </w:tc>
        <w:tc>
          <w:tcPr>
            <w:tcW w:w="3299" w:type="dxa"/>
            <w:vAlign w:val="bottom"/>
          </w:tcPr>
          <w:p w14:paraId="2EBDA96D" w14:textId="33A19EC1" w:rsidR="001A70B8" w:rsidRPr="002029AF" w:rsidRDefault="001A70B8" w:rsidP="00101E5D">
            <w:pPr>
              <w:pStyle w:val="ARtablecolhead"/>
              <w:shd w:val="clear" w:color="auto" w:fill="FFFFFF" w:themeFill="background1"/>
              <w:rPr>
                <w:lang w:eastAsia="en-AU"/>
              </w:rPr>
            </w:pPr>
            <w:r w:rsidRPr="002029AF">
              <w:rPr>
                <w:lang w:eastAsia="en-AU"/>
              </w:rPr>
              <w:t>KPI</w:t>
            </w:r>
          </w:p>
        </w:tc>
        <w:tc>
          <w:tcPr>
            <w:tcW w:w="1195" w:type="dxa"/>
          </w:tcPr>
          <w:p w14:paraId="3D197E69" w14:textId="77777777" w:rsidR="001A70B8" w:rsidRPr="002029AF" w:rsidRDefault="001A70B8" w:rsidP="00101E5D">
            <w:pPr>
              <w:pStyle w:val="ARtablecolhead"/>
              <w:shd w:val="clear" w:color="auto" w:fill="FFFFFF" w:themeFill="background1"/>
              <w:jc w:val="right"/>
              <w:rPr>
                <w:lang w:eastAsia="en-AU"/>
              </w:rPr>
            </w:pPr>
            <w:r w:rsidRPr="4FCE31F0">
              <w:rPr>
                <w:lang w:eastAsia="en-AU"/>
              </w:rPr>
              <w:t>201</w:t>
            </w:r>
            <w:r>
              <w:rPr>
                <w:lang w:eastAsia="en-AU"/>
              </w:rPr>
              <w:t>9–20</w:t>
            </w:r>
          </w:p>
        </w:tc>
        <w:tc>
          <w:tcPr>
            <w:tcW w:w="1410" w:type="dxa"/>
            <w:gridSpan w:val="2"/>
          </w:tcPr>
          <w:p w14:paraId="16134462" w14:textId="77777777" w:rsidR="001A70B8" w:rsidRPr="002029AF" w:rsidRDefault="001A70B8" w:rsidP="00101E5D">
            <w:pPr>
              <w:pStyle w:val="ARtablecolhead"/>
              <w:shd w:val="clear" w:color="auto" w:fill="FFFFFF" w:themeFill="background1"/>
              <w:jc w:val="right"/>
            </w:pPr>
            <w:r w:rsidRPr="4FCE31F0">
              <w:rPr>
                <w:bCs/>
                <w:lang w:eastAsia="en-AU"/>
              </w:rPr>
              <w:t>20</w:t>
            </w:r>
            <w:r>
              <w:rPr>
                <w:bCs/>
                <w:lang w:eastAsia="en-AU"/>
              </w:rPr>
              <w:t>20</w:t>
            </w:r>
            <w:r w:rsidRPr="4FCE31F0">
              <w:rPr>
                <w:bCs/>
                <w:lang w:eastAsia="en-AU"/>
              </w:rPr>
              <w:t>–2</w:t>
            </w:r>
            <w:r>
              <w:rPr>
                <w:bCs/>
                <w:lang w:eastAsia="en-AU"/>
              </w:rPr>
              <w:t>1</w:t>
            </w:r>
          </w:p>
        </w:tc>
        <w:tc>
          <w:tcPr>
            <w:tcW w:w="1510" w:type="dxa"/>
          </w:tcPr>
          <w:p w14:paraId="7C332CF4" w14:textId="77777777" w:rsidR="001A70B8" w:rsidRPr="002029AF" w:rsidRDefault="001A70B8" w:rsidP="00101E5D">
            <w:pPr>
              <w:pStyle w:val="ARtablecolhead"/>
              <w:shd w:val="clear" w:color="auto" w:fill="FFFFFF" w:themeFill="background1"/>
              <w:jc w:val="right"/>
              <w:rPr>
                <w:lang w:eastAsia="en-AU"/>
              </w:rPr>
            </w:pPr>
            <w:r w:rsidRPr="4FCE31F0">
              <w:rPr>
                <w:lang w:eastAsia="en-AU"/>
              </w:rPr>
              <w:t>202</w:t>
            </w:r>
            <w:r>
              <w:rPr>
                <w:lang w:eastAsia="en-AU"/>
              </w:rPr>
              <w:t>1</w:t>
            </w:r>
            <w:r w:rsidRPr="4FCE31F0">
              <w:rPr>
                <w:lang w:eastAsia="en-AU"/>
              </w:rPr>
              <w:t>–2</w:t>
            </w:r>
            <w:r>
              <w:rPr>
                <w:lang w:eastAsia="en-AU"/>
              </w:rPr>
              <w:t>2</w:t>
            </w:r>
          </w:p>
        </w:tc>
      </w:tr>
      <w:tr w:rsidR="001A70B8" w:rsidRPr="002029AF" w14:paraId="2A217B98" w14:textId="77777777" w:rsidTr="00D429B0">
        <w:trPr>
          <w:cantSplit/>
        </w:trPr>
        <w:tc>
          <w:tcPr>
            <w:tcW w:w="2225" w:type="dxa"/>
            <w:vMerge w:val="restart"/>
          </w:tcPr>
          <w:p w14:paraId="763837A6" w14:textId="77777777" w:rsidR="001A70B8" w:rsidRPr="002029AF" w:rsidRDefault="001A70B8" w:rsidP="00101E5D">
            <w:pPr>
              <w:pStyle w:val="ARtabletext"/>
              <w:shd w:val="clear" w:color="auto" w:fill="FFFFFF" w:themeFill="background1"/>
              <w:rPr>
                <w:sz w:val="20"/>
              </w:rPr>
            </w:pPr>
            <w:r w:rsidRPr="002029AF">
              <w:t>Hazards</w:t>
            </w:r>
          </w:p>
        </w:tc>
        <w:tc>
          <w:tcPr>
            <w:tcW w:w="3299" w:type="dxa"/>
          </w:tcPr>
          <w:p w14:paraId="65BBCA32" w14:textId="77777777" w:rsidR="001A70B8" w:rsidRPr="002029AF" w:rsidRDefault="001A70B8" w:rsidP="00101E5D">
            <w:pPr>
              <w:pStyle w:val="ARtabletext"/>
              <w:shd w:val="clear" w:color="auto" w:fill="FFFFFF" w:themeFill="background1"/>
            </w:pPr>
            <w:r w:rsidRPr="002029AF">
              <w:t>No.</w:t>
            </w:r>
            <w:r>
              <w:t xml:space="preserve"> </w:t>
            </w:r>
            <w:r w:rsidRPr="002029AF">
              <w:t>of</w:t>
            </w:r>
            <w:r>
              <w:t xml:space="preserve"> </w:t>
            </w:r>
            <w:r w:rsidRPr="002029AF">
              <w:t>hazards</w:t>
            </w:r>
            <w:r w:rsidRPr="00B037E4">
              <w:rPr>
                <w:rStyle w:val="FootnoteReference"/>
              </w:rPr>
              <w:t>(</w:t>
            </w:r>
            <w:r w:rsidRPr="00B037E4">
              <w:rPr>
                <w:rStyle w:val="FootnoteReference"/>
              </w:rPr>
              <w:footnoteReference w:id="35"/>
            </w:r>
            <w:r w:rsidRPr="00B037E4">
              <w:rPr>
                <w:rStyle w:val="FootnoteReference"/>
              </w:rPr>
              <w:t>)</w:t>
            </w:r>
          </w:p>
        </w:tc>
        <w:tc>
          <w:tcPr>
            <w:tcW w:w="1195" w:type="dxa"/>
          </w:tcPr>
          <w:p w14:paraId="7048D9C5" w14:textId="77777777" w:rsidR="001A70B8" w:rsidRPr="002029AF" w:rsidRDefault="001A70B8" w:rsidP="00101E5D">
            <w:pPr>
              <w:pStyle w:val="ARtabletextright"/>
              <w:shd w:val="clear" w:color="auto" w:fill="FFFFFF" w:themeFill="background1"/>
            </w:pPr>
            <w:r>
              <w:t>682</w:t>
            </w:r>
          </w:p>
        </w:tc>
        <w:tc>
          <w:tcPr>
            <w:tcW w:w="1410" w:type="dxa"/>
            <w:gridSpan w:val="2"/>
          </w:tcPr>
          <w:p w14:paraId="35D75334" w14:textId="77777777" w:rsidR="001A70B8" w:rsidRPr="002029AF" w:rsidRDefault="001A70B8" w:rsidP="00101E5D">
            <w:pPr>
              <w:pStyle w:val="ARtabletextright"/>
              <w:shd w:val="clear" w:color="auto" w:fill="FFFFFF" w:themeFill="background1"/>
            </w:pPr>
            <w:r>
              <w:t>36</w:t>
            </w:r>
          </w:p>
        </w:tc>
        <w:tc>
          <w:tcPr>
            <w:tcW w:w="1510" w:type="dxa"/>
          </w:tcPr>
          <w:p w14:paraId="209FB64D" w14:textId="77777777" w:rsidR="001A70B8" w:rsidRPr="002029AF" w:rsidRDefault="001A70B8" w:rsidP="00101E5D">
            <w:pPr>
              <w:pStyle w:val="ARtabletextright"/>
              <w:shd w:val="clear" w:color="auto" w:fill="FFFFFF" w:themeFill="background1"/>
            </w:pPr>
            <w:r>
              <w:t>59</w:t>
            </w:r>
          </w:p>
        </w:tc>
      </w:tr>
      <w:tr w:rsidR="001A70B8" w:rsidRPr="002029AF" w14:paraId="4BE77FBE" w14:textId="77777777" w:rsidTr="00D429B0">
        <w:trPr>
          <w:cantSplit/>
        </w:trPr>
        <w:tc>
          <w:tcPr>
            <w:tcW w:w="2225" w:type="dxa"/>
            <w:vMerge/>
          </w:tcPr>
          <w:p w14:paraId="618F44F7" w14:textId="77777777" w:rsidR="001A70B8" w:rsidRPr="002029AF" w:rsidRDefault="001A70B8" w:rsidP="00101E5D">
            <w:pPr>
              <w:pStyle w:val="ARbody"/>
              <w:shd w:val="clear" w:color="auto" w:fill="FFFFFF" w:themeFill="background1"/>
              <w:rPr>
                <w:lang w:eastAsia="en-AU"/>
              </w:rPr>
            </w:pPr>
          </w:p>
        </w:tc>
        <w:tc>
          <w:tcPr>
            <w:tcW w:w="3299" w:type="dxa"/>
          </w:tcPr>
          <w:p w14:paraId="5055B443" w14:textId="77777777" w:rsidR="001A70B8" w:rsidRPr="002029AF" w:rsidRDefault="001A70B8" w:rsidP="00101E5D">
            <w:pPr>
              <w:pStyle w:val="ARtabletext"/>
              <w:shd w:val="clear" w:color="auto" w:fill="FFFFFF" w:themeFill="background1"/>
            </w:pPr>
            <w:r w:rsidRPr="002029AF">
              <w:t>Rate</w:t>
            </w:r>
            <w:r>
              <w:t xml:space="preserve"> </w:t>
            </w:r>
            <w:r w:rsidRPr="002029AF">
              <w:t>per</w:t>
            </w:r>
            <w:r>
              <w:t xml:space="preserve"> </w:t>
            </w:r>
            <w:r w:rsidRPr="002029AF">
              <w:t>100</w:t>
            </w:r>
            <w:r>
              <w:t xml:space="preserve"> </w:t>
            </w:r>
            <w:r w:rsidRPr="002029AF">
              <w:t>FTE</w:t>
            </w:r>
          </w:p>
        </w:tc>
        <w:tc>
          <w:tcPr>
            <w:tcW w:w="1195" w:type="dxa"/>
          </w:tcPr>
          <w:p w14:paraId="02F143D6" w14:textId="77777777" w:rsidR="001A70B8" w:rsidRPr="002029AF" w:rsidRDefault="001A70B8" w:rsidP="00101E5D">
            <w:pPr>
              <w:pStyle w:val="ARtabletextright"/>
              <w:shd w:val="clear" w:color="auto" w:fill="FFFFFF" w:themeFill="background1"/>
            </w:pPr>
            <w:r w:rsidRPr="002029AF">
              <w:t>7.</w:t>
            </w:r>
            <w:r w:rsidRPr="00B4494B">
              <w:t>96</w:t>
            </w:r>
          </w:p>
        </w:tc>
        <w:tc>
          <w:tcPr>
            <w:tcW w:w="1410" w:type="dxa"/>
            <w:gridSpan w:val="2"/>
          </w:tcPr>
          <w:p w14:paraId="7CC425E1" w14:textId="77777777" w:rsidR="001A70B8" w:rsidRPr="002029AF" w:rsidRDefault="001A70B8" w:rsidP="00101E5D">
            <w:pPr>
              <w:pStyle w:val="ARtabletextright"/>
              <w:shd w:val="clear" w:color="auto" w:fill="FFFFFF" w:themeFill="background1"/>
            </w:pPr>
            <w:r>
              <w:t>na</w:t>
            </w:r>
          </w:p>
        </w:tc>
        <w:tc>
          <w:tcPr>
            <w:tcW w:w="1510" w:type="dxa"/>
          </w:tcPr>
          <w:p w14:paraId="0BEE3157" w14:textId="77777777" w:rsidR="001A70B8" w:rsidRPr="002029AF" w:rsidRDefault="001A70B8" w:rsidP="00101E5D">
            <w:pPr>
              <w:pStyle w:val="ARtabletextright"/>
              <w:shd w:val="clear" w:color="auto" w:fill="FFFFFF" w:themeFill="background1"/>
            </w:pPr>
            <w:r>
              <w:t>1.79</w:t>
            </w:r>
          </w:p>
        </w:tc>
      </w:tr>
      <w:tr w:rsidR="001A70B8" w:rsidRPr="002029AF" w14:paraId="5559FEFB" w14:textId="77777777" w:rsidTr="00D429B0">
        <w:trPr>
          <w:cantSplit/>
        </w:trPr>
        <w:tc>
          <w:tcPr>
            <w:tcW w:w="2225" w:type="dxa"/>
            <w:vMerge w:val="restart"/>
            <w:tcBorders>
              <w:top w:val="nil"/>
            </w:tcBorders>
          </w:tcPr>
          <w:p w14:paraId="0B1C6B27" w14:textId="77777777" w:rsidR="001A70B8" w:rsidRPr="002029AF" w:rsidRDefault="001A70B8" w:rsidP="00101E5D">
            <w:pPr>
              <w:pStyle w:val="ARtabletext"/>
              <w:shd w:val="clear" w:color="auto" w:fill="FFFFFF" w:themeFill="background1"/>
              <w:rPr>
                <w:sz w:val="20"/>
              </w:rPr>
            </w:pPr>
            <w:r w:rsidRPr="002029AF">
              <w:t>Incidents</w:t>
            </w:r>
          </w:p>
        </w:tc>
        <w:tc>
          <w:tcPr>
            <w:tcW w:w="3299" w:type="dxa"/>
          </w:tcPr>
          <w:p w14:paraId="5C476373" w14:textId="77777777" w:rsidR="001A70B8" w:rsidRPr="002029AF" w:rsidRDefault="001A70B8" w:rsidP="00101E5D">
            <w:pPr>
              <w:pStyle w:val="ARtabletext"/>
              <w:shd w:val="clear" w:color="auto" w:fill="FFFFFF" w:themeFill="background1"/>
            </w:pPr>
            <w:r w:rsidRPr="002029AF">
              <w:t>No.</w:t>
            </w:r>
            <w:r>
              <w:t xml:space="preserve"> </w:t>
            </w:r>
            <w:r w:rsidRPr="002029AF">
              <w:t>of</w:t>
            </w:r>
            <w:r>
              <w:t xml:space="preserve"> </w:t>
            </w:r>
            <w:r w:rsidRPr="00385525">
              <w:t>incidents</w:t>
            </w:r>
            <w:r w:rsidRPr="00B037E4">
              <w:rPr>
                <w:rStyle w:val="FootnoteReference"/>
              </w:rPr>
              <w:t>(</w:t>
            </w:r>
            <w:r>
              <w:rPr>
                <w:rStyle w:val="FootnoteReference"/>
              </w:rPr>
              <w:footnoteReference w:id="36"/>
            </w:r>
            <w:r w:rsidRPr="00B037E4">
              <w:rPr>
                <w:rStyle w:val="FootnoteReference"/>
              </w:rPr>
              <w:t>)</w:t>
            </w:r>
          </w:p>
        </w:tc>
        <w:tc>
          <w:tcPr>
            <w:tcW w:w="1205" w:type="dxa"/>
            <w:gridSpan w:val="2"/>
          </w:tcPr>
          <w:p w14:paraId="39BF1A07" w14:textId="77777777" w:rsidR="001A70B8" w:rsidRPr="002029AF" w:rsidRDefault="001A70B8" w:rsidP="00101E5D">
            <w:pPr>
              <w:pStyle w:val="ARtabletextright"/>
              <w:shd w:val="clear" w:color="auto" w:fill="FFFFFF" w:themeFill="background1"/>
            </w:pPr>
            <w:r>
              <w:t>1,967</w:t>
            </w:r>
          </w:p>
        </w:tc>
        <w:tc>
          <w:tcPr>
            <w:tcW w:w="1400" w:type="dxa"/>
          </w:tcPr>
          <w:p w14:paraId="735663EB" w14:textId="77777777" w:rsidR="001A70B8" w:rsidRPr="002029AF" w:rsidRDefault="001A70B8" w:rsidP="00101E5D">
            <w:pPr>
              <w:pStyle w:val="ARtabletextright"/>
              <w:shd w:val="clear" w:color="auto" w:fill="FFFFFF" w:themeFill="background1"/>
            </w:pPr>
            <w:r>
              <w:t>118</w:t>
            </w:r>
          </w:p>
        </w:tc>
        <w:tc>
          <w:tcPr>
            <w:tcW w:w="1510" w:type="dxa"/>
          </w:tcPr>
          <w:p w14:paraId="5444255B" w14:textId="77777777" w:rsidR="001A70B8" w:rsidRPr="002029AF" w:rsidRDefault="001A70B8" w:rsidP="00101E5D">
            <w:pPr>
              <w:pStyle w:val="ARtabletextright"/>
              <w:shd w:val="clear" w:color="auto" w:fill="FFFFFF" w:themeFill="background1"/>
            </w:pPr>
            <w:r>
              <w:t>309</w:t>
            </w:r>
          </w:p>
        </w:tc>
      </w:tr>
      <w:tr w:rsidR="001A70B8" w:rsidRPr="002029AF" w14:paraId="03720105" w14:textId="77777777" w:rsidTr="00D429B0">
        <w:trPr>
          <w:cantSplit/>
        </w:trPr>
        <w:tc>
          <w:tcPr>
            <w:tcW w:w="2225" w:type="dxa"/>
            <w:vMerge/>
          </w:tcPr>
          <w:p w14:paraId="7897C4BD" w14:textId="77777777" w:rsidR="001A70B8" w:rsidRPr="002029AF" w:rsidRDefault="001A70B8" w:rsidP="00101E5D">
            <w:pPr>
              <w:pStyle w:val="ARbody"/>
              <w:shd w:val="clear" w:color="auto" w:fill="FFFFFF" w:themeFill="background1"/>
              <w:rPr>
                <w:lang w:eastAsia="en-AU"/>
              </w:rPr>
            </w:pPr>
          </w:p>
        </w:tc>
        <w:tc>
          <w:tcPr>
            <w:tcW w:w="3299" w:type="dxa"/>
          </w:tcPr>
          <w:p w14:paraId="71637387" w14:textId="77777777" w:rsidR="001A70B8" w:rsidRPr="00B4494B" w:rsidRDefault="001A70B8" w:rsidP="00101E5D">
            <w:pPr>
              <w:pStyle w:val="ARtabletext"/>
              <w:shd w:val="clear" w:color="auto" w:fill="FFFFFF" w:themeFill="background1"/>
              <w:rPr>
                <w:sz w:val="20"/>
                <w:szCs w:val="20"/>
              </w:rPr>
            </w:pPr>
            <w:r w:rsidRPr="002029AF">
              <w:t>Rate</w:t>
            </w:r>
            <w:r>
              <w:t xml:space="preserve"> </w:t>
            </w:r>
            <w:r w:rsidRPr="002029AF">
              <w:t>per</w:t>
            </w:r>
            <w:r>
              <w:t xml:space="preserve"> </w:t>
            </w:r>
            <w:r w:rsidRPr="002029AF">
              <w:t>100</w:t>
            </w:r>
            <w:r>
              <w:t xml:space="preserve"> </w:t>
            </w:r>
            <w:r w:rsidRPr="002029AF">
              <w:t>FTE</w:t>
            </w:r>
          </w:p>
        </w:tc>
        <w:tc>
          <w:tcPr>
            <w:tcW w:w="1205" w:type="dxa"/>
            <w:gridSpan w:val="2"/>
          </w:tcPr>
          <w:p w14:paraId="0F53FF67" w14:textId="77777777" w:rsidR="001A70B8" w:rsidRPr="00B4494B" w:rsidRDefault="001A70B8" w:rsidP="00101E5D">
            <w:pPr>
              <w:pStyle w:val="ARtabletextright"/>
              <w:shd w:val="clear" w:color="auto" w:fill="FFFFFF" w:themeFill="background1"/>
            </w:pPr>
            <w:r w:rsidRPr="00B4494B">
              <w:t>22.96</w:t>
            </w:r>
          </w:p>
        </w:tc>
        <w:tc>
          <w:tcPr>
            <w:tcW w:w="1400" w:type="dxa"/>
          </w:tcPr>
          <w:p w14:paraId="2479C18D" w14:textId="77777777" w:rsidR="001A70B8" w:rsidRPr="00B4494B" w:rsidRDefault="001A70B8" w:rsidP="00101E5D">
            <w:pPr>
              <w:pStyle w:val="ARtabletextright"/>
              <w:shd w:val="clear" w:color="auto" w:fill="FFFFFF" w:themeFill="background1"/>
            </w:pPr>
            <w:r>
              <w:t>na</w:t>
            </w:r>
          </w:p>
        </w:tc>
        <w:tc>
          <w:tcPr>
            <w:tcW w:w="1510" w:type="dxa"/>
          </w:tcPr>
          <w:p w14:paraId="6E02FB5D" w14:textId="77777777" w:rsidR="001A70B8" w:rsidRPr="00B4494B" w:rsidRDefault="001A70B8" w:rsidP="00101E5D">
            <w:pPr>
              <w:pStyle w:val="ARtabletextright"/>
              <w:shd w:val="clear" w:color="auto" w:fill="FFFFFF" w:themeFill="background1"/>
            </w:pPr>
            <w:r>
              <w:t>9.4</w:t>
            </w:r>
          </w:p>
        </w:tc>
      </w:tr>
      <w:tr w:rsidR="001A70B8" w:rsidRPr="002029AF" w14:paraId="6890A413" w14:textId="77777777" w:rsidTr="00D429B0">
        <w:trPr>
          <w:cantSplit/>
        </w:trPr>
        <w:tc>
          <w:tcPr>
            <w:tcW w:w="2225" w:type="dxa"/>
            <w:vMerge/>
          </w:tcPr>
          <w:p w14:paraId="479DD563" w14:textId="77777777" w:rsidR="001A70B8" w:rsidRPr="002029AF" w:rsidRDefault="001A70B8" w:rsidP="00101E5D">
            <w:pPr>
              <w:pStyle w:val="ARbody"/>
              <w:shd w:val="clear" w:color="auto" w:fill="FFFFFF" w:themeFill="background1"/>
              <w:rPr>
                <w:lang w:eastAsia="en-AU"/>
              </w:rPr>
            </w:pPr>
          </w:p>
        </w:tc>
        <w:tc>
          <w:tcPr>
            <w:tcW w:w="3299" w:type="dxa"/>
          </w:tcPr>
          <w:p w14:paraId="0D101621" w14:textId="77777777" w:rsidR="001A70B8" w:rsidRPr="002029AF" w:rsidRDefault="001A70B8" w:rsidP="00101E5D">
            <w:pPr>
              <w:pStyle w:val="ARtabletext"/>
              <w:shd w:val="clear" w:color="auto" w:fill="FFFFFF" w:themeFill="background1"/>
              <w:rPr>
                <w:vertAlign w:val="superscript"/>
              </w:rPr>
            </w:pPr>
            <w:r w:rsidRPr="002029AF">
              <w:t>No.</w:t>
            </w:r>
            <w:r>
              <w:t xml:space="preserve"> </w:t>
            </w:r>
            <w:r w:rsidRPr="002029AF">
              <w:t>of</w:t>
            </w:r>
            <w:r>
              <w:t xml:space="preserve"> </w:t>
            </w:r>
            <w:r w:rsidRPr="002029AF">
              <w:t>incidents</w:t>
            </w:r>
            <w:r>
              <w:t xml:space="preserve"> </w:t>
            </w:r>
            <w:r w:rsidRPr="002029AF">
              <w:t>requiring</w:t>
            </w:r>
            <w:r>
              <w:t xml:space="preserve"> </w:t>
            </w:r>
            <w:r w:rsidRPr="002029AF">
              <w:t>first</w:t>
            </w:r>
            <w:r>
              <w:t xml:space="preserve"> </w:t>
            </w:r>
            <w:r w:rsidRPr="002029AF">
              <w:t>aid</w:t>
            </w:r>
            <w:r w:rsidRPr="00B037E4">
              <w:rPr>
                <w:rStyle w:val="FootnoteReference"/>
              </w:rPr>
              <w:t>(</w:t>
            </w:r>
            <w:r>
              <w:rPr>
                <w:rStyle w:val="FootnoteReference"/>
              </w:rPr>
              <w:footnoteReference w:id="37"/>
            </w:r>
            <w:r w:rsidRPr="00B037E4">
              <w:rPr>
                <w:rStyle w:val="FootnoteReference"/>
              </w:rPr>
              <w:t>)</w:t>
            </w:r>
            <w:r>
              <w:t xml:space="preserve"> </w:t>
            </w:r>
            <w:r w:rsidRPr="002029AF">
              <w:t>and/or</w:t>
            </w:r>
            <w:r>
              <w:t xml:space="preserve"> </w:t>
            </w:r>
            <w:r w:rsidRPr="002029AF">
              <w:t>further</w:t>
            </w:r>
            <w:r>
              <w:t xml:space="preserve"> </w:t>
            </w:r>
            <w:r w:rsidRPr="002029AF">
              <w:t>medical</w:t>
            </w:r>
            <w:r>
              <w:t xml:space="preserve"> </w:t>
            </w:r>
            <w:r w:rsidRPr="002029AF">
              <w:t>treatment</w:t>
            </w:r>
          </w:p>
        </w:tc>
        <w:tc>
          <w:tcPr>
            <w:tcW w:w="1205" w:type="dxa"/>
            <w:gridSpan w:val="2"/>
          </w:tcPr>
          <w:p w14:paraId="3D2D9753" w14:textId="77777777" w:rsidR="001A70B8" w:rsidRPr="002029AF" w:rsidRDefault="001A70B8" w:rsidP="00101E5D">
            <w:pPr>
              <w:pStyle w:val="ARtabletextright"/>
              <w:shd w:val="clear" w:color="auto" w:fill="FFFFFF" w:themeFill="background1"/>
            </w:pPr>
            <w:r>
              <w:t>367</w:t>
            </w:r>
          </w:p>
        </w:tc>
        <w:tc>
          <w:tcPr>
            <w:tcW w:w="1400" w:type="dxa"/>
          </w:tcPr>
          <w:p w14:paraId="191332DB" w14:textId="77777777" w:rsidR="001A70B8" w:rsidRPr="002029AF" w:rsidRDefault="001A70B8" w:rsidP="00101E5D">
            <w:pPr>
              <w:pStyle w:val="ARtabletextright"/>
              <w:shd w:val="clear" w:color="auto" w:fill="FFFFFF" w:themeFill="background1"/>
            </w:pPr>
            <w:r>
              <w:t>42</w:t>
            </w:r>
          </w:p>
        </w:tc>
        <w:tc>
          <w:tcPr>
            <w:tcW w:w="1510" w:type="dxa"/>
          </w:tcPr>
          <w:p w14:paraId="1092BE06" w14:textId="77777777" w:rsidR="001A70B8" w:rsidRPr="002029AF" w:rsidRDefault="001A70B8" w:rsidP="00101E5D">
            <w:pPr>
              <w:pStyle w:val="ARtabletextright"/>
              <w:shd w:val="clear" w:color="auto" w:fill="FFFFFF" w:themeFill="background1"/>
            </w:pPr>
            <w:r>
              <w:t>177</w:t>
            </w:r>
          </w:p>
        </w:tc>
      </w:tr>
      <w:tr w:rsidR="001A70B8" w:rsidRPr="002029AF" w14:paraId="13BB68C5" w14:textId="77777777" w:rsidTr="00D429B0">
        <w:trPr>
          <w:cantSplit/>
        </w:trPr>
        <w:tc>
          <w:tcPr>
            <w:tcW w:w="2225" w:type="dxa"/>
            <w:vMerge w:val="restart"/>
          </w:tcPr>
          <w:p w14:paraId="0FF35A13" w14:textId="77777777" w:rsidR="001A70B8" w:rsidRPr="002029AF" w:rsidRDefault="001A70B8" w:rsidP="00101E5D">
            <w:pPr>
              <w:pStyle w:val="ARtabletext"/>
              <w:shd w:val="clear" w:color="auto" w:fill="FFFFFF" w:themeFill="background1"/>
            </w:pPr>
            <w:r w:rsidRPr="002029AF">
              <w:t>Claims</w:t>
            </w:r>
          </w:p>
        </w:tc>
        <w:tc>
          <w:tcPr>
            <w:tcW w:w="3299" w:type="dxa"/>
          </w:tcPr>
          <w:p w14:paraId="05D35755" w14:textId="77777777" w:rsidR="001A70B8" w:rsidRPr="00A40F84" w:rsidRDefault="001A70B8" w:rsidP="00101E5D">
            <w:pPr>
              <w:pStyle w:val="ARtabletext"/>
              <w:shd w:val="clear" w:color="auto" w:fill="FFFFFF" w:themeFill="background1"/>
            </w:pPr>
            <w:r w:rsidRPr="00A40F84">
              <w:t>No.</w:t>
            </w:r>
            <w:r>
              <w:t xml:space="preserve"> </w:t>
            </w:r>
            <w:r w:rsidRPr="00A40F84">
              <w:t>of</w:t>
            </w:r>
            <w:r>
              <w:t xml:space="preserve"> </w:t>
            </w:r>
            <w:r w:rsidRPr="00A40F84">
              <w:t>standard</w:t>
            </w:r>
            <w:r>
              <w:t xml:space="preserve"> </w:t>
            </w:r>
            <w:r w:rsidRPr="00A40F84">
              <w:t>claims</w:t>
            </w:r>
            <w:r w:rsidRPr="00B037E4">
              <w:rPr>
                <w:rStyle w:val="FootnoteReference"/>
              </w:rPr>
              <w:t>(</w:t>
            </w:r>
            <w:r>
              <w:rPr>
                <w:rStyle w:val="FootnoteReference"/>
              </w:rPr>
              <w:footnoteReference w:id="38"/>
            </w:r>
            <w:r w:rsidRPr="00B037E4">
              <w:rPr>
                <w:rStyle w:val="FootnoteReference"/>
              </w:rPr>
              <w:t>)</w:t>
            </w:r>
          </w:p>
        </w:tc>
        <w:tc>
          <w:tcPr>
            <w:tcW w:w="1195" w:type="dxa"/>
          </w:tcPr>
          <w:p w14:paraId="17CA15D9" w14:textId="77777777" w:rsidR="001A70B8" w:rsidRPr="00A40F84" w:rsidRDefault="001A70B8" w:rsidP="00101E5D">
            <w:pPr>
              <w:pStyle w:val="ARtabletextright"/>
              <w:shd w:val="clear" w:color="auto" w:fill="FFFFFF" w:themeFill="background1"/>
            </w:pPr>
            <w:r w:rsidRPr="00A40F84">
              <w:t>259</w:t>
            </w:r>
          </w:p>
        </w:tc>
        <w:tc>
          <w:tcPr>
            <w:tcW w:w="1410" w:type="dxa"/>
            <w:gridSpan w:val="2"/>
          </w:tcPr>
          <w:p w14:paraId="3EB4E1A0" w14:textId="77777777" w:rsidR="001A70B8" w:rsidRPr="00A40F84" w:rsidRDefault="001A70B8" w:rsidP="00101E5D">
            <w:pPr>
              <w:pStyle w:val="ARtabletextright"/>
              <w:shd w:val="clear" w:color="auto" w:fill="FFFFFF" w:themeFill="background1"/>
              <w:rPr>
                <w:rStyle w:val="FootnoteReference"/>
              </w:rPr>
            </w:pPr>
            <w:r w:rsidRPr="00A40F84">
              <w:t>14</w:t>
            </w:r>
          </w:p>
        </w:tc>
        <w:tc>
          <w:tcPr>
            <w:tcW w:w="1510" w:type="dxa"/>
          </w:tcPr>
          <w:p w14:paraId="3C408F04" w14:textId="77777777" w:rsidR="001A70B8" w:rsidRPr="00A40F84" w:rsidRDefault="001A70B8" w:rsidP="00101E5D">
            <w:pPr>
              <w:pStyle w:val="ARtabletextright"/>
              <w:shd w:val="clear" w:color="auto" w:fill="FFFFFF" w:themeFill="background1"/>
              <w:rPr>
                <w:sz w:val="20"/>
                <w:szCs w:val="20"/>
              </w:rPr>
            </w:pPr>
            <w:r>
              <w:rPr>
                <w:sz w:val="20"/>
                <w:szCs w:val="20"/>
              </w:rPr>
              <w:t>47</w:t>
            </w:r>
          </w:p>
        </w:tc>
      </w:tr>
      <w:tr w:rsidR="001A70B8" w:rsidRPr="002029AF" w14:paraId="22E0BABE" w14:textId="77777777" w:rsidTr="00D429B0">
        <w:trPr>
          <w:cantSplit/>
        </w:trPr>
        <w:tc>
          <w:tcPr>
            <w:tcW w:w="2225" w:type="dxa"/>
            <w:vMerge/>
          </w:tcPr>
          <w:p w14:paraId="17AEF8A7" w14:textId="77777777" w:rsidR="001A70B8" w:rsidRPr="002029AF" w:rsidRDefault="001A70B8" w:rsidP="00101E5D">
            <w:pPr>
              <w:pStyle w:val="ARtabletext"/>
              <w:shd w:val="clear" w:color="auto" w:fill="FFFFFF" w:themeFill="background1"/>
            </w:pPr>
          </w:p>
        </w:tc>
        <w:tc>
          <w:tcPr>
            <w:tcW w:w="3299" w:type="dxa"/>
          </w:tcPr>
          <w:p w14:paraId="2E85E327" w14:textId="77777777" w:rsidR="001A70B8" w:rsidRPr="00A40F84" w:rsidRDefault="001A70B8" w:rsidP="00101E5D">
            <w:pPr>
              <w:pStyle w:val="ARtabletext"/>
              <w:shd w:val="clear" w:color="auto" w:fill="FFFFFF" w:themeFill="background1"/>
            </w:pPr>
            <w:r w:rsidRPr="00A40F84">
              <w:t>Rate</w:t>
            </w:r>
            <w:r>
              <w:t xml:space="preserve"> </w:t>
            </w:r>
            <w:r w:rsidRPr="00A40F84">
              <w:t>per</w:t>
            </w:r>
            <w:r>
              <w:t xml:space="preserve"> </w:t>
            </w:r>
            <w:r w:rsidRPr="00A40F84">
              <w:t>100</w:t>
            </w:r>
            <w:r>
              <w:t xml:space="preserve"> </w:t>
            </w:r>
            <w:r w:rsidRPr="00A40F84">
              <w:t>FTE</w:t>
            </w:r>
          </w:p>
        </w:tc>
        <w:tc>
          <w:tcPr>
            <w:tcW w:w="1195" w:type="dxa"/>
          </w:tcPr>
          <w:p w14:paraId="616829C1" w14:textId="77777777" w:rsidR="001A70B8" w:rsidRPr="00A40F84" w:rsidRDefault="001A70B8" w:rsidP="00101E5D">
            <w:pPr>
              <w:pStyle w:val="ARtabletextright"/>
              <w:shd w:val="clear" w:color="auto" w:fill="FFFFFF" w:themeFill="background1"/>
            </w:pPr>
            <w:r w:rsidRPr="00A40F84">
              <w:t>2.44</w:t>
            </w:r>
          </w:p>
        </w:tc>
        <w:tc>
          <w:tcPr>
            <w:tcW w:w="1410" w:type="dxa"/>
            <w:gridSpan w:val="2"/>
          </w:tcPr>
          <w:p w14:paraId="7416C21A" w14:textId="77777777" w:rsidR="001A70B8" w:rsidRPr="00A40F84" w:rsidRDefault="001A70B8" w:rsidP="00101E5D">
            <w:pPr>
              <w:pStyle w:val="ARtabletextright"/>
              <w:shd w:val="clear" w:color="auto" w:fill="FFFFFF" w:themeFill="background1"/>
            </w:pPr>
            <w:r w:rsidRPr="00A40F84">
              <w:rPr>
                <w:lang w:eastAsia="en-US"/>
              </w:rPr>
              <w:t>na</w:t>
            </w:r>
          </w:p>
        </w:tc>
        <w:tc>
          <w:tcPr>
            <w:tcW w:w="1510" w:type="dxa"/>
          </w:tcPr>
          <w:p w14:paraId="28215C5A" w14:textId="77777777" w:rsidR="001A70B8" w:rsidRPr="00A40F84" w:rsidRDefault="001A70B8" w:rsidP="00101E5D">
            <w:pPr>
              <w:pStyle w:val="ARtabletextright"/>
              <w:shd w:val="clear" w:color="auto" w:fill="FFFFFF" w:themeFill="background1"/>
              <w:rPr>
                <w:lang w:eastAsia="en-US"/>
              </w:rPr>
            </w:pPr>
            <w:r>
              <w:rPr>
                <w:lang w:eastAsia="en-US"/>
              </w:rPr>
              <w:t>1.44</w:t>
            </w:r>
          </w:p>
        </w:tc>
      </w:tr>
      <w:tr w:rsidR="001A70B8" w:rsidRPr="002029AF" w14:paraId="6E94478F" w14:textId="77777777" w:rsidTr="00D429B0">
        <w:trPr>
          <w:cantSplit/>
        </w:trPr>
        <w:tc>
          <w:tcPr>
            <w:tcW w:w="2225" w:type="dxa"/>
            <w:vMerge/>
          </w:tcPr>
          <w:p w14:paraId="2268E0E5" w14:textId="77777777" w:rsidR="001A70B8" w:rsidRPr="002029AF" w:rsidRDefault="001A70B8" w:rsidP="00101E5D">
            <w:pPr>
              <w:pStyle w:val="ARtabletext"/>
              <w:shd w:val="clear" w:color="auto" w:fill="FFFFFF" w:themeFill="background1"/>
            </w:pPr>
          </w:p>
        </w:tc>
        <w:tc>
          <w:tcPr>
            <w:tcW w:w="3299" w:type="dxa"/>
          </w:tcPr>
          <w:p w14:paraId="2C886AD0" w14:textId="77777777" w:rsidR="001A70B8" w:rsidRPr="00A40F84" w:rsidRDefault="001A70B8" w:rsidP="00101E5D">
            <w:pPr>
              <w:pStyle w:val="ARtabletext"/>
              <w:shd w:val="clear" w:color="auto" w:fill="FFFFFF" w:themeFill="background1"/>
            </w:pPr>
            <w:r w:rsidRPr="00A40F84">
              <w:t>No.</w:t>
            </w:r>
            <w:r>
              <w:t xml:space="preserve"> </w:t>
            </w:r>
            <w:r w:rsidRPr="00A40F84">
              <w:t>of</w:t>
            </w:r>
            <w:r>
              <w:t xml:space="preserve"> </w:t>
            </w:r>
            <w:r w:rsidRPr="00A40F84">
              <w:t>lost</w:t>
            </w:r>
            <w:r>
              <w:t xml:space="preserve"> </w:t>
            </w:r>
            <w:r w:rsidRPr="00A40F84">
              <w:t>time</w:t>
            </w:r>
            <w:r>
              <w:t xml:space="preserve"> </w:t>
            </w:r>
            <w:r w:rsidRPr="00A40F84">
              <w:t>claims</w:t>
            </w:r>
            <w:r w:rsidRPr="00B037E4">
              <w:rPr>
                <w:rStyle w:val="FootnoteReference"/>
              </w:rPr>
              <w:t>(</w:t>
            </w:r>
            <w:r>
              <w:rPr>
                <w:rStyle w:val="FootnoteReference"/>
              </w:rPr>
              <w:footnoteReference w:id="39"/>
            </w:r>
            <w:r w:rsidRPr="00B037E4">
              <w:rPr>
                <w:rStyle w:val="FootnoteReference"/>
              </w:rPr>
              <w:t>)</w:t>
            </w:r>
          </w:p>
        </w:tc>
        <w:tc>
          <w:tcPr>
            <w:tcW w:w="1195" w:type="dxa"/>
          </w:tcPr>
          <w:p w14:paraId="08767B31" w14:textId="77777777" w:rsidR="001A70B8" w:rsidRPr="00A40F84" w:rsidRDefault="001A70B8" w:rsidP="00101E5D">
            <w:pPr>
              <w:pStyle w:val="ARtabletextright"/>
              <w:shd w:val="clear" w:color="auto" w:fill="FFFFFF" w:themeFill="background1"/>
            </w:pPr>
            <w:r w:rsidRPr="00A40F84">
              <w:t>130</w:t>
            </w:r>
          </w:p>
        </w:tc>
        <w:tc>
          <w:tcPr>
            <w:tcW w:w="1410" w:type="dxa"/>
            <w:gridSpan w:val="2"/>
          </w:tcPr>
          <w:p w14:paraId="4460C12C" w14:textId="77777777" w:rsidR="001A70B8" w:rsidRPr="00A40F84" w:rsidRDefault="001A70B8" w:rsidP="00101E5D">
            <w:pPr>
              <w:pStyle w:val="ARtabletextright"/>
              <w:shd w:val="clear" w:color="auto" w:fill="FFFFFF" w:themeFill="background1"/>
            </w:pPr>
            <w:r w:rsidRPr="00A40F84">
              <w:t>7</w:t>
            </w:r>
          </w:p>
        </w:tc>
        <w:tc>
          <w:tcPr>
            <w:tcW w:w="1510" w:type="dxa"/>
          </w:tcPr>
          <w:p w14:paraId="4EDF7B91" w14:textId="77777777" w:rsidR="001A70B8" w:rsidRPr="00A40F84" w:rsidRDefault="001A70B8" w:rsidP="00101E5D">
            <w:pPr>
              <w:pStyle w:val="ARtabletextright"/>
              <w:shd w:val="clear" w:color="auto" w:fill="FFFFFF" w:themeFill="background1"/>
            </w:pPr>
            <w:r>
              <w:t>31</w:t>
            </w:r>
          </w:p>
        </w:tc>
      </w:tr>
      <w:tr w:rsidR="001A70B8" w:rsidRPr="002029AF" w14:paraId="291D687B" w14:textId="77777777" w:rsidTr="00D429B0">
        <w:trPr>
          <w:cantSplit/>
        </w:trPr>
        <w:tc>
          <w:tcPr>
            <w:tcW w:w="2225" w:type="dxa"/>
            <w:vMerge/>
          </w:tcPr>
          <w:p w14:paraId="498A29A4" w14:textId="77777777" w:rsidR="001A70B8" w:rsidRPr="002029AF" w:rsidRDefault="001A70B8" w:rsidP="00101E5D">
            <w:pPr>
              <w:pStyle w:val="ARtabletext"/>
              <w:shd w:val="clear" w:color="auto" w:fill="FFFFFF" w:themeFill="background1"/>
            </w:pPr>
          </w:p>
        </w:tc>
        <w:tc>
          <w:tcPr>
            <w:tcW w:w="3299" w:type="dxa"/>
          </w:tcPr>
          <w:p w14:paraId="546C599C" w14:textId="77777777" w:rsidR="001A70B8" w:rsidRPr="00A40F84" w:rsidRDefault="001A70B8" w:rsidP="00101E5D">
            <w:pPr>
              <w:pStyle w:val="ARtabletext"/>
              <w:shd w:val="clear" w:color="auto" w:fill="FFFFFF" w:themeFill="background1"/>
            </w:pPr>
            <w:r w:rsidRPr="00A40F84">
              <w:t>Rate</w:t>
            </w:r>
            <w:r>
              <w:t xml:space="preserve"> </w:t>
            </w:r>
            <w:r w:rsidRPr="00A40F84">
              <w:t>per</w:t>
            </w:r>
            <w:r>
              <w:t xml:space="preserve"> </w:t>
            </w:r>
            <w:r w:rsidRPr="00A40F84">
              <w:t>100</w:t>
            </w:r>
            <w:r>
              <w:t xml:space="preserve"> </w:t>
            </w:r>
            <w:r w:rsidRPr="00A40F84">
              <w:t>FTE</w:t>
            </w:r>
          </w:p>
        </w:tc>
        <w:tc>
          <w:tcPr>
            <w:tcW w:w="1195" w:type="dxa"/>
          </w:tcPr>
          <w:p w14:paraId="5BB69820" w14:textId="446B8793" w:rsidR="001A70B8" w:rsidRPr="00A40F84" w:rsidRDefault="001A70B8" w:rsidP="00101E5D">
            <w:pPr>
              <w:pStyle w:val="ARtabletextright"/>
              <w:shd w:val="clear" w:color="auto" w:fill="FFFFFF" w:themeFill="background1"/>
            </w:pPr>
            <w:r w:rsidRPr="00A40F84">
              <w:t>1.22</w:t>
            </w:r>
          </w:p>
        </w:tc>
        <w:tc>
          <w:tcPr>
            <w:tcW w:w="1410" w:type="dxa"/>
            <w:gridSpan w:val="2"/>
          </w:tcPr>
          <w:p w14:paraId="06F6F765" w14:textId="77777777" w:rsidR="001A70B8" w:rsidRPr="00A40F84" w:rsidRDefault="001A70B8" w:rsidP="00101E5D">
            <w:pPr>
              <w:pStyle w:val="ARtabletextright"/>
              <w:shd w:val="clear" w:color="auto" w:fill="FFFFFF" w:themeFill="background1"/>
            </w:pPr>
            <w:r w:rsidRPr="00A40F84">
              <w:rPr>
                <w:lang w:eastAsia="en-US"/>
              </w:rPr>
              <w:t>na</w:t>
            </w:r>
          </w:p>
        </w:tc>
        <w:tc>
          <w:tcPr>
            <w:tcW w:w="1510" w:type="dxa"/>
          </w:tcPr>
          <w:p w14:paraId="4B7D8328" w14:textId="0755D457" w:rsidR="001A70B8" w:rsidRPr="00A40F84" w:rsidRDefault="001A70B8" w:rsidP="00101E5D">
            <w:pPr>
              <w:pStyle w:val="ARtabletextright"/>
              <w:shd w:val="clear" w:color="auto" w:fill="FFFFFF" w:themeFill="background1"/>
              <w:rPr>
                <w:lang w:eastAsia="en-US"/>
              </w:rPr>
            </w:pPr>
            <w:r>
              <w:rPr>
                <w:lang w:eastAsia="en-US"/>
              </w:rPr>
              <w:t>0.9</w:t>
            </w:r>
            <w:r w:rsidR="00A028F3">
              <w:rPr>
                <w:lang w:eastAsia="en-US"/>
              </w:rPr>
              <w:t>5</w:t>
            </w:r>
          </w:p>
        </w:tc>
      </w:tr>
      <w:tr w:rsidR="001A70B8" w:rsidRPr="002029AF" w14:paraId="6F160A4F" w14:textId="77777777" w:rsidTr="00D429B0">
        <w:trPr>
          <w:cantSplit/>
        </w:trPr>
        <w:tc>
          <w:tcPr>
            <w:tcW w:w="2225" w:type="dxa"/>
            <w:vMerge/>
          </w:tcPr>
          <w:p w14:paraId="683DED14" w14:textId="77777777" w:rsidR="001A70B8" w:rsidRPr="002029AF" w:rsidRDefault="001A70B8" w:rsidP="00101E5D">
            <w:pPr>
              <w:pStyle w:val="ARtabletext"/>
              <w:shd w:val="clear" w:color="auto" w:fill="FFFFFF" w:themeFill="background1"/>
            </w:pPr>
          </w:p>
        </w:tc>
        <w:tc>
          <w:tcPr>
            <w:tcW w:w="3299" w:type="dxa"/>
          </w:tcPr>
          <w:p w14:paraId="2ABD1386" w14:textId="77777777" w:rsidR="001A70B8" w:rsidRPr="00A40F84" w:rsidRDefault="001A70B8" w:rsidP="00101E5D">
            <w:pPr>
              <w:pStyle w:val="ARtabletext"/>
              <w:shd w:val="clear" w:color="auto" w:fill="FFFFFF" w:themeFill="background1"/>
            </w:pPr>
            <w:r w:rsidRPr="00A40F84">
              <w:t>No.</w:t>
            </w:r>
            <w:r>
              <w:t xml:space="preserve"> </w:t>
            </w:r>
            <w:r w:rsidRPr="00A40F84">
              <w:t>of</w:t>
            </w:r>
            <w:r>
              <w:t xml:space="preserve"> </w:t>
            </w:r>
            <w:r w:rsidRPr="00A40F84">
              <w:t>claims</w:t>
            </w:r>
            <w:r>
              <w:t xml:space="preserve"> </w:t>
            </w:r>
            <w:r w:rsidRPr="00A40F84">
              <w:t>exceeding</w:t>
            </w:r>
            <w:r>
              <w:t xml:space="preserve"> </w:t>
            </w:r>
            <w:r w:rsidRPr="00A40F84">
              <w:t>13</w:t>
            </w:r>
            <w:r>
              <w:t xml:space="preserve"> </w:t>
            </w:r>
            <w:r w:rsidRPr="00A40F84">
              <w:t>weeks</w:t>
            </w:r>
            <w:r w:rsidRPr="00B037E4">
              <w:rPr>
                <w:rStyle w:val="FootnoteReference"/>
              </w:rPr>
              <w:t>(</w:t>
            </w:r>
            <w:r>
              <w:rPr>
                <w:rStyle w:val="FootnoteReference"/>
              </w:rPr>
              <w:footnoteReference w:id="40"/>
            </w:r>
            <w:r w:rsidRPr="00B037E4">
              <w:rPr>
                <w:rStyle w:val="FootnoteReference"/>
              </w:rPr>
              <w:t>)</w:t>
            </w:r>
          </w:p>
        </w:tc>
        <w:tc>
          <w:tcPr>
            <w:tcW w:w="1195" w:type="dxa"/>
          </w:tcPr>
          <w:p w14:paraId="32A2CDCD" w14:textId="77777777" w:rsidR="001A70B8" w:rsidRPr="00A40F84" w:rsidRDefault="001A70B8" w:rsidP="00101E5D">
            <w:pPr>
              <w:pStyle w:val="ARtabletextright"/>
              <w:shd w:val="clear" w:color="auto" w:fill="FFFFFF" w:themeFill="background1"/>
            </w:pPr>
            <w:r w:rsidRPr="00A40F84">
              <w:t>69</w:t>
            </w:r>
          </w:p>
        </w:tc>
        <w:tc>
          <w:tcPr>
            <w:tcW w:w="1410" w:type="dxa"/>
            <w:gridSpan w:val="2"/>
          </w:tcPr>
          <w:p w14:paraId="2ABE0E4F" w14:textId="77777777" w:rsidR="001A70B8" w:rsidRPr="00A40F84" w:rsidRDefault="001A70B8" w:rsidP="00101E5D">
            <w:pPr>
              <w:pStyle w:val="ARtabletextright"/>
              <w:shd w:val="clear" w:color="auto" w:fill="FFFFFF" w:themeFill="background1"/>
            </w:pPr>
            <w:r w:rsidRPr="00A40F84">
              <w:t>na</w:t>
            </w:r>
          </w:p>
        </w:tc>
        <w:tc>
          <w:tcPr>
            <w:tcW w:w="1510" w:type="dxa"/>
          </w:tcPr>
          <w:p w14:paraId="5837C88F" w14:textId="77777777" w:rsidR="001A70B8" w:rsidRPr="00A40F84" w:rsidRDefault="001A70B8" w:rsidP="00101E5D">
            <w:pPr>
              <w:pStyle w:val="ARtabletextright"/>
              <w:shd w:val="clear" w:color="auto" w:fill="FFFFFF" w:themeFill="background1"/>
            </w:pPr>
            <w:r>
              <w:t>17</w:t>
            </w:r>
          </w:p>
        </w:tc>
      </w:tr>
      <w:tr w:rsidR="001A70B8" w:rsidRPr="002029AF" w14:paraId="166F49A7" w14:textId="77777777" w:rsidTr="00D429B0">
        <w:trPr>
          <w:cantSplit/>
        </w:trPr>
        <w:tc>
          <w:tcPr>
            <w:tcW w:w="2225" w:type="dxa"/>
            <w:vMerge/>
          </w:tcPr>
          <w:p w14:paraId="3B967C46" w14:textId="77777777" w:rsidR="001A70B8" w:rsidRPr="002029AF" w:rsidRDefault="001A70B8" w:rsidP="00101E5D">
            <w:pPr>
              <w:pStyle w:val="ARtabletext"/>
              <w:shd w:val="clear" w:color="auto" w:fill="FFFFFF" w:themeFill="background1"/>
            </w:pPr>
          </w:p>
        </w:tc>
        <w:tc>
          <w:tcPr>
            <w:tcW w:w="3299" w:type="dxa"/>
          </w:tcPr>
          <w:p w14:paraId="172A61C6" w14:textId="77777777" w:rsidR="001A70B8" w:rsidRPr="00A40F84" w:rsidRDefault="001A70B8" w:rsidP="00101E5D">
            <w:pPr>
              <w:pStyle w:val="ARtabletext"/>
              <w:shd w:val="clear" w:color="auto" w:fill="FFFFFF" w:themeFill="background1"/>
            </w:pPr>
            <w:r w:rsidRPr="00A40F84">
              <w:t>Rate</w:t>
            </w:r>
            <w:r>
              <w:t xml:space="preserve"> </w:t>
            </w:r>
            <w:r w:rsidRPr="00A40F84">
              <w:t>per</w:t>
            </w:r>
            <w:r>
              <w:t xml:space="preserve"> </w:t>
            </w:r>
            <w:r w:rsidRPr="00A40F84">
              <w:t>100</w:t>
            </w:r>
            <w:r>
              <w:t xml:space="preserve"> </w:t>
            </w:r>
            <w:r w:rsidRPr="00A40F84">
              <w:t>FTE</w:t>
            </w:r>
          </w:p>
        </w:tc>
        <w:tc>
          <w:tcPr>
            <w:tcW w:w="1195" w:type="dxa"/>
          </w:tcPr>
          <w:p w14:paraId="4FF5A253" w14:textId="31A6059B" w:rsidR="001A70B8" w:rsidRPr="00A40F84" w:rsidRDefault="001A70B8" w:rsidP="00101E5D">
            <w:pPr>
              <w:pStyle w:val="ARtabletextright"/>
              <w:shd w:val="clear" w:color="auto" w:fill="FFFFFF" w:themeFill="background1"/>
            </w:pPr>
            <w:r w:rsidRPr="00A40F84">
              <w:t>0.6</w:t>
            </w:r>
            <w:r w:rsidR="00A028F3">
              <w:t>5</w:t>
            </w:r>
          </w:p>
        </w:tc>
        <w:tc>
          <w:tcPr>
            <w:tcW w:w="1410" w:type="dxa"/>
            <w:gridSpan w:val="2"/>
          </w:tcPr>
          <w:p w14:paraId="1D61293D" w14:textId="77777777" w:rsidR="001A70B8" w:rsidRPr="00A40F84" w:rsidRDefault="001A70B8" w:rsidP="00101E5D">
            <w:pPr>
              <w:pStyle w:val="ARtabletextright"/>
              <w:shd w:val="clear" w:color="auto" w:fill="FFFFFF" w:themeFill="background1"/>
            </w:pPr>
            <w:r w:rsidRPr="00A40F84">
              <w:rPr>
                <w:lang w:eastAsia="en-US"/>
              </w:rPr>
              <w:t>na</w:t>
            </w:r>
          </w:p>
        </w:tc>
        <w:tc>
          <w:tcPr>
            <w:tcW w:w="1510" w:type="dxa"/>
          </w:tcPr>
          <w:p w14:paraId="3377CFE5" w14:textId="60DA24D4" w:rsidR="001A70B8" w:rsidRPr="00A40F84" w:rsidRDefault="001A70B8" w:rsidP="00101E5D">
            <w:pPr>
              <w:pStyle w:val="ARtabletextright"/>
              <w:shd w:val="clear" w:color="auto" w:fill="FFFFFF" w:themeFill="background1"/>
              <w:rPr>
                <w:lang w:eastAsia="en-US"/>
              </w:rPr>
            </w:pPr>
            <w:r>
              <w:rPr>
                <w:lang w:eastAsia="en-US"/>
              </w:rPr>
              <w:t>0.52</w:t>
            </w:r>
          </w:p>
        </w:tc>
      </w:tr>
      <w:tr w:rsidR="001A70B8" w:rsidRPr="002029AF" w14:paraId="4D358D04" w14:textId="77777777" w:rsidTr="00D429B0">
        <w:trPr>
          <w:cantSplit/>
        </w:trPr>
        <w:tc>
          <w:tcPr>
            <w:tcW w:w="2225" w:type="dxa"/>
            <w:vMerge w:val="restart"/>
            <w:tcBorders>
              <w:top w:val="single" w:sz="4" w:space="0" w:color="auto"/>
            </w:tcBorders>
          </w:tcPr>
          <w:p w14:paraId="46694DC1" w14:textId="77777777" w:rsidR="001A70B8" w:rsidRPr="002029AF" w:rsidRDefault="001A70B8" w:rsidP="00101E5D">
            <w:pPr>
              <w:pStyle w:val="ARtabletext"/>
              <w:shd w:val="clear" w:color="auto" w:fill="FFFFFF" w:themeFill="background1"/>
            </w:pPr>
            <w:r w:rsidRPr="002029AF">
              <w:t>Absenteeism</w:t>
            </w:r>
          </w:p>
        </w:tc>
        <w:tc>
          <w:tcPr>
            <w:tcW w:w="3299" w:type="dxa"/>
          </w:tcPr>
          <w:p w14:paraId="50D8C6E5" w14:textId="094F7050" w:rsidR="001A70B8" w:rsidRPr="00A40F84" w:rsidRDefault="001A70B8" w:rsidP="00101E5D">
            <w:pPr>
              <w:pStyle w:val="ARtabletext"/>
              <w:shd w:val="clear" w:color="auto" w:fill="FFFFFF" w:themeFill="background1"/>
            </w:pPr>
            <w:r w:rsidRPr="00A40F84">
              <w:t>Total</w:t>
            </w:r>
            <w:r>
              <w:t xml:space="preserve"> </w:t>
            </w:r>
            <w:r w:rsidRPr="00A40F84">
              <w:t>number</w:t>
            </w:r>
            <w:r>
              <w:t xml:space="preserve"> </w:t>
            </w:r>
            <w:r w:rsidRPr="00A40F84">
              <w:t>of</w:t>
            </w:r>
            <w:r>
              <w:t xml:space="preserve"> </w:t>
            </w:r>
            <w:r w:rsidRPr="00A40F84">
              <w:t>days</w:t>
            </w:r>
            <w:r>
              <w:t xml:space="preserve"> </w:t>
            </w:r>
            <w:r w:rsidR="006B7D19">
              <w:t xml:space="preserve">of </w:t>
            </w:r>
            <w:r w:rsidRPr="00A40F84">
              <w:t>absence</w:t>
            </w:r>
            <w:r>
              <w:t xml:space="preserve"> </w:t>
            </w:r>
            <w:r w:rsidRPr="00A40F84">
              <w:t>due</w:t>
            </w:r>
            <w:r>
              <w:t xml:space="preserve"> </w:t>
            </w:r>
            <w:r w:rsidRPr="00A40F84">
              <w:t>to</w:t>
            </w:r>
            <w:r>
              <w:t xml:space="preserve"> </w:t>
            </w:r>
            <w:r w:rsidRPr="00A40F84">
              <w:t>injury</w:t>
            </w:r>
            <w:r>
              <w:t xml:space="preserve"> </w:t>
            </w:r>
            <w:r w:rsidRPr="00A40F84">
              <w:t>or</w:t>
            </w:r>
            <w:r>
              <w:t xml:space="preserve"> </w:t>
            </w:r>
            <w:r w:rsidRPr="00A40F84">
              <w:t>illness</w:t>
            </w:r>
          </w:p>
        </w:tc>
        <w:tc>
          <w:tcPr>
            <w:tcW w:w="1195" w:type="dxa"/>
          </w:tcPr>
          <w:p w14:paraId="27531A9B" w14:textId="77777777" w:rsidR="001A70B8" w:rsidRPr="00A40F84" w:rsidDel="00FA770C" w:rsidRDefault="001A70B8" w:rsidP="00101E5D">
            <w:pPr>
              <w:pStyle w:val="ARtabletextright"/>
              <w:shd w:val="clear" w:color="auto" w:fill="FFFFFF" w:themeFill="background1"/>
            </w:pPr>
            <w:r w:rsidRPr="00A40F84">
              <w:t>67,596</w:t>
            </w:r>
          </w:p>
        </w:tc>
        <w:tc>
          <w:tcPr>
            <w:tcW w:w="1410" w:type="dxa"/>
            <w:gridSpan w:val="2"/>
          </w:tcPr>
          <w:p w14:paraId="3A3076DD" w14:textId="77777777" w:rsidR="001A70B8" w:rsidRPr="00A40F84" w:rsidDel="00FA770C" w:rsidRDefault="001A70B8" w:rsidP="00101E5D">
            <w:pPr>
              <w:pStyle w:val="ARtabletextright"/>
              <w:shd w:val="clear" w:color="auto" w:fill="FFFFFF" w:themeFill="background1"/>
            </w:pPr>
            <w:r w:rsidRPr="00A40F84">
              <w:rPr>
                <w:lang w:eastAsia="en-US"/>
              </w:rPr>
              <w:t>na</w:t>
            </w:r>
          </w:p>
        </w:tc>
        <w:tc>
          <w:tcPr>
            <w:tcW w:w="1510" w:type="dxa"/>
          </w:tcPr>
          <w:p w14:paraId="704CCBDB" w14:textId="46665FF0" w:rsidR="001A70B8" w:rsidRPr="00A40F84" w:rsidDel="00FA770C" w:rsidRDefault="005A284D" w:rsidP="00101E5D">
            <w:pPr>
              <w:pStyle w:val="ARtabletextright"/>
              <w:shd w:val="clear" w:color="auto" w:fill="FFFFFF" w:themeFill="background1"/>
              <w:rPr>
                <w:lang w:eastAsia="en-US"/>
              </w:rPr>
            </w:pPr>
            <w:r w:rsidRPr="00A40F84">
              <w:rPr>
                <w:lang w:eastAsia="en-US"/>
              </w:rPr>
              <w:t>na</w:t>
            </w:r>
          </w:p>
        </w:tc>
      </w:tr>
      <w:tr w:rsidR="001A70B8" w:rsidRPr="002029AF" w14:paraId="1354567A" w14:textId="77777777" w:rsidTr="00D429B0">
        <w:trPr>
          <w:cantSplit/>
        </w:trPr>
        <w:tc>
          <w:tcPr>
            <w:tcW w:w="2225" w:type="dxa"/>
            <w:vMerge/>
          </w:tcPr>
          <w:p w14:paraId="1A6FA10E" w14:textId="77777777" w:rsidR="001A70B8" w:rsidRPr="002029AF" w:rsidRDefault="001A70B8" w:rsidP="00101E5D">
            <w:pPr>
              <w:pStyle w:val="ARtabletext"/>
              <w:shd w:val="clear" w:color="auto" w:fill="FFFFFF" w:themeFill="background1"/>
            </w:pPr>
          </w:p>
        </w:tc>
        <w:tc>
          <w:tcPr>
            <w:tcW w:w="3299" w:type="dxa"/>
          </w:tcPr>
          <w:p w14:paraId="47825E51" w14:textId="77777777" w:rsidR="001A70B8" w:rsidRPr="00A40F84" w:rsidRDefault="001A70B8" w:rsidP="00101E5D">
            <w:pPr>
              <w:pStyle w:val="ARtabletext"/>
              <w:shd w:val="clear" w:color="auto" w:fill="FFFFFF" w:themeFill="background1"/>
            </w:pPr>
            <w:r w:rsidRPr="00A40F84">
              <w:t>Rate</w:t>
            </w:r>
            <w:r>
              <w:t xml:space="preserve"> </w:t>
            </w:r>
            <w:r w:rsidRPr="00A40F84">
              <w:t>per</w:t>
            </w:r>
            <w:r>
              <w:t xml:space="preserve"> </w:t>
            </w:r>
            <w:r w:rsidRPr="00A40F84">
              <w:t>100</w:t>
            </w:r>
            <w:r>
              <w:t xml:space="preserve"> </w:t>
            </w:r>
            <w:r w:rsidRPr="00A40F84">
              <w:t>FTE</w:t>
            </w:r>
          </w:p>
        </w:tc>
        <w:tc>
          <w:tcPr>
            <w:tcW w:w="1195" w:type="dxa"/>
          </w:tcPr>
          <w:p w14:paraId="6F692729" w14:textId="77777777" w:rsidR="001A70B8" w:rsidRPr="00A40F84" w:rsidDel="00FA770C" w:rsidRDefault="001A70B8" w:rsidP="00101E5D">
            <w:pPr>
              <w:pStyle w:val="ARtabletextright"/>
              <w:shd w:val="clear" w:color="auto" w:fill="FFFFFF" w:themeFill="background1"/>
            </w:pPr>
            <w:r w:rsidRPr="00A40F84">
              <w:t>789</w:t>
            </w:r>
          </w:p>
        </w:tc>
        <w:tc>
          <w:tcPr>
            <w:tcW w:w="1410" w:type="dxa"/>
            <w:gridSpan w:val="2"/>
          </w:tcPr>
          <w:p w14:paraId="301032A7" w14:textId="77777777" w:rsidR="001A70B8" w:rsidRPr="00A40F84" w:rsidDel="00FA770C" w:rsidRDefault="001A70B8" w:rsidP="00101E5D">
            <w:pPr>
              <w:pStyle w:val="ARtabletextright"/>
              <w:shd w:val="clear" w:color="auto" w:fill="FFFFFF" w:themeFill="background1"/>
            </w:pPr>
            <w:r w:rsidRPr="00A40F84">
              <w:rPr>
                <w:lang w:eastAsia="en-US"/>
              </w:rPr>
              <w:t>na</w:t>
            </w:r>
          </w:p>
        </w:tc>
        <w:tc>
          <w:tcPr>
            <w:tcW w:w="1510" w:type="dxa"/>
          </w:tcPr>
          <w:p w14:paraId="7873F393" w14:textId="3A395D94" w:rsidR="001A70B8" w:rsidRPr="00A40F84" w:rsidDel="00FA770C" w:rsidRDefault="005A284D" w:rsidP="00101E5D">
            <w:pPr>
              <w:pStyle w:val="ARtabletextright"/>
              <w:shd w:val="clear" w:color="auto" w:fill="FFFFFF" w:themeFill="background1"/>
              <w:rPr>
                <w:lang w:eastAsia="en-US"/>
              </w:rPr>
            </w:pPr>
            <w:r w:rsidRPr="00A40F84">
              <w:rPr>
                <w:lang w:eastAsia="en-US"/>
              </w:rPr>
              <w:t>na</w:t>
            </w:r>
          </w:p>
        </w:tc>
      </w:tr>
      <w:tr w:rsidR="001A70B8" w:rsidRPr="002029AF" w14:paraId="64F67599" w14:textId="77777777" w:rsidTr="00D429B0">
        <w:trPr>
          <w:cantSplit/>
        </w:trPr>
        <w:tc>
          <w:tcPr>
            <w:tcW w:w="2225" w:type="dxa"/>
          </w:tcPr>
          <w:p w14:paraId="25863467" w14:textId="77777777" w:rsidR="001A70B8" w:rsidRPr="002029AF" w:rsidRDefault="001A70B8" w:rsidP="00101E5D">
            <w:pPr>
              <w:pStyle w:val="ARtabletext"/>
              <w:shd w:val="clear" w:color="auto" w:fill="FFFFFF" w:themeFill="background1"/>
            </w:pPr>
            <w:r w:rsidRPr="002029AF">
              <w:t>Fatalities</w:t>
            </w:r>
          </w:p>
        </w:tc>
        <w:tc>
          <w:tcPr>
            <w:tcW w:w="3299" w:type="dxa"/>
          </w:tcPr>
          <w:p w14:paraId="28952218" w14:textId="77777777" w:rsidR="001A70B8" w:rsidRPr="00A40F84" w:rsidRDefault="001A70B8" w:rsidP="00101E5D">
            <w:pPr>
              <w:pStyle w:val="ARtabletext"/>
              <w:shd w:val="clear" w:color="auto" w:fill="FFFFFF" w:themeFill="background1"/>
            </w:pPr>
            <w:r w:rsidRPr="00A40F84">
              <w:t>No.</w:t>
            </w:r>
            <w:r>
              <w:t xml:space="preserve"> </w:t>
            </w:r>
            <w:r w:rsidRPr="00A40F84">
              <w:t>of</w:t>
            </w:r>
            <w:r>
              <w:t xml:space="preserve"> </w:t>
            </w:r>
            <w:r w:rsidRPr="00A40F84">
              <w:t>fatalities</w:t>
            </w:r>
          </w:p>
        </w:tc>
        <w:tc>
          <w:tcPr>
            <w:tcW w:w="1195" w:type="dxa"/>
          </w:tcPr>
          <w:p w14:paraId="7C49C1EA" w14:textId="77777777" w:rsidR="001A70B8" w:rsidRPr="00A40F84" w:rsidRDefault="001A70B8" w:rsidP="00101E5D">
            <w:pPr>
              <w:pStyle w:val="ARtabletextright"/>
              <w:shd w:val="clear" w:color="auto" w:fill="FFFFFF" w:themeFill="background1"/>
            </w:pPr>
            <w:r w:rsidRPr="00A40F84">
              <w:t>0</w:t>
            </w:r>
          </w:p>
        </w:tc>
        <w:tc>
          <w:tcPr>
            <w:tcW w:w="1410" w:type="dxa"/>
            <w:gridSpan w:val="2"/>
          </w:tcPr>
          <w:p w14:paraId="34A12DFD" w14:textId="77777777" w:rsidR="001A70B8" w:rsidRPr="00A40F84" w:rsidRDefault="001A70B8" w:rsidP="00101E5D">
            <w:pPr>
              <w:pStyle w:val="ARtabletextright"/>
              <w:shd w:val="clear" w:color="auto" w:fill="FFFFFF" w:themeFill="background1"/>
            </w:pPr>
            <w:r w:rsidRPr="00A40F84">
              <w:t>0</w:t>
            </w:r>
          </w:p>
        </w:tc>
        <w:tc>
          <w:tcPr>
            <w:tcW w:w="1510" w:type="dxa"/>
          </w:tcPr>
          <w:p w14:paraId="266DFFAE" w14:textId="77777777" w:rsidR="001A70B8" w:rsidRPr="00A40F84" w:rsidRDefault="001A70B8" w:rsidP="00101E5D">
            <w:pPr>
              <w:pStyle w:val="ARtabletextright"/>
              <w:shd w:val="clear" w:color="auto" w:fill="FFFFFF" w:themeFill="background1"/>
            </w:pPr>
            <w:r>
              <w:t>0</w:t>
            </w:r>
          </w:p>
        </w:tc>
      </w:tr>
      <w:tr w:rsidR="001A70B8" w:rsidRPr="002029AF" w14:paraId="5815B2FE" w14:textId="77777777" w:rsidTr="00D429B0">
        <w:trPr>
          <w:cantSplit/>
        </w:trPr>
        <w:tc>
          <w:tcPr>
            <w:tcW w:w="2225" w:type="dxa"/>
          </w:tcPr>
          <w:p w14:paraId="5E0A620C" w14:textId="77777777" w:rsidR="001A70B8" w:rsidRPr="002029AF" w:rsidRDefault="001A70B8" w:rsidP="00101E5D">
            <w:pPr>
              <w:pStyle w:val="ARtabletext"/>
              <w:shd w:val="clear" w:color="auto" w:fill="FFFFFF" w:themeFill="background1"/>
            </w:pPr>
            <w:r w:rsidRPr="002029AF">
              <w:t>Prosecutions</w:t>
            </w:r>
          </w:p>
        </w:tc>
        <w:tc>
          <w:tcPr>
            <w:tcW w:w="3299" w:type="dxa"/>
          </w:tcPr>
          <w:p w14:paraId="4F603CAD" w14:textId="77777777" w:rsidR="001A70B8" w:rsidRPr="00A40F84" w:rsidRDefault="001A70B8" w:rsidP="00101E5D">
            <w:pPr>
              <w:pStyle w:val="ARtabletext"/>
              <w:shd w:val="clear" w:color="auto" w:fill="FFFFFF" w:themeFill="background1"/>
            </w:pPr>
            <w:r w:rsidRPr="00A40F84">
              <w:t>Total</w:t>
            </w:r>
            <w:r>
              <w:t xml:space="preserve"> </w:t>
            </w:r>
            <w:r w:rsidRPr="00A40F84">
              <w:t>number</w:t>
            </w:r>
            <w:r>
              <w:t xml:space="preserve"> </w:t>
            </w:r>
            <w:r w:rsidRPr="00A40F84">
              <w:t>of</w:t>
            </w:r>
            <w:r>
              <w:t xml:space="preserve"> </w:t>
            </w:r>
            <w:r w:rsidRPr="00A40F84">
              <w:t>prosecutions</w:t>
            </w:r>
            <w:r w:rsidRPr="00B037E4">
              <w:rPr>
                <w:rStyle w:val="FootnoteReference"/>
              </w:rPr>
              <w:t>(</w:t>
            </w:r>
            <w:r>
              <w:rPr>
                <w:rStyle w:val="FootnoteReference"/>
              </w:rPr>
              <w:footnoteReference w:id="41"/>
            </w:r>
            <w:r w:rsidRPr="00B037E4">
              <w:rPr>
                <w:rStyle w:val="FootnoteReference"/>
              </w:rPr>
              <w:t>)</w:t>
            </w:r>
          </w:p>
        </w:tc>
        <w:tc>
          <w:tcPr>
            <w:tcW w:w="1195" w:type="dxa"/>
          </w:tcPr>
          <w:p w14:paraId="3A049C47" w14:textId="77777777" w:rsidR="001A70B8" w:rsidRPr="00A40F84" w:rsidDel="00FA770C" w:rsidRDefault="001A70B8" w:rsidP="00101E5D">
            <w:pPr>
              <w:pStyle w:val="ARtabletextright"/>
              <w:shd w:val="clear" w:color="auto" w:fill="FFFFFF" w:themeFill="background1"/>
            </w:pPr>
            <w:r w:rsidRPr="00A40F84">
              <w:t>0</w:t>
            </w:r>
          </w:p>
        </w:tc>
        <w:tc>
          <w:tcPr>
            <w:tcW w:w="1410" w:type="dxa"/>
            <w:gridSpan w:val="2"/>
          </w:tcPr>
          <w:p w14:paraId="5DEC2B0E" w14:textId="77777777" w:rsidR="001A70B8" w:rsidRPr="00A40F84" w:rsidDel="00FA770C" w:rsidRDefault="001A70B8" w:rsidP="00101E5D">
            <w:pPr>
              <w:pStyle w:val="ARtabletextright"/>
              <w:shd w:val="clear" w:color="auto" w:fill="FFFFFF" w:themeFill="background1"/>
            </w:pPr>
            <w:r w:rsidRPr="00A40F84">
              <w:t>0</w:t>
            </w:r>
          </w:p>
        </w:tc>
        <w:tc>
          <w:tcPr>
            <w:tcW w:w="1510" w:type="dxa"/>
          </w:tcPr>
          <w:p w14:paraId="483C9B11" w14:textId="77777777" w:rsidR="001A70B8" w:rsidRPr="00A40F84" w:rsidDel="00FA770C" w:rsidRDefault="001A70B8" w:rsidP="00101E5D">
            <w:pPr>
              <w:pStyle w:val="ARtabletextright"/>
              <w:shd w:val="clear" w:color="auto" w:fill="FFFFFF" w:themeFill="background1"/>
            </w:pPr>
            <w:r>
              <w:t>0</w:t>
            </w:r>
          </w:p>
        </w:tc>
      </w:tr>
      <w:tr w:rsidR="001A70B8" w:rsidRPr="00162738" w14:paraId="28E8B178" w14:textId="77777777" w:rsidTr="00D429B0">
        <w:trPr>
          <w:cantSplit/>
        </w:trPr>
        <w:tc>
          <w:tcPr>
            <w:tcW w:w="2225" w:type="dxa"/>
          </w:tcPr>
          <w:p w14:paraId="53808F9E" w14:textId="77777777" w:rsidR="001A70B8" w:rsidRPr="00162738" w:rsidRDefault="001A70B8" w:rsidP="00101E5D">
            <w:pPr>
              <w:pStyle w:val="ARtabletext"/>
              <w:shd w:val="clear" w:color="auto" w:fill="FFFFFF" w:themeFill="background1"/>
            </w:pPr>
            <w:r w:rsidRPr="00162738">
              <w:t>Claims</w:t>
            </w:r>
            <w:r>
              <w:t xml:space="preserve"> </w:t>
            </w:r>
            <w:r w:rsidRPr="00162738">
              <w:t>costs</w:t>
            </w:r>
            <w:r w:rsidRPr="00162738">
              <w:rPr>
                <w:rStyle w:val="FootnoteReference"/>
              </w:rPr>
              <w:t>(</w:t>
            </w:r>
            <w:r w:rsidRPr="00162738">
              <w:rPr>
                <w:rStyle w:val="FootnoteReference"/>
              </w:rPr>
              <w:footnoteReference w:id="42"/>
            </w:r>
            <w:r w:rsidRPr="00162738">
              <w:rPr>
                <w:rStyle w:val="FootnoteReference"/>
              </w:rPr>
              <w:t>)</w:t>
            </w:r>
          </w:p>
        </w:tc>
        <w:tc>
          <w:tcPr>
            <w:tcW w:w="3299" w:type="dxa"/>
          </w:tcPr>
          <w:p w14:paraId="061275F8" w14:textId="77777777" w:rsidR="001A70B8" w:rsidRPr="00162738" w:rsidRDefault="001A70B8" w:rsidP="00101E5D">
            <w:pPr>
              <w:pStyle w:val="ARtabletext"/>
              <w:shd w:val="clear" w:color="auto" w:fill="FFFFFF" w:themeFill="background1"/>
            </w:pPr>
            <w:r w:rsidRPr="00162738">
              <w:t>Average</w:t>
            </w:r>
            <w:r>
              <w:t xml:space="preserve"> </w:t>
            </w:r>
            <w:r w:rsidRPr="00162738">
              <w:t>cost</w:t>
            </w:r>
            <w:r>
              <w:t xml:space="preserve"> </w:t>
            </w:r>
            <w:r w:rsidRPr="00162738">
              <w:t>per</w:t>
            </w:r>
            <w:r>
              <w:t xml:space="preserve"> </w:t>
            </w:r>
            <w:r w:rsidRPr="00162738">
              <w:t>standard</w:t>
            </w:r>
            <w:r>
              <w:t xml:space="preserve"> </w:t>
            </w:r>
            <w:r w:rsidRPr="00162738">
              <w:t>claim</w:t>
            </w:r>
            <w:r w:rsidRPr="00162738">
              <w:rPr>
                <w:rStyle w:val="FootnoteReference"/>
              </w:rPr>
              <w:t>(</w:t>
            </w:r>
            <w:r w:rsidRPr="00162738">
              <w:rPr>
                <w:rStyle w:val="FootnoteReference"/>
              </w:rPr>
              <w:footnoteReference w:id="43"/>
            </w:r>
            <w:r w:rsidRPr="00162738">
              <w:rPr>
                <w:rStyle w:val="FootnoteReference"/>
              </w:rPr>
              <w:t>)</w:t>
            </w:r>
          </w:p>
        </w:tc>
        <w:tc>
          <w:tcPr>
            <w:tcW w:w="1195" w:type="dxa"/>
          </w:tcPr>
          <w:p w14:paraId="0D446F35" w14:textId="77777777" w:rsidR="001A70B8" w:rsidRPr="00162738" w:rsidRDefault="001A70B8" w:rsidP="00101E5D">
            <w:pPr>
              <w:pStyle w:val="ARtabletextright"/>
              <w:shd w:val="clear" w:color="auto" w:fill="FFFFFF" w:themeFill="background1"/>
            </w:pPr>
            <w:r w:rsidRPr="00162738">
              <w:t>$149,100</w:t>
            </w:r>
          </w:p>
        </w:tc>
        <w:tc>
          <w:tcPr>
            <w:tcW w:w="1410" w:type="dxa"/>
            <w:gridSpan w:val="2"/>
          </w:tcPr>
          <w:p w14:paraId="156AFC01" w14:textId="77777777" w:rsidR="001A70B8" w:rsidRPr="00162738" w:rsidRDefault="001A70B8" w:rsidP="00101E5D">
            <w:pPr>
              <w:pStyle w:val="ARtabletextright"/>
              <w:shd w:val="clear" w:color="auto" w:fill="FFFFFF" w:themeFill="background1"/>
            </w:pPr>
            <w:r w:rsidRPr="00162738">
              <w:t>na</w:t>
            </w:r>
          </w:p>
        </w:tc>
        <w:tc>
          <w:tcPr>
            <w:tcW w:w="1510" w:type="dxa"/>
          </w:tcPr>
          <w:p w14:paraId="44526B3C" w14:textId="77777777" w:rsidR="001A70B8" w:rsidRPr="00162738" w:rsidRDefault="001A70B8" w:rsidP="00101E5D">
            <w:pPr>
              <w:pStyle w:val="ARtabletextright"/>
              <w:shd w:val="clear" w:color="auto" w:fill="FFFFFF" w:themeFill="background1"/>
            </w:pPr>
            <w:r>
              <w:t>$437,753</w:t>
            </w:r>
          </w:p>
        </w:tc>
      </w:tr>
      <w:bookmarkEnd w:id="298"/>
    </w:tbl>
    <w:p w14:paraId="01ED05D0" w14:textId="77777777" w:rsidR="001A70B8" w:rsidRPr="004B00EA" w:rsidRDefault="001A70B8" w:rsidP="00101E5D">
      <w:pPr>
        <w:pStyle w:val="ARbody"/>
        <w:shd w:val="clear" w:color="auto" w:fill="FFFFFF" w:themeFill="background1"/>
        <w:rPr>
          <w:strike/>
          <w:highlight w:val="yellow"/>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1372"/>
        <w:gridCol w:w="1600"/>
        <w:gridCol w:w="6667"/>
      </w:tblGrid>
      <w:tr w:rsidR="001A70B8" w:rsidRPr="002029AF" w14:paraId="28992DA9" w14:textId="77777777" w:rsidTr="00D429B0">
        <w:trPr>
          <w:cantSplit/>
          <w:tblHeader/>
        </w:trPr>
        <w:tc>
          <w:tcPr>
            <w:tcW w:w="1372" w:type="dxa"/>
            <w:vAlign w:val="bottom"/>
          </w:tcPr>
          <w:p w14:paraId="7D04BF65" w14:textId="77777777" w:rsidR="001A70B8" w:rsidRPr="006514A9" w:rsidRDefault="001A70B8" w:rsidP="00101E5D">
            <w:pPr>
              <w:pStyle w:val="ARtablecolhead"/>
              <w:shd w:val="clear" w:color="auto" w:fill="FFFFFF" w:themeFill="background1"/>
            </w:pPr>
            <w:r w:rsidRPr="006514A9">
              <w:t>Measure</w:t>
            </w:r>
          </w:p>
        </w:tc>
        <w:tc>
          <w:tcPr>
            <w:tcW w:w="1600" w:type="dxa"/>
            <w:vAlign w:val="bottom"/>
          </w:tcPr>
          <w:p w14:paraId="3A2F86CC" w14:textId="77777777" w:rsidR="001A70B8" w:rsidRPr="006514A9" w:rsidRDefault="001A70B8" w:rsidP="00101E5D">
            <w:pPr>
              <w:pStyle w:val="ARtablecolhead"/>
              <w:shd w:val="clear" w:color="auto" w:fill="FFFFFF" w:themeFill="background1"/>
            </w:pPr>
            <w:r w:rsidRPr="006514A9">
              <w:t>KPI</w:t>
            </w:r>
          </w:p>
        </w:tc>
        <w:tc>
          <w:tcPr>
            <w:tcW w:w="6667" w:type="dxa"/>
            <w:vAlign w:val="bottom"/>
          </w:tcPr>
          <w:p w14:paraId="4C530950" w14:textId="77777777" w:rsidR="001A70B8" w:rsidRPr="006514A9" w:rsidRDefault="001A70B8" w:rsidP="00101E5D">
            <w:pPr>
              <w:pStyle w:val="ARtablecolhead"/>
              <w:shd w:val="clear" w:color="auto" w:fill="FFFFFF" w:themeFill="background1"/>
            </w:pPr>
            <w:r w:rsidRPr="006514A9">
              <w:t>Performance</w:t>
            </w:r>
          </w:p>
        </w:tc>
      </w:tr>
      <w:tr w:rsidR="001A70B8" w:rsidRPr="002029AF" w14:paraId="602FF6C9" w14:textId="77777777" w:rsidTr="00D429B0">
        <w:trPr>
          <w:cantSplit/>
          <w:trHeight w:val="220"/>
        </w:trPr>
        <w:tc>
          <w:tcPr>
            <w:tcW w:w="1372" w:type="dxa"/>
          </w:tcPr>
          <w:p w14:paraId="17797FF1" w14:textId="77777777" w:rsidR="001A70B8" w:rsidRPr="002029AF" w:rsidRDefault="001A70B8" w:rsidP="00101E5D">
            <w:pPr>
              <w:pStyle w:val="ARtabletext"/>
              <w:shd w:val="clear" w:color="auto" w:fill="FFFFFF" w:themeFill="background1"/>
            </w:pPr>
            <w:r w:rsidRPr="002029AF">
              <w:t>Management</w:t>
            </w:r>
            <w:r>
              <w:t xml:space="preserve"> </w:t>
            </w:r>
            <w:r w:rsidRPr="002029AF">
              <w:t>commitment</w:t>
            </w:r>
          </w:p>
        </w:tc>
        <w:tc>
          <w:tcPr>
            <w:tcW w:w="1600" w:type="dxa"/>
          </w:tcPr>
          <w:p w14:paraId="2B2E0855" w14:textId="77777777" w:rsidR="001A70B8" w:rsidRPr="002029AF" w:rsidRDefault="001A70B8" w:rsidP="00101E5D">
            <w:pPr>
              <w:pStyle w:val="ARtabletext"/>
              <w:shd w:val="clear" w:color="auto" w:fill="FFFFFF" w:themeFill="background1"/>
            </w:pPr>
            <w:r w:rsidRPr="002029AF">
              <w:t>OHS</w:t>
            </w:r>
            <w:r>
              <w:t xml:space="preserve"> </w:t>
            </w:r>
            <w:r w:rsidRPr="002029AF">
              <w:t>policy</w:t>
            </w:r>
            <w:r>
              <w:t xml:space="preserve"> </w:t>
            </w:r>
            <w:r w:rsidRPr="002029AF">
              <w:t>statement</w:t>
            </w:r>
            <w:r>
              <w:t xml:space="preserve"> </w:t>
            </w:r>
            <w:r w:rsidRPr="002029AF">
              <w:t>and</w:t>
            </w:r>
            <w:r>
              <w:t xml:space="preserve"> </w:t>
            </w:r>
            <w:r w:rsidRPr="002029AF">
              <w:t>OHS</w:t>
            </w:r>
            <w:r>
              <w:t xml:space="preserve"> </w:t>
            </w:r>
            <w:r w:rsidRPr="002029AF">
              <w:t>criteria</w:t>
            </w:r>
          </w:p>
        </w:tc>
        <w:tc>
          <w:tcPr>
            <w:tcW w:w="6667" w:type="dxa"/>
          </w:tcPr>
          <w:p w14:paraId="20027F2B" w14:textId="77777777" w:rsidR="001A70B8" w:rsidRPr="002029AF" w:rsidRDefault="001A70B8" w:rsidP="00101E5D">
            <w:pPr>
              <w:pStyle w:val="ARtabletext"/>
              <w:shd w:val="clear" w:color="auto" w:fill="FFFFFF" w:themeFill="background1"/>
              <w:spacing w:before="60" w:after="40"/>
            </w:pPr>
            <w:r w:rsidRPr="4FCE31F0">
              <w:t>Health,</w:t>
            </w:r>
            <w:r>
              <w:t xml:space="preserve"> </w:t>
            </w:r>
            <w:r w:rsidRPr="4FCE31F0">
              <w:t>safety</w:t>
            </w:r>
            <w:r>
              <w:t xml:space="preserve"> </w:t>
            </w:r>
            <w:r w:rsidRPr="4FCE31F0">
              <w:t>and</w:t>
            </w:r>
            <w:r>
              <w:t xml:space="preserve"> </w:t>
            </w:r>
            <w:r w:rsidRPr="4FCE31F0">
              <w:t>wellbeing</w:t>
            </w:r>
            <w:r>
              <w:t xml:space="preserve"> </w:t>
            </w:r>
            <w:r w:rsidRPr="4FCE31F0">
              <w:t>accountabilities</w:t>
            </w:r>
            <w:r>
              <w:t xml:space="preserve"> </w:t>
            </w:r>
            <w:r w:rsidRPr="4FCE31F0">
              <w:t>were</w:t>
            </w:r>
            <w:r>
              <w:t xml:space="preserve"> </w:t>
            </w:r>
            <w:r w:rsidRPr="4FCE31F0">
              <w:t>included</w:t>
            </w:r>
            <w:r>
              <w:t xml:space="preserve"> </w:t>
            </w:r>
            <w:r w:rsidRPr="4FCE31F0">
              <w:t>in</w:t>
            </w:r>
            <w:r>
              <w:t xml:space="preserve"> </w:t>
            </w:r>
            <w:r w:rsidRPr="4FCE31F0">
              <w:t>all</w:t>
            </w:r>
            <w:r>
              <w:t xml:space="preserve"> </w:t>
            </w:r>
            <w:r w:rsidRPr="4FCE31F0">
              <w:t>executive</w:t>
            </w:r>
            <w:r>
              <w:t xml:space="preserve"> </w:t>
            </w:r>
            <w:r w:rsidRPr="4FCE31F0">
              <w:t>performance</w:t>
            </w:r>
            <w:r>
              <w:t xml:space="preserve"> </w:t>
            </w:r>
            <w:r w:rsidRPr="4FCE31F0">
              <w:t>plans</w:t>
            </w:r>
            <w:r>
              <w:t xml:space="preserve"> </w:t>
            </w:r>
            <w:r w:rsidRPr="4FCE31F0">
              <w:t>and</w:t>
            </w:r>
            <w:r>
              <w:t xml:space="preserve"> </w:t>
            </w:r>
            <w:r w:rsidRPr="4FCE31F0">
              <w:t>the</w:t>
            </w:r>
            <w:r>
              <w:t xml:space="preserve"> </w:t>
            </w:r>
            <w:r w:rsidRPr="4FCE31F0">
              <w:t>performance</w:t>
            </w:r>
            <w:r>
              <w:t xml:space="preserve"> </w:t>
            </w:r>
            <w:r w:rsidRPr="4FCE31F0">
              <w:t>and</w:t>
            </w:r>
            <w:r>
              <w:t xml:space="preserve"> </w:t>
            </w:r>
            <w:r w:rsidRPr="4FCE31F0">
              <w:t>development</w:t>
            </w:r>
            <w:r>
              <w:t xml:space="preserve"> </w:t>
            </w:r>
            <w:r w:rsidRPr="4FCE31F0">
              <w:t>plans</w:t>
            </w:r>
            <w:r>
              <w:t xml:space="preserve"> </w:t>
            </w:r>
            <w:r w:rsidRPr="4FCE31F0">
              <w:t>for</w:t>
            </w:r>
            <w:r>
              <w:t xml:space="preserve"> </w:t>
            </w:r>
            <w:r w:rsidRPr="4FCE31F0">
              <w:t>all</w:t>
            </w:r>
            <w:r>
              <w:t xml:space="preserve"> </w:t>
            </w:r>
            <w:r w:rsidRPr="4FCE31F0">
              <w:t>employees</w:t>
            </w:r>
            <w:r>
              <w:t xml:space="preserve"> </w:t>
            </w:r>
            <w:r w:rsidRPr="4FCE31F0">
              <w:t>in</w:t>
            </w:r>
            <w:r>
              <w:t xml:space="preserve"> </w:t>
            </w:r>
            <w:r w:rsidRPr="4FCE31F0">
              <w:t>202</w:t>
            </w:r>
            <w:r>
              <w:t>1</w:t>
            </w:r>
            <w:r w:rsidRPr="4FCE31F0">
              <w:t>–2</w:t>
            </w:r>
            <w:r>
              <w:t>2</w:t>
            </w:r>
            <w:r w:rsidRPr="4FCE31F0">
              <w:t>.</w:t>
            </w:r>
            <w:r>
              <w:t xml:space="preserve"> In October 2021 the department introduced a new health and safety policy that was signed off by the Secretary.</w:t>
            </w:r>
          </w:p>
          <w:p w14:paraId="1AD569BE" w14:textId="77777777" w:rsidR="001A70B8" w:rsidRPr="002029AF" w:rsidRDefault="001A70B8" w:rsidP="00101E5D">
            <w:pPr>
              <w:pStyle w:val="ARtabletext"/>
              <w:shd w:val="clear" w:color="auto" w:fill="FFFFFF" w:themeFill="background1"/>
              <w:spacing w:before="60" w:after="40"/>
            </w:pPr>
            <w:r w:rsidRPr="4FCE31F0">
              <w:t>The</w:t>
            </w:r>
            <w:r>
              <w:t xml:space="preserve"> </w:t>
            </w:r>
            <w:r w:rsidRPr="4FCE31F0">
              <w:t>department</w:t>
            </w:r>
            <w:r>
              <w:t xml:space="preserve"> </w:t>
            </w:r>
            <w:r w:rsidRPr="4FCE31F0">
              <w:t>continued</w:t>
            </w:r>
            <w:r>
              <w:t xml:space="preserve"> </w:t>
            </w:r>
            <w:r w:rsidRPr="4FCE31F0">
              <w:t>to</w:t>
            </w:r>
            <w:r>
              <w:t xml:space="preserve"> </w:t>
            </w:r>
            <w:r w:rsidRPr="4FCE31F0">
              <w:t>support</w:t>
            </w:r>
            <w:r>
              <w:t xml:space="preserve"> </w:t>
            </w:r>
            <w:r w:rsidRPr="4FCE31F0">
              <w:t>and</w:t>
            </w:r>
            <w:r>
              <w:t xml:space="preserve"> </w:t>
            </w:r>
            <w:r w:rsidRPr="4FCE31F0">
              <w:t>participate</w:t>
            </w:r>
            <w:r>
              <w:t xml:space="preserve"> </w:t>
            </w:r>
            <w:r w:rsidRPr="4FCE31F0">
              <w:t>in</w:t>
            </w:r>
            <w:r>
              <w:t xml:space="preserve"> </w:t>
            </w:r>
            <w:r w:rsidRPr="4FCE31F0">
              <w:t>the</w:t>
            </w:r>
            <w:r>
              <w:t xml:space="preserve"> </w:t>
            </w:r>
            <w:r w:rsidRPr="4FCE31F0">
              <w:t>whole</w:t>
            </w:r>
            <w:r>
              <w:t xml:space="preserve"> </w:t>
            </w:r>
            <w:r w:rsidRPr="4FCE31F0">
              <w:t>of</w:t>
            </w:r>
            <w:r>
              <w:t xml:space="preserve"> </w:t>
            </w:r>
            <w:r w:rsidRPr="4FCE31F0">
              <w:t>government</w:t>
            </w:r>
            <w:r>
              <w:t xml:space="preserve"> </w:t>
            </w:r>
            <w:r w:rsidRPr="4FCE31F0">
              <w:t>OHS</w:t>
            </w:r>
            <w:r>
              <w:t xml:space="preserve"> </w:t>
            </w:r>
            <w:r w:rsidRPr="4FCE31F0">
              <w:t>committee</w:t>
            </w:r>
            <w:r>
              <w:t xml:space="preserve"> </w:t>
            </w:r>
            <w:r w:rsidRPr="4FCE31F0">
              <w:t>structure,</w:t>
            </w:r>
            <w:r>
              <w:t xml:space="preserve"> </w:t>
            </w:r>
            <w:r w:rsidRPr="4FCE31F0">
              <w:t>established</w:t>
            </w:r>
            <w:r>
              <w:t xml:space="preserve"> </w:t>
            </w:r>
            <w:r w:rsidRPr="4FCE31F0">
              <w:t>in</w:t>
            </w:r>
            <w:r>
              <w:t xml:space="preserve"> </w:t>
            </w:r>
            <w:r w:rsidRPr="4FCE31F0">
              <w:t>partnership</w:t>
            </w:r>
            <w:r>
              <w:t xml:space="preserve"> </w:t>
            </w:r>
            <w:r w:rsidRPr="4FCE31F0">
              <w:t>with</w:t>
            </w:r>
            <w:r>
              <w:t xml:space="preserve"> </w:t>
            </w:r>
            <w:r w:rsidRPr="4FCE31F0">
              <w:t>unions</w:t>
            </w:r>
            <w:r>
              <w:t xml:space="preserve"> </w:t>
            </w:r>
            <w:r w:rsidRPr="4FCE31F0">
              <w:t>and</w:t>
            </w:r>
            <w:r>
              <w:t xml:space="preserve"> </w:t>
            </w:r>
            <w:r w:rsidRPr="4FCE31F0">
              <w:t>WorkSafe</w:t>
            </w:r>
            <w:r>
              <w:t xml:space="preserve"> </w:t>
            </w:r>
            <w:r w:rsidRPr="4FCE31F0">
              <w:t>to</w:t>
            </w:r>
            <w:r>
              <w:t xml:space="preserve"> </w:t>
            </w:r>
            <w:r w:rsidRPr="4FCE31F0">
              <w:t>lead</w:t>
            </w:r>
            <w:r>
              <w:t xml:space="preserve"> </w:t>
            </w:r>
            <w:r w:rsidRPr="4FCE31F0">
              <w:t>and</w:t>
            </w:r>
            <w:r>
              <w:t xml:space="preserve"> </w:t>
            </w:r>
            <w:r w:rsidRPr="4FCE31F0">
              <w:t>improve</w:t>
            </w:r>
            <w:r>
              <w:t xml:space="preserve"> </w:t>
            </w:r>
            <w:r w:rsidRPr="4FCE31F0">
              <w:t>OHS</w:t>
            </w:r>
            <w:r>
              <w:t xml:space="preserve"> </w:t>
            </w:r>
            <w:r w:rsidRPr="4FCE31F0">
              <w:t>performance</w:t>
            </w:r>
            <w:r>
              <w:t xml:space="preserve"> </w:t>
            </w:r>
            <w:r w:rsidRPr="4FCE31F0">
              <w:t>in</w:t>
            </w:r>
            <w:r>
              <w:t xml:space="preserve"> </w:t>
            </w:r>
            <w:r w:rsidRPr="4FCE31F0">
              <w:t>the</w:t>
            </w:r>
            <w:r>
              <w:t xml:space="preserve"> </w:t>
            </w:r>
            <w:r w:rsidRPr="4FCE31F0">
              <w:t>public</w:t>
            </w:r>
            <w:r>
              <w:t xml:space="preserve"> </w:t>
            </w:r>
            <w:r w:rsidRPr="4FCE31F0">
              <w:t>sector.</w:t>
            </w:r>
          </w:p>
          <w:p w14:paraId="08465EB1" w14:textId="77777777" w:rsidR="001A70B8" w:rsidRPr="002029AF" w:rsidRDefault="001A70B8" w:rsidP="00101E5D">
            <w:pPr>
              <w:pStyle w:val="ARtabletext"/>
              <w:shd w:val="clear" w:color="auto" w:fill="FFFFFF" w:themeFill="background1"/>
              <w:spacing w:before="60" w:after="40"/>
            </w:pPr>
            <w:r>
              <w:t>T</w:t>
            </w:r>
            <w:r w:rsidRPr="4FCE31F0">
              <w:t>he</w:t>
            </w:r>
            <w:r>
              <w:t xml:space="preserve"> </w:t>
            </w:r>
            <w:r w:rsidRPr="4FCE31F0">
              <w:t>department</w:t>
            </w:r>
            <w:r>
              <w:t>’</w:t>
            </w:r>
            <w:r w:rsidRPr="4FCE31F0">
              <w:t>s</w:t>
            </w:r>
            <w:r>
              <w:t xml:space="preserve"> </w:t>
            </w:r>
            <w:r w:rsidRPr="4FCE31F0">
              <w:t>health</w:t>
            </w:r>
            <w:r>
              <w:t xml:space="preserve"> </w:t>
            </w:r>
            <w:r w:rsidRPr="4FCE31F0">
              <w:t>and</w:t>
            </w:r>
            <w:r>
              <w:t xml:space="preserve"> </w:t>
            </w:r>
            <w:r w:rsidRPr="4FCE31F0">
              <w:t>safety</w:t>
            </w:r>
            <w:r>
              <w:t xml:space="preserve"> </w:t>
            </w:r>
            <w:r w:rsidRPr="4FCE31F0">
              <w:t>management</w:t>
            </w:r>
            <w:r>
              <w:t xml:space="preserve"> </w:t>
            </w:r>
            <w:r w:rsidRPr="4FCE31F0">
              <w:t>system</w:t>
            </w:r>
            <w:r>
              <w:t xml:space="preserve"> </w:t>
            </w:r>
            <w:r w:rsidRPr="4FCE31F0">
              <w:t>content</w:t>
            </w:r>
            <w:r>
              <w:t xml:space="preserve"> was developed and implemented, </w:t>
            </w:r>
            <w:r w:rsidRPr="4FCE31F0">
              <w:t>incorporating</w:t>
            </w:r>
            <w:r>
              <w:t xml:space="preserve"> </w:t>
            </w:r>
            <w:r w:rsidRPr="4FCE31F0">
              <w:t>consultation</w:t>
            </w:r>
            <w:r>
              <w:t xml:space="preserve"> </w:t>
            </w:r>
            <w:r w:rsidRPr="4FCE31F0">
              <w:t>with</w:t>
            </w:r>
            <w:r>
              <w:t xml:space="preserve"> </w:t>
            </w:r>
            <w:r w:rsidRPr="4FCE31F0">
              <w:t>department</w:t>
            </w:r>
            <w:r>
              <w:t xml:space="preserve"> </w:t>
            </w:r>
            <w:r w:rsidRPr="4FCE31F0">
              <w:t>employees,</w:t>
            </w:r>
            <w:r>
              <w:t xml:space="preserve"> </w:t>
            </w:r>
            <w:r w:rsidRPr="4FCE31F0">
              <w:t>health</w:t>
            </w:r>
            <w:r>
              <w:t xml:space="preserve"> </w:t>
            </w:r>
            <w:r w:rsidRPr="4FCE31F0">
              <w:t>and</w:t>
            </w:r>
            <w:r>
              <w:t xml:space="preserve"> </w:t>
            </w:r>
            <w:r w:rsidRPr="4FCE31F0">
              <w:t>safety</w:t>
            </w:r>
            <w:r>
              <w:t xml:space="preserve"> </w:t>
            </w:r>
            <w:r w:rsidRPr="4FCE31F0">
              <w:t>representatives</w:t>
            </w:r>
            <w:r>
              <w:t xml:space="preserve"> </w:t>
            </w:r>
            <w:r w:rsidRPr="4FCE31F0">
              <w:t>and</w:t>
            </w:r>
            <w:r>
              <w:t xml:space="preserve"> </w:t>
            </w:r>
            <w:r w:rsidRPr="4FCE31F0">
              <w:t>senior</w:t>
            </w:r>
            <w:r>
              <w:t xml:space="preserve"> </w:t>
            </w:r>
            <w:r w:rsidRPr="4FCE31F0">
              <w:t>management</w:t>
            </w:r>
            <w:r>
              <w:t xml:space="preserve"> </w:t>
            </w:r>
            <w:r w:rsidRPr="4FCE31F0">
              <w:t>on</w:t>
            </w:r>
            <w:r>
              <w:t xml:space="preserve"> </w:t>
            </w:r>
            <w:r w:rsidRPr="4FCE31F0">
              <w:t>health</w:t>
            </w:r>
            <w:r>
              <w:t xml:space="preserve"> </w:t>
            </w:r>
            <w:r w:rsidRPr="4FCE31F0">
              <w:t>and</w:t>
            </w:r>
            <w:r>
              <w:t xml:space="preserve"> </w:t>
            </w:r>
            <w:r w:rsidRPr="4FCE31F0">
              <w:t>safety</w:t>
            </w:r>
            <w:r>
              <w:t xml:space="preserve"> </w:t>
            </w:r>
            <w:r w:rsidRPr="4FCE31F0">
              <w:t>matters</w:t>
            </w:r>
            <w:r>
              <w:t xml:space="preserve"> </w:t>
            </w:r>
            <w:r w:rsidRPr="4FCE31F0">
              <w:t>in</w:t>
            </w:r>
            <w:r>
              <w:t xml:space="preserve"> </w:t>
            </w:r>
            <w:r w:rsidRPr="4FCE31F0">
              <w:t>the</w:t>
            </w:r>
            <w:r>
              <w:t xml:space="preserve"> </w:t>
            </w:r>
            <w:r w:rsidRPr="4FCE31F0">
              <w:t>workplace.</w:t>
            </w:r>
          </w:p>
          <w:p w14:paraId="0EAB566A" w14:textId="77777777" w:rsidR="001A70B8" w:rsidRDefault="001A70B8" w:rsidP="00101E5D">
            <w:pPr>
              <w:pStyle w:val="ARtabletext"/>
              <w:shd w:val="clear" w:color="auto" w:fill="FFFFFF" w:themeFill="background1"/>
              <w:spacing w:before="60" w:after="40"/>
            </w:pPr>
            <w:r w:rsidRPr="4FCE31F0">
              <w:t>Workers</w:t>
            </w:r>
            <w:r>
              <w:t xml:space="preserve">’ </w:t>
            </w:r>
            <w:r w:rsidRPr="4FCE31F0">
              <w:t>compensation</w:t>
            </w:r>
            <w:r>
              <w:t xml:space="preserve"> </w:t>
            </w:r>
            <w:r w:rsidRPr="4FCE31F0">
              <w:t>performance</w:t>
            </w:r>
            <w:r>
              <w:t xml:space="preserve"> </w:t>
            </w:r>
            <w:r w:rsidRPr="4FCE31F0">
              <w:t>reports</w:t>
            </w:r>
            <w:r>
              <w:t xml:space="preserve"> </w:t>
            </w:r>
            <w:r w:rsidRPr="4FCE31F0">
              <w:t>are</w:t>
            </w:r>
            <w:r>
              <w:t xml:space="preserve"> </w:t>
            </w:r>
            <w:r w:rsidRPr="4FCE31F0">
              <w:t>provided</w:t>
            </w:r>
            <w:r>
              <w:t xml:space="preserve"> </w:t>
            </w:r>
            <w:r w:rsidRPr="4FCE31F0">
              <w:t>to</w:t>
            </w:r>
            <w:r>
              <w:t xml:space="preserve"> </w:t>
            </w:r>
            <w:r w:rsidRPr="4FCE31F0">
              <w:t>senior</w:t>
            </w:r>
            <w:r>
              <w:t xml:space="preserve"> </w:t>
            </w:r>
            <w:r w:rsidRPr="4FCE31F0">
              <w:t>leaders</w:t>
            </w:r>
            <w:r>
              <w:t xml:space="preserve"> </w:t>
            </w:r>
            <w:r w:rsidRPr="4FCE31F0">
              <w:t>on</w:t>
            </w:r>
            <w:r>
              <w:t xml:space="preserve"> </w:t>
            </w:r>
            <w:r w:rsidRPr="4FCE31F0">
              <w:t>a</w:t>
            </w:r>
            <w:r>
              <w:t xml:space="preserve"> </w:t>
            </w:r>
            <w:r w:rsidRPr="4FCE31F0">
              <w:t>monthly</w:t>
            </w:r>
            <w:r>
              <w:t xml:space="preserve"> </w:t>
            </w:r>
            <w:r w:rsidRPr="4FCE31F0">
              <w:t>basis.</w:t>
            </w:r>
            <w:r>
              <w:t xml:space="preserve"> </w:t>
            </w:r>
            <w:r w:rsidRPr="4FCE31F0">
              <w:t>Middle</w:t>
            </w:r>
            <w:r>
              <w:t xml:space="preserve"> </w:t>
            </w:r>
            <w:r w:rsidRPr="4FCE31F0">
              <w:t>and</w:t>
            </w:r>
            <w:r>
              <w:t xml:space="preserve"> </w:t>
            </w:r>
            <w:r w:rsidRPr="4FCE31F0">
              <w:t>senior</w:t>
            </w:r>
            <w:r>
              <w:t xml:space="preserve"> </w:t>
            </w:r>
            <w:r w:rsidRPr="4FCE31F0">
              <w:t>managers</w:t>
            </w:r>
            <w:r>
              <w:t xml:space="preserve"> </w:t>
            </w:r>
            <w:r w:rsidRPr="4FCE31F0">
              <w:t>have</w:t>
            </w:r>
            <w:r>
              <w:t xml:space="preserve"> </w:t>
            </w:r>
            <w:r w:rsidRPr="4FCE31F0">
              <w:t>desktop</w:t>
            </w:r>
            <w:r>
              <w:t xml:space="preserve"> </w:t>
            </w:r>
            <w:r w:rsidRPr="4FCE31F0">
              <w:t>access</w:t>
            </w:r>
            <w:r>
              <w:t xml:space="preserve"> </w:t>
            </w:r>
            <w:r w:rsidRPr="4FCE31F0">
              <w:t>to</w:t>
            </w:r>
            <w:r>
              <w:t xml:space="preserve"> </w:t>
            </w:r>
            <w:r w:rsidRPr="4FCE31F0">
              <w:t>health</w:t>
            </w:r>
            <w:r>
              <w:t xml:space="preserve"> </w:t>
            </w:r>
            <w:r w:rsidRPr="4FCE31F0">
              <w:t>and</w:t>
            </w:r>
            <w:r>
              <w:t xml:space="preserve"> </w:t>
            </w:r>
            <w:r w:rsidRPr="4FCE31F0">
              <w:t>safety</w:t>
            </w:r>
            <w:r>
              <w:t xml:space="preserve"> </w:t>
            </w:r>
            <w:r w:rsidRPr="4FCE31F0">
              <w:t>performance</w:t>
            </w:r>
            <w:r>
              <w:t xml:space="preserve"> </w:t>
            </w:r>
            <w:r w:rsidRPr="4FCE31F0">
              <w:t>reports</w:t>
            </w:r>
            <w:r>
              <w:t xml:space="preserve"> </w:t>
            </w:r>
            <w:r w:rsidRPr="4FCE31F0">
              <w:t>through</w:t>
            </w:r>
            <w:r>
              <w:t xml:space="preserve"> </w:t>
            </w:r>
            <w:r w:rsidRPr="4FCE31F0">
              <w:t>the</w:t>
            </w:r>
            <w:r>
              <w:t xml:space="preserve"> </w:t>
            </w:r>
            <w:r w:rsidRPr="4FCE31F0">
              <w:t>department</w:t>
            </w:r>
            <w:r>
              <w:t>’</w:t>
            </w:r>
            <w:r w:rsidRPr="4FCE31F0">
              <w:t>s</w:t>
            </w:r>
            <w:r>
              <w:t xml:space="preserve"> </w:t>
            </w:r>
            <w:r w:rsidRPr="4FCE31F0">
              <w:t>corporate</w:t>
            </w:r>
            <w:r>
              <w:t xml:space="preserve"> </w:t>
            </w:r>
            <w:r w:rsidRPr="4FCE31F0">
              <w:t>reporting</w:t>
            </w:r>
            <w:r>
              <w:t xml:space="preserve"> </w:t>
            </w:r>
            <w:r w:rsidRPr="4FCE31F0">
              <w:t>tool.</w:t>
            </w:r>
          </w:p>
          <w:p w14:paraId="5E1ED721" w14:textId="2124F40B" w:rsidR="001A70B8" w:rsidRPr="002029AF" w:rsidRDefault="001A70B8" w:rsidP="00101E5D">
            <w:pPr>
              <w:pStyle w:val="ARtabletext"/>
              <w:shd w:val="clear" w:color="auto" w:fill="FFFFFF" w:themeFill="background1"/>
              <w:spacing w:before="60" w:after="40"/>
            </w:pPr>
            <w:r>
              <w:t>The Workers</w:t>
            </w:r>
            <w:r w:rsidR="00DB53E7">
              <w:t>’</w:t>
            </w:r>
            <w:r>
              <w:t xml:space="preserve"> Compensation team have placed significant </w:t>
            </w:r>
            <w:r w:rsidR="00772990">
              <w:t>importance</w:t>
            </w:r>
            <w:r>
              <w:t xml:space="preserve"> on restructuring their team to have a specific </w:t>
            </w:r>
            <w:r w:rsidRPr="00772990">
              <w:t>focus</w:t>
            </w:r>
            <w:r>
              <w:t xml:space="preserve"> on driving early intervention. This</w:t>
            </w:r>
            <w:r w:rsidR="0030377F">
              <w:t> </w:t>
            </w:r>
            <w:r>
              <w:t>new model has achieved positive results whereby only 14.5</w:t>
            </w:r>
            <w:r w:rsidR="00184856">
              <w:t xml:space="preserve"> per cent</w:t>
            </w:r>
            <w:r>
              <w:t xml:space="preserve"> of early intervention matters have converted to a WorkCover claim. In addition, 95</w:t>
            </w:r>
            <w:r w:rsidR="00184856">
              <w:t xml:space="preserve"> per cent</w:t>
            </w:r>
            <w:r>
              <w:t xml:space="preserve"> of early intervention matters were closed off with no further support or intervention required.</w:t>
            </w:r>
          </w:p>
        </w:tc>
      </w:tr>
      <w:tr w:rsidR="001A70B8" w:rsidRPr="002029AF" w14:paraId="4074B3D9" w14:textId="77777777" w:rsidTr="00D429B0">
        <w:trPr>
          <w:cantSplit/>
          <w:trHeight w:val="130"/>
        </w:trPr>
        <w:tc>
          <w:tcPr>
            <w:tcW w:w="1372" w:type="dxa"/>
          </w:tcPr>
          <w:p w14:paraId="2B1B6925" w14:textId="77777777" w:rsidR="001A70B8" w:rsidRPr="002029AF" w:rsidRDefault="001A70B8" w:rsidP="00101E5D">
            <w:pPr>
              <w:pStyle w:val="ARtabletext"/>
              <w:shd w:val="clear" w:color="auto" w:fill="FFFFFF" w:themeFill="background1"/>
            </w:pPr>
            <w:r w:rsidRPr="002029AF">
              <w:t>Consultation</w:t>
            </w:r>
            <w:r>
              <w:t xml:space="preserve"> </w:t>
            </w:r>
            <w:r w:rsidRPr="002029AF">
              <w:t>and</w:t>
            </w:r>
            <w:r>
              <w:t xml:space="preserve"> </w:t>
            </w:r>
            <w:r w:rsidRPr="002029AF">
              <w:t>participation</w:t>
            </w:r>
          </w:p>
        </w:tc>
        <w:tc>
          <w:tcPr>
            <w:tcW w:w="1600" w:type="dxa"/>
          </w:tcPr>
          <w:p w14:paraId="559D680A" w14:textId="77777777" w:rsidR="001A70B8" w:rsidRPr="002029AF" w:rsidRDefault="001A70B8" w:rsidP="00101E5D">
            <w:pPr>
              <w:pStyle w:val="ARtabletext"/>
              <w:shd w:val="clear" w:color="auto" w:fill="FFFFFF" w:themeFill="background1"/>
            </w:pPr>
            <w:r w:rsidRPr="002029AF">
              <w:t>Designated</w:t>
            </w:r>
            <w:r>
              <w:t xml:space="preserve"> </w:t>
            </w:r>
            <w:r w:rsidRPr="002029AF">
              <w:t>work</w:t>
            </w:r>
            <w:r>
              <w:t xml:space="preserve"> </w:t>
            </w:r>
            <w:r w:rsidRPr="002029AF">
              <w:t>group</w:t>
            </w:r>
            <w:r>
              <w:t xml:space="preserve"> </w:t>
            </w:r>
            <w:r w:rsidRPr="002029AF">
              <w:t>structures</w:t>
            </w:r>
            <w:r>
              <w:t xml:space="preserve"> </w:t>
            </w:r>
            <w:r w:rsidRPr="002029AF">
              <w:t>and</w:t>
            </w:r>
            <w:r>
              <w:t xml:space="preserve"> </w:t>
            </w:r>
            <w:r w:rsidRPr="002029AF">
              <w:t>issue</w:t>
            </w:r>
            <w:r>
              <w:t xml:space="preserve"> </w:t>
            </w:r>
            <w:r w:rsidRPr="002029AF">
              <w:t>resolution</w:t>
            </w:r>
            <w:r>
              <w:t xml:space="preserve"> </w:t>
            </w:r>
            <w:r w:rsidRPr="002029AF">
              <w:t>procedures</w:t>
            </w:r>
          </w:p>
        </w:tc>
        <w:tc>
          <w:tcPr>
            <w:tcW w:w="6667" w:type="dxa"/>
          </w:tcPr>
          <w:p w14:paraId="12AD18EF" w14:textId="77777777" w:rsidR="001A70B8" w:rsidRDefault="001A70B8" w:rsidP="00101E5D">
            <w:pPr>
              <w:pStyle w:val="ARtabletext"/>
              <w:shd w:val="clear" w:color="auto" w:fill="FFFFFF" w:themeFill="background1"/>
              <w:spacing w:before="60" w:after="40"/>
              <w:rPr>
                <w:rFonts w:eastAsia="Arial"/>
              </w:rPr>
            </w:pPr>
            <w:r w:rsidRPr="4FCE31F0">
              <w:rPr>
                <w:rFonts w:eastAsia="Arial"/>
              </w:rPr>
              <w:t>The</w:t>
            </w:r>
            <w:r>
              <w:rPr>
                <w:rFonts w:eastAsia="Arial"/>
              </w:rPr>
              <w:t xml:space="preserve"> </w:t>
            </w:r>
            <w:r w:rsidRPr="4FCE31F0">
              <w:rPr>
                <w:rFonts w:eastAsia="Arial"/>
              </w:rPr>
              <w:t>department</w:t>
            </w:r>
            <w:r>
              <w:rPr>
                <w:rFonts w:eastAsia="Arial"/>
              </w:rPr>
              <w:t xml:space="preserve"> </w:t>
            </w:r>
            <w:r w:rsidRPr="4FCE31F0">
              <w:rPr>
                <w:rFonts w:eastAsia="Arial"/>
              </w:rPr>
              <w:t>has</w:t>
            </w:r>
            <w:r>
              <w:rPr>
                <w:rFonts w:eastAsia="Arial"/>
              </w:rPr>
              <w:t xml:space="preserve"> </w:t>
            </w:r>
            <w:r w:rsidRPr="4FCE31F0">
              <w:rPr>
                <w:rFonts w:eastAsia="Arial"/>
              </w:rPr>
              <w:t>in</w:t>
            </w:r>
            <w:r>
              <w:rPr>
                <w:rFonts w:eastAsia="Arial"/>
              </w:rPr>
              <w:t xml:space="preserve"> </w:t>
            </w:r>
            <w:r w:rsidRPr="4FCE31F0">
              <w:rPr>
                <w:rFonts w:eastAsia="Arial"/>
              </w:rPr>
              <w:t>place</w:t>
            </w:r>
            <w:r>
              <w:rPr>
                <w:rFonts w:eastAsia="Arial"/>
              </w:rPr>
              <w:t xml:space="preserve"> </w:t>
            </w:r>
            <w:r w:rsidRPr="4FCE31F0">
              <w:rPr>
                <w:rFonts w:eastAsia="Arial"/>
              </w:rPr>
              <w:t>a</w:t>
            </w:r>
            <w:r>
              <w:rPr>
                <w:rFonts w:eastAsia="Arial"/>
              </w:rPr>
              <w:t xml:space="preserve"> </w:t>
            </w:r>
            <w:r w:rsidRPr="4FCE31F0">
              <w:rPr>
                <w:rFonts w:eastAsia="Arial"/>
              </w:rPr>
              <w:t>health</w:t>
            </w:r>
            <w:r>
              <w:rPr>
                <w:rFonts w:eastAsia="Arial"/>
              </w:rPr>
              <w:t xml:space="preserve"> </w:t>
            </w:r>
            <w:r w:rsidRPr="4FCE31F0">
              <w:rPr>
                <w:rFonts w:eastAsia="Arial"/>
              </w:rPr>
              <w:t>and</w:t>
            </w:r>
            <w:r>
              <w:rPr>
                <w:rFonts w:eastAsia="Arial"/>
              </w:rPr>
              <w:t xml:space="preserve"> </w:t>
            </w:r>
            <w:r w:rsidRPr="4FCE31F0">
              <w:rPr>
                <w:rFonts w:eastAsia="Arial"/>
              </w:rPr>
              <w:t>safety</w:t>
            </w:r>
            <w:r>
              <w:rPr>
                <w:rFonts w:eastAsia="Arial"/>
              </w:rPr>
              <w:t xml:space="preserve"> </w:t>
            </w:r>
            <w:r w:rsidRPr="4FCE31F0">
              <w:rPr>
                <w:rFonts w:eastAsia="Arial"/>
              </w:rPr>
              <w:t>consultation</w:t>
            </w:r>
            <w:r>
              <w:rPr>
                <w:rFonts w:eastAsia="Arial"/>
              </w:rPr>
              <w:t xml:space="preserve"> </w:t>
            </w:r>
            <w:r w:rsidRPr="4FCE31F0">
              <w:rPr>
                <w:rFonts w:eastAsia="Arial"/>
              </w:rPr>
              <w:t>structure</w:t>
            </w:r>
            <w:r>
              <w:rPr>
                <w:rFonts w:eastAsia="Arial"/>
              </w:rPr>
              <w:t xml:space="preserve"> </w:t>
            </w:r>
            <w:r w:rsidRPr="4FCE31F0">
              <w:rPr>
                <w:rFonts w:eastAsia="Arial"/>
              </w:rPr>
              <w:t>comprising</w:t>
            </w:r>
            <w:r>
              <w:rPr>
                <w:rFonts w:eastAsia="Arial"/>
              </w:rPr>
              <w:t xml:space="preserve"> </w:t>
            </w:r>
            <w:r w:rsidRPr="4FCE31F0">
              <w:rPr>
                <w:rFonts w:eastAsia="Arial"/>
              </w:rPr>
              <w:t>a</w:t>
            </w:r>
            <w:r>
              <w:rPr>
                <w:rFonts w:eastAsia="Arial"/>
              </w:rPr>
              <w:t xml:space="preserve"> </w:t>
            </w:r>
            <w:r w:rsidRPr="4FCE31F0">
              <w:rPr>
                <w:rFonts w:eastAsia="Arial"/>
              </w:rPr>
              <w:t>health</w:t>
            </w:r>
            <w:r>
              <w:rPr>
                <w:rFonts w:eastAsia="Arial"/>
              </w:rPr>
              <w:t xml:space="preserve"> </w:t>
            </w:r>
            <w:r w:rsidRPr="4FCE31F0">
              <w:rPr>
                <w:rFonts w:eastAsia="Arial"/>
              </w:rPr>
              <w:t>and</w:t>
            </w:r>
            <w:r>
              <w:rPr>
                <w:rFonts w:eastAsia="Arial"/>
              </w:rPr>
              <w:t xml:space="preserve"> </w:t>
            </w:r>
            <w:r w:rsidRPr="4FCE31F0">
              <w:rPr>
                <w:rFonts w:eastAsia="Arial"/>
              </w:rPr>
              <w:t>safety</w:t>
            </w:r>
            <w:r>
              <w:rPr>
                <w:rFonts w:eastAsia="Arial"/>
              </w:rPr>
              <w:t xml:space="preserve"> </w:t>
            </w:r>
            <w:r w:rsidRPr="4FCE31F0">
              <w:rPr>
                <w:rFonts w:eastAsia="Arial"/>
              </w:rPr>
              <w:t>committee</w:t>
            </w:r>
            <w:r>
              <w:rPr>
                <w:rFonts w:eastAsia="Arial"/>
              </w:rPr>
              <w:t xml:space="preserve"> </w:t>
            </w:r>
            <w:r w:rsidRPr="4FCE31F0">
              <w:rPr>
                <w:rFonts w:eastAsia="Arial"/>
              </w:rPr>
              <w:t>which</w:t>
            </w:r>
            <w:r>
              <w:rPr>
                <w:rFonts w:eastAsia="Arial"/>
              </w:rPr>
              <w:t xml:space="preserve"> </w:t>
            </w:r>
            <w:r w:rsidRPr="4FCE31F0">
              <w:rPr>
                <w:rFonts w:eastAsia="Arial"/>
              </w:rPr>
              <w:t>meet</w:t>
            </w:r>
            <w:r>
              <w:rPr>
                <w:rFonts w:eastAsia="Arial"/>
              </w:rPr>
              <w:t xml:space="preserve">s </w:t>
            </w:r>
            <w:r w:rsidRPr="4FCE31F0">
              <w:rPr>
                <w:rFonts w:eastAsia="Arial"/>
              </w:rPr>
              <w:t>quarterly.</w:t>
            </w:r>
            <w:r>
              <w:rPr>
                <w:rFonts w:eastAsia="Arial"/>
              </w:rPr>
              <w:t xml:space="preserve"> </w:t>
            </w:r>
            <w:r w:rsidRPr="4FCE31F0">
              <w:rPr>
                <w:rFonts w:eastAsia="Arial"/>
              </w:rPr>
              <w:t>These</w:t>
            </w:r>
            <w:r>
              <w:rPr>
                <w:rFonts w:eastAsia="Arial"/>
              </w:rPr>
              <w:t xml:space="preserve"> meetings </w:t>
            </w:r>
            <w:r w:rsidRPr="4FCE31F0">
              <w:rPr>
                <w:rFonts w:eastAsia="Arial"/>
              </w:rPr>
              <w:t>are</w:t>
            </w:r>
            <w:r>
              <w:rPr>
                <w:rFonts w:eastAsia="Arial"/>
              </w:rPr>
              <w:t xml:space="preserve"> complemented </w:t>
            </w:r>
            <w:r w:rsidRPr="4FCE31F0">
              <w:rPr>
                <w:rFonts w:eastAsia="Arial"/>
              </w:rPr>
              <w:t>by</w:t>
            </w:r>
            <w:r>
              <w:rPr>
                <w:rFonts w:eastAsia="Arial"/>
              </w:rPr>
              <w:t xml:space="preserve"> </w:t>
            </w:r>
            <w:r w:rsidRPr="4FCE31F0">
              <w:rPr>
                <w:rFonts w:eastAsia="Arial"/>
              </w:rPr>
              <w:t>monthly</w:t>
            </w:r>
            <w:r>
              <w:rPr>
                <w:rFonts w:eastAsia="Arial"/>
              </w:rPr>
              <w:t xml:space="preserve"> </w:t>
            </w:r>
            <w:r w:rsidRPr="4FCE31F0">
              <w:rPr>
                <w:rFonts w:eastAsia="Arial"/>
              </w:rPr>
              <w:t>community</w:t>
            </w:r>
            <w:r>
              <w:rPr>
                <w:rFonts w:eastAsia="Arial"/>
              </w:rPr>
              <w:t xml:space="preserve"> </w:t>
            </w:r>
            <w:r w:rsidRPr="4FCE31F0">
              <w:rPr>
                <w:rFonts w:eastAsia="Arial"/>
              </w:rPr>
              <w:t>of</w:t>
            </w:r>
            <w:r>
              <w:rPr>
                <w:rFonts w:eastAsia="Arial"/>
              </w:rPr>
              <w:t xml:space="preserve"> </w:t>
            </w:r>
            <w:r w:rsidRPr="4FCE31F0">
              <w:rPr>
                <w:rFonts w:eastAsia="Arial"/>
              </w:rPr>
              <w:t>practice</w:t>
            </w:r>
            <w:r>
              <w:rPr>
                <w:rFonts w:eastAsia="Arial"/>
              </w:rPr>
              <w:t xml:space="preserve"> </w:t>
            </w:r>
            <w:r w:rsidRPr="4FCE31F0">
              <w:rPr>
                <w:rFonts w:eastAsia="Arial"/>
              </w:rPr>
              <w:t>meetings</w:t>
            </w:r>
            <w:r>
              <w:rPr>
                <w:rFonts w:eastAsia="Arial"/>
              </w:rPr>
              <w:t xml:space="preserve"> for health and safety representatives and designated management representatives</w:t>
            </w:r>
            <w:r w:rsidRPr="4FCE31F0">
              <w:rPr>
                <w:rFonts w:eastAsia="Arial"/>
              </w:rPr>
              <w:t>.</w:t>
            </w:r>
          </w:p>
          <w:p w14:paraId="15A23F60" w14:textId="77777777" w:rsidR="001A70B8" w:rsidRDefault="001A70B8" w:rsidP="00101E5D">
            <w:pPr>
              <w:pStyle w:val="ARtabletext"/>
              <w:shd w:val="clear" w:color="auto" w:fill="FFFFFF" w:themeFill="background1"/>
              <w:spacing w:before="60" w:after="40"/>
              <w:rPr>
                <w:rFonts w:eastAsia="Arial"/>
              </w:rPr>
            </w:pPr>
            <w:r w:rsidRPr="007E0771">
              <w:rPr>
                <w:rFonts w:eastAsia="Arial"/>
              </w:rPr>
              <w:t>The</w:t>
            </w:r>
            <w:r>
              <w:rPr>
                <w:rFonts w:eastAsia="Arial"/>
              </w:rPr>
              <w:t xml:space="preserve"> </w:t>
            </w:r>
            <w:r w:rsidRPr="007E0771">
              <w:rPr>
                <w:rFonts w:eastAsia="Arial"/>
              </w:rPr>
              <w:t>department</w:t>
            </w:r>
            <w:r>
              <w:rPr>
                <w:rFonts w:eastAsia="Arial"/>
              </w:rPr>
              <w:t xml:space="preserve"> </w:t>
            </w:r>
            <w:r w:rsidRPr="007E0771">
              <w:rPr>
                <w:rFonts w:eastAsia="Arial"/>
              </w:rPr>
              <w:t>continues</w:t>
            </w:r>
            <w:r>
              <w:rPr>
                <w:rFonts w:eastAsia="Arial"/>
              </w:rPr>
              <w:t xml:space="preserve"> </w:t>
            </w:r>
            <w:r w:rsidRPr="007E0771">
              <w:rPr>
                <w:rFonts w:eastAsia="Arial"/>
              </w:rPr>
              <w:t>to</w:t>
            </w:r>
            <w:r>
              <w:rPr>
                <w:rFonts w:eastAsia="Arial"/>
              </w:rPr>
              <w:t xml:space="preserve"> </w:t>
            </w:r>
            <w:r w:rsidRPr="007E0771">
              <w:rPr>
                <w:rFonts w:eastAsia="Arial"/>
              </w:rPr>
              <w:t>maintain</w:t>
            </w:r>
            <w:r>
              <w:rPr>
                <w:rFonts w:eastAsia="Arial"/>
              </w:rPr>
              <w:t xml:space="preserve"> </w:t>
            </w:r>
            <w:r w:rsidRPr="007E0771">
              <w:rPr>
                <w:rFonts w:eastAsia="Arial"/>
              </w:rPr>
              <w:t>an</w:t>
            </w:r>
            <w:r>
              <w:rPr>
                <w:rFonts w:eastAsia="Arial"/>
              </w:rPr>
              <w:t xml:space="preserve"> </w:t>
            </w:r>
            <w:r w:rsidRPr="007E0771">
              <w:rPr>
                <w:rFonts w:eastAsia="Arial"/>
              </w:rPr>
              <w:t>extensive</w:t>
            </w:r>
            <w:r>
              <w:rPr>
                <w:rFonts w:eastAsia="Arial"/>
              </w:rPr>
              <w:t xml:space="preserve"> </w:t>
            </w:r>
            <w:r w:rsidRPr="007E0771">
              <w:rPr>
                <w:rFonts w:eastAsia="Arial"/>
              </w:rPr>
              <w:t>network</w:t>
            </w:r>
            <w:r>
              <w:rPr>
                <w:rFonts w:eastAsia="Arial"/>
              </w:rPr>
              <w:t xml:space="preserve"> </w:t>
            </w:r>
            <w:r w:rsidRPr="007E0771">
              <w:rPr>
                <w:rFonts w:eastAsia="Arial"/>
              </w:rPr>
              <w:t>of</w:t>
            </w:r>
            <w:r>
              <w:rPr>
                <w:rFonts w:eastAsia="Arial"/>
              </w:rPr>
              <w:t xml:space="preserve"> </w:t>
            </w:r>
            <w:r w:rsidRPr="007E0771">
              <w:rPr>
                <w:rFonts w:eastAsia="Arial"/>
                <w:color w:val="000000" w:themeColor="text1"/>
              </w:rPr>
              <w:t>20</w:t>
            </w:r>
            <w:r>
              <w:rPr>
                <w:rFonts w:eastAsia="Arial"/>
                <w:color w:val="000000" w:themeColor="text1"/>
              </w:rPr>
              <w:t xml:space="preserve"> </w:t>
            </w:r>
            <w:r w:rsidRPr="007E0771">
              <w:rPr>
                <w:rFonts w:eastAsia="Arial"/>
              </w:rPr>
              <w:t>designated</w:t>
            </w:r>
            <w:r>
              <w:rPr>
                <w:rFonts w:eastAsia="Arial"/>
              </w:rPr>
              <w:t xml:space="preserve"> </w:t>
            </w:r>
            <w:r w:rsidRPr="007E0771">
              <w:rPr>
                <w:rFonts w:eastAsia="Arial"/>
              </w:rPr>
              <w:t>work</w:t>
            </w:r>
            <w:r>
              <w:rPr>
                <w:rFonts w:eastAsia="Arial"/>
              </w:rPr>
              <w:t xml:space="preserve"> </w:t>
            </w:r>
            <w:r w:rsidRPr="007E0771">
              <w:rPr>
                <w:rFonts w:eastAsia="Arial"/>
              </w:rPr>
              <w:t>groups</w:t>
            </w:r>
            <w:r>
              <w:rPr>
                <w:rFonts w:eastAsia="Arial"/>
              </w:rPr>
              <w:t xml:space="preserve"> </w:t>
            </w:r>
            <w:r w:rsidRPr="007E0771">
              <w:rPr>
                <w:rFonts w:eastAsia="Arial"/>
              </w:rPr>
              <w:t>with</w:t>
            </w:r>
            <w:r>
              <w:rPr>
                <w:rFonts w:eastAsia="Arial"/>
              </w:rPr>
              <w:t xml:space="preserve"> </w:t>
            </w:r>
            <w:r w:rsidRPr="007E0771">
              <w:rPr>
                <w:rFonts w:eastAsia="Arial"/>
                <w:color w:val="000000" w:themeColor="text1"/>
              </w:rPr>
              <w:t>20</w:t>
            </w:r>
            <w:r>
              <w:rPr>
                <w:rFonts w:eastAsia="Arial"/>
                <w:color w:val="000000" w:themeColor="text1"/>
              </w:rPr>
              <w:t xml:space="preserve"> </w:t>
            </w:r>
            <w:r w:rsidRPr="007E0771">
              <w:rPr>
                <w:rFonts w:eastAsia="Arial"/>
              </w:rPr>
              <w:t>health</w:t>
            </w:r>
            <w:r>
              <w:rPr>
                <w:rFonts w:eastAsia="Arial"/>
              </w:rPr>
              <w:t xml:space="preserve"> </w:t>
            </w:r>
            <w:r w:rsidRPr="007E0771">
              <w:rPr>
                <w:rFonts w:eastAsia="Arial"/>
              </w:rPr>
              <w:t>and</w:t>
            </w:r>
            <w:r>
              <w:rPr>
                <w:rFonts w:eastAsia="Arial"/>
              </w:rPr>
              <w:t xml:space="preserve"> </w:t>
            </w:r>
            <w:r w:rsidRPr="007E0771">
              <w:rPr>
                <w:rFonts w:eastAsia="Arial"/>
              </w:rPr>
              <w:t>safety</w:t>
            </w:r>
            <w:r>
              <w:rPr>
                <w:rFonts w:eastAsia="Arial"/>
              </w:rPr>
              <w:t xml:space="preserve"> </w:t>
            </w:r>
            <w:r w:rsidRPr="007E0771">
              <w:rPr>
                <w:rFonts w:eastAsia="Arial"/>
              </w:rPr>
              <w:t>representatives</w:t>
            </w:r>
            <w:r>
              <w:rPr>
                <w:rFonts w:eastAsia="Arial"/>
              </w:rPr>
              <w:t xml:space="preserve"> </w:t>
            </w:r>
            <w:r w:rsidRPr="007E0771">
              <w:rPr>
                <w:rFonts w:eastAsia="Arial"/>
              </w:rPr>
              <w:t>and</w:t>
            </w:r>
            <w:r>
              <w:rPr>
                <w:rFonts w:eastAsia="Arial"/>
              </w:rPr>
              <w:t xml:space="preserve"> </w:t>
            </w:r>
            <w:r w:rsidRPr="007E0771">
              <w:rPr>
                <w:rFonts w:eastAsia="Arial"/>
                <w:color w:val="000000" w:themeColor="text1"/>
              </w:rPr>
              <w:t>21</w:t>
            </w:r>
            <w:r>
              <w:rPr>
                <w:rFonts w:eastAsia="Arial"/>
                <w:color w:val="000000" w:themeColor="text1"/>
              </w:rPr>
              <w:t xml:space="preserve"> </w:t>
            </w:r>
            <w:r w:rsidRPr="007E0771">
              <w:rPr>
                <w:rFonts w:eastAsia="Arial"/>
              </w:rPr>
              <w:t>designated</w:t>
            </w:r>
            <w:r>
              <w:rPr>
                <w:rFonts w:eastAsia="Arial"/>
              </w:rPr>
              <w:t xml:space="preserve"> </w:t>
            </w:r>
            <w:r w:rsidRPr="007E0771">
              <w:rPr>
                <w:rFonts w:eastAsia="Arial"/>
              </w:rPr>
              <w:t>management</w:t>
            </w:r>
            <w:r>
              <w:rPr>
                <w:rFonts w:eastAsia="Arial"/>
              </w:rPr>
              <w:t xml:space="preserve"> </w:t>
            </w:r>
            <w:r w:rsidRPr="007E0771">
              <w:rPr>
                <w:rFonts w:eastAsia="Arial"/>
              </w:rPr>
              <w:t>representatives.</w:t>
            </w:r>
          </w:p>
          <w:p w14:paraId="0C660258" w14:textId="77777777" w:rsidR="001A70B8" w:rsidRPr="002029AF" w:rsidRDefault="001A70B8" w:rsidP="00101E5D">
            <w:pPr>
              <w:pStyle w:val="ARtabletext"/>
              <w:shd w:val="clear" w:color="auto" w:fill="FFFFFF" w:themeFill="background1"/>
              <w:spacing w:before="60" w:after="40"/>
              <w:rPr>
                <w:rFonts w:eastAsia="Arial"/>
              </w:rPr>
            </w:pPr>
            <w:r w:rsidRPr="4FCE31F0">
              <w:rPr>
                <w:rFonts w:eastAsia="Arial"/>
              </w:rPr>
              <w:t>The</w:t>
            </w:r>
            <w:r>
              <w:rPr>
                <w:rFonts w:eastAsia="Arial"/>
              </w:rPr>
              <w:t xml:space="preserve"> </w:t>
            </w:r>
            <w:r w:rsidRPr="4FCE31F0">
              <w:rPr>
                <w:rFonts w:eastAsia="Arial"/>
              </w:rPr>
              <w:t>department</w:t>
            </w:r>
            <w:r>
              <w:rPr>
                <w:rFonts w:eastAsia="Arial"/>
              </w:rPr>
              <w:t xml:space="preserve"> </w:t>
            </w:r>
            <w:r w:rsidRPr="4FCE31F0">
              <w:rPr>
                <w:rFonts w:eastAsia="Arial"/>
              </w:rPr>
              <w:t>has</w:t>
            </w:r>
            <w:r>
              <w:rPr>
                <w:rFonts w:eastAsia="Arial"/>
              </w:rPr>
              <w:t xml:space="preserve"> </w:t>
            </w:r>
            <w:r w:rsidRPr="4FCE31F0">
              <w:rPr>
                <w:rFonts w:eastAsia="Arial"/>
              </w:rPr>
              <w:t>a</w:t>
            </w:r>
            <w:r>
              <w:rPr>
                <w:rFonts w:eastAsia="Arial"/>
              </w:rPr>
              <w:t xml:space="preserve"> </w:t>
            </w:r>
            <w:r w:rsidRPr="4FCE31F0">
              <w:rPr>
                <w:rFonts w:eastAsia="Arial"/>
              </w:rPr>
              <w:t>model</w:t>
            </w:r>
            <w:r>
              <w:rPr>
                <w:rFonts w:eastAsia="Arial"/>
              </w:rPr>
              <w:t xml:space="preserve"> </w:t>
            </w:r>
            <w:r w:rsidRPr="4FCE31F0">
              <w:rPr>
                <w:rFonts w:eastAsia="Arial"/>
              </w:rPr>
              <w:t>procedure</w:t>
            </w:r>
            <w:r>
              <w:rPr>
                <w:rFonts w:eastAsia="Arial"/>
              </w:rPr>
              <w:t xml:space="preserve"> </w:t>
            </w:r>
            <w:r w:rsidRPr="4FCE31F0">
              <w:rPr>
                <w:rFonts w:eastAsia="Arial"/>
              </w:rPr>
              <w:t>for</w:t>
            </w:r>
            <w:r>
              <w:rPr>
                <w:rFonts w:eastAsia="Arial"/>
              </w:rPr>
              <w:t xml:space="preserve"> </w:t>
            </w:r>
            <w:r w:rsidRPr="4FCE31F0">
              <w:rPr>
                <w:rFonts w:eastAsia="Arial"/>
              </w:rPr>
              <w:t>managers</w:t>
            </w:r>
            <w:r>
              <w:rPr>
                <w:rFonts w:eastAsia="Arial"/>
              </w:rPr>
              <w:t xml:space="preserve"> </w:t>
            </w:r>
            <w:r w:rsidRPr="4FCE31F0">
              <w:rPr>
                <w:rFonts w:eastAsia="Arial"/>
              </w:rPr>
              <w:t>and</w:t>
            </w:r>
            <w:r>
              <w:rPr>
                <w:rFonts w:eastAsia="Arial"/>
              </w:rPr>
              <w:t xml:space="preserve"> </w:t>
            </w:r>
            <w:r w:rsidRPr="4FCE31F0">
              <w:rPr>
                <w:rFonts w:eastAsia="Arial"/>
              </w:rPr>
              <w:t>employees</w:t>
            </w:r>
            <w:r>
              <w:rPr>
                <w:rFonts w:eastAsia="Arial"/>
              </w:rPr>
              <w:t xml:space="preserve"> </w:t>
            </w:r>
            <w:r w:rsidRPr="4FCE31F0">
              <w:rPr>
                <w:rFonts w:eastAsia="Arial"/>
              </w:rPr>
              <w:t>to</w:t>
            </w:r>
            <w:r>
              <w:rPr>
                <w:rFonts w:eastAsia="Arial"/>
              </w:rPr>
              <w:t xml:space="preserve"> </w:t>
            </w:r>
            <w:r w:rsidRPr="4FCE31F0">
              <w:rPr>
                <w:rFonts w:eastAsia="Arial"/>
              </w:rPr>
              <w:t>follow</w:t>
            </w:r>
            <w:r>
              <w:rPr>
                <w:rFonts w:eastAsia="Arial"/>
              </w:rPr>
              <w:t xml:space="preserve"> </w:t>
            </w:r>
            <w:r w:rsidRPr="4FCE31F0">
              <w:rPr>
                <w:rFonts w:eastAsia="Arial"/>
              </w:rPr>
              <w:t>in</w:t>
            </w:r>
            <w:r>
              <w:rPr>
                <w:rFonts w:eastAsia="Arial"/>
              </w:rPr>
              <w:t xml:space="preserve"> </w:t>
            </w:r>
            <w:r w:rsidRPr="4FCE31F0">
              <w:rPr>
                <w:rFonts w:eastAsia="Arial"/>
              </w:rPr>
              <w:t>resolving</w:t>
            </w:r>
            <w:r>
              <w:rPr>
                <w:rFonts w:eastAsia="Arial"/>
              </w:rPr>
              <w:t xml:space="preserve"> </w:t>
            </w:r>
            <w:r w:rsidRPr="4FCE31F0">
              <w:rPr>
                <w:rFonts w:eastAsia="Arial"/>
              </w:rPr>
              <w:t>health</w:t>
            </w:r>
            <w:r>
              <w:rPr>
                <w:rFonts w:eastAsia="Arial"/>
              </w:rPr>
              <w:t xml:space="preserve"> </w:t>
            </w:r>
            <w:r w:rsidRPr="4FCE31F0">
              <w:rPr>
                <w:rFonts w:eastAsia="Arial"/>
              </w:rPr>
              <w:t>and</w:t>
            </w:r>
            <w:r>
              <w:rPr>
                <w:rFonts w:eastAsia="Arial"/>
              </w:rPr>
              <w:t xml:space="preserve"> </w:t>
            </w:r>
            <w:r w:rsidRPr="4FCE31F0">
              <w:rPr>
                <w:rFonts w:eastAsia="Arial"/>
              </w:rPr>
              <w:t>safety</w:t>
            </w:r>
            <w:r>
              <w:rPr>
                <w:rFonts w:eastAsia="Arial"/>
              </w:rPr>
              <w:t xml:space="preserve"> </w:t>
            </w:r>
            <w:r w:rsidRPr="4FCE31F0">
              <w:rPr>
                <w:rFonts w:eastAsia="Arial"/>
              </w:rPr>
              <w:t>issues</w:t>
            </w:r>
            <w:r>
              <w:rPr>
                <w:rFonts w:eastAsia="Arial"/>
              </w:rPr>
              <w:t xml:space="preserve"> </w:t>
            </w:r>
            <w:r w:rsidRPr="4FCE31F0">
              <w:rPr>
                <w:rFonts w:eastAsia="Arial"/>
              </w:rPr>
              <w:t>identified</w:t>
            </w:r>
            <w:r>
              <w:rPr>
                <w:rFonts w:eastAsia="Arial"/>
              </w:rPr>
              <w:t xml:space="preserve"> </w:t>
            </w:r>
            <w:r w:rsidRPr="4FCE31F0">
              <w:rPr>
                <w:rFonts w:eastAsia="Arial"/>
              </w:rPr>
              <w:t>in</w:t>
            </w:r>
            <w:r>
              <w:rPr>
                <w:rFonts w:eastAsia="Arial"/>
              </w:rPr>
              <w:t xml:space="preserve"> </w:t>
            </w:r>
            <w:r w:rsidRPr="4FCE31F0">
              <w:rPr>
                <w:rFonts w:eastAsia="Arial"/>
              </w:rPr>
              <w:t>department</w:t>
            </w:r>
            <w:r>
              <w:rPr>
                <w:rFonts w:eastAsia="Arial"/>
              </w:rPr>
              <w:t xml:space="preserve"> </w:t>
            </w:r>
            <w:r w:rsidRPr="4FCE31F0">
              <w:rPr>
                <w:rFonts w:eastAsia="Arial"/>
              </w:rPr>
              <w:t>workplaces.</w:t>
            </w:r>
          </w:p>
        </w:tc>
      </w:tr>
      <w:tr w:rsidR="001A70B8" w:rsidRPr="002029AF" w14:paraId="31DD9492" w14:textId="77777777" w:rsidTr="00D429B0">
        <w:trPr>
          <w:cantSplit/>
          <w:trHeight w:val="340"/>
        </w:trPr>
        <w:tc>
          <w:tcPr>
            <w:tcW w:w="1372" w:type="dxa"/>
          </w:tcPr>
          <w:p w14:paraId="5824696B" w14:textId="77777777" w:rsidR="001A70B8" w:rsidRPr="002029AF" w:rsidRDefault="001A70B8" w:rsidP="00101E5D">
            <w:pPr>
              <w:pStyle w:val="ARtabletext"/>
              <w:shd w:val="clear" w:color="auto" w:fill="FFFFFF" w:themeFill="background1"/>
            </w:pPr>
            <w:r w:rsidRPr="002029AF">
              <w:t>Risk</w:t>
            </w:r>
            <w:r>
              <w:t xml:space="preserve"> </w:t>
            </w:r>
            <w:r w:rsidRPr="002029AF">
              <w:t>management</w:t>
            </w:r>
          </w:p>
        </w:tc>
        <w:tc>
          <w:tcPr>
            <w:tcW w:w="1600" w:type="dxa"/>
          </w:tcPr>
          <w:p w14:paraId="07ED02B2" w14:textId="77777777" w:rsidR="001A70B8" w:rsidRPr="002029AF" w:rsidRDefault="001A70B8" w:rsidP="00101E5D">
            <w:pPr>
              <w:pStyle w:val="ARtabletext"/>
              <w:shd w:val="clear" w:color="auto" w:fill="FFFFFF" w:themeFill="background1"/>
            </w:pPr>
            <w:r w:rsidRPr="002029AF">
              <w:t>Regular</w:t>
            </w:r>
            <w:r>
              <w:t xml:space="preserve"> </w:t>
            </w:r>
            <w:r w:rsidRPr="002029AF">
              <w:t>internal</w:t>
            </w:r>
            <w:r>
              <w:t xml:space="preserve"> </w:t>
            </w:r>
            <w:r w:rsidRPr="002029AF">
              <w:t>audits</w:t>
            </w:r>
            <w:r>
              <w:t xml:space="preserve"> </w:t>
            </w:r>
            <w:r w:rsidRPr="002029AF">
              <w:t>conducted,</w:t>
            </w:r>
            <w:r>
              <w:t xml:space="preserve"> </w:t>
            </w:r>
            <w:r w:rsidRPr="002029AF">
              <w:t>and</w:t>
            </w:r>
            <w:r>
              <w:t xml:space="preserve"> </w:t>
            </w:r>
            <w:r w:rsidRPr="002029AF">
              <w:t>issues</w:t>
            </w:r>
            <w:r>
              <w:t xml:space="preserve"> </w:t>
            </w:r>
            <w:r w:rsidRPr="002029AF">
              <w:t>identified</w:t>
            </w:r>
            <w:r>
              <w:t xml:space="preserve"> </w:t>
            </w:r>
            <w:r w:rsidRPr="002029AF">
              <w:t>and</w:t>
            </w:r>
            <w:r>
              <w:t xml:space="preserve"> </w:t>
            </w:r>
            <w:r w:rsidRPr="002029AF">
              <w:t>actioned</w:t>
            </w:r>
          </w:p>
        </w:tc>
        <w:tc>
          <w:tcPr>
            <w:tcW w:w="6667" w:type="dxa"/>
          </w:tcPr>
          <w:p w14:paraId="2A8D0B75" w14:textId="174B4C03" w:rsidR="001A70B8" w:rsidRPr="002029AF" w:rsidRDefault="001A70B8" w:rsidP="00101E5D">
            <w:pPr>
              <w:pStyle w:val="ARtabletext"/>
              <w:shd w:val="clear" w:color="auto" w:fill="FFFFFF" w:themeFill="background1"/>
              <w:spacing w:before="60" w:after="40"/>
            </w:pPr>
            <w:r w:rsidRPr="4FCE31F0">
              <w:rPr>
                <w:rFonts w:eastAsia="Arial"/>
              </w:rPr>
              <w:t>The</w:t>
            </w:r>
            <w:r>
              <w:rPr>
                <w:rFonts w:eastAsia="Arial"/>
              </w:rPr>
              <w:t xml:space="preserve"> </w:t>
            </w:r>
            <w:r w:rsidRPr="4FCE31F0">
              <w:rPr>
                <w:rFonts w:eastAsia="Arial"/>
              </w:rPr>
              <w:t>department</w:t>
            </w:r>
            <w:r>
              <w:rPr>
                <w:rFonts w:eastAsia="Arial"/>
              </w:rPr>
              <w:t xml:space="preserve"> </w:t>
            </w:r>
            <w:r w:rsidRPr="4FCE31F0">
              <w:rPr>
                <w:rFonts w:eastAsia="Arial"/>
              </w:rPr>
              <w:t>has</w:t>
            </w:r>
            <w:r>
              <w:rPr>
                <w:rFonts w:eastAsia="Arial"/>
              </w:rPr>
              <w:t xml:space="preserve"> </w:t>
            </w:r>
            <w:r w:rsidRPr="4FCE31F0">
              <w:rPr>
                <w:rFonts w:eastAsia="Arial"/>
              </w:rPr>
              <w:t>an</w:t>
            </w:r>
            <w:r>
              <w:rPr>
                <w:rFonts w:eastAsia="Arial"/>
              </w:rPr>
              <w:t xml:space="preserve"> </w:t>
            </w:r>
            <w:r w:rsidRPr="4FCE31F0">
              <w:rPr>
                <w:rFonts w:eastAsia="Arial"/>
              </w:rPr>
              <w:t>electronic</w:t>
            </w:r>
            <w:r>
              <w:rPr>
                <w:rFonts w:eastAsia="Arial"/>
              </w:rPr>
              <w:t xml:space="preserve"> </w:t>
            </w:r>
            <w:r w:rsidRPr="4FCE31F0">
              <w:rPr>
                <w:rFonts w:eastAsia="Arial"/>
              </w:rPr>
              <w:t>employee</w:t>
            </w:r>
            <w:r>
              <w:rPr>
                <w:rFonts w:eastAsia="Arial"/>
              </w:rPr>
              <w:t xml:space="preserve"> </w:t>
            </w:r>
            <w:r w:rsidRPr="4FCE31F0">
              <w:rPr>
                <w:rFonts w:eastAsia="Arial"/>
              </w:rPr>
              <w:t>health</w:t>
            </w:r>
            <w:r>
              <w:rPr>
                <w:rFonts w:eastAsia="Arial"/>
              </w:rPr>
              <w:t xml:space="preserve"> </w:t>
            </w:r>
            <w:r w:rsidRPr="4FCE31F0">
              <w:rPr>
                <w:rFonts w:eastAsia="Arial"/>
              </w:rPr>
              <w:t>and</w:t>
            </w:r>
            <w:r>
              <w:rPr>
                <w:rFonts w:eastAsia="Arial"/>
              </w:rPr>
              <w:t xml:space="preserve"> </w:t>
            </w:r>
            <w:r w:rsidRPr="4FCE31F0">
              <w:rPr>
                <w:rFonts w:eastAsia="Arial"/>
              </w:rPr>
              <w:t>safety</w:t>
            </w:r>
            <w:r>
              <w:rPr>
                <w:rFonts w:eastAsia="Arial"/>
              </w:rPr>
              <w:t xml:space="preserve"> </w:t>
            </w:r>
            <w:r w:rsidRPr="4FCE31F0">
              <w:rPr>
                <w:rFonts w:eastAsia="Arial"/>
              </w:rPr>
              <w:t>incident</w:t>
            </w:r>
            <w:r>
              <w:rPr>
                <w:rFonts w:eastAsia="Arial"/>
              </w:rPr>
              <w:t xml:space="preserve"> </w:t>
            </w:r>
            <w:r w:rsidRPr="4FCE31F0">
              <w:rPr>
                <w:rFonts w:eastAsia="Arial"/>
              </w:rPr>
              <w:t>reporting</w:t>
            </w:r>
            <w:r>
              <w:rPr>
                <w:rFonts w:eastAsia="Arial"/>
              </w:rPr>
              <w:t xml:space="preserve"> </w:t>
            </w:r>
            <w:r w:rsidRPr="4FCE31F0">
              <w:rPr>
                <w:rFonts w:eastAsia="Arial"/>
              </w:rPr>
              <w:t>system</w:t>
            </w:r>
            <w:r>
              <w:rPr>
                <w:rFonts w:eastAsia="Arial"/>
              </w:rPr>
              <w:t xml:space="preserve"> </w:t>
            </w:r>
            <w:r w:rsidRPr="4FCE31F0">
              <w:rPr>
                <w:rFonts w:eastAsia="Arial"/>
              </w:rPr>
              <w:t>(eDINMAR)</w:t>
            </w:r>
            <w:r>
              <w:rPr>
                <w:rFonts w:eastAsia="Arial"/>
              </w:rPr>
              <w:t xml:space="preserve"> </w:t>
            </w:r>
            <w:r w:rsidRPr="4FCE31F0">
              <w:rPr>
                <w:rFonts w:eastAsia="Arial"/>
              </w:rPr>
              <w:t>in</w:t>
            </w:r>
            <w:r>
              <w:rPr>
                <w:rFonts w:eastAsia="Arial"/>
              </w:rPr>
              <w:t xml:space="preserve"> </w:t>
            </w:r>
            <w:r w:rsidRPr="4FCE31F0">
              <w:rPr>
                <w:rFonts w:eastAsia="Arial"/>
              </w:rPr>
              <w:t>all</w:t>
            </w:r>
            <w:r>
              <w:rPr>
                <w:rFonts w:eastAsia="Arial"/>
              </w:rPr>
              <w:t xml:space="preserve"> </w:t>
            </w:r>
            <w:r w:rsidRPr="4FCE31F0">
              <w:rPr>
                <w:rFonts w:eastAsia="Arial"/>
              </w:rPr>
              <w:t>locations.</w:t>
            </w:r>
            <w:r>
              <w:rPr>
                <w:rFonts w:eastAsia="Arial"/>
              </w:rPr>
              <w:t xml:space="preserve"> </w:t>
            </w:r>
            <w:r w:rsidRPr="4FCE31F0">
              <w:rPr>
                <w:rFonts w:eastAsia="Arial"/>
              </w:rPr>
              <w:t>This</w:t>
            </w:r>
            <w:r>
              <w:rPr>
                <w:rFonts w:eastAsia="Arial"/>
              </w:rPr>
              <w:t xml:space="preserve"> </w:t>
            </w:r>
            <w:r w:rsidRPr="4FCE31F0">
              <w:rPr>
                <w:rFonts w:eastAsia="Arial"/>
              </w:rPr>
              <w:t>system</w:t>
            </w:r>
            <w:r>
              <w:rPr>
                <w:rFonts w:eastAsia="Arial"/>
              </w:rPr>
              <w:t xml:space="preserve"> </w:t>
            </w:r>
            <w:r w:rsidRPr="4FCE31F0">
              <w:rPr>
                <w:rFonts w:eastAsia="Arial"/>
              </w:rPr>
              <w:t>has</w:t>
            </w:r>
            <w:r>
              <w:rPr>
                <w:rFonts w:eastAsia="Arial"/>
              </w:rPr>
              <w:t xml:space="preserve"> </w:t>
            </w:r>
            <w:r w:rsidRPr="4FCE31F0">
              <w:rPr>
                <w:rFonts w:eastAsia="Arial"/>
              </w:rPr>
              <w:t>resulted</w:t>
            </w:r>
            <w:r>
              <w:rPr>
                <w:rFonts w:eastAsia="Arial"/>
              </w:rPr>
              <w:t xml:space="preserve"> </w:t>
            </w:r>
            <w:r w:rsidRPr="4FCE31F0">
              <w:rPr>
                <w:rFonts w:eastAsia="Arial"/>
              </w:rPr>
              <w:t>in</w:t>
            </w:r>
            <w:r>
              <w:rPr>
                <w:rFonts w:eastAsia="Arial"/>
              </w:rPr>
              <w:t xml:space="preserve"> </w:t>
            </w:r>
            <w:r w:rsidRPr="4FCE31F0">
              <w:rPr>
                <w:rFonts w:eastAsia="Arial"/>
              </w:rPr>
              <w:t>increased</w:t>
            </w:r>
            <w:r>
              <w:rPr>
                <w:rFonts w:eastAsia="Arial"/>
              </w:rPr>
              <w:t xml:space="preserve"> </w:t>
            </w:r>
            <w:r w:rsidRPr="4FCE31F0">
              <w:rPr>
                <w:rFonts w:eastAsia="Arial"/>
              </w:rPr>
              <w:t>rates</w:t>
            </w:r>
            <w:r>
              <w:rPr>
                <w:rFonts w:eastAsia="Arial"/>
              </w:rPr>
              <w:t xml:space="preserve"> </w:t>
            </w:r>
            <w:r w:rsidRPr="4FCE31F0">
              <w:rPr>
                <w:rFonts w:eastAsia="Arial"/>
              </w:rPr>
              <w:t>of</w:t>
            </w:r>
            <w:r>
              <w:rPr>
                <w:rFonts w:eastAsia="Arial"/>
              </w:rPr>
              <w:t xml:space="preserve"> </w:t>
            </w:r>
            <w:r w:rsidRPr="4FCE31F0">
              <w:rPr>
                <w:rFonts w:eastAsia="Arial"/>
              </w:rPr>
              <w:t>reporting,</w:t>
            </w:r>
            <w:r>
              <w:rPr>
                <w:rFonts w:eastAsia="Arial"/>
              </w:rPr>
              <w:t xml:space="preserve"> </w:t>
            </w:r>
            <w:r w:rsidRPr="4FCE31F0">
              <w:rPr>
                <w:rFonts w:eastAsia="Arial"/>
              </w:rPr>
              <w:t>greater</w:t>
            </w:r>
            <w:r>
              <w:rPr>
                <w:rFonts w:eastAsia="Arial"/>
              </w:rPr>
              <w:t xml:space="preserve"> </w:t>
            </w:r>
            <w:r w:rsidRPr="4FCE31F0">
              <w:rPr>
                <w:rFonts w:eastAsia="Arial"/>
              </w:rPr>
              <w:t>accountability</w:t>
            </w:r>
            <w:r>
              <w:rPr>
                <w:rFonts w:eastAsia="Arial"/>
              </w:rPr>
              <w:t xml:space="preserve"> </w:t>
            </w:r>
            <w:r w:rsidRPr="4FCE31F0">
              <w:rPr>
                <w:rFonts w:eastAsia="Arial"/>
              </w:rPr>
              <w:t>and</w:t>
            </w:r>
            <w:r>
              <w:rPr>
                <w:rFonts w:eastAsia="Arial"/>
              </w:rPr>
              <w:t xml:space="preserve"> </w:t>
            </w:r>
            <w:r w:rsidRPr="4FCE31F0">
              <w:rPr>
                <w:rFonts w:eastAsia="Arial"/>
              </w:rPr>
              <w:t>timelier</w:t>
            </w:r>
            <w:r>
              <w:rPr>
                <w:rFonts w:eastAsia="Arial"/>
              </w:rPr>
              <w:t xml:space="preserve"> </w:t>
            </w:r>
            <w:r w:rsidRPr="4FCE31F0">
              <w:rPr>
                <w:rFonts w:eastAsia="Arial"/>
              </w:rPr>
              <w:t>follow-up</w:t>
            </w:r>
            <w:r>
              <w:rPr>
                <w:rFonts w:eastAsia="Arial"/>
              </w:rPr>
              <w:t xml:space="preserve"> </w:t>
            </w:r>
            <w:r w:rsidRPr="4FCE31F0">
              <w:rPr>
                <w:rFonts w:eastAsia="Arial"/>
              </w:rPr>
              <w:t>and</w:t>
            </w:r>
            <w:r>
              <w:rPr>
                <w:rFonts w:eastAsia="Arial"/>
              </w:rPr>
              <w:t xml:space="preserve"> </w:t>
            </w:r>
            <w:r w:rsidRPr="4FCE31F0">
              <w:rPr>
                <w:rFonts w:eastAsia="Arial"/>
              </w:rPr>
              <w:t>resolution</w:t>
            </w:r>
            <w:r>
              <w:rPr>
                <w:rFonts w:eastAsia="Arial"/>
              </w:rPr>
              <w:t xml:space="preserve"> </w:t>
            </w:r>
            <w:r w:rsidRPr="4FCE31F0">
              <w:rPr>
                <w:rFonts w:eastAsia="Arial"/>
              </w:rPr>
              <w:t>of</w:t>
            </w:r>
            <w:r>
              <w:rPr>
                <w:rFonts w:eastAsia="Arial"/>
              </w:rPr>
              <w:t xml:space="preserve"> </w:t>
            </w:r>
            <w:r w:rsidRPr="4FCE31F0">
              <w:rPr>
                <w:rFonts w:eastAsia="Arial"/>
              </w:rPr>
              <w:t>reported</w:t>
            </w:r>
            <w:r>
              <w:rPr>
                <w:rFonts w:eastAsia="Arial"/>
              </w:rPr>
              <w:t xml:space="preserve"> </w:t>
            </w:r>
            <w:r w:rsidRPr="4FCE31F0">
              <w:rPr>
                <w:rFonts w:eastAsia="Arial"/>
              </w:rPr>
              <w:t>hazards</w:t>
            </w:r>
            <w:r>
              <w:rPr>
                <w:rFonts w:eastAsia="Arial"/>
              </w:rPr>
              <w:t xml:space="preserve"> </w:t>
            </w:r>
            <w:r w:rsidRPr="4FCE31F0">
              <w:rPr>
                <w:rFonts w:eastAsia="Arial"/>
              </w:rPr>
              <w:t>and</w:t>
            </w:r>
            <w:r>
              <w:rPr>
                <w:rFonts w:eastAsia="Arial"/>
              </w:rPr>
              <w:t xml:space="preserve"> </w:t>
            </w:r>
            <w:r w:rsidRPr="4FCE31F0">
              <w:rPr>
                <w:rFonts w:eastAsia="Arial"/>
              </w:rPr>
              <w:t>risks.</w:t>
            </w:r>
            <w:r>
              <w:t xml:space="preserve"> OHS performance metrics are now available </w:t>
            </w:r>
            <w:r w:rsidR="008135B7">
              <w:t xml:space="preserve">to all staff </w:t>
            </w:r>
            <w:r>
              <w:t>through the Our Insights system</w:t>
            </w:r>
            <w:r w:rsidR="00563077">
              <w:t>,</w:t>
            </w:r>
            <w:r>
              <w:t xml:space="preserve"> sourced from the eDINMAR system</w:t>
            </w:r>
            <w:r w:rsidR="008135B7">
              <w:t>.</w:t>
            </w:r>
          </w:p>
          <w:p w14:paraId="7FFD4218" w14:textId="77777777" w:rsidR="001A70B8" w:rsidRPr="002029AF" w:rsidRDefault="001A70B8" w:rsidP="00101E5D">
            <w:pPr>
              <w:pStyle w:val="ARtabletext"/>
              <w:shd w:val="clear" w:color="auto" w:fill="FFFFFF" w:themeFill="background1"/>
              <w:spacing w:before="60" w:after="40"/>
            </w:pPr>
            <w:r w:rsidRPr="4FCE31F0">
              <w:rPr>
                <w:rFonts w:eastAsia="Arial"/>
              </w:rPr>
              <w:t>The</w:t>
            </w:r>
            <w:r>
              <w:rPr>
                <w:rFonts w:eastAsia="Arial"/>
              </w:rPr>
              <w:t xml:space="preserve"> </w:t>
            </w:r>
            <w:r w:rsidRPr="4FCE31F0">
              <w:rPr>
                <w:rFonts w:eastAsia="Arial"/>
              </w:rPr>
              <w:t>department</w:t>
            </w:r>
            <w:r>
              <w:rPr>
                <w:rFonts w:eastAsia="Arial"/>
              </w:rPr>
              <w:t xml:space="preserve"> </w:t>
            </w:r>
            <w:r w:rsidRPr="4FCE31F0">
              <w:rPr>
                <w:rFonts w:eastAsia="Arial"/>
              </w:rPr>
              <w:t>has</w:t>
            </w:r>
            <w:r>
              <w:rPr>
                <w:rFonts w:eastAsia="Arial"/>
              </w:rPr>
              <w:t xml:space="preserve"> </w:t>
            </w:r>
            <w:r w:rsidRPr="4FCE31F0">
              <w:rPr>
                <w:rFonts w:eastAsia="Arial"/>
              </w:rPr>
              <w:t>comprehensive</w:t>
            </w:r>
            <w:r>
              <w:rPr>
                <w:rFonts w:eastAsia="Arial"/>
              </w:rPr>
              <w:t xml:space="preserve"> </w:t>
            </w:r>
            <w:r w:rsidRPr="4FCE31F0">
              <w:rPr>
                <w:rFonts w:eastAsia="Arial"/>
              </w:rPr>
              <w:t>procedures</w:t>
            </w:r>
            <w:r>
              <w:rPr>
                <w:rFonts w:eastAsia="Arial"/>
              </w:rPr>
              <w:t xml:space="preserve"> </w:t>
            </w:r>
            <w:r w:rsidRPr="4FCE31F0">
              <w:rPr>
                <w:rFonts w:eastAsia="Arial"/>
              </w:rPr>
              <w:t>and</w:t>
            </w:r>
            <w:r>
              <w:rPr>
                <w:rFonts w:eastAsia="Arial"/>
              </w:rPr>
              <w:t xml:space="preserve"> </w:t>
            </w:r>
            <w:r w:rsidRPr="4FCE31F0">
              <w:rPr>
                <w:rFonts w:eastAsia="Arial"/>
              </w:rPr>
              <w:t>tools</w:t>
            </w:r>
            <w:r>
              <w:rPr>
                <w:rFonts w:eastAsia="Arial"/>
              </w:rPr>
              <w:t xml:space="preserve"> </w:t>
            </w:r>
            <w:r w:rsidRPr="4FCE31F0">
              <w:rPr>
                <w:rFonts w:eastAsia="Arial"/>
              </w:rPr>
              <w:t>for</w:t>
            </w:r>
            <w:r>
              <w:rPr>
                <w:rFonts w:eastAsia="Arial"/>
              </w:rPr>
              <w:t xml:space="preserve"> </w:t>
            </w:r>
            <w:r w:rsidRPr="4FCE31F0">
              <w:rPr>
                <w:rFonts w:eastAsia="Arial"/>
              </w:rPr>
              <w:t>assessing</w:t>
            </w:r>
            <w:r>
              <w:rPr>
                <w:rFonts w:eastAsia="Arial"/>
              </w:rPr>
              <w:t xml:space="preserve"> </w:t>
            </w:r>
            <w:r w:rsidRPr="4FCE31F0">
              <w:rPr>
                <w:rFonts w:eastAsia="Arial"/>
              </w:rPr>
              <w:t>and</w:t>
            </w:r>
            <w:r>
              <w:rPr>
                <w:rFonts w:eastAsia="Arial"/>
              </w:rPr>
              <w:t xml:space="preserve"> </w:t>
            </w:r>
            <w:r w:rsidRPr="4FCE31F0">
              <w:rPr>
                <w:rFonts w:eastAsia="Arial"/>
              </w:rPr>
              <w:t>managing</w:t>
            </w:r>
            <w:r>
              <w:rPr>
                <w:rFonts w:eastAsia="Arial"/>
              </w:rPr>
              <w:t xml:space="preserve"> </w:t>
            </w:r>
            <w:r w:rsidRPr="4FCE31F0">
              <w:rPr>
                <w:rFonts w:eastAsia="Arial"/>
              </w:rPr>
              <w:t>key</w:t>
            </w:r>
            <w:r>
              <w:rPr>
                <w:rFonts w:eastAsia="Arial"/>
              </w:rPr>
              <w:t xml:space="preserve"> </w:t>
            </w:r>
            <w:r w:rsidRPr="4FCE31F0">
              <w:rPr>
                <w:rFonts w:eastAsia="Arial"/>
              </w:rPr>
              <w:t>risks</w:t>
            </w:r>
            <w:r>
              <w:rPr>
                <w:rFonts w:eastAsia="Arial"/>
              </w:rPr>
              <w:t xml:space="preserve">, </w:t>
            </w:r>
            <w:r w:rsidRPr="4FCE31F0">
              <w:rPr>
                <w:rFonts w:eastAsia="Arial"/>
              </w:rPr>
              <w:t>including</w:t>
            </w:r>
            <w:r>
              <w:rPr>
                <w:rFonts w:eastAsia="Arial"/>
              </w:rPr>
              <w:t xml:space="preserve"> </w:t>
            </w:r>
            <w:r w:rsidRPr="4FCE31F0">
              <w:rPr>
                <w:rFonts w:eastAsia="Arial"/>
              </w:rPr>
              <w:t>conducting</w:t>
            </w:r>
            <w:r>
              <w:rPr>
                <w:rFonts w:eastAsia="Arial"/>
              </w:rPr>
              <w:t xml:space="preserve"> </w:t>
            </w:r>
            <w:r w:rsidRPr="4FCE31F0">
              <w:rPr>
                <w:rFonts w:eastAsia="Arial"/>
              </w:rPr>
              <w:t>regular</w:t>
            </w:r>
            <w:r>
              <w:rPr>
                <w:rFonts w:eastAsia="Arial"/>
              </w:rPr>
              <w:t xml:space="preserve"> </w:t>
            </w:r>
            <w:r w:rsidRPr="4FCE31F0">
              <w:rPr>
                <w:rFonts w:eastAsia="Arial"/>
              </w:rPr>
              <w:t>workplace</w:t>
            </w:r>
            <w:r>
              <w:rPr>
                <w:rFonts w:eastAsia="Arial"/>
              </w:rPr>
              <w:t xml:space="preserve"> </w:t>
            </w:r>
            <w:r w:rsidRPr="4FCE31F0">
              <w:rPr>
                <w:rFonts w:eastAsia="Arial"/>
              </w:rPr>
              <w:t>inspections.</w:t>
            </w:r>
          </w:p>
        </w:tc>
      </w:tr>
      <w:tr w:rsidR="001A70B8" w:rsidRPr="002029AF" w14:paraId="52A0E799" w14:textId="77777777" w:rsidTr="00D429B0">
        <w:trPr>
          <w:cantSplit/>
          <w:trHeight w:val="402"/>
        </w:trPr>
        <w:tc>
          <w:tcPr>
            <w:tcW w:w="1372" w:type="dxa"/>
          </w:tcPr>
          <w:p w14:paraId="1C9976A3" w14:textId="77777777" w:rsidR="001A70B8" w:rsidRPr="002029AF" w:rsidRDefault="001A70B8" w:rsidP="00101E5D">
            <w:pPr>
              <w:pStyle w:val="ARtabletext"/>
              <w:shd w:val="clear" w:color="auto" w:fill="FFFFFF" w:themeFill="background1"/>
            </w:pPr>
            <w:r w:rsidRPr="002029AF">
              <w:t>Training</w:t>
            </w:r>
          </w:p>
        </w:tc>
        <w:tc>
          <w:tcPr>
            <w:tcW w:w="1600" w:type="dxa"/>
          </w:tcPr>
          <w:p w14:paraId="46691DA3" w14:textId="0176B8AF" w:rsidR="001A70B8" w:rsidRPr="002029AF" w:rsidRDefault="001A70B8" w:rsidP="00101E5D">
            <w:pPr>
              <w:pStyle w:val="ARtabletext"/>
              <w:shd w:val="clear" w:color="auto" w:fill="FFFFFF" w:themeFill="background1"/>
            </w:pPr>
            <w:r w:rsidRPr="002029AF">
              <w:t>Managers,</w:t>
            </w:r>
            <w:r>
              <w:t xml:space="preserve"> </w:t>
            </w:r>
            <w:r w:rsidRPr="002029AF">
              <w:t>health</w:t>
            </w:r>
            <w:r>
              <w:t xml:space="preserve"> </w:t>
            </w:r>
            <w:r w:rsidRPr="002029AF">
              <w:t>and</w:t>
            </w:r>
            <w:r>
              <w:t xml:space="preserve"> </w:t>
            </w:r>
            <w:r w:rsidRPr="002029AF">
              <w:t>safety</w:t>
            </w:r>
            <w:r>
              <w:t xml:space="preserve"> </w:t>
            </w:r>
            <w:r w:rsidRPr="002029AF">
              <w:t>representatives</w:t>
            </w:r>
            <w:r>
              <w:t xml:space="preserve"> </w:t>
            </w:r>
            <w:r w:rsidRPr="002029AF">
              <w:t>and</w:t>
            </w:r>
            <w:r>
              <w:t xml:space="preserve"> </w:t>
            </w:r>
            <w:r w:rsidRPr="002029AF">
              <w:t>other</w:t>
            </w:r>
            <w:r>
              <w:t xml:space="preserve"> </w:t>
            </w:r>
            <w:r w:rsidRPr="002029AF">
              <w:t>staff</w:t>
            </w:r>
            <w:r>
              <w:t xml:space="preserve"> </w:t>
            </w:r>
            <w:r w:rsidRPr="002029AF">
              <w:t>trained</w:t>
            </w:r>
          </w:p>
        </w:tc>
        <w:tc>
          <w:tcPr>
            <w:tcW w:w="6667" w:type="dxa"/>
          </w:tcPr>
          <w:p w14:paraId="49A2C890" w14:textId="718F0701" w:rsidR="001A70B8" w:rsidRDefault="001A70B8" w:rsidP="00101E5D">
            <w:pPr>
              <w:pStyle w:val="ARtabletext"/>
              <w:shd w:val="clear" w:color="auto" w:fill="FFFFFF" w:themeFill="background1"/>
              <w:spacing w:before="60" w:after="40"/>
              <w:rPr>
                <w:rFonts w:eastAsia="Arial"/>
              </w:rPr>
            </w:pPr>
            <w:r w:rsidRPr="2DAD6B99">
              <w:rPr>
                <w:rFonts w:eastAsia="Arial"/>
              </w:rPr>
              <w:t>The</w:t>
            </w:r>
            <w:r>
              <w:rPr>
                <w:rFonts w:eastAsia="Arial"/>
              </w:rPr>
              <w:t xml:space="preserve"> </w:t>
            </w:r>
            <w:r w:rsidRPr="2DAD6B99">
              <w:rPr>
                <w:rFonts w:eastAsia="Arial"/>
              </w:rPr>
              <w:t>department</w:t>
            </w:r>
            <w:r>
              <w:rPr>
                <w:rFonts w:eastAsia="Arial"/>
              </w:rPr>
              <w:t xml:space="preserve"> </w:t>
            </w:r>
            <w:r w:rsidRPr="2DAD6B99">
              <w:rPr>
                <w:rFonts w:eastAsia="Arial"/>
              </w:rPr>
              <w:t>continued</w:t>
            </w:r>
            <w:r>
              <w:rPr>
                <w:rFonts w:eastAsia="Arial"/>
              </w:rPr>
              <w:t xml:space="preserve"> </w:t>
            </w:r>
            <w:r w:rsidRPr="2DAD6B99">
              <w:rPr>
                <w:rFonts w:eastAsia="Arial"/>
              </w:rPr>
              <w:t>to</w:t>
            </w:r>
            <w:r>
              <w:rPr>
                <w:rFonts w:eastAsia="Arial"/>
              </w:rPr>
              <w:t xml:space="preserve"> </w:t>
            </w:r>
            <w:r w:rsidRPr="2DAD6B99">
              <w:rPr>
                <w:rFonts w:eastAsia="Arial"/>
              </w:rPr>
              <w:t>deliver</w:t>
            </w:r>
            <w:r>
              <w:rPr>
                <w:rFonts w:eastAsia="Arial"/>
              </w:rPr>
              <w:t xml:space="preserve"> </w:t>
            </w:r>
            <w:r w:rsidRPr="2DAD6B99">
              <w:rPr>
                <w:rFonts w:eastAsia="Arial"/>
              </w:rPr>
              <w:t>the</w:t>
            </w:r>
            <w:r>
              <w:rPr>
                <w:rFonts w:eastAsia="Arial"/>
              </w:rPr>
              <w:t xml:space="preserve"> </w:t>
            </w:r>
            <w:r w:rsidRPr="2DAD6B99">
              <w:rPr>
                <w:rFonts w:eastAsia="Arial"/>
              </w:rPr>
              <w:t>Managing</w:t>
            </w:r>
            <w:r>
              <w:rPr>
                <w:rFonts w:eastAsia="Arial"/>
              </w:rPr>
              <w:t xml:space="preserve"> </w:t>
            </w:r>
            <w:r w:rsidRPr="2DAD6B99">
              <w:rPr>
                <w:rFonts w:eastAsia="Arial"/>
              </w:rPr>
              <w:t>My</w:t>
            </w:r>
            <w:r>
              <w:rPr>
                <w:rFonts w:eastAsia="Arial"/>
              </w:rPr>
              <w:t xml:space="preserve"> </w:t>
            </w:r>
            <w:r w:rsidRPr="2DAD6B99">
              <w:rPr>
                <w:rFonts w:eastAsia="Arial"/>
              </w:rPr>
              <w:t>Mental</w:t>
            </w:r>
            <w:r>
              <w:rPr>
                <w:rFonts w:eastAsia="Arial"/>
              </w:rPr>
              <w:t xml:space="preserve"> </w:t>
            </w:r>
            <w:r w:rsidRPr="2DAD6B99">
              <w:rPr>
                <w:rFonts w:eastAsia="Arial"/>
              </w:rPr>
              <w:t>Health</w:t>
            </w:r>
            <w:r>
              <w:rPr>
                <w:rFonts w:eastAsia="Arial"/>
              </w:rPr>
              <w:t xml:space="preserve"> </w:t>
            </w:r>
            <w:r w:rsidRPr="2DAD6B99">
              <w:rPr>
                <w:rFonts w:eastAsia="Arial"/>
              </w:rPr>
              <w:t>and</w:t>
            </w:r>
            <w:r>
              <w:rPr>
                <w:rFonts w:eastAsia="Arial"/>
              </w:rPr>
              <w:t xml:space="preserve"> </w:t>
            </w:r>
            <w:r w:rsidRPr="2DAD6B99">
              <w:rPr>
                <w:rFonts w:eastAsia="Arial"/>
              </w:rPr>
              <w:t>Wellbeing</w:t>
            </w:r>
            <w:r>
              <w:rPr>
                <w:rFonts w:eastAsia="Arial"/>
              </w:rPr>
              <w:t xml:space="preserve"> </w:t>
            </w:r>
            <w:r w:rsidRPr="2DAD6B99">
              <w:rPr>
                <w:rFonts w:eastAsia="Arial"/>
              </w:rPr>
              <w:t>at</w:t>
            </w:r>
            <w:r>
              <w:rPr>
                <w:rFonts w:eastAsia="Arial"/>
              </w:rPr>
              <w:t xml:space="preserve"> </w:t>
            </w:r>
            <w:r w:rsidRPr="2DAD6B99">
              <w:rPr>
                <w:rFonts w:eastAsia="Arial"/>
              </w:rPr>
              <w:t>Work</w:t>
            </w:r>
            <w:r>
              <w:rPr>
                <w:rFonts w:eastAsia="Arial"/>
              </w:rPr>
              <w:t xml:space="preserve"> </w:t>
            </w:r>
            <w:r w:rsidRPr="2DAD6B99">
              <w:rPr>
                <w:rFonts w:eastAsia="Arial"/>
              </w:rPr>
              <w:t>training</w:t>
            </w:r>
            <w:r>
              <w:rPr>
                <w:rFonts w:eastAsia="Arial"/>
              </w:rPr>
              <w:t xml:space="preserve"> </w:t>
            </w:r>
            <w:r w:rsidRPr="2DAD6B99">
              <w:rPr>
                <w:rFonts w:eastAsia="Arial"/>
              </w:rPr>
              <w:t>for</w:t>
            </w:r>
            <w:r>
              <w:rPr>
                <w:rFonts w:eastAsia="Arial"/>
              </w:rPr>
              <w:t xml:space="preserve"> </w:t>
            </w:r>
            <w:r w:rsidRPr="2DAD6B99">
              <w:rPr>
                <w:rFonts w:eastAsia="Arial"/>
              </w:rPr>
              <w:t>all</w:t>
            </w:r>
            <w:r>
              <w:rPr>
                <w:rFonts w:eastAsia="Arial"/>
              </w:rPr>
              <w:t xml:space="preserve"> </w:t>
            </w:r>
            <w:r w:rsidRPr="2DAD6B99">
              <w:rPr>
                <w:rFonts w:eastAsia="Arial"/>
              </w:rPr>
              <w:t>staff</w:t>
            </w:r>
            <w:r>
              <w:rPr>
                <w:rFonts w:eastAsia="Arial"/>
              </w:rPr>
              <w:t xml:space="preserve"> </w:t>
            </w:r>
            <w:r w:rsidRPr="2DAD6B99">
              <w:rPr>
                <w:rFonts w:eastAsia="Arial"/>
              </w:rPr>
              <w:t>and</w:t>
            </w:r>
            <w:r>
              <w:rPr>
                <w:rFonts w:eastAsia="Arial"/>
              </w:rPr>
              <w:t xml:space="preserve"> </w:t>
            </w:r>
            <w:r w:rsidRPr="2DAD6B99">
              <w:rPr>
                <w:rFonts w:eastAsia="Arial"/>
              </w:rPr>
              <w:t>Leading</w:t>
            </w:r>
            <w:r>
              <w:rPr>
                <w:rFonts w:eastAsia="Arial"/>
              </w:rPr>
              <w:t xml:space="preserve"> </w:t>
            </w:r>
            <w:r w:rsidRPr="2DAD6B99">
              <w:rPr>
                <w:rFonts w:eastAsia="Arial"/>
              </w:rPr>
              <w:t>with</w:t>
            </w:r>
            <w:r>
              <w:rPr>
                <w:rFonts w:eastAsia="Arial"/>
              </w:rPr>
              <w:t xml:space="preserve"> </w:t>
            </w:r>
            <w:r w:rsidRPr="2DAD6B99">
              <w:rPr>
                <w:rFonts w:eastAsia="Arial"/>
              </w:rPr>
              <w:t>Respect:</w:t>
            </w:r>
            <w:r>
              <w:rPr>
                <w:rFonts w:eastAsia="Arial"/>
              </w:rPr>
              <w:t xml:space="preserve"> </w:t>
            </w:r>
            <w:r w:rsidRPr="2DAD6B99">
              <w:rPr>
                <w:rFonts w:eastAsia="Arial"/>
              </w:rPr>
              <w:t>Managing</w:t>
            </w:r>
            <w:r>
              <w:rPr>
                <w:rFonts w:eastAsia="Arial"/>
              </w:rPr>
              <w:t xml:space="preserve"> </w:t>
            </w:r>
            <w:r w:rsidRPr="2DAD6B99">
              <w:rPr>
                <w:rFonts w:eastAsia="Arial"/>
              </w:rPr>
              <w:t>for</w:t>
            </w:r>
            <w:r>
              <w:rPr>
                <w:rFonts w:eastAsia="Arial"/>
              </w:rPr>
              <w:t xml:space="preserve"> </w:t>
            </w:r>
            <w:r w:rsidRPr="2DAD6B99">
              <w:rPr>
                <w:rFonts w:eastAsia="Arial"/>
              </w:rPr>
              <w:t>Team</w:t>
            </w:r>
            <w:r>
              <w:rPr>
                <w:rFonts w:eastAsia="Arial"/>
              </w:rPr>
              <w:t xml:space="preserve"> </w:t>
            </w:r>
            <w:r w:rsidRPr="2DAD6B99">
              <w:rPr>
                <w:rFonts w:eastAsia="Arial"/>
              </w:rPr>
              <w:t>Wellbeing</w:t>
            </w:r>
            <w:r>
              <w:rPr>
                <w:rFonts w:eastAsia="Arial"/>
              </w:rPr>
              <w:t xml:space="preserve"> </w:t>
            </w:r>
            <w:r w:rsidRPr="2DAD6B99">
              <w:rPr>
                <w:rFonts w:eastAsia="Arial"/>
              </w:rPr>
              <w:t>training</w:t>
            </w:r>
            <w:r>
              <w:rPr>
                <w:rFonts w:eastAsia="Arial"/>
              </w:rPr>
              <w:t xml:space="preserve"> </w:t>
            </w:r>
            <w:r w:rsidRPr="2DAD6B99">
              <w:rPr>
                <w:rFonts w:eastAsia="Arial"/>
              </w:rPr>
              <w:t>for</w:t>
            </w:r>
            <w:r>
              <w:rPr>
                <w:rFonts w:eastAsia="Arial"/>
              </w:rPr>
              <w:t xml:space="preserve"> </w:t>
            </w:r>
            <w:r w:rsidRPr="2DAD6B99">
              <w:rPr>
                <w:rFonts w:eastAsia="Arial"/>
              </w:rPr>
              <w:t>people</w:t>
            </w:r>
            <w:r>
              <w:rPr>
                <w:rFonts w:eastAsia="Arial"/>
              </w:rPr>
              <w:t xml:space="preserve"> </w:t>
            </w:r>
            <w:r w:rsidRPr="2DAD6B99">
              <w:rPr>
                <w:rFonts w:eastAsia="Arial"/>
              </w:rPr>
              <w:t>managers</w:t>
            </w:r>
            <w:r>
              <w:rPr>
                <w:rFonts w:eastAsia="Arial"/>
              </w:rPr>
              <w:t xml:space="preserve"> </w:t>
            </w:r>
            <w:r w:rsidRPr="2DAD6B99">
              <w:rPr>
                <w:rFonts w:eastAsia="Arial"/>
              </w:rPr>
              <w:t>to</w:t>
            </w:r>
            <w:r>
              <w:rPr>
                <w:rFonts w:eastAsia="Arial"/>
              </w:rPr>
              <w:t xml:space="preserve"> </w:t>
            </w:r>
            <w:r w:rsidRPr="2DAD6B99">
              <w:rPr>
                <w:rFonts w:eastAsia="Arial"/>
              </w:rPr>
              <w:t>support</w:t>
            </w:r>
            <w:r>
              <w:rPr>
                <w:rFonts w:eastAsia="Arial"/>
              </w:rPr>
              <w:t xml:space="preserve"> </w:t>
            </w:r>
            <w:r w:rsidRPr="2DAD6B99">
              <w:rPr>
                <w:rFonts w:eastAsia="Arial"/>
              </w:rPr>
              <w:t>ongoing</w:t>
            </w:r>
            <w:r>
              <w:rPr>
                <w:rFonts w:eastAsia="Arial"/>
              </w:rPr>
              <w:t xml:space="preserve"> </w:t>
            </w:r>
            <w:r w:rsidRPr="2DAD6B99">
              <w:rPr>
                <w:rFonts w:eastAsia="Arial"/>
              </w:rPr>
              <w:t>implementation</w:t>
            </w:r>
            <w:r>
              <w:rPr>
                <w:rFonts w:eastAsia="Arial"/>
              </w:rPr>
              <w:t xml:space="preserve"> </w:t>
            </w:r>
            <w:r w:rsidRPr="2DAD6B99">
              <w:rPr>
                <w:rFonts w:eastAsia="Arial"/>
              </w:rPr>
              <w:t>of</w:t>
            </w:r>
            <w:r>
              <w:rPr>
                <w:rFonts w:eastAsia="Arial"/>
              </w:rPr>
              <w:t xml:space="preserve"> </w:t>
            </w:r>
            <w:r w:rsidRPr="2DAD6B99">
              <w:rPr>
                <w:rFonts w:eastAsia="Arial"/>
              </w:rPr>
              <w:t>the</w:t>
            </w:r>
            <w:r>
              <w:rPr>
                <w:rFonts w:eastAsia="Arial"/>
              </w:rPr>
              <w:t xml:space="preserve"> </w:t>
            </w:r>
            <w:r w:rsidRPr="2DAD6B99">
              <w:rPr>
                <w:rFonts w:eastAsia="Arial"/>
              </w:rPr>
              <w:t>Mental</w:t>
            </w:r>
            <w:r>
              <w:rPr>
                <w:rFonts w:eastAsia="Arial"/>
              </w:rPr>
              <w:t xml:space="preserve"> </w:t>
            </w:r>
            <w:r w:rsidRPr="2DAD6B99">
              <w:rPr>
                <w:rFonts w:eastAsia="Arial"/>
              </w:rPr>
              <w:t>Health</w:t>
            </w:r>
            <w:r>
              <w:rPr>
                <w:rFonts w:eastAsia="Arial"/>
              </w:rPr>
              <w:t xml:space="preserve"> </w:t>
            </w:r>
            <w:r w:rsidRPr="2DAD6B99">
              <w:rPr>
                <w:rFonts w:eastAsia="Arial"/>
              </w:rPr>
              <w:t>and</w:t>
            </w:r>
            <w:r>
              <w:rPr>
                <w:rFonts w:eastAsia="Arial"/>
              </w:rPr>
              <w:t xml:space="preserve"> </w:t>
            </w:r>
            <w:r w:rsidRPr="2DAD6B99">
              <w:rPr>
                <w:rFonts w:eastAsia="Arial"/>
              </w:rPr>
              <w:t>Wellbeing</w:t>
            </w:r>
            <w:r>
              <w:rPr>
                <w:rFonts w:eastAsia="Arial"/>
              </w:rPr>
              <w:t xml:space="preserve"> </w:t>
            </w:r>
            <w:r w:rsidRPr="2DAD6B99">
              <w:rPr>
                <w:rFonts w:eastAsia="Arial"/>
              </w:rPr>
              <w:t>Charter.</w:t>
            </w:r>
            <w:r>
              <w:rPr>
                <w:rFonts w:eastAsia="Arial"/>
              </w:rPr>
              <w:t xml:space="preserve"> </w:t>
            </w:r>
            <w:r w:rsidRPr="2DAD6B99">
              <w:rPr>
                <w:rFonts w:eastAsia="Arial"/>
              </w:rPr>
              <w:t>The</w:t>
            </w:r>
            <w:r>
              <w:rPr>
                <w:rFonts w:eastAsia="Arial"/>
              </w:rPr>
              <w:t xml:space="preserve"> </w:t>
            </w:r>
            <w:r w:rsidRPr="2DAD6B99">
              <w:rPr>
                <w:rFonts w:eastAsia="Arial"/>
              </w:rPr>
              <w:t>department</w:t>
            </w:r>
            <w:r>
              <w:rPr>
                <w:rFonts w:eastAsia="Arial"/>
              </w:rPr>
              <w:t xml:space="preserve"> </w:t>
            </w:r>
            <w:r w:rsidRPr="2DAD6B99">
              <w:rPr>
                <w:rFonts w:eastAsia="Arial"/>
              </w:rPr>
              <w:t>has</w:t>
            </w:r>
            <w:r>
              <w:rPr>
                <w:rFonts w:eastAsia="Arial"/>
              </w:rPr>
              <w:t xml:space="preserve"> </w:t>
            </w:r>
            <w:r w:rsidRPr="2DAD6B99">
              <w:rPr>
                <w:rFonts w:eastAsia="Arial"/>
              </w:rPr>
              <w:t>also</w:t>
            </w:r>
            <w:r>
              <w:rPr>
                <w:rFonts w:eastAsia="Arial"/>
              </w:rPr>
              <w:t xml:space="preserve"> </w:t>
            </w:r>
            <w:r w:rsidRPr="2DAD6B99">
              <w:rPr>
                <w:rFonts w:eastAsia="Arial"/>
              </w:rPr>
              <w:t>refreshed</w:t>
            </w:r>
            <w:r>
              <w:rPr>
                <w:rFonts w:eastAsia="Arial"/>
              </w:rPr>
              <w:t xml:space="preserve"> </w:t>
            </w:r>
            <w:r w:rsidRPr="2DAD6B99">
              <w:rPr>
                <w:rFonts w:eastAsia="Arial"/>
              </w:rPr>
              <w:t>and</w:t>
            </w:r>
            <w:r>
              <w:rPr>
                <w:rFonts w:eastAsia="Arial"/>
              </w:rPr>
              <w:t xml:space="preserve"> </w:t>
            </w:r>
            <w:r w:rsidRPr="2DAD6B99">
              <w:rPr>
                <w:rFonts w:eastAsia="Arial"/>
              </w:rPr>
              <w:t>relaunched</w:t>
            </w:r>
            <w:r>
              <w:rPr>
                <w:rFonts w:eastAsia="Arial"/>
              </w:rPr>
              <w:t xml:space="preserve"> </w:t>
            </w:r>
            <w:r w:rsidRPr="2DAD6B99">
              <w:rPr>
                <w:rFonts w:eastAsia="Arial"/>
              </w:rPr>
              <w:t>the</w:t>
            </w:r>
            <w:r>
              <w:rPr>
                <w:rFonts w:eastAsia="Arial"/>
              </w:rPr>
              <w:t xml:space="preserve"> </w:t>
            </w:r>
            <w:r w:rsidRPr="2DAD6B99">
              <w:rPr>
                <w:rFonts w:eastAsia="Arial"/>
              </w:rPr>
              <w:t>delivery</w:t>
            </w:r>
            <w:r>
              <w:rPr>
                <w:rFonts w:eastAsia="Arial"/>
              </w:rPr>
              <w:t xml:space="preserve"> </w:t>
            </w:r>
            <w:r w:rsidRPr="2DAD6B99">
              <w:rPr>
                <w:rFonts w:eastAsia="Arial"/>
              </w:rPr>
              <w:t>of</w:t>
            </w:r>
            <w:r>
              <w:rPr>
                <w:rFonts w:eastAsia="Arial"/>
              </w:rPr>
              <w:t xml:space="preserve"> </w:t>
            </w:r>
            <w:r w:rsidRPr="2DAD6B99">
              <w:rPr>
                <w:rFonts w:eastAsia="Arial"/>
              </w:rPr>
              <w:t>Vicarious</w:t>
            </w:r>
            <w:r>
              <w:rPr>
                <w:rFonts w:eastAsia="Arial"/>
              </w:rPr>
              <w:t xml:space="preserve"> </w:t>
            </w:r>
            <w:r w:rsidRPr="2DAD6B99">
              <w:rPr>
                <w:rFonts w:eastAsia="Arial"/>
              </w:rPr>
              <w:t>Trauma</w:t>
            </w:r>
            <w:r>
              <w:rPr>
                <w:rFonts w:eastAsia="Arial"/>
              </w:rPr>
              <w:t xml:space="preserve"> </w:t>
            </w:r>
            <w:r w:rsidRPr="2DAD6B99">
              <w:rPr>
                <w:rFonts w:eastAsia="Arial"/>
              </w:rPr>
              <w:t>and</w:t>
            </w:r>
            <w:r>
              <w:rPr>
                <w:rFonts w:eastAsia="Arial"/>
              </w:rPr>
              <w:t xml:space="preserve"> </w:t>
            </w:r>
            <w:r w:rsidRPr="2DAD6B99">
              <w:rPr>
                <w:rFonts w:eastAsia="Arial"/>
              </w:rPr>
              <w:t>Awareness</w:t>
            </w:r>
            <w:r>
              <w:rPr>
                <w:rFonts w:eastAsia="Arial"/>
              </w:rPr>
              <w:t xml:space="preserve"> </w:t>
            </w:r>
            <w:r w:rsidRPr="2DAD6B99">
              <w:rPr>
                <w:rFonts w:eastAsia="Arial"/>
              </w:rPr>
              <w:t>training</w:t>
            </w:r>
            <w:r>
              <w:rPr>
                <w:rFonts w:eastAsia="Arial"/>
              </w:rPr>
              <w:t xml:space="preserve"> </w:t>
            </w:r>
            <w:r w:rsidRPr="2DAD6B99">
              <w:rPr>
                <w:rFonts w:eastAsia="Arial"/>
              </w:rPr>
              <w:t>for</w:t>
            </w:r>
            <w:r>
              <w:rPr>
                <w:rFonts w:eastAsia="Arial"/>
              </w:rPr>
              <w:t xml:space="preserve"> </w:t>
            </w:r>
            <w:r w:rsidRPr="2DAD6B99">
              <w:rPr>
                <w:rFonts w:eastAsia="Arial"/>
              </w:rPr>
              <w:t>the</w:t>
            </w:r>
            <w:r>
              <w:rPr>
                <w:rFonts w:eastAsia="Arial"/>
              </w:rPr>
              <w:t xml:space="preserve"> </w:t>
            </w:r>
            <w:r w:rsidRPr="2DAD6B99">
              <w:rPr>
                <w:rFonts w:eastAsia="Arial"/>
              </w:rPr>
              <w:t>workforce,</w:t>
            </w:r>
            <w:r>
              <w:rPr>
                <w:rFonts w:eastAsia="Arial"/>
              </w:rPr>
              <w:t xml:space="preserve"> </w:t>
            </w:r>
            <w:r w:rsidRPr="2DAD6B99">
              <w:rPr>
                <w:rFonts w:eastAsia="Arial"/>
              </w:rPr>
              <w:t>ensuring</w:t>
            </w:r>
            <w:r>
              <w:rPr>
                <w:rFonts w:eastAsia="Arial"/>
              </w:rPr>
              <w:t xml:space="preserve"> </w:t>
            </w:r>
            <w:r w:rsidRPr="2DAD6B99">
              <w:rPr>
                <w:rFonts w:eastAsia="Arial"/>
              </w:rPr>
              <w:t>the</w:t>
            </w:r>
            <w:r>
              <w:rPr>
                <w:rFonts w:eastAsia="Arial"/>
              </w:rPr>
              <w:t xml:space="preserve"> </w:t>
            </w:r>
            <w:r w:rsidRPr="2DAD6B99">
              <w:rPr>
                <w:rFonts w:eastAsia="Arial"/>
              </w:rPr>
              <w:t>content</w:t>
            </w:r>
            <w:r>
              <w:rPr>
                <w:rFonts w:eastAsia="Arial"/>
              </w:rPr>
              <w:t xml:space="preserve"> </w:t>
            </w:r>
            <w:r w:rsidRPr="2DAD6B99">
              <w:rPr>
                <w:rFonts w:eastAsia="Arial"/>
              </w:rPr>
              <w:t>is</w:t>
            </w:r>
            <w:r>
              <w:rPr>
                <w:rFonts w:eastAsia="Arial"/>
              </w:rPr>
              <w:t xml:space="preserve"> </w:t>
            </w:r>
            <w:r w:rsidRPr="2DAD6B99">
              <w:rPr>
                <w:rFonts w:eastAsia="Arial"/>
              </w:rPr>
              <w:t>relevant,</w:t>
            </w:r>
            <w:r>
              <w:rPr>
                <w:rFonts w:eastAsia="Arial"/>
              </w:rPr>
              <w:t xml:space="preserve"> </w:t>
            </w:r>
            <w:r w:rsidRPr="2DAD6B99">
              <w:rPr>
                <w:rFonts w:eastAsia="Arial"/>
              </w:rPr>
              <w:t>up</w:t>
            </w:r>
            <w:r>
              <w:rPr>
                <w:rFonts w:eastAsia="Arial"/>
              </w:rPr>
              <w:t xml:space="preserve"> </w:t>
            </w:r>
            <w:r w:rsidRPr="2DAD6B99">
              <w:rPr>
                <w:rFonts w:eastAsia="Arial"/>
              </w:rPr>
              <w:t>to</w:t>
            </w:r>
            <w:r>
              <w:rPr>
                <w:rFonts w:eastAsia="Arial"/>
              </w:rPr>
              <w:t xml:space="preserve"> </w:t>
            </w:r>
            <w:r w:rsidRPr="2DAD6B99">
              <w:rPr>
                <w:rFonts w:eastAsia="Arial"/>
              </w:rPr>
              <w:t>date</w:t>
            </w:r>
            <w:r>
              <w:rPr>
                <w:rFonts w:eastAsia="Arial"/>
              </w:rPr>
              <w:t xml:space="preserve"> </w:t>
            </w:r>
            <w:r w:rsidRPr="2DAD6B99">
              <w:rPr>
                <w:rFonts w:eastAsia="Arial"/>
              </w:rPr>
              <w:t>with</w:t>
            </w:r>
            <w:r>
              <w:rPr>
                <w:rFonts w:eastAsia="Arial"/>
              </w:rPr>
              <w:t xml:space="preserve"> </w:t>
            </w:r>
            <w:r w:rsidRPr="2DAD6B99">
              <w:rPr>
                <w:rFonts w:eastAsia="Arial"/>
              </w:rPr>
              <w:t>best</w:t>
            </w:r>
            <w:r>
              <w:rPr>
                <w:rFonts w:eastAsia="Arial"/>
              </w:rPr>
              <w:t xml:space="preserve"> </w:t>
            </w:r>
            <w:r w:rsidRPr="2DAD6B99">
              <w:rPr>
                <w:rFonts w:eastAsia="Arial"/>
              </w:rPr>
              <w:t>proactive</w:t>
            </w:r>
            <w:r>
              <w:rPr>
                <w:rFonts w:eastAsia="Arial"/>
              </w:rPr>
              <w:t xml:space="preserve"> </w:t>
            </w:r>
            <w:r w:rsidRPr="2DAD6B99">
              <w:rPr>
                <w:rFonts w:eastAsia="Arial"/>
              </w:rPr>
              <w:t>research</w:t>
            </w:r>
            <w:r>
              <w:rPr>
                <w:rFonts w:eastAsia="Arial"/>
              </w:rPr>
              <w:t xml:space="preserve"> </w:t>
            </w:r>
            <w:r w:rsidRPr="2DAD6B99">
              <w:rPr>
                <w:rFonts w:eastAsia="Arial"/>
              </w:rPr>
              <w:t>and</w:t>
            </w:r>
            <w:r>
              <w:rPr>
                <w:rFonts w:eastAsia="Arial"/>
              </w:rPr>
              <w:t xml:space="preserve"> </w:t>
            </w:r>
            <w:r w:rsidRPr="2DAD6B99">
              <w:rPr>
                <w:rFonts w:eastAsia="Arial"/>
              </w:rPr>
              <w:t>tailored</w:t>
            </w:r>
            <w:r>
              <w:rPr>
                <w:rFonts w:eastAsia="Arial"/>
              </w:rPr>
              <w:t xml:space="preserve"> </w:t>
            </w:r>
            <w:r w:rsidRPr="2DAD6B99">
              <w:rPr>
                <w:rFonts w:eastAsia="Arial"/>
              </w:rPr>
              <w:t>to</w:t>
            </w:r>
            <w:r>
              <w:rPr>
                <w:rFonts w:eastAsia="Arial"/>
              </w:rPr>
              <w:t xml:space="preserve"> </w:t>
            </w:r>
            <w:r w:rsidRPr="2DAD6B99">
              <w:rPr>
                <w:rFonts w:eastAsia="Arial"/>
              </w:rPr>
              <w:t>the</w:t>
            </w:r>
            <w:r>
              <w:rPr>
                <w:rFonts w:eastAsia="Arial"/>
              </w:rPr>
              <w:t xml:space="preserve"> </w:t>
            </w:r>
            <w:r w:rsidRPr="2DAD6B99">
              <w:rPr>
                <w:rFonts w:eastAsia="Arial"/>
              </w:rPr>
              <w:t>needs</w:t>
            </w:r>
            <w:r>
              <w:rPr>
                <w:rFonts w:eastAsia="Arial"/>
              </w:rPr>
              <w:t xml:space="preserve"> </w:t>
            </w:r>
            <w:r w:rsidRPr="2DAD6B99">
              <w:rPr>
                <w:rFonts w:eastAsia="Arial"/>
              </w:rPr>
              <w:t>of</w:t>
            </w:r>
            <w:r>
              <w:rPr>
                <w:rFonts w:eastAsia="Arial"/>
              </w:rPr>
              <w:t xml:space="preserve"> </w:t>
            </w:r>
            <w:r w:rsidRPr="2DAD6B99">
              <w:rPr>
                <w:rFonts w:eastAsia="Arial"/>
              </w:rPr>
              <w:t>the</w:t>
            </w:r>
            <w:r>
              <w:rPr>
                <w:rFonts w:eastAsia="Arial"/>
              </w:rPr>
              <w:t xml:space="preserve"> </w:t>
            </w:r>
            <w:r w:rsidRPr="2DAD6B99">
              <w:rPr>
                <w:rFonts w:eastAsia="Arial"/>
              </w:rPr>
              <w:t>workforce.</w:t>
            </w:r>
            <w:r>
              <w:rPr>
                <w:rFonts w:eastAsia="Arial"/>
              </w:rPr>
              <w:t xml:space="preserve"> </w:t>
            </w:r>
            <w:r w:rsidRPr="2DAD6B99">
              <w:rPr>
                <w:rFonts w:eastAsia="Arial"/>
              </w:rPr>
              <w:t>This</w:t>
            </w:r>
            <w:r>
              <w:rPr>
                <w:rFonts w:eastAsia="Arial"/>
              </w:rPr>
              <w:t xml:space="preserve"> </w:t>
            </w:r>
            <w:r w:rsidRPr="2DAD6B99">
              <w:rPr>
                <w:rFonts w:eastAsia="Arial"/>
              </w:rPr>
              <w:t>training</w:t>
            </w:r>
            <w:r>
              <w:rPr>
                <w:rFonts w:eastAsia="Arial"/>
              </w:rPr>
              <w:t xml:space="preserve"> </w:t>
            </w:r>
            <w:r w:rsidRPr="2DAD6B99">
              <w:rPr>
                <w:rFonts w:eastAsia="Arial"/>
              </w:rPr>
              <w:t>is</w:t>
            </w:r>
            <w:r>
              <w:rPr>
                <w:rFonts w:eastAsia="Arial"/>
              </w:rPr>
              <w:t xml:space="preserve"> </w:t>
            </w:r>
            <w:r w:rsidRPr="2DAD6B99">
              <w:rPr>
                <w:rFonts w:eastAsia="Arial"/>
              </w:rPr>
              <w:t>a</w:t>
            </w:r>
            <w:r>
              <w:rPr>
                <w:rFonts w:eastAsia="Arial"/>
              </w:rPr>
              <w:t xml:space="preserve"> </w:t>
            </w:r>
            <w:r w:rsidRPr="2DAD6B99">
              <w:rPr>
                <w:rFonts w:eastAsia="Arial"/>
              </w:rPr>
              <w:t>core</w:t>
            </w:r>
            <w:r>
              <w:rPr>
                <w:rFonts w:eastAsia="Arial"/>
              </w:rPr>
              <w:t xml:space="preserve"> </w:t>
            </w:r>
            <w:r w:rsidRPr="2DAD6B99">
              <w:rPr>
                <w:rFonts w:eastAsia="Arial"/>
              </w:rPr>
              <w:t>training</w:t>
            </w:r>
            <w:r>
              <w:rPr>
                <w:rFonts w:eastAsia="Arial"/>
              </w:rPr>
              <w:t xml:space="preserve"> </w:t>
            </w:r>
            <w:r w:rsidRPr="2DAD6B99">
              <w:rPr>
                <w:rFonts w:eastAsia="Arial"/>
              </w:rPr>
              <w:t>program</w:t>
            </w:r>
            <w:r>
              <w:rPr>
                <w:rFonts w:eastAsia="Arial"/>
              </w:rPr>
              <w:t xml:space="preserve"> </w:t>
            </w:r>
            <w:r w:rsidRPr="2DAD6B99">
              <w:rPr>
                <w:rFonts w:eastAsia="Arial"/>
              </w:rPr>
              <w:t>for</w:t>
            </w:r>
            <w:r>
              <w:rPr>
                <w:rFonts w:eastAsia="Arial"/>
              </w:rPr>
              <w:t xml:space="preserve"> </w:t>
            </w:r>
            <w:r w:rsidRPr="2DAD6B99">
              <w:rPr>
                <w:rFonts w:eastAsia="Arial"/>
              </w:rPr>
              <w:t>all</w:t>
            </w:r>
            <w:r>
              <w:rPr>
                <w:rFonts w:eastAsia="Arial"/>
              </w:rPr>
              <w:t xml:space="preserve"> </w:t>
            </w:r>
            <w:r w:rsidRPr="2DAD6B99">
              <w:rPr>
                <w:rFonts w:eastAsia="Arial"/>
              </w:rPr>
              <w:t>departmental</w:t>
            </w:r>
            <w:r>
              <w:rPr>
                <w:rFonts w:eastAsia="Arial"/>
              </w:rPr>
              <w:t xml:space="preserve"> </w:t>
            </w:r>
            <w:r w:rsidRPr="2DAD6B99">
              <w:rPr>
                <w:rFonts w:eastAsia="Arial"/>
              </w:rPr>
              <w:t>employees.</w:t>
            </w:r>
          </w:p>
          <w:p w14:paraId="04F507B2" w14:textId="77777777" w:rsidR="001A70B8" w:rsidRPr="002029AF" w:rsidRDefault="001A70B8" w:rsidP="00101E5D">
            <w:pPr>
              <w:pStyle w:val="ARtabletext"/>
              <w:shd w:val="clear" w:color="auto" w:fill="FFFFFF" w:themeFill="background1"/>
              <w:spacing w:before="60" w:after="40"/>
              <w:rPr>
                <w:rFonts w:eastAsia="Arial"/>
              </w:rPr>
            </w:pPr>
            <w:r w:rsidRPr="4FCE31F0">
              <w:rPr>
                <w:rFonts w:eastAsia="Arial"/>
              </w:rPr>
              <w:t>All</w:t>
            </w:r>
            <w:r>
              <w:rPr>
                <w:rFonts w:eastAsia="Arial"/>
              </w:rPr>
              <w:t xml:space="preserve"> newly elected </w:t>
            </w:r>
            <w:r w:rsidRPr="4FCE31F0">
              <w:rPr>
                <w:rFonts w:eastAsia="Arial"/>
              </w:rPr>
              <w:t>health</w:t>
            </w:r>
            <w:r>
              <w:rPr>
                <w:rFonts w:eastAsia="Arial"/>
              </w:rPr>
              <w:t xml:space="preserve"> </w:t>
            </w:r>
            <w:r w:rsidRPr="4FCE31F0">
              <w:rPr>
                <w:rFonts w:eastAsia="Arial"/>
              </w:rPr>
              <w:t>and</w:t>
            </w:r>
            <w:r>
              <w:rPr>
                <w:rFonts w:eastAsia="Arial"/>
              </w:rPr>
              <w:t xml:space="preserve"> </w:t>
            </w:r>
            <w:r w:rsidRPr="4FCE31F0">
              <w:rPr>
                <w:rFonts w:eastAsia="Arial"/>
              </w:rPr>
              <w:t>safety</w:t>
            </w:r>
            <w:r>
              <w:rPr>
                <w:rFonts w:eastAsia="Arial"/>
              </w:rPr>
              <w:t xml:space="preserve"> </w:t>
            </w:r>
            <w:r w:rsidRPr="4FCE31F0">
              <w:rPr>
                <w:rFonts w:eastAsia="Arial"/>
              </w:rPr>
              <w:t>representatives</w:t>
            </w:r>
            <w:r>
              <w:rPr>
                <w:rFonts w:eastAsia="Arial"/>
              </w:rPr>
              <w:t xml:space="preserve"> </w:t>
            </w:r>
            <w:r w:rsidRPr="4FCE31F0">
              <w:rPr>
                <w:rFonts w:eastAsia="Arial"/>
              </w:rPr>
              <w:t>were</w:t>
            </w:r>
            <w:r>
              <w:rPr>
                <w:rFonts w:eastAsia="Arial"/>
              </w:rPr>
              <w:t xml:space="preserve"> </w:t>
            </w:r>
            <w:r w:rsidRPr="4FCE31F0">
              <w:rPr>
                <w:rFonts w:eastAsia="Arial"/>
              </w:rPr>
              <w:t>encouraged</w:t>
            </w:r>
            <w:r>
              <w:rPr>
                <w:rFonts w:eastAsia="Arial"/>
              </w:rPr>
              <w:t xml:space="preserve"> </w:t>
            </w:r>
            <w:r w:rsidRPr="4FCE31F0">
              <w:rPr>
                <w:rFonts w:eastAsia="Arial"/>
              </w:rPr>
              <w:t>and</w:t>
            </w:r>
            <w:r>
              <w:rPr>
                <w:rFonts w:eastAsia="Arial"/>
              </w:rPr>
              <w:t xml:space="preserve"> </w:t>
            </w:r>
            <w:r w:rsidRPr="4FCE31F0">
              <w:rPr>
                <w:rFonts w:eastAsia="Arial"/>
              </w:rPr>
              <w:t>supported</w:t>
            </w:r>
            <w:r>
              <w:rPr>
                <w:rFonts w:eastAsia="Arial"/>
              </w:rPr>
              <w:t xml:space="preserve"> </w:t>
            </w:r>
            <w:r w:rsidRPr="4FCE31F0">
              <w:rPr>
                <w:rFonts w:eastAsia="Arial"/>
              </w:rPr>
              <w:t>by</w:t>
            </w:r>
            <w:r>
              <w:rPr>
                <w:rFonts w:eastAsia="Arial"/>
              </w:rPr>
              <w:t xml:space="preserve"> </w:t>
            </w:r>
            <w:r w:rsidRPr="4FCE31F0">
              <w:rPr>
                <w:rFonts w:eastAsia="Arial"/>
              </w:rPr>
              <w:t>the</w:t>
            </w:r>
            <w:r>
              <w:rPr>
                <w:rFonts w:eastAsia="Arial"/>
              </w:rPr>
              <w:t xml:space="preserve"> </w:t>
            </w:r>
            <w:r w:rsidRPr="4FCE31F0">
              <w:rPr>
                <w:rFonts w:eastAsia="Arial"/>
              </w:rPr>
              <w:t>department</w:t>
            </w:r>
            <w:r>
              <w:rPr>
                <w:rFonts w:eastAsia="Arial"/>
              </w:rPr>
              <w:t xml:space="preserve"> </w:t>
            </w:r>
            <w:r w:rsidRPr="4FCE31F0">
              <w:rPr>
                <w:rFonts w:eastAsia="Arial"/>
              </w:rPr>
              <w:t>to</w:t>
            </w:r>
            <w:r>
              <w:rPr>
                <w:rFonts w:eastAsia="Arial"/>
              </w:rPr>
              <w:t xml:space="preserve"> </w:t>
            </w:r>
            <w:r w:rsidRPr="4FCE31F0">
              <w:rPr>
                <w:rFonts w:eastAsia="Arial"/>
              </w:rPr>
              <w:t>undertake</w:t>
            </w:r>
            <w:r>
              <w:rPr>
                <w:rFonts w:eastAsia="Arial"/>
              </w:rPr>
              <w:t xml:space="preserve"> </w:t>
            </w:r>
            <w:r w:rsidRPr="4FCE31F0">
              <w:rPr>
                <w:rFonts w:eastAsia="Arial"/>
              </w:rPr>
              <w:t>the</w:t>
            </w:r>
            <w:r>
              <w:rPr>
                <w:rFonts w:eastAsia="Arial"/>
              </w:rPr>
              <w:t xml:space="preserve"> </w:t>
            </w:r>
            <w:r w:rsidRPr="4FCE31F0">
              <w:rPr>
                <w:rFonts w:eastAsia="Arial"/>
              </w:rPr>
              <w:t>five-day</w:t>
            </w:r>
            <w:r>
              <w:rPr>
                <w:rFonts w:eastAsia="Arial"/>
              </w:rPr>
              <w:t xml:space="preserve"> </w:t>
            </w:r>
            <w:r w:rsidRPr="4FCE31F0">
              <w:rPr>
                <w:rFonts w:eastAsia="Arial"/>
              </w:rPr>
              <w:t>health</w:t>
            </w:r>
            <w:r>
              <w:rPr>
                <w:rFonts w:eastAsia="Arial"/>
              </w:rPr>
              <w:t xml:space="preserve"> </w:t>
            </w:r>
            <w:r w:rsidRPr="4FCE31F0">
              <w:rPr>
                <w:rFonts w:eastAsia="Arial"/>
              </w:rPr>
              <w:t>and</w:t>
            </w:r>
            <w:r>
              <w:rPr>
                <w:rFonts w:eastAsia="Arial"/>
              </w:rPr>
              <w:t xml:space="preserve"> </w:t>
            </w:r>
            <w:r w:rsidRPr="4FCE31F0">
              <w:rPr>
                <w:rFonts w:eastAsia="Arial"/>
              </w:rPr>
              <w:t>safety</w:t>
            </w:r>
            <w:r>
              <w:rPr>
                <w:rFonts w:eastAsia="Arial"/>
              </w:rPr>
              <w:t xml:space="preserve"> </w:t>
            </w:r>
            <w:r w:rsidRPr="4FCE31F0">
              <w:rPr>
                <w:rFonts w:eastAsia="Arial"/>
              </w:rPr>
              <w:t>representative</w:t>
            </w:r>
            <w:r>
              <w:rPr>
                <w:rFonts w:eastAsia="Arial"/>
              </w:rPr>
              <w:t xml:space="preserve"> </w:t>
            </w:r>
            <w:r w:rsidRPr="4FCE31F0">
              <w:rPr>
                <w:rFonts w:eastAsia="Arial"/>
              </w:rPr>
              <w:t>training</w:t>
            </w:r>
            <w:r>
              <w:rPr>
                <w:rFonts w:eastAsia="Arial"/>
              </w:rPr>
              <w:t xml:space="preserve"> </w:t>
            </w:r>
            <w:r w:rsidRPr="4FCE31F0">
              <w:rPr>
                <w:rFonts w:eastAsia="Arial"/>
              </w:rPr>
              <w:t>program</w:t>
            </w:r>
            <w:r>
              <w:rPr>
                <w:rFonts w:eastAsia="Arial"/>
              </w:rPr>
              <w:t xml:space="preserve"> </w:t>
            </w:r>
            <w:r w:rsidRPr="4FCE31F0">
              <w:rPr>
                <w:rFonts w:eastAsia="Arial"/>
              </w:rPr>
              <w:t>and</w:t>
            </w:r>
            <w:r>
              <w:rPr>
                <w:rFonts w:eastAsia="Arial"/>
              </w:rPr>
              <w:t xml:space="preserve"> </w:t>
            </w:r>
            <w:r w:rsidRPr="4FCE31F0">
              <w:rPr>
                <w:rFonts w:eastAsia="Arial"/>
              </w:rPr>
              <w:t>existing</w:t>
            </w:r>
            <w:r>
              <w:rPr>
                <w:rFonts w:eastAsia="Arial"/>
              </w:rPr>
              <w:t xml:space="preserve"> </w:t>
            </w:r>
            <w:r w:rsidRPr="4FCE31F0">
              <w:rPr>
                <w:rFonts w:eastAsia="Arial"/>
              </w:rPr>
              <w:t>health</w:t>
            </w:r>
            <w:r>
              <w:rPr>
                <w:rFonts w:eastAsia="Arial"/>
              </w:rPr>
              <w:t xml:space="preserve"> </w:t>
            </w:r>
            <w:r w:rsidRPr="4FCE31F0">
              <w:rPr>
                <w:rFonts w:eastAsia="Arial"/>
              </w:rPr>
              <w:t>and</w:t>
            </w:r>
            <w:r>
              <w:rPr>
                <w:rFonts w:eastAsia="Arial"/>
              </w:rPr>
              <w:t xml:space="preserve"> </w:t>
            </w:r>
            <w:r w:rsidRPr="4FCE31F0">
              <w:rPr>
                <w:rFonts w:eastAsia="Arial"/>
              </w:rPr>
              <w:t>safety</w:t>
            </w:r>
            <w:r>
              <w:rPr>
                <w:rFonts w:eastAsia="Arial"/>
              </w:rPr>
              <w:t xml:space="preserve"> </w:t>
            </w:r>
            <w:r w:rsidRPr="4FCE31F0">
              <w:rPr>
                <w:rFonts w:eastAsia="Arial"/>
              </w:rPr>
              <w:t>representatives</w:t>
            </w:r>
            <w:r>
              <w:rPr>
                <w:rFonts w:eastAsia="Arial"/>
              </w:rPr>
              <w:t xml:space="preserve"> were encouraged </w:t>
            </w:r>
            <w:r w:rsidRPr="4FCE31F0">
              <w:rPr>
                <w:rFonts w:eastAsia="Arial"/>
              </w:rPr>
              <w:t>to</w:t>
            </w:r>
            <w:r>
              <w:rPr>
                <w:rFonts w:eastAsia="Arial"/>
              </w:rPr>
              <w:t xml:space="preserve"> </w:t>
            </w:r>
            <w:r w:rsidRPr="4FCE31F0">
              <w:rPr>
                <w:rFonts w:eastAsia="Arial"/>
              </w:rPr>
              <w:t>do</w:t>
            </w:r>
            <w:r>
              <w:rPr>
                <w:rFonts w:eastAsia="Arial"/>
              </w:rPr>
              <w:t xml:space="preserve"> </w:t>
            </w:r>
            <w:r w:rsidRPr="4FCE31F0">
              <w:rPr>
                <w:rFonts w:eastAsia="Arial"/>
              </w:rPr>
              <w:t>the</w:t>
            </w:r>
            <w:r>
              <w:rPr>
                <w:rFonts w:eastAsia="Arial"/>
              </w:rPr>
              <w:t xml:space="preserve"> </w:t>
            </w:r>
            <w:r w:rsidRPr="4FCE31F0">
              <w:rPr>
                <w:rFonts w:eastAsia="Arial"/>
              </w:rPr>
              <w:t>one-day</w:t>
            </w:r>
            <w:r>
              <w:rPr>
                <w:rFonts w:eastAsia="Arial"/>
              </w:rPr>
              <w:t xml:space="preserve"> </w:t>
            </w:r>
            <w:r w:rsidRPr="4FCE31F0">
              <w:rPr>
                <w:rFonts w:eastAsia="Arial"/>
              </w:rPr>
              <w:t>refresher</w:t>
            </w:r>
            <w:r>
              <w:rPr>
                <w:rFonts w:eastAsia="Arial"/>
              </w:rPr>
              <w:t xml:space="preserve"> </w:t>
            </w:r>
            <w:r w:rsidRPr="4FCE31F0">
              <w:rPr>
                <w:rFonts w:eastAsia="Arial"/>
              </w:rPr>
              <w:t>training.</w:t>
            </w:r>
          </w:p>
          <w:p w14:paraId="4734E0CD" w14:textId="0ACAF4CE" w:rsidR="001A70B8" w:rsidRPr="002029AF" w:rsidRDefault="001A70B8" w:rsidP="00101E5D">
            <w:pPr>
              <w:pStyle w:val="ARtabletext"/>
              <w:shd w:val="clear" w:color="auto" w:fill="FFFFFF" w:themeFill="background1"/>
              <w:spacing w:before="60" w:after="40"/>
              <w:rPr>
                <w:rFonts w:eastAsia="Arial"/>
              </w:rPr>
            </w:pPr>
            <w:r w:rsidRPr="4FCE31F0">
              <w:rPr>
                <w:rFonts w:ascii="Calibri" w:eastAsia="Calibri" w:hAnsi="Calibri" w:cs="Calibri"/>
              </w:rPr>
              <w:t>T</w:t>
            </w:r>
            <w:r w:rsidRPr="4FCE31F0">
              <w:rPr>
                <w:rFonts w:eastAsia="Arial"/>
              </w:rPr>
              <w:t>he</w:t>
            </w:r>
            <w:r>
              <w:rPr>
                <w:rFonts w:eastAsia="Arial"/>
              </w:rPr>
              <w:t xml:space="preserve"> </w:t>
            </w:r>
            <w:r w:rsidRPr="4FCE31F0">
              <w:rPr>
                <w:rFonts w:eastAsia="Arial"/>
              </w:rPr>
              <w:t>department</w:t>
            </w:r>
            <w:r>
              <w:rPr>
                <w:rFonts w:eastAsia="Arial"/>
              </w:rPr>
              <w:t xml:space="preserve"> developed a program of health and safety activities for the annual health and safety month and </w:t>
            </w:r>
            <w:r w:rsidRPr="4FCE31F0">
              <w:rPr>
                <w:rFonts w:eastAsia="Arial"/>
              </w:rPr>
              <w:t>conduct</w:t>
            </w:r>
            <w:r>
              <w:rPr>
                <w:rFonts w:eastAsia="Arial"/>
              </w:rPr>
              <w:t xml:space="preserve">ed </w:t>
            </w:r>
            <w:r w:rsidRPr="4FCE31F0">
              <w:rPr>
                <w:rFonts w:eastAsia="Arial"/>
              </w:rPr>
              <w:t>an</w:t>
            </w:r>
            <w:r>
              <w:rPr>
                <w:rFonts w:eastAsia="Arial"/>
              </w:rPr>
              <w:t xml:space="preserve"> </w:t>
            </w:r>
            <w:r w:rsidRPr="4FCE31F0">
              <w:rPr>
                <w:rFonts w:eastAsia="Arial"/>
              </w:rPr>
              <w:t>annual</w:t>
            </w:r>
            <w:r>
              <w:rPr>
                <w:rFonts w:eastAsia="Arial"/>
              </w:rPr>
              <w:t xml:space="preserve"> </w:t>
            </w:r>
            <w:r w:rsidRPr="4FCE31F0">
              <w:rPr>
                <w:rFonts w:eastAsia="Arial"/>
              </w:rPr>
              <w:t>health</w:t>
            </w:r>
            <w:r>
              <w:rPr>
                <w:rFonts w:eastAsia="Arial"/>
              </w:rPr>
              <w:t xml:space="preserve"> </w:t>
            </w:r>
            <w:r w:rsidRPr="4FCE31F0">
              <w:rPr>
                <w:rFonts w:eastAsia="Arial"/>
              </w:rPr>
              <w:t>and</w:t>
            </w:r>
            <w:r>
              <w:rPr>
                <w:rFonts w:eastAsia="Arial"/>
              </w:rPr>
              <w:t xml:space="preserve"> </w:t>
            </w:r>
            <w:r w:rsidRPr="4FCE31F0">
              <w:rPr>
                <w:rFonts w:eastAsia="Arial"/>
              </w:rPr>
              <w:t>safety</w:t>
            </w:r>
            <w:r>
              <w:rPr>
                <w:rFonts w:eastAsia="Arial"/>
              </w:rPr>
              <w:t xml:space="preserve"> </w:t>
            </w:r>
            <w:r w:rsidRPr="4FCE31F0">
              <w:rPr>
                <w:rFonts w:eastAsia="Arial"/>
              </w:rPr>
              <w:t>representative</w:t>
            </w:r>
            <w:r>
              <w:rPr>
                <w:rFonts w:eastAsia="Arial"/>
              </w:rPr>
              <w:t xml:space="preserve"> </w:t>
            </w:r>
            <w:r w:rsidRPr="4FCE31F0">
              <w:rPr>
                <w:rFonts w:eastAsia="Arial"/>
              </w:rPr>
              <w:t>forum</w:t>
            </w:r>
            <w:r>
              <w:rPr>
                <w:rFonts w:eastAsia="Arial"/>
              </w:rPr>
              <w:t xml:space="preserve"> </w:t>
            </w:r>
            <w:r w:rsidRPr="4FCE31F0">
              <w:rPr>
                <w:rFonts w:eastAsia="Arial"/>
              </w:rPr>
              <w:t>as</w:t>
            </w:r>
            <w:r>
              <w:rPr>
                <w:rFonts w:eastAsia="Arial"/>
              </w:rPr>
              <w:t xml:space="preserve"> </w:t>
            </w:r>
            <w:r w:rsidRPr="4FCE31F0">
              <w:rPr>
                <w:rFonts w:eastAsia="Arial"/>
              </w:rPr>
              <w:t>a</w:t>
            </w:r>
            <w:r>
              <w:rPr>
                <w:rFonts w:eastAsia="Arial"/>
              </w:rPr>
              <w:t xml:space="preserve"> </w:t>
            </w:r>
            <w:r w:rsidRPr="4FCE31F0">
              <w:rPr>
                <w:rFonts w:eastAsia="Arial"/>
              </w:rPr>
              <w:t>key</w:t>
            </w:r>
            <w:r>
              <w:rPr>
                <w:rFonts w:eastAsia="Arial"/>
              </w:rPr>
              <w:t xml:space="preserve"> </w:t>
            </w:r>
            <w:r w:rsidRPr="4FCE31F0">
              <w:rPr>
                <w:rFonts w:eastAsia="Arial"/>
              </w:rPr>
              <w:t>activity</w:t>
            </w:r>
            <w:r>
              <w:rPr>
                <w:rFonts w:eastAsia="Arial"/>
              </w:rPr>
              <w:t xml:space="preserve"> </w:t>
            </w:r>
            <w:r w:rsidRPr="4FCE31F0">
              <w:rPr>
                <w:rFonts w:eastAsia="Arial"/>
              </w:rPr>
              <w:t>to</w:t>
            </w:r>
            <w:r>
              <w:rPr>
                <w:rFonts w:eastAsia="Arial"/>
              </w:rPr>
              <w:t xml:space="preserve"> </w:t>
            </w:r>
            <w:r w:rsidRPr="4FCE31F0">
              <w:rPr>
                <w:rFonts w:eastAsia="Arial"/>
              </w:rPr>
              <w:t>support</w:t>
            </w:r>
            <w:r>
              <w:rPr>
                <w:rFonts w:eastAsia="Arial"/>
              </w:rPr>
              <w:t xml:space="preserve"> </w:t>
            </w:r>
            <w:r w:rsidRPr="4FCE31F0">
              <w:rPr>
                <w:rFonts w:eastAsia="Arial"/>
              </w:rPr>
              <w:t>and</w:t>
            </w:r>
            <w:r>
              <w:rPr>
                <w:rFonts w:eastAsia="Arial"/>
              </w:rPr>
              <w:t xml:space="preserve"> </w:t>
            </w:r>
            <w:r w:rsidRPr="4FCE31F0">
              <w:rPr>
                <w:rFonts w:eastAsia="Arial"/>
              </w:rPr>
              <w:t>recognise</w:t>
            </w:r>
            <w:r>
              <w:rPr>
                <w:rFonts w:eastAsia="Arial"/>
              </w:rPr>
              <w:t xml:space="preserve"> </w:t>
            </w:r>
            <w:r w:rsidRPr="4FCE31F0">
              <w:rPr>
                <w:rFonts w:eastAsia="Arial"/>
              </w:rPr>
              <w:t>elected</w:t>
            </w:r>
            <w:r>
              <w:rPr>
                <w:rFonts w:eastAsia="Arial"/>
              </w:rPr>
              <w:t xml:space="preserve"> </w:t>
            </w:r>
            <w:r w:rsidRPr="4FCE31F0">
              <w:rPr>
                <w:rFonts w:eastAsia="Arial"/>
              </w:rPr>
              <w:t>health</w:t>
            </w:r>
            <w:r>
              <w:rPr>
                <w:rFonts w:eastAsia="Arial"/>
              </w:rPr>
              <w:t xml:space="preserve"> </w:t>
            </w:r>
            <w:r w:rsidRPr="4FCE31F0">
              <w:rPr>
                <w:rFonts w:eastAsia="Arial"/>
              </w:rPr>
              <w:t>and</w:t>
            </w:r>
            <w:r>
              <w:rPr>
                <w:rFonts w:eastAsia="Arial"/>
              </w:rPr>
              <w:t xml:space="preserve"> </w:t>
            </w:r>
            <w:r w:rsidRPr="4FCE31F0">
              <w:rPr>
                <w:rFonts w:eastAsia="Arial"/>
              </w:rPr>
              <w:t>safety</w:t>
            </w:r>
            <w:r>
              <w:rPr>
                <w:rFonts w:eastAsia="Arial"/>
              </w:rPr>
              <w:t xml:space="preserve"> </w:t>
            </w:r>
            <w:r w:rsidRPr="4FCE31F0">
              <w:rPr>
                <w:rFonts w:eastAsia="Arial"/>
              </w:rPr>
              <w:t>representatives.</w:t>
            </w:r>
            <w:r>
              <w:rPr>
                <w:rFonts w:eastAsia="Arial"/>
              </w:rPr>
              <w:t xml:space="preserve"> </w:t>
            </w:r>
            <w:r w:rsidRPr="4FCE31F0">
              <w:rPr>
                <w:rFonts w:eastAsia="Arial"/>
              </w:rPr>
              <w:t>There</w:t>
            </w:r>
            <w:r>
              <w:rPr>
                <w:rFonts w:eastAsia="Arial"/>
              </w:rPr>
              <w:t xml:space="preserve"> </w:t>
            </w:r>
            <w:r w:rsidRPr="4FCE31F0">
              <w:rPr>
                <w:rFonts w:eastAsia="Arial"/>
              </w:rPr>
              <w:t>were</w:t>
            </w:r>
            <w:r>
              <w:rPr>
                <w:rFonts w:eastAsia="Arial"/>
              </w:rPr>
              <w:t xml:space="preserve"> </w:t>
            </w:r>
            <w:r w:rsidRPr="4FCE31F0">
              <w:rPr>
                <w:rFonts w:eastAsia="Arial"/>
              </w:rPr>
              <w:t>approximately</w:t>
            </w:r>
            <w:r>
              <w:rPr>
                <w:rFonts w:eastAsia="Arial"/>
              </w:rPr>
              <w:t xml:space="preserve"> 68 </w:t>
            </w:r>
            <w:r w:rsidRPr="4FCE31F0">
              <w:rPr>
                <w:rFonts w:eastAsia="Arial"/>
              </w:rPr>
              <w:t>registered</w:t>
            </w:r>
            <w:r>
              <w:rPr>
                <w:rFonts w:eastAsia="Arial"/>
              </w:rPr>
              <w:t xml:space="preserve"> </w:t>
            </w:r>
            <w:r w:rsidRPr="4FCE31F0">
              <w:rPr>
                <w:rFonts w:eastAsia="Arial"/>
              </w:rPr>
              <w:t>participants</w:t>
            </w:r>
            <w:r>
              <w:rPr>
                <w:rFonts w:eastAsia="Arial"/>
              </w:rPr>
              <w:t xml:space="preserve"> </w:t>
            </w:r>
            <w:r w:rsidRPr="4FCE31F0">
              <w:rPr>
                <w:rFonts w:eastAsia="Arial"/>
              </w:rPr>
              <w:t>at</w:t>
            </w:r>
            <w:r>
              <w:rPr>
                <w:rFonts w:eastAsia="Arial"/>
              </w:rPr>
              <w:t xml:space="preserve"> </w:t>
            </w:r>
            <w:r w:rsidRPr="4FCE31F0">
              <w:rPr>
                <w:rFonts w:eastAsia="Arial"/>
              </w:rPr>
              <w:t>the</w:t>
            </w:r>
            <w:r>
              <w:rPr>
                <w:rFonts w:eastAsia="Arial"/>
              </w:rPr>
              <w:t xml:space="preserve"> </w:t>
            </w:r>
            <w:r w:rsidRPr="4FCE31F0">
              <w:rPr>
                <w:rFonts w:eastAsia="Arial"/>
              </w:rPr>
              <w:t>202</w:t>
            </w:r>
            <w:r>
              <w:rPr>
                <w:rFonts w:eastAsia="Arial"/>
              </w:rPr>
              <w:t xml:space="preserve">1 </w:t>
            </w:r>
            <w:r w:rsidRPr="4FCE31F0">
              <w:rPr>
                <w:rFonts w:eastAsia="Arial"/>
              </w:rPr>
              <w:t>forum.</w:t>
            </w:r>
          </w:p>
        </w:tc>
      </w:tr>
    </w:tbl>
    <w:p w14:paraId="179F3A84" w14:textId="77777777" w:rsidR="002465B4" w:rsidRPr="002465B4" w:rsidRDefault="002465B4" w:rsidP="002465B4">
      <w:pPr>
        <w:pStyle w:val="ARbody"/>
      </w:pPr>
      <w:bookmarkStart w:id="300" w:name="_Toc54690772"/>
      <w:bookmarkStart w:id="301" w:name="_Toc85121259"/>
      <w:bookmarkStart w:id="302" w:name="_Toc85121614"/>
      <w:bookmarkStart w:id="303" w:name="_Toc102734491"/>
      <w:bookmarkStart w:id="304" w:name="_Toc41961291"/>
      <w:bookmarkStart w:id="305" w:name="_Ref52265984"/>
      <w:bookmarkStart w:id="306" w:name="_Ref52266120"/>
      <w:bookmarkStart w:id="307" w:name="_Ref52285412"/>
      <w:bookmarkStart w:id="308" w:name="_Toc49870282"/>
      <w:bookmarkStart w:id="309" w:name="_Toc45549433"/>
      <w:r w:rsidRPr="002465B4">
        <w:br w:type="page"/>
      </w:r>
    </w:p>
    <w:p w14:paraId="01D65E67" w14:textId="30430EE5" w:rsidR="00EF6835" w:rsidRDefault="00EF6835" w:rsidP="00EF6835">
      <w:pPr>
        <w:pStyle w:val="Heading1"/>
      </w:pPr>
      <w:bookmarkStart w:id="310" w:name="_Toc113702927"/>
      <w:r>
        <w:t>Section 4: Other disclosures</w:t>
      </w:r>
      <w:bookmarkEnd w:id="300"/>
      <w:bookmarkEnd w:id="301"/>
      <w:bookmarkEnd w:id="302"/>
      <w:bookmarkEnd w:id="303"/>
      <w:bookmarkEnd w:id="310"/>
    </w:p>
    <w:p w14:paraId="17F044B3" w14:textId="77777777" w:rsidR="00EF6835" w:rsidRDefault="00EF6835" w:rsidP="00EF6835">
      <w:pPr>
        <w:pStyle w:val="Heading2"/>
        <w:spacing w:before="0" w:after="240"/>
        <w:rPr>
          <w:rFonts w:cs="Arial"/>
        </w:rPr>
        <w:sectPr w:rsidR="00EF6835" w:rsidSect="00EF6835">
          <w:footnotePr>
            <w:numFmt w:val="lowerLetter"/>
            <w:numRestart w:val="eachPage"/>
          </w:footnotePr>
          <w:endnotePr>
            <w:numFmt w:val="decimal"/>
          </w:endnotePr>
          <w:pgSz w:w="11900" w:h="16840" w:code="9"/>
          <w:pgMar w:top="1985" w:right="1134" w:bottom="851" w:left="1134" w:header="510" w:footer="340" w:gutter="0"/>
          <w:cols w:space="454"/>
          <w15:footnoteColumns w:val="1"/>
        </w:sectPr>
      </w:pPr>
    </w:p>
    <w:p w14:paraId="7788521B" w14:textId="77777777" w:rsidR="00EF6835" w:rsidRPr="002029AF" w:rsidRDefault="00EF6835" w:rsidP="00EF6835">
      <w:pPr>
        <w:pStyle w:val="Heading2"/>
        <w:spacing w:before="0"/>
        <w:rPr>
          <w:rFonts w:cs="Arial"/>
        </w:rPr>
      </w:pPr>
      <w:bookmarkStart w:id="311" w:name="_Ref84240846"/>
      <w:bookmarkStart w:id="312" w:name="_Toc85121260"/>
      <w:bookmarkStart w:id="313" w:name="_Toc85121615"/>
      <w:bookmarkStart w:id="314" w:name="_Toc102734492"/>
      <w:bookmarkStart w:id="315" w:name="_Toc113702928"/>
      <w:r w:rsidRPr="002029AF">
        <w:rPr>
          <w:rFonts w:cs="Arial"/>
        </w:rPr>
        <w:t>Local Jobs First</w:t>
      </w:r>
      <w:bookmarkEnd w:id="311"/>
      <w:bookmarkEnd w:id="312"/>
      <w:bookmarkEnd w:id="313"/>
      <w:bookmarkEnd w:id="314"/>
      <w:bookmarkEnd w:id="315"/>
    </w:p>
    <w:bookmarkEnd w:id="304"/>
    <w:bookmarkEnd w:id="305"/>
    <w:bookmarkEnd w:id="306"/>
    <w:bookmarkEnd w:id="307"/>
    <w:bookmarkEnd w:id="308"/>
    <w:bookmarkEnd w:id="309"/>
    <w:p w14:paraId="43C2C6CD" w14:textId="65BF3928" w:rsidR="00EF6835" w:rsidRDefault="00EF6835" w:rsidP="00EF6835">
      <w:pPr>
        <w:pStyle w:val="ARbody"/>
      </w:pPr>
      <w:r>
        <w:t xml:space="preserve">The </w:t>
      </w:r>
      <w:r w:rsidRPr="00600713">
        <w:rPr>
          <w:i/>
          <w:iCs/>
        </w:rPr>
        <w:t>Local Jobs First Act 2003</w:t>
      </w:r>
      <w:r>
        <w:t xml:space="preserve"> (formerly the </w:t>
      </w:r>
      <w:r w:rsidRPr="00E6513C">
        <w:rPr>
          <w:i/>
          <w:iCs/>
        </w:rPr>
        <w:t>Victorian Industry Participation Policy Act 2003</w:t>
      </w:r>
      <w:r>
        <w:t xml:space="preserve">) brings together the Victorian Industry Participation </w:t>
      </w:r>
      <w:r w:rsidR="003F4A24">
        <w:t>p</w:t>
      </w:r>
      <w:r>
        <w:t>olicy (VIPP) and Major Project Skills Guarantee (MPSG) policy, which were previously administered separately.</w:t>
      </w:r>
    </w:p>
    <w:p w14:paraId="22517D04" w14:textId="09DC2C9B" w:rsidR="00EF6835" w:rsidRDefault="00EF6835" w:rsidP="00EF6835">
      <w:pPr>
        <w:pStyle w:val="ARbody"/>
      </w:pPr>
      <w:r>
        <w:t xml:space="preserve">Departments and public sector bodies are required to apply the Local Jobs First policy </w:t>
      </w:r>
      <w:r w:rsidR="0057556A">
        <w:t xml:space="preserve">to </w:t>
      </w:r>
      <w:r>
        <w:t xml:space="preserve">all projects valued at $3 million or more in </w:t>
      </w:r>
      <w:r w:rsidR="00A706DA">
        <w:t>m</w:t>
      </w:r>
      <w:r>
        <w:t>etropolitan Melbourne or for statewide projects, or $1 million or more for projects in regional Victoria.</w:t>
      </w:r>
    </w:p>
    <w:p w14:paraId="2B35D46D" w14:textId="77777777" w:rsidR="00EF6835" w:rsidRDefault="00EF6835" w:rsidP="00EF6835">
      <w:pPr>
        <w:pStyle w:val="ARbody"/>
      </w:pPr>
      <w:r>
        <w:t>MPSG applies to all construction projects valued at $20 million or more, and requires the use of Victorian apprentices, trainees or cadets for at least ten per cent of the total estimated labour hours.</w:t>
      </w:r>
    </w:p>
    <w:p w14:paraId="4B23287F" w14:textId="698A23A8" w:rsidR="00EF6835" w:rsidRDefault="00EF6835" w:rsidP="00EF6835">
      <w:pPr>
        <w:pStyle w:val="ARbody"/>
      </w:pPr>
      <w:r>
        <w:t xml:space="preserve">Every Victorian Government department and agency is required to report on compliance with Local Jobs First in their </w:t>
      </w:r>
      <w:r w:rsidR="00A706DA">
        <w:t>a</w:t>
      </w:r>
      <w:r>
        <w:t xml:space="preserve">nnual </w:t>
      </w:r>
      <w:r w:rsidR="00A706DA">
        <w:t>r</w:t>
      </w:r>
      <w:r>
        <w:t>eport.</w:t>
      </w:r>
    </w:p>
    <w:p w14:paraId="1ED5743E" w14:textId="63C416AB" w:rsidR="00EF6835" w:rsidRDefault="00EF6835" w:rsidP="00EF6835">
      <w:pPr>
        <w:pStyle w:val="ARbody"/>
      </w:pPr>
      <w:r>
        <w:t xml:space="preserve">Under </w:t>
      </w:r>
      <w:r w:rsidRPr="00164FA0">
        <w:rPr>
          <w:i/>
          <w:iCs/>
        </w:rPr>
        <w:t>the Local Jobs First Act 2003</w:t>
      </w:r>
      <w:r>
        <w:t>, projects and</w:t>
      </w:r>
      <w:r w:rsidR="002465B4">
        <w:t> </w:t>
      </w:r>
      <w:r>
        <w:t>activities valued at less than $50 million are considered standard projects, while projects or activities valued at over $50 million are considered strategic projects. These are reported on separately below.</w:t>
      </w:r>
    </w:p>
    <w:p w14:paraId="7DD93BC5" w14:textId="77777777" w:rsidR="00EF6835" w:rsidRDefault="00EF6835" w:rsidP="00EF6835">
      <w:pPr>
        <w:pStyle w:val="ARbody"/>
      </w:pPr>
      <w:r>
        <w:t>The MPSG guidelines and VIPP guidelines will continue to apply to MPSG-applicable and VIPP-applicable projects respectively where contracts were entered prior to 15 August 2018.</w:t>
      </w:r>
    </w:p>
    <w:p w14:paraId="11D6FF30" w14:textId="77777777" w:rsidR="00EF6835" w:rsidRDefault="00EF6835" w:rsidP="00EF6835">
      <w:pPr>
        <w:pStyle w:val="Heading3"/>
      </w:pPr>
      <w:bookmarkStart w:id="316" w:name="_Toc85121261"/>
      <w:r w:rsidRPr="00F94844">
        <w:t xml:space="preserve">Projects commenced – Local Jobs First </w:t>
      </w:r>
      <w:r>
        <w:t>s</w:t>
      </w:r>
      <w:r w:rsidRPr="00F94844">
        <w:t>tandard</w:t>
      </w:r>
      <w:r>
        <w:t xml:space="preserve"> projects</w:t>
      </w:r>
      <w:bookmarkEnd w:id="316"/>
    </w:p>
    <w:p w14:paraId="0008896B" w14:textId="5169ECAC" w:rsidR="00EF6835" w:rsidRDefault="00EF6835" w:rsidP="00EF6835">
      <w:pPr>
        <w:pStyle w:val="ARbody"/>
      </w:pPr>
      <w:r>
        <w:t xml:space="preserve">During 2021–22, the department commenced 16 Local Jobs First standard projects totalling $141.2 million. Of these projects, seven were located in regional Victoria, </w:t>
      </w:r>
      <w:r w:rsidRPr="00477364">
        <w:t>with an average commitment of 61.5 per cent of local content, and six in metropolitan Melbourne, with a commitment of 61.3 per cent local content.</w:t>
      </w:r>
      <w:r w:rsidRPr="000656B5">
        <w:t xml:space="preserve"> </w:t>
      </w:r>
      <w:r>
        <w:t>Five</w:t>
      </w:r>
      <w:r w:rsidRPr="000656B5">
        <w:t xml:space="preserve"> statewide projects were commenced</w:t>
      </w:r>
      <w:r>
        <w:t>, with an average commitment of 77.5 per cent local content</w:t>
      </w:r>
      <w:r w:rsidRPr="000656B5">
        <w:t>.</w:t>
      </w:r>
      <w:r>
        <w:t xml:space="preserve"> The</w:t>
      </w:r>
      <w:r w:rsidR="0030377F">
        <w:t> </w:t>
      </w:r>
      <w:r>
        <w:t>MPSG applied to four of these projects.</w:t>
      </w:r>
    </w:p>
    <w:p w14:paraId="628C6B17" w14:textId="77777777" w:rsidR="00EF6835" w:rsidRDefault="00EF6835" w:rsidP="00EF6835">
      <w:pPr>
        <w:pStyle w:val="ARbody"/>
      </w:pPr>
      <w:r>
        <w:t xml:space="preserve">The </w:t>
      </w:r>
      <w:r w:rsidRPr="004723B6">
        <w:t>outcomes expected from</w:t>
      </w:r>
      <w:r>
        <w:t xml:space="preserve"> the implementation of the Local Jobs First policy to these projects, where information was provided, are as follows:</w:t>
      </w:r>
    </w:p>
    <w:p w14:paraId="3FF54B6A" w14:textId="77777777" w:rsidR="00EF6835" w:rsidRPr="007F0FCD" w:rsidRDefault="00EF6835" w:rsidP="00DD0FB0">
      <w:pPr>
        <w:pStyle w:val="ARbullet1"/>
        <w:spacing w:after="32"/>
      </w:pPr>
      <w:r w:rsidRPr="007F0FCD">
        <w:t>an overall average of 66.8 per cent of local content commitment was made</w:t>
      </w:r>
    </w:p>
    <w:p w14:paraId="405B04DD" w14:textId="7386D47F" w:rsidR="00EF6835" w:rsidRDefault="00EF6835" w:rsidP="00DD0FB0">
      <w:pPr>
        <w:pStyle w:val="ARbullet1"/>
        <w:spacing w:after="32"/>
      </w:pPr>
      <w:r>
        <w:t>a total of 316.1 jobs (</w:t>
      </w:r>
      <w:r w:rsidRPr="00F50AD4">
        <w:t xml:space="preserve">annualised employee equivalent </w:t>
      </w:r>
      <w:r>
        <w:t>(AEE)) were committed, including:</w:t>
      </w:r>
    </w:p>
    <w:p w14:paraId="3D0BFF31" w14:textId="76F771B8" w:rsidR="003F0283" w:rsidRDefault="009432D9" w:rsidP="00DD0FB0">
      <w:pPr>
        <w:pStyle w:val="ARbullet2"/>
        <w:spacing w:after="32"/>
      </w:pPr>
      <w:r>
        <w:t xml:space="preserve">the </w:t>
      </w:r>
      <w:r w:rsidR="00EF6835">
        <w:t>creation of 28.9 new jobs</w:t>
      </w:r>
    </w:p>
    <w:p w14:paraId="022A22DF" w14:textId="1F2F00EC" w:rsidR="00EF6835" w:rsidRDefault="009432D9" w:rsidP="00DD0FB0">
      <w:pPr>
        <w:pStyle w:val="ARbullet2"/>
        <w:spacing w:after="32"/>
      </w:pPr>
      <w:r>
        <w:t xml:space="preserve">the </w:t>
      </w:r>
      <w:r w:rsidR="00EF6835">
        <w:t>retention of 205.2 existing jobs (AEE)</w:t>
      </w:r>
    </w:p>
    <w:p w14:paraId="4F264530" w14:textId="77777777" w:rsidR="003D5E1A" w:rsidRDefault="009432D9" w:rsidP="00DD0FB0">
      <w:pPr>
        <w:pStyle w:val="ARbullet2"/>
        <w:spacing w:after="32"/>
      </w:pPr>
      <w:r>
        <w:t xml:space="preserve">the </w:t>
      </w:r>
      <w:r w:rsidR="00A706DA">
        <w:t xml:space="preserve">commitment to </w:t>
      </w:r>
      <w:r w:rsidR="00EF6835">
        <w:t>7.8 new apprenticeships, cadetships and traineeships</w:t>
      </w:r>
    </w:p>
    <w:p w14:paraId="4E8E03FA" w14:textId="77777777" w:rsidR="003D5E1A" w:rsidRDefault="009432D9" w:rsidP="00DD0FB0">
      <w:pPr>
        <w:pStyle w:val="ARbullet2"/>
        <w:spacing w:after="32"/>
      </w:pPr>
      <w:r>
        <w:t xml:space="preserve">the </w:t>
      </w:r>
      <w:r w:rsidR="00A706DA">
        <w:t xml:space="preserve">retention of </w:t>
      </w:r>
      <w:r w:rsidR="00EF6835">
        <w:t>29.3 existing apprenticeships, cadetships and traineeships</w:t>
      </w:r>
    </w:p>
    <w:p w14:paraId="34F56900" w14:textId="0A392D5D" w:rsidR="003F0283" w:rsidRDefault="00EF6835" w:rsidP="00DD0FB0">
      <w:pPr>
        <w:pStyle w:val="ARbullet2"/>
        <w:spacing w:after="32"/>
      </w:pPr>
      <w:r w:rsidRPr="009432D9">
        <w:t>a</w:t>
      </w:r>
      <w:r>
        <w:t xml:space="preserve"> 31.3 per cent MPSG commitment against the applicable projects</w:t>
      </w:r>
    </w:p>
    <w:p w14:paraId="74E8AFD9" w14:textId="451DD1E7" w:rsidR="00EF6835" w:rsidRDefault="00EF6835" w:rsidP="00DD0FB0">
      <w:pPr>
        <w:pStyle w:val="ARbullet1"/>
        <w:spacing w:after="32"/>
      </w:pPr>
      <w:r>
        <w:t>1</w:t>
      </w:r>
      <w:r w:rsidR="00E655C2">
        <w:t>,</w:t>
      </w:r>
      <w:r>
        <w:t xml:space="preserve">324 </w:t>
      </w:r>
      <w:r w:rsidRPr="00AE3FC7">
        <w:t>small to medium-sized businesses were</w:t>
      </w:r>
      <w:r w:rsidR="0030377F">
        <w:t> </w:t>
      </w:r>
      <w:r w:rsidRPr="00AE3FC7">
        <w:t xml:space="preserve">engaged through the supply chain on commenced </w:t>
      </w:r>
      <w:r w:rsidRPr="00216A6D">
        <w:t>s</w:t>
      </w:r>
      <w:r w:rsidRPr="00AA552C">
        <w:t xml:space="preserve">tandard </w:t>
      </w:r>
      <w:r w:rsidRPr="00F27907">
        <w:t>p</w:t>
      </w:r>
      <w:r w:rsidRPr="004025B8">
        <w:t>rojects</w:t>
      </w:r>
    </w:p>
    <w:p w14:paraId="1DAF0860" w14:textId="6ADCA491" w:rsidR="00EF6835" w:rsidRPr="004025B8" w:rsidRDefault="00EF6835" w:rsidP="00EF6835">
      <w:pPr>
        <w:pStyle w:val="ARbullet1"/>
      </w:pPr>
      <w:r>
        <w:t>the number of small to medium</w:t>
      </w:r>
      <w:r w:rsidR="009432D9">
        <w:t>-sized</w:t>
      </w:r>
      <w:r>
        <w:t xml:space="preserve"> enterprises that prepared a </w:t>
      </w:r>
      <w:r w:rsidR="00C97317">
        <w:t>l</w:t>
      </w:r>
      <w:r>
        <w:t xml:space="preserve">ocal </w:t>
      </w:r>
      <w:r w:rsidR="00F92B1A">
        <w:t>i</w:t>
      </w:r>
      <w:r>
        <w:t xml:space="preserve">ndustry </w:t>
      </w:r>
      <w:r w:rsidR="00CC24BB">
        <w:t>d</w:t>
      </w:r>
      <w:r>
        <w:t xml:space="preserve">evelopment </w:t>
      </w:r>
      <w:r w:rsidR="00CC24BB">
        <w:t>p</w:t>
      </w:r>
      <w:r>
        <w:t>lan (LIDP) is not available in the</w:t>
      </w:r>
      <w:r w:rsidR="0030377F">
        <w:t> </w:t>
      </w:r>
      <w:r>
        <w:t>20</w:t>
      </w:r>
      <w:r w:rsidR="005E4358">
        <w:t>21–22</w:t>
      </w:r>
      <w:r>
        <w:t xml:space="preserve"> data set at the time of reporting.</w:t>
      </w:r>
    </w:p>
    <w:p w14:paraId="5EE11E1E" w14:textId="77777777" w:rsidR="00EF6835" w:rsidRPr="007E3CD0" w:rsidRDefault="00EF6835" w:rsidP="00DD0FB0">
      <w:pPr>
        <w:pStyle w:val="Heading3"/>
        <w:spacing w:before="220" w:after="60"/>
      </w:pPr>
      <w:bookmarkStart w:id="317" w:name="_Toc85121262"/>
      <w:r w:rsidRPr="007E3CD0">
        <w:t>Projects completed – Local Jobs First standard projects</w:t>
      </w:r>
      <w:bookmarkEnd w:id="317"/>
    </w:p>
    <w:p w14:paraId="7D4D5D88" w14:textId="3199E196" w:rsidR="00EF6835" w:rsidRPr="007E3CD0" w:rsidRDefault="00EF6835" w:rsidP="00EF6835">
      <w:pPr>
        <w:pStyle w:val="ARbody"/>
      </w:pPr>
      <w:r w:rsidRPr="007E3CD0">
        <w:t xml:space="preserve">During 2021–22, the department </w:t>
      </w:r>
      <w:r>
        <w:t>reported</w:t>
      </w:r>
      <w:r w:rsidRPr="007E3CD0">
        <w:t xml:space="preserve"> </w:t>
      </w:r>
      <w:r>
        <w:t>two</w:t>
      </w:r>
      <w:r w:rsidRPr="007E3CD0">
        <w:t> Local Jobs First standard projects</w:t>
      </w:r>
      <w:r>
        <w:t xml:space="preserve"> a</w:t>
      </w:r>
      <w:r w:rsidR="00A706DA">
        <w:t>s</w:t>
      </w:r>
      <w:r>
        <w:t xml:space="preserve"> completed</w:t>
      </w:r>
      <w:r w:rsidRPr="007E3CD0">
        <w:t>, totalling $43.8 million. Of those projects, both were regional, with a commitment of 91.6 per cent local content. No statewide or metro</w:t>
      </w:r>
      <w:r w:rsidR="00A706DA">
        <w:t>politan</w:t>
      </w:r>
      <w:r w:rsidRPr="007E3CD0">
        <w:t xml:space="preserve"> projects were reported. The MSPG applied to one to these projects.</w:t>
      </w:r>
    </w:p>
    <w:p w14:paraId="1C0A152E" w14:textId="3FCAC100" w:rsidR="00EF6835" w:rsidRPr="007E3CD0" w:rsidRDefault="00EF6835" w:rsidP="00EF6835">
      <w:pPr>
        <w:pStyle w:val="ARbody"/>
      </w:pPr>
      <w:r w:rsidRPr="007E3CD0">
        <w:t>The outcomes from the implementation of the Local</w:t>
      </w:r>
      <w:r w:rsidR="0030377F">
        <w:t> </w:t>
      </w:r>
      <w:r w:rsidRPr="007E3CD0">
        <w:t>Jobs First policy to these projects, where information was provided, were as follows:</w:t>
      </w:r>
    </w:p>
    <w:p w14:paraId="49DB5968" w14:textId="77777777" w:rsidR="00EF6835" w:rsidRPr="007E3CD0" w:rsidRDefault="00EF6835" w:rsidP="00DD0FB0">
      <w:pPr>
        <w:pStyle w:val="ARbullet1"/>
        <w:spacing w:after="32"/>
      </w:pPr>
      <w:r w:rsidRPr="007E3CD0">
        <w:t>an average of 91.6 per cent of local content commitment was made</w:t>
      </w:r>
    </w:p>
    <w:p w14:paraId="7F01C07F" w14:textId="32F8C631" w:rsidR="00EF6835" w:rsidRDefault="00EF6835" w:rsidP="00DD0FB0">
      <w:pPr>
        <w:pStyle w:val="ARbullet1"/>
        <w:spacing w:after="32"/>
      </w:pPr>
      <w:r>
        <w:t xml:space="preserve">a total of 80 </w:t>
      </w:r>
      <w:r w:rsidRPr="00FB70BB">
        <w:t>job</w:t>
      </w:r>
      <w:r>
        <w:t xml:space="preserve">s </w:t>
      </w:r>
      <w:r w:rsidRPr="00FB70BB">
        <w:t>(AEE) were</w:t>
      </w:r>
      <w:r>
        <w:t xml:space="preserve"> committed, including:</w:t>
      </w:r>
    </w:p>
    <w:p w14:paraId="0142C08D" w14:textId="687F6522" w:rsidR="00EF6835" w:rsidRDefault="00A706DA" w:rsidP="00DD0FB0">
      <w:pPr>
        <w:pStyle w:val="ARbullet2"/>
        <w:spacing w:after="32"/>
      </w:pPr>
      <w:r>
        <w:t xml:space="preserve">the </w:t>
      </w:r>
      <w:r w:rsidR="00EF6835">
        <w:t>creation of 6.8 new jobs</w:t>
      </w:r>
    </w:p>
    <w:p w14:paraId="6EB8AD01" w14:textId="77777777" w:rsidR="003F0283" w:rsidRDefault="00EF6835" w:rsidP="00DD0FB0">
      <w:pPr>
        <w:pStyle w:val="ARbullet2"/>
        <w:spacing w:after="32"/>
      </w:pPr>
      <w:r>
        <w:t>the retention of 55.3 existing jobs</w:t>
      </w:r>
    </w:p>
    <w:p w14:paraId="380D600D" w14:textId="3143A2AA" w:rsidR="003F0283" w:rsidRDefault="0057556A" w:rsidP="00DD0FB0">
      <w:pPr>
        <w:pStyle w:val="ARbullet2"/>
        <w:spacing w:after="32"/>
      </w:pPr>
      <w:r>
        <w:t xml:space="preserve">the creation of </w:t>
      </w:r>
      <w:r w:rsidR="00EF6835">
        <w:t>4.2 new jobs for apprentices, trainees and cadets</w:t>
      </w:r>
    </w:p>
    <w:p w14:paraId="21A41F16" w14:textId="0CD81C32" w:rsidR="003F0283" w:rsidRDefault="0057556A" w:rsidP="00EF6835">
      <w:pPr>
        <w:pStyle w:val="ARbullet2"/>
      </w:pPr>
      <w:r>
        <w:t xml:space="preserve">the retention of </w:t>
      </w:r>
      <w:r w:rsidR="00EF6835">
        <w:t xml:space="preserve">13.9 jobs for apprentices, trainees </w:t>
      </w:r>
      <w:r w:rsidR="00EF6835" w:rsidRPr="001C59D9">
        <w:t>and cadets</w:t>
      </w:r>
    </w:p>
    <w:p w14:paraId="38845CA3" w14:textId="6E6323A2" w:rsidR="00EF6835" w:rsidRPr="001C59D9" w:rsidRDefault="00897CF4" w:rsidP="00EF6835">
      <w:pPr>
        <w:pStyle w:val="ARbullet1"/>
      </w:pPr>
      <w:r>
        <w:t>t</w:t>
      </w:r>
      <w:r w:rsidR="00EF6835" w:rsidRPr="001C59D9">
        <w:t>he MPSG</w:t>
      </w:r>
      <w:r w:rsidR="0074333B">
        <w:t>-</w:t>
      </w:r>
      <w:r w:rsidR="00EF6835" w:rsidRPr="001C59D9">
        <w:t>applicable project committed to a total of 15,900 hours to apprentices, trainees and cadets, being an engagement commitment of 25</w:t>
      </w:r>
      <w:r w:rsidR="00EF6835">
        <w:t xml:space="preserve"> per cent</w:t>
      </w:r>
    </w:p>
    <w:p w14:paraId="48E2B946" w14:textId="77777777" w:rsidR="00EF6835" w:rsidRPr="001C59D9" w:rsidRDefault="00EF6835" w:rsidP="00EF6835">
      <w:pPr>
        <w:pStyle w:val="ARbullet1"/>
      </w:pPr>
      <w:r w:rsidRPr="001C59D9">
        <w:t>338 small to medium-sized businesses were engaged through the supply chain on completed standard projects</w:t>
      </w:r>
    </w:p>
    <w:p w14:paraId="3CEA8706" w14:textId="1B5AD7B0" w:rsidR="00EF6835" w:rsidRPr="001C59D9" w:rsidRDefault="00EF6835" w:rsidP="00EF6835">
      <w:pPr>
        <w:pStyle w:val="ARbullet1"/>
      </w:pPr>
      <w:r w:rsidRPr="001C59D9">
        <w:t>the number of small to medium</w:t>
      </w:r>
      <w:r w:rsidR="009432D9">
        <w:t>-sized</w:t>
      </w:r>
      <w:r w:rsidRPr="001C59D9">
        <w:t xml:space="preserve"> enterprises that prepared a</w:t>
      </w:r>
      <w:r w:rsidR="0057556A">
        <w:t>n</w:t>
      </w:r>
      <w:r w:rsidRPr="001C59D9">
        <w:t xml:space="preserve"> LIDP is not available in the 20</w:t>
      </w:r>
      <w:r w:rsidR="005E4358">
        <w:t>21–22</w:t>
      </w:r>
      <w:r w:rsidRPr="001C59D9">
        <w:t xml:space="preserve"> data set at the time of</w:t>
      </w:r>
      <w:r w:rsidR="0030377F">
        <w:t> </w:t>
      </w:r>
      <w:r w:rsidRPr="001C59D9">
        <w:t>reporting.</w:t>
      </w:r>
    </w:p>
    <w:p w14:paraId="0C4ACDCB" w14:textId="77777777" w:rsidR="00EF6835" w:rsidRPr="001C59D9" w:rsidRDefault="00EF6835" w:rsidP="00EF6835">
      <w:pPr>
        <w:pStyle w:val="Heading3"/>
      </w:pPr>
      <w:bookmarkStart w:id="318" w:name="_Toc85121263"/>
      <w:r w:rsidRPr="001C59D9">
        <w:t>Projects commenced – Local Jobs First strategic projects</w:t>
      </w:r>
      <w:bookmarkEnd w:id="318"/>
    </w:p>
    <w:p w14:paraId="2CC5ABB4" w14:textId="1D8AB081" w:rsidR="00EF6835" w:rsidRPr="001C59D9" w:rsidRDefault="00EF6835" w:rsidP="00EF6835">
      <w:pPr>
        <w:pStyle w:val="ARbody"/>
      </w:pPr>
      <w:r w:rsidRPr="001C59D9">
        <w:t xml:space="preserve">During 2021–22, the department commenced 17 Local Jobs First strategic projects, valued at $1,154.3 million. Eight of these projects are expected to be at least partially based in regional Victoria, </w:t>
      </w:r>
      <w:r w:rsidR="0057556A">
        <w:t>eight</w:t>
      </w:r>
      <w:r w:rsidRPr="001C59D9">
        <w:t xml:space="preserve"> in metropolitan Melbourne, and</w:t>
      </w:r>
      <w:r w:rsidR="0030377F">
        <w:t xml:space="preserve"> </w:t>
      </w:r>
      <w:r w:rsidRPr="001C59D9">
        <w:t>four</w:t>
      </w:r>
      <w:r w:rsidR="0030377F">
        <w:t> </w:t>
      </w:r>
      <w:r w:rsidRPr="001C59D9">
        <w:t>statewide. The MPSG applies to 16 of these projects.</w:t>
      </w:r>
    </w:p>
    <w:p w14:paraId="3658F2C1" w14:textId="4C389614" w:rsidR="00EF6835" w:rsidRPr="001C59D9" w:rsidRDefault="00EF6835" w:rsidP="00EF6835">
      <w:pPr>
        <w:pStyle w:val="ARbody"/>
      </w:pPr>
      <w:r w:rsidRPr="001C59D9">
        <w:t>The outcomes expected from the implementation of</w:t>
      </w:r>
      <w:r w:rsidR="0030377F">
        <w:t> </w:t>
      </w:r>
      <w:r w:rsidRPr="001C59D9">
        <w:t xml:space="preserve">the policy, where information has been provided, </w:t>
      </w:r>
      <w:r w:rsidR="009136A9">
        <w:t>are</w:t>
      </w:r>
      <w:r w:rsidR="009136A9" w:rsidRPr="001C59D9">
        <w:t xml:space="preserve"> </w:t>
      </w:r>
      <w:r w:rsidRPr="001C59D9">
        <w:t>as follows:</w:t>
      </w:r>
    </w:p>
    <w:p w14:paraId="06737CAA" w14:textId="77777777" w:rsidR="003F0283" w:rsidRDefault="00EF6835" w:rsidP="00EF6835">
      <w:pPr>
        <w:pStyle w:val="ARbullet1"/>
      </w:pPr>
      <w:r w:rsidRPr="001C59D9">
        <w:t>an average of 80 per cent of local content outcome</w:t>
      </w:r>
    </w:p>
    <w:p w14:paraId="11723170" w14:textId="3049489D" w:rsidR="00EF6835" w:rsidRPr="001C59D9" w:rsidRDefault="00EF6835" w:rsidP="00EF6835">
      <w:pPr>
        <w:pStyle w:val="ARbullet1"/>
      </w:pPr>
      <w:r w:rsidRPr="001C59D9">
        <w:t>a total of 1</w:t>
      </w:r>
      <w:r>
        <w:t>,</w:t>
      </w:r>
      <w:r w:rsidRPr="001C59D9">
        <w:t>366.7 (AEE) positions committed, including:</w:t>
      </w:r>
    </w:p>
    <w:p w14:paraId="7AE2F891" w14:textId="77777777" w:rsidR="003F0283" w:rsidRDefault="00EF6835" w:rsidP="00EF6835">
      <w:pPr>
        <w:pStyle w:val="ARbullet2"/>
      </w:pPr>
      <w:r w:rsidRPr="001C59D9">
        <w:t>the creation of 555.6 new jobs</w:t>
      </w:r>
    </w:p>
    <w:p w14:paraId="63ADB172" w14:textId="17824021" w:rsidR="00EF6835" w:rsidRPr="001C59D9" w:rsidRDefault="00EF6835" w:rsidP="00EF6835">
      <w:pPr>
        <w:pStyle w:val="ARbullet2"/>
      </w:pPr>
      <w:r w:rsidRPr="001C59D9">
        <w:t>the retention of 650.4 existing jobs (AEE)</w:t>
      </w:r>
    </w:p>
    <w:p w14:paraId="39DEAF38" w14:textId="77777777" w:rsidR="003D5E1A" w:rsidRDefault="009432D9" w:rsidP="00EF6835">
      <w:pPr>
        <w:pStyle w:val="ARbullet2"/>
      </w:pPr>
      <w:r>
        <w:t xml:space="preserve">the commitment to </w:t>
      </w:r>
      <w:r w:rsidR="00EF6835" w:rsidRPr="001C59D9">
        <w:t>72.3 new apprenticeships, cadetships and traineeships</w:t>
      </w:r>
    </w:p>
    <w:p w14:paraId="7F54DD66" w14:textId="77777777" w:rsidR="003D5E1A" w:rsidRDefault="009432D9" w:rsidP="00EF6835">
      <w:pPr>
        <w:pStyle w:val="ARbullet2"/>
      </w:pPr>
      <w:r>
        <w:t xml:space="preserve">the retention of </w:t>
      </w:r>
      <w:r w:rsidR="00EF6835" w:rsidRPr="001C59D9">
        <w:t>88 existing apprenticeships, cadetships and traineeships</w:t>
      </w:r>
    </w:p>
    <w:p w14:paraId="5FE9FBB5" w14:textId="2DDA839B" w:rsidR="00EF6835" w:rsidRPr="001C59D9" w:rsidRDefault="00EF6835" w:rsidP="00EF6835">
      <w:pPr>
        <w:pStyle w:val="ARbullet2"/>
      </w:pPr>
      <w:r w:rsidRPr="001C59D9">
        <w:t>an average MPSG commitment of 8.67</w:t>
      </w:r>
      <w:r w:rsidR="0030377F">
        <w:t> </w:t>
      </w:r>
      <w:r>
        <w:t>per</w:t>
      </w:r>
      <w:r w:rsidR="0030377F">
        <w:t> </w:t>
      </w:r>
      <w:r>
        <w:t>cent</w:t>
      </w:r>
    </w:p>
    <w:p w14:paraId="2E6A2C31" w14:textId="5FC18141" w:rsidR="00EF6835" w:rsidRPr="001C59D9" w:rsidRDefault="00EF6835" w:rsidP="00EF6835">
      <w:pPr>
        <w:pStyle w:val="ARbullet1"/>
      </w:pPr>
      <w:r w:rsidRPr="001C59D9">
        <w:t>2,512 small to medium-sized businesses were</w:t>
      </w:r>
      <w:r w:rsidR="0030377F">
        <w:t> </w:t>
      </w:r>
      <w:r w:rsidRPr="001C59D9">
        <w:t>engaged through the supply chain on commenced strategic projects</w:t>
      </w:r>
    </w:p>
    <w:p w14:paraId="3A2E1AAF" w14:textId="1A18B316" w:rsidR="00EF6835" w:rsidRPr="001C59D9" w:rsidRDefault="00EF6835" w:rsidP="00EF6835">
      <w:pPr>
        <w:pStyle w:val="ARbullet1"/>
      </w:pPr>
      <w:r w:rsidRPr="001C59D9">
        <w:t>the number of small to medium</w:t>
      </w:r>
      <w:r w:rsidR="009432D9">
        <w:t>-sized</w:t>
      </w:r>
      <w:r w:rsidRPr="001C59D9">
        <w:t xml:space="preserve"> enterprises that prepared a</w:t>
      </w:r>
      <w:r w:rsidR="00202EE2">
        <w:t>n</w:t>
      </w:r>
      <w:r w:rsidRPr="001C59D9">
        <w:t xml:space="preserve"> LIDP is not available in the 20</w:t>
      </w:r>
      <w:r w:rsidR="005E4358">
        <w:t>21–22</w:t>
      </w:r>
      <w:r w:rsidRPr="001C59D9">
        <w:t xml:space="preserve"> data set at the time of</w:t>
      </w:r>
      <w:r w:rsidR="0030377F">
        <w:t> </w:t>
      </w:r>
      <w:r w:rsidRPr="001C59D9">
        <w:t>reporting.</w:t>
      </w:r>
    </w:p>
    <w:p w14:paraId="15C27EF9" w14:textId="0D70C6C8" w:rsidR="00EF6835" w:rsidRPr="001C59D9" w:rsidRDefault="00DD0FB0" w:rsidP="00EF6835">
      <w:pPr>
        <w:pStyle w:val="Heading3"/>
      </w:pPr>
      <w:bookmarkStart w:id="319" w:name="_Toc85121264"/>
      <w:r>
        <w:br w:type="column"/>
      </w:r>
      <w:r w:rsidR="00EF6835" w:rsidRPr="001C59D9">
        <w:t>Projects completed – Local Jobs First strategic projects</w:t>
      </w:r>
      <w:bookmarkEnd w:id="319"/>
    </w:p>
    <w:p w14:paraId="618DD04D" w14:textId="77777777" w:rsidR="00EF6835" w:rsidRPr="001C59D9" w:rsidRDefault="00EF6835" w:rsidP="00EF6835">
      <w:pPr>
        <w:pStyle w:val="ARbody"/>
      </w:pPr>
      <w:r w:rsidRPr="001C59D9">
        <w:t xml:space="preserve">During 2021–22, the department did not </w:t>
      </w:r>
      <w:r>
        <w:t>report</w:t>
      </w:r>
      <w:r w:rsidRPr="001C59D9">
        <w:t xml:space="preserve"> any Local Jobs First strategic projects</w:t>
      </w:r>
      <w:r>
        <w:t xml:space="preserve"> as completed</w:t>
      </w:r>
      <w:r w:rsidRPr="001C59D9">
        <w:t>.</w:t>
      </w:r>
    </w:p>
    <w:p w14:paraId="187CFC82" w14:textId="77777777" w:rsidR="00EF6835" w:rsidRPr="001C59D9" w:rsidRDefault="00EF6835" w:rsidP="00EF6835">
      <w:pPr>
        <w:pStyle w:val="Heading3"/>
      </w:pPr>
      <w:bookmarkStart w:id="320" w:name="_Toc85121265"/>
      <w:r w:rsidRPr="001C59D9">
        <w:t>Reporting requirements – all projects</w:t>
      </w:r>
      <w:bookmarkEnd w:id="320"/>
    </w:p>
    <w:p w14:paraId="0DEFB53C" w14:textId="6B3FC1E3" w:rsidR="00EF6835" w:rsidRDefault="00EF6835" w:rsidP="00EF6835">
      <w:pPr>
        <w:pStyle w:val="ARbody"/>
      </w:pPr>
      <w:r w:rsidRPr="000C48D5">
        <w:t xml:space="preserve">The </w:t>
      </w:r>
      <w:r>
        <w:t>d</w:t>
      </w:r>
      <w:r w:rsidRPr="000C48D5">
        <w:t xml:space="preserve">epartment </w:t>
      </w:r>
      <w:r>
        <w:t xml:space="preserve">(as the Department of Health and Human Services) </w:t>
      </w:r>
      <w:r w:rsidRPr="000C48D5">
        <w:t>commenced four contracts prior to</w:t>
      </w:r>
      <w:r>
        <w:t> </w:t>
      </w:r>
      <w:r w:rsidRPr="000C48D5">
        <w:t xml:space="preserve">15 August 2020 with a total of 88 per cent estimated to be of local content for which a VIPP </w:t>
      </w:r>
      <w:r w:rsidR="00CC24BB">
        <w:t>p</w:t>
      </w:r>
      <w:r w:rsidRPr="000C48D5">
        <w:t xml:space="preserve">lan or LIDP was not required as the procurement activity was local </w:t>
      </w:r>
      <w:r>
        <w:t>in</w:t>
      </w:r>
      <w:r w:rsidRPr="000C48D5">
        <w:t xml:space="preserve"> nature.</w:t>
      </w:r>
    </w:p>
    <w:p w14:paraId="40088681" w14:textId="01225BF8" w:rsidR="00EF6835" w:rsidRDefault="00EF6835" w:rsidP="00EF6835">
      <w:pPr>
        <w:pStyle w:val="ARbody"/>
      </w:pPr>
      <w:r>
        <w:t>In 20</w:t>
      </w:r>
      <w:r w:rsidR="005E4358">
        <w:t>21–22</w:t>
      </w:r>
      <w:r>
        <w:t xml:space="preserve">, the Department of Jobs, Precincts and Regions (DJPR) changed the reporting mechanism for </w:t>
      </w:r>
      <w:r w:rsidR="009432D9">
        <w:t>l</w:t>
      </w:r>
      <w:r>
        <w:t xml:space="preserve">ocal </w:t>
      </w:r>
      <w:r w:rsidR="009432D9">
        <w:t>j</w:t>
      </w:r>
      <w:r>
        <w:t xml:space="preserve">obs </w:t>
      </w:r>
      <w:r w:rsidR="009432D9">
        <w:t>d</w:t>
      </w:r>
      <w:r>
        <w:t xml:space="preserve">isclosures, with all data now being sourced directly from the </w:t>
      </w:r>
      <w:r w:rsidR="00687483">
        <w:t xml:space="preserve">Industry Capability Network </w:t>
      </w:r>
      <w:r>
        <w:t>Victorian Management Centre portal.</w:t>
      </w:r>
    </w:p>
    <w:p w14:paraId="221CD630" w14:textId="089B35B3" w:rsidR="00EF6835" w:rsidRDefault="00EF6835" w:rsidP="00EF6835">
      <w:pPr>
        <w:pStyle w:val="ARbody"/>
      </w:pPr>
      <w:r>
        <w:t xml:space="preserve">Data included in disclosures is subject to rationalisation and review by DJPR, </w:t>
      </w:r>
      <w:r w:rsidR="00687483">
        <w:t xml:space="preserve">and </w:t>
      </w:r>
      <w:r>
        <w:t xml:space="preserve">is anticipated to be reflected in </w:t>
      </w:r>
      <w:r w:rsidR="00202EE2">
        <w:t xml:space="preserve">that department’s </w:t>
      </w:r>
      <w:r>
        <w:t>Local Jobs First annual report.</w:t>
      </w:r>
    </w:p>
    <w:p w14:paraId="21CCBDB7" w14:textId="2684FA33" w:rsidR="00EF6835" w:rsidRDefault="00EF6835" w:rsidP="00EE60CB">
      <w:pPr>
        <w:pStyle w:val="ARbody"/>
        <w:spacing w:after="0"/>
      </w:pPr>
      <w:r>
        <w:t>Data available to individual departments in</w:t>
      </w:r>
      <w:r w:rsidR="000C371A">
        <w:t xml:space="preserve"> </w:t>
      </w:r>
      <w:r w:rsidR="0030377F">
        <w:br/>
      </w:r>
      <w:r>
        <w:t>20</w:t>
      </w:r>
      <w:r w:rsidR="005E4358">
        <w:t>21–22</w:t>
      </w:r>
      <w:r>
        <w:t xml:space="preserve"> did not include</w:t>
      </w:r>
      <w:r w:rsidR="00EE60CB">
        <w:t xml:space="preserve"> </w:t>
      </w:r>
      <w:r>
        <w:t>the number of small to</w:t>
      </w:r>
      <w:r w:rsidR="0030377F">
        <w:t> </w:t>
      </w:r>
      <w:r>
        <w:t>medium-sized businesses that prepared an LIDP, engaged as the principal contractor, and is therefore not available for inclusion in this report.</w:t>
      </w:r>
    </w:p>
    <w:p w14:paraId="4696E97A" w14:textId="77777777" w:rsidR="00EF6835" w:rsidRPr="001C59D9" w:rsidRDefault="00EF6835" w:rsidP="00EF6835">
      <w:pPr>
        <w:pStyle w:val="Heading3"/>
      </w:pPr>
      <w:bookmarkStart w:id="321" w:name="_Toc85121266"/>
      <w:r w:rsidRPr="001C59D9">
        <w:t>Reporting requirements – grants</w:t>
      </w:r>
      <w:bookmarkEnd w:id="321"/>
    </w:p>
    <w:p w14:paraId="2687B88D" w14:textId="0830717E" w:rsidR="00EF6835" w:rsidRDefault="00EF6835" w:rsidP="00EF6835">
      <w:pPr>
        <w:pStyle w:val="ARbody"/>
      </w:pPr>
      <w:r>
        <w:t>The department submitted no grants processes involving Local Jobs First during 20</w:t>
      </w:r>
      <w:r w:rsidR="005E4358">
        <w:t>21–22</w:t>
      </w:r>
      <w:r>
        <w:t>.</w:t>
      </w:r>
    </w:p>
    <w:p w14:paraId="3FBFBAC9" w14:textId="77777777" w:rsidR="00EF6835" w:rsidRDefault="00EF6835" w:rsidP="001A559C">
      <w:pPr>
        <w:pStyle w:val="ARbody"/>
      </w:pPr>
      <w:r>
        <w:br w:type="page"/>
      </w:r>
    </w:p>
    <w:p w14:paraId="396D8863" w14:textId="77777777" w:rsidR="00EF6835" w:rsidRPr="009B0718" w:rsidRDefault="00EF6835" w:rsidP="00EF6835">
      <w:pPr>
        <w:pStyle w:val="Heading2"/>
        <w:spacing w:after="120"/>
        <w:rPr>
          <w:rFonts w:cs="Arial"/>
        </w:rPr>
      </w:pPr>
      <w:bookmarkStart w:id="322" w:name="_Ref84252376"/>
      <w:bookmarkStart w:id="323" w:name="_Toc85121267"/>
      <w:bookmarkStart w:id="324" w:name="_Toc85121616"/>
      <w:bookmarkStart w:id="325" w:name="_Toc102734493"/>
      <w:bookmarkStart w:id="326" w:name="_Toc113702929"/>
      <w:r w:rsidRPr="009B0718">
        <w:rPr>
          <w:rFonts w:cs="Arial"/>
        </w:rPr>
        <w:t>Disclosure of major contracts</w:t>
      </w:r>
      <w:bookmarkEnd w:id="322"/>
      <w:bookmarkEnd w:id="323"/>
      <w:bookmarkEnd w:id="324"/>
      <w:bookmarkEnd w:id="325"/>
      <w:bookmarkEnd w:id="326"/>
    </w:p>
    <w:p w14:paraId="3A160FDD" w14:textId="365513CD" w:rsidR="00EF6835" w:rsidRDefault="00687483" w:rsidP="00EF6835">
      <w:pPr>
        <w:pStyle w:val="ARbody"/>
      </w:pPr>
      <w:r>
        <w:t>I</w:t>
      </w:r>
      <w:r w:rsidR="00EF6835">
        <w:t>n accordance with the requirements of government</w:t>
      </w:r>
      <w:r w:rsidR="0030377F">
        <w:t> </w:t>
      </w:r>
      <w:r w:rsidR="00EF6835">
        <w:t xml:space="preserve">policy and accompanying guidelines, </w:t>
      </w:r>
      <w:r>
        <w:t xml:space="preserve">the department disclosed </w:t>
      </w:r>
      <w:r w:rsidR="00EF6835">
        <w:t>all contracts greater than $10</w:t>
      </w:r>
      <w:r w:rsidR="00037064">
        <w:t> </w:t>
      </w:r>
      <w:r w:rsidR="00EF6835">
        <w:t xml:space="preserve">million in value entered into during the year ended 30 June 2022. Details of contracts that have been disclosed in the Victorian Government contracts publishing system can be viewed at the </w:t>
      </w:r>
      <w:hyperlink r:id="rId56" w:history="1">
        <w:r w:rsidR="00EF6835" w:rsidRPr="00E26F01">
          <w:rPr>
            <w:rStyle w:val="Hyperlink"/>
          </w:rPr>
          <w:t>Buying for Victoria Tenders Portal</w:t>
        </w:r>
      </w:hyperlink>
      <w:r w:rsidR="00EF6835">
        <w:t xml:space="preserve"> &lt;</w:t>
      </w:r>
      <w:r w:rsidR="00E06092">
        <w:t>https://</w:t>
      </w:r>
      <w:r w:rsidR="00EF6835">
        <w:t>www.tenders.vic.gov.au&gt;.</w:t>
      </w:r>
    </w:p>
    <w:p w14:paraId="71A76ACB" w14:textId="77777777" w:rsidR="000D29A9" w:rsidRDefault="00EF6835" w:rsidP="00EF6835">
      <w:pPr>
        <w:pStyle w:val="ARbody"/>
      </w:pPr>
      <w:r>
        <w:t>Contractual details have not been disclosed for contracts where disclosure is exempted under the </w:t>
      </w:r>
      <w:r w:rsidRPr="0082364B">
        <w:rPr>
          <w:i/>
          <w:iCs/>
        </w:rPr>
        <w:t>Freedom of Information Act 1982</w:t>
      </w:r>
      <w:r>
        <w:t xml:space="preserve"> and/or government guidelines.</w:t>
      </w:r>
    </w:p>
    <w:p w14:paraId="7B6B5937" w14:textId="737072D6" w:rsidR="00EF6835" w:rsidRPr="000D29A9" w:rsidRDefault="0067141F" w:rsidP="000D29A9">
      <w:pPr>
        <w:pStyle w:val="Heading2"/>
        <w:spacing w:after="120"/>
        <w:rPr>
          <w:rFonts w:cs="Arial"/>
          <w:bCs w:val="0"/>
          <w:iCs w:val="0"/>
        </w:rPr>
      </w:pPr>
      <w:bookmarkStart w:id="327" w:name="_Ref21956612"/>
      <w:bookmarkStart w:id="328" w:name="_Toc54690786"/>
      <w:bookmarkStart w:id="329" w:name="_Toc85121276"/>
      <w:bookmarkStart w:id="330" w:name="_Toc85121621"/>
      <w:bookmarkStart w:id="331" w:name="_Ref85615953"/>
      <w:bookmarkStart w:id="332" w:name="_Toc102734498"/>
      <w:r>
        <w:rPr>
          <w:rFonts w:cs="Arial"/>
          <w:bCs w:val="0"/>
          <w:iCs w:val="0"/>
        </w:rPr>
        <w:br w:type="column"/>
      </w:r>
      <w:bookmarkStart w:id="333" w:name="_Ref112852517"/>
      <w:bookmarkStart w:id="334" w:name="_Toc113702930"/>
      <w:r w:rsidR="00EF6835" w:rsidRPr="000D29A9">
        <w:rPr>
          <w:rFonts w:cs="Arial"/>
          <w:bCs w:val="0"/>
          <w:iCs w:val="0"/>
        </w:rPr>
        <w:t>Competitive neutrality policy</w:t>
      </w:r>
      <w:bookmarkEnd w:id="327"/>
      <w:bookmarkEnd w:id="328"/>
      <w:bookmarkEnd w:id="329"/>
      <w:bookmarkEnd w:id="330"/>
      <w:bookmarkEnd w:id="331"/>
      <w:bookmarkEnd w:id="332"/>
      <w:bookmarkEnd w:id="333"/>
      <w:bookmarkEnd w:id="334"/>
    </w:p>
    <w:p w14:paraId="604A7B34" w14:textId="177C4611" w:rsidR="00EF6835" w:rsidRDefault="00EF6835" w:rsidP="00EF6835">
      <w:pPr>
        <w:pStyle w:val="ARbody"/>
      </w:pPr>
      <w:r>
        <w:t xml:space="preserve">Competitive neutrality requires government businesses to ensure </w:t>
      </w:r>
      <w:r w:rsidR="00202EE2">
        <w:t xml:space="preserve">that, </w:t>
      </w:r>
      <w:r>
        <w:t xml:space="preserve">where services compete or potentially compete with the private sector, any advantage arising solely from their government ownership be removed if it is not in the public interest. Government businesses are required to cost and price these services as if they were privately owned. Competitive neutrality policy supports fair competition between public and private businesses and provides government businesses with a tool to enhance </w:t>
      </w:r>
      <w:r w:rsidRPr="003055BA">
        <w:t>decisions</w:t>
      </w:r>
      <w:r>
        <w:t xml:space="preserve"> on resource allocation. This policy does not override other policy objectives of government and focuses on efficiency in the provision of service.</w:t>
      </w:r>
    </w:p>
    <w:p w14:paraId="24656D35" w14:textId="77777777" w:rsidR="00EF6835" w:rsidRDefault="00EF6835" w:rsidP="00EF6835">
      <w:pPr>
        <w:pStyle w:val="ARbody"/>
      </w:pPr>
      <w:r>
        <w:t>The department ensures Victoria fulfils its requirements on competitive neutrality reporting as required under the Competition Principles Agreement and Competition and Infrastructure Reform Agreement.</w:t>
      </w:r>
    </w:p>
    <w:p w14:paraId="0BA24850" w14:textId="77777777" w:rsidR="007856CC" w:rsidRDefault="007856CC" w:rsidP="00EF6835">
      <w:pPr>
        <w:pStyle w:val="ARbody"/>
        <w:sectPr w:rsidR="007856CC" w:rsidSect="009D1AA8">
          <w:footnotePr>
            <w:numFmt w:val="lowerLetter"/>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1DDFB36E" w14:textId="77777777" w:rsidR="007D2CA0" w:rsidRPr="000C2CB7" w:rsidRDefault="007D2CA0" w:rsidP="00302F28">
      <w:pPr>
        <w:pStyle w:val="Heading2"/>
        <w:spacing w:after="120"/>
      </w:pPr>
      <w:bookmarkStart w:id="335" w:name="_Ref112852570"/>
      <w:bookmarkStart w:id="336" w:name="_Toc113702931"/>
      <w:r w:rsidRPr="000C2CB7">
        <w:t>Information and communication technology expenditure</w:t>
      </w:r>
      <w:bookmarkEnd w:id="335"/>
      <w:bookmarkEnd w:id="336"/>
    </w:p>
    <w:p w14:paraId="29F338C3" w14:textId="77777777" w:rsidR="007D2CA0" w:rsidRPr="00C94B39" w:rsidRDefault="007D2CA0" w:rsidP="007D2CA0">
      <w:pPr>
        <w:pStyle w:val="ARbody"/>
      </w:pPr>
      <w:r w:rsidRPr="002029AF">
        <w:t>For the 20</w:t>
      </w:r>
      <w:r>
        <w:t>21</w:t>
      </w:r>
      <w:r w:rsidRPr="002029AF">
        <w:t>–2</w:t>
      </w:r>
      <w:r>
        <w:t>2</w:t>
      </w:r>
      <w:r w:rsidRPr="002029AF">
        <w:t xml:space="preserve"> reporting period, the department </w:t>
      </w:r>
      <w:r>
        <w:t>incurred</w:t>
      </w:r>
      <w:r w:rsidRPr="002029AF">
        <w:t xml:space="preserve"> a total </w:t>
      </w:r>
      <w:r>
        <w:t>i</w:t>
      </w:r>
      <w:r w:rsidRPr="004B37DF">
        <w:t xml:space="preserve">nformation and communication technology </w:t>
      </w:r>
      <w:r>
        <w:t>(</w:t>
      </w:r>
      <w:r w:rsidRPr="002029AF">
        <w:t>ICT</w:t>
      </w:r>
      <w:r>
        <w:t>)</w:t>
      </w:r>
      <w:r w:rsidRPr="002029AF">
        <w:t xml:space="preserve"> expenditure of $</w:t>
      </w:r>
      <w:r>
        <w:t>355,390,479</w:t>
      </w:r>
      <w:r w:rsidRPr="002029AF">
        <w:t>. The details are shown below.</w:t>
      </w:r>
    </w:p>
    <w:tbl>
      <w:tblPr>
        <w:tblW w:w="963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20" w:firstRow="1" w:lastRow="0" w:firstColumn="0" w:lastColumn="0" w:noHBand="1" w:noVBand="1"/>
      </w:tblPr>
      <w:tblGrid>
        <w:gridCol w:w="2474"/>
        <w:gridCol w:w="2450"/>
        <w:gridCol w:w="2449"/>
        <w:gridCol w:w="2261"/>
      </w:tblGrid>
      <w:tr w:rsidR="007D2CA0" w:rsidRPr="002029AF" w14:paraId="2F028213" w14:textId="77777777" w:rsidTr="004C7BEF">
        <w:trPr>
          <w:cantSplit/>
          <w:tblHeader/>
        </w:trPr>
        <w:tc>
          <w:tcPr>
            <w:tcW w:w="2474" w:type="dxa"/>
            <w:shd w:val="clear" w:color="auto" w:fill="FFFFFF" w:themeFill="background1"/>
            <w:noWrap/>
            <w:vAlign w:val="bottom"/>
          </w:tcPr>
          <w:p w14:paraId="72D55459" w14:textId="77777777" w:rsidR="007D2CA0" w:rsidRPr="002029AF" w:rsidRDefault="007D2CA0" w:rsidP="004C7BEF">
            <w:pPr>
              <w:pStyle w:val="ARtablecolhead"/>
              <w:spacing w:after="80"/>
              <w:rPr>
                <w:i/>
                <w:color w:val="FFFFFF" w:themeColor="background1"/>
                <w:lang w:eastAsia="en-AU"/>
              </w:rPr>
            </w:pPr>
          </w:p>
        </w:tc>
        <w:tc>
          <w:tcPr>
            <w:tcW w:w="7160" w:type="dxa"/>
            <w:gridSpan w:val="3"/>
            <w:shd w:val="clear" w:color="auto" w:fill="FFFFFF" w:themeFill="background1"/>
            <w:noWrap/>
            <w:vAlign w:val="bottom"/>
          </w:tcPr>
          <w:p w14:paraId="7D11CD6B" w14:textId="77777777" w:rsidR="007D2CA0" w:rsidRPr="002029AF" w:rsidRDefault="007D2CA0" w:rsidP="004C7BEF">
            <w:pPr>
              <w:pStyle w:val="ARtablecolhead"/>
              <w:spacing w:after="80"/>
              <w:jc w:val="right"/>
              <w:rPr>
                <w:lang w:eastAsia="en-AU"/>
              </w:rPr>
            </w:pPr>
            <w:r w:rsidRPr="002029AF">
              <w:rPr>
                <w:lang w:eastAsia="en-AU"/>
              </w:rPr>
              <w:t>($</w:t>
            </w:r>
            <w:r>
              <w:rPr>
                <w:lang w:eastAsia="en-AU"/>
              </w:rPr>
              <w:t>’</w:t>
            </w:r>
            <w:r w:rsidRPr="002029AF">
              <w:rPr>
                <w:lang w:eastAsia="en-AU"/>
              </w:rPr>
              <w:t>000)</w:t>
            </w:r>
          </w:p>
        </w:tc>
      </w:tr>
      <w:tr w:rsidR="007D2CA0" w:rsidRPr="002029AF" w14:paraId="3EC807DD" w14:textId="77777777" w:rsidTr="004C7BEF">
        <w:trPr>
          <w:cantSplit/>
          <w:tblHeader/>
        </w:trPr>
        <w:tc>
          <w:tcPr>
            <w:tcW w:w="2474" w:type="dxa"/>
            <w:shd w:val="clear" w:color="auto" w:fill="FFFFFF" w:themeFill="background1"/>
            <w:noWrap/>
            <w:vAlign w:val="bottom"/>
          </w:tcPr>
          <w:p w14:paraId="0E44E4A7" w14:textId="77777777" w:rsidR="007D2CA0" w:rsidRPr="002029AF" w:rsidRDefault="007D2CA0" w:rsidP="004C7BEF">
            <w:pPr>
              <w:pStyle w:val="ARtablecolhead"/>
              <w:spacing w:after="80"/>
            </w:pPr>
            <w:r w:rsidRPr="002029AF">
              <w:t>All operational ICT expenditure</w:t>
            </w:r>
          </w:p>
        </w:tc>
        <w:tc>
          <w:tcPr>
            <w:tcW w:w="7160" w:type="dxa"/>
            <w:gridSpan w:val="3"/>
            <w:shd w:val="clear" w:color="auto" w:fill="FFFFFF" w:themeFill="background1"/>
            <w:noWrap/>
            <w:vAlign w:val="bottom"/>
          </w:tcPr>
          <w:p w14:paraId="040494AB" w14:textId="77777777" w:rsidR="007D2CA0" w:rsidRPr="002029AF" w:rsidRDefault="007D2CA0" w:rsidP="004C7BEF">
            <w:pPr>
              <w:pStyle w:val="ARtablecolheadright"/>
              <w:spacing w:after="80"/>
            </w:pPr>
            <w:r w:rsidRPr="002029AF">
              <w:t>ICT expenditure related to projects to create or enhance ICT capabilities</w:t>
            </w:r>
          </w:p>
        </w:tc>
      </w:tr>
      <w:tr w:rsidR="007D2CA0" w:rsidRPr="002029AF" w14:paraId="6D0F0709" w14:textId="77777777" w:rsidTr="004C7BEF">
        <w:trPr>
          <w:cantSplit/>
          <w:tblHeader/>
        </w:trPr>
        <w:tc>
          <w:tcPr>
            <w:tcW w:w="2474" w:type="dxa"/>
            <w:shd w:val="clear" w:color="auto" w:fill="FFFFFF" w:themeFill="background1"/>
            <w:noWrap/>
            <w:vAlign w:val="bottom"/>
          </w:tcPr>
          <w:p w14:paraId="1AE2756A" w14:textId="77777777" w:rsidR="007D2CA0" w:rsidRPr="002029AF" w:rsidRDefault="007D2CA0" w:rsidP="004C7BEF">
            <w:pPr>
              <w:pStyle w:val="ARtablecolhead"/>
              <w:spacing w:after="80"/>
            </w:pPr>
            <w:r w:rsidRPr="002029AF">
              <w:t>Business as usual (BAU) ICT expenditure</w:t>
            </w:r>
          </w:p>
        </w:tc>
        <w:tc>
          <w:tcPr>
            <w:tcW w:w="2450" w:type="dxa"/>
            <w:shd w:val="clear" w:color="auto" w:fill="FFFFFF" w:themeFill="background1"/>
            <w:noWrap/>
            <w:vAlign w:val="bottom"/>
          </w:tcPr>
          <w:p w14:paraId="7CBF2BF6" w14:textId="77777777" w:rsidR="007D2CA0" w:rsidRPr="002029AF" w:rsidRDefault="007D2CA0" w:rsidP="004C7BEF">
            <w:pPr>
              <w:pStyle w:val="ARtablecolheadright"/>
              <w:spacing w:after="80"/>
            </w:pPr>
            <w:r w:rsidRPr="002029AF">
              <w:t>Non-BAU ICT expenditure</w:t>
            </w:r>
          </w:p>
        </w:tc>
        <w:tc>
          <w:tcPr>
            <w:tcW w:w="2449" w:type="dxa"/>
            <w:shd w:val="clear" w:color="auto" w:fill="FFFFFF" w:themeFill="background1"/>
            <w:noWrap/>
            <w:vAlign w:val="bottom"/>
          </w:tcPr>
          <w:p w14:paraId="4D066F02" w14:textId="77777777" w:rsidR="007D2CA0" w:rsidRPr="002029AF" w:rsidRDefault="007D2CA0" w:rsidP="004C7BEF">
            <w:pPr>
              <w:pStyle w:val="ARtablecolheadright"/>
              <w:spacing w:after="80"/>
            </w:pPr>
            <w:r w:rsidRPr="002029AF">
              <w:t xml:space="preserve">Operational </w:t>
            </w:r>
            <w:r w:rsidRPr="002029AF">
              <w:br/>
              <w:t>expenditure</w:t>
            </w:r>
          </w:p>
        </w:tc>
        <w:tc>
          <w:tcPr>
            <w:tcW w:w="2261" w:type="dxa"/>
            <w:shd w:val="clear" w:color="auto" w:fill="FFFFFF" w:themeFill="background1"/>
            <w:noWrap/>
            <w:vAlign w:val="bottom"/>
          </w:tcPr>
          <w:p w14:paraId="0ADD7646" w14:textId="77777777" w:rsidR="007D2CA0" w:rsidRPr="002029AF" w:rsidRDefault="007D2CA0" w:rsidP="004C7BEF">
            <w:pPr>
              <w:pStyle w:val="ARtablecolheadright"/>
              <w:spacing w:after="80"/>
            </w:pPr>
            <w:r w:rsidRPr="002029AF">
              <w:t xml:space="preserve">Capital </w:t>
            </w:r>
            <w:r w:rsidRPr="002029AF">
              <w:br/>
              <w:t>expenditure</w:t>
            </w:r>
          </w:p>
        </w:tc>
      </w:tr>
      <w:tr w:rsidR="007D2CA0" w:rsidRPr="002029AF" w14:paraId="2C907635" w14:textId="77777777" w:rsidTr="004C7BEF">
        <w:trPr>
          <w:cantSplit/>
          <w:tblHeader/>
        </w:trPr>
        <w:tc>
          <w:tcPr>
            <w:tcW w:w="2474" w:type="dxa"/>
            <w:shd w:val="clear" w:color="auto" w:fill="auto"/>
            <w:noWrap/>
            <w:vAlign w:val="bottom"/>
            <w:hideMark/>
          </w:tcPr>
          <w:p w14:paraId="748DD988" w14:textId="77777777" w:rsidR="007D2CA0" w:rsidRPr="002029AF" w:rsidRDefault="007D2CA0" w:rsidP="004C7BEF">
            <w:pPr>
              <w:pStyle w:val="ARtabletextright"/>
              <w:spacing w:after="80"/>
            </w:pPr>
            <w:r w:rsidRPr="002029AF">
              <w:t>(Total)</w:t>
            </w:r>
          </w:p>
        </w:tc>
        <w:tc>
          <w:tcPr>
            <w:tcW w:w="2450" w:type="dxa"/>
            <w:shd w:val="clear" w:color="auto" w:fill="auto"/>
            <w:noWrap/>
            <w:vAlign w:val="bottom"/>
            <w:hideMark/>
          </w:tcPr>
          <w:p w14:paraId="00DF1A97" w14:textId="77777777" w:rsidR="007D2CA0" w:rsidRPr="002029AF" w:rsidRDefault="007D2CA0" w:rsidP="004C7BEF">
            <w:pPr>
              <w:pStyle w:val="ARtabletextright"/>
              <w:spacing w:after="80"/>
            </w:pPr>
            <w:r w:rsidRPr="002029AF">
              <w:t>(Total = operational expenditure and capital expenditure)</w:t>
            </w:r>
          </w:p>
        </w:tc>
        <w:tc>
          <w:tcPr>
            <w:tcW w:w="2449" w:type="dxa"/>
            <w:shd w:val="clear" w:color="auto" w:fill="auto"/>
            <w:noWrap/>
            <w:vAlign w:val="bottom"/>
            <w:hideMark/>
          </w:tcPr>
          <w:p w14:paraId="0A0BC0CA" w14:textId="77777777" w:rsidR="007D2CA0" w:rsidRPr="002029AF" w:rsidRDefault="007D2CA0" w:rsidP="004C7BEF">
            <w:pPr>
              <w:pStyle w:val="ARtabletextright"/>
              <w:spacing w:after="80"/>
              <w:rPr>
                <w:b/>
              </w:rPr>
            </w:pPr>
          </w:p>
        </w:tc>
        <w:tc>
          <w:tcPr>
            <w:tcW w:w="2261" w:type="dxa"/>
            <w:shd w:val="clear" w:color="auto" w:fill="auto"/>
            <w:noWrap/>
            <w:vAlign w:val="bottom"/>
            <w:hideMark/>
          </w:tcPr>
          <w:p w14:paraId="7FEFC61E" w14:textId="77777777" w:rsidR="007D2CA0" w:rsidRPr="002029AF" w:rsidRDefault="007D2CA0" w:rsidP="004C7BEF">
            <w:pPr>
              <w:pStyle w:val="ARtabletextright"/>
              <w:spacing w:after="80"/>
              <w:rPr>
                <w:b/>
              </w:rPr>
            </w:pPr>
          </w:p>
        </w:tc>
      </w:tr>
      <w:tr w:rsidR="007D2CA0" w:rsidRPr="0004665B" w14:paraId="57561243" w14:textId="77777777" w:rsidTr="004C7BEF">
        <w:trPr>
          <w:cantSplit/>
          <w:trHeight w:val="300"/>
        </w:trPr>
        <w:tc>
          <w:tcPr>
            <w:tcW w:w="2474" w:type="dxa"/>
            <w:shd w:val="clear" w:color="auto" w:fill="auto"/>
            <w:noWrap/>
          </w:tcPr>
          <w:p w14:paraId="3D139084" w14:textId="77777777" w:rsidR="007D2CA0" w:rsidRPr="0004665B" w:rsidRDefault="007D2CA0" w:rsidP="004C7BEF">
            <w:pPr>
              <w:pStyle w:val="ARtabletextright"/>
              <w:spacing w:after="80"/>
            </w:pPr>
            <w:r w:rsidRPr="0004665B">
              <w:t>$270,031</w:t>
            </w:r>
          </w:p>
        </w:tc>
        <w:tc>
          <w:tcPr>
            <w:tcW w:w="2450" w:type="dxa"/>
            <w:shd w:val="clear" w:color="auto" w:fill="auto"/>
            <w:noWrap/>
          </w:tcPr>
          <w:p w14:paraId="329BF9D0" w14:textId="77777777" w:rsidR="007D2CA0" w:rsidRPr="0004665B" w:rsidRDefault="007D2CA0" w:rsidP="004C7BEF">
            <w:pPr>
              <w:pStyle w:val="ARtabletextright"/>
              <w:spacing w:after="80"/>
            </w:pPr>
            <w:r w:rsidRPr="0004665B">
              <w:t>$85,359</w:t>
            </w:r>
          </w:p>
        </w:tc>
        <w:tc>
          <w:tcPr>
            <w:tcW w:w="2449" w:type="dxa"/>
            <w:shd w:val="clear" w:color="auto" w:fill="auto"/>
            <w:noWrap/>
          </w:tcPr>
          <w:p w14:paraId="24CB5C95" w14:textId="77777777" w:rsidR="007D2CA0" w:rsidRPr="0004665B" w:rsidRDefault="007D2CA0" w:rsidP="004C7BEF">
            <w:pPr>
              <w:pStyle w:val="ARtabletextright"/>
              <w:spacing w:after="80"/>
            </w:pPr>
            <w:r w:rsidRPr="0004665B">
              <w:t>$65,461</w:t>
            </w:r>
          </w:p>
        </w:tc>
        <w:tc>
          <w:tcPr>
            <w:tcW w:w="2261" w:type="dxa"/>
            <w:shd w:val="clear" w:color="auto" w:fill="auto"/>
            <w:noWrap/>
          </w:tcPr>
          <w:p w14:paraId="28AB8690" w14:textId="77777777" w:rsidR="007D2CA0" w:rsidRPr="0004665B" w:rsidRDefault="007D2CA0" w:rsidP="004C7BEF">
            <w:pPr>
              <w:pStyle w:val="ARtabletextright"/>
              <w:spacing w:after="80"/>
            </w:pPr>
            <w:r w:rsidRPr="0004665B">
              <w:t>$19,89</w:t>
            </w:r>
            <w:r>
              <w:t>8</w:t>
            </w:r>
          </w:p>
        </w:tc>
      </w:tr>
    </w:tbl>
    <w:p w14:paraId="1C0766EA" w14:textId="77777777" w:rsidR="007D2CA0" w:rsidRPr="002029AF" w:rsidRDefault="007D2CA0" w:rsidP="007D2CA0">
      <w:pPr>
        <w:pStyle w:val="ARtablefootnote"/>
      </w:pPr>
      <w:r w:rsidRPr="002029AF">
        <w:t>ICT expenditure refers to the department</w:t>
      </w:r>
      <w:r>
        <w:t>’s</w:t>
      </w:r>
      <w:r w:rsidRPr="002029AF">
        <w:t xml:space="preserve"> costs in providing business-enabling ICT services within the current reporting period. It</w:t>
      </w:r>
      <w:r>
        <w:t> </w:t>
      </w:r>
      <w:r w:rsidRPr="002029AF">
        <w:t>comprises BAU ICT expenditure and non-BAU ICT expenditure.</w:t>
      </w:r>
    </w:p>
    <w:p w14:paraId="6303D8ED" w14:textId="77777777" w:rsidR="007D2CA0" w:rsidRPr="002029AF" w:rsidRDefault="007D2CA0" w:rsidP="007D2CA0">
      <w:pPr>
        <w:pStyle w:val="ARtablefootnote"/>
      </w:pPr>
      <w:r w:rsidRPr="002029AF">
        <w:t>Non-BAU ICT expenditure relates to extending or enhancing the department</w:t>
      </w:r>
      <w:r>
        <w:t>’s</w:t>
      </w:r>
      <w:r w:rsidRPr="002029AF">
        <w:t xml:space="preserve"> current ICT capabilities.</w:t>
      </w:r>
    </w:p>
    <w:p w14:paraId="25A5E599" w14:textId="77777777" w:rsidR="007D2CA0" w:rsidRDefault="007D2CA0" w:rsidP="007D2CA0">
      <w:pPr>
        <w:pStyle w:val="ARtablefootnote"/>
      </w:pPr>
      <w:r w:rsidRPr="002029AF">
        <w:t>BAU ICT expenditure is all remaining ICT expenditure, which primarily relates to ongoing activities to operate and maintain the current ICT capability.</w:t>
      </w:r>
      <w:bookmarkStart w:id="337" w:name="_Ref492895142"/>
      <w:bookmarkStart w:id="338" w:name="_Toc54690790"/>
    </w:p>
    <w:p w14:paraId="6865EED4" w14:textId="46C512A1" w:rsidR="007D2CA0" w:rsidRDefault="007D2CA0" w:rsidP="007D2CA0">
      <w:pPr>
        <w:pStyle w:val="ARtablefootnote"/>
      </w:pPr>
      <w:r w:rsidRPr="005A7F0D">
        <w:t xml:space="preserve">For reporting purposes, all ICT expenditure relating to shared services for the Department of Health </w:t>
      </w:r>
      <w:r>
        <w:t xml:space="preserve">and </w:t>
      </w:r>
      <w:r w:rsidR="00DC1F5A">
        <w:t xml:space="preserve">the </w:t>
      </w:r>
      <w:r w:rsidRPr="005A7F0D">
        <w:t xml:space="preserve">Department of Families, Fairness and Housing </w:t>
      </w:r>
      <w:r w:rsidR="00A73EA3">
        <w:t>is</w:t>
      </w:r>
      <w:r w:rsidR="00A73EA3" w:rsidRPr="005A7F0D">
        <w:t xml:space="preserve"> </w:t>
      </w:r>
      <w:r w:rsidR="00A73EA3">
        <w:t>disclosed</w:t>
      </w:r>
      <w:r w:rsidR="00A73EA3" w:rsidRPr="005A7F0D">
        <w:t xml:space="preserve"> </w:t>
      </w:r>
      <w:r w:rsidRPr="005A7F0D">
        <w:t>in the Department of Health</w:t>
      </w:r>
      <w:r w:rsidR="00AC56C2">
        <w:t xml:space="preserve"> Annual Report</w:t>
      </w:r>
      <w:r w:rsidRPr="005A7F0D">
        <w:t xml:space="preserve"> </w:t>
      </w:r>
      <w:r>
        <w:t>2021–22</w:t>
      </w:r>
      <w:r w:rsidRPr="005A7F0D">
        <w:t>.</w:t>
      </w:r>
    </w:p>
    <w:bookmarkEnd w:id="337"/>
    <w:bookmarkEnd w:id="338"/>
    <w:p w14:paraId="621B52A2" w14:textId="77777777" w:rsidR="00EF6835" w:rsidRDefault="00EF6835" w:rsidP="00EF6835">
      <w:pPr>
        <w:pStyle w:val="ARbody"/>
      </w:pPr>
    </w:p>
    <w:p w14:paraId="4D3DFC86" w14:textId="77777777" w:rsidR="00EF6835" w:rsidRDefault="00EF6835" w:rsidP="00EF6835">
      <w:pPr>
        <w:pStyle w:val="Heading2"/>
        <w:sectPr w:rsidR="00EF6835" w:rsidSect="008450D6">
          <w:footnotePr>
            <w:numFmt w:val="lowerLetter"/>
            <w:numRestart w:val="eachPage"/>
          </w:footnotePr>
          <w:endnotePr>
            <w:numFmt w:val="decimal"/>
          </w:endnotePr>
          <w:type w:val="continuous"/>
          <w:pgSz w:w="11900" w:h="16840" w:code="9"/>
          <w:pgMar w:top="1985" w:right="1134" w:bottom="851" w:left="1134" w:header="510" w:footer="340" w:gutter="0"/>
          <w:cols w:space="454"/>
          <w15:footnoteColumns w:val="1"/>
        </w:sectPr>
      </w:pPr>
      <w:bookmarkStart w:id="339" w:name="_Toc54690788"/>
      <w:bookmarkStart w:id="340" w:name="_Ref525048256"/>
    </w:p>
    <w:p w14:paraId="5E0D7B31" w14:textId="77777777" w:rsidR="00EF6835" w:rsidRPr="003379F7" w:rsidRDefault="00EF6835" w:rsidP="00EF6835">
      <w:pPr>
        <w:pStyle w:val="Heading2"/>
        <w:spacing w:before="0"/>
        <w:rPr>
          <w:rFonts w:cs="Arial"/>
        </w:rPr>
      </w:pPr>
      <w:bookmarkStart w:id="341" w:name="_Ref52285882"/>
      <w:bookmarkStart w:id="342" w:name="_Toc54690787"/>
      <w:bookmarkStart w:id="343" w:name="_Toc85121269"/>
      <w:bookmarkStart w:id="344" w:name="_Toc85121618"/>
      <w:bookmarkStart w:id="345" w:name="_Toc102734495"/>
      <w:bookmarkStart w:id="346" w:name="_Toc113702932"/>
      <w:bookmarkStart w:id="347" w:name="_Ref21862226"/>
      <w:bookmarkEnd w:id="339"/>
      <w:bookmarkEnd w:id="340"/>
      <w:r w:rsidRPr="003379F7">
        <w:rPr>
          <w:rFonts w:cs="Arial"/>
        </w:rPr>
        <w:t>Consultanc</w:t>
      </w:r>
      <w:bookmarkEnd w:id="341"/>
      <w:bookmarkEnd w:id="342"/>
      <w:r w:rsidRPr="003379F7">
        <w:rPr>
          <w:rFonts w:cs="Arial"/>
        </w:rPr>
        <w:t>y expenditure</w:t>
      </w:r>
      <w:bookmarkEnd w:id="343"/>
      <w:bookmarkEnd w:id="344"/>
      <w:bookmarkEnd w:id="345"/>
      <w:bookmarkEnd w:id="346"/>
    </w:p>
    <w:p w14:paraId="463BF0D3" w14:textId="0DFEC808" w:rsidR="00EF6835" w:rsidRDefault="00EF6835" w:rsidP="00EF6835">
      <w:pPr>
        <w:pStyle w:val="ARbody"/>
      </w:pPr>
      <w:r w:rsidRPr="008A74A0">
        <w:t xml:space="preserve">The </w:t>
      </w:r>
      <w:r>
        <w:t>d</w:t>
      </w:r>
      <w:r w:rsidRPr="008A74A0">
        <w:t xml:space="preserve">epartment experienced </w:t>
      </w:r>
      <w:r>
        <w:t>reduced</w:t>
      </w:r>
      <w:r w:rsidRPr="008A74A0">
        <w:t xml:space="preserve"> demand for</w:t>
      </w:r>
      <w:r w:rsidR="0030377F">
        <w:t> </w:t>
      </w:r>
      <w:r w:rsidRPr="008A74A0">
        <w:t>high</w:t>
      </w:r>
      <w:r>
        <w:t>-</w:t>
      </w:r>
      <w:r w:rsidRPr="008A74A0">
        <w:t>level, independent advice and support during 202</w:t>
      </w:r>
      <w:r>
        <w:t>1–</w:t>
      </w:r>
      <w:r w:rsidRPr="008A74A0">
        <w:t>2</w:t>
      </w:r>
      <w:r>
        <w:t>2,</w:t>
      </w:r>
      <w:r w:rsidRPr="008A74A0">
        <w:t xml:space="preserve"> which resulted in </w:t>
      </w:r>
      <w:r>
        <w:t>decreased</w:t>
      </w:r>
      <w:r w:rsidRPr="008A74A0">
        <w:t xml:space="preserve"> use of</w:t>
      </w:r>
      <w:r w:rsidR="0030377F">
        <w:t> </w:t>
      </w:r>
      <w:r w:rsidRPr="008A74A0">
        <w:t>consultants</w:t>
      </w:r>
      <w:r>
        <w:t xml:space="preserve"> compared to 20</w:t>
      </w:r>
      <w:r w:rsidR="005E4358">
        <w:t>20–21</w:t>
      </w:r>
      <w:r w:rsidRPr="008A74A0">
        <w:t xml:space="preserve">. </w:t>
      </w:r>
      <w:r>
        <w:t>Use of consultants</w:t>
      </w:r>
      <w:r w:rsidRPr="008A74A0">
        <w:t xml:space="preserve"> ensured that the department </w:t>
      </w:r>
      <w:r>
        <w:t>was</w:t>
      </w:r>
      <w:r w:rsidRPr="008A74A0">
        <w:t xml:space="preserve"> well positioned to respond to the numerous and unique challenges which </w:t>
      </w:r>
      <w:r>
        <w:t>continued to arise</w:t>
      </w:r>
      <w:r w:rsidRPr="008A74A0">
        <w:t xml:space="preserve"> due to the COVID-19 emergency.</w:t>
      </w:r>
    </w:p>
    <w:p w14:paraId="0492A952" w14:textId="77777777" w:rsidR="00EF6835" w:rsidRDefault="00EF6835" w:rsidP="00DD0FB0">
      <w:pPr>
        <w:pStyle w:val="Heading3"/>
        <w:spacing w:before="240" w:after="60"/>
      </w:pPr>
      <w:bookmarkStart w:id="348" w:name="_Ref84252249"/>
      <w:bookmarkStart w:id="349" w:name="_Toc85121270"/>
      <w:r>
        <w:t>C</w:t>
      </w:r>
      <w:r w:rsidRPr="0007550D">
        <w:t xml:space="preserve">onsultancies </w:t>
      </w:r>
      <w:r>
        <w:t>(</w:t>
      </w:r>
      <w:r w:rsidRPr="0007550D">
        <w:t>under $10,000</w:t>
      </w:r>
      <w:r>
        <w:t>)</w:t>
      </w:r>
      <w:bookmarkEnd w:id="348"/>
      <w:bookmarkEnd w:id="349"/>
    </w:p>
    <w:p w14:paraId="09765A07" w14:textId="60218551" w:rsidR="00EF6835" w:rsidRDefault="00EF6835" w:rsidP="00EF6835">
      <w:pPr>
        <w:pStyle w:val="ARbody"/>
      </w:pPr>
      <w:r w:rsidRPr="00AC03FB">
        <w:t xml:space="preserve">In 2021–22, there was one consultancy engaged during the year where the total fees payable to the individual consultancy </w:t>
      </w:r>
      <w:r w:rsidR="00871FA0">
        <w:t>were</w:t>
      </w:r>
      <w:r w:rsidR="00871FA0" w:rsidRPr="00AC03FB">
        <w:t xml:space="preserve"> </w:t>
      </w:r>
      <w:r w:rsidRPr="00AC03FB">
        <w:t>less than $10,000.</w:t>
      </w:r>
      <w:r w:rsidRPr="00243A6D">
        <w:t xml:space="preserve"> </w:t>
      </w:r>
      <w:r w:rsidRPr="00E6556A">
        <w:t>The</w:t>
      </w:r>
      <w:r w:rsidR="0030377F">
        <w:t> </w:t>
      </w:r>
      <w:r w:rsidRPr="00E6556A">
        <w:t>total expenditure incurred during 2021–22 in</w:t>
      </w:r>
      <w:r w:rsidR="0030377F">
        <w:t> </w:t>
      </w:r>
      <w:r w:rsidRPr="00E6556A">
        <w:t>relation to this consultancy was $9,630 (excluding GST).</w:t>
      </w:r>
    </w:p>
    <w:p w14:paraId="1C686A9A" w14:textId="77777777" w:rsidR="00EF6835" w:rsidRDefault="00EF6835" w:rsidP="00DD0FB0">
      <w:pPr>
        <w:pStyle w:val="Heading3"/>
        <w:spacing w:before="240" w:after="60"/>
      </w:pPr>
      <w:bookmarkStart w:id="350" w:name="_Ref84252255"/>
      <w:bookmarkStart w:id="351" w:name="_Toc85121271"/>
      <w:r>
        <w:t>C</w:t>
      </w:r>
      <w:r w:rsidRPr="00F4506C">
        <w:t>onsultancies ($10</w:t>
      </w:r>
      <w:r>
        <w:t>,</w:t>
      </w:r>
      <w:r w:rsidRPr="00F4506C">
        <w:t>000 or greater)</w:t>
      </w:r>
      <w:bookmarkEnd w:id="350"/>
      <w:bookmarkEnd w:id="351"/>
    </w:p>
    <w:p w14:paraId="6CCE684A" w14:textId="56968807" w:rsidR="00EF6835" w:rsidRDefault="00EF6835" w:rsidP="00EF6835">
      <w:pPr>
        <w:pStyle w:val="ARbody"/>
      </w:pPr>
      <w:r w:rsidRPr="00437D68">
        <w:t>In 2021–22, there were 29 consultancies where the total fees payable to the consultants were $10,000 or greater. The total expenditure incurred during 2021–22 in relation to these consultancies was $16,141,666 (excluding GST).</w:t>
      </w:r>
    </w:p>
    <w:p w14:paraId="4583D0A0" w14:textId="21B08509" w:rsidR="00EF6835" w:rsidRPr="0066269E" w:rsidRDefault="00AC03FB" w:rsidP="00DD0FB0">
      <w:pPr>
        <w:pStyle w:val="ARbody"/>
        <w:keepNext/>
        <w:spacing w:after="60"/>
      </w:pPr>
      <w:r>
        <w:t>The t</w:t>
      </w:r>
      <w:r w:rsidR="00EF6835">
        <w:t xml:space="preserve">ables </w:t>
      </w:r>
      <w:r>
        <w:t xml:space="preserve">in </w:t>
      </w:r>
      <w:r w:rsidR="00EF6835">
        <w:t xml:space="preserve">the following pages provide </w:t>
      </w:r>
      <w:r w:rsidR="00A40970">
        <w:t xml:space="preserve">the </w:t>
      </w:r>
      <w:r w:rsidR="00EF6835">
        <w:t>details o</w:t>
      </w:r>
      <w:r w:rsidR="00A40970">
        <w:t>f</w:t>
      </w:r>
      <w:r w:rsidR="00EF6835">
        <w:t> this consultancy expenditure</w:t>
      </w:r>
      <w:r w:rsidR="00A40970">
        <w:t>, which is</w:t>
      </w:r>
      <w:r w:rsidR="0030377F">
        <w:t> </w:t>
      </w:r>
      <w:r w:rsidR="00EF6835" w:rsidRPr="0066269E">
        <w:t>categorised as follows:</w:t>
      </w:r>
    </w:p>
    <w:p w14:paraId="6CE759C5" w14:textId="77777777" w:rsidR="00EF6835" w:rsidRPr="0066269E" w:rsidRDefault="00EF6835" w:rsidP="00DD0FB0">
      <w:pPr>
        <w:pStyle w:val="ARbullet1"/>
        <w:spacing w:after="30"/>
      </w:pPr>
      <w:bookmarkStart w:id="352" w:name="_Hlk108616888"/>
      <w:r w:rsidRPr="0066269E">
        <w:t>capital, business and planning</w:t>
      </w:r>
    </w:p>
    <w:p w14:paraId="026BDDFF" w14:textId="77777777" w:rsidR="00EF6835" w:rsidRPr="0066269E" w:rsidRDefault="00EF6835" w:rsidP="00DD0FB0">
      <w:pPr>
        <w:pStyle w:val="ARbullet1"/>
        <w:spacing w:after="30"/>
      </w:pPr>
      <w:r w:rsidRPr="0066269E">
        <w:t>information, data and technology</w:t>
      </w:r>
    </w:p>
    <w:p w14:paraId="7F3023D3" w14:textId="77777777" w:rsidR="00EF6835" w:rsidRPr="0066269E" w:rsidRDefault="00EF6835" w:rsidP="00DD0FB0">
      <w:pPr>
        <w:pStyle w:val="ARbullet1"/>
        <w:spacing w:after="30"/>
      </w:pPr>
      <w:r w:rsidRPr="0066269E">
        <w:t>policy/program advice and delivery</w:t>
      </w:r>
    </w:p>
    <w:p w14:paraId="74DB4B97" w14:textId="77777777" w:rsidR="00EF6835" w:rsidRPr="0066269E" w:rsidRDefault="00EF6835" w:rsidP="00DD0FB0">
      <w:pPr>
        <w:pStyle w:val="ARbullet1"/>
        <w:spacing w:after="30"/>
      </w:pPr>
      <w:r w:rsidRPr="0066269E">
        <w:t>probity, data integrity and audit</w:t>
      </w:r>
    </w:p>
    <w:p w14:paraId="1BEFCD07" w14:textId="77777777" w:rsidR="00EF6835" w:rsidRPr="0066269E" w:rsidRDefault="00EF6835" w:rsidP="00DD0FB0">
      <w:pPr>
        <w:pStyle w:val="ARbullet1"/>
        <w:spacing w:after="30"/>
      </w:pPr>
      <w:r w:rsidRPr="0066269E">
        <w:t>program assessment and evaluation</w:t>
      </w:r>
    </w:p>
    <w:p w14:paraId="5999520B" w14:textId="77777777" w:rsidR="00EF6835" w:rsidRPr="0066269E" w:rsidRDefault="00EF6835" w:rsidP="00EF6835">
      <w:pPr>
        <w:pStyle w:val="ARbullet1"/>
      </w:pPr>
      <w:r w:rsidRPr="0066269E">
        <w:t>workforce support.</w:t>
      </w:r>
    </w:p>
    <w:p w14:paraId="69ED5B4B" w14:textId="77777777" w:rsidR="00EF6835" w:rsidRDefault="00EF6835" w:rsidP="00DD0FB0">
      <w:pPr>
        <w:pStyle w:val="Heading3"/>
        <w:spacing w:before="240" w:after="60"/>
      </w:pPr>
      <w:bookmarkStart w:id="353" w:name="_Toc85121272"/>
      <w:bookmarkEnd w:id="352"/>
      <w:r>
        <w:t>Improving procurement practice</w:t>
      </w:r>
      <w:bookmarkEnd w:id="353"/>
    </w:p>
    <w:p w14:paraId="51D42A48" w14:textId="67F6D8EB" w:rsidR="00EF6835" w:rsidRDefault="00EF6835" w:rsidP="00EF6835">
      <w:pPr>
        <w:pStyle w:val="ARbody"/>
      </w:pPr>
      <w:r>
        <w:t>The department undertook a number of activities to</w:t>
      </w:r>
      <w:r w:rsidR="0030377F">
        <w:t> </w:t>
      </w:r>
      <w:r>
        <w:t>reduce reliance on consultants, including building internal capabilities and improv</w:t>
      </w:r>
      <w:r w:rsidR="00752EA2">
        <w:t>ing</w:t>
      </w:r>
      <w:r>
        <w:t xml:space="preserve"> procurement processes.</w:t>
      </w:r>
    </w:p>
    <w:p w14:paraId="5366E46C" w14:textId="6C85E044" w:rsidR="00EF6835" w:rsidRDefault="00EF6835" w:rsidP="00DD0FB0">
      <w:pPr>
        <w:pStyle w:val="ARbody"/>
        <w:keepNext/>
        <w:spacing w:after="60"/>
      </w:pPr>
      <w:r>
        <w:t>During 2021–22, the department:</w:t>
      </w:r>
    </w:p>
    <w:p w14:paraId="2D55DC07" w14:textId="36A6A6CB" w:rsidR="00EF6835" w:rsidRPr="00D11D7C" w:rsidRDefault="00EF6835" w:rsidP="00EF6835">
      <w:pPr>
        <w:pStyle w:val="ARbullet1"/>
      </w:pPr>
      <w:r w:rsidRPr="00171DC6">
        <w:t xml:space="preserve">continued strong management of </w:t>
      </w:r>
      <w:r w:rsidRPr="00D11D7C">
        <w:t xml:space="preserve">consultant engagements through the Strategic Alliance framework established in 2018–19 with five third-party providers across the health, community services and organisational improvement domains. The details of work undertaken </w:t>
      </w:r>
      <w:r w:rsidR="00A40970" w:rsidRPr="00D11D7C">
        <w:t xml:space="preserve">under </w:t>
      </w:r>
      <w:r w:rsidRPr="00D11D7C">
        <w:t>the framework and payments made in 2021–22 are included in the first part of the tables</w:t>
      </w:r>
      <w:r w:rsidR="00897CF4">
        <w:t>.</w:t>
      </w:r>
    </w:p>
    <w:p w14:paraId="51E6B562" w14:textId="2B31AAF1" w:rsidR="00EF6835" w:rsidRPr="00D11D7C" w:rsidRDefault="00EF6835" w:rsidP="00EF6835">
      <w:pPr>
        <w:pStyle w:val="ARbullet1"/>
      </w:pPr>
      <w:r w:rsidRPr="00D11D7C">
        <w:t>leveraged strategic consultancy relationships under the alliance model to maintain procurement rigour during the department’s emergency response to COVID-19. These benefits and discounted rates have also been leveraged to support the Department of Families, Fairness and Housing, and particularly Homes Victoria</w:t>
      </w:r>
      <w:r w:rsidR="00897CF4">
        <w:t>.</w:t>
      </w:r>
    </w:p>
    <w:p w14:paraId="1AC95D53" w14:textId="6D436331" w:rsidR="00EF6835" w:rsidRPr="00D11D7C" w:rsidRDefault="00EF6835" w:rsidP="00EF6835">
      <w:pPr>
        <w:pStyle w:val="ARbullet1"/>
      </w:pPr>
      <w:r w:rsidRPr="00D11D7C">
        <w:t xml:space="preserve">supported capability uplift of </w:t>
      </w:r>
      <w:r w:rsidR="00053F39">
        <w:t>its</w:t>
      </w:r>
      <w:r w:rsidR="00053F39" w:rsidRPr="00D11D7C">
        <w:t xml:space="preserve"> </w:t>
      </w:r>
      <w:r w:rsidRPr="00D11D7C">
        <w:t xml:space="preserve">people and the transformational change of the department and </w:t>
      </w:r>
      <w:r w:rsidR="00053F39">
        <w:t>its</w:t>
      </w:r>
      <w:r w:rsidR="00053F39" w:rsidRPr="00D11D7C">
        <w:t xml:space="preserve"> </w:t>
      </w:r>
      <w:r w:rsidRPr="00D11D7C">
        <w:t>services, as well as improved the quality of the strategic advice received</w:t>
      </w:r>
    </w:p>
    <w:p w14:paraId="3A0E0222" w14:textId="77777777" w:rsidR="00EF6835" w:rsidRDefault="00EF6835" w:rsidP="00EF6835">
      <w:pPr>
        <w:pStyle w:val="ARbullet1"/>
      </w:pPr>
      <w:r w:rsidRPr="00D11D7C">
        <w:t>continued to develop internal capability through knowledge sharing with department staff involved in Strategic Alliance projects, as well as dedicated internal consulting,</w:t>
      </w:r>
      <w:r>
        <w:t xml:space="preserve"> advisory and project-based programs to improve policy and program delivery</w:t>
      </w:r>
    </w:p>
    <w:p w14:paraId="4674A90B" w14:textId="77777777" w:rsidR="00EF6835" w:rsidRDefault="00EF6835" w:rsidP="00EF6835">
      <w:pPr>
        <w:pStyle w:val="ARbullet1"/>
      </w:pPr>
      <w:r>
        <w:t>drove high-level scrutiny of consultant engagements to ensure, among other things, that all alternative avenues of supply were considered prior to engaging a consultant</w:t>
      </w:r>
    </w:p>
    <w:p w14:paraId="0485EAE9" w14:textId="73970909" w:rsidR="00EF6835" w:rsidRDefault="00EF6835" w:rsidP="00EF6835">
      <w:pPr>
        <w:pStyle w:val="ARbullet1"/>
      </w:pPr>
      <w:r>
        <w:t xml:space="preserve">commenced procurement planning to establish a new consultancy/professional services </w:t>
      </w:r>
      <w:r w:rsidR="00B855C2">
        <w:t>procurement</w:t>
      </w:r>
      <w:r>
        <w:t xml:space="preserve"> arrangement, improving on the Strategic Alliance model, to support continuity of</w:t>
      </w:r>
      <w:r w:rsidR="0030377F">
        <w:t> </w:t>
      </w:r>
      <w:r>
        <w:t>the benefits realised under that arrangement</w:t>
      </w:r>
      <w:r w:rsidR="006D7280">
        <w:t>,</w:t>
      </w:r>
      <w:r w:rsidR="008E0F44">
        <w:t xml:space="preserve"> </w:t>
      </w:r>
      <w:r w:rsidR="008E0F44" w:rsidRPr="008E0F44">
        <w:t>as well as creating a competitive environment with increased partner choices</w:t>
      </w:r>
      <w:r>
        <w:t>.</w:t>
      </w:r>
    </w:p>
    <w:p w14:paraId="12135B47" w14:textId="2701EFA4" w:rsidR="005B247C" w:rsidRDefault="005B247C" w:rsidP="00EF6835">
      <w:pPr>
        <w:pStyle w:val="ARbodyafterbullets"/>
      </w:pPr>
      <w:r w:rsidRPr="005B247C">
        <w:t xml:space="preserve">The Strategic Alliance panel comprised three domains. The </w:t>
      </w:r>
      <w:r w:rsidR="00CC5335">
        <w:t>h</w:t>
      </w:r>
      <w:r w:rsidRPr="005B247C">
        <w:t xml:space="preserve">ealth domain had the greatest demand and </w:t>
      </w:r>
      <w:r>
        <w:t>expenditure, so</w:t>
      </w:r>
      <w:r w:rsidRPr="005B247C">
        <w:t xml:space="preserve"> was afforded the highest funding allocation to support this demand. Following a competitive procurement process, the two providers for the </w:t>
      </w:r>
      <w:r w:rsidR="00CC5335">
        <w:t>h</w:t>
      </w:r>
      <w:r w:rsidRPr="005B247C">
        <w:t>ealth domain were KPMG and B</w:t>
      </w:r>
      <w:r w:rsidR="00C50CB2">
        <w:t xml:space="preserve">oston </w:t>
      </w:r>
      <w:r w:rsidRPr="005B247C">
        <w:t>C</w:t>
      </w:r>
      <w:r w:rsidR="00C50CB2">
        <w:t>onsulting Group</w:t>
      </w:r>
      <w:r w:rsidR="001E0CF2">
        <w:t xml:space="preserve">. The latter </w:t>
      </w:r>
      <w:r w:rsidRPr="005B247C">
        <w:t xml:space="preserve">offered specialised health services, </w:t>
      </w:r>
      <w:r w:rsidR="00C50CB2">
        <w:t xml:space="preserve">for </w:t>
      </w:r>
      <w:r w:rsidRPr="005B247C">
        <w:t>which there was less demand, resulting in fewer consultancies.</w:t>
      </w:r>
    </w:p>
    <w:p w14:paraId="20918CF1" w14:textId="22683058" w:rsidR="00EF6835" w:rsidRDefault="00EF6835" w:rsidP="00EF6835">
      <w:pPr>
        <w:pStyle w:val="ARbodyafterbullets"/>
      </w:pPr>
      <w:r>
        <w:t>Improvements to procurement processes ensured that contracted solutions were competitive, used government and department panel contracts where appropriate, and undertook meaningful contract review processes to inform decisions on future engagements.</w:t>
      </w:r>
    </w:p>
    <w:p w14:paraId="0AD8B80B" w14:textId="77777777" w:rsidR="00EF6835" w:rsidRDefault="00EF6835" w:rsidP="00EF6835">
      <w:pPr>
        <w:pStyle w:val="ARbodyafterbullets"/>
      </w:pPr>
      <w:r>
        <w:t>These arrangements continued to drive value for money, with a focus on ensuring the department used consultants and contracts appropriately and effectively.</w:t>
      </w:r>
    </w:p>
    <w:p w14:paraId="37194434" w14:textId="77777777" w:rsidR="00EF6835" w:rsidRDefault="00EF6835" w:rsidP="001A559C">
      <w:pPr>
        <w:pStyle w:val="ARbody"/>
        <w:sectPr w:rsidR="00EF6835" w:rsidSect="009D1AA8">
          <w:footnotePr>
            <w:numFmt w:val="lowerLetter"/>
            <w:numRestart w:val="eachPage"/>
          </w:footnotePr>
          <w:endnotePr>
            <w:numFmt w:val="decimal"/>
          </w:endnotePr>
          <w:pgSz w:w="11900" w:h="16840" w:code="9"/>
          <w:pgMar w:top="1985" w:right="1134" w:bottom="851" w:left="1134" w:header="510" w:footer="340" w:gutter="0"/>
          <w:cols w:num="2" w:space="454"/>
          <w:docGrid w:linePitch="299"/>
          <w15:footnoteColumns w:val="1"/>
        </w:sectPr>
      </w:pPr>
    </w:p>
    <w:p w14:paraId="5F5A604C" w14:textId="336B3631" w:rsidR="00EF6835" w:rsidRDefault="00EF6835" w:rsidP="00BA1B22">
      <w:pPr>
        <w:pStyle w:val="Heading4"/>
        <w:spacing w:before="0"/>
      </w:pPr>
      <w:bookmarkStart w:id="354" w:name="_Toc85121273"/>
      <w:r w:rsidRPr="008135B7">
        <w:t>Details of consultancies (valued at $10,000 or greater)</w:t>
      </w:r>
      <w:bookmarkEnd w:id="354"/>
    </w:p>
    <w:tbl>
      <w:tblPr>
        <w:tblStyle w:val="TableGrid"/>
        <w:tblW w:w="5003" w:type="pct"/>
        <w:tblLayout w:type="fixed"/>
        <w:tblLook w:val="04A0" w:firstRow="1" w:lastRow="0" w:firstColumn="1" w:lastColumn="0" w:noHBand="0" w:noVBand="1"/>
      </w:tblPr>
      <w:tblGrid>
        <w:gridCol w:w="1479"/>
        <w:gridCol w:w="1747"/>
        <w:gridCol w:w="2239"/>
        <w:gridCol w:w="1390"/>
        <w:gridCol w:w="1475"/>
        <w:gridCol w:w="1298"/>
      </w:tblGrid>
      <w:tr w:rsidR="00D210E3" w:rsidRPr="006663D5" w14:paraId="7B6D42D9" w14:textId="77777777" w:rsidTr="0022137A">
        <w:trPr>
          <w:cnfStyle w:val="100000000000" w:firstRow="1" w:lastRow="0" w:firstColumn="0" w:lastColumn="0" w:oddVBand="0" w:evenVBand="0" w:oddHBand="0" w:evenHBand="0" w:firstRowFirstColumn="0" w:firstRowLastColumn="0" w:lastRowFirstColumn="0" w:lastRowLastColumn="0"/>
          <w:trHeight w:val="747"/>
          <w:tblHeader/>
        </w:trPr>
        <w:tc>
          <w:tcPr>
            <w:tcW w:w="768" w:type="pct"/>
            <w:hideMark/>
          </w:tcPr>
          <w:p w14:paraId="292D228C" w14:textId="77777777" w:rsidR="00EF6835" w:rsidRPr="006663D5" w:rsidRDefault="00EF6835" w:rsidP="0022137A">
            <w:pPr>
              <w:pStyle w:val="ARtablecolhead"/>
              <w:spacing w:line="252" w:lineRule="auto"/>
            </w:pPr>
            <w:bookmarkStart w:id="355" w:name="_Hlk109036577"/>
            <w:r w:rsidRPr="006663D5">
              <w:t>Category</w:t>
            </w:r>
          </w:p>
        </w:tc>
        <w:tc>
          <w:tcPr>
            <w:tcW w:w="907" w:type="pct"/>
            <w:hideMark/>
          </w:tcPr>
          <w:p w14:paraId="43930DA8" w14:textId="77777777" w:rsidR="00EF6835" w:rsidRPr="006663D5" w:rsidRDefault="00EF6835" w:rsidP="0022137A">
            <w:pPr>
              <w:pStyle w:val="ARtablecolhead"/>
              <w:spacing w:line="252" w:lineRule="auto"/>
            </w:pPr>
            <w:r w:rsidRPr="006663D5">
              <w:t>Consultant</w:t>
            </w:r>
          </w:p>
        </w:tc>
        <w:tc>
          <w:tcPr>
            <w:tcW w:w="1163" w:type="pct"/>
            <w:hideMark/>
          </w:tcPr>
          <w:p w14:paraId="7B7FB3BB" w14:textId="77777777" w:rsidR="00EF6835" w:rsidRPr="006663D5" w:rsidRDefault="00EF6835" w:rsidP="0022137A">
            <w:pPr>
              <w:pStyle w:val="ARtablecolhead"/>
              <w:spacing w:line="252" w:lineRule="auto"/>
            </w:pPr>
            <w:r w:rsidRPr="006663D5">
              <w:t xml:space="preserve">Purpose of </w:t>
            </w:r>
            <w:r>
              <w:br/>
              <w:t>c</w:t>
            </w:r>
            <w:r w:rsidRPr="006663D5">
              <w:t>onsultancy</w:t>
            </w:r>
          </w:p>
        </w:tc>
        <w:tc>
          <w:tcPr>
            <w:tcW w:w="722" w:type="pct"/>
            <w:tcBorders>
              <w:bottom w:val="single" w:sz="4" w:space="0" w:color="auto"/>
            </w:tcBorders>
            <w:hideMark/>
          </w:tcPr>
          <w:p w14:paraId="6D1EF4A2" w14:textId="0FA57368" w:rsidR="00EF6835" w:rsidRPr="006663D5" w:rsidRDefault="00EF6835" w:rsidP="0022137A">
            <w:pPr>
              <w:pStyle w:val="ARtablecolheadright"/>
              <w:spacing w:line="252" w:lineRule="auto"/>
            </w:pPr>
            <w:r w:rsidRPr="00F03244">
              <w:t xml:space="preserve">Total </w:t>
            </w:r>
            <w:r w:rsidR="00954AD2" w:rsidRPr="00F03244">
              <w:t xml:space="preserve">approved </w:t>
            </w:r>
            <w:r w:rsidRPr="00F03244">
              <w:t>project fee</w:t>
            </w:r>
            <w:r w:rsidR="000D1544" w:rsidRPr="00ED2B53">
              <w:rPr>
                <w:rStyle w:val="FootnoteReference"/>
              </w:rPr>
              <w:t>(</w:t>
            </w:r>
            <w:r w:rsidR="000D1544">
              <w:rPr>
                <w:rStyle w:val="FootnoteReference"/>
              </w:rPr>
              <w:footnoteReference w:id="44"/>
            </w:r>
            <w:r w:rsidR="000D1544" w:rsidRPr="00ED2B53">
              <w:rPr>
                <w:rStyle w:val="FootnoteReference"/>
              </w:rPr>
              <w:t>)</w:t>
            </w:r>
            <w:r w:rsidRPr="00F03244">
              <w:t xml:space="preserve"> excl. GST</w:t>
            </w:r>
          </w:p>
        </w:tc>
        <w:tc>
          <w:tcPr>
            <w:tcW w:w="766" w:type="pct"/>
            <w:tcBorders>
              <w:bottom w:val="single" w:sz="4" w:space="0" w:color="auto"/>
            </w:tcBorders>
            <w:hideMark/>
          </w:tcPr>
          <w:p w14:paraId="579BD3AD" w14:textId="77777777" w:rsidR="00EF6835" w:rsidRPr="006663D5" w:rsidRDefault="00EF6835" w:rsidP="0022137A">
            <w:pPr>
              <w:pStyle w:val="ARtablecolheadright"/>
              <w:spacing w:line="252" w:lineRule="auto"/>
            </w:pPr>
            <w:r w:rsidRPr="006663D5">
              <w:t>Expenditure 20</w:t>
            </w:r>
            <w:r>
              <w:t xml:space="preserve">21–22 </w:t>
            </w:r>
            <w:r w:rsidRPr="006663D5">
              <w:t>excl</w:t>
            </w:r>
            <w:r>
              <w:t>. </w:t>
            </w:r>
            <w:r w:rsidRPr="006663D5">
              <w:t>GST</w:t>
            </w:r>
          </w:p>
        </w:tc>
        <w:tc>
          <w:tcPr>
            <w:tcW w:w="674" w:type="pct"/>
            <w:tcBorders>
              <w:bottom w:val="single" w:sz="4" w:space="0" w:color="auto"/>
            </w:tcBorders>
            <w:hideMark/>
          </w:tcPr>
          <w:p w14:paraId="10147230" w14:textId="5F20DD61" w:rsidR="00EF6835" w:rsidRPr="006663D5" w:rsidRDefault="00EF6835" w:rsidP="0022137A">
            <w:pPr>
              <w:pStyle w:val="ARtablecolheadright"/>
              <w:spacing w:line="252" w:lineRule="auto"/>
              <w:ind w:right="-103"/>
            </w:pPr>
            <w:r w:rsidRPr="006663D5">
              <w:t xml:space="preserve">Future </w:t>
            </w:r>
            <w:r>
              <w:t>e</w:t>
            </w:r>
            <w:r w:rsidRPr="006663D5">
              <w:t>xpenditure</w:t>
            </w:r>
            <w:r w:rsidR="00FD0044" w:rsidRPr="00ED2B53">
              <w:rPr>
                <w:rStyle w:val="FootnoteReference"/>
              </w:rPr>
              <w:t>(</w:t>
            </w:r>
            <w:r w:rsidR="00FD0044">
              <w:rPr>
                <w:rStyle w:val="FootnoteReference"/>
              </w:rPr>
              <w:footnoteReference w:id="45"/>
            </w:r>
            <w:r w:rsidR="00FD0044" w:rsidRPr="00ED2B53">
              <w:rPr>
                <w:rStyle w:val="FootnoteReference"/>
              </w:rPr>
              <w:t>)</w:t>
            </w:r>
            <w:r w:rsidRPr="006663D5">
              <w:t xml:space="preserve"> excl</w:t>
            </w:r>
            <w:r>
              <w:t>. </w:t>
            </w:r>
            <w:r w:rsidRPr="006663D5">
              <w:t>GST</w:t>
            </w:r>
          </w:p>
        </w:tc>
      </w:tr>
      <w:tr w:rsidR="00EF6835" w:rsidRPr="00A34CB9" w14:paraId="3663F02A" w14:textId="77777777" w:rsidTr="0022137A">
        <w:trPr>
          <w:trHeight w:val="589"/>
        </w:trPr>
        <w:tc>
          <w:tcPr>
            <w:tcW w:w="768" w:type="pct"/>
            <w:vMerge w:val="restart"/>
          </w:tcPr>
          <w:p w14:paraId="29AA6D81" w14:textId="77777777" w:rsidR="00EF6835" w:rsidRPr="009D7C32" w:rsidRDefault="00EF6835" w:rsidP="00752FB6">
            <w:pPr>
              <w:pStyle w:val="ARtabletext"/>
            </w:pPr>
            <w:r w:rsidRPr="009D7C32">
              <w:t>Policy/Program Advice &amp; Delivery</w:t>
            </w:r>
          </w:p>
        </w:tc>
        <w:tc>
          <w:tcPr>
            <w:tcW w:w="907" w:type="pct"/>
            <w:vMerge w:val="restart"/>
          </w:tcPr>
          <w:p w14:paraId="0A37AC48" w14:textId="77777777" w:rsidR="00EF6835" w:rsidRPr="00D11D7C" w:rsidRDefault="00EF6835" w:rsidP="00752FB6">
            <w:pPr>
              <w:pStyle w:val="ARtabletext"/>
            </w:pPr>
            <w:r w:rsidRPr="00D11D7C">
              <w:t>Boston Consulting Group</w:t>
            </w:r>
          </w:p>
          <w:p w14:paraId="14D90566" w14:textId="0C92790E" w:rsidR="00EF6835" w:rsidRPr="00D11D7C" w:rsidRDefault="00EF6835" w:rsidP="00752FB6">
            <w:pPr>
              <w:pStyle w:val="ARtabletext"/>
              <w:rPr>
                <w:i/>
                <w:iCs/>
              </w:rPr>
            </w:pPr>
            <w:r w:rsidRPr="00D11D7C">
              <w:t>Strategic Alliance (Health) total approved project fee whole-of-life status excl. GST as at 30 June 2022: $17,235,359</w:t>
            </w:r>
          </w:p>
        </w:tc>
        <w:tc>
          <w:tcPr>
            <w:tcW w:w="1163" w:type="pct"/>
            <w:tcBorders>
              <w:right w:val="nil"/>
            </w:tcBorders>
          </w:tcPr>
          <w:p w14:paraId="64B0D938" w14:textId="77777777" w:rsidR="00EF6835" w:rsidRPr="009D7C32" w:rsidRDefault="00EF6835" w:rsidP="00752FB6">
            <w:pPr>
              <w:pStyle w:val="ARtabletext"/>
            </w:pPr>
            <w:r>
              <w:t>Delivery, Health system reform</w:t>
            </w:r>
          </w:p>
        </w:tc>
        <w:tc>
          <w:tcPr>
            <w:tcW w:w="722" w:type="pct"/>
            <w:tcBorders>
              <w:top w:val="single" w:sz="4" w:space="0" w:color="auto"/>
              <w:left w:val="nil"/>
              <w:bottom w:val="single" w:sz="4" w:space="0" w:color="auto"/>
              <w:right w:val="nil"/>
            </w:tcBorders>
            <w:shd w:val="clear" w:color="auto" w:fill="auto"/>
          </w:tcPr>
          <w:p w14:paraId="6F8A17E7" w14:textId="117659A7" w:rsidR="00EF6835" w:rsidRPr="00D772DC" w:rsidRDefault="008135B7" w:rsidP="00752FB6">
            <w:pPr>
              <w:pStyle w:val="ARtabletextright"/>
            </w:pPr>
            <w:r>
              <w:t>$</w:t>
            </w:r>
            <w:r w:rsidR="00EF6835" w:rsidRPr="00D772DC">
              <w:t>1,200,000</w:t>
            </w:r>
          </w:p>
        </w:tc>
        <w:tc>
          <w:tcPr>
            <w:tcW w:w="766" w:type="pct"/>
            <w:tcBorders>
              <w:top w:val="single" w:sz="4" w:space="0" w:color="auto"/>
              <w:left w:val="single" w:sz="4" w:space="0" w:color="FFFFFF"/>
              <w:bottom w:val="single" w:sz="4" w:space="0" w:color="auto"/>
              <w:right w:val="single" w:sz="4" w:space="0" w:color="FFFFFF"/>
            </w:tcBorders>
            <w:shd w:val="clear" w:color="auto" w:fill="auto"/>
          </w:tcPr>
          <w:p w14:paraId="1FC3DB9A" w14:textId="74917DE0" w:rsidR="00EF6835" w:rsidRPr="009D7C32" w:rsidRDefault="008135B7" w:rsidP="00752FB6">
            <w:pPr>
              <w:pStyle w:val="ARtabletextright"/>
            </w:pPr>
            <w:r>
              <w:t>$</w:t>
            </w:r>
            <w:r w:rsidR="00EF6835">
              <w:t>1,200,000</w:t>
            </w:r>
          </w:p>
        </w:tc>
        <w:tc>
          <w:tcPr>
            <w:tcW w:w="674" w:type="pct"/>
            <w:tcBorders>
              <w:top w:val="single" w:sz="4" w:space="0" w:color="auto"/>
              <w:left w:val="single" w:sz="4" w:space="0" w:color="FFFFFF"/>
              <w:bottom w:val="single" w:sz="4" w:space="0" w:color="auto"/>
              <w:right w:val="single" w:sz="4" w:space="0" w:color="FFFFFF"/>
            </w:tcBorders>
            <w:shd w:val="clear" w:color="auto" w:fill="auto"/>
          </w:tcPr>
          <w:p w14:paraId="37CC5EF7" w14:textId="14FF00F4" w:rsidR="00EF6835" w:rsidRPr="00D772DC" w:rsidRDefault="008135B7" w:rsidP="00752FB6">
            <w:pPr>
              <w:pStyle w:val="ARtabletextright"/>
            </w:pPr>
            <w:r>
              <w:t>$</w:t>
            </w:r>
            <w:r w:rsidR="00EF6835">
              <w:t>0</w:t>
            </w:r>
          </w:p>
        </w:tc>
      </w:tr>
      <w:tr w:rsidR="00EF6835" w:rsidRPr="00A34CB9" w14:paraId="6765732B" w14:textId="77777777" w:rsidTr="0022137A">
        <w:trPr>
          <w:trHeight w:val="1136"/>
        </w:trPr>
        <w:tc>
          <w:tcPr>
            <w:tcW w:w="768" w:type="pct"/>
            <w:vMerge/>
          </w:tcPr>
          <w:p w14:paraId="33014B35" w14:textId="77777777" w:rsidR="00EF6835" w:rsidRPr="009D7C32" w:rsidRDefault="00EF6835" w:rsidP="00752FB6">
            <w:pPr>
              <w:pStyle w:val="ARtabletext"/>
            </w:pPr>
          </w:p>
        </w:tc>
        <w:tc>
          <w:tcPr>
            <w:tcW w:w="907" w:type="pct"/>
            <w:vMerge/>
          </w:tcPr>
          <w:p w14:paraId="53AF02D3" w14:textId="77777777" w:rsidR="00EF6835" w:rsidRPr="00D11D7C" w:rsidRDefault="00EF6835" w:rsidP="00752FB6">
            <w:pPr>
              <w:pStyle w:val="ARtabletext"/>
            </w:pPr>
          </w:p>
        </w:tc>
        <w:tc>
          <w:tcPr>
            <w:tcW w:w="1163" w:type="pct"/>
            <w:tcBorders>
              <w:right w:val="nil"/>
            </w:tcBorders>
          </w:tcPr>
          <w:p w14:paraId="7C0C38EF" w14:textId="3C1B8827" w:rsidR="00EF6835" w:rsidRPr="009D7C32" w:rsidRDefault="00EF6835" w:rsidP="00752FB6">
            <w:pPr>
              <w:pStyle w:val="ARtabletext"/>
            </w:pPr>
            <w:r>
              <w:t>Support, Transition plan for COVID</w:t>
            </w:r>
            <w:r w:rsidR="00624A8F">
              <w:t>-19</w:t>
            </w:r>
            <w:r>
              <w:t xml:space="preserve"> command and vision for future public health model in Victoria</w:t>
            </w:r>
          </w:p>
        </w:tc>
        <w:tc>
          <w:tcPr>
            <w:tcW w:w="722" w:type="pct"/>
            <w:tcBorders>
              <w:top w:val="single" w:sz="4" w:space="0" w:color="auto"/>
              <w:left w:val="nil"/>
              <w:bottom w:val="single" w:sz="4" w:space="0" w:color="auto"/>
              <w:right w:val="nil"/>
            </w:tcBorders>
            <w:shd w:val="clear" w:color="auto" w:fill="auto"/>
          </w:tcPr>
          <w:p w14:paraId="7BF11252" w14:textId="0CDF21E1" w:rsidR="00EF6835" w:rsidRPr="00D772DC" w:rsidRDefault="008135B7" w:rsidP="00752FB6">
            <w:pPr>
              <w:pStyle w:val="ARtabletextright"/>
            </w:pPr>
            <w:r>
              <w:t>$</w:t>
            </w:r>
            <w:r w:rsidR="00EF6835" w:rsidRPr="00D772DC">
              <w:t>959,000</w:t>
            </w:r>
          </w:p>
        </w:tc>
        <w:tc>
          <w:tcPr>
            <w:tcW w:w="766" w:type="pct"/>
            <w:tcBorders>
              <w:top w:val="single" w:sz="4" w:space="0" w:color="auto"/>
              <w:left w:val="single" w:sz="4" w:space="0" w:color="FFFFFF"/>
              <w:bottom w:val="single" w:sz="4" w:space="0" w:color="auto"/>
              <w:right w:val="single" w:sz="4" w:space="0" w:color="FFFFFF"/>
            </w:tcBorders>
            <w:shd w:val="clear" w:color="auto" w:fill="auto"/>
          </w:tcPr>
          <w:p w14:paraId="6A58CA66" w14:textId="3330EC23" w:rsidR="00EF6835" w:rsidRPr="009D7C32" w:rsidRDefault="008135B7" w:rsidP="00752FB6">
            <w:pPr>
              <w:pStyle w:val="ARtabletextright"/>
            </w:pPr>
            <w:r>
              <w:t>$</w:t>
            </w:r>
            <w:r w:rsidR="00EF6835">
              <w:t>959,000</w:t>
            </w:r>
          </w:p>
        </w:tc>
        <w:tc>
          <w:tcPr>
            <w:tcW w:w="674" w:type="pct"/>
            <w:tcBorders>
              <w:top w:val="single" w:sz="4" w:space="0" w:color="auto"/>
              <w:left w:val="single" w:sz="4" w:space="0" w:color="FFFFFF"/>
              <w:bottom w:val="single" w:sz="4" w:space="0" w:color="auto"/>
              <w:right w:val="single" w:sz="4" w:space="0" w:color="FFFFFF"/>
            </w:tcBorders>
            <w:shd w:val="clear" w:color="auto" w:fill="auto"/>
          </w:tcPr>
          <w:p w14:paraId="6B599992" w14:textId="46D77C36" w:rsidR="00EF6835" w:rsidRPr="00D772DC" w:rsidRDefault="008135B7" w:rsidP="00752FB6">
            <w:pPr>
              <w:pStyle w:val="ARtabletextright"/>
            </w:pPr>
            <w:r>
              <w:t>$</w:t>
            </w:r>
            <w:r w:rsidR="00EF6835">
              <w:t>0</w:t>
            </w:r>
          </w:p>
        </w:tc>
      </w:tr>
      <w:tr w:rsidR="00EF6835" w:rsidRPr="00120D8B" w14:paraId="5D6AFD8D" w14:textId="77777777" w:rsidTr="0022137A">
        <w:tc>
          <w:tcPr>
            <w:tcW w:w="768" w:type="pct"/>
          </w:tcPr>
          <w:p w14:paraId="3A001FA6" w14:textId="77777777" w:rsidR="00EF6835" w:rsidRPr="009D7C32" w:rsidRDefault="00EF6835" w:rsidP="00752FB6">
            <w:pPr>
              <w:pStyle w:val="ARtabletext"/>
            </w:pPr>
            <w:r w:rsidRPr="009D7C32">
              <w:t>Policy/Program Advice &amp; Delivery</w:t>
            </w:r>
          </w:p>
        </w:tc>
        <w:tc>
          <w:tcPr>
            <w:tcW w:w="907" w:type="pct"/>
            <w:tcBorders>
              <w:right w:val="nil"/>
            </w:tcBorders>
          </w:tcPr>
          <w:p w14:paraId="31CAF3C7" w14:textId="77777777" w:rsidR="00EF6835" w:rsidRPr="00D11D7C" w:rsidRDefault="00EF6835" w:rsidP="00752FB6">
            <w:pPr>
              <w:pStyle w:val="ARtabletext"/>
            </w:pPr>
            <w:r w:rsidRPr="00D11D7C">
              <w:t>Ernst &amp; Young Services Pty Ltd</w:t>
            </w:r>
          </w:p>
          <w:p w14:paraId="51F6F647" w14:textId="41239185" w:rsidR="00EF6835" w:rsidRPr="00D11D7C" w:rsidRDefault="00EF6835" w:rsidP="00752FB6">
            <w:pPr>
              <w:pStyle w:val="ARtabletext"/>
              <w:rPr>
                <w:i/>
                <w:iCs/>
              </w:rPr>
            </w:pPr>
            <w:r w:rsidRPr="00D11D7C">
              <w:t>Strategic Alliance (Community Services) total approved project fee whole-of-life status excl. GST as at 30 June 2022: $1,622,086</w:t>
            </w:r>
          </w:p>
        </w:tc>
        <w:tc>
          <w:tcPr>
            <w:tcW w:w="1163" w:type="pct"/>
            <w:tcBorders>
              <w:top w:val="single" w:sz="4" w:space="0" w:color="auto"/>
              <w:left w:val="nil"/>
              <w:bottom w:val="single" w:sz="4" w:space="0" w:color="auto"/>
              <w:right w:val="nil"/>
            </w:tcBorders>
            <w:shd w:val="clear" w:color="auto" w:fill="auto"/>
          </w:tcPr>
          <w:p w14:paraId="0A52EB98" w14:textId="77777777" w:rsidR="00EF6835" w:rsidRPr="00120D8B" w:rsidRDefault="00EF6835" w:rsidP="00752FB6">
            <w:pPr>
              <w:pStyle w:val="ARtabletext"/>
            </w:pPr>
            <w:r>
              <w:rPr>
                <w:color w:val="000000"/>
              </w:rPr>
              <w:t>Business analysis, Essential services in response to COVID-19</w:t>
            </w:r>
          </w:p>
        </w:tc>
        <w:tc>
          <w:tcPr>
            <w:tcW w:w="722" w:type="pct"/>
            <w:tcBorders>
              <w:top w:val="single" w:sz="4" w:space="0" w:color="auto"/>
              <w:left w:val="nil"/>
              <w:bottom w:val="single" w:sz="4" w:space="0" w:color="auto"/>
              <w:right w:val="nil"/>
            </w:tcBorders>
            <w:shd w:val="clear" w:color="auto" w:fill="auto"/>
          </w:tcPr>
          <w:p w14:paraId="2A24EBFB" w14:textId="18827DDE" w:rsidR="00EF6835" w:rsidRPr="00120D8B" w:rsidRDefault="008135B7" w:rsidP="00752FB6">
            <w:pPr>
              <w:pStyle w:val="ARtabletextright"/>
            </w:pPr>
            <w:r>
              <w:t>$</w:t>
            </w:r>
            <w:r w:rsidR="00EF6835">
              <w:t>146,683</w:t>
            </w:r>
          </w:p>
        </w:tc>
        <w:tc>
          <w:tcPr>
            <w:tcW w:w="766" w:type="pct"/>
            <w:tcBorders>
              <w:top w:val="single" w:sz="4" w:space="0" w:color="auto"/>
              <w:left w:val="nil"/>
              <w:bottom w:val="single" w:sz="4" w:space="0" w:color="auto"/>
              <w:right w:val="nil"/>
            </w:tcBorders>
            <w:shd w:val="clear" w:color="auto" w:fill="auto"/>
          </w:tcPr>
          <w:p w14:paraId="657DB3C7" w14:textId="3D811685" w:rsidR="00EF6835" w:rsidRPr="00120D8B" w:rsidRDefault="008135B7" w:rsidP="00752FB6">
            <w:pPr>
              <w:pStyle w:val="ARtabletextright"/>
            </w:pPr>
            <w:r>
              <w:t>$</w:t>
            </w:r>
            <w:r w:rsidR="00EF6835">
              <w:t>127,333</w:t>
            </w:r>
          </w:p>
        </w:tc>
        <w:tc>
          <w:tcPr>
            <w:tcW w:w="674" w:type="pct"/>
            <w:tcBorders>
              <w:top w:val="single" w:sz="4" w:space="0" w:color="auto"/>
              <w:left w:val="nil"/>
              <w:bottom w:val="single" w:sz="4" w:space="0" w:color="auto"/>
              <w:right w:val="nil"/>
            </w:tcBorders>
            <w:shd w:val="clear" w:color="auto" w:fill="auto"/>
          </w:tcPr>
          <w:p w14:paraId="2266D0F5" w14:textId="1099E4FC" w:rsidR="00EF6835" w:rsidRPr="00120D8B" w:rsidRDefault="008135B7" w:rsidP="00752FB6">
            <w:pPr>
              <w:pStyle w:val="ARtabletextright"/>
            </w:pPr>
            <w:r>
              <w:t>$</w:t>
            </w:r>
            <w:r w:rsidR="00EF6835">
              <w:t>0</w:t>
            </w:r>
          </w:p>
        </w:tc>
      </w:tr>
      <w:tr w:rsidR="00EF6835" w:rsidRPr="00A34CB9" w14:paraId="69B307B5" w14:textId="77777777" w:rsidTr="0022137A">
        <w:tc>
          <w:tcPr>
            <w:tcW w:w="768" w:type="pct"/>
            <w:vMerge w:val="restart"/>
            <w:tcBorders>
              <w:top w:val="single" w:sz="4" w:space="0" w:color="auto"/>
            </w:tcBorders>
          </w:tcPr>
          <w:p w14:paraId="6C8DED0D" w14:textId="77777777" w:rsidR="00EF6835" w:rsidRPr="009D7C32" w:rsidRDefault="00EF6835" w:rsidP="00752FB6">
            <w:pPr>
              <w:pStyle w:val="ARtabletext"/>
            </w:pPr>
            <w:r w:rsidRPr="009D7C32">
              <w:t>Policy/Program Advice &amp; Delivery</w:t>
            </w:r>
          </w:p>
        </w:tc>
        <w:tc>
          <w:tcPr>
            <w:tcW w:w="907" w:type="pct"/>
            <w:vMerge w:val="restart"/>
            <w:tcBorders>
              <w:top w:val="single" w:sz="4" w:space="0" w:color="auto"/>
              <w:right w:val="nil"/>
            </w:tcBorders>
          </w:tcPr>
          <w:p w14:paraId="1BCBFBF8" w14:textId="77777777" w:rsidR="00EF6835" w:rsidRPr="00D11D7C" w:rsidRDefault="00EF6835" w:rsidP="00752FB6">
            <w:pPr>
              <w:pStyle w:val="ARtabletext"/>
            </w:pPr>
            <w:r w:rsidRPr="00D11D7C">
              <w:t>KPMG</w:t>
            </w:r>
          </w:p>
          <w:p w14:paraId="7B8E1076" w14:textId="77777777" w:rsidR="00EF6835" w:rsidRPr="00D11D7C" w:rsidRDefault="00EF6835" w:rsidP="00752FB6">
            <w:pPr>
              <w:pStyle w:val="ARtabletext"/>
              <w:rPr>
                <w:i/>
                <w:iCs/>
              </w:rPr>
            </w:pPr>
            <w:r w:rsidRPr="00D11D7C">
              <w:t>Strategic Alliance (Health) total approved project fee whole-of-life status excl. GST as at 30 June 2022: $24,015,165</w:t>
            </w:r>
          </w:p>
        </w:tc>
        <w:tc>
          <w:tcPr>
            <w:tcW w:w="1163" w:type="pct"/>
            <w:tcBorders>
              <w:top w:val="single" w:sz="4" w:space="0" w:color="auto"/>
              <w:left w:val="nil"/>
              <w:bottom w:val="single" w:sz="4" w:space="0" w:color="auto"/>
              <w:right w:val="nil"/>
            </w:tcBorders>
            <w:shd w:val="clear" w:color="auto" w:fill="auto"/>
          </w:tcPr>
          <w:p w14:paraId="141A87FD" w14:textId="77777777" w:rsidR="00EF6835" w:rsidRPr="009D7C32" w:rsidRDefault="00EF6835" w:rsidP="00752FB6">
            <w:pPr>
              <w:pStyle w:val="ARtabletext"/>
            </w:pPr>
            <w:r>
              <w:rPr>
                <w:color w:val="000000"/>
              </w:rPr>
              <w:t>Support, Vision initiative evaluation project</w:t>
            </w:r>
          </w:p>
        </w:tc>
        <w:tc>
          <w:tcPr>
            <w:tcW w:w="722" w:type="pct"/>
            <w:tcBorders>
              <w:top w:val="single" w:sz="4" w:space="0" w:color="auto"/>
              <w:left w:val="nil"/>
              <w:bottom w:val="single" w:sz="4" w:space="0" w:color="auto"/>
              <w:right w:val="nil"/>
            </w:tcBorders>
            <w:shd w:val="clear" w:color="auto" w:fill="auto"/>
          </w:tcPr>
          <w:p w14:paraId="58DFB7F8" w14:textId="57C4664C" w:rsidR="00EF6835" w:rsidRPr="009D7C32" w:rsidRDefault="008135B7" w:rsidP="00752FB6">
            <w:pPr>
              <w:pStyle w:val="ARtabletextright"/>
            </w:pPr>
            <w:r>
              <w:t>$</w:t>
            </w:r>
            <w:r w:rsidR="00EF6835">
              <w:t>134,579</w:t>
            </w:r>
          </w:p>
        </w:tc>
        <w:tc>
          <w:tcPr>
            <w:tcW w:w="766" w:type="pct"/>
            <w:tcBorders>
              <w:top w:val="single" w:sz="4" w:space="0" w:color="auto"/>
              <w:left w:val="nil"/>
              <w:bottom w:val="single" w:sz="4" w:space="0" w:color="auto"/>
              <w:right w:val="nil"/>
            </w:tcBorders>
            <w:shd w:val="clear" w:color="auto" w:fill="auto"/>
          </w:tcPr>
          <w:p w14:paraId="19A194BD" w14:textId="2426FC0D" w:rsidR="00EF6835" w:rsidRPr="009D7C32" w:rsidRDefault="008135B7" w:rsidP="00752FB6">
            <w:pPr>
              <w:pStyle w:val="ARtabletextright"/>
            </w:pPr>
            <w:r>
              <w:t>$</w:t>
            </w:r>
            <w:r w:rsidR="00EF6835">
              <w:t>26,916</w:t>
            </w:r>
          </w:p>
        </w:tc>
        <w:tc>
          <w:tcPr>
            <w:tcW w:w="674" w:type="pct"/>
            <w:tcBorders>
              <w:top w:val="single" w:sz="4" w:space="0" w:color="auto"/>
              <w:left w:val="nil"/>
              <w:bottom w:val="single" w:sz="4" w:space="0" w:color="auto"/>
              <w:right w:val="nil"/>
            </w:tcBorders>
            <w:shd w:val="clear" w:color="auto" w:fill="auto"/>
          </w:tcPr>
          <w:p w14:paraId="66D3E2DC" w14:textId="55FE36EF" w:rsidR="00EF6835" w:rsidRPr="009D7C32" w:rsidRDefault="008135B7" w:rsidP="00752FB6">
            <w:pPr>
              <w:pStyle w:val="ARtabletextright"/>
            </w:pPr>
            <w:r>
              <w:t>$</w:t>
            </w:r>
            <w:r w:rsidR="00EF6835">
              <w:t>0</w:t>
            </w:r>
          </w:p>
        </w:tc>
      </w:tr>
      <w:tr w:rsidR="00EF6835" w:rsidRPr="00A34CB9" w14:paraId="36B5A5B8" w14:textId="77777777" w:rsidTr="0022137A">
        <w:tc>
          <w:tcPr>
            <w:tcW w:w="768" w:type="pct"/>
            <w:vMerge/>
          </w:tcPr>
          <w:p w14:paraId="143B9947" w14:textId="77777777" w:rsidR="00EF6835" w:rsidRPr="009D7C32" w:rsidRDefault="00EF6835" w:rsidP="00752FB6">
            <w:pPr>
              <w:pStyle w:val="ARtabletext"/>
            </w:pPr>
          </w:p>
        </w:tc>
        <w:tc>
          <w:tcPr>
            <w:tcW w:w="907" w:type="pct"/>
            <w:vMerge/>
            <w:tcBorders>
              <w:right w:val="nil"/>
            </w:tcBorders>
          </w:tcPr>
          <w:p w14:paraId="4D73E932"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72C60A0A" w14:textId="77777777" w:rsidR="00EF6835" w:rsidRPr="009D7C32" w:rsidRDefault="00EF6835" w:rsidP="00752FB6">
            <w:pPr>
              <w:pStyle w:val="ARtabletext"/>
            </w:pPr>
            <w:r>
              <w:rPr>
                <w:color w:val="000000"/>
              </w:rPr>
              <w:t>Transitional support, People with disability following hospital discharge</w:t>
            </w:r>
          </w:p>
        </w:tc>
        <w:tc>
          <w:tcPr>
            <w:tcW w:w="722" w:type="pct"/>
            <w:tcBorders>
              <w:top w:val="single" w:sz="4" w:space="0" w:color="auto"/>
              <w:left w:val="nil"/>
              <w:bottom w:val="single" w:sz="4" w:space="0" w:color="auto"/>
              <w:right w:val="nil"/>
            </w:tcBorders>
            <w:shd w:val="clear" w:color="auto" w:fill="auto"/>
          </w:tcPr>
          <w:p w14:paraId="327C0A89" w14:textId="5289DC7D" w:rsidR="00EF6835" w:rsidRPr="009D7C32" w:rsidRDefault="008135B7" w:rsidP="00752FB6">
            <w:pPr>
              <w:pStyle w:val="ARtabletextright"/>
            </w:pPr>
            <w:r>
              <w:t>$</w:t>
            </w:r>
            <w:r w:rsidR="00EF6835">
              <w:t>169,451</w:t>
            </w:r>
          </w:p>
        </w:tc>
        <w:tc>
          <w:tcPr>
            <w:tcW w:w="766" w:type="pct"/>
            <w:tcBorders>
              <w:top w:val="single" w:sz="4" w:space="0" w:color="auto"/>
              <w:left w:val="nil"/>
              <w:bottom w:val="single" w:sz="4" w:space="0" w:color="auto"/>
              <w:right w:val="nil"/>
            </w:tcBorders>
            <w:shd w:val="clear" w:color="auto" w:fill="auto"/>
          </w:tcPr>
          <w:p w14:paraId="5BACE8A2" w14:textId="483AF5B4" w:rsidR="00EF6835" w:rsidRPr="009D7C32" w:rsidRDefault="008135B7" w:rsidP="00752FB6">
            <w:pPr>
              <w:pStyle w:val="ARtabletextright"/>
            </w:pPr>
            <w:r>
              <w:t>$</w:t>
            </w:r>
            <w:r w:rsidR="00EF6835">
              <w:t>118,615</w:t>
            </w:r>
          </w:p>
        </w:tc>
        <w:tc>
          <w:tcPr>
            <w:tcW w:w="674" w:type="pct"/>
            <w:tcBorders>
              <w:top w:val="single" w:sz="4" w:space="0" w:color="auto"/>
              <w:left w:val="nil"/>
              <w:bottom w:val="single" w:sz="4" w:space="0" w:color="auto"/>
              <w:right w:val="nil"/>
            </w:tcBorders>
            <w:shd w:val="clear" w:color="auto" w:fill="auto"/>
          </w:tcPr>
          <w:p w14:paraId="136577E7" w14:textId="4C7465EF" w:rsidR="00EF6835" w:rsidRPr="009D7C32" w:rsidRDefault="008135B7" w:rsidP="00752FB6">
            <w:pPr>
              <w:pStyle w:val="ARtabletextright"/>
            </w:pPr>
            <w:r>
              <w:t>$</w:t>
            </w:r>
            <w:r w:rsidR="00EF6835">
              <w:t>0</w:t>
            </w:r>
          </w:p>
        </w:tc>
      </w:tr>
      <w:tr w:rsidR="00EF6835" w:rsidRPr="00A34CB9" w14:paraId="5DFB0411" w14:textId="77777777" w:rsidTr="0022137A">
        <w:tc>
          <w:tcPr>
            <w:tcW w:w="768" w:type="pct"/>
            <w:vMerge/>
          </w:tcPr>
          <w:p w14:paraId="71A364A6" w14:textId="77777777" w:rsidR="00EF6835" w:rsidRPr="009D7C32" w:rsidRDefault="00EF6835" w:rsidP="00752FB6">
            <w:pPr>
              <w:pStyle w:val="ARtabletext"/>
            </w:pPr>
          </w:p>
        </w:tc>
        <w:tc>
          <w:tcPr>
            <w:tcW w:w="907" w:type="pct"/>
            <w:vMerge/>
            <w:tcBorders>
              <w:right w:val="nil"/>
            </w:tcBorders>
          </w:tcPr>
          <w:p w14:paraId="24592839"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0B68C630" w14:textId="77777777" w:rsidR="00EF6835" w:rsidRPr="009D7C32" w:rsidRDefault="00EF6835" w:rsidP="00752FB6">
            <w:pPr>
              <w:pStyle w:val="ARtabletext"/>
            </w:pPr>
            <w:r>
              <w:rPr>
                <w:color w:val="000000"/>
              </w:rPr>
              <w:t>Funding model reform, Early parenting centres</w:t>
            </w:r>
          </w:p>
        </w:tc>
        <w:tc>
          <w:tcPr>
            <w:tcW w:w="722" w:type="pct"/>
            <w:tcBorders>
              <w:top w:val="single" w:sz="4" w:space="0" w:color="auto"/>
              <w:left w:val="nil"/>
              <w:bottom w:val="single" w:sz="4" w:space="0" w:color="auto"/>
              <w:right w:val="nil"/>
            </w:tcBorders>
            <w:shd w:val="clear" w:color="auto" w:fill="auto"/>
          </w:tcPr>
          <w:p w14:paraId="4D87CABF" w14:textId="2429D69F" w:rsidR="00EF6835" w:rsidRPr="009D7C32" w:rsidRDefault="008135B7" w:rsidP="00752FB6">
            <w:pPr>
              <w:pStyle w:val="ARtabletextright"/>
            </w:pPr>
            <w:r>
              <w:t>$</w:t>
            </w:r>
            <w:r w:rsidR="00EF6835">
              <w:t>218,469</w:t>
            </w:r>
          </w:p>
        </w:tc>
        <w:tc>
          <w:tcPr>
            <w:tcW w:w="766" w:type="pct"/>
            <w:tcBorders>
              <w:top w:val="single" w:sz="4" w:space="0" w:color="auto"/>
              <w:left w:val="nil"/>
              <w:bottom w:val="single" w:sz="4" w:space="0" w:color="auto"/>
              <w:right w:val="nil"/>
            </w:tcBorders>
            <w:shd w:val="clear" w:color="auto" w:fill="auto"/>
          </w:tcPr>
          <w:p w14:paraId="6D79DAC6" w14:textId="2A5FC2CC" w:rsidR="00EF6835" w:rsidRPr="009D7C32" w:rsidRDefault="008135B7" w:rsidP="00752FB6">
            <w:pPr>
              <w:pStyle w:val="ARtabletextright"/>
            </w:pPr>
            <w:r>
              <w:t>$</w:t>
            </w:r>
            <w:r w:rsidR="00EF6835">
              <w:t>152,928</w:t>
            </w:r>
          </w:p>
        </w:tc>
        <w:tc>
          <w:tcPr>
            <w:tcW w:w="674" w:type="pct"/>
            <w:tcBorders>
              <w:top w:val="single" w:sz="4" w:space="0" w:color="auto"/>
              <w:left w:val="nil"/>
              <w:bottom w:val="single" w:sz="4" w:space="0" w:color="auto"/>
              <w:right w:val="nil"/>
            </w:tcBorders>
            <w:shd w:val="clear" w:color="auto" w:fill="auto"/>
          </w:tcPr>
          <w:p w14:paraId="76CAD284" w14:textId="5ABEE509" w:rsidR="00EF6835" w:rsidRPr="009D7C32" w:rsidRDefault="008135B7" w:rsidP="00752FB6">
            <w:pPr>
              <w:pStyle w:val="ARtabletextright"/>
            </w:pPr>
            <w:r>
              <w:t>$</w:t>
            </w:r>
            <w:r w:rsidR="00EF6835">
              <w:t>0</w:t>
            </w:r>
          </w:p>
        </w:tc>
      </w:tr>
      <w:tr w:rsidR="00EF6835" w:rsidRPr="00A34CB9" w14:paraId="5638F38C" w14:textId="77777777" w:rsidTr="0022137A">
        <w:tc>
          <w:tcPr>
            <w:tcW w:w="768" w:type="pct"/>
            <w:vMerge/>
          </w:tcPr>
          <w:p w14:paraId="01D7F298" w14:textId="77777777" w:rsidR="00EF6835" w:rsidRPr="009D7C32" w:rsidRDefault="00EF6835" w:rsidP="00752FB6">
            <w:pPr>
              <w:pStyle w:val="ARtabletext"/>
            </w:pPr>
          </w:p>
        </w:tc>
        <w:tc>
          <w:tcPr>
            <w:tcW w:w="907" w:type="pct"/>
            <w:vMerge/>
            <w:tcBorders>
              <w:right w:val="nil"/>
            </w:tcBorders>
          </w:tcPr>
          <w:p w14:paraId="548272B5"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2B775A28" w14:textId="77777777" w:rsidR="00EF6835" w:rsidRPr="009D7C32" w:rsidRDefault="00EF6835" w:rsidP="00752FB6">
            <w:pPr>
              <w:pStyle w:val="ARtabletext"/>
            </w:pPr>
            <w:r>
              <w:rPr>
                <w:color w:val="000000"/>
              </w:rPr>
              <w:t>Review, Integrated health promotion program</w:t>
            </w:r>
          </w:p>
        </w:tc>
        <w:tc>
          <w:tcPr>
            <w:tcW w:w="722" w:type="pct"/>
            <w:tcBorders>
              <w:top w:val="single" w:sz="4" w:space="0" w:color="auto"/>
              <w:left w:val="nil"/>
              <w:bottom w:val="single" w:sz="4" w:space="0" w:color="auto"/>
              <w:right w:val="nil"/>
            </w:tcBorders>
            <w:shd w:val="clear" w:color="auto" w:fill="auto"/>
          </w:tcPr>
          <w:p w14:paraId="1CCA7731" w14:textId="3C4AD53A" w:rsidR="00EF6835" w:rsidRPr="009D7C32" w:rsidRDefault="008135B7" w:rsidP="00752FB6">
            <w:pPr>
              <w:pStyle w:val="ARtabletextright"/>
            </w:pPr>
            <w:r>
              <w:t>$</w:t>
            </w:r>
            <w:r w:rsidR="00EF6835">
              <w:t>152,471</w:t>
            </w:r>
          </w:p>
        </w:tc>
        <w:tc>
          <w:tcPr>
            <w:tcW w:w="766" w:type="pct"/>
            <w:tcBorders>
              <w:top w:val="single" w:sz="4" w:space="0" w:color="auto"/>
              <w:left w:val="nil"/>
              <w:bottom w:val="single" w:sz="4" w:space="0" w:color="auto"/>
              <w:right w:val="nil"/>
            </w:tcBorders>
            <w:shd w:val="clear" w:color="auto" w:fill="auto"/>
          </w:tcPr>
          <w:p w14:paraId="1E4B514B" w14:textId="0A60A276" w:rsidR="00EF6835" w:rsidRPr="009D7C32" w:rsidRDefault="008135B7" w:rsidP="00752FB6">
            <w:pPr>
              <w:pStyle w:val="ARtabletextright"/>
            </w:pPr>
            <w:r>
              <w:t>$</w:t>
            </w:r>
            <w:r w:rsidR="00EF6835">
              <w:t>111,574</w:t>
            </w:r>
          </w:p>
        </w:tc>
        <w:tc>
          <w:tcPr>
            <w:tcW w:w="674" w:type="pct"/>
            <w:tcBorders>
              <w:top w:val="single" w:sz="4" w:space="0" w:color="auto"/>
              <w:left w:val="nil"/>
              <w:bottom w:val="single" w:sz="4" w:space="0" w:color="auto"/>
              <w:right w:val="nil"/>
            </w:tcBorders>
            <w:shd w:val="clear" w:color="auto" w:fill="auto"/>
          </w:tcPr>
          <w:p w14:paraId="4A7A7074" w14:textId="7EA02D29" w:rsidR="00EF6835" w:rsidRPr="009D7C32" w:rsidRDefault="008135B7" w:rsidP="00752FB6">
            <w:pPr>
              <w:pStyle w:val="ARtabletextright"/>
            </w:pPr>
            <w:r>
              <w:t>$</w:t>
            </w:r>
            <w:r w:rsidR="00EF6835">
              <w:t>0</w:t>
            </w:r>
          </w:p>
        </w:tc>
      </w:tr>
      <w:tr w:rsidR="00EF6835" w:rsidRPr="00A34CB9" w14:paraId="4B1D373B" w14:textId="77777777" w:rsidTr="0022137A">
        <w:tc>
          <w:tcPr>
            <w:tcW w:w="768" w:type="pct"/>
            <w:vMerge/>
          </w:tcPr>
          <w:p w14:paraId="61E420CB" w14:textId="77777777" w:rsidR="00EF6835" w:rsidRPr="009D7C32" w:rsidRDefault="00EF6835" w:rsidP="00752FB6">
            <w:pPr>
              <w:pStyle w:val="ARtabletext"/>
            </w:pPr>
          </w:p>
        </w:tc>
        <w:tc>
          <w:tcPr>
            <w:tcW w:w="907" w:type="pct"/>
            <w:vMerge/>
            <w:tcBorders>
              <w:right w:val="nil"/>
            </w:tcBorders>
          </w:tcPr>
          <w:p w14:paraId="07CAEAE9"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0EA293FC" w14:textId="77777777" w:rsidR="00EF6835" w:rsidRPr="009D7C32" w:rsidRDefault="00EF6835" w:rsidP="00752FB6">
            <w:pPr>
              <w:pStyle w:val="ARtabletext"/>
            </w:pPr>
            <w:r>
              <w:rPr>
                <w:color w:val="000000"/>
              </w:rPr>
              <w:t>Development, Better at Home program</w:t>
            </w:r>
          </w:p>
        </w:tc>
        <w:tc>
          <w:tcPr>
            <w:tcW w:w="722" w:type="pct"/>
            <w:tcBorders>
              <w:top w:val="single" w:sz="4" w:space="0" w:color="auto"/>
              <w:left w:val="nil"/>
              <w:bottom w:val="single" w:sz="4" w:space="0" w:color="auto"/>
              <w:right w:val="nil"/>
            </w:tcBorders>
            <w:shd w:val="clear" w:color="auto" w:fill="auto"/>
          </w:tcPr>
          <w:p w14:paraId="0E13EBE3" w14:textId="7892D292" w:rsidR="00EF6835" w:rsidRPr="009D7C32" w:rsidRDefault="008135B7" w:rsidP="00752FB6">
            <w:pPr>
              <w:pStyle w:val="ARtabletextright"/>
            </w:pPr>
            <w:r>
              <w:t>$</w:t>
            </w:r>
            <w:r w:rsidR="00EF6835">
              <w:t>302,608</w:t>
            </w:r>
          </w:p>
        </w:tc>
        <w:tc>
          <w:tcPr>
            <w:tcW w:w="766" w:type="pct"/>
            <w:tcBorders>
              <w:top w:val="single" w:sz="4" w:space="0" w:color="auto"/>
              <w:left w:val="nil"/>
              <w:bottom w:val="single" w:sz="4" w:space="0" w:color="auto"/>
              <w:right w:val="nil"/>
            </w:tcBorders>
            <w:shd w:val="clear" w:color="auto" w:fill="auto"/>
          </w:tcPr>
          <w:p w14:paraId="2D4D25ED" w14:textId="22CAD0DA" w:rsidR="00EF6835" w:rsidRPr="009D7C32" w:rsidRDefault="008135B7" w:rsidP="00752FB6">
            <w:pPr>
              <w:pStyle w:val="ARtabletextright"/>
            </w:pPr>
            <w:r>
              <w:t>$</w:t>
            </w:r>
            <w:r w:rsidR="00EF6835">
              <w:t>211,321</w:t>
            </w:r>
          </w:p>
        </w:tc>
        <w:tc>
          <w:tcPr>
            <w:tcW w:w="674" w:type="pct"/>
            <w:tcBorders>
              <w:top w:val="single" w:sz="4" w:space="0" w:color="auto"/>
              <w:left w:val="nil"/>
              <w:bottom w:val="single" w:sz="4" w:space="0" w:color="auto"/>
              <w:right w:val="nil"/>
            </w:tcBorders>
            <w:shd w:val="clear" w:color="auto" w:fill="auto"/>
          </w:tcPr>
          <w:p w14:paraId="03B4D35D" w14:textId="2F766D94" w:rsidR="00EF6835" w:rsidRPr="009D7C32" w:rsidRDefault="008135B7" w:rsidP="00752FB6">
            <w:pPr>
              <w:pStyle w:val="ARtabletextright"/>
            </w:pPr>
            <w:r>
              <w:t>$</w:t>
            </w:r>
            <w:r w:rsidR="00EF6835">
              <w:t>0</w:t>
            </w:r>
          </w:p>
        </w:tc>
      </w:tr>
      <w:tr w:rsidR="00EF6835" w:rsidRPr="00A34CB9" w14:paraId="70345F6E" w14:textId="77777777" w:rsidTr="0022137A">
        <w:tc>
          <w:tcPr>
            <w:tcW w:w="768" w:type="pct"/>
            <w:vMerge/>
          </w:tcPr>
          <w:p w14:paraId="3ADC9EDC" w14:textId="77777777" w:rsidR="00EF6835" w:rsidRPr="009D7C32" w:rsidRDefault="00EF6835" w:rsidP="00752FB6">
            <w:pPr>
              <w:pStyle w:val="ARtabletext"/>
            </w:pPr>
          </w:p>
        </w:tc>
        <w:tc>
          <w:tcPr>
            <w:tcW w:w="907" w:type="pct"/>
            <w:vMerge/>
            <w:tcBorders>
              <w:right w:val="nil"/>
            </w:tcBorders>
          </w:tcPr>
          <w:p w14:paraId="3CC74240"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43457368" w14:textId="77777777" w:rsidR="00EF6835" w:rsidRPr="009D7C32" w:rsidRDefault="00EF6835" w:rsidP="00752FB6">
            <w:pPr>
              <w:pStyle w:val="ARtabletext"/>
            </w:pPr>
            <w:r>
              <w:rPr>
                <w:color w:val="000000"/>
              </w:rPr>
              <w:t>Review, Alfred Hospital Burns Service clinical service</w:t>
            </w:r>
          </w:p>
        </w:tc>
        <w:tc>
          <w:tcPr>
            <w:tcW w:w="722" w:type="pct"/>
            <w:tcBorders>
              <w:top w:val="single" w:sz="4" w:space="0" w:color="auto"/>
              <w:left w:val="nil"/>
              <w:bottom w:val="single" w:sz="4" w:space="0" w:color="auto"/>
              <w:right w:val="nil"/>
            </w:tcBorders>
            <w:shd w:val="clear" w:color="auto" w:fill="auto"/>
          </w:tcPr>
          <w:p w14:paraId="5A6934AC" w14:textId="2608BBB3" w:rsidR="00EF6835" w:rsidRPr="009D7C32" w:rsidRDefault="008135B7" w:rsidP="00752FB6">
            <w:pPr>
              <w:pStyle w:val="ARtabletextright"/>
            </w:pPr>
            <w:r>
              <w:t>$</w:t>
            </w:r>
            <w:r w:rsidR="00EF6835">
              <w:t>94,674</w:t>
            </w:r>
          </w:p>
        </w:tc>
        <w:tc>
          <w:tcPr>
            <w:tcW w:w="766" w:type="pct"/>
            <w:tcBorders>
              <w:top w:val="single" w:sz="4" w:space="0" w:color="auto"/>
              <w:left w:val="nil"/>
              <w:bottom w:val="single" w:sz="4" w:space="0" w:color="auto"/>
              <w:right w:val="nil"/>
            </w:tcBorders>
            <w:shd w:val="clear" w:color="auto" w:fill="auto"/>
          </w:tcPr>
          <w:p w14:paraId="111686CD" w14:textId="287AD519" w:rsidR="00EF6835" w:rsidRPr="009D7C32" w:rsidRDefault="008135B7" w:rsidP="00752FB6">
            <w:pPr>
              <w:pStyle w:val="ARtabletextright"/>
            </w:pPr>
            <w:r>
              <w:t>$</w:t>
            </w:r>
            <w:r w:rsidR="00EF6835">
              <w:t>68,854</w:t>
            </w:r>
          </w:p>
        </w:tc>
        <w:tc>
          <w:tcPr>
            <w:tcW w:w="674" w:type="pct"/>
            <w:tcBorders>
              <w:top w:val="single" w:sz="4" w:space="0" w:color="auto"/>
              <w:left w:val="nil"/>
              <w:bottom w:val="single" w:sz="4" w:space="0" w:color="auto"/>
              <w:right w:val="nil"/>
            </w:tcBorders>
            <w:shd w:val="clear" w:color="auto" w:fill="auto"/>
          </w:tcPr>
          <w:p w14:paraId="283E118F" w14:textId="267339EC" w:rsidR="00EF6835" w:rsidRPr="009D7C32" w:rsidRDefault="008135B7" w:rsidP="00752FB6">
            <w:pPr>
              <w:pStyle w:val="ARtabletextright"/>
            </w:pPr>
            <w:r>
              <w:t>$</w:t>
            </w:r>
            <w:r w:rsidR="00EF6835">
              <w:t>8,607</w:t>
            </w:r>
          </w:p>
        </w:tc>
      </w:tr>
      <w:tr w:rsidR="00EF6835" w:rsidRPr="00A34CB9" w14:paraId="353AD7CD" w14:textId="77777777" w:rsidTr="0022137A">
        <w:tc>
          <w:tcPr>
            <w:tcW w:w="768" w:type="pct"/>
            <w:vMerge/>
          </w:tcPr>
          <w:p w14:paraId="243DFFEA" w14:textId="77777777" w:rsidR="00EF6835" w:rsidRPr="009D7C32" w:rsidRDefault="00EF6835" w:rsidP="00752FB6">
            <w:pPr>
              <w:pStyle w:val="ARtabletext"/>
            </w:pPr>
          </w:p>
        </w:tc>
        <w:tc>
          <w:tcPr>
            <w:tcW w:w="907" w:type="pct"/>
            <w:vMerge/>
            <w:tcBorders>
              <w:right w:val="nil"/>
            </w:tcBorders>
          </w:tcPr>
          <w:p w14:paraId="798F7EB5"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10FCE9A2" w14:textId="48FC6DC4" w:rsidR="00EF6835" w:rsidRPr="009D7C32" w:rsidRDefault="00EF6835" w:rsidP="00752FB6">
            <w:pPr>
              <w:pStyle w:val="ARtabletext"/>
            </w:pPr>
            <w:r>
              <w:rPr>
                <w:color w:val="000000"/>
              </w:rPr>
              <w:t>COVID</w:t>
            </w:r>
            <w:r w:rsidR="00F4183A">
              <w:rPr>
                <w:color w:val="000000"/>
              </w:rPr>
              <w:t>-19</w:t>
            </w:r>
            <w:r>
              <w:rPr>
                <w:color w:val="000000"/>
              </w:rPr>
              <w:t xml:space="preserve"> analysis of N</w:t>
            </w:r>
            <w:r w:rsidR="00F4183A">
              <w:rPr>
                <w:color w:val="000000"/>
              </w:rPr>
              <w:t xml:space="preserve">ational </w:t>
            </w:r>
            <w:r>
              <w:rPr>
                <w:color w:val="000000"/>
              </w:rPr>
              <w:t>P</w:t>
            </w:r>
            <w:r w:rsidR="00F4183A">
              <w:rPr>
                <w:color w:val="000000"/>
              </w:rPr>
              <w:t xml:space="preserve">artnership </w:t>
            </w:r>
            <w:r>
              <w:rPr>
                <w:color w:val="000000"/>
              </w:rPr>
              <w:t>A</w:t>
            </w:r>
            <w:r w:rsidR="00F4183A">
              <w:rPr>
                <w:color w:val="000000"/>
              </w:rPr>
              <w:t>greement</w:t>
            </w:r>
            <w:r w:rsidR="003B5C50">
              <w:rPr>
                <w:color w:val="000000"/>
              </w:rPr>
              <w:t xml:space="preserve"> </w:t>
            </w:r>
            <w:r>
              <w:rPr>
                <w:color w:val="000000"/>
              </w:rPr>
              <w:t>funded activities</w:t>
            </w:r>
          </w:p>
        </w:tc>
        <w:tc>
          <w:tcPr>
            <w:tcW w:w="722" w:type="pct"/>
            <w:tcBorders>
              <w:top w:val="single" w:sz="4" w:space="0" w:color="auto"/>
              <w:left w:val="nil"/>
              <w:bottom w:val="single" w:sz="4" w:space="0" w:color="auto"/>
              <w:right w:val="nil"/>
            </w:tcBorders>
            <w:shd w:val="clear" w:color="auto" w:fill="auto"/>
          </w:tcPr>
          <w:p w14:paraId="519B9357" w14:textId="44B5CEF1" w:rsidR="00EF6835" w:rsidRPr="009D7C32" w:rsidRDefault="008135B7" w:rsidP="00752FB6">
            <w:pPr>
              <w:pStyle w:val="ARtabletextright"/>
            </w:pPr>
            <w:r>
              <w:t>$</w:t>
            </w:r>
            <w:r w:rsidR="00EF6835">
              <w:t>314,755</w:t>
            </w:r>
          </w:p>
        </w:tc>
        <w:tc>
          <w:tcPr>
            <w:tcW w:w="766" w:type="pct"/>
            <w:tcBorders>
              <w:top w:val="single" w:sz="4" w:space="0" w:color="auto"/>
              <w:left w:val="nil"/>
              <w:bottom w:val="single" w:sz="4" w:space="0" w:color="auto"/>
              <w:right w:val="nil"/>
            </w:tcBorders>
            <w:shd w:val="clear" w:color="auto" w:fill="auto"/>
          </w:tcPr>
          <w:p w14:paraId="58703FE1" w14:textId="2E19F642" w:rsidR="00EF6835" w:rsidRPr="009D7C32" w:rsidRDefault="008135B7" w:rsidP="00752FB6">
            <w:pPr>
              <w:pStyle w:val="ARtabletextright"/>
            </w:pPr>
            <w:r>
              <w:t>$</w:t>
            </w:r>
            <w:r w:rsidR="00EF6835">
              <w:t>81,409</w:t>
            </w:r>
          </w:p>
        </w:tc>
        <w:tc>
          <w:tcPr>
            <w:tcW w:w="674" w:type="pct"/>
            <w:tcBorders>
              <w:top w:val="single" w:sz="4" w:space="0" w:color="auto"/>
              <w:left w:val="nil"/>
              <w:bottom w:val="single" w:sz="4" w:space="0" w:color="auto"/>
              <w:right w:val="nil"/>
            </w:tcBorders>
            <w:shd w:val="clear" w:color="auto" w:fill="auto"/>
          </w:tcPr>
          <w:p w14:paraId="654F7B52" w14:textId="29206A9F" w:rsidR="00EF6835" w:rsidRPr="009D7C32" w:rsidRDefault="008135B7" w:rsidP="00752FB6">
            <w:pPr>
              <w:pStyle w:val="ARtabletextright"/>
            </w:pPr>
            <w:r>
              <w:t>$</w:t>
            </w:r>
            <w:r w:rsidR="00EF6835">
              <w:t>64,980</w:t>
            </w:r>
          </w:p>
        </w:tc>
      </w:tr>
      <w:tr w:rsidR="00EF6835" w:rsidRPr="00A34CB9" w14:paraId="337CBF4F" w14:textId="77777777" w:rsidTr="0022137A">
        <w:tc>
          <w:tcPr>
            <w:tcW w:w="768" w:type="pct"/>
            <w:vMerge/>
          </w:tcPr>
          <w:p w14:paraId="2D75933D" w14:textId="77777777" w:rsidR="00EF6835" w:rsidRPr="009D7C32" w:rsidRDefault="00EF6835" w:rsidP="00752FB6">
            <w:pPr>
              <w:pStyle w:val="ARtabletext"/>
            </w:pPr>
          </w:p>
        </w:tc>
        <w:tc>
          <w:tcPr>
            <w:tcW w:w="907" w:type="pct"/>
            <w:vMerge/>
            <w:tcBorders>
              <w:right w:val="nil"/>
            </w:tcBorders>
          </w:tcPr>
          <w:p w14:paraId="129E54BE"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5F25BEBC" w14:textId="77777777" w:rsidR="00EF6835" w:rsidRPr="009D7C32" w:rsidRDefault="00EF6835" w:rsidP="00752FB6">
            <w:pPr>
              <w:pStyle w:val="ARtabletext"/>
            </w:pPr>
            <w:r>
              <w:rPr>
                <w:color w:val="000000"/>
              </w:rPr>
              <w:t>Advisory services, COVID</w:t>
            </w:r>
            <w:r>
              <w:rPr>
                <w:color w:val="000000"/>
              </w:rPr>
              <w:noBreakHyphen/>
              <w:t>19 and the private health sector</w:t>
            </w:r>
          </w:p>
        </w:tc>
        <w:tc>
          <w:tcPr>
            <w:tcW w:w="722" w:type="pct"/>
            <w:tcBorders>
              <w:top w:val="single" w:sz="4" w:space="0" w:color="auto"/>
              <w:left w:val="nil"/>
              <w:bottom w:val="single" w:sz="4" w:space="0" w:color="auto"/>
              <w:right w:val="nil"/>
            </w:tcBorders>
            <w:shd w:val="clear" w:color="auto" w:fill="auto"/>
          </w:tcPr>
          <w:p w14:paraId="4613179A" w14:textId="6ECBCC5F" w:rsidR="00EF6835" w:rsidRPr="009D7C32" w:rsidRDefault="008135B7" w:rsidP="00752FB6">
            <w:pPr>
              <w:pStyle w:val="ARtabletextright"/>
            </w:pPr>
            <w:r>
              <w:t>$</w:t>
            </w:r>
            <w:r w:rsidR="00EF6835">
              <w:t>8,130,426</w:t>
            </w:r>
          </w:p>
        </w:tc>
        <w:tc>
          <w:tcPr>
            <w:tcW w:w="766" w:type="pct"/>
            <w:tcBorders>
              <w:top w:val="single" w:sz="4" w:space="0" w:color="auto"/>
              <w:left w:val="nil"/>
              <w:bottom w:val="single" w:sz="4" w:space="0" w:color="auto"/>
              <w:right w:val="nil"/>
            </w:tcBorders>
            <w:shd w:val="clear" w:color="auto" w:fill="auto"/>
          </w:tcPr>
          <w:p w14:paraId="657D3899" w14:textId="7125B6BB" w:rsidR="00EF6835" w:rsidRPr="009D7C32" w:rsidRDefault="008135B7" w:rsidP="00752FB6">
            <w:pPr>
              <w:pStyle w:val="ARtabletextright"/>
            </w:pPr>
            <w:r>
              <w:t>$</w:t>
            </w:r>
            <w:r w:rsidR="00EF6835">
              <w:t>966,668</w:t>
            </w:r>
          </w:p>
        </w:tc>
        <w:tc>
          <w:tcPr>
            <w:tcW w:w="674" w:type="pct"/>
            <w:tcBorders>
              <w:top w:val="single" w:sz="4" w:space="0" w:color="auto"/>
              <w:left w:val="nil"/>
              <w:bottom w:val="single" w:sz="4" w:space="0" w:color="auto"/>
              <w:right w:val="nil"/>
            </w:tcBorders>
            <w:shd w:val="clear" w:color="auto" w:fill="auto"/>
          </w:tcPr>
          <w:p w14:paraId="0FF134A1" w14:textId="65BF8E3A" w:rsidR="00EF6835" w:rsidRPr="009D7C32" w:rsidRDefault="008135B7" w:rsidP="00752FB6">
            <w:pPr>
              <w:pStyle w:val="ARtabletextright"/>
            </w:pPr>
            <w:r>
              <w:t>$</w:t>
            </w:r>
            <w:r w:rsidR="00EF6835">
              <w:t>0</w:t>
            </w:r>
          </w:p>
        </w:tc>
      </w:tr>
      <w:tr w:rsidR="00EF6835" w:rsidRPr="00A34CB9" w14:paraId="5670C722" w14:textId="77777777" w:rsidTr="0022137A">
        <w:tc>
          <w:tcPr>
            <w:tcW w:w="768" w:type="pct"/>
            <w:vMerge/>
          </w:tcPr>
          <w:p w14:paraId="53C403BA" w14:textId="77777777" w:rsidR="00EF6835" w:rsidRPr="009D7C32" w:rsidRDefault="00EF6835" w:rsidP="00752FB6">
            <w:pPr>
              <w:pStyle w:val="ARtabletext"/>
            </w:pPr>
          </w:p>
        </w:tc>
        <w:tc>
          <w:tcPr>
            <w:tcW w:w="907" w:type="pct"/>
            <w:vMerge/>
            <w:tcBorders>
              <w:right w:val="nil"/>
            </w:tcBorders>
          </w:tcPr>
          <w:p w14:paraId="21CFE218"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3F217F4C" w14:textId="77777777" w:rsidR="00EF6835" w:rsidRPr="00CA157E" w:rsidRDefault="00EF6835" w:rsidP="00752FB6">
            <w:pPr>
              <w:pStyle w:val="ARtabletext"/>
              <w:rPr>
                <w:color w:val="000000"/>
              </w:rPr>
            </w:pPr>
            <w:r>
              <w:rPr>
                <w:color w:val="000000"/>
              </w:rPr>
              <w:t>Financial review, Victorian public hospitals impacted by COVID-19</w:t>
            </w:r>
          </w:p>
        </w:tc>
        <w:tc>
          <w:tcPr>
            <w:tcW w:w="722" w:type="pct"/>
            <w:tcBorders>
              <w:top w:val="single" w:sz="4" w:space="0" w:color="auto"/>
              <w:left w:val="nil"/>
              <w:bottom w:val="single" w:sz="4" w:space="0" w:color="auto"/>
              <w:right w:val="nil"/>
            </w:tcBorders>
            <w:shd w:val="clear" w:color="auto" w:fill="auto"/>
          </w:tcPr>
          <w:p w14:paraId="031D5284" w14:textId="4FBEFCE2" w:rsidR="00EF6835" w:rsidRPr="00CA157E" w:rsidRDefault="008135B7" w:rsidP="00752FB6">
            <w:pPr>
              <w:pStyle w:val="ARtabletextright"/>
            </w:pPr>
            <w:r>
              <w:t>$</w:t>
            </w:r>
            <w:r w:rsidR="00EF6835">
              <w:t>1,392,516</w:t>
            </w:r>
          </w:p>
        </w:tc>
        <w:tc>
          <w:tcPr>
            <w:tcW w:w="766" w:type="pct"/>
            <w:tcBorders>
              <w:top w:val="single" w:sz="4" w:space="0" w:color="auto"/>
              <w:left w:val="nil"/>
              <w:bottom w:val="single" w:sz="4" w:space="0" w:color="auto"/>
              <w:right w:val="nil"/>
            </w:tcBorders>
            <w:shd w:val="clear" w:color="auto" w:fill="auto"/>
          </w:tcPr>
          <w:p w14:paraId="16F34582" w14:textId="69F04CBA" w:rsidR="00EF6835" w:rsidRPr="009D7C32" w:rsidRDefault="008135B7" w:rsidP="00752FB6">
            <w:pPr>
              <w:pStyle w:val="ARtabletextright"/>
            </w:pPr>
            <w:r>
              <w:t>$</w:t>
            </w:r>
            <w:r w:rsidR="00EF6835">
              <w:t>236,095</w:t>
            </w:r>
          </w:p>
        </w:tc>
        <w:tc>
          <w:tcPr>
            <w:tcW w:w="674" w:type="pct"/>
            <w:tcBorders>
              <w:top w:val="single" w:sz="4" w:space="0" w:color="auto"/>
              <w:left w:val="nil"/>
              <w:bottom w:val="single" w:sz="4" w:space="0" w:color="auto"/>
              <w:right w:val="nil"/>
            </w:tcBorders>
            <w:shd w:val="clear" w:color="auto" w:fill="auto"/>
          </w:tcPr>
          <w:p w14:paraId="0DBE3E82" w14:textId="3FCBB631" w:rsidR="00EF6835" w:rsidRPr="009D7C32" w:rsidRDefault="008135B7" w:rsidP="00752FB6">
            <w:pPr>
              <w:pStyle w:val="ARtabletextright"/>
            </w:pPr>
            <w:r>
              <w:t>$</w:t>
            </w:r>
            <w:r w:rsidR="00EF6835">
              <w:t>102,127</w:t>
            </w:r>
          </w:p>
        </w:tc>
      </w:tr>
      <w:tr w:rsidR="00EF6835" w:rsidRPr="00A34CB9" w14:paraId="0802B742" w14:textId="77777777" w:rsidTr="0022137A">
        <w:tc>
          <w:tcPr>
            <w:tcW w:w="768" w:type="pct"/>
            <w:vMerge/>
          </w:tcPr>
          <w:p w14:paraId="3F944F40" w14:textId="77777777" w:rsidR="00EF6835" w:rsidRPr="009D7C32" w:rsidRDefault="00EF6835" w:rsidP="00752FB6">
            <w:pPr>
              <w:pStyle w:val="ARtabletext"/>
            </w:pPr>
          </w:p>
        </w:tc>
        <w:tc>
          <w:tcPr>
            <w:tcW w:w="907" w:type="pct"/>
            <w:vMerge/>
            <w:tcBorders>
              <w:right w:val="nil"/>
            </w:tcBorders>
          </w:tcPr>
          <w:p w14:paraId="37B1134E"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1F3E7500" w14:textId="77777777" w:rsidR="00EF6835" w:rsidRPr="009D7C32" w:rsidRDefault="00EF6835" w:rsidP="00752FB6">
            <w:pPr>
              <w:pStyle w:val="ARtabletext"/>
            </w:pPr>
            <w:r>
              <w:rPr>
                <w:color w:val="000000"/>
              </w:rPr>
              <w:t>Integrated planning and governance framework, School dental program</w:t>
            </w:r>
          </w:p>
        </w:tc>
        <w:tc>
          <w:tcPr>
            <w:tcW w:w="722" w:type="pct"/>
            <w:tcBorders>
              <w:top w:val="single" w:sz="4" w:space="0" w:color="auto"/>
              <w:left w:val="nil"/>
              <w:bottom w:val="single" w:sz="4" w:space="0" w:color="auto"/>
              <w:right w:val="nil"/>
            </w:tcBorders>
            <w:shd w:val="clear" w:color="auto" w:fill="auto"/>
          </w:tcPr>
          <w:p w14:paraId="3A1B366D" w14:textId="327F8928" w:rsidR="00EF6835" w:rsidRPr="009D7C32" w:rsidRDefault="008135B7" w:rsidP="00752FB6">
            <w:pPr>
              <w:pStyle w:val="ARtabletextright"/>
            </w:pPr>
            <w:r>
              <w:t>$</w:t>
            </w:r>
            <w:r w:rsidR="00EF6835">
              <w:t>518,969</w:t>
            </w:r>
          </w:p>
        </w:tc>
        <w:tc>
          <w:tcPr>
            <w:tcW w:w="766" w:type="pct"/>
            <w:tcBorders>
              <w:top w:val="single" w:sz="4" w:space="0" w:color="auto"/>
              <w:left w:val="nil"/>
              <w:bottom w:val="single" w:sz="4" w:space="0" w:color="auto"/>
              <w:right w:val="nil"/>
            </w:tcBorders>
            <w:shd w:val="clear" w:color="auto" w:fill="auto"/>
          </w:tcPr>
          <w:p w14:paraId="4103BAA1" w14:textId="72072A90" w:rsidR="00EF6835" w:rsidRPr="009D7C32" w:rsidRDefault="008135B7" w:rsidP="00752FB6">
            <w:pPr>
              <w:pStyle w:val="ARtabletextright"/>
            </w:pPr>
            <w:r>
              <w:t>$</w:t>
            </w:r>
            <w:r w:rsidR="00EF6835">
              <w:t>17,388</w:t>
            </w:r>
          </w:p>
        </w:tc>
        <w:tc>
          <w:tcPr>
            <w:tcW w:w="674" w:type="pct"/>
            <w:tcBorders>
              <w:top w:val="single" w:sz="4" w:space="0" w:color="auto"/>
              <w:left w:val="nil"/>
              <w:bottom w:val="single" w:sz="4" w:space="0" w:color="auto"/>
              <w:right w:val="nil"/>
            </w:tcBorders>
            <w:shd w:val="clear" w:color="auto" w:fill="auto"/>
          </w:tcPr>
          <w:p w14:paraId="471B93D2" w14:textId="76885E24" w:rsidR="00EF6835" w:rsidRPr="009D7C32" w:rsidRDefault="008135B7" w:rsidP="00752FB6">
            <w:pPr>
              <w:pStyle w:val="ARtabletextright"/>
            </w:pPr>
            <w:r>
              <w:t>$</w:t>
            </w:r>
            <w:r w:rsidR="00EF6835">
              <w:t>21,002</w:t>
            </w:r>
          </w:p>
        </w:tc>
      </w:tr>
      <w:tr w:rsidR="00EF6835" w:rsidRPr="00A34CB9" w14:paraId="3ACF7CF8" w14:textId="77777777" w:rsidTr="0022137A">
        <w:tc>
          <w:tcPr>
            <w:tcW w:w="768" w:type="pct"/>
            <w:vMerge/>
          </w:tcPr>
          <w:p w14:paraId="6B3D1BE4" w14:textId="77777777" w:rsidR="00EF6835" w:rsidRPr="009D7C32" w:rsidRDefault="00EF6835" w:rsidP="00752FB6">
            <w:pPr>
              <w:pStyle w:val="ARtabletext"/>
            </w:pPr>
          </w:p>
        </w:tc>
        <w:tc>
          <w:tcPr>
            <w:tcW w:w="907" w:type="pct"/>
            <w:vMerge/>
            <w:tcBorders>
              <w:right w:val="nil"/>
            </w:tcBorders>
          </w:tcPr>
          <w:p w14:paraId="2263ED85"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6E9BCC2C" w14:textId="77777777" w:rsidR="00EF6835" w:rsidRPr="009D7C32" w:rsidRDefault="00EF6835" w:rsidP="00752FB6">
            <w:pPr>
              <w:pStyle w:val="ARtabletext"/>
            </w:pPr>
            <w:r>
              <w:rPr>
                <w:color w:val="000000"/>
              </w:rPr>
              <w:t>Support, Royal Commission into Victoria’s Mental Health System</w:t>
            </w:r>
          </w:p>
        </w:tc>
        <w:tc>
          <w:tcPr>
            <w:tcW w:w="722" w:type="pct"/>
            <w:tcBorders>
              <w:top w:val="single" w:sz="4" w:space="0" w:color="auto"/>
              <w:left w:val="nil"/>
              <w:bottom w:val="single" w:sz="4" w:space="0" w:color="auto"/>
              <w:right w:val="nil"/>
            </w:tcBorders>
            <w:shd w:val="clear" w:color="auto" w:fill="auto"/>
          </w:tcPr>
          <w:p w14:paraId="69F4B16A" w14:textId="603F3468" w:rsidR="00EF6835" w:rsidRPr="009D7C32" w:rsidRDefault="008135B7" w:rsidP="00752FB6">
            <w:pPr>
              <w:pStyle w:val="ARtabletextright"/>
            </w:pPr>
            <w:r>
              <w:t>$</w:t>
            </w:r>
            <w:r w:rsidR="00EF6835">
              <w:t>1,281,345</w:t>
            </w:r>
          </w:p>
        </w:tc>
        <w:tc>
          <w:tcPr>
            <w:tcW w:w="766" w:type="pct"/>
            <w:tcBorders>
              <w:top w:val="single" w:sz="4" w:space="0" w:color="auto"/>
              <w:left w:val="nil"/>
              <w:bottom w:val="single" w:sz="4" w:space="0" w:color="auto"/>
              <w:right w:val="nil"/>
            </w:tcBorders>
            <w:shd w:val="clear" w:color="auto" w:fill="auto"/>
          </w:tcPr>
          <w:p w14:paraId="6B470C0B" w14:textId="2F55DCC9" w:rsidR="00EF6835" w:rsidRPr="009D7C32" w:rsidRDefault="008135B7" w:rsidP="00752FB6">
            <w:pPr>
              <w:pStyle w:val="ARtabletextright"/>
            </w:pPr>
            <w:r>
              <w:t>$</w:t>
            </w:r>
            <w:r w:rsidR="00EF6835">
              <w:t>427,669</w:t>
            </w:r>
          </w:p>
        </w:tc>
        <w:tc>
          <w:tcPr>
            <w:tcW w:w="674" w:type="pct"/>
            <w:tcBorders>
              <w:top w:val="single" w:sz="4" w:space="0" w:color="auto"/>
              <w:left w:val="nil"/>
              <w:bottom w:val="single" w:sz="4" w:space="0" w:color="auto"/>
              <w:right w:val="nil"/>
            </w:tcBorders>
            <w:shd w:val="clear" w:color="auto" w:fill="auto"/>
          </w:tcPr>
          <w:p w14:paraId="1FA5E85A" w14:textId="68906FEE" w:rsidR="00EF6835" w:rsidRPr="009D7C32" w:rsidRDefault="008135B7" w:rsidP="00752FB6">
            <w:pPr>
              <w:pStyle w:val="ARtabletextright"/>
            </w:pPr>
            <w:r>
              <w:t>$</w:t>
            </w:r>
            <w:r w:rsidR="00EF6835">
              <w:t>390,340</w:t>
            </w:r>
          </w:p>
        </w:tc>
      </w:tr>
      <w:tr w:rsidR="00EF6835" w:rsidRPr="00A34CB9" w14:paraId="1AAEFD3E" w14:textId="77777777" w:rsidTr="0022137A">
        <w:tc>
          <w:tcPr>
            <w:tcW w:w="768" w:type="pct"/>
            <w:vMerge/>
          </w:tcPr>
          <w:p w14:paraId="44F9F961" w14:textId="77777777" w:rsidR="00EF6835" w:rsidRPr="009D7C32" w:rsidRDefault="00EF6835" w:rsidP="00752FB6">
            <w:pPr>
              <w:pStyle w:val="ARtabletext"/>
            </w:pPr>
          </w:p>
        </w:tc>
        <w:tc>
          <w:tcPr>
            <w:tcW w:w="907" w:type="pct"/>
            <w:vMerge/>
            <w:tcBorders>
              <w:right w:val="nil"/>
            </w:tcBorders>
          </w:tcPr>
          <w:p w14:paraId="44E0DC6C"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01750171" w14:textId="77777777" w:rsidR="00EF6835" w:rsidRPr="009D7C32" w:rsidRDefault="00EF6835" w:rsidP="00752FB6">
            <w:pPr>
              <w:pStyle w:val="ARtabletext"/>
            </w:pPr>
            <w:r>
              <w:rPr>
                <w:color w:val="000000"/>
              </w:rPr>
              <w:t>Strategy and workforce data, Mental health workforce</w:t>
            </w:r>
          </w:p>
        </w:tc>
        <w:tc>
          <w:tcPr>
            <w:tcW w:w="722" w:type="pct"/>
            <w:tcBorders>
              <w:top w:val="single" w:sz="4" w:space="0" w:color="auto"/>
              <w:left w:val="nil"/>
              <w:bottom w:val="single" w:sz="4" w:space="0" w:color="auto"/>
              <w:right w:val="nil"/>
            </w:tcBorders>
            <w:shd w:val="clear" w:color="auto" w:fill="auto"/>
          </w:tcPr>
          <w:p w14:paraId="00C4F63D" w14:textId="7FB0EA9F" w:rsidR="00EF6835" w:rsidRPr="009D7C32" w:rsidRDefault="008135B7" w:rsidP="00752FB6">
            <w:pPr>
              <w:pStyle w:val="ARtabletextright"/>
            </w:pPr>
            <w:r>
              <w:t>$</w:t>
            </w:r>
            <w:r w:rsidR="00EF6835">
              <w:t>730,489</w:t>
            </w:r>
          </w:p>
        </w:tc>
        <w:tc>
          <w:tcPr>
            <w:tcW w:w="766" w:type="pct"/>
            <w:tcBorders>
              <w:top w:val="single" w:sz="4" w:space="0" w:color="auto"/>
              <w:left w:val="nil"/>
              <w:bottom w:val="single" w:sz="4" w:space="0" w:color="auto"/>
              <w:right w:val="nil"/>
            </w:tcBorders>
            <w:shd w:val="clear" w:color="auto" w:fill="auto"/>
          </w:tcPr>
          <w:p w14:paraId="1F273FC1" w14:textId="0C03CD7C" w:rsidR="00EF6835" w:rsidRPr="009D7C32" w:rsidRDefault="008135B7" w:rsidP="00752FB6">
            <w:pPr>
              <w:pStyle w:val="ARtabletextright"/>
            </w:pPr>
            <w:r>
              <w:t>$</w:t>
            </w:r>
            <w:r w:rsidR="00EF6835">
              <w:t>361,555</w:t>
            </w:r>
          </w:p>
        </w:tc>
        <w:tc>
          <w:tcPr>
            <w:tcW w:w="674" w:type="pct"/>
            <w:tcBorders>
              <w:top w:val="single" w:sz="4" w:space="0" w:color="auto"/>
              <w:left w:val="nil"/>
              <w:bottom w:val="single" w:sz="4" w:space="0" w:color="auto"/>
              <w:right w:val="nil"/>
            </w:tcBorders>
            <w:shd w:val="clear" w:color="auto" w:fill="auto"/>
          </w:tcPr>
          <w:p w14:paraId="3FC599ED" w14:textId="0822EA30" w:rsidR="00EF6835" w:rsidRPr="009D7C32" w:rsidRDefault="008135B7" w:rsidP="00752FB6">
            <w:pPr>
              <w:pStyle w:val="ARtabletextright"/>
            </w:pPr>
            <w:r>
              <w:t>$</w:t>
            </w:r>
            <w:r w:rsidR="00EF6835">
              <w:t>141,045</w:t>
            </w:r>
          </w:p>
        </w:tc>
      </w:tr>
      <w:tr w:rsidR="00EF6835" w:rsidRPr="00A34CB9" w14:paraId="3DBDABD7" w14:textId="77777777" w:rsidTr="0022137A">
        <w:tc>
          <w:tcPr>
            <w:tcW w:w="768" w:type="pct"/>
            <w:vMerge/>
          </w:tcPr>
          <w:p w14:paraId="4635F11D" w14:textId="77777777" w:rsidR="00EF6835" w:rsidRPr="009D7C32" w:rsidRDefault="00EF6835" w:rsidP="00752FB6">
            <w:pPr>
              <w:pStyle w:val="ARtabletext"/>
            </w:pPr>
          </w:p>
        </w:tc>
        <w:tc>
          <w:tcPr>
            <w:tcW w:w="907" w:type="pct"/>
            <w:vMerge/>
            <w:tcBorders>
              <w:right w:val="nil"/>
            </w:tcBorders>
          </w:tcPr>
          <w:p w14:paraId="1E6FCB37"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41D3C31D" w14:textId="77777777" w:rsidR="00EF6835" w:rsidRPr="009D7C32" w:rsidRDefault="00EF6835" w:rsidP="00752FB6">
            <w:pPr>
              <w:pStyle w:val="ARtabletext"/>
            </w:pPr>
            <w:r>
              <w:rPr>
                <w:color w:val="000000"/>
              </w:rPr>
              <w:t>Integrated public hospital laboratory information systems</w:t>
            </w:r>
          </w:p>
        </w:tc>
        <w:tc>
          <w:tcPr>
            <w:tcW w:w="722" w:type="pct"/>
            <w:tcBorders>
              <w:top w:val="single" w:sz="4" w:space="0" w:color="auto"/>
              <w:left w:val="nil"/>
              <w:bottom w:val="single" w:sz="4" w:space="0" w:color="auto"/>
              <w:right w:val="nil"/>
            </w:tcBorders>
            <w:shd w:val="clear" w:color="auto" w:fill="auto"/>
          </w:tcPr>
          <w:p w14:paraId="73F109F9" w14:textId="4125E4BA" w:rsidR="00EF6835" w:rsidRPr="009D7C32" w:rsidRDefault="008135B7" w:rsidP="00752FB6">
            <w:pPr>
              <w:pStyle w:val="ARtabletextright"/>
            </w:pPr>
            <w:r>
              <w:t>$</w:t>
            </w:r>
            <w:r w:rsidR="00EF6835">
              <w:t>998,970</w:t>
            </w:r>
          </w:p>
        </w:tc>
        <w:tc>
          <w:tcPr>
            <w:tcW w:w="766" w:type="pct"/>
            <w:tcBorders>
              <w:top w:val="single" w:sz="4" w:space="0" w:color="auto"/>
              <w:left w:val="nil"/>
              <w:bottom w:val="single" w:sz="4" w:space="0" w:color="auto"/>
              <w:right w:val="nil"/>
            </w:tcBorders>
            <w:shd w:val="clear" w:color="auto" w:fill="auto"/>
          </w:tcPr>
          <w:p w14:paraId="01187884" w14:textId="08EEC5F2" w:rsidR="00EF6835" w:rsidRPr="009D7C32" w:rsidRDefault="008135B7" w:rsidP="00752FB6">
            <w:pPr>
              <w:pStyle w:val="ARtabletextright"/>
            </w:pPr>
            <w:r>
              <w:t>$</w:t>
            </w:r>
            <w:r w:rsidR="00EF6835">
              <w:t>99,675</w:t>
            </w:r>
          </w:p>
        </w:tc>
        <w:tc>
          <w:tcPr>
            <w:tcW w:w="674" w:type="pct"/>
            <w:tcBorders>
              <w:top w:val="single" w:sz="4" w:space="0" w:color="auto"/>
              <w:left w:val="nil"/>
              <w:bottom w:val="single" w:sz="4" w:space="0" w:color="auto"/>
              <w:right w:val="nil"/>
            </w:tcBorders>
            <w:shd w:val="clear" w:color="auto" w:fill="auto"/>
          </w:tcPr>
          <w:p w14:paraId="22D41887" w14:textId="3E7ED60E" w:rsidR="00EF6835" w:rsidRPr="009D7C32" w:rsidRDefault="008135B7" w:rsidP="00752FB6">
            <w:pPr>
              <w:pStyle w:val="ARtabletextright"/>
            </w:pPr>
            <w:r>
              <w:t>$</w:t>
            </w:r>
            <w:r w:rsidR="00EF6835">
              <w:t>0</w:t>
            </w:r>
          </w:p>
        </w:tc>
      </w:tr>
      <w:tr w:rsidR="00EF6835" w:rsidRPr="00A34CB9" w14:paraId="42DF3005" w14:textId="77777777" w:rsidTr="0022137A">
        <w:tc>
          <w:tcPr>
            <w:tcW w:w="768" w:type="pct"/>
            <w:vMerge/>
          </w:tcPr>
          <w:p w14:paraId="3076304F" w14:textId="77777777" w:rsidR="00EF6835" w:rsidRPr="009D7C32" w:rsidRDefault="00EF6835" w:rsidP="00752FB6">
            <w:pPr>
              <w:pStyle w:val="ARtabletext"/>
            </w:pPr>
          </w:p>
        </w:tc>
        <w:tc>
          <w:tcPr>
            <w:tcW w:w="907" w:type="pct"/>
            <w:vMerge/>
            <w:tcBorders>
              <w:right w:val="nil"/>
            </w:tcBorders>
          </w:tcPr>
          <w:p w14:paraId="412816B9"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39FC90BF" w14:textId="10532E5D" w:rsidR="00EF6835" w:rsidRPr="009D7C32" w:rsidRDefault="00EF6835" w:rsidP="00752FB6">
            <w:pPr>
              <w:pStyle w:val="ARtabletext"/>
            </w:pPr>
            <w:r>
              <w:rPr>
                <w:color w:val="000000"/>
              </w:rPr>
              <w:t xml:space="preserve">Review, </w:t>
            </w:r>
            <w:r w:rsidR="00C16416">
              <w:rPr>
                <w:color w:val="000000"/>
              </w:rPr>
              <w:t>B</w:t>
            </w:r>
            <w:r>
              <w:rPr>
                <w:color w:val="000000"/>
              </w:rPr>
              <w:t>enchmarking cost of COVID</w:t>
            </w:r>
            <w:r w:rsidR="006D18BA">
              <w:rPr>
                <w:color w:val="000000"/>
              </w:rPr>
              <w:t>-19</w:t>
            </w:r>
            <w:r>
              <w:rPr>
                <w:color w:val="000000"/>
              </w:rPr>
              <w:t xml:space="preserve"> care</w:t>
            </w:r>
          </w:p>
        </w:tc>
        <w:tc>
          <w:tcPr>
            <w:tcW w:w="722" w:type="pct"/>
            <w:tcBorders>
              <w:top w:val="single" w:sz="4" w:space="0" w:color="auto"/>
              <w:left w:val="nil"/>
              <w:bottom w:val="single" w:sz="4" w:space="0" w:color="auto"/>
              <w:right w:val="nil"/>
            </w:tcBorders>
            <w:shd w:val="clear" w:color="auto" w:fill="auto"/>
          </w:tcPr>
          <w:p w14:paraId="2949CB8D" w14:textId="65C47CEC" w:rsidR="00EF6835" w:rsidRPr="009D7C32" w:rsidRDefault="008135B7" w:rsidP="00752FB6">
            <w:pPr>
              <w:pStyle w:val="ARtabletextright"/>
            </w:pPr>
            <w:r>
              <w:t>$</w:t>
            </w:r>
            <w:r w:rsidR="00EF6835">
              <w:t>93,377</w:t>
            </w:r>
          </w:p>
        </w:tc>
        <w:tc>
          <w:tcPr>
            <w:tcW w:w="766" w:type="pct"/>
            <w:tcBorders>
              <w:top w:val="single" w:sz="4" w:space="0" w:color="auto"/>
              <w:left w:val="nil"/>
              <w:bottom w:val="single" w:sz="4" w:space="0" w:color="auto"/>
              <w:right w:val="nil"/>
            </w:tcBorders>
            <w:shd w:val="clear" w:color="auto" w:fill="auto"/>
          </w:tcPr>
          <w:p w14:paraId="0F12A3BD" w14:textId="4B2C9BB9" w:rsidR="00EF6835" w:rsidRPr="009D7C32" w:rsidRDefault="008135B7" w:rsidP="00752FB6">
            <w:pPr>
              <w:pStyle w:val="ARtabletextright"/>
            </w:pPr>
            <w:r>
              <w:t>$</w:t>
            </w:r>
            <w:r w:rsidR="00EF6835">
              <w:t>65,910</w:t>
            </w:r>
          </w:p>
        </w:tc>
        <w:tc>
          <w:tcPr>
            <w:tcW w:w="674" w:type="pct"/>
            <w:tcBorders>
              <w:top w:val="single" w:sz="4" w:space="0" w:color="auto"/>
              <w:left w:val="nil"/>
              <w:bottom w:val="single" w:sz="4" w:space="0" w:color="auto"/>
              <w:right w:val="nil"/>
            </w:tcBorders>
            <w:shd w:val="clear" w:color="auto" w:fill="auto"/>
          </w:tcPr>
          <w:p w14:paraId="59203006" w14:textId="22E6ADC8" w:rsidR="00EF6835" w:rsidRPr="009D7C32" w:rsidRDefault="008135B7" w:rsidP="00752FB6">
            <w:pPr>
              <w:pStyle w:val="ARtabletextright"/>
            </w:pPr>
            <w:r>
              <w:t>$</w:t>
            </w:r>
            <w:r w:rsidR="00EF6835">
              <w:t>27,467</w:t>
            </w:r>
          </w:p>
        </w:tc>
      </w:tr>
      <w:tr w:rsidR="00EF6835" w:rsidRPr="00A34CB9" w14:paraId="05966890" w14:textId="77777777" w:rsidTr="0022137A">
        <w:tc>
          <w:tcPr>
            <w:tcW w:w="768" w:type="pct"/>
            <w:vMerge/>
          </w:tcPr>
          <w:p w14:paraId="0742017E" w14:textId="77777777" w:rsidR="00EF6835" w:rsidRPr="009D7C32" w:rsidRDefault="00EF6835" w:rsidP="00752FB6">
            <w:pPr>
              <w:pStyle w:val="ARtabletext"/>
            </w:pPr>
          </w:p>
        </w:tc>
        <w:tc>
          <w:tcPr>
            <w:tcW w:w="907" w:type="pct"/>
            <w:vMerge/>
            <w:tcBorders>
              <w:right w:val="nil"/>
            </w:tcBorders>
          </w:tcPr>
          <w:p w14:paraId="0A3FF1CE"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522C13B2" w14:textId="77777777" w:rsidR="00EF6835" w:rsidRPr="009D7C32" w:rsidRDefault="00EF6835" w:rsidP="00752FB6">
            <w:pPr>
              <w:pStyle w:val="ARtabletext"/>
            </w:pPr>
            <w:r>
              <w:rPr>
                <w:color w:val="000000"/>
              </w:rPr>
              <w:t>Review, Commercial billing</w:t>
            </w:r>
          </w:p>
        </w:tc>
        <w:tc>
          <w:tcPr>
            <w:tcW w:w="722" w:type="pct"/>
            <w:tcBorders>
              <w:top w:val="single" w:sz="4" w:space="0" w:color="auto"/>
              <w:left w:val="nil"/>
              <w:bottom w:val="single" w:sz="4" w:space="0" w:color="auto"/>
              <w:right w:val="nil"/>
            </w:tcBorders>
            <w:shd w:val="clear" w:color="auto" w:fill="auto"/>
          </w:tcPr>
          <w:p w14:paraId="7FFC85C7" w14:textId="1C6D7AEE" w:rsidR="00EF6835" w:rsidRPr="009D7C32" w:rsidRDefault="008135B7" w:rsidP="00752FB6">
            <w:pPr>
              <w:pStyle w:val="ARtabletextright"/>
            </w:pPr>
            <w:r>
              <w:t>$</w:t>
            </w:r>
            <w:r w:rsidR="00EF6835">
              <w:t>84,965</w:t>
            </w:r>
          </w:p>
        </w:tc>
        <w:tc>
          <w:tcPr>
            <w:tcW w:w="766" w:type="pct"/>
            <w:tcBorders>
              <w:top w:val="single" w:sz="4" w:space="0" w:color="auto"/>
              <w:left w:val="nil"/>
              <w:bottom w:val="single" w:sz="4" w:space="0" w:color="auto"/>
              <w:right w:val="nil"/>
            </w:tcBorders>
            <w:shd w:val="clear" w:color="auto" w:fill="auto"/>
          </w:tcPr>
          <w:p w14:paraId="15A515A3" w14:textId="05EED9DF" w:rsidR="00EF6835" w:rsidRPr="009D7C32" w:rsidRDefault="008135B7" w:rsidP="00752FB6">
            <w:pPr>
              <w:pStyle w:val="ARtabletextright"/>
            </w:pPr>
            <w:r>
              <w:t>$</w:t>
            </w:r>
            <w:r w:rsidR="00EF6835">
              <w:t>84,965</w:t>
            </w:r>
          </w:p>
        </w:tc>
        <w:tc>
          <w:tcPr>
            <w:tcW w:w="674" w:type="pct"/>
            <w:tcBorders>
              <w:top w:val="single" w:sz="4" w:space="0" w:color="auto"/>
              <w:left w:val="nil"/>
              <w:bottom w:val="single" w:sz="4" w:space="0" w:color="auto"/>
              <w:right w:val="nil"/>
            </w:tcBorders>
            <w:shd w:val="clear" w:color="auto" w:fill="auto"/>
          </w:tcPr>
          <w:p w14:paraId="793BC8E1" w14:textId="06A58B34" w:rsidR="00EF6835" w:rsidRPr="009D7C32" w:rsidRDefault="008135B7" w:rsidP="00752FB6">
            <w:pPr>
              <w:pStyle w:val="ARtabletextright"/>
            </w:pPr>
            <w:r>
              <w:t>$</w:t>
            </w:r>
            <w:r w:rsidR="00EF6835">
              <w:t>0</w:t>
            </w:r>
          </w:p>
        </w:tc>
      </w:tr>
      <w:tr w:rsidR="00EF6835" w:rsidRPr="00A34CB9" w14:paraId="03D74862" w14:textId="77777777" w:rsidTr="0022137A">
        <w:tc>
          <w:tcPr>
            <w:tcW w:w="768" w:type="pct"/>
            <w:vMerge/>
          </w:tcPr>
          <w:p w14:paraId="7636037F" w14:textId="77777777" w:rsidR="00EF6835" w:rsidRPr="009D7C32" w:rsidRDefault="00EF6835" w:rsidP="00752FB6">
            <w:pPr>
              <w:pStyle w:val="ARtabletext"/>
            </w:pPr>
          </w:p>
        </w:tc>
        <w:tc>
          <w:tcPr>
            <w:tcW w:w="907" w:type="pct"/>
            <w:vMerge/>
            <w:tcBorders>
              <w:right w:val="nil"/>
            </w:tcBorders>
          </w:tcPr>
          <w:p w14:paraId="11311F44"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24893E8F" w14:textId="6C769398" w:rsidR="00EF6835" w:rsidRPr="009D7C32" w:rsidRDefault="00EF6835" w:rsidP="00752FB6">
            <w:pPr>
              <w:pStyle w:val="ARtabletext"/>
            </w:pPr>
            <w:r>
              <w:rPr>
                <w:color w:val="000000"/>
              </w:rPr>
              <w:t xml:space="preserve">Development, Statewide model of care for youth </w:t>
            </w:r>
            <w:r w:rsidR="002A20C5">
              <w:rPr>
                <w:color w:val="000000"/>
              </w:rPr>
              <w:t xml:space="preserve">suicide </w:t>
            </w:r>
            <w:r>
              <w:rPr>
                <w:color w:val="000000"/>
              </w:rPr>
              <w:t>prevention &amp; recovery care</w:t>
            </w:r>
          </w:p>
        </w:tc>
        <w:tc>
          <w:tcPr>
            <w:tcW w:w="722" w:type="pct"/>
            <w:tcBorders>
              <w:top w:val="single" w:sz="4" w:space="0" w:color="auto"/>
              <w:left w:val="nil"/>
              <w:bottom w:val="single" w:sz="4" w:space="0" w:color="auto"/>
              <w:right w:val="nil"/>
            </w:tcBorders>
            <w:shd w:val="clear" w:color="auto" w:fill="auto"/>
          </w:tcPr>
          <w:p w14:paraId="4031B909" w14:textId="2F11B88E" w:rsidR="00EF6835" w:rsidRPr="009D7C32" w:rsidRDefault="008135B7" w:rsidP="00752FB6">
            <w:pPr>
              <w:pStyle w:val="ARtabletextright"/>
            </w:pPr>
            <w:r>
              <w:t>$</w:t>
            </w:r>
            <w:r w:rsidR="00EF6835">
              <w:t>90,000</w:t>
            </w:r>
          </w:p>
        </w:tc>
        <w:tc>
          <w:tcPr>
            <w:tcW w:w="766" w:type="pct"/>
            <w:tcBorders>
              <w:top w:val="single" w:sz="4" w:space="0" w:color="auto"/>
              <w:left w:val="nil"/>
              <w:bottom w:val="single" w:sz="4" w:space="0" w:color="auto"/>
              <w:right w:val="nil"/>
            </w:tcBorders>
            <w:shd w:val="clear" w:color="auto" w:fill="auto"/>
          </w:tcPr>
          <w:p w14:paraId="4E9453E1" w14:textId="0882D9C9" w:rsidR="00EF6835" w:rsidRPr="009D7C32" w:rsidRDefault="008135B7" w:rsidP="00752FB6">
            <w:pPr>
              <w:pStyle w:val="ARtabletextright"/>
            </w:pPr>
            <w:r>
              <w:t>$</w:t>
            </w:r>
            <w:r w:rsidR="00EF6835">
              <w:t>74,444</w:t>
            </w:r>
          </w:p>
        </w:tc>
        <w:tc>
          <w:tcPr>
            <w:tcW w:w="674" w:type="pct"/>
            <w:tcBorders>
              <w:top w:val="single" w:sz="4" w:space="0" w:color="auto"/>
              <w:left w:val="nil"/>
              <w:bottom w:val="single" w:sz="4" w:space="0" w:color="auto"/>
              <w:right w:val="nil"/>
            </w:tcBorders>
            <w:shd w:val="clear" w:color="auto" w:fill="auto"/>
          </w:tcPr>
          <w:p w14:paraId="2B62AEC3" w14:textId="17DA108D" w:rsidR="00EF6835" w:rsidRPr="009D7C32" w:rsidRDefault="008135B7" w:rsidP="00752FB6">
            <w:pPr>
              <w:pStyle w:val="ARtabletextright"/>
            </w:pPr>
            <w:r>
              <w:t>$</w:t>
            </w:r>
            <w:r w:rsidR="00EF6835">
              <w:t>15,556</w:t>
            </w:r>
          </w:p>
        </w:tc>
      </w:tr>
      <w:tr w:rsidR="00EF6835" w:rsidRPr="00A34CB9" w14:paraId="2968F95C" w14:textId="77777777" w:rsidTr="0022137A">
        <w:tc>
          <w:tcPr>
            <w:tcW w:w="768" w:type="pct"/>
            <w:vMerge/>
          </w:tcPr>
          <w:p w14:paraId="75008D66" w14:textId="77777777" w:rsidR="00EF6835" w:rsidRPr="009D7C32" w:rsidRDefault="00EF6835" w:rsidP="00752FB6">
            <w:pPr>
              <w:pStyle w:val="ARtabletext"/>
            </w:pPr>
          </w:p>
        </w:tc>
        <w:tc>
          <w:tcPr>
            <w:tcW w:w="907" w:type="pct"/>
            <w:vMerge/>
            <w:tcBorders>
              <w:right w:val="nil"/>
            </w:tcBorders>
          </w:tcPr>
          <w:p w14:paraId="313D6BEE"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1C625644" w14:textId="77777777" w:rsidR="00EF6835" w:rsidRPr="009D7C32" w:rsidRDefault="00EF6835" w:rsidP="00752FB6">
            <w:pPr>
              <w:pStyle w:val="ARtabletext"/>
            </w:pPr>
            <w:r>
              <w:rPr>
                <w:color w:val="000000"/>
              </w:rPr>
              <w:t>Productivity analysis, Victorian health system</w:t>
            </w:r>
          </w:p>
        </w:tc>
        <w:tc>
          <w:tcPr>
            <w:tcW w:w="722" w:type="pct"/>
            <w:tcBorders>
              <w:top w:val="single" w:sz="4" w:space="0" w:color="auto"/>
              <w:left w:val="nil"/>
              <w:bottom w:val="single" w:sz="4" w:space="0" w:color="auto"/>
              <w:right w:val="nil"/>
            </w:tcBorders>
            <w:shd w:val="clear" w:color="auto" w:fill="auto"/>
          </w:tcPr>
          <w:p w14:paraId="03942927" w14:textId="2E7A4C48" w:rsidR="00EF6835" w:rsidRPr="009D7C32" w:rsidRDefault="008135B7" w:rsidP="00752FB6">
            <w:pPr>
              <w:pStyle w:val="ARtabletextright"/>
            </w:pPr>
            <w:r>
              <w:t>$</w:t>
            </w:r>
            <w:r w:rsidR="00EF6835">
              <w:t>221,500</w:t>
            </w:r>
          </w:p>
        </w:tc>
        <w:tc>
          <w:tcPr>
            <w:tcW w:w="766" w:type="pct"/>
            <w:tcBorders>
              <w:top w:val="single" w:sz="4" w:space="0" w:color="auto"/>
              <w:left w:val="nil"/>
              <w:bottom w:val="single" w:sz="4" w:space="0" w:color="auto"/>
              <w:right w:val="nil"/>
            </w:tcBorders>
            <w:shd w:val="clear" w:color="auto" w:fill="auto"/>
          </w:tcPr>
          <w:p w14:paraId="65FB645A" w14:textId="1EE9B8CE" w:rsidR="00EF6835" w:rsidRPr="009D7C32" w:rsidRDefault="008135B7" w:rsidP="00752FB6">
            <w:pPr>
              <w:pStyle w:val="ARtabletextright"/>
            </w:pPr>
            <w:r>
              <w:t>$</w:t>
            </w:r>
            <w:r w:rsidR="00EF6835">
              <w:t>221,500</w:t>
            </w:r>
          </w:p>
        </w:tc>
        <w:tc>
          <w:tcPr>
            <w:tcW w:w="674" w:type="pct"/>
            <w:tcBorders>
              <w:top w:val="single" w:sz="4" w:space="0" w:color="auto"/>
              <w:left w:val="nil"/>
              <w:bottom w:val="single" w:sz="4" w:space="0" w:color="auto"/>
              <w:right w:val="nil"/>
            </w:tcBorders>
            <w:shd w:val="clear" w:color="auto" w:fill="auto"/>
          </w:tcPr>
          <w:p w14:paraId="7845D0D2" w14:textId="23B9AFB7" w:rsidR="00EF6835" w:rsidRPr="009D7C32" w:rsidRDefault="008135B7" w:rsidP="00752FB6">
            <w:pPr>
              <w:pStyle w:val="ARtabletextright"/>
            </w:pPr>
            <w:r>
              <w:t>$</w:t>
            </w:r>
            <w:r w:rsidR="00EF6835">
              <w:t>83,949</w:t>
            </w:r>
          </w:p>
        </w:tc>
      </w:tr>
      <w:tr w:rsidR="00EF6835" w:rsidRPr="00A34CB9" w14:paraId="336FE35D" w14:textId="77777777" w:rsidTr="0022137A">
        <w:tc>
          <w:tcPr>
            <w:tcW w:w="768" w:type="pct"/>
            <w:vMerge/>
          </w:tcPr>
          <w:p w14:paraId="3B32F5A5" w14:textId="77777777" w:rsidR="00EF6835" w:rsidRPr="009D7C32" w:rsidRDefault="00EF6835" w:rsidP="00752FB6">
            <w:pPr>
              <w:pStyle w:val="ARtabletext"/>
            </w:pPr>
          </w:p>
        </w:tc>
        <w:tc>
          <w:tcPr>
            <w:tcW w:w="907" w:type="pct"/>
            <w:vMerge/>
            <w:tcBorders>
              <w:right w:val="nil"/>
            </w:tcBorders>
          </w:tcPr>
          <w:p w14:paraId="2D068FC3"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6FC5F6FE" w14:textId="021D467D" w:rsidR="00EF6835" w:rsidRPr="009D7C32" w:rsidRDefault="00EF6835" w:rsidP="00752FB6">
            <w:pPr>
              <w:pStyle w:val="ARtabletext"/>
            </w:pPr>
            <w:r>
              <w:rPr>
                <w:color w:val="000000"/>
              </w:rPr>
              <w:t xml:space="preserve">Delivery, Mental </w:t>
            </w:r>
            <w:r w:rsidR="002A20C5">
              <w:rPr>
                <w:color w:val="000000"/>
              </w:rPr>
              <w:t>h</w:t>
            </w:r>
            <w:r>
              <w:rPr>
                <w:color w:val="000000"/>
              </w:rPr>
              <w:t>ealth workforce strategy</w:t>
            </w:r>
          </w:p>
        </w:tc>
        <w:tc>
          <w:tcPr>
            <w:tcW w:w="722" w:type="pct"/>
            <w:tcBorders>
              <w:top w:val="single" w:sz="4" w:space="0" w:color="auto"/>
              <w:left w:val="nil"/>
              <w:bottom w:val="single" w:sz="4" w:space="0" w:color="auto"/>
              <w:right w:val="nil"/>
            </w:tcBorders>
            <w:shd w:val="clear" w:color="auto" w:fill="auto"/>
          </w:tcPr>
          <w:p w14:paraId="18A14F3C" w14:textId="2CD0BFBF" w:rsidR="00EF6835" w:rsidRPr="009D7C32" w:rsidRDefault="008135B7" w:rsidP="00752FB6">
            <w:pPr>
              <w:pStyle w:val="ARtabletextright"/>
            </w:pPr>
            <w:r>
              <w:t>$</w:t>
            </w:r>
            <w:r w:rsidR="00EF6835">
              <w:t>785,355</w:t>
            </w:r>
          </w:p>
        </w:tc>
        <w:tc>
          <w:tcPr>
            <w:tcW w:w="766" w:type="pct"/>
            <w:tcBorders>
              <w:top w:val="single" w:sz="4" w:space="0" w:color="auto"/>
              <w:left w:val="nil"/>
              <w:bottom w:val="single" w:sz="4" w:space="0" w:color="auto"/>
              <w:right w:val="nil"/>
            </w:tcBorders>
            <w:shd w:val="clear" w:color="auto" w:fill="auto"/>
          </w:tcPr>
          <w:p w14:paraId="7F696611" w14:textId="076386F0" w:rsidR="00EF6835" w:rsidRPr="009D7C32" w:rsidRDefault="008135B7" w:rsidP="00752FB6">
            <w:pPr>
              <w:pStyle w:val="ARtabletextright"/>
            </w:pPr>
            <w:r>
              <w:t>$</w:t>
            </w:r>
            <w:r w:rsidR="00EF6835">
              <w:t>785,355</w:t>
            </w:r>
          </w:p>
        </w:tc>
        <w:tc>
          <w:tcPr>
            <w:tcW w:w="674" w:type="pct"/>
            <w:tcBorders>
              <w:top w:val="single" w:sz="4" w:space="0" w:color="auto"/>
              <w:left w:val="nil"/>
              <w:bottom w:val="single" w:sz="4" w:space="0" w:color="auto"/>
              <w:right w:val="nil"/>
            </w:tcBorders>
            <w:shd w:val="clear" w:color="auto" w:fill="auto"/>
          </w:tcPr>
          <w:p w14:paraId="097DA000" w14:textId="7A823876" w:rsidR="00EF6835" w:rsidRPr="009D7C32" w:rsidRDefault="008135B7" w:rsidP="00752FB6">
            <w:pPr>
              <w:pStyle w:val="ARtabletextright"/>
            </w:pPr>
            <w:r>
              <w:t>$</w:t>
            </w:r>
            <w:r w:rsidR="00EF6835">
              <w:t>0</w:t>
            </w:r>
          </w:p>
        </w:tc>
      </w:tr>
      <w:tr w:rsidR="00EF6835" w:rsidRPr="00A34CB9" w14:paraId="72A0CA00" w14:textId="77777777" w:rsidTr="0022137A">
        <w:tc>
          <w:tcPr>
            <w:tcW w:w="768" w:type="pct"/>
            <w:vMerge/>
          </w:tcPr>
          <w:p w14:paraId="66722593" w14:textId="77777777" w:rsidR="00EF6835" w:rsidRPr="009D7C32" w:rsidRDefault="00EF6835" w:rsidP="00752FB6">
            <w:pPr>
              <w:pStyle w:val="ARtabletext"/>
            </w:pPr>
          </w:p>
        </w:tc>
        <w:tc>
          <w:tcPr>
            <w:tcW w:w="907" w:type="pct"/>
            <w:vMerge/>
            <w:tcBorders>
              <w:right w:val="nil"/>
            </w:tcBorders>
          </w:tcPr>
          <w:p w14:paraId="44185A7C"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755417F7" w14:textId="283FC2F3" w:rsidR="00EF6835" w:rsidRPr="009D7C32" w:rsidRDefault="00EF6835" w:rsidP="00752FB6">
            <w:pPr>
              <w:pStyle w:val="ARtabletext"/>
            </w:pPr>
            <w:r>
              <w:rPr>
                <w:color w:val="000000"/>
              </w:rPr>
              <w:t>Review, COVID</w:t>
            </w:r>
            <w:r w:rsidR="002A20C5">
              <w:rPr>
                <w:color w:val="000000"/>
              </w:rPr>
              <w:t>-19</w:t>
            </w:r>
            <w:r>
              <w:rPr>
                <w:color w:val="000000"/>
              </w:rPr>
              <w:t xml:space="preserve"> vaccination management system data governance</w:t>
            </w:r>
          </w:p>
        </w:tc>
        <w:tc>
          <w:tcPr>
            <w:tcW w:w="722" w:type="pct"/>
            <w:tcBorders>
              <w:top w:val="single" w:sz="4" w:space="0" w:color="auto"/>
              <w:left w:val="nil"/>
              <w:bottom w:val="single" w:sz="4" w:space="0" w:color="auto"/>
              <w:right w:val="nil"/>
            </w:tcBorders>
            <w:shd w:val="clear" w:color="auto" w:fill="auto"/>
          </w:tcPr>
          <w:p w14:paraId="36286587" w14:textId="2FD23B05" w:rsidR="00EF6835" w:rsidRPr="009D7C32" w:rsidRDefault="008135B7" w:rsidP="00752FB6">
            <w:pPr>
              <w:pStyle w:val="ARtabletextright"/>
            </w:pPr>
            <w:r>
              <w:t>$</w:t>
            </w:r>
            <w:r w:rsidR="00EF6835">
              <w:t>270,014</w:t>
            </w:r>
          </w:p>
        </w:tc>
        <w:tc>
          <w:tcPr>
            <w:tcW w:w="766" w:type="pct"/>
            <w:tcBorders>
              <w:top w:val="single" w:sz="4" w:space="0" w:color="auto"/>
              <w:left w:val="nil"/>
              <w:bottom w:val="single" w:sz="4" w:space="0" w:color="auto"/>
              <w:right w:val="nil"/>
            </w:tcBorders>
            <w:shd w:val="clear" w:color="auto" w:fill="auto"/>
          </w:tcPr>
          <w:p w14:paraId="46CBBD31" w14:textId="170A05AC" w:rsidR="00EF6835" w:rsidRPr="009D7C32" w:rsidRDefault="008135B7" w:rsidP="00752FB6">
            <w:pPr>
              <w:pStyle w:val="ARtabletextright"/>
            </w:pPr>
            <w:r>
              <w:t>$</w:t>
            </w:r>
            <w:r w:rsidR="00EF6835">
              <w:t>136,364</w:t>
            </w:r>
          </w:p>
        </w:tc>
        <w:tc>
          <w:tcPr>
            <w:tcW w:w="674" w:type="pct"/>
            <w:tcBorders>
              <w:top w:val="single" w:sz="4" w:space="0" w:color="auto"/>
              <w:left w:val="nil"/>
              <w:bottom w:val="single" w:sz="4" w:space="0" w:color="auto"/>
              <w:right w:val="nil"/>
            </w:tcBorders>
            <w:shd w:val="clear" w:color="auto" w:fill="auto"/>
          </w:tcPr>
          <w:p w14:paraId="1125CFC7" w14:textId="20596620" w:rsidR="00EF6835" w:rsidRPr="009D7C32" w:rsidRDefault="008135B7" w:rsidP="00752FB6">
            <w:pPr>
              <w:pStyle w:val="ARtabletextright"/>
            </w:pPr>
            <w:r>
              <w:t>$</w:t>
            </w:r>
            <w:r w:rsidR="00EF6835">
              <w:t>0</w:t>
            </w:r>
          </w:p>
        </w:tc>
      </w:tr>
      <w:tr w:rsidR="00EF6835" w:rsidRPr="00A34CB9" w14:paraId="39B97CE1" w14:textId="77777777" w:rsidTr="0022137A">
        <w:tc>
          <w:tcPr>
            <w:tcW w:w="768" w:type="pct"/>
            <w:vMerge/>
          </w:tcPr>
          <w:p w14:paraId="1D72517F" w14:textId="77777777" w:rsidR="00EF6835" w:rsidRPr="009D7C32" w:rsidRDefault="00EF6835" w:rsidP="00752FB6">
            <w:pPr>
              <w:pStyle w:val="ARtabletext"/>
            </w:pPr>
          </w:p>
        </w:tc>
        <w:tc>
          <w:tcPr>
            <w:tcW w:w="907" w:type="pct"/>
            <w:vMerge/>
            <w:tcBorders>
              <w:right w:val="nil"/>
            </w:tcBorders>
          </w:tcPr>
          <w:p w14:paraId="45AD3367"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2099CE16" w14:textId="77777777" w:rsidR="00EF6835" w:rsidRPr="009D7C32" w:rsidRDefault="00EF6835" w:rsidP="00752FB6">
            <w:pPr>
              <w:pStyle w:val="ARtabletext"/>
            </w:pPr>
            <w:r>
              <w:rPr>
                <w:color w:val="000000"/>
              </w:rPr>
              <w:t>Support, Health workforce strategy</w:t>
            </w:r>
          </w:p>
        </w:tc>
        <w:tc>
          <w:tcPr>
            <w:tcW w:w="722" w:type="pct"/>
            <w:tcBorders>
              <w:top w:val="single" w:sz="4" w:space="0" w:color="auto"/>
              <w:left w:val="nil"/>
              <w:bottom w:val="single" w:sz="4" w:space="0" w:color="auto"/>
              <w:right w:val="nil"/>
            </w:tcBorders>
            <w:shd w:val="clear" w:color="auto" w:fill="auto"/>
          </w:tcPr>
          <w:p w14:paraId="4783E966" w14:textId="20AFA84D" w:rsidR="00EF6835" w:rsidRPr="009D7C32" w:rsidRDefault="008135B7" w:rsidP="00752FB6">
            <w:pPr>
              <w:pStyle w:val="ARtabletextright"/>
            </w:pPr>
            <w:r>
              <w:t>$</w:t>
            </w:r>
            <w:r w:rsidR="00EF6835">
              <w:t>1,140,955</w:t>
            </w:r>
          </w:p>
        </w:tc>
        <w:tc>
          <w:tcPr>
            <w:tcW w:w="766" w:type="pct"/>
            <w:tcBorders>
              <w:top w:val="single" w:sz="4" w:space="0" w:color="auto"/>
              <w:left w:val="nil"/>
              <w:bottom w:val="single" w:sz="4" w:space="0" w:color="auto"/>
              <w:right w:val="nil"/>
            </w:tcBorders>
            <w:shd w:val="clear" w:color="auto" w:fill="auto"/>
          </w:tcPr>
          <w:p w14:paraId="2A9DCBDE" w14:textId="030F9F08" w:rsidR="00EF6835" w:rsidRPr="009D7C32" w:rsidRDefault="008135B7" w:rsidP="00752FB6">
            <w:pPr>
              <w:pStyle w:val="ARtabletextright"/>
            </w:pPr>
            <w:r>
              <w:t>$</w:t>
            </w:r>
            <w:r w:rsidR="00EF6835">
              <w:t>570,033</w:t>
            </w:r>
          </w:p>
        </w:tc>
        <w:tc>
          <w:tcPr>
            <w:tcW w:w="674" w:type="pct"/>
            <w:tcBorders>
              <w:top w:val="single" w:sz="4" w:space="0" w:color="auto"/>
              <w:left w:val="nil"/>
              <w:bottom w:val="single" w:sz="4" w:space="0" w:color="auto"/>
              <w:right w:val="nil"/>
            </w:tcBorders>
            <w:shd w:val="clear" w:color="auto" w:fill="auto"/>
          </w:tcPr>
          <w:p w14:paraId="02A2C703" w14:textId="7C967409" w:rsidR="00EF6835" w:rsidRPr="009D7C32" w:rsidRDefault="003C4D34" w:rsidP="00752FB6">
            <w:pPr>
              <w:pStyle w:val="ARtabletextright"/>
            </w:pPr>
            <w:r>
              <w:t>$</w:t>
            </w:r>
            <w:r w:rsidR="00EF6835">
              <w:t>570,922</w:t>
            </w:r>
          </w:p>
        </w:tc>
      </w:tr>
      <w:tr w:rsidR="00EF6835" w:rsidRPr="00A34CB9" w14:paraId="6A9378F7" w14:textId="77777777" w:rsidTr="0022137A">
        <w:tc>
          <w:tcPr>
            <w:tcW w:w="768" w:type="pct"/>
            <w:vMerge/>
          </w:tcPr>
          <w:p w14:paraId="1BF8A5D3" w14:textId="77777777" w:rsidR="00EF6835" w:rsidRPr="009D7C32" w:rsidRDefault="00EF6835" w:rsidP="00752FB6">
            <w:pPr>
              <w:pStyle w:val="ARtabletext"/>
            </w:pPr>
          </w:p>
        </w:tc>
        <w:tc>
          <w:tcPr>
            <w:tcW w:w="907" w:type="pct"/>
            <w:vMerge/>
            <w:tcBorders>
              <w:right w:val="nil"/>
            </w:tcBorders>
          </w:tcPr>
          <w:p w14:paraId="2CFE5137"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337E8259" w14:textId="77777777" w:rsidR="00EF6835" w:rsidRPr="009D7C32" w:rsidRDefault="00EF6835" w:rsidP="00752FB6">
            <w:pPr>
              <w:pStyle w:val="ARtabletext"/>
            </w:pPr>
            <w:r>
              <w:rPr>
                <w:color w:val="000000"/>
              </w:rPr>
              <w:t>Support, Implementation &amp; governance plan for the Victorian collaborative centre for mental health</w:t>
            </w:r>
          </w:p>
        </w:tc>
        <w:tc>
          <w:tcPr>
            <w:tcW w:w="722" w:type="pct"/>
            <w:tcBorders>
              <w:top w:val="single" w:sz="4" w:space="0" w:color="auto"/>
              <w:left w:val="nil"/>
              <w:bottom w:val="single" w:sz="4" w:space="0" w:color="auto"/>
              <w:right w:val="nil"/>
            </w:tcBorders>
            <w:shd w:val="clear" w:color="auto" w:fill="auto"/>
          </w:tcPr>
          <w:p w14:paraId="175B623B" w14:textId="0DD8612D" w:rsidR="00EF6835" w:rsidRPr="009D7C32" w:rsidRDefault="008135B7" w:rsidP="00752FB6">
            <w:pPr>
              <w:pStyle w:val="ARtabletextright"/>
            </w:pPr>
            <w:r>
              <w:t>$</w:t>
            </w:r>
            <w:r w:rsidR="00EF6835">
              <w:t>238,898</w:t>
            </w:r>
          </w:p>
        </w:tc>
        <w:tc>
          <w:tcPr>
            <w:tcW w:w="766" w:type="pct"/>
            <w:tcBorders>
              <w:top w:val="single" w:sz="4" w:space="0" w:color="auto"/>
              <w:left w:val="nil"/>
              <w:bottom w:val="single" w:sz="4" w:space="0" w:color="auto"/>
              <w:right w:val="nil"/>
            </w:tcBorders>
            <w:shd w:val="clear" w:color="auto" w:fill="auto"/>
          </w:tcPr>
          <w:p w14:paraId="27D4395E" w14:textId="6B6471DC" w:rsidR="00EF6835" w:rsidRPr="009D7C32" w:rsidRDefault="008135B7" w:rsidP="00752FB6">
            <w:pPr>
              <w:pStyle w:val="ARtabletextright"/>
            </w:pPr>
            <w:r>
              <w:t>$</w:t>
            </w:r>
            <w:r w:rsidR="00EF6835">
              <w:t>238,898</w:t>
            </w:r>
          </w:p>
        </w:tc>
        <w:tc>
          <w:tcPr>
            <w:tcW w:w="674" w:type="pct"/>
            <w:tcBorders>
              <w:top w:val="single" w:sz="4" w:space="0" w:color="auto"/>
              <w:left w:val="nil"/>
              <w:bottom w:val="single" w:sz="4" w:space="0" w:color="auto"/>
              <w:right w:val="nil"/>
            </w:tcBorders>
            <w:shd w:val="clear" w:color="auto" w:fill="auto"/>
          </w:tcPr>
          <w:p w14:paraId="13A98D03" w14:textId="3C678BB0" w:rsidR="00EF6835" w:rsidRPr="009D7C32" w:rsidRDefault="008135B7" w:rsidP="00752FB6">
            <w:pPr>
              <w:pStyle w:val="ARtabletextright"/>
            </w:pPr>
            <w:r>
              <w:t>$</w:t>
            </w:r>
            <w:r w:rsidR="00EF6835">
              <w:t>0</w:t>
            </w:r>
          </w:p>
        </w:tc>
      </w:tr>
      <w:tr w:rsidR="00EF6835" w:rsidRPr="00A34CB9" w14:paraId="6B597A53" w14:textId="77777777" w:rsidTr="0022137A">
        <w:tc>
          <w:tcPr>
            <w:tcW w:w="768" w:type="pct"/>
            <w:vMerge/>
          </w:tcPr>
          <w:p w14:paraId="36948382" w14:textId="77777777" w:rsidR="00EF6835" w:rsidRPr="009D7C32" w:rsidRDefault="00EF6835" w:rsidP="00752FB6">
            <w:pPr>
              <w:pStyle w:val="ARtabletext"/>
            </w:pPr>
          </w:p>
        </w:tc>
        <w:tc>
          <w:tcPr>
            <w:tcW w:w="907" w:type="pct"/>
            <w:vMerge/>
            <w:tcBorders>
              <w:right w:val="nil"/>
            </w:tcBorders>
          </w:tcPr>
          <w:p w14:paraId="7A85DBA7"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7C48962B" w14:textId="027C15B2" w:rsidR="00EF6835" w:rsidRPr="009D7C32" w:rsidRDefault="00EF6835" w:rsidP="00752FB6">
            <w:pPr>
              <w:pStyle w:val="ARtabletext"/>
            </w:pPr>
            <w:r>
              <w:rPr>
                <w:color w:val="000000"/>
              </w:rPr>
              <w:t xml:space="preserve">Delivery, Mental </w:t>
            </w:r>
            <w:r w:rsidR="002A20C5">
              <w:rPr>
                <w:color w:val="000000"/>
              </w:rPr>
              <w:t>h</w:t>
            </w:r>
            <w:r>
              <w:rPr>
                <w:color w:val="000000"/>
              </w:rPr>
              <w:t>ealth workforce personnel survey</w:t>
            </w:r>
          </w:p>
        </w:tc>
        <w:tc>
          <w:tcPr>
            <w:tcW w:w="722" w:type="pct"/>
            <w:tcBorders>
              <w:top w:val="single" w:sz="4" w:space="0" w:color="auto"/>
              <w:left w:val="nil"/>
              <w:bottom w:val="single" w:sz="4" w:space="0" w:color="auto"/>
              <w:right w:val="nil"/>
            </w:tcBorders>
            <w:shd w:val="clear" w:color="auto" w:fill="auto"/>
          </w:tcPr>
          <w:p w14:paraId="07B5DD3F" w14:textId="7C61D216" w:rsidR="00EF6835" w:rsidRPr="009D7C32" w:rsidRDefault="008135B7" w:rsidP="00752FB6">
            <w:pPr>
              <w:pStyle w:val="ARtabletextright"/>
            </w:pPr>
            <w:r>
              <w:t>$</w:t>
            </w:r>
            <w:r w:rsidR="00EF6835">
              <w:t>93,536</w:t>
            </w:r>
          </w:p>
        </w:tc>
        <w:tc>
          <w:tcPr>
            <w:tcW w:w="766" w:type="pct"/>
            <w:tcBorders>
              <w:top w:val="single" w:sz="4" w:space="0" w:color="auto"/>
              <w:left w:val="nil"/>
              <w:bottom w:val="single" w:sz="4" w:space="0" w:color="auto"/>
              <w:right w:val="nil"/>
            </w:tcBorders>
            <w:shd w:val="clear" w:color="auto" w:fill="auto"/>
          </w:tcPr>
          <w:p w14:paraId="66F56378" w14:textId="0770F2C5" w:rsidR="00EF6835" w:rsidRPr="009D7C32" w:rsidRDefault="008135B7" w:rsidP="00752FB6">
            <w:pPr>
              <w:pStyle w:val="ARtabletextright"/>
            </w:pPr>
            <w:r>
              <w:t>$</w:t>
            </w:r>
            <w:r w:rsidR="00EF6835">
              <w:t>93,536</w:t>
            </w:r>
          </w:p>
        </w:tc>
        <w:tc>
          <w:tcPr>
            <w:tcW w:w="674" w:type="pct"/>
            <w:tcBorders>
              <w:top w:val="single" w:sz="4" w:space="0" w:color="auto"/>
              <w:left w:val="nil"/>
              <w:bottom w:val="single" w:sz="4" w:space="0" w:color="auto"/>
              <w:right w:val="nil"/>
            </w:tcBorders>
            <w:shd w:val="clear" w:color="auto" w:fill="auto"/>
          </w:tcPr>
          <w:p w14:paraId="6EF5EB87" w14:textId="5E73BBEF" w:rsidR="00EF6835" w:rsidRPr="009D7C32" w:rsidRDefault="008135B7" w:rsidP="00752FB6">
            <w:pPr>
              <w:pStyle w:val="ARtabletextright"/>
            </w:pPr>
            <w:r>
              <w:t>$</w:t>
            </w:r>
            <w:r w:rsidR="00EF6835">
              <w:t>0</w:t>
            </w:r>
          </w:p>
        </w:tc>
      </w:tr>
      <w:tr w:rsidR="00EF6835" w:rsidRPr="00A34CB9" w14:paraId="4F0EF16F" w14:textId="77777777" w:rsidTr="0022137A">
        <w:tc>
          <w:tcPr>
            <w:tcW w:w="768" w:type="pct"/>
            <w:vMerge/>
          </w:tcPr>
          <w:p w14:paraId="62B6ABB9" w14:textId="77777777" w:rsidR="00EF6835" w:rsidRPr="009D7C32" w:rsidRDefault="00EF6835" w:rsidP="00752FB6">
            <w:pPr>
              <w:pStyle w:val="ARtabletext"/>
            </w:pPr>
          </w:p>
        </w:tc>
        <w:tc>
          <w:tcPr>
            <w:tcW w:w="907" w:type="pct"/>
            <w:vMerge/>
            <w:tcBorders>
              <w:right w:val="nil"/>
            </w:tcBorders>
          </w:tcPr>
          <w:p w14:paraId="14E6D5DD"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76A74A36" w14:textId="77777777" w:rsidR="00EF6835" w:rsidRPr="009D7C32" w:rsidRDefault="00EF6835" w:rsidP="00752FB6">
            <w:pPr>
              <w:pStyle w:val="ARtabletext"/>
            </w:pPr>
            <w:r>
              <w:rPr>
                <w:color w:val="000000"/>
              </w:rPr>
              <w:t>Support, Outcomes and performance framework</w:t>
            </w:r>
          </w:p>
        </w:tc>
        <w:tc>
          <w:tcPr>
            <w:tcW w:w="722" w:type="pct"/>
            <w:tcBorders>
              <w:top w:val="single" w:sz="4" w:space="0" w:color="auto"/>
              <w:left w:val="nil"/>
              <w:bottom w:val="single" w:sz="4" w:space="0" w:color="auto"/>
              <w:right w:val="nil"/>
            </w:tcBorders>
            <w:shd w:val="clear" w:color="auto" w:fill="auto"/>
          </w:tcPr>
          <w:p w14:paraId="0AD6EC09" w14:textId="3DD603C8" w:rsidR="00EF6835" w:rsidRPr="009D7C32" w:rsidRDefault="008135B7" w:rsidP="00752FB6">
            <w:pPr>
              <w:pStyle w:val="ARtabletextright"/>
            </w:pPr>
            <w:r>
              <w:t>$</w:t>
            </w:r>
            <w:r w:rsidR="00EF6835">
              <w:t>463,973</w:t>
            </w:r>
          </w:p>
        </w:tc>
        <w:tc>
          <w:tcPr>
            <w:tcW w:w="766" w:type="pct"/>
            <w:tcBorders>
              <w:top w:val="single" w:sz="4" w:space="0" w:color="auto"/>
              <w:left w:val="nil"/>
              <w:bottom w:val="single" w:sz="4" w:space="0" w:color="auto"/>
              <w:right w:val="nil"/>
            </w:tcBorders>
            <w:shd w:val="clear" w:color="auto" w:fill="auto"/>
          </w:tcPr>
          <w:p w14:paraId="7229D6D4" w14:textId="131E2E22" w:rsidR="00EF6835" w:rsidRPr="009D7C32" w:rsidRDefault="008135B7" w:rsidP="00752FB6">
            <w:pPr>
              <w:pStyle w:val="ARtabletextright"/>
            </w:pPr>
            <w:r>
              <w:t>$</w:t>
            </w:r>
            <w:r w:rsidR="00EF6835">
              <w:t>295,255</w:t>
            </w:r>
          </w:p>
        </w:tc>
        <w:tc>
          <w:tcPr>
            <w:tcW w:w="674" w:type="pct"/>
            <w:tcBorders>
              <w:top w:val="single" w:sz="4" w:space="0" w:color="auto"/>
              <w:left w:val="nil"/>
              <w:bottom w:val="single" w:sz="4" w:space="0" w:color="auto"/>
              <w:right w:val="nil"/>
            </w:tcBorders>
            <w:shd w:val="clear" w:color="auto" w:fill="auto"/>
          </w:tcPr>
          <w:p w14:paraId="4A2380BF" w14:textId="46A1BD42" w:rsidR="00EF6835" w:rsidRPr="009D7C32" w:rsidRDefault="008135B7" w:rsidP="00752FB6">
            <w:pPr>
              <w:pStyle w:val="ARtabletextright"/>
            </w:pPr>
            <w:r>
              <w:t>$</w:t>
            </w:r>
            <w:r w:rsidR="00EF6835">
              <w:t>168,718</w:t>
            </w:r>
          </w:p>
        </w:tc>
      </w:tr>
      <w:tr w:rsidR="00EF6835" w:rsidRPr="00A34CB9" w14:paraId="5DB54529" w14:textId="77777777" w:rsidTr="0022137A">
        <w:tc>
          <w:tcPr>
            <w:tcW w:w="768" w:type="pct"/>
            <w:vMerge/>
          </w:tcPr>
          <w:p w14:paraId="0B510532" w14:textId="77777777" w:rsidR="00EF6835" w:rsidRPr="009D7C32" w:rsidRDefault="00EF6835" w:rsidP="00752FB6">
            <w:pPr>
              <w:pStyle w:val="ARtabletext"/>
            </w:pPr>
          </w:p>
        </w:tc>
        <w:tc>
          <w:tcPr>
            <w:tcW w:w="907" w:type="pct"/>
            <w:vMerge/>
            <w:tcBorders>
              <w:right w:val="nil"/>
            </w:tcBorders>
          </w:tcPr>
          <w:p w14:paraId="3E4108C9"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5FFAD4A5" w14:textId="1579F0F3" w:rsidR="00EF6835" w:rsidRPr="009D7C32" w:rsidRDefault="00EF6835" w:rsidP="00752FB6">
            <w:pPr>
              <w:pStyle w:val="ARtabletext"/>
            </w:pPr>
            <w:r>
              <w:rPr>
                <w:color w:val="000000"/>
              </w:rPr>
              <w:t xml:space="preserve">Review and Support, Medically </w:t>
            </w:r>
            <w:r w:rsidR="002A20C5">
              <w:rPr>
                <w:color w:val="000000"/>
              </w:rPr>
              <w:t>s</w:t>
            </w:r>
            <w:r>
              <w:rPr>
                <w:color w:val="000000"/>
              </w:rPr>
              <w:t xml:space="preserve">upervised </w:t>
            </w:r>
            <w:r w:rsidR="002A20C5">
              <w:rPr>
                <w:color w:val="000000"/>
              </w:rPr>
              <w:t>i</w:t>
            </w:r>
            <w:r>
              <w:rPr>
                <w:color w:val="000000"/>
              </w:rPr>
              <w:t xml:space="preserve">njecting </w:t>
            </w:r>
            <w:r w:rsidR="002A20C5">
              <w:rPr>
                <w:color w:val="000000"/>
              </w:rPr>
              <w:t>r</w:t>
            </w:r>
            <w:r>
              <w:rPr>
                <w:color w:val="000000"/>
              </w:rPr>
              <w:t>ooms</w:t>
            </w:r>
          </w:p>
        </w:tc>
        <w:tc>
          <w:tcPr>
            <w:tcW w:w="722" w:type="pct"/>
            <w:tcBorders>
              <w:top w:val="single" w:sz="4" w:space="0" w:color="auto"/>
              <w:left w:val="nil"/>
              <w:bottom w:val="single" w:sz="4" w:space="0" w:color="auto"/>
              <w:right w:val="nil"/>
            </w:tcBorders>
            <w:shd w:val="clear" w:color="auto" w:fill="auto"/>
          </w:tcPr>
          <w:p w14:paraId="34BC9EAD" w14:textId="3EB363FC" w:rsidR="00EF6835" w:rsidRPr="009D7C32" w:rsidRDefault="008135B7" w:rsidP="00752FB6">
            <w:pPr>
              <w:pStyle w:val="ARtabletextright"/>
            </w:pPr>
            <w:r>
              <w:t>$</w:t>
            </w:r>
            <w:r w:rsidR="00EF6835">
              <w:t>114,805</w:t>
            </w:r>
          </w:p>
        </w:tc>
        <w:tc>
          <w:tcPr>
            <w:tcW w:w="766" w:type="pct"/>
            <w:tcBorders>
              <w:top w:val="single" w:sz="4" w:space="0" w:color="auto"/>
              <w:left w:val="nil"/>
              <w:bottom w:val="single" w:sz="4" w:space="0" w:color="auto"/>
              <w:right w:val="nil"/>
            </w:tcBorders>
            <w:shd w:val="clear" w:color="auto" w:fill="auto"/>
          </w:tcPr>
          <w:p w14:paraId="4320196E" w14:textId="07DC9B88" w:rsidR="00EF6835" w:rsidRPr="009D7C32" w:rsidRDefault="008135B7" w:rsidP="00752FB6">
            <w:pPr>
              <w:pStyle w:val="ARtabletextright"/>
            </w:pPr>
            <w:r>
              <w:t>$</w:t>
            </w:r>
            <w:r w:rsidR="00EF6835">
              <w:t>64,911</w:t>
            </w:r>
          </w:p>
        </w:tc>
        <w:tc>
          <w:tcPr>
            <w:tcW w:w="674" w:type="pct"/>
            <w:tcBorders>
              <w:top w:val="single" w:sz="4" w:space="0" w:color="auto"/>
              <w:left w:val="nil"/>
              <w:bottom w:val="single" w:sz="4" w:space="0" w:color="auto"/>
              <w:right w:val="nil"/>
            </w:tcBorders>
            <w:shd w:val="clear" w:color="auto" w:fill="auto"/>
          </w:tcPr>
          <w:p w14:paraId="417C6ED9" w14:textId="45E66EFC" w:rsidR="00EF6835" w:rsidRPr="009D7C32" w:rsidRDefault="008135B7" w:rsidP="00752FB6">
            <w:pPr>
              <w:pStyle w:val="ARtabletextright"/>
            </w:pPr>
            <w:r>
              <w:t>$</w:t>
            </w:r>
            <w:r w:rsidR="00EF6835">
              <w:t>30,292</w:t>
            </w:r>
          </w:p>
        </w:tc>
      </w:tr>
      <w:tr w:rsidR="00EF6835" w:rsidRPr="00A34CB9" w14:paraId="2F446096" w14:textId="77777777" w:rsidTr="0022137A">
        <w:tc>
          <w:tcPr>
            <w:tcW w:w="768" w:type="pct"/>
            <w:vMerge/>
          </w:tcPr>
          <w:p w14:paraId="0E2B16EE" w14:textId="77777777" w:rsidR="00EF6835" w:rsidRPr="009D7C32" w:rsidRDefault="00EF6835" w:rsidP="00752FB6">
            <w:pPr>
              <w:pStyle w:val="ARtabletext"/>
            </w:pPr>
          </w:p>
        </w:tc>
        <w:tc>
          <w:tcPr>
            <w:tcW w:w="907" w:type="pct"/>
            <w:vMerge/>
            <w:tcBorders>
              <w:right w:val="nil"/>
            </w:tcBorders>
          </w:tcPr>
          <w:p w14:paraId="261B648E"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03ED68FE" w14:textId="77777777" w:rsidR="00EF6835" w:rsidRPr="009D7C32" w:rsidRDefault="00EF6835" w:rsidP="00752FB6">
            <w:pPr>
              <w:pStyle w:val="ARtabletext"/>
            </w:pPr>
            <w:r>
              <w:rPr>
                <w:color w:val="000000"/>
              </w:rPr>
              <w:t>Support, Roadmap costing project for commissioning and system improvement</w:t>
            </w:r>
          </w:p>
        </w:tc>
        <w:tc>
          <w:tcPr>
            <w:tcW w:w="722" w:type="pct"/>
            <w:tcBorders>
              <w:top w:val="single" w:sz="4" w:space="0" w:color="auto"/>
              <w:left w:val="nil"/>
              <w:bottom w:val="single" w:sz="4" w:space="0" w:color="auto"/>
              <w:right w:val="nil"/>
            </w:tcBorders>
            <w:shd w:val="clear" w:color="auto" w:fill="auto"/>
          </w:tcPr>
          <w:p w14:paraId="45E17DBD" w14:textId="0080971D" w:rsidR="00EF6835" w:rsidRPr="009D7C32" w:rsidRDefault="008135B7" w:rsidP="00752FB6">
            <w:pPr>
              <w:pStyle w:val="ARtabletextright"/>
            </w:pPr>
            <w:r>
              <w:t>$</w:t>
            </w:r>
            <w:r w:rsidR="00EF6835">
              <w:t>195,000</w:t>
            </w:r>
          </w:p>
        </w:tc>
        <w:tc>
          <w:tcPr>
            <w:tcW w:w="766" w:type="pct"/>
            <w:tcBorders>
              <w:top w:val="single" w:sz="4" w:space="0" w:color="auto"/>
              <w:left w:val="nil"/>
              <w:bottom w:val="single" w:sz="4" w:space="0" w:color="auto"/>
              <w:right w:val="nil"/>
            </w:tcBorders>
            <w:shd w:val="clear" w:color="auto" w:fill="auto"/>
          </w:tcPr>
          <w:p w14:paraId="76A18E9A" w14:textId="6031EB35" w:rsidR="00EF6835" w:rsidRPr="009D7C32" w:rsidRDefault="008135B7" w:rsidP="00752FB6">
            <w:pPr>
              <w:pStyle w:val="ARtabletextright"/>
            </w:pPr>
            <w:r>
              <w:t>$</w:t>
            </w:r>
            <w:r w:rsidR="00EF6835">
              <w:t>195,000</w:t>
            </w:r>
          </w:p>
        </w:tc>
        <w:tc>
          <w:tcPr>
            <w:tcW w:w="674" w:type="pct"/>
            <w:tcBorders>
              <w:top w:val="single" w:sz="4" w:space="0" w:color="auto"/>
              <w:left w:val="nil"/>
              <w:bottom w:val="single" w:sz="4" w:space="0" w:color="auto"/>
              <w:right w:val="nil"/>
            </w:tcBorders>
            <w:shd w:val="clear" w:color="auto" w:fill="auto"/>
          </w:tcPr>
          <w:p w14:paraId="2EE8AD12" w14:textId="26227B36" w:rsidR="00EF6835" w:rsidRPr="009D7C32" w:rsidRDefault="008135B7" w:rsidP="00752FB6">
            <w:pPr>
              <w:pStyle w:val="ARtabletextright"/>
            </w:pPr>
            <w:r>
              <w:t>$</w:t>
            </w:r>
            <w:r w:rsidR="00EF6835">
              <w:t>0</w:t>
            </w:r>
          </w:p>
        </w:tc>
      </w:tr>
      <w:tr w:rsidR="00EF6835" w:rsidRPr="00A34CB9" w14:paraId="520B09A7" w14:textId="77777777" w:rsidTr="0022137A">
        <w:tc>
          <w:tcPr>
            <w:tcW w:w="768" w:type="pct"/>
            <w:vMerge/>
          </w:tcPr>
          <w:p w14:paraId="6D3A142F" w14:textId="77777777" w:rsidR="00EF6835" w:rsidRPr="009D7C32" w:rsidRDefault="00EF6835" w:rsidP="00752FB6">
            <w:pPr>
              <w:pStyle w:val="ARtabletext"/>
            </w:pPr>
          </w:p>
        </w:tc>
        <w:tc>
          <w:tcPr>
            <w:tcW w:w="907" w:type="pct"/>
            <w:vMerge/>
            <w:tcBorders>
              <w:right w:val="nil"/>
            </w:tcBorders>
          </w:tcPr>
          <w:p w14:paraId="68254A08"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7995F197" w14:textId="7A85BFF2" w:rsidR="00EF6835" w:rsidRPr="009D7C32" w:rsidRDefault="00EF6835" w:rsidP="00752FB6">
            <w:pPr>
              <w:pStyle w:val="ARtabletext"/>
            </w:pPr>
            <w:r>
              <w:rPr>
                <w:color w:val="000000"/>
              </w:rPr>
              <w:t xml:space="preserve">Delivery, Survey of </w:t>
            </w:r>
            <w:r w:rsidR="002A20C5">
              <w:rPr>
                <w:color w:val="000000"/>
              </w:rPr>
              <w:t>p</w:t>
            </w:r>
            <w:r>
              <w:rPr>
                <w:color w:val="000000"/>
              </w:rPr>
              <w:t xml:space="preserve">ublic </w:t>
            </w:r>
            <w:r w:rsidR="002A20C5">
              <w:rPr>
                <w:color w:val="000000"/>
              </w:rPr>
              <w:t>s</w:t>
            </w:r>
            <w:r>
              <w:rPr>
                <w:color w:val="000000"/>
              </w:rPr>
              <w:t xml:space="preserve">ector </w:t>
            </w:r>
            <w:r w:rsidR="002A20C5">
              <w:rPr>
                <w:color w:val="000000"/>
              </w:rPr>
              <w:t>r</w:t>
            </w:r>
            <w:r>
              <w:rPr>
                <w:color w:val="000000"/>
              </w:rPr>
              <w:t xml:space="preserve">esidential </w:t>
            </w:r>
            <w:r w:rsidR="002A20C5">
              <w:rPr>
                <w:color w:val="000000"/>
              </w:rPr>
              <w:t>a</w:t>
            </w:r>
            <w:r>
              <w:rPr>
                <w:color w:val="000000"/>
              </w:rPr>
              <w:t xml:space="preserve">ged </w:t>
            </w:r>
            <w:r w:rsidR="002A20C5">
              <w:rPr>
                <w:color w:val="000000"/>
              </w:rPr>
              <w:t>c</w:t>
            </w:r>
            <w:r>
              <w:rPr>
                <w:color w:val="000000"/>
              </w:rPr>
              <w:t xml:space="preserve">are </w:t>
            </w:r>
            <w:r w:rsidR="002A20C5">
              <w:rPr>
                <w:color w:val="000000"/>
              </w:rPr>
              <w:t>s</w:t>
            </w:r>
            <w:r>
              <w:rPr>
                <w:color w:val="000000"/>
              </w:rPr>
              <w:t>ervices for COVID-19 preparedness</w:t>
            </w:r>
          </w:p>
        </w:tc>
        <w:tc>
          <w:tcPr>
            <w:tcW w:w="722" w:type="pct"/>
            <w:tcBorders>
              <w:top w:val="single" w:sz="4" w:space="0" w:color="auto"/>
              <w:left w:val="nil"/>
              <w:bottom w:val="single" w:sz="4" w:space="0" w:color="auto"/>
              <w:right w:val="nil"/>
            </w:tcBorders>
            <w:shd w:val="clear" w:color="auto" w:fill="auto"/>
          </w:tcPr>
          <w:p w14:paraId="08622226" w14:textId="4DE96D25" w:rsidR="00EF6835" w:rsidRPr="009D7C32" w:rsidRDefault="008135B7" w:rsidP="00752FB6">
            <w:pPr>
              <w:pStyle w:val="ARtabletextright"/>
            </w:pPr>
            <w:r>
              <w:t>$</w:t>
            </w:r>
            <w:r w:rsidR="00EF6835">
              <w:t>522,395</w:t>
            </w:r>
          </w:p>
        </w:tc>
        <w:tc>
          <w:tcPr>
            <w:tcW w:w="766" w:type="pct"/>
            <w:tcBorders>
              <w:top w:val="single" w:sz="4" w:space="0" w:color="auto"/>
              <w:left w:val="nil"/>
              <w:bottom w:val="single" w:sz="4" w:space="0" w:color="auto"/>
              <w:right w:val="nil"/>
            </w:tcBorders>
            <w:shd w:val="clear" w:color="auto" w:fill="auto"/>
          </w:tcPr>
          <w:p w14:paraId="37C4BBAF" w14:textId="7EC24249" w:rsidR="00EF6835" w:rsidRPr="009D7C32" w:rsidRDefault="008135B7" w:rsidP="00752FB6">
            <w:pPr>
              <w:pStyle w:val="ARtabletextright"/>
            </w:pPr>
            <w:r>
              <w:t>$</w:t>
            </w:r>
            <w:r w:rsidR="00EF6835">
              <w:t>44,748</w:t>
            </w:r>
          </w:p>
        </w:tc>
        <w:tc>
          <w:tcPr>
            <w:tcW w:w="674" w:type="pct"/>
            <w:tcBorders>
              <w:top w:val="single" w:sz="4" w:space="0" w:color="auto"/>
              <w:left w:val="nil"/>
              <w:bottom w:val="single" w:sz="4" w:space="0" w:color="auto"/>
              <w:right w:val="nil"/>
            </w:tcBorders>
            <w:shd w:val="clear" w:color="auto" w:fill="auto"/>
          </w:tcPr>
          <w:p w14:paraId="1161050A" w14:textId="529D9BBE" w:rsidR="00EF6835" w:rsidRPr="009D7C32" w:rsidRDefault="00C97317" w:rsidP="00752FB6">
            <w:pPr>
              <w:pStyle w:val="ARtabletextright"/>
            </w:pPr>
            <w:r>
              <w:t>$</w:t>
            </w:r>
            <w:r w:rsidR="00EF6835">
              <w:t>477,647</w:t>
            </w:r>
          </w:p>
        </w:tc>
      </w:tr>
      <w:tr w:rsidR="00EF6835" w:rsidRPr="00A34CB9" w14:paraId="37A42403" w14:textId="77777777" w:rsidTr="0022137A">
        <w:tc>
          <w:tcPr>
            <w:tcW w:w="768" w:type="pct"/>
            <w:vMerge/>
          </w:tcPr>
          <w:p w14:paraId="0C7E2E47" w14:textId="77777777" w:rsidR="00EF6835" w:rsidRPr="009D7C32" w:rsidRDefault="00EF6835" w:rsidP="00752FB6">
            <w:pPr>
              <w:pStyle w:val="ARtabletext"/>
            </w:pPr>
          </w:p>
        </w:tc>
        <w:tc>
          <w:tcPr>
            <w:tcW w:w="907" w:type="pct"/>
            <w:vMerge/>
            <w:tcBorders>
              <w:right w:val="nil"/>
            </w:tcBorders>
          </w:tcPr>
          <w:p w14:paraId="5FC20EC4"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32BD5F27" w14:textId="77777777" w:rsidR="00EF6835" w:rsidRPr="009D7C32" w:rsidRDefault="00EF6835" w:rsidP="00752FB6">
            <w:pPr>
              <w:pStyle w:val="ARtabletext"/>
            </w:pPr>
            <w:r>
              <w:rPr>
                <w:color w:val="000000"/>
              </w:rPr>
              <w:t>Support, Mental health system design and surge system support</w:t>
            </w:r>
          </w:p>
        </w:tc>
        <w:tc>
          <w:tcPr>
            <w:tcW w:w="722" w:type="pct"/>
            <w:tcBorders>
              <w:top w:val="single" w:sz="4" w:space="0" w:color="auto"/>
              <w:left w:val="nil"/>
              <w:bottom w:val="single" w:sz="4" w:space="0" w:color="auto"/>
              <w:right w:val="nil"/>
            </w:tcBorders>
            <w:shd w:val="clear" w:color="auto" w:fill="auto"/>
          </w:tcPr>
          <w:p w14:paraId="25F82EDD" w14:textId="493B2211" w:rsidR="00EF6835" w:rsidRPr="009D7C32" w:rsidRDefault="008135B7" w:rsidP="00752FB6">
            <w:pPr>
              <w:pStyle w:val="ARtabletextright"/>
            </w:pPr>
            <w:r>
              <w:t>$</w:t>
            </w:r>
            <w:r w:rsidR="00EF6835">
              <w:t>774,820</w:t>
            </w:r>
          </w:p>
        </w:tc>
        <w:tc>
          <w:tcPr>
            <w:tcW w:w="766" w:type="pct"/>
            <w:tcBorders>
              <w:top w:val="single" w:sz="4" w:space="0" w:color="auto"/>
              <w:left w:val="nil"/>
              <w:bottom w:val="single" w:sz="4" w:space="0" w:color="auto"/>
              <w:right w:val="nil"/>
            </w:tcBorders>
            <w:shd w:val="clear" w:color="auto" w:fill="auto"/>
          </w:tcPr>
          <w:p w14:paraId="3D2AAA01" w14:textId="54C9321A" w:rsidR="00EF6835" w:rsidRPr="009D7C32" w:rsidRDefault="008135B7" w:rsidP="00752FB6">
            <w:pPr>
              <w:pStyle w:val="ARtabletextright"/>
            </w:pPr>
            <w:r>
              <w:t>$</w:t>
            </w:r>
            <w:r w:rsidR="00EF6835">
              <w:t>739,820</w:t>
            </w:r>
          </w:p>
        </w:tc>
        <w:tc>
          <w:tcPr>
            <w:tcW w:w="674" w:type="pct"/>
            <w:tcBorders>
              <w:top w:val="single" w:sz="4" w:space="0" w:color="auto"/>
              <w:left w:val="nil"/>
              <w:bottom w:val="single" w:sz="4" w:space="0" w:color="auto"/>
              <w:right w:val="nil"/>
            </w:tcBorders>
            <w:shd w:val="clear" w:color="auto" w:fill="auto"/>
          </w:tcPr>
          <w:p w14:paraId="28C8BA69" w14:textId="19C35713" w:rsidR="00EF6835" w:rsidRPr="009D7C32" w:rsidRDefault="008135B7" w:rsidP="00752FB6">
            <w:pPr>
              <w:pStyle w:val="ARtabletextright"/>
            </w:pPr>
            <w:r>
              <w:t>$</w:t>
            </w:r>
            <w:r w:rsidR="00EF6835">
              <w:t>35,000</w:t>
            </w:r>
          </w:p>
        </w:tc>
      </w:tr>
      <w:tr w:rsidR="00EF6835" w:rsidRPr="00A34CB9" w14:paraId="627F6C27" w14:textId="77777777" w:rsidTr="0022137A">
        <w:tc>
          <w:tcPr>
            <w:tcW w:w="768" w:type="pct"/>
            <w:vMerge/>
          </w:tcPr>
          <w:p w14:paraId="2F066713" w14:textId="77777777" w:rsidR="00EF6835" w:rsidRPr="009D7C32" w:rsidRDefault="00EF6835" w:rsidP="00752FB6">
            <w:pPr>
              <w:pStyle w:val="ARtabletext"/>
            </w:pPr>
          </w:p>
        </w:tc>
        <w:tc>
          <w:tcPr>
            <w:tcW w:w="907" w:type="pct"/>
            <w:vMerge/>
            <w:tcBorders>
              <w:right w:val="nil"/>
            </w:tcBorders>
          </w:tcPr>
          <w:p w14:paraId="23AD1188"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418648C7" w14:textId="585C4E72" w:rsidR="00EF6835" w:rsidRPr="009D7C32" w:rsidRDefault="00EF6835" w:rsidP="00752FB6">
            <w:pPr>
              <w:pStyle w:val="ARtabletext"/>
            </w:pPr>
            <w:r>
              <w:rPr>
                <w:color w:val="000000"/>
              </w:rPr>
              <w:t>Support, Women</w:t>
            </w:r>
            <w:r w:rsidR="002A20C5">
              <w:rPr>
                <w:color w:val="000000"/>
              </w:rPr>
              <w:t>’</w:t>
            </w:r>
            <w:r>
              <w:rPr>
                <w:color w:val="000000"/>
              </w:rPr>
              <w:t>s health services demand project</w:t>
            </w:r>
          </w:p>
        </w:tc>
        <w:tc>
          <w:tcPr>
            <w:tcW w:w="722" w:type="pct"/>
            <w:tcBorders>
              <w:top w:val="single" w:sz="4" w:space="0" w:color="auto"/>
              <w:left w:val="nil"/>
              <w:bottom w:val="single" w:sz="4" w:space="0" w:color="auto"/>
              <w:right w:val="nil"/>
            </w:tcBorders>
            <w:shd w:val="clear" w:color="auto" w:fill="auto"/>
          </w:tcPr>
          <w:p w14:paraId="57A2C0E0" w14:textId="73C89531" w:rsidR="00EF6835" w:rsidRPr="009D7C32" w:rsidRDefault="008135B7" w:rsidP="00752FB6">
            <w:pPr>
              <w:pStyle w:val="ARtabletextright"/>
            </w:pPr>
            <w:r>
              <w:t>$</w:t>
            </w:r>
            <w:r w:rsidR="00EF6835">
              <w:t>53,500</w:t>
            </w:r>
          </w:p>
        </w:tc>
        <w:tc>
          <w:tcPr>
            <w:tcW w:w="766" w:type="pct"/>
            <w:tcBorders>
              <w:top w:val="single" w:sz="4" w:space="0" w:color="auto"/>
              <w:left w:val="nil"/>
              <w:bottom w:val="single" w:sz="4" w:space="0" w:color="auto"/>
              <w:right w:val="nil"/>
            </w:tcBorders>
            <w:shd w:val="clear" w:color="auto" w:fill="auto"/>
          </w:tcPr>
          <w:p w14:paraId="19CE2F43" w14:textId="4593E949" w:rsidR="00EF6835" w:rsidRPr="009D7C32" w:rsidRDefault="008135B7" w:rsidP="00752FB6">
            <w:pPr>
              <w:pStyle w:val="ARtabletextright"/>
            </w:pPr>
            <w:r>
              <w:t>$</w:t>
            </w:r>
            <w:r w:rsidR="00EF6835">
              <w:t>53,500</w:t>
            </w:r>
          </w:p>
        </w:tc>
        <w:tc>
          <w:tcPr>
            <w:tcW w:w="674" w:type="pct"/>
            <w:tcBorders>
              <w:top w:val="single" w:sz="4" w:space="0" w:color="auto"/>
              <w:left w:val="nil"/>
              <w:bottom w:val="single" w:sz="4" w:space="0" w:color="auto"/>
              <w:right w:val="nil"/>
            </w:tcBorders>
            <w:shd w:val="clear" w:color="auto" w:fill="auto"/>
          </w:tcPr>
          <w:p w14:paraId="15F7E7AC" w14:textId="4EF3A562" w:rsidR="00EF6835" w:rsidRPr="009D7C32" w:rsidRDefault="008135B7" w:rsidP="00752FB6">
            <w:pPr>
              <w:pStyle w:val="ARtabletextright"/>
            </w:pPr>
            <w:r>
              <w:t>$</w:t>
            </w:r>
            <w:r w:rsidR="00EF6835">
              <w:t>0</w:t>
            </w:r>
          </w:p>
        </w:tc>
      </w:tr>
      <w:tr w:rsidR="00EF6835" w:rsidRPr="00A34CB9" w14:paraId="4571F7F2" w14:textId="77777777" w:rsidTr="0022137A">
        <w:tc>
          <w:tcPr>
            <w:tcW w:w="768" w:type="pct"/>
            <w:vMerge/>
          </w:tcPr>
          <w:p w14:paraId="4D64F6A0" w14:textId="77777777" w:rsidR="00EF6835" w:rsidRPr="009D7C32" w:rsidRDefault="00EF6835" w:rsidP="00752FB6">
            <w:pPr>
              <w:pStyle w:val="ARtabletext"/>
            </w:pPr>
          </w:p>
        </w:tc>
        <w:tc>
          <w:tcPr>
            <w:tcW w:w="907" w:type="pct"/>
            <w:vMerge/>
            <w:tcBorders>
              <w:right w:val="nil"/>
            </w:tcBorders>
          </w:tcPr>
          <w:p w14:paraId="35562587"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44EA77DF" w14:textId="36D6D52A" w:rsidR="00EF6835" w:rsidRPr="009D7C32" w:rsidRDefault="00EF6835" w:rsidP="00752FB6">
            <w:pPr>
              <w:pStyle w:val="ARtabletext"/>
            </w:pPr>
            <w:r>
              <w:rPr>
                <w:color w:val="000000"/>
              </w:rPr>
              <w:t xml:space="preserve">Evaluation, Healthy </w:t>
            </w:r>
            <w:r w:rsidR="00F4183A">
              <w:rPr>
                <w:color w:val="000000"/>
              </w:rPr>
              <w:t>H</w:t>
            </w:r>
            <w:r>
              <w:rPr>
                <w:color w:val="000000"/>
              </w:rPr>
              <w:t>eart of Victoria</w:t>
            </w:r>
          </w:p>
        </w:tc>
        <w:tc>
          <w:tcPr>
            <w:tcW w:w="722" w:type="pct"/>
            <w:tcBorders>
              <w:top w:val="single" w:sz="4" w:space="0" w:color="auto"/>
              <w:left w:val="nil"/>
              <w:bottom w:val="single" w:sz="4" w:space="0" w:color="auto"/>
              <w:right w:val="nil"/>
            </w:tcBorders>
            <w:shd w:val="clear" w:color="auto" w:fill="auto"/>
          </w:tcPr>
          <w:p w14:paraId="720578F4" w14:textId="7A20FDA3" w:rsidR="00EF6835" w:rsidRPr="009D7C32" w:rsidRDefault="008135B7" w:rsidP="00752FB6">
            <w:pPr>
              <w:pStyle w:val="ARtabletextright"/>
            </w:pPr>
            <w:r>
              <w:t>$</w:t>
            </w:r>
            <w:r w:rsidR="00EF6835">
              <w:t>93,449</w:t>
            </w:r>
          </w:p>
        </w:tc>
        <w:tc>
          <w:tcPr>
            <w:tcW w:w="766" w:type="pct"/>
            <w:tcBorders>
              <w:top w:val="single" w:sz="4" w:space="0" w:color="auto"/>
              <w:left w:val="nil"/>
              <w:bottom w:val="single" w:sz="4" w:space="0" w:color="auto"/>
              <w:right w:val="nil"/>
            </w:tcBorders>
            <w:shd w:val="clear" w:color="auto" w:fill="auto"/>
          </w:tcPr>
          <w:p w14:paraId="56FE2BC4" w14:textId="56696731" w:rsidR="00EF6835" w:rsidRPr="009D7C32" w:rsidRDefault="008135B7" w:rsidP="00752FB6">
            <w:pPr>
              <w:pStyle w:val="ARtabletextright"/>
            </w:pPr>
            <w:r>
              <w:t>$</w:t>
            </w:r>
            <w:r w:rsidR="00EF6835">
              <w:t>93,449</w:t>
            </w:r>
          </w:p>
        </w:tc>
        <w:tc>
          <w:tcPr>
            <w:tcW w:w="674" w:type="pct"/>
            <w:tcBorders>
              <w:top w:val="single" w:sz="4" w:space="0" w:color="auto"/>
              <w:left w:val="nil"/>
              <w:bottom w:val="single" w:sz="4" w:space="0" w:color="auto"/>
              <w:right w:val="nil"/>
            </w:tcBorders>
            <w:shd w:val="clear" w:color="auto" w:fill="auto"/>
          </w:tcPr>
          <w:p w14:paraId="6FE1D33E" w14:textId="741C920A" w:rsidR="00EF6835" w:rsidRPr="009D7C32" w:rsidRDefault="008135B7" w:rsidP="00752FB6">
            <w:pPr>
              <w:pStyle w:val="ARtabletextright"/>
            </w:pPr>
            <w:r>
              <w:t>$</w:t>
            </w:r>
            <w:r w:rsidR="00EF6835">
              <w:t>0</w:t>
            </w:r>
          </w:p>
        </w:tc>
      </w:tr>
      <w:tr w:rsidR="00EF6835" w:rsidRPr="00A34CB9" w14:paraId="291FF898" w14:textId="77777777" w:rsidTr="0022137A">
        <w:tc>
          <w:tcPr>
            <w:tcW w:w="768" w:type="pct"/>
            <w:vMerge/>
          </w:tcPr>
          <w:p w14:paraId="4041D3A9" w14:textId="77777777" w:rsidR="00EF6835" w:rsidRPr="009D7C32" w:rsidRDefault="00EF6835" w:rsidP="00752FB6">
            <w:pPr>
              <w:pStyle w:val="ARtabletext"/>
            </w:pPr>
          </w:p>
        </w:tc>
        <w:tc>
          <w:tcPr>
            <w:tcW w:w="907" w:type="pct"/>
            <w:vMerge/>
            <w:tcBorders>
              <w:right w:val="nil"/>
            </w:tcBorders>
          </w:tcPr>
          <w:p w14:paraId="3861BE94"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18D918D9" w14:textId="77777777" w:rsidR="00EF6835" w:rsidRPr="009D7C32" w:rsidRDefault="00EF6835" w:rsidP="00752FB6">
            <w:pPr>
              <w:pStyle w:val="ARtabletext"/>
            </w:pPr>
            <w:r>
              <w:rPr>
                <w:color w:val="000000"/>
              </w:rPr>
              <w:t>Delivery, Community health demand management framework</w:t>
            </w:r>
          </w:p>
        </w:tc>
        <w:tc>
          <w:tcPr>
            <w:tcW w:w="722" w:type="pct"/>
            <w:tcBorders>
              <w:top w:val="single" w:sz="4" w:space="0" w:color="auto"/>
              <w:left w:val="nil"/>
              <w:bottom w:val="single" w:sz="4" w:space="0" w:color="auto"/>
              <w:right w:val="nil"/>
            </w:tcBorders>
            <w:shd w:val="clear" w:color="auto" w:fill="auto"/>
          </w:tcPr>
          <w:p w14:paraId="5B9AF195" w14:textId="1C9F181B" w:rsidR="00EF6835" w:rsidRPr="009D7C32" w:rsidRDefault="008135B7" w:rsidP="00752FB6">
            <w:pPr>
              <w:pStyle w:val="ARtabletextright"/>
            </w:pPr>
            <w:r>
              <w:t>$</w:t>
            </w:r>
            <w:r w:rsidR="00EF6835">
              <w:t>209,836</w:t>
            </w:r>
          </w:p>
        </w:tc>
        <w:tc>
          <w:tcPr>
            <w:tcW w:w="766" w:type="pct"/>
            <w:tcBorders>
              <w:top w:val="single" w:sz="4" w:space="0" w:color="auto"/>
              <w:left w:val="nil"/>
              <w:bottom w:val="single" w:sz="4" w:space="0" w:color="auto"/>
              <w:right w:val="nil"/>
            </w:tcBorders>
            <w:shd w:val="clear" w:color="auto" w:fill="auto"/>
          </w:tcPr>
          <w:p w14:paraId="6232B62C" w14:textId="2AC2CBA9" w:rsidR="00EF6835" w:rsidRPr="009D7C32" w:rsidRDefault="008135B7" w:rsidP="00752FB6">
            <w:pPr>
              <w:pStyle w:val="ARtabletextright"/>
            </w:pPr>
            <w:r>
              <w:t>$</w:t>
            </w:r>
            <w:r w:rsidR="00EF6835">
              <w:t>57,228</w:t>
            </w:r>
          </w:p>
        </w:tc>
        <w:tc>
          <w:tcPr>
            <w:tcW w:w="674" w:type="pct"/>
            <w:tcBorders>
              <w:top w:val="single" w:sz="4" w:space="0" w:color="auto"/>
              <w:left w:val="nil"/>
              <w:bottom w:val="single" w:sz="4" w:space="0" w:color="auto"/>
              <w:right w:val="nil"/>
            </w:tcBorders>
            <w:shd w:val="clear" w:color="auto" w:fill="auto"/>
          </w:tcPr>
          <w:p w14:paraId="4E83960B" w14:textId="267A6691" w:rsidR="00EF6835" w:rsidRPr="009D7C32" w:rsidRDefault="008135B7" w:rsidP="00752FB6">
            <w:pPr>
              <w:pStyle w:val="ARtabletextright"/>
            </w:pPr>
            <w:r>
              <w:t>$</w:t>
            </w:r>
            <w:r w:rsidR="00EF6835">
              <w:t>152,608</w:t>
            </w:r>
          </w:p>
        </w:tc>
      </w:tr>
      <w:tr w:rsidR="00EF6835" w:rsidRPr="00A34CB9" w14:paraId="31E50B2E" w14:textId="77777777" w:rsidTr="0022137A">
        <w:tc>
          <w:tcPr>
            <w:tcW w:w="768" w:type="pct"/>
            <w:vMerge/>
          </w:tcPr>
          <w:p w14:paraId="4A909577" w14:textId="77777777" w:rsidR="00EF6835" w:rsidRPr="009D7C32" w:rsidRDefault="00EF6835" w:rsidP="00752FB6">
            <w:pPr>
              <w:pStyle w:val="ARtabletext"/>
            </w:pPr>
          </w:p>
        </w:tc>
        <w:tc>
          <w:tcPr>
            <w:tcW w:w="907" w:type="pct"/>
            <w:vMerge/>
            <w:tcBorders>
              <w:right w:val="nil"/>
            </w:tcBorders>
          </w:tcPr>
          <w:p w14:paraId="27C2E38D"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7AA07295" w14:textId="622659B5" w:rsidR="00EF6835" w:rsidRPr="009D7C32" w:rsidRDefault="00EF6835" w:rsidP="00752FB6">
            <w:pPr>
              <w:pStyle w:val="ARtabletext"/>
            </w:pPr>
            <w:r>
              <w:rPr>
                <w:color w:val="000000"/>
              </w:rPr>
              <w:t xml:space="preserve">Delivery, Toward regional governance, board induction, </w:t>
            </w:r>
            <w:r w:rsidR="00C16416">
              <w:rPr>
                <w:color w:val="000000"/>
              </w:rPr>
              <w:t>e</w:t>
            </w:r>
            <w:r w:rsidR="002A20C5">
              <w:rPr>
                <w:color w:val="000000"/>
              </w:rPr>
              <w:t>xpression of interest</w:t>
            </w:r>
            <w:r w:rsidR="00154204">
              <w:rPr>
                <w:color w:val="000000"/>
              </w:rPr>
              <w:t xml:space="preserve"> </w:t>
            </w:r>
            <w:r>
              <w:rPr>
                <w:color w:val="000000"/>
              </w:rPr>
              <w:t>development</w:t>
            </w:r>
          </w:p>
        </w:tc>
        <w:tc>
          <w:tcPr>
            <w:tcW w:w="722" w:type="pct"/>
            <w:tcBorders>
              <w:top w:val="single" w:sz="4" w:space="0" w:color="auto"/>
              <w:left w:val="nil"/>
              <w:bottom w:val="single" w:sz="4" w:space="0" w:color="auto"/>
              <w:right w:val="nil"/>
            </w:tcBorders>
            <w:shd w:val="clear" w:color="auto" w:fill="auto"/>
          </w:tcPr>
          <w:p w14:paraId="7858C093" w14:textId="422D95EE" w:rsidR="00EF6835" w:rsidRPr="009D7C32" w:rsidRDefault="008135B7" w:rsidP="00752FB6">
            <w:pPr>
              <w:pStyle w:val="ARtabletextright"/>
            </w:pPr>
            <w:r>
              <w:t>$</w:t>
            </w:r>
            <w:r w:rsidR="00EF6835">
              <w:t>583,525</w:t>
            </w:r>
          </w:p>
        </w:tc>
        <w:tc>
          <w:tcPr>
            <w:tcW w:w="766" w:type="pct"/>
            <w:tcBorders>
              <w:top w:val="single" w:sz="4" w:space="0" w:color="auto"/>
              <w:left w:val="nil"/>
              <w:bottom w:val="single" w:sz="4" w:space="0" w:color="auto"/>
              <w:right w:val="nil"/>
            </w:tcBorders>
            <w:shd w:val="clear" w:color="auto" w:fill="auto"/>
          </w:tcPr>
          <w:p w14:paraId="7FE0D0BE" w14:textId="0E0BE86A" w:rsidR="00EF6835" w:rsidRPr="009D7C32" w:rsidRDefault="008135B7" w:rsidP="00752FB6">
            <w:pPr>
              <w:pStyle w:val="ARtabletextright"/>
            </w:pPr>
            <w:r>
              <w:t>$</w:t>
            </w:r>
            <w:r w:rsidR="00EF6835">
              <w:t>319,694</w:t>
            </w:r>
          </w:p>
        </w:tc>
        <w:tc>
          <w:tcPr>
            <w:tcW w:w="674" w:type="pct"/>
            <w:tcBorders>
              <w:top w:val="single" w:sz="4" w:space="0" w:color="auto"/>
              <w:left w:val="nil"/>
              <w:bottom w:val="single" w:sz="4" w:space="0" w:color="auto"/>
              <w:right w:val="nil"/>
            </w:tcBorders>
            <w:shd w:val="clear" w:color="auto" w:fill="auto"/>
          </w:tcPr>
          <w:p w14:paraId="6EB50746" w14:textId="40BD8152" w:rsidR="00EF6835" w:rsidRPr="009D7C32" w:rsidRDefault="008135B7" w:rsidP="00752FB6">
            <w:pPr>
              <w:pStyle w:val="ARtabletextright"/>
            </w:pPr>
            <w:r>
              <w:t>$</w:t>
            </w:r>
            <w:r w:rsidR="00EF6835">
              <w:t>263,830</w:t>
            </w:r>
          </w:p>
        </w:tc>
      </w:tr>
      <w:tr w:rsidR="00EF6835" w:rsidRPr="00A34CB9" w14:paraId="5590781B" w14:textId="77777777" w:rsidTr="0022137A">
        <w:tc>
          <w:tcPr>
            <w:tcW w:w="768" w:type="pct"/>
            <w:vMerge/>
          </w:tcPr>
          <w:p w14:paraId="3AEABC34" w14:textId="77777777" w:rsidR="00EF6835" w:rsidRPr="009D7C32" w:rsidRDefault="00EF6835" w:rsidP="00752FB6">
            <w:pPr>
              <w:pStyle w:val="ARtabletext"/>
            </w:pPr>
          </w:p>
        </w:tc>
        <w:tc>
          <w:tcPr>
            <w:tcW w:w="907" w:type="pct"/>
            <w:vMerge/>
            <w:tcBorders>
              <w:right w:val="nil"/>
            </w:tcBorders>
          </w:tcPr>
          <w:p w14:paraId="5A42DE39"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5254078C" w14:textId="77777777" w:rsidR="00EF6835" w:rsidRPr="009D7C32" w:rsidRDefault="00EF6835" w:rsidP="00752FB6">
            <w:pPr>
              <w:pStyle w:val="ARtabletext"/>
            </w:pPr>
            <w:r>
              <w:rPr>
                <w:color w:val="000000"/>
              </w:rPr>
              <w:t>Design, Statewide mental health capability entity</w:t>
            </w:r>
          </w:p>
        </w:tc>
        <w:tc>
          <w:tcPr>
            <w:tcW w:w="722" w:type="pct"/>
            <w:tcBorders>
              <w:top w:val="single" w:sz="4" w:space="0" w:color="auto"/>
              <w:left w:val="nil"/>
              <w:bottom w:val="single" w:sz="4" w:space="0" w:color="auto"/>
              <w:right w:val="nil"/>
            </w:tcBorders>
            <w:shd w:val="clear" w:color="auto" w:fill="auto"/>
          </w:tcPr>
          <w:p w14:paraId="7CB273B3" w14:textId="0FF8FB51" w:rsidR="00EF6835" w:rsidRPr="009D7C32" w:rsidRDefault="008135B7" w:rsidP="00752FB6">
            <w:pPr>
              <w:pStyle w:val="ARtabletextright"/>
            </w:pPr>
            <w:r>
              <w:t>$</w:t>
            </w:r>
            <w:r w:rsidR="00EF6835">
              <w:t>181,209</w:t>
            </w:r>
          </w:p>
        </w:tc>
        <w:tc>
          <w:tcPr>
            <w:tcW w:w="766" w:type="pct"/>
            <w:tcBorders>
              <w:top w:val="single" w:sz="4" w:space="0" w:color="auto"/>
              <w:left w:val="nil"/>
              <w:bottom w:val="single" w:sz="4" w:space="0" w:color="auto"/>
              <w:right w:val="nil"/>
            </w:tcBorders>
            <w:shd w:val="clear" w:color="auto" w:fill="auto"/>
          </w:tcPr>
          <w:p w14:paraId="650DA52B" w14:textId="7F4F5893" w:rsidR="00EF6835" w:rsidRPr="009D7C32" w:rsidRDefault="008135B7" w:rsidP="00752FB6">
            <w:pPr>
              <w:pStyle w:val="ARtabletextright"/>
            </w:pPr>
            <w:r>
              <w:t>$</w:t>
            </w:r>
            <w:r w:rsidR="00EF6835">
              <w:t>65,894</w:t>
            </w:r>
          </w:p>
        </w:tc>
        <w:tc>
          <w:tcPr>
            <w:tcW w:w="674" w:type="pct"/>
            <w:tcBorders>
              <w:top w:val="single" w:sz="4" w:space="0" w:color="auto"/>
              <w:left w:val="nil"/>
              <w:bottom w:val="single" w:sz="4" w:space="0" w:color="auto"/>
              <w:right w:val="nil"/>
            </w:tcBorders>
            <w:shd w:val="clear" w:color="auto" w:fill="auto"/>
          </w:tcPr>
          <w:p w14:paraId="5786484C" w14:textId="558BB4E1" w:rsidR="00EF6835" w:rsidRPr="009D7C32" w:rsidRDefault="008135B7" w:rsidP="00752FB6">
            <w:pPr>
              <w:pStyle w:val="ARtabletextright"/>
            </w:pPr>
            <w:r>
              <w:t>$</w:t>
            </w:r>
            <w:r w:rsidR="00EF6835">
              <w:t>115,315</w:t>
            </w:r>
          </w:p>
        </w:tc>
      </w:tr>
      <w:tr w:rsidR="00EF6835" w:rsidRPr="00A34CB9" w14:paraId="14D62EB2" w14:textId="77777777" w:rsidTr="0022137A">
        <w:tc>
          <w:tcPr>
            <w:tcW w:w="768" w:type="pct"/>
            <w:vMerge/>
          </w:tcPr>
          <w:p w14:paraId="225C7E40" w14:textId="77777777" w:rsidR="00EF6835" w:rsidRPr="009D7C32" w:rsidRDefault="00EF6835" w:rsidP="00752FB6">
            <w:pPr>
              <w:pStyle w:val="ARtabletext"/>
            </w:pPr>
          </w:p>
        </w:tc>
        <w:tc>
          <w:tcPr>
            <w:tcW w:w="907" w:type="pct"/>
            <w:vMerge/>
            <w:tcBorders>
              <w:right w:val="nil"/>
            </w:tcBorders>
          </w:tcPr>
          <w:p w14:paraId="516419F1" w14:textId="77777777" w:rsidR="00EF6835" w:rsidRPr="009D7C32" w:rsidRDefault="00EF6835" w:rsidP="00752FB6">
            <w:pPr>
              <w:pStyle w:val="ARtabletext"/>
            </w:pPr>
          </w:p>
        </w:tc>
        <w:tc>
          <w:tcPr>
            <w:tcW w:w="1163" w:type="pct"/>
            <w:tcBorders>
              <w:top w:val="single" w:sz="4" w:space="0" w:color="auto"/>
              <w:left w:val="nil"/>
              <w:bottom w:val="single" w:sz="4" w:space="0" w:color="auto"/>
              <w:right w:val="nil"/>
            </w:tcBorders>
            <w:shd w:val="clear" w:color="auto" w:fill="auto"/>
          </w:tcPr>
          <w:p w14:paraId="08441157" w14:textId="683A5044" w:rsidR="00EF6835" w:rsidRPr="009D7C32" w:rsidRDefault="00EF6835" w:rsidP="00752FB6">
            <w:pPr>
              <w:pStyle w:val="ARtabletext"/>
            </w:pPr>
            <w:r>
              <w:rPr>
                <w:color w:val="000000"/>
              </w:rPr>
              <w:t xml:space="preserve">Support, Tobacco licensing </w:t>
            </w:r>
            <w:r w:rsidR="002A20C5">
              <w:rPr>
                <w:color w:val="000000"/>
              </w:rPr>
              <w:t>evaluation and impact assessment</w:t>
            </w:r>
          </w:p>
        </w:tc>
        <w:tc>
          <w:tcPr>
            <w:tcW w:w="722" w:type="pct"/>
            <w:tcBorders>
              <w:top w:val="single" w:sz="4" w:space="0" w:color="auto"/>
              <w:left w:val="nil"/>
              <w:bottom w:val="single" w:sz="4" w:space="0" w:color="auto"/>
              <w:right w:val="nil"/>
            </w:tcBorders>
            <w:shd w:val="clear" w:color="auto" w:fill="auto"/>
          </w:tcPr>
          <w:p w14:paraId="3659E177" w14:textId="5DCE0F44" w:rsidR="00EF6835" w:rsidRPr="009D7C32" w:rsidRDefault="008135B7" w:rsidP="00752FB6">
            <w:pPr>
              <w:pStyle w:val="ARtabletextright"/>
            </w:pPr>
            <w:r>
              <w:t>$</w:t>
            </w:r>
            <w:r w:rsidR="00EF6835">
              <w:t>14,094</w:t>
            </w:r>
          </w:p>
        </w:tc>
        <w:tc>
          <w:tcPr>
            <w:tcW w:w="766" w:type="pct"/>
            <w:tcBorders>
              <w:top w:val="single" w:sz="4" w:space="0" w:color="auto"/>
              <w:left w:val="nil"/>
              <w:bottom w:val="single" w:sz="4" w:space="0" w:color="auto"/>
              <w:right w:val="nil"/>
            </w:tcBorders>
            <w:shd w:val="clear" w:color="auto" w:fill="auto"/>
          </w:tcPr>
          <w:p w14:paraId="312B682D" w14:textId="2205EBD3" w:rsidR="00EF6835" w:rsidRPr="009D7C32" w:rsidRDefault="008135B7" w:rsidP="00752FB6">
            <w:pPr>
              <w:pStyle w:val="ARtabletextright"/>
            </w:pPr>
            <w:r>
              <w:t>$</w:t>
            </w:r>
            <w:r w:rsidR="00EF6835">
              <w:t>14,094</w:t>
            </w:r>
          </w:p>
        </w:tc>
        <w:tc>
          <w:tcPr>
            <w:tcW w:w="674" w:type="pct"/>
            <w:tcBorders>
              <w:top w:val="single" w:sz="4" w:space="0" w:color="auto"/>
              <w:left w:val="nil"/>
              <w:bottom w:val="single" w:sz="4" w:space="0" w:color="auto"/>
              <w:right w:val="nil"/>
            </w:tcBorders>
            <w:shd w:val="clear" w:color="auto" w:fill="auto"/>
          </w:tcPr>
          <w:p w14:paraId="694846EF" w14:textId="03DC19DF" w:rsidR="00EF6835" w:rsidRPr="009D7C32" w:rsidRDefault="008135B7" w:rsidP="00752FB6">
            <w:pPr>
              <w:pStyle w:val="ARtabletextright"/>
            </w:pPr>
            <w:r>
              <w:t>$</w:t>
            </w:r>
            <w:r w:rsidR="00EF6835">
              <w:t>0</w:t>
            </w:r>
          </w:p>
        </w:tc>
      </w:tr>
      <w:bookmarkEnd w:id="355"/>
      <w:tr w:rsidR="00DC76B8" w:rsidRPr="00A34CB9" w14:paraId="6ABE181C" w14:textId="77777777" w:rsidTr="0022137A">
        <w:tc>
          <w:tcPr>
            <w:tcW w:w="768" w:type="pct"/>
            <w:vMerge w:val="restart"/>
          </w:tcPr>
          <w:p w14:paraId="77CA1D68" w14:textId="77777777" w:rsidR="00DC76B8" w:rsidRPr="009D7C32" w:rsidRDefault="00DC76B8" w:rsidP="00752FB6">
            <w:pPr>
              <w:pStyle w:val="ARtabletext"/>
            </w:pPr>
            <w:r w:rsidRPr="009D7C32">
              <w:t>Capital Business Case &amp; Planning</w:t>
            </w:r>
          </w:p>
        </w:tc>
        <w:tc>
          <w:tcPr>
            <w:tcW w:w="907" w:type="pct"/>
          </w:tcPr>
          <w:p w14:paraId="1FD70835" w14:textId="77777777" w:rsidR="00DC76B8" w:rsidRPr="009D7C32" w:rsidRDefault="00DC76B8" w:rsidP="00752FB6">
            <w:pPr>
              <w:pStyle w:val="ARtabletext"/>
            </w:pPr>
            <w:r>
              <w:t>Nous Group Pty Ltd</w:t>
            </w:r>
          </w:p>
        </w:tc>
        <w:tc>
          <w:tcPr>
            <w:tcW w:w="1163" w:type="pct"/>
          </w:tcPr>
          <w:p w14:paraId="1762A29D" w14:textId="788FED7F" w:rsidR="00DC76B8" w:rsidRPr="009D7C32" w:rsidRDefault="00DC76B8" w:rsidP="00752FB6">
            <w:pPr>
              <w:pStyle w:val="ARtabletext"/>
            </w:pPr>
            <w:r>
              <w:t>Planning, Statewide and regional mental health and wellbeing service</w:t>
            </w:r>
            <w:r w:rsidR="002A20C5">
              <w:t>s</w:t>
            </w:r>
            <w:r>
              <w:t xml:space="preserve"> and capital plans</w:t>
            </w:r>
          </w:p>
        </w:tc>
        <w:tc>
          <w:tcPr>
            <w:tcW w:w="722" w:type="pct"/>
          </w:tcPr>
          <w:p w14:paraId="3E050DD8" w14:textId="01A70047" w:rsidR="00DC76B8" w:rsidRPr="009D7C32" w:rsidRDefault="008135B7" w:rsidP="00752FB6">
            <w:pPr>
              <w:pStyle w:val="ARtabletextright"/>
            </w:pPr>
            <w:r>
              <w:t>$</w:t>
            </w:r>
            <w:r w:rsidR="00DC76B8">
              <w:t>2,682,906</w:t>
            </w:r>
          </w:p>
        </w:tc>
        <w:tc>
          <w:tcPr>
            <w:tcW w:w="766" w:type="pct"/>
          </w:tcPr>
          <w:p w14:paraId="62F0E2C5" w14:textId="791AF203" w:rsidR="00DC76B8" w:rsidRPr="009D7C32" w:rsidRDefault="008135B7" w:rsidP="00752FB6">
            <w:pPr>
              <w:pStyle w:val="ARtabletextright"/>
            </w:pPr>
            <w:r>
              <w:t>$</w:t>
            </w:r>
            <w:r w:rsidR="00DC76B8">
              <w:t>1,990,712</w:t>
            </w:r>
          </w:p>
        </w:tc>
        <w:tc>
          <w:tcPr>
            <w:tcW w:w="674" w:type="pct"/>
          </w:tcPr>
          <w:p w14:paraId="4E388E76" w14:textId="77C73C12" w:rsidR="00DC76B8" w:rsidRPr="009D7C32" w:rsidRDefault="008135B7" w:rsidP="00752FB6">
            <w:pPr>
              <w:pStyle w:val="ARtabletextright"/>
            </w:pPr>
            <w:r>
              <w:t>$</w:t>
            </w:r>
            <w:r w:rsidR="00DC76B8">
              <w:t>692,194</w:t>
            </w:r>
          </w:p>
        </w:tc>
      </w:tr>
      <w:tr w:rsidR="00DC76B8" w:rsidRPr="00A34CB9" w14:paraId="511F1C05" w14:textId="77777777" w:rsidTr="0022137A">
        <w:tc>
          <w:tcPr>
            <w:tcW w:w="768" w:type="pct"/>
            <w:vMerge/>
          </w:tcPr>
          <w:p w14:paraId="19AFE2CF" w14:textId="77777777" w:rsidR="00DC76B8" w:rsidRPr="009D7C32" w:rsidRDefault="00DC76B8" w:rsidP="00752FB6">
            <w:pPr>
              <w:pStyle w:val="ARtabletext"/>
            </w:pPr>
          </w:p>
        </w:tc>
        <w:tc>
          <w:tcPr>
            <w:tcW w:w="907" w:type="pct"/>
          </w:tcPr>
          <w:p w14:paraId="0B9CE39D" w14:textId="77777777" w:rsidR="00DC76B8" w:rsidRPr="009D7C32" w:rsidRDefault="00DC76B8" w:rsidP="00752FB6">
            <w:pPr>
              <w:pStyle w:val="ARtabletext"/>
            </w:pPr>
            <w:r>
              <w:t>Anne Rochelle Doherty Pty Ltd</w:t>
            </w:r>
          </w:p>
        </w:tc>
        <w:tc>
          <w:tcPr>
            <w:tcW w:w="1163" w:type="pct"/>
          </w:tcPr>
          <w:p w14:paraId="1CD4AB4B" w14:textId="006D0E8D" w:rsidR="00DC76B8" w:rsidRPr="009D7C32" w:rsidRDefault="00DC76B8" w:rsidP="00752FB6">
            <w:pPr>
              <w:pStyle w:val="ARtabletext"/>
            </w:pPr>
            <w:r>
              <w:t xml:space="preserve">Analysis, </w:t>
            </w:r>
            <w:r w:rsidR="004B5E89">
              <w:t xml:space="preserve">Royal Commission into Victoria’s Mental Health </w:t>
            </w:r>
            <w:r w:rsidR="00236EAB">
              <w:t>System</w:t>
            </w:r>
            <w:r w:rsidR="004B5E89">
              <w:t xml:space="preserve"> </w:t>
            </w:r>
            <w:r>
              <w:t>Report: Implications for Office of the Chief Psychiatrist</w:t>
            </w:r>
          </w:p>
        </w:tc>
        <w:tc>
          <w:tcPr>
            <w:tcW w:w="722" w:type="pct"/>
          </w:tcPr>
          <w:p w14:paraId="25BC2AFF" w14:textId="3A3A0CD2" w:rsidR="00DC76B8" w:rsidRPr="009D7C32" w:rsidRDefault="008135B7" w:rsidP="00752FB6">
            <w:pPr>
              <w:pStyle w:val="ARtabletextright"/>
            </w:pPr>
            <w:r>
              <w:t>$</w:t>
            </w:r>
            <w:r w:rsidR="00DC76B8">
              <w:t>21,250</w:t>
            </w:r>
          </w:p>
        </w:tc>
        <w:tc>
          <w:tcPr>
            <w:tcW w:w="766" w:type="pct"/>
          </w:tcPr>
          <w:p w14:paraId="3ECA4ECE" w14:textId="7BE17F03" w:rsidR="00DC76B8" w:rsidRPr="009D7C32" w:rsidRDefault="008135B7" w:rsidP="00752FB6">
            <w:pPr>
              <w:pStyle w:val="ARtabletextright"/>
            </w:pPr>
            <w:r>
              <w:t>$</w:t>
            </w:r>
            <w:r w:rsidR="00DC76B8">
              <w:t>21,250</w:t>
            </w:r>
          </w:p>
        </w:tc>
        <w:tc>
          <w:tcPr>
            <w:tcW w:w="674" w:type="pct"/>
          </w:tcPr>
          <w:p w14:paraId="723E0A54" w14:textId="148E61DB" w:rsidR="00DC76B8" w:rsidRPr="009D7C32" w:rsidRDefault="008135B7" w:rsidP="00752FB6">
            <w:pPr>
              <w:pStyle w:val="ARtabletextright"/>
            </w:pPr>
            <w:r>
              <w:t>$</w:t>
            </w:r>
            <w:r w:rsidR="00DC76B8">
              <w:t>0</w:t>
            </w:r>
          </w:p>
        </w:tc>
      </w:tr>
      <w:tr w:rsidR="00DC76B8" w:rsidRPr="00A34CB9" w14:paraId="69FDE362" w14:textId="77777777" w:rsidTr="0022137A">
        <w:tc>
          <w:tcPr>
            <w:tcW w:w="768" w:type="pct"/>
            <w:vMerge/>
          </w:tcPr>
          <w:p w14:paraId="3182CE0C" w14:textId="77777777" w:rsidR="00DC76B8" w:rsidRPr="009D7C32" w:rsidRDefault="00DC76B8" w:rsidP="00752FB6">
            <w:pPr>
              <w:pStyle w:val="ARtabletext"/>
            </w:pPr>
          </w:p>
        </w:tc>
        <w:tc>
          <w:tcPr>
            <w:tcW w:w="907" w:type="pct"/>
          </w:tcPr>
          <w:p w14:paraId="02278139" w14:textId="77777777" w:rsidR="00DC76B8" w:rsidRPr="009D7C32" w:rsidRDefault="00DC76B8" w:rsidP="00752FB6">
            <w:pPr>
              <w:pStyle w:val="ARtabletext"/>
            </w:pPr>
            <w:r>
              <w:t>Cancer Council Victoria</w:t>
            </w:r>
          </w:p>
        </w:tc>
        <w:tc>
          <w:tcPr>
            <w:tcW w:w="1163" w:type="pct"/>
          </w:tcPr>
          <w:p w14:paraId="40951989" w14:textId="2D364874" w:rsidR="00DC76B8" w:rsidRPr="009D7C32" w:rsidRDefault="00DC76B8" w:rsidP="00752FB6">
            <w:pPr>
              <w:pStyle w:val="ARtabletext"/>
            </w:pPr>
            <w:r>
              <w:t xml:space="preserve">Advice, Potential </w:t>
            </w:r>
            <w:r w:rsidR="004B5E89">
              <w:t>c</w:t>
            </w:r>
            <w:r w:rsidR="0027664F">
              <w:t>a</w:t>
            </w:r>
            <w:r>
              <w:t xml:space="preserve">ncer </w:t>
            </w:r>
            <w:r w:rsidR="004B5E89">
              <w:t>c</w:t>
            </w:r>
            <w:r>
              <w:t xml:space="preserve">luster </w:t>
            </w:r>
            <w:r w:rsidR="004B5E89">
              <w:t>e</w:t>
            </w:r>
            <w:r>
              <w:t xml:space="preserve">xpert </w:t>
            </w:r>
            <w:r w:rsidR="004B5E89">
              <w:t>a</w:t>
            </w:r>
            <w:r>
              <w:t xml:space="preserve">dvisory </w:t>
            </w:r>
            <w:r w:rsidR="004B5E89">
              <w:t>g</w:t>
            </w:r>
            <w:r>
              <w:t>roup</w:t>
            </w:r>
          </w:p>
        </w:tc>
        <w:tc>
          <w:tcPr>
            <w:tcW w:w="722" w:type="pct"/>
          </w:tcPr>
          <w:p w14:paraId="33016E98" w14:textId="600A9EC4" w:rsidR="00DC76B8" w:rsidRPr="009D7C32" w:rsidRDefault="008135B7" w:rsidP="00752FB6">
            <w:pPr>
              <w:pStyle w:val="ARtabletextright"/>
            </w:pPr>
            <w:r>
              <w:t>$</w:t>
            </w:r>
            <w:r w:rsidR="00DC76B8">
              <w:t>71,006</w:t>
            </w:r>
          </w:p>
        </w:tc>
        <w:tc>
          <w:tcPr>
            <w:tcW w:w="766" w:type="pct"/>
          </w:tcPr>
          <w:p w14:paraId="58FC952F" w14:textId="14D29B9D" w:rsidR="00DC76B8" w:rsidRPr="009D7C32" w:rsidRDefault="008135B7" w:rsidP="00752FB6">
            <w:pPr>
              <w:pStyle w:val="ARtabletextright"/>
            </w:pPr>
            <w:r>
              <w:t>$</w:t>
            </w:r>
            <w:r w:rsidR="00DC76B8">
              <w:t>9,630</w:t>
            </w:r>
          </w:p>
        </w:tc>
        <w:tc>
          <w:tcPr>
            <w:tcW w:w="674" w:type="pct"/>
          </w:tcPr>
          <w:p w14:paraId="6CF40F5A" w14:textId="08B9C06C" w:rsidR="00DC76B8" w:rsidRPr="009D7C32" w:rsidRDefault="008135B7" w:rsidP="00752FB6">
            <w:pPr>
              <w:pStyle w:val="ARtabletextright"/>
            </w:pPr>
            <w:r>
              <w:t>$</w:t>
            </w:r>
            <w:r w:rsidR="00DC76B8">
              <w:t>45,455</w:t>
            </w:r>
          </w:p>
        </w:tc>
      </w:tr>
      <w:tr w:rsidR="00DC76B8" w:rsidRPr="00A34CB9" w14:paraId="3A93129E" w14:textId="77777777" w:rsidTr="0022137A">
        <w:tc>
          <w:tcPr>
            <w:tcW w:w="768" w:type="pct"/>
            <w:vMerge/>
          </w:tcPr>
          <w:p w14:paraId="4C0911D3" w14:textId="77777777" w:rsidR="00DC76B8" w:rsidRPr="009D7C32" w:rsidRDefault="00DC76B8" w:rsidP="00752FB6">
            <w:pPr>
              <w:pStyle w:val="ARtabletext"/>
            </w:pPr>
          </w:p>
        </w:tc>
        <w:tc>
          <w:tcPr>
            <w:tcW w:w="907" w:type="pct"/>
          </w:tcPr>
          <w:p w14:paraId="12FDA2B9" w14:textId="77777777" w:rsidR="00DC76B8" w:rsidRPr="009D7C32" w:rsidRDefault="00DC76B8" w:rsidP="00752FB6">
            <w:pPr>
              <w:pStyle w:val="ARtabletext"/>
            </w:pPr>
            <w:r>
              <w:t>Deloitte Touche Tohmatsu</w:t>
            </w:r>
          </w:p>
        </w:tc>
        <w:tc>
          <w:tcPr>
            <w:tcW w:w="1163" w:type="pct"/>
          </w:tcPr>
          <w:p w14:paraId="2758493B" w14:textId="25F6998A" w:rsidR="00DC76B8" w:rsidRPr="009D7C32" w:rsidRDefault="00DC76B8" w:rsidP="00752FB6">
            <w:pPr>
              <w:pStyle w:val="ARtabletext"/>
            </w:pPr>
            <w:r>
              <w:t>Support, R</w:t>
            </w:r>
            <w:r w:rsidR="004B5E89">
              <w:t xml:space="preserve">egulation </w:t>
            </w:r>
            <w:r>
              <w:t>H</w:t>
            </w:r>
            <w:r w:rsidR="004B5E89">
              <w:t xml:space="preserve">ealth </w:t>
            </w:r>
            <w:r>
              <w:t>P</w:t>
            </w:r>
            <w:r w:rsidR="004B5E89">
              <w:t>ro</w:t>
            </w:r>
            <w:r w:rsidR="00885B98">
              <w:t>tection</w:t>
            </w:r>
            <w:r w:rsidR="004B5E89">
              <w:t xml:space="preserve"> </w:t>
            </w:r>
            <w:r>
              <w:t>E</w:t>
            </w:r>
            <w:r w:rsidR="004B5E89">
              <w:t xml:space="preserve">mergency </w:t>
            </w:r>
            <w:r>
              <w:t>M</w:t>
            </w:r>
            <w:r w:rsidR="004B5E89">
              <w:t xml:space="preserve">anagement </w:t>
            </w:r>
            <w:r>
              <w:t>transition and innovations</w:t>
            </w:r>
          </w:p>
        </w:tc>
        <w:tc>
          <w:tcPr>
            <w:tcW w:w="722" w:type="pct"/>
          </w:tcPr>
          <w:p w14:paraId="00FE34DA" w14:textId="1279B42D" w:rsidR="00DC76B8" w:rsidRPr="009D7C32" w:rsidRDefault="008135B7" w:rsidP="00752FB6">
            <w:pPr>
              <w:pStyle w:val="ARtabletextright"/>
            </w:pPr>
            <w:r>
              <w:t>$</w:t>
            </w:r>
            <w:r w:rsidR="00DC76B8">
              <w:t>2,064,512</w:t>
            </w:r>
          </w:p>
        </w:tc>
        <w:tc>
          <w:tcPr>
            <w:tcW w:w="766" w:type="pct"/>
          </w:tcPr>
          <w:p w14:paraId="333E4F8F" w14:textId="6EA8A3E2" w:rsidR="00DC76B8" w:rsidRPr="009D7C32" w:rsidRDefault="008135B7" w:rsidP="00752FB6">
            <w:pPr>
              <w:pStyle w:val="ARtabletextright"/>
            </w:pPr>
            <w:r>
              <w:t>$</w:t>
            </w:r>
            <w:r w:rsidR="00DC76B8">
              <w:t>715,136</w:t>
            </w:r>
          </w:p>
        </w:tc>
        <w:tc>
          <w:tcPr>
            <w:tcW w:w="674" w:type="pct"/>
          </w:tcPr>
          <w:p w14:paraId="787EFBE9" w14:textId="5917978B" w:rsidR="00DC76B8" w:rsidRPr="009D7C32" w:rsidRDefault="008135B7" w:rsidP="00752FB6">
            <w:pPr>
              <w:pStyle w:val="ARtabletextright"/>
            </w:pPr>
            <w:r>
              <w:t>$</w:t>
            </w:r>
            <w:r w:rsidR="00DC76B8" w:rsidRPr="009D7C32">
              <w:t>0</w:t>
            </w:r>
          </w:p>
        </w:tc>
      </w:tr>
      <w:tr w:rsidR="00DC76B8" w:rsidRPr="00A34CB9" w14:paraId="67B1B45B" w14:textId="77777777" w:rsidTr="0022137A">
        <w:tc>
          <w:tcPr>
            <w:tcW w:w="768" w:type="pct"/>
            <w:vMerge/>
          </w:tcPr>
          <w:p w14:paraId="373E0819" w14:textId="77777777" w:rsidR="00DC76B8" w:rsidRPr="009D7C32" w:rsidRDefault="00DC76B8" w:rsidP="00752FB6">
            <w:pPr>
              <w:pStyle w:val="ARtabletext"/>
            </w:pPr>
          </w:p>
        </w:tc>
        <w:tc>
          <w:tcPr>
            <w:tcW w:w="907" w:type="pct"/>
          </w:tcPr>
          <w:p w14:paraId="61C9729C" w14:textId="77777777" w:rsidR="00DC76B8" w:rsidRPr="009D7C32" w:rsidRDefault="00DC76B8" w:rsidP="00752FB6">
            <w:pPr>
              <w:pStyle w:val="ARtabletext"/>
            </w:pPr>
            <w:r>
              <w:t>Donoughmore Pty Ltd ATF R &amp; V Healy Family Trust</w:t>
            </w:r>
          </w:p>
        </w:tc>
        <w:tc>
          <w:tcPr>
            <w:tcW w:w="1163" w:type="pct"/>
          </w:tcPr>
          <w:p w14:paraId="083EA81C" w14:textId="7C37D23F" w:rsidR="00DC76B8" w:rsidRPr="009D7C32" w:rsidRDefault="00DC76B8" w:rsidP="00752FB6">
            <w:pPr>
              <w:pStyle w:val="ARtabletext"/>
            </w:pPr>
            <w:r>
              <w:t xml:space="preserve">Advice, Aligning Victoria’s regulatory requirements for food service and food retail business to </w:t>
            </w:r>
            <w:r w:rsidR="004B5E89">
              <w:t>m</w:t>
            </w:r>
            <w:r>
              <w:t xml:space="preserve">inisterial </w:t>
            </w:r>
            <w:r w:rsidR="004B5E89">
              <w:t>p</w:t>
            </w:r>
            <w:r>
              <w:t xml:space="preserve">olicy </w:t>
            </w:r>
            <w:r w:rsidR="004B5E89">
              <w:t>g</w:t>
            </w:r>
            <w:r>
              <w:t>uidelines</w:t>
            </w:r>
          </w:p>
        </w:tc>
        <w:tc>
          <w:tcPr>
            <w:tcW w:w="722" w:type="pct"/>
          </w:tcPr>
          <w:p w14:paraId="66C4010D" w14:textId="3B245519" w:rsidR="00DC76B8" w:rsidRPr="009D7C32" w:rsidRDefault="008135B7" w:rsidP="00752FB6">
            <w:pPr>
              <w:pStyle w:val="ARtabletextright"/>
            </w:pPr>
            <w:r>
              <w:t>$</w:t>
            </w:r>
            <w:r w:rsidR="00DC76B8">
              <w:t>220,620</w:t>
            </w:r>
          </w:p>
        </w:tc>
        <w:tc>
          <w:tcPr>
            <w:tcW w:w="766" w:type="pct"/>
          </w:tcPr>
          <w:p w14:paraId="0869497C" w14:textId="35042C4A" w:rsidR="00DC76B8" w:rsidRPr="009D7C32" w:rsidRDefault="008135B7" w:rsidP="00752FB6">
            <w:pPr>
              <w:pStyle w:val="ARtabletextright"/>
            </w:pPr>
            <w:r>
              <w:t>$</w:t>
            </w:r>
            <w:r w:rsidR="00DC76B8">
              <w:t>189,550</w:t>
            </w:r>
          </w:p>
        </w:tc>
        <w:tc>
          <w:tcPr>
            <w:tcW w:w="674" w:type="pct"/>
          </w:tcPr>
          <w:p w14:paraId="4A34D3E4" w14:textId="791DA50E" w:rsidR="00DC76B8" w:rsidRPr="009D7C32" w:rsidRDefault="008135B7" w:rsidP="00752FB6">
            <w:pPr>
              <w:pStyle w:val="ARtabletextright"/>
            </w:pPr>
            <w:r>
              <w:t>$</w:t>
            </w:r>
            <w:r w:rsidR="00DC76B8">
              <w:t>31,070</w:t>
            </w:r>
          </w:p>
        </w:tc>
      </w:tr>
      <w:tr w:rsidR="00DC76B8" w:rsidRPr="00A34CB9" w14:paraId="6B176283" w14:textId="77777777" w:rsidTr="0022137A">
        <w:tc>
          <w:tcPr>
            <w:tcW w:w="768" w:type="pct"/>
            <w:vMerge/>
          </w:tcPr>
          <w:p w14:paraId="276101CB" w14:textId="77777777" w:rsidR="00DC76B8" w:rsidRPr="009D7C32" w:rsidRDefault="00DC76B8" w:rsidP="00752FB6">
            <w:pPr>
              <w:pStyle w:val="ARtabletext"/>
            </w:pPr>
          </w:p>
        </w:tc>
        <w:tc>
          <w:tcPr>
            <w:tcW w:w="907" w:type="pct"/>
          </w:tcPr>
          <w:p w14:paraId="4F8E9074" w14:textId="77777777" w:rsidR="00DC76B8" w:rsidRPr="009D7C32" w:rsidRDefault="00DC76B8" w:rsidP="00752FB6">
            <w:pPr>
              <w:pStyle w:val="ARtabletext"/>
            </w:pPr>
            <w:r>
              <w:t>Due Diligence Consultants Pty Ltd</w:t>
            </w:r>
          </w:p>
        </w:tc>
        <w:tc>
          <w:tcPr>
            <w:tcW w:w="1163" w:type="pct"/>
          </w:tcPr>
          <w:p w14:paraId="2B488576" w14:textId="77777777" w:rsidR="00DC76B8" w:rsidRPr="009D7C32" w:rsidRDefault="00DC76B8" w:rsidP="00752FB6">
            <w:pPr>
              <w:pStyle w:val="ARtabletext"/>
            </w:pPr>
            <w:r>
              <w:t>Reporting, Due diligence reporting</w:t>
            </w:r>
          </w:p>
        </w:tc>
        <w:tc>
          <w:tcPr>
            <w:tcW w:w="722" w:type="pct"/>
          </w:tcPr>
          <w:p w14:paraId="1834D91C" w14:textId="48F41CC8" w:rsidR="00DC76B8" w:rsidRPr="009D7C32" w:rsidRDefault="008135B7" w:rsidP="00752FB6">
            <w:pPr>
              <w:pStyle w:val="ARtabletextright"/>
            </w:pPr>
            <w:r>
              <w:t>$</w:t>
            </w:r>
            <w:r w:rsidR="00DC76B8">
              <w:t>169,275</w:t>
            </w:r>
          </w:p>
        </w:tc>
        <w:tc>
          <w:tcPr>
            <w:tcW w:w="766" w:type="pct"/>
          </w:tcPr>
          <w:p w14:paraId="3E79C776" w14:textId="28F93F7B" w:rsidR="00DC76B8" w:rsidRPr="009D7C32" w:rsidRDefault="008135B7" w:rsidP="00752FB6">
            <w:pPr>
              <w:pStyle w:val="ARtabletextright"/>
            </w:pPr>
            <w:r>
              <w:t>$</w:t>
            </w:r>
            <w:r w:rsidR="00DC76B8">
              <w:t>39,690</w:t>
            </w:r>
          </w:p>
        </w:tc>
        <w:tc>
          <w:tcPr>
            <w:tcW w:w="674" w:type="pct"/>
          </w:tcPr>
          <w:p w14:paraId="60E5CDDC" w14:textId="369AA267" w:rsidR="00DC76B8" w:rsidRPr="009D7C32" w:rsidRDefault="008135B7" w:rsidP="00752FB6">
            <w:pPr>
              <w:pStyle w:val="ARtabletextright"/>
            </w:pPr>
            <w:r>
              <w:t>$</w:t>
            </w:r>
            <w:r w:rsidR="00DC76B8">
              <w:t>5,110</w:t>
            </w:r>
          </w:p>
        </w:tc>
      </w:tr>
      <w:tr w:rsidR="00DC76B8" w:rsidRPr="00A34CB9" w14:paraId="0D688B16" w14:textId="77777777" w:rsidTr="0022137A">
        <w:tc>
          <w:tcPr>
            <w:tcW w:w="768" w:type="pct"/>
            <w:vMerge/>
          </w:tcPr>
          <w:p w14:paraId="7B2B2383" w14:textId="77777777" w:rsidR="00DC76B8" w:rsidRPr="009D7C32" w:rsidRDefault="00DC76B8" w:rsidP="00752FB6">
            <w:pPr>
              <w:pStyle w:val="ARtabletext"/>
            </w:pPr>
          </w:p>
        </w:tc>
        <w:tc>
          <w:tcPr>
            <w:tcW w:w="907" w:type="pct"/>
          </w:tcPr>
          <w:p w14:paraId="40FE5665" w14:textId="77777777" w:rsidR="00DC76B8" w:rsidRPr="009D7C32" w:rsidRDefault="00DC76B8" w:rsidP="00752FB6">
            <w:pPr>
              <w:pStyle w:val="ARtabletext"/>
            </w:pPr>
            <w:r>
              <w:t>Institute for Healthcare Improvement</w:t>
            </w:r>
          </w:p>
        </w:tc>
        <w:tc>
          <w:tcPr>
            <w:tcW w:w="1163" w:type="pct"/>
          </w:tcPr>
          <w:p w14:paraId="784539A1" w14:textId="77777777" w:rsidR="00DC76B8" w:rsidRPr="009D7C32" w:rsidRDefault="00DC76B8" w:rsidP="00752FB6">
            <w:pPr>
              <w:pStyle w:val="ARtabletext"/>
            </w:pPr>
            <w:r>
              <w:t>Project Management, Victorian patient safety program</w:t>
            </w:r>
          </w:p>
        </w:tc>
        <w:tc>
          <w:tcPr>
            <w:tcW w:w="722" w:type="pct"/>
          </w:tcPr>
          <w:p w14:paraId="12C0C6A2" w14:textId="631E32EE" w:rsidR="00DC76B8" w:rsidRPr="009D7C32" w:rsidRDefault="008135B7" w:rsidP="00752FB6">
            <w:pPr>
              <w:pStyle w:val="ARtabletextright"/>
            </w:pPr>
            <w:r>
              <w:t>$</w:t>
            </w:r>
            <w:r w:rsidR="00DC76B8">
              <w:t>12,296,632</w:t>
            </w:r>
          </w:p>
        </w:tc>
        <w:tc>
          <w:tcPr>
            <w:tcW w:w="766" w:type="pct"/>
          </w:tcPr>
          <w:p w14:paraId="0890F31F" w14:textId="002129D8" w:rsidR="00DC76B8" w:rsidRPr="009D7C32" w:rsidRDefault="008135B7" w:rsidP="00752FB6">
            <w:pPr>
              <w:pStyle w:val="ARtabletextright"/>
            </w:pPr>
            <w:r>
              <w:t>$</w:t>
            </w:r>
            <w:r w:rsidR="00DC76B8">
              <w:t>1,104,215</w:t>
            </w:r>
          </w:p>
        </w:tc>
        <w:tc>
          <w:tcPr>
            <w:tcW w:w="674" w:type="pct"/>
          </w:tcPr>
          <w:p w14:paraId="3BCB9D91" w14:textId="4F68813B" w:rsidR="00DC76B8" w:rsidRPr="009D7C32" w:rsidRDefault="008135B7" w:rsidP="00752FB6">
            <w:pPr>
              <w:pStyle w:val="ARtabletextright"/>
            </w:pPr>
            <w:r>
              <w:t>$</w:t>
            </w:r>
            <w:r w:rsidR="00DC76B8">
              <w:t>0</w:t>
            </w:r>
          </w:p>
        </w:tc>
      </w:tr>
      <w:tr w:rsidR="00DC76B8" w:rsidRPr="00A34CB9" w14:paraId="07B18186" w14:textId="77777777" w:rsidTr="0022137A">
        <w:tc>
          <w:tcPr>
            <w:tcW w:w="768" w:type="pct"/>
            <w:vMerge/>
          </w:tcPr>
          <w:p w14:paraId="7EAC8270" w14:textId="77777777" w:rsidR="00DC76B8" w:rsidRPr="009D7C32" w:rsidRDefault="00DC76B8" w:rsidP="00752FB6">
            <w:pPr>
              <w:pStyle w:val="ARtabletext"/>
            </w:pPr>
          </w:p>
        </w:tc>
        <w:tc>
          <w:tcPr>
            <w:tcW w:w="907" w:type="pct"/>
          </w:tcPr>
          <w:p w14:paraId="3B14EC69" w14:textId="744C703C" w:rsidR="00DC76B8" w:rsidRPr="009D7C32" w:rsidRDefault="00DC76B8" w:rsidP="00752FB6">
            <w:pPr>
              <w:pStyle w:val="ARtabletext"/>
            </w:pPr>
            <w:r w:rsidRPr="009D7C32">
              <w:t>Ken D Lay</w:t>
            </w:r>
          </w:p>
        </w:tc>
        <w:tc>
          <w:tcPr>
            <w:tcW w:w="1163" w:type="pct"/>
          </w:tcPr>
          <w:p w14:paraId="2CBE5D60" w14:textId="77777777" w:rsidR="00DC76B8" w:rsidRPr="009D7C32" w:rsidRDefault="00DC76B8" w:rsidP="00752FB6">
            <w:pPr>
              <w:pStyle w:val="ARtabletext"/>
            </w:pPr>
            <w:r>
              <w:t>Advice, Melbourne medically supervised injecting room consulting process</w:t>
            </w:r>
          </w:p>
        </w:tc>
        <w:tc>
          <w:tcPr>
            <w:tcW w:w="722" w:type="pct"/>
          </w:tcPr>
          <w:p w14:paraId="1E10EE90" w14:textId="682FB6A8" w:rsidR="00DC76B8" w:rsidRPr="009D7C32" w:rsidRDefault="008135B7" w:rsidP="00752FB6">
            <w:pPr>
              <w:pStyle w:val="ARtabletextright"/>
            </w:pPr>
            <w:r>
              <w:t>$</w:t>
            </w:r>
            <w:r w:rsidR="00DC76B8">
              <w:t>227,091</w:t>
            </w:r>
          </w:p>
        </w:tc>
        <w:tc>
          <w:tcPr>
            <w:tcW w:w="766" w:type="pct"/>
          </w:tcPr>
          <w:p w14:paraId="0A9CD71E" w14:textId="45825EE4" w:rsidR="00DC76B8" w:rsidRPr="009D7C32" w:rsidRDefault="008135B7" w:rsidP="00752FB6">
            <w:pPr>
              <w:pStyle w:val="ARtabletextright"/>
            </w:pPr>
            <w:r>
              <w:t>$</w:t>
            </w:r>
            <w:r w:rsidR="00DC76B8">
              <w:t>40,793</w:t>
            </w:r>
          </w:p>
        </w:tc>
        <w:tc>
          <w:tcPr>
            <w:tcW w:w="674" w:type="pct"/>
          </w:tcPr>
          <w:p w14:paraId="3DF55458" w14:textId="73F0B984" w:rsidR="00DC76B8" w:rsidRPr="009D7C32" w:rsidRDefault="008135B7" w:rsidP="00752FB6">
            <w:pPr>
              <w:pStyle w:val="ARtabletextright"/>
            </w:pPr>
            <w:r>
              <w:t>$</w:t>
            </w:r>
            <w:r w:rsidR="00DC76B8">
              <w:t>0</w:t>
            </w:r>
          </w:p>
        </w:tc>
      </w:tr>
      <w:tr w:rsidR="00DC76B8" w:rsidRPr="00A34CB9" w14:paraId="3EB8E913" w14:textId="77777777" w:rsidTr="0022137A">
        <w:tc>
          <w:tcPr>
            <w:tcW w:w="768" w:type="pct"/>
            <w:vMerge/>
          </w:tcPr>
          <w:p w14:paraId="3FC2A515" w14:textId="77777777" w:rsidR="00DC76B8" w:rsidRPr="009D7C32" w:rsidRDefault="00DC76B8" w:rsidP="00752FB6">
            <w:pPr>
              <w:pStyle w:val="ARtabletext"/>
            </w:pPr>
          </w:p>
        </w:tc>
        <w:tc>
          <w:tcPr>
            <w:tcW w:w="907" w:type="pct"/>
          </w:tcPr>
          <w:p w14:paraId="2943E156" w14:textId="77777777" w:rsidR="00DC76B8" w:rsidRPr="009D7C32" w:rsidRDefault="00DC76B8" w:rsidP="00752FB6">
            <w:pPr>
              <w:pStyle w:val="ARtabletext"/>
            </w:pPr>
            <w:r w:rsidRPr="009D7C32">
              <w:t>KPMG</w:t>
            </w:r>
          </w:p>
        </w:tc>
        <w:tc>
          <w:tcPr>
            <w:tcW w:w="1163" w:type="pct"/>
          </w:tcPr>
          <w:p w14:paraId="2C285764" w14:textId="38D0F2BB" w:rsidR="00DC76B8" w:rsidRPr="009D7C32" w:rsidRDefault="00DC76B8" w:rsidP="00752FB6">
            <w:pPr>
              <w:pStyle w:val="ARtabletext"/>
            </w:pPr>
            <w:r>
              <w:t>Advice, S</w:t>
            </w:r>
            <w:r w:rsidR="004B5E89">
              <w:t xml:space="preserve">afer </w:t>
            </w:r>
            <w:r>
              <w:t>C</w:t>
            </w:r>
            <w:r w:rsidR="004B5E89">
              <w:t xml:space="preserve">are </w:t>
            </w:r>
            <w:r>
              <w:t>V</w:t>
            </w:r>
            <w:r w:rsidR="004B5E89">
              <w:t>ictoria</w:t>
            </w:r>
            <w:r>
              <w:t xml:space="preserve"> support and resourcing requirements for the </w:t>
            </w:r>
            <w:r w:rsidR="004B5E89">
              <w:t>c</w:t>
            </w:r>
            <w:r>
              <w:t xml:space="preserve">onsultative </w:t>
            </w:r>
            <w:r w:rsidR="004B5E89">
              <w:t>c</w:t>
            </w:r>
            <w:r>
              <w:t>ouncils</w:t>
            </w:r>
          </w:p>
        </w:tc>
        <w:tc>
          <w:tcPr>
            <w:tcW w:w="722" w:type="pct"/>
          </w:tcPr>
          <w:p w14:paraId="22AD652E" w14:textId="2C918379" w:rsidR="00DC76B8" w:rsidRPr="009D7C32" w:rsidRDefault="008135B7" w:rsidP="00752FB6">
            <w:pPr>
              <w:pStyle w:val="ARtabletextright"/>
            </w:pPr>
            <w:r>
              <w:t>$</w:t>
            </w:r>
            <w:r w:rsidR="00DC76B8">
              <w:t>102,205</w:t>
            </w:r>
          </w:p>
        </w:tc>
        <w:tc>
          <w:tcPr>
            <w:tcW w:w="766" w:type="pct"/>
          </w:tcPr>
          <w:p w14:paraId="710F64FB" w14:textId="7A2B1382" w:rsidR="00DC76B8" w:rsidRPr="009D7C32" w:rsidRDefault="008135B7" w:rsidP="00752FB6">
            <w:pPr>
              <w:pStyle w:val="ARtabletextright"/>
            </w:pPr>
            <w:r>
              <w:t>$</w:t>
            </w:r>
            <w:r w:rsidR="00DC76B8">
              <w:t>102,205</w:t>
            </w:r>
          </w:p>
        </w:tc>
        <w:tc>
          <w:tcPr>
            <w:tcW w:w="674" w:type="pct"/>
          </w:tcPr>
          <w:p w14:paraId="76A1F820" w14:textId="6C38DE1F" w:rsidR="00DC76B8" w:rsidRPr="009D7C32" w:rsidRDefault="008135B7" w:rsidP="00752FB6">
            <w:pPr>
              <w:pStyle w:val="ARtabletextright"/>
            </w:pPr>
            <w:r>
              <w:t>$</w:t>
            </w:r>
            <w:r w:rsidR="00DC76B8">
              <w:t>0</w:t>
            </w:r>
          </w:p>
        </w:tc>
      </w:tr>
      <w:tr w:rsidR="00DC76B8" w:rsidRPr="00A34CB9" w14:paraId="6CC75291" w14:textId="77777777" w:rsidTr="0022137A">
        <w:tc>
          <w:tcPr>
            <w:tcW w:w="768" w:type="pct"/>
            <w:vMerge/>
          </w:tcPr>
          <w:p w14:paraId="56D244B5" w14:textId="77777777" w:rsidR="00DC76B8" w:rsidRPr="009D7C32" w:rsidRDefault="00DC76B8" w:rsidP="00752FB6">
            <w:pPr>
              <w:pStyle w:val="ARtabletext"/>
            </w:pPr>
          </w:p>
        </w:tc>
        <w:tc>
          <w:tcPr>
            <w:tcW w:w="907" w:type="pct"/>
          </w:tcPr>
          <w:p w14:paraId="5BA2C68B" w14:textId="77777777" w:rsidR="00DC76B8" w:rsidRPr="009D7C32" w:rsidRDefault="00DC76B8" w:rsidP="00752FB6">
            <w:pPr>
              <w:pStyle w:val="ARtabletext"/>
            </w:pPr>
            <w:r>
              <w:t>Nous Group Pty Ltd</w:t>
            </w:r>
          </w:p>
        </w:tc>
        <w:tc>
          <w:tcPr>
            <w:tcW w:w="1163" w:type="pct"/>
          </w:tcPr>
          <w:p w14:paraId="0EA7A6D4" w14:textId="77777777" w:rsidR="00DC76B8" w:rsidRPr="009D7C32" w:rsidRDefault="00DC76B8" w:rsidP="00752FB6">
            <w:pPr>
              <w:pStyle w:val="ARtabletext"/>
            </w:pPr>
            <w:r>
              <w:t>Modelling, Primary prevention in local government model</w:t>
            </w:r>
          </w:p>
        </w:tc>
        <w:tc>
          <w:tcPr>
            <w:tcW w:w="722" w:type="pct"/>
          </w:tcPr>
          <w:p w14:paraId="50B7CECF" w14:textId="1C7C483D" w:rsidR="00DC76B8" w:rsidRPr="009D7C32" w:rsidRDefault="008135B7" w:rsidP="00752FB6">
            <w:pPr>
              <w:pStyle w:val="ARtabletextright"/>
            </w:pPr>
            <w:r>
              <w:t>$</w:t>
            </w:r>
            <w:r w:rsidR="00DC76B8">
              <w:t>249,091</w:t>
            </w:r>
          </w:p>
        </w:tc>
        <w:tc>
          <w:tcPr>
            <w:tcW w:w="766" w:type="pct"/>
          </w:tcPr>
          <w:p w14:paraId="3685B317" w14:textId="1A1FE6A7" w:rsidR="00DC76B8" w:rsidRPr="009D7C32" w:rsidRDefault="008135B7" w:rsidP="00752FB6">
            <w:pPr>
              <w:pStyle w:val="ARtabletextright"/>
            </w:pPr>
            <w:r>
              <w:t>$</w:t>
            </w:r>
            <w:r w:rsidR="00DC76B8">
              <w:t>190,246</w:t>
            </w:r>
          </w:p>
        </w:tc>
        <w:tc>
          <w:tcPr>
            <w:tcW w:w="674" w:type="pct"/>
          </w:tcPr>
          <w:p w14:paraId="423455AB" w14:textId="53306EC0" w:rsidR="00DC76B8" w:rsidRPr="009D7C32" w:rsidRDefault="008135B7" w:rsidP="00752FB6">
            <w:pPr>
              <w:pStyle w:val="ARtabletextright"/>
            </w:pPr>
            <w:r>
              <w:t>$</w:t>
            </w:r>
            <w:r w:rsidR="00DC76B8" w:rsidRPr="009D7C32">
              <w:t>0</w:t>
            </w:r>
          </w:p>
        </w:tc>
      </w:tr>
      <w:tr w:rsidR="00DC76B8" w:rsidRPr="00A34CB9" w14:paraId="664D6C02" w14:textId="77777777" w:rsidTr="0022137A">
        <w:tc>
          <w:tcPr>
            <w:tcW w:w="768" w:type="pct"/>
            <w:vMerge/>
          </w:tcPr>
          <w:p w14:paraId="35B76F86" w14:textId="77777777" w:rsidR="00DC76B8" w:rsidRPr="009D7C32" w:rsidRDefault="00DC76B8" w:rsidP="00752FB6">
            <w:pPr>
              <w:pStyle w:val="ARtabletext"/>
            </w:pPr>
          </w:p>
        </w:tc>
        <w:tc>
          <w:tcPr>
            <w:tcW w:w="907" w:type="pct"/>
          </w:tcPr>
          <w:p w14:paraId="593E426B" w14:textId="77777777" w:rsidR="00DC76B8" w:rsidRPr="009D7C32" w:rsidRDefault="00DC76B8" w:rsidP="00752FB6">
            <w:pPr>
              <w:pStyle w:val="ARtabletext"/>
            </w:pPr>
            <w:r>
              <w:t>Open Advisory</w:t>
            </w:r>
          </w:p>
        </w:tc>
        <w:tc>
          <w:tcPr>
            <w:tcW w:w="1163" w:type="pct"/>
          </w:tcPr>
          <w:p w14:paraId="4486DB70" w14:textId="62BBE696" w:rsidR="00DC76B8" w:rsidRPr="009D7C32" w:rsidRDefault="00DC76B8" w:rsidP="00752FB6">
            <w:pPr>
              <w:pStyle w:val="ARtabletext"/>
            </w:pPr>
            <w:r>
              <w:t xml:space="preserve">Advice, </w:t>
            </w:r>
            <w:r w:rsidR="001862B6">
              <w:t xml:space="preserve">Engagement and partnership </w:t>
            </w:r>
            <w:r>
              <w:t>evaluation</w:t>
            </w:r>
          </w:p>
        </w:tc>
        <w:tc>
          <w:tcPr>
            <w:tcW w:w="722" w:type="pct"/>
          </w:tcPr>
          <w:p w14:paraId="049D25FE" w14:textId="4F70A0BE" w:rsidR="00DC76B8" w:rsidRPr="009D7C32" w:rsidRDefault="008135B7" w:rsidP="00752FB6">
            <w:pPr>
              <w:pStyle w:val="ARtabletextright"/>
            </w:pPr>
            <w:r>
              <w:t>$</w:t>
            </w:r>
            <w:r w:rsidR="00DC76B8">
              <w:t>79,000</w:t>
            </w:r>
          </w:p>
        </w:tc>
        <w:tc>
          <w:tcPr>
            <w:tcW w:w="766" w:type="pct"/>
          </w:tcPr>
          <w:p w14:paraId="1BC72DA2" w14:textId="270D73D4" w:rsidR="00DC76B8" w:rsidRPr="009D7C32" w:rsidRDefault="008135B7" w:rsidP="00752FB6">
            <w:pPr>
              <w:pStyle w:val="ARtabletextright"/>
            </w:pPr>
            <w:r>
              <w:t>$</w:t>
            </w:r>
            <w:r w:rsidR="00DC76B8">
              <w:t>78,930</w:t>
            </w:r>
          </w:p>
        </w:tc>
        <w:tc>
          <w:tcPr>
            <w:tcW w:w="674" w:type="pct"/>
          </w:tcPr>
          <w:p w14:paraId="432E67B5" w14:textId="3980C725" w:rsidR="00DC76B8" w:rsidRPr="009D7C32" w:rsidRDefault="008135B7" w:rsidP="00752FB6">
            <w:pPr>
              <w:pStyle w:val="ARtabletextright"/>
            </w:pPr>
            <w:r>
              <w:t>$</w:t>
            </w:r>
            <w:r w:rsidR="00DC76B8">
              <w:t>0</w:t>
            </w:r>
          </w:p>
        </w:tc>
      </w:tr>
      <w:tr w:rsidR="00DC76B8" w:rsidRPr="00A34CB9" w14:paraId="4EB64535" w14:textId="77777777" w:rsidTr="0022137A">
        <w:tc>
          <w:tcPr>
            <w:tcW w:w="768" w:type="pct"/>
            <w:vMerge/>
          </w:tcPr>
          <w:p w14:paraId="43358016" w14:textId="77777777" w:rsidR="00DC76B8" w:rsidRPr="009D7C32" w:rsidRDefault="00DC76B8" w:rsidP="00752FB6">
            <w:pPr>
              <w:pStyle w:val="ARtabletext"/>
            </w:pPr>
          </w:p>
        </w:tc>
        <w:tc>
          <w:tcPr>
            <w:tcW w:w="907" w:type="pct"/>
          </w:tcPr>
          <w:p w14:paraId="767FB364" w14:textId="77777777" w:rsidR="00DC76B8" w:rsidRPr="009D7C32" w:rsidRDefault="00DC76B8" w:rsidP="00752FB6">
            <w:pPr>
              <w:pStyle w:val="ARtabletext"/>
            </w:pPr>
            <w:r>
              <w:t>Solomon Advisory</w:t>
            </w:r>
          </w:p>
        </w:tc>
        <w:tc>
          <w:tcPr>
            <w:tcW w:w="1163" w:type="pct"/>
          </w:tcPr>
          <w:p w14:paraId="1C11F6A5" w14:textId="77777777" w:rsidR="00DC76B8" w:rsidRPr="009D7C32" w:rsidRDefault="00DC76B8" w:rsidP="00752FB6">
            <w:pPr>
              <w:pStyle w:val="ARtabletext"/>
            </w:pPr>
            <w:r>
              <w:t>Modelling, Mental health funding model design and implementation project</w:t>
            </w:r>
          </w:p>
        </w:tc>
        <w:tc>
          <w:tcPr>
            <w:tcW w:w="722" w:type="pct"/>
          </w:tcPr>
          <w:p w14:paraId="782FE065" w14:textId="350A7D95" w:rsidR="00DC76B8" w:rsidRPr="009D7C32" w:rsidRDefault="008135B7" w:rsidP="00752FB6">
            <w:pPr>
              <w:pStyle w:val="ARtabletextright"/>
            </w:pPr>
            <w:r>
              <w:t>$</w:t>
            </w:r>
            <w:r w:rsidR="00DC76B8">
              <w:t>269,500</w:t>
            </w:r>
          </w:p>
        </w:tc>
        <w:tc>
          <w:tcPr>
            <w:tcW w:w="766" w:type="pct"/>
          </w:tcPr>
          <w:p w14:paraId="5FC07555" w14:textId="0B683135" w:rsidR="00DC76B8" w:rsidRPr="009D7C32" w:rsidRDefault="008135B7" w:rsidP="00752FB6">
            <w:pPr>
              <w:pStyle w:val="ARtabletextright"/>
            </w:pPr>
            <w:r>
              <w:t>$</w:t>
            </w:r>
            <w:r w:rsidR="00DC76B8">
              <w:t>70,262</w:t>
            </w:r>
          </w:p>
        </w:tc>
        <w:tc>
          <w:tcPr>
            <w:tcW w:w="674" w:type="pct"/>
          </w:tcPr>
          <w:p w14:paraId="7562146B" w14:textId="48F3399A" w:rsidR="00DC76B8" w:rsidRPr="009D7C32" w:rsidRDefault="008135B7" w:rsidP="00752FB6">
            <w:pPr>
              <w:pStyle w:val="ARtabletextright"/>
            </w:pPr>
            <w:r>
              <w:t>$</w:t>
            </w:r>
            <w:r w:rsidR="00DC76B8">
              <w:t>199,238</w:t>
            </w:r>
          </w:p>
        </w:tc>
      </w:tr>
      <w:tr w:rsidR="00DC76B8" w:rsidRPr="00A34CB9" w14:paraId="51EBD038" w14:textId="77777777" w:rsidTr="0022137A">
        <w:tc>
          <w:tcPr>
            <w:tcW w:w="768" w:type="pct"/>
            <w:vMerge/>
          </w:tcPr>
          <w:p w14:paraId="4189D14E" w14:textId="77777777" w:rsidR="00DC76B8" w:rsidRPr="009D7C32" w:rsidRDefault="00DC76B8" w:rsidP="00752FB6">
            <w:pPr>
              <w:pStyle w:val="ARtabletext"/>
            </w:pPr>
          </w:p>
        </w:tc>
        <w:tc>
          <w:tcPr>
            <w:tcW w:w="907" w:type="pct"/>
          </w:tcPr>
          <w:p w14:paraId="5F2F6903" w14:textId="77777777" w:rsidR="00DC76B8" w:rsidRPr="009D7C32" w:rsidRDefault="00DC76B8" w:rsidP="00752FB6">
            <w:pPr>
              <w:pStyle w:val="ARtabletext"/>
            </w:pPr>
            <w:r>
              <w:t>Taylor Fry</w:t>
            </w:r>
          </w:p>
        </w:tc>
        <w:tc>
          <w:tcPr>
            <w:tcW w:w="1163" w:type="pct"/>
          </w:tcPr>
          <w:p w14:paraId="38DC8376" w14:textId="42FCD3E3" w:rsidR="00DC76B8" w:rsidRPr="009D7C32" w:rsidRDefault="00DC76B8" w:rsidP="00752FB6">
            <w:pPr>
              <w:pStyle w:val="ARtabletext"/>
            </w:pPr>
            <w:r>
              <w:t xml:space="preserve">Strategy, Analytic </w:t>
            </w:r>
            <w:r w:rsidR="004B5E89">
              <w:t>s</w:t>
            </w:r>
            <w:r>
              <w:t>trategy development and operating model</w:t>
            </w:r>
          </w:p>
        </w:tc>
        <w:tc>
          <w:tcPr>
            <w:tcW w:w="722" w:type="pct"/>
          </w:tcPr>
          <w:p w14:paraId="7EAC2ADE" w14:textId="1F38BEDC" w:rsidR="00DC76B8" w:rsidRPr="009D7C32" w:rsidRDefault="008135B7" w:rsidP="00752FB6">
            <w:pPr>
              <w:pStyle w:val="ARtabletextright"/>
            </w:pPr>
            <w:r>
              <w:t>$</w:t>
            </w:r>
            <w:r w:rsidR="00DC76B8">
              <w:t>140,829</w:t>
            </w:r>
          </w:p>
        </w:tc>
        <w:tc>
          <w:tcPr>
            <w:tcW w:w="766" w:type="pct"/>
          </w:tcPr>
          <w:p w14:paraId="2DF58128" w14:textId="3333E118" w:rsidR="00DC76B8" w:rsidRPr="009D7C32" w:rsidRDefault="008135B7" w:rsidP="00752FB6">
            <w:pPr>
              <w:pStyle w:val="ARtabletextright"/>
            </w:pPr>
            <w:r>
              <w:t>$</w:t>
            </w:r>
            <w:r w:rsidR="00DC76B8">
              <w:t>140,829</w:t>
            </w:r>
          </w:p>
        </w:tc>
        <w:tc>
          <w:tcPr>
            <w:tcW w:w="674" w:type="pct"/>
          </w:tcPr>
          <w:p w14:paraId="3E68B4C5" w14:textId="242CFC19" w:rsidR="00DC76B8" w:rsidRPr="009D7C32" w:rsidRDefault="008135B7" w:rsidP="00752FB6">
            <w:pPr>
              <w:pStyle w:val="ARtabletextright"/>
            </w:pPr>
            <w:r>
              <w:t>$</w:t>
            </w:r>
            <w:r w:rsidR="00DC76B8">
              <w:t>0</w:t>
            </w:r>
          </w:p>
        </w:tc>
      </w:tr>
      <w:tr w:rsidR="00EF6835" w:rsidRPr="00A34CB9" w14:paraId="530CCEC9" w14:textId="77777777" w:rsidTr="0022137A">
        <w:tc>
          <w:tcPr>
            <w:tcW w:w="768" w:type="pct"/>
            <w:vMerge w:val="restart"/>
          </w:tcPr>
          <w:p w14:paraId="5E9FC856" w14:textId="77777777" w:rsidR="00EF6835" w:rsidRPr="009D7C32" w:rsidRDefault="00EF6835" w:rsidP="00752FB6">
            <w:pPr>
              <w:pStyle w:val="ARtabletext"/>
            </w:pPr>
            <w:r w:rsidRPr="009D7C32">
              <w:t>Program Assessment &amp; Evaluation</w:t>
            </w:r>
          </w:p>
        </w:tc>
        <w:tc>
          <w:tcPr>
            <w:tcW w:w="907" w:type="pct"/>
          </w:tcPr>
          <w:p w14:paraId="32D57CD6" w14:textId="77777777" w:rsidR="00EF6835" w:rsidRPr="009D7C32" w:rsidRDefault="00EF6835" w:rsidP="00752FB6">
            <w:pPr>
              <w:pStyle w:val="ARtabletext"/>
            </w:pPr>
            <w:r>
              <w:t>ACIL Allen Consulting Pty Ltd</w:t>
            </w:r>
          </w:p>
        </w:tc>
        <w:tc>
          <w:tcPr>
            <w:tcW w:w="1163" w:type="pct"/>
          </w:tcPr>
          <w:p w14:paraId="4322DF4E" w14:textId="1F21FE94" w:rsidR="00EF6835" w:rsidRPr="009D7C32" w:rsidRDefault="00EF6835" w:rsidP="00752FB6">
            <w:pPr>
              <w:pStyle w:val="ARtabletext"/>
            </w:pPr>
            <w:r>
              <w:t xml:space="preserve">Evaluation, Youth </w:t>
            </w:r>
            <w:r w:rsidR="004B5E89">
              <w:t>r</w:t>
            </w:r>
            <w:r>
              <w:t xml:space="preserve">esidential </w:t>
            </w:r>
            <w:r w:rsidR="004B5E89">
              <w:t>r</w:t>
            </w:r>
            <w:r>
              <w:t>ehab</w:t>
            </w:r>
            <w:r w:rsidR="00885B98">
              <w:t>ilitation</w:t>
            </w:r>
            <w:r>
              <w:t xml:space="preserve"> program</w:t>
            </w:r>
          </w:p>
        </w:tc>
        <w:tc>
          <w:tcPr>
            <w:tcW w:w="722" w:type="pct"/>
          </w:tcPr>
          <w:p w14:paraId="2BDD8AB4" w14:textId="4D969DEC" w:rsidR="00EF6835" w:rsidRPr="009D7C32" w:rsidRDefault="008135B7" w:rsidP="00752FB6">
            <w:pPr>
              <w:pStyle w:val="ARtabletextright"/>
            </w:pPr>
            <w:r>
              <w:t>$</w:t>
            </w:r>
            <w:r w:rsidR="00EF6835">
              <w:t>168,032</w:t>
            </w:r>
          </w:p>
        </w:tc>
        <w:tc>
          <w:tcPr>
            <w:tcW w:w="766" w:type="pct"/>
          </w:tcPr>
          <w:p w14:paraId="6D1EED49" w14:textId="40BB63DF" w:rsidR="00EF6835" w:rsidRPr="009D7C32" w:rsidRDefault="008135B7" w:rsidP="00752FB6">
            <w:pPr>
              <w:pStyle w:val="ARtabletextright"/>
            </w:pPr>
            <w:r>
              <w:t>$</w:t>
            </w:r>
            <w:r w:rsidR="00EF6835">
              <w:t>28,400</w:t>
            </w:r>
          </w:p>
        </w:tc>
        <w:tc>
          <w:tcPr>
            <w:tcW w:w="674" w:type="pct"/>
          </w:tcPr>
          <w:p w14:paraId="5681F7D0" w14:textId="358CFA48" w:rsidR="00EF6835" w:rsidRPr="009D7C32" w:rsidRDefault="008135B7" w:rsidP="00752FB6">
            <w:pPr>
              <w:pStyle w:val="ARtabletextright"/>
            </w:pPr>
            <w:r>
              <w:t>$</w:t>
            </w:r>
            <w:r w:rsidR="00EF6835">
              <w:t>139,632</w:t>
            </w:r>
          </w:p>
        </w:tc>
      </w:tr>
      <w:tr w:rsidR="00EF6835" w:rsidRPr="00A34CB9" w14:paraId="17A32FD6" w14:textId="77777777" w:rsidTr="0022137A">
        <w:tc>
          <w:tcPr>
            <w:tcW w:w="768" w:type="pct"/>
            <w:vMerge/>
          </w:tcPr>
          <w:p w14:paraId="2D65E843" w14:textId="77777777" w:rsidR="00EF6835" w:rsidRPr="009D7C32" w:rsidRDefault="00EF6835" w:rsidP="00752FB6">
            <w:pPr>
              <w:pStyle w:val="ARtabletext"/>
            </w:pPr>
          </w:p>
        </w:tc>
        <w:tc>
          <w:tcPr>
            <w:tcW w:w="907" w:type="pct"/>
          </w:tcPr>
          <w:p w14:paraId="398C13C1" w14:textId="77777777" w:rsidR="00EF6835" w:rsidRPr="009D7C32" w:rsidRDefault="00EF6835" w:rsidP="00752FB6">
            <w:pPr>
              <w:pStyle w:val="ARtabletext"/>
            </w:pPr>
            <w:r>
              <w:t>CRF Consulting Ltd</w:t>
            </w:r>
          </w:p>
        </w:tc>
        <w:tc>
          <w:tcPr>
            <w:tcW w:w="1163" w:type="pct"/>
          </w:tcPr>
          <w:p w14:paraId="4DDE9C8B" w14:textId="397BCE52" w:rsidR="00EF6835" w:rsidRPr="009D7C32" w:rsidRDefault="00EF6835" w:rsidP="00752FB6">
            <w:pPr>
              <w:pStyle w:val="ARtabletext"/>
            </w:pPr>
            <w:r>
              <w:t xml:space="preserve">Review, </w:t>
            </w:r>
            <w:r w:rsidRPr="00885B98">
              <w:t>Silvan</w:t>
            </w:r>
            <w:r>
              <w:t xml:space="preserve"> disinfection failure incident</w:t>
            </w:r>
          </w:p>
        </w:tc>
        <w:tc>
          <w:tcPr>
            <w:tcW w:w="722" w:type="pct"/>
          </w:tcPr>
          <w:p w14:paraId="70285AA2" w14:textId="346836EE" w:rsidR="00EF6835" w:rsidRPr="009D7C32" w:rsidRDefault="008135B7" w:rsidP="00752FB6">
            <w:pPr>
              <w:pStyle w:val="ARtabletextright"/>
            </w:pPr>
            <w:r>
              <w:t>$</w:t>
            </w:r>
            <w:r w:rsidR="00EF6835">
              <w:t>245,344</w:t>
            </w:r>
          </w:p>
        </w:tc>
        <w:tc>
          <w:tcPr>
            <w:tcW w:w="766" w:type="pct"/>
          </w:tcPr>
          <w:p w14:paraId="5729E665" w14:textId="4C11249A" w:rsidR="00EF6835" w:rsidRPr="009D7C32" w:rsidRDefault="008135B7" w:rsidP="00752FB6">
            <w:pPr>
              <w:pStyle w:val="ARtabletextright"/>
            </w:pPr>
            <w:r>
              <w:t>$</w:t>
            </w:r>
            <w:r w:rsidR="00EF6835">
              <w:t>175,630</w:t>
            </w:r>
          </w:p>
        </w:tc>
        <w:tc>
          <w:tcPr>
            <w:tcW w:w="674" w:type="pct"/>
          </w:tcPr>
          <w:p w14:paraId="7D78A01B" w14:textId="25E07FAB" w:rsidR="00EF6835" w:rsidRPr="009D7C32" w:rsidRDefault="008135B7" w:rsidP="00752FB6">
            <w:pPr>
              <w:pStyle w:val="ARtabletextright"/>
            </w:pPr>
            <w:r>
              <w:t>$</w:t>
            </w:r>
            <w:r w:rsidR="00EF6835" w:rsidRPr="009D7C32">
              <w:t>0</w:t>
            </w:r>
          </w:p>
        </w:tc>
      </w:tr>
      <w:tr w:rsidR="00EF6835" w:rsidRPr="00A34CB9" w14:paraId="0BB0AA0B" w14:textId="77777777" w:rsidTr="0022137A">
        <w:tc>
          <w:tcPr>
            <w:tcW w:w="768" w:type="pct"/>
            <w:vMerge/>
          </w:tcPr>
          <w:p w14:paraId="6A6EDA50" w14:textId="77777777" w:rsidR="00EF6835" w:rsidRPr="009D7C32" w:rsidRDefault="00EF6835" w:rsidP="00752FB6">
            <w:pPr>
              <w:pStyle w:val="ARtabletext"/>
            </w:pPr>
          </w:p>
        </w:tc>
        <w:tc>
          <w:tcPr>
            <w:tcW w:w="907" w:type="pct"/>
          </w:tcPr>
          <w:p w14:paraId="39BA2A65" w14:textId="77777777" w:rsidR="00EF6835" w:rsidRPr="009D7C32" w:rsidRDefault="00EF6835" w:rsidP="00752FB6">
            <w:pPr>
              <w:pStyle w:val="ARtabletext"/>
            </w:pPr>
            <w:r>
              <w:t>Deloitte Consulting Pty Ltd</w:t>
            </w:r>
          </w:p>
        </w:tc>
        <w:tc>
          <w:tcPr>
            <w:tcW w:w="1163" w:type="pct"/>
          </w:tcPr>
          <w:p w14:paraId="35F93DC8" w14:textId="77777777" w:rsidR="00EF6835" w:rsidRPr="009D7C32" w:rsidRDefault="00EF6835" w:rsidP="00752FB6">
            <w:pPr>
              <w:pStyle w:val="ARtabletext"/>
            </w:pPr>
            <w:r>
              <w:t>Review, Independent financial review of the Postgraduate Medical Council of Victoria</w:t>
            </w:r>
          </w:p>
        </w:tc>
        <w:tc>
          <w:tcPr>
            <w:tcW w:w="722" w:type="pct"/>
          </w:tcPr>
          <w:p w14:paraId="35C3FA5F" w14:textId="55C4DE64" w:rsidR="00EF6835" w:rsidRPr="009D7C32" w:rsidRDefault="008135B7" w:rsidP="00752FB6">
            <w:pPr>
              <w:pStyle w:val="ARtabletextright"/>
            </w:pPr>
            <w:r>
              <w:t>$</w:t>
            </w:r>
            <w:r w:rsidR="00EF6835">
              <w:t>49,467</w:t>
            </w:r>
          </w:p>
        </w:tc>
        <w:tc>
          <w:tcPr>
            <w:tcW w:w="766" w:type="pct"/>
          </w:tcPr>
          <w:p w14:paraId="3A68EAC0" w14:textId="7350F2CC" w:rsidR="00EF6835" w:rsidRPr="009D7C32" w:rsidRDefault="008135B7" w:rsidP="00752FB6">
            <w:pPr>
              <w:pStyle w:val="ARtabletextright"/>
            </w:pPr>
            <w:r>
              <w:t>$</w:t>
            </w:r>
            <w:r w:rsidR="00EF6835">
              <w:t>48,972</w:t>
            </w:r>
          </w:p>
        </w:tc>
        <w:tc>
          <w:tcPr>
            <w:tcW w:w="674" w:type="pct"/>
          </w:tcPr>
          <w:p w14:paraId="6602923A" w14:textId="163EF287" w:rsidR="00EF6835" w:rsidRPr="009D7C32" w:rsidRDefault="008135B7" w:rsidP="00752FB6">
            <w:pPr>
              <w:pStyle w:val="ARtabletextright"/>
            </w:pPr>
            <w:r>
              <w:t>$</w:t>
            </w:r>
            <w:r w:rsidR="00EF6835">
              <w:t>495</w:t>
            </w:r>
          </w:p>
        </w:tc>
      </w:tr>
      <w:tr w:rsidR="00EF6835" w:rsidRPr="00A34CB9" w14:paraId="0098A438" w14:textId="77777777" w:rsidTr="0022137A">
        <w:tc>
          <w:tcPr>
            <w:tcW w:w="768" w:type="pct"/>
            <w:vMerge/>
          </w:tcPr>
          <w:p w14:paraId="13781BD9" w14:textId="77777777" w:rsidR="00EF6835" w:rsidRPr="009D7C32" w:rsidRDefault="00EF6835" w:rsidP="00752FB6">
            <w:pPr>
              <w:pStyle w:val="ARtabletext"/>
            </w:pPr>
          </w:p>
        </w:tc>
        <w:tc>
          <w:tcPr>
            <w:tcW w:w="907" w:type="pct"/>
          </w:tcPr>
          <w:p w14:paraId="01D121FD" w14:textId="77777777" w:rsidR="00EF6835" w:rsidRPr="009D7C32" w:rsidRDefault="00EF6835" w:rsidP="00752FB6">
            <w:pPr>
              <w:pStyle w:val="ARtabletext"/>
            </w:pPr>
            <w:r>
              <w:t>Deloitte Touche Tohmatsu</w:t>
            </w:r>
          </w:p>
        </w:tc>
        <w:tc>
          <w:tcPr>
            <w:tcW w:w="1163" w:type="pct"/>
          </w:tcPr>
          <w:p w14:paraId="4F118555" w14:textId="77777777" w:rsidR="00EF6835" w:rsidRPr="009D7C32" w:rsidRDefault="00EF6835" w:rsidP="00752FB6">
            <w:pPr>
              <w:pStyle w:val="ARtabletext"/>
            </w:pPr>
            <w:r>
              <w:t>Evaluation, Latrobe health innovation zone – evaluation phase 2</w:t>
            </w:r>
          </w:p>
        </w:tc>
        <w:tc>
          <w:tcPr>
            <w:tcW w:w="722" w:type="pct"/>
          </w:tcPr>
          <w:p w14:paraId="6E34DDFA" w14:textId="7DA8F07B" w:rsidR="00EF6835" w:rsidRPr="009D7C32" w:rsidRDefault="008135B7" w:rsidP="00752FB6">
            <w:pPr>
              <w:pStyle w:val="ARtabletextright"/>
            </w:pPr>
            <w:r>
              <w:t>$</w:t>
            </w:r>
            <w:r w:rsidR="00EF6835">
              <w:t>218,172</w:t>
            </w:r>
          </w:p>
        </w:tc>
        <w:tc>
          <w:tcPr>
            <w:tcW w:w="766" w:type="pct"/>
          </w:tcPr>
          <w:p w14:paraId="7D34B754" w14:textId="4E4D1B3E" w:rsidR="00EF6835" w:rsidRPr="009D7C32" w:rsidRDefault="008135B7" w:rsidP="00752FB6">
            <w:pPr>
              <w:pStyle w:val="ARtabletextright"/>
            </w:pPr>
            <w:r>
              <w:t>$</w:t>
            </w:r>
            <w:r w:rsidR="00EF6835">
              <w:t>21,817</w:t>
            </w:r>
          </w:p>
        </w:tc>
        <w:tc>
          <w:tcPr>
            <w:tcW w:w="674" w:type="pct"/>
          </w:tcPr>
          <w:p w14:paraId="6A6A06ED" w14:textId="1F6F5378" w:rsidR="00EF6835" w:rsidRPr="009D7C32" w:rsidRDefault="008135B7" w:rsidP="00752FB6">
            <w:pPr>
              <w:pStyle w:val="ARtabletextright"/>
            </w:pPr>
            <w:r>
              <w:t>$</w:t>
            </w:r>
            <w:r w:rsidR="00EF6835">
              <w:t>196,355</w:t>
            </w:r>
          </w:p>
        </w:tc>
      </w:tr>
      <w:tr w:rsidR="00EF6835" w:rsidRPr="00A34CB9" w14:paraId="64DBF95F" w14:textId="77777777" w:rsidTr="0022137A">
        <w:tc>
          <w:tcPr>
            <w:tcW w:w="768" w:type="pct"/>
            <w:vMerge/>
          </w:tcPr>
          <w:p w14:paraId="7AE09DF4" w14:textId="77777777" w:rsidR="00EF6835" w:rsidRPr="009D7C32" w:rsidRDefault="00EF6835" w:rsidP="00752FB6">
            <w:pPr>
              <w:pStyle w:val="ARtabletext"/>
            </w:pPr>
          </w:p>
        </w:tc>
        <w:tc>
          <w:tcPr>
            <w:tcW w:w="907" w:type="pct"/>
          </w:tcPr>
          <w:p w14:paraId="1618A0E4" w14:textId="77777777" w:rsidR="00EF6835" w:rsidRPr="009D7C32" w:rsidRDefault="00EF6835" w:rsidP="00752FB6">
            <w:pPr>
              <w:pStyle w:val="ARtabletext"/>
            </w:pPr>
            <w:r>
              <w:t>Equal Access</w:t>
            </w:r>
          </w:p>
        </w:tc>
        <w:tc>
          <w:tcPr>
            <w:tcW w:w="1163" w:type="pct"/>
          </w:tcPr>
          <w:p w14:paraId="49E10499" w14:textId="337A94D3" w:rsidR="00EF6835" w:rsidRPr="009D7C32" w:rsidRDefault="00EF6835" w:rsidP="00752FB6">
            <w:pPr>
              <w:pStyle w:val="ARtabletext"/>
            </w:pPr>
            <w:r>
              <w:t xml:space="preserve">Assessment, COVID-19 </w:t>
            </w:r>
            <w:r w:rsidR="006B43EF">
              <w:t>d</w:t>
            </w:r>
            <w:r>
              <w:t xml:space="preserve">isability </w:t>
            </w:r>
            <w:r w:rsidR="004401F2">
              <w:t>e</w:t>
            </w:r>
            <w:r>
              <w:t xml:space="preserve">nhanced </w:t>
            </w:r>
            <w:r w:rsidR="004401F2">
              <w:t>a</w:t>
            </w:r>
            <w:r>
              <w:t>ssessment</w:t>
            </w:r>
          </w:p>
        </w:tc>
        <w:tc>
          <w:tcPr>
            <w:tcW w:w="722" w:type="pct"/>
          </w:tcPr>
          <w:p w14:paraId="587A3D25" w14:textId="4E1C12E7" w:rsidR="00EF6835" w:rsidRPr="009D7C32" w:rsidRDefault="008135B7" w:rsidP="00752FB6">
            <w:pPr>
              <w:pStyle w:val="ARtabletextright"/>
            </w:pPr>
            <w:r>
              <w:t>$</w:t>
            </w:r>
            <w:r w:rsidR="00EF6835">
              <w:t>29,423</w:t>
            </w:r>
          </w:p>
        </w:tc>
        <w:tc>
          <w:tcPr>
            <w:tcW w:w="766" w:type="pct"/>
          </w:tcPr>
          <w:p w14:paraId="64888CEE" w14:textId="77CEA851" w:rsidR="00EF6835" w:rsidRPr="009D7C32" w:rsidRDefault="008135B7" w:rsidP="00752FB6">
            <w:pPr>
              <w:pStyle w:val="ARtabletextright"/>
            </w:pPr>
            <w:r>
              <w:t>$</w:t>
            </w:r>
            <w:r w:rsidR="00EF6835">
              <w:t>29,423</w:t>
            </w:r>
          </w:p>
        </w:tc>
        <w:tc>
          <w:tcPr>
            <w:tcW w:w="674" w:type="pct"/>
          </w:tcPr>
          <w:p w14:paraId="65937427" w14:textId="0BD6A210" w:rsidR="00EF6835" w:rsidRPr="009D7C32" w:rsidRDefault="008135B7" w:rsidP="00752FB6">
            <w:pPr>
              <w:pStyle w:val="ARtabletextright"/>
            </w:pPr>
            <w:r>
              <w:t>$</w:t>
            </w:r>
            <w:r w:rsidR="00EF6835">
              <w:t>0</w:t>
            </w:r>
          </w:p>
        </w:tc>
      </w:tr>
      <w:tr w:rsidR="00EF6835" w:rsidRPr="00A34CB9" w14:paraId="2EEA2D47" w14:textId="77777777" w:rsidTr="0022137A">
        <w:tc>
          <w:tcPr>
            <w:tcW w:w="768" w:type="pct"/>
            <w:vMerge/>
          </w:tcPr>
          <w:p w14:paraId="65FA9F5B" w14:textId="77777777" w:rsidR="00EF6835" w:rsidRPr="009D7C32" w:rsidRDefault="00EF6835" w:rsidP="00752FB6">
            <w:pPr>
              <w:pStyle w:val="ARtabletext"/>
            </w:pPr>
          </w:p>
        </w:tc>
        <w:tc>
          <w:tcPr>
            <w:tcW w:w="907" w:type="pct"/>
            <w:vMerge w:val="restart"/>
          </w:tcPr>
          <w:p w14:paraId="5AC04AD6" w14:textId="77777777" w:rsidR="00EF6835" w:rsidRPr="009D7C32" w:rsidRDefault="00EF6835" w:rsidP="00752FB6">
            <w:pPr>
              <w:pStyle w:val="ARtabletext"/>
            </w:pPr>
            <w:r>
              <w:t>Healthconsult</w:t>
            </w:r>
          </w:p>
        </w:tc>
        <w:tc>
          <w:tcPr>
            <w:tcW w:w="1163" w:type="pct"/>
          </w:tcPr>
          <w:p w14:paraId="1E03D959" w14:textId="77777777" w:rsidR="00EF6835" w:rsidRPr="009D7C32" w:rsidRDefault="00EF6835" w:rsidP="00752FB6">
            <w:pPr>
              <w:pStyle w:val="ARtabletext"/>
            </w:pPr>
            <w:r>
              <w:t>Review, Locum bank review</w:t>
            </w:r>
          </w:p>
        </w:tc>
        <w:tc>
          <w:tcPr>
            <w:tcW w:w="722" w:type="pct"/>
          </w:tcPr>
          <w:p w14:paraId="14B5EA80" w14:textId="5DA53CF9" w:rsidR="00EF6835" w:rsidRPr="009D7C32" w:rsidRDefault="008135B7" w:rsidP="00752FB6">
            <w:pPr>
              <w:pStyle w:val="ARtabletextright"/>
            </w:pPr>
            <w:r>
              <w:t>$</w:t>
            </w:r>
            <w:r w:rsidR="00EF6835">
              <w:t>111,912</w:t>
            </w:r>
          </w:p>
        </w:tc>
        <w:tc>
          <w:tcPr>
            <w:tcW w:w="766" w:type="pct"/>
          </w:tcPr>
          <w:p w14:paraId="21F1E8B3" w14:textId="3568CC12" w:rsidR="00EF6835" w:rsidRPr="009D7C32" w:rsidRDefault="008135B7" w:rsidP="00752FB6">
            <w:pPr>
              <w:pStyle w:val="ARtabletextright"/>
            </w:pPr>
            <w:r>
              <w:t>$</w:t>
            </w:r>
            <w:r w:rsidR="00EF6835">
              <w:t>65,347</w:t>
            </w:r>
          </w:p>
        </w:tc>
        <w:tc>
          <w:tcPr>
            <w:tcW w:w="674" w:type="pct"/>
          </w:tcPr>
          <w:p w14:paraId="5878D758" w14:textId="60F7528D" w:rsidR="00EF6835" w:rsidRPr="009D7C32" w:rsidRDefault="008135B7" w:rsidP="00752FB6">
            <w:pPr>
              <w:pStyle w:val="ARtabletextright"/>
            </w:pPr>
            <w:r>
              <w:t>$</w:t>
            </w:r>
            <w:r w:rsidR="00EF6835">
              <w:t>46,565</w:t>
            </w:r>
          </w:p>
        </w:tc>
      </w:tr>
      <w:tr w:rsidR="00EF6835" w:rsidRPr="00A34CB9" w14:paraId="24EF4792" w14:textId="77777777" w:rsidTr="0022137A">
        <w:tc>
          <w:tcPr>
            <w:tcW w:w="768" w:type="pct"/>
            <w:vMerge/>
          </w:tcPr>
          <w:p w14:paraId="68D7BC41" w14:textId="77777777" w:rsidR="00EF6835" w:rsidRPr="009D7C32" w:rsidRDefault="00EF6835" w:rsidP="00752FB6">
            <w:pPr>
              <w:pStyle w:val="ARtabletext"/>
            </w:pPr>
          </w:p>
        </w:tc>
        <w:tc>
          <w:tcPr>
            <w:tcW w:w="907" w:type="pct"/>
            <w:vMerge/>
          </w:tcPr>
          <w:p w14:paraId="375E040C" w14:textId="77777777" w:rsidR="00EF6835" w:rsidRPr="009D7C32" w:rsidRDefault="00EF6835" w:rsidP="00752FB6">
            <w:pPr>
              <w:pStyle w:val="ARtabletext"/>
            </w:pPr>
          </w:p>
        </w:tc>
        <w:tc>
          <w:tcPr>
            <w:tcW w:w="1163" w:type="pct"/>
          </w:tcPr>
          <w:p w14:paraId="2CCE128F" w14:textId="77777777" w:rsidR="00EF6835" w:rsidRPr="009D7C32" w:rsidRDefault="00EF6835" w:rsidP="00752FB6">
            <w:pPr>
              <w:pStyle w:val="ARtabletext"/>
            </w:pPr>
            <w:r>
              <w:t>Scoping review, Regional morbidity and mortality committees</w:t>
            </w:r>
          </w:p>
        </w:tc>
        <w:tc>
          <w:tcPr>
            <w:tcW w:w="722" w:type="pct"/>
          </w:tcPr>
          <w:p w14:paraId="78AAB563" w14:textId="3185EFD8" w:rsidR="00EF6835" w:rsidRPr="009D7C32" w:rsidRDefault="008135B7" w:rsidP="00752FB6">
            <w:pPr>
              <w:pStyle w:val="ARtabletextright"/>
            </w:pPr>
            <w:r>
              <w:t>$</w:t>
            </w:r>
            <w:r w:rsidR="00EF6835">
              <w:t>150,909</w:t>
            </w:r>
          </w:p>
        </w:tc>
        <w:tc>
          <w:tcPr>
            <w:tcW w:w="766" w:type="pct"/>
          </w:tcPr>
          <w:p w14:paraId="47FD9512" w14:textId="18171302" w:rsidR="00EF6835" w:rsidRPr="009D7C32" w:rsidRDefault="008135B7" w:rsidP="00752FB6">
            <w:pPr>
              <w:pStyle w:val="ARtabletextright"/>
            </w:pPr>
            <w:r>
              <w:t>$</w:t>
            </w:r>
            <w:r w:rsidR="00EF6835">
              <w:t>120,469</w:t>
            </w:r>
          </w:p>
        </w:tc>
        <w:tc>
          <w:tcPr>
            <w:tcW w:w="674" w:type="pct"/>
          </w:tcPr>
          <w:p w14:paraId="664CA1FD" w14:textId="7FDB9CD3" w:rsidR="00EF6835" w:rsidRPr="009D7C32" w:rsidRDefault="008135B7" w:rsidP="00752FB6">
            <w:pPr>
              <w:pStyle w:val="ARtabletextright"/>
            </w:pPr>
            <w:r>
              <w:t>$</w:t>
            </w:r>
            <w:r w:rsidR="00EF6835">
              <w:t>30,440</w:t>
            </w:r>
          </w:p>
        </w:tc>
      </w:tr>
      <w:tr w:rsidR="00EF6835" w:rsidRPr="00A34CB9" w14:paraId="051E352A" w14:textId="77777777" w:rsidTr="0022137A">
        <w:tc>
          <w:tcPr>
            <w:tcW w:w="768" w:type="pct"/>
            <w:vMerge/>
          </w:tcPr>
          <w:p w14:paraId="0A996BA8" w14:textId="77777777" w:rsidR="00EF6835" w:rsidRPr="009D7C32" w:rsidRDefault="00EF6835" w:rsidP="00752FB6">
            <w:pPr>
              <w:pStyle w:val="ARtabletext"/>
            </w:pPr>
          </w:p>
        </w:tc>
        <w:tc>
          <w:tcPr>
            <w:tcW w:w="907" w:type="pct"/>
            <w:vMerge w:val="restart"/>
          </w:tcPr>
          <w:p w14:paraId="3AC3C7AD" w14:textId="77777777" w:rsidR="00EF6835" w:rsidRPr="009D7C32" w:rsidRDefault="00EF6835" w:rsidP="00752FB6">
            <w:pPr>
              <w:pStyle w:val="ARtabletext"/>
            </w:pPr>
            <w:r>
              <w:t>Price Waterhouse Coopers</w:t>
            </w:r>
          </w:p>
        </w:tc>
        <w:tc>
          <w:tcPr>
            <w:tcW w:w="1163" w:type="pct"/>
          </w:tcPr>
          <w:p w14:paraId="03D001CE" w14:textId="5B0E5FAA" w:rsidR="00EF6835" w:rsidRPr="009D7C32" w:rsidRDefault="00EF6835" w:rsidP="00752FB6">
            <w:pPr>
              <w:pStyle w:val="ARtabletext"/>
            </w:pPr>
            <w:r>
              <w:t>Analysis, Victorian metro</w:t>
            </w:r>
            <w:r w:rsidR="004401F2">
              <w:t>politan</w:t>
            </w:r>
            <w:r>
              <w:t xml:space="preserve"> health service emergency department performance</w:t>
            </w:r>
          </w:p>
        </w:tc>
        <w:tc>
          <w:tcPr>
            <w:tcW w:w="722" w:type="pct"/>
          </w:tcPr>
          <w:p w14:paraId="5DE1FA06" w14:textId="3874D265" w:rsidR="00EF6835" w:rsidRPr="009D7C32" w:rsidRDefault="008135B7" w:rsidP="00752FB6">
            <w:pPr>
              <w:pStyle w:val="ARtabletextright"/>
            </w:pPr>
            <w:r>
              <w:t>$</w:t>
            </w:r>
            <w:r w:rsidR="00EF6835">
              <w:t>223,880</w:t>
            </w:r>
          </w:p>
        </w:tc>
        <w:tc>
          <w:tcPr>
            <w:tcW w:w="766" w:type="pct"/>
          </w:tcPr>
          <w:p w14:paraId="4141AF3E" w14:textId="05D098CD" w:rsidR="00EF6835" w:rsidRPr="009D7C32" w:rsidRDefault="008135B7" w:rsidP="00752FB6">
            <w:pPr>
              <w:pStyle w:val="ARtabletextright"/>
            </w:pPr>
            <w:r>
              <w:t>$</w:t>
            </w:r>
            <w:r w:rsidR="00EF6835">
              <w:t>112,709</w:t>
            </w:r>
          </w:p>
        </w:tc>
        <w:tc>
          <w:tcPr>
            <w:tcW w:w="674" w:type="pct"/>
          </w:tcPr>
          <w:p w14:paraId="0FECA90E" w14:textId="312D4D03" w:rsidR="00EF6835" w:rsidRPr="009D7C32" w:rsidRDefault="008135B7" w:rsidP="00752FB6">
            <w:pPr>
              <w:pStyle w:val="ARtabletextright"/>
            </w:pPr>
            <w:r>
              <w:t>$</w:t>
            </w:r>
            <w:r w:rsidR="00EF6835">
              <w:t>0</w:t>
            </w:r>
          </w:p>
        </w:tc>
      </w:tr>
      <w:tr w:rsidR="00EF6835" w:rsidRPr="00A34CB9" w14:paraId="0846F1E6" w14:textId="77777777" w:rsidTr="0022137A">
        <w:tc>
          <w:tcPr>
            <w:tcW w:w="768" w:type="pct"/>
            <w:vMerge/>
          </w:tcPr>
          <w:p w14:paraId="72EA2CC6" w14:textId="77777777" w:rsidR="00EF6835" w:rsidRPr="009D7C32" w:rsidRDefault="00EF6835" w:rsidP="00752FB6">
            <w:pPr>
              <w:pStyle w:val="ARtabletext"/>
            </w:pPr>
          </w:p>
        </w:tc>
        <w:tc>
          <w:tcPr>
            <w:tcW w:w="907" w:type="pct"/>
            <w:vMerge/>
          </w:tcPr>
          <w:p w14:paraId="1CC4A1B1" w14:textId="77777777" w:rsidR="00EF6835" w:rsidRPr="009D7C32" w:rsidRDefault="00EF6835" w:rsidP="00752FB6">
            <w:pPr>
              <w:pStyle w:val="ARtabletext"/>
            </w:pPr>
          </w:p>
        </w:tc>
        <w:tc>
          <w:tcPr>
            <w:tcW w:w="1163" w:type="pct"/>
          </w:tcPr>
          <w:p w14:paraId="3E7BBD39" w14:textId="77777777" w:rsidR="00EF6835" w:rsidRPr="009D7C32" w:rsidRDefault="00EF6835" w:rsidP="00752FB6">
            <w:pPr>
              <w:pStyle w:val="ARtabletext"/>
            </w:pPr>
            <w:r>
              <w:t>Assessment, Due diligence assessment for north and west metropolitan Melbourne system reform project</w:t>
            </w:r>
          </w:p>
        </w:tc>
        <w:tc>
          <w:tcPr>
            <w:tcW w:w="722" w:type="pct"/>
          </w:tcPr>
          <w:p w14:paraId="2C16F6D8" w14:textId="5B695127" w:rsidR="00EF6835" w:rsidRPr="009D7C32" w:rsidRDefault="008135B7" w:rsidP="00752FB6">
            <w:pPr>
              <w:pStyle w:val="ARtabletextright"/>
            </w:pPr>
            <w:r>
              <w:t>$</w:t>
            </w:r>
            <w:r w:rsidR="00EF6835">
              <w:t>230,000</w:t>
            </w:r>
          </w:p>
        </w:tc>
        <w:tc>
          <w:tcPr>
            <w:tcW w:w="766" w:type="pct"/>
          </w:tcPr>
          <w:p w14:paraId="08088CB8" w14:textId="5D8B08F4" w:rsidR="00EF6835" w:rsidRPr="009D7C32" w:rsidRDefault="008135B7" w:rsidP="00752FB6">
            <w:pPr>
              <w:pStyle w:val="ARtabletextright"/>
            </w:pPr>
            <w:r>
              <w:t>$</w:t>
            </w:r>
            <w:r w:rsidR="00EF6835">
              <w:t>223,812</w:t>
            </w:r>
          </w:p>
        </w:tc>
        <w:tc>
          <w:tcPr>
            <w:tcW w:w="674" w:type="pct"/>
          </w:tcPr>
          <w:p w14:paraId="4B0B36ED" w14:textId="1C426C2D" w:rsidR="00EF6835" w:rsidRPr="009D7C32" w:rsidRDefault="008135B7" w:rsidP="00752FB6">
            <w:pPr>
              <w:pStyle w:val="ARtabletextright"/>
            </w:pPr>
            <w:r>
              <w:t>$</w:t>
            </w:r>
            <w:r w:rsidR="00EF6835">
              <w:t>0</w:t>
            </w:r>
          </w:p>
        </w:tc>
      </w:tr>
      <w:tr w:rsidR="00EF6835" w:rsidRPr="00A34CB9" w14:paraId="0D4D647A" w14:textId="77777777" w:rsidTr="0022137A">
        <w:tc>
          <w:tcPr>
            <w:tcW w:w="768" w:type="pct"/>
            <w:vMerge/>
          </w:tcPr>
          <w:p w14:paraId="24BAC931" w14:textId="77777777" w:rsidR="00EF6835" w:rsidRPr="009D7C32" w:rsidRDefault="00EF6835" w:rsidP="00752FB6">
            <w:pPr>
              <w:pStyle w:val="ARtabletext"/>
            </w:pPr>
          </w:p>
        </w:tc>
        <w:tc>
          <w:tcPr>
            <w:tcW w:w="907" w:type="pct"/>
          </w:tcPr>
          <w:p w14:paraId="2CC51EF7" w14:textId="77777777" w:rsidR="00EF6835" w:rsidRPr="009D7C32" w:rsidRDefault="00EF6835" w:rsidP="00752FB6">
            <w:pPr>
              <w:pStyle w:val="ARtabletext"/>
            </w:pPr>
            <w:r w:rsidRPr="009D7C32">
              <w:t>Sax Institute</w:t>
            </w:r>
          </w:p>
        </w:tc>
        <w:tc>
          <w:tcPr>
            <w:tcW w:w="1163" w:type="pct"/>
          </w:tcPr>
          <w:p w14:paraId="2141AC1E" w14:textId="77777777" w:rsidR="00EF6835" w:rsidRPr="009D7C32" w:rsidRDefault="00EF6835" w:rsidP="00752FB6">
            <w:pPr>
              <w:pStyle w:val="ARtabletext"/>
            </w:pPr>
            <w:r w:rsidRPr="009D7C32">
              <w:t>Evaluat</w:t>
            </w:r>
            <w:r>
              <w:t>ion</w:t>
            </w:r>
            <w:r w:rsidRPr="009D7C32">
              <w:t xml:space="preserve">, </w:t>
            </w:r>
            <w:r>
              <w:t>P</w:t>
            </w:r>
            <w:r w:rsidRPr="009D7C32">
              <w:t>lace-based suicide prevention trials</w:t>
            </w:r>
          </w:p>
        </w:tc>
        <w:tc>
          <w:tcPr>
            <w:tcW w:w="722" w:type="pct"/>
          </w:tcPr>
          <w:p w14:paraId="6F74D230" w14:textId="0EC057AF" w:rsidR="00EF6835" w:rsidRPr="009D7C32" w:rsidRDefault="008135B7" w:rsidP="00752FB6">
            <w:pPr>
              <w:pStyle w:val="ARtabletextright"/>
            </w:pPr>
            <w:r>
              <w:t>$</w:t>
            </w:r>
            <w:r w:rsidR="00EF6835" w:rsidRPr="009D7C32">
              <w:t>898,841</w:t>
            </w:r>
          </w:p>
        </w:tc>
        <w:tc>
          <w:tcPr>
            <w:tcW w:w="766" w:type="pct"/>
          </w:tcPr>
          <w:p w14:paraId="6FB06CBA" w14:textId="55748E8B" w:rsidR="00EF6835" w:rsidRPr="009D7C32" w:rsidRDefault="008135B7" w:rsidP="00752FB6">
            <w:pPr>
              <w:pStyle w:val="ARtabletextright"/>
            </w:pPr>
            <w:r>
              <w:t>$</w:t>
            </w:r>
            <w:r w:rsidR="00EF6835">
              <w:t>150,065</w:t>
            </w:r>
          </w:p>
        </w:tc>
        <w:tc>
          <w:tcPr>
            <w:tcW w:w="674" w:type="pct"/>
          </w:tcPr>
          <w:p w14:paraId="5E480DFC" w14:textId="6A1C2F44" w:rsidR="00EF6835" w:rsidRPr="009D7C32" w:rsidRDefault="008135B7" w:rsidP="00752FB6">
            <w:pPr>
              <w:pStyle w:val="ARtabletextright"/>
            </w:pPr>
            <w:r>
              <w:t>$</w:t>
            </w:r>
            <w:r w:rsidR="00EF6835">
              <w:t>0</w:t>
            </w:r>
          </w:p>
        </w:tc>
      </w:tr>
      <w:tr w:rsidR="00EF6835" w:rsidRPr="00A34CB9" w14:paraId="0194A598" w14:textId="77777777" w:rsidTr="0022137A">
        <w:tc>
          <w:tcPr>
            <w:tcW w:w="768" w:type="pct"/>
            <w:vMerge/>
          </w:tcPr>
          <w:p w14:paraId="6D144D52" w14:textId="77777777" w:rsidR="00EF6835" w:rsidRPr="009D7C32" w:rsidRDefault="00EF6835" w:rsidP="00752FB6">
            <w:pPr>
              <w:pStyle w:val="ARtabletext"/>
            </w:pPr>
          </w:p>
        </w:tc>
        <w:tc>
          <w:tcPr>
            <w:tcW w:w="907" w:type="pct"/>
          </w:tcPr>
          <w:p w14:paraId="3EE73B0D" w14:textId="77777777" w:rsidR="00EF6835" w:rsidRPr="009D7C32" w:rsidRDefault="00EF6835" w:rsidP="00752FB6">
            <w:pPr>
              <w:pStyle w:val="ARtabletext"/>
            </w:pPr>
            <w:r>
              <w:t>Taylor Fry</w:t>
            </w:r>
          </w:p>
        </w:tc>
        <w:tc>
          <w:tcPr>
            <w:tcW w:w="1163" w:type="pct"/>
          </w:tcPr>
          <w:p w14:paraId="47D129BB" w14:textId="77777777" w:rsidR="00EF6835" w:rsidRPr="009D7C32" w:rsidRDefault="00EF6835" w:rsidP="00752FB6">
            <w:pPr>
              <w:pStyle w:val="ARtabletext"/>
            </w:pPr>
            <w:r>
              <w:t>Review, Strategic analytics review and development of an analytics strategy for the Department of Health</w:t>
            </w:r>
          </w:p>
        </w:tc>
        <w:tc>
          <w:tcPr>
            <w:tcW w:w="722" w:type="pct"/>
          </w:tcPr>
          <w:p w14:paraId="3E3AB3C4" w14:textId="39114810" w:rsidR="00EF6835" w:rsidRPr="009D7C32" w:rsidRDefault="008135B7" w:rsidP="00752FB6">
            <w:pPr>
              <w:pStyle w:val="ARtabletextright"/>
            </w:pPr>
            <w:r>
              <w:t>$</w:t>
            </w:r>
            <w:r w:rsidR="00EF6835">
              <w:t>68,220</w:t>
            </w:r>
          </w:p>
        </w:tc>
        <w:tc>
          <w:tcPr>
            <w:tcW w:w="766" w:type="pct"/>
          </w:tcPr>
          <w:p w14:paraId="6D0F2EF5" w14:textId="035FD684" w:rsidR="00EF6835" w:rsidRPr="009D7C32" w:rsidRDefault="008135B7" w:rsidP="00752FB6">
            <w:pPr>
              <w:pStyle w:val="ARtabletextright"/>
            </w:pPr>
            <w:r>
              <w:t>$</w:t>
            </w:r>
            <w:r w:rsidR="00EF6835">
              <w:t>68,220</w:t>
            </w:r>
          </w:p>
        </w:tc>
        <w:tc>
          <w:tcPr>
            <w:tcW w:w="674" w:type="pct"/>
          </w:tcPr>
          <w:p w14:paraId="7A895527" w14:textId="36DA0FE7" w:rsidR="00EF6835" w:rsidRPr="009D7C32" w:rsidRDefault="008135B7" w:rsidP="00752FB6">
            <w:pPr>
              <w:pStyle w:val="ARtabletextright"/>
            </w:pPr>
            <w:r>
              <w:t>$</w:t>
            </w:r>
            <w:r w:rsidR="00EF6835">
              <w:t>0</w:t>
            </w:r>
          </w:p>
        </w:tc>
      </w:tr>
      <w:tr w:rsidR="00EF6835" w:rsidRPr="00A34CB9" w14:paraId="4FE2D72F" w14:textId="77777777" w:rsidTr="0022137A">
        <w:tc>
          <w:tcPr>
            <w:tcW w:w="768" w:type="pct"/>
            <w:vMerge w:val="restart"/>
          </w:tcPr>
          <w:p w14:paraId="3EA16567" w14:textId="77777777" w:rsidR="00EF6835" w:rsidRPr="009D7C32" w:rsidRDefault="00EF6835" w:rsidP="00752FB6">
            <w:pPr>
              <w:pStyle w:val="ARtabletext"/>
            </w:pPr>
            <w:bookmarkStart w:id="356" w:name="_Ref21956847"/>
            <w:bookmarkStart w:id="357" w:name="_Toc54690789"/>
            <w:bookmarkEnd w:id="347"/>
            <w:r>
              <w:t>Workforce Support</w:t>
            </w:r>
          </w:p>
        </w:tc>
        <w:tc>
          <w:tcPr>
            <w:tcW w:w="907" w:type="pct"/>
          </w:tcPr>
          <w:p w14:paraId="50BBE833" w14:textId="77777777" w:rsidR="00EF6835" w:rsidRPr="009D7C32" w:rsidRDefault="00EF6835" w:rsidP="00752FB6">
            <w:pPr>
              <w:pStyle w:val="ARtabletext"/>
            </w:pPr>
            <w:r>
              <w:t>Allen and Clarke Consulting Pty Ltd</w:t>
            </w:r>
          </w:p>
        </w:tc>
        <w:tc>
          <w:tcPr>
            <w:tcW w:w="1163" w:type="pct"/>
          </w:tcPr>
          <w:p w14:paraId="53C7D247" w14:textId="27C20C98" w:rsidR="00EF6835" w:rsidRPr="009D7C32" w:rsidRDefault="00EF6835" w:rsidP="00752FB6">
            <w:pPr>
              <w:pStyle w:val="ARtabletext"/>
            </w:pPr>
            <w:r>
              <w:t>Strategy, Primary prevention strategic workforce approach</w:t>
            </w:r>
          </w:p>
        </w:tc>
        <w:tc>
          <w:tcPr>
            <w:tcW w:w="722" w:type="pct"/>
          </w:tcPr>
          <w:p w14:paraId="33DAE142" w14:textId="3EFE6E13" w:rsidR="00EF6835" w:rsidRPr="009D7C32" w:rsidRDefault="008135B7" w:rsidP="00752FB6">
            <w:pPr>
              <w:pStyle w:val="ARtabletextright"/>
            </w:pPr>
            <w:r>
              <w:t>$</w:t>
            </w:r>
            <w:r w:rsidR="00EF6835">
              <w:t>173,302</w:t>
            </w:r>
          </w:p>
        </w:tc>
        <w:tc>
          <w:tcPr>
            <w:tcW w:w="766" w:type="pct"/>
          </w:tcPr>
          <w:p w14:paraId="6F00774B" w14:textId="0ED4F89E" w:rsidR="00EF6835" w:rsidRPr="009D7C32" w:rsidRDefault="008135B7" w:rsidP="00752FB6">
            <w:pPr>
              <w:pStyle w:val="ARtabletextright"/>
            </w:pPr>
            <w:r>
              <w:t>$</w:t>
            </w:r>
            <w:r w:rsidR="00EF6835">
              <w:t>170,575</w:t>
            </w:r>
          </w:p>
        </w:tc>
        <w:tc>
          <w:tcPr>
            <w:tcW w:w="674" w:type="pct"/>
          </w:tcPr>
          <w:p w14:paraId="7FED5BAC" w14:textId="321A7434" w:rsidR="00EF6835" w:rsidRPr="009D7C32" w:rsidRDefault="008135B7" w:rsidP="00752FB6">
            <w:pPr>
              <w:pStyle w:val="ARtabletextright"/>
            </w:pPr>
            <w:r>
              <w:t>$</w:t>
            </w:r>
            <w:r w:rsidR="00EF6835">
              <w:t>0</w:t>
            </w:r>
          </w:p>
        </w:tc>
      </w:tr>
      <w:tr w:rsidR="00EF6835" w:rsidRPr="00A34CB9" w14:paraId="063C43E6" w14:textId="77777777" w:rsidTr="0022137A">
        <w:tc>
          <w:tcPr>
            <w:tcW w:w="768" w:type="pct"/>
            <w:vMerge/>
          </w:tcPr>
          <w:p w14:paraId="4C661019" w14:textId="77777777" w:rsidR="00EF6835" w:rsidRPr="009D7C32" w:rsidRDefault="00EF6835" w:rsidP="00752FB6">
            <w:pPr>
              <w:pStyle w:val="ARtabletext"/>
            </w:pPr>
          </w:p>
        </w:tc>
        <w:tc>
          <w:tcPr>
            <w:tcW w:w="907" w:type="pct"/>
          </w:tcPr>
          <w:p w14:paraId="028469C0" w14:textId="77777777" w:rsidR="00EF6835" w:rsidRPr="009D7C32" w:rsidRDefault="00EF6835" w:rsidP="00752FB6">
            <w:pPr>
              <w:pStyle w:val="ARtabletext"/>
            </w:pPr>
            <w:r>
              <w:t>Christian Rossow – Consulting</w:t>
            </w:r>
          </w:p>
        </w:tc>
        <w:tc>
          <w:tcPr>
            <w:tcW w:w="1163" w:type="pct"/>
          </w:tcPr>
          <w:p w14:paraId="2CD995FC" w14:textId="77777777" w:rsidR="00EF6835" w:rsidRPr="009D7C32" w:rsidRDefault="00EF6835" w:rsidP="00752FB6">
            <w:pPr>
              <w:pStyle w:val="ARtabletext"/>
            </w:pPr>
            <w:r>
              <w:t>Strategy, Supermarket distribution centre vaccination</w:t>
            </w:r>
          </w:p>
        </w:tc>
        <w:tc>
          <w:tcPr>
            <w:tcW w:w="722" w:type="pct"/>
          </w:tcPr>
          <w:p w14:paraId="325BB6F9" w14:textId="78ED6A2C" w:rsidR="00EF6835" w:rsidRPr="009D7C32" w:rsidRDefault="008135B7" w:rsidP="00752FB6">
            <w:pPr>
              <w:pStyle w:val="ARtabletextright"/>
            </w:pPr>
            <w:r>
              <w:t>$</w:t>
            </w:r>
            <w:r w:rsidR="00EF6835">
              <w:t>173,302</w:t>
            </w:r>
          </w:p>
        </w:tc>
        <w:tc>
          <w:tcPr>
            <w:tcW w:w="766" w:type="pct"/>
          </w:tcPr>
          <w:p w14:paraId="03873172" w14:textId="13152DE1" w:rsidR="00EF6835" w:rsidRPr="009D7C32" w:rsidRDefault="008135B7" w:rsidP="00752FB6">
            <w:pPr>
              <w:pStyle w:val="ARtabletextright"/>
            </w:pPr>
            <w:r>
              <w:t>$</w:t>
            </w:r>
            <w:r w:rsidR="00EF6835">
              <w:t>170,575</w:t>
            </w:r>
          </w:p>
        </w:tc>
        <w:tc>
          <w:tcPr>
            <w:tcW w:w="674" w:type="pct"/>
          </w:tcPr>
          <w:p w14:paraId="7480A4B9" w14:textId="0FC5D27C" w:rsidR="00EF6835" w:rsidRPr="009D7C32" w:rsidRDefault="008135B7" w:rsidP="00752FB6">
            <w:pPr>
              <w:pStyle w:val="ARtabletextright"/>
            </w:pPr>
            <w:r>
              <w:t>$</w:t>
            </w:r>
            <w:r w:rsidR="00EF6835">
              <w:t>0</w:t>
            </w:r>
          </w:p>
        </w:tc>
      </w:tr>
      <w:tr w:rsidR="00EF6835" w:rsidRPr="00A34CB9" w14:paraId="417F24C9" w14:textId="77777777" w:rsidTr="0022137A">
        <w:tc>
          <w:tcPr>
            <w:tcW w:w="768" w:type="pct"/>
            <w:vMerge/>
          </w:tcPr>
          <w:p w14:paraId="5105773D" w14:textId="77777777" w:rsidR="00EF6835" w:rsidRPr="009D7C32" w:rsidRDefault="00EF6835" w:rsidP="00752FB6">
            <w:pPr>
              <w:pStyle w:val="ARtabletext"/>
            </w:pPr>
          </w:p>
        </w:tc>
        <w:tc>
          <w:tcPr>
            <w:tcW w:w="907" w:type="pct"/>
          </w:tcPr>
          <w:p w14:paraId="59BC5133" w14:textId="00AC3334" w:rsidR="00EF6835" w:rsidRPr="009D7C32" w:rsidRDefault="00EF6835" w:rsidP="00752FB6">
            <w:pPr>
              <w:pStyle w:val="ARtabletext"/>
            </w:pPr>
            <w:r>
              <w:t>The Creative Works</w:t>
            </w:r>
          </w:p>
        </w:tc>
        <w:tc>
          <w:tcPr>
            <w:tcW w:w="1163" w:type="pct"/>
          </w:tcPr>
          <w:p w14:paraId="2883FCE7" w14:textId="77777777" w:rsidR="00EF6835" w:rsidRPr="009D7C32" w:rsidRDefault="00EF6835" w:rsidP="00752FB6">
            <w:pPr>
              <w:pStyle w:val="ARtabletext"/>
            </w:pPr>
            <w:r>
              <w:t>Strategy, Communication strategy to address workforce supply issues – Hello Open Minds phase 2</w:t>
            </w:r>
          </w:p>
        </w:tc>
        <w:tc>
          <w:tcPr>
            <w:tcW w:w="722" w:type="pct"/>
          </w:tcPr>
          <w:p w14:paraId="6A89E88E" w14:textId="25E9D342" w:rsidR="00EF6835" w:rsidRPr="009D7C32" w:rsidRDefault="008135B7" w:rsidP="00752FB6">
            <w:pPr>
              <w:pStyle w:val="ARtabletextright"/>
            </w:pPr>
            <w:r>
              <w:t>$</w:t>
            </w:r>
            <w:r w:rsidR="00EF6835">
              <w:t>314,200</w:t>
            </w:r>
          </w:p>
        </w:tc>
        <w:tc>
          <w:tcPr>
            <w:tcW w:w="766" w:type="pct"/>
          </w:tcPr>
          <w:p w14:paraId="47AB8A18" w14:textId="2B33AA49" w:rsidR="00EF6835" w:rsidRPr="009D7C32" w:rsidRDefault="008135B7" w:rsidP="00752FB6">
            <w:pPr>
              <w:pStyle w:val="ARtabletextright"/>
            </w:pPr>
            <w:r>
              <w:t>$</w:t>
            </w:r>
            <w:r w:rsidR="00EF6835">
              <w:t>37,125</w:t>
            </w:r>
          </w:p>
        </w:tc>
        <w:tc>
          <w:tcPr>
            <w:tcW w:w="674" w:type="pct"/>
          </w:tcPr>
          <w:p w14:paraId="1ADD93E3" w14:textId="25357214" w:rsidR="00EF6835" w:rsidRPr="009D7C32" w:rsidRDefault="008135B7" w:rsidP="00752FB6">
            <w:pPr>
              <w:pStyle w:val="ARtabletextright"/>
            </w:pPr>
            <w:r>
              <w:t>$</w:t>
            </w:r>
            <w:r w:rsidR="00EF6835">
              <w:t>0</w:t>
            </w:r>
          </w:p>
        </w:tc>
      </w:tr>
    </w:tbl>
    <w:p w14:paraId="79739C6B" w14:textId="77777777" w:rsidR="00EF6835" w:rsidRDefault="00EF6835" w:rsidP="00752FB6">
      <w:pPr>
        <w:pStyle w:val="ARbody"/>
      </w:pPr>
    </w:p>
    <w:p w14:paraId="45B30B23" w14:textId="2D0A267F" w:rsidR="00752FB6" w:rsidRDefault="00752FB6" w:rsidP="00B60921">
      <w:pPr>
        <w:pStyle w:val="ARbody"/>
        <w:sectPr w:rsidR="00752FB6" w:rsidSect="004C7BEF">
          <w:headerReference w:type="first" r:id="rId57"/>
          <w:footerReference w:type="first" r:id="rId58"/>
          <w:footnotePr>
            <w:numFmt w:val="lowerLetter"/>
            <w:numRestart w:val="eachPage"/>
          </w:footnotePr>
          <w:endnotePr>
            <w:numFmt w:val="decimal"/>
          </w:endnotePr>
          <w:type w:val="continuous"/>
          <w:pgSz w:w="11900" w:h="16840" w:code="9"/>
          <w:pgMar w:top="1985" w:right="1134" w:bottom="851" w:left="1134" w:header="510" w:footer="340" w:gutter="0"/>
          <w:cols w:space="454"/>
          <w:docGrid w:linePitch="299"/>
          <w15:footnoteColumns w:val="1"/>
        </w:sectPr>
      </w:pPr>
    </w:p>
    <w:p w14:paraId="00BF0893" w14:textId="77777777" w:rsidR="00EF6835" w:rsidRPr="003379F7" w:rsidRDefault="00EF6835" w:rsidP="00962397">
      <w:pPr>
        <w:pStyle w:val="Heading2"/>
        <w:spacing w:before="0" w:after="60"/>
      </w:pPr>
      <w:bookmarkStart w:id="358" w:name="_Toc54690799"/>
      <w:bookmarkStart w:id="359" w:name="_Toc85121290"/>
      <w:bookmarkStart w:id="360" w:name="_Toc85121629"/>
      <w:bookmarkStart w:id="361" w:name="_Toc102734506"/>
      <w:bookmarkStart w:id="362" w:name="_Toc113702933"/>
      <w:bookmarkEnd w:id="356"/>
      <w:bookmarkEnd w:id="357"/>
      <w:r w:rsidRPr="003379F7">
        <w:t>Social procurement framework</w:t>
      </w:r>
      <w:bookmarkEnd w:id="358"/>
      <w:bookmarkEnd w:id="359"/>
      <w:bookmarkEnd w:id="360"/>
      <w:bookmarkEnd w:id="361"/>
      <w:bookmarkEnd w:id="362"/>
    </w:p>
    <w:p w14:paraId="3BB88E20" w14:textId="2F0275B1" w:rsidR="00EF6835" w:rsidRPr="007915F1" w:rsidRDefault="00EF6835" w:rsidP="00EF6835">
      <w:pPr>
        <w:pStyle w:val="ARbody"/>
      </w:pPr>
      <w:r w:rsidRPr="007915F1">
        <w:t>The department leverage</w:t>
      </w:r>
      <w:r>
        <w:t>s</w:t>
      </w:r>
      <w:r w:rsidRPr="007915F1">
        <w:t xml:space="preserve"> </w:t>
      </w:r>
      <w:r>
        <w:t>its</w:t>
      </w:r>
      <w:r w:rsidRPr="007915F1">
        <w:t xml:space="preserve"> buying power to deliver social, economic and environmental outcomes benefiting the Victorian community, the economy and the environment </w:t>
      </w:r>
      <w:r w:rsidR="00C65A76">
        <w:t xml:space="preserve">and it does this </w:t>
      </w:r>
      <w:r w:rsidR="00667FB8">
        <w:t xml:space="preserve">in </w:t>
      </w:r>
      <w:r w:rsidR="00667FB8" w:rsidRPr="009163A5">
        <w:t xml:space="preserve">ways that go </w:t>
      </w:r>
      <w:r w:rsidRPr="009163A5">
        <w:t>beyond the goods, services</w:t>
      </w:r>
      <w:r w:rsidRPr="007915F1">
        <w:t xml:space="preserve"> and construction works procured.</w:t>
      </w:r>
    </w:p>
    <w:p w14:paraId="3231273C" w14:textId="0FF20AEC" w:rsidR="00EF6835" w:rsidRDefault="00667FB8" w:rsidP="00EF6835">
      <w:pPr>
        <w:pStyle w:val="ARbody"/>
      </w:pPr>
      <w:r>
        <w:t>In this</w:t>
      </w:r>
      <w:r w:rsidR="00C65A76">
        <w:t xml:space="preserve"> process</w:t>
      </w:r>
      <w:r>
        <w:t xml:space="preserve">, the department is </w:t>
      </w:r>
      <w:r w:rsidR="00EF6835" w:rsidRPr="007915F1">
        <w:t>guided by the Victor</w:t>
      </w:r>
      <w:r w:rsidR="00EF6835">
        <w:t xml:space="preserve">ian Government’s </w:t>
      </w:r>
      <w:r w:rsidR="00EF6835" w:rsidRPr="00B90544">
        <w:rPr>
          <w:i/>
          <w:iCs/>
        </w:rPr>
        <w:t xml:space="preserve">Social </w:t>
      </w:r>
      <w:r w:rsidR="00EF6835">
        <w:rPr>
          <w:i/>
          <w:iCs/>
        </w:rPr>
        <w:t>p</w:t>
      </w:r>
      <w:r w:rsidR="00EF6835" w:rsidRPr="00B90544">
        <w:rPr>
          <w:i/>
          <w:iCs/>
        </w:rPr>
        <w:t xml:space="preserve">rocurement </w:t>
      </w:r>
      <w:r w:rsidR="00EF6835">
        <w:rPr>
          <w:i/>
          <w:iCs/>
        </w:rPr>
        <w:t>f</w:t>
      </w:r>
      <w:r w:rsidR="00EF6835" w:rsidRPr="00B90544">
        <w:rPr>
          <w:i/>
          <w:iCs/>
        </w:rPr>
        <w:t>ramework</w:t>
      </w:r>
      <w:r w:rsidR="00EF6835">
        <w:t xml:space="preserve"> (SPF)</w:t>
      </w:r>
      <w:r>
        <w:t>,</w:t>
      </w:r>
      <w:r w:rsidR="00EF6835">
        <w:t xml:space="preserve"> The SPF applies to the </w:t>
      </w:r>
      <w:r w:rsidR="00EF6835" w:rsidRPr="009163A5">
        <w:t>procurement of all goods, services and construction undertaken by or on behalf of the department</w:t>
      </w:r>
      <w:r w:rsidR="003068A0">
        <w:t>. Its</w:t>
      </w:r>
      <w:r w:rsidR="0030377F">
        <w:t> </w:t>
      </w:r>
      <w:r w:rsidR="003068A0">
        <w:t xml:space="preserve">social objectives are to provide for and support </w:t>
      </w:r>
      <w:r w:rsidR="009163A5">
        <w:t>the following</w:t>
      </w:r>
      <w:r w:rsidR="00EF6835">
        <w:t>:</w:t>
      </w:r>
    </w:p>
    <w:p w14:paraId="22BB0449" w14:textId="1E1171D5" w:rsidR="00EF6835" w:rsidRPr="003F0D1D" w:rsidRDefault="00667FB8" w:rsidP="00EF6835">
      <w:pPr>
        <w:pStyle w:val="ARbullet1"/>
      </w:pPr>
      <w:bookmarkStart w:id="363" w:name="_Toc85121291"/>
      <w:r>
        <w:t>o</w:t>
      </w:r>
      <w:r w:rsidR="00EF6835" w:rsidRPr="003F0D1D">
        <w:t>pportunities for Victorian Aboriginal people</w:t>
      </w:r>
    </w:p>
    <w:p w14:paraId="7BA0360A" w14:textId="1E48B12D" w:rsidR="00EF6835" w:rsidRPr="003F0D1D" w:rsidRDefault="00667FB8" w:rsidP="00EF6835">
      <w:pPr>
        <w:pStyle w:val="ARbullet1"/>
      </w:pPr>
      <w:r>
        <w:t>o</w:t>
      </w:r>
      <w:r w:rsidR="00EF6835" w:rsidRPr="003F0D1D">
        <w:t>pportunities for Victorians with disability</w:t>
      </w:r>
    </w:p>
    <w:p w14:paraId="4C460F73" w14:textId="65C1D90C" w:rsidR="00EF6835" w:rsidRPr="003F0D1D" w:rsidRDefault="00667FB8" w:rsidP="00EF6835">
      <w:pPr>
        <w:pStyle w:val="ARbullet1"/>
      </w:pPr>
      <w:r>
        <w:t>w</w:t>
      </w:r>
      <w:r w:rsidR="00EF6835" w:rsidRPr="003F0D1D">
        <w:t>omen’s equality and safety</w:t>
      </w:r>
    </w:p>
    <w:p w14:paraId="36CB8552" w14:textId="58B0890F" w:rsidR="00EF6835" w:rsidRPr="003F0D1D" w:rsidRDefault="00667FB8" w:rsidP="00EF6835">
      <w:pPr>
        <w:pStyle w:val="ARbullet1"/>
      </w:pPr>
      <w:r>
        <w:t>o</w:t>
      </w:r>
      <w:r w:rsidR="00EF6835" w:rsidRPr="003F0D1D">
        <w:t>pportunities for disadvantaged Victorians</w:t>
      </w:r>
    </w:p>
    <w:p w14:paraId="38C66CC3" w14:textId="490D9B41" w:rsidR="00EF6835" w:rsidRPr="003F0D1D" w:rsidRDefault="00EF6835" w:rsidP="00EF6835">
      <w:pPr>
        <w:pStyle w:val="ARbullet1"/>
      </w:pPr>
      <w:r w:rsidRPr="003F0D1D">
        <w:t>safe and fair workplaces</w:t>
      </w:r>
    </w:p>
    <w:p w14:paraId="2F4743BE" w14:textId="4B576676" w:rsidR="00EF6835" w:rsidRPr="003F0D1D" w:rsidRDefault="00DC3482" w:rsidP="00EF6835">
      <w:pPr>
        <w:pStyle w:val="ARbullet1"/>
      </w:pPr>
      <w:r>
        <w:t>s</w:t>
      </w:r>
      <w:r w:rsidR="00EF6835" w:rsidRPr="003F0D1D">
        <w:t>ustainable Victorian social enterprise</w:t>
      </w:r>
      <w:r w:rsidR="00667FB8">
        <w:t>s</w:t>
      </w:r>
      <w:r w:rsidR="00EF6835" w:rsidRPr="003F0D1D">
        <w:t xml:space="preserve"> and</w:t>
      </w:r>
      <w:r w:rsidR="0030377F">
        <w:t> </w:t>
      </w:r>
      <w:r w:rsidR="00EF6835" w:rsidRPr="003F0D1D">
        <w:t>Aboriginal Victorian business sectors</w:t>
      </w:r>
    </w:p>
    <w:p w14:paraId="5BFE8DC3" w14:textId="1C160B9A" w:rsidR="00EF6835" w:rsidRPr="003F0D1D" w:rsidRDefault="003068A0" w:rsidP="00EF6835">
      <w:pPr>
        <w:pStyle w:val="ARbullet1"/>
      </w:pPr>
      <w:r>
        <w:t>s</w:t>
      </w:r>
      <w:r w:rsidR="00EF6835" w:rsidRPr="003F0D1D">
        <w:t>ustainable Victorian regions</w:t>
      </w:r>
    </w:p>
    <w:p w14:paraId="4F916574" w14:textId="14C7D0EA" w:rsidR="00EF6835" w:rsidRPr="003F0D1D" w:rsidRDefault="009F2586" w:rsidP="00EF6835">
      <w:pPr>
        <w:pStyle w:val="ARbullet1"/>
      </w:pPr>
      <w:r>
        <w:t>e</w:t>
      </w:r>
      <w:r w:rsidR="00EF6835" w:rsidRPr="003F0D1D">
        <w:t>nvironmentally sustainable outputs</w:t>
      </w:r>
    </w:p>
    <w:p w14:paraId="58C456B4" w14:textId="1942FC5E" w:rsidR="003F0283" w:rsidRDefault="009F2586" w:rsidP="00EF6835">
      <w:pPr>
        <w:pStyle w:val="ARbullet1"/>
      </w:pPr>
      <w:r>
        <w:t>e</w:t>
      </w:r>
      <w:r w:rsidR="00EF6835" w:rsidRPr="003F0D1D">
        <w:t xml:space="preserve">nvironmentally sustainable business </w:t>
      </w:r>
      <w:r w:rsidR="00667FB8">
        <w:t>p</w:t>
      </w:r>
      <w:r w:rsidR="00EF6835" w:rsidRPr="003F0D1D">
        <w:t>ractices</w:t>
      </w:r>
    </w:p>
    <w:p w14:paraId="1F38B8E2" w14:textId="3BB88888" w:rsidR="00EF6835" w:rsidRPr="003F0D1D" w:rsidRDefault="009F2586" w:rsidP="00EF6835">
      <w:pPr>
        <w:pStyle w:val="ARbullet1"/>
      </w:pPr>
      <w:r>
        <w:t>i</w:t>
      </w:r>
      <w:r w:rsidR="00EF6835" w:rsidRPr="003F0D1D">
        <w:t>mplementation of climate change policy objectives.</w:t>
      </w:r>
    </w:p>
    <w:p w14:paraId="5E196BC0" w14:textId="77777777" w:rsidR="00EF6835" w:rsidRDefault="00EF6835" w:rsidP="00EF6835">
      <w:pPr>
        <w:pStyle w:val="Heading3"/>
      </w:pPr>
      <w:r w:rsidRPr="008C575B">
        <w:t xml:space="preserve">Social </w:t>
      </w:r>
      <w:r>
        <w:t>p</w:t>
      </w:r>
      <w:r w:rsidRPr="008C575B">
        <w:t xml:space="preserve">rocurement </w:t>
      </w:r>
      <w:bookmarkEnd w:id="363"/>
      <w:r>
        <w:t>initiatives</w:t>
      </w:r>
    </w:p>
    <w:p w14:paraId="2220B4E9" w14:textId="6C9EE5A3" w:rsidR="00EF6835" w:rsidRDefault="00EF6835" w:rsidP="00EF6835">
      <w:pPr>
        <w:pStyle w:val="ARbody"/>
      </w:pPr>
      <w:r w:rsidRPr="007915F1">
        <w:t>During 202</w:t>
      </w:r>
      <w:r>
        <w:t>1</w:t>
      </w:r>
      <w:r w:rsidRPr="007915F1">
        <w:t>–2</w:t>
      </w:r>
      <w:r>
        <w:t>2</w:t>
      </w:r>
      <w:r w:rsidRPr="007915F1">
        <w:t>,</w:t>
      </w:r>
      <w:r w:rsidR="00DC1F5A">
        <w:t xml:space="preserve"> </w:t>
      </w:r>
      <w:r w:rsidR="0009468E">
        <w:t>t</w:t>
      </w:r>
      <w:r>
        <w:t>he department undertook several activities to support social procurement, including:</w:t>
      </w:r>
    </w:p>
    <w:p w14:paraId="5BC9015F" w14:textId="260C43F5" w:rsidR="00EF6835" w:rsidRPr="007915F1" w:rsidRDefault="00EF6835" w:rsidP="00EF6835">
      <w:pPr>
        <w:pStyle w:val="ARbullet1"/>
      </w:pPr>
      <w:r>
        <w:t xml:space="preserve">preparation </w:t>
      </w:r>
      <w:r w:rsidRPr="007915F1">
        <w:t xml:space="preserve">of social procurement data reporting and case studies for </w:t>
      </w:r>
      <w:r>
        <w:t>20</w:t>
      </w:r>
      <w:r w:rsidR="005E4358">
        <w:t>21–22</w:t>
      </w:r>
      <w:r w:rsidRPr="007915F1">
        <w:t xml:space="preserve"> and submission to the Department of </w:t>
      </w:r>
      <w:r>
        <w:t>Jobs, Precincts and Regions (DJPR)</w:t>
      </w:r>
    </w:p>
    <w:p w14:paraId="4946723A" w14:textId="77777777" w:rsidR="00EF6835" w:rsidRDefault="00EF6835" w:rsidP="00EF6835">
      <w:pPr>
        <w:pStyle w:val="ARbullet1"/>
      </w:pPr>
      <w:r w:rsidRPr="007915F1">
        <w:t>maintenance of up-to-date information about social procurement and Local Jobs First on the department</w:t>
      </w:r>
      <w:r>
        <w:t>’</w:t>
      </w:r>
      <w:r w:rsidRPr="007915F1">
        <w:t>s intranet</w:t>
      </w:r>
    </w:p>
    <w:p w14:paraId="2E98F74F" w14:textId="457DAE88" w:rsidR="00EF6835" w:rsidRDefault="00EF6835" w:rsidP="00EF6835">
      <w:pPr>
        <w:pStyle w:val="ARbullet1"/>
      </w:pPr>
      <w:r>
        <w:t>establish</w:t>
      </w:r>
      <w:r w:rsidR="0009468E">
        <w:t>ment</w:t>
      </w:r>
      <w:r>
        <w:t xml:space="preserve"> </w:t>
      </w:r>
      <w:r w:rsidR="0009468E">
        <w:t xml:space="preserve">of </w:t>
      </w:r>
      <w:r>
        <w:t>partnerships with key social procurement delivery partners</w:t>
      </w:r>
    </w:p>
    <w:p w14:paraId="3D545C2E" w14:textId="31187A74" w:rsidR="00EF6835" w:rsidRDefault="00EF6835" w:rsidP="00EF6835">
      <w:pPr>
        <w:pStyle w:val="ARbullet1"/>
      </w:pPr>
      <w:r w:rsidRPr="007915F1">
        <w:t>a continued relationship with Social Traders Ltd</w:t>
      </w:r>
      <w:r w:rsidR="0030377F">
        <w:t> </w:t>
      </w:r>
      <w:r w:rsidRPr="007915F1">
        <w:t xml:space="preserve">through </w:t>
      </w:r>
      <w:r>
        <w:t xml:space="preserve">an established contract, </w:t>
      </w:r>
      <w:r w:rsidRPr="007915F1">
        <w:t>regular meetings and other communications</w:t>
      </w:r>
    </w:p>
    <w:p w14:paraId="68611950" w14:textId="131E8045" w:rsidR="00EF6835" w:rsidRPr="007915F1" w:rsidRDefault="0030377F" w:rsidP="00EF6835">
      <w:pPr>
        <w:pStyle w:val="ARbullet1"/>
      </w:pPr>
      <w:r>
        <w:br w:type="column"/>
      </w:r>
      <w:r w:rsidR="00EF6835" w:rsidRPr="007915F1">
        <w:t>an increase in the social procurement capability of staff</w:t>
      </w:r>
      <w:r w:rsidR="00EF6835" w:rsidRPr="007915F1" w:rsidDel="00EE3535">
        <w:t xml:space="preserve"> </w:t>
      </w:r>
      <w:r w:rsidR="00EF6835" w:rsidRPr="007915F1">
        <w:t>through key business areas of the department with procurement responsibilities – Procurement Services and the Victoria</w:t>
      </w:r>
      <w:r w:rsidR="00EF6835">
        <w:t>n</w:t>
      </w:r>
      <w:r w:rsidR="00EF6835" w:rsidRPr="007915F1">
        <w:t xml:space="preserve"> Health Building Authority</w:t>
      </w:r>
      <w:r w:rsidR="00EF6835">
        <w:t xml:space="preserve"> </w:t>
      </w:r>
      <w:r w:rsidR="00EF6835" w:rsidRPr="007915F1">
        <w:t>– working together</w:t>
      </w:r>
    </w:p>
    <w:p w14:paraId="701512A3" w14:textId="77777777" w:rsidR="00EF6835" w:rsidRPr="007915F1" w:rsidRDefault="00EF6835" w:rsidP="00EF6835">
      <w:pPr>
        <w:pStyle w:val="ARbullet1"/>
      </w:pPr>
      <w:r w:rsidRPr="007915F1">
        <w:t xml:space="preserve">the </w:t>
      </w:r>
      <w:r>
        <w:t>maintenance</w:t>
      </w:r>
      <w:r w:rsidRPr="007915F1">
        <w:t xml:space="preserve"> of procurement policies, processes, templates and contracts to </w:t>
      </w:r>
      <w:r>
        <w:t xml:space="preserve">continue to </w:t>
      </w:r>
      <w:r w:rsidRPr="007915F1">
        <w:t>support the implementation of social procurement and Local Jobs First</w:t>
      </w:r>
    </w:p>
    <w:p w14:paraId="7378EBBA" w14:textId="416A47D4" w:rsidR="00EF6835" w:rsidRPr="007915F1" w:rsidRDefault="00EF6835" w:rsidP="00EF6835">
      <w:pPr>
        <w:pStyle w:val="ARbullet1"/>
      </w:pPr>
      <w:r>
        <w:t>planning works for the</w:t>
      </w:r>
      <w:r w:rsidRPr="007915F1">
        <w:t xml:space="preserve"> establishment of a </w:t>
      </w:r>
      <w:r w:rsidR="009F2586">
        <w:t>s</w:t>
      </w:r>
      <w:r w:rsidRPr="007915F1">
        <w:t>ocial</w:t>
      </w:r>
      <w:r w:rsidR="0030377F">
        <w:t> </w:t>
      </w:r>
      <w:r w:rsidR="009F2586">
        <w:t>p</w:t>
      </w:r>
      <w:r w:rsidRPr="007915F1">
        <w:t xml:space="preserve">rocurement </w:t>
      </w:r>
      <w:r w:rsidR="009F2586">
        <w:t>g</w:t>
      </w:r>
      <w:r w:rsidRPr="007915F1">
        <w:t>roup across the department to foster communication, coordination and capability development</w:t>
      </w:r>
      <w:r>
        <w:t xml:space="preserve">, </w:t>
      </w:r>
      <w:r w:rsidR="009F2586">
        <w:t xml:space="preserve">to be </w:t>
      </w:r>
      <w:r>
        <w:t>launch</w:t>
      </w:r>
      <w:r w:rsidR="009F2586">
        <w:t>ed</w:t>
      </w:r>
      <w:r>
        <w:t xml:space="preserve"> </w:t>
      </w:r>
      <w:r w:rsidR="0030377F">
        <w:br/>
      </w:r>
      <w:r>
        <w:t>in 202</w:t>
      </w:r>
      <w:r w:rsidR="005E4358">
        <w:t>2–</w:t>
      </w:r>
      <w:r>
        <w:t>23</w:t>
      </w:r>
    </w:p>
    <w:p w14:paraId="00F829CC" w14:textId="62CD56FD" w:rsidR="00EF6835" w:rsidRPr="007915F1" w:rsidRDefault="00EF6835" w:rsidP="00EF6835">
      <w:pPr>
        <w:pStyle w:val="ARbullet1"/>
      </w:pPr>
      <w:r>
        <w:t xml:space="preserve">regular attendance by staff at the Social Procurement Community of Practice meetings convened by </w:t>
      </w:r>
      <w:r w:rsidR="009F2586">
        <w:t>the Department of Treasury and Finance</w:t>
      </w:r>
      <w:r>
        <w:t>, as well as events organised by organisations such as Kinaway</w:t>
      </w:r>
    </w:p>
    <w:p w14:paraId="4B6827E3" w14:textId="5027C769" w:rsidR="00EF6835" w:rsidRDefault="00EF6835" w:rsidP="00EF6835">
      <w:pPr>
        <w:pStyle w:val="ARbullet1"/>
      </w:pPr>
      <w:r w:rsidRPr="007915F1">
        <w:t>training on the new Industry Capability Network</w:t>
      </w:r>
      <w:r>
        <w:t>’</w:t>
      </w:r>
      <w:r w:rsidRPr="007915F1">
        <w:t>s social procurement reporting platform</w:t>
      </w:r>
      <w:r w:rsidR="00157F4C">
        <w:t>.</w:t>
      </w:r>
    </w:p>
    <w:p w14:paraId="75CF12D1" w14:textId="40C5E53A" w:rsidR="00EF6835" w:rsidRDefault="00EF6835" w:rsidP="00EF6835">
      <w:pPr>
        <w:pStyle w:val="Heading3"/>
      </w:pPr>
      <w:bookmarkStart w:id="364" w:name="_Hlk109220351"/>
      <w:r>
        <w:t>Social procurement achievements 20</w:t>
      </w:r>
      <w:r w:rsidR="005E4358">
        <w:t>21–22</w:t>
      </w:r>
    </w:p>
    <w:p w14:paraId="2411E20D" w14:textId="770D1300" w:rsidR="00EF6835" w:rsidRDefault="00EF6835" w:rsidP="00EF6835">
      <w:pPr>
        <w:pStyle w:val="ARbody"/>
      </w:pPr>
      <w:r>
        <w:t>During 20</w:t>
      </w:r>
      <w:r w:rsidR="005E4358">
        <w:t>21–22</w:t>
      </w:r>
      <w:r>
        <w:t xml:space="preserve"> the department:</w:t>
      </w:r>
    </w:p>
    <w:p w14:paraId="5D19C597" w14:textId="77777777" w:rsidR="00EF6835" w:rsidRDefault="00EF6835" w:rsidP="00EF6835">
      <w:pPr>
        <w:pStyle w:val="ARbullet1"/>
      </w:pPr>
      <w:r>
        <w:t>engaged 52 social benefit suppliers</w:t>
      </w:r>
    </w:p>
    <w:p w14:paraId="2CCF6AC6" w14:textId="44444205" w:rsidR="003D5E1A" w:rsidRDefault="00EF6835" w:rsidP="00EF6835">
      <w:pPr>
        <w:pStyle w:val="ARbullet1"/>
      </w:pPr>
      <w:r>
        <w:t>spent a total of $6.51 million with certified social</w:t>
      </w:r>
      <w:r w:rsidR="0030377F">
        <w:t> </w:t>
      </w:r>
      <w:r>
        <w:t>enterprises, Aboriginal businesses and</w:t>
      </w:r>
      <w:r w:rsidR="0030377F">
        <w:t> </w:t>
      </w:r>
      <w:r>
        <w:t xml:space="preserve">traditional owner corporations, disability enterprises, and social outcome companies listed on the </w:t>
      </w:r>
      <w:r w:rsidRPr="00EE08DE">
        <w:t>Map for Impact</w:t>
      </w:r>
    </w:p>
    <w:p w14:paraId="5ACCE40B" w14:textId="75BE9E64" w:rsidR="00EF6835" w:rsidRDefault="00EF6835" w:rsidP="00EF6835">
      <w:pPr>
        <w:pStyle w:val="ARbullet1"/>
      </w:pPr>
      <w:r>
        <w:t>engaged 12 suppliers which are not social benefit suppliers</w:t>
      </w:r>
      <w:r w:rsidR="00EE08DE">
        <w:t xml:space="preserve"> but </w:t>
      </w:r>
      <w:r>
        <w:t xml:space="preserve">have made social procurement commitments in their procurement contracts with the Victorian </w:t>
      </w:r>
      <w:r w:rsidR="0023272F">
        <w:t>G</w:t>
      </w:r>
      <w:r>
        <w:t>overnment.</w:t>
      </w:r>
    </w:p>
    <w:p w14:paraId="01556333" w14:textId="77777777" w:rsidR="00EF6835" w:rsidRDefault="00EF6835" w:rsidP="00EF6835">
      <w:pPr>
        <w:pStyle w:val="Heading3"/>
      </w:pPr>
      <w:r>
        <w:t>Aboriginal business engagement</w:t>
      </w:r>
    </w:p>
    <w:p w14:paraId="43CB4FE7" w14:textId="28E7EC47" w:rsidR="00EF6835" w:rsidRDefault="00EF6835" w:rsidP="00BA1B22">
      <w:pPr>
        <w:pStyle w:val="ARbody"/>
      </w:pPr>
      <w:r>
        <w:t>During 20</w:t>
      </w:r>
      <w:r w:rsidR="005E4358">
        <w:t>21–22</w:t>
      </w:r>
      <w:r>
        <w:t xml:space="preserve"> the department:</w:t>
      </w:r>
    </w:p>
    <w:p w14:paraId="69C5297B" w14:textId="77777777" w:rsidR="00EF6835" w:rsidRDefault="00EF6835" w:rsidP="00EF6835">
      <w:pPr>
        <w:pStyle w:val="ARbullet1"/>
      </w:pPr>
      <w:r>
        <w:t>engaged 17 Aboriginal businesses and traditional owner corporations</w:t>
      </w:r>
    </w:p>
    <w:p w14:paraId="64491B42" w14:textId="77777777" w:rsidR="003F0283" w:rsidRDefault="00EF6835" w:rsidP="00EF6835">
      <w:pPr>
        <w:pStyle w:val="ARbullet1"/>
      </w:pPr>
      <w:r>
        <w:t>spent a total of $1.78 million with Aboriginal business and traditional owner corporations</w:t>
      </w:r>
    </w:p>
    <w:p w14:paraId="0A4579A8" w14:textId="77777777" w:rsidR="00EF6835" w:rsidRDefault="00EF6835" w:rsidP="00EF6835">
      <w:pPr>
        <w:pStyle w:val="ARbullet1"/>
      </w:pPr>
      <w:r>
        <w:t>Achieved 1.15 per cent direct Aboriginal supplier engagement against the one per cent government target.</w:t>
      </w:r>
    </w:p>
    <w:p w14:paraId="51FD1D44" w14:textId="57B307F7" w:rsidR="00BA1B22" w:rsidRPr="002B4AC1" w:rsidRDefault="00BA1B22" w:rsidP="00EF6835">
      <w:pPr>
        <w:pStyle w:val="ARbullet1"/>
        <w:sectPr w:rsidR="00BA1B22" w:rsidRPr="002B4AC1" w:rsidSect="004C7BEF">
          <w:footnotePr>
            <w:numFmt w:val="lowerLetter"/>
            <w:numRestart w:val="eachPage"/>
          </w:footnotePr>
          <w:endnotePr>
            <w:numFmt w:val="decimal"/>
          </w:endnotePr>
          <w:pgSz w:w="11900" w:h="16840" w:code="9"/>
          <w:pgMar w:top="1985" w:right="1134" w:bottom="851" w:left="1134" w:header="510" w:footer="340" w:gutter="0"/>
          <w:cols w:num="2" w:space="454"/>
          <w:docGrid w:linePitch="299"/>
          <w15:footnoteColumns w:val="1"/>
        </w:sectPr>
      </w:pPr>
    </w:p>
    <w:p w14:paraId="789AD320" w14:textId="77777777" w:rsidR="00204EF1" w:rsidRDefault="00204EF1" w:rsidP="00204EF1">
      <w:pPr>
        <w:pStyle w:val="Heading2"/>
        <w:spacing w:before="0"/>
        <w:rPr>
          <w:rFonts w:cs="Arial"/>
        </w:rPr>
      </w:pPr>
      <w:bookmarkStart w:id="365" w:name="_Government_advertising_expenditure"/>
      <w:bookmarkStart w:id="366" w:name="_Ref84252239"/>
      <w:bookmarkStart w:id="367" w:name="_Toc85121268"/>
      <w:bookmarkStart w:id="368" w:name="_Toc85121617"/>
      <w:bookmarkStart w:id="369" w:name="_Toc86075600"/>
      <w:bookmarkStart w:id="370" w:name="_Toc113702934"/>
      <w:bookmarkStart w:id="371" w:name="_Ref492915509"/>
      <w:bookmarkStart w:id="372" w:name="_Toc54690782"/>
      <w:bookmarkStart w:id="373" w:name="_Toc85121338"/>
      <w:bookmarkStart w:id="374" w:name="_Toc85121631"/>
      <w:bookmarkStart w:id="375" w:name="_Toc102734508"/>
      <w:bookmarkEnd w:id="364"/>
      <w:bookmarkEnd w:id="365"/>
      <w:r>
        <w:rPr>
          <w:rFonts w:cs="Arial"/>
        </w:rPr>
        <w:t>Government advertising expenditure</w:t>
      </w:r>
      <w:bookmarkEnd w:id="366"/>
      <w:bookmarkEnd w:id="367"/>
      <w:bookmarkEnd w:id="368"/>
      <w:bookmarkEnd w:id="369"/>
      <w:bookmarkEnd w:id="370"/>
    </w:p>
    <w:p w14:paraId="66A2761F" w14:textId="77777777" w:rsidR="00204EF1" w:rsidRDefault="00204EF1" w:rsidP="00204EF1">
      <w:pPr>
        <w:pStyle w:val="ARbodybeforetable"/>
      </w:pPr>
      <w:r w:rsidRPr="00194540">
        <w:t xml:space="preserve">For the 2021–22 reporting period, the department conducted </w:t>
      </w:r>
      <w:r>
        <w:t>several</w:t>
      </w:r>
      <w:r w:rsidRPr="00194540">
        <w:t xml:space="preserve"> government advertising campaigns with total media spend of $100,000 or greater (exclusive of GST). The details of each campaign are outlined below.</w:t>
      </w:r>
    </w:p>
    <w:tbl>
      <w:tblPr>
        <w:tblStyle w:val="TableGrid"/>
        <w:tblW w:w="5000" w:type="pct"/>
        <w:tblLook w:val="06A0" w:firstRow="1" w:lastRow="0" w:firstColumn="1" w:lastColumn="0" w:noHBand="1" w:noVBand="1"/>
      </w:tblPr>
      <w:tblGrid>
        <w:gridCol w:w="1981"/>
        <w:gridCol w:w="2368"/>
        <w:gridCol w:w="1682"/>
        <w:gridCol w:w="1129"/>
        <w:gridCol w:w="1455"/>
        <w:gridCol w:w="1335"/>
        <w:gridCol w:w="1335"/>
        <w:gridCol w:w="1335"/>
        <w:gridCol w:w="1374"/>
      </w:tblGrid>
      <w:tr w:rsidR="00E47676" w14:paraId="33F711B3" w14:textId="77777777" w:rsidTr="004C7BEF">
        <w:trPr>
          <w:cnfStyle w:val="100000000000" w:firstRow="1" w:lastRow="0" w:firstColumn="0" w:lastColumn="0" w:oddVBand="0" w:evenVBand="0" w:oddHBand="0" w:evenHBand="0" w:firstRowFirstColumn="0" w:firstRowLastColumn="0" w:lastRowFirstColumn="0" w:lastRowLastColumn="0"/>
          <w:tblHeader/>
        </w:trPr>
        <w:tc>
          <w:tcPr>
            <w:tcW w:w="708" w:type="pct"/>
            <w:tcBorders>
              <w:top w:val="nil"/>
              <w:left w:val="single" w:sz="4" w:space="0" w:color="FFFFFF"/>
              <w:bottom w:val="single" w:sz="4" w:space="0" w:color="auto"/>
              <w:right w:val="single" w:sz="4" w:space="0" w:color="FFFFFF"/>
            </w:tcBorders>
            <w:hideMark/>
          </w:tcPr>
          <w:p w14:paraId="019A7B14" w14:textId="77777777" w:rsidR="00204EF1" w:rsidRDefault="00204EF1" w:rsidP="004C7BEF">
            <w:pPr>
              <w:pStyle w:val="ARtablecolhead"/>
            </w:pPr>
            <w:r w:rsidRPr="00913603">
              <w:t>Name of campaign</w:t>
            </w:r>
          </w:p>
        </w:tc>
        <w:tc>
          <w:tcPr>
            <w:tcW w:w="846" w:type="pct"/>
            <w:tcBorders>
              <w:top w:val="nil"/>
              <w:left w:val="single" w:sz="4" w:space="0" w:color="FFFFFF"/>
              <w:bottom w:val="single" w:sz="4" w:space="0" w:color="auto"/>
              <w:right w:val="single" w:sz="4" w:space="0" w:color="FFFFFF"/>
            </w:tcBorders>
            <w:hideMark/>
          </w:tcPr>
          <w:p w14:paraId="1E704C64" w14:textId="77777777" w:rsidR="00204EF1" w:rsidRDefault="00204EF1" w:rsidP="004C7BEF">
            <w:pPr>
              <w:pStyle w:val="ARtablecolhead"/>
            </w:pPr>
            <w:r w:rsidRPr="00913603">
              <w:t>Campaign summary</w:t>
            </w:r>
          </w:p>
        </w:tc>
        <w:tc>
          <w:tcPr>
            <w:tcW w:w="601" w:type="pct"/>
            <w:tcBorders>
              <w:top w:val="nil"/>
              <w:left w:val="single" w:sz="4" w:space="0" w:color="FFFFFF"/>
              <w:bottom w:val="single" w:sz="4" w:space="0" w:color="auto"/>
              <w:right w:val="single" w:sz="4" w:space="0" w:color="FFFFFF"/>
            </w:tcBorders>
            <w:hideMark/>
          </w:tcPr>
          <w:p w14:paraId="552F4C8E" w14:textId="77777777" w:rsidR="00204EF1" w:rsidRDefault="00204EF1" w:rsidP="004C7BEF">
            <w:pPr>
              <w:pStyle w:val="ARtablecolhead"/>
            </w:pPr>
            <w:r w:rsidRPr="00913603">
              <w:t>Start/end date</w:t>
            </w:r>
          </w:p>
        </w:tc>
        <w:tc>
          <w:tcPr>
            <w:tcW w:w="403" w:type="pct"/>
            <w:tcBorders>
              <w:top w:val="nil"/>
              <w:left w:val="single" w:sz="4" w:space="0" w:color="FFFFFF"/>
              <w:bottom w:val="single" w:sz="4" w:space="0" w:color="auto"/>
              <w:right w:val="single" w:sz="4" w:space="0" w:color="FFFFFF"/>
            </w:tcBorders>
            <w:hideMark/>
          </w:tcPr>
          <w:p w14:paraId="1298B9B8" w14:textId="77777777" w:rsidR="00204EF1" w:rsidRDefault="00204EF1" w:rsidP="004C7BEF">
            <w:pPr>
              <w:pStyle w:val="ARtablecolheadright"/>
            </w:pPr>
            <w:r w:rsidRPr="00913603">
              <w:t>Advertising (media) expenditure (excl. GST)</w:t>
            </w:r>
          </w:p>
        </w:tc>
        <w:tc>
          <w:tcPr>
            <w:tcW w:w="520" w:type="pct"/>
            <w:tcBorders>
              <w:top w:val="nil"/>
              <w:left w:val="single" w:sz="4" w:space="0" w:color="FFFFFF"/>
              <w:bottom w:val="single" w:sz="4" w:space="0" w:color="auto"/>
              <w:right w:val="single" w:sz="4" w:space="0" w:color="FFFFFF"/>
            </w:tcBorders>
            <w:hideMark/>
          </w:tcPr>
          <w:p w14:paraId="081986B6" w14:textId="77777777" w:rsidR="00204EF1" w:rsidRDefault="00204EF1" w:rsidP="004C7BEF">
            <w:pPr>
              <w:pStyle w:val="ARtablecolheadright"/>
            </w:pPr>
            <w:r w:rsidRPr="00913603">
              <w:t>Creative and campaign development expenditure (excl. GST)</w:t>
            </w:r>
          </w:p>
        </w:tc>
        <w:tc>
          <w:tcPr>
            <w:tcW w:w="477" w:type="pct"/>
            <w:tcBorders>
              <w:top w:val="nil"/>
              <w:left w:val="single" w:sz="4" w:space="0" w:color="FFFFFF"/>
              <w:bottom w:val="single" w:sz="4" w:space="0" w:color="auto"/>
              <w:right w:val="single" w:sz="4" w:space="0" w:color="FFFFFF"/>
            </w:tcBorders>
            <w:hideMark/>
          </w:tcPr>
          <w:p w14:paraId="5651B6CD" w14:textId="77777777" w:rsidR="00204EF1" w:rsidRDefault="00204EF1" w:rsidP="004C7BEF">
            <w:pPr>
              <w:pStyle w:val="ARtablecolheadright"/>
            </w:pPr>
            <w:r w:rsidRPr="00913603">
              <w:t>Research and evaluation expenditure (excl. GST)</w:t>
            </w:r>
          </w:p>
        </w:tc>
        <w:tc>
          <w:tcPr>
            <w:tcW w:w="477" w:type="pct"/>
            <w:tcBorders>
              <w:top w:val="nil"/>
              <w:left w:val="single" w:sz="4" w:space="0" w:color="FFFFFF"/>
              <w:bottom w:val="single" w:sz="4" w:space="0" w:color="auto"/>
              <w:right w:val="single" w:sz="4" w:space="0" w:color="FFFFFF"/>
            </w:tcBorders>
            <w:hideMark/>
          </w:tcPr>
          <w:p w14:paraId="17DEC9A4" w14:textId="77777777" w:rsidR="00204EF1" w:rsidRDefault="00204EF1" w:rsidP="004C7BEF">
            <w:pPr>
              <w:pStyle w:val="ARtablecolheadright"/>
            </w:pPr>
            <w:r w:rsidRPr="00913603">
              <w:t>Print and collateral expenditure (excl. GST)</w:t>
            </w:r>
          </w:p>
        </w:tc>
        <w:tc>
          <w:tcPr>
            <w:tcW w:w="477" w:type="pct"/>
            <w:tcBorders>
              <w:top w:val="nil"/>
              <w:left w:val="single" w:sz="4" w:space="0" w:color="FFFFFF"/>
              <w:bottom w:val="single" w:sz="4" w:space="0" w:color="auto"/>
              <w:right w:val="single" w:sz="4" w:space="0" w:color="FFFFFF"/>
            </w:tcBorders>
            <w:hideMark/>
          </w:tcPr>
          <w:p w14:paraId="58EA5305" w14:textId="77777777" w:rsidR="00204EF1" w:rsidRDefault="00204EF1" w:rsidP="004C7BEF">
            <w:pPr>
              <w:pStyle w:val="ARtablecolheadright"/>
            </w:pPr>
            <w:r w:rsidRPr="00913603">
              <w:t>Other campaign expenditure (excl. GST)</w:t>
            </w:r>
          </w:p>
        </w:tc>
        <w:tc>
          <w:tcPr>
            <w:tcW w:w="491" w:type="pct"/>
            <w:tcBorders>
              <w:top w:val="nil"/>
              <w:left w:val="single" w:sz="4" w:space="0" w:color="FFFFFF"/>
              <w:bottom w:val="single" w:sz="4" w:space="0" w:color="auto"/>
              <w:right w:val="single" w:sz="4" w:space="0" w:color="FFFFFF"/>
            </w:tcBorders>
            <w:hideMark/>
          </w:tcPr>
          <w:p w14:paraId="307FDABB" w14:textId="77777777" w:rsidR="00204EF1" w:rsidRDefault="00204EF1" w:rsidP="004C7BEF">
            <w:pPr>
              <w:pStyle w:val="ARtablecolheadright"/>
            </w:pPr>
            <w:r w:rsidRPr="00913603">
              <w:t>Total</w:t>
            </w:r>
          </w:p>
        </w:tc>
      </w:tr>
      <w:tr w:rsidR="00204EF1" w14:paraId="23352E0B" w14:textId="77777777" w:rsidTr="004C7BEF">
        <w:tc>
          <w:tcPr>
            <w:tcW w:w="708" w:type="pct"/>
            <w:tcBorders>
              <w:top w:val="single" w:sz="4" w:space="0" w:color="auto"/>
              <w:left w:val="single" w:sz="4" w:space="0" w:color="FFFFFF"/>
              <w:bottom w:val="single" w:sz="4" w:space="0" w:color="auto"/>
              <w:right w:val="single" w:sz="4" w:space="0" w:color="FFFFFF"/>
            </w:tcBorders>
            <w:hideMark/>
          </w:tcPr>
          <w:p w14:paraId="286ECABC" w14:textId="77777777" w:rsidR="00204EF1" w:rsidRDefault="00204EF1" w:rsidP="004C7BEF">
            <w:pPr>
              <w:pStyle w:val="ARtabletext"/>
            </w:pPr>
            <w:r w:rsidRPr="00804DD6">
              <w:t>COVID-19 Testing campaign</w:t>
            </w:r>
          </w:p>
        </w:tc>
        <w:tc>
          <w:tcPr>
            <w:tcW w:w="846" w:type="pct"/>
            <w:tcBorders>
              <w:top w:val="single" w:sz="4" w:space="0" w:color="auto"/>
              <w:left w:val="single" w:sz="4" w:space="0" w:color="FFFFFF"/>
              <w:bottom w:val="single" w:sz="4" w:space="0" w:color="auto"/>
              <w:right w:val="single" w:sz="4" w:space="0" w:color="FFFFFF"/>
            </w:tcBorders>
            <w:hideMark/>
          </w:tcPr>
          <w:p w14:paraId="3D644572" w14:textId="77777777" w:rsidR="00204EF1" w:rsidRDefault="00204EF1" w:rsidP="004C7BEF">
            <w:pPr>
              <w:pStyle w:val="ARtabletext"/>
            </w:pPr>
            <w:r w:rsidRPr="00804DD6">
              <w:t>Encourage Victorians to get tested for COVID-19 at the first sign of any symptoms.</w:t>
            </w:r>
          </w:p>
        </w:tc>
        <w:tc>
          <w:tcPr>
            <w:tcW w:w="601" w:type="pct"/>
            <w:tcBorders>
              <w:top w:val="single" w:sz="4" w:space="0" w:color="auto"/>
              <w:left w:val="single" w:sz="4" w:space="0" w:color="FFFFFF"/>
              <w:bottom w:val="single" w:sz="4" w:space="0" w:color="auto"/>
              <w:right w:val="single" w:sz="4" w:space="0" w:color="FFFFFF"/>
            </w:tcBorders>
            <w:hideMark/>
          </w:tcPr>
          <w:p w14:paraId="4AC8F444" w14:textId="77777777" w:rsidR="00204EF1" w:rsidRDefault="00204EF1" w:rsidP="004C7BEF">
            <w:pPr>
              <w:pStyle w:val="ARtabletext"/>
            </w:pPr>
            <w:r w:rsidRPr="00804DD6">
              <w:t>1 July</w:t>
            </w:r>
            <w:r>
              <w:t xml:space="preserve"> 2021 – </w:t>
            </w:r>
            <w:r w:rsidRPr="00804DD6">
              <w:t>30</w:t>
            </w:r>
            <w:r>
              <w:t> </w:t>
            </w:r>
            <w:r w:rsidRPr="00804DD6">
              <w:t>November 2021</w:t>
            </w:r>
          </w:p>
        </w:tc>
        <w:tc>
          <w:tcPr>
            <w:tcW w:w="403" w:type="pct"/>
            <w:tcBorders>
              <w:top w:val="single" w:sz="4" w:space="0" w:color="auto"/>
              <w:left w:val="single" w:sz="4" w:space="0" w:color="FFFFFF"/>
              <w:bottom w:val="single" w:sz="4" w:space="0" w:color="auto"/>
              <w:right w:val="single" w:sz="4" w:space="0" w:color="FFFFFF"/>
            </w:tcBorders>
            <w:hideMark/>
          </w:tcPr>
          <w:p w14:paraId="1A4FA3FB" w14:textId="77777777" w:rsidR="00204EF1" w:rsidRDefault="00204EF1" w:rsidP="004C7BEF">
            <w:pPr>
              <w:pStyle w:val="ARtabletextright"/>
              <w:rPr>
                <w:rFonts w:ascii="Segoe UI" w:hAnsi="Segoe UI" w:cs="Segoe UI"/>
              </w:rPr>
            </w:pPr>
            <w:r w:rsidRPr="00804DD6">
              <w:t>$5,338,110</w:t>
            </w:r>
          </w:p>
        </w:tc>
        <w:tc>
          <w:tcPr>
            <w:tcW w:w="520" w:type="pct"/>
            <w:tcBorders>
              <w:top w:val="single" w:sz="4" w:space="0" w:color="auto"/>
              <w:left w:val="single" w:sz="4" w:space="0" w:color="FFFFFF"/>
              <w:bottom w:val="single" w:sz="4" w:space="0" w:color="auto"/>
              <w:right w:val="single" w:sz="4" w:space="0" w:color="FFFFFF"/>
            </w:tcBorders>
            <w:hideMark/>
          </w:tcPr>
          <w:p w14:paraId="7C528E66" w14:textId="77777777" w:rsidR="00204EF1" w:rsidRDefault="00204EF1" w:rsidP="004C7BEF">
            <w:pPr>
              <w:pStyle w:val="ARtabletextright"/>
              <w:rPr>
                <w:rFonts w:ascii="Segoe UI" w:hAnsi="Segoe UI" w:cs="Segoe UI"/>
              </w:rPr>
            </w:pPr>
            <w:r w:rsidRPr="00804DD6">
              <w:t>$401,406</w:t>
            </w:r>
          </w:p>
        </w:tc>
        <w:tc>
          <w:tcPr>
            <w:tcW w:w="477" w:type="pct"/>
            <w:tcBorders>
              <w:top w:val="single" w:sz="4" w:space="0" w:color="auto"/>
              <w:left w:val="single" w:sz="4" w:space="0" w:color="FFFFFF"/>
              <w:bottom w:val="single" w:sz="4" w:space="0" w:color="auto"/>
              <w:right w:val="single" w:sz="4" w:space="0" w:color="FFFFFF"/>
            </w:tcBorders>
            <w:hideMark/>
          </w:tcPr>
          <w:p w14:paraId="062DE46E" w14:textId="77777777" w:rsidR="00204EF1" w:rsidRDefault="00204EF1" w:rsidP="004C7BEF">
            <w:pPr>
              <w:pStyle w:val="ARtabletextright"/>
              <w:rPr>
                <w:rFonts w:ascii="Segoe UI" w:hAnsi="Segoe UI" w:cs="Segoe UI"/>
              </w:rPr>
            </w:pPr>
            <w:r w:rsidRPr="00804DD6">
              <w:t>$0</w:t>
            </w:r>
          </w:p>
        </w:tc>
        <w:tc>
          <w:tcPr>
            <w:tcW w:w="477" w:type="pct"/>
            <w:tcBorders>
              <w:top w:val="single" w:sz="4" w:space="0" w:color="auto"/>
              <w:left w:val="single" w:sz="4" w:space="0" w:color="FFFFFF"/>
              <w:bottom w:val="single" w:sz="4" w:space="0" w:color="auto"/>
              <w:right w:val="single" w:sz="4" w:space="0" w:color="FFFFFF"/>
            </w:tcBorders>
            <w:hideMark/>
          </w:tcPr>
          <w:p w14:paraId="29A10FBA" w14:textId="77777777" w:rsidR="00204EF1" w:rsidRDefault="00204EF1" w:rsidP="004C7BEF">
            <w:pPr>
              <w:pStyle w:val="ARtabletextright"/>
              <w:rPr>
                <w:rFonts w:ascii="Segoe UI" w:hAnsi="Segoe UI" w:cs="Segoe UI"/>
              </w:rPr>
            </w:pPr>
            <w:r w:rsidRPr="00804DD6">
              <w:t>$0</w:t>
            </w:r>
          </w:p>
        </w:tc>
        <w:tc>
          <w:tcPr>
            <w:tcW w:w="477" w:type="pct"/>
            <w:tcBorders>
              <w:top w:val="single" w:sz="4" w:space="0" w:color="auto"/>
              <w:left w:val="single" w:sz="4" w:space="0" w:color="FFFFFF"/>
              <w:bottom w:val="single" w:sz="4" w:space="0" w:color="auto"/>
              <w:right w:val="single" w:sz="4" w:space="0" w:color="FFFFFF"/>
            </w:tcBorders>
            <w:hideMark/>
          </w:tcPr>
          <w:p w14:paraId="22E51C27" w14:textId="77777777" w:rsidR="00204EF1" w:rsidRDefault="00204EF1" w:rsidP="004C7BEF">
            <w:pPr>
              <w:pStyle w:val="ARtabletextright"/>
              <w:rPr>
                <w:rFonts w:ascii="Segoe UI" w:hAnsi="Segoe UI" w:cs="Segoe UI"/>
              </w:rPr>
            </w:pPr>
            <w:r w:rsidRPr="00804DD6">
              <w:t>$0</w:t>
            </w:r>
          </w:p>
        </w:tc>
        <w:tc>
          <w:tcPr>
            <w:tcW w:w="491" w:type="pct"/>
            <w:tcBorders>
              <w:top w:val="single" w:sz="4" w:space="0" w:color="auto"/>
              <w:left w:val="single" w:sz="4" w:space="0" w:color="FFFFFF"/>
              <w:bottom w:val="single" w:sz="4" w:space="0" w:color="auto"/>
              <w:right w:val="single" w:sz="4" w:space="0" w:color="FFFFFF"/>
            </w:tcBorders>
            <w:hideMark/>
          </w:tcPr>
          <w:p w14:paraId="4A75C5E1" w14:textId="77777777" w:rsidR="00204EF1" w:rsidRDefault="00204EF1" w:rsidP="004C7BEF">
            <w:pPr>
              <w:pStyle w:val="ARtabletextright"/>
              <w:rPr>
                <w:rFonts w:ascii="Segoe UI" w:hAnsi="Segoe UI" w:cs="Segoe UI"/>
              </w:rPr>
            </w:pPr>
            <w:r w:rsidRPr="00804DD6">
              <w:t>$5,739,516</w:t>
            </w:r>
          </w:p>
        </w:tc>
      </w:tr>
      <w:tr w:rsidR="00204EF1" w14:paraId="7ED1277A" w14:textId="77777777" w:rsidTr="004C7BEF">
        <w:tc>
          <w:tcPr>
            <w:tcW w:w="708" w:type="pct"/>
            <w:tcBorders>
              <w:top w:val="single" w:sz="4" w:space="0" w:color="auto"/>
              <w:left w:val="single" w:sz="4" w:space="0" w:color="FFFFFF"/>
              <w:bottom w:val="single" w:sz="4" w:space="0" w:color="auto"/>
              <w:right w:val="single" w:sz="4" w:space="0" w:color="FFFFFF"/>
            </w:tcBorders>
            <w:hideMark/>
          </w:tcPr>
          <w:p w14:paraId="4A3425A6" w14:textId="77777777" w:rsidR="00204EF1" w:rsidRDefault="00204EF1" w:rsidP="004C7BEF">
            <w:pPr>
              <w:pStyle w:val="ARtabletext"/>
            </w:pPr>
            <w:r w:rsidRPr="00804DD6">
              <w:t>COVID-19 Emergency advertising</w:t>
            </w:r>
            <w:r w:rsidRPr="00521AEB">
              <w:rPr>
                <w:rStyle w:val="FootnoteReference"/>
              </w:rPr>
              <w:t>(</w:t>
            </w:r>
            <w:r>
              <w:rPr>
                <w:rStyle w:val="FootnoteReference"/>
              </w:rPr>
              <w:footnoteReference w:id="46"/>
            </w:r>
            <w:r w:rsidRPr="00521AEB">
              <w:rPr>
                <w:rStyle w:val="FootnoteReference"/>
              </w:rPr>
              <w:t>)</w:t>
            </w:r>
          </w:p>
        </w:tc>
        <w:tc>
          <w:tcPr>
            <w:tcW w:w="846" w:type="pct"/>
            <w:tcBorders>
              <w:top w:val="single" w:sz="4" w:space="0" w:color="auto"/>
              <w:left w:val="single" w:sz="4" w:space="0" w:color="FFFFFF"/>
              <w:bottom w:val="single" w:sz="4" w:space="0" w:color="auto"/>
              <w:right w:val="single" w:sz="4" w:space="0" w:color="FFFFFF"/>
            </w:tcBorders>
            <w:hideMark/>
          </w:tcPr>
          <w:p w14:paraId="4D954059" w14:textId="77777777" w:rsidR="00204EF1" w:rsidRDefault="00204EF1" w:rsidP="004C7BEF">
            <w:pPr>
              <w:pStyle w:val="ARtabletext"/>
            </w:pPr>
            <w:r w:rsidRPr="00804DD6">
              <w:t>Support the COVID-19 response by highlighting COVID-19 outbreaks, exposure sites, restrictions in place and roadmap to recovery.</w:t>
            </w:r>
          </w:p>
        </w:tc>
        <w:tc>
          <w:tcPr>
            <w:tcW w:w="601" w:type="pct"/>
            <w:tcBorders>
              <w:top w:val="single" w:sz="4" w:space="0" w:color="auto"/>
              <w:left w:val="single" w:sz="4" w:space="0" w:color="FFFFFF"/>
              <w:bottom w:val="single" w:sz="4" w:space="0" w:color="auto"/>
              <w:right w:val="single" w:sz="4" w:space="0" w:color="FFFFFF"/>
            </w:tcBorders>
            <w:hideMark/>
          </w:tcPr>
          <w:p w14:paraId="71D27783" w14:textId="77777777" w:rsidR="00204EF1" w:rsidRDefault="00204EF1" w:rsidP="004C7BEF">
            <w:pPr>
              <w:pStyle w:val="ARtabletext"/>
            </w:pPr>
            <w:r w:rsidRPr="00804DD6">
              <w:t>1 July</w:t>
            </w:r>
            <w:r>
              <w:t xml:space="preserve"> 2021 – </w:t>
            </w:r>
            <w:r w:rsidRPr="00804DD6">
              <w:t>7</w:t>
            </w:r>
            <w:r>
              <w:t> </w:t>
            </w:r>
            <w:r w:rsidRPr="00804DD6">
              <w:t>November 2021</w:t>
            </w:r>
          </w:p>
        </w:tc>
        <w:tc>
          <w:tcPr>
            <w:tcW w:w="403" w:type="pct"/>
            <w:tcBorders>
              <w:top w:val="single" w:sz="4" w:space="0" w:color="auto"/>
              <w:left w:val="single" w:sz="4" w:space="0" w:color="FFFFFF"/>
              <w:bottom w:val="single" w:sz="4" w:space="0" w:color="auto"/>
              <w:right w:val="single" w:sz="4" w:space="0" w:color="FFFFFF"/>
            </w:tcBorders>
            <w:hideMark/>
          </w:tcPr>
          <w:p w14:paraId="323FCCFC" w14:textId="77777777" w:rsidR="00204EF1" w:rsidRDefault="00204EF1" w:rsidP="004C7BEF">
            <w:pPr>
              <w:pStyle w:val="ARtabletextright"/>
              <w:rPr>
                <w:rFonts w:ascii="Segoe UI" w:hAnsi="Segoe UI" w:cs="Segoe UI"/>
              </w:rPr>
            </w:pPr>
            <w:r w:rsidRPr="00804DD6">
              <w:t>$8,558,231</w:t>
            </w:r>
          </w:p>
        </w:tc>
        <w:tc>
          <w:tcPr>
            <w:tcW w:w="520" w:type="pct"/>
            <w:tcBorders>
              <w:top w:val="single" w:sz="4" w:space="0" w:color="auto"/>
              <w:left w:val="single" w:sz="4" w:space="0" w:color="FFFFFF"/>
              <w:bottom w:val="single" w:sz="4" w:space="0" w:color="auto"/>
              <w:right w:val="single" w:sz="4" w:space="0" w:color="FFFFFF"/>
            </w:tcBorders>
            <w:hideMark/>
          </w:tcPr>
          <w:p w14:paraId="54A7A4B4" w14:textId="77777777" w:rsidR="00204EF1" w:rsidRDefault="00204EF1" w:rsidP="004C7BEF">
            <w:pPr>
              <w:pStyle w:val="ARtabletextright"/>
              <w:rPr>
                <w:rFonts w:ascii="Segoe UI" w:hAnsi="Segoe UI" w:cs="Segoe UI"/>
              </w:rPr>
            </w:pPr>
            <w:r w:rsidRPr="00804DD6">
              <w:t>$1,409,02</w:t>
            </w:r>
            <w:r>
              <w:t>6</w:t>
            </w:r>
          </w:p>
        </w:tc>
        <w:tc>
          <w:tcPr>
            <w:tcW w:w="477" w:type="pct"/>
            <w:tcBorders>
              <w:top w:val="single" w:sz="4" w:space="0" w:color="auto"/>
              <w:left w:val="single" w:sz="4" w:space="0" w:color="FFFFFF"/>
              <w:bottom w:val="single" w:sz="4" w:space="0" w:color="auto"/>
              <w:right w:val="single" w:sz="4" w:space="0" w:color="FFFFFF"/>
            </w:tcBorders>
            <w:hideMark/>
          </w:tcPr>
          <w:p w14:paraId="3E668055" w14:textId="77777777" w:rsidR="00204EF1" w:rsidRDefault="00204EF1" w:rsidP="004C7BEF">
            <w:pPr>
              <w:pStyle w:val="ARtabletextright"/>
              <w:rPr>
                <w:rFonts w:ascii="Segoe UI" w:hAnsi="Segoe UI" w:cs="Segoe UI"/>
              </w:rPr>
            </w:pPr>
            <w:r w:rsidRPr="00804DD6">
              <w:t>$0</w:t>
            </w:r>
          </w:p>
        </w:tc>
        <w:tc>
          <w:tcPr>
            <w:tcW w:w="477" w:type="pct"/>
            <w:tcBorders>
              <w:top w:val="single" w:sz="4" w:space="0" w:color="auto"/>
              <w:left w:val="single" w:sz="4" w:space="0" w:color="FFFFFF"/>
              <w:bottom w:val="single" w:sz="4" w:space="0" w:color="auto"/>
              <w:right w:val="single" w:sz="4" w:space="0" w:color="FFFFFF"/>
            </w:tcBorders>
            <w:hideMark/>
          </w:tcPr>
          <w:p w14:paraId="7D5608C7" w14:textId="77777777" w:rsidR="00204EF1" w:rsidRDefault="00204EF1" w:rsidP="004C7BEF">
            <w:pPr>
              <w:pStyle w:val="ARtabletextright"/>
              <w:rPr>
                <w:rFonts w:ascii="Segoe UI" w:hAnsi="Segoe UI" w:cs="Segoe UI"/>
              </w:rPr>
            </w:pPr>
            <w:r w:rsidRPr="00804DD6">
              <w:t>$0</w:t>
            </w:r>
          </w:p>
        </w:tc>
        <w:tc>
          <w:tcPr>
            <w:tcW w:w="477" w:type="pct"/>
            <w:tcBorders>
              <w:top w:val="single" w:sz="4" w:space="0" w:color="auto"/>
              <w:left w:val="single" w:sz="4" w:space="0" w:color="FFFFFF"/>
              <w:bottom w:val="single" w:sz="4" w:space="0" w:color="auto"/>
              <w:right w:val="single" w:sz="4" w:space="0" w:color="FFFFFF"/>
            </w:tcBorders>
            <w:hideMark/>
          </w:tcPr>
          <w:p w14:paraId="689BBA91" w14:textId="77777777" w:rsidR="00204EF1" w:rsidRDefault="00204EF1" w:rsidP="004C7BEF">
            <w:pPr>
              <w:pStyle w:val="ARtabletextright"/>
              <w:rPr>
                <w:rFonts w:ascii="Segoe UI" w:hAnsi="Segoe UI" w:cs="Segoe UI"/>
              </w:rPr>
            </w:pPr>
            <w:r w:rsidRPr="00804DD6">
              <w:t>$0</w:t>
            </w:r>
          </w:p>
        </w:tc>
        <w:tc>
          <w:tcPr>
            <w:tcW w:w="491" w:type="pct"/>
            <w:tcBorders>
              <w:top w:val="single" w:sz="4" w:space="0" w:color="auto"/>
              <w:left w:val="single" w:sz="4" w:space="0" w:color="FFFFFF"/>
              <w:bottom w:val="single" w:sz="4" w:space="0" w:color="auto"/>
              <w:right w:val="single" w:sz="4" w:space="0" w:color="FFFFFF"/>
            </w:tcBorders>
            <w:hideMark/>
          </w:tcPr>
          <w:p w14:paraId="39514BAE" w14:textId="77777777" w:rsidR="00204EF1" w:rsidRDefault="00204EF1" w:rsidP="004C7BEF">
            <w:pPr>
              <w:pStyle w:val="ARtabletextright"/>
              <w:rPr>
                <w:rFonts w:ascii="Segoe UI" w:hAnsi="Segoe UI" w:cs="Segoe UI"/>
              </w:rPr>
            </w:pPr>
            <w:r w:rsidRPr="00804DD6">
              <w:t>$9,967,257</w:t>
            </w:r>
          </w:p>
        </w:tc>
      </w:tr>
      <w:tr w:rsidR="00204EF1" w14:paraId="21176398" w14:textId="77777777" w:rsidTr="004C7BEF">
        <w:tc>
          <w:tcPr>
            <w:tcW w:w="708" w:type="pct"/>
            <w:tcBorders>
              <w:top w:val="single" w:sz="4" w:space="0" w:color="auto"/>
              <w:left w:val="single" w:sz="4" w:space="0" w:color="FFFFFF"/>
              <w:bottom w:val="single" w:sz="4" w:space="0" w:color="auto"/>
              <w:right w:val="single" w:sz="4" w:space="0" w:color="FFFFFF"/>
            </w:tcBorders>
            <w:hideMark/>
          </w:tcPr>
          <w:p w14:paraId="38E46849" w14:textId="77777777" w:rsidR="00204EF1" w:rsidRDefault="00204EF1" w:rsidP="004C7BEF">
            <w:pPr>
              <w:pStyle w:val="ARtabletext"/>
            </w:pPr>
            <w:r w:rsidRPr="00804DD6">
              <w:t>COVID-19 Vaccine campaigns</w:t>
            </w:r>
            <w:r w:rsidRPr="00521AEB">
              <w:rPr>
                <w:rStyle w:val="FootnoteReference"/>
              </w:rPr>
              <w:t>(</w:t>
            </w:r>
            <w:r>
              <w:rPr>
                <w:rStyle w:val="FootnoteReference"/>
              </w:rPr>
              <w:footnoteReference w:id="47"/>
            </w:r>
            <w:r w:rsidRPr="00521AEB">
              <w:rPr>
                <w:rStyle w:val="FootnoteReference"/>
              </w:rPr>
              <w:t>)</w:t>
            </w:r>
          </w:p>
        </w:tc>
        <w:tc>
          <w:tcPr>
            <w:tcW w:w="846" w:type="pct"/>
            <w:tcBorders>
              <w:top w:val="single" w:sz="4" w:space="0" w:color="auto"/>
              <w:left w:val="single" w:sz="4" w:space="0" w:color="FFFFFF"/>
              <w:bottom w:val="single" w:sz="4" w:space="0" w:color="auto"/>
              <w:right w:val="single" w:sz="4" w:space="0" w:color="FFFFFF"/>
            </w:tcBorders>
            <w:hideMark/>
          </w:tcPr>
          <w:p w14:paraId="2D8180D4" w14:textId="77777777" w:rsidR="00204EF1" w:rsidRDefault="00204EF1" w:rsidP="004C7BEF">
            <w:pPr>
              <w:pStyle w:val="ARtabletext"/>
            </w:pPr>
            <w:r w:rsidRPr="00804DD6">
              <w:t>Encourage Victorians to get vaccinated against COVID</w:t>
            </w:r>
            <w:r>
              <w:noBreakHyphen/>
            </w:r>
            <w:r w:rsidRPr="00804DD6">
              <w:t>19.</w:t>
            </w:r>
          </w:p>
        </w:tc>
        <w:tc>
          <w:tcPr>
            <w:tcW w:w="601" w:type="pct"/>
            <w:tcBorders>
              <w:top w:val="single" w:sz="4" w:space="0" w:color="auto"/>
              <w:left w:val="single" w:sz="4" w:space="0" w:color="FFFFFF"/>
              <w:bottom w:val="single" w:sz="4" w:space="0" w:color="auto"/>
              <w:right w:val="single" w:sz="4" w:space="0" w:color="FFFFFF"/>
            </w:tcBorders>
            <w:hideMark/>
          </w:tcPr>
          <w:p w14:paraId="5C38035B" w14:textId="77777777" w:rsidR="00204EF1" w:rsidRDefault="00204EF1" w:rsidP="004C7BEF">
            <w:pPr>
              <w:pStyle w:val="ARtabletext"/>
            </w:pPr>
            <w:r w:rsidRPr="00804DD6">
              <w:t>13 August 2021</w:t>
            </w:r>
            <w:r>
              <w:t xml:space="preserve"> – </w:t>
            </w:r>
            <w:r w:rsidRPr="00804DD6">
              <w:t>30</w:t>
            </w:r>
            <w:r>
              <w:t> </w:t>
            </w:r>
            <w:r w:rsidRPr="00804DD6">
              <w:t>June 2022</w:t>
            </w:r>
            <w:r w:rsidRPr="00ED2B53">
              <w:rPr>
                <w:rStyle w:val="FootnoteReference"/>
              </w:rPr>
              <w:t>(</w:t>
            </w:r>
            <w:r>
              <w:rPr>
                <w:rStyle w:val="FootnoteReference"/>
              </w:rPr>
              <w:footnoteReference w:id="48"/>
            </w:r>
            <w:r w:rsidRPr="00ED2B53">
              <w:rPr>
                <w:rStyle w:val="FootnoteReference"/>
              </w:rPr>
              <w:t>)</w:t>
            </w:r>
          </w:p>
        </w:tc>
        <w:tc>
          <w:tcPr>
            <w:tcW w:w="403" w:type="pct"/>
            <w:tcBorders>
              <w:top w:val="single" w:sz="4" w:space="0" w:color="auto"/>
              <w:left w:val="single" w:sz="4" w:space="0" w:color="FFFFFF"/>
              <w:bottom w:val="single" w:sz="4" w:space="0" w:color="auto"/>
              <w:right w:val="single" w:sz="4" w:space="0" w:color="FFFFFF"/>
            </w:tcBorders>
            <w:hideMark/>
          </w:tcPr>
          <w:p w14:paraId="6BE598B1" w14:textId="77777777" w:rsidR="00204EF1" w:rsidRDefault="00204EF1" w:rsidP="004C7BEF">
            <w:pPr>
              <w:pStyle w:val="ARtabletextright"/>
              <w:rPr>
                <w:rFonts w:ascii="Segoe UI" w:hAnsi="Segoe UI" w:cs="Segoe UI"/>
              </w:rPr>
            </w:pPr>
            <w:r w:rsidRPr="00804DD6">
              <w:t>$13,102,54</w:t>
            </w:r>
            <w:r>
              <w:t>5</w:t>
            </w:r>
          </w:p>
        </w:tc>
        <w:tc>
          <w:tcPr>
            <w:tcW w:w="520" w:type="pct"/>
            <w:tcBorders>
              <w:top w:val="single" w:sz="4" w:space="0" w:color="auto"/>
              <w:left w:val="single" w:sz="4" w:space="0" w:color="FFFFFF"/>
              <w:bottom w:val="single" w:sz="4" w:space="0" w:color="auto"/>
              <w:right w:val="single" w:sz="4" w:space="0" w:color="FFFFFF"/>
            </w:tcBorders>
            <w:hideMark/>
          </w:tcPr>
          <w:p w14:paraId="621FA7F3" w14:textId="5ED4387F" w:rsidR="00204EF1" w:rsidRDefault="009A4538" w:rsidP="004C7BEF">
            <w:pPr>
              <w:pStyle w:val="ARtabletextright"/>
              <w:rPr>
                <w:rFonts w:ascii="Segoe UI" w:hAnsi="Segoe UI" w:cs="Segoe UI"/>
              </w:rPr>
            </w:pPr>
            <w:r w:rsidRPr="001B7DDE">
              <w:t>$2,113,614</w:t>
            </w:r>
          </w:p>
        </w:tc>
        <w:tc>
          <w:tcPr>
            <w:tcW w:w="477" w:type="pct"/>
            <w:tcBorders>
              <w:top w:val="single" w:sz="4" w:space="0" w:color="auto"/>
              <w:left w:val="single" w:sz="4" w:space="0" w:color="FFFFFF"/>
              <w:bottom w:val="single" w:sz="4" w:space="0" w:color="auto"/>
              <w:right w:val="single" w:sz="4" w:space="0" w:color="FFFFFF"/>
            </w:tcBorders>
            <w:hideMark/>
          </w:tcPr>
          <w:p w14:paraId="737AF376" w14:textId="77777777" w:rsidR="00204EF1" w:rsidRDefault="00204EF1" w:rsidP="004C7BEF">
            <w:pPr>
              <w:pStyle w:val="ARtabletextright"/>
              <w:rPr>
                <w:rFonts w:ascii="Segoe UI" w:hAnsi="Segoe UI" w:cs="Segoe UI"/>
              </w:rPr>
            </w:pPr>
            <w:r w:rsidRPr="00804DD6">
              <w:t>$128,616</w:t>
            </w:r>
          </w:p>
        </w:tc>
        <w:tc>
          <w:tcPr>
            <w:tcW w:w="477" w:type="pct"/>
            <w:tcBorders>
              <w:top w:val="single" w:sz="4" w:space="0" w:color="auto"/>
              <w:left w:val="single" w:sz="4" w:space="0" w:color="FFFFFF"/>
              <w:bottom w:val="single" w:sz="4" w:space="0" w:color="auto"/>
              <w:right w:val="single" w:sz="4" w:space="0" w:color="FFFFFF"/>
            </w:tcBorders>
            <w:hideMark/>
          </w:tcPr>
          <w:p w14:paraId="4EDADC12" w14:textId="77777777" w:rsidR="00204EF1" w:rsidRDefault="00204EF1" w:rsidP="004C7BEF">
            <w:pPr>
              <w:pStyle w:val="ARtabletextright"/>
              <w:rPr>
                <w:rFonts w:ascii="Segoe UI" w:hAnsi="Segoe UI" w:cs="Segoe UI"/>
              </w:rPr>
            </w:pPr>
            <w:r w:rsidRPr="00804DD6">
              <w:t>$14,429</w:t>
            </w:r>
          </w:p>
        </w:tc>
        <w:tc>
          <w:tcPr>
            <w:tcW w:w="477" w:type="pct"/>
            <w:tcBorders>
              <w:top w:val="single" w:sz="4" w:space="0" w:color="auto"/>
              <w:left w:val="single" w:sz="4" w:space="0" w:color="FFFFFF"/>
              <w:bottom w:val="single" w:sz="4" w:space="0" w:color="auto"/>
              <w:right w:val="single" w:sz="4" w:space="0" w:color="FFFFFF"/>
            </w:tcBorders>
            <w:hideMark/>
          </w:tcPr>
          <w:p w14:paraId="3D396F16" w14:textId="0E885B79" w:rsidR="00204EF1" w:rsidRDefault="009A4538" w:rsidP="004C7BEF">
            <w:pPr>
              <w:pStyle w:val="ARtabletextright"/>
              <w:rPr>
                <w:rFonts w:ascii="Segoe UI" w:hAnsi="Segoe UI" w:cs="Segoe UI"/>
              </w:rPr>
            </w:pPr>
            <w:r w:rsidRPr="001B7DDE">
              <w:t>$32,240</w:t>
            </w:r>
          </w:p>
        </w:tc>
        <w:tc>
          <w:tcPr>
            <w:tcW w:w="491" w:type="pct"/>
            <w:tcBorders>
              <w:top w:val="single" w:sz="4" w:space="0" w:color="auto"/>
              <w:left w:val="single" w:sz="4" w:space="0" w:color="FFFFFF"/>
              <w:bottom w:val="single" w:sz="4" w:space="0" w:color="auto"/>
              <w:right w:val="single" w:sz="4" w:space="0" w:color="FFFFFF"/>
            </w:tcBorders>
            <w:hideMark/>
          </w:tcPr>
          <w:p w14:paraId="5F6782F2" w14:textId="77777777" w:rsidR="00204EF1" w:rsidRDefault="00204EF1" w:rsidP="004C7BEF">
            <w:pPr>
              <w:pStyle w:val="ARtabletextright"/>
              <w:rPr>
                <w:rFonts w:ascii="Segoe UI" w:hAnsi="Segoe UI" w:cs="Segoe UI"/>
              </w:rPr>
            </w:pPr>
            <w:r w:rsidRPr="00804DD6">
              <w:t>$15,391,444</w:t>
            </w:r>
          </w:p>
        </w:tc>
      </w:tr>
      <w:tr w:rsidR="00204EF1" w14:paraId="5E17BB2B" w14:textId="77777777" w:rsidTr="004C7BEF">
        <w:tc>
          <w:tcPr>
            <w:tcW w:w="708" w:type="pct"/>
            <w:tcBorders>
              <w:top w:val="single" w:sz="4" w:space="0" w:color="auto"/>
              <w:left w:val="single" w:sz="4" w:space="0" w:color="FFFFFF"/>
              <w:bottom w:val="single" w:sz="4" w:space="0" w:color="auto"/>
              <w:right w:val="single" w:sz="4" w:space="0" w:color="FFFFFF"/>
            </w:tcBorders>
            <w:hideMark/>
          </w:tcPr>
          <w:p w14:paraId="1954845B" w14:textId="77777777" w:rsidR="00204EF1" w:rsidRDefault="00204EF1" w:rsidP="004C7BEF">
            <w:pPr>
              <w:pStyle w:val="ARtabletext"/>
            </w:pPr>
            <w:r w:rsidRPr="00804DD6">
              <w:t>COVID-19 Worker support payment campaign</w:t>
            </w:r>
          </w:p>
        </w:tc>
        <w:tc>
          <w:tcPr>
            <w:tcW w:w="846" w:type="pct"/>
            <w:tcBorders>
              <w:top w:val="single" w:sz="4" w:space="0" w:color="auto"/>
              <w:left w:val="single" w:sz="4" w:space="0" w:color="FFFFFF"/>
              <w:bottom w:val="single" w:sz="4" w:space="0" w:color="auto"/>
              <w:right w:val="single" w:sz="4" w:space="0" w:color="FFFFFF"/>
            </w:tcBorders>
            <w:hideMark/>
          </w:tcPr>
          <w:p w14:paraId="5A664B22" w14:textId="77777777" w:rsidR="00204EF1" w:rsidRDefault="00204EF1" w:rsidP="004C7BEF">
            <w:pPr>
              <w:pStyle w:val="ARtabletext"/>
            </w:pPr>
            <w:r w:rsidRPr="00804DD6">
              <w:t xml:space="preserve">Raise awareness of support payments available for </w:t>
            </w:r>
            <w:r>
              <w:t>those isolating due to</w:t>
            </w:r>
            <w:r w:rsidRPr="00804DD6">
              <w:t xml:space="preserve"> COVID-19.</w:t>
            </w:r>
          </w:p>
        </w:tc>
        <w:tc>
          <w:tcPr>
            <w:tcW w:w="601" w:type="pct"/>
            <w:tcBorders>
              <w:top w:val="single" w:sz="4" w:space="0" w:color="auto"/>
              <w:left w:val="single" w:sz="4" w:space="0" w:color="FFFFFF"/>
              <w:bottom w:val="single" w:sz="4" w:space="0" w:color="auto"/>
              <w:right w:val="single" w:sz="4" w:space="0" w:color="FFFFFF"/>
            </w:tcBorders>
            <w:hideMark/>
          </w:tcPr>
          <w:p w14:paraId="215D3A69" w14:textId="77777777" w:rsidR="00204EF1" w:rsidRDefault="00204EF1" w:rsidP="004C7BEF">
            <w:pPr>
              <w:pStyle w:val="ARtabletext"/>
            </w:pPr>
            <w:r w:rsidRPr="00804DD6">
              <w:t>1 July 2021</w:t>
            </w:r>
            <w:r>
              <w:t xml:space="preserve"> – </w:t>
            </w:r>
            <w:r w:rsidRPr="00804DD6">
              <w:t>26</w:t>
            </w:r>
            <w:r>
              <w:t> </w:t>
            </w:r>
            <w:r w:rsidRPr="00804DD6">
              <w:t>February 2022</w:t>
            </w:r>
          </w:p>
        </w:tc>
        <w:tc>
          <w:tcPr>
            <w:tcW w:w="403" w:type="pct"/>
            <w:tcBorders>
              <w:top w:val="single" w:sz="4" w:space="0" w:color="auto"/>
              <w:left w:val="single" w:sz="4" w:space="0" w:color="FFFFFF"/>
              <w:bottom w:val="single" w:sz="4" w:space="0" w:color="auto"/>
              <w:right w:val="single" w:sz="4" w:space="0" w:color="FFFFFF"/>
            </w:tcBorders>
            <w:hideMark/>
          </w:tcPr>
          <w:p w14:paraId="10968692" w14:textId="77777777" w:rsidR="00204EF1" w:rsidRDefault="00204EF1" w:rsidP="004C7BEF">
            <w:pPr>
              <w:pStyle w:val="ARtabletextright"/>
              <w:rPr>
                <w:rFonts w:ascii="Segoe UI" w:hAnsi="Segoe UI" w:cs="Segoe UI"/>
              </w:rPr>
            </w:pPr>
            <w:r w:rsidRPr="00804DD6">
              <w:t>$1,000,22</w:t>
            </w:r>
            <w:r>
              <w:t>4</w:t>
            </w:r>
          </w:p>
        </w:tc>
        <w:tc>
          <w:tcPr>
            <w:tcW w:w="520" w:type="pct"/>
            <w:tcBorders>
              <w:top w:val="single" w:sz="4" w:space="0" w:color="auto"/>
              <w:left w:val="single" w:sz="4" w:space="0" w:color="FFFFFF"/>
              <w:bottom w:val="single" w:sz="4" w:space="0" w:color="auto"/>
              <w:right w:val="single" w:sz="4" w:space="0" w:color="FFFFFF"/>
            </w:tcBorders>
            <w:hideMark/>
          </w:tcPr>
          <w:p w14:paraId="79B539E5" w14:textId="77777777" w:rsidR="00204EF1" w:rsidRDefault="00204EF1" w:rsidP="004C7BEF">
            <w:pPr>
              <w:pStyle w:val="ARtabletextright"/>
              <w:rPr>
                <w:rFonts w:ascii="Segoe UI" w:hAnsi="Segoe UI" w:cs="Segoe UI"/>
              </w:rPr>
            </w:pPr>
            <w:r w:rsidRPr="00804DD6">
              <w:t>$7,565</w:t>
            </w:r>
          </w:p>
        </w:tc>
        <w:tc>
          <w:tcPr>
            <w:tcW w:w="477" w:type="pct"/>
            <w:tcBorders>
              <w:top w:val="single" w:sz="4" w:space="0" w:color="auto"/>
              <w:left w:val="single" w:sz="4" w:space="0" w:color="FFFFFF"/>
              <w:bottom w:val="single" w:sz="4" w:space="0" w:color="auto"/>
              <w:right w:val="single" w:sz="4" w:space="0" w:color="FFFFFF"/>
            </w:tcBorders>
            <w:hideMark/>
          </w:tcPr>
          <w:p w14:paraId="387B0280" w14:textId="77777777" w:rsidR="00204EF1" w:rsidRDefault="00204EF1" w:rsidP="004C7BEF">
            <w:pPr>
              <w:pStyle w:val="ARtabletextright"/>
              <w:rPr>
                <w:rFonts w:ascii="Segoe UI" w:hAnsi="Segoe UI" w:cs="Segoe UI"/>
              </w:rPr>
            </w:pPr>
            <w:r w:rsidRPr="00804DD6">
              <w:t>$0</w:t>
            </w:r>
          </w:p>
        </w:tc>
        <w:tc>
          <w:tcPr>
            <w:tcW w:w="477" w:type="pct"/>
            <w:tcBorders>
              <w:top w:val="single" w:sz="4" w:space="0" w:color="auto"/>
              <w:left w:val="single" w:sz="4" w:space="0" w:color="FFFFFF"/>
              <w:bottom w:val="single" w:sz="4" w:space="0" w:color="auto"/>
              <w:right w:val="single" w:sz="4" w:space="0" w:color="FFFFFF"/>
            </w:tcBorders>
            <w:hideMark/>
          </w:tcPr>
          <w:p w14:paraId="621BA929" w14:textId="77777777" w:rsidR="00204EF1" w:rsidRDefault="00204EF1" w:rsidP="004C7BEF">
            <w:pPr>
              <w:pStyle w:val="ARtabletextright"/>
              <w:rPr>
                <w:rFonts w:ascii="Segoe UI" w:hAnsi="Segoe UI" w:cs="Segoe UI"/>
              </w:rPr>
            </w:pPr>
            <w:r w:rsidRPr="00804DD6">
              <w:t>$0</w:t>
            </w:r>
          </w:p>
        </w:tc>
        <w:tc>
          <w:tcPr>
            <w:tcW w:w="477" w:type="pct"/>
            <w:tcBorders>
              <w:top w:val="single" w:sz="4" w:space="0" w:color="auto"/>
              <w:left w:val="single" w:sz="4" w:space="0" w:color="FFFFFF"/>
              <w:bottom w:val="single" w:sz="4" w:space="0" w:color="auto"/>
              <w:right w:val="single" w:sz="4" w:space="0" w:color="FFFFFF"/>
            </w:tcBorders>
            <w:hideMark/>
          </w:tcPr>
          <w:p w14:paraId="5A3580BB" w14:textId="77777777" w:rsidR="00204EF1" w:rsidRDefault="00204EF1" w:rsidP="004C7BEF">
            <w:pPr>
              <w:pStyle w:val="ARtabletextright"/>
              <w:rPr>
                <w:rFonts w:ascii="Segoe UI" w:hAnsi="Segoe UI" w:cs="Segoe UI"/>
              </w:rPr>
            </w:pPr>
            <w:r w:rsidRPr="00804DD6">
              <w:t>$0</w:t>
            </w:r>
          </w:p>
        </w:tc>
        <w:tc>
          <w:tcPr>
            <w:tcW w:w="491" w:type="pct"/>
            <w:tcBorders>
              <w:top w:val="single" w:sz="4" w:space="0" w:color="auto"/>
              <w:left w:val="single" w:sz="4" w:space="0" w:color="FFFFFF"/>
              <w:bottom w:val="single" w:sz="4" w:space="0" w:color="auto"/>
              <w:right w:val="single" w:sz="4" w:space="0" w:color="FFFFFF"/>
            </w:tcBorders>
            <w:hideMark/>
          </w:tcPr>
          <w:p w14:paraId="519862EB" w14:textId="77777777" w:rsidR="00204EF1" w:rsidRDefault="00204EF1" w:rsidP="004C7BEF">
            <w:pPr>
              <w:pStyle w:val="ARtabletextright"/>
              <w:rPr>
                <w:rFonts w:ascii="Segoe UI" w:hAnsi="Segoe UI" w:cs="Segoe UI"/>
              </w:rPr>
            </w:pPr>
            <w:r w:rsidRPr="00804DD6">
              <w:t>$1,007,78</w:t>
            </w:r>
            <w:r>
              <w:t>9</w:t>
            </w:r>
          </w:p>
        </w:tc>
      </w:tr>
      <w:tr w:rsidR="00204EF1" w14:paraId="39EC3E2F" w14:textId="77777777" w:rsidTr="004C7BEF">
        <w:tc>
          <w:tcPr>
            <w:tcW w:w="708" w:type="pct"/>
            <w:tcBorders>
              <w:top w:val="single" w:sz="4" w:space="0" w:color="auto"/>
              <w:left w:val="single" w:sz="4" w:space="0" w:color="FFFFFF"/>
              <w:bottom w:val="single" w:sz="4" w:space="0" w:color="auto"/>
              <w:right w:val="single" w:sz="4" w:space="0" w:color="FFFFFF"/>
            </w:tcBorders>
            <w:hideMark/>
          </w:tcPr>
          <w:p w14:paraId="4F744CBE" w14:textId="77777777" w:rsidR="00204EF1" w:rsidRDefault="00204EF1" w:rsidP="004C7BEF">
            <w:pPr>
              <w:pStyle w:val="ARtabletext"/>
            </w:pPr>
            <w:r w:rsidRPr="00804DD6">
              <w:t>Save 000</w:t>
            </w:r>
            <w:r>
              <w:t xml:space="preserve"> for emergencies</w:t>
            </w:r>
          </w:p>
        </w:tc>
        <w:tc>
          <w:tcPr>
            <w:tcW w:w="846" w:type="pct"/>
            <w:tcBorders>
              <w:top w:val="single" w:sz="4" w:space="0" w:color="auto"/>
              <w:left w:val="single" w:sz="4" w:space="0" w:color="FFFFFF"/>
              <w:bottom w:val="single" w:sz="4" w:space="0" w:color="auto"/>
              <w:right w:val="single" w:sz="4" w:space="0" w:color="FFFFFF"/>
            </w:tcBorders>
            <w:hideMark/>
          </w:tcPr>
          <w:p w14:paraId="3BB0F2FC" w14:textId="77777777" w:rsidR="00204EF1" w:rsidRDefault="00204EF1" w:rsidP="004C7BEF">
            <w:pPr>
              <w:pStyle w:val="ARtabletext"/>
            </w:pPr>
            <w:r w:rsidRPr="00804DD6">
              <w:t xml:space="preserve">Raise awareness that there are other health services </w:t>
            </w:r>
            <w:r>
              <w:t xml:space="preserve">that </w:t>
            </w:r>
            <w:r w:rsidRPr="00804DD6">
              <w:t>can help with minor or non-emergency needs, including COVID</w:t>
            </w:r>
            <w:r>
              <w:t>-19,</w:t>
            </w:r>
            <w:r w:rsidRPr="00804DD6">
              <w:t xml:space="preserve"> whilst saving 000 for emergencies</w:t>
            </w:r>
            <w:r>
              <w:t>.</w:t>
            </w:r>
          </w:p>
        </w:tc>
        <w:tc>
          <w:tcPr>
            <w:tcW w:w="601" w:type="pct"/>
            <w:tcBorders>
              <w:top w:val="single" w:sz="4" w:space="0" w:color="auto"/>
              <w:left w:val="single" w:sz="4" w:space="0" w:color="FFFFFF"/>
              <w:bottom w:val="single" w:sz="4" w:space="0" w:color="auto"/>
              <w:right w:val="single" w:sz="4" w:space="0" w:color="FFFFFF"/>
            </w:tcBorders>
            <w:hideMark/>
          </w:tcPr>
          <w:p w14:paraId="0E667ED9" w14:textId="77777777" w:rsidR="00204EF1" w:rsidRDefault="00204EF1" w:rsidP="004C7BEF">
            <w:pPr>
              <w:pStyle w:val="ARtabletext"/>
            </w:pPr>
            <w:r w:rsidRPr="00804DD6">
              <w:t>20 October 2021</w:t>
            </w:r>
            <w:r>
              <w:t xml:space="preserve"> – </w:t>
            </w:r>
            <w:r w:rsidRPr="00804DD6">
              <w:t>30</w:t>
            </w:r>
            <w:r>
              <w:t> </w:t>
            </w:r>
            <w:r w:rsidRPr="00804DD6">
              <w:t>June 2022</w:t>
            </w:r>
            <w:r w:rsidRPr="00ED2B53">
              <w:rPr>
                <w:rStyle w:val="FootnoteReference"/>
              </w:rPr>
              <w:t>(</w:t>
            </w:r>
            <w:r>
              <w:rPr>
                <w:rStyle w:val="FootnoteReference"/>
              </w:rPr>
              <w:footnoteReference w:id="49"/>
            </w:r>
            <w:r w:rsidRPr="00ED2B53">
              <w:rPr>
                <w:rStyle w:val="FootnoteReference"/>
              </w:rPr>
              <w:t>)</w:t>
            </w:r>
          </w:p>
        </w:tc>
        <w:tc>
          <w:tcPr>
            <w:tcW w:w="403" w:type="pct"/>
            <w:tcBorders>
              <w:top w:val="single" w:sz="4" w:space="0" w:color="auto"/>
              <w:left w:val="single" w:sz="4" w:space="0" w:color="FFFFFF"/>
              <w:bottom w:val="single" w:sz="4" w:space="0" w:color="auto"/>
              <w:right w:val="single" w:sz="4" w:space="0" w:color="FFFFFF"/>
            </w:tcBorders>
            <w:hideMark/>
          </w:tcPr>
          <w:p w14:paraId="0D1D0162" w14:textId="77777777" w:rsidR="00204EF1" w:rsidRDefault="00204EF1" w:rsidP="004C7BEF">
            <w:pPr>
              <w:pStyle w:val="ARtabletextright"/>
              <w:rPr>
                <w:rFonts w:ascii="Segoe UI" w:hAnsi="Segoe UI" w:cs="Segoe UI"/>
              </w:rPr>
            </w:pPr>
            <w:r w:rsidRPr="00804DD6">
              <w:t>$5,293,0</w:t>
            </w:r>
            <w:r>
              <w:t>90</w:t>
            </w:r>
          </w:p>
        </w:tc>
        <w:tc>
          <w:tcPr>
            <w:tcW w:w="520" w:type="pct"/>
            <w:tcBorders>
              <w:top w:val="single" w:sz="4" w:space="0" w:color="auto"/>
              <w:left w:val="single" w:sz="4" w:space="0" w:color="FFFFFF"/>
              <w:bottom w:val="single" w:sz="4" w:space="0" w:color="auto"/>
              <w:right w:val="single" w:sz="4" w:space="0" w:color="FFFFFF"/>
            </w:tcBorders>
            <w:hideMark/>
          </w:tcPr>
          <w:p w14:paraId="2CCAC912" w14:textId="05830197" w:rsidR="00204EF1" w:rsidRDefault="009A4538" w:rsidP="004C7BEF">
            <w:pPr>
              <w:pStyle w:val="ARtabletextright"/>
              <w:rPr>
                <w:rFonts w:ascii="Segoe UI" w:hAnsi="Segoe UI" w:cs="Segoe UI"/>
              </w:rPr>
            </w:pPr>
            <w:r w:rsidRPr="00971FCC">
              <w:t>$39,978</w:t>
            </w:r>
          </w:p>
        </w:tc>
        <w:tc>
          <w:tcPr>
            <w:tcW w:w="477" w:type="pct"/>
            <w:tcBorders>
              <w:top w:val="single" w:sz="4" w:space="0" w:color="auto"/>
              <w:left w:val="single" w:sz="4" w:space="0" w:color="FFFFFF"/>
              <w:bottom w:val="single" w:sz="4" w:space="0" w:color="auto"/>
              <w:right w:val="single" w:sz="4" w:space="0" w:color="FFFFFF"/>
            </w:tcBorders>
            <w:hideMark/>
          </w:tcPr>
          <w:p w14:paraId="7A90816A" w14:textId="77777777" w:rsidR="00204EF1" w:rsidRDefault="00204EF1" w:rsidP="004C7BEF">
            <w:pPr>
              <w:pStyle w:val="ARtabletextright"/>
              <w:rPr>
                <w:rFonts w:ascii="Segoe UI" w:hAnsi="Segoe UI" w:cs="Segoe UI"/>
              </w:rPr>
            </w:pPr>
            <w:r w:rsidRPr="00804DD6">
              <w:t>$37,950</w:t>
            </w:r>
          </w:p>
        </w:tc>
        <w:tc>
          <w:tcPr>
            <w:tcW w:w="477" w:type="pct"/>
            <w:tcBorders>
              <w:top w:val="single" w:sz="4" w:space="0" w:color="auto"/>
              <w:left w:val="single" w:sz="4" w:space="0" w:color="FFFFFF"/>
              <w:bottom w:val="single" w:sz="4" w:space="0" w:color="auto"/>
              <w:right w:val="single" w:sz="4" w:space="0" w:color="FFFFFF"/>
            </w:tcBorders>
            <w:hideMark/>
          </w:tcPr>
          <w:p w14:paraId="14C1C376" w14:textId="77777777" w:rsidR="00204EF1" w:rsidRDefault="00204EF1" w:rsidP="004C7BEF">
            <w:pPr>
              <w:pStyle w:val="ARtabletextright"/>
              <w:rPr>
                <w:rFonts w:ascii="Segoe UI" w:hAnsi="Segoe UI" w:cs="Segoe UI"/>
              </w:rPr>
            </w:pPr>
            <w:r w:rsidRPr="00804DD6">
              <w:t>$0</w:t>
            </w:r>
          </w:p>
        </w:tc>
        <w:tc>
          <w:tcPr>
            <w:tcW w:w="477" w:type="pct"/>
            <w:tcBorders>
              <w:top w:val="single" w:sz="4" w:space="0" w:color="auto"/>
              <w:left w:val="single" w:sz="4" w:space="0" w:color="FFFFFF"/>
              <w:bottom w:val="single" w:sz="4" w:space="0" w:color="auto"/>
              <w:right w:val="single" w:sz="4" w:space="0" w:color="FFFFFF"/>
            </w:tcBorders>
            <w:hideMark/>
          </w:tcPr>
          <w:p w14:paraId="68743465" w14:textId="77777777" w:rsidR="00204EF1" w:rsidRDefault="00204EF1" w:rsidP="004C7BEF">
            <w:pPr>
              <w:pStyle w:val="ARtabletextright"/>
              <w:rPr>
                <w:rFonts w:ascii="Segoe UI" w:hAnsi="Segoe UI" w:cs="Segoe UI"/>
              </w:rPr>
            </w:pPr>
            <w:r w:rsidRPr="00804DD6">
              <w:t>$0</w:t>
            </w:r>
          </w:p>
        </w:tc>
        <w:tc>
          <w:tcPr>
            <w:tcW w:w="491" w:type="pct"/>
            <w:tcBorders>
              <w:top w:val="single" w:sz="4" w:space="0" w:color="auto"/>
              <w:left w:val="single" w:sz="4" w:space="0" w:color="FFFFFF"/>
              <w:bottom w:val="single" w:sz="4" w:space="0" w:color="auto"/>
              <w:right w:val="single" w:sz="4" w:space="0" w:color="FFFFFF"/>
            </w:tcBorders>
            <w:hideMark/>
          </w:tcPr>
          <w:p w14:paraId="4D0AFF2D" w14:textId="007B75FE" w:rsidR="00204EF1" w:rsidRDefault="009A4538" w:rsidP="004C7BEF">
            <w:pPr>
              <w:pStyle w:val="ARtabletextright"/>
              <w:rPr>
                <w:rFonts w:ascii="Segoe UI" w:hAnsi="Segoe UI" w:cs="Segoe UI"/>
              </w:rPr>
            </w:pPr>
            <w:r w:rsidRPr="00971FCC">
              <w:t>$5,371,018</w:t>
            </w:r>
          </w:p>
        </w:tc>
      </w:tr>
      <w:tr w:rsidR="00204EF1" w14:paraId="6F3C20C5" w14:textId="77777777" w:rsidTr="004C7BEF">
        <w:tc>
          <w:tcPr>
            <w:tcW w:w="708" w:type="pct"/>
            <w:tcBorders>
              <w:top w:val="single" w:sz="4" w:space="0" w:color="auto"/>
              <w:left w:val="single" w:sz="4" w:space="0" w:color="FFFFFF"/>
              <w:bottom w:val="single" w:sz="4" w:space="0" w:color="auto"/>
              <w:right w:val="single" w:sz="4" w:space="0" w:color="FFFFFF"/>
            </w:tcBorders>
            <w:hideMark/>
          </w:tcPr>
          <w:p w14:paraId="371A6CF0" w14:textId="77777777" w:rsidR="00204EF1" w:rsidRDefault="00204EF1" w:rsidP="004C7BEF">
            <w:pPr>
              <w:pStyle w:val="ARtabletext"/>
            </w:pPr>
            <w:r w:rsidRPr="00804DD6">
              <w:t>Managing COVID</w:t>
            </w:r>
            <w:r>
              <w:t>-19</w:t>
            </w:r>
            <w:r w:rsidRPr="00804DD6">
              <w:t xml:space="preserve"> at home</w:t>
            </w:r>
          </w:p>
        </w:tc>
        <w:tc>
          <w:tcPr>
            <w:tcW w:w="846" w:type="pct"/>
            <w:tcBorders>
              <w:top w:val="single" w:sz="4" w:space="0" w:color="auto"/>
              <w:left w:val="single" w:sz="4" w:space="0" w:color="FFFFFF"/>
              <w:bottom w:val="single" w:sz="4" w:space="0" w:color="auto"/>
              <w:right w:val="single" w:sz="4" w:space="0" w:color="FFFFFF"/>
            </w:tcBorders>
            <w:hideMark/>
          </w:tcPr>
          <w:p w14:paraId="0BD20131" w14:textId="77777777" w:rsidR="00204EF1" w:rsidRDefault="00204EF1" w:rsidP="004C7BEF">
            <w:pPr>
              <w:pStyle w:val="ARtabletext"/>
            </w:pPr>
            <w:r w:rsidRPr="00804DD6">
              <w:t>Ensuring Victorians are aware that they can manage mild COVID</w:t>
            </w:r>
            <w:r>
              <w:t>-19</w:t>
            </w:r>
            <w:r w:rsidRPr="00804DD6">
              <w:t xml:space="preserve"> symptoms safely at home, that they should monitor symptoms and only call 000 in emergencies</w:t>
            </w:r>
            <w:r>
              <w:t>.</w:t>
            </w:r>
          </w:p>
        </w:tc>
        <w:tc>
          <w:tcPr>
            <w:tcW w:w="601" w:type="pct"/>
            <w:tcBorders>
              <w:top w:val="single" w:sz="4" w:space="0" w:color="auto"/>
              <w:left w:val="single" w:sz="4" w:space="0" w:color="FFFFFF"/>
              <w:bottom w:val="single" w:sz="4" w:space="0" w:color="auto"/>
              <w:right w:val="single" w:sz="4" w:space="0" w:color="FFFFFF"/>
            </w:tcBorders>
            <w:hideMark/>
          </w:tcPr>
          <w:p w14:paraId="12846BA7" w14:textId="4A94FD94" w:rsidR="00204EF1" w:rsidRDefault="00204EF1" w:rsidP="004C7BEF">
            <w:pPr>
              <w:pStyle w:val="ARtabletext"/>
            </w:pPr>
            <w:r w:rsidRPr="00804DD6">
              <w:t>24 December 2021</w:t>
            </w:r>
            <w:r>
              <w:t xml:space="preserve"> – </w:t>
            </w:r>
            <w:r w:rsidRPr="00804DD6">
              <w:t>30</w:t>
            </w:r>
            <w:r>
              <w:t> </w:t>
            </w:r>
            <w:r w:rsidRPr="00804DD6">
              <w:t>June 2022</w:t>
            </w:r>
            <w:r w:rsidR="00EA0CD7" w:rsidRPr="00EA0CD7">
              <w:rPr>
                <w:vertAlign w:val="superscript"/>
              </w:rPr>
              <w:t>(</w:t>
            </w:r>
            <w:r w:rsidR="00554922">
              <w:rPr>
                <w:rStyle w:val="FootnoteReference"/>
              </w:rPr>
              <w:footnoteReference w:id="50"/>
            </w:r>
            <w:r w:rsidRPr="00ED2B53">
              <w:rPr>
                <w:rStyle w:val="FootnoteReference"/>
              </w:rPr>
              <w:t>)</w:t>
            </w:r>
          </w:p>
        </w:tc>
        <w:tc>
          <w:tcPr>
            <w:tcW w:w="403" w:type="pct"/>
            <w:tcBorders>
              <w:top w:val="single" w:sz="4" w:space="0" w:color="auto"/>
              <w:left w:val="single" w:sz="4" w:space="0" w:color="FFFFFF"/>
              <w:bottom w:val="single" w:sz="4" w:space="0" w:color="auto"/>
              <w:right w:val="single" w:sz="4" w:space="0" w:color="FFFFFF"/>
            </w:tcBorders>
            <w:hideMark/>
          </w:tcPr>
          <w:p w14:paraId="7D2297A4" w14:textId="77777777" w:rsidR="00204EF1" w:rsidRDefault="00204EF1" w:rsidP="004C7BEF">
            <w:pPr>
              <w:pStyle w:val="ARtabletextright"/>
              <w:rPr>
                <w:rFonts w:ascii="Segoe UI" w:hAnsi="Segoe UI" w:cs="Segoe UI"/>
              </w:rPr>
            </w:pPr>
            <w:r w:rsidRPr="00804DD6">
              <w:t>$3,297,83</w:t>
            </w:r>
            <w:r>
              <w:t>4</w:t>
            </w:r>
          </w:p>
        </w:tc>
        <w:tc>
          <w:tcPr>
            <w:tcW w:w="520" w:type="pct"/>
            <w:tcBorders>
              <w:top w:val="single" w:sz="4" w:space="0" w:color="auto"/>
              <w:left w:val="single" w:sz="4" w:space="0" w:color="FFFFFF"/>
              <w:bottom w:val="single" w:sz="4" w:space="0" w:color="auto"/>
              <w:right w:val="single" w:sz="4" w:space="0" w:color="FFFFFF"/>
            </w:tcBorders>
            <w:hideMark/>
          </w:tcPr>
          <w:p w14:paraId="332074B3" w14:textId="77777777" w:rsidR="00204EF1" w:rsidRDefault="00204EF1" w:rsidP="004C7BEF">
            <w:pPr>
              <w:pStyle w:val="ARtabletextright"/>
              <w:rPr>
                <w:rFonts w:ascii="Segoe UI" w:hAnsi="Segoe UI" w:cs="Segoe UI"/>
              </w:rPr>
            </w:pPr>
            <w:r w:rsidRPr="00804DD6">
              <w:t>$156,756</w:t>
            </w:r>
          </w:p>
        </w:tc>
        <w:tc>
          <w:tcPr>
            <w:tcW w:w="477" w:type="pct"/>
            <w:tcBorders>
              <w:top w:val="single" w:sz="4" w:space="0" w:color="auto"/>
              <w:left w:val="single" w:sz="4" w:space="0" w:color="FFFFFF"/>
              <w:bottom w:val="single" w:sz="4" w:space="0" w:color="auto"/>
              <w:right w:val="single" w:sz="4" w:space="0" w:color="FFFFFF"/>
            </w:tcBorders>
            <w:hideMark/>
          </w:tcPr>
          <w:p w14:paraId="7F29D61C" w14:textId="77777777" w:rsidR="00204EF1" w:rsidRDefault="00204EF1" w:rsidP="004C7BEF">
            <w:pPr>
              <w:pStyle w:val="ARtabletextright"/>
              <w:rPr>
                <w:rFonts w:ascii="Segoe UI" w:hAnsi="Segoe UI" w:cs="Segoe UI"/>
              </w:rPr>
            </w:pPr>
            <w:r w:rsidRPr="00804DD6">
              <w:t>$37,950</w:t>
            </w:r>
          </w:p>
        </w:tc>
        <w:tc>
          <w:tcPr>
            <w:tcW w:w="477" w:type="pct"/>
            <w:tcBorders>
              <w:top w:val="single" w:sz="4" w:space="0" w:color="auto"/>
              <w:left w:val="single" w:sz="4" w:space="0" w:color="FFFFFF"/>
              <w:bottom w:val="single" w:sz="4" w:space="0" w:color="auto"/>
              <w:right w:val="single" w:sz="4" w:space="0" w:color="FFFFFF"/>
            </w:tcBorders>
            <w:hideMark/>
          </w:tcPr>
          <w:p w14:paraId="0307DD46" w14:textId="77777777" w:rsidR="00204EF1" w:rsidRDefault="00204EF1" w:rsidP="004C7BEF">
            <w:pPr>
              <w:pStyle w:val="ARtabletextright"/>
              <w:rPr>
                <w:rFonts w:ascii="Segoe UI" w:hAnsi="Segoe UI" w:cs="Segoe UI"/>
              </w:rPr>
            </w:pPr>
            <w:r w:rsidRPr="00804DD6">
              <w:t>$0</w:t>
            </w:r>
          </w:p>
        </w:tc>
        <w:tc>
          <w:tcPr>
            <w:tcW w:w="477" w:type="pct"/>
            <w:tcBorders>
              <w:top w:val="single" w:sz="4" w:space="0" w:color="auto"/>
              <w:left w:val="single" w:sz="4" w:space="0" w:color="FFFFFF"/>
              <w:bottom w:val="single" w:sz="4" w:space="0" w:color="auto"/>
              <w:right w:val="single" w:sz="4" w:space="0" w:color="FFFFFF"/>
            </w:tcBorders>
            <w:hideMark/>
          </w:tcPr>
          <w:p w14:paraId="5FC06586" w14:textId="77777777" w:rsidR="00204EF1" w:rsidRDefault="00204EF1" w:rsidP="004C7BEF">
            <w:pPr>
              <w:pStyle w:val="ARtabletextright"/>
              <w:rPr>
                <w:rFonts w:ascii="Segoe UI" w:hAnsi="Segoe UI" w:cs="Segoe UI"/>
              </w:rPr>
            </w:pPr>
            <w:r w:rsidRPr="00804DD6">
              <w:t>$0</w:t>
            </w:r>
          </w:p>
        </w:tc>
        <w:tc>
          <w:tcPr>
            <w:tcW w:w="491" w:type="pct"/>
            <w:tcBorders>
              <w:top w:val="single" w:sz="4" w:space="0" w:color="auto"/>
              <w:left w:val="single" w:sz="4" w:space="0" w:color="FFFFFF"/>
              <w:bottom w:val="single" w:sz="4" w:space="0" w:color="auto"/>
              <w:right w:val="single" w:sz="4" w:space="0" w:color="FFFFFF"/>
            </w:tcBorders>
            <w:hideMark/>
          </w:tcPr>
          <w:p w14:paraId="7303AE21" w14:textId="77777777" w:rsidR="00204EF1" w:rsidRDefault="00204EF1" w:rsidP="004C7BEF">
            <w:pPr>
              <w:pStyle w:val="ARtabletextright"/>
              <w:rPr>
                <w:rFonts w:ascii="Segoe UI" w:hAnsi="Segoe UI" w:cs="Segoe UI"/>
              </w:rPr>
            </w:pPr>
            <w:r w:rsidRPr="00804DD6">
              <w:t>$3,492,540</w:t>
            </w:r>
          </w:p>
        </w:tc>
      </w:tr>
      <w:tr w:rsidR="00204EF1" w14:paraId="351F710C" w14:textId="77777777" w:rsidTr="004C7BEF">
        <w:tc>
          <w:tcPr>
            <w:tcW w:w="708" w:type="pct"/>
            <w:tcBorders>
              <w:top w:val="single" w:sz="4" w:space="0" w:color="auto"/>
              <w:left w:val="single" w:sz="4" w:space="0" w:color="FFFFFF"/>
              <w:bottom w:val="single" w:sz="4" w:space="0" w:color="auto"/>
              <w:right w:val="single" w:sz="4" w:space="0" w:color="FFFFFF"/>
            </w:tcBorders>
            <w:hideMark/>
          </w:tcPr>
          <w:p w14:paraId="70C21E46" w14:textId="77777777" w:rsidR="00204EF1" w:rsidRDefault="00204EF1" w:rsidP="004C7BEF">
            <w:pPr>
              <w:pStyle w:val="ARtabletext"/>
            </w:pPr>
            <w:r w:rsidRPr="00804DD6">
              <w:t>Stay well this winter</w:t>
            </w:r>
          </w:p>
        </w:tc>
        <w:tc>
          <w:tcPr>
            <w:tcW w:w="846" w:type="pct"/>
            <w:tcBorders>
              <w:top w:val="single" w:sz="4" w:space="0" w:color="auto"/>
              <w:left w:val="single" w:sz="4" w:space="0" w:color="FFFFFF"/>
              <w:bottom w:val="single" w:sz="4" w:space="0" w:color="auto"/>
              <w:right w:val="single" w:sz="4" w:space="0" w:color="FFFFFF"/>
            </w:tcBorders>
            <w:hideMark/>
          </w:tcPr>
          <w:p w14:paraId="6210553E" w14:textId="652092B1" w:rsidR="00204EF1" w:rsidRDefault="00204EF1" w:rsidP="004C7BEF">
            <w:pPr>
              <w:pStyle w:val="ARtabletext"/>
            </w:pPr>
            <w:r w:rsidRPr="00804DD6">
              <w:t>Raise awareness that Victorians can get both their flu shot and COVID</w:t>
            </w:r>
            <w:r>
              <w:t>-19</w:t>
            </w:r>
            <w:r w:rsidRPr="00804DD6">
              <w:t xml:space="preserve"> vaccination at the same time.</w:t>
            </w:r>
          </w:p>
        </w:tc>
        <w:tc>
          <w:tcPr>
            <w:tcW w:w="601" w:type="pct"/>
            <w:tcBorders>
              <w:top w:val="single" w:sz="4" w:space="0" w:color="auto"/>
              <w:left w:val="single" w:sz="4" w:space="0" w:color="FFFFFF"/>
              <w:bottom w:val="single" w:sz="4" w:space="0" w:color="auto"/>
              <w:right w:val="single" w:sz="4" w:space="0" w:color="FFFFFF"/>
            </w:tcBorders>
            <w:hideMark/>
          </w:tcPr>
          <w:p w14:paraId="27A3286E" w14:textId="77777777" w:rsidR="00204EF1" w:rsidRDefault="00204EF1" w:rsidP="004C7BEF">
            <w:pPr>
              <w:pStyle w:val="ARtabletext"/>
            </w:pPr>
            <w:r w:rsidRPr="00804DD6">
              <w:t>3 June 2021</w:t>
            </w:r>
            <w:r>
              <w:t xml:space="preserve"> – </w:t>
            </w:r>
            <w:r w:rsidRPr="00804DD6">
              <w:t>30</w:t>
            </w:r>
            <w:r>
              <w:t> </w:t>
            </w:r>
            <w:r w:rsidRPr="00804DD6">
              <w:t>June 2021</w:t>
            </w:r>
            <w:r w:rsidRPr="00ED2B53">
              <w:rPr>
                <w:rStyle w:val="FootnoteReference"/>
              </w:rPr>
              <w:t>(</w:t>
            </w:r>
            <w:r>
              <w:rPr>
                <w:rStyle w:val="FootnoteReference"/>
              </w:rPr>
              <w:t>a</w:t>
            </w:r>
            <w:r w:rsidRPr="00ED2B53">
              <w:rPr>
                <w:rStyle w:val="FootnoteReference"/>
              </w:rPr>
              <w:t>)</w:t>
            </w:r>
          </w:p>
        </w:tc>
        <w:tc>
          <w:tcPr>
            <w:tcW w:w="403" w:type="pct"/>
            <w:tcBorders>
              <w:top w:val="single" w:sz="4" w:space="0" w:color="auto"/>
              <w:left w:val="single" w:sz="4" w:space="0" w:color="FFFFFF"/>
              <w:bottom w:val="single" w:sz="4" w:space="0" w:color="auto"/>
              <w:right w:val="single" w:sz="4" w:space="0" w:color="FFFFFF"/>
            </w:tcBorders>
            <w:hideMark/>
          </w:tcPr>
          <w:p w14:paraId="3952D5EF" w14:textId="77777777" w:rsidR="00204EF1" w:rsidRDefault="00204EF1" w:rsidP="004C7BEF">
            <w:pPr>
              <w:pStyle w:val="ARtabletextright"/>
              <w:rPr>
                <w:rFonts w:ascii="Segoe UI" w:hAnsi="Segoe UI" w:cs="Segoe UI"/>
              </w:rPr>
            </w:pPr>
            <w:r w:rsidRPr="00804DD6">
              <w:t>$405,819</w:t>
            </w:r>
          </w:p>
        </w:tc>
        <w:tc>
          <w:tcPr>
            <w:tcW w:w="520" w:type="pct"/>
            <w:tcBorders>
              <w:top w:val="single" w:sz="4" w:space="0" w:color="auto"/>
              <w:left w:val="single" w:sz="4" w:space="0" w:color="FFFFFF"/>
              <w:bottom w:val="single" w:sz="4" w:space="0" w:color="auto"/>
              <w:right w:val="single" w:sz="4" w:space="0" w:color="FFFFFF"/>
            </w:tcBorders>
            <w:hideMark/>
          </w:tcPr>
          <w:p w14:paraId="39E600B9" w14:textId="77777777" w:rsidR="00204EF1" w:rsidRDefault="00204EF1" w:rsidP="004C7BEF">
            <w:pPr>
              <w:pStyle w:val="ARtabletextright"/>
              <w:rPr>
                <w:rFonts w:ascii="Segoe UI" w:hAnsi="Segoe UI" w:cs="Segoe UI"/>
              </w:rPr>
            </w:pPr>
            <w:r w:rsidRPr="00804DD6">
              <w:t>$383,9</w:t>
            </w:r>
            <w:r>
              <w:t>6</w:t>
            </w:r>
            <w:r w:rsidRPr="00804DD6">
              <w:t>0</w:t>
            </w:r>
          </w:p>
        </w:tc>
        <w:tc>
          <w:tcPr>
            <w:tcW w:w="477" w:type="pct"/>
            <w:tcBorders>
              <w:top w:val="single" w:sz="4" w:space="0" w:color="auto"/>
              <w:left w:val="single" w:sz="4" w:space="0" w:color="FFFFFF"/>
              <w:bottom w:val="single" w:sz="4" w:space="0" w:color="auto"/>
              <w:right w:val="single" w:sz="4" w:space="0" w:color="FFFFFF"/>
            </w:tcBorders>
            <w:hideMark/>
          </w:tcPr>
          <w:p w14:paraId="47B69D50" w14:textId="77777777" w:rsidR="00204EF1" w:rsidRDefault="00204EF1" w:rsidP="004C7BEF">
            <w:pPr>
              <w:pStyle w:val="ARtabletextright"/>
              <w:rPr>
                <w:rFonts w:ascii="Segoe UI" w:hAnsi="Segoe UI" w:cs="Segoe UI"/>
              </w:rPr>
            </w:pPr>
            <w:r w:rsidRPr="00804DD6">
              <w:t>$0</w:t>
            </w:r>
          </w:p>
        </w:tc>
        <w:tc>
          <w:tcPr>
            <w:tcW w:w="477" w:type="pct"/>
            <w:tcBorders>
              <w:top w:val="single" w:sz="4" w:space="0" w:color="auto"/>
              <w:left w:val="single" w:sz="4" w:space="0" w:color="FFFFFF"/>
              <w:bottom w:val="single" w:sz="4" w:space="0" w:color="auto"/>
              <w:right w:val="single" w:sz="4" w:space="0" w:color="FFFFFF"/>
            </w:tcBorders>
            <w:hideMark/>
          </w:tcPr>
          <w:p w14:paraId="43BDD350" w14:textId="77777777" w:rsidR="00204EF1" w:rsidRDefault="00204EF1" w:rsidP="004C7BEF">
            <w:pPr>
              <w:pStyle w:val="ARtabletextright"/>
              <w:rPr>
                <w:rFonts w:ascii="Segoe UI" w:hAnsi="Segoe UI" w:cs="Segoe UI"/>
              </w:rPr>
            </w:pPr>
            <w:r w:rsidRPr="00804DD6">
              <w:t>$0</w:t>
            </w:r>
          </w:p>
        </w:tc>
        <w:tc>
          <w:tcPr>
            <w:tcW w:w="477" w:type="pct"/>
            <w:tcBorders>
              <w:top w:val="single" w:sz="4" w:space="0" w:color="auto"/>
              <w:left w:val="single" w:sz="4" w:space="0" w:color="FFFFFF"/>
              <w:bottom w:val="single" w:sz="4" w:space="0" w:color="auto"/>
              <w:right w:val="single" w:sz="4" w:space="0" w:color="FFFFFF"/>
            </w:tcBorders>
            <w:hideMark/>
          </w:tcPr>
          <w:p w14:paraId="64608851" w14:textId="77777777" w:rsidR="00204EF1" w:rsidRDefault="00204EF1" w:rsidP="004C7BEF">
            <w:pPr>
              <w:pStyle w:val="ARtabletextright"/>
              <w:rPr>
                <w:rFonts w:ascii="Segoe UI" w:hAnsi="Segoe UI" w:cs="Segoe UI"/>
              </w:rPr>
            </w:pPr>
            <w:r w:rsidRPr="00804DD6">
              <w:t>$0</w:t>
            </w:r>
          </w:p>
        </w:tc>
        <w:tc>
          <w:tcPr>
            <w:tcW w:w="491" w:type="pct"/>
            <w:tcBorders>
              <w:top w:val="single" w:sz="4" w:space="0" w:color="auto"/>
              <w:left w:val="single" w:sz="4" w:space="0" w:color="FFFFFF"/>
              <w:bottom w:val="single" w:sz="4" w:space="0" w:color="auto"/>
              <w:right w:val="single" w:sz="4" w:space="0" w:color="FFFFFF"/>
            </w:tcBorders>
            <w:hideMark/>
          </w:tcPr>
          <w:p w14:paraId="665A669D" w14:textId="77777777" w:rsidR="00204EF1" w:rsidRDefault="00204EF1" w:rsidP="004C7BEF">
            <w:pPr>
              <w:pStyle w:val="ARtabletextright"/>
              <w:rPr>
                <w:rFonts w:ascii="Segoe UI" w:hAnsi="Segoe UI" w:cs="Segoe UI"/>
              </w:rPr>
            </w:pPr>
            <w:r w:rsidRPr="00804DD6">
              <w:t>$789,77</w:t>
            </w:r>
            <w:r>
              <w:t>9</w:t>
            </w:r>
          </w:p>
        </w:tc>
      </w:tr>
      <w:tr w:rsidR="00204EF1" w14:paraId="0C0F19A1" w14:textId="77777777" w:rsidTr="004C7BEF">
        <w:tc>
          <w:tcPr>
            <w:tcW w:w="708" w:type="pct"/>
            <w:tcBorders>
              <w:top w:val="single" w:sz="4" w:space="0" w:color="auto"/>
              <w:left w:val="single" w:sz="4" w:space="0" w:color="FFFFFF"/>
              <w:bottom w:val="single" w:sz="4" w:space="0" w:color="auto"/>
              <w:right w:val="single" w:sz="4" w:space="0" w:color="FFFFFF"/>
            </w:tcBorders>
          </w:tcPr>
          <w:p w14:paraId="48E02A3D" w14:textId="77777777" w:rsidR="00204EF1" w:rsidRDefault="00204EF1" w:rsidP="004C7BEF">
            <w:pPr>
              <w:pStyle w:val="ARtabletext"/>
            </w:pPr>
            <w:r w:rsidRPr="00804DD6">
              <w:t>Survive the heat</w:t>
            </w:r>
          </w:p>
        </w:tc>
        <w:tc>
          <w:tcPr>
            <w:tcW w:w="846" w:type="pct"/>
            <w:tcBorders>
              <w:top w:val="single" w:sz="4" w:space="0" w:color="auto"/>
              <w:left w:val="single" w:sz="4" w:space="0" w:color="FFFFFF"/>
              <w:bottom w:val="single" w:sz="4" w:space="0" w:color="auto"/>
              <w:right w:val="single" w:sz="4" w:space="0" w:color="FFFFFF"/>
            </w:tcBorders>
          </w:tcPr>
          <w:p w14:paraId="5AC1319D" w14:textId="77777777" w:rsidR="00204EF1" w:rsidRDefault="00204EF1" w:rsidP="004C7BEF">
            <w:pPr>
              <w:pStyle w:val="ARtabletext"/>
            </w:pPr>
            <w:r w:rsidRPr="00804DD6">
              <w:t xml:space="preserve">Raise awareness of the risks of </w:t>
            </w:r>
            <w:r w:rsidRPr="00194540">
              <w:t>extreme</w:t>
            </w:r>
            <w:r>
              <w:t xml:space="preserve"> heat </w:t>
            </w:r>
            <w:r w:rsidRPr="003F433D">
              <w:t>and provide simple tips on what to do to protect yourself and loved ones.</w:t>
            </w:r>
          </w:p>
        </w:tc>
        <w:tc>
          <w:tcPr>
            <w:tcW w:w="601" w:type="pct"/>
            <w:tcBorders>
              <w:top w:val="single" w:sz="4" w:space="0" w:color="auto"/>
              <w:left w:val="single" w:sz="4" w:space="0" w:color="FFFFFF"/>
              <w:bottom w:val="single" w:sz="4" w:space="0" w:color="auto"/>
              <w:right w:val="single" w:sz="4" w:space="0" w:color="FFFFFF"/>
            </w:tcBorders>
          </w:tcPr>
          <w:p w14:paraId="40992A81" w14:textId="77777777" w:rsidR="00204EF1" w:rsidRDefault="00204EF1" w:rsidP="004C7BEF">
            <w:pPr>
              <w:pStyle w:val="ARtabletext"/>
            </w:pPr>
            <w:r>
              <w:t>5</w:t>
            </w:r>
            <w:r w:rsidRPr="00804DD6">
              <w:t xml:space="preserve"> December 2021</w:t>
            </w:r>
            <w:r>
              <w:t xml:space="preserve"> – 7 </w:t>
            </w:r>
            <w:r w:rsidRPr="00804DD6">
              <w:t>March</w:t>
            </w:r>
            <w:r>
              <w:t> </w:t>
            </w:r>
            <w:r w:rsidRPr="00804DD6">
              <w:t>2022</w:t>
            </w:r>
          </w:p>
        </w:tc>
        <w:tc>
          <w:tcPr>
            <w:tcW w:w="403" w:type="pct"/>
            <w:tcBorders>
              <w:top w:val="single" w:sz="4" w:space="0" w:color="auto"/>
              <w:left w:val="single" w:sz="4" w:space="0" w:color="FFFFFF"/>
              <w:bottom w:val="single" w:sz="4" w:space="0" w:color="auto"/>
              <w:right w:val="single" w:sz="4" w:space="0" w:color="FFFFFF"/>
            </w:tcBorders>
          </w:tcPr>
          <w:p w14:paraId="4F0061DE" w14:textId="77777777" w:rsidR="00204EF1" w:rsidRDefault="00204EF1" w:rsidP="004C7BEF">
            <w:pPr>
              <w:pStyle w:val="ARtabletextright"/>
              <w:rPr>
                <w:color w:val="000000"/>
              </w:rPr>
            </w:pPr>
            <w:r w:rsidRPr="00804DD6">
              <w:t>$256,08</w:t>
            </w:r>
            <w:r>
              <w:t>4</w:t>
            </w:r>
          </w:p>
        </w:tc>
        <w:tc>
          <w:tcPr>
            <w:tcW w:w="520" w:type="pct"/>
            <w:tcBorders>
              <w:top w:val="single" w:sz="4" w:space="0" w:color="auto"/>
              <w:left w:val="single" w:sz="4" w:space="0" w:color="FFFFFF"/>
              <w:bottom w:val="single" w:sz="4" w:space="0" w:color="auto"/>
              <w:right w:val="single" w:sz="4" w:space="0" w:color="FFFFFF"/>
            </w:tcBorders>
          </w:tcPr>
          <w:p w14:paraId="5CB754AB" w14:textId="77777777" w:rsidR="00204EF1" w:rsidRDefault="00204EF1" w:rsidP="004C7BEF">
            <w:pPr>
              <w:pStyle w:val="ARtabletextright"/>
              <w:rPr>
                <w:color w:val="000000"/>
              </w:rPr>
            </w:pPr>
            <w:r w:rsidRPr="00804DD6">
              <w:t>$0</w:t>
            </w:r>
          </w:p>
        </w:tc>
        <w:tc>
          <w:tcPr>
            <w:tcW w:w="477" w:type="pct"/>
            <w:tcBorders>
              <w:top w:val="single" w:sz="4" w:space="0" w:color="auto"/>
              <w:left w:val="single" w:sz="4" w:space="0" w:color="FFFFFF"/>
              <w:bottom w:val="single" w:sz="4" w:space="0" w:color="auto"/>
              <w:right w:val="single" w:sz="4" w:space="0" w:color="FFFFFF"/>
            </w:tcBorders>
          </w:tcPr>
          <w:p w14:paraId="003807DB" w14:textId="77777777" w:rsidR="00204EF1" w:rsidRDefault="00204EF1" w:rsidP="004C7BEF">
            <w:pPr>
              <w:pStyle w:val="ARtabletextright"/>
              <w:rPr>
                <w:color w:val="000000"/>
              </w:rPr>
            </w:pPr>
            <w:r w:rsidRPr="00804DD6">
              <w:t>$30,000</w:t>
            </w:r>
          </w:p>
        </w:tc>
        <w:tc>
          <w:tcPr>
            <w:tcW w:w="477" w:type="pct"/>
            <w:tcBorders>
              <w:top w:val="single" w:sz="4" w:space="0" w:color="auto"/>
              <w:left w:val="single" w:sz="4" w:space="0" w:color="FFFFFF"/>
              <w:bottom w:val="single" w:sz="4" w:space="0" w:color="auto"/>
              <w:right w:val="single" w:sz="4" w:space="0" w:color="FFFFFF"/>
            </w:tcBorders>
          </w:tcPr>
          <w:p w14:paraId="009206F9" w14:textId="77777777" w:rsidR="00204EF1" w:rsidRDefault="00204EF1" w:rsidP="004C7BEF">
            <w:pPr>
              <w:pStyle w:val="ARtabletextright"/>
              <w:rPr>
                <w:color w:val="000000"/>
              </w:rPr>
            </w:pPr>
            <w:r w:rsidRPr="00804DD6">
              <w:t>$0</w:t>
            </w:r>
          </w:p>
        </w:tc>
        <w:tc>
          <w:tcPr>
            <w:tcW w:w="477" w:type="pct"/>
            <w:tcBorders>
              <w:top w:val="single" w:sz="4" w:space="0" w:color="auto"/>
              <w:left w:val="single" w:sz="4" w:space="0" w:color="FFFFFF"/>
              <w:bottom w:val="single" w:sz="4" w:space="0" w:color="auto"/>
              <w:right w:val="single" w:sz="4" w:space="0" w:color="FFFFFF"/>
            </w:tcBorders>
          </w:tcPr>
          <w:p w14:paraId="7D222A96" w14:textId="77777777" w:rsidR="00204EF1" w:rsidRDefault="00204EF1" w:rsidP="004C7BEF">
            <w:pPr>
              <w:pStyle w:val="ARtabletextright"/>
              <w:rPr>
                <w:color w:val="000000"/>
              </w:rPr>
            </w:pPr>
            <w:r w:rsidRPr="00804DD6">
              <w:t>$0</w:t>
            </w:r>
          </w:p>
        </w:tc>
        <w:tc>
          <w:tcPr>
            <w:tcW w:w="491" w:type="pct"/>
            <w:tcBorders>
              <w:top w:val="single" w:sz="4" w:space="0" w:color="auto"/>
              <w:left w:val="single" w:sz="4" w:space="0" w:color="FFFFFF"/>
              <w:bottom w:val="single" w:sz="4" w:space="0" w:color="auto"/>
              <w:right w:val="single" w:sz="4" w:space="0" w:color="FFFFFF"/>
            </w:tcBorders>
          </w:tcPr>
          <w:p w14:paraId="22C8CA8C" w14:textId="77777777" w:rsidR="00204EF1" w:rsidRDefault="00204EF1" w:rsidP="004C7BEF">
            <w:pPr>
              <w:pStyle w:val="ARtabletextright"/>
              <w:rPr>
                <w:color w:val="000000"/>
              </w:rPr>
            </w:pPr>
            <w:r w:rsidRPr="00804DD6">
              <w:t>$286,08</w:t>
            </w:r>
            <w:r>
              <w:t>4</w:t>
            </w:r>
          </w:p>
        </w:tc>
      </w:tr>
      <w:tr w:rsidR="00204EF1" w14:paraId="0DA7FFC8" w14:textId="77777777" w:rsidTr="004C7BEF">
        <w:tc>
          <w:tcPr>
            <w:tcW w:w="708" w:type="pct"/>
            <w:tcBorders>
              <w:top w:val="single" w:sz="4" w:space="0" w:color="auto"/>
              <w:left w:val="single" w:sz="4" w:space="0" w:color="FFFFFF"/>
              <w:bottom w:val="single" w:sz="4" w:space="0" w:color="auto"/>
              <w:right w:val="single" w:sz="4" w:space="0" w:color="FFFFFF"/>
            </w:tcBorders>
          </w:tcPr>
          <w:p w14:paraId="3A56F4E1" w14:textId="77777777" w:rsidR="00204EF1" w:rsidRDefault="00204EF1" w:rsidP="004C7BEF">
            <w:pPr>
              <w:pStyle w:val="ARtabletext"/>
            </w:pPr>
            <w:r w:rsidRPr="00804DD6">
              <w:t>Smile Squad</w:t>
            </w:r>
          </w:p>
        </w:tc>
        <w:tc>
          <w:tcPr>
            <w:tcW w:w="846" w:type="pct"/>
            <w:tcBorders>
              <w:top w:val="single" w:sz="4" w:space="0" w:color="auto"/>
              <w:left w:val="single" w:sz="4" w:space="0" w:color="FFFFFF"/>
              <w:bottom w:val="single" w:sz="4" w:space="0" w:color="auto"/>
              <w:right w:val="single" w:sz="4" w:space="0" w:color="FFFFFF"/>
            </w:tcBorders>
          </w:tcPr>
          <w:p w14:paraId="34FD28D7" w14:textId="77777777" w:rsidR="00204EF1" w:rsidRDefault="00204EF1" w:rsidP="004C7BEF">
            <w:pPr>
              <w:pStyle w:val="ARtabletext"/>
            </w:pPr>
            <w:r w:rsidRPr="00804DD6">
              <w:t>Support the resumption of Smile Squad services by increasing community awareness of the program and driving traffic to the program website for resources and program information.</w:t>
            </w:r>
          </w:p>
        </w:tc>
        <w:tc>
          <w:tcPr>
            <w:tcW w:w="601" w:type="pct"/>
            <w:tcBorders>
              <w:top w:val="single" w:sz="4" w:space="0" w:color="auto"/>
              <w:left w:val="single" w:sz="4" w:space="0" w:color="FFFFFF"/>
              <w:bottom w:val="single" w:sz="4" w:space="0" w:color="auto"/>
              <w:right w:val="single" w:sz="4" w:space="0" w:color="FFFFFF"/>
            </w:tcBorders>
          </w:tcPr>
          <w:p w14:paraId="6F14966C" w14:textId="77777777" w:rsidR="00204EF1" w:rsidRDefault="00204EF1" w:rsidP="004C7BEF">
            <w:pPr>
              <w:pStyle w:val="ARtabletext"/>
            </w:pPr>
            <w:r w:rsidRPr="00804DD6">
              <w:t>23 January 2022</w:t>
            </w:r>
            <w:r>
              <w:t xml:space="preserve"> – </w:t>
            </w:r>
            <w:r w:rsidRPr="00804DD6">
              <w:t>18</w:t>
            </w:r>
            <w:r>
              <w:t> </w:t>
            </w:r>
            <w:r w:rsidRPr="00804DD6">
              <w:t>June 2022</w:t>
            </w:r>
          </w:p>
        </w:tc>
        <w:tc>
          <w:tcPr>
            <w:tcW w:w="403" w:type="pct"/>
            <w:tcBorders>
              <w:top w:val="single" w:sz="4" w:space="0" w:color="auto"/>
              <w:left w:val="single" w:sz="4" w:space="0" w:color="FFFFFF"/>
              <w:bottom w:val="single" w:sz="4" w:space="0" w:color="auto"/>
              <w:right w:val="single" w:sz="4" w:space="0" w:color="FFFFFF"/>
            </w:tcBorders>
          </w:tcPr>
          <w:p w14:paraId="03DB90AB" w14:textId="77777777" w:rsidR="00204EF1" w:rsidRDefault="00204EF1" w:rsidP="004C7BEF">
            <w:pPr>
              <w:pStyle w:val="ARtabletextright"/>
              <w:rPr>
                <w:color w:val="000000"/>
              </w:rPr>
            </w:pPr>
            <w:r w:rsidRPr="00804DD6">
              <w:t>$853,622</w:t>
            </w:r>
          </w:p>
        </w:tc>
        <w:tc>
          <w:tcPr>
            <w:tcW w:w="520" w:type="pct"/>
            <w:tcBorders>
              <w:top w:val="single" w:sz="4" w:space="0" w:color="auto"/>
              <w:left w:val="single" w:sz="4" w:space="0" w:color="FFFFFF"/>
              <w:bottom w:val="single" w:sz="4" w:space="0" w:color="auto"/>
              <w:right w:val="single" w:sz="4" w:space="0" w:color="FFFFFF"/>
            </w:tcBorders>
          </w:tcPr>
          <w:p w14:paraId="1949A519" w14:textId="77777777" w:rsidR="00204EF1" w:rsidRDefault="00204EF1" w:rsidP="004C7BEF">
            <w:pPr>
              <w:pStyle w:val="ARtabletextright"/>
              <w:rPr>
                <w:color w:val="000000"/>
              </w:rPr>
            </w:pPr>
            <w:r w:rsidRPr="00804DD6">
              <w:t>$29,49</w:t>
            </w:r>
            <w:r>
              <w:t>4</w:t>
            </w:r>
          </w:p>
        </w:tc>
        <w:tc>
          <w:tcPr>
            <w:tcW w:w="477" w:type="pct"/>
            <w:tcBorders>
              <w:top w:val="single" w:sz="4" w:space="0" w:color="auto"/>
              <w:left w:val="single" w:sz="4" w:space="0" w:color="FFFFFF"/>
              <w:bottom w:val="single" w:sz="4" w:space="0" w:color="auto"/>
              <w:right w:val="single" w:sz="4" w:space="0" w:color="FFFFFF"/>
            </w:tcBorders>
          </w:tcPr>
          <w:p w14:paraId="394F73AB" w14:textId="77777777" w:rsidR="00204EF1" w:rsidRDefault="00204EF1" w:rsidP="004C7BEF">
            <w:pPr>
              <w:pStyle w:val="ARtabletextright"/>
              <w:rPr>
                <w:color w:val="000000"/>
              </w:rPr>
            </w:pPr>
            <w:r w:rsidRPr="00804DD6">
              <w:t>$0</w:t>
            </w:r>
          </w:p>
        </w:tc>
        <w:tc>
          <w:tcPr>
            <w:tcW w:w="477" w:type="pct"/>
            <w:tcBorders>
              <w:top w:val="single" w:sz="4" w:space="0" w:color="auto"/>
              <w:left w:val="single" w:sz="4" w:space="0" w:color="FFFFFF"/>
              <w:bottom w:val="single" w:sz="4" w:space="0" w:color="auto"/>
              <w:right w:val="single" w:sz="4" w:space="0" w:color="FFFFFF"/>
            </w:tcBorders>
          </w:tcPr>
          <w:p w14:paraId="38153AD1" w14:textId="77777777" w:rsidR="00204EF1" w:rsidRDefault="00204EF1" w:rsidP="004C7BEF">
            <w:pPr>
              <w:pStyle w:val="ARtabletextright"/>
              <w:rPr>
                <w:color w:val="000000"/>
              </w:rPr>
            </w:pPr>
            <w:r w:rsidRPr="00804DD6">
              <w:t>$0</w:t>
            </w:r>
          </w:p>
        </w:tc>
        <w:tc>
          <w:tcPr>
            <w:tcW w:w="477" w:type="pct"/>
            <w:tcBorders>
              <w:top w:val="single" w:sz="4" w:space="0" w:color="auto"/>
              <w:left w:val="single" w:sz="4" w:space="0" w:color="FFFFFF"/>
              <w:bottom w:val="single" w:sz="4" w:space="0" w:color="auto"/>
              <w:right w:val="single" w:sz="4" w:space="0" w:color="FFFFFF"/>
            </w:tcBorders>
          </w:tcPr>
          <w:p w14:paraId="217E39A5" w14:textId="1B6A52EA" w:rsidR="00204EF1" w:rsidRDefault="004C6128" w:rsidP="004C7BEF">
            <w:pPr>
              <w:pStyle w:val="ARtabletextright"/>
              <w:rPr>
                <w:color w:val="000000"/>
              </w:rPr>
            </w:pPr>
            <w:r w:rsidRPr="005E717F">
              <w:t>$30,919</w:t>
            </w:r>
          </w:p>
        </w:tc>
        <w:tc>
          <w:tcPr>
            <w:tcW w:w="491" w:type="pct"/>
            <w:tcBorders>
              <w:top w:val="single" w:sz="4" w:space="0" w:color="auto"/>
              <w:left w:val="single" w:sz="4" w:space="0" w:color="FFFFFF"/>
              <w:bottom w:val="single" w:sz="4" w:space="0" w:color="auto"/>
              <w:right w:val="single" w:sz="4" w:space="0" w:color="FFFFFF"/>
            </w:tcBorders>
          </w:tcPr>
          <w:p w14:paraId="027640FE" w14:textId="46428076" w:rsidR="00204EF1" w:rsidRDefault="004C6128" w:rsidP="004C7BEF">
            <w:pPr>
              <w:pStyle w:val="ARtabletextright"/>
              <w:rPr>
                <w:color w:val="000000"/>
              </w:rPr>
            </w:pPr>
            <w:r w:rsidRPr="005E717F">
              <w:t>$914,035</w:t>
            </w:r>
          </w:p>
        </w:tc>
      </w:tr>
      <w:tr w:rsidR="00204EF1" w14:paraId="7A60D8AE" w14:textId="77777777" w:rsidTr="004C7BEF">
        <w:tc>
          <w:tcPr>
            <w:tcW w:w="708" w:type="pct"/>
            <w:tcBorders>
              <w:top w:val="single" w:sz="4" w:space="0" w:color="auto"/>
              <w:left w:val="single" w:sz="4" w:space="0" w:color="FFFFFF"/>
              <w:bottom w:val="single" w:sz="4" w:space="0" w:color="auto"/>
              <w:right w:val="single" w:sz="4" w:space="0" w:color="FFFFFF"/>
            </w:tcBorders>
          </w:tcPr>
          <w:p w14:paraId="2F641779" w14:textId="77777777" w:rsidR="00204EF1" w:rsidRDefault="00204EF1" w:rsidP="004C7BEF">
            <w:pPr>
              <w:pStyle w:val="ARtabletext"/>
            </w:pPr>
            <w:r w:rsidRPr="00804DD6">
              <w:t>Supercare pharmacies</w:t>
            </w:r>
          </w:p>
        </w:tc>
        <w:tc>
          <w:tcPr>
            <w:tcW w:w="846" w:type="pct"/>
            <w:tcBorders>
              <w:top w:val="single" w:sz="4" w:space="0" w:color="auto"/>
              <w:left w:val="single" w:sz="4" w:space="0" w:color="FFFFFF"/>
              <w:bottom w:val="single" w:sz="4" w:space="0" w:color="auto"/>
              <w:right w:val="single" w:sz="4" w:space="0" w:color="FFFFFF"/>
            </w:tcBorders>
          </w:tcPr>
          <w:p w14:paraId="2DE5493C" w14:textId="0C05CDDC" w:rsidR="00204EF1" w:rsidRDefault="009A4538" w:rsidP="004C7BEF">
            <w:pPr>
              <w:pStyle w:val="ARtabletext"/>
            </w:pPr>
            <w:r w:rsidRPr="002C59E0">
              <w:t xml:space="preserve">Raise awareness that Supercare </w:t>
            </w:r>
            <w:r w:rsidR="00E40D58">
              <w:t>p</w:t>
            </w:r>
            <w:r w:rsidRPr="002C59E0">
              <w:t>harmacies are open 24/7, with a pharmacist always available to provide healthcare advice.</w:t>
            </w:r>
          </w:p>
        </w:tc>
        <w:tc>
          <w:tcPr>
            <w:tcW w:w="601" w:type="pct"/>
            <w:tcBorders>
              <w:top w:val="single" w:sz="4" w:space="0" w:color="auto"/>
              <w:left w:val="single" w:sz="4" w:space="0" w:color="FFFFFF"/>
              <w:bottom w:val="single" w:sz="4" w:space="0" w:color="auto"/>
              <w:right w:val="single" w:sz="4" w:space="0" w:color="FFFFFF"/>
            </w:tcBorders>
          </w:tcPr>
          <w:p w14:paraId="50375930" w14:textId="77777777" w:rsidR="00204EF1" w:rsidRDefault="00204EF1" w:rsidP="004C7BEF">
            <w:pPr>
              <w:pStyle w:val="ARtabletext"/>
            </w:pPr>
            <w:r w:rsidRPr="00804DD6">
              <w:t>19 December 2021</w:t>
            </w:r>
            <w:r>
              <w:t xml:space="preserve"> – </w:t>
            </w:r>
            <w:r w:rsidRPr="00804DD6">
              <w:t>3</w:t>
            </w:r>
            <w:r>
              <w:t> </w:t>
            </w:r>
            <w:r w:rsidRPr="00804DD6">
              <w:t>March 2022</w:t>
            </w:r>
          </w:p>
        </w:tc>
        <w:tc>
          <w:tcPr>
            <w:tcW w:w="403" w:type="pct"/>
            <w:tcBorders>
              <w:top w:val="single" w:sz="4" w:space="0" w:color="auto"/>
              <w:left w:val="single" w:sz="4" w:space="0" w:color="FFFFFF"/>
              <w:bottom w:val="single" w:sz="4" w:space="0" w:color="auto"/>
              <w:right w:val="single" w:sz="4" w:space="0" w:color="FFFFFF"/>
            </w:tcBorders>
          </w:tcPr>
          <w:p w14:paraId="766570D5" w14:textId="77777777" w:rsidR="00204EF1" w:rsidRDefault="00204EF1" w:rsidP="004C7BEF">
            <w:pPr>
              <w:pStyle w:val="ARtabletextright"/>
              <w:rPr>
                <w:color w:val="000000"/>
              </w:rPr>
            </w:pPr>
            <w:r w:rsidRPr="00804DD6">
              <w:t>$179,318</w:t>
            </w:r>
          </w:p>
        </w:tc>
        <w:tc>
          <w:tcPr>
            <w:tcW w:w="520" w:type="pct"/>
            <w:tcBorders>
              <w:top w:val="single" w:sz="4" w:space="0" w:color="auto"/>
              <w:left w:val="single" w:sz="4" w:space="0" w:color="FFFFFF"/>
              <w:bottom w:val="single" w:sz="4" w:space="0" w:color="auto"/>
              <w:right w:val="single" w:sz="4" w:space="0" w:color="FFFFFF"/>
            </w:tcBorders>
          </w:tcPr>
          <w:p w14:paraId="2CA698E3" w14:textId="64F1D2D4" w:rsidR="00204EF1" w:rsidRDefault="009A4538" w:rsidP="004C7BEF">
            <w:pPr>
              <w:pStyle w:val="ARtabletextright"/>
              <w:rPr>
                <w:color w:val="000000"/>
              </w:rPr>
            </w:pPr>
            <w:r w:rsidRPr="007B70AB">
              <w:t>$54,665</w:t>
            </w:r>
          </w:p>
        </w:tc>
        <w:tc>
          <w:tcPr>
            <w:tcW w:w="477" w:type="pct"/>
            <w:tcBorders>
              <w:top w:val="single" w:sz="4" w:space="0" w:color="auto"/>
              <w:left w:val="single" w:sz="4" w:space="0" w:color="FFFFFF"/>
              <w:bottom w:val="single" w:sz="4" w:space="0" w:color="auto"/>
              <w:right w:val="single" w:sz="4" w:space="0" w:color="FFFFFF"/>
            </w:tcBorders>
          </w:tcPr>
          <w:p w14:paraId="0E43F989" w14:textId="77777777" w:rsidR="00204EF1" w:rsidRDefault="00204EF1" w:rsidP="004C7BEF">
            <w:pPr>
              <w:pStyle w:val="ARtabletextright"/>
              <w:rPr>
                <w:color w:val="000000"/>
              </w:rPr>
            </w:pPr>
            <w:r w:rsidRPr="00804DD6">
              <w:t>$0</w:t>
            </w:r>
          </w:p>
        </w:tc>
        <w:tc>
          <w:tcPr>
            <w:tcW w:w="477" w:type="pct"/>
            <w:tcBorders>
              <w:top w:val="single" w:sz="4" w:space="0" w:color="auto"/>
              <w:left w:val="single" w:sz="4" w:space="0" w:color="FFFFFF"/>
              <w:bottom w:val="single" w:sz="4" w:space="0" w:color="auto"/>
              <w:right w:val="single" w:sz="4" w:space="0" w:color="FFFFFF"/>
            </w:tcBorders>
          </w:tcPr>
          <w:p w14:paraId="60C8B1AB" w14:textId="77777777" w:rsidR="00204EF1" w:rsidRDefault="00204EF1" w:rsidP="004C7BEF">
            <w:pPr>
              <w:pStyle w:val="ARtabletextright"/>
              <w:rPr>
                <w:color w:val="000000"/>
              </w:rPr>
            </w:pPr>
            <w:r w:rsidRPr="00804DD6">
              <w:t>$0</w:t>
            </w:r>
          </w:p>
        </w:tc>
        <w:tc>
          <w:tcPr>
            <w:tcW w:w="477" w:type="pct"/>
            <w:tcBorders>
              <w:top w:val="single" w:sz="4" w:space="0" w:color="auto"/>
              <w:left w:val="single" w:sz="4" w:space="0" w:color="FFFFFF"/>
              <w:bottom w:val="single" w:sz="4" w:space="0" w:color="auto"/>
              <w:right w:val="single" w:sz="4" w:space="0" w:color="FFFFFF"/>
            </w:tcBorders>
          </w:tcPr>
          <w:p w14:paraId="0E54D01B" w14:textId="1288222E" w:rsidR="00204EF1" w:rsidRDefault="004C6128" w:rsidP="004C7BEF">
            <w:pPr>
              <w:pStyle w:val="ARtabletextright"/>
              <w:rPr>
                <w:color w:val="000000"/>
              </w:rPr>
            </w:pPr>
            <w:r>
              <w:t>$0</w:t>
            </w:r>
          </w:p>
        </w:tc>
        <w:tc>
          <w:tcPr>
            <w:tcW w:w="491" w:type="pct"/>
            <w:tcBorders>
              <w:top w:val="single" w:sz="4" w:space="0" w:color="auto"/>
              <w:left w:val="single" w:sz="4" w:space="0" w:color="FFFFFF"/>
              <w:bottom w:val="single" w:sz="4" w:space="0" w:color="auto"/>
              <w:right w:val="single" w:sz="4" w:space="0" w:color="FFFFFF"/>
            </w:tcBorders>
          </w:tcPr>
          <w:p w14:paraId="66C04D42" w14:textId="77777777" w:rsidR="00204EF1" w:rsidRDefault="00204EF1" w:rsidP="004C7BEF">
            <w:pPr>
              <w:pStyle w:val="ARtabletextright"/>
              <w:rPr>
                <w:color w:val="000000"/>
              </w:rPr>
            </w:pPr>
            <w:r w:rsidRPr="00804DD6">
              <w:t>$233,98</w:t>
            </w:r>
            <w:r>
              <w:t>3</w:t>
            </w:r>
          </w:p>
        </w:tc>
      </w:tr>
      <w:tr w:rsidR="00204EF1" w14:paraId="1BE5A890" w14:textId="77777777" w:rsidTr="004C7BEF">
        <w:tc>
          <w:tcPr>
            <w:tcW w:w="708" w:type="pct"/>
            <w:tcBorders>
              <w:top w:val="single" w:sz="4" w:space="0" w:color="auto"/>
              <w:left w:val="single" w:sz="4" w:space="0" w:color="FFFFFF"/>
              <w:bottom w:val="single" w:sz="4" w:space="0" w:color="auto"/>
              <w:right w:val="single" w:sz="4" w:space="0" w:color="FFFFFF"/>
            </w:tcBorders>
          </w:tcPr>
          <w:p w14:paraId="70658724" w14:textId="77777777" w:rsidR="00204EF1" w:rsidRDefault="00204EF1" w:rsidP="004C7BEF">
            <w:pPr>
              <w:pStyle w:val="ARtabletext"/>
            </w:pPr>
            <w:r w:rsidRPr="00804DD6">
              <w:t>Mental health and wellbeing hubs</w:t>
            </w:r>
          </w:p>
        </w:tc>
        <w:tc>
          <w:tcPr>
            <w:tcW w:w="846" w:type="pct"/>
            <w:tcBorders>
              <w:top w:val="single" w:sz="4" w:space="0" w:color="auto"/>
              <w:left w:val="single" w:sz="4" w:space="0" w:color="FFFFFF"/>
              <w:bottom w:val="single" w:sz="4" w:space="0" w:color="auto"/>
              <w:right w:val="single" w:sz="4" w:space="0" w:color="FFFFFF"/>
            </w:tcBorders>
          </w:tcPr>
          <w:p w14:paraId="01FE5A8E" w14:textId="55B7394D" w:rsidR="00204EF1" w:rsidRDefault="009A4538" w:rsidP="004C7BEF">
            <w:pPr>
              <w:pStyle w:val="ARtabletext"/>
            </w:pPr>
            <w:r>
              <w:t>Raise awareness of new mental health service for the community (</w:t>
            </w:r>
            <w:r w:rsidRPr="00804DD6">
              <w:t>COVID</w:t>
            </w:r>
            <w:r>
              <w:noBreakHyphen/>
              <w:t>19</w:t>
            </w:r>
            <w:r w:rsidRPr="00804DD6">
              <w:t xml:space="preserve"> pop</w:t>
            </w:r>
            <w:r w:rsidR="00E40D58">
              <w:t>-</w:t>
            </w:r>
            <w:r w:rsidRPr="00804DD6">
              <w:t>up mental health hubs</w:t>
            </w:r>
            <w:r>
              <w:t>).</w:t>
            </w:r>
          </w:p>
        </w:tc>
        <w:tc>
          <w:tcPr>
            <w:tcW w:w="601" w:type="pct"/>
            <w:tcBorders>
              <w:top w:val="single" w:sz="4" w:space="0" w:color="auto"/>
              <w:left w:val="single" w:sz="4" w:space="0" w:color="FFFFFF"/>
              <w:bottom w:val="single" w:sz="4" w:space="0" w:color="auto"/>
              <w:right w:val="single" w:sz="4" w:space="0" w:color="FFFFFF"/>
            </w:tcBorders>
          </w:tcPr>
          <w:p w14:paraId="15E4B169" w14:textId="77777777" w:rsidR="00204EF1" w:rsidRDefault="00204EF1" w:rsidP="004C7BEF">
            <w:pPr>
              <w:pStyle w:val="ARtabletext"/>
            </w:pPr>
            <w:r w:rsidRPr="00804DD6">
              <w:t>5 December 2021</w:t>
            </w:r>
            <w:r>
              <w:t xml:space="preserve"> – </w:t>
            </w:r>
            <w:r w:rsidRPr="00804DD6">
              <w:t>31</w:t>
            </w:r>
            <w:r>
              <w:t> </w:t>
            </w:r>
            <w:r w:rsidRPr="00804DD6">
              <w:t>May 2022</w:t>
            </w:r>
          </w:p>
        </w:tc>
        <w:tc>
          <w:tcPr>
            <w:tcW w:w="403" w:type="pct"/>
            <w:tcBorders>
              <w:top w:val="single" w:sz="4" w:space="0" w:color="auto"/>
              <w:left w:val="single" w:sz="4" w:space="0" w:color="FFFFFF"/>
              <w:bottom w:val="single" w:sz="4" w:space="0" w:color="auto"/>
              <w:right w:val="single" w:sz="4" w:space="0" w:color="FFFFFF"/>
            </w:tcBorders>
          </w:tcPr>
          <w:p w14:paraId="0176C8FD" w14:textId="77777777" w:rsidR="00204EF1" w:rsidRDefault="00204EF1" w:rsidP="004C7BEF">
            <w:pPr>
              <w:pStyle w:val="ARtabletextright"/>
              <w:rPr>
                <w:color w:val="000000"/>
              </w:rPr>
            </w:pPr>
            <w:r w:rsidRPr="00804DD6">
              <w:t>$1,450,117</w:t>
            </w:r>
          </w:p>
        </w:tc>
        <w:tc>
          <w:tcPr>
            <w:tcW w:w="520" w:type="pct"/>
            <w:tcBorders>
              <w:top w:val="single" w:sz="4" w:space="0" w:color="auto"/>
              <w:left w:val="single" w:sz="4" w:space="0" w:color="FFFFFF"/>
              <w:bottom w:val="single" w:sz="4" w:space="0" w:color="auto"/>
              <w:right w:val="single" w:sz="4" w:space="0" w:color="FFFFFF"/>
            </w:tcBorders>
          </w:tcPr>
          <w:p w14:paraId="45095319" w14:textId="7870D400" w:rsidR="00204EF1" w:rsidRDefault="009A4538" w:rsidP="004C7BEF">
            <w:pPr>
              <w:pStyle w:val="ARtabletextright"/>
              <w:rPr>
                <w:color w:val="000000"/>
              </w:rPr>
            </w:pPr>
            <w:r w:rsidRPr="00513E3C">
              <w:t>$71,321</w:t>
            </w:r>
          </w:p>
        </w:tc>
        <w:tc>
          <w:tcPr>
            <w:tcW w:w="477" w:type="pct"/>
            <w:tcBorders>
              <w:top w:val="single" w:sz="4" w:space="0" w:color="auto"/>
              <w:left w:val="single" w:sz="4" w:space="0" w:color="FFFFFF"/>
              <w:bottom w:val="single" w:sz="4" w:space="0" w:color="auto"/>
              <w:right w:val="single" w:sz="4" w:space="0" w:color="FFFFFF"/>
            </w:tcBorders>
          </w:tcPr>
          <w:p w14:paraId="11C5C0F9" w14:textId="77777777" w:rsidR="00204EF1" w:rsidRDefault="00204EF1" w:rsidP="004C7BEF">
            <w:pPr>
              <w:pStyle w:val="ARtabletextright"/>
              <w:rPr>
                <w:color w:val="000000"/>
              </w:rPr>
            </w:pPr>
            <w:r w:rsidRPr="00804DD6">
              <w:t>$0</w:t>
            </w:r>
          </w:p>
        </w:tc>
        <w:tc>
          <w:tcPr>
            <w:tcW w:w="477" w:type="pct"/>
            <w:tcBorders>
              <w:top w:val="single" w:sz="4" w:space="0" w:color="auto"/>
              <w:left w:val="single" w:sz="4" w:space="0" w:color="FFFFFF"/>
              <w:bottom w:val="single" w:sz="4" w:space="0" w:color="auto"/>
              <w:right w:val="single" w:sz="4" w:space="0" w:color="FFFFFF"/>
            </w:tcBorders>
          </w:tcPr>
          <w:p w14:paraId="6A88DC0F" w14:textId="77777777" w:rsidR="00204EF1" w:rsidRDefault="00204EF1" w:rsidP="004C7BEF">
            <w:pPr>
              <w:pStyle w:val="ARtabletextright"/>
              <w:rPr>
                <w:color w:val="000000"/>
              </w:rPr>
            </w:pPr>
            <w:r w:rsidRPr="00804DD6">
              <w:t>$12,140</w:t>
            </w:r>
          </w:p>
        </w:tc>
        <w:tc>
          <w:tcPr>
            <w:tcW w:w="477" w:type="pct"/>
            <w:tcBorders>
              <w:top w:val="single" w:sz="4" w:space="0" w:color="auto"/>
              <w:left w:val="single" w:sz="4" w:space="0" w:color="FFFFFF"/>
              <w:bottom w:val="single" w:sz="4" w:space="0" w:color="auto"/>
              <w:right w:val="single" w:sz="4" w:space="0" w:color="FFFFFF"/>
            </w:tcBorders>
          </w:tcPr>
          <w:p w14:paraId="1F6F0FDB" w14:textId="1B81F8E4" w:rsidR="00204EF1" w:rsidRDefault="00204EF1" w:rsidP="004C7BEF">
            <w:pPr>
              <w:pStyle w:val="ARtabletextright"/>
              <w:rPr>
                <w:color w:val="000000"/>
              </w:rPr>
            </w:pPr>
            <w:r w:rsidRPr="00804DD6">
              <w:t>$0</w:t>
            </w:r>
          </w:p>
        </w:tc>
        <w:tc>
          <w:tcPr>
            <w:tcW w:w="491" w:type="pct"/>
            <w:tcBorders>
              <w:top w:val="single" w:sz="4" w:space="0" w:color="auto"/>
              <w:left w:val="single" w:sz="4" w:space="0" w:color="FFFFFF"/>
              <w:bottom w:val="single" w:sz="4" w:space="0" w:color="auto"/>
              <w:right w:val="single" w:sz="4" w:space="0" w:color="FFFFFF"/>
            </w:tcBorders>
          </w:tcPr>
          <w:p w14:paraId="02C00753" w14:textId="77777777" w:rsidR="00204EF1" w:rsidRDefault="00204EF1" w:rsidP="004C7BEF">
            <w:pPr>
              <w:pStyle w:val="ARtabletextright"/>
              <w:rPr>
                <w:color w:val="000000"/>
              </w:rPr>
            </w:pPr>
            <w:r w:rsidRPr="00804DD6">
              <w:t>$1,533,57</w:t>
            </w:r>
            <w:r>
              <w:t>8</w:t>
            </w:r>
          </w:p>
        </w:tc>
      </w:tr>
      <w:tr w:rsidR="00204EF1" w14:paraId="6FC7063D" w14:textId="77777777" w:rsidTr="004C7BEF">
        <w:tc>
          <w:tcPr>
            <w:tcW w:w="708" w:type="pct"/>
            <w:tcBorders>
              <w:top w:val="single" w:sz="4" w:space="0" w:color="auto"/>
              <w:left w:val="single" w:sz="4" w:space="0" w:color="FFFFFF"/>
              <w:bottom w:val="single" w:sz="4" w:space="0" w:color="auto"/>
              <w:right w:val="single" w:sz="4" w:space="0" w:color="FFFFFF"/>
            </w:tcBorders>
          </w:tcPr>
          <w:p w14:paraId="548052A3" w14:textId="77777777" w:rsidR="00204EF1" w:rsidRDefault="00204EF1" w:rsidP="004C7BEF">
            <w:pPr>
              <w:pStyle w:val="ARtabletext"/>
            </w:pPr>
            <w:r w:rsidRPr="009B7612">
              <w:t>Mental health workforce attraction campaign</w:t>
            </w:r>
          </w:p>
        </w:tc>
        <w:tc>
          <w:tcPr>
            <w:tcW w:w="846" w:type="pct"/>
            <w:tcBorders>
              <w:top w:val="single" w:sz="4" w:space="0" w:color="auto"/>
              <w:left w:val="single" w:sz="4" w:space="0" w:color="FFFFFF"/>
              <w:bottom w:val="single" w:sz="4" w:space="0" w:color="auto"/>
              <w:right w:val="single" w:sz="4" w:space="0" w:color="FFFFFF"/>
            </w:tcBorders>
          </w:tcPr>
          <w:p w14:paraId="59EF1C24" w14:textId="77777777" w:rsidR="00204EF1" w:rsidRDefault="00204EF1" w:rsidP="004C7BEF">
            <w:pPr>
              <w:pStyle w:val="ARtabletext"/>
            </w:pPr>
            <w:r w:rsidRPr="003F433D">
              <w:t>Encourage Victorian mental health professionals to consider working in the Victorian public health system.</w:t>
            </w:r>
          </w:p>
        </w:tc>
        <w:tc>
          <w:tcPr>
            <w:tcW w:w="601" w:type="pct"/>
            <w:tcBorders>
              <w:top w:val="single" w:sz="4" w:space="0" w:color="auto"/>
              <w:left w:val="single" w:sz="4" w:space="0" w:color="FFFFFF"/>
              <w:bottom w:val="single" w:sz="4" w:space="0" w:color="auto"/>
              <w:right w:val="single" w:sz="4" w:space="0" w:color="FFFFFF"/>
            </w:tcBorders>
          </w:tcPr>
          <w:p w14:paraId="4517849E" w14:textId="77777777" w:rsidR="00204EF1" w:rsidRDefault="00204EF1" w:rsidP="004C7BEF">
            <w:pPr>
              <w:pStyle w:val="ARtabletext"/>
            </w:pPr>
            <w:r w:rsidRPr="009B7612">
              <w:t>19</w:t>
            </w:r>
            <w:r>
              <w:t>–</w:t>
            </w:r>
            <w:r w:rsidRPr="009B7612">
              <w:t>26 December 2021</w:t>
            </w:r>
          </w:p>
          <w:p w14:paraId="32477EAF" w14:textId="77777777" w:rsidR="00204EF1" w:rsidRDefault="00204EF1" w:rsidP="004C7BEF">
            <w:pPr>
              <w:pStyle w:val="ARtabletext"/>
            </w:pPr>
            <w:r w:rsidRPr="009B7612">
              <w:t>10 January</w:t>
            </w:r>
            <w:r>
              <w:t xml:space="preserve"> – </w:t>
            </w:r>
            <w:r w:rsidRPr="009B7612">
              <w:t>26</w:t>
            </w:r>
            <w:r>
              <w:t> </w:t>
            </w:r>
            <w:r w:rsidRPr="009B7612">
              <w:t>February 2022</w:t>
            </w:r>
          </w:p>
        </w:tc>
        <w:tc>
          <w:tcPr>
            <w:tcW w:w="403" w:type="pct"/>
            <w:tcBorders>
              <w:top w:val="single" w:sz="4" w:space="0" w:color="auto"/>
              <w:left w:val="single" w:sz="4" w:space="0" w:color="FFFFFF"/>
              <w:bottom w:val="single" w:sz="4" w:space="0" w:color="auto"/>
              <w:right w:val="single" w:sz="4" w:space="0" w:color="FFFFFF"/>
            </w:tcBorders>
          </w:tcPr>
          <w:p w14:paraId="7BD3DEE1" w14:textId="77777777" w:rsidR="00204EF1" w:rsidRDefault="00204EF1" w:rsidP="004C7BEF">
            <w:pPr>
              <w:pStyle w:val="ARtabletextright"/>
              <w:rPr>
                <w:color w:val="000000"/>
              </w:rPr>
            </w:pPr>
            <w:r w:rsidRPr="009B7612">
              <w:t>$499,993</w:t>
            </w:r>
          </w:p>
        </w:tc>
        <w:tc>
          <w:tcPr>
            <w:tcW w:w="520" w:type="pct"/>
            <w:tcBorders>
              <w:top w:val="single" w:sz="4" w:space="0" w:color="auto"/>
              <w:left w:val="single" w:sz="4" w:space="0" w:color="FFFFFF"/>
              <w:bottom w:val="single" w:sz="4" w:space="0" w:color="auto"/>
              <w:right w:val="single" w:sz="4" w:space="0" w:color="FFFFFF"/>
            </w:tcBorders>
          </w:tcPr>
          <w:p w14:paraId="0A1A5FBE" w14:textId="77777777" w:rsidR="00204EF1" w:rsidRDefault="00204EF1" w:rsidP="004C7BEF">
            <w:pPr>
              <w:pStyle w:val="ARtabletextright"/>
              <w:rPr>
                <w:color w:val="000000"/>
              </w:rPr>
            </w:pPr>
            <w:r w:rsidRPr="009B7612">
              <w:t>$0</w:t>
            </w:r>
          </w:p>
        </w:tc>
        <w:tc>
          <w:tcPr>
            <w:tcW w:w="477" w:type="pct"/>
            <w:tcBorders>
              <w:top w:val="single" w:sz="4" w:space="0" w:color="auto"/>
              <w:left w:val="single" w:sz="4" w:space="0" w:color="FFFFFF"/>
              <w:bottom w:val="single" w:sz="4" w:space="0" w:color="auto"/>
              <w:right w:val="single" w:sz="4" w:space="0" w:color="FFFFFF"/>
            </w:tcBorders>
          </w:tcPr>
          <w:p w14:paraId="30D7B532" w14:textId="77777777" w:rsidR="00204EF1" w:rsidRDefault="00204EF1" w:rsidP="004C7BEF">
            <w:pPr>
              <w:pStyle w:val="ARtabletextright"/>
              <w:rPr>
                <w:color w:val="000000"/>
              </w:rPr>
            </w:pPr>
            <w:r w:rsidRPr="009B7612">
              <w:t>$0</w:t>
            </w:r>
          </w:p>
        </w:tc>
        <w:tc>
          <w:tcPr>
            <w:tcW w:w="477" w:type="pct"/>
            <w:tcBorders>
              <w:top w:val="single" w:sz="4" w:space="0" w:color="auto"/>
              <w:left w:val="single" w:sz="4" w:space="0" w:color="FFFFFF"/>
              <w:bottom w:val="single" w:sz="4" w:space="0" w:color="auto"/>
              <w:right w:val="single" w:sz="4" w:space="0" w:color="FFFFFF"/>
            </w:tcBorders>
          </w:tcPr>
          <w:p w14:paraId="5E4F0957" w14:textId="77777777" w:rsidR="00204EF1" w:rsidRDefault="00204EF1" w:rsidP="004C7BEF">
            <w:pPr>
              <w:pStyle w:val="ARtabletextright"/>
              <w:rPr>
                <w:color w:val="000000"/>
              </w:rPr>
            </w:pPr>
            <w:r w:rsidRPr="009B7612">
              <w:t>$0</w:t>
            </w:r>
          </w:p>
        </w:tc>
        <w:tc>
          <w:tcPr>
            <w:tcW w:w="477" w:type="pct"/>
            <w:tcBorders>
              <w:top w:val="single" w:sz="4" w:space="0" w:color="auto"/>
              <w:left w:val="single" w:sz="4" w:space="0" w:color="FFFFFF"/>
              <w:bottom w:val="single" w:sz="4" w:space="0" w:color="auto"/>
              <w:right w:val="single" w:sz="4" w:space="0" w:color="FFFFFF"/>
            </w:tcBorders>
          </w:tcPr>
          <w:p w14:paraId="19264811" w14:textId="77777777" w:rsidR="00204EF1" w:rsidRDefault="00204EF1" w:rsidP="004C7BEF">
            <w:pPr>
              <w:pStyle w:val="ARtabletextright"/>
              <w:rPr>
                <w:color w:val="000000"/>
              </w:rPr>
            </w:pPr>
            <w:r w:rsidRPr="009B7612">
              <w:t>$0</w:t>
            </w:r>
          </w:p>
        </w:tc>
        <w:tc>
          <w:tcPr>
            <w:tcW w:w="491" w:type="pct"/>
            <w:tcBorders>
              <w:top w:val="single" w:sz="4" w:space="0" w:color="auto"/>
              <w:left w:val="single" w:sz="4" w:space="0" w:color="FFFFFF"/>
              <w:bottom w:val="single" w:sz="4" w:space="0" w:color="auto"/>
              <w:right w:val="single" w:sz="4" w:space="0" w:color="FFFFFF"/>
            </w:tcBorders>
          </w:tcPr>
          <w:p w14:paraId="6CA77882" w14:textId="77777777" w:rsidR="00204EF1" w:rsidRDefault="00204EF1" w:rsidP="004C7BEF">
            <w:pPr>
              <w:pStyle w:val="ARtabletextright"/>
              <w:rPr>
                <w:color w:val="000000"/>
              </w:rPr>
            </w:pPr>
            <w:r w:rsidRPr="009B7612">
              <w:t>$499,993</w:t>
            </w:r>
          </w:p>
        </w:tc>
      </w:tr>
    </w:tbl>
    <w:p w14:paraId="54677AE3" w14:textId="77777777" w:rsidR="005B3FDD" w:rsidRDefault="005B3FDD" w:rsidP="000D6144">
      <w:pPr>
        <w:pStyle w:val="ARbody"/>
      </w:pPr>
    </w:p>
    <w:p w14:paraId="5D051392" w14:textId="785AF49F" w:rsidR="000D6144" w:rsidRDefault="000D6144" w:rsidP="000D6144">
      <w:pPr>
        <w:pStyle w:val="ARbody"/>
        <w:sectPr w:rsidR="000D6144" w:rsidSect="000D6144">
          <w:footnotePr>
            <w:numFmt w:val="lowerLetter"/>
            <w:numRestart w:val="eachPage"/>
          </w:footnotePr>
          <w:endnotePr>
            <w:numFmt w:val="decimal"/>
          </w:endnotePr>
          <w:pgSz w:w="16840" w:h="11900" w:orient="landscape" w:code="9"/>
          <w:pgMar w:top="1134" w:right="1985" w:bottom="1134" w:left="851" w:header="510" w:footer="340" w:gutter="0"/>
          <w:cols w:space="708"/>
          <w:docGrid w:linePitch="299"/>
          <w15:footnoteColumns w:val="1"/>
        </w:sectPr>
      </w:pPr>
    </w:p>
    <w:p w14:paraId="1FBAF911" w14:textId="77777777" w:rsidR="00494A8D" w:rsidRPr="003379F7" w:rsidRDefault="00494A8D" w:rsidP="00494A8D">
      <w:pPr>
        <w:pStyle w:val="Heading2"/>
        <w:spacing w:before="0"/>
        <w:rPr>
          <w:rFonts w:cs="Arial"/>
        </w:rPr>
      </w:pPr>
      <w:bookmarkStart w:id="376" w:name="_Toc113702935"/>
      <w:r w:rsidRPr="003379F7">
        <w:rPr>
          <w:rFonts w:cs="Arial"/>
        </w:rPr>
        <w:t>Compliance with DataVic Access Policy</w:t>
      </w:r>
      <w:bookmarkEnd w:id="371"/>
      <w:bookmarkEnd w:id="372"/>
      <w:bookmarkEnd w:id="373"/>
      <w:bookmarkEnd w:id="374"/>
      <w:bookmarkEnd w:id="375"/>
      <w:bookmarkEnd w:id="376"/>
    </w:p>
    <w:p w14:paraId="62F1C176" w14:textId="402964D2" w:rsidR="00494A8D" w:rsidRPr="002029AF" w:rsidRDefault="00494A8D" w:rsidP="00494A8D">
      <w:pPr>
        <w:pStyle w:val="ARbody"/>
      </w:pPr>
      <w:r w:rsidRPr="002029AF">
        <w:t xml:space="preserve">Consistent with the </w:t>
      </w:r>
      <w:r w:rsidRPr="002029AF">
        <w:rPr>
          <w:i/>
        </w:rPr>
        <w:t xml:space="preserve">DataVic </w:t>
      </w:r>
      <w:r>
        <w:rPr>
          <w:i/>
        </w:rPr>
        <w:t>A</w:t>
      </w:r>
      <w:r w:rsidRPr="002029AF">
        <w:rPr>
          <w:i/>
        </w:rPr>
        <w:t xml:space="preserve">ccess </w:t>
      </w:r>
      <w:r>
        <w:rPr>
          <w:i/>
        </w:rPr>
        <w:t>P</w:t>
      </w:r>
      <w:r w:rsidRPr="002029AF">
        <w:rPr>
          <w:i/>
        </w:rPr>
        <w:t>olicy</w:t>
      </w:r>
      <w:r w:rsidRPr="002029AF">
        <w:t xml:space="preserve"> issued by the Victorian Government in 2012, the information included in this annual report will be available in machine readable format at </w:t>
      </w:r>
      <w:hyperlink r:id="rId59" w:history="1">
        <w:r w:rsidRPr="00F40D89">
          <w:rPr>
            <w:rStyle w:val="Hyperlink"/>
          </w:rPr>
          <w:t>DataVic</w:t>
        </w:r>
      </w:hyperlink>
      <w:r w:rsidRPr="002029AF">
        <w:t xml:space="preserve"> &lt;http://www.data.vic.gov.au&gt;.</w:t>
      </w:r>
    </w:p>
    <w:p w14:paraId="6F97C639" w14:textId="77777777" w:rsidR="00494A8D" w:rsidRPr="002029AF" w:rsidRDefault="00494A8D" w:rsidP="00494A8D">
      <w:pPr>
        <w:pStyle w:val="ARbody"/>
      </w:pPr>
      <w:r w:rsidRPr="002029AF">
        <w:t>Summarised data published by the department is available on numerous pages on the department</w:t>
      </w:r>
      <w:r>
        <w:t>’</w:t>
      </w:r>
      <w:r w:rsidRPr="002029AF">
        <w:t>s website. A significant amount of information is accessible via:</w:t>
      </w:r>
    </w:p>
    <w:p w14:paraId="2C9C6A4D" w14:textId="0F0D97E5" w:rsidR="00494A8D" w:rsidRPr="00243691" w:rsidRDefault="00494A8D" w:rsidP="00494A8D">
      <w:pPr>
        <w:pStyle w:val="ARbullet1"/>
        <w:rPr>
          <w:b/>
          <w:bCs/>
        </w:rPr>
      </w:pPr>
      <w:r w:rsidRPr="002029AF">
        <w:t xml:space="preserve">the </w:t>
      </w:r>
      <w:hyperlink r:id="rId60" w:history="1">
        <w:r>
          <w:rPr>
            <w:rStyle w:val="Hyperlink"/>
          </w:rPr>
          <w:t>Victorian Agency for Health Information</w:t>
        </w:r>
      </w:hyperlink>
      <w:r w:rsidRPr="002029AF">
        <w:t xml:space="preserve"> &lt;</w:t>
      </w:r>
      <w:r w:rsidRPr="0070423D">
        <w:t>https://vahi.vic.gov.au</w:t>
      </w:r>
      <w:r w:rsidRPr="002029AF">
        <w:t>&gt;</w:t>
      </w:r>
    </w:p>
    <w:p w14:paraId="07A6CD8A" w14:textId="1788EA3C" w:rsidR="00494A8D" w:rsidRDefault="00951432" w:rsidP="00494A8D">
      <w:pPr>
        <w:pStyle w:val="ARbullet1"/>
      </w:pPr>
      <w:hyperlink r:id="rId61">
        <w:r w:rsidR="00494A8D" w:rsidRPr="58648B91">
          <w:rPr>
            <w:rStyle w:val="Hyperlink"/>
          </w:rPr>
          <w:t>Department of Health – Reporting, planning and data</w:t>
        </w:r>
      </w:hyperlink>
      <w:r w:rsidR="00494A8D">
        <w:t xml:space="preserve"> &lt;https://www.health.vic.gov.au/about/reporting-planning-and-data&gt;</w:t>
      </w:r>
    </w:p>
    <w:p w14:paraId="2527D823" w14:textId="7A8EC28E" w:rsidR="00494A8D" w:rsidRPr="00BD1CA4" w:rsidRDefault="00951432" w:rsidP="00494A8D">
      <w:pPr>
        <w:pStyle w:val="ARbullet1"/>
        <w:rPr>
          <w:rStyle w:val="Hyperlink"/>
          <w:color w:val="auto"/>
          <w:u w:val="none"/>
        </w:rPr>
      </w:pPr>
      <w:hyperlink r:id="rId62" w:history="1">
        <w:r w:rsidR="00494A8D">
          <w:rPr>
            <w:rStyle w:val="Hyperlink"/>
          </w:rPr>
          <w:t>Department of Health – Public health</w:t>
        </w:r>
      </w:hyperlink>
      <w:r w:rsidR="00494A8D" w:rsidRPr="002029AF">
        <w:t xml:space="preserve"> </w:t>
      </w:r>
      <w:r w:rsidR="00494A8D">
        <w:t>&lt;</w:t>
      </w:r>
      <w:r w:rsidR="00494A8D" w:rsidRPr="004A2541">
        <w:t>https://www.health.vic.gov.au/public-health</w:t>
      </w:r>
      <w:r w:rsidR="00494A8D">
        <w:t>&gt;</w:t>
      </w:r>
    </w:p>
    <w:p w14:paraId="049B889E" w14:textId="51CABBB8" w:rsidR="00494A8D" w:rsidRDefault="00951432" w:rsidP="00494A8D">
      <w:pPr>
        <w:pStyle w:val="ARbullet1"/>
      </w:pPr>
      <w:hyperlink r:id="rId63">
        <w:r w:rsidR="00494A8D" w:rsidRPr="58648B91">
          <w:rPr>
            <w:rStyle w:val="Hyperlink"/>
          </w:rPr>
          <w:t>Victorian COVID-19 data</w:t>
        </w:r>
      </w:hyperlink>
      <w:r w:rsidR="00494A8D">
        <w:t xml:space="preserve"> &lt;https://www.coronavirus.vic.gov.au/victorian-coronavirus-covid-19-data&gt;</w:t>
      </w:r>
    </w:p>
    <w:p w14:paraId="39E80608" w14:textId="69905E87" w:rsidR="003F0283" w:rsidRDefault="00951432" w:rsidP="00494A8D">
      <w:pPr>
        <w:pStyle w:val="ARbullet1"/>
      </w:pPr>
      <w:hyperlink r:id="rId64" w:history="1">
        <w:r w:rsidR="00494A8D" w:rsidRPr="005143A3">
          <w:rPr>
            <w:rStyle w:val="Hyperlink"/>
          </w:rPr>
          <w:t>Department of Health – Publications</w:t>
        </w:r>
      </w:hyperlink>
      <w:r w:rsidR="00494A8D">
        <w:t xml:space="preserve"> &lt;</w:t>
      </w:r>
      <w:r w:rsidR="00494A8D" w:rsidRPr="005143A3">
        <w:t>https://www.health.vic.gov.au/about/</w:t>
      </w:r>
      <w:r w:rsidR="0030377F">
        <w:br/>
      </w:r>
      <w:r w:rsidR="00494A8D" w:rsidRPr="005143A3">
        <w:t>publications</w:t>
      </w:r>
      <w:r w:rsidR="00494A8D">
        <w:t>&gt;</w:t>
      </w:r>
    </w:p>
    <w:p w14:paraId="447C09F5" w14:textId="22D0A8CA" w:rsidR="00494A8D" w:rsidRPr="002029AF" w:rsidRDefault="00494A8D" w:rsidP="00494A8D">
      <w:pPr>
        <w:pStyle w:val="ARbodyafterbullets"/>
      </w:pPr>
      <w:r w:rsidRPr="002029AF">
        <w:t>The websites above include information about:</w:t>
      </w:r>
    </w:p>
    <w:p w14:paraId="6596C8E1" w14:textId="77777777" w:rsidR="00494A8D" w:rsidRPr="002029AF" w:rsidRDefault="00494A8D" w:rsidP="00494A8D">
      <w:pPr>
        <w:pStyle w:val="ARbullet1"/>
      </w:pPr>
      <w:r w:rsidRPr="002029AF">
        <w:t>service provision (including health service performance)</w:t>
      </w:r>
    </w:p>
    <w:p w14:paraId="64A54783" w14:textId="77777777" w:rsidR="00494A8D" w:rsidRPr="002029AF" w:rsidRDefault="00494A8D" w:rsidP="00494A8D">
      <w:pPr>
        <w:pStyle w:val="ARbullet1"/>
      </w:pPr>
      <w:r w:rsidRPr="002029AF">
        <w:t>public health indicators</w:t>
      </w:r>
    </w:p>
    <w:p w14:paraId="33B55C62" w14:textId="77777777" w:rsidR="00494A8D" w:rsidRPr="002029AF" w:rsidRDefault="00494A8D" w:rsidP="00494A8D">
      <w:pPr>
        <w:pStyle w:val="ARbullet1"/>
      </w:pPr>
      <w:r w:rsidRPr="002029AF">
        <w:t>infectious disease surveillance</w:t>
      </w:r>
    </w:p>
    <w:p w14:paraId="4FA5F5BD" w14:textId="77777777" w:rsidR="00494A8D" w:rsidRPr="002029AF" w:rsidRDefault="00494A8D" w:rsidP="00494A8D">
      <w:pPr>
        <w:pStyle w:val="ARbullet1"/>
      </w:pPr>
      <w:r w:rsidRPr="002029AF">
        <w:t>birth and birth defects</w:t>
      </w:r>
    </w:p>
    <w:p w14:paraId="2CD14135" w14:textId="77777777" w:rsidR="00494A8D" w:rsidRPr="002029AF" w:rsidRDefault="00494A8D" w:rsidP="00494A8D">
      <w:pPr>
        <w:pStyle w:val="ARbullet1"/>
      </w:pPr>
      <w:r w:rsidRPr="002029AF">
        <w:t>alcohol and drug services.</w:t>
      </w:r>
    </w:p>
    <w:p w14:paraId="72BF5728" w14:textId="77777777" w:rsidR="00494A8D" w:rsidRPr="002029AF" w:rsidRDefault="00494A8D" w:rsidP="00494A8D">
      <w:pPr>
        <w:pStyle w:val="ARbodyafterbullets"/>
      </w:pPr>
      <w:r w:rsidRPr="002029AF">
        <w:t>As well as summarised data, the department maintains several de-identified datasets that researchers can access. These detailed datasets contain a wealth of information to support better understanding of Victoria</w:t>
      </w:r>
      <w:r>
        <w:t>’</w:t>
      </w:r>
      <w:r w:rsidRPr="002029AF">
        <w:t xml:space="preserve">s health services. Extracts can be requested through procedures that ensure the data </w:t>
      </w:r>
      <w:r>
        <w:t>is</w:t>
      </w:r>
      <w:r w:rsidRPr="002029AF">
        <w:t xml:space="preserve"> shared to the</w:t>
      </w:r>
      <w:r>
        <w:t xml:space="preserve"> </w:t>
      </w:r>
      <w:r w:rsidRPr="002029AF">
        <w:t>maximum extent while protecting the privacy of</w:t>
      </w:r>
      <w:r>
        <w:t xml:space="preserve"> </w:t>
      </w:r>
      <w:r w:rsidRPr="002029AF">
        <w:t>individuals.</w:t>
      </w:r>
    </w:p>
    <w:p w14:paraId="317F8F9F" w14:textId="77777777" w:rsidR="00494A8D" w:rsidRPr="002029AF" w:rsidRDefault="00494A8D" w:rsidP="00494A8D">
      <w:pPr>
        <w:pStyle w:val="ARbodyafterbullets"/>
      </w:pPr>
      <w:r w:rsidRPr="002029AF">
        <w:t>The</w:t>
      </w:r>
      <w:r>
        <w:t xml:space="preserve"> de-identified datasets</w:t>
      </w:r>
      <w:r w:rsidRPr="002029AF">
        <w:t xml:space="preserve"> include the:</w:t>
      </w:r>
    </w:p>
    <w:p w14:paraId="05B5846E" w14:textId="7B69E67F" w:rsidR="00494A8D" w:rsidRPr="002029AF" w:rsidRDefault="00494A8D" w:rsidP="00494A8D">
      <w:pPr>
        <w:pStyle w:val="ARbullet1"/>
      </w:pPr>
      <w:r w:rsidRPr="002029AF">
        <w:t>Victorian Admitted Episodes Dataset, which</w:t>
      </w:r>
      <w:r w:rsidR="0030377F">
        <w:t> </w:t>
      </w:r>
      <w:r w:rsidRPr="002029AF">
        <w:t>contains information about all patients</w:t>
      </w:r>
      <w:r w:rsidR="0030377F">
        <w:t> </w:t>
      </w:r>
      <w:r w:rsidRPr="002029AF">
        <w:t>admitted to Victorian hospitals</w:t>
      </w:r>
    </w:p>
    <w:p w14:paraId="1FA6363F" w14:textId="77777777" w:rsidR="00494A8D" w:rsidRPr="002029AF" w:rsidRDefault="00494A8D" w:rsidP="00494A8D">
      <w:pPr>
        <w:pStyle w:val="ARbullet1"/>
      </w:pPr>
      <w:r w:rsidRPr="002029AF">
        <w:t>Victorian Emergency Minimum Dataset, which contains information about emergency presentations at Victorian public hospitals</w:t>
      </w:r>
    </w:p>
    <w:p w14:paraId="467BD0E6" w14:textId="77777777" w:rsidR="00494A8D" w:rsidRPr="002029AF" w:rsidRDefault="00494A8D" w:rsidP="00494A8D">
      <w:pPr>
        <w:pStyle w:val="ARbullet1"/>
      </w:pPr>
      <w:r w:rsidRPr="002029AF">
        <w:t>Elective Surgery Information System, which contains information about elective surgery waiting lists from the major Victorian metropolitan and rural public hospitals</w:t>
      </w:r>
    </w:p>
    <w:p w14:paraId="1709E25F" w14:textId="77777777" w:rsidR="00494A8D" w:rsidRPr="002029AF" w:rsidRDefault="00494A8D" w:rsidP="00494A8D">
      <w:pPr>
        <w:pStyle w:val="ARbullet1"/>
      </w:pPr>
      <w:r w:rsidRPr="002029AF">
        <w:t>Victorian Perinatal Data Collection, which contains information about mothers and babies born in Victoria</w:t>
      </w:r>
    </w:p>
    <w:p w14:paraId="713E0FAE" w14:textId="77777777" w:rsidR="00494A8D" w:rsidRPr="002029AF" w:rsidRDefault="00494A8D" w:rsidP="00494A8D">
      <w:pPr>
        <w:pStyle w:val="ARbullet1"/>
      </w:pPr>
      <w:r w:rsidRPr="002029AF">
        <w:t>Victorian Alcohol and Drug Data Collection, which contains information about the clients and activities of government-funded alcohol and drug treatment services</w:t>
      </w:r>
    </w:p>
    <w:p w14:paraId="74EC76C0" w14:textId="65002370" w:rsidR="00494A8D" w:rsidRPr="002029AF" w:rsidRDefault="00494A8D" w:rsidP="00494A8D">
      <w:pPr>
        <w:pStyle w:val="ARbullet1"/>
      </w:pPr>
      <w:r w:rsidRPr="002029AF">
        <w:t>Victorian Mental Health Data Collection, which</w:t>
      </w:r>
      <w:r w:rsidR="0030377F">
        <w:t> </w:t>
      </w:r>
      <w:r w:rsidRPr="002029AF">
        <w:t>contains information about inpatient, residential, and ambulatory community care provided by gazetted mental health facilities, and associated legal, diagnostic and outcome measurement information</w:t>
      </w:r>
    </w:p>
    <w:p w14:paraId="2E949D5C" w14:textId="7747FD3A" w:rsidR="00494A8D" w:rsidRPr="002029AF" w:rsidRDefault="00494A8D" w:rsidP="00494A8D">
      <w:pPr>
        <w:pStyle w:val="ARbullet1"/>
      </w:pPr>
      <w:r w:rsidRPr="002029AF">
        <w:t xml:space="preserve">Victorian Integrated Non-Admitted Health </w:t>
      </w:r>
      <w:r w:rsidR="00B06769">
        <w:t>D</w:t>
      </w:r>
      <w:r w:rsidRPr="002029AF">
        <w:t>ataset, which contains information about a range of non-admitted services provided by health services, including specialist clinics (outpatients), health independence programs, community palliative care, and others</w:t>
      </w:r>
    </w:p>
    <w:p w14:paraId="1665A4C5" w14:textId="77777777" w:rsidR="00494A8D" w:rsidRPr="002029AF" w:rsidRDefault="00494A8D" w:rsidP="00494A8D">
      <w:pPr>
        <w:pStyle w:val="ARbullet1"/>
      </w:pPr>
      <w:r w:rsidRPr="002029AF">
        <w:t>Community Health Minimum Dataset, which contains information about clients receiving government-funded community health services</w:t>
      </w:r>
    </w:p>
    <w:p w14:paraId="546EE4F1" w14:textId="636B168B" w:rsidR="00494A8D" w:rsidRPr="002029AF" w:rsidRDefault="00494A8D" w:rsidP="00494A8D">
      <w:pPr>
        <w:pStyle w:val="ARbullet1"/>
      </w:pPr>
      <w:r w:rsidRPr="002029AF">
        <w:t>Dental Health Program Dataset, which contains information about services provided by public dental agencies, including clients, treatments, referrals and waiting lists</w:t>
      </w:r>
    </w:p>
    <w:p w14:paraId="3D51E76A" w14:textId="7B4B6CB8" w:rsidR="00494A8D" w:rsidRPr="002029AF" w:rsidRDefault="00494A8D" w:rsidP="00494A8D">
      <w:pPr>
        <w:pStyle w:val="ARbullet1"/>
      </w:pPr>
      <w:r w:rsidRPr="002029AF">
        <w:t xml:space="preserve">Notifiable </w:t>
      </w:r>
      <w:r w:rsidR="0084243E">
        <w:t>I</w:t>
      </w:r>
      <w:r w:rsidRPr="002029AF">
        <w:t xml:space="preserve">nfectious </w:t>
      </w:r>
      <w:r w:rsidR="0084243E">
        <w:t>D</w:t>
      </w:r>
      <w:r w:rsidRPr="002029AF">
        <w:t>iseases</w:t>
      </w:r>
      <w:r w:rsidR="0093716E">
        <w:t xml:space="preserve"> </w:t>
      </w:r>
      <w:r w:rsidR="0084243E">
        <w:t>D</w:t>
      </w:r>
      <w:r w:rsidR="0093716E">
        <w:t>ataset</w:t>
      </w:r>
      <w:r w:rsidRPr="002029AF">
        <w:t xml:space="preserve">, which contains information on conditions that must be reported to the department under the </w:t>
      </w:r>
      <w:r w:rsidRPr="002029AF">
        <w:rPr>
          <w:i/>
        </w:rPr>
        <w:t>Public Health and Wellbeing Act 2008</w:t>
      </w:r>
      <w:r w:rsidRPr="002029AF">
        <w:t>.</w:t>
      </w:r>
    </w:p>
    <w:p w14:paraId="0A279CA3" w14:textId="77777777" w:rsidR="00494A8D" w:rsidRPr="002029AF" w:rsidRDefault="00494A8D" w:rsidP="00494A8D">
      <w:pPr>
        <w:pStyle w:val="ARbodyafterbullets"/>
      </w:pPr>
      <w:r w:rsidRPr="002029AF">
        <w:t>Researchers can request access to data via:</w:t>
      </w:r>
    </w:p>
    <w:p w14:paraId="2CB0C580" w14:textId="62875554" w:rsidR="00494A8D" w:rsidRPr="002029AF" w:rsidRDefault="00494A8D" w:rsidP="00494A8D">
      <w:pPr>
        <w:pStyle w:val="ARbullet1"/>
      </w:pPr>
      <w:r w:rsidRPr="002029AF">
        <w:t xml:space="preserve">the </w:t>
      </w:r>
      <w:hyperlink r:id="rId65" w:history="1">
        <w:r w:rsidRPr="002029AF">
          <w:rPr>
            <w:rStyle w:val="Hyperlink"/>
          </w:rPr>
          <w:t>VAHI Data Request Hub</w:t>
        </w:r>
      </w:hyperlink>
      <w:r w:rsidRPr="002029AF">
        <w:t xml:space="preserve"> &lt;https://vahi.freshdesk.com/support/home&gt;</w:t>
      </w:r>
    </w:p>
    <w:p w14:paraId="14958064" w14:textId="7CE1741E" w:rsidR="00494A8D" w:rsidRPr="002029AF" w:rsidRDefault="00494A8D" w:rsidP="00494A8D">
      <w:pPr>
        <w:pStyle w:val="ARbullet1"/>
      </w:pPr>
      <w:r>
        <w:t xml:space="preserve">the </w:t>
      </w:r>
      <w:hyperlink r:id="rId66">
        <w:r w:rsidRPr="503AF47A">
          <w:rPr>
            <w:rStyle w:val="Hyperlink"/>
          </w:rPr>
          <w:t>Centre for Victorian Data Linkages</w:t>
        </w:r>
      </w:hyperlink>
      <w:r>
        <w:t xml:space="preserve"> (linked data only) &lt;https://www.health.vic.gov.au/</w:t>
      </w:r>
      <w:r w:rsidR="008F26AE">
        <w:br/>
      </w:r>
      <w:r>
        <w:t>reporting-planning-data/for-researchers&gt;</w:t>
      </w:r>
    </w:p>
    <w:p w14:paraId="466B3B58" w14:textId="77777777" w:rsidR="00494A8D" w:rsidRPr="002029AF" w:rsidRDefault="00494A8D" w:rsidP="002E1624">
      <w:pPr>
        <w:pStyle w:val="ARbodyafterbullets"/>
      </w:pPr>
      <w:r w:rsidRPr="002029AF">
        <w:t xml:space="preserve">Victorian health data </w:t>
      </w:r>
      <w:r>
        <w:t>is</w:t>
      </w:r>
      <w:r w:rsidRPr="002029AF">
        <w:t xml:space="preserve"> also made available by</w:t>
      </w:r>
      <w:r>
        <w:t> </w:t>
      </w:r>
      <w:r w:rsidRPr="002029AF">
        <w:t>other agencies, such as:</w:t>
      </w:r>
    </w:p>
    <w:p w14:paraId="1AD06F98" w14:textId="7030A5B8" w:rsidR="00494A8D" w:rsidRPr="002029AF" w:rsidRDefault="00951432" w:rsidP="00494A8D">
      <w:pPr>
        <w:pStyle w:val="ARbullet1"/>
      </w:pPr>
      <w:hyperlink r:id="rId67" w:history="1">
        <w:r w:rsidR="00494A8D" w:rsidRPr="00492D92">
          <w:rPr>
            <w:rStyle w:val="Hyperlink"/>
          </w:rPr>
          <w:t>Cancer Council Victoria</w:t>
        </w:r>
      </w:hyperlink>
      <w:r w:rsidR="00494A8D" w:rsidRPr="002029AF">
        <w:t xml:space="preserve"> &lt;</w:t>
      </w:r>
      <w:r w:rsidR="00494A8D" w:rsidRPr="00492D92">
        <w:t>https://www.cancervic.org.au</w:t>
      </w:r>
      <w:r w:rsidR="00494A8D" w:rsidRPr="002029AF">
        <w:t>&gt;</w:t>
      </w:r>
    </w:p>
    <w:p w14:paraId="4955DEC7" w14:textId="15528998" w:rsidR="00494A8D" w:rsidRDefault="00951432" w:rsidP="00494A8D">
      <w:pPr>
        <w:pStyle w:val="ARbullet1"/>
      </w:pPr>
      <w:hyperlink r:id="rId68" w:history="1">
        <w:r w:rsidR="00494A8D" w:rsidRPr="002029AF">
          <w:rPr>
            <w:rStyle w:val="Hyperlink"/>
          </w:rPr>
          <w:t>Australian Institute of Health and Welfare</w:t>
        </w:r>
      </w:hyperlink>
      <w:r w:rsidR="00494A8D" w:rsidRPr="002029AF">
        <w:t xml:space="preserve"> &lt;</w:t>
      </w:r>
      <w:r w:rsidR="00494A8D" w:rsidRPr="00F1682A">
        <w:t>https://www.aihw.gov.au/</w:t>
      </w:r>
      <w:r w:rsidR="00494A8D" w:rsidRPr="002029AF">
        <w:t>&gt; and</w:t>
      </w:r>
    </w:p>
    <w:p w14:paraId="7E5059D9" w14:textId="37C481C5" w:rsidR="00494A8D" w:rsidRDefault="00951432" w:rsidP="00494A8D">
      <w:pPr>
        <w:pStyle w:val="ARbullet1"/>
      </w:pPr>
      <w:hyperlink r:id="rId69">
        <w:r w:rsidR="00494A8D" w:rsidRPr="58648B91">
          <w:rPr>
            <w:rStyle w:val="Hyperlink"/>
          </w:rPr>
          <w:t>MyHospitals</w:t>
        </w:r>
      </w:hyperlink>
      <w:r w:rsidR="00494A8D">
        <w:t xml:space="preserve"> &lt;https://www.aihw.gov.au/</w:t>
      </w:r>
      <w:r w:rsidR="00190223">
        <w:br/>
      </w:r>
      <w:r w:rsidR="00494A8D">
        <w:t>reports-data/myhospitals&gt;.</w:t>
      </w:r>
    </w:p>
    <w:p w14:paraId="3DD01977" w14:textId="77777777" w:rsidR="00DA46D3" w:rsidRPr="003379F7" w:rsidRDefault="00DA46D3" w:rsidP="00DA46D3">
      <w:pPr>
        <w:pStyle w:val="Heading2"/>
        <w:spacing w:before="0"/>
      </w:pPr>
      <w:bookmarkStart w:id="377" w:name="_Toc85121277"/>
      <w:bookmarkStart w:id="378" w:name="_Toc85121622"/>
      <w:bookmarkStart w:id="379" w:name="_Ref85202889"/>
      <w:bookmarkStart w:id="380" w:name="_Ref85203428"/>
      <w:bookmarkStart w:id="381" w:name="_Toc102734499"/>
      <w:bookmarkStart w:id="382" w:name="_Ref112852496"/>
      <w:bookmarkStart w:id="383" w:name="_Ref112855280"/>
      <w:bookmarkStart w:id="384" w:name="_Toc113702936"/>
      <w:r w:rsidRPr="003379F7">
        <w:t>Freedom of information</w:t>
      </w:r>
      <w:bookmarkEnd w:id="377"/>
      <w:bookmarkEnd w:id="378"/>
      <w:bookmarkEnd w:id="379"/>
      <w:bookmarkEnd w:id="380"/>
      <w:bookmarkEnd w:id="381"/>
      <w:bookmarkEnd w:id="382"/>
      <w:bookmarkEnd w:id="383"/>
      <w:bookmarkEnd w:id="384"/>
    </w:p>
    <w:p w14:paraId="736DD24E" w14:textId="621BB2D6" w:rsidR="00DA46D3" w:rsidRPr="00A9686F" w:rsidRDefault="00DA46D3" w:rsidP="00DA46D3">
      <w:pPr>
        <w:pStyle w:val="ARbody"/>
      </w:pPr>
      <w:r w:rsidRPr="002029AF">
        <w:t xml:space="preserve">The </w:t>
      </w:r>
      <w:r w:rsidRPr="002029AF">
        <w:rPr>
          <w:i/>
          <w:iCs/>
        </w:rPr>
        <w:t>Freedom of Information Act 1982</w:t>
      </w:r>
      <w:r w:rsidRPr="002029AF">
        <w:t xml:space="preserve"> aims to</w:t>
      </w:r>
      <w:r w:rsidR="008F26AE">
        <w:t> </w:t>
      </w:r>
      <w:r w:rsidRPr="002029AF">
        <w:t>extend as far as possible the right of the community to access information held b</w:t>
      </w:r>
      <w:r w:rsidRPr="006514A9">
        <w:t>y the Victorian Government a</w:t>
      </w:r>
      <w:r w:rsidRPr="00A9686F">
        <w:t>nd other bodies subject to</w:t>
      </w:r>
      <w:r w:rsidR="008F26AE">
        <w:t> </w:t>
      </w:r>
      <w:r w:rsidRPr="00A9686F">
        <w:t>the Act.</w:t>
      </w:r>
    </w:p>
    <w:p w14:paraId="5729DFA3" w14:textId="77777777" w:rsidR="00DA46D3" w:rsidRPr="00A9686F" w:rsidRDefault="00DA46D3" w:rsidP="00DA46D3">
      <w:pPr>
        <w:pStyle w:val="ARbody"/>
      </w:pPr>
      <w:r w:rsidRPr="00A9686F">
        <w:t>The Act allows the department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documents relating to trade secrets.</w:t>
      </w:r>
    </w:p>
    <w:p w14:paraId="7C75603B" w14:textId="77777777" w:rsidR="00DA46D3" w:rsidRPr="00A9686F" w:rsidRDefault="00DA46D3" w:rsidP="00DA46D3">
      <w:pPr>
        <w:pStyle w:val="ARbody"/>
      </w:pPr>
      <w:r w:rsidRPr="00A9686F">
        <w:t>The Act provides a 30-day period for processing requests. This time may be extended where consultation is required and by agreement with the applicant.</w:t>
      </w:r>
    </w:p>
    <w:p w14:paraId="3DF9A67A" w14:textId="77777777" w:rsidR="00DA46D3" w:rsidRPr="002029AF" w:rsidRDefault="00DA46D3" w:rsidP="00DA46D3">
      <w:pPr>
        <w:pStyle w:val="ARbody"/>
      </w:pPr>
      <w:r w:rsidRPr="00A9686F">
        <w:t xml:space="preserve">If an applicant is not satisfied with a decision made by the department, including a decision regarding whether the application fee is to be waived, the applicant </w:t>
      </w:r>
      <w:r w:rsidRPr="002029AF">
        <w:t>has the right to seek a review by the Office of the Victorian Information Commissioner within 28 days of receiving a decision letter.</w:t>
      </w:r>
    </w:p>
    <w:p w14:paraId="2D7477A7" w14:textId="77777777" w:rsidR="00DA46D3" w:rsidRPr="002029AF" w:rsidRDefault="00DA46D3" w:rsidP="00DA46D3">
      <w:pPr>
        <w:pStyle w:val="Heading3"/>
      </w:pPr>
      <w:bookmarkStart w:id="385" w:name="_Toc85121278"/>
      <w:r w:rsidRPr="002029AF">
        <w:t>Making a request</w:t>
      </w:r>
      <w:bookmarkEnd w:id="385"/>
    </w:p>
    <w:p w14:paraId="681F19A2" w14:textId="3AC94186" w:rsidR="00DA46D3" w:rsidRPr="006514A9" w:rsidRDefault="00DA46D3" w:rsidP="00DA46D3">
      <w:pPr>
        <w:pStyle w:val="ARbody"/>
      </w:pPr>
      <w:r w:rsidRPr="002029AF">
        <w:rPr>
          <w:lang w:eastAsia="en-AU"/>
        </w:rPr>
        <w:t>Access to documents may be obtained through written req</w:t>
      </w:r>
      <w:r w:rsidRPr="006514A9">
        <w:t>uest to the department</w:t>
      </w:r>
      <w:r>
        <w:t>’</w:t>
      </w:r>
      <w:r w:rsidRPr="006514A9">
        <w:t>s Freedom of Information Unit, pursuant to s</w:t>
      </w:r>
      <w:r w:rsidR="00EE08DE">
        <w:t>ection</w:t>
      </w:r>
      <w:r w:rsidRPr="006514A9">
        <w:t xml:space="preserve"> 17 of the Act.</w:t>
      </w:r>
    </w:p>
    <w:p w14:paraId="0C273F23" w14:textId="77777777" w:rsidR="00DA46D3" w:rsidRPr="006514A9" w:rsidRDefault="00DA46D3" w:rsidP="00DA46D3">
      <w:pPr>
        <w:pStyle w:val="ARbody"/>
      </w:pPr>
      <w:r w:rsidRPr="006514A9">
        <w:t>In summary, the requirements for making a request are:</w:t>
      </w:r>
    </w:p>
    <w:p w14:paraId="58ADC8AD" w14:textId="77777777" w:rsidR="00DA46D3" w:rsidRPr="006514A9" w:rsidRDefault="00DA46D3" w:rsidP="00DA46D3">
      <w:pPr>
        <w:pStyle w:val="ARbullet1"/>
      </w:pPr>
      <w:r w:rsidRPr="002029AF">
        <w:rPr>
          <w:lang w:eastAsia="en-AU"/>
        </w:rPr>
        <w:t>it must</w:t>
      </w:r>
      <w:r w:rsidRPr="006514A9">
        <w:t xml:space="preserve"> be in writing</w:t>
      </w:r>
    </w:p>
    <w:p w14:paraId="1DF88013" w14:textId="77777777" w:rsidR="00DA46D3" w:rsidRPr="006514A9" w:rsidRDefault="00DA46D3" w:rsidP="00DA46D3">
      <w:pPr>
        <w:pStyle w:val="ARbullet1"/>
      </w:pPr>
      <w:r w:rsidRPr="006514A9">
        <w:t>it should provide such information concerning the document as is reasonably necessary to enable identification of the document</w:t>
      </w:r>
    </w:p>
    <w:p w14:paraId="6156099B" w14:textId="77777777" w:rsidR="00DA46D3" w:rsidRPr="002029AF" w:rsidRDefault="00DA46D3" w:rsidP="00DA46D3">
      <w:pPr>
        <w:pStyle w:val="ARbullet1"/>
        <w:rPr>
          <w:lang w:eastAsia="en-AU"/>
        </w:rPr>
      </w:pPr>
      <w:r w:rsidRPr="006514A9">
        <w:t>it should be accompanied by the application fee of $30.</w:t>
      </w:r>
      <w:r>
        <w:t>6</w:t>
      </w:r>
      <w:r w:rsidRPr="006514A9">
        <w:t>0</w:t>
      </w:r>
      <w:r w:rsidRPr="002029AF">
        <w:rPr>
          <w:lang w:eastAsia="en-AU"/>
        </w:rPr>
        <w:t xml:space="preserve"> (the fee may be waived in certain circumstances).</w:t>
      </w:r>
    </w:p>
    <w:p w14:paraId="3CBB5BB2" w14:textId="314317C5" w:rsidR="00DA46D3" w:rsidRPr="002029AF" w:rsidRDefault="00DA46D3" w:rsidP="00DA46D3">
      <w:pPr>
        <w:pStyle w:val="ARbodyafterbullets"/>
        <w:rPr>
          <w:lang w:eastAsia="en-AU"/>
        </w:rPr>
      </w:pPr>
      <w:r w:rsidRPr="002029AF">
        <w:rPr>
          <w:lang w:eastAsia="en-AU"/>
        </w:rPr>
        <w:t>Requests for documents in the possession of</w:t>
      </w:r>
      <w:r w:rsidR="008F26AE">
        <w:rPr>
          <w:lang w:eastAsia="en-AU"/>
        </w:rPr>
        <w:t> </w:t>
      </w:r>
      <w:r w:rsidRPr="002029AF">
        <w:rPr>
          <w:lang w:eastAsia="en-AU"/>
        </w:rPr>
        <w:t>the</w:t>
      </w:r>
      <w:r w:rsidR="008F26AE">
        <w:rPr>
          <w:lang w:eastAsia="en-AU"/>
        </w:rPr>
        <w:t> </w:t>
      </w:r>
      <w:r w:rsidRPr="002029AF">
        <w:rPr>
          <w:lang w:eastAsia="en-AU"/>
        </w:rPr>
        <w:t>department should be addressed to:</w:t>
      </w:r>
    </w:p>
    <w:p w14:paraId="7AB99414" w14:textId="77777777" w:rsidR="00DA46D3" w:rsidRPr="002029AF" w:rsidRDefault="00DA46D3" w:rsidP="00DA46D3">
      <w:pPr>
        <w:pStyle w:val="ARbodynospace"/>
        <w:jc w:val="both"/>
      </w:pPr>
      <w:r w:rsidRPr="002029AF">
        <w:t>Freedom of Information Unit</w:t>
      </w:r>
    </w:p>
    <w:p w14:paraId="3C72A9FE" w14:textId="77777777" w:rsidR="00DA46D3" w:rsidRDefault="00DA46D3" w:rsidP="00DA46D3">
      <w:pPr>
        <w:pStyle w:val="ARbodynospace"/>
        <w:jc w:val="both"/>
      </w:pPr>
      <w:r w:rsidRPr="002029AF">
        <w:t>Department of Health</w:t>
      </w:r>
    </w:p>
    <w:p w14:paraId="15F05050" w14:textId="77777777" w:rsidR="00DA46D3" w:rsidRPr="002029AF" w:rsidRDefault="00DA46D3" w:rsidP="00DA46D3">
      <w:pPr>
        <w:pStyle w:val="ARbodynospace"/>
        <w:jc w:val="both"/>
      </w:pPr>
      <w:r w:rsidRPr="002029AF">
        <w:t>GPO Box 4057</w:t>
      </w:r>
    </w:p>
    <w:p w14:paraId="3F45DB23" w14:textId="77777777" w:rsidR="00DA46D3" w:rsidRPr="002029AF" w:rsidRDefault="00DA46D3" w:rsidP="00DA46D3">
      <w:pPr>
        <w:pStyle w:val="ARbody"/>
      </w:pPr>
      <w:r w:rsidRPr="002029AF">
        <w:t>Melbourne VIC 3001</w:t>
      </w:r>
    </w:p>
    <w:p w14:paraId="75F4B1E4" w14:textId="206C9214" w:rsidR="00DA46D3" w:rsidRDefault="00DA46D3" w:rsidP="00DA46D3">
      <w:pPr>
        <w:pStyle w:val="ARbody"/>
      </w:pPr>
      <w:r>
        <w:br w:type="column"/>
      </w:r>
      <w:r w:rsidRPr="002029AF">
        <w:t xml:space="preserve">Requests and payment of the application fee can also be lodged online </w:t>
      </w:r>
      <w:r>
        <w:t>at</w:t>
      </w:r>
      <w:r w:rsidRPr="002029AF">
        <w:t xml:space="preserve"> the</w:t>
      </w:r>
      <w:r>
        <w:t xml:space="preserve"> </w:t>
      </w:r>
      <w:hyperlink r:id="rId70" w:history="1">
        <w:r w:rsidRPr="00553B72">
          <w:rPr>
            <w:rStyle w:val="Hyperlink"/>
          </w:rPr>
          <w:t>Victorian Freedom of Information Request Portal</w:t>
        </w:r>
      </w:hyperlink>
      <w:r>
        <w:t xml:space="preserve"> &lt;</w:t>
      </w:r>
      <w:r w:rsidRPr="00553B72">
        <w:t>https://online.foi.vic.gov.au/foi/request.doj</w:t>
      </w:r>
      <w:r>
        <w:t>&gt;</w:t>
      </w:r>
    </w:p>
    <w:p w14:paraId="47597269" w14:textId="002CC8BC" w:rsidR="00DA46D3" w:rsidRPr="00B95D52" w:rsidRDefault="00DA46D3" w:rsidP="00DA46D3">
      <w:pPr>
        <w:pStyle w:val="ARbody"/>
      </w:pPr>
      <w:r>
        <w:t>E</w:t>
      </w:r>
      <w:r w:rsidRPr="00B95D52">
        <w:t xml:space="preserve">nquiries can be made </w:t>
      </w:r>
      <w:r>
        <w:t xml:space="preserve">by </w:t>
      </w:r>
      <w:hyperlink r:id="rId71" w:history="1">
        <w:r w:rsidRPr="009449E6">
          <w:rPr>
            <w:rStyle w:val="Hyperlink"/>
          </w:rPr>
          <w:t>emailing the Freedom of</w:t>
        </w:r>
        <w:r>
          <w:rPr>
            <w:rStyle w:val="Hyperlink"/>
          </w:rPr>
          <w:t> </w:t>
        </w:r>
        <w:r w:rsidRPr="009449E6">
          <w:rPr>
            <w:rStyle w:val="Hyperlink"/>
          </w:rPr>
          <w:t>Information Unit</w:t>
        </w:r>
      </w:hyperlink>
      <w:r>
        <w:t xml:space="preserve"> &lt;</w:t>
      </w:r>
      <w:r w:rsidRPr="009449E6">
        <w:t>foi@health.vic.gov.au</w:t>
      </w:r>
      <w:r>
        <w:t>&gt;, or telephone 1300 020 360.</w:t>
      </w:r>
    </w:p>
    <w:p w14:paraId="4D870647" w14:textId="77777777" w:rsidR="00DA46D3" w:rsidRPr="00EE3B2E" w:rsidRDefault="00DA46D3" w:rsidP="00DA46D3">
      <w:pPr>
        <w:pStyle w:val="ARbody"/>
      </w:pPr>
      <w:r w:rsidRPr="00EE3B2E">
        <w:t>Access charges for photocopying and search retrieval may also apply once the request has been finalised.</w:t>
      </w:r>
    </w:p>
    <w:p w14:paraId="5008AD5B" w14:textId="77777777" w:rsidR="00DA46D3" w:rsidRPr="002029AF" w:rsidRDefault="00DA46D3" w:rsidP="00DA46D3">
      <w:pPr>
        <w:pStyle w:val="Heading3"/>
      </w:pPr>
      <w:bookmarkStart w:id="386" w:name="_Toc85121279"/>
      <w:r w:rsidRPr="002029AF">
        <w:t>FOI statistics/timeliness</w:t>
      </w:r>
      <w:bookmarkEnd w:id="386"/>
    </w:p>
    <w:p w14:paraId="77EF548C" w14:textId="67424ABF" w:rsidR="00DA46D3" w:rsidRPr="00EE3B2E" w:rsidRDefault="00DA46D3" w:rsidP="00DA46D3">
      <w:pPr>
        <w:pStyle w:val="ARbody"/>
      </w:pPr>
      <w:r w:rsidRPr="00EE3B2E">
        <w:t>During 202</w:t>
      </w:r>
      <w:r>
        <w:t>1</w:t>
      </w:r>
      <w:r w:rsidRPr="00EE3B2E">
        <w:t>–2</w:t>
      </w:r>
      <w:r>
        <w:t>2</w:t>
      </w:r>
      <w:r w:rsidRPr="00EE3B2E">
        <w:t xml:space="preserve">, the </w:t>
      </w:r>
      <w:r w:rsidR="00EE08DE">
        <w:t>d</w:t>
      </w:r>
      <w:r w:rsidRPr="00EE3B2E">
        <w:t xml:space="preserve">epartment received </w:t>
      </w:r>
      <w:r>
        <w:t>554</w:t>
      </w:r>
      <w:r w:rsidR="008F26AE">
        <w:t> </w:t>
      </w:r>
      <w:r w:rsidRPr="00EE3B2E">
        <w:t>FOI</w:t>
      </w:r>
      <w:r w:rsidR="00641D17">
        <w:t> </w:t>
      </w:r>
      <w:r w:rsidRPr="00EE3B2E">
        <w:t>applications. Of these requests,</w:t>
      </w:r>
      <w:r>
        <w:t xml:space="preserve"> 43</w:t>
      </w:r>
      <w:r w:rsidRPr="00EE3B2E">
        <w:t xml:space="preserve"> were from </w:t>
      </w:r>
      <w:r w:rsidR="00B05355">
        <w:t>m</w:t>
      </w:r>
      <w:r w:rsidRPr="00EE3B2E">
        <w:t xml:space="preserve">embers of </w:t>
      </w:r>
      <w:r w:rsidR="00B05355">
        <w:t>p</w:t>
      </w:r>
      <w:r w:rsidRPr="00EE3B2E">
        <w:t xml:space="preserve">arliament, </w:t>
      </w:r>
      <w:r>
        <w:t>26</w:t>
      </w:r>
      <w:r w:rsidRPr="00EE3B2E">
        <w:t xml:space="preserve"> from the media, and the remainder from the general public.</w:t>
      </w:r>
    </w:p>
    <w:p w14:paraId="3EBE3010" w14:textId="77777777" w:rsidR="003F0283" w:rsidRDefault="00DA46D3" w:rsidP="00DA46D3">
      <w:pPr>
        <w:pStyle w:val="ARbody"/>
      </w:pPr>
      <w:r w:rsidRPr="00EE3B2E">
        <w:t xml:space="preserve">The department made </w:t>
      </w:r>
      <w:r>
        <w:t>644</w:t>
      </w:r>
      <w:r w:rsidRPr="00EE3B2E">
        <w:t xml:space="preserve"> FOI decisions and processed </w:t>
      </w:r>
      <w:r>
        <w:t>77</w:t>
      </w:r>
      <w:r w:rsidRPr="00EE3B2E">
        <w:t xml:space="preserve"> per cent of requests within the statutory time period.</w:t>
      </w:r>
    </w:p>
    <w:p w14:paraId="35080796" w14:textId="6206196E" w:rsidR="00494A8D" w:rsidRDefault="00DA46D3" w:rsidP="00EF6835">
      <w:pPr>
        <w:pStyle w:val="ARbody"/>
      </w:pPr>
      <w:r>
        <w:t xml:space="preserve">Of the </w:t>
      </w:r>
      <w:r w:rsidRPr="00EE3B2E">
        <w:t>decisions</w:t>
      </w:r>
      <w:r>
        <w:t xml:space="preserve"> finalised, 52</w:t>
      </w:r>
      <w:r w:rsidRPr="00EE3B2E">
        <w:t xml:space="preserve"> were subject to </w:t>
      </w:r>
      <w:r>
        <w:t xml:space="preserve">a </w:t>
      </w:r>
      <w:r w:rsidR="00B05355">
        <w:t>r</w:t>
      </w:r>
      <w:r w:rsidRPr="00EE3B2E">
        <w:t>eview</w:t>
      </w:r>
      <w:r>
        <w:t>/</w:t>
      </w:r>
      <w:r w:rsidR="00B05355">
        <w:t>c</w:t>
      </w:r>
      <w:r>
        <w:t>omplaint</w:t>
      </w:r>
      <w:r w:rsidRPr="00EE3B2E">
        <w:t xml:space="preserve"> </w:t>
      </w:r>
      <w:r w:rsidRPr="006E3276">
        <w:t>by the Office of the Victorian Information Commissioner</w:t>
      </w:r>
      <w:r>
        <w:t>,</w:t>
      </w:r>
      <w:r w:rsidRPr="006E3276">
        <w:t xml:space="preserve"> and </w:t>
      </w:r>
      <w:r>
        <w:t>16</w:t>
      </w:r>
      <w:r w:rsidRPr="006E3276">
        <w:t xml:space="preserve"> appeals were made to the Victorian Civil and Administrative Tribunal.</w:t>
      </w:r>
    </w:p>
    <w:p w14:paraId="07DDBA59" w14:textId="77777777" w:rsidR="00DA46D3" w:rsidRPr="003379F7" w:rsidRDefault="00DA46D3" w:rsidP="00AF386F">
      <w:pPr>
        <w:pStyle w:val="Heading2"/>
        <w:spacing w:before="240"/>
        <w:rPr>
          <w:rFonts w:cs="Arial"/>
        </w:rPr>
      </w:pPr>
      <w:bookmarkStart w:id="387" w:name="_Ref21956761"/>
      <w:bookmarkStart w:id="388" w:name="_Toc54690783"/>
      <w:bookmarkStart w:id="389" w:name="_Ref84240900"/>
      <w:bookmarkStart w:id="390" w:name="_Toc85121282"/>
      <w:bookmarkStart w:id="391" w:name="_Toc85121623"/>
      <w:bookmarkStart w:id="392" w:name="_Toc102734500"/>
      <w:bookmarkStart w:id="393" w:name="_Toc113702937"/>
      <w:bookmarkStart w:id="394" w:name="_Ref492895162"/>
      <w:r w:rsidRPr="003379F7">
        <w:rPr>
          <w:rFonts w:cs="Arial"/>
        </w:rPr>
        <w:t>Compliance with the Public Interest Disclosures Act 2012</w:t>
      </w:r>
      <w:bookmarkEnd w:id="387"/>
      <w:bookmarkEnd w:id="388"/>
      <w:bookmarkEnd w:id="389"/>
      <w:bookmarkEnd w:id="390"/>
      <w:bookmarkEnd w:id="391"/>
      <w:bookmarkEnd w:id="392"/>
      <w:bookmarkEnd w:id="393"/>
    </w:p>
    <w:p w14:paraId="6042ACF7" w14:textId="77777777" w:rsidR="00DA46D3" w:rsidRPr="002029AF" w:rsidRDefault="00DA46D3" w:rsidP="00DA46D3">
      <w:pPr>
        <w:pStyle w:val="ARbody"/>
      </w:pPr>
      <w:r w:rsidRPr="002029AF">
        <w:t xml:space="preserve">The </w:t>
      </w:r>
      <w:r w:rsidRPr="002029AF">
        <w:rPr>
          <w:i/>
          <w:iCs/>
        </w:rPr>
        <w:t>Public Interest Disclosures Act 2012</w:t>
      </w:r>
      <w:r w:rsidRPr="002029AF">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w:t>
      </w:r>
      <w:r>
        <w:t xml:space="preserve"> for</w:t>
      </w:r>
      <w:r w:rsidRPr="002029AF">
        <w:t xml:space="preserve"> rectifying action to be taken.</w:t>
      </w:r>
    </w:p>
    <w:p w14:paraId="78F26841" w14:textId="60876FA8" w:rsidR="00DA46D3" w:rsidRPr="002029AF" w:rsidRDefault="00DA46D3" w:rsidP="00DA46D3">
      <w:pPr>
        <w:pStyle w:val="ARbody"/>
      </w:pPr>
      <w:r w:rsidRPr="002029AF">
        <w:t xml:space="preserve">The department does not tolerate improper conduct by employees, nor the </w:t>
      </w:r>
      <w:r w:rsidRPr="005A29D1">
        <w:t>taking of</w:t>
      </w:r>
      <w:r w:rsidRPr="002029AF">
        <w:t xml:space="preserve"> </w:t>
      </w:r>
      <w:r w:rsidRPr="005A29D1">
        <w:t>reprisals</w:t>
      </w:r>
      <w:r w:rsidRPr="002029AF">
        <w:t xml:space="preserve">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w:t>
      </w:r>
      <w:r w:rsidR="00641D17">
        <w:t> </w:t>
      </w:r>
      <w:r w:rsidRPr="002029AF">
        <w:t>conduct involving a substantial risk to public health and safety or the environment.</w:t>
      </w:r>
    </w:p>
    <w:p w14:paraId="06966E5E" w14:textId="7BFFB86A" w:rsidR="00DA46D3" w:rsidRPr="002029AF" w:rsidRDefault="00AF386F" w:rsidP="00DA46D3">
      <w:pPr>
        <w:pStyle w:val="ARbody"/>
      </w:pPr>
      <w:r>
        <w:br w:type="column"/>
      </w:r>
      <w:r w:rsidR="00DA46D3" w:rsidRPr="002029AF">
        <w:t xml:space="preserve">The department will take all reasonable steps to protect people who make such disclosures from any detrimental action </w:t>
      </w:r>
      <w:r w:rsidR="0074235F">
        <w:t xml:space="preserve">taken </w:t>
      </w:r>
      <w:r w:rsidR="00DA46D3" w:rsidRPr="002029AF">
        <w:t>in reprisal for making the disclosure. It will also afford natural justice to the person who is the subject of the disclosure to the extent it is legally possible.</w:t>
      </w:r>
    </w:p>
    <w:p w14:paraId="5414BD3A" w14:textId="77777777" w:rsidR="00DA46D3" w:rsidRPr="002029AF" w:rsidRDefault="00DA46D3" w:rsidP="00745554">
      <w:pPr>
        <w:pStyle w:val="Heading3"/>
        <w:spacing w:before="240" w:after="60"/>
        <w:jc w:val="both"/>
      </w:pPr>
      <w:bookmarkStart w:id="395" w:name="_Toc85121283"/>
      <w:r w:rsidRPr="002029AF">
        <w:t>Reporting procedures</w:t>
      </w:r>
      <w:bookmarkEnd w:id="395"/>
    </w:p>
    <w:p w14:paraId="3AAC32F0" w14:textId="77777777" w:rsidR="00DA46D3" w:rsidRPr="002029AF" w:rsidRDefault="00DA46D3" w:rsidP="00745554">
      <w:pPr>
        <w:pStyle w:val="ARbody"/>
        <w:spacing w:after="60"/>
      </w:pPr>
      <w:r w:rsidRPr="002029AF">
        <w:t>Disclosures of improper conduct or detrimental action by the department or any of its employees may be made to any of the following department personnel:</w:t>
      </w:r>
    </w:p>
    <w:p w14:paraId="7B2AE4FF" w14:textId="77777777" w:rsidR="00DA46D3" w:rsidRPr="002029AF" w:rsidRDefault="00DA46D3" w:rsidP="00DA46D3">
      <w:pPr>
        <w:pStyle w:val="ARbullet1"/>
      </w:pPr>
      <w:r>
        <w:t>t</w:t>
      </w:r>
      <w:r w:rsidRPr="002029AF">
        <w:t>he Secretary</w:t>
      </w:r>
    </w:p>
    <w:p w14:paraId="379FF33D" w14:textId="511D8201" w:rsidR="00DA46D3" w:rsidRPr="002029AF" w:rsidRDefault="00951432" w:rsidP="00DA46D3">
      <w:pPr>
        <w:pStyle w:val="ARbullet1"/>
        <w:rPr>
          <w:lang w:eastAsia="en-AU"/>
        </w:rPr>
      </w:pPr>
      <w:hyperlink r:id="rId72" w:history="1">
        <w:r w:rsidR="00DA46D3" w:rsidRPr="009A4EAA">
          <w:rPr>
            <w:rStyle w:val="Hyperlink"/>
          </w:rPr>
          <w:t>public interest disclosure coordinators</w:t>
        </w:r>
      </w:hyperlink>
      <w:r w:rsidR="00DA46D3">
        <w:t xml:space="preserve"> </w:t>
      </w:r>
      <w:r w:rsidR="001D1758">
        <w:t>&lt;</w:t>
      </w:r>
      <w:r w:rsidR="00DA46D3" w:rsidRPr="001D1758">
        <w:t>publicinterestdisclosure@health.vic.gov.au</w:t>
      </w:r>
      <w:r w:rsidR="00B8059A">
        <w:t>&gt;</w:t>
      </w:r>
    </w:p>
    <w:p w14:paraId="0E433485" w14:textId="77777777" w:rsidR="00DA46D3" w:rsidRPr="002029AF" w:rsidRDefault="00DA46D3" w:rsidP="00DA46D3">
      <w:pPr>
        <w:pStyle w:val="ARbullet1"/>
      </w:pPr>
      <w:r>
        <w:t xml:space="preserve">the </w:t>
      </w:r>
      <w:r w:rsidRPr="002029AF">
        <w:t>manager or supervisor of the discloser</w:t>
      </w:r>
    </w:p>
    <w:p w14:paraId="43427F20" w14:textId="77777777" w:rsidR="00DA46D3" w:rsidRPr="002029AF" w:rsidRDefault="00DA46D3" w:rsidP="00DA46D3">
      <w:pPr>
        <w:pStyle w:val="ARbullet1"/>
      </w:pPr>
      <w:r>
        <w:t xml:space="preserve">the </w:t>
      </w:r>
      <w:r w:rsidRPr="002029AF">
        <w:t>manager or supervisor of the person who is the subject of the disclosure.</w:t>
      </w:r>
    </w:p>
    <w:p w14:paraId="6913B9ED" w14:textId="005CB6C9" w:rsidR="00DA46D3" w:rsidRPr="002029AF" w:rsidRDefault="00DA46D3" w:rsidP="00DA46D3">
      <w:pPr>
        <w:pStyle w:val="ARbodyafterbullets"/>
      </w:pPr>
      <w:r w:rsidRPr="002029AF">
        <w:t>Alternatively, disclosures may also be made directly</w:t>
      </w:r>
      <w:r w:rsidR="00456C7F">
        <w:t xml:space="preserve"> </w:t>
      </w:r>
      <w:r w:rsidRPr="002029AF">
        <w:t>to the Independent Broad</w:t>
      </w:r>
      <w:r>
        <w:noBreakHyphen/>
      </w:r>
      <w:r w:rsidRPr="002029AF">
        <w:t>based Anti</w:t>
      </w:r>
      <w:r>
        <w:noBreakHyphen/>
      </w:r>
      <w:r w:rsidRPr="002029AF">
        <w:t>corruption Commission:</w:t>
      </w:r>
    </w:p>
    <w:p w14:paraId="34D0A7FE" w14:textId="52CD8A24" w:rsidR="00DA46D3" w:rsidRPr="00456C7F" w:rsidRDefault="00DA46D3" w:rsidP="00DA46D3">
      <w:pPr>
        <w:pStyle w:val="ARbody"/>
        <w:rPr>
          <w:szCs w:val="20"/>
        </w:rPr>
      </w:pPr>
      <w:r w:rsidRPr="00456C7F">
        <w:rPr>
          <w:szCs w:val="20"/>
        </w:rPr>
        <w:t>Level 1, North Tower, 459 Collins Street</w:t>
      </w:r>
      <w:r w:rsidRPr="00456C7F">
        <w:rPr>
          <w:szCs w:val="20"/>
        </w:rPr>
        <w:br/>
        <w:t>Melbourne VIC 3000</w:t>
      </w:r>
      <w:r w:rsidRPr="00456C7F">
        <w:rPr>
          <w:szCs w:val="20"/>
        </w:rPr>
        <w:br/>
        <w:t>Phone: 1300 735 135</w:t>
      </w:r>
      <w:r w:rsidRPr="00456C7F">
        <w:rPr>
          <w:szCs w:val="20"/>
        </w:rPr>
        <w:br/>
        <w:t xml:space="preserve">Internet: </w:t>
      </w:r>
      <w:hyperlink r:id="rId73" w:history="1">
        <w:r w:rsidRPr="00456C7F">
          <w:rPr>
            <w:rStyle w:val="Hyperlink"/>
            <w:szCs w:val="20"/>
          </w:rPr>
          <w:t>Independent Broad-based Anti-corruption Commission</w:t>
        </w:r>
      </w:hyperlink>
      <w:r w:rsidRPr="00456C7F">
        <w:rPr>
          <w:szCs w:val="20"/>
        </w:rPr>
        <w:t xml:space="preserve"> &lt;https://www.ibac.vic.gov.au&gt;</w:t>
      </w:r>
      <w:r w:rsidRPr="00456C7F">
        <w:rPr>
          <w:szCs w:val="20"/>
        </w:rPr>
        <w:br/>
      </w:r>
      <w:hyperlink r:id="rId74" w:history="1">
        <w:r w:rsidRPr="00456C7F">
          <w:rPr>
            <w:rStyle w:val="Hyperlink"/>
            <w:szCs w:val="20"/>
          </w:rPr>
          <w:t>Email IBAC</w:t>
        </w:r>
      </w:hyperlink>
      <w:r w:rsidRPr="00456C7F">
        <w:rPr>
          <w:szCs w:val="20"/>
        </w:rPr>
        <w:t xml:space="preserve"> &lt;info@ibac.vic.gov.au&gt;.</w:t>
      </w:r>
    </w:p>
    <w:p w14:paraId="43C98E85" w14:textId="77777777" w:rsidR="00DA46D3" w:rsidRPr="002029AF" w:rsidRDefault="00DA46D3" w:rsidP="00745554">
      <w:pPr>
        <w:pStyle w:val="Heading3"/>
        <w:spacing w:before="240" w:after="60"/>
        <w:jc w:val="both"/>
      </w:pPr>
      <w:bookmarkStart w:id="396" w:name="_Toc85121284"/>
      <w:r w:rsidRPr="002029AF">
        <w:t>Further information</w:t>
      </w:r>
      <w:bookmarkEnd w:id="396"/>
    </w:p>
    <w:p w14:paraId="266D5697" w14:textId="74DD9D7D" w:rsidR="00DA46D3" w:rsidRPr="002029AF" w:rsidRDefault="00DA46D3" w:rsidP="00745554">
      <w:pPr>
        <w:pStyle w:val="ARbody"/>
        <w:spacing w:after="60"/>
      </w:pPr>
      <w:r w:rsidRPr="002029AF">
        <w:t>The public interest disclosures policy, which outline</w:t>
      </w:r>
      <w:r>
        <w:t>s</w:t>
      </w:r>
      <w:r w:rsidRPr="002029AF">
        <w:t xml:space="preserve"> the system for reporting disclosures of</w:t>
      </w:r>
      <w:r>
        <w:t> </w:t>
      </w:r>
      <w:r w:rsidRPr="002029AF">
        <w:t>improper conduct or detrimental action by the</w:t>
      </w:r>
      <w:r w:rsidR="008F26AE">
        <w:t> </w:t>
      </w:r>
      <w:r w:rsidRPr="002029AF">
        <w:t xml:space="preserve">department or any of its employees and/or officers, </w:t>
      </w:r>
      <w:r w:rsidR="00B05355">
        <w:t xml:space="preserve">is </w:t>
      </w:r>
      <w:r w:rsidRPr="002029AF">
        <w:t>available:</w:t>
      </w:r>
    </w:p>
    <w:p w14:paraId="4B9FA344" w14:textId="77777777" w:rsidR="00DA46D3" w:rsidRPr="002029AF" w:rsidRDefault="00DA46D3" w:rsidP="00DA46D3">
      <w:pPr>
        <w:pStyle w:val="ARbullet1"/>
        <w:ind w:right="-229"/>
        <w:rPr>
          <w:rFonts w:asciiTheme="minorHAnsi" w:eastAsiaTheme="minorEastAsia" w:hAnsiTheme="minorHAnsi" w:cstheme="minorBidi"/>
        </w:rPr>
      </w:pPr>
      <w:r w:rsidRPr="002029AF">
        <w:t>on the department</w:t>
      </w:r>
      <w:r>
        <w:t>’</w:t>
      </w:r>
      <w:r w:rsidRPr="002029AF">
        <w:t xml:space="preserve">s </w:t>
      </w:r>
      <w:r w:rsidRPr="006F0EB7">
        <w:t>public interest disclosures web page</w:t>
      </w:r>
    </w:p>
    <w:p w14:paraId="46473B53" w14:textId="32395A06" w:rsidR="00DA46D3" w:rsidRDefault="00DA46D3" w:rsidP="00DA46D3">
      <w:pPr>
        <w:pStyle w:val="ARbullet1"/>
        <w:rPr>
          <w:lang w:eastAsia="en-AU"/>
        </w:rPr>
      </w:pPr>
      <w:r w:rsidRPr="002029AF">
        <w:t xml:space="preserve">by </w:t>
      </w:r>
      <w:hyperlink r:id="rId75" w:history="1">
        <w:r w:rsidRPr="002029AF">
          <w:rPr>
            <w:rStyle w:val="Hyperlink"/>
          </w:rPr>
          <w:t>emailing the public interest disclosure coordinators</w:t>
        </w:r>
      </w:hyperlink>
      <w:r w:rsidRPr="002029AF">
        <w:t xml:space="preserve"> &lt;publicinterestdisclosure@</w:t>
      </w:r>
      <w:r w:rsidR="008F26AE">
        <w:br/>
      </w:r>
      <w:r>
        <w:t>health</w:t>
      </w:r>
      <w:r w:rsidRPr="002029AF">
        <w:t>.vic.gov.au&gt;</w:t>
      </w:r>
    </w:p>
    <w:p w14:paraId="35BBADE7" w14:textId="77777777" w:rsidR="00DA46D3" w:rsidRDefault="00DA46D3" w:rsidP="00DA46D3">
      <w:pPr>
        <w:pStyle w:val="ARbullet1"/>
        <w:spacing w:after="160"/>
      </w:pPr>
      <w:r w:rsidRPr="002029AF" w:rsidDel="00DC0448">
        <w:t>by phoning a department public interest disclosure coordinator on the department</w:t>
      </w:r>
      <w:r>
        <w:t>’</w:t>
      </w:r>
      <w:r w:rsidRPr="002029AF" w:rsidDel="00DC0448">
        <w:t xml:space="preserve">s integrity hotline: 1300 </w:t>
      </w:r>
      <w:r>
        <w:t>024 324</w:t>
      </w:r>
      <w:r w:rsidRPr="002029AF" w:rsidDel="00DC0448">
        <w:t>.</w:t>
      </w:r>
    </w:p>
    <w:tbl>
      <w:tblPr>
        <w:tblStyle w:val="TableGrid"/>
        <w:tblW w:w="0" w:type="auto"/>
        <w:tblLook w:val="06A0" w:firstRow="1" w:lastRow="0" w:firstColumn="1" w:lastColumn="0" w:noHBand="1" w:noVBand="1"/>
      </w:tblPr>
      <w:tblGrid>
        <w:gridCol w:w="2830"/>
        <w:gridCol w:w="851"/>
        <w:gridCol w:w="898"/>
      </w:tblGrid>
      <w:tr w:rsidR="00DA46D3" w14:paraId="1FCAE554" w14:textId="77777777" w:rsidTr="001C7E63">
        <w:trPr>
          <w:cnfStyle w:val="100000000000" w:firstRow="1" w:lastRow="0" w:firstColumn="0" w:lastColumn="0" w:oddVBand="0" w:evenVBand="0" w:oddHBand="0" w:evenHBand="0" w:firstRowFirstColumn="0" w:firstRowLastColumn="0" w:lastRowFirstColumn="0" w:lastRowLastColumn="0"/>
          <w:tblHeader/>
        </w:trPr>
        <w:tc>
          <w:tcPr>
            <w:tcW w:w="2830" w:type="dxa"/>
          </w:tcPr>
          <w:p w14:paraId="7C0B4D15" w14:textId="77777777" w:rsidR="00DA46D3" w:rsidRDefault="00DA46D3" w:rsidP="004C7BEF">
            <w:pPr>
              <w:pStyle w:val="ARtablecolhead"/>
              <w:rPr>
                <w:lang w:eastAsia="en-US"/>
              </w:rPr>
            </w:pPr>
            <w:r w:rsidRPr="00F66C9F">
              <w:rPr>
                <w:lang w:eastAsia="en-US"/>
              </w:rPr>
              <w:t xml:space="preserve">Disclosures under the </w:t>
            </w:r>
            <w:r w:rsidRPr="00F66C9F">
              <w:rPr>
                <w:i/>
                <w:iCs/>
                <w:lang w:eastAsia="en-US"/>
              </w:rPr>
              <w:t>Public Interest Disclosures Act 2012</w:t>
            </w:r>
          </w:p>
        </w:tc>
        <w:tc>
          <w:tcPr>
            <w:tcW w:w="851" w:type="dxa"/>
          </w:tcPr>
          <w:p w14:paraId="58991A7C" w14:textId="3DC895FE" w:rsidR="00DA46D3" w:rsidRDefault="00DA46D3" w:rsidP="004C7BEF">
            <w:pPr>
              <w:pStyle w:val="ARtablecolhead"/>
              <w:jc w:val="right"/>
              <w:rPr>
                <w:lang w:eastAsia="en-US"/>
              </w:rPr>
            </w:pPr>
            <w:r w:rsidRPr="00F66C9F">
              <w:rPr>
                <w:lang w:eastAsia="en-US"/>
              </w:rPr>
              <w:t>2020–21</w:t>
            </w:r>
          </w:p>
        </w:tc>
        <w:tc>
          <w:tcPr>
            <w:tcW w:w="898" w:type="dxa"/>
          </w:tcPr>
          <w:p w14:paraId="0499EAA1" w14:textId="0BA1109C" w:rsidR="00DA46D3" w:rsidRDefault="00DA46D3" w:rsidP="004C7BEF">
            <w:pPr>
              <w:pStyle w:val="ARtablecolhead"/>
              <w:jc w:val="right"/>
              <w:rPr>
                <w:lang w:eastAsia="en-US"/>
              </w:rPr>
            </w:pPr>
            <w:r w:rsidRPr="00F66C9F">
              <w:rPr>
                <w:lang w:eastAsia="en-US"/>
              </w:rPr>
              <w:t>20</w:t>
            </w:r>
            <w:r w:rsidR="005E4358">
              <w:rPr>
                <w:lang w:eastAsia="en-US"/>
              </w:rPr>
              <w:t>21–22</w:t>
            </w:r>
          </w:p>
        </w:tc>
      </w:tr>
      <w:tr w:rsidR="00DA46D3" w14:paraId="622FD4FE" w14:textId="77777777" w:rsidTr="001C7E63">
        <w:tc>
          <w:tcPr>
            <w:tcW w:w="2830" w:type="dxa"/>
          </w:tcPr>
          <w:p w14:paraId="45CC7BE4" w14:textId="6CBE89F1" w:rsidR="00DA46D3" w:rsidRDefault="00DA46D3" w:rsidP="004C7BEF">
            <w:pPr>
              <w:pStyle w:val="ARtabletext"/>
            </w:pPr>
            <w:r w:rsidRPr="00F66C9F">
              <w:t xml:space="preserve">The number of disclosures made by an individual to the </w:t>
            </w:r>
            <w:r>
              <w:t>D</w:t>
            </w:r>
            <w:r w:rsidRPr="00F66C9F">
              <w:t xml:space="preserve">epartment </w:t>
            </w:r>
            <w:r>
              <w:t xml:space="preserve">of Health </w:t>
            </w:r>
            <w:r w:rsidRPr="00F66C9F">
              <w:t>and notified to the Independent Broad</w:t>
            </w:r>
            <w:r>
              <w:t>-</w:t>
            </w:r>
            <w:r w:rsidRPr="00F66C9F">
              <w:t>based Anti</w:t>
            </w:r>
            <w:r>
              <w:t>-</w:t>
            </w:r>
            <w:r w:rsidR="002C45DB">
              <w:t>c</w:t>
            </w:r>
            <w:r w:rsidRPr="00F66C9F">
              <w:t>orruption Commission</w:t>
            </w:r>
          </w:p>
        </w:tc>
        <w:tc>
          <w:tcPr>
            <w:tcW w:w="851" w:type="dxa"/>
          </w:tcPr>
          <w:p w14:paraId="50B9B265" w14:textId="77777777" w:rsidR="00DA46D3" w:rsidRDefault="00DA46D3" w:rsidP="004C7BEF">
            <w:pPr>
              <w:pStyle w:val="ARtabletext"/>
              <w:jc w:val="right"/>
            </w:pPr>
            <w:r>
              <w:t>0</w:t>
            </w:r>
          </w:p>
        </w:tc>
        <w:tc>
          <w:tcPr>
            <w:tcW w:w="898" w:type="dxa"/>
          </w:tcPr>
          <w:p w14:paraId="7EFD9AFD" w14:textId="77777777" w:rsidR="00DA46D3" w:rsidRDefault="00DA46D3" w:rsidP="004C7BEF">
            <w:pPr>
              <w:pStyle w:val="ARtabletext"/>
              <w:jc w:val="right"/>
            </w:pPr>
            <w:r>
              <w:t>1</w:t>
            </w:r>
          </w:p>
        </w:tc>
      </w:tr>
    </w:tbl>
    <w:p w14:paraId="32429630" w14:textId="77777777" w:rsidR="00DA46D3" w:rsidRPr="003379F7" w:rsidRDefault="00DA46D3" w:rsidP="00DA46D3">
      <w:pPr>
        <w:pStyle w:val="Heading2"/>
        <w:rPr>
          <w:rFonts w:cs="Arial"/>
        </w:rPr>
      </w:pPr>
      <w:bookmarkStart w:id="397" w:name="_Ref21956605"/>
      <w:bookmarkStart w:id="398" w:name="_Toc54690784"/>
      <w:bookmarkStart w:id="399" w:name="_Ref84240793"/>
      <w:bookmarkStart w:id="400" w:name="_Toc85121275"/>
      <w:bookmarkStart w:id="401" w:name="_Toc85121620"/>
      <w:bookmarkStart w:id="402" w:name="_Toc102734497"/>
      <w:bookmarkStart w:id="403" w:name="_Toc113702938"/>
      <w:bookmarkStart w:id="404" w:name="_Ref21956652"/>
      <w:bookmarkStart w:id="405" w:name="_Toc54690785"/>
      <w:bookmarkStart w:id="406" w:name="_Toc85121285"/>
      <w:bookmarkStart w:id="407" w:name="_Toc85121624"/>
      <w:bookmarkStart w:id="408" w:name="_Toc102734501"/>
      <w:bookmarkEnd w:id="394"/>
      <w:r w:rsidRPr="003379F7">
        <w:rPr>
          <w:rFonts w:cs="Arial"/>
        </w:rPr>
        <w:t>Compliance with the Building</w:t>
      </w:r>
      <w:r>
        <w:rPr>
          <w:rFonts w:cs="Arial"/>
        </w:rPr>
        <w:t> </w:t>
      </w:r>
      <w:r w:rsidRPr="003379F7">
        <w:rPr>
          <w:rFonts w:cs="Arial"/>
        </w:rPr>
        <w:t>Act 1993</w:t>
      </w:r>
      <w:bookmarkEnd w:id="397"/>
      <w:bookmarkEnd w:id="398"/>
      <w:bookmarkEnd w:id="399"/>
      <w:bookmarkEnd w:id="400"/>
      <w:bookmarkEnd w:id="401"/>
      <w:bookmarkEnd w:id="402"/>
      <w:bookmarkEnd w:id="403"/>
    </w:p>
    <w:p w14:paraId="3F886AC8" w14:textId="40DBC854" w:rsidR="00DA46D3" w:rsidRPr="00790D53" w:rsidRDefault="00DA46D3" w:rsidP="00DA46D3">
      <w:pPr>
        <w:pStyle w:val="ARbody"/>
      </w:pPr>
      <w:r>
        <w:t xml:space="preserve">The department requires that appropriately qualified consultants and contractors are engaged for all proposed works on land controlled by the department or a health service agency, and that their work and services comply with current building standards. All such consultants and contractors are expected to have appropriate mechanisms in place to ensure compliance with the building and maintenance provisions of the </w:t>
      </w:r>
      <w:r w:rsidRPr="3EA1BEEA">
        <w:rPr>
          <w:i/>
          <w:iCs/>
        </w:rPr>
        <w:t xml:space="preserve">Building Act 1993 </w:t>
      </w:r>
      <w:r w:rsidRPr="3EA1BEEA">
        <w:t>and relevant regulations</w:t>
      </w:r>
      <w:r w:rsidR="00AC666A">
        <w:t>.</w:t>
      </w:r>
    </w:p>
    <w:bookmarkEnd w:id="404"/>
    <w:bookmarkEnd w:id="405"/>
    <w:bookmarkEnd w:id="406"/>
    <w:bookmarkEnd w:id="407"/>
    <w:bookmarkEnd w:id="408"/>
    <w:p w14:paraId="55CD0950" w14:textId="36F4622A" w:rsidR="002A4575" w:rsidRDefault="00DA46D3" w:rsidP="00DA46D3">
      <w:pPr>
        <w:pStyle w:val="ARbody"/>
      </w:pPr>
      <w:r>
        <w:t>The department continues to liaise with and contribute to the progress and outcomes of Cladding Safety Victoria for department-owned buildings. Relevant buildings owned by the department have been audited against the risk framework originally developed by the Victorian Cladding Taskforce and</w:t>
      </w:r>
      <w:r w:rsidR="00B259E2">
        <w:t>,</w:t>
      </w:r>
      <w:r>
        <w:t xml:space="preserve"> where non-compliant cladding has been discovered, assessed against that framework for a risk rating derived from one of the four risk categories. These buildings are now being </w:t>
      </w:r>
      <w:r w:rsidRPr="00DA46D3">
        <w:t xml:space="preserve">progressively rectified and/or remediated in accordance with that risk ranking and as resources and funding allow. Rectification works for all targeted buildings </w:t>
      </w:r>
      <w:r w:rsidR="00B259E2">
        <w:t>are</w:t>
      </w:r>
      <w:r w:rsidR="00B259E2" w:rsidRPr="00DA46D3">
        <w:t xml:space="preserve"> </w:t>
      </w:r>
      <w:r w:rsidRPr="00DA46D3">
        <w:t xml:space="preserve">on track and anticipated to be completed </w:t>
      </w:r>
      <w:r w:rsidR="005D2C76">
        <w:t>on schedule</w:t>
      </w:r>
      <w:r w:rsidRPr="00DB6D18">
        <w:t>.</w:t>
      </w:r>
    </w:p>
    <w:p w14:paraId="2264FDBA" w14:textId="2146BDE4" w:rsidR="00DA46D3" w:rsidRPr="003379F7" w:rsidRDefault="00DA46D3" w:rsidP="00AF386F">
      <w:pPr>
        <w:pStyle w:val="Heading2"/>
        <w:spacing w:before="240"/>
        <w:rPr>
          <w:rFonts w:cs="Arial"/>
        </w:rPr>
      </w:pPr>
      <w:bookmarkStart w:id="409" w:name="_Ref112852536"/>
      <w:bookmarkStart w:id="410" w:name="_Ref112853909"/>
      <w:bookmarkStart w:id="411" w:name="_Toc113702939"/>
      <w:r w:rsidRPr="003379F7">
        <w:rPr>
          <w:rFonts w:cs="Arial"/>
        </w:rPr>
        <w:t>Compliance with the Carers Recognition Act 2012</w:t>
      </w:r>
      <w:bookmarkEnd w:id="409"/>
      <w:bookmarkEnd w:id="410"/>
      <w:bookmarkEnd w:id="411"/>
    </w:p>
    <w:p w14:paraId="17668E68" w14:textId="77777777" w:rsidR="00DA46D3" w:rsidRDefault="00DA46D3" w:rsidP="00DA46D3">
      <w:pPr>
        <w:pStyle w:val="ARbody"/>
      </w:pPr>
      <w:bookmarkStart w:id="412" w:name="_Ref492895171"/>
      <w:bookmarkStart w:id="413" w:name="_Ref525048051"/>
      <w:r>
        <w:t xml:space="preserve">The department has taken all practical measures to comply with its obligations under the </w:t>
      </w:r>
      <w:r w:rsidRPr="00C731A0">
        <w:rPr>
          <w:i/>
          <w:iCs/>
        </w:rPr>
        <w:t>Carers Recognition Act 2012</w:t>
      </w:r>
      <w:r>
        <w:t>. These include:</w:t>
      </w:r>
    </w:p>
    <w:p w14:paraId="5471EA58" w14:textId="23583E60" w:rsidR="00DA46D3" w:rsidRDefault="00DA46D3" w:rsidP="00DA46D3">
      <w:pPr>
        <w:pStyle w:val="ARbullet1"/>
      </w:pPr>
      <w:r>
        <w:t>promoting the principles of the Act to people in</w:t>
      </w:r>
      <w:r w:rsidR="008F26AE">
        <w:t> </w:t>
      </w:r>
      <w:r>
        <w:t xml:space="preserve">care relationships who receive </w:t>
      </w:r>
      <w:r w:rsidR="00053F39">
        <w:t xml:space="preserve">departmental </w:t>
      </w:r>
      <w:r>
        <w:t>services and to the wider community</w:t>
      </w:r>
    </w:p>
    <w:p w14:paraId="31382582" w14:textId="35BB4B38" w:rsidR="00DA46D3" w:rsidRDefault="00DA46D3" w:rsidP="00DA46D3">
      <w:pPr>
        <w:pStyle w:val="ARbullet1"/>
      </w:pPr>
      <w:r>
        <w:t>ensuring staff have an awareness and understanding of the care relationship principles</w:t>
      </w:r>
      <w:r w:rsidR="00641D17">
        <w:t> </w:t>
      </w:r>
      <w:r>
        <w:t>set out in the Act</w:t>
      </w:r>
    </w:p>
    <w:p w14:paraId="5203C983" w14:textId="77777777" w:rsidR="00DA46D3" w:rsidRDefault="00DA46D3" w:rsidP="00DA46D3">
      <w:pPr>
        <w:pStyle w:val="ARbullet1"/>
      </w:pPr>
      <w:r>
        <w:t>considering the care relationship principles set out in the Act when setting policies and providing services</w:t>
      </w:r>
    </w:p>
    <w:p w14:paraId="765685E5" w14:textId="77777777" w:rsidR="00DA46D3" w:rsidRDefault="00DA46D3" w:rsidP="00DA46D3">
      <w:pPr>
        <w:pStyle w:val="ARbullet1"/>
      </w:pPr>
      <w:r>
        <w:t xml:space="preserve">implementing priority actions in </w:t>
      </w:r>
      <w:r w:rsidRPr="00E512DC">
        <w:rPr>
          <w:i/>
          <w:iCs/>
        </w:rPr>
        <w:t>Recognising and</w:t>
      </w:r>
      <w:r>
        <w:rPr>
          <w:i/>
          <w:iCs/>
        </w:rPr>
        <w:t> </w:t>
      </w:r>
      <w:r w:rsidRPr="00E512DC">
        <w:rPr>
          <w:i/>
          <w:iCs/>
        </w:rPr>
        <w:t>supporting Victoria</w:t>
      </w:r>
      <w:r>
        <w:rPr>
          <w:i/>
          <w:iCs/>
        </w:rPr>
        <w:t>’</w:t>
      </w:r>
      <w:r w:rsidRPr="00E512DC">
        <w:rPr>
          <w:i/>
          <w:iCs/>
        </w:rPr>
        <w:t>s carers: Victorian carer strategy 201</w:t>
      </w:r>
      <w:r>
        <w:rPr>
          <w:i/>
          <w:iCs/>
        </w:rPr>
        <w:t>8–</w:t>
      </w:r>
      <w:r w:rsidRPr="00E512DC">
        <w:rPr>
          <w:i/>
          <w:iCs/>
        </w:rPr>
        <w:t>22</w:t>
      </w:r>
      <w:r>
        <w:t>.</w:t>
      </w:r>
    </w:p>
    <w:p w14:paraId="705BA430" w14:textId="158674FE" w:rsidR="00DA46D3" w:rsidRDefault="00DA46D3" w:rsidP="00DA46D3">
      <w:pPr>
        <w:pStyle w:val="ARbody"/>
        <w:spacing w:before="120"/>
      </w:pPr>
      <w:r>
        <w:t xml:space="preserve">The </w:t>
      </w:r>
      <w:r w:rsidRPr="00006AB9">
        <w:t>Department of Families, Fairness and Housing</w:t>
      </w:r>
      <w:r>
        <w:t xml:space="preserve"> </w:t>
      </w:r>
      <w:r w:rsidRPr="00E445D0">
        <w:t>holds portfolio responsibility for the Act</w:t>
      </w:r>
      <w:r w:rsidR="008F26AE">
        <w:t> </w:t>
      </w:r>
      <w:r w:rsidRPr="00E445D0">
        <w:t>and</w:t>
      </w:r>
      <w:r>
        <w:t xml:space="preserve"> further information on the above may be</w:t>
      </w:r>
      <w:r w:rsidR="008F26AE">
        <w:t> </w:t>
      </w:r>
      <w:r>
        <w:t>found in its annual report.</w:t>
      </w:r>
      <w:bookmarkEnd w:id="412"/>
      <w:bookmarkEnd w:id="413"/>
    </w:p>
    <w:p w14:paraId="5F2E675E" w14:textId="77777777" w:rsidR="00DA46D3" w:rsidRPr="003379F7" w:rsidRDefault="00DA46D3" w:rsidP="00DA46D3">
      <w:pPr>
        <w:pStyle w:val="Heading2"/>
        <w:rPr>
          <w:rFonts w:cs="Arial"/>
        </w:rPr>
      </w:pPr>
      <w:bookmarkStart w:id="414" w:name="_Ref21960035"/>
      <w:bookmarkStart w:id="415" w:name="_Ref52279042"/>
      <w:bookmarkStart w:id="416" w:name="_Toc54690795"/>
      <w:bookmarkStart w:id="417" w:name="_Ref84240829"/>
      <w:bookmarkStart w:id="418" w:name="_Toc85121286"/>
      <w:bookmarkStart w:id="419" w:name="_Toc85121625"/>
      <w:bookmarkStart w:id="420" w:name="_Toc102734502"/>
      <w:bookmarkStart w:id="421" w:name="_Toc113702940"/>
      <w:r w:rsidRPr="003379F7">
        <w:rPr>
          <w:rFonts w:cs="Arial"/>
        </w:rPr>
        <w:t>Compliance with the Disability</w:t>
      </w:r>
      <w:r>
        <w:rPr>
          <w:rFonts w:cs="Arial"/>
        </w:rPr>
        <w:t> </w:t>
      </w:r>
      <w:r w:rsidRPr="003379F7">
        <w:rPr>
          <w:rFonts w:cs="Arial"/>
        </w:rPr>
        <w:t>Act 2006</w:t>
      </w:r>
      <w:bookmarkEnd w:id="414"/>
      <w:bookmarkEnd w:id="415"/>
      <w:bookmarkEnd w:id="416"/>
      <w:bookmarkEnd w:id="417"/>
      <w:bookmarkEnd w:id="418"/>
      <w:bookmarkEnd w:id="419"/>
      <w:bookmarkEnd w:id="420"/>
      <w:bookmarkEnd w:id="421"/>
    </w:p>
    <w:p w14:paraId="36EB8960" w14:textId="3E06284C" w:rsidR="009F0190" w:rsidRDefault="009F0190" w:rsidP="009F0190">
      <w:pPr>
        <w:pStyle w:val="ARbody"/>
      </w:pPr>
      <w:r>
        <w:t xml:space="preserve">The </w:t>
      </w:r>
      <w:r w:rsidRPr="009378FD">
        <w:rPr>
          <w:i/>
          <w:iCs/>
        </w:rPr>
        <w:t>Disability Act 2006</w:t>
      </w:r>
      <w:r w:rsidR="00457E5A">
        <w:t xml:space="preserve"> </w:t>
      </w:r>
      <w:r>
        <w:t>reaffirms and strengthens</w:t>
      </w:r>
      <w:r w:rsidR="008F26AE">
        <w:t> </w:t>
      </w:r>
      <w:r>
        <w:t xml:space="preserve">the rights of people with a disability and recognises that </w:t>
      </w:r>
      <w:r w:rsidR="00900D89">
        <w:t xml:space="preserve">ensuring these </w:t>
      </w:r>
      <w:r w:rsidR="00900D89" w:rsidRPr="00900D89">
        <w:t>rights</w:t>
      </w:r>
      <w:r>
        <w:t xml:space="preserve"> requires support across the government sector and within the community.</w:t>
      </w:r>
    </w:p>
    <w:p w14:paraId="6B31B97B" w14:textId="5CAE4CDB" w:rsidR="00B06F81" w:rsidRDefault="00BA609E" w:rsidP="009F0190">
      <w:pPr>
        <w:pStyle w:val="ARbody"/>
      </w:pPr>
      <w:r>
        <w:t>Since the machinery of government changes on</w:t>
      </w:r>
      <w:r w:rsidR="008F26AE">
        <w:t> </w:t>
      </w:r>
      <w:r>
        <w:t>1</w:t>
      </w:r>
      <w:r w:rsidR="00841FFA">
        <w:t> </w:t>
      </w:r>
      <w:r>
        <w:t>February 2021</w:t>
      </w:r>
      <w:r w:rsidR="003D278D">
        <w:t>,</w:t>
      </w:r>
      <w:r>
        <w:t xml:space="preserve"> </w:t>
      </w:r>
      <w:r w:rsidR="003D278D">
        <w:t xml:space="preserve">which </w:t>
      </w:r>
      <w:r>
        <w:t>estab</w:t>
      </w:r>
      <w:r w:rsidR="00841FFA">
        <w:t>lish</w:t>
      </w:r>
      <w:r w:rsidR="003D278D">
        <w:t>ed</w:t>
      </w:r>
      <w:r w:rsidR="00841FFA">
        <w:t xml:space="preserve"> the Department of Health</w:t>
      </w:r>
      <w:r w:rsidR="00BE53DD">
        <w:t xml:space="preserve">, the department has not developed a </w:t>
      </w:r>
      <w:r w:rsidR="00230F4C">
        <w:t xml:space="preserve">disability action plan </w:t>
      </w:r>
      <w:r w:rsidR="00BE53DD">
        <w:t>as required under the Act.</w:t>
      </w:r>
      <w:r w:rsidR="002718DE">
        <w:t xml:space="preserve"> However, the department notes that </w:t>
      </w:r>
      <w:r w:rsidR="00CB42D1">
        <w:t>the r</w:t>
      </w:r>
      <w:r w:rsidR="00CB42D1" w:rsidRPr="00CB42D1">
        <w:t xml:space="preserve">ole of disability action plans </w:t>
      </w:r>
      <w:r w:rsidR="00CB42D1">
        <w:t>is</w:t>
      </w:r>
      <w:r w:rsidR="00CB42D1" w:rsidRPr="00CB42D1">
        <w:t xml:space="preserve"> part of </w:t>
      </w:r>
      <w:r w:rsidR="00B7060C">
        <w:t>the</w:t>
      </w:r>
      <w:r w:rsidR="008F26AE">
        <w:t> </w:t>
      </w:r>
      <w:r w:rsidR="00B7060C">
        <w:t xml:space="preserve">current review into the Act being led by the </w:t>
      </w:r>
      <w:r w:rsidR="00B7060C" w:rsidRPr="00B7060C">
        <w:t>Department of Families, Fairness and Housing</w:t>
      </w:r>
      <w:r w:rsidR="00B7060C">
        <w:t>.</w:t>
      </w:r>
    </w:p>
    <w:p w14:paraId="666C12D3" w14:textId="77777777" w:rsidR="0067141F" w:rsidRDefault="00246AC6" w:rsidP="008F1ED3">
      <w:pPr>
        <w:pStyle w:val="ARbody"/>
      </w:pPr>
      <w:r>
        <w:t xml:space="preserve">The department </w:t>
      </w:r>
      <w:r w:rsidR="008F1ED3">
        <w:t>remains committed to the purposes of the Act, including:</w:t>
      </w:r>
    </w:p>
    <w:p w14:paraId="20BBEEA9" w14:textId="0238DF19" w:rsidR="00CD1F0E" w:rsidRDefault="009F0190" w:rsidP="00CD1F0E">
      <w:pPr>
        <w:pStyle w:val="ARbullet1"/>
      </w:pPr>
      <w:r>
        <w:t>reducing barriers to access goods, services and</w:t>
      </w:r>
      <w:r w:rsidR="00641D17">
        <w:t> </w:t>
      </w:r>
      <w:r>
        <w:t>facilities</w:t>
      </w:r>
    </w:p>
    <w:p w14:paraId="0B785A42" w14:textId="15390259" w:rsidR="00CD1F0E" w:rsidRDefault="009F0190" w:rsidP="00CD1F0E">
      <w:pPr>
        <w:pStyle w:val="ARbullet1"/>
      </w:pPr>
      <w:r>
        <w:t>reducing barriers to a person with a disability obtaining and maintaining employment</w:t>
      </w:r>
    </w:p>
    <w:p w14:paraId="169D54CB" w14:textId="471BDF15" w:rsidR="00CD1F0E" w:rsidRDefault="009F0190" w:rsidP="00CD1F0E">
      <w:pPr>
        <w:pStyle w:val="ARbullet1"/>
      </w:pPr>
      <w:r>
        <w:t>promoting inclusion and participation in the community</w:t>
      </w:r>
    </w:p>
    <w:p w14:paraId="6A5477A7" w14:textId="7D90FDC6" w:rsidR="009F0190" w:rsidRDefault="009F0190" w:rsidP="0026366F">
      <w:pPr>
        <w:pStyle w:val="ARbullet1"/>
      </w:pPr>
      <w:r>
        <w:t>achieving tangible changes in attitudes and practices that discriminate against people with a</w:t>
      </w:r>
      <w:r w:rsidR="00641D17">
        <w:t> </w:t>
      </w:r>
      <w:r>
        <w:t>disability.</w:t>
      </w:r>
    </w:p>
    <w:p w14:paraId="4AF993A0" w14:textId="5D3F74F1" w:rsidR="001F08A3" w:rsidRDefault="00DE330B" w:rsidP="0026366F">
      <w:pPr>
        <w:pStyle w:val="ARbody"/>
        <w:spacing w:before="120"/>
      </w:pPr>
      <w:r w:rsidRPr="00C46C3C">
        <w:t>The</w:t>
      </w:r>
      <w:r w:rsidR="00993EBD" w:rsidRPr="00C46C3C">
        <w:t xml:space="preserve"> department </w:t>
      </w:r>
      <w:r w:rsidR="00C46C3C" w:rsidRPr="00C46C3C">
        <w:t>is also implementing</w:t>
      </w:r>
      <w:r w:rsidR="008D41F8" w:rsidRPr="00C46C3C">
        <w:t xml:space="preserve"> </w:t>
      </w:r>
      <w:r w:rsidR="000729D0" w:rsidRPr="00C46C3C">
        <w:rPr>
          <w:i/>
          <w:iCs/>
        </w:rPr>
        <w:t xml:space="preserve">Getting to work: </w:t>
      </w:r>
      <w:r w:rsidR="000729D0" w:rsidRPr="00C46C3C">
        <w:rPr>
          <w:rFonts w:ascii="Tahoma" w:hAnsi="Tahoma" w:cs="Tahoma"/>
          <w:i/>
          <w:iCs/>
        </w:rPr>
        <w:t>⁠</w:t>
      </w:r>
      <w:r w:rsidR="000729D0" w:rsidRPr="00C46C3C">
        <w:rPr>
          <w:i/>
          <w:iCs/>
        </w:rPr>
        <w:t>Victorian public sector disability employment action plan 2018 – 2025</w:t>
      </w:r>
      <w:r w:rsidR="00E73443" w:rsidRPr="00C46C3C">
        <w:t xml:space="preserve">. </w:t>
      </w:r>
      <w:r w:rsidR="00E56949" w:rsidRPr="00C46C3C">
        <w:t xml:space="preserve">Further information </w:t>
      </w:r>
      <w:r w:rsidR="00C74B7B" w:rsidRPr="00C46C3C">
        <w:t xml:space="preserve">on </w:t>
      </w:r>
      <w:r w:rsidR="00C46C3C" w:rsidRPr="00C46C3C">
        <w:t>this</w:t>
      </w:r>
      <w:r w:rsidR="00C74B7B" w:rsidRPr="00C46C3C">
        <w:t xml:space="preserve"> </w:t>
      </w:r>
      <w:r w:rsidR="00E56949" w:rsidRPr="00C46C3C">
        <w:t>can be found in</w:t>
      </w:r>
      <w:r w:rsidR="009D604D" w:rsidRPr="00C46C3C">
        <w:t xml:space="preserve"> the </w:t>
      </w:r>
      <w:hyperlink w:anchor="_Workforce_inclusion" w:history="1">
        <w:r w:rsidR="00652460" w:rsidRPr="00C46C3C">
          <w:rPr>
            <w:rStyle w:val="Hyperlink"/>
          </w:rPr>
          <w:t>Workforce inclusion</w:t>
        </w:r>
      </w:hyperlink>
      <w:r w:rsidR="00652460" w:rsidRPr="00C46C3C">
        <w:t xml:space="preserve"> </w:t>
      </w:r>
      <w:r w:rsidR="004D03BA" w:rsidRPr="00C46C3C">
        <w:t>section of this report.</w:t>
      </w:r>
    </w:p>
    <w:p w14:paraId="7AA286DC" w14:textId="283BEDD9" w:rsidR="001F08A3" w:rsidRDefault="001F08A3" w:rsidP="001F08A3">
      <w:pPr>
        <w:pStyle w:val="ARbody"/>
      </w:pPr>
      <w:r>
        <w:t>The department also supports</w:t>
      </w:r>
      <w:r w:rsidR="007F16CE">
        <w:t xml:space="preserve"> the new</w:t>
      </w:r>
      <w:r>
        <w:t xml:space="preserve"> </w:t>
      </w:r>
      <w:r w:rsidRPr="00C42B56">
        <w:rPr>
          <w:i/>
          <w:iCs/>
        </w:rPr>
        <w:t>Inclusive Victoria: state disability plan (2022–2026)</w:t>
      </w:r>
      <w:r>
        <w:t>, which was published in March 2022 and commits all departments to embed six system reforms in their policies, programs and services. These are:</w:t>
      </w:r>
    </w:p>
    <w:p w14:paraId="481CA513" w14:textId="77777777" w:rsidR="001F08A3" w:rsidRDefault="001F08A3" w:rsidP="001F08A3">
      <w:pPr>
        <w:pStyle w:val="ARbullet1"/>
        <w:ind w:right="-229"/>
      </w:pPr>
      <w:r>
        <w:t>c</w:t>
      </w:r>
      <w:r w:rsidRPr="00761D69">
        <w:t>o-design with people with disability</w:t>
      </w:r>
    </w:p>
    <w:p w14:paraId="0DF5AD30" w14:textId="77777777" w:rsidR="001F08A3" w:rsidRDefault="001F08A3" w:rsidP="001F08A3">
      <w:pPr>
        <w:pStyle w:val="ARbullet1"/>
        <w:ind w:right="-229"/>
      </w:pPr>
      <w:r w:rsidRPr="00761D69">
        <w:t>Aboriginal self-determination</w:t>
      </w:r>
    </w:p>
    <w:p w14:paraId="2501B167" w14:textId="77777777" w:rsidR="001F08A3" w:rsidRDefault="001F08A3" w:rsidP="001F08A3">
      <w:pPr>
        <w:pStyle w:val="ARbullet1"/>
        <w:ind w:right="-229"/>
      </w:pPr>
      <w:r>
        <w:t>i</w:t>
      </w:r>
      <w:r w:rsidRPr="00761D69">
        <w:t>ntersectional approaches</w:t>
      </w:r>
    </w:p>
    <w:p w14:paraId="4CFF8147" w14:textId="77777777" w:rsidR="001F08A3" w:rsidRDefault="001F08A3" w:rsidP="001F08A3">
      <w:pPr>
        <w:pStyle w:val="ARbullet1"/>
        <w:ind w:right="-229"/>
      </w:pPr>
      <w:r>
        <w:t>a</w:t>
      </w:r>
      <w:r w:rsidRPr="00761D69">
        <w:t>ccessible communications and universal design</w:t>
      </w:r>
    </w:p>
    <w:p w14:paraId="010F57DD" w14:textId="1E205B33" w:rsidR="001F08A3" w:rsidRDefault="001F08A3" w:rsidP="001F08A3">
      <w:pPr>
        <w:pStyle w:val="ARbullet1"/>
        <w:ind w:right="-229"/>
      </w:pPr>
      <w:r w:rsidRPr="00CD1F0E">
        <w:t>disability</w:t>
      </w:r>
      <w:r w:rsidR="00CD1F0E" w:rsidRPr="00457E5A">
        <w:t>-</w:t>
      </w:r>
      <w:r w:rsidRPr="00CD1F0E">
        <w:t>confident and</w:t>
      </w:r>
      <w:r w:rsidRPr="00271134">
        <w:t xml:space="preserve"> inclusive workforces</w:t>
      </w:r>
    </w:p>
    <w:p w14:paraId="44AA6F4F" w14:textId="77777777" w:rsidR="001F08A3" w:rsidRDefault="001F08A3" w:rsidP="007F16CE">
      <w:pPr>
        <w:pStyle w:val="ARbullet1"/>
        <w:ind w:right="-229"/>
      </w:pPr>
      <w:r>
        <w:t>e</w:t>
      </w:r>
      <w:r w:rsidRPr="00271134">
        <w:t>ffective data and outcomes reporting</w:t>
      </w:r>
      <w:r>
        <w:t>.</w:t>
      </w:r>
    </w:p>
    <w:p w14:paraId="1930908A" w14:textId="7AEFD110" w:rsidR="00DA46D3" w:rsidRPr="003A5E83" w:rsidRDefault="003A5E83" w:rsidP="003A5E83">
      <w:pPr>
        <w:pStyle w:val="Heading2"/>
        <w:rPr>
          <w:rFonts w:cs="Arial"/>
        </w:rPr>
      </w:pPr>
      <w:r>
        <w:br w:type="column"/>
      </w:r>
      <w:bookmarkStart w:id="422" w:name="_Ref21960028"/>
      <w:bookmarkStart w:id="423" w:name="_Toc54690791"/>
      <w:bookmarkStart w:id="424" w:name="_Toc85121287"/>
      <w:bookmarkStart w:id="425" w:name="_Toc85121626"/>
      <w:bookmarkStart w:id="426" w:name="_Toc102734503"/>
      <w:bookmarkStart w:id="427" w:name="_Toc113702941"/>
      <w:bookmarkStart w:id="428" w:name="_Ref525208155"/>
      <w:r w:rsidR="00DA46D3" w:rsidRPr="003A5E83">
        <w:rPr>
          <w:rFonts w:cs="Arial"/>
        </w:rPr>
        <w:t>Cemeteries and Crematoria Act 2003</w:t>
      </w:r>
      <w:bookmarkEnd w:id="422"/>
      <w:bookmarkEnd w:id="423"/>
      <w:bookmarkEnd w:id="424"/>
      <w:bookmarkEnd w:id="425"/>
      <w:bookmarkEnd w:id="426"/>
      <w:bookmarkEnd w:id="427"/>
    </w:p>
    <w:p w14:paraId="7725B906" w14:textId="796246B6" w:rsidR="00DA46D3" w:rsidRPr="002029AF" w:rsidRDefault="00DA46D3" w:rsidP="00DA46D3">
      <w:pPr>
        <w:pStyle w:val="ARbody"/>
      </w:pPr>
      <w:r w:rsidRPr="002029AF">
        <w:t xml:space="preserve">In 2009 the </w:t>
      </w:r>
      <w:r w:rsidRPr="002029AF">
        <w:rPr>
          <w:i/>
        </w:rPr>
        <w:t>Cemeteries and Crematoria Act 2003</w:t>
      </w:r>
      <w:r w:rsidR="003A0525">
        <w:t xml:space="preserve"> w</w:t>
      </w:r>
      <w:r w:rsidRPr="002029AF">
        <w:t xml:space="preserve">as amended to require Class A cemetery trusts to pay a levy. The levy is intended to assist in defraying the cost of administering the Act, </w:t>
      </w:r>
      <w:r>
        <w:t xml:space="preserve">to </w:t>
      </w:r>
      <w:r w:rsidRPr="002029AF">
        <w:t>make improvements to cemetery trust governance and administration, and to provide services to the community.</w:t>
      </w:r>
    </w:p>
    <w:p w14:paraId="7D381289" w14:textId="77777777" w:rsidR="00DA46D3" w:rsidRPr="002029AF" w:rsidRDefault="00DA46D3" w:rsidP="00DA46D3">
      <w:pPr>
        <w:pStyle w:val="ARbodybeforetable"/>
      </w:pPr>
      <w:r w:rsidRPr="002029AF">
        <w:t xml:space="preserve">The levy is set at three per cent, or a rate determined by the Minister for Health up to a maximum of five per cent, of </w:t>
      </w:r>
      <w:r>
        <w:t xml:space="preserve">the </w:t>
      </w:r>
      <w:r w:rsidRPr="002029AF">
        <w:t>gross earnings from the previous financial year</w:t>
      </w:r>
      <w:r>
        <w:t xml:space="preserve"> of </w:t>
      </w:r>
      <w:r w:rsidRPr="002029AF">
        <w:t>each Class A cemetery trust. The following table details the amount paid as levy, the amount appropriated and the matters on which the appropriated money was expended.</w:t>
      </w:r>
    </w:p>
    <w:tbl>
      <w:tblPr>
        <w:tblW w:w="4593" w:type="dxa"/>
        <w:tblBorders>
          <w:left w:val="single" w:sz="8" w:space="0" w:color="FFFFFF"/>
          <w:bottom w:val="single" w:sz="4" w:space="0" w:color="auto"/>
          <w:right w:val="single" w:sz="8" w:space="0" w:color="FFFFFF"/>
          <w:insideH w:val="single" w:sz="4" w:space="0" w:color="auto"/>
          <w:insideV w:val="single" w:sz="8" w:space="0" w:color="FFFFFF"/>
        </w:tblBorders>
        <w:tblCellMar>
          <w:left w:w="0" w:type="dxa"/>
          <w:right w:w="0" w:type="dxa"/>
        </w:tblCellMar>
        <w:tblLook w:val="06A0" w:firstRow="1" w:lastRow="0" w:firstColumn="1" w:lastColumn="0" w:noHBand="1" w:noVBand="1"/>
      </w:tblPr>
      <w:tblGrid>
        <w:gridCol w:w="2522"/>
        <w:gridCol w:w="2071"/>
      </w:tblGrid>
      <w:tr w:rsidR="00DA46D3" w:rsidRPr="002029AF" w14:paraId="308CA66D" w14:textId="77777777" w:rsidTr="00D132D7">
        <w:trPr>
          <w:cantSplit/>
          <w:tblHeader/>
        </w:trPr>
        <w:tc>
          <w:tcPr>
            <w:tcW w:w="2522" w:type="dxa"/>
            <w:tcMar>
              <w:top w:w="0" w:type="dxa"/>
              <w:left w:w="0" w:type="dxa"/>
              <w:bottom w:w="0" w:type="dxa"/>
              <w:right w:w="108" w:type="dxa"/>
            </w:tcMar>
            <w:vAlign w:val="bottom"/>
            <w:hideMark/>
          </w:tcPr>
          <w:p w14:paraId="6B2C1F9B" w14:textId="77777777" w:rsidR="00DA46D3" w:rsidRPr="002029AF" w:rsidRDefault="00DA46D3" w:rsidP="004C7BEF">
            <w:pPr>
              <w:pStyle w:val="ARtablecolhead"/>
              <w:keepNext/>
              <w:rPr>
                <w:rFonts w:eastAsiaTheme="minorHAnsi"/>
              </w:rPr>
            </w:pPr>
            <w:r w:rsidRPr="002029AF">
              <w:t>Collection of levy</w:t>
            </w:r>
          </w:p>
        </w:tc>
        <w:tc>
          <w:tcPr>
            <w:tcW w:w="2071" w:type="dxa"/>
            <w:tcMar>
              <w:top w:w="0" w:type="dxa"/>
              <w:left w:w="0" w:type="dxa"/>
              <w:bottom w:w="0" w:type="dxa"/>
              <w:right w:w="108" w:type="dxa"/>
            </w:tcMar>
            <w:vAlign w:val="bottom"/>
            <w:hideMark/>
          </w:tcPr>
          <w:p w14:paraId="16C577AB" w14:textId="77777777" w:rsidR="00DA46D3" w:rsidRPr="002029AF" w:rsidRDefault="00DA46D3" w:rsidP="004C7BEF">
            <w:pPr>
              <w:pStyle w:val="ARtablecolheadright"/>
            </w:pPr>
            <w:r w:rsidRPr="002029AF">
              <w:t>20</w:t>
            </w:r>
            <w:r>
              <w:t>21</w:t>
            </w:r>
            <w:r w:rsidRPr="002029AF">
              <w:t>–2</w:t>
            </w:r>
            <w:r>
              <w:t>2</w:t>
            </w:r>
          </w:p>
        </w:tc>
      </w:tr>
      <w:tr w:rsidR="00DA46D3" w:rsidRPr="00603A48" w14:paraId="653A2D11" w14:textId="77777777" w:rsidTr="00D132D7">
        <w:trPr>
          <w:cantSplit/>
        </w:trPr>
        <w:tc>
          <w:tcPr>
            <w:tcW w:w="2522" w:type="dxa"/>
            <w:tcMar>
              <w:top w:w="0" w:type="dxa"/>
              <w:left w:w="0" w:type="dxa"/>
              <w:bottom w:w="0" w:type="dxa"/>
              <w:right w:w="108" w:type="dxa"/>
            </w:tcMar>
            <w:hideMark/>
          </w:tcPr>
          <w:p w14:paraId="1ED96C21" w14:textId="77777777" w:rsidR="00DA46D3" w:rsidRPr="00603A48" w:rsidRDefault="00DA46D3" w:rsidP="004C7BEF">
            <w:pPr>
              <w:pStyle w:val="ARtabletext"/>
            </w:pPr>
            <w:r w:rsidRPr="00603A48">
              <w:t>Metropolitan trusts</w:t>
            </w:r>
          </w:p>
        </w:tc>
        <w:tc>
          <w:tcPr>
            <w:tcW w:w="2071" w:type="dxa"/>
            <w:tcMar>
              <w:top w:w="0" w:type="dxa"/>
              <w:left w:w="0" w:type="dxa"/>
              <w:bottom w:w="0" w:type="dxa"/>
              <w:right w:w="108" w:type="dxa"/>
            </w:tcMar>
            <w:hideMark/>
          </w:tcPr>
          <w:p w14:paraId="1616013D" w14:textId="77777777" w:rsidR="00DA46D3" w:rsidRPr="00603A48" w:rsidRDefault="00DA46D3" w:rsidP="004C7BEF">
            <w:pPr>
              <w:pStyle w:val="ARtabletextright"/>
            </w:pPr>
            <w:r w:rsidRPr="00603A48">
              <w:t>$</w:t>
            </w:r>
            <w:r>
              <w:t>5</w:t>
            </w:r>
            <w:r w:rsidRPr="00603A48">
              <w:rPr>
                <w:color w:val="000000"/>
              </w:rPr>
              <w:t>,2</w:t>
            </w:r>
            <w:r>
              <w:rPr>
                <w:color w:val="000000"/>
              </w:rPr>
              <w:t>20</w:t>
            </w:r>
            <w:r w:rsidRPr="00603A48">
              <w:rPr>
                <w:color w:val="000000"/>
              </w:rPr>
              <w:t>,000</w:t>
            </w:r>
          </w:p>
        </w:tc>
      </w:tr>
      <w:tr w:rsidR="00DA46D3" w:rsidRPr="00603A48" w14:paraId="02ACF64F" w14:textId="77777777" w:rsidTr="00D132D7">
        <w:trPr>
          <w:cantSplit/>
        </w:trPr>
        <w:tc>
          <w:tcPr>
            <w:tcW w:w="2522" w:type="dxa"/>
            <w:tcMar>
              <w:top w:w="0" w:type="dxa"/>
              <w:left w:w="0" w:type="dxa"/>
              <w:bottom w:w="0" w:type="dxa"/>
              <w:right w:w="108" w:type="dxa"/>
            </w:tcMar>
            <w:hideMark/>
          </w:tcPr>
          <w:p w14:paraId="03DFCFF4" w14:textId="77777777" w:rsidR="00DA46D3" w:rsidRPr="00603A48" w:rsidRDefault="00DA46D3" w:rsidP="004C7BEF">
            <w:pPr>
              <w:pStyle w:val="ARtabletext"/>
            </w:pPr>
            <w:r w:rsidRPr="00603A48">
              <w:t>Rural trusts</w:t>
            </w:r>
          </w:p>
        </w:tc>
        <w:tc>
          <w:tcPr>
            <w:tcW w:w="2071" w:type="dxa"/>
            <w:tcMar>
              <w:top w:w="0" w:type="dxa"/>
              <w:left w:w="0" w:type="dxa"/>
              <w:bottom w:w="0" w:type="dxa"/>
              <w:right w:w="108" w:type="dxa"/>
            </w:tcMar>
            <w:hideMark/>
          </w:tcPr>
          <w:p w14:paraId="3C3970E6" w14:textId="77777777" w:rsidR="00DA46D3" w:rsidRPr="00603A48" w:rsidRDefault="00DA46D3" w:rsidP="004C7BEF">
            <w:pPr>
              <w:pStyle w:val="ARtabletextright"/>
            </w:pPr>
            <w:r w:rsidRPr="00603A48">
              <w:rPr>
                <w:color w:val="000000"/>
              </w:rPr>
              <w:t>$</w:t>
            </w:r>
            <w:r>
              <w:rPr>
                <w:color w:val="000000"/>
              </w:rPr>
              <w:t>446</w:t>
            </w:r>
            <w:r w:rsidRPr="00603A48">
              <w:rPr>
                <w:color w:val="000000"/>
              </w:rPr>
              <w:t>,</w:t>
            </w:r>
            <w:r>
              <w:rPr>
                <w:color w:val="000000"/>
              </w:rPr>
              <w:t>592</w:t>
            </w:r>
          </w:p>
        </w:tc>
      </w:tr>
      <w:tr w:rsidR="00DA46D3" w:rsidRPr="002029AF" w14:paraId="06C5E392" w14:textId="77777777" w:rsidTr="00D132D7">
        <w:trPr>
          <w:cantSplit/>
        </w:trPr>
        <w:tc>
          <w:tcPr>
            <w:tcW w:w="2522" w:type="dxa"/>
            <w:tcMar>
              <w:top w:w="0" w:type="dxa"/>
              <w:left w:w="0" w:type="dxa"/>
              <w:bottom w:w="0" w:type="dxa"/>
              <w:right w:w="108" w:type="dxa"/>
            </w:tcMar>
            <w:hideMark/>
          </w:tcPr>
          <w:p w14:paraId="4071E481" w14:textId="77777777" w:rsidR="00DA46D3" w:rsidRPr="002029AF" w:rsidRDefault="00DA46D3" w:rsidP="004C7BEF">
            <w:pPr>
              <w:pStyle w:val="ARtabletextbold"/>
            </w:pPr>
            <w:r w:rsidRPr="002029AF">
              <w:t>Total amount collected</w:t>
            </w:r>
          </w:p>
        </w:tc>
        <w:tc>
          <w:tcPr>
            <w:tcW w:w="2071" w:type="dxa"/>
            <w:tcMar>
              <w:top w:w="0" w:type="dxa"/>
              <w:left w:w="0" w:type="dxa"/>
              <w:bottom w:w="0" w:type="dxa"/>
              <w:right w:w="108" w:type="dxa"/>
            </w:tcMar>
            <w:hideMark/>
          </w:tcPr>
          <w:p w14:paraId="6C57FE5B" w14:textId="77777777" w:rsidR="00DA46D3" w:rsidRPr="002029AF" w:rsidRDefault="00DA46D3" w:rsidP="004C7BEF">
            <w:pPr>
              <w:pStyle w:val="ARtabletextright"/>
              <w:rPr>
                <w:b/>
                <w:bCs/>
              </w:rPr>
            </w:pPr>
            <w:r w:rsidRPr="002029AF">
              <w:rPr>
                <w:b/>
                <w:bCs/>
                <w:color w:val="000000"/>
              </w:rPr>
              <w:t>$</w:t>
            </w:r>
            <w:r>
              <w:rPr>
                <w:b/>
                <w:bCs/>
                <w:color w:val="000000"/>
              </w:rPr>
              <w:t>5</w:t>
            </w:r>
            <w:r w:rsidRPr="002029AF">
              <w:rPr>
                <w:b/>
                <w:bCs/>
                <w:color w:val="000000"/>
              </w:rPr>
              <w:t>,</w:t>
            </w:r>
            <w:r>
              <w:rPr>
                <w:b/>
                <w:bCs/>
                <w:color w:val="000000"/>
              </w:rPr>
              <w:t>666,592</w:t>
            </w:r>
          </w:p>
        </w:tc>
      </w:tr>
    </w:tbl>
    <w:p w14:paraId="70B80AEA" w14:textId="77777777" w:rsidR="00DA46D3" w:rsidRPr="002029AF" w:rsidRDefault="00DA46D3" w:rsidP="00DA46D3">
      <w:pPr>
        <w:pStyle w:val="ARbody"/>
      </w:pPr>
    </w:p>
    <w:tbl>
      <w:tblPr>
        <w:tblW w:w="4593" w:type="dxa"/>
        <w:tblBorders>
          <w:left w:val="single" w:sz="8" w:space="0" w:color="FFFFFF"/>
          <w:bottom w:val="single" w:sz="4" w:space="0" w:color="auto"/>
          <w:right w:val="single" w:sz="8" w:space="0" w:color="FFFFFF"/>
          <w:insideH w:val="single" w:sz="4" w:space="0" w:color="auto"/>
          <w:insideV w:val="single" w:sz="8" w:space="0" w:color="FFFFFF"/>
        </w:tblBorders>
        <w:tblCellMar>
          <w:left w:w="0" w:type="dxa"/>
          <w:right w:w="0" w:type="dxa"/>
        </w:tblCellMar>
        <w:tblLook w:val="06A0" w:firstRow="1" w:lastRow="0" w:firstColumn="1" w:lastColumn="0" w:noHBand="1" w:noVBand="1"/>
      </w:tblPr>
      <w:tblGrid>
        <w:gridCol w:w="2873"/>
        <w:gridCol w:w="1720"/>
      </w:tblGrid>
      <w:tr w:rsidR="00DA46D3" w:rsidRPr="002029AF" w14:paraId="6633D34C" w14:textId="77777777" w:rsidTr="00D132D7">
        <w:trPr>
          <w:cantSplit/>
          <w:tblHeader/>
        </w:trPr>
        <w:tc>
          <w:tcPr>
            <w:tcW w:w="2873" w:type="dxa"/>
            <w:tcMar>
              <w:top w:w="0" w:type="dxa"/>
              <w:left w:w="0" w:type="dxa"/>
              <w:bottom w:w="0" w:type="dxa"/>
              <w:right w:w="108" w:type="dxa"/>
            </w:tcMar>
            <w:vAlign w:val="bottom"/>
            <w:hideMark/>
          </w:tcPr>
          <w:p w14:paraId="5F8799A8" w14:textId="77777777" w:rsidR="00DA46D3" w:rsidRPr="002029AF" w:rsidRDefault="00DA46D3" w:rsidP="004C7BEF">
            <w:pPr>
              <w:pStyle w:val="ARtablecolhead"/>
            </w:pPr>
            <w:r w:rsidRPr="002029AF">
              <w:t>Departmental expenditure (category)</w:t>
            </w:r>
          </w:p>
        </w:tc>
        <w:tc>
          <w:tcPr>
            <w:tcW w:w="1720" w:type="dxa"/>
            <w:tcMar>
              <w:top w:w="0" w:type="dxa"/>
              <w:left w:w="0" w:type="dxa"/>
              <w:bottom w:w="0" w:type="dxa"/>
              <w:right w:w="108" w:type="dxa"/>
            </w:tcMar>
            <w:vAlign w:val="bottom"/>
            <w:hideMark/>
          </w:tcPr>
          <w:p w14:paraId="701EBC89" w14:textId="77777777" w:rsidR="00DA46D3" w:rsidRPr="002029AF" w:rsidRDefault="00DA46D3" w:rsidP="004C7BEF">
            <w:pPr>
              <w:pStyle w:val="ARtablecolheadright"/>
            </w:pPr>
            <w:r w:rsidRPr="002029AF">
              <w:t>20</w:t>
            </w:r>
            <w:r>
              <w:t>21</w:t>
            </w:r>
            <w:r w:rsidRPr="002029AF">
              <w:t>–2</w:t>
            </w:r>
            <w:r>
              <w:t>2</w:t>
            </w:r>
          </w:p>
        </w:tc>
      </w:tr>
      <w:tr w:rsidR="00DA46D3" w:rsidRPr="002029AF" w14:paraId="73E3E991" w14:textId="77777777" w:rsidTr="00D132D7">
        <w:trPr>
          <w:cantSplit/>
        </w:trPr>
        <w:tc>
          <w:tcPr>
            <w:tcW w:w="2873" w:type="dxa"/>
            <w:tcMar>
              <w:top w:w="0" w:type="dxa"/>
              <w:left w:w="0" w:type="dxa"/>
              <w:bottom w:w="0" w:type="dxa"/>
              <w:right w:w="108" w:type="dxa"/>
            </w:tcMar>
            <w:hideMark/>
          </w:tcPr>
          <w:p w14:paraId="6D3DEA71" w14:textId="77777777" w:rsidR="00DA46D3" w:rsidRPr="002029AF" w:rsidRDefault="00DA46D3" w:rsidP="004C7BEF">
            <w:pPr>
              <w:pStyle w:val="ARtabletext"/>
            </w:pPr>
            <w:r w:rsidRPr="002029AF">
              <w:t>Sector reform initiatives</w:t>
            </w:r>
          </w:p>
        </w:tc>
        <w:tc>
          <w:tcPr>
            <w:tcW w:w="1720" w:type="dxa"/>
            <w:tcMar>
              <w:top w:w="0" w:type="dxa"/>
              <w:left w:w="0" w:type="dxa"/>
              <w:bottom w:w="0" w:type="dxa"/>
              <w:right w:w="108" w:type="dxa"/>
            </w:tcMar>
            <w:hideMark/>
          </w:tcPr>
          <w:p w14:paraId="7B57D71A" w14:textId="77777777" w:rsidR="00DA46D3" w:rsidRPr="002029AF" w:rsidRDefault="00DA46D3" w:rsidP="004C7BEF">
            <w:pPr>
              <w:pStyle w:val="ARtabletextright"/>
            </w:pPr>
            <w:r w:rsidRPr="002029AF">
              <w:t>$0</w:t>
            </w:r>
          </w:p>
        </w:tc>
      </w:tr>
      <w:tr w:rsidR="00DA46D3" w:rsidRPr="002029AF" w14:paraId="016DBA28" w14:textId="77777777" w:rsidTr="00D132D7">
        <w:trPr>
          <w:cantSplit/>
        </w:trPr>
        <w:tc>
          <w:tcPr>
            <w:tcW w:w="2873" w:type="dxa"/>
            <w:tcMar>
              <w:top w:w="0" w:type="dxa"/>
              <w:left w:w="0" w:type="dxa"/>
              <w:bottom w:w="0" w:type="dxa"/>
              <w:right w:w="108" w:type="dxa"/>
            </w:tcMar>
            <w:hideMark/>
          </w:tcPr>
          <w:p w14:paraId="098459E3" w14:textId="77777777" w:rsidR="00DA46D3" w:rsidRPr="002029AF" w:rsidRDefault="00DA46D3" w:rsidP="004C7BEF">
            <w:pPr>
              <w:pStyle w:val="ARtabletext"/>
            </w:pPr>
            <w:r w:rsidRPr="002029AF">
              <w:t>Governance support</w:t>
            </w:r>
          </w:p>
        </w:tc>
        <w:tc>
          <w:tcPr>
            <w:tcW w:w="1720" w:type="dxa"/>
            <w:tcMar>
              <w:top w:w="0" w:type="dxa"/>
              <w:left w:w="0" w:type="dxa"/>
              <w:bottom w:w="0" w:type="dxa"/>
              <w:right w:w="108" w:type="dxa"/>
            </w:tcMar>
            <w:hideMark/>
          </w:tcPr>
          <w:p w14:paraId="357916D5" w14:textId="77777777" w:rsidR="00DA46D3" w:rsidRPr="002029AF" w:rsidRDefault="00DA46D3" w:rsidP="004C7BEF">
            <w:pPr>
              <w:pStyle w:val="ARtabletextright"/>
            </w:pPr>
            <w:r w:rsidRPr="002029AF">
              <w:t>$1,</w:t>
            </w:r>
            <w:r>
              <w:t>210,818</w:t>
            </w:r>
          </w:p>
        </w:tc>
      </w:tr>
      <w:tr w:rsidR="00DA46D3" w:rsidRPr="002029AF" w14:paraId="15EBEEA0" w14:textId="77777777" w:rsidTr="00D132D7">
        <w:trPr>
          <w:cantSplit/>
        </w:trPr>
        <w:tc>
          <w:tcPr>
            <w:tcW w:w="2873" w:type="dxa"/>
            <w:tcMar>
              <w:top w:w="0" w:type="dxa"/>
              <w:left w:w="0" w:type="dxa"/>
              <w:bottom w:w="0" w:type="dxa"/>
              <w:right w:w="108" w:type="dxa"/>
            </w:tcMar>
            <w:hideMark/>
          </w:tcPr>
          <w:p w14:paraId="698B3CA9" w14:textId="77777777" w:rsidR="00DA46D3" w:rsidRPr="002029AF" w:rsidRDefault="00DA46D3" w:rsidP="004C7BEF">
            <w:pPr>
              <w:pStyle w:val="ARtabletext"/>
            </w:pPr>
            <w:r w:rsidRPr="002029AF">
              <w:t>Sector grants</w:t>
            </w:r>
          </w:p>
        </w:tc>
        <w:tc>
          <w:tcPr>
            <w:tcW w:w="1720" w:type="dxa"/>
            <w:tcMar>
              <w:top w:w="0" w:type="dxa"/>
              <w:left w:w="0" w:type="dxa"/>
              <w:bottom w:w="0" w:type="dxa"/>
              <w:right w:w="108" w:type="dxa"/>
            </w:tcMar>
            <w:hideMark/>
          </w:tcPr>
          <w:p w14:paraId="1DA31F13" w14:textId="77777777" w:rsidR="00DA46D3" w:rsidRPr="002029AF" w:rsidRDefault="00DA46D3" w:rsidP="004C7BEF">
            <w:pPr>
              <w:pStyle w:val="ARtabletextright"/>
            </w:pPr>
            <w:r w:rsidRPr="002029AF">
              <w:t>$</w:t>
            </w:r>
            <w:r>
              <w:t>1</w:t>
            </w:r>
            <w:r w:rsidRPr="002029AF">
              <w:t>,</w:t>
            </w:r>
            <w:r>
              <w:t>560,042</w:t>
            </w:r>
          </w:p>
        </w:tc>
      </w:tr>
      <w:tr w:rsidR="00DA46D3" w:rsidRPr="002029AF" w14:paraId="560DB50C" w14:textId="77777777" w:rsidTr="00D132D7">
        <w:trPr>
          <w:cantSplit/>
        </w:trPr>
        <w:tc>
          <w:tcPr>
            <w:tcW w:w="2873" w:type="dxa"/>
            <w:tcMar>
              <w:top w:w="0" w:type="dxa"/>
              <w:left w:w="0" w:type="dxa"/>
              <w:bottom w:w="0" w:type="dxa"/>
              <w:right w:w="108" w:type="dxa"/>
            </w:tcMar>
            <w:hideMark/>
          </w:tcPr>
          <w:p w14:paraId="172E37FC" w14:textId="77777777" w:rsidR="00DA46D3" w:rsidRPr="002029AF" w:rsidRDefault="00DA46D3" w:rsidP="004C7BEF">
            <w:pPr>
              <w:pStyle w:val="ARtabletext"/>
            </w:pPr>
            <w:r w:rsidRPr="002029AF">
              <w:t>Sector policy, development and coordination</w:t>
            </w:r>
          </w:p>
        </w:tc>
        <w:tc>
          <w:tcPr>
            <w:tcW w:w="1720" w:type="dxa"/>
            <w:tcMar>
              <w:top w:w="0" w:type="dxa"/>
              <w:left w:w="0" w:type="dxa"/>
              <w:bottom w:w="0" w:type="dxa"/>
              <w:right w:w="108" w:type="dxa"/>
            </w:tcMar>
            <w:hideMark/>
          </w:tcPr>
          <w:p w14:paraId="63267970" w14:textId="77777777" w:rsidR="00DA46D3" w:rsidRPr="002029AF" w:rsidRDefault="00DA46D3" w:rsidP="004C7BEF">
            <w:pPr>
              <w:pStyle w:val="ARtabletextright"/>
            </w:pPr>
            <w:r w:rsidRPr="002029AF">
              <w:t>$</w:t>
            </w:r>
            <w:r>
              <w:t>403,606</w:t>
            </w:r>
          </w:p>
        </w:tc>
      </w:tr>
      <w:tr w:rsidR="00DA46D3" w:rsidRPr="002029AF" w14:paraId="6E8B1920" w14:textId="77777777" w:rsidTr="00D132D7">
        <w:trPr>
          <w:cantSplit/>
        </w:trPr>
        <w:tc>
          <w:tcPr>
            <w:tcW w:w="2873" w:type="dxa"/>
            <w:tcBorders>
              <w:bottom w:val="single" w:sz="4" w:space="0" w:color="auto"/>
            </w:tcBorders>
            <w:tcMar>
              <w:top w:w="0" w:type="dxa"/>
              <w:left w:w="0" w:type="dxa"/>
              <w:bottom w:w="0" w:type="dxa"/>
              <w:right w:w="108" w:type="dxa"/>
            </w:tcMar>
            <w:hideMark/>
          </w:tcPr>
          <w:p w14:paraId="66E774C2" w14:textId="77777777" w:rsidR="00DA46D3" w:rsidRPr="002029AF" w:rsidRDefault="00DA46D3" w:rsidP="004C7BEF">
            <w:pPr>
              <w:pStyle w:val="ARtabletext"/>
            </w:pPr>
            <w:r w:rsidRPr="002029AF">
              <w:t>Insurance premiums and claims</w:t>
            </w:r>
          </w:p>
        </w:tc>
        <w:tc>
          <w:tcPr>
            <w:tcW w:w="1720" w:type="dxa"/>
            <w:tcBorders>
              <w:bottom w:val="single" w:sz="4" w:space="0" w:color="auto"/>
            </w:tcBorders>
            <w:tcMar>
              <w:top w:w="0" w:type="dxa"/>
              <w:left w:w="0" w:type="dxa"/>
              <w:bottom w:w="0" w:type="dxa"/>
              <w:right w:w="108" w:type="dxa"/>
            </w:tcMar>
            <w:hideMark/>
          </w:tcPr>
          <w:p w14:paraId="587729CA" w14:textId="77777777" w:rsidR="00DA46D3" w:rsidRPr="002029AF" w:rsidRDefault="00DA46D3" w:rsidP="004C7BEF">
            <w:pPr>
              <w:pStyle w:val="ARtabletextright"/>
            </w:pPr>
            <w:r w:rsidRPr="002029AF">
              <w:t>$</w:t>
            </w:r>
            <w:r>
              <w:t>2,015,878</w:t>
            </w:r>
          </w:p>
        </w:tc>
      </w:tr>
      <w:tr w:rsidR="00DA46D3" w:rsidRPr="002029AF" w14:paraId="595A2128" w14:textId="77777777" w:rsidTr="00D132D7">
        <w:trPr>
          <w:cantSplit/>
        </w:trPr>
        <w:tc>
          <w:tcPr>
            <w:tcW w:w="2873" w:type="dxa"/>
            <w:tcBorders>
              <w:top w:val="single" w:sz="4" w:space="0" w:color="auto"/>
              <w:bottom w:val="single" w:sz="4" w:space="0" w:color="auto"/>
            </w:tcBorders>
            <w:tcMar>
              <w:top w:w="0" w:type="dxa"/>
              <w:left w:w="0" w:type="dxa"/>
              <w:bottom w:w="0" w:type="dxa"/>
              <w:right w:w="108" w:type="dxa"/>
            </w:tcMar>
            <w:hideMark/>
          </w:tcPr>
          <w:p w14:paraId="694FCC4B" w14:textId="77777777" w:rsidR="00DA46D3" w:rsidRPr="002029AF" w:rsidRDefault="00DA46D3" w:rsidP="004C7BEF">
            <w:pPr>
              <w:pStyle w:val="ARtabletextbold"/>
            </w:pPr>
            <w:r w:rsidRPr="002029AF">
              <w:t>Total expenditure</w:t>
            </w:r>
          </w:p>
        </w:tc>
        <w:tc>
          <w:tcPr>
            <w:tcW w:w="1720" w:type="dxa"/>
            <w:tcBorders>
              <w:top w:val="single" w:sz="4" w:space="0" w:color="auto"/>
              <w:bottom w:val="single" w:sz="4" w:space="0" w:color="auto"/>
            </w:tcBorders>
            <w:tcMar>
              <w:top w:w="0" w:type="dxa"/>
              <w:left w:w="0" w:type="dxa"/>
              <w:bottom w:w="0" w:type="dxa"/>
              <w:right w:w="108" w:type="dxa"/>
            </w:tcMar>
            <w:hideMark/>
          </w:tcPr>
          <w:p w14:paraId="355D5A33" w14:textId="77777777" w:rsidR="00DA46D3" w:rsidRPr="002029AF" w:rsidRDefault="00DA46D3" w:rsidP="004C7BEF">
            <w:pPr>
              <w:pStyle w:val="ARtabletextright"/>
              <w:rPr>
                <w:b/>
                <w:bCs/>
              </w:rPr>
            </w:pPr>
            <w:r w:rsidRPr="002029AF">
              <w:rPr>
                <w:b/>
                <w:bCs/>
              </w:rPr>
              <w:t>$</w:t>
            </w:r>
            <w:r>
              <w:rPr>
                <w:b/>
                <w:bCs/>
              </w:rPr>
              <w:t>5,190,344</w:t>
            </w:r>
          </w:p>
        </w:tc>
      </w:tr>
    </w:tbl>
    <w:p w14:paraId="12CA02AF" w14:textId="77777777" w:rsidR="004E0DE0" w:rsidRDefault="004E0DE0" w:rsidP="001C7E63">
      <w:pPr>
        <w:pStyle w:val="Heading2"/>
      </w:pPr>
      <w:bookmarkStart w:id="429" w:name="_Ref525207539"/>
      <w:bookmarkStart w:id="430" w:name="_Ref113270625"/>
      <w:bookmarkStart w:id="431" w:name="_Toc113702942"/>
      <w:bookmarkEnd w:id="428"/>
      <w:bookmarkEnd w:id="429"/>
      <w:r w:rsidRPr="00BE0178">
        <w:t>Drugs, Poisons and Controlled Substances Act 1981</w:t>
      </w:r>
      <w:bookmarkEnd w:id="430"/>
      <w:bookmarkEnd w:id="431"/>
    </w:p>
    <w:p w14:paraId="6AD5A6BF" w14:textId="77777777" w:rsidR="004E0DE0" w:rsidRDefault="004E0DE0" w:rsidP="004E0DE0">
      <w:pPr>
        <w:pStyle w:val="ARbody"/>
      </w:pPr>
      <w:r>
        <w:t xml:space="preserve">Section 60S of the </w:t>
      </w:r>
      <w:r w:rsidRPr="00BE0178">
        <w:rPr>
          <w:i/>
          <w:iCs/>
        </w:rPr>
        <w:t>Drugs, Poisons and Controlled Substances Act 1981</w:t>
      </w:r>
      <w:r>
        <w:t xml:space="preserve"> states that the Chief Commissioner of Police is to provide the following report on actions under the Act to the Minister for Health, for inclusion in the annual report.</w:t>
      </w:r>
    </w:p>
    <w:p w14:paraId="216AEFEA" w14:textId="38901EA3" w:rsidR="004E0DE0" w:rsidRDefault="004E0DE0" w:rsidP="003023C5">
      <w:pPr>
        <w:pStyle w:val="ARtablecaptionblack"/>
        <w:spacing w:before="160"/>
      </w:pPr>
      <w:r>
        <w:t xml:space="preserve">(a) the number of searches without warrant under section 60E conducted during </w:t>
      </w:r>
      <w:r w:rsidR="0091422F">
        <w:t>the</w:t>
      </w:r>
      <w:r>
        <w:t xml:space="preserve"> financial year</w:t>
      </w:r>
    </w:p>
    <w:tbl>
      <w:tblPr>
        <w:tblW w:w="4593" w:type="dxa"/>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80" w:firstRow="0" w:lastRow="0" w:firstColumn="1" w:lastColumn="0" w:noHBand="1" w:noVBand="1"/>
      </w:tblPr>
      <w:tblGrid>
        <w:gridCol w:w="4101"/>
        <w:gridCol w:w="492"/>
      </w:tblGrid>
      <w:tr w:rsidR="004E0DE0" w:rsidRPr="002029AF" w14:paraId="3121619E" w14:textId="77777777" w:rsidTr="00D132D7">
        <w:trPr>
          <w:cantSplit/>
        </w:trPr>
        <w:tc>
          <w:tcPr>
            <w:tcW w:w="4101" w:type="dxa"/>
            <w:tcMar>
              <w:top w:w="0" w:type="dxa"/>
              <w:left w:w="0" w:type="dxa"/>
              <w:bottom w:w="0" w:type="dxa"/>
              <w:right w:w="108" w:type="dxa"/>
            </w:tcMar>
            <w:hideMark/>
          </w:tcPr>
          <w:p w14:paraId="1E82A7AC" w14:textId="77777777" w:rsidR="004E0DE0" w:rsidRPr="002029AF" w:rsidRDefault="004E0DE0" w:rsidP="008340C1">
            <w:pPr>
              <w:pStyle w:val="ARtabletext"/>
            </w:pPr>
            <w:r w:rsidRPr="004B1694">
              <w:t>Person under 18 years searched</w:t>
            </w:r>
          </w:p>
        </w:tc>
        <w:tc>
          <w:tcPr>
            <w:tcW w:w="492" w:type="dxa"/>
            <w:tcMar>
              <w:top w:w="0" w:type="dxa"/>
              <w:left w:w="0" w:type="dxa"/>
              <w:bottom w:w="0" w:type="dxa"/>
              <w:right w:w="108" w:type="dxa"/>
            </w:tcMar>
            <w:hideMark/>
          </w:tcPr>
          <w:p w14:paraId="156725CA" w14:textId="77777777" w:rsidR="004E0DE0" w:rsidRPr="002029AF" w:rsidRDefault="004E0DE0" w:rsidP="008340C1">
            <w:pPr>
              <w:pStyle w:val="ARtabletextright"/>
            </w:pPr>
            <w:r>
              <w:t>2</w:t>
            </w:r>
          </w:p>
        </w:tc>
      </w:tr>
    </w:tbl>
    <w:p w14:paraId="68AABCD1" w14:textId="1DCE6527" w:rsidR="004E0DE0" w:rsidRDefault="004E0DE0" w:rsidP="003023C5">
      <w:pPr>
        <w:pStyle w:val="ARtablecaptionblack"/>
        <w:spacing w:before="160"/>
      </w:pPr>
      <w:r>
        <w:t xml:space="preserve">(b) the number of searches without warrant under section 60F conducted during </w:t>
      </w:r>
      <w:r w:rsidR="0091422F">
        <w:t>the</w:t>
      </w:r>
      <w:r>
        <w:t xml:space="preserve"> financial year</w:t>
      </w:r>
    </w:p>
    <w:tbl>
      <w:tblPr>
        <w:tblW w:w="4593" w:type="dxa"/>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80" w:firstRow="0" w:lastRow="0" w:firstColumn="1" w:lastColumn="0" w:noHBand="1" w:noVBand="1"/>
      </w:tblPr>
      <w:tblGrid>
        <w:gridCol w:w="4101"/>
        <w:gridCol w:w="492"/>
      </w:tblGrid>
      <w:tr w:rsidR="004E0DE0" w:rsidRPr="002029AF" w14:paraId="1E96B4DF" w14:textId="77777777" w:rsidTr="00D132D7">
        <w:trPr>
          <w:cantSplit/>
        </w:trPr>
        <w:tc>
          <w:tcPr>
            <w:tcW w:w="4101" w:type="dxa"/>
            <w:tcMar>
              <w:top w:w="0" w:type="dxa"/>
              <w:left w:w="0" w:type="dxa"/>
              <w:bottom w:w="0" w:type="dxa"/>
              <w:right w:w="108" w:type="dxa"/>
            </w:tcMar>
            <w:hideMark/>
          </w:tcPr>
          <w:p w14:paraId="791A96A2" w14:textId="77777777" w:rsidR="004E0DE0" w:rsidRPr="002029AF" w:rsidRDefault="004E0DE0" w:rsidP="008340C1">
            <w:pPr>
              <w:pStyle w:val="ARtabletext"/>
            </w:pPr>
            <w:r w:rsidRPr="003845B8">
              <w:t>Persons searched irrespective of age</w:t>
            </w:r>
          </w:p>
        </w:tc>
        <w:tc>
          <w:tcPr>
            <w:tcW w:w="492" w:type="dxa"/>
            <w:tcMar>
              <w:top w:w="0" w:type="dxa"/>
              <w:left w:w="0" w:type="dxa"/>
              <w:bottom w:w="0" w:type="dxa"/>
              <w:right w:w="108" w:type="dxa"/>
            </w:tcMar>
            <w:hideMark/>
          </w:tcPr>
          <w:p w14:paraId="0C11B699" w14:textId="77777777" w:rsidR="004E0DE0" w:rsidRPr="002029AF" w:rsidRDefault="004E0DE0" w:rsidP="008340C1">
            <w:pPr>
              <w:pStyle w:val="ARtabletextright"/>
            </w:pPr>
            <w:r>
              <w:t>2</w:t>
            </w:r>
          </w:p>
        </w:tc>
      </w:tr>
    </w:tbl>
    <w:p w14:paraId="16A585B6" w14:textId="77777777" w:rsidR="004E0DE0" w:rsidRDefault="004E0DE0" w:rsidP="003023C5">
      <w:pPr>
        <w:pStyle w:val="ARtablecaptionblack"/>
        <w:spacing w:before="160"/>
      </w:pPr>
      <w:r>
        <w:t>(c) information about the number and type of volatile substances and items used to inhale a volatile substance seized as a result of conducting those searches</w:t>
      </w:r>
    </w:p>
    <w:tbl>
      <w:tblPr>
        <w:tblW w:w="4593" w:type="dxa"/>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80" w:firstRow="0" w:lastRow="0" w:firstColumn="1" w:lastColumn="0" w:noHBand="1" w:noVBand="1"/>
      </w:tblPr>
      <w:tblGrid>
        <w:gridCol w:w="4101"/>
        <w:gridCol w:w="492"/>
      </w:tblGrid>
      <w:tr w:rsidR="004E0DE0" w:rsidRPr="002029AF" w14:paraId="0C32E8C4" w14:textId="77777777" w:rsidTr="00D132D7">
        <w:trPr>
          <w:cantSplit/>
        </w:trPr>
        <w:tc>
          <w:tcPr>
            <w:tcW w:w="4101" w:type="dxa"/>
            <w:tcMar>
              <w:top w:w="0" w:type="dxa"/>
              <w:left w:w="0" w:type="dxa"/>
              <w:bottom w:w="0" w:type="dxa"/>
              <w:right w:w="108" w:type="dxa"/>
            </w:tcMar>
            <w:hideMark/>
          </w:tcPr>
          <w:p w14:paraId="67076185" w14:textId="77777777" w:rsidR="004E0DE0" w:rsidRPr="002029AF" w:rsidRDefault="004E0DE0" w:rsidP="008340C1">
            <w:pPr>
              <w:pStyle w:val="ARtabletext"/>
            </w:pPr>
            <w:r w:rsidRPr="003845B8">
              <w:t>Graffiti implements</w:t>
            </w:r>
            <w:r>
              <w:t xml:space="preserve"> </w:t>
            </w:r>
            <w:r w:rsidRPr="00303838">
              <w:t>(unspecified)</w:t>
            </w:r>
          </w:p>
        </w:tc>
        <w:tc>
          <w:tcPr>
            <w:tcW w:w="492" w:type="dxa"/>
            <w:tcMar>
              <w:top w:w="0" w:type="dxa"/>
              <w:left w:w="0" w:type="dxa"/>
              <w:bottom w:w="0" w:type="dxa"/>
              <w:right w:w="108" w:type="dxa"/>
            </w:tcMar>
            <w:hideMark/>
          </w:tcPr>
          <w:p w14:paraId="21351352" w14:textId="77777777" w:rsidR="004E0DE0" w:rsidRPr="002029AF" w:rsidRDefault="004E0DE0" w:rsidP="008340C1">
            <w:pPr>
              <w:pStyle w:val="ARtabletextright"/>
            </w:pPr>
            <w:r>
              <w:t>1</w:t>
            </w:r>
          </w:p>
        </w:tc>
      </w:tr>
    </w:tbl>
    <w:p w14:paraId="18184E9E" w14:textId="77777777" w:rsidR="004E0DE0" w:rsidRDefault="004E0DE0" w:rsidP="003023C5">
      <w:pPr>
        <w:pStyle w:val="ARtablecaptionblack"/>
        <w:spacing w:before="160"/>
      </w:pPr>
      <w:r>
        <w:t>(d) information about the number and type of volatile substances and items used to inhale a volatile substance received by police officers when produced in accordance with a request under section 60H(1)(b)</w:t>
      </w:r>
    </w:p>
    <w:tbl>
      <w:tblPr>
        <w:tblW w:w="4593" w:type="dxa"/>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80" w:firstRow="0" w:lastRow="0" w:firstColumn="1" w:lastColumn="0" w:noHBand="1" w:noVBand="1"/>
      </w:tblPr>
      <w:tblGrid>
        <w:gridCol w:w="4101"/>
        <w:gridCol w:w="492"/>
      </w:tblGrid>
      <w:tr w:rsidR="004E0DE0" w:rsidRPr="002029AF" w14:paraId="27EA805B" w14:textId="77777777" w:rsidTr="00D132D7">
        <w:trPr>
          <w:cantSplit/>
        </w:trPr>
        <w:tc>
          <w:tcPr>
            <w:tcW w:w="4101" w:type="dxa"/>
            <w:tcMar>
              <w:top w:w="0" w:type="dxa"/>
              <w:left w:w="0" w:type="dxa"/>
              <w:bottom w:w="0" w:type="dxa"/>
              <w:right w:w="108" w:type="dxa"/>
            </w:tcMar>
            <w:hideMark/>
          </w:tcPr>
          <w:p w14:paraId="778CCBB4" w14:textId="77777777" w:rsidR="004E0DE0" w:rsidRPr="002029AF" w:rsidRDefault="004E0DE0" w:rsidP="008340C1">
            <w:pPr>
              <w:pStyle w:val="ARtabletext"/>
            </w:pPr>
            <w:r>
              <w:t>Nil</w:t>
            </w:r>
          </w:p>
        </w:tc>
        <w:tc>
          <w:tcPr>
            <w:tcW w:w="492" w:type="dxa"/>
            <w:tcMar>
              <w:top w:w="0" w:type="dxa"/>
              <w:left w:w="0" w:type="dxa"/>
              <w:bottom w:w="0" w:type="dxa"/>
              <w:right w:w="108" w:type="dxa"/>
            </w:tcMar>
            <w:hideMark/>
          </w:tcPr>
          <w:p w14:paraId="6F6F9D17" w14:textId="77777777" w:rsidR="004E0DE0" w:rsidRPr="002029AF" w:rsidRDefault="004E0DE0" w:rsidP="008340C1">
            <w:pPr>
              <w:pStyle w:val="ARtabletextright"/>
            </w:pPr>
            <w:r>
              <w:t>0</w:t>
            </w:r>
          </w:p>
        </w:tc>
      </w:tr>
    </w:tbl>
    <w:p w14:paraId="6A4AE66B" w14:textId="77777777" w:rsidR="004E0DE0" w:rsidRDefault="004E0DE0" w:rsidP="003023C5">
      <w:pPr>
        <w:pStyle w:val="ARtablecaptionblack"/>
        <w:spacing w:before="160"/>
      </w:pPr>
      <w:r>
        <w:t>(e) information about the number and type of volatile substances and items used to inhale a volatile substance returned to persons under section 60N</w:t>
      </w:r>
    </w:p>
    <w:tbl>
      <w:tblPr>
        <w:tblW w:w="4593" w:type="dxa"/>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80" w:firstRow="0" w:lastRow="0" w:firstColumn="1" w:lastColumn="0" w:noHBand="1" w:noVBand="1"/>
      </w:tblPr>
      <w:tblGrid>
        <w:gridCol w:w="4101"/>
        <w:gridCol w:w="492"/>
      </w:tblGrid>
      <w:tr w:rsidR="004E0DE0" w:rsidRPr="002029AF" w14:paraId="5B5BDF43" w14:textId="77777777" w:rsidTr="00D132D7">
        <w:trPr>
          <w:cantSplit/>
        </w:trPr>
        <w:tc>
          <w:tcPr>
            <w:tcW w:w="4101" w:type="dxa"/>
            <w:tcMar>
              <w:top w:w="0" w:type="dxa"/>
              <w:left w:w="0" w:type="dxa"/>
              <w:bottom w:w="0" w:type="dxa"/>
              <w:right w:w="108" w:type="dxa"/>
            </w:tcMar>
            <w:hideMark/>
          </w:tcPr>
          <w:p w14:paraId="56767C06" w14:textId="77777777" w:rsidR="004E0DE0" w:rsidRPr="002029AF" w:rsidRDefault="004E0DE0" w:rsidP="008340C1">
            <w:pPr>
              <w:pStyle w:val="ARtabletext"/>
            </w:pPr>
            <w:r>
              <w:t>Nil</w:t>
            </w:r>
          </w:p>
        </w:tc>
        <w:tc>
          <w:tcPr>
            <w:tcW w:w="492" w:type="dxa"/>
            <w:tcMar>
              <w:top w:w="0" w:type="dxa"/>
              <w:left w:w="0" w:type="dxa"/>
              <w:bottom w:w="0" w:type="dxa"/>
              <w:right w:w="108" w:type="dxa"/>
            </w:tcMar>
            <w:hideMark/>
          </w:tcPr>
          <w:p w14:paraId="1A80D443" w14:textId="77777777" w:rsidR="004E0DE0" w:rsidRPr="002029AF" w:rsidRDefault="004E0DE0" w:rsidP="008340C1">
            <w:pPr>
              <w:pStyle w:val="ARtabletextright"/>
            </w:pPr>
            <w:r>
              <w:t>0</w:t>
            </w:r>
          </w:p>
        </w:tc>
      </w:tr>
    </w:tbl>
    <w:p w14:paraId="6E90EDC5" w14:textId="77777777" w:rsidR="004E0DE0" w:rsidRDefault="004E0DE0" w:rsidP="003023C5">
      <w:pPr>
        <w:pStyle w:val="ARtablecaptionblack"/>
        <w:spacing w:before="160"/>
      </w:pPr>
      <w:r>
        <w:t>(f) information about the number and type of volatile substances and items used to inhale a volatile substance disposed of or made safe under section 60O</w:t>
      </w:r>
    </w:p>
    <w:tbl>
      <w:tblPr>
        <w:tblW w:w="4593" w:type="dxa"/>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4A0" w:firstRow="1" w:lastRow="0" w:firstColumn="1" w:lastColumn="0" w:noHBand="0" w:noVBand="1"/>
      </w:tblPr>
      <w:tblGrid>
        <w:gridCol w:w="4101"/>
        <w:gridCol w:w="492"/>
      </w:tblGrid>
      <w:tr w:rsidR="004E0DE0" w:rsidRPr="002029AF" w14:paraId="08C90116" w14:textId="77777777" w:rsidTr="008340C1">
        <w:trPr>
          <w:cantSplit/>
        </w:trPr>
        <w:tc>
          <w:tcPr>
            <w:tcW w:w="4101" w:type="dxa"/>
            <w:tcMar>
              <w:top w:w="0" w:type="dxa"/>
              <w:left w:w="0" w:type="dxa"/>
              <w:bottom w:w="0" w:type="dxa"/>
              <w:right w:w="108" w:type="dxa"/>
            </w:tcMar>
            <w:hideMark/>
          </w:tcPr>
          <w:p w14:paraId="48FE9600" w14:textId="77777777" w:rsidR="004E0DE0" w:rsidRPr="002029AF" w:rsidRDefault="004E0DE0" w:rsidP="008340C1">
            <w:pPr>
              <w:pStyle w:val="ARtabletext"/>
            </w:pPr>
            <w:r w:rsidRPr="003845B8">
              <w:t>Graffiti implements</w:t>
            </w:r>
            <w:r>
              <w:t xml:space="preserve"> </w:t>
            </w:r>
            <w:r w:rsidRPr="00303838">
              <w:t>(unspecified)</w:t>
            </w:r>
          </w:p>
        </w:tc>
        <w:tc>
          <w:tcPr>
            <w:tcW w:w="492" w:type="dxa"/>
            <w:tcMar>
              <w:top w:w="0" w:type="dxa"/>
              <w:left w:w="0" w:type="dxa"/>
              <w:bottom w:w="0" w:type="dxa"/>
              <w:right w:w="108" w:type="dxa"/>
            </w:tcMar>
            <w:hideMark/>
          </w:tcPr>
          <w:p w14:paraId="69CD6C84" w14:textId="77777777" w:rsidR="004E0DE0" w:rsidRPr="002029AF" w:rsidRDefault="004E0DE0" w:rsidP="008340C1">
            <w:pPr>
              <w:pStyle w:val="ARtabletextright"/>
            </w:pPr>
            <w:r>
              <w:t>1</w:t>
            </w:r>
          </w:p>
        </w:tc>
      </w:tr>
    </w:tbl>
    <w:p w14:paraId="223B6982" w14:textId="77777777" w:rsidR="004E0DE0" w:rsidRDefault="004E0DE0" w:rsidP="003023C5">
      <w:pPr>
        <w:pStyle w:val="ARtablecaptionblack"/>
        <w:spacing w:before="160"/>
      </w:pPr>
      <w:r>
        <w:t>(g) information about the number and type of volatile substances and items used to inhale a volatile substance forfeited to the Crown under section 60P</w:t>
      </w:r>
    </w:p>
    <w:tbl>
      <w:tblPr>
        <w:tblW w:w="4593" w:type="dxa"/>
        <w:tblBorders>
          <w:top w:val="single" w:sz="4" w:space="0" w:color="auto"/>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80" w:firstRow="0" w:lastRow="0" w:firstColumn="1" w:lastColumn="0" w:noHBand="1" w:noVBand="1"/>
      </w:tblPr>
      <w:tblGrid>
        <w:gridCol w:w="4101"/>
        <w:gridCol w:w="492"/>
      </w:tblGrid>
      <w:tr w:rsidR="004E0DE0" w:rsidRPr="002029AF" w14:paraId="765A4D39" w14:textId="77777777" w:rsidTr="00D132D7">
        <w:trPr>
          <w:cantSplit/>
        </w:trPr>
        <w:tc>
          <w:tcPr>
            <w:tcW w:w="4101" w:type="dxa"/>
            <w:tcMar>
              <w:top w:w="0" w:type="dxa"/>
              <w:left w:w="0" w:type="dxa"/>
              <w:bottom w:w="0" w:type="dxa"/>
              <w:right w:w="108" w:type="dxa"/>
            </w:tcMar>
            <w:hideMark/>
          </w:tcPr>
          <w:p w14:paraId="5C4B62C3" w14:textId="77777777" w:rsidR="004E0DE0" w:rsidRPr="002029AF" w:rsidRDefault="004E0DE0" w:rsidP="008340C1">
            <w:pPr>
              <w:pStyle w:val="ARtabletext"/>
            </w:pPr>
            <w:r>
              <w:t>Nil</w:t>
            </w:r>
          </w:p>
        </w:tc>
        <w:tc>
          <w:tcPr>
            <w:tcW w:w="492" w:type="dxa"/>
            <w:tcMar>
              <w:top w:w="0" w:type="dxa"/>
              <w:left w:w="0" w:type="dxa"/>
              <w:bottom w:w="0" w:type="dxa"/>
              <w:right w:w="108" w:type="dxa"/>
            </w:tcMar>
            <w:hideMark/>
          </w:tcPr>
          <w:p w14:paraId="5318B811" w14:textId="77777777" w:rsidR="004E0DE0" w:rsidRPr="002029AF" w:rsidRDefault="004E0DE0" w:rsidP="008340C1">
            <w:pPr>
              <w:pStyle w:val="ARtabletextright"/>
            </w:pPr>
            <w:r>
              <w:t>0</w:t>
            </w:r>
          </w:p>
        </w:tc>
      </w:tr>
    </w:tbl>
    <w:p w14:paraId="015176E0" w14:textId="290179C1" w:rsidR="004E0DE0" w:rsidRDefault="004E0DE0" w:rsidP="003023C5">
      <w:pPr>
        <w:pStyle w:val="ARtablecaptionblack"/>
        <w:spacing w:before="160"/>
      </w:pPr>
      <w:r>
        <w:t xml:space="preserve">(h) the number of persons apprehended and detained without warrant under section 60L during </w:t>
      </w:r>
      <w:r w:rsidR="0091422F">
        <w:t>the</w:t>
      </w:r>
      <w:r>
        <w:t xml:space="preserve"> financial year</w:t>
      </w:r>
    </w:p>
    <w:tbl>
      <w:tblPr>
        <w:tblW w:w="4593" w:type="dxa"/>
        <w:tblBorders>
          <w:top w:val="single" w:sz="4" w:space="0" w:color="auto"/>
          <w:left w:val="single" w:sz="8" w:space="0" w:color="FFFFFF"/>
          <w:bottom w:val="single" w:sz="4" w:space="0" w:color="auto"/>
          <w:right w:val="single" w:sz="8" w:space="0" w:color="FFFFFF"/>
          <w:insideH w:val="single" w:sz="4" w:space="0" w:color="auto"/>
          <w:insideV w:val="single" w:sz="8" w:space="0" w:color="FFFFFF"/>
        </w:tblBorders>
        <w:tblCellMar>
          <w:left w:w="0" w:type="dxa"/>
          <w:right w:w="0" w:type="dxa"/>
        </w:tblCellMar>
        <w:tblLook w:val="0680" w:firstRow="0" w:lastRow="0" w:firstColumn="1" w:lastColumn="0" w:noHBand="1" w:noVBand="1"/>
      </w:tblPr>
      <w:tblGrid>
        <w:gridCol w:w="4101"/>
        <w:gridCol w:w="492"/>
      </w:tblGrid>
      <w:tr w:rsidR="004E0DE0" w:rsidRPr="002029AF" w14:paraId="6145C943" w14:textId="77777777" w:rsidTr="00D132D7">
        <w:trPr>
          <w:cantSplit/>
        </w:trPr>
        <w:tc>
          <w:tcPr>
            <w:tcW w:w="4101" w:type="dxa"/>
            <w:tcMar>
              <w:top w:w="0" w:type="dxa"/>
              <w:left w:w="0" w:type="dxa"/>
              <w:bottom w:w="0" w:type="dxa"/>
              <w:right w:w="108" w:type="dxa"/>
            </w:tcMar>
            <w:hideMark/>
          </w:tcPr>
          <w:p w14:paraId="2D4A29E5" w14:textId="77777777" w:rsidR="004E0DE0" w:rsidRPr="002029AF" w:rsidRDefault="004E0DE0" w:rsidP="008340C1">
            <w:pPr>
              <w:pStyle w:val="ARtabletext"/>
              <w:keepNext/>
            </w:pPr>
            <w:r w:rsidRPr="003845B8">
              <w:t xml:space="preserve">Persons (under 18 years) </w:t>
            </w:r>
            <w:r>
              <w:br/>
            </w:r>
            <w:r w:rsidRPr="003845B8">
              <w:t>apprehended and detained</w:t>
            </w:r>
          </w:p>
        </w:tc>
        <w:tc>
          <w:tcPr>
            <w:tcW w:w="492" w:type="dxa"/>
            <w:tcMar>
              <w:top w:w="0" w:type="dxa"/>
              <w:left w:w="0" w:type="dxa"/>
              <w:bottom w:w="0" w:type="dxa"/>
              <w:right w:w="108" w:type="dxa"/>
            </w:tcMar>
            <w:hideMark/>
          </w:tcPr>
          <w:p w14:paraId="11360AB7" w14:textId="77777777" w:rsidR="004E0DE0" w:rsidRPr="002029AF" w:rsidRDefault="004E0DE0" w:rsidP="008340C1">
            <w:pPr>
              <w:pStyle w:val="ARtabletextright"/>
            </w:pPr>
            <w:r>
              <w:t>0</w:t>
            </w:r>
          </w:p>
        </w:tc>
      </w:tr>
      <w:tr w:rsidR="004E0DE0" w:rsidRPr="002029AF" w14:paraId="168F8939" w14:textId="77777777" w:rsidTr="00D132D7">
        <w:trPr>
          <w:cantSplit/>
        </w:trPr>
        <w:tc>
          <w:tcPr>
            <w:tcW w:w="4101" w:type="dxa"/>
            <w:tcMar>
              <w:top w:w="0" w:type="dxa"/>
              <w:left w:w="0" w:type="dxa"/>
              <w:bottom w:w="0" w:type="dxa"/>
              <w:right w:w="108" w:type="dxa"/>
            </w:tcMar>
          </w:tcPr>
          <w:p w14:paraId="4D46E911" w14:textId="77777777" w:rsidR="004E0DE0" w:rsidRPr="004B1694" w:rsidRDefault="004E0DE0" w:rsidP="008340C1">
            <w:pPr>
              <w:pStyle w:val="ARtabletext"/>
              <w:keepNext/>
            </w:pPr>
            <w:r w:rsidRPr="003845B8">
              <w:t xml:space="preserve">Persons (irrespective of age) </w:t>
            </w:r>
            <w:r>
              <w:br/>
            </w:r>
            <w:r w:rsidRPr="003845B8">
              <w:t>apprehended and detained</w:t>
            </w:r>
          </w:p>
        </w:tc>
        <w:tc>
          <w:tcPr>
            <w:tcW w:w="492" w:type="dxa"/>
            <w:tcMar>
              <w:top w:w="0" w:type="dxa"/>
              <w:left w:w="0" w:type="dxa"/>
              <w:bottom w:w="0" w:type="dxa"/>
              <w:right w:w="108" w:type="dxa"/>
            </w:tcMar>
          </w:tcPr>
          <w:p w14:paraId="34680B8A" w14:textId="77777777" w:rsidR="004E0DE0" w:rsidRDefault="004E0DE0" w:rsidP="008340C1">
            <w:pPr>
              <w:pStyle w:val="ARtabletextright"/>
            </w:pPr>
            <w:r>
              <w:t>0</w:t>
            </w:r>
          </w:p>
        </w:tc>
      </w:tr>
      <w:tr w:rsidR="004E0DE0" w:rsidRPr="002029AF" w14:paraId="3699CC8C" w14:textId="77777777" w:rsidTr="00D132D7">
        <w:trPr>
          <w:cantSplit/>
        </w:trPr>
        <w:tc>
          <w:tcPr>
            <w:tcW w:w="4101" w:type="dxa"/>
            <w:tcMar>
              <w:top w:w="0" w:type="dxa"/>
              <w:left w:w="0" w:type="dxa"/>
              <w:bottom w:w="0" w:type="dxa"/>
              <w:right w:w="108" w:type="dxa"/>
            </w:tcMar>
          </w:tcPr>
          <w:p w14:paraId="1B900C40" w14:textId="77777777" w:rsidR="004E0DE0" w:rsidRPr="004B1694" w:rsidRDefault="004E0DE0" w:rsidP="008340C1">
            <w:pPr>
              <w:pStyle w:val="ARtabletext"/>
              <w:keepNext/>
            </w:pPr>
            <w:r>
              <w:t>Male</w:t>
            </w:r>
          </w:p>
        </w:tc>
        <w:tc>
          <w:tcPr>
            <w:tcW w:w="492" w:type="dxa"/>
            <w:tcMar>
              <w:top w:w="0" w:type="dxa"/>
              <w:left w:w="0" w:type="dxa"/>
              <w:bottom w:w="0" w:type="dxa"/>
              <w:right w:w="108" w:type="dxa"/>
            </w:tcMar>
          </w:tcPr>
          <w:p w14:paraId="0032C41A" w14:textId="77777777" w:rsidR="004E0DE0" w:rsidRDefault="004E0DE0" w:rsidP="008340C1">
            <w:pPr>
              <w:pStyle w:val="ARtabletextright"/>
            </w:pPr>
            <w:r>
              <w:t>0</w:t>
            </w:r>
          </w:p>
        </w:tc>
      </w:tr>
      <w:tr w:rsidR="004E0DE0" w:rsidRPr="002029AF" w14:paraId="7774F25D" w14:textId="77777777" w:rsidTr="00D132D7">
        <w:trPr>
          <w:cantSplit/>
        </w:trPr>
        <w:tc>
          <w:tcPr>
            <w:tcW w:w="4101" w:type="dxa"/>
            <w:tcMar>
              <w:top w:w="0" w:type="dxa"/>
              <w:left w:w="0" w:type="dxa"/>
              <w:bottom w:w="0" w:type="dxa"/>
              <w:right w:w="108" w:type="dxa"/>
            </w:tcMar>
          </w:tcPr>
          <w:p w14:paraId="4548EC0E" w14:textId="77777777" w:rsidR="004E0DE0" w:rsidRPr="004B1694" w:rsidRDefault="004E0DE0" w:rsidP="008340C1">
            <w:pPr>
              <w:pStyle w:val="ARtabletext"/>
              <w:keepNext/>
            </w:pPr>
            <w:r>
              <w:t>Female</w:t>
            </w:r>
          </w:p>
        </w:tc>
        <w:tc>
          <w:tcPr>
            <w:tcW w:w="492" w:type="dxa"/>
            <w:tcMar>
              <w:top w:w="0" w:type="dxa"/>
              <w:left w:w="0" w:type="dxa"/>
              <w:bottom w:w="0" w:type="dxa"/>
              <w:right w:w="108" w:type="dxa"/>
            </w:tcMar>
          </w:tcPr>
          <w:p w14:paraId="1994AB1B" w14:textId="77777777" w:rsidR="004E0DE0" w:rsidRDefault="004E0DE0" w:rsidP="008340C1">
            <w:pPr>
              <w:pStyle w:val="ARtabletextright"/>
            </w:pPr>
            <w:r>
              <w:t>0</w:t>
            </w:r>
          </w:p>
        </w:tc>
      </w:tr>
      <w:tr w:rsidR="004E0DE0" w:rsidRPr="002029AF" w14:paraId="0F33511D" w14:textId="77777777" w:rsidTr="00D132D7">
        <w:trPr>
          <w:cantSplit/>
        </w:trPr>
        <w:tc>
          <w:tcPr>
            <w:tcW w:w="4101" w:type="dxa"/>
            <w:tcMar>
              <w:top w:w="0" w:type="dxa"/>
              <w:left w:w="0" w:type="dxa"/>
              <w:bottom w:w="0" w:type="dxa"/>
              <w:right w:w="108" w:type="dxa"/>
            </w:tcMar>
          </w:tcPr>
          <w:p w14:paraId="5C82C588" w14:textId="77777777" w:rsidR="004E0DE0" w:rsidRPr="004B1694" w:rsidRDefault="004E0DE0" w:rsidP="008340C1">
            <w:pPr>
              <w:pStyle w:val="ARtabletext"/>
              <w:keepNext/>
            </w:pPr>
            <w:r w:rsidRPr="003845B8">
              <w:t>Indigenous</w:t>
            </w:r>
          </w:p>
        </w:tc>
        <w:tc>
          <w:tcPr>
            <w:tcW w:w="492" w:type="dxa"/>
            <w:tcMar>
              <w:top w:w="0" w:type="dxa"/>
              <w:left w:w="0" w:type="dxa"/>
              <w:bottom w:w="0" w:type="dxa"/>
              <w:right w:w="108" w:type="dxa"/>
            </w:tcMar>
          </w:tcPr>
          <w:p w14:paraId="1FE0D40A" w14:textId="77777777" w:rsidR="004E0DE0" w:rsidRDefault="004E0DE0" w:rsidP="008340C1">
            <w:pPr>
              <w:pStyle w:val="ARtabletextright"/>
            </w:pPr>
            <w:r>
              <w:t>0</w:t>
            </w:r>
          </w:p>
        </w:tc>
      </w:tr>
      <w:tr w:rsidR="004E0DE0" w:rsidRPr="002029AF" w14:paraId="59BFE581" w14:textId="77777777" w:rsidTr="00D132D7">
        <w:trPr>
          <w:cantSplit/>
        </w:trPr>
        <w:tc>
          <w:tcPr>
            <w:tcW w:w="4101" w:type="dxa"/>
            <w:tcMar>
              <w:top w:w="0" w:type="dxa"/>
              <w:left w:w="0" w:type="dxa"/>
              <w:bottom w:w="0" w:type="dxa"/>
              <w:right w:w="108" w:type="dxa"/>
            </w:tcMar>
          </w:tcPr>
          <w:p w14:paraId="3EBB71F8" w14:textId="77777777" w:rsidR="004E0DE0" w:rsidRPr="004B1694" w:rsidRDefault="004E0DE0" w:rsidP="008340C1">
            <w:pPr>
              <w:pStyle w:val="ARtabletext"/>
            </w:pPr>
            <w:r w:rsidRPr="003845B8">
              <w:t>Non</w:t>
            </w:r>
            <w:r>
              <w:t>-</w:t>
            </w:r>
            <w:r w:rsidRPr="003845B8">
              <w:t>Indigenous</w:t>
            </w:r>
          </w:p>
        </w:tc>
        <w:tc>
          <w:tcPr>
            <w:tcW w:w="492" w:type="dxa"/>
            <w:tcMar>
              <w:top w:w="0" w:type="dxa"/>
              <w:left w:w="0" w:type="dxa"/>
              <w:bottom w:w="0" w:type="dxa"/>
              <w:right w:w="108" w:type="dxa"/>
            </w:tcMar>
          </w:tcPr>
          <w:p w14:paraId="381005EB" w14:textId="77777777" w:rsidR="004E0DE0" w:rsidRDefault="004E0DE0" w:rsidP="008340C1">
            <w:pPr>
              <w:pStyle w:val="ARtabletextright"/>
            </w:pPr>
            <w:r>
              <w:t>0</w:t>
            </w:r>
          </w:p>
        </w:tc>
      </w:tr>
    </w:tbl>
    <w:p w14:paraId="31D47D9A" w14:textId="77777777" w:rsidR="004E0DE0" w:rsidRDefault="004E0DE0" w:rsidP="002759E6">
      <w:pPr>
        <w:pStyle w:val="ARtablefootnote"/>
        <w:spacing w:after="0"/>
      </w:pPr>
      <w:r w:rsidRPr="003845B8">
        <w:t>Notes: Each contact or occasion may involve multiple items or substances. Figures do not include prescribed or prohibited volatile substances. Incidents may involve persons detained or transported under different legislative provisions resulting from the initial contact.</w:t>
      </w:r>
    </w:p>
    <w:p w14:paraId="5CEB40C3" w14:textId="0A413389" w:rsidR="00DA46D3" w:rsidRDefault="00DA46D3" w:rsidP="00550418">
      <w:pPr>
        <w:pStyle w:val="Heading2"/>
      </w:pPr>
      <w:bookmarkStart w:id="432" w:name="_Ref21960989"/>
      <w:bookmarkStart w:id="433" w:name="_Toc54690792"/>
      <w:bookmarkStart w:id="434" w:name="_Ref84240859"/>
      <w:bookmarkStart w:id="435" w:name="_Toc85121288"/>
      <w:bookmarkStart w:id="436" w:name="_Toc85121627"/>
      <w:bookmarkStart w:id="437" w:name="_Toc102734504"/>
      <w:bookmarkStart w:id="438" w:name="_Toc113702943"/>
      <w:r w:rsidRPr="003379F7">
        <w:t>Public Health and Wellbeing Act 2008</w:t>
      </w:r>
      <w:bookmarkEnd w:id="432"/>
      <w:bookmarkEnd w:id="433"/>
      <w:bookmarkEnd w:id="434"/>
      <w:bookmarkEnd w:id="435"/>
      <w:bookmarkEnd w:id="436"/>
      <w:bookmarkEnd w:id="437"/>
      <w:bookmarkEnd w:id="438"/>
    </w:p>
    <w:p w14:paraId="4481F2B5" w14:textId="35049C27" w:rsidR="007C7D9F" w:rsidRPr="002029AF" w:rsidRDefault="007C7D9F" w:rsidP="007C7D9F">
      <w:pPr>
        <w:pStyle w:val="ARbody"/>
      </w:pPr>
      <w:r w:rsidRPr="002029AF">
        <w:t xml:space="preserve">The </w:t>
      </w:r>
      <w:r w:rsidRPr="002029AF">
        <w:rPr>
          <w:i/>
        </w:rPr>
        <w:t xml:space="preserve">Public Health and Wellbeing Act 2008 </w:t>
      </w:r>
      <w:r w:rsidRPr="002029AF">
        <w:t>and t</w:t>
      </w:r>
      <w:r w:rsidRPr="00641D17">
        <w:t>he</w:t>
      </w:r>
      <w:r w:rsidR="00641D17" w:rsidRPr="00641D17">
        <w:t> </w:t>
      </w:r>
      <w:r w:rsidRPr="00641D17">
        <w:t>Publi</w:t>
      </w:r>
      <w:r w:rsidRPr="002029AF">
        <w:t>c Health and Wellbeing Regulations 2009 came into effect on 1 January 2010.</w:t>
      </w:r>
      <w:r>
        <w:t xml:space="preserve"> The Public Health and Wellbeing Regulations 2019 replaced the Public Health and Wellbeing Regulations 2009 on 14 December 2019.</w:t>
      </w:r>
    </w:p>
    <w:p w14:paraId="4848E910" w14:textId="694FE29F" w:rsidR="007C7D9F" w:rsidRPr="002029AF" w:rsidRDefault="007C7D9F" w:rsidP="007C7D9F">
      <w:pPr>
        <w:pStyle w:val="ARbody"/>
      </w:pPr>
      <w:r w:rsidRPr="002029AF">
        <w:t>The Act promotes and protects public health and</w:t>
      </w:r>
      <w:r w:rsidR="008F26AE">
        <w:t> </w:t>
      </w:r>
      <w:r w:rsidRPr="002029AF">
        <w:t>wellbeing in Victoria.</w:t>
      </w:r>
    </w:p>
    <w:p w14:paraId="3021E673" w14:textId="214409C0" w:rsidR="007C7D9F" w:rsidRPr="002029AF" w:rsidRDefault="007C7D9F" w:rsidP="007C7D9F">
      <w:pPr>
        <w:pStyle w:val="ARbody"/>
      </w:pPr>
      <w:r w:rsidRPr="002029AF">
        <w:t>Under s</w:t>
      </w:r>
      <w:r w:rsidR="001E2E34">
        <w:t xml:space="preserve">ection </w:t>
      </w:r>
      <w:r w:rsidRPr="002029AF">
        <w:t>21 of the Act, the Chief Health Officer has a number of functions and powers. These include:</w:t>
      </w:r>
    </w:p>
    <w:p w14:paraId="1F92A93D" w14:textId="77777777" w:rsidR="007C7D9F" w:rsidRPr="002029AF" w:rsidRDefault="007C7D9F" w:rsidP="007C7D9F">
      <w:pPr>
        <w:pStyle w:val="ARbullet1"/>
      </w:pPr>
      <w:r w:rsidRPr="002029AF">
        <w:t>to develop and implement strategies to promote and protect public health and wellbeing</w:t>
      </w:r>
    </w:p>
    <w:p w14:paraId="58734C5F" w14:textId="3312D576" w:rsidR="007C7D9F" w:rsidRPr="002029AF" w:rsidRDefault="007C7D9F" w:rsidP="007C7D9F">
      <w:pPr>
        <w:pStyle w:val="ARbullet1"/>
      </w:pPr>
      <w:r w:rsidRPr="002029AF">
        <w:t>to provide advice to the Minister for Health or</w:t>
      </w:r>
      <w:r w:rsidR="008F26AE">
        <w:t> </w:t>
      </w:r>
      <w:r w:rsidRPr="002029AF">
        <w:t>the Secretary on matters relating to public health and wellbeing</w:t>
      </w:r>
    </w:p>
    <w:p w14:paraId="5A45AFBA" w14:textId="77777777" w:rsidR="007C7D9F" w:rsidRPr="002029AF" w:rsidRDefault="007C7D9F" w:rsidP="007C7D9F">
      <w:pPr>
        <w:pStyle w:val="ARbullet1"/>
      </w:pPr>
      <w:r w:rsidRPr="002029AF">
        <w:t>to publish on a biennial basis and make available in an accessible manner to members of the public a comprehensive report on public health and</w:t>
      </w:r>
      <w:r>
        <w:t xml:space="preserve"> </w:t>
      </w:r>
      <w:r w:rsidRPr="002029AF">
        <w:t>wellbeing in Victoria</w:t>
      </w:r>
    </w:p>
    <w:p w14:paraId="3E735CE5" w14:textId="77777777" w:rsidR="007C7D9F" w:rsidRPr="002029AF" w:rsidRDefault="007C7D9F" w:rsidP="007C7D9F">
      <w:pPr>
        <w:pStyle w:val="ARbullet1"/>
      </w:pPr>
      <w:r w:rsidRPr="002029AF">
        <w:t>to perform any other functions or exercise any powers specified under this Act or any other Act or under any regulations made under this or any other Act.</w:t>
      </w:r>
    </w:p>
    <w:p w14:paraId="6ABF8D5D" w14:textId="77777777" w:rsidR="007C7D9F" w:rsidRPr="002029AF" w:rsidRDefault="007C7D9F" w:rsidP="007C7D9F">
      <w:pPr>
        <w:pStyle w:val="ARbodyafterbullets"/>
      </w:pPr>
      <w:r w:rsidRPr="002029AF">
        <w:t>Under the Act, the Chief Health Officer is also empowered to make certain orders that may impact on individuals in order to protect the community from infectious diseases. These include orders to compel a person to be examined or tested for an infectious disease or to refrain from certain activities that may pose a serious risk to public health.</w:t>
      </w:r>
    </w:p>
    <w:p w14:paraId="519F1043" w14:textId="77777777" w:rsidR="007C7D9F" w:rsidRPr="002029AF" w:rsidRDefault="007C7D9F" w:rsidP="007C7D9F">
      <w:pPr>
        <w:pStyle w:val="ARbody"/>
      </w:pPr>
      <w:r w:rsidRPr="002029AF">
        <w:t>The limited circumstances in which these orders may be made are clearly set out in the legislation and there are extensive human rights protections</w:t>
      </w:r>
      <w:r>
        <w:t>,</w:t>
      </w:r>
      <w:r w:rsidRPr="002029AF">
        <w:t xml:space="preserve"> including rights to internal and external review.</w:t>
      </w:r>
    </w:p>
    <w:p w14:paraId="5E3FAE42" w14:textId="21FE9393" w:rsidR="007C7D9F" w:rsidRDefault="007C7D9F" w:rsidP="007C7D9F">
      <w:pPr>
        <w:pStyle w:val="ARbody"/>
      </w:pPr>
      <w:r>
        <w:t>The following table reports the number of orders made and the reasons for making them, as outlined in</w:t>
      </w:r>
      <w:r w:rsidR="005A2CE5">
        <w:t xml:space="preserve"> </w:t>
      </w:r>
      <w:r>
        <w:t>s</w:t>
      </w:r>
      <w:r w:rsidR="001E2E34">
        <w:t>ection</w:t>
      </w:r>
      <w:r>
        <w:t xml:space="preserve"> 143 of the Act:</w:t>
      </w:r>
    </w:p>
    <w:p w14:paraId="67AD027C" w14:textId="71AE908F" w:rsidR="00EB3085" w:rsidRDefault="005A00E6" w:rsidP="00962397">
      <w:pPr>
        <w:pStyle w:val="ARtablecaption"/>
      </w:pPr>
      <w:r>
        <w:br w:type="column"/>
      </w:r>
      <w:r w:rsidR="00B029B0" w:rsidRPr="00B029B0">
        <w:t xml:space="preserve">Orders made by the Chief Health Officer </w:t>
      </w:r>
      <w:r w:rsidR="00641D17">
        <w:br/>
      </w:r>
      <w:r w:rsidR="00B029B0" w:rsidRPr="00B029B0">
        <w:t>from</w:t>
      </w:r>
      <w:r w:rsidR="00DD0FB0">
        <w:t> </w:t>
      </w:r>
      <w:r w:rsidR="00B029B0" w:rsidRPr="00B029B0">
        <w:t>1 July 2021 – 30 June 2022</w:t>
      </w: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786"/>
        <w:gridCol w:w="1460"/>
        <w:gridCol w:w="789"/>
        <w:gridCol w:w="1558"/>
      </w:tblGrid>
      <w:tr w:rsidR="001C6852" w:rsidRPr="001C6852" w14:paraId="0DB15CBE" w14:textId="77777777" w:rsidTr="00D132D7">
        <w:trPr>
          <w:cantSplit/>
          <w:tblHeader/>
        </w:trPr>
        <w:tc>
          <w:tcPr>
            <w:tcW w:w="0" w:type="auto"/>
            <w:shd w:val="clear" w:color="auto" w:fill="auto"/>
            <w:vAlign w:val="bottom"/>
          </w:tcPr>
          <w:p w14:paraId="6769FE66" w14:textId="77777777" w:rsidR="001C6852" w:rsidRPr="001C6852" w:rsidRDefault="001C6852" w:rsidP="004C7BEF">
            <w:pPr>
              <w:pStyle w:val="ARtablecolhead"/>
            </w:pPr>
            <w:r w:rsidRPr="001C6852">
              <w:t>Section</w:t>
            </w:r>
          </w:p>
        </w:tc>
        <w:tc>
          <w:tcPr>
            <w:tcW w:w="1460" w:type="dxa"/>
            <w:shd w:val="clear" w:color="auto" w:fill="auto"/>
            <w:vAlign w:val="bottom"/>
          </w:tcPr>
          <w:p w14:paraId="68518B22" w14:textId="77777777" w:rsidR="001C6852" w:rsidRPr="001C6852" w:rsidRDefault="001C6852" w:rsidP="004C7BEF">
            <w:pPr>
              <w:pStyle w:val="ARtablecolhead"/>
            </w:pPr>
            <w:r w:rsidRPr="001C6852">
              <w:t>Order type</w:t>
            </w:r>
          </w:p>
        </w:tc>
        <w:tc>
          <w:tcPr>
            <w:tcW w:w="789" w:type="dxa"/>
            <w:shd w:val="clear" w:color="auto" w:fill="auto"/>
            <w:vAlign w:val="bottom"/>
          </w:tcPr>
          <w:p w14:paraId="1B538FC4" w14:textId="77777777" w:rsidR="001C6852" w:rsidRPr="001C6852" w:rsidRDefault="001C6852" w:rsidP="004C7BEF">
            <w:pPr>
              <w:pStyle w:val="ARtablecolhead"/>
              <w:jc w:val="center"/>
            </w:pPr>
            <w:r w:rsidRPr="001C6852">
              <w:t>Number</w:t>
            </w:r>
          </w:p>
        </w:tc>
        <w:tc>
          <w:tcPr>
            <w:tcW w:w="1558" w:type="dxa"/>
            <w:shd w:val="clear" w:color="auto" w:fill="auto"/>
            <w:vAlign w:val="bottom"/>
          </w:tcPr>
          <w:p w14:paraId="6FBF01B5" w14:textId="77777777" w:rsidR="001C6852" w:rsidRPr="001C6852" w:rsidRDefault="001C6852" w:rsidP="004C7BEF">
            <w:pPr>
              <w:pStyle w:val="ARtablecolhead"/>
            </w:pPr>
            <w:r w:rsidRPr="001C6852">
              <w:t>Reason</w:t>
            </w:r>
          </w:p>
        </w:tc>
      </w:tr>
      <w:tr w:rsidR="001C6852" w:rsidRPr="001C6852" w14:paraId="70D3056B" w14:textId="77777777" w:rsidTr="00D132D7">
        <w:trPr>
          <w:cantSplit/>
        </w:trPr>
        <w:tc>
          <w:tcPr>
            <w:tcW w:w="0" w:type="auto"/>
            <w:shd w:val="clear" w:color="auto" w:fill="auto"/>
          </w:tcPr>
          <w:p w14:paraId="683F8C5C" w14:textId="77777777" w:rsidR="001C6852" w:rsidRPr="001C6852" w:rsidRDefault="001C6852" w:rsidP="004C7BEF">
            <w:pPr>
              <w:pStyle w:val="ARtabletext"/>
            </w:pPr>
            <w:r w:rsidRPr="001C6852">
              <w:t>113</w:t>
            </w:r>
          </w:p>
        </w:tc>
        <w:tc>
          <w:tcPr>
            <w:tcW w:w="1460" w:type="dxa"/>
            <w:shd w:val="clear" w:color="auto" w:fill="auto"/>
          </w:tcPr>
          <w:p w14:paraId="68F88D1F" w14:textId="77777777" w:rsidR="001C6852" w:rsidRPr="001C6852" w:rsidRDefault="001C6852" w:rsidP="004C7BEF">
            <w:pPr>
              <w:pStyle w:val="ARtabletext"/>
            </w:pPr>
            <w:r w:rsidRPr="001C6852">
              <w:t>Examination and testing order</w:t>
            </w:r>
          </w:p>
        </w:tc>
        <w:tc>
          <w:tcPr>
            <w:tcW w:w="789" w:type="dxa"/>
            <w:shd w:val="clear" w:color="auto" w:fill="auto"/>
          </w:tcPr>
          <w:p w14:paraId="224AC717" w14:textId="77777777" w:rsidR="001C6852" w:rsidRPr="001C6852" w:rsidRDefault="001C6852" w:rsidP="004C7BEF">
            <w:pPr>
              <w:pStyle w:val="ARtabletextright"/>
              <w:jc w:val="center"/>
            </w:pPr>
            <w:r w:rsidRPr="001C6852">
              <w:t>0</w:t>
            </w:r>
          </w:p>
        </w:tc>
        <w:tc>
          <w:tcPr>
            <w:tcW w:w="1558" w:type="dxa"/>
            <w:shd w:val="clear" w:color="auto" w:fill="auto"/>
          </w:tcPr>
          <w:p w14:paraId="29C47541" w14:textId="77777777" w:rsidR="001C6852" w:rsidRPr="001C6852" w:rsidRDefault="001C6852" w:rsidP="004C7BEF">
            <w:pPr>
              <w:pStyle w:val="ARtabletext"/>
            </w:pPr>
          </w:p>
        </w:tc>
      </w:tr>
      <w:tr w:rsidR="001C6852" w:rsidRPr="001C6852" w14:paraId="1420662A" w14:textId="77777777" w:rsidTr="00D132D7">
        <w:trPr>
          <w:cantSplit/>
        </w:trPr>
        <w:tc>
          <w:tcPr>
            <w:tcW w:w="0" w:type="auto"/>
            <w:shd w:val="clear" w:color="auto" w:fill="auto"/>
          </w:tcPr>
          <w:p w14:paraId="6A83CCA9" w14:textId="77777777" w:rsidR="001C6852" w:rsidRPr="001C6852" w:rsidRDefault="001C6852" w:rsidP="004C7BEF">
            <w:pPr>
              <w:pStyle w:val="ARtabletext"/>
            </w:pPr>
            <w:r w:rsidRPr="001C6852">
              <w:t>117</w:t>
            </w:r>
          </w:p>
        </w:tc>
        <w:tc>
          <w:tcPr>
            <w:tcW w:w="1460" w:type="dxa"/>
            <w:shd w:val="clear" w:color="auto" w:fill="auto"/>
          </w:tcPr>
          <w:p w14:paraId="5D4F53B9" w14:textId="77777777" w:rsidR="001C6852" w:rsidRPr="001C6852" w:rsidRDefault="001C6852" w:rsidP="004C7BEF">
            <w:pPr>
              <w:pStyle w:val="ARtabletext"/>
            </w:pPr>
            <w:r w:rsidRPr="001C6852">
              <w:t>Public health order</w:t>
            </w:r>
          </w:p>
        </w:tc>
        <w:tc>
          <w:tcPr>
            <w:tcW w:w="789" w:type="dxa"/>
            <w:shd w:val="clear" w:color="auto" w:fill="auto"/>
          </w:tcPr>
          <w:p w14:paraId="474BC25D" w14:textId="77777777" w:rsidR="001C6852" w:rsidRPr="001C6852" w:rsidRDefault="001C6852" w:rsidP="004C7BEF">
            <w:pPr>
              <w:pStyle w:val="ARtabletextright"/>
              <w:jc w:val="center"/>
            </w:pPr>
            <w:r w:rsidRPr="001C6852">
              <w:t>0</w:t>
            </w:r>
          </w:p>
        </w:tc>
        <w:tc>
          <w:tcPr>
            <w:tcW w:w="1558" w:type="dxa"/>
            <w:shd w:val="clear" w:color="auto" w:fill="auto"/>
          </w:tcPr>
          <w:p w14:paraId="406C41AD" w14:textId="77777777" w:rsidR="001C6852" w:rsidRPr="001C6852" w:rsidRDefault="001C6852" w:rsidP="004C7BEF">
            <w:pPr>
              <w:pStyle w:val="ARtabletext"/>
            </w:pPr>
            <w:r w:rsidRPr="001C6852">
              <w:t>To eliminate or reduce the risk of a person causing a serious risk to public health</w:t>
            </w:r>
          </w:p>
        </w:tc>
      </w:tr>
      <w:tr w:rsidR="001C6852" w:rsidRPr="001C6852" w14:paraId="0F5C1EDC" w14:textId="77777777" w:rsidTr="00D132D7">
        <w:trPr>
          <w:cantSplit/>
          <w:trHeight w:val="1545"/>
        </w:trPr>
        <w:tc>
          <w:tcPr>
            <w:tcW w:w="0" w:type="auto"/>
            <w:shd w:val="clear" w:color="auto" w:fill="auto"/>
          </w:tcPr>
          <w:p w14:paraId="39FC0458" w14:textId="77777777" w:rsidR="001C6852" w:rsidRPr="001C6852" w:rsidRDefault="001C6852" w:rsidP="004C7BEF">
            <w:pPr>
              <w:pStyle w:val="ARtabletext"/>
            </w:pPr>
            <w:r w:rsidRPr="001C6852">
              <w:t xml:space="preserve">118 </w:t>
            </w:r>
          </w:p>
        </w:tc>
        <w:tc>
          <w:tcPr>
            <w:tcW w:w="1460" w:type="dxa"/>
            <w:shd w:val="clear" w:color="auto" w:fill="auto"/>
          </w:tcPr>
          <w:p w14:paraId="143F6875" w14:textId="77777777" w:rsidR="001C6852" w:rsidRPr="001C6852" w:rsidRDefault="001C6852" w:rsidP="004C7BEF">
            <w:pPr>
              <w:pStyle w:val="ARtabletext"/>
            </w:pPr>
            <w:r w:rsidRPr="001C6852">
              <w:t>Extension of public health order</w:t>
            </w:r>
          </w:p>
        </w:tc>
        <w:tc>
          <w:tcPr>
            <w:tcW w:w="789" w:type="dxa"/>
            <w:shd w:val="clear" w:color="auto" w:fill="auto"/>
          </w:tcPr>
          <w:p w14:paraId="5F9704BA" w14:textId="77777777" w:rsidR="001C6852" w:rsidRPr="001C6852" w:rsidRDefault="001C6852" w:rsidP="004C7BEF">
            <w:pPr>
              <w:pStyle w:val="ARtabletextright"/>
              <w:jc w:val="center"/>
            </w:pPr>
            <w:r w:rsidRPr="001C6852">
              <w:t>0</w:t>
            </w:r>
          </w:p>
        </w:tc>
        <w:tc>
          <w:tcPr>
            <w:tcW w:w="1558" w:type="dxa"/>
            <w:shd w:val="clear" w:color="auto" w:fill="auto"/>
          </w:tcPr>
          <w:p w14:paraId="3F9D4490" w14:textId="77777777" w:rsidR="001C6852" w:rsidRPr="001C6852" w:rsidRDefault="001C6852" w:rsidP="004C7BEF">
            <w:pPr>
              <w:pStyle w:val="ARtabletext"/>
            </w:pPr>
            <w:r w:rsidRPr="001C6852">
              <w:rPr>
                <w:lang w:eastAsia="en-US"/>
              </w:rPr>
              <w:t>To continue to eliminate or reduce the risk of a person causing a serious risk to public health</w:t>
            </w:r>
          </w:p>
        </w:tc>
      </w:tr>
      <w:tr w:rsidR="001C6852" w:rsidRPr="002029AF" w14:paraId="6AAAB739" w14:textId="77777777" w:rsidTr="00D132D7">
        <w:trPr>
          <w:cantSplit/>
        </w:trPr>
        <w:tc>
          <w:tcPr>
            <w:tcW w:w="0" w:type="auto"/>
            <w:shd w:val="clear" w:color="auto" w:fill="auto"/>
          </w:tcPr>
          <w:p w14:paraId="5C188987" w14:textId="77777777" w:rsidR="001C6852" w:rsidRPr="001C6852" w:rsidRDefault="001C6852" w:rsidP="004C7BEF">
            <w:pPr>
              <w:pStyle w:val="ARtabletext"/>
            </w:pPr>
            <w:r w:rsidRPr="001C6852">
              <w:t>134</w:t>
            </w:r>
          </w:p>
        </w:tc>
        <w:tc>
          <w:tcPr>
            <w:tcW w:w="1460" w:type="dxa"/>
            <w:shd w:val="clear" w:color="auto" w:fill="auto"/>
          </w:tcPr>
          <w:p w14:paraId="3460F54F" w14:textId="77777777" w:rsidR="001C6852" w:rsidRPr="001C6852" w:rsidRDefault="001C6852" w:rsidP="004C7BEF">
            <w:pPr>
              <w:pStyle w:val="ARtabletext"/>
            </w:pPr>
            <w:r w:rsidRPr="001C6852">
              <w:t>Orders for tests if an incident has occurred</w:t>
            </w:r>
          </w:p>
        </w:tc>
        <w:tc>
          <w:tcPr>
            <w:tcW w:w="789" w:type="dxa"/>
            <w:shd w:val="clear" w:color="auto" w:fill="auto"/>
          </w:tcPr>
          <w:p w14:paraId="06AF9572" w14:textId="77777777" w:rsidR="001C6852" w:rsidRPr="002029AF" w:rsidRDefault="001C6852" w:rsidP="004C7BEF">
            <w:pPr>
              <w:pStyle w:val="ARtabletextright"/>
              <w:jc w:val="center"/>
            </w:pPr>
            <w:r w:rsidRPr="001C6852">
              <w:t>0</w:t>
            </w:r>
          </w:p>
        </w:tc>
        <w:tc>
          <w:tcPr>
            <w:tcW w:w="1558" w:type="dxa"/>
            <w:shd w:val="clear" w:color="auto" w:fill="auto"/>
          </w:tcPr>
          <w:p w14:paraId="1904DD4E" w14:textId="77777777" w:rsidR="001C6852" w:rsidRPr="002029AF" w:rsidRDefault="001C6852" w:rsidP="004C7BEF">
            <w:pPr>
              <w:pStyle w:val="ARtabletext"/>
            </w:pPr>
          </w:p>
        </w:tc>
      </w:tr>
    </w:tbl>
    <w:p w14:paraId="01D4DB00" w14:textId="77777777" w:rsidR="007A14E7" w:rsidRPr="003379F7" w:rsidRDefault="007A14E7" w:rsidP="001C7E63">
      <w:pPr>
        <w:pStyle w:val="Heading2"/>
      </w:pPr>
      <w:bookmarkStart w:id="439" w:name="_Ref84252196"/>
      <w:bookmarkStart w:id="440" w:name="_Toc85121289"/>
      <w:bookmarkStart w:id="441" w:name="_Toc85121628"/>
      <w:bookmarkStart w:id="442" w:name="_Toc102734505"/>
      <w:bookmarkStart w:id="443" w:name="_Toc113702944"/>
      <w:r w:rsidRPr="003379F7">
        <w:t>Additional departmental information available on request</w:t>
      </w:r>
      <w:bookmarkEnd w:id="439"/>
      <w:bookmarkEnd w:id="440"/>
      <w:bookmarkEnd w:id="441"/>
      <w:bookmarkEnd w:id="442"/>
      <w:bookmarkEnd w:id="443"/>
    </w:p>
    <w:p w14:paraId="5DE23BF5" w14:textId="20F4BC96" w:rsidR="007A14E7" w:rsidRDefault="007A14E7" w:rsidP="007A14E7">
      <w:pPr>
        <w:pStyle w:val="ARbody"/>
      </w:pPr>
      <w:r w:rsidRPr="003D5FCE">
        <w:t xml:space="preserve">In compliance with </w:t>
      </w:r>
      <w:r w:rsidRPr="00102EB7">
        <w:t>Financial Reporting Direction 22</w:t>
      </w:r>
      <w:r>
        <w:t xml:space="preserve"> issued </w:t>
      </w:r>
      <w:r w:rsidRPr="003D5FCE">
        <w:t xml:space="preserve">under the </w:t>
      </w:r>
      <w:r w:rsidRPr="00034F88">
        <w:rPr>
          <w:i/>
          <w:iCs/>
        </w:rPr>
        <w:t>Financial Management Act 1994</w:t>
      </w:r>
      <w:r w:rsidRPr="003D5FCE">
        <w:t xml:space="preserve">, </w:t>
      </w:r>
      <w:r>
        <w:t>information on</w:t>
      </w:r>
      <w:r w:rsidRPr="003D5FCE">
        <w:t xml:space="preserve"> the items listed below ha</w:t>
      </w:r>
      <w:r>
        <w:t>s</w:t>
      </w:r>
      <w:r w:rsidRPr="003D5FCE">
        <w:t xml:space="preserve"> been retained by the </w:t>
      </w:r>
      <w:r>
        <w:t>d</w:t>
      </w:r>
      <w:r w:rsidRPr="003D5FCE">
        <w:t xml:space="preserve">epartment and </w:t>
      </w:r>
      <w:r>
        <w:t>is</w:t>
      </w:r>
      <w:r w:rsidRPr="003D5FCE">
        <w:t xml:space="preserve"> available on request, subject to the provisions of the </w:t>
      </w:r>
      <w:r w:rsidRPr="002B00BC">
        <w:rPr>
          <w:i/>
          <w:iCs/>
        </w:rPr>
        <w:t>Freedom of</w:t>
      </w:r>
      <w:r w:rsidR="00641D17">
        <w:rPr>
          <w:i/>
          <w:iCs/>
        </w:rPr>
        <w:t> </w:t>
      </w:r>
      <w:r w:rsidRPr="002B00BC">
        <w:rPr>
          <w:i/>
          <w:iCs/>
        </w:rPr>
        <w:t>Information Act 1982</w:t>
      </w:r>
      <w:r w:rsidRPr="003D5FCE">
        <w:t>.</w:t>
      </w:r>
    </w:p>
    <w:p w14:paraId="4B22FF3F" w14:textId="77777777" w:rsidR="007A14E7" w:rsidRDefault="007A14E7" w:rsidP="007A14E7">
      <w:pPr>
        <w:pStyle w:val="ARbullet1"/>
      </w:pPr>
      <w:r>
        <w:t>a statement that declarations of pecuniary interests have been duly completed by all relevant officers</w:t>
      </w:r>
    </w:p>
    <w:p w14:paraId="18A6EB2E" w14:textId="77777777" w:rsidR="007A14E7" w:rsidRDefault="007A14E7" w:rsidP="007A14E7">
      <w:pPr>
        <w:pStyle w:val="ARbullet1"/>
      </w:pPr>
      <w:r>
        <w:t>details of shares held by a senior officer as nominee or held beneficially in a statutory authority or subsidiary</w:t>
      </w:r>
    </w:p>
    <w:p w14:paraId="56990EA3" w14:textId="77777777" w:rsidR="007A14E7" w:rsidRDefault="007A14E7" w:rsidP="007A14E7">
      <w:pPr>
        <w:pStyle w:val="ARbullet1"/>
      </w:pPr>
      <w:r>
        <w:t>details of publications produced by the entity about itself, and how these can be obtained</w:t>
      </w:r>
    </w:p>
    <w:p w14:paraId="48D375A1" w14:textId="030B0BBA" w:rsidR="007A14E7" w:rsidRDefault="007A14E7" w:rsidP="007A14E7">
      <w:pPr>
        <w:pStyle w:val="ARbullet1"/>
      </w:pPr>
      <w:r>
        <w:t>details of changes in prices, fees, charges, rates</w:t>
      </w:r>
      <w:r w:rsidR="00641D17">
        <w:t> </w:t>
      </w:r>
      <w:r>
        <w:t>and levies charged by the entity</w:t>
      </w:r>
    </w:p>
    <w:p w14:paraId="73548956" w14:textId="3D40955B" w:rsidR="007A14E7" w:rsidRDefault="007A14E7" w:rsidP="007A14E7">
      <w:pPr>
        <w:pStyle w:val="ARbullet1"/>
      </w:pPr>
      <w:r>
        <w:t>details of any major external reviews carried out</w:t>
      </w:r>
      <w:r w:rsidR="00641D17">
        <w:t> </w:t>
      </w:r>
      <w:r>
        <w:t>on the entity</w:t>
      </w:r>
    </w:p>
    <w:p w14:paraId="0D259F02" w14:textId="77777777" w:rsidR="007A14E7" w:rsidRDefault="007A14E7" w:rsidP="007A14E7">
      <w:pPr>
        <w:pStyle w:val="ARbullet1"/>
      </w:pPr>
      <w:r>
        <w:t>details of major research and development activities undertaken by the entity</w:t>
      </w:r>
    </w:p>
    <w:p w14:paraId="7751BF74" w14:textId="77777777" w:rsidR="007A14E7" w:rsidRDefault="007A14E7" w:rsidP="007A14E7">
      <w:pPr>
        <w:pStyle w:val="ARbullet1"/>
      </w:pPr>
      <w:r>
        <w:t>details of overseas visits undertaken, including a summary of the objectives and outcomes of each visit</w:t>
      </w:r>
    </w:p>
    <w:p w14:paraId="162ABA08" w14:textId="30B50E6B" w:rsidR="007A14E7" w:rsidRDefault="001C7E63" w:rsidP="007A14E7">
      <w:pPr>
        <w:pStyle w:val="ARbullet1"/>
      </w:pPr>
      <w:r>
        <w:br w:type="column"/>
      </w:r>
      <w:r w:rsidR="007A14E7">
        <w:t>details of major promotional, public relations and marketing activities undertaken by the entity to develop community awareness of the entity and its services</w:t>
      </w:r>
    </w:p>
    <w:p w14:paraId="002F862C" w14:textId="197F51FE" w:rsidR="007A14E7" w:rsidRDefault="007A14E7" w:rsidP="007A14E7">
      <w:pPr>
        <w:pStyle w:val="ARbullet1"/>
      </w:pPr>
      <w:r>
        <w:t>details of assessments and measures undertaken to improve the occupational health</w:t>
      </w:r>
      <w:r w:rsidR="001C7E63">
        <w:t> </w:t>
      </w:r>
      <w:r>
        <w:t>and safety of employees</w:t>
      </w:r>
    </w:p>
    <w:p w14:paraId="3A3B017A" w14:textId="77777777" w:rsidR="007A14E7" w:rsidRDefault="007A14E7" w:rsidP="007A14E7">
      <w:pPr>
        <w:pStyle w:val="ARbullet1"/>
      </w:pPr>
      <w:r>
        <w:t>a general statement on industrial relations within the entity and details of time lost through industrial accidents and disputes</w:t>
      </w:r>
    </w:p>
    <w:p w14:paraId="04B487B5" w14:textId="77777777" w:rsidR="007A14E7" w:rsidRDefault="007A14E7" w:rsidP="007A14E7">
      <w:pPr>
        <w:pStyle w:val="ARbullet1"/>
      </w:pPr>
      <w:r>
        <w:t>a list of major committees sponsored by the entity, the purposes of each committee and the extent to which the purposes have been achieved</w:t>
      </w:r>
    </w:p>
    <w:p w14:paraId="1CC6D936" w14:textId="77777777" w:rsidR="007A14E7" w:rsidRDefault="007A14E7" w:rsidP="007A14E7">
      <w:pPr>
        <w:pStyle w:val="ARbullet1"/>
      </w:pPr>
      <w:r>
        <w:t>details of all consultancies and contractors, including consultants/contractors engaged, services provided and expenditure committed for each engagement.</w:t>
      </w:r>
    </w:p>
    <w:p w14:paraId="1387B7C6" w14:textId="77777777" w:rsidR="007A14E7" w:rsidRDefault="007A14E7" w:rsidP="007A14E7">
      <w:pPr>
        <w:pStyle w:val="ARbodyafterbullets"/>
      </w:pPr>
      <w:r>
        <w:t>Requests may be made in writing to:</w:t>
      </w:r>
    </w:p>
    <w:p w14:paraId="58A1E186" w14:textId="77777777" w:rsidR="007A14E7" w:rsidRDefault="007A14E7" w:rsidP="007A14E7">
      <w:pPr>
        <w:pStyle w:val="ARbody"/>
      </w:pPr>
      <w:r>
        <w:t>Chief Communications Officer</w:t>
      </w:r>
      <w:r>
        <w:br/>
        <w:t>GPO Box 4057</w:t>
      </w:r>
      <w:r>
        <w:br/>
      </w:r>
      <w:r w:rsidRPr="00184BB9">
        <w:t>Melbourne VIC 3001</w:t>
      </w:r>
    </w:p>
    <w:p w14:paraId="5972FF50" w14:textId="66761671" w:rsidR="00BB1CDE" w:rsidRDefault="00951432" w:rsidP="007A14E7">
      <w:pPr>
        <w:pStyle w:val="ARbody"/>
      </w:pPr>
      <w:hyperlink r:id="rId76" w:history="1">
        <w:r w:rsidR="007A14E7">
          <w:rPr>
            <w:rStyle w:val="Hyperlink"/>
          </w:rPr>
          <w:t>Email D</w:t>
        </w:r>
        <w:r w:rsidR="007A14E7" w:rsidRPr="00E52CFA">
          <w:rPr>
            <w:rStyle w:val="Hyperlink"/>
          </w:rPr>
          <w:t>H Communications Enquiries</w:t>
        </w:r>
      </w:hyperlink>
      <w:r w:rsidR="007A14E7">
        <w:t xml:space="preserve"> </w:t>
      </w:r>
      <w:r w:rsidR="007A14E7" w:rsidRPr="00184BB9">
        <w:t>&lt;</w:t>
      </w:r>
      <w:r w:rsidR="007A14E7" w:rsidRPr="007C05BC">
        <w:t>dhcommunicationsenquiries@health.vic.gov.au</w:t>
      </w:r>
      <w:r w:rsidR="007A14E7" w:rsidRPr="00184BB9">
        <w:t>&gt;</w:t>
      </w:r>
    </w:p>
    <w:p w14:paraId="55BE3952" w14:textId="77777777" w:rsidR="00CB58B0" w:rsidRPr="003379F7" w:rsidRDefault="00CB58B0" w:rsidP="00CB58B0">
      <w:pPr>
        <w:pStyle w:val="Heading2"/>
        <w:rPr>
          <w:rFonts w:cs="Arial"/>
        </w:rPr>
      </w:pPr>
      <w:bookmarkStart w:id="444" w:name="_Ref84252154"/>
      <w:bookmarkStart w:id="445" w:name="_Toc85121339"/>
      <w:bookmarkStart w:id="446" w:name="_Toc85121632"/>
      <w:bookmarkStart w:id="447" w:name="_Toc102734509"/>
      <w:bookmarkStart w:id="448" w:name="_Ref112852720"/>
      <w:bookmarkStart w:id="449" w:name="_Ref112854059"/>
      <w:bookmarkStart w:id="450" w:name="_Toc113702945"/>
      <w:r>
        <w:rPr>
          <w:rFonts w:cs="Arial"/>
        </w:rPr>
        <w:t>F</w:t>
      </w:r>
      <w:r w:rsidRPr="003379F7">
        <w:rPr>
          <w:rFonts w:cs="Arial"/>
        </w:rPr>
        <w:t xml:space="preserve">inancial </w:t>
      </w:r>
      <w:r>
        <w:rPr>
          <w:rFonts w:cs="Arial"/>
        </w:rPr>
        <w:t>M</w:t>
      </w:r>
      <w:r w:rsidRPr="003379F7">
        <w:rPr>
          <w:rFonts w:cs="Arial"/>
        </w:rPr>
        <w:t xml:space="preserve">anagement </w:t>
      </w:r>
      <w:r>
        <w:rPr>
          <w:rFonts w:cs="Arial"/>
        </w:rPr>
        <w:t>C</w:t>
      </w:r>
      <w:r w:rsidRPr="003379F7">
        <w:rPr>
          <w:rFonts w:cs="Arial"/>
        </w:rPr>
        <w:t>ompliance</w:t>
      </w:r>
      <w:bookmarkEnd w:id="444"/>
      <w:r>
        <w:rPr>
          <w:rFonts w:cs="Arial"/>
        </w:rPr>
        <w:t xml:space="preserve"> Attestation Statement</w:t>
      </w:r>
      <w:bookmarkEnd w:id="445"/>
      <w:bookmarkEnd w:id="446"/>
      <w:bookmarkEnd w:id="447"/>
      <w:bookmarkEnd w:id="448"/>
      <w:bookmarkEnd w:id="449"/>
      <w:bookmarkEnd w:id="450"/>
    </w:p>
    <w:p w14:paraId="7DA9E225" w14:textId="77777777" w:rsidR="00CB58B0" w:rsidRDefault="00CB58B0" w:rsidP="00CB58B0">
      <w:pPr>
        <w:pStyle w:val="ARbody"/>
      </w:pPr>
      <w:r w:rsidRPr="0051116C">
        <w:t xml:space="preserve">I, Euan Wallace, as the Responsible Body, certify that the Department of Health has no Material Compliance Deficiency with respect to the applicable Standing Directions under the </w:t>
      </w:r>
      <w:r w:rsidRPr="00482D31">
        <w:rPr>
          <w:i/>
          <w:iCs/>
        </w:rPr>
        <w:t>Financial Management Act 1994</w:t>
      </w:r>
      <w:r w:rsidRPr="0051116C">
        <w:t xml:space="preserve"> and Instructions.</w:t>
      </w:r>
    </w:p>
    <w:p w14:paraId="795590BC" w14:textId="77777777" w:rsidR="00CB58B0" w:rsidRDefault="00CB58B0" w:rsidP="00CB58B0">
      <w:pPr>
        <w:pStyle w:val="ARbody"/>
      </w:pPr>
      <w:r>
        <w:rPr>
          <w:noProof/>
        </w:rPr>
        <w:drawing>
          <wp:inline distT="0" distB="0" distL="0" distR="0" wp14:anchorId="75BC0500" wp14:editId="1D7FAA60">
            <wp:extent cx="2125472" cy="772160"/>
            <wp:effectExtent l="0" t="0" r="8255" b="8890"/>
            <wp:docPr id="15" name="Picture 15" descr="Euan Wallac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uan Wallace signa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5472" cy="772160"/>
                    </a:xfrm>
                    <a:prstGeom prst="rect">
                      <a:avLst/>
                    </a:prstGeom>
                  </pic:spPr>
                </pic:pic>
              </a:graphicData>
            </a:graphic>
          </wp:inline>
        </w:drawing>
      </w:r>
    </w:p>
    <w:p w14:paraId="629E80B2" w14:textId="77777777" w:rsidR="00CB58B0" w:rsidRDefault="00CB58B0" w:rsidP="00CB58B0">
      <w:pPr>
        <w:pStyle w:val="ARbody"/>
      </w:pPr>
      <w:r>
        <w:t>Euan Wallace</w:t>
      </w:r>
      <w:r>
        <w:br/>
        <w:t>Secretary</w:t>
      </w:r>
      <w:r>
        <w:br/>
        <w:t>Department of Health</w:t>
      </w:r>
    </w:p>
    <w:p w14:paraId="351B85C9" w14:textId="77777777" w:rsidR="00CB58B0" w:rsidRPr="00EB3085" w:rsidRDefault="00CB58B0" w:rsidP="00EB3085">
      <w:pPr>
        <w:pStyle w:val="ARbody"/>
      </w:pPr>
    </w:p>
    <w:p w14:paraId="703B98C3" w14:textId="77777777" w:rsidR="00DA46D3" w:rsidRDefault="00DA46D3" w:rsidP="00EF6835">
      <w:pPr>
        <w:pStyle w:val="ARbody"/>
        <w:sectPr w:rsidR="00DA46D3" w:rsidSect="00EE674B">
          <w:footnotePr>
            <w:numFmt w:val="lowerLetter"/>
            <w:numRestart w:val="eachPage"/>
          </w:footnotePr>
          <w:endnotePr>
            <w:numFmt w:val="decimal"/>
          </w:endnotePr>
          <w:pgSz w:w="11900" w:h="16840" w:code="9"/>
          <w:pgMar w:top="1985" w:right="1134" w:bottom="851" w:left="1134" w:header="510" w:footer="340" w:gutter="0"/>
          <w:cols w:num="2" w:space="454"/>
          <w:docGrid w:linePitch="299"/>
          <w15:footnoteColumns w:val="1"/>
        </w:sectPr>
      </w:pPr>
    </w:p>
    <w:p w14:paraId="3FB008EA" w14:textId="77777777" w:rsidR="00222D72" w:rsidRPr="003379F7" w:rsidRDefault="00222D72" w:rsidP="00222D72">
      <w:pPr>
        <w:pStyle w:val="Heading2"/>
        <w:spacing w:before="0"/>
      </w:pPr>
      <w:bookmarkStart w:id="451" w:name="_Ref492905722"/>
      <w:bookmarkStart w:id="452" w:name="_Toc21682724"/>
      <w:bookmarkStart w:id="453" w:name="_Toc54690801"/>
      <w:bookmarkStart w:id="454" w:name="_Ref84252211"/>
      <w:bookmarkStart w:id="455" w:name="_Toc85121293"/>
      <w:bookmarkStart w:id="456" w:name="_Toc85121630"/>
      <w:bookmarkStart w:id="457" w:name="_Ref85616079"/>
      <w:bookmarkStart w:id="458" w:name="_Toc102734507"/>
      <w:bookmarkStart w:id="459" w:name="_Toc113702946"/>
      <w:r w:rsidRPr="003379F7">
        <w:t>Environmental report</w:t>
      </w:r>
      <w:bookmarkEnd w:id="451"/>
      <w:bookmarkEnd w:id="452"/>
      <w:bookmarkEnd w:id="453"/>
      <w:r w:rsidRPr="003379F7">
        <w:t>ing</w:t>
      </w:r>
      <w:bookmarkEnd w:id="454"/>
      <w:bookmarkEnd w:id="455"/>
      <w:bookmarkEnd w:id="456"/>
      <w:bookmarkEnd w:id="457"/>
      <w:bookmarkEnd w:id="458"/>
      <w:bookmarkEnd w:id="459"/>
    </w:p>
    <w:p w14:paraId="5F52CCB3" w14:textId="77777777" w:rsidR="00222D72" w:rsidRPr="002029AF" w:rsidRDefault="00222D72" w:rsidP="007915F1">
      <w:pPr>
        <w:pStyle w:val="Heading3"/>
        <w:spacing w:before="120" w:after="60"/>
      </w:pPr>
      <w:bookmarkStart w:id="460" w:name="_Toc85121294"/>
      <w:bookmarkStart w:id="461" w:name="_Ref492895460"/>
      <w:r w:rsidRPr="002029AF">
        <w:t>Environmental performance and impacts</w:t>
      </w:r>
      <w:bookmarkEnd w:id="460"/>
    </w:p>
    <w:bookmarkEnd w:id="461"/>
    <w:p w14:paraId="0683EB1D" w14:textId="48C1F86F" w:rsidR="00222D72" w:rsidRPr="00222D72" w:rsidRDefault="000F2089" w:rsidP="008F26AE">
      <w:pPr>
        <w:pStyle w:val="ARintro"/>
        <w:spacing w:after="80"/>
      </w:pPr>
      <w:r>
        <w:t>On</w:t>
      </w:r>
      <w:r w:rsidR="00222D72">
        <w:t xml:space="preserve"> 1 February 2021, the Departme</w:t>
      </w:r>
      <w:r w:rsidR="00222D72" w:rsidRPr="00222D72">
        <w:t xml:space="preserve">nt of Health and Human Services was separated into two new departments: the Department of Health (the department) and the Department of Families, Fairness and Housing (DFFH). The </w:t>
      </w:r>
      <w:r w:rsidR="006C15A9">
        <w:t>2021–22</w:t>
      </w:r>
      <w:r w:rsidR="00222D72" w:rsidRPr="00222D72">
        <w:t xml:space="preserve"> reporting year is the first year </w:t>
      </w:r>
      <w:r>
        <w:t xml:space="preserve">that </w:t>
      </w:r>
      <w:r w:rsidR="00222D72" w:rsidRPr="00222D72">
        <w:t>reflect</w:t>
      </w:r>
      <w:r>
        <w:t>s</w:t>
      </w:r>
      <w:r w:rsidR="00222D72" w:rsidRPr="00222D72">
        <w:t xml:space="preserve"> the department’s data</w:t>
      </w:r>
      <w:r>
        <w:t xml:space="preserve"> only</w:t>
      </w:r>
      <w:r w:rsidR="00222D72" w:rsidRPr="00222D72">
        <w:t>.</w:t>
      </w:r>
    </w:p>
    <w:p w14:paraId="57B15285" w14:textId="546489AD" w:rsidR="003D5E1A" w:rsidRDefault="00222D72" w:rsidP="008F26AE">
      <w:pPr>
        <w:pStyle w:val="ARintro"/>
        <w:spacing w:after="80"/>
      </w:pPr>
      <w:r w:rsidRPr="00222D72">
        <w:t xml:space="preserve">In 2021–22, the department continued to make good progress </w:t>
      </w:r>
      <w:r w:rsidR="000F2089">
        <w:t>i</w:t>
      </w:r>
      <w:r w:rsidRPr="00222D72">
        <w:t>n reducing its environmental footprint and managing climate change risks across the sector.</w:t>
      </w:r>
    </w:p>
    <w:p w14:paraId="4DEE3136" w14:textId="2AD02057" w:rsidR="00222D72" w:rsidRDefault="00222D72" w:rsidP="008F26AE">
      <w:pPr>
        <w:pStyle w:val="ARintro"/>
        <w:spacing w:after="80"/>
      </w:pPr>
      <w:r w:rsidRPr="00222D72">
        <w:t xml:space="preserve">The collection of several environmental datasets </w:t>
      </w:r>
      <w:r w:rsidRPr="0002001F">
        <w:t xml:space="preserve">and the </w:t>
      </w:r>
      <w:r w:rsidR="000F2089" w:rsidRPr="0002001F">
        <w:t>achievement</w:t>
      </w:r>
      <w:r w:rsidRPr="0002001F">
        <w:t xml:space="preserve"> of environmental targets continued to be impacted by the disruptions to workplace activities and service delivery due to COVID-19. Environmental performance indicators for</w:t>
      </w:r>
      <w:r w:rsidRPr="00222D72">
        <w:t xml:space="preserve"> energy, paper and transportation were also affected by restricted access to office-based workplaces and the department-wide continuation of remote working during the reporting year.</w:t>
      </w:r>
    </w:p>
    <w:p w14:paraId="79317522" w14:textId="77777777" w:rsidR="008944A6" w:rsidRPr="008944A6" w:rsidRDefault="008944A6" w:rsidP="008944A6">
      <w:pPr>
        <w:pStyle w:val="ARbody"/>
      </w:pPr>
    </w:p>
    <w:p w14:paraId="279D1593" w14:textId="77777777" w:rsidR="00222D72" w:rsidRPr="002029AF" w:rsidRDefault="00222D72" w:rsidP="00DC6F5C">
      <w:pPr>
        <w:pStyle w:val="ARbody"/>
        <w:sectPr w:rsidR="00222D72" w:rsidRPr="002029AF" w:rsidSect="004C7BEF">
          <w:headerReference w:type="even" r:id="rId77"/>
          <w:footerReference w:type="even" r:id="rId78"/>
          <w:footerReference w:type="default" r:id="rId79"/>
          <w:headerReference w:type="first" r:id="rId80"/>
          <w:footerReference w:type="first" r:id="rId81"/>
          <w:footnotePr>
            <w:numFmt w:val="lowerLetter"/>
            <w:numRestart w:val="eachPage"/>
          </w:footnotePr>
          <w:endnotePr>
            <w:numFmt w:val="decimal"/>
          </w:endnotePr>
          <w:pgSz w:w="11900" w:h="16840" w:code="9"/>
          <w:pgMar w:top="1985" w:right="1134" w:bottom="851" w:left="1134" w:header="510" w:footer="340" w:gutter="0"/>
          <w:cols w:space="708"/>
          <w:docGrid w:linePitch="299"/>
          <w15:footnoteColumns w:val="1"/>
        </w:sectPr>
      </w:pPr>
    </w:p>
    <w:p w14:paraId="458BF3D2" w14:textId="77777777" w:rsidR="008944A6" w:rsidRPr="002029AF" w:rsidRDefault="008944A6" w:rsidP="0018044F">
      <w:pPr>
        <w:pStyle w:val="Heading4"/>
        <w:spacing w:before="0"/>
      </w:pPr>
      <w:bookmarkStart w:id="462" w:name="_Toc85121295"/>
      <w:r w:rsidRPr="002029AF">
        <w:t>Highlights</w:t>
      </w:r>
      <w:bookmarkEnd w:id="462"/>
    </w:p>
    <w:p w14:paraId="505162C5" w14:textId="1ECED833" w:rsidR="00222D72" w:rsidRPr="002029AF" w:rsidRDefault="00222D72" w:rsidP="007915F1">
      <w:pPr>
        <w:pStyle w:val="ARbody"/>
        <w:spacing w:after="60"/>
      </w:pPr>
      <w:r>
        <w:t xml:space="preserve">Highlights for the </w:t>
      </w:r>
      <w:r w:rsidR="000F2089">
        <w:t xml:space="preserve">reporting </w:t>
      </w:r>
      <w:r>
        <w:t>period included:</w:t>
      </w:r>
    </w:p>
    <w:p w14:paraId="481AFB6C" w14:textId="09F9B8B2" w:rsidR="003D5E1A" w:rsidRDefault="00222D72" w:rsidP="004C7BEF">
      <w:pPr>
        <w:pStyle w:val="ARbullet1"/>
        <w:spacing w:after="30" w:line="250" w:lineRule="atLeast"/>
      </w:pPr>
      <w:r w:rsidRPr="003072FB">
        <w:t xml:space="preserve">reducing annual reported greenhouse gas emissions in the public health sector by </w:t>
      </w:r>
      <w:r w:rsidR="004B7900">
        <w:t>six</w:t>
      </w:r>
      <w:r w:rsidRPr="003072FB">
        <w:t> per cent or 51,021 tonnes CO</w:t>
      </w:r>
      <w:r w:rsidR="0072453F" w:rsidRPr="00125EE1">
        <w:rPr>
          <w:rStyle w:val="Subscript"/>
        </w:rPr>
        <w:t>2</w:t>
      </w:r>
      <w:r w:rsidRPr="003072FB">
        <w:t>-e from last year</w:t>
      </w:r>
    </w:p>
    <w:p w14:paraId="09B7DB7B" w14:textId="4C2F2E2D" w:rsidR="00222D72" w:rsidRPr="002029AF" w:rsidRDefault="00222D72" w:rsidP="004C7BEF">
      <w:pPr>
        <w:pStyle w:val="ARbullet1"/>
        <w:spacing w:after="30" w:line="250" w:lineRule="atLeast"/>
        <w:rPr>
          <w:i/>
          <w:iCs/>
        </w:rPr>
      </w:pPr>
      <w:r>
        <w:t>finalising and releasing</w:t>
      </w:r>
      <w:r w:rsidDel="3D4058BA">
        <w:t xml:space="preserve"> </w:t>
      </w:r>
      <w:r>
        <w:t xml:space="preserve">the </w:t>
      </w:r>
      <w:r w:rsidRPr="2396B9CA">
        <w:rPr>
          <w:i/>
          <w:iCs/>
        </w:rPr>
        <w:t xml:space="preserve">Health and human services climate change adaptation action plan 2022–2026, </w:t>
      </w:r>
      <w:r w:rsidRPr="00FA6D01">
        <w:t xml:space="preserve">following consultation with the Victorian community and key stakeholders. </w:t>
      </w:r>
      <w:r w:rsidRPr="00173621">
        <w:t xml:space="preserve">The </w:t>
      </w:r>
      <w:r w:rsidR="00CC24BB">
        <w:t>p</w:t>
      </w:r>
      <w:r w:rsidRPr="00FA6D01">
        <w:t xml:space="preserve">lan outlines 14 actions </w:t>
      </w:r>
      <w:r w:rsidRPr="2396B9CA">
        <w:t xml:space="preserve">that will be implemented </w:t>
      </w:r>
      <w:r w:rsidRPr="00FA6D01">
        <w:t>across the key themes of public and stakeholder engagement, infrastructure resilience and sector capability, which will guide adaptation efforts over the next five years.</w:t>
      </w:r>
    </w:p>
    <w:p w14:paraId="6D6BA1A6" w14:textId="490B3FF3" w:rsidR="00222D72" w:rsidRPr="002029AF" w:rsidRDefault="00222D72" w:rsidP="004C7BEF">
      <w:pPr>
        <w:pStyle w:val="ARbullet1"/>
        <w:spacing w:after="30" w:line="250" w:lineRule="atLeast"/>
        <w:rPr>
          <w:i/>
          <w:iCs/>
        </w:rPr>
      </w:pPr>
      <w:r>
        <w:t>investment of $2.87 million to install 2,239 kilowatt-peak of solar panels and implement high-efficiency lighting upgrades in public hospitals</w:t>
      </w:r>
    </w:p>
    <w:p w14:paraId="55253E56" w14:textId="4FA131AE" w:rsidR="00222D72" w:rsidRPr="00FA4EE4" w:rsidRDefault="00222D72" w:rsidP="007915F1">
      <w:pPr>
        <w:pStyle w:val="ARbullet1"/>
        <w:spacing w:after="30" w:line="250" w:lineRule="atLeast"/>
        <w:rPr>
          <w:i/>
        </w:rPr>
      </w:pPr>
      <w:r>
        <w:t xml:space="preserve">receiving </w:t>
      </w:r>
      <w:r w:rsidR="004413B6">
        <w:t>National Australian Built Environment Energy Rating System (</w:t>
      </w:r>
      <w:r>
        <w:t>NABERS</w:t>
      </w:r>
      <w:r w:rsidR="004413B6">
        <w:t>)</w:t>
      </w:r>
      <w:r>
        <w:t xml:space="preserve"> energy and water certificates for 140 of </w:t>
      </w:r>
      <w:r w:rsidR="00DB7ECF">
        <w:t xml:space="preserve">the state’s </w:t>
      </w:r>
      <w:r>
        <w:t>public hospitals</w:t>
      </w:r>
    </w:p>
    <w:p w14:paraId="10D54BC7" w14:textId="72D153D8" w:rsidR="00222D72" w:rsidRDefault="00222D72" w:rsidP="004C7BEF">
      <w:pPr>
        <w:pStyle w:val="ARbullet1"/>
        <w:spacing w:after="30" w:line="250" w:lineRule="atLeast"/>
        <w:rPr>
          <w:i/>
        </w:rPr>
      </w:pPr>
      <w:r w:rsidRPr="003309E0">
        <w:t>facilitating the design of the New Melton Hospital to be Victoria's first all-electric hospital powered by 100 per cent renewable electricity</w:t>
      </w:r>
    </w:p>
    <w:p w14:paraId="13DCE6A5" w14:textId="5767BC03" w:rsidR="003D5E1A" w:rsidRDefault="00222D72" w:rsidP="004C7BEF">
      <w:pPr>
        <w:pStyle w:val="ARbullet1"/>
        <w:spacing w:after="30" w:line="250" w:lineRule="atLeast"/>
      </w:pPr>
      <w:r w:rsidRPr="003309E0">
        <w:t xml:space="preserve">contributing to the whole of Victorian </w:t>
      </w:r>
      <w:r w:rsidRPr="00A00079">
        <w:t>Government climate change strategy and emissions reduction pledge, reducing greenhouse gas emissions from office-based sources by 50 per cent from last year (estimate based on per FTE greenhouse gas emissions)</w:t>
      </w:r>
    </w:p>
    <w:p w14:paraId="6D5FB4AD" w14:textId="41A49BED" w:rsidR="00222D72" w:rsidRPr="00A00079" w:rsidRDefault="004413B6" w:rsidP="004C7BEF">
      <w:pPr>
        <w:pStyle w:val="ARbullet1"/>
        <w:spacing w:after="30" w:line="250" w:lineRule="atLeast"/>
      </w:pPr>
      <w:r>
        <w:t>reducing the department’s annual office-based emissions by an estimated 32 per</w:t>
      </w:r>
      <w:r w:rsidR="007501A2">
        <w:t xml:space="preserve"> </w:t>
      </w:r>
      <w:r>
        <w:t xml:space="preserve">cent </w:t>
      </w:r>
      <w:r w:rsidRPr="00A00079">
        <w:t>from the</w:t>
      </w:r>
      <w:r w:rsidR="008F26AE">
        <w:t> </w:t>
      </w:r>
      <w:r w:rsidRPr="00A00079">
        <w:t>2014–15 baseline (based on per FTE greenhouse gas emissions)</w:t>
      </w:r>
      <w:r>
        <w:t xml:space="preserve"> </w:t>
      </w:r>
      <w:r w:rsidR="00222D72" w:rsidRPr="00A00079">
        <w:t>over the life of the</w:t>
      </w:r>
      <w:r w:rsidR="008F26AE">
        <w:t> </w:t>
      </w:r>
      <w:r w:rsidR="00222D72" w:rsidRPr="00A00079">
        <w:t>six-year emissions reduction target</w:t>
      </w:r>
    </w:p>
    <w:p w14:paraId="0BA34A89" w14:textId="0FFBE548" w:rsidR="00222D72" w:rsidRPr="002D1637" w:rsidRDefault="00222D72" w:rsidP="0018044F">
      <w:pPr>
        <w:pStyle w:val="Heading4"/>
        <w:spacing w:before="0"/>
      </w:pPr>
      <w:r w:rsidRPr="00080062">
        <w:t>Energy</w:t>
      </w:r>
    </w:p>
    <w:p w14:paraId="4CE5D7C5" w14:textId="0D8A7A44" w:rsidR="003D5E1A" w:rsidRDefault="00222D72" w:rsidP="00222D72">
      <w:pPr>
        <w:pStyle w:val="ARbullet1"/>
      </w:pPr>
      <w:r>
        <w:t>The department is committed to reducing energy consumption across operations and assisting clients to reduce their own energy use.</w:t>
      </w:r>
      <w:r w:rsidR="00B85FF1">
        <w:t xml:space="preserve"> </w:t>
      </w:r>
      <w:r>
        <w:t xml:space="preserve">In </w:t>
      </w:r>
      <w:r w:rsidR="00005B94">
        <w:br/>
      </w:r>
      <w:r>
        <w:t>2021</w:t>
      </w:r>
      <w:r w:rsidR="00005B94">
        <w:t>–</w:t>
      </w:r>
      <w:r>
        <w:t>22, the department:</w:t>
      </w:r>
      <w:r w:rsidR="007613DA">
        <w:t xml:space="preserve"> </w:t>
      </w:r>
      <w:r>
        <w:t>invested $2.87 million to install 2,239 kilowatt-peak of solar panels at Albury Wodonga Health, Alfred Health, Boort District Health, Castlemaine Health, Eastern Health</w:t>
      </w:r>
      <w:r w:rsidRPr="00222D72">
        <w:t>, Forensicare, Grampians Health, Hesse Rural Health Services, Inglewood District Health, Mildura Base Hospital, Monash Health, Tallangatta Health Service, West Wimmera Health Service, and Yarrawonga Health, and upgrade lighting to high-efficiency LEDs at Albury Wodonga Health, Barwon Health, Boort District Health, and West Wimmera Health Service. This is expected to avoid the generation of more than 1,300 tonnes of greenhouse gas emissions every year.</w:t>
      </w:r>
    </w:p>
    <w:p w14:paraId="75BC8435" w14:textId="0567D99B" w:rsidR="00222D72" w:rsidRPr="00222D72" w:rsidRDefault="00222D72" w:rsidP="00222D72">
      <w:pPr>
        <w:pStyle w:val="ARbullet1"/>
      </w:pPr>
      <w:r w:rsidRPr="00222D72">
        <w:t xml:space="preserve">received certified NABERS energy ratings for 140 of the State’s public hospitals for the period </w:t>
      </w:r>
      <w:r w:rsidR="006C15A9">
        <w:t>2020–21</w:t>
      </w:r>
      <w:r w:rsidRPr="00222D72">
        <w:t xml:space="preserve">. The average NABERS rating for the Victorian public hospital portfolio for </w:t>
      </w:r>
      <w:r w:rsidR="006C15A9">
        <w:t>2020–21</w:t>
      </w:r>
      <w:r w:rsidRPr="00222D72">
        <w:t xml:space="preserve"> was 3.</w:t>
      </w:r>
      <w:r w:rsidR="00293345">
        <w:t>8</w:t>
      </w:r>
      <w:r w:rsidRPr="00222D72">
        <w:t xml:space="preserve"> </w:t>
      </w:r>
      <w:r w:rsidR="009F6108">
        <w:t>s</w:t>
      </w:r>
      <w:r w:rsidRPr="00222D72">
        <w:t>tars.</w:t>
      </w:r>
    </w:p>
    <w:p w14:paraId="5C28CD2E" w14:textId="4357BCE8" w:rsidR="00222D72" w:rsidRPr="00222D72" w:rsidRDefault="00222D72" w:rsidP="00222D72">
      <w:pPr>
        <w:pStyle w:val="ARbullet1"/>
      </w:pPr>
      <w:r w:rsidRPr="00222D72">
        <w:t>facilitated the design of the New Melton Hospital to be Victoria's first all-electric hospital powered by 100 per cent renewable electricity.</w:t>
      </w:r>
      <w:r w:rsidR="00EA5BA8">
        <w:t xml:space="preserve"> </w:t>
      </w:r>
      <w:r w:rsidRPr="00222D72">
        <w:t xml:space="preserve">This supports </w:t>
      </w:r>
      <w:r w:rsidR="009F6108">
        <w:t xml:space="preserve">the </w:t>
      </w:r>
      <w:r w:rsidRPr="00222D72">
        <w:t>government’s commitment to reduce carbon emissions from its operations and reduce gas use across the State's public health portfolio.</w:t>
      </w:r>
      <w:r>
        <w:t xml:space="preserve"> </w:t>
      </w:r>
      <w:r w:rsidRPr="00222D72">
        <w:t>The</w:t>
      </w:r>
      <w:r>
        <w:t xml:space="preserve"> </w:t>
      </w:r>
      <w:r w:rsidRPr="00222D72">
        <w:t>hospital’s design</w:t>
      </w:r>
      <w:r w:rsidR="00EA5BA8">
        <w:t xml:space="preserve"> </w:t>
      </w:r>
      <w:r w:rsidRPr="00222D72">
        <w:t>will focus on sustainability initiatives</w:t>
      </w:r>
      <w:r w:rsidR="009F6108">
        <w:t>,</w:t>
      </w:r>
      <w:r w:rsidRPr="00222D72">
        <w:t xml:space="preserve"> such as maximising on-site solar generation, high-performing facades, efficient plant and equipment, and integration of green spaces within the hospital precinct.</w:t>
      </w:r>
    </w:p>
    <w:p w14:paraId="24543527" w14:textId="417CB2DA" w:rsidR="00222D72" w:rsidRPr="00222D72" w:rsidRDefault="00222D72" w:rsidP="00222D72">
      <w:pPr>
        <w:pStyle w:val="ARbullet1"/>
      </w:pPr>
      <w:r w:rsidRPr="00222D72">
        <w:t>generated 8.7 gigawatt hours of electricity from</w:t>
      </w:r>
      <w:r w:rsidR="008F26AE">
        <w:t> </w:t>
      </w:r>
      <w:r w:rsidRPr="00222D72">
        <w:t>solar arrays on 86 health facilities across 33 health services, noting the department does not yet collect data from all</w:t>
      </w:r>
      <w:r w:rsidR="009F6108">
        <w:t xml:space="preserve"> of</w:t>
      </w:r>
      <w:r w:rsidRPr="00222D72">
        <w:t xml:space="preserve"> the 131 solar arrays installed on public hospitals</w:t>
      </w:r>
    </w:p>
    <w:p w14:paraId="4D87F208" w14:textId="67E61FE6" w:rsidR="00222D72" w:rsidRPr="00222D72" w:rsidRDefault="00222D72" w:rsidP="00222D72">
      <w:pPr>
        <w:pStyle w:val="ARbullet1"/>
      </w:pPr>
      <w:r w:rsidRPr="00222D72">
        <w:t xml:space="preserve">completed lighting upgrades at </w:t>
      </w:r>
      <w:r w:rsidR="00DB7ECF">
        <w:t>the</w:t>
      </w:r>
      <w:r w:rsidR="00DB7ECF" w:rsidRPr="00222D72">
        <w:t xml:space="preserve"> </w:t>
      </w:r>
      <w:r w:rsidRPr="00222D72">
        <w:t xml:space="preserve">Morwell office and solar installation at </w:t>
      </w:r>
      <w:r w:rsidR="00DB7ECF">
        <w:t>the</w:t>
      </w:r>
      <w:r w:rsidR="00DB7ECF" w:rsidRPr="00222D72">
        <w:t xml:space="preserve"> </w:t>
      </w:r>
      <w:r w:rsidRPr="00222D72">
        <w:t>Footscray offices, with predicted savings of over 150,000</w:t>
      </w:r>
      <w:r w:rsidR="008F26AE">
        <w:t> </w:t>
      </w:r>
      <w:r w:rsidRPr="00222D72">
        <w:t>kWh per annum</w:t>
      </w:r>
    </w:p>
    <w:p w14:paraId="735D0714" w14:textId="1E9CF42A" w:rsidR="00222D72" w:rsidRDefault="00222D72" w:rsidP="00222D72">
      <w:pPr>
        <w:pStyle w:val="ARbullet1"/>
      </w:pPr>
      <w:r w:rsidRPr="00222D72">
        <w:t>entered into agreements to upgrade and extend</w:t>
      </w:r>
      <w:r w:rsidR="008F26AE">
        <w:t> </w:t>
      </w:r>
      <w:r w:rsidRPr="00222D72">
        <w:t>the life of cogeneration assets at the Alfred Hospital, Royal Melbourne Hospita</w:t>
      </w:r>
      <w:r>
        <w:t>l and University Hospital Geelong to ensure these major hospitals have continued energy security of supply to 2026. In addition, the department commenced upgrades to energy infrastructure at Dandenong Hospital and St Vincent’s Hospital Melbourne to enable the decommissioning of ageing cogeneration plant</w:t>
      </w:r>
      <w:r w:rsidR="008F26AE">
        <w:t> </w:t>
      </w:r>
      <w:r>
        <w:t>while ensuring continued energy security</w:t>
      </w:r>
      <w:r w:rsidR="008F26AE">
        <w:t> </w:t>
      </w:r>
      <w:r>
        <w:t>of supply.</w:t>
      </w:r>
    </w:p>
    <w:p w14:paraId="52E572DD" w14:textId="77777777" w:rsidR="00222D72" w:rsidRPr="002029AF" w:rsidRDefault="00222D72">
      <w:pPr>
        <w:pStyle w:val="Heading5"/>
      </w:pPr>
      <w:bookmarkStart w:id="463" w:name="_Toc85121297"/>
      <w:r w:rsidRPr="002029AF">
        <w:t>Office-based performance</w:t>
      </w:r>
      <w:bookmarkEnd w:id="463"/>
    </w:p>
    <w:p w14:paraId="47747801" w14:textId="0E952814" w:rsidR="00222D72" w:rsidRPr="002029AF" w:rsidRDefault="00222D72" w:rsidP="002B17E1">
      <w:pPr>
        <w:pStyle w:val="ARbody"/>
      </w:pPr>
      <w:r>
        <w:t xml:space="preserve">In </w:t>
      </w:r>
      <w:r w:rsidR="006C15A9">
        <w:t>2021–22</w:t>
      </w:r>
      <w:r>
        <w:t>, office-based energy usage reduced to</w:t>
      </w:r>
      <w:r w:rsidR="008F26AE">
        <w:t> </w:t>
      </w:r>
      <w:r>
        <w:t xml:space="preserve">3,083 megajoules per </w:t>
      </w:r>
      <w:r w:rsidR="00334CC5">
        <w:t>full-time equivalent (</w:t>
      </w:r>
      <w:r>
        <w:t>FTE</w:t>
      </w:r>
      <w:r w:rsidR="00334CC5">
        <w:t>) employee</w:t>
      </w:r>
      <w:r>
        <w:t xml:space="preserve">, from 6,107 megajoules per FTE from the previous reporting year. This significant </w:t>
      </w:r>
      <w:r w:rsidRPr="00080062">
        <w:t>decrease</w:t>
      </w:r>
      <w:r>
        <w:t xml:space="preserve"> is</w:t>
      </w:r>
      <w:r w:rsidR="008F26AE">
        <w:t> </w:t>
      </w:r>
      <w:r w:rsidR="001E4428">
        <w:t>largely</w:t>
      </w:r>
      <w:r>
        <w:t xml:space="preserve"> attributed to the continued change in workplace arrangements, where most staff continued to work remotely.</w:t>
      </w:r>
    </w:p>
    <w:p w14:paraId="5A2C9188" w14:textId="77777777" w:rsidR="00222D72" w:rsidRPr="002029AF" w:rsidRDefault="00222D72" w:rsidP="00222D72">
      <w:pPr>
        <w:pStyle w:val="Heading4"/>
      </w:pPr>
      <w:bookmarkStart w:id="464" w:name="_Toc85121299"/>
      <w:bookmarkStart w:id="465" w:name="_Hlk15477316"/>
      <w:bookmarkStart w:id="466" w:name="_Hlk15035948"/>
      <w:r w:rsidRPr="007C4608">
        <w:t>Water</w:t>
      </w:r>
      <w:bookmarkEnd w:id="464"/>
    </w:p>
    <w:p w14:paraId="7AD80012" w14:textId="77777777" w:rsidR="00222D72" w:rsidRPr="002029AF" w:rsidRDefault="00222D72" w:rsidP="00222D72">
      <w:pPr>
        <w:pStyle w:val="ARbody"/>
      </w:pPr>
      <w:r>
        <w:t>The department continues to seek a better understanding of water consumption across facilities and operations and encourage clients to improve their own water efficiency.</w:t>
      </w:r>
    </w:p>
    <w:p w14:paraId="372722D7" w14:textId="3CEAAEF8" w:rsidR="0067141F" w:rsidRDefault="00222D72" w:rsidP="006C15A9">
      <w:pPr>
        <w:pStyle w:val="ARbullet1"/>
      </w:pPr>
      <w:r>
        <w:t xml:space="preserve">In </w:t>
      </w:r>
      <w:r w:rsidR="006C15A9">
        <w:t>2021–22</w:t>
      </w:r>
      <w:r>
        <w:t xml:space="preserve">, the department received certified NABERS water ratings for 140 of the </w:t>
      </w:r>
      <w:r w:rsidR="00334CC5">
        <w:t>s</w:t>
      </w:r>
      <w:r>
        <w:t xml:space="preserve">tate’s public hospitals for the period </w:t>
      </w:r>
      <w:r w:rsidR="006C15A9">
        <w:t>2020–21</w:t>
      </w:r>
      <w:r>
        <w:t xml:space="preserve">. The average NABERS rating for the Victorian public hospital portfolio for </w:t>
      </w:r>
      <w:r w:rsidR="006C15A9">
        <w:t>2020–21</w:t>
      </w:r>
      <w:r>
        <w:t xml:space="preserve"> was 3.</w:t>
      </w:r>
      <w:r w:rsidR="002336E5">
        <w:t>6</w:t>
      </w:r>
      <w:r>
        <w:t xml:space="preserve"> </w:t>
      </w:r>
      <w:r w:rsidR="00334CC5">
        <w:t>s</w:t>
      </w:r>
      <w:r>
        <w:t>tars.</w:t>
      </w:r>
    </w:p>
    <w:p w14:paraId="2D48F292" w14:textId="2D88C139" w:rsidR="00222D72" w:rsidRPr="002C4F12" w:rsidRDefault="00222D72" w:rsidP="006C15A9">
      <w:pPr>
        <w:pStyle w:val="ARbullet1"/>
      </w:pPr>
      <w:r w:rsidRPr="002C4F12">
        <w:t>Public hospital water use reduced by 238 megalitres, or by around 5.5 per cent</w:t>
      </w:r>
      <w:r w:rsidR="00334CC5">
        <w:t>,</w:t>
      </w:r>
      <w:r w:rsidRPr="002C4F12">
        <w:t xml:space="preserve"> based on</w:t>
      </w:r>
      <w:r w:rsidR="008F26AE">
        <w:t> </w:t>
      </w:r>
      <w:r w:rsidR="006C15A9">
        <w:t>2020–21</w:t>
      </w:r>
      <w:r w:rsidRPr="002C4F12">
        <w:t xml:space="preserve"> water use.</w:t>
      </w:r>
    </w:p>
    <w:p w14:paraId="628E9D4F" w14:textId="77777777" w:rsidR="00222D72" w:rsidRPr="002029AF" w:rsidRDefault="00222D72" w:rsidP="004C7BEF">
      <w:pPr>
        <w:pStyle w:val="Heading5"/>
      </w:pPr>
      <w:bookmarkStart w:id="467" w:name="_Toc85121300"/>
      <w:r w:rsidRPr="002029AF">
        <w:t>Office-based performance</w:t>
      </w:r>
      <w:bookmarkEnd w:id="467"/>
    </w:p>
    <w:p w14:paraId="1435CA7A" w14:textId="2C64990D" w:rsidR="00222D72" w:rsidRPr="00FA6D01" w:rsidRDefault="00222D72" w:rsidP="004C7BEF">
      <w:pPr>
        <w:pStyle w:val="ARbody"/>
      </w:pPr>
      <w:r>
        <w:t xml:space="preserve">In </w:t>
      </w:r>
      <w:r w:rsidR="006C15A9">
        <w:t>2021–22</w:t>
      </w:r>
      <w:r>
        <w:t>, office-based water use decreased to</w:t>
      </w:r>
      <w:r w:rsidR="008F26AE">
        <w:t> </w:t>
      </w:r>
      <w:r>
        <w:t xml:space="preserve">1,530 litres per FTE, from 5,551 litres per FTE from the previous reporting year. </w:t>
      </w:r>
      <w:r w:rsidRPr="00080062">
        <w:t>This decrease is</w:t>
      </w:r>
      <w:r w:rsidR="008F26AE">
        <w:t> </w:t>
      </w:r>
      <w:r w:rsidR="00334CC5">
        <w:t xml:space="preserve">largely </w:t>
      </w:r>
      <w:r w:rsidRPr="00080062">
        <w:t xml:space="preserve">attributed to the </w:t>
      </w:r>
      <w:r w:rsidRPr="7F2B2CEE">
        <w:t xml:space="preserve">continued </w:t>
      </w:r>
      <w:r w:rsidRPr="00080062">
        <w:t>change in workplace arrangements, whe</w:t>
      </w:r>
      <w:r w:rsidRPr="7F2B2CEE">
        <w:t xml:space="preserve">re most staff continued </w:t>
      </w:r>
      <w:r w:rsidRPr="00080062">
        <w:t>to work</w:t>
      </w:r>
      <w:r w:rsidRPr="7F2B2CEE">
        <w:t xml:space="preserve"> remotely</w:t>
      </w:r>
      <w:r w:rsidRPr="00080062">
        <w:t>.</w:t>
      </w:r>
    </w:p>
    <w:p w14:paraId="6EA55793" w14:textId="77777777" w:rsidR="00222D72" w:rsidRPr="002C4F12" w:rsidRDefault="00222D72" w:rsidP="00222D72">
      <w:pPr>
        <w:pStyle w:val="Heading4"/>
      </w:pPr>
      <w:bookmarkStart w:id="468" w:name="_Toc85121302"/>
      <w:r w:rsidRPr="004E0E24">
        <w:t>Procurement and paper</w:t>
      </w:r>
      <w:bookmarkEnd w:id="468"/>
    </w:p>
    <w:p w14:paraId="581D9784" w14:textId="731221B7" w:rsidR="00222D72" w:rsidRPr="002029AF" w:rsidRDefault="00222D72" w:rsidP="004C7BEF">
      <w:pPr>
        <w:pStyle w:val="ARbody"/>
      </w:pPr>
      <w:r>
        <w:t xml:space="preserve">The department continues to integrate sustainability into procurement activities, while seeking value-for-money outcomes in business operations. </w:t>
      </w:r>
      <w:r w:rsidR="00F37F7D">
        <w:t xml:space="preserve">It </w:t>
      </w:r>
      <w:r>
        <w:t>also continue</w:t>
      </w:r>
      <w:r w:rsidR="00F37F7D">
        <w:t>s</w:t>
      </w:r>
      <w:r>
        <w:t xml:space="preserve"> to implement strategies to reduce the environmental impacts of printing and paper consumption. </w:t>
      </w:r>
      <w:r w:rsidRPr="7F2B2CEE">
        <w:t>T</w:t>
      </w:r>
      <w:r w:rsidRPr="00080062">
        <w:t>he predominant cause for the significant reduction in paper use in 2021–22 was</w:t>
      </w:r>
      <w:r w:rsidR="008F26AE">
        <w:t> </w:t>
      </w:r>
      <w:r w:rsidRPr="00080062">
        <w:t>the working from home arrangements for most</w:t>
      </w:r>
      <w:r w:rsidR="008F26AE">
        <w:t> </w:t>
      </w:r>
      <w:r w:rsidRPr="00080062">
        <w:t>of the reporting year.</w:t>
      </w:r>
    </w:p>
    <w:p w14:paraId="024A7933" w14:textId="77777777" w:rsidR="00222D72" w:rsidRPr="002029AF" w:rsidRDefault="00222D72" w:rsidP="00E3577B">
      <w:pPr>
        <w:pStyle w:val="ARbody"/>
      </w:pPr>
      <w:r>
        <w:t>In 2021–22, the department:</w:t>
      </w:r>
    </w:p>
    <w:p w14:paraId="7E184F9F" w14:textId="02629812" w:rsidR="00222D72" w:rsidRPr="00296D69" w:rsidRDefault="00222D72" w:rsidP="004C7BEF">
      <w:pPr>
        <w:pStyle w:val="ARbullet1"/>
      </w:pPr>
      <w:r w:rsidRPr="00080062">
        <w:t>ensured that 49 per cent of all office-based paper purchased consisted of 100 per cent recycled content and 51 per cent consisted of</w:t>
      </w:r>
      <w:r w:rsidR="008F26AE">
        <w:t> </w:t>
      </w:r>
      <w:r w:rsidRPr="00080062">
        <w:t>49</w:t>
      </w:r>
      <w:r w:rsidR="008F26AE">
        <w:t> </w:t>
      </w:r>
      <w:r w:rsidRPr="00080062">
        <w:t>per cent recycled content</w:t>
      </w:r>
    </w:p>
    <w:p w14:paraId="05B38C84" w14:textId="1B709207" w:rsidR="00222D72" w:rsidRDefault="00222D72" w:rsidP="00693FBF">
      <w:pPr>
        <w:pStyle w:val="ARbullet1"/>
      </w:pPr>
      <w:r>
        <w:t>continued to utilise the TRIM electronic record management system and ‘follow-me’ printing solution to reduce the volume of hardcopy records printed and archived in the workplace</w:t>
      </w:r>
    </w:p>
    <w:p w14:paraId="542250D6" w14:textId="489EE5D2" w:rsidR="00222D72" w:rsidRPr="00296D69" w:rsidRDefault="00222D72" w:rsidP="004C7BEF">
      <w:pPr>
        <w:pStyle w:val="ARbullet1"/>
      </w:pPr>
      <w:r w:rsidRPr="00080062">
        <w:t>reduced office-based paper use by 40 per cent to 590 pages per FTE</w:t>
      </w:r>
    </w:p>
    <w:p w14:paraId="4383F403" w14:textId="3BDFC988" w:rsidR="00222D72" w:rsidRPr="00FA6D01" w:rsidRDefault="00222D72" w:rsidP="004C7BEF">
      <w:pPr>
        <w:pStyle w:val="ARbullet1"/>
      </w:pPr>
      <w:r w:rsidRPr="00080062">
        <w:t xml:space="preserve">reduced paper use in public hospitals by </w:t>
      </w:r>
      <w:r w:rsidR="001C3A54">
        <w:t>four </w:t>
      </w:r>
      <w:r w:rsidRPr="5E1D3705">
        <w:t>per</w:t>
      </w:r>
      <w:r w:rsidR="008F26AE">
        <w:t> </w:t>
      </w:r>
      <w:r w:rsidRPr="5E1D3705">
        <w:t>cent, or 21,650 reams – over 10 million sheets of paper.</w:t>
      </w:r>
    </w:p>
    <w:p w14:paraId="383501DD" w14:textId="77777777" w:rsidR="00222D72" w:rsidRPr="002029AF" w:rsidRDefault="00222D72" w:rsidP="00961519">
      <w:pPr>
        <w:pStyle w:val="Heading5"/>
      </w:pPr>
      <w:bookmarkStart w:id="469" w:name="_Toc85121303"/>
      <w:r>
        <w:t>Office-based performance</w:t>
      </w:r>
      <w:bookmarkEnd w:id="469"/>
    </w:p>
    <w:p w14:paraId="64954EE7" w14:textId="30844513" w:rsidR="00222D72" w:rsidRPr="002029AF" w:rsidRDefault="00222D72" w:rsidP="004F5D9C">
      <w:pPr>
        <w:pStyle w:val="ARbody"/>
        <w:keepNext/>
      </w:pPr>
      <w:r>
        <w:t xml:space="preserve">In </w:t>
      </w:r>
      <w:r w:rsidR="006C15A9">
        <w:t>2021–22</w:t>
      </w:r>
      <w:r>
        <w:t xml:space="preserve">, paper and other purchasing </w:t>
      </w:r>
      <w:r w:rsidRPr="00CE0D90">
        <w:t>emissions</w:t>
      </w:r>
      <w:r>
        <w:t xml:space="preserve"> reduced by 69 per cent, </w:t>
      </w:r>
      <w:r w:rsidR="005F783A">
        <w:t>largely</w:t>
      </w:r>
      <w:r>
        <w:t xml:space="preserve"> attributable to COVID-19 and the continued remote working arrangements.</w:t>
      </w:r>
    </w:p>
    <w:p w14:paraId="4F00E908" w14:textId="77777777" w:rsidR="00222D72" w:rsidRDefault="00222D72" w:rsidP="004C7BEF">
      <w:pPr>
        <w:pStyle w:val="ARbody"/>
        <w:keepNext/>
      </w:pPr>
      <w:r>
        <w:t>The department will continue to explore ways to achieve positive environmental outcomes and support organisational sustainability goals through procurement.</w:t>
      </w:r>
    </w:p>
    <w:p w14:paraId="70F8AE12" w14:textId="77777777" w:rsidR="00222D72" w:rsidRPr="002029AF" w:rsidRDefault="00222D72" w:rsidP="00222D72">
      <w:pPr>
        <w:pStyle w:val="Heading4"/>
      </w:pPr>
      <w:bookmarkStart w:id="470" w:name="_Toc85121305"/>
      <w:r w:rsidRPr="0021391E">
        <w:t>Waste</w:t>
      </w:r>
      <w:bookmarkEnd w:id="470"/>
    </w:p>
    <w:p w14:paraId="0F3AE466" w14:textId="77777777" w:rsidR="00222D72" w:rsidRPr="002029AF" w:rsidRDefault="00222D72" w:rsidP="005A6B8E">
      <w:pPr>
        <w:pStyle w:val="ARbody"/>
      </w:pPr>
      <w:r>
        <w:t xml:space="preserve">The </w:t>
      </w:r>
      <w:r w:rsidRPr="00080062">
        <w:t>department</w:t>
      </w:r>
      <w:r>
        <w:t xml:space="preserve"> is committed to the effective management of waste to reduce operational costs and environmental impacts, as well as potential public health risks to staff, clients and the broader Victorian community.</w:t>
      </w:r>
    </w:p>
    <w:p w14:paraId="6158DA45" w14:textId="18303209" w:rsidR="00222D72" w:rsidRPr="00DE18C4" w:rsidRDefault="00222D72" w:rsidP="004C7BEF">
      <w:pPr>
        <w:pStyle w:val="ARbody"/>
      </w:pPr>
      <w:r w:rsidRPr="00C144FE">
        <w:t xml:space="preserve">In </w:t>
      </w:r>
      <w:r w:rsidR="006C15A9" w:rsidRPr="00C144FE">
        <w:t>2021–22</w:t>
      </w:r>
      <w:r w:rsidRPr="00C144FE">
        <w:t>:</w:t>
      </w:r>
    </w:p>
    <w:p w14:paraId="3BAC4663" w14:textId="45052854" w:rsidR="003D5E1A" w:rsidRDefault="00222D72" w:rsidP="004C7BEF">
      <w:pPr>
        <w:pStyle w:val="ARbullet1"/>
      </w:pPr>
      <w:r>
        <w:t xml:space="preserve">public hospital waste generation reduced by some 4,460 tonnes, or around 11 per cent. This was predominantly due to a decline in general waste to landfill. The average public hospital recycling rate reduced from 28 per cent in </w:t>
      </w:r>
      <w:r w:rsidR="008E7C53">
        <w:br/>
      </w:r>
      <w:r w:rsidR="006C15A9">
        <w:t>2020–21</w:t>
      </w:r>
      <w:r>
        <w:t xml:space="preserve"> to 26 per cent in </w:t>
      </w:r>
      <w:r w:rsidR="006C15A9">
        <w:t>2021–22</w:t>
      </w:r>
      <w:r>
        <w:t>.</w:t>
      </w:r>
      <w:r w:rsidR="00FE7702">
        <w:t xml:space="preserve"> </w:t>
      </w:r>
      <w:r w:rsidR="00E74C13">
        <w:t xml:space="preserve">This is a deterioration, but </w:t>
      </w:r>
      <w:r w:rsidR="00CA2B25">
        <w:t>the data does not reveal the cause.</w:t>
      </w:r>
    </w:p>
    <w:p w14:paraId="13BE7572" w14:textId="087F95E9" w:rsidR="00222D72" w:rsidRPr="00DE18C4" w:rsidRDefault="00222D72" w:rsidP="004C7BEF">
      <w:pPr>
        <w:pStyle w:val="ARbullet1"/>
      </w:pPr>
      <w:r>
        <w:t>t</w:t>
      </w:r>
      <w:r w:rsidRPr="00080062">
        <w:t>he department continued the Simply Cups coffee</w:t>
      </w:r>
      <w:r w:rsidR="005F783A">
        <w:t xml:space="preserve"> </w:t>
      </w:r>
      <w:r w:rsidRPr="00080062">
        <w:t>cup recycling program, diverting a further 4,146 cups from landfill. In total more than 482,000 cups</w:t>
      </w:r>
      <w:r w:rsidR="00F37F7D">
        <w:t xml:space="preserve"> have been collected</w:t>
      </w:r>
      <w:r w:rsidRPr="00080062">
        <w:t xml:space="preserve"> since 2017.</w:t>
      </w:r>
    </w:p>
    <w:p w14:paraId="0CAC489F" w14:textId="77777777" w:rsidR="00222D72" w:rsidRPr="002029AF" w:rsidRDefault="00222D72" w:rsidP="004C7BEF">
      <w:pPr>
        <w:pStyle w:val="Heading5"/>
      </w:pPr>
      <w:bookmarkStart w:id="471" w:name="_Toc85121306"/>
      <w:r>
        <w:t>Office-based performance</w:t>
      </w:r>
      <w:bookmarkEnd w:id="471"/>
    </w:p>
    <w:p w14:paraId="3E16DCC0" w14:textId="2D4B8861" w:rsidR="00222D72" w:rsidRPr="003879BA" w:rsidRDefault="00222D72" w:rsidP="004C7BEF">
      <w:pPr>
        <w:pStyle w:val="ARbody"/>
      </w:pPr>
      <w:r>
        <w:t xml:space="preserve">In 2021–22, </w:t>
      </w:r>
      <w:r w:rsidRPr="00080062">
        <w:t>office-based waste generation data</w:t>
      </w:r>
      <w:r w:rsidRPr="00DE18C4">
        <w:rPr>
          <w:shd w:val="clear" w:color="auto" w:fill="E6E6E6"/>
        </w:rPr>
        <w:t xml:space="preserve"> </w:t>
      </w:r>
      <w:r w:rsidRPr="00DE18C4">
        <w:t>was collected via waste audits</w:t>
      </w:r>
      <w:r w:rsidR="008E7C53">
        <w:t xml:space="preserve"> (and prior year data is </w:t>
      </w:r>
      <w:r w:rsidR="00FB7673">
        <w:t>not available due to COVID-19 restrictions)</w:t>
      </w:r>
      <w:r w:rsidRPr="00DE18C4">
        <w:t>.</w:t>
      </w:r>
      <w:r w:rsidR="002F4833">
        <w:t xml:space="preserve"> </w:t>
      </w:r>
      <w:r>
        <w:t>The department will continue to explore ways to reduce waste through increased recycling opportunities in departmental offices.</w:t>
      </w:r>
    </w:p>
    <w:p w14:paraId="0E1F799C" w14:textId="77777777" w:rsidR="00222D72" w:rsidRPr="00FA6D01" w:rsidRDefault="00222D72" w:rsidP="00222D72">
      <w:pPr>
        <w:pStyle w:val="Heading4"/>
      </w:pPr>
      <w:bookmarkStart w:id="472" w:name="_Toc85121308"/>
      <w:r w:rsidRPr="00BF6FC9">
        <w:t>Sustainable transport</w:t>
      </w:r>
      <w:bookmarkEnd w:id="472"/>
    </w:p>
    <w:p w14:paraId="68891090" w14:textId="77777777" w:rsidR="00222D72" w:rsidRPr="002029AF" w:rsidRDefault="00222D72" w:rsidP="00CA7E87">
      <w:pPr>
        <w:pStyle w:val="ARbody"/>
      </w:pPr>
      <w:r>
        <w:t>The department continues to build a more sustainable fleet and to support initiatives that encourage staff to seek alternative modes of transportation.</w:t>
      </w:r>
    </w:p>
    <w:p w14:paraId="6D4D5BAC" w14:textId="77777777" w:rsidR="00222D72" w:rsidRPr="002029AF" w:rsidRDefault="00222D72" w:rsidP="00EE3B2E">
      <w:pPr>
        <w:pStyle w:val="ARbody"/>
        <w:keepNext/>
      </w:pPr>
      <w:r w:rsidRPr="00080062">
        <w:t>In 202</w:t>
      </w:r>
      <w:r w:rsidRPr="005F5F6C">
        <w:t>1</w:t>
      </w:r>
      <w:r w:rsidRPr="00080062">
        <w:t>–2</w:t>
      </w:r>
      <w:r w:rsidRPr="005F5F6C">
        <w:t>2, the department:</w:t>
      </w:r>
    </w:p>
    <w:p w14:paraId="4BC2BCE3" w14:textId="77777777" w:rsidR="00222D72" w:rsidRDefault="00222D72" w:rsidP="00FC6F4F">
      <w:pPr>
        <w:pStyle w:val="ARbullet1"/>
      </w:pPr>
      <w:r>
        <w:t>continued to actively participate in the Zero Emission Vehicle (ZEV) rollout across government fleet vehicles, including healthcare vehicles</w:t>
      </w:r>
    </w:p>
    <w:p w14:paraId="52988B5B" w14:textId="77777777" w:rsidR="003D5E1A" w:rsidRDefault="00222D72" w:rsidP="004C7BEF">
      <w:pPr>
        <w:pStyle w:val="ARbullet1"/>
      </w:pPr>
      <w:r w:rsidRPr="00080062">
        <w:t>improved its overall fleet efficiency by 34 per cent due to an increased use of electric and hybrid vehicles.</w:t>
      </w:r>
    </w:p>
    <w:p w14:paraId="72D65A40" w14:textId="5B151376" w:rsidR="00222D72" w:rsidRPr="002029AF" w:rsidRDefault="00222D72" w:rsidP="00EE3B2E">
      <w:pPr>
        <w:pStyle w:val="Heading4"/>
        <w:rPr>
          <w:color w:val="000000"/>
        </w:rPr>
      </w:pPr>
      <w:bookmarkStart w:id="473" w:name="_Toc85121309"/>
      <w:r w:rsidRPr="002029AF">
        <w:t xml:space="preserve">Climate change </w:t>
      </w:r>
      <w:r>
        <w:t>mitigation and </w:t>
      </w:r>
      <w:r w:rsidRPr="002029AF">
        <w:t>adaptation</w:t>
      </w:r>
      <w:bookmarkEnd w:id="473"/>
    </w:p>
    <w:p w14:paraId="245134ED" w14:textId="77777777" w:rsidR="00222D72" w:rsidRPr="002029AF" w:rsidRDefault="00222D72" w:rsidP="005A6B8E">
      <w:pPr>
        <w:pStyle w:val="ARbody"/>
      </w:pPr>
      <w:r>
        <w:t>The department is committed to driving mitigation and adaptation initiatives and to proactively managing climate change risks for clients, assets and services.</w:t>
      </w:r>
    </w:p>
    <w:p w14:paraId="0E8684A5" w14:textId="7D4CA580" w:rsidR="003D5E1A" w:rsidRDefault="00222D72" w:rsidP="005A6B8E">
      <w:pPr>
        <w:pStyle w:val="ARbody"/>
      </w:pPr>
      <w:r>
        <w:t xml:space="preserve">The </w:t>
      </w:r>
      <w:r w:rsidRPr="4E7E9537">
        <w:rPr>
          <w:i/>
          <w:iCs/>
        </w:rPr>
        <w:t xml:space="preserve">Health and human services climate change adaptation action plan 2022–26, </w:t>
      </w:r>
      <w:r>
        <w:t xml:space="preserve">released in early 2022, sets </w:t>
      </w:r>
      <w:r w:rsidR="00C27682">
        <w:t xml:space="preserve">out </w:t>
      </w:r>
      <w:r>
        <w:t xml:space="preserve">a clear program of actions over the next five years. These will help ensure the health system is </w:t>
      </w:r>
      <w:r w:rsidR="00C27682">
        <w:t xml:space="preserve">well placed </w:t>
      </w:r>
      <w:r>
        <w:t>to address the challenges posed by climate change, reduce barriers to adaptation planning and action and lay the foundation for transformational adaptation.</w:t>
      </w:r>
    </w:p>
    <w:p w14:paraId="671366C7" w14:textId="4126F4B4" w:rsidR="00222D72" w:rsidRDefault="00222D72" w:rsidP="004C7BEF">
      <w:pPr>
        <w:pStyle w:val="ARbody"/>
      </w:pPr>
      <w:r>
        <w:t>In 2021–22, the department also:</w:t>
      </w:r>
    </w:p>
    <w:p w14:paraId="3AAFC3A1" w14:textId="13434D5C" w:rsidR="003D5E1A" w:rsidRDefault="00222D72" w:rsidP="00222D72">
      <w:pPr>
        <w:pStyle w:val="ARbullet1"/>
      </w:pPr>
      <w:r w:rsidRPr="1A66E8F5">
        <w:t xml:space="preserve">reviewed </w:t>
      </w:r>
      <w:r w:rsidRPr="00224B5C">
        <w:t xml:space="preserve">designs for </w:t>
      </w:r>
      <w:r w:rsidRPr="6456EF91">
        <w:t xml:space="preserve">large </w:t>
      </w:r>
      <w:r w:rsidRPr="4C199290">
        <w:t xml:space="preserve">health </w:t>
      </w:r>
      <w:r w:rsidRPr="00224B5C">
        <w:t>capital projec</w:t>
      </w:r>
      <w:r w:rsidRPr="00222D72">
        <w:t>ts to ensure environmental sustainab</w:t>
      </w:r>
      <w:r w:rsidR="00E36376">
        <w:t>ility</w:t>
      </w:r>
      <w:r w:rsidR="0078098E">
        <w:t xml:space="preserve"> </w:t>
      </w:r>
      <w:r w:rsidRPr="00222D72">
        <w:t>and climate resiliency objectives</w:t>
      </w:r>
      <w:r w:rsidR="00E36376">
        <w:t xml:space="preserve"> were embedded in the facilities</w:t>
      </w:r>
    </w:p>
    <w:p w14:paraId="2EE4BF80" w14:textId="17FB8BEE" w:rsidR="00222D72" w:rsidRPr="00222D72" w:rsidRDefault="00222D72" w:rsidP="00222D72">
      <w:pPr>
        <w:pStyle w:val="ARbullet1"/>
      </w:pPr>
      <w:bookmarkStart w:id="474" w:name="_Hlk110348416"/>
      <w:r>
        <w:t xml:space="preserve">increased the sustainability and climate adaptation requirements for submissions to the </w:t>
      </w:r>
      <w:r w:rsidR="006C15A9">
        <w:t>2022–23</w:t>
      </w:r>
      <w:r>
        <w:t xml:space="preserve"> Regional Health Infrastructure Fund </w:t>
      </w:r>
      <w:r w:rsidR="00A306FA">
        <w:t>P</w:t>
      </w:r>
      <w:r>
        <w:t>rogram, including implementation of specified sustainability initiatives and the availability of a</w:t>
      </w:r>
      <w:r w:rsidR="008F26AE">
        <w:t> </w:t>
      </w:r>
      <w:r>
        <w:t>sustainability allowance to deliver initiatives above standard practice</w:t>
      </w:r>
    </w:p>
    <w:bookmarkEnd w:id="474"/>
    <w:p w14:paraId="456AF9EA" w14:textId="7638EC21" w:rsidR="003D5E1A" w:rsidRDefault="00222D72" w:rsidP="00222D72">
      <w:pPr>
        <w:pStyle w:val="ARbullet1"/>
      </w:pPr>
      <w:r w:rsidRPr="00222D72">
        <w:t>entered a Memorandum of Understanding with</w:t>
      </w:r>
      <w:r w:rsidR="008F26AE">
        <w:t> </w:t>
      </w:r>
      <w:r w:rsidRPr="00222D72">
        <w:t xml:space="preserve">the NSW Department of Treasury for the continued use of the NABERS tool for public hospitals for the period </w:t>
      </w:r>
      <w:r w:rsidR="006C15A9">
        <w:t>2022–23</w:t>
      </w:r>
      <w:r w:rsidRPr="00222D72">
        <w:t xml:space="preserve"> to 202</w:t>
      </w:r>
      <w:r w:rsidR="00BC5B6C">
        <w:t>5–</w:t>
      </w:r>
      <w:r w:rsidRPr="00222D72">
        <w:t>26. The agreement governs the annual energy and</w:t>
      </w:r>
      <w:r w:rsidR="008F26AE">
        <w:t> </w:t>
      </w:r>
      <w:r w:rsidRPr="00222D72">
        <w:t xml:space="preserve">water NABERS rating of Victoria’s public hospitals, ongoing refinement </w:t>
      </w:r>
      <w:r>
        <w:t>of the energy and</w:t>
      </w:r>
      <w:r w:rsidR="008F26AE">
        <w:t> </w:t>
      </w:r>
      <w:r>
        <w:t>water tools and development of a NABERS waste tool for public hospitals.</w:t>
      </w:r>
    </w:p>
    <w:p w14:paraId="68E60D28" w14:textId="03F0BC0D" w:rsidR="00222D72" w:rsidRPr="002029AF" w:rsidRDefault="00222D72" w:rsidP="00222D72">
      <w:pPr>
        <w:pStyle w:val="Heading5"/>
      </w:pPr>
      <w:bookmarkStart w:id="475" w:name="_Toc85121311"/>
      <w:r w:rsidRPr="002029AF">
        <w:t>Communications and behaviour change</w:t>
      </w:r>
      <w:bookmarkEnd w:id="475"/>
    </w:p>
    <w:p w14:paraId="5C93AB25" w14:textId="0589B589" w:rsidR="00222D72" w:rsidRPr="002029AF" w:rsidRDefault="00222D72" w:rsidP="005A6B8E">
      <w:pPr>
        <w:pStyle w:val="ARbody"/>
      </w:pPr>
      <w:r>
        <w:t>The department continues to raise awareness of</w:t>
      </w:r>
      <w:r w:rsidR="008F26AE">
        <w:t> </w:t>
      </w:r>
      <w:r>
        <w:t>and support action on climate change and environmental sustainability in order to drive positive environmental and health outcomes.</w:t>
      </w:r>
    </w:p>
    <w:p w14:paraId="28198EB2" w14:textId="05946559" w:rsidR="00222D72" w:rsidRPr="002029AF" w:rsidRDefault="00222D72" w:rsidP="00222D72">
      <w:pPr>
        <w:pStyle w:val="ARbody"/>
      </w:pPr>
      <w:r>
        <w:t>In 2021–22, the department:</w:t>
      </w:r>
    </w:p>
    <w:p w14:paraId="77841DD9" w14:textId="22631BE6" w:rsidR="00222D72" w:rsidRPr="00222D72" w:rsidRDefault="00222D72" w:rsidP="00222D72">
      <w:pPr>
        <w:pStyle w:val="ARbullet1"/>
      </w:pPr>
      <w:r w:rsidRPr="00080062">
        <w:t>provided regular sustainability updates to the</w:t>
      </w:r>
      <w:r w:rsidR="008F26AE">
        <w:t> </w:t>
      </w:r>
      <w:r w:rsidRPr="00080062">
        <w:t>health sy</w:t>
      </w:r>
      <w:r w:rsidRPr="00222D72">
        <w:t>stem, including information on</w:t>
      </w:r>
      <w:r w:rsidR="008F26AE">
        <w:t> </w:t>
      </w:r>
      <w:r w:rsidRPr="00222D72">
        <w:t>resources prepared by the department, government policies, programs and legislative changes, climate change and sustainability events</w:t>
      </w:r>
    </w:p>
    <w:p w14:paraId="227A1036" w14:textId="3B0B76FE" w:rsidR="00222D72" w:rsidRPr="00222D72" w:rsidRDefault="00222D72" w:rsidP="00222D72">
      <w:pPr>
        <w:pStyle w:val="ARbullet1"/>
      </w:pPr>
      <w:r w:rsidRPr="00222D72">
        <w:t>continued chairing the Australasian Healthcare Infrastructure Alliance Environmentally Sustainable Development sub-group, with sustainability representatives from health jurisdictions around Australia and New Zealand. The discussion focused on the continued application of the NABERS Energy and Water hospital rating tools and the further development of a NABERS Waste tool for hospitals.</w:t>
      </w:r>
    </w:p>
    <w:p w14:paraId="3FCC9D31" w14:textId="3D866FF5" w:rsidR="00222D72" w:rsidRPr="00222D72" w:rsidRDefault="00222D72" w:rsidP="00222D72">
      <w:pPr>
        <w:pStyle w:val="ARbullet1"/>
      </w:pPr>
      <w:r w:rsidRPr="00222D72">
        <w:t>commenced delivery of a quarterly climate change and public health newsletter for Victorian local government</w:t>
      </w:r>
    </w:p>
    <w:p w14:paraId="27B735C5" w14:textId="6981D96D" w:rsidR="00222D72" w:rsidRPr="00222D72" w:rsidRDefault="00222D72" w:rsidP="00222D72">
      <w:pPr>
        <w:pStyle w:val="ARbullet1"/>
      </w:pPr>
      <w:r w:rsidRPr="00222D72">
        <w:t>undertook a range of activities on World Health</w:t>
      </w:r>
      <w:r w:rsidR="008F26AE">
        <w:t> </w:t>
      </w:r>
      <w:r w:rsidRPr="00222D72">
        <w:t>Day, including an all-staff forum for departmental staff and social media in relation to</w:t>
      </w:r>
      <w:r w:rsidR="008F26AE">
        <w:t> </w:t>
      </w:r>
      <w:r w:rsidRPr="00222D72">
        <w:t>the 2022 theme ‘Our Planet Our Health’</w:t>
      </w:r>
    </w:p>
    <w:p w14:paraId="3A969FA8" w14:textId="21A6C4E4" w:rsidR="00222D72" w:rsidRDefault="00222D72" w:rsidP="00222D72">
      <w:pPr>
        <w:pStyle w:val="ARbullet1"/>
      </w:pPr>
      <w:r w:rsidRPr="00222D72">
        <w:t>continued to promote climate change and health and broader resources available through the department’s Better Health Channel, to support Victorian communities to st</w:t>
      </w:r>
      <w:r>
        <w:t xml:space="preserve">ay healthy in </w:t>
      </w:r>
      <w:r w:rsidR="00DB7ECF">
        <w:t xml:space="preserve">a </w:t>
      </w:r>
      <w:r>
        <w:t>changing climate.</w:t>
      </w:r>
    </w:p>
    <w:p w14:paraId="3F77C8BF" w14:textId="4EC9563C" w:rsidR="00222D72" w:rsidRDefault="00222D72" w:rsidP="00222D72">
      <w:pPr>
        <w:pStyle w:val="ARbodyafterbullets"/>
      </w:pPr>
      <w:r>
        <w:t xml:space="preserve">The Victorian Health Building Authority (VHBA) </w:t>
      </w:r>
      <w:r w:rsidRPr="00E36376">
        <w:t>continued the initiative</w:t>
      </w:r>
      <w:r w:rsidR="00D70FC3" w:rsidRPr="00E36376">
        <w:t>,</w:t>
      </w:r>
      <w:r w:rsidR="00D70FC3">
        <w:t xml:space="preserve"> first adopted in </w:t>
      </w:r>
      <w:r w:rsidR="00FC257E">
        <w:t>201</w:t>
      </w:r>
      <w:r w:rsidR="004D4D20">
        <w:t>8–</w:t>
      </w:r>
      <w:r w:rsidR="00FC257E">
        <w:t>19</w:t>
      </w:r>
      <w:r w:rsidR="00356AD5">
        <w:t xml:space="preserve">, </w:t>
      </w:r>
      <w:r>
        <w:t>to</w:t>
      </w:r>
      <w:r w:rsidR="008F26AE">
        <w:t> </w:t>
      </w:r>
      <w:r>
        <w:t xml:space="preserve">rate its offices at 35 Collins Street under the WELL Building Standard to provide a workspace that enhances the health and wellbeing of its employees. In </w:t>
      </w:r>
      <w:r w:rsidR="006C15A9">
        <w:t>2021–22</w:t>
      </w:r>
      <w:r>
        <w:t xml:space="preserve"> the International WELL Building Institute (IWBI) audited VHBA </w:t>
      </w:r>
      <w:r w:rsidRPr="009C6D78">
        <w:t>offices</w:t>
      </w:r>
      <w:r w:rsidR="00486741" w:rsidRPr="00486741">
        <w:t>, but</w:t>
      </w:r>
      <w:r w:rsidR="008F26AE">
        <w:t> </w:t>
      </w:r>
      <w:r w:rsidR="00486741" w:rsidRPr="00486741">
        <w:t>the rating was not received before the end of</w:t>
      </w:r>
      <w:r w:rsidR="008F26AE">
        <w:t> </w:t>
      </w:r>
      <w:r w:rsidR="00486741" w:rsidRPr="00486741">
        <w:t>the reporting year.</w:t>
      </w:r>
    </w:p>
    <w:p w14:paraId="715D239F" w14:textId="77777777" w:rsidR="00222D72" w:rsidRPr="002029AF" w:rsidRDefault="00222D72">
      <w:pPr>
        <w:pStyle w:val="Heading3"/>
      </w:pPr>
      <w:bookmarkStart w:id="476" w:name="_Toc85121312"/>
      <w:r w:rsidRPr="002029AF">
        <w:t xml:space="preserve">Environmental </w:t>
      </w:r>
      <w:r>
        <w:t>data</w:t>
      </w:r>
      <w:bookmarkEnd w:id="476"/>
    </w:p>
    <w:p w14:paraId="1D2C7B9B" w14:textId="77777777" w:rsidR="00222D72" w:rsidRPr="00206595" w:rsidRDefault="00222D72" w:rsidP="00206595">
      <w:pPr>
        <w:pStyle w:val="ARbody"/>
      </w:pPr>
      <w:r w:rsidRPr="002029AF">
        <w:t>The following information has been prepared in accordance with Fin</w:t>
      </w:r>
      <w:r w:rsidRPr="00206595">
        <w:t>ancial Reporting Direction (FRD) 24D and the Global Reporting Initiative (G4) environmental category.</w:t>
      </w:r>
    </w:p>
    <w:p w14:paraId="4E8EB1EA" w14:textId="77777777" w:rsidR="00222D72" w:rsidRPr="00206595" w:rsidRDefault="00222D72" w:rsidP="00206595">
      <w:pPr>
        <w:pStyle w:val="ARbody"/>
      </w:pPr>
      <w:r>
        <w:t>The information relates to the department’s impact on living and non-living natural systems, including land, air, water and ecosystems.</w:t>
      </w:r>
    </w:p>
    <w:p w14:paraId="534C3838" w14:textId="4095615A" w:rsidR="00222D72" w:rsidRPr="002029AF" w:rsidRDefault="00222D72" w:rsidP="00206595">
      <w:pPr>
        <w:pStyle w:val="ARbody"/>
      </w:pPr>
      <w:r>
        <w:t>FRD</w:t>
      </w:r>
      <w:r w:rsidR="00681859">
        <w:t xml:space="preserve"> </w:t>
      </w:r>
      <w:r>
        <w:t>24D</w:t>
      </w:r>
      <w:r w:rsidRPr="00206595">
        <w:t xml:space="preserve"> requires that this report provide information relating to inputs (such as e</w:t>
      </w:r>
      <w:r w:rsidRPr="002029AF">
        <w:t>nergy and water) and outputs (such as emissions and waste).</w:t>
      </w:r>
    </w:p>
    <w:p w14:paraId="2E15B0DC" w14:textId="43E65C33" w:rsidR="00222D72" w:rsidRPr="002029AF" w:rsidRDefault="00222D72" w:rsidP="001E768A">
      <w:pPr>
        <w:pStyle w:val="ARbody"/>
      </w:pPr>
      <w:r>
        <w:t>In addition, procurement, transport, product and</w:t>
      </w:r>
      <w:r w:rsidR="008F33ED">
        <w:t xml:space="preserve"> </w:t>
      </w:r>
      <w:r>
        <w:t>service-related impacts are taken into consideration, as are environmental compliance and expenditure. G4 environmental aspects are partially reported. This includes</w:t>
      </w:r>
      <w:r w:rsidR="00B12606">
        <w:t xml:space="preserve"> </w:t>
      </w:r>
      <w:r>
        <w:t>indicators for materials (EN1, EN2), energy (EN3, EN5), water (EN8), emissions (EN15, EN18), waste (EN23), products and services (EN27) and transport (EN30). All departmental cost figures include GST,</w:t>
      </w:r>
      <w:r w:rsidR="00CD02CF">
        <w:t> </w:t>
      </w:r>
      <w:r>
        <w:t>except where otherwise noted.</w:t>
      </w:r>
    </w:p>
    <w:p w14:paraId="112EACB6" w14:textId="77777777" w:rsidR="00222D72" w:rsidRPr="002029AF" w:rsidRDefault="00222D72" w:rsidP="004C7BEF">
      <w:pPr>
        <w:pStyle w:val="ARbody"/>
      </w:pPr>
      <w:r>
        <w:t xml:space="preserve">In 2021–22, the environmental performance reporting data include property and assets used in the delivery of the department’s core functions, including corporate offices, public hospitals and health services. </w:t>
      </w:r>
      <w:r w:rsidRPr="00080062">
        <w:t>All figures have been forecasted and adjusted to include the most up-to-date information. Where data was not available or estimated in previous years but has since become available, figures have been adjusted to best represent the building portfolio as at 30 June 202</w:t>
      </w:r>
      <w:r w:rsidRPr="1006A99F">
        <w:t>2</w:t>
      </w:r>
      <w:r w:rsidRPr="00080062">
        <w:t>.</w:t>
      </w:r>
    </w:p>
    <w:p w14:paraId="5CFDF8A7" w14:textId="77777777" w:rsidR="003D5E1A" w:rsidRDefault="00222D72" w:rsidP="001E768A">
      <w:pPr>
        <w:pStyle w:val="ARbody"/>
      </w:pPr>
      <w:r>
        <w:t>At 30 June 2022, the department provided its administered services from 14 office locations across the state.</w:t>
      </w:r>
    </w:p>
    <w:p w14:paraId="2CCA6AB4" w14:textId="62B48CFA" w:rsidR="00222D72" w:rsidRPr="002029AF" w:rsidRDefault="00222D72" w:rsidP="001E768A">
      <w:pPr>
        <w:pStyle w:val="ARbody"/>
      </w:pPr>
      <w:r>
        <w:t xml:space="preserve">Public hospital and health services energy and water data represents a </w:t>
      </w:r>
      <w:r w:rsidR="00681859">
        <w:t xml:space="preserve">summary </w:t>
      </w:r>
      <w:r>
        <w:t>of data reported by Victoria’s public hospitals and health services, including Ambulance Victoria.</w:t>
      </w:r>
    </w:p>
    <w:p w14:paraId="6C6C536E" w14:textId="291FF419" w:rsidR="00222D72" w:rsidRPr="002029AF" w:rsidRDefault="005B498B" w:rsidP="001E768A">
      <w:pPr>
        <w:pStyle w:val="ARbody"/>
      </w:pPr>
      <w:r>
        <w:br w:type="column"/>
      </w:r>
      <w:r w:rsidR="00222D72">
        <w:t>On 1 October 2021, the department changed how</w:t>
      </w:r>
      <w:r>
        <w:t> </w:t>
      </w:r>
      <w:r w:rsidR="00222D72">
        <w:t>it</w:t>
      </w:r>
      <w:r>
        <w:t> </w:t>
      </w:r>
      <w:r w:rsidR="00222D72">
        <w:t>procured energy through its cogeneration energy services agreement from procuring the cogeneration outputs (steam and cogenerated electricity) to cogeneration inputs (natural gas). This has resulted in an increase in natural gas and a reduction in the amount of steam and electricity reported.</w:t>
      </w:r>
    </w:p>
    <w:p w14:paraId="002FFE7C" w14:textId="3B29B17B" w:rsidR="00222D72" w:rsidRDefault="00222D72" w:rsidP="004C7BEF">
      <w:pPr>
        <w:pStyle w:val="ARbody"/>
      </w:pPr>
      <w:r w:rsidRPr="002029AF">
        <w:t>To continually improve the accuracy of reporting,</w:t>
      </w:r>
      <w:r>
        <w:t> </w:t>
      </w:r>
      <w:r w:rsidRPr="002029AF">
        <w:t>the department review</w:t>
      </w:r>
      <w:r>
        <w:t>s</w:t>
      </w:r>
      <w:r w:rsidRPr="002029AF">
        <w:t xml:space="preserve"> data on an ongoing basis. Changes to previously reported data</w:t>
      </w:r>
      <w:r>
        <w:t> </w:t>
      </w:r>
      <w:r w:rsidRPr="002029AF">
        <w:t xml:space="preserve">can therefore occur and can be attributed to changes in the number of facilities reporting, </w:t>
      </w:r>
      <w:r>
        <w:t>to</w:t>
      </w:r>
      <w:r w:rsidRPr="002029AF">
        <w:t xml:space="preserve"> decommissioning, expansion or new build, and/or </w:t>
      </w:r>
      <w:r>
        <w:t xml:space="preserve">to </w:t>
      </w:r>
      <w:r w:rsidRPr="002029AF">
        <w:t>better-quality data received from health services and/or suppliers. Bed days include inpatient occupied bed days (OBD) and public sector residential aged care bed days.</w:t>
      </w:r>
    </w:p>
    <w:p w14:paraId="593B19D2" w14:textId="1361527E" w:rsidR="00222D72" w:rsidRDefault="00222D72" w:rsidP="004C7BEF">
      <w:pPr>
        <w:pStyle w:val="ARbody"/>
      </w:pPr>
      <w:r>
        <w:t xml:space="preserve">A new </w:t>
      </w:r>
      <w:r w:rsidR="00681859">
        <w:t>FRD</w:t>
      </w:r>
      <w:r>
        <w:t xml:space="preserve"> 24 </w:t>
      </w:r>
      <w:r w:rsidRPr="76E80285">
        <w:rPr>
          <w:i/>
          <w:iCs/>
        </w:rPr>
        <w:t xml:space="preserve">Reporting of environmental data by government entities </w:t>
      </w:r>
      <w:r>
        <w:t xml:space="preserve">is effective from 1 July 2022 and will apply for the </w:t>
      </w:r>
      <w:r w:rsidR="006C15A9">
        <w:t>2022–23</w:t>
      </w:r>
      <w:r>
        <w:t xml:space="preserve"> reporting period onwards. Some of the changes being implemented through this new FRD 24 include:</w:t>
      </w:r>
    </w:p>
    <w:p w14:paraId="4B5A78E3" w14:textId="4EA9B8F7" w:rsidR="00222D72" w:rsidRPr="00222D72" w:rsidRDefault="00222D72" w:rsidP="00222D72">
      <w:pPr>
        <w:pStyle w:val="ARbullet1"/>
      </w:pPr>
      <w:r>
        <w:t>extending application to all public sector entities</w:t>
      </w:r>
      <w:r w:rsidR="005B498B">
        <w:t> </w:t>
      </w:r>
      <w:r w:rsidRPr="00222D72">
        <w:t>(with a tiered approach to reporting requirements)</w:t>
      </w:r>
    </w:p>
    <w:p w14:paraId="68DC7002" w14:textId="357F2781" w:rsidR="00222D72" w:rsidRPr="00222D72" w:rsidRDefault="00222D72" w:rsidP="00222D72">
      <w:pPr>
        <w:pStyle w:val="ARbullet1"/>
      </w:pPr>
      <w:r w:rsidRPr="00222D72">
        <w:t>expanding the activities reported on to office and</w:t>
      </w:r>
      <w:r>
        <w:t> </w:t>
      </w:r>
      <w:r w:rsidRPr="00222D72">
        <w:t>non-office</w:t>
      </w:r>
      <w:r w:rsidR="00763475">
        <w:t>-</w:t>
      </w:r>
      <w:r w:rsidRPr="00222D72">
        <w:t>based activities</w:t>
      </w:r>
    </w:p>
    <w:p w14:paraId="26AD3658" w14:textId="45822094" w:rsidR="003D5E1A" w:rsidRDefault="00222D72" w:rsidP="00222D72">
      <w:pPr>
        <w:pStyle w:val="ARbullet1"/>
      </w:pPr>
      <w:r w:rsidRPr="00222D72">
        <w:t>adding new reporting indicators on climate-related risk management, environmental management systems, buildings and infrastructure, and waste and recycling</w:t>
      </w:r>
    </w:p>
    <w:p w14:paraId="55E66F22" w14:textId="2C28B5D8" w:rsidR="003D5E1A" w:rsidRDefault="00222D72" w:rsidP="00222D72">
      <w:pPr>
        <w:pStyle w:val="ARbullet1"/>
      </w:pPr>
      <w:r w:rsidRPr="00222D72">
        <w:t>removing some indicators related to paper usage, waste and procurement</w:t>
      </w:r>
    </w:p>
    <w:p w14:paraId="00C393AE" w14:textId="30D4DE69" w:rsidR="003D5E1A" w:rsidRDefault="00222D72" w:rsidP="00222D72">
      <w:pPr>
        <w:pStyle w:val="ARbullet1"/>
      </w:pPr>
      <w:r w:rsidRPr="00222D72">
        <w:t>introducing some new optional procurement, buildings and infrastructure, and waste indicators</w:t>
      </w:r>
    </w:p>
    <w:p w14:paraId="03E67B42" w14:textId="04425BAC" w:rsidR="00222D72" w:rsidRDefault="00222D72" w:rsidP="00222D72">
      <w:pPr>
        <w:pStyle w:val="ARbullet1"/>
      </w:pPr>
      <w:r w:rsidRPr="00222D72">
        <w:t>making some previously optional indicators mandatory for electricity, transport</w:t>
      </w:r>
      <w:r>
        <w:t>, and buildings and infrastructure.</w:t>
      </w:r>
    </w:p>
    <w:bookmarkEnd w:id="465"/>
    <w:bookmarkEnd w:id="466"/>
    <w:p w14:paraId="3C1338F7" w14:textId="77777777" w:rsidR="00222D72" w:rsidRPr="002029AF" w:rsidRDefault="00222D72" w:rsidP="006A4476">
      <w:pPr>
        <w:pStyle w:val="ARbody"/>
        <w:sectPr w:rsidR="00222D72" w:rsidRPr="002029AF" w:rsidSect="009D1AA8">
          <w:endnotePr>
            <w:numFmt w:val="decimal"/>
          </w:endnotePr>
          <w:type w:val="continuous"/>
          <w:pgSz w:w="11900" w:h="16840" w:code="9"/>
          <w:pgMar w:top="1985" w:right="1134" w:bottom="851" w:left="1134" w:header="510" w:footer="340" w:gutter="0"/>
          <w:cols w:num="2" w:space="454"/>
          <w15:footnoteColumns w:val="1"/>
        </w:sectPr>
      </w:pPr>
    </w:p>
    <w:p w14:paraId="487D3917" w14:textId="77777777" w:rsidR="00222D72" w:rsidRDefault="00222D72" w:rsidP="004C7BEF">
      <w:pPr>
        <w:pStyle w:val="Heading4"/>
        <w:spacing w:before="0"/>
        <w:rPr>
          <w:rFonts w:eastAsia="Arial"/>
        </w:rPr>
      </w:pPr>
      <w:r w:rsidRPr="47AEECA1">
        <w:rPr>
          <w:rFonts w:eastAsia="Arial"/>
        </w:rPr>
        <w:t>Greenhouse gas emissions</w:t>
      </w:r>
    </w:p>
    <w:tbl>
      <w:tblPr>
        <w:tblStyle w:val="TableGrid"/>
        <w:tblW w:w="9639" w:type="dxa"/>
        <w:tblLayout w:type="fixed"/>
        <w:tblLook w:val="06A0" w:firstRow="1" w:lastRow="0" w:firstColumn="1" w:lastColumn="0" w:noHBand="1" w:noVBand="1"/>
      </w:tblPr>
      <w:tblGrid>
        <w:gridCol w:w="5046"/>
        <w:gridCol w:w="1531"/>
        <w:gridCol w:w="1531"/>
        <w:gridCol w:w="1531"/>
      </w:tblGrid>
      <w:tr w:rsidR="00222D72" w14:paraId="32A00DC6" w14:textId="77777777" w:rsidTr="00D64C75">
        <w:trPr>
          <w:cnfStyle w:val="100000000000" w:firstRow="1" w:lastRow="0" w:firstColumn="0" w:lastColumn="0" w:oddVBand="0" w:evenVBand="0" w:oddHBand="0" w:evenHBand="0" w:firstRowFirstColumn="0" w:firstRowLastColumn="0" w:lastRowFirstColumn="0" w:lastRowLastColumn="0"/>
          <w:trHeight w:val="270"/>
          <w:tblHeader/>
        </w:trPr>
        <w:tc>
          <w:tcPr>
            <w:tcW w:w="5046" w:type="dxa"/>
          </w:tcPr>
          <w:p w14:paraId="07040DA3" w14:textId="165D4DA5" w:rsidR="00222D72" w:rsidRDefault="00222D72" w:rsidP="004C7BEF">
            <w:pPr>
              <w:pStyle w:val="ARtablecolhead"/>
              <w:rPr>
                <w:rFonts w:eastAsia="Arial"/>
              </w:rPr>
            </w:pPr>
            <w:r w:rsidRPr="4E7E9537">
              <w:rPr>
                <w:rFonts w:eastAsia="Arial"/>
              </w:rPr>
              <w:t>Total greenhouse gas emissions (tonnes CO</w:t>
            </w:r>
            <w:r w:rsidR="0072453F" w:rsidRPr="00125EE1">
              <w:rPr>
                <w:rStyle w:val="Subscript"/>
              </w:rPr>
              <w:t>2</w:t>
            </w:r>
            <w:r w:rsidRPr="4E7E9537">
              <w:rPr>
                <w:rFonts w:eastAsia="Arial"/>
              </w:rPr>
              <w:t>-e) associated with:</w:t>
            </w:r>
          </w:p>
        </w:tc>
        <w:tc>
          <w:tcPr>
            <w:tcW w:w="1531" w:type="dxa"/>
          </w:tcPr>
          <w:p w14:paraId="418BD75E" w14:textId="45751C9B" w:rsidR="00222D72" w:rsidRDefault="006C15A9" w:rsidP="004C7BEF">
            <w:pPr>
              <w:pStyle w:val="ARtablecolheadright"/>
              <w:rPr>
                <w:rFonts w:eastAsia="Arial"/>
              </w:rPr>
            </w:pPr>
            <w:r>
              <w:rPr>
                <w:rFonts w:eastAsia="Arial"/>
              </w:rPr>
              <w:t>2021–22</w:t>
            </w:r>
            <w:r w:rsidR="00222D72" w:rsidRPr="4E7E9537">
              <w:rPr>
                <w:rFonts w:eastAsia="Arial"/>
              </w:rPr>
              <w:t xml:space="preserve"> estimate</w:t>
            </w:r>
          </w:p>
        </w:tc>
        <w:tc>
          <w:tcPr>
            <w:tcW w:w="1531" w:type="dxa"/>
          </w:tcPr>
          <w:p w14:paraId="2CD210FC" w14:textId="77777777" w:rsidR="00222D72" w:rsidRDefault="00222D72" w:rsidP="004C7BEF">
            <w:pPr>
              <w:pStyle w:val="ARtablecolheadright"/>
              <w:rPr>
                <w:rFonts w:eastAsia="Arial"/>
              </w:rPr>
            </w:pPr>
            <w:r w:rsidRPr="4E7E9537">
              <w:rPr>
                <w:rFonts w:eastAsia="Arial"/>
              </w:rPr>
              <w:t>2020–21 estimate</w:t>
            </w:r>
          </w:p>
        </w:tc>
        <w:tc>
          <w:tcPr>
            <w:tcW w:w="1531" w:type="dxa"/>
          </w:tcPr>
          <w:p w14:paraId="11E2533D" w14:textId="0B30C00F" w:rsidR="00222D72" w:rsidRDefault="00222D72" w:rsidP="004C7BEF">
            <w:pPr>
              <w:pStyle w:val="ARtablecolheadright"/>
              <w:rPr>
                <w:rFonts w:eastAsia="Arial"/>
              </w:rPr>
            </w:pPr>
            <w:r w:rsidRPr="4E7E9537">
              <w:rPr>
                <w:rFonts w:eastAsia="Arial"/>
              </w:rPr>
              <w:t>2019–20</w:t>
            </w:r>
            <w:r>
              <w:rPr>
                <w:rFonts w:eastAsia="Arial"/>
              </w:rPr>
              <w:t xml:space="preserve"> </w:t>
            </w:r>
            <w:r w:rsidRPr="4E7E9537">
              <w:rPr>
                <w:rFonts w:eastAsia="Arial"/>
              </w:rPr>
              <w:t>estimate</w:t>
            </w:r>
          </w:p>
        </w:tc>
      </w:tr>
      <w:tr w:rsidR="00222D72" w14:paraId="50F53115" w14:textId="77777777" w:rsidTr="00D64C75">
        <w:trPr>
          <w:cantSplit w:val="0"/>
          <w:trHeight w:val="270"/>
        </w:trPr>
        <w:tc>
          <w:tcPr>
            <w:tcW w:w="5046" w:type="dxa"/>
          </w:tcPr>
          <w:p w14:paraId="413D2AC3" w14:textId="33A01496" w:rsidR="00222D72" w:rsidRDefault="00222D72" w:rsidP="004C7BEF">
            <w:pPr>
              <w:pStyle w:val="ARtabletext"/>
              <w:rPr>
                <w:rFonts w:eastAsia="Arial"/>
                <w:color w:val="000000" w:themeColor="text1"/>
              </w:rPr>
            </w:pPr>
            <w:r w:rsidRPr="4E7E9537">
              <w:rPr>
                <w:rFonts w:eastAsia="Arial"/>
                <w:color w:val="000000" w:themeColor="text1"/>
              </w:rPr>
              <w:t>Public hospital energy use</w:t>
            </w:r>
          </w:p>
        </w:tc>
        <w:tc>
          <w:tcPr>
            <w:tcW w:w="1531" w:type="dxa"/>
          </w:tcPr>
          <w:p w14:paraId="629E5FC4" w14:textId="77777777" w:rsidR="00222D72" w:rsidRPr="00CA1FBD" w:rsidRDefault="00222D72" w:rsidP="00B60921">
            <w:pPr>
              <w:pStyle w:val="ARtabletextright"/>
            </w:pPr>
            <w:r w:rsidRPr="4E7E9537">
              <w:t>738,304</w:t>
            </w:r>
          </w:p>
        </w:tc>
        <w:tc>
          <w:tcPr>
            <w:tcW w:w="1531" w:type="dxa"/>
          </w:tcPr>
          <w:p w14:paraId="70CCD5BD" w14:textId="77777777" w:rsidR="00222D72" w:rsidRPr="00CA1FBD" w:rsidRDefault="00222D72" w:rsidP="00B60921">
            <w:pPr>
              <w:pStyle w:val="ARtabletextright"/>
            </w:pPr>
            <w:r w:rsidRPr="4E7E9537">
              <w:t>757,614</w:t>
            </w:r>
          </w:p>
        </w:tc>
        <w:tc>
          <w:tcPr>
            <w:tcW w:w="1531" w:type="dxa"/>
          </w:tcPr>
          <w:p w14:paraId="7D30B74E" w14:textId="77777777" w:rsidR="00222D72" w:rsidRPr="00CA1FBD" w:rsidRDefault="00222D72" w:rsidP="00B60921">
            <w:pPr>
              <w:pStyle w:val="ARtabletextright"/>
            </w:pPr>
            <w:r w:rsidRPr="4E7E9537">
              <w:t>777,238</w:t>
            </w:r>
          </w:p>
        </w:tc>
      </w:tr>
      <w:tr w:rsidR="00222D72" w14:paraId="724DAA13" w14:textId="77777777" w:rsidTr="00D64C75">
        <w:trPr>
          <w:cantSplit w:val="0"/>
          <w:trHeight w:val="270"/>
        </w:trPr>
        <w:tc>
          <w:tcPr>
            <w:tcW w:w="5046" w:type="dxa"/>
          </w:tcPr>
          <w:p w14:paraId="6968D54F" w14:textId="77777777" w:rsidR="00222D72" w:rsidRDefault="00222D72" w:rsidP="004C7BEF">
            <w:pPr>
              <w:pStyle w:val="ARtabletext"/>
              <w:rPr>
                <w:rFonts w:eastAsia="Arial"/>
                <w:color w:val="000000" w:themeColor="text1"/>
              </w:rPr>
            </w:pPr>
            <w:r w:rsidRPr="4E7E9537">
              <w:rPr>
                <w:rFonts w:eastAsia="Arial"/>
                <w:color w:val="000000" w:themeColor="text1"/>
              </w:rPr>
              <w:t>Office-based energy use</w:t>
            </w:r>
          </w:p>
        </w:tc>
        <w:tc>
          <w:tcPr>
            <w:tcW w:w="1531" w:type="dxa"/>
          </w:tcPr>
          <w:p w14:paraId="75CC1A01" w14:textId="77777777" w:rsidR="00222D72" w:rsidRPr="00296D69" w:rsidRDefault="00222D72" w:rsidP="00B60921">
            <w:pPr>
              <w:pStyle w:val="ARtabletextright"/>
            </w:pPr>
            <w:r w:rsidRPr="4E7E9537">
              <w:t xml:space="preserve">2,486 </w:t>
            </w:r>
          </w:p>
        </w:tc>
        <w:tc>
          <w:tcPr>
            <w:tcW w:w="1531" w:type="dxa"/>
          </w:tcPr>
          <w:p w14:paraId="320E7E31" w14:textId="77777777" w:rsidR="00222D72" w:rsidRDefault="00222D72" w:rsidP="00B60921">
            <w:pPr>
              <w:pStyle w:val="ARtabletextright"/>
            </w:pPr>
            <w:r w:rsidRPr="4E7E9537">
              <w:t>N/A</w:t>
            </w:r>
          </w:p>
        </w:tc>
        <w:tc>
          <w:tcPr>
            <w:tcW w:w="1531" w:type="dxa"/>
          </w:tcPr>
          <w:p w14:paraId="710BF1F1" w14:textId="77777777" w:rsidR="00222D72" w:rsidRDefault="00222D72" w:rsidP="00B60921">
            <w:pPr>
              <w:pStyle w:val="ARtabletextright"/>
            </w:pPr>
            <w:r w:rsidRPr="4E7E9537">
              <w:t>N/A</w:t>
            </w:r>
          </w:p>
        </w:tc>
      </w:tr>
      <w:tr w:rsidR="00222D72" w14:paraId="408ABBBA" w14:textId="77777777" w:rsidTr="00D64C75">
        <w:trPr>
          <w:cantSplit w:val="0"/>
          <w:trHeight w:val="270"/>
        </w:trPr>
        <w:tc>
          <w:tcPr>
            <w:tcW w:w="5046" w:type="dxa"/>
          </w:tcPr>
          <w:p w14:paraId="2882A0F3" w14:textId="1F428321" w:rsidR="00222D72" w:rsidRDefault="00222D72" w:rsidP="004C7BEF">
            <w:pPr>
              <w:pStyle w:val="ARtabletext"/>
              <w:rPr>
                <w:rFonts w:eastAsia="Arial"/>
                <w:color w:val="000000" w:themeColor="text1"/>
              </w:rPr>
            </w:pPr>
            <w:r w:rsidRPr="4E7E9537">
              <w:rPr>
                <w:rFonts w:eastAsia="Arial"/>
                <w:color w:val="000000" w:themeColor="text1"/>
              </w:rPr>
              <w:t>Public hospital nitrous oxide</w:t>
            </w:r>
          </w:p>
        </w:tc>
        <w:tc>
          <w:tcPr>
            <w:tcW w:w="1531" w:type="dxa"/>
          </w:tcPr>
          <w:p w14:paraId="36656278" w14:textId="77777777" w:rsidR="00222D72" w:rsidRPr="00296D69" w:rsidRDefault="00222D72" w:rsidP="00B60921">
            <w:pPr>
              <w:pStyle w:val="ARtabletextright"/>
            </w:pPr>
            <w:r w:rsidRPr="4E7E9537">
              <w:t>15,719</w:t>
            </w:r>
          </w:p>
        </w:tc>
        <w:tc>
          <w:tcPr>
            <w:tcW w:w="1531" w:type="dxa"/>
          </w:tcPr>
          <w:p w14:paraId="6A7F676A" w14:textId="77777777" w:rsidR="00222D72" w:rsidRPr="000A1FC0" w:rsidRDefault="00222D72" w:rsidP="00B60921">
            <w:pPr>
              <w:pStyle w:val="ARtabletextright"/>
            </w:pPr>
            <w:r w:rsidRPr="4E7E9537">
              <w:t>15,811</w:t>
            </w:r>
          </w:p>
        </w:tc>
        <w:tc>
          <w:tcPr>
            <w:tcW w:w="1531" w:type="dxa"/>
          </w:tcPr>
          <w:p w14:paraId="34AF34D6" w14:textId="77777777" w:rsidR="00222D72" w:rsidRPr="000A1FC0" w:rsidRDefault="00222D72" w:rsidP="00B60921">
            <w:pPr>
              <w:pStyle w:val="ARtabletextright"/>
            </w:pPr>
            <w:r w:rsidRPr="4E7E9537">
              <w:t>15,708</w:t>
            </w:r>
          </w:p>
        </w:tc>
      </w:tr>
      <w:tr w:rsidR="00222D72" w14:paraId="08BA4BBE" w14:textId="77777777" w:rsidTr="00D64C75">
        <w:trPr>
          <w:cantSplit w:val="0"/>
          <w:trHeight w:val="270"/>
        </w:trPr>
        <w:tc>
          <w:tcPr>
            <w:tcW w:w="5046" w:type="dxa"/>
          </w:tcPr>
          <w:p w14:paraId="25509B13" w14:textId="77777777" w:rsidR="00222D72" w:rsidRDefault="00222D72" w:rsidP="004C7BEF">
            <w:pPr>
              <w:pStyle w:val="ARtabletext"/>
              <w:rPr>
                <w:rFonts w:eastAsia="Arial"/>
                <w:color w:val="000000" w:themeColor="text1"/>
              </w:rPr>
            </w:pPr>
            <w:r w:rsidRPr="4E7E9537">
              <w:rPr>
                <w:rFonts w:eastAsia="Arial"/>
                <w:color w:val="000000" w:themeColor="text1"/>
              </w:rPr>
              <w:t>Vehicle fleet and air travel</w:t>
            </w:r>
          </w:p>
        </w:tc>
        <w:tc>
          <w:tcPr>
            <w:tcW w:w="1531" w:type="dxa"/>
          </w:tcPr>
          <w:p w14:paraId="2059ECD7" w14:textId="77777777" w:rsidR="00222D72" w:rsidRPr="00296D69" w:rsidRDefault="00222D72" w:rsidP="00B60921">
            <w:pPr>
              <w:pStyle w:val="ARtabletextright"/>
            </w:pPr>
            <w:r w:rsidRPr="4E7E9537">
              <w:t>460</w:t>
            </w:r>
          </w:p>
        </w:tc>
        <w:tc>
          <w:tcPr>
            <w:tcW w:w="1531" w:type="dxa"/>
          </w:tcPr>
          <w:p w14:paraId="34DFABC7" w14:textId="77777777" w:rsidR="00222D72" w:rsidRDefault="00222D72" w:rsidP="00B60921">
            <w:pPr>
              <w:pStyle w:val="ARtabletextright"/>
            </w:pPr>
            <w:r w:rsidRPr="4E7E9537">
              <w:t>N/A</w:t>
            </w:r>
          </w:p>
        </w:tc>
        <w:tc>
          <w:tcPr>
            <w:tcW w:w="1531" w:type="dxa"/>
          </w:tcPr>
          <w:p w14:paraId="03CDC990" w14:textId="77777777" w:rsidR="00222D72" w:rsidRDefault="00222D72" w:rsidP="00B60921">
            <w:pPr>
              <w:pStyle w:val="ARtabletextright"/>
            </w:pPr>
            <w:r w:rsidRPr="4E7E9537">
              <w:t>N/A</w:t>
            </w:r>
          </w:p>
        </w:tc>
      </w:tr>
      <w:tr w:rsidR="00222D72" w14:paraId="36370516" w14:textId="77777777" w:rsidTr="00D64C75">
        <w:trPr>
          <w:cantSplit w:val="0"/>
          <w:trHeight w:val="270"/>
        </w:trPr>
        <w:tc>
          <w:tcPr>
            <w:tcW w:w="5046" w:type="dxa"/>
          </w:tcPr>
          <w:p w14:paraId="6DF874DD" w14:textId="77777777" w:rsidR="00222D72" w:rsidRDefault="00222D72" w:rsidP="004C7BEF">
            <w:pPr>
              <w:pStyle w:val="ARtabletext"/>
              <w:rPr>
                <w:rFonts w:eastAsia="Arial"/>
                <w:color w:val="000000" w:themeColor="text1"/>
              </w:rPr>
            </w:pPr>
            <w:r w:rsidRPr="4E7E9537">
              <w:rPr>
                <w:rFonts w:eastAsia="Arial"/>
                <w:color w:val="000000" w:themeColor="text1"/>
              </w:rPr>
              <w:t>Hospital emergency transport</w:t>
            </w:r>
          </w:p>
        </w:tc>
        <w:tc>
          <w:tcPr>
            <w:tcW w:w="1531" w:type="dxa"/>
          </w:tcPr>
          <w:p w14:paraId="6FA82F01" w14:textId="77777777" w:rsidR="00222D72" w:rsidRPr="00296D69" w:rsidRDefault="00222D72" w:rsidP="00B60921">
            <w:pPr>
              <w:pStyle w:val="ARtabletextright"/>
            </w:pPr>
            <w:r w:rsidRPr="4E7E9537">
              <w:t>24,363</w:t>
            </w:r>
          </w:p>
        </w:tc>
        <w:tc>
          <w:tcPr>
            <w:tcW w:w="1531" w:type="dxa"/>
          </w:tcPr>
          <w:p w14:paraId="222028C9" w14:textId="77777777" w:rsidR="00222D72" w:rsidRPr="000A1FC0" w:rsidRDefault="00222D72" w:rsidP="00B60921">
            <w:pPr>
              <w:pStyle w:val="ARtabletextright"/>
            </w:pPr>
            <w:r w:rsidRPr="4E7E9537">
              <w:t>24,465</w:t>
            </w:r>
          </w:p>
        </w:tc>
        <w:tc>
          <w:tcPr>
            <w:tcW w:w="1531" w:type="dxa"/>
          </w:tcPr>
          <w:p w14:paraId="46C95E64" w14:textId="77777777" w:rsidR="00222D72" w:rsidRPr="000A1FC0" w:rsidRDefault="00222D72" w:rsidP="00B60921">
            <w:pPr>
              <w:pStyle w:val="ARtabletextright"/>
            </w:pPr>
            <w:r w:rsidRPr="4E7E9537">
              <w:t>22,994</w:t>
            </w:r>
          </w:p>
        </w:tc>
      </w:tr>
      <w:tr w:rsidR="00222D72" w14:paraId="673616AD" w14:textId="77777777" w:rsidTr="00D64C75">
        <w:trPr>
          <w:cantSplit w:val="0"/>
          <w:trHeight w:val="270"/>
        </w:trPr>
        <w:tc>
          <w:tcPr>
            <w:tcW w:w="5046" w:type="dxa"/>
          </w:tcPr>
          <w:p w14:paraId="77CADFE6" w14:textId="77777777" w:rsidR="00222D72" w:rsidRDefault="00222D72" w:rsidP="004C7BEF">
            <w:pPr>
              <w:pStyle w:val="ARtabletext"/>
              <w:rPr>
                <w:rFonts w:eastAsia="Arial"/>
                <w:color w:val="000000" w:themeColor="text1"/>
              </w:rPr>
            </w:pPr>
            <w:r w:rsidRPr="4E7E9537">
              <w:rPr>
                <w:rFonts w:eastAsia="Arial"/>
                <w:color w:val="000000" w:themeColor="text1"/>
              </w:rPr>
              <w:t>Public hospital waste production</w:t>
            </w:r>
          </w:p>
        </w:tc>
        <w:tc>
          <w:tcPr>
            <w:tcW w:w="1531" w:type="dxa"/>
          </w:tcPr>
          <w:p w14:paraId="3CFC82A0" w14:textId="77777777" w:rsidR="00222D72" w:rsidRPr="00296D69" w:rsidRDefault="00222D72" w:rsidP="00B60921">
            <w:pPr>
              <w:pStyle w:val="ARtabletextright"/>
            </w:pPr>
            <w:r w:rsidRPr="4E7E9537">
              <w:t>34,781</w:t>
            </w:r>
          </w:p>
        </w:tc>
        <w:tc>
          <w:tcPr>
            <w:tcW w:w="1531" w:type="dxa"/>
          </w:tcPr>
          <w:p w14:paraId="3E2C0892" w14:textId="77777777" w:rsidR="00222D72" w:rsidRPr="000A1FC0" w:rsidRDefault="00222D72" w:rsidP="00B60921">
            <w:pPr>
              <w:pStyle w:val="ARtabletextright"/>
            </w:pPr>
            <w:r w:rsidRPr="4E7E9537">
              <w:t>38,607</w:t>
            </w:r>
          </w:p>
        </w:tc>
        <w:tc>
          <w:tcPr>
            <w:tcW w:w="1531" w:type="dxa"/>
          </w:tcPr>
          <w:p w14:paraId="3A5197B7" w14:textId="77777777" w:rsidR="00222D72" w:rsidRPr="000A1FC0" w:rsidRDefault="00222D72" w:rsidP="00B60921">
            <w:pPr>
              <w:pStyle w:val="ARtabletextright"/>
            </w:pPr>
            <w:r w:rsidRPr="4E7E9537">
              <w:t>32,161</w:t>
            </w:r>
          </w:p>
        </w:tc>
      </w:tr>
      <w:tr w:rsidR="00222D72" w14:paraId="79F3E933" w14:textId="77777777" w:rsidTr="00D64C75">
        <w:trPr>
          <w:cantSplit w:val="0"/>
          <w:trHeight w:val="270"/>
        </w:trPr>
        <w:tc>
          <w:tcPr>
            <w:tcW w:w="5046" w:type="dxa"/>
          </w:tcPr>
          <w:p w14:paraId="2110EAD4" w14:textId="55AD4B26" w:rsidR="00222D72" w:rsidRDefault="00222D72" w:rsidP="004C7BEF">
            <w:pPr>
              <w:pStyle w:val="ARtabletext"/>
              <w:rPr>
                <w:rFonts w:eastAsia="Arial"/>
                <w:color w:val="000000" w:themeColor="text1"/>
              </w:rPr>
            </w:pPr>
            <w:r w:rsidRPr="4E7E9537">
              <w:rPr>
                <w:rFonts w:eastAsia="Arial"/>
                <w:color w:val="000000" w:themeColor="text1"/>
              </w:rPr>
              <w:t>Health service vehicle fleet</w:t>
            </w:r>
            <w:r w:rsidR="00112AF2">
              <w:rPr>
                <w:rFonts w:eastAsia="Arial"/>
                <w:color w:val="000000" w:themeColor="text1"/>
              </w:rPr>
              <w:t>s</w:t>
            </w:r>
          </w:p>
        </w:tc>
        <w:tc>
          <w:tcPr>
            <w:tcW w:w="1531" w:type="dxa"/>
          </w:tcPr>
          <w:p w14:paraId="210D83C9" w14:textId="77777777" w:rsidR="00222D72" w:rsidRPr="0085538C" w:rsidRDefault="00222D72" w:rsidP="00B60921">
            <w:pPr>
              <w:pStyle w:val="ARtabletextright"/>
            </w:pPr>
            <w:r w:rsidRPr="4E7E9537">
              <w:t>4,701</w:t>
            </w:r>
          </w:p>
        </w:tc>
        <w:tc>
          <w:tcPr>
            <w:tcW w:w="1531" w:type="dxa"/>
          </w:tcPr>
          <w:p w14:paraId="1E857569" w14:textId="77777777" w:rsidR="00222D72" w:rsidRPr="000A1FC0" w:rsidRDefault="00222D72" w:rsidP="00B60921">
            <w:pPr>
              <w:pStyle w:val="ARtabletextright"/>
            </w:pPr>
            <w:r w:rsidRPr="4E7E9537">
              <w:t>5,290</w:t>
            </w:r>
          </w:p>
        </w:tc>
        <w:tc>
          <w:tcPr>
            <w:tcW w:w="1531" w:type="dxa"/>
          </w:tcPr>
          <w:p w14:paraId="00F60A40" w14:textId="77777777" w:rsidR="00222D72" w:rsidRPr="000A1FC0" w:rsidRDefault="00222D72" w:rsidP="00B60921">
            <w:pPr>
              <w:pStyle w:val="ARtabletextright"/>
            </w:pPr>
            <w:r w:rsidRPr="4E7E9537">
              <w:t>5,453</w:t>
            </w:r>
          </w:p>
        </w:tc>
      </w:tr>
      <w:tr w:rsidR="00222D72" w14:paraId="34485B9F" w14:textId="77777777" w:rsidTr="00D64C75">
        <w:trPr>
          <w:cantSplit w:val="0"/>
          <w:trHeight w:val="270"/>
        </w:trPr>
        <w:tc>
          <w:tcPr>
            <w:tcW w:w="5046" w:type="dxa"/>
          </w:tcPr>
          <w:p w14:paraId="1D465353" w14:textId="77777777" w:rsidR="00222D72" w:rsidRDefault="00222D72" w:rsidP="004C7BEF">
            <w:pPr>
              <w:pStyle w:val="ARtabletext"/>
              <w:rPr>
                <w:rFonts w:eastAsia="Arial"/>
                <w:color w:val="000000" w:themeColor="text1"/>
              </w:rPr>
            </w:pPr>
            <w:r w:rsidRPr="4E7E9537">
              <w:rPr>
                <w:rFonts w:eastAsia="Arial"/>
                <w:color w:val="000000" w:themeColor="text1"/>
              </w:rPr>
              <w:t>Office-based paper and waste production</w:t>
            </w:r>
          </w:p>
        </w:tc>
        <w:tc>
          <w:tcPr>
            <w:tcW w:w="1531" w:type="dxa"/>
          </w:tcPr>
          <w:p w14:paraId="2DF75784" w14:textId="77777777" w:rsidR="00222D72" w:rsidRDefault="00222D72" w:rsidP="00B60921">
            <w:pPr>
              <w:pStyle w:val="ARtabletextright"/>
            </w:pPr>
            <w:r w:rsidRPr="4E7E9537">
              <w:t>28</w:t>
            </w:r>
          </w:p>
        </w:tc>
        <w:tc>
          <w:tcPr>
            <w:tcW w:w="1531" w:type="dxa"/>
          </w:tcPr>
          <w:p w14:paraId="04E53DEC" w14:textId="77777777" w:rsidR="00222D72" w:rsidRDefault="00222D72" w:rsidP="00B60921">
            <w:pPr>
              <w:pStyle w:val="ARtabletextright"/>
            </w:pPr>
            <w:r w:rsidRPr="4E7E9537">
              <w:t>N/A</w:t>
            </w:r>
          </w:p>
        </w:tc>
        <w:tc>
          <w:tcPr>
            <w:tcW w:w="1531" w:type="dxa"/>
          </w:tcPr>
          <w:p w14:paraId="6985277A" w14:textId="77777777" w:rsidR="00222D72" w:rsidRDefault="00222D72" w:rsidP="00B60921">
            <w:pPr>
              <w:pStyle w:val="ARtabletextright"/>
            </w:pPr>
            <w:r w:rsidRPr="4E7E9537">
              <w:t>N/A</w:t>
            </w:r>
          </w:p>
        </w:tc>
      </w:tr>
      <w:tr w:rsidR="00222D72" w14:paraId="4CEBF0E7" w14:textId="77777777" w:rsidTr="00D64C75">
        <w:trPr>
          <w:cantSplit w:val="0"/>
          <w:trHeight w:val="270"/>
        </w:trPr>
        <w:tc>
          <w:tcPr>
            <w:tcW w:w="5046" w:type="dxa"/>
          </w:tcPr>
          <w:p w14:paraId="56EFB69B" w14:textId="77777777" w:rsidR="00222D72" w:rsidRDefault="00222D72" w:rsidP="004C7BEF">
            <w:pPr>
              <w:pStyle w:val="ARtabletext"/>
              <w:rPr>
                <w:rFonts w:eastAsia="Arial"/>
                <w:color w:val="000000" w:themeColor="text1"/>
              </w:rPr>
            </w:pPr>
            <w:r w:rsidRPr="4E7E9537">
              <w:rPr>
                <w:rFonts w:eastAsia="Arial"/>
                <w:b/>
                <w:bCs/>
                <w:color w:val="000000" w:themeColor="text1"/>
              </w:rPr>
              <w:t>Total</w:t>
            </w:r>
          </w:p>
        </w:tc>
        <w:tc>
          <w:tcPr>
            <w:tcW w:w="1531" w:type="dxa"/>
          </w:tcPr>
          <w:p w14:paraId="453D3BF7" w14:textId="77777777" w:rsidR="00222D72" w:rsidRDefault="00222D72" w:rsidP="009E7701">
            <w:pPr>
              <w:pStyle w:val="ARtabletextrightbold"/>
            </w:pPr>
            <w:r w:rsidRPr="4E7E9537">
              <w:t>820,842</w:t>
            </w:r>
          </w:p>
        </w:tc>
        <w:tc>
          <w:tcPr>
            <w:tcW w:w="1531" w:type="dxa"/>
          </w:tcPr>
          <w:p w14:paraId="59323C89" w14:textId="77777777" w:rsidR="00222D72" w:rsidRDefault="00222D72" w:rsidP="009E7701">
            <w:pPr>
              <w:pStyle w:val="ARtabletextrightbold"/>
            </w:pPr>
            <w:r w:rsidRPr="4E7E9537">
              <w:t>871,863</w:t>
            </w:r>
          </w:p>
        </w:tc>
        <w:tc>
          <w:tcPr>
            <w:tcW w:w="1531" w:type="dxa"/>
          </w:tcPr>
          <w:p w14:paraId="77492A62" w14:textId="77777777" w:rsidR="00222D72" w:rsidRDefault="00222D72" w:rsidP="009E7701">
            <w:pPr>
              <w:pStyle w:val="ARtabletextrightbold"/>
            </w:pPr>
            <w:r w:rsidRPr="4E7E9537">
              <w:t>897,105</w:t>
            </w:r>
          </w:p>
        </w:tc>
      </w:tr>
    </w:tbl>
    <w:p w14:paraId="1285BF23" w14:textId="4A4EC9BE" w:rsidR="00222D72" w:rsidRDefault="00222D72" w:rsidP="004C7BEF">
      <w:pPr>
        <w:pStyle w:val="ARtablefootnote"/>
      </w:pPr>
      <w:r>
        <w:t>Office</w:t>
      </w:r>
      <w:r w:rsidR="00112AF2">
        <w:t>-</w:t>
      </w:r>
      <w:r>
        <w:t xml:space="preserve">based data and vehicle and air travel data for </w:t>
      </w:r>
      <w:r w:rsidR="006C15A9">
        <w:t>2021–22</w:t>
      </w:r>
      <w:r>
        <w:t xml:space="preserve"> </w:t>
      </w:r>
      <w:r w:rsidR="009C6D78">
        <w:t xml:space="preserve">reflects </w:t>
      </w:r>
      <w:r>
        <w:t>the department</w:t>
      </w:r>
      <w:r w:rsidR="00961673">
        <w:t xml:space="preserve"> only</w:t>
      </w:r>
      <w:r>
        <w:t xml:space="preserve">. Previous years’ data, which reflects the combined DFFH and department data, is available in the </w:t>
      </w:r>
      <w:r w:rsidR="006C15A9">
        <w:t>2020–21</w:t>
      </w:r>
      <w:r>
        <w:t xml:space="preserve"> reports.</w:t>
      </w:r>
    </w:p>
    <w:p w14:paraId="300266CD" w14:textId="4B9E510B" w:rsidR="00222D72" w:rsidRDefault="00222D72" w:rsidP="004C7BEF">
      <w:pPr>
        <w:pStyle w:val="ARtablefootnote"/>
        <w:rPr>
          <w:rFonts w:eastAsia="Arial" w:cs="Arial"/>
          <w:color w:val="000000" w:themeColor="text1"/>
        </w:rPr>
      </w:pPr>
      <w:r w:rsidRPr="4E7E9537">
        <w:rPr>
          <w:rFonts w:eastAsia="Arial" w:cs="Arial"/>
          <w:color w:val="000000" w:themeColor="text1"/>
        </w:rPr>
        <w:t xml:space="preserve">Greenhouse gas emissions have been calculated in accordance with the National Greenhouse and Energy Reporting (Measurement) Determination 2008 (Schedule 1), the National Greenhouse Accounts Factors August 2020 revision, and </w:t>
      </w:r>
      <w:r w:rsidR="00112AF2">
        <w:rPr>
          <w:rFonts w:eastAsia="Arial" w:cs="Arial"/>
          <w:color w:val="000000" w:themeColor="text1"/>
        </w:rPr>
        <w:t xml:space="preserve">FRD </w:t>
      </w:r>
      <w:r w:rsidRPr="4E7E9537">
        <w:rPr>
          <w:rFonts w:eastAsia="Arial" w:cs="Arial"/>
          <w:color w:val="000000" w:themeColor="text1"/>
        </w:rPr>
        <w:t>24D guidelines.</w:t>
      </w:r>
    </w:p>
    <w:p w14:paraId="672E8C14" w14:textId="29E5D57C" w:rsidR="00222D72" w:rsidRDefault="00222D72" w:rsidP="004C7BEF">
      <w:pPr>
        <w:pStyle w:val="ARtablefootnote"/>
        <w:rPr>
          <w:rFonts w:eastAsia="Arial" w:cs="Arial"/>
          <w:color w:val="000000" w:themeColor="text1"/>
        </w:rPr>
      </w:pPr>
      <w:r w:rsidRPr="47AEECA1">
        <w:rPr>
          <w:rFonts w:eastAsia="Arial" w:cs="Arial"/>
          <w:color w:val="000000" w:themeColor="text1"/>
        </w:rPr>
        <w:t>Greenhouse gas emissions from paper procurement have been calculated in accordance with E</w:t>
      </w:r>
      <w:r w:rsidR="00112AF2">
        <w:rPr>
          <w:rFonts w:eastAsia="Arial" w:cs="Arial"/>
          <w:color w:val="000000" w:themeColor="text1"/>
        </w:rPr>
        <w:t xml:space="preserve">nvironmental </w:t>
      </w:r>
      <w:r w:rsidRPr="47AEECA1">
        <w:rPr>
          <w:rFonts w:eastAsia="Arial" w:cs="Arial"/>
          <w:color w:val="000000" w:themeColor="text1"/>
        </w:rPr>
        <w:t>P</w:t>
      </w:r>
      <w:r w:rsidR="00112AF2">
        <w:rPr>
          <w:rFonts w:eastAsia="Arial" w:cs="Arial"/>
          <w:color w:val="000000" w:themeColor="text1"/>
        </w:rPr>
        <w:t xml:space="preserve">rotection </w:t>
      </w:r>
      <w:r w:rsidRPr="47AEECA1">
        <w:rPr>
          <w:rFonts w:eastAsia="Arial" w:cs="Arial"/>
          <w:color w:val="000000" w:themeColor="text1"/>
        </w:rPr>
        <w:t>A</w:t>
      </w:r>
      <w:r w:rsidR="00112AF2">
        <w:rPr>
          <w:rFonts w:eastAsia="Arial" w:cs="Arial"/>
          <w:color w:val="000000" w:themeColor="text1"/>
        </w:rPr>
        <w:t>uthority</w:t>
      </w:r>
      <w:r w:rsidRPr="47AEECA1">
        <w:rPr>
          <w:rFonts w:eastAsia="Arial" w:cs="Arial"/>
          <w:color w:val="000000" w:themeColor="text1"/>
        </w:rPr>
        <w:t xml:space="preserve"> Victoria’s </w:t>
      </w:r>
      <w:r w:rsidRPr="47AEECA1">
        <w:rPr>
          <w:rFonts w:eastAsia="Arial" w:cs="Arial"/>
          <w:i/>
          <w:iCs/>
          <w:color w:val="000000" w:themeColor="text1"/>
        </w:rPr>
        <w:t>Greenhouse gas inventory management plan 2012–13</w:t>
      </w:r>
      <w:r w:rsidRPr="47AEECA1">
        <w:rPr>
          <w:rFonts w:eastAsia="Arial" w:cs="Arial"/>
          <w:color w:val="000000" w:themeColor="text1"/>
        </w:rPr>
        <w:t>.</w:t>
      </w:r>
    </w:p>
    <w:p w14:paraId="7FC0D1A6" w14:textId="77777777" w:rsidR="00222D72" w:rsidRDefault="00222D72" w:rsidP="004C7BEF">
      <w:pPr>
        <w:pStyle w:val="ARtablefootnote"/>
        <w:rPr>
          <w:rFonts w:eastAsia="Arial" w:cs="Arial"/>
          <w:color w:val="000000" w:themeColor="text1"/>
        </w:rPr>
      </w:pPr>
      <w:r w:rsidRPr="47AEECA1">
        <w:rPr>
          <w:rFonts w:eastAsia="Arial" w:cs="Arial"/>
          <w:color w:val="000000" w:themeColor="text1"/>
        </w:rPr>
        <w:t>Greenhouse gas emissions from air travel are provided by the supplier of travel management services under the state purchase contract.</w:t>
      </w:r>
    </w:p>
    <w:p w14:paraId="2337CD36" w14:textId="77777777" w:rsidR="00222D72" w:rsidRDefault="00222D72" w:rsidP="004C7BEF">
      <w:pPr>
        <w:pStyle w:val="ARtablefootnote"/>
        <w:rPr>
          <w:rFonts w:eastAsia="Arial" w:cs="Arial"/>
          <w:color w:val="000000" w:themeColor="text1"/>
        </w:rPr>
      </w:pPr>
      <w:r w:rsidRPr="47AEECA1">
        <w:rPr>
          <w:rFonts w:eastAsia="Arial" w:cs="Arial"/>
          <w:color w:val="000000" w:themeColor="text1"/>
        </w:rPr>
        <w:t>Figures in previous years have been adjusted to include the most up-to-date data. Figures may differ from those estimated in previous years as a result.</w:t>
      </w:r>
    </w:p>
    <w:p w14:paraId="2EC8467E" w14:textId="77777777" w:rsidR="00222D72" w:rsidRDefault="00222D72" w:rsidP="004C7BEF">
      <w:pPr>
        <w:pStyle w:val="ARtablefootnote"/>
        <w:rPr>
          <w:rFonts w:eastAsia="Arial" w:cs="Arial"/>
          <w:color w:val="000000" w:themeColor="text1"/>
        </w:rPr>
      </w:pPr>
      <w:r w:rsidRPr="47AEECA1">
        <w:rPr>
          <w:rFonts w:eastAsia="Arial" w:cs="Arial"/>
          <w:color w:val="000000" w:themeColor="text1"/>
        </w:rPr>
        <w:t>1 gigajoule equates to 1,000 megajoules.</w:t>
      </w:r>
    </w:p>
    <w:p w14:paraId="54451A40" w14:textId="7EA1CCDD" w:rsidR="00222D72" w:rsidRDefault="00222D72" w:rsidP="004C7BEF">
      <w:pPr>
        <w:pStyle w:val="ARtablefootnote"/>
        <w:rPr>
          <w:rFonts w:eastAsia="Times New Roman" w:cs="Arial"/>
          <w:color w:val="000000" w:themeColor="text1"/>
          <w:lang w:eastAsia="en-AU"/>
        </w:rPr>
      </w:pPr>
      <w:r w:rsidRPr="4E7E9537">
        <w:rPr>
          <w:rFonts w:eastAsia="Times New Roman" w:cs="Arial"/>
          <w:color w:val="000000" w:themeColor="text1"/>
          <w:lang w:eastAsia="en-AU"/>
        </w:rPr>
        <w:t xml:space="preserve">Calculations for </w:t>
      </w:r>
      <w:r>
        <w:rPr>
          <w:rFonts w:eastAsia="Times New Roman" w:cs="Arial"/>
          <w:color w:val="000000" w:themeColor="text1"/>
          <w:lang w:eastAsia="en-AU"/>
        </w:rPr>
        <w:t xml:space="preserve">nitrous oxide </w:t>
      </w:r>
      <w:r w:rsidRPr="4E7E9537">
        <w:rPr>
          <w:rFonts w:eastAsia="Times New Roman" w:cs="Arial"/>
          <w:color w:val="000000" w:themeColor="text1"/>
          <w:lang w:eastAsia="en-AU"/>
        </w:rPr>
        <w:t>estimates are based on cylinder counts from contract supplier sales reporting, nominal cylinder capacities and volumetric conversions, and an emissions factor (GWP-100) of 310 kg CO</w:t>
      </w:r>
      <w:r w:rsidR="0072453F" w:rsidRPr="00125EE1">
        <w:rPr>
          <w:rStyle w:val="Subscript"/>
        </w:rPr>
        <w:t>2</w:t>
      </w:r>
      <w:r w:rsidRPr="4E7E9537">
        <w:rPr>
          <w:rFonts w:eastAsia="Times New Roman" w:cs="Arial"/>
          <w:color w:val="000000" w:themeColor="text1"/>
          <w:lang w:eastAsia="en-AU"/>
        </w:rPr>
        <w:t>-e per kg N</w:t>
      </w:r>
      <w:r w:rsidRPr="4E7E9537">
        <w:rPr>
          <w:rFonts w:eastAsia="Times New Roman" w:cs="Arial"/>
          <w:color w:val="000000" w:themeColor="text1"/>
          <w:vertAlign w:val="subscript"/>
          <w:lang w:eastAsia="en-AU"/>
        </w:rPr>
        <w:t>2</w:t>
      </w:r>
      <w:r w:rsidRPr="4E7E9537">
        <w:rPr>
          <w:rFonts w:eastAsia="Times New Roman" w:cs="Arial"/>
          <w:color w:val="000000" w:themeColor="text1"/>
          <w:lang w:eastAsia="en-AU"/>
        </w:rPr>
        <w:t>O</w:t>
      </w:r>
      <w:r>
        <w:rPr>
          <w:rFonts w:eastAsia="Times New Roman" w:cs="Arial"/>
          <w:color w:val="000000" w:themeColor="text1"/>
          <w:lang w:eastAsia="en-AU"/>
        </w:rPr>
        <w:t xml:space="preserve">. These </w:t>
      </w:r>
      <w:r w:rsidRPr="289CACB4">
        <w:rPr>
          <w:rFonts w:eastAsia="Times New Roman" w:cs="Arial"/>
          <w:color w:val="000000" w:themeColor="text1"/>
          <w:lang w:eastAsia="en-AU"/>
        </w:rPr>
        <w:t>estimates do</w:t>
      </w:r>
      <w:r w:rsidRPr="13F02130" w:rsidDel="4F2C57DF">
        <w:rPr>
          <w:rFonts w:eastAsia="Times New Roman" w:cs="Arial"/>
          <w:color w:val="000000" w:themeColor="text1"/>
          <w:lang w:eastAsia="en-AU"/>
        </w:rPr>
        <w:t xml:space="preserve"> </w:t>
      </w:r>
      <w:r w:rsidRPr="3E1C7CC0">
        <w:rPr>
          <w:rFonts w:eastAsia="Times New Roman" w:cs="Arial"/>
          <w:color w:val="000000" w:themeColor="text1"/>
          <w:lang w:eastAsia="en-AU"/>
        </w:rPr>
        <w:t xml:space="preserve">not </w:t>
      </w:r>
      <w:r w:rsidRPr="23E134FE">
        <w:rPr>
          <w:rFonts w:eastAsia="Times New Roman" w:cs="Arial"/>
          <w:color w:val="000000" w:themeColor="text1"/>
          <w:lang w:eastAsia="en-AU"/>
        </w:rPr>
        <w:t xml:space="preserve">include denominational </w:t>
      </w:r>
      <w:r w:rsidRPr="5600118E">
        <w:rPr>
          <w:rFonts w:eastAsia="Times New Roman" w:cs="Arial"/>
          <w:color w:val="000000" w:themeColor="text1"/>
          <w:lang w:eastAsia="en-AU"/>
        </w:rPr>
        <w:t>public hospitals</w:t>
      </w:r>
      <w:r w:rsidRPr="14FB1347">
        <w:rPr>
          <w:rFonts w:eastAsia="Times New Roman" w:cs="Arial"/>
          <w:color w:val="000000" w:themeColor="text1"/>
          <w:lang w:eastAsia="en-AU"/>
        </w:rPr>
        <w:t>.</w:t>
      </w:r>
    </w:p>
    <w:p w14:paraId="7A0CF837" w14:textId="77777777" w:rsidR="00222D72" w:rsidRDefault="00222D72" w:rsidP="004C7BEF">
      <w:pPr>
        <w:pStyle w:val="ARtablefootnote"/>
        <w:rPr>
          <w:rFonts w:eastAsia="Arial" w:cs="Arial"/>
          <w:color w:val="000000" w:themeColor="text1"/>
        </w:rPr>
      </w:pPr>
      <w:r w:rsidRPr="6342A734">
        <w:rPr>
          <w:rFonts w:eastAsia="Times New Roman" w:cs="Arial"/>
          <w:color w:val="000000" w:themeColor="text1"/>
          <w:lang w:eastAsia="en-AU"/>
        </w:rPr>
        <w:t xml:space="preserve">Health services FTE data </w:t>
      </w:r>
      <w:r w:rsidRPr="2DC155C4">
        <w:rPr>
          <w:rFonts w:eastAsia="Times New Roman" w:cs="Arial"/>
          <w:color w:val="000000" w:themeColor="text1"/>
          <w:lang w:eastAsia="en-AU"/>
        </w:rPr>
        <w:t>contain</w:t>
      </w:r>
      <w:r w:rsidRPr="6342A734">
        <w:rPr>
          <w:rFonts w:eastAsia="Times New Roman" w:cs="Arial"/>
          <w:color w:val="000000" w:themeColor="text1"/>
          <w:lang w:eastAsia="en-AU"/>
        </w:rPr>
        <w:t xml:space="preserve"> estimates</w:t>
      </w:r>
      <w:r>
        <w:rPr>
          <w:rFonts w:eastAsia="Times New Roman" w:cs="Arial"/>
          <w:color w:val="000000" w:themeColor="text1"/>
          <w:lang w:eastAsia="en-AU"/>
        </w:rPr>
        <w:t>.</w:t>
      </w:r>
    </w:p>
    <w:p w14:paraId="08547A1A" w14:textId="77777777" w:rsidR="00222D72" w:rsidRDefault="00222D72" w:rsidP="004C7BEF">
      <w:pPr>
        <w:pStyle w:val="Heading4"/>
        <w:rPr>
          <w:rFonts w:eastAsia="Arial"/>
        </w:rPr>
      </w:pPr>
      <w:r w:rsidRPr="47AEECA1">
        <w:rPr>
          <w:rFonts w:eastAsia="Arial"/>
        </w:rPr>
        <w:t>Staff and building reference data</w:t>
      </w:r>
    </w:p>
    <w:tbl>
      <w:tblPr>
        <w:tblStyle w:val="TableGrid"/>
        <w:tblW w:w="0" w:type="auto"/>
        <w:tblLayout w:type="fixed"/>
        <w:tblLook w:val="06A0" w:firstRow="1" w:lastRow="0" w:firstColumn="1" w:lastColumn="0" w:noHBand="1" w:noVBand="1"/>
      </w:tblPr>
      <w:tblGrid>
        <w:gridCol w:w="5046"/>
        <w:gridCol w:w="1531"/>
        <w:gridCol w:w="1531"/>
        <w:gridCol w:w="1531"/>
      </w:tblGrid>
      <w:tr w:rsidR="00222D72" w14:paraId="40D7639C" w14:textId="77777777" w:rsidTr="00D64C75">
        <w:trPr>
          <w:cnfStyle w:val="100000000000" w:firstRow="1" w:lastRow="0" w:firstColumn="0" w:lastColumn="0" w:oddVBand="0" w:evenVBand="0" w:oddHBand="0" w:evenHBand="0" w:firstRowFirstColumn="0" w:firstRowLastColumn="0" w:lastRowFirstColumn="0" w:lastRowLastColumn="0"/>
          <w:trHeight w:val="525"/>
          <w:tblHeader/>
        </w:trPr>
        <w:tc>
          <w:tcPr>
            <w:tcW w:w="5046" w:type="dxa"/>
          </w:tcPr>
          <w:p w14:paraId="2BDCFC3B" w14:textId="77777777" w:rsidR="00222D72" w:rsidRDefault="00222D72" w:rsidP="004C7BEF">
            <w:pPr>
              <w:pStyle w:val="ARtablecolhead"/>
              <w:rPr>
                <w:rFonts w:eastAsia="Arial"/>
                <w:bCs/>
              </w:rPr>
            </w:pPr>
            <w:r w:rsidRPr="47AEECA1">
              <w:rPr>
                <w:rFonts w:eastAsia="Arial"/>
                <w:bCs/>
              </w:rPr>
              <w:t>Description</w:t>
            </w:r>
          </w:p>
        </w:tc>
        <w:tc>
          <w:tcPr>
            <w:tcW w:w="1531" w:type="dxa"/>
          </w:tcPr>
          <w:p w14:paraId="57C53388" w14:textId="77777777" w:rsidR="00222D72" w:rsidRDefault="00222D72" w:rsidP="004C7BEF">
            <w:pPr>
              <w:pStyle w:val="ARtablecolheadright"/>
              <w:rPr>
                <w:rFonts w:eastAsia="Arial"/>
                <w:bCs/>
              </w:rPr>
            </w:pPr>
            <w:r w:rsidRPr="47AEECA1">
              <w:rPr>
                <w:rFonts w:eastAsia="Arial"/>
                <w:bCs/>
              </w:rPr>
              <w:t>Government-owned buildings</w:t>
            </w:r>
          </w:p>
        </w:tc>
        <w:tc>
          <w:tcPr>
            <w:tcW w:w="1531" w:type="dxa"/>
          </w:tcPr>
          <w:p w14:paraId="4356C8EA" w14:textId="77777777" w:rsidR="00222D72" w:rsidRDefault="00222D72" w:rsidP="004C7BEF">
            <w:pPr>
              <w:pStyle w:val="ARtablecolheadright"/>
              <w:rPr>
                <w:rFonts w:eastAsia="Arial"/>
                <w:bCs/>
              </w:rPr>
            </w:pPr>
            <w:r w:rsidRPr="47AEECA1">
              <w:rPr>
                <w:rFonts w:eastAsia="Arial"/>
                <w:bCs/>
              </w:rPr>
              <w:t>Leased</w:t>
            </w:r>
            <w:r>
              <w:br/>
            </w:r>
            <w:r w:rsidRPr="47AEECA1">
              <w:rPr>
                <w:rFonts w:eastAsia="Arial"/>
                <w:bCs/>
              </w:rPr>
              <w:t>buildings</w:t>
            </w:r>
          </w:p>
        </w:tc>
        <w:tc>
          <w:tcPr>
            <w:tcW w:w="1531" w:type="dxa"/>
          </w:tcPr>
          <w:p w14:paraId="7366910C" w14:textId="77777777" w:rsidR="00222D72" w:rsidRDefault="00222D72" w:rsidP="004C7BEF">
            <w:pPr>
              <w:pStyle w:val="ARtablecolheadright"/>
              <w:rPr>
                <w:rFonts w:eastAsia="Arial"/>
                <w:bCs/>
              </w:rPr>
            </w:pPr>
            <w:r w:rsidRPr="47AEECA1">
              <w:rPr>
                <w:rFonts w:eastAsia="Arial"/>
                <w:bCs/>
              </w:rPr>
              <w:t>Total</w:t>
            </w:r>
          </w:p>
        </w:tc>
      </w:tr>
      <w:tr w:rsidR="00222D72" w14:paraId="74F2ABBA" w14:textId="77777777" w:rsidTr="00D64C75">
        <w:trPr>
          <w:cantSplit w:val="0"/>
          <w:trHeight w:val="270"/>
        </w:trPr>
        <w:tc>
          <w:tcPr>
            <w:tcW w:w="5046" w:type="dxa"/>
          </w:tcPr>
          <w:p w14:paraId="221520E1" w14:textId="77777777" w:rsidR="00222D72" w:rsidRDefault="00222D72" w:rsidP="004C7BEF">
            <w:pPr>
              <w:pStyle w:val="ARtabletext"/>
              <w:rPr>
                <w:rFonts w:eastAsia="Arial"/>
              </w:rPr>
            </w:pPr>
            <w:r w:rsidRPr="434CC132">
              <w:rPr>
                <w:rFonts w:eastAsia="Arial"/>
              </w:rPr>
              <w:t>Office-based FTE (department)</w:t>
            </w:r>
          </w:p>
        </w:tc>
        <w:tc>
          <w:tcPr>
            <w:tcW w:w="1531" w:type="dxa"/>
          </w:tcPr>
          <w:p w14:paraId="1F9B1CF9" w14:textId="77777777" w:rsidR="00222D72" w:rsidRDefault="00222D72" w:rsidP="00B60921">
            <w:pPr>
              <w:pStyle w:val="ARtabletextright"/>
            </w:pPr>
            <w:r w:rsidRPr="2F9D9672">
              <w:t>72</w:t>
            </w:r>
          </w:p>
        </w:tc>
        <w:tc>
          <w:tcPr>
            <w:tcW w:w="1531" w:type="dxa"/>
          </w:tcPr>
          <w:p w14:paraId="1CB35001" w14:textId="77777777" w:rsidR="00222D72" w:rsidRDefault="00222D72" w:rsidP="00B60921">
            <w:pPr>
              <w:pStyle w:val="ARtabletextright"/>
            </w:pPr>
            <w:r w:rsidRPr="2F9D9672">
              <w:t>3,019</w:t>
            </w:r>
          </w:p>
        </w:tc>
        <w:tc>
          <w:tcPr>
            <w:tcW w:w="1531" w:type="dxa"/>
          </w:tcPr>
          <w:p w14:paraId="2610FE26" w14:textId="77777777" w:rsidR="00222D72" w:rsidRDefault="00222D72" w:rsidP="00B60921">
            <w:pPr>
              <w:pStyle w:val="ARtabletextright"/>
            </w:pPr>
            <w:r w:rsidRPr="2F9D9672">
              <w:t>3,091</w:t>
            </w:r>
          </w:p>
        </w:tc>
      </w:tr>
      <w:tr w:rsidR="00222D72" w14:paraId="3D22F81A" w14:textId="77777777" w:rsidTr="00D64C75">
        <w:trPr>
          <w:cantSplit w:val="0"/>
          <w:trHeight w:val="270"/>
        </w:trPr>
        <w:tc>
          <w:tcPr>
            <w:tcW w:w="5046" w:type="dxa"/>
          </w:tcPr>
          <w:p w14:paraId="1CB2FA0E" w14:textId="77777777" w:rsidR="00222D72" w:rsidRDefault="00222D72" w:rsidP="004C7BEF">
            <w:pPr>
              <w:pStyle w:val="ARtabletext"/>
              <w:rPr>
                <w:rFonts w:eastAsia="Arial"/>
              </w:rPr>
            </w:pPr>
            <w:r w:rsidRPr="47AEECA1">
              <w:rPr>
                <w:rFonts w:eastAsia="Arial"/>
              </w:rPr>
              <w:t>Statutory Bodies FTE</w:t>
            </w:r>
          </w:p>
        </w:tc>
        <w:tc>
          <w:tcPr>
            <w:tcW w:w="1531" w:type="dxa"/>
          </w:tcPr>
          <w:p w14:paraId="192FABC0" w14:textId="77777777" w:rsidR="00222D72" w:rsidRDefault="00222D72" w:rsidP="00B60921">
            <w:pPr>
              <w:pStyle w:val="ARtabletextright"/>
            </w:pPr>
            <w:r w:rsidRPr="4E7E9537">
              <w:t>N/A</w:t>
            </w:r>
          </w:p>
        </w:tc>
        <w:tc>
          <w:tcPr>
            <w:tcW w:w="1531" w:type="dxa"/>
          </w:tcPr>
          <w:p w14:paraId="54DCB539" w14:textId="77777777" w:rsidR="00222D72" w:rsidRDefault="00222D72" w:rsidP="00B60921">
            <w:pPr>
              <w:pStyle w:val="ARtabletextright"/>
            </w:pPr>
            <w:r w:rsidRPr="4E7E9537">
              <w:t>N/A</w:t>
            </w:r>
          </w:p>
        </w:tc>
        <w:tc>
          <w:tcPr>
            <w:tcW w:w="1531" w:type="dxa"/>
          </w:tcPr>
          <w:p w14:paraId="322128B2" w14:textId="77777777" w:rsidR="00222D72" w:rsidRDefault="00222D72" w:rsidP="00B60921">
            <w:pPr>
              <w:pStyle w:val="ARtabletextright"/>
            </w:pPr>
            <w:r w:rsidRPr="1006A99F">
              <w:t>283</w:t>
            </w:r>
          </w:p>
        </w:tc>
      </w:tr>
      <w:tr w:rsidR="00222D72" w14:paraId="446CC59E" w14:textId="77777777" w:rsidTr="00D64C75">
        <w:trPr>
          <w:cantSplit w:val="0"/>
          <w:trHeight w:val="270"/>
        </w:trPr>
        <w:tc>
          <w:tcPr>
            <w:tcW w:w="5046" w:type="dxa"/>
          </w:tcPr>
          <w:p w14:paraId="0194C335" w14:textId="77777777" w:rsidR="00222D72" w:rsidRDefault="00222D72" w:rsidP="004C7BEF">
            <w:pPr>
              <w:pStyle w:val="ARtabletext"/>
              <w:rPr>
                <w:rFonts w:eastAsia="Arial"/>
              </w:rPr>
            </w:pPr>
            <w:r w:rsidRPr="47AEECA1">
              <w:rPr>
                <w:rFonts w:eastAsia="Arial"/>
                <w:b/>
                <w:bCs/>
              </w:rPr>
              <w:t>Total FTE</w:t>
            </w:r>
          </w:p>
        </w:tc>
        <w:tc>
          <w:tcPr>
            <w:tcW w:w="1531" w:type="dxa"/>
          </w:tcPr>
          <w:p w14:paraId="43117FDA" w14:textId="77777777" w:rsidR="00222D72" w:rsidRDefault="00222D72" w:rsidP="00B60921">
            <w:pPr>
              <w:pStyle w:val="ARtabletextright"/>
            </w:pPr>
            <w:r w:rsidRPr="1006A99F">
              <w:t>N/A</w:t>
            </w:r>
          </w:p>
        </w:tc>
        <w:tc>
          <w:tcPr>
            <w:tcW w:w="1531" w:type="dxa"/>
          </w:tcPr>
          <w:p w14:paraId="11629F7F" w14:textId="77777777" w:rsidR="00222D72" w:rsidRDefault="00222D72" w:rsidP="00B60921">
            <w:pPr>
              <w:pStyle w:val="ARtabletextright"/>
            </w:pPr>
            <w:r w:rsidRPr="1006A99F">
              <w:t>N/A</w:t>
            </w:r>
          </w:p>
        </w:tc>
        <w:tc>
          <w:tcPr>
            <w:tcW w:w="1531" w:type="dxa"/>
          </w:tcPr>
          <w:p w14:paraId="0F8D8D27" w14:textId="77777777" w:rsidR="00222D72" w:rsidRDefault="00222D72" w:rsidP="009E7701">
            <w:pPr>
              <w:pStyle w:val="ARtabletextrightbold"/>
            </w:pPr>
            <w:r w:rsidRPr="4E7E9537">
              <w:t>3,374</w:t>
            </w:r>
          </w:p>
        </w:tc>
      </w:tr>
      <w:tr w:rsidR="00222D72" w14:paraId="50CE938B" w14:textId="77777777" w:rsidTr="00D64C75">
        <w:trPr>
          <w:cantSplit w:val="0"/>
          <w:trHeight w:val="270"/>
        </w:trPr>
        <w:tc>
          <w:tcPr>
            <w:tcW w:w="5046" w:type="dxa"/>
          </w:tcPr>
          <w:p w14:paraId="1BE61DEF" w14:textId="77777777" w:rsidR="00222D72" w:rsidRDefault="00222D72" w:rsidP="004C7BEF">
            <w:pPr>
              <w:pStyle w:val="ARtabletext"/>
              <w:rPr>
                <w:rFonts w:eastAsia="Arial"/>
              </w:rPr>
            </w:pPr>
            <w:r w:rsidRPr="47AEECA1">
              <w:rPr>
                <w:rFonts w:eastAsia="Arial"/>
              </w:rPr>
              <w:t>Number of office-based sites</w:t>
            </w:r>
          </w:p>
        </w:tc>
        <w:tc>
          <w:tcPr>
            <w:tcW w:w="1531" w:type="dxa"/>
          </w:tcPr>
          <w:p w14:paraId="66172400" w14:textId="77777777" w:rsidR="00222D72" w:rsidRDefault="00222D72" w:rsidP="00B60921">
            <w:pPr>
              <w:pStyle w:val="ARtabletextright"/>
            </w:pPr>
            <w:r w:rsidRPr="2F9D9672">
              <w:t>0</w:t>
            </w:r>
          </w:p>
        </w:tc>
        <w:tc>
          <w:tcPr>
            <w:tcW w:w="1531" w:type="dxa"/>
          </w:tcPr>
          <w:p w14:paraId="20CD0D76" w14:textId="77777777" w:rsidR="00222D72" w:rsidRDefault="00222D72" w:rsidP="00B60921">
            <w:pPr>
              <w:pStyle w:val="ARtabletextright"/>
            </w:pPr>
            <w:r w:rsidRPr="2F9D9672">
              <w:t>6</w:t>
            </w:r>
          </w:p>
        </w:tc>
        <w:tc>
          <w:tcPr>
            <w:tcW w:w="1531" w:type="dxa"/>
          </w:tcPr>
          <w:p w14:paraId="758A2C33" w14:textId="77777777" w:rsidR="00222D72" w:rsidRPr="00B60921" w:rsidRDefault="00222D72" w:rsidP="00B60921">
            <w:pPr>
              <w:pStyle w:val="ARtabletextright"/>
            </w:pPr>
            <w:r w:rsidRPr="00B60921">
              <w:t>6</w:t>
            </w:r>
          </w:p>
        </w:tc>
      </w:tr>
      <w:tr w:rsidR="00222D72" w14:paraId="651CEDF6" w14:textId="77777777" w:rsidTr="00D64C75">
        <w:trPr>
          <w:cantSplit w:val="0"/>
          <w:trHeight w:val="270"/>
        </w:trPr>
        <w:tc>
          <w:tcPr>
            <w:tcW w:w="5046" w:type="dxa"/>
          </w:tcPr>
          <w:p w14:paraId="1FFF0E72" w14:textId="77777777" w:rsidR="00222D72" w:rsidRDefault="00222D72" w:rsidP="004C7BEF">
            <w:pPr>
              <w:pStyle w:val="ARtabletext"/>
              <w:rPr>
                <w:rFonts w:eastAsia="Arial"/>
              </w:rPr>
            </w:pPr>
            <w:r w:rsidRPr="47AEECA1">
              <w:rPr>
                <w:rFonts w:eastAsia="Arial"/>
              </w:rPr>
              <w:t>Office-based area (m</w:t>
            </w:r>
            <w:r w:rsidRPr="006E2B00">
              <w:rPr>
                <w:rStyle w:val="Superscript"/>
              </w:rPr>
              <w:t>2</w:t>
            </w:r>
            <w:r w:rsidRPr="47AEECA1">
              <w:rPr>
                <w:rFonts w:eastAsia="Arial"/>
              </w:rPr>
              <w:t>)</w:t>
            </w:r>
          </w:p>
        </w:tc>
        <w:tc>
          <w:tcPr>
            <w:tcW w:w="1531" w:type="dxa"/>
          </w:tcPr>
          <w:p w14:paraId="16D9E1D1" w14:textId="77777777" w:rsidR="00222D72" w:rsidRDefault="00222D72" w:rsidP="00B60921">
            <w:pPr>
              <w:pStyle w:val="ARtabletextright"/>
            </w:pPr>
          </w:p>
        </w:tc>
        <w:tc>
          <w:tcPr>
            <w:tcW w:w="1531" w:type="dxa"/>
          </w:tcPr>
          <w:p w14:paraId="3FB8BD75" w14:textId="77777777" w:rsidR="00222D72" w:rsidRPr="2F9D9672" w:rsidRDefault="00222D72" w:rsidP="00B60921">
            <w:pPr>
              <w:pStyle w:val="ARtabletextright"/>
            </w:pPr>
          </w:p>
        </w:tc>
        <w:tc>
          <w:tcPr>
            <w:tcW w:w="1531" w:type="dxa"/>
          </w:tcPr>
          <w:p w14:paraId="2D4903A0" w14:textId="77777777" w:rsidR="00222D72" w:rsidRPr="00B60921" w:rsidRDefault="00222D72" w:rsidP="00B60921">
            <w:pPr>
              <w:pStyle w:val="ARtabletextright"/>
            </w:pPr>
            <w:r w:rsidRPr="00B60921">
              <w:t>35,307</w:t>
            </w:r>
          </w:p>
        </w:tc>
      </w:tr>
    </w:tbl>
    <w:p w14:paraId="21E1D23B" w14:textId="77777777" w:rsidR="00222D72" w:rsidRDefault="00222D72" w:rsidP="004C7BEF">
      <w:pPr>
        <w:pStyle w:val="ARtablefootnote"/>
        <w:rPr>
          <w:rFonts w:eastAsia="Arial" w:cs="Arial"/>
          <w:color w:val="000000" w:themeColor="text1"/>
        </w:rPr>
      </w:pPr>
      <w:r w:rsidRPr="2396B9CA">
        <w:rPr>
          <w:rFonts w:eastAsia="Arial" w:cs="Arial"/>
          <w:color w:val="000000" w:themeColor="text1"/>
        </w:rPr>
        <w:t>FTE (full-time equivalent staff member as of 30 June 2022</w:t>
      </w:r>
      <w:r w:rsidRPr="2F123AE9">
        <w:rPr>
          <w:rFonts w:eastAsia="Arial" w:cs="Arial"/>
          <w:color w:val="000000" w:themeColor="text1"/>
        </w:rPr>
        <w:t>).</w:t>
      </w:r>
    </w:p>
    <w:p w14:paraId="6F4AEF6E" w14:textId="77777777" w:rsidR="00222D72" w:rsidRDefault="00222D72" w:rsidP="00B60921">
      <w:pPr>
        <w:pStyle w:val="ARbody"/>
      </w:pPr>
      <w:r>
        <w:br w:type="page"/>
      </w:r>
    </w:p>
    <w:p w14:paraId="28D05289" w14:textId="77777777" w:rsidR="00222D72" w:rsidRDefault="00222D72" w:rsidP="004C7BEF">
      <w:pPr>
        <w:pStyle w:val="Heading4"/>
        <w:rPr>
          <w:rFonts w:eastAsia="Arial"/>
        </w:rPr>
      </w:pPr>
      <w:r w:rsidRPr="47AEECA1">
        <w:rPr>
          <w:rFonts w:eastAsia="Arial"/>
        </w:rPr>
        <w:t>Energy use</w:t>
      </w:r>
    </w:p>
    <w:p w14:paraId="5AFB2A1C" w14:textId="77777777" w:rsidR="00222D72" w:rsidRDefault="00222D72" w:rsidP="008B5BD3">
      <w:pPr>
        <w:pStyle w:val="Heading5"/>
        <w:spacing w:before="120"/>
        <w:rPr>
          <w:rFonts w:eastAsia="Arial" w:cs="Arial"/>
          <w:bCs/>
          <w:szCs w:val="22"/>
        </w:rPr>
      </w:pPr>
      <w:r w:rsidRPr="47AEECA1">
        <w:rPr>
          <w:rFonts w:eastAsia="Arial" w:cs="Arial"/>
          <w:bCs/>
          <w:szCs w:val="22"/>
        </w:rPr>
        <w:t>Office-based</w:t>
      </w:r>
    </w:p>
    <w:tbl>
      <w:tblPr>
        <w:tblStyle w:val="TableGrid"/>
        <w:tblW w:w="9600" w:type="dxa"/>
        <w:tblLayout w:type="fixed"/>
        <w:tblLook w:val="06A0" w:firstRow="1" w:lastRow="0" w:firstColumn="1" w:lastColumn="0" w:noHBand="1" w:noVBand="1"/>
      </w:tblPr>
      <w:tblGrid>
        <w:gridCol w:w="2653"/>
        <w:gridCol w:w="1300"/>
        <w:gridCol w:w="1016"/>
        <w:gridCol w:w="1299"/>
        <w:gridCol w:w="1017"/>
        <w:gridCol w:w="1299"/>
        <w:gridCol w:w="1016"/>
      </w:tblGrid>
      <w:tr w:rsidR="00222D72" w14:paraId="012D2090" w14:textId="77777777" w:rsidTr="003E09F6">
        <w:trPr>
          <w:cnfStyle w:val="100000000000" w:firstRow="1" w:lastRow="0" w:firstColumn="0" w:lastColumn="0" w:oddVBand="0" w:evenVBand="0" w:oddHBand="0" w:evenHBand="0" w:firstRowFirstColumn="0" w:firstRowLastColumn="0" w:lastRowFirstColumn="0" w:lastRowLastColumn="0"/>
          <w:trHeight w:val="270"/>
          <w:tblHeader/>
        </w:trPr>
        <w:tc>
          <w:tcPr>
            <w:tcW w:w="2665" w:type="dxa"/>
          </w:tcPr>
          <w:p w14:paraId="708B53ED" w14:textId="77777777" w:rsidR="00222D72" w:rsidRDefault="00222D72" w:rsidP="004C7BEF">
            <w:pPr>
              <w:pStyle w:val="ARtablecolhead"/>
              <w:rPr>
                <w:rFonts w:eastAsia="Arial"/>
                <w:bCs/>
              </w:rPr>
            </w:pPr>
            <w:r w:rsidRPr="47AEECA1">
              <w:rPr>
                <w:rFonts w:eastAsia="Arial"/>
                <w:bCs/>
              </w:rPr>
              <w:t>Description</w:t>
            </w:r>
          </w:p>
        </w:tc>
        <w:tc>
          <w:tcPr>
            <w:tcW w:w="1305" w:type="dxa"/>
          </w:tcPr>
          <w:p w14:paraId="2C1FB08C" w14:textId="6843D73C" w:rsidR="00222D72" w:rsidRDefault="006C15A9" w:rsidP="004C7BEF">
            <w:pPr>
              <w:pStyle w:val="ARtablecolheadright"/>
              <w:rPr>
                <w:rFonts w:eastAsia="Arial"/>
                <w:bCs/>
              </w:rPr>
            </w:pPr>
            <w:r>
              <w:rPr>
                <w:rFonts w:eastAsia="Arial"/>
                <w:bCs/>
              </w:rPr>
              <w:t>2021–22</w:t>
            </w:r>
            <w:r w:rsidR="00222D72" w:rsidRPr="47AEECA1">
              <w:rPr>
                <w:rFonts w:eastAsia="Arial"/>
                <w:bCs/>
              </w:rPr>
              <w:t xml:space="preserve"> estimate</w:t>
            </w:r>
          </w:p>
        </w:tc>
        <w:tc>
          <w:tcPr>
            <w:tcW w:w="1020" w:type="dxa"/>
          </w:tcPr>
          <w:p w14:paraId="56C4B1AA" w14:textId="0E786C4F" w:rsidR="00222D72" w:rsidRDefault="006C15A9" w:rsidP="004C7BEF">
            <w:pPr>
              <w:pStyle w:val="ARtablecolheadright"/>
              <w:rPr>
                <w:rFonts w:eastAsia="Arial"/>
                <w:bCs/>
              </w:rPr>
            </w:pPr>
            <w:r>
              <w:rPr>
                <w:rFonts w:eastAsia="Arial"/>
                <w:bCs/>
              </w:rPr>
              <w:t>2021–22</w:t>
            </w:r>
            <w:r w:rsidR="00222D72" w:rsidRPr="47AEECA1">
              <w:rPr>
                <w:rFonts w:eastAsia="Arial"/>
                <w:bCs/>
              </w:rPr>
              <w:t xml:space="preserve"> estimate</w:t>
            </w:r>
          </w:p>
        </w:tc>
        <w:tc>
          <w:tcPr>
            <w:tcW w:w="1304" w:type="dxa"/>
          </w:tcPr>
          <w:p w14:paraId="52E0B98C" w14:textId="77777777" w:rsidR="00222D72" w:rsidRDefault="00222D72" w:rsidP="004C7BEF">
            <w:pPr>
              <w:pStyle w:val="ARtablecolheadright"/>
              <w:rPr>
                <w:rFonts w:eastAsia="Arial"/>
                <w:bCs/>
              </w:rPr>
            </w:pPr>
            <w:r w:rsidRPr="47AEECA1">
              <w:rPr>
                <w:rFonts w:eastAsia="Arial"/>
                <w:bCs/>
              </w:rPr>
              <w:t xml:space="preserve">2020–21 </w:t>
            </w:r>
            <w:r>
              <w:br/>
            </w:r>
            <w:r w:rsidRPr="47AEECA1">
              <w:rPr>
                <w:rFonts w:eastAsia="Arial"/>
                <w:bCs/>
              </w:rPr>
              <w:t>estimate</w:t>
            </w:r>
          </w:p>
        </w:tc>
        <w:tc>
          <w:tcPr>
            <w:tcW w:w="1021" w:type="dxa"/>
          </w:tcPr>
          <w:p w14:paraId="123B1431" w14:textId="77777777" w:rsidR="00222D72" w:rsidRDefault="00222D72" w:rsidP="004C7BEF">
            <w:pPr>
              <w:pStyle w:val="ARtablecolheadright"/>
              <w:rPr>
                <w:rFonts w:eastAsia="Arial"/>
                <w:bCs/>
              </w:rPr>
            </w:pPr>
            <w:r w:rsidRPr="47AEECA1">
              <w:rPr>
                <w:rFonts w:eastAsia="Arial"/>
                <w:bCs/>
              </w:rPr>
              <w:t xml:space="preserve">2020–21 </w:t>
            </w:r>
            <w:r>
              <w:br/>
            </w:r>
            <w:r w:rsidRPr="47AEECA1">
              <w:rPr>
                <w:rFonts w:eastAsia="Arial"/>
                <w:bCs/>
              </w:rPr>
              <w:t>estimate</w:t>
            </w:r>
          </w:p>
        </w:tc>
        <w:tc>
          <w:tcPr>
            <w:tcW w:w="1304" w:type="dxa"/>
          </w:tcPr>
          <w:p w14:paraId="7F825797" w14:textId="77777777" w:rsidR="00222D72" w:rsidRDefault="00222D72" w:rsidP="004C7BEF">
            <w:pPr>
              <w:pStyle w:val="ARtablecolheadright"/>
              <w:rPr>
                <w:rFonts w:eastAsia="Arial"/>
                <w:bCs/>
              </w:rPr>
            </w:pPr>
            <w:r w:rsidRPr="47AEECA1">
              <w:rPr>
                <w:rFonts w:eastAsia="Arial"/>
                <w:bCs/>
              </w:rPr>
              <w:t xml:space="preserve">2019–20 </w:t>
            </w:r>
            <w:r>
              <w:br/>
            </w:r>
            <w:r w:rsidRPr="47AEECA1">
              <w:rPr>
                <w:rFonts w:eastAsia="Arial"/>
                <w:bCs/>
              </w:rPr>
              <w:t>estimate</w:t>
            </w:r>
          </w:p>
        </w:tc>
        <w:tc>
          <w:tcPr>
            <w:tcW w:w="1020" w:type="dxa"/>
          </w:tcPr>
          <w:p w14:paraId="46673A1C" w14:textId="77777777" w:rsidR="00222D72" w:rsidRDefault="00222D72" w:rsidP="004C7BEF">
            <w:pPr>
              <w:pStyle w:val="ARtablecolheadright"/>
              <w:rPr>
                <w:rFonts w:eastAsia="Arial"/>
                <w:bCs/>
              </w:rPr>
            </w:pPr>
            <w:r w:rsidRPr="47AEECA1">
              <w:rPr>
                <w:rFonts w:eastAsia="Arial"/>
                <w:bCs/>
              </w:rPr>
              <w:t xml:space="preserve">2019–20 </w:t>
            </w:r>
            <w:r>
              <w:br/>
            </w:r>
            <w:r w:rsidRPr="47AEECA1">
              <w:rPr>
                <w:rFonts w:eastAsia="Arial"/>
                <w:bCs/>
              </w:rPr>
              <w:t>estimate</w:t>
            </w:r>
          </w:p>
        </w:tc>
      </w:tr>
      <w:tr w:rsidR="00222D72" w14:paraId="0A3CAE20" w14:textId="77777777" w:rsidTr="003E09F6">
        <w:trPr>
          <w:cnfStyle w:val="100000000000" w:firstRow="1" w:lastRow="0" w:firstColumn="0" w:lastColumn="0" w:oddVBand="0" w:evenVBand="0" w:oddHBand="0" w:evenHBand="0" w:firstRowFirstColumn="0" w:firstRowLastColumn="0" w:lastRowFirstColumn="0" w:lastRowLastColumn="0"/>
          <w:trHeight w:val="270"/>
          <w:tblHeader/>
        </w:trPr>
        <w:tc>
          <w:tcPr>
            <w:tcW w:w="2665" w:type="dxa"/>
          </w:tcPr>
          <w:p w14:paraId="3B46E65D" w14:textId="77777777" w:rsidR="00222D72" w:rsidRDefault="00222D72" w:rsidP="004C7BEF">
            <w:pPr>
              <w:pStyle w:val="ARtablecolhead"/>
              <w:rPr>
                <w:rFonts w:eastAsia="Arial"/>
                <w:bCs/>
              </w:rPr>
            </w:pPr>
            <w:r w:rsidRPr="47AEECA1">
              <w:rPr>
                <w:rFonts w:eastAsia="Arial"/>
                <w:bCs/>
              </w:rPr>
              <w:t>Total energy usage segmented by primary source</w:t>
            </w:r>
          </w:p>
        </w:tc>
        <w:tc>
          <w:tcPr>
            <w:tcW w:w="1305" w:type="dxa"/>
          </w:tcPr>
          <w:p w14:paraId="2A006484" w14:textId="77777777" w:rsidR="00222D72" w:rsidRDefault="00222D72" w:rsidP="004C7BEF">
            <w:pPr>
              <w:pStyle w:val="ARtablecolheadright"/>
              <w:rPr>
                <w:rFonts w:eastAsia="Arial"/>
                <w:bCs/>
                <w:sz w:val="17"/>
                <w:szCs w:val="17"/>
              </w:rPr>
            </w:pPr>
            <w:r w:rsidRPr="47AEECA1">
              <w:rPr>
                <w:rFonts w:eastAsia="Arial"/>
                <w:bCs/>
                <w:sz w:val="17"/>
                <w:szCs w:val="17"/>
              </w:rPr>
              <w:t>Megajoules</w:t>
            </w:r>
          </w:p>
        </w:tc>
        <w:tc>
          <w:tcPr>
            <w:tcW w:w="1020" w:type="dxa"/>
          </w:tcPr>
          <w:p w14:paraId="6C1CDC04" w14:textId="77777777" w:rsidR="00222D72" w:rsidRDefault="00222D72" w:rsidP="004C7BEF">
            <w:pPr>
              <w:pStyle w:val="ARtablecolheadright"/>
              <w:rPr>
                <w:rFonts w:eastAsia="Arial"/>
                <w:bCs/>
                <w:sz w:val="17"/>
                <w:szCs w:val="17"/>
              </w:rPr>
            </w:pPr>
            <w:r w:rsidRPr="47AEECA1">
              <w:rPr>
                <w:rFonts w:eastAsia="Arial"/>
                <w:bCs/>
                <w:sz w:val="17"/>
                <w:szCs w:val="17"/>
              </w:rPr>
              <w:t>Cost</w:t>
            </w:r>
            <w:r>
              <w:br/>
            </w:r>
            <w:r w:rsidRPr="47AEECA1">
              <w:rPr>
                <w:rFonts w:eastAsia="Arial"/>
                <w:bCs/>
                <w:sz w:val="17"/>
                <w:szCs w:val="17"/>
              </w:rPr>
              <w:t>($M)</w:t>
            </w:r>
          </w:p>
        </w:tc>
        <w:tc>
          <w:tcPr>
            <w:tcW w:w="1304" w:type="dxa"/>
          </w:tcPr>
          <w:p w14:paraId="2A316AE8" w14:textId="77777777" w:rsidR="00222D72" w:rsidRDefault="00222D72" w:rsidP="004C7BEF">
            <w:pPr>
              <w:pStyle w:val="ARtablecolheadright"/>
              <w:rPr>
                <w:rFonts w:eastAsia="Arial"/>
                <w:bCs/>
                <w:sz w:val="17"/>
                <w:szCs w:val="17"/>
              </w:rPr>
            </w:pPr>
            <w:r w:rsidRPr="47AEECA1">
              <w:rPr>
                <w:rFonts w:eastAsia="Arial"/>
                <w:bCs/>
                <w:sz w:val="17"/>
                <w:szCs w:val="17"/>
              </w:rPr>
              <w:t>Megajoules</w:t>
            </w:r>
          </w:p>
        </w:tc>
        <w:tc>
          <w:tcPr>
            <w:tcW w:w="1021" w:type="dxa"/>
          </w:tcPr>
          <w:p w14:paraId="44DF1DDF" w14:textId="77777777" w:rsidR="00222D72" w:rsidRDefault="00222D72" w:rsidP="004C7BEF">
            <w:pPr>
              <w:pStyle w:val="ARtablecolheadright"/>
              <w:rPr>
                <w:rFonts w:eastAsia="Arial"/>
                <w:bCs/>
                <w:sz w:val="17"/>
                <w:szCs w:val="17"/>
              </w:rPr>
            </w:pPr>
            <w:r w:rsidRPr="47AEECA1">
              <w:rPr>
                <w:rFonts w:eastAsia="Arial"/>
                <w:bCs/>
                <w:sz w:val="17"/>
                <w:szCs w:val="17"/>
              </w:rPr>
              <w:t>Cost</w:t>
            </w:r>
            <w:r>
              <w:br/>
            </w:r>
            <w:r w:rsidRPr="47AEECA1">
              <w:rPr>
                <w:rFonts w:eastAsia="Arial"/>
                <w:bCs/>
                <w:sz w:val="17"/>
                <w:szCs w:val="17"/>
              </w:rPr>
              <w:t>($M)</w:t>
            </w:r>
          </w:p>
        </w:tc>
        <w:tc>
          <w:tcPr>
            <w:tcW w:w="1304" w:type="dxa"/>
          </w:tcPr>
          <w:p w14:paraId="3E89DAD0" w14:textId="77777777" w:rsidR="00222D72" w:rsidRDefault="00222D72" w:rsidP="004C7BEF">
            <w:pPr>
              <w:pStyle w:val="ARtablecolheadright"/>
              <w:rPr>
                <w:rFonts w:eastAsia="Arial"/>
                <w:bCs/>
                <w:sz w:val="17"/>
                <w:szCs w:val="17"/>
              </w:rPr>
            </w:pPr>
            <w:r w:rsidRPr="47AEECA1">
              <w:rPr>
                <w:rFonts w:eastAsia="Arial"/>
                <w:bCs/>
                <w:sz w:val="17"/>
                <w:szCs w:val="17"/>
              </w:rPr>
              <w:t>Megajoules</w:t>
            </w:r>
          </w:p>
        </w:tc>
        <w:tc>
          <w:tcPr>
            <w:tcW w:w="1020" w:type="dxa"/>
          </w:tcPr>
          <w:p w14:paraId="499C3F7E" w14:textId="77777777" w:rsidR="00222D72" w:rsidRDefault="00222D72" w:rsidP="004C7BEF">
            <w:pPr>
              <w:pStyle w:val="ARtablecolheadright"/>
              <w:rPr>
                <w:rFonts w:eastAsia="Arial"/>
                <w:bCs/>
                <w:sz w:val="17"/>
                <w:szCs w:val="17"/>
              </w:rPr>
            </w:pPr>
            <w:r w:rsidRPr="47AEECA1">
              <w:rPr>
                <w:rFonts w:eastAsia="Arial"/>
                <w:bCs/>
                <w:sz w:val="17"/>
                <w:szCs w:val="17"/>
              </w:rPr>
              <w:t>Cost</w:t>
            </w:r>
            <w:r>
              <w:br/>
            </w:r>
            <w:r w:rsidRPr="47AEECA1">
              <w:rPr>
                <w:rFonts w:eastAsia="Arial"/>
                <w:bCs/>
                <w:sz w:val="17"/>
                <w:szCs w:val="17"/>
              </w:rPr>
              <w:t>($M)</w:t>
            </w:r>
          </w:p>
        </w:tc>
      </w:tr>
      <w:tr w:rsidR="00222D72" w14:paraId="5EB1CD63" w14:textId="77777777" w:rsidTr="003E09F6">
        <w:trPr>
          <w:cantSplit w:val="0"/>
          <w:trHeight w:val="270"/>
        </w:trPr>
        <w:tc>
          <w:tcPr>
            <w:tcW w:w="2665" w:type="dxa"/>
          </w:tcPr>
          <w:p w14:paraId="54F0C3F0" w14:textId="77777777" w:rsidR="00222D72" w:rsidRDefault="00222D72" w:rsidP="004C7BEF">
            <w:pPr>
              <w:pStyle w:val="ARtabletext"/>
              <w:rPr>
                <w:rFonts w:eastAsia="Arial"/>
              </w:rPr>
            </w:pPr>
            <w:r w:rsidRPr="47AEECA1">
              <w:rPr>
                <w:rFonts w:eastAsia="Arial"/>
              </w:rPr>
              <w:t>Electricity</w:t>
            </w:r>
          </w:p>
        </w:tc>
        <w:tc>
          <w:tcPr>
            <w:tcW w:w="1305" w:type="dxa"/>
          </w:tcPr>
          <w:p w14:paraId="33999E83" w14:textId="77777777" w:rsidR="00222D72" w:rsidRDefault="00222D72" w:rsidP="003E09F6">
            <w:pPr>
              <w:pStyle w:val="ARtabletextright"/>
            </w:pPr>
            <w:r w:rsidRPr="2F9D9672">
              <w:t>7,989,359</w:t>
            </w:r>
          </w:p>
        </w:tc>
        <w:tc>
          <w:tcPr>
            <w:tcW w:w="1020" w:type="dxa"/>
          </w:tcPr>
          <w:p w14:paraId="2762D6A4" w14:textId="77777777" w:rsidR="00222D72" w:rsidRDefault="00222D72" w:rsidP="003E09F6">
            <w:pPr>
              <w:pStyle w:val="ARtabletextright"/>
            </w:pPr>
            <w:r w:rsidRPr="2F9D9672">
              <w:t>$0.28</w:t>
            </w:r>
          </w:p>
        </w:tc>
        <w:tc>
          <w:tcPr>
            <w:tcW w:w="1304" w:type="dxa"/>
          </w:tcPr>
          <w:p w14:paraId="15D11D42" w14:textId="77777777" w:rsidR="00222D72" w:rsidRDefault="00222D72" w:rsidP="003E09F6">
            <w:pPr>
              <w:pStyle w:val="ARtabletextright"/>
            </w:pPr>
            <w:r w:rsidRPr="5E1D3705">
              <w:t>N/A</w:t>
            </w:r>
          </w:p>
        </w:tc>
        <w:tc>
          <w:tcPr>
            <w:tcW w:w="1021" w:type="dxa"/>
          </w:tcPr>
          <w:p w14:paraId="125C31FD" w14:textId="03C9C726" w:rsidR="00222D72" w:rsidRDefault="00222D72" w:rsidP="003E09F6">
            <w:pPr>
              <w:pStyle w:val="ARtabletextright"/>
            </w:pPr>
            <w:r w:rsidRPr="5E1D3705">
              <w:t>N/A</w:t>
            </w:r>
          </w:p>
        </w:tc>
        <w:tc>
          <w:tcPr>
            <w:tcW w:w="1304" w:type="dxa"/>
          </w:tcPr>
          <w:p w14:paraId="75F6758C" w14:textId="63EFA622" w:rsidR="00222D72" w:rsidRDefault="00222D72" w:rsidP="003E09F6">
            <w:pPr>
              <w:pStyle w:val="ARtabletextright"/>
            </w:pPr>
            <w:r w:rsidRPr="5E1D3705">
              <w:t>N/A</w:t>
            </w:r>
          </w:p>
        </w:tc>
        <w:tc>
          <w:tcPr>
            <w:tcW w:w="1020" w:type="dxa"/>
          </w:tcPr>
          <w:p w14:paraId="0B08765F" w14:textId="77777777" w:rsidR="00222D72" w:rsidRDefault="00222D72" w:rsidP="003E09F6">
            <w:pPr>
              <w:pStyle w:val="ARtabletextright"/>
            </w:pPr>
            <w:r w:rsidRPr="5E1D3705">
              <w:t>N/A</w:t>
            </w:r>
          </w:p>
        </w:tc>
      </w:tr>
      <w:tr w:rsidR="00222D72" w14:paraId="7EB89A27" w14:textId="77777777" w:rsidTr="003E09F6">
        <w:trPr>
          <w:cantSplit w:val="0"/>
          <w:trHeight w:val="270"/>
        </w:trPr>
        <w:tc>
          <w:tcPr>
            <w:tcW w:w="2665" w:type="dxa"/>
          </w:tcPr>
          <w:p w14:paraId="6621359D" w14:textId="77777777" w:rsidR="00222D72" w:rsidRDefault="00222D72" w:rsidP="004C7BEF">
            <w:pPr>
              <w:pStyle w:val="ARtabletext"/>
              <w:rPr>
                <w:rFonts w:eastAsia="Arial"/>
              </w:rPr>
            </w:pPr>
            <w:r w:rsidRPr="47AEECA1">
              <w:rPr>
                <w:rFonts w:eastAsia="Arial"/>
              </w:rPr>
              <w:t>Green power</w:t>
            </w:r>
          </w:p>
        </w:tc>
        <w:tc>
          <w:tcPr>
            <w:tcW w:w="1305" w:type="dxa"/>
          </w:tcPr>
          <w:p w14:paraId="2312C265" w14:textId="77777777" w:rsidR="00222D72" w:rsidRDefault="00222D72" w:rsidP="003E09F6">
            <w:pPr>
              <w:pStyle w:val="ARtabletextright"/>
            </w:pPr>
            <w:r w:rsidRPr="2FE76BCA">
              <w:t>188,866</w:t>
            </w:r>
          </w:p>
        </w:tc>
        <w:tc>
          <w:tcPr>
            <w:tcW w:w="1020" w:type="dxa"/>
          </w:tcPr>
          <w:p w14:paraId="21B867EC" w14:textId="377CC7FA" w:rsidR="00222D72" w:rsidRDefault="00222D72" w:rsidP="003E09F6">
            <w:pPr>
              <w:pStyle w:val="ARtabletextright"/>
            </w:pPr>
            <w:r w:rsidRPr="11D611A5">
              <w:t>N/A</w:t>
            </w:r>
            <w:r w:rsidR="008B5BD3" w:rsidRPr="008B5BD3">
              <w:t xml:space="preserve"> </w:t>
            </w:r>
            <w:r w:rsidR="00B60921" w:rsidRPr="00B60921">
              <w:rPr>
                <w:rStyle w:val="FootnoteReference"/>
              </w:rPr>
              <w:t>(</w:t>
            </w:r>
            <w:r w:rsidR="00B60921">
              <w:rPr>
                <w:rStyle w:val="FootnoteReference"/>
              </w:rPr>
              <w:footnoteReference w:id="51"/>
            </w:r>
            <w:r w:rsidR="00B60921" w:rsidRPr="00B60921">
              <w:rPr>
                <w:rStyle w:val="FootnoteReference"/>
              </w:rPr>
              <w:t>)</w:t>
            </w:r>
          </w:p>
        </w:tc>
        <w:tc>
          <w:tcPr>
            <w:tcW w:w="1304" w:type="dxa"/>
          </w:tcPr>
          <w:p w14:paraId="3A778A4C" w14:textId="0F7DA4E0" w:rsidR="00222D72" w:rsidRDefault="00222D72" w:rsidP="003E09F6">
            <w:pPr>
              <w:pStyle w:val="ARtabletextright"/>
            </w:pPr>
            <w:r w:rsidRPr="5E1D3705">
              <w:t>N/A</w:t>
            </w:r>
          </w:p>
        </w:tc>
        <w:tc>
          <w:tcPr>
            <w:tcW w:w="1021" w:type="dxa"/>
          </w:tcPr>
          <w:p w14:paraId="17015CFB" w14:textId="7CA1BE0A" w:rsidR="00222D72" w:rsidRDefault="00222D72" w:rsidP="003E09F6">
            <w:pPr>
              <w:pStyle w:val="ARtabletextright"/>
            </w:pPr>
            <w:r w:rsidRPr="5E1D3705">
              <w:t>N/A</w:t>
            </w:r>
          </w:p>
        </w:tc>
        <w:tc>
          <w:tcPr>
            <w:tcW w:w="1304" w:type="dxa"/>
          </w:tcPr>
          <w:p w14:paraId="2A58B4B8" w14:textId="3C5662D9" w:rsidR="00222D72" w:rsidRDefault="00222D72" w:rsidP="003E09F6">
            <w:pPr>
              <w:pStyle w:val="ARtabletextright"/>
            </w:pPr>
            <w:r w:rsidRPr="5E1D3705">
              <w:t>N/A</w:t>
            </w:r>
          </w:p>
        </w:tc>
        <w:tc>
          <w:tcPr>
            <w:tcW w:w="1020" w:type="dxa"/>
          </w:tcPr>
          <w:p w14:paraId="2819BEC7" w14:textId="3682E09A" w:rsidR="00222D72" w:rsidRDefault="00222D72" w:rsidP="003E09F6">
            <w:pPr>
              <w:pStyle w:val="ARtabletextright"/>
            </w:pPr>
            <w:r w:rsidRPr="5E1D3705">
              <w:t>N/A</w:t>
            </w:r>
          </w:p>
        </w:tc>
      </w:tr>
      <w:tr w:rsidR="00222D72" w14:paraId="3847E739" w14:textId="77777777" w:rsidTr="003E09F6">
        <w:trPr>
          <w:cantSplit w:val="0"/>
          <w:trHeight w:val="270"/>
        </w:trPr>
        <w:tc>
          <w:tcPr>
            <w:tcW w:w="2665" w:type="dxa"/>
          </w:tcPr>
          <w:p w14:paraId="0AFEBD69" w14:textId="77777777" w:rsidR="00222D72" w:rsidRDefault="00222D72" w:rsidP="004C7BEF">
            <w:pPr>
              <w:pStyle w:val="ARtabletext"/>
              <w:rPr>
                <w:rFonts w:eastAsia="Arial"/>
              </w:rPr>
            </w:pPr>
            <w:r w:rsidRPr="47AEECA1">
              <w:rPr>
                <w:rFonts w:eastAsia="Arial"/>
              </w:rPr>
              <w:t>Natural gas</w:t>
            </w:r>
          </w:p>
        </w:tc>
        <w:tc>
          <w:tcPr>
            <w:tcW w:w="1305" w:type="dxa"/>
          </w:tcPr>
          <w:p w14:paraId="65950561" w14:textId="71CA355B" w:rsidR="00222D72" w:rsidRDefault="00222D72" w:rsidP="003E09F6">
            <w:pPr>
              <w:pStyle w:val="ARtabletextright"/>
            </w:pPr>
            <w:r w:rsidRPr="2F9D9672">
              <w:t>2,414,895</w:t>
            </w:r>
          </w:p>
        </w:tc>
        <w:tc>
          <w:tcPr>
            <w:tcW w:w="1020" w:type="dxa"/>
          </w:tcPr>
          <w:p w14:paraId="20FC3461" w14:textId="77777777" w:rsidR="00222D72" w:rsidRDefault="00222D72" w:rsidP="003E09F6">
            <w:pPr>
              <w:pStyle w:val="ARtabletextright"/>
            </w:pPr>
            <w:r w:rsidRPr="2F9D9672">
              <w:t>$0.0013</w:t>
            </w:r>
          </w:p>
        </w:tc>
        <w:tc>
          <w:tcPr>
            <w:tcW w:w="1304" w:type="dxa"/>
          </w:tcPr>
          <w:p w14:paraId="0672346D" w14:textId="28EBFBBE" w:rsidR="00222D72" w:rsidRDefault="00222D72" w:rsidP="003E09F6">
            <w:pPr>
              <w:pStyle w:val="ARtabletextright"/>
            </w:pPr>
            <w:r w:rsidRPr="5E1D3705">
              <w:t>N/A</w:t>
            </w:r>
          </w:p>
        </w:tc>
        <w:tc>
          <w:tcPr>
            <w:tcW w:w="1021" w:type="dxa"/>
          </w:tcPr>
          <w:p w14:paraId="6651DC23" w14:textId="084B984B" w:rsidR="00222D72" w:rsidRDefault="00222D72" w:rsidP="003E09F6">
            <w:pPr>
              <w:pStyle w:val="ARtabletextright"/>
            </w:pPr>
            <w:r w:rsidRPr="5E1D3705">
              <w:t>N/A</w:t>
            </w:r>
          </w:p>
        </w:tc>
        <w:tc>
          <w:tcPr>
            <w:tcW w:w="1304" w:type="dxa"/>
          </w:tcPr>
          <w:p w14:paraId="6D7720CD" w14:textId="70FAA19F" w:rsidR="00222D72" w:rsidRDefault="00222D72" w:rsidP="003E09F6">
            <w:pPr>
              <w:pStyle w:val="ARtabletextright"/>
            </w:pPr>
            <w:r w:rsidRPr="5E1D3705">
              <w:t>N/A</w:t>
            </w:r>
          </w:p>
        </w:tc>
        <w:tc>
          <w:tcPr>
            <w:tcW w:w="1020" w:type="dxa"/>
          </w:tcPr>
          <w:p w14:paraId="0E323C81" w14:textId="78A15DC9" w:rsidR="00222D72" w:rsidRDefault="00222D72" w:rsidP="003E09F6">
            <w:pPr>
              <w:pStyle w:val="ARtabletextright"/>
            </w:pPr>
            <w:r w:rsidRPr="5E1D3705">
              <w:t>N/A</w:t>
            </w:r>
          </w:p>
        </w:tc>
      </w:tr>
      <w:tr w:rsidR="00222D72" w14:paraId="4511EC31" w14:textId="77777777" w:rsidTr="003E09F6">
        <w:trPr>
          <w:cantSplit w:val="0"/>
          <w:trHeight w:val="270"/>
        </w:trPr>
        <w:tc>
          <w:tcPr>
            <w:tcW w:w="2665" w:type="dxa"/>
          </w:tcPr>
          <w:p w14:paraId="397E3EB0" w14:textId="77777777" w:rsidR="00222D72" w:rsidRDefault="00222D72" w:rsidP="004C7BEF">
            <w:pPr>
              <w:pStyle w:val="ARtabletext"/>
              <w:rPr>
                <w:rFonts w:eastAsia="Arial"/>
              </w:rPr>
            </w:pPr>
            <w:r w:rsidRPr="47AEECA1">
              <w:rPr>
                <w:rFonts w:eastAsia="Arial"/>
                <w:b/>
                <w:bCs/>
              </w:rPr>
              <w:t>Total</w:t>
            </w:r>
          </w:p>
        </w:tc>
        <w:tc>
          <w:tcPr>
            <w:tcW w:w="1305" w:type="dxa"/>
          </w:tcPr>
          <w:p w14:paraId="3B37BCA1" w14:textId="77777777" w:rsidR="00222D72" w:rsidRDefault="00222D72" w:rsidP="009E7701">
            <w:pPr>
              <w:pStyle w:val="ARtabletextrightbold"/>
            </w:pPr>
            <w:r w:rsidRPr="11D611A5">
              <w:t>10,593,120</w:t>
            </w:r>
          </w:p>
        </w:tc>
        <w:tc>
          <w:tcPr>
            <w:tcW w:w="1020" w:type="dxa"/>
          </w:tcPr>
          <w:p w14:paraId="644C4C65" w14:textId="77777777" w:rsidR="00222D72" w:rsidRDefault="00222D72" w:rsidP="009E7701">
            <w:pPr>
              <w:pStyle w:val="ARtabletextrightbold"/>
            </w:pPr>
            <w:r w:rsidRPr="2F9D9672">
              <w:t>$0.281</w:t>
            </w:r>
          </w:p>
        </w:tc>
        <w:tc>
          <w:tcPr>
            <w:tcW w:w="1304" w:type="dxa"/>
          </w:tcPr>
          <w:p w14:paraId="5E1BABB6" w14:textId="3324769C" w:rsidR="00222D72" w:rsidRDefault="00222D72" w:rsidP="009E7701">
            <w:pPr>
              <w:pStyle w:val="ARtabletextrightbold"/>
            </w:pPr>
            <w:r w:rsidRPr="5E1D3705">
              <w:t>N/A</w:t>
            </w:r>
          </w:p>
        </w:tc>
        <w:tc>
          <w:tcPr>
            <w:tcW w:w="1021" w:type="dxa"/>
          </w:tcPr>
          <w:p w14:paraId="669749F8" w14:textId="4D215E0D" w:rsidR="00222D72" w:rsidRDefault="00222D72" w:rsidP="009E7701">
            <w:pPr>
              <w:pStyle w:val="ARtabletextrightbold"/>
            </w:pPr>
            <w:r w:rsidRPr="5E1D3705">
              <w:t>N/A</w:t>
            </w:r>
          </w:p>
        </w:tc>
        <w:tc>
          <w:tcPr>
            <w:tcW w:w="1304" w:type="dxa"/>
          </w:tcPr>
          <w:p w14:paraId="54FD9BAA" w14:textId="5B0B510C" w:rsidR="00222D72" w:rsidRDefault="00222D72" w:rsidP="009E7701">
            <w:pPr>
              <w:pStyle w:val="ARtabletextrightbold"/>
            </w:pPr>
            <w:r w:rsidRPr="5E1D3705">
              <w:t>N/A</w:t>
            </w:r>
          </w:p>
        </w:tc>
        <w:tc>
          <w:tcPr>
            <w:tcW w:w="1020" w:type="dxa"/>
          </w:tcPr>
          <w:p w14:paraId="2049AA2B" w14:textId="78F49482" w:rsidR="00222D72" w:rsidRDefault="00222D72" w:rsidP="009E7701">
            <w:pPr>
              <w:pStyle w:val="ARtabletextrightbold"/>
            </w:pPr>
            <w:r w:rsidRPr="5E1D3705">
              <w:t>N/A</w:t>
            </w:r>
          </w:p>
        </w:tc>
      </w:tr>
    </w:tbl>
    <w:p w14:paraId="5B9EF2F5" w14:textId="77777777" w:rsidR="00222D72" w:rsidRDefault="00222D72" w:rsidP="00125EE1">
      <w:pPr>
        <w:pStyle w:val="ARbodynospace"/>
      </w:pPr>
    </w:p>
    <w:tbl>
      <w:tblPr>
        <w:tblStyle w:val="TableGrid"/>
        <w:tblW w:w="0" w:type="auto"/>
        <w:tblLayout w:type="fixed"/>
        <w:tblLook w:val="06A0" w:firstRow="1" w:lastRow="0" w:firstColumn="1" w:lastColumn="0" w:noHBand="1" w:noVBand="1"/>
      </w:tblPr>
      <w:tblGrid>
        <w:gridCol w:w="4621"/>
        <w:gridCol w:w="1673"/>
        <w:gridCol w:w="1673"/>
        <w:gridCol w:w="1673"/>
      </w:tblGrid>
      <w:tr w:rsidR="00222D72" w14:paraId="23D6F431" w14:textId="77777777" w:rsidTr="003E09F6">
        <w:trPr>
          <w:cnfStyle w:val="100000000000" w:firstRow="1" w:lastRow="0" w:firstColumn="0" w:lastColumn="0" w:oddVBand="0" w:evenVBand="0" w:oddHBand="0" w:evenHBand="0" w:firstRowFirstColumn="0" w:firstRowLastColumn="0" w:lastRowFirstColumn="0" w:lastRowLastColumn="0"/>
          <w:trHeight w:val="225"/>
          <w:tblHeader/>
        </w:trPr>
        <w:tc>
          <w:tcPr>
            <w:tcW w:w="4621" w:type="dxa"/>
          </w:tcPr>
          <w:p w14:paraId="7BDB9511" w14:textId="77777777" w:rsidR="00222D72" w:rsidRDefault="00222D72" w:rsidP="004C7BEF">
            <w:pPr>
              <w:pStyle w:val="ARtablecolhead"/>
              <w:rPr>
                <w:rFonts w:eastAsia="Arial"/>
                <w:bCs/>
              </w:rPr>
            </w:pPr>
            <w:r w:rsidRPr="47AEECA1">
              <w:rPr>
                <w:rFonts w:eastAsia="Arial"/>
                <w:bCs/>
              </w:rPr>
              <w:t>Description</w:t>
            </w:r>
          </w:p>
        </w:tc>
        <w:tc>
          <w:tcPr>
            <w:tcW w:w="1673" w:type="dxa"/>
          </w:tcPr>
          <w:p w14:paraId="31F294E1" w14:textId="6BB2BB20" w:rsidR="00222D72" w:rsidRDefault="006C15A9" w:rsidP="004C7BEF">
            <w:pPr>
              <w:pStyle w:val="ARtablecolheadright"/>
              <w:rPr>
                <w:rFonts w:eastAsia="Arial"/>
                <w:bCs/>
              </w:rPr>
            </w:pPr>
            <w:r>
              <w:rPr>
                <w:rFonts w:eastAsia="Arial"/>
                <w:bCs/>
              </w:rPr>
              <w:t>2021–22</w:t>
            </w:r>
            <w:r w:rsidR="00222D72" w:rsidRPr="47AEECA1">
              <w:rPr>
                <w:rFonts w:eastAsia="Arial"/>
                <w:bCs/>
              </w:rPr>
              <w:t xml:space="preserve"> </w:t>
            </w:r>
            <w:r w:rsidR="00A57285">
              <w:rPr>
                <w:rFonts w:eastAsia="Arial"/>
                <w:bCs/>
              </w:rPr>
              <w:br/>
            </w:r>
            <w:r w:rsidR="00222D72" w:rsidRPr="47AEECA1">
              <w:rPr>
                <w:rFonts w:eastAsia="Arial"/>
                <w:bCs/>
              </w:rPr>
              <w:t>estimate</w:t>
            </w:r>
          </w:p>
        </w:tc>
        <w:tc>
          <w:tcPr>
            <w:tcW w:w="1673" w:type="dxa"/>
          </w:tcPr>
          <w:p w14:paraId="42463E33" w14:textId="334904AB" w:rsidR="00222D72" w:rsidRDefault="00222D72" w:rsidP="004C7BEF">
            <w:pPr>
              <w:pStyle w:val="ARtablecolheadright"/>
              <w:rPr>
                <w:rFonts w:eastAsia="Arial"/>
                <w:bCs/>
                <w:color w:val="000000" w:themeColor="text1"/>
              </w:rPr>
            </w:pPr>
            <w:r w:rsidRPr="47AEECA1">
              <w:rPr>
                <w:rFonts w:eastAsia="Arial"/>
                <w:bCs/>
                <w:color w:val="000000" w:themeColor="text1"/>
              </w:rPr>
              <w:t xml:space="preserve">2020–21 </w:t>
            </w:r>
            <w:r w:rsidR="00A57285">
              <w:rPr>
                <w:rFonts w:eastAsia="Arial"/>
                <w:bCs/>
                <w:color w:val="000000" w:themeColor="text1"/>
              </w:rPr>
              <w:br/>
            </w:r>
            <w:r w:rsidRPr="47AEECA1">
              <w:rPr>
                <w:rFonts w:eastAsia="Arial"/>
                <w:bCs/>
                <w:color w:val="000000" w:themeColor="text1"/>
              </w:rPr>
              <w:t>estimate</w:t>
            </w:r>
          </w:p>
        </w:tc>
        <w:tc>
          <w:tcPr>
            <w:tcW w:w="1673" w:type="dxa"/>
          </w:tcPr>
          <w:p w14:paraId="1BCD08CA" w14:textId="19DE1A27" w:rsidR="00222D72" w:rsidRDefault="00222D72" w:rsidP="004C7BEF">
            <w:pPr>
              <w:pStyle w:val="ARtablecolheadright"/>
              <w:rPr>
                <w:rFonts w:eastAsia="Arial"/>
                <w:bCs/>
                <w:color w:val="000000" w:themeColor="text1"/>
              </w:rPr>
            </w:pPr>
            <w:r w:rsidRPr="47AEECA1">
              <w:rPr>
                <w:rFonts w:eastAsia="Arial"/>
                <w:bCs/>
                <w:color w:val="000000" w:themeColor="text1"/>
              </w:rPr>
              <w:t xml:space="preserve">2019–20 </w:t>
            </w:r>
            <w:r w:rsidR="00A57285">
              <w:rPr>
                <w:rFonts w:eastAsia="Arial"/>
                <w:bCs/>
                <w:color w:val="000000" w:themeColor="text1"/>
              </w:rPr>
              <w:br/>
            </w:r>
            <w:r w:rsidRPr="47AEECA1">
              <w:rPr>
                <w:rFonts w:eastAsia="Arial"/>
                <w:bCs/>
                <w:color w:val="000000" w:themeColor="text1"/>
              </w:rPr>
              <w:t>estimate</w:t>
            </w:r>
          </w:p>
        </w:tc>
      </w:tr>
      <w:tr w:rsidR="00222D72" w14:paraId="01031E8B" w14:textId="77777777" w:rsidTr="003E09F6">
        <w:trPr>
          <w:cnfStyle w:val="100000000000" w:firstRow="1" w:lastRow="0" w:firstColumn="0" w:lastColumn="0" w:oddVBand="0" w:evenVBand="0" w:oddHBand="0" w:evenHBand="0" w:firstRowFirstColumn="0" w:firstRowLastColumn="0" w:lastRowFirstColumn="0" w:lastRowLastColumn="0"/>
          <w:trHeight w:val="270"/>
          <w:tblHeader/>
        </w:trPr>
        <w:tc>
          <w:tcPr>
            <w:tcW w:w="4621" w:type="dxa"/>
          </w:tcPr>
          <w:p w14:paraId="0862C83B" w14:textId="5D0F6F52" w:rsidR="00222D72" w:rsidRDefault="00222D72" w:rsidP="004C7BEF">
            <w:pPr>
              <w:pStyle w:val="ARtablecolhead"/>
              <w:rPr>
                <w:rFonts w:eastAsia="Arial"/>
                <w:bCs/>
              </w:rPr>
            </w:pPr>
            <w:r w:rsidRPr="47AEECA1">
              <w:rPr>
                <w:rFonts w:eastAsia="Arial"/>
                <w:bCs/>
              </w:rPr>
              <w:t xml:space="preserve">Total greenhouse gas emissions </w:t>
            </w:r>
            <w:r w:rsidR="00125EE1">
              <w:rPr>
                <w:rFonts w:eastAsia="Arial"/>
                <w:bCs/>
              </w:rPr>
              <w:br/>
            </w:r>
            <w:r w:rsidRPr="47AEECA1">
              <w:rPr>
                <w:rFonts w:eastAsia="Arial"/>
                <w:bCs/>
              </w:rPr>
              <w:t>by primary source</w:t>
            </w:r>
          </w:p>
        </w:tc>
        <w:tc>
          <w:tcPr>
            <w:tcW w:w="1673" w:type="dxa"/>
          </w:tcPr>
          <w:p w14:paraId="50A83D66" w14:textId="2828E884" w:rsidR="00222D72" w:rsidRDefault="00222D72" w:rsidP="004C7BEF">
            <w:pPr>
              <w:pStyle w:val="ARtablecolheadright"/>
              <w:rPr>
                <w:rFonts w:eastAsia="Arial"/>
                <w:bCs/>
              </w:rPr>
            </w:pPr>
            <w:r w:rsidRPr="47AEECA1">
              <w:rPr>
                <w:rFonts w:eastAsia="Arial"/>
                <w:bCs/>
              </w:rPr>
              <w:t xml:space="preserve">Tonnes </w:t>
            </w:r>
            <w:r w:rsidR="00D25CB6">
              <w:rPr>
                <w:rFonts w:eastAsia="Arial"/>
                <w:bCs/>
              </w:rPr>
              <w:br/>
            </w:r>
            <w:r w:rsidRPr="47AEECA1">
              <w:rPr>
                <w:rFonts w:eastAsia="Arial"/>
                <w:bCs/>
              </w:rPr>
              <w:t>CO</w:t>
            </w:r>
            <w:r w:rsidR="0072453F" w:rsidRPr="00125EE1">
              <w:rPr>
                <w:rStyle w:val="Subscript"/>
              </w:rPr>
              <w:t>2</w:t>
            </w:r>
            <w:r w:rsidRPr="47AEECA1">
              <w:rPr>
                <w:rFonts w:eastAsia="Arial"/>
                <w:bCs/>
              </w:rPr>
              <w:t>-e</w:t>
            </w:r>
          </w:p>
        </w:tc>
        <w:tc>
          <w:tcPr>
            <w:tcW w:w="1673" w:type="dxa"/>
          </w:tcPr>
          <w:p w14:paraId="61485436" w14:textId="7951E9B2" w:rsidR="00222D72" w:rsidRDefault="00222D72" w:rsidP="004C7BEF">
            <w:pPr>
              <w:pStyle w:val="ARtablecolheadright"/>
              <w:rPr>
                <w:rFonts w:eastAsia="Arial"/>
                <w:bCs/>
              </w:rPr>
            </w:pPr>
            <w:r w:rsidRPr="47AEECA1">
              <w:rPr>
                <w:rFonts w:eastAsia="Arial"/>
                <w:bCs/>
              </w:rPr>
              <w:t xml:space="preserve">Tonnes </w:t>
            </w:r>
            <w:r w:rsidR="00D25CB6">
              <w:rPr>
                <w:rFonts w:eastAsia="Arial"/>
                <w:bCs/>
              </w:rPr>
              <w:br/>
            </w:r>
            <w:r w:rsidRPr="47AEECA1">
              <w:rPr>
                <w:rFonts w:eastAsia="Arial"/>
                <w:bCs/>
              </w:rPr>
              <w:t>CO</w:t>
            </w:r>
            <w:r w:rsidRPr="00125EE1">
              <w:rPr>
                <w:rStyle w:val="Subscript"/>
              </w:rPr>
              <w:t>2</w:t>
            </w:r>
            <w:r w:rsidRPr="47AEECA1">
              <w:rPr>
                <w:rFonts w:eastAsia="Arial"/>
                <w:bCs/>
              </w:rPr>
              <w:t>-e</w:t>
            </w:r>
          </w:p>
        </w:tc>
        <w:tc>
          <w:tcPr>
            <w:tcW w:w="1673" w:type="dxa"/>
          </w:tcPr>
          <w:p w14:paraId="2ED37382" w14:textId="1836A75D" w:rsidR="00222D72" w:rsidRDefault="00222D72" w:rsidP="004C7BEF">
            <w:pPr>
              <w:pStyle w:val="ARtablecolheadright"/>
              <w:rPr>
                <w:rFonts w:eastAsia="Arial"/>
                <w:bCs/>
              </w:rPr>
            </w:pPr>
            <w:r w:rsidRPr="47AEECA1">
              <w:rPr>
                <w:rFonts w:eastAsia="Arial"/>
                <w:bCs/>
              </w:rPr>
              <w:t xml:space="preserve">Tonnes </w:t>
            </w:r>
            <w:r w:rsidR="00D25CB6">
              <w:rPr>
                <w:rFonts w:eastAsia="Arial"/>
                <w:bCs/>
              </w:rPr>
              <w:br/>
            </w:r>
            <w:r w:rsidRPr="47AEECA1">
              <w:rPr>
                <w:rFonts w:eastAsia="Arial"/>
                <w:bCs/>
              </w:rPr>
              <w:t>CO</w:t>
            </w:r>
            <w:r w:rsidR="0072453F" w:rsidRPr="00125EE1">
              <w:rPr>
                <w:rStyle w:val="Subscript"/>
              </w:rPr>
              <w:t>2</w:t>
            </w:r>
            <w:r w:rsidRPr="47AEECA1">
              <w:rPr>
                <w:rFonts w:eastAsia="Arial"/>
                <w:bCs/>
              </w:rPr>
              <w:t>-e</w:t>
            </w:r>
          </w:p>
        </w:tc>
      </w:tr>
      <w:tr w:rsidR="00222D72" w14:paraId="25F1BFD2" w14:textId="77777777" w:rsidTr="003E09F6">
        <w:trPr>
          <w:cantSplit w:val="0"/>
          <w:trHeight w:val="270"/>
        </w:trPr>
        <w:tc>
          <w:tcPr>
            <w:tcW w:w="4621" w:type="dxa"/>
          </w:tcPr>
          <w:p w14:paraId="6FB76594" w14:textId="1E716889" w:rsidR="00222D72" w:rsidRDefault="00222D72" w:rsidP="004C7BEF">
            <w:pPr>
              <w:pStyle w:val="ARtabletext"/>
              <w:rPr>
                <w:rFonts w:eastAsia="Arial"/>
              </w:rPr>
            </w:pPr>
            <w:r w:rsidRPr="47AEECA1">
              <w:rPr>
                <w:rFonts w:eastAsia="Arial"/>
              </w:rPr>
              <w:t>Electricity</w:t>
            </w:r>
          </w:p>
        </w:tc>
        <w:tc>
          <w:tcPr>
            <w:tcW w:w="1673" w:type="dxa"/>
          </w:tcPr>
          <w:p w14:paraId="69C0C99D" w14:textId="77777777" w:rsidR="00222D72" w:rsidRDefault="00222D72" w:rsidP="003E09F6">
            <w:pPr>
              <w:pStyle w:val="ARtabletextright"/>
            </w:pPr>
            <w:r w:rsidRPr="434CC132">
              <w:t>2,352</w:t>
            </w:r>
          </w:p>
        </w:tc>
        <w:tc>
          <w:tcPr>
            <w:tcW w:w="1673" w:type="dxa"/>
          </w:tcPr>
          <w:p w14:paraId="2403722A" w14:textId="773CADBF" w:rsidR="00222D72" w:rsidRDefault="00222D72" w:rsidP="003E09F6">
            <w:pPr>
              <w:pStyle w:val="ARtabletextright"/>
            </w:pPr>
            <w:r w:rsidRPr="5E1D3705">
              <w:t>N/A</w:t>
            </w:r>
          </w:p>
        </w:tc>
        <w:tc>
          <w:tcPr>
            <w:tcW w:w="1673" w:type="dxa"/>
          </w:tcPr>
          <w:p w14:paraId="333F7ED7" w14:textId="73C52DD9" w:rsidR="00222D72" w:rsidRDefault="00222D72" w:rsidP="003E09F6">
            <w:pPr>
              <w:pStyle w:val="ARtabletextright"/>
            </w:pPr>
            <w:r w:rsidRPr="5E1D3705">
              <w:t>N/A</w:t>
            </w:r>
          </w:p>
        </w:tc>
      </w:tr>
      <w:tr w:rsidR="00222D72" w14:paraId="40B2702C" w14:textId="77777777" w:rsidTr="003E09F6">
        <w:trPr>
          <w:cantSplit w:val="0"/>
          <w:trHeight w:val="90"/>
        </w:trPr>
        <w:tc>
          <w:tcPr>
            <w:tcW w:w="4621" w:type="dxa"/>
          </w:tcPr>
          <w:p w14:paraId="46589A3B" w14:textId="77777777" w:rsidR="00222D72" w:rsidRDefault="00222D72" w:rsidP="004C7BEF">
            <w:pPr>
              <w:pStyle w:val="ARtabletext"/>
              <w:rPr>
                <w:rFonts w:eastAsia="Arial"/>
              </w:rPr>
            </w:pPr>
            <w:r w:rsidRPr="47AEECA1">
              <w:rPr>
                <w:rFonts w:eastAsia="Arial"/>
              </w:rPr>
              <w:t>Natural gas</w:t>
            </w:r>
          </w:p>
        </w:tc>
        <w:tc>
          <w:tcPr>
            <w:tcW w:w="1673" w:type="dxa"/>
          </w:tcPr>
          <w:p w14:paraId="50219316" w14:textId="77777777" w:rsidR="00222D72" w:rsidRDefault="00222D72" w:rsidP="003E09F6">
            <w:pPr>
              <w:pStyle w:val="ARtabletextright"/>
              <w:rPr>
                <w:highlight w:val="yellow"/>
              </w:rPr>
            </w:pPr>
            <w:r w:rsidRPr="2F9D9672">
              <w:t>134</w:t>
            </w:r>
          </w:p>
        </w:tc>
        <w:tc>
          <w:tcPr>
            <w:tcW w:w="1673" w:type="dxa"/>
          </w:tcPr>
          <w:p w14:paraId="3314A209" w14:textId="0B91F528" w:rsidR="00222D72" w:rsidRDefault="00222D72" w:rsidP="003E09F6">
            <w:pPr>
              <w:pStyle w:val="ARtabletextright"/>
            </w:pPr>
            <w:r w:rsidRPr="5E1D3705">
              <w:t>N/A</w:t>
            </w:r>
          </w:p>
        </w:tc>
        <w:tc>
          <w:tcPr>
            <w:tcW w:w="1673" w:type="dxa"/>
          </w:tcPr>
          <w:p w14:paraId="39991474" w14:textId="4A0EEBAD" w:rsidR="00222D72" w:rsidRDefault="00222D72" w:rsidP="003E09F6">
            <w:pPr>
              <w:pStyle w:val="ARtabletextright"/>
            </w:pPr>
            <w:r w:rsidRPr="5E1D3705">
              <w:t>N/A</w:t>
            </w:r>
          </w:p>
        </w:tc>
      </w:tr>
      <w:tr w:rsidR="00222D72" w14:paraId="63E99F1D" w14:textId="77777777" w:rsidTr="003E09F6">
        <w:trPr>
          <w:cantSplit w:val="0"/>
          <w:trHeight w:val="90"/>
        </w:trPr>
        <w:tc>
          <w:tcPr>
            <w:tcW w:w="4621" w:type="dxa"/>
          </w:tcPr>
          <w:p w14:paraId="18860D25" w14:textId="77777777" w:rsidR="00222D72" w:rsidRDefault="00222D72" w:rsidP="004C7BEF">
            <w:pPr>
              <w:pStyle w:val="ARtabletext"/>
              <w:rPr>
                <w:rFonts w:eastAsia="Arial"/>
              </w:rPr>
            </w:pPr>
            <w:r w:rsidRPr="47AEECA1">
              <w:rPr>
                <w:rFonts w:eastAsia="Arial"/>
                <w:b/>
                <w:bCs/>
              </w:rPr>
              <w:t>Total</w:t>
            </w:r>
          </w:p>
        </w:tc>
        <w:tc>
          <w:tcPr>
            <w:tcW w:w="1673" w:type="dxa"/>
          </w:tcPr>
          <w:p w14:paraId="69B31104" w14:textId="77777777" w:rsidR="00222D72" w:rsidRDefault="00222D72" w:rsidP="003E09F6">
            <w:pPr>
              <w:pStyle w:val="ARtabletextrightbold"/>
            </w:pPr>
            <w:r w:rsidRPr="2F9D9672">
              <w:t>2,486</w:t>
            </w:r>
          </w:p>
        </w:tc>
        <w:tc>
          <w:tcPr>
            <w:tcW w:w="1673" w:type="dxa"/>
          </w:tcPr>
          <w:p w14:paraId="15A0B8B9" w14:textId="7E39240E" w:rsidR="00222D72" w:rsidRDefault="00222D72" w:rsidP="003E09F6">
            <w:pPr>
              <w:pStyle w:val="ARtabletextrightbold"/>
            </w:pPr>
            <w:r w:rsidRPr="5E1D3705">
              <w:t>N/A</w:t>
            </w:r>
          </w:p>
        </w:tc>
        <w:tc>
          <w:tcPr>
            <w:tcW w:w="1673" w:type="dxa"/>
          </w:tcPr>
          <w:p w14:paraId="51DB44C2" w14:textId="3BEC9089" w:rsidR="00222D72" w:rsidRDefault="00222D72" w:rsidP="003E09F6">
            <w:pPr>
              <w:pStyle w:val="ARtabletextrightbold"/>
            </w:pPr>
            <w:r w:rsidRPr="5E1D3705">
              <w:t>N/A</w:t>
            </w:r>
          </w:p>
        </w:tc>
      </w:tr>
    </w:tbl>
    <w:p w14:paraId="148A172B" w14:textId="77777777" w:rsidR="00222D72" w:rsidRDefault="00222D72" w:rsidP="00125EE1">
      <w:pPr>
        <w:pStyle w:val="ARbodynospace"/>
      </w:pPr>
    </w:p>
    <w:tbl>
      <w:tblPr>
        <w:tblStyle w:val="TableGrid"/>
        <w:tblW w:w="0" w:type="auto"/>
        <w:tblLayout w:type="fixed"/>
        <w:tblLook w:val="06A0" w:firstRow="1" w:lastRow="0" w:firstColumn="1" w:lastColumn="0" w:noHBand="1" w:noVBand="1"/>
      </w:tblPr>
      <w:tblGrid>
        <w:gridCol w:w="4621"/>
        <w:gridCol w:w="1673"/>
        <w:gridCol w:w="1673"/>
        <w:gridCol w:w="1673"/>
      </w:tblGrid>
      <w:tr w:rsidR="00222D72" w14:paraId="64AE7DAF" w14:textId="77777777" w:rsidTr="003E09F6">
        <w:trPr>
          <w:cnfStyle w:val="100000000000" w:firstRow="1" w:lastRow="0" w:firstColumn="0" w:lastColumn="0" w:oddVBand="0" w:evenVBand="0" w:oddHBand="0" w:evenHBand="0" w:firstRowFirstColumn="0" w:firstRowLastColumn="0" w:lastRowFirstColumn="0" w:lastRowLastColumn="0"/>
          <w:trHeight w:val="270"/>
          <w:tblHeader/>
        </w:trPr>
        <w:tc>
          <w:tcPr>
            <w:tcW w:w="4621" w:type="dxa"/>
          </w:tcPr>
          <w:p w14:paraId="10A79B39" w14:textId="77777777" w:rsidR="00222D72" w:rsidRDefault="00222D72" w:rsidP="004C7BEF">
            <w:pPr>
              <w:pStyle w:val="ARtablecolhead"/>
              <w:rPr>
                <w:rFonts w:eastAsia="Arial"/>
                <w:bCs/>
              </w:rPr>
            </w:pPr>
            <w:r w:rsidRPr="47AEECA1">
              <w:rPr>
                <w:rFonts w:eastAsia="Arial"/>
                <w:bCs/>
              </w:rPr>
              <w:t>Description</w:t>
            </w:r>
          </w:p>
        </w:tc>
        <w:tc>
          <w:tcPr>
            <w:tcW w:w="1673" w:type="dxa"/>
          </w:tcPr>
          <w:p w14:paraId="08FAA1F1" w14:textId="023667BF" w:rsidR="00222D72" w:rsidRDefault="006C15A9" w:rsidP="004C7BEF">
            <w:pPr>
              <w:pStyle w:val="ARtablecolheadright"/>
              <w:rPr>
                <w:rFonts w:eastAsia="Arial"/>
                <w:bCs/>
              </w:rPr>
            </w:pPr>
            <w:r>
              <w:rPr>
                <w:rFonts w:eastAsia="Arial"/>
                <w:bCs/>
              </w:rPr>
              <w:t>2021–22</w:t>
            </w:r>
            <w:r w:rsidR="00222D72" w:rsidRPr="47AEECA1">
              <w:rPr>
                <w:rFonts w:eastAsia="Arial"/>
                <w:bCs/>
              </w:rPr>
              <w:t xml:space="preserve"> </w:t>
            </w:r>
            <w:r w:rsidR="00A57285">
              <w:rPr>
                <w:rFonts w:eastAsia="Arial"/>
                <w:bCs/>
              </w:rPr>
              <w:br/>
            </w:r>
            <w:r w:rsidR="00222D72" w:rsidRPr="47AEECA1">
              <w:rPr>
                <w:rFonts w:eastAsia="Arial"/>
                <w:bCs/>
              </w:rPr>
              <w:t>estimate</w:t>
            </w:r>
          </w:p>
        </w:tc>
        <w:tc>
          <w:tcPr>
            <w:tcW w:w="1673" w:type="dxa"/>
          </w:tcPr>
          <w:p w14:paraId="122351ED" w14:textId="7F292CF8" w:rsidR="00222D72" w:rsidRDefault="00222D72" w:rsidP="004C7BEF">
            <w:pPr>
              <w:pStyle w:val="ARtablecolheadright"/>
              <w:rPr>
                <w:rFonts w:eastAsia="Arial"/>
                <w:bCs/>
              </w:rPr>
            </w:pPr>
            <w:r w:rsidRPr="47AEECA1">
              <w:rPr>
                <w:rFonts w:eastAsia="Arial"/>
                <w:bCs/>
              </w:rPr>
              <w:t xml:space="preserve">2020–21 </w:t>
            </w:r>
            <w:r w:rsidR="00A57285">
              <w:rPr>
                <w:rFonts w:eastAsia="Arial"/>
                <w:bCs/>
              </w:rPr>
              <w:br/>
            </w:r>
            <w:r w:rsidRPr="47AEECA1">
              <w:rPr>
                <w:rFonts w:eastAsia="Arial"/>
                <w:bCs/>
              </w:rPr>
              <w:t>estimate</w:t>
            </w:r>
          </w:p>
        </w:tc>
        <w:tc>
          <w:tcPr>
            <w:tcW w:w="1673" w:type="dxa"/>
          </w:tcPr>
          <w:p w14:paraId="700AAD7D" w14:textId="3C891DAA" w:rsidR="00222D72" w:rsidRDefault="00222D72" w:rsidP="004C7BEF">
            <w:pPr>
              <w:pStyle w:val="ARtablecolheadright"/>
              <w:rPr>
                <w:rFonts w:eastAsia="Arial"/>
                <w:bCs/>
              </w:rPr>
            </w:pPr>
            <w:r w:rsidRPr="47AEECA1">
              <w:rPr>
                <w:rFonts w:eastAsia="Arial"/>
                <w:bCs/>
              </w:rPr>
              <w:t xml:space="preserve">2019–20 </w:t>
            </w:r>
            <w:r w:rsidR="00A57285">
              <w:rPr>
                <w:rFonts w:eastAsia="Arial"/>
                <w:bCs/>
              </w:rPr>
              <w:br/>
            </w:r>
            <w:r w:rsidRPr="47AEECA1">
              <w:rPr>
                <w:rFonts w:eastAsia="Arial"/>
                <w:bCs/>
              </w:rPr>
              <w:t>estimate</w:t>
            </w:r>
          </w:p>
        </w:tc>
      </w:tr>
      <w:tr w:rsidR="00222D72" w14:paraId="2439B45A" w14:textId="77777777" w:rsidTr="003E09F6">
        <w:trPr>
          <w:cantSplit w:val="0"/>
          <w:trHeight w:val="270"/>
        </w:trPr>
        <w:tc>
          <w:tcPr>
            <w:tcW w:w="4621" w:type="dxa"/>
          </w:tcPr>
          <w:p w14:paraId="1518845C" w14:textId="77777777" w:rsidR="00222D72" w:rsidRDefault="00222D72" w:rsidP="004C7BEF">
            <w:pPr>
              <w:pStyle w:val="ARtabletext"/>
              <w:rPr>
                <w:rFonts w:eastAsia="Arial"/>
              </w:rPr>
            </w:pPr>
            <w:r w:rsidRPr="47AEECA1">
              <w:rPr>
                <w:rFonts w:eastAsia="Arial"/>
              </w:rPr>
              <w:t>Energy used per FTE (megajoules/FTE)</w:t>
            </w:r>
          </w:p>
        </w:tc>
        <w:tc>
          <w:tcPr>
            <w:tcW w:w="1673" w:type="dxa"/>
          </w:tcPr>
          <w:p w14:paraId="689A7278" w14:textId="77777777" w:rsidR="00222D72" w:rsidRDefault="00222D72" w:rsidP="003E09F6">
            <w:pPr>
              <w:pStyle w:val="ARtabletextright"/>
            </w:pPr>
            <w:r w:rsidRPr="5E1D3705">
              <w:t>3,083</w:t>
            </w:r>
          </w:p>
        </w:tc>
        <w:tc>
          <w:tcPr>
            <w:tcW w:w="1673" w:type="dxa"/>
          </w:tcPr>
          <w:p w14:paraId="08265684" w14:textId="77777777" w:rsidR="00222D72" w:rsidRDefault="00222D72" w:rsidP="003E09F6">
            <w:pPr>
              <w:pStyle w:val="ARtabletextright"/>
            </w:pPr>
            <w:r w:rsidRPr="47AEECA1">
              <w:t>6,107</w:t>
            </w:r>
          </w:p>
        </w:tc>
        <w:tc>
          <w:tcPr>
            <w:tcW w:w="1673" w:type="dxa"/>
          </w:tcPr>
          <w:p w14:paraId="41D1AF2A" w14:textId="77777777" w:rsidR="00222D72" w:rsidRDefault="00222D72" w:rsidP="003E09F6">
            <w:pPr>
              <w:pStyle w:val="ARtabletextright"/>
            </w:pPr>
            <w:r w:rsidRPr="47AEECA1">
              <w:t>8,150</w:t>
            </w:r>
          </w:p>
        </w:tc>
      </w:tr>
      <w:tr w:rsidR="00222D72" w14:paraId="2002AED4" w14:textId="77777777" w:rsidTr="003E09F6">
        <w:trPr>
          <w:cantSplit w:val="0"/>
          <w:trHeight w:val="315"/>
        </w:trPr>
        <w:tc>
          <w:tcPr>
            <w:tcW w:w="4621" w:type="dxa"/>
          </w:tcPr>
          <w:p w14:paraId="54C8AF38" w14:textId="78B17F2D" w:rsidR="00222D72" w:rsidRDefault="00222D72" w:rsidP="004C7BEF">
            <w:pPr>
              <w:pStyle w:val="ARtabletext"/>
              <w:rPr>
                <w:rFonts w:eastAsia="Arial"/>
              </w:rPr>
            </w:pPr>
            <w:r w:rsidRPr="47AEECA1">
              <w:rPr>
                <w:rFonts w:eastAsia="Arial"/>
              </w:rPr>
              <w:t>Energy intensity (megajoules/m</w:t>
            </w:r>
            <w:r w:rsidR="006E2B00" w:rsidRPr="006E2B00">
              <w:rPr>
                <w:rStyle w:val="Superscript"/>
              </w:rPr>
              <w:t>2</w:t>
            </w:r>
            <w:r w:rsidR="00E36EE8" w:rsidRPr="000446FA">
              <w:rPr>
                <w:rStyle w:val="Superscript"/>
                <w:vertAlign w:val="baseline"/>
              </w:rPr>
              <w:t>)</w:t>
            </w:r>
          </w:p>
        </w:tc>
        <w:tc>
          <w:tcPr>
            <w:tcW w:w="1673" w:type="dxa"/>
          </w:tcPr>
          <w:p w14:paraId="31F6DEF9" w14:textId="77777777" w:rsidR="00222D72" w:rsidRDefault="00222D72" w:rsidP="003E09F6">
            <w:pPr>
              <w:pStyle w:val="ARtabletextright"/>
            </w:pPr>
            <w:r w:rsidRPr="2F9D9672">
              <w:t>226</w:t>
            </w:r>
          </w:p>
        </w:tc>
        <w:tc>
          <w:tcPr>
            <w:tcW w:w="1673" w:type="dxa"/>
          </w:tcPr>
          <w:p w14:paraId="66D4B1F3" w14:textId="77777777" w:rsidR="00222D72" w:rsidRDefault="00222D72" w:rsidP="003E09F6">
            <w:pPr>
              <w:pStyle w:val="ARtabletextright"/>
            </w:pPr>
            <w:r w:rsidRPr="47AEECA1">
              <w:t>404</w:t>
            </w:r>
          </w:p>
        </w:tc>
        <w:tc>
          <w:tcPr>
            <w:tcW w:w="1673" w:type="dxa"/>
          </w:tcPr>
          <w:p w14:paraId="08BB99A9" w14:textId="77777777" w:rsidR="00222D72" w:rsidRDefault="00222D72" w:rsidP="003E09F6">
            <w:pPr>
              <w:pStyle w:val="ARtabletextright"/>
            </w:pPr>
            <w:r w:rsidRPr="47AEECA1">
              <w:t>427</w:t>
            </w:r>
          </w:p>
        </w:tc>
      </w:tr>
      <w:tr w:rsidR="00222D72" w14:paraId="07E025C9" w14:textId="77777777" w:rsidTr="003E09F6">
        <w:trPr>
          <w:cantSplit w:val="0"/>
          <w:trHeight w:val="270"/>
        </w:trPr>
        <w:tc>
          <w:tcPr>
            <w:tcW w:w="4621" w:type="dxa"/>
          </w:tcPr>
          <w:p w14:paraId="21F9CAF7" w14:textId="77777777" w:rsidR="00222D72" w:rsidRDefault="00222D72" w:rsidP="004C7BEF">
            <w:pPr>
              <w:pStyle w:val="ARtabletext"/>
              <w:rPr>
                <w:rFonts w:eastAsia="Arial"/>
              </w:rPr>
            </w:pPr>
            <w:r w:rsidRPr="47AEECA1">
              <w:rPr>
                <w:rFonts w:eastAsia="Arial"/>
              </w:rPr>
              <w:t>Green power purchased</w:t>
            </w:r>
          </w:p>
        </w:tc>
        <w:tc>
          <w:tcPr>
            <w:tcW w:w="1673" w:type="dxa"/>
          </w:tcPr>
          <w:p w14:paraId="06EC384E" w14:textId="77777777" w:rsidR="00222D72" w:rsidRDefault="00222D72" w:rsidP="003E09F6">
            <w:pPr>
              <w:pStyle w:val="ARtabletextright"/>
            </w:pPr>
            <w:r w:rsidRPr="2F9D9672">
              <w:t>0.00%</w:t>
            </w:r>
          </w:p>
        </w:tc>
        <w:tc>
          <w:tcPr>
            <w:tcW w:w="1673" w:type="dxa"/>
          </w:tcPr>
          <w:p w14:paraId="2F38C242" w14:textId="77777777" w:rsidR="00222D72" w:rsidRDefault="00222D72" w:rsidP="003E09F6">
            <w:pPr>
              <w:pStyle w:val="ARtabletextright"/>
            </w:pPr>
            <w:r w:rsidRPr="47AEECA1">
              <w:t>0.00%</w:t>
            </w:r>
          </w:p>
        </w:tc>
        <w:tc>
          <w:tcPr>
            <w:tcW w:w="1673" w:type="dxa"/>
          </w:tcPr>
          <w:p w14:paraId="2F81211D" w14:textId="77777777" w:rsidR="00222D72" w:rsidRDefault="00222D72" w:rsidP="003E09F6">
            <w:pPr>
              <w:pStyle w:val="ARtabletextright"/>
            </w:pPr>
            <w:r w:rsidRPr="47AEECA1">
              <w:t>0.00%</w:t>
            </w:r>
          </w:p>
        </w:tc>
      </w:tr>
    </w:tbl>
    <w:p w14:paraId="3D16581A" w14:textId="1FF01878" w:rsidR="00222D72" w:rsidRPr="003E09F6" w:rsidRDefault="00222D72" w:rsidP="004C7BEF">
      <w:pPr>
        <w:pStyle w:val="ARtablefootnote"/>
      </w:pPr>
      <w:r>
        <w:t>Office</w:t>
      </w:r>
      <w:r w:rsidR="00E36EE8">
        <w:t>-</w:t>
      </w:r>
      <w:r>
        <w:t xml:space="preserve">based data for </w:t>
      </w:r>
      <w:r w:rsidR="006C15A9">
        <w:t>2021–22</w:t>
      </w:r>
      <w:r>
        <w:t xml:space="preserve"> </w:t>
      </w:r>
      <w:r w:rsidR="009C6D78">
        <w:t xml:space="preserve">reflects </w:t>
      </w:r>
      <w:r>
        <w:t>the department</w:t>
      </w:r>
      <w:r w:rsidR="00961673">
        <w:t xml:space="preserve"> only</w:t>
      </w:r>
      <w:r>
        <w:t xml:space="preserve">. Previous years’ data, which reflects the combined DFFH and department data, is available in the </w:t>
      </w:r>
      <w:r w:rsidR="006C15A9">
        <w:t>2020–21</w:t>
      </w:r>
      <w:r>
        <w:t xml:space="preserve"> reports.</w:t>
      </w:r>
    </w:p>
    <w:p w14:paraId="1D3EAD3F" w14:textId="6EBA1B54" w:rsidR="00222D72" w:rsidRDefault="00222D72" w:rsidP="004C7BEF">
      <w:pPr>
        <w:pStyle w:val="ARtablefootnote"/>
        <w:rPr>
          <w:rFonts w:eastAsia="Arial" w:cs="Arial"/>
          <w:color w:val="000000" w:themeColor="text1"/>
        </w:rPr>
      </w:pPr>
      <w:r w:rsidRPr="74A711E2">
        <w:rPr>
          <w:rFonts w:eastAsia="Arial" w:cs="Arial"/>
          <w:color w:val="000000" w:themeColor="text1"/>
        </w:rPr>
        <w:t xml:space="preserve">Office-based electricity and gas data includes estimates from the last quarter for </w:t>
      </w:r>
      <w:r w:rsidR="006C15A9">
        <w:rPr>
          <w:rFonts w:eastAsia="Arial" w:cs="Arial"/>
          <w:color w:val="000000" w:themeColor="text1"/>
        </w:rPr>
        <w:t>2021–22</w:t>
      </w:r>
      <w:r w:rsidRPr="74A711E2">
        <w:rPr>
          <w:rFonts w:eastAsia="Arial" w:cs="Arial"/>
          <w:color w:val="000000" w:themeColor="text1"/>
        </w:rPr>
        <w:t xml:space="preserve"> due to some data being unavailable from energy retailers at the time of reporting.</w:t>
      </w:r>
    </w:p>
    <w:p w14:paraId="0CFEECD8" w14:textId="20F34FDB" w:rsidR="00222D72" w:rsidRDefault="00222D72" w:rsidP="004C7BEF">
      <w:pPr>
        <w:pStyle w:val="ARtablefootnote"/>
        <w:rPr>
          <w:rFonts w:eastAsia="Arial" w:cs="Arial"/>
          <w:color w:val="000000" w:themeColor="text1"/>
        </w:rPr>
      </w:pPr>
      <w:r w:rsidRPr="47AEECA1">
        <w:rPr>
          <w:rFonts w:eastAsia="Arial" w:cs="Arial"/>
          <w:color w:val="000000" w:themeColor="text1"/>
        </w:rPr>
        <w:t>($M) Million</w:t>
      </w:r>
    </w:p>
    <w:p w14:paraId="29B594DA" w14:textId="77777777" w:rsidR="00222D72" w:rsidRDefault="00222D72" w:rsidP="004C7BEF">
      <w:pPr>
        <w:pStyle w:val="Heading5"/>
        <w:rPr>
          <w:rFonts w:eastAsia="Arial" w:cs="Arial"/>
        </w:rPr>
      </w:pPr>
      <w:r w:rsidRPr="2396B9CA">
        <w:rPr>
          <w:rFonts w:eastAsia="Arial" w:cs="Arial"/>
        </w:rPr>
        <w:t>Public health services</w:t>
      </w:r>
    </w:p>
    <w:tbl>
      <w:tblPr>
        <w:tblStyle w:val="TableGrid"/>
        <w:tblW w:w="0" w:type="auto"/>
        <w:tblLayout w:type="fixed"/>
        <w:tblLook w:val="06A0" w:firstRow="1" w:lastRow="0" w:firstColumn="1" w:lastColumn="0" w:noHBand="1" w:noVBand="1"/>
      </w:tblPr>
      <w:tblGrid>
        <w:gridCol w:w="2665"/>
        <w:gridCol w:w="1304"/>
        <w:gridCol w:w="1021"/>
        <w:gridCol w:w="1304"/>
        <w:gridCol w:w="1021"/>
        <w:gridCol w:w="1304"/>
        <w:gridCol w:w="1021"/>
      </w:tblGrid>
      <w:tr w:rsidR="00222D72" w14:paraId="211C8673" w14:textId="77777777" w:rsidTr="00A57285">
        <w:trPr>
          <w:cnfStyle w:val="100000000000" w:firstRow="1" w:lastRow="0" w:firstColumn="0" w:lastColumn="0" w:oddVBand="0" w:evenVBand="0" w:oddHBand="0" w:evenHBand="0" w:firstRowFirstColumn="0" w:firstRowLastColumn="0" w:lastRowFirstColumn="0" w:lastRowLastColumn="0"/>
          <w:tblHeader/>
        </w:trPr>
        <w:tc>
          <w:tcPr>
            <w:tcW w:w="2665" w:type="dxa"/>
          </w:tcPr>
          <w:p w14:paraId="361C3A20" w14:textId="77777777" w:rsidR="00222D72" w:rsidRDefault="00222D72" w:rsidP="00400753">
            <w:pPr>
              <w:pStyle w:val="ARtablecolhead"/>
              <w:spacing w:before="60" w:after="40"/>
              <w:rPr>
                <w:rFonts w:eastAsia="Arial"/>
                <w:bCs/>
              </w:rPr>
            </w:pPr>
            <w:r w:rsidRPr="47AEECA1">
              <w:rPr>
                <w:rFonts w:eastAsia="Arial"/>
                <w:bCs/>
              </w:rPr>
              <w:t>Description</w:t>
            </w:r>
          </w:p>
        </w:tc>
        <w:tc>
          <w:tcPr>
            <w:tcW w:w="1304" w:type="dxa"/>
            <w:shd w:val="clear" w:color="auto" w:fill="auto"/>
          </w:tcPr>
          <w:p w14:paraId="73EEA9AD" w14:textId="77777777" w:rsidR="00222D72" w:rsidRPr="00296D69" w:rsidRDefault="00222D72" w:rsidP="00400753">
            <w:pPr>
              <w:pStyle w:val="ARtablecolheadright"/>
              <w:spacing w:before="60" w:after="40"/>
              <w:rPr>
                <w:rFonts w:eastAsia="Arial"/>
              </w:rPr>
            </w:pPr>
            <w:r w:rsidRPr="2F9D9672">
              <w:rPr>
                <w:rFonts w:eastAsia="Arial"/>
              </w:rPr>
              <w:t xml:space="preserve">2021–22 </w:t>
            </w:r>
            <w:r>
              <w:br/>
            </w:r>
            <w:r w:rsidRPr="2F9D9672">
              <w:rPr>
                <w:rFonts w:eastAsia="Arial"/>
              </w:rPr>
              <w:t>estimate</w:t>
            </w:r>
          </w:p>
        </w:tc>
        <w:tc>
          <w:tcPr>
            <w:tcW w:w="1021" w:type="dxa"/>
            <w:shd w:val="clear" w:color="auto" w:fill="auto"/>
          </w:tcPr>
          <w:p w14:paraId="25F039B3" w14:textId="77777777" w:rsidR="00222D72" w:rsidRPr="00296D69" w:rsidRDefault="00222D72" w:rsidP="00400753">
            <w:pPr>
              <w:pStyle w:val="ARtablecolheadright"/>
              <w:spacing w:before="60" w:after="40"/>
              <w:rPr>
                <w:rFonts w:eastAsia="Arial"/>
              </w:rPr>
            </w:pPr>
            <w:r w:rsidRPr="2F9D9672">
              <w:rPr>
                <w:rFonts w:eastAsia="Arial"/>
              </w:rPr>
              <w:t xml:space="preserve">2021–22 </w:t>
            </w:r>
            <w:r>
              <w:br/>
            </w:r>
            <w:r w:rsidRPr="2F9D9672">
              <w:rPr>
                <w:rFonts w:eastAsia="Arial"/>
              </w:rPr>
              <w:t>estimate</w:t>
            </w:r>
          </w:p>
        </w:tc>
        <w:tc>
          <w:tcPr>
            <w:tcW w:w="1304" w:type="dxa"/>
          </w:tcPr>
          <w:p w14:paraId="0BE2586E" w14:textId="77777777" w:rsidR="00222D72" w:rsidRDefault="00222D72" w:rsidP="00400753">
            <w:pPr>
              <w:pStyle w:val="ARtablecolheadright"/>
              <w:spacing w:before="60" w:after="40"/>
              <w:rPr>
                <w:rFonts w:eastAsia="Arial"/>
                <w:bCs/>
              </w:rPr>
            </w:pPr>
            <w:r w:rsidRPr="47AEECA1">
              <w:rPr>
                <w:rFonts w:eastAsia="Arial"/>
                <w:bCs/>
              </w:rPr>
              <w:t xml:space="preserve">2020–21 </w:t>
            </w:r>
            <w:r>
              <w:br/>
            </w:r>
            <w:r w:rsidRPr="47AEECA1">
              <w:rPr>
                <w:rFonts w:eastAsia="Arial"/>
                <w:bCs/>
              </w:rPr>
              <w:t>estimate</w:t>
            </w:r>
          </w:p>
        </w:tc>
        <w:tc>
          <w:tcPr>
            <w:tcW w:w="1021" w:type="dxa"/>
          </w:tcPr>
          <w:p w14:paraId="0567239F" w14:textId="77777777" w:rsidR="00222D72" w:rsidRDefault="00222D72" w:rsidP="00400753">
            <w:pPr>
              <w:pStyle w:val="ARtablecolheadright"/>
              <w:spacing w:before="60" w:after="40"/>
              <w:rPr>
                <w:rFonts w:eastAsia="Arial"/>
                <w:bCs/>
              </w:rPr>
            </w:pPr>
            <w:r w:rsidRPr="47AEECA1">
              <w:rPr>
                <w:rFonts w:eastAsia="Arial"/>
                <w:bCs/>
              </w:rPr>
              <w:t xml:space="preserve">2020–21 </w:t>
            </w:r>
            <w:r>
              <w:br/>
            </w:r>
            <w:r w:rsidRPr="47AEECA1">
              <w:rPr>
                <w:rFonts w:eastAsia="Arial"/>
                <w:bCs/>
              </w:rPr>
              <w:t>estimate</w:t>
            </w:r>
          </w:p>
        </w:tc>
        <w:tc>
          <w:tcPr>
            <w:tcW w:w="1304" w:type="dxa"/>
          </w:tcPr>
          <w:p w14:paraId="60CE2BF4" w14:textId="77777777" w:rsidR="00222D72" w:rsidRDefault="00222D72" w:rsidP="00400753">
            <w:pPr>
              <w:pStyle w:val="ARtablecolheadright"/>
              <w:spacing w:before="60" w:after="40"/>
              <w:rPr>
                <w:rFonts w:eastAsia="Arial"/>
                <w:bCs/>
              </w:rPr>
            </w:pPr>
            <w:r w:rsidRPr="47AEECA1">
              <w:rPr>
                <w:rFonts w:eastAsia="Arial"/>
                <w:bCs/>
              </w:rPr>
              <w:t xml:space="preserve">2019–20 </w:t>
            </w:r>
            <w:r>
              <w:br/>
            </w:r>
            <w:r w:rsidRPr="47AEECA1">
              <w:rPr>
                <w:rFonts w:eastAsia="Arial"/>
                <w:bCs/>
              </w:rPr>
              <w:t>estimate</w:t>
            </w:r>
          </w:p>
        </w:tc>
        <w:tc>
          <w:tcPr>
            <w:tcW w:w="1021" w:type="dxa"/>
          </w:tcPr>
          <w:p w14:paraId="60791B63" w14:textId="77777777" w:rsidR="00222D72" w:rsidRDefault="00222D72" w:rsidP="00400753">
            <w:pPr>
              <w:pStyle w:val="ARtablecolheadright"/>
              <w:spacing w:before="60" w:after="40"/>
              <w:rPr>
                <w:rFonts w:eastAsia="Arial"/>
                <w:bCs/>
              </w:rPr>
            </w:pPr>
            <w:r w:rsidRPr="47AEECA1">
              <w:rPr>
                <w:rFonts w:eastAsia="Arial"/>
                <w:bCs/>
              </w:rPr>
              <w:t xml:space="preserve">2019–20 </w:t>
            </w:r>
            <w:r>
              <w:br/>
            </w:r>
            <w:r w:rsidRPr="47AEECA1">
              <w:rPr>
                <w:rFonts w:eastAsia="Arial"/>
                <w:bCs/>
              </w:rPr>
              <w:t>estimate</w:t>
            </w:r>
          </w:p>
        </w:tc>
      </w:tr>
      <w:tr w:rsidR="00222D72" w14:paraId="0895E35C" w14:textId="77777777" w:rsidTr="00A57285">
        <w:trPr>
          <w:cnfStyle w:val="100000000000" w:firstRow="1" w:lastRow="0" w:firstColumn="0" w:lastColumn="0" w:oddVBand="0" w:evenVBand="0" w:oddHBand="0" w:evenHBand="0" w:firstRowFirstColumn="0" w:firstRowLastColumn="0" w:lastRowFirstColumn="0" w:lastRowLastColumn="0"/>
          <w:tblHeader/>
        </w:trPr>
        <w:tc>
          <w:tcPr>
            <w:tcW w:w="2665" w:type="dxa"/>
          </w:tcPr>
          <w:p w14:paraId="5E5EA951" w14:textId="77777777" w:rsidR="00222D72" w:rsidRDefault="00222D72" w:rsidP="00400753">
            <w:pPr>
              <w:pStyle w:val="ARtablecolhead"/>
              <w:spacing w:before="60" w:after="40"/>
              <w:rPr>
                <w:rFonts w:eastAsia="Arial"/>
              </w:rPr>
            </w:pPr>
            <w:r w:rsidRPr="4E7E9537">
              <w:rPr>
                <w:rFonts w:eastAsia="Arial"/>
              </w:rPr>
              <w:t>Total energy usage segmented by primary source</w:t>
            </w:r>
          </w:p>
        </w:tc>
        <w:tc>
          <w:tcPr>
            <w:tcW w:w="1304" w:type="dxa"/>
            <w:shd w:val="clear" w:color="auto" w:fill="auto"/>
          </w:tcPr>
          <w:p w14:paraId="70926376" w14:textId="77777777" w:rsidR="00222D72" w:rsidRPr="00296D69" w:rsidRDefault="00222D72" w:rsidP="00400753">
            <w:pPr>
              <w:pStyle w:val="ARtablecolheadright"/>
              <w:spacing w:before="60" w:after="40"/>
              <w:rPr>
                <w:rFonts w:eastAsia="Arial"/>
              </w:rPr>
            </w:pPr>
            <w:r w:rsidRPr="4E7E9537">
              <w:rPr>
                <w:rFonts w:eastAsia="Arial"/>
              </w:rPr>
              <w:t>Terajoules</w:t>
            </w:r>
          </w:p>
        </w:tc>
        <w:tc>
          <w:tcPr>
            <w:tcW w:w="1021" w:type="dxa"/>
            <w:shd w:val="clear" w:color="auto" w:fill="auto"/>
          </w:tcPr>
          <w:p w14:paraId="3AFE9A4E" w14:textId="77777777" w:rsidR="00222D72" w:rsidRPr="00296D69" w:rsidRDefault="00222D72" w:rsidP="00400753">
            <w:pPr>
              <w:pStyle w:val="ARtablecolheadright"/>
              <w:spacing w:before="60" w:after="40"/>
              <w:rPr>
                <w:rFonts w:eastAsia="Arial"/>
              </w:rPr>
            </w:pPr>
            <w:r w:rsidRPr="4E7E9537">
              <w:rPr>
                <w:rFonts w:eastAsia="Arial"/>
              </w:rPr>
              <w:t>Cost</w:t>
            </w:r>
            <w:r>
              <w:br/>
            </w:r>
            <w:r w:rsidRPr="4E7E9537">
              <w:rPr>
                <w:rFonts w:eastAsia="Arial"/>
              </w:rPr>
              <w:t>($M)</w:t>
            </w:r>
          </w:p>
        </w:tc>
        <w:tc>
          <w:tcPr>
            <w:tcW w:w="1304" w:type="dxa"/>
          </w:tcPr>
          <w:p w14:paraId="54728684" w14:textId="77777777" w:rsidR="00222D72" w:rsidRDefault="00222D72" w:rsidP="00400753">
            <w:pPr>
              <w:pStyle w:val="ARtablecolheadright"/>
              <w:spacing w:before="60" w:after="40"/>
              <w:rPr>
                <w:rFonts w:eastAsia="Arial"/>
              </w:rPr>
            </w:pPr>
            <w:r w:rsidRPr="4E7E9537">
              <w:rPr>
                <w:rFonts w:eastAsia="Arial"/>
              </w:rPr>
              <w:t>Terajoules</w:t>
            </w:r>
          </w:p>
        </w:tc>
        <w:tc>
          <w:tcPr>
            <w:tcW w:w="1021" w:type="dxa"/>
          </w:tcPr>
          <w:p w14:paraId="489F4A2C" w14:textId="77777777" w:rsidR="00222D72" w:rsidRDefault="00222D72" w:rsidP="00400753">
            <w:pPr>
              <w:pStyle w:val="ARtablecolheadright"/>
              <w:spacing w:before="60" w:after="40"/>
              <w:rPr>
                <w:rFonts w:eastAsia="Arial"/>
              </w:rPr>
            </w:pPr>
            <w:r w:rsidRPr="4E7E9537">
              <w:rPr>
                <w:rFonts w:eastAsia="Arial"/>
              </w:rPr>
              <w:t>Cost</w:t>
            </w:r>
            <w:r>
              <w:br/>
            </w:r>
            <w:r w:rsidRPr="4E7E9537">
              <w:rPr>
                <w:rFonts w:eastAsia="Arial"/>
              </w:rPr>
              <w:t>($M)</w:t>
            </w:r>
          </w:p>
        </w:tc>
        <w:tc>
          <w:tcPr>
            <w:tcW w:w="1304" w:type="dxa"/>
          </w:tcPr>
          <w:p w14:paraId="21ED5A1F" w14:textId="77777777" w:rsidR="00222D72" w:rsidRDefault="00222D72" w:rsidP="00400753">
            <w:pPr>
              <w:pStyle w:val="ARtablecolheadright"/>
              <w:spacing w:before="60" w:after="40"/>
              <w:rPr>
                <w:rFonts w:eastAsia="Arial"/>
              </w:rPr>
            </w:pPr>
            <w:r w:rsidRPr="4E7E9537">
              <w:rPr>
                <w:rFonts w:eastAsia="Arial"/>
              </w:rPr>
              <w:t>Terajoules</w:t>
            </w:r>
          </w:p>
        </w:tc>
        <w:tc>
          <w:tcPr>
            <w:tcW w:w="1021" w:type="dxa"/>
          </w:tcPr>
          <w:p w14:paraId="29A70C76" w14:textId="77777777" w:rsidR="00222D72" w:rsidRDefault="00222D72" w:rsidP="00400753">
            <w:pPr>
              <w:pStyle w:val="ARtablecolheadright"/>
              <w:spacing w:before="60" w:after="40"/>
              <w:rPr>
                <w:rFonts w:eastAsia="Arial"/>
              </w:rPr>
            </w:pPr>
            <w:r w:rsidRPr="4E7E9537">
              <w:rPr>
                <w:rFonts w:eastAsia="Arial"/>
              </w:rPr>
              <w:t>Cost</w:t>
            </w:r>
            <w:r>
              <w:br/>
            </w:r>
            <w:r w:rsidRPr="4E7E9537">
              <w:rPr>
                <w:rFonts w:eastAsia="Arial"/>
              </w:rPr>
              <w:t>($M)</w:t>
            </w:r>
          </w:p>
        </w:tc>
      </w:tr>
      <w:tr w:rsidR="00222D72" w14:paraId="4D136CCD" w14:textId="77777777" w:rsidTr="00A57285">
        <w:trPr>
          <w:cantSplit w:val="0"/>
        </w:trPr>
        <w:tc>
          <w:tcPr>
            <w:tcW w:w="2665" w:type="dxa"/>
          </w:tcPr>
          <w:p w14:paraId="794007C0" w14:textId="77777777" w:rsidR="00222D72" w:rsidRDefault="00222D72" w:rsidP="00400753">
            <w:pPr>
              <w:pStyle w:val="ARtabletext"/>
              <w:spacing w:before="60" w:after="40"/>
              <w:rPr>
                <w:rFonts w:eastAsia="Arial"/>
              </w:rPr>
            </w:pPr>
            <w:r w:rsidRPr="4E7E9537">
              <w:rPr>
                <w:rFonts w:eastAsia="Arial"/>
              </w:rPr>
              <w:t>Electricity</w:t>
            </w:r>
          </w:p>
        </w:tc>
        <w:tc>
          <w:tcPr>
            <w:tcW w:w="1304" w:type="dxa"/>
            <w:shd w:val="clear" w:color="auto" w:fill="auto"/>
          </w:tcPr>
          <w:p w14:paraId="28764DF5" w14:textId="77777777" w:rsidR="00222D72" w:rsidRPr="00144699" w:rsidRDefault="00222D72" w:rsidP="00400753">
            <w:pPr>
              <w:pStyle w:val="ARtabletextright"/>
              <w:spacing w:before="60" w:after="40"/>
            </w:pPr>
            <w:r w:rsidRPr="4E7E9537">
              <w:t>2,288</w:t>
            </w:r>
          </w:p>
        </w:tc>
        <w:tc>
          <w:tcPr>
            <w:tcW w:w="1021" w:type="dxa"/>
            <w:shd w:val="clear" w:color="auto" w:fill="auto"/>
          </w:tcPr>
          <w:p w14:paraId="5D99778F" w14:textId="77777777" w:rsidR="00222D72" w:rsidRPr="00144699" w:rsidRDefault="00222D72" w:rsidP="00400753">
            <w:pPr>
              <w:pStyle w:val="ARtabletextright"/>
              <w:spacing w:before="60" w:after="40"/>
            </w:pPr>
            <w:r w:rsidRPr="4E7E9537">
              <w:t>$117.62</w:t>
            </w:r>
          </w:p>
        </w:tc>
        <w:tc>
          <w:tcPr>
            <w:tcW w:w="1304" w:type="dxa"/>
            <w:vAlign w:val="center"/>
          </w:tcPr>
          <w:p w14:paraId="638C94B2" w14:textId="77777777" w:rsidR="00222D72" w:rsidRPr="00144699" w:rsidRDefault="00222D72" w:rsidP="00400753">
            <w:pPr>
              <w:pStyle w:val="ARtabletextright"/>
              <w:spacing w:before="60" w:after="40"/>
            </w:pPr>
            <w:r w:rsidRPr="4E7E9537">
              <w:t>2,333</w:t>
            </w:r>
          </w:p>
        </w:tc>
        <w:tc>
          <w:tcPr>
            <w:tcW w:w="1021" w:type="dxa"/>
            <w:vAlign w:val="center"/>
          </w:tcPr>
          <w:p w14:paraId="23315226" w14:textId="77777777" w:rsidR="00222D72" w:rsidRPr="00144699" w:rsidRDefault="00222D72" w:rsidP="00400753">
            <w:pPr>
              <w:pStyle w:val="ARtabletextright"/>
              <w:spacing w:before="60" w:after="40"/>
            </w:pPr>
            <w:r w:rsidRPr="4E7E9537">
              <w:t>$117.70</w:t>
            </w:r>
          </w:p>
        </w:tc>
        <w:tc>
          <w:tcPr>
            <w:tcW w:w="1304" w:type="dxa"/>
            <w:vAlign w:val="center"/>
          </w:tcPr>
          <w:p w14:paraId="36293B58" w14:textId="77777777" w:rsidR="00222D72" w:rsidRPr="00144699" w:rsidRDefault="00222D72" w:rsidP="00400753">
            <w:pPr>
              <w:pStyle w:val="ARtabletextright"/>
              <w:spacing w:before="60" w:after="40"/>
            </w:pPr>
            <w:r w:rsidRPr="4E7E9537">
              <w:t>2,300</w:t>
            </w:r>
          </w:p>
        </w:tc>
        <w:tc>
          <w:tcPr>
            <w:tcW w:w="1021" w:type="dxa"/>
            <w:vAlign w:val="center"/>
          </w:tcPr>
          <w:p w14:paraId="66D67A01" w14:textId="77777777" w:rsidR="00222D72" w:rsidRPr="00144699" w:rsidRDefault="00222D72" w:rsidP="00400753">
            <w:pPr>
              <w:pStyle w:val="ARtabletextright"/>
              <w:spacing w:before="60" w:after="40"/>
            </w:pPr>
            <w:r w:rsidRPr="4E7E9537">
              <w:t>$116.22</w:t>
            </w:r>
          </w:p>
        </w:tc>
      </w:tr>
      <w:tr w:rsidR="00222D72" w14:paraId="5D74015B" w14:textId="77777777" w:rsidTr="00A57285">
        <w:trPr>
          <w:cantSplit w:val="0"/>
        </w:trPr>
        <w:tc>
          <w:tcPr>
            <w:tcW w:w="2665" w:type="dxa"/>
          </w:tcPr>
          <w:p w14:paraId="7D41D8A6" w14:textId="77777777" w:rsidR="00222D72" w:rsidRDefault="00222D72" w:rsidP="00400753">
            <w:pPr>
              <w:pStyle w:val="ARtabletext"/>
              <w:spacing w:before="60" w:after="40"/>
              <w:rPr>
                <w:rFonts w:eastAsia="Arial"/>
              </w:rPr>
            </w:pPr>
            <w:r w:rsidRPr="4E7E9537">
              <w:rPr>
                <w:rFonts w:eastAsia="Arial"/>
              </w:rPr>
              <w:t>Natural gas</w:t>
            </w:r>
          </w:p>
        </w:tc>
        <w:tc>
          <w:tcPr>
            <w:tcW w:w="1304" w:type="dxa"/>
            <w:shd w:val="clear" w:color="auto" w:fill="auto"/>
          </w:tcPr>
          <w:p w14:paraId="622152E3" w14:textId="77777777" w:rsidR="00222D72" w:rsidRPr="00144699" w:rsidRDefault="00222D72" w:rsidP="00400753">
            <w:pPr>
              <w:pStyle w:val="ARtabletextright"/>
              <w:spacing w:before="60" w:after="40"/>
            </w:pPr>
            <w:r w:rsidRPr="4E7E9537">
              <w:t>3,140</w:t>
            </w:r>
          </w:p>
        </w:tc>
        <w:tc>
          <w:tcPr>
            <w:tcW w:w="1021" w:type="dxa"/>
            <w:shd w:val="clear" w:color="auto" w:fill="auto"/>
          </w:tcPr>
          <w:p w14:paraId="3375AE99" w14:textId="77777777" w:rsidR="00222D72" w:rsidRPr="00144699" w:rsidRDefault="00222D72" w:rsidP="00400753">
            <w:pPr>
              <w:pStyle w:val="ARtabletextright"/>
              <w:spacing w:before="60" w:after="40"/>
            </w:pPr>
            <w:r w:rsidRPr="4E7E9537">
              <w:t>$34.92</w:t>
            </w:r>
          </w:p>
        </w:tc>
        <w:tc>
          <w:tcPr>
            <w:tcW w:w="1304" w:type="dxa"/>
            <w:vAlign w:val="center"/>
          </w:tcPr>
          <w:p w14:paraId="44B7FF25" w14:textId="77777777" w:rsidR="00222D72" w:rsidRPr="00144699" w:rsidRDefault="00222D72" w:rsidP="00400753">
            <w:pPr>
              <w:pStyle w:val="ARtabletextright"/>
              <w:spacing w:before="60" w:after="40"/>
            </w:pPr>
            <w:r w:rsidRPr="4E7E9537">
              <w:t>2,213</w:t>
            </w:r>
          </w:p>
        </w:tc>
        <w:tc>
          <w:tcPr>
            <w:tcW w:w="1021" w:type="dxa"/>
            <w:vAlign w:val="center"/>
          </w:tcPr>
          <w:p w14:paraId="61C406EE" w14:textId="77777777" w:rsidR="00222D72" w:rsidRPr="00144699" w:rsidRDefault="00222D72" w:rsidP="00400753">
            <w:pPr>
              <w:pStyle w:val="ARtabletextright"/>
              <w:spacing w:before="60" w:after="40"/>
            </w:pPr>
            <w:r w:rsidRPr="4E7E9537">
              <w:t>$26.00</w:t>
            </w:r>
          </w:p>
        </w:tc>
        <w:tc>
          <w:tcPr>
            <w:tcW w:w="1304" w:type="dxa"/>
            <w:vAlign w:val="center"/>
          </w:tcPr>
          <w:p w14:paraId="384AC628" w14:textId="77777777" w:rsidR="00222D72" w:rsidRPr="00144699" w:rsidRDefault="00222D72" w:rsidP="00400753">
            <w:pPr>
              <w:pStyle w:val="ARtabletextright"/>
              <w:spacing w:before="60" w:after="40"/>
            </w:pPr>
            <w:r w:rsidRPr="4E7E9537">
              <w:t>2,251</w:t>
            </w:r>
          </w:p>
        </w:tc>
        <w:tc>
          <w:tcPr>
            <w:tcW w:w="1021" w:type="dxa"/>
            <w:vAlign w:val="center"/>
          </w:tcPr>
          <w:p w14:paraId="27A0C360" w14:textId="77777777" w:rsidR="00222D72" w:rsidRPr="00144699" w:rsidRDefault="00222D72" w:rsidP="00400753">
            <w:pPr>
              <w:pStyle w:val="ARtabletextright"/>
              <w:spacing w:before="60" w:after="40"/>
            </w:pPr>
            <w:r w:rsidRPr="4E7E9537">
              <w:t>$26.43</w:t>
            </w:r>
          </w:p>
        </w:tc>
      </w:tr>
      <w:tr w:rsidR="00222D72" w14:paraId="5764A60C" w14:textId="77777777" w:rsidTr="00A57285">
        <w:trPr>
          <w:cantSplit w:val="0"/>
        </w:trPr>
        <w:tc>
          <w:tcPr>
            <w:tcW w:w="2665" w:type="dxa"/>
          </w:tcPr>
          <w:p w14:paraId="4664E4D6" w14:textId="225893A2" w:rsidR="00222D72" w:rsidRDefault="00222D72" w:rsidP="00400753">
            <w:pPr>
              <w:pStyle w:val="ARtabletext"/>
              <w:spacing w:before="60" w:after="40"/>
              <w:rPr>
                <w:rFonts w:eastAsia="Arial"/>
              </w:rPr>
            </w:pPr>
            <w:r w:rsidRPr="4E7E9537">
              <w:rPr>
                <w:rFonts w:eastAsia="Arial"/>
              </w:rPr>
              <w:t>Cogeneration steam</w:t>
            </w:r>
          </w:p>
        </w:tc>
        <w:tc>
          <w:tcPr>
            <w:tcW w:w="1304" w:type="dxa"/>
            <w:shd w:val="clear" w:color="auto" w:fill="auto"/>
          </w:tcPr>
          <w:p w14:paraId="27ABCB59" w14:textId="77777777" w:rsidR="00222D72" w:rsidRPr="00144699" w:rsidRDefault="00222D72" w:rsidP="00400753">
            <w:pPr>
              <w:pStyle w:val="ARtabletextright"/>
              <w:spacing w:before="60" w:after="40"/>
            </w:pPr>
            <w:r w:rsidRPr="4E7E9537">
              <w:t>135</w:t>
            </w:r>
          </w:p>
        </w:tc>
        <w:tc>
          <w:tcPr>
            <w:tcW w:w="1021" w:type="dxa"/>
            <w:shd w:val="clear" w:color="auto" w:fill="auto"/>
          </w:tcPr>
          <w:p w14:paraId="04A4D480" w14:textId="77777777" w:rsidR="00222D72" w:rsidRPr="00144699" w:rsidRDefault="00222D72" w:rsidP="00400753">
            <w:pPr>
              <w:pStyle w:val="ARtabletextright"/>
              <w:spacing w:before="60" w:after="40"/>
            </w:pPr>
            <w:r w:rsidRPr="4E7E9537">
              <w:t>$1.93</w:t>
            </w:r>
          </w:p>
        </w:tc>
        <w:tc>
          <w:tcPr>
            <w:tcW w:w="1304" w:type="dxa"/>
            <w:vAlign w:val="center"/>
          </w:tcPr>
          <w:p w14:paraId="4278EAB2" w14:textId="77777777" w:rsidR="00222D72" w:rsidRPr="00144699" w:rsidRDefault="00222D72" w:rsidP="00400753">
            <w:pPr>
              <w:pStyle w:val="ARtabletextright"/>
              <w:spacing w:before="60" w:after="40"/>
            </w:pPr>
            <w:r w:rsidRPr="4E7E9537">
              <w:t>483</w:t>
            </w:r>
          </w:p>
        </w:tc>
        <w:tc>
          <w:tcPr>
            <w:tcW w:w="1021" w:type="dxa"/>
            <w:vAlign w:val="center"/>
          </w:tcPr>
          <w:p w14:paraId="33D09158" w14:textId="77777777" w:rsidR="00222D72" w:rsidRPr="00144699" w:rsidRDefault="00222D72" w:rsidP="00400753">
            <w:pPr>
              <w:pStyle w:val="ARtabletextright"/>
              <w:spacing w:before="60" w:after="40"/>
            </w:pPr>
            <w:r w:rsidRPr="4E7E9537">
              <w:t>$6.85</w:t>
            </w:r>
          </w:p>
        </w:tc>
        <w:tc>
          <w:tcPr>
            <w:tcW w:w="1304" w:type="dxa"/>
            <w:vAlign w:val="center"/>
          </w:tcPr>
          <w:p w14:paraId="6364BF46" w14:textId="77777777" w:rsidR="00222D72" w:rsidRPr="00144699" w:rsidRDefault="00222D72" w:rsidP="00400753">
            <w:pPr>
              <w:pStyle w:val="ARtabletextright"/>
              <w:spacing w:before="60" w:after="40"/>
            </w:pPr>
            <w:r w:rsidRPr="4E7E9537">
              <w:t>516</w:t>
            </w:r>
          </w:p>
        </w:tc>
        <w:tc>
          <w:tcPr>
            <w:tcW w:w="1021" w:type="dxa"/>
            <w:vAlign w:val="center"/>
          </w:tcPr>
          <w:p w14:paraId="2B0AC642" w14:textId="77777777" w:rsidR="00222D72" w:rsidRPr="00144699" w:rsidRDefault="00222D72" w:rsidP="00400753">
            <w:pPr>
              <w:pStyle w:val="ARtabletextright"/>
              <w:spacing w:before="60" w:after="40"/>
            </w:pPr>
            <w:r w:rsidRPr="4E7E9537">
              <w:t>$6.91</w:t>
            </w:r>
          </w:p>
        </w:tc>
      </w:tr>
      <w:tr w:rsidR="00222D72" w14:paraId="7A517652" w14:textId="77777777" w:rsidTr="00A57285">
        <w:trPr>
          <w:cantSplit w:val="0"/>
        </w:trPr>
        <w:tc>
          <w:tcPr>
            <w:tcW w:w="2665" w:type="dxa"/>
          </w:tcPr>
          <w:p w14:paraId="4B42EC8E" w14:textId="77777777" w:rsidR="00222D72" w:rsidRDefault="00222D72" w:rsidP="00400753">
            <w:pPr>
              <w:pStyle w:val="ARtabletext"/>
              <w:spacing w:before="60" w:after="40"/>
              <w:rPr>
                <w:rFonts w:eastAsia="Arial"/>
              </w:rPr>
            </w:pPr>
            <w:r w:rsidRPr="4E7E9537">
              <w:rPr>
                <w:rFonts w:eastAsia="Arial"/>
              </w:rPr>
              <w:t>LPG</w:t>
            </w:r>
          </w:p>
        </w:tc>
        <w:tc>
          <w:tcPr>
            <w:tcW w:w="1304" w:type="dxa"/>
            <w:shd w:val="clear" w:color="auto" w:fill="auto"/>
          </w:tcPr>
          <w:p w14:paraId="6179E764" w14:textId="77777777" w:rsidR="00222D72" w:rsidRPr="00144699" w:rsidRDefault="00222D72" w:rsidP="00400753">
            <w:pPr>
              <w:pStyle w:val="ARtabletextright"/>
              <w:spacing w:before="60" w:after="40"/>
            </w:pPr>
            <w:r w:rsidRPr="4E7E9537">
              <w:t>78</w:t>
            </w:r>
          </w:p>
        </w:tc>
        <w:tc>
          <w:tcPr>
            <w:tcW w:w="1021" w:type="dxa"/>
            <w:shd w:val="clear" w:color="auto" w:fill="auto"/>
          </w:tcPr>
          <w:p w14:paraId="1CAEBF12" w14:textId="77777777" w:rsidR="00222D72" w:rsidRPr="00144699" w:rsidRDefault="00222D72" w:rsidP="00400753">
            <w:pPr>
              <w:pStyle w:val="ARtabletextright"/>
              <w:spacing w:before="60" w:after="40"/>
            </w:pPr>
            <w:r w:rsidRPr="4E7E9537">
              <w:t>$2.08</w:t>
            </w:r>
          </w:p>
        </w:tc>
        <w:tc>
          <w:tcPr>
            <w:tcW w:w="1304" w:type="dxa"/>
            <w:vAlign w:val="center"/>
          </w:tcPr>
          <w:p w14:paraId="76E4E3E9" w14:textId="77777777" w:rsidR="00222D72" w:rsidRPr="00144699" w:rsidRDefault="00222D72" w:rsidP="00400753">
            <w:pPr>
              <w:pStyle w:val="ARtabletextright"/>
              <w:spacing w:before="60" w:after="40"/>
            </w:pPr>
            <w:r w:rsidRPr="4E7E9537">
              <w:t>88</w:t>
            </w:r>
          </w:p>
        </w:tc>
        <w:tc>
          <w:tcPr>
            <w:tcW w:w="1021" w:type="dxa"/>
            <w:vAlign w:val="center"/>
          </w:tcPr>
          <w:p w14:paraId="460861B2" w14:textId="77777777" w:rsidR="00222D72" w:rsidRPr="00144699" w:rsidRDefault="00222D72" w:rsidP="00400753">
            <w:pPr>
              <w:pStyle w:val="ARtabletextright"/>
              <w:spacing w:before="60" w:after="40"/>
            </w:pPr>
            <w:r w:rsidRPr="4E7E9537">
              <w:t>$1.78</w:t>
            </w:r>
          </w:p>
        </w:tc>
        <w:tc>
          <w:tcPr>
            <w:tcW w:w="1304" w:type="dxa"/>
            <w:vAlign w:val="center"/>
          </w:tcPr>
          <w:p w14:paraId="4A98D3D6" w14:textId="77777777" w:rsidR="00222D72" w:rsidRPr="00144699" w:rsidRDefault="00222D72" w:rsidP="00400753">
            <w:pPr>
              <w:pStyle w:val="ARtabletextright"/>
              <w:spacing w:before="60" w:after="40"/>
            </w:pPr>
            <w:r w:rsidRPr="4E7E9537">
              <w:t>96</w:t>
            </w:r>
          </w:p>
        </w:tc>
        <w:tc>
          <w:tcPr>
            <w:tcW w:w="1021" w:type="dxa"/>
            <w:vAlign w:val="center"/>
          </w:tcPr>
          <w:p w14:paraId="6403A157" w14:textId="77777777" w:rsidR="00222D72" w:rsidRPr="00144699" w:rsidRDefault="00222D72" w:rsidP="00400753">
            <w:pPr>
              <w:pStyle w:val="ARtabletextright"/>
              <w:spacing w:before="60" w:after="40"/>
            </w:pPr>
            <w:r w:rsidRPr="4E7E9537">
              <w:t>$2.50</w:t>
            </w:r>
          </w:p>
        </w:tc>
      </w:tr>
      <w:tr w:rsidR="00222D72" w14:paraId="243398F5" w14:textId="77777777" w:rsidTr="00A57285">
        <w:trPr>
          <w:cantSplit w:val="0"/>
        </w:trPr>
        <w:tc>
          <w:tcPr>
            <w:tcW w:w="2665" w:type="dxa"/>
          </w:tcPr>
          <w:p w14:paraId="22352153" w14:textId="77777777" w:rsidR="00222D72" w:rsidRDefault="00222D72" w:rsidP="00400753">
            <w:pPr>
              <w:pStyle w:val="ARtabletext"/>
              <w:spacing w:before="60" w:after="40"/>
              <w:rPr>
                <w:rFonts w:eastAsia="Arial"/>
              </w:rPr>
            </w:pPr>
            <w:r w:rsidRPr="4E7E9537">
              <w:rPr>
                <w:rFonts w:eastAsia="Arial"/>
              </w:rPr>
              <w:t>Diesel</w:t>
            </w:r>
          </w:p>
        </w:tc>
        <w:tc>
          <w:tcPr>
            <w:tcW w:w="1304" w:type="dxa"/>
            <w:shd w:val="clear" w:color="auto" w:fill="auto"/>
          </w:tcPr>
          <w:p w14:paraId="6B4C3874" w14:textId="77777777" w:rsidR="00222D72" w:rsidRPr="00144699" w:rsidRDefault="00222D72" w:rsidP="00400753">
            <w:pPr>
              <w:pStyle w:val="ARtabletextright"/>
              <w:spacing w:before="60" w:after="40"/>
            </w:pPr>
            <w:r w:rsidRPr="4E7E9537">
              <w:t>9</w:t>
            </w:r>
          </w:p>
        </w:tc>
        <w:tc>
          <w:tcPr>
            <w:tcW w:w="1021" w:type="dxa"/>
            <w:shd w:val="clear" w:color="auto" w:fill="auto"/>
          </w:tcPr>
          <w:p w14:paraId="661EA908" w14:textId="77777777" w:rsidR="00222D72" w:rsidRPr="00144699" w:rsidRDefault="00222D72" w:rsidP="00400753">
            <w:pPr>
              <w:pStyle w:val="ARtabletextright"/>
              <w:spacing w:before="60" w:after="40"/>
            </w:pPr>
            <w:r w:rsidRPr="4E7E9537">
              <w:t>$0.02</w:t>
            </w:r>
          </w:p>
        </w:tc>
        <w:tc>
          <w:tcPr>
            <w:tcW w:w="1304" w:type="dxa"/>
            <w:vAlign w:val="center"/>
          </w:tcPr>
          <w:p w14:paraId="41479184" w14:textId="77777777" w:rsidR="00222D72" w:rsidRPr="00144699" w:rsidRDefault="00222D72" w:rsidP="00400753">
            <w:pPr>
              <w:pStyle w:val="ARtabletextright"/>
              <w:spacing w:before="60" w:after="40"/>
            </w:pPr>
            <w:r w:rsidRPr="4E7E9537">
              <w:t>4</w:t>
            </w:r>
          </w:p>
        </w:tc>
        <w:tc>
          <w:tcPr>
            <w:tcW w:w="1021" w:type="dxa"/>
            <w:vAlign w:val="center"/>
          </w:tcPr>
          <w:p w14:paraId="71A64739" w14:textId="77777777" w:rsidR="00222D72" w:rsidRPr="00144699" w:rsidRDefault="00222D72" w:rsidP="00400753">
            <w:pPr>
              <w:pStyle w:val="ARtabletextright"/>
              <w:spacing w:before="60" w:after="40"/>
            </w:pPr>
            <w:r w:rsidRPr="4E7E9537">
              <w:t>$0.14</w:t>
            </w:r>
          </w:p>
        </w:tc>
        <w:tc>
          <w:tcPr>
            <w:tcW w:w="1304" w:type="dxa"/>
            <w:vAlign w:val="center"/>
          </w:tcPr>
          <w:p w14:paraId="1307407C" w14:textId="77777777" w:rsidR="00222D72" w:rsidRPr="00144699" w:rsidRDefault="00222D72" w:rsidP="00400753">
            <w:pPr>
              <w:pStyle w:val="ARtabletextright"/>
              <w:spacing w:before="60" w:after="40"/>
            </w:pPr>
            <w:r w:rsidRPr="4E7E9537">
              <w:t>3</w:t>
            </w:r>
          </w:p>
        </w:tc>
        <w:tc>
          <w:tcPr>
            <w:tcW w:w="1021" w:type="dxa"/>
            <w:vAlign w:val="center"/>
          </w:tcPr>
          <w:p w14:paraId="18418262" w14:textId="77777777" w:rsidR="00222D72" w:rsidRPr="00144699" w:rsidRDefault="00222D72" w:rsidP="00400753">
            <w:pPr>
              <w:pStyle w:val="ARtabletextright"/>
              <w:spacing w:before="60" w:after="40"/>
            </w:pPr>
            <w:r w:rsidRPr="4E7E9537">
              <w:t>$0.10</w:t>
            </w:r>
          </w:p>
        </w:tc>
      </w:tr>
      <w:tr w:rsidR="00222D72" w14:paraId="0B080F20" w14:textId="77777777" w:rsidTr="00A57285">
        <w:trPr>
          <w:cantSplit w:val="0"/>
        </w:trPr>
        <w:tc>
          <w:tcPr>
            <w:tcW w:w="2665" w:type="dxa"/>
          </w:tcPr>
          <w:p w14:paraId="6A7FC10C" w14:textId="77777777" w:rsidR="00222D72" w:rsidRDefault="00222D72" w:rsidP="00400753">
            <w:pPr>
              <w:pStyle w:val="ARtabletext"/>
              <w:spacing w:before="60" w:after="40"/>
              <w:rPr>
                <w:rFonts w:eastAsia="Arial"/>
              </w:rPr>
            </w:pPr>
            <w:r w:rsidRPr="4E7E9537">
              <w:rPr>
                <w:rFonts w:eastAsia="Arial"/>
                <w:b/>
                <w:bCs/>
              </w:rPr>
              <w:t>Total</w:t>
            </w:r>
          </w:p>
        </w:tc>
        <w:tc>
          <w:tcPr>
            <w:tcW w:w="1304" w:type="dxa"/>
            <w:shd w:val="clear" w:color="auto" w:fill="auto"/>
          </w:tcPr>
          <w:p w14:paraId="421DE597" w14:textId="77777777" w:rsidR="00222D72" w:rsidRPr="00144699" w:rsidRDefault="00222D72" w:rsidP="00400753">
            <w:pPr>
              <w:pStyle w:val="ARtabletextrightbold"/>
              <w:spacing w:before="60" w:after="40"/>
            </w:pPr>
            <w:r w:rsidRPr="4E7E9537">
              <w:t>5,65</w:t>
            </w:r>
            <w:r>
              <w:t>0</w:t>
            </w:r>
          </w:p>
        </w:tc>
        <w:tc>
          <w:tcPr>
            <w:tcW w:w="1021" w:type="dxa"/>
            <w:shd w:val="clear" w:color="auto" w:fill="auto"/>
          </w:tcPr>
          <w:p w14:paraId="0FFDB1D8" w14:textId="77777777" w:rsidR="00222D72" w:rsidRPr="00144699" w:rsidRDefault="00222D72" w:rsidP="00400753">
            <w:pPr>
              <w:pStyle w:val="ARtabletextrightbold"/>
              <w:spacing w:before="60" w:after="40"/>
            </w:pPr>
            <w:r w:rsidRPr="4E7E9537">
              <w:t>$156.5</w:t>
            </w:r>
            <w:r>
              <w:t>7</w:t>
            </w:r>
          </w:p>
        </w:tc>
        <w:tc>
          <w:tcPr>
            <w:tcW w:w="1304" w:type="dxa"/>
            <w:vAlign w:val="center"/>
          </w:tcPr>
          <w:p w14:paraId="129C52BC" w14:textId="77777777" w:rsidR="00222D72" w:rsidRPr="00144699" w:rsidRDefault="00222D72" w:rsidP="00400753">
            <w:pPr>
              <w:pStyle w:val="ARtabletextrightbold"/>
              <w:spacing w:before="60" w:after="40"/>
            </w:pPr>
            <w:r w:rsidRPr="4E7E9537">
              <w:t>5,12</w:t>
            </w:r>
            <w:r>
              <w:t>1</w:t>
            </w:r>
          </w:p>
        </w:tc>
        <w:tc>
          <w:tcPr>
            <w:tcW w:w="1021" w:type="dxa"/>
            <w:vAlign w:val="center"/>
          </w:tcPr>
          <w:p w14:paraId="121EB0AB" w14:textId="77777777" w:rsidR="00222D72" w:rsidRPr="00144699" w:rsidRDefault="00222D72" w:rsidP="00400753">
            <w:pPr>
              <w:pStyle w:val="ARtabletextrightbold"/>
              <w:spacing w:before="60" w:after="40"/>
            </w:pPr>
            <w:r w:rsidRPr="4E7E9537">
              <w:t>$152.47</w:t>
            </w:r>
          </w:p>
        </w:tc>
        <w:tc>
          <w:tcPr>
            <w:tcW w:w="1304" w:type="dxa"/>
            <w:vAlign w:val="center"/>
          </w:tcPr>
          <w:p w14:paraId="3E6C56B4" w14:textId="77777777" w:rsidR="00222D72" w:rsidRPr="00144699" w:rsidRDefault="00222D72" w:rsidP="00400753">
            <w:pPr>
              <w:pStyle w:val="ARtabletextrightbold"/>
              <w:spacing w:before="60" w:after="40"/>
            </w:pPr>
            <w:r w:rsidRPr="4E7E9537">
              <w:t>5,166</w:t>
            </w:r>
          </w:p>
        </w:tc>
        <w:tc>
          <w:tcPr>
            <w:tcW w:w="1021" w:type="dxa"/>
            <w:vAlign w:val="center"/>
          </w:tcPr>
          <w:p w14:paraId="5D471546" w14:textId="77777777" w:rsidR="00222D72" w:rsidRPr="00144699" w:rsidRDefault="00222D72" w:rsidP="00400753">
            <w:pPr>
              <w:pStyle w:val="ARtabletextrightbold"/>
              <w:spacing w:before="60" w:after="40"/>
            </w:pPr>
            <w:r w:rsidRPr="4E7E9537">
              <w:t>$152.1</w:t>
            </w:r>
            <w:r>
              <w:t>6</w:t>
            </w:r>
          </w:p>
        </w:tc>
      </w:tr>
    </w:tbl>
    <w:p w14:paraId="4F38F94B" w14:textId="77777777" w:rsidR="00222D72" w:rsidRDefault="00222D72" w:rsidP="00257AF4">
      <w:pPr>
        <w:pStyle w:val="ARbodynospace"/>
      </w:pPr>
    </w:p>
    <w:tbl>
      <w:tblPr>
        <w:tblStyle w:val="TableGrid"/>
        <w:tblW w:w="9639" w:type="dxa"/>
        <w:tblLayout w:type="fixed"/>
        <w:tblLook w:val="06A0" w:firstRow="1" w:lastRow="0" w:firstColumn="1" w:lastColumn="0" w:noHBand="1" w:noVBand="1"/>
      </w:tblPr>
      <w:tblGrid>
        <w:gridCol w:w="4536"/>
        <w:gridCol w:w="1701"/>
        <w:gridCol w:w="1701"/>
        <w:gridCol w:w="1701"/>
      </w:tblGrid>
      <w:tr w:rsidR="00222D72" w14:paraId="54E44618" w14:textId="77777777" w:rsidTr="003E09F6">
        <w:trPr>
          <w:cnfStyle w:val="100000000000" w:firstRow="1" w:lastRow="0" w:firstColumn="0" w:lastColumn="0" w:oddVBand="0" w:evenVBand="0" w:oddHBand="0" w:evenHBand="0" w:firstRowFirstColumn="0" w:firstRowLastColumn="0" w:lastRowFirstColumn="0" w:lastRowLastColumn="0"/>
          <w:trHeight w:val="315"/>
          <w:tblHeader/>
        </w:trPr>
        <w:tc>
          <w:tcPr>
            <w:tcW w:w="4536" w:type="dxa"/>
          </w:tcPr>
          <w:p w14:paraId="57C094B3" w14:textId="77777777" w:rsidR="00222D72" w:rsidRDefault="00222D72" w:rsidP="004C7BEF">
            <w:pPr>
              <w:pStyle w:val="ARtablecolhead"/>
              <w:rPr>
                <w:rFonts w:eastAsia="Arial"/>
              </w:rPr>
            </w:pPr>
            <w:r w:rsidRPr="4E7E9537">
              <w:rPr>
                <w:rFonts w:eastAsia="Arial"/>
              </w:rPr>
              <w:t>Description</w:t>
            </w:r>
          </w:p>
        </w:tc>
        <w:tc>
          <w:tcPr>
            <w:tcW w:w="1701" w:type="dxa"/>
          </w:tcPr>
          <w:p w14:paraId="12158ACB" w14:textId="77777777" w:rsidR="00222D72" w:rsidRPr="00296D69" w:rsidRDefault="00222D72" w:rsidP="004C7BEF">
            <w:pPr>
              <w:pStyle w:val="ARtablecolheadright"/>
              <w:rPr>
                <w:rFonts w:eastAsia="Arial"/>
              </w:rPr>
            </w:pPr>
            <w:r w:rsidRPr="4E7E9537">
              <w:rPr>
                <w:rFonts w:eastAsia="Arial"/>
              </w:rPr>
              <w:t>2021–22 estimate</w:t>
            </w:r>
          </w:p>
        </w:tc>
        <w:tc>
          <w:tcPr>
            <w:tcW w:w="1701" w:type="dxa"/>
          </w:tcPr>
          <w:p w14:paraId="5F7A5992" w14:textId="77777777" w:rsidR="00222D72" w:rsidRDefault="00222D72" w:rsidP="004C7BEF">
            <w:pPr>
              <w:pStyle w:val="ARtablecolheadright"/>
              <w:rPr>
                <w:rFonts w:eastAsia="Arial"/>
              </w:rPr>
            </w:pPr>
            <w:r w:rsidRPr="4E7E9537">
              <w:rPr>
                <w:rFonts w:eastAsia="Arial"/>
              </w:rPr>
              <w:t>2020–21 estimate</w:t>
            </w:r>
          </w:p>
        </w:tc>
        <w:tc>
          <w:tcPr>
            <w:tcW w:w="1701" w:type="dxa"/>
          </w:tcPr>
          <w:p w14:paraId="73CB2F58" w14:textId="77777777" w:rsidR="00222D72" w:rsidRDefault="00222D72" w:rsidP="004C7BEF">
            <w:pPr>
              <w:pStyle w:val="ARtablecolheadright"/>
              <w:rPr>
                <w:rFonts w:eastAsia="Arial"/>
              </w:rPr>
            </w:pPr>
            <w:r w:rsidRPr="4E7E9537">
              <w:rPr>
                <w:rFonts w:eastAsia="Arial"/>
              </w:rPr>
              <w:t>2019–20 estimate</w:t>
            </w:r>
          </w:p>
        </w:tc>
      </w:tr>
      <w:tr w:rsidR="00222D72" w14:paraId="717EA616" w14:textId="77777777" w:rsidTr="003E09F6">
        <w:trPr>
          <w:cnfStyle w:val="100000000000" w:firstRow="1" w:lastRow="0" w:firstColumn="0" w:lastColumn="0" w:oddVBand="0" w:evenVBand="0" w:oddHBand="0" w:evenHBand="0" w:firstRowFirstColumn="0" w:firstRowLastColumn="0" w:lastRowFirstColumn="0" w:lastRowLastColumn="0"/>
          <w:tblHeader/>
        </w:trPr>
        <w:tc>
          <w:tcPr>
            <w:tcW w:w="4536" w:type="dxa"/>
          </w:tcPr>
          <w:p w14:paraId="5461DB9D" w14:textId="77777777" w:rsidR="00222D72" w:rsidRDefault="00222D72" w:rsidP="004C7BEF">
            <w:pPr>
              <w:pStyle w:val="ARtablecolhead"/>
              <w:rPr>
                <w:rFonts w:eastAsia="Arial"/>
              </w:rPr>
            </w:pPr>
            <w:r w:rsidRPr="4E7E9537">
              <w:rPr>
                <w:rFonts w:eastAsia="Arial"/>
              </w:rPr>
              <w:t>Total greenhouse gas emissions</w:t>
            </w:r>
          </w:p>
        </w:tc>
        <w:tc>
          <w:tcPr>
            <w:tcW w:w="1701" w:type="dxa"/>
          </w:tcPr>
          <w:p w14:paraId="4932E828" w14:textId="299AF94A" w:rsidR="00222D72" w:rsidRPr="00296D69" w:rsidRDefault="00222D72" w:rsidP="004C7BEF">
            <w:pPr>
              <w:pStyle w:val="ARtablecolheadright"/>
              <w:rPr>
                <w:rFonts w:eastAsia="Arial"/>
              </w:rPr>
            </w:pPr>
            <w:r w:rsidRPr="4E7E9537">
              <w:rPr>
                <w:rFonts w:eastAsia="Arial"/>
              </w:rPr>
              <w:t>Tonnes CO</w:t>
            </w:r>
            <w:r w:rsidR="0072453F" w:rsidRPr="00125EE1">
              <w:rPr>
                <w:rStyle w:val="Subscript"/>
              </w:rPr>
              <w:t>2</w:t>
            </w:r>
            <w:r w:rsidRPr="4E7E9537">
              <w:rPr>
                <w:rFonts w:eastAsia="Arial"/>
              </w:rPr>
              <w:t>-e</w:t>
            </w:r>
          </w:p>
        </w:tc>
        <w:tc>
          <w:tcPr>
            <w:tcW w:w="1701" w:type="dxa"/>
          </w:tcPr>
          <w:p w14:paraId="4101235E" w14:textId="1277EC95" w:rsidR="00222D72" w:rsidRDefault="00222D72" w:rsidP="004C7BEF">
            <w:pPr>
              <w:pStyle w:val="ARtablecolheadright"/>
              <w:rPr>
                <w:rFonts w:eastAsia="Arial"/>
              </w:rPr>
            </w:pPr>
            <w:r w:rsidRPr="4E7E9537">
              <w:rPr>
                <w:rFonts w:eastAsia="Arial"/>
              </w:rPr>
              <w:t>Tonnes CO</w:t>
            </w:r>
            <w:r w:rsidR="0072453F" w:rsidRPr="00125EE1">
              <w:rPr>
                <w:rStyle w:val="Subscript"/>
              </w:rPr>
              <w:t>2</w:t>
            </w:r>
            <w:r w:rsidRPr="4E7E9537">
              <w:rPr>
                <w:rFonts w:eastAsia="Arial"/>
              </w:rPr>
              <w:t>-e</w:t>
            </w:r>
          </w:p>
        </w:tc>
        <w:tc>
          <w:tcPr>
            <w:tcW w:w="1701" w:type="dxa"/>
          </w:tcPr>
          <w:p w14:paraId="63B6A902" w14:textId="53DE1BB5" w:rsidR="00222D72" w:rsidRDefault="00222D72" w:rsidP="004C7BEF">
            <w:pPr>
              <w:pStyle w:val="ARtablecolheadright"/>
              <w:rPr>
                <w:rFonts w:eastAsia="Arial"/>
              </w:rPr>
            </w:pPr>
            <w:r w:rsidRPr="4E7E9537">
              <w:rPr>
                <w:rFonts w:eastAsia="Arial"/>
              </w:rPr>
              <w:t>Tonnes CO</w:t>
            </w:r>
            <w:r w:rsidR="0072453F" w:rsidRPr="00125EE1">
              <w:rPr>
                <w:rStyle w:val="Subscript"/>
              </w:rPr>
              <w:t>2</w:t>
            </w:r>
            <w:r w:rsidRPr="4E7E9537">
              <w:rPr>
                <w:rFonts w:eastAsia="Arial"/>
              </w:rPr>
              <w:t>-e</w:t>
            </w:r>
          </w:p>
        </w:tc>
      </w:tr>
      <w:tr w:rsidR="00222D72" w14:paraId="28F82B20" w14:textId="77777777" w:rsidTr="003E09F6">
        <w:trPr>
          <w:cantSplit w:val="0"/>
        </w:trPr>
        <w:tc>
          <w:tcPr>
            <w:tcW w:w="4536" w:type="dxa"/>
          </w:tcPr>
          <w:p w14:paraId="22B69D92" w14:textId="77777777" w:rsidR="00222D72" w:rsidRDefault="00222D72" w:rsidP="004C7BEF">
            <w:pPr>
              <w:pStyle w:val="ARtabletext"/>
              <w:spacing w:before="70" w:after="50"/>
              <w:rPr>
                <w:rFonts w:eastAsia="Arial"/>
              </w:rPr>
            </w:pPr>
            <w:r w:rsidRPr="4E7E9537">
              <w:rPr>
                <w:rFonts w:eastAsia="Arial"/>
              </w:rPr>
              <w:t>Electricity</w:t>
            </w:r>
          </w:p>
        </w:tc>
        <w:tc>
          <w:tcPr>
            <w:tcW w:w="1701" w:type="dxa"/>
          </w:tcPr>
          <w:p w14:paraId="52C79C04" w14:textId="77777777" w:rsidR="00222D72" w:rsidRPr="00AA09BB" w:rsidRDefault="00222D72" w:rsidP="003E09F6">
            <w:pPr>
              <w:pStyle w:val="ARtabletextright"/>
            </w:pPr>
            <w:r w:rsidRPr="4E7E9537">
              <w:t>564,958</w:t>
            </w:r>
          </w:p>
        </w:tc>
        <w:tc>
          <w:tcPr>
            <w:tcW w:w="1701" w:type="dxa"/>
          </w:tcPr>
          <w:p w14:paraId="4EB92536" w14:textId="77777777" w:rsidR="00222D72" w:rsidRPr="00AA09BB" w:rsidRDefault="00222D72" w:rsidP="003E09F6">
            <w:pPr>
              <w:pStyle w:val="ARtabletextright"/>
            </w:pPr>
            <w:r w:rsidRPr="4E7E9537">
              <w:t>615,159</w:t>
            </w:r>
          </w:p>
        </w:tc>
        <w:tc>
          <w:tcPr>
            <w:tcW w:w="1701" w:type="dxa"/>
          </w:tcPr>
          <w:p w14:paraId="2FD567B4" w14:textId="77777777" w:rsidR="00222D72" w:rsidRPr="00AA09BB" w:rsidRDefault="00222D72" w:rsidP="003E09F6">
            <w:pPr>
              <w:pStyle w:val="ARtabletextright"/>
            </w:pPr>
            <w:r w:rsidRPr="4E7E9537">
              <w:t>632,914</w:t>
            </w:r>
          </w:p>
        </w:tc>
      </w:tr>
      <w:tr w:rsidR="00222D72" w14:paraId="421E407C" w14:textId="77777777" w:rsidTr="003E09F6">
        <w:trPr>
          <w:cantSplit w:val="0"/>
        </w:trPr>
        <w:tc>
          <w:tcPr>
            <w:tcW w:w="4536" w:type="dxa"/>
          </w:tcPr>
          <w:p w14:paraId="539B3015" w14:textId="77777777" w:rsidR="00222D72" w:rsidRDefault="00222D72" w:rsidP="004C7BEF">
            <w:pPr>
              <w:pStyle w:val="ARtabletext"/>
              <w:spacing w:before="70" w:after="50"/>
              <w:rPr>
                <w:rFonts w:eastAsia="Arial"/>
              </w:rPr>
            </w:pPr>
            <w:r w:rsidRPr="4E7E9537">
              <w:rPr>
                <w:rFonts w:eastAsia="Arial"/>
              </w:rPr>
              <w:t>Natural gas</w:t>
            </w:r>
          </w:p>
        </w:tc>
        <w:tc>
          <w:tcPr>
            <w:tcW w:w="1701" w:type="dxa"/>
          </w:tcPr>
          <w:p w14:paraId="03907E15" w14:textId="77777777" w:rsidR="00222D72" w:rsidRPr="00AA09BB" w:rsidRDefault="00222D72" w:rsidP="003E09F6">
            <w:pPr>
              <w:pStyle w:val="ARtabletextright"/>
            </w:pPr>
            <w:r w:rsidRPr="4E7E9537">
              <w:t>161,804</w:t>
            </w:r>
          </w:p>
        </w:tc>
        <w:tc>
          <w:tcPr>
            <w:tcW w:w="1701" w:type="dxa"/>
          </w:tcPr>
          <w:p w14:paraId="5941A70C" w14:textId="77777777" w:rsidR="00222D72" w:rsidRPr="00AA09BB" w:rsidRDefault="00222D72" w:rsidP="003E09F6">
            <w:pPr>
              <w:pStyle w:val="ARtabletextright"/>
            </w:pPr>
            <w:r w:rsidRPr="4E7E9537">
              <w:t>114,016</w:t>
            </w:r>
          </w:p>
        </w:tc>
        <w:tc>
          <w:tcPr>
            <w:tcW w:w="1701" w:type="dxa"/>
          </w:tcPr>
          <w:p w14:paraId="46B252C6" w14:textId="77777777" w:rsidR="00222D72" w:rsidRPr="00AA09BB" w:rsidRDefault="00222D72" w:rsidP="003E09F6">
            <w:pPr>
              <w:pStyle w:val="ARtabletextright"/>
            </w:pPr>
            <w:r w:rsidRPr="4E7E9537">
              <w:t>116,009</w:t>
            </w:r>
          </w:p>
        </w:tc>
      </w:tr>
      <w:tr w:rsidR="00222D72" w14:paraId="61692978" w14:textId="77777777" w:rsidTr="003E09F6">
        <w:trPr>
          <w:cantSplit w:val="0"/>
        </w:trPr>
        <w:tc>
          <w:tcPr>
            <w:tcW w:w="4536" w:type="dxa"/>
          </w:tcPr>
          <w:p w14:paraId="1D9CA4A0" w14:textId="3B24605B" w:rsidR="00222D72" w:rsidRDefault="00222D72" w:rsidP="004C7BEF">
            <w:pPr>
              <w:pStyle w:val="ARtabletext"/>
              <w:spacing w:before="70" w:after="50"/>
              <w:rPr>
                <w:rFonts w:eastAsia="Arial"/>
              </w:rPr>
            </w:pPr>
            <w:r w:rsidRPr="4E7E9537">
              <w:rPr>
                <w:rFonts w:eastAsia="Arial"/>
              </w:rPr>
              <w:t>Cogeneration steam</w:t>
            </w:r>
          </w:p>
        </w:tc>
        <w:tc>
          <w:tcPr>
            <w:tcW w:w="1701" w:type="dxa"/>
          </w:tcPr>
          <w:p w14:paraId="1D643DDB" w14:textId="77777777" w:rsidR="00222D72" w:rsidRPr="00AA09BB" w:rsidRDefault="00222D72" w:rsidP="003E09F6">
            <w:pPr>
              <w:pStyle w:val="ARtabletextright"/>
            </w:pPr>
            <w:r w:rsidRPr="4E7E9537">
              <w:t>6,146</w:t>
            </w:r>
          </w:p>
        </w:tc>
        <w:tc>
          <w:tcPr>
            <w:tcW w:w="1701" w:type="dxa"/>
          </w:tcPr>
          <w:p w14:paraId="29A5C916" w14:textId="77777777" w:rsidR="00222D72" w:rsidRPr="00AA09BB" w:rsidRDefault="00222D72" w:rsidP="003E09F6">
            <w:pPr>
              <w:pStyle w:val="ARtabletextright"/>
            </w:pPr>
            <w:r w:rsidRPr="4E7E9537">
              <w:t>22,840</w:t>
            </w:r>
          </w:p>
        </w:tc>
        <w:tc>
          <w:tcPr>
            <w:tcW w:w="1701" w:type="dxa"/>
          </w:tcPr>
          <w:p w14:paraId="58201241" w14:textId="77777777" w:rsidR="00222D72" w:rsidRPr="00AA09BB" w:rsidRDefault="00222D72" w:rsidP="003E09F6">
            <w:pPr>
              <w:pStyle w:val="ARtabletextright"/>
            </w:pPr>
            <w:r w:rsidRPr="4E7E9537">
              <w:t>22,256</w:t>
            </w:r>
          </w:p>
        </w:tc>
      </w:tr>
      <w:tr w:rsidR="00222D72" w14:paraId="33D71463" w14:textId="77777777" w:rsidTr="003E09F6">
        <w:trPr>
          <w:cantSplit w:val="0"/>
        </w:trPr>
        <w:tc>
          <w:tcPr>
            <w:tcW w:w="4536" w:type="dxa"/>
          </w:tcPr>
          <w:p w14:paraId="1A68C2FA" w14:textId="77777777" w:rsidR="00222D72" w:rsidRDefault="00222D72" w:rsidP="004C7BEF">
            <w:pPr>
              <w:pStyle w:val="ARtabletext"/>
              <w:spacing w:before="70" w:after="50"/>
              <w:rPr>
                <w:rFonts w:eastAsia="Arial"/>
              </w:rPr>
            </w:pPr>
            <w:r w:rsidRPr="4E7E9537">
              <w:rPr>
                <w:rFonts w:eastAsia="Arial"/>
              </w:rPr>
              <w:t>LPG</w:t>
            </w:r>
          </w:p>
        </w:tc>
        <w:tc>
          <w:tcPr>
            <w:tcW w:w="1701" w:type="dxa"/>
          </w:tcPr>
          <w:p w14:paraId="400CB741" w14:textId="77777777" w:rsidR="00222D72" w:rsidRPr="00AA09BB" w:rsidRDefault="00222D72" w:rsidP="003E09F6">
            <w:pPr>
              <w:pStyle w:val="ARtabletextright"/>
            </w:pPr>
            <w:r w:rsidRPr="4E7E9537">
              <w:t>4,731</w:t>
            </w:r>
          </w:p>
        </w:tc>
        <w:tc>
          <w:tcPr>
            <w:tcW w:w="1701" w:type="dxa"/>
          </w:tcPr>
          <w:p w14:paraId="42DF0890" w14:textId="77777777" w:rsidR="00222D72" w:rsidRPr="00AA09BB" w:rsidRDefault="00222D72" w:rsidP="003E09F6">
            <w:pPr>
              <w:pStyle w:val="ARtabletextright"/>
            </w:pPr>
            <w:r w:rsidRPr="4E7E9537">
              <w:t>5,350</w:t>
            </w:r>
          </w:p>
        </w:tc>
        <w:tc>
          <w:tcPr>
            <w:tcW w:w="1701" w:type="dxa"/>
          </w:tcPr>
          <w:p w14:paraId="01584EE3" w14:textId="77777777" w:rsidR="00222D72" w:rsidRPr="00AA09BB" w:rsidRDefault="00222D72" w:rsidP="003E09F6">
            <w:pPr>
              <w:pStyle w:val="ARtabletextright"/>
            </w:pPr>
            <w:r w:rsidRPr="4E7E9537">
              <w:t>5,819</w:t>
            </w:r>
          </w:p>
        </w:tc>
      </w:tr>
      <w:tr w:rsidR="00222D72" w14:paraId="383E9F25" w14:textId="77777777" w:rsidTr="003E09F6">
        <w:trPr>
          <w:cantSplit w:val="0"/>
        </w:trPr>
        <w:tc>
          <w:tcPr>
            <w:tcW w:w="4536" w:type="dxa"/>
          </w:tcPr>
          <w:p w14:paraId="5D35DD1A" w14:textId="77777777" w:rsidR="00222D72" w:rsidRDefault="00222D72" w:rsidP="004C7BEF">
            <w:pPr>
              <w:pStyle w:val="ARtabletext"/>
              <w:spacing w:before="70" w:after="50"/>
              <w:rPr>
                <w:rFonts w:eastAsia="Arial"/>
              </w:rPr>
            </w:pPr>
            <w:r w:rsidRPr="4E7E9537">
              <w:rPr>
                <w:rFonts w:eastAsia="Arial"/>
              </w:rPr>
              <w:t>Diesel</w:t>
            </w:r>
          </w:p>
        </w:tc>
        <w:tc>
          <w:tcPr>
            <w:tcW w:w="1701" w:type="dxa"/>
          </w:tcPr>
          <w:p w14:paraId="76700A31" w14:textId="77777777" w:rsidR="00222D72" w:rsidRPr="00AA09BB" w:rsidRDefault="00222D72" w:rsidP="003E09F6">
            <w:pPr>
              <w:pStyle w:val="ARtabletextright"/>
            </w:pPr>
            <w:r w:rsidRPr="4E7E9537">
              <w:t>665</w:t>
            </w:r>
          </w:p>
        </w:tc>
        <w:tc>
          <w:tcPr>
            <w:tcW w:w="1701" w:type="dxa"/>
          </w:tcPr>
          <w:p w14:paraId="4343F6EE" w14:textId="77777777" w:rsidR="00222D72" w:rsidRPr="00AA09BB" w:rsidRDefault="00222D72" w:rsidP="003E09F6">
            <w:pPr>
              <w:pStyle w:val="ARtabletextright"/>
            </w:pPr>
            <w:r w:rsidRPr="4E7E9537">
              <w:t>248</w:t>
            </w:r>
          </w:p>
        </w:tc>
        <w:tc>
          <w:tcPr>
            <w:tcW w:w="1701" w:type="dxa"/>
          </w:tcPr>
          <w:p w14:paraId="2164EF57" w14:textId="77777777" w:rsidR="00222D72" w:rsidRPr="00AA09BB" w:rsidRDefault="00222D72" w:rsidP="003E09F6">
            <w:pPr>
              <w:pStyle w:val="ARtabletextright"/>
            </w:pPr>
            <w:r w:rsidRPr="4E7E9537">
              <w:t>240</w:t>
            </w:r>
          </w:p>
        </w:tc>
      </w:tr>
      <w:tr w:rsidR="00222D72" w14:paraId="7CA74CA3" w14:textId="77777777" w:rsidTr="003E09F6">
        <w:trPr>
          <w:cantSplit w:val="0"/>
        </w:trPr>
        <w:tc>
          <w:tcPr>
            <w:tcW w:w="4536" w:type="dxa"/>
          </w:tcPr>
          <w:p w14:paraId="556C0D4E" w14:textId="77777777" w:rsidR="00222D72" w:rsidRDefault="00222D72" w:rsidP="004C7BEF">
            <w:pPr>
              <w:pStyle w:val="ARtabletext"/>
              <w:spacing w:before="70" w:after="50"/>
              <w:rPr>
                <w:rFonts w:eastAsia="Arial"/>
              </w:rPr>
            </w:pPr>
            <w:r w:rsidRPr="4E7E9537">
              <w:rPr>
                <w:rFonts w:eastAsia="Arial"/>
                <w:b/>
                <w:bCs/>
              </w:rPr>
              <w:t>Total greenhouse gas emissions</w:t>
            </w:r>
          </w:p>
        </w:tc>
        <w:tc>
          <w:tcPr>
            <w:tcW w:w="1701" w:type="dxa"/>
          </w:tcPr>
          <w:p w14:paraId="2D475263" w14:textId="77777777" w:rsidR="00222D72" w:rsidRPr="00AA09BB" w:rsidRDefault="00222D72" w:rsidP="009E7701">
            <w:pPr>
              <w:pStyle w:val="ARtabletextrightbold"/>
            </w:pPr>
            <w:r w:rsidRPr="4E7E9537">
              <w:t>738,304</w:t>
            </w:r>
          </w:p>
        </w:tc>
        <w:tc>
          <w:tcPr>
            <w:tcW w:w="1701" w:type="dxa"/>
          </w:tcPr>
          <w:p w14:paraId="24306CC5" w14:textId="77777777" w:rsidR="00222D72" w:rsidRPr="00AA09BB" w:rsidRDefault="00222D72" w:rsidP="009E7701">
            <w:pPr>
              <w:pStyle w:val="ARtabletextrightbold"/>
            </w:pPr>
            <w:r w:rsidRPr="4E7E9537">
              <w:t>757,61</w:t>
            </w:r>
            <w:r>
              <w:t>3</w:t>
            </w:r>
          </w:p>
        </w:tc>
        <w:tc>
          <w:tcPr>
            <w:tcW w:w="1701" w:type="dxa"/>
          </w:tcPr>
          <w:p w14:paraId="70C97C02" w14:textId="77777777" w:rsidR="00222D72" w:rsidRPr="00AA09BB" w:rsidRDefault="00222D72" w:rsidP="009E7701">
            <w:pPr>
              <w:pStyle w:val="ARtabletextrightbold"/>
            </w:pPr>
            <w:r w:rsidRPr="4E7E9537">
              <w:t>777,238</w:t>
            </w:r>
          </w:p>
        </w:tc>
      </w:tr>
    </w:tbl>
    <w:p w14:paraId="3934096B" w14:textId="77777777" w:rsidR="00222D72" w:rsidRDefault="00222D72" w:rsidP="00400753">
      <w:pPr>
        <w:pStyle w:val="ARbodynospace"/>
      </w:pPr>
    </w:p>
    <w:tbl>
      <w:tblPr>
        <w:tblStyle w:val="TableGrid"/>
        <w:tblW w:w="9639" w:type="dxa"/>
        <w:tblLayout w:type="fixed"/>
        <w:tblLook w:val="06A0" w:firstRow="1" w:lastRow="0" w:firstColumn="1" w:lastColumn="0" w:noHBand="1" w:noVBand="1"/>
      </w:tblPr>
      <w:tblGrid>
        <w:gridCol w:w="5898"/>
        <w:gridCol w:w="1247"/>
        <w:gridCol w:w="1247"/>
        <w:gridCol w:w="1247"/>
      </w:tblGrid>
      <w:tr w:rsidR="00222D72" w14:paraId="21CE186F" w14:textId="77777777" w:rsidTr="00473FA0">
        <w:trPr>
          <w:cnfStyle w:val="100000000000" w:firstRow="1" w:lastRow="0" w:firstColumn="0" w:lastColumn="0" w:oddVBand="0" w:evenVBand="0" w:oddHBand="0" w:evenHBand="0" w:firstRowFirstColumn="0" w:firstRowLastColumn="0" w:lastRowFirstColumn="0" w:lastRowLastColumn="0"/>
        </w:trPr>
        <w:tc>
          <w:tcPr>
            <w:tcW w:w="5897" w:type="dxa"/>
          </w:tcPr>
          <w:p w14:paraId="1C5A1F9F" w14:textId="77777777" w:rsidR="00222D72" w:rsidRDefault="00222D72" w:rsidP="004C7BEF">
            <w:pPr>
              <w:pStyle w:val="ARtablecolhead"/>
              <w:rPr>
                <w:rFonts w:eastAsia="Arial"/>
              </w:rPr>
            </w:pPr>
            <w:r w:rsidRPr="4E7E9537">
              <w:rPr>
                <w:rFonts w:eastAsia="Arial"/>
              </w:rPr>
              <w:t>Description</w:t>
            </w:r>
          </w:p>
        </w:tc>
        <w:tc>
          <w:tcPr>
            <w:tcW w:w="1247" w:type="dxa"/>
            <w:shd w:val="clear" w:color="auto" w:fill="auto"/>
          </w:tcPr>
          <w:p w14:paraId="487BD0C2" w14:textId="77777777" w:rsidR="00222D72" w:rsidRDefault="00222D72" w:rsidP="004C7BEF">
            <w:pPr>
              <w:pStyle w:val="ARtablecolheadright"/>
              <w:rPr>
                <w:rFonts w:eastAsia="Arial"/>
              </w:rPr>
            </w:pPr>
            <w:r w:rsidRPr="4E7E9537">
              <w:rPr>
                <w:rFonts w:eastAsia="Arial"/>
              </w:rPr>
              <w:t>2021–22 estimate</w:t>
            </w:r>
          </w:p>
        </w:tc>
        <w:tc>
          <w:tcPr>
            <w:tcW w:w="1247" w:type="dxa"/>
            <w:vAlign w:val="center"/>
          </w:tcPr>
          <w:p w14:paraId="51046C94" w14:textId="77777777" w:rsidR="00222D72" w:rsidRDefault="00222D72" w:rsidP="004C7BEF">
            <w:pPr>
              <w:pStyle w:val="ARtablecolheadright"/>
              <w:rPr>
                <w:rFonts w:eastAsia="Arial"/>
              </w:rPr>
            </w:pPr>
            <w:r w:rsidRPr="4E7E9537">
              <w:rPr>
                <w:rFonts w:eastAsia="Arial"/>
              </w:rPr>
              <w:t>2020–21 estimate</w:t>
            </w:r>
          </w:p>
        </w:tc>
        <w:tc>
          <w:tcPr>
            <w:tcW w:w="1247" w:type="dxa"/>
            <w:vAlign w:val="center"/>
          </w:tcPr>
          <w:p w14:paraId="31C65C42" w14:textId="77777777" w:rsidR="00222D72" w:rsidRDefault="00222D72" w:rsidP="004C7BEF">
            <w:pPr>
              <w:pStyle w:val="ARtablecolheadright"/>
              <w:rPr>
                <w:rFonts w:eastAsia="Arial"/>
              </w:rPr>
            </w:pPr>
            <w:r w:rsidRPr="4E7E9537">
              <w:rPr>
                <w:rFonts w:eastAsia="Arial"/>
              </w:rPr>
              <w:t>2019–20 estimate</w:t>
            </w:r>
          </w:p>
        </w:tc>
      </w:tr>
      <w:tr w:rsidR="00222D72" w14:paraId="5E98CEF5" w14:textId="77777777" w:rsidTr="00473FA0">
        <w:trPr>
          <w:cantSplit w:val="0"/>
        </w:trPr>
        <w:tc>
          <w:tcPr>
            <w:tcW w:w="5897" w:type="dxa"/>
          </w:tcPr>
          <w:p w14:paraId="7A8C2699" w14:textId="77777777" w:rsidR="00222D72" w:rsidRDefault="00222D72" w:rsidP="004C7BEF">
            <w:pPr>
              <w:pStyle w:val="ARtabletext"/>
              <w:rPr>
                <w:rFonts w:eastAsia="Arial"/>
              </w:rPr>
            </w:pPr>
            <w:r w:rsidRPr="4E7E9537">
              <w:rPr>
                <w:rFonts w:eastAsia="Arial"/>
              </w:rPr>
              <w:t>Energy used per separation (gigajoules/separation)</w:t>
            </w:r>
          </w:p>
        </w:tc>
        <w:tc>
          <w:tcPr>
            <w:tcW w:w="1247" w:type="dxa"/>
            <w:shd w:val="clear" w:color="auto" w:fill="auto"/>
          </w:tcPr>
          <w:p w14:paraId="6DB1B856" w14:textId="77777777" w:rsidR="00222D72" w:rsidRPr="00C247C9" w:rsidRDefault="00222D72" w:rsidP="003E09F6">
            <w:pPr>
              <w:pStyle w:val="ARtabletextright"/>
            </w:pPr>
            <w:r w:rsidRPr="4E7E9537">
              <w:t>2.69</w:t>
            </w:r>
          </w:p>
        </w:tc>
        <w:tc>
          <w:tcPr>
            <w:tcW w:w="1247" w:type="dxa"/>
          </w:tcPr>
          <w:p w14:paraId="55F9A5B7" w14:textId="77777777" w:rsidR="00222D72" w:rsidRPr="00C247C9" w:rsidRDefault="00222D72" w:rsidP="003E09F6">
            <w:pPr>
              <w:pStyle w:val="ARtabletextright"/>
            </w:pPr>
            <w:r w:rsidRPr="4E7E9537">
              <w:t>2.72</w:t>
            </w:r>
          </w:p>
        </w:tc>
        <w:tc>
          <w:tcPr>
            <w:tcW w:w="1247" w:type="dxa"/>
          </w:tcPr>
          <w:p w14:paraId="65573BAA" w14:textId="77777777" w:rsidR="00222D72" w:rsidRPr="00C247C9" w:rsidRDefault="00222D72" w:rsidP="003E09F6">
            <w:pPr>
              <w:pStyle w:val="ARtabletextright"/>
            </w:pPr>
            <w:r w:rsidRPr="4E7E9537">
              <w:t>3.03</w:t>
            </w:r>
          </w:p>
        </w:tc>
      </w:tr>
      <w:tr w:rsidR="00222D72" w14:paraId="66979836" w14:textId="77777777" w:rsidTr="00473FA0">
        <w:trPr>
          <w:cantSplit w:val="0"/>
        </w:trPr>
        <w:tc>
          <w:tcPr>
            <w:tcW w:w="5897" w:type="dxa"/>
          </w:tcPr>
          <w:p w14:paraId="274883EB" w14:textId="77777777" w:rsidR="00222D72" w:rsidRDefault="00222D72" w:rsidP="004C7BEF">
            <w:pPr>
              <w:pStyle w:val="ARtabletext"/>
              <w:rPr>
                <w:rFonts w:eastAsia="Arial"/>
              </w:rPr>
            </w:pPr>
            <w:r w:rsidRPr="4E7E9537">
              <w:rPr>
                <w:rFonts w:eastAsia="Arial"/>
              </w:rPr>
              <w:t>Energy used per bed day (gigajoules/bed day)</w:t>
            </w:r>
          </w:p>
        </w:tc>
        <w:tc>
          <w:tcPr>
            <w:tcW w:w="1247" w:type="dxa"/>
            <w:shd w:val="clear" w:color="auto" w:fill="auto"/>
          </w:tcPr>
          <w:p w14:paraId="23F98BF7" w14:textId="77777777" w:rsidR="00222D72" w:rsidRPr="00C247C9" w:rsidRDefault="00222D72" w:rsidP="003E09F6">
            <w:pPr>
              <w:pStyle w:val="ARtabletextright"/>
            </w:pPr>
            <w:r w:rsidRPr="4E7E9537">
              <w:t>0.74</w:t>
            </w:r>
          </w:p>
        </w:tc>
        <w:tc>
          <w:tcPr>
            <w:tcW w:w="1247" w:type="dxa"/>
          </w:tcPr>
          <w:p w14:paraId="377B420C" w14:textId="77777777" w:rsidR="00222D72" w:rsidRPr="00C247C9" w:rsidRDefault="00222D72" w:rsidP="003E09F6">
            <w:pPr>
              <w:pStyle w:val="ARtabletextright"/>
            </w:pPr>
            <w:r w:rsidRPr="4E7E9537">
              <w:t>0.75</w:t>
            </w:r>
          </w:p>
        </w:tc>
        <w:tc>
          <w:tcPr>
            <w:tcW w:w="1247" w:type="dxa"/>
          </w:tcPr>
          <w:p w14:paraId="0EA18C7F" w14:textId="77777777" w:rsidR="00222D72" w:rsidRPr="00C247C9" w:rsidRDefault="00222D72" w:rsidP="003E09F6">
            <w:pPr>
              <w:pStyle w:val="ARtabletextright"/>
            </w:pPr>
            <w:r w:rsidRPr="4E7E9537">
              <w:t>0.82</w:t>
            </w:r>
          </w:p>
        </w:tc>
      </w:tr>
      <w:tr w:rsidR="00222D72" w14:paraId="57F2B49A" w14:textId="77777777" w:rsidTr="00473FA0">
        <w:trPr>
          <w:cantSplit w:val="0"/>
        </w:trPr>
        <w:tc>
          <w:tcPr>
            <w:tcW w:w="5897" w:type="dxa"/>
          </w:tcPr>
          <w:p w14:paraId="60B732AC" w14:textId="73B3311A" w:rsidR="00222D72" w:rsidRDefault="00222D72" w:rsidP="004C7BEF">
            <w:pPr>
              <w:pStyle w:val="ARtabletext"/>
              <w:rPr>
                <w:rFonts w:eastAsia="Arial"/>
              </w:rPr>
            </w:pPr>
            <w:r w:rsidRPr="4E7E9537">
              <w:rPr>
                <w:rFonts w:eastAsia="Arial"/>
              </w:rPr>
              <w:t>Energy used per unit of floor space (gigajoules/m</w:t>
            </w:r>
            <w:r w:rsidR="006E2B00" w:rsidRPr="006E2B00">
              <w:rPr>
                <w:rStyle w:val="Superscript"/>
              </w:rPr>
              <w:t>2</w:t>
            </w:r>
            <w:r w:rsidRPr="4E7E9537">
              <w:rPr>
                <w:rFonts w:eastAsia="Arial"/>
              </w:rPr>
              <w:t>)</w:t>
            </w:r>
          </w:p>
        </w:tc>
        <w:tc>
          <w:tcPr>
            <w:tcW w:w="1247" w:type="dxa"/>
            <w:shd w:val="clear" w:color="auto" w:fill="auto"/>
          </w:tcPr>
          <w:p w14:paraId="6F1FCF44" w14:textId="77777777" w:rsidR="00222D72" w:rsidRPr="00C247C9" w:rsidRDefault="00222D72" w:rsidP="003E09F6">
            <w:pPr>
              <w:pStyle w:val="ARtabletextright"/>
            </w:pPr>
            <w:r w:rsidRPr="4E7E9537">
              <w:t>1.40</w:t>
            </w:r>
          </w:p>
        </w:tc>
        <w:tc>
          <w:tcPr>
            <w:tcW w:w="1247" w:type="dxa"/>
          </w:tcPr>
          <w:p w14:paraId="325F5B4A" w14:textId="77777777" w:rsidR="00222D72" w:rsidRPr="00C247C9" w:rsidRDefault="00222D72" w:rsidP="003E09F6">
            <w:pPr>
              <w:pStyle w:val="ARtabletextright"/>
            </w:pPr>
            <w:r w:rsidRPr="4E7E9537">
              <w:t>1.38</w:t>
            </w:r>
          </w:p>
        </w:tc>
        <w:tc>
          <w:tcPr>
            <w:tcW w:w="1247" w:type="dxa"/>
          </w:tcPr>
          <w:p w14:paraId="0F3DFBD4" w14:textId="77777777" w:rsidR="00222D72" w:rsidRPr="00C247C9" w:rsidRDefault="00222D72" w:rsidP="003E09F6">
            <w:pPr>
              <w:pStyle w:val="ARtabletextright"/>
            </w:pPr>
            <w:r w:rsidRPr="4E7E9537">
              <w:t>1.54</w:t>
            </w:r>
          </w:p>
        </w:tc>
      </w:tr>
      <w:tr w:rsidR="00222D72" w14:paraId="4F8D4948" w14:textId="77777777" w:rsidTr="00473FA0">
        <w:trPr>
          <w:cantSplit w:val="0"/>
        </w:trPr>
        <w:tc>
          <w:tcPr>
            <w:tcW w:w="5897" w:type="dxa"/>
          </w:tcPr>
          <w:p w14:paraId="150767D1" w14:textId="12A1A7D4" w:rsidR="00222D72" w:rsidRDefault="00222D72" w:rsidP="004C7BEF">
            <w:pPr>
              <w:pStyle w:val="ARtabletext"/>
              <w:rPr>
                <w:rFonts w:eastAsia="Arial"/>
              </w:rPr>
            </w:pPr>
            <w:r w:rsidRPr="4E7E9537">
              <w:rPr>
                <w:rFonts w:eastAsia="Arial"/>
              </w:rPr>
              <w:t>Greenhouse gas emissions per separation (tonnes CO</w:t>
            </w:r>
            <w:r w:rsidR="0072453F" w:rsidRPr="00125EE1">
              <w:rPr>
                <w:rStyle w:val="Subscript"/>
              </w:rPr>
              <w:t>2</w:t>
            </w:r>
            <w:r w:rsidRPr="4E7E9537">
              <w:rPr>
                <w:rFonts w:eastAsia="Arial"/>
              </w:rPr>
              <w:t>-e/separation)</w:t>
            </w:r>
          </w:p>
        </w:tc>
        <w:tc>
          <w:tcPr>
            <w:tcW w:w="1247" w:type="dxa"/>
            <w:shd w:val="clear" w:color="auto" w:fill="auto"/>
          </w:tcPr>
          <w:p w14:paraId="582677AB" w14:textId="77777777" w:rsidR="00222D72" w:rsidRPr="00C247C9" w:rsidRDefault="00222D72" w:rsidP="003E09F6">
            <w:pPr>
              <w:pStyle w:val="ARtabletextright"/>
            </w:pPr>
            <w:r w:rsidRPr="4E7E9537">
              <w:t>0.43</w:t>
            </w:r>
          </w:p>
        </w:tc>
        <w:tc>
          <w:tcPr>
            <w:tcW w:w="1247" w:type="dxa"/>
          </w:tcPr>
          <w:p w14:paraId="56C9C48B" w14:textId="77777777" w:rsidR="00222D72" w:rsidRPr="00C247C9" w:rsidRDefault="00222D72" w:rsidP="003E09F6">
            <w:pPr>
              <w:pStyle w:val="ARtabletextright"/>
            </w:pPr>
            <w:r w:rsidRPr="4E7E9537">
              <w:t>0.43</w:t>
            </w:r>
          </w:p>
        </w:tc>
        <w:tc>
          <w:tcPr>
            <w:tcW w:w="1247" w:type="dxa"/>
          </w:tcPr>
          <w:p w14:paraId="1585F824" w14:textId="77777777" w:rsidR="00222D72" w:rsidRPr="00C247C9" w:rsidRDefault="00222D72" w:rsidP="003E09F6">
            <w:pPr>
              <w:pStyle w:val="ARtabletextright"/>
            </w:pPr>
            <w:r w:rsidRPr="4E7E9537">
              <w:t>0.42</w:t>
            </w:r>
          </w:p>
        </w:tc>
      </w:tr>
      <w:tr w:rsidR="00222D72" w14:paraId="0356D97C" w14:textId="77777777" w:rsidTr="00473FA0">
        <w:trPr>
          <w:cantSplit w:val="0"/>
        </w:trPr>
        <w:tc>
          <w:tcPr>
            <w:tcW w:w="5897" w:type="dxa"/>
          </w:tcPr>
          <w:p w14:paraId="7A411E94" w14:textId="4843D861" w:rsidR="00222D72" w:rsidRDefault="00222D72" w:rsidP="004C7BEF">
            <w:pPr>
              <w:pStyle w:val="ARtabletext"/>
              <w:rPr>
                <w:rFonts w:eastAsia="Arial"/>
              </w:rPr>
            </w:pPr>
            <w:r w:rsidRPr="4E7E9537">
              <w:rPr>
                <w:rFonts w:eastAsia="Arial"/>
              </w:rPr>
              <w:t>Greenhouse gas emissions per bed day (tonnes CO</w:t>
            </w:r>
            <w:r w:rsidR="0072453F" w:rsidRPr="00125EE1">
              <w:rPr>
                <w:rStyle w:val="Subscript"/>
              </w:rPr>
              <w:t>2</w:t>
            </w:r>
            <w:r w:rsidRPr="4E7E9537">
              <w:rPr>
                <w:rFonts w:eastAsia="Arial"/>
              </w:rPr>
              <w:t>-e/bed day)</w:t>
            </w:r>
          </w:p>
        </w:tc>
        <w:tc>
          <w:tcPr>
            <w:tcW w:w="1247" w:type="dxa"/>
            <w:shd w:val="clear" w:color="auto" w:fill="auto"/>
          </w:tcPr>
          <w:p w14:paraId="2F3F0249" w14:textId="77777777" w:rsidR="00222D72" w:rsidRPr="00C247C9" w:rsidRDefault="00222D72" w:rsidP="003E09F6">
            <w:pPr>
              <w:pStyle w:val="ARtabletextright"/>
            </w:pPr>
            <w:r w:rsidRPr="4E7E9537">
              <w:t>0.11</w:t>
            </w:r>
          </w:p>
        </w:tc>
        <w:tc>
          <w:tcPr>
            <w:tcW w:w="1247" w:type="dxa"/>
          </w:tcPr>
          <w:p w14:paraId="1F47815D" w14:textId="77777777" w:rsidR="00222D72" w:rsidRPr="00C247C9" w:rsidRDefault="00222D72" w:rsidP="003E09F6">
            <w:pPr>
              <w:pStyle w:val="ARtabletextright"/>
            </w:pPr>
            <w:r w:rsidRPr="4E7E9537">
              <w:t>0.11</w:t>
            </w:r>
          </w:p>
        </w:tc>
        <w:tc>
          <w:tcPr>
            <w:tcW w:w="1247" w:type="dxa"/>
          </w:tcPr>
          <w:p w14:paraId="153A9445" w14:textId="77777777" w:rsidR="00222D72" w:rsidRPr="00C247C9" w:rsidRDefault="00222D72" w:rsidP="003E09F6">
            <w:pPr>
              <w:pStyle w:val="ARtabletextright"/>
            </w:pPr>
            <w:r w:rsidRPr="4E7E9537">
              <w:t>0.11</w:t>
            </w:r>
          </w:p>
        </w:tc>
      </w:tr>
      <w:tr w:rsidR="00222D72" w14:paraId="2C336808" w14:textId="77777777" w:rsidTr="00473FA0">
        <w:trPr>
          <w:cantSplit w:val="0"/>
        </w:trPr>
        <w:tc>
          <w:tcPr>
            <w:tcW w:w="5897" w:type="dxa"/>
          </w:tcPr>
          <w:p w14:paraId="35E2294A" w14:textId="2D111A08" w:rsidR="00222D72" w:rsidRDefault="00222D72" w:rsidP="004C7BEF">
            <w:pPr>
              <w:pStyle w:val="ARtabletext"/>
              <w:rPr>
                <w:rFonts w:eastAsia="Arial"/>
              </w:rPr>
            </w:pPr>
            <w:r w:rsidRPr="4E7E9537">
              <w:rPr>
                <w:rFonts w:eastAsia="Arial"/>
              </w:rPr>
              <w:t>Greenhouse gas emissions per unit of floor space (tonnes CO</w:t>
            </w:r>
            <w:r w:rsidR="0072453F" w:rsidRPr="00125EE1">
              <w:rPr>
                <w:rStyle w:val="Subscript"/>
              </w:rPr>
              <w:t>2</w:t>
            </w:r>
            <w:r w:rsidRPr="4E7E9537">
              <w:rPr>
                <w:rFonts w:eastAsia="Arial"/>
              </w:rPr>
              <w:t>-e/m</w:t>
            </w:r>
            <w:r w:rsidR="006E2B00" w:rsidRPr="006E2B00">
              <w:rPr>
                <w:rStyle w:val="Superscript"/>
              </w:rPr>
              <w:t>2</w:t>
            </w:r>
            <w:r w:rsidRPr="4E7E9537">
              <w:rPr>
                <w:rFonts w:eastAsia="Arial"/>
              </w:rPr>
              <w:t>)</w:t>
            </w:r>
          </w:p>
        </w:tc>
        <w:tc>
          <w:tcPr>
            <w:tcW w:w="1247" w:type="dxa"/>
            <w:shd w:val="clear" w:color="auto" w:fill="auto"/>
          </w:tcPr>
          <w:p w14:paraId="4056BB0C" w14:textId="77777777" w:rsidR="00222D72" w:rsidRPr="00C247C9" w:rsidRDefault="00222D72" w:rsidP="003E09F6">
            <w:pPr>
              <w:pStyle w:val="ARtabletextright"/>
            </w:pPr>
            <w:r w:rsidRPr="4E7E9537">
              <w:t>0.22</w:t>
            </w:r>
          </w:p>
        </w:tc>
        <w:tc>
          <w:tcPr>
            <w:tcW w:w="1247" w:type="dxa"/>
          </w:tcPr>
          <w:p w14:paraId="5A5299EB" w14:textId="77777777" w:rsidR="00222D72" w:rsidRPr="00C247C9" w:rsidRDefault="00222D72" w:rsidP="003E09F6">
            <w:pPr>
              <w:pStyle w:val="ARtabletextright"/>
            </w:pPr>
            <w:r w:rsidRPr="4E7E9537">
              <w:t>0.22</w:t>
            </w:r>
          </w:p>
        </w:tc>
        <w:tc>
          <w:tcPr>
            <w:tcW w:w="1247" w:type="dxa"/>
          </w:tcPr>
          <w:p w14:paraId="2DE7AF0E" w14:textId="77777777" w:rsidR="00222D72" w:rsidRPr="00C247C9" w:rsidRDefault="00222D72" w:rsidP="003E09F6">
            <w:pPr>
              <w:pStyle w:val="ARtabletextright"/>
            </w:pPr>
            <w:r w:rsidRPr="4E7E9537">
              <w:t>0.21</w:t>
            </w:r>
          </w:p>
        </w:tc>
      </w:tr>
    </w:tbl>
    <w:p w14:paraId="4B2ABA5F" w14:textId="77777777" w:rsidR="00222D72" w:rsidRDefault="00222D72" w:rsidP="004C7BEF">
      <w:pPr>
        <w:pStyle w:val="ARtablefootnote"/>
        <w:rPr>
          <w:rFonts w:eastAsia="Arial" w:cs="Arial"/>
          <w:color w:val="000000" w:themeColor="text1"/>
        </w:rPr>
      </w:pPr>
      <w:r w:rsidRPr="4E7E9537">
        <w:rPr>
          <w:rFonts w:eastAsia="Arial" w:cs="Arial"/>
          <w:color w:val="000000" w:themeColor="text1"/>
        </w:rPr>
        <w:t>Public health services are GST-exempt organisations. Reported cost data for public health services is exclusive of GST. Public health greenhouse gas emission indicators include emissions associated with the use of nitrous oxide in public hospitals.</w:t>
      </w:r>
    </w:p>
    <w:p w14:paraId="413CA295" w14:textId="77777777" w:rsidR="00222D72" w:rsidRDefault="00222D72" w:rsidP="004C7BEF">
      <w:pPr>
        <w:pStyle w:val="ARtablefootnote"/>
        <w:rPr>
          <w:rFonts w:eastAsia="Arial" w:cs="Arial"/>
          <w:color w:val="000000" w:themeColor="text1"/>
        </w:rPr>
      </w:pPr>
      <w:r w:rsidRPr="4E7E9537">
        <w:rPr>
          <w:rFonts w:eastAsia="Arial" w:cs="Arial"/>
          <w:color w:val="000000" w:themeColor="text1"/>
        </w:rPr>
        <w:t>On October 1, 2021, the department changed how it procured energy through its cogeneration energy services agreement from procuring the cogeneration outputs (steam and cogenerated electricity) to cogeneration inputs (natural gas). This has resulted in an increase in natural gas and a reduction in the amount of steam and electricity reported.</w:t>
      </w:r>
    </w:p>
    <w:p w14:paraId="4E360053" w14:textId="77777777" w:rsidR="00222D72" w:rsidRDefault="00222D72" w:rsidP="004C7BEF">
      <w:pPr>
        <w:pStyle w:val="ARtablefootnote"/>
        <w:rPr>
          <w:rFonts w:eastAsia="Arial" w:cs="Arial"/>
          <w:color w:val="000000" w:themeColor="text1"/>
        </w:rPr>
      </w:pPr>
      <w:r w:rsidRPr="4E7E9537">
        <w:rPr>
          <w:rFonts w:eastAsia="Arial" w:cs="Arial"/>
          <w:color w:val="000000" w:themeColor="text1"/>
        </w:rPr>
        <w:t>Public health services energy data includes a three and a half per cent estimate in 2021–22 due to some data being unavailable from energy retailers at the time of reporting.</w:t>
      </w:r>
    </w:p>
    <w:p w14:paraId="08B753F6" w14:textId="77777777" w:rsidR="00222D72" w:rsidRDefault="00222D72" w:rsidP="004C7BEF">
      <w:pPr>
        <w:pStyle w:val="Heading4"/>
        <w:rPr>
          <w:rFonts w:eastAsia="Arial"/>
        </w:rPr>
      </w:pPr>
      <w:r w:rsidRPr="47AEECA1">
        <w:rPr>
          <w:rFonts w:eastAsia="Arial"/>
        </w:rPr>
        <w:t>Water use</w:t>
      </w:r>
    </w:p>
    <w:p w14:paraId="7C1CB5BE" w14:textId="77777777" w:rsidR="00222D72" w:rsidRDefault="00222D72" w:rsidP="008B5BD3">
      <w:pPr>
        <w:pStyle w:val="Heading5"/>
        <w:spacing w:before="120"/>
        <w:rPr>
          <w:rFonts w:eastAsia="Arial" w:cs="Arial"/>
          <w:bCs/>
          <w:szCs w:val="22"/>
        </w:rPr>
      </w:pPr>
      <w:r w:rsidRPr="47AEECA1">
        <w:rPr>
          <w:rFonts w:eastAsia="Arial" w:cs="Arial"/>
          <w:bCs/>
          <w:szCs w:val="22"/>
        </w:rPr>
        <w:t>Office-based</w:t>
      </w:r>
    </w:p>
    <w:tbl>
      <w:tblPr>
        <w:tblStyle w:val="TableGrid"/>
        <w:tblW w:w="9639" w:type="dxa"/>
        <w:tblLayout w:type="fixed"/>
        <w:tblLook w:val="06A0" w:firstRow="1" w:lastRow="0" w:firstColumn="1" w:lastColumn="0" w:noHBand="1" w:noVBand="1"/>
      </w:tblPr>
      <w:tblGrid>
        <w:gridCol w:w="4536"/>
        <w:gridCol w:w="1701"/>
        <w:gridCol w:w="1701"/>
        <w:gridCol w:w="1701"/>
      </w:tblGrid>
      <w:tr w:rsidR="00222D72" w14:paraId="2ADBE07C" w14:textId="77777777" w:rsidTr="003E09F6">
        <w:trPr>
          <w:cnfStyle w:val="100000000000" w:firstRow="1" w:lastRow="0" w:firstColumn="0" w:lastColumn="0" w:oddVBand="0" w:evenVBand="0" w:oddHBand="0" w:evenHBand="0" w:firstRowFirstColumn="0" w:firstRowLastColumn="0" w:lastRowFirstColumn="0" w:lastRowLastColumn="0"/>
          <w:trHeight w:val="360"/>
          <w:tblHeader/>
        </w:trPr>
        <w:tc>
          <w:tcPr>
            <w:tcW w:w="4536" w:type="dxa"/>
          </w:tcPr>
          <w:p w14:paraId="74752EC2" w14:textId="77777777" w:rsidR="00222D72" w:rsidRDefault="00222D72" w:rsidP="004C7BEF">
            <w:pPr>
              <w:pStyle w:val="ARtablecolhead"/>
              <w:rPr>
                <w:rFonts w:eastAsia="Arial"/>
                <w:bCs/>
              </w:rPr>
            </w:pPr>
            <w:r w:rsidRPr="47AEECA1">
              <w:rPr>
                <w:rFonts w:eastAsia="Arial"/>
                <w:bCs/>
              </w:rPr>
              <w:t>Description</w:t>
            </w:r>
          </w:p>
        </w:tc>
        <w:tc>
          <w:tcPr>
            <w:tcW w:w="1701" w:type="dxa"/>
          </w:tcPr>
          <w:p w14:paraId="4E8FC887" w14:textId="77777777" w:rsidR="00222D72" w:rsidRPr="00296D69" w:rsidRDefault="00222D72" w:rsidP="004C7BEF">
            <w:pPr>
              <w:pStyle w:val="ARtablecolheadright"/>
              <w:rPr>
                <w:rFonts w:eastAsia="Arial"/>
              </w:rPr>
            </w:pPr>
            <w:r w:rsidRPr="5E1D3705">
              <w:rPr>
                <w:rFonts w:eastAsia="Arial"/>
              </w:rPr>
              <w:t>2021–22 estimate</w:t>
            </w:r>
          </w:p>
        </w:tc>
        <w:tc>
          <w:tcPr>
            <w:tcW w:w="1701" w:type="dxa"/>
          </w:tcPr>
          <w:p w14:paraId="7D0CCD37" w14:textId="77777777" w:rsidR="00222D72" w:rsidRDefault="00222D72" w:rsidP="004C7BEF">
            <w:pPr>
              <w:pStyle w:val="ARtablecolheadright"/>
              <w:rPr>
                <w:rFonts w:eastAsia="Arial"/>
                <w:bCs/>
              </w:rPr>
            </w:pPr>
            <w:r w:rsidRPr="47AEECA1">
              <w:rPr>
                <w:rFonts w:eastAsia="Arial"/>
                <w:bCs/>
              </w:rPr>
              <w:t>2020–21 estimate</w:t>
            </w:r>
          </w:p>
        </w:tc>
        <w:tc>
          <w:tcPr>
            <w:tcW w:w="1701" w:type="dxa"/>
          </w:tcPr>
          <w:p w14:paraId="6F299F94" w14:textId="77777777" w:rsidR="00222D72" w:rsidRDefault="00222D72" w:rsidP="004C7BEF">
            <w:pPr>
              <w:pStyle w:val="ARtablecolheadright"/>
              <w:rPr>
                <w:rFonts w:eastAsia="Arial"/>
                <w:bCs/>
              </w:rPr>
            </w:pPr>
            <w:r w:rsidRPr="47AEECA1">
              <w:rPr>
                <w:rFonts w:eastAsia="Arial"/>
                <w:bCs/>
              </w:rPr>
              <w:t>2019–20 estimate</w:t>
            </w:r>
          </w:p>
        </w:tc>
      </w:tr>
      <w:tr w:rsidR="00222D72" w14:paraId="1F3F828E" w14:textId="77777777" w:rsidTr="003E09F6">
        <w:trPr>
          <w:cantSplit w:val="0"/>
          <w:trHeight w:val="270"/>
        </w:trPr>
        <w:tc>
          <w:tcPr>
            <w:tcW w:w="4536" w:type="dxa"/>
          </w:tcPr>
          <w:p w14:paraId="503FC84B" w14:textId="77777777" w:rsidR="00222D72" w:rsidRDefault="00222D72" w:rsidP="004C7BEF">
            <w:pPr>
              <w:pStyle w:val="ARtabletext"/>
              <w:rPr>
                <w:rFonts w:eastAsia="Arial"/>
              </w:rPr>
            </w:pPr>
            <w:r w:rsidRPr="47AEECA1">
              <w:rPr>
                <w:rFonts w:eastAsia="Arial"/>
              </w:rPr>
              <w:t>Total water used (kilolitres)</w:t>
            </w:r>
          </w:p>
        </w:tc>
        <w:tc>
          <w:tcPr>
            <w:tcW w:w="1701" w:type="dxa"/>
          </w:tcPr>
          <w:p w14:paraId="39F3B785" w14:textId="77777777" w:rsidR="00222D72" w:rsidRDefault="00222D72" w:rsidP="003E09F6">
            <w:pPr>
              <w:pStyle w:val="ARtabletextright"/>
            </w:pPr>
            <w:r w:rsidRPr="2F9D9672">
              <w:t>5,163</w:t>
            </w:r>
          </w:p>
        </w:tc>
        <w:tc>
          <w:tcPr>
            <w:tcW w:w="1701" w:type="dxa"/>
          </w:tcPr>
          <w:p w14:paraId="55D42DBA" w14:textId="77777777" w:rsidR="00222D72" w:rsidRDefault="00222D72" w:rsidP="003E09F6">
            <w:pPr>
              <w:pStyle w:val="ARtabletextright"/>
            </w:pPr>
            <w:r w:rsidRPr="5E1D3705">
              <w:t>N/A</w:t>
            </w:r>
          </w:p>
        </w:tc>
        <w:tc>
          <w:tcPr>
            <w:tcW w:w="1701" w:type="dxa"/>
          </w:tcPr>
          <w:p w14:paraId="47EB0C31" w14:textId="77777777" w:rsidR="00222D72" w:rsidRDefault="00222D72" w:rsidP="003E09F6">
            <w:pPr>
              <w:pStyle w:val="ARtabletextright"/>
            </w:pPr>
            <w:r w:rsidRPr="5E1D3705">
              <w:t xml:space="preserve">N/A </w:t>
            </w:r>
          </w:p>
        </w:tc>
      </w:tr>
      <w:tr w:rsidR="00222D72" w14:paraId="058FD7AF" w14:textId="77777777" w:rsidTr="003E09F6">
        <w:trPr>
          <w:cantSplit w:val="0"/>
          <w:trHeight w:val="270"/>
        </w:trPr>
        <w:tc>
          <w:tcPr>
            <w:tcW w:w="4536" w:type="dxa"/>
          </w:tcPr>
          <w:p w14:paraId="62803163" w14:textId="77777777" w:rsidR="00222D72" w:rsidRDefault="00222D72" w:rsidP="004C7BEF">
            <w:pPr>
              <w:pStyle w:val="ARtabletext"/>
              <w:rPr>
                <w:rFonts w:eastAsia="Arial"/>
              </w:rPr>
            </w:pPr>
            <w:r w:rsidRPr="47AEECA1">
              <w:rPr>
                <w:rFonts w:eastAsia="Arial"/>
              </w:rPr>
              <w:t>Total water usage and sewage charge ($ million)</w:t>
            </w:r>
          </w:p>
        </w:tc>
        <w:tc>
          <w:tcPr>
            <w:tcW w:w="1701" w:type="dxa"/>
          </w:tcPr>
          <w:p w14:paraId="6AF39ED2" w14:textId="77777777" w:rsidR="00222D72" w:rsidRDefault="00222D72" w:rsidP="003E09F6">
            <w:pPr>
              <w:pStyle w:val="ARtabletextright"/>
            </w:pPr>
            <w:r w:rsidRPr="307F03F1">
              <w:t>$0.06</w:t>
            </w:r>
          </w:p>
        </w:tc>
        <w:tc>
          <w:tcPr>
            <w:tcW w:w="1701" w:type="dxa"/>
          </w:tcPr>
          <w:p w14:paraId="1F20C1CC" w14:textId="77777777" w:rsidR="00222D72" w:rsidRDefault="00222D72" w:rsidP="003E09F6">
            <w:pPr>
              <w:pStyle w:val="ARtabletextright"/>
            </w:pPr>
            <w:r w:rsidRPr="5E1D3705">
              <w:t xml:space="preserve">N/A </w:t>
            </w:r>
          </w:p>
        </w:tc>
        <w:tc>
          <w:tcPr>
            <w:tcW w:w="1701" w:type="dxa"/>
          </w:tcPr>
          <w:p w14:paraId="46B76AFA" w14:textId="77777777" w:rsidR="00222D72" w:rsidRDefault="00222D72" w:rsidP="003E09F6">
            <w:pPr>
              <w:pStyle w:val="ARtabletextright"/>
            </w:pPr>
            <w:r w:rsidRPr="5E1D3705">
              <w:t xml:space="preserve">N/A </w:t>
            </w:r>
          </w:p>
        </w:tc>
      </w:tr>
      <w:tr w:rsidR="00222D72" w14:paraId="2CD79A32" w14:textId="77777777" w:rsidTr="003E09F6">
        <w:trPr>
          <w:cantSplit w:val="0"/>
          <w:trHeight w:val="270"/>
        </w:trPr>
        <w:tc>
          <w:tcPr>
            <w:tcW w:w="4536" w:type="dxa"/>
          </w:tcPr>
          <w:p w14:paraId="7A520666" w14:textId="77777777" w:rsidR="00222D72" w:rsidRDefault="00222D72" w:rsidP="004C7BEF">
            <w:pPr>
              <w:pStyle w:val="ARtabletext"/>
              <w:rPr>
                <w:rFonts w:eastAsia="Arial"/>
              </w:rPr>
            </w:pPr>
            <w:r w:rsidRPr="47AEECA1">
              <w:rPr>
                <w:rFonts w:eastAsia="Arial"/>
              </w:rPr>
              <w:t>Total water used per FTE (litres/FTE)</w:t>
            </w:r>
          </w:p>
        </w:tc>
        <w:tc>
          <w:tcPr>
            <w:tcW w:w="1701" w:type="dxa"/>
          </w:tcPr>
          <w:p w14:paraId="37CC6F3E" w14:textId="77777777" w:rsidR="00222D72" w:rsidRDefault="00222D72" w:rsidP="003E09F6">
            <w:pPr>
              <w:pStyle w:val="ARtabletextright"/>
            </w:pPr>
            <w:r w:rsidRPr="2F9D9672">
              <w:t>1,</w:t>
            </w:r>
            <w:r w:rsidRPr="7F2B2CEE">
              <w:t>530</w:t>
            </w:r>
          </w:p>
        </w:tc>
        <w:tc>
          <w:tcPr>
            <w:tcW w:w="1701" w:type="dxa"/>
          </w:tcPr>
          <w:p w14:paraId="38D45E7D" w14:textId="77777777" w:rsidR="00222D72" w:rsidRDefault="00222D72" w:rsidP="003E09F6">
            <w:pPr>
              <w:pStyle w:val="ARtabletextright"/>
            </w:pPr>
            <w:r w:rsidRPr="47AEECA1">
              <w:t>5,511</w:t>
            </w:r>
          </w:p>
        </w:tc>
        <w:tc>
          <w:tcPr>
            <w:tcW w:w="1701" w:type="dxa"/>
          </w:tcPr>
          <w:p w14:paraId="4639A765" w14:textId="77777777" w:rsidR="00222D72" w:rsidRDefault="00222D72" w:rsidP="003E09F6">
            <w:pPr>
              <w:pStyle w:val="ARtabletextright"/>
            </w:pPr>
            <w:r w:rsidRPr="47AEECA1">
              <w:t>7,566</w:t>
            </w:r>
          </w:p>
        </w:tc>
      </w:tr>
      <w:tr w:rsidR="00222D72" w14:paraId="4F5F6890" w14:textId="77777777" w:rsidTr="003E09F6">
        <w:trPr>
          <w:cantSplit w:val="0"/>
          <w:trHeight w:val="270"/>
        </w:trPr>
        <w:tc>
          <w:tcPr>
            <w:tcW w:w="4536" w:type="dxa"/>
          </w:tcPr>
          <w:p w14:paraId="66433519" w14:textId="409AD212" w:rsidR="00222D72" w:rsidRDefault="00222D72" w:rsidP="004C7BEF">
            <w:pPr>
              <w:pStyle w:val="ARtabletext"/>
              <w:rPr>
                <w:rFonts w:eastAsia="Arial"/>
              </w:rPr>
            </w:pPr>
            <w:r w:rsidRPr="47AEECA1">
              <w:rPr>
                <w:rFonts w:eastAsia="Arial"/>
              </w:rPr>
              <w:t>Water used per unit of office space (litres/m</w:t>
            </w:r>
            <w:r w:rsidR="006E2B00" w:rsidRPr="006E2B00">
              <w:rPr>
                <w:rStyle w:val="Superscript"/>
              </w:rPr>
              <w:t>2</w:t>
            </w:r>
            <w:r w:rsidRPr="47AEECA1">
              <w:rPr>
                <w:rFonts w:eastAsia="Arial"/>
              </w:rPr>
              <w:t>)</w:t>
            </w:r>
          </w:p>
        </w:tc>
        <w:tc>
          <w:tcPr>
            <w:tcW w:w="1701" w:type="dxa"/>
          </w:tcPr>
          <w:p w14:paraId="3B58DE1E" w14:textId="77777777" w:rsidR="00222D72" w:rsidRDefault="00222D72" w:rsidP="003E09F6">
            <w:pPr>
              <w:pStyle w:val="ARtabletextright"/>
            </w:pPr>
            <w:r w:rsidRPr="7F2B2CEE">
              <w:t>146</w:t>
            </w:r>
          </w:p>
        </w:tc>
        <w:tc>
          <w:tcPr>
            <w:tcW w:w="1701" w:type="dxa"/>
          </w:tcPr>
          <w:p w14:paraId="5B4DFD2A" w14:textId="77777777" w:rsidR="00222D72" w:rsidRDefault="00222D72" w:rsidP="003E09F6">
            <w:pPr>
              <w:pStyle w:val="ARtabletextright"/>
            </w:pPr>
            <w:r w:rsidRPr="47AEECA1">
              <w:t>278</w:t>
            </w:r>
          </w:p>
        </w:tc>
        <w:tc>
          <w:tcPr>
            <w:tcW w:w="1701" w:type="dxa"/>
          </w:tcPr>
          <w:p w14:paraId="59F60D0C" w14:textId="77777777" w:rsidR="00222D72" w:rsidRDefault="00222D72" w:rsidP="003E09F6">
            <w:pPr>
              <w:pStyle w:val="ARtabletextright"/>
            </w:pPr>
            <w:r w:rsidRPr="47AEECA1">
              <w:t>461.2</w:t>
            </w:r>
          </w:p>
        </w:tc>
      </w:tr>
    </w:tbl>
    <w:p w14:paraId="1A3B4909" w14:textId="74E00191" w:rsidR="00222D72" w:rsidRPr="003D5E1A" w:rsidRDefault="00222D72" w:rsidP="004C7BEF">
      <w:pPr>
        <w:pStyle w:val="ARtablefootnote"/>
      </w:pPr>
      <w:r>
        <w:t>Office</w:t>
      </w:r>
      <w:r w:rsidR="00A45EB8">
        <w:t>-</w:t>
      </w:r>
      <w:r>
        <w:t xml:space="preserve">based data for </w:t>
      </w:r>
      <w:r w:rsidR="006C15A9">
        <w:t>2021–22</w:t>
      </w:r>
      <w:r>
        <w:t xml:space="preserve"> </w:t>
      </w:r>
      <w:r w:rsidR="009C6D78">
        <w:t xml:space="preserve">reflects </w:t>
      </w:r>
      <w:r>
        <w:t>the department</w:t>
      </w:r>
      <w:r w:rsidR="00961673">
        <w:t xml:space="preserve"> only</w:t>
      </w:r>
      <w:r>
        <w:t xml:space="preserve">. Previous years’ data, which reflects the combined DFFH and department data, is available in the </w:t>
      </w:r>
      <w:r w:rsidR="006C15A9">
        <w:t>2020–21</w:t>
      </w:r>
      <w:r>
        <w:t xml:space="preserve"> reports.</w:t>
      </w:r>
    </w:p>
    <w:p w14:paraId="6F6DA73F" w14:textId="77777777" w:rsidR="00222D72" w:rsidRDefault="00222D72" w:rsidP="004C7BEF">
      <w:pPr>
        <w:pStyle w:val="ARtablefootnote"/>
        <w:rPr>
          <w:rFonts w:eastAsia="Arial" w:cs="Arial"/>
          <w:color w:val="000000" w:themeColor="text1"/>
        </w:rPr>
      </w:pPr>
      <w:r w:rsidRPr="4E7E9537">
        <w:rPr>
          <w:rFonts w:eastAsia="Arial" w:cs="Arial"/>
          <w:color w:val="000000" w:themeColor="text1"/>
        </w:rPr>
        <w:t>Office-based water use data includes estimates from the last quarter for 2020–21 due to some data being unavailable from water retailers at the time of reporting.</w:t>
      </w:r>
    </w:p>
    <w:p w14:paraId="28A199BB" w14:textId="77777777" w:rsidR="00400753" w:rsidRPr="00400753" w:rsidRDefault="00400753" w:rsidP="00400753">
      <w:pPr>
        <w:pStyle w:val="ARbody"/>
      </w:pPr>
      <w:r w:rsidRPr="00400753">
        <w:br w:type="page"/>
      </w:r>
    </w:p>
    <w:p w14:paraId="50E7B589" w14:textId="404B6D01" w:rsidR="00222D72" w:rsidRDefault="00222D72" w:rsidP="004C7BEF">
      <w:pPr>
        <w:pStyle w:val="Heading5"/>
        <w:rPr>
          <w:rFonts w:eastAsia="Arial" w:cs="Arial"/>
        </w:rPr>
      </w:pPr>
      <w:r w:rsidRPr="4FD7B79A">
        <w:rPr>
          <w:rFonts w:eastAsia="Arial" w:cs="Arial"/>
        </w:rPr>
        <w:t>Public health services</w:t>
      </w:r>
    </w:p>
    <w:tbl>
      <w:tblPr>
        <w:tblStyle w:val="TableGrid"/>
        <w:tblW w:w="9639" w:type="dxa"/>
        <w:tblLayout w:type="fixed"/>
        <w:tblLook w:val="06A0" w:firstRow="1" w:lastRow="0" w:firstColumn="1" w:lastColumn="0" w:noHBand="1" w:noVBand="1"/>
      </w:tblPr>
      <w:tblGrid>
        <w:gridCol w:w="4536"/>
        <w:gridCol w:w="1701"/>
        <w:gridCol w:w="1701"/>
        <w:gridCol w:w="1701"/>
      </w:tblGrid>
      <w:tr w:rsidR="00222D72" w14:paraId="336032E9" w14:textId="77777777" w:rsidTr="00B4472B">
        <w:trPr>
          <w:cnfStyle w:val="100000000000" w:firstRow="1" w:lastRow="0" w:firstColumn="0" w:lastColumn="0" w:oddVBand="0" w:evenVBand="0" w:oddHBand="0" w:evenHBand="0" w:firstRowFirstColumn="0" w:firstRowLastColumn="0" w:lastRowFirstColumn="0" w:lastRowLastColumn="0"/>
          <w:tblHeader/>
        </w:trPr>
        <w:tc>
          <w:tcPr>
            <w:tcW w:w="4536" w:type="dxa"/>
          </w:tcPr>
          <w:p w14:paraId="642C1665" w14:textId="77777777" w:rsidR="00222D72" w:rsidRDefault="00222D72" w:rsidP="004C7BEF">
            <w:pPr>
              <w:pStyle w:val="ARtablecolhead"/>
              <w:rPr>
                <w:rFonts w:eastAsia="Arial"/>
              </w:rPr>
            </w:pPr>
            <w:r w:rsidRPr="4E7E9537">
              <w:rPr>
                <w:rFonts w:eastAsia="Arial"/>
              </w:rPr>
              <w:t>Description</w:t>
            </w:r>
          </w:p>
        </w:tc>
        <w:tc>
          <w:tcPr>
            <w:tcW w:w="1701" w:type="dxa"/>
          </w:tcPr>
          <w:p w14:paraId="0A64016D" w14:textId="77777777" w:rsidR="00222D72" w:rsidRPr="00296D69" w:rsidRDefault="00222D72" w:rsidP="004C7BEF">
            <w:pPr>
              <w:pStyle w:val="ARtablecolheadright"/>
              <w:rPr>
                <w:rFonts w:eastAsia="Arial"/>
                <w:color w:val="000000" w:themeColor="text1"/>
              </w:rPr>
            </w:pPr>
            <w:r w:rsidRPr="4E7E9537">
              <w:rPr>
                <w:rFonts w:eastAsia="Arial"/>
                <w:color w:val="000000" w:themeColor="text1"/>
              </w:rPr>
              <w:t>2021–22 estimate</w:t>
            </w:r>
          </w:p>
        </w:tc>
        <w:tc>
          <w:tcPr>
            <w:tcW w:w="1701" w:type="dxa"/>
          </w:tcPr>
          <w:p w14:paraId="3997792E" w14:textId="77777777" w:rsidR="00222D72" w:rsidRPr="00BF4A43" w:rsidRDefault="00222D72" w:rsidP="004C7BEF">
            <w:pPr>
              <w:pStyle w:val="ARtablecolheadright"/>
              <w:rPr>
                <w:rFonts w:eastAsia="Arial"/>
                <w:color w:val="000000" w:themeColor="text1"/>
              </w:rPr>
            </w:pPr>
            <w:r w:rsidRPr="4E7E9537">
              <w:rPr>
                <w:rFonts w:eastAsia="Arial"/>
                <w:color w:val="000000" w:themeColor="text1"/>
              </w:rPr>
              <w:t>2020–21 estimate</w:t>
            </w:r>
          </w:p>
        </w:tc>
        <w:tc>
          <w:tcPr>
            <w:tcW w:w="1701" w:type="dxa"/>
          </w:tcPr>
          <w:p w14:paraId="0310B79A" w14:textId="77777777" w:rsidR="00222D72" w:rsidRPr="00BF4A43" w:rsidRDefault="00222D72" w:rsidP="004C7BEF">
            <w:pPr>
              <w:pStyle w:val="ARtablecolheadright"/>
              <w:rPr>
                <w:rFonts w:eastAsia="Arial"/>
                <w:color w:val="000000" w:themeColor="text1"/>
              </w:rPr>
            </w:pPr>
            <w:r w:rsidRPr="4E7E9537">
              <w:rPr>
                <w:rFonts w:eastAsia="Arial"/>
                <w:color w:val="000000" w:themeColor="text1"/>
              </w:rPr>
              <w:t>2019–20 estimate</w:t>
            </w:r>
          </w:p>
        </w:tc>
      </w:tr>
      <w:tr w:rsidR="00222D72" w14:paraId="197CD79C" w14:textId="77777777" w:rsidTr="00473FA0">
        <w:trPr>
          <w:cantSplit w:val="0"/>
        </w:trPr>
        <w:tc>
          <w:tcPr>
            <w:tcW w:w="4536" w:type="dxa"/>
          </w:tcPr>
          <w:p w14:paraId="0C8DF5AF" w14:textId="77777777" w:rsidR="00222D72" w:rsidRDefault="00222D72" w:rsidP="004C7BEF">
            <w:pPr>
              <w:pStyle w:val="ARtabletext"/>
              <w:rPr>
                <w:rFonts w:eastAsia="Arial"/>
              </w:rPr>
            </w:pPr>
            <w:r w:rsidRPr="4E7E9537">
              <w:rPr>
                <w:rFonts w:eastAsia="Arial"/>
              </w:rPr>
              <w:t>Total water used (megalitres)</w:t>
            </w:r>
          </w:p>
        </w:tc>
        <w:tc>
          <w:tcPr>
            <w:tcW w:w="1701" w:type="dxa"/>
          </w:tcPr>
          <w:p w14:paraId="3D16E74F" w14:textId="77777777" w:rsidR="00222D72" w:rsidRPr="00C247C9" w:rsidRDefault="00222D72" w:rsidP="003E09F6">
            <w:pPr>
              <w:pStyle w:val="ARtabletextright"/>
            </w:pPr>
            <w:r w:rsidRPr="4E7E9537">
              <w:t>4,087</w:t>
            </w:r>
          </w:p>
        </w:tc>
        <w:tc>
          <w:tcPr>
            <w:tcW w:w="1701" w:type="dxa"/>
          </w:tcPr>
          <w:p w14:paraId="32B48609" w14:textId="77777777" w:rsidR="00222D72" w:rsidRPr="00C247C9" w:rsidRDefault="00222D72" w:rsidP="003E09F6">
            <w:pPr>
              <w:pStyle w:val="ARtabletextright"/>
            </w:pPr>
            <w:r w:rsidRPr="4E7E9537">
              <w:t>4,325</w:t>
            </w:r>
          </w:p>
        </w:tc>
        <w:tc>
          <w:tcPr>
            <w:tcW w:w="1701" w:type="dxa"/>
          </w:tcPr>
          <w:p w14:paraId="5286D3EC" w14:textId="77777777" w:rsidR="00222D72" w:rsidRPr="00C247C9" w:rsidRDefault="00222D72" w:rsidP="003E09F6">
            <w:pPr>
              <w:pStyle w:val="ARtabletextright"/>
            </w:pPr>
            <w:r w:rsidRPr="4E7E9537">
              <w:t>4,579</w:t>
            </w:r>
          </w:p>
        </w:tc>
      </w:tr>
      <w:tr w:rsidR="00222D72" w14:paraId="772DA8CB" w14:textId="77777777" w:rsidTr="00473FA0">
        <w:trPr>
          <w:cantSplit w:val="0"/>
        </w:trPr>
        <w:tc>
          <w:tcPr>
            <w:tcW w:w="4536" w:type="dxa"/>
          </w:tcPr>
          <w:p w14:paraId="65682B19" w14:textId="77777777" w:rsidR="00222D72" w:rsidRDefault="00222D72" w:rsidP="004C7BEF">
            <w:pPr>
              <w:pStyle w:val="ARtabletext"/>
              <w:rPr>
                <w:rFonts w:eastAsia="Arial"/>
              </w:rPr>
            </w:pPr>
            <w:r w:rsidRPr="4E7E9537">
              <w:rPr>
                <w:rFonts w:eastAsia="Arial"/>
              </w:rPr>
              <w:t>Total water usage charge ($ million)</w:t>
            </w:r>
          </w:p>
        </w:tc>
        <w:tc>
          <w:tcPr>
            <w:tcW w:w="1701" w:type="dxa"/>
          </w:tcPr>
          <w:p w14:paraId="684A5D75" w14:textId="77777777" w:rsidR="00222D72" w:rsidRPr="00C247C9" w:rsidRDefault="00222D72" w:rsidP="003E09F6">
            <w:pPr>
              <w:pStyle w:val="ARtabletextright"/>
            </w:pPr>
            <w:r w:rsidRPr="4E7E9537">
              <w:t>$18.40</w:t>
            </w:r>
          </w:p>
        </w:tc>
        <w:tc>
          <w:tcPr>
            <w:tcW w:w="1701" w:type="dxa"/>
          </w:tcPr>
          <w:p w14:paraId="07F0499E" w14:textId="77777777" w:rsidR="00222D72" w:rsidRPr="00C247C9" w:rsidRDefault="00222D72" w:rsidP="003E09F6">
            <w:pPr>
              <w:pStyle w:val="ARtabletextright"/>
            </w:pPr>
            <w:r w:rsidRPr="4E7E9537">
              <w:t>$18.68</w:t>
            </w:r>
          </w:p>
        </w:tc>
        <w:tc>
          <w:tcPr>
            <w:tcW w:w="1701" w:type="dxa"/>
          </w:tcPr>
          <w:p w14:paraId="2844EC65" w14:textId="77777777" w:rsidR="00222D72" w:rsidRPr="00C247C9" w:rsidRDefault="00222D72" w:rsidP="003E09F6">
            <w:pPr>
              <w:pStyle w:val="ARtabletextright"/>
            </w:pPr>
            <w:r w:rsidRPr="4E7E9537">
              <w:t>$19.05</w:t>
            </w:r>
          </w:p>
        </w:tc>
      </w:tr>
      <w:tr w:rsidR="00222D72" w14:paraId="56C0C88F" w14:textId="77777777" w:rsidTr="00473FA0">
        <w:trPr>
          <w:cantSplit w:val="0"/>
        </w:trPr>
        <w:tc>
          <w:tcPr>
            <w:tcW w:w="4536" w:type="dxa"/>
          </w:tcPr>
          <w:p w14:paraId="2DB1663D" w14:textId="77777777" w:rsidR="00222D72" w:rsidRDefault="00222D72" w:rsidP="004C7BEF">
            <w:pPr>
              <w:pStyle w:val="ARtabletext"/>
              <w:rPr>
                <w:rFonts w:eastAsia="Arial"/>
              </w:rPr>
            </w:pPr>
            <w:r w:rsidRPr="4E7E9537">
              <w:rPr>
                <w:rFonts w:eastAsia="Arial"/>
              </w:rPr>
              <w:t>Water used per separation (kilolitres/separation)</w:t>
            </w:r>
          </w:p>
        </w:tc>
        <w:tc>
          <w:tcPr>
            <w:tcW w:w="1701" w:type="dxa"/>
          </w:tcPr>
          <w:p w14:paraId="09ABFA9F" w14:textId="77777777" w:rsidR="00222D72" w:rsidRPr="00C247C9" w:rsidRDefault="00222D72" w:rsidP="003E09F6">
            <w:pPr>
              <w:pStyle w:val="ARtabletextright"/>
            </w:pPr>
            <w:r w:rsidRPr="4E7E9537">
              <w:t>2.13</w:t>
            </w:r>
          </w:p>
        </w:tc>
        <w:tc>
          <w:tcPr>
            <w:tcW w:w="1701" w:type="dxa"/>
          </w:tcPr>
          <w:p w14:paraId="25BA4BAD" w14:textId="77777777" w:rsidR="00222D72" w:rsidRPr="00C247C9" w:rsidRDefault="00222D72" w:rsidP="003E09F6">
            <w:pPr>
              <w:pStyle w:val="ARtabletextright"/>
            </w:pPr>
            <w:r w:rsidRPr="4E7E9537">
              <w:t>2.30</w:t>
            </w:r>
          </w:p>
        </w:tc>
        <w:tc>
          <w:tcPr>
            <w:tcW w:w="1701" w:type="dxa"/>
          </w:tcPr>
          <w:p w14:paraId="76F6023D" w14:textId="77777777" w:rsidR="00222D72" w:rsidRPr="00C247C9" w:rsidRDefault="00222D72" w:rsidP="003E09F6">
            <w:pPr>
              <w:pStyle w:val="ARtabletextright"/>
            </w:pPr>
            <w:r w:rsidRPr="4E7E9537">
              <w:t>2.46</w:t>
            </w:r>
          </w:p>
        </w:tc>
      </w:tr>
      <w:tr w:rsidR="00222D72" w14:paraId="452E0F54" w14:textId="77777777" w:rsidTr="00473FA0">
        <w:trPr>
          <w:cantSplit w:val="0"/>
        </w:trPr>
        <w:tc>
          <w:tcPr>
            <w:tcW w:w="4536" w:type="dxa"/>
          </w:tcPr>
          <w:p w14:paraId="3CDAED17" w14:textId="77777777" w:rsidR="00222D72" w:rsidRDefault="00222D72" w:rsidP="004C7BEF">
            <w:pPr>
              <w:pStyle w:val="ARtabletext"/>
              <w:rPr>
                <w:rFonts w:eastAsia="Arial"/>
              </w:rPr>
            </w:pPr>
            <w:r w:rsidRPr="4E7E9537">
              <w:rPr>
                <w:rFonts w:eastAsia="Arial"/>
              </w:rPr>
              <w:t>Water used per bed day (kilolitres/bed day)</w:t>
            </w:r>
          </w:p>
        </w:tc>
        <w:tc>
          <w:tcPr>
            <w:tcW w:w="1701" w:type="dxa"/>
          </w:tcPr>
          <w:p w14:paraId="35C66EB6" w14:textId="77777777" w:rsidR="00222D72" w:rsidRPr="00C247C9" w:rsidRDefault="00222D72" w:rsidP="003E09F6">
            <w:pPr>
              <w:pStyle w:val="ARtabletextright"/>
            </w:pPr>
            <w:r w:rsidRPr="4E7E9537">
              <w:t>0.58</w:t>
            </w:r>
          </w:p>
        </w:tc>
        <w:tc>
          <w:tcPr>
            <w:tcW w:w="1701" w:type="dxa"/>
          </w:tcPr>
          <w:p w14:paraId="1892106A" w14:textId="77777777" w:rsidR="00222D72" w:rsidRPr="00C247C9" w:rsidRDefault="00222D72" w:rsidP="003E09F6">
            <w:pPr>
              <w:pStyle w:val="ARtabletextright"/>
            </w:pPr>
            <w:r w:rsidRPr="4E7E9537">
              <w:t>0.63</w:t>
            </w:r>
          </w:p>
        </w:tc>
        <w:tc>
          <w:tcPr>
            <w:tcW w:w="1701" w:type="dxa"/>
          </w:tcPr>
          <w:p w14:paraId="368C733F" w14:textId="77777777" w:rsidR="00222D72" w:rsidRPr="00C247C9" w:rsidRDefault="00222D72" w:rsidP="003E09F6">
            <w:pPr>
              <w:pStyle w:val="ARtabletextright"/>
            </w:pPr>
            <w:r w:rsidRPr="4E7E9537">
              <w:t>0.66</w:t>
            </w:r>
          </w:p>
        </w:tc>
      </w:tr>
      <w:tr w:rsidR="00222D72" w14:paraId="77AA9931" w14:textId="77777777" w:rsidTr="00473FA0">
        <w:trPr>
          <w:cantSplit w:val="0"/>
        </w:trPr>
        <w:tc>
          <w:tcPr>
            <w:tcW w:w="4536" w:type="dxa"/>
          </w:tcPr>
          <w:p w14:paraId="130EE262" w14:textId="1F6EAEB3" w:rsidR="00222D72" w:rsidRDefault="00222D72" w:rsidP="004C7BEF">
            <w:pPr>
              <w:pStyle w:val="ARtabletext"/>
              <w:rPr>
                <w:rFonts w:eastAsia="Arial"/>
              </w:rPr>
            </w:pPr>
            <w:r w:rsidRPr="4E7E9537">
              <w:rPr>
                <w:rFonts w:eastAsia="Arial"/>
              </w:rPr>
              <w:t>Water used per unit of floor space (kilolitres/m</w:t>
            </w:r>
            <w:r w:rsidR="006E2B00" w:rsidRPr="006E2B00">
              <w:rPr>
                <w:rStyle w:val="Superscript"/>
              </w:rPr>
              <w:t>2</w:t>
            </w:r>
            <w:r w:rsidRPr="4E7E9537">
              <w:rPr>
                <w:rFonts w:eastAsia="Arial"/>
              </w:rPr>
              <w:t>)</w:t>
            </w:r>
          </w:p>
        </w:tc>
        <w:tc>
          <w:tcPr>
            <w:tcW w:w="1701" w:type="dxa"/>
          </w:tcPr>
          <w:p w14:paraId="3D0F8D6A" w14:textId="77777777" w:rsidR="00222D72" w:rsidRPr="00C247C9" w:rsidRDefault="00222D72" w:rsidP="003E09F6">
            <w:pPr>
              <w:pStyle w:val="ARtabletextright"/>
            </w:pPr>
            <w:r w:rsidRPr="4E7E9537">
              <w:t>1.11</w:t>
            </w:r>
          </w:p>
        </w:tc>
        <w:tc>
          <w:tcPr>
            <w:tcW w:w="1701" w:type="dxa"/>
          </w:tcPr>
          <w:p w14:paraId="18B0DDBF" w14:textId="77777777" w:rsidR="00222D72" w:rsidRPr="00C247C9" w:rsidRDefault="00222D72" w:rsidP="003E09F6">
            <w:pPr>
              <w:pStyle w:val="ARtabletextright"/>
            </w:pPr>
            <w:r w:rsidRPr="4E7E9537">
              <w:t>1.17</w:t>
            </w:r>
          </w:p>
        </w:tc>
        <w:tc>
          <w:tcPr>
            <w:tcW w:w="1701" w:type="dxa"/>
          </w:tcPr>
          <w:p w14:paraId="5437B1BE" w14:textId="77777777" w:rsidR="00222D72" w:rsidRPr="00C247C9" w:rsidRDefault="00222D72" w:rsidP="003E09F6">
            <w:pPr>
              <w:pStyle w:val="ARtabletextright"/>
            </w:pPr>
            <w:r w:rsidRPr="4E7E9537">
              <w:t>1.25</w:t>
            </w:r>
          </w:p>
        </w:tc>
      </w:tr>
    </w:tbl>
    <w:p w14:paraId="66C3DE77" w14:textId="77777777" w:rsidR="00222D72" w:rsidRDefault="00222D72" w:rsidP="004C7BEF">
      <w:pPr>
        <w:pStyle w:val="ARtablefootnote"/>
        <w:rPr>
          <w:rFonts w:eastAsia="Arial" w:cs="Arial"/>
          <w:color w:val="000000" w:themeColor="text1"/>
        </w:rPr>
      </w:pPr>
      <w:r w:rsidRPr="4E7E9537">
        <w:rPr>
          <w:rFonts w:eastAsia="Arial" w:cs="Arial"/>
          <w:color w:val="000000" w:themeColor="text1"/>
        </w:rPr>
        <w:t>Public health services are GST-exempt organisations. Reported cost data for public health services is exclusive of GST.</w:t>
      </w:r>
    </w:p>
    <w:p w14:paraId="033A6A34" w14:textId="3418C9DA" w:rsidR="00222D72" w:rsidRDefault="00222D72" w:rsidP="004C7BEF">
      <w:pPr>
        <w:pStyle w:val="ARtablefootnote"/>
        <w:rPr>
          <w:rFonts w:eastAsia="Arial" w:cs="Arial"/>
          <w:color w:val="000000" w:themeColor="text1"/>
        </w:rPr>
      </w:pPr>
      <w:r w:rsidRPr="4E7E9537">
        <w:rPr>
          <w:rFonts w:eastAsia="Arial" w:cs="Arial"/>
          <w:color w:val="000000" w:themeColor="text1"/>
        </w:rPr>
        <w:t xml:space="preserve">Public health service water data includes an </w:t>
      </w:r>
      <w:r w:rsidR="00A45EB8">
        <w:rPr>
          <w:rFonts w:eastAsia="Arial" w:cs="Arial"/>
          <w:color w:val="000000" w:themeColor="text1"/>
        </w:rPr>
        <w:t>11</w:t>
      </w:r>
      <w:r w:rsidR="00A45EB8" w:rsidRPr="4E7E9537">
        <w:rPr>
          <w:rFonts w:eastAsia="Arial" w:cs="Arial"/>
          <w:color w:val="000000" w:themeColor="text1"/>
        </w:rPr>
        <w:t xml:space="preserve"> </w:t>
      </w:r>
      <w:r w:rsidRPr="4E7E9537">
        <w:rPr>
          <w:rFonts w:eastAsia="Arial" w:cs="Arial"/>
          <w:color w:val="000000" w:themeColor="text1"/>
        </w:rPr>
        <w:t>per cent estimate in 2021–22 due to some data being unavailable from water authorities at the time of reporting.</w:t>
      </w:r>
    </w:p>
    <w:p w14:paraId="730900BD" w14:textId="77777777" w:rsidR="00222D72" w:rsidRDefault="00222D72" w:rsidP="004C7BEF">
      <w:pPr>
        <w:pStyle w:val="Heading4"/>
        <w:rPr>
          <w:rFonts w:eastAsia="Arial"/>
        </w:rPr>
      </w:pPr>
      <w:r w:rsidRPr="47AEECA1">
        <w:rPr>
          <w:rFonts w:eastAsia="Arial"/>
        </w:rPr>
        <w:t>Waste production</w:t>
      </w:r>
    </w:p>
    <w:p w14:paraId="3B6E472D" w14:textId="77777777" w:rsidR="00222D72" w:rsidRDefault="00222D72" w:rsidP="008B5BD3">
      <w:pPr>
        <w:pStyle w:val="Heading5"/>
        <w:spacing w:before="120"/>
        <w:rPr>
          <w:rFonts w:eastAsia="Arial" w:cs="Arial"/>
          <w:bCs/>
          <w:szCs w:val="22"/>
        </w:rPr>
      </w:pPr>
      <w:r w:rsidRPr="47AEECA1">
        <w:rPr>
          <w:rFonts w:eastAsia="Arial" w:cs="Arial"/>
          <w:bCs/>
          <w:szCs w:val="22"/>
        </w:rPr>
        <w:t>Office-based</w:t>
      </w:r>
    </w:p>
    <w:tbl>
      <w:tblPr>
        <w:tblStyle w:val="TableGrid"/>
        <w:tblW w:w="9639" w:type="dxa"/>
        <w:tblLayout w:type="fixed"/>
        <w:tblLook w:val="06A0" w:firstRow="1" w:lastRow="0" w:firstColumn="1" w:lastColumn="0" w:noHBand="1" w:noVBand="1"/>
      </w:tblPr>
      <w:tblGrid>
        <w:gridCol w:w="4536"/>
        <w:gridCol w:w="1701"/>
        <w:gridCol w:w="1701"/>
        <w:gridCol w:w="1701"/>
      </w:tblGrid>
      <w:tr w:rsidR="00222D72" w14:paraId="2B20787B" w14:textId="77777777" w:rsidTr="00B4472B">
        <w:trPr>
          <w:cnfStyle w:val="100000000000" w:firstRow="1" w:lastRow="0" w:firstColumn="0" w:lastColumn="0" w:oddVBand="0" w:evenVBand="0" w:oddHBand="0" w:evenHBand="0" w:firstRowFirstColumn="0" w:firstRowLastColumn="0" w:lastRowFirstColumn="0" w:lastRowLastColumn="0"/>
          <w:trHeight w:val="270"/>
          <w:tblHeader/>
        </w:trPr>
        <w:tc>
          <w:tcPr>
            <w:tcW w:w="4536" w:type="dxa"/>
          </w:tcPr>
          <w:p w14:paraId="10AD6523" w14:textId="77777777" w:rsidR="00222D72" w:rsidRDefault="00222D72" w:rsidP="004C7BEF">
            <w:pPr>
              <w:pStyle w:val="ARtablecolhead"/>
              <w:rPr>
                <w:rFonts w:eastAsia="Arial"/>
                <w:bCs/>
              </w:rPr>
            </w:pPr>
            <w:r w:rsidRPr="47AEECA1">
              <w:rPr>
                <w:rFonts w:eastAsia="Arial"/>
                <w:bCs/>
              </w:rPr>
              <w:t>Description</w:t>
            </w:r>
          </w:p>
        </w:tc>
        <w:tc>
          <w:tcPr>
            <w:tcW w:w="1701" w:type="dxa"/>
          </w:tcPr>
          <w:p w14:paraId="670DB6BF"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2021–22 estimate</w:t>
            </w:r>
          </w:p>
        </w:tc>
        <w:tc>
          <w:tcPr>
            <w:tcW w:w="1701" w:type="dxa"/>
          </w:tcPr>
          <w:p w14:paraId="14289EB9"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2020–21 estimate</w:t>
            </w:r>
          </w:p>
        </w:tc>
        <w:tc>
          <w:tcPr>
            <w:tcW w:w="1701" w:type="dxa"/>
          </w:tcPr>
          <w:p w14:paraId="755DD0CE"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2019–20 estimate</w:t>
            </w:r>
          </w:p>
        </w:tc>
      </w:tr>
      <w:tr w:rsidR="00222D72" w14:paraId="47B2BEB7" w14:textId="77777777" w:rsidTr="00B4472B">
        <w:trPr>
          <w:cnfStyle w:val="100000000000" w:firstRow="1" w:lastRow="0" w:firstColumn="0" w:lastColumn="0" w:oddVBand="0" w:evenVBand="0" w:oddHBand="0" w:evenHBand="0" w:firstRowFirstColumn="0" w:firstRowLastColumn="0" w:lastRowFirstColumn="0" w:lastRowLastColumn="0"/>
          <w:trHeight w:val="270"/>
          <w:tblHeader/>
        </w:trPr>
        <w:tc>
          <w:tcPr>
            <w:tcW w:w="4536" w:type="dxa"/>
          </w:tcPr>
          <w:p w14:paraId="17BAD416" w14:textId="77777777" w:rsidR="00222D72" w:rsidRDefault="00222D72" w:rsidP="004C7BEF">
            <w:pPr>
              <w:pStyle w:val="ARtablecolhead"/>
              <w:rPr>
                <w:rFonts w:eastAsia="Arial"/>
                <w:bCs/>
              </w:rPr>
            </w:pPr>
            <w:r w:rsidRPr="47AEECA1">
              <w:rPr>
                <w:rFonts w:eastAsia="Arial"/>
                <w:bCs/>
              </w:rPr>
              <w:t>Total units of waste disposed of by destination</w:t>
            </w:r>
          </w:p>
        </w:tc>
        <w:tc>
          <w:tcPr>
            <w:tcW w:w="1701" w:type="dxa"/>
          </w:tcPr>
          <w:p w14:paraId="75671BD1" w14:textId="77777777" w:rsidR="00222D72" w:rsidRDefault="00222D72" w:rsidP="004C7BEF">
            <w:pPr>
              <w:pStyle w:val="ARtablecolheadright"/>
              <w:rPr>
                <w:rFonts w:eastAsia="Arial"/>
                <w:bCs/>
              </w:rPr>
            </w:pPr>
            <w:r w:rsidRPr="47AEECA1">
              <w:rPr>
                <w:rFonts w:eastAsia="Arial"/>
                <w:bCs/>
              </w:rPr>
              <w:t>Kilograms/year</w:t>
            </w:r>
          </w:p>
        </w:tc>
        <w:tc>
          <w:tcPr>
            <w:tcW w:w="1701" w:type="dxa"/>
          </w:tcPr>
          <w:p w14:paraId="0FA31A3D" w14:textId="77777777" w:rsidR="00222D72" w:rsidRDefault="00222D72" w:rsidP="004C7BEF">
            <w:pPr>
              <w:pStyle w:val="ARtablecolheadright"/>
              <w:rPr>
                <w:rFonts w:eastAsia="Arial"/>
                <w:bCs/>
              </w:rPr>
            </w:pPr>
            <w:r w:rsidRPr="47AEECA1">
              <w:rPr>
                <w:rFonts w:eastAsia="Arial"/>
                <w:bCs/>
              </w:rPr>
              <w:t>Kilograms/year</w:t>
            </w:r>
          </w:p>
        </w:tc>
        <w:tc>
          <w:tcPr>
            <w:tcW w:w="1701" w:type="dxa"/>
          </w:tcPr>
          <w:p w14:paraId="7F324CA1" w14:textId="77777777" w:rsidR="00222D72" w:rsidRDefault="00222D72" w:rsidP="004C7BEF">
            <w:pPr>
              <w:pStyle w:val="ARtablecolheadright"/>
              <w:rPr>
                <w:rFonts w:eastAsia="Arial"/>
                <w:bCs/>
              </w:rPr>
            </w:pPr>
            <w:r w:rsidRPr="47AEECA1">
              <w:rPr>
                <w:rFonts w:eastAsia="Arial"/>
                <w:bCs/>
              </w:rPr>
              <w:t>Kilograms/year</w:t>
            </w:r>
          </w:p>
        </w:tc>
      </w:tr>
      <w:tr w:rsidR="00222D72" w14:paraId="54808F36" w14:textId="77777777" w:rsidTr="00B4472B">
        <w:trPr>
          <w:trHeight w:val="270"/>
        </w:trPr>
        <w:tc>
          <w:tcPr>
            <w:tcW w:w="4536" w:type="dxa"/>
          </w:tcPr>
          <w:p w14:paraId="2F4B407B" w14:textId="77777777" w:rsidR="00222D72" w:rsidRDefault="00222D72" w:rsidP="004C7BEF">
            <w:pPr>
              <w:pStyle w:val="ARtabletext"/>
              <w:rPr>
                <w:rFonts w:eastAsia="Arial"/>
              </w:rPr>
            </w:pPr>
            <w:r w:rsidRPr="47AEECA1">
              <w:rPr>
                <w:rFonts w:eastAsia="Arial"/>
              </w:rPr>
              <w:t>Landfill</w:t>
            </w:r>
          </w:p>
        </w:tc>
        <w:tc>
          <w:tcPr>
            <w:tcW w:w="1701" w:type="dxa"/>
          </w:tcPr>
          <w:p w14:paraId="74F58BE4" w14:textId="77777777" w:rsidR="00222D72" w:rsidRDefault="00222D72" w:rsidP="003E09F6">
            <w:pPr>
              <w:pStyle w:val="ARtabletextright"/>
            </w:pPr>
            <w:r w:rsidRPr="4E7E9537">
              <w:t>16,421</w:t>
            </w:r>
          </w:p>
        </w:tc>
        <w:tc>
          <w:tcPr>
            <w:tcW w:w="1701" w:type="dxa"/>
          </w:tcPr>
          <w:p w14:paraId="0B04A889" w14:textId="77777777" w:rsidR="00222D72" w:rsidRDefault="00222D72" w:rsidP="003E09F6">
            <w:pPr>
              <w:pStyle w:val="ARtabletextright"/>
            </w:pPr>
            <w:r w:rsidRPr="47AEECA1">
              <w:t>N/A</w:t>
            </w:r>
          </w:p>
        </w:tc>
        <w:tc>
          <w:tcPr>
            <w:tcW w:w="1701" w:type="dxa"/>
          </w:tcPr>
          <w:p w14:paraId="4CC2493D" w14:textId="77777777" w:rsidR="00222D72" w:rsidRDefault="00222D72" w:rsidP="003E09F6">
            <w:pPr>
              <w:pStyle w:val="ARtabletextright"/>
            </w:pPr>
            <w:r w:rsidRPr="47AEECA1">
              <w:t>N/A</w:t>
            </w:r>
          </w:p>
        </w:tc>
      </w:tr>
      <w:tr w:rsidR="00222D72" w14:paraId="1BA5ECAF" w14:textId="77777777" w:rsidTr="00B4472B">
        <w:trPr>
          <w:trHeight w:val="270"/>
        </w:trPr>
        <w:tc>
          <w:tcPr>
            <w:tcW w:w="4536" w:type="dxa"/>
          </w:tcPr>
          <w:p w14:paraId="6302F397" w14:textId="77777777" w:rsidR="00222D72" w:rsidRDefault="00222D72" w:rsidP="004C7BEF">
            <w:pPr>
              <w:pStyle w:val="ARtabletext"/>
              <w:rPr>
                <w:rFonts w:eastAsia="Arial"/>
              </w:rPr>
            </w:pPr>
            <w:r w:rsidRPr="47AEECA1">
              <w:rPr>
                <w:rFonts w:eastAsia="Arial"/>
              </w:rPr>
              <w:t>Recycling</w:t>
            </w:r>
          </w:p>
        </w:tc>
        <w:tc>
          <w:tcPr>
            <w:tcW w:w="1701" w:type="dxa"/>
          </w:tcPr>
          <w:p w14:paraId="0347D40E" w14:textId="77777777" w:rsidR="00222D72" w:rsidRDefault="00222D72" w:rsidP="003E09F6">
            <w:pPr>
              <w:pStyle w:val="ARtabletextright"/>
            </w:pPr>
            <w:r w:rsidRPr="4E7E9537">
              <w:t>17,716</w:t>
            </w:r>
          </w:p>
        </w:tc>
        <w:tc>
          <w:tcPr>
            <w:tcW w:w="1701" w:type="dxa"/>
          </w:tcPr>
          <w:p w14:paraId="759EDBA6" w14:textId="77777777" w:rsidR="00222D72" w:rsidRDefault="00222D72" w:rsidP="003E09F6">
            <w:pPr>
              <w:pStyle w:val="ARtabletextright"/>
            </w:pPr>
            <w:r w:rsidRPr="47AEECA1">
              <w:t>N/A</w:t>
            </w:r>
          </w:p>
        </w:tc>
        <w:tc>
          <w:tcPr>
            <w:tcW w:w="1701" w:type="dxa"/>
          </w:tcPr>
          <w:p w14:paraId="6A5D62D8" w14:textId="77777777" w:rsidR="00222D72" w:rsidRDefault="00222D72" w:rsidP="003E09F6">
            <w:pPr>
              <w:pStyle w:val="ARtabletextright"/>
            </w:pPr>
            <w:r w:rsidRPr="47AEECA1">
              <w:t>N/A</w:t>
            </w:r>
          </w:p>
        </w:tc>
      </w:tr>
      <w:tr w:rsidR="00222D72" w14:paraId="499FAB36" w14:textId="77777777" w:rsidTr="00B4472B">
        <w:trPr>
          <w:trHeight w:val="270"/>
        </w:trPr>
        <w:tc>
          <w:tcPr>
            <w:tcW w:w="4536" w:type="dxa"/>
          </w:tcPr>
          <w:p w14:paraId="4775C4D9" w14:textId="77777777" w:rsidR="00222D72" w:rsidRDefault="00222D72" w:rsidP="004C7BEF">
            <w:pPr>
              <w:pStyle w:val="ARtabletext"/>
              <w:rPr>
                <w:rFonts w:eastAsia="Arial"/>
              </w:rPr>
            </w:pPr>
            <w:r w:rsidRPr="47AEECA1">
              <w:rPr>
                <w:rFonts w:eastAsia="Arial"/>
              </w:rPr>
              <w:t>Compost</w:t>
            </w:r>
          </w:p>
        </w:tc>
        <w:tc>
          <w:tcPr>
            <w:tcW w:w="1701" w:type="dxa"/>
          </w:tcPr>
          <w:p w14:paraId="0C0D996B" w14:textId="77777777" w:rsidR="00222D72" w:rsidRDefault="00222D72" w:rsidP="003E09F6">
            <w:pPr>
              <w:pStyle w:val="ARtabletextright"/>
            </w:pPr>
            <w:r w:rsidRPr="4E7E9537">
              <w:t>303</w:t>
            </w:r>
          </w:p>
        </w:tc>
        <w:tc>
          <w:tcPr>
            <w:tcW w:w="1701" w:type="dxa"/>
          </w:tcPr>
          <w:p w14:paraId="00C35685" w14:textId="77777777" w:rsidR="00222D72" w:rsidRDefault="00222D72" w:rsidP="003E09F6">
            <w:pPr>
              <w:pStyle w:val="ARtabletextright"/>
            </w:pPr>
            <w:r w:rsidRPr="47AEECA1">
              <w:t>N/A</w:t>
            </w:r>
          </w:p>
        </w:tc>
        <w:tc>
          <w:tcPr>
            <w:tcW w:w="1701" w:type="dxa"/>
          </w:tcPr>
          <w:p w14:paraId="60DAEC14" w14:textId="77777777" w:rsidR="00222D72" w:rsidRDefault="00222D72" w:rsidP="003E09F6">
            <w:pPr>
              <w:pStyle w:val="ARtabletextright"/>
            </w:pPr>
            <w:r w:rsidRPr="47AEECA1">
              <w:t>N/A</w:t>
            </w:r>
          </w:p>
        </w:tc>
      </w:tr>
      <w:tr w:rsidR="00222D72" w14:paraId="4EEAA3DB" w14:textId="77777777" w:rsidTr="00B4472B">
        <w:trPr>
          <w:trHeight w:val="270"/>
        </w:trPr>
        <w:tc>
          <w:tcPr>
            <w:tcW w:w="4536" w:type="dxa"/>
          </w:tcPr>
          <w:p w14:paraId="0D7803CC" w14:textId="77777777" w:rsidR="00222D72" w:rsidRDefault="00222D72" w:rsidP="004C7BEF">
            <w:pPr>
              <w:pStyle w:val="ARtabletext"/>
              <w:rPr>
                <w:rFonts w:eastAsia="Arial"/>
              </w:rPr>
            </w:pPr>
            <w:r w:rsidRPr="4E7E9537">
              <w:rPr>
                <w:rFonts w:eastAsia="Arial"/>
                <w:b/>
                <w:bCs/>
              </w:rPr>
              <w:t>Total</w:t>
            </w:r>
          </w:p>
        </w:tc>
        <w:tc>
          <w:tcPr>
            <w:tcW w:w="1701" w:type="dxa"/>
          </w:tcPr>
          <w:p w14:paraId="50366008" w14:textId="77777777" w:rsidR="00222D72" w:rsidRDefault="00222D72" w:rsidP="009E7701">
            <w:pPr>
              <w:pStyle w:val="ARtabletextrightbold"/>
            </w:pPr>
            <w:r w:rsidRPr="4E7E9537">
              <w:t>34,440</w:t>
            </w:r>
          </w:p>
        </w:tc>
        <w:tc>
          <w:tcPr>
            <w:tcW w:w="1701" w:type="dxa"/>
          </w:tcPr>
          <w:p w14:paraId="510EF237" w14:textId="77777777" w:rsidR="00222D72" w:rsidRDefault="00222D72" w:rsidP="009E7701">
            <w:pPr>
              <w:pStyle w:val="ARtabletextrightbold"/>
            </w:pPr>
            <w:r w:rsidRPr="4E7E9537">
              <w:t>N/A</w:t>
            </w:r>
          </w:p>
        </w:tc>
        <w:tc>
          <w:tcPr>
            <w:tcW w:w="1701" w:type="dxa"/>
          </w:tcPr>
          <w:p w14:paraId="456F039E" w14:textId="77777777" w:rsidR="00222D72" w:rsidRDefault="00222D72" w:rsidP="009E7701">
            <w:pPr>
              <w:pStyle w:val="ARtabletextrightbold"/>
              <w:rPr>
                <w:bCs/>
              </w:rPr>
            </w:pPr>
            <w:r w:rsidRPr="47AEECA1">
              <w:rPr>
                <w:bCs/>
              </w:rPr>
              <w:t>N/A</w:t>
            </w:r>
          </w:p>
        </w:tc>
      </w:tr>
    </w:tbl>
    <w:p w14:paraId="1A9CF223" w14:textId="77777777" w:rsidR="00222D72" w:rsidRDefault="00222D72" w:rsidP="00B4472B">
      <w:pPr>
        <w:pStyle w:val="ARbodynospace"/>
      </w:pPr>
    </w:p>
    <w:tbl>
      <w:tblPr>
        <w:tblStyle w:val="TableGrid"/>
        <w:tblW w:w="9639" w:type="dxa"/>
        <w:tblLayout w:type="fixed"/>
        <w:tblLook w:val="02A0" w:firstRow="1" w:lastRow="0" w:firstColumn="1" w:lastColumn="0" w:noHBand="1" w:noVBand="0"/>
      </w:tblPr>
      <w:tblGrid>
        <w:gridCol w:w="4536"/>
        <w:gridCol w:w="1701"/>
        <w:gridCol w:w="1701"/>
        <w:gridCol w:w="1701"/>
      </w:tblGrid>
      <w:tr w:rsidR="00222D72" w14:paraId="621357CA" w14:textId="77777777" w:rsidTr="00B4472B">
        <w:trPr>
          <w:cnfStyle w:val="100000000000" w:firstRow="1" w:lastRow="0" w:firstColumn="0" w:lastColumn="0" w:oddVBand="0" w:evenVBand="0" w:oddHBand="0" w:evenHBand="0" w:firstRowFirstColumn="0" w:firstRowLastColumn="0" w:lastRowFirstColumn="0" w:lastRowLastColumn="0"/>
          <w:trHeight w:val="270"/>
          <w:tblHeader/>
        </w:trPr>
        <w:tc>
          <w:tcPr>
            <w:tcW w:w="4536" w:type="dxa"/>
          </w:tcPr>
          <w:p w14:paraId="1201D992" w14:textId="77777777" w:rsidR="00222D72" w:rsidRDefault="00222D72" w:rsidP="004C7BEF">
            <w:pPr>
              <w:pStyle w:val="ARtablecolhead"/>
              <w:rPr>
                <w:rFonts w:eastAsia="Arial"/>
                <w:bCs/>
              </w:rPr>
            </w:pPr>
            <w:r w:rsidRPr="47AEECA1">
              <w:rPr>
                <w:rFonts w:eastAsia="Arial"/>
                <w:bCs/>
              </w:rPr>
              <w:t>Description</w:t>
            </w:r>
          </w:p>
        </w:tc>
        <w:tc>
          <w:tcPr>
            <w:tcW w:w="1701" w:type="dxa"/>
          </w:tcPr>
          <w:p w14:paraId="6C0479FF" w14:textId="77777777" w:rsidR="00222D72" w:rsidRDefault="00222D72" w:rsidP="004C7BEF">
            <w:pPr>
              <w:pStyle w:val="ARtablecolheadright"/>
              <w:rPr>
                <w:rFonts w:eastAsia="Arial"/>
                <w:bCs/>
              </w:rPr>
            </w:pPr>
            <w:r w:rsidRPr="47AEECA1">
              <w:rPr>
                <w:rFonts w:eastAsia="Arial"/>
                <w:bCs/>
              </w:rPr>
              <w:t>2021–22 estimate</w:t>
            </w:r>
          </w:p>
        </w:tc>
        <w:tc>
          <w:tcPr>
            <w:tcW w:w="1701" w:type="dxa"/>
          </w:tcPr>
          <w:p w14:paraId="02C9222D" w14:textId="77777777" w:rsidR="00222D72" w:rsidRDefault="00222D72" w:rsidP="004C7BEF">
            <w:pPr>
              <w:pStyle w:val="ARtablecolheadright"/>
              <w:rPr>
                <w:rFonts w:eastAsia="Arial"/>
                <w:bCs/>
              </w:rPr>
            </w:pPr>
            <w:r w:rsidRPr="47AEECA1">
              <w:rPr>
                <w:rFonts w:eastAsia="Arial"/>
                <w:bCs/>
              </w:rPr>
              <w:t>2020–21 estimate</w:t>
            </w:r>
          </w:p>
        </w:tc>
        <w:tc>
          <w:tcPr>
            <w:tcW w:w="1701" w:type="dxa"/>
          </w:tcPr>
          <w:p w14:paraId="7930D975" w14:textId="77777777" w:rsidR="00222D72" w:rsidRDefault="00222D72" w:rsidP="004C7BEF">
            <w:pPr>
              <w:pStyle w:val="ARtablecolheadright"/>
              <w:rPr>
                <w:rFonts w:eastAsia="Arial"/>
                <w:bCs/>
              </w:rPr>
            </w:pPr>
            <w:r w:rsidRPr="47AEECA1">
              <w:rPr>
                <w:rFonts w:eastAsia="Arial"/>
                <w:bCs/>
              </w:rPr>
              <w:t>2019–20 estimate</w:t>
            </w:r>
          </w:p>
        </w:tc>
      </w:tr>
      <w:tr w:rsidR="00222D72" w14:paraId="1CD36AE1" w14:textId="77777777" w:rsidTr="00B4472B">
        <w:trPr>
          <w:cnfStyle w:val="100000000000" w:firstRow="1" w:lastRow="0" w:firstColumn="0" w:lastColumn="0" w:oddVBand="0" w:evenVBand="0" w:oddHBand="0" w:evenHBand="0" w:firstRowFirstColumn="0" w:firstRowLastColumn="0" w:lastRowFirstColumn="0" w:lastRowLastColumn="0"/>
          <w:trHeight w:val="540"/>
          <w:tblHeader/>
        </w:trPr>
        <w:tc>
          <w:tcPr>
            <w:tcW w:w="4536" w:type="dxa"/>
          </w:tcPr>
          <w:p w14:paraId="1B1BBB93" w14:textId="0D24CAE3" w:rsidR="00222D72" w:rsidRDefault="00222D72" w:rsidP="004C7BEF">
            <w:pPr>
              <w:pStyle w:val="ARtablecolhead"/>
              <w:rPr>
                <w:rFonts w:eastAsia="Arial"/>
                <w:bCs/>
              </w:rPr>
            </w:pPr>
            <w:r w:rsidRPr="47AEECA1">
              <w:rPr>
                <w:rFonts w:eastAsia="Arial"/>
                <w:bCs/>
              </w:rPr>
              <w:t xml:space="preserve">Total units of waste disposed of </w:t>
            </w:r>
            <w:r w:rsidR="00B4472B">
              <w:rPr>
                <w:rFonts w:eastAsia="Arial"/>
                <w:bCs/>
              </w:rPr>
              <w:br/>
            </w:r>
            <w:r w:rsidRPr="47AEECA1">
              <w:rPr>
                <w:rFonts w:eastAsia="Arial"/>
                <w:bCs/>
              </w:rPr>
              <w:t>per FTE by destination</w:t>
            </w:r>
          </w:p>
        </w:tc>
        <w:tc>
          <w:tcPr>
            <w:tcW w:w="1701" w:type="dxa"/>
          </w:tcPr>
          <w:p w14:paraId="11F7AC0E" w14:textId="5592064C" w:rsidR="00222D72" w:rsidRDefault="00222D72" w:rsidP="004C7BEF">
            <w:pPr>
              <w:pStyle w:val="ARtablecolheadright"/>
              <w:rPr>
                <w:rFonts w:eastAsia="Arial"/>
                <w:bCs/>
              </w:rPr>
            </w:pPr>
            <w:r w:rsidRPr="47AEECA1">
              <w:rPr>
                <w:rFonts w:eastAsia="Arial"/>
                <w:bCs/>
              </w:rPr>
              <w:t>Kilograms/</w:t>
            </w:r>
            <w:r w:rsidR="00B4472B">
              <w:rPr>
                <w:rFonts w:eastAsia="Arial"/>
                <w:bCs/>
              </w:rPr>
              <w:br/>
            </w:r>
            <w:r w:rsidRPr="47AEECA1">
              <w:rPr>
                <w:rFonts w:eastAsia="Arial"/>
                <w:bCs/>
              </w:rPr>
              <w:t>FTE/year</w:t>
            </w:r>
          </w:p>
        </w:tc>
        <w:tc>
          <w:tcPr>
            <w:tcW w:w="1701" w:type="dxa"/>
          </w:tcPr>
          <w:p w14:paraId="65904AA8" w14:textId="33D2A65C" w:rsidR="00222D72" w:rsidRDefault="00222D72" w:rsidP="004C7BEF">
            <w:pPr>
              <w:pStyle w:val="ARtablecolheadright"/>
              <w:rPr>
                <w:rFonts w:eastAsia="Arial"/>
                <w:bCs/>
              </w:rPr>
            </w:pPr>
            <w:r w:rsidRPr="47AEECA1">
              <w:rPr>
                <w:rFonts w:eastAsia="Arial"/>
                <w:bCs/>
              </w:rPr>
              <w:t>Kilograms/</w:t>
            </w:r>
            <w:r w:rsidR="00B4472B">
              <w:rPr>
                <w:rFonts w:eastAsia="Arial"/>
                <w:bCs/>
              </w:rPr>
              <w:br/>
            </w:r>
            <w:r w:rsidRPr="47AEECA1">
              <w:rPr>
                <w:rFonts w:eastAsia="Arial"/>
                <w:bCs/>
              </w:rPr>
              <w:t>FTE/year</w:t>
            </w:r>
          </w:p>
        </w:tc>
        <w:tc>
          <w:tcPr>
            <w:tcW w:w="1701" w:type="dxa"/>
          </w:tcPr>
          <w:p w14:paraId="6B8D0A5C" w14:textId="43C46C83" w:rsidR="00222D72" w:rsidRDefault="00222D72" w:rsidP="004C7BEF">
            <w:pPr>
              <w:pStyle w:val="ARtablecolheadright"/>
              <w:rPr>
                <w:rFonts w:eastAsia="Arial"/>
                <w:bCs/>
              </w:rPr>
            </w:pPr>
            <w:r w:rsidRPr="47AEECA1">
              <w:rPr>
                <w:rFonts w:eastAsia="Arial"/>
                <w:bCs/>
              </w:rPr>
              <w:t>Kilograms/</w:t>
            </w:r>
            <w:r w:rsidR="00B4472B">
              <w:rPr>
                <w:rFonts w:eastAsia="Arial"/>
                <w:bCs/>
              </w:rPr>
              <w:br/>
            </w:r>
            <w:r w:rsidRPr="47AEECA1">
              <w:rPr>
                <w:rFonts w:eastAsia="Arial"/>
                <w:bCs/>
              </w:rPr>
              <w:t>FTE/year</w:t>
            </w:r>
          </w:p>
        </w:tc>
      </w:tr>
      <w:tr w:rsidR="00222D72" w14:paraId="4982526F" w14:textId="77777777" w:rsidTr="00B4472B">
        <w:trPr>
          <w:trHeight w:val="270"/>
        </w:trPr>
        <w:tc>
          <w:tcPr>
            <w:tcW w:w="4536" w:type="dxa"/>
          </w:tcPr>
          <w:p w14:paraId="75B7EC29" w14:textId="77777777" w:rsidR="00222D72" w:rsidRDefault="00222D72" w:rsidP="004C7BEF">
            <w:pPr>
              <w:pStyle w:val="ARtabletext"/>
              <w:rPr>
                <w:rFonts w:eastAsia="Arial"/>
              </w:rPr>
            </w:pPr>
            <w:r w:rsidRPr="47AEECA1">
              <w:rPr>
                <w:rFonts w:eastAsia="Arial"/>
              </w:rPr>
              <w:t>Landfill</w:t>
            </w:r>
          </w:p>
        </w:tc>
        <w:tc>
          <w:tcPr>
            <w:tcW w:w="1701" w:type="dxa"/>
          </w:tcPr>
          <w:p w14:paraId="2BEBEA77" w14:textId="77777777" w:rsidR="00222D72" w:rsidRDefault="00222D72" w:rsidP="003E09F6">
            <w:pPr>
              <w:pStyle w:val="ARtabletextright"/>
            </w:pPr>
            <w:r w:rsidRPr="50DB9F40">
              <w:t>2.39</w:t>
            </w:r>
          </w:p>
        </w:tc>
        <w:tc>
          <w:tcPr>
            <w:tcW w:w="1701" w:type="dxa"/>
          </w:tcPr>
          <w:p w14:paraId="148E9D97" w14:textId="77777777" w:rsidR="00222D72" w:rsidRDefault="00222D72" w:rsidP="003E09F6">
            <w:pPr>
              <w:pStyle w:val="ARtabletextright"/>
            </w:pPr>
            <w:r w:rsidRPr="47AEECA1">
              <w:t>N/A</w:t>
            </w:r>
          </w:p>
        </w:tc>
        <w:tc>
          <w:tcPr>
            <w:tcW w:w="1701" w:type="dxa"/>
          </w:tcPr>
          <w:p w14:paraId="3E4072D6" w14:textId="77777777" w:rsidR="00222D72" w:rsidRDefault="00222D72" w:rsidP="003E09F6">
            <w:pPr>
              <w:pStyle w:val="ARtabletextright"/>
            </w:pPr>
            <w:r w:rsidRPr="47AEECA1">
              <w:t>N/A</w:t>
            </w:r>
          </w:p>
        </w:tc>
      </w:tr>
      <w:tr w:rsidR="00222D72" w14:paraId="415DA1E0" w14:textId="77777777" w:rsidTr="00B4472B">
        <w:trPr>
          <w:trHeight w:val="270"/>
        </w:trPr>
        <w:tc>
          <w:tcPr>
            <w:tcW w:w="4536" w:type="dxa"/>
          </w:tcPr>
          <w:p w14:paraId="27A14C3C" w14:textId="77777777" w:rsidR="00222D72" w:rsidRDefault="00222D72" w:rsidP="004C7BEF">
            <w:pPr>
              <w:pStyle w:val="ARtabletext"/>
              <w:rPr>
                <w:rFonts w:eastAsia="Arial"/>
              </w:rPr>
            </w:pPr>
            <w:r w:rsidRPr="47AEECA1">
              <w:rPr>
                <w:rFonts w:eastAsia="Arial"/>
              </w:rPr>
              <w:t>Recycling</w:t>
            </w:r>
          </w:p>
        </w:tc>
        <w:tc>
          <w:tcPr>
            <w:tcW w:w="1701" w:type="dxa"/>
          </w:tcPr>
          <w:p w14:paraId="71F66074" w14:textId="77777777" w:rsidR="00222D72" w:rsidRDefault="00222D72" w:rsidP="003E09F6">
            <w:pPr>
              <w:pStyle w:val="ARtabletextright"/>
            </w:pPr>
            <w:r w:rsidRPr="50DB9F40">
              <w:t>2.59</w:t>
            </w:r>
          </w:p>
        </w:tc>
        <w:tc>
          <w:tcPr>
            <w:tcW w:w="1701" w:type="dxa"/>
          </w:tcPr>
          <w:p w14:paraId="13DF26FF" w14:textId="77777777" w:rsidR="00222D72" w:rsidRDefault="00222D72" w:rsidP="003E09F6">
            <w:pPr>
              <w:pStyle w:val="ARtabletextright"/>
            </w:pPr>
            <w:r w:rsidRPr="47AEECA1">
              <w:t>N/A</w:t>
            </w:r>
          </w:p>
        </w:tc>
        <w:tc>
          <w:tcPr>
            <w:tcW w:w="1701" w:type="dxa"/>
          </w:tcPr>
          <w:p w14:paraId="72E7CAD7" w14:textId="77777777" w:rsidR="00222D72" w:rsidRDefault="00222D72" w:rsidP="003E09F6">
            <w:pPr>
              <w:pStyle w:val="ARtabletextright"/>
            </w:pPr>
            <w:r w:rsidRPr="47AEECA1">
              <w:t>N/A</w:t>
            </w:r>
          </w:p>
        </w:tc>
      </w:tr>
      <w:tr w:rsidR="00222D72" w14:paraId="1F6319A4" w14:textId="77777777" w:rsidTr="00B4472B">
        <w:trPr>
          <w:trHeight w:val="270"/>
        </w:trPr>
        <w:tc>
          <w:tcPr>
            <w:tcW w:w="4536" w:type="dxa"/>
          </w:tcPr>
          <w:p w14:paraId="4017ED4F" w14:textId="77777777" w:rsidR="00222D72" w:rsidRDefault="00222D72" w:rsidP="004C7BEF">
            <w:pPr>
              <w:pStyle w:val="ARtabletext"/>
              <w:rPr>
                <w:rFonts w:eastAsia="Arial"/>
              </w:rPr>
            </w:pPr>
            <w:r w:rsidRPr="47AEECA1">
              <w:rPr>
                <w:rFonts w:eastAsia="Arial"/>
              </w:rPr>
              <w:t>Compost</w:t>
            </w:r>
          </w:p>
        </w:tc>
        <w:tc>
          <w:tcPr>
            <w:tcW w:w="1701" w:type="dxa"/>
          </w:tcPr>
          <w:p w14:paraId="70F7CEDB" w14:textId="77777777" w:rsidR="00222D72" w:rsidRDefault="00222D72" w:rsidP="003E09F6">
            <w:pPr>
              <w:pStyle w:val="ARtabletextright"/>
            </w:pPr>
            <w:r w:rsidRPr="47AEECA1">
              <w:t>0.</w:t>
            </w:r>
            <w:r w:rsidRPr="50DB9F40">
              <w:t>04</w:t>
            </w:r>
          </w:p>
        </w:tc>
        <w:tc>
          <w:tcPr>
            <w:tcW w:w="1701" w:type="dxa"/>
          </w:tcPr>
          <w:p w14:paraId="6DC79B9F" w14:textId="77777777" w:rsidR="00222D72" w:rsidRDefault="00222D72" w:rsidP="003E09F6">
            <w:pPr>
              <w:pStyle w:val="ARtabletextright"/>
            </w:pPr>
            <w:r w:rsidRPr="47AEECA1">
              <w:t>N/A</w:t>
            </w:r>
          </w:p>
        </w:tc>
        <w:tc>
          <w:tcPr>
            <w:tcW w:w="1701" w:type="dxa"/>
          </w:tcPr>
          <w:p w14:paraId="1DAA0A8A" w14:textId="77777777" w:rsidR="00222D72" w:rsidRDefault="00222D72" w:rsidP="003E09F6">
            <w:pPr>
              <w:pStyle w:val="ARtabletextright"/>
            </w:pPr>
            <w:r w:rsidRPr="47AEECA1">
              <w:t>N/A</w:t>
            </w:r>
          </w:p>
        </w:tc>
      </w:tr>
      <w:tr w:rsidR="00222D72" w14:paraId="5825B2EB" w14:textId="77777777" w:rsidTr="00B4472B">
        <w:trPr>
          <w:trHeight w:val="270"/>
        </w:trPr>
        <w:tc>
          <w:tcPr>
            <w:tcW w:w="4536" w:type="dxa"/>
          </w:tcPr>
          <w:p w14:paraId="37DB6353" w14:textId="77777777" w:rsidR="00222D72" w:rsidRDefault="00222D72" w:rsidP="004C7BEF">
            <w:pPr>
              <w:pStyle w:val="ARtabletext"/>
              <w:rPr>
                <w:rFonts w:eastAsia="Arial"/>
              </w:rPr>
            </w:pPr>
            <w:r w:rsidRPr="47AEECA1">
              <w:rPr>
                <w:rFonts w:eastAsia="Arial"/>
                <w:b/>
                <w:bCs/>
              </w:rPr>
              <w:t>Total</w:t>
            </w:r>
          </w:p>
        </w:tc>
        <w:tc>
          <w:tcPr>
            <w:tcW w:w="1701" w:type="dxa"/>
          </w:tcPr>
          <w:p w14:paraId="767E2A36" w14:textId="77777777" w:rsidR="00222D72" w:rsidRDefault="00222D72" w:rsidP="004C7BEF">
            <w:pPr>
              <w:pStyle w:val="ARtabletextrightbold"/>
              <w:rPr>
                <w:rFonts w:eastAsia="Arial"/>
                <w:bCs/>
              </w:rPr>
            </w:pPr>
            <w:r w:rsidRPr="50DB9F40">
              <w:rPr>
                <w:rFonts w:eastAsia="Arial"/>
              </w:rPr>
              <w:t>5.02</w:t>
            </w:r>
          </w:p>
        </w:tc>
        <w:tc>
          <w:tcPr>
            <w:tcW w:w="1701" w:type="dxa"/>
          </w:tcPr>
          <w:p w14:paraId="61264942" w14:textId="77777777" w:rsidR="00222D72" w:rsidRDefault="00222D72" w:rsidP="004C7BEF">
            <w:pPr>
              <w:pStyle w:val="ARtabletextrightbold"/>
              <w:rPr>
                <w:rFonts w:eastAsia="Arial"/>
                <w:bCs/>
              </w:rPr>
            </w:pPr>
            <w:r w:rsidRPr="47AEECA1">
              <w:rPr>
                <w:rFonts w:eastAsia="Arial"/>
                <w:bCs/>
              </w:rPr>
              <w:t>N/A</w:t>
            </w:r>
          </w:p>
        </w:tc>
        <w:tc>
          <w:tcPr>
            <w:tcW w:w="1701" w:type="dxa"/>
          </w:tcPr>
          <w:p w14:paraId="14D55B8B" w14:textId="77777777" w:rsidR="00222D72" w:rsidRDefault="00222D72" w:rsidP="004C7BEF">
            <w:pPr>
              <w:pStyle w:val="ARtabletextrightbold"/>
              <w:rPr>
                <w:rFonts w:eastAsia="Arial"/>
                <w:bCs/>
              </w:rPr>
            </w:pPr>
            <w:r w:rsidRPr="47AEECA1">
              <w:rPr>
                <w:rFonts w:eastAsia="Arial"/>
                <w:bCs/>
              </w:rPr>
              <w:t>N/A</w:t>
            </w:r>
          </w:p>
        </w:tc>
      </w:tr>
    </w:tbl>
    <w:p w14:paraId="394DCFE4" w14:textId="77777777" w:rsidR="00222D72" w:rsidRDefault="00222D72" w:rsidP="00B4472B">
      <w:pPr>
        <w:pStyle w:val="ARbodynospace"/>
      </w:pPr>
    </w:p>
    <w:tbl>
      <w:tblPr>
        <w:tblStyle w:val="TableGrid"/>
        <w:tblW w:w="9630" w:type="dxa"/>
        <w:tblLayout w:type="fixed"/>
        <w:tblLook w:val="06A0" w:firstRow="1" w:lastRow="0" w:firstColumn="1" w:lastColumn="0" w:noHBand="1" w:noVBand="1"/>
      </w:tblPr>
      <w:tblGrid>
        <w:gridCol w:w="4533"/>
        <w:gridCol w:w="1699"/>
        <w:gridCol w:w="1699"/>
        <w:gridCol w:w="1699"/>
      </w:tblGrid>
      <w:tr w:rsidR="00222D72" w14:paraId="71087A10" w14:textId="77777777" w:rsidTr="003E09F6">
        <w:trPr>
          <w:cnfStyle w:val="100000000000" w:firstRow="1" w:lastRow="0" w:firstColumn="0" w:lastColumn="0" w:oddVBand="0" w:evenVBand="0" w:oddHBand="0" w:evenHBand="0" w:firstRowFirstColumn="0" w:firstRowLastColumn="0" w:lastRowFirstColumn="0" w:lastRowLastColumn="0"/>
          <w:trHeight w:val="270"/>
          <w:tblHeader/>
        </w:trPr>
        <w:tc>
          <w:tcPr>
            <w:tcW w:w="4536" w:type="dxa"/>
          </w:tcPr>
          <w:p w14:paraId="792D3498" w14:textId="77777777" w:rsidR="00222D72" w:rsidRDefault="00222D72" w:rsidP="004C7BEF">
            <w:pPr>
              <w:pStyle w:val="ARtablecolhead"/>
              <w:rPr>
                <w:rFonts w:eastAsia="Arial"/>
                <w:bCs/>
              </w:rPr>
            </w:pPr>
            <w:r w:rsidRPr="47AEECA1">
              <w:rPr>
                <w:rFonts w:eastAsia="Arial"/>
                <w:bCs/>
              </w:rPr>
              <w:t>Description</w:t>
            </w:r>
          </w:p>
        </w:tc>
        <w:tc>
          <w:tcPr>
            <w:tcW w:w="1701" w:type="dxa"/>
          </w:tcPr>
          <w:p w14:paraId="56479218" w14:textId="77777777" w:rsidR="00222D72" w:rsidRDefault="00222D72" w:rsidP="004C7BEF">
            <w:pPr>
              <w:pStyle w:val="ARtablecolheadright"/>
              <w:rPr>
                <w:rFonts w:eastAsia="Arial"/>
                <w:bCs/>
              </w:rPr>
            </w:pPr>
            <w:r w:rsidRPr="47AEECA1">
              <w:rPr>
                <w:rFonts w:eastAsia="Arial"/>
                <w:bCs/>
              </w:rPr>
              <w:t>2021–22 estimate</w:t>
            </w:r>
          </w:p>
        </w:tc>
        <w:tc>
          <w:tcPr>
            <w:tcW w:w="1701" w:type="dxa"/>
          </w:tcPr>
          <w:p w14:paraId="12BC8BB2" w14:textId="77777777" w:rsidR="00222D72" w:rsidRDefault="00222D72" w:rsidP="004C7BEF">
            <w:pPr>
              <w:pStyle w:val="ARtablecolheadright"/>
              <w:rPr>
                <w:rFonts w:eastAsia="Arial"/>
                <w:bCs/>
              </w:rPr>
            </w:pPr>
            <w:r w:rsidRPr="47AEECA1">
              <w:rPr>
                <w:rFonts w:eastAsia="Arial"/>
                <w:bCs/>
              </w:rPr>
              <w:t>2020–21 estimate</w:t>
            </w:r>
          </w:p>
        </w:tc>
        <w:tc>
          <w:tcPr>
            <w:tcW w:w="1701" w:type="dxa"/>
          </w:tcPr>
          <w:p w14:paraId="6647F17F" w14:textId="77777777" w:rsidR="00222D72" w:rsidRDefault="00222D72" w:rsidP="004C7BEF">
            <w:pPr>
              <w:pStyle w:val="ARtablecolheadright"/>
              <w:rPr>
                <w:rFonts w:eastAsia="Arial"/>
                <w:bCs/>
              </w:rPr>
            </w:pPr>
            <w:r w:rsidRPr="47AEECA1">
              <w:rPr>
                <w:rFonts w:eastAsia="Arial"/>
                <w:bCs/>
              </w:rPr>
              <w:t>2019–20 estimate</w:t>
            </w:r>
          </w:p>
        </w:tc>
      </w:tr>
      <w:tr w:rsidR="00222D72" w14:paraId="64FB627E" w14:textId="77777777" w:rsidTr="003E09F6">
        <w:trPr>
          <w:cantSplit w:val="0"/>
          <w:trHeight w:val="270"/>
        </w:trPr>
        <w:tc>
          <w:tcPr>
            <w:tcW w:w="4536" w:type="dxa"/>
          </w:tcPr>
          <w:p w14:paraId="6D3FAB59" w14:textId="77777777" w:rsidR="00222D72" w:rsidRDefault="00222D72" w:rsidP="004C7BEF">
            <w:pPr>
              <w:pStyle w:val="ARtabletext"/>
              <w:rPr>
                <w:rFonts w:eastAsia="Arial"/>
              </w:rPr>
            </w:pPr>
            <w:r w:rsidRPr="47AEECA1">
              <w:rPr>
                <w:rFonts w:eastAsia="Arial"/>
              </w:rPr>
              <w:t>Recycling rate (per cent)</w:t>
            </w:r>
          </w:p>
        </w:tc>
        <w:tc>
          <w:tcPr>
            <w:tcW w:w="1701" w:type="dxa"/>
          </w:tcPr>
          <w:p w14:paraId="3E9D78FB" w14:textId="77777777" w:rsidR="00222D72" w:rsidRDefault="00222D72" w:rsidP="003E09F6">
            <w:pPr>
              <w:pStyle w:val="ARtabletextright"/>
            </w:pPr>
            <w:r w:rsidRPr="434CC132">
              <w:t>52.3</w:t>
            </w:r>
          </w:p>
        </w:tc>
        <w:tc>
          <w:tcPr>
            <w:tcW w:w="1701" w:type="dxa"/>
          </w:tcPr>
          <w:p w14:paraId="3A371491" w14:textId="77777777" w:rsidR="00222D72" w:rsidRDefault="00222D72" w:rsidP="003E09F6">
            <w:pPr>
              <w:pStyle w:val="ARtabletextright"/>
            </w:pPr>
            <w:r w:rsidRPr="47AEECA1">
              <w:t>N/A</w:t>
            </w:r>
          </w:p>
        </w:tc>
        <w:tc>
          <w:tcPr>
            <w:tcW w:w="1701" w:type="dxa"/>
          </w:tcPr>
          <w:p w14:paraId="6E1CE147" w14:textId="77777777" w:rsidR="00222D72" w:rsidRDefault="00222D72" w:rsidP="003E09F6">
            <w:pPr>
              <w:pStyle w:val="ARtabletextright"/>
            </w:pPr>
            <w:r w:rsidRPr="47AEECA1">
              <w:t>N/A</w:t>
            </w:r>
          </w:p>
        </w:tc>
      </w:tr>
      <w:tr w:rsidR="00222D72" w14:paraId="50401693" w14:textId="77777777" w:rsidTr="003E09F6">
        <w:trPr>
          <w:cantSplit w:val="0"/>
          <w:trHeight w:val="270"/>
        </w:trPr>
        <w:tc>
          <w:tcPr>
            <w:tcW w:w="4536" w:type="dxa"/>
          </w:tcPr>
          <w:p w14:paraId="1AFE65CD" w14:textId="77777777" w:rsidR="00222D72" w:rsidRDefault="00222D72" w:rsidP="004C7BEF">
            <w:pPr>
              <w:pStyle w:val="ARtabletext"/>
              <w:rPr>
                <w:rFonts w:eastAsia="Arial"/>
              </w:rPr>
            </w:pPr>
            <w:r w:rsidRPr="47AEECA1">
              <w:rPr>
                <w:rFonts w:eastAsia="Arial"/>
              </w:rPr>
              <w:t>Coffee cups recycled</w:t>
            </w:r>
          </w:p>
        </w:tc>
        <w:tc>
          <w:tcPr>
            <w:tcW w:w="1701" w:type="dxa"/>
          </w:tcPr>
          <w:p w14:paraId="2C941DC6" w14:textId="77777777" w:rsidR="00222D72" w:rsidRDefault="00222D72" w:rsidP="003E09F6">
            <w:pPr>
              <w:pStyle w:val="ARtabletextright"/>
            </w:pPr>
            <w:r w:rsidRPr="5E1D3705">
              <w:t>1,368</w:t>
            </w:r>
          </w:p>
        </w:tc>
        <w:tc>
          <w:tcPr>
            <w:tcW w:w="1701" w:type="dxa"/>
          </w:tcPr>
          <w:p w14:paraId="49470687" w14:textId="6F1C242D" w:rsidR="00222D72" w:rsidRDefault="00222D72" w:rsidP="003E09F6">
            <w:pPr>
              <w:pStyle w:val="ARtabletextright"/>
            </w:pPr>
            <w:r w:rsidRPr="5E1D3705">
              <w:t>N/A</w:t>
            </w:r>
          </w:p>
        </w:tc>
        <w:tc>
          <w:tcPr>
            <w:tcW w:w="1701" w:type="dxa"/>
          </w:tcPr>
          <w:p w14:paraId="44D23B77" w14:textId="5C324183" w:rsidR="00222D72" w:rsidRDefault="00222D72" w:rsidP="003E09F6">
            <w:pPr>
              <w:pStyle w:val="ARtabletextright"/>
            </w:pPr>
            <w:r w:rsidRPr="5E1D3705">
              <w:t>N/A</w:t>
            </w:r>
          </w:p>
        </w:tc>
      </w:tr>
      <w:tr w:rsidR="00222D72" w14:paraId="7916E105" w14:textId="77777777" w:rsidTr="003E09F6">
        <w:trPr>
          <w:cantSplit w:val="0"/>
          <w:trHeight w:val="270"/>
        </w:trPr>
        <w:tc>
          <w:tcPr>
            <w:tcW w:w="4536" w:type="dxa"/>
          </w:tcPr>
          <w:p w14:paraId="45AEF725" w14:textId="46681859" w:rsidR="00222D72" w:rsidRDefault="00222D72" w:rsidP="004C7BEF">
            <w:pPr>
              <w:pStyle w:val="ARtabletext"/>
              <w:rPr>
                <w:rFonts w:eastAsia="Arial"/>
              </w:rPr>
            </w:pPr>
            <w:r w:rsidRPr="47AEECA1">
              <w:rPr>
                <w:rFonts w:eastAsia="Arial"/>
              </w:rPr>
              <w:t>Greenhouse gas emissions associated with waste to landfill (tonnes of CO</w:t>
            </w:r>
            <w:r w:rsidR="0072453F" w:rsidRPr="00125EE1">
              <w:rPr>
                <w:rStyle w:val="Subscript"/>
              </w:rPr>
              <w:t>2</w:t>
            </w:r>
            <w:r w:rsidRPr="47AEECA1">
              <w:rPr>
                <w:rFonts w:eastAsia="Arial"/>
              </w:rPr>
              <w:t>-e)</w:t>
            </w:r>
          </w:p>
        </w:tc>
        <w:tc>
          <w:tcPr>
            <w:tcW w:w="1701" w:type="dxa"/>
          </w:tcPr>
          <w:p w14:paraId="644C15F0" w14:textId="77777777" w:rsidR="00222D72" w:rsidRDefault="00222D72" w:rsidP="003E09F6">
            <w:pPr>
              <w:pStyle w:val="ARtabletextright"/>
            </w:pPr>
            <w:r w:rsidRPr="5E1D3705">
              <w:t>28</w:t>
            </w:r>
          </w:p>
        </w:tc>
        <w:tc>
          <w:tcPr>
            <w:tcW w:w="1701" w:type="dxa"/>
          </w:tcPr>
          <w:p w14:paraId="55F28DAD" w14:textId="25A4D074" w:rsidR="00222D72" w:rsidRDefault="00222D72" w:rsidP="003E09F6">
            <w:pPr>
              <w:pStyle w:val="ARtabletextright"/>
              <w:rPr>
                <w:vertAlign w:val="superscript"/>
              </w:rPr>
            </w:pPr>
            <w:r w:rsidRPr="5E1D3705">
              <w:t>N/A</w:t>
            </w:r>
          </w:p>
        </w:tc>
        <w:tc>
          <w:tcPr>
            <w:tcW w:w="1701" w:type="dxa"/>
          </w:tcPr>
          <w:p w14:paraId="5531F87E" w14:textId="3EDDC097" w:rsidR="00222D72" w:rsidRDefault="00222D72" w:rsidP="003E09F6">
            <w:pPr>
              <w:pStyle w:val="ARtabletextright"/>
            </w:pPr>
            <w:r w:rsidRPr="5E1D3705">
              <w:t>N/A</w:t>
            </w:r>
          </w:p>
        </w:tc>
      </w:tr>
    </w:tbl>
    <w:p w14:paraId="7DC3888E" w14:textId="1D836F44" w:rsidR="00222D72" w:rsidRPr="003D5E1A" w:rsidRDefault="00222D72" w:rsidP="004C7BEF">
      <w:pPr>
        <w:pStyle w:val="ARtablefootnote"/>
      </w:pPr>
      <w:r>
        <w:t>Office</w:t>
      </w:r>
      <w:r w:rsidR="00A45EB8">
        <w:t>-</w:t>
      </w:r>
      <w:r>
        <w:t xml:space="preserve">based data for </w:t>
      </w:r>
      <w:r w:rsidR="006C15A9">
        <w:t>2021–22</w:t>
      </w:r>
      <w:r>
        <w:t xml:space="preserve"> </w:t>
      </w:r>
      <w:r w:rsidR="009C6D78">
        <w:t xml:space="preserve">reflects </w:t>
      </w:r>
      <w:r>
        <w:t>the department</w:t>
      </w:r>
      <w:r w:rsidR="00961673">
        <w:t xml:space="preserve"> only</w:t>
      </w:r>
      <w:r>
        <w:t xml:space="preserve">. Previous years’ data, which reflects the combined DFFH and department data, is available in the </w:t>
      </w:r>
      <w:r w:rsidR="006C15A9">
        <w:t>2020–21</w:t>
      </w:r>
      <w:r>
        <w:t xml:space="preserve"> reports.</w:t>
      </w:r>
    </w:p>
    <w:p w14:paraId="45DCC816" w14:textId="77777777" w:rsidR="00400753" w:rsidRPr="00400753" w:rsidRDefault="00400753" w:rsidP="00400753">
      <w:pPr>
        <w:pStyle w:val="ARbody"/>
      </w:pPr>
      <w:r w:rsidRPr="00400753">
        <w:br w:type="page"/>
      </w:r>
    </w:p>
    <w:p w14:paraId="515AA6A5" w14:textId="5F90821F" w:rsidR="00222D72" w:rsidRDefault="00222D72" w:rsidP="004C7BEF">
      <w:pPr>
        <w:pStyle w:val="Heading5"/>
        <w:rPr>
          <w:rFonts w:eastAsia="Arial" w:cs="Arial"/>
        </w:rPr>
      </w:pPr>
      <w:r w:rsidRPr="4E7E9537">
        <w:rPr>
          <w:rFonts w:eastAsia="Arial" w:cs="Arial"/>
        </w:rPr>
        <w:t>Public health services</w:t>
      </w:r>
    </w:p>
    <w:tbl>
      <w:tblPr>
        <w:tblStyle w:val="TableGrid"/>
        <w:tblW w:w="9639" w:type="dxa"/>
        <w:tblLayout w:type="fixed"/>
        <w:tblLook w:val="06A0" w:firstRow="1" w:lastRow="0" w:firstColumn="1" w:lastColumn="0" w:noHBand="1" w:noVBand="1"/>
      </w:tblPr>
      <w:tblGrid>
        <w:gridCol w:w="2835"/>
        <w:gridCol w:w="1134"/>
        <w:gridCol w:w="1134"/>
        <w:gridCol w:w="1134"/>
        <w:gridCol w:w="1134"/>
        <w:gridCol w:w="1134"/>
        <w:gridCol w:w="1134"/>
      </w:tblGrid>
      <w:tr w:rsidR="00222D72" w14:paraId="5E69EC0D" w14:textId="77777777" w:rsidTr="00B4472B">
        <w:trPr>
          <w:cnfStyle w:val="100000000000" w:firstRow="1" w:lastRow="0" w:firstColumn="0" w:lastColumn="0" w:oddVBand="0" w:evenVBand="0" w:oddHBand="0" w:evenHBand="0" w:firstRowFirstColumn="0" w:firstRowLastColumn="0" w:lastRowFirstColumn="0" w:lastRowLastColumn="0"/>
          <w:tblHeader/>
        </w:trPr>
        <w:tc>
          <w:tcPr>
            <w:tcW w:w="2835" w:type="dxa"/>
          </w:tcPr>
          <w:p w14:paraId="1DB7F9E9" w14:textId="77777777" w:rsidR="00222D72" w:rsidRDefault="00222D72" w:rsidP="00400753">
            <w:pPr>
              <w:pStyle w:val="ARtabletextbold"/>
              <w:spacing w:before="60" w:after="40"/>
              <w:rPr>
                <w:rFonts w:eastAsia="Arial"/>
              </w:rPr>
            </w:pPr>
            <w:r w:rsidRPr="4E7E9537">
              <w:rPr>
                <w:rFonts w:eastAsia="Arial"/>
              </w:rPr>
              <w:t>Description</w:t>
            </w:r>
          </w:p>
        </w:tc>
        <w:tc>
          <w:tcPr>
            <w:tcW w:w="1134" w:type="dxa"/>
          </w:tcPr>
          <w:p w14:paraId="35FB1DB0" w14:textId="77777777" w:rsidR="00222D72" w:rsidRPr="00071905" w:rsidRDefault="00222D72" w:rsidP="00400753">
            <w:pPr>
              <w:pStyle w:val="ARtablecolheadright"/>
              <w:spacing w:before="60" w:after="40"/>
              <w:rPr>
                <w:rFonts w:eastAsia="Arial"/>
              </w:rPr>
            </w:pPr>
            <w:r w:rsidRPr="4E7E9537">
              <w:rPr>
                <w:rFonts w:eastAsia="Arial"/>
              </w:rPr>
              <w:t xml:space="preserve">2021–22 </w:t>
            </w:r>
            <w:r>
              <w:br/>
            </w:r>
            <w:r w:rsidRPr="4E7E9537">
              <w:rPr>
                <w:rFonts w:eastAsia="Arial"/>
              </w:rPr>
              <w:t>estimate</w:t>
            </w:r>
          </w:p>
        </w:tc>
        <w:tc>
          <w:tcPr>
            <w:tcW w:w="1134" w:type="dxa"/>
          </w:tcPr>
          <w:p w14:paraId="7DAEABB2" w14:textId="77777777" w:rsidR="00222D72" w:rsidRPr="00071905" w:rsidRDefault="00222D72" w:rsidP="00400753">
            <w:pPr>
              <w:pStyle w:val="ARtablecolheadright"/>
              <w:spacing w:before="60" w:after="40"/>
              <w:rPr>
                <w:rFonts w:eastAsia="Arial"/>
              </w:rPr>
            </w:pPr>
            <w:r w:rsidRPr="4E7E9537">
              <w:rPr>
                <w:rFonts w:eastAsia="Arial"/>
              </w:rPr>
              <w:t xml:space="preserve">2021–22 </w:t>
            </w:r>
            <w:r>
              <w:br/>
            </w:r>
            <w:r w:rsidRPr="4E7E9537">
              <w:rPr>
                <w:rFonts w:eastAsia="Arial"/>
              </w:rPr>
              <w:t>estimate</w:t>
            </w:r>
          </w:p>
        </w:tc>
        <w:tc>
          <w:tcPr>
            <w:tcW w:w="1134" w:type="dxa"/>
          </w:tcPr>
          <w:p w14:paraId="30FDC5CC" w14:textId="77777777" w:rsidR="00222D72" w:rsidRPr="00071905" w:rsidRDefault="00222D72" w:rsidP="00400753">
            <w:pPr>
              <w:pStyle w:val="ARtablecolheadright"/>
              <w:spacing w:before="60" w:after="40"/>
              <w:rPr>
                <w:rFonts w:eastAsia="Arial"/>
              </w:rPr>
            </w:pPr>
            <w:r w:rsidRPr="4E7E9537">
              <w:rPr>
                <w:rFonts w:eastAsia="Arial"/>
              </w:rPr>
              <w:t xml:space="preserve">2020–21 </w:t>
            </w:r>
            <w:r>
              <w:br/>
            </w:r>
            <w:r w:rsidRPr="4E7E9537">
              <w:rPr>
                <w:rFonts w:eastAsia="Arial"/>
              </w:rPr>
              <w:t>estimate</w:t>
            </w:r>
          </w:p>
        </w:tc>
        <w:tc>
          <w:tcPr>
            <w:tcW w:w="1134" w:type="dxa"/>
          </w:tcPr>
          <w:p w14:paraId="1299FFCC" w14:textId="77777777" w:rsidR="00222D72" w:rsidRPr="00071905" w:rsidRDefault="00222D72" w:rsidP="00400753">
            <w:pPr>
              <w:pStyle w:val="ARtablecolheadright"/>
              <w:spacing w:before="60" w:after="40"/>
              <w:rPr>
                <w:rFonts w:eastAsia="Arial"/>
              </w:rPr>
            </w:pPr>
            <w:r w:rsidRPr="4E7E9537">
              <w:rPr>
                <w:rFonts w:eastAsia="Arial"/>
              </w:rPr>
              <w:t xml:space="preserve">2020–21 </w:t>
            </w:r>
            <w:r>
              <w:br/>
            </w:r>
            <w:r w:rsidRPr="4E7E9537">
              <w:rPr>
                <w:rFonts w:eastAsia="Arial"/>
              </w:rPr>
              <w:t>estimate</w:t>
            </w:r>
          </w:p>
        </w:tc>
        <w:tc>
          <w:tcPr>
            <w:tcW w:w="1134" w:type="dxa"/>
          </w:tcPr>
          <w:p w14:paraId="38F70309" w14:textId="77777777" w:rsidR="00222D72" w:rsidRPr="00071905" w:rsidRDefault="00222D72" w:rsidP="00400753">
            <w:pPr>
              <w:pStyle w:val="ARtablecolheadright"/>
              <w:spacing w:before="60" w:after="40"/>
              <w:rPr>
                <w:rFonts w:eastAsia="Arial"/>
              </w:rPr>
            </w:pPr>
            <w:r w:rsidRPr="4E7E9537">
              <w:rPr>
                <w:rFonts w:eastAsia="Arial"/>
              </w:rPr>
              <w:t xml:space="preserve">2019–20 </w:t>
            </w:r>
            <w:r>
              <w:br/>
            </w:r>
            <w:r w:rsidRPr="4E7E9537">
              <w:rPr>
                <w:rFonts w:eastAsia="Arial"/>
              </w:rPr>
              <w:t>estimate</w:t>
            </w:r>
          </w:p>
        </w:tc>
        <w:tc>
          <w:tcPr>
            <w:tcW w:w="1134" w:type="dxa"/>
          </w:tcPr>
          <w:p w14:paraId="773C4682" w14:textId="77777777" w:rsidR="00222D72" w:rsidRPr="00071905" w:rsidRDefault="00222D72" w:rsidP="00400753">
            <w:pPr>
              <w:pStyle w:val="ARtablecolheadright"/>
              <w:spacing w:before="60" w:after="40"/>
              <w:rPr>
                <w:rFonts w:eastAsia="Arial"/>
              </w:rPr>
            </w:pPr>
            <w:r w:rsidRPr="4E7E9537">
              <w:rPr>
                <w:rFonts w:eastAsia="Arial"/>
              </w:rPr>
              <w:t xml:space="preserve">2019–20 </w:t>
            </w:r>
            <w:r>
              <w:br/>
            </w:r>
            <w:r w:rsidRPr="4E7E9537">
              <w:rPr>
                <w:rFonts w:eastAsia="Arial"/>
              </w:rPr>
              <w:t>estimate</w:t>
            </w:r>
          </w:p>
        </w:tc>
      </w:tr>
      <w:tr w:rsidR="00222D72" w14:paraId="67D3376B" w14:textId="77777777" w:rsidTr="00B4472B">
        <w:trPr>
          <w:cnfStyle w:val="100000000000" w:firstRow="1" w:lastRow="0" w:firstColumn="0" w:lastColumn="0" w:oddVBand="0" w:evenVBand="0" w:oddHBand="0" w:evenHBand="0" w:firstRowFirstColumn="0" w:firstRowLastColumn="0" w:lastRowFirstColumn="0" w:lastRowLastColumn="0"/>
          <w:tblHeader/>
        </w:trPr>
        <w:tc>
          <w:tcPr>
            <w:tcW w:w="2835" w:type="dxa"/>
          </w:tcPr>
          <w:p w14:paraId="20918E1C" w14:textId="77777777" w:rsidR="00222D72" w:rsidRDefault="00222D72" w:rsidP="00400753">
            <w:pPr>
              <w:pStyle w:val="ARtabletextbold"/>
              <w:spacing w:before="60" w:after="40"/>
              <w:rPr>
                <w:rFonts w:eastAsia="Arial"/>
              </w:rPr>
            </w:pPr>
            <w:r w:rsidRPr="4E7E9537">
              <w:rPr>
                <w:rFonts w:eastAsia="Arial"/>
              </w:rPr>
              <w:t>Total units of waste disposed of by stream</w:t>
            </w:r>
          </w:p>
        </w:tc>
        <w:tc>
          <w:tcPr>
            <w:tcW w:w="1134" w:type="dxa"/>
          </w:tcPr>
          <w:p w14:paraId="0B05846B" w14:textId="77777777" w:rsidR="00222D72" w:rsidRPr="00071905" w:rsidRDefault="00222D72" w:rsidP="00400753">
            <w:pPr>
              <w:pStyle w:val="ARtabletextrightbold"/>
              <w:spacing w:before="60" w:after="40"/>
              <w:rPr>
                <w:rFonts w:eastAsia="Arial"/>
              </w:rPr>
            </w:pPr>
            <w:r w:rsidRPr="4E7E9537">
              <w:rPr>
                <w:rFonts w:eastAsia="Arial"/>
              </w:rPr>
              <w:t>Tonnes</w:t>
            </w:r>
          </w:p>
        </w:tc>
        <w:tc>
          <w:tcPr>
            <w:tcW w:w="1134" w:type="dxa"/>
          </w:tcPr>
          <w:p w14:paraId="6DB5B1D8" w14:textId="77777777" w:rsidR="00222D72" w:rsidRPr="00071905" w:rsidRDefault="00222D72" w:rsidP="00400753">
            <w:pPr>
              <w:pStyle w:val="ARtabletextrightbold"/>
              <w:spacing w:before="60" w:after="40"/>
              <w:rPr>
                <w:rFonts w:eastAsia="Arial"/>
              </w:rPr>
            </w:pPr>
            <w:r w:rsidRPr="4E7E9537">
              <w:rPr>
                <w:rFonts w:eastAsia="Arial"/>
              </w:rPr>
              <w:t>Cost</w:t>
            </w:r>
            <w:r>
              <w:br/>
            </w:r>
            <w:r w:rsidRPr="4E7E9537">
              <w:rPr>
                <w:rFonts w:eastAsia="Arial"/>
              </w:rPr>
              <w:t>($M)</w:t>
            </w:r>
          </w:p>
        </w:tc>
        <w:tc>
          <w:tcPr>
            <w:tcW w:w="1134" w:type="dxa"/>
          </w:tcPr>
          <w:p w14:paraId="6E74956A" w14:textId="77777777" w:rsidR="00222D72" w:rsidRPr="00071905" w:rsidRDefault="00222D72" w:rsidP="00400753">
            <w:pPr>
              <w:pStyle w:val="ARtabletextrightbold"/>
              <w:spacing w:before="60" w:after="40"/>
              <w:rPr>
                <w:rFonts w:eastAsia="Arial"/>
              </w:rPr>
            </w:pPr>
            <w:r w:rsidRPr="4E7E9537">
              <w:rPr>
                <w:rFonts w:eastAsia="Arial"/>
              </w:rPr>
              <w:t>Tonnes</w:t>
            </w:r>
          </w:p>
        </w:tc>
        <w:tc>
          <w:tcPr>
            <w:tcW w:w="1134" w:type="dxa"/>
          </w:tcPr>
          <w:p w14:paraId="0994FD92" w14:textId="77777777" w:rsidR="00222D72" w:rsidRPr="00071905" w:rsidRDefault="00222D72" w:rsidP="00400753">
            <w:pPr>
              <w:pStyle w:val="ARtabletextrightbold"/>
              <w:spacing w:before="60" w:after="40"/>
              <w:rPr>
                <w:rFonts w:eastAsia="Arial"/>
              </w:rPr>
            </w:pPr>
            <w:r w:rsidRPr="4E7E9537">
              <w:rPr>
                <w:rFonts w:eastAsia="Arial"/>
              </w:rPr>
              <w:t>Cost</w:t>
            </w:r>
            <w:r>
              <w:br/>
            </w:r>
            <w:r w:rsidRPr="4E7E9537">
              <w:rPr>
                <w:rFonts w:eastAsia="Arial"/>
              </w:rPr>
              <w:t>($M)</w:t>
            </w:r>
          </w:p>
        </w:tc>
        <w:tc>
          <w:tcPr>
            <w:tcW w:w="1134" w:type="dxa"/>
          </w:tcPr>
          <w:p w14:paraId="33D07978" w14:textId="77777777" w:rsidR="00222D72" w:rsidRPr="00071905" w:rsidRDefault="00222D72" w:rsidP="00400753">
            <w:pPr>
              <w:pStyle w:val="ARtabletextrightbold"/>
              <w:spacing w:before="60" w:after="40"/>
              <w:rPr>
                <w:rFonts w:eastAsia="Arial"/>
              </w:rPr>
            </w:pPr>
            <w:r w:rsidRPr="4E7E9537">
              <w:rPr>
                <w:rFonts w:eastAsia="Arial"/>
              </w:rPr>
              <w:t>Tonnes</w:t>
            </w:r>
          </w:p>
        </w:tc>
        <w:tc>
          <w:tcPr>
            <w:tcW w:w="1134" w:type="dxa"/>
          </w:tcPr>
          <w:p w14:paraId="5FD0C99B" w14:textId="77777777" w:rsidR="00222D72" w:rsidRPr="00071905" w:rsidRDefault="00222D72" w:rsidP="00400753">
            <w:pPr>
              <w:pStyle w:val="ARtabletextrightbold"/>
              <w:spacing w:before="60" w:after="40"/>
              <w:rPr>
                <w:rFonts w:eastAsia="Arial"/>
              </w:rPr>
            </w:pPr>
            <w:r w:rsidRPr="4E7E9537">
              <w:rPr>
                <w:rFonts w:eastAsia="Arial"/>
              </w:rPr>
              <w:t>Cost</w:t>
            </w:r>
            <w:r>
              <w:br/>
            </w:r>
            <w:r w:rsidRPr="4E7E9537">
              <w:rPr>
                <w:rFonts w:eastAsia="Arial"/>
              </w:rPr>
              <w:t>($M)</w:t>
            </w:r>
          </w:p>
        </w:tc>
      </w:tr>
      <w:tr w:rsidR="00222D72" w14:paraId="2522A750" w14:textId="77777777" w:rsidTr="00B4472B">
        <w:trPr>
          <w:cantSplit w:val="0"/>
        </w:trPr>
        <w:tc>
          <w:tcPr>
            <w:tcW w:w="2835" w:type="dxa"/>
          </w:tcPr>
          <w:p w14:paraId="2D01E43B" w14:textId="77777777" w:rsidR="00222D72" w:rsidRDefault="00222D72" w:rsidP="00400753">
            <w:pPr>
              <w:pStyle w:val="ARtabletext"/>
              <w:spacing w:before="60" w:after="40"/>
              <w:rPr>
                <w:rFonts w:eastAsia="Arial"/>
              </w:rPr>
            </w:pPr>
            <w:r w:rsidRPr="4E7E9537">
              <w:rPr>
                <w:rFonts w:eastAsia="Arial"/>
              </w:rPr>
              <w:t>Clinical and related waste</w:t>
            </w:r>
          </w:p>
        </w:tc>
        <w:tc>
          <w:tcPr>
            <w:tcW w:w="1134" w:type="dxa"/>
          </w:tcPr>
          <w:p w14:paraId="3C9D758A" w14:textId="77777777" w:rsidR="00222D72" w:rsidRPr="00A37575" w:rsidRDefault="00222D72" w:rsidP="00400753">
            <w:pPr>
              <w:pStyle w:val="ARtabletextright"/>
              <w:spacing w:before="60" w:after="40"/>
            </w:pPr>
            <w:r w:rsidRPr="4E7E9537">
              <w:t>6,710</w:t>
            </w:r>
          </w:p>
        </w:tc>
        <w:tc>
          <w:tcPr>
            <w:tcW w:w="1134" w:type="dxa"/>
          </w:tcPr>
          <w:p w14:paraId="7FB2FB42" w14:textId="77777777" w:rsidR="00222D72" w:rsidRPr="00A37575" w:rsidRDefault="00222D72" w:rsidP="00400753">
            <w:pPr>
              <w:pStyle w:val="ARtabletextright"/>
              <w:spacing w:before="60" w:after="40"/>
            </w:pPr>
            <w:r w:rsidRPr="4E7E9537">
              <w:t>$9.81</w:t>
            </w:r>
          </w:p>
        </w:tc>
        <w:tc>
          <w:tcPr>
            <w:tcW w:w="1134" w:type="dxa"/>
          </w:tcPr>
          <w:p w14:paraId="105E01CC" w14:textId="77777777" w:rsidR="00222D72" w:rsidRPr="00A37575" w:rsidRDefault="00222D72" w:rsidP="00400753">
            <w:pPr>
              <w:pStyle w:val="ARtabletextright"/>
              <w:spacing w:before="60" w:after="40"/>
            </w:pPr>
            <w:r w:rsidRPr="4E7E9537">
              <w:t>6,383</w:t>
            </w:r>
          </w:p>
        </w:tc>
        <w:tc>
          <w:tcPr>
            <w:tcW w:w="1134" w:type="dxa"/>
          </w:tcPr>
          <w:p w14:paraId="0177BB77" w14:textId="77777777" w:rsidR="00222D72" w:rsidRPr="00A37575" w:rsidRDefault="00222D72" w:rsidP="00400753">
            <w:pPr>
              <w:pStyle w:val="ARtabletextright"/>
              <w:spacing w:before="60" w:after="40"/>
            </w:pPr>
            <w:r w:rsidRPr="4E7E9537">
              <w:t>$9.70</w:t>
            </w:r>
          </w:p>
        </w:tc>
        <w:tc>
          <w:tcPr>
            <w:tcW w:w="1134" w:type="dxa"/>
          </w:tcPr>
          <w:p w14:paraId="695F7B3A" w14:textId="77777777" w:rsidR="00222D72" w:rsidRPr="00A37575" w:rsidRDefault="00222D72" w:rsidP="00400753">
            <w:pPr>
              <w:pStyle w:val="ARtabletextright"/>
              <w:spacing w:before="60" w:after="40"/>
            </w:pPr>
            <w:r w:rsidRPr="4E7E9537">
              <w:t>4,772</w:t>
            </w:r>
          </w:p>
        </w:tc>
        <w:tc>
          <w:tcPr>
            <w:tcW w:w="1134" w:type="dxa"/>
          </w:tcPr>
          <w:p w14:paraId="0F07465A" w14:textId="77777777" w:rsidR="00222D72" w:rsidRPr="00A37575" w:rsidRDefault="00222D72" w:rsidP="00400753">
            <w:pPr>
              <w:pStyle w:val="ARtabletextright"/>
              <w:spacing w:before="60" w:after="40"/>
            </w:pPr>
            <w:r w:rsidRPr="4E7E9537">
              <w:t>$8.22</w:t>
            </w:r>
          </w:p>
        </w:tc>
      </w:tr>
      <w:tr w:rsidR="00222D72" w14:paraId="6BD6E16E" w14:textId="77777777" w:rsidTr="00B4472B">
        <w:trPr>
          <w:cantSplit w:val="0"/>
        </w:trPr>
        <w:tc>
          <w:tcPr>
            <w:tcW w:w="2835" w:type="dxa"/>
          </w:tcPr>
          <w:p w14:paraId="3D797FE1" w14:textId="77777777" w:rsidR="00222D72" w:rsidRDefault="00222D72" w:rsidP="00400753">
            <w:pPr>
              <w:pStyle w:val="ARtabletext"/>
              <w:spacing w:before="60" w:after="40"/>
              <w:rPr>
                <w:rFonts w:eastAsia="Arial"/>
              </w:rPr>
            </w:pPr>
            <w:r w:rsidRPr="4E7E9537">
              <w:rPr>
                <w:rFonts w:eastAsia="Arial"/>
              </w:rPr>
              <w:t>Landfill</w:t>
            </w:r>
          </w:p>
        </w:tc>
        <w:tc>
          <w:tcPr>
            <w:tcW w:w="1134" w:type="dxa"/>
          </w:tcPr>
          <w:p w14:paraId="792BB014" w14:textId="77777777" w:rsidR="00222D72" w:rsidRPr="00A37575" w:rsidRDefault="00222D72" w:rsidP="00400753">
            <w:pPr>
              <w:pStyle w:val="ARtabletextright"/>
              <w:spacing w:before="60" w:after="40"/>
            </w:pPr>
            <w:r w:rsidRPr="4E7E9537">
              <w:t>20,610</w:t>
            </w:r>
          </w:p>
        </w:tc>
        <w:tc>
          <w:tcPr>
            <w:tcW w:w="1134" w:type="dxa"/>
          </w:tcPr>
          <w:p w14:paraId="1C0EEB33" w14:textId="77777777" w:rsidR="00222D72" w:rsidRPr="00A37575" w:rsidRDefault="00222D72" w:rsidP="00400753">
            <w:pPr>
              <w:pStyle w:val="ARtabletextright"/>
              <w:spacing w:before="60" w:after="40"/>
            </w:pPr>
            <w:r w:rsidRPr="4E7E9537">
              <w:t>$5.56</w:t>
            </w:r>
          </w:p>
        </w:tc>
        <w:tc>
          <w:tcPr>
            <w:tcW w:w="1134" w:type="dxa"/>
          </w:tcPr>
          <w:p w14:paraId="0361C7A4" w14:textId="77777777" w:rsidR="00222D72" w:rsidRPr="00A37575" w:rsidRDefault="00222D72" w:rsidP="00400753">
            <w:pPr>
              <w:pStyle w:val="ARtabletextright"/>
              <w:spacing w:before="60" w:after="40"/>
            </w:pPr>
            <w:r w:rsidRPr="4E7E9537">
              <w:t>23,465</w:t>
            </w:r>
          </w:p>
        </w:tc>
        <w:tc>
          <w:tcPr>
            <w:tcW w:w="1134" w:type="dxa"/>
          </w:tcPr>
          <w:p w14:paraId="59349653" w14:textId="77777777" w:rsidR="00222D72" w:rsidRPr="00A37575" w:rsidRDefault="00222D72" w:rsidP="00400753">
            <w:pPr>
              <w:pStyle w:val="ARtabletextright"/>
              <w:spacing w:before="60" w:after="40"/>
            </w:pPr>
            <w:r w:rsidRPr="4E7E9537">
              <w:t>$5.02</w:t>
            </w:r>
          </w:p>
        </w:tc>
        <w:tc>
          <w:tcPr>
            <w:tcW w:w="1134" w:type="dxa"/>
          </w:tcPr>
          <w:p w14:paraId="5177CD63" w14:textId="77777777" w:rsidR="00222D72" w:rsidRPr="00A37575" w:rsidRDefault="00222D72" w:rsidP="00400753">
            <w:pPr>
              <w:pStyle w:val="ARtabletextright"/>
              <w:spacing w:before="60" w:after="40"/>
            </w:pPr>
            <w:r w:rsidRPr="4E7E9537">
              <w:t>22,151</w:t>
            </w:r>
          </w:p>
        </w:tc>
        <w:tc>
          <w:tcPr>
            <w:tcW w:w="1134" w:type="dxa"/>
          </w:tcPr>
          <w:p w14:paraId="7C0F23A1" w14:textId="77777777" w:rsidR="00222D72" w:rsidRPr="00A37575" w:rsidRDefault="00222D72" w:rsidP="00400753">
            <w:pPr>
              <w:pStyle w:val="ARtabletextright"/>
              <w:spacing w:before="60" w:after="40"/>
            </w:pPr>
            <w:r w:rsidRPr="4E7E9537">
              <w:t>$4.90</w:t>
            </w:r>
          </w:p>
        </w:tc>
      </w:tr>
      <w:tr w:rsidR="00222D72" w14:paraId="0F9BD090" w14:textId="77777777" w:rsidTr="00B4472B">
        <w:trPr>
          <w:cantSplit w:val="0"/>
        </w:trPr>
        <w:tc>
          <w:tcPr>
            <w:tcW w:w="2835" w:type="dxa"/>
          </w:tcPr>
          <w:p w14:paraId="2D93223D" w14:textId="77777777" w:rsidR="00222D72" w:rsidRDefault="00222D72" w:rsidP="00400753">
            <w:pPr>
              <w:pStyle w:val="ARtabletext"/>
              <w:spacing w:before="60" w:after="40"/>
              <w:rPr>
                <w:rFonts w:eastAsia="Arial"/>
              </w:rPr>
            </w:pPr>
            <w:r w:rsidRPr="4E7E9537">
              <w:rPr>
                <w:rFonts w:eastAsia="Arial"/>
              </w:rPr>
              <w:t>Recycling</w:t>
            </w:r>
          </w:p>
        </w:tc>
        <w:tc>
          <w:tcPr>
            <w:tcW w:w="1134" w:type="dxa"/>
          </w:tcPr>
          <w:p w14:paraId="00953995" w14:textId="77777777" w:rsidR="00222D72" w:rsidRPr="00A37575" w:rsidRDefault="00222D72" w:rsidP="00400753">
            <w:pPr>
              <w:pStyle w:val="ARtabletextright"/>
              <w:spacing w:before="60" w:after="40"/>
            </w:pPr>
            <w:r w:rsidRPr="4E7E9537">
              <w:t>7,407</w:t>
            </w:r>
          </w:p>
        </w:tc>
        <w:tc>
          <w:tcPr>
            <w:tcW w:w="1134" w:type="dxa"/>
          </w:tcPr>
          <w:p w14:paraId="77CEBE2D" w14:textId="77777777" w:rsidR="00222D72" w:rsidRPr="00A37575" w:rsidRDefault="00222D72" w:rsidP="00400753">
            <w:pPr>
              <w:pStyle w:val="ARtabletextright"/>
              <w:spacing w:before="60" w:after="40"/>
            </w:pPr>
            <w:r w:rsidRPr="4E7E9537">
              <w:t>$1.32</w:t>
            </w:r>
          </w:p>
        </w:tc>
        <w:tc>
          <w:tcPr>
            <w:tcW w:w="1134" w:type="dxa"/>
          </w:tcPr>
          <w:p w14:paraId="5162B544" w14:textId="77777777" w:rsidR="00222D72" w:rsidRPr="00A37575" w:rsidRDefault="00222D72" w:rsidP="00400753">
            <w:pPr>
              <w:pStyle w:val="ARtabletextright"/>
              <w:spacing w:before="60" w:after="40"/>
            </w:pPr>
            <w:r w:rsidRPr="4E7E9537">
              <w:t>9,255</w:t>
            </w:r>
          </w:p>
        </w:tc>
        <w:tc>
          <w:tcPr>
            <w:tcW w:w="1134" w:type="dxa"/>
          </w:tcPr>
          <w:p w14:paraId="52D0CCBD" w14:textId="77777777" w:rsidR="00222D72" w:rsidRPr="00A37575" w:rsidRDefault="00222D72" w:rsidP="00400753">
            <w:pPr>
              <w:pStyle w:val="ARtabletextright"/>
              <w:spacing w:before="60" w:after="40"/>
            </w:pPr>
            <w:r w:rsidRPr="4E7E9537">
              <w:t>$1.77</w:t>
            </w:r>
          </w:p>
        </w:tc>
        <w:tc>
          <w:tcPr>
            <w:tcW w:w="1134" w:type="dxa"/>
          </w:tcPr>
          <w:p w14:paraId="2F4B631A" w14:textId="77777777" w:rsidR="00222D72" w:rsidRPr="00A37575" w:rsidRDefault="00222D72" w:rsidP="00400753">
            <w:pPr>
              <w:pStyle w:val="ARtabletextright"/>
              <w:spacing w:before="60" w:after="40"/>
            </w:pPr>
            <w:r w:rsidRPr="4E7E9537">
              <w:t>8,536</w:t>
            </w:r>
          </w:p>
        </w:tc>
        <w:tc>
          <w:tcPr>
            <w:tcW w:w="1134" w:type="dxa"/>
          </w:tcPr>
          <w:p w14:paraId="7A259A42" w14:textId="77777777" w:rsidR="00222D72" w:rsidRPr="00A37575" w:rsidRDefault="00222D72" w:rsidP="00400753">
            <w:pPr>
              <w:pStyle w:val="ARtabletextright"/>
              <w:spacing w:before="60" w:after="40"/>
            </w:pPr>
            <w:r w:rsidRPr="4E7E9537">
              <w:t>$1.68</w:t>
            </w:r>
          </w:p>
        </w:tc>
      </w:tr>
      <w:tr w:rsidR="00222D72" w14:paraId="2089F485" w14:textId="77777777" w:rsidTr="00B4472B">
        <w:trPr>
          <w:cantSplit w:val="0"/>
        </w:trPr>
        <w:tc>
          <w:tcPr>
            <w:tcW w:w="2835" w:type="dxa"/>
          </w:tcPr>
          <w:p w14:paraId="679CDE15" w14:textId="77777777" w:rsidR="00222D72" w:rsidRDefault="00222D72" w:rsidP="00400753">
            <w:pPr>
              <w:pStyle w:val="ARtabletext"/>
              <w:spacing w:before="60" w:after="40"/>
              <w:rPr>
                <w:rFonts w:eastAsia="Arial"/>
              </w:rPr>
            </w:pPr>
            <w:r w:rsidRPr="4E7E9537">
              <w:rPr>
                <w:rFonts w:eastAsia="Arial"/>
                <w:b/>
                <w:bCs/>
              </w:rPr>
              <w:t>Total</w:t>
            </w:r>
          </w:p>
        </w:tc>
        <w:tc>
          <w:tcPr>
            <w:tcW w:w="1134" w:type="dxa"/>
          </w:tcPr>
          <w:p w14:paraId="0800A732" w14:textId="77777777" w:rsidR="00222D72" w:rsidRPr="00A37575" w:rsidRDefault="00222D72" w:rsidP="00400753">
            <w:pPr>
              <w:pStyle w:val="ARtabletextrightbold"/>
              <w:spacing w:before="60" w:after="40"/>
            </w:pPr>
            <w:r w:rsidRPr="4E7E9537">
              <w:t>34,72</w:t>
            </w:r>
            <w:r>
              <w:t>7</w:t>
            </w:r>
          </w:p>
        </w:tc>
        <w:tc>
          <w:tcPr>
            <w:tcW w:w="1134" w:type="dxa"/>
          </w:tcPr>
          <w:p w14:paraId="1C1ADB4B" w14:textId="77777777" w:rsidR="00222D72" w:rsidRPr="00A37575" w:rsidRDefault="00222D72" w:rsidP="00400753">
            <w:pPr>
              <w:pStyle w:val="ARtabletextrightbold"/>
              <w:spacing w:before="60" w:after="40"/>
            </w:pPr>
            <w:r w:rsidRPr="4E7E9537">
              <w:t>$16.</w:t>
            </w:r>
            <w:r>
              <w:t>69</w:t>
            </w:r>
          </w:p>
        </w:tc>
        <w:tc>
          <w:tcPr>
            <w:tcW w:w="1134" w:type="dxa"/>
          </w:tcPr>
          <w:p w14:paraId="4D5B9394" w14:textId="77777777" w:rsidR="00222D72" w:rsidRPr="00A37575" w:rsidRDefault="00222D72" w:rsidP="00400753">
            <w:pPr>
              <w:pStyle w:val="ARtabletextrightbold"/>
              <w:spacing w:before="60" w:after="40"/>
            </w:pPr>
            <w:r w:rsidRPr="4E7E9537">
              <w:t>39,103</w:t>
            </w:r>
          </w:p>
        </w:tc>
        <w:tc>
          <w:tcPr>
            <w:tcW w:w="1134" w:type="dxa"/>
          </w:tcPr>
          <w:p w14:paraId="4D396B9B" w14:textId="77777777" w:rsidR="00222D72" w:rsidRPr="00A37575" w:rsidRDefault="00222D72" w:rsidP="00400753">
            <w:pPr>
              <w:pStyle w:val="ARtabletextrightbold"/>
              <w:spacing w:before="60" w:after="40"/>
            </w:pPr>
            <w:r w:rsidRPr="4E7E9537">
              <w:t>$16.49</w:t>
            </w:r>
          </w:p>
        </w:tc>
        <w:tc>
          <w:tcPr>
            <w:tcW w:w="1134" w:type="dxa"/>
          </w:tcPr>
          <w:p w14:paraId="2EE20728" w14:textId="77777777" w:rsidR="00222D72" w:rsidRPr="00A37575" w:rsidRDefault="00222D72" w:rsidP="00400753">
            <w:pPr>
              <w:pStyle w:val="ARtabletextrightbold"/>
              <w:spacing w:before="60" w:after="40"/>
            </w:pPr>
            <w:r w:rsidRPr="4E7E9537">
              <w:t>35,459</w:t>
            </w:r>
          </w:p>
        </w:tc>
        <w:tc>
          <w:tcPr>
            <w:tcW w:w="1134" w:type="dxa"/>
          </w:tcPr>
          <w:p w14:paraId="303947F3" w14:textId="77777777" w:rsidR="00222D72" w:rsidRPr="00A37575" w:rsidRDefault="00222D72" w:rsidP="00400753">
            <w:pPr>
              <w:pStyle w:val="ARtabletextrightbold"/>
              <w:spacing w:before="60" w:after="40"/>
            </w:pPr>
            <w:r w:rsidRPr="4E7E9537">
              <w:t>$14.80</w:t>
            </w:r>
          </w:p>
        </w:tc>
      </w:tr>
    </w:tbl>
    <w:p w14:paraId="6776517B" w14:textId="77777777" w:rsidR="00222D72" w:rsidRDefault="00222D72" w:rsidP="00B4472B">
      <w:pPr>
        <w:pStyle w:val="ARbodynospace"/>
      </w:pPr>
    </w:p>
    <w:tbl>
      <w:tblPr>
        <w:tblStyle w:val="TableGrid"/>
        <w:tblW w:w="9639" w:type="dxa"/>
        <w:tblLayout w:type="fixed"/>
        <w:tblLook w:val="06A0" w:firstRow="1" w:lastRow="0" w:firstColumn="1" w:lastColumn="0" w:noHBand="1" w:noVBand="1"/>
      </w:tblPr>
      <w:tblGrid>
        <w:gridCol w:w="4536"/>
        <w:gridCol w:w="1701"/>
        <w:gridCol w:w="1701"/>
        <w:gridCol w:w="1701"/>
      </w:tblGrid>
      <w:tr w:rsidR="00222D72" w14:paraId="1A666B58" w14:textId="77777777" w:rsidTr="003E09F6">
        <w:trPr>
          <w:cnfStyle w:val="100000000000" w:firstRow="1" w:lastRow="0" w:firstColumn="0" w:lastColumn="0" w:oddVBand="0" w:evenVBand="0" w:oddHBand="0" w:evenHBand="0" w:firstRowFirstColumn="0" w:firstRowLastColumn="0" w:lastRowFirstColumn="0" w:lastRowLastColumn="0"/>
          <w:trHeight w:val="270"/>
          <w:tblHeader/>
        </w:trPr>
        <w:tc>
          <w:tcPr>
            <w:tcW w:w="4536" w:type="dxa"/>
          </w:tcPr>
          <w:p w14:paraId="4120BA3E" w14:textId="77777777" w:rsidR="00222D72" w:rsidRDefault="00222D72" w:rsidP="008B5BD3">
            <w:pPr>
              <w:pStyle w:val="ARtablecolhead"/>
              <w:spacing w:before="60" w:after="40"/>
              <w:rPr>
                <w:rFonts w:eastAsia="Arial"/>
              </w:rPr>
            </w:pPr>
            <w:r w:rsidRPr="4E7E9537">
              <w:rPr>
                <w:rFonts w:eastAsia="Arial"/>
              </w:rPr>
              <w:t>Description</w:t>
            </w:r>
          </w:p>
        </w:tc>
        <w:tc>
          <w:tcPr>
            <w:tcW w:w="1701" w:type="dxa"/>
          </w:tcPr>
          <w:p w14:paraId="1F95BF35" w14:textId="77777777" w:rsidR="00222D72" w:rsidRPr="00EA1181" w:rsidRDefault="00222D72" w:rsidP="008B5BD3">
            <w:pPr>
              <w:pStyle w:val="ARtablecolheadright"/>
              <w:spacing w:before="60" w:after="40"/>
              <w:rPr>
                <w:rFonts w:eastAsia="Arial"/>
                <w:color w:val="000000" w:themeColor="text1"/>
              </w:rPr>
            </w:pPr>
            <w:r w:rsidRPr="4E7E9537">
              <w:rPr>
                <w:rFonts w:eastAsia="Arial"/>
                <w:color w:val="000000" w:themeColor="text1"/>
              </w:rPr>
              <w:t>2021–22 estimate</w:t>
            </w:r>
          </w:p>
        </w:tc>
        <w:tc>
          <w:tcPr>
            <w:tcW w:w="1701" w:type="dxa"/>
          </w:tcPr>
          <w:p w14:paraId="4ED51032" w14:textId="77777777" w:rsidR="00222D72" w:rsidRPr="00EA1181" w:rsidRDefault="00222D72" w:rsidP="008B5BD3">
            <w:pPr>
              <w:pStyle w:val="ARtablecolheadright"/>
              <w:spacing w:before="60" w:after="40"/>
              <w:rPr>
                <w:rFonts w:eastAsia="Arial"/>
                <w:color w:val="000000" w:themeColor="text1"/>
              </w:rPr>
            </w:pPr>
            <w:r w:rsidRPr="4E7E9537">
              <w:rPr>
                <w:rFonts w:eastAsia="Arial"/>
                <w:color w:val="000000" w:themeColor="text1"/>
              </w:rPr>
              <w:t>2020–21 estimate</w:t>
            </w:r>
          </w:p>
        </w:tc>
        <w:tc>
          <w:tcPr>
            <w:tcW w:w="1701" w:type="dxa"/>
          </w:tcPr>
          <w:p w14:paraId="5EDB33FD" w14:textId="77777777" w:rsidR="00222D72" w:rsidRPr="00EA1181" w:rsidRDefault="00222D72" w:rsidP="008B5BD3">
            <w:pPr>
              <w:pStyle w:val="ARtablecolheadright"/>
              <w:spacing w:before="60" w:after="40"/>
              <w:rPr>
                <w:rFonts w:eastAsia="Arial"/>
                <w:color w:val="000000" w:themeColor="text1"/>
              </w:rPr>
            </w:pPr>
            <w:r w:rsidRPr="4E7E9537">
              <w:rPr>
                <w:rFonts w:eastAsia="Arial"/>
                <w:color w:val="000000" w:themeColor="text1"/>
              </w:rPr>
              <w:t>2019–20 estimate</w:t>
            </w:r>
          </w:p>
        </w:tc>
      </w:tr>
      <w:tr w:rsidR="00222D72" w14:paraId="013AB902" w14:textId="77777777" w:rsidTr="003E09F6">
        <w:trPr>
          <w:cantSplit w:val="0"/>
          <w:trHeight w:val="270"/>
        </w:trPr>
        <w:tc>
          <w:tcPr>
            <w:tcW w:w="4536" w:type="dxa"/>
          </w:tcPr>
          <w:p w14:paraId="6630E12A" w14:textId="77777777" w:rsidR="00222D72" w:rsidRDefault="00222D72" w:rsidP="008B5BD3">
            <w:pPr>
              <w:pStyle w:val="ARtabletext"/>
              <w:spacing w:before="60" w:after="40"/>
              <w:rPr>
                <w:rFonts w:eastAsia="Arial"/>
              </w:rPr>
            </w:pPr>
            <w:r w:rsidRPr="4E7E9537">
              <w:rPr>
                <w:rFonts w:eastAsia="Arial"/>
              </w:rPr>
              <w:t>Recycling rate (per cent)</w:t>
            </w:r>
          </w:p>
        </w:tc>
        <w:tc>
          <w:tcPr>
            <w:tcW w:w="1701" w:type="dxa"/>
          </w:tcPr>
          <w:p w14:paraId="7C3AEC0F" w14:textId="77777777" w:rsidR="00222D72" w:rsidRPr="00EA1181" w:rsidRDefault="00222D72" w:rsidP="008B5BD3">
            <w:pPr>
              <w:pStyle w:val="ARtabletextright"/>
              <w:spacing w:before="60" w:after="40"/>
            </w:pPr>
            <w:r w:rsidRPr="434CC132">
              <w:t>26</w:t>
            </w:r>
          </w:p>
        </w:tc>
        <w:tc>
          <w:tcPr>
            <w:tcW w:w="1701" w:type="dxa"/>
          </w:tcPr>
          <w:p w14:paraId="7B7EF98D" w14:textId="77777777" w:rsidR="00222D72" w:rsidRPr="00EA1181" w:rsidRDefault="00222D72" w:rsidP="008B5BD3">
            <w:pPr>
              <w:pStyle w:val="ARtabletextright"/>
              <w:spacing w:before="60" w:after="40"/>
            </w:pPr>
            <w:r w:rsidRPr="434CC132">
              <w:t>28</w:t>
            </w:r>
          </w:p>
        </w:tc>
        <w:tc>
          <w:tcPr>
            <w:tcW w:w="1701" w:type="dxa"/>
          </w:tcPr>
          <w:p w14:paraId="51388B09" w14:textId="77777777" w:rsidR="00222D72" w:rsidRPr="00EA1181" w:rsidRDefault="00222D72" w:rsidP="008B5BD3">
            <w:pPr>
              <w:pStyle w:val="ARtabletextright"/>
              <w:spacing w:before="60" w:after="40"/>
            </w:pPr>
            <w:r w:rsidRPr="434CC132">
              <w:t>28</w:t>
            </w:r>
          </w:p>
        </w:tc>
      </w:tr>
      <w:tr w:rsidR="00222D72" w14:paraId="335CBD97" w14:textId="77777777" w:rsidTr="003E09F6">
        <w:trPr>
          <w:cantSplit w:val="0"/>
          <w:trHeight w:val="270"/>
        </w:trPr>
        <w:tc>
          <w:tcPr>
            <w:tcW w:w="4536" w:type="dxa"/>
          </w:tcPr>
          <w:p w14:paraId="44D821F2" w14:textId="77777777" w:rsidR="00222D72" w:rsidRDefault="00222D72" w:rsidP="008B5BD3">
            <w:pPr>
              <w:pStyle w:val="ARtabletext"/>
              <w:spacing w:before="60" w:after="40"/>
              <w:rPr>
                <w:rFonts w:eastAsia="Arial"/>
              </w:rPr>
            </w:pPr>
            <w:r w:rsidRPr="4E7E9537">
              <w:rPr>
                <w:rFonts w:eastAsia="Arial"/>
              </w:rPr>
              <w:t>Waste produced per patient treated (kilograms/PPT)</w:t>
            </w:r>
          </w:p>
        </w:tc>
        <w:tc>
          <w:tcPr>
            <w:tcW w:w="1701" w:type="dxa"/>
          </w:tcPr>
          <w:p w14:paraId="329B1ECD" w14:textId="77777777" w:rsidR="00222D72" w:rsidRPr="00EA1181" w:rsidRDefault="00222D72" w:rsidP="008B5BD3">
            <w:pPr>
              <w:pStyle w:val="ARtabletextright"/>
              <w:spacing w:before="60" w:after="40"/>
            </w:pPr>
            <w:r w:rsidRPr="4E7E9537">
              <w:t>3.21</w:t>
            </w:r>
          </w:p>
        </w:tc>
        <w:tc>
          <w:tcPr>
            <w:tcW w:w="1701" w:type="dxa"/>
          </w:tcPr>
          <w:p w14:paraId="03F97445" w14:textId="77777777" w:rsidR="00222D72" w:rsidRPr="00EA1181" w:rsidRDefault="00222D72" w:rsidP="008B5BD3">
            <w:pPr>
              <w:pStyle w:val="ARtabletextright"/>
              <w:spacing w:before="60" w:after="40"/>
            </w:pPr>
            <w:r w:rsidRPr="4E7E9537">
              <w:t>3.53</w:t>
            </w:r>
          </w:p>
        </w:tc>
        <w:tc>
          <w:tcPr>
            <w:tcW w:w="1701" w:type="dxa"/>
          </w:tcPr>
          <w:p w14:paraId="13EE2DB9" w14:textId="77777777" w:rsidR="00222D72" w:rsidRPr="00EA1181" w:rsidRDefault="00222D72" w:rsidP="008B5BD3">
            <w:pPr>
              <w:pStyle w:val="ARtabletextright"/>
              <w:spacing w:before="60" w:after="40"/>
            </w:pPr>
            <w:r w:rsidRPr="4E7E9537">
              <w:t>3.30</w:t>
            </w:r>
          </w:p>
        </w:tc>
      </w:tr>
      <w:tr w:rsidR="00222D72" w14:paraId="4C39421F" w14:textId="77777777" w:rsidTr="003E09F6">
        <w:trPr>
          <w:cantSplit w:val="0"/>
          <w:trHeight w:val="270"/>
        </w:trPr>
        <w:tc>
          <w:tcPr>
            <w:tcW w:w="4536" w:type="dxa"/>
          </w:tcPr>
          <w:p w14:paraId="07E22A38" w14:textId="698176C7" w:rsidR="00222D72" w:rsidRDefault="00222D72" w:rsidP="008B5BD3">
            <w:pPr>
              <w:pStyle w:val="ARtabletext"/>
              <w:spacing w:before="60" w:after="40"/>
              <w:rPr>
                <w:rFonts w:eastAsia="Arial"/>
              </w:rPr>
            </w:pPr>
            <w:r w:rsidRPr="4E7E9537">
              <w:rPr>
                <w:rFonts w:eastAsia="Arial"/>
              </w:rPr>
              <w:t>Greenhouse gas emissions associated with waste to landfill (tonnes of CO</w:t>
            </w:r>
            <w:r w:rsidR="0072453F" w:rsidRPr="00125EE1">
              <w:rPr>
                <w:rStyle w:val="Subscript"/>
              </w:rPr>
              <w:t>2</w:t>
            </w:r>
            <w:r w:rsidRPr="4E7E9537">
              <w:rPr>
                <w:rFonts w:eastAsia="Arial"/>
              </w:rPr>
              <w:t>-e)</w:t>
            </w:r>
          </w:p>
        </w:tc>
        <w:tc>
          <w:tcPr>
            <w:tcW w:w="1701" w:type="dxa"/>
          </w:tcPr>
          <w:p w14:paraId="0A7A4A17" w14:textId="77777777" w:rsidR="00222D72" w:rsidRPr="00EA1181" w:rsidRDefault="00222D72" w:rsidP="008B5BD3">
            <w:pPr>
              <w:pStyle w:val="ARtabletextright"/>
              <w:spacing w:before="60" w:after="40"/>
            </w:pPr>
            <w:r w:rsidRPr="4E7E9537">
              <w:t>35,328</w:t>
            </w:r>
          </w:p>
        </w:tc>
        <w:tc>
          <w:tcPr>
            <w:tcW w:w="1701" w:type="dxa"/>
          </w:tcPr>
          <w:p w14:paraId="1078FA1F" w14:textId="77777777" w:rsidR="00222D72" w:rsidRPr="00EA1181" w:rsidRDefault="00222D72" w:rsidP="008B5BD3">
            <w:pPr>
              <w:pStyle w:val="ARtabletextright"/>
              <w:spacing w:before="60" w:after="40"/>
            </w:pPr>
            <w:r w:rsidRPr="4E7E9537">
              <w:t>38,607</w:t>
            </w:r>
          </w:p>
        </w:tc>
        <w:tc>
          <w:tcPr>
            <w:tcW w:w="1701" w:type="dxa"/>
          </w:tcPr>
          <w:p w14:paraId="0C203FB9" w14:textId="77777777" w:rsidR="00222D72" w:rsidRPr="00EA1181" w:rsidRDefault="00222D72" w:rsidP="008B5BD3">
            <w:pPr>
              <w:pStyle w:val="ARtabletextright"/>
              <w:spacing w:before="60" w:after="40"/>
            </w:pPr>
            <w:r w:rsidRPr="4E7E9537">
              <w:t>32,252</w:t>
            </w:r>
          </w:p>
        </w:tc>
      </w:tr>
    </w:tbl>
    <w:p w14:paraId="4BAA75A7" w14:textId="77777777" w:rsidR="00222D72" w:rsidRDefault="00222D72" w:rsidP="008B5BD3">
      <w:pPr>
        <w:pStyle w:val="ARtablefootnote"/>
        <w:spacing w:before="60"/>
        <w:rPr>
          <w:rFonts w:eastAsia="Arial" w:cs="Arial"/>
          <w:color w:val="000000" w:themeColor="text1"/>
        </w:rPr>
      </w:pPr>
      <w:r w:rsidRPr="47AEECA1">
        <w:rPr>
          <w:rFonts w:eastAsia="Arial" w:cs="Arial"/>
          <w:color w:val="000000" w:themeColor="text1"/>
        </w:rPr>
        <w:t>Public health services are GST-exempt organisations. Reported cost data for public health services is exclusive of GST.</w:t>
      </w:r>
    </w:p>
    <w:p w14:paraId="65707210" w14:textId="77777777" w:rsidR="00222D72" w:rsidRDefault="00222D72" w:rsidP="008B5BD3">
      <w:pPr>
        <w:pStyle w:val="ARtablefootnote"/>
        <w:spacing w:before="60"/>
        <w:rPr>
          <w:rFonts w:eastAsia="Arial" w:cs="Arial"/>
          <w:color w:val="000000" w:themeColor="text1"/>
        </w:rPr>
      </w:pPr>
      <w:r w:rsidRPr="47AEECA1">
        <w:rPr>
          <w:rFonts w:eastAsia="Arial" w:cs="Arial"/>
          <w:color w:val="000000" w:themeColor="text1"/>
        </w:rPr>
        <w:t>Clinical and related wastes include clinical, sharps, cytotoxic, pharmaceutical, chemical and anatomical waste streams.</w:t>
      </w:r>
    </w:p>
    <w:p w14:paraId="25D4CD52" w14:textId="77777777" w:rsidR="00222D72" w:rsidRDefault="00222D72" w:rsidP="008B5BD3">
      <w:pPr>
        <w:pStyle w:val="ARtablefootnote"/>
        <w:spacing w:before="60"/>
        <w:rPr>
          <w:rFonts w:eastAsia="Arial" w:cs="Arial"/>
          <w:color w:val="000000" w:themeColor="text1"/>
        </w:rPr>
      </w:pPr>
      <w:r w:rsidRPr="47AEECA1">
        <w:rPr>
          <w:rFonts w:eastAsia="Arial" w:cs="Arial"/>
          <w:color w:val="000000" w:themeColor="text1"/>
        </w:rPr>
        <w:t>Recycling includes batteries, cardboard, co-mingled, e-waste, fluorescent tubes, grease traps, mattresses, metals, mobile phones, organics, PVC, packaging films/plastics, paper, polystyrene, sterilization wrap, toner and printer cartridges, and wood.</w:t>
      </w:r>
    </w:p>
    <w:p w14:paraId="6FD57FC7" w14:textId="77777777" w:rsidR="00222D72" w:rsidRDefault="00222D72" w:rsidP="008B5BD3">
      <w:pPr>
        <w:pStyle w:val="ARtablefootnote"/>
        <w:spacing w:before="60"/>
        <w:rPr>
          <w:rFonts w:eastAsia="Arial" w:cs="Arial"/>
          <w:color w:val="000000" w:themeColor="text1"/>
        </w:rPr>
      </w:pPr>
      <w:r w:rsidRPr="47AEECA1">
        <w:rPr>
          <w:rFonts w:eastAsia="Arial" w:cs="Arial"/>
          <w:color w:val="000000" w:themeColor="text1"/>
        </w:rPr>
        <w:t>Data for some recycling streams was unavailable at the time of printing, so figures reported may not represent the full extent of materials recycled.</w:t>
      </w:r>
    </w:p>
    <w:p w14:paraId="6C93EFF3" w14:textId="77777777" w:rsidR="00222D72" w:rsidRDefault="00222D72" w:rsidP="008B5BD3">
      <w:pPr>
        <w:pStyle w:val="ARtablefootnote"/>
        <w:spacing w:before="60"/>
        <w:rPr>
          <w:rFonts w:eastAsia="Arial" w:cs="Arial"/>
          <w:color w:val="000000" w:themeColor="text1"/>
        </w:rPr>
      </w:pPr>
      <w:r w:rsidRPr="47AEECA1">
        <w:rPr>
          <w:rFonts w:eastAsia="Arial" w:cs="Arial"/>
          <w:color w:val="000000" w:themeColor="text1"/>
        </w:rPr>
        <w:t>Waste produced per patient treated is an aggregation of inpatient bed days, aged care bed days, separations and emergency department presentations.</w:t>
      </w:r>
    </w:p>
    <w:p w14:paraId="02692475" w14:textId="77777777" w:rsidR="00222D72" w:rsidRDefault="00222D72" w:rsidP="004C7BEF">
      <w:pPr>
        <w:pStyle w:val="Heading4"/>
        <w:rPr>
          <w:rFonts w:eastAsia="Arial"/>
        </w:rPr>
      </w:pPr>
      <w:r w:rsidRPr="47AEECA1">
        <w:rPr>
          <w:rFonts w:eastAsia="Arial"/>
        </w:rPr>
        <w:t>Transportation</w:t>
      </w:r>
    </w:p>
    <w:p w14:paraId="16A854A1" w14:textId="77777777" w:rsidR="00222D72" w:rsidRDefault="00222D72" w:rsidP="008B5BD3">
      <w:pPr>
        <w:pStyle w:val="Heading5"/>
        <w:spacing w:before="120"/>
        <w:rPr>
          <w:rFonts w:eastAsia="Arial" w:cs="Arial"/>
          <w:bCs/>
          <w:szCs w:val="22"/>
        </w:rPr>
      </w:pPr>
      <w:r w:rsidRPr="47AEECA1">
        <w:rPr>
          <w:rFonts w:eastAsia="Arial" w:cs="Arial"/>
          <w:bCs/>
          <w:szCs w:val="22"/>
        </w:rPr>
        <w:t>Vehicle fleet</w:t>
      </w:r>
    </w:p>
    <w:tbl>
      <w:tblPr>
        <w:tblStyle w:val="TableGrid"/>
        <w:tblW w:w="9639" w:type="dxa"/>
        <w:tblLayout w:type="fixed"/>
        <w:tblLook w:val="06A0" w:firstRow="1" w:lastRow="0" w:firstColumn="1" w:lastColumn="0" w:noHBand="1" w:noVBand="1"/>
      </w:tblPr>
      <w:tblGrid>
        <w:gridCol w:w="2835"/>
        <w:gridCol w:w="1134"/>
        <w:gridCol w:w="1134"/>
        <w:gridCol w:w="1134"/>
        <w:gridCol w:w="1134"/>
        <w:gridCol w:w="1134"/>
        <w:gridCol w:w="1134"/>
      </w:tblGrid>
      <w:tr w:rsidR="00222D72" w14:paraId="45C1C85F" w14:textId="77777777" w:rsidTr="003E09F6">
        <w:trPr>
          <w:cnfStyle w:val="100000000000" w:firstRow="1" w:lastRow="0" w:firstColumn="0" w:lastColumn="0" w:oddVBand="0" w:evenVBand="0" w:oddHBand="0" w:evenHBand="0" w:firstRowFirstColumn="0" w:firstRowLastColumn="0" w:lastRowFirstColumn="0" w:lastRowLastColumn="0"/>
          <w:tblHeader/>
        </w:trPr>
        <w:tc>
          <w:tcPr>
            <w:tcW w:w="2835" w:type="dxa"/>
            <w:vMerge w:val="restart"/>
          </w:tcPr>
          <w:p w14:paraId="52C359D7" w14:textId="77777777" w:rsidR="00222D72" w:rsidRDefault="00222D72" w:rsidP="008B5BD3">
            <w:pPr>
              <w:pStyle w:val="ARtablecolhead"/>
              <w:spacing w:before="60" w:after="40"/>
              <w:rPr>
                <w:rFonts w:eastAsia="Arial"/>
                <w:bCs/>
              </w:rPr>
            </w:pPr>
            <w:r w:rsidRPr="47AEECA1">
              <w:rPr>
                <w:rFonts w:eastAsia="Arial"/>
                <w:bCs/>
              </w:rPr>
              <w:t>Description</w:t>
            </w:r>
          </w:p>
        </w:tc>
        <w:tc>
          <w:tcPr>
            <w:tcW w:w="1134" w:type="dxa"/>
            <w:gridSpan w:val="6"/>
          </w:tcPr>
          <w:p w14:paraId="2B5A642C" w14:textId="77777777" w:rsidR="00222D72" w:rsidRDefault="00222D72" w:rsidP="008B5BD3">
            <w:pPr>
              <w:pStyle w:val="ARtablecolheadcentre"/>
              <w:spacing w:before="60" w:after="40"/>
              <w:rPr>
                <w:rFonts w:eastAsia="Arial"/>
                <w:bCs/>
              </w:rPr>
            </w:pPr>
            <w:r w:rsidRPr="47AEECA1">
              <w:rPr>
                <w:rFonts w:eastAsia="Arial"/>
                <w:bCs/>
              </w:rPr>
              <w:t>Vehicle type</w:t>
            </w:r>
          </w:p>
        </w:tc>
      </w:tr>
      <w:tr w:rsidR="00222D72" w14:paraId="5ED00B73" w14:textId="77777777" w:rsidTr="003E09F6">
        <w:trPr>
          <w:cnfStyle w:val="100000000000" w:firstRow="1" w:lastRow="0" w:firstColumn="0" w:lastColumn="0" w:oddVBand="0" w:evenVBand="0" w:oddHBand="0" w:evenHBand="0" w:firstRowFirstColumn="0" w:firstRowLastColumn="0" w:lastRowFirstColumn="0" w:lastRowLastColumn="0"/>
          <w:tblHeader/>
        </w:trPr>
        <w:tc>
          <w:tcPr>
            <w:tcW w:w="2835" w:type="dxa"/>
            <w:vMerge/>
            <w:vAlign w:val="center"/>
          </w:tcPr>
          <w:p w14:paraId="3630BCEE" w14:textId="77777777" w:rsidR="00222D72" w:rsidRDefault="00222D72" w:rsidP="008B5BD3">
            <w:pPr>
              <w:spacing w:before="60" w:after="40"/>
            </w:pPr>
          </w:p>
        </w:tc>
        <w:tc>
          <w:tcPr>
            <w:tcW w:w="1134" w:type="dxa"/>
          </w:tcPr>
          <w:p w14:paraId="06CCB6D4" w14:textId="77777777" w:rsidR="00222D72" w:rsidRDefault="00222D72" w:rsidP="008B5BD3">
            <w:pPr>
              <w:pStyle w:val="ARtablecolheadright"/>
              <w:spacing w:before="60" w:after="40"/>
              <w:rPr>
                <w:rFonts w:eastAsia="Arial"/>
                <w:bCs/>
              </w:rPr>
            </w:pPr>
            <w:r w:rsidRPr="47AEECA1">
              <w:rPr>
                <w:rFonts w:eastAsia="Arial"/>
                <w:bCs/>
              </w:rPr>
              <w:t>Electric</w:t>
            </w:r>
          </w:p>
        </w:tc>
        <w:tc>
          <w:tcPr>
            <w:tcW w:w="1134" w:type="dxa"/>
          </w:tcPr>
          <w:p w14:paraId="768E979D" w14:textId="77777777" w:rsidR="00222D72" w:rsidRDefault="00222D72" w:rsidP="008B5BD3">
            <w:pPr>
              <w:pStyle w:val="ARtablecolheadright"/>
              <w:spacing w:before="60" w:after="40"/>
              <w:rPr>
                <w:rFonts w:eastAsia="Arial"/>
                <w:bCs/>
              </w:rPr>
            </w:pPr>
            <w:r w:rsidRPr="47AEECA1">
              <w:rPr>
                <w:rFonts w:eastAsia="Arial"/>
                <w:bCs/>
              </w:rPr>
              <w:t>Hybrid</w:t>
            </w:r>
          </w:p>
        </w:tc>
        <w:tc>
          <w:tcPr>
            <w:tcW w:w="1134" w:type="dxa"/>
          </w:tcPr>
          <w:p w14:paraId="575B4F81" w14:textId="77777777" w:rsidR="00222D72" w:rsidRDefault="00222D72" w:rsidP="008B5BD3">
            <w:pPr>
              <w:pStyle w:val="ARtablecolheadright"/>
              <w:spacing w:before="60" w:after="40"/>
              <w:rPr>
                <w:rFonts w:eastAsia="Arial"/>
                <w:bCs/>
              </w:rPr>
            </w:pPr>
            <w:r w:rsidRPr="47AEECA1">
              <w:rPr>
                <w:rFonts w:eastAsia="Arial"/>
                <w:bCs/>
              </w:rPr>
              <w:t>1–3 cylinder unleaded petrol</w:t>
            </w:r>
          </w:p>
        </w:tc>
        <w:tc>
          <w:tcPr>
            <w:tcW w:w="1134" w:type="dxa"/>
          </w:tcPr>
          <w:p w14:paraId="6505F03D" w14:textId="77777777" w:rsidR="00222D72" w:rsidRDefault="00222D72" w:rsidP="008B5BD3">
            <w:pPr>
              <w:pStyle w:val="ARtablecolheadright"/>
              <w:spacing w:before="60" w:after="40"/>
              <w:rPr>
                <w:rFonts w:eastAsia="Arial"/>
                <w:bCs/>
              </w:rPr>
            </w:pPr>
            <w:r w:rsidRPr="47AEECA1">
              <w:rPr>
                <w:rFonts w:eastAsia="Arial"/>
                <w:bCs/>
              </w:rPr>
              <w:t>4-cylinder unleaded petrol</w:t>
            </w:r>
          </w:p>
        </w:tc>
        <w:tc>
          <w:tcPr>
            <w:tcW w:w="1134" w:type="dxa"/>
          </w:tcPr>
          <w:p w14:paraId="2FDE2EF9" w14:textId="77777777" w:rsidR="00222D72" w:rsidRDefault="00222D72" w:rsidP="008B5BD3">
            <w:pPr>
              <w:pStyle w:val="ARtablecolheadright"/>
              <w:spacing w:before="60" w:after="40"/>
              <w:rPr>
                <w:rFonts w:eastAsia="Arial"/>
                <w:bCs/>
              </w:rPr>
            </w:pPr>
            <w:r w:rsidRPr="47AEECA1">
              <w:rPr>
                <w:rFonts w:eastAsia="Arial"/>
                <w:bCs/>
              </w:rPr>
              <w:t xml:space="preserve">6-cylinder unleaded petrol </w:t>
            </w:r>
          </w:p>
        </w:tc>
        <w:tc>
          <w:tcPr>
            <w:tcW w:w="1134" w:type="dxa"/>
          </w:tcPr>
          <w:p w14:paraId="79BCE5FD" w14:textId="77777777" w:rsidR="00222D72" w:rsidRDefault="00222D72" w:rsidP="008B5BD3">
            <w:pPr>
              <w:pStyle w:val="ARtablecolheadright"/>
              <w:spacing w:before="60" w:after="40"/>
              <w:rPr>
                <w:rFonts w:eastAsia="Arial"/>
                <w:bCs/>
              </w:rPr>
            </w:pPr>
            <w:r w:rsidRPr="47AEECA1">
              <w:rPr>
                <w:rFonts w:eastAsia="Arial"/>
                <w:bCs/>
              </w:rPr>
              <w:t>Diesel</w:t>
            </w:r>
          </w:p>
        </w:tc>
      </w:tr>
      <w:tr w:rsidR="00222D72" w14:paraId="3209ADEB" w14:textId="77777777" w:rsidTr="003E09F6">
        <w:tc>
          <w:tcPr>
            <w:tcW w:w="2835" w:type="dxa"/>
          </w:tcPr>
          <w:p w14:paraId="6E54343C" w14:textId="77777777" w:rsidR="00222D72" w:rsidRDefault="00222D72" w:rsidP="008B5BD3">
            <w:pPr>
              <w:pStyle w:val="ARtabletext"/>
              <w:spacing w:before="60" w:after="40"/>
              <w:rPr>
                <w:rFonts w:eastAsia="Arial"/>
              </w:rPr>
            </w:pPr>
            <w:r w:rsidRPr="47AEECA1">
              <w:rPr>
                <w:rFonts w:eastAsia="Arial"/>
              </w:rPr>
              <w:t>Commercial</w:t>
            </w:r>
          </w:p>
        </w:tc>
        <w:tc>
          <w:tcPr>
            <w:tcW w:w="1134" w:type="dxa"/>
          </w:tcPr>
          <w:p w14:paraId="2F64CC7F" w14:textId="77777777" w:rsidR="00222D72" w:rsidRDefault="00222D72" w:rsidP="008B5BD3">
            <w:pPr>
              <w:pStyle w:val="ARtabletextright"/>
              <w:spacing w:before="60" w:after="40"/>
            </w:pPr>
            <w:r w:rsidRPr="47AEECA1">
              <w:t>0</w:t>
            </w:r>
          </w:p>
        </w:tc>
        <w:tc>
          <w:tcPr>
            <w:tcW w:w="1134" w:type="dxa"/>
          </w:tcPr>
          <w:p w14:paraId="4905F0CA" w14:textId="77777777" w:rsidR="00222D72" w:rsidRDefault="00222D72" w:rsidP="008B5BD3">
            <w:pPr>
              <w:pStyle w:val="ARtabletextright"/>
              <w:spacing w:before="60" w:after="40"/>
            </w:pPr>
            <w:r w:rsidRPr="47AEECA1">
              <w:t>0</w:t>
            </w:r>
          </w:p>
        </w:tc>
        <w:tc>
          <w:tcPr>
            <w:tcW w:w="1134" w:type="dxa"/>
          </w:tcPr>
          <w:p w14:paraId="03F34842" w14:textId="77777777" w:rsidR="00222D72" w:rsidRDefault="00222D72" w:rsidP="008B5BD3">
            <w:pPr>
              <w:pStyle w:val="ARtabletextright"/>
              <w:spacing w:before="60" w:after="40"/>
            </w:pPr>
            <w:r w:rsidRPr="50DB9F40">
              <w:t>2</w:t>
            </w:r>
          </w:p>
        </w:tc>
        <w:tc>
          <w:tcPr>
            <w:tcW w:w="1134" w:type="dxa"/>
          </w:tcPr>
          <w:p w14:paraId="2727BB68" w14:textId="77777777" w:rsidR="00222D72" w:rsidRDefault="00222D72" w:rsidP="008B5BD3">
            <w:pPr>
              <w:pStyle w:val="ARtabletextright"/>
              <w:spacing w:before="60" w:after="40"/>
            </w:pPr>
            <w:r w:rsidRPr="47AEECA1">
              <w:t>0</w:t>
            </w:r>
          </w:p>
        </w:tc>
        <w:tc>
          <w:tcPr>
            <w:tcW w:w="1134" w:type="dxa"/>
          </w:tcPr>
          <w:p w14:paraId="3A4D5DCC" w14:textId="77777777" w:rsidR="00222D72" w:rsidRDefault="00222D72" w:rsidP="008B5BD3">
            <w:pPr>
              <w:pStyle w:val="ARtabletextright"/>
              <w:spacing w:before="60" w:after="40"/>
            </w:pPr>
            <w:r w:rsidRPr="47AEECA1">
              <w:t>0</w:t>
            </w:r>
          </w:p>
        </w:tc>
        <w:tc>
          <w:tcPr>
            <w:tcW w:w="1134" w:type="dxa"/>
          </w:tcPr>
          <w:p w14:paraId="45142CDB" w14:textId="77777777" w:rsidR="00222D72" w:rsidRDefault="00222D72" w:rsidP="008B5BD3">
            <w:pPr>
              <w:pStyle w:val="ARtabletextright"/>
              <w:spacing w:before="60" w:after="40"/>
            </w:pPr>
            <w:r w:rsidRPr="50DB9F40">
              <w:t>6</w:t>
            </w:r>
          </w:p>
        </w:tc>
      </w:tr>
      <w:tr w:rsidR="00222D72" w14:paraId="5F63340F" w14:textId="77777777" w:rsidTr="003E09F6">
        <w:tc>
          <w:tcPr>
            <w:tcW w:w="2835" w:type="dxa"/>
          </w:tcPr>
          <w:p w14:paraId="3861DA7A" w14:textId="77777777" w:rsidR="00222D72" w:rsidRDefault="00222D72" w:rsidP="008B5BD3">
            <w:pPr>
              <w:pStyle w:val="ARtabletext"/>
              <w:spacing w:before="60" w:after="40"/>
              <w:rPr>
                <w:rFonts w:eastAsia="Arial"/>
              </w:rPr>
            </w:pPr>
            <w:r w:rsidRPr="47AEECA1">
              <w:rPr>
                <w:rFonts w:eastAsia="Arial"/>
              </w:rPr>
              <w:t>Executive</w:t>
            </w:r>
          </w:p>
        </w:tc>
        <w:tc>
          <w:tcPr>
            <w:tcW w:w="1134" w:type="dxa"/>
          </w:tcPr>
          <w:p w14:paraId="1D074673" w14:textId="77777777" w:rsidR="00222D72" w:rsidRDefault="00222D72" w:rsidP="008B5BD3">
            <w:pPr>
              <w:pStyle w:val="ARtabletextright"/>
              <w:spacing w:before="60" w:after="40"/>
            </w:pPr>
            <w:r w:rsidRPr="47AEECA1">
              <w:t>1</w:t>
            </w:r>
          </w:p>
        </w:tc>
        <w:tc>
          <w:tcPr>
            <w:tcW w:w="1134" w:type="dxa"/>
          </w:tcPr>
          <w:p w14:paraId="3B26723C" w14:textId="77777777" w:rsidR="00222D72" w:rsidRDefault="00222D72" w:rsidP="008B5BD3">
            <w:pPr>
              <w:pStyle w:val="ARtabletextright"/>
              <w:spacing w:before="60" w:after="40"/>
            </w:pPr>
            <w:r w:rsidRPr="50DB9F40">
              <w:t>5</w:t>
            </w:r>
          </w:p>
        </w:tc>
        <w:tc>
          <w:tcPr>
            <w:tcW w:w="1134" w:type="dxa"/>
          </w:tcPr>
          <w:p w14:paraId="4CF93413" w14:textId="77777777" w:rsidR="00222D72" w:rsidRDefault="00222D72" w:rsidP="008B5BD3">
            <w:pPr>
              <w:pStyle w:val="ARtabletextright"/>
              <w:spacing w:before="60" w:after="40"/>
            </w:pPr>
            <w:r w:rsidRPr="47AEECA1">
              <w:t>0</w:t>
            </w:r>
          </w:p>
        </w:tc>
        <w:tc>
          <w:tcPr>
            <w:tcW w:w="1134" w:type="dxa"/>
          </w:tcPr>
          <w:p w14:paraId="0F4F934C" w14:textId="77777777" w:rsidR="00222D72" w:rsidRDefault="00222D72" w:rsidP="008B5BD3">
            <w:pPr>
              <w:pStyle w:val="ARtabletextright"/>
              <w:spacing w:before="60" w:after="40"/>
            </w:pPr>
            <w:r w:rsidRPr="50DB9F40">
              <w:t>27</w:t>
            </w:r>
          </w:p>
        </w:tc>
        <w:tc>
          <w:tcPr>
            <w:tcW w:w="1134" w:type="dxa"/>
          </w:tcPr>
          <w:p w14:paraId="7AD28EA4" w14:textId="77777777" w:rsidR="00222D72" w:rsidRDefault="00222D72" w:rsidP="008B5BD3">
            <w:pPr>
              <w:pStyle w:val="ARtabletextright"/>
              <w:spacing w:before="60" w:after="40"/>
            </w:pPr>
            <w:r w:rsidRPr="50DB9F40">
              <w:t>5</w:t>
            </w:r>
          </w:p>
        </w:tc>
        <w:tc>
          <w:tcPr>
            <w:tcW w:w="1134" w:type="dxa"/>
          </w:tcPr>
          <w:p w14:paraId="7AB72714" w14:textId="77777777" w:rsidR="00222D72" w:rsidRDefault="00222D72" w:rsidP="008B5BD3">
            <w:pPr>
              <w:pStyle w:val="ARtabletextright"/>
              <w:spacing w:before="60" w:after="40"/>
            </w:pPr>
            <w:r w:rsidRPr="50DB9F40">
              <w:t>4</w:t>
            </w:r>
          </w:p>
        </w:tc>
      </w:tr>
      <w:tr w:rsidR="00222D72" w14:paraId="5C784CF0" w14:textId="77777777" w:rsidTr="003E09F6">
        <w:tc>
          <w:tcPr>
            <w:tcW w:w="2835" w:type="dxa"/>
          </w:tcPr>
          <w:p w14:paraId="7BD0FEC9" w14:textId="77777777" w:rsidR="00222D72" w:rsidRDefault="00222D72" w:rsidP="008B5BD3">
            <w:pPr>
              <w:pStyle w:val="ARtabletext"/>
              <w:spacing w:before="60" w:after="40"/>
              <w:rPr>
                <w:rFonts w:eastAsia="Arial"/>
              </w:rPr>
            </w:pPr>
            <w:r w:rsidRPr="47AEECA1">
              <w:rPr>
                <w:rFonts w:eastAsia="Arial"/>
              </w:rPr>
              <w:t>Passenger bus</w:t>
            </w:r>
          </w:p>
        </w:tc>
        <w:tc>
          <w:tcPr>
            <w:tcW w:w="1134" w:type="dxa"/>
          </w:tcPr>
          <w:p w14:paraId="1BCB4EF8" w14:textId="77777777" w:rsidR="00222D72" w:rsidRDefault="00222D72" w:rsidP="008B5BD3">
            <w:pPr>
              <w:pStyle w:val="ARtabletextright"/>
              <w:spacing w:before="60" w:after="40"/>
            </w:pPr>
            <w:r w:rsidRPr="47AEECA1">
              <w:t>0</w:t>
            </w:r>
          </w:p>
        </w:tc>
        <w:tc>
          <w:tcPr>
            <w:tcW w:w="1134" w:type="dxa"/>
          </w:tcPr>
          <w:p w14:paraId="61A153C9" w14:textId="77777777" w:rsidR="00222D72" w:rsidRDefault="00222D72" w:rsidP="008B5BD3">
            <w:pPr>
              <w:pStyle w:val="ARtabletextright"/>
              <w:spacing w:before="60" w:after="40"/>
            </w:pPr>
            <w:r w:rsidRPr="47AEECA1">
              <w:t>0</w:t>
            </w:r>
          </w:p>
        </w:tc>
        <w:tc>
          <w:tcPr>
            <w:tcW w:w="1134" w:type="dxa"/>
          </w:tcPr>
          <w:p w14:paraId="0518421B" w14:textId="77777777" w:rsidR="00222D72" w:rsidRDefault="00222D72" w:rsidP="008B5BD3">
            <w:pPr>
              <w:pStyle w:val="ARtabletextright"/>
              <w:spacing w:before="60" w:after="40"/>
            </w:pPr>
            <w:r w:rsidRPr="47AEECA1">
              <w:t>0</w:t>
            </w:r>
          </w:p>
        </w:tc>
        <w:tc>
          <w:tcPr>
            <w:tcW w:w="1134" w:type="dxa"/>
          </w:tcPr>
          <w:p w14:paraId="0EACB17F" w14:textId="77777777" w:rsidR="00222D72" w:rsidRDefault="00222D72" w:rsidP="008B5BD3">
            <w:pPr>
              <w:pStyle w:val="ARtabletextright"/>
              <w:spacing w:before="60" w:after="40"/>
            </w:pPr>
            <w:r w:rsidRPr="50DB9F40">
              <w:t>0</w:t>
            </w:r>
          </w:p>
        </w:tc>
        <w:tc>
          <w:tcPr>
            <w:tcW w:w="1134" w:type="dxa"/>
          </w:tcPr>
          <w:p w14:paraId="122204A5" w14:textId="77777777" w:rsidR="00222D72" w:rsidRDefault="00222D72" w:rsidP="008B5BD3">
            <w:pPr>
              <w:pStyle w:val="ARtabletextright"/>
              <w:spacing w:before="60" w:after="40"/>
            </w:pPr>
            <w:r w:rsidRPr="47AEECA1">
              <w:t>0</w:t>
            </w:r>
          </w:p>
        </w:tc>
        <w:tc>
          <w:tcPr>
            <w:tcW w:w="1134" w:type="dxa"/>
          </w:tcPr>
          <w:p w14:paraId="3E18E790" w14:textId="77777777" w:rsidR="00222D72" w:rsidRDefault="00222D72" w:rsidP="008B5BD3">
            <w:pPr>
              <w:pStyle w:val="ARtabletextright"/>
              <w:spacing w:before="60" w:after="40"/>
            </w:pPr>
            <w:r w:rsidRPr="50DB9F40">
              <w:t>0</w:t>
            </w:r>
          </w:p>
        </w:tc>
      </w:tr>
      <w:tr w:rsidR="00222D72" w14:paraId="555C6CE8" w14:textId="77777777" w:rsidTr="003E09F6">
        <w:tc>
          <w:tcPr>
            <w:tcW w:w="2835" w:type="dxa"/>
          </w:tcPr>
          <w:p w14:paraId="0E2C73EC" w14:textId="77777777" w:rsidR="00222D72" w:rsidRDefault="00222D72" w:rsidP="008B5BD3">
            <w:pPr>
              <w:pStyle w:val="ARtabletext"/>
              <w:spacing w:before="60" w:after="40"/>
              <w:rPr>
                <w:rFonts w:eastAsia="Arial"/>
              </w:rPr>
            </w:pPr>
            <w:r w:rsidRPr="47AEECA1">
              <w:rPr>
                <w:rFonts w:eastAsia="Arial"/>
              </w:rPr>
              <w:t>Passenger car</w:t>
            </w:r>
          </w:p>
        </w:tc>
        <w:tc>
          <w:tcPr>
            <w:tcW w:w="1134" w:type="dxa"/>
          </w:tcPr>
          <w:p w14:paraId="5A67EB51" w14:textId="77777777" w:rsidR="00222D72" w:rsidRDefault="00222D72" w:rsidP="008B5BD3">
            <w:pPr>
              <w:pStyle w:val="ARtabletextright"/>
              <w:spacing w:before="60" w:after="40"/>
            </w:pPr>
            <w:r w:rsidRPr="47AEECA1">
              <w:t>0</w:t>
            </w:r>
          </w:p>
        </w:tc>
        <w:tc>
          <w:tcPr>
            <w:tcW w:w="1134" w:type="dxa"/>
          </w:tcPr>
          <w:p w14:paraId="5FBB604F" w14:textId="77777777" w:rsidR="00222D72" w:rsidRDefault="00222D72" w:rsidP="008B5BD3">
            <w:pPr>
              <w:pStyle w:val="ARtabletextright"/>
              <w:spacing w:before="60" w:after="40"/>
            </w:pPr>
            <w:r w:rsidRPr="50DB9F40">
              <w:t>42</w:t>
            </w:r>
          </w:p>
        </w:tc>
        <w:tc>
          <w:tcPr>
            <w:tcW w:w="1134" w:type="dxa"/>
          </w:tcPr>
          <w:p w14:paraId="326AA764" w14:textId="77777777" w:rsidR="00222D72" w:rsidRDefault="00222D72" w:rsidP="008B5BD3">
            <w:pPr>
              <w:pStyle w:val="ARtabletextright"/>
              <w:spacing w:before="60" w:after="40"/>
            </w:pPr>
            <w:r w:rsidRPr="47AEECA1">
              <w:t>0</w:t>
            </w:r>
          </w:p>
        </w:tc>
        <w:tc>
          <w:tcPr>
            <w:tcW w:w="1134" w:type="dxa"/>
          </w:tcPr>
          <w:p w14:paraId="40A4885C" w14:textId="77777777" w:rsidR="00222D72" w:rsidRDefault="00222D72" w:rsidP="008B5BD3">
            <w:pPr>
              <w:pStyle w:val="ARtabletextright"/>
              <w:spacing w:before="60" w:after="40"/>
            </w:pPr>
            <w:r w:rsidRPr="50DB9F40">
              <w:t>12</w:t>
            </w:r>
          </w:p>
        </w:tc>
        <w:tc>
          <w:tcPr>
            <w:tcW w:w="1134" w:type="dxa"/>
          </w:tcPr>
          <w:p w14:paraId="031013E2" w14:textId="77777777" w:rsidR="00222D72" w:rsidRDefault="00222D72" w:rsidP="008B5BD3">
            <w:pPr>
              <w:pStyle w:val="ARtabletextright"/>
              <w:spacing w:before="60" w:after="40"/>
            </w:pPr>
            <w:r w:rsidRPr="50DB9F40">
              <w:t>1</w:t>
            </w:r>
          </w:p>
        </w:tc>
        <w:tc>
          <w:tcPr>
            <w:tcW w:w="1134" w:type="dxa"/>
          </w:tcPr>
          <w:p w14:paraId="1AD76C24" w14:textId="77777777" w:rsidR="00222D72" w:rsidRDefault="00222D72" w:rsidP="008B5BD3">
            <w:pPr>
              <w:pStyle w:val="ARtabletextright"/>
              <w:spacing w:before="60" w:after="40"/>
            </w:pPr>
            <w:r w:rsidRPr="50DB9F40">
              <w:t>2</w:t>
            </w:r>
          </w:p>
        </w:tc>
      </w:tr>
      <w:tr w:rsidR="00222D72" w14:paraId="0D8DDD6B" w14:textId="77777777" w:rsidTr="003E09F6">
        <w:tc>
          <w:tcPr>
            <w:tcW w:w="2835" w:type="dxa"/>
          </w:tcPr>
          <w:p w14:paraId="55CAEA3B" w14:textId="77777777" w:rsidR="00222D72" w:rsidRDefault="00222D72" w:rsidP="008B5BD3">
            <w:pPr>
              <w:pStyle w:val="ARtabletext"/>
              <w:spacing w:before="60" w:after="40"/>
              <w:rPr>
                <w:rFonts w:eastAsia="Arial"/>
              </w:rPr>
            </w:pPr>
            <w:r w:rsidRPr="47AEECA1">
              <w:rPr>
                <w:rFonts w:eastAsia="Arial"/>
                <w:b/>
                <w:bCs/>
              </w:rPr>
              <w:t>Total (</w:t>
            </w:r>
            <w:r w:rsidRPr="276DF242">
              <w:rPr>
                <w:rFonts w:eastAsia="Arial"/>
                <w:b/>
                <w:bCs/>
              </w:rPr>
              <w:t>107</w:t>
            </w:r>
            <w:r w:rsidRPr="47AEECA1">
              <w:rPr>
                <w:rFonts w:eastAsia="Arial"/>
                <w:b/>
                <w:bCs/>
              </w:rPr>
              <w:t xml:space="preserve"> vehicles)</w:t>
            </w:r>
          </w:p>
        </w:tc>
        <w:tc>
          <w:tcPr>
            <w:tcW w:w="1134" w:type="dxa"/>
          </w:tcPr>
          <w:p w14:paraId="6488AD20" w14:textId="77777777" w:rsidR="00222D72" w:rsidRDefault="00222D72" w:rsidP="008B5BD3">
            <w:pPr>
              <w:pStyle w:val="ARtabletextrightbold"/>
              <w:spacing w:before="60" w:after="40"/>
            </w:pPr>
            <w:r w:rsidRPr="47AEECA1">
              <w:t>1</w:t>
            </w:r>
          </w:p>
        </w:tc>
        <w:tc>
          <w:tcPr>
            <w:tcW w:w="1134" w:type="dxa"/>
          </w:tcPr>
          <w:p w14:paraId="6A66A0B4" w14:textId="77777777" w:rsidR="00222D72" w:rsidRDefault="00222D72" w:rsidP="008B5BD3">
            <w:pPr>
              <w:pStyle w:val="ARtabletextrightbold"/>
              <w:spacing w:before="60" w:after="40"/>
            </w:pPr>
            <w:r w:rsidRPr="50DB9F40">
              <w:t>47</w:t>
            </w:r>
          </w:p>
        </w:tc>
        <w:tc>
          <w:tcPr>
            <w:tcW w:w="1134" w:type="dxa"/>
          </w:tcPr>
          <w:p w14:paraId="7E3011CC" w14:textId="77777777" w:rsidR="00222D72" w:rsidRDefault="00222D72" w:rsidP="008B5BD3">
            <w:pPr>
              <w:pStyle w:val="ARtabletextrightbold"/>
              <w:spacing w:before="60" w:after="40"/>
            </w:pPr>
            <w:r w:rsidRPr="50DB9F40">
              <w:t>2</w:t>
            </w:r>
          </w:p>
        </w:tc>
        <w:tc>
          <w:tcPr>
            <w:tcW w:w="1134" w:type="dxa"/>
          </w:tcPr>
          <w:p w14:paraId="1527BB58" w14:textId="77777777" w:rsidR="00222D72" w:rsidRDefault="00222D72" w:rsidP="008B5BD3">
            <w:pPr>
              <w:pStyle w:val="ARtabletextrightbold"/>
              <w:spacing w:before="60" w:after="40"/>
            </w:pPr>
            <w:r w:rsidRPr="50DB9F40">
              <w:t>39</w:t>
            </w:r>
          </w:p>
        </w:tc>
        <w:tc>
          <w:tcPr>
            <w:tcW w:w="1134" w:type="dxa"/>
          </w:tcPr>
          <w:p w14:paraId="304AD897" w14:textId="77777777" w:rsidR="00222D72" w:rsidRDefault="00222D72" w:rsidP="008B5BD3">
            <w:pPr>
              <w:pStyle w:val="ARtabletextrightbold"/>
              <w:spacing w:before="60" w:after="40"/>
            </w:pPr>
            <w:r w:rsidRPr="50DB9F40">
              <w:t>6</w:t>
            </w:r>
          </w:p>
        </w:tc>
        <w:tc>
          <w:tcPr>
            <w:tcW w:w="1134" w:type="dxa"/>
          </w:tcPr>
          <w:p w14:paraId="4263E67B" w14:textId="77777777" w:rsidR="00222D72" w:rsidRDefault="00222D72" w:rsidP="008B5BD3">
            <w:pPr>
              <w:pStyle w:val="ARtabletextrightbold"/>
              <w:spacing w:before="60" w:after="40"/>
            </w:pPr>
            <w:r w:rsidRPr="50DB9F40">
              <w:t>12</w:t>
            </w:r>
          </w:p>
        </w:tc>
      </w:tr>
    </w:tbl>
    <w:p w14:paraId="16741875" w14:textId="77777777" w:rsidR="00222D72" w:rsidRDefault="00222D72" w:rsidP="007E101B">
      <w:pPr>
        <w:pStyle w:val="ARbodynospace"/>
      </w:pPr>
    </w:p>
    <w:tbl>
      <w:tblPr>
        <w:tblStyle w:val="TableGrid"/>
        <w:tblW w:w="9639" w:type="dxa"/>
        <w:tblLayout w:type="fixed"/>
        <w:tblLook w:val="06A0" w:firstRow="1" w:lastRow="0" w:firstColumn="1" w:lastColumn="0" w:noHBand="1" w:noVBand="1"/>
      </w:tblPr>
      <w:tblGrid>
        <w:gridCol w:w="6237"/>
        <w:gridCol w:w="1701"/>
        <w:gridCol w:w="1701"/>
      </w:tblGrid>
      <w:tr w:rsidR="00222D72" w14:paraId="6D0A0273" w14:textId="77777777" w:rsidTr="00D132D7">
        <w:trPr>
          <w:cnfStyle w:val="100000000000" w:firstRow="1" w:lastRow="0" w:firstColumn="0" w:lastColumn="0" w:oddVBand="0" w:evenVBand="0" w:oddHBand="0" w:evenHBand="0" w:firstRowFirstColumn="0" w:firstRowLastColumn="0" w:lastRowFirstColumn="0" w:lastRowLastColumn="0"/>
          <w:trHeight w:val="90"/>
        </w:trPr>
        <w:tc>
          <w:tcPr>
            <w:tcW w:w="6237" w:type="dxa"/>
          </w:tcPr>
          <w:p w14:paraId="7EDAF806" w14:textId="77777777" w:rsidR="00222D72" w:rsidRDefault="00222D72" w:rsidP="008B5BD3">
            <w:pPr>
              <w:pStyle w:val="ARtablecolhead"/>
              <w:spacing w:before="60" w:after="40"/>
              <w:rPr>
                <w:rFonts w:eastAsia="Arial"/>
                <w:bCs/>
              </w:rPr>
            </w:pPr>
            <w:r w:rsidRPr="47AEECA1">
              <w:rPr>
                <w:rFonts w:eastAsia="Arial"/>
                <w:bCs/>
              </w:rPr>
              <w:t>Description</w:t>
            </w:r>
          </w:p>
        </w:tc>
        <w:tc>
          <w:tcPr>
            <w:tcW w:w="1701" w:type="dxa"/>
          </w:tcPr>
          <w:p w14:paraId="3169EEE0" w14:textId="77777777" w:rsidR="00222D72" w:rsidRDefault="00222D72" w:rsidP="008B5BD3">
            <w:pPr>
              <w:pStyle w:val="ARtablecolheadright"/>
              <w:spacing w:before="60" w:after="40"/>
              <w:rPr>
                <w:rFonts w:eastAsia="Arial"/>
                <w:bCs/>
              </w:rPr>
            </w:pPr>
            <w:r w:rsidRPr="47AEECA1">
              <w:rPr>
                <w:rFonts w:eastAsia="Arial"/>
                <w:bCs/>
              </w:rPr>
              <w:t>Operational</w:t>
            </w:r>
            <w:r>
              <w:br/>
            </w:r>
            <w:r w:rsidRPr="47AEECA1">
              <w:rPr>
                <w:rFonts w:eastAsia="Arial"/>
                <w:bCs/>
              </w:rPr>
              <w:t>(per cent)</w:t>
            </w:r>
          </w:p>
        </w:tc>
        <w:tc>
          <w:tcPr>
            <w:tcW w:w="1701" w:type="dxa"/>
          </w:tcPr>
          <w:p w14:paraId="47FDC20B" w14:textId="77777777" w:rsidR="00222D72" w:rsidRDefault="00222D72" w:rsidP="008B5BD3">
            <w:pPr>
              <w:pStyle w:val="ARtablecolheadright"/>
              <w:spacing w:before="60" w:after="40"/>
              <w:rPr>
                <w:rFonts w:eastAsia="Arial"/>
                <w:bCs/>
              </w:rPr>
            </w:pPr>
            <w:r w:rsidRPr="47AEECA1">
              <w:rPr>
                <w:rFonts w:eastAsia="Arial"/>
                <w:bCs/>
              </w:rPr>
              <w:t>Executive</w:t>
            </w:r>
            <w:r>
              <w:br/>
            </w:r>
            <w:r w:rsidRPr="47AEECA1">
              <w:rPr>
                <w:rFonts w:eastAsia="Arial"/>
                <w:bCs/>
              </w:rPr>
              <w:t>(per cent)</w:t>
            </w:r>
          </w:p>
        </w:tc>
      </w:tr>
      <w:tr w:rsidR="00222D72" w14:paraId="474589BC" w14:textId="77777777" w:rsidTr="00D132D7">
        <w:trPr>
          <w:cantSplit w:val="0"/>
          <w:trHeight w:val="90"/>
        </w:trPr>
        <w:tc>
          <w:tcPr>
            <w:tcW w:w="6237" w:type="dxa"/>
          </w:tcPr>
          <w:p w14:paraId="340CE98B" w14:textId="77777777" w:rsidR="00222D72" w:rsidRDefault="00222D72" w:rsidP="008B5BD3">
            <w:pPr>
              <w:pStyle w:val="ARtablecolhead"/>
              <w:spacing w:before="60" w:after="40"/>
              <w:rPr>
                <w:rFonts w:eastAsia="Arial"/>
                <w:b w:val="0"/>
              </w:rPr>
            </w:pPr>
            <w:r w:rsidRPr="6FF5BE95">
              <w:rPr>
                <w:rFonts w:eastAsia="Arial"/>
                <w:b w:val="0"/>
              </w:rPr>
              <w:t>LPG</w:t>
            </w:r>
          </w:p>
        </w:tc>
        <w:tc>
          <w:tcPr>
            <w:tcW w:w="1701" w:type="dxa"/>
          </w:tcPr>
          <w:p w14:paraId="6E684565" w14:textId="77777777" w:rsidR="00222D72" w:rsidRDefault="00222D72" w:rsidP="008B5BD3">
            <w:pPr>
              <w:pStyle w:val="ARtabletextright"/>
              <w:spacing w:before="60" w:after="40"/>
              <w:rPr>
                <w:b/>
              </w:rPr>
            </w:pPr>
            <w:r w:rsidRPr="6FF5BE95">
              <w:t>0%</w:t>
            </w:r>
          </w:p>
        </w:tc>
        <w:tc>
          <w:tcPr>
            <w:tcW w:w="1701" w:type="dxa"/>
          </w:tcPr>
          <w:p w14:paraId="313B33F8" w14:textId="77777777" w:rsidR="00222D72" w:rsidRDefault="00222D72" w:rsidP="008B5BD3">
            <w:pPr>
              <w:pStyle w:val="ARtabletextright"/>
              <w:spacing w:before="60" w:after="40"/>
              <w:rPr>
                <w:b/>
              </w:rPr>
            </w:pPr>
            <w:r w:rsidRPr="6FF5BE95">
              <w:t>0%</w:t>
            </w:r>
          </w:p>
        </w:tc>
      </w:tr>
      <w:tr w:rsidR="00222D72" w14:paraId="1E536EEB" w14:textId="77777777" w:rsidTr="00D132D7">
        <w:trPr>
          <w:cantSplit w:val="0"/>
        </w:trPr>
        <w:tc>
          <w:tcPr>
            <w:tcW w:w="6237" w:type="dxa"/>
          </w:tcPr>
          <w:p w14:paraId="51C1C691" w14:textId="77777777" w:rsidR="00222D72" w:rsidRDefault="00222D72" w:rsidP="008B5BD3">
            <w:pPr>
              <w:pStyle w:val="ARtabletext"/>
              <w:spacing w:before="60" w:after="40"/>
              <w:rPr>
                <w:rFonts w:eastAsia="Arial"/>
              </w:rPr>
            </w:pPr>
            <w:r w:rsidRPr="6FF5BE95">
              <w:rPr>
                <w:rFonts w:eastAsia="Arial"/>
              </w:rPr>
              <w:t>Electric</w:t>
            </w:r>
          </w:p>
        </w:tc>
        <w:tc>
          <w:tcPr>
            <w:tcW w:w="1701" w:type="dxa"/>
          </w:tcPr>
          <w:p w14:paraId="11EB7747" w14:textId="77777777" w:rsidR="00222D72" w:rsidRDefault="00222D72" w:rsidP="008B5BD3">
            <w:pPr>
              <w:pStyle w:val="ARtabletextright"/>
              <w:spacing w:before="60" w:after="40"/>
            </w:pPr>
            <w:r w:rsidRPr="47AEECA1">
              <w:t>0%</w:t>
            </w:r>
          </w:p>
        </w:tc>
        <w:tc>
          <w:tcPr>
            <w:tcW w:w="1701" w:type="dxa"/>
          </w:tcPr>
          <w:p w14:paraId="114BA707" w14:textId="77777777" w:rsidR="00222D72" w:rsidRDefault="00222D72" w:rsidP="008B5BD3">
            <w:pPr>
              <w:pStyle w:val="ARtabletextright"/>
              <w:spacing w:before="60" w:after="40"/>
            </w:pPr>
            <w:r w:rsidRPr="2396B9CA">
              <w:t>0.</w:t>
            </w:r>
            <w:r w:rsidRPr="50DB9F40">
              <w:t>93</w:t>
            </w:r>
            <w:r w:rsidRPr="2396B9CA">
              <w:t>%</w:t>
            </w:r>
          </w:p>
        </w:tc>
      </w:tr>
      <w:tr w:rsidR="00222D72" w14:paraId="264986F9" w14:textId="77777777" w:rsidTr="00D132D7">
        <w:trPr>
          <w:cantSplit w:val="0"/>
        </w:trPr>
        <w:tc>
          <w:tcPr>
            <w:tcW w:w="6237" w:type="dxa"/>
          </w:tcPr>
          <w:p w14:paraId="01D2E9C4" w14:textId="77777777" w:rsidR="00222D72" w:rsidRDefault="00222D72" w:rsidP="008B5BD3">
            <w:pPr>
              <w:pStyle w:val="ARtabletext"/>
              <w:spacing w:before="60" w:after="40"/>
              <w:rPr>
                <w:rFonts w:eastAsia="Arial"/>
              </w:rPr>
            </w:pPr>
            <w:r w:rsidRPr="47AEECA1">
              <w:rPr>
                <w:rFonts w:eastAsia="Arial"/>
              </w:rPr>
              <w:t>Hybrid</w:t>
            </w:r>
          </w:p>
        </w:tc>
        <w:tc>
          <w:tcPr>
            <w:tcW w:w="1701" w:type="dxa"/>
          </w:tcPr>
          <w:p w14:paraId="135EC71E" w14:textId="77777777" w:rsidR="00222D72" w:rsidRDefault="00222D72" w:rsidP="008B5BD3">
            <w:pPr>
              <w:pStyle w:val="ARtabletextright"/>
              <w:spacing w:before="60" w:after="40"/>
            </w:pPr>
            <w:r w:rsidRPr="2396B9CA">
              <w:t>39.</w:t>
            </w:r>
            <w:r w:rsidRPr="50DB9F40">
              <w:t>25</w:t>
            </w:r>
            <w:r w:rsidRPr="2396B9CA">
              <w:t>%</w:t>
            </w:r>
          </w:p>
        </w:tc>
        <w:tc>
          <w:tcPr>
            <w:tcW w:w="1701" w:type="dxa"/>
          </w:tcPr>
          <w:p w14:paraId="3609853F" w14:textId="77777777" w:rsidR="00222D72" w:rsidRDefault="00222D72" w:rsidP="008B5BD3">
            <w:pPr>
              <w:pStyle w:val="ARtabletextright"/>
              <w:spacing w:before="60" w:after="40"/>
            </w:pPr>
            <w:r w:rsidRPr="2396B9CA">
              <w:t>4.</w:t>
            </w:r>
            <w:r w:rsidRPr="50DB9F40">
              <w:t>64</w:t>
            </w:r>
            <w:r w:rsidRPr="2396B9CA">
              <w:t>%</w:t>
            </w:r>
          </w:p>
        </w:tc>
      </w:tr>
      <w:tr w:rsidR="00222D72" w14:paraId="184B3E57" w14:textId="77777777" w:rsidTr="00D132D7">
        <w:trPr>
          <w:cantSplit w:val="0"/>
        </w:trPr>
        <w:tc>
          <w:tcPr>
            <w:tcW w:w="6237" w:type="dxa"/>
          </w:tcPr>
          <w:p w14:paraId="6DCBC410" w14:textId="77777777" w:rsidR="00222D72" w:rsidRDefault="00222D72" w:rsidP="008B5BD3">
            <w:pPr>
              <w:pStyle w:val="ARtabletext"/>
              <w:spacing w:before="60" w:after="40"/>
              <w:rPr>
                <w:rFonts w:eastAsia="Arial"/>
              </w:rPr>
            </w:pPr>
            <w:r w:rsidRPr="47AEECA1">
              <w:rPr>
                <w:rFonts w:eastAsia="Arial"/>
              </w:rPr>
              <w:t>1–3-cylinder unleaded petrol</w:t>
            </w:r>
          </w:p>
        </w:tc>
        <w:tc>
          <w:tcPr>
            <w:tcW w:w="1701" w:type="dxa"/>
          </w:tcPr>
          <w:p w14:paraId="3D2D9033" w14:textId="77777777" w:rsidR="00222D72" w:rsidRDefault="00222D72" w:rsidP="008B5BD3">
            <w:pPr>
              <w:pStyle w:val="ARtabletextright"/>
              <w:spacing w:before="60" w:after="40"/>
            </w:pPr>
            <w:r w:rsidRPr="7DCBBAC7">
              <w:t>1.</w:t>
            </w:r>
            <w:r w:rsidRPr="50DB9F40">
              <w:t>90</w:t>
            </w:r>
            <w:r w:rsidRPr="47AEECA1">
              <w:t>%</w:t>
            </w:r>
          </w:p>
        </w:tc>
        <w:tc>
          <w:tcPr>
            <w:tcW w:w="1701" w:type="dxa"/>
          </w:tcPr>
          <w:p w14:paraId="1801CE12" w14:textId="77777777" w:rsidR="00222D72" w:rsidRDefault="00222D72" w:rsidP="008B5BD3">
            <w:pPr>
              <w:pStyle w:val="ARtabletextright"/>
              <w:spacing w:before="60" w:after="40"/>
            </w:pPr>
            <w:r w:rsidRPr="47AEECA1">
              <w:t>0.</w:t>
            </w:r>
            <w:r w:rsidRPr="50DB9F40">
              <w:t>0</w:t>
            </w:r>
            <w:r w:rsidRPr="47AEECA1">
              <w:t>%</w:t>
            </w:r>
          </w:p>
        </w:tc>
      </w:tr>
      <w:tr w:rsidR="00222D72" w14:paraId="6ADFFE66" w14:textId="77777777" w:rsidTr="00D132D7">
        <w:trPr>
          <w:cantSplit w:val="0"/>
        </w:trPr>
        <w:tc>
          <w:tcPr>
            <w:tcW w:w="6237" w:type="dxa"/>
          </w:tcPr>
          <w:p w14:paraId="19A3531E" w14:textId="77777777" w:rsidR="00222D72" w:rsidRDefault="00222D72" w:rsidP="008B5BD3">
            <w:pPr>
              <w:pStyle w:val="ARtabletext"/>
              <w:spacing w:before="60" w:after="40"/>
              <w:rPr>
                <w:rFonts w:eastAsia="Arial"/>
              </w:rPr>
            </w:pPr>
            <w:r w:rsidRPr="47AEECA1">
              <w:rPr>
                <w:rFonts w:eastAsia="Arial"/>
              </w:rPr>
              <w:t>4-cylinder unleaded petrol</w:t>
            </w:r>
          </w:p>
        </w:tc>
        <w:tc>
          <w:tcPr>
            <w:tcW w:w="1701" w:type="dxa"/>
          </w:tcPr>
          <w:p w14:paraId="29B872A0" w14:textId="77777777" w:rsidR="00222D72" w:rsidRDefault="00222D72" w:rsidP="008B5BD3">
            <w:pPr>
              <w:pStyle w:val="ARtabletextright"/>
              <w:spacing w:before="60" w:after="40"/>
            </w:pPr>
            <w:r w:rsidRPr="7DCBBAC7">
              <w:t>11.</w:t>
            </w:r>
            <w:r w:rsidRPr="50DB9F40">
              <w:t>21</w:t>
            </w:r>
            <w:r w:rsidRPr="47AEECA1">
              <w:t>%</w:t>
            </w:r>
          </w:p>
        </w:tc>
        <w:tc>
          <w:tcPr>
            <w:tcW w:w="1701" w:type="dxa"/>
          </w:tcPr>
          <w:p w14:paraId="24123DF7" w14:textId="77777777" w:rsidR="00222D72" w:rsidRDefault="00222D72" w:rsidP="008B5BD3">
            <w:pPr>
              <w:pStyle w:val="ARtabletextright"/>
              <w:spacing w:before="60" w:after="40"/>
            </w:pPr>
            <w:r w:rsidRPr="7DCBBAC7">
              <w:t>25.</w:t>
            </w:r>
            <w:r w:rsidRPr="50DB9F40">
              <w:t>40</w:t>
            </w:r>
            <w:r w:rsidRPr="47AEECA1">
              <w:t>%</w:t>
            </w:r>
          </w:p>
        </w:tc>
      </w:tr>
      <w:tr w:rsidR="00222D72" w14:paraId="6AE92090" w14:textId="77777777" w:rsidTr="00D132D7">
        <w:trPr>
          <w:cantSplit w:val="0"/>
        </w:trPr>
        <w:tc>
          <w:tcPr>
            <w:tcW w:w="6237" w:type="dxa"/>
          </w:tcPr>
          <w:p w14:paraId="2E2F8ECF" w14:textId="77777777" w:rsidR="00222D72" w:rsidRDefault="00222D72" w:rsidP="008B5BD3">
            <w:pPr>
              <w:pStyle w:val="ARtabletext"/>
              <w:spacing w:before="60" w:after="40"/>
              <w:rPr>
                <w:rFonts w:eastAsia="Arial"/>
              </w:rPr>
            </w:pPr>
            <w:r w:rsidRPr="47AEECA1">
              <w:rPr>
                <w:rFonts w:eastAsia="Arial"/>
              </w:rPr>
              <w:t>6-cylinder unleaded petrol</w:t>
            </w:r>
          </w:p>
        </w:tc>
        <w:tc>
          <w:tcPr>
            <w:tcW w:w="1701" w:type="dxa"/>
          </w:tcPr>
          <w:p w14:paraId="7186697F" w14:textId="77777777" w:rsidR="00222D72" w:rsidRDefault="00222D72" w:rsidP="008B5BD3">
            <w:pPr>
              <w:pStyle w:val="ARtabletextright"/>
              <w:spacing w:before="60" w:after="40"/>
            </w:pPr>
            <w:r w:rsidRPr="7DCBBAC7">
              <w:t>0.</w:t>
            </w:r>
            <w:r w:rsidRPr="50DB9F40">
              <w:t>93</w:t>
            </w:r>
            <w:r w:rsidRPr="47AEECA1">
              <w:t>%</w:t>
            </w:r>
          </w:p>
        </w:tc>
        <w:tc>
          <w:tcPr>
            <w:tcW w:w="1701" w:type="dxa"/>
          </w:tcPr>
          <w:p w14:paraId="4C8A2638" w14:textId="77777777" w:rsidR="00222D72" w:rsidRDefault="00222D72" w:rsidP="008B5BD3">
            <w:pPr>
              <w:pStyle w:val="ARtabletextright"/>
              <w:spacing w:before="60" w:after="40"/>
            </w:pPr>
            <w:r w:rsidRPr="7DCBBAC7">
              <w:t>4.</w:t>
            </w:r>
            <w:r w:rsidRPr="50DB9F40">
              <w:t>60</w:t>
            </w:r>
            <w:r w:rsidRPr="47AEECA1">
              <w:t>%</w:t>
            </w:r>
          </w:p>
        </w:tc>
      </w:tr>
      <w:tr w:rsidR="00222D72" w14:paraId="3CC2FE70" w14:textId="77777777" w:rsidTr="00D132D7">
        <w:trPr>
          <w:cantSplit w:val="0"/>
        </w:trPr>
        <w:tc>
          <w:tcPr>
            <w:tcW w:w="6237" w:type="dxa"/>
          </w:tcPr>
          <w:p w14:paraId="0C931593" w14:textId="77777777" w:rsidR="00222D72" w:rsidRDefault="00222D72" w:rsidP="008B5BD3">
            <w:pPr>
              <w:pStyle w:val="ARtabletext"/>
              <w:spacing w:before="60" w:after="40"/>
              <w:rPr>
                <w:rFonts w:eastAsia="Arial"/>
              </w:rPr>
            </w:pPr>
            <w:r w:rsidRPr="47AEECA1">
              <w:rPr>
                <w:rFonts w:eastAsia="Arial"/>
              </w:rPr>
              <w:t>Diesel</w:t>
            </w:r>
          </w:p>
        </w:tc>
        <w:tc>
          <w:tcPr>
            <w:tcW w:w="1701" w:type="dxa"/>
          </w:tcPr>
          <w:p w14:paraId="01AF530A" w14:textId="77777777" w:rsidR="00222D72" w:rsidRDefault="00222D72" w:rsidP="008B5BD3">
            <w:pPr>
              <w:pStyle w:val="ARtabletextright"/>
              <w:spacing w:before="60" w:after="40"/>
            </w:pPr>
            <w:r w:rsidRPr="7DCBBAC7">
              <w:t>7.</w:t>
            </w:r>
            <w:r w:rsidRPr="50DB9F40">
              <w:t>40</w:t>
            </w:r>
            <w:r w:rsidRPr="47AEECA1">
              <w:t>%</w:t>
            </w:r>
          </w:p>
        </w:tc>
        <w:tc>
          <w:tcPr>
            <w:tcW w:w="1701" w:type="dxa"/>
          </w:tcPr>
          <w:p w14:paraId="3E1167AC" w14:textId="77777777" w:rsidR="00222D72" w:rsidRDefault="00222D72" w:rsidP="008B5BD3">
            <w:pPr>
              <w:pStyle w:val="ARtabletextright"/>
              <w:spacing w:before="60" w:after="40"/>
            </w:pPr>
            <w:r w:rsidRPr="434CC132">
              <w:t>3.74%</w:t>
            </w:r>
          </w:p>
        </w:tc>
      </w:tr>
      <w:tr w:rsidR="00222D72" w14:paraId="11726D3F" w14:textId="77777777" w:rsidTr="00D132D7">
        <w:trPr>
          <w:cantSplit w:val="0"/>
        </w:trPr>
        <w:tc>
          <w:tcPr>
            <w:tcW w:w="6237" w:type="dxa"/>
          </w:tcPr>
          <w:p w14:paraId="1FA7EE13" w14:textId="77777777" w:rsidR="00222D72" w:rsidRDefault="00222D72" w:rsidP="008B5BD3">
            <w:pPr>
              <w:pStyle w:val="ARtabletextbold"/>
              <w:spacing w:before="60" w:after="40"/>
              <w:rPr>
                <w:rFonts w:eastAsia="Arial"/>
                <w:bCs/>
              </w:rPr>
            </w:pPr>
            <w:r w:rsidRPr="47AEECA1">
              <w:rPr>
                <w:rFonts w:eastAsia="Arial"/>
                <w:bCs/>
              </w:rPr>
              <w:t>Total</w:t>
            </w:r>
          </w:p>
        </w:tc>
        <w:tc>
          <w:tcPr>
            <w:tcW w:w="1701" w:type="dxa"/>
          </w:tcPr>
          <w:p w14:paraId="08650B26" w14:textId="77777777" w:rsidR="00222D72" w:rsidRDefault="00222D72" w:rsidP="008B5BD3">
            <w:pPr>
              <w:pStyle w:val="ARtabletextrightbold"/>
              <w:spacing w:before="60" w:after="40"/>
              <w:rPr>
                <w:rFonts w:eastAsia="Arial"/>
                <w:bCs/>
              </w:rPr>
            </w:pPr>
            <w:r w:rsidRPr="6FF5BE95">
              <w:rPr>
                <w:rFonts w:eastAsia="Arial"/>
              </w:rPr>
              <w:t>60.69%</w:t>
            </w:r>
          </w:p>
        </w:tc>
        <w:tc>
          <w:tcPr>
            <w:tcW w:w="1701" w:type="dxa"/>
          </w:tcPr>
          <w:p w14:paraId="276965C8" w14:textId="77777777" w:rsidR="00222D72" w:rsidRDefault="00222D72" w:rsidP="008B5BD3">
            <w:pPr>
              <w:pStyle w:val="ARtabletextrightbold"/>
              <w:spacing w:before="60" w:after="40"/>
              <w:rPr>
                <w:rFonts w:eastAsia="Arial"/>
                <w:bCs/>
              </w:rPr>
            </w:pPr>
            <w:r w:rsidRPr="6FF5BE95">
              <w:rPr>
                <w:rFonts w:eastAsia="Arial"/>
              </w:rPr>
              <w:t>39.31%</w:t>
            </w:r>
          </w:p>
        </w:tc>
      </w:tr>
    </w:tbl>
    <w:p w14:paraId="6DD5B737" w14:textId="77777777" w:rsidR="00222D72" w:rsidRDefault="00222D72" w:rsidP="007E101B">
      <w:pPr>
        <w:pStyle w:val="ARbodynospace"/>
      </w:pPr>
    </w:p>
    <w:tbl>
      <w:tblPr>
        <w:tblStyle w:val="TableGrid"/>
        <w:tblW w:w="9639" w:type="dxa"/>
        <w:tblLayout w:type="fixed"/>
        <w:tblLook w:val="06A0" w:firstRow="1" w:lastRow="0" w:firstColumn="1" w:lastColumn="0" w:noHBand="1" w:noVBand="1"/>
      </w:tblPr>
      <w:tblGrid>
        <w:gridCol w:w="4536"/>
        <w:gridCol w:w="1701"/>
        <w:gridCol w:w="1701"/>
        <w:gridCol w:w="1701"/>
      </w:tblGrid>
      <w:tr w:rsidR="00222D72" w14:paraId="24C121C7" w14:textId="77777777" w:rsidTr="003E09F6">
        <w:trPr>
          <w:cnfStyle w:val="100000000000" w:firstRow="1" w:lastRow="0" w:firstColumn="0" w:lastColumn="0" w:oddVBand="0" w:evenVBand="0" w:oddHBand="0" w:evenHBand="0" w:firstRowFirstColumn="0" w:firstRowLastColumn="0" w:lastRowFirstColumn="0" w:lastRowLastColumn="0"/>
          <w:tblHeader/>
        </w:trPr>
        <w:tc>
          <w:tcPr>
            <w:tcW w:w="4536" w:type="dxa"/>
          </w:tcPr>
          <w:p w14:paraId="3AE2B510" w14:textId="77777777" w:rsidR="00222D72" w:rsidRDefault="00222D72" w:rsidP="004C7BEF">
            <w:pPr>
              <w:pStyle w:val="ARtablecolhead"/>
              <w:rPr>
                <w:rFonts w:eastAsia="Arial"/>
                <w:bCs/>
              </w:rPr>
            </w:pPr>
            <w:r w:rsidRPr="47AEECA1">
              <w:rPr>
                <w:rFonts w:eastAsia="Arial"/>
                <w:bCs/>
              </w:rPr>
              <w:t>Description</w:t>
            </w:r>
          </w:p>
        </w:tc>
        <w:tc>
          <w:tcPr>
            <w:tcW w:w="1701" w:type="dxa"/>
          </w:tcPr>
          <w:p w14:paraId="2648F8DC" w14:textId="77777777" w:rsidR="00222D72" w:rsidRDefault="00222D72" w:rsidP="004C7BEF">
            <w:pPr>
              <w:pStyle w:val="ARtablecolheadright"/>
              <w:rPr>
                <w:rFonts w:eastAsia="Arial"/>
                <w:bCs/>
              </w:rPr>
            </w:pPr>
            <w:r w:rsidRPr="47AEECA1">
              <w:rPr>
                <w:rFonts w:eastAsia="Arial"/>
                <w:bCs/>
              </w:rPr>
              <w:t>2021–22 estimate</w:t>
            </w:r>
          </w:p>
        </w:tc>
        <w:tc>
          <w:tcPr>
            <w:tcW w:w="1701" w:type="dxa"/>
          </w:tcPr>
          <w:p w14:paraId="587FE5CA" w14:textId="77777777" w:rsidR="00222D72" w:rsidRDefault="00222D72" w:rsidP="004C7BEF">
            <w:pPr>
              <w:pStyle w:val="ARtablecolheadright"/>
              <w:rPr>
                <w:rFonts w:eastAsia="Arial"/>
                <w:bCs/>
              </w:rPr>
            </w:pPr>
            <w:r w:rsidRPr="47AEECA1">
              <w:rPr>
                <w:rFonts w:eastAsia="Arial"/>
                <w:bCs/>
              </w:rPr>
              <w:t>2020–21 estimate</w:t>
            </w:r>
          </w:p>
        </w:tc>
        <w:tc>
          <w:tcPr>
            <w:tcW w:w="1701" w:type="dxa"/>
          </w:tcPr>
          <w:p w14:paraId="3D9F565E" w14:textId="77777777" w:rsidR="00222D72" w:rsidRDefault="00222D72" w:rsidP="004C7BEF">
            <w:pPr>
              <w:pStyle w:val="ARtablecolheadright"/>
              <w:rPr>
                <w:rFonts w:eastAsia="Arial"/>
                <w:bCs/>
              </w:rPr>
            </w:pPr>
            <w:r w:rsidRPr="47AEECA1">
              <w:rPr>
                <w:rFonts w:eastAsia="Arial"/>
                <w:bCs/>
              </w:rPr>
              <w:t>2019–20 estimate</w:t>
            </w:r>
          </w:p>
        </w:tc>
      </w:tr>
      <w:tr w:rsidR="00222D72" w14:paraId="27D2BA7B" w14:textId="77777777" w:rsidTr="003E09F6">
        <w:trPr>
          <w:cnfStyle w:val="100000000000" w:firstRow="1" w:lastRow="0" w:firstColumn="0" w:lastColumn="0" w:oddVBand="0" w:evenVBand="0" w:oddHBand="0" w:evenHBand="0" w:firstRowFirstColumn="0" w:firstRowLastColumn="0" w:lastRowFirstColumn="0" w:lastRowLastColumn="0"/>
          <w:tblHeader/>
        </w:trPr>
        <w:tc>
          <w:tcPr>
            <w:tcW w:w="4536" w:type="dxa"/>
          </w:tcPr>
          <w:p w14:paraId="203989AA" w14:textId="77777777" w:rsidR="00222D72" w:rsidRDefault="00222D72" w:rsidP="004C7BEF">
            <w:pPr>
              <w:pStyle w:val="ARtablecolhead"/>
              <w:rPr>
                <w:rFonts w:eastAsia="Arial"/>
                <w:bCs/>
              </w:rPr>
            </w:pPr>
            <w:r w:rsidRPr="47AEECA1">
              <w:rPr>
                <w:rFonts w:eastAsia="Arial"/>
                <w:bCs/>
              </w:rPr>
              <w:t>Total energy consumption</w:t>
            </w:r>
          </w:p>
        </w:tc>
        <w:tc>
          <w:tcPr>
            <w:tcW w:w="1701" w:type="dxa"/>
          </w:tcPr>
          <w:p w14:paraId="5A630557" w14:textId="77777777" w:rsidR="00222D72" w:rsidRDefault="00222D72" w:rsidP="004C7BEF">
            <w:pPr>
              <w:pStyle w:val="ARtablecolheadright"/>
              <w:rPr>
                <w:rFonts w:eastAsia="Arial"/>
                <w:bCs/>
              </w:rPr>
            </w:pPr>
            <w:r w:rsidRPr="47AEECA1">
              <w:rPr>
                <w:rFonts w:eastAsia="Arial"/>
                <w:bCs/>
              </w:rPr>
              <w:t>Megajoules</w:t>
            </w:r>
          </w:p>
        </w:tc>
        <w:tc>
          <w:tcPr>
            <w:tcW w:w="1701" w:type="dxa"/>
          </w:tcPr>
          <w:p w14:paraId="23D0B87E" w14:textId="77777777" w:rsidR="00222D72" w:rsidRDefault="00222D72" w:rsidP="004C7BEF">
            <w:pPr>
              <w:pStyle w:val="ARtablecolheadright"/>
              <w:rPr>
                <w:rFonts w:eastAsia="Arial"/>
                <w:bCs/>
              </w:rPr>
            </w:pPr>
            <w:r w:rsidRPr="47AEECA1">
              <w:rPr>
                <w:rFonts w:eastAsia="Arial"/>
                <w:bCs/>
              </w:rPr>
              <w:t>Megajoules</w:t>
            </w:r>
          </w:p>
        </w:tc>
        <w:tc>
          <w:tcPr>
            <w:tcW w:w="1701" w:type="dxa"/>
          </w:tcPr>
          <w:p w14:paraId="1942841B" w14:textId="77777777" w:rsidR="00222D72" w:rsidRDefault="00222D72" w:rsidP="004C7BEF">
            <w:pPr>
              <w:pStyle w:val="ARtablecolheadright"/>
              <w:rPr>
                <w:rFonts w:eastAsia="Arial"/>
                <w:bCs/>
              </w:rPr>
            </w:pPr>
            <w:r w:rsidRPr="47AEECA1">
              <w:rPr>
                <w:rFonts w:eastAsia="Arial"/>
                <w:bCs/>
              </w:rPr>
              <w:t>Megajoules</w:t>
            </w:r>
          </w:p>
        </w:tc>
      </w:tr>
      <w:tr w:rsidR="00222D72" w14:paraId="020CA29C" w14:textId="77777777" w:rsidTr="003E09F6">
        <w:tc>
          <w:tcPr>
            <w:tcW w:w="4536" w:type="dxa"/>
          </w:tcPr>
          <w:p w14:paraId="5A48BCC6" w14:textId="77777777" w:rsidR="00222D72" w:rsidRDefault="00222D72" w:rsidP="004C7BEF">
            <w:pPr>
              <w:pStyle w:val="ARtabletext"/>
              <w:rPr>
                <w:rFonts w:eastAsia="Arial"/>
              </w:rPr>
            </w:pPr>
            <w:r w:rsidRPr="47AEECA1">
              <w:rPr>
                <w:rFonts w:eastAsia="Arial"/>
              </w:rPr>
              <w:t>LPG</w:t>
            </w:r>
          </w:p>
        </w:tc>
        <w:tc>
          <w:tcPr>
            <w:tcW w:w="1701" w:type="dxa"/>
          </w:tcPr>
          <w:p w14:paraId="337EEBB2" w14:textId="77777777" w:rsidR="00222D72" w:rsidRDefault="00222D72" w:rsidP="00100C7A">
            <w:pPr>
              <w:pStyle w:val="ARtabletextright"/>
            </w:pPr>
            <w:r w:rsidRPr="2396B9CA">
              <w:t>0</w:t>
            </w:r>
          </w:p>
        </w:tc>
        <w:tc>
          <w:tcPr>
            <w:tcW w:w="1701" w:type="dxa"/>
          </w:tcPr>
          <w:p w14:paraId="2724D77E" w14:textId="011248A5" w:rsidR="00222D72" w:rsidRDefault="00222D72" w:rsidP="00100C7A">
            <w:pPr>
              <w:pStyle w:val="ARtabletextright"/>
            </w:pPr>
            <w:r w:rsidRPr="5E1D3705">
              <w:t>N/A</w:t>
            </w:r>
          </w:p>
        </w:tc>
        <w:tc>
          <w:tcPr>
            <w:tcW w:w="1701" w:type="dxa"/>
          </w:tcPr>
          <w:p w14:paraId="4B6BCFB8" w14:textId="4A581545" w:rsidR="00222D72" w:rsidRDefault="00222D72" w:rsidP="00100C7A">
            <w:pPr>
              <w:pStyle w:val="ARtabletextright"/>
            </w:pPr>
            <w:r w:rsidRPr="5E1D3705">
              <w:t>N/A</w:t>
            </w:r>
          </w:p>
        </w:tc>
      </w:tr>
      <w:tr w:rsidR="00222D72" w14:paraId="46477BCD" w14:textId="77777777" w:rsidTr="003E09F6">
        <w:tc>
          <w:tcPr>
            <w:tcW w:w="4536" w:type="dxa"/>
          </w:tcPr>
          <w:p w14:paraId="39C6E934" w14:textId="77777777" w:rsidR="00222D72" w:rsidRDefault="00222D72" w:rsidP="004C7BEF">
            <w:pPr>
              <w:pStyle w:val="ARtabletext"/>
              <w:rPr>
                <w:rFonts w:eastAsia="Arial"/>
              </w:rPr>
            </w:pPr>
            <w:r w:rsidRPr="47AEECA1">
              <w:rPr>
                <w:rFonts w:eastAsia="Arial"/>
              </w:rPr>
              <w:t>Electric</w:t>
            </w:r>
          </w:p>
        </w:tc>
        <w:tc>
          <w:tcPr>
            <w:tcW w:w="1701" w:type="dxa"/>
          </w:tcPr>
          <w:p w14:paraId="1EED4204" w14:textId="77777777" w:rsidR="00222D72" w:rsidRDefault="00222D72" w:rsidP="00100C7A">
            <w:pPr>
              <w:pStyle w:val="ARtabletextright"/>
            </w:pPr>
            <w:r w:rsidRPr="2396B9CA">
              <w:t>0</w:t>
            </w:r>
          </w:p>
        </w:tc>
        <w:tc>
          <w:tcPr>
            <w:tcW w:w="1701" w:type="dxa"/>
          </w:tcPr>
          <w:p w14:paraId="0F0A60EF" w14:textId="30B4D9FF" w:rsidR="00222D72" w:rsidRDefault="00222D72" w:rsidP="00100C7A">
            <w:pPr>
              <w:pStyle w:val="ARtabletextright"/>
            </w:pPr>
            <w:r w:rsidRPr="5E1D3705">
              <w:t>N/A</w:t>
            </w:r>
          </w:p>
        </w:tc>
        <w:tc>
          <w:tcPr>
            <w:tcW w:w="1701" w:type="dxa"/>
          </w:tcPr>
          <w:p w14:paraId="1C355D42" w14:textId="6E166AA3" w:rsidR="00222D72" w:rsidRDefault="00222D72" w:rsidP="00100C7A">
            <w:pPr>
              <w:pStyle w:val="ARtabletextright"/>
            </w:pPr>
            <w:r w:rsidRPr="5E1D3705">
              <w:t>N/A</w:t>
            </w:r>
          </w:p>
        </w:tc>
      </w:tr>
      <w:tr w:rsidR="00222D72" w14:paraId="14EAD540" w14:textId="77777777" w:rsidTr="003E09F6">
        <w:tc>
          <w:tcPr>
            <w:tcW w:w="4536" w:type="dxa"/>
          </w:tcPr>
          <w:p w14:paraId="3F65449C" w14:textId="77777777" w:rsidR="00222D72" w:rsidRDefault="00222D72" w:rsidP="004C7BEF">
            <w:pPr>
              <w:pStyle w:val="ARtabletext"/>
              <w:rPr>
                <w:rFonts w:eastAsia="Arial"/>
              </w:rPr>
            </w:pPr>
            <w:r w:rsidRPr="47AEECA1">
              <w:rPr>
                <w:rFonts w:eastAsia="Arial"/>
              </w:rPr>
              <w:t>Hybrid</w:t>
            </w:r>
          </w:p>
        </w:tc>
        <w:tc>
          <w:tcPr>
            <w:tcW w:w="1701" w:type="dxa"/>
          </w:tcPr>
          <w:p w14:paraId="2B05E60C" w14:textId="77777777" w:rsidR="00222D72" w:rsidRDefault="00222D72" w:rsidP="00100C7A">
            <w:pPr>
              <w:pStyle w:val="ARtabletextright"/>
            </w:pPr>
            <w:r w:rsidRPr="2396B9CA">
              <w:t>277,982</w:t>
            </w:r>
          </w:p>
        </w:tc>
        <w:tc>
          <w:tcPr>
            <w:tcW w:w="1701" w:type="dxa"/>
          </w:tcPr>
          <w:p w14:paraId="1C5717E1" w14:textId="79697871" w:rsidR="00222D72" w:rsidRDefault="00222D72" w:rsidP="00100C7A">
            <w:pPr>
              <w:pStyle w:val="ARtabletextright"/>
            </w:pPr>
            <w:r w:rsidRPr="5E1D3705">
              <w:t>N/A</w:t>
            </w:r>
          </w:p>
        </w:tc>
        <w:tc>
          <w:tcPr>
            <w:tcW w:w="1701" w:type="dxa"/>
          </w:tcPr>
          <w:p w14:paraId="543BCB15" w14:textId="22BDDB91" w:rsidR="00222D72" w:rsidRDefault="00222D72" w:rsidP="00100C7A">
            <w:pPr>
              <w:pStyle w:val="ARtabletextright"/>
            </w:pPr>
            <w:r w:rsidRPr="5E1D3705">
              <w:t>N/A</w:t>
            </w:r>
          </w:p>
        </w:tc>
      </w:tr>
      <w:tr w:rsidR="00222D72" w14:paraId="058DDDA9" w14:textId="77777777" w:rsidTr="003E09F6">
        <w:tc>
          <w:tcPr>
            <w:tcW w:w="4536" w:type="dxa"/>
          </w:tcPr>
          <w:p w14:paraId="1003ABF4" w14:textId="77777777" w:rsidR="00222D72" w:rsidRDefault="00222D72" w:rsidP="004C7BEF">
            <w:pPr>
              <w:pStyle w:val="ARtabletext"/>
              <w:rPr>
                <w:rFonts w:eastAsia="Arial"/>
              </w:rPr>
            </w:pPr>
            <w:r w:rsidRPr="47AEECA1">
              <w:rPr>
                <w:rFonts w:eastAsia="Arial"/>
              </w:rPr>
              <w:t>Unleaded petrol</w:t>
            </w:r>
          </w:p>
        </w:tc>
        <w:tc>
          <w:tcPr>
            <w:tcW w:w="1701" w:type="dxa"/>
          </w:tcPr>
          <w:p w14:paraId="77E86FDA" w14:textId="77777777" w:rsidR="00222D72" w:rsidRDefault="00222D72" w:rsidP="00100C7A">
            <w:pPr>
              <w:pStyle w:val="ARtabletextright"/>
            </w:pPr>
            <w:r w:rsidRPr="2396B9CA">
              <w:t>1,754,301</w:t>
            </w:r>
          </w:p>
        </w:tc>
        <w:tc>
          <w:tcPr>
            <w:tcW w:w="1701" w:type="dxa"/>
          </w:tcPr>
          <w:p w14:paraId="2B17F196" w14:textId="4DFEE53A" w:rsidR="00222D72" w:rsidRDefault="00222D72" w:rsidP="00100C7A">
            <w:pPr>
              <w:pStyle w:val="ARtabletextright"/>
            </w:pPr>
            <w:r w:rsidRPr="5E1D3705">
              <w:t>N/A</w:t>
            </w:r>
          </w:p>
        </w:tc>
        <w:tc>
          <w:tcPr>
            <w:tcW w:w="1701" w:type="dxa"/>
          </w:tcPr>
          <w:p w14:paraId="509BD6D7" w14:textId="422577A4" w:rsidR="00222D72" w:rsidRDefault="00222D72" w:rsidP="00100C7A">
            <w:pPr>
              <w:pStyle w:val="ARtabletextright"/>
            </w:pPr>
            <w:r w:rsidRPr="5E1D3705">
              <w:t>N/A</w:t>
            </w:r>
          </w:p>
        </w:tc>
      </w:tr>
      <w:tr w:rsidR="00222D72" w14:paraId="2FF103EC" w14:textId="77777777" w:rsidTr="003E09F6">
        <w:tc>
          <w:tcPr>
            <w:tcW w:w="4536" w:type="dxa"/>
          </w:tcPr>
          <w:p w14:paraId="2E7D50EC" w14:textId="77777777" w:rsidR="00222D72" w:rsidRDefault="00222D72" w:rsidP="004C7BEF">
            <w:pPr>
              <w:pStyle w:val="ARtabletext"/>
              <w:rPr>
                <w:rFonts w:eastAsia="Arial"/>
              </w:rPr>
            </w:pPr>
            <w:r w:rsidRPr="47AEECA1">
              <w:rPr>
                <w:rFonts w:eastAsia="Arial"/>
              </w:rPr>
              <w:t>Diesel</w:t>
            </w:r>
          </w:p>
        </w:tc>
        <w:tc>
          <w:tcPr>
            <w:tcW w:w="1701" w:type="dxa"/>
          </w:tcPr>
          <w:p w14:paraId="18962DE0" w14:textId="77777777" w:rsidR="00222D72" w:rsidRDefault="00222D72" w:rsidP="00100C7A">
            <w:pPr>
              <w:pStyle w:val="ARtabletextright"/>
            </w:pPr>
            <w:r w:rsidRPr="2396B9CA">
              <w:t>275,405</w:t>
            </w:r>
          </w:p>
        </w:tc>
        <w:tc>
          <w:tcPr>
            <w:tcW w:w="1701" w:type="dxa"/>
          </w:tcPr>
          <w:p w14:paraId="546AB06F" w14:textId="5BD78E20" w:rsidR="00222D72" w:rsidRDefault="00222D72" w:rsidP="00100C7A">
            <w:pPr>
              <w:pStyle w:val="ARtabletextright"/>
            </w:pPr>
            <w:r w:rsidRPr="5E1D3705">
              <w:t>N/A</w:t>
            </w:r>
          </w:p>
        </w:tc>
        <w:tc>
          <w:tcPr>
            <w:tcW w:w="1701" w:type="dxa"/>
          </w:tcPr>
          <w:p w14:paraId="1BFF65CC" w14:textId="4B27D2E8" w:rsidR="00222D72" w:rsidRDefault="00222D72" w:rsidP="00100C7A">
            <w:pPr>
              <w:pStyle w:val="ARtabletextright"/>
            </w:pPr>
            <w:r w:rsidRPr="5E1D3705">
              <w:t>N/A</w:t>
            </w:r>
          </w:p>
        </w:tc>
      </w:tr>
      <w:tr w:rsidR="00222D72" w14:paraId="3B94EB38" w14:textId="77777777" w:rsidTr="003E09F6">
        <w:tc>
          <w:tcPr>
            <w:tcW w:w="4536" w:type="dxa"/>
          </w:tcPr>
          <w:p w14:paraId="4C305325" w14:textId="77777777" w:rsidR="00222D72" w:rsidRDefault="00222D72" w:rsidP="004C7BEF">
            <w:pPr>
              <w:pStyle w:val="ARtabletext"/>
              <w:rPr>
                <w:rFonts w:eastAsia="Arial"/>
              </w:rPr>
            </w:pPr>
            <w:r w:rsidRPr="47AEECA1">
              <w:rPr>
                <w:rFonts w:eastAsia="Arial"/>
              </w:rPr>
              <w:t>State government vehicle pool</w:t>
            </w:r>
          </w:p>
        </w:tc>
        <w:tc>
          <w:tcPr>
            <w:tcW w:w="1701" w:type="dxa"/>
          </w:tcPr>
          <w:p w14:paraId="74F2872F" w14:textId="77777777" w:rsidR="00222D72" w:rsidRDefault="00222D72" w:rsidP="00100C7A">
            <w:pPr>
              <w:pStyle w:val="ARtabletextright"/>
            </w:pPr>
            <w:r w:rsidRPr="2396B9CA">
              <w:t>3,751,398</w:t>
            </w:r>
          </w:p>
        </w:tc>
        <w:tc>
          <w:tcPr>
            <w:tcW w:w="1701" w:type="dxa"/>
          </w:tcPr>
          <w:p w14:paraId="173900A0" w14:textId="6BDA8F84" w:rsidR="00222D72" w:rsidRDefault="00222D72" w:rsidP="00100C7A">
            <w:pPr>
              <w:pStyle w:val="ARtabletextright"/>
            </w:pPr>
            <w:r w:rsidRPr="5E1D3705">
              <w:t>N/A</w:t>
            </w:r>
          </w:p>
        </w:tc>
        <w:tc>
          <w:tcPr>
            <w:tcW w:w="1701" w:type="dxa"/>
          </w:tcPr>
          <w:p w14:paraId="00D9B8D8" w14:textId="20D3E0CE" w:rsidR="00222D72" w:rsidRDefault="00222D72" w:rsidP="00100C7A">
            <w:pPr>
              <w:pStyle w:val="ARtabletextright"/>
            </w:pPr>
            <w:r w:rsidRPr="5E1D3705">
              <w:t>N/A</w:t>
            </w:r>
          </w:p>
        </w:tc>
      </w:tr>
      <w:tr w:rsidR="00222D72" w14:paraId="1DE8A27B" w14:textId="77777777" w:rsidTr="003E09F6">
        <w:tc>
          <w:tcPr>
            <w:tcW w:w="4536" w:type="dxa"/>
          </w:tcPr>
          <w:p w14:paraId="5B109863" w14:textId="77777777" w:rsidR="00222D72" w:rsidRDefault="00222D72" w:rsidP="004C7BEF">
            <w:pPr>
              <w:pStyle w:val="ARtabletext"/>
              <w:rPr>
                <w:rFonts w:eastAsia="Arial"/>
              </w:rPr>
            </w:pPr>
            <w:r w:rsidRPr="47AEECA1">
              <w:rPr>
                <w:rFonts w:eastAsia="Arial"/>
                <w:b/>
                <w:bCs/>
              </w:rPr>
              <w:t>Total</w:t>
            </w:r>
          </w:p>
        </w:tc>
        <w:tc>
          <w:tcPr>
            <w:tcW w:w="1701" w:type="dxa"/>
          </w:tcPr>
          <w:p w14:paraId="26B2F97D" w14:textId="77777777" w:rsidR="00222D72" w:rsidRDefault="00222D72" w:rsidP="009E7701">
            <w:pPr>
              <w:pStyle w:val="ARtabletextrightbold"/>
            </w:pPr>
            <w:r w:rsidRPr="2396B9CA">
              <w:t>6,059,086</w:t>
            </w:r>
          </w:p>
        </w:tc>
        <w:tc>
          <w:tcPr>
            <w:tcW w:w="1701" w:type="dxa"/>
          </w:tcPr>
          <w:p w14:paraId="3B19FCFD" w14:textId="648E4C94" w:rsidR="00222D72" w:rsidRDefault="00222D72" w:rsidP="009E7701">
            <w:pPr>
              <w:pStyle w:val="ARtabletextrightbold"/>
            </w:pPr>
            <w:r w:rsidRPr="5E1D3705">
              <w:t>N/A</w:t>
            </w:r>
          </w:p>
        </w:tc>
        <w:tc>
          <w:tcPr>
            <w:tcW w:w="1701" w:type="dxa"/>
          </w:tcPr>
          <w:p w14:paraId="6F0B41CF" w14:textId="132A59A6" w:rsidR="00222D72" w:rsidRDefault="00222D72" w:rsidP="009E7701">
            <w:pPr>
              <w:pStyle w:val="ARtabletextrightbold"/>
            </w:pPr>
            <w:r w:rsidRPr="5E1D3705">
              <w:t>N/A</w:t>
            </w:r>
          </w:p>
        </w:tc>
      </w:tr>
    </w:tbl>
    <w:p w14:paraId="00ADFAF7" w14:textId="77777777" w:rsidR="00222D72" w:rsidRDefault="00222D72" w:rsidP="007E101B">
      <w:pPr>
        <w:pStyle w:val="ARbodynospace"/>
      </w:pPr>
    </w:p>
    <w:tbl>
      <w:tblPr>
        <w:tblStyle w:val="TableGrid"/>
        <w:tblW w:w="9639" w:type="dxa"/>
        <w:tblLayout w:type="fixed"/>
        <w:tblLook w:val="06A0" w:firstRow="1" w:lastRow="0" w:firstColumn="1" w:lastColumn="0" w:noHBand="1" w:noVBand="1"/>
      </w:tblPr>
      <w:tblGrid>
        <w:gridCol w:w="4536"/>
        <w:gridCol w:w="1701"/>
        <w:gridCol w:w="1701"/>
        <w:gridCol w:w="1701"/>
      </w:tblGrid>
      <w:tr w:rsidR="00222D72" w14:paraId="2950429D" w14:textId="77777777" w:rsidTr="003E09F6">
        <w:trPr>
          <w:cnfStyle w:val="100000000000" w:firstRow="1" w:lastRow="0" w:firstColumn="0" w:lastColumn="0" w:oddVBand="0" w:evenVBand="0" w:oddHBand="0" w:evenHBand="0" w:firstRowFirstColumn="0" w:firstRowLastColumn="0" w:lastRowFirstColumn="0" w:lastRowLastColumn="0"/>
          <w:trHeight w:val="270"/>
          <w:tblHeader/>
        </w:trPr>
        <w:tc>
          <w:tcPr>
            <w:tcW w:w="4536" w:type="dxa"/>
          </w:tcPr>
          <w:p w14:paraId="2D8184A3" w14:textId="77777777" w:rsidR="00222D72" w:rsidRDefault="00222D72" w:rsidP="004C7BEF">
            <w:pPr>
              <w:pStyle w:val="ARtablecolhead"/>
              <w:rPr>
                <w:rFonts w:eastAsia="Arial"/>
                <w:bCs/>
              </w:rPr>
            </w:pPr>
            <w:r w:rsidRPr="47AEECA1">
              <w:rPr>
                <w:rFonts w:eastAsia="Arial"/>
                <w:bCs/>
              </w:rPr>
              <w:t>Description</w:t>
            </w:r>
          </w:p>
        </w:tc>
        <w:tc>
          <w:tcPr>
            <w:tcW w:w="1701" w:type="dxa"/>
          </w:tcPr>
          <w:p w14:paraId="5CCA2FD0" w14:textId="77777777" w:rsidR="00222D72" w:rsidRDefault="00222D72" w:rsidP="004C7BEF">
            <w:pPr>
              <w:pStyle w:val="ARtablecolheadright"/>
              <w:rPr>
                <w:rFonts w:eastAsia="Arial"/>
                <w:bCs/>
              </w:rPr>
            </w:pPr>
            <w:r w:rsidRPr="47AEECA1">
              <w:rPr>
                <w:rFonts w:eastAsia="Arial"/>
                <w:bCs/>
              </w:rPr>
              <w:t>2021–22 estimate</w:t>
            </w:r>
          </w:p>
        </w:tc>
        <w:tc>
          <w:tcPr>
            <w:tcW w:w="1701" w:type="dxa"/>
          </w:tcPr>
          <w:p w14:paraId="539938A8" w14:textId="77777777" w:rsidR="00222D72" w:rsidRDefault="00222D72" w:rsidP="004C7BEF">
            <w:pPr>
              <w:pStyle w:val="ARtablecolheadright"/>
              <w:rPr>
                <w:rFonts w:eastAsia="Arial"/>
                <w:bCs/>
              </w:rPr>
            </w:pPr>
            <w:r w:rsidRPr="47AEECA1">
              <w:rPr>
                <w:rFonts w:eastAsia="Arial"/>
                <w:bCs/>
              </w:rPr>
              <w:t>2020–21 estimate</w:t>
            </w:r>
          </w:p>
        </w:tc>
        <w:tc>
          <w:tcPr>
            <w:tcW w:w="1701" w:type="dxa"/>
          </w:tcPr>
          <w:p w14:paraId="381F7174" w14:textId="77777777" w:rsidR="00222D72" w:rsidRDefault="00222D72" w:rsidP="004C7BEF">
            <w:pPr>
              <w:pStyle w:val="ARtablecolheadright"/>
              <w:rPr>
                <w:rFonts w:eastAsia="Arial"/>
                <w:bCs/>
              </w:rPr>
            </w:pPr>
            <w:r w:rsidRPr="47AEECA1">
              <w:rPr>
                <w:rFonts w:eastAsia="Arial"/>
                <w:bCs/>
              </w:rPr>
              <w:t>2019–20 estimate</w:t>
            </w:r>
          </w:p>
        </w:tc>
      </w:tr>
      <w:tr w:rsidR="00222D72" w14:paraId="5DEDA254" w14:textId="77777777" w:rsidTr="003E09F6">
        <w:trPr>
          <w:cnfStyle w:val="100000000000" w:firstRow="1" w:lastRow="0" w:firstColumn="0" w:lastColumn="0" w:oddVBand="0" w:evenVBand="0" w:oddHBand="0" w:evenHBand="0" w:firstRowFirstColumn="0" w:firstRowLastColumn="0" w:lastRowFirstColumn="0" w:lastRowLastColumn="0"/>
          <w:trHeight w:val="270"/>
          <w:tblHeader/>
        </w:trPr>
        <w:tc>
          <w:tcPr>
            <w:tcW w:w="4536" w:type="dxa"/>
          </w:tcPr>
          <w:p w14:paraId="071841DA" w14:textId="77777777" w:rsidR="00222D72" w:rsidRDefault="00222D72" w:rsidP="004C7BEF">
            <w:pPr>
              <w:pStyle w:val="ARtablecolhead"/>
              <w:rPr>
                <w:rFonts w:eastAsia="Arial"/>
                <w:bCs/>
              </w:rPr>
            </w:pPr>
            <w:r w:rsidRPr="47AEECA1">
              <w:rPr>
                <w:rFonts w:eastAsia="Arial"/>
                <w:bCs/>
              </w:rPr>
              <w:t>Total vehicle travel</w:t>
            </w:r>
          </w:p>
        </w:tc>
        <w:tc>
          <w:tcPr>
            <w:tcW w:w="1701" w:type="dxa"/>
          </w:tcPr>
          <w:p w14:paraId="48A3003E" w14:textId="77777777" w:rsidR="00222D72" w:rsidRDefault="00222D72" w:rsidP="004C7BEF">
            <w:pPr>
              <w:pStyle w:val="ARtablecolheadright"/>
              <w:rPr>
                <w:rFonts w:eastAsia="Arial"/>
                <w:bCs/>
              </w:rPr>
            </w:pPr>
            <w:r w:rsidRPr="47AEECA1">
              <w:rPr>
                <w:rFonts w:eastAsia="Arial"/>
                <w:bCs/>
              </w:rPr>
              <w:t>Kilometres</w:t>
            </w:r>
          </w:p>
        </w:tc>
        <w:tc>
          <w:tcPr>
            <w:tcW w:w="1701" w:type="dxa"/>
          </w:tcPr>
          <w:p w14:paraId="304D1F45" w14:textId="77777777" w:rsidR="00222D72" w:rsidRDefault="00222D72" w:rsidP="004C7BEF">
            <w:pPr>
              <w:pStyle w:val="ARtablecolheadright"/>
              <w:rPr>
                <w:rFonts w:eastAsia="Arial"/>
                <w:bCs/>
              </w:rPr>
            </w:pPr>
            <w:r w:rsidRPr="47AEECA1">
              <w:rPr>
                <w:rFonts w:eastAsia="Arial"/>
                <w:bCs/>
              </w:rPr>
              <w:t>Kilometres</w:t>
            </w:r>
          </w:p>
        </w:tc>
        <w:tc>
          <w:tcPr>
            <w:tcW w:w="1701" w:type="dxa"/>
          </w:tcPr>
          <w:p w14:paraId="19B55E41" w14:textId="77777777" w:rsidR="00222D72" w:rsidRDefault="00222D72" w:rsidP="004C7BEF">
            <w:pPr>
              <w:pStyle w:val="ARtablecolheadright"/>
              <w:rPr>
                <w:rFonts w:eastAsia="Arial"/>
                <w:bCs/>
              </w:rPr>
            </w:pPr>
            <w:r w:rsidRPr="47AEECA1">
              <w:rPr>
                <w:rFonts w:eastAsia="Arial"/>
                <w:bCs/>
              </w:rPr>
              <w:t>Kilometres</w:t>
            </w:r>
          </w:p>
        </w:tc>
      </w:tr>
      <w:tr w:rsidR="00222D72" w14:paraId="438AB97A" w14:textId="77777777" w:rsidTr="003E09F6">
        <w:trPr>
          <w:cantSplit w:val="0"/>
          <w:trHeight w:val="270"/>
        </w:trPr>
        <w:tc>
          <w:tcPr>
            <w:tcW w:w="4536" w:type="dxa"/>
          </w:tcPr>
          <w:p w14:paraId="00794BA2" w14:textId="77777777" w:rsidR="00222D72" w:rsidRDefault="00222D72" w:rsidP="004C7BEF">
            <w:pPr>
              <w:pStyle w:val="ARtablecolhead"/>
              <w:rPr>
                <w:rFonts w:eastAsia="Arial"/>
                <w:b w:val="0"/>
              </w:rPr>
            </w:pPr>
            <w:r w:rsidRPr="6FF5BE95">
              <w:rPr>
                <w:rFonts w:eastAsia="Arial"/>
                <w:b w:val="0"/>
              </w:rPr>
              <w:t>LPG</w:t>
            </w:r>
          </w:p>
        </w:tc>
        <w:tc>
          <w:tcPr>
            <w:tcW w:w="1701" w:type="dxa"/>
          </w:tcPr>
          <w:p w14:paraId="48573488" w14:textId="77777777" w:rsidR="00222D72" w:rsidRDefault="00222D72" w:rsidP="00100C7A">
            <w:pPr>
              <w:pStyle w:val="ARtabletextright"/>
              <w:rPr>
                <w:b/>
              </w:rPr>
            </w:pPr>
            <w:r w:rsidRPr="6FF5BE95">
              <w:t>0</w:t>
            </w:r>
          </w:p>
        </w:tc>
        <w:tc>
          <w:tcPr>
            <w:tcW w:w="1701" w:type="dxa"/>
          </w:tcPr>
          <w:p w14:paraId="54872577" w14:textId="00905403" w:rsidR="00222D72" w:rsidRDefault="00222D72" w:rsidP="004C7BEF">
            <w:pPr>
              <w:pStyle w:val="ARtablecolheadright"/>
              <w:rPr>
                <w:rFonts w:eastAsia="Arial"/>
                <w:b w:val="0"/>
              </w:rPr>
            </w:pPr>
            <w:r w:rsidRPr="5E1D3705">
              <w:rPr>
                <w:rFonts w:eastAsia="Arial"/>
              </w:rPr>
              <w:t>N/A</w:t>
            </w:r>
          </w:p>
        </w:tc>
        <w:tc>
          <w:tcPr>
            <w:tcW w:w="1701" w:type="dxa"/>
          </w:tcPr>
          <w:p w14:paraId="5FB52649" w14:textId="3D889ED7" w:rsidR="00222D72" w:rsidRDefault="00222D72" w:rsidP="004C7BEF">
            <w:pPr>
              <w:pStyle w:val="ARtablecolheadright"/>
              <w:rPr>
                <w:rFonts w:eastAsia="Arial"/>
              </w:rPr>
            </w:pPr>
            <w:r w:rsidRPr="5E1D3705">
              <w:rPr>
                <w:rFonts w:eastAsia="Arial"/>
              </w:rPr>
              <w:t>N/A</w:t>
            </w:r>
          </w:p>
        </w:tc>
      </w:tr>
      <w:tr w:rsidR="002526DD" w14:paraId="17A616D3" w14:textId="77777777" w:rsidTr="003E09F6">
        <w:trPr>
          <w:cantSplit w:val="0"/>
          <w:trHeight w:val="270"/>
        </w:trPr>
        <w:tc>
          <w:tcPr>
            <w:tcW w:w="4536" w:type="dxa"/>
          </w:tcPr>
          <w:p w14:paraId="3BFA59EF" w14:textId="77777777" w:rsidR="002526DD" w:rsidRDefault="002526DD" w:rsidP="002526DD">
            <w:pPr>
              <w:pStyle w:val="ARtabletext"/>
              <w:rPr>
                <w:rFonts w:eastAsia="Arial"/>
              </w:rPr>
            </w:pPr>
            <w:r w:rsidRPr="47AEECA1">
              <w:rPr>
                <w:rFonts w:eastAsia="Arial"/>
              </w:rPr>
              <w:t>Electric</w:t>
            </w:r>
          </w:p>
        </w:tc>
        <w:tc>
          <w:tcPr>
            <w:tcW w:w="1701" w:type="dxa"/>
          </w:tcPr>
          <w:p w14:paraId="0E58ECC9" w14:textId="77777777" w:rsidR="002526DD" w:rsidRDefault="002526DD" w:rsidP="00100C7A">
            <w:pPr>
              <w:pStyle w:val="ARtabletextright"/>
            </w:pPr>
            <w:r w:rsidRPr="2396B9CA">
              <w:t>17,309</w:t>
            </w:r>
          </w:p>
        </w:tc>
        <w:tc>
          <w:tcPr>
            <w:tcW w:w="1701" w:type="dxa"/>
          </w:tcPr>
          <w:p w14:paraId="04808F06" w14:textId="51189385" w:rsidR="002526DD" w:rsidRDefault="002526DD" w:rsidP="00100C7A">
            <w:pPr>
              <w:pStyle w:val="ARtabletextright"/>
            </w:pPr>
            <w:r w:rsidRPr="5E1D3705">
              <w:t>N/A</w:t>
            </w:r>
          </w:p>
        </w:tc>
        <w:tc>
          <w:tcPr>
            <w:tcW w:w="1701" w:type="dxa"/>
          </w:tcPr>
          <w:p w14:paraId="52FB8EE7" w14:textId="53EAC745" w:rsidR="002526DD" w:rsidRDefault="002526DD" w:rsidP="00100C7A">
            <w:pPr>
              <w:pStyle w:val="ARtabletextright"/>
            </w:pPr>
            <w:r w:rsidRPr="5E1D3705">
              <w:t>N/A</w:t>
            </w:r>
          </w:p>
        </w:tc>
      </w:tr>
      <w:tr w:rsidR="002526DD" w14:paraId="0862C94A" w14:textId="77777777" w:rsidTr="003E09F6">
        <w:trPr>
          <w:cantSplit w:val="0"/>
          <w:trHeight w:val="270"/>
        </w:trPr>
        <w:tc>
          <w:tcPr>
            <w:tcW w:w="4536" w:type="dxa"/>
          </w:tcPr>
          <w:p w14:paraId="59C66D80" w14:textId="77777777" w:rsidR="002526DD" w:rsidRDefault="002526DD" w:rsidP="002526DD">
            <w:pPr>
              <w:pStyle w:val="ARtabletext"/>
              <w:rPr>
                <w:rFonts w:eastAsia="Arial"/>
              </w:rPr>
            </w:pPr>
            <w:r w:rsidRPr="47AEECA1">
              <w:rPr>
                <w:rFonts w:eastAsia="Arial"/>
              </w:rPr>
              <w:t>Hybrid</w:t>
            </w:r>
          </w:p>
        </w:tc>
        <w:tc>
          <w:tcPr>
            <w:tcW w:w="1701" w:type="dxa"/>
          </w:tcPr>
          <w:p w14:paraId="2C63A0F7" w14:textId="77777777" w:rsidR="002526DD" w:rsidRDefault="002526DD" w:rsidP="00100C7A">
            <w:pPr>
              <w:pStyle w:val="ARtabletextright"/>
            </w:pPr>
            <w:r w:rsidRPr="2396B9CA">
              <w:t>242,086</w:t>
            </w:r>
          </w:p>
        </w:tc>
        <w:tc>
          <w:tcPr>
            <w:tcW w:w="1701" w:type="dxa"/>
          </w:tcPr>
          <w:p w14:paraId="0522F8EE" w14:textId="13C1132F" w:rsidR="002526DD" w:rsidRDefault="002526DD" w:rsidP="00100C7A">
            <w:pPr>
              <w:pStyle w:val="ARtabletextright"/>
            </w:pPr>
            <w:r w:rsidRPr="5E1D3705">
              <w:t>N/A</w:t>
            </w:r>
          </w:p>
        </w:tc>
        <w:tc>
          <w:tcPr>
            <w:tcW w:w="1701" w:type="dxa"/>
          </w:tcPr>
          <w:p w14:paraId="29B463BB" w14:textId="190170D4" w:rsidR="002526DD" w:rsidRDefault="002526DD" w:rsidP="00100C7A">
            <w:pPr>
              <w:pStyle w:val="ARtabletextright"/>
            </w:pPr>
            <w:r w:rsidRPr="5E1D3705">
              <w:t>N/A</w:t>
            </w:r>
          </w:p>
        </w:tc>
      </w:tr>
      <w:tr w:rsidR="002526DD" w14:paraId="0F432727" w14:textId="77777777" w:rsidTr="003E09F6">
        <w:trPr>
          <w:cantSplit w:val="0"/>
          <w:trHeight w:val="270"/>
        </w:trPr>
        <w:tc>
          <w:tcPr>
            <w:tcW w:w="4536" w:type="dxa"/>
          </w:tcPr>
          <w:p w14:paraId="50D0D2E1" w14:textId="77777777" w:rsidR="002526DD" w:rsidRDefault="002526DD" w:rsidP="002526DD">
            <w:pPr>
              <w:pStyle w:val="ARtabletext"/>
              <w:rPr>
                <w:rFonts w:eastAsia="Arial"/>
              </w:rPr>
            </w:pPr>
            <w:r w:rsidRPr="47AEECA1">
              <w:rPr>
                <w:rFonts w:eastAsia="Arial"/>
              </w:rPr>
              <w:t>Unleaded petrol</w:t>
            </w:r>
          </w:p>
        </w:tc>
        <w:tc>
          <w:tcPr>
            <w:tcW w:w="1701" w:type="dxa"/>
          </w:tcPr>
          <w:p w14:paraId="7636E803" w14:textId="77777777" w:rsidR="002526DD" w:rsidRDefault="002526DD" w:rsidP="00100C7A">
            <w:pPr>
              <w:pStyle w:val="ARtabletextright"/>
            </w:pPr>
            <w:r w:rsidRPr="2396B9CA">
              <w:t>610,798</w:t>
            </w:r>
          </w:p>
        </w:tc>
        <w:tc>
          <w:tcPr>
            <w:tcW w:w="1701" w:type="dxa"/>
          </w:tcPr>
          <w:p w14:paraId="336FB8F8" w14:textId="5A1B4B13" w:rsidR="002526DD" w:rsidRDefault="002526DD" w:rsidP="00100C7A">
            <w:pPr>
              <w:pStyle w:val="ARtabletextright"/>
            </w:pPr>
            <w:r w:rsidRPr="5E1D3705">
              <w:t>N/A</w:t>
            </w:r>
          </w:p>
        </w:tc>
        <w:tc>
          <w:tcPr>
            <w:tcW w:w="1701" w:type="dxa"/>
          </w:tcPr>
          <w:p w14:paraId="6017E1ED" w14:textId="23C1A1E6" w:rsidR="002526DD" w:rsidRDefault="002526DD" w:rsidP="00100C7A">
            <w:pPr>
              <w:pStyle w:val="ARtabletextright"/>
            </w:pPr>
            <w:r w:rsidRPr="5E1D3705">
              <w:t>N/A</w:t>
            </w:r>
          </w:p>
        </w:tc>
      </w:tr>
      <w:tr w:rsidR="002526DD" w14:paraId="1E80BEF2" w14:textId="77777777" w:rsidTr="003E09F6">
        <w:trPr>
          <w:cantSplit w:val="0"/>
          <w:trHeight w:val="270"/>
        </w:trPr>
        <w:tc>
          <w:tcPr>
            <w:tcW w:w="4536" w:type="dxa"/>
          </w:tcPr>
          <w:p w14:paraId="1E41C5C8" w14:textId="77777777" w:rsidR="002526DD" w:rsidRDefault="002526DD" w:rsidP="002526DD">
            <w:pPr>
              <w:pStyle w:val="ARtabletext"/>
              <w:rPr>
                <w:rFonts w:eastAsia="Arial"/>
              </w:rPr>
            </w:pPr>
            <w:r w:rsidRPr="47AEECA1">
              <w:rPr>
                <w:rFonts w:eastAsia="Arial"/>
              </w:rPr>
              <w:t>Diesel</w:t>
            </w:r>
          </w:p>
        </w:tc>
        <w:tc>
          <w:tcPr>
            <w:tcW w:w="1701" w:type="dxa"/>
          </w:tcPr>
          <w:p w14:paraId="5C4D4F7D" w14:textId="77777777" w:rsidR="002526DD" w:rsidRDefault="002526DD" w:rsidP="00100C7A">
            <w:pPr>
              <w:pStyle w:val="ARtabletextright"/>
            </w:pPr>
            <w:r w:rsidRPr="2396B9CA">
              <w:t>100,628</w:t>
            </w:r>
          </w:p>
        </w:tc>
        <w:tc>
          <w:tcPr>
            <w:tcW w:w="1701" w:type="dxa"/>
          </w:tcPr>
          <w:p w14:paraId="1CEF5357" w14:textId="2331B8AA" w:rsidR="002526DD" w:rsidRDefault="002526DD" w:rsidP="00100C7A">
            <w:pPr>
              <w:pStyle w:val="ARtabletextright"/>
            </w:pPr>
            <w:r w:rsidRPr="5E1D3705">
              <w:t>N/A</w:t>
            </w:r>
          </w:p>
        </w:tc>
        <w:tc>
          <w:tcPr>
            <w:tcW w:w="1701" w:type="dxa"/>
          </w:tcPr>
          <w:p w14:paraId="245CFDC9" w14:textId="441302FC" w:rsidR="002526DD" w:rsidRDefault="002526DD" w:rsidP="00100C7A">
            <w:pPr>
              <w:pStyle w:val="ARtabletextright"/>
            </w:pPr>
            <w:r w:rsidRPr="5E1D3705">
              <w:t>N/A</w:t>
            </w:r>
          </w:p>
        </w:tc>
      </w:tr>
      <w:tr w:rsidR="002526DD" w14:paraId="55ECEA47" w14:textId="77777777" w:rsidTr="003E09F6">
        <w:trPr>
          <w:cantSplit w:val="0"/>
          <w:trHeight w:val="270"/>
        </w:trPr>
        <w:tc>
          <w:tcPr>
            <w:tcW w:w="4536" w:type="dxa"/>
          </w:tcPr>
          <w:p w14:paraId="4C2A02DC" w14:textId="77777777" w:rsidR="002526DD" w:rsidRDefault="002526DD" w:rsidP="002526DD">
            <w:pPr>
              <w:pStyle w:val="ARtabletext"/>
              <w:rPr>
                <w:rFonts w:eastAsia="Arial"/>
              </w:rPr>
            </w:pPr>
            <w:r w:rsidRPr="47AEECA1">
              <w:rPr>
                <w:rFonts w:eastAsia="Arial"/>
              </w:rPr>
              <w:t>State government vehicle pool</w:t>
            </w:r>
          </w:p>
        </w:tc>
        <w:tc>
          <w:tcPr>
            <w:tcW w:w="1701" w:type="dxa"/>
          </w:tcPr>
          <w:p w14:paraId="02BC8D90" w14:textId="77777777" w:rsidR="002526DD" w:rsidRDefault="002526DD" w:rsidP="00100C7A">
            <w:pPr>
              <w:pStyle w:val="ARtabletextright"/>
            </w:pPr>
            <w:r w:rsidRPr="2396B9CA">
              <w:t>746,583</w:t>
            </w:r>
          </w:p>
        </w:tc>
        <w:tc>
          <w:tcPr>
            <w:tcW w:w="1701" w:type="dxa"/>
          </w:tcPr>
          <w:p w14:paraId="168F8669" w14:textId="764DA400" w:rsidR="002526DD" w:rsidRDefault="002526DD" w:rsidP="00100C7A">
            <w:pPr>
              <w:pStyle w:val="ARtabletextright"/>
            </w:pPr>
            <w:r w:rsidRPr="5E1D3705">
              <w:t>N/A</w:t>
            </w:r>
          </w:p>
        </w:tc>
        <w:tc>
          <w:tcPr>
            <w:tcW w:w="1701" w:type="dxa"/>
          </w:tcPr>
          <w:p w14:paraId="1B242D5C" w14:textId="6C22744B" w:rsidR="002526DD" w:rsidRDefault="002526DD" w:rsidP="00100C7A">
            <w:pPr>
              <w:pStyle w:val="ARtabletextright"/>
            </w:pPr>
            <w:r w:rsidRPr="5E1D3705">
              <w:t>N/A</w:t>
            </w:r>
          </w:p>
        </w:tc>
      </w:tr>
      <w:tr w:rsidR="00222D72" w14:paraId="79F46360" w14:textId="77777777" w:rsidTr="003E09F6">
        <w:trPr>
          <w:cantSplit w:val="0"/>
          <w:trHeight w:val="270"/>
        </w:trPr>
        <w:tc>
          <w:tcPr>
            <w:tcW w:w="4536" w:type="dxa"/>
          </w:tcPr>
          <w:p w14:paraId="7CE4870C" w14:textId="77777777" w:rsidR="00222D72" w:rsidRDefault="00222D72" w:rsidP="004C7BEF">
            <w:pPr>
              <w:pStyle w:val="ARtabletext"/>
              <w:rPr>
                <w:rFonts w:eastAsia="Arial"/>
              </w:rPr>
            </w:pPr>
            <w:r w:rsidRPr="47AEECA1">
              <w:rPr>
                <w:rFonts w:eastAsia="Arial"/>
                <w:b/>
                <w:bCs/>
              </w:rPr>
              <w:t>Total</w:t>
            </w:r>
          </w:p>
        </w:tc>
        <w:tc>
          <w:tcPr>
            <w:tcW w:w="1701" w:type="dxa"/>
          </w:tcPr>
          <w:p w14:paraId="661DCEB8" w14:textId="77777777" w:rsidR="00222D72" w:rsidRDefault="00222D72" w:rsidP="009E7701">
            <w:pPr>
              <w:pStyle w:val="ARtabletextrightbold"/>
            </w:pPr>
            <w:r w:rsidRPr="2396B9CA">
              <w:t>1,717,404</w:t>
            </w:r>
          </w:p>
        </w:tc>
        <w:tc>
          <w:tcPr>
            <w:tcW w:w="1701" w:type="dxa"/>
          </w:tcPr>
          <w:p w14:paraId="20905052" w14:textId="6F2141D6" w:rsidR="00222D72" w:rsidRDefault="00222D72" w:rsidP="009E7701">
            <w:pPr>
              <w:pStyle w:val="ARtabletextrightbold"/>
            </w:pPr>
            <w:r w:rsidRPr="5E1D3705">
              <w:t>N/A</w:t>
            </w:r>
          </w:p>
        </w:tc>
        <w:tc>
          <w:tcPr>
            <w:tcW w:w="1701" w:type="dxa"/>
          </w:tcPr>
          <w:p w14:paraId="5B662DB5" w14:textId="760C5F1C" w:rsidR="00222D72" w:rsidRDefault="00222D72" w:rsidP="009E7701">
            <w:pPr>
              <w:pStyle w:val="ARtabletextrightbold"/>
            </w:pPr>
            <w:r w:rsidRPr="5E1D3705">
              <w:t>N/A</w:t>
            </w:r>
          </w:p>
        </w:tc>
      </w:tr>
    </w:tbl>
    <w:p w14:paraId="2F9545EC" w14:textId="77777777" w:rsidR="00222D72" w:rsidRDefault="00222D72" w:rsidP="007E101B">
      <w:pPr>
        <w:pStyle w:val="ARbodynospace"/>
      </w:pPr>
    </w:p>
    <w:tbl>
      <w:tblPr>
        <w:tblStyle w:val="TableGrid"/>
        <w:tblW w:w="9639" w:type="dxa"/>
        <w:tblLayout w:type="fixed"/>
        <w:tblLook w:val="06A0" w:firstRow="1" w:lastRow="0" w:firstColumn="1" w:lastColumn="0" w:noHBand="1" w:noVBand="1"/>
      </w:tblPr>
      <w:tblGrid>
        <w:gridCol w:w="4536"/>
        <w:gridCol w:w="1701"/>
        <w:gridCol w:w="1701"/>
        <w:gridCol w:w="1701"/>
      </w:tblGrid>
      <w:tr w:rsidR="00222D72" w14:paraId="52EABBB0" w14:textId="77777777" w:rsidTr="00D132D7">
        <w:trPr>
          <w:cnfStyle w:val="100000000000" w:firstRow="1" w:lastRow="0" w:firstColumn="0" w:lastColumn="0" w:oddVBand="0" w:evenVBand="0" w:oddHBand="0" w:evenHBand="0" w:firstRowFirstColumn="0" w:firstRowLastColumn="0" w:lastRowFirstColumn="0" w:lastRowLastColumn="0"/>
          <w:trHeight w:val="270"/>
          <w:tblHeader/>
        </w:trPr>
        <w:tc>
          <w:tcPr>
            <w:tcW w:w="4536" w:type="dxa"/>
          </w:tcPr>
          <w:p w14:paraId="0CA845BB" w14:textId="77777777" w:rsidR="00222D72" w:rsidRDefault="00222D72" w:rsidP="004C7BEF">
            <w:pPr>
              <w:pStyle w:val="ARtablecolhead"/>
              <w:rPr>
                <w:rFonts w:eastAsia="Arial"/>
                <w:bCs/>
              </w:rPr>
            </w:pPr>
            <w:r w:rsidRPr="47AEECA1">
              <w:rPr>
                <w:rFonts w:eastAsia="Arial"/>
                <w:bCs/>
              </w:rPr>
              <w:t>Description</w:t>
            </w:r>
          </w:p>
        </w:tc>
        <w:tc>
          <w:tcPr>
            <w:tcW w:w="1701" w:type="dxa"/>
          </w:tcPr>
          <w:p w14:paraId="2E87C5FD" w14:textId="77777777" w:rsidR="00222D72" w:rsidRDefault="00222D72" w:rsidP="004C7BEF">
            <w:pPr>
              <w:pStyle w:val="ARtablecolheadright"/>
              <w:rPr>
                <w:rFonts w:eastAsia="Arial"/>
                <w:bCs/>
              </w:rPr>
            </w:pPr>
            <w:r w:rsidRPr="47AEECA1">
              <w:rPr>
                <w:rFonts w:eastAsia="Arial"/>
                <w:bCs/>
              </w:rPr>
              <w:t>2021–22 estimate</w:t>
            </w:r>
          </w:p>
        </w:tc>
        <w:tc>
          <w:tcPr>
            <w:tcW w:w="1701" w:type="dxa"/>
          </w:tcPr>
          <w:p w14:paraId="29C35773" w14:textId="77777777" w:rsidR="00222D72" w:rsidRDefault="00222D72" w:rsidP="004C7BEF">
            <w:pPr>
              <w:pStyle w:val="ARtablecolheadright"/>
              <w:rPr>
                <w:rFonts w:eastAsia="Arial"/>
                <w:bCs/>
              </w:rPr>
            </w:pPr>
            <w:r w:rsidRPr="47AEECA1">
              <w:rPr>
                <w:rFonts w:eastAsia="Arial"/>
                <w:bCs/>
              </w:rPr>
              <w:t>2020–21 estimate</w:t>
            </w:r>
          </w:p>
        </w:tc>
        <w:tc>
          <w:tcPr>
            <w:tcW w:w="1701" w:type="dxa"/>
          </w:tcPr>
          <w:p w14:paraId="45FE96C4" w14:textId="77777777" w:rsidR="00222D72" w:rsidRDefault="00222D72" w:rsidP="004C7BEF">
            <w:pPr>
              <w:pStyle w:val="ARtablecolheadright"/>
              <w:rPr>
                <w:rFonts w:eastAsia="Arial"/>
                <w:bCs/>
              </w:rPr>
            </w:pPr>
            <w:r w:rsidRPr="47AEECA1">
              <w:rPr>
                <w:rFonts w:eastAsia="Arial"/>
                <w:bCs/>
              </w:rPr>
              <w:t>2019–20 estimate</w:t>
            </w:r>
          </w:p>
        </w:tc>
      </w:tr>
      <w:tr w:rsidR="00222D72" w14:paraId="3C51B264" w14:textId="77777777" w:rsidTr="00D132D7">
        <w:trPr>
          <w:cnfStyle w:val="100000000000" w:firstRow="1" w:lastRow="0" w:firstColumn="0" w:lastColumn="0" w:oddVBand="0" w:evenVBand="0" w:oddHBand="0" w:evenHBand="0" w:firstRowFirstColumn="0" w:firstRowLastColumn="0" w:lastRowFirstColumn="0" w:lastRowLastColumn="0"/>
          <w:trHeight w:val="270"/>
          <w:tblHeader/>
        </w:trPr>
        <w:tc>
          <w:tcPr>
            <w:tcW w:w="4536" w:type="dxa"/>
          </w:tcPr>
          <w:p w14:paraId="122F2AA7" w14:textId="77777777" w:rsidR="00222D72" w:rsidRDefault="00222D72" w:rsidP="004C7BEF">
            <w:pPr>
              <w:pStyle w:val="ARtablecolhead"/>
              <w:rPr>
                <w:rFonts w:eastAsia="Arial"/>
                <w:bCs/>
              </w:rPr>
            </w:pPr>
            <w:r w:rsidRPr="47AEECA1">
              <w:rPr>
                <w:rFonts w:eastAsia="Arial"/>
                <w:bCs/>
              </w:rPr>
              <w:t>Total greenhouse gas emissions</w:t>
            </w:r>
          </w:p>
        </w:tc>
        <w:tc>
          <w:tcPr>
            <w:tcW w:w="1701" w:type="dxa"/>
          </w:tcPr>
          <w:p w14:paraId="368408BC" w14:textId="1F1D28D3" w:rsidR="00222D72" w:rsidRDefault="00222D72" w:rsidP="004C7BEF">
            <w:pPr>
              <w:pStyle w:val="ARtablecolheadright"/>
              <w:rPr>
                <w:rFonts w:eastAsia="Arial"/>
                <w:bCs/>
              </w:rPr>
            </w:pPr>
            <w:r w:rsidRPr="47AEECA1">
              <w:rPr>
                <w:rFonts w:eastAsia="Arial"/>
                <w:bCs/>
              </w:rPr>
              <w:t>Tonnes CO</w:t>
            </w:r>
            <w:r w:rsidR="0072453F" w:rsidRPr="00125EE1">
              <w:rPr>
                <w:rStyle w:val="Subscript"/>
              </w:rPr>
              <w:t>2</w:t>
            </w:r>
            <w:r w:rsidRPr="47AEECA1">
              <w:rPr>
                <w:rFonts w:eastAsia="Arial"/>
                <w:bCs/>
              </w:rPr>
              <w:t>-e</w:t>
            </w:r>
          </w:p>
        </w:tc>
        <w:tc>
          <w:tcPr>
            <w:tcW w:w="1701" w:type="dxa"/>
          </w:tcPr>
          <w:p w14:paraId="024FD364" w14:textId="37E4E4D0" w:rsidR="00222D72" w:rsidRDefault="00222D72" w:rsidP="004C7BEF">
            <w:pPr>
              <w:pStyle w:val="ARtablecolheadright"/>
              <w:rPr>
                <w:rFonts w:eastAsia="Arial"/>
                <w:bCs/>
              </w:rPr>
            </w:pPr>
            <w:r w:rsidRPr="47AEECA1">
              <w:rPr>
                <w:rFonts w:eastAsia="Arial"/>
                <w:bCs/>
              </w:rPr>
              <w:t>Tonnes CO</w:t>
            </w:r>
            <w:r w:rsidR="0072453F" w:rsidRPr="00125EE1">
              <w:rPr>
                <w:rStyle w:val="Subscript"/>
              </w:rPr>
              <w:t>2</w:t>
            </w:r>
            <w:r w:rsidRPr="47AEECA1">
              <w:rPr>
                <w:rFonts w:eastAsia="Arial"/>
                <w:bCs/>
              </w:rPr>
              <w:t>-e</w:t>
            </w:r>
          </w:p>
        </w:tc>
        <w:tc>
          <w:tcPr>
            <w:tcW w:w="1701" w:type="dxa"/>
          </w:tcPr>
          <w:p w14:paraId="4B6D548E" w14:textId="3132D5AE" w:rsidR="00222D72" w:rsidRDefault="00222D72" w:rsidP="004C7BEF">
            <w:pPr>
              <w:pStyle w:val="ARtablecolheadright"/>
              <w:rPr>
                <w:rFonts w:eastAsia="Arial"/>
                <w:bCs/>
              </w:rPr>
            </w:pPr>
            <w:r w:rsidRPr="47AEECA1">
              <w:rPr>
                <w:rFonts w:eastAsia="Arial"/>
                <w:bCs/>
              </w:rPr>
              <w:t>Tonnes CO</w:t>
            </w:r>
            <w:r w:rsidR="0072453F" w:rsidRPr="00125EE1">
              <w:rPr>
                <w:rStyle w:val="Subscript"/>
              </w:rPr>
              <w:t>2</w:t>
            </w:r>
            <w:r w:rsidRPr="47AEECA1">
              <w:rPr>
                <w:rFonts w:eastAsia="Arial"/>
                <w:bCs/>
              </w:rPr>
              <w:t>-e</w:t>
            </w:r>
          </w:p>
        </w:tc>
      </w:tr>
      <w:tr w:rsidR="002526DD" w14:paraId="2781A403" w14:textId="77777777" w:rsidTr="00D132D7">
        <w:trPr>
          <w:cantSplit w:val="0"/>
          <w:trHeight w:val="270"/>
        </w:trPr>
        <w:tc>
          <w:tcPr>
            <w:tcW w:w="4536" w:type="dxa"/>
          </w:tcPr>
          <w:p w14:paraId="253578E7" w14:textId="77777777" w:rsidR="002526DD" w:rsidRDefault="002526DD" w:rsidP="002526DD">
            <w:pPr>
              <w:pStyle w:val="ARtabletext"/>
              <w:rPr>
                <w:rFonts w:eastAsia="Arial"/>
              </w:rPr>
            </w:pPr>
            <w:r w:rsidRPr="47AEECA1">
              <w:rPr>
                <w:rFonts w:eastAsia="Arial"/>
              </w:rPr>
              <w:t>LPG</w:t>
            </w:r>
          </w:p>
        </w:tc>
        <w:tc>
          <w:tcPr>
            <w:tcW w:w="1701" w:type="dxa"/>
          </w:tcPr>
          <w:p w14:paraId="0F6BEFD7" w14:textId="77777777" w:rsidR="002526DD" w:rsidRDefault="002526DD" w:rsidP="00100C7A">
            <w:pPr>
              <w:pStyle w:val="ARtabletextright"/>
            </w:pPr>
            <w:r w:rsidRPr="2396B9CA">
              <w:t>0</w:t>
            </w:r>
          </w:p>
        </w:tc>
        <w:tc>
          <w:tcPr>
            <w:tcW w:w="1701" w:type="dxa"/>
          </w:tcPr>
          <w:p w14:paraId="3ADCCE3E" w14:textId="2242FBCE" w:rsidR="002526DD" w:rsidRDefault="002526DD" w:rsidP="00100C7A">
            <w:pPr>
              <w:pStyle w:val="ARtabletextright"/>
            </w:pPr>
            <w:r w:rsidRPr="5E1D3705">
              <w:t>N/A</w:t>
            </w:r>
          </w:p>
        </w:tc>
        <w:tc>
          <w:tcPr>
            <w:tcW w:w="1701" w:type="dxa"/>
          </w:tcPr>
          <w:p w14:paraId="43E0F0C6" w14:textId="1413E27B" w:rsidR="002526DD" w:rsidRDefault="002526DD" w:rsidP="00100C7A">
            <w:pPr>
              <w:pStyle w:val="ARtabletextright"/>
            </w:pPr>
            <w:r w:rsidRPr="5E1D3705">
              <w:t>N/A</w:t>
            </w:r>
          </w:p>
        </w:tc>
      </w:tr>
      <w:tr w:rsidR="002526DD" w14:paraId="3C2AD781" w14:textId="77777777" w:rsidTr="00D132D7">
        <w:trPr>
          <w:cantSplit w:val="0"/>
          <w:trHeight w:val="270"/>
        </w:trPr>
        <w:tc>
          <w:tcPr>
            <w:tcW w:w="4536" w:type="dxa"/>
          </w:tcPr>
          <w:p w14:paraId="337DD6E4" w14:textId="77777777" w:rsidR="002526DD" w:rsidRDefault="002526DD" w:rsidP="002526DD">
            <w:pPr>
              <w:pStyle w:val="ARtabletext"/>
              <w:rPr>
                <w:rFonts w:eastAsia="Arial"/>
              </w:rPr>
            </w:pPr>
            <w:r w:rsidRPr="47AEECA1">
              <w:rPr>
                <w:rFonts w:eastAsia="Arial"/>
              </w:rPr>
              <w:t>Electric</w:t>
            </w:r>
          </w:p>
        </w:tc>
        <w:tc>
          <w:tcPr>
            <w:tcW w:w="1701" w:type="dxa"/>
          </w:tcPr>
          <w:p w14:paraId="7DA9AD76" w14:textId="77777777" w:rsidR="002526DD" w:rsidRDefault="002526DD" w:rsidP="00100C7A">
            <w:pPr>
              <w:pStyle w:val="ARtabletextright"/>
            </w:pPr>
            <w:r w:rsidRPr="2396B9CA">
              <w:t>0</w:t>
            </w:r>
          </w:p>
        </w:tc>
        <w:tc>
          <w:tcPr>
            <w:tcW w:w="1701" w:type="dxa"/>
          </w:tcPr>
          <w:p w14:paraId="71707064" w14:textId="280C52B8" w:rsidR="002526DD" w:rsidRDefault="002526DD" w:rsidP="00100C7A">
            <w:pPr>
              <w:pStyle w:val="ARtabletextright"/>
            </w:pPr>
            <w:r w:rsidRPr="5E1D3705">
              <w:t>N/A</w:t>
            </w:r>
          </w:p>
        </w:tc>
        <w:tc>
          <w:tcPr>
            <w:tcW w:w="1701" w:type="dxa"/>
          </w:tcPr>
          <w:p w14:paraId="01949528" w14:textId="2CB95B6D" w:rsidR="002526DD" w:rsidRDefault="002526DD" w:rsidP="00100C7A">
            <w:pPr>
              <w:pStyle w:val="ARtabletextright"/>
            </w:pPr>
            <w:r w:rsidRPr="5E1D3705">
              <w:t>N/A</w:t>
            </w:r>
          </w:p>
        </w:tc>
      </w:tr>
      <w:tr w:rsidR="002526DD" w14:paraId="61E67A44" w14:textId="77777777" w:rsidTr="00D132D7">
        <w:trPr>
          <w:cantSplit w:val="0"/>
          <w:trHeight w:val="270"/>
        </w:trPr>
        <w:tc>
          <w:tcPr>
            <w:tcW w:w="4536" w:type="dxa"/>
          </w:tcPr>
          <w:p w14:paraId="529A3DA4" w14:textId="77777777" w:rsidR="002526DD" w:rsidRDefault="002526DD" w:rsidP="002526DD">
            <w:pPr>
              <w:pStyle w:val="ARtabletext"/>
              <w:rPr>
                <w:rFonts w:eastAsia="Arial"/>
              </w:rPr>
            </w:pPr>
            <w:r w:rsidRPr="47AEECA1">
              <w:rPr>
                <w:rFonts w:eastAsia="Arial"/>
              </w:rPr>
              <w:t>Hybrid</w:t>
            </w:r>
          </w:p>
        </w:tc>
        <w:tc>
          <w:tcPr>
            <w:tcW w:w="1701" w:type="dxa"/>
          </w:tcPr>
          <w:p w14:paraId="023B905A" w14:textId="77777777" w:rsidR="002526DD" w:rsidRDefault="002526DD" w:rsidP="00100C7A">
            <w:pPr>
              <w:pStyle w:val="ARtabletextright"/>
            </w:pPr>
            <w:r w:rsidRPr="2396B9CA">
              <w:t>20</w:t>
            </w:r>
          </w:p>
        </w:tc>
        <w:tc>
          <w:tcPr>
            <w:tcW w:w="1701" w:type="dxa"/>
          </w:tcPr>
          <w:p w14:paraId="421D8305" w14:textId="22807659" w:rsidR="002526DD" w:rsidRDefault="002526DD" w:rsidP="00100C7A">
            <w:pPr>
              <w:pStyle w:val="ARtabletextright"/>
            </w:pPr>
            <w:r w:rsidRPr="5E1D3705">
              <w:t>N/A</w:t>
            </w:r>
          </w:p>
        </w:tc>
        <w:tc>
          <w:tcPr>
            <w:tcW w:w="1701" w:type="dxa"/>
          </w:tcPr>
          <w:p w14:paraId="013824C0" w14:textId="4A61B151" w:rsidR="002526DD" w:rsidRDefault="002526DD" w:rsidP="00100C7A">
            <w:pPr>
              <w:pStyle w:val="ARtabletextright"/>
            </w:pPr>
            <w:r w:rsidRPr="5E1D3705">
              <w:t>N/A</w:t>
            </w:r>
          </w:p>
        </w:tc>
      </w:tr>
      <w:tr w:rsidR="002526DD" w14:paraId="727B1B64" w14:textId="77777777" w:rsidTr="00D132D7">
        <w:trPr>
          <w:cantSplit w:val="0"/>
          <w:trHeight w:val="270"/>
        </w:trPr>
        <w:tc>
          <w:tcPr>
            <w:tcW w:w="4536" w:type="dxa"/>
          </w:tcPr>
          <w:p w14:paraId="61ED7C76" w14:textId="77777777" w:rsidR="002526DD" w:rsidRDefault="002526DD" w:rsidP="002526DD">
            <w:pPr>
              <w:pStyle w:val="ARtabletext"/>
              <w:rPr>
                <w:rFonts w:eastAsia="Arial"/>
              </w:rPr>
            </w:pPr>
            <w:r w:rsidRPr="47AEECA1">
              <w:rPr>
                <w:rFonts w:eastAsia="Arial"/>
              </w:rPr>
              <w:t>Unleaded petrol</w:t>
            </w:r>
          </w:p>
        </w:tc>
        <w:tc>
          <w:tcPr>
            <w:tcW w:w="1701" w:type="dxa"/>
          </w:tcPr>
          <w:p w14:paraId="6ECCA689" w14:textId="77777777" w:rsidR="002526DD" w:rsidRDefault="002526DD" w:rsidP="00100C7A">
            <w:pPr>
              <w:pStyle w:val="ARtabletextright"/>
            </w:pPr>
            <w:r w:rsidRPr="2396B9CA">
              <w:t>124</w:t>
            </w:r>
          </w:p>
        </w:tc>
        <w:tc>
          <w:tcPr>
            <w:tcW w:w="1701" w:type="dxa"/>
          </w:tcPr>
          <w:p w14:paraId="3C1DD6A6" w14:textId="3F789499" w:rsidR="002526DD" w:rsidRDefault="002526DD" w:rsidP="00100C7A">
            <w:pPr>
              <w:pStyle w:val="ARtabletextright"/>
            </w:pPr>
            <w:r w:rsidRPr="5E1D3705">
              <w:t>N/A</w:t>
            </w:r>
          </w:p>
        </w:tc>
        <w:tc>
          <w:tcPr>
            <w:tcW w:w="1701" w:type="dxa"/>
          </w:tcPr>
          <w:p w14:paraId="5FC061F7" w14:textId="0CEA07AB" w:rsidR="002526DD" w:rsidRDefault="002526DD" w:rsidP="00100C7A">
            <w:pPr>
              <w:pStyle w:val="ARtabletextright"/>
            </w:pPr>
            <w:r w:rsidRPr="5E1D3705">
              <w:t>N/A</w:t>
            </w:r>
          </w:p>
        </w:tc>
      </w:tr>
      <w:tr w:rsidR="002526DD" w14:paraId="700A603B" w14:textId="77777777" w:rsidTr="00D132D7">
        <w:trPr>
          <w:cantSplit w:val="0"/>
          <w:trHeight w:val="270"/>
        </w:trPr>
        <w:tc>
          <w:tcPr>
            <w:tcW w:w="4536" w:type="dxa"/>
          </w:tcPr>
          <w:p w14:paraId="77D6C349" w14:textId="77777777" w:rsidR="002526DD" w:rsidRDefault="002526DD" w:rsidP="002526DD">
            <w:pPr>
              <w:pStyle w:val="ARtabletext"/>
              <w:rPr>
                <w:rFonts w:eastAsia="Arial"/>
              </w:rPr>
            </w:pPr>
            <w:r w:rsidRPr="47AEECA1">
              <w:rPr>
                <w:rFonts w:eastAsia="Arial"/>
              </w:rPr>
              <w:t>Diesel</w:t>
            </w:r>
          </w:p>
        </w:tc>
        <w:tc>
          <w:tcPr>
            <w:tcW w:w="1701" w:type="dxa"/>
          </w:tcPr>
          <w:p w14:paraId="050EC062" w14:textId="77777777" w:rsidR="002526DD" w:rsidRDefault="002526DD" w:rsidP="00100C7A">
            <w:pPr>
              <w:pStyle w:val="ARtabletextright"/>
            </w:pPr>
            <w:r w:rsidRPr="2396B9CA">
              <w:t>22</w:t>
            </w:r>
          </w:p>
        </w:tc>
        <w:tc>
          <w:tcPr>
            <w:tcW w:w="1701" w:type="dxa"/>
          </w:tcPr>
          <w:p w14:paraId="21F722A1" w14:textId="4ECA888B" w:rsidR="002526DD" w:rsidRDefault="002526DD" w:rsidP="00100C7A">
            <w:pPr>
              <w:pStyle w:val="ARtabletextright"/>
            </w:pPr>
            <w:r w:rsidRPr="5E1D3705">
              <w:t>N/A</w:t>
            </w:r>
          </w:p>
        </w:tc>
        <w:tc>
          <w:tcPr>
            <w:tcW w:w="1701" w:type="dxa"/>
          </w:tcPr>
          <w:p w14:paraId="20F848B7" w14:textId="5265A99A" w:rsidR="002526DD" w:rsidRDefault="002526DD" w:rsidP="00100C7A">
            <w:pPr>
              <w:pStyle w:val="ARtabletextright"/>
            </w:pPr>
            <w:r w:rsidRPr="5E1D3705">
              <w:t>N/A</w:t>
            </w:r>
          </w:p>
        </w:tc>
      </w:tr>
      <w:tr w:rsidR="002526DD" w14:paraId="62AB2C82" w14:textId="77777777" w:rsidTr="00D132D7">
        <w:trPr>
          <w:cantSplit w:val="0"/>
          <w:trHeight w:val="270"/>
        </w:trPr>
        <w:tc>
          <w:tcPr>
            <w:tcW w:w="4536" w:type="dxa"/>
          </w:tcPr>
          <w:p w14:paraId="591AA9C6" w14:textId="77777777" w:rsidR="002526DD" w:rsidRDefault="002526DD" w:rsidP="002526DD">
            <w:pPr>
              <w:pStyle w:val="ARtabletext"/>
              <w:rPr>
                <w:rFonts w:eastAsia="Arial"/>
              </w:rPr>
            </w:pPr>
            <w:r w:rsidRPr="47AEECA1">
              <w:rPr>
                <w:rFonts w:eastAsia="Arial"/>
              </w:rPr>
              <w:t>State government vehicle pool</w:t>
            </w:r>
          </w:p>
        </w:tc>
        <w:tc>
          <w:tcPr>
            <w:tcW w:w="1701" w:type="dxa"/>
          </w:tcPr>
          <w:p w14:paraId="6EEFF1CF" w14:textId="77777777" w:rsidR="002526DD" w:rsidRDefault="002526DD" w:rsidP="00100C7A">
            <w:pPr>
              <w:pStyle w:val="ARtabletextright"/>
            </w:pPr>
            <w:r w:rsidRPr="2396B9CA">
              <w:t>264</w:t>
            </w:r>
          </w:p>
        </w:tc>
        <w:tc>
          <w:tcPr>
            <w:tcW w:w="1701" w:type="dxa"/>
          </w:tcPr>
          <w:p w14:paraId="061C8D16" w14:textId="247269E2" w:rsidR="002526DD" w:rsidRDefault="002526DD" w:rsidP="00100C7A">
            <w:pPr>
              <w:pStyle w:val="ARtabletextright"/>
            </w:pPr>
            <w:r w:rsidRPr="5E1D3705">
              <w:t>N/A</w:t>
            </w:r>
          </w:p>
        </w:tc>
        <w:tc>
          <w:tcPr>
            <w:tcW w:w="1701" w:type="dxa"/>
          </w:tcPr>
          <w:p w14:paraId="105D3446" w14:textId="510F9BE3" w:rsidR="002526DD" w:rsidRDefault="002526DD" w:rsidP="00100C7A">
            <w:pPr>
              <w:pStyle w:val="ARtabletextright"/>
            </w:pPr>
            <w:r w:rsidRPr="5E1D3705">
              <w:t>N/A</w:t>
            </w:r>
          </w:p>
        </w:tc>
      </w:tr>
      <w:tr w:rsidR="00222D72" w14:paraId="0C9FE330" w14:textId="77777777" w:rsidTr="00D132D7">
        <w:trPr>
          <w:cantSplit w:val="0"/>
          <w:trHeight w:val="270"/>
        </w:trPr>
        <w:tc>
          <w:tcPr>
            <w:tcW w:w="4536" w:type="dxa"/>
          </w:tcPr>
          <w:p w14:paraId="5BD75137" w14:textId="77777777" w:rsidR="00222D72" w:rsidRDefault="00222D72" w:rsidP="004C7BEF">
            <w:pPr>
              <w:pStyle w:val="ARtabletext"/>
              <w:rPr>
                <w:rFonts w:eastAsia="Arial"/>
              </w:rPr>
            </w:pPr>
            <w:r w:rsidRPr="47AEECA1">
              <w:rPr>
                <w:rFonts w:eastAsia="Arial"/>
                <w:b/>
                <w:bCs/>
              </w:rPr>
              <w:t>Total</w:t>
            </w:r>
          </w:p>
        </w:tc>
        <w:tc>
          <w:tcPr>
            <w:tcW w:w="1701" w:type="dxa"/>
          </w:tcPr>
          <w:p w14:paraId="6E538A96" w14:textId="77777777" w:rsidR="00222D72" w:rsidRDefault="00222D72" w:rsidP="009E7701">
            <w:pPr>
              <w:pStyle w:val="ARtabletextrightbold"/>
            </w:pPr>
            <w:r w:rsidRPr="4E7E9537">
              <w:t>430</w:t>
            </w:r>
          </w:p>
        </w:tc>
        <w:tc>
          <w:tcPr>
            <w:tcW w:w="1701" w:type="dxa"/>
          </w:tcPr>
          <w:p w14:paraId="15F89401" w14:textId="0CBDFF0F" w:rsidR="00222D72" w:rsidRDefault="00222D72" w:rsidP="009E7701">
            <w:pPr>
              <w:pStyle w:val="ARtabletextrightbold"/>
            </w:pPr>
            <w:r w:rsidRPr="5E1D3705">
              <w:t>N/A</w:t>
            </w:r>
          </w:p>
        </w:tc>
        <w:tc>
          <w:tcPr>
            <w:tcW w:w="1701" w:type="dxa"/>
          </w:tcPr>
          <w:p w14:paraId="7C52B969" w14:textId="349AD078" w:rsidR="00222D72" w:rsidRDefault="00222D72" w:rsidP="009E7701">
            <w:pPr>
              <w:pStyle w:val="ARtabletextrightbold"/>
            </w:pPr>
            <w:r w:rsidRPr="5E1D3705">
              <w:t>N/A</w:t>
            </w:r>
          </w:p>
        </w:tc>
      </w:tr>
    </w:tbl>
    <w:p w14:paraId="6CDB6D72" w14:textId="77777777" w:rsidR="00222D72" w:rsidRDefault="00222D72" w:rsidP="007E101B">
      <w:pPr>
        <w:pStyle w:val="ARbodynospace"/>
      </w:pPr>
    </w:p>
    <w:tbl>
      <w:tblPr>
        <w:tblStyle w:val="TableGrid"/>
        <w:tblW w:w="0" w:type="auto"/>
        <w:tblLayout w:type="fixed"/>
        <w:tblLook w:val="06A0" w:firstRow="1" w:lastRow="0" w:firstColumn="1" w:lastColumn="0" w:noHBand="1" w:noVBand="1"/>
      </w:tblPr>
      <w:tblGrid>
        <w:gridCol w:w="4536"/>
        <w:gridCol w:w="1701"/>
        <w:gridCol w:w="1701"/>
        <w:gridCol w:w="1701"/>
      </w:tblGrid>
      <w:tr w:rsidR="00222D72" w14:paraId="4C750CBF" w14:textId="77777777" w:rsidTr="003E09F6">
        <w:trPr>
          <w:cnfStyle w:val="100000000000" w:firstRow="1" w:lastRow="0" w:firstColumn="0" w:lastColumn="0" w:oddVBand="0" w:evenVBand="0" w:oddHBand="0" w:evenHBand="0" w:firstRowFirstColumn="0" w:firstRowLastColumn="0" w:lastRowFirstColumn="0" w:lastRowLastColumn="0"/>
          <w:trHeight w:val="195"/>
          <w:tblHeader/>
        </w:trPr>
        <w:tc>
          <w:tcPr>
            <w:tcW w:w="4536" w:type="dxa"/>
          </w:tcPr>
          <w:p w14:paraId="3902936B" w14:textId="77777777" w:rsidR="00222D72" w:rsidRDefault="00222D72" w:rsidP="008B5BD3">
            <w:pPr>
              <w:pStyle w:val="ARtablecolhead"/>
              <w:pageBreakBefore/>
              <w:rPr>
                <w:rFonts w:eastAsia="Arial"/>
                <w:bCs/>
              </w:rPr>
            </w:pPr>
            <w:r w:rsidRPr="47AEECA1">
              <w:rPr>
                <w:rFonts w:eastAsia="Arial"/>
                <w:bCs/>
              </w:rPr>
              <w:t>Description</w:t>
            </w:r>
          </w:p>
        </w:tc>
        <w:tc>
          <w:tcPr>
            <w:tcW w:w="1701" w:type="dxa"/>
          </w:tcPr>
          <w:p w14:paraId="32DE4404" w14:textId="77777777" w:rsidR="00222D72" w:rsidRDefault="00222D72" w:rsidP="004C7BEF">
            <w:pPr>
              <w:pStyle w:val="ARtablecolheadright"/>
              <w:rPr>
                <w:rFonts w:eastAsia="Arial"/>
                <w:bCs/>
              </w:rPr>
            </w:pPr>
            <w:r w:rsidRPr="47AEECA1">
              <w:rPr>
                <w:rFonts w:eastAsia="Arial"/>
                <w:bCs/>
              </w:rPr>
              <w:t>2021–22 estimate</w:t>
            </w:r>
          </w:p>
        </w:tc>
        <w:tc>
          <w:tcPr>
            <w:tcW w:w="1701" w:type="dxa"/>
          </w:tcPr>
          <w:p w14:paraId="13E4269F" w14:textId="77777777" w:rsidR="00222D72" w:rsidRDefault="00222D72" w:rsidP="004C7BEF">
            <w:pPr>
              <w:pStyle w:val="ARtablecolheadright"/>
              <w:rPr>
                <w:rFonts w:eastAsia="Arial"/>
                <w:bCs/>
              </w:rPr>
            </w:pPr>
            <w:r w:rsidRPr="47AEECA1">
              <w:rPr>
                <w:rFonts w:eastAsia="Arial"/>
                <w:bCs/>
              </w:rPr>
              <w:t>2020–21 estimate</w:t>
            </w:r>
          </w:p>
        </w:tc>
        <w:tc>
          <w:tcPr>
            <w:tcW w:w="1701" w:type="dxa"/>
          </w:tcPr>
          <w:p w14:paraId="32AA5B15" w14:textId="77777777" w:rsidR="00222D72" w:rsidRDefault="00222D72" w:rsidP="004C7BEF">
            <w:pPr>
              <w:pStyle w:val="ARtablecolheadright"/>
              <w:rPr>
                <w:rFonts w:eastAsia="Arial"/>
                <w:bCs/>
              </w:rPr>
            </w:pPr>
            <w:r w:rsidRPr="47AEECA1">
              <w:rPr>
                <w:rFonts w:eastAsia="Arial"/>
                <w:bCs/>
              </w:rPr>
              <w:t>2019–20 estimate</w:t>
            </w:r>
          </w:p>
        </w:tc>
      </w:tr>
      <w:tr w:rsidR="00222D72" w14:paraId="68BA7740" w14:textId="77777777" w:rsidTr="003E09F6">
        <w:trPr>
          <w:cnfStyle w:val="100000000000" w:firstRow="1" w:lastRow="0" w:firstColumn="0" w:lastColumn="0" w:oddVBand="0" w:evenVBand="0" w:oddHBand="0" w:evenHBand="0" w:firstRowFirstColumn="0" w:firstRowLastColumn="0" w:lastRowFirstColumn="0" w:lastRowLastColumn="0"/>
          <w:trHeight w:val="510"/>
          <w:tblHeader/>
        </w:trPr>
        <w:tc>
          <w:tcPr>
            <w:tcW w:w="4536" w:type="dxa"/>
          </w:tcPr>
          <w:p w14:paraId="4176C63E" w14:textId="77777777" w:rsidR="00222D72" w:rsidRDefault="00222D72" w:rsidP="004C7BEF">
            <w:pPr>
              <w:pStyle w:val="ARtablecolhead"/>
              <w:rPr>
                <w:rFonts w:eastAsia="Arial"/>
                <w:bCs/>
              </w:rPr>
            </w:pPr>
            <w:r w:rsidRPr="47AEECA1">
              <w:rPr>
                <w:rFonts w:eastAsia="Arial"/>
                <w:bCs/>
              </w:rPr>
              <w:t>Greenhouse gas emissions efficiency</w:t>
            </w:r>
          </w:p>
        </w:tc>
        <w:tc>
          <w:tcPr>
            <w:tcW w:w="1701" w:type="dxa"/>
          </w:tcPr>
          <w:p w14:paraId="049FFD9C" w14:textId="1D563BA5" w:rsidR="00222D72" w:rsidRDefault="00222D72" w:rsidP="004C7BEF">
            <w:pPr>
              <w:pStyle w:val="ARtablecolheadright"/>
              <w:rPr>
                <w:rFonts w:eastAsia="Arial"/>
                <w:bCs/>
              </w:rPr>
            </w:pPr>
            <w:r w:rsidRPr="47AEECA1">
              <w:rPr>
                <w:rFonts w:eastAsia="Arial"/>
                <w:bCs/>
              </w:rPr>
              <w:t>Tonnes of CO</w:t>
            </w:r>
            <w:r w:rsidR="0072453F" w:rsidRPr="00125EE1">
              <w:rPr>
                <w:rStyle w:val="Subscript"/>
              </w:rPr>
              <w:t>2</w:t>
            </w:r>
            <w:r w:rsidRPr="47AEECA1">
              <w:rPr>
                <w:rFonts w:eastAsia="Arial"/>
                <w:bCs/>
              </w:rPr>
              <w:t>-e per 1,000 kilometres</w:t>
            </w:r>
          </w:p>
        </w:tc>
        <w:tc>
          <w:tcPr>
            <w:tcW w:w="1701" w:type="dxa"/>
          </w:tcPr>
          <w:p w14:paraId="08D10F49" w14:textId="10C181E4" w:rsidR="00222D72" w:rsidRDefault="00222D72" w:rsidP="004C7BEF">
            <w:pPr>
              <w:pStyle w:val="ARtablecolheadright"/>
              <w:rPr>
                <w:rFonts w:eastAsia="Arial"/>
                <w:bCs/>
              </w:rPr>
            </w:pPr>
            <w:r w:rsidRPr="47AEECA1">
              <w:rPr>
                <w:rFonts w:eastAsia="Arial"/>
                <w:bCs/>
              </w:rPr>
              <w:t>Tonnes of CO</w:t>
            </w:r>
            <w:r w:rsidR="0072453F" w:rsidRPr="00125EE1">
              <w:rPr>
                <w:rStyle w:val="Subscript"/>
              </w:rPr>
              <w:t>2</w:t>
            </w:r>
            <w:r w:rsidRPr="47AEECA1">
              <w:rPr>
                <w:rFonts w:eastAsia="Arial"/>
                <w:bCs/>
              </w:rPr>
              <w:t>-e per 1,000 kilometres</w:t>
            </w:r>
          </w:p>
        </w:tc>
        <w:tc>
          <w:tcPr>
            <w:tcW w:w="1701" w:type="dxa"/>
          </w:tcPr>
          <w:p w14:paraId="57440D2E" w14:textId="1F1B57E2" w:rsidR="00222D72" w:rsidRDefault="00222D72" w:rsidP="004C7BEF">
            <w:pPr>
              <w:pStyle w:val="ARtablecolheadright"/>
              <w:rPr>
                <w:rFonts w:eastAsia="Arial"/>
                <w:bCs/>
              </w:rPr>
            </w:pPr>
            <w:r w:rsidRPr="47AEECA1">
              <w:rPr>
                <w:rFonts w:eastAsia="Arial"/>
                <w:bCs/>
              </w:rPr>
              <w:t>Tonnes of CO</w:t>
            </w:r>
            <w:r w:rsidR="0072453F" w:rsidRPr="00125EE1">
              <w:rPr>
                <w:rStyle w:val="Subscript"/>
              </w:rPr>
              <w:t>2</w:t>
            </w:r>
            <w:r w:rsidRPr="47AEECA1">
              <w:rPr>
                <w:rFonts w:eastAsia="Arial"/>
                <w:bCs/>
              </w:rPr>
              <w:t>-e per 1,000 kilometres</w:t>
            </w:r>
          </w:p>
        </w:tc>
      </w:tr>
      <w:tr w:rsidR="00222D72" w14:paraId="2F0522EA" w14:textId="77777777" w:rsidTr="003E09F6">
        <w:trPr>
          <w:cantSplit w:val="0"/>
          <w:trHeight w:val="255"/>
        </w:trPr>
        <w:tc>
          <w:tcPr>
            <w:tcW w:w="4536" w:type="dxa"/>
          </w:tcPr>
          <w:p w14:paraId="547DAE69" w14:textId="77777777" w:rsidR="00222D72" w:rsidRDefault="00222D72" w:rsidP="004C7BEF">
            <w:pPr>
              <w:pStyle w:val="ARtabletext"/>
              <w:rPr>
                <w:rFonts w:eastAsia="Arial"/>
              </w:rPr>
            </w:pPr>
            <w:r w:rsidRPr="47AEECA1">
              <w:rPr>
                <w:rFonts w:eastAsia="Arial"/>
              </w:rPr>
              <w:t>LPG</w:t>
            </w:r>
          </w:p>
        </w:tc>
        <w:tc>
          <w:tcPr>
            <w:tcW w:w="1701" w:type="dxa"/>
          </w:tcPr>
          <w:p w14:paraId="7498DC04" w14:textId="77777777" w:rsidR="00222D72" w:rsidRDefault="00222D72" w:rsidP="00100C7A">
            <w:pPr>
              <w:pStyle w:val="ARtabletextright"/>
            </w:pPr>
            <w:r w:rsidRPr="2396B9CA">
              <w:t>N/A</w:t>
            </w:r>
          </w:p>
        </w:tc>
        <w:tc>
          <w:tcPr>
            <w:tcW w:w="1701" w:type="dxa"/>
          </w:tcPr>
          <w:p w14:paraId="273D788B" w14:textId="77777777" w:rsidR="00222D72" w:rsidRDefault="00222D72" w:rsidP="00100C7A">
            <w:pPr>
              <w:pStyle w:val="ARtabletextright"/>
            </w:pPr>
            <w:r w:rsidRPr="47AEECA1">
              <w:t>N/A</w:t>
            </w:r>
          </w:p>
        </w:tc>
        <w:tc>
          <w:tcPr>
            <w:tcW w:w="1701" w:type="dxa"/>
          </w:tcPr>
          <w:p w14:paraId="7C464655" w14:textId="77777777" w:rsidR="00222D72" w:rsidRDefault="00222D72" w:rsidP="00100C7A">
            <w:pPr>
              <w:pStyle w:val="ARtabletextright"/>
            </w:pPr>
            <w:r w:rsidRPr="47AEECA1">
              <w:t>N/A</w:t>
            </w:r>
          </w:p>
        </w:tc>
      </w:tr>
      <w:tr w:rsidR="00222D72" w14:paraId="7A83C6A4" w14:textId="77777777" w:rsidTr="003E09F6">
        <w:trPr>
          <w:cantSplit w:val="0"/>
          <w:trHeight w:val="255"/>
        </w:trPr>
        <w:tc>
          <w:tcPr>
            <w:tcW w:w="4536" w:type="dxa"/>
          </w:tcPr>
          <w:p w14:paraId="73194465" w14:textId="77777777" w:rsidR="00222D72" w:rsidRDefault="00222D72" w:rsidP="004C7BEF">
            <w:pPr>
              <w:pStyle w:val="ARtabletext"/>
              <w:rPr>
                <w:rFonts w:eastAsia="Arial"/>
              </w:rPr>
            </w:pPr>
            <w:r w:rsidRPr="47AEECA1">
              <w:rPr>
                <w:rFonts w:eastAsia="Arial"/>
              </w:rPr>
              <w:t>Electric</w:t>
            </w:r>
          </w:p>
        </w:tc>
        <w:tc>
          <w:tcPr>
            <w:tcW w:w="1701" w:type="dxa"/>
          </w:tcPr>
          <w:p w14:paraId="2B61CB48" w14:textId="77777777" w:rsidR="00222D72" w:rsidRDefault="00222D72" w:rsidP="00100C7A">
            <w:pPr>
              <w:pStyle w:val="ARtabletextright"/>
            </w:pPr>
            <w:r w:rsidRPr="2396B9CA">
              <w:t>0</w:t>
            </w:r>
          </w:p>
        </w:tc>
        <w:tc>
          <w:tcPr>
            <w:tcW w:w="1701" w:type="dxa"/>
          </w:tcPr>
          <w:p w14:paraId="61C054E8" w14:textId="77777777" w:rsidR="00222D72" w:rsidRDefault="00222D72" w:rsidP="00100C7A">
            <w:pPr>
              <w:pStyle w:val="ARtabletextright"/>
            </w:pPr>
            <w:r w:rsidRPr="47AEECA1">
              <w:t>0.012</w:t>
            </w:r>
          </w:p>
        </w:tc>
        <w:tc>
          <w:tcPr>
            <w:tcW w:w="1701" w:type="dxa"/>
          </w:tcPr>
          <w:p w14:paraId="2A863AA0" w14:textId="77777777" w:rsidR="00222D72" w:rsidRDefault="00222D72" w:rsidP="00100C7A">
            <w:pPr>
              <w:pStyle w:val="ARtabletextright"/>
            </w:pPr>
            <w:r w:rsidRPr="55641E90">
              <w:t>N/A</w:t>
            </w:r>
          </w:p>
        </w:tc>
      </w:tr>
      <w:tr w:rsidR="00222D72" w14:paraId="7441FFC8" w14:textId="77777777" w:rsidTr="003E09F6">
        <w:trPr>
          <w:cantSplit w:val="0"/>
          <w:trHeight w:val="255"/>
        </w:trPr>
        <w:tc>
          <w:tcPr>
            <w:tcW w:w="4536" w:type="dxa"/>
          </w:tcPr>
          <w:p w14:paraId="2C687C76" w14:textId="77777777" w:rsidR="00222D72" w:rsidRDefault="00222D72" w:rsidP="004C7BEF">
            <w:pPr>
              <w:pStyle w:val="ARtabletext"/>
              <w:rPr>
                <w:rFonts w:eastAsia="Arial"/>
              </w:rPr>
            </w:pPr>
            <w:r w:rsidRPr="47AEECA1">
              <w:rPr>
                <w:rFonts w:eastAsia="Arial"/>
              </w:rPr>
              <w:t>Hybrid</w:t>
            </w:r>
          </w:p>
        </w:tc>
        <w:tc>
          <w:tcPr>
            <w:tcW w:w="1701" w:type="dxa"/>
          </w:tcPr>
          <w:p w14:paraId="3F7B9083" w14:textId="77777777" w:rsidR="00222D72" w:rsidRDefault="00222D72" w:rsidP="00100C7A">
            <w:pPr>
              <w:pStyle w:val="ARtabletextright"/>
            </w:pPr>
            <w:r w:rsidRPr="2396B9CA">
              <w:t>0.008</w:t>
            </w:r>
          </w:p>
        </w:tc>
        <w:tc>
          <w:tcPr>
            <w:tcW w:w="1701" w:type="dxa"/>
          </w:tcPr>
          <w:p w14:paraId="0263BCAC" w14:textId="77777777" w:rsidR="00222D72" w:rsidRDefault="00222D72" w:rsidP="00100C7A">
            <w:pPr>
              <w:pStyle w:val="ARtabletextright"/>
            </w:pPr>
            <w:r w:rsidRPr="47AEECA1">
              <w:t>0.138</w:t>
            </w:r>
          </w:p>
        </w:tc>
        <w:tc>
          <w:tcPr>
            <w:tcW w:w="1701" w:type="dxa"/>
          </w:tcPr>
          <w:p w14:paraId="4749C61C" w14:textId="77777777" w:rsidR="00222D72" w:rsidRDefault="00222D72" w:rsidP="00100C7A">
            <w:pPr>
              <w:pStyle w:val="ARtabletextright"/>
            </w:pPr>
            <w:r w:rsidRPr="47AEECA1">
              <w:t>0.114</w:t>
            </w:r>
          </w:p>
        </w:tc>
      </w:tr>
      <w:tr w:rsidR="00222D72" w14:paraId="5CB903DC" w14:textId="77777777" w:rsidTr="003E09F6">
        <w:trPr>
          <w:cantSplit w:val="0"/>
          <w:trHeight w:val="255"/>
        </w:trPr>
        <w:tc>
          <w:tcPr>
            <w:tcW w:w="4536" w:type="dxa"/>
          </w:tcPr>
          <w:p w14:paraId="22FE83CF" w14:textId="77777777" w:rsidR="00222D72" w:rsidRDefault="00222D72" w:rsidP="004C7BEF">
            <w:pPr>
              <w:pStyle w:val="ARtabletext"/>
              <w:rPr>
                <w:rFonts w:eastAsia="Arial"/>
              </w:rPr>
            </w:pPr>
            <w:r w:rsidRPr="47AEECA1">
              <w:rPr>
                <w:rFonts w:eastAsia="Arial"/>
              </w:rPr>
              <w:t>Unleaded petrol</w:t>
            </w:r>
          </w:p>
        </w:tc>
        <w:tc>
          <w:tcPr>
            <w:tcW w:w="1701" w:type="dxa"/>
          </w:tcPr>
          <w:p w14:paraId="1913621C" w14:textId="77777777" w:rsidR="00222D72" w:rsidRDefault="00222D72" w:rsidP="00100C7A">
            <w:pPr>
              <w:pStyle w:val="ARtabletextright"/>
            </w:pPr>
            <w:r w:rsidRPr="2396B9CA">
              <w:t>0.020</w:t>
            </w:r>
          </w:p>
        </w:tc>
        <w:tc>
          <w:tcPr>
            <w:tcW w:w="1701" w:type="dxa"/>
          </w:tcPr>
          <w:p w14:paraId="17A791B5" w14:textId="77777777" w:rsidR="00222D72" w:rsidRDefault="00222D72" w:rsidP="00100C7A">
            <w:pPr>
              <w:pStyle w:val="ARtabletextright"/>
            </w:pPr>
            <w:r w:rsidRPr="47AEECA1">
              <w:t>0.222</w:t>
            </w:r>
          </w:p>
        </w:tc>
        <w:tc>
          <w:tcPr>
            <w:tcW w:w="1701" w:type="dxa"/>
          </w:tcPr>
          <w:p w14:paraId="128D95D0" w14:textId="77777777" w:rsidR="00222D72" w:rsidRDefault="00222D72" w:rsidP="00100C7A">
            <w:pPr>
              <w:pStyle w:val="ARtabletextright"/>
            </w:pPr>
            <w:r w:rsidRPr="47AEECA1">
              <w:t>0.275</w:t>
            </w:r>
          </w:p>
        </w:tc>
      </w:tr>
      <w:tr w:rsidR="00222D72" w14:paraId="0DD3AA7F" w14:textId="77777777" w:rsidTr="003E09F6">
        <w:trPr>
          <w:cantSplit w:val="0"/>
          <w:trHeight w:val="255"/>
        </w:trPr>
        <w:tc>
          <w:tcPr>
            <w:tcW w:w="4536" w:type="dxa"/>
          </w:tcPr>
          <w:p w14:paraId="40D5EAB6" w14:textId="77777777" w:rsidR="00222D72" w:rsidRDefault="00222D72" w:rsidP="004C7BEF">
            <w:pPr>
              <w:pStyle w:val="ARtabletext"/>
              <w:rPr>
                <w:rFonts w:eastAsia="Arial"/>
              </w:rPr>
            </w:pPr>
            <w:r w:rsidRPr="47AEECA1">
              <w:rPr>
                <w:rFonts w:eastAsia="Arial"/>
              </w:rPr>
              <w:t>Diesel</w:t>
            </w:r>
          </w:p>
        </w:tc>
        <w:tc>
          <w:tcPr>
            <w:tcW w:w="1701" w:type="dxa"/>
          </w:tcPr>
          <w:p w14:paraId="699A0F26" w14:textId="77777777" w:rsidR="00222D72" w:rsidRDefault="00222D72" w:rsidP="00100C7A">
            <w:pPr>
              <w:pStyle w:val="ARtabletextright"/>
            </w:pPr>
            <w:r w:rsidRPr="2396B9CA">
              <w:t>0.022</w:t>
            </w:r>
          </w:p>
        </w:tc>
        <w:tc>
          <w:tcPr>
            <w:tcW w:w="1701" w:type="dxa"/>
          </w:tcPr>
          <w:p w14:paraId="56440623" w14:textId="77777777" w:rsidR="00222D72" w:rsidRDefault="00222D72" w:rsidP="00100C7A">
            <w:pPr>
              <w:pStyle w:val="ARtabletextright"/>
            </w:pPr>
            <w:r w:rsidRPr="47AEECA1">
              <w:t>0.25</w:t>
            </w:r>
          </w:p>
        </w:tc>
        <w:tc>
          <w:tcPr>
            <w:tcW w:w="1701" w:type="dxa"/>
          </w:tcPr>
          <w:p w14:paraId="0AAC44AF" w14:textId="77777777" w:rsidR="00222D72" w:rsidRDefault="00222D72" w:rsidP="00100C7A">
            <w:pPr>
              <w:pStyle w:val="ARtabletextright"/>
            </w:pPr>
            <w:r w:rsidRPr="47AEECA1">
              <w:t>0.281</w:t>
            </w:r>
          </w:p>
        </w:tc>
      </w:tr>
      <w:tr w:rsidR="00222D72" w14:paraId="7AB88840" w14:textId="77777777" w:rsidTr="003E09F6">
        <w:trPr>
          <w:cantSplit w:val="0"/>
          <w:trHeight w:val="255"/>
        </w:trPr>
        <w:tc>
          <w:tcPr>
            <w:tcW w:w="4536" w:type="dxa"/>
          </w:tcPr>
          <w:p w14:paraId="0C40711A" w14:textId="77777777" w:rsidR="00222D72" w:rsidRDefault="00222D72" w:rsidP="004C7BEF">
            <w:pPr>
              <w:pStyle w:val="ARtabletext"/>
              <w:rPr>
                <w:rFonts w:eastAsia="Arial"/>
              </w:rPr>
            </w:pPr>
            <w:r w:rsidRPr="47AEECA1">
              <w:rPr>
                <w:rFonts w:eastAsia="Arial"/>
              </w:rPr>
              <w:t>State government vehicle pool</w:t>
            </w:r>
          </w:p>
        </w:tc>
        <w:tc>
          <w:tcPr>
            <w:tcW w:w="1701" w:type="dxa"/>
          </w:tcPr>
          <w:p w14:paraId="1F3FB74F" w14:textId="77777777" w:rsidR="00222D72" w:rsidRDefault="00222D72" w:rsidP="00100C7A">
            <w:pPr>
              <w:pStyle w:val="ARtabletextright"/>
            </w:pPr>
            <w:r w:rsidRPr="2396B9CA">
              <w:t>0.218</w:t>
            </w:r>
          </w:p>
        </w:tc>
        <w:tc>
          <w:tcPr>
            <w:tcW w:w="1701" w:type="dxa"/>
          </w:tcPr>
          <w:p w14:paraId="6A680266" w14:textId="77777777" w:rsidR="00222D72" w:rsidRDefault="00222D72" w:rsidP="00100C7A">
            <w:pPr>
              <w:pStyle w:val="ARtabletextright"/>
            </w:pPr>
            <w:r w:rsidRPr="47AEECA1">
              <w:t>0.172</w:t>
            </w:r>
          </w:p>
        </w:tc>
        <w:tc>
          <w:tcPr>
            <w:tcW w:w="1701" w:type="dxa"/>
          </w:tcPr>
          <w:p w14:paraId="333105CE" w14:textId="77777777" w:rsidR="00222D72" w:rsidRDefault="00222D72" w:rsidP="00100C7A">
            <w:pPr>
              <w:pStyle w:val="ARtabletextright"/>
            </w:pPr>
            <w:r w:rsidRPr="47AEECA1">
              <w:t>0.180</w:t>
            </w:r>
          </w:p>
        </w:tc>
      </w:tr>
      <w:tr w:rsidR="00222D72" w14:paraId="2399CF26" w14:textId="77777777" w:rsidTr="003E09F6">
        <w:trPr>
          <w:cantSplit w:val="0"/>
          <w:trHeight w:val="255"/>
        </w:trPr>
        <w:tc>
          <w:tcPr>
            <w:tcW w:w="4536" w:type="dxa"/>
          </w:tcPr>
          <w:p w14:paraId="144FE5FB" w14:textId="77777777" w:rsidR="00222D72" w:rsidRDefault="00222D72" w:rsidP="004C7BEF">
            <w:pPr>
              <w:pStyle w:val="ARtabletext"/>
              <w:rPr>
                <w:rFonts w:eastAsia="Arial"/>
              </w:rPr>
            </w:pPr>
            <w:r w:rsidRPr="4E7E9537">
              <w:rPr>
                <w:rFonts w:eastAsia="Arial"/>
                <w:b/>
                <w:bCs/>
              </w:rPr>
              <w:t>Total (Average)</w:t>
            </w:r>
          </w:p>
        </w:tc>
        <w:tc>
          <w:tcPr>
            <w:tcW w:w="1701" w:type="dxa"/>
          </w:tcPr>
          <w:p w14:paraId="583682DB" w14:textId="77777777" w:rsidR="00222D72" w:rsidRDefault="00222D72" w:rsidP="009E7701">
            <w:pPr>
              <w:pStyle w:val="ARtabletextrightbold"/>
            </w:pPr>
            <w:r w:rsidRPr="4E7E9537">
              <w:t>0.054</w:t>
            </w:r>
          </w:p>
        </w:tc>
        <w:tc>
          <w:tcPr>
            <w:tcW w:w="1701" w:type="dxa"/>
          </w:tcPr>
          <w:p w14:paraId="3E46FFFF" w14:textId="77777777" w:rsidR="00222D72" w:rsidRDefault="00222D72" w:rsidP="009E7701">
            <w:pPr>
              <w:pStyle w:val="ARtabletextrightbold"/>
            </w:pPr>
            <w:r w:rsidRPr="4E7E9537">
              <w:t>0.158</w:t>
            </w:r>
          </w:p>
        </w:tc>
        <w:tc>
          <w:tcPr>
            <w:tcW w:w="1701" w:type="dxa"/>
          </w:tcPr>
          <w:p w14:paraId="44D7BDD1" w14:textId="77777777" w:rsidR="00222D72" w:rsidRDefault="00222D72" w:rsidP="009E7701">
            <w:pPr>
              <w:pStyle w:val="ARtabletextrightbold"/>
            </w:pPr>
            <w:r w:rsidRPr="4E7E9537">
              <w:t>0.213</w:t>
            </w:r>
          </w:p>
        </w:tc>
      </w:tr>
    </w:tbl>
    <w:p w14:paraId="5EAC9E93" w14:textId="161848B2" w:rsidR="00222D72" w:rsidRDefault="00222D72" w:rsidP="004C7BEF">
      <w:pPr>
        <w:pStyle w:val="ARtablefootnote"/>
        <w:rPr>
          <w:rFonts w:eastAsia="Arial" w:cs="Arial"/>
        </w:rPr>
      </w:pPr>
      <w:r>
        <w:t xml:space="preserve">Vehicle fleet data for </w:t>
      </w:r>
      <w:r w:rsidR="006C15A9">
        <w:t>2021–22</w:t>
      </w:r>
      <w:r>
        <w:t xml:space="preserve"> </w:t>
      </w:r>
      <w:r w:rsidR="009C6D78">
        <w:t xml:space="preserve">reflects </w:t>
      </w:r>
      <w:r>
        <w:t>the department</w:t>
      </w:r>
      <w:r w:rsidR="00961673">
        <w:t xml:space="preserve"> only</w:t>
      </w:r>
      <w:r>
        <w:t xml:space="preserve">. Previous years’ data, which reflects the combined DFFH and department data, is available in the </w:t>
      </w:r>
      <w:r w:rsidR="006C15A9">
        <w:t>2020–21</w:t>
      </w:r>
      <w:r>
        <w:t xml:space="preserve"> reports.</w:t>
      </w:r>
    </w:p>
    <w:p w14:paraId="4B623383" w14:textId="3CA9A42A" w:rsidR="003D5E1A" w:rsidRDefault="00222D72" w:rsidP="004C7BEF">
      <w:pPr>
        <w:pStyle w:val="ARtablefootnote"/>
        <w:rPr>
          <w:rFonts w:eastAsia="Arial" w:cs="Arial"/>
          <w:color w:val="000000" w:themeColor="text1"/>
        </w:rPr>
      </w:pPr>
      <w:r w:rsidRPr="434CC132">
        <w:rPr>
          <w:rFonts w:eastAsia="Arial" w:cs="Arial"/>
          <w:color w:val="000000" w:themeColor="text1"/>
        </w:rPr>
        <w:t>This data represents all operational and executive fleet vehicles</w:t>
      </w:r>
      <w:r w:rsidRPr="2F123AE9">
        <w:rPr>
          <w:rFonts w:eastAsia="Arial" w:cs="Arial"/>
          <w:color w:val="000000" w:themeColor="text1"/>
        </w:rPr>
        <w:t xml:space="preserve"> owned by the department or leased through the </w:t>
      </w:r>
      <w:r w:rsidR="00491925">
        <w:rPr>
          <w:rFonts w:eastAsia="Arial" w:cs="Arial"/>
          <w:color w:val="000000" w:themeColor="text1"/>
        </w:rPr>
        <w:t>s</w:t>
      </w:r>
      <w:r w:rsidRPr="2F123AE9">
        <w:rPr>
          <w:rFonts w:eastAsia="Arial" w:cs="Arial"/>
          <w:color w:val="000000" w:themeColor="text1"/>
        </w:rPr>
        <w:t>tate government vehicle pool.</w:t>
      </w:r>
      <w:r w:rsidRPr="434CC132">
        <w:rPr>
          <w:rFonts w:eastAsia="Arial" w:cs="Arial"/>
          <w:color w:val="000000" w:themeColor="text1"/>
        </w:rPr>
        <w:t xml:space="preserve"> Energy use, distance travelled, and greenhouse gas emissions transport data is based on a 1 April to 31 March fringe benefit year. Data for </w:t>
      </w:r>
      <w:r w:rsidR="006C15A9">
        <w:rPr>
          <w:rFonts w:eastAsia="Arial" w:cs="Arial"/>
          <w:color w:val="000000" w:themeColor="text1"/>
        </w:rPr>
        <w:t>2021–22</w:t>
      </w:r>
      <w:r w:rsidRPr="434CC132">
        <w:rPr>
          <w:rFonts w:eastAsia="Arial" w:cs="Arial"/>
          <w:color w:val="000000" w:themeColor="text1"/>
        </w:rPr>
        <w:t xml:space="preserve"> only reflects the department’s performance.</w:t>
      </w:r>
    </w:p>
    <w:p w14:paraId="4C980438" w14:textId="5F61F0DD" w:rsidR="00222D72" w:rsidRDefault="00222D72" w:rsidP="004C7BEF">
      <w:pPr>
        <w:pStyle w:val="Heading5"/>
        <w:rPr>
          <w:rFonts w:eastAsia="Arial" w:cs="Arial"/>
          <w:bCs/>
          <w:szCs w:val="22"/>
        </w:rPr>
      </w:pPr>
      <w:r w:rsidRPr="47AEECA1">
        <w:rPr>
          <w:rFonts w:eastAsia="Arial" w:cs="Arial"/>
          <w:bCs/>
          <w:szCs w:val="22"/>
        </w:rPr>
        <w:t>Public health services</w:t>
      </w:r>
    </w:p>
    <w:tbl>
      <w:tblPr>
        <w:tblStyle w:val="TableGrid"/>
        <w:tblW w:w="9639" w:type="dxa"/>
        <w:tblLayout w:type="fixed"/>
        <w:tblLook w:val="06A0" w:firstRow="1" w:lastRow="0" w:firstColumn="1" w:lastColumn="0" w:noHBand="1" w:noVBand="1"/>
      </w:tblPr>
      <w:tblGrid>
        <w:gridCol w:w="3062"/>
        <w:gridCol w:w="1097"/>
        <w:gridCol w:w="1096"/>
        <w:gridCol w:w="1096"/>
        <w:gridCol w:w="1096"/>
        <w:gridCol w:w="1096"/>
        <w:gridCol w:w="1096"/>
      </w:tblGrid>
      <w:tr w:rsidR="00222D72" w14:paraId="149A6729" w14:textId="77777777" w:rsidTr="00574D59">
        <w:trPr>
          <w:cnfStyle w:val="100000000000" w:firstRow="1" w:lastRow="0" w:firstColumn="0" w:lastColumn="0" w:oddVBand="0" w:evenVBand="0" w:oddHBand="0" w:evenHBand="0" w:firstRowFirstColumn="0" w:firstRowLastColumn="0" w:lastRowFirstColumn="0" w:lastRowLastColumn="0"/>
          <w:trHeight w:val="300"/>
          <w:tblHeader/>
        </w:trPr>
        <w:tc>
          <w:tcPr>
            <w:tcW w:w="3175" w:type="dxa"/>
          </w:tcPr>
          <w:p w14:paraId="7EE6C609" w14:textId="77777777" w:rsidR="00222D72" w:rsidRDefault="00222D72" w:rsidP="004C7BEF">
            <w:pPr>
              <w:pStyle w:val="ARtablecolhead"/>
              <w:rPr>
                <w:rFonts w:eastAsia="Arial"/>
              </w:rPr>
            </w:pPr>
            <w:r w:rsidRPr="4E7E9537">
              <w:rPr>
                <w:rFonts w:eastAsia="Arial"/>
              </w:rPr>
              <w:t>Hospital emergency transport</w:t>
            </w:r>
          </w:p>
        </w:tc>
        <w:tc>
          <w:tcPr>
            <w:tcW w:w="1134" w:type="dxa"/>
          </w:tcPr>
          <w:p w14:paraId="76484479" w14:textId="77777777" w:rsidR="00222D72" w:rsidRPr="00750941" w:rsidRDefault="00222D72" w:rsidP="004C7BEF">
            <w:pPr>
              <w:pStyle w:val="ARtablecolheadright"/>
              <w:rPr>
                <w:rFonts w:eastAsia="Arial"/>
              </w:rPr>
            </w:pPr>
            <w:r w:rsidRPr="4E7E9537">
              <w:rPr>
                <w:rFonts w:eastAsia="Arial"/>
              </w:rPr>
              <w:t xml:space="preserve">2021–22 </w:t>
            </w:r>
            <w:r>
              <w:br/>
            </w:r>
            <w:r w:rsidRPr="4E7E9537">
              <w:rPr>
                <w:rFonts w:eastAsia="Arial"/>
              </w:rPr>
              <w:t>estimate</w:t>
            </w:r>
          </w:p>
        </w:tc>
        <w:tc>
          <w:tcPr>
            <w:tcW w:w="1134" w:type="dxa"/>
          </w:tcPr>
          <w:p w14:paraId="4D77C3E0" w14:textId="77777777" w:rsidR="00222D72" w:rsidRPr="00750941" w:rsidRDefault="00222D72" w:rsidP="004C7BEF">
            <w:pPr>
              <w:pStyle w:val="ARtablecolheadright"/>
              <w:rPr>
                <w:rFonts w:eastAsia="Arial"/>
              </w:rPr>
            </w:pPr>
            <w:r w:rsidRPr="4E7E9537">
              <w:rPr>
                <w:rFonts w:eastAsia="Arial"/>
              </w:rPr>
              <w:t xml:space="preserve">2021–22 </w:t>
            </w:r>
            <w:r>
              <w:br/>
            </w:r>
            <w:r w:rsidRPr="4E7E9537">
              <w:rPr>
                <w:rFonts w:eastAsia="Arial"/>
              </w:rPr>
              <w:t>estimate</w:t>
            </w:r>
          </w:p>
        </w:tc>
        <w:tc>
          <w:tcPr>
            <w:tcW w:w="1134" w:type="dxa"/>
          </w:tcPr>
          <w:p w14:paraId="06A25433" w14:textId="77777777" w:rsidR="00222D72" w:rsidRPr="00750941" w:rsidRDefault="00222D72" w:rsidP="004C7BEF">
            <w:pPr>
              <w:pStyle w:val="ARtablecolheadright"/>
              <w:rPr>
                <w:rFonts w:eastAsia="Arial"/>
              </w:rPr>
            </w:pPr>
            <w:r w:rsidRPr="4E7E9537">
              <w:rPr>
                <w:rFonts w:eastAsia="Arial"/>
              </w:rPr>
              <w:t xml:space="preserve">2020–21 </w:t>
            </w:r>
            <w:r>
              <w:br/>
            </w:r>
            <w:r w:rsidRPr="4E7E9537">
              <w:rPr>
                <w:rFonts w:eastAsia="Arial"/>
              </w:rPr>
              <w:t>estimate</w:t>
            </w:r>
          </w:p>
        </w:tc>
        <w:tc>
          <w:tcPr>
            <w:tcW w:w="1134" w:type="dxa"/>
          </w:tcPr>
          <w:p w14:paraId="1C84EA9E" w14:textId="77777777" w:rsidR="00222D72" w:rsidRPr="00750941" w:rsidRDefault="00222D72" w:rsidP="004C7BEF">
            <w:pPr>
              <w:pStyle w:val="ARtablecolheadright"/>
              <w:rPr>
                <w:rFonts w:eastAsia="Arial"/>
              </w:rPr>
            </w:pPr>
            <w:r w:rsidRPr="4E7E9537">
              <w:rPr>
                <w:rFonts w:eastAsia="Arial"/>
              </w:rPr>
              <w:t xml:space="preserve">2020–21 </w:t>
            </w:r>
            <w:r>
              <w:br/>
            </w:r>
            <w:r w:rsidRPr="4E7E9537">
              <w:rPr>
                <w:rFonts w:eastAsia="Arial"/>
              </w:rPr>
              <w:t>estimate</w:t>
            </w:r>
          </w:p>
        </w:tc>
        <w:tc>
          <w:tcPr>
            <w:tcW w:w="1134" w:type="dxa"/>
          </w:tcPr>
          <w:p w14:paraId="32296AD1" w14:textId="77777777" w:rsidR="00222D72" w:rsidRPr="00750941" w:rsidRDefault="00222D72" w:rsidP="004C7BEF">
            <w:pPr>
              <w:pStyle w:val="ARtablecolheadright"/>
              <w:rPr>
                <w:rFonts w:eastAsia="Arial"/>
              </w:rPr>
            </w:pPr>
            <w:r w:rsidRPr="4E7E9537">
              <w:rPr>
                <w:rFonts w:eastAsia="Arial"/>
              </w:rPr>
              <w:t xml:space="preserve">2019–20 </w:t>
            </w:r>
            <w:r>
              <w:br/>
            </w:r>
            <w:r w:rsidRPr="4E7E9537">
              <w:rPr>
                <w:rFonts w:eastAsia="Arial"/>
              </w:rPr>
              <w:t>estimate</w:t>
            </w:r>
          </w:p>
        </w:tc>
        <w:tc>
          <w:tcPr>
            <w:tcW w:w="1134" w:type="dxa"/>
          </w:tcPr>
          <w:p w14:paraId="79F3AF56" w14:textId="77777777" w:rsidR="00222D72" w:rsidRPr="00750941" w:rsidRDefault="00222D72" w:rsidP="004C7BEF">
            <w:pPr>
              <w:pStyle w:val="ARtablecolheadright"/>
              <w:rPr>
                <w:rFonts w:eastAsia="Arial"/>
              </w:rPr>
            </w:pPr>
            <w:r w:rsidRPr="4E7E9537">
              <w:rPr>
                <w:rFonts w:eastAsia="Arial"/>
              </w:rPr>
              <w:t xml:space="preserve">2019–20 </w:t>
            </w:r>
            <w:r>
              <w:br/>
            </w:r>
            <w:r w:rsidRPr="4E7E9537">
              <w:rPr>
                <w:rFonts w:eastAsia="Arial"/>
              </w:rPr>
              <w:t>estimate</w:t>
            </w:r>
          </w:p>
        </w:tc>
      </w:tr>
      <w:tr w:rsidR="00222D72" w14:paraId="06AC4693" w14:textId="77777777" w:rsidTr="00574D59">
        <w:trPr>
          <w:cnfStyle w:val="100000000000" w:firstRow="1" w:lastRow="0" w:firstColumn="0" w:lastColumn="0" w:oddVBand="0" w:evenVBand="0" w:oddHBand="0" w:evenHBand="0" w:firstRowFirstColumn="0" w:firstRowLastColumn="0" w:lastRowFirstColumn="0" w:lastRowLastColumn="0"/>
          <w:trHeight w:val="495"/>
          <w:tblHeader/>
        </w:trPr>
        <w:tc>
          <w:tcPr>
            <w:tcW w:w="3175" w:type="dxa"/>
          </w:tcPr>
          <w:p w14:paraId="02745F8C" w14:textId="77777777" w:rsidR="00222D72" w:rsidRDefault="00222D72" w:rsidP="004C7BEF">
            <w:pPr>
              <w:pStyle w:val="ARtablecolhead"/>
              <w:rPr>
                <w:rFonts w:eastAsia="Arial"/>
              </w:rPr>
            </w:pPr>
            <w:r w:rsidRPr="4E7E9537">
              <w:rPr>
                <w:rFonts w:eastAsia="Arial"/>
              </w:rPr>
              <w:t>Total fuel usage segmented by primary source</w:t>
            </w:r>
          </w:p>
        </w:tc>
        <w:tc>
          <w:tcPr>
            <w:tcW w:w="1134" w:type="dxa"/>
          </w:tcPr>
          <w:p w14:paraId="4582348F" w14:textId="77777777" w:rsidR="00222D72" w:rsidRPr="00750941" w:rsidRDefault="00222D72" w:rsidP="004C7BEF">
            <w:pPr>
              <w:pStyle w:val="ARtablecolheadright"/>
              <w:rPr>
                <w:rFonts w:eastAsia="Arial"/>
              </w:rPr>
            </w:pPr>
            <w:r w:rsidRPr="4E7E9537">
              <w:rPr>
                <w:rFonts w:eastAsia="Arial"/>
              </w:rPr>
              <w:t>Fuel volume (kilolitres)</w:t>
            </w:r>
          </w:p>
        </w:tc>
        <w:tc>
          <w:tcPr>
            <w:tcW w:w="1134" w:type="dxa"/>
          </w:tcPr>
          <w:p w14:paraId="2F271C5B" w14:textId="4EC41FA1" w:rsidR="00222D72" w:rsidRPr="00750941" w:rsidRDefault="00222D72" w:rsidP="004C7BEF">
            <w:pPr>
              <w:pStyle w:val="ARtablecolheadright"/>
              <w:rPr>
                <w:rFonts w:eastAsia="Arial"/>
              </w:rPr>
            </w:pPr>
            <w:r w:rsidRPr="4E7E9537">
              <w:rPr>
                <w:rFonts w:eastAsia="Arial"/>
              </w:rPr>
              <w:t xml:space="preserve">Emissions (tonnes </w:t>
            </w:r>
            <w:r>
              <w:br/>
            </w:r>
            <w:r w:rsidRPr="4E7E9537">
              <w:rPr>
                <w:rFonts w:eastAsia="Arial"/>
              </w:rPr>
              <w:t>CO</w:t>
            </w:r>
            <w:r w:rsidR="006E2B00" w:rsidRPr="00125EE1">
              <w:rPr>
                <w:rStyle w:val="Subscript"/>
              </w:rPr>
              <w:t>2</w:t>
            </w:r>
            <w:r w:rsidRPr="4E7E9537">
              <w:rPr>
                <w:rFonts w:eastAsia="Arial"/>
              </w:rPr>
              <w:t>-e)</w:t>
            </w:r>
          </w:p>
        </w:tc>
        <w:tc>
          <w:tcPr>
            <w:tcW w:w="1134" w:type="dxa"/>
          </w:tcPr>
          <w:p w14:paraId="0A77A7B4" w14:textId="77777777" w:rsidR="00222D72" w:rsidRPr="00750941" w:rsidRDefault="00222D72" w:rsidP="004C7BEF">
            <w:pPr>
              <w:pStyle w:val="ARtablecolheadright"/>
              <w:rPr>
                <w:rFonts w:eastAsia="Arial"/>
              </w:rPr>
            </w:pPr>
            <w:r w:rsidRPr="4E7E9537">
              <w:rPr>
                <w:rFonts w:eastAsia="Arial"/>
              </w:rPr>
              <w:t>Fuel volume (kilolitres)</w:t>
            </w:r>
          </w:p>
        </w:tc>
        <w:tc>
          <w:tcPr>
            <w:tcW w:w="1134" w:type="dxa"/>
          </w:tcPr>
          <w:p w14:paraId="2B69534C" w14:textId="372E54B1" w:rsidR="00222D72" w:rsidRPr="00750941" w:rsidRDefault="00222D72" w:rsidP="004C7BEF">
            <w:pPr>
              <w:pStyle w:val="ARtablecolheadright"/>
              <w:rPr>
                <w:rFonts w:eastAsia="Arial"/>
              </w:rPr>
            </w:pPr>
            <w:r w:rsidRPr="4E7E9537">
              <w:rPr>
                <w:rFonts w:eastAsia="Arial"/>
              </w:rPr>
              <w:t xml:space="preserve">Emissions (tonnes </w:t>
            </w:r>
            <w:r>
              <w:br/>
            </w:r>
            <w:r w:rsidRPr="4E7E9537">
              <w:rPr>
                <w:rFonts w:eastAsia="Arial"/>
              </w:rPr>
              <w:t>CO</w:t>
            </w:r>
            <w:r w:rsidR="006E2B00" w:rsidRPr="00125EE1">
              <w:rPr>
                <w:rStyle w:val="Subscript"/>
              </w:rPr>
              <w:t>2</w:t>
            </w:r>
            <w:r w:rsidRPr="4E7E9537">
              <w:rPr>
                <w:rFonts w:eastAsia="Arial"/>
              </w:rPr>
              <w:t>-e)</w:t>
            </w:r>
          </w:p>
        </w:tc>
        <w:tc>
          <w:tcPr>
            <w:tcW w:w="1134" w:type="dxa"/>
          </w:tcPr>
          <w:p w14:paraId="02AD5937" w14:textId="77777777" w:rsidR="00222D72" w:rsidRPr="00750941" w:rsidRDefault="00222D72" w:rsidP="004C7BEF">
            <w:pPr>
              <w:pStyle w:val="ARtablecolheadright"/>
              <w:rPr>
                <w:rFonts w:eastAsia="Arial"/>
              </w:rPr>
            </w:pPr>
            <w:r w:rsidRPr="4E7E9537">
              <w:rPr>
                <w:rFonts w:eastAsia="Arial"/>
              </w:rPr>
              <w:t>Fuel volume (kilolitres)</w:t>
            </w:r>
          </w:p>
        </w:tc>
        <w:tc>
          <w:tcPr>
            <w:tcW w:w="1134" w:type="dxa"/>
          </w:tcPr>
          <w:p w14:paraId="4F4434D9" w14:textId="5C678ABC" w:rsidR="00222D72" w:rsidRPr="00750941" w:rsidRDefault="00222D72" w:rsidP="004C7BEF">
            <w:pPr>
              <w:pStyle w:val="ARtablecolheadright"/>
              <w:rPr>
                <w:rFonts w:eastAsia="Arial"/>
              </w:rPr>
            </w:pPr>
            <w:r w:rsidRPr="4E7E9537">
              <w:rPr>
                <w:rFonts w:eastAsia="Arial"/>
              </w:rPr>
              <w:t xml:space="preserve">Emissions (tonnes </w:t>
            </w:r>
            <w:r>
              <w:br/>
            </w:r>
            <w:r w:rsidRPr="4E7E9537">
              <w:rPr>
                <w:rFonts w:eastAsia="Arial"/>
              </w:rPr>
              <w:t>CO</w:t>
            </w:r>
            <w:r w:rsidR="006E2B00" w:rsidRPr="00125EE1">
              <w:rPr>
                <w:rStyle w:val="Subscript"/>
              </w:rPr>
              <w:t>2</w:t>
            </w:r>
            <w:r w:rsidRPr="4E7E9537">
              <w:rPr>
                <w:rFonts w:eastAsia="Arial"/>
              </w:rPr>
              <w:t>-e)</w:t>
            </w:r>
          </w:p>
        </w:tc>
      </w:tr>
      <w:tr w:rsidR="00222D72" w14:paraId="5F5F495D" w14:textId="77777777" w:rsidTr="00574D59">
        <w:trPr>
          <w:cantSplit w:val="0"/>
          <w:trHeight w:val="300"/>
        </w:trPr>
        <w:tc>
          <w:tcPr>
            <w:tcW w:w="3175" w:type="dxa"/>
          </w:tcPr>
          <w:p w14:paraId="1A1C2270" w14:textId="77777777" w:rsidR="00222D72" w:rsidRDefault="00222D72" w:rsidP="004C7BEF">
            <w:pPr>
              <w:pStyle w:val="ARtabletext"/>
              <w:rPr>
                <w:rFonts w:eastAsia="Arial"/>
              </w:rPr>
            </w:pPr>
            <w:r w:rsidRPr="4E7E9537">
              <w:rPr>
                <w:rFonts w:eastAsia="Arial"/>
              </w:rPr>
              <w:t>Gasoline – road vehicles</w:t>
            </w:r>
          </w:p>
        </w:tc>
        <w:tc>
          <w:tcPr>
            <w:tcW w:w="1134" w:type="dxa"/>
          </w:tcPr>
          <w:p w14:paraId="4461DC88" w14:textId="77777777" w:rsidR="00222D72" w:rsidRPr="00750941" w:rsidRDefault="00222D72" w:rsidP="00100C7A">
            <w:pPr>
              <w:pStyle w:val="ARtabletextright"/>
            </w:pPr>
            <w:r w:rsidRPr="4E7E9537">
              <w:t>672</w:t>
            </w:r>
          </w:p>
        </w:tc>
        <w:tc>
          <w:tcPr>
            <w:tcW w:w="1134" w:type="dxa"/>
          </w:tcPr>
          <w:p w14:paraId="79562FEF" w14:textId="77777777" w:rsidR="00222D72" w:rsidRPr="00750941" w:rsidRDefault="00222D72" w:rsidP="00100C7A">
            <w:pPr>
              <w:pStyle w:val="ARtabletextright"/>
            </w:pPr>
            <w:r w:rsidRPr="4E7E9537">
              <w:t>1,555</w:t>
            </w:r>
          </w:p>
        </w:tc>
        <w:tc>
          <w:tcPr>
            <w:tcW w:w="1134" w:type="dxa"/>
          </w:tcPr>
          <w:p w14:paraId="7A79DE8E" w14:textId="77777777" w:rsidR="00222D72" w:rsidRPr="00750941" w:rsidRDefault="00222D72" w:rsidP="00100C7A">
            <w:pPr>
              <w:pStyle w:val="ARtabletextright"/>
            </w:pPr>
            <w:r w:rsidRPr="4E7E9537">
              <w:t>665</w:t>
            </w:r>
          </w:p>
        </w:tc>
        <w:tc>
          <w:tcPr>
            <w:tcW w:w="1134" w:type="dxa"/>
          </w:tcPr>
          <w:p w14:paraId="305BDBA8" w14:textId="77777777" w:rsidR="00222D72" w:rsidRPr="00750941" w:rsidRDefault="00222D72" w:rsidP="00100C7A">
            <w:pPr>
              <w:pStyle w:val="ARtabletextright"/>
            </w:pPr>
            <w:r w:rsidRPr="4E7E9537">
              <w:t>1,539</w:t>
            </w:r>
          </w:p>
        </w:tc>
        <w:tc>
          <w:tcPr>
            <w:tcW w:w="1134" w:type="dxa"/>
          </w:tcPr>
          <w:p w14:paraId="4F068F6D" w14:textId="77777777" w:rsidR="00222D72" w:rsidRPr="00750941" w:rsidRDefault="00222D72" w:rsidP="00100C7A">
            <w:pPr>
              <w:pStyle w:val="ARtabletextright"/>
            </w:pPr>
            <w:r w:rsidRPr="4E7E9537">
              <w:t>530</w:t>
            </w:r>
          </w:p>
        </w:tc>
        <w:tc>
          <w:tcPr>
            <w:tcW w:w="1134" w:type="dxa"/>
          </w:tcPr>
          <w:p w14:paraId="49B928CE" w14:textId="77777777" w:rsidR="00222D72" w:rsidRPr="00750941" w:rsidRDefault="00222D72" w:rsidP="00100C7A">
            <w:pPr>
              <w:pStyle w:val="ARtabletextright"/>
            </w:pPr>
            <w:r w:rsidRPr="4E7E9537">
              <w:t>1,226</w:t>
            </w:r>
          </w:p>
        </w:tc>
      </w:tr>
      <w:tr w:rsidR="00222D72" w14:paraId="40C189C6" w14:textId="77777777" w:rsidTr="00574D59">
        <w:trPr>
          <w:cantSplit w:val="0"/>
          <w:trHeight w:val="300"/>
        </w:trPr>
        <w:tc>
          <w:tcPr>
            <w:tcW w:w="3175" w:type="dxa"/>
          </w:tcPr>
          <w:p w14:paraId="658E6F84" w14:textId="77777777" w:rsidR="00222D72" w:rsidRDefault="00222D72" w:rsidP="004C7BEF">
            <w:pPr>
              <w:pStyle w:val="ARtabletext"/>
              <w:rPr>
                <w:rFonts w:eastAsia="Arial"/>
              </w:rPr>
            </w:pPr>
            <w:r w:rsidRPr="4E7E9537">
              <w:rPr>
                <w:rFonts w:eastAsia="Arial"/>
              </w:rPr>
              <w:t>Diesel – road vehicles</w:t>
            </w:r>
          </w:p>
        </w:tc>
        <w:tc>
          <w:tcPr>
            <w:tcW w:w="1134" w:type="dxa"/>
          </w:tcPr>
          <w:p w14:paraId="24590906" w14:textId="77777777" w:rsidR="00222D72" w:rsidRPr="00750941" w:rsidRDefault="00222D72" w:rsidP="00100C7A">
            <w:pPr>
              <w:pStyle w:val="ARtabletextright"/>
            </w:pPr>
            <w:r w:rsidRPr="4E7E9537">
              <w:t>4,260</w:t>
            </w:r>
          </w:p>
        </w:tc>
        <w:tc>
          <w:tcPr>
            <w:tcW w:w="1134" w:type="dxa"/>
          </w:tcPr>
          <w:p w14:paraId="06BBFE81" w14:textId="77777777" w:rsidR="00222D72" w:rsidRPr="00750941" w:rsidRDefault="00222D72" w:rsidP="00100C7A">
            <w:pPr>
              <w:pStyle w:val="ARtabletextright"/>
            </w:pPr>
            <w:r w:rsidRPr="4E7E9537">
              <w:t>11,578</w:t>
            </w:r>
          </w:p>
        </w:tc>
        <w:tc>
          <w:tcPr>
            <w:tcW w:w="1134" w:type="dxa"/>
          </w:tcPr>
          <w:p w14:paraId="751F4DBD" w14:textId="77777777" w:rsidR="00222D72" w:rsidRPr="00750941" w:rsidRDefault="00222D72" w:rsidP="00100C7A">
            <w:pPr>
              <w:pStyle w:val="ARtabletextright"/>
            </w:pPr>
            <w:r w:rsidRPr="4E7E9537">
              <w:t>4,113</w:t>
            </w:r>
          </w:p>
        </w:tc>
        <w:tc>
          <w:tcPr>
            <w:tcW w:w="1134" w:type="dxa"/>
          </w:tcPr>
          <w:p w14:paraId="4CF63250" w14:textId="77777777" w:rsidR="00222D72" w:rsidRPr="00750941" w:rsidRDefault="00222D72" w:rsidP="00100C7A">
            <w:pPr>
              <w:pStyle w:val="ARtabletextright"/>
            </w:pPr>
            <w:r w:rsidRPr="4E7E9537">
              <w:t>11,177</w:t>
            </w:r>
          </w:p>
        </w:tc>
        <w:tc>
          <w:tcPr>
            <w:tcW w:w="1134" w:type="dxa"/>
          </w:tcPr>
          <w:p w14:paraId="1BF4FB0F" w14:textId="77777777" w:rsidR="00222D72" w:rsidRPr="00750941" w:rsidRDefault="00222D72" w:rsidP="00100C7A">
            <w:pPr>
              <w:pStyle w:val="ARtabletextright"/>
            </w:pPr>
            <w:r w:rsidRPr="4E7E9537">
              <w:t>4,047</w:t>
            </w:r>
          </w:p>
        </w:tc>
        <w:tc>
          <w:tcPr>
            <w:tcW w:w="1134" w:type="dxa"/>
          </w:tcPr>
          <w:p w14:paraId="205039AE" w14:textId="77777777" w:rsidR="00222D72" w:rsidRPr="00750941" w:rsidRDefault="00222D72" w:rsidP="00100C7A">
            <w:pPr>
              <w:pStyle w:val="ARtabletextright"/>
            </w:pPr>
            <w:r w:rsidRPr="4E7E9537">
              <w:t>11,015</w:t>
            </w:r>
          </w:p>
        </w:tc>
      </w:tr>
      <w:tr w:rsidR="00222D72" w14:paraId="1FF14867" w14:textId="77777777" w:rsidTr="00574D59">
        <w:trPr>
          <w:cantSplit w:val="0"/>
          <w:trHeight w:val="300"/>
        </w:trPr>
        <w:tc>
          <w:tcPr>
            <w:tcW w:w="3175" w:type="dxa"/>
          </w:tcPr>
          <w:p w14:paraId="5BCF484B" w14:textId="77777777" w:rsidR="00222D72" w:rsidRDefault="00222D72" w:rsidP="004C7BEF">
            <w:pPr>
              <w:pStyle w:val="ARtabletext"/>
              <w:rPr>
                <w:rFonts w:eastAsia="Arial"/>
              </w:rPr>
            </w:pPr>
            <w:r w:rsidRPr="4E7E9537">
              <w:rPr>
                <w:rFonts w:eastAsia="Arial"/>
              </w:rPr>
              <w:t>LPG – road vehicles</w:t>
            </w:r>
          </w:p>
        </w:tc>
        <w:tc>
          <w:tcPr>
            <w:tcW w:w="1134" w:type="dxa"/>
          </w:tcPr>
          <w:p w14:paraId="3A155D82" w14:textId="77777777" w:rsidR="00222D72" w:rsidRPr="00750941" w:rsidRDefault="00222D72" w:rsidP="00100C7A">
            <w:pPr>
              <w:pStyle w:val="ARtabletextright"/>
            </w:pPr>
            <w:r w:rsidRPr="4E7E9537">
              <w:t>0</w:t>
            </w:r>
          </w:p>
        </w:tc>
        <w:tc>
          <w:tcPr>
            <w:tcW w:w="1134" w:type="dxa"/>
          </w:tcPr>
          <w:p w14:paraId="60B10C28" w14:textId="77777777" w:rsidR="00222D72" w:rsidRPr="00750941" w:rsidRDefault="00222D72" w:rsidP="00100C7A">
            <w:pPr>
              <w:pStyle w:val="ARtabletextright"/>
            </w:pPr>
            <w:r w:rsidRPr="4E7E9537">
              <w:t>0</w:t>
            </w:r>
          </w:p>
        </w:tc>
        <w:tc>
          <w:tcPr>
            <w:tcW w:w="1134" w:type="dxa"/>
          </w:tcPr>
          <w:p w14:paraId="032C42C3" w14:textId="77777777" w:rsidR="00222D72" w:rsidRPr="00750941" w:rsidRDefault="00222D72" w:rsidP="00100C7A">
            <w:pPr>
              <w:pStyle w:val="ARtabletextright"/>
            </w:pPr>
            <w:r w:rsidRPr="4E7E9537">
              <w:t>0</w:t>
            </w:r>
          </w:p>
        </w:tc>
        <w:tc>
          <w:tcPr>
            <w:tcW w:w="1134" w:type="dxa"/>
          </w:tcPr>
          <w:p w14:paraId="5409D95A" w14:textId="77777777" w:rsidR="00222D72" w:rsidRPr="00750941" w:rsidRDefault="00222D72" w:rsidP="00100C7A">
            <w:pPr>
              <w:pStyle w:val="ARtabletextright"/>
            </w:pPr>
            <w:r w:rsidRPr="4E7E9537">
              <w:t>0</w:t>
            </w:r>
          </w:p>
        </w:tc>
        <w:tc>
          <w:tcPr>
            <w:tcW w:w="1134" w:type="dxa"/>
          </w:tcPr>
          <w:p w14:paraId="18E4397A" w14:textId="77777777" w:rsidR="00222D72" w:rsidRPr="00750941" w:rsidRDefault="00222D72" w:rsidP="00100C7A">
            <w:pPr>
              <w:pStyle w:val="ARtabletextright"/>
            </w:pPr>
            <w:r w:rsidRPr="4E7E9537">
              <w:t>0</w:t>
            </w:r>
          </w:p>
        </w:tc>
        <w:tc>
          <w:tcPr>
            <w:tcW w:w="1134" w:type="dxa"/>
          </w:tcPr>
          <w:p w14:paraId="067DB765" w14:textId="77777777" w:rsidR="00222D72" w:rsidRPr="00750941" w:rsidRDefault="00222D72" w:rsidP="00100C7A">
            <w:pPr>
              <w:pStyle w:val="ARtabletextright"/>
            </w:pPr>
            <w:r w:rsidRPr="4E7E9537">
              <w:t>0</w:t>
            </w:r>
          </w:p>
        </w:tc>
      </w:tr>
      <w:tr w:rsidR="00222D72" w14:paraId="6BC9121E" w14:textId="77777777" w:rsidTr="00574D59">
        <w:trPr>
          <w:cantSplit w:val="0"/>
          <w:trHeight w:val="165"/>
        </w:trPr>
        <w:tc>
          <w:tcPr>
            <w:tcW w:w="3175" w:type="dxa"/>
          </w:tcPr>
          <w:p w14:paraId="06735F6E" w14:textId="77777777" w:rsidR="00222D72" w:rsidRDefault="00222D72" w:rsidP="004C7BEF">
            <w:pPr>
              <w:pStyle w:val="ARtabletext"/>
              <w:rPr>
                <w:rFonts w:eastAsia="Arial"/>
              </w:rPr>
            </w:pPr>
            <w:r w:rsidRPr="4E7E9537">
              <w:rPr>
                <w:rFonts w:eastAsia="Arial"/>
              </w:rPr>
              <w:t>Aviation fuel</w:t>
            </w:r>
          </w:p>
        </w:tc>
        <w:tc>
          <w:tcPr>
            <w:tcW w:w="1134" w:type="dxa"/>
          </w:tcPr>
          <w:p w14:paraId="1320A16E" w14:textId="77777777" w:rsidR="00222D72" w:rsidRPr="00750941" w:rsidRDefault="00222D72" w:rsidP="00100C7A">
            <w:pPr>
              <w:pStyle w:val="ARtabletextright"/>
            </w:pPr>
            <w:r w:rsidRPr="4E7E9537">
              <w:t>4,347</w:t>
            </w:r>
          </w:p>
        </w:tc>
        <w:tc>
          <w:tcPr>
            <w:tcW w:w="1134" w:type="dxa"/>
          </w:tcPr>
          <w:p w14:paraId="65DDC1B7" w14:textId="77777777" w:rsidR="00222D72" w:rsidRPr="00750941" w:rsidRDefault="00222D72" w:rsidP="00100C7A">
            <w:pPr>
              <w:pStyle w:val="ARtabletextright"/>
            </w:pPr>
            <w:r w:rsidRPr="4E7E9537">
              <w:t>11,231</w:t>
            </w:r>
          </w:p>
        </w:tc>
        <w:tc>
          <w:tcPr>
            <w:tcW w:w="1134" w:type="dxa"/>
          </w:tcPr>
          <w:p w14:paraId="075D71A2" w14:textId="77777777" w:rsidR="00222D72" w:rsidRPr="00750941" w:rsidRDefault="00222D72" w:rsidP="00100C7A">
            <w:pPr>
              <w:pStyle w:val="ARtabletextright"/>
            </w:pPr>
            <w:r w:rsidRPr="4E7E9537">
              <w:t>4,547</w:t>
            </w:r>
          </w:p>
        </w:tc>
        <w:tc>
          <w:tcPr>
            <w:tcW w:w="1134" w:type="dxa"/>
          </w:tcPr>
          <w:p w14:paraId="26DD19C3" w14:textId="77777777" w:rsidR="00222D72" w:rsidRPr="00750941" w:rsidRDefault="00222D72" w:rsidP="00100C7A">
            <w:pPr>
              <w:pStyle w:val="ARtabletextright"/>
            </w:pPr>
            <w:r w:rsidRPr="4E7E9537">
              <w:t>11,749</w:t>
            </w:r>
          </w:p>
        </w:tc>
        <w:tc>
          <w:tcPr>
            <w:tcW w:w="1134" w:type="dxa"/>
          </w:tcPr>
          <w:p w14:paraId="0B321360" w14:textId="77777777" w:rsidR="00222D72" w:rsidRPr="00750941" w:rsidRDefault="00222D72" w:rsidP="00100C7A">
            <w:pPr>
              <w:pStyle w:val="ARtabletextright"/>
            </w:pPr>
            <w:r w:rsidRPr="4E7E9537">
              <w:t>4,162</w:t>
            </w:r>
          </w:p>
        </w:tc>
        <w:tc>
          <w:tcPr>
            <w:tcW w:w="1134" w:type="dxa"/>
          </w:tcPr>
          <w:p w14:paraId="1B1E12EF" w14:textId="77777777" w:rsidR="00222D72" w:rsidRPr="00750941" w:rsidRDefault="00222D72" w:rsidP="00100C7A">
            <w:pPr>
              <w:pStyle w:val="ARtabletextright"/>
            </w:pPr>
            <w:r w:rsidRPr="4E7E9537">
              <w:t>10,753</w:t>
            </w:r>
          </w:p>
        </w:tc>
      </w:tr>
      <w:tr w:rsidR="00222D72" w14:paraId="7CE959B2" w14:textId="77777777" w:rsidTr="00574D59">
        <w:trPr>
          <w:cantSplit w:val="0"/>
          <w:trHeight w:val="255"/>
        </w:trPr>
        <w:tc>
          <w:tcPr>
            <w:tcW w:w="3175" w:type="dxa"/>
          </w:tcPr>
          <w:p w14:paraId="1BC90B0D" w14:textId="77777777" w:rsidR="00222D72" w:rsidRDefault="00222D72" w:rsidP="004C7BEF">
            <w:pPr>
              <w:pStyle w:val="ARtabletextbold"/>
              <w:rPr>
                <w:rFonts w:eastAsia="Arial"/>
              </w:rPr>
            </w:pPr>
            <w:r w:rsidRPr="4E7E9537">
              <w:rPr>
                <w:rFonts w:eastAsia="Arial"/>
              </w:rPr>
              <w:t>Total</w:t>
            </w:r>
          </w:p>
        </w:tc>
        <w:tc>
          <w:tcPr>
            <w:tcW w:w="1134" w:type="dxa"/>
          </w:tcPr>
          <w:p w14:paraId="0AB9B8D5" w14:textId="77777777" w:rsidR="00222D72" w:rsidRPr="00750941" w:rsidRDefault="00222D72" w:rsidP="009E7701">
            <w:pPr>
              <w:pStyle w:val="ARtabletextrightbold"/>
            </w:pPr>
            <w:r w:rsidRPr="4E7E9537">
              <w:t>9,279</w:t>
            </w:r>
          </w:p>
        </w:tc>
        <w:tc>
          <w:tcPr>
            <w:tcW w:w="1134" w:type="dxa"/>
          </w:tcPr>
          <w:p w14:paraId="11F48552" w14:textId="77777777" w:rsidR="00222D72" w:rsidRPr="00750941" w:rsidRDefault="00222D72" w:rsidP="009E7701">
            <w:pPr>
              <w:pStyle w:val="ARtabletextrightbold"/>
            </w:pPr>
            <w:r w:rsidRPr="4E7E9537">
              <w:t>24,36</w:t>
            </w:r>
            <w:r>
              <w:t>4</w:t>
            </w:r>
          </w:p>
        </w:tc>
        <w:tc>
          <w:tcPr>
            <w:tcW w:w="1134" w:type="dxa"/>
          </w:tcPr>
          <w:p w14:paraId="6CAB4845" w14:textId="77777777" w:rsidR="00222D72" w:rsidRPr="00750941" w:rsidRDefault="00222D72" w:rsidP="009E7701">
            <w:pPr>
              <w:pStyle w:val="ARtabletextrightbold"/>
            </w:pPr>
            <w:r w:rsidRPr="4E7E9537">
              <w:t>9,325</w:t>
            </w:r>
          </w:p>
        </w:tc>
        <w:tc>
          <w:tcPr>
            <w:tcW w:w="1134" w:type="dxa"/>
          </w:tcPr>
          <w:p w14:paraId="020062BA" w14:textId="77777777" w:rsidR="00222D72" w:rsidRPr="00750941" w:rsidRDefault="00222D72" w:rsidP="009E7701">
            <w:pPr>
              <w:pStyle w:val="ARtabletextrightbold"/>
            </w:pPr>
            <w:r w:rsidRPr="4E7E9537">
              <w:t>24,465</w:t>
            </w:r>
          </w:p>
        </w:tc>
        <w:tc>
          <w:tcPr>
            <w:tcW w:w="1134" w:type="dxa"/>
          </w:tcPr>
          <w:p w14:paraId="63D81D02" w14:textId="77777777" w:rsidR="00222D72" w:rsidRPr="00750941" w:rsidRDefault="00222D72" w:rsidP="009E7701">
            <w:pPr>
              <w:pStyle w:val="ARtabletextrightbold"/>
            </w:pPr>
            <w:r w:rsidRPr="4E7E9537">
              <w:t>8,739</w:t>
            </w:r>
          </w:p>
        </w:tc>
        <w:tc>
          <w:tcPr>
            <w:tcW w:w="1134" w:type="dxa"/>
          </w:tcPr>
          <w:p w14:paraId="74DDD2B5" w14:textId="77777777" w:rsidR="00222D72" w:rsidRPr="00750941" w:rsidRDefault="00222D72" w:rsidP="009E7701">
            <w:pPr>
              <w:pStyle w:val="ARtabletextrightbold"/>
            </w:pPr>
            <w:r w:rsidRPr="4E7E9537">
              <w:t>22,994</w:t>
            </w:r>
          </w:p>
        </w:tc>
      </w:tr>
    </w:tbl>
    <w:p w14:paraId="1F22E9BE" w14:textId="77777777" w:rsidR="00222D72" w:rsidRDefault="00222D72" w:rsidP="004C7BEF">
      <w:pPr>
        <w:pStyle w:val="ARtablefootnote"/>
        <w:rPr>
          <w:rFonts w:eastAsia="Arial" w:cs="Arial"/>
          <w:color w:val="000000" w:themeColor="text1"/>
        </w:rPr>
      </w:pPr>
      <w:r w:rsidRPr="4E7E9537">
        <w:rPr>
          <w:rFonts w:eastAsia="Arial" w:cs="Arial"/>
          <w:color w:val="000000" w:themeColor="text1"/>
        </w:rPr>
        <w:t>Data includes road ambulance, air ambulance, emergency support and administrative vehicles and non-emergency patient transport managed by Ambulance Victoria.</w:t>
      </w:r>
    </w:p>
    <w:tbl>
      <w:tblPr>
        <w:tblStyle w:val="TableGrid"/>
        <w:tblW w:w="9639" w:type="dxa"/>
        <w:tblLayout w:type="fixed"/>
        <w:tblLook w:val="06A0" w:firstRow="1" w:lastRow="0" w:firstColumn="1" w:lastColumn="0" w:noHBand="1" w:noVBand="1"/>
      </w:tblPr>
      <w:tblGrid>
        <w:gridCol w:w="3062"/>
        <w:gridCol w:w="1097"/>
        <w:gridCol w:w="1096"/>
        <w:gridCol w:w="1096"/>
        <w:gridCol w:w="1096"/>
        <w:gridCol w:w="1096"/>
        <w:gridCol w:w="1096"/>
      </w:tblGrid>
      <w:tr w:rsidR="00222D72" w14:paraId="3B06E311" w14:textId="77777777" w:rsidTr="003E09F6">
        <w:trPr>
          <w:cnfStyle w:val="100000000000" w:firstRow="1" w:lastRow="0" w:firstColumn="0" w:lastColumn="0" w:oddVBand="0" w:evenVBand="0" w:oddHBand="0" w:evenHBand="0" w:firstRowFirstColumn="0" w:firstRowLastColumn="0" w:lastRowFirstColumn="0" w:lastRowLastColumn="0"/>
          <w:trHeight w:val="300"/>
          <w:tblHeader/>
        </w:trPr>
        <w:tc>
          <w:tcPr>
            <w:tcW w:w="3175" w:type="dxa"/>
          </w:tcPr>
          <w:p w14:paraId="196DDD0A" w14:textId="77777777" w:rsidR="00222D72" w:rsidRDefault="00222D72" w:rsidP="004C7BEF">
            <w:pPr>
              <w:pStyle w:val="ARtablecolhead"/>
              <w:rPr>
                <w:rFonts w:eastAsia="Arial"/>
              </w:rPr>
            </w:pPr>
            <w:r w:rsidRPr="4E7E9537">
              <w:rPr>
                <w:rFonts w:eastAsia="Arial"/>
              </w:rPr>
              <w:t xml:space="preserve">Health service vehicle fleet </w:t>
            </w:r>
          </w:p>
        </w:tc>
        <w:tc>
          <w:tcPr>
            <w:tcW w:w="1134" w:type="dxa"/>
          </w:tcPr>
          <w:p w14:paraId="26C59942" w14:textId="77777777" w:rsidR="00222D72" w:rsidRDefault="00222D72" w:rsidP="004C7BEF">
            <w:pPr>
              <w:pStyle w:val="ARtablecolheadright"/>
              <w:rPr>
                <w:rFonts w:eastAsia="Arial"/>
              </w:rPr>
            </w:pPr>
            <w:r w:rsidRPr="4E7E9537">
              <w:rPr>
                <w:rFonts w:eastAsia="Arial"/>
              </w:rPr>
              <w:t xml:space="preserve">2021–22 </w:t>
            </w:r>
            <w:r>
              <w:br/>
            </w:r>
            <w:r w:rsidRPr="4E7E9537">
              <w:rPr>
                <w:rFonts w:eastAsia="Arial"/>
              </w:rPr>
              <w:t>estimate</w:t>
            </w:r>
          </w:p>
        </w:tc>
        <w:tc>
          <w:tcPr>
            <w:tcW w:w="1134" w:type="dxa"/>
          </w:tcPr>
          <w:p w14:paraId="05953D8A" w14:textId="77777777" w:rsidR="00222D72" w:rsidRDefault="00222D72" w:rsidP="004C7BEF">
            <w:pPr>
              <w:pStyle w:val="ARtablecolheadright"/>
              <w:rPr>
                <w:rFonts w:eastAsia="Arial"/>
              </w:rPr>
            </w:pPr>
            <w:r w:rsidRPr="4E7E9537">
              <w:rPr>
                <w:rFonts w:eastAsia="Arial"/>
              </w:rPr>
              <w:t xml:space="preserve">2021–22 </w:t>
            </w:r>
            <w:r>
              <w:br/>
            </w:r>
            <w:r w:rsidRPr="4E7E9537">
              <w:rPr>
                <w:rFonts w:eastAsia="Arial"/>
              </w:rPr>
              <w:t>estimate</w:t>
            </w:r>
          </w:p>
        </w:tc>
        <w:tc>
          <w:tcPr>
            <w:tcW w:w="1134" w:type="dxa"/>
          </w:tcPr>
          <w:p w14:paraId="49669253" w14:textId="77777777" w:rsidR="00222D72" w:rsidRDefault="00222D72" w:rsidP="004C7BEF">
            <w:pPr>
              <w:pStyle w:val="ARtablecolheadright"/>
              <w:rPr>
                <w:rFonts w:eastAsia="Arial"/>
              </w:rPr>
            </w:pPr>
            <w:r w:rsidRPr="4E7E9537">
              <w:rPr>
                <w:rFonts w:eastAsia="Arial"/>
              </w:rPr>
              <w:t xml:space="preserve">2020–21 </w:t>
            </w:r>
            <w:r>
              <w:br/>
            </w:r>
            <w:r w:rsidRPr="4E7E9537">
              <w:rPr>
                <w:rFonts w:eastAsia="Arial"/>
              </w:rPr>
              <w:t>estimate</w:t>
            </w:r>
          </w:p>
        </w:tc>
        <w:tc>
          <w:tcPr>
            <w:tcW w:w="1134" w:type="dxa"/>
          </w:tcPr>
          <w:p w14:paraId="7F086705" w14:textId="77777777" w:rsidR="00222D72" w:rsidRDefault="00222D72" w:rsidP="004C7BEF">
            <w:pPr>
              <w:pStyle w:val="ARtablecolheadright"/>
              <w:rPr>
                <w:rFonts w:eastAsia="Arial"/>
              </w:rPr>
            </w:pPr>
            <w:r w:rsidRPr="4E7E9537">
              <w:rPr>
                <w:rFonts w:eastAsia="Arial"/>
              </w:rPr>
              <w:t xml:space="preserve">2020–21 </w:t>
            </w:r>
            <w:r>
              <w:br/>
            </w:r>
            <w:r w:rsidRPr="4E7E9537">
              <w:rPr>
                <w:rFonts w:eastAsia="Arial"/>
              </w:rPr>
              <w:t>estimate</w:t>
            </w:r>
          </w:p>
        </w:tc>
        <w:tc>
          <w:tcPr>
            <w:tcW w:w="1134" w:type="dxa"/>
          </w:tcPr>
          <w:p w14:paraId="0065281A" w14:textId="77777777" w:rsidR="00222D72" w:rsidRDefault="00222D72" w:rsidP="004C7BEF">
            <w:pPr>
              <w:pStyle w:val="ARtablecolheadright"/>
              <w:rPr>
                <w:rFonts w:eastAsia="Arial"/>
              </w:rPr>
            </w:pPr>
            <w:r w:rsidRPr="4E7E9537">
              <w:rPr>
                <w:rFonts w:eastAsia="Arial"/>
              </w:rPr>
              <w:t xml:space="preserve">2019–20 </w:t>
            </w:r>
            <w:r>
              <w:br/>
            </w:r>
            <w:r w:rsidRPr="4E7E9537">
              <w:rPr>
                <w:rFonts w:eastAsia="Arial"/>
              </w:rPr>
              <w:t>estimate</w:t>
            </w:r>
          </w:p>
        </w:tc>
        <w:tc>
          <w:tcPr>
            <w:tcW w:w="1134" w:type="dxa"/>
          </w:tcPr>
          <w:p w14:paraId="43C01588" w14:textId="77777777" w:rsidR="00222D72" w:rsidRDefault="00222D72" w:rsidP="004C7BEF">
            <w:pPr>
              <w:pStyle w:val="ARtablecolheadright"/>
              <w:rPr>
                <w:rFonts w:eastAsia="Arial"/>
              </w:rPr>
            </w:pPr>
            <w:r w:rsidRPr="4E7E9537">
              <w:rPr>
                <w:rFonts w:eastAsia="Arial"/>
              </w:rPr>
              <w:t xml:space="preserve">2019–20 </w:t>
            </w:r>
            <w:r>
              <w:br/>
            </w:r>
            <w:r w:rsidRPr="4E7E9537">
              <w:rPr>
                <w:rFonts w:eastAsia="Arial"/>
              </w:rPr>
              <w:t>estimate</w:t>
            </w:r>
          </w:p>
        </w:tc>
      </w:tr>
      <w:tr w:rsidR="00222D72" w14:paraId="7365DF00" w14:textId="77777777" w:rsidTr="003E09F6">
        <w:trPr>
          <w:cnfStyle w:val="100000000000" w:firstRow="1" w:lastRow="0" w:firstColumn="0" w:lastColumn="0" w:oddVBand="0" w:evenVBand="0" w:oddHBand="0" w:evenHBand="0" w:firstRowFirstColumn="0" w:firstRowLastColumn="0" w:lastRowFirstColumn="0" w:lastRowLastColumn="0"/>
          <w:trHeight w:val="495"/>
          <w:tblHeader/>
        </w:trPr>
        <w:tc>
          <w:tcPr>
            <w:tcW w:w="3175" w:type="dxa"/>
          </w:tcPr>
          <w:p w14:paraId="1241D12E" w14:textId="77777777" w:rsidR="00222D72" w:rsidRDefault="00222D72" w:rsidP="004C7BEF">
            <w:pPr>
              <w:pStyle w:val="ARtablecolhead"/>
              <w:rPr>
                <w:rFonts w:eastAsia="Arial"/>
              </w:rPr>
            </w:pPr>
            <w:r w:rsidRPr="4E7E9537">
              <w:rPr>
                <w:rFonts w:eastAsia="Arial"/>
              </w:rPr>
              <w:t>Total fuel usage segmented by primary source</w:t>
            </w:r>
          </w:p>
        </w:tc>
        <w:tc>
          <w:tcPr>
            <w:tcW w:w="1134" w:type="dxa"/>
          </w:tcPr>
          <w:p w14:paraId="02028890" w14:textId="77777777" w:rsidR="00222D72" w:rsidRDefault="00222D72" w:rsidP="004C7BEF">
            <w:pPr>
              <w:pStyle w:val="ARtablecolheadright"/>
              <w:rPr>
                <w:rFonts w:eastAsia="Arial"/>
              </w:rPr>
            </w:pPr>
            <w:r w:rsidRPr="4E7E9537">
              <w:rPr>
                <w:rFonts w:eastAsia="Arial"/>
              </w:rPr>
              <w:t>Fuel volume (kilolitres)</w:t>
            </w:r>
          </w:p>
        </w:tc>
        <w:tc>
          <w:tcPr>
            <w:tcW w:w="1134" w:type="dxa"/>
          </w:tcPr>
          <w:p w14:paraId="363DAE4A" w14:textId="4FD0CC92" w:rsidR="00222D72" w:rsidRDefault="00222D72" w:rsidP="004C7BEF">
            <w:pPr>
              <w:pStyle w:val="ARtablecolheadright"/>
              <w:rPr>
                <w:rFonts w:eastAsia="Arial"/>
              </w:rPr>
            </w:pPr>
            <w:r w:rsidRPr="4E7E9537">
              <w:rPr>
                <w:rFonts w:eastAsia="Arial"/>
              </w:rPr>
              <w:t xml:space="preserve">Emissions (tonnes </w:t>
            </w:r>
            <w:r>
              <w:br/>
            </w:r>
            <w:r w:rsidRPr="4E7E9537">
              <w:rPr>
                <w:rFonts w:eastAsia="Arial"/>
              </w:rPr>
              <w:t>CO</w:t>
            </w:r>
            <w:r w:rsidR="006E2B00" w:rsidRPr="00125EE1">
              <w:rPr>
                <w:rStyle w:val="Subscript"/>
              </w:rPr>
              <w:t>2</w:t>
            </w:r>
            <w:r w:rsidRPr="4E7E9537">
              <w:rPr>
                <w:rFonts w:eastAsia="Arial"/>
              </w:rPr>
              <w:t>-e)</w:t>
            </w:r>
          </w:p>
        </w:tc>
        <w:tc>
          <w:tcPr>
            <w:tcW w:w="1134" w:type="dxa"/>
          </w:tcPr>
          <w:p w14:paraId="77542CA4" w14:textId="77777777" w:rsidR="00222D72" w:rsidRDefault="00222D72" w:rsidP="004C7BEF">
            <w:pPr>
              <w:pStyle w:val="ARtablecolheadright"/>
              <w:rPr>
                <w:rFonts w:eastAsia="Arial"/>
              </w:rPr>
            </w:pPr>
            <w:r w:rsidRPr="4E7E9537">
              <w:rPr>
                <w:rFonts w:eastAsia="Arial"/>
              </w:rPr>
              <w:t>Fuel volume (kilolitres)</w:t>
            </w:r>
          </w:p>
        </w:tc>
        <w:tc>
          <w:tcPr>
            <w:tcW w:w="1134" w:type="dxa"/>
          </w:tcPr>
          <w:p w14:paraId="734185AA" w14:textId="27AF8463" w:rsidR="00222D72" w:rsidRDefault="00222D72" w:rsidP="004C7BEF">
            <w:pPr>
              <w:pStyle w:val="ARtablecolheadright"/>
              <w:rPr>
                <w:rFonts w:eastAsia="Arial"/>
              </w:rPr>
            </w:pPr>
            <w:r w:rsidRPr="4E7E9537">
              <w:rPr>
                <w:rFonts w:eastAsia="Arial"/>
              </w:rPr>
              <w:t xml:space="preserve">Emissions (tonnes </w:t>
            </w:r>
            <w:r>
              <w:br/>
            </w:r>
            <w:r w:rsidRPr="4E7E9537">
              <w:rPr>
                <w:rFonts w:eastAsia="Arial"/>
              </w:rPr>
              <w:t>CO</w:t>
            </w:r>
            <w:r w:rsidR="006E2B00" w:rsidRPr="00125EE1">
              <w:rPr>
                <w:rStyle w:val="Subscript"/>
              </w:rPr>
              <w:t>2</w:t>
            </w:r>
            <w:r w:rsidRPr="4E7E9537">
              <w:rPr>
                <w:rFonts w:eastAsia="Arial"/>
              </w:rPr>
              <w:t>-e)</w:t>
            </w:r>
          </w:p>
        </w:tc>
        <w:tc>
          <w:tcPr>
            <w:tcW w:w="1134" w:type="dxa"/>
          </w:tcPr>
          <w:p w14:paraId="33B1AECA" w14:textId="77777777" w:rsidR="00222D72" w:rsidRDefault="00222D72" w:rsidP="004C7BEF">
            <w:pPr>
              <w:pStyle w:val="ARtablecolheadright"/>
              <w:rPr>
                <w:rFonts w:eastAsia="Arial"/>
              </w:rPr>
            </w:pPr>
            <w:r w:rsidRPr="4E7E9537">
              <w:rPr>
                <w:rFonts w:eastAsia="Arial"/>
              </w:rPr>
              <w:t>Fuel volume (kilolitres)</w:t>
            </w:r>
          </w:p>
        </w:tc>
        <w:tc>
          <w:tcPr>
            <w:tcW w:w="1134" w:type="dxa"/>
          </w:tcPr>
          <w:p w14:paraId="428B41BE" w14:textId="6DDA4335" w:rsidR="00222D72" w:rsidRDefault="00222D72" w:rsidP="004C7BEF">
            <w:pPr>
              <w:pStyle w:val="ARtablecolheadright"/>
              <w:rPr>
                <w:rFonts w:eastAsia="Arial"/>
              </w:rPr>
            </w:pPr>
            <w:r w:rsidRPr="4E7E9537">
              <w:rPr>
                <w:rFonts w:eastAsia="Arial"/>
              </w:rPr>
              <w:t xml:space="preserve">Emissions (tonnes </w:t>
            </w:r>
            <w:r>
              <w:br/>
            </w:r>
            <w:r w:rsidRPr="4E7E9537">
              <w:rPr>
                <w:rFonts w:eastAsia="Arial"/>
              </w:rPr>
              <w:t>CO</w:t>
            </w:r>
            <w:r w:rsidR="006E2B00" w:rsidRPr="00125EE1">
              <w:rPr>
                <w:rStyle w:val="Subscript"/>
              </w:rPr>
              <w:t>2</w:t>
            </w:r>
            <w:r w:rsidRPr="4E7E9537">
              <w:rPr>
                <w:rFonts w:eastAsia="Arial"/>
              </w:rPr>
              <w:t>-e)</w:t>
            </w:r>
          </w:p>
        </w:tc>
      </w:tr>
      <w:tr w:rsidR="00222D72" w14:paraId="3BCCDE0E" w14:textId="77777777" w:rsidTr="003E09F6">
        <w:trPr>
          <w:cantSplit w:val="0"/>
          <w:trHeight w:val="300"/>
        </w:trPr>
        <w:tc>
          <w:tcPr>
            <w:tcW w:w="3175" w:type="dxa"/>
          </w:tcPr>
          <w:p w14:paraId="2629000F" w14:textId="77777777" w:rsidR="00222D72" w:rsidRPr="004D7B39" w:rsidRDefault="00222D72" w:rsidP="004C7BEF">
            <w:pPr>
              <w:pStyle w:val="ARtabletext"/>
              <w:rPr>
                <w:rFonts w:eastAsia="Arial"/>
              </w:rPr>
            </w:pPr>
            <w:r w:rsidRPr="004D7B39">
              <w:rPr>
                <w:rFonts w:eastAsia="Arial"/>
              </w:rPr>
              <w:t>Gasoline – road vehicles</w:t>
            </w:r>
          </w:p>
        </w:tc>
        <w:tc>
          <w:tcPr>
            <w:tcW w:w="1134" w:type="dxa"/>
          </w:tcPr>
          <w:p w14:paraId="0DF3F913" w14:textId="77777777" w:rsidR="00222D72" w:rsidRPr="00296D69" w:rsidRDefault="00222D72" w:rsidP="00100C7A">
            <w:pPr>
              <w:pStyle w:val="ARtabletextright"/>
            </w:pPr>
            <w:r w:rsidRPr="4E7E9537">
              <w:t>1,545</w:t>
            </w:r>
          </w:p>
        </w:tc>
        <w:tc>
          <w:tcPr>
            <w:tcW w:w="1134" w:type="dxa"/>
          </w:tcPr>
          <w:p w14:paraId="63A6F52A" w14:textId="77777777" w:rsidR="00222D72" w:rsidRPr="00296D69" w:rsidRDefault="00222D72" w:rsidP="00100C7A">
            <w:pPr>
              <w:pStyle w:val="ARtabletextright"/>
            </w:pPr>
            <w:r w:rsidRPr="4E7E9537">
              <w:t>3,574</w:t>
            </w:r>
          </w:p>
        </w:tc>
        <w:tc>
          <w:tcPr>
            <w:tcW w:w="1134" w:type="dxa"/>
          </w:tcPr>
          <w:p w14:paraId="17182CFE" w14:textId="77777777" w:rsidR="00222D72" w:rsidRPr="0046056A" w:rsidRDefault="00222D72" w:rsidP="00100C7A">
            <w:pPr>
              <w:pStyle w:val="ARtabletextright"/>
            </w:pPr>
            <w:r w:rsidRPr="4E7E9537">
              <w:t>1,704</w:t>
            </w:r>
          </w:p>
        </w:tc>
        <w:tc>
          <w:tcPr>
            <w:tcW w:w="1134" w:type="dxa"/>
          </w:tcPr>
          <w:p w14:paraId="1582D2DC" w14:textId="77777777" w:rsidR="00222D72" w:rsidRPr="00DA7F98" w:rsidRDefault="00222D72" w:rsidP="00100C7A">
            <w:pPr>
              <w:pStyle w:val="ARtabletextright"/>
            </w:pPr>
            <w:r w:rsidRPr="4E7E9537">
              <w:t>3,941</w:t>
            </w:r>
          </w:p>
        </w:tc>
        <w:tc>
          <w:tcPr>
            <w:tcW w:w="1134" w:type="dxa"/>
          </w:tcPr>
          <w:p w14:paraId="56DFF971" w14:textId="77777777" w:rsidR="00222D72" w:rsidRDefault="00222D72" w:rsidP="00100C7A">
            <w:pPr>
              <w:pStyle w:val="ARtabletextright"/>
            </w:pPr>
            <w:r w:rsidRPr="4E7E9537">
              <w:t>1,822</w:t>
            </w:r>
          </w:p>
        </w:tc>
        <w:tc>
          <w:tcPr>
            <w:tcW w:w="1134" w:type="dxa"/>
          </w:tcPr>
          <w:p w14:paraId="697154BE" w14:textId="77777777" w:rsidR="00222D72" w:rsidRDefault="00222D72" w:rsidP="00100C7A">
            <w:pPr>
              <w:pStyle w:val="ARtabletextright"/>
            </w:pPr>
            <w:r w:rsidRPr="4E7E9537">
              <w:t>4,214</w:t>
            </w:r>
          </w:p>
        </w:tc>
      </w:tr>
      <w:tr w:rsidR="00222D72" w14:paraId="77D669DF" w14:textId="77777777" w:rsidTr="003E09F6">
        <w:trPr>
          <w:cantSplit w:val="0"/>
          <w:trHeight w:val="300"/>
        </w:trPr>
        <w:tc>
          <w:tcPr>
            <w:tcW w:w="3175" w:type="dxa"/>
          </w:tcPr>
          <w:p w14:paraId="3D6FA18B" w14:textId="4119C31C" w:rsidR="00222D72" w:rsidRPr="004D7B39" w:rsidRDefault="000E53D3" w:rsidP="004C7BEF">
            <w:pPr>
              <w:pStyle w:val="ARtabletext"/>
              <w:rPr>
                <w:rFonts w:eastAsia="Arial"/>
              </w:rPr>
            </w:pPr>
            <w:r>
              <w:rPr>
                <w:rFonts w:eastAsia="Arial"/>
              </w:rPr>
              <w:t>E10 ethanol blend</w:t>
            </w:r>
            <w:r w:rsidR="00DB2138">
              <w:rPr>
                <w:rFonts w:eastAsia="Arial"/>
              </w:rPr>
              <w:t xml:space="preserve"> </w:t>
            </w:r>
            <w:r w:rsidR="00222D72" w:rsidRPr="004D7B39">
              <w:rPr>
                <w:rFonts w:eastAsia="Arial"/>
              </w:rPr>
              <w:t>– road vehicles</w:t>
            </w:r>
          </w:p>
        </w:tc>
        <w:tc>
          <w:tcPr>
            <w:tcW w:w="1134" w:type="dxa"/>
          </w:tcPr>
          <w:p w14:paraId="7E951EE5" w14:textId="77777777" w:rsidR="00222D72" w:rsidRPr="00296D69" w:rsidRDefault="00222D72" w:rsidP="00100C7A">
            <w:pPr>
              <w:pStyle w:val="ARtabletextright"/>
            </w:pPr>
            <w:r w:rsidRPr="4E7E9537">
              <w:t>21</w:t>
            </w:r>
          </w:p>
        </w:tc>
        <w:tc>
          <w:tcPr>
            <w:tcW w:w="1134" w:type="dxa"/>
          </w:tcPr>
          <w:p w14:paraId="39CF2962" w14:textId="77777777" w:rsidR="00222D72" w:rsidRPr="00296D69" w:rsidRDefault="00222D72" w:rsidP="00100C7A">
            <w:pPr>
              <w:pStyle w:val="ARtabletextright"/>
            </w:pPr>
            <w:r w:rsidRPr="4E7E9537">
              <w:t>0</w:t>
            </w:r>
          </w:p>
        </w:tc>
        <w:tc>
          <w:tcPr>
            <w:tcW w:w="1134" w:type="dxa"/>
          </w:tcPr>
          <w:p w14:paraId="5B73678C" w14:textId="77777777" w:rsidR="00222D72" w:rsidRPr="0046056A" w:rsidRDefault="00222D72" w:rsidP="00100C7A">
            <w:pPr>
              <w:pStyle w:val="ARtabletextright"/>
            </w:pPr>
            <w:r w:rsidRPr="4E7E9537">
              <w:t>17</w:t>
            </w:r>
          </w:p>
        </w:tc>
        <w:tc>
          <w:tcPr>
            <w:tcW w:w="1134" w:type="dxa"/>
          </w:tcPr>
          <w:p w14:paraId="7558429E" w14:textId="77777777" w:rsidR="00222D72" w:rsidRPr="00DA7F98" w:rsidRDefault="00222D72" w:rsidP="00100C7A">
            <w:pPr>
              <w:pStyle w:val="ARtabletextright"/>
            </w:pPr>
            <w:r w:rsidRPr="4E7E9537">
              <w:t>0</w:t>
            </w:r>
          </w:p>
        </w:tc>
        <w:tc>
          <w:tcPr>
            <w:tcW w:w="1134" w:type="dxa"/>
          </w:tcPr>
          <w:p w14:paraId="5600A2A8" w14:textId="77777777" w:rsidR="00222D72" w:rsidRDefault="00222D72" w:rsidP="00100C7A">
            <w:pPr>
              <w:pStyle w:val="ARtabletextright"/>
            </w:pPr>
            <w:r w:rsidRPr="4E7E9537">
              <w:t>12</w:t>
            </w:r>
          </w:p>
        </w:tc>
        <w:tc>
          <w:tcPr>
            <w:tcW w:w="1134" w:type="dxa"/>
          </w:tcPr>
          <w:p w14:paraId="716CD93A" w14:textId="77777777" w:rsidR="00222D72" w:rsidRDefault="00222D72" w:rsidP="00100C7A">
            <w:pPr>
              <w:pStyle w:val="ARtabletextright"/>
            </w:pPr>
            <w:r w:rsidRPr="4E7E9537">
              <w:t>0</w:t>
            </w:r>
          </w:p>
        </w:tc>
      </w:tr>
      <w:tr w:rsidR="00222D72" w14:paraId="27891422" w14:textId="77777777" w:rsidTr="003E09F6">
        <w:trPr>
          <w:cantSplit w:val="0"/>
          <w:trHeight w:val="300"/>
        </w:trPr>
        <w:tc>
          <w:tcPr>
            <w:tcW w:w="3175" w:type="dxa"/>
          </w:tcPr>
          <w:p w14:paraId="77A88E1D" w14:textId="77777777" w:rsidR="00222D72" w:rsidRPr="004D7B39" w:rsidRDefault="00222D72" w:rsidP="004C7BEF">
            <w:pPr>
              <w:pStyle w:val="ARtabletext"/>
              <w:rPr>
                <w:rFonts w:eastAsia="Arial"/>
              </w:rPr>
            </w:pPr>
            <w:r w:rsidRPr="004D7B39">
              <w:rPr>
                <w:rFonts w:eastAsia="Arial"/>
              </w:rPr>
              <w:t>Diesel – road vehicles</w:t>
            </w:r>
          </w:p>
        </w:tc>
        <w:tc>
          <w:tcPr>
            <w:tcW w:w="1134" w:type="dxa"/>
          </w:tcPr>
          <w:p w14:paraId="1860E35A" w14:textId="77777777" w:rsidR="00222D72" w:rsidRPr="00296D69" w:rsidRDefault="00222D72" w:rsidP="00100C7A">
            <w:pPr>
              <w:pStyle w:val="ARtabletextright"/>
            </w:pPr>
            <w:r w:rsidRPr="4E7E9537">
              <w:t>412</w:t>
            </w:r>
          </w:p>
        </w:tc>
        <w:tc>
          <w:tcPr>
            <w:tcW w:w="1134" w:type="dxa"/>
          </w:tcPr>
          <w:p w14:paraId="57FEAE10" w14:textId="77777777" w:rsidR="00222D72" w:rsidRPr="00296D69" w:rsidRDefault="00222D72" w:rsidP="00100C7A">
            <w:pPr>
              <w:pStyle w:val="ARtabletextright"/>
            </w:pPr>
            <w:r w:rsidRPr="4E7E9537">
              <w:t>1,121</w:t>
            </w:r>
          </w:p>
        </w:tc>
        <w:tc>
          <w:tcPr>
            <w:tcW w:w="1134" w:type="dxa"/>
          </w:tcPr>
          <w:p w14:paraId="606888C2" w14:textId="77777777" w:rsidR="00222D72" w:rsidRPr="0046056A" w:rsidRDefault="00222D72" w:rsidP="00100C7A">
            <w:pPr>
              <w:pStyle w:val="ARtabletextright"/>
            </w:pPr>
            <w:r w:rsidRPr="4E7E9537">
              <w:t>494</w:t>
            </w:r>
          </w:p>
        </w:tc>
        <w:tc>
          <w:tcPr>
            <w:tcW w:w="1134" w:type="dxa"/>
          </w:tcPr>
          <w:p w14:paraId="2553585D" w14:textId="77777777" w:rsidR="00222D72" w:rsidRPr="00DA7F98" w:rsidRDefault="00222D72" w:rsidP="00100C7A">
            <w:pPr>
              <w:pStyle w:val="ARtabletextright"/>
            </w:pPr>
            <w:r w:rsidRPr="4E7E9537">
              <w:t>1,342</w:t>
            </w:r>
          </w:p>
        </w:tc>
        <w:tc>
          <w:tcPr>
            <w:tcW w:w="1134" w:type="dxa"/>
          </w:tcPr>
          <w:p w14:paraId="0971B21E" w14:textId="77777777" w:rsidR="00222D72" w:rsidRDefault="00222D72" w:rsidP="00100C7A">
            <w:pPr>
              <w:pStyle w:val="ARtabletextright"/>
            </w:pPr>
            <w:r w:rsidRPr="4E7E9537">
              <w:t>454</w:t>
            </w:r>
          </w:p>
        </w:tc>
        <w:tc>
          <w:tcPr>
            <w:tcW w:w="1134" w:type="dxa"/>
          </w:tcPr>
          <w:p w14:paraId="69CAE391" w14:textId="77777777" w:rsidR="00222D72" w:rsidRDefault="00222D72" w:rsidP="00100C7A">
            <w:pPr>
              <w:pStyle w:val="ARtabletextright"/>
            </w:pPr>
            <w:r w:rsidRPr="4E7E9537">
              <w:t>1,236</w:t>
            </w:r>
          </w:p>
        </w:tc>
      </w:tr>
      <w:tr w:rsidR="00222D72" w14:paraId="5B919D30" w14:textId="77777777" w:rsidTr="003E09F6">
        <w:trPr>
          <w:cantSplit w:val="0"/>
          <w:trHeight w:val="300"/>
        </w:trPr>
        <w:tc>
          <w:tcPr>
            <w:tcW w:w="3175" w:type="dxa"/>
          </w:tcPr>
          <w:p w14:paraId="50D629C0" w14:textId="77777777" w:rsidR="00222D72" w:rsidRDefault="00222D72" w:rsidP="004C7BEF">
            <w:pPr>
              <w:pStyle w:val="ARtabletext"/>
              <w:rPr>
                <w:rFonts w:eastAsia="Arial"/>
              </w:rPr>
            </w:pPr>
            <w:r w:rsidRPr="4E7E9537">
              <w:rPr>
                <w:rFonts w:eastAsia="Arial"/>
              </w:rPr>
              <w:t>LPG – road vehicles</w:t>
            </w:r>
          </w:p>
        </w:tc>
        <w:tc>
          <w:tcPr>
            <w:tcW w:w="1134" w:type="dxa"/>
          </w:tcPr>
          <w:p w14:paraId="430C9CF1" w14:textId="77777777" w:rsidR="00222D72" w:rsidRPr="00296D69" w:rsidRDefault="00222D72" w:rsidP="00100C7A">
            <w:pPr>
              <w:pStyle w:val="ARtabletextright"/>
            </w:pPr>
            <w:r w:rsidRPr="4E7E9537">
              <w:t>4</w:t>
            </w:r>
          </w:p>
        </w:tc>
        <w:tc>
          <w:tcPr>
            <w:tcW w:w="1134" w:type="dxa"/>
          </w:tcPr>
          <w:p w14:paraId="55ED9C7F" w14:textId="77777777" w:rsidR="00222D72" w:rsidRPr="00296D69" w:rsidRDefault="00222D72" w:rsidP="00100C7A">
            <w:pPr>
              <w:pStyle w:val="ARtabletextright"/>
            </w:pPr>
            <w:r w:rsidRPr="4E7E9537">
              <w:t>6</w:t>
            </w:r>
          </w:p>
        </w:tc>
        <w:tc>
          <w:tcPr>
            <w:tcW w:w="1134" w:type="dxa"/>
          </w:tcPr>
          <w:p w14:paraId="179990E7" w14:textId="77777777" w:rsidR="00222D72" w:rsidRPr="0046056A" w:rsidRDefault="00222D72" w:rsidP="00100C7A">
            <w:pPr>
              <w:pStyle w:val="ARtabletextright"/>
            </w:pPr>
            <w:r w:rsidRPr="4E7E9537">
              <w:t>4</w:t>
            </w:r>
          </w:p>
        </w:tc>
        <w:tc>
          <w:tcPr>
            <w:tcW w:w="1134" w:type="dxa"/>
          </w:tcPr>
          <w:p w14:paraId="79589C72" w14:textId="77777777" w:rsidR="00222D72" w:rsidRPr="00DA7F98" w:rsidRDefault="00222D72" w:rsidP="00100C7A">
            <w:pPr>
              <w:pStyle w:val="ARtabletextright"/>
            </w:pPr>
            <w:r w:rsidRPr="4E7E9537">
              <w:t>7</w:t>
            </w:r>
          </w:p>
        </w:tc>
        <w:tc>
          <w:tcPr>
            <w:tcW w:w="1134" w:type="dxa"/>
          </w:tcPr>
          <w:p w14:paraId="5776B9E6" w14:textId="77777777" w:rsidR="00222D72" w:rsidRDefault="00222D72" w:rsidP="00100C7A">
            <w:pPr>
              <w:pStyle w:val="ARtabletextright"/>
            </w:pPr>
            <w:r w:rsidRPr="4E7E9537">
              <w:t>2</w:t>
            </w:r>
          </w:p>
        </w:tc>
        <w:tc>
          <w:tcPr>
            <w:tcW w:w="1134" w:type="dxa"/>
          </w:tcPr>
          <w:p w14:paraId="00C68965" w14:textId="77777777" w:rsidR="00222D72" w:rsidRDefault="00222D72" w:rsidP="00100C7A">
            <w:pPr>
              <w:pStyle w:val="ARtabletextright"/>
            </w:pPr>
            <w:r w:rsidRPr="4E7E9537">
              <w:t>3</w:t>
            </w:r>
          </w:p>
        </w:tc>
      </w:tr>
      <w:tr w:rsidR="00222D72" w14:paraId="76B9B0C9" w14:textId="77777777" w:rsidTr="003E09F6">
        <w:trPr>
          <w:cantSplit w:val="0"/>
          <w:trHeight w:val="255"/>
        </w:trPr>
        <w:tc>
          <w:tcPr>
            <w:tcW w:w="3175" w:type="dxa"/>
          </w:tcPr>
          <w:p w14:paraId="7C482ECD" w14:textId="77777777" w:rsidR="00222D72" w:rsidRDefault="00222D72" w:rsidP="004C7BEF">
            <w:pPr>
              <w:pStyle w:val="ARtabletextbold"/>
              <w:rPr>
                <w:rFonts w:eastAsia="Arial"/>
              </w:rPr>
            </w:pPr>
            <w:r w:rsidRPr="4E7E9537">
              <w:rPr>
                <w:rFonts w:eastAsia="Arial"/>
              </w:rPr>
              <w:t>Total</w:t>
            </w:r>
          </w:p>
        </w:tc>
        <w:tc>
          <w:tcPr>
            <w:tcW w:w="1134" w:type="dxa"/>
          </w:tcPr>
          <w:p w14:paraId="78385725" w14:textId="77777777" w:rsidR="00222D72" w:rsidRPr="00296D69" w:rsidRDefault="00222D72" w:rsidP="009E7701">
            <w:pPr>
              <w:pStyle w:val="ARtabletextrightbold"/>
            </w:pPr>
            <w:r w:rsidRPr="4E7E9537">
              <w:t>1,982</w:t>
            </w:r>
          </w:p>
        </w:tc>
        <w:tc>
          <w:tcPr>
            <w:tcW w:w="1134" w:type="dxa"/>
          </w:tcPr>
          <w:p w14:paraId="24741D34" w14:textId="77777777" w:rsidR="00222D72" w:rsidRPr="00296D69" w:rsidRDefault="00222D72" w:rsidP="009E7701">
            <w:pPr>
              <w:pStyle w:val="ARtabletextrightbold"/>
            </w:pPr>
            <w:r w:rsidRPr="4E7E9537">
              <w:t>4,701</w:t>
            </w:r>
          </w:p>
        </w:tc>
        <w:tc>
          <w:tcPr>
            <w:tcW w:w="1134" w:type="dxa"/>
          </w:tcPr>
          <w:p w14:paraId="159129FC" w14:textId="77777777" w:rsidR="00222D72" w:rsidRPr="0046056A" w:rsidRDefault="00222D72" w:rsidP="009E7701">
            <w:pPr>
              <w:pStyle w:val="ARtabletextrightbold"/>
            </w:pPr>
            <w:r w:rsidRPr="4E7E9537">
              <w:t>2,219</w:t>
            </w:r>
          </w:p>
        </w:tc>
        <w:tc>
          <w:tcPr>
            <w:tcW w:w="1134" w:type="dxa"/>
          </w:tcPr>
          <w:p w14:paraId="7D047711" w14:textId="77777777" w:rsidR="00222D72" w:rsidRPr="00DA7F98" w:rsidRDefault="00222D72" w:rsidP="009E7701">
            <w:pPr>
              <w:pStyle w:val="ARtabletextrightbold"/>
            </w:pPr>
            <w:r w:rsidRPr="4E7E9537">
              <w:t>5,290</w:t>
            </w:r>
          </w:p>
        </w:tc>
        <w:tc>
          <w:tcPr>
            <w:tcW w:w="1134" w:type="dxa"/>
          </w:tcPr>
          <w:p w14:paraId="2F58D52B" w14:textId="77777777" w:rsidR="00222D72" w:rsidRDefault="00222D72" w:rsidP="009E7701">
            <w:pPr>
              <w:pStyle w:val="ARtabletextrightbold"/>
            </w:pPr>
            <w:r w:rsidRPr="4E7E9537">
              <w:t>2,290</w:t>
            </w:r>
          </w:p>
        </w:tc>
        <w:tc>
          <w:tcPr>
            <w:tcW w:w="1134" w:type="dxa"/>
          </w:tcPr>
          <w:p w14:paraId="7DF68E30" w14:textId="77777777" w:rsidR="00222D72" w:rsidRDefault="00222D72" w:rsidP="009E7701">
            <w:pPr>
              <w:pStyle w:val="ARtabletextrightbold"/>
            </w:pPr>
            <w:r w:rsidRPr="4E7E9537">
              <w:t>5,453</w:t>
            </w:r>
          </w:p>
        </w:tc>
      </w:tr>
    </w:tbl>
    <w:p w14:paraId="4CBFF7B2" w14:textId="77777777" w:rsidR="00222D72" w:rsidRDefault="00222D72" w:rsidP="004C7BEF">
      <w:pPr>
        <w:pStyle w:val="ARtablefootnote"/>
        <w:rPr>
          <w:rFonts w:eastAsia="Arial" w:cs="Arial"/>
          <w:color w:val="000000" w:themeColor="text1"/>
        </w:rPr>
      </w:pPr>
      <w:r w:rsidRPr="4E7E9537">
        <w:rPr>
          <w:rFonts w:eastAsia="Arial" w:cs="Arial"/>
          <w:color w:val="000000" w:themeColor="text1"/>
        </w:rPr>
        <w:t>Data includes corporate fleet vehicles managed by Mercy Public Hospitals Inc, St Vincent’s Hospital Melbourne Pty Ltd, and public hospitals and health services on the VicFleet vehicle fleet contract. Some public hospitals and health services have not transitioned to the VicFleet contract and are excluded from this data.</w:t>
      </w:r>
    </w:p>
    <w:p w14:paraId="7B8E380F" w14:textId="77777777" w:rsidR="00222D72" w:rsidRDefault="00222D72" w:rsidP="004C7BEF">
      <w:pPr>
        <w:pStyle w:val="Heading5"/>
        <w:rPr>
          <w:rFonts w:eastAsia="Arial" w:cs="Arial"/>
        </w:rPr>
      </w:pPr>
      <w:r w:rsidRPr="4E7E9537">
        <w:rPr>
          <w:rFonts w:eastAsia="Arial" w:cs="Arial"/>
        </w:rPr>
        <w:t>Air travel</w:t>
      </w:r>
    </w:p>
    <w:tbl>
      <w:tblPr>
        <w:tblStyle w:val="TableGrid"/>
        <w:tblW w:w="9639" w:type="dxa"/>
        <w:tblLayout w:type="fixed"/>
        <w:tblLook w:val="06A0" w:firstRow="1" w:lastRow="0" w:firstColumn="1" w:lastColumn="0" w:noHBand="1" w:noVBand="1"/>
      </w:tblPr>
      <w:tblGrid>
        <w:gridCol w:w="4536"/>
        <w:gridCol w:w="1701"/>
        <w:gridCol w:w="1701"/>
        <w:gridCol w:w="1701"/>
      </w:tblGrid>
      <w:tr w:rsidR="00222D72" w14:paraId="5C826738" w14:textId="77777777" w:rsidTr="00574D59">
        <w:trPr>
          <w:cnfStyle w:val="100000000000" w:firstRow="1" w:lastRow="0" w:firstColumn="0" w:lastColumn="0" w:oddVBand="0" w:evenVBand="0" w:oddHBand="0" w:evenHBand="0" w:firstRowFirstColumn="0" w:firstRowLastColumn="0" w:lastRowFirstColumn="0" w:lastRowLastColumn="0"/>
          <w:trHeight w:val="255"/>
          <w:tblHeader/>
        </w:trPr>
        <w:tc>
          <w:tcPr>
            <w:tcW w:w="4536" w:type="dxa"/>
          </w:tcPr>
          <w:p w14:paraId="1A0993D5" w14:textId="77777777" w:rsidR="00222D72" w:rsidRDefault="00222D72" w:rsidP="004C7BEF">
            <w:pPr>
              <w:pStyle w:val="ARtablecolhead"/>
              <w:rPr>
                <w:rFonts w:eastAsia="Arial"/>
                <w:bCs/>
              </w:rPr>
            </w:pPr>
            <w:r w:rsidRPr="47AEECA1">
              <w:rPr>
                <w:rFonts w:eastAsia="Arial"/>
                <w:bCs/>
              </w:rPr>
              <w:t>Description</w:t>
            </w:r>
          </w:p>
        </w:tc>
        <w:tc>
          <w:tcPr>
            <w:tcW w:w="1701" w:type="dxa"/>
          </w:tcPr>
          <w:p w14:paraId="7C7919EF"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2021–22 actual</w:t>
            </w:r>
          </w:p>
        </w:tc>
        <w:tc>
          <w:tcPr>
            <w:tcW w:w="1701" w:type="dxa"/>
          </w:tcPr>
          <w:p w14:paraId="4CE4D192"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2020–21 actual</w:t>
            </w:r>
          </w:p>
        </w:tc>
        <w:tc>
          <w:tcPr>
            <w:tcW w:w="1701" w:type="dxa"/>
          </w:tcPr>
          <w:p w14:paraId="0148AF86"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2019–20 actual</w:t>
            </w:r>
          </w:p>
        </w:tc>
      </w:tr>
      <w:tr w:rsidR="00222D72" w14:paraId="5B17BBFF" w14:textId="77777777" w:rsidTr="00574D59">
        <w:trPr>
          <w:cantSplit w:val="0"/>
          <w:trHeight w:val="255"/>
        </w:trPr>
        <w:tc>
          <w:tcPr>
            <w:tcW w:w="4536" w:type="dxa"/>
          </w:tcPr>
          <w:p w14:paraId="11BEAA63" w14:textId="77777777" w:rsidR="00222D72" w:rsidRDefault="00222D72" w:rsidP="004C7BEF">
            <w:pPr>
              <w:pStyle w:val="ARtabletext"/>
              <w:rPr>
                <w:rFonts w:eastAsia="Arial"/>
              </w:rPr>
            </w:pPr>
            <w:r w:rsidRPr="47AEECA1">
              <w:rPr>
                <w:rFonts w:eastAsia="Arial"/>
              </w:rPr>
              <w:t>Total distance travelled (kilometres)</w:t>
            </w:r>
          </w:p>
        </w:tc>
        <w:tc>
          <w:tcPr>
            <w:tcW w:w="1701" w:type="dxa"/>
          </w:tcPr>
          <w:p w14:paraId="5A9B4B24" w14:textId="77777777" w:rsidR="00222D72" w:rsidRDefault="00222D72" w:rsidP="00100C7A">
            <w:pPr>
              <w:pStyle w:val="ARtabletextright"/>
            </w:pPr>
            <w:r w:rsidRPr="78F033AD">
              <w:t>172,258</w:t>
            </w:r>
          </w:p>
        </w:tc>
        <w:tc>
          <w:tcPr>
            <w:tcW w:w="1701" w:type="dxa"/>
          </w:tcPr>
          <w:p w14:paraId="129E803E" w14:textId="77777777" w:rsidR="00222D72" w:rsidRDefault="00222D72" w:rsidP="00100C7A">
            <w:pPr>
              <w:pStyle w:val="ARtabletextright"/>
            </w:pPr>
            <w:r w:rsidRPr="5E1D3705">
              <w:t>N/A</w:t>
            </w:r>
          </w:p>
        </w:tc>
        <w:tc>
          <w:tcPr>
            <w:tcW w:w="1701" w:type="dxa"/>
          </w:tcPr>
          <w:p w14:paraId="65AA8E08" w14:textId="6AEA3494" w:rsidR="00222D72" w:rsidRDefault="00222D72" w:rsidP="00100C7A">
            <w:pPr>
              <w:pStyle w:val="ARtabletextright"/>
            </w:pPr>
            <w:r w:rsidRPr="5E1D3705">
              <w:t>N/A</w:t>
            </w:r>
          </w:p>
        </w:tc>
      </w:tr>
      <w:tr w:rsidR="00222D72" w14:paraId="7931F74C" w14:textId="77777777" w:rsidTr="00574D59">
        <w:trPr>
          <w:cantSplit w:val="0"/>
          <w:trHeight w:val="255"/>
        </w:trPr>
        <w:tc>
          <w:tcPr>
            <w:tcW w:w="4536" w:type="dxa"/>
          </w:tcPr>
          <w:p w14:paraId="3893FF7A" w14:textId="77777777" w:rsidR="00222D72" w:rsidRDefault="00222D72" w:rsidP="004C7BEF">
            <w:pPr>
              <w:pStyle w:val="ARtabletext"/>
              <w:rPr>
                <w:rFonts w:eastAsia="Arial"/>
              </w:rPr>
            </w:pPr>
            <w:r w:rsidRPr="47AEECA1">
              <w:rPr>
                <w:rFonts w:eastAsia="Arial"/>
              </w:rPr>
              <w:t>Base fare cost ($ million)</w:t>
            </w:r>
          </w:p>
        </w:tc>
        <w:tc>
          <w:tcPr>
            <w:tcW w:w="1701" w:type="dxa"/>
          </w:tcPr>
          <w:p w14:paraId="20BCBCFF" w14:textId="77777777" w:rsidR="00222D72" w:rsidRDefault="00222D72" w:rsidP="00100C7A">
            <w:pPr>
              <w:pStyle w:val="ARtabletextright"/>
            </w:pPr>
            <w:r w:rsidRPr="7F2B2CEE">
              <w:t>$0.07</w:t>
            </w:r>
          </w:p>
        </w:tc>
        <w:tc>
          <w:tcPr>
            <w:tcW w:w="1701" w:type="dxa"/>
          </w:tcPr>
          <w:p w14:paraId="03AB35AB" w14:textId="77777777" w:rsidR="00222D72" w:rsidRDefault="00222D72" w:rsidP="00100C7A">
            <w:pPr>
              <w:pStyle w:val="ARtabletextright"/>
            </w:pPr>
            <w:r w:rsidRPr="47AEECA1">
              <w:t>N/A</w:t>
            </w:r>
          </w:p>
        </w:tc>
        <w:tc>
          <w:tcPr>
            <w:tcW w:w="1701" w:type="dxa"/>
          </w:tcPr>
          <w:p w14:paraId="5A3688FB" w14:textId="35F00814" w:rsidR="00222D72" w:rsidRDefault="00222D72" w:rsidP="00100C7A">
            <w:pPr>
              <w:pStyle w:val="ARtabletextright"/>
            </w:pPr>
            <w:r w:rsidRPr="5E1D3705">
              <w:t>N/A</w:t>
            </w:r>
          </w:p>
        </w:tc>
      </w:tr>
      <w:tr w:rsidR="00222D72" w14:paraId="6DD08352" w14:textId="77777777" w:rsidTr="00574D59">
        <w:trPr>
          <w:cantSplit w:val="0"/>
          <w:trHeight w:val="255"/>
        </w:trPr>
        <w:tc>
          <w:tcPr>
            <w:tcW w:w="4536" w:type="dxa"/>
          </w:tcPr>
          <w:p w14:paraId="0CE910F4" w14:textId="6574AE9A" w:rsidR="00222D72" w:rsidRDefault="00222D72" w:rsidP="004C7BEF">
            <w:pPr>
              <w:pStyle w:val="ARtabletext"/>
              <w:rPr>
                <w:rFonts w:eastAsia="Arial"/>
              </w:rPr>
            </w:pPr>
            <w:r w:rsidRPr="47AEECA1">
              <w:rPr>
                <w:rFonts w:eastAsia="Arial"/>
              </w:rPr>
              <w:t>Greenhouse gas emissions (tonnes of CO</w:t>
            </w:r>
            <w:r w:rsidR="006E2B00" w:rsidRPr="00125EE1">
              <w:rPr>
                <w:rStyle w:val="Subscript"/>
              </w:rPr>
              <w:t>2</w:t>
            </w:r>
            <w:r w:rsidRPr="47AEECA1">
              <w:rPr>
                <w:rFonts w:eastAsia="Arial"/>
              </w:rPr>
              <w:t>-e)</w:t>
            </w:r>
          </w:p>
        </w:tc>
        <w:tc>
          <w:tcPr>
            <w:tcW w:w="1701" w:type="dxa"/>
          </w:tcPr>
          <w:p w14:paraId="643C1B28" w14:textId="77777777" w:rsidR="00222D72" w:rsidRDefault="00222D72" w:rsidP="00100C7A">
            <w:pPr>
              <w:pStyle w:val="ARtabletextright"/>
            </w:pPr>
            <w:r w:rsidRPr="78F033AD">
              <w:t>31</w:t>
            </w:r>
          </w:p>
        </w:tc>
        <w:tc>
          <w:tcPr>
            <w:tcW w:w="1701" w:type="dxa"/>
          </w:tcPr>
          <w:p w14:paraId="70EAC869" w14:textId="3867385E" w:rsidR="00222D72" w:rsidRDefault="00222D72" w:rsidP="00100C7A">
            <w:pPr>
              <w:pStyle w:val="ARtabletextright"/>
            </w:pPr>
            <w:r w:rsidRPr="5E1D3705">
              <w:t>N/A</w:t>
            </w:r>
          </w:p>
        </w:tc>
        <w:tc>
          <w:tcPr>
            <w:tcW w:w="1701" w:type="dxa"/>
          </w:tcPr>
          <w:p w14:paraId="7A176026" w14:textId="5472B9E9" w:rsidR="00222D72" w:rsidRDefault="00222D72" w:rsidP="00100C7A">
            <w:pPr>
              <w:pStyle w:val="ARtabletextright"/>
            </w:pPr>
            <w:r w:rsidRPr="5E1D3705">
              <w:t>N/A</w:t>
            </w:r>
          </w:p>
        </w:tc>
      </w:tr>
    </w:tbl>
    <w:p w14:paraId="07348D62" w14:textId="5FAD659C" w:rsidR="003D5E1A" w:rsidRDefault="00222D72" w:rsidP="004C7BEF">
      <w:pPr>
        <w:pStyle w:val="ARtablefootnote"/>
        <w:rPr>
          <w:rFonts w:eastAsia="Arial" w:cs="Arial"/>
        </w:rPr>
      </w:pPr>
      <w:r>
        <w:t xml:space="preserve">Air travel data for </w:t>
      </w:r>
      <w:r w:rsidR="006C15A9">
        <w:t>2021–22</w:t>
      </w:r>
      <w:r>
        <w:t xml:space="preserve"> </w:t>
      </w:r>
      <w:r w:rsidR="00961673">
        <w:t xml:space="preserve">reflects </w:t>
      </w:r>
      <w:r>
        <w:t>the department</w:t>
      </w:r>
      <w:r w:rsidR="00961673">
        <w:t xml:space="preserve"> only</w:t>
      </w:r>
      <w:r>
        <w:t xml:space="preserve">. Previous years’ data, which reflects the combined DFFH and department data, is available in the </w:t>
      </w:r>
      <w:r w:rsidR="006C15A9">
        <w:t>2020–21</w:t>
      </w:r>
      <w:r>
        <w:t xml:space="preserve"> reports.</w:t>
      </w:r>
    </w:p>
    <w:p w14:paraId="15FA77D3" w14:textId="115F11A4" w:rsidR="00222D72" w:rsidRDefault="00222D72" w:rsidP="004C7BEF">
      <w:pPr>
        <w:pStyle w:val="ARtablefootnote"/>
        <w:rPr>
          <w:rFonts w:eastAsia="Arial" w:cs="Arial"/>
          <w:color w:val="000000" w:themeColor="text1"/>
        </w:rPr>
      </w:pPr>
      <w:r w:rsidRPr="47AEECA1">
        <w:rPr>
          <w:rFonts w:eastAsia="Arial" w:cs="Arial"/>
          <w:color w:val="000000" w:themeColor="text1"/>
        </w:rPr>
        <w:t>Air travel data represents all operational and office-based FTE. Base fare cost excludes GST and is not available for 2020–21.</w:t>
      </w:r>
    </w:p>
    <w:p w14:paraId="44D387BC" w14:textId="77777777" w:rsidR="00222D72" w:rsidRDefault="00222D72" w:rsidP="004C7BEF">
      <w:pPr>
        <w:pStyle w:val="Heading5"/>
        <w:rPr>
          <w:rFonts w:eastAsia="Arial" w:cs="Arial"/>
          <w:bCs/>
          <w:szCs w:val="22"/>
        </w:rPr>
      </w:pPr>
      <w:r w:rsidRPr="47AEECA1">
        <w:rPr>
          <w:rFonts w:eastAsia="Arial" w:cs="Arial"/>
          <w:bCs/>
          <w:szCs w:val="22"/>
        </w:rPr>
        <w:t>Commuter travel</w:t>
      </w:r>
    </w:p>
    <w:tbl>
      <w:tblPr>
        <w:tblStyle w:val="TableGrid"/>
        <w:tblW w:w="9639" w:type="dxa"/>
        <w:tblLayout w:type="fixed"/>
        <w:tblLook w:val="06A0" w:firstRow="1" w:lastRow="0" w:firstColumn="1" w:lastColumn="0" w:noHBand="1" w:noVBand="1"/>
      </w:tblPr>
      <w:tblGrid>
        <w:gridCol w:w="4536"/>
        <w:gridCol w:w="1701"/>
        <w:gridCol w:w="1701"/>
        <w:gridCol w:w="1701"/>
      </w:tblGrid>
      <w:tr w:rsidR="00222D72" w14:paraId="64F49FB7" w14:textId="77777777" w:rsidTr="00574D59">
        <w:trPr>
          <w:cnfStyle w:val="100000000000" w:firstRow="1" w:lastRow="0" w:firstColumn="0" w:lastColumn="0" w:oddVBand="0" w:evenVBand="0" w:oddHBand="0" w:evenHBand="0" w:firstRowFirstColumn="0" w:firstRowLastColumn="0" w:lastRowFirstColumn="0" w:lastRowLastColumn="0"/>
          <w:trHeight w:val="300"/>
          <w:tblHeader/>
        </w:trPr>
        <w:tc>
          <w:tcPr>
            <w:tcW w:w="4536" w:type="dxa"/>
          </w:tcPr>
          <w:p w14:paraId="020B05FA" w14:textId="77777777" w:rsidR="00222D72" w:rsidRDefault="00222D72" w:rsidP="004C7BEF">
            <w:pPr>
              <w:pStyle w:val="ARtablecolhead"/>
              <w:rPr>
                <w:rFonts w:eastAsia="Arial"/>
                <w:bCs/>
              </w:rPr>
            </w:pPr>
            <w:r w:rsidRPr="47AEECA1">
              <w:rPr>
                <w:rFonts w:eastAsia="Arial"/>
                <w:bCs/>
              </w:rPr>
              <w:t>Percentage of employees regularly using sustainable travel (public transport, cycling, walking, car-pooling or working from home) to commute</w:t>
            </w:r>
          </w:p>
        </w:tc>
        <w:tc>
          <w:tcPr>
            <w:tcW w:w="1701" w:type="dxa"/>
          </w:tcPr>
          <w:p w14:paraId="7BF0F0A7"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2021–22 estimate</w:t>
            </w:r>
          </w:p>
        </w:tc>
        <w:tc>
          <w:tcPr>
            <w:tcW w:w="1701" w:type="dxa"/>
          </w:tcPr>
          <w:p w14:paraId="654D36A5"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2020–21 estimate</w:t>
            </w:r>
          </w:p>
        </w:tc>
        <w:tc>
          <w:tcPr>
            <w:tcW w:w="1701" w:type="dxa"/>
          </w:tcPr>
          <w:p w14:paraId="5E365200"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2019–20 estimate</w:t>
            </w:r>
          </w:p>
        </w:tc>
      </w:tr>
      <w:tr w:rsidR="00222D72" w14:paraId="61560710" w14:textId="77777777" w:rsidTr="00574D59">
        <w:trPr>
          <w:cantSplit w:val="0"/>
          <w:trHeight w:val="105"/>
        </w:trPr>
        <w:tc>
          <w:tcPr>
            <w:tcW w:w="4536" w:type="dxa"/>
          </w:tcPr>
          <w:p w14:paraId="17A027E5" w14:textId="77777777" w:rsidR="00222D72" w:rsidRDefault="00222D72" w:rsidP="004C7BEF">
            <w:pPr>
              <w:pStyle w:val="ARtabletext"/>
              <w:rPr>
                <w:rFonts w:eastAsia="Arial"/>
              </w:rPr>
            </w:pPr>
            <w:r w:rsidRPr="47AEECA1">
              <w:rPr>
                <w:rFonts w:eastAsia="Arial"/>
              </w:rPr>
              <w:t>Central business district</w:t>
            </w:r>
          </w:p>
        </w:tc>
        <w:tc>
          <w:tcPr>
            <w:tcW w:w="1701" w:type="dxa"/>
          </w:tcPr>
          <w:p w14:paraId="76272BB1" w14:textId="77777777" w:rsidR="00222D72" w:rsidRPr="00100C7A" w:rsidRDefault="00222D72" w:rsidP="00100C7A">
            <w:pPr>
              <w:pStyle w:val="ARtabletextright"/>
            </w:pPr>
            <w:r w:rsidRPr="00100C7A">
              <w:t>N/A</w:t>
            </w:r>
          </w:p>
        </w:tc>
        <w:tc>
          <w:tcPr>
            <w:tcW w:w="1701" w:type="dxa"/>
          </w:tcPr>
          <w:p w14:paraId="57C42BA5" w14:textId="77777777" w:rsidR="00222D72" w:rsidRPr="00100C7A" w:rsidRDefault="00222D72" w:rsidP="00100C7A">
            <w:pPr>
              <w:pStyle w:val="ARtabletextright"/>
            </w:pPr>
            <w:r w:rsidRPr="00100C7A">
              <w:t>N/A</w:t>
            </w:r>
          </w:p>
        </w:tc>
        <w:tc>
          <w:tcPr>
            <w:tcW w:w="1701" w:type="dxa"/>
          </w:tcPr>
          <w:p w14:paraId="1BCB4D02" w14:textId="77777777" w:rsidR="00222D72" w:rsidRPr="00100C7A" w:rsidRDefault="00222D72" w:rsidP="00100C7A">
            <w:pPr>
              <w:pStyle w:val="ARtabletextright"/>
            </w:pPr>
            <w:r w:rsidRPr="00100C7A">
              <w:t>N/A</w:t>
            </w:r>
          </w:p>
        </w:tc>
      </w:tr>
      <w:tr w:rsidR="00222D72" w14:paraId="043433D7" w14:textId="77777777" w:rsidTr="00574D59">
        <w:trPr>
          <w:cantSplit w:val="0"/>
          <w:trHeight w:val="105"/>
        </w:trPr>
        <w:tc>
          <w:tcPr>
            <w:tcW w:w="4536" w:type="dxa"/>
          </w:tcPr>
          <w:p w14:paraId="3C59D9A3" w14:textId="77777777" w:rsidR="00222D72" w:rsidRDefault="00222D72" w:rsidP="004C7BEF">
            <w:pPr>
              <w:pStyle w:val="ARtabletext"/>
              <w:rPr>
                <w:rFonts w:eastAsia="Arial"/>
              </w:rPr>
            </w:pPr>
            <w:r w:rsidRPr="47AEECA1">
              <w:rPr>
                <w:rFonts w:eastAsia="Arial"/>
              </w:rPr>
              <w:t>Metropolitan</w:t>
            </w:r>
          </w:p>
        </w:tc>
        <w:tc>
          <w:tcPr>
            <w:tcW w:w="1701" w:type="dxa"/>
          </w:tcPr>
          <w:p w14:paraId="5DFF2079" w14:textId="77777777" w:rsidR="00222D72" w:rsidRPr="00100C7A" w:rsidRDefault="00222D72" w:rsidP="00100C7A">
            <w:pPr>
              <w:pStyle w:val="ARtabletextright"/>
            </w:pPr>
            <w:r w:rsidRPr="00100C7A">
              <w:t>N/A</w:t>
            </w:r>
          </w:p>
        </w:tc>
        <w:tc>
          <w:tcPr>
            <w:tcW w:w="1701" w:type="dxa"/>
          </w:tcPr>
          <w:p w14:paraId="1F8DAF21" w14:textId="77777777" w:rsidR="00222D72" w:rsidRPr="00100C7A" w:rsidRDefault="00222D72" w:rsidP="00100C7A">
            <w:pPr>
              <w:pStyle w:val="ARtabletextright"/>
            </w:pPr>
            <w:r w:rsidRPr="00100C7A">
              <w:t>N/A</w:t>
            </w:r>
          </w:p>
        </w:tc>
        <w:tc>
          <w:tcPr>
            <w:tcW w:w="1701" w:type="dxa"/>
          </w:tcPr>
          <w:p w14:paraId="1984516B" w14:textId="77777777" w:rsidR="00222D72" w:rsidRPr="00100C7A" w:rsidRDefault="00222D72" w:rsidP="00100C7A">
            <w:pPr>
              <w:pStyle w:val="ARtabletextright"/>
            </w:pPr>
            <w:r w:rsidRPr="00100C7A">
              <w:t>N/A</w:t>
            </w:r>
          </w:p>
        </w:tc>
      </w:tr>
      <w:tr w:rsidR="00222D72" w14:paraId="5B6E2F4D" w14:textId="77777777" w:rsidTr="00574D59">
        <w:trPr>
          <w:cantSplit w:val="0"/>
          <w:trHeight w:val="105"/>
        </w:trPr>
        <w:tc>
          <w:tcPr>
            <w:tcW w:w="4536" w:type="dxa"/>
          </w:tcPr>
          <w:p w14:paraId="61B57AE6" w14:textId="77777777" w:rsidR="00222D72" w:rsidRDefault="00222D72" w:rsidP="004C7BEF">
            <w:pPr>
              <w:pStyle w:val="ARtabletext"/>
              <w:rPr>
                <w:rFonts w:eastAsia="Arial"/>
              </w:rPr>
            </w:pPr>
            <w:r w:rsidRPr="47AEECA1">
              <w:rPr>
                <w:rFonts w:eastAsia="Arial"/>
              </w:rPr>
              <w:t>Regional/rural</w:t>
            </w:r>
          </w:p>
        </w:tc>
        <w:tc>
          <w:tcPr>
            <w:tcW w:w="1701" w:type="dxa"/>
          </w:tcPr>
          <w:p w14:paraId="0A38A173" w14:textId="77777777" w:rsidR="00222D72" w:rsidRPr="00100C7A" w:rsidRDefault="00222D72" w:rsidP="00100C7A">
            <w:pPr>
              <w:pStyle w:val="ARtabletextright"/>
            </w:pPr>
            <w:r w:rsidRPr="00100C7A">
              <w:t>N/A</w:t>
            </w:r>
          </w:p>
        </w:tc>
        <w:tc>
          <w:tcPr>
            <w:tcW w:w="1701" w:type="dxa"/>
          </w:tcPr>
          <w:p w14:paraId="39966EBA" w14:textId="77777777" w:rsidR="00222D72" w:rsidRPr="00100C7A" w:rsidRDefault="00222D72" w:rsidP="00100C7A">
            <w:pPr>
              <w:pStyle w:val="ARtabletextright"/>
            </w:pPr>
            <w:r w:rsidRPr="00100C7A">
              <w:t>N/A</w:t>
            </w:r>
          </w:p>
        </w:tc>
        <w:tc>
          <w:tcPr>
            <w:tcW w:w="1701" w:type="dxa"/>
          </w:tcPr>
          <w:p w14:paraId="5B22A704" w14:textId="77777777" w:rsidR="00222D72" w:rsidRPr="00100C7A" w:rsidRDefault="00222D72" w:rsidP="00100C7A">
            <w:pPr>
              <w:pStyle w:val="ARtabletextright"/>
            </w:pPr>
            <w:r w:rsidRPr="00100C7A">
              <w:t>N/A</w:t>
            </w:r>
          </w:p>
        </w:tc>
      </w:tr>
      <w:tr w:rsidR="00222D72" w14:paraId="35346834" w14:textId="77777777" w:rsidTr="00574D59">
        <w:trPr>
          <w:cantSplit w:val="0"/>
          <w:trHeight w:val="105"/>
        </w:trPr>
        <w:tc>
          <w:tcPr>
            <w:tcW w:w="4536" w:type="dxa"/>
          </w:tcPr>
          <w:p w14:paraId="2D197790" w14:textId="77777777" w:rsidR="00222D72" w:rsidRDefault="00222D72" w:rsidP="004C7BEF">
            <w:pPr>
              <w:pStyle w:val="ARtabletext"/>
              <w:rPr>
                <w:rFonts w:eastAsia="Arial"/>
              </w:rPr>
            </w:pPr>
            <w:r w:rsidRPr="47AEECA1">
              <w:rPr>
                <w:rFonts w:eastAsia="Arial"/>
                <w:b/>
                <w:bCs/>
              </w:rPr>
              <w:t>Total</w:t>
            </w:r>
          </w:p>
        </w:tc>
        <w:tc>
          <w:tcPr>
            <w:tcW w:w="1701" w:type="dxa"/>
          </w:tcPr>
          <w:p w14:paraId="450C99F1" w14:textId="77777777" w:rsidR="00222D72" w:rsidRPr="50DB9F40" w:rsidRDefault="00222D72" w:rsidP="004C7BEF">
            <w:pPr>
              <w:pStyle w:val="ARtabletextrightbold"/>
              <w:rPr>
                <w:rFonts w:eastAsia="Arial"/>
              </w:rPr>
            </w:pPr>
            <w:r w:rsidRPr="50DB9F40">
              <w:rPr>
                <w:rFonts w:eastAsia="Arial"/>
              </w:rPr>
              <w:t>N/A</w:t>
            </w:r>
          </w:p>
        </w:tc>
        <w:tc>
          <w:tcPr>
            <w:tcW w:w="1701" w:type="dxa"/>
          </w:tcPr>
          <w:p w14:paraId="0F7A8919" w14:textId="77777777" w:rsidR="00222D72" w:rsidRDefault="00222D72" w:rsidP="004C7BEF">
            <w:pPr>
              <w:pStyle w:val="ARtabletextrightbold"/>
              <w:rPr>
                <w:rFonts w:eastAsia="Arial"/>
                <w:bCs/>
              </w:rPr>
            </w:pPr>
            <w:r w:rsidRPr="47AEECA1">
              <w:rPr>
                <w:rFonts w:eastAsia="Arial"/>
                <w:bCs/>
              </w:rPr>
              <w:t>N/A</w:t>
            </w:r>
          </w:p>
        </w:tc>
        <w:tc>
          <w:tcPr>
            <w:tcW w:w="1701" w:type="dxa"/>
          </w:tcPr>
          <w:p w14:paraId="6AEA2FB0" w14:textId="77777777" w:rsidR="00222D72" w:rsidRDefault="00222D72" w:rsidP="004C7BEF">
            <w:pPr>
              <w:pStyle w:val="ARtabletextrightbold"/>
              <w:rPr>
                <w:rFonts w:eastAsia="Arial"/>
                <w:bCs/>
              </w:rPr>
            </w:pPr>
            <w:r w:rsidRPr="47AEECA1">
              <w:rPr>
                <w:rFonts w:eastAsia="Arial"/>
                <w:bCs/>
              </w:rPr>
              <w:t>N/A</w:t>
            </w:r>
          </w:p>
        </w:tc>
      </w:tr>
    </w:tbl>
    <w:p w14:paraId="368E50B5" w14:textId="77777777" w:rsidR="00222D72" w:rsidRPr="00751310" w:rsidRDefault="00222D72" w:rsidP="004C7BEF">
      <w:pPr>
        <w:pStyle w:val="ARtablefootnote"/>
        <w:rPr>
          <w:rFonts w:eastAsia="Arial" w:cs="Arial"/>
          <w:color w:val="000000" w:themeColor="text1"/>
        </w:rPr>
      </w:pPr>
      <w:r w:rsidRPr="00751310">
        <w:rPr>
          <w:rFonts w:eastAsia="Arial" w:cs="Arial"/>
          <w:color w:val="000000" w:themeColor="text1"/>
        </w:rPr>
        <w:t xml:space="preserve">Sustainable transport data is obtained from the department’s annual staff travel survey. Due to </w:t>
      </w:r>
      <w:r w:rsidRPr="009C6D78">
        <w:rPr>
          <w:rFonts w:eastAsia="Arial" w:cs="Arial"/>
          <w:color w:val="000000" w:themeColor="text1"/>
        </w:rPr>
        <w:t>the impact of</w:t>
      </w:r>
      <w:r w:rsidRPr="00751310">
        <w:rPr>
          <w:rFonts w:eastAsia="Arial" w:cs="Arial"/>
          <w:color w:val="000000" w:themeColor="text1"/>
        </w:rPr>
        <w:t xml:space="preserve"> COVID-19, no survey was undertaken in the last three financial years. Previous results exclude responses from surveyed staff who were on leave or did not travel to work during the survey period.</w:t>
      </w:r>
    </w:p>
    <w:p w14:paraId="0CBB03FA" w14:textId="77777777" w:rsidR="00222D72" w:rsidRDefault="00222D72" w:rsidP="004C7BEF">
      <w:pPr>
        <w:pStyle w:val="Heading4"/>
        <w:rPr>
          <w:rFonts w:eastAsia="Arial"/>
        </w:rPr>
      </w:pPr>
      <w:r w:rsidRPr="47AEECA1">
        <w:rPr>
          <w:rFonts w:eastAsia="Arial"/>
        </w:rPr>
        <w:t>Procurement and paper</w:t>
      </w:r>
    </w:p>
    <w:p w14:paraId="7D944796" w14:textId="5C46A566" w:rsidR="00222D72" w:rsidRDefault="00222D72" w:rsidP="008B5BD3">
      <w:pPr>
        <w:pStyle w:val="Heading5"/>
        <w:spacing w:before="120"/>
        <w:rPr>
          <w:rFonts w:eastAsia="Arial" w:cs="Arial"/>
          <w:bCs/>
          <w:szCs w:val="22"/>
        </w:rPr>
      </w:pPr>
      <w:r w:rsidRPr="47AEECA1">
        <w:rPr>
          <w:rFonts w:eastAsia="Arial" w:cs="Arial"/>
          <w:bCs/>
          <w:szCs w:val="22"/>
        </w:rPr>
        <w:t xml:space="preserve">Procurement of office products and stationery with environmental considerations </w:t>
      </w:r>
      <w:r w:rsidR="00371F75">
        <w:rPr>
          <w:rFonts w:eastAsia="Arial" w:cs="Arial"/>
          <w:bCs/>
          <w:szCs w:val="22"/>
        </w:rPr>
        <w:t>within</w:t>
      </w:r>
      <w:r w:rsidR="00A00835">
        <w:rPr>
          <w:rFonts w:eastAsia="Arial" w:cs="Arial"/>
          <w:bCs/>
          <w:szCs w:val="22"/>
        </w:rPr>
        <w:t xml:space="preserve"> </w:t>
      </w:r>
      <w:r w:rsidRPr="47AEECA1">
        <w:rPr>
          <w:rFonts w:eastAsia="Arial" w:cs="Arial"/>
          <w:bCs/>
          <w:szCs w:val="22"/>
        </w:rPr>
        <w:t>departmental operations</w:t>
      </w:r>
    </w:p>
    <w:tbl>
      <w:tblPr>
        <w:tblStyle w:val="TableGrid"/>
        <w:tblW w:w="9639" w:type="dxa"/>
        <w:tblLayout w:type="fixed"/>
        <w:tblLook w:val="06A0" w:firstRow="1" w:lastRow="0" w:firstColumn="1" w:lastColumn="0" w:noHBand="1" w:noVBand="1"/>
      </w:tblPr>
      <w:tblGrid>
        <w:gridCol w:w="4536"/>
        <w:gridCol w:w="1701"/>
        <w:gridCol w:w="1701"/>
        <w:gridCol w:w="1701"/>
      </w:tblGrid>
      <w:tr w:rsidR="00222D72" w14:paraId="6EC62C81" w14:textId="77777777" w:rsidTr="00834079">
        <w:trPr>
          <w:cnfStyle w:val="100000000000" w:firstRow="1" w:lastRow="0" w:firstColumn="0" w:lastColumn="0" w:oddVBand="0" w:evenVBand="0" w:oddHBand="0" w:evenHBand="0" w:firstRowFirstColumn="0" w:firstRowLastColumn="0" w:lastRowFirstColumn="0" w:lastRowLastColumn="0"/>
          <w:tblHeader/>
        </w:trPr>
        <w:tc>
          <w:tcPr>
            <w:tcW w:w="4536" w:type="dxa"/>
          </w:tcPr>
          <w:p w14:paraId="3C8B476B" w14:textId="23BE48C9" w:rsidR="00222D72" w:rsidRDefault="00222D72" w:rsidP="004C7BEF">
            <w:pPr>
              <w:pStyle w:val="ARtablecolhead"/>
              <w:rPr>
                <w:rFonts w:eastAsia="Arial"/>
                <w:bCs/>
              </w:rPr>
            </w:pPr>
            <w:r w:rsidRPr="47AEECA1">
              <w:rPr>
                <w:rFonts w:eastAsia="Arial"/>
                <w:bCs/>
              </w:rPr>
              <w:t>Percentage of expenditure incorporating environmental</w:t>
            </w:r>
            <w:r w:rsidR="00834079">
              <w:rPr>
                <w:rFonts w:eastAsia="Arial"/>
                <w:bCs/>
              </w:rPr>
              <w:t> </w:t>
            </w:r>
            <w:r w:rsidRPr="47AEECA1">
              <w:rPr>
                <w:rFonts w:eastAsia="Arial"/>
                <w:bCs/>
              </w:rPr>
              <w:t>considerations</w:t>
            </w:r>
          </w:p>
        </w:tc>
        <w:tc>
          <w:tcPr>
            <w:tcW w:w="1701" w:type="dxa"/>
          </w:tcPr>
          <w:p w14:paraId="463FAC5D"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2021–22 actual</w:t>
            </w:r>
          </w:p>
        </w:tc>
        <w:tc>
          <w:tcPr>
            <w:tcW w:w="1701" w:type="dxa"/>
          </w:tcPr>
          <w:p w14:paraId="13C4331F"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2020–21 actual</w:t>
            </w:r>
          </w:p>
        </w:tc>
        <w:tc>
          <w:tcPr>
            <w:tcW w:w="1701" w:type="dxa"/>
          </w:tcPr>
          <w:p w14:paraId="68E9DCBD"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2019–20 actual</w:t>
            </w:r>
          </w:p>
        </w:tc>
      </w:tr>
      <w:tr w:rsidR="00222D72" w14:paraId="11B2BBBB" w14:textId="77777777" w:rsidTr="00834079">
        <w:trPr>
          <w:cantSplit w:val="0"/>
        </w:trPr>
        <w:tc>
          <w:tcPr>
            <w:tcW w:w="4536" w:type="dxa"/>
          </w:tcPr>
          <w:p w14:paraId="43A635A4" w14:textId="77777777" w:rsidR="00222D72" w:rsidRDefault="00222D72" w:rsidP="004C7BEF">
            <w:pPr>
              <w:pStyle w:val="ARtabletext"/>
              <w:rPr>
                <w:rFonts w:eastAsia="Arial"/>
              </w:rPr>
            </w:pPr>
            <w:r w:rsidRPr="47AEECA1">
              <w:rPr>
                <w:rFonts w:eastAsia="Arial"/>
              </w:rPr>
              <w:t>Furniture</w:t>
            </w:r>
          </w:p>
        </w:tc>
        <w:tc>
          <w:tcPr>
            <w:tcW w:w="1701" w:type="dxa"/>
          </w:tcPr>
          <w:p w14:paraId="5A64BA41" w14:textId="77777777" w:rsidR="00222D72" w:rsidRDefault="00222D72" w:rsidP="00100C7A">
            <w:pPr>
              <w:pStyle w:val="ARtabletextright"/>
              <w:rPr>
                <w:color w:val="87189D" w:themeColor="accent1"/>
              </w:rPr>
            </w:pPr>
            <w:r w:rsidRPr="4E7E9537">
              <w:t>1%</w:t>
            </w:r>
          </w:p>
        </w:tc>
        <w:tc>
          <w:tcPr>
            <w:tcW w:w="1701" w:type="dxa"/>
          </w:tcPr>
          <w:p w14:paraId="654A3C1C" w14:textId="77777777" w:rsidR="00222D72" w:rsidRDefault="00222D72" w:rsidP="00100C7A">
            <w:pPr>
              <w:pStyle w:val="ARtabletextright"/>
            </w:pPr>
            <w:r w:rsidRPr="47AEECA1">
              <w:t>43%</w:t>
            </w:r>
          </w:p>
        </w:tc>
        <w:tc>
          <w:tcPr>
            <w:tcW w:w="1701" w:type="dxa"/>
          </w:tcPr>
          <w:p w14:paraId="6BF0D89C" w14:textId="77777777" w:rsidR="00222D72" w:rsidRDefault="00222D72" w:rsidP="00100C7A">
            <w:pPr>
              <w:pStyle w:val="ARtabletextright"/>
            </w:pPr>
            <w:r w:rsidRPr="47AEECA1">
              <w:t>38%</w:t>
            </w:r>
          </w:p>
        </w:tc>
      </w:tr>
      <w:tr w:rsidR="00222D72" w14:paraId="5C0F91C6" w14:textId="77777777" w:rsidTr="00834079">
        <w:trPr>
          <w:cantSplit w:val="0"/>
        </w:trPr>
        <w:tc>
          <w:tcPr>
            <w:tcW w:w="4536" w:type="dxa"/>
          </w:tcPr>
          <w:p w14:paraId="10D8AD5C" w14:textId="77777777" w:rsidR="00222D72" w:rsidRDefault="00222D72" w:rsidP="004C7BEF">
            <w:pPr>
              <w:pStyle w:val="ARtabletext"/>
              <w:rPr>
                <w:rFonts w:eastAsia="Arial"/>
              </w:rPr>
            </w:pPr>
            <w:r w:rsidRPr="47AEECA1">
              <w:rPr>
                <w:rFonts w:eastAsia="Arial"/>
              </w:rPr>
              <w:t>Kitchen</w:t>
            </w:r>
          </w:p>
        </w:tc>
        <w:tc>
          <w:tcPr>
            <w:tcW w:w="1701" w:type="dxa"/>
          </w:tcPr>
          <w:p w14:paraId="637F4D47" w14:textId="77777777" w:rsidR="00222D72" w:rsidRDefault="00222D72" w:rsidP="00100C7A">
            <w:pPr>
              <w:pStyle w:val="ARtabletextright"/>
              <w:rPr>
                <w:color w:val="87189D" w:themeColor="accent1"/>
              </w:rPr>
            </w:pPr>
            <w:r w:rsidRPr="4E7E9537">
              <w:t>24%</w:t>
            </w:r>
          </w:p>
        </w:tc>
        <w:tc>
          <w:tcPr>
            <w:tcW w:w="1701" w:type="dxa"/>
          </w:tcPr>
          <w:p w14:paraId="25C4991A" w14:textId="77777777" w:rsidR="00222D72" w:rsidRDefault="00222D72" w:rsidP="00100C7A">
            <w:pPr>
              <w:pStyle w:val="ARtabletextright"/>
            </w:pPr>
            <w:r w:rsidRPr="47AEECA1">
              <w:t>13%</w:t>
            </w:r>
          </w:p>
        </w:tc>
        <w:tc>
          <w:tcPr>
            <w:tcW w:w="1701" w:type="dxa"/>
          </w:tcPr>
          <w:p w14:paraId="02323B0A" w14:textId="77777777" w:rsidR="00222D72" w:rsidRDefault="00222D72" w:rsidP="00100C7A">
            <w:pPr>
              <w:pStyle w:val="ARtabletextright"/>
            </w:pPr>
            <w:r w:rsidRPr="47AEECA1">
              <w:t>20%</w:t>
            </w:r>
          </w:p>
        </w:tc>
      </w:tr>
      <w:tr w:rsidR="00222D72" w14:paraId="2B58CD93" w14:textId="77777777" w:rsidTr="00834079">
        <w:trPr>
          <w:cantSplit w:val="0"/>
        </w:trPr>
        <w:tc>
          <w:tcPr>
            <w:tcW w:w="4536" w:type="dxa"/>
          </w:tcPr>
          <w:p w14:paraId="5C583A0A" w14:textId="77777777" w:rsidR="00222D72" w:rsidRDefault="00222D72" w:rsidP="004C7BEF">
            <w:pPr>
              <w:pStyle w:val="ARtabletext"/>
              <w:rPr>
                <w:rFonts w:eastAsia="Arial"/>
              </w:rPr>
            </w:pPr>
            <w:r w:rsidRPr="47AEECA1">
              <w:rPr>
                <w:rFonts w:eastAsia="Arial"/>
              </w:rPr>
              <w:t>Facilities solutions</w:t>
            </w:r>
          </w:p>
        </w:tc>
        <w:tc>
          <w:tcPr>
            <w:tcW w:w="1701" w:type="dxa"/>
          </w:tcPr>
          <w:p w14:paraId="3FB76BB2" w14:textId="77777777" w:rsidR="00222D72" w:rsidRDefault="00222D72" w:rsidP="00100C7A">
            <w:pPr>
              <w:pStyle w:val="ARtabletextright"/>
              <w:rPr>
                <w:color w:val="87189D" w:themeColor="accent1"/>
              </w:rPr>
            </w:pPr>
            <w:r w:rsidRPr="4E7E9537">
              <w:t>21%</w:t>
            </w:r>
          </w:p>
        </w:tc>
        <w:tc>
          <w:tcPr>
            <w:tcW w:w="1701" w:type="dxa"/>
          </w:tcPr>
          <w:p w14:paraId="7AAB723D" w14:textId="77777777" w:rsidR="00222D72" w:rsidRDefault="00222D72" w:rsidP="00100C7A">
            <w:pPr>
              <w:pStyle w:val="ARtabletextright"/>
            </w:pPr>
            <w:r w:rsidRPr="47AEECA1">
              <w:t>10%</w:t>
            </w:r>
          </w:p>
        </w:tc>
        <w:tc>
          <w:tcPr>
            <w:tcW w:w="1701" w:type="dxa"/>
          </w:tcPr>
          <w:p w14:paraId="1E4A818D" w14:textId="77777777" w:rsidR="00222D72" w:rsidRDefault="00222D72" w:rsidP="00100C7A">
            <w:pPr>
              <w:pStyle w:val="ARtabletextright"/>
            </w:pPr>
            <w:r w:rsidRPr="47AEECA1">
              <w:t>10%</w:t>
            </w:r>
          </w:p>
        </w:tc>
      </w:tr>
      <w:tr w:rsidR="00222D72" w14:paraId="103B24EB" w14:textId="77777777" w:rsidTr="00834079">
        <w:trPr>
          <w:cantSplit w:val="0"/>
        </w:trPr>
        <w:tc>
          <w:tcPr>
            <w:tcW w:w="4536" w:type="dxa"/>
          </w:tcPr>
          <w:p w14:paraId="08D34198" w14:textId="77777777" w:rsidR="00222D72" w:rsidRDefault="00222D72" w:rsidP="004C7BEF">
            <w:pPr>
              <w:pStyle w:val="ARtabletext"/>
              <w:rPr>
                <w:rFonts w:eastAsia="Arial"/>
              </w:rPr>
            </w:pPr>
            <w:r w:rsidRPr="47AEECA1">
              <w:rPr>
                <w:rFonts w:eastAsia="Arial"/>
              </w:rPr>
              <w:t>Office products</w:t>
            </w:r>
          </w:p>
        </w:tc>
        <w:tc>
          <w:tcPr>
            <w:tcW w:w="1701" w:type="dxa"/>
          </w:tcPr>
          <w:p w14:paraId="2B8818BF" w14:textId="77777777" w:rsidR="00222D72" w:rsidRDefault="00222D72" w:rsidP="00100C7A">
            <w:pPr>
              <w:pStyle w:val="ARtabletextright"/>
              <w:rPr>
                <w:color w:val="87189D" w:themeColor="accent1"/>
              </w:rPr>
            </w:pPr>
            <w:r w:rsidRPr="4E7E9537">
              <w:t>24%</w:t>
            </w:r>
          </w:p>
        </w:tc>
        <w:tc>
          <w:tcPr>
            <w:tcW w:w="1701" w:type="dxa"/>
          </w:tcPr>
          <w:p w14:paraId="1F2A1787" w14:textId="77777777" w:rsidR="00222D72" w:rsidRDefault="00222D72" w:rsidP="00100C7A">
            <w:pPr>
              <w:pStyle w:val="ARtabletextright"/>
            </w:pPr>
            <w:r w:rsidRPr="47AEECA1">
              <w:t>23%</w:t>
            </w:r>
          </w:p>
        </w:tc>
        <w:tc>
          <w:tcPr>
            <w:tcW w:w="1701" w:type="dxa"/>
          </w:tcPr>
          <w:p w14:paraId="2CD55C1A" w14:textId="77777777" w:rsidR="00222D72" w:rsidRDefault="00222D72" w:rsidP="00100C7A">
            <w:pPr>
              <w:pStyle w:val="ARtabletextright"/>
            </w:pPr>
            <w:r w:rsidRPr="47AEECA1">
              <w:t>11%</w:t>
            </w:r>
          </w:p>
        </w:tc>
      </w:tr>
      <w:tr w:rsidR="00222D72" w14:paraId="42966C8A" w14:textId="77777777" w:rsidTr="00834079">
        <w:trPr>
          <w:cantSplit w:val="0"/>
        </w:trPr>
        <w:tc>
          <w:tcPr>
            <w:tcW w:w="4536" w:type="dxa"/>
          </w:tcPr>
          <w:p w14:paraId="48040C2F" w14:textId="77777777" w:rsidR="00222D72" w:rsidRDefault="00222D72" w:rsidP="004C7BEF">
            <w:pPr>
              <w:pStyle w:val="ARtabletext"/>
              <w:rPr>
                <w:rFonts w:eastAsia="Arial"/>
              </w:rPr>
            </w:pPr>
            <w:r w:rsidRPr="47AEECA1">
              <w:rPr>
                <w:rFonts w:eastAsia="Arial"/>
                <w:b/>
                <w:bCs/>
              </w:rPr>
              <w:t>Total expenditure</w:t>
            </w:r>
          </w:p>
        </w:tc>
        <w:tc>
          <w:tcPr>
            <w:tcW w:w="1701" w:type="dxa"/>
          </w:tcPr>
          <w:p w14:paraId="5E54457B" w14:textId="77777777" w:rsidR="00222D72" w:rsidRDefault="00222D72" w:rsidP="009E7701">
            <w:pPr>
              <w:pStyle w:val="ARtabletextrightbold"/>
              <w:rPr>
                <w:color w:val="87189D" w:themeColor="accent1"/>
              </w:rPr>
            </w:pPr>
            <w:r w:rsidRPr="4E7E9537">
              <w:t>12%</w:t>
            </w:r>
          </w:p>
        </w:tc>
        <w:tc>
          <w:tcPr>
            <w:tcW w:w="1701" w:type="dxa"/>
          </w:tcPr>
          <w:p w14:paraId="61FA7ACA" w14:textId="77777777" w:rsidR="00222D72" w:rsidRDefault="00222D72" w:rsidP="009E7701">
            <w:pPr>
              <w:pStyle w:val="ARtabletextrightbold"/>
            </w:pPr>
            <w:r w:rsidRPr="47AEECA1">
              <w:t>25%</w:t>
            </w:r>
          </w:p>
        </w:tc>
        <w:tc>
          <w:tcPr>
            <w:tcW w:w="1701" w:type="dxa"/>
          </w:tcPr>
          <w:p w14:paraId="614581EE" w14:textId="77777777" w:rsidR="00222D72" w:rsidRDefault="00222D72" w:rsidP="009E7701">
            <w:pPr>
              <w:pStyle w:val="ARtabletextrightbold"/>
            </w:pPr>
            <w:r w:rsidRPr="47AEECA1">
              <w:t>16%</w:t>
            </w:r>
          </w:p>
        </w:tc>
      </w:tr>
    </w:tbl>
    <w:p w14:paraId="1FCEC53F" w14:textId="4C625D02" w:rsidR="00222D72" w:rsidRDefault="00222D72" w:rsidP="004C7BEF">
      <w:pPr>
        <w:pStyle w:val="ARtablefootnote"/>
        <w:rPr>
          <w:rFonts w:eastAsia="Arial" w:cs="Arial"/>
          <w:color w:val="000000" w:themeColor="text1"/>
        </w:rPr>
      </w:pPr>
      <w:r w:rsidRPr="47AEECA1">
        <w:rPr>
          <w:rFonts w:eastAsia="Arial" w:cs="Arial"/>
          <w:color w:val="000000" w:themeColor="text1"/>
        </w:rPr>
        <w:t>Office products and stationery data is obtained from the department</w:t>
      </w:r>
      <w:r w:rsidR="00897D36">
        <w:rPr>
          <w:rFonts w:eastAsia="Arial" w:cs="Arial"/>
          <w:color w:val="000000" w:themeColor="text1"/>
        </w:rPr>
        <w:t>’</w:t>
      </w:r>
      <w:r w:rsidRPr="47AEECA1">
        <w:rPr>
          <w:rFonts w:eastAsia="Arial" w:cs="Arial"/>
          <w:color w:val="000000" w:themeColor="text1"/>
        </w:rPr>
        <w:t xml:space="preserve">s state purchase contract. Environmental consideration is based on the supplier’s </w:t>
      </w:r>
      <w:r w:rsidR="00897D36">
        <w:rPr>
          <w:rFonts w:eastAsia="Arial" w:cs="Arial"/>
          <w:color w:val="000000" w:themeColor="text1"/>
        </w:rPr>
        <w:t>‘p</w:t>
      </w:r>
      <w:r w:rsidRPr="47AEECA1">
        <w:rPr>
          <w:rFonts w:eastAsia="Arial" w:cs="Arial"/>
          <w:color w:val="000000" w:themeColor="text1"/>
        </w:rPr>
        <w:t xml:space="preserve">lanet </w:t>
      </w:r>
      <w:r w:rsidR="00897D36">
        <w:rPr>
          <w:rFonts w:eastAsia="Arial" w:cs="Arial"/>
          <w:color w:val="000000" w:themeColor="text1"/>
        </w:rPr>
        <w:t>f</w:t>
      </w:r>
      <w:r w:rsidRPr="47AEECA1">
        <w:rPr>
          <w:rFonts w:eastAsia="Arial" w:cs="Arial"/>
          <w:color w:val="000000" w:themeColor="text1"/>
        </w:rPr>
        <w:t>riendly category</w:t>
      </w:r>
      <w:r w:rsidR="00897D36">
        <w:rPr>
          <w:rFonts w:eastAsia="Arial" w:cs="Arial"/>
          <w:color w:val="000000" w:themeColor="text1"/>
        </w:rPr>
        <w:t>’</w:t>
      </w:r>
      <w:r w:rsidRPr="47AEECA1">
        <w:rPr>
          <w:rFonts w:eastAsia="Arial" w:cs="Arial"/>
          <w:color w:val="000000" w:themeColor="text1"/>
        </w:rPr>
        <w:t xml:space="preserve"> criteria for procured products.</w:t>
      </w:r>
    </w:p>
    <w:p w14:paraId="5A71D6EE" w14:textId="77777777" w:rsidR="00222D72" w:rsidRDefault="00222D72" w:rsidP="004C7BEF">
      <w:pPr>
        <w:pStyle w:val="ARtablefootnote"/>
        <w:rPr>
          <w:rFonts w:eastAsia="Arial" w:cs="Arial"/>
          <w:color w:val="000000" w:themeColor="text1"/>
        </w:rPr>
      </w:pPr>
      <w:r w:rsidRPr="47AEECA1">
        <w:rPr>
          <w:rFonts w:eastAsia="Arial" w:cs="Arial"/>
          <w:color w:val="000000" w:themeColor="text1"/>
        </w:rPr>
        <w:t>Results include expenditure on office furniture, coffee and catering supplies, janitorial products, packaging, workplace safety supplies, educational supplies, computer hardware, office technology products, computer consumables, general office products, office filing and storage, office machines and electronics, and writing instruments.</w:t>
      </w:r>
    </w:p>
    <w:p w14:paraId="5C56260E" w14:textId="77777777" w:rsidR="009E243D" w:rsidRPr="009E243D" w:rsidRDefault="009E243D" w:rsidP="009E243D">
      <w:pPr>
        <w:pStyle w:val="ARbody"/>
      </w:pPr>
      <w:r w:rsidRPr="009E243D">
        <w:br w:type="page"/>
      </w:r>
    </w:p>
    <w:p w14:paraId="5C4F4885" w14:textId="4841CE9F" w:rsidR="00222D72" w:rsidRDefault="00222D72" w:rsidP="004C7BEF">
      <w:pPr>
        <w:pStyle w:val="Heading5"/>
        <w:rPr>
          <w:rFonts w:eastAsia="Arial" w:cs="Arial"/>
          <w:bCs/>
          <w:szCs w:val="22"/>
        </w:rPr>
      </w:pPr>
      <w:r w:rsidRPr="47AEECA1">
        <w:rPr>
          <w:rFonts w:eastAsia="Arial" w:cs="Arial"/>
          <w:bCs/>
          <w:szCs w:val="22"/>
        </w:rPr>
        <w:t xml:space="preserve">Paper use </w:t>
      </w:r>
      <w:r w:rsidR="00371F75">
        <w:rPr>
          <w:rFonts w:eastAsia="Arial" w:cs="Arial"/>
          <w:bCs/>
          <w:szCs w:val="22"/>
        </w:rPr>
        <w:t>within</w:t>
      </w:r>
      <w:r w:rsidR="00982B18">
        <w:rPr>
          <w:rFonts w:eastAsia="Arial" w:cs="Arial"/>
          <w:bCs/>
          <w:szCs w:val="22"/>
        </w:rPr>
        <w:t xml:space="preserve"> </w:t>
      </w:r>
      <w:r w:rsidRPr="47AEECA1">
        <w:rPr>
          <w:rFonts w:eastAsia="Arial" w:cs="Arial"/>
          <w:bCs/>
          <w:szCs w:val="22"/>
        </w:rPr>
        <w:t>departmental operations</w:t>
      </w:r>
    </w:p>
    <w:tbl>
      <w:tblPr>
        <w:tblStyle w:val="TableGrid"/>
        <w:tblW w:w="9639" w:type="dxa"/>
        <w:tblLayout w:type="fixed"/>
        <w:tblLook w:val="06A0" w:firstRow="1" w:lastRow="0" w:firstColumn="1" w:lastColumn="0" w:noHBand="1" w:noVBand="1"/>
      </w:tblPr>
      <w:tblGrid>
        <w:gridCol w:w="4536"/>
        <w:gridCol w:w="1701"/>
        <w:gridCol w:w="1701"/>
        <w:gridCol w:w="1701"/>
      </w:tblGrid>
      <w:tr w:rsidR="00222D72" w14:paraId="1DEA9387" w14:textId="77777777" w:rsidTr="00D132D7">
        <w:trPr>
          <w:cnfStyle w:val="100000000000" w:firstRow="1" w:lastRow="0" w:firstColumn="0" w:lastColumn="0" w:oddVBand="0" w:evenVBand="0" w:oddHBand="0" w:evenHBand="0" w:firstRowFirstColumn="0" w:firstRowLastColumn="0" w:lastRowFirstColumn="0" w:lastRowLastColumn="0"/>
        </w:trPr>
        <w:tc>
          <w:tcPr>
            <w:tcW w:w="4536" w:type="dxa"/>
          </w:tcPr>
          <w:p w14:paraId="689DEAE9" w14:textId="77777777" w:rsidR="00222D72" w:rsidRDefault="00222D72" w:rsidP="004C7BEF">
            <w:pPr>
              <w:pStyle w:val="ARtablecolhead"/>
              <w:spacing w:line="240" w:lineRule="auto"/>
              <w:rPr>
                <w:rFonts w:eastAsia="Arial"/>
                <w:bCs/>
              </w:rPr>
            </w:pPr>
            <w:r w:rsidRPr="47AEECA1">
              <w:rPr>
                <w:rFonts w:eastAsia="Arial"/>
                <w:bCs/>
              </w:rPr>
              <w:t>Description</w:t>
            </w:r>
          </w:p>
        </w:tc>
        <w:tc>
          <w:tcPr>
            <w:tcW w:w="1701" w:type="dxa"/>
          </w:tcPr>
          <w:p w14:paraId="0D49C942"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2021–22 actual</w:t>
            </w:r>
          </w:p>
        </w:tc>
        <w:tc>
          <w:tcPr>
            <w:tcW w:w="1701" w:type="dxa"/>
          </w:tcPr>
          <w:p w14:paraId="62BAAFEF"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2020–21 actual</w:t>
            </w:r>
          </w:p>
        </w:tc>
        <w:tc>
          <w:tcPr>
            <w:tcW w:w="1701" w:type="dxa"/>
          </w:tcPr>
          <w:p w14:paraId="2EFC3E30"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2019–20 actual</w:t>
            </w:r>
          </w:p>
        </w:tc>
      </w:tr>
      <w:tr w:rsidR="00222D72" w14:paraId="13726EEE" w14:textId="77777777" w:rsidTr="00D132D7">
        <w:trPr>
          <w:cantSplit w:val="0"/>
        </w:trPr>
        <w:tc>
          <w:tcPr>
            <w:tcW w:w="4536" w:type="dxa"/>
          </w:tcPr>
          <w:p w14:paraId="4B2A5E96" w14:textId="77777777" w:rsidR="00222D72" w:rsidRDefault="00222D72" w:rsidP="004C7BEF">
            <w:pPr>
              <w:pStyle w:val="ARtabletext"/>
              <w:rPr>
                <w:rFonts w:eastAsia="Arial"/>
              </w:rPr>
            </w:pPr>
            <w:r w:rsidRPr="47AEECA1">
              <w:rPr>
                <w:rFonts w:eastAsia="Arial"/>
              </w:rPr>
              <w:t>Total units of paper used – A4 equivalent (reams)</w:t>
            </w:r>
          </w:p>
        </w:tc>
        <w:tc>
          <w:tcPr>
            <w:tcW w:w="1701" w:type="dxa"/>
          </w:tcPr>
          <w:p w14:paraId="337B7157" w14:textId="77777777" w:rsidR="00222D72" w:rsidRDefault="00222D72" w:rsidP="00100C7A">
            <w:pPr>
              <w:pStyle w:val="ARtabletextright"/>
            </w:pPr>
            <w:r w:rsidRPr="7DCBBAC7">
              <w:t>2465</w:t>
            </w:r>
          </w:p>
        </w:tc>
        <w:tc>
          <w:tcPr>
            <w:tcW w:w="1701" w:type="dxa"/>
          </w:tcPr>
          <w:p w14:paraId="21B7F012" w14:textId="77777777" w:rsidR="00222D72" w:rsidRDefault="00222D72" w:rsidP="00100C7A">
            <w:pPr>
              <w:pStyle w:val="ARtabletextright"/>
            </w:pPr>
            <w:r w:rsidRPr="5E1D3705">
              <w:t>N/A</w:t>
            </w:r>
          </w:p>
        </w:tc>
        <w:tc>
          <w:tcPr>
            <w:tcW w:w="1701" w:type="dxa"/>
          </w:tcPr>
          <w:p w14:paraId="2881B7BC" w14:textId="77777777" w:rsidR="00222D72" w:rsidRDefault="00222D72" w:rsidP="00100C7A">
            <w:pPr>
              <w:pStyle w:val="ARtabletextright"/>
            </w:pPr>
            <w:r w:rsidRPr="5E1D3705">
              <w:t>N/A</w:t>
            </w:r>
          </w:p>
        </w:tc>
      </w:tr>
      <w:tr w:rsidR="00222D72" w14:paraId="64EE9403" w14:textId="77777777" w:rsidTr="00D132D7">
        <w:trPr>
          <w:cantSplit w:val="0"/>
        </w:trPr>
        <w:tc>
          <w:tcPr>
            <w:tcW w:w="4536" w:type="dxa"/>
          </w:tcPr>
          <w:p w14:paraId="28166CD1" w14:textId="77777777" w:rsidR="00222D72" w:rsidRDefault="00222D72" w:rsidP="004C7BEF">
            <w:pPr>
              <w:pStyle w:val="ARtabletext"/>
              <w:rPr>
                <w:rFonts w:eastAsia="Arial"/>
              </w:rPr>
            </w:pPr>
            <w:r w:rsidRPr="47AEECA1">
              <w:rPr>
                <w:rFonts w:eastAsia="Arial"/>
              </w:rPr>
              <w:t>Units of paper used per FTE (reams/FTE)</w:t>
            </w:r>
          </w:p>
        </w:tc>
        <w:tc>
          <w:tcPr>
            <w:tcW w:w="1701" w:type="dxa"/>
          </w:tcPr>
          <w:p w14:paraId="7F5944EB" w14:textId="77777777" w:rsidR="00222D72" w:rsidRDefault="00222D72" w:rsidP="00100C7A">
            <w:pPr>
              <w:pStyle w:val="ARtabletextright"/>
            </w:pPr>
            <w:r w:rsidRPr="7DCBBAC7">
              <w:t>1.18</w:t>
            </w:r>
          </w:p>
        </w:tc>
        <w:tc>
          <w:tcPr>
            <w:tcW w:w="1701" w:type="dxa"/>
          </w:tcPr>
          <w:p w14:paraId="1EB5F804" w14:textId="77777777" w:rsidR="00222D72" w:rsidRDefault="00222D72" w:rsidP="00100C7A">
            <w:pPr>
              <w:pStyle w:val="ARtabletextright"/>
            </w:pPr>
            <w:r w:rsidRPr="47AEECA1">
              <w:t>1.97</w:t>
            </w:r>
          </w:p>
        </w:tc>
        <w:tc>
          <w:tcPr>
            <w:tcW w:w="1701" w:type="dxa"/>
          </w:tcPr>
          <w:p w14:paraId="45F862AE" w14:textId="77777777" w:rsidR="00222D72" w:rsidRDefault="00222D72" w:rsidP="00100C7A">
            <w:pPr>
              <w:pStyle w:val="ARtabletextright"/>
            </w:pPr>
            <w:r w:rsidRPr="47AEECA1">
              <w:t>7.9</w:t>
            </w:r>
          </w:p>
        </w:tc>
      </w:tr>
      <w:tr w:rsidR="00222D72" w14:paraId="7E4DBEDA" w14:textId="77777777" w:rsidTr="00D132D7">
        <w:trPr>
          <w:cantSplit w:val="0"/>
        </w:trPr>
        <w:tc>
          <w:tcPr>
            <w:tcW w:w="4536" w:type="dxa"/>
          </w:tcPr>
          <w:p w14:paraId="2FB11906" w14:textId="22F1557D" w:rsidR="00222D72" w:rsidRDefault="00222D72" w:rsidP="004C7BEF">
            <w:pPr>
              <w:pStyle w:val="ARtabletext"/>
              <w:rPr>
                <w:rFonts w:eastAsia="Arial"/>
              </w:rPr>
            </w:pPr>
            <w:r w:rsidRPr="47AEECA1">
              <w:rPr>
                <w:rFonts w:eastAsia="Arial"/>
              </w:rPr>
              <w:t>Greenhouse gas emissions associated with paper use (tonnes of CO</w:t>
            </w:r>
            <w:r w:rsidR="006E2B00" w:rsidRPr="00125EE1">
              <w:rPr>
                <w:rStyle w:val="Subscript"/>
              </w:rPr>
              <w:t>2</w:t>
            </w:r>
            <w:r w:rsidRPr="47AEECA1">
              <w:rPr>
                <w:rFonts w:eastAsia="Arial"/>
              </w:rPr>
              <w:t>-e)</w:t>
            </w:r>
          </w:p>
        </w:tc>
        <w:tc>
          <w:tcPr>
            <w:tcW w:w="1701" w:type="dxa"/>
          </w:tcPr>
          <w:p w14:paraId="3819BE2B" w14:textId="77777777" w:rsidR="00222D72" w:rsidRDefault="00222D72" w:rsidP="00100C7A">
            <w:pPr>
              <w:pStyle w:val="ARtabletextright"/>
            </w:pPr>
            <w:r w:rsidRPr="7F2B2CEE">
              <w:t>8</w:t>
            </w:r>
          </w:p>
        </w:tc>
        <w:tc>
          <w:tcPr>
            <w:tcW w:w="1701" w:type="dxa"/>
          </w:tcPr>
          <w:p w14:paraId="4EA139EF" w14:textId="77777777" w:rsidR="00222D72" w:rsidRDefault="00222D72" w:rsidP="00100C7A">
            <w:pPr>
              <w:pStyle w:val="ARtabletextright"/>
            </w:pPr>
            <w:r w:rsidRPr="5E1D3705">
              <w:t>N/A</w:t>
            </w:r>
          </w:p>
        </w:tc>
        <w:tc>
          <w:tcPr>
            <w:tcW w:w="1701" w:type="dxa"/>
          </w:tcPr>
          <w:p w14:paraId="1A385626" w14:textId="77777777" w:rsidR="00222D72" w:rsidRDefault="00222D72" w:rsidP="00100C7A">
            <w:pPr>
              <w:pStyle w:val="ARtabletextright"/>
            </w:pPr>
            <w:r w:rsidRPr="5E1D3705">
              <w:t>N/A</w:t>
            </w:r>
          </w:p>
        </w:tc>
      </w:tr>
      <w:tr w:rsidR="00222D72" w14:paraId="25152C3C" w14:textId="77777777" w:rsidTr="00D132D7">
        <w:trPr>
          <w:cantSplit w:val="0"/>
        </w:trPr>
        <w:tc>
          <w:tcPr>
            <w:tcW w:w="4536" w:type="dxa"/>
          </w:tcPr>
          <w:p w14:paraId="079FA33D" w14:textId="77777777" w:rsidR="00222D72" w:rsidRDefault="00222D72" w:rsidP="004C7BEF">
            <w:pPr>
              <w:pStyle w:val="ARtabletextbold"/>
              <w:rPr>
                <w:rFonts w:eastAsia="Arial"/>
                <w:bCs/>
              </w:rPr>
            </w:pPr>
            <w:r w:rsidRPr="47AEECA1">
              <w:rPr>
                <w:rFonts w:eastAsia="Arial"/>
                <w:bCs/>
              </w:rPr>
              <w:t>Total cost of paper used ($ million)</w:t>
            </w:r>
          </w:p>
        </w:tc>
        <w:tc>
          <w:tcPr>
            <w:tcW w:w="1701" w:type="dxa"/>
          </w:tcPr>
          <w:p w14:paraId="1246202C" w14:textId="6A1F6D61" w:rsidR="00222D72" w:rsidRDefault="00BD3BB0" w:rsidP="009E7701">
            <w:pPr>
              <w:pStyle w:val="ARtabletextrightbold"/>
            </w:pPr>
            <w:r>
              <w:t>$</w:t>
            </w:r>
            <w:r w:rsidR="00222D72" w:rsidRPr="7DCBBAC7">
              <w:t>0.01</w:t>
            </w:r>
          </w:p>
        </w:tc>
        <w:tc>
          <w:tcPr>
            <w:tcW w:w="1701" w:type="dxa"/>
          </w:tcPr>
          <w:p w14:paraId="274CF6A0" w14:textId="77777777" w:rsidR="00222D72" w:rsidRDefault="00222D72" w:rsidP="009E7701">
            <w:pPr>
              <w:pStyle w:val="ARtabletextrightbold"/>
            </w:pPr>
            <w:r w:rsidRPr="5E1D3705">
              <w:t>N/A</w:t>
            </w:r>
          </w:p>
        </w:tc>
        <w:tc>
          <w:tcPr>
            <w:tcW w:w="1701" w:type="dxa"/>
          </w:tcPr>
          <w:p w14:paraId="4E9E2C45" w14:textId="77777777" w:rsidR="00222D72" w:rsidRDefault="00222D72" w:rsidP="009E7701">
            <w:pPr>
              <w:pStyle w:val="ARtabletextrightbold"/>
            </w:pPr>
            <w:r w:rsidRPr="5E1D3705">
              <w:t>N/A</w:t>
            </w:r>
          </w:p>
        </w:tc>
      </w:tr>
    </w:tbl>
    <w:p w14:paraId="384EB31E" w14:textId="77777777" w:rsidR="00222D72" w:rsidRDefault="00222D72" w:rsidP="00B60921">
      <w:pPr>
        <w:pStyle w:val="ARbodynospace"/>
      </w:pPr>
    </w:p>
    <w:tbl>
      <w:tblPr>
        <w:tblStyle w:val="TableGrid"/>
        <w:tblW w:w="9639" w:type="dxa"/>
        <w:tblLayout w:type="fixed"/>
        <w:tblLook w:val="06A0" w:firstRow="1" w:lastRow="0" w:firstColumn="1" w:lastColumn="0" w:noHBand="1" w:noVBand="1"/>
      </w:tblPr>
      <w:tblGrid>
        <w:gridCol w:w="4536"/>
        <w:gridCol w:w="1701"/>
        <w:gridCol w:w="1701"/>
        <w:gridCol w:w="1701"/>
      </w:tblGrid>
      <w:tr w:rsidR="00222D72" w14:paraId="602E2983" w14:textId="77777777" w:rsidTr="00834079">
        <w:trPr>
          <w:cnfStyle w:val="100000000000" w:firstRow="1" w:lastRow="0" w:firstColumn="0" w:lastColumn="0" w:oddVBand="0" w:evenVBand="0" w:oddHBand="0" w:evenHBand="0" w:firstRowFirstColumn="0" w:firstRowLastColumn="0" w:lastRowFirstColumn="0" w:lastRowLastColumn="0"/>
          <w:tblHeader/>
        </w:trPr>
        <w:tc>
          <w:tcPr>
            <w:tcW w:w="4536" w:type="dxa"/>
          </w:tcPr>
          <w:p w14:paraId="3E3A5E04" w14:textId="77777777" w:rsidR="00222D72" w:rsidRDefault="00222D72" w:rsidP="004C7BEF">
            <w:pPr>
              <w:pStyle w:val="ARtablecolhead"/>
              <w:rPr>
                <w:rFonts w:eastAsia="Arial"/>
                <w:bCs/>
              </w:rPr>
            </w:pPr>
            <w:r w:rsidRPr="47AEECA1">
              <w:rPr>
                <w:rFonts w:eastAsia="Arial"/>
                <w:bCs/>
              </w:rPr>
              <w:t>Percentage recycled content copy paper purchased</w:t>
            </w:r>
          </w:p>
        </w:tc>
        <w:tc>
          <w:tcPr>
            <w:tcW w:w="1701" w:type="dxa"/>
          </w:tcPr>
          <w:p w14:paraId="60358A4E"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2021–22 actual</w:t>
            </w:r>
          </w:p>
        </w:tc>
        <w:tc>
          <w:tcPr>
            <w:tcW w:w="1701" w:type="dxa"/>
          </w:tcPr>
          <w:p w14:paraId="0107BDCA"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2020–21 actual</w:t>
            </w:r>
          </w:p>
        </w:tc>
        <w:tc>
          <w:tcPr>
            <w:tcW w:w="1701" w:type="dxa"/>
          </w:tcPr>
          <w:p w14:paraId="21088DA1"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2019–20 actual</w:t>
            </w:r>
          </w:p>
        </w:tc>
      </w:tr>
      <w:tr w:rsidR="00222D72" w14:paraId="3BB11837" w14:textId="77777777" w:rsidTr="00834079">
        <w:trPr>
          <w:cantSplit w:val="0"/>
        </w:trPr>
        <w:tc>
          <w:tcPr>
            <w:tcW w:w="4536" w:type="dxa"/>
          </w:tcPr>
          <w:p w14:paraId="65FB6BA1" w14:textId="77777777" w:rsidR="00222D72" w:rsidRDefault="00222D72" w:rsidP="004C7BEF">
            <w:pPr>
              <w:pStyle w:val="ARtabletext"/>
              <w:rPr>
                <w:rFonts w:eastAsia="Arial"/>
              </w:rPr>
            </w:pPr>
            <w:r w:rsidRPr="47AEECA1">
              <w:rPr>
                <w:rFonts w:eastAsia="Arial"/>
              </w:rPr>
              <w:t>75–100 per cent recycled</w:t>
            </w:r>
          </w:p>
        </w:tc>
        <w:tc>
          <w:tcPr>
            <w:tcW w:w="1701" w:type="dxa"/>
          </w:tcPr>
          <w:p w14:paraId="795CEA55" w14:textId="77777777" w:rsidR="00222D72" w:rsidRDefault="00222D72" w:rsidP="00100C7A">
            <w:pPr>
              <w:pStyle w:val="ARtabletextright"/>
            </w:pPr>
            <w:r w:rsidRPr="50DB9F40">
              <w:t>49%</w:t>
            </w:r>
          </w:p>
        </w:tc>
        <w:tc>
          <w:tcPr>
            <w:tcW w:w="1701" w:type="dxa"/>
          </w:tcPr>
          <w:p w14:paraId="7C96BFD4" w14:textId="77777777" w:rsidR="00222D72" w:rsidRDefault="00222D72" w:rsidP="00100C7A">
            <w:pPr>
              <w:pStyle w:val="ARtabletextright"/>
            </w:pPr>
            <w:r w:rsidRPr="47AEECA1">
              <w:t>99%</w:t>
            </w:r>
          </w:p>
        </w:tc>
        <w:tc>
          <w:tcPr>
            <w:tcW w:w="1701" w:type="dxa"/>
          </w:tcPr>
          <w:p w14:paraId="3E4A1915" w14:textId="77777777" w:rsidR="00222D72" w:rsidRDefault="00222D72" w:rsidP="00100C7A">
            <w:pPr>
              <w:pStyle w:val="ARtabletextright"/>
            </w:pPr>
            <w:r w:rsidRPr="47AEECA1">
              <w:t>98%</w:t>
            </w:r>
          </w:p>
        </w:tc>
      </w:tr>
      <w:tr w:rsidR="00222D72" w14:paraId="30DD197F" w14:textId="77777777" w:rsidTr="00834079">
        <w:trPr>
          <w:cantSplit w:val="0"/>
        </w:trPr>
        <w:tc>
          <w:tcPr>
            <w:tcW w:w="4536" w:type="dxa"/>
          </w:tcPr>
          <w:p w14:paraId="13FACACD" w14:textId="77777777" w:rsidR="00222D72" w:rsidRDefault="00222D72" w:rsidP="004C7BEF">
            <w:pPr>
              <w:pStyle w:val="ARtabletext"/>
              <w:rPr>
                <w:rFonts w:eastAsia="Arial"/>
              </w:rPr>
            </w:pPr>
            <w:r w:rsidRPr="47AEECA1">
              <w:rPr>
                <w:rFonts w:eastAsia="Arial"/>
              </w:rPr>
              <w:t>50–74 per cent recycled</w:t>
            </w:r>
          </w:p>
        </w:tc>
        <w:tc>
          <w:tcPr>
            <w:tcW w:w="1701" w:type="dxa"/>
          </w:tcPr>
          <w:p w14:paraId="1742E5A1" w14:textId="77777777" w:rsidR="00222D72" w:rsidRDefault="00222D72" w:rsidP="00100C7A">
            <w:pPr>
              <w:pStyle w:val="ARtabletextright"/>
            </w:pPr>
            <w:r w:rsidRPr="50DB9F40">
              <w:t>0%</w:t>
            </w:r>
          </w:p>
        </w:tc>
        <w:tc>
          <w:tcPr>
            <w:tcW w:w="1701" w:type="dxa"/>
          </w:tcPr>
          <w:p w14:paraId="7C700C14" w14:textId="77777777" w:rsidR="00222D72" w:rsidRDefault="00222D72" w:rsidP="00100C7A">
            <w:pPr>
              <w:pStyle w:val="ARtabletextright"/>
            </w:pPr>
            <w:r w:rsidRPr="47AEECA1">
              <w:t>0%</w:t>
            </w:r>
          </w:p>
        </w:tc>
        <w:tc>
          <w:tcPr>
            <w:tcW w:w="1701" w:type="dxa"/>
          </w:tcPr>
          <w:p w14:paraId="718C5D1D" w14:textId="77777777" w:rsidR="00222D72" w:rsidRDefault="00222D72" w:rsidP="00100C7A">
            <w:pPr>
              <w:pStyle w:val="ARtabletextright"/>
            </w:pPr>
            <w:r w:rsidRPr="47AEECA1">
              <w:t>0%</w:t>
            </w:r>
          </w:p>
        </w:tc>
      </w:tr>
      <w:tr w:rsidR="00222D72" w14:paraId="5503F482" w14:textId="77777777" w:rsidTr="00834079">
        <w:trPr>
          <w:cantSplit w:val="0"/>
        </w:trPr>
        <w:tc>
          <w:tcPr>
            <w:tcW w:w="4536" w:type="dxa"/>
          </w:tcPr>
          <w:p w14:paraId="2D27EFA2" w14:textId="77777777" w:rsidR="00222D72" w:rsidRDefault="00222D72" w:rsidP="004C7BEF">
            <w:pPr>
              <w:pStyle w:val="ARtabletext"/>
              <w:rPr>
                <w:rFonts w:eastAsia="Arial"/>
              </w:rPr>
            </w:pPr>
            <w:r w:rsidRPr="47AEECA1">
              <w:rPr>
                <w:rFonts w:eastAsia="Arial"/>
              </w:rPr>
              <w:t>0–49 per cent recycled</w:t>
            </w:r>
          </w:p>
        </w:tc>
        <w:tc>
          <w:tcPr>
            <w:tcW w:w="1701" w:type="dxa"/>
          </w:tcPr>
          <w:p w14:paraId="7020F32A" w14:textId="77777777" w:rsidR="00222D72" w:rsidRDefault="00222D72" w:rsidP="00100C7A">
            <w:pPr>
              <w:pStyle w:val="ARtabletextright"/>
            </w:pPr>
            <w:r w:rsidRPr="50DB9F40">
              <w:t>51%</w:t>
            </w:r>
          </w:p>
        </w:tc>
        <w:tc>
          <w:tcPr>
            <w:tcW w:w="1701" w:type="dxa"/>
          </w:tcPr>
          <w:p w14:paraId="3B1D7FE1" w14:textId="77777777" w:rsidR="00222D72" w:rsidRDefault="00222D72" w:rsidP="00100C7A">
            <w:pPr>
              <w:pStyle w:val="ARtabletextright"/>
            </w:pPr>
            <w:r w:rsidRPr="47AEECA1">
              <w:t>1%</w:t>
            </w:r>
          </w:p>
        </w:tc>
        <w:tc>
          <w:tcPr>
            <w:tcW w:w="1701" w:type="dxa"/>
          </w:tcPr>
          <w:p w14:paraId="75BFAAAF" w14:textId="77777777" w:rsidR="00222D72" w:rsidRDefault="00222D72" w:rsidP="00100C7A">
            <w:pPr>
              <w:pStyle w:val="ARtabletextright"/>
            </w:pPr>
            <w:r w:rsidRPr="47AEECA1">
              <w:t>2%</w:t>
            </w:r>
          </w:p>
        </w:tc>
      </w:tr>
      <w:tr w:rsidR="00222D72" w14:paraId="3877B62F" w14:textId="77777777" w:rsidTr="00834079">
        <w:trPr>
          <w:cantSplit w:val="0"/>
        </w:trPr>
        <w:tc>
          <w:tcPr>
            <w:tcW w:w="4536" w:type="dxa"/>
          </w:tcPr>
          <w:p w14:paraId="13C7FF83" w14:textId="77777777" w:rsidR="00222D72" w:rsidRDefault="00222D72" w:rsidP="004C7BEF">
            <w:pPr>
              <w:pStyle w:val="ARtabletext"/>
              <w:rPr>
                <w:rFonts w:eastAsia="Arial"/>
                <w:vertAlign w:val="superscript"/>
              </w:rPr>
            </w:pPr>
            <w:r w:rsidRPr="4E7E9537">
              <w:rPr>
                <w:rFonts w:eastAsia="Arial"/>
              </w:rPr>
              <w:t>Certified fibre sourcing</w:t>
            </w:r>
          </w:p>
        </w:tc>
        <w:tc>
          <w:tcPr>
            <w:tcW w:w="1701" w:type="dxa"/>
          </w:tcPr>
          <w:p w14:paraId="7AA207B9" w14:textId="77777777" w:rsidR="00222D72" w:rsidRDefault="00222D72" w:rsidP="00100C7A">
            <w:pPr>
              <w:pStyle w:val="ARtabletextright"/>
            </w:pPr>
            <w:r w:rsidRPr="1754B8D2">
              <w:t>100%</w:t>
            </w:r>
          </w:p>
        </w:tc>
        <w:tc>
          <w:tcPr>
            <w:tcW w:w="1701" w:type="dxa"/>
          </w:tcPr>
          <w:p w14:paraId="350F3AD2" w14:textId="77777777" w:rsidR="00222D72" w:rsidRDefault="00222D72" w:rsidP="00100C7A">
            <w:pPr>
              <w:pStyle w:val="ARtabletextright"/>
            </w:pPr>
            <w:r w:rsidRPr="47AEECA1">
              <w:t>100%</w:t>
            </w:r>
          </w:p>
        </w:tc>
        <w:tc>
          <w:tcPr>
            <w:tcW w:w="1701" w:type="dxa"/>
          </w:tcPr>
          <w:p w14:paraId="24505272" w14:textId="77777777" w:rsidR="00222D72" w:rsidRDefault="00222D72" w:rsidP="00100C7A">
            <w:pPr>
              <w:pStyle w:val="ARtabletextright"/>
            </w:pPr>
            <w:r w:rsidRPr="47AEECA1">
              <w:t>100%</w:t>
            </w:r>
          </w:p>
        </w:tc>
      </w:tr>
    </w:tbl>
    <w:p w14:paraId="2D1BD0E9" w14:textId="6095F4E2" w:rsidR="003D5E1A" w:rsidRDefault="00222D72" w:rsidP="004C7BEF">
      <w:pPr>
        <w:pStyle w:val="ARtablefootnote"/>
        <w:spacing w:before="60"/>
        <w:rPr>
          <w:rFonts w:eastAsia="Arial" w:cs="Arial"/>
        </w:rPr>
      </w:pPr>
      <w:r>
        <w:t>Office</w:t>
      </w:r>
      <w:r w:rsidR="00897D36">
        <w:t>-</w:t>
      </w:r>
      <w:r>
        <w:t xml:space="preserve">based data for </w:t>
      </w:r>
      <w:r w:rsidR="006C15A9">
        <w:t>2021–22</w:t>
      </w:r>
      <w:r>
        <w:t xml:space="preserve"> </w:t>
      </w:r>
      <w:r w:rsidR="00A00835">
        <w:t xml:space="preserve">reflects </w:t>
      </w:r>
      <w:r>
        <w:t>the department</w:t>
      </w:r>
      <w:r w:rsidR="00961673">
        <w:t xml:space="preserve"> only</w:t>
      </w:r>
      <w:r>
        <w:t xml:space="preserve">. Previous years’ data, which reflects the combined DFFH and department data, is available in the </w:t>
      </w:r>
      <w:r w:rsidR="006C15A9">
        <w:t>2020–21</w:t>
      </w:r>
      <w:r>
        <w:t xml:space="preserve"> reports.</w:t>
      </w:r>
    </w:p>
    <w:p w14:paraId="62D20864" w14:textId="0620A30D" w:rsidR="00222D72" w:rsidRDefault="00222D72" w:rsidP="004C7BEF">
      <w:pPr>
        <w:pStyle w:val="ARtablefootnote"/>
        <w:spacing w:before="60"/>
        <w:rPr>
          <w:rFonts w:eastAsia="Arial" w:cs="Arial"/>
          <w:color w:val="000000" w:themeColor="text1"/>
        </w:rPr>
      </w:pPr>
      <w:r w:rsidRPr="47AEECA1">
        <w:rPr>
          <w:rFonts w:eastAsia="Arial" w:cs="Arial"/>
          <w:color w:val="000000" w:themeColor="text1"/>
        </w:rPr>
        <w:t>Paper usage data provided by whole of Victorian Government supplier COS. Data represents all operational and office-based FTE. Total cost of paper used excludes GST.</w:t>
      </w:r>
    </w:p>
    <w:p w14:paraId="2E98C98F" w14:textId="5F0EFCF5" w:rsidR="00222D72" w:rsidRDefault="00222D72" w:rsidP="004C7BEF">
      <w:pPr>
        <w:pStyle w:val="Heading5"/>
        <w:rPr>
          <w:rFonts w:eastAsia="Arial" w:cs="Arial"/>
          <w:bCs/>
          <w:szCs w:val="22"/>
        </w:rPr>
      </w:pPr>
      <w:r w:rsidRPr="47AEECA1">
        <w:rPr>
          <w:rFonts w:eastAsia="Arial" w:cs="Arial"/>
          <w:bCs/>
          <w:szCs w:val="22"/>
        </w:rPr>
        <w:t xml:space="preserve">Paper use </w:t>
      </w:r>
      <w:r w:rsidR="008C1384">
        <w:rPr>
          <w:rFonts w:eastAsia="Arial" w:cs="Arial"/>
          <w:bCs/>
          <w:szCs w:val="22"/>
        </w:rPr>
        <w:t xml:space="preserve">within </w:t>
      </w:r>
      <w:r w:rsidRPr="47AEECA1">
        <w:rPr>
          <w:rFonts w:eastAsia="Arial" w:cs="Arial"/>
          <w:bCs/>
          <w:szCs w:val="22"/>
        </w:rPr>
        <w:t>public health services</w:t>
      </w:r>
    </w:p>
    <w:tbl>
      <w:tblPr>
        <w:tblStyle w:val="TableGrid"/>
        <w:tblW w:w="9639" w:type="dxa"/>
        <w:tblLayout w:type="fixed"/>
        <w:tblLook w:val="06A0" w:firstRow="1" w:lastRow="0" w:firstColumn="1" w:lastColumn="0" w:noHBand="1" w:noVBand="1"/>
      </w:tblPr>
      <w:tblGrid>
        <w:gridCol w:w="4536"/>
        <w:gridCol w:w="1701"/>
        <w:gridCol w:w="1701"/>
        <w:gridCol w:w="1701"/>
      </w:tblGrid>
      <w:tr w:rsidR="00222D72" w14:paraId="555D5097" w14:textId="77777777" w:rsidTr="00834079">
        <w:trPr>
          <w:cnfStyle w:val="100000000000" w:firstRow="1" w:lastRow="0" w:firstColumn="0" w:lastColumn="0" w:oddVBand="0" w:evenVBand="0" w:oddHBand="0" w:evenHBand="0" w:firstRowFirstColumn="0" w:firstRowLastColumn="0" w:lastRowFirstColumn="0" w:lastRowLastColumn="0"/>
          <w:tblHeader/>
        </w:trPr>
        <w:tc>
          <w:tcPr>
            <w:tcW w:w="4536" w:type="dxa"/>
          </w:tcPr>
          <w:p w14:paraId="367935A3" w14:textId="77777777" w:rsidR="00222D72" w:rsidRDefault="00222D72" w:rsidP="004C7BEF">
            <w:pPr>
              <w:pStyle w:val="ARtablecolhead"/>
              <w:spacing w:line="240" w:lineRule="auto"/>
              <w:rPr>
                <w:rFonts w:eastAsia="Arial"/>
                <w:bCs/>
              </w:rPr>
            </w:pPr>
            <w:r w:rsidRPr="47AEECA1">
              <w:rPr>
                <w:rFonts w:eastAsia="Arial"/>
                <w:bCs/>
              </w:rPr>
              <w:t>Description</w:t>
            </w:r>
          </w:p>
        </w:tc>
        <w:tc>
          <w:tcPr>
            <w:tcW w:w="1701" w:type="dxa"/>
          </w:tcPr>
          <w:p w14:paraId="630B7B04"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2021–22 estimate</w:t>
            </w:r>
          </w:p>
        </w:tc>
        <w:tc>
          <w:tcPr>
            <w:tcW w:w="1701" w:type="dxa"/>
          </w:tcPr>
          <w:p w14:paraId="4A7B2943"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2020–21 estimate</w:t>
            </w:r>
          </w:p>
        </w:tc>
        <w:tc>
          <w:tcPr>
            <w:tcW w:w="1701" w:type="dxa"/>
          </w:tcPr>
          <w:p w14:paraId="71EABCE3"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2019–20 estimate</w:t>
            </w:r>
          </w:p>
        </w:tc>
      </w:tr>
      <w:tr w:rsidR="00222D72" w14:paraId="62D0F468" w14:textId="77777777" w:rsidTr="00834079">
        <w:trPr>
          <w:cantSplit w:val="0"/>
        </w:trPr>
        <w:tc>
          <w:tcPr>
            <w:tcW w:w="4536" w:type="dxa"/>
          </w:tcPr>
          <w:p w14:paraId="77E9A1EB" w14:textId="77777777" w:rsidR="00222D72" w:rsidRDefault="00222D72" w:rsidP="004C7BEF">
            <w:pPr>
              <w:pStyle w:val="ARtabletext"/>
              <w:rPr>
                <w:rFonts w:eastAsia="Arial"/>
              </w:rPr>
            </w:pPr>
            <w:r w:rsidRPr="47AEECA1">
              <w:rPr>
                <w:rFonts w:eastAsia="Arial"/>
              </w:rPr>
              <w:t>Total units of paper used – A4 equivalent (reams)</w:t>
            </w:r>
          </w:p>
        </w:tc>
        <w:tc>
          <w:tcPr>
            <w:tcW w:w="1701" w:type="dxa"/>
          </w:tcPr>
          <w:p w14:paraId="58F5B83E" w14:textId="77777777" w:rsidR="00222D72" w:rsidRPr="00296D69" w:rsidRDefault="00222D72" w:rsidP="00100C7A">
            <w:pPr>
              <w:pStyle w:val="ARtabletextright"/>
            </w:pPr>
            <w:r w:rsidRPr="4E7E9537">
              <w:t>477,537</w:t>
            </w:r>
          </w:p>
        </w:tc>
        <w:tc>
          <w:tcPr>
            <w:tcW w:w="1701" w:type="dxa"/>
          </w:tcPr>
          <w:p w14:paraId="65AA16BC" w14:textId="77777777" w:rsidR="00222D72" w:rsidRDefault="00222D72" w:rsidP="00100C7A">
            <w:pPr>
              <w:pStyle w:val="ARtabletextright"/>
            </w:pPr>
            <w:r w:rsidRPr="47AEECA1">
              <w:t>499,187</w:t>
            </w:r>
          </w:p>
        </w:tc>
        <w:tc>
          <w:tcPr>
            <w:tcW w:w="1701" w:type="dxa"/>
          </w:tcPr>
          <w:p w14:paraId="49371FEF" w14:textId="77777777" w:rsidR="00222D72" w:rsidRDefault="00222D72" w:rsidP="00100C7A">
            <w:pPr>
              <w:pStyle w:val="ARtabletextright"/>
            </w:pPr>
            <w:r w:rsidRPr="47AEECA1">
              <w:t>529,169</w:t>
            </w:r>
          </w:p>
        </w:tc>
      </w:tr>
      <w:tr w:rsidR="00222D72" w14:paraId="6ED058F8" w14:textId="77777777" w:rsidTr="00834079">
        <w:trPr>
          <w:cantSplit w:val="0"/>
        </w:trPr>
        <w:tc>
          <w:tcPr>
            <w:tcW w:w="4536" w:type="dxa"/>
          </w:tcPr>
          <w:p w14:paraId="053D18CB" w14:textId="77777777" w:rsidR="00222D72" w:rsidRDefault="00222D72" w:rsidP="004C7BEF">
            <w:pPr>
              <w:pStyle w:val="ARtabletext"/>
              <w:rPr>
                <w:rFonts w:eastAsia="Arial"/>
              </w:rPr>
            </w:pPr>
            <w:r w:rsidRPr="47AEECA1">
              <w:rPr>
                <w:rFonts w:eastAsia="Arial"/>
              </w:rPr>
              <w:t>Units of paper used per FTE (reams/FTE)</w:t>
            </w:r>
          </w:p>
        </w:tc>
        <w:tc>
          <w:tcPr>
            <w:tcW w:w="1701" w:type="dxa"/>
          </w:tcPr>
          <w:p w14:paraId="13ECE383" w14:textId="77777777" w:rsidR="00222D72" w:rsidRPr="00296D69" w:rsidRDefault="00222D72" w:rsidP="00100C7A">
            <w:pPr>
              <w:pStyle w:val="ARtabletextright"/>
            </w:pPr>
            <w:r w:rsidRPr="4E7E9537">
              <w:t>4.8</w:t>
            </w:r>
          </w:p>
        </w:tc>
        <w:tc>
          <w:tcPr>
            <w:tcW w:w="1701" w:type="dxa"/>
          </w:tcPr>
          <w:p w14:paraId="01E0E22C" w14:textId="77777777" w:rsidR="00222D72" w:rsidRDefault="00222D72" w:rsidP="00100C7A">
            <w:pPr>
              <w:pStyle w:val="ARtabletextright"/>
            </w:pPr>
            <w:r w:rsidRPr="47AEECA1">
              <w:t>5.4</w:t>
            </w:r>
          </w:p>
        </w:tc>
        <w:tc>
          <w:tcPr>
            <w:tcW w:w="1701" w:type="dxa"/>
          </w:tcPr>
          <w:p w14:paraId="2B5173B3" w14:textId="77777777" w:rsidR="00222D72" w:rsidRDefault="00222D72" w:rsidP="00100C7A">
            <w:pPr>
              <w:pStyle w:val="ARtabletextright"/>
            </w:pPr>
            <w:r w:rsidRPr="47AEECA1">
              <w:t>5.9</w:t>
            </w:r>
          </w:p>
        </w:tc>
      </w:tr>
      <w:tr w:rsidR="00222D72" w14:paraId="13CCB467" w14:textId="77777777" w:rsidTr="00834079">
        <w:trPr>
          <w:cantSplit w:val="0"/>
        </w:trPr>
        <w:tc>
          <w:tcPr>
            <w:tcW w:w="4536" w:type="dxa"/>
          </w:tcPr>
          <w:p w14:paraId="49F202C0" w14:textId="77777777" w:rsidR="00222D72" w:rsidRDefault="00222D72" w:rsidP="004C7BEF">
            <w:pPr>
              <w:pStyle w:val="ARtabletextbold"/>
              <w:rPr>
                <w:rFonts w:eastAsia="Arial"/>
                <w:bCs/>
              </w:rPr>
            </w:pPr>
            <w:r w:rsidRPr="47AEECA1">
              <w:rPr>
                <w:rFonts w:eastAsia="Arial"/>
                <w:bCs/>
              </w:rPr>
              <w:t>Total cost of paper used ($ million)</w:t>
            </w:r>
          </w:p>
        </w:tc>
        <w:tc>
          <w:tcPr>
            <w:tcW w:w="1701" w:type="dxa"/>
          </w:tcPr>
          <w:p w14:paraId="646065BA" w14:textId="77777777" w:rsidR="00222D72" w:rsidRPr="00296D69" w:rsidRDefault="00222D72" w:rsidP="009E7701">
            <w:pPr>
              <w:pStyle w:val="ARtabletextrightbold"/>
            </w:pPr>
            <w:r w:rsidRPr="4E7E9537">
              <w:t>$1.84</w:t>
            </w:r>
          </w:p>
        </w:tc>
        <w:tc>
          <w:tcPr>
            <w:tcW w:w="1701" w:type="dxa"/>
          </w:tcPr>
          <w:p w14:paraId="612B7293" w14:textId="77777777" w:rsidR="00222D72" w:rsidRDefault="00222D72" w:rsidP="009E7701">
            <w:pPr>
              <w:pStyle w:val="ARtabletextrightbold"/>
            </w:pPr>
            <w:r w:rsidRPr="47AEECA1">
              <w:t>$1.88</w:t>
            </w:r>
          </w:p>
        </w:tc>
        <w:tc>
          <w:tcPr>
            <w:tcW w:w="1701" w:type="dxa"/>
          </w:tcPr>
          <w:p w14:paraId="5AD761B8" w14:textId="77777777" w:rsidR="00222D72" w:rsidRDefault="00222D72" w:rsidP="009E7701">
            <w:pPr>
              <w:pStyle w:val="ARtabletextrightbold"/>
            </w:pPr>
            <w:r w:rsidRPr="47AEECA1">
              <w:t>$2.07</w:t>
            </w:r>
          </w:p>
        </w:tc>
      </w:tr>
    </w:tbl>
    <w:p w14:paraId="2F317DC1" w14:textId="77777777" w:rsidR="00222D72" w:rsidRDefault="00222D72" w:rsidP="00B60921">
      <w:pPr>
        <w:pStyle w:val="ARbodynospace"/>
      </w:pPr>
    </w:p>
    <w:tbl>
      <w:tblPr>
        <w:tblStyle w:val="TableGrid"/>
        <w:tblW w:w="9639" w:type="dxa"/>
        <w:tblLayout w:type="fixed"/>
        <w:tblLook w:val="06A0" w:firstRow="1" w:lastRow="0" w:firstColumn="1" w:lastColumn="0" w:noHBand="1" w:noVBand="1"/>
      </w:tblPr>
      <w:tblGrid>
        <w:gridCol w:w="4536"/>
        <w:gridCol w:w="1701"/>
        <w:gridCol w:w="1701"/>
        <w:gridCol w:w="1701"/>
      </w:tblGrid>
      <w:tr w:rsidR="00222D72" w14:paraId="4130206C" w14:textId="77777777" w:rsidTr="00834079">
        <w:trPr>
          <w:cnfStyle w:val="100000000000" w:firstRow="1" w:lastRow="0" w:firstColumn="0" w:lastColumn="0" w:oddVBand="0" w:evenVBand="0" w:oddHBand="0" w:evenHBand="0" w:firstRowFirstColumn="0" w:firstRowLastColumn="0" w:lastRowFirstColumn="0" w:lastRowLastColumn="0"/>
          <w:tblHeader/>
        </w:trPr>
        <w:tc>
          <w:tcPr>
            <w:tcW w:w="4536" w:type="dxa"/>
          </w:tcPr>
          <w:p w14:paraId="18B220A5" w14:textId="77777777" w:rsidR="00222D72" w:rsidRDefault="00222D72" w:rsidP="004C7BEF">
            <w:pPr>
              <w:pStyle w:val="ARtablecolhead"/>
              <w:rPr>
                <w:rFonts w:eastAsia="Arial"/>
                <w:bCs/>
              </w:rPr>
            </w:pPr>
            <w:r w:rsidRPr="47AEECA1">
              <w:rPr>
                <w:rFonts w:eastAsia="Arial"/>
                <w:bCs/>
              </w:rPr>
              <w:t>Percentage recycled content copy paper purchased</w:t>
            </w:r>
          </w:p>
        </w:tc>
        <w:tc>
          <w:tcPr>
            <w:tcW w:w="1701" w:type="dxa"/>
          </w:tcPr>
          <w:p w14:paraId="049B1105" w14:textId="77777777" w:rsidR="00222D72" w:rsidRDefault="00222D72" w:rsidP="004C7BEF">
            <w:pPr>
              <w:pStyle w:val="ARtablecolheadright"/>
              <w:rPr>
                <w:rFonts w:eastAsia="Arial"/>
                <w:bCs/>
              </w:rPr>
            </w:pPr>
            <w:r w:rsidRPr="47AEECA1">
              <w:rPr>
                <w:rFonts w:eastAsia="Arial"/>
                <w:bCs/>
              </w:rPr>
              <w:t>2021–22 estimate</w:t>
            </w:r>
          </w:p>
        </w:tc>
        <w:tc>
          <w:tcPr>
            <w:tcW w:w="1701" w:type="dxa"/>
          </w:tcPr>
          <w:p w14:paraId="4BE88D56" w14:textId="77777777" w:rsidR="00222D72" w:rsidRDefault="00222D72" w:rsidP="004C7BEF">
            <w:pPr>
              <w:pStyle w:val="ARtablecolheadright"/>
              <w:rPr>
                <w:rFonts w:eastAsia="Arial"/>
                <w:bCs/>
              </w:rPr>
            </w:pPr>
            <w:r w:rsidRPr="47AEECA1">
              <w:rPr>
                <w:rFonts w:eastAsia="Arial"/>
                <w:bCs/>
              </w:rPr>
              <w:t>2020–21 estimate</w:t>
            </w:r>
          </w:p>
        </w:tc>
        <w:tc>
          <w:tcPr>
            <w:tcW w:w="1701" w:type="dxa"/>
          </w:tcPr>
          <w:p w14:paraId="3382EFA3" w14:textId="77777777" w:rsidR="00222D72" w:rsidRDefault="00222D72" w:rsidP="004C7BEF">
            <w:pPr>
              <w:pStyle w:val="ARtablecolheadright"/>
              <w:rPr>
                <w:rFonts w:eastAsia="Arial"/>
                <w:bCs/>
              </w:rPr>
            </w:pPr>
            <w:r w:rsidRPr="47AEECA1">
              <w:rPr>
                <w:rFonts w:eastAsia="Arial"/>
                <w:bCs/>
              </w:rPr>
              <w:t>2019–20 estimate</w:t>
            </w:r>
          </w:p>
        </w:tc>
      </w:tr>
      <w:tr w:rsidR="00222D72" w14:paraId="577E9303" w14:textId="77777777" w:rsidTr="00834079">
        <w:trPr>
          <w:cantSplit w:val="0"/>
        </w:trPr>
        <w:tc>
          <w:tcPr>
            <w:tcW w:w="4536" w:type="dxa"/>
          </w:tcPr>
          <w:p w14:paraId="6E58B1C3" w14:textId="77777777" w:rsidR="00222D72" w:rsidRDefault="00222D72" w:rsidP="004C7BEF">
            <w:pPr>
              <w:pStyle w:val="ARtabletext"/>
              <w:rPr>
                <w:rFonts w:eastAsia="Arial"/>
              </w:rPr>
            </w:pPr>
            <w:r w:rsidRPr="47AEECA1">
              <w:rPr>
                <w:rFonts w:eastAsia="Arial"/>
              </w:rPr>
              <w:t>75–100 per cent recycled</w:t>
            </w:r>
          </w:p>
        </w:tc>
        <w:tc>
          <w:tcPr>
            <w:tcW w:w="1701" w:type="dxa"/>
          </w:tcPr>
          <w:p w14:paraId="5BA88092" w14:textId="77777777" w:rsidR="00222D72" w:rsidRPr="00296D69" w:rsidRDefault="00222D72" w:rsidP="00100C7A">
            <w:pPr>
              <w:pStyle w:val="ARtabletextright"/>
            </w:pPr>
            <w:r w:rsidRPr="4E7E9537">
              <w:t>4%</w:t>
            </w:r>
          </w:p>
        </w:tc>
        <w:tc>
          <w:tcPr>
            <w:tcW w:w="1701" w:type="dxa"/>
          </w:tcPr>
          <w:p w14:paraId="6A594F1B" w14:textId="77777777" w:rsidR="00222D72" w:rsidRDefault="00222D72" w:rsidP="00100C7A">
            <w:pPr>
              <w:pStyle w:val="ARtabletextright"/>
            </w:pPr>
            <w:r w:rsidRPr="47AEECA1">
              <w:t>2%</w:t>
            </w:r>
          </w:p>
        </w:tc>
        <w:tc>
          <w:tcPr>
            <w:tcW w:w="1701" w:type="dxa"/>
          </w:tcPr>
          <w:p w14:paraId="7F3CB87D" w14:textId="77777777" w:rsidR="00222D72" w:rsidRDefault="00222D72" w:rsidP="00100C7A">
            <w:pPr>
              <w:pStyle w:val="ARtabletextright"/>
            </w:pPr>
            <w:r w:rsidRPr="47AEECA1">
              <w:t>5%</w:t>
            </w:r>
          </w:p>
        </w:tc>
      </w:tr>
      <w:tr w:rsidR="00222D72" w14:paraId="4716A978" w14:textId="77777777" w:rsidTr="00834079">
        <w:trPr>
          <w:cantSplit w:val="0"/>
        </w:trPr>
        <w:tc>
          <w:tcPr>
            <w:tcW w:w="4536" w:type="dxa"/>
          </w:tcPr>
          <w:p w14:paraId="2DDAC0D1" w14:textId="77777777" w:rsidR="00222D72" w:rsidRDefault="00222D72" w:rsidP="004C7BEF">
            <w:pPr>
              <w:pStyle w:val="ARtabletext"/>
              <w:rPr>
                <w:rFonts w:eastAsia="Arial"/>
              </w:rPr>
            </w:pPr>
            <w:r w:rsidRPr="47AEECA1">
              <w:rPr>
                <w:rFonts w:eastAsia="Arial"/>
              </w:rPr>
              <w:t>50–74 per cent recycled</w:t>
            </w:r>
          </w:p>
        </w:tc>
        <w:tc>
          <w:tcPr>
            <w:tcW w:w="1701" w:type="dxa"/>
          </w:tcPr>
          <w:p w14:paraId="3C23ECE4" w14:textId="77777777" w:rsidR="00222D72" w:rsidRPr="00296D69" w:rsidRDefault="00222D72" w:rsidP="00100C7A">
            <w:pPr>
              <w:pStyle w:val="ARtabletextright"/>
            </w:pPr>
            <w:r w:rsidRPr="4E7E9537">
              <w:t>1%</w:t>
            </w:r>
          </w:p>
        </w:tc>
        <w:tc>
          <w:tcPr>
            <w:tcW w:w="1701" w:type="dxa"/>
          </w:tcPr>
          <w:p w14:paraId="4943ADEF" w14:textId="77777777" w:rsidR="00222D72" w:rsidRDefault="00222D72" w:rsidP="00100C7A">
            <w:pPr>
              <w:pStyle w:val="ARtabletextright"/>
            </w:pPr>
            <w:r w:rsidRPr="47AEECA1">
              <w:t>1%</w:t>
            </w:r>
          </w:p>
        </w:tc>
        <w:tc>
          <w:tcPr>
            <w:tcW w:w="1701" w:type="dxa"/>
          </w:tcPr>
          <w:p w14:paraId="44749220" w14:textId="77777777" w:rsidR="00222D72" w:rsidRDefault="00222D72" w:rsidP="00100C7A">
            <w:pPr>
              <w:pStyle w:val="ARtabletextright"/>
            </w:pPr>
            <w:r w:rsidRPr="47AEECA1">
              <w:t>1%</w:t>
            </w:r>
          </w:p>
        </w:tc>
      </w:tr>
      <w:tr w:rsidR="00222D72" w14:paraId="3024E1A9" w14:textId="77777777" w:rsidTr="00834079">
        <w:trPr>
          <w:cantSplit w:val="0"/>
        </w:trPr>
        <w:tc>
          <w:tcPr>
            <w:tcW w:w="4536" w:type="dxa"/>
          </w:tcPr>
          <w:p w14:paraId="4B70443F" w14:textId="77777777" w:rsidR="00222D72" w:rsidRDefault="00222D72" w:rsidP="004C7BEF">
            <w:pPr>
              <w:pStyle w:val="ARtabletext"/>
              <w:rPr>
                <w:rFonts w:eastAsia="Arial"/>
              </w:rPr>
            </w:pPr>
            <w:r w:rsidRPr="47AEECA1">
              <w:rPr>
                <w:rFonts w:eastAsia="Arial"/>
              </w:rPr>
              <w:t>0–49 per cent recycled</w:t>
            </w:r>
          </w:p>
        </w:tc>
        <w:tc>
          <w:tcPr>
            <w:tcW w:w="1701" w:type="dxa"/>
          </w:tcPr>
          <w:p w14:paraId="2CF7150E" w14:textId="77777777" w:rsidR="00222D72" w:rsidRPr="00296D69" w:rsidRDefault="00222D72" w:rsidP="00100C7A">
            <w:pPr>
              <w:pStyle w:val="ARtabletextright"/>
            </w:pPr>
            <w:r w:rsidRPr="4E7E9537">
              <w:t>95%</w:t>
            </w:r>
          </w:p>
        </w:tc>
        <w:tc>
          <w:tcPr>
            <w:tcW w:w="1701" w:type="dxa"/>
          </w:tcPr>
          <w:p w14:paraId="1DEF90B5" w14:textId="77777777" w:rsidR="00222D72" w:rsidRDefault="00222D72" w:rsidP="00100C7A">
            <w:pPr>
              <w:pStyle w:val="ARtabletextright"/>
            </w:pPr>
            <w:r w:rsidRPr="47AEECA1">
              <w:t>97%</w:t>
            </w:r>
          </w:p>
        </w:tc>
        <w:tc>
          <w:tcPr>
            <w:tcW w:w="1701" w:type="dxa"/>
          </w:tcPr>
          <w:p w14:paraId="0A8F2256" w14:textId="77777777" w:rsidR="00222D72" w:rsidRDefault="00222D72" w:rsidP="00100C7A">
            <w:pPr>
              <w:pStyle w:val="ARtabletextright"/>
            </w:pPr>
            <w:r w:rsidRPr="47AEECA1">
              <w:t>94%</w:t>
            </w:r>
          </w:p>
        </w:tc>
      </w:tr>
      <w:tr w:rsidR="00222D72" w14:paraId="0D1B6728" w14:textId="77777777" w:rsidTr="00834079">
        <w:trPr>
          <w:cantSplit w:val="0"/>
        </w:trPr>
        <w:tc>
          <w:tcPr>
            <w:tcW w:w="4536" w:type="dxa"/>
          </w:tcPr>
          <w:p w14:paraId="11F1CE83" w14:textId="73E07E41" w:rsidR="00222D72" w:rsidRPr="008B5BD3" w:rsidRDefault="00222D72" w:rsidP="004C7BEF">
            <w:pPr>
              <w:pStyle w:val="ARtabletext"/>
              <w:rPr>
                <w:rStyle w:val="FootnoteReference"/>
              </w:rPr>
            </w:pPr>
            <w:r w:rsidRPr="47AEECA1">
              <w:rPr>
                <w:rFonts w:eastAsia="Arial"/>
              </w:rPr>
              <w:t>Certified fibre sourcing</w:t>
            </w:r>
            <w:r w:rsidR="008B5BD3">
              <w:rPr>
                <w:rStyle w:val="FootnoteReference"/>
              </w:rPr>
              <w:t>(</w:t>
            </w:r>
            <w:r w:rsidR="008B5BD3">
              <w:rPr>
                <w:rStyle w:val="FootnoteReference"/>
              </w:rPr>
              <w:footnoteReference w:id="52"/>
            </w:r>
            <w:r w:rsidR="008B5BD3">
              <w:rPr>
                <w:rStyle w:val="FootnoteReference"/>
              </w:rPr>
              <w:t>)</w:t>
            </w:r>
          </w:p>
        </w:tc>
        <w:tc>
          <w:tcPr>
            <w:tcW w:w="1701" w:type="dxa"/>
          </w:tcPr>
          <w:p w14:paraId="048C4153" w14:textId="77777777" w:rsidR="00222D72" w:rsidRPr="00296D69" w:rsidRDefault="00222D72" w:rsidP="00100C7A">
            <w:pPr>
              <w:pStyle w:val="ARtabletextright"/>
            </w:pPr>
            <w:r w:rsidRPr="4E7E9537">
              <w:t>100%</w:t>
            </w:r>
          </w:p>
        </w:tc>
        <w:tc>
          <w:tcPr>
            <w:tcW w:w="1701" w:type="dxa"/>
          </w:tcPr>
          <w:p w14:paraId="13B2B671" w14:textId="77777777" w:rsidR="00222D72" w:rsidRDefault="00222D72" w:rsidP="00100C7A">
            <w:pPr>
              <w:pStyle w:val="ARtabletextright"/>
            </w:pPr>
            <w:r w:rsidRPr="47AEECA1">
              <w:t>100%</w:t>
            </w:r>
          </w:p>
        </w:tc>
        <w:tc>
          <w:tcPr>
            <w:tcW w:w="1701" w:type="dxa"/>
          </w:tcPr>
          <w:p w14:paraId="4A0DC3C0" w14:textId="77777777" w:rsidR="00222D72" w:rsidRDefault="00222D72" w:rsidP="00100C7A">
            <w:pPr>
              <w:pStyle w:val="ARtabletextright"/>
            </w:pPr>
            <w:r w:rsidRPr="47AEECA1">
              <w:t>100%</w:t>
            </w:r>
          </w:p>
        </w:tc>
      </w:tr>
    </w:tbl>
    <w:p w14:paraId="6F512B2A" w14:textId="77777777" w:rsidR="00222D72" w:rsidRDefault="00222D72" w:rsidP="004C7BEF">
      <w:pPr>
        <w:pStyle w:val="ARtablefootnote"/>
        <w:spacing w:before="60"/>
        <w:rPr>
          <w:rFonts w:eastAsia="Arial" w:cs="Arial"/>
          <w:color w:val="000000" w:themeColor="text1"/>
        </w:rPr>
      </w:pPr>
      <w:r w:rsidRPr="47AEECA1">
        <w:rPr>
          <w:rFonts w:eastAsia="Arial" w:cs="Arial"/>
          <w:color w:val="000000" w:themeColor="text1"/>
        </w:rPr>
        <w:t>Public health services are GST-exempt organisations. Reported cost data for public health services is exclusive of GST.</w:t>
      </w:r>
    </w:p>
    <w:p w14:paraId="3768FADB" w14:textId="2B57C920" w:rsidR="00222D72" w:rsidRDefault="00222D72" w:rsidP="004C7BEF">
      <w:pPr>
        <w:pStyle w:val="ARtablefootnote"/>
        <w:spacing w:before="60"/>
        <w:rPr>
          <w:rFonts w:eastAsia="Arial" w:cs="Arial"/>
          <w:color w:val="000000" w:themeColor="text1"/>
        </w:rPr>
      </w:pPr>
      <w:r w:rsidRPr="4E7E9537">
        <w:rPr>
          <w:rFonts w:eastAsia="Arial" w:cs="Arial"/>
          <w:color w:val="000000" w:themeColor="text1"/>
        </w:rPr>
        <w:t>Paper data is sourced from the statewide stationery contract managed by HealthShare Victoria and apportioned by FTE to those health services that do not procure office paper through this contract. FTE is the full-time equivalent staff employed by a public health service as of 30 June for the financial year.</w:t>
      </w:r>
    </w:p>
    <w:p w14:paraId="1D2E1B61" w14:textId="77777777" w:rsidR="009E243D" w:rsidRPr="009E243D" w:rsidRDefault="009E243D" w:rsidP="009E243D">
      <w:pPr>
        <w:pStyle w:val="ARbody"/>
      </w:pPr>
      <w:r w:rsidRPr="009E243D">
        <w:br w:type="page"/>
      </w:r>
    </w:p>
    <w:p w14:paraId="516C72D5" w14:textId="16859191" w:rsidR="00222D72" w:rsidRDefault="00222D72" w:rsidP="004C7BEF">
      <w:pPr>
        <w:pStyle w:val="Heading4"/>
        <w:rPr>
          <w:rFonts w:eastAsia="Arial"/>
        </w:rPr>
      </w:pPr>
      <w:r w:rsidRPr="47AEECA1">
        <w:rPr>
          <w:rFonts w:eastAsia="Arial"/>
        </w:rPr>
        <w:t>National pollutant inventory</w:t>
      </w:r>
    </w:p>
    <w:p w14:paraId="487E35F6" w14:textId="77777777" w:rsidR="00222D72" w:rsidRDefault="00222D72" w:rsidP="004C7BEF">
      <w:pPr>
        <w:pStyle w:val="ARbodybeforetable"/>
        <w:rPr>
          <w:rFonts w:eastAsia="Arial"/>
          <w:color w:val="000000" w:themeColor="text1"/>
          <w:szCs w:val="20"/>
        </w:rPr>
      </w:pPr>
      <w:r w:rsidRPr="47AEECA1">
        <w:rPr>
          <w:rFonts w:eastAsia="Arial"/>
          <w:color w:val="000000" w:themeColor="text1"/>
          <w:szCs w:val="20"/>
        </w:rPr>
        <w:t>The Commonwealth National Pollutant Inventory (NPI) provides the community, industry and government with information on substances emitted to the air, land and water. The inventory tracks the amount, in kilograms, of substances emitted by organisations that trigger the reporting threshold. The table below is an aggregation of substances reported by Victorian public health services through the NPI.</w:t>
      </w:r>
    </w:p>
    <w:tbl>
      <w:tblPr>
        <w:tblStyle w:val="TableGrid"/>
        <w:tblW w:w="9639" w:type="dxa"/>
        <w:tblLayout w:type="fixed"/>
        <w:tblLook w:val="06A0" w:firstRow="1" w:lastRow="0" w:firstColumn="1" w:lastColumn="0" w:noHBand="1" w:noVBand="1"/>
      </w:tblPr>
      <w:tblGrid>
        <w:gridCol w:w="4536"/>
        <w:gridCol w:w="1701"/>
        <w:gridCol w:w="1701"/>
        <w:gridCol w:w="1701"/>
      </w:tblGrid>
      <w:tr w:rsidR="00222D72" w14:paraId="68DE5CED" w14:textId="77777777" w:rsidTr="00834079">
        <w:trPr>
          <w:cnfStyle w:val="100000000000" w:firstRow="1" w:lastRow="0" w:firstColumn="0" w:lastColumn="0" w:oddVBand="0" w:evenVBand="0" w:oddHBand="0" w:evenHBand="0" w:firstRowFirstColumn="0" w:firstRowLastColumn="0" w:lastRowFirstColumn="0" w:lastRowLastColumn="0"/>
          <w:tblHeader/>
        </w:trPr>
        <w:tc>
          <w:tcPr>
            <w:tcW w:w="4536" w:type="dxa"/>
          </w:tcPr>
          <w:p w14:paraId="2CE8FD61" w14:textId="77777777" w:rsidR="00222D72" w:rsidRDefault="00222D72" w:rsidP="004C7BEF">
            <w:pPr>
              <w:pStyle w:val="ARtablecolhead"/>
              <w:spacing w:line="240" w:lineRule="auto"/>
              <w:rPr>
                <w:rFonts w:eastAsia="Arial"/>
                <w:bCs/>
              </w:rPr>
            </w:pPr>
            <w:r w:rsidRPr="47AEECA1">
              <w:rPr>
                <w:rFonts w:eastAsia="Arial"/>
                <w:bCs/>
              </w:rPr>
              <w:t>Description</w:t>
            </w:r>
          </w:p>
        </w:tc>
        <w:tc>
          <w:tcPr>
            <w:tcW w:w="1701" w:type="dxa"/>
          </w:tcPr>
          <w:p w14:paraId="014D3202"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2021–22 estimate</w:t>
            </w:r>
          </w:p>
        </w:tc>
        <w:tc>
          <w:tcPr>
            <w:tcW w:w="1701" w:type="dxa"/>
          </w:tcPr>
          <w:p w14:paraId="098419F2"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2020–21 estimate</w:t>
            </w:r>
          </w:p>
        </w:tc>
        <w:tc>
          <w:tcPr>
            <w:tcW w:w="1701" w:type="dxa"/>
          </w:tcPr>
          <w:p w14:paraId="2BE41AA1" w14:textId="77777777" w:rsidR="00222D72" w:rsidRDefault="00222D72" w:rsidP="004C7BEF">
            <w:pPr>
              <w:pStyle w:val="ARtablecolheadright"/>
              <w:rPr>
                <w:rFonts w:eastAsia="Arial"/>
                <w:bCs/>
                <w:color w:val="000000" w:themeColor="text1"/>
              </w:rPr>
            </w:pPr>
            <w:r w:rsidRPr="47AEECA1">
              <w:rPr>
                <w:rFonts w:eastAsia="Arial"/>
                <w:bCs/>
                <w:color w:val="000000" w:themeColor="text1"/>
              </w:rPr>
              <w:t>2019–20 estimate</w:t>
            </w:r>
          </w:p>
        </w:tc>
      </w:tr>
      <w:tr w:rsidR="00222D72" w14:paraId="117FADE1" w14:textId="77777777" w:rsidTr="00834079">
        <w:trPr>
          <w:cnfStyle w:val="100000000000" w:firstRow="1" w:lastRow="0" w:firstColumn="0" w:lastColumn="0" w:oddVBand="0" w:evenVBand="0" w:oddHBand="0" w:evenHBand="0" w:firstRowFirstColumn="0" w:firstRowLastColumn="0" w:lastRowFirstColumn="0" w:lastRowLastColumn="0"/>
          <w:tblHeader/>
        </w:trPr>
        <w:tc>
          <w:tcPr>
            <w:tcW w:w="4536" w:type="dxa"/>
          </w:tcPr>
          <w:p w14:paraId="359FEEC4" w14:textId="77777777" w:rsidR="00222D72" w:rsidRDefault="00222D72" w:rsidP="004C7BEF">
            <w:pPr>
              <w:pStyle w:val="ARtablecolhead"/>
              <w:rPr>
                <w:rFonts w:eastAsia="Arial"/>
                <w:bCs/>
              </w:rPr>
            </w:pPr>
            <w:r w:rsidRPr="47AEECA1">
              <w:rPr>
                <w:rFonts w:eastAsia="Arial"/>
                <w:bCs/>
              </w:rPr>
              <w:t>Total units of national pollutant inventory substances emitted</w:t>
            </w:r>
          </w:p>
        </w:tc>
        <w:tc>
          <w:tcPr>
            <w:tcW w:w="1701" w:type="dxa"/>
          </w:tcPr>
          <w:p w14:paraId="53979E55" w14:textId="77777777" w:rsidR="00222D72" w:rsidRDefault="00222D72" w:rsidP="004C7BEF">
            <w:pPr>
              <w:pStyle w:val="ARtablecolheadright"/>
              <w:rPr>
                <w:rFonts w:eastAsia="Arial"/>
                <w:bCs/>
              </w:rPr>
            </w:pPr>
            <w:r w:rsidRPr="47AEECA1">
              <w:rPr>
                <w:rFonts w:eastAsia="Arial"/>
                <w:bCs/>
              </w:rPr>
              <w:t>Emissions</w:t>
            </w:r>
          </w:p>
          <w:p w14:paraId="7AA20781" w14:textId="77777777" w:rsidR="00222D72" w:rsidRDefault="00222D72" w:rsidP="004C7BEF">
            <w:pPr>
              <w:pStyle w:val="ARtablecolheadright"/>
              <w:rPr>
                <w:rFonts w:eastAsia="Arial"/>
                <w:bCs/>
              </w:rPr>
            </w:pPr>
            <w:r w:rsidRPr="47AEECA1">
              <w:rPr>
                <w:rFonts w:eastAsia="Arial"/>
                <w:bCs/>
              </w:rPr>
              <w:t>(kilograms)</w:t>
            </w:r>
          </w:p>
        </w:tc>
        <w:tc>
          <w:tcPr>
            <w:tcW w:w="1701" w:type="dxa"/>
          </w:tcPr>
          <w:p w14:paraId="3506DDE5" w14:textId="77777777" w:rsidR="00222D72" w:rsidRDefault="00222D72" w:rsidP="004C7BEF">
            <w:pPr>
              <w:pStyle w:val="ARtablecolheadright"/>
              <w:rPr>
                <w:rFonts w:eastAsia="Arial"/>
                <w:bCs/>
              </w:rPr>
            </w:pPr>
            <w:r w:rsidRPr="47AEECA1">
              <w:rPr>
                <w:rFonts w:eastAsia="Arial"/>
                <w:bCs/>
              </w:rPr>
              <w:t>Emissions</w:t>
            </w:r>
          </w:p>
          <w:p w14:paraId="637B6199" w14:textId="77777777" w:rsidR="00222D72" w:rsidRDefault="00222D72" w:rsidP="004C7BEF">
            <w:pPr>
              <w:pStyle w:val="ARtablecolheadright"/>
              <w:rPr>
                <w:rFonts w:eastAsia="Arial"/>
                <w:bCs/>
              </w:rPr>
            </w:pPr>
            <w:r w:rsidRPr="47AEECA1">
              <w:rPr>
                <w:rFonts w:eastAsia="Arial"/>
                <w:bCs/>
              </w:rPr>
              <w:t>(kilograms)</w:t>
            </w:r>
          </w:p>
        </w:tc>
        <w:tc>
          <w:tcPr>
            <w:tcW w:w="1701" w:type="dxa"/>
          </w:tcPr>
          <w:p w14:paraId="0F5C0865" w14:textId="77777777" w:rsidR="00222D72" w:rsidRDefault="00222D72" w:rsidP="004C7BEF">
            <w:pPr>
              <w:pStyle w:val="ARtablecolheadright"/>
              <w:rPr>
                <w:rFonts w:eastAsia="Arial"/>
                <w:bCs/>
              </w:rPr>
            </w:pPr>
            <w:r w:rsidRPr="47AEECA1">
              <w:rPr>
                <w:rFonts w:eastAsia="Arial"/>
                <w:bCs/>
              </w:rPr>
              <w:t>Emissions</w:t>
            </w:r>
          </w:p>
          <w:p w14:paraId="58BACE0D" w14:textId="77777777" w:rsidR="00222D72" w:rsidRDefault="00222D72" w:rsidP="004C7BEF">
            <w:pPr>
              <w:pStyle w:val="ARtablecolheadright"/>
              <w:rPr>
                <w:rFonts w:eastAsia="Arial"/>
                <w:bCs/>
              </w:rPr>
            </w:pPr>
            <w:r w:rsidRPr="47AEECA1">
              <w:rPr>
                <w:rFonts w:eastAsia="Arial"/>
                <w:bCs/>
              </w:rPr>
              <w:t>(kilograms)</w:t>
            </w:r>
          </w:p>
        </w:tc>
      </w:tr>
      <w:tr w:rsidR="00222D72" w14:paraId="0E1B8B10" w14:textId="77777777" w:rsidTr="00834079">
        <w:trPr>
          <w:cantSplit w:val="0"/>
        </w:trPr>
        <w:tc>
          <w:tcPr>
            <w:tcW w:w="4536" w:type="dxa"/>
          </w:tcPr>
          <w:p w14:paraId="6A3E4C74" w14:textId="77777777" w:rsidR="00222D72" w:rsidRDefault="00222D72" w:rsidP="004C7BEF">
            <w:pPr>
              <w:pStyle w:val="ARtabletext"/>
              <w:rPr>
                <w:rFonts w:eastAsia="Arial"/>
              </w:rPr>
            </w:pPr>
            <w:r w:rsidRPr="47AEECA1">
              <w:rPr>
                <w:rFonts w:eastAsia="Arial"/>
              </w:rPr>
              <w:t>Carbon monoxide</w:t>
            </w:r>
          </w:p>
        </w:tc>
        <w:tc>
          <w:tcPr>
            <w:tcW w:w="1701" w:type="dxa"/>
          </w:tcPr>
          <w:p w14:paraId="7307F56C" w14:textId="77777777" w:rsidR="00222D72" w:rsidRDefault="00222D72" w:rsidP="00100C7A">
            <w:pPr>
              <w:pStyle w:val="ARtabletextright"/>
            </w:pPr>
            <w:r w:rsidRPr="2396B9CA">
              <w:t>N/A</w:t>
            </w:r>
          </w:p>
        </w:tc>
        <w:tc>
          <w:tcPr>
            <w:tcW w:w="1701" w:type="dxa"/>
          </w:tcPr>
          <w:p w14:paraId="135F3709" w14:textId="77777777" w:rsidR="00222D72" w:rsidRPr="00296D69" w:rsidRDefault="00222D72" w:rsidP="00100C7A">
            <w:pPr>
              <w:pStyle w:val="ARtabletextright"/>
            </w:pPr>
            <w:r w:rsidRPr="00296D69">
              <w:t>61,215</w:t>
            </w:r>
          </w:p>
        </w:tc>
        <w:tc>
          <w:tcPr>
            <w:tcW w:w="1701" w:type="dxa"/>
          </w:tcPr>
          <w:p w14:paraId="46CEFF0E" w14:textId="77777777" w:rsidR="00222D72" w:rsidRDefault="00222D72" w:rsidP="00100C7A">
            <w:pPr>
              <w:pStyle w:val="ARtabletextright"/>
            </w:pPr>
            <w:r w:rsidRPr="47AEECA1">
              <w:t>62,875</w:t>
            </w:r>
          </w:p>
        </w:tc>
      </w:tr>
      <w:tr w:rsidR="00222D72" w14:paraId="4129E7FB" w14:textId="77777777" w:rsidTr="00834079">
        <w:trPr>
          <w:cantSplit w:val="0"/>
        </w:trPr>
        <w:tc>
          <w:tcPr>
            <w:tcW w:w="4536" w:type="dxa"/>
          </w:tcPr>
          <w:p w14:paraId="51B2A985" w14:textId="77777777" w:rsidR="00222D72" w:rsidRDefault="00222D72" w:rsidP="004C7BEF">
            <w:pPr>
              <w:pStyle w:val="ARtabletext"/>
              <w:rPr>
                <w:rFonts w:eastAsia="Arial"/>
              </w:rPr>
            </w:pPr>
            <w:r w:rsidRPr="47AEECA1">
              <w:rPr>
                <w:rFonts w:eastAsia="Arial"/>
              </w:rPr>
              <w:t>Oxides of nitrogen</w:t>
            </w:r>
          </w:p>
        </w:tc>
        <w:tc>
          <w:tcPr>
            <w:tcW w:w="1701" w:type="dxa"/>
          </w:tcPr>
          <w:p w14:paraId="4E1E42CF" w14:textId="77777777" w:rsidR="00222D72" w:rsidRDefault="00222D72" w:rsidP="00100C7A">
            <w:pPr>
              <w:pStyle w:val="ARtabletextright"/>
            </w:pPr>
            <w:r w:rsidRPr="47AEECA1">
              <w:t>N/A</w:t>
            </w:r>
          </w:p>
        </w:tc>
        <w:tc>
          <w:tcPr>
            <w:tcW w:w="1701" w:type="dxa"/>
          </w:tcPr>
          <w:p w14:paraId="79F5E3D3" w14:textId="77777777" w:rsidR="00222D72" w:rsidRPr="00296D69" w:rsidRDefault="00222D72" w:rsidP="00100C7A">
            <w:pPr>
              <w:pStyle w:val="ARtabletextright"/>
            </w:pPr>
            <w:r w:rsidRPr="00296D69">
              <w:t>77,675</w:t>
            </w:r>
          </w:p>
        </w:tc>
        <w:tc>
          <w:tcPr>
            <w:tcW w:w="1701" w:type="dxa"/>
          </w:tcPr>
          <w:p w14:paraId="693213AE" w14:textId="2D9F3A0B" w:rsidR="00222D72" w:rsidRDefault="00222D72" w:rsidP="00100C7A">
            <w:pPr>
              <w:pStyle w:val="ARtabletextright"/>
            </w:pPr>
            <w:r w:rsidRPr="47AEECA1">
              <w:t>76,634</w:t>
            </w:r>
          </w:p>
        </w:tc>
      </w:tr>
      <w:tr w:rsidR="00222D72" w14:paraId="7F2F9FE9" w14:textId="77777777" w:rsidTr="00834079">
        <w:trPr>
          <w:cantSplit w:val="0"/>
        </w:trPr>
        <w:tc>
          <w:tcPr>
            <w:tcW w:w="4536" w:type="dxa"/>
          </w:tcPr>
          <w:p w14:paraId="7FB565FE" w14:textId="497EDBE1" w:rsidR="00222D72" w:rsidRPr="009E243D" w:rsidRDefault="00222D72" w:rsidP="004C7BEF">
            <w:pPr>
              <w:pStyle w:val="ARtabletext"/>
              <w:rPr>
                <w:rStyle w:val="FootnoteReference"/>
              </w:rPr>
            </w:pPr>
            <w:r w:rsidRPr="47AEECA1">
              <w:rPr>
                <w:rFonts w:eastAsia="Arial"/>
              </w:rPr>
              <w:t>Particulate matter (2.5 µm and 10 µm</w:t>
            </w:r>
            <w:r w:rsidRPr="00E04FD7">
              <w:rPr>
                <w:rFonts w:eastAsia="Arial"/>
              </w:rPr>
              <w:t>)</w:t>
            </w:r>
            <w:r w:rsidR="009E243D">
              <w:rPr>
                <w:rStyle w:val="FootnoteReference"/>
              </w:rPr>
              <w:t>(</w:t>
            </w:r>
            <w:r w:rsidR="009E243D">
              <w:rPr>
                <w:rStyle w:val="FootnoteReference"/>
              </w:rPr>
              <w:footnoteReference w:id="53"/>
            </w:r>
            <w:r w:rsidR="009E243D">
              <w:rPr>
                <w:rStyle w:val="FootnoteReference"/>
              </w:rPr>
              <w:t>)</w:t>
            </w:r>
          </w:p>
        </w:tc>
        <w:tc>
          <w:tcPr>
            <w:tcW w:w="1701" w:type="dxa"/>
          </w:tcPr>
          <w:p w14:paraId="6D16AAFF" w14:textId="77777777" w:rsidR="00222D72" w:rsidRDefault="00222D72" w:rsidP="00100C7A">
            <w:pPr>
              <w:pStyle w:val="ARtabletextright"/>
            </w:pPr>
            <w:r w:rsidRPr="47AEECA1">
              <w:t>N/A</w:t>
            </w:r>
          </w:p>
        </w:tc>
        <w:tc>
          <w:tcPr>
            <w:tcW w:w="1701" w:type="dxa"/>
          </w:tcPr>
          <w:p w14:paraId="19AADDDE" w14:textId="77777777" w:rsidR="00222D72" w:rsidRPr="00296D69" w:rsidRDefault="00222D72" w:rsidP="00100C7A">
            <w:pPr>
              <w:pStyle w:val="ARtabletextright"/>
            </w:pPr>
            <w:r w:rsidRPr="00296D69">
              <w:t>5,615</w:t>
            </w:r>
          </w:p>
        </w:tc>
        <w:tc>
          <w:tcPr>
            <w:tcW w:w="1701" w:type="dxa"/>
          </w:tcPr>
          <w:p w14:paraId="4B0E5069" w14:textId="77777777" w:rsidR="00222D72" w:rsidRDefault="00222D72" w:rsidP="00100C7A">
            <w:pPr>
              <w:pStyle w:val="ARtabletextright"/>
            </w:pPr>
            <w:r w:rsidRPr="47AEECA1">
              <w:t>5,413</w:t>
            </w:r>
          </w:p>
        </w:tc>
      </w:tr>
      <w:tr w:rsidR="00222D72" w14:paraId="0296D416" w14:textId="77777777" w:rsidTr="00834079">
        <w:trPr>
          <w:cantSplit w:val="0"/>
        </w:trPr>
        <w:tc>
          <w:tcPr>
            <w:tcW w:w="4536" w:type="dxa"/>
          </w:tcPr>
          <w:p w14:paraId="6116B0B1" w14:textId="77777777" w:rsidR="00222D72" w:rsidRDefault="00222D72" w:rsidP="004C7BEF">
            <w:pPr>
              <w:pStyle w:val="ARtabletext"/>
              <w:rPr>
                <w:rFonts w:eastAsia="Arial"/>
              </w:rPr>
            </w:pPr>
            <w:r w:rsidRPr="47AEECA1">
              <w:rPr>
                <w:rFonts w:eastAsia="Arial"/>
              </w:rPr>
              <w:t>Total volatile organic compounds</w:t>
            </w:r>
          </w:p>
        </w:tc>
        <w:tc>
          <w:tcPr>
            <w:tcW w:w="1701" w:type="dxa"/>
          </w:tcPr>
          <w:p w14:paraId="3E856AAA" w14:textId="77777777" w:rsidR="00222D72" w:rsidRDefault="00222D72" w:rsidP="00100C7A">
            <w:pPr>
              <w:pStyle w:val="ARtabletextright"/>
            </w:pPr>
            <w:r w:rsidRPr="47AEECA1">
              <w:t>N/A</w:t>
            </w:r>
          </w:p>
        </w:tc>
        <w:tc>
          <w:tcPr>
            <w:tcW w:w="1701" w:type="dxa"/>
          </w:tcPr>
          <w:p w14:paraId="1F59D8F9" w14:textId="77777777" w:rsidR="00222D72" w:rsidRPr="00296D69" w:rsidRDefault="00222D72" w:rsidP="00100C7A">
            <w:pPr>
              <w:pStyle w:val="ARtabletextright"/>
            </w:pPr>
            <w:r w:rsidRPr="00296D69">
              <w:t>4,412</w:t>
            </w:r>
          </w:p>
        </w:tc>
        <w:tc>
          <w:tcPr>
            <w:tcW w:w="1701" w:type="dxa"/>
          </w:tcPr>
          <w:p w14:paraId="54E57A6F" w14:textId="668AEE67" w:rsidR="00222D72" w:rsidRDefault="00222D72" w:rsidP="00100C7A">
            <w:pPr>
              <w:pStyle w:val="ARtabletextright"/>
            </w:pPr>
            <w:r w:rsidRPr="47AEECA1">
              <w:t>4,387</w:t>
            </w:r>
          </w:p>
        </w:tc>
      </w:tr>
      <w:tr w:rsidR="00222D72" w14:paraId="74A4E209" w14:textId="77777777" w:rsidTr="00834079">
        <w:trPr>
          <w:cantSplit w:val="0"/>
        </w:trPr>
        <w:tc>
          <w:tcPr>
            <w:tcW w:w="4536" w:type="dxa"/>
          </w:tcPr>
          <w:p w14:paraId="6F5308B6" w14:textId="77777777" w:rsidR="00222D72" w:rsidRDefault="00222D72" w:rsidP="004C7BEF">
            <w:pPr>
              <w:pStyle w:val="ARtabletext"/>
              <w:rPr>
                <w:rFonts w:eastAsia="Arial"/>
              </w:rPr>
            </w:pPr>
            <w:r w:rsidRPr="47AEECA1">
              <w:rPr>
                <w:rFonts w:eastAsia="Arial"/>
              </w:rPr>
              <w:t>Sulphur dioxide</w:t>
            </w:r>
          </w:p>
        </w:tc>
        <w:tc>
          <w:tcPr>
            <w:tcW w:w="1701" w:type="dxa"/>
          </w:tcPr>
          <w:p w14:paraId="5F821B37" w14:textId="77777777" w:rsidR="00222D72" w:rsidRDefault="00222D72" w:rsidP="00100C7A">
            <w:pPr>
              <w:pStyle w:val="ARtabletextright"/>
            </w:pPr>
            <w:r w:rsidRPr="47AEECA1">
              <w:t>N/A</w:t>
            </w:r>
          </w:p>
        </w:tc>
        <w:tc>
          <w:tcPr>
            <w:tcW w:w="1701" w:type="dxa"/>
          </w:tcPr>
          <w:p w14:paraId="1D5AE95F" w14:textId="77777777" w:rsidR="00222D72" w:rsidRPr="00296D69" w:rsidRDefault="00222D72" w:rsidP="00100C7A">
            <w:pPr>
              <w:pStyle w:val="ARtabletextright"/>
            </w:pPr>
            <w:r w:rsidRPr="00296D69">
              <w:t>788</w:t>
            </w:r>
          </w:p>
        </w:tc>
        <w:tc>
          <w:tcPr>
            <w:tcW w:w="1701" w:type="dxa"/>
          </w:tcPr>
          <w:p w14:paraId="43B79390" w14:textId="369DA5BF" w:rsidR="00222D72" w:rsidRDefault="00222D72" w:rsidP="00100C7A">
            <w:pPr>
              <w:pStyle w:val="ARtabletextright"/>
            </w:pPr>
            <w:r w:rsidRPr="47AEECA1">
              <w:t>766</w:t>
            </w:r>
          </w:p>
        </w:tc>
      </w:tr>
      <w:tr w:rsidR="00222D72" w14:paraId="40FE2BC8" w14:textId="77777777" w:rsidTr="00834079">
        <w:trPr>
          <w:cantSplit w:val="0"/>
        </w:trPr>
        <w:tc>
          <w:tcPr>
            <w:tcW w:w="4536" w:type="dxa"/>
          </w:tcPr>
          <w:p w14:paraId="74807498" w14:textId="7F48B31F" w:rsidR="00222D72" w:rsidRPr="009E243D" w:rsidRDefault="00222D72" w:rsidP="004C7BEF">
            <w:pPr>
              <w:pStyle w:val="ARtabletext"/>
              <w:rPr>
                <w:rStyle w:val="FootnoteReference"/>
              </w:rPr>
            </w:pPr>
            <w:r w:rsidRPr="47AEECA1">
              <w:rPr>
                <w:rFonts w:eastAsia="Arial"/>
              </w:rPr>
              <w:t>Other substances</w:t>
            </w:r>
            <w:r w:rsidR="009E243D">
              <w:rPr>
                <w:rStyle w:val="FootnoteReference"/>
              </w:rPr>
              <w:t>(</w:t>
            </w:r>
            <w:r w:rsidR="009E243D">
              <w:rPr>
                <w:rStyle w:val="FootnoteReference"/>
              </w:rPr>
              <w:footnoteReference w:id="54"/>
            </w:r>
            <w:r w:rsidR="009E243D">
              <w:rPr>
                <w:rStyle w:val="FootnoteReference"/>
              </w:rPr>
              <w:t>)</w:t>
            </w:r>
          </w:p>
        </w:tc>
        <w:tc>
          <w:tcPr>
            <w:tcW w:w="1701" w:type="dxa"/>
          </w:tcPr>
          <w:p w14:paraId="7F05D8AF" w14:textId="77777777" w:rsidR="00222D72" w:rsidRDefault="00222D72" w:rsidP="00100C7A">
            <w:pPr>
              <w:pStyle w:val="ARtabletextright"/>
            </w:pPr>
            <w:r w:rsidRPr="47AEECA1">
              <w:t>N</w:t>
            </w:r>
            <w:r>
              <w:t>/</w:t>
            </w:r>
            <w:r w:rsidRPr="47AEECA1">
              <w:t>A</w:t>
            </w:r>
          </w:p>
        </w:tc>
        <w:tc>
          <w:tcPr>
            <w:tcW w:w="1701" w:type="dxa"/>
          </w:tcPr>
          <w:p w14:paraId="1E56C051" w14:textId="77777777" w:rsidR="00222D72" w:rsidRPr="00296D69" w:rsidRDefault="00222D72" w:rsidP="00100C7A">
            <w:pPr>
              <w:pStyle w:val="ARtabletextright"/>
            </w:pPr>
            <w:r w:rsidRPr="00296D69">
              <w:t>2.7</w:t>
            </w:r>
          </w:p>
        </w:tc>
        <w:tc>
          <w:tcPr>
            <w:tcW w:w="1701" w:type="dxa"/>
          </w:tcPr>
          <w:p w14:paraId="011C97F4" w14:textId="7D85A811" w:rsidR="00222D72" w:rsidRDefault="00222D72" w:rsidP="00100C7A">
            <w:pPr>
              <w:pStyle w:val="ARtabletextright"/>
            </w:pPr>
            <w:r w:rsidRPr="47AEECA1">
              <w:t>2.6</w:t>
            </w:r>
          </w:p>
        </w:tc>
      </w:tr>
    </w:tbl>
    <w:p w14:paraId="604605BD" w14:textId="6C566EEB" w:rsidR="00222D72" w:rsidRPr="009E243D" w:rsidRDefault="00222D72" w:rsidP="009E243D">
      <w:pPr>
        <w:pStyle w:val="ARtablefootnote"/>
        <w:spacing w:before="60"/>
        <w:rPr>
          <w:rFonts w:eastAsia="Arial" w:cs="Arial"/>
          <w:color w:val="000000" w:themeColor="text1"/>
        </w:rPr>
      </w:pPr>
      <w:r w:rsidRPr="47AEECA1">
        <w:rPr>
          <w:rFonts w:eastAsia="Arial" w:cs="Arial"/>
          <w:color w:val="000000" w:themeColor="text1"/>
        </w:rPr>
        <w:t>2020–21 is the most recent data available from the NPI at the date of this report.</w:t>
      </w:r>
    </w:p>
    <w:p w14:paraId="17360C3E" w14:textId="77777777" w:rsidR="00DA46D3" w:rsidRDefault="00DA46D3" w:rsidP="00EF6835">
      <w:pPr>
        <w:pStyle w:val="ARbody"/>
      </w:pPr>
    </w:p>
    <w:p w14:paraId="23040634" w14:textId="77777777" w:rsidR="00DA46D3" w:rsidRDefault="00DA46D3" w:rsidP="00EF6835">
      <w:pPr>
        <w:pStyle w:val="ARbody"/>
        <w:sectPr w:rsidR="00DA46D3" w:rsidSect="00DA46D3">
          <w:footnotePr>
            <w:numFmt w:val="lowerLetter"/>
            <w:numRestart w:val="eachPage"/>
          </w:footnotePr>
          <w:endnotePr>
            <w:numFmt w:val="decimal"/>
          </w:endnotePr>
          <w:pgSz w:w="11900" w:h="16840" w:code="9"/>
          <w:pgMar w:top="1985" w:right="1134" w:bottom="851" w:left="1134" w:header="510" w:footer="340" w:gutter="0"/>
          <w:cols w:space="708"/>
          <w:docGrid w:linePitch="299"/>
          <w15:footnoteColumns w:val="1"/>
        </w:sectPr>
      </w:pPr>
    </w:p>
    <w:p w14:paraId="333A596B" w14:textId="77777777" w:rsidR="00CE75D4" w:rsidRPr="00B53E8F" w:rsidRDefault="00CE75D4" w:rsidP="00E54FBE">
      <w:pPr>
        <w:pStyle w:val="Heading1"/>
      </w:pPr>
      <w:bookmarkStart w:id="477" w:name="_Ref84596580"/>
      <w:bookmarkStart w:id="478" w:name="_Toc85121346"/>
      <w:bookmarkStart w:id="479" w:name="_Toc85121634"/>
      <w:bookmarkStart w:id="480" w:name="_Toc86075617"/>
      <w:bookmarkStart w:id="481" w:name="_Ref112963159"/>
      <w:bookmarkStart w:id="482" w:name="_Ref112963173"/>
      <w:bookmarkStart w:id="483" w:name="_Toc113702947"/>
      <w:bookmarkStart w:id="484" w:name="FinancialStatements"/>
      <w:bookmarkEnd w:id="6"/>
      <w:r w:rsidRPr="00B53E8F">
        <w:t>Department of Health: Financial statements for the financial year ended 30 June 202</w:t>
      </w:r>
      <w:bookmarkEnd w:id="477"/>
      <w:bookmarkEnd w:id="478"/>
      <w:bookmarkEnd w:id="479"/>
      <w:bookmarkEnd w:id="480"/>
      <w:r>
        <w:t>2</w:t>
      </w:r>
      <w:bookmarkEnd w:id="481"/>
      <w:bookmarkEnd w:id="482"/>
      <w:bookmarkEnd w:id="483"/>
    </w:p>
    <w:p w14:paraId="6CE94869" w14:textId="7023AAB5" w:rsidR="00780B21" w:rsidRDefault="00CE75D4">
      <w:pPr>
        <w:pStyle w:val="TOC1"/>
        <w:rPr>
          <w:rFonts w:asciiTheme="minorHAnsi" w:hAnsiTheme="minorHAnsi"/>
          <w:sz w:val="22"/>
          <w:szCs w:val="22"/>
          <w:lang w:eastAsia="en-AU"/>
        </w:rPr>
      </w:pPr>
      <w:r w:rsidRPr="002029AF">
        <w:rPr>
          <w:rFonts w:cs="Arial"/>
          <w:b/>
          <w:noProof w:val="0"/>
          <w:szCs w:val="24"/>
        </w:rPr>
        <w:fldChar w:fldCharType="begin"/>
      </w:r>
      <w:r w:rsidRPr="002029AF">
        <w:rPr>
          <w:rFonts w:cs="Arial"/>
          <w:b/>
          <w:noProof w:val="0"/>
          <w:szCs w:val="24"/>
        </w:rPr>
        <w:instrText xml:space="preserve"> TOC</w:instrText>
      </w:r>
      <w:r>
        <w:rPr>
          <w:rFonts w:cs="Arial"/>
          <w:b/>
          <w:noProof w:val="0"/>
          <w:szCs w:val="24"/>
        </w:rPr>
        <w:instrText xml:space="preserve"> \b</w:instrText>
      </w:r>
      <w:r w:rsidRPr="002029AF">
        <w:rPr>
          <w:rFonts w:cs="Arial"/>
          <w:b/>
          <w:noProof w:val="0"/>
          <w:szCs w:val="24"/>
        </w:rPr>
        <w:instrText xml:space="preserve"> </w:instrText>
      </w:r>
      <w:r>
        <w:rPr>
          <w:rFonts w:cs="Arial"/>
          <w:b/>
          <w:noProof w:val="0"/>
          <w:szCs w:val="24"/>
        </w:rPr>
        <w:instrText xml:space="preserve">FinancialStatements </w:instrText>
      </w:r>
      <w:r w:rsidRPr="002029AF">
        <w:rPr>
          <w:rFonts w:cs="Arial"/>
          <w:b/>
          <w:noProof w:val="0"/>
          <w:szCs w:val="24"/>
        </w:rPr>
        <w:instrText>\h \z \t "Heading 2</w:instrText>
      </w:r>
      <w:r>
        <w:rPr>
          <w:rFonts w:cs="Arial"/>
          <w:b/>
          <w:noProof w:val="0"/>
          <w:szCs w:val="24"/>
        </w:rPr>
        <w:instrText xml:space="preserve"> Financials</w:instrText>
      </w:r>
      <w:r w:rsidRPr="002029AF">
        <w:rPr>
          <w:rFonts w:cs="Arial"/>
          <w:b/>
          <w:noProof w:val="0"/>
          <w:szCs w:val="24"/>
        </w:rPr>
        <w:instrText xml:space="preserve">,1,Heading 3,2" </w:instrText>
      </w:r>
      <w:r w:rsidRPr="002029AF">
        <w:rPr>
          <w:rFonts w:cs="Arial"/>
          <w:b/>
          <w:noProof w:val="0"/>
          <w:szCs w:val="24"/>
        </w:rPr>
        <w:fldChar w:fldCharType="separate"/>
      </w:r>
      <w:hyperlink w:anchor="_Toc113702952" w:history="1">
        <w:r w:rsidR="00780B21" w:rsidRPr="00A114CE">
          <w:rPr>
            <w:rStyle w:val="Hyperlink"/>
          </w:rPr>
          <w:t>Declaration in the financial statements</w:t>
        </w:r>
        <w:r w:rsidR="00780B21">
          <w:rPr>
            <w:webHidden/>
          </w:rPr>
          <w:tab/>
        </w:r>
        <w:r w:rsidR="00780B21">
          <w:rPr>
            <w:webHidden/>
          </w:rPr>
          <w:fldChar w:fldCharType="begin"/>
        </w:r>
        <w:r w:rsidR="00780B21">
          <w:rPr>
            <w:webHidden/>
          </w:rPr>
          <w:instrText xml:space="preserve"> PAGEREF _Toc113702952 \h </w:instrText>
        </w:r>
        <w:r w:rsidR="00780B21">
          <w:rPr>
            <w:webHidden/>
          </w:rPr>
        </w:r>
        <w:r w:rsidR="00780B21">
          <w:rPr>
            <w:webHidden/>
          </w:rPr>
          <w:fldChar w:fldCharType="separate"/>
        </w:r>
        <w:r w:rsidR="00C213B3">
          <w:rPr>
            <w:webHidden/>
          </w:rPr>
          <w:t>123</w:t>
        </w:r>
        <w:r w:rsidR="00780B21">
          <w:rPr>
            <w:webHidden/>
          </w:rPr>
          <w:fldChar w:fldCharType="end"/>
        </w:r>
      </w:hyperlink>
    </w:p>
    <w:p w14:paraId="4C8BD00A" w14:textId="21632277" w:rsidR="00780B21" w:rsidRDefault="00951432">
      <w:pPr>
        <w:pStyle w:val="TOC1"/>
        <w:rPr>
          <w:rFonts w:asciiTheme="minorHAnsi" w:hAnsiTheme="minorHAnsi"/>
          <w:sz w:val="22"/>
          <w:szCs w:val="22"/>
          <w:lang w:eastAsia="en-AU"/>
        </w:rPr>
      </w:pPr>
      <w:hyperlink w:anchor="_Toc113702953" w:history="1">
        <w:r w:rsidR="00780B21" w:rsidRPr="00A114CE">
          <w:rPr>
            <w:rStyle w:val="Hyperlink"/>
          </w:rPr>
          <w:t>Independent auditor’s report</w:t>
        </w:r>
        <w:r w:rsidR="00780B21">
          <w:rPr>
            <w:webHidden/>
          </w:rPr>
          <w:tab/>
        </w:r>
        <w:r w:rsidR="00780B21">
          <w:rPr>
            <w:webHidden/>
          </w:rPr>
          <w:fldChar w:fldCharType="begin"/>
        </w:r>
        <w:r w:rsidR="00780B21">
          <w:rPr>
            <w:webHidden/>
          </w:rPr>
          <w:instrText xml:space="preserve"> PAGEREF _Toc113702953 \h </w:instrText>
        </w:r>
        <w:r w:rsidR="00780B21">
          <w:rPr>
            <w:webHidden/>
          </w:rPr>
        </w:r>
        <w:r w:rsidR="00780B21">
          <w:rPr>
            <w:webHidden/>
          </w:rPr>
          <w:fldChar w:fldCharType="separate"/>
        </w:r>
        <w:r w:rsidR="00C213B3">
          <w:rPr>
            <w:webHidden/>
          </w:rPr>
          <w:t>124</w:t>
        </w:r>
        <w:r w:rsidR="00780B21">
          <w:rPr>
            <w:webHidden/>
          </w:rPr>
          <w:fldChar w:fldCharType="end"/>
        </w:r>
      </w:hyperlink>
    </w:p>
    <w:p w14:paraId="2AB8FF0E" w14:textId="4278EA43" w:rsidR="00780B21" w:rsidRDefault="00951432">
      <w:pPr>
        <w:pStyle w:val="TOC1"/>
        <w:rPr>
          <w:rFonts w:asciiTheme="minorHAnsi" w:hAnsiTheme="minorHAnsi"/>
          <w:sz w:val="22"/>
          <w:szCs w:val="22"/>
          <w:lang w:eastAsia="en-AU"/>
        </w:rPr>
      </w:pPr>
      <w:hyperlink w:anchor="_Toc113702954" w:history="1">
        <w:r w:rsidR="00780B21" w:rsidRPr="00A114CE">
          <w:rPr>
            <w:rStyle w:val="Hyperlink"/>
            <w:lang w:eastAsia="en-AU"/>
          </w:rPr>
          <w:t>Comprehensive operating statement for the financial year ended 30 June 2022</w:t>
        </w:r>
        <w:r w:rsidR="00780B21">
          <w:rPr>
            <w:webHidden/>
          </w:rPr>
          <w:tab/>
        </w:r>
        <w:r w:rsidR="00780B21">
          <w:rPr>
            <w:webHidden/>
          </w:rPr>
          <w:fldChar w:fldCharType="begin"/>
        </w:r>
        <w:r w:rsidR="00780B21">
          <w:rPr>
            <w:webHidden/>
          </w:rPr>
          <w:instrText xml:space="preserve"> PAGEREF _Toc113702954 \h </w:instrText>
        </w:r>
        <w:r w:rsidR="00780B21">
          <w:rPr>
            <w:webHidden/>
          </w:rPr>
        </w:r>
        <w:r w:rsidR="00780B21">
          <w:rPr>
            <w:webHidden/>
          </w:rPr>
          <w:fldChar w:fldCharType="separate"/>
        </w:r>
        <w:r w:rsidR="00C213B3">
          <w:rPr>
            <w:webHidden/>
          </w:rPr>
          <w:t>126</w:t>
        </w:r>
        <w:r w:rsidR="00780B21">
          <w:rPr>
            <w:webHidden/>
          </w:rPr>
          <w:fldChar w:fldCharType="end"/>
        </w:r>
      </w:hyperlink>
    </w:p>
    <w:p w14:paraId="161D7363" w14:textId="6410C2D4" w:rsidR="00780B21" w:rsidRDefault="00951432">
      <w:pPr>
        <w:pStyle w:val="TOC1"/>
        <w:rPr>
          <w:rFonts w:asciiTheme="minorHAnsi" w:hAnsiTheme="minorHAnsi"/>
          <w:sz w:val="22"/>
          <w:szCs w:val="22"/>
          <w:lang w:eastAsia="en-AU"/>
        </w:rPr>
      </w:pPr>
      <w:hyperlink w:anchor="_Toc113702955" w:history="1">
        <w:r w:rsidR="00780B21" w:rsidRPr="00A114CE">
          <w:rPr>
            <w:rStyle w:val="Hyperlink"/>
          </w:rPr>
          <w:t>Balance sheet as at 30 June 2022</w:t>
        </w:r>
        <w:r w:rsidR="00780B21">
          <w:rPr>
            <w:webHidden/>
          </w:rPr>
          <w:tab/>
        </w:r>
        <w:r w:rsidR="00780B21">
          <w:rPr>
            <w:webHidden/>
          </w:rPr>
          <w:fldChar w:fldCharType="begin"/>
        </w:r>
        <w:r w:rsidR="00780B21">
          <w:rPr>
            <w:webHidden/>
          </w:rPr>
          <w:instrText xml:space="preserve"> PAGEREF _Toc113702955 \h </w:instrText>
        </w:r>
        <w:r w:rsidR="00780B21">
          <w:rPr>
            <w:webHidden/>
          </w:rPr>
        </w:r>
        <w:r w:rsidR="00780B21">
          <w:rPr>
            <w:webHidden/>
          </w:rPr>
          <w:fldChar w:fldCharType="separate"/>
        </w:r>
        <w:r w:rsidR="00C213B3">
          <w:rPr>
            <w:webHidden/>
          </w:rPr>
          <w:t>127</w:t>
        </w:r>
        <w:r w:rsidR="00780B21">
          <w:rPr>
            <w:webHidden/>
          </w:rPr>
          <w:fldChar w:fldCharType="end"/>
        </w:r>
      </w:hyperlink>
    </w:p>
    <w:p w14:paraId="02E05265" w14:textId="4C3E6CEE" w:rsidR="00780B21" w:rsidRDefault="00951432">
      <w:pPr>
        <w:pStyle w:val="TOC1"/>
        <w:rPr>
          <w:rFonts w:asciiTheme="minorHAnsi" w:hAnsiTheme="minorHAnsi"/>
          <w:sz w:val="22"/>
          <w:szCs w:val="22"/>
          <w:lang w:eastAsia="en-AU"/>
        </w:rPr>
      </w:pPr>
      <w:hyperlink w:anchor="_Toc113702956" w:history="1">
        <w:r w:rsidR="00780B21" w:rsidRPr="00A114CE">
          <w:rPr>
            <w:rStyle w:val="Hyperlink"/>
          </w:rPr>
          <w:t>Cash flow statement for the financial year ended 30 June 2022</w:t>
        </w:r>
        <w:r w:rsidR="00780B21">
          <w:rPr>
            <w:webHidden/>
          </w:rPr>
          <w:tab/>
        </w:r>
        <w:r w:rsidR="00780B21">
          <w:rPr>
            <w:webHidden/>
          </w:rPr>
          <w:fldChar w:fldCharType="begin"/>
        </w:r>
        <w:r w:rsidR="00780B21">
          <w:rPr>
            <w:webHidden/>
          </w:rPr>
          <w:instrText xml:space="preserve"> PAGEREF _Toc113702956 \h </w:instrText>
        </w:r>
        <w:r w:rsidR="00780B21">
          <w:rPr>
            <w:webHidden/>
          </w:rPr>
        </w:r>
        <w:r w:rsidR="00780B21">
          <w:rPr>
            <w:webHidden/>
          </w:rPr>
          <w:fldChar w:fldCharType="separate"/>
        </w:r>
        <w:r w:rsidR="00C213B3">
          <w:rPr>
            <w:webHidden/>
          </w:rPr>
          <w:t>128</w:t>
        </w:r>
        <w:r w:rsidR="00780B21">
          <w:rPr>
            <w:webHidden/>
          </w:rPr>
          <w:fldChar w:fldCharType="end"/>
        </w:r>
      </w:hyperlink>
    </w:p>
    <w:p w14:paraId="72C58D5B" w14:textId="391CF878" w:rsidR="00780B21" w:rsidRDefault="00951432">
      <w:pPr>
        <w:pStyle w:val="TOC1"/>
        <w:rPr>
          <w:rFonts w:asciiTheme="minorHAnsi" w:hAnsiTheme="minorHAnsi"/>
          <w:sz w:val="22"/>
          <w:szCs w:val="22"/>
          <w:lang w:eastAsia="en-AU"/>
        </w:rPr>
      </w:pPr>
      <w:hyperlink w:anchor="_Toc113702957" w:history="1">
        <w:r w:rsidR="00780B21" w:rsidRPr="00A114CE">
          <w:rPr>
            <w:rStyle w:val="Hyperlink"/>
          </w:rPr>
          <w:t>Statement of changes in equity for the financial year ended 30 June 2022</w:t>
        </w:r>
        <w:r w:rsidR="00780B21">
          <w:rPr>
            <w:webHidden/>
          </w:rPr>
          <w:tab/>
        </w:r>
        <w:r w:rsidR="00780B21">
          <w:rPr>
            <w:webHidden/>
          </w:rPr>
          <w:fldChar w:fldCharType="begin"/>
        </w:r>
        <w:r w:rsidR="00780B21">
          <w:rPr>
            <w:webHidden/>
          </w:rPr>
          <w:instrText xml:space="preserve"> PAGEREF _Toc113702957 \h </w:instrText>
        </w:r>
        <w:r w:rsidR="00780B21">
          <w:rPr>
            <w:webHidden/>
          </w:rPr>
        </w:r>
        <w:r w:rsidR="00780B21">
          <w:rPr>
            <w:webHidden/>
          </w:rPr>
          <w:fldChar w:fldCharType="separate"/>
        </w:r>
        <w:r w:rsidR="00C213B3">
          <w:rPr>
            <w:webHidden/>
          </w:rPr>
          <w:t>129</w:t>
        </w:r>
        <w:r w:rsidR="00780B21">
          <w:rPr>
            <w:webHidden/>
          </w:rPr>
          <w:fldChar w:fldCharType="end"/>
        </w:r>
      </w:hyperlink>
    </w:p>
    <w:p w14:paraId="1FCCE3C2" w14:textId="4A725C42" w:rsidR="00780B21" w:rsidRDefault="00951432">
      <w:pPr>
        <w:pStyle w:val="TOC1"/>
        <w:rPr>
          <w:rFonts w:asciiTheme="minorHAnsi" w:hAnsiTheme="minorHAnsi"/>
          <w:sz w:val="22"/>
          <w:szCs w:val="22"/>
          <w:lang w:eastAsia="en-AU"/>
        </w:rPr>
      </w:pPr>
      <w:hyperlink w:anchor="_Toc113702958" w:history="1">
        <w:r w:rsidR="00780B21" w:rsidRPr="00A114CE">
          <w:rPr>
            <w:rStyle w:val="Hyperlink"/>
            <w:lang w:eastAsia="en-AU"/>
          </w:rPr>
          <w:t>Notes to and forming part of the financial statements for the financial year ended 30 June 2022</w:t>
        </w:r>
        <w:r w:rsidR="00780B21">
          <w:rPr>
            <w:webHidden/>
          </w:rPr>
          <w:tab/>
        </w:r>
        <w:r w:rsidR="00780B21">
          <w:rPr>
            <w:webHidden/>
          </w:rPr>
          <w:fldChar w:fldCharType="begin"/>
        </w:r>
        <w:r w:rsidR="00780B21">
          <w:rPr>
            <w:webHidden/>
          </w:rPr>
          <w:instrText xml:space="preserve"> PAGEREF _Toc113702958 \h </w:instrText>
        </w:r>
        <w:r w:rsidR="00780B21">
          <w:rPr>
            <w:webHidden/>
          </w:rPr>
        </w:r>
        <w:r w:rsidR="00780B21">
          <w:rPr>
            <w:webHidden/>
          </w:rPr>
          <w:fldChar w:fldCharType="separate"/>
        </w:r>
        <w:r w:rsidR="00C213B3">
          <w:rPr>
            <w:webHidden/>
          </w:rPr>
          <w:t>130</w:t>
        </w:r>
        <w:r w:rsidR="00780B21">
          <w:rPr>
            <w:webHidden/>
          </w:rPr>
          <w:fldChar w:fldCharType="end"/>
        </w:r>
      </w:hyperlink>
    </w:p>
    <w:p w14:paraId="124A5216" w14:textId="56449ED7" w:rsidR="00780B21" w:rsidRDefault="00951432">
      <w:pPr>
        <w:pStyle w:val="TOC2"/>
        <w:rPr>
          <w:rFonts w:asciiTheme="minorHAnsi" w:hAnsiTheme="minorHAnsi"/>
          <w:sz w:val="22"/>
          <w:szCs w:val="22"/>
          <w:lang w:eastAsia="en-AU"/>
        </w:rPr>
      </w:pPr>
      <w:hyperlink w:anchor="_Toc113702959" w:history="1">
        <w:r w:rsidR="00780B21" w:rsidRPr="00A114CE">
          <w:rPr>
            <w:rStyle w:val="Hyperlink"/>
          </w:rPr>
          <w:t>1. About this report</w:t>
        </w:r>
        <w:r w:rsidR="00780B21">
          <w:rPr>
            <w:webHidden/>
          </w:rPr>
          <w:tab/>
        </w:r>
        <w:r w:rsidR="00780B21">
          <w:rPr>
            <w:webHidden/>
          </w:rPr>
          <w:fldChar w:fldCharType="begin"/>
        </w:r>
        <w:r w:rsidR="00780B21">
          <w:rPr>
            <w:webHidden/>
          </w:rPr>
          <w:instrText xml:space="preserve"> PAGEREF _Toc113702959 \h </w:instrText>
        </w:r>
        <w:r w:rsidR="00780B21">
          <w:rPr>
            <w:webHidden/>
          </w:rPr>
        </w:r>
        <w:r w:rsidR="00780B21">
          <w:rPr>
            <w:webHidden/>
          </w:rPr>
          <w:fldChar w:fldCharType="separate"/>
        </w:r>
        <w:r w:rsidR="00C213B3">
          <w:rPr>
            <w:webHidden/>
          </w:rPr>
          <w:t>130</w:t>
        </w:r>
        <w:r w:rsidR="00780B21">
          <w:rPr>
            <w:webHidden/>
          </w:rPr>
          <w:fldChar w:fldCharType="end"/>
        </w:r>
      </w:hyperlink>
    </w:p>
    <w:p w14:paraId="483BC9D8" w14:textId="744871CE" w:rsidR="00780B21" w:rsidRDefault="00951432">
      <w:pPr>
        <w:pStyle w:val="TOC2"/>
        <w:rPr>
          <w:rFonts w:asciiTheme="minorHAnsi" w:hAnsiTheme="minorHAnsi"/>
          <w:sz w:val="22"/>
          <w:szCs w:val="22"/>
          <w:lang w:eastAsia="en-AU"/>
        </w:rPr>
      </w:pPr>
      <w:hyperlink w:anchor="_Toc113702960" w:history="1">
        <w:r w:rsidR="00780B21" w:rsidRPr="00A114CE">
          <w:rPr>
            <w:rStyle w:val="Hyperlink"/>
          </w:rPr>
          <w:t>2. Funding delivery of our services</w:t>
        </w:r>
        <w:r w:rsidR="00780B21">
          <w:rPr>
            <w:webHidden/>
          </w:rPr>
          <w:tab/>
        </w:r>
        <w:r w:rsidR="00780B21">
          <w:rPr>
            <w:webHidden/>
          </w:rPr>
          <w:fldChar w:fldCharType="begin"/>
        </w:r>
        <w:r w:rsidR="00780B21">
          <w:rPr>
            <w:webHidden/>
          </w:rPr>
          <w:instrText xml:space="preserve"> PAGEREF _Toc113702960 \h </w:instrText>
        </w:r>
        <w:r w:rsidR="00780B21">
          <w:rPr>
            <w:webHidden/>
          </w:rPr>
        </w:r>
        <w:r w:rsidR="00780B21">
          <w:rPr>
            <w:webHidden/>
          </w:rPr>
          <w:fldChar w:fldCharType="separate"/>
        </w:r>
        <w:r w:rsidR="00C213B3">
          <w:rPr>
            <w:webHidden/>
          </w:rPr>
          <w:t>132</w:t>
        </w:r>
        <w:r w:rsidR="00780B21">
          <w:rPr>
            <w:webHidden/>
          </w:rPr>
          <w:fldChar w:fldCharType="end"/>
        </w:r>
      </w:hyperlink>
    </w:p>
    <w:p w14:paraId="38BB319F" w14:textId="111333AA" w:rsidR="00780B21" w:rsidRDefault="00951432">
      <w:pPr>
        <w:pStyle w:val="TOC2"/>
        <w:rPr>
          <w:rFonts w:asciiTheme="minorHAnsi" w:hAnsiTheme="minorHAnsi"/>
          <w:sz w:val="22"/>
          <w:szCs w:val="22"/>
          <w:lang w:eastAsia="en-AU"/>
        </w:rPr>
      </w:pPr>
      <w:hyperlink w:anchor="_Toc113702961" w:history="1">
        <w:r w:rsidR="00780B21" w:rsidRPr="00A114CE">
          <w:rPr>
            <w:rStyle w:val="Hyperlink"/>
          </w:rPr>
          <w:t>3. The cost of delivering services</w:t>
        </w:r>
        <w:r w:rsidR="00780B21">
          <w:rPr>
            <w:webHidden/>
          </w:rPr>
          <w:tab/>
        </w:r>
        <w:r w:rsidR="00780B21">
          <w:rPr>
            <w:webHidden/>
          </w:rPr>
          <w:fldChar w:fldCharType="begin"/>
        </w:r>
        <w:r w:rsidR="00780B21">
          <w:rPr>
            <w:webHidden/>
          </w:rPr>
          <w:instrText xml:space="preserve"> PAGEREF _Toc113702961 \h </w:instrText>
        </w:r>
        <w:r w:rsidR="00780B21">
          <w:rPr>
            <w:webHidden/>
          </w:rPr>
        </w:r>
        <w:r w:rsidR="00780B21">
          <w:rPr>
            <w:webHidden/>
          </w:rPr>
          <w:fldChar w:fldCharType="separate"/>
        </w:r>
        <w:r w:rsidR="00C213B3">
          <w:rPr>
            <w:webHidden/>
          </w:rPr>
          <w:t>139</w:t>
        </w:r>
        <w:r w:rsidR="00780B21">
          <w:rPr>
            <w:webHidden/>
          </w:rPr>
          <w:fldChar w:fldCharType="end"/>
        </w:r>
      </w:hyperlink>
    </w:p>
    <w:p w14:paraId="006B658D" w14:textId="442B55AB" w:rsidR="00780B21" w:rsidRDefault="00951432">
      <w:pPr>
        <w:pStyle w:val="TOC2"/>
        <w:rPr>
          <w:rFonts w:asciiTheme="minorHAnsi" w:hAnsiTheme="minorHAnsi"/>
          <w:sz w:val="22"/>
          <w:szCs w:val="22"/>
          <w:lang w:eastAsia="en-AU"/>
        </w:rPr>
      </w:pPr>
      <w:hyperlink w:anchor="_Toc113702962" w:history="1">
        <w:r w:rsidR="00780B21" w:rsidRPr="00A114CE">
          <w:rPr>
            <w:rStyle w:val="Hyperlink"/>
          </w:rPr>
          <w:t>4. Disaggregated financial information by output</w:t>
        </w:r>
        <w:r w:rsidR="00780B21">
          <w:rPr>
            <w:webHidden/>
          </w:rPr>
          <w:tab/>
        </w:r>
        <w:r w:rsidR="00780B21">
          <w:rPr>
            <w:webHidden/>
          </w:rPr>
          <w:fldChar w:fldCharType="begin"/>
        </w:r>
        <w:r w:rsidR="00780B21">
          <w:rPr>
            <w:webHidden/>
          </w:rPr>
          <w:instrText xml:space="preserve"> PAGEREF _Toc113702962 \h </w:instrText>
        </w:r>
        <w:r w:rsidR="00780B21">
          <w:rPr>
            <w:webHidden/>
          </w:rPr>
        </w:r>
        <w:r w:rsidR="00780B21">
          <w:rPr>
            <w:webHidden/>
          </w:rPr>
          <w:fldChar w:fldCharType="separate"/>
        </w:r>
        <w:r w:rsidR="00C213B3">
          <w:rPr>
            <w:webHidden/>
          </w:rPr>
          <w:t>147</w:t>
        </w:r>
        <w:r w:rsidR="00780B21">
          <w:rPr>
            <w:webHidden/>
          </w:rPr>
          <w:fldChar w:fldCharType="end"/>
        </w:r>
      </w:hyperlink>
    </w:p>
    <w:p w14:paraId="33237BF5" w14:textId="1BD74D54" w:rsidR="00780B21" w:rsidRDefault="00951432">
      <w:pPr>
        <w:pStyle w:val="TOC2"/>
        <w:rPr>
          <w:rFonts w:asciiTheme="minorHAnsi" w:hAnsiTheme="minorHAnsi"/>
          <w:sz w:val="22"/>
          <w:szCs w:val="22"/>
          <w:lang w:eastAsia="en-AU"/>
        </w:rPr>
      </w:pPr>
      <w:hyperlink w:anchor="_Toc113702963" w:history="1">
        <w:r w:rsidR="00780B21" w:rsidRPr="00A114CE">
          <w:rPr>
            <w:rStyle w:val="Hyperlink"/>
          </w:rPr>
          <w:t>5. Key assets available to support output delivery</w:t>
        </w:r>
        <w:r w:rsidR="00780B21">
          <w:rPr>
            <w:webHidden/>
          </w:rPr>
          <w:tab/>
        </w:r>
        <w:r w:rsidR="00780B21">
          <w:rPr>
            <w:webHidden/>
          </w:rPr>
          <w:fldChar w:fldCharType="begin"/>
        </w:r>
        <w:r w:rsidR="00780B21">
          <w:rPr>
            <w:webHidden/>
          </w:rPr>
          <w:instrText xml:space="preserve"> PAGEREF _Toc113702963 \h </w:instrText>
        </w:r>
        <w:r w:rsidR="00780B21">
          <w:rPr>
            <w:webHidden/>
          </w:rPr>
        </w:r>
        <w:r w:rsidR="00780B21">
          <w:rPr>
            <w:webHidden/>
          </w:rPr>
          <w:fldChar w:fldCharType="separate"/>
        </w:r>
        <w:r w:rsidR="00C213B3">
          <w:rPr>
            <w:webHidden/>
          </w:rPr>
          <w:t>162</w:t>
        </w:r>
        <w:r w:rsidR="00780B21">
          <w:rPr>
            <w:webHidden/>
          </w:rPr>
          <w:fldChar w:fldCharType="end"/>
        </w:r>
      </w:hyperlink>
    </w:p>
    <w:p w14:paraId="73574683" w14:textId="78396F24" w:rsidR="00780B21" w:rsidRDefault="00951432">
      <w:pPr>
        <w:pStyle w:val="TOC2"/>
        <w:rPr>
          <w:rFonts w:asciiTheme="minorHAnsi" w:hAnsiTheme="minorHAnsi"/>
          <w:sz w:val="22"/>
          <w:szCs w:val="22"/>
          <w:lang w:eastAsia="en-AU"/>
        </w:rPr>
      </w:pPr>
      <w:hyperlink w:anchor="_Toc113702964" w:history="1">
        <w:r w:rsidR="00780B21" w:rsidRPr="00A114CE">
          <w:rPr>
            <w:rStyle w:val="Hyperlink"/>
          </w:rPr>
          <w:t>6. Other assets and liabilities</w:t>
        </w:r>
        <w:r w:rsidR="00780B21">
          <w:rPr>
            <w:webHidden/>
          </w:rPr>
          <w:tab/>
        </w:r>
        <w:r w:rsidR="00780B21">
          <w:rPr>
            <w:webHidden/>
          </w:rPr>
          <w:fldChar w:fldCharType="begin"/>
        </w:r>
        <w:r w:rsidR="00780B21">
          <w:rPr>
            <w:webHidden/>
          </w:rPr>
          <w:instrText xml:space="preserve"> PAGEREF _Toc113702964 \h </w:instrText>
        </w:r>
        <w:r w:rsidR="00780B21">
          <w:rPr>
            <w:webHidden/>
          </w:rPr>
        </w:r>
        <w:r w:rsidR="00780B21">
          <w:rPr>
            <w:webHidden/>
          </w:rPr>
          <w:fldChar w:fldCharType="separate"/>
        </w:r>
        <w:r w:rsidR="00C213B3">
          <w:rPr>
            <w:webHidden/>
          </w:rPr>
          <w:t>168</w:t>
        </w:r>
        <w:r w:rsidR="00780B21">
          <w:rPr>
            <w:webHidden/>
          </w:rPr>
          <w:fldChar w:fldCharType="end"/>
        </w:r>
      </w:hyperlink>
    </w:p>
    <w:p w14:paraId="7638F321" w14:textId="4517FEA3" w:rsidR="00780B21" w:rsidRDefault="00951432">
      <w:pPr>
        <w:pStyle w:val="TOC2"/>
        <w:rPr>
          <w:rFonts w:asciiTheme="minorHAnsi" w:hAnsiTheme="minorHAnsi"/>
          <w:sz w:val="22"/>
          <w:szCs w:val="22"/>
          <w:lang w:eastAsia="en-AU"/>
        </w:rPr>
      </w:pPr>
      <w:hyperlink w:anchor="_Toc113702965" w:history="1">
        <w:r w:rsidR="00780B21" w:rsidRPr="00A114CE">
          <w:rPr>
            <w:rStyle w:val="Hyperlink"/>
          </w:rPr>
          <w:t>7. How we financed our operations</w:t>
        </w:r>
        <w:r w:rsidR="00780B21">
          <w:rPr>
            <w:webHidden/>
          </w:rPr>
          <w:tab/>
        </w:r>
        <w:r w:rsidR="00780B21">
          <w:rPr>
            <w:webHidden/>
          </w:rPr>
          <w:fldChar w:fldCharType="begin"/>
        </w:r>
        <w:r w:rsidR="00780B21">
          <w:rPr>
            <w:webHidden/>
          </w:rPr>
          <w:instrText xml:space="preserve"> PAGEREF _Toc113702965 \h </w:instrText>
        </w:r>
        <w:r w:rsidR="00780B21">
          <w:rPr>
            <w:webHidden/>
          </w:rPr>
        </w:r>
        <w:r w:rsidR="00780B21">
          <w:rPr>
            <w:webHidden/>
          </w:rPr>
          <w:fldChar w:fldCharType="separate"/>
        </w:r>
        <w:r w:rsidR="00C213B3">
          <w:rPr>
            <w:webHidden/>
          </w:rPr>
          <w:t>174</w:t>
        </w:r>
        <w:r w:rsidR="00780B21">
          <w:rPr>
            <w:webHidden/>
          </w:rPr>
          <w:fldChar w:fldCharType="end"/>
        </w:r>
      </w:hyperlink>
    </w:p>
    <w:p w14:paraId="01D431DA" w14:textId="75E261E3" w:rsidR="00780B21" w:rsidRDefault="00951432">
      <w:pPr>
        <w:pStyle w:val="TOC2"/>
        <w:rPr>
          <w:rFonts w:asciiTheme="minorHAnsi" w:hAnsiTheme="minorHAnsi"/>
          <w:sz w:val="22"/>
          <w:szCs w:val="22"/>
          <w:lang w:eastAsia="en-AU"/>
        </w:rPr>
      </w:pPr>
      <w:hyperlink w:anchor="_Toc113702966" w:history="1">
        <w:r w:rsidR="00780B21" w:rsidRPr="00A114CE">
          <w:rPr>
            <w:rStyle w:val="Hyperlink"/>
          </w:rPr>
          <w:t>8. Risks, contingencies and valuation judgements</w:t>
        </w:r>
        <w:r w:rsidR="00780B21">
          <w:rPr>
            <w:webHidden/>
          </w:rPr>
          <w:tab/>
        </w:r>
        <w:r w:rsidR="00780B21">
          <w:rPr>
            <w:webHidden/>
          </w:rPr>
          <w:fldChar w:fldCharType="begin"/>
        </w:r>
        <w:r w:rsidR="00780B21">
          <w:rPr>
            <w:webHidden/>
          </w:rPr>
          <w:instrText xml:space="preserve"> PAGEREF _Toc113702966 \h </w:instrText>
        </w:r>
        <w:r w:rsidR="00780B21">
          <w:rPr>
            <w:webHidden/>
          </w:rPr>
        </w:r>
        <w:r w:rsidR="00780B21">
          <w:rPr>
            <w:webHidden/>
          </w:rPr>
          <w:fldChar w:fldCharType="separate"/>
        </w:r>
        <w:r w:rsidR="00C213B3">
          <w:rPr>
            <w:webHidden/>
          </w:rPr>
          <w:t>187</w:t>
        </w:r>
        <w:r w:rsidR="00780B21">
          <w:rPr>
            <w:webHidden/>
          </w:rPr>
          <w:fldChar w:fldCharType="end"/>
        </w:r>
      </w:hyperlink>
    </w:p>
    <w:p w14:paraId="44892B39" w14:textId="0547EDA2" w:rsidR="00780B21" w:rsidRDefault="00951432">
      <w:pPr>
        <w:pStyle w:val="TOC2"/>
        <w:rPr>
          <w:rFonts w:asciiTheme="minorHAnsi" w:hAnsiTheme="minorHAnsi"/>
          <w:sz w:val="22"/>
          <w:szCs w:val="22"/>
          <w:lang w:eastAsia="en-AU"/>
        </w:rPr>
      </w:pPr>
      <w:hyperlink w:anchor="_Toc113702967" w:history="1">
        <w:r w:rsidR="00780B21" w:rsidRPr="00A114CE">
          <w:rPr>
            <w:rStyle w:val="Hyperlink"/>
          </w:rPr>
          <w:t>9. Other disclosures</w:t>
        </w:r>
        <w:r w:rsidR="00780B21">
          <w:rPr>
            <w:webHidden/>
          </w:rPr>
          <w:tab/>
        </w:r>
        <w:r w:rsidR="00780B21">
          <w:rPr>
            <w:webHidden/>
          </w:rPr>
          <w:fldChar w:fldCharType="begin"/>
        </w:r>
        <w:r w:rsidR="00780B21">
          <w:rPr>
            <w:webHidden/>
          </w:rPr>
          <w:instrText xml:space="preserve"> PAGEREF _Toc113702967 \h </w:instrText>
        </w:r>
        <w:r w:rsidR="00780B21">
          <w:rPr>
            <w:webHidden/>
          </w:rPr>
        </w:r>
        <w:r w:rsidR="00780B21">
          <w:rPr>
            <w:webHidden/>
          </w:rPr>
          <w:fldChar w:fldCharType="separate"/>
        </w:r>
        <w:r w:rsidR="00C213B3">
          <w:rPr>
            <w:webHidden/>
          </w:rPr>
          <w:t>201</w:t>
        </w:r>
        <w:r w:rsidR="00780B21">
          <w:rPr>
            <w:webHidden/>
          </w:rPr>
          <w:fldChar w:fldCharType="end"/>
        </w:r>
      </w:hyperlink>
    </w:p>
    <w:p w14:paraId="5BAB0E5D" w14:textId="5D4BF7EF" w:rsidR="00CE75D4" w:rsidRPr="002029AF" w:rsidRDefault="00CE75D4" w:rsidP="00DA4865">
      <w:pPr>
        <w:pStyle w:val="ARbody"/>
        <w:rPr>
          <w:color w:val="000000" w:themeColor="text1"/>
          <w:sz w:val="18"/>
          <w:u w:color="004C97"/>
        </w:rPr>
      </w:pPr>
      <w:r w:rsidRPr="002029AF">
        <w:rPr>
          <w:color w:val="000000" w:themeColor="text1"/>
          <w:sz w:val="18"/>
          <w:u w:color="004C97"/>
        </w:rPr>
        <w:fldChar w:fldCharType="end"/>
      </w:r>
    </w:p>
    <w:p w14:paraId="4C52E5EB" w14:textId="77777777" w:rsidR="00CE75D4" w:rsidRPr="002029AF" w:rsidRDefault="00CE75D4" w:rsidP="003566F1">
      <w:pPr>
        <w:pStyle w:val="ARbody"/>
      </w:pPr>
      <w:bookmarkStart w:id="485" w:name="_Toc447030685"/>
      <w:bookmarkStart w:id="486" w:name="_Toc449452834"/>
      <w:r w:rsidRPr="002029AF">
        <w:br w:type="page"/>
      </w:r>
    </w:p>
    <w:p w14:paraId="234B43EF" w14:textId="77777777" w:rsidR="00CE75D4" w:rsidRPr="000E34F4" w:rsidRDefault="00CE75D4" w:rsidP="008340C1">
      <w:pPr>
        <w:pStyle w:val="Heading2Financials"/>
      </w:pPr>
      <w:bookmarkStart w:id="487" w:name="Declaration_in_the_financial_statements"/>
      <w:bookmarkStart w:id="488" w:name="_Toc60682321"/>
      <w:bookmarkStart w:id="489" w:name="_Toc85121347"/>
      <w:bookmarkStart w:id="490" w:name="_Toc113702952"/>
      <w:bookmarkStart w:id="491" w:name="_Ref52283712"/>
      <w:bookmarkEnd w:id="487"/>
      <w:r w:rsidRPr="000E34F4">
        <w:t>Declaration in the financial statements</w:t>
      </w:r>
      <w:bookmarkEnd w:id="488"/>
      <w:bookmarkEnd w:id="489"/>
      <w:bookmarkEnd w:id="490"/>
    </w:p>
    <w:p w14:paraId="197A0051" w14:textId="77777777" w:rsidR="00CE75D4" w:rsidRDefault="00CE75D4" w:rsidP="00130D1C">
      <w:pPr>
        <w:pStyle w:val="ARbody"/>
        <w:rPr>
          <w:szCs w:val="20"/>
        </w:rPr>
      </w:pPr>
      <w:r w:rsidRPr="00EC422E">
        <w:rPr>
          <w:szCs w:val="20"/>
        </w:rPr>
        <w:t xml:space="preserve">The attached financial statements for the Department of Health (the department) have been prepared in accordance with Direction 5.2 of the Standing Directions of the Assistant Treasurer under the </w:t>
      </w:r>
      <w:r w:rsidRPr="00275AC7">
        <w:rPr>
          <w:rStyle w:val="Emphasis"/>
        </w:rPr>
        <w:t>Financial Management Act 1994</w:t>
      </w:r>
      <w:r w:rsidRPr="00EC422E">
        <w:rPr>
          <w:szCs w:val="20"/>
        </w:rPr>
        <w:t>, applicable Financial Reporting Directions, Australian Accounting Standards including Interpretations, and other mandatory professional reporting requirements.</w:t>
      </w:r>
    </w:p>
    <w:p w14:paraId="786AEAC1" w14:textId="77777777" w:rsidR="00CE75D4" w:rsidRDefault="00CE75D4" w:rsidP="00130D1C">
      <w:pPr>
        <w:pStyle w:val="ARbody"/>
        <w:rPr>
          <w:szCs w:val="20"/>
        </w:rPr>
      </w:pPr>
      <w:r w:rsidRPr="00EC422E">
        <w:rPr>
          <w:szCs w:val="20"/>
        </w:rPr>
        <w:t>We further state that, in our opinion, the information set out in the Comprehensive Operating Statement, Balance Sheet, Cash Flow Statement, Statement of Changes in Equity and accompanying notes, presents fairly the financial transactions during the year ended 30 June 2022 and financial position of the department at 30 June 2022.</w:t>
      </w:r>
    </w:p>
    <w:p w14:paraId="38BCEB52" w14:textId="4324822A" w:rsidR="00CE75D4" w:rsidRDefault="00CE75D4" w:rsidP="00130D1C">
      <w:pPr>
        <w:pStyle w:val="ARbody"/>
        <w:rPr>
          <w:szCs w:val="20"/>
        </w:rPr>
      </w:pPr>
      <w:r w:rsidRPr="00EC422E">
        <w:rPr>
          <w:szCs w:val="20"/>
        </w:rPr>
        <w:t>At the time of signing, we are not aware of any circumstance which would render any particulars included in</w:t>
      </w:r>
      <w:r w:rsidR="001C7E63">
        <w:rPr>
          <w:szCs w:val="20"/>
        </w:rPr>
        <w:t> </w:t>
      </w:r>
      <w:r w:rsidRPr="00EC422E">
        <w:rPr>
          <w:szCs w:val="20"/>
        </w:rPr>
        <w:t>the financial statements to be misleading or inaccurate.</w:t>
      </w:r>
    </w:p>
    <w:p w14:paraId="429C7059" w14:textId="77777777" w:rsidR="00CE75D4" w:rsidRDefault="00CE75D4" w:rsidP="002A269B">
      <w:pPr>
        <w:pStyle w:val="ARbody"/>
        <w:spacing w:after="300"/>
        <w:rPr>
          <w:szCs w:val="20"/>
        </w:rPr>
      </w:pPr>
      <w:r w:rsidRPr="00EC422E">
        <w:rPr>
          <w:szCs w:val="20"/>
        </w:rPr>
        <w:t xml:space="preserve">We authorise the attached financial statements for issue on </w:t>
      </w:r>
      <w:r>
        <w:rPr>
          <w:szCs w:val="20"/>
        </w:rPr>
        <w:t>1</w:t>
      </w:r>
      <w:r w:rsidRPr="00EC422E">
        <w:rPr>
          <w:szCs w:val="20"/>
        </w:rPr>
        <w:t xml:space="preserve"> </w:t>
      </w:r>
      <w:r>
        <w:rPr>
          <w:szCs w:val="20"/>
        </w:rPr>
        <w:t>September</w:t>
      </w:r>
      <w:r w:rsidRPr="00EC422E">
        <w:rPr>
          <w:szCs w:val="20"/>
        </w:rPr>
        <w:t xml:space="preserve"> 2022.</w:t>
      </w:r>
    </w:p>
    <w:p w14:paraId="459804AA" w14:textId="77777777" w:rsidR="002A269B" w:rsidRDefault="002A269B" w:rsidP="002A269B">
      <w:pPr>
        <w:pStyle w:val="ARbody"/>
      </w:pPr>
      <w:r>
        <w:rPr>
          <w:noProof/>
        </w:rPr>
        <w:drawing>
          <wp:inline distT="0" distB="0" distL="0" distR="0" wp14:anchorId="73F7D561" wp14:editId="3D40B4D6">
            <wp:extent cx="2125472" cy="772160"/>
            <wp:effectExtent l="0" t="0" r="8255" b="8890"/>
            <wp:docPr id="17" name="Picture 17" descr="Euan Wallac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Euan Wallace signatur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5472" cy="772160"/>
                    </a:xfrm>
                    <a:prstGeom prst="rect">
                      <a:avLst/>
                    </a:prstGeom>
                  </pic:spPr>
                </pic:pic>
              </a:graphicData>
            </a:graphic>
          </wp:inline>
        </w:drawing>
      </w:r>
    </w:p>
    <w:p w14:paraId="65FC751A" w14:textId="77777777" w:rsidR="00CE75D4" w:rsidRPr="008A4550" w:rsidRDefault="00CE75D4" w:rsidP="008340C1">
      <w:pPr>
        <w:pStyle w:val="ARbody"/>
      </w:pPr>
      <w:r>
        <w:t>Euan Wallace</w:t>
      </w:r>
      <w:r>
        <w:rPr>
          <w:szCs w:val="20"/>
        </w:rPr>
        <w:br/>
      </w:r>
      <w:r w:rsidRPr="00F6241E">
        <w:t>Secretary</w:t>
      </w:r>
      <w:r>
        <w:rPr>
          <w:szCs w:val="20"/>
        </w:rPr>
        <w:br/>
      </w:r>
      <w:r w:rsidRPr="008A4550">
        <w:t>Department of Health</w:t>
      </w:r>
    </w:p>
    <w:p w14:paraId="21255AF6" w14:textId="77777777" w:rsidR="00CE75D4" w:rsidRDefault="00CE75D4" w:rsidP="002A269B">
      <w:pPr>
        <w:pStyle w:val="ARbody"/>
        <w:spacing w:after="600"/>
      </w:pPr>
      <w:r w:rsidRPr="00F6241E">
        <w:t>Melbourne</w:t>
      </w:r>
      <w:r>
        <w:rPr>
          <w:szCs w:val="20"/>
        </w:rPr>
        <w:br/>
      </w:r>
      <w:r>
        <w:t xml:space="preserve">1 </w:t>
      </w:r>
      <w:r>
        <w:rPr>
          <w:szCs w:val="20"/>
        </w:rPr>
        <w:t>September</w:t>
      </w:r>
      <w:r w:rsidRPr="00EC422E">
        <w:rPr>
          <w:szCs w:val="20"/>
        </w:rPr>
        <w:t xml:space="preserve"> </w:t>
      </w:r>
      <w:r w:rsidRPr="00BB3221">
        <w:t>202</w:t>
      </w:r>
      <w:r>
        <w:t>2</w:t>
      </w:r>
    </w:p>
    <w:p w14:paraId="3497F680" w14:textId="38C4985A" w:rsidR="002A269B" w:rsidRDefault="002A269B" w:rsidP="008340C1">
      <w:pPr>
        <w:pStyle w:val="ARbody"/>
      </w:pPr>
      <w:r>
        <w:rPr>
          <w:noProof/>
        </w:rPr>
        <w:drawing>
          <wp:inline distT="0" distB="0" distL="0" distR="0" wp14:anchorId="691591FB" wp14:editId="0592E39F">
            <wp:extent cx="1036320" cy="369824"/>
            <wp:effectExtent l="0" t="0" r="0" b="0"/>
            <wp:docPr id="18" name="Picture 18" descr="Beth Gubbi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eth Gubbins signatur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36320" cy="369824"/>
                    </a:xfrm>
                    <a:prstGeom prst="rect">
                      <a:avLst/>
                    </a:prstGeom>
                  </pic:spPr>
                </pic:pic>
              </a:graphicData>
            </a:graphic>
          </wp:inline>
        </w:drawing>
      </w:r>
    </w:p>
    <w:p w14:paraId="50E11F47" w14:textId="7EA254B1" w:rsidR="00CE75D4" w:rsidRPr="008A4550" w:rsidRDefault="00CE75D4" w:rsidP="008340C1">
      <w:pPr>
        <w:pStyle w:val="ARbody"/>
      </w:pPr>
      <w:r>
        <w:t>Beth Gubbins</w:t>
      </w:r>
      <w:r>
        <w:rPr>
          <w:szCs w:val="20"/>
        </w:rPr>
        <w:br/>
      </w:r>
      <w:r>
        <w:t xml:space="preserve">Acting </w:t>
      </w:r>
      <w:r w:rsidRPr="00F6241E">
        <w:t>Chief Finance Officer</w:t>
      </w:r>
      <w:r>
        <w:rPr>
          <w:szCs w:val="20"/>
        </w:rPr>
        <w:br/>
      </w:r>
      <w:r w:rsidRPr="008A4550">
        <w:t>Department of Health</w:t>
      </w:r>
    </w:p>
    <w:p w14:paraId="6779D65C" w14:textId="77777777" w:rsidR="00CE75D4" w:rsidRDefault="00CE75D4" w:rsidP="008340C1">
      <w:pPr>
        <w:pStyle w:val="ARbody"/>
        <w:rPr>
          <w:szCs w:val="20"/>
        </w:rPr>
      </w:pPr>
      <w:r w:rsidRPr="00F6241E">
        <w:t>Melbourne</w:t>
      </w:r>
      <w:r>
        <w:rPr>
          <w:szCs w:val="20"/>
        </w:rPr>
        <w:br/>
        <w:t>1 September</w:t>
      </w:r>
      <w:r w:rsidRPr="00EC422E">
        <w:rPr>
          <w:szCs w:val="20"/>
        </w:rPr>
        <w:t xml:space="preserve"> </w:t>
      </w:r>
      <w:r w:rsidRPr="00BB3221">
        <w:rPr>
          <w:szCs w:val="20"/>
        </w:rPr>
        <w:t>202</w:t>
      </w:r>
      <w:r>
        <w:rPr>
          <w:szCs w:val="20"/>
        </w:rPr>
        <w:t>2</w:t>
      </w:r>
    </w:p>
    <w:p w14:paraId="14056992" w14:textId="77777777" w:rsidR="00CE75D4" w:rsidRPr="0040433B" w:rsidRDefault="00CE75D4" w:rsidP="008340C1">
      <w:pPr>
        <w:pStyle w:val="ARfinbody"/>
      </w:pPr>
      <w:r w:rsidRPr="0040433B">
        <w:rPr>
          <w:rFonts w:cs="Arial"/>
          <w:b/>
          <w:szCs w:val="24"/>
        </w:rPr>
        <w:br w:type="page"/>
      </w:r>
    </w:p>
    <w:p w14:paraId="2EAFB9F7" w14:textId="77777777" w:rsidR="00CE75D4" w:rsidRDefault="00CE75D4" w:rsidP="00130D1C">
      <w:pPr>
        <w:pStyle w:val="Heading2Financials"/>
      </w:pPr>
      <w:bookmarkStart w:id="492" w:name="Independent_auditors_report"/>
      <w:bookmarkStart w:id="493" w:name="_Toc60682322"/>
      <w:bookmarkStart w:id="494" w:name="_Toc85121348"/>
      <w:bookmarkStart w:id="495" w:name="_Toc113702953"/>
      <w:bookmarkEnd w:id="492"/>
      <w:r w:rsidRPr="000E34F4">
        <w:t>Independent auditor</w:t>
      </w:r>
      <w:r>
        <w:t>’</w:t>
      </w:r>
      <w:r w:rsidRPr="000E34F4">
        <w:t>s report</w:t>
      </w:r>
      <w:bookmarkEnd w:id="493"/>
      <w:bookmarkEnd w:id="494"/>
      <w:bookmarkEnd w:id="495"/>
    </w:p>
    <w:bookmarkEnd w:id="491"/>
    <w:p w14:paraId="0FD4B19C" w14:textId="6929B25A" w:rsidR="00AB0EE8" w:rsidRDefault="006F24A4" w:rsidP="00044722">
      <w:pPr>
        <w:pStyle w:val="ARbody"/>
        <w:rPr>
          <w:lang w:eastAsia="en-AU"/>
        </w:rPr>
      </w:pPr>
      <w:r>
        <w:rPr>
          <w:noProof/>
          <w:lang w:eastAsia="en-AU"/>
        </w:rPr>
        <w:drawing>
          <wp:inline distT="0" distB="0" distL="0" distR="0" wp14:anchorId="7FAC162F" wp14:editId="6D854B32">
            <wp:extent cx="6120000" cy="8655120"/>
            <wp:effectExtent l="19050" t="19050" r="14605" b="12700"/>
            <wp:docPr id="20" name="Picture 20" descr="Independent auditor's report, page 1 of 2. To request the full text of the auditor's report, email corporate.reporting@healt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ndependent auditor's report, page 1 of 2. To request the full text of the auditor's report, email corporate.reporting@health.vic.gov.au."/>
                    <pic:cNvPicPr/>
                  </pic:nvPicPr>
                  <pic:blipFill>
                    <a:blip r:embed="rId83" cstate="print">
                      <a:extLst>
                        <a:ext uri="{28A0092B-C50C-407E-A947-70E740481C1C}">
                          <a14:useLocalDpi xmlns:a14="http://schemas.microsoft.com/office/drawing/2010/main" val="0"/>
                        </a:ext>
                      </a:extLst>
                    </a:blip>
                    <a:stretch>
                      <a:fillRect/>
                    </a:stretch>
                  </pic:blipFill>
                  <pic:spPr>
                    <a:xfrm>
                      <a:off x="0" y="0"/>
                      <a:ext cx="6120000" cy="8655120"/>
                    </a:xfrm>
                    <a:prstGeom prst="rect">
                      <a:avLst/>
                    </a:prstGeom>
                    <a:ln w="6350">
                      <a:solidFill>
                        <a:srgbClr val="A6A6A6"/>
                      </a:solidFill>
                    </a:ln>
                  </pic:spPr>
                </pic:pic>
              </a:graphicData>
            </a:graphic>
          </wp:inline>
        </w:drawing>
      </w:r>
    </w:p>
    <w:p w14:paraId="2B800636" w14:textId="77777777" w:rsidR="006F24A4" w:rsidRDefault="006F24A4" w:rsidP="006F24A4">
      <w:pPr>
        <w:pStyle w:val="ARbody"/>
        <w:keepNext/>
        <w:spacing w:after="80" w:line="340" w:lineRule="atLeast"/>
        <w:rPr>
          <w:sz w:val="32"/>
          <w:szCs w:val="32"/>
        </w:rPr>
      </w:pPr>
    </w:p>
    <w:p w14:paraId="37EB1C26" w14:textId="73508294" w:rsidR="00AB0EE8" w:rsidRPr="00AB0EE8" w:rsidRDefault="006F24A4" w:rsidP="00AB0EE8">
      <w:pPr>
        <w:pStyle w:val="ARbody"/>
      </w:pPr>
      <w:r>
        <w:rPr>
          <w:noProof/>
        </w:rPr>
        <w:drawing>
          <wp:inline distT="0" distB="0" distL="0" distR="0" wp14:anchorId="72AE583B" wp14:editId="316FF157">
            <wp:extent cx="6120000" cy="8655120"/>
            <wp:effectExtent l="19050" t="19050" r="14605" b="12700"/>
            <wp:docPr id="19" name="Picture 19" descr="Independent auditor's report, page 2 of 2. To request the full text of the auditor's report, email corporate.reporting@healt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ndependent auditor's report, page 2 of 2. To request the full text of the auditor's report, email corporate.reporting@health.vic.gov.au."/>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120000" cy="8655120"/>
                    </a:xfrm>
                    <a:prstGeom prst="rect">
                      <a:avLst/>
                    </a:prstGeom>
                    <a:ln w="6350">
                      <a:solidFill>
                        <a:srgbClr val="A6A6A6"/>
                      </a:solidFill>
                    </a:ln>
                  </pic:spPr>
                </pic:pic>
              </a:graphicData>
            </a:graphic>
          </wp:inline>
        </w:drawing>
      </w:r>
    </w:p>
    <w:p w14:paraId="4CE624DC" w14:textId="30513F03" w:rsidR="00CE75D4" w:rsidRDefault="00CE75D4" w:rsidP="008340C1">
      <w:pPr>
        <w:pStyle w:val="Heading2Financials"/>
      </w:pPr>
      <w:bookmarkStart w:id="496" w:name="_Toc113702954"/>
      <w:r>
        <w:rPr>
          <w:lang w:eastAsia="en-AU"/>
        </w:rPr>
        <w:t>Comprehensive operating statement</w:t>
      </w:r>
      <w:r>
        <w:rPr>
          <w:lang w:eastAsia="en-AU"/>
        </w:rPr>
        <w:br/>
        <w:t>for the financial year ended 30 June 2022</w:t>
      </w:r>
      <w:bookmarkEnd w:id="496"/>
    </w:p>
    <w:tbl>
      <w:tblPr>
        <w:tblStyle w:val="TableGrid"/>
        <w:tblW w:w="9637" w:type="dxa"/>
        <w:tblLayout w:type="fixed"/>
        <w:tblLook w:val="06A0" w:firstRow="1" w:lastRow="0" w:firstColumn="1" w:lastColumn="0" w:noHBand="1" w:noVBand="1"/>
      </w:tblPr>
      <w:tblGrid>
        <w:gridCol w:w="6518"/>
        <w:gridCol w:w="851"/>
        <w:gridCol w:w="1134"/>
        <w:gridCol w:w="1134"/>
      </w:tblGrid>
      <w:tr w:rsidR="00CE75D4" w:rsidRPr="002029AF" w14:paraId="152E5EBF"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3420DC65" w14:textId="77777777" w:rsidR="00CE75D4" w:rsidRPr="00D132D7" w:rsidRDefault="00CE75D4" w:rsidP="00D132D7">
            <w:pPr>
              <w:pStyle w:val="ARfintablecolhead"/>
            </w:pPr>
          </w:p>
        </w:tc>
        <w:tc>
          <w:tcPr>
            <w:tcW w:w="851" w:type="dxa"/>
            <w:tcBorders>
              <w:bottom w:val="single" w:sz="4" w:space="0" w:color="auto"/>
            </w:tcBorders>
            <w:noWrap/>
            <w:hideMark/>
          </w:tcPr>
          <w:p w14:paraId="6BB3EBAD" w14:textId="77777777" w:rsidR="00CE75D4" w:rsidRPr="002029AF" w:rsidRDefault="00CE75D4" w:rsidP="003566F1">
            <w:pPr>
              <w:pStyle w:val="ARfintablecolheadright"/>
            </w:pPr>
            <w:r w:rsidRPr="002029AF">
              <w:t>Note</w:t>
            </w:r>
          </w:p>
        </w:tc>
        <w:tc>
          <w:tcPr>
            <w:tcW w:w="1134" w:type="dxa"/>
            <w:tcBorders>
              <w:bottom w:val="single" w:sz="4" w:space="0" w:color="auto"/>
            </w:tcBorders>
            <w:shd w:val="clear" w:color="auto" w:fill="E7E6E6"/>
            <w:hideMark/>
          </w:tcPr>
          <w:p w14:paraId="706535A5" w14:textId="77777777" w:rsidR="00CE75D4" w:rsidRPr="002029AF" w:rsidRDefault="00CE75D4" w:rsidP="003566F1">
            <w:pPr>
              <w:pStyle w:val="ARfintablecolheadright"/>
            </w:pPr>
            <w:r w:rsidRPr="002029AF">
              <w:t>202</w:t>
            </w:r>
            <w:r>
              <w:t>2</w:t>
            </w:r>
          </w:p>
          <w:p w14:paraId="75C7E70F" w14:textId="77777777" w:rsidR="00CE75D4" w:rsidRPr="002029AF" w:rsidRDefault="00CE75D4" w:rsidP="003566F1">
            <w:pPr>
              <w:pStyle w:val="ARfintablecolheadright"/>
            </w:pPr>
            <w:r w:rsidRPr="002029AF">
              <w:t>$M</w:t>
            </w:r>
          </w:p>
        </w:tc>
        <w:tc>
          <w:tcPr>
            <w:tcW w:w="1134" w:type="dxa"/>
            <w:tcBorders>
              <w:bottom w:val="single" w:sz="4" w:space="0" w:color="auto"/>
            </w:tcBorders>
            <w:hideMark/>
          </w:tcPr>
          <w:p w14:paraId="10F82EDA" w14:textId="77777777" w:rsidR="00CE75D4" w:rsidRPr="002029AF" w:rsidRDefault="00CE75D4" w:rsidP="003566F1">
            <w:pPr>
              <w:pStyle w:val="ARfintablecolheadright"/>
            </w:pPr>
            <w:r>
              <w:t xml:space="preserve">2021 </w:t>
            </w:r>
            <w:r w:rsidRPr="00445F26">
              <w:rPr>
                <w:rStyle w:val="Superscript"/>
              </w:rPr>
              <w:t>(i)</w:t>
            </w:r>
          </w:p>
          <w:p w14:paraId="1C2A132D" w14:textId="77777777" w:rsidR="00CE75D4" w:rsidRPr="002029AF" w:rsidRDefault="00CE75D4" w:rsidP="003566F1">
            <w:pPr>
              <w:pStyle w:val="ARfintablecolheadright"/>
            </w:pPr>
            <w:r w:rsidRPr="002029AF">
              <w:t>$M</w:t>
            </w:r>
          </w:p>
        </w:tc>
      </w:tr>
      <w:tr w:rsidR="00CE75D4" w:rsidRPr="002029AF" w14:paraId="1AF3BEE8" w14:textId="77777777" w:rsidTr="003566F1">
        <w:tc>
          <w:tcPr>
            <w:tcW w:w="9637" w:type="dxa"/>
            <w:gridSpan w:val="4"/>
            <w:tcBorders>
              <w:top w:val="single" w:sz="4" w:space="0" w:color="auto"/>
              <w:bottom w:val="single" w:sz="4" w:space="0" w:color="A6A6A6"/>
            </w:tcBorders>
            <w:hideMark/>
          </w:tcPr>
          <w:p w14:paraId="2EF57E1C" w14:textId="77777777" w:rsidR="00CE75D4" w:rsidRPr="002029AF" w:rsidRDefault="00CE75D4" w:rsidP="008340C1">
            <w:pPr>
              <w:pStyle w:val="ARfintablebodybold"/>
            </w:pPr>
            <w:r w:rsidRPr="00677B49">
              <w:t>Revenue and income from transactions</w:t>
            </w:r>
          </w:p>
        </w:tc>
      </w:tr>
      <w:tr w:rsidR="00CE75D4" w:rsidRPr="002029AF" w14:paraId="427CF0A4" w14:textId="77777777" w:rsidTr="003566F1">
        <w:tc>
          <w:tcPr>
            <w:tcW w:w="6518" w:type="dxa"/>
            <w:tcBorders>
              <w:top w:val="single" w:sz="4" w:space="0" w:color="A6A6A6"/>
              <w:bottom w:val="single" w:sz="4" w:space="0" w:color="A6A6A6"/>
            </w:tcBorders>
            <w:hideMark/>
          </w:tcPr>
          <w:p w14:paraId="13EF8FBE" w14:textId="77777777" w:rsidR="00CE75D4" w:rsidRPr="002029AF" w:rsidRDefault="00CE75D4" w:rsidP="008340C1">
            <w:pPr>
              <w:pStyle w:val="ARfintablebody"/>
            </w:pPr>
            <w:r w:rsidRPr="00677B49">
              <w:t>Output appropriations</w:t>
            </w:r>
          </w:p>
        </w:tc>
        <w:tc>
          <w:tcPr>
            <w:tcW w:w="851" w:type="dxa"/>
            <w:tcBorders>
              <w:top w:val="single" w:sz="4" w:space="0" w:color="A6A6A6"/>
              <w:bottom w:val="single" w:sz="4" w:space="0" w:color="A6A6A6"/>
            </w:tcBorders>
            <w:noWrap/>
            <w:hideMark/>
          </w:tcPr>
          <w:p w14:paraId="686A2E1C" w14:textId="77777777" w:rsidR="00CE75D4" w:rsidRPr="002029AF" w:rsidRDefault="00CE75D4" w:rsidP="008340C1">
            <w:pPr>
              <w:pStyle w:val="ARfintablebodyright"/>
            </w:pPr>
            <w:r w:rsidRPr="00677B49">
              <w:t>2.3</w:t>
            </w:r>
          </w:p>
        </w:tc>
        <w:tc>
          <w:tcPr>
            <w:tcW w:w="1134" w:type="dxa"/>
            <w:tcBorders>
              <w:top w:val="single" w:sz="4" w:space="0" w:color="A6A6A6"/>
              <w:bottom w:val="single" w:sz="4" w:space="0" w:color="A6A6A6"/>
            </w:tcBorders>
            <w:shd w:val="clear" w:color="auto" w:fill="E7E6E6"/>
            <w:noWrap/>
            <w:hideMark/>
          </w:tcPr>
          <w:p w14:paraId="4C77C9F4" w14:textId="77777777" w:rsidR="00CE75D4" w:rsidRPr="002029AF" w:rsidRDefault="00CE75D4" w:rsidP="008340C1">
            <w:pPr>
              <w:pStyle w:val="ARfintablebodyright"/>
            </w:pPr>
            <w:r w:rsidRPr="00677B49">
              <w:t>15,9</w:t>
            </w:r>
            <w:r>
              <w:t>09.9</w:t>
            </w:r>
          </w:p>
        </w:tc>
        <w:tc>
          <w:tcPr>
            <w:tcW w:w="1134" w:type="dxa"/>
            <w:tcBorders>
              <w:top w:val="single" w:sz="4" w:space="0" w:color="A6A6A6"/>
              <w:bottom w:val="single" w:sz="4" w:space="0" w:color="A6A6A6"/>
            </w:tcBorders>
            <w:noWrap/>
            <w:hideMark/>
          </w:tcPr>
          <w:p w14:paraId="2A8B710E" w14:textId="77777777" w:rsidR="00CE75D4" w:rsidRPr="002029AF" w:rsidRDefault="00CE75D4" w:rsidP="008340C1">
            <w:pPr>
              <w:pStyle w:val="ARfintablebodyright"/>
            </w:pPr>
            <w:r w:rsidRPr="00677B49">
              <w:t>21,551.4</w:t>
            </w:r>
          </w:p>
        </w:tc>
      </w:tr>
      <w:tr w:rsidR="00CE75D4" w:rsidRPr="002029AF" w14:paraId="259F9E81" w14:textId="77777777" w:rsidTr="003566F1">
        <w:tc>
          <w:tcPr>
            <w:tcW w:w="6518" w:type="dxa"/>
            <w:tcBorders>
              <w:top w:val="single" w:sz="4" w:space="0" w:color="A6A6A6"/>
              <w:bottom w:val="single" w:sz="4" w:space="0" w:color="A6A6A6"/>
            </w:tcBorders>
            <w:hideMark/>
          </w:tcPr>
          <w:p w14:paraId="4E289327" w14:textId="77777777" w:rsidR="00CE75D4" w:rsidRPr="002029AF" w:rsidRDefault="00CE75D4" w:rsidP="008340C1">
            <w:pPr>
              <w:pStyle w:val="ARfintablebody"/>
            </w:pPr>
            <w:r w:rsidRPr="00677B49">
              <w:t>Special appropriations</w:t>
            </w:r>
          </w:p>
        </w:tc>
        <w:tc>
          <w:tcPr>
            <w:tcW w:w="851" w:type="dxa"/>
            <w:tcBorders>
              <w:top w:val="single" w:sz="4" w:space="0" w:color="A6A6A6"/>
              <w:bottom w:val="single" w:sz="4" w:space="0" w:color="A6A6A6"/>
            </w:tcBorders>
            <w:noWrap/>
            <w:hideMark/>
          </w:tcPr>
          <w:p w14:paraId="05A21544" w14:textId="77777777" w:rsidR="00CE75D4" w:rsidRPr="002029AF" w:rsidRDefault="00CE75D4" w:rsidP="008340C1">
            <w:pPr>
              <w:pStyle w:val="ARfintablebodyright"/>
            </w:pPr>
            <w:r w:rsidRPr="00677B49">
              <w:t>2.3</w:t>
            </w:r>
          </w:p>
        </w:tc>
        <w:tc>
          <w:tcPr>
            <w:tcW w:w="1134" w:type="dxa"/>
            <w:tcBorders>
              <w:top w:val="single" w:sz="4" w:space="0" w:color="A6A6A6"/>
              <w:bottom w:val="single" w:sz="4" w:space="0" w:color="A6A6A6"/>
            </w:tcBorders>
            <w:shd w:val="clear" w:color="auto" w:fill="E7E6E6"/>
            <w:noWrap/>
            <w:hideMark/>
          </w:tcPr>
          <w:p w14:paraId="361679DE" w14:textId="77777777" w:rsidR="00CE75D4" w:rsidRPr="002029AF" w:rsidRDefault="00CE75D4" w:rsidP="008340C1">
            <w:pPr>
              <w:pStyle w:val="ARfintablebodyright"/>
            </w:pPr>
            <w:r w:rsidRPr="00677B49">
              <w:t>1,8</w:t>
            </w:r>
            <w:r>
              <w:t>88.9</w:t>
            </w:r>
          </w:p>
        </w:tc>
        <w:tc>
          <w:tcPr>
            <w:tcW w:w="1134" w:type="dxa"/>
            <w:tcBorders>
              <w:top w:val="single" w:sz="4" w:space="0" w:color="A6A6A6"/>
              <w:bottom w:val="single" w:sz="4" w:space="0" w:color="A6A6A6"/>
            </w:tcBorders>
            <w:noWrap/>
            <w:hideMark/>
          </w:tcPr>
          <w:p w14:paraId="174DFAEA" w14:textId="77777777" w:rsidR="00CE75D4" w:rsidRPr="002029AF" w:rsidRDefault="00CE75D4" w:rsidP="008340C1">
            <w:pPr>
              <w:pStyle w:val="ARfintablebodyright"/>
            </w:pPr>
            <w:r w:rsidRPr="00677B49">
              <w:t>1,098.9</w:t>
            </w:r>
          </w:p>
        </w:tc>
      </w:tr>
      <w:tr w:rsidR="00CE75D4" w:rsidRPr="002029AF" w14:paraId="6BA62CBC" w14:textId="77777777" w:rsidTr="003566F1">
        <w:tc>
          <w:tcPr>
            <w:tcW w:w="6518" w:type="dxa"/>
            <w:tcBorders>
              <w:top w:val="single" w:sz="4" w:space="0" w:color="A6A6A6"/>
              <w:bottom w:val="single" w:sz="4" w:space="0" w:color="A6A6A6"/>
            </w:tcBorders>
            <w:hideMark/>
          </w:tcPr>
          <w:p w14:paraId="779076E1" w14:textId="77777777" w:rsidR="00CE75D4" w:rsidRPr="002029AF" w:rsidRDefault="00CE75D4" w:rsidP="008340C1">
            <w:pPr>
              <w:pStyle w:val="ARfintablebody"/>
            </w:pPr>
            <w:r w:rsidRPr="00677B49">
              <w:t>Interest income</w:t>
            </w:r>
          </w:p>
        </w:tc>
        <w:tc>
          <w:tcPr>
            <w:tcW w:w="851" w:type="dxa"/>
            <w:tcBorders>
              <w:top w:val="single" w:sz="4" w:space="0" w:color="A6A6A6"/>
              <w:bottom w:val="single" w:sz="4" w:space="0" w:color="A6A6A6"/>
            </w:tcBorders>
            <w:noWrap/>
            <w:hideMark/>
          </w:tcPr>
          <w:p w14:paraId="7C2D8288" w14:textId="77777777" w:rsidR="00CE75D4" w:rsidRPr="002029AF" w:rsidRDefault="00CE75D4" w:rsidP="008340C1">
            <w:pPr>
              <w:pStyle w:val="ARfintablebodyright"/>
            </w:pPr>
            <w:r w:rsidRPr="00677B49">
              <w:t>2.4.1</w:t>
            </w:r>
          </w:p>
        </w:tc>
        <w:tc>
          <w:tcPr>
            <w:tcW w:w="1134" w:type="dxa"/>
            <w:tcBorders>
              <w:top w:val="single" w:sz="4" w:space="0" w:color="A6A6A6"/>
              <w:bottom w:val="single" w:sz="4" w:space="0" w:color="A6A6A6"/>
            </w:tcBorders>
            <w:shd w:val="clear" w:color="auto" w:fill="E7E6E6"/>
            <w:noWrap/>
            <w:hideMark/>
          </w:tcPr>
          <w:p w14:paraId="78F591B7"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7FE4127C" w14:textId="77777777" w:rsidR="00CE75D4" w:rsidRPr="002029AF" w:rsidRDefault="00CE75D4" w:rsidP="008340C1">
            <w:pPr>
              <w:pStyle w:val="ARfintablebodyright"/>
            </w:pPr>
            <w:r w:rsidRPr="00677B49">
              <w:t>2.5</w:t>
            </w:r>
          </w:p>
        </w:tc>
      </w:tr>
      <w:tr w:rsidR="00CE75D4" w:rsidRPr="002029AF" w14:paraId="746E15FC" w14:textId="77777777" w:rsidTr="003566F1">
        <w:tc>
          <w:tcPr>
            <w:tcW w:w="6518" w:type="dxa"/>
            <w:tcBorders>
              <w:top w:val="single" w:sz="4" w:space="0" w:color="A6A6A6"/>
              <w:bottom w:val="single" w:sz="4" w:space="0" w:color="A6A6A6"/>
            </w:tcBorders>
            <w:hideMark/>
          </w:tcPr>
          <w:p w14:paraId="610F14B7" w14:textId="77777777" w:rsidR="00CE75D4" w:rsidRPr="002029AF" w:rsidRDefault="00CE75D4" w:rsidP="008340C1">
            <w:pPr>
              <w:pStyle w:val="ARfintablebody"/>
            </w:pPr>
            <w:r w:rsidRPr="00677B49">
              <w:t>Rental income and income from services</w:t>
            </w:r>
          </w:p>
        </w:tc>
        <w:tc>
          <w:tcPr>
            <w:tcW w:w="851" w:type="dxa"/>
            <w:tcBorders>
              <w:top w:val="single" w:sz="4" w:space="0" w:color="A6A6A6"/>
              <w:bottom w:val="single" w:sz="4" w:space="0" w:color="A6A6A6"/>
            </w:tcBorders>
            <w:noWrap/>
            <w:hideMark/>
          </w:tcPr>
          <w:p w14:paraId="1A9AAA64" w14:textId="77777777" w:rsidR="00CE75D4" w:rsidRPr="002029AF" w:rsidRDefault="00CE75D4" w:rsidP="008340C1">
            <w:pPr>
              <w:pStyle w:val="ARfintablebodyright"/>
            </w:pPr>
            <w:r w:rsidRPr="00677B49">
              <w:t>2.4.2</w:t>
            </w:r>
          </w:p>
        </w:tc>
        <w:tc>
          <w:tcPr>
            <w:tcW w:w="1134" w:type="dxa"/>
            <w:tcBorders>
              <w:top w:val="single" w:sz="4" w:space="0" w:color="A6A6A6"/>
              <w:bottom w:val="single" w:sz="4" w:space="0" w:color="A6A6A6"/>
            </w:tcBorders>
            <w:shd w:val="clear" w:color="auto" w:fill="E7E6E6"/>
            <w:noWrap/>
            <w:hideMark/>
          </w:tcPr>
          <w:p w14:paraId="3A87861C"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7C30BA75" w14:textId="77777777" w:rsidR="00CE75D4" w:rsidRPr="002029AF" w:rsidRDefault="00CE75D4" w:rsidP="008340C1">
            <w:pPr>
              <w:pStyle w:val="ARfintablebodyright"/>
            </w:pPr>
            <w:r w:rsidRPr="00677B49">
              <w:t>477.5</w:t>
            </w:r>
          </w:p>
        </w:tc>
      </w:tr>
      <w:tr w:rsidR="00CE75D4" w:rsidRPr="002029AF" w14:paraId="510F73AB" w14:textId="77777777" w:rsidTr="003566F1">
        <w:tc>
          <w:tcPr>
            <w:tcW w:w="6518" w:type="dxa"/>
            <w:tcBorders>
              <w:top w:val="single" w:sz="4" w:space="0" w:color="A6A6A6"/>
              <w:bottom w:val="single" w:sz="4" w:space="0" w:color="A6A6A6"/>
            </w:tcBorders>
            <w:hideMark/>
          </w:tcPr>
          <w:p w14:paraId="3E4E4B93" w14:textId="77777777" w:rsidR="00CE75D4" w:rsidRPr="002029AF" w:rsidRDefault="00CE75D4" w:rsidP="008340C1">
            <w:pPr>
              <w:pStyle w:val="ARfintablebody"/>
            </w:pPr>
            <w:r w:rsidRPr="00677B49">
              <w:t>Grants</w:t>
            </w:r>
          </w:p>
        </w:tc>
        <w:tc>
          <w:tcPr>
            <w:tcW w:w="851" w:type="dxa"/>
            <w:tcBorders>
              <w:top w:val="single" w:sz="4" w:space="0" w:color="A6A6A6"/>
              <w:bottom w:val="single" w:sz="4" w:space="0" w:color="A6A6A6"/>
            </w:tcBorders>
            <w:noWrap/>
            <w:hideMark/>
          </w:tcPr>
          <w:p w14:paraId="5CB616F3" w14:textId="77777777" w:rsidR="00CE75D4" w:rsidRPr="002029AF" w:rsidRDefault="00CE75D4" w:rsidP="008340C1">
            <w:pPr>
              <w:pStyle w:val="ARfintablebodyright"/>
            </w:pPr>
            <w:r w:rsidRPr="00677B49">
              <w:t>2.4.3</w:t>
            </w:r>
          </w:p>
        </w:tc>
        <w:tc>
          <w:tcPr>
            <w:tcW w:w="1134" w:type="dxa"/>
            <w:tcBorders>
              <w:top w:val="single" w:sz="4" w:space="0" w:color="A6A6A6"/>
              <w:bottom w:val="single" w:sz="4" w:space="0" w:color="A6A6A6"/>
            </w:tcBorders>
            <w:shd w:val="clear" w:color="auto" w:fill="E7E6E6"/>
            <w:noWrap/>
            <w:hideMark/>
          </w:tcPr>
          <w:p w14:paraId="509B4C3B" w14:textId="77777777" w:rsidR="00CE75D4" w:rsidRPr="002029AF" w:rsidRDefault="00CE75D4" w:rsidP="008340C1">
            <w:pPr>
              <w:pStyle w:val="ARfintablebodyright"/>
            </w:pPr>
            <w:r w:rsidRPr="00677B49">
              <w:t>3,893.0</w:t>
            </w:r>
          </w:p>
        </w:tc>
        <w:tc>
          <w:tcPr>
            <w:tcW w:w="1134" w:type="dxa"/>
            <w:tcBorders>
              <w:top w:val="single" w:sz="4" w:space="0" w:color="A6A6A6"/>
              <w:bottom w:val="single" w:sz="4" w:space="0" w:color="A6A6A6"/>
            </w:tcBorders>
            <w:noWrap/>
            <w:hideMark/>
          </w:tcPr>
          <w:p w14:paraId="70C8591C" w14:textId="77777777" w:rsidR="00CE75D4" w:rsidRPr="002029AF" w:rsidRDefault="00CE75D4" w:rsidP="008340C1">
            <w:pPr>
              <w:pStyle w:val="ARfintablebodyright"/>
            </w:pPr>
            <w:r w:rsidRPr="00677B49">
              <w:t>2,549.2</w:t>
            </w:r>
          </w:p>
        </w:tc>
      </w:tr>
      <w:tr w:rsidR="00CE75D4" w:rsidRPr="002029AF" w14:paraId="52580C7C" w14:textId="77777777" w:rsidTr="003566F1">
        <w:tc>
          <w:tcPr>
            <w:tcW w:w="6518" w:type="dxa"/>
            <w:tcBorders>
              <w:top w:val="single" w:sz="4" w:space="0" w:color="A6A6A6"/>
              <w:bottom w:val="single" w:sz="4" w:space="0" w:color="A6A6A6"/>
            </w:tcBorders>
            <w:hideMark/>
          </w:tcPr>
          <w:p w14:paraId="58D5418F" w14:textId="77777777" w:rsidR="00CE75D4" w:rsidRPr="002029AF" w:rsidRDefault="00CE75D4" w:rsidP="008340C1">
            <w:pPr>
              <w:pStyle w:val="ARfintablebody"/>
            </w:pPr>
            <w:r w:rsidRPr="00677B49">
              <w:t xml:space="preserve">Fair value of assets and services received free of charge </w:t>
            </w:r>
            <w:r>
              <w:br/>
            </w:r>
            <w:r w:rsidRPr="00677B49">
              <w:t>or for nominal consideration</w:t>
            </w:r>
          </w:p>
        </w:tc>
        <w:tc>
          <w:tcPr>
            <w:tcW w:w="851" w:type="dxa"/>
            <w:tcBorders>
              <w:top w:val="single" w:sz="4" w:space="0" w:color="A6A6A6"/>
              <w:bottom w:val="single" w:sz="4" w:space="0" w:color="A6A6A6"/>
            </w:tcBorders>
            <w:noWrap/>
            <w:hideMark/>
          </w:tcPr>
          <w:p w14:paraId="0840EE02" w14:textId="77777777" w:rsidR="00CE75D4" w:rsidRPr="002029AF" w:rsidRDefault="00CE75D4" w:rsidP="008340C1">
            <w:pPr>
              <w:pStyle w:val="ARfintablebodyright"/>
            </w:pPr>
            <w:r w:rsidRPr="00677B49">
              <w:t>2.4.4</w:t>
            </w:r>
          </w:p>
        </w:tc>
        <w:tc>
          <w:tcPr>
            <w:tcW w:w="1134" w:type="dxa"/>
            <w:tcBorders>
              <w:top w:val="single" w:sz="4" w:space="0" w:color="A6A6A6"/>
              <w:bottom w:val="single" w:sz="4" w:space="0" w:color="A6A6A6"/>
            </w:tcBorders>
            <w:shd w:val="clear" w:color="auto" w:fill="E7E6E6"/>
            <w:noWrap/>
            <w:hideMark/>
          </w:tcPr>
          <w:p w14:paraId="3DF77B26" w14:textId="77777777" w:rsidR="00CE75D4" w:rsidRPr="002029AF" w:rsidRDefault="00CE75D4" w:rsidP="008340C1">
            <w:pPr>
              <w:pStyle w:val="ARfintablebodyright"/>
            </w:pPr>
            <w:r w:rsidRPr="00677B49">
              <w:t>29.7</w:t>
            </w:r>
          </w:p>
        </w:tc>
        <w:tc>
          <w:tcPr>
            <w:tcW w:w="1134" w:type="dxa"/>
            <w:tcBorders>
              <w:top w:val="single" w:sz="4" w:space="0" w:color="A6A6A6"/>
              <w:bottom w:val="single" w:sz="4" w:space="0" w:color="A6A6A6"/>
            </w:tcBorders>
            <w:noWrap/>
            <w:hideMark/>
          </w:tcPr>
          <w:p w14:paraId="5A3C3207" w14:textId="77777777" w:rsidR="00CE75D4" w:rsidRPr="002029AF" w:rsidRDefault="00CE75D4" w:rsidP="008340C1">
            <w:pPr>
              <w:pStyle w:val="ARfintablebodyright"/>
            </w:pPr>
            <w:r w:rsidRPr="00677B49">
              <w:t>0.6</w:t>
            </w:r>
          </w:p>
        </w:tc>
      </w:tr>
      <w:tr w:rsidR="00CE75D4" w:rsidRPr="002029AF" w14:paraId="14C18099" w14:textId="77777777" w:rsidTr="003566F1">
        <w:tc>
          <w:tcPr>
            <w:tcW w:w="6518" w:type="dxa"/>
            <w:tcBorders>
              <w:top w:val="single" w:sz="4" w:space="0" w:color="A6A6A6"/>
            </w:tcBorders>
            <w:hideMark/>
          </w:tcPr>
          <w:p w14:paraId="16E3D800" w14:textId="77777777" w:rsidR="00CE75D4" w:rsidRPr="002029AF" w:rsidRDefault="00CE75D4" w:rsidP="008340C1">
            <w:pPr>
              <w:pStyle w:val="ARfintablebody"/>
            </w:pPr>
            <w:r w:rsidRPr="00677B49">
              <w:t>Other income</w:t>
            </w:r>
          </w:p>
        </w:tc>
        <w:tc>
          <w:tcPr>
            <w:tcW w:w="851" w:type="dxa"/>
            <w:tcBorders>
              <w:top w:val="single" w:sz="4" w:space="0" w:color="A6A6A6"/>
            </w:tcBorders>
            <w:noWrap/>
            <w:hideMark/>
          </w:tcPr>
          <w:p w14:paraId="3DE24181" w14:textId="77777777" w:rsidR="00CE75D4" w:rsidRPr="002029AF" w:rsidRDefault="00CE75D4" w:rsidP="008340C1">
            <w:pPr>
              <w:pStyle w:val="ARfintablebodyright"/>
            </w:pPr>
            <w:r w:rsidRPr="00677B49">
              <w:t>2.4.5</w:t>
            </w:r>
          </w:p>
        </w:tc>
        <w:tc>
          <w:tcPr>
            <w:tcW w:w="1134" w:type="dxa"/>
            <w:tcBorders>
              <w:top w:val="single" w:sz="4" w:space="0" w:color="A6A6A6"/>
            </w:tcBorders>
            <w:shd w:val="clear" w:color="auto" w:fill="E7E6E6"/>
            <w:noWrap/>
            <w:hideMark/>
          </w:tcPr>
          <w:p w14:paraId="2BF7D2F9" w14:textId="77777777" w:rsidR="00CE75D4" w:rsidRPr="002029AF" w:rsidRDefault="00CE75D4" w:rsidP="008340C1">
            <w:pPr>
              <w:pStyle w:val="ARfintablebodyright"/>
            </w:pPr>
            <w:r w:rsidRPr="00677B49">
              <w:t>91.5</w:t>
            </w:r>
          </w:p>
        </w:tc>
        <w:tc>
          <w:tcPr>
            <w:tcW w:w="1134" w:type="dxa"/>
            <w:tcBorders>
              <w:top w:val="single" w:sz="4" w:space="0" w:color="A6A6A6"/>
            </w:tcBorders>
            <w:noWrap/>
            <w:hideMark/>
          </w:tcPr>
          <w:p w14:paraId="5D655D84" w14:textId="77777777" w:rsidR="00CE75D4" w:rsidRPr="002029AF" w:rsidRDefault="00CE75D4" w:rsidP="008340C1">
            <w:pPr>
              <w:pStyle w:val="ARfintablebodyright"/>
            </w:pPr>
            <w:r w:rsidRPr="00677B49">
              <w:t>18.3</w:t>
            </w:r>
          </w:p>
        </w:tc>
      </w:tr>
      <w:tr w:rsidR="00CE75D4" w:rsidRPr="002029AF" w14:paraId="0C13D496" w14:textId="77777777" w:rsidTr="003566F1">
        <w:tc>
          <w:tcPr>
            <w:tcW w:w="6518" w:type="dxa"/>
            <w:tcBorders>
              <w:bottom w:val="single" w:sz="4" w:space="0" w:color="auto"/>
            </w:tcBorders>
            <w:hideMark/>
          </w:tcPr>
          <w:p w14:paraId="5E6F39C8" w14:textId="77777777" w:rsidR="00CE75D4" w:rsidRPr="002029AF" w:rsidRDefault="00CE75D4" w:rsidP="008340C1">
            <w:pPr>
              <w:pStyle w:val="ARfintablebodybold"/>
            </w:pPr>
            <w:r w:rsidRPr="00677B49">
              <w:t>Total revenue and income from transactions</w:t>
            </w:r>
          </w:p>
        </w:tc>
        <w:tc>
          <w:tcPr>
            <w:tcW w:w="851" w:type="dxa"/>
            <w:tcBorders>
              <w:bottom w:val="single" w:sz="4" w:space="0" w:color="auto"/>
            </w:tcBorders>
            <w:hideMark/>
          </w:tcPr>
          <w:p w14:paraId="6C08A371" w14:textId="77777777" w:rsidR="00CE75D4" w:rsidRPr="002029AF" w:rsidRDefault="00CE75D4" w:rsidP="008340C1">
            <w:pPr>
              <w:pStyle w:val="ARfintablecolheadright"/>
            </w:pPr>
          </w:p>
        </w:tc>
        <w:tc>
          <w:tcPr>
            <w:tcW w:w="1134" w:type="dxa"/>
            <w:tcBorders>
              <w:bottom w:val="single" w:sz="4" w:space="0" w:color="auto"/>
            </w:tcBorders>
            <w:shd w:val="clear" w:color="auto" w:fill="E7E6E6"/>
            <w:noWrap/>
            <w:hideMark/>
          </w:tcPr>
          <w:p w14:paraId="22731492" w14:textId="77777777" w:rsidR="00CE75D4" w:rsidRPr="002029AF" w:rsidRDefault="00CE75D4" w:rsidP="008340C1">
            <w:pPr>
              <w:pStyle w:val="ARfintablecolheadright"/>
            </w:pPr>
            <w:r w:rsidRPr="00677B49">
              <w:t>21,813.1</w:t>
            </w:r>
          </w:p>
        </w:tc>
        <w:tc>
          <w:tcPr>
            <w:tcW w:w="1134" w:type="dxa"/>
            <w:tcBorders>
              <w:bottom w:val="single" w:sz="4" w:space="0" w:color="auto"/>
            </w:tcBorders>
            <w:noWrap/>
            <w:hideMark/>
          </w:tcPr>
          <w:p w14:paraId="33E8FBE2" w14:textId="77777777" w:rsidR="00CE75D4" w:rsidRPr="002029AF" w:rsidRDefault="00CE75D4" w:rsidP="008340C1">
            <w:pPr>
              <w:pStyle w:val="ARfintablecolheadright"/>
            </w:pPr>
            <w:r w:rsidRPr="00677B49">
              <w:t>25,698.4</w:t>
            </w:r>
          </w:p>
        </w:tc>
      </w:tr>
      <w:tr w:rsidR="00CE75D4" w:rsidRPr="002029AF" w14:paraId="7C6075E1" w14:textId="77777777" w:rsidTr="003566F1">
        <w:tc>
          <w:tcPr>
            <w:tcW w:w="9637" w:type="dxa"/>
            <w:gridSpan w:val="4"/>
            <w:tcBorders>
              <w:top w:val="single" w:sz="4" w:space="0" w:color="auto"/>
              <w:bottom w:val="single" w:sz="4" w:space="0" w:color="A6A6A6"/>
            </w:tcBorders>
            <w:hideMark/>
          </w:tcPr>
          <w:p w14:paraId="6FCF3CE8" w14:textId="77777777" w:rsidR="00CE75D4" w:rsidRPr="002029AF" w:rsidRDefault="00CE75D4" w:rsidP="008340C1">
            <w:pPr>
              <w:pStyle w:val="ARfintablebodybold"/>
            </w:pPr>
            <w:r w:rsidRPr="00677B49">
              <w:t>Expenses from transactions</w:t>
            </w:r>
          </w:p>
        </w:tc>
      </w:tr>
      <w:tr w:rsidR="00CE75D4" w:rsidRPr="002029AF" w14:paraId="3AA25038" w14:textId="77777777" w:rsidTr="003566F1">
        <w:tc>
          <w:tcPr>
            <w:tcW w:w="6518" w:type="dxa"/>
            <w:tcBorders>
              <w:top w:val="single" w:sz="4" w:space="0" w:color="A6A6A6"/>
              <w:bottom w:val="single" w:sz="4" w:space="0" w:color="A6A6A6"/>
            </w:tcBorders>
            <w:hideMark/>
          </w:tcPr>
          <w:p w14:paraId="1B9744A2" w14:textId="77777777" w:rsidR="00CE75D4" w:rsidRPr="002029AF" w:rsidRDefault="00CE75D4" w:rsidP="008340C1">
            <w:pPr>
              <w:pStyle w:val="ARfintablebody"/>
            </w:pPr>
            <w:r w:rsidRPr="00EF6903">
              <w:t>Employee benefits</w:t>
            </w:r>
          </w:p>
        </w:tc>
        <w:tc>
          <w:tcPr>
            <w:tcW w:w="851" w:type="dxa"/>
            <w:tcBorders>
              <w:top w:val="single" w:sz="4" w:space="0" w:color="A6A6A6"/>
              <w:bottom w:val="single" w:sz="4" w:space="0" w:color="A6A6A6"/>
            </w:tcBorders>
            <w:noWrap/>
            <w:hideMark/>
          </w:tcPr>
          <w:p w14:paraId="1530B320" w14:textId="77777777" w:rsidR="00CE75D4" w:rsidRPr="002029AF" w:rsidRDefault="00CE75D4" w:rsidP="008340C1">
            <w:pPr>
              <w:pStyle w:val="ARfintablebodyright"/>
            </w:pPr>
            <w:r w:rsidRPr="00EF6903">
              <w:t>3.1.1(a)</w:t>
            </w:r>
          </w:p>
        </w:tc>
        <w:tc>
          <w:tcPr>
            <w:tcW w:w="1134" w:type="dxa"/>
            <w:tcBorders>
              <w:top w:val="single" w:sz="4" w:space="0" w:color="A6A6A6"/>
              <w:bottom w:val="single" w:sz="4" w:space="0" w:color="A6A6A6"/>
            </w:tcBorders>
            <w:shd w:val="clear" w:color="auto" w:fill="E7E6E6"/>
            <w:noWrap/>
            <w:hideMark/>
          </w:tcPr>
          <w:p w14:paraId="085495EA" w14:textId="77777777" w:rsidR="00CE75D4" w:rsidRPr="002029AF" w:rsidRDefault="00CE75D4" w:rsidP="008340C1">
            <w:pPr>
              <w:pStyle w:val="ARfintablebodyright"/>
            </w:pPr>
            <w:r w:rsidRPr="00EF6903">
              <w:t>788.7</w:t>
            </w:r>
          </w:p>
        </w:tc>
        <w:tc>
          <w:tcPr>
            <w:tcW w:w="1134" w:type="dxa"/>
            <w:tcBorders>
              <w:top w:val="single" w:sz="4" w:space="0" w:color="A6A6A6"/>
              <w:bottom w:val="single" w:sz="4" w:space="0" w:color="A6A6A6"/>
            </w:tcBorders>
            <w:noWrap/>
            <w:hideMark/>
          </w:tcPr>
          <w:p w14:paraId="3007E9D5" w14:textId="77777777" w:rsidR="00CE75D4" w:rsidRPr="002029AF" w:rsidRDefault="00CE75D4" w:rsidP="008340C1">
            <w:pPr>
              <w:pStyle w:val="ARfintablebodyright"/>
            </w:pPr>
            <w:r w:rsidRPr="00EF6903">
              <w:t>1,500.3</w:t>
            </w:r>
          </w:p>
        </w:tc>
      </w:tr>
      <w:tr w:rsidR="00CE75D4" w:rsidRPr="002029AF" w14:paraId="332CBA51" w14:textId="77777777" w:rsidTr="003566F1">
        <w:tc>
          <w:tcPr>
            <w:tcW w:w="6518" w:type="dxa"/>
            <w:tcBorders>
              <w:top w:val="single" w:sz="4" w:space="0" w:color="A6A6A6"/>
              <w:bottom w:val="single" w:sz="4" w:space="0" w:color="A6A6A6"/>
            </w:tcBorders>
            <w:hideMark/>
          </w:tcPr>
          <w:p w14:paraId="7FEC44E3" w14:textId="77777777" w:rsidR="00CE75D4" w:rsidRPr="002029AF" w:rsidRDefault="00CE75D4" w:rsidP="008340C1">
            <w:pPr>
              <w:pStyle w:val="ARfintablebody"/>
            </w:pPr>
            <w:r w:rsidRPr="00EF6903">
              <w:t>Depreciation and amortisation</w:t>
            </w:r>
          </w:p>
        </w:tc>
        <w:tc>
          <w:tcPr>
            <w:tcW w:w="851" w:type="dxa"/>
            <w:tcBorders>
              <w:top w:val="single" w:sz="4" w:space="0" w:color="A6A6A6"/>
              <w:bottom w:val="single" w:sz="4" w:space="0" w:color="A6A6A6"/>
            </w:tcBorders>
            <w:noWrap/>
            <w:hideMark/>
          </w:tcPr>
          <w:p w14:paraId="261BC2C9" w14:textId="77777777" w:rsidR="00CE75D4" w:rsidRPr="002029AF" w:rsidRDefault="00CE75D4" w:rsidP="008340C1">
            <w:pPr>
              <w:pStyle w:val="ARfintablebodyright"/>
            </w:pPr>
            <w:r w:rsidRPr="00EF6903">
              <w:t>5.1.1</w:t>
            </w:r>
          </w:p>
        </w:tc>
        <w:tc>
          <w:tcPr>
            <w:tcW w:w="1134" w:type="dxa"/>
            <w:tcBorders>
              <w:top w:val="single" w:sz="4" w:space="0" w:color="A6A6A6"/>
              <w:bottom w:val="single" w:sz="4" w:space="0" w:color="A6A6A6"/>
            </w:tcBorders>
            <w:shd w:val="clear" w:color="auto" w:fill="E7E6E6"/>
            <w:noWrap/>
            <w:hideMark/>
          </w:tcPr>
          <w:p w14:paraId="120C5856" w14:textId="77777777" w:rsidR="00CE75D4" w:rsidRPr="002029AF" w:rsidRDefault="00CE75D4" w:rsidP="008340C1">
            <w:pPr>
              <w:pStyle w:val="ARfintablebodyright"/>
            </w:pPr>
            <w:r w:rsidRPr="00EF6903">
              <w:t>38.5</w:t>
            </w:r>
          </w:p>
        </w:tc>
        <w:tc>
          <w:tcPr>
            <w:tcW w:w="1134" w:type="dxa"/>
            <w:tcBorders>
              <w:top w:val="single" w:sz="4" w:space="0" w:color="A6A6A6"/>
              <w:bottom w:val="single" w:sz="4" w:space="0" w:color="A6A6A6"/>
            </w:tcBorders>
            <w:noWrap/>
            <w:hideMark/>
          </w:tcPr>
          <w:p w14:paraId="7EA5A15F" w14:textId="77777777" w:rsidR="00CE75D4" w:rsidRPr="002029AF" w:rsidRDefault="00CE75D4" w:rsidP="008340C1">
            <w:pPr>
              <w:pStyle w:val="ARfintablebodyright"/>
            </w:pPr>
            <w:r w:rsidRPr="00EF6903">
              <w:t>345.1</w:t>
            </w:r>
          </w:p>
        </w:tc>
      </w:tr>
      <w:tr w:rsidR="00CE75D4" w:rsidRPr="002029AF" w14:paraId="115B360C" w14:textId="77777777" w:rsidTr="003566F1">
        <w:tc>
          <w:tcPr>
            <w:tcW w:w="6518" w:type="dxa"/>
            <w:tcBorders>
              <w:top w:val="single" w:sz="4" w:space="0" w:color="A6A6A6"/>
              <w:bottom w:val="single" w:sz="4" w:space="0" w:color="A6A6A6"/>
            </w:tcBorders>
            <w:hideMark/>
          </w:tcPr>
          <w:p w14:paraId="55F47231" w14:textId="77777777" w:rsidR="00CE75D4" w:rsidRPr="002029AF" w:rsidRDefault="00CE75D4" w:rsidP="008340C1">
            <w:pPr>
              <w:pStyle w:val="ARfintablebody"/>
            </w:pPr>
            <w:r w:rsidRPr="00EF6903">
              <w:t>Interest expense</w:t>
            </w:r>
          </w:p>
        </w:tc>
        <w:tc>
          <w:tcPr>
            <w:tcW w:w="851" w:type="dxa"/>
            <w:tcBorders>
              <w:top w:val="single" w:sz="4" w:space="0" w:color="A6A6A6"/>
              <w:bottom w:val="single" w:sz="4" w:space="0" w:color="A6A6A6"/>
            </w:tcBorders>
            <w:noWrap/>
            <w:hideMark/>
          </w:tcPr>
          <w:p w14:paraId="1DCDA78E" w14:textId="77777777" w:rsidR="00CE75D4" w:rsidRPr="002029AF" w:rsidRDefault="00CE75D4" w:rsidP="008340C1">
            <w:pPr>
              <w:pStyle w:val="ARfintablebodyright"/>
            </w:pPr>
            <w:r w:rsidRPr="00EF6903">
              <w:t>7.1.2</w:t>
            </w:r>
          </w:p>
        </w:tc>
        <w:tc>
          <w:tcPr>
            <w:tcW w:w="1134" w:type="dxa"/>
            <w:tcBorders>
              <w:top w:val="single" w:sz="4" w:space="0" w:color="A6A6A6"/>
              <w:bottom w:val="single" w:sz="4" w:space="0" w:color="A6A6A6"/>
            </w:tcBorders>
            <w:shd w:val="clear" w:color="auto" w:fill="E7E6E6"/>
            <w:noWrap/>
            <w:hideMark/>
          </w:tcPr>
          <w:p w14:paraId="75A1BFAF" w14:textId="77777777" w:rsidR="00CE75D4" w:rsidRPr="002029AF" w:rsidRDefault="00CE75D4" w:rsidP="008340C1">
            <w:pPr>
              <w:pStyle w:val="ARfintablebodyright"/>
            </w:pPr>
            <w:r w:rsidRPr="00EF6903">
              <w:t>14.4</w:t>
            </w:r>
          </w:p>
        </w:tc>
        <w:tc>
          <w:tcPr>
            <w:tcW w:w="1134" w:type="dxa"/>
            <w:tcBorders>
              <w:top w:val="single" w:sz="4" w:space="0" w:color="A6A6A6"/>
              <w:bottom w:val="single" w:sz="4" w:space="0" w:color="A6A6A6"/>
            </w:tcBorders>
            <w:noWrap/>
            <w:hideMark/>
          </w:tcPr>
          <w:p w14:paraId="59439941" w14:textId="77777777" w:rsidR="00CE75D4" w:rsidRPr="002029AF" w:rsidRDefault="00CE75D4" w:rsidP="008340C1">
            <w:pPr>
              <w:pStyle w:val="ARfintablebodyright"/>
            </w:pPr>
            <w:r w:rsidRPr="00EF6903">
              <w:t>4.0</w:t>
            </w:r>
          </w:p>
        </w:tc>
      </w:tr>
      <w:tr w:rsidR="00CE75D4" w:rsidRPr="002029AF" w14:paraId="2FA92A50" w14:textId="77777777" w:rsidTr="003566F1">
        <w:tc>
          <w:tcPr>
            <w:tcW w:w="6518" w:type="dxa"/>
            <w:tcBorders>
              <w:top w:val="single" w:sz="4" w:space="0" w:color="A6A6A6"/>
              <w:bottom w:val="single" w:sz="4" w:space="0" w:color="A6A6A6"/>
            </w:tcBorders>
            <w:hideMark/>
          </w:tcPr>
          <w:p w14:paraId="73351F42" w14:textId="77777777" w:rsidR="00CE75D4" w:rsidRPr="002029AF" w:rsidRDefault="00CE75D4" w:rsidP="008340C1">
            <w:pPr>
              <w:pStyle w:val="ARfintablebody"/>
            </w:pPr>
            <w:r w:rsidRPr="00EF6903">
              <w:t>Maintenance</w:t>
            </w:r>
          </w:p>
        </w:tc>
        <w:tc>
          <w:tcPr>
            <w:tcW w:w="851" w:type="dxa"/>
            <w:tcBorders>
              <w:top w:val="single" w:sz="4" w:space="0" w:color="A6A6A6"/>
              <w:bottom w:val="single" w:sz="4" w:space="0" w:color="A6A6A6"/>
            </w:tcBorders>
            <w:noWrap/>
            <w:hideMark/>
          </w:tcPr>
          <w:p w14:paraId="57FD09F5" w14:textId="77777777" w:rsidR="00CE75D4" w:rsidRPr="002029AF" w:rsidRDefault="00CE75D4" w:rsidP="008340C1">
            <w:pPr>
              <w:pStyle w:val="ARfintablebodyright"/>
            </w:pPr>
          </w:p>
        </w:tc>
        <w:tc>
          <w:tcPr>
            <w:tcW w:w="1134" w:type="dxa"/>
            <w:tcBorders>
              <w:top w:val="single" w:sz="4" w:space="0" w:color="A6A6A6"/>
              <w:bottom w:val="single" w:sz="4" w:space="0" w:color="A6A6A6"/>
            </w:tcBorders>
            <w:shd w:val="clear" w:color="auto" w:fill="E7E6E6"/>
            <w:noWrap/>
            <w:hideMark/>
          </w:tcPr>
          <w:p w14:paraId="2173D3E6" w14:textId="77777777" w:rsidR="00CE75D4" w:rsidRPr="002029AF" w:rsidRDefault="00CE75D4" w:rsidP="008340C1">
            <w:pPr>
              <w:pStyle w:val="ARfintablebodyright"/>
            </w:pPr>
            <w:r w:rsidRPr="00EF6903">
              <w:t>0.7</w:t>
            </w:r>
          </w:p>
        </w:tc>
        <w:tc>
          <w:tcPr>
            <w:tcW w:w="1134" w:type="dxa"/>
            <w:tcBorders>
              <w:top w:val="single" w:sz="4" w:space="0" w:color="A6A6A6"/>
              <w:bottom w:val="single" w:sz="4" w:space="0" w:color="A6A6A6"/>
            </w:tcBorders>
            <w:noWrap/>
            <w:hideMark/>
          </w:tcPr>
          <w:p w14:paraId="7394D480" w14:textId="77777777" w:rsidR="00CE75D4" w:rsidRPr="002029AF" w:rsidRDefault="00CE75D4" w:rsidP="008340C1">
            <w:pPr>
              <w:pStyle w:val="ARfintablebodyright"/>
            </w:pPr>
            <w:r w:rsidRPr="00EF6903">
              <w:t>239.6</w:t>
            </w:r>
          </w:p>
        </w:tc>
      </w:tr>
      <w:tr w:rsidR="00CE75D4" w:rsidRPr="002029AF" w14:paraId="4277A77E" w14:textId="77777777" w:rsidTr="003566F1">
        <w:tc>
          <w:tcPr>
            <w:tcW w:w="6518" w:type="dxa"/>
            <w:tcBorders>
              <w:top w:val="single" w:sz="4" w:space="0" w:color="A6A6A6"/>
              <w:bottom w:val="single" w:sz="4" w:space="0" w:color="A6A6A6"/>
            </w:tcBorders>
            <w:hideMark/>
          </w:tcPr>
          <w:p w14:paraId="07C903A0" w14:textId="77777777" w:rsidR="00CE75D4" w:rsidRPr="002029AF" w:rsidRDefault="00CE75D4" w:rsidP="008340C1">
            <w:pPr>
              <w:pStyle w:val="ARfintablebody"/>
            </w:pPr>
            <w:r w:rsidRPr="00EF6903">
              <w:t>Grants and other expense transfers</w:t>
            </w:r>
          </w:p>
        </w:tc>
        <w:tc>
          <w:tcPr>
            <w:tcW w:w="851" w:type="dxa"/>
            <w:tcBorders>
              <w:top w:val="single" w:sz="4" w:space="0" w:color="A6A6A6"/>
              <w:bottom w:val="single" w:sz="4" w:space="0" w:color="A6A6A6"/>
            </w:tcBorders>
            <w:noWrap/>
            <w:hideMark/>
          </w:tcPr>
          <w:p w14:paraId="459CCC51" w14:textId="77777777" w:rsidR="00CE75D4" w:rsidRPr="002029AF" w:rsidRDefault="00CE75D4" w:rsidP="008340C1">
            <w:pPr>
              <w:pStyle w:val="ARfintablebodyright"/>
            </w:pPr>
            <w:r w:rsidRPr="00EF6903">
              <w:t>3.1.2</w:t>
            </w:r>
          </w:p>
        </w:tc>
        <w:tc>
          <w:tcPr>
            <w:tcW w:w="1134" w:type="dxa"/>
            <w:tcBorders>
              <w:top w:val="single" w:sz="4" w:space="0" w:color="A6A6A6"/>
              <w:bottom w:val="single" w:sz="4" w:space="0" w:color="A6A6A6"/>
            </w:tcBorders>
            <w:shd w:val="clear" w:color="auto" w:fill="E7E6E6"/>
            <w:noWrap/>
            <w:hideMark/>
          </w:tcPr>
          <w:p w14:paraId="2B572C4C" w14:textId="77777777" w:rsidR="00CE75D4" w:rsidRPr="002029AF" w:rsidRDefault="00CE75D4" w:rsidP="008340C1">
            <w:pPr>
              <w:pStyle w:val="ARfintablebodyright"/>
            </w:pPr>
            <w:r w:rsidRPr="00EF6903">
              <w:t>18,031.5</w:t>
            </w:r>
          </w:p>
        </w:tc>
        <w:tc>
          <w:tcPr>
            <w:tcW w:w="1134" w:type="dxa"/>
            <w:tcBorders>
              <w:top w:val="single" w:sz="4" w:space="0" w:color="A6A6A6"/>
              <w:bottom w:val="single" w:sz="4" w:space="0" w:color="A6A6A6"/>
            </w:tcBorders>
            <w:noWrap/>
            <w:hideMark/>
          </w:tcPr>
          <w:p w14:paraId="4A4B3687" w14:textId="77777777" w:rsidR="00CE75D4" w:rsidRPr="002029AF" w:rsidRDefault="00CE75D4" w:rsidP="008340C1">
            <w:pPr>
              <w:pStyle w:val="ARfintablebodyright"/>
            </w:pPr>
            <w:r w:rsidRPr="00EF6903">
              <w:t>19,720.7</w:t>
            </w:r>
          </w:p>
        </w:tc>
      </w:tr>
      <w:tr w:rsidR="00CE75D4" w:rsidRPr="002029AF" w14:paraId="486ECE74" w14:textId="77777777" w:rsidTr="003566F1">
        <w:tc>
          <w:tcPr>
            <w:tcW w:w="6518" w:type="dxa"/>
            <w:tcBorders>
              <w:top w:val="single" w:sz="4" w:space="0" w:color="A6A6A6"/>
              <w:bottom w:val="single" w:sz="4" w:space="0" w:color="A6A6A6"/>
            </w:tcBorders>
            <w:hideMark/>
          </w:tcPr>
          <w:p w14:paraId="03616D6F" w14:textId="77777777" w:rsidR="00CE75D4" w:rsidRPr="002029AF" w:rsidRDefault="00CE75D4" w:rsidP="008340C1">
            <w:pPr>
              <w:pStyle w:val="ARfintablebody"/>
            </w:pPr>
            <w:r w:rsidRPr="00EF6903">
              <w:t xml:space="preserve">Capital asset charge </w:t>
            </w:r>
            <w:r w:rsidRPr="004E578E">
              <w:rPr>
                <w:rStyle w:val="Superscript"/>
              </w:rPr>
              <w:t>(ii)</w:t>
            </w:r>
          </w:p>
        </w:tc>
        <w:tc>
          <w:tcPr>
            <w:tcW w:w="851" w:type="dxa"/>
            <w:tcBorders>
              <w:top w:val="single" w:sz="4" w:space="0" w:color="A6A6A6"/>
              <w:bottom w:val="single" w:sz="4" w:space="0" w:color="A6A6A6"/>
            </w:tcBorders>
            <w:noWrap/>
            <w:hideMark/>
          </w:tcPr>
          <w:p w14:paraId="4BAFFAF0" w14:textId="77777777" w:rsidR="00CE75D4" w:rsidRPr="002029AF" w:rsidRDefault="00CE75D4" w:rsidP="008340C1">
            <w:pPr>
              <w:pStyle w:val="ARfintablebodyright"/>
            </w:pPr>
            <w:r w:rsidRPr="00EF6903">
              <w:t>3.1.3</w:t>
            </w:r>
          </w:p>
        </w:tc>
        <w:tc>
          <w:tcPr>
            <w:tcW w:w="1134" w:type="dxa"/>
            <w:tcBorders>
              <w:top w:val="single" w:sz="4" w:space="0" w:color="A6A6A6"/>
              <w:bottom w:val="single" w:sz="4" w:space="0" w:color="A6A6A6"/>
            </w:tcBorders>
            <w:shd w:val="clear" w:color="auto" w:fill="E7E6E6"/>
            <w:noWrap/>
            <w:hideMark/>
          </w:tcPr>
          <w:p w14:paraId="393AAB32"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1AC6671F" w14:textId="77777777" w:rsidR="00CE75D4" w:rsidRPr="002029AF" w:rsidRDefault="00CE75D4" w:rsidP="008340C1">
            <w:pPr>
              <w:pStyle w:val="ARfintablebodyright"/>
            </w:pPr>
            <w:r w:rsidRPr="00EF6903">
              <w:t>1,427.7</w:t>
            </w:r>
          </w:p>
        </w:tc>
      </w:tr>
      <w:tr w:rsidR="00CE75D4" w:rsidRPr="002029AF" w14:paraId="3C3B5699" w14:textId="77777777" w:rsidTr="003566F1">
        <w:tc>
          <w:tcPr>
            <w:tcW w:w="6518" w:type="dxa"/>
            <w:tcBorders>
              <w:top w:val="single" w:sz="4" w:space="0" w:color="A6A6A6"/>
              <w:bottom w:val="single" w:sz="4" w:space="0" w:color="A6A6A6"/>
            </w:tcBorders>
            <w:hideMark/>
          </w:tcPr>
          <w:p w14:paraId="5DF308D6" w14:textId="77777777" w:rsidR="00CE75D4" w:rsidRPr="002029AF" w:rsidRDefault="00CE75D4" w:rsidP="008340C1">
            <w:pPr>
              <w:pStyle w:val="ARfintablebody"/>
            </w:pPr>
            <w:r w:rsidRPr="00EF6903">
              <w:t xml:space="preserve">Fair value of assets and services provided free of charge </w:t>
            </w:r>
            <w:r>
              <w:br/>
            </w:r>
            <w:r w:rsidRPr="00EF6903">
              <w:t>or for nominal consideration</w:t>
            </w:r>
          </w:p>
        </w:tc>
        <w:tc>
          <w:tcPr>
            <w:tcW w:w="851" w:type="dxa"/>
            <w:tcBorders>
              <w:top w:val="single" w:sz="4" w:space="0" w:color="A6A6A6"/>
              <w:bottom w:val="single" w:sz="4" w:space="0" w:color="A6A6A6"/>
            </w:tcBorders>
            <w:noWrap/>
            <w:hideMark/>
          </w:tcPr>
          <w:p w14:paraId="4FA6EBA2" w14:textId="77777777" w:rsidR="00CE75D4" w:rsidRPr="002029AF" w:rsidRDefault="00CE75D4" w:rsidP="008340C1">
            <w:pPr>
              <w:pStyle w:val="ARfintablebodyright"/>
            </w:pPr>
            <w:r w:rsidRPr="00EF6903">
              <w:t>3.1.4</w:t>
            </w:r>
          </w:p>
        </w:tc>
        <w:tc>
          <w:tcPr>
            <w:tcW w:w="1134" w:type="dxa"/>
            <w:tcBorders>
              <w:top w:val="single" w:sz="4" w:space="0" w:color="A6A6A6"/>
              <w:bottom w:val="single" w:sz="4" w:space="0" w:color="A6A6A6"/>
            </w:tcBorders>
            <w:shd w:val="clear" w:color="auto" w:fill="E7E6E6"/>
            <w:noWrap/>
            <w:hideMark/>
          </w:tcPr>
          <w:p w14:paraId="51AA8349" w14:textId="77777777" w:rsidR="00CE75D4" w:rsidRPr="002029AF" w:rsidRDefault="00CE75D4" w:rsidP="008340C1">
            <w:pPr>
              <w:pStyle w:val="ARfintablebodyright"/>
            </w:pPr>
            <w:r w:rsidRPr="00EF6903">
              <w:t>683.4</w:t>
            </w:r>
          </w:p>
        </w:tc>
        <w:tc>
          <w:tcPr>
            <w:tcW w:w="1134" w:type="dxa"/>
            <w:tcBorders>
              <w:top w:val="single" w:sz="4" w:space="0" w:color="A6A6A6"/>
              <w:bottom w:val="single" w:sz="4" w:space="0" w:color="A6A6A6"/>
            </w:tcBorders>
            <w:noWrap/>
            <w:hideMark/>
          </w:tcPr>
          <w:p w14:paraId="157B74C5" w14:textId="77777777" w:rsidR="00CE75D4" w:rsidRPr="002029AF" w:rsidRDefault="00CE75D4" w:rsidP="008340C1">
            <w:pPr>
              <w:pStyle w:val="ARfintablebodyright"/>
            </w:pPr>
            <w:r w:rsidRPr="00EF6903">
              <w:t>297.2</w:t>
            </w:r>
          </w:p>
        </w:tc>
      </w:tr>
      <w:tr w:rsidR="00CE75D4" w:rsidRPr="002029AF" w14:paraId="6EC4B24F" w14:textId="77777777" w:rsidTr="003566F1">
        <w:tc>
          <w:tcPr>
            <w:tcW w:w="6518" w:type="dxa"/>
            <w:tcBorders>
              <w:top w:val="single" w:sz="4" w:space="0" w:color="A6A6A6"/>
              <w:bottom w:val="single" w:sz="4" w:space="0" w:color="A6A6A6"/>
            </w:tcBorders>
            <w:hideMark/>
          </w:tcPr>
          <w:p w14:paraId="4B760BCA" w14:textId="77777777" w:rsidR="00CE75D4" w:rsidRPr="002029AF" w:rsidRDefault="00CE75D4" w:rsidP="008340C1">
            <w:pPr>
              <w:pStyle w:val="ARfintablebody"/>
            </w:pPr>
            <w:r w:rsidRPr="00EF6903">
              <w:t>Other operating expenses</w:t>
            </w:r>
          </w:p>
        </w:tc>
        <w:tc>
          <w:tcPr>
            <w:tcW w:w="851" w:type="dxa"/>
            <w:tcBorders>
              <w:top w:val="single" w:sz="4" w:space="0" w:color="A6A6A6"/>
              <w:bottom w:val="single" w:sz="4" w:space="0" w:color="A6A6A6"/>
            </w:tcBorders>
            <w:noWrap/>
            <w:hideMark/>
          </w:tcPr>
          <w:p w14:paraId="0AAF26EB" w14:textId="77777777" w:rsidR="00CE75D4" w:rsidRPr="002029AF" w:rsidRDefault="00CE75D4" w:rsidP="008340C1">
            <w:pPr>
              <w:pStyle w:val="ARfintablebodyright"/>
            </w:pPr>
            <w:r w:rsidRPr="00EF6903">
              <w:t>3.1.5</w:t>
            </w:r>
          </w:p>
        </w:tc>
        <w:tc>
          <w:tcPr>
            <w:tcW w:w="1134" w:type="dxa"/>
            <w:tcBorders>
              <w:top w:val="single" w:sz="4" w:space="0" w:color="A6A6A6"/>
              <w:bottom w:val="single" w:sz="4" w:space="0" w:color="A6A6A6"/>
            </w:tcBorders>
            <w:shd w:val="clear" w:color="auto" w:fill="E7E6E6"/>
            <w:noWrap/>
            <w:hideMark/>
          </w:tcPr>
          <w:p w14:paraId="7C74B360" w14:textId="77777777" w:rsidR="00CE75D4" w:rsidRPr="002029AF" w:rsidRDefault="00CE75D4" w:rsidP="008340C1">
            <w:pPr>
              <w:pStyle w:val="ARfintablebodyright"/>
            </w:pPr>
            <w:r w:rsidRPr="00EF6903">
              <w:t>1,537.1</w:t>
            </w:r>
          </w:p>
        </w:tc>
        <w:tc>
          <w:tcPr>
            <w:tcW w:w="1134" w:type="dxa"/>
            <w:tcBorders>
              <w:top w:val="single" w:sz="4" w:space="0" w:color="A6A6A6"/>
              <w:bottom w:val="single" w:sz="4" w:space="0" w:color="A6A6A6"/>
            </w:tcBorders>
            <w:noWrap/>
            <w:hideMark/>
          </w:tcPr>
          <w:p w14:paraId="241257F2" w14:textId="77777777" w:rsidR="00CE75D4" w:rsidRPr="002029AF" w:rsidRDefault="00CE75D4" w:rsidP="008340C1">
            <w:pPr>
              <w:pStyle w:val="ARfintablebodyright"/>
            </w:pPr>
            <w:r w:rsidRPr="00EF6903">
              <w:t>1,361.5</w:t>
            </w:r>
          </w:p>
        </w:tc>
      </w:tr>
      <w:tr w:rsidR="00CE75D4" w:rsidRPr="002029AF" w14:paraId="22FC41BB" w14:textId="77777777" w:rsidTr="003566F1">
        <w:tc>
          <w:tcPr>
            <w:tcW w:w="6518" w:type="dxa"/>
            <w:tcBorders>
              <w:top w:val="single" w:sz="4" w:space="0" w:color="A6A6A6"/>
            </w:tcBorders>
            <w:hideMark/>
          </w:tcPr>
          <w:p w14:paraId="0AF960E9" w14:textId="77777777" w:rsidR="00CE75D4" w:rsidRPr="002029AF" w:rsidRDefault="00CE75D4" w:rsidP="008340C1">
            <w:pPr>
              <w:pStyle w:val="ARfintablebody"/>
            </w:pPr>
            <w:r w:rsidRPr="00EF6903">
              <w:t>Other property management expenses</w:t>
            </w:r>
          </w:p>
        </w:tc>
        <w:tc>
          <w:tcPr>
            <w:tcW w:w="851" w:type="dxa"/>
            <w:tcBorders>
              <w:top w:val="single" w:sz="4" w:space="0" w:color="A6A6A6"/>
            </w:tcBorders>
            <w:noWrap/>
            <w:hideMark/>
          </w:tcPr>
          <w:p w14:paraId="1C0786D1" w14:textId="77777777" w:rsidR="00CE75D4" w:rsidRPr="002029AF" w:rsidRDefault="00CE75D4" w:rsidP="008340C1">
            <w:pPr>
              <w:pStyle w:val="ARfintablebodyright"/>
            </w:pPr>
            <w:r w:rsidRPr="00EF6903">
              <w:t>3.1.6</w:t>
            </w:r>
          </w:p>
        </w:tc>
        <w:tc>
          <w:tcPr>
            <w:tcW w:w="1134" w:type="dxa"/>
            <w:tcBorders>
              <w:top w:val="single" w:sz="4" w:space="0" w:color="A6A6A6"/>
            </w:tcBorders>
            <w:shd w:val="clear" w:color="auto" w:fill="E7E6E6"/>
            <w:noWrap/>
            <w:hideMark/>
          </w:tcPr>
          <w:p w14:paraId="67CBADEE" w14:textId="77777777" w:rsidR="00CE75D4" w:rsidRPr="002029AF" w:rsidRDefault="00CE75D4" w:rsidP="008340C1">
            <w:pPr>
              <w:pStyle w:val="ARfintablebodyright"/>
            </w:pPr>
            <w:r>
              <w:t>–</w:t>
            </w:r>
          </w:p>
        </w:tc>
        <w:tc>
          <w:tcPr>
            <w:tcW w:w="1134" w:type="dxa"/>
            <w:tcBorders>
              <w:top w:val="single" w:sz="4" w:space="0" w:color="A6A6A6"/>
            </w:tcBorders>
            <w:noWrap/>
            <w:hideMark/>
          </w:tcPr>
          <w:p w14:paraId="0BDC7189" w14:textId="77777777" w:rsidR="00CE75D4" w:rsidRPr="002029AF" w:rsidRDefault="00CE75D4" w:rsidP="008340C1">
            <w:pPr>
              <w:pStyle w:val="ARfintablebodyright"/>
            </w:pPr>
            <w:r w:rsidRPr="00EF6903">
              <w:t>274.6</w:t>
            </w:r>
          </w:p>
        </w:tc>
      </w:tr>
      <w:tr w:rsidR="00CE75D4" w:rsidRPr="002029AF" w14:paraId="050A5E79" w14:textId="77777777" w:rsidTr="003566F1">
        <w:tc>
          <w:tcPr>
            <w:tcW w:w="6518" w:type="dxa"/>
            <w:hideMark/>
          </w:tcPr>
          <w:p w14:paraId="427255CF" w14:textId="77777777" w:rsidR="00CE75D4" w:rsidRPr="002029AF" w:rsidRDefault="00CE75D4" w:rsidP="008340C1">
            <w:pPr>
              <w:pStyle w:val="ARfintablebodybold"/>
            </w:pPr>
            <w:r w:rsidRPr="00EF6903">
              <w:t>Total expenses from transactions</w:t>
            </w:r>
          </w:p>
        </w:tc>
        <w:tc>
          <w:tcPr>
            <w:tcW w:w="851" w:type="dxa"/>
            <w:hideMark/>
          </w:tcPr>
          <w:p w14:paraId="3752CCDA" w14:textId="77777777" w:rsidR="00CE75D4" w:rsidRPr="002029AF" w:rsidRDefault="00CE75D4" w:rsidP="008340C1">
            <w:pPr>
              <w:pStyle w:val="ARfintablebodyrightbold"/>
            </w:pPr>
          </w:p>
        </w:tc>
        <w:tc>
          <w:tcPr>
            <w:tcW w:w="1134" w:type="dxa"/>
            <w:shd w:val="clear" w:color="auto" w:fill="E7E6E6"/>
            <w:noWrap/>
            <w:hideMark/>
          </w:tcPr>
          <w:p w14:paraId="7E899B30" w14:textId="77777777" w:rsidR="00CE75D4" w:rsidRPr="002029AF" w:rsidRDefault="00CE75D4" w:rsidP="008340C1">
            <w:pPr>
              <w:pStyle w:val="ARfintablebodyrightbold"/>
            </w:pPr>
            <w:r w:rsidRPr="00EF6903">
              <w:t>21,094.3</w:t>
            </w:r>
          </w:p>
        </w:tc>
        <w:tc>
          <w:tcPr>
            <w:tcW w:w="1134" w:type="dxa"/>
            <w:noWrap/>
            <w:hideMark/>
          </w:tcPr>
          <w:p w14:paraId="00137208" w14:textId="77777777" w:rsidR="00CE75D4" w:rsidRPr="002029AF" w:rsidRDefault="00CE75D4" w:rsidP="008340C1">
            <w:pPr>
              <w:pStyle w:val="ARfintablebodyrightbold"/>
            </w:pPr>
            <w:r w:rsidRPr="00EF6903">
              <w:t>25,170.7</w:t>
            </w:r>
          </w:p>
        </w:tc>
      </w:tr>
      <w:tr w:rsidR="00CE75D4" w:rsidRPr="002029AF" w14:paraId="2827F8A0" w14:textId="77777777" w:rsidTr="003566F1">
        <w:tc>
          <w:tcPr>
            <w:tcW w:w="6518" w:type="dxa"/>
            <w:tcBorders>
              <w:bottom w:val="single" w:sz="4" w:space="0" w:color="auto"/>
            </w:tcBorders>
            <w:hideMark/>
          </w:tcPr>
          <w:p w14:paraId="79D6F8F5" w14:textId="77777777" w:rsidR="00CE75D4" w:rsidRPr="002029AF" w:rsidRDefault="00CE75D4" w:rsidP="008340C1">
            <w:pPr>
              <w:pStyle w:val="ARfintablebodybold"/>
            </w:pPr>
            <w:r w:rsidRPr="00EF6903">
              <w:t>Net result from transactions (net operating balance)</w:t>
            </w:r>
          </w:p>
        </w:tc>
        <w:tc>
          <w:tcPr>
            <w:tcW w:w="851" w:type="dxa"/>
            <w:tcBorders>
              <w:bottom w:val="single" w:sz="4" w:space="0" w:color="auto"/>
            </w:tcBorders>
            <w:hideMark/>
          </w:tcPr>
          <w:p w14:paraId="4719D4EB" w14:textId="77777777" w:rsidR="00CE75D4" w:rsidRPr="002029AF" w:rsidRDefault="00CE75D4" w:rsidP="008340C1">
            <w:pPr>
              <w:pStyle w:val="ARfintablebodyrightbold"/>
            </w:pPr>
          </w:p>
        </w:tc>
        <w:tc>
          <w:tcPr>
            <w:tcW w:w="1134" w:type="dxa"/>
            <w:tcBorders>
              <w:bottom w:val="single" w:sz="4" w:space="0" w:color="auto"/>
            </w:tcBorders>
            <w:shd w:val="clear" w:color="auto" w:fill="E7E6E6"/>
            <w:noWrap/>
            <w:hideMark/>
          </w:tcPr>
          <w:p w14:paraId="450A240C" w14:textId="77777777" w:rsidR="00CE75D4" w:rsidRPr="002029AF" w:rsidRDefault="00CE75D4" w:rsidP="008340C1">
            <w:pPr>
              <w:pStyle w:val="ARfintablebodyrightbold"/>
            </w:pPr>
            <w:r w:rsidRPr="00EF6903">
              <w:t>718.8</w:t>
            </w:r>
          </w:p>
        </w:tc>
        <w:tc>
          <w:tcPr>
            <w:tcW w:w="1134" w:type="dxa"/>
            <w:tcBorders>
              <w:bottom w:val="single" w:sz="4" w:space="0" w:color="auto"/>
            </w:tcBorders>
            <w:noWrap/>
            <w:hideMark/>
          </w:tcPr>
          <w:p w14:paraId="3115B0AF" w14:textId="77777777" w:rsidR="00CE75D4" w:rsidRPr="002029AF" w:rsidRDefault="00CE75D4" w:rsidP="008340C1">
            <w:pPr>
              <w:pStyle w:val="ARfintablebodyrightbold"/>
            </w:pPr>
            <w:r w:rsidRPr="00EF6903">
              <w:t>527.7</w:t>
            </w:r>
          </w:p>
        </w:tc>
      </w:tr>
      <w:tr w:rsidR="00CE75D4" w:rsidRPr="002029AF" w14:paraId="7E3EECD7" w14:textId="77777777" w:rsidTr="003566F1">
        <w:tc>
          <w:tcPr>
            <w:tcW w:w="9637" w:type="dxa"/>
            <w:gridSpan w:val="4"/>
            <w:tcBorders>
              <w:top w:val="single" w:sz="4" w:space="0" w:color="auto"/>
              <w:bottom w:val="single" w:sz="4" w:space="0" w:color="A6A6A6"/>
            </w:tcBorders>
            <w:hideMark/>
          </w:tcPr>
          <w:p w14:paraId="2079DDCE" w14:textId="77777777" w:rsidR="00CE75D4" w:rsidRPr="002029AF" w:rsidRDefault="00CE75D4" w:rsidP="008340C1">
            <w:pPr>
              <w:pStyle w:val="ARfintablebodybold"/>
            </w:pPr>
            <w:r w:rsidRPr="007C0D14">
              <w:t>Other economic flows included in net result</w:t>
            </w:r>
          </w:p>
        </w:tc>
      </w:tr>
      <w:tr w:rsidR="00CE75D4" w:rsidRPr="002029AF" w14:paraId="7474E63F" w14:textId="77777777" w:rsidTr="003566F1">
        <w:tc>
          <w:tcPr>
            <w:tcW w:w="6518" w:type="dxa"/>
            <w:tcBorders>
              <w:top w:val="single" w:sz="4" w:space="0" w:color="A6A6A6"/>
              <w:bottom w:val="single" w:sz="4" w:space="0" w:color="A6A6A6"/>
            </w:tcBorders>
            <w:hideMark/>
          </w:tcPr>
          <w:p w14:paraId="4F10FF79" w14:textId="77777777" w:rsidR="00CE75D4" w:rsidRPr="002029AF" w:rsidRDefault="00CE75D4" w:rsidP="008340C1">
            <w:pPr>
              <w:pStyle w:val="ARfintablebody"/>
            </w:pPr>
            <w:r w:rsidRPr="007C0D14">
              <w:t xml:space="preserve">Net gain/(loss) on non-financial assets </w:t>
            </w:r>
            <w:r w:rsidRPr="004E578E">
              <w:rPr>
                <w:rStyle w:val="Superscript"/>
              </w:rPr>
              <w:t>(i</w:t>
            </w:r>
            <w:r>
              <w:rPr>
                <w:rStyle w:val="Superscript"/>
              </w:rPr>
              <w:t>ii</w:t>
            </w:r>
            <w:r w:rsidRPr="004E578E">
              <w:rPr>
                <w:rStyle w:val="Superscript"/>
              </w:rPr>
              <w:t>)</w:t>
            </w:r>
          </w:p>
        </w:tc>
        <w:tc>
          <w:tcPr>
            <w:tcW w:w="851" w:type="dxa"/>
            <w:tcBorders>
              <w:top w:val="single" w:sz="4" w:space="0" w:color="A6A6A6"/>
              <w:bottom w:val="single" w:sz="4" w:space="0" w:color="A6A6A6"/>
            </w:tcBorders>
            <w:noWrap/>
            <w:hideMark/>
          </w:tcPr>
          <w:p w14:paraId="5A25991A" w14:textId="77777777" w:rsidR="00CE75D4" w:rsidRPr="002029AF" w:rsidRDefault="00CE75D4" w:rsidP="008340C1">
            <w:pPr>
              <w:pStyle w:val="ARfintablebodyright"/>
            </w:pPr>
            <w:r w:rsidRPr="007C0D14">
              <w:t>9.2(a)</w:t>
            </w:r>
          </w:p>
        </w:tc>
        <w:tc>
          <w:tcPr>
            <w:tcW w:w="1134" w:type="dxa"/>
            <w:tcBorders>
              <w:top w:val="single" w:sz="4" w:space="0" w:color="A6A6A6"/>
              <w:bottom w:val="single" w:sz="4" w:space="0" w:color="A6A6A6"/>
            </w:tcBorders>
            <w:shd w:val="clear" w:color="auto" w:fill="E7E6E6"/>
            <w:noWrap/>
            <w:hideMark/>
          </w:tcPr>
          <w:p w14:paraId="6F6F539B" w14:textId="77777777" w:rsidR="00CE75D4" w:rsidRPr="002029AF" w:rsidRDefault="00CE75D4" w:rsidP="008340C1">
            <w:pPr>
              <w:pStyle w:val="ARfintablebodyright"/>
            </w:pPr>
            <w:r w:rsidRPr="007C0D14">
              <w:t>0.3</w:t>
            </w:r>
          </w:p>
        </w:tc>
        <w:tc>
          <w:tcPr>
            <w:tcW w:w="1134" w:type="dxa"/>
            <w:tcBorders>
              <w:top w:val="single" w:sz="4" w:space="0" w:color="A6A6A6"/>
              <w:bottom w:val="single" w:sz="4" w:space="0" w:color="A6A6A6"/>
            </w:tcBorders>
            <w:noWrap/>
            <w:hideMark/>
          </w:tcPr>
          <w:p w14:paraId="1CE7675C" w14:textId="77777777" w:rsidR="00CE75D4" w:rsidRPr="002029AF" w:rsidRDefault="00CE75D4" w:rsidP="008340C1">
            <w:pPr>
              <w:pStyle w:val="ARfintablebodyright"/>
            </w:pPr>
            <w:r w:rsidRPr="007C0D14">
              <w:t>(2.9)</w:t>
            </w:r>
          </w:p>
        </w:tc>
      </w:tr>
      <w:tr w:rsidR="00CE75D4" w:rsidRPr="002029AF" w14:paraId="536DCCFE" w14:textId="77777777" w:rsidTr="003566F1">
        <w:tc>
          <w:tcPr>
            <w:tcW w:w="6518" w:type="dxa"/>
            <w:tcBorders>
              <w:top w:val="single" w:sz="4" w:space="0" w:color="A6A6A6"/>
              <w:bottom w:val="single" w:sz="4" w:space="0" w:color="A6A6A6"/>
            </w:tcBorders>
            <w:hideMark/>
          </w:tcPr>
          <w:p w14:paraId="43B1F712" w14:textId="77777777" w:rsidR="00CE75D4" w:rsidRPr="002029AF" w:rsidRDefault="00CE75D4" w:rsidP="008340C1">
            <w:pPr>
              <w:pStyle w:val="ARfintablebody"/>
            </w:pPr>
            <w:r w:rsidRPr="007C0D14">
              <w:t xml:space="preserve">Net gain/(loss) on financial instruments </w:t>
            </w:r>
            <w:r w:rsidRPr="004E578E">
              <w:rPr>
                <w:rStyle w:val="Superscript"/>
              </w:rPr>
              <w:t>(</w:t>
            </w:r>
            <w:r>
              <w:rPr>
                <w:rStyle w:val="Superscript"/>
              </w:rPr>
              <w:t>i</w:t>
            </w:r>
            <w:r w:rsidRPr="004E578E">
              <w:rPr>
                <w:rStyle w:val="Superscript"/>
              </w:rPr>
              <w:t>v)</w:t>
            </w:r>
          </w:p>
        </w:tc>
        <w:tc>
          <w:tcPr>
            <w:tcW w:w="851" w:type="dxa"/>
            <w:tcBorders>
              <w:top w:val="single" w:sz="4" w:space="0" w:color="A6A6A6"/>
              <w:bottom w:val="single" w:sz="4" w:space="0" w:color="A6A6A6"/>
            </w:tcBorders>
            <w:noWrap/>
            <w:hideMark/>
          </w:tcPr>
          <w:p w14:paraId="1D6054DE" w14:textId="77777777" w:rsidR="00CE75D4" w:rsidRPr="002029AF" w:rsidRDefault="00CE75D4" w:rsidP="008340C1">
            <w:pPr>
              <w:pStyle w:val="ARfintablebodyright"/>
            </w:pPr>
            <w:r w:rsidRPr="007C0D14">
              <w:t>9.2(b)</w:t>
            </w:r>
          </w:p>
        </w:tc>
        <w:tc>
          <w:tcPr>
            <w:tcW w:w="1134" w:type="dxa"/>
            <w:tcBorders>
              <w:top w:val="single" w:sz="4" w:space="0" w:color="A6A6A6"/>
              <w:bottom w:val="single" w:sz="4" w:space="0" w:color="A6A6A6"/>
            </w:tcBorders>
            <w:shd w:val="clear" w:color="auto" w:fill="E7E6E6"/>
            <w:noWrap/>
            <w:hideMark/>
          </w:tcPr>
          <w:p w14:paraId="13A48EA2" w14:textId="77777777" w:rsidR="00CE75D4" w:rsidRPr="002029AF" w:rsidRDefault="00CE75D4" w:rsidP="008340C1">
            <w:pPr>
              <w:pStyle w:val="ARfintablebodyright"/>
            </w:pPr>
            <w:r w:rsidRPr="007C0D14">
              <w:t>(0.2)</w:t>
            </w:r>
          </w:p>
        </w:tc>
        <w:tc>
          <w:tcPr>
            <w:tcW w:w="1134" w:type="dxa"/>
            <w:tcBorders>
              <w:top w:val="single" w:sz="4" w:space="0" w:color="A6A6A6"/>
              <w:bottom w:val="single" w:sz="4" w:space="0" w:color="A6A6A6"/>
            </w:tcBorders>
            <w:noWrap/>
            <w:hideMark/>
          </w:tcPr>
          <w:p w14:paraId="2B00A95B" w14:textId="77777777" w:rsidR="00CE75D4" w:rsidRPr="002029AF" w:rsidRDefault="00CE75D4" w:rsidP="008340C1">
            <w:pPr>
              <w:pStyle w:val="ARfintablebodyright"/>
            </w:pPr>
            <w:r w:rsidRPr="007C0D14">
              <w:t>1.6</w:t>
            </w:r>
          </w:p>
        </w:tc>
      </w:tr>
      <w:tr w:rsidR="00CE75D4" w:rsidRPr="002029AF" w14:paraId="54DC1409" w14:textId="77777777" w:rsidTr="003566F1">
        <w:tc>
          <w:tcPr>
            <w:tcW w:w="6518" w:type="dxa"/>
            <w:tcBorders>
              <w:top w:val="single" w:sz="4" w:space="0" w:color="A6A6A6"/>
            </w:tcBorders>
            <w:hideMark/>
          </w:tcPr>
          <w:p w14:paraId="365E0A4F" w14:textId="77777777" w:rsidR="00CE75D4" w:rsidRPr="002029AF" w:rsidRDefault="00CE75D4" w:rsidP="008340C1">
            <w:pPr>
              <w:pStyle w:val="ARfintablebody"/>
            </w:pPr>
            <w:r w:rsidRPr="007C0D14">
              <w:t>Other gains/(losses) from other economic flows</w:t>
            </w:r>
          </w:p>
        </w:tc>
        <w:tc>
          <w:tcPr>
            <w:tcW w:w="851" w:type="dxa"/>
            <w:tcBorders>
              <w:top w:val="single" w:sz="4" w:space="0" w:color="A6A6A6"/>
            </w:tcBorders>
            <w:noWrap/>
            <w:hideMark/>
          </w:tcPr>
          <w:p w14:paraId="50BE50F7" w14:textId="77777777" w:rsidR="00CE75D4" w:rsidRPr="002029AF" w:rsidRDefault="00CE75D4" w:rsidP="008340C1">
            <w:pPr>
              <w:pStyle w:val="ARfintablebodyright"/>
            </w:pPr>
            <w:r w:rsidRPr="007C0D14">
              <w:t>9.2(c)</w:t>
            </w:r>
          </w:p>
        </w:tc>
        <w:tc>
          <w:tcPr>
            <w:tcW w:w="1134" w:type="dxa"/>
            <w:tcBorders>
              <w:top w:val="single" w:sz="4" w:space="0" w:color="A6A6A6"/>
            </w:tcBorders>
            <w:shd w:val="clear" w:color="auto" w:fill="E7E6E6"/>
            <w:noWrap/>
            <w:hideMark/>
          </w:tcPr>
          <w:p w14:paraId="3034EC86" w14:textId="77777777" w:rsidR="00CE75D4" w:rsidRPr="002029AF" w:rsidRDefault="00CE75D4" w:rsidP="008340C1">
            <w:pPr>
              <w:pStyle w:val="ARfintablebodyright"/>
            </w:pPr>
            <w:r w:rsidRPr="007C0D14">
              <w:t>2.9</w:t>
            </w:r>
          </w:p>
        </w:tc>
        <w:tc>
          <w:tcPr>
            <w:tcW w:w="1134" w:type="dxa"/>
            <w:tcBorders>
              <w:top w:val="single" w:sz="4" w:space="0" w:color="A6A6A6"/>
            </w:tcBorders>
            <w:noWrap/>
            <w:hideMark/>
          </w:tcPr>
          <w:p w14:paraId="79628D85" w14:textId="77777777" w:rsidR="00CE75D4" w:rsidRPr="002029AF" w:rsidRDefault="00CE75D4" w:rsidP="008340C1">
            <w:pPr>
              <w:pStyle w:val="ARfintablebodyright"/>
            </w:pPr>
            <w:r w:rsidRPr="007C0D14">
              <w:t>(12.3)</w:t>
            </w:r>
          </w:p>
        </w:tc>
      </w:tr>
      <w:tr w:rsidR="00CE75D4" w:rsidRPr="002029AF" w14:paraId="3A5D1AD4" w14:textId="77777777" w:rsidTr="003566F1">
        <w:tc>
          <w:tcPr>
            <w:tcW w:w="6518" w:type="dxa"/>
            <w:hideMark/>
          </w:tcPr>
          <w:p w14:paraId="19F98CB1" w14:textId="77777777" w:rsidR="00CE75D4" w:rsidRPr="002029AF" w:rsidRDefault="00CE75D4" w:rsidP="008340C1">
            <w:pPr>
              <w:pStyle w:val="ARfintablebodybold"/>
            </w:pPr>
            <w:r w:rsidRPr="007C0D14">
              <w:t>Total other economic flows included in net result</w:t>
            </w:r>
          </w:p>
        </w:tc>
        <w:tc>
          <w:tcPr>
            <w:tcW w:w="851" w:type="dxa"/>
            <w:hideMark/>
          </w:tcPr>
          <w:p w14:paraId="1597199A" w14:textId="77777777" w:rsidR="00CE75D4" w:rsidRPr="002029AF" w:rsidRDefault="00CE75D4" w:rsidP="008340C1">
            <w:pPr>
              <w:pStyle w:val="ARfintablebodyrightbold"/>
            </w:pPr>
          </w:p>
        </w:tc>
        <w:tc>
          <w:tcPr>
            <w:tcW w:w="1134" w:type="dxa"/>
            <w:shd w:val="clear" w:color="auto" w:fill="E7E6E6"/>
            <w:noWrap/>
            <w:hideMark/>
          </w:tcPr>
          <w:p w14:paraId="60BDDE5E" w14:textId="77777777" w:rsidR="00CE75D4" w:rsidRPr="002029AF" w:rsidRDefault="00CE75D4" w:rsidP="008340C1">
            <w:pPr>
              <w:pStyle w:val="ARfintablebodyrightbold"/>
            </w:pPr>
            <w:r w:rsidRPr="007C0D14">
              <w:t>3.0</w:t>
            </w:r>
          </w:p>
        </w:tc>
        <w:tc>
          <w:tcPr>
            <w:tcW w:w="1134" w:type="dxa"/>
            <w:noWrap/>
            <w:hideMark/>
          </w:tcPr>
          <w:p w14:paraId="6F08A98B" w14:textId="77777777" w:rsidR="00CE75D4" w:rsidRPr="002029AF" w:rsidRDefault="00CE75D4" w:rsidP="008340C1">
            <w:pPr>
              <w:pStyle w:val="ARfintablebodyrightbold"/>
            </w:pPr>
            <w:r w:rsidRPr="007C0D14">
              <w:t>(13.6)</w:t>
            </w:r>
          </w:p>
        </w:tc>
      </w:tr>
      <w:tr w:rsidR="00CE75D4" w:rsidRPr="002029AF" w14:paraId="08C0FDA3" w14:textId="77777777" w:rsidTr="008340C1">
        <w:tc>
          <w:tcPr>
            <w:tcW w:w="6518" w:type="dxa"/>
            <w:tcBorders>
              <w:bottom w:val="single" w:sz="4" w:space="0" w:color="auto"/>
            </w:tcBorders>
            <w:hideMark/>
          </w:tcPr>
          <w:p w14:paraId="20DB0F0F" w14:textId="77777777" w:rsidR="00CE75D4" w:rsidRPr="002029AF" w:rsidRDefault="00CE75D4" w:rsidP="008340C1">
            <w:pPr>
              <w:pStyle w:val="ARfintablebodybold"/>
            </w:pPr>
            <w:r w:rsidRPr="007C0D14">
              <w:t>Net result</w:t>
            </w:r>
          </w:p>
        </w:tc>
        <w:tc>
          <w:tcPr>
            <w:tcW w:w="851" w:type="dxa"/>
            <w:tcBorders>
              <w:bottom w:val="single" w:sz="4" w:space="0" w:color="auto"/>
            </w:tcBorders>
            <w:hideMark/>
          </w:tcPr>
          <w:p w14:paraId="0EDD7656" w14:textId="77777777" w:rsidR="00CE75D4" w:rsidRPr="002029AF" w:rsidRDefault="00CE75D4" w:rsidP="008340C1">
            <w:pPr>
              <w:pStyle w:val="ARfintablebodyrightbold"/>
            </w:pPr>
          </w:p>
        </w:tc>
        <w:tc>
          <w:tcPr>
            <w:tcW w:w="1134" w:type="dxa"/>
            <w:tcBorders>
              <w:bottom w:val="single" w:sz="4" w:space="0" w:color="auto"/>
            </w:tcBorders>
            <w:shd w:val="clear" w:color="auto" w:fill="E7E6E6"/>
            <w:noWrap/>
            <w:hideMark/>
          </w:tcPr>
          <w:p w14:paraId="61118A72" w14:textId="77777777" w:rsidR="00CE75D4" w:rsidRPr="002029AF" w:rsidRDefault="00CE75D4" w:rsidP="008340C1">
            <w:pPr>
              <w:pStyle w:val="ARfintablebodyrightbold"/>
            </w:pPr>
            <w:r w:rsidRPr="007C0D14">
              <w:t>721.8</w:t>
            </w:r>
          </w:p>
        </w:tc>
        <w:tc>
          <w:tcPr>
            <w:tcW w:w="1134" w:type="dxa"/>
            <w:tcBorders>
              <w:bottom w:val="single" w:sz="4" w:space="0" w:color="auto"/>
            </w:tcBorders>
            <w:noWrap/>
            <w:hideMark/>
          </w:tcPr>
          <w:p w14:paraId="78F92302" w14:textId="77777777" w:rsidR="00CE75D4" w:rsidRPr="002029AF" w:rsidRDefault="00CE75D4" w:rsidP="008340C1">
            <w:pPr>
              <w:pStyle w:val="ARfintablebodyrightbold"/>
            </w:pPr>
            <w:r w:rsidRPr="007C0D14">
              <w:t>513.9</w:t>
            </w:r>
          </w:p>
        </w:tc>
      </w:tr>
      <w:tr w:rsidR="00CE75D4" w:rsidRPr="002029AF" w14:paraId="1AC179CC" w14:textId="77777777" w:rsidTr="003566F1">
        <w:tc>
          <w:tcPr>
            <w:tcW w:w="9637" w:type="dxa"/>
            <w:gridSpan w:val="4"/>
            <w:tcBorders>
              <w:top w:val="single" w:sz="4" w:space="0" w:color="auto"/>
              <w:bottom w:val="single" w:sz="4" w:space="0" w:color="A6A6A6"/>
            </w:tcBorders>
            <w:hideMark/>
          </w:tcPr>
          <w:p w14:paraId="6ECF1E12" w14:textId="77777777" w:rsidR="00CE75D4" w:rsidRPr="002029AF" w:rsidRDefault="00CE75D4" w:rsidP="008340C1">
            <w:pPr>
              <w:pStyle w:val="ARfintablebodybold"/>
            </w:pPr>
            <w:r w:rsidRPr="007C0D14">
              <w:t>Other economic flows – other comprehensive income</w:t>
            </w:r>
          </w:p>
        </w:tc>
      </w:tr>
      <w:tr w:rsidR="00CE75D4" w:rsidRPr="002029AF" w14:paraId="09C2EB37" w14:textId="77777777" w:rsidTr="008340C1">
        <w:tc>
          <w:tcPr>
            <w:tcW w:w="9637" w:type="dxa"/>
            <w:gridSpan w:val="4"/>
            <w:tcBorders>
              <w:top w:val="single" w:sz="4" w:space="0" w:color="A6A6A6"/>
              <w:bottom w:val="single" w:sz="4" w:space="0" w:color="A6A6A6"/>
            </w:tcBorders>
          </w:tcPr>
          <w:p w14:paraId="0B6A581C" w14:textId="77777777" w:rsidR="00CE75D4" w:rsidRPr="00942B6A" w:rsidRDefault="00CE75D4" w:rsidP="008340C1">
            <w:pPr>
              <w:pStyle w:val="ARfintablebodybold"/>
            </w:pPr>
            <w:r w:rsidRPr="007C0D14">
              <w:t>Items that will not be reclassified to net result</w:t>
            </w:r>
          </w:p>
        </w:tc>
      </w:tr>
      <w:tr w:rsidR="00CE75D4" w:rsidRPr="002029AF" w14:paraId="7EAD3D9E" w14:textId="77777777" w:rsidTr="003566F1">
        <w:tc>
          <w:tcPr>
            <w:tcW w:w="6518" w:type="dxa"/>
            <w:tcBorders>
              <w:top w:val="single" w:sz="4" w:space="0" w:color="A6A6A6"/>
              <w:bottom w:val="single" w:sz="4" w:space="0" w:color="A6A6A6"/>
            </w:tcBorders>
            <w:hideMark/>
          </w:tcPr>
          <w:p w14:paraId="15C64392" w14:textId="77777777" w:rsidR="00CE75D4" w:rsidRPr="002029AF" w:rsidRDefault="00CE75D4" w:rsidP="008340C1">
            <w:pPr>
              <w:pStyle w:val="ARfintablebody"/>
            </w:pPr>
            <w:r w:rsidRPr="007C0D14">
              <w:t>Changes in physical asset revaluation surplus</w:t>
            </w:r>
          </w:p>
        </w:tc>
        <w:tc>
          <w:tcPr>
            <w:tcW w:w="851" w:type="dxa"/>
            <w:tcBorders>
              <w:top w:val="single" w:sz="4" w:space="0" w:color="A6A6A6"/>
              <w:bottom w:val="single" w:sz="4" w:space="0" w:color="A6A6A6"/>
            </w:tcBorders>
            <w:noWrap/>
            <w:hideMark/>
          </w:tcPr>
          <w:p w14:paraId="721B006B" w14:textId="77777777" w:rsidR="00CE75D4" w:rsidRPr="002029AF" w:rsidRDefault="00CE75D4" w:rsidP="008340C1">
            <w:pPr>
              <w:pStyle w:val="ARfintablebodyright"/>
            </w:pPr>
            <w:r w:rsidRPr="007C0D14">
              <w:t>9.4</w:t>
            </w:r>
          </w:p>
        </w:tc>
        <w:tc>
          <w:tcPr>
            <w:tcW w:w="1134" w:type="dxa"/>
            <w:tcBorders>
              <w:top w:val="single" w:sz="4" w:space="0" w:color="A6A6A6"/>
              <w:bottom w:val="single" w:sz="4" w:space="0" w:color="A6A6A6"/>
            </w:tcBorders>
            <w:shd w:val="clear" w:color="auto" w:fill="E7E6E6"/>
            <w:noWrap/>
            <w:hideMark/>
          </w:tcPr>
          <w:p w14:paraId="10EBF48C" w14:textId="77777777" w:rsidR="00CE75D4" w:rsidRPr="002029AF" w:rsidRDefault="00CE75D4" w:rsidP="008340C1">
            <w:pPr>
              <w:pStyle w:val="ARfintablebodyright"/>
            </w:pPr>
            <w:r w:rsidRPr="007C0D14">
              <w:t>85.6</w:t>
            </w:r>
          </w:p>
        </w:tc>
        <w:tc>
          <w:tcPr>
            <w:tcW w:w="1134" w:type="dxa"/>
            <w:tcBorders>
              <w:top w:val="single" w:sz="4" w:space="0" w:color="A6A6A6"/>
              <w:bottom w:val="single" w:sz="4" w:space="0" w:color="A6A6A6"/>
            </w:tcBorders>
            <w:noWrap/>
            <w:hideMark/>
          </w:tcPr>
          <w:p w14:paraId="47115316" w14:textId="77777777" w:rsidR="00CE75D4" w:rsidRPr="002029AF" w:rsidRDefault="00CE75D4" w:rsidP="008340C1">
            <w:pPr>
              <w:pStyle w:val="ARfintablebodyright"/>
            </w:pPr>
            <w:r w:rsidRPr="007C0D14">
              <w:t>4,439.1</w:t>
            </w:r>
          </w:p>
        </w:tc>
      </w:tr>
      <w:tr w:rsidR="00CE75D4" w:rsidRPr="002029AF" w14:paraId="5033C464" w14:textId="77777777" w:rsidTr="003566F1">
        <w:tc>
          <w:tcPr>
            <w:tcW w:w="6518" w:type="dxa"/>
            <w:tcBorders>
              <w:top w:val="single" w:sz="4" w:space="0" w:color="A6A6A6"/>
            </w:tcBorders>
            <w:hideMark/>
          </w:tcPr>
          <w:p w14:paraId="5721D34E" w14:textId="77777777" w:rsidR="00CE75D4" w:rsidRPr="002029AF" w:rsidRDefault="00CE75D4" w:rsidP="008340C1">
            <w:pPr>
              <w:pStyle w:val="ARfintablebody"/>
            </w:pPr>
            <w:r w:rsidRPr="007C0D14">
              <w:t>Remeasurement of superannuation defined benefit plans</w:t>
            </w:r>
          </w:p>
        </w:tc>
        <w:tc>
          <w:tcPr>
            <w:tcW w:w="851" w:type="dxa"/>
            <w:tcBorders>
              <w:top w:val="single" w:sz="4" w:space="0" w:color="A6A6A6"/>
            </w:tcBorders>
            <w:noWrap/>
            <w:hideMark/>
          </w:tcPr>
          <w:p w14:paraId="47B42962" w14:textId="77777777" w:rsidR="00CE75D4" w:rsidRPr="002029AF" w:rsidRDefault="00CE75D4" w:rsidP="008340C1">
            <w:pPr>
              <w:pStyle w:val="ARfintablebodyright"/>
            </w:pPr>
            <w:r w:rsidRPr="007C0D14">
              <w:t>3.1.1(b)</w:t>
            </w:r>
          </w:p>
        </w:tc>
        <w:tc>
          <w:tcPr>
            <w:tcW w:w="1134" w:type="dxa"/>
            <w:tcBorders>
              <w:top w:val="single" w:sz="4" w:space="0" w:color="A6A6A6"/>
            </w:tcBorders>
            <w:shd w:val="clear" w:color="auto" w:fill="E7E6E6"/>
            <w:noWrap/>
            <w:hideMark/>
          </w:tcPr>
          <w:p w14:paraId="65A46A78" w14:textId="77777777" w:rsidR="00CE75D4" w:rsidRPr="002029AF" w:rsidRDefault="00CE75D4" w:rsidP="008340C1">
            <w:pPr>
              <w:pStyle w:val="ARfintablebodyright"/>
            </w:pPr>
            <w:r>
              <w:t>–</w:t>
            </w:r>
          </w:p>
        </w:tc>
        <w:tc>
          <w:tcPr>
            <w:tcW w:w="1134" w:type="dxa"/>
            <w:tcBorders>
              <w:top w:val="single" w:sz="4" w:space="0" w:color="A6A6A6"/>
            </w:tcBorders>
            <w:noWrap/>
            <w:hideMark/>
          </w:tcPr>
          <w:p w14:paraId="6F955D93" w14:textId="77777777" w:rsidR="00CE75D4" w:rsidRPr="002029AF" w:rsidRDefault="00CE75D4" w:rsidP="008340C1">
            <w:pPr>
              <w:pStyle w:val="ARfintablebodyright"/>
            </w:pPr>
            <w:r w:rsidRPr="007C0D14">
              <w:t>(1.5)</w:t>
            </w:r>
          </w:p>
        </w:tc>
      </w:tr>
      <w:tr w:rsidR="00CE75D4" w:rsidRPr="002029AF" w14:paraId="35C365AE" w14:textId="77777777" w:rsidTr="003566F1">
        <w:tc>
          <w:tcPr>
            <w:tcW w:w="6518" w:type="dxa"/>
            <w:hideMark/>
          </w:tcPr>
          <w:p w14:paraId="6D02110F" w14:textId="77777777" w:rsidR="00CE75D4" w:rsidRPr="002029AF" w:rsidRDefault="00CE75D4" w:rsidP="008340C1">
            <w:pPr>
              <w:pStyle w:val="ARfintablebodybold"/>
            </w:pPr>
            <w:r w:rsidRPr="007C0D14">
              <w:t>Total other economic flows – other comprehensive income</w:t>
            </w:r>
          </w:p>
        </w:tc>
        <w:tc>
          <w:tcPr>
            <w:tcW w:w="851" w:type="dxa"/>
            <w:hideMark/>
          </w:tcPr>
          <w:p w14:paraId="03555966" w14:textId="77777777" w:rsidR="00CE75D4" w:rsidRPr="002029AF" w:rsidRDefault="00CE75D4" w:rsidP="008340C1">
            <w:pPr>
              <w:pStyle w:val="ARfintablebodyrightbold"/>
            </w:pPr>
          </w:p>
        </w:tc>
        <w:tc>
          <w:tcPr>
            <w:tcW w:w="1134" w:type="dxa"/>
            <w:shd w:val="clear" w:color="auto" w:fill="E7E6E6"/>
            <w:noWrap/>
            <w:hideMark/>
          </w:tcPr>
          <w:p w14:paraId="7C535593" w14:textId="77777777" w:rsidR="00CE75D4" w:rsidRPr="002029AF" w:rsidRDefault="00CE75D4" w:rsidP="008340C1">
            <w:pPr>
              <w:pStyle w:val="ARfintablebodyrightbold"/>
            </w:pPr>
            <w:r w:rsidRPr="007C0D14">
              <w:t>85.6</w:t>
            </w:r>
          </w:p>
        </w:tc>
        <w:tc>
          <w:tcPr>
            <w:tcW w:w="1134" w:type="dxa"/>
            <w:noWrap/>
            <w:hideMark/>
          </w:tcPr>
          <w:p w14:paraId="2406D919" w14:textId="77777777" w:rsidR="00CE75D4" w:rsidRPr="002029AF" w:rsidRDefault="00CE75D4" w:rsidP="008340C1">
            <w:pPr>
              <w:pStyle w:val="ARfintablebodyrightbold"/>
            </w:pPr>
            <w:r w:rsidRPr="007C0D14">
              <w:t>4,437.6</w:t>
            </w:r>
          </w:p>
        </w:tc>
      </w:tr>
      <w:tr w:rsidR="00CE75D4" w:rsidRPr="002029AF" w14:paraId="2E7948C8" w14:textId="77777777" w:rsidTr="003566F1">
        <w:tc>
          <w:tcPr>
            <w:tcW w:w="6518" w:type="dxa"/>
            <w:hideMark/>
          </w:tcPr>
          <w:p w14:paraId="242096A2" w14:textId="77777777" w:rsidR="00CE75D4" w:rsidRPr="002029AF" w:rsidRDefault="00CE75D4" w:rsidP="008340C1">
            <w:pPr>
              <w:pStyle w:val="ARfintablebodybold"/>
            </w:pPr>
            <w:r w:rsidRPr="007C0D14">
              <w:t>Comprehensive result</w:t>
            </w:r>
          </w:p>
        </w:tc>
        <w:tc>
          <w:tcPr>
            <w:tcW w:w="851" w:type="dxa"/>
            <w:hideMark/>
          </w:tcPr>
          <w:p w14:paraId="113F9733" w14:textId="77777777" w:rsidR="00CE75D4" w:rsidRPr="002029AF" w:rsidRDefault="00CE75D4" w:rsidP="008340C1">
            <w:pPr>
              <w:pStyle w:val="ARfintablebodyrightbold"/>
            </w:pPr>
          </w:p>
        </w:tc>
        <w:tc>
          <w:tcPr>
            <w:tcW w:w="1134" w:type="dxa"/>
            <w:shd w:val="clear" w:color="auto" w:fill="E7E6E6"/>
            <w:noWrap/>
            <w:hideMark/>
          </w:tcPr>
          <w:p w14:paraId="4F984AE8" w14:textId="77777777" w:rsidR="00CE75D4" w:rsidRPr="002029AF" w:rsidRDefault="00CE75D4" w:rsidP="008340C1">
            <w:pPr>
              <w:pStyle w:val="ARfintablebodyrightbold"/>
            </w:pPr>
            <w:r w:rsidRPr="007C0D14">
              <w:t>807.4</w:t>
            </w:r>
          </w:p>
        </w:tc>
        <w:tc>
          <w:tcPr>
            <w:tcW w:w="1134" w:type="dxa"/>
            <w:noWrap/>
            <w:hideMark/>
          </w:tcPr>
          <w:p w14:paraId="207E75C8" w14:textId="77777777" w:rsidR="00CE75D4" w:rsidRPr="002029AF" w:rsidRDefault="00CE75D4" w:rsidP="008340C1">
            <w:pPr>
              <w:pStyle w:val="ARfintablebodyrightbold"/>
            </w:pPr>
            <w:r w:rsidRPr="007C0D14">
              <w:t>4,951.5</w:t>
            </w:r>
          </w:p>
        </w:tc>
      </w:tr>
    </w:tbl>
    <w:p w14:paraId="7DE9F34C" w14:textId="77777777" w:rsidR="00CE75D4" w:rsidRDefault="00CE75D4" w:rsidP="008340C1">
      <w:pPr>
        <w:pStyle w:val="ARfintablefootnote"/>
        <w:rPr>
          <w:lang w:eastAsia="en-AU"/>
        </w:rPr>
      </w:pPr>
      <w:r>
        <w:rPr>
          <w:lang w:eastAsia="en-AU"/>
        </w:rPr>
        <w:t>The comprehensive operating statement should be read in conjunction with the notes to the financial statements.</w:t>
      </w:r>
    </w:p>
    <w:p w14:paraId="1327B83A" w14:textId="77777777" w:rsidR="00CE75D4" w:rsidRDefault="00CE75D4" w:rsidP="008340C1">
      <w:pPr>
        <w:pStyle w:val="ARfintablefootnote"/>
      </w:pPr>
      <w:r>
        <w:t xml:space="preserve">This format is aligned to AASB 1049 </w:t>
      </w:r>
      <w:r w:rsidRPr="00341B37">
        <w:rPr>
          <w:i/>
          <w:iCs/>
        </w:rPr>
        <w:t>Whole of Government and General Sector Financial Reporting</w:t>
      </w:r>
      <w:r>
        <w:t>.</w:t>
      </w:r>
    </w:p>
    <w:p w14:paraId="75D34815" w14:textId="77777777" w:rsidR="00CE75D4" w:rsidRDefault="00CE75D4" w:rsidP="008340C1">
      <w:pPr>
        <w:pStyle w:val="ARfintablefootnote"/>
      </w:pPr>
      <w:r>
        <w:rPr>
          <w:lang w:eastAsia="en-AU"/>
        </w:rPr>
        <w:t>Notes:</w:t>
      </w:r>
    </w:p>
    <w:p w14:paraId="4581449D" w14:textId="77777777" w:rsidR="00CE75D4" w:rsidRDefault="00CE75D4" w:rsidP="008340C1">
      <w:pPr>
        <w:pStyle w:val="ARfintablefootnoteindent"/>
      </w:pPr>
      <w:r>
        <w:t>(i)</w:t>
      </w:r>
      <w:r>
        <w:tab/>
        <w:t xml:space="preserve">2021 numbers include the transactions for the year ended 30 June 2021 of the Department of Families, Fairness and Housing (DFFH), the Victorian Disability Worker Commission and the Director of Housing. The transactions which relate to these entities are reported </w:t>
      </w:r>
      <w:r w:rsidRPr="008B6631">
        <w:t>in the DFFH’s 2021–22 financial statements. Refer to</w:t>
      </w:r>
      <w:r>
        <w:t xml:space="preserve"> Note 1 for details.</w:t>
      </w:r>
    </w:p>
    <w:p w14:paraId="0B3225F6" w14:textId="77777777" w:rsidR="00CE75D4" w:rsidRDefault="00CE75D4" w:rsidP="008340C1">
      <w:pPr>
        <w:pStyle w:val="ARfintablefootnoteindent"/>
      </w:pPr>
      <w:r>
        <w:t>(ii)</w:t>
      </w:r>
      <w:r>
        <w:tab/>
        <w:t>Capital asset charge policy was discontinued in 2021–22. Refer to Note 3.1.3.</w:t>
      </w:r>
    </w:p>
    <w:p w14:paraId="1DE70990" w14:textId="77777777" w:rsidR="00CE75D4" w:rsidRDefault="00CE75D4" w:rsidP="008340C1">
      <w:pPr>
        <w:pStyle w:val="ARfintablefootnoteindent"/>
      </w:pPr>
      <w:r>
        <w:t>(iii)</w:t>
      </w:r>
      <w:r>
        <w:tab/>
        <w:t>‘Net gain/(loss) on non-financial assets’ includes unrealised and realised gains/(losses) from revaluations, impairments, and disposals of all physical assets and intangible assets, except when these are taken through the asset revaluation surplus.</w:t>
      </w:r>
    </w:p>
    <w:p w14:paraId="43669FD2" w14:textId="77777777" w:rsidR="00CE75D4" w:rsidRDefault="00CE75D4" w:rsidP="008340C1">
      <w:pPr>
        <w:pStyle w:val="ARfintablefootnoteindent"/>
      </w:pPr>
      <w:r>
        <w:t>(iv)</w:t>
      </w:r>
      <w:r>
        <w:tab/>
        <w:t>‘Net gain/(loss) on financial instruments’ includes bad and doubtful debts from other economic flows, unrealised and realised gains/(losses) from revaluations, impairments and reversals of impairment, and gains/(losses) from disposals of financial instruments.</w:t>
      </w:r>
    </w:p>
    <w:p w14:paraId="530E1234" w14:textId="77777777" w:rsidR="00CE75D4" w:rsidRPr="0040433B" w:rsidRDefault="00CE75D4" w:rsidP="008340C1">
      <w:pPr>
        <w:pStyle w:val="ARfinbody"/>
      </w:pPr>
      <w:r w:rsidRPr="0040433B">
        <w:br w:type="page"/>
      </w:r>
    </w:p>
    <w:p w14:paraId="5DDD49B4" w14:textId="77777777" w:rsidR="00CE75D4" w:rsidRPr="002029AF" w:rsidRDefault="00CE75D4" w:rsidP="00130D1C">
      <w:pPr>
        <w:pStyle w:val="Heading2Financials"/>
      </w:pPr>
      <w:bookmarkStart w:id="497" w:name="Balance_sheet"/>
      <w:bookmarkStart w:id="498" w:name="_Toc85121350"/>
      <w:bookmarkStart w:id="499" w:name="_Toc113702955"/>
      <w:bookmarkEnd w:id="485"/>
      <w:bookmarkEnd w:id="486"/>
      <w:bookmarkEnd w:id="497"/>
      <w:r>
        <w:t>Balance sheet as at 30 June 202</w:t>
      </w:r>
      <w:bookmarkEnd w:id="498"/>
      <w:r>
        <w:t>2</w:t>
      </w:r>
      <w:bookmarkEnd w:id="499"/>
    </w:p>
    <w:tbl>
      <w:tblPr>
        <w:tblStyle w:val="TableGrid"/>
        <w:tblW w:w="9637" w:type="dxa"/>
        <w:tblLayout w:type="fixed"/>
        <w:tblLook w:val="06A0" w:firstRow="1" w:lastRow="0" w:firstColumn="1" w:lastColumn="0" w:noHBand="1" w:noVBand="1"/>
      </w:tblPr>
      <w:tblGrid>
        <w:gridCol w:w="6518"/>
        <w:gridCol w:w="851"/>
        <w:gridCol w:w="1134"/>
        <w:gridCol w:w="1134"/>
      </w:tblGrid>
      <w:tr w:rsidR="00CE75D4" w:rsidRPr="002029AF" w14:paraId="2D0BE410" w14:textId="77777777" w:rsidTr="3D493511">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0D615F0D" w14:textId="77777777" w:rsidR="00CE75D4" w:rsidRPr="002029AF" w:rsidRDefault="00CE75D4" w:rsidP="008340C1">
            <w:pPr>
              <w:pStyle w:val="ARfintablecolhead"/>
            </w:pPr>
          </w:p>
        </w:tc>
        <w:tc>
          <w:tcPr>
            <w:tcW w:w="851" w:type="dxa"/>
            <w:tcBorders>
              <w:bottom w:val="single" w:sz="4" w:space="0" w:color="auto"/>
            </w:tcBorders>
            <w:noWrap/>
            <w:hideMark/>
          </w:tcPr>
          <w:p w14:paraId="6B883556" w14:textId="77777777" w:rsidR="00CE75D4" w:rsidRPr="002029AF" w:rsidRDefault="00CE75D4" w:rsidP="008340C1">
            <w:pPr>
              <w:pStyle w:val="ARfintablecolheadright"/>
            </w:pPr>
            <w:r w:rsidRPr="002029AF">
              <w:t>Note</w:t>
            </w:r>
          </w:p>
        </w:tc>
        <w:tc>
          <w:tcPr>
            <w:tcW w:w="1134" w:type="dxa"/>
            <w:tcBorders>
              <w:bottom w:val="single" w:sz="4" w:space="0" w:color="auto"/>
            </w:tcBorders>
            <w:shd w:val="clear" w:color="auto" w:fill="E7E6E6" w:themeFill="background2"/>
            <w:hideMark/>
          </w:tcPr>
          <w:p w14:paraId="6373063F" w14:textId="77777777" w:rsidR="00CE75D4" w:rsidRPr="002029AF" w:rsidRDefault="00CE75D4" w:rsidP="008340C1">
            <w:pPr>
              <w:pStyle w:val="ARfintablecolheadright"/>
            </w:pPr>
            <w:r w:rsidRPr="002029AF">
              <w:t>202</w:t>
            </w:r>
            <w:r>
              <w:t>2</w:t>
            </w:r>
          </w:p>
          <w:p w14:paraId="4EC38F34" w14:textId="77777777" w:rsidR="00CE75D4" w:rsidRPr="002029AF" w:rsidRDefault="00CE75D4" w:rsidP="008340C1">
            <w:pPr>
              <w:pStyle w:val="ARfintablecolheadright"/>
            </w:pPr>
            <w:r w:rsidRPr="002029AF">
              <w:t>$M</w:t>
            </w:r>
          </w:p>
        </w:tc>
        <w:tc>
          <w:tcPr>
            <w:tcW w:w="1134" w:type="dxa"/>
            <w:tcBorders>
              <w:bottom w:val="single" w:sz="4" w:space="0" w:color="auto"/>
            </w:tcBorders>
            <w:hideMark/>
          </w:tcPr>
          <w:p w14:paraId="3F59A272" w14:textId="77777777" w:rsidR="00CE75D4" w:rsidRPr="002029AF" w:rsidRDefault="00CE75D4" w:rsidP="008340C1">
            <w:pPr>
              <w:pStyle w:val="ARfintablecolheadright"/>
            </w:pPr>
            <w:r>
              <w:t xml:space="preserve">2021 </w:t>
            </w:r>
            <w:r w:rsidRPr="00C564DB">
              <w:rPr>
                <w:rStyle w:val="Superscript"/>
              </w:rPr>
              <w:t>(i)</w:t>
            </w:r>
          </w:p>
          <w:p w14:paraId="6CB9C01C" w14:textId="77777777" w:rsidR="00CE75D4" w:rsidRPr="002029AF" w:rsidRDefault="00CE75D4" w:rsidP="008340C1">
            <w:pPr>
              <w:pStyle w:val="ARfintablecolheadright"/>
            </w:pPr>
            <w:r w:rsidRPr="002029AF">
              <w:t>$M</w:t>
            </w:r>
          </w:p>
        </w:tc>
      </w:tr>
      <w:tr w:rsidR="00CE75D4" w:rsidRPr="002029AF" w14:paraId="753DB921" w14:textId="77777777" w:rsidTr="3D493511">
        <w:tc>
          <w:tcPr>
            <w:tcW w:w="9637" w:type="dxa"/>
            <w:gridSpan w:val="4"/>
            <w:tcBorders>
              <w:top w:val="single" w:sz="4" w:space="0" w:color="auto"/>
              <w:bottom w:val="single" w:sz="4" w:space="0" w:color="A6A6A6" w:themeColor="background1" w:themeShade="A6"/>
            </w:tcBorders>
            <w:hideMark/>
          </w:tcPr>
          <w:p w14:paraId="3C391740" w14:textId="77777777" w:rsidR="00CE75D4" w:rsidRPr="002029AF" w:rsidRDefault="00CE75D4" w:rsidP="008340C1">
            <w:pPr>
              <w:pStyle w:val="ARfintablebodybold"/>
            </w:pPr>
            <w:r w:rsidRPr="00D2419F">
              <w:t>Assets</w:t>
            </w:r>
          </w:p>
        </w:tc>
      </w:tr>
      <w:tr w:rsidR="00CE75D4" w:rsidRPr="002029AF" w14:paraId="3F991FAC" w14:textId="77777777" w:rsidTr="3D493511">
        <w:tc>
          <w:tcPr>
            <w:tcW w:w="9637" w:type="dxa"/>
            <w:gridSpan w:val="4"/>
            <w:tcBorders>
              <w:top w:val="single" w:sz="4" w:space="0" w:color="A6A6A6" w:themeColor="background1" w:themeShade="A6"/>
              <w:bottom w:val="single" w:sz="4" w:space="0" w:color="A6A6A6" w:themeColor="background1" w:themeShade="A6"/>
            </w:tcBorders>
            <w:hideMark/>
          </w:tcPr>
          <w:p w14:paraId="5BF420BF" w14:textId="77777777" w:rsidR="00CE75D4" w:rsidRPr="002029AF" w:rsidRDefault="00CE75D4" w:rsidP="008340C1">
            <w:pPr>
              <w:pStyle w:val="ARfintablebodybold"/>
            </w:pPr>
            <w:r w:rsidRPr="00D2419F">
              <w:t>Financial assets</w:t>
            </w:r>
          </w:p>
        </w:tc>
      </w:tr>
      <w:tr w:rsidR="00CE75D4" w:rsidRPr="002029AF" w14:paraId="4CABCB8B" w14:textId="77777777" w:rsidTr="3D493511">
        <w:tc>
          <w:tcPr>
            <w:tcW w:w="6518" w:type="dxa"/>
            <w:tcBorders>
              <w:top w:val="single" w:sz="4" w:space="0" w:color="A6A6A6" w:themeColor="background1" w:themeShade="A6"/>
              <w:bottom w:val="single" w:sz="4" w:space="0" w:color="A6A6A6" w:themeColor="background1" w:themeShade="A6"/>
            </w:tcBorders>
            <w:hideMark/>
          </w:tcPr>
          <w:p w14:paraId="7060CC9E" w14:textId="77777777" w:rsidR="00CE75D4" w:rsidRPr="002029AF" w:rsidRDefault="00CE75D4" w:rsidP="008340C1">
            <w:pPr>
              <w:pStyle w:val="ARfintablebody"/>
            </w:pPr>
            <w:r w:rsidRPr="00D2419F">
              <w:t>Cash and deposits</w:t>
            </w:r>
          </w:p>
        </w:tc>
        <w:tc>
          <w:tcPr>
            <w:tcW w:w="851" w:type="dxa"/>
            <w:tcBorders>
              <w:top w:val="single" w:sz="4" w:space="0" w:color="A6A6A6" w:themeColor="background1" w:themeShade="A6"/>
              <w:bottom w:val="single" w:sz="4" w:space="0" w:color="A6A6A6" w:themeColor="background1" w:themeShade="A6"/>
            </w:tcBorders>
            <w:noWrap/>
            <w:hideMark/>
          </w:tcPr>
          <w:p w14:paraId="4C96C002" w14:textId="77777777" w:rsidR="00CE75D4" w:rsidRPr="002029AF" w:rsidRDefault="00CE75D4" w:rsidP="008340C1">
            <w:pPr>
              <w:pStyle w:val="ARfintablebodyright"/>
            </w:pPr>
            <w:r w:rsidRPr="00D2419F">
              <w:t>7.3</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E50FB3F" w14:textId="77777777" w:rsidR="00CE75D4" w:rsidRPr="002029AF" w:rsidRDefault="00CE75D4" w:rsidP="008340C1">
            <w:pPr>
              <w:pStyle w:val="ARfintablebodyright"/>
            </w:pPr>
            <w:r w:rsidRPr="00D2419F">
              <w:t>106.3</w:t>
            </w:r>
          </w:p>
        </w:tc>
        <w:tc>
          <w:tcPr>
            <w:tcW w:w="1134" w:type="dxa"/>
            <w:tcBorders>
              <w:top w:val="single" w:sz="4" w:space="0" w:color="A6A6A6" w:themeColor="background1" w:themeShade="A6"/>
              <w:bottom w:val="single" w:sz="4" w:space="0" w:color="A6A6A6" w:themeColor="background1" w:themeShade="A6"/>
            </w:tcBorders>
            <w:noWrap/>
            <w:hideMark/>
          </w:tcPr>
          <w:p w14:paraId="13C376A8" w14:textId="77777777" w:rsidR="00CE75D4" w:rsidRPr="002029AF" w:rsidRDefault="00CE75D4" w:rsidP="008340C1">
            <w:pPr>
              <w:pStyle w:val="ARfintablebodyright"/>
            </w:pPr>
            <w:r w:rsidRPr="00D2419F">
              <w:t>913.9</w:t>
            </w:r>
          </w:p>
        </w:tc>
      </w:tr>
      <w:tr w:rsidR="00CE75D4" w:rsidRPr="002029AF" w14:paraId="1A698ED7" w14:textId="77777777" w:rsidTr="3D493511">
        <w:tc>
          <w:tcPr>
            <w:tcW w:w="6518" w:type="dxa"/>
            <w:tcBorders>
              <w:top w:val="single" w:sz="4" w:space="0" w:color="A6A6A6" w:themeColor="background1" w:themeShade="A6"/>
              <w:bottom w:val="single" w:sz="4" w:space="0" w:color="A6A6A6" w:themeColor="background1" w:themeShade="A6"/>
            </w:tcBorders>
            <w:hideMark/>
          </w:tcPr>
          <w:p w14:paraId="75AC7C65" w14:textId="77777777" w:rsidR="00CE75D4" w:rsidRPr="002029AF" w:rsidRDefault="00CE75D4" w:rsidP="008340C1">
            <w:pPr>
              <w:pStyle w:val="ARfintablebody"/>
            </w:pPr>
            <w:r w:rsidRPr="00D2419F">
              <w:t>Receivables</w:t>
            </w:r>
          </w:p>
        </w:tc>
        <w:tc>
          <w:tcPr>
            <w:tcW w:w="851" w:type="dxa"/>
            <w:tcBorders>
              <w:top w:val="single" w:sz="4" w:space="0" w:color="A6A6A6" w:themeColor="background1" w:themeShade="A6"/>
              <w:bottom w:val="single" w:sz="4" w:space="0" w:color="A6A6A6" w:themeColor="background1" w:themeShade="A6"/>
            </w:tcBorders>
            <w:noWrap/>
            <w:hideMark/>
          </w:tcPr>
          <w:p w14:paraId="752D13EB" w14:textId="77777777" w:rsidR="00CE75D4" w:rsidRPr="002029AF" w:rsidRDefault="00CE75D4" w:rsidP="008340C1">
            <w:pPr>
              <w:pStyle w:val="ARfintablebodyright"/>
            </w:pPr>
            <w:r w:rsidRPr="00D2419F">
              <w:t>6.1</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D62077E" w14:textId="77777777" w:rsidR="00CE75D4" w:rsidRPr="002029AF" w:rsidRDefault="00CE75D4" w:rsidP="008340C1">
            <w:pPr>
              <w:pStyle w:val="ARfintablebodyright"/>
            </w:pPr>
            <w:r w:rsidRPr="00D2419F">
              <w:t>4,416.2</w:t>
            </w:r>
          </w:p>
        </w:tc>
        <w:tc>
          <w:tcPr>
            <w:tcW w:w="1134" w:type="dxa"/>
            <w:tcBorders>
              <w:top w:val="single" w:sz="4" w:space="0" w:color="A6A6A6" w:themeColor="background1" w:themeShade="A6"/>
              <w:bottom w:val="single" w:sz="4" w:space="0" w:color="A6A6A6" w:themeColor="background1" w:themeShade="A6"/>
            </w:tcBorders>
            <w:noWrap/>
            <w:hideMark/>
          </w:tcPr>
          <w:p w14:paraId="14C666FC" w14:textId="77777777" w:rsidR="00CE75D4" w:rsidRPr="002029AF" w:rsidRDefault="00CE75D4" w:rsidP="008340C1">
            <w:pPr>
              <w:pStyle w:val="ARfintablebodyright"/>
            </w:pPr>
            <w:r w:rsidRPr="00D2419F">
              <w:t>4,654.2</w:t>
            </w:r>
          </w:p>
        </w:tc>
      </w:tr>
      <w:tr w:rsidR="00CE75D4" w:rsidRPr="002029AF" w14:paraId="4B24C04D" w14:textId="77777777" w:rsidTr="3D493511">
        <w:tc>
          <w:tcPr>
            <w:tcW w:w="6518" w:type="dxa"/>
            <w:tcBorders>
              <w:top w:val="single" w:sz="4" w:space="0" w:color="A6A6A6" w:themeColor="background1" w:themeShade="A6"/>
            </w:tcBorders>
            <w:hideMark/>
          </w:tcPr>
          <w:p w14:paraId="5E9997E9" w14:textId="77777777" w:rsidR="00CE75D4" w:rsidRPr="002029AF" w:rsidRDefault="00CE75D4" w:rsidP="008340C1">
            <w:pPr>
              <w:pStyle w:val="ARfintablebody"/>
            </w:pPr>
            <w:r w:rsidRPr="00D2419F">
              <w:t>Loans</w:t>
            </w:r>
          </w:p>
        </w:tc>
        <w:tc>
          <w:tcPr>
            <w:tcW w:w="851" w:type="dxa"/>
            <w:tcBorders>
              <w:top w:val="single" w:sz="4" w:space="0" w:color="A6A6A6" w:themeColor="background1" w:themeShade="A6"/>
            </w:tcBorders>
            <w:noWrap/>
            <w:hideMark/>
          </w:tcPr>
          <w:p w14:paraId="45659C43" w14:textId="77777777" w:rsidR="00CE75D4" w:rsidRPr="002029AF" w:rsidRDefault="00CE75D4" w:rsidP="008340C1">
            <w:pPr>
              <w:pStyle w:val="ARfintablebodyright"/>
            </w:pPr>
            <w:r w:rsidRPr="00D2419F">
              <w:t>6.2</w:t>
            </w:r>
          </w:p>
        </w:tc>
        <w:tc>
          <w:tcPr>
            <w:tcW w:w="1134" w:type="dxa"/>
            <w:tcBorders>
              <w:top w:val="single" w:sz="4" w:space="0" w:color="A6A6A6" w:themeColor="background1" w:themeShade="A6"/>
            </w:tcBorders>
            <w:shd w:val="clear" w:color="auto" w:fill="E7E6E6" w:themeFill="background2"/>
            <w:noWrap/>
            <w:hideMark/>
          </w:tcPr>
          <w:p w14:paraId="66288F47" w14:textId="77777777" w:rsidR="00CE75D4" w:rsidRPr="002029AF" w:rsidRDefault="00CE75D4" w:rsidP="008340C1">
            <w:pPr>
              <w:pStyle w:val="ARfintablebodyright"/>
            </w:pPr>
            <w:r w:rsidRPr="00D2419F">
              <w:t>75.2</w:t>
            </w:r>
          </w:p>
        </w:tc>
        <w:tc>
          <w:tcPr>
            <w:tcW w:w="1134" w:type="dxa"/>
            <w:tcBorders>
              <w:top w:val="single" w:sz="4" w:space="0" w:color="A6A6A6" w:themeColor="background1" w:themeShade="A6"/>
            </w:tcBorders>
            <w:noWrap/>
            <w:hideMark/>
          </w:tcPr>
          <w:p w14:paraId="3D0D87EF" w14:textId="77777777" w:rsidR="00CE75D4" w:rsidRPr="002029AF" w:rsidRDefault="00CE75D4" w:rsidP="008340C1">
            <w:pPr>
              <w:pStyle w:val="ARfintablebodyright"/>
            </w:pPr>
            <w:r w:rsidRPr="00D2419F">
              <w:t>118.8</w:t>
            </w:r>
          </w:p>
        </w:tc>
      </w:tr>
      <w:tr w:rsidR="00CE75D4" w:rsidRPr="002029AF" w14:paraId="3006181B" w14:textId="77777777" w:rsidTr="3D493511">
        <w:tc>
          <w:tcPr>
            <w:tcW w:w="6518" w:type="dxa"/>
            <w:tcBorders>
              <w:bottom w:val="single" w:sz="4" w:space="0" w:color="auto"/>
            </w:tcBorders>
            <w:hideMark/>
          </w:tcPr>
          <w:p w14:paraId="5BF23A10" w14:textId="77777777" w:rsidR="00CE75D4" w:rsidRPr="002029AF" w:rsidRDefault="00CE75D4" w:rsidP="008340C1">
            <w:pPr>
              <w:pStyle w:val="ARfintablebodybold"/>
            </w:pPr>
            <w:r w:rsidRPr="00D2419F">
              <w:t>Total financial assets</w:t>
            </w:r>
          </w:p>
        </w:tc>
        <w:tc>
          <w:tcPr>
            <w:tcW w:w="851" w:type="dxa"/>
            <w:tcBorders>
              <w:bottom w:val="single" w:sz="4" w:space="0" w:color="auto"/>
            </w:tcBorders>
            <w:hideMark/>
          </w:tcPr>
          <w:p w14:paraId="76AA6DD2" w14:textId="77777777" w:rsidR="00CE75D4" w:rsidRPr="002029AF" w:rsidRDefault="00CE75D4" w:rsidP="008340C1">
            <w:pPr>
              <w:pStyle w:val="ARfintablebodyrightbold"/>
            </w:pPr>
          </w:p>
        </w:tc>
        <w:tc>
          <w:tcPr>
            <w:tcW w:w="1134" w:type="dxa"/>
            <w:tcBorders>
              <w:bottom w:val="single" w:sz="4" w:space="0" w:color="auto"/>
            </w:tcBorders>
            <w:shd w:val="clear" w:color="auto" w:fill="E7E6E6" w:themeFill="background2"/>
            <w:noWrap/>
            <w:hideMark/>
          </w:tcPr>
          <w:p w14:paraId="034414B8" w14:textId="77777777" w:rsidR="00CE75D4" w:rsidRPr="002029AF" w:rsidRDefault="00CE75D4" w:rsidP="008340C1">
            <w:pPr>
              <w:pStyle w:val="ARfintablebodyrightbold"/>
            </w:pPr>
            <w:r w:rsidRPr="00D2419F">
              <w:t>4,597.7</w:t>
            </w:r>
          </w:p>
        </w:tc>
        <w:tc>
          <w:tcPr>
            <w:tcW w:w="1134" w:type="dxa"/>
            <w:tcBorders>
              <w:bottom w:val="single" w:sz="4" w:space="0" w:color="auto"/>
            </w:tcBorders>
            <w:noWrap/>
            <w:hideMark/>
          </w:tcPr>
          <w:p w14:paraId="65DB7AE2" w14:textId="77777777" w:rsidR="00CE75D4" w:rsidRPr="002029AF" w:rsidRDefault="00CE75D4" w:rsidP="008340C1">
            <w:pPr>
              <w:pStyle w:val="ARfintablebodyrightbold"/>
            </w:pPr>
            <w:r w:rsidRPr="00D2419F">
              <w:t>5,686.9</w:t>
            </w:r>
          </w:p>
        </w:tc>
      </w:tr>
      <w:tr w:rsidR="00CE75D4" w:rsidRPr="002029AF" w14:paraId="0D26EDBB" w14:textId="77777777" w:rsidTr="3D493511">
        <w:tc>
          <w:tcPr>
            <w:tcW w:w="9637" w:type="dxa"/>
            <w:gridSpan w:val="4"/>
            <w:tcBorders>
              <w:top w:val="single" w:sz="4" w:space="0" w:color="auto"/>
              <w:bottom w:val="single" w:sz="4" w:space="0" w:color="A6A6A6" w:themeColor="background1" w:themeShade="A6"/>
            </w:tcBorders>
            <w:hideMark/>
          </w:tcPr>
          <w:p w14:paraId="74D792C8" w14:textId="77777777" w:rsidR="00CE75D4" w:rsidRPr="002029AF" w:rsidRDefault="00CE75D4" w:rsidP="008340C1">
            <w:pPr>
              <w:pStyle w:val="ARfintablebodybold"/>
            </w:pPr>
            <w:r w:rsidRPr="00D2419F">
              <w:t>Non-financial assets</w:t>
            </w:r>
          </w:p>
        </w:tc>
      </w:tr>
      <w:tr w:rsidR="00CE75D4" w:rsidRPr="002029AF" w14:paraId="44192E4D" w14:textId="77777777" w:rsidTr="3D493511">
        <w:tc>
          <w:tcPr>
            <w:tcW w:w="6518" w:type="dxa"/>
            <w:tcBorders>
              <w:top w:val="single" w:sz="4" w:space="0" w:color="A6A6A6" w:themeColor="background1" w:themeShade="A6"/>
              <w:bottom w:val="single" w:sz="4" w:space="0" w:color="A6A6A6" w:themeColor="background1" w:themeShade="A6"/>
            </w:tcBorders>
            <w:hideMark/>
          </w:tcPr>
          <w:p w14:paraId="297AE824" w14:textId="77777777" w:rsidR="00CE75D4" w:rsidRPr="002029AF" w:rsidRDefault="00CE75D4" w:rsidP="008340C1">
            <w:pPr>
              <w:pStyle w:val="ARfintablebody"/>
            </w:pPr>
            <w:r w:rsidRPr="00D2419F">
              <w:t>Inventories</w:t>
            </w:r>
          </w:p>
        </w:tc>
        <w:tc>
          <w:tcPr>
            <w:tcW w:w="851" w:type="dxa"/>
            <w:tcBorders>
              <w:top w:val="single" w:sz="4" w:space="0" w:color="A6A6A6" w:themeColor="background1" w:themeShade="A6"/>
              <w:bottom w:val="single" w:sz="4" w:space="0" w:color="A6A6A6" w:themeColor="background1" w:themeShade="A6"/>
            </w:tcBorders>
            <w:noWrap/>
            <w:hideMark/>
          </w:tcPr>
          <w:p w14:paraId="6B28724F" w14:textId="77777777" w:rsidR="00CE75D4" w:rsidRPr="002029AF" w:rsidRDefault="00CE75D4" w:rsidP="008340C1">
            <w:pPr>
              <w:pStyle w:val="ARfintablebodyright"/>
            </w:pPr>
            <w:r w:rsidRPr="00D2419F">
              <w:t>6.6</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9B63A9C" w14:textId="77777777" w:rsidR="00CE75D4" w:rsidRPr="002029AF" w:rsidRDefault="00CE75D4" w:rsidP="008340C1">
            <w:pPr>
              <w:pStyle w:val="ARfintablebodyright"/>
            </w:pPr>
            <w:r w:rsidRPr="00D2419F">
              <w:t>1,020.2</w:t>
            </w:r>
          </w:p>
        </w:tc>
        <w:tc>
          <w:tcPr>
            <w:tcW w:w="1134" w:type="dxa"/>
            <w:tcBorders>
              <w:top w:val="single" w:sz="4" w:space="0" w:color="A6A6A6" w:themeColor="background1" w:themeShade="A6"/>
              <w:bottom w:val="single" w:sz="4" w:space="0" w:color="A6A6A6" w:themeColor="background1" w:themeShade="A6"/>
            </w:tcBorders>
            <w:noWrap/>
            <w:hideMark/>
          </w:tcPr>
          <w:p w14:paraId="2EF33A88" w14:textId="77777777" w:rsidR="00CE75D4" w:rsidRPr="002029AF" w:rsidRDefault="00CE75D4" w:rsidP="008340C1">
            <w:pPr>
              <w:pStyle w:val="ARfintablebodyright"/>
            </w:pPr>
            <w:r w:rsidRPr="00D2419F">
              <w:t>638.4</w:t>
            </w:r>
          </w:p>
        </w:tc>
      </w:tr>
      <w:tr w:rsidR="00CE75D4" w:rsidRPr="002029AF" w14:paraId="305DABD7" w14:textId="77777777" w:rsidTr="3D493511">
        <w:tc>
          <w:tcPr>
            <w:tcW w:w="6518" w:type="dxa"/>
            <w:tcBorders>
              <w:top w:val="single" w:sz="4" w:space="0" w:color="A6A6A6" w:themeColor="background1" w:themeShade="A6"/>
              <w:bottom w:val="single" w:sz="4" w:space="0" w:color="A6A6A6" w:themeColor="background1" w:themeShade="A6"/>
            </w:tcBorders>
            <w:hideMark/>
          </w:tcPr>
          <w:p w14:paraId="151210F9" w14:textId="77777777" w:rsidR="00CE75D4" w:rsidRPr="002029AF" w:rsidRDefault="00CE75D4" w:rsidP="008340C1">
            <w:pPr>
              <w:pStyle w:val="ARfintablebody"/>
            </w:pPr>
            <w:r w:rsidRPr="00D2419F">
              <w:t>Non-financial physical assets classified as held for sale</w:t>
            </w:r>
          </w:p>
        </w:tc>
        <w:tc>
          <w:tcPr>
            <w:tcW w:w="851" w:type="dxa"/>
            <w:tcBorders>
              <w:top w:val="single" w:sz="4" w:space="0" w:color="A6A6A6" w:themeColor="background1" w:themeShade="A6"/>
              <w:bottom w:val="single" w:sz="4" w:space="0" w:color="A6A6A6" w:themeColor="background1" w:themeShade="A6"/>
            </w:tcBorders>
            <w:noWrap/>
            <w:hideMark/>
          </w:tcPr>
          <w:p w14:paraId="7121E17E" w14:textId="77777777" w:rsidR="00CE75D4" w:rsidRPr="002029AF" w:rsidRDefault="00CE75D4" w:rsidP="008340C1">
            <w:pPr>
              <w:pStyle w:val="ARfintablebodyright"/>
            </w:pPr>
            <w:r w:rsidRPr="00D2419F">
              <w:t>9.3</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BD49217" w14:textId="77777777" w:rsidR="00CE75D4" w:rsidRPr="002029AF" w:rsidRDefault="00CE75D4" w:rsidP="008340C1">
            <w:pPr>
              <w:pStyle w:val="ARfintablebodyright"/>
            </w:pPr>
            <w:r w:rsidRPr="00D2419F">
              <w:t>0.1</w:t>
            </w:r>
          </w:p>
        </w:tc>
        <w:tc>
          <w:tcPr>
            <w:tcW w:w="1134" w:type="dxa"/>
            <w:tcBorders>
              <w:top w:val="single" w:sz="4" w:space="0" w:color="A6A6A6" w:themeColor="background1" w:themeShade="A6"/>
              <w:bottom w:val="single" w:sz="4" w:space="0" w:color="A6A6A6" w:themeColor="background1" w:themeShade="A6"/>
            </w:tcBorders>
            <w:noWrap/>
            <w:hideMark/>
          </w:tcPr>
          <w:p w14:paraId="64F544CF" w14:textId="77777777" w:rsidR="00CE75D4" w:rsidRPr="002029AF" w:rsidRDefault="00CE75D4" w:rsidP="008340C1">
            <w:pPr>
              <w:pStyle w:val="ARfintablebodyright"/>
            </w:pPr>
            <w:r w:rsidRPr="00D2419F">
              <w:t>5.0</w:t>
            </w:r>
          </w:p>
        </w:tc>
      </w:tr>
      <w:tr w:rsidR="00CE75D4" w:rsidRPr="002029AF" w14:paraId="72FCEF4B" w14:textId="77777777" w:rsidTr="3D493511">
        <w:tc>
          <w:tcPr>
            <w:tcW w:w="6518" w:type="dxa"/>
            <w:tcBorders>
              <w:top w:val="single" w:sz="4" w:space="0" w:color="A6A6A6" w:themeColor="background1" w:themeShade="A6"/>
              <w:bottom w:val="single" w:sz="4" w:space="0" w:color="A6A6A6" w:themeColor="background1" w:themeShade="A6"/>
            </w:tcBorders>
            <w:hideMark/>
          </w:tcPr>
          <w:p w14:paraId="14962D80" w14:textId="77777777" w:rsidR="00CE75D4" w:rsidRPr="002029AF" w:rsidRDefault="00CE75D4" w:rsidP="008340C1">
            <w:pPr>
              <w:pStyle w:val="ARfintablebody"/>
            </w:pPr>
            <w:r w:rsidRPr="00D2419F">
              <w:t>Property, plant and equipment</w:t>
            </w:r>
          </w:p>
        </w:tc>
        <w:tc>
          <w:tcPr>
            <w:tcW w:w="851" w:type="dxa"/>
            <w:tcBorders>
              <w:top w:val="single" w:sz="4" w:space="0" w:color="A6A6A6" w:themeColor="background1" w:themeShade="A6"/>
              <w:bottom w:val="single" w:sz="4" w:space="0" w:color="A6A6A6" w:themeColor="background1" w:themeShade="A6"/>
            </w:tcBorders>
            <w:noWrap/>
            <w:hideMark/>
          </w:tcPr>
          <w:p w14:paraId="605C4B89" w14:textId="77777777" w:rsidR="00CE75D4" w:rsidRPr="002029AF" w:rsidRDefault="00CE75D4" w:rsidP="008340C1">
            <w:pPr>
              <w:pStyle w:val="ARfintablebodyright"/>
            </w:pPr>
            <w:r w:rsidRPr="00D2419F">
              <w:t>5.1</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FCA9DE9" w14:textId="77777777" w:rsidR="00CE75D4" w:rsidRPr="002029AF" w:rsidRDefault="00CE75D4" w:rsidP="008340C1">
            <w:pPr>
              <w:pStyle w:val="ARfintablebodyright"/>
            </w:pPr>
            <w:r w:rsidRPr="00D2419F">
              <w:t>1,758.1</w:t>
            </w:r>
          </w:p>
        </w:tc>
        <w:tc>
          <w:tcPr>
            <w:tcW w:w="1134" w:type="dxa"/>
            <w:tcBorders>
              <w:top w:val="single" w:sz="4" w:space="0" w:color="A6A6A6" w:themeColor="background1" w:themeShade="A6"/>
              <w:bottom w:val="single" w:sz="4" w:space="0" w:color="A6A6A6" w:themeColor="background1" w:themeShade="A6"/>
            </w:tcBorders>
            <w:noWrap/>
            <w:hideMark/>
          </w:tcPr>
          <w:p w14:paraId="2B18D700" w14:textId="77777777" w:rsidR="00CE75D4" w:rsidRPr="002029AF" w:rsidRDefault="00CE75D4" w:rsidP="008340C1">
            <w:pPr>
              <w:pStyle w:val="ARfintablebodyright"/>
            </w:pPr>
            <w:r w:rsidRPr="00D2419F">
              <w:t>33,764.5</w:t>
            </w:r>
          </w:p>
        </w:tc>
      </w:tr>
      <w:tr w:rsidR="00CE75D4" w:rsidRPr="002029AF" w14:paraId="173196DD" w14:textId="77777777" w:rsidTr="3D493511">
        <w:tc>
          <w:tcPr>
            <w:tcW w:w="6518" w:type="dxa"/>
            <w:tcBorders>
              <w:top w:val="single" w:sz="4" w:space="0" w:color="A6A6A6" w:themeColor="background1" w:themeShade="A6"/>
              <w:bottom w:val="single" w:sz="4" w:space="0" w:color="A6A6A6" w:themeColor="background1" w:themeShade="A6"/>
            </w:tcBorders>
            <w:hideMark/>
          </w:tcPr>
          <w:p w14:paraId="6C74F758" w14:textId="77777777" w:rsidR="00CE75D4" w:rsidRPr="002029AF" w:rsidRDefault="00CE75D4" w:rsidP="008340C1">
            <w:pPr>
              <w:pStyle w:val="ARfintablebody"/>
            </w:pPr>
            <w:r w:rsidRPr="00D2419F">
              <w:t>Intangible assets</w:t>
            </w:r>
          </w:p>
        </w:tc>
        <w:tc>
          <w:tcPr>
            <w:tcW w:w="851" w:type="dxa"/>
            <w:tcBorders>
              <w:top w:val="single" w:sz="4" w:space="0" w:color="A6A6A6" w:themeColor="background1" w:themeShade="A6"/>
              <w:bottom w:val="single" w:sz="4" w:space="0" w:color="A6A6A6" w:themeColor="background1" w:themeShade="A6"/>
            </w:tcBorders>
            <w:noWrap/>
            <w:hideMark/>
          </w:tcPr>
          <w:p w14:paraId="5E41E8C6" w14:textId="77777777" w:rsidR="00CE75D4" w:rsidRPr="002029AF" w:rsidRDefault="00CE75D4" w:rsidP="008340C1">
            <w:pPr>
              <w:pStyle w:val="ARfintablebodyright"/>
            </w:pPr>
            <w:r w:rsidRPr="00D2419F">
              <w:t>5.2</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18BCCDF" w14:textId="77777777" w:rsidR="00CE75D4" w:rsidRPr="002029AF" w:rsidRDefault="00CE75D4" w:rsidP="008340C1">
            <w:pPr>
              <w:pStyle w:val="ARfintablebodyright"/>
            </w:pPr>
            <w:r w:rsidRPr="00D2419F">
              <w:t>35.5</w:t>
            </w:r>
          </w:p>
        </w:tc>
        <w:tc>
          <w:tcPr>
            <w:tcW w:w="1134" w:type="dxa"/>
            <w:tcBorders>
              <w:top w:val="single" w:sz="4" w:space="0" w:color="A6A6A6" w:themeColor="background1" w:themeShade="A6"/>
              <w:bottom w:val="single" w:sz="4" w:space="0" w:color="A6A6A6" w:themeColor="background1" w:themeShade="A6"/>
            </w:tcBorders>
            <w:noWrap/>
            <w:hideMark/>
          </w:tcPr>
          <w:p w14:paraId="0B3F51CB" w14:textId="77777777" w:rsidR="00CE75D4" w:rsidRPr="002029AF" w:rsidRDefault="00CE75D4" w:rsidP="008340C1">
            <w:pPr>
              <w:pStyle w:val="ARfintablebodyright"/>
            </w:pPr>
            <w:r w:rsidRPr="00D2419F">
              <w:t>175.9</w:t>
            </w:r>
          </w:p>
        </w:tc>
      </w:tr>
      <w:tr w:rsidR="00CE75D4" w:rsidRPr="002029AF" w14:paraId="29ABBE7E" w14:textId="77777777" w:rsidTr="3D493511">
        <w:tc>
          <w:tcPr>
            <w:tcW w:w="6518" w:type="dxa"/>
            <w:tcBorders>
              <w:top w:val="single" w:sz="4" w:space="0" w:color="A6A6A6" w:themeColor="background1" w:themeShade="A6"/>
            </w:tcBorders>
            <w:hideMark/>
          </w:tcPr>
          <w:p w14:paraId="64756603" w14:textId="77777777" w:rsidR="00CE75D4" w:rsidRPr="002029AF" w:rsidRDefault="00CE75D4" w:rsidP="008340C1">
            <w:pPr>
              <w:pStyle w:val="ARfintablebody"/>
            </w:pPr>
            <w:r w:rsidRPr="00D2419F">
              <w:t>Other non-financial assets</w:t>
            </w:r>
          </w:p>
        </w:tc>
        <w:tc>
          <w:tcPr>
            <w:tcW w:w="851" w:type="dxa"/>
            <w:tcBorders>
              <w:top w:val="single" w:sz="4" w:space="0" w:color="A6A6A6" w:themeColor="background1" w:themeShade="A6"/>
            </w:tcBorders>
            <w:noWrap/>
            <w:hideMark/>
          </w:tcPr>
          <w:p w14:paraId="06D7771B" w14:textId="77777777" w:rsidR="00CE75D4" w:rsidRPr="002029AF" w:rsidRDefault="00CE75D4" w:rsidP="008340C1">
            <w:pPr>
              <w:pStyle w:val="ARfintablebodyright"/>
            </w:pPr>
            <w:r w:rsidRPr="00D2419F">
              <w:t>6.3</w:t>
            </w:r>
          </w:p>
        </w:tc>
        <w:tc>
          <w:tcPr>
            <w:tcW w:w="1134" w:type="dxa"/>
            <w:tcBorders>
              <w:top w:val="single" w:sz="4" w:space="0" w:color="A6A6A6" w:themeColor="background1" w:themeShade="A6"/>
            </w:tcBorders>
            <w:shd w:val="clear" w:color="auto" w:fill="E7E6E6" w:themeFill="background2"/>
            <w:noWrap/>
            <w:hideMark/>
          </w:tcPr>
          <w:p w14:paraId="1300FD82" w14:textId="77777777" w:rsidR="00CE75D4" w:rsidRPr="002029AF" w:rsidRDefault="00CE75D4" w:rsidP="008340C1">
            <w:pPr>
              <w:pStyle w:val="ARfintablebodyright"/>
            </w:pPr>
            <w:r w:rsidRPr="00D2419F">
              <w:t>143.1</w:t>
            </w:r>
          </w:p>
        </w:tc>
        <w:tc>
          <w:tcPr>
            <w:tcW w:w="1134" w:type="dxa"/>
            <w:tcBorders>
              <w:top w:val="single" w:sz="4" w:space="0" w:color="A6A6A6" w:themeColor="background1" w:themeShade="A6"/>
            </w:tcBorders>
            <w:noWrap/>
            <w:hideMark/>
          </w:tcPr>
          <w:p w14:paraId="280A2EA2" w14:textId="77777777" w:rsidR="00CE75D4" w:rsidRPr="002029AF" w:rsidRDefault="00CE75D4" w:rsidP="008340C1">
            <w:pPr>
              <w:pStyle w:val="ARfintablebodyright"/>
            </w:pPr>
            <w:r w:rsidRPr="00D2419F">
              <w:t>162.9</w:t>
            </w:r>
          </w:p>
        </w:tc>
      </w:tr>
      <w:tr w:rsidR="00CE75D4" w:rsidRPr="002029AF" w14:paraId="27662809" w14:textId="77777777" w:rsidTr="3D493511">
        <w:tc>
          <w:tcPr>
            <w:tcW w:w="6518" w:type="dxa"/>
            <w:hideMark/>
          </w:tcPr>
          <w:p w14:paraId="3CB79FBF" w14:textId="77777777" w:rsidR="00CE75D4" w:rsidRPr="002029AF" w:rsidRDefault="00CE75D4" w:rsidP="008340C1">
            <w:pPr>
              <w:pStyle w:val="ARfintablebodybold"/>
            </w:pPr>
            <w:r w:rsidRPr="00D2419F">
              <w:t>Total non-financial assets</w:t>
            </w:r>
          </w:p>
        </w:tc>
        <w:tc>
          <w:tcPr>
            <w:tcW w:w="851" w:type="dxa"/>
            <w:hideMark/>
          </w:tcPr>
          <w:p w14:paraId="6B783029" w14:textId="77777777" w:rsidR="00CE75D4" w:rsidRPr="002029AF" w:rsidRDefault="00CE75D4" w:rsidP="008340C1">
            <w:pPr>
              <w:pStyle w:val="ARfintablebodyrightbold"/>
            </w:pPr>
          </w:p>
        </w:tc>
        <w:tc>
          <w:tcPr>
            <w:tcW w:w="1134" w:type="dxa"/>
            <w:shd w:val="clear" w:color="auto" w:fill="E7E6E6" w:themeFill="background2"/>
            <w:noWrap/>
            <w:hideMark/>
          </w:tcPr>
          <w:p w14:paraId="7CDC838F" w14:textId="77777777" w:rsidR="00CE75D4" w:rsidRPr="002029AF" w:rsidRDefault="00CE75D4" w:rsidP="008340C1">
            <w:pPr>
              <w:pStyle w:val="ARfintablebodyrightbold"/>
            </w:pPr>
            <w:r w:rsidRPr="00D2419F">
              <w:t>2,957.0</w:t>
            </w:r>
          </w:p>
        </w:tc>
        <w:tc>
          <w:tcPr>
            <w:tcW w:w="1134" w:type="dxa"/>
            <w:noWrap/>
            <w:hideMark/>
          </w:tcPr>
          <w:p w14:paraId="32B01018" w14:textId="77777777" w:rsidR="00CE75D4" w:rsidRPr="002029AF" w:rsidRDefault="00CE75D4" w:rsidP="008340C1">
            <w:pPr>
              <w:pStyle w:val="ARfintablebodyrightbold"/>
            </w:pPr>
            <w:r w:rsidRPr="00D2419F">
              <w:t>34,746.7</w:t>
            </w:r>
          </w:p>
        </w:tc>
      </w:tr>
      <w:tr w:rsidR="00CE75D4" w:rsidRPr="002029AF" w14:paraId="5EB21296" w14:textId="77777777" w:rsidTr="3D493511">
        <w:tc>
          <w:tcPr>
            <w:tcW w:w="6518" w:type="dxa"/>
            <w:tcBorders>
              <w:bottom w:val="single" w:sz="4" w:space="0" w:color="auto"/>
            </w:tcBorders>
            <w:hideMark/>
          </w:tcPr>
          <w:p w14:paraId="151AA768" w14:textId="77777777" w:rsidR="00CE75D4" w:rsidRPr="002029AF" w:rsidRDefault="00CE75D4" w:rsidP="008340C1">
            <w:pPr>
              <w:pStyle w:val="ARfintablebodybold"/>
            </w:pPr>
            <w:r w:rsidRPr="00D2419F">
              <w:t>Total assets</w:t>
            </w:r>
          </w:p>
        </w:tc>
        <w:tc>
          <w:tcPr>
            <w:tcW w:w="851" w:type="dxa"/>
            <w:tcBorders>
              <w:bottom w:val="single" w:sz="4" w:space="0" w:color="auto"/>
            </w:tcBorders>
            <w:hideMark/>
          </w:tcPr>
          <w:p w14:paraId="3A94F4DB" w14:textId="77777777" w:rsidR="00CE75D4" w:rsidRPr="002029AF" w:rsidRDefault="00CE75D4" w:rsidP="008340C1">
            <w:pPr>
              <w:pStyle w:val="ARfintablebodyrightbold"/>
            </w:pPr>
          </w:p>
        </w:tc>
        <w:tc>
          <w:tcPr>
            <w:tcW w:w="1134" w:type="dxa"/>
            <w:tcBorders>
              <w:bottom w:val="single" w:sz="4" w:space="0" w:color="auto"/>
            </w:tcBorders>
            <w:shd w:val="clear" w:color="auto" w:fill="E7E6E6" w:themeFill="background2"/>
            <w:noWrap/>
            <w:hideMark/>
          </w:tcPr>
          <w:p w14:paraId="7F82589C" w14:textId="77777777" w:rsidR="00CE75D4" w:rsidRPr="002029AF" w:rsidRDefault="00CE75D4" w:rsidP="008340C1">
            <w:pPr>
              <w:pStyle w:val="ARfintablebodyrightbold"/>
            </w:pPr>
            <w:r w:rsidRPr="00D2419F">
              <w:t>7,554.8</w:t>
            </w:r>
          </w:p>
        </w:tc>
        <w:tc>
          <w:tcPr>
            <w:tcW w:w="1134" w:type="dxa"/>
            <w:tcBorders>
              <w:bottom w:val="single" w:sz="4" w:space="0" w:color="auto"/>
            </w:tcBorders>
            <w:noWrap/>
            <w:hideMark/>
          </w:tcPr>
          <w:p w14:paraId="468E5DD2" w14:textId="77777777" w:rsidR="00CE75D4" w:rsidRPr="002029AF" w:rsidRDefault="00CE75D4" w:rsidP="008340C1">
            <w:pPr>
              <w:pStyle w:val="ARfintablebodyrightbold"/>
            </w:pPr>
            <w:r w:rsidRPr="00D2419F">
              <w:t>40,433.6</w:t>
            </w:r>
          </w:p>
        </w:tc>
      </w:tr>
      <w:tr w:rsidR="00CE75D4" w:rsidRPr="002029AF" w14:paraId="74F70F3F" w14:textId="77777777" w:rsidTr="3D493511">
        <w:tc>
          <w:tcPr>
            <w:tcW w:w="9637" w:type="dxa"/>
            <w:gridSpan w:val="4"/>
            <w:tcBorders>
              <w:top w:val="single" w:sz="4" w:space="0" w:color="auto"/>
              <w:bottom w:val="single" w:sz="4" w:space="0" w:color="A6A6A6" w:themeColor="background1" w:themeShade="A6"/>
            </w:tcBorders>
            <w:hideMark/>
          </w:tcPr>
          <w:p w14:paraId="707FE167" w14:textId="77777777" w:rsidR="00CE75D4" w:rsidRPr="002029AF" w:rsidRDefault="00CE75D4" w:rsidP="008340C1">
            <w:pPr>
              <w:pStyle w:val="ARfintablebodybold"/>
            </w:pPr>
            <w:r w:rsidRPr="00D2419F">
              <w:t>Liabilities</w:t>
            </w:r>
          </w:p>
        </w:tc>
      </w:tr>
      <w:tr w:rsidR="00CE75D4" w:rsidRPr="002029AF" w14:paraId="31A9B385" w14:textId="77777777" w:rsidTr="3D493511">
        <w:tc>
          <w:tcPr>
            <w:tcW w:w="9637" w:type="dxa"/>
            <w:gridSpan w:val="4"/>
            <w:tcBorders>
              <w:top w:val="single" w:sz="4" w:space="0" w:color="A6A6A6" w:themeColor="background1" w:themeShade="A6"/>
              <w:bottom w:val="single" w:sz="4" w:space="0" w:color="A6A6A6" w:themeColor="background1" w:themeShade="A6"/>
            </w:tcBorders>
            <w:hideMark/>
          </w:tcPr>
          <w:p w14:paraId="4510D434" w14:textId="77777777" w:rsidR="00CE75D4" w:rsidRPr="002029AF" w:rsidRDefault="00CE75D4" w:rsidP="008340C1">
            <w:pPr>
              <w:pStyle w:val="ARfintablebodybold"/>
            </w:pPr>
            <w:r w:rsidRPr="00D2419F">
              <w:t>Financial liabilities</w:t>
            </w:r>
          </w:p>
        </w:tc>
      </w:tr>
      <w:tr w:rsidR="00CE75D4" w:rsidRPr="002029AF" w14:paraId="52F620A7" w14:textId="77777777" w:rsidTr="3D493511">
        <w:tc>
          <w:tcPr>
            <w:tcW w:w="6518" w:type="dxa"/>
            <w:tcBorders>
              <w:top w:val="single" w:sz="4" w:space="0" w:color="A6A6A6" w:themeColor="background1" w:themeShade="A6"/>
              <w:bottom w:val="single" w:sz="4" w:space="0" w:color="A6A6A6" w:themeColor="background1" w:themeShade="A6"/>
            </w:tcBorders>
            <w:hideMark/>
          </w:tcPr>
          <w:p w14:paraId="5658CCFB" w14:textId="77777777" w:rsidR="00CE75D4" w:rsidRPr="002029AF" w:rsidRDefault="00CE75D4" w:rsidP="008340C1">
            <w:pPr>
              <w:pStyle w:val="ARfintablebody"/>
            </w:pPr>
            <w:r w:rsidRPr="00D2419F">
              <w:t>Payables</w:t>
            </w:r>
          </w:p>
        </w:tc>
        <w:tc>
          <w:tcPr>
            <w:tcW w:w="851" w:type="dxa"/>
            <w:tcBorders>
              <w:top w:val="single" w:sz="4" w:space="0" w:color="A6A6A6" w:themeColor="background1" w:themeShade="A6"/>
              <w:bottom w:val="single" w:sz="4" w:space="0" w:color="A6A6A6" w:themeColor="background1" w:themeShade="A6"/>
            </w:tcBorders>
            <w:noWrap/>
            <w:hideMark/>
          </w:tcPr>
          <w:p w14:paraId="27BCA6F5" w14:textId="77777777" w:rsidR="00CE75D4" w:rsidRPr="002029AF" w:rsidRDefault="00CE75D4" w:rsidP="008340C1">
            <w:pPr>
              <w:pStyle w:val="ARfintablebodyright"/>
            </w:pPr>
            <w:r w:rsidRPr="00D2419F">
              <w:t>6.4</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B5DBC74" w14:textId="77777777" w:rsidR="00CE75D4" w:rsidRPr="002029AF" w:rsidRDefault="00CE75D4" w:rsidP="008340C1">
            <w:pPr>
              <w:pStyle w:val="ARfintablebodyright"/>
            </w:pPr>
            <w:r w:rsidRPr="00D2419F">
              <w:t>1,895.7</w:t>
            </w:r>
          </w:p>
        </w:tc>
        <w:tc>
          <w:tcPr>
            <w:tcW w:w="1134" w:type="dxa"/>
            <w:tcBorders>
              <w:top w:val="single" w:sz="4" w:space="0" w:color="A6A6A6" w:themeColor="background1" w:themeShade="A6"/>
              <w:bottom w:val="single" w:sz="4" w:space="0" w:color="A6A6A6" w:themeColor="background1" w:themeShade="A6"/>
            </w:tcBorders>
            <w:noWrap/>
            <w:hideMark/>
          </w:tcPr>
          <w:p w14:paraId="26137181" w14:textId="77777777" w:rsidR="00CE75D4" w:rsidRPr="002029AF" w:rsidRDefault="00CE75D4" w:rsidP="008340C1">
            <w:pPr>
              <w:pStyle w:val="ARfintablebodyright"/>
            </w:pPr>
            <w:r w:rsidRPr="00D2419F">
              <w:t>2,130.1</w:t>
            </w:r>
          </w:p>
        </w:tc>
      </w:tr>
      <w:tr w:rsidR="00CE75D4" w:rsidRPr="002029AF" w14:paraId="2F4D116C" w14:textId="77777777" w:rsidTr="3D493511">
        <w:tc>
          <w:tcPr>
            <w:tcW w:w="6518" w:type="dxa"/>
            <w:tcBorders>
              <w:top w:val="single" w:sz="4" w:space="0" w:color="A6A6A6" w:themeColor="background1" w:themeShade="A6"/>
              <w:bottom w:val="single" w:sz="4" w:space="0" w:color="A6A6A6" w:themeColor="background1" w:themeShade="A6"/>
            </w:tcBorders>
            <w:hideMark/>
          </w:tcPr>
          <w:p w14:paraId="474F88C0" w14:textId="77777777" w:rsidR="00CE75D4" w:rsidRPr="002029AF" w:rsidRDefault="00CE75D4" w:rsidP="008340C1">
            <w:pPr>
              <w:pStyle w:val="ARfintablebody"/>
            </w:pPr>
            <w:r w:rsidRPr="00D2419F">
              <w:t>Borrowings</w:t>
            </w:r>
          </w:p>
        </w:tc>
        <w:tc>
          <w:tcPr>
            <w:tcW w:w="851" w:type="dxa"/>
            <w:tcBorders>
              <w:top w:val="single" w:sz="4" w:space="0" w:color="A6A6A6" w:themeColor="background1" w:themeShade="A6"/>
              <w:bottom w:val="single" w:sz="4" w:space="0" w:color="A6A6A6" w:themeColor="background1" w:themeShade="A6"/>
            </w:tcBorders>
            <w:noWrap/>
            <w:hideMark/>
          </w:tcPr>
          <w:p w14:paraId="513DFEAC" w14:textId="77777777" w:rsidR="00CE75D4" w:rsidRPr="002029AF" w:rsidRDefault="00CE75D4" w:rsidP="008340C1">
            <w:pPr>
              <w:pStyle w:val="ARfintablebodyright"/>
            </w:pPr>
            <w:r w:rsidRPr="00D2419F">
              <w:t>7.1</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25FECEB" w14:textId="77777777" w:rsidR="00CE75D4" w:rsidRPr="002029AF" w:rsidRDefault="00CE75D4" w:rsidP="008340C1">
            <w:pPr>
              <w:pStyle w:val="ARfintablebodyright"/>
            </w:pPr>
            <w:r w:rsidRPr="00D2419F">
              <w:t>576.5</w:t>
            </w:r>
          </w:p>
        </w:tc>
        <w:tc>
          <w:tcPr>
            <w:tcW w:w="1134" w:type="dxa"/>
            <w:tcBorders>
              <w:top w:val="single" w:sz="4" w:space="0" w:color="A6A6A6" w:themeColor="background1" w:themeShade="A6"/>
              <w:bottom w:val="single" w:sz="4" w:space="0" w:color="A6A6A6" w:themeColor="background1" w:themeShade="A6"/>
            </w:tcBorders>
            <w:noWrap/>
            <w:hideMark/>
          </w:tcPr>
          <w:p w14:paraId="4510C472" w14:textId="77777777" w:rsidR="00CE75D4" w:rsidRPr="002029AF" w:rsidRDefault="00CE75D4" w:rsidP="008340C1">
            <w:pPr>
              <w:pStyle w:val="ARfintablebodyright"/>
            </w:pPr>
            <w:r w:rsidRPr="00D2419F">
              <w:t>370.6</w:t>
            </w:r>
          </w:p>
        </w:tc>
      </w:tr>
      <w:tr w:rsidR="00CE75D4" w:rsidRPr="002029AF" w14:paraId="75C52072" w14:textId="77777777" w:rsidTr="3D493511">
        <w:tc>
          <w:tcPr>
            <w:tcW w:w="6518" w:type="dxa"/>
            <w:tcBorders>
              <w:top w:val="single" w:sz="4" w:space="0" w:color="A6A6A6" w:themeColor="background1" w:themeShade="A6"/>
              <w:bottom w:val="single" w:sz="4" w:space="0" w:color="A6A6A6" w:themeColor="background1" w:themeShade="A6"/>
            </w:tcBorders>
            <w:hideMark/>
          </w:tcPr>
          <w:p w14:paraId="3AA22511" w14:textId="5AA00ECD" w:rsidR="00CE75D4" w:rsidRPr="002029AF" w:rsidRDefault="00CE75D4" w:rsidP="008340C1">
            <w:pPr>
              <w:pStyle w:val="ARfintablebody"/>
            </w:pPr>
            <w:r w:rsidRPr="00D2419F">
              <w:t>Employee</w:t>
            </w:r>
            <w:r w:rsidR="008F6CE1">
              <w:t>-</w:t>
            </w:r>
            <w:r w:rsidRPr="00D2419F">
              <w:t>related provisions</w:t>
            </w:r>
          </w:p>
        </w:tc>
        <w:tc>
          <w:tcPr>
            <w:tcW w:w="851" w:type="dxa"/>
            <w:tcBorders>
              <w:top w:val="single" w:sz="4" w:space="0" w:color="A6A6A6" w:themeColor="background1" w:themeShade="A6"/>
              <w:bottom w:val="single" w:sz="4" w:space="0" w:color="A6A6A6" w:themeColor="background1" w:themeShade="A6"/>
            </w:tcBorders>
            <w:noWrap/>
            <w:hideMark/>
          </w:tcPr>
          <w:p w14:paraId="7974C5EE" w14:textId="77777777" w:rsidR="00CE75D4" w:rsidRPr="002029AF" w:rsidRDefault="00CE75D4" w:rsidP="008340C1">
            <w:pPr>
              <w:pStyle w:val="ARfintablebodyright"/>
            </w:pPr>
            <w:r w:rsidRPr="00D2419F">
              <w:t>3.1.1(b)</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FDA239D" w14:textId="77777777" w:rsidR="00CE75D4" w:rsidRPr="002029AF" w:rsidRDefault="00CE75D4" w:rsidP="008340C1">
            <w:pPr>
              <w:pStyle w:val="ARfintablebodyright"/>
            </w:pPr>
            <w:r w:rsidRPr="00D2419F">
              <w:t>150.2</w:t>
            </w:r>
          </w:p>
        </w:tc>
        <w:tc>
          <w:tcPr>
            <w:tcW w:w="1134" w:type="dxa"/>
            <w:tcBorders>
              <w:top w:val="single" w:sz="4" w:space="0" w:color="A6A6A6" w:themeColor="background1" w:themeShade="A6"/>
              <w:bottom w:val="single" w:sz="4" w:space="0" w:color="A6A6A6" w:themeColor="background1" w:themeShade="A6"/>
            </w:tcBorders>
            <w:noWrap/>
            <w:hideMark/>
          </w:tcPr>
          <w:p w14:paraId="3E9503F2" w14:textId="77777777" w:rsidR="00CE75D4" w:rsidRPr="002029AF" w:rsidRDefault="00CE75D4" w:rsidP="008340C1">
            <w:pPr>
              <w:pStyle w:val="ARfintablebodyright"/>
            </w:pPr>
            <w:r w:rsidRPr="00D2419F">
              <w:t>412.6</w:t>
            </w:r>
          </w:p>
        </w:tc>
      </w:tr>
      <w:tr w:rsidR="00CE75D4" w:rsidRPr="002029AF" w14:paraId="72E5043C" w14:textId="77777777" w:rsidTr="3D493511">
        <w:tc>
          <w:tcPr>
            <w:tcW w:w="6518" w:type="dxa"/>
            <w:tcBorders>
              <w:top w:val="single" w:sz="4" w:space="0" w:color="A6A6A6" w:themeColor="background1" w:themeShade="A6"/>
            </w:tcBorders>
            <w:hideMark/>
          </w:tcPr>
          <w:p w14:paraId="267AA4D6" w14:textId="77777777" w:rsidR="00CE75D4" w:rsidRPr="002029AF" w:rsidRDefault="00CE75D4" w:rsidP="008340C1">
            <w:pPr>
              <w:pStyle w:val="ARfintablebody"/>
            </w:pPr>
            <w:r w:rsidRPr="00D2419F">
              <w:t>Other provisions</w:t>
            </w:r>
          </w:p>
        </w:tc>
        <w:tc>
          <w:tcPr>
            <w:tcW w:w="851" w:type="dxa"/>
            <w:tcBorders>
              <w:top w:val="single" w:sz="4" w:space="0" w:color="A6A6A6" w:themeColor="background1" w:themeShade="A6"/>
            </w:tcBorders>
            <w:noWrap/>
            <w:hideMark/>
          </w:tcPr>
          <w:p w14:paraId="4A125D1D" w14:textId="77777777" w:rsidR="00CE75D4" w:rsidRPr="002029AF" w:rsidRDefault="00CE75D4" w:rsidP="008340C1">
            <w:pPr>
              <w:pStyle w:val="ARfintablebodyright"/>
            </w:pPr>
            <w:r w:rsidRPr="00D2419F">
              <w:t>6.5</w:t>
            </w:r>
          </w:p>
        </w:tc>
        <w:tc>
          <w:tcPr>
            <w:tcW w:w="1134" w:type="dxa"/>
            <w:tcBorders>
              <w:top w:val="single" w:sz="4" w:space="0" w:color="A6A6A6" w:themeColor="background1" w:themeShade="A6"/>
            </w:tcBorders>
            <w:shd w:val="clear" w:color="auto" w:fill="E7E6E6" w:themeFill="background2"/>
            <w:noWrap/>
            <w:hideMark/>
          </w:tcPr>
          <w:p w14:paraId="3D8B044B" w14:textId="77777777" w:rsidR="00CE75D4" w:rsidRPr="002029AF" w:rsidRDefault="00CE75D4" w:rsidP="008340C1">
            <w:pPr>
              <w:pStyle w:val="ARfintablebodyright"/>
            </w:pPr>
            <w:r w:rsidRPr="00D2419F">
              <w:t>61.1</w:t>
            </w:r>
          </w:p>
        </w:tc>
        <w:tc>
          <w:tcPr>
            <w:tcW w:w="1134" w:type="dxa"/>
            <w:tcBorders>
              <w:top w:val="single" w:sz="4" w:space="0" w:color="A6A6A6" w:themeColor="background1" w:themeShade="A6"/>
            </w:tcBorders>
            <w:noWrap/>
            <w:hideMark/>
          </w:tcPr>
          <w:p w14:paraId="19307429" w14:textId="77777777" w:rsidR="00CE75D4" w:rsidRPr="002029AF" w:rsidRDefault="00CE75D4" w:rsidP="008340C1">
            <w:pPr>
              <w:pStyle w:val="ARfintablebodyright"/>
            </w:pPr>
            <w:r w:rsidRPr="00D2419F">
              <w:t>241.8</w:t>
            </w:r>
          </w:p>
        </w:tc>
      </w:tr>
      <w:tr w:rsidR="00CE75D4" w:rsidRPr="002029AF" w14:paraId="417F1E55" w14:textId="77777777" w:rsidTr="3D493511">
        <w:tc>
          <w:tcPr>
            <w:tcW w:w="6518" w:type="dxa"/>
            <w:hideMark/>
          </w:tcPr>
          <w:p w14:paraId="56E06C9A" w14:textId="77777777" w:rsidR="00CE75D4" w:rsidRPr="002029AF" w:rsidRDefault="00CE75D4" w:rsidP="008340C1">
            <w:pPr>
              <w:pStyle w:val="ARfintablebodybold"/>
            </w:pPr>
            <w:r w:rsidRPr="00D2419F">
              <w:t>Total financial liabilities</w:t>
            </w:r>
          </w:p>
        </w:tc>
        <w:tc>
          <w:tcPr>
            <w:tcW w:w="851" w:type="dxa"/>
            <w:hideMark/>
          </w:tcPr>
          <w:p w14:paraId="7AB3450E" w14:textId="77777777" w:rsidR="00CE75D4" w:rsidRPr="002029AF" w:rsidRDefault="00CE75D4" w:rsidP="008340C1">
            <w:pPr>
              <w:pStyle w:val="ARfintablebodyrightbold"/>
            </w:pPr>
          </w:p>
        </w:tc>
        <w:tc>
          <w:tcPr>
            <w:tcW w:w="1134" w:type="dxa"/>
            <w:shd w:val="clear" w:color="auto" w:fill="E7E6E6" w:themeFill="background2"/>
            <w:noWrap/>
            <w:hideMark/>
          </w:tcPr>
          <w:p w14:paraId="4A6D269E" w14:textId="77777777" w:rsidR="00CE75D4" w:rsidRPr="002029AF" w:rsidRDefault="00CE75D4" w:rsidP="008340C1">
            <w:pPr>
              <w:pStyle w:val="ARfintablebodyrightbold"/>
            </w:pPr>
            <w:r w:rsidRPr="00D2419F">
              <w:t>2,683.5</w:t>
            </w:r>
          </w:p>
        </w:tc>
        <w:tc>
          <w:tcPr>
            <w:tcW w:w="1134" w:type="dxa"/>
            <w:noWrap/>
            <w:hideMark/>
          </w:tcPr>
          <w:p w14:paraId="586F50E4" w14:textId="77777777" w:rsidR="00CE75D4" w:rsidRPr="002029AF" w:rsidRDefault="00CE75D4" w:rsidP="008340C1">
            <w:pPr>
              <w:pStyle w:val="ARfintablebodyrightbold"/>
            </w:pPr>
            <w:r w:rsidRPr="00D2419F">
              <w:t>3,155.1</w:t>
            </w:r>
          </w:p>
        </w:tc>
      </w:tr>
      <w:tr w:rsidR="00CE75D4" w:rsidRPr="002029AF" w14:paraId="68EE6207" w14:textId="77777777" w:rsidTr="3D493511">
        <w:tc>
          <w:tcPr>
            <w:tcW w:w="9637" w:type="dxa"/>
            <w:gridSpan w:val="4"/>
            <w:tcBorders>
              <w:top w:val="single" w:sz="4" w:space="0" w:color="auto"/>
              <w:bottom w:val="single" w:sz="4" w:space="0" w:color="A6A6A6" w:themeColor="background1" w:themeShade="A6"/>
            </w:tcBorders>
            <w:hideMark/>
          </w:tcPr>
          <w:p w14:paraId="44BB851C" w14:textId="77777777" w:rsidR="00CE75D4" w:rsidRPr="002029AF" w:rsidRDefault="00CE75D4" w:rsidP="008340C1">
            <w:pPr>
              <w:pStyle w:val="ARfintablebodybold"/>
            </w:pPr>
            <w:r w:rsidRPr="00D2419F">
              <w:t>Non-financial liabilities</w:t>
            </w:r>
          </w:p>
        </w:tc>
      </w:tr>
      <w:tr w:rsidR="00CE75D4" w:rsidRPr="002029AF" w14:paraId="7C23C783" w14:textId="77777777" w:rsidTr="3D493511">
        <w:tc>
          <w:tcPr>
            <w:tcW w:w="6518" w:type="dxa"/>
            <w:tcBorders>
              <w:top w:val="single" w:sz="4" w:space="0" w:color="A6A6A6" w:themeColor="background1" w:themeShade="A6"/>
              <w:bottom w:val="single" w:sz="4" w:space="0" w:color="A6A6A6" w:themeColor="background1" w:themeShade="A6"/>
            </w:tcBorders>
            <w:hideMark/>
          </w:tcPr>
          <w:p w14:paraId="1C33A519" w14:textId="77777777" w:rsidR="00CE75D4" w:rsidRPr="002029AF" w:rsidRDefault="00CE75D4" w:rsidP="008340C1">
            <w:pPr>
              <w:pStyle w:val="ARfintablebody"/>
            </w:pPr>
            <w:r w:rsidRPr="00D2419F">
              <w:t>Other non-financial liabilities</w:t>
            </w:r>
          </w:p>
        </w:tc>
        <w:tc>
          <w:tcPr>
            <w:tcW w:w="851" w:type="dxa"/>
            <w:tcBorders>
              <w:top w:val="single" w:sz="4" w:space="0" w:color="A6A6A6" w:themeColor="background1" w:themeShade="A6"/>
              <w:bottom w:val="single" w:sz="4" w:space="0" w:color="A6A6A6" w:themeColor="background1" w:themeShade="A6"/>
            </w:tcBorders>
            <w:noWrap/>
            <w:hideMark/>
          </w:tcPr>
          <w:p w14:paraId="045181E8" w14:textId="77777777" w:rsidR="00CE75D4" w:rsidRPr="002029AF" w:rsidRDefault="00CE75D4" w:rsidP="008340C1">
            <w:pPr>
              <w:pStyle w:val="ARfintablebodyright"/>
            </w:pPr>
            <w:r w:rsidRPr="00D2419F">
              <w:t>6.7</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5F1623E" w14:textId="77777777" w:rsidR="00CE75D4" w:rsidRPr="002029AF" w:rsidRDefault="00CE75D4" w:rsidP="008340C1">
            <w:pPr>
              <w:pStyle w:val="ARfintablebodyright"/>
            </w:pPr>
            <w:r w:rsidRPr="00D2419F">
              <w:t>8.1</w:t>
            </w:r>
          </w:p>
        </w:tc>
        <w:tc>
          <w:tcPr>
            <w:tcW w:w="1134" w:type="dxa"/>
            <w:tcBorders>
              <w:top w:val="single" w:sz="4" w:space="0" w:color="A6A6A6" w:themeColor="background1" w:themeShade="A6"/>
              <w:bottom w:val="single" w:sz="4" w:space="0" w:color="A6A6A6" w:themeColor="background1" w:themeShade="A6"/>
            </w:tcBorders>
            <w:noWrap/>
            <w:hideMark/>
          </w:tcPr>
          <w:p w14:paraId="5852D0DE" w14:textId="77777777" w:rsidR="00CE75D4" w:rsidRPr="002029AF" w:rsidRDefault="00CE75D4" w:rsidP="008340C1">
            <w:pPr>
              <w:pStyle w:val="ARfintablebodyright"/>
            </w:pPr>
            <w:r w:rsidRPr="00D2419F">
              <w:t>2.6</w:t>
            </w:r>
          </w:p>
        </w:tc>
      </w:tr>
      <w:tr w:rsidR="00CE75D4" w:rsidRPr="002029AF" w14:paraId="49E9957A" w14:textId="77777777" w:rsidTr="3D493511">
        <w:tc>
          <w:tcPr>
            <w:tcW w:w="6518" w:type="dxa"/>
            <w:hideMark/>
          </w:tcPr>
          <w:p w14:paraId="03A9D7E4" w14:textId="77777777" w:rsidR="00CE75D4" w:rsidRPr="002029AF" w:rsidRDefault="00CE75D4" w:rsidP="008340C1">
            <w:pPr>
              <w:pStyle w:val="ARfintablebodybold"/>
            </w:pPr>
            <w:r w:rsidRPr="00D2419F">
              <w:t>Total non-financial liabilities</w:t>
            </w:r>
          </w:p>
        </w:tc>
        <w:tc>
          <w:tcPr>
            <w:tcW w:w="851" w:type="dxa"/>
            <w:hideMark/>
          </w:tcPr>
          <w:p w14:paraId="25CBFD80" w14:textId="77777777" w:rsidR="00CE75D4" w:rsidRPr="002029AF" w:rsidRDefault="00CE75D4" w:rsidP="008340C1">
            <w:pPr>
              <w:pStyle w:val="ARfintablebodyrightbold"/>
            </w:pPr>
          </w:p>
        </w:tc>
        <w:tc>
          <w:tcPr>
            <w:tcW w:w="1134" w:type="dxa"/>
            <w:shd w:val="clear" w:color="auto" w:fill="E7E6E6" w:themeFill="background2"/>
            <w:noWrap/>
            <w:hideMark/>
          </w:tcPr>
          <w:p w14:paraId="1DC8EFC5" w14:textId="77777777" w:rsidR="00CE75D4" w:rsidRPr="002029AF" w:rsidRDefault="00CE75D4" w:rsidP="008340C1">
            <w:pPr>
              <w:pStyle w:val="ARfintablebodyrightbold"/>
            </w:pPr>
            <w:r w:rsidRPr="00D2419F">
              <w:t>8.1</w:t>
            </w:r>
          </w:p>
        </w:tc>
        <w:tc>
          <w:tcPr>
            <w:tcW w:w="1134" w:type="dxa"/>
            <w:noWrap/>
            <w:hideMark/>
          </w:tcPr>
          <w:p w14:paraId="40A30AFE" w14:textId="77777777" w:rsidR="00CE75D4" w:rsidRPr="002029AF" w:rsidRDefault="00CE75D4" w:rsidP="008340C1">
            <w:pPr>
              <w:pStyle w:val="ARfintablebodyrightbold"/>
            </w:pPr>
            <w:r w:rsidRPr="00D2419F">
              <w:t>2.6</w:t>
            </w:r>
          </w:p>
        </w:tc>
      </w:tr>
      <w:tr w:rsidR="00CE75D4" w:rsidRPr="002029AF" w14:paraId="401CA328" w14:textId="77777777" w:rsidTr="3D493511">
        <w:tc>
          <w:tcPr>
            <w:tcW w:w="6518" w:type="dxa"/>
            <w:hideMark/>
          </w:tcPr>
          <w:p w14:paraId="2118560B" w14:textId="77777777" w:rsidR="00CE75D4" w:rsidRPr="002029AF" w:rsidRDefault="00CE75D4" w:rsidP="008340C1">
            <w:pPr>
              <w:pStyle w:val="ARfintablebodybold"/>
            </w:pPr>
            <w:r w:rsidRPr="00D2419F">
              <w:t>Total liabilities</w:t>
            </w:r>
          </w:p>
        </w:tc>
        <w:tc>
          <w:tcPr>
            <w:tcW w:w="851" w:type="dxa"/>
            <w:hideMark/>
          </w:tcPr>
          <w:p w14:paraId="3DA9ACFA" w14:textId="77777777" w:rsidR="00CE75D4" w:rsidRPr="002029AF" w:rsidRDefault="00CE75D4" w:rsidP="008340C1">
            <w:pPr>
              <w:pStyle w:val="ARfintablebodyrightbold"/>
            </w:pPr>
          </w:p>
        </w:tc>
        <w:tc>
          <w:tcPr>
            <w:tcW w:w="1134" w:type="dxa"/>
            <w:shd w:val="clear" w:color="auto" w:fill="E7E6E6" w:themeFill="background2"/>
            <w:noWrap/>
            <w:hideMark/>
          </w:tcPr>
          <w:p w14:paraId="315DC983" w14:textId="77777777" w:rsidR="00CE75D4" w:rsidRPr="002029AF" w:rsidRDefault="00CE75D4" w:rsidP="008340C1">
            <w:pPr>
              <w:pStyle w:val="ARfintablebodyrightbold"/>
            </w:pPr>
            <w:r w:rsidRPr="00D2419F">
              <w:t>2,691.6</w:t>
            </w:r>
          </w:p>
        </w:tc>
        <w:tc>
          <w:tcPr>
            <w:tcW w:w="1134" w:type="dxa"/>
            <w:noWrap/>
            <w:hideMark/>
          </w:tcPr>
          <w:p w14:paraId="7608867F" w14:textId="77777777" w:rsidR="00CE75D4" w:rsidRPr="002029AF" w:rsidRDefault="00CE75D4" w:rsidP="008340C1">
            <w:pPr>
              <w:pStyle w:val="ARfintablebodyrightbold"/>
            </w:pPr>
            <w:r w:rsidRPr="00D2419F">
              <w:t>3,157.7</w:t>
            </w:r>
          </w:p>
        </w:tc>
      </w:tr>
      <w:tr w:rsidR="00CE75D4" w:rsidRPr="002029AF" w14:paraId="745896DD" w14:textId="77777777" w:rsidTr="3D493511">
        <w:tc>
          <w:tcPr>
            <w:tcW w:w="6518" w:type="dxa"/>
            <w:tcBorders>
              <w:bottom w:val="single" w:sz="4" w:space="0" w:color="auto"/>
            </w:tcBorders>
            <w:hideMark/>
          </w:tcPr>
          <w:p w14:paraId="25AC1A76" w14:textId="77777777" w:rsidR="00CE75D4" w:rsidRPr="002029AF" w:rsidRDefault="00CE75D4" w:rsidP="008340C1">
            <w:pPr>
              <w:pStyle w:val="ARfintablebodybold"/>
            </w:pPr>
            <w:r w:rsidRPr="00D2419F">
              <w:t>Net assets</w:t>
            </w:r>
          </w:p>
        </w:tc>
        <w:tc>
          <w:tcPr>
            <w:tcW w:w="851" w:type="dxa"/>
            <w:tcBorders>
              <w:bottom w:val="single" w:sz="4" w:space="0" w:color="auto"/>
            </w:tcBorders>
            <w:hideMark/>
          </w:tcPr>
          <w:p w14:paraId="567FEE0B" w14:textId="77777777" w:rsidR="00CE75D4" w:rsidRPr="002029AF" w:rsidRDefault="00CE75D4" w:rsidP="008340C1">
            <w:pPr>
              <w:pStyle w:val="ARfintablebodyrightbold"/>
            </w:pPr>
          </w:p>
        </w:tc>
        <w:tc>
          <w:tcPr>
            <w:tcW w:w="1134" w:type="dxa"/>
            <w:tcBorders>
              <w:bottom w:val="single" w:sz="4" w:space="0" w:color="auto"/>
            </w:tcBorders>
            <w:shd w:val="clear" w:color="auto" w:fill="E7E6E6" w:themeFill="background2"/>
            <w:noWrap/>
            <w:hideMark/>
          </w:tcPr>
          <w:p w14:paraId="04DBF949" w14:textId="77777777" w:rsidR="00CE75D4" w:rsidRPr="002029AF" w:rsidRDefault="00CE75D4" w:rsidP="008340C1">
            <w:pPr>
              <w:pStyle w:val="ARfintablebodyrightbold"/>
            </w:pPr>
            <w:r w:rsidRPr="00D2419F">
              <w:t>4,863.2</w:t>
            </w:r>
          </w:p>
        </w:tc>
        <w:tc>
          <w:tcPr>
            <w:tcW w:w="1134" w:type="dxa"/>
            <w:tcBorders>
              <w:bottom w:val="single" w:sz="4" w:space="0" w:color="auto"/>
            </w:tcBorders>
            <w:noWrap/>
            <w:hideMark/>
          </w:tcPr>
          <w:p w14:paraId="05F71E78" w14:textId="77777777" w:rsidR="00CE75D4" w:rsidRPr="002029AF" w:rsidRDefault="00CE75D4" w:rsidP="008340C1">
            <w:pPr>
              <w:pStyle w:val="ARfintablebodyrightbold"/>
            </w:pPr>
            <w:r w:rsidRPr="00D2419F">
              <w:t>37,275.9</w:t>
            </w:r>
          </w:p>
        </w:tc>
      </w:tr>
      <w:tr w:rsidR="00CE75D4" w:rsidRPr="002029AF" w14:paraId="7E77CF61" w14:textId="77777777" w:rsidTr="3D493511">
        <w:tc>
          <w:tcPr>
            <w:tcW w:w="9637" w:type="dxa"/>
            <w:gridSpan w:val="4"/>
            <w:tcBorders>
              <w:top w:val="single" w:sz="4" w:space="0" w:color="auto"/>
              <w:bottom w:val="single" w:sz="4" w:space="0" w:color="A6A6A6" w:themeColor="background1" w:themeShade="A6"/>
            </w:tcBorders>
            <w:hideMark/>
          </w:tcPr>
          <w:p w14:paraId="05A0A21C" w14:textId="77777777" w:rsidR="00CE75D4" w:rsidRPr="002029AF" w:rsidRDefault="00CE75D4" w:rsidP="008340C1">
            <w:pPr>
              <w:pStyle w:val="ARfintablebodybold"/>
            </w:pPr>
            <w:r w:rsidRPr="00D2419F">
              <w:t>Equity</w:t>
            </w:r>
          </w:p>
        </w:tc>
      </w:tr>
      <w:tr w:rsidR="00CE75D4" w:rsidRPr="002029AF" w14:paraId="2FAD2C0A" w14:textId="77777777" w:rsidTr="3D493511">
        <w:tc>
          <w:tcPr>
            <w:tcW w:w="6518" w:type="dxa"/>
            <w:tcBorders>
              <w:top w:val="single" w:sz="4" w:space="0" w:color="A6A6A6" w:themeColor="background1" w:themeShade="A6"/>
              <w:bottom w:val="single" w:sz="4" w:space="0" w:color="A6A6A6" w:themeColor="background1" w:themeShade="A6"/>
            </w:tcBorders>
            <w:hideMark/>
          </w:tcPr>
          <w:p w14:paraId="555BB9D1" w14:textId="77777777" w:rsidR="00CE75D4" w:rsidRPr="002029AF" w:rsidRDefault="00CE75D4" w:rsidP="008340C1">
            <w:pPr>
              <w:pStyle w:val="ARfintablebody"/>
            </w:pPr>
            <w:r w:rsidRPr="00D2419F">
              <w:t>Accumulated surplus/(deficit)</w:t>
            </w:r>
          </w:p>
        </w:tc>
        <w:tc>
          <w:tcPr>
            <w:tcW w:w="851" w:type="dxa"/>
            <w:tcBorders>
              <w:top w:val="single" w:sz="4" w:space="0" w:color="A6A6A6" w:themeColor="background1" w:themeShade="A6"/>
              <w:bottom w:val="single" w:sz="4" w:space="0" w:color="A6A6A6" w:themeColor="background1" w:themeShade="A6"/>
            </w:tcBorders>
            <w:noWrap/>
            <w:hideMark/>
          </w:tcPr>
          <w:p w14:paraId="3AF47140" w14:textId="77777777" w:rsidR="00CE75D4" w:rsidRPr="002029AF" w:rsidRDefault="00CE75D4" w:rsidP="008340C1">
            <w:pPr>
              <w:pStyle w:val="ARfintablebodyright"/>
            </w:pP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EA9746C" w14:textId="77777777" w:rsidR="00CE75D4" w:rsidRPr="002029AF" w:rsidRDefault="00CE75D4" w:rsidP="008340C1">
            <w:pPr>
              <w:pStyle w:val="ARfintablebodyright"/>
            </w:pPr>
            <w:r w:rsidRPr="00D2419F">
              <w:t>4,269.8</w:t>
            </w:r>
          </w:p>
        </w:tc>
        <w:tc>
          <w:tcPr>
            <w:tcW w:w="1134" w:type="dxa"/>
            <w:tcBorders>
              <w:top w:val="single" w:sz="4" w:space="0" w:color="A6A6A6" w:themeColor="background1" w:themeShade="A6"/>
              <w:bottom w:val="single" w:sz="4" w:space="0" w:color="A6A6A6" w:themeColor="background1" w:themeShade="A6"/>
            </w:tcBorders>
            <w:noWrap/>
            <w:hideMark/>
          </w:tcPr>
          <w:p w14:paraId="55E43AB6" w14:textId="77777777" w:rsidR="00CE75D4" w:rsidRPr="002029AF" w:rsidRDefault="00CE75D4" w:rsidP="008340C1">
            <w:pPr>
              <w:pStyle w:val="ARfintablebodyright"/>
            </w:pPr>
            <w:r w:rsidRPr="00D2419F">
              <w:t>3,714.0</w:t>
            </w:r>
          </w:p>
        </w:tc>
      </w:tr>
      <w:tr w:rsidR="00CE75D4" w:rsidRPr="002029AF" w14:paraId="035A7B37" w14:textId="77777777" w:rsidTr="3D493511">
        <w:tc>
          <w:tcPr>
            <w:tcW w:w="6518" w:type="dxa"/>
            <w:tcBorders>
              <w:top w:val="single" w:sz="4" w:space="0" w:color="A6A6A6" w:themeColor="background1" w:themeShade="A6"/>
              <w:bottom w:val="single" w:sz="4" w:space="0" w:color="A6A6A6" w:themeColor="background1" w:themeShade="A6"/>
            </w:tcBorders>
            <w:hideMark/>
          </w:tcPr>
          <w:p w14:paraId="217F3FE5" w14:textId="77777777" w:rsidR="00CE75D4" w:rsidRPr="002029AF" w:rsidRDefault="00CE75D4" w:rsidP="008340C1">
            <w:pPr>
              <w:pStyle w:val="ARfintablebody"/>
            </w:pPr>
            <w:r w:rsidRPr="00D2419F">
              <w:t>Physical asset revaluation surplus</w:t>
            </w:r>
          </w:p>
        </w:tc>
        <w:tc>
          <w:tcPr>
            <w:tcW w:w="851" w:type="dxa"/>
            <w:tcBorders>
              <w:top w:val="single" w:sz="4" w:space="0" w:color="A6A6A6" w:themeColor="background1" w:themeShade="A6"/>
              <w:bottom w:val="single" w:sz="4" w:space="0" w:color="A6A6A6" w:themeColor="background1" w:themeShade="A6"/>
            </w:tcBorders>
            <w:noWrap/>
            <w:hideMark/>
          </w:tcPr>
          <w:p w14:paraId="29C2F9E0" w14:textId="77777777" w:rsidR="00CE75D4" w:rsidRPr="002029AF" w:rsidRDefault="00CE75D4" w:rsidP="008340C1">
            <w:pPr>
              <w:pStyle w:val="ARfintablebodyright"/>
            </w:pPr>
            <w:r w:rsidRPr="00D2419F">
              <w:t>9.4</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7F8DD5E" w14:textId="77777777" w:rsidR="00CE75D4" w:rsidRPr="002029AF" w:rsidRDefault="00CE75D4" w:rsidP="008340C1">
            <w:pPr>
              <w:pStyle w:val="ARfintablebodyright"/>
            </w:pPr>
            <w:r w:rsidRPr="00D2419F">
              <w:t>497.2</w:t>
            </w:r>
          </w:p>
        </w:tc>
        <w:tc>
          <w:tcPr>
            <w:tcW w:w="1134" w:type="dxa"/>
            <w:tcBorders>
              <w:top w:val="single" w:sz="4" w:space="0" w:color="A6A6A6" w:themeColor="background1" w:themeShade="A6"/>
              <w:bottom w:val="single" w:sz="4" w:space="0" w:color="A6A6A6" w:themeColor="background1" w:themeShade="A6"/>
            </w:tcBorders>
            <w:noWrap/>
            <w:hideMark/>
          </w:tcPr>
          <w:p w14:paraId="61513491" w14:textId="77777777" w:rsidR="00CE75D4" w:rsidRPr="002029AF" w:rsidRDefault="00CE75D4" w:rsidP="008340C1">
            <w:pPr>
              <w:pStyle w:val="ARfintablebodyright"/>
            </w:pPr>
            <w:r w:rsidRPr="00D2419F">
              <w:t>4,877.9</w:t>
            </w:r>
          </w:p>
        </w:tc>
      </w:tr>
      <w:tr w:rsidR="00CE75D4" w:rsidRPr="002029AF" w14:paraId="04B7DFD8" w14:textId="77777777" w:rsidTr="3D493511">
        <w:tc>
          <w:tcPr>
            <w:tcW w:w="6518" w:type="dxa"/>
            <w:tcBorders>
              <w:top w:val="single" w:sz="4" w:space="0" w:color="A6A6A6" w:themeColor="background1" w:themeShade="A6"/>
            </w:tcBorders>
            <w:hideMark/>
          </w:tcPr>
          <w:p w14:paraId="4135ACF8" w14:textId="77777777" w:rsidR="00CE75D4" w:rsidRPr="002029AF" w:rsidRDefault="00CE75D4" w:rsidP="008340C1">
            <w:pPr>
              <w:pStyle w:val="ARfintablebody"/>
            </w:pPr>
            <w:r w:rsidRPr="00D2419F">
              <w:t>Contributed capital</w:t>
            </w:r>
          </w:p>
        </w:tc>
        <w:tc>
          <w:tcPr>
            <w:tcW w:w="851" w:type="dxa"/>
            <w:tcBorders>
              <w:top w:val="single" w:sz="4" w:space="0" w:color="A6A6A6" w:themeColor="background1" w:themeShade="A6"/>
            </w:tcBorders>
            <w:noWrap/>
            <w:hideMark/>
          </w:tcPr>
          <w:p w14:paraId="43398494" w14:textId="77777777" w:rsidR="00CE75D4" w:rsidRPr="002029AF" w:rsidRDefault="00CE75D4" w:rsidP="008340C1">
            <w:pPr>
              <w:pStyle w:val="ARfintablebodyright"/>
            </w:pPr>
          </w:p>
        </w:tc>
        <w:tc>
          <w:tcPr>
            <w:tcW w:w="1134" w:type="dxa"/>
            <w:tcBorders>
              <w:top w:val="single" w:sz="4" w:space="0" w:color="A6A6A6" w:themeColor="background1" w:themeShade="A6"/>
            </w:tcBorders>
            <w:shd w:val="clear" w:color="auto" w:fill="E7E6E6" w:themeFill="background2"/>
            <w:noWrap/>
            <w:hideMark/>
          </w:tcPr>
          <w:p w14:paraId="109FFD7B" w14:textId="77777777" w:rsidR="00CE75D4" w:rsidRPr="002029AF" w:rsidRDefault="00CE75D4" w:rsidP="008340C1">
            <w:pPr>
              <w:pStyle w:val="ARfintablebodyright"/>
            </w:pPr>
            <w:r w:rsidRPr="00D2419F">
              <w:t>96.2</w:t>
            </w:r>
          </w:p>
        </w:tc>
        <w:tc>
          <w:tcPr>
            <w:tcW w:w="1134" w:type="dxa"/>
            <w:tcBorders>
              <w:top w:val="single" w:sz="4" w:space="0" w:color="A6A6A6" w:themeColor="background1" w:themeShade="A6"/>
            </w:tcBorders>
            <w:noWrap/>
            <w:hideMark/>
          </w:tcPr>
          <w:p w14:paraId="64CC17BF" w14:textId="77777777" w:rsidR="00CE75D4" w:rsidRPr="002029AF" w:rsidRDefault="00CE75D4" w:rsidP="008340C1">
            <w:pPr>
              <w:pStyle w:val="ARfintablebodyright"/>
            </w:pPr>
            <w:r w:rsidRPr="00D2419F">
              <w:t>28,684.1</w:t>
            </w:r>
          </w:p>
        </w:tc>
      </w:tr>
      <w:tr w:rsidR="00CE75D4" w:rsidRPr="002029AF" w14:paraId="0ABF6913" w14:textId="77777777" w:rsidTr="3D493511">
        <w:tc>
          <w:tcPr>
            <w:tcW w:w="6518" w:type="dxa"/>
            <w:hideMark/>
          </w:tcPr>
          <w:p w14:paraId="1D1312B3" w14:textId="77777777" w:rsidR="00CE75D4" w:rsidRPr="002029AF" w:rsidRDefault="00CE75D4" w:rsidP="008340C1">
            <w:pPr>
              <w:pStyle w:val="ARfintablebodybold"/>
            </w:pPr>
            <w:r w:rsidRPr="00D2419F">
              <w:t>Net worth</w:t>
            </w:r>
          </w:p>
        </w:tc>
        <w:tc>
          <w:tcPr>
            <w:tcW w:w="851" w:type="dxa"/>
            <w:hideMark/>
          </w:tcPr>
          <w:p w14:paraId="7FC11D76" w14:textId="77777777" w:rsidR="00CE75D4" w:rsidRPr="002029AF" w:rsidRDefault="00CE75D4" w:rsidP="008340C1">
            <w:pPr>
              <w:pStyle w:val="ARfintablebodyrightbold"/>
            </w:pPr>
          </w:p>
        </w:tc>
        <w:tc>
          <w:tcPr>
            <w:tcW w:w="1134" w:type="dxa"/>
            <w:shd w:val="clear" w:color="auto" w:fill="E7E6E6" w:themeFill="background2"/>
            <w:noWrap/>
            <w:hideMark/>
          </w:tcPr>
          <w:p w14:paraId="2E94402A" w14:textId="77777777" w:rsidR="00CE75D4" w:rsidRPr="002029AF" w:rsidRDefault="00CE75D4" w:rsidP="008340C1">
            <w:pPr>
              <w:pStyle w:val="ARfintablebodyrightbold"/>
            </w:pPr>
            <w:r w:rsidRPr="00D2419F">
              <w:t>4,863.2</w:t>
            </w:r>
          </w:p>
        </w:tc>
        <w:tc>
          <w:tcPr>
            <w:tcW w:w="1134" w:type="dxa"/>
            <w:noWrap/>
            <w:hideMark/>
          </w:tcPr>
          <w:p w14:paraId="086E4E53" w14:textId="77777777" w:rsidR="00CE75D4" w:rsidRPr="002029AF" w:rsidRDefault="00CE75D4" w:rsidP="008340C1">
            <w:pPr>
              <w:pStyle w:val="ARfintablebodyrightbold"/>
            </w:pPr>
            <w:r w:rsidRPr="00D2419F">
              <w:t>37,275.9</w:t>
            </w:r>
          </w:p>
        </w:tc>
      </w:tr>
    </w:tbl>
    <w:p w14:paraId="6C2EA3BD" w14:textId="77777777" w:rsidR="00CE75D4" w:rsidRDefault="00CE75D4" w:rsidP="008340C1">
      <w:pPr>
        <w:pStyle w:val="ARfintablefootnote"/>
      </w:pPr>
      <w:r>
        <w:rPr>
          <w:lang w:eastAsia="en-AU"/>
        </w:rPr>
        <w:t>The balance sheet should be read in conjunction with the notes to the financial statements.</w:t>
      </w:r>
    </w:p>
    <w:p w14:paraId="544C7F72" w14:textId="77777777" w:rsidR="00CE75D4" w:rsidRDefault="00CE75D4" w:rsidP="008340C1">
      <w:pPr>
        <w:pStyle w:val="ARfintablefootnote"/>
      </w:pPr>
      <w:r>
        <w:rPr>
          <w:lang w:eastAsia="en-AU"/>
        </w:rPr>
        <w:t>Note:</w:t>
      </w:r>
    </w:p>
    <w:p w14:paraId="15C226F0" w14:textId="77777777" w:rsidR="00CE75D4" w:rsidRDefault="00CE75D4" w:rsidP="008340C1">
      <w:pPr>
        <w:pStyle w:val="ARfintablefootnoteindent"/>
      </w:pPr>
      <w:r>
        <w:t>(i)</w:t>
      </w:r>
      <w:r>
        <w:tab/>
      </w:r>
      <w:bookmarkStart w:id="500" w:name="_Hlk113205267"/>
      <w:r>
        <w:t>2021 numbers include the 30 June 2021 closing balances of the DFFH, the Victorian Disability Worker Commission and the Director of Housing. The transactions which relate to these entities are reported in the DFFH’s 2021–22 financial statements.</w:t>
      </w:r>
      <w:bookmarkEnd w:id="500"/>
    </w:p>
    <w:p w14:paraId="545C7597" w14:textId="77777777" w:rsidR="00CE75D4" w:rsidRPr="002029AF" w:rsidRDefault="00CE75D4" w:rsidP="003566F1">
      <w:pPr>
        <w:pStyle w:val="ARbody"/>
      </w:pPr>
      <w:r w:rsidRPr="002029AF">
        <w:br w:type="page"/>
      </w:r>
    </w:p>
    <w:p w14:paraId="7A1808BB" w14:textId="77777777" w:rsidR="00CE75D4" w:rsidRPr="002029AF" w:rsidRDefault="00CE75D4" w:rsidP="008340C1">
      <w:pPr>
        <w:pStyle w:val="Heading2Financials"/>
      </w:pPr>
      <w:bookmarkStart w:id="501" w:name="Cash_flow_statement"/>
      <w:bookmarkStart w:id="502" w:name="_Toc113702956"/>
      <w:bookmarkStart w:id="503" w:name="_Toc85121352"/>
      <w:bookmarkStart w:id="504" w:name="_Toc85121351"/>
      <w:bookmarkEnd w:id="501"/>
      <w:r>
        <w:t>Cash flow statement for the financial year ended 30 June 2022</w:t>
      </w:r>
      <w:bookmarkEnd w:id="502"/>
    </w:p>
    <w:tbl>
      <w:tblPr>
        <w:tblStyle w:val="TableGrid"/>
        <w:tblW w:w="9637" w:type="dxa"/>
        <w:tblLayout w:type="fixed"/>
        <w:tblLook w:val="06A0" w:firstRow="1" w:lastRow="0" w:firstColumn="1" w:lastColumn="0" w:noHBand="1" w:noVBand="1"/>
      </w:tblPr>
      <w:tblGrid>
        <w:gridCol w:w="6511"/>
        <w:gridCol w:w="850"/>
        <w:gridCol w:w="1133"/>
        <w:gridCol w:w="1133"/>
        <w:gridCol w:w="10"/>
      </w:tblGrid>
      <w:tr w:rsidR="00CE75D4" w:rsidRPr="002029AF" w14:paraId="12849377" w14:textId="77777777" w:rsidTr="008340C1">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6511" w:type="dxa"/>
            <w:tcBorders>
              <w:bottom w:val="single" w:sz="4" w:space="0" w:color="auto"/>
            </w:tcBorders>
            <w:noWrap/>
            <w:hideMark/>
          </w:tcPr>
          <w:p w14:paraId="0713D6D6" w14:textId="77777777" w:rsidR="00CE75D4" w:rsidRPr="002029AF" w:rsidRDefault="00CE75D4" w:rsidP="008340C1">
            <w:pPr>
              <w:pStyle w:val="ARfintablecolhead"/>
              <w:spacing w:before="20"/>
            </w:pPr>
          </w:p>
        </w:tc>
        <w:tc>
          <w:tcPr>
            <w:tcW w:w="850" w:type="dxa"/>
            <w:tcBorders>
              <w:bottom w:val="single" w:sz="4" w:space="0" w:color="auto"/>
            </w:tcBorders>
            <w:noWrap/>
            <w:hideMark/>
          </w:tcPr>
          <w:p w14:paraId="1F258E9C" w14:textId="77777777" w:rsidR="00CE75D4" w:rsidRPr="002029AF" w:rsidRDefault="00CE75D4" w:rsidP="008340C1">
            <w:pPr>
              <w:pStyle w:val="ARfintablecolheadright"/>
              <w:spacing w:before="20"/>
            </w:pPr>
            <w:r w:rsidRPr="002029AF">
              <w:t>Note</w:t>
            </w:r>
          </w:p>
        </w:tc>
        <w:tc>
          <w:tcPr>
            <w:tcW w:w="1133" w:type="dxa"/>
            <w:tcBorders>
              <w:bottom w:val="single" w:sz="4" w:space="0" w:color="auto"/>
            </w:tcBorders>
            <w:shd w:val="clear" w:color="auto" w:fill="E7E6E6"/>
            <w:hideMark/>
          </w:tcPr>
          <w:p w14:paraId="7EDCB95B" w14:textId="77777777" w:rsidR="00CE75D4" w:rsidRPr="002029AF" w:rsidRDefault="00CE75D4" w:rsidP="008340C1">
            <w:pPr>
              <w:pStyle w:val="ARfintablecolheadright"/>
              <w:spacing w:before="20"/>
            </w:pPr>
            <w:r w:rsidRPr="002029AF">
              <w:t>202</w:t>
            </w:r>
            <w:r>
              <w:t>2</w:t>
            </w:r>
          </w:p>
          <w:p w14:paraId="74BFCB38" w14:textId="77777777" w:rsidR="00CE75D4" w:rsidRPr="002029AF" w:rsidRDefault="00CE75D4" w:rsidP="008340C1">
            <w:pPr>
              <w:pStyle w:val="ARfintablecolheadright"/>
              <w:spacing w:before="20"/>
            </w:pPr>
            <w:r w:rsidRPr="002029AF">
              <w:t>$M</w:t>
            </w:r>
          </w:p>
        </w:tc>
        <w:tc>
          <w:tcPr>
            <w:tcW w:w="1133" w:type="dxa"/>
            <w:tcBorders>
              <w:bottom w:val="single" w:sz="4" w:space="0" w:color="auto"/>
            </w:tcBorders>
            <w:hideMark/>
          </w:tcPr>
          <w:p w14:paraId="7CE42A96" w14:textId="77777777" w:rsidR="00CE75D4" w:rsidRPr="00AB5FCD" w:rsidRDefault="00CE75D4" w:rsidP="008340C1">
            <w:pPr>
              <w:pStyle w:val="ARfintablecolheadright"/>
              <w:spacing w:before="20"/>
              <w:rPr>
                <w:rStyle w:val="Superscript"/>
              </w:rPr>
            </w:pPr>
            <w:r>
              <w:t xml:space="preserve">2021 </w:t>
            </w:r>
            <w:r>
              <w:rPr>
                <w:rStyle w:val="Superscript"/>
              </w:rPr>
              <w:t>(i)</w:t>
            </w:r>
          </w:p>
          <w:p w14:paraId="5842B773" w14:textId="77777777" w:rsidR="00CE75D4" w:rsidRPr="002029AF" w:rsidRDefault="00CE75D4" w:rsidP="008340C1">
            <w:pPr>
              <w:pStyle w:val="ARfintablecolheadright"/>
              <w:spacing w:before="20"/>
            </w:pPr>
            <w:r w:rsidRPr="002029AF">
              <w:t>$M</w:t>
            </w:r>
          </w:p>
        </w:tc>
      </w:tr>
      <w:tr w:rsidR="00CE75D4" w:rsidRPr="002029AF" w14:paraId="190476C7" w14:textId="77777777" w:rsidTr="008340C1">
        <w:trPr>
          <w:gridAfter w:val="1"/>
          <w:wAfter w:w="10" w:type="dxa"/>
        </w:trPr>
        <w:tc>
          <w:tcPr>
            <w:tcW w:w="9627" w:type="dxa"/>
            <w:gridSpan w:val="4"/>
            <w:tcBorders>
              <w:top w:val="single" w:sz="4" w:space="0" w:color="auto"/>
              <w:bottom w:val="single" w:sz="4" w:space="0" w:color="A6A6A6"/>
            </w:tcBorders>
            <w:hideMark/>
          </w:tcPr>
          <w:p w14:paraId="031A0A29" w14:textId="77777777" w:rsidR="00CE75D4" w:rsidRPr="002029AF" w:rsidRDefault="00CE75D4" w:rsidP="008340C1">
            <w:pPr>
              <w:pStyle w:val="ARfintablebodybold"/>
              <w:spacing w:before="20" w:after="10"/>
            </w:pPr>
            <w:r w:rsidRPr="002323B6">
              <w:t>Cash flows from operating activities</w:t>
            </w:r>
          </w:p>
        </w:tc>
      </w:tr>
      <w:tr w:rsidR="00CE75D4" w:rsidRPr="002029AF" w14:paraId="435E00B7" w14:textId="77777777" w:rsidTr="008340C1">
        <w:trPr>
          <w:gridAfter w:val="1"/>
          <w:wAfter w:w="10" w:type="dxa"/>
        </w:trPr>
        <w:tc>
          <w:tcPr>
            <w:tcW w:w="9627" w:type="dxa"/>
            <w:gridSpan w:val="4"/>
            <w:tcBorders>
              <w:top w:val="single" w:sz="4" w:space="0" w:color="A6A6A6"/>
              <w:bottom w:val="single" w:sz="4" w:space="0" w:color="A6A6A6"/>
            </w:tcBorders>
            <w:hideMark/>
          </w:tcPr>
          <w:p w14:paraId="5B4D6664" w14:textId="77777777" w:rsidR="00CE75D4" w:rsidRPr="002029AF" w:rsidRDefault="00CE75D4" w:rsidP="008340C1">
            <w:pPr>
              <w:pStyle w:val="ARfintablebodybold"/>
              <w:spacing w:before="20" w:after="10"/>
            </w:pPr>
            <w:r w:rsidRPr="002323B6">
              <w:t>Receipts</w:t>
            </w:r>
          </w:p>
        </w:tc>
      </w:tr>
      <w:tr w:rsidR="00CE75D4" w:rsidRPr="002029AF" w14:paraId="6F43582A" w14:textId="77777777" w:rsidTr="008340C1">
        <w:trPr>
          <w:gridAfter w:val="1"/>
          <w:wAfter w:w="10" w:type="dxa"/>
        </w:trPr>
        <w:tc>
          <w:tcPr>
            <w:tcW w:w="6511" w:type="dxa"/>
            <w:tcBorders>
              <w:top w:val="single" w:sz="4" w:space="0" w:color="A6A6A6"/>
              <w:bottom w:val="single" w:sz="4" w:space="0" w:color="A6A6A6"/>
            </w:tcBorders>
            <w:hideMark/>
          </w:tcPr>
          <w:p w14:paraId="084E4606" w14:textId="77777777" w:rsidR="00CE75D4" w:rsidRPr="002029AF" w:rsidRDefault="00CE75D4" w:rsidP="008340C1">
            <w:pPr>
              <w:pStyle w:val="ARfintablebody"/>
              <w:spacing w:before="20" w:after="10"/>
            </w:pPr>
            <w:r>
              <w:t>O</w:t>
            </w:r>
            <w:r w:rsidRPr="002323B6">
              <w:t>utput appropriations</w:t>
            </w:r>
          </w:p>
        </w:tc>
        <w:tc>
          <w:tcPr>
            <w:tcW w:w="850" w:type="dxa"/>
            <w:tcBorders>
              <w:top w:val="single" w:sz="4" w:space="0" w:color="A6A6A6"/>
              <w:bottom w:val="single" w:sz="4" w:space="0" w:color="A6A6A6"/>
            </w:tcBorders>
            <w:noWrap/>
            <w:hideMark/>
          </w:tcPr>
          <w:p w14:paraId="3DE109FB"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7D48A5B1" w14:textId="77777777" w:rsidR="00CE75D4" w:rsidRPr="002029AF" w:rsidRDefault="00CE75D4" w:rsidP="008340C1">
            <w:pPr>
              <w:pStyle w:val="ARfintablebodyright"/>
              <w:spacing w:before="20" w:after="10"/>
            </w:pPr>
            <w:r w:rsidRPr="002323B6">
              <w:t>16,1</w:t>
            </w:r>
            <w:r>
              <w:t>45.8</w:t>
            </w:r>
          </w:p>
        </w:tc>
        <w:tc>
          <w:tcPr>
            <w:tcW w:w="1133" w:type="dxa"/>
            <w:tcBorders>
              <w:top w:val="single" w:sz="4" w:space="0" w:color="A6A6A6"/>
              <w:bottom w:val="single" w:sz="4" w:space="0" w:color="A6A6A6"/>
            </w:tcBorders>
            <w:noWrap/>
            <w:hideMark/>
          </w:tcPr>
          <w:p w14:paraId="67096A63" w14:textId="77777777" w:rsidR="00CE75D4" w:rsidRPr="002029AF" w:rsidRDefault="00CE75D4" w:rsidP="008340C1">
            <w:pPr>
              <w:pStyle w:val="ARfintablebodyright"/>
              <w:spacing w:before="20" w:after="10"/>
            </w:pPr>
            <w:r w:rsidRPr="002323B6">
              <w:t>21,503.2</w:t>
            </w:r>
          </w:p>
        </w:tc>
      </w:tr>
      <w:tr w:rsidR="00CE75D4" w:rsidRPr="002029AF" w14:paraId="2BAE28D1" w14:textId="77777777" w:rsidTr="008340C1">
        <w:trPr>
          <w:gridAfter w:val="1"/>
          <w:wAfter w:w="10" w:type="dxa"/>
        </w:trPr>
        <w:tc>
          <w:tcPr>
            <w:tcW w:w="6511" w:type="dxa"/>
            <w:tcBorders>
              <w:top w:val="single" w:sz="4" w:space="0" w:color="A6A6A6"/>
              <w:bottom w:val="single" w:sz="4" w:space="0" w:color="A6A6A6"/>
            </w:tcBorders>
            <w:hideMark/>
          </w:tcPr>
          <w:p w14:paraId="059A3B4C" w14:textId="77777777" w:rsidR="00CE75D4" w:rsidRPr="002029AF" w:rsidRDefault="00CE75D4" w:rsidP="008340C1">
            <w:pPr>
              <w:pStyle w:val="ARfintablebody"/>
              <w:spacing w:before="20" w:after="10"/>
            </w:pPr>
            <w:r>
              <w:t>S</w:t>
            </w:r>
            <w:r w:rsidRPr="002323B6">
              <w:t>pecial appropriations</w:t>
            </w:r>
          </w:p>
        </w:tc>
        <w:tc>
          <w:tcPr>
            <w:tcW w:w="850" w:type="dxa"/>
            <w:tcBorders>
              <w:top w:val="single" w:sz="4" w:space="0" w:color="A6A6A6"/>
              <w:bottom w:val="single" w:sz="4" w:space="0" w:color="A6A6A6"/>
            </w:tcBorders>
            <w:noWrap/>
            <w:hideMark/>
          </w:tcPr>
          <w:p w14:paraId="08E185A4"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4ED08C70" w14:textId="77777777" w:rsidR="00CE75D4" w:rsidRPr="002029AF" w:rsidRDefault="00CE75D4" w:rsidP="008340C1">
            <w:pPr>
              <w:pStyle w:val="ARfintablebodyright"/>
              <w:spacing w:before="20" w:after="10"/>
            </w:pPr>
            <w:r w:rsidRPr="002323B6">
              <w:t>1,8</w:t>
            </w:r>
            <w:r>
              <w:t>88.9</w:t>
            </w:r>
          </w:p>
        </w:tc>
        <w:tc>
          <w:tcPr>
            <w:tcW w:w="1133" w:type="dxa"/>
            <w:tcBorders>
              <w:top w:val="single" w:sz="4" w:space="0" w:color="A6A6A6"/>
              <w:bottom w:val="single" w:sz="4" w:space="0" w:color="A6A6A6"/>
            </w:tcBorders>
            <w:noWrap/>
            <w:hideMark/>
          </w:tcPr>
          <w:p w14:paraId="31A896CE" w14:textId="77777777" w:rsidR="00CE75D4" w:rsidRPr="002029AF" w:rsidRDefault="00CE75D4" w:rsidP="008340C1">
            <w:pPr>
              <w:pStyle w:val="ARfintablebodyright"/>
              <w:spacing w:before="20" w:after="10"/>
            </w:pPr>
            <w:r w:rsidRPr="002323B6">
              <w:t>1,098.9</w:t>
            </w:r>
          </w:p>
        </w:tc>
      </w:tr>
      <w:tr w:rsidR="00CE75D4" w:rsidRPr="002029AF" w14:paraId="027B457A" w14:textId="77777777" w:rsidTr="008340C1">
        <w:trPr>
          <w:gridAfter w:val="1"/>
          <w:wAfter w:w="10" w:type="dxa"/>
        </w:trPr>
        <w:tc>
          <w:tcPr>
            <w:tcW w:w="6511" w:type="dxa"/>
            <w:tcBorders>
              <w:top w:val="single" w:sz="4" w:space="0" w:color="A6A6A6"/>
              <w:bottom w:val="single" w:sz="4" w:space="0" w:color="A6A6A6"/>
            </w:tcBorders>
            <w:hideMark/>
          </w:tcPr>
          <w:p w14:paraId="53609472" w14:textId="77777777" w:rsidR="00CE75D4" w:rsidRPr="002029AF" w:rsidRDefault="00CE75D4" w:rsidP="008340C1">
            <w:pPr>
              <w:pStyle w:val="ARfintablebody"/>
              <w:spacing w:before="20" w:after="10"/>
            </w:pPr>
            <w:r>
              <w:t>F</w:t>
            </w:r>
            <w:r w:rsidRPr="002323B6">
              <w:t>unds from other authorities</w:t>
            </w:r>
          </w:p>
        </w:tc>
        <w:tc>
          <w:tcPr>
            <w:tcW w:w="850" w:type="dxa"/>
            <w:tcBorders>
              <w:top w:val="single" w:sz="4" w:space="0" w:color="A6A6A6"/>
              <w:bottom w:val="single" w:sz="4" w:space="0" w:color="A6A6A6"/>
            </w:tcBorders>
            <w:noWrap/>
            <w:hideMark/>
          </w:tcPr>
          <w:p w14:paraId="3B2BADEF"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15BC7F78" w14:textId="77777777" w:rsidR="00CE75D4" w:rsidRPr="002029AF" w:rsidRDefault="00CE75D4" w:rsidP="008340C1">
            <w:pPr>
              <w:pStyle w:val="ARfintablebodyright"/>
              <w:spacing w:before="20" w:after="10"/>
            </w:pPr>
            <w:r w:rsidRPr="002323B6">
              <w:t>3,124.1</w:t>
            </w:r>
          </w:p>
        </w:tc>
        <w:tc>
          <w:tcPr>
            <w:tcW w:w="1133" w:type="dxa"/>
            <w:tcBorders>
              <w:top w:val="single" w:sz="4" w:space="0" w:color="A6A6A6"/>
              <w:bottom w:val="single" w:sz="4" w:space="0" w:color="A6A6A6"/>
            </w:tcBorders>
            <w:noWrap/>
            <w:hideMark/>
          </w:tcPr>
          <w:p w14:paraId="7B72E9AB" w14:textId="77777777" w:rsidR="00CE75D4" w:rsidRPr="002029AF" w:rsidRDefault="00CE75D4" w:rsidP="008340C1">
            <w:pPr>
              <w:pStyle w:val="ARfintablebodyright"/>
              <w:spacing w:before="20" w:after="10"/>
            </w:pPr>
            <w:r w:rsidRPr="002323B6">
              <w:t>2,673.6</w:t>
            </w:r>
          </w:p>
        </w:tc>
      </w:tr>
      <w:tr w:rsidR="00CE75D4" w:rsidRPr="002029AF" w14:paraId="37AC7076" w14:textId="77777777" w:rsidTr="008340C1">
        <w:trPr>
          <w:gridAfter w:val="1"/>
          <w:wAfter w:w="10" w:type="dxa"/>
        </w:trPr>
        <w:tc>
          <w:tcPr>
            <w:tcW w:w="6511" w:type="dxa"/>
            <w:tcBorders>
              <w:top w:val="single" w:sz="4" w:space="0" w:color="A6A6A6"/>
              <w:bottom w:val="single" w:sz="4" w:space="0" w:color="A6A6A6"/>
            </w:tcBorders>
            <w:hideMark/>
          </w:tcPr>
          <w:p w14:paraId="4E2512A4" w14:textId="77777777" w:rsidR="00CE75D4" w:rsidRPr="002029AF" w:rsidRDefault="00CE75D4" w:rsidP="008340C1">
            <w:pPr>
              <w:pStyle w:val="ARfintablebody"/>
              <w:spacing w:before="20" w:after="10"/>
            </w:pPr>
            <w:r w:rsidRPr="002323B6">
              <w:t>Rent received</w:t>
            </w:r>
          </w:p>
        </w:tc>
        <w:tc>
          <w:tcPr>
            <w:tcW w:w="850" w:type="dxa"/>
            <w:tcBorders>
              <w:top w:val="single" w:sz="4" w:space="0" w:color="A6A6A6"/>
              <w:bottom w:val="single" w:sz="4" w:space="0" w:color="A6A6A6"/>
            </w:tcBorders>
            <w:noWrap/>
            <w:hideMark/>
          </w:tcPr>
          <w:p w14:paraId="7F48F5B1"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2D068F86" w14:textId="77777777" w:rsidR="00CE75D4" w:rsidRPr="002029AF" w:rsidRDefault="00CE75D4" w:rsidP="008340C1">
            <w:pPr>
              <w:pStyle w:val="ARfintablebodyright"/>
              <w:spacing w:before="20" w:after="10"/>
            </w:pPr>
            <w:r>
              <w:t>–</w:t>
            </w:r>
          </w:p>
        </w:tc>
        <w:tc>
          <w:tcPr>
            <w:tcW w:w="1133" w:type="dxa"/>
            <w:tcBorders>
              <w:top w:val="single" w:sz="4" w:space="0" w:color="A6A6A6"/>
              <w:bottom w:val="single" w:sz="4" w:space="0" w:color="A6A6A6"/>
            </w:tcBorders>
            <w:noWrap/>
            <w:hideMark/>
          </w:tcPr>
          <w:p w14:paraId="6FBCC3B2" w14:textId="77777777" w:rsidR="00CE75D4" w:rsidRPr="002029AF" w:rsidRDefault="00CE75D4" w:rsidP="008340C1">
            <w:pPr>
              <w:pStyle w:val="ARfintablebodyright"/>
              <w:spacing w:before="20" w:after="10"/>
            </w:pPr>
            <w:r w:rsidRPr="002323B6">
              <w:t>476.0</w:t>
            </w:r>
          </w:p>
        </w:tc>
      </w:tr>
      <w:tr w:rsidR="00CE75D4" w:rsidRPr="002029AF" w14:paraId="585760C2" w14:textId="77777777" w:rsidTr="008340C1">
        <w:trPr>
          <w:gridAfter w:val="1"/>
          <w:wAfter w:w="10" w:type="dxa"/>
        </w:trPr>
        <w:tc>
          <w:tcPr>
            <w:tcW w:w="6511" w:type="dxa"/>
            <w:tcBorders>
              <w:top w:val="single" w:sz="4" w:space="0" w:color="A6A6A6"/>
              <w:bottom w:val="single" w:sz="4" w:space="0" w:color="A6A6A6"/>
            </w:tcBorders>
            <w:hideMark/>
          </w:tcPr>
          <w:p w14:paraId="6D632ED0" w14:textId="77777777" w:rsidR="00CE75D4" w:rsidRPr="002029AF" w:rsidRDefault="00CE75D4" w:rsidP="008340C1">
            <w:pPr>
              <w:pStyle w:val="ARfintablebody"/>
              <w:spacing w:before="20" w:after="10"/>
            </w:pPr>
            <w:r w:rsidRPr="002323B6">
              <w:t>User charges received – rental properties</w:t>
            </w:r>
          </w:p>
        </w:tc>
        <w:tc>
          <w:tcPr>
            <w:tcW w:w="850" w:type="dxa"/>
            <w:tcBorders>
              <w:top w:val="single" w:sz="4" w:space="0" w:color="A6A6A6"/>
              <w:bottom w:val="single" w:sz="4" w:space="0" w:color="A6A6A6"/>
            </w:tcBorders>
            <w:noWrap/>
            <w:hideMark/>
          </w:tcPr>
          <w:p w14:paraId="1107DA80"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75561A6B" w14:textId="77777777" w:rsidR="00CE75D4" w:rsidRPr="002029AF" w:rsidRDefault="00CE75D4" w:rsidP="008340C1">
            <w:pPr>
              <w:pStyle w:val="ARfintablebodyright"/>
              <w:spacing w:before="20" w:after="10"/>
            </w:pPr>
            <w:r>
              <w:t>–</w:t>
            </w:r>
          </w:p>
        </w:tc>
        <w:tc>
          <w:tcPr>
            <w:tcW w:w="1133" w:type="dxa"/>
            <w:tcBorders>
              <w:top w:val="single" w:sz="4" w:space="0" w:color="A6A6A6"/>
              <w:bottom w:val="single" w:sz="4" w:space="0" w:color="A6A6A6"/>
            </w:tcBorders>
            <w:noWrap/>
            <w:hideMark/>
          </w:tcPr>
          <w:p w14:paraId="03406460" w14:textId="77777777" w:rsidR="00CE75D4" w:rsidRPr="002029AF" w:rsidRDefault="00CE75D4" w:rsidP="008340C1">
            <w:pPr>
              <w:pStyle w:val="ARfintablebodyright"/>
              <w:spacing w:before="20" w:after="10"/>
            </w:pPr>
            <w:r w:rsidRPr="002323B6">
              <w:t>4.5</w:t>
            </w:r>
          </w:p>
        </w:tc>
      </w:tr>
      <w:tr w:rsidR="00CE75D4" w:rsidRPr="002029AF" w14:paraId="3CF23C8D" w14:textId="77777777" w:rsidTr="008340C1">
        <w:trPr>
          <w:gridAfter w:val="1"/>
          <w:wAfter w:w="10" w:type="dxa"/>
        </w:trPr>
        <w:tc>
          <w:tcPr>
            <w:tcW w:w="6511" w:type="dxa"/>
            <w:tcBorders>
              <w:top w:val="single" w:sz="4" w:space="0" w:color="A6A6A6"/>
              <w:bottom w:val="single" w:sz="4" w:space="0" w:color="A6A6A6"/>
            </w:tcBorders>
            <w:hideMark/>
          </w:tcPr>
          <w:p w14:paraId="2B27E0ED" w14:textId="77777777" w:rsidR="00CE75D4" w:rsidRPr="002029AF" w:rsidRDefault="00CE75D4" w:rsidP="008340C1">
            <w:pPr>
              <w:pStyle w:val="ARfintablebody"/>
              <w:spacing w:before="20" w:after="10"/>
            </w:pPr>
            <w:r w:rsidRPr="002323B6">
              <w:t>Interest received</w:t>
            </w:r>
          </w:p>
        </w:tc>
        <w:tc>
          <w:tcPr>
            <w:tcW w:w="850" w:type="dxa"/>
            <w:tcBorders>
              <w:top w:val="single" w:sz="4" w:space="0" w:color="A6A6A6"/>
              <w:bottom w:val="single" w:sz="4" w:space="0" w:color="A6A6A6"/>
            </w:tcBorders>
            <w:noWrap/>
            <w:hideMark/>
          </w:tcPr>
          <w:p w14:paraId="33ECA489"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1870FDB4" w14:textId="77777777" w:rsidR="00CE75D4" w:rsidRPr="002029AF" w:rsidRDefault="00CE75D4" w:rsidP="008340C1">
            <w:pPr>
              <w:pStyle w:val="ARfintablebodyright"/>
              <w:spacing w:before="20" w:after="10"/>
            </w:pPr>
            <w:r>
              <w:t>–</w:t>
            </w:r>
          </w:p>
        </w:tc>
        <w:tc>
          <w:tcPr>
            <w:tcW w:w="1133" w:type="dxa"/>
            <w:tcBorders>
              <w:top w:val="single" w:sz="4" w:space="0" w:color="A6A6A6"/>
              <w:bottom w:val="single" w:sz="4" w:space="0" w:color="A6A6A6"/>
            </w:tcBorders>
            <w:noWrap/>
            <w:hideMark/>
          </w:tcPr>
          <w:p w14:paraId="41C1A560" w14:textId="77777777" w:rsidR="00CE75D4" w:rsidRPr="002029AF" w:rsidRDefault="00CE75D4" w:rsidP="008340C1">
            <w:pPr>
              <w:pStyle w:val="ARfintablebodyright"/>
              <w:spacing w:before="20" w:after="10"/>
            </w:pPr>
            <w:r w:rsidRPr="002323B6">
              <w:t>2.6</w:t>
            </w:r>
          </w:p>
        </w:tc>
      </w:tr>
      <w:tr w:rsidR="00CE75D4" w:rsidRPr="002029AF" w14:paraId="2B9C6AE6" w14:textId="77777777" w:rsidTr="008340C1">
        <w:trPr>
          <w:gridAfter w:val="1"/>
          <w:wAfter w:w="10" w:type="dxa"/>
        </w:trPr>
        <w:tc>
          <w:tcPr>
            <w:tcW w:w="6511" w:type="dxa"/>
            <w:tcBorders>
              <w:top w:val="single" w:sz="4" w:space="0" w:color="A6A6A6"/>
              <w:bottom w:val="single" w:sz="4" w:space="0" w:color="A6A6A6"/>
            </w:tcBorders>
            <w:hideMark/>
          </w:tcPr>
          <w:p w14:paraId="3409BD8C" w14:textId="77777777" w:rsidR="00CE75D4" w:rsidRPr="002029AF" w:rsidRDefault="00CE75D4" w:rsidP="008340C1">
            <w:pPr>
              <w:pStyle w:val="ARfintablebody"/>
              <w:spacing w:before="20" w:after="10"/>
            </w:pPr>
            <w:r w:rsidRPr="002323B6">
              <w:t>Other receipts</w:t>
            </w:r>
          </w:p>
        </w:tc>
        <w:tc>
          <w:tcPr>
            <w:tcW w:w="850" w:type="dxa"/>
            <w:tcBorders>
              <w:top w:val="single" w:sz="4" w:space="0" w:color="A6A6A6"/>
              <w:bottom w:val="single" w:sz="4" w:space="0" w:color="A6A6A6"/>
            </w:tcBorders>
            <w:noWrap/>
            <w:hideMark/>
          </w:tcPr>
          <w:p w14:paraId="74B972E8"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097A2053" w14:textId="77777777" w:rsidR="00CE75D4" w:rsidRPr="002029AF" w:rsidRDefault="00CE75D4" w:rsidP="008340C1">
            <w:pPr>
              <w:pStyle w:val="ARfintablebodyright"/>
              <w:spacing w:before="20" w:after="10"/>
            </w:pPr>
            <w:r w:rsidRPr="002323B6">
              <w:t>93.5</w:t>
            </w:r>
          </w:p>
        </w:tc>
        <w:tc>
          <w:tcPr>
            <w:tcW w:w="1133" w:type="dxa"/>
            <w:tcBorders>
              <w:top w:val="single" w:sz="4" w:space="0" w:color="A6A6A6"/>
              <w:bottom w:val="single" w:sz="4" w:space="0" w:color="A6A6A6"/>
            </w:tcBorders>
            <w:noWrap/>
            <w:hideMark/>
          </w:tcPr>
          <w:p w14:paraId="2D36D52A" w14:textId="77777777" w:rsidR="00CE75D4" w:rsidRPr="002029AF" w:rsidRDefault="00CE75D4" w:rsidP="008340C1">
            <w:pPr>
              <w:pStyle w:val="ARfintablebodyright"/>
              <w:spacing w:before="20" w:after="10"/>
            </w:pPr>
            <w:r w:rsidRPr="002323B6">
              <w:t>19.2</w:t>
            </w:r>
          </w:p>
        </w:tc>
      </w:tr>
      <w:tr w:rsidR="00CE75D4" w:rsidRPr="002029AF" w14:paraId="04BB971D" w14:textId="77777777" w:rsidTr="008340C1">
        <w:trPr>
          <w:gridAfter w:val="1"/>
          <w:wAfter w:w="10" w:type="dxa"/>
        </w:trPr>
        <w:tc>
          <w:tcPr>
            <w:tcW w:w="6511" w:type="dxa"/>
            <w:tcBorders>
              <w:top w:val="single" w:sz="4" w:space="0" w:color="A6A6A6"/>
            </w:tcBorders>
            <w:hideMark/>
          </w:tcPr>
          <w:p w14:paraId="2ABDCDB3" w14:textId="77777777" w:rsidR="00CE75D4" w:rsidRPr="002029AF" w:rsidRDefault="00CE75D4" w:rsidP="008340C1">
            <w:pPr>
              <w:pStyle w:val="ARfintablebody"/>
              <w:spacing w:before="20" w:after="10"/>
            </w:pPr>
            <w:r w:rsidRPr="002323B6">
              <w:t xml:space="preserve">GST recovered from Australian Taxation Office </w:t>
            </w:r>
            <w:r w:rsidRPr="00F927FA">
              <w:rPr>
                <w:rStyle w:val="Superscript"/>
              </w:rPr>
              <w:t>(ii)</w:t>
            </w:r>
          </w:p>
        </w:tc>
        <w:tc>
          <w:tcPr>
            <w:tcW w:w="850" w:type="dxa"/>
            <w:tcBorders>
              <w:top w:val="single" w:sz="4" w:space="0" w:color="A6A6A6"/>
            </w:tcBorders>
            <w:noWrap/>
            <w:hideMark/>
          </w:tcPr>
          <w:p w14:paraId="4E892531" w14:textId="77777777" w:rsidR="00CE75D4" w:rsidRPr="002029AF" w:rsidRDefault="00CE75D4" w:rsidP="008340C1">
            <w:pPr>
              <w:pStyle w:val="ARfintablebodyright"/>
              <w:spacing w:before="20" w:after="10"/>
            </w:pPr>
          </w:p>
        </w:tc>
        <w:tc>
          <w:tcPr>
            <w:tcW w:w="1133" w:type="dxa"/>
            <w:tcBorders>
              <w:top w:val="single" w:sz="4" w:space="0" w:color="A6A6A6"/>
            </w:tcBorders>
            <w:shd w:val="clear" w:color="auto" w:fill="E7E6E6"/>
            <w:noWrap/>
            <w:hideMark/>
          </w:tcPr>
          <w:p w14:paraId="7E64A87B" w14:textId="77777777" w:rsidR="00CE75D4" w:rsidRPr="002029AF" w:rsidRDefault="00CE75D4" w:rsidP="008340C1">
            <w:pPr>
              <w:pStyle w:val="ARfintablebodyright"/>
              <w:spacing w:before="20" w:after="10"/>
            </w:pPr>
            <w:r w:rsidRPr="002323B6">
              <w:t>599.8</w:t>
            </w:r>
          </w:p>
        </w:tc>
        <w:tc>
          <w:tcPr>
            <w:tcW w:w="1133" w:type="dxa"/>
            <w:tcBorders>
              <w:top w:val="single" w:sz="4" w:space="0" w:color="A6A6A6"/>
            </w:tcBorders>
            <w:noWrap/>
            <w:hideMark/>
          </w:tcPr>
          <w:p w14:paraId="76A07529" w14:textId="77777777" w:rsidR="00CE75D4" w:rsidRPr="002029AF" w:rsidRDefault="00CE75D4" w:rsidP="008340C1">
            <w:pPr>
              <w:pStyle w:val="ARfintablebodyright"/>
              <w:spacing w:before="20" w:after="10"/>
            </w:pPr>
            <w:r w:rsidRPr="002323B6">
              <w:t>733.3</w:t>
            </w:r>
          </w:p>
        </w:tc>
      </w:tr>
      <w:tr w:rsidR="00CE75D4" w:rsidRPr="002029AF" w14:paraId="41C9A83B" w14:textId="77777777" w:rsidTr="008340C1">
        <w:trPr>
          <w:gridAfter w:val="1"/>
          <w:wAfter w:w="10" w:type="dxa"/>
        </w:trPr>
        <w:tc>
          <w:tcPr>
            <w:tcW w:w="6511" w:type="dxa"/>
            <w:tcBorders>
              <w:bottom w:val="single" w:sz="4" w:space="0" w:color="auto"/>
            </w:tcBorders>
            <w:hideMark/>
          </w:tcPr>
          <w:p w14:paraId="2BA0F8B2" w14:textId="77777777" w:rsidR="00CE75D4" w:rsidRPr="002029AF" w:rsidRDefault="00CE75D4" w:rsidP="008340C1">
            <w:pPr>
              <w:pStyle w:val="ARfintablebodybold"/>
              <w:spacing w:before="20" w:after="10"/>
            </w:pPr>
            <w:r w:rsidRPr="002323B6">
              <w:t>Total receipts</w:t>
            </w:r>
          </w:p>
        </w:tc>
        <w:tc>
          <w:tcPr>
            <w:tcW w:w="850" w:type="dxa"/>
            <w:tcBorders>
              <w:bottom w:val="single" w:sz="4" w:space="0" w:color="auto"/>
            </w:tcBorders>
            <w:hideMark/>
          </w:tcPr>
          <w:p w14:paraId="5971913D" w14:textId="77777777" w:rsidR="00CE75D4" w:rsidRPr="002029AF" w:rsidRDefault="00CE75D4" w:rsidP="008340C1">
            <w:pPr>
              <w:pStyle w:val="ARfintablebodyrightbold"/>
              <w:spacing w:before="20" w:after="10"/>
            </w:pPr>
          </w:p>
        </w:tc>
        <w:tc>
          <w:tcPr>
            <w:tcW w:w="1133" w:type="dxa"/>
            <w:tcBorders>
              <w:bottom w:val="single" w:sz="4" w:space="0" w:color="auto"/>
            </w:tcBorders>
            <w:shd w:val="clear" w:color="auto" w:fill="E7E6E6"/>
            <w:noWrap/>
            <w:hideMark/>
          </w:tcPr>
          <w:p w14:paraId="74DDC36C" w14:textId="77777777" w:rsidR="00CE75D4" w:rsidRPr="002029AF" w:rsidRDefault="00CE75D4" w:rsidP="008340C1">
            <w:pPr>
              <w:pStyle w:val="ARfintablebodyrightbold"/>
              <w:spacing w:before="20" w:after="10"/>
            </w:pPr>
            <w:r w:rsidRPr="002323B6">
              <w:t>21,852.1</w:t>
            </w:r>
          </w:p>
        </w:tc>
        <w:tc>
          <w:tcPr>
            <w:tcW w:w="1133" w:type="dxa"/>
            <w:tcBorders>
              <w:bottom w:val="single" w:sz="4" w:space="0" w:color="auto"/>
            </w:tcBorders>
            <w:noWrap/>
            <w:hideMark/>
          </w:tcPr>
          <w:p w14:paraId="7A9F0682" w14:textId="77777777" w:rsidR="00CE75D4" w:rsidRPr="002029AF" w:rsidRDefault="00CE75D4" w:rsidP="008340C1">
            <w:pPr>
              <w:pStyle w:val="ARfintablebodyrightbold"/>
              <w:spacing w:before="20" w:after="10"/>
            </w:pPr>
            <w:r w:rsidRPr="002323B6">
              <w:t>26,511.4</w:t>
            </w:r>
          </w:p>
        </w:tc>
      </w:tr>
      <w:tr w:rsidR="00CE75D4" w:rsidRPr="002029AF" w14:paraId="09EF0BDD" w14:textId="77777777" w:rsidTr="008340C1">
        <w:trPr>
          <w:gridAfter w:val="1"/>
          <w:wAfter w:w="10" w:type="dxa"/>
        </w:trPr>
        <w:tc>
          <w:tcPr>
            <w:tcW w:w="9627" w:type="dxa"/>
            <w:gridSpan w:val="4"/>
            <w:tcBorders>
              <w:top w:val="single" w:sz="4" w:space="0" w:color="auto"/>
              <w:bottom w:val="single" w:sz="4" w:space="0" w:color="A6A6A6"/>
            </w:tcBorders>
            <w:hideMark/>
          </w:tcPr>
          <w:p w14:paraId="7047B4C6" w14:textId="77777777" w:rsidR="00CE75D4" w:rsidRPr="002029AF" w:rsidRDefault="00CE75D4" w:rsidP="008340C1">
            <w:pPr>
              <w:pStyle w:val="ARfintablebodybold"/>
              <w:spacing w:before="20" w:after="10"/>
            </w:pPr>
            <w:r w:rsidRPr="002323B6">
              <w:t>Payments</w:t>
            </w:r>
          </w:p>
        </w:tc>
      </w:tr>
      <w:tr w:rsidR="00CE75D4" w:rsidRPr="002029AF" w14:paraId="19DDF6D1" w14:textId="77777777" w:rsidTr="008340C1">
        <w:trPr>
          <w:gridAfter w:val="1"/>
          <w:wAfter w:w="10" w:type="dxa"/>
        </w:trPr>
        <w:tc>
          <w:tcPr>
            <w:tcW w:w="6511" w:type="dxa"/>
            <w:tcBorders>
              <w:top w:val="single" w:sz="4" w:space="0" w:color="A6A6A6"/>
              <w:bottom w:val="single" w:sz="4" w:space="0" w:color="A6A6A6"/>
            </w:tcBorders>
            <w:hideMark/>
          </w:tcPr>
          <w:p w14:paraId="32A6E165" w14:textId="77777777" w:rsidR="00CE75D4" w:rsidRPr="002029AF" w:rsidRDefault="00CE75D4" w:rsidP="008340C1">
            <w:pPr>
              <w:pStyle w:val="ARfintablebody"/>
              <w:spacing w:before="20" w:after="10"/>
            </w:pPr>
            <w:r>
              <w:t>G</w:t>
            </w:r>
            <w:r w:rsidRPr="002323B6">
              <w:t>rants and other expense transfers</w:t>
            </w:r>
          </w:p>
        </w:tc>
        <w:tc>
          <w:tcPr>
            <w:tcW w:w="850" w:type="dxa"/>
            <w:tcBorders>
              <w:top w:val="single" w:sz="4" w:space="0" w:color="A6A6A6"/>
              <w:bottom w:val="single" w:sz="4" w:space="0" w:color="A6A6A6"/>
            </w:tcBorders>
            <w:noWrap/>
            <w:hideMark/>
          </w:tcPr>
          <w:p w14:paraId="4721BDCD"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747B40B4" w14:textId="77777777" w:rsidR="00CE75D4" w:rsidRPr="002029AF" w:rsidRDefault="00CE75D4" w:rsidP="008340C1">
            <w:pPr>
              <w:pStyle w:val="ARfintablebodyright"/>
              <w:spacing w:before="20" w:after="10"/>
            </w:pPr>
            <w:r w:rsidRPr="002323B6">
              <w:t>(18,303.5)</w:t>
            </w:r>
          </w:p>
        </w:tc>
        <w:tc>
          <w:tcPr>
            <w:tcW w:w="1133" w:type="dxa"/>
            <w:tcBorders>
              <w:top w:val="single" w:sz="4" w:space="0" w:color="A6A6A6"/>
              <w:bottom w:val="single" w:sz="4" w:space="0" w:color="A6A6A6"/>
            </w:tcBorders>
            <w:noWrap/>
            <w:hideMark/>
          </w:tcPr>
          <w:p w14:paraId="376E346C" w14:textId="77777777" w:rsidR="00CE75D4" w:rsidRPr="002029AF" w:rsidRDefault="00CE75D4" w:rsidP="008340C1">
            <w:pPr>
              <w:pStyle w:val="ARfintablebodyright"/>
              <w:spacing w:before="20" w:after="10"/>
            </w:pPr>
            <w:r w:rsidRPr="002323B6">
              <w:t>(20,111.6)</w:t>
            </w:r>
          </w:p>
        </w:tc>
      </w:tr>
      <w:tr w:rsidR="00CE75D4" w:rsidRPr="002029AF" w14:paraId="7208C752" w14:textId="77777777" w:rsidTr="008340C1">
        <w:trPr>
          <w:gridAfter w:val="1"/>
          <w:wAfter w:w="10" w:type="dxa"/>
        </w:trPr>
        <w:tc>
          <w:tcPr>
            <w:tcW w:w="6511" w:type="dxa"/>
            <w:tcBorders>
              <w:top w:val="single" w:sz="4" w:space="0" w:color="A6A6A6"/>
              <w:bottom w:val="single" w:sz="4" w:space="0" w:color="A6A6A6"/>
            </w:tcBorders>
            <w:hideMark/>
          </w:tcPr>
          <w:p w14:paraId="735272C2" w14:textId="77777777" w:rsidR="00CE75D4" w:rsidRPr="002029AF" w:rsidRDefault="00CE75D4" w:rsidP="008340C1">
            <w:pPr>
              <w:pStyle w:val="ARfintablebody"/>
              <w:spacing w:before="20" w:after="10"/>
            </w:pPr>
            <w:r>
              <w:t>E</w:t>
            </w:r>
            <w:r w:rsidRPr="002323B6">
              <w:t>mployee benefits</w:t>
            </w:r>
          </w:p>
        </w:tc>
        <w:tc>
          <w:tcPr>
            <w:tcW w:w="850" w:type="dxa"/>
            <w:tcBorders>
              <w:top w:val="single" w:sz="4" w:space="0" w:color="A6A6A6"/>
              <w:bottom w:val="single" w:sz="4" w:space="0" w:color="A6A6A6"/>
            </w:tcBorders>
            <w:noWrap/>
            <w:hideMark/>
          </w:tcPr>
          <w:p w14:paraId="3D097D94"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30236F68" w14:textId="77777777" w:rsidR="00CE75D4" w:rsidRPr="002029AF" w:rsidRDefault="00CE75D4" w:rsidP="008340C1">
            <w:pPr>
              <w:pStyle w:val="ARfintablebodyright"/>
              <w:spacing w:before="20" w:after="10"/>
            </w:pPr>
            <w:r w:rsidRPr="002323B6">
              <w:t>(727.7)</w:t>
            </w:r>
          </w:p>
        </w:tc>
        <w:tc>
          <w:tcPr>
            <w:tcW w:w="1133" w:type="dxa"/>
            <w:tcBorders>
              <w:top w:val="single" w:sz="4" w:space="0" w:color="A6A6A6"/>
              <w:bottom w:val="single" w:sz="4" w:space="0" w:color="A6A6A6"/>
            </w:tcBorders>
            <w:noWrap/>
            <w:hideMark/>
          </w:tcPr>
          <w:p w14:paraId="5A75BE0C" w14:textId="77777777" w:rsidR="00CE75D4" w:rsidRPr="002029AF" w:rsidRDefault="00CE75D4" w:rsidP="008340C1">
            <w:pPr>
              <w:pStyle w:val="ARfintablebodyright"/>
              <w:spacing w:before="20" w:after="10"/>
            </w:pPr>
            <w:r w:rsidRPr="002323B6">
              <w:t>(1,441.9)</w:t>
            </w:r>
          </w:p>
        </w:tc>
      </w:tr>
      <w:tr w:rsidR="00CE75D4" w:rsidRPr="002029AF" w14:paraId="2C1D705A" w14:textId="77777777" w:rsidTr="008340C1">
        <w:trPr>
          <w:gridAfter w:val="1"/>
          <w:wAfter w:w="10" w:type="dxa"/>
        </w:trPr>
        <w:tc>
          <w:tcPr>
            <w:tcW w:w="6511" w:type="dxa"/>
            <w:tcBorders>
              <w:top w:val="single" w:sz="4" w:space="0" w:color="A6A6A6"/>
              <w:bottom w:val="single" w:sz="4" w:space="0" w:color="A6A6A6"/>
            </w:tcBorders>
            <w:hideMark/>
          </w:tcPr>
          <w:p w14:paraId="55D38362" w14:textId="77777777" w:rsidR="00CE75D4" w:rsidRPr="002029AF" w:rsidRDefault="00CE75D4" w:rsidP="008340C1">
            <w:pPr>
              <w:pStyle w:val="ARfintablebody"/>
              <w:spacing w:before="20" w:after="10"/>
            </w:pPr>
            <w:r>
              <w:t>S</w:t>
            </w:r>
            <w:r w:rsidRPr="002323B6">
              <w:t>upplies and services</w:t>
            </w:r>
          </w:p>
        </w:tc>
        <w:tc>
          <w:tcPr>
            <w:tcW w:w="850" w:type="dxa"/>
            <w:tcBorders>
              <w:top w:val="single" w:sz="4" w:space="0" w:color="A6A6A6"/>
              <w:bottom w:val="single" w:sz="4" w:space="0" w:color="A6A6A6"/>
            </w:tcBorders>
            <w:noWrap/>
            <w:hideMark/>
          </w:tcPr>
          <w:p w14:paraId="2E642457"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52D2D9FF" w14:textId="77777777" w:rsidR="00CE75D4" w:rsidRPr="002029AF" w:rsidRDefault="00CE75D4" w:rsidP="008340C1">
            <w:pPr>
              <w:pStyle w:val="ARfintablebodyright"/>
              <w:spacing w:before="20" w:after="10"/>
            </w:pPr>
            <w:r w:rsidRPr="002323B6">
              <w:t>(2,745.6)</w:t>
            </w:r>
          </w:p>
        </w:tc>
        <w:tc>
          <w:tcPr>
            <w:tcW w:w="1133" w:type="dxa"/>
            <w:tcBorders>
              <w:top w:val="single" w:sz="4" w:space="0" w:color="A6A6A6"/>
              <w:bottom w:val="single" w:sz="4" w:space="0" w:color="A6A6A6"/>
            </w:tcBorders>
            <w:noWrap/>
            <w:hideMark/>
          </w:tcPr>
          <w:p w14:paraId="7E01F4E8" w14:textId="77777777" w:rsidR="00CE75D4" w:rsidRPr="002029AF" w:rsidRDefault="00CE75D4" w:rsidP="008340C1">
            <w:pPr>
              <w:pStyle w:val="ARfintablebodyright"/>
              <w:spacing w:before="20" w:after="10"/>
            </w:pPr>
            <w:r w:rsidRPr="002323B6">
              <w:t>(2,028.0)</w:t>
            </w:r>
          </w:p>
        </w:tc>
      </w:tr>
      <w:tr w:rsidR="00CE75D4" w:rsidRPr="002029AF" w14:paraId="0141FD45" w14:textId="77777777" w:rsidTr="008340C1">
        <w:trPr>
          <w:gridAfter w:val="1"/>
          <w:wAfter w:w="10" w:type="dxa"/>
        </w:trPr>
        <w:tc>
          <w:tcPr>
            <w:tcW w:w="6511" w:type="dxa"/>
            <w:tcBorders>
              <w:top w:val="single" w:sz="4" w:space="0" w:color="A6A6A6"/>
              <w:bottom w:val="single" w:sz="4" w:space="0" w:color="A6A6A6"/>
            </w:tcBorders>
            <w:hideMark/>
          </w:tcPr>
          <w:p w14:paraId="006C0125" w14:textId="77777777" w:rsidR="00CE75D4" w:rsidRPr="002029AF" w:rsidRDefault="00CE75D4" w:rsidP="008340C1">
            <w:pPr>
              <w:pStyle w:val="ARfintablebody"/>
              <w:spacing w:before="20" w:after="10"/>
            </w:pPr>
            <w:r w:rsidRPr="002323B6">
              <w:t>Interest and other costs of finance paid</w:t>
            </w:r>
          </w:p>
        </w:tc>
        <w:tc>
          <w:tcPr>
            <w:tcW w:w="850" w:type="dxa"/>
            <w:tcBorders>
              <w:top w:val="single" w:sz="4" w:space="0" w:color="A6A6A6"/>
              <w:bottom w:val="single" w:sz="4" w:space="0" w:color="A6A6A6"/>
            </w:tcBorders>
            <w:noWrap/>
            <w:hideMark/>
          </w:tcPr>
          <w:p w14:paraId="4A7490C1"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74E20B50" w14:textId="77777777" w:rsidR="00CE75D4" w:rsidRPr="002029AF" w:rsidRDefault="00CE75D4" w:rsidP="008340C1">
            <w:pPr>
              <w:pStyle w:val="ARfintablebodyright"/>
              <w:spacing w:before="20" w:after="10"/>
            </w:pPr>
            <w:r w:rsidRPr="002323B6">
              <w:t>(14.4)</w:t>
            </w:r>
          </w:p>
        </w:tc>
        <w:tc>
          <w:tcPr>
            <w:tcW w:w="1133" w:type="dxa"/>
            <w:tcBorders>
              <w:top w:val="single" w:sz="4" w:space="0" w:color="A6A6A6"/>
              <w:bottom w:val="single" w:sz="4" w:space="0" w:color="A6A6A6"/>
            </w:tcBorders>
            <w:noWrap/>
            <w:hideMark/>
          </w:tcPr>
          <w:p w14:paraId="1ED8E125" w14:textId="77777777" w:rsidR="00CE75D4" w:rsidRPr="002029AF" w:rsidRDefault="00CE75D4" w:rsidP="008340C1">
            <w:pPr>
              <w:pStyle w:val="ARfintablebodyright"/>
              <w:spacing w:before="20" w:after="10"/>
            </w:pPr>
            <w:r w:rsidRPr="002323B6">
              <w:t>(5.9)</w:t>
            </w:r>
          </w:p>
        </w:tc>
      </w:tr>
      <w:tr w:rsidR="00CE75D4" w:rsidRPr="002029AF" w14:paraId="6072BF26" w14:textId="77777777" w:rsidTr="008340C1">
        <w:trPr>
          <w:gridAfter w:val="1"/>
          <w:wAfter w:w="10" w:type="dxa"/>
        </w:trPr>
        <w:tc>
          <w:tcPr>
            <w:tcW w:w="6511" w:type="dxa"/>
            <w:tcBorders>
              <w:top w:val="single" w:sz="4" w:space="0" w:color="A6A6A6"/>
              <w:bottom w:val="single" w:sz="4" w:space="0" w:color="A6A6A6"/>
            </w:tcBorders>
            <w:hideMark/>
          </w:tcPr>
          <w:p w14:paraId="5B9DF5B7" w14:textId="77777777" w:rsidR="00CE75D4" w:rsidRPr="002029AF" w:rsidRDefault="00CE75D4" w:rsidP="008340C1">
            <w:pPr>
              <w:pStyle w:val="ARfintablebody"/>
              <w:spacing w:before="20" w:after="10"/>
            </w:pPr>
            <w:r w:rsidRPr="002323B6">
              <w:t xml:space="preserve">Capital asset charge payments </w:t>
            </w:r>
            <w:r w:rsidRPr="00F927FA">
              <w:rPr>
                <w:rStyle w:val="Superscript"/>
              </w:rPr>
              <w:t>(iii)</w:t>
            </w:r>
          </w:p>
        </w:tc>
        <w:tc>
          <w:tcPr>
            <w:tcW w:w="850" w:type="dxa"/>
            <w:tcBorders>
              <w:top w:val="single" w:sz="4" w:space="0" w:color="A6A6A6"/>
              <w:bottom w:val="single" w:sz="4" w:space="0" w:color="A6A6A6"/>
            </w:tcBorders>
            <w:noWrap/>
            <w:hideMark/>
          </w:tcPr>
          <w:p w14:paraId="55E8496B"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4B556E4E" w14:textId="77777777" w:rsidR="00CE75D4" w:rsidRPr="002029AF" w:rsidRDefault="00CE75D4" w:rsidP="008340C1">
            <w:pPr>
              <w:pStyle w:val="ARfintablebodyright"/>
              <w:spacing w:before="20" w:after="10"/>
            </w:pPr>
            <w:r>
              <w:t>–</w:t>
            </w:r>
          </w:p>
        </w:tc>
        <w:tc>
          <w:tcPr>
            <w:tcW w:w="1133" w:type="dxa"/>
            <w:tcBorders>
              <w:top w:val="single" w:sz="4" w:space="0" w:color="A6A6A6"/>
              <w:bottom w:val="single" w:sz="4" w:space="0" w:color="A6A6A6"/>
            </w:tcBorders>
            <w:noWrap/>
            <w:hideMark/>
          </w:tcPr>
          <w:p w14:paraId="27757769" w14:textId="77777777" w:rsidR="00CE75D4" w:rsidRPr="002029AF" w:rsidRDefault="00CE75D4" w:rsidP="008340C1">
            <w:pPr>
              <w:pStyle w:val="ARfintablebodyright"/>
              <w:spacing w:before="20" w:after="10"/>
            </w:pPr>
            <w:r w:rsidRPr="002323B6">
              <w:t>(1,427.7)</w:t>
            </w:r>
          </w:p>
        </w:tc>
      </w:tr>
      <w:tr w:rsidR="00CE75D4" w:rsidRPr="002029AF" w14:paraId="31564A92" w14:textId="77777777" w:rsidTr="008340C1">
        <w:trPr>
          <w:gridAfter w:val="1"/>
          <w:wAfter w:w="10" w:type="dxa"/>
        </w:trPr>
        <w:tc>
          <w:tcPr>
            <w:tcW w:w="6511" w:type="dxa"/>
            <w:tcBorders>
              <w:top w:val="single" w:sz="4" w:space="0" w:color="A6A6A6"/>
              <w:bottom w:val="single" w:sz="4" w:space="0" w:color="A6A6A6"/>
            </w:tcBorders>
            <w:hideMark/>
          </w:tcPr>
          <w:p w14:paraId="2D1C0400" w14:textId="77777777" w:rsidR="00CE75D4" w:rsidRPr="002029AF" w:rsidRDefault="00CE75D4" w:rsidP="008340C1">
            <w:pPr>
              <w:pStyle w:val="ARfintablebody"/>
              <w:spacing w:before="20" w:after="10"/>
            </w:pPr>
            <w:r w:rsidRPr="002323B6">
              <w:t>Maintenance</w:t>
            </w:r>
          </w:p>
        </w:tc>
        <w:tc>
          <w:tcPr>
            <w:tcW w:w="850" w:type="dxa"/>
            <w:tcBorders>
              <w:top w:val="single" w:sz="4" w:space="0" w:color="A6A6A6"/>
              <w:bottom w:val="single" w:sz="4" w:space="0" w:color="A6A6A6"/>
            </w:tcBorders>
            <w:noWrap/>
            <w:hideMark/>
          </w:tcPr>
          <w:p w14:paraId="26D23CC2"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6A71A043" w14:textId="77777777" w:rsidR="00CE75D4" w:rsidRPr="002029AF" w:rsidRDefault="00CE75D4" w:rsidP="008340C1">
            <w:pPr>
              <w:pStyle w:val="ARfintablebodyright"/>
              <w:spacing w:before="20" w:after="10"/>
            </w:pPr>
            <w:r w:rsidRPr="002323B6">
              <w:t>(0.8)</w:t>
            </w:r>
          </w:p>
        </w:tc>
        <w:tc>
          <w:tcPr>
            <w:tcW w:w="1133" w:type="dxa"/>
            <w:tcBorders>
              <w:top w:val="single" w:sz="4" w:space="0" w:color="A6A6A6"/>
              <w:bottom w:val="single" w:sz="4" w:space="0" w:color="A6A6A6"/>
            </w:tcBorders>
            <w:noWrap/>
            <w:hideMark/>
          </w:tcPr>
          <w:p w14:paraId="241E169D" w14:textId="77777777" w:rsidR="00CE75D4" w:rsidRPr="002029AF" w:rsidRDefault="00CE75D4" w:rsidP="008340C1">
            <w:pPr>
              <w:pStyle w:val="ARfintablebodyright"/>
              <w:spacing w:before="20" w:after="10"/>
            </w:pPr>
            <w:r w:rsidRPr="002323B6">
              <w:t>(237.4)</w:t>
            </w:r>
          </w:p>
        </w:tc>
      </w:tr>
      <w:tr w:rsidR="00CE75D4" w:rsidRPr="002029AF" w14:paraId="2FFD76BC" w14:textId="77777777" w:rsidTr="008340C1">
        <w:trPr>
          <w:gridAfter w:val="1"/>
          <w:wAfter w:w="10" w:type="dxa"/>
        </w:trPr>
        <w:tc>
          <w:tcPr>
            <w:tcW w:w="6511" w:type="dxa"/>
            <w:tcBorders>
              <w:top w:val="single" w:sz="4" w:space="0" w:color="A6A6A6"/>
            </w:tcBorders>
            <w:hideMark/>
          </w:tcPr>
          <w:p w14:paraId="56778C18" w14:textId="77777777" w:rsidR="00CE75D4" w:rsidRPr="002029AF" w:rsidRDefault="00CE75D4" w:rsidP="008340C1">
            <w:pPr>
              <w:pStyle w:val="ARfintablebody"/>
              <w:spacing w:before="20" w:after="10"/>
            </w:pPr>
            <w:r w:rsidRPr="002323B6">
              <w:t>Other property management expenses</w:t>
            </w:r>
          </w:p>
        </w:tc>
        <w:tc>
          <w:tcPr>
            <w:tcW w:w="850" w:type="dxa"/>
            <w:tcBorders>
              <w:top w:val="single" w:sz="4" w:space="0" w:color="A6A6A6"/>
            </w:tcBorders>
            <w:noWrap/>
            <w:hideMark/>
          </w:tcPr>
          <w:p w14:paraId="43465261" w14:textId="77777777" w:rsidR="00CE75D4" w:rsidRPr="002029AF" w:rsidRDefault="00CE75D4" w:rsidP="008340C1">
            <w:pPr>
              <w:pStyle w:val="ARfintablebodyright"/>
              <w:spacing w:before="20" w:after="10"/>
            </w:pPr>
          </w:p>
        </w:tc>
        <w:tc>
          <w:tcPr>
            <w:tcW w:w="1133" w:type="dxa"/>
            <w:tcBorders>
              <w:top w:val="single" w:sz="4" w:space="0" w:color="A6A6A6"/>
            </w:tcBorders>
            <w:shd w:val="clear" w:color="auto" w:fill="E7E6E6"/>
            <w:noWrap/>
            <w:hideMark/>
          </w:tcPr>
          <w:p w14:paraId="7BD32F06" w14:textId="77777777" w:rsidR="00CE75D4" w:rsidRPr="002029AF" w:rsidRDefault="00CE75D4" w:rsidP="008340C1">
            <w:pPr>
              <w:pStyle w:val="ARfintablebodyright"/>
              <w:spacing w:before="20" w:after="10"/>
            </w:pPr>
            <w:r>
              <w:t>–</w:t>
            </w:r>
          </w:p>
        </w:tc>
        <w:tc>
          <w:tcPr>
            <w:tcW w:w="1133" w:type="dxa"/>
            <w:tcBorders>
              <w:top w:val="single" w:sz="4" w:space="0" w:color="A6A6A6"/>
            </w:tcBorders>
            <w:noWrap/>
            <w:hideMark/>
          </w:tcPr>
          <w:p w14:paraId="6FBFE693" w14:textId="77777777" w:rsidR="00CE75D4" w:rsidRPr="002029AF" w:rsidRDefault="00CE75D4" w:rsidP="008340C1">
            <w:pPr>
              <w:pStyle w:val="ARfintablebodyright"/>
              <w:spacing w:before="20" w:after="10"/>
            </w:pPr>
            <w:r w:rsidRPr="002323B6">
              <w:t>(269.4)</w:t>
            </w:r>
          </w:p>
        </w:tc>
      </w:tr>
      <w:tr w:rsidR="00CE75D4" w:rsidRPr="002029AF" w14:paraId="1164736B" w14:textId="77777777" w:rsidTr="008340C1">
        <w:trPr>
          <w:gridAfter w:val="1"/>
          <w:wAfter w:w="10" w:type="dxa"/>
        </w:trPr>
        <w:tc>
          <w:tcPr>
            <w:tcW w:w="6511" w:type="dxa"/>
            <w:hideMark/>
          </w:tcPr>
          <w:p w14:paraId="29C0E257" w14:textId="77777777" w:rsidR="00CE75D4" w:rsidRPr="002029AF" w:rsidRDefault="00CE75D4" w:rsidP="008340C1">
            <w:pPr>
              <w:pStyle w:val="ARfintablebodybold"/>
              <w:spacing w:before="20" w:after="10"/>
            </w:pPr>
            <w:r w:rsidRPr="002323B6">
              <w:t>Total payments</w:t>
            </w:r>
          </w:p>
        </w:tc>
        <w:tc>
          <w:tcPr>
            <w:tcW w:w="850" w:type="dxa"/>
            <w:noWrap/>
            <w:hideMark/>
          </w:tcPr>
          <w:p w14:paraId="67B7E77D" w14:textId="77777777" w:rsidR="00CE75D4" w:rsidRPr="002029AF" w:rsidRDefault="00CE75D4" w:rsidP="008340C1">
            <w:pPr>
              <w:pStyle w:val="ARfintablebodyrightbold"/>
              <w:spacing w:before="20" w:after="10"/>
            </w:pPr>
          </w:p>
        </w:tc>
        <w:tc>
          <w:tcPr>
            <w:tcW w:w="1133" w:type="dxa"/>
            <w:shd w:val="clear" w:color="auto" w:fill="E7E6E6"/>
            <w:noWrap/>
            <w:hideMark/>
          </w:tcPr>
          <w:p w14:paraId="153895FB" w14:textId="77777777" w:rsidR="00CE75D4" w:rsidRPr="002029AF" w:rsidRDefault="00CE75D4" w:rsidP="008340C1">
            <w:pPr>
              <w:pStyle w:val="ARfintablebodyrightbold"/>
              <w:spacing w:before="20" w:after="10"/>
            </w:pPr>
            <w:r w:rsidRPr="002323B6">
              <w:t>(21,792.0)</w:t>
            </w:r>
          </w:p>
        </w:tc>
        <w:tc>
          <w:tcPr>
            <w:tcW w:w="1133" w:type="dxa"/>
            <w:noWrap/>
            <w:hideMark/>
          </w:tcPr>
          <w:p w14:paraId="36DE836B" w14:textId="77777777" w:rsidR="00CE75D4" w:rsidRPr="002029AF" w:rsidRDefault="00CE75D4" w:rsidP="008340C1">
            <w:pPr>
              <w:pStyle w:val="ARfintablebodyrightbold"/>
              <w:spacing w:before="20" w:after="10"/>
            </w:pPr>
            <w:r w:rsidRPr="002323B6">
              <w:t>(25,521.8)</w:t>
            </w:r>
          </w:p>
        </w:tc>
      </w:tr>
      <w:tr w:rsidR="00CE75D4" w:rsidRPr="002029AF" w14:paraId="6EE8566E" w14:textId="77777777" w:rsidTr="008340C1">
        <w:trPr>
          <w:gridAfter w:val="1"/>
          <w:wAfter w:w="10" w:type="dxa"/>
        </w:trPr>
        <w:tc>
          <w:tcPr>
            <w:tcW w:w="6511" w:type="dxa"/>
            <w:tcBorders>
              <w:bottom w:val="single" w:sz="4" w:space="0" w:color="auto"/>
            </w:tcBorders>
            <w:hideMark/>
          </w:tcPr>
          <w:p w14:paraId="55AC97A7" w14:textId="77777777" w:rsidR="00CE75D4" w:rsidRPr="002029AF" w:rsidRDefault="00CE75D4" w:rsidP="008340C1">
            <w:pPr>
              <w:pStyle w:val="ARfintablebodybold"/>
              <w:spacing w:before="20" w:after="10"/>
            </w:pPr>
            <w:r w:rsidRPr="002323B6">
              <w:t>Net cash flows from/(used in) operating activities</w:t>
            </w:r>
          </w:p>
        </w:tc>
        <w:tc>
          <w:tcPr>
            <w:tcW w:w="850" w:type="dxa"/>
            <w:tcBorders>
              <w:bottom w:val="single" w:sz="4" w:space="0" w:color="auto"/>
            </w:tcBorders>
            <w:noWrap/>
            <w:hideMark/>
          </w:tcPr>
          <w:p w14:paraId="5942BBF5" w14:textId="77777777" w:rsidR="00CE75D4" w:rsidRPr="002029AF" w:rsidRDefault="00CE75D4" w:rsidP="008340C1">
            <w:pPr>
              <w:pStyle w:val="ARfintablebodyright"/>
              <w:spacing w:before="20" w:after="10"/>
            </w:pPr>
            <w:r w:rsidRPr="002323B6">
              <w:t>7.3.1</w:t>
            </w:r>
          </w:p>
        </w:tc>
        <w:tc>
          <w:tcPr>
            <w:tcW w:w="1133" w:type="dxa"/>
            <w:tcBorders>
              <w:bottom w:val="single" w:sz="4" w:space="0" w:color="auto"/>
            </w:tcBorders>
            <w:shd w:val="clear" w:color="auto" w:fill="E7E6E6"/>
            <w:noWrap/>
            <w:hideMark/>
          </w:tcPr>
          <w:p w14:paraId="70317B1F" w14:textId="77777777" w:rsidR="00CE75D4" w:rsidRPr="002029AF" w:rsidRDefault="00CE75D4" w:rsidP="008340C1">
            <w:pPr>
              <w:pStyle w:val="ARfintablebodyrightbold"/>
              <w:spacing w:before="20" w:after="10"/>
            </w:pPr>
            <w:r w:rsidRPr="002323B6">
              <w:t>60.1</w:t>
            </w:r>
          </w:p>
        </w:tc>
        <w:tc>
          <w:tcPr>
            <w:tcW w:w="1133" w:type="dxa"/>
            <w:tcBorders>
              <w:bottom w:val="single" w:sz="4" w:space="0" w:color="auto"/>
            </w:tcBorders>
            <w:noWrap/>
            <w:hideMark/>
          </w:tcPr>
          <w:p w14:paraId="354D3B4A" w14:textId="77777777" w:rsidR="00CE75D4" w:rsidRPr="002029AF" w:rsidRDefault="00CE75D4" w:rsidP="008340C1">
            <w:pPr>
              <w:pStyle w:val="ARfintablebodyrightbold"/>
              <w:spacing w:before="20" w:after="10"/>
            </w:pPr>
            <w:r w:rsidRPr="002323B6">
              <w:t>989.6</w:t>
            </w:r>
          </w:p>
        </w:tc>
      </w:tr>
      <w:tr w:rsidR="00CE75D4" w:rsidRPr="002029AF" w14:paraId="16DEFFB0" w14:textId="77777777" w:rsidTr="008340C1">
        <w:trPr>
          <w:gridAfter w:val="1"/>
          <w:wAfter w:w="10" w:type="dxa"/>
        </w:trPr>
        <w:tc>
          <w:tcPr>
            <w:tcW w:w="9627" w:type="dxa"/>
            <w:gridSpan w:val="4"/>
            <w:tcBorders>
              <w:top w:val="single" w:sz="4" w:space="0" w:color="auto"/>
              <w:bottom w:val="single" w:sz="4" w:space="0" w:color="A6A6A6"/>
            </w:tcBorders>
            <w:hideMark/>
          </w:tcPr>
          <w:p w14:paraId="62489DEA" w14:textId="77777777" w:rsidR="00CE75D4" w:rsidRPr="002029AF" w:rsidRDefault="00CE75D4" w:rsidP="008340C1">
            <w:pPr>
              <w:pStyle w:val="ARfintablebodybold"/>
              <w:spacing w:before="20" w:after="10"/>
            </w:pPr>
            <w:r w:rsidRPr="002323B6">
              <w:t>Cash flows from investing activities</w:t>
            </w:r>
          </w:p>
        </w:tc>
      </w:tr>
      <w:tr w:rsidR="00CE75D4" w:rsidRPr="002029AF" w14:paraId="4A725C1E" w14:textId="77777777" w:rsidTr="008340C1">
        <w:trPr>
          <w:gridAfter w:val="1"/>
          <w:wAfter w:w="10" w:type="dxa"/>
        </w:trPr>
        <w:tc>
          <w:tcPr>
            <w:tcW w:w="6511" w:type="dxa"/>
            <w:tcBorders>
              <w:top w:val="single" w:sz="4" w:space="0" w:color="A6A6A6"/>
              <w:bottom w:val="single" w:sz="4" w:space="0" w:color="A6A6A6"/>
            </w:tcBorders>
            <w:hideMark/>
          </w:tcPr>
          <w:p w14:paraId="0403C913" w14:textId="77777777" w:rsidR="00CE75D4" w:rsidRPr="002029AF" w:rsidRDefault="00CE75D4" w:rsidP="008340C1">
            <w:pPr>
              <w:pStyle w:val="ARfintablebody"/>
              <w:spacing w:before="20" w:after="10"/>
            </w:pPr>
            <w:r w:rsidRPr="002323B6">
              <w:t>Proceeds from the sale of non-financial assets</w:t>
            </w:r>
          </w:p>
        </w:tc>
        <w:tc>
          <w:tcPr>
            <w:tcW w:w="850" w:type="dxa"/>
            <w:tcBorders>
              <w:top w:val="single" w:sz="4" w:space="0" w:color="A6A6A6"/>
              <w:bottom w:val="single" w:sz="4" w:space="0" w:color="A6A6A6"/>
            </w:tcBorders>
            <w:noWrap/>
            <w:hideMark/>
          </w:tcPr>
          <w:p w14:paraId="204591FB"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27FE06E1" w14:textId="77777777" w:rsidR="00CE75D4" w:rsidRPr="002029AF" w:rsidRDefault="00CE75D4" w:rsidP="008340C1">
            <w:pPr>
              <w:pStyle w:val="ARfintablebodyright"/>
              <w:spacing w:before="20" w:after="10"/>
            </w:pPr>
            <w:r w:rsidRPr="002323B6">
              <w:t>0.6</w:t>
            </w:r>
          </w:p>
        </w:tc>
        <w:tc>
          <w:tcPr>
            <w:tcW w:w="1133" w:type="dxa"/>
            <w:tcBorders>
              <w:top w:val="single" w:sz="4" w:space="0" w:color="A6A6A6"/>
              <w:bottom w:val="single" w:sz="4" w:space="0" w:color="A6A6A6"/>
            </w:tcBorders>
            <w:noWrap/>
            <w:hideMark/>
          </w:tcPr>
          <w:p w14:paraId="575A9E28" w14:textId="77777777" w:rsidR="00CE75D4" w:rsidRPr="002029AF" w:rsidRDefault="00CE75D4" w:rsidP="008340C1">
            <w:pPr>
              <w:pStyle w:val="ARfintablebodyright"/>
              <w:spacing w:before="20" w:after="10"/>
            </w:pPr>
            <w:r w:rsidRPr="002323B6">
              <w:t>69.7</w:t>
            </w:r>
          </w:p>
        </w:tc>
      </w:tr>
      <w:tr w:rsidR="00CE75D4" w:rsidRPr="002029AF" w14:paraId="791538CF" w14:textId="77777777" w:rsidTr="008340C1">
        <w:trPr>
          <w:gridAfter w:val="1"/>
          <w:wAfter w:w="10" w:type="dxa"/>
        </w:trPr>
        <w:tc>
          <w:tcPr>
            <w:tcW w:w="6511" w:type="dxa"/>
            <w:tcBorders>
              <w:top w:val="single" w:sz="4" w:space="0" w:color="A6A6A6"/>
              <w:bottom w:val="single" w:sz="4" w:space="0" w:color="A6A6A6"/>
            </w:tcBorders>
            <w:hideMark/>
          </w:tcPr>
          <w:p w14:paraId="2044C0D8" w14:textId="77777777" w:rsidR="00CE75D4" w:rsidRPr="002029AF" w:rsidRDefault="00CE75D4" w:rsidP="008340C1">
            <w:pPr>
              <w:pStyle w:val="ARfintablebody"/>
              <w:spacing w:before="20" w:after="10"/>
            </w:pPr>
            <w:r w:rsidRPr="002323B6">
              <w:t>Client loans repaid</w:t>
            </w:r>
          </w:p>
        </w:tc>
        <w:tc>
          <w:tcPr>
            <w:tcW w:w="850" w:type="dxa"/>
            <w:tcBorders>
              <w:top w:val="single" w:sz="4" w:space="0" w:color="A6A6A6"/>
              <w:bottom w:val="single" w:sz="4" w:space="0" w:color="A6A6A6"/>
            </w:tcBorders>
            <w:noWrap/>
            <w:hideMark/>
          </w:tcPr>
          <w:p w14:paraId="08A6DF10"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04C80BF5" w14:textId="77777777" w:rsidR="00CE75D4" w:rsidRPr="002029AF" w:rsidRDefault="00CE75D4" w:rsidP="008340C1">
            <w:pPr>
              <w:pStyle w:val="ARfintablebodyright"/>
              <w:spacing w:before="20" w:after="10"/>
            </w:pPr>
            <w:r w:rsidRPr="002323B6">
              <w:t>14.3</w:t>
            </w:r>
          </w:p>
        </w:tc>
        <w:tc>
          <w:tcPr>
            <w:tcW w:w="1133" w:type="dxa"/>
            <w:tcBorders>
              <w:top w:val="single" w:sz="4" w:space="0" w:color="A6A6A6"/>
              <w:bottom w:val="single" w:sz="4" w:space="0" w:color="A6A6A6"/>
            </w:tcBorders>
            <w:noWrap/>
            <w:hideMark/>
          </w:tcPr>
          <w:p w14:paraId="097F70C0" w14:textId="77777777" w:rsidR="00CE75D4" w:rsidRPr="002029AF" w:rsidRDefault="00CE75D4" w:rsidP="008340C1">
            <w:pPr>
              <w:pStyle w:val="ARfintablebodyright"/>
              <w:spacing w:before="20" w:after="10"/>
            </w:pPr>
            <w:r w:rsidRPr="002323B6">
              <w:t>317.6</w:t>
            </w:r>
          </w:p>
        </w:tc>
      </w:tr>
      <w:tr w:rsidR="00CE75D4" w:rsidRPr="002029AF" w14:paraId="12BC143E" w14:textId="77777777" w:rsidTr="008340C1">
        <w:trPr>
          <w:gridAfter w:val="1"/>
          <w:wAfter w:w="10" w:type="dxa"/>
        </w:trPr>
        <w:tc>
          <w:tcPr>
            <w:tcW w:w="6511" w:type="dxa"/>
            <w:tcBorders>
              <w:top w:val="single" w:sz="4" w:space="0" w:color="A6A6A6"/>
              <w:bottom w:val="single" w:sz="4" w:space="0" w:color="A6A6A6"/>
            </w:tcBorders>
            <w:hideMark/>
          </w:tcPr>
          <w:p w14:paraId="3E314CD8" w14:textId="77777777" w:rsidR="00CE75D4" w:rsidRPr="002029AF" w:rsidRDefault="00CE75D4" w:rsidP="008340C1">
            <w:pPr>
              <w:pStyle w:val="ARfintablebody"/>
              <w:spacing w:before="20" w:after="10"/>
            </w:pPr>
            <w:r w:rsidRPr="002323B6">
              <w:t>Payment for non-financial assets</w:t>
            </w:r>
          </w:p>
        </w:tc>
        <w:tc>
          <w:tcPr>
            <w:tcW w:w="850" w:type="dxa"/>
            <w:tcBorders>
              <w:top w:val="single" w:sz="4" w:space="0" w:color="A6A6A6"/>
              <w:bottom w:val="single" w:sz="4" w:space="0" w:color="A6A6A6"/>
            </w:tcBorders>
            <w:noWrap/>
            <w:hideMark/>
          </w:tcPr>
          <w:p w14:paraId="045DC6AD"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1C9B83E9" w14:textId="77777777" w:rsidR="00CE75D4" w:rsidRPr="002029AF" w:rsidRDefault="00CE75D4" w:rsidP="008340C1">
            <w:pPr>
              <w:pStyle w:val="ARfintablebodyright"/>
              <w:spacing w:before="20" w:after="10"/>
            </w:pPr>
            <w:r w:rsidRPr="002323B6">
              <w:t>(68.1)</w:t>
            </w:r>
          </w:p>
        </w:tc>
        <w:tc>
          <w:tcPr>
            <w:tcW w:w="1133" w:type="dxa"/>
            <w:tcBorders>
              <w:top w:val="single" w:sz="4" w:space="0" w:color="A6A6A6"/>
              <w:bottom w:val="single" w:sz="4" w:space="0" w:color="A6A6A6"/>
            </w:tcBorders>
            <w:noWrap/>
            <w:hideMark/>
          </w:tcPr>
          <w:p w14:paraId="152049CE" w14:textId="77777777" w:rsidR="00CE75D4" w:rsidRPr="002029AF" w:rsidRDefault="00CE75D4" w:rsidP="008340C1">
            <w:pPr>
              <w:pStyle w:val="ARfintablebodyright"/>
              <w:spacing w:before="20" w:after="10"/>
            </w:pPr>
            <w:r w:rsidRPr="002323B6">
              <w:t>(1,153.7)</w:t>
            </w:r>
          </w:p>
        </w:tc>
      </w:tr>
      <w:tr w:rsidR="00CE75D4" w:rsidRPr="002029AF" w14:paraId="669B92E7" w14:textId="77777777" w:rsidTr="008340C1">
        <w:trPr>
          <w:gridAfter w:val="1"/>
          <w:wAfter w:w="10" w:type="dxa"/>
        </w:trPr>
        <w:tc>
          <w:tcPr>
            <w:tcW w:w="6511" w:type="dxa"/>
            <w:tcBorders>
              <w:top w:val="single" w:sz="4" w:space="0" w:color="A6A6A6"/>
            </w:tcBorders>
            <w:hideMark/>
          </w:tcPr>
          <w:p w14:paraId="54614F09" w14:textId="77777777" w:rsidR="00CE75D4" w:rsidRPr="002029AF" w:rsidRDefault="00CE75D4" w:rsidP="008340C1">
            <w:pPr>
              <w:pStyle w:val="ARfintablebody"/>
              <w:spacing w:before="20" w:after="10"/>
            </w:pPr>
            <w:r w:rsidRPr="002323B6">
              <w:t>Client loans granted</w:t>
            </w:r>
          </w:p>
        </w:tc>
        <w:tc>
          <w:tcPr>
            <w:tcW w:w="850" w:type="dxa"/>
            <w:tcBorders>
              <w:top w:val="single" w:sz="4" w:space="0" w:color="A6A6A6"/>
            </w:tcBorders>
            <w:noWrap/>
            <w:hideMark/>
          </w:tcPr>
          <w:p w14:paraId="3421F52C" w14:textId="77777777" w:rsidR="00CE75D4" w:rsidRPr="002029AF" w:rsidRDefault="00CE75D4" w:rsidP="008340C1">
            <w:pPr>
              <w:pStyle w:val="ARfintablebodyright"/>
              <w:spacing w:before="20" w:after="10"/>
            </w:pPr>
          </w:p>
        </w:tc>
        <w:tc>
          <w:tcPr>
            <w:tcW w:w="1133" w:type="dxa"/>
            <w:tcBorders>
              <w:top w:val="single" w:sz="4" w:space="0" w:color="A6A6A6"/>
            </w:tcBorders>
            <w:shd w:val="clear" w:color="auto" w:fill="E7E6E6"/>
            <w:noWrap/>
            <w:hideMark/>
          </w:tcPr>
          <w:p w14:paraId="15C757DA" w14:textId="77777777" w:rsidR="00CE75D4" w:rsidRPr="002029AF" w:rsidRDefault="00CE75D4" w:rsidP="008340C1">
            <w:pPr>
              <w:pStyle w:val="ARfintablebodyright"/>
              <w:spacing w:before="20" w:after="10"/>
            </w:pPr>
            <w:r w:rsidRPr="002323B6">
              <w:t>(3.4)</w:t>
            </w:r>
          </w:p>
        </w:tc>
        <w:tc>
          <w:tcPr>
            <w:tcW w:w="1133" w:type="dxa"/>
            <w:tcBorders>
              <w:top w:val="single" w:sz="4" w:space="0" w:color="A6A6A6"/>
            </w:tcBorders>
            <w:noWrap/>
            <w:hideMark/>
          </w:tcPr>
          <w:p w14:paraId="1B8208E2" w14:textId="77777777" w:rsidR="00CE75D4" w:rsidRPr="002029AF" w:rsidRDefault="00CE75D4" w:rsidP="008340C1">
            <w:pPr>
              <w:pStyle w:val="ARfintablebodyright"/>
              <w:spacing w:before="20" w:after="10"/>
            </w:pPr>
            <w:r w:rsidRPr="002323B6">
              <w:t>(47.1)</w:t>
            </w:r>
          </w:p>
        </w:tc>
      </w:tr>
      <w:tr w:rsidR="00CE75D4" w:rsidRPr="002029AF" w14:paraId="4476F34A" w14:textId="77777777" w:rsidTr="008340C1">
        <w:trPr>
          <w:gridAfter w:val="1"/>
          <w:wAfter w:w="10" w:type="dxa"/>
        </w:trPr>
        <w:tc>
          <w:tcPr>
            <w:tcW w:w="6511" w:type="dxa"/>
            <w:tcBorders>
              <w:bottom w:val="single" w:sz="4" w:space="0" w:color="auto"/>
            </w:tcBorders>
            <w:hideMark/>
          </w:tcPr>
          <w:p w14:paraId="795F88B9" w14:textId="77777777" w:rsidR="00CE75D4" w:rsidRPr="002029AF" w:rsidRDefault="00CE75D4" w:rsidP="008340C1">
            <w:pPr>
              <w:pStyle w:val="ARfintablebodybold"/>
              <w:spacing w:before="20" w:after="10"/>
            </w:pPr>
            <w:r w:rsidRPr="002323B6">
              <w:t>Net cash flows from/(used in) investing activities</w:t>
            </w:r>
          </w:p>
        </w:tc>
        <w:tc>
          <w:tcPr>
            <w:tcW w:w="850" w:type="dxa"/>
            <w:tcBorders>
              <w:bottom w:val="single" w:sz="4" w:space="0" w:color="auto"/>
            </w:tcBorders>
            <w:hideMark/>
          </w:tcPr>
          <w:p w14:paraId="610D151F" w14:textId="77777777" w:rsidR="00CE75D4" w:rsidRPr="002029AF" w:rsidRDefault="00CE75D4" w:rsidP="008340C1">
            <w:pPr>
              <w:pStyle w:val="ARfintablebodyrightbold"/>
              <w:spacing w:before="20" w:after="10"/>
            </w:pPr>
          </w:p>
        </w:tc>
        <w:tc>
          <w:tcPr>
            <w:tcW w:w="1133" w:type="dxa"/>
            <w:tcBorders>
              <w:bottom w:val="single" w:sz="4" w:space="0" w:color="auto"/>
            </w:tcBorders>
            <w:shd w:val="clear" w:color="auto" w:fill="E7E6E6"/>
            <w:noWrap/>
            <w:hideMark/>
          </w:tcPr>
          <w:p w14:paraId="4DF0201A" w14:textId="77777777" w:rsidR="00CE75D4" w:rsidRPr="002029AF" w:rsidRDefault="00CE75D4" w:rsidP="008340C1">
            <w:pPr>
              <w:pStyle w:val="ARfintablebodyrightbold"/>
              <w:spacing w:before="20" w:after="10"/>
            </w:pPr>
            <w:r w:rsidRPr="002323B6">
              <w:t>(56.6)</w:t>
            </w:r>
          </w:p>
        </w:tc>
        <w:tc>
          <w:tcPr>
            <w:tcW w:w="1133" w:type="dxa"/>
            <w:tcBorders>
              <w:bottom w:val="single" w:sz="4" w:space="0" w:color="auto"/>
            </w:tcBorders>
            <w:noWrap/>
            <w:hideMark/>
          </w:tcPr>
          <w:p w14:paraId="100C571F" w14:textId="77777777" w:rsidR="00CE75D4" w:rsidRPr="002029AF" w:rsidRDefault="00CE75D4" w:rsidP="008340C1">
            <w:pPr>
              <w:pStyle w:val="ARfintablebodyrightbold"/>
              <w:spacing w:before="20" w:after="10"/>
            </w:pPr>
            <w:r w:rsidRPr="002323B6">
              <w:t>(813.5)</w:t>
            </w:r>
          </w:p>
        </w:tc>
      </w:tr>
      <w:tr w:rsidR="00CE75D4" w:rsidRPr="002029AF" w14:paraId="5E88F9EC" w14:textId="77777777" w:rsidTr="008340C1">
        <w:trPr>
          <w:gridAfter w:val="1"/>
          <w:wAfter w:w="10" w:type="dxa"/>
        </w:trPr>
        <w:tc>
          <w:tcPr>
            <w:tcW w:w="9627" w:type="dxa"/>
            <w:gridSpan w:val="4"/>
            <w:tcBorders>
              <w:top w:val="single" w:sz="4" w:space="0" w:color="auto"/>
              <w:bottom w:val="single" w:sz="4" w:space="0" w:color="A6A6A6"/>
            </w:tcBorders>
            <w:hideMark/>
          </w:tcPr>
          <w:p w14:paraId="22602C1C" w14:textId="77777777" w:rsidR="00CE75D4" w:rsidRPr="002029AF" w:rsidRDefault="00CE75D4" w:rsidP="008340C1">
            <w:pPr>
              <w:pStyle w:val="ARfintablebodybold"/>
              <w:spacing w:before="20" w:after="10"/>
            </w:pPr>
            <w:r w:rsidRPr="002323B6">
              <w:t>Cash flows from financing activities</w:t>
            </w:r>
          </w:p>
        </w:tc>
      </w:tr>
      <w:tr w:rsidR="00CE75D4" w:rsidRPr="002029AF" w14:paraId="0E0B7160" w14:textId="77777777" w:rsidTr="008340C1">
        <w:trPr>
          <w:gridAfter w:val="1"/>
          <w:wAfter w:w="10" w:type="dxa"/>
        </w:trPr>
        <w:tc>
          <w:tcPr>
            <w:tcW w:w="6511" w:type="dxa"/>
            <w:tcBorders>
              <w:top w:val="single" w:sz="4" w:space="0" w:color="A6A6A6"/>
              <w:bottom w:val="single" w:sz="4" w:space="0" w:color="A6A6A6"/>
            </w:tcBorders>
            <w:hideMark/>
          </w:tcPr>
          <w:p w14:paraId="47E8C513" w14:textId="77777777" w:rsidR="00CE75D4" w:rsidRPr="002029AF" w:rsidRDefault="00CE75D4" w:rsidP="008340C1">
            <w:pPr>
              <w:pStyle w:val="ARfintablebody"/>
              <w:spacing w:before="20" w:after="10"/>
            </w:pPr>
            <w:r w:rsidRPr="002323B6">
              <w:t>Net receipts/(payments) for advances</w:t>
            </w:r>
          </w:p>
        </w:tc>
        <w:tc>
          <w:tcPr>
            <w:tcW w:w="850" w:type="dxa"/>
            <w:tcBorders>
              <w:top w:val="single" w:sz="4" w:space="0" w:color="A6A6A6"/>
              <w:bottom w:val="single" w:sz="4" w:space="0" w:color="A6A6A6"/>
            </w:tcBorders>
            <w:noWrap/>
            <w:hideMark/>
          </w:tcPr>
          <w:p w14:paraId="47DD4AC9"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0F8AD58B" w14:textId="77777777" w:rsidR="00CE75D4" w:rsidRPr="002029AF" w:rsidRDefault="00CE75D4" w:rsidP="008340C1">
            <w:pPr>
              <w:pStyle w:val="ARfintablebodyright"/>
              <w:spacing w:before="20" w:after="10"/>
            </w:pPr>
            <w:r w:rsidRPr="002323B6">
              <w:t>(12.2)</w:t>
            </w:r>
          </w:p>
        </w:tc>
        <w:tc>
          <w:tcPr>
            <w:tcW w:w="1133" w:type="dxa"/>
            <w:tcBorders>
              <w:top w:val="single" w:sz="4" w:space="0" w:color="A6A6A6"/>
              <w:bottom w:val="single" w:sz="4" w:space="0" w:color="A6A6A6"/>
            </w:tcBorders>
            <w:noWrap/>
            <w:hideMark/>
          </w:tcPr>
          <w:p w14:paraId="5C2EE4C6" w14:textId="77777777" w:rsidR="00CE75D4" w:rsidRPr="002029AF" w:rsidRDefault="00CE75D4" w:rsidP="008340C1">
            <w:pPr>
              <w:pStyle w:val="ARfintablebodyright"/>
              <w:spacing w:before="20" w:after="10"/>
            </w:pPr>
            <w:r w:rsidRPr="002323B6">
              <w:t>(286.0)</w:t>
            </w:r>
          </w:p>
        </w:tc>
      </w:tr>
      <w:tr w:rsidR="00CE75D4" w:rsidRPr="002029AF" w14:paraId="52850FE9" w14:textId="77777777" w:rsidTr="008340C1">
        <w:tc>
          <w:tcPr>
            <w:tcW w:w="6511" w:type="dxa"/>
            <w:tcBorders>
              <w:top w:val="single" w:sz="4" w:space="0" w:color="A6A6A6"/>
              <w:bottom w:val="single" w:sz="4" w:space="0" w:color="A6A6A6"/>
            </w:tcBorders>
          </w:tcPr>
          <w:p w14:paraId="68092380" w14:textId="77777777" w:rsidR="00CE75D4" w:rsidRPr="00800BB4" w:rsidRDefault="00CE75D4" w:rsidP="008340C1">
            <w:pPr>
              <w:pStyle w:val="ARfintablebody"/>
              <w:spacing w:before="20" w:after="10"/>
            </w:pPr>
            <w:r w:rsidRPr="002323B6">
              <w:t>Cash received/(paid) from activities transferred in/(out) – machinery of government changes</w:t>
            </w:r>
          </w:p>
        </w:tc>
        <w:tc>
          <w:tcPr>
            <w:tcW w:w="850" w:type="dxa"/>
            <w:tcBorders>
              <w:top w:val="single" w:sz="4" w:space="0" w:color="A6A6A6"/>
              <w:bottom w:val="single" w:sz="4" w:space="0" w:color="A6A6A6"/>
            </w:tcBorders>
            <w:noWrap/>
          </w:tcPr>
          <w:p w14:paraId="41A3C51C"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tcPr>
          <w:p w14:paraId="42CD9452" w14:textId="77777777" w:rsidR="00CE75D4" w:rsidRPr="00800BB4" w:rsidRDefault="00CE75D4" w:rsidP="008340C1">
            <w:pPr>
              <w:pStyle w:val="ARfintablebodyright"/>
              <w:spacing w:before="20" w:after="10"/>
            </w:pPr>
            <w:r>
              <w:t>–</w:t>
            </w:r>
          </w:p>
        </w:tc>
        <w:tc>
          <w:tcPr>
            <w:tcW w:w="1143" w:type="dxa"/>
            <w:gridSpan w:val="2"/>
            <w:tcBorders>
              <w:top w:val="single" w:sz="4" w:space="0" w:color="A6A6A6"/>
              <w:bottom w:val="single" w:sz="4" w:space="0" w:color="A6A6A6"/>
            </w:tcBorders>
            <w:noWrap/>
          </w:tcPr>
          <w:p w14:paraId="63BFDCC3" w14:textId="77777777" w:rsidR="00CE75D4" w:rsidRPr="00800BB4" w:rsidRDefault="00CE75D4" w:rsidP="008340C1">
            <w:pPr>
              <w:pStyle w:val="ARfintablebodyright"/>
              <w:spacing w:before="20" w:after="10"/>
            </w:pPr>
            <w:r w:rsidRPr="002323B6">
              <w:t>1.5</w:t>
            </w:r>
          </w:p>
        </w:tc>
      </w:tr>
      <w:tr w:rsidR="00CE75D4" w:rsidRPr="002029AF" w14:paraId="41A7A092" w14:textId="77777777" w:rsidTr="008340C1">
        <w:trPr>
          <w:gridAfter w:val="1"/>
          <w:wAfter w:w="10" w:type="dxa"/>
        </w:trPr>
        <w:tc>
          <w:tcPr>
            <w:tcW w:w="6511" w:type="dxa"/>
            <w:tcBorders>
              <w:top w:val="single" w:sz="4" w:space="0" w:color="A6A6A6"/>
              <w:bottom w:val="single" w:sz="4" w:space="0" w:color="A6A6A6"/>
            </w:tcBorders>
            <w:hideMark/>
          </w:tcPr>
          <w:p w14:paraId="55C04D23" w14:textId="77777777" w:rsidR="00CE75D4" w:rsidRPr="002029AF" w:rsidRDefault="00CE75D4" w:rsidP="008340C1">
            <w:pPr>
              <w:pStyle w:val="ARfintablebody"/>
              <w:spacing w:before="20" w:after="10"/>
            </w:pPr>
            <w:r w:rsidRPr="002323B6">
              <w:t>Owner contributions by Victorian Government – appropriation for capital expenditure purposes</w:t>
            </w:r>
          </w:p>
        </w:tc>
        <w:tc>
          <w:tcPr>
            <w:tcW w:w="850" w:type="dxa"/>
            <w:tcBorders>
              <w:top w:val="single" w:sz="4" w:space="0" w:color="A6A6A6"/>
              <w:bottom w:val="single" w:sz="4" w:space="0" w:color="A6A6A6"/>
            </w:tcBorders>
            <w:noWrap/>
            <w:hideMark/>
          </w:tcPr>
          <w:p w14:paraId="4D5C1C58"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61B833A2" w14:textId="77777777" w:rsidR="00CE75D4" w:rsidRPr="002029AF" w:rsidRDefault="00CE75D4" w:rsidP="008340C1">
            <w:pPr>
              <w:pStyle w:val="ARfintablebodyright"/>
              <w:spacing w:before="20" w:after="10"/>
            </w:pPr>
            <w:r w:rsidRPr="002323B6">
              <w:t>11.3</w:t>
            </w:r>
          </w:p>
        </w:tc>
        <w:tc>
          <w:tcPr>
            <w:tcW w:w="1133" w:type="dxa"/>
            <w:tcBorders>
              <w:top w:val="single" w:sz="4" w:space="0" w:color="A6A6A6"/>
              <w:bottom w:val="single" w:sz="4" w:space="0" w:color="A6A6A6"/>
            </w:tcBorders>
            <w:noWrap/>
            <w:hideMark/>
          </w:tcPr>
          <w:p w14:paraId="72A1BB9E" w14:textId="77777777" w:rsidR="00CE75D4" w:rsidRPr="002029AF" w:rsidRDefault="00CE75D4" w:rsidP="008340C1">
            <w:pPr>
              <w:pStyle w:val="ARfintablebodyright"/>
              <w:spacing w:before="20" w:after="10"/>
            </w:pPr>
            <w:r w:rsidRPr="002323B6">
              <w:t>427.5</w:t>
            </w:r>
          </w:p>
        </w:tc>
      </w:tr>
      <w:tr w:rsidR="00CE75D4" w:rsidRPr="002029AF" w14:paraId="4460E19E" w14:textId="77777777" w:rsidTr="008340C1">
        <w:trPr>
          <w:gridAfter w:val="1"/>
          <w:wAfter w:w="10" w:type="dxa"/>
        </w:trPr>
        <w:tc>
          <w:tcPr>
            <w:tcW w:w="6511" w:type="dxa"/>
            <w:tcBorders>
              <w:top w:val="single" w:sz="4" w:space="0" w:color="A6A6A6"/>
              <w:bottom w:val="single" w:sz="4" w:space="0" w:color="A6A6A6"/>
            </w:tcBorders>
            <w:hideMark/>
          </w:tcPr>
          <w:p w14:paraId="56C7EAC3" w14:textId="77777777" w:rsidR="00CE75D4" w:rsidRPr="002029AF" w:rsidRDefault="00CE75D4" w:rsidP="008340C1">
            <w:pPr>
              <w:pStyle w:val="ARfintablebody"/>
              <w:spacing w:before="20" w:after="10"/>
            </w:pPr>
            <w:r w:rsidRPr="002323B6">
              <w:t>Payments of capital contributions</w:t>
            </w:r>
          </w:p>
        </w:tc>
        <w:tc>
          <w:tcPr>
            <w:tcW w:w="850" w:type="dxa"/>
            <w:tcBorders>
              <w:top w:val="single" w:sz="4" w:space="0" w:color="A6A6A6"/>
              <w:bottom w:val="single" w:sz="4" w:space="0" w:color="A6A6A6"/>
            </w:tcBorders>
            <w:noWrap/>
            <w:hideMark/>
          </w:tcPr>
          <w:p w14:paraId="4E861FFE" w14:textId="77777777" w:rsidR="00CE75D4" w:rsidRPr="002029AF" w:rsidRDefault="00CE75D4" w:rsidP="008340C1">
            <w:pPr>
              <w:pStyle w:val="ARfintablebodyright"/>
              <w:spacing w:before="20" w:after="10"/>
            </w:pPr>
          </w:p>
        </w:tc>
        <w:tc>
          <w:tcPr>
            <w:tcW w:w="1133" w:type="dxa"/>
            <w:tcBorders>
              <w:top w:val="single" w:sz="4" w:space="0" w:color="A6A6A6"/>
              <w:bottom w:val="single" w:sz="4" w:space="0" w:color="A6A6A6"/>
            </w:tcBorders>
            <w:shd w:val="clear" w:color="auto" w:fill="E7E6E6"/>
            <w:noWrap/>
            <w:hideMark/>
          </w:tcPr>
          <w:p w14:paraId="0A86355C" w14:textId="77777777" w:rsidR="00CE75D4" w:rsidRPr="002029AF" w:rsidRDefault="00CE75D4" w:rsidP="008340C1">
            <w:pPr>
              <w:pStyle w:val="ARfintablebodyright"/>
              <w:spacing w:before="20" w:after="10"/>
            </w:pPr>
            <w:r w:rsidRPr="002323B6">
              <w:t>(11.4)</w:t>
            </w:r>
          </w:p>
        </w:tc>
        <w:tc>
          <w:tcPr>
            <w:tcW w:w="1133" w:type="dxa"/>
            <w:tcBorders>
              <w:top w:val="single" w:sz="4" w:space="0" w:color="A6A6A6"/>
              <w:bottom w:val="single" w:sz="4" w:space="0" w:color="A6A6A6"/>
            </w:tcBorders>
            <w:noWrap/>
            <w:hideMark/>
          </w:tcPr>
          <w:p w14:paraId="59B9B4FB" w14:textId="77777777" w:rsidR="00CE75D4" w:rsidRPr="002029AF" w:rsidRDefault="00CE75D4" w:rsidP="008340C1">
            <w:pPr>
              <w:pStyle w:val="ARfintablebodyright"/>
              <w:spacing w:before="20" w:after="10"/>
            </w:pPr>
            <w:r w:rsidRPr="002323B6">
              <w:t>(10.5)</w:t>
            </w:r>
          </w:p>
        </w:tc>
      </w:tr>
      <w:tr w:rsidR="00CE75D4" w:rsidRPr="002029AF" w14:paraId="131A2154" w14:textId="77777777" w:rsidTr="008340C1">
        <w:trPr>
          <w:gridAfter w:val="1"/>
          <w:wAfter w:w="10" w:type="dxa"/>
        </w:trPr>
        <w:tc>
          <w:tcPr>
            <w:tcW w:w="6511" w:type="dxa"/>
            <w:tcBorders>
              <w:top w:val="single" w:sz="4" w:space="0" w:color="A6A6A6"/>
            </w:tcBorders>
            <w:hideMark/>
          </w:tcPr>
          <w:p w14:paraId="53BC3B78" w14:textId="77777777" w:rsidR="00CE75D4" w:rsidRPr="002029AF" w:rsidRDefault="00CE75D4" w:rsidP="008340C1">
            <w:pPr>
              <w:pStyle w:val="ARfintablebody"/>
              <w:spacing w:before="20" w:after="10"/>
            </w:pPr>
            <w:r w:rsidRPr="002323B6">
              <w:t xml:space="preserve">Repayment of borrowings and principal portion of lease liability </w:t>
            </w:r>
            <w:r w:rsidRPr="007919D5">
              <w:rPr>
                <w:rStyle w:val="Superscript"/>
              </w:rPr>
              <w:t>(iv)</w:t>
            </w:r>
          </w:p>
        </w:tc>
        <w:tc>
          <w:tcPr>
            <w:tcW w:w="850" w:type="dxa"/>
            <w:tcBorders>
              <w:top w:val="single" w:sz="4" w:space="0" w:color="A6A6A6"/>
            </w:tcBorders>
            <w:noWrap/>
            <w:hideMark/>
          </w:tcPr>
          <w:p w14:paraId="774258F6" w14:textId="77777777" w:rsidR="00CE75D4" w:rsidRPr="002029AF" w:rsidRDefault="00CE75D4" w:rsidP="008340C1">
            <w:pPr>
              <w:pStyle w:val="ARfintablebodyright"/>
              <w:spacing w:before="20" w:after="10"/>
            </w:pPr>
          </w:p>
        </w:tc>
        <w:tc>
          <w:tcPr>
            <w:tcW w:w="1133" w:type="dxa"/>
            <w:tcBorders>
              <w:top w:val="single" w:sz="4" w:space="0" w:color="A6A6A6"/>
            </w:tcBorders>
            <w:shd w:val="clear" w:color="auto" w:fill="E7E6E6"/>
            <w:noWrap/>
            <w:hideMark/>
          </w:tcPr>
          <w:p w14:paraId="475BC490" w14:textId="77777777" w:rsidR="00CE75D4" w:rsidRPr="002029AF" w:rsidRDefault="00CE75D4" w:rsidP="008340C1">
            <w:pPr>
              <w:pStyle w:val="ARfintablebodyright"/>
              <w:spacing w:before="20" w:after="10"/>
            </w:pPr>
            <w:r w:rsidRPr="002323B6">
              <w:t>(2.1)</w:t>
            </w:r>
          </w:p>
        </w:tc>
        <w:tc>
          <w:tcPr>
            <w:tcW w:w="1133" w:type="dxa"/>
            <w:tcBorders>
              <w:top w:val="single" w:sz="4" w:space="0" w:color="A6A6A6"/>
            </w:tcBorders>
            <w:noWrap/>
            <w:hideMark/>
          </w:tcPr>
          <w:p w14:paraId="26909112" w14:textId="77777777" w:rsidR="00CE75D4" w:rsidRPr="002029AF" w:rsidRDefault="00CE75D4" w:rsidP="008340C1">
            <w:pPr>
              <w:pStyle w:val="ARfintablebodyright"/>
              <w:spacing w:before="20" w:after="10"/>
            </w:pPr>
            <w:r w:rsidRPr="002323B6">
              <w:t>7.7</w:t>
            </w:r>
          </w:p>
        </w:tc>
      </w:tr>
      <w:tr w:rsidR="00CE75D4" w:rsidRPr="002029AF" w14:paraId="277A6AD7" w14:textId="77777777" w:rsidTr="008340C1">
        <w:trPr>
          <w:gridAfter w:val="1"/>
          <w:wAfter w:w="10" w:type="dxa"/>
        </w:trPr>
        <w:tc>
          <w:tcPr>
            <w:tcW w:w="6511" w:type="dxa"/>
            <w:hideMark/>
          </w:tcPr>
          <w:p w14:paraId="6C7D596C" w14:textId="77777777" w:rsidR="00CE75D4" w:rsidRPr="002029AF" w:rsidRDefault="00CE75D4" w:rsidP="008340C1">
            <w:pPr>
              <w:pStyle w:val="ARfintablebodybold"/>
              <w:spacing w:before="20" w:after="10"/>
            </w:pPr>
            <w:r w:rsidRPr="002323B6">
              <w:t>Net cash flows from/(used in) financing activities</w:t>
            </w:r>
          </w:p>
        </w:tc>
        <w:tc>
          <w:tcPr>
            <w:tcW w:w="850" w:type="dxa"/>
            <w:hideMark/>
          </w:tcPr>
          <w:p w14:paraId="1FDC7022" w14:textId="77777777" w:rsidR="00CE75D4" w:rsidRPr="002029AF" w:rsidRDefault="00CE75D4" w:rsidP="008340C1">
            <w:pPr>
              <w:pStyle w:val="ARfintablebodyrightbold"/>
              <w:spacing w:before="20" w:after="10"/>
            </w:pPr>
          </w:p>
        </w:tc>
        <w:tc>
          <w:tcPr>
            <w:tcW w:w="1133" w:type="dxa"/>
            <w:shd w:val="clear" w:color="auto" w:fill="E7E6E6"/>
            <w:noWrap/>
            <w:hideMark/>
          </w:tcPr>
          <w:p w14:paraId="66C69168" w14:textId="77777777" w:rsidR="00CE75D4" w:rsidRPr="002029AF" w:rsidRDefault="00CE75D4" w:rsidP="008340C1">
            <w:pPr>
              <w:pStyle w:val="ARfintablebodyrightbold"/>
              <w:spacing w:before="20" w:after="10"/>
            </w:pPr>
            <w:r w:rsidRPr="002323B6">
              <w:t>(14.3)</w:t>
            </w:r>
          </w:p>
        </w:tc>
        <w:tc>
          <w:tcPr>
            <w:tcW w:w="1133" w:type="dxa"/>
            <w:noWrap/>
            <w:hideMark/>
          </w:tcPr>
          <w:p w14:paraId="6AC52070" w14:textId="77777777" w:rsidR="00CE75D4" w:rsidRPr="002029AF" w:rsidRDefault="00CE75D4" w:rsidP="008340C1">
            <w:pPr>
              <w:pStyle w:val="ARfintablebodyrightbold"/>
              <w:spacing w:before="20" w:after="10"/>
            </w:pPr>
            <w:r w:rsidRPr="002323B6">
              <w:t>140.2</w:t>
            </w:r>
          </w:p>
        </w:tc>
      </w:tr>
      <w:tr w:rsidR="00CE75D4" w:rsidRPr="002029AF" w14:paraId="5EB22305" w14:textId="77777777" w:rsidTr="008340C1">
        <w:trPr>
          <w:gridAfter w:val="1"/>
          <w:wAfter w:w="10" w:type="dxa"/>
        </w:trPr>
        <w:tc>
          <w:tcPr>
            <w:tcW w:w="6511" w:type="dxa"/>
            <w:hideMark/>
          </w:tcPr>
          <w:p w14:paraId="1E618137" w14:textId="77777777" w:rsidR="00CE75D4" w:rsidRPr="002029AF" w:rsidRDefault="00CE75D4" w:rsidP="008340C1">
            <w:pPr>
              <w:pStyle w:val="ARfintablebodybold"/>
              <w:spacing w:before="20" w:after="10"/>
            </w:pPr>
            <w:r w:rsidRPr="002323B6">
              <w:t>Net increase/(decrease) in cash and deposits</w:t>
            </w:r>
          </w:p>
        </w:tc>
        <w:tc>
          <w:tcPr>
            <w:tcW w:w="850" w:type="dxa"/>
            <w:hideMark/>
          </w:tcPr>
          <w:p w14:paraId="1DA6DCEB" w14:textId="77777777" w:rsidR="00CE75D4" w:rsidRPr="002029AF" w:rsidRDefault="00CE75D4" w:rsidP="008340C1">
            <w:pPr>
              <w:pStyle w:val="ARfintablebodyrightbold"/>
              <w:spacing w:before="20" w:after="10"/>
            </w:pPr>
          </w:p>
        </w:tc>
        <w:tc>
          <w:tcPr>
            <w:tcW w:w="1133" w:type="dxa"/>
            <w:shd w:val="clear" w:color="auto" w:fill="E7E6E6"/>
            <w:noWrap/>
            <w:hideMark/>
          </w:tcPr>
          <w:p w14:paraId="2575F738" w14:textId="77777777" w:rsidR="00CE75D4" w:rsidRPr="002029AF" w:rsidRDefault="00CE75D4" w:rsidP="008340C1">
            <w:pPr>
              <w:pStyle w:val="ARfintablebodyrightbold"/>
              <w:spacing w:before="20" w:after="10"/>
            </w:pPr>
            <w:r w:rsidRPr="002323B6">
              <w:t>(10.9)</w:t>
            </w:r>
          </w:p>
        </w:tc>
        <w:tc>
          <w:tcPr>
            <w:tcW w:w="1133" w:type="dxa"/>
            <w:noWrap/>
            <w:hideMark/>
          </w:tcPr>
          <w:p w14:paraId="3999DCA3" w14:textId="77777777" w:rsidR="00CE75D4" w:rsidRPr="002029AF" w:rsidRDefault="00CE75D4" w:rsidP="008340C1">
            <w:pPr>
              <w:pStyle w:val="ARfintablebodyrightbold"/>
              <w:spacing w:before="20" w:after="10"/>
            </w:pPr>
            <w:r w:rsidRPr="002323B6">
              <w:t>316.3</w:t>
            </w:r>
          </w:p>
        </w:tc>
      </w:tr>
      <w:tr w:rsidR="00CE75D4" w:rsidRPr="002029AF" w14:paraId="1024DCC0" w14:textId="77777777" w:rsidTr="008340C1">
        <w:trPr>
          <w:gridAfter w:val="1"/>
          <w:wAfter w:w="10" w:type="dxa"/>
        </w:trPr>
        <w:tc>
          <w:tcPr>
            <w:tcW w:w="6511" w:type="dxa"/>
            <w:hideMark/>
          </w:tcPr>
          <w:p w14:paraId="72F64D6E" w14:textId="77777777" w:rsidR="00CE75D4" w:rsidRPr="002029AF" w:rsidRDefault="00CE75D4" w:rsidP="008340C1">
            <w:pPr>
              <w:pStyle w:val="ARfintablebody"/>
              <w:spacing w:before="20" w:after="10"/>
            </w:pPr>
            <w:r w:rsidRPr="002323B6">
              <w:t>Cash and deposits at beginning of financial year</w:t>
            </w:r>
          </w:p>
        </w:tc>
        <w:tc>
          <w:tcPr>
            <w:tcW w:w="850" w:type="dxa"/>
            <w:noWrap/>
            <w:hideMark/>
          </w:tcPr>
          <w:p w14:paraId="6E057443" w14:textId="77777777" w:rsidR="00CE75D4" w:rsidRPr="002029AF" w:rsidRDefault="00CE75D4" w:rsidP="008340C1">
            <w:pPr>
              <w:pStyle w:val="ARfintablebodyright"/>
              <w:spacing w:before="20" w:after="10"/>
            </w:pPr>
          </w:p>
        </w:tc>
        <w:tc>
          <w:tcPr>
            <w:tcW w:w="1133" w:type="dxa"/>
            <w:shd w:val="clear" w:color="auto" w:fill="E7E6E6"/>
            <w:noWrap/>
            <w:hideMark/>
          </w:tcPr>
          <w:p w14:paraId="624A1F8E" w14:textId="77777777" w:rsidR="00CE75D4" w:rsidRPr="002029AF" w:rsidRDefault="00CE75D4" w:rsidP="008340C1">
            <w:pPr>
              <w:pStyle w:val="ARfintablebodyright"/>
              <w:spacing w:before="20" w:after="10"/>
            </w:pPr>
            <w:r w:rsidRPr="002323B6">
              <w:t>913.9</w:t>
            </w:r>
          </w:p>
        </w:tc>
        <w:tc>
          <w:tcPr>
            <w:tcW w:w="1133" w:type="dxa"/>
            <w:noWrap/>
            <w:hideMark/>
          </w:tcPr>
          <w:p w14:paraId="50A9761B" w14:textId="77777777" w:rsidR="00CE75D4" w:rsidRPr="002029AF" w:rsidRDefault="00CE75D4" w:rsidP="008340C1">
            <w:pPr>
              <w:pStyle w:val="ARfintablebodyright"/>
              <w:spacing w:before="20" w:after="10"/>
            </w:pPr>
            <w:r w:rsidRPr="002323B6">
              <w:t>597.7</w:t>
            </w:r>
          </w:p>
        </w:tc>
      </w:tr>
      <w:tr w:rsidR="00CE75D4" w:rsidRPr="002029AF" w14:paraId="2DB88B58" w14:textId="77777777" w:rsidTr="008340C1">
        <w:trPr>
          <w:gridAfter w:val="1"/>
          <w:wAfter w:w="10" w:type="dxa"/>
        </w:trPr>
        <w:tc>
          <w:tcPr>
            <w:tcW w:w="6511" w:type="dxa"/>
          </w:tcPr>
          <w:p w14:paraId="71357DA6" w14:textId="77777777" w:rsidR="00CE75D4" w:rsidRPr="00800BB4" w:rsidRDefault="00CE75D4" w:rsidP="008340C1">
            <w:pPr>
              <w:pStyle w:val="ARfintablebody"/>
              <w:spacing w:before="20" w:after="10"/>
            </w:pPr>
            <w:r w:rsidRPr="002323B6">
              <w:t xml:space="preserve">Removal of DFFH-related June 2021 closing balance </w:t>
            </w:r>
            <w:r w:rsidRPr="007919D5">
              <w:rPr>
                <w:rStyle w:val="Superscript"/>
              </w:rPr>
              <w:t>(v)</w:t>
            </w:r>
          </w:p>
        </w:tc>
        <w:tc>
          <w:tcPr>
            <w:tcW w:w="850" w:type="dxa"/>
            <w:noWrap/>
          </w:tcPr>
          <w:p w14:paraId="2C224995" w14:textId="77777777" w:rsidR="00CE75D4" w:rsidRPr="002029AF" w:rsidRDefault="00CE75D4" w:rsidP="008340C1">
            <w:pPr>
              <w:pStyle w:val="ARfintablebodyright"/>
              <w:spacing w:before="20" w:after="10"/>
            </w:pPr>
          </w:p>
        </w:tc>
        <w:tc>
          <w:tcPr>
            <w:tcW w:w="1133" w:type="dxa"/>
            <w:shd w:val="clear" w:color="auto" w:fill="E7E6E6"/>
            <w:noWrap/>
          </w:tcPr>
          <w:p w14:paraId="3A6DB1C5" w14:textId="77777777" w:rsidR="00CE75D4" w:rsidRDefault="00CE75D4" w:rsidP="008340C1">
            <w:pPr>
              <w:pStyle w:val="ARfintablebodyright"/>
              <w:spacing w:before="20" w:after="10"/>
            </w:pPr>
            <w:r w:rsidRPr="002323B6">
              <w:t>(796.5)</w:t>
            </w:r>
          </w:p>
        </w:tc>
        <w:tc>
          <w:tcPr>
            <w:tcW w:w="1133" w:type="dxa"/>
            <w:noWrap/>
          </w:tcPr>
          <w:p w14:paraId="1D49A7D6" w14:textId="77777777" w:rsidR="00CE75D4" w:rsidRPr="00800BB4" w:rsidRDefault="00CE75D4" w:rsidP="008340C1">
            <w:pPr>
              <w:pStyle w:val="ARfintablebodyright"/>
              <w:spacing w:before="20" w:after="10"/>
            </w:pPr>
            <w:r>
              <w:t>–</w:t>
            </w:r>
          </w:p>
        </w:tc>
      </w:tr>
      <w:tr w:rsidR="00CE75D4" w:rsidRPr="002029AF" w14:paraId="022F94FC" w14:textId="77777777" w:rsidTr="008340C1">
        <w:trPr>
          <w:gridAfter w:val="1"/>
          <w:wAfter w:w="10" w:type="dxa"/>
        </w:trPr>
        <w:tc>
          <w:tcPr>
            <w:tcW w:w="6511" w:type="dxa"/>
            <w:hideMark/>
          </w:tcPr>
          <w:p w14:paraId="1BC67734" w14:textId="77777777" w:rsidR="00CE75D4" w:rsidRPr="002029AF" w:rsidRDefault="00CE75D4" w:rsidP="008340C1">
            <w:pPr>
              <w:pStyle w:val="ARfintablebodybold"/>
              <w:spacing w:before="20" w:after="10"/>
            </w:pPr>
            <w:r w:rsidRPr="002323B6">
              <w:t>Cash and deposits at the end of financial year</w:t>
            </w:r>
          </w:p>
        </w:tc>
        <w:tc>
          <w:tcPr>
            <w:tcW w:w="850" w:type="dxa"/>
            <w:noWrap/>
            <w:hideMark/>
          </w:tcPr>
          <w:p w14:paraId="27D7BD44" w14:textId="77777777" w:rsidR="00CE75D4" w:rsidRPr="002029AF" w:rsidRDefault="00CE75D4" w:rsidP="008340C1">
            <w:pPr>
              <w:pStyle w:val="ARfintablebodyright"/>
              <w:spacing w:before="20" w:after="10"/>
            </w:pPr>
            <w:r w:rsidRPr="002323B6">
              <w:t>7.3</w:t>
            </w:r>
          </w:p>
        </w:tc>
        <w:tc>
          <w:tcPr>
            <w:tcW w:w="1133" w:type="dxa"/>
            <w:shd w:val="clear" w:color="auto" w:fill="E7E6E6"/>
            <w:noWrap/>
            <w:hideMark/>
          </w:tcPr>
          <w:p w14:paraId="1A849619" w14:textId="77777777" w:rsidR="00CE75D4" w:rsidRPr="002029AF" w:rsidRDefault="00CE75D4" w:rsidP="008340C1">
            <w:pPr>
              <w:pStyle w:val="ARfintablebodyrightbold"/>
              <w:spacing w:before="20" w:after="10"/>
            </w:pPr>
            <w:r w:rsidRPr="002323B6">
              <w:t>106.3</w:t>
            </w:r>
          </w:p>
        </w:tc>
        <w:tc>
          <w:tcPr>
            <w:tcW w:w="1133" w:type="dxa"/>
            <w:noWrap/>
            <w:hideMark/>
          </w:tcPr>
          <w:p w14:paraId="6B7EFFFE" w14:textId="77777777" w:rsidR="00CE75D4" w:rsidRPr="002029AF" w:rsidRDefault="00CE75D4" w:rsidP="008340C1">
            <w:pPr>
              <w:pStyle w:val="ARfintablebodyrightbold"/>
              <w:spacing w:before="20" w:after="10"/>
            </w:pPr>
            <w:r w:rsidRPr="002323B6">
              <w:t>913.9</w:t>
            </w:r>
          </w:p>
        </w:tc>
      </w:tr>
    </w:tbl>
    <w:p w14:paraId="767335A0" w14:textId="77777777" w:rsidR="00CE75D4" w:rsidRDefault="00CE75D4" w:rsidP="008340C1">
      <w:pPr>
        <w:pStyle w:val="ARfintablefootnote"/>
      </w:pPr>
      <w:r>
        <w:t>The cash flow statement should be read in conjunction with the notes to the financial statements.</w:t>
      </w:r>
    </w:p>
    <w:p w14:paraId="3CDD302A" w14:textId="77777777" w:rsidR="00CE75D4" w:rsidRDefault="00CE75D4" w:rsidP="008340C1">
      <w:pPr>
        <w:pStyle w:val="ARfintablefootnote"/>
      </w:pPr>
      <w:r>
        <w:t>Notes:</w:t>
      </w:r>
    </w:p>
    <w:p w14:paraId="0C8DA163" w14:textId="5B732B3E" w:rsidR="00CE75D4" w:rsidRDefault="00CE75D4" w:rsidP="008F6CE1">
      <w:pPr>
        <w:pStyle w:val="ARfintablefootnoteindent"/>
      </w:pPr>
      <w:r>
        <w:t>(i)</w:t>
      </w:r>
      <w:r>
        <w:tab/>
        <w:t>2021 numbers include the 30 June 2021 closing balances of the DFFH, the Victorian Disability Worker Commission and the Director of Housing.</w:t>
      </w:r>
    </w:p>
    <w:p w14:paraId="30751C8C" w14:textId="77777777" w:rsidR="00CE75D4" w:rsidRDefault="00CE75D4" w:rsidP="008340C1">
      <w:pPr>
        <w:pStyle w:val="ARfintablefootnoteindent"/>
      </w:pPr>
      <w:r>
        <w:t>(ii)</w:t>
      </w:r>
      <w:r>
        <w:tab/>
        <w:t>Goods and services tax (GST) recovered from the Australian Taxation Office is presented on a net basis.</w:t>
      </w:r>
    </w:p>
    <w:p w14:paraId="17D4E893" w14:textId="77777777" w:rsidR="00CE75D4" w:rsidRDefault="00CE75D4" w:rsidP="008340C1">
      <w:pPr>
        <w:pStyle w:val="ARfintablefootnoteindent"/>
      </w:pPr>
      <w:r>
        <w:t>(iii)</w:t>
      </w:r>
      <w:r>
        <w:tab/>
        <w:t>Capital asset charge policy was discontinued in 2021–22. Refer to Note 3.1.3.</w:t>
      </w:r>
    </w:p>
    <w:p w14:paraId="5DEB0E57" w14:textId="0105047C" w:rsidR="00CE75D4" w:rsidRDefault="00CE75D4" w:rsidP="008340C1">
      <w:pPr>
        <w:pStyle w:val="ARfintablefootnoteindent"/>
      </w:pPr>
      <w:r>
        <w:t>(iv)</w:t>
      </w:r>
      <w:r>
        <w:tab/>
        <w:t xml:space="preserve">The department has recognised cash payments for the principal portion of lease payments as financing activities, </w:t>
      </w:r>
      <w:r w:rsidR="00E65277">
        <w:t xml:space="preserve">and </w:t>
      </w:r>
      <w:r>
        <w:t>cash payments for the interest portion as operating activities consistent with the presentation of interest payments and short-term lease payments for leases and low-value assets as operating activities.</w:t>
      </w:r>
    </w:p>
    <w:p w14:paraId="1D920FA0" w14:textId="77777777" w:rsidR="00CE75D4" w:rsidRDefault="00CE75D4" w:rsidP="008340C1">
      <w:pPr>
        <w:pStyle w:val="ARfintablefootnoteindent"/>
      </w:pPr>
      <w:r>
        <w:t>(v)</w:t>
      </w:r>
      <w:r>
        <w:tab/>
      </w:r>
      <w:bookmarkStart w:id="505" w:name="_Hlk113205343"/>
      <w:r>
        <w:t xml:space="preserve">Removes the 30 June 2021 closing balances of the DFFH, the Victorian Disability Worker Commission and the Director of Housing, which were included in the department’s 2020–21 financial statements under s. 53(1)(b) of the </w:t>
      </w:r>
      <w:r w:rsidRPr="00341B37">
        <w:rPr>
          <w:i/>
          <w:iCs/>
        </w:rPr>
        <w:t>Financial Management Act</w:t>
      </w:r>
      <w:r>
        <w:t xml:space="preserve"> (FMA). The transactions which relate to these entities are reported in the DFFH’s 2021–22 financial statements.</w:t>
      </w:r>
    </w:p>
    <w:bookmarkEnd w:id="505"/>
    <w:p w14:paraId="076E35CF" w14:textId="77777777" w:rsidR="00CE75D4" w:rsidRPr="0040433B" w:rsidRDefault="00CE75D4" w:rsidP="008340C1">
      <w:pPr>
        <w:pStyle w:val="ARfinbody"/>
      </w:pPr>
      <w:r w:rsidRPr="0040433B">
        <w:br w:type="page"/>
      </w:r>
    </w:p>
    <w:p w14:paraId="2A130105" w14:textId="77777777" w:rsidR="00CE75D4" w:rsidRPr="002029AF" w:rsidRDefault="00CE75D4" w:rsidP="008340C1">
      <w:pPr>
        <w:pStyle w:val="Heading2Financials"/>
      </w:pPr>
      <w:bookmarkStart w:id="506" w:name="_Toc113702957"/>
      <w:r>
        <w:t>Statement of changes in equity</w:t>
      </w:r>
      <w:r>
        <w:br/>
        <w:t>for the financial year ended 30 June 202</w:t>
      </w:r>
      <w:bookmarkEnd w:id="503"/>
      <w:r>
        <w:t>2</w:t>
      </w:r>
      <w:bookmarkEnd w:id="506"/>
    </w:p>
    <w:tbl>
      <w:tblPr>
        <w:tblStyle w:val="TableGrid"/>
        <w:tblW w:w="9644" w:type="dxa"/>
        <w:tblLayout w:type="fixed"/>
        <w:tblLook w:val="06A0" w:firstRow="1" w:lastRow="0" w:firstColumn="1" w:lastColumn="0" w:noHBand="1" w:noVBand="1"/>
      </w:tblPr>
      <w:tblGrid>
        <w:gridCol w:w="3573"/>
        <w:gridCol w:w="851"/>
        <w:gridCol w:w="1305"/>
        <w:gridCol w:w="1305"/>
        <w:gridCol w:w="1305"/>
        <w:gridCol w:w="1305"/>
      </w:tblGrid>
      <w:tr w:rsidR="00CE75D4" w:rsidRPr="002029AF" w14:paraId="508ADB35"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3573" w:type="dxa"/>
            <w:tcBorders>
              <w:bottom w:val="single" w:sz="4" w:space="0" w:color="auto"/>
            </w:tcBorders>
            <w:hideMark/>
          </w:tcPr>
          <w:p w14:paraId="361AE6D9" w14:textId="77777777" w:rsidR="00CE75D4" w:rsidRPr="002029AF" w:rsidRDefault="00CE75D4" w:rsidP="008340C1">
            <w:pPr>
              <w:pStyle w:val="ARfintablecolhead"/>
            </w:pPr>
          </w:p>
        </w:tc>
        <w:tc>
          <w:tcPr>
            <w:tcW w:w="851" w:type="dxa"/>
            <w:tcBorders>
              <w:bottom w:val="single" w:sz="4" w:space="0" w:color="auto"/>
            </w:tcBorders>
            <w:hideMark/>
          </w:tcPr>
          <w:p w14:paraId="4116D7FE" w14:textId="77777777" w:rsidR="00CE75D4" w:rsidRPr="002029AF" w:rsidRDefault="00CE75D4" w:rsidP="008340C1">
            <w:pPr>
              <w:pStyle w:val="ARfintablecolheadright"/>
            </w:pPr>
            <w:r w:rsidRPr="002029AF">
              <w:t>Note</w:t>
            </w:r>
          </w:p>
        </w:tc>
        <w:tc>
          <w:tcPr>
            <w:tcW w:w="1305" w:type="dxa"/>
            <w:tcBorders>
              <w:bottom w:val="single" w:sz="4" w:space="0" w:color="auto"/>
            </w:tcBorders>
            <w:hideMark/>
          </w:tcPr>
          <w:p w14:paraId="2468F7DA" w14:textId="77777777" w:rsidR="00CE75D4" w:rsidRPr="002029AF" w:rsidRDefault="00CE75D4" w:rsidP="008340C1">
            <w:pPr>
              <w:pStyle w:val="ARfintablecolheadright"/>
            </w:pPr>
            <w:r w:rsidRPr="002029AF">
              <w:t>Physical</w:t>
            </w:r>
            <w:r w:rsidRPr="002029AF">
              <w:br/>
              <w:t>asset</w:t>
            </w:r>
            <w:r w:rsidRPr="002029AF">
              <w:br/>
              <w:t>revaluation</w:t>
            </w:r>
            <w:r w:rsidRPr="002029AF">
              <w:br/>
              <w:t>surplus</w:t>
            </w:r>
          </w:p>
          <w:p w14:paraId="69F93218" w14:textId="77777777" w:rsidR="00CE75D4" w:rsidRPr="002029AF" w:rsidRDefault="00CE75D4" w:rsidP="008340C1">
            <w:pPr>
              <w:pStyle w:val="ARfintablecolheadright"/>
            </w:pPr>
            <w:r w:rsidRPr="002029AF">
              <w:t>$M</w:t>
            </w:r>
          </w:p>
        </w:tc>
        <w:tc>
          <w:tcPr>
            <w:tcW w:w="1305" w:type="dxa"/>
            <w:tcBorders>
              <w:bottom w:val="single" w:sz="4" w:space="0" w:color="auto"/>
            </w:tcBorders>
            <w:hideMark/>
          </w:tcPr>
          <w:p w14:paraId="1803C300" w14:textId="77777777" w:rsidR="00CE75D4" w:rsidRPr="002029AF" w:rsidRDefault="00CE75D4" w:rsidP="008340C1">
            <w:pPr>
              <w:pStyle w:val="ARfintablecolheadright"/>
            </w:pPr>
            <w:r w:rsidRPr="002029AF">
              <w:t>Accumu</w:t>
            </w:r>
            <w:r>
              <w:rPr>
                <w:rFonts w:ascii="Calibri" w:hAnsi="Calibri" w:cs="Calibri"/>
              </w:rPr>
              <w:t>‐</w:t>
            </w:r>
            <w:r w:rsidRPr="002029AF">
              <w:t>lated</w:t>
            </w:r>
            <w:r w:rsidRPr="002029AF">
              <w:br/>
              <w:t>surplus/</w:t>
            </w:r>
            <w:r w:rsidRPr="002029AF">
              <w:br/>
              <w:t>(deficit)</w:t>
            </w:r>
          </w:p>
          <w:p w14:paraId="635C8946" w14:textId="77777777" w:rsidR="00CE75D4" w:rsidRPr="002029AF" w:rsidRDefault="00CE75D4" w:rsidP="008340C1">
            <w:pPr>
              <w:pStyle w:val="ARfintablecolheadright"/>
            </w:pPr>
            <w:r w:rsidRPr="002029AF">
              <w:t>$M</w:t>
            </w:r>
          </w:p>
        </w:tc>
        <w:tc>
          <w:tcPr>
            <w:tcW w:w="1305" w:type="dxa"/>
            <w:tcBorders>
              <w:bottom w:val="single" w:sz="4" w:space="0" w:color="auto"/>
            </w:tcBorders>
            <w:hideMark/>
          </w:tcPr>
          <w:p w14:paraId="700B3E0F" w14:textId="77777777" w:rsidR="00CE75D4" w:rsidRPr="002029AF" w:rsidRDefault="00CE75D4" w:rsidP="008340C1">
            <w:pPr>
              <w:pStyle w:val="ARfintablecolheadright"/>
            </w:pPr>
            <w:r w:rsidRPr="002029AF">
              <w:t>Contributed capital</w:t>
            </w:r>
          </w:p>
          <w:p w14:paraId="7A58BA69" w14:textId="77777777" w:rsidR="00CE75D4" w:rsidRPr="002029AF" w:rsidRDefault="00CE75D4" w:rsidP="008340C1">
            <w:pPr>
              <w:pStyle w:val="ARfintablecolheadright"/>
            </w:pPr>
            <w:r w:rsidRPr="002029AF">
              <w:t>$M</w:t>
            </w:r>
          </w:p>
        </w:tc>
        <w:tc>
          <w:tcPr>
            <w:tcW w:w="1305" w:type="dxa"/>
            <w:tcBorders>
              <w:bottom w:val="single" w:sz="4" w:space="0" w:color="auto"/>
            </w:tcBorders>
            <w:hideMark/>
          </w:tcPr>
          <w:p w14:paraId="38F43CD0" w14:textId="77777777" w:rsidR="00CE75D4" w:rsidRPr="002029AF" w:rsidRDefault="00CE75D4" w:rsidP="008340C1">
            <w:pPr>
              <w:pStyle w:val="ARfintablecolheadright"/>
            </w:pPr>
            <w:r w:rsidRPr="002029AF">
              <w:t>Total</w:t>
            </w:r>
          </w:p>
          <w:p w14:paraId="0CCDDC58" w14:textId="77777777" w:rsidR="00CE75D4" w:rsidRPr="002029AF" w:rsidRDefault="00CE75D4" w:rsidP="008340C1">
            <w:pPr>
              <w:pStyle w:val="ARfintablecolheadright"/>
            </w:pPr>
            <w:r w:rsidRPr="002029AF">
              <w:t>$M</w:t>
            </w:r>
          </w:p>
        </w:tc>
      </w:tr>
      <w:tr w:rsidR="00CE75D4" w:rsidRPr="002029AF" w14:paraId="4EF46CAF" w14:textId="77777777" w:rsidTr="3D493511">
        <w:tc>
          <w:tcPr>
            <w:tcW w:w="3573" w:type="dxa"/>
            <w:tcBorders>
              <w:top w:val="single" w:sz="4" w:space="0" w:color="auto"/>
              <w:bottom w:val="single" w:sz="4" w:space="0" w:color="A6A6A6" w:themeColor="background1" w:themeShade="A6"/>
            </w:tcBorders>
            <w:hideMark/>
          </w:tcPr>
          <w:p w14:paraId="7A0865C7" w14:textId="77777777" w:rsidR="00CE75D4" w:rsidRPr="002029AF" w:rsidRDefault="00CE75D4" w:rsidP="008340C1">
            <w:pPr>
              <w:pStyle w:val="ARfintablebodybold"/>
            </w:pPr>
            <w:r w:rsidRPr="001A0205">
              <w:t>Balance at 1 July 2020</w:t>
            </w:r>
          </w:p>
        </w:tc>
        <w:tc>
          <w:tcPr>
            <w:tcW w:w="851" w:type="dxa"/>
            <w:tcBorders>
              <w:top w:val="single" w:sz="4" w:space="0" w:color="auto"/>
              <w:bottom w:val="single" w:sz="4" w:space="0" w:color="A6A6A6" w:themeColor="background1" w:themeShade="A6"/>
            </w:tcBorders>
            <w:hideMark/>
          </w:tcPr>
          <w:p w14:paraId="2F358838" w14:textId="77777777" w:rsidR="00CE75D4" w:rsidRPr="002029AF" w:rsidRDefault="00CE75D4" w:rsidP="008340C1">
            <w:pPr>
              <w:pStyle w:val="ARfintablebodyright"/>
            </w:pPr>
          </w:p>
        </w:tc>
        <w:tc>
          <w:tcPr>
            <w:tcW w:w="1305" w:type="dxa"/>
            <w:tcBorders>
              <w:top w:val="single" w:sz="4" w:space="0" w:color="auto"/>
              <w:bottom w:val="single" w:sz="4" w:space="0" w:color="A6A6A6" w:themeColor="background1" w:themeShade="A6"/>
            </w:tcBorders>
            <w:noWrap/>
            <w:hideMark/>
          </w:tcPr>
          <w:p w14:paraId="33B788A9" w14:textId="77777777" w:rsidR="00CE75D4" w:rsidRPr="002029AF" w:rsidRDefault="00CE75D4" w:rsidP="008340C1">
            <w:pPr>
              <w:pStyle w:val="ARfintablebodyrightbold"/>
            </w:pPr>
            <w:r w:rsidRPr="001A0205">
              <w:t>7,377.2</w:t>
            </w:r>
          </w:p>
        </w:tc>
        <w:tc>
          <w:tcPr>
            <w:tcW w:w="1305" w:type="dxa"/>
            <w:tcBorders>
              <w:top w:val="single" w:sz="4" w:space="0" w:color="auto"/>
              <w:bottom w:val="single" w:sz="4" w:space="0" w:color="A6A6A6" w:themeColor="background1" w:themeShade="A6"/>
            </w:tcBorders>
            <w:noWrap/>
            <w:hideMark/>
          </w:tcPr>
          <w:p w14:paraId="23029DB4" w14:textId="77777777" w:rsidR="00CE75D4" w:rsidRPr="002029AF" w:rsidRDefault="00CE75D4" w:rsidP="008340C1">
            <w:pPr>
              <w:pStyle w:val="ARfintablebodyrightbold"/>
            </w:pPr>
            <w:r w:rsidRPr="001A0205">
              <w:t>2,145.0</w:t>
            </w:r>
          </w:p>
        </w:tc>
        <w:tc>
          <w:tcPr>
            <w:tcW w:w="1305" w:type="dxa"/>
            <w:tcBorders>
              <w:top w:val="single" w:sz="4" w:space="0" w:color="auto"/>
              <w:bottom w:val="single" w:sz="4" w:space="0" w:color="A6A6A6" w:themeColor="background1" w:themeShade="A6"/>
            </w:tcBorders>
            <w:noWrap/>
            <w:hideMark/>
          </w:tcPr>
          <w:p w14:paraId="3668C1DB" w14:textId="77777777" w:rsidR="00CE75D4" w:rsidRPr="002029AF" w:rsidRDefault="00CE75D4" w:rsidP="008340C1">
            <w:pPr>
              <w:pStyle w:val="ARfintablebodyrightbold"/>
            </w:pPr>
            <w:r w:rsidRPr="001A0205">
              <w:t>22,415.0</w:t>
            </w:r>
          </w:p>
        </w:tc>
        <w:tc>
          <w:tcPr>
            <w:tcW w:w="1305" w:type="dxa"/>
            <w:tcBorders>
              <w:top w:val="single" w:sz="4" w:space="0" w:color="auto"/>
              <w:bottom w:val="single" w:sz="4" w:space="0" w:color="A6A6A6" w:themeColor="background1" w:themeShade="A6"/>
            </w:tcBorders>
            <w:noWrap/>
            <w:hideMark/>
          </w:tcPr>
          <w:p w14:paraId="6BE1C2A0" w14:textId="77777777" w:rsidR="00CE75D4" w:rsidRPr="002029AF" w:rsidRDefault="00CE75D4" w:rsidP="008340C1">
            <w:pPr>
              <w:pStyle w:val="ARfintablebodyrightbold"/>
            </w:pPr>
            <w:r w:rsidRPr="001A0205">
              <w:t>31,937.2</w:t>
            </w:r>
          </w:p>
        </w:tc>
      </w:tr>
      <w:tr w:rsidR="00CE75D4" w:rsidRPr="002029AF" w14:paraId="74B97E4B" w14:textId="77777777" w:rsidTr="3D493511">
        <w:tc>
          <w:tcPr>
            <w:tcW w:w="3573" w:type="dxa"/>
            <w:tcBorders>
              <w:top w:val="single" w:sz="4" w:space="0" w:color="A6A6A6" w:themeColor="background1" w:themeShade="A6"/>
              <w:bottom w:val="single" w:sz="4" w:space="0" w:color="A6A6A6" w:themeColor="background1" w:themeShade="A6"/>
              <w:right w:val="nil"/>
            </w:tcBorders>
            <w:hideMark/>
          </w:tcPr>
          <w:p w14:paraId="11FA5975" w14:textId="77777777" w:rsidR="00CE75D4" w:rsidRPr="002029AF" w:rsidRDefault="00CE75D4" w:rsidP="008340C1">
            <w:pPr>
              <w:pStyle w:val="ARfintablebody"/>
            </w:pPr>
            <w:r w:rsidRPr="001A0205">
              <w:t xml:space="preserve">Prior period </w:t>
            </w:r>
            <w:r>
              <w:t xml:space="preserve">adjustments </w:t>
            </w:r>
            <w:r w:rsidRPr="00696718">
              <w:rPr>
                <w:rStyle w:val="Superscript"/>
              </w:rPr>
              <w:t>(</w:t>
            </w:r>
            <w:r>
              <w:rPr>
                <w:rStyle w:val="Superscript"/>
              </w:rPr>
              <w:t>i</w:t>
            </w:r>
            <w:r w:rsidRPr="00696718">
              <w:rPr>
                <w:rStyle w:val="Superscript"/>
              </w:rPr>
              <w:t>)</w:t>
            </w:r>
          </w:p>
        </w:tc>
        <w:tc>
          <w:tcPr>
            <w:tcW w:w="851" w:type="dxa"/>
            <w:tcBorders>
              <w:top w:val="single" w:sz="4" w:space="0" w:color="A6A6A6" w:themeColor="background1" w:themeShade="A6"/>
              <w:left w:val="nil"/>
              <w:bottom w:val="single" w:sz="4" w:space="0" w:color="A6A6A6" w:themeColor="background1" w:themeShade="A6"/>
              <w:right w:val="nil"/>
            </w:tcBorders>
            <w:hideMark/>
          </w:tcPr>
          <w:p w14:paraId="4C4695D9" w14:textId="77777777" w:rsidR="00CE75D4" w:rsidRPr="002029AF" w:rsidRDefault="00CE75D4" w:rsidP="008340C1">
            <w:pPr>
              <w:pStyle w:val="ARfintablebodyright"/>
            </w:pPr>
            <w:r w:rsidRPr="001A0205">
              <w:t>9.4</w:t>
            </w:r>
          </w:p>
        </w:tc>
        <w:tc>
          <w:tcPr>
            <w:tcW w:w="1305" w:type="dxa"/>
            <w:tcBorders>
              <w:top w:val="single" w:sz="4" w:space="0" w:color="A6A6A6" w:themeColor="background1" w:themeShade="A6"/>
              <w:left w:val="nil"/>
              <w:bottom w:val="single" w:sz="4" w:space="0" w:color="A6A6A6" w:themeColor="background1" w:themeShade="A6"/>
              <w:right w:val="nil"/>
            </w:tcBorders>
            <w:noWrap/>
            <w:hideMark/>
          </w:tcPr>
          <w:p w14:paraId="4AEF9673" w14:textId="77777777" w:rsidR="00CE75D4" w:rsidRPr="002029AF" w:rsidRDefault="00CE75D4" w:rsidP="008340C1">
            <w:pPr>
              <w:pStyle w:val="ARfintablebodyright"/>
            </w:pPr>
            <w:r>
              <w:t>–</w:t>
            </w:r>
          </w:p>
        </w:tc>
        <w:tc>
          <w:tcPr>
            <w:tcW w:w="1305" w:type="dxa"/>
            <w:tcBorders>
              <w:top w:val="single" w:sz="4" w:space="0" w:color="A6A6A6" w:themeColor="background1" w:themeShade="A6"/>
              <w:left w:val="nil"/>
              <w:bottom w:val="single" w:sz="4" w:space="0" w:color="A6A6A6" w:themeColor="background1" w:themeShade="A6"/>
              <w:right w:val="nil"/>
            </w:tcBorders>
            <w:noWrap/>
            <w:hideMark/>
          </w:tcPr>
          <w:p w14:paraId="646B93D7" w14:textId="77777777" w:rsidR="00CE75D4" w:rsidRPr="002029AF" w:rsidRDefault="00CE75D4" w:rsidP="008340C1">
            <w:pPr>
              <w:pStyle w:val="ARfintablebodyright"/>
            </w:pPr>
            <w:r w:rsidRPr="001A0205">
              <w:t>55.7</w:t>
            </w:r>
          </w:p>
        </w:tc>
        <w:tc>
          <w:tcPr>
            <w:tcW w:w="1305" w:type="dxa"/>
            <w:tcBorders>
              <w:top w:val="single" w:sz="4" w:space="0" w:color="A6A6A6" w:themeColor="background1" w:themeShade="A6"/>
              <w:left w:val="nil"/>
              <w:bottom w:val="single" w:sz="4" w:space="0" w:color="A6A6A6" w:themeColor="background1" w:themeShade="A6"/>
              <w:right w:val="nil"/>
            </w:tcBorders>
            <w:noWrap/>
            <w:hideMark/>
          </w:tcPr>
          <w:p w14:paraId="0E1385B0" w14:textId="77777777" w:rsidR="00CE75D4" w:rsidRPr="002029AF" w:rsidRDefault="00CE75D4" w:rsidP="008340C1">
            <w:pPr>
              <w:pStyle w:val="ARfintablebodyright"/>
            </w:pPr>
            <w:r>
              <w:t>–</w:t>
            </w:r>
          </w:p>
        </w:tc>
        <w:tc>
          <w:tcPr>
            <w:tcW w:w="1305" w:type="dxa"/>
            <w:tcBorders>
              <w:top w:val="single" w:sz="4" w:space="0" w:color="A6A6A6" w:themeColor="background1" w:themeShade="A6"/>
              <w:left w:val="nil"/>
              <w:bottom w:val="single" w:sz="4" w:space="0" w:color="A6A6A6" w:themeColor="background1" w:themeShade="A6"/>
            </w:tcBorders>
            <w:noWrap/>
            <w:hideMark/>
          </w:tcPr>
          <w:p w14:paraId="1DFC579A" w14:textId="77777777" w:rsidR="00CE75D4" w:rsidRPr="002029AF" w:rsidRDefault="00CE75D4" w:rsidP="008340C1">
            <w:pPr>
              <w:pStyle w:val="ARfintablebodyright"/>
            </w:pPr>
            <w:r w:rsidRPr="001A0205">
              <w:t>55.7</w:t>
            </w:r>
          </w:p>
        </w:tc>
      </w:tr>
      <w:tr w:rsidR="00CE75D4" w:rsidRPr="002029AF" w14:paraId="2592458D" w14:textId="77777777" w:rsidTr="3D493511">
        <w:tc>
          <w:tcPr>
            <w:tcW w:w="3573" w:type="dxa"/>
            <w:tcBorders>
              <w:top w:val="single" w:sz="4" w:space="0" w:color="A6A6A6" w:themeColor="background1" w:themeShade="A6"/>
              <w:bottom w:val="single" w:sz="4" w:space="0" w:color="A6A6A6" w:themeColor="background1" w:themeShade="A6"/>
              <w:right w:val="nil"/>
            </w:tcBorders>
            <w:hideMark/>
          </w:tcPr>
          <w:p w14:paraId="0B2EEACD" w14:textId="77777777" w:rsidR="00CE75D4" w:rsidRPr="002029AF" w:rsidRDefault="00CE75D4" w:rsidP="008340C1">
            <w:pPr>
              <w:pStyle w:val="ARfintablebodybold"/>
            </w:pPr>
            <w:r w:rsidRPr="001A0205">
              <w:t>Restated balance at 1 July 2020</w:t>
            </w:r>
          </w:p>
        </w:tc>
        <w:tc>
          <w:tcPr>
            <w:tcW w:w="851" w:type="dxa"/>
            <w:tcBorders>
              <w:top w:val="single" w:sz="4" w:space="0" w:color="A6A6A6" w:themeColor="background1" w:themeShade="A6"/>
              <w:left w:val="nil"/>
              <w:bottom w:val="single" w:sz="4" w:space="0" w:color="A6A6A6" w:themeColor="background1" w:themeShade="A6"/>
              <w:right w:val="nil"/>
            </w:tcBorders>
            <w:hideMark/>
          </w:tcPr>
          <w:p w14:paraId="21F26F00" w14:textId="77777777" w:rsidR="00CE75D4" w:rsidRPr="002029AF" w:rsidRDefault="00CE75D4" w:rsidP="008340C1">
            <w:pPr>
              <w:pStyle w:val="ARfintablebodyright"/>
            </w:pPr>
          </w:p>
        </w:tc>
        <w:tc>
          <w:tcPr>
            <w:tcW w:w="1305" w:type="dxa"/>
            <w:tcBorders>
              <w:top w:val="single" w:sz="4" w:space="0" w:color="A6A6A6" w:themeColor="background1" w:themeShade="A6"/>
              <w:left w:val="nil"/>
              <w:bottom w:val="single" w:sz="4" w:space="0" w:color="A6A6A6" w:themeColor="background1" w:themeShade="A6"/>
              <w:right w:val="nil"/>
            </w:tcBorders>
            <w:noWrap/>
            <w:hideMark/>
          </w:tcPr>
          <w:p w14:paraId="6C991323" w14:textId="77777777" w:rsidR="00CE75D4" w:rsidRPr="002029AF" w:rsidRDefault="00CE75D4" w:rsidP="008340C1">
            <w:pPr>
              <w:pStyle w:val="ARfintablebodyrightbold"/>
            </w:pPr>
            <w:r w:rsidRPr="001A0205">
              <w:t>7,377.2</w:t>
            </w:r>
          </w:p>
        </w:tc>
        <w:tc>
          <w:tcPr>
            <w:tcW w:w="1305" w:type="dxa"/>
            <w:tcBorders>
              <w:top w:val="single" w:sz="4" w:space="0" w:color="A6A6A6" w:themeColor="background1" w:themeShade="A6"/>
              <w:left w:val="nil"/>
              <w:bottom w:val="single" w:sz="4" w:space="0" w:color="A6A6A6" w:themeColor="background1" w:themeShade="A6"/>
              <w:right w:val="nil"/>
            </w:tcBorders>
            <w:noWrap/>
            <w:hideMark/>
          </w:tcPr>
          <w:p w14:paraId="47801223" w14:textId="77777777" w:rsidR="00CE75D4" w:rsidRPr="002029AF" w:rsidRDefault="00CE75D4" w:rsidP="008340C1">
            <w:pPr>
              <w:pStyle w:val="ARfintablebodyrightbold"/>
            </w:pPr>
            <w:r w:rsidRPr="001A0205">
              <w:t>2,200.7</w:t>
            </w:r>
          </w:p>
        </w:tc>
        <w:tc>
          <w:tcPr>
            <w:tcW w:w="1305" w:type="dxa"/>
            <w:tcBorders>
              <w:top w:val="single" w:sz="4" w:space="0" w:color="A6A6A6" w:themeColor="background1" w:themeShade="A6"/>
              <w:left w:val="nil"/>
              <w:bottom w:val="single" w:sz="4" w:space="0" w:color="A6A6A6" w:themeColor="background1" w:themeShade="A6"/>
              <w:right w:val="nil"/>
            </w:tcBorders>
            <w:noWrap/>
            <w:hideMark/>
          </w:tcPr>
          <w:p w14:paraId="17449C43" w14:textId="77777777" w:rsidR="00CE75D4" w:rsidRPr="002029AF" w:rsidRDefault="00CE75D4" w:rsidP="008340C1">
            <w:pPr>
              <w:pStyle w:val="ARfintablebodyrightbold"/>
            </w:pPr>
            <w:r w:rsidRPr="001A0205">
              <w:t>22,415.0</w:t>
            </w:r>
          </w:p>
        </w:tc>
        <w:tc>
          <w:tcPr>
            <w:tcW w:w="1305" w:type="dxa"/>
            <w:tcBorders>
              <w:top w:val="single" w:sz="4" w:space="0" w:color="A6A6A6" w:themeColor="background1" w:themeShade="A6"/>
              <w:left w:val="nil"/>
              <w:bottom w:val="single" w:sz="4" w:space="0" w:color="A6A6A6" w:themeColor="background1" w:themeShade="A6"/>
            </w:tcBorders>
            <w:noWrap/>
            <w:hideMark/>
          </w:tcPr>
          <w:p w14:paraId="3E2B7E1F" w14:textId="77777777" w:rsidR="00CE75D4" w:rsidRPr="002029AF" w:rsidRDefault="00CE75D4" w:rsidP="008340C1">
            <w:pPr>
              <w:pStyle w:val="ARfintablebodyrightbold"/>
            </w:pPr>
            <w:r w:rsidRPr="001A0205">
              <w:t>31,992.9</w:t>
            </w:r>
          </w:p>
        </w:tc>
      </w:tr>
      <w:tr w:rsidR="00CE75D4" w:rsidRPr="002029AF" w14:paraId="158E13A7" w14:textId="77777777" w:rsidTr="3D493511">
        <w:tc>
          <w:tcPr>
            <w:tcW w:w="3573" w:type="dxa"/>
            <w:tcBorders>
              <w:top w:val="single" w:sz="4" w:space="0" w:color="A6A6A6" w:themeColor="background1" w:themeShade="A6"/>
              <w:bottom w:val="single" w:sz="4" w:space="0" w:color="A6A6A6" w:themeColor="background1" w:themeShade="A6"/>
            </w:tcBorders>
            <w:hideMark/>
          </w:tcPr>
          <w:p w14:paraId="77830757" w14:textId="77777777" w:rsidR="00CE75D4" w:rsidRPr="002029AF" w:rsidRDefault="00CE75D4" w:rsidP="008340C1">
            <w:pPr>
              <w:pStyle w:val="ARfintablebody"/>
            </w:pPr>
            <w:r w:rsidRPr="001A0205">
              <w:t>Net result for the year</w:t>
            </w:r>
          </w:p>
        </w:tc>
        <w:tc>
          <w:tcPr>
            <w:tcW w:w="851" w:type="dxa"/>
            <w:tcBorders>
              <w:top w:val="single" w:sz="4" w:space="0" w:color="A6A6A6" w:themeColor="background1" w:themeShade="A6"/>
              <w:bottom w:val="single" w:sz="4" w:space="0" w:color="A6A6A6" w:themeColor="background1" w:themeShade="A6"/>
            </w:tcBorders>
            <w:hideMark/>
          </w:tcPr>
          <w:p w14:paraId="78BD7BA1" w14:textId="77777777" w:rsidR="00CE75D4" w:rsidRPr="002029AF" w:rsidRDefault="00CE75D4" w:rsidP="008340C1">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183CC667"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6E941B15" w14:textId="77777777" w:rsidR="00CE75D4" w:rsidRPr="002029AF" w:rsidRDefault="00CE75D4" w:rsidP="008340C1">
            <w:pPr>
              <w:pStyle w:val="ARfintablebodyright"/>
            </w:pPr>
            <w:r w:rsidRPr="001A0205">
              <w:t>513.9</w:t>
            </w:r>
          </w:p>
        </w:tc>
        <w:tc>
          <w:tcPr>
            <w:tcW w:w="1305" w:type="dxa"/>
            <w:tcBorders>
              <w:top w:val="single" w:sz="4" w:space="0" w:color="A6A6A6" w:themeColor="background1" w:themeShade="A6"/>
              <w:bottom w:val="single" w:sz="4" w:space="0" w:color="A6A6A6" w:themeColor="background1" w:themeShade="A6"/>
            </w:tcBorders>
            <w:noWrap/>
            <w:hideMark/>
          </w:tcPr>
          <w:p w14:paraId="42DFE146"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21D222CF" w14:textId="77777777" w:rsidR="00CE75D4" w:rsidRPr="002029AF" w:rsidRDefault="00CE75D4" w:rsidP="008340C1">
            <w:pPr>
              <w:pStyle w:val="ARfintablebodyright"/>
            </w:pPr>
            <w:r w:rsidRPr="001A0205">
              <w:t>513.9</w:t>
            </w:r>
          </w:p>
        </w:tc>
      </w:tr>
      <w:tr w:rsidR="00CE75D4" w:rsidRPr="002029AF" w14:paraId="51A6E099" w14:textId="77777777" w:rsidTr="3D493511">
        <w:tc>
          <w:tcPr>
            <w:tcW w:w="3573" w:type="dxa"/>
            <w:tcBorders>
              <w:top w:val="single" w:sz="4" w:space="0" w:color="A6A6A6" w:themeColor="background1" w:themeShade="A6"/>
              <w:bottom w:val="single" w:sz="4" w:space="0" w:color="A6A6A6" w:themeColor="background1" w:themeShade="A6"/>
            </w:tcBorders>
            <w:hideMark/>
          </w:tcPr>
          <w:p w14:paraId="0694A6D8" w14:textId="77777777" w:rsidR="00CE75D4" w:rsidRPr="002029AF" w:rsidRDefault="00CE75D4" w:rsidP="008340C1">
            <w:pPr>
              <w:pStyle w:val="ARfintablebody"/>
            </w:pPr>
            <w:r w:rsidRPr="001A0205">
              <w:t>Remeasurement of superannuation defined benefit plans</w:t>
            </w:r>
          </w:p>
        </w:tc>
        <w:tc>
          <w:tcPr>
            <w:tcW w:w="851" w:type="dxa"/>
            <w:tcBorders>
              <w:top w:val="single" w:sz="4" w:space="0" w:color="A6A6A6" w:themeColor="background1" w:themeShade="A6"/>
              <w:bottom w:val="single" w:sz="4" w:space="0" w:color="A6A6A6" w:themeColor="background1" w:themeShade="A6"/>
            </w:tcBorders>
            <w:noWrap/>
            <w:hideMark/>
          </w:tcPr>
          <w:p w14:paraId="0FD1504A" w14:textId="77777777" w:rsidR="00CE75D4" w:rsidRPr="002029AF" w:rsidRDefault="00CE75D4" w:rsidP="008340C1">
            <w:pPr>
              <w:pStyle w:val="ARfintablebodyright"/>
            </w:pPr>
            <w:r w:rsidRPr="001A0205">
              <w:t>3.1.1(b)</w:t>
            </w:r>
          </w:p>
        </w:tc>
        <w:tc>
          <w:tcPr>
            <w:tcW w:w="1305" w:type="dxa"/>
            <w:tcBorders>
              <w:top w:val="single" w:sz="4" w:space="0" w:color="A6A6A6" w:themeColor="background1" w:themeShade="A6"/>
              <w:bottom w:val="single" w:sz="4" w:space="0" w:color="A6A6A6" w:themeColor="background1" w:themeShade="A6"/>
            </w:tcBorders>
            <w:noWrap/>
            <w:hideMark/>
          </w:tcPr>
          <w:p w14:paraId="6C01D39D"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1D2018BC" w14:textId="77777777" w:rsidR="00CE75D4" w:rsidRPr="002029AF" w:rsidRDefault="00CE75D4" w:rsidP="008340C1">
            <w:pPr>
              <w:pStyle w:val="ARfintablebodyright"/>
            </w:pPr>
            <w:r w:rsidRPr="001A0205">
              <w:t>(1.5)</w:t>
            </w:r>
          </w:p>
        </w:tc>
        <w:tc>
          <w:tcPr>
            <w:tcW w:w="1305" w:type="dxa"/>
            <w:tcBorders>
              <w:top w:val="single" w:sz="4" w:space="0" w:color="A6A6A6" w:themeColor="background1" w:themeShade="A6"/>
              <w:bottom w:val="single" w:sz="4" w:space="0" w:color="A6A6A6" w:themeColor="background1" w:themeShade="A6"/>
            </w:tcBorders>
            <w:noWrap/>
            <w:hideMark/>
          </w:tcPr>
          <w:p w14:paraId="7361B0F2"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05CE2D27" w14:textId="77777777" w:rsidR="00CE75D4" w:rsidRPr="002029AF" w:rsidRDefault="00CE75D4" w:rsidP="008340C1">
            <w:pPr>
              <w:pStyle w:val="ARfintablebodyright"/>
            </w:pPr>
            <w:r w:rsidRPr="001A0205">
              <w:t>(1.5)</w:t>
            </w:r>
          </w:p>
        </w:tc>
      </w:tr>
      <w:tr w:rsidR="00CE75D4" w:rsidRPr="002029AF" w14:paraId="77616017" w14:textId="77777777" w:rsidTr="3D493511">
        <w:tc>
          <w:tcPr>
            <w:tcW w:w="3573" w:type="dxa"/>
            <w:tcBorders>
              <w:top w:val="single" w:sz="4" w:space="0" w:color="A6A6A6" w:themeColor="background1" w:themeShade="A6"/>
              <w:bottom w:val="single" w:sz="4" w:space="0" w:color="A6A6A6" w:themeColor="background1" w:themeShade="A6"/>
            </w:tcBorders>
            <w:hideMark/>
          </w:tcPr>
          <w:p w14:paraId="0A03269A" w14:textId="1235C1F2" w:rsidR="00CE75D4" w:rsidRPr="002029AF" w:rsidRDefault="00CE75D4" w:rsidP="008340C1">
            <w:pPr>
              <w:pStyle w:val="ARfintablebody"/>
            </w:pPr>
            <w:r w:rsidRPr="001A0205">
              <w:t xml:space="preserve">Transfer to </w:t>
            </w:r>
            <w:r>
              <w:t>contributed capital</w:t>
            </w:r>
            <w:r w:rsidRPr="001A0205">
              <w:t xml:space="preserve"> related to</w:t>
            </w:r>
            <w:r>
              <w:t> </w:t>
            </w:r>
            <w:r w:rsidRPr="001A0205">
              <w:t>machinery of government</w:t>
            </w:r>
          </w:p>
        </w:tc>
        <w:tc>
          <w:tcPr>
            <w:tcW w:w="851" w:type="dxa"/>
            <w:tcBorders>
              <w:top w:val="single" w:sz="4" w:space="0" w:color="A6A6A6" w:themeColor="background1" w:themeShade="A6"/>
              <w:bottom w:val="single" w:sz="4" w:space="0" w:color="A6A6A6" w:themeColor="background1" w:themeShade="A6"/>
            </w:tcBorders>
            <w:noWrap/>
            <w:hideMark/>
          </w:tcPr>
          <w:p w14:paraId="35EC8D54" w14:textId="77777777" w:rsidR="00CE75D4" w:rsidRPr="002029AF" w:rsidRDefault="00CE75D4" w:rsidP="008340C1">
            <w:pPr>
              <w:pStyle w:val="ARfintablebodyright"/>
            </w:pPr>
            <w:r w:rsidRPr="001A0205">
              <w:t>9.4</w:t>
            </w:r>
          </w:p>
        </w:tc>
        <w:tc>
          <w:tcPr>
            <w:tcW w:w="1305" w:type="dxa"/>
            <w:tcBorders>
              <w:top w:val="single" w:sz="4" w:space="0" w:color="A6A6A6" w:themeColor="background1" w:themeShade="A6"/>
              <w:bottom w:val="single" w:sz="4" w:space="0" w:color="A6A6A6" w:themeColor="background1" w:themeShade="A6"/>
            </w:tcBorders>
            <w:noWrap/>
            <w:hideMark/>
          </w:tcPr>
          <w:p w14:paraId="4EF6AFDF"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68C5EE7A" w14:textId="77777777" w:rsidR="00CE75D4" w:rsidRPr="002029AF" w:rsidRDefault="00CE75D4" w:rsidP="008340C1">
            <w:pPr>
              <w:pStyle w:val="ARfintablebodyright"/>
            </w:pPr>
            <w:r w:rsidRPr="001A0205">
              <w:t>(5,937.6)</w:t>
            </w:r>
          </w:p>
        </w:tc>
        <w:tc>
          <w:tcPr>
            <w:tcW w:w="1305" w:type="dxa"/>
            <w:tcBorders>
              <w:top w:val="single" w:sz="4" w:space="0" w:color="A6A6A6" w:themeColor="background1" w:themeShade="A6"/>
              <w:bottom w:val="single" w:sz="4" w:space="0" w:color="A6A6A6" w:themeColor="background1" w:themeShade="A6"/>
            </w:tcBorders>
            <w:noWrap/>
            <w:hideMark/>
          </w:tcPr>
          <w:p w14:paraId="0C5AB0D0" w14:textId="77777777" w:rsidR="00CE75D4" w:rsidRPr="002029AF" w:rsidRDefault="00CE75D4" w:rsidP="008340C1">
            <w:pPr>
              <w:pStyle w:val="ARfintablebodyright"/>
            </w:pPr>
            <w:r w:rsidRPr="001A0205">
              <w:t>5,937.6</w:t>
            </w:r>
          </w:p>
        </w:tc>
        <w:tc>
          <w:tcPr>
            <w:tcW w:w="1305" w:type="dxa"/>
            <w:tcBorders>
              <w:top w:val="single" w:sz="4" w:space="0" w:color="A6A6A6" w:themeColor="background1" w:themeShade="A6"/>
              <w:bottom w:val="single" w:sz="4" w:space="0" w:color="A6A6A6" w:themeColor="background1" w:themeShade="A6"/>
            </w:tcBorders>
            <w:noWrap/>
            <w:hideMark/>
          </w:tcPr>
          <w:p w14:paraId="0E3DE406" w14:textId="77777777" w:rsidR="00CE75D4" w:rsidRPr="002029AF" w:rsidRDefault="00CE75D4" w:rsidP="008340C1">
            <w:pPr>
              <w:pStyle w:val="ARfintablebodyright"/>
            </w:pPr>
            <w:r>
              <w:t>–</w:t>
            </w:r>
          </w:p>
        </w:tc>
      </w:tr>
      <w:tr w:rsidR="00CE75D4" w:rsidRPr="002029AF" w14:paraId="2EB6DB62" w14:textId="77777777" w:rsidTr="3D493511">
        <w:tc>
          <w:tcPr>
            <w:tcW w:w="3573" w:type="dxa"/>
            <w:tcBorders>
              <w:top w:val="single" w:sz="4" w:space="0" w:color="A6A6A6" w:themeColor="background1" w:themeShade="A6"/>
              <w:bottom w:val="single" w:sz="4" w:space="0" w:color="A6A6A6" w:themeColor="background1" w:themeShade="A6"/>
            </w:tcBorders>
            <w:hideMark/>
          </w:tcPr>
          <w:p w14:paraId="6DB04F1C" w14:textId="6FE49242" w:rsidR="00CE75D4" w:rsidRPr="002029AF" w:rsidRDefault="00CE75D4" w:rsidP="008340C1">
            <w:pPr>
              <w:pStyle w:val="ARfintablebody"/>
            </w:pPr>
            <w:r w:rsidRPr="001A0205">
              <w:t>Transfer to accumulated surplus/(deficit) related to machinery of government</w:t>
            </w:r>
          </w:p>
        </w:tc>
        <w:tc>
          <w:tcPr>
            <w:tcW w:w="851" w:type="dxa"/>
            <w:tcBorders>
              <w:top w:val="single" w:sz="4" w:space="0" w:color="A6A6A6" w:themeColor="background1" w:themeShade="A6"/>
              <w:bottom w:val="single" w:sz="4" w:space="0" w:color="A6A6A6" w:themeColor="background1" w:themeShade="A6"/>
            </w:tcBorders>
            <w:noWrap/>
            <w:hideMark/>
          </w:tcPr>
          <w:p w14:paraId="1FD7CFA6" w14:textId="77777777" w:rsidR="00CE75D4" w:rsidRPr="002029AF" w:rsidRDefault="00CE75D4" w:rsidP="008340C1">
            <w:pPr>
              <w:pStyle w:val="ARfintablebodyright"/>
            </w:pPr>
            <w:r w:rsidRPr="001A0205">
              <w:t>9.4</w:t>
            </w:r>
          </w:p>
        </w:tc>
        <w:tc>
          <w:tcPr>
            <w:tcW w:w="1305" w:type="dxa"/>
            <w:tcBorders>
              <w:top w:val="single" w:sz="4" w:space="0" w:color="A6A6A6" w:themeColor="background1" w:themeShade="A6"/>
              <w:bottom w:val="single" w:sz="4" w:space="0" w:color="A6A6A6" w:themeColor="background1" w:themeShade="A6"/>
            </w:tcBorders>
            <w:noWrap/>
            <w:hideMark/>
          </w:tcPr>
          <w:p w14:paraId="3545CB21" w14:textId="77777777" w:rsidR="00CE75D4" w:rsidRPr="002029AF" w:rsidRDefault="00CE75D4" w:rsidP="008340C1">
            <w:pPr>
              <w:pStyle w:val="ARfintablebodyright"/>
            </w:pPr>
            <w:r w:rsidRPr="001A0205">
              <w:t>(6,938.4)</w:t>
            </w:r>
          </w:p>
        </w:tc>
        <w:tc>
          <w:tcPr>
            <w:tcW w:w="1305" w:type="dxa"/>
            <w:tcBorders>
              <w:top w:val="single" w:sz="4" w:space="0" w:color="A6A6A6" w:themeColor="background1" w:themeShade="A6"/>
              <w:bottom w:val="single" w:sz="4" w:space="0" w:color="A6A6A6" w:themeColor="background1" w:themeShade="A6"/>
            </w:tcBorders>
            <w:noWrap/>
            <w:hideMark/>
          </w:tcPr>
          <w:p w14:paraId="518E70D4" w14:textId="77777777" w:rsidR="00CE75D4" w:rsidRPr="002029AF" w:rsidRDefault="00CE75D4" w:rsidP="008340C1">
            <w:pPr>
              <w:pStyle w:val="ARfintablebodyright"/>
            </w:pPr>
            <w:r w:rsidRPr="001A0205">
              <w:t>6,938.4</w:t>
            </w:r>
          </w:p>
        </w:tc>
        <w:tc>
          <w:tcPr>
            <w:tcW w:w="1305" w:type="dxa"/>
            <w:tcBorders>
              <w:top w:val="single" w:sz="4" w:space="0" w:color="A6A6A6" w:themeColor="background1" w:themeShade="A6"/>
              <w:bottom w:val="single" w:sz="4" w:space="0" w:color="A6A6A6" w:themeColor="background1" w:themeShade="A6"/>
            </w:tcBorders>
            <w:noWrap/>
            <w:hideMark/>
          </w:tcPr>
          <w:p w14:paraId="608B4590"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59F88944" w14:textId="77777777" w:rsidR="00CE75D4" w:rsidRPr="002029AF" w:rsidRDefault="00CE75D4" w:rsidP="008340C1">
            <w:pPr>
              <w:pStyle w:val="ARfintablebodyright"/>
            </w:pPr>
            <w:r>
              <w:t>–</w:t>
            </w:r>
          </w:p>
        </w:tc>
      </w:tr>
      <w:tr w:rsidR="00CE75D4" w:rsidRPr="002029AF" w14:paraId="7527D2A8" w14:textId="77777777" w:rsidTr="3D493511">
        <w:tc>
          <w:tcPr>
            <w:tcW w:w="3573" w:type="dxa"/>
            <w:tcBorders>
              <w:top w:val="single" w:sz="4" w:space="0" w:color="A6A6A6" w:themeColor="background1" w:themeShade="A6"/>
              <w:bottom w:val="single" w:sz="4" w:space="0" w:color="A6A6A6" w:themeColor="background1" w:themeShade="A6"/>
            </w:tcBorders>
            <w:hideMark/>
          </w:tcPr>
          <w:p w14:paraId="380B04BC" w14:textId="77777777" w:rsidR="00CE75D4" w:rsidRPr="002029AF" w:rsidRDefault="00CE75D4" w:rsidP="008340C1">
            <w:pPr>
              <w:pStyle w:val="ARfintablebody"/>
            </w:pPr>
            <w:r w:rsidRPr="001A0205">
              <w:t>Changes in physical asset revaluation surplus</w:t>
            </w:r>
          </w:p>
        </w:tc>
        <w:tc>
          <w:tcPr>
            <w:tcW w:w="851" w:type="dxa"/>
            <w:tcBorders>
              <w:top w:val="single" w:sz="4" w:space="0" w:color="A6A6A6" w:themeColor="background1" w:themeShade="A6"/>
              <w:bottom w:val="single" w:sz="4" w:space="0" w:color="A6A6A6" w:themeColor="background1" w:themeShade="A6"/>
            </w:tcBorders>
            <w:hideMark/>
          </w:tcPr>
          <w:p w14:paraId="19C17ABD" w14:textId="77777777" w:rsidR="00CE75D4" w:rsidRPr="002029AF" w:rsidRDefault="00CE75D4" w:rsidP="008340C1">
            <w:pPr>
              <w:pStyle w:val="ARfintablebodyright"/>
            </w:pPr>
            <w:r w:rsidRPr="001A0205">
              <w:t>9.4</w:t>
            </w:r>
          </w:p>
        </w:tc>
        <w:tc>
          <w:tcPr>
            <w:tcW w:w="1305" w:type="dxa"/>
            <w:tcBorders>
              <w:top w:val="single" w:sz="4" w:space="0" w:color="A6A6A6" w:themeColor="background1" w:themeShade="A6"/>
              <w:bottom w:val="single" w:sz="4" w:space="0" w:color="A6A6A6" w:themeColor="background1" w:themeShade="A6"/>
            </w:tcBorders>
            <w:noWrap/>
            <w:hideMark/>
          </w:tcPr>
          <w:p w14:paraId="2E8E615A" w14:textId="77777777" w:rsidR="00CE75D4" w:rsidRPr="002029AF" w:rsidRDefault="00CE75D4" w:rsidP="008340C1">
            <w:pPr>
              <w:pStyle w:val="ARfintablebodyright"/>
            </w:pPr>
            <w:r w:rsidRPr="001A0205">
              <w:t>4,439.1</w:t>
            </w:r>
          </w:p>
        </w:tc>
        <w:tc>
          <w:tcPr>
            <w:tcW w:w="1305" w:type="dxa"/>
            <w:tcBorders>
              <w:top w:val="single" w:sz="4" w:space="0" w:color="A6A6A6" w:themeColor="background1" w:themeShade="A6"/>
              <w:bottom w:val="single" w:sz="4" w:space="0" w:color="A6A6A6" w:themeColor="background1" w:themeShade="A6"/>
            </w:tcBorders>
            <w:noWrap/>
            <w:hideMark/>
          </w:tcPr>
          <w:p w14:paraId="2739987B"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679B77E7"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5253D539" w14:textId="77777777" w:rsidR="00CE75D4" w:rsidRPr="002029AF" w:rsidRDefault="00CE75D4" w:rsidP="008340C1">
            <w:pPr>
              <w:pStyle w:val="ARfintablebodyright"/>
            </w:pPr>
            <w:r w:rsidRPr="001A0205">
              <w:t>4,439.1</w:t>
            </w:r>
          </w:p>
        </w:tc>
      </w:tr>
      <w:tr w:rsidR="00CE75D4" w:rsidRPr="002029AF" w14:paraId="06470E58" w14:textId="77777777" w:rsidTr="3D493511">
        <w:tc>
          <w:tcPr>
            <w:tcW w:w="3573" w:type="dxa"/>
            <w:tcBorders>
              <w:top w:val="single" w:sz="4" w:space="0" w:color="A6A6A6" w:themeColor="background1" w:themeShade="A6"/>
              <w:bottom w:val="single" w:sz="4" w:space="0" w:color="A6A6A6" w:themeColor="background1" w:themeShade="A6"/>
            </w:tcBorders>
            <w:hideMark/>
          </w:tcPr>
          <w:p w14:paraId="13C966E7" w14:textId="77777777" w:rsidR="00CE75D4" w:rsidRPr="002029AF" w:rsidRDefault="00CE75D4" w:rsidP="008340C1">
            <w:pPr>
              <w:pStyle w:val="ARfintablebody"/>
            </w:pPr>
            <w:r w:rsidRPr="001A0205">
              <w:t>Administrative restructure – net assets received</w:t>
            </w:r>
          </w:p>
        </w:tc>
        <w:tc>
          <w:tcPr>
            <w:tcW w:w="851" w:type="dxa"/>
            <w:tcBorders>
              <w:top w:val="single" w:sz="4" w:space="0" w:color="A6A6A6" w:themeColor="background1" w:themeShade="A6"/>
              <w:bottom w:val="single" w:sz="4" w:space="0" w:color="A6A6A6" w:themeColor="background1" w:themeShade="A6"/>
            </w:tcBorders>
            <w:hideMark/>
          </w:tcPr>
          <w:p w14:paraId="307D66BD" w14:textId="77777777" w:rsidR="00CE75D4" w:rsidRPr="002029AF" w:rsidRDefault="00CE75D4" w:rsidP="008340C1">
            <w:pPr>
              <w:pStyle w:val="ARfintablebodyright"/>
            </w:pPr>
            <w:r w:rsidRPr="001A0205">
              <w:t>4.3</w:t>
            </w:r>
          </w:p>
        </w:tc>
        <w:tc>
          <w:tcPr>
            <w:tcW w:w="1305" w:type="dxa"/>
            <w:tcBorders>
              <w:top w:val="single" w:sz="4" w:space="0" w:color="A6A6A6" w:themeColor="background1" w:themeShade="A6"/>
              <w:bottom w:val="single" w:sz="4" w:space="0" w:color="A6A6A6" w:themeColor="background1" w:themeShade="A6"/>
            </w:tcBorders>
            <w:noWrap/>
            <w:hideMark/>
          </w:tcPr>
          <w:p w14:paraId="55DB2AB0"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54018D75"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5A9CB471" w14:textId="77777777" w:rsidR="00CE75D4" w:rsidRPr="002029AF" w:rsidRDefault="00CE75D4" w:rsidP="008340C1">
            <w:pPr>
              <w:pStyle w:val="ARfintablebodyright"/>
            </w:pPr>
            <w:r w:rsidRPr="001A0205">
              <w:t>1,289.3</w:t>
            </w:r>
          </w:p>
        </w:tc>
        <w:tc>
          <w:tcPr>
            <w:tcW w:w="1305" w:type="dxa"/>
            <w:tcBorders>
              <w:top w:val="single" w:sz="4" w:space="0" w:color="A6A6A6" w:themeColor="background1" w:themeShade="A6"/>
              <w:bottom w:val="single" w:sz="4" w:space="0" w:color="A6A6A6" w:themeColor="background1" w:themeShade="A6"/>
            </w:tcBorders>
            <w:noWrap/>
            <w:hideMark/>
          </w:tcPr>
          <w:p w14:paraId="48C34551" w14:textId="77777777" w:rsidR="00CE75D4" w:rsidRPr="002029AF" w:rsidRDefault="00CE75D4" w:rsidP="008340C1">
            <w:pPr>
              <w:pStyle w:val="ARfintablebodyright"/>
            </w:pPr>
            <w:r w:rsidRPr="001A0205">
              <w:t>1,289.3</w:t>
            </w:r>
          </w:p>
        </w:tc>
      </w:tr>
      <w:tr w:rsidR="00CE75D4" w:rsidRPr="002029AF" w14:paraId="1C3B01E9" w14:textId="77777777" w:rsidTr="3D493511">
        <w:tc>
          <w:tcPr>
            <w:tcW w:w="3573" w:type="dxa"/>
            <w:tcBorders>
              <w:top w:val="single" w:sz="4" w:space="0" w:color="A6A6A6" w:themeColor="background1" w:themeShade="A6"/>
              <w:bottom w:val="single" w:sz="4" w:space="0" w:color="A6A6A6" w:themeColor="background1" w:themeShade="A6"/>
            </w:tcBorders>
            <w:hideMark/>
          </w:tcPr>
          <w:p w14:paraId="6EFDF83E" w14:textId="77777777" w:rsidR="00CE75D4" w:rsidRPr="002029AF" w:rsidRDefault="00CE75D4" w:rsidP="008340C1">
            <w:pPr>
              <w:pStyle w:val="ARfintablebody"/>
            </w:pPr>
            <w:r w:rsidRPr="001A0205">
              <w:t>Administrative restructure – net assets transferred</w:t>
            </w:r>
          </w:p>
        </w:tc>
        <w:tc>
          <w:tcPr>
            <w:tcW w:w="851" w:type="dxa"/>
            <w:tcBorders>
              <w:top w:val="single" w:sz="4" w:space="0" w:color="A6A6A6" w:themeColor="background1" w:themeShade="A6"/>
              <w:bottom w:val="single" w:sz="4" w:space="0" w:color="A6A6A6" w:themeColor="background1" w:themeShade="A6"/>
            </w:tcBorders>
            <w:hideMark/>
          </w:tcPr>
          <w:p w14:paraId="20295E28" w14:textId="77777777" w:rsidR="00CE75D4" w:rsidRPr="002029AF" w:rsidRDefault="00CE75D4" w:rsidP="008340C1">
            <w:pPr>
              <w:pStyle w:val="ARfintablebodyright"/>
            </w:pPr>
            <w:r w:rsidRPr="001A0205">
              <w:t>4.3</w:t>
            </w:r>
          </w:p>
        </w:tc>
        <w:tc>
          <w:tcPr>
            <w:tcW w:w="1305" w:type="dxa"/>
            <w:tcBorders>
              <w:top w:val="single" w:sz="4" w:space="0" w:color="A6A6A6" w:themeColor="background1" w:themeShade="A6"/>
              <w:bottom w:val="single" w:sz="4" w:space="0" w:color="A6A6A6" w:themeColor="background1" w:themeShade="A6"/>
            </w:tcBorders>
            <w:noWrap/>
            <w:hideMark/>
          </w:tcPr>
          <w:p w14:paraId="6E0DF321"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28352796"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1A3C5CDE" w14:textId="77777777" w:rsidR="00CE75D4" w:rsidRPr="002029AF" w:rsidRDefault="00CE75D4" w:rsidP="008340C1">
            <w:pPr>
              <w:pStyle w:val="ARfintablebodyright"/>
            </w:pPr>
            <w:r w:rsidRPr="001A0205">
              <w:t>(1,285.2)</w:t>
            </w:r>
          </w:p>
        </w:tc>
        <w:tc>
          <w:tcPr>
            <w:tcW w:w="1305" w:type="dxa"/>
            <w:tcBorders>
              <w:top w:val="single" w:sz="4" w:space="0" w:color="A6A6A6" w:themeColor="background1" w:themeShade="A6"/>
              <w:bottom w:val="single" w:sz="4" w:space="0" w:color="A6A6A6" w:themeColor="background1" w:themeShade="A6"/>
            </w:tcBorders>
            <w:noWrap/>
            <w:hideMark/>
          </w:tcPr>
          <w:p w14:paraId="18C36D0B" w14:textId="77777777" w:rsidR="00CE75D4" w:rsidRPr="002029AF" w:rsidRDefault="00CE75D4" w:rsidP="008340C1">
            <w:pPr>
              <w:pStyle w:val="ARfintablebodyright"/>
            </w:pPr>
            <w:r w:rsidRPr="001A0205">
              <w:t>(1,285.2)</w:t>
            </w:r>
          </w:p>
        </w:tc>
      </w:tr>
      <w:tr w:rsidR="00CE75D4" w:rsidRPr="002029AF" w14:paraId="5FB68E7D" w14:textId="77777777" w:rsidTr="3D493511">
        <w:tc>
          <w:tcPr>
            <w:tcW w:w="3573" w:type="dxa"/>
            <w:tcBorders>
              <w:top w:val="single" w:sz="4" w:space="0" w:color="A6A6A6" w:themeColor="background1" w:themeShade="A6"/>
              <w:bottom w:val="single" w:sz="4" w:space="0" w:color="A6A6A6" w:themeColor="background1" w:themeShade="A6"/>
            </w:tcBorders>
          </w:tcPr>
          <w:p w14:paraId="1EC502FD" w14:textId="2A321274" w:rsidR="00CE75D4" w:rsidRPr="00980A09" w:rsidRDefault="00CE75D4" w:rsidP="008340C1">
            <w:pPr>
              <w:pStyle w:val="ARfintablebody"/>
            </w:pPr>
            <w:r w:rsidRPr="001A0205">
              <w:t>Capital contributions by Victorian State Government</w:t>
            </w:r>
          </w:p>
        </w:tc>
        <w:tc>
          <w:tcPr>
            <w:tcW w:w="851" w:type="dxa"/>
            <w:tcBorders>
              <w:top w:val="single" w:sz="4" w:space="0" w:color="A6A6A6" w:themeColor="background1" w:themeShade="A6"/>
              <w:bottom w:val="single" w:sz="4" w:space="0" w:color="A6A6A6" w:themeColor="background1" w:themeShade="A6"/>
            </w:tcBorders>
          </w:tcPr>
          <w:p w14:paraId="0710785C" w14:textId="77777777" w:rsidR="00CE75D4" w:rsidRPr="002029AF" w:rsidRDefault="00CE75D4" w:rsidP="008340C1">
            <w:pPr>
              <w:pStyle w:val="ARfintablebodyright"/>
            </w:pPr>
          </w:p>
        </w:tc>
        <w:tc>
          <w:tcPr>
            <w:tcW w:w="1305" w:type="dxa"/>
            <w:tcBorders>
              <w:top w:val="single" w:sz="4" w:space="0" w:color="A6A6A6" w:themeColor="background1" w:themeShade="A6"/>
              <w:bottom w:val="single" w:sz="4" w:space="0" w:color="A6A6A6" w:themeColor="background1" w:themeShade="A6"/>
            </w:tcBorders>
            <w:noWrap/>
          </w:tcPr>
          <w:p w14:paraId="1DE609BC" w14:textId="77777777" w:rsidR="00CE75D4" w:rsidRPr="00980A09"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tcPr>
          <w:p w14:paraId="1D104080" w14:textId="77777777" w:rsidR="00CE75D4" w:rsidRPr="00980A09"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tcPr>
          <w:p w14:paraId="138721C1" w14:textId="77777777" w:rsidR="00CE75D4" w:rsidRPr="00980A09" w:rsidRDefault="00CE75D4" w:rsidP="008340C1">
            <w:pPr>
              <w:pStyle w:val="ARfintablebodyright"/>
            </w:pPr>
            <w:r w:rsidRPr="001A0205">
              <w:t>427.5</w:t>
            </w:r>
          </w:p>
        </w:tc>
        <w:tc>
          <w:tcPr>
            <w:tcW w:w="1305" w:type="dxa"/>
            <w:tcBorders>
              <w:top w:val="single" w:sz="4" w:space="0" w:color="A6A6A6" w:themeColor="background1" w:themeShade="A6"/>
              <w:bottom w:val="single" w:sz="4" w:space="0" w:color="A6A6A6" w:themeColor="background1" w:themeShade="A6"/>
            </w:tcBorders>
            <w:noWrap/>
          </w:tcPr>
          <w:p w14:paraId="4226A5E1" w14:textId="77777777" w:rsidR="00CE75D4" w:rsidRPr="00980A09" w:rsidRDefault="00CE75D4" w:rsidP="008340C1">
            <w:pPr>
              <w:pStyle w:val="ARfintablebodyright"/>
            </w:pPr>
            <w:r w:rsidRPr="001A0205">
              <w:t>427.5</w:t>
            </w:r>
          </w:p>
        </w:tc>
      </w:tr>
      <w:tr w:rsidR="00CE75D4" w:rsidRPr="002029AF" w14:paraId="22F0F652" w14:textId="77777777" w:rsidTr="3D493511">
        <w:tc>
          <w:tcPr>
            <w:tcW w:w="3573" w:type="dxa"/>
            <w:tcBorders>
              <w:top w:val="single" w:sz="4" w:space="0" w:color="A6A6A6" w:themeColor="background1" w:themeShade="A6"/>
              <w:bottom w:val="single" w:sz="4" w:space="0" w:color="A6A6A6" w:themeColor="background1" w:themeShade="A6"/>
            </w:tcBorders>
          </w:tcPr>
          <w:p w14:paraId="798544DF" w14:textId="77777777" w:rsidR="00CE75D4" w:rsidRPr="00980A09" w:rsidRDefault="00CE75D4" w:rsidP="008340C1">
            <w:pPr>
              <w:pStyle w:val="ARfintablebody"/>
            </w:pPr>
            <w:r w:rsidRPr="001A0205">
              <w:t>Capital contributions to agencies</w:t>
            </w:r>
          </w:p>
        </w:tc>
        <w:tc>
          <w:tcPr>
            <w:tcW w:w="851" w:type="dxa"/>
            <w:tcBorders>
              <w:top w:val="single" w:sz="4" w:space="0" w:color="A6A6A6" w:themeColor="background1" w:themeShade="A6"/>
              <w:bottom w:val="single" w:sz="4" w:space="0" w:color="A6A6A6" w:themeColor="background1" w:themeShade="A6"/>
            </w:tcBorders>
          </w:tcPr>
          <w:p w14:paraId="08B01BB2" w14:textId="77777777" w:rsidR="00CE75D4" w:rsidRPr="002029AF" w:rsidRDefault="00CE75D4" w:rsidP="008340C1">
            <w:pPr>
              <w:pStyle w:val="ARfintablebodyright"/>
            </w:pPr>
          </w:p>
        </w:tc>
        <w:tc>
          <w:tcPr>
            <w:tcW w:w="1305" w:type="dxa"/>
            <w:tcBorders>
              <w:top w:val="single" w:sz="4" w:space="0" w:color="A6A6A6" w:themeColor="background1" w:themeShade="A6"/>
              <w:bottom w:val="single" w:sz="4" w:space="0" w:color="A6A6A6" w:themeColor="background1" w:themeShade="A6"/>
            </w:tcBorders>
            <w:noWrap/>
          </w:tcPr>
          <w:p w14:paraId="672338BB" w14:textId="77777777" w:rsidR="00CE75D4" w:rsidRPr="00980A09"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tcPr>
          <w:p w14:paraId="4D443932" w14:textId="77777777" w:rsidR="00CE75D4" w:rsidRPr="00980A09"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tcPr>
          <w:p w14:paraId="4D531625" w14:textId="77777777" w:rsidR="00CE75D4" w:rsidRPr="00980A09" w:rsidRDefault="00CE75D4" w:rsidP="008340C1">
            <w:pPr>
              <w:pStyle w:val="ARfintablebodyright"/>
            </w:pPr>
            <w:r w:rsidRPr="001A0205">
              <w:t>(9.6)</w:t>
            </w:r>
          </w:p>
        </w:tc>
        <w:tc>
          <w:tcPr>
            <w:tcW w:w="1305" w:type="dxa"/>
            <w:tcBorders>
              <w:top w:val="single" w:sz="4" w:space="0" w:color="A6A6A6" w:themeColor="background1" w:themeShade="A6"/>
              <w:bottom w:val="single" w:sz="4" w:space="0" w:color="A6A6A6" w:themeColor="background1" w:themeShade="A6"/>
            </w:tcBorders>
            <w:noWrap/>
          </w:tcPr>
          <w:p w14:paraId="07856143" w14:textId="77777777" w:rsidR="00CE75D4" w:rsidRPr="00980A09" w:rsidRDefault="00CE75D4" w:rsidP="008340C1">
            <w:pPr>
              <w:pStyle w:val="ARfintablebodyright"/>
            </w:pPr>
            <w:r w:rsidRPr="001A0205">
              <w:t>(9.6)</w:t>
            </w:r>
          </w:p>
        </w:tc>
      </w:tr>
      <w:tr w:rsidR="00CE75D4" w:rsidRPr="002029AF" w14:paraId="5EEEB82A" w14:textId="77777777" w:rsidTr="3D493511">
        <w:tc>
          <w:tcPr>
            <w:tcW w:w="3573" w:type="dxa"/>
            <w:tcBorders>
              <w:top w:val="single" w:sz="4" w:space="0" w:color="A6A6A6" w:themeColor="background1" w:themeShade="A6"/>
            </w:tcBorders>
            <w:hideMark/>
          </w:tcPr>
          <w:p w14:paraId="11267D5C" w14:textId="77777777" w:rsidR="00CE75D4" w:rsidRPr="002029AF" w:rsidRDefault="00CE75D4" w:rsidP="008340C1">
            <w:pPr>
              <w:pStyle w:val="ARfintablebody"/>
            </w:pPr>
            <w:r w:rsidRPr="001A0205">
              <w:t>Capital transferred to administered entity</w:t>
            </w:r>
          </w:p>
        </w:tc>
        <w:tc>
          <w:tcPr>
            <w:tcW w:w="851" w:type="dxa"/>
            <w:tcBorders>
              <w:top w:val="single" w:sz="4" w:space="0" w:color="A6A6A6" w:themeColor="background1" w:themeShade="A6"/>
            </w:tcBorders>
            <w:hideMark/>
          </w:tcPr>
          <w:p w14:paraId="0CA3F689" w14:textId="77777777" w:rsidR="00CE75D4" w:rsidRPr="002029AF" w:rsidRDefault="00CE75D4" w:rsidP="008340C1">
            <w:pPr>
              <w:pStyle w:val="ARfintablebodyright"/>
            </w:pPr>
          </w:p>
        </w:tc>
        <w:tc>
          <w:tcPr>
            <w:tcW w:w="1305" w:type="dxa"/>
            <w:tcBorders>
              <w:top w:val="single" w:sz="4" w:space="0" w:color="A6A6A6" w:themeColor="background1" w:themeShade="A6"/>
            </w:tcBorders>
            <w:noWrap/>
            <w:hideMark/>
          </w:tcPr>
          <w:p w14:paraId="09359D85" w14:textId="77777777" w:rsidR="00CE75D4" w:rsidRPr="002029AF" w:rsidRDefault="00CE75D4" w:rsidP="008340C1">
            <w:pPr>
              <w:pStyle w:val="ARfintablebodyright"/>
            </w:pPr>
            <w:r>
              <w:t>–</w:t>
            </w:r>
          </w:p>
        </w:tc>
        <w:tc>
          <w:tcPr>
            <w:tcW w:w="1305" w:type="dxa"/>
            <w:tcBorders>
              <w:top w:val="single" w:sz="4" w:space="0" w:color="A6A6A6" w:themeColor="background1" w:themeShade="A6"/>
            </w:tcBorders>
            <w:noWrap/>
            <w:hideMark/>
          </w:tcPr>
          <w:p w14:paraId="68E8B02F" w14:textId="77777777" w:rsidR="00CE75D4" w:rsidRPr="002029AF" w:rsidRDefault="00CE75D4" w:rsidP="008340C1">
            <w:pPr>
              <w:pStyle w:val="ARfintablebodyright"/>
            </w:pPr>
            <w:r>
              <w:t>–</w:t>
            </w:r>
          </w:p>
        </w:tc>
        <w:tc>
          <w:tcPr>
            <w:tcW w:w="1305" w:type="dxa"/>
            <w:tcBorders>
              <w:top w:val="single" w:sz="4" w:space="0" w:color="A6A6A6" w:themeColor="background1" w:themeShade="A6"/>
            </w:tcBorders>
            <w:noWrap/>
            <w:hideMark/>
          </w:tcPr>
          <w:p w14:paraId="41BBF61B" w14:textId="77777777" w:rsidR="00CE75D4" w:rsidRPr="002029AF" w:rsidRDefault="00CE75D4" w:rsidP="008340C1">
            <w:pPr>
              <w:pStyle w:val="ARfintablebodyright"/>
            </w:pPr>
            <w:r w:rsidRPr="001A0205">
              <w:t>(90.4)</w:t>
            </w:r>
          </w:p>
        </w:tc>
        <w:tc>
          <w:tcPr>
            <w:tcW w:w="1305" w:type="dxa"/>
            <w:tcBorders>
              <w:top w:val="single" w:sz="4" w:space="0" w:color="A6A6A6" w:themeColor="background1" w:themeShade="A6"/>
            </w:tcBorders>
            <w:noWrap/>
            <w:hideMark/>
          </w:tcPr>
          <w:p w14:paraId="62DD4D63" w14:textId="77777777" w:rsidR="00CE75D4" w:rsidRPr="002029AF" w:rsidRDefault="00CE75D4" w:rsidP="008340C1">
            <w:pPr>
              <w:pStyle w:val="ARfintablebodyright"/>
            </w:pPr>
            <w:r w:rsidRPr="001A0205">
              <w:t>(90.4)</w:t>
            </w:r>
          </w:p>
        </w:tc>
      </w:tr>
      <w:tr w:rsidR="00CE75D4" w:rsidRPr="002029AF" w14:paraId="4A29118A" w14:textId="77777777" w:rsidTr="008340C1">
        <w:tc>
          <w:tcPr>
            <w:tcW w:w="3573" w:type="dxa"/>
            <w:tcBorders>
              <w:bottom w:val="single" w:sz="4" w:space="0" w:color="auto"/>
            </w:tcBorders>
            <w:hideMark/>
          </w:tcPr>
          <w:p w14:paraId="071BFE00" w14:textId="77777777" w:rsidR="00CE75D4" w:rsidRPr="002029AF" w:rsidRDefault="00CE75D4" w:rsidP="008340C1">
            <w:pPr>
              <w:pStyle w:val="ARfintablebodybold"/>
            </w:pPr>
            <w:r w:rsidRPr="001A0205">
              <w:t xml:space="preserve">Balance at 30 June 2021 </w:t>
            </w:r>
            <w:r w:rsidRPr="00614F04">
              <w:rPr>
                <w:rStyle w:val="Superscript"/>
              </w:rPr>
              <w:t>(</w:t>
            </w:r>
            <w:r>
              <w:rPr>
                <w:rStyle w:val="Superscript"/>
              </w:rPr>
              <w:t>i</w:t>
            </w:r>
            <w:r w:rsidRPr="00614F04">
              <w:rPr>
                <w:rStyle w:val="Superscript"/>
              </w:rPr>
              <w:t>i)</w:t>
            </w:r>
          </w:p>
        </w:tc>
        <w:tc>
          <w:tcPr>
            <w:tcW w:w="851" w:type="dxa"/>
            <w:tcBorders>
              <w:bottom w:val="single" w:sz="4" w:space="0" w:color="auto"/>
            </w:tcBorders>
            <w:hideMark/>
          </w:tcPr>
          <w:p w14:paraId="57EBF833" w14:textId="77777777" w:rsidR="00CE75D4" w:rsidRPr="002029AF" w:rsidRDefault="00CE75D4" w:rsidP="008340C1">
            <w:pPr>
              <w:pStyle w:val="ARfintablebodyright"/>
            </w:pPr>
          </w:p>
        </w:tc>
        <w:tc>
          <w:tcPr>
            <w:tcW w:w="1305" w:type="dxa"/>
            <w:tcBorders>
              <w:bottom w:val="single" w:sz="4" w:space="0" w:color="auto"/>
            </w:tcBorders>
            <w:noWrap/>
            <w:hideMark/>
          </w:tcPr>
          <w:p w14:paraId="129DB132" w14:textId="77777777" w:rsidR="00CE75D4" w:rsidRPr="002029AF" w:rsidRDefault="00CE75D4" w:rsidP="008340C1">
            <w:pPr>
              <w:pStyle w:val="ARfintablebodyrightbold"/>
            </w:pPr>
            <w:r w:rsidRPr="001A0205">
              <w:t>4,877.9</w:t>
            </w:r>
          </w:p>
        </w:tc>
        <w:tc>
          <w:tcPr>
            <w:tcW w:w="1305" w:type="dxa"/>
            <w:tcBorders>
              <w:bottom w:val="single" w:sz="4" w:space="0" w:color="auto"/>
            </w:tcBorders>
            <w:noWrap/>
            <w:hideMark/>
          </w:tcPr>
          <w:p w14:paraId="46A37786" w14:textId="77777777" w:rsidR="00CE75D4" w:rsidRPr="002029AF" w:rsidRDefault="00CE75D4" w:rsidP="008340C1">
            <w:pPr>
              <w:pStyle w:val="ARfintablebodyrightbold"/>
            </w:pPr>
            <w:r w:rsidRPr="001A0205">
              <w:t>3,714.0</w:t>
            </w:r>
          </w:p>
        </w:tc>
        <w:tc>
          <w:tcPr>
            <w:tcW w:w="1305" w:type="dxa"/>
            <w:tcBorders>
              <w:bottom w:val="single" w:sz="4" w:space="0" w:color="auto"/>
            </w:tcBorders>
            <w:noWrap/>
            <w:hideMark/>
          </w:tcPr>
          <w:p w14:paraId="082D178A" w14:textId="77777777" w:rsidR="00CE75D4" w:rsidRPr="002029AF" w:rsidRDefault="00CE75D4" w:rsidP="008340C1">
            <w:pPr>
              <w:pStyle w:val="ARfintablebodyrightbold"/>
            </w:pPr>
            <w:r w:rsidRPr="001A0205">
              <w:t>28,684.1</w:t>
            </w:r>
          </w:p>
        </w:tc>
        <w:tc>
          <w:tcPr>
            <w:tcW w:w="1305" w:type="dxa"/>
            <w:tcBorders>
              <w:bottom w:val="single" w:sz="4" w:space="0" w:color="auto"/>
            </w:tcBorders>
            <w:noWrap/>
            <w:hideMark/>
          </w:tcPr>
          <w:p w14:paraId="44ECC407" w14:textId="77777777" w:rsidR="00CE75D4" w:rsidRPr="002029AF" w:rsidRDefault="00CE75D4" w:rsidP="008340C1">
            <w:pPr>
              <w:pStyle w:val="ARfintablebodyrightbold"/>
            </w:pPr>
            <w:r w:rsidRPr="001A0205">
              <w:t>37,275.9</w:t>
            </w:r>
          </w:p>
        </w:tc>
      </w:tr>
      <w:tr w:rsidR="00CE75D4" w:rsidRPr="002029AF" w14:paraId="6839E084" w14:textId="77777777" w:rsidTr="3D493511">
        <w:tc>
          <w:tcPr>
            <w:tcW w:w="3573" w:type="dxa"/>
            <w:tcBorders>
              <w:top w:val="single" w:sz="4" w:space="0" w:color="auto"/>
              <w:bottom w:val="single" w:sz="4" w:space="0" w:color="A6A6A6" w:themeColor="background1" w:themeShade="A6"/>
            </w:tcBorders>
            <w:hideMark/>
          </w:tcPr>
          <w:p w14:paraId="2492C289" w14:textId="77777777" w:rsidR="00CE75D4" w:rsidRPr="002029AF" w:rsidRDefault="00CE75D4" w:rsidP="008340C1">
            <w:pPr>
              <w:pStyle w:val="ARfintablebody"/>
            </w:pPr>
            <w:r w:rsidRPr="001A0205">
              <w:t>Removal of DFFH-related June 2021 closing balance</w:t>
            </w:r>
            <w:r w:rsidRPr="00275AC7">
              <w:t xml:space="preserve"> </w:t>
            </w:r>
            <w:r w:rsidRPr="00696718">
              <w:rPr>
                <w:rStyle w:val="Superscript"/>
              </w:rPr>
              <w:t>(i</w:t>
            </w:r>
            <w:r>
              <w:rPr>
                <w:rStyle w:val="Superscript"/>
              </w:rPr>
              <w:t>i</w:t>
            </w:r>
            <w:r w:rsidRPr="00696718">
              <w:rPr>
                <w:rStyle w:val="Superscript"/>
              </w:rPr>
              <w:t>i)</w:t>
            </w:r>
          </w:p>
        </w:tc>
        <w:tc>
          <w:tcPr>
            <w:tcW w:w="851" w:type="dxa"/>
            <w:tcBorders>
              <w:top w:val="single" w:sz="4" w:space="0" w:color="auto"/>
              <w:bottom w:val="single" w:sz="4" w:space="0" w:color="A6A6A6" w:themeColor="background1" w:themeShade="A6"/>
            </w:tcBorders>
            <w:hideMark/>
          </w:tcPr>
          <w:p w14:paraId="2D3DCEB9" w14:textId="77777777" w:rsidR="00CE75D4" w:rsidRPr="002029AF" w:rsidRDefault="00CE75D4" w:rsidP="008340C1">
            <w:pPr>
              <w:pStyle w:val="ARfintablebodyright"/>
            </w:pPr>
          </w:p>
        </w:tc>
        <w:tc>
          <w:tcPr>
            <w:tcW w:w="1305" w:type="dxa"/>
            <w:tcBorders>
              <w:top w:val="single" w:sz="4" w:space="0" w:color="auto"/>
              <w:bottom w:val="single" w:sz="4" w:space="0" w:color="A6A6A6" w:themeColor="background1" w:themeShade="A6"/>
            </w:tcBorders>
            <w:noWrap/>
            <w:hideMark/>
          </w:tcPr>
          <w:p w14:paraId="37305797" w14:textId="77777777" w:rsidR="00CE75D4" w:rsidRPr="002029AF" w:rsidRDefault="00CE75D4" w:rsidP="008340C1">
            <w:pPr>
              <w:pStyle w:val="ARfintablebodyright"/>
            </w:pPr>
            <w:r w:rsidRPr="001A0205">
              <w:t>(4,466.1)</w:t>
            </w:r>
          </w:p>
        </w:tc>
        <w:tc>
          <w:tcPr>
            <w:tcW w:w="1305" w:type="dxa"/>
            <w:tcBorders>
              <w:top w:val="single" w:sz="4" w:space="0" w:color="auto"/>
              <w:bottom w:val="single" w:sz="4" w:space="0" w:color="A6A6A6" w:themeColor="background1" w:themeShade="A6"/>
            </w:tcBorders>
            <w:noWrap/>
            <w:hideMark/>
          </w:tcPr>
          <w:p w14:paraId="549D012A" w14:textId="77777777" w:rsidR="00CE75D4" w:rsidRPr="002029AF" w:rsidRDefault="00CE75D4" w:rsidP="008340C1">
            <w:pPr>
              <w:pStyle w:val="ARfintablebodyright"/>
            </w:pPr>
            <w:r w:rsidRPr="001A0205">
              <w:t>(106.7)</w:t>
            </w:r>
          </w:p>
        </w:tc>
        <w:tc>
          <w:tcPr>
            <w:tcW w:w="1305" w:type="dxa"/>
            <w:tcBorders>
              <w:top w:val="single" w:sz="4" w:space="0" w:color="auto"/>
              <w:bottom w:val="single" w:sz="4" w:space="0" w:color="A6A6A6" w:themeColor="background1" w:themeShade="A6"/>
            </w:tcBorders>
            <w:noWrap/>
            <w:hideMark/>
          </w:tcPr>
          <w:p w14:paraId="264282C6" w14:textId="77777777" w:rsidR="00CE75D4" w:rsidRPr="002029AF" w:rsidRDefault="00CE75D4" w:rsidP="008340C1">
            <w:pPr>
              <w:pStyle w:val="ARfintablebodyright"/>
            </w:pPr>
            <w:r w:rsidRPr="001A0205">
              <w:t>(28,586.6)</w:t>
            </w:r>
          </w:p>
        </w:tc>
        <w:tc>
          <w:tcPr>
            <w:tcW w:w="1305" w:type="dxa"/>
            <w:tcBorders>
              <w:top w:val="single" w:sz="4" w:space="0" w:color="auto"/>
              <w:bottom w:val="single" w:sz="4" w:space="0" w:color="A6A6A6" w:themeColor="background1" w:themeShade="A6"/>
            </w:tcBorders>
            <w:noWrap/>
            <w:hideMark/>
          </w:tcPr>
          <w:p w14:paraId="609FA997" w14:textId="77777777" w:rsidR="00CE75D4" w:rsidRPr="002029AF" w:rsidRDefault="00CE75D4" w:rsidP="008340C1">
            <w:pPr>
              <w:pStyle w:val="ARfintablebodyright"/>
            </w:pPr>
            <w:r w:rsidRPr="001A0205">
              <w:t>(33,159.0)</w:t>
            </w:r>
          </w:p>
        </w:tc>
      </w:tr>
      <w:tr w:rsidR="00CE75D4" w:rsidRPr="002029AF" w14:paraId="278E75B5" w14:textId="77777777" w:rsidTr="3D493511">
        <w:tc>
          <w:tcPr>
            <w:tcW w:w="3573" w:type="dxa"/>
            <w:tcBorders>
              <w:top w:val="single" w:sz="4" w:space="0" w:color="A6A6A6" w:themeColor="background1" w:themeShade="A6"/>
              <w:bottom w:val="single" w:sz="4" w:space="0" w:color="A6A6A6" w:themeColor="background1" w:themeShade="A6"/>
            </w:tcBorders>
            <w:hideMark/>
          </w:tcPr>
          <w:p w14:paraId="0F671FEB" w14:textId="77777777" w:rsidR="00CE75D4" w:rsidRPr="002029AF" w:rsidRDefault="00CE75D4" w:rsidP="008340C1">
            <w:pPr>
              <w:pStyle w:val="ARfintablebodybold"/>
              <w:rPr>
                <w:highlight w:val="yellow"/>
              </w:rPr>
            </w:pPr>
            <w:r w:rsidRPr="001A0205">
              <w:t>Adjusted balance at 1 July 2021</w:t>
            </w:r>
          </w:p>
        </w:tc>
        <w:tc>
          <w:tcPr>
            <w:tcW w:w="851" w:type="dxa"/>
            <w:tcBorders>
              <w:top w:val="single" w:sz="4" w:space="0" w:color="A6A6A6" w:themeColor="background1" w:themeShade="A6"/>
              <w:bottom w:val="single" w:sz="4" w:space="0" w:color="A6A6A6" w:themeColor="background1" w:themeShade="A6"/>
            </w:tcBorders>
            <w:hideMark/>
          </w:tcPr>
          <w:p w14:paraId="0240266F" w14:textId="77777777" w:rsidR="00CE75D4" w:rsidRPr="002029AF" w:rsidRDefault="00CE75D4" w:rsidP="008340C1">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720F1C4E" w14:textId="77777777" w:rsidR="00CE75D4" w:rsidRPr="002029AF" w:rsidRDefault="00CE75D4" w:rsidP="008340C1">
            <w:pPr>
              <w:pStyle w:val="ARfintablebodyright"/>
            </w:pPr>
            <w:r w:rsidRPr="001A0205">
              <w:t>411.8</w:t>
            </w:r>
          </w:p>
        </w:tc>
        <w:tc>
          <w:tcPr>
            <w:tcW w:w="1305" w:type="dxa"/>
            <w:tcBorders>
              <w:top w:val="single" w:sz="4" w:space="0" w:color="A6A6A6" w:themeColor="background1" w:themeShade="A6"/>
              <w:bottom w:val="single" w:sz="4" w:space="0" w:color="A6A6A6" w:themeColor="background1" w:themeShade="A6"/>
            </w:tcBorders>
            <w:noWrap/>
            <w:hideMark/>
          </w:tcPr>
          <w:p w14:paraId="48BDCE14" w14:textId="77777777" w:rsidR="00CE75D4" w:rsidRPr="002029AF" w:rsidRDefault="00CE75D4" w:rsidP="008340C1">
            <w:pPr>
              <w:pStyle w:val="ARfintablebodyright"/>
            </w:pPr>
            <w:r w:rsidRPr="001A0205">
              <w:t>3,607.3</w:t>
            </w:r>
          </w:p>
        </w:tc>
        <w:tc>
          <w:tcPr>
            <w:tcW w:w="1305" w:type="dxa"/>
            <w:tcBorders>
              <w:top w:val="single" w:sz="4" w:space="0" w:color="A6A6A6" w:themeColor="background1" w:themeShade="A6"/>
              <w:bottom w:val="single" w:sz="4" w:space="0" w:color="A6A6A6" w:themeColor="background1" w:themeShade="A6"/>
            </w:tcBorders>
            <w:noWrap/>
            <w:hideMark/>
          </w:tcPr>
          <w:p w14:paraId="3497BBB2" w14:textId="77777777" w:rsidR="00CE75D4" w:rsidRPr="002029AF" w:rsidRDefault="00CE75D4" w:rsidP="008340C1">
            <w:pPr>
              <w:pStyle w:val="ARfintablebodyright"/>
            </w:pPr>
            <w:r w:rsidRPr="001A0205">
              <w:t>97.5</w:t>
            </w:r>
          </w:p>
        </w:tc>
        <w:tc>
          <w:tcPr>
            <w:tcW w:w="1305" w:type="dxa"/>
            <w:tcBorders>
              <w:top w:val="single" w:sz="4" w:space="0" w:color="A6A6A6" w:themeColor="background1" w:themeShade="A6"/>
              <w:bottom w:val="single" w:sz="4" w:space="0" w:color="A6A6A6" w:themeColor="background1" w:themeShade="A6"/>
            </w:tcBorders>
            <w:noWrap/>
            <w:hideMark/>
          </w:tcPr>
          <w:p w14:paraId="3C085AC1" w14:textId="77777777" w:rsidR="00CE75D4" w:rsidRPr="002029AF" w:rsidRDefault="00CE75D4" w:rsidP="008340C1">
            <w:pPr>
              <w:pStyle w:val="ARfintablebodyright"/>
            </w:pPr>
            <w:r w:rsidRPr="001A0205">
              <w:t>4,116.9</w:t>
            </w:r>
          </w:p>
        </w:tc>
      </w:tr>
      <w:tr w:rsidR="00CE75D4" w:rsidRPr="002029AF" w14:paraId="51CE0CBA" w14:textId="77777777" w:rsidTr="3D493511">
        <w:tc>
          <w:tcPr>
            <w:tcW w:w="3573" w:type="dxa"/>
            <w:tcBorders>
              <w:top w:val="single" w:sz="4" w:space="0" w:color="A6A6A6" w:themeColor="background1" w:themeShade="A6"/>
              <w:bottom w:val="single" w:sz="4" w:space="0" w:color="A6A6A6" w:themeColor="background1" w:themeShade="A6"/>
            </w:tcBorders>
            <w:hideMark/>
          </w:tcPr>
          <w:p w14:paraId="1F466132" w14:textId="77777777" w:rsidR="00CE75D4" w:rsidRPr="002029AF" w:rsidRDefault="00CE75D4" w:rsidP="008340C1">
            <w:pPr>
              <w:pStyle w:val="ARfintablebody"/>
            </w:pPr>
            <w:r w:rsidRPr="001A0205">
              <w:t xml:space="preserve">Prior period </w:t>
            </w:r>
            <w:r>
              <w:t xml:space="preserve">adjustments </w:t>
            </w:r>
            <w:r w:rsidRPr="00696718">
              <w:rPr>
                <w:rStyle w:val="Superscript"/>
              </w:rPr>
              <w:t>(</w:t>
            </w:r>
            <w:r>
              <w:rPr>
                <w:rStyle w:val="Superscript"/>
              </w:rPr>
              <w:t>i</w:t>
            </w:r>
            <w:r w:rsidRPr="00696718">
              <w:rPr>
                <w:rStyle w:val="Superscript"/>
              </w:rPr>
              <w:t>)</w:t>
            </w:r>
          </w:p>
        </w:tc>
        <w:tc>
          <w:tcPr>
            <w:tcW w:w="851" w:type="dxa"/>
            <w:tcBorders>
              <w:top w:val="single" w:sz="4" w:space="0" w:color="A6A6A6" w:themeColor="background1" w:themeShade="A6"/>
              <w:bottom w:val="single" w:sz="4" w:space="0" w:color="A6A6A6" w:themeColor="background1" w:themeShade="A6"/>
            </w:tcBorders>
            <w:hideMark/>
          </w:tcPr>
          <w:p w14:paraId="6A0B76BB" w14:textId="77777777" w:rsidR="00CE75D4" w:rsidRPr="002029AF" w:rsidRDefault="00CE75D4" w:rsidP="008340C1">
            <w:pPr>
              <w:pStyle w:val="ARfintablebodyright"/>
            </w:pPr>
            <w:r w:rsidRPr="001A0205">
              <w:t>9.4</w:t>
            </w:r>
          </w:p>
        </w:tc>
        <w:tc>
          <w:tcPr>
            <w:tcW w:w="1305" w:type="dxa"/>
            <w:tcBorders>
              <w:top w:val="single" w:sz="4" w:space="0" w:color="A6A6A6" w:themeColor="background1" w:themeShade="A6"/>
              <w:bottom w:val="single" w:sz="4" w:space="0" w:color="A6A6A6" w:themeColor="background1" w:themeShade="A6"/>
            </w:tcBorders>
            <w:noWrap/>
            <w:hideMark/>
          </w:tcPr>
          <w:p w14:paraId="54D6CD48"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4F8E2BD5" w14:textId="77777777" w:rsidR="00CE75D4" w:rsidRPr="002029AF" w:rsidRDefault="00CE75D4" w:rsidP="008340C1">
            <w:pPr>
              <w:pStyle w:val="ARfintablebodyright"/>
            </w:pPr>
            <w:r w:rsidRPr="001A0205">
              <w:t>(59.3)</w:t>
            </w:r>
          </w:p>
        </w:tc>
        <w:tc>
          <w:tcPr>
            <w:tcW w:w="1305" w:type="dxa"/>
            <w:tcBorders>
              <w:top w:val="single" w:sz="4" w:space="0" w:color="A6A6A6" w:themeColor="background1" w:themeShade="A6"/>
              <w:bottom w:val="single" w:sz="4" w:space="0" w:color="A6A6A6" w:themeColor="background1" w:themeShade="A6"/>
            </w:tcBorders>
            <w:noWrap/>
            <w:hideMark/>
          </w:tcPr>
          <w:p w14:paraId="1C345AB4"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1F887A71" w14:textId="77777777" w:rsidR="00CE75D4" w:rsidRPr="002029AF" w:rsidRDefault="00CE75D4" w:rsidP="008340C1">
            <w:pPr>
              <w:pStyle w:val="ARfintablebodyright"/>
            </w:pPr>
            <w:r w:rsidRPr="001A0205">
              <w:t>(59.3)</w:t>
            </w:r>
          </w:p>
        </w:tc>
      </w:tr>
      <w:tr w:rsidR="00CE75D4" w:rsidRPr="002029AF" w14:paraId="359213A5" w14:textId="77777777" w:rsidTr="3D493511">
        <w:tc>
          <w:tcPr>
            <w:tcW w:w="3573" w:type="dxa"/>
            <w:tcBorders>
              <w:top w:val="single" w:sz="4" w:space="0" w:color="A6A6A6" w:themeColor="background1" w:themeShade="A6"/>
              <w:bottom w:val="single" w:sz="4" w:space="0" w:color="A6A6A6" w:themeColor="background1" w:themeShade="A6"/>
            </w:tcBorders>
            <w:hideMark/>
          </w:tcPr>
          <w:p w14:paraId="68CB26F1" w14:textId="77777777" w:rsidR="00CE75D4" w:rsidRPr="002029AF" w:rsidRDefault="00CE75D4" w:rsidP="008340C1">
            <w:pPr>
              <w:pStyle w:val="ARfintablebodybold"/>
              <w:rPr>
                <w:highlight w:val="yellow"/>
              </w:rPr>
            </w:pPr>
            <w:r w:rsidRPr="001A0205">
              <w:t>Restated balance at 1 July 2021</w:t>
            </w:r>
          </w:p>
        </w:tc>
        <w:tc>
          <w:tcPr>
            <w:tcW w:w="851" w:type="dxa"/>
            <w:tcBorders>
              <w:top w:val="single" w:sz="4" w:space="0" w:color="A6A6A6" w:themeColor="background1" w:themeShade="A6"/>
              <w:bottom w:val="single" w:sz="4" w:space="0" w:color="A6A6A6" w:themeColor="background1" w:themeShade="A6"/>
            </w:tcBorders>
            <w:hideMark/>
          </w:tcPr>
          <w:p w14:paraId="54A1D08E" w14:textId="77777777" w:rsidR="00CE75D4" w:rsidRPr="002029AF" w:rsidRDefault="00CE75D4" w:rsidP="008340C1">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5ECAABBB" w14:textId="77777777" w:rsidR="00CE75D4" w:rsidRPr="002029AF" w:rsidRDefault="00CE75D4" w:rsidP="008340C1">
            <w:pPr>
              <w:pStyle w:val="ARfintablebodyrightbold"/>
            </w:pPr>
            <w:r w:rsidRPr="001A0205">
              <w:t>411.8</w:t>
            </w:r>
          </w:p>
        </w:tc>
        <w:tc>
          <w:tcPr>
            <w:tcW w:w="1305" w:type="dxa"/>
            <w:tcBorders>
              <w:top w:val="single" w:sz="4" w:space="0" w:color="A6A6A6" w:themeColor="background1" w:themeShade="A6"/>
              <w:bottom w:val="single" w:sz="4" w:space="0" w:color="A6A6A6" w:themeColor="background1" w:themeShade="A6"/>
            </w:tcBorders>
            <w:noWrap/>
            <w:hideMark/>
          </w:tcPr>
          <w:p w14:paraId="202AFE1A" w14:textId="77777777" w:rsidR="00CE75D4" w:rsidRPr="002029AF" w:rsidRDefault="00CE75D4" w:rsidP="008340C1">
            <w:pPr>
              <w:pStyle w:val="ARfintablebodyrightbold"/>
            </w:pPr>
            <w:r w:rsidRPr="001A0205">
              <w:t>3,548.0</w:t>
            </w:r>
          </w:p>
        </w:tc>
        <w:tc>
          <w:tcPr>
            <w:tcW w:w="1305" w:type="dxa"/>
            <w:tcBorders>
              <w:top w:val="single" w:sz="4" w:space="0" w:color="A6A6A6" w:themeColor="background1" w:themeShade="A6"/>
              <w:bottom w:val="single" w:sz="4" w:space="0" w:color="A6A6A6" w:themeColor="background1" w:themeShade="A6"/>
            </w:tcBorders>
            <w:noWrap/>
            <w:hideMark/>
          </w:tcPr>
          <w:p w14:paraId="2C62E4C4" w14:textId="77777777" w:rsidR="00CE75D4" w:rsidRPr="002029AF" w:rsidRDefault="00CE75D4" w:rsidP="008340C1">
            <w:pPr>
              <w:pStyle w:val="ARfintablebodyrightbold"/>
            </w:pPr>
            <w:r w:rsidRPr="001A0205">
              <w:t>97.5</w:t>
            </w:r>
          </w:p>
        </w:tc>
        <w:tc>
          <w:tcPr>
            <w:tcW w:w="1305" w:type="dxa"/>
            <w:tcBorders>
              <w:top w:val="single" w:sz="4" w:space="0" w:color="A6A6A6" w:themeColor="background1" w:themeShade="A6"/>
              <w:bottom w:val="single" w:sz="4" w:space="0" w:color="A6A6A6" w:themeColor="background1" w:themeShade="A6"/>
            </w:tcBorders>
            <w:noWrap/>
            <w:hideMark/>
          </w:tcPr>
          <w:p w14:paraId="68EF0B51" w14:textId="77777777" w:rsidR="00CE75D4" w:rsidRPr="002029AF" w:rsidRDefault="00CE75D4" w:rsidP="008340C1">
            <w:pPr>
              <w:pStyle w:val="ARfintablebodyrightbold"/>
            </w:pPr>
            <w:r w:rsidRPr="001A0205">
              <w:t>4,057.6</w:t>
            </w:r>
          </w:p>
        </w:tc>
      </w:tr>
      <w:tr w:rsidR="00CE75D4" w:rsidRPr="002029AF" w14:paraId="4CDD9AFE" w14:textId="77777777" w:rsidTr="3D493511">
        <w:tc>
          <w:tcPr>
            <w:tcW w:w="3573" w:type="dxa"/>
            <w:tcBorders>
              <w:top w:val="single" w:sz="4" w:space="0" w:color="A6A6A6" w:themeColor="background1" w:themeShade="A6"/>
              <w:bottom w:val="single" w:sz="4" w:space="0" w:color="A6A6A6" w:themeColor="background1" w:themeShade="A6"/>
            </w:tcBorders>
            <w:hideMark/>
          </w:tcPr>
          <w:p w14:paraId="40086607" w14:textId="77777777" w:rsidR="00CE75D4" w:rsidRPr="002029AF" w:rsidRDefault="00CE75D4" w:rsidP="008340C1">
            <w:pPr>
              <w:pStyle w:val="ARfintablebody"/>
            </w:pPr>
            <w:r w:rsidRPr="001A0205">
              <w:t>Net result for the year</w:t>
            </w:r>
          </w:p>
        </w:tc>
        <w:tc>
          <w:tcPr>
            <w:tcW w:w="851" w:type="dxa"/>
            <w:tcBorders>
              <w:top w:val="single" w:sz="4" w:space="0" w:color="A6A6A6" w:themeColor="background1" w:themeShade="A6"/>
              <w:bottom w:val="single" w:sz="4" w:space="0" w:color="A6A6A6" w:themeColor="background1" w:themeShade="A6"/>
            </w:tcBorders>
            <w:hideMark/>
          </w:tcPr>
          <w:p w14:paraId="1D3EE027" w14:textId="77777777" w:rsidR="00CE75D4" w:rsidRPr="002029AF" w:rsidRDefault="00CE75D4" w:rsidP="008340C1">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102A0832"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37891957" w14:textId="77777777" w:rsidR="00CE75D4" w:rsidRPr="002029AF" w:rsidRDefault="00CE75D4" w:rsidP="008340C1">
            <w:pPr>
              <w:pStyle w:val="ARfintablebodyright"/>
            </w:pPr>
            <w:r w:rsidRPr="001A0205">
              <w:t>721.8</w:t>
            </w:r>
          </w:p>
        </w:tc>
        <w:tc>
          <w:tcPr>
            <w:tcW w:w="1305" w:type="dxa"/>
            <w:tcBorders>
              <w:top w:val="single" w:sz="4" w:space="0" w:color="A6A6A6" w:themeColor="background1" w:themeShade="A6"/>
              <w:bottom w:val="single" w:sz="4" w:space="0" w:color="A6A6A6" w:themeColor="background1" w:themeShade="A6"/>
            </w:tcBorders>
            <w:noWrap/>
            <w:hideMark/>
          </w:tcPr>
          <w:p w14:paraId="219DFAC5"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44AA1B14" w14:textId="77777777" w:rsidR="00CE75D4" w:rsidRPr="002029AF" w:rsidRDefault="00CE75D4" w:rsidP="008340C1">
            <w:pPr>
              <w:pStyle w:val="ARfintablebodyright"/>
            </w:pPr>
            <w:r w:rsidRPr="001A0205">
              <w:t>721.8</w:t>
            </w:r>
          </w:p>
        </w:tc>
      </w:tr>
      <w:tr w:rsidR="00CE75D4" w:rsidRPr="002029AF" w14:paraId="1FC81714" w14:textId="77777777" w:rsidTr="3D493511">
        <w:tc>
          <w:tcPr>
            <w:tcW w:w="3573" w:type="dxa"/>
            <w:tcBorders>
              <w:top w:val="single" w:sz="4" w:space="0" w:color="A6A6A6" w:themeColor="background1" w:themeShade="A6"/>
              <w:bottom w:val="single" w:sz="4" w:space="0" w:color="A6A6A6" w:themeColor="background1" w:themeShade="A6"/>
            </w:tcBorders>
            <w:hideMark/>
          </w:tcPr>
          <w:p w14:paraId="6C8FDC1C" w14:textId="77777777" w:rsidR="00CE75D4" w:rsidRPr="002029AF" w:rsidRDefault="00CE75D4" w:rsidP="008340C1">
            <w:pPr>
              <w:pStyle w:val="ARfintablebody"/>
            </w:pPr>
            <w:r w:rsidRPr="001A0205">
              <w:t>Changes in physical asset revaluation surplus</w:t>
            </w:r>
          </w:p>
        </w:tc>
        <w:tc>
          <w:tcPr>
            <w:tcW w:w="851" w:type="dxa"/>
            <w:tcBorders>
              <w:top w:val="single" w:sz="4" w:space="0" w:color="A6A6A6" w:themeColor="background1" w:themeShade="A6"/>
              <w:bottom w:val="single" w:sz="4" w:space="0" w:color="A6A6A6" w:themeColor="background1" w:themeShade="A6"/>
            </w:tcBorders>
            <w:hideMark/>
          </w:tcPr>
          <w:p w14:paraId="65FC1634" w14:textId="77777777" w:rsidR="00CE75D4" w:rsidRPr="002029AF" w:rsidRDefault="00CE75D4" w:rsidP="008340C1">
            <w:pPr>
              <w:pStyle w:val="ARfintablebodyright"/>
            </w:pPr>
            <w:r w:rsidRPr="001A0205">
              <w:t>9.4</w:t>
            </w:r>
          </w:p>
        </w:tc>
        <w:tc>
          <w:tcPr>
            <w:tcW w:w="1305" w:type="dxa"/>
            <w:tcBorders>
              <w:top w:val="single" w:sz="4" w:space="0" w:color="A6A6A6" w:themeColor="background1" w:themeShade="A6"/>
              <w:bottom w:val="single" w:sz="4" w:space="0" w:color="A6A6A6" w:themeColor="background1" w:themeShade="A6"/>
            </w:tcBorders>
            <w:noWrap/>
            <w:hideMark/>
          </w:tcPr>
          <w:p w14:paraId="12ECC8A5" w14:textId="77777777" w:rsidR="00CE75D4" w:rsidRPr="002029AF" w:rsidRDefault="00CE75D4" w:rsidP="008340C1">
            <w:pPr>
              <w:pStyle w:val="ARfintablebodyright"/>
            </w:pPr>
            <w:r w:rsidRPr="001A0205">
              <w:t>85.6</w:t>
            </w:r>
          </w:p>
        </w:tc>
        <w:tc>
          <w:tcPr>
            <w:tcW w:w="1305" w:type="dxa"/>
            <w:tcBorders>
              <w:top w:val="single" w:sz="4" w:space="0" w:color="A6A6A6" w:themeColor="background1" w:themeShade="A6"/>
              <w:bottom w:val="single" w:sz="4" w:space="0" w:color="A6A6A6" w:themeColor="background1" w:themeShade="A6"/>
            </w:tcBorders>
            <w:noWrap/>
            <w:hideMark/>
          </w:tcPr>
          <w:p w14:paraId="20DA302B"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6D76AD5F"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7CE607D9" w14:textId="77777777" w:rsidR="00CE75D4" w:rsidRPr="002029AF" w:rsidRDefault="00CE75D4" w:rsidP="008340C1">
            <w:pPr>
              <w:pStyle w:val="ARfintablebodyright"/>
            </w:pPr>
            <w:r w:rsidRPr="001A0205">
              <w:t>85.6</w:t>
            </w:r>
          </w:p>
        </w:tc>
      </w:tr>
      <w:tr w:rsidR="00CE75D4" w:rsidRPr="002029AF" w14:paraId="32A28413" w14:textId="77777777" w:rsidTr="3D493511">
        <w:tc>
          <w:tcPr>
            <w:tcW w:w="3573" w:type="dxa"/>
            <w:tcBorders>
              <w:top w:val="single" w:sz="4" w:space="0" w:color="A6A6A6" w:themeColor="background1" w:themeShade="A6"/>
              <w:bottom w:val="single" w:sz="4" w:space="0" w:color="A6A6A6" w:themeColor="background1" w:themeShade="A6"/>
            </w:tcBorders>
            <w:hideMark/>
          </w:tcPr>
          <w:p w14:paraId="5A2A2EDC" w14:textId="37D4044E" w:rsidR="00CE75D4" w:rsidRPr="002029AF" w:rsidRDefault="00CE75D4" w:rsidP="008340C1">
            <w:pPr>
              <w:pStyle w:val="ARfintablebody"/>
            </w:pPr>
            <w:r w:rsidRPr="001A0205">
              <w:t>Capital contributions by Victorian State Government</w:t>
            </w:r>
          </w:p>
        </w:tc>
        <w:tc>
          <w:tcPr>
            <w:tcW w:w="851" w:type="dxa"/>
            <w:tcBorders>
              <w:top w:val="single" w:sz="4" w:space="0" w:color="A6A6A6" w:themeColor="background1" w:themeShade="A6"/>
              <w:bottom w:val="single" w:sz="4" w:space="0" w:color="A6A6A6" w:themeColor="background1" w:themeShade="A6"/>
            </w:tcBorders>
            <w:hideMark/>
          </w:tcPr>
          <w:p w14:paraId="1F548A89" w14:textId="77777777" w:rsidR="00CE75D4" w:rsidRPr="002029AF" w:rsidRDefault="00CE75D4" w:rsidP="008340C1">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095370BB"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611869EF"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00A4D1EA" w14:textId="77777777" w:rsidR="00CE75D4" w:rsidRPr="002029AF" w:rsidRDefault="00CE75D4" w:rsidP="008340C1">
            <w:pPr>
              <w:pStyle w:val="ARfintablebodyright"/>
            </w:pPr>
            <w:r w:rsidRPr="001A0205">
              <w:t>11.3</w:t>
            </w:r>
          </w:p>
        </w:tc>
        <w:tc>
          <w:tcPr>
            <w:tcW w:w="1305" w:type="dxa"/>
            <w:tcBorders>
              <w:top w:val="single" w:sz="4" w:space="0" w:color="A6A6A6" w:themeColor="background1" w:themeShade="A6"/>
              <w:bottom w:val="single" w:sz="4" w:space="0" w:color="A6A6A6" w:themeColor="background1" w:themeShade="A6"/>
            </w:tcBorders>
            <w:noWrap/>
            <w:hideMark/>
          </w:tcPr>
          <w:p w14:paraId="4E15BA8D" w14:textId="77777777" w:rsidR="00CE75D4" w:rsidRPr="002029AF" w:rsidRDefault="00CE75D4" w:rsidP="008340C1">
            <w:pPr>
              <w:pStyle w:val="ARfintablebodyright"/>
            </w:pPr>
            <w:r w:rsidRPr="001A0205">
              <w:t>11.3</w:t>
            </w:r>
          </w:p>
        </w:tc>
      </w:tr>
      <w:tr w:rsidR="00CE75D4" w:rsidRPr="002029AF" w14:paraId="2627C8C8" w14:textId="77777777" w:rsidTr="3D493511">
        <w:tc>
          <w:tcPr>
            <w:tcW w:w="3573" w:type="dxa"/>
            <w:tcBorders>
              <w:top w:val="single" w:sz="4" w:space="0" w:color="A6A6A6" w:themeColor="background1" w:themeShade="A6"/>
              <w:bottom w:val="single" w:sz="4" w:space="0" w:color="A6A6A6" w:themeColor="background1" w:themeShade="A6"/>
            </w:tcBorders>
            <w:hideMark/>
          </w:tcPr>
          <w:p w14:paraId="1FB18B78" w14:textId="77777777" w:rsidR="00CE75D4" w:rsidRPr="002029AF" w:rsidRDefault="00CE75D4" w:rsidP="008340C1">
            <w:pPr>
              <w:pStyle w:val="ARfintablebody"/>
            </w:pPr>
            <w:r w:rsidRPr="001A0205">
              <w:t>Capital contributions to agencies</w:t>
            </w:r>
          </w:p>
        </w:tc>
        <w:tc>
          <w:tcPr>
            <w:tcW w:w="851" w:type="dxa"/>
            <w:tcBorders>
              <w:top w:val="single" w:sz="4" w:space="0" w:color="A6A6A6" w:themeColor="background1" w:themeShade="A6"/>
              <w:bottom w:val="single" w:sz="4" w:space="0" w:color="A6A6A6" w:themeColor="background1" w:themeShade="A6"/>
            </w:tcBorders>
            <w:hideMark/>
          </w:tcPr>
          <w:p w14:paraId="794047C4" w14:textId="77777777" w:rsidR="00CE75D4" w:rsidRPr="002029AF" w:rsidRDefault="00CE75D4" w:rsidP="008340C1">
            <w:pPr>
              <w:pStyle w:val="ARfintablebodyright"/>
            </w:pPr>
          </w:p>
        </w:tc>
        <w:tc>
          <w:tcPr>
            <w:tcW w:w="1305" w:type="dxa"/>
            <w:tcBorders>
              <w:top w:val="single" w:sz="4" w:space="0" w:color="A6A6A6" w:themeColor="background1" w:themeShade="A6"/>
              <w:bottom w:val="single" w:sz="4" w:space="0" w:color="A6A6A6" w:themeColor="background1" w:themeShade="A6"/>
            </w:tcBorders>
            <w:noWrap/>
            <w:hideMark/>
          </w:tcPr>
          <w:p w14:paraId="320E2DDA"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6501E394" w14:textId="77777777" w:rsidR="00CE75D4" w:rsidRPr="002029AF" w:rsidRDefault="00CE75D4" w:rsidP="008340C1">
            <w:pPr>
              <w:pStyle w:val="ARfintablebodyright"/>
            </w:pPr>
            <w:r>
              <w:t>–</w:t>
            </w:r>
          </w:p>
        </w:tc>
        <w:tc>
          <w:tcPr>
            <w:tcW w:w="1305" w:type="dxa"/>
            <w:tcBorders>
              <w:top w:val="single" w:sz="4" w:space="0" w:color="A6A6A6" w:themeColor="background1" w:themeShade="A6"/>
              <w:bottom w:val="single" w:sz="4" w:space="0" w:color="A6A6A6" w:themeColor="background1" w:themeShade="A6"/>
            </w:tcBorders>
            <w:noWrap/>
            <w:hideMark/>
          </w:tcPr>
          <w:p w14:paraId="14848760" w14:textId="77777777" w:rsidR="00CE75D4" w:rsidRPr="002029AF" w:rsidRDefault="00CE75D4" w:rsidP="008340C1">
            <w:pPr>
              <w:pStyle w:val="ARfintablebodyright"/>
            </w:pPr>
            <w:r w:rsidRPr="001A0205">
              <w:t>(11.3)</w:t>
            </w:r>
          </w:p>
        </w:tc>
        <w:tc>
          <w:tcPr>
            <w:tcW w:w="1305" w:type="dxa"/>
            <w:tcBorders>
              <w:top w:val="single" w:sz="4" w:space="0" w:color="A6A6A6" w:themeColor="background1" w:themeShade="A6"/>
              <w:bottom w:val="single" w:sz="4" w:space="0" w:color="A6A6A6" w:themeColor="background1" w:themeShade="A6"/>
            </w:tcBorders>
            <w:noWrap/>
            <w:hideMark/>
          </w:tcPr>
          <w:p w14:paraId="3B4A22DA" w14:textId="77777777" w:rsidR="00CE75D4" w:rsidRPr="002029AF" w:rsidRDefault="00CE75D4" w:rsidP="008340C1">
            <w:pPr>
              <w:pStyle w:val="ARfintablebodyright"/>
            </w:pPr>
            <w:r w:rsidRPr="001A0205">
              <w:t>(11.3)</w:t>
            </w:r>
          </w:p>
        </w:tc>
      </w:tr>
      <w:tr w:rsidR="00CE75D4" w:rsidRPr="002029AF" w14:paraId="2959A1FC" w14:textId="77777777" w:rsidTr="3D493511">
        <w:tc>
          <w:tcPr>
            <w:tcW w:w="3573" w:type="dxa"/>
            <w:tcBorders>
              <w:top w:val="single" w:sz="4" w:space="0" w:color="A6A6A6" w:themeColor="background1" w:themeShade="A6"/>
            </w:tcBorders>
            <w:hideMark/>
          </w:tcPr>
          <w:p w14:paraId="5F4E7459" w14:textId="77777777" w:rsidR="00CE75D4" w:rsidRPr="002029AF" w:rsidRDefault="00CE75D4" w:rsidP="008340C1">
            <w:pPr>
              <w:pStyle w:val="ARfintablebody"/>
            </w:pPr>
            <w:r w:rsidRPr="001A0205">
              <w:t>Capital transferred to administered entity</w:t>
            </w:r>
          </w:p>
        </w:tc>
        <w:tc>
          <w:tcPr>
            <w:tcW w:w="851" w:type="dxa"/>
            <w:tcBorders>
              <w:top w:val="single" w:sz="4" w:space="0" w:color="A6A6A6" w:themeColor="background1" w:themeShade="A6"/>
            </w:tcBorders>
            <w:hideMark/>
          </w:tcPr>
          <w:p w14:paraId="5FD27669" w14:textId="77777777" w:rsidR="00CE75D4" w:rsidRPr="002029AF" w:rsidRDefault="00CE75D4" w:rsidP="008340C1">
            <w:pPr>
              <w:pStyle w:val="ARfintablebodyright"/>
            </w:pPr>
          </w:p>
        </w:tc>
        <w:tc>
          <w:tcPr>
            <w:tcW w:w="1305" w:type="dxa"/>
            <w:tcBorders>
              <w:top w:val="single" w:sz="4" w:space="0" w:color="A6A6A6" w:themeColor="background1" w:themeShade="A6"/>
            </w:tcBorders>
            <w:noWrap/>
            <w:hideMark/>
          </w:tcPr>
          <w:p w14:paraId="2815928E" w14:textId="77777777" w:rsidR="00CE75D4" w:rsidRPr="002029AF" w:rsidRDefault="00CE75D4" w:rsidP="008340C1">
            <w:pPr>
              <w:pStyle w:val="ARfintablebodyright"/>
            </w:pPr>
            <w:r>
              <w:t>–</w:t>
            </w:r>
          </w:p>
        </w:tc>
        <w:tc>
          <w:tcPr>
            <w:tcW w:w="1305" w:type="dxa"/>
            <w:tcBorders>
              <w:top w:val="single" w:sz="4" w:space="0" w:color="A6A6A6" w:themeColor="background1" w:themeShade="A6"/>
            </w:tcBorders>
            <w:noWrap/>
            <w:hideMark/>
          </w:tcPr>
          <w:p w14:paraId="5EA42774" w14:textId="77777777" w:rsidR="00CE75D4" w:rsidRPr="002029AF" w:rsidRDefault="00CE75D4" w:rsidP="008340C1">
            <w:pPr>
              <w:pStyle w:val="ARfintablebodyright"/>
            </w:pPr>
            <w:r>
              <w:t>–</w:t>
            </w:r>
          </w:p>
        </w:tc>
        <w:tc>
          <w:tcPr>
            <w:tcW w:w="1305" w:type="dxa"/>
            <w:tcBorders>
              <w:top w:val="single" w:sz="4" w:space="0" w:color="A6A6A6" w:themeColor="background1" w:themeShade="A6"/>
            </w:tcBorders>
            <w:noWrap/>
            <w:hideMark/>
          </w:tcPr>
          <w:p w14:paraId="5A8A6D1F" w14:textId="77777777" w:rsidR="00CE75D4" w:rsidRPr="002029AF" w:rsidRDefault="00CE75D4" w:rsidP="008340C1">
            <w:pPr>
              <w:pStyle w:val="ARfintablebodyright"/>
            </w:pPr>
            <w:r w:rsidRPr="001A0205">
              <w:t>(1.5)</w:t>
            </w:r>
          </w:p>
        </w:tc>
        <w:tc>
          <w:tcPr>
            <w:tcW w:w="1305" w:type="dxa"/>
            <w:tcBorders>
              <w:top w:val="single" w:sz="4" w:space="0" w:color="A6A6A6" w:themeColor="background1" w:themeShade="A6"/>
            </w:tcBorders>
            <w:noWrap/>
            <w:hideMark/>
          </w:tcPr>
          <w:p w14:paraId="0B893241" w14:textId="77777777" w:rsidR="00CE75D4" w:rsidRPr="002029AF" w:rsidRDefault="00CE75D4" w:rsidP="008340C1">
            <w:pPr>
              <w:pStyle w:val="ARfintablebodyright"/>
            </w:pPr>
            <w:r w:rsidRPr="001A0205">
              <w:t>(1.5)</w:t>
            </w:r>
          </w:p>
        </w:tc>
      </w:tr>
      <w:tr w:rsidR="00CE75D4" w:rsidRPr="002029AF" w14:paraId="1FE8FB97" w14:textId="77777777" w:rsidTr="008340C1">
        <w:tc>
          <w:tcPr>
            <w:tcW w:w="3573" w:type="dxa"/>
            <w:hideMark/>
          </w:tcPr>
          <w:p w14:paraId="6EA80720" w14:textId="77777777" w:rsidR="00CE75D4" w:rsidRPr="002029AF" w:rsidRDefault="00CE75D4" w:rsidP="008340C1">
            <w:pPr>
              <w:pStyle w:val="ARfintablebodybold"/>
            </w:pPr>
            <w:r w:rsidRPr="001A0205">
              <w:t>Balance at 30 June 2022</w:t>
            </w:r>
          </w:p>
        </w:tc>
        <w:tc>
          <w:tcPr>
            <w:tcW w:w="851" w:type="dxa"/>
            <w:hideMark/>
          </w:tcPr>
          <w:p w14:paraId="3F265AE0" w14:textId="77777777" w:rsidR="00CE75D4" w:rsidRPr="002029AF" w:rsidRDefault="00CE75D4" w:rsidP="008340C1">
            <w:pPr>
              <w:pStyle w:val="ARfintablebodyright"/>
            </w:pPr>
          </w:p>
        </w:tc>
        <w:tc>
          <w:tcPr>
            <w:tcW w:w="1305" w:type="dxa"/>
            <w:noWrap/>
            <w:hideMark/>
          </w:tcPr>
          <w:p w14:paraId="3D790DC7" w14:textId="77777777" w:rsidR="00CE75D4" w:rsidRPr="002029AF" w:rsidRDefault="00CE75D4" w:rsidP="008340C1">
            <w:pPr>
              <w:pStyle w:val="ARfintablebodyrightbold"/>
            </w:pPr>
            <w:r w:rsidRPr="001A0205">
              <w:t>497.</w:t>
            </w:r>
            <w:r>
              <w:t>2</w:t>
            </w:r>
          </w:p>
        </w:tc>
        <w:tc>
          <w:tcPr>
            <w:tcW w:w="1305" w:type="dxa"/>
            <w:noWrap/>
            <w:hideMark/>
          </w:tcPr>
          <w:p w14:paraId="6812734B" w14:textId="77777777" w:rsidR="00CE75D4" w:rsidRPr="002029AF" w:rsidRDefault="00CE75D4" w:rsidP="008340C1">
            <w:pPr>
              <w:pStyle w:val="ARfintablebodyrightbold"/>
            </w:pPr>
            <w:r w:rsidRPr="001A0205">
              <w:t>4,269.8</w:t>
            </w:r>
          </w:p>
        </w:tc>
        <w:tc>
          <w:tcPr>
            <w:tcW w:w="1305" w:type="dxa"/>
            <w:noWrap/>
            <w:hideMark/>
          </w:tcPr>
          <w:p w14:paraId="26DDE295" w14:textId="77777777" w:rsidR="00CE75D4" w:rsidRPr="002029AF" w:rsidRDefault="00CE75D4" w:rsidP="008340C1">
            <w:pPr>
              <w:pStyle w:val="ARfintablebodyrightbold"/>
            </w:pPr>
            <w:r w:rsidRPr="001A0205">
              <w:t>96.</w:t>
            </w:r>
            <w:r>
              <w:t>2</w:t>
            </w:r>
          </w:p>
        </w:tc>
        <w:tc>
          <w:tcPr>
            <w:tcW w:w="1305" w:type="dxa"/>
            <w:noWrap/>
            <w:hideMark/>
          </w:tcPr>
          <w:p w14:paraId="294A3BE8" w14:textId="77777777" w:rsidR="00CE75D4" w:rsidRPr="002029AF" w:rsidRDefault="00CE75D4" w:rsidP="008340C1">
            <w:pPr>
              <w:pStyle w:val="ARfintablebodyrightbold"/>
            </w:pPr>
            <w:r w:rsidRPr="001A0205">
              <w:t>4,863.2</w:t>
            </w:r>
          </w:p>
        </w:tc>
      </w:tr>
    </w:tbl>
    <w:p w14:paraId="48088E32" w14:textId="77777777" w:rsidR="00CE75D4" w:rsidRDefault="00CE75D4" w:rsidP="008340C1">
      <w:pPr>
        <w:pStyle w:val="ARfintablefootnote"/>
      </w:pPr>
      <w:r>
        <w:rPr>
          <w:lang w:eastAsia="en-AU"/>
        </w:rPr>
        <w:t>The statement of changes in equity should be read in conjunction with the notes to the financial statements.</w:t>
      </w:r>
    </w:p>
    <w:p w14:paraId="0B43F2CD" w14:textId="77777777" w:rsidR="00CE75D4" w:rsidRDefault="00CE75D4" w:rsidP="008340C1">
      <w:pPr>
        <w:pStyle w:val="ARfintablefootnote"/>
      </w:pPr>
      <w:r>
        <w:rPr>
          <w:lang w:eastAsia="en-AU"/>
        </w:rPr>
        <w:t>Notes:</w:t>
      </w:r>
    </w:p>
    <w:p w14:paraId="48C665C2" w14:textId="3D8236D5" w:rsidR="00CE75D4" w:rsidRDefault="00CE75D4" w:rsidP="008340C1">
      <w:pPr>
        <w:pStyle w:val="ARfintablefootnoteindent"/>
      </w:pPr>
      <w:r>
        <w:t>(i)</w:t>
      </w:r>
      <w:r>
        <w:tab/>
      </w:r>
      <w:r w:rsidRPr="008C1BDA">
        <w:t xml:space="preserve">Includes the intangible assets write off due to </w:t>
      </w:r>
      <w:r w:rsidR="003C4A11">
        <w:t xml:space="preserve">a </w:t>
      </w:r>
      <w:r w:rsidRPr="008C1BDA">
        <w:t xml:space="preserve">change in policy in relation to the accounting treatment </w:t>
      </w:r>
      <w:r w:rsidR="003C4A11">
        <w:t>of</w:t>
      </w:r>
      <w:r w:rsidRPr="008C1BDA">
        <w:t xml:space="preserve"> the upfront configuration and customisation costs incurred in implementing </w:t>
      </w:r>
      <w:r>
        <w:t xml:space="preserve">the </w:t>
      </w:r>
      <w:r w:rsidRPr="008C1BDA">
        <w:t>Software-as-a-Service (SaaS) arrangements</w:t>
      </w:r>
      <w:r>
        <w:t xml:space="preserve"> </w:t>
      </w:r>
      <w:r w:rsidRPr="008C1BDA">
        <w:t>by applying the agenda decision issued by the International Financial Reporting Interpretations Committee (IFRIC).</w:t>
      </w:r>
    </w:p>
    <w:p w14:paraId="7E3AA1A8" w14:textId="77777777" w:rsidR="00CE75D4" w:rsidRDefault="00CE75D4" w:rsidP="008340C1">
      <w:pPr>
        <w:pStyle w:val="ARfintablefootnoteindent"/>
      </w:pPr>
      <w:r>
        <w:t>(ii)</w:t>
      </w:r>
      <w:r>
        <w:tab/>
        <w:t>2021 numbers include the 30 June 2021 closing balances of the DFFH, the Victorian Disability Worker Commission and the Director of Housing. The transactions which relate to these entities are reported in the DFFH’s 2021–22 financial statements.</w:t>
      </w:r>
    </w:p>
    <w:p w14:paraId="2A58B699" w14:textId="77777777" w:rsidR="00CE75D4" w:rsidRDefault="00CE75D4" w:rsidP="008340C1">
      <w:pPr>
        <w:pStyle w:val="ARfintablefootnoteindent"/>
      </w:pPr>
      <w:r>
        <w:t>(iii)</w:t>
      </w:r>
      <w:r>
        <w:tab/>
        <w:t>Removes the 30 June 2021 closing balances of the DFFH, the Victorian Disability Worker Commission and the Director of Housing, which were included in the department’s 2020–21 financial statements under s. 53(1)(b) of the FMA. The transactions which relate to these entities are reported in the DFFH’s 2021–22 financial statements.</w:t>
      </w:r>
    </w:p>
    <w:p w14:paraId="2861DC22" w14:textId="77777777" w:rsidR="00CE75D4" w:rsidRDefault="00CE75D4" w:rsidP="008340C1">
      <w:pPr>
        <w:pStyle w:val="Heading2Financials"/>
      </w:pPr>
      <w:bookmarkStart w:id="507" w:name="Statement_of_changes_in_equity"/>
      <w:bookmarkStart w:id="508" w:name="_Toc113702958"/>
      <w:bookmarkEnd w:id="504"/>
      <w:bookmarkEnd w:id="507"/>
      <w:r>
        <w:rPr>
          <w:lang w:eastAsia="en-AU"/>
        </w:rPr>
        <w:t>Notes to and forming part of the financial statements for the financial year ended 30 June 2022</w:t>
      </w:r>
      <w:bookmarkEnd w:id="508"/>
    </w:p>
    <w:p w14:paraId="4D46C1F1" w14:textId="77777777" w:rsidR="00CE75D4" w:rsidRDefault="00CE75D4" w:rsidP="008340C1">
      <w:pPr>
        <w:pStyle w:val="Heading3"/>
      </w:pPr>
      <w:bookmarkStart w:id="509" w:name="_Ref112962774"/>
      <w:bookmarkStart w:id="510" w:name="_Ref112963820"/>
      <w:bookmarkStart w:id="511" w:name="_Toc113702959"/>
      <w:r>
        <w:t>1. About this report</w:t>
      </w:r>
      <w:bookmarkEnd w:id="509"/>
      <w:bookmarkEnd w:id="510"/>
      <w:bookmarkEnd w:id="511"/>
    </w:p>
    <w:p w14:paraId="2E8B203B" w14:textId="77777777" w:rsidR="00CE75D4" w:rsidRPr="00555B07" w:rsidRDefault="00CE75D4" w:rsidP="008340C1">
      <w:pPr>
        <w:pStyle w:val="ARfinbody"/>
      </w:pPr>
      <w:r w:rsidRPr="00555B07">
        <w:t>The</w:t>
      </w:r>
      <w:r>
        <w:t xml:space="preserve"> </w:t>
      </w:r>
      <w:r w:rsidRPr="00555B07">
        <w:t>Department</w:t>
      </w:r>
      <w:r>
        <w:t xml:space="preserve"> </w:t>
      </w:r>
      <w:r w:rsidRPr="00555B07">
        <w:t>of</w:t>
      </w:r>
      <w:r>
        <w:t xml:space="preserve"> </w:t>
      </w:r>
      <w:r w:rsidRPr="00555B07">
        <w:t>Health</w:t>
      </w:r>
      <w:r>
        <w:t xml:space="preserve"> </w:t>
      </w:r>
      <w:r w:rsidRPr="00555B07">
        <w:t>(the</w:t>
      </w:r>
      <w:r>
        <w:t xml:space="preserve"> </w:t>
      </w:r>
      <w:r w:rsidRPr="00555B07">
        <w:t>department)</w:t>
      </w:r>
      <w:r>
        <w:t xml:space="preserve"> </w:t>
      </w:r>
      <w:r w:rsidRPr="00555B07">
        <w:t>is</w:t>
      </w:r>
      <w:r>
        <w:t xml:space="preserve"> </w:t>
      </w:r>
      <w:r w:rsidRPr="00555B07">
        <w:t>a</w:t>
      </w:r>
      <w:r>
        <w:t xml:space="preserve"> </w:t>
      </w:r>
      <w:r w:rsidRPr="00555B07">
        <w:t>government</w:t>
      </w:r>
      <w:r>
        <w:t xml:space="preserve"> </w:t>
      </w:r>
      <w:r w:rsidRPr="00555B07">
        <w:t>department</w:t>
      </w:r>
      <w:r>
        <w:t xml:space="preserve"> </w:t>
      </w:r>
      <w:r w:rsidRPr="00555B07">
        <w:t>of</w:t>
      </w:r>
      <w:r>
        <w:t xml:space="preserve"> </w:t>
      </w:r>
      <w:r w:rsidRPr="00555B07">
        <w:t>the</w:t>
      </w:r>
      <w:r>
        <w:t xml:space="preserve"> </w:t>
      </w:r>
      <w:r w:rsidRPr="00555B07">
        <w:t>State</w:t>
      </w:r>
      <w:r>
        <w:t xml:space="preserve"> </w:t>
      </w:r>
      <w:r w:rsidRPr="00555B07">
        <w:t>of</w:t>
      </w:r>
      <w:r>
        <w:t xml:space="preserve"> </w:t>
      </w:r>
      <w:r w:rsidRPr="00555B07">
        <w:t>Victoria,</w:t>
      </w:r>
      <w:r>
        <w:t xml:space="preserve"> </w:t>
      </w:r>
      <w:r w:rsidRPr="00555B07">
        <w:t>established</w:t>
      </w:r>
      <w:r>
        <w:t xml:space="preserve"> </w:t>
      </w:r>
      <w:r w:rsidRPr="00555B07">
        <w:t>pursuant</w:t>
      </w:r>
      <w:r>
        <w:t xml:space="preserve"> </w:t>
      </w:r>
      <w:r w:rsidRPr="00555B07">
        <w:t>to</w:t>
      </w:r>
      <w:r>
        <w:t xml:space="preserve"> </w:t>
      </w:r>
      <w:r w:rsidRPr="00555B07">
        <w:t>an</w:t>
      </w:r>
      <w:r>
        <w:t xml:space="preserve"> </w:t>
      </w:r>
      <w:r w:rsidRPr="00555B07">
        <w:t>order</w:t>
      </w:r>
      <w:r>
        <w:t xml:space="preserve"> </w:t>
      </w:r>
      <w:r w:rsidRPr="00555B07">
        <w:t>made</w:t>
      </w:r>
      <w:r>
        <w:t xml:space="preserve"> </w:t>
      </w:r>
      <w:r w:rsidRPr="00555B07">
        <w:t>by</w:t>
      </w:r>
      <w:r>
        <w:t xml:space="preserve"> </w:t>
      </w:r>
      <w:r w:rsidRPr="00555B07">
        <w:t>the</w:t>
      </w:r>
      <w:r>
        <w:t xml:space="preserve"> </w:t>
      </w:r>
      <w:r w:rsidRPr="00555B07">
        <w:t>Premier</w:t>
      </w:r>
      <w:r>
        <w:t xml:space="preserve"> </w:t>
      </w:r>
      <w:r w:rsidRPr="00555B07">
        <w:t>under</w:t>
      </w:r>
      <w:r>
        <w:t xml:space="preserve"> </w:t>
      </w:r>
      <w:r w:rsidRPr="00555B07">
        <w:t>the</w:t>
      </w:r>
      <w:r>
        <w:t xml:space="preserve"> </w:t>
      </w:r>
      <w:r w:rsidRPr="00555B07">
        <w:rPr>
          <w:rStyle w:val="Emphasis"/>
          <w:szCs w:val="18"/>
        </w:rPr>
        <w:t>Public</w:t>
      </w:r>
      <w:r>
        <w:rPr>
          <w:rStyle w:val="Emphasis"/>
          <w:szCs w:val="18"/>
        </w:rPr>
        <w:t xml:space="preserve"> </w:t>
      </w:r>
      <w:r w:rsidRPr="00555B07">
        <w:rPr>
          <w:rStyle w:val="Emphasis"/>
          <w:szCs w:val="18"/>
        </w:rPr>
        <w:t>Administration</w:t>
      </w:r>
      <w:r>
        <w:rPr>
          <w:rStyle w:val="Emphasis"/>
          <w:szCs w:val="18"/>
        </w:rPr>
        <w:t xml:space="preserve"> </w:t>
      </w:r>
      <w:r w:rsidRPr="00555B07">
        <w:rPr>
          <w:rStyle w:val="Emphasis"/>
          <w:szCs w:val="18"/>
        </w:rPr>
        <w:t>Act</w:t>
      </w:r>
      <w:r>
        <w:rPr>
          <w:rStyle w:val="Emphasis"/>
          <w:szCs w:val="18"/>
        </w:rPr>
        <w:t xml:space="preserve"> </w:t>
      </w:r>
      <w:r w:rsidRPr="00555B07">
        <w:rPr>
          <w:rStyle w:val="Emphasis"/>
          <w:szCs w:val="18"/>
        </w:rPr>
        <w:t>2004</w:t>
      </w:r>
      <w:r w:rsidRPr="00555B07">
        <w:t>.</w:t>
      </w:r>
      <w:r>
        <w:t xml:space="preserve"> </w:t>
      </w:r>
      <w:r w:rsidRPr="00555B07">
        <w:t>It</w:t>
      </w:r>
      <w:r>
        <w:t xml:space="preserve"> </w:t>
      </w:r>
      <w:r w:rsidRPr="00555B07">
        <w:t>is</w:t>
      </w:r>
      <w:r>
        <w:t xml:space="preserve"> </w:t>
      </w:r>
      <w:r w:rsidRPr="00555B07">
        <w:t>an</w:t>
      </w:r>
      <w:r>
        <w:t xml:space="preserve"> </w:t>
      </w:r>
      <w:r w:rsidRPr="00555B07">
        <w:t>administrative</w:t>
      </w:r>
      <w:r>
        <w:t xml:space="preserve"> </w:t>
      </w:r>
      <w:r w:rsidRPr="00555B07">
        <w:t>agency</w:t>
      </w:r>
      <w:r>
        <w:t xml:space="preserve"> </w:t>
      </w:r>
      <w:r w:rsidRPr="00555B07">
        <w:t>acting</w:t>
      </w:r>
      <w:r>
        <w:t xml:space="preserve"> </w:t>
      </w:r>
      <w:r w:rsidRPr="00555B07">
        <w:t>on</w:t>
      </w:r>
      <w:r>
        <w:t xml:space="preserve"> </w:t>
      </w:r>
      <w:r w:rsidRPr="00555B07">
        <w:t>behalf</w:t>
      </w:r>
      <w:r>
        <w:t xml:space="preserve"> </w:t>
      </w:r>
      <w:r w:rsidRPr="00555B07">
        <w:t>of</w:t>
      </w:r>
      <w:r>
        <w:t xml:space="preserve"> </w:t>
      </w:r>
      <w:r w:rsidRPr="00555B07">
        <w:t>the</w:t>
      </w:r>
      <w:r>
        <w:t xml:space="preserve"> </w:t>
      </w:r>
      <w:r w:rsidRPr="00555B07">
        <w:t>Crown.</w:t>
      </w:r>
    </w:p>
    <w:p w14:paraId="2A603D91" w14:textId="77777777" w:rsidR="00CE75D4" w:rsidRPr="00555B07" w:rsidRDefault="00CE75D4" w:rsidP="008340C1">
      <w:pPr>
        <w:pStyle w:val="ARfinbody"/>
      </w:pPr>
      <w:r w:rsidRPr="00555B07">
        <w:t>Its</w:t>
      </w:r>
      <w:r>
        <w:t xml:space="preserve"> </w:t>
      </w:r>
      <w:r w:rsidRPr="00555B07">
        <w:t>principal</w:t>
      </w:r>
      <w:r>
        <w:t xml:space="preserve"> </w:t>
      </w:r>
      <w:r w:rsidRPr="00555B07">
        <w:t>address</w:t>
      </w:r>
      <w:r>
        <w:t xml:space="preserve"> </w:t>
      </w:r>
      <w:r w:rsidRPr="00555B07">
        <w:t>is:</w:t>
      </w:r>
    </w:p>
    <w:p w14:paraId="4926BE1D" w14:textId="77777777" w:rsidR="00CE75D4" w:rsidRPr="00555B07" w:rsidRDefault="00CE75D4" w:rsidP="008340C1">
      <w:pPr>
        <w:pStyle w:val="ARfinbody"/>
      </w:pPr>
      <w:r w:rsidRPr="00555B07">
        <w:t>Department</w:t>
      </w:r>
      <w:r>
        <w:t xml:space="preserve"> </w:t>
      </w:r>
      <w:r w:rsidRPr="00555B07">
        <w:t>of</w:t>
      </w:r>
      <w:r>
        <w:t xml:space="preserve"> </w:t>
      </w:r>
      <w:r w:rsidRPr="00555B07">
        <w:t>Health</w:t>
      </w:r>
      <w:r>
        <w:br/>
      </w:r>
      <w:r w:rsidRPr="00555B07">
        <w:t>50</w:t>
      </w:r>
      <w:r>
        <w:t xml:space="preserve"> </w:t>
      </w:r>
      <w:r w:rsidRPr="00555B07">
        <w:t>Lonsdale</w:t>
      </w:r>
      <w:r>
        <w:t xml:space="preserve"> </w:t>
      </w:r>
      <w:r w:rsidRPr="00555B07">
        <w:t>Street</w:t>
      </w:r>
      <w:r>
        <w:br/>
      </w:r>
      <w:r w:rsidRPr="00555B07">
        <w:t>Melbourne</w:t>
      </w:r>
      <w:r>
        <w:t xml:space="preserve"> </w:t>
      </w:r>
      <w:r w:rsidRPr="00555B07">
        <w:t>VIC</w:t>
      </w:r>
      <w:r>
        <w:t xml:space="preserve"> </w:t>
      </w:r>
      <w:r w:rsidRPr="00555B07">
        <w:t>3000</w:t>
      </w:r>
    </w:p>
    <w:p w14:paraId="6E584196" w14:textId="77777777" w:rsidR="00CE75D4" w:rsidRPr="00555B07" w:rsidRDefault="00CE75D4" w:rsidP="008340C1">
      <w:pPr>
        <w:pStyle w:val="ARfinbody"/>
      </w:pPr>
      <w:r w:rsidRPr="00555B07">
        <w:t>A</w:t>
      </w:r>
      <w:r>
        <w:t xml:space="preserve"> </w:t>
      </w:r>
      <w:r w:rsidRPr="00555B07">
        <w:t>description</w:t>
      </w:r>
      <w:r>
        <w:t xml:space="preserve"> </w:t>
      </w:r>
      <w:r w:rsidRPr="00555B07">
        <w:t>of</w:t>
      </w:r>
      <w:r>
        <w:t xml:space="preserve"> </w:t>
      </w:r>
      <w:r w:rsidRPr="00555B07">
        <w:t>the</w:t>
      </w:r>
      <w:r>
        <w:t xml:space="preserve"> </w:t>
      </w:r>
      <w:r w:rsidRPr="00555B07">
        <w:t>nature</w:t>
      </w:r>
      <w:r>
        <w:t xml:space="preserve"> </w:t>
      </w:r>
      <w:r w:rsidRPr="00555B07">
        <w:t>of</w:t>
      </w:r>
      <w:r>
        <w:t xml:space="preserve"> </w:t>
      </w:r>
      <w:r w:rsidRPr="00555B07">
        <w:t>its</w:t>
      </w:r>
      <w:r>
        <w:t xml:space="preserve"> </w:t>
      </w:r>
      <w:r w:rsidRPr="00555B07">
        <w:t>operations</w:t>
      </w:r>
      <w:r>
        <w:t xml:space="preserve"> </w:t>
      </w:r>
      <w:r w:rsidRPr="00555B07">
        <w:t>and</w:t>
      </w:r>
      <w:r>
        <w:t xml:space="preserve"> </w:t>
      </w:r>
      <w:r w:rsidRPr="00555B07">
        <w:t>its</w:t>
      </w:r>
      <w:r>
        <w:t xml:space="preserve"> </w:t>
      </w:r>
      <w:r w:rsidRPr="00555B07">
        <w:t>principal</w:t>
      </w:r>
      <w:r>
        <w:t xml:space="preserve"> </w:t>
      </w:r>
      <w:r w:rsidRPr="00555B07">
        <w:t>activities</w:t>
      </w:r>
      <w:r>
        <w:t xml:space="preserve"> </w:t>
      </w:r>
      <w:r w:rsidRPr="00555B07">
        <w:t>is</w:t>
      </w:r>
      <w:r>
        <w:t xml:space="preserve"> </w:t>
      </w:r>
      <w:r w:rsidRPr="00555B07">
        <w:t>included</w:t>
      </w:r>
      <w:r>
        <w:t xml:space="preserve"> </w:t>
      </w:r>
      <w:r w:rsidRPr="00555B07">
        <w:t>in</w:t>
      </w:r>
      <w:r>
        <w:t xml:space="preserve"> </w:t>
      </w:r>
      <w:r w:rsidRPr="00555B07">
        <w:t>the</w:t>
      </w:r>
      <w:r>
        <w:t xml:space="preserve"> </w:t>
      </w:r>
      <w:r w:rsidRPr="00555B07">
        <w:t>report</w:t>
      </w:r>
      <w:r>
        <w:t xml:space="preserve"> </w:t>
      </w:r>
      <w:r w:rsidRPr="00555B07">
        <w:t>of</w:t>
      </w:r>
      <w:r>
        <w:t xml:space="preserve"> </w:t>
      </w:r>
      <w:r w:rsidRPr="00555B07">
        <w:t>operations,</w:t>
      </w:r>
      <w:r>
        <w:t xml:space="preserve"> </w:t>
      </w:r>
      <w:r w:rsidRPr="00555B07">
        <w:t>which</w:t>
      </w:r>
      <w:r>
        <w:t xml:space="preserve"> </w:t>
      </w:r>
      <w:r w:rsidRPr="00555B07">
        <w:t>does</w:t>
      </w:r>
      <w:r>
        <w:t xml:space="preserve"> </w:t>
      </w:r>
      <w:r w:rsidRPr="00555B07">
        <w:t>not</w:t>
      </w:r>
      <w:r>
        <w:t xml:space="preserve"> </w:t>
      </w:r>
      <w:r w:rsidRPr="00555B07">
        <w:t>form</w:t>
      </w:r>
      <w:r>
        <w:t xml:space="preserve"> </w:t>
      </w:r>
      <w:r w:rsidRPr="00555B07">
        <w:t>part</w:t>
      </w:r>
      <w:r>
        <w:t xml:space="preserve"> </w:t>
      </w:r>
      <w:r w:rsidRPr="00555B07">
        <w:t>of</w:t>
      </w:r>
      <w:r>
        <w:t xml:space="preserve"> </w:t>
      </w:r>
      <w:r w:rsidRPr="00555B07">
        <w:t>these</w:t>
      </w:r>
      <w:r>
        <w:t xml:space="preserve"> </w:t>
      </w:r>
      <w:r w:rsidRPr="00555B07">
        <w:t>financial</w:t>
      </w:r>
      <w:r>
        <w:t xml:space="preserve"> </w:t>
      </w:r>
      <w:r w:rsidRPr="00555B07">
        <w:t>statements.</w:t>
      </w:r>
    </w:p>
    <w:p w14:paraId="4AD91CA4" w14:textId="77777777" w:rsidR="00CE75D4" w:rsidRDefault="00CE75D4" w:rsidP="008340C1">
      <w:pPr>
        <w:pStyle w:val="Heading4"/>
        <w:rPr>
          <w:lang w:eastAsia="en-AU"/>
        </w:rPr>
      </w:pPr>
      <w:r>
        <w:rPr>
          <w:lang w:eastAsia="en-AU"/>
        </w:rPr>
        <w:t>Basis of preparation</w:t>
      </w:r>
    </w:p>
    <w:p w14:paraId="062C90E1" w14:textId="77777777" w:rsidR="00CE75D4" w:rsidRPr="00555B07" w:rsidRDefault="00CE75D4" w:rsidP="008340C1">
      <w:pPr>
        <w:pStyle w:val="ARfinbody"/>
      </w:pPr>
      <w:r w:rsidRPr="00555B07">
        <w:t>These</w:t>
      </w:r>
      <w:r>
        <w:t xml:space="preserve"> </w:t>
      </w:r>
      <w:r w:rsidRPr="00555B07">
        <w:t>financial</w:t>
      </w:r>
      <w:r>
        <w:t xml:space="preserve"> </w:t>
      </w:r>
      <w:r w:rsidRPr="00555B07">
        <w:t>statements</w:t>
      </w:r>
      <w:r>
        <w:t xml:space="preserve"> </w:t>
      </w:r>
      <w:r w:rsidRPr="00555B07">
        <w:t>cover</w:t>
      </w:r>
      <w:r>
        <w:t xml:space="preserve"> </w:t>
      </w:r>
      <w:r w:rsidRPr="00555B07">
        <w:t>the</w:t>
      </w:r>
      <w:r>
        <w:t xml:space="preserve"> </w:t>
      </w:r>
      <w:r w:rsidRPr="00555B07">
        <w:t>department</w:t>
      </w:r>
      <w:r>
        <w:t xml:space="preserve"> </w:t>
      </w:r>
      <w:r w:rsidRPr="00555B07">
        <w:t>as</w:t>
      </w:r>
      <w:r>
        <w:t xml:space="preserve"> </w:t>
      </w:r>
      <w:r w:rsidRPr="00555B07">
        <w:t>an</w:t>
      </w:r>
      <w:r>
        <w:t xml:space="preserve"> </w:t>
      </w:r>
      <w:r w:rsidRPr="00555B07">
        <w:t>individual</w:t>
      </w:r>
      <w:r>
        <w:t xml:space="preserve"> </w:t>
      </w:r>
      <w:r w:rsidRPr="00555B07">
        <w:t>reporting</w:t>
      </w:r>
      <w:r>
        <w:t xml:space="preserve"> </w:t>
      </w:r>
      <w:r w:rsidRPr="00555B07">
        <w:t>entity</w:t>
      </w:r>
      <w:r>
        <w:t xml:space="preserve"> </w:t>
      </w:r>
      <w:r w:rsidRPr="00555B07">
        <w:t>and</w:t>
      </w:r>
      <w:r>
        <w:t xml:space="preserve"> </w:t>
      </w:r>
      <w:r w:rsidRPr="00555B07">
        <w:t>include</w:t>
      </w:r>
      <w:r>
        <w:t xml:space="preserve"> </w:t>
      </w:r>
      <w:r w:rsidRPr="00555B07">
        <w:t>all</w:t>
      </w:r>
      <w:r>
        <w:t xml:space="preserve"> </w:t>
      </w:r>
      <w:r w:rsidRPr="00555B07">
        <w:t>controlled</w:t>
      </w:r>
      <w:r>
        <w:t xml:space="preserve"> </w:t>
      </w:r>
      <w:r w:rsidRPr="00555B07">
        <w:t>activities</w:t>
      </w:r>
      <w:r>
        <w:t xml:space="preserve"> </w:t>
      </w:r>
      <w:r w:rsidRPr="00555B07">
        <w:t>of</w:t>
      </w:r>
      <w:r>
        <w:t xml:space="preserve"> </w:t>
      </w:r>
      <w:r w:rsidRPr="00555B07">
        <w:t>the</w:t>
      </w:r>
      <w:r>
        <w:t xml:space="preserve"> </w:t>
      </w:r>
      <w:r w:rsidRPr="00555B07">
        <w:t>department.</w:t>
      </w:r>
    </w:p>
    <w:p w14:paraId="76BEBE48" w14:textId="77777777" w:rsidR="00CE75D4" w:rsidRPr="00555B07" w:rsidRDefault="00CE75D4" w:rsidP="008340C1">
      <w:pPr>
        <w:pStyle w:val="ARfinbody"/>
      </w:pPr>
      <w:r w:rsidRPr="00555B07">
        <w:t>Where</w:t>
      </w:r>
      <w:r>
        <w:t xml:space="preserve"> </w:t>
      </w:r>
      <w:r w:rsidRPr="00555B07">
        <w:t>control</w:t>
      </w:r>
      <w:r>
        <w:t xml:space="preserve"> </w:t>
      </w:r>
      <w:r w:rsidRPr="00555B07">
        <w:t>of</w:t>
      </w:r>
      <w:r>
        <w:t xml:space="preserve"> </w:t>
      </w:r>
      <w:r w:rsidRPr="00555B07">
        <w:t>an</w:t>
      </w:r>
      <w:r>
        <w:t xml:space="preserve"> </w:t>
      </w:r>
      <w:r w:rsidRPr="00555B07">
        <w:t>entity</w:t>
      </w:r>
      <w:r>
        <w:t xml:space="preserve"> </w:t>
      </w:r>
      <w:r w:rsidRPr="00555B07">
        <w:t>is</w:t>
      </w:r>
      <w:r>
        <w:t xml:space="preserve"> </w:t>
      </w:r>
      <w:r w:rsidRPr="00555B07">
        <w:t>obtained</w:t>
      </w:r>
      <w:r>
        <w:t xml:space="preserve"> </w:t>
      </w:r>
      <w:r w:rsidRPr="00555B07">
        <w:t>during</w:t>
      </w:r>
      <w:r>
        <w:t xml:space="preserve"> </w:t>
      </w:r>
      <w:r w:rsidRPr="00555B07">
        <w:t>the</w:t>
      </w:r>
      <w:r>
        <w:t xml:space="preserve"> </w:t>
      </w:r>
      <w:r w:rsidRPr="00555B07">
        <w:t>financial</w:t>
      </w:r>
      <w:r>
        <w:t xml:space="preserve"> </w:t>
      </w:r>
      <w:r w:rsidRPr="00555B07">
        <w:t>year,</w:t>
      </w:r>
      <w:r>
        <w:t xml:space="preserve"> </w:t>
      </w:r>
      <w:r w:rsidRPr="00555B07">
        <w:t>its</w:t>
      </w:r>
      <w:r>
        <w:t xml:space="preserve"> </w:t>
      </w:r>
      <w:r w:rsidRPr="00555B07">
        <w:t>results</w:t>
      </w:r>
      <w:r>
        <w:t xml:space="preserve"> </w:t>
      </w:r>
      <w:r w:rsidRPr="00555B07">
        <w:t>are</w:t>
      </w:r>
      <w:r>
        <w:t xml:space="preserve"> </w:t>
      </w:r>
      <w:r w:rsidRPr="00555B07">
        <w:t>included</w:t>
      </w:r>
      <w:r>
        <w:t xml:space="preserve"> </w:t>
      </w:r>
      <w:r w:rsidRPr="00555B07">
        <w:t>in</w:t>
      </w:r>
      <w:r>
        <w:t xml:space="preserve"> </w:t>
      </w:r>
      <w:r w:rsidRPr="00555B07">
        <w:t>the</w:t>
      </w:r>
      <w:r>
        <w:t xml:space="preserve"> </w:t>
      </w:r>
      <w:r w:rsidRPr="00555B07">
        <w:t>comprehensive</w:t>
      </w:r>
      <w:r>
        <w:t xml:space="preserve"> </w:t>
      </w:r>
      <w:r w:rsidRPr="00555B07">
        <w:t>operating</w:t>
      </w:r>
      <w:r>
        <w:t xml:space="preserve"> </w:t>
      </w:r>
      <w:r w:rsidRPr="00555B07">
        <w:t>statement</w:t>
      </w:r>
      <w:r>
        <w:t xml:space="preserve"> </w:t>
      </w:r>
      <w:r w:rsidRPr="00555B07">
        <w:t>from</w:t>
      </w:r>
      <w:r>
        <w:t xml:space="preserve"> </w:t>
      </w:r>
      <w:r w:rsidRPr="00555B07">
        <w:t>the</w:t>
      </w:r>
      <w:r>
        <w:t xml:space="preserve"> </w:t>
      </w:r>
      <w:r w:rsidRPr="00555B07">
        <w:t>date</w:t>
      </w:r>
      <w:r>
        <w:t xml:space="preserve"> </w:t>
      </w:r>
      <w:r w:rsidRPr="00555B07">
        <w:t>on</w:t>
      </w:r>
      <w:r>
        <w:t xml:space="preserve"> </w:t>
      </w:r>
      <w:r w:rsidRPr="00555B07">
        <w:t>which</w:t>
      </w:r>
      <w:r>
        <w:t xml:space="preserve"> </w:t>
      </w:r>
      <w:r w:rsidRPr="00555B07">
        <w:t>control</w:t>
      </w:r>
      <w:r>
        <w:t xml:space="preserve"> </w:t>
      </w:r>
      <w:r w:rsidRPr="00555B07">
        <w:t>commenced.</w:t>
      </w:r>
      <w:r>
        <w:t xml:space="preserve"> </w:t>
      </w:r>
      <w:r w:rsidRPr="00555B07">
        <w:t>Where</w:t>
      </w:r>
      <w:r>
        <w:t xml:space="preserve"> </w:t>
      </w:r>
      <w:r w:rsidRPr="00555B07">
        <w:t>control</w:t>
      </w:r>
      <w:r>
        <w:t xml:space="preserve"> </w:t>
      </w:r>
      <w:r w:rsidRPr="00555B07">
        <w:t>ceases</w:t>
      </w:r>
      <w:r>
        <w:t xml:space="preserve"> </w:t>
      </w:r>
      <w:r w:rsidRPr="00555B07">
        <w:t>during</w:t>
      </w:r>
      <w:r>
        <w:t xml:space="preserve"> </w:t>
      </w:r>
      <w:r w:rsidRPr="00555B07">
        <w:t>the</w:t>
      </w:r>
      <w:r>
        <w:t xml:space="preserve"> </w:t>
      </w:r>
      <w:r w:rsidRPr="00555B07">
        <w:t>financial</w:t>
      </w:r>
      <w:r>
        <w:t xml:space="preserve"> </w:t>
      </w:r>
      <w:r w:rsidRPr="00555B07">
        <w:t>year,</w:t>
      </w:r>
      <w:r>
        <w:t xml:space="preserve"> </w:t>
      </w:r>
      <w:r w:rsidRPr="00555B07">
        <w:t>the</w:t>
      </w:r>
      <w:r>
        <w:t xml:space="preserve"> </w:t>
      </w:r>
      <w:r w:rsidRPr="00555B07">
        <w:t>entity’s</w:t>
      </w:r>
      <w:r>
        <w:t xml:space="preserve"> </w:t>
      </w:r>
      <w:r w:rsidRPr="00555B07">
        <w:t>results</w:t>
      </w:r>
      <w:r>
        <w:t xml:space="preserve"> </w:t>
      </w:r>
      <w:r w:rsidRPr="00555B07">
        <w:t>are</w:t>
      </w:r>
      <w:r>
        <w:t xml:space="preserve"> </w:t>
      </w:r>
      <w:r w:rsidRPr="00555B07">
        <w:t>included</w:t>
      </w:r>
      <w:r>
        <w:t xml:space="preserve"> </w:t>
      </w:r>
      <w:r w:rsidRPr="00555B07">
        <w:t>for</w:t>
      </w:r>
      <w:r>
        <w:t xml:space="preserve"> </w:t>
      </w:r>
      <w:r w:rsidRPr="00555B07">
        <w:t>that</w:t>
      </w:r>
      <w:r>
        <w:t xml:space="preserve"> </w:t>
      </w:r>
      <w:r w:rsidRPr="00555B07">
        <w:t>part</w:t>
      </w:r>
      <w:r>
        <w:t xml:space="preserve"> </w:t>
      </w:r>
      <w:r w:rsidRPr="00555B07">
        <w:t>of</w:t>
      </w:r>
      <w:r>
        <w:t xml:space="preserve"> </w:t>
      </w:r>
      <w:r w:rsidRPr="00555B07">
        <w:t>the</w:t>
      </w:r>
      <w:r>
        <w:t xml:space="preserve"> </w:t>
      </w:r>
      <w:r w:rsidRPr="00555B07">
        <w:t>period</w:t>
      </w:r>
      <w:r>
        <w:t xml:space="preserve"> </w:t>
      </w:r>
      <w:r w:rsidRPr="00555B07">
        <w:t>in</w:t>
      </w:r>
      <w:r>
        <w:t xml:space="preserve"> </w:t>
      </w:r>
      <w:r w:rsidRPr="00555B07">
        <w:t>which</w:t>
      </w:r>
      <w:r>
        <w:t xml:space="preserve"> </w:t>
      </w:r>
      <w:r w:rsidRPr="00555B07">
        <w:t>control</w:t>
      </w:r>
      <w:r>
        <w:t xml:space="preserve"> </w:t>
      </w:r>
      <w:r w:rsidRPr="00555B07">
        <w:t>existed.</w:t>
      </w:r>
      <w:r>
        <w:t xml:space="preserve"> </w:t>
      </w:r>
      <w:r w:rsidRPr="00555B07">
        <w:t>Where</w:t>
      </w:r>
      <w:r>
        <w:t xml:space="preserve"> </w:t>
      </w:r>
      <w:r w:rsidRPr="00555B07">
        <w:t>entities</w:t>
      </w:r>
      <w:r>
        <w:t xml:space="preserve"> </w:t>
      </w:r>
      <w:r w:rsidRPr="00555B07">
        <w:t>adopt</w:t>
      </w:r>
      <w:r>
        <w:t xml:space="preserve"> </w:t>
      </w:r>
      <w:r w:rsidRPr="00555B07">
        <w:t>dissimilar</w:t>
      </w:r>
      <w:r>
        <w:t xml:space="preserve"> </w:t>
      </w:r>
      <w:r w:rsidRPr="00555B07">
        <w:t>accounting</w:t>
      </w:r>
      <w:r>
        <w:t xml:space="preserve"> </w:t>
      </w:r>
      <w:r w:rsidRPr="00555B07">
        <w:t>policies</w:t>
      </w:r>
      <w:r>
        <w:t xml:space="preserve"> </w:t>
      </w:r>
      <w:r w:rsidRPr="00555B07">
        <w:t>and</w:t>
      </w:r>
      <w:r>
        <w:t xml:space="preserve"> </w:t>
      </w:r>
      <w:r w:rsidRPr="00555B07">
        <w:t>their</w:t>
      </w:r>
      <w:r>
        <w:t xml:space="preserve"> </w:t>
      </w:r>
      <w:r w:rsidRPr="00555B07">
        <w:t>effect</w:t>
      </w:r>
      <w:r>
        <w:t xml:space="preserve"> </w:t>
      </w:r>
      <w:r w:rsidRPr="00555B07">
        <w:t>is</w:t>
      </w:r>
      <w:r>
        <w:t xml:space="preserve"> </w:t>
      </w:r>
      <w:r w:rsidRPr="00555B07">
        <w:t>considered</w:t>
      </w:r>
      <w:r>
        <w:t xml:space="preserve"> </w:t>
      </w:r>
      <w:r w:rsidRPr="00555B07">
        <w:t>material,</w:t>
      </w:r>
      <w:r>
        <w:t xml:space="preserve"> </w:t>
      </w:r>
      <w:r w:rsidRPr="00555B07">
        <w:t>adjustments</w:t>
      </w:r>
      <w:r>
        <w:t xml:space="preserve"> </w:t>
      </w:r>
      <w:r w:rsidRPr="00555B07">
        <w:t>are</w:t>
      </w:r>
      <w:r>
        <w:t xml:space="preserve"> </w:t>
      </w:r>
      <w:r w:rsidRPr="00555B07">
        <w:t>made</w:t>
      </w:r>
      <w:r>
        <w:t xml:space="preserve"> </w:t>
      </w:r>
      <w:r w:rsidRPr="00555B07">
        <w:t>to</w:t>
      </w:r>
      <w:r>
        <w:t xml:space="preserve"> </w:t>
      </w:r>
      <w:r w:rsidRPr="00555B07">
        <w:t>ensure</w:t>
      </w:r>
      <w:r>
        <w:t xml:space="preserve"> </w:t>
      </w:r>
      <w:r w:rsidRPr="00555B07">
        <w:t>consistent</w:t>
      </w:r>
      <w:r>
        <w:t xml:space="preserve"> </w:t>
      </w:r>
      <w:r w:rsidRPr="00555B07">
        <w:t>policies</w:t>
      </w:r>
      <w:r>
        <w:t xml:space="preserve"> </w:t>
      </w:r>
      <w:r w:rsidRPr="00555B07">
        <w:t>are</w:t>
      </w:r>
      <w:r>
        <w:t xml:space="preserve"> </w:t>
      </w:r>
      <w:r w:rsidRPr="00555B07">
        <w:t>adopted</w:t>
      </w:r>
      <w:r>
        <w:t xml:space="preserve"> </w:t>
      </w:r>
      <w:r w:rsidRPr="00555B07">
        <w:t>in</w:t>
      </w:r>
      <w:r>
        <w:t xml:space="preserve"> </w:t>
      </w:r>
      <w:r w:rsidRPr="00555B07">
        <w:t>these</w:t>
      </w:r>
      <w:r>
        <w:t xml:space="preserve"> </w:t>
      </w:r>
      <w:r w:rsidRPr="00555B07">
        <w:t>financial</w:t>
      </w:r>
      <w:r>
        <w:t xml:space="preserve"> </w:t>
      </w:r>
      <w:r w:rsidRPr="00555B07">
        <w:t>statements.</w:t>
      </w:r>
    </w:p>
    <w:p w14:paraId="0E96D95A" w14:textId="77777777" w:rsidR="00CE75D4" w:rsidRPr="00555B07" w:rsidRDefault="00CE75D4" w:rsidP="008340C1">
      <w:pPr>
        <w:pStyle w:val="ARfinbody"/>
      </w:pPr>
      <w:r w:rsidRPr="00555B07">
        <w:t>Pursuant</w:t>
      </w:r>
      <w:r>
        <w:t xml:space="preserve"> </w:t>
      </w:r>
      <w:r w:rsidRPr="00555B07">
        <w:t>to</w:t>
      </w:r>
      <w:r>
        <w:t xml:space="preserve"> </w:t>
      </w:r>
      <w:r w:rsidRPr="00555B07">
        <w:t>a</w:t>
      </w:r>
      <w:r>
        <w:t xml:space="preserve"> </w:t>
      </w:r>
      <w:r w:rsidRPr="00555B07">
        <w:t>determination</w:t>
      </w:r>
      <w:r>
        <w:t xml:space="preserve"> </w:t>
      </w:r>
      <w:r w:rsidRPr="00555B07">
        <w:t>made</w:t>
      </w:r>
      <w:r>
        <w:t xml:space="preserve"> </w:t>
      </w:r>
      <w:r w:rsidRPr="00555B07">
        <w:t>by</w:t>
      </w:r>
      <w:r>
        <w:t xml:space="preserve"> </w:t>
      </w:r>
      <w:r w:rsidRPr="00555B07">
        <w:t>the</w:t>
      </w:r>
      <w:r>
        <w:t xml:space="preserve"> </w:t>
      </w:r>
      <w:r w:rsidRPr="00555B07">
        <w:t>Assistant</w:t>
      </w:r>
      <w:r>
        <w:t xml:space="preserve"> </w:t>
      </w:r>
      <w:r w:rsidRPr="00555B07">
        <w:t>Treasurer</w:t>
      </w:r>
      <w:r>
        <w:t xml:space="preserve"> </w:t>
      </w:r>
      <w:r w:rsidRPr="00555B07">
        <w:t>under</w:t>
      </w:r>
      <w:r>
        <w:t xml:space="preserve"> </w:t>
      </w:r>
      <w:r w:rsidRPr="00555B07">
        <w:t>s.</w:t>
      </w:r>
      <w:r>
        <w:t xml:space="preserve"> </w:t>
      </w:r>
      <w:r w:rsidRPr="00555B07">
        <w:t>53(1)(b)</w:t>
      </w:r>
      <w:r>
        <w:t xml:space="preserve"> </w:t>
      </w:r>
      <w:r w:rsidRPr="00555B07">
        <w:t>of</w:t>
      </w:r>
      <w:r>
        <w:t xml:space="preserve"> </w:t>
      </w:r>
      <w:r w:rsidRPr="00555B07">
        <w:t>the</w:t>
      </w:r>
      <w:r>
        <w:t xml:space="preserve"> </w:t>
      </w:r>
      <w:r w:rsidRPr="00555B07">
        <w:t>FMA,</w:t>
      </w:r>
      <w:r>
        <w:t xml:space="preserve"> </w:t>
      </w:r>
      <w:r w:rsidRPr="00555B07">
        <w:t>the</w:t>
      </w:r>
      <w:r>
        <w:t xml:space="preserve"> </w:t>
      </w:r>
      <w:r w:rsidRPr="00555B07">
        <w:t>department’s</w:t>
      </w:r>
      <w:r>
        <w:t xml:space="preserve"> </w:t>
      </w:r>
      <w:r w:rsidRPr="00555B07">
        <w:t>2021–22</w:t>
      </w:r>
      <w:r>
        <w:t xml:space="preserve"> </w:t>
      </w:r>
      <w:r w:rsidRPr="00555B07">
        <w:t>financial</w:t>
      </w:r>
      <w:r>
        <w:t xml:space="preserve"> </w:t>
      </w:r>
      <w:r w:rsidRPr="00555B07">
        <w:t>statements</w:t>
      </w:r>
      <w:r>
        <w:t xml:space="preserve"> </w:t>
      </w:r>
      <w:r w:rsidRPr="00555B07">
        <w:t>include</w:t>
      </w:r>
      <w:r>
        <w:t xml:space="preserve"> only </w:t>
      </w:r>
      <w:r w:rsidRPr="00555B07">
        <w:t>the</w:t>
      </w:r>
      <w:r>
        <w:t xml:space="preserve"> </w:t>
      </w:r>
      <w:r w:rsidRPr="00555B07">
        <w:t>Mental</w:t>
      </w:r>
      <w:r>
        <w:t xml:space="preserve"> </w:t>
      </w:r>
      <w:r w:rsidRPr="00555B07">
        <w:t>Health</w:t>
      </w:r>
      <w:r>
        <w:t xml:space="preserve"> </w:t>
      </w:r>
      <w:r w:rsidRPr="00555B07">
        <w:t>Tribunal.</w:t>
      </w:r>
    </w:p>
    <w:p w14:paraId="4C1D1BA6" w14:textId="65C8C998" w:rsidR="00CE75D4" w:rsidRPr="00555B07" w:rsidRDefault="00CE75D4" w:rsidP="008340C1">
      <w:pPr>
        <w:pStyle w:val="ARfinbody"/>
      </w:pPr>
      <w:r>
        <w:t>In contrast, t</w:t>
      </w:r>
      <w:r w:rsidRPr="00555B07">
        <w:t>he</w:t>
      </w:r>
      <w:r>
        <w:t xml:space="preserve"> </w:t>
      </w:r>
      <w:r w:rsidRPr="00555B07">
        <w:t>department’s</w:t>
      </w:r>
      <w:r>
        <w:t xml:space="preserve"> </w:t>
      </w:r>
      <w:r w:rsidRPr="00555B07">
        <w:t>2020–21</w:t>
      </w:r>
      <w:r>
        <w:t xml:space="preserve"> </w:t>
      </w:r>
      <w:r w:rsidRPr="00555B07">
        <w:t>financial</w:t>
      </w:r>
      <w:r>
        <w:t xml:space="preserve"> </w:t>
      </w:r>
      <w:r w:rsidRPr="00555B07">
        <w:t>statements</w:t>
      </w:r>
      <w:r>
        <w:t xml:space="preserve"> </w:t>
      </w:r>
      <w:r w:rsidRPr="00555B07">
        <w:t>included</w:t>
      </w:r>
      <w:r>
        <w:t xml:space="preserve"> </w:t>
      </w:r>
      <w:r w:rsidRPr="00555B07">
        <w:t>the</w:t>
      </w:r>
      <w:r>
        <w:t xml:space="preserve"> </w:t>
      </w:r>
      <w:r w:rsidRPr="00555B07">
        <w:t>financial</w:t>
      </w:r>
      <w:r>
        <w:t xml:space="preserve"> </w:t>
      </w:r>
      <w:r w:rsidRPr="00555B07">
        <w:t>information</w:t>
      </w:r>
      <w:r>
        <w:t xml:space="preserve"> </w:t>
      </w:r>
      <w:r w:rsidRPr="00555B07">
        <w:t>of</w:t>
      </w:r>
      <w:r>
        <w:t xml:space="preserve"> </w:t>
      </w:r>
      <w:r w:rsidRPr="00555B07">
        <w:t>the</w:t>
      </w:r>
      <w:r>
        <w:t xml:space="preserve"> </w:t>
      </w:r>
      <w:r w:rsidRPr="00555B07" w:rsidDel="008D311A">
        <w:t>following</w:t>
      </w:r>
      <w:r w:rsidDel="008D311A">
        <w:t xml:space="preserve"> </w:t>
      </w:r>
      <w:r w:rsidRPr="00555B07">
        <w:t>entities</w:t>
      </w:r>
      <w:r w:rsidR="008D311A">
        <w:t xml:space="preserve"> </w:t>
      </w:r>
      <w:r w:rsidRPr="00555B07">
        <w:t>under</w:t>
      </w:r>
      <w:r>
        <w:t xml:space="preserve"> </w:t>
      </w:r>
      <w:r w:rsidRPr="00555B07">
        <w:t>s.</w:t>
      </w:r>
      <w:r>
        <w:t xml:space="preserve"> </w:t>
      </w:r>
      <w:r w:rsidRPr="00555B07">
        <w:t>53(1)(b)</w:t>
      </w:r>
      <w:r>
        <w:t xml:space="preserve"> </w:t>
      </w:r>
      <w:r w:rsidRPr="00555B07">
        <w:t>of</w:t>
      </w:r>
      <w:r>
        <w:t xml:space="preserve"> </w:t>
      </w:r>
      <w:r w:rsidRPr="00555B07">
        <w:t>the</w:t>
      </w:r>
      <w:r>
        <w:t xml:space="preserve"> </w:t>
      </w:r>
      <w:r w:rsidRPr="00555B07">
        <w:t>FMA</w:t>
      </w:r>
      <w:r>
        <w:t>.</w:t>
      </w:r>
      <w:r w:rsidRPr="00555B07">
        <w:t xml:space="preserve"> On</w:t>
      </w:r>
      <w:r>
        <w:t xml:space="preserve"> </w:t>
      </w:r>
      <w:r w:rsidRPr="00555B07">
        <w:t>30</w:t>
      </w:r>
      <w:r>
        <w:t xml:space="preserve"> </w:t>
      </w:r>
      <w:r w:rsidRPr="00555B07">
        <w:t>November</w:t>
      </w:r>
      <w:r>
        <w:t xml:space="preserve"> </w:t>
      </w:r>
      <w:r w:rsidRPr="00555B07">
        <w:t>2020,</w:t>
      </w:r>
      <w:r>
        <w:t xml:space="preserve"> </w:t>
      </w:r>
      <w:r w:rsidRPr="00555B07">
        <w:t>the</w:t>
      </w:r>
      <w:r>
        <w:t xml:space="preserve"> </w:t>
      </w:r>
      <w:r w:rsidRPr="00555B07">
        <w:t>Victorian</w:t>
      </w:r>
      <w:r>
        <w:t xml:space="preserve"> </w:t>
      </w:r>
      <w:r w:rsidRPr="00555B07">
        <w:t>Government</w:t>
      </w:r>
      <w:r>
        <w:t xml:space="preserve"> </w:t>
      </w:r>
      <w:r w:rsidRPr="00555B07">
        <w:t>announced</w:t>
      </w:r>
      <w:r>
        <w:t xml:space="preserve"> </w:t>
      </w:r>
      <w:r w:rsidRPr="00555B07">
        <w:t>the</w:t>
      </w:r>
      <w:r>
        <w:t xml:space="preserve"> </w:t>
      </w:r>
      <w:r w:rsidRPr="00555B07">
        <w:t>establishment</w:t>
      </w:r>
      <w:r>
        <w:t xml:space="preserve"> </w:t>
      </w:r>
      <w:r w:rsidRPr="00555B07">
        <w:t>of</w:t>
      </w:r>
      <w:r>
        <w:t xml:space="preserve"> </w:t>
      </w:r>
      <w:r w:rsidRPr="00555B07">
        <w:t>two</w:t>
      </w:r>
      <w:r>
        <w:t xml:space="preserve"> </w:t>
      </w:r>
      <w:r w:rsidRPr="00555B07">
        <w:t>new</w:t>
      </w:r>
      <w:r>
        <w:t xml:space="preserve"> </w:t>
      </w:r>
      <w:r w:rsidRPr="00555B07">
        <w:t>departments</w:t>
      </w:r>
      <w:r>
        <w:t xml:space="preserve"> </w:t>
      </w:r>
      <w:r w:rsidRPr="00555B07">
        <w:t>effective</w:t>
      </w:r>
      <w:r>
        <w:t xml:space="preserve"> </w:t>
      </w:r>
      <w:r w:rsidRPr="00555B07">
        <w:t>from</w:t>
      </w:r>
      <w:r>
        <w:t xml:space="preserve"> </w:t>
      </w:r>
      <w:r w:rsidRPr="00555B07">
        <w:t>1</w:t>
      </w:r>
      <w:r>
        <w:t> </w:t>
      </w:r>
      <w:r w:rsidRPr="00555B07">
        <w:t>February</w:t>
      </w:r>
      <w:r>
        <w:t xml:space="preserve"> </w:t>
      </w:r>
      <w:r w:rsidRPr="00555B07">
        <w:t>2021.</w:t>
      </w:r>
      <w:r>
        <w:t xml:space="preserve"> </w:t>
      </w:r>
      <w:r w:rsidRPr="00555B07">
        <w:t>The</w:t>
      </w:r>
      <w:r>
        <w:t xml:space="preserve"> </w:t>
      </w:r>
      <w:r w:rsidRPr="00555B07">
        <w:t>Department</w:t>
      </w:r>
      <w:r>
        <w:t xml:space="preserve"> </w:t>
      </w:r>
      <w:r w:rsidRPr="00555B07">
        <w:t>of</w:t>
      </w:r>
      <w:r>
        <w:t xml:space="preserve"> </w:t>
      </w:r>
      <w:r w:rsidRPr="00555B07">
        <w:t>Health</w:t>
      </w:r>
      <w:r>
        <w:t xml:space="preserve"> </w:t>
      </w:r>
      <w:r w:rsidRPr="00555B07">
        <w:t>and</w:t>
      </w:r>
      <w:r>
        <w:t xml:space="preserve"> </w:t>
      </w:r>
      <w:r w:rsidRPr="00555B07">
        <w:t>Human</w:t>
      </w:r>
      <w:r>
        <w:t xml:space="preserve"> </w:t>
      </w:r>
      <w:r w:rsidRPr="00555B07">
        <w:t>Services</w:t>
      </w:r>
      <w:r>
        <w:t xml:space="preserve"> </w:t>
      </w:r>
      <w:r w:rsidRPr="00555B07">
        <w:t>was</w:t>
      </w:r>
      <w:r>
        <w:t xml:space="preserve"> </w:t>
      </w:r>
      <w:r w:rsidRPr="00555B07">
        <w:t>renamed</w:t>
      </w:r>
      <w:r>
        <w:t xml:space="preserve"> </w:t>
      </w:r>
      <w:r w:rsidRPr="00555B07">
        <w:t>the</w:t>
      </w:r>
      <w:r>
        <w:t xml:space="preserve"> </w:t>
      </w:r>
      <w:r w:rsidRPr="00555B07">
        <w:t>Department</w:t>
      </w:r>
      <w:r>
        <w:t xml:space="preserve"> </w:t>
      </w:r>
      <w:r w:rsidRPr="00555B07">
        <w:t>of</w:t>
      </w:r>
      <w:r>
        <w:t xml:space="preserve"> </w:t>
      </w:r>
      <w:r w:rsidRPr="00555B07">
        <w:t>Health.</w:t>
      </w:r>
      <w:r>
        <w:t xml:space="preserve"> </w:t>
      </w:r>
      <w:r w:rsidRPr="00555B07">
        <w:t>The</w:t>
      </w:r>
      <w:r>
        <w:t xml:space="preserve"> </w:t>
      </w:r>
      <w:r w:rsidRPr="00555B07">
        <w:t>functions</w:t>
      </w:r>
      <w:r>
        <w:t xml:space="preserve"> </w:t>
      </w:r>
      <w:r w:rsidRPr="00555B07">
        <w:t>of</w:t>
      </w:r>
      <w:r>
        <w:t xml:space="preserve"> </w:t>
      </w:r>
      <w:r w:rsidRPr="00555B07">
        <w:t>Child</w:t>
      </w:r>
      <w:r>
        <w:t xml:space="preserve"> </w:t>
      </w:r>
      <w:r w:rsidRPr="00555B07">
        <w:t>Protection,</w:t>
      </w:r>
      <w:r>
        <w:t xml:space="preserve"> </w:t>
      </w:r>
      <w:r w:rsidRPr="00555B07">
        <w:t>Prevention</w:t>
      </w:r>
      <w:r>
        <w:t xml:space="preserve"> </w:t>
      </w:r>
      <w:r w:rsidRPr="00555B07">
        <w:t>of</w:t>
      </w:r>
      <w:r>
        <w:t xml:space="preserve"> </w:t>
      </w:r>
      <w:r w:rsidRPr="00555B07">
        <w:t>Family</w:t>
      </w:r>
      <w:r>
        <w:t xml:space="preserve"> </w:t>
      </w:r>
      <w:r w:rsidRPr="00555B07">
        <w:t>Violence,</w:t>
      </w:r>
      <w:r>
        <w:t xml:space="preserve"> </w:t>
      </w:r>
      <w:r w:rsidRPr="00555B07">
        <w:t>Housing</w:t>
      </w:r>
      <w:r>
        <w:t xml:space="preserve"> </w:t>
      </w:r>
      <w:r w:rsidRPr="00555B07">
        <w:t>and</w:t>
      </w:r>
      <w:r>
        <w:t xml:space="preserve"> </w:t>
      </w:r>
      <w:r w:rsidRPr="00555B07">
        <w:t>Disability</w:t>
      </w:r>
      <w:r>
        <w:t xml:space="preserve"> </w:t>
      </w:r>
      <w:r w:rsidRPr="00555B07">
        <w:t>were</w:t>
      </w:r>
      <w:r>
        <w:t xml:space="preserve"> </w:t>
      </w:r>
      <w:r w:rsidRPr="00555B07">
        <w:t>transferred</w:t>
      </w:r>
      <w:r>
        <w:t xml:space="preserve"> </w:t>
      </w:r>
      <w:r w:rsidRPr="00555B07">
        <w:t>to</w:t>
      </w:r>
      <w:r>
        <w:t xml:space="preserve"> </w:t>
      </w:r>
      <w:r w:rsidRPr="00555B07">
        <w:t>form</w:t>
      </w:r>
      <w:r>
        <w:t xml:space="preserve"> </w:t>
      </w:r>
      <w:r w:rsidRPr="00555B07">
        <w:t>a</w:t>
      </w:r>
      <w:r>
        <w:t xml:space="preserve"> </w:t>
      </w:r>
      <w:r w:rsidRPr="00555B07">
        <w:t>new</w:t>
      </w:r>
      <w:r>
        <w:t xml:space="preserve"> </w:t>
      </w:r>
      <w:r w:rsidRPr="00555B07">
        <w:t>Department</w:t>
      </w:r>
      <w:r>
        <w:t xml:space="preserve"> </w:t>
      </w:r>
      <w:r w:rsidRPr="00555B07">
        <w:t>of</w:t>
      </w:r>
      <w:r>
        <w:t xml:space="preserve"> </w:t>
      </w:r>
      <w:r w:rsidRPr="00555B07">
        <w:t>Families,</w:t>
      </w:r>
      <w:r>
        <w:t xml:space="preserve"> </w:t>
      </w:r>
      <w:r w:rsidRPr="00555B07">
        <w:t>Fairness</w:t>
      </w:r>
      <w:r>
        <w:t xml:space="preserve"> </w:t>
      </w:r>
      <w:r w:rsidRPr="00555B07">
        <w:t>and</w:t>
      </w:r>
      <w:r>
        <w:t xml:space="preserve"> </w:t>
      </w:r>
      <w:r w:rsidRPr="00555B07">
        <w:t>Housing</w:t>
      </w:r>
      <w:r>
        <w:t xml:space="preserve"> (DFFH)</w:t>
      </w:r>
      <w:r w:rsidRPr="00555B07">
        <w:t>.</w:t>
      </w:r>
      <w:r w:rsidRPr="003C6589">
        <w:t xml:space="preserve"> These entities are included in the department</w:t>
      </w:r>
      <w:r>
        <w:t>’</w:t>
      </w:r>
      <w:r w:rsidRPr="003C6589">
        <w:t>s 2021</w:t>
      </w:r>
      <w:r>
        <w:t>–</w:t>
      </w:r>
      <w:r w:rsidRPr="003C6589">
        <w:t xml:space="preserve">22 financial </w:t>
      </w:r>
      <w:r w:rsidRPr="00C144FE">
        <w:t>statements as the 2021 comparative</w:t>
      </w:r>
      <w:r w:rsidRPr="00C144FE" w:rsidDel="00C144FE">
        <w:t>s</w:t>
      </w:r>
      <w:r>
        <w:t>.</w:t>
      </w:r>
      <w:r w:rsidRPr="003C6589">
        <w:t xml:space="preserve"> The exclusion of these entities (except Mental Health Tribunal) from the department</w:t>
      </w:r>
      <w:r>
        <w:t>’</w:t>
      </w:r>
      <w:r w:rsidRPr="003C6589">
        <w:t xml:space="preserve">s 2022 </w:t>
      </w:r>
      <w:r w:rsidRPr="00E8742B">
        <w:t>numbers</w:t>
      </w:r>
      <w:r w:rsidRPr="003C6589">
        <w:t xml:space="preserve"> has also been reflected in the output deliverables (refer to Note 4).</w:t>
      </w:r>
    </w:p>
    <w:p w14:paraId="13BA93DD" w14:textId="77777777" w:rsidR="00CE75D4" w:rsidRPr="00341B37" w:rsidRDefault="00CE75D4" w:rsidP="008340C1">
      <w:pPr>
        <w:pStyle w:val="ARfinbullet1"/>
      </w:pPr>
      <w:r w:rsidRPr="00341B37">
        <w:t>Mental</w:t>
      </w:r>
      <w:r>
        <w:t xml:space="preserve"> </w:t>
      </w:r>
      <w:r w:rsidRPr="00341B37">
        <w:t>Health</w:t>
      </w:r>
      <w:r>
        <w:t xml:space="preserve"> </w:t>
      </w:r>
      <w:r w:rsidRPr="00341B37">
        <w:t>Tribunal</w:t>
      </w:r>
      <w:r>
        <w:t xml:space="preserve"> </w:t>
      </w:r>
      <w:r w:rsidRPr="00341B37">
        <w:t>(from</w:t>
      </w:r>
      <w:r>
        <w:t xml:space="preserve"> </w:t>
      </w:r>
      <w:r w:rsidRPr="00341B37">
        <w:t>1</w:t>
      </w:r>
      <w:r>
        <w:t xml:space="preserve"> </w:t>
      </w:r>
      <w:r w:rsidRPr="00341B37">
        <w:t>July</w:t>
      </w:r>
      <w:r>
        <w:t xml:space="preserve"> </w:t>
      </w:r>
      <w:r w:rsidRPr="00341B37">
        <w:t>2014)</w:t>
      </w:r>
    </w:p>
    <w:p w14:paraId="77C72F9E" w14:textId="42AC6C1A" w:rsidR="00CE75D4" w:rsidRPr="00341B37" w:rsidRDefault="00CE75D4" w:rsidP="008340C1">
      <w:pPr>
        <w:pStyle w:val="ARfinbullet1"/>
      </w:pPr>
      <w:r w:rsidRPr="00341B37">
        <w:t>Director</w:t>
      </w:r>
      <w:r>
        <w:t xml:space="preserve"> </w:t>
      </w:r>
      <w:r w:rsidRPr="00341B37">
        <w:t>of</w:t>
      </w:r>
      <w:r>
        <w:t xml:space="preserve"> </w:t>
      </w:r>
      <w:r w:rsidRPr="00341B37">
        <w:t>Housing</w:t>
      </w:r>
      <w:r>
        <w:t xml:space="preserve"> </w:t>
      </w:r>
      <w:r w:rsidRPr="00341B37">
        <w:t>(from</w:t>
      </w:r>
      <w:r>
        <w:t xml:space="preserve"> </w:t>
      </w:r>
      <w:r w:rsidRPr="00341B37">
        <w:t>1</w:t>
      </w:r>
      <w:r>
        <w:t xml:space="preserve"> </w:t>
      </w:r>
      <w:r w:rsidRPr="00341B37">
        <w:t>July</w:t>
      </w:r>
      <w:r>
        <w:t xml:space="preserve"> </w:t>
      </w:r>
      <w:r w:rsidRPr="00341B37">
        <w:t>2006)</w:t>
      </w:r>
    </w:p>
    <w:p w14:paraId="2F7AB24A" w14:textId="77777777" w:rsidR="00CE75D4" w:rsidRPr="00341B37" w:rsidRDefault="00CE75D4" w:rsidP="008340C1">
      <w:pPr>
        <w:pStyle w:val="ARfinbullet1"/>
      </w:pPr>
      <w:r w:rsidRPr="00341B37">
        <w:t>Commission</w:t>
      </w:r>
      <w:r>
        <w:t xml:space="preserve"> </w:t>
      </w:r>
      <w:r w:rsidRPr="00341B37">
        <w:t>for</w:t>
      </w:r>
      <w:r>
        <w:t xml:space="preserve"> </w:t>
      </w:r>
      <w:r w:rsidRPr="00341B37">
        <w:t>Children</w:t>
      </w:r>
      <w:r>
        <w:t xml:space="preserve"> </w:t>
      </w:r>
      <w:r w:rsidRPr="00341B37">
        <w:t>and</w:t>
      </w:r>
      <w:r>
        <w:t xml:space="preserve"> </w:t>
      </w:r>
      <w:r w:rsidRPr="00341B37">
        <w:t>Young</w:t>
      </w:r>
      <w:r>
        <w:t xml:space="preserve"> </w:t>
      </w:r>
      <w:r w:rsidRPr="00341B37">
        <w:t>People</w:t>
      </w:r>
      <w:r>
        <w:t xml:space="preserve"> </w:t>
      </w:r>
      <w:r w:rsidRPr="00341B37">
        <w:t>(from</w:t>
      </w:r>
      <w:r>
        <w:t xml:space="preserve"> </w:t>
      </w:r>
      <w:r w:rsidRPr="00341B37">
        <w:t>1</w:t>
      </w:r>
      <w:r>
        <w:t xml:space="preserve"> </w:t>
      </w:r>
      <w:r w:rsidRPr="00341B37">
        <w:t>July</w:t>
      </w:r>
      <w:r>
        <w:t xml:space="preserve"> </w:t>
      </w:r>
      <w:r w:rsidRPr="00341B37">
        <w:t>2015)</w:t>
      </w:r>
    </w:p>
    <w:p w14:paraId="11169E52" w14:textId="77777777" w:rsidR="00CE75D4" w:rsidRPr="00341B37" w:rsidRDefault="00CE75D4" w:rsidP="008340C1">
      <w:pPr>
        <w:pStyle w:val="ARfinbullet1"/>
      </w:pPr>
      <w:r w:rsidRPr="00341B37">
        <w:t>Disability</w:t>
      </w:r>
      <w:r>
        <w:t xml:space="preserve"> </w:t>
      </w:r>
      <w:r w:rsidRPr="00341B37">
        <w:t>Worker</w:t>
      </w:r>
      <w:r>
        <w:t xml:space="preserve"> </w:t>
      </w:r>
      <w:r w:rsidRPr="00341B37">
        <w:t>Registration</w:t>
      </w:r>
      <w:r>
        <w:t xml:space="preserve"> </w:t>
      </w:r>
      <w:r w:rsidRPr="00341B37">
        <w:t>Board</w:t>
      </w:r>
      <w:r>
        <w:t xml:space="preserve"> </w:t>
      </w:r>
      <w:r w:rsidRPr="00341B37">
        <w:t>(from</w:t>
      </w:r>
      <w:r>
        <w:t xml:space="preserve"> </w:t>
      </w:r>
      <w:r w:rsidRPr="00341B37">
        <w:t>1</w:t>
      </w:r>
      <w:r>
        <w:t xml:space="preserve"> </w:t>
      </w:r>
      <w:r w:rsidRPr="00341B37">
        <w:t>June</w:t>
      </w:r>
      <w:r>
        <w:t xml:space="preserve"> </w:t>
      </w:r>
      <w:r w:rsidRPr="00341B37">
        <w:t>2020)</w:t>
      </w:r>
    </w:p>
    <w:p w14:paraId="2BC476AC" w14:textId="77777777" w:rsidR="00CE75D4" w:rsidRPr="00341B37" w:rsidRDefault="00CE75D4" w:rsidP="008340C1">
      <w:pPr>
        <w:pStyle w:val="ARfinbullet1"/>
      </w:pPr>
      <w:r w:rsidRPr="00341B37">
        <w:t>Victorian</w:t>
      </w:r>
      <w:r>
        <w:t xml:space="preserve"> </w:t>
      </w:r>
      <w:r w:rsidRPr="00341B37">
        <w:t>Disability</w:t>
      </w:r>
      <w:r>
        <w:t xml:space="preserve"> </w:t>
      </w:r>
      <w:r w:rsidRPr="00341B37">
        <w:t>Worker</w:t>
      </w:r>
      <w:r>
        <w:t xml:space="preserve"> </w:t>
      </w:r>
      <w:r w:rsidRPr="00341B37">
        <w:t>Commission</w:t>
      </w:r>
      <w:r>
        <w:t xml:space="preserve"> </w:t>
      </w:r>
      <w:r w:rsidRPr="00341B37">
        <w:t>(from</w:t>
      </w:r>
      <w:r>
        <w:t xml:space="preserve"> </w:t>
      </w:r>
      <w:r w:rsidRPr="00341B37">
        <w:t>1</w:t>
      </w:r>
      <w:r>
        <w:t xml:space="preserve"> </w:t>
      </w:r>
      <w:r w:rsidRPr="00341B37">
        <w:t>June</w:t>
      </w:r>
      <w:r>
        <w:t xml:space="preserve"> </w:t>
      </w:r>
      <w:r w:rsidRPr="00341B37">
        <w:t>2020)</w:t>
      </w:r>
    </w:p>
    <w:p w14:paraId="2B0977E2" w14:textId="77777777" w:rsidR="00CE75D4" w:rsidRPr="00341B37" w:rsidRDefault="00CE75D4" w:rsidP="008340C1">
      <w:pPr>
        <w:pStyle w:val="ARfinbullet1"/>
      </w:pPr>
      <w:r w:rsidRPr="00341B37">
        <w:t>Department</w:t>
      </w:r>
      <w:r>
        <w:t xml:space="preserve"> </w:t>
      </w:r>
      <w:r w:rsidRPr="00341B37">
        <w:t>of</w:t>
      </w:r>
      <w:r>
        <w:t xml:space="preserve"> </w:t>
      </w:r>
      <w:r w:rsidRPr="00341B37">
        <w:t>Families,</w:t>
      </w:r>
      <w:r>
        <w:t xml:space="preserve"> </w:t>
      </w:r>
      <w:r w:rsidRPr="00341B37">
        <w:t>Fairness</w:t>
      </w:r>
      <w:r>
        <w:t xml:space="preserve"> </w:t>
      </w:r>
      <w:r w:rsidRPr="00341B37">
        <w:t>and</w:t>
      </w:r>
      <w:r>
        <w:t xml:space="preserve"> </w:t>
      </w:r>
      <w:r w:rsidRPr="00341B37">
        <w:t>Housing</w:t>
      </w:r>
      <w:r>
        <w:t xml:space="preserve"> </w:t>
      </w:r>
      <w:r w:rsidRPr="00341B37">
        <w:t>(from</w:t>
      </w:r>
      <w:r>
        <w:t xml:space="preserve"> </w:t>
      </w:r>
      <w:r w:rsidRPr="00341B37">
        <w:t>1</w:t>
      </w:r>
      <w:r>
        <w:t xml:space="preserve"> </w:t>
      </w:r>
      <w:r w:rsidRPr="00341B37">
        <w:t>February</w:t>
      </w:r>
      <w:r>
        <w:t xml:space="preserve"> </w:t>
      </w:r>
      <w:r w:rsidRPr="00341B37">
        <w:t>2021)</w:t>
      </w:r>
    </w:p>
    <w:p w14:paraId="2548D2F3" w14:textId="77777777" w:rsidR="00CE75D4" w:rsidRPr="00341B37" w:rsidRDefault="00CE75D4" w:rsidP="008340C1">
      <w:pPr>
        <w:pStyle w:val="ARfinbullet1"/>
      </w:pPr>
      <w:r w:rsidRPr="00341B37">
        <w:t>Respect</w:t>
      </w:r>
      <w:r>
        <w:t xml:space="preserve"> </w:t>
      </w:r>
      <w:r w:rsidRPr="00341B37">
        <w:t>Victoria</w:t>
      </w:r>
      <w:r>
        <w:t xml:space="preserve"> </w:t>
      </w:r>
      <w:r w:rsidRPr="00341B37">
        <w:t>(from</w:t>
      </w:r>
      <w:r>
        <w:t xml:space="preserve"> </w:t>
      </w:r>
      <w:r w:rsidRPr="00341B37">
        <w:t>1</w:t>
      </w:r>
      <w:r>
        <w:t xml:space="preserve"> </w:t>
      </w:r>
      <w:r w:rsidRPr="00341B37">
        <w:t>February</w:t>
      </w:r>
      <w:r>
        <w:t xml:space="preserve"> </w:t>
      </w:r>
      <w:r w:rsidRPr="00341B37">
        <w:t>2021)</w:t>
      </w:r>
    </w:p>
    <w:p w14:paraId="75D17071" w14:textId="77777777" w:rsidR="00CE75D4" w:rsidRPr="00341B37" w:rsidRDefault="00CE75D4" w:rsidP="008340C1">
      <w:pPr>
        <w:pStyle w:val="ARfinbullet1"/>
      </w:pPr>
      <w:r w:rsidRPr="00341B37">
        <w:t>Victorian</w:t>
      </w:r>
      <w:r>
        <w:t xml:space="preserve"> </w:t>
      </w:r>
      <w:r w:rsidRPr="00341B37">
        <w:t>Multicultural</w:t>
      </w:r>
      <w:r>
        <w:t xml:space="preserve"> </w:t>
      </w:r>
      <w:r w:rsidRPr="00341B37">
        <w:t>Commission</w:t>
      </w:r>
      <w:r>
        <w:t xml:space="preserve"> </w:t>
      </w:r>
      <w:r w:rsidRPr="00341B37">
        <w:t>(from</w:t>
      </w:r>
      <w:r>
        <w:t xml:space="preserve"> </w:t>
      </w:r>
      <w:r w:rsidRPr="00341B37">
        <w:t>1</w:t>
      </w:r>
      <w:r>
        <w:t xml:space="preserve"> </w:t>
      </w:r>
      <w:r w:rsidRPr="00341B37">
        <w:t>February</w:t>
      </w:r>
      <w:r>
        <w:t xml:space="preserve"> </w:t>
      </w:r>
      <w:r w:rsidRPr="00341B37">
        <w:t>2021)</w:t>
      </w:r>
    </w:p>
    <w:p w14:paraId="7ED399C8" w14:textId="77777777" w:rsidR="00CE75D4" w:rsidRPr="00341B37" w:rsidRDefault="00CE75D4" w:rsidP="008340C1">
      <w:pPr>
        <w:pStyle w:val="ARfinbullet1"/>
      </w:pPr>
      <w:r w:rsidRPr="00341B37">
        <w:t>Victorian</w:t>
      </w:r>
      <w:r>
        <w:t xml:space="preserve"> </w:t>
      </w:r>
      <w:r w:rsidRPr="00341B37">
        <w:t>Veterans</w:t>
      </w:r>
      <w:r>
        <w:t xml:space="preserve"> </w:t>
      </w:r>
      <w:r w:rsidRPr="00341B37">
        <w:t>Council</w:t>
      </w:r>
      <w:r>
        <w:t xml:space="preserve"> </w:t>
      </w:r>
      <w:r w:rsidRPr="00341B37">
        <w:t>(from</w:t>
      </w:r>
      <w:r>
        <w:t xml:space="preserve"> </w:t>
      </w:r>
      <w:r w:rsidRPr="00341B37">
        <w:t>1</w:t>
      </w:r>
      <w:r>
        <w:t xml:space="preserve"> </w:t>
      </w:r>
      <w:r w:rsidRPr="00341B37">
        <w:t>February</w:t>
      </w:r>
      <w:r>
        <w:t xml:space="preserve"> </w:t>
      </w:r>
      <w:r w:rsidRPr="00341B37">
        <w:t>2021).</w:t>
      </w:r>
    </w:p>
    <w:p w14:paraId="16BF7BBB" w14:textId="77777777" w:rsidR="00CE75D4" w:rsidRPr="00555B07" w:rsidRDefault="00CE75D4" w:rsidP="008340C1">
      <w:pPr>
        <w:pStyle w:val="ARfinbody"/>
      </w:pPr>
      <w:r w:rsidRPr="00555B07">
        <w:t>All</w:t>
      </w:r>
      <w:r>
        <w:t xml:space="preserve"> </w:t>
      </w:r>
      <w:r w:rsidRPr="00555B07">
        <w:t>entities</w:t>
      </w:r>
      <w:r>
        <w:t xml:space="preserve"> </w:t>
      </w:r>
      <w:r w:rsidRPr="00555B07">
        <w:t>included</w:t>
      </w:r>
      <w:r>
        <w:t xml:space="preserve"> </w:t>
      </w:r>
      <w:r w:rsidRPr="00555B07">
        <w:t>in</w:t>
      </w:r>
      <w:r>
        <w:t xml:space="preserve"> </w:t>
      </w:r>
      <w:r w:rsidRPr="00555B07">
        <w:t>the</w:t>
      </w:r>
      <w:r>
        <w:t xml:space="preserve"> </w:t>
      </w:r>
      <w:r w:rsidRPr="00555B07">
        <w:t>department’s</w:t>
      </w:r>
      <w:r>
        <w:t xml:space="preserve"> </w:t>
      </w:r>
      <w:r w:rsidRPr="00555B07">
        <w:t>financial</w:t>
      </w:r>
      <w:r>
        <w:t xml:space="preserve"> </w:t>
      </w:r>
      <w:r w:rsidRPr="00555B07">
        <w:t>statements</w:t>
      </w:r>
      <w:r>
        <w:t xml:space="preserve"> </w:t>
      </w:r>
      <w:r w:rsidRPr="00555B07">
        <w:t>under</w:t>
      </w:r>
      <w:r>
        <w:t xml:space="preserve"> </w:t>
      </w:r>
      <w:r w:rsidRPr="00555B07">
        <w:t>s.</w:t>
      </w:r>
      <w:r>
        <w:t xml:space="preserve"> </w:t>
      </w:r>
      <w:r w:rsidRPr="00555B07">
        <w:t>53(1)(b)</w:t>
      </w:r>
      <w:r>
        <w:t xml:space="preserve"> </w:t>
      </w:r>
      <w:r w:rsidRPr="00555B07">
        <w:t>of</w:t>
      </w:r>
      <w:r>
        <w:t xml:space="preserve"> </w:t>
      </w:r>
      <w:r w:rsidRPr="00555B07">
        <w:t>the</w:t>
      </w:r>
      <w:r>
        <w:t xml:space="preserve"> </w:t>
      </w:r>
      <w:r w:rsidRPr="00555B07">
        <w:t>FMA</w:t>
      </w:r>
      <w:r>
        <w:t xml:space="preserve"> </w:t>
      </w:r>
      <w:r w:rsidRPr="00555B07">
        <w:t>are</w:t>
      </w:r>
      <w:r>
        <w:t xml:space="preserve"> </w:t>
      </w:r>
      <w:r w:rsidRPr="00555B07">
        <w:t>reported</w:t>
      </w:r>
      <w:r>
        <w:t xml:space="preserve"> </w:t>
      </w:r>
      <w:r w:rsidRPr="00555B07">
        <w:t>in</w:t>
      </w:r>
      <w:r>
        <w:t xml:space="preserve"> </w:t>
      </w:r>
      <w:r w:rsidRPr="00555B07">
        <w:t>aggregate</w:t>
      </w:r>
      <w:r>
        <w:t xml:space="preserve"> </w:t>
      </w:r>
      <w:r w:rsidRPr="00555B07">
        <w:t>and</w:t>
      </w:r>
      <w:r>
        <w:t xml:space="preserve"> </w:t>
      </w:r>
      <w:r w:rsidRPr="00555B07">
        <w:t>are</w:t>
      </w:r>
      <w:r>
        <w:t xml:space="preserve"> </w:t>
      </w:r>
      <w:r w:rsidRPr="00555B07">
        <w:t>not</w:t>
      </w:r>
      <w:r>
        <w:t xml:space="preserve"> </w:t>
      </w:r>
      <w:r w:rsidRPr="00555B07">
        <w:t>controlled</w:t>
      </w:r>
      <w:r>
        <w:t xml:space="preserve"> </w:t>
      </w:r>
      <w:r w:rsidRPr="00555B07">
        <w:t>by</w:t>
      </w:r>
      <w:r>
        <w:t xml:space="preserve"> </w:t>
      </w:r>
      <w:r w:rsidRPr="00555B07">
        <w:t>the</w:t>
      </w:r>
      <w:r>
        <w:t xml:space="preserve"> </w:t>
      </w:r>
      <w:r w:rsidRPr="00555B07">
        <w:t>department.</w:t>
      </w:r>
      <w:r>
        <w:t xml:space="preserve"> </w:t>
      </w:r>
      <w:r w:rsidRPr="00555B07">
        <w:t>In</w:t>
      </w:r>
      <w:r>
        <w:t xml:space="preserve"> </w:t>
      </w:r>
      <w:r w:rsidRPr="00555B07">
        <w:t>preparing</w:t>
      </w:r>
      <w:r>
        <w:t xml:space="preserve"> </w:t>
      </w:r>
      <w:r w:rsidRPr="00555B07">
        <w:t>financial</w:t>
      </w:r>
      <w:r>
        <w:t xml:space="preserve"> </w:t>
      </w:r>
      <w:r w:rsidRPr="00555B07">
        <w:t>statements</w:t>
      </w:r>
      <w:r>
        <w:t xml:space="preserve"> </w:t>
      </w:r>
      <w:r w:rsidRPr="00555B07">
        <w:t>for</w:t>
      </w:r>
      <w:r>
        <w:t xml:space="preserve"> </w:t>
      </w:r>
      <w:r w:rsidRPr="00555B07">
        <w:t>the</w:t>
      </w:r>
      <w:r>
        <w:t xml:space="preserve"> </w:t>
      </w:r>
      <w:r w:rsidRPr="00555B07">
        <w:t>department,</w:t>
      </w:r>
      <w:r>
        <w:t xml:space="preserve"> </w:t>
      </w:r>
      <w:r w:rsidRPr="00555B07">
        <w:t>all</w:t>
      </w:r>
      <w:r>
        <w:t xml:space="preserve"> </w:t>
      </w:r>
      <w:r w:rsidRPr="00555B07">
        <w:t>material</w:t>
      </w:r>
      <w:r>
        <w:t xml:space="preserve"> </w:t>
      </w:r>
      <w:r w:rsidRPr="00555B07">
        <w:t>transactions</w:t>
      </w:r>
      <w:r>
        <w:t xml:space="preserve"> </w:t>
      </w:r>
      <w:r w:rsidRPr="00555B07">
        <w:t>and</w:t>
      </w:r>
      <w:r>
        <w:t xml:space="preserve"> </w:t>
      </w:r>
      <w:r w:rsidRPr="00555B07">
        <w:t>balances</w:t>
      </w:r>
      <w:r>
        <w:t xml:space="preserve"> </w:t>
      </w:r>
      <w:r w:rsidRPr="00555B07">
        <w:t>between</w:t>
      </w:r>
      <w:r>
        <w:t xml:space="preserve"> </w:t>
      </w:r>
      <w:r w:rsidRPr="00555B07">
        <w:t>the</w:t>
      </w:r>
      <w:r>
        <w:t xml:space="preserve"> </w:t>
      </w:r>
      <w:r w:rsidRPr="00555B07">
        <w:t>entities</w:t>
      </w:r>
      <w:r>
        <w:t xml:space="preserve"> </w:t>
      </w:r>
      <w:r w:rsidRPr="00555B07">
        <w:t>are</w:t>
      </w:r>
      <w:r>
        <w:t xml:space="preserve"> </w:t>
      </w:r>
      <w:r w:rsidRPr="00555B07">
        <w:t>eliminated.</w:t>
      </w:r>
    </w:p>
    <w:p w14:paraId="4AFA61F7" w14:textId="63B8B379" w:rsidR="00CE75D4" w:rsidRDefault="00CE75D4" w:rsidP="008340C1">
      <w:pPr>
        <w:pStyle w:val="ARfinbody"/>
      </w:pPr>
      <w:r w:rsidRPr="008B32D8">
        <w:t xml:space="preserve">The department’s dedicated COVID-19 Response division continued to successfully support the government’s response to the pandemic by continuing to deliver a range of services, including policy and strategy advice, COVID-19 testing, wastewater surveillance and pathology, case contact and outbreak management, epidemiology data and intelligence, public engagement, and COVID-19 vaccinations. The state of emergency ended on 15 December 2021 and </w:t>
      </w:r>
      <w:r w:rsidR="008735EB">
        <w:t>was</w:t>
      </w:r>
      <w:r w:rsidR="008735EB" w:rsidRPr="008B32D8">
        <w:t xml:space="preserve"> </w:t>
      </w:r>
      <w:r w:rsidRPr="008B32D8">
        <w:t>not extended to manage the COVID-19 pandemic. The stand-alone COVID-19 Response division ceased on 30 June 2022.</w:t>
      </w:r>
    </w:p>
    <w:p w14:paraId="028D20F1" w14:textId="4F2D2B21" w:rsidR="00CE75D4" w:rsidRDefault="00CE75D4" w:rsidP="008340C1">
      <w:pPr>
        <w:pStyle w:val="ARfinbody"/>
      </w:pPr>
      <w:r w:rsidRPr="008B32D8">
        <w:t>Effective 1 July 2022, a new COVID</w:t>
      </w:r>
      <w:r w:rsidR="00675005">
        <w:t>-19</w:t>
      </w:r>
      <w:r w:rsidRPr="008B32D8">
        <w:t xml:space="preserve"> Program branch was created within the Public Health division to continue operations, coordination</w:t>
      </w:r>
      <w:r w:rsidRPr="008B32D8" w:rsidDel="00675005">
        <w:t>,</w:t>
      </w:r>
      <w:r w:rsidRPr="008B32D8">
        <w:t xml:space="preserve"> and support functions</w:t>
      </w:r>
      <w:r w:rsidR="00E8742B">
        <w:t xml:space="preserve"> </w:t>
      </w:r>
      <w:r w:rsidRPr="00E8742B">
        <w:t>to retain</w:t>
      </w:r>
      <w:r w:rsidRPr="008B32D8">
        <w:t xml:space="preserve"> critical COVID-19 response capabilities</w:t>
      </w:r>
      <w:r>
        <w:t>,</w:t>
      </w:r>
      <w:r w:rsidRPr="008B32D8" w:rsidDel="005646E5">
        <w:t xml:space="preserve"> </w:t>
      </w:r>
      <w:r w:rsidRPr="008B32D8" w:rsidDel="00E8742B">
        <w:t xml:space="preserve">through </w:t>
      </w:r>
      <w:r w:rsidRPr="008B32D8" w:rsidDel="005646E5">
        <w:t xml:space="preserve">the new network of </w:t>
      </w:r>
      <w:r w:rsidRPr="008B32D8" w:rsidDel="00675005">
        <w:t>L</w:t>
      </w:r>
      <w:r w:rsidRPr="008B32D8" w:rsidDel="005646E5">
        <w:t xml:space="preserve">ocal </w:t>
      </w:r>
      <w:r w:rsidRPr="008B32D8" w:rsidDel="00675005">
        <w:t>P</w:t>
      </w:r>
      <w:r w:rsidRPr="008B32D8" w:rsidDel="005646E5">
        <w:t xml:space="preserve">ublic </w:t>
      </w:r>
      <w:r w:rsidRPr="008B32D8" w:rsidDel="00675005">
        <w:t>H</w:t>
      </w:r>
      <w:r w:rsidRPr="008B32D8" w:rsidDel="005646E5">
        <w:t xml:space="preserve">ealth </w:t>
      </w:r>
      <w:r w:rsidRPr="008B32D8" w:rsidDel="00675005">
        <w:t>U</w:t>
      </w:r>
      <w:r w:rsidRPr="008B32D8" w:rsidDel="005646E5">
        <w:t xml:space="preserve">nits and </w:t>
      </w:r>
      <w:r w:rsidRPr="008B32D8">
        <w:t xml:space="preserve">continue to support as well as build capacity and capability </w:t>
      </w:r>
      <w:r w:rsidRPr="005646E5" w:rsidDel="005646E5">
        <w:t>of the same</w:t>
      </w:r>
      <w:r w:rsidRPr="008B32D8" w:rsidDel="005646E5">
        <w:t xml:space="preserve"> </w:t>
      </w:r>
      <w:r w:rsidRPr="008B32D8" w:rsidDel="00E8742B">
        <w:t xml:space="preserve">through </w:t>
      </w:r>
      <w:r w:rsidRPr="008B32D8">
        <w:t xml:space="preserve">transferring </w:t>
      </w:r>
      <w:r>
        <w:t>most</w:t>
      </w:r>
      <w:r w:rsidR="005646E5">
        <w:t xml:space="preserve"> </w:t>
      </w:r>
      <w:r w:rsidRPr="008B32D8">
        <w:t>COVID-19 response operations previously provided by the COVID-19 Response division.</w:t>
      </w:r>
    </w:p>
    <w:p w14:paraId="7B3579B7" w14:textId="77777777" w:rsidR="00CE75D4" w:rsidRPr="00555B07" w:rsidRDefault="00CE75D4" w:rsidP="008340C1">
      <w:pPr>
        <w:pStyle w:val="ARfinbody"/>
      </w:pPr>
      <w:r w:rsidRPr="00555B07">
        <w:t>These</w:t>
      </w:r>
      <w:r>
        <w:t xml:space="preserve"> </w:t>
      </w:r>
      <w:r w:rsidRPr="00555B07">
        <w:t>financial</w:t>
      </w:r>
      <w:r>
        <w:t xml:space="preserve"> </w:t>
      </w:r>
      <w:r w:rsidRPr="00555B07">
        <w:t>statements</w:t>
      </w:r>
      <w:r>
        <w:t xml:space="preserve"> </w:t>
      </w:r>
      <w:r w:rsidRPr="00555B07">
        <w:t>are</w:t>
      </w:r>
      <w:r>
        <w:t xml:space="preserve"> </w:t>
      </w:r>
      <w:r w:rsidRPr="00555B07">
        <w:t>presented</w:t>
      </w:r>
      <w:r>
        <w:t xml:space="preserve"> </w:t>
      </w:r>
      <w:r w:rsidRPr="00555B07">
        <w:t>in</w:t>
      </w:r>
      <w:r>
        <w:t xml:space="preserve"> </w:t>
      </w:r>
      <w:r w:rsidRPr="00555B07">
        <w:t>Australian</w:t>
      </w:r>
      <w:r>
        <w:t xml:space="preserve"> </w:t>
      </w:r>
      <w:r w:rsidRPr="00555B07">
        <w:t>dollars</w:t>
      </w:r>
      <w:r>
        <w:t xml:space="preserve"> </w:t>
      </w:r>
      <w:r w:rsidRPr="00555B07">
        <w:t>and</w:t>
      </w:r>
      <w:r>
        <w:t xml:space="preserve"> </w:t>
      </w:r>
      <w:r w:rsidRPr="00555B07">
        <w:t>the</w:t>
      </w:r>
      <w:r>
        <w:t xml:space="preserve"> </w:t>
      </w:r>
      <w:r w:rsidRPr="00555B07">
        <w:t>historical</w:t>
      </w:r>
      <w:r>
        <w:t xml:space="preserve"> </w:t>
      </w:r>
      <w:r w:rsidRPr="00555B07">
        <w:t>cost</w:t>
      </w:r>
      <w:r>
        <w:t xml:space="preserve"> </w:t>
      </w:r>
      <w:r w:rsidRPr="00555B07">
        <w:t>convention</w:t>
      </w:r>
      <w:r>
        <w:t xml:space="preserve"> </w:t>
      </w:r>
      <w:r w:rsidRPr="00555B07">
        <w:t>is</w:t>
      </w:r>
      <w:r>
        <w:t xml:space="preserve"> </w:t>
      </w:r>
      <w:r w:rsidRPr="00555B07">
        <w:t>used</w:t>
      </w:r>
      <w:r>
        <w:t xml:space="preserve"> </w:t>
      </w:r>
      <w:r w:rsidRPr="00555B07">
        <w:t>unless</w:t>
      </w:r>
      <w:r>
        <w:t xml:space="preserve"> </w:t>
      </w:r>
      <w:r w:rsidRPr="00555B07">
        <w:t>a</w:t>
      </w:r>
      <w:r>
        <w:t xml:space="preserve"> </w:t>
      </w:r>
      <w:r w:rsidRPr="00555B07">
        <w:t>different</w:t>
      </w:r>
      <w:r>
        <w:t xml:space="preserve"> </w:t>
      </w:r>
      <w:r w:rsidRPr="00555B07">
        <w:t>measurement</w:t>
      </w:r>
      <w:r>
        <w:t xml:space="preserve"> </w:t>
      </w:r>
      <w:r w:rsidRPr="00555B07">
        <w:t>basis</w:t>
      </w:r>
      <w:r>
        <w:t xml:space="preserve"> </w:t>
      </w:r>
      <w:r w:rsidRPr="00555B07">
        <w:t>is</w:t>
      </w:r>
      <w:r>
        <w:t xml:space="preserve"> </w:t>
      </w:r>
      <w:r w:rsidRPr="00555B07">
        <w:t>specifically</w:t>
      </w:r>
      <w:r>
        <w:t xml:space="preserve"> </w:t>
      </w:r>
      <w:r w:rsidRPr="00555B07">
        <w:t>disclosed</w:t>
      </w:r>
      <w:r>
        <w:t xml:space="preserve"> </w:t>
      </w:r>
      <w:r w:rsidRPr="00555B07">
        <w:t>in</w:t>
      </w:r>
      <w:r>
        <w:t xml:space="preserve"> </w:t>
      </w:r>
      <w:r w:rsidRPr="00555B07">
        <w:t>the</w:t>
      </w:r>
      <w:r>
        <w:t xml:space="preserve"> </w:t>
      </w:r>
      <w:r w:rsidRPr="00555B07">
        <w:t>note</w:t>
      </w:r>
      <w:r>
        <w:t xml:space="preserve"> </w:t>
      </w:r>
      <w:r w:rsidRPr="00555B07">
        <w:t>associated</w:t>
      </w:r>
      <w:r>
        <w:t xml:space="preserve"> </w:t>
      </w:r>
      <w:r w:rsidRPr="00555B07">
        <w:t>with</w:t>
      </w:r>
      <w:r>
        <w:t xml:space="preserve"> </w:t>
      </w:r>
      <w:r w:rsidRPr="00555B07">
        <w:t>the</w:t>
      </w:r>
      <w:r>
        <w:t xml:space="preserve"> </w:t>
      </w:r>
      <w:r w:rsidRPr="00555B07">
        <w:t>item</w:t>
      </w:r>
      <w:r>
        <w:t xml:space="preserve"> </w:t>
      </w:r>
      <w:r w:rsidRPr="00555B07">
        <w:t>measured</w:t>
      </w:r>
      <w:r>
        <w:t xml:space="preserve"> </w:t>
      </w:r>
      <w:r w:rsidRPr="00555B07">
        <w:t>on</w:t>
      </w:r>
      <w:r>
        <w:t xml:space="preserve"> </w:t>
      </w:r>
      <w:r w:rsidRPr="00555B07">
        <w:t>a</w:t>
      </w:r>
      <w:r>
        <w:t xml:space="preserve"> </w:t>
      </w:r>
      <w:r w:rsidRPr="00555B07">
        <w:t>different</w:t>
      </w:r>
      <w:r>
        <w:t xml:space="preserve"> </w:t>
      </w:r>
      <w:r w:rsidRPr="00555B07">
        <w:t>basis.</w:t>
      </w:r>
    </w:p>
    <w:p w14:paraId="4D8B5C37" w14:textId="77777777" w:rsidR="00CE75D4" w:rsidRPr="00555B07" w:rsidRDefault="00CE75D4" w:rsidP="008340C1">
      <w:pPr>
        <w:pStyle w:val="ARfinbody"/>
      </w:pPr>
      <w:r w:rsidRPr="00555B07">
        <w:t>The</w:t>
      </w:r>
      <w:r>
        <w:t xml:space="preserve"> </w:t>
      </w:r>
      <w:r w:rsidRPr="00555B07">
        <w:t>accrual</w:t>
      </w:r>
      <w:r>
        <w:t xml:space="preserve"> </w:t>
      </w:r>
      <w:r w:rsidRPr="00555B07">
        <w:t>basis</w:t>
      </w:r>
      <w:r>
        <w:t xml:space="preserve"> </w:t>
      </w:r>
      <w:r w:rsidRPr="00555B07">
        <w:t>of</w:t>
      </w:r>
      <w:r>
        <w:t xml:space="preserve"> </w:t>
      </w:r>
      <w:r w:rsidRPr="00555B07">
        <w:t>accounting</w:t>
      </w:r>
      <w:r>
        <w:t xml:space="preserve"> </w:t>
      </w:r>
      <w:r w:rsidRPr="00555B07">
        <w:t>has</w:t>
      </w:r>
      <w:r>
        <w:t xml:space="preserve"> </w:t>
      </w:r>
      <w:r w:rsidRPr="00555B07">
        <w:t>been</w:t>
      </w:r>
      <w:r>
        <w:t xml:space="preserve"> </w:t>
      </w:r>
      <w:r w:rsidRPr="00555B07">
        <w:t>applied</w:t>
      </w:r>
      <w:r>
        <w:t xml:space="preserve"> </w:t>
      </w:r>
      <w:r w:rsidRPr="00555B07">
        <w:t>in</w:t>
      </w:r>
      <w:r>
        <w:t xml:space="preserve"> </w:t>
      </w:r>
      <w:r w:rsidRPr="00555B07">
        <w:t>the</w:t>
      </w:r>
      <w:r>
        <w:t xml:space="preserve"> </w:t>
      </w:r>
      <w:r w:rsidRPr="00555B07">
        <w:t>preparation</w:t>
      </w:r>
      <w:r>
        <w:t xml:space="preserve"> </w:t>
      </w:r>
      <w:r w:rsidRPr="00555B07">
        <w:t>of</w:t>
      </w:r>
      <w:r>
        <w:t xml:space="preserve"> </w:t>
      </w:r>
      <w:r w:rsidRPr="00555B07">
        <w:t>these</w:t>
      </w:r>
      <w:r>
        <w:t xml:space="preserve"> </w:t>
      </w:r>
      <w:r w:rsidRPr="00555B07">
        <w:t>financial</w:t>
      </w:r>
      <w:r>
        <w:t xml:space="preserve"> </w:t>
      </w:r>
      <w:r w:rsidRPr="00555B07">
        <w:t>statements,</w:t>
      </w:r>
      <w:r>
        <w:t xml:space="preserve"> </w:t>
      </w:r>
      <w:r w:rsidRPr="00555B07">
        <w:t>except</w:t>
      </w:r>
      <w:r>
        <w:t xml:space="preserve"> </w:t>
      </w:r>
      <w:r w:rsidRPr="00555B07">
        <w:t>for</w:t>
      </w:r>
      <w:r>
        <w:t xml:space="preserve"> </w:t>
      </w:r>
      <w:r w:rsidRPr="00555B07">
        <w:t>cash</w:t>
      </w:r>
      <w:r>
        <w:t xml:space="preserve"> </w:t>
      </w:r>
      <w:r w:rsidRPr="00555B07">
        <w:t>flow</w:t>
      </w:r>
      <w:r>
        <w:t xml:space="preserve"> </w:t>
      </w:r>
      <w:r w:rsidRPr="00555B07">
        <w:t>information,</w:t>
      </w:r>
      <w:r>
        <w:t xml:space="preserve"> </w:t>
      </w:r>
      <w:r w:rsidRPr="00555B07">
        <w:t>whereby</w:t>
      </w:r>
      <w:r>
        <w:t xml:space="preserve"> </w:t>
      </w:r>
      <w:r w:rsidRPr="00555B07">
        <w:t>assets,</w:t>
      </w:r>
      <w:r>
        <w:t xml:space="preserve"> </w:t>
      </w:r>
      <w:r w:rsidRPr="00555B07">
        <w:t>liabilities,</w:t>
      </w:r>
      <w:r>
        <w:t xml:space="preserve"> </w:t>
      </w:r>
      <w:r w:rsidRPr="00555B07">
        <w:t>equity,</w:t>
      </w:r>
      <w:r>
        <w:t xml:space="preserve"> </w:t>
      </w:r>
      <w:r w:rsidRPr="00555B07">
        <w:t>income</w:t>
      </w:r>
      <w:r>
        <w:t xml:space="preserve"> </w:t>
      </w:r>
      <w:r w:rsidRPr="00555B07">
        <w:t>and</w:t>
      </w:r>
      <w:r>
        <w:t xml:space="preserve"> </w:t>
      </w:r>
      <w:r w:rsidRPr="00555B07">
        <w:t>expenses</w:t>
      </w:r>
      <w:r>
        <w:t xml:space="preserve"> </w:t>
      </w:r>
      <w:r w:rsidRPr="00555B07">
        <w:t>are</w:t>
      </w:r>
      <w:r>
        <w:t xml:space="preserve"> </w:t>
      </w:r>
      <w:r w:rsidRPr="00555B07">
        <w:t>recognised</w:t>
      </w:r>
      <w:r>
        <w:t xml:space="preserve"> </w:t>
      </w:r>
      <w:r w:rsidRPr="00555B07">
        <w:t>in</w:t>
      </w:r>
      <w:r>
        <w:t xml:space="preserve"> </w:t>
      </w:r>
      <w:r w:rsidRPr="00555B07">
        <w:t>the</w:t>
      </w:r>
      <w:r>
        <w:t xml:space="preserve"> </w:t>
      </w:r>
      <w:r w:rsidRPr="00555B07">
        <w:t>reporting</w:t>
      </w:r>
      <w:r>
        <w:t xml:space="preserve"> </w:t>
      </w:r>
      <w:r w:rsidRPr="00555B07">
        <w:t>period</w:t>
      </w:r>
      <w:r>
        <w:t xml:space="preserve"> </w:t>
      </w:r>
      <w:r w:rsidRPr="00555B07">
        <w:t>to</w:t>
      </w:r>
      <w:r>
        <w:t xml:space="preserve"> </w:t>
      </w:r>
      <w:r w:rsidRPr="00555B07">
        <w:t>which</w:t>
      </w:r>
      <w:r>
        <w:t xml:space="preserve"> </w:t>
      </w:r>
      <w:r w:rsidRPr="00555B07">
        <w:t>they</w:t>
      </w:r>
      <w:r>
        <w:t xml:space="preserve"> </w:t>
      </w:r>
      <w:r w:rsidRPr="00555B07">
        <w:t>relate,</w:t>
      </w:r>
      <w:r>
        <w:t xml:space="preserve"> </w:t>
      </w:r>
      <w:r w:rsidRPr="00555B07">
        <w:t>regardless</w:t>
      </w:r>
      <w:r>
        <w:t xml:space="preserve"> </w:t>
      </w:r>
      <w:r w:rsidRPr="00555B07">
        <w:t>of</w:t>
      </w:r>
      <w:r>
        <w:t xml:space="preserve"> </w:t>
      </w:r>
      <w:r w:rsidRPr="00555B07">
        <w:t>when</w:t>
      </w:r>
      <w:r>
        <w:t xml:space="preserve"> </w:t>
      </w:r>
      <w:r w:rsidRPr="00555B07">
        <w:t>cash</w:t>
      </w:r>
      <w:r>
        <w:t xml:space="preserve"> </w:t>
      </w:r>
      <w:r w:rsidRPr="00555B07">
        <w:t>is</w:t>
      </w:r>
      <w:r>
        <w:t xml:space="preserve"> </w:t>
      </w:r>
      <w:r w:rsidRPr="00555B07">
        <w:t>received</w:t>
      </w:r>
      <w:r>
        <w:t xml:space="preserve"> </w:t>
      </w:r>
      <w:r w:rsidRPr="00555B07">
        <w:t>or</w:t>
      </w:r>
      <w:r>
        <w:t xml:space="preserve"> </w:t>
      </w:r>
      <w:r w:rsidRPr="00555B07">
        <w:t>paid.</w:t>
      </w:r>
    </w:p>
    <w:p w14:paraId="765D889D" w14:textId="77777777" w:rsidR="00CE75D4" w:rsidRPr="00555B07" w:rsidRDefault="00CE75D4" w:rsidP="008340C1">
      <w:pPr>
        <w:pStyle w:val="ARfinbody"/>
      </w:pPr>
      <w:r w:rsidRPr="00555B07">
        <w:t>Consistent</w:t>
      </w:r>
      <w:r>
        <w:t xml:space="preserve"> </w:t>
      </w:r>
      <w:r w:rsidRPr="00555B07">
        <w:t>with</w:t>
      </w:r>
      <w:r>
        <w:t xml:space="preserve"> </w:t>
      </w:r>
      <w:r w:rsidRPr="00555B07">
        <w:t>the</w:t>
      </w:r>
      <w:r>
        <w:t xml:space="preserve"> </w:t>
      </w:r>
      <w:r w:rsidRPr="00555B07">
        <w:t>requirements</w:t>
      </w:r>
      <w:r>
        <w:t xml:space="preserve"> </w:t>
      </w:r>
      <w:r w:rsidRPr="00555B07">
        <w:t>of</w:t>
      </w:r>
      <w:r>
        <w:t xml:space="preserve"> </w:t>
      </w:r>
      <w:r w:rsidRPr="00555B07">
        <w:t>AASB</w:t>
      </w:r>
      <w:r>
        <w:t xml:space="preserve"> </w:t>
      </w:r>
      <w:r w:rsidRPr="00555B07">
        <w:t>1004</w:t>
      </w:r>
      <w:r>
        <w:t xml:space="preserve"> </w:t>
      </w:r>
      <w:r w:rsidRPr="00555B07">
        <w:rPr>
          <w:rStyle w:val="Emphasis"/>
          <w:szCs w:val="18"/>
        </w:rPr>
        <w:t>Contributions</w:t>
      </w:r>
      <w:r w:rsidRPr="00555B07">
        <w:t>,</w:t>
      </w:r>
      <w:r>
        <w:t xml:space="preserve"> </w:t>
      </w:r>
      <w:r w:rsidRPr="00555B07">
        <w:t>contributions</w:t>
      </w:r>
      <w:r>
        <w:t xml:space="preserve"> </w:t>
      </w:r>
      <w:r w:rsidRPr="00555B07">
        <w:t>by</w:t>
      </w:r>
      <w:r>
        <w:t xml:space="preserve"> </w:t>
      </w:r>
      <w:r w:rsidRPr="00555B07">
        <w:t>owners</w:t>
      </w:r>
      <w:r>
        <w:t xml:space="preserve"> </w:t>
      </w:r>
      <w:r w:rsidRPr="00555B07">
        <w:t>(that</w:t>
      </w:r>
      <w:r>
        <w:t xml:space="preserve"> </w:t>
      </w:r>
      <w:r w:rsidRPr="00555B07">
        <w:t>is,</w:t>
      </w:r>
      <w:r>
        <w:t xml:space="preserve"> </w:t>
      </w:r>
      <w:r w:rsidRPr="00555B07">
        <w:t>contributed</w:t>
      </w:r>
      <w:r>
        <w:t xml:space="preserve"> </w:t>
      </w:r>
      <w:r w:rsidRPr="00555B07">
        <w:t>capital</w:t>
      </w:r>
      <w:r>
        <w:t xml:space="preserve"> </w:t>
      </w:r>
      <w:r w:rsidRPr="00555B07">
        <w:t>and</w:t>
      </w:r>
      <w:r>
        <w:t xml:space="preserve"> </w:t>
      </w:r>
      <w:r w:rsidRPr="00555B07">
        <w:t>its</w:t>
      </w:r>
      <w:r>
        <w:t xml:space="preserve"> </w:t>
      </w:r>
      <w:r w:rsidRPr="00555B07">
        <w:t>repayment)</w:t>
      </w:r>
      <w:r>
        <w:t xml:space="preserve"> </w:t>
      </w:r>
      <w:r w:rsidRPr="00555B07">
        <w:t>are</w:t>
      </w:r>
      <w:r>
        <w:t xml:space="preserve"> </w:t>
      </w:r>
      <w:r w:rsidRPr="00555B07">
        <w:t>treated</w:t>
      </w:r>
      <w:r>
        <w:t xml:space="preserve"> </w:t>
      </w:r>
      <w:r w:rsidRPr="00555B07">
        <w:t>as</w:t>
      </w:r>
      <w:r>
        <w:t xml:space="preserve"> </w:t>
      </w:r>
      <w:r w:rsidRPr="00555B07">
        <w:t>equity</w:t>
      </w:r>
      <w:r>
        <w:t xml:space="preserve"> </w:t>
      </w:r>
      <w:r w:rsidRPr="00555B07">
        <w:t>transactions</w:t>
      </w:r>
      <w:r>
        <w:t xml:space="preserve"> </w:t>
      </w:r>
      <w:r w:rsidRPr="00555B07">
        <w:t>and,</w:t>
      </w:r>
      <w:r>
        <w:t xml:space="preserve"> </w:t>
      </w:r>
      <w:r w:rsidRPr="00555B07">
        <w:t>therefore,</w:t>
      </w:r>
      <w:r>
        <w:t xml:space="preserve"> </w:t>
      </w:r>
      <w:r w:rsidRPr="00555B07">
        <w:t>do</w:t>
      </w:r>
      <w:r>
        <w:t xml:space="preserve"> </w:t>
      </w:r>
      <w:r w:rsidRPr="00555B07">
        <w:t>not</w:t>
      </w:r>
      <w:r>
        <w:t xml:space="preserve"> </w:t>
      </w:r>
      <w:r w:rsidRPr="00555B07">
        <w:t>form</w:t>
      </w:r>
      <w:r>
        <w:t xml:space="preserve"> </w:t>
      </w:r>
      <w:r w:rsidRPr="00555B07">
        <w:t>part</w:t>
      </w:r>
      <w:r>
        <w:t xml:space="preserve"> </w:t>
      </w:r>
      <w:r w:rsidRPr="00555B07">
        <w:t>of</w:t>
      </w:r>
      <w:r>
        <w:t xml:space="preserve"> </w:t>
      </w:r>
      <w:r w:rsidRPr="00555B07">
        <w:t>the</w:t>
      </w:r>
      <w:r>
        <w:t xml:space="preserve"> </w:t>
      </w:r>
      <w:r w:rsidRPr="00555B07">
        <w:t>income</w:t>
      </w:r>
      <w:r>
        <w:t xml:space="preserve"> </w:t>
      </w:r>
      <w:r w:rsidRPr="00555B07">
        <w:t>and</w:t>
      </w:r>
      <w:r>
        <w:t xml:space="preserve"> </w:t>
      </w:r>
      <w:r w:rsidRPr="00555B07">
        <w:t>expenses</w:t>
      </w:r>
      <w:r>
        <w:t xml:space="preserve"> </w:t>
      </w:r>
      <w:r w:rsidRPr="00555B07">
        <w:t>of</w:t>
      </w:r>
      <w:r>
        <w:t xml:space="preserve"> </w:t>
      </w:r>
      <w:r w:rsidRPr="00555B07">
        <w:t>the</w:t>
      </w:r>
      <w:r>
        <w:t xml:space="preserve"> </w:t>
      </w:r>
      <w:r w:rsidRPr="00555B07">
        <w:t>department.</w:t>
      </w:r>
    </w:p>
    <w:p w14:paraId="7D4ED8AE" w14:textId="77777777" w:rsidR="00CE75D4" w:rsidRPr="00555B07" w:rsidRDefault="00CE75D4" w:rsidP="008340C1">
      <w:pPr>
        <w:pStyle w:val="ARfinbody"/>
      </w:pPr>
      <w:r w:rsidRPr="00555B07">
        <w:t>Additions</w:t>
      </w:r>
      <w:r>
        <w:t xml:space="preserve"> </w:t>
      </w:r>
      <w:r w:rsidRPr="00555B07">
        <w:t>to</w:t>
      </w:r>
      <w:r>
        <w:t xml:space="preserve"> </w:t>
      </w:r>
      <w:r w:rsidRPr="00555B07">
        <w:t>net</w:t>
      </w:r>
      <w:r>
        <w:t xml:space="preserve"> </w:t>
      </w:r>
      <w:r w:rsidRPr="00555B07">
        <w:t>assets</w:t>
      </w:r>
      <w:r>
        <w:t xml:space="preserve"> </w:t>
      </w:r>
      <w:r w:rsidRPr="00555B07">
        <w:t>which</w:t>
      </w:r>
      <w:r>
        <w:t xml:space="preserve"> </w:t>
      </w:r>
      <w:r w:rsidRPr="00555B07">
        <w:t>have</w:t>
      </w:r>
      <w:r>
        <w:t xml:space="preserve"> </w:t>
      </w:r>
      <w:r w:rsidRPr="00555B07">
        <w:t>been</w:t>
      </w:r>
      <w:r>
        <w:t xml:space="preserve"> </w:t>
      </w:r>
      <w:r w:rsidRPr="00555B07">
        <w:t>designated</w:t>
      </w:r>
      <w:r>
        <w:t xml:space="preserve"> </w:t>
      </w:r>
      <w:r w:rsidRPr="00555B07">
        <w:t>as</w:t>
      </w:r>
      <w:r>
        <w:t xml:space="preserve"> </w:t>
      </w:r>
      <w:r w:rsidRPr="00555B07">
        <w:t>contributions</w:t>
      </w:r>
      <w:r>
        <w:t xml:space="preserve"> </w:t>
      </w:r>
      <w:r w:rsidRPr="00555B07">
        <w:t>by</w:t>
      </w:r>
      <w:r>
        <w:t xml:space="preserve"> </w:t>
      </w:r>
      <w:r w:rsidRPr="00555B07">
        <w:t>owners</w:t>
      </w:r>
      <w:r>
        <w:t xml:space="preserve"> </w:t>
      </w:r>
      <w:r w:rsidRPr="00555B07">
        <w:t>are</w:t>
      </w:r>
      <w:r>
        <w:t xml:space="preserve"> </w:t>
      </w:r>
      <w:r w:rsidRPr="00555B07">
        <w:t>recognised</w:t>
      </w:r>
      <w:r>
        <w:t xml:space="preserve"> </w:t>
      </w:r>
      <w:r w:rsidRPr="00555B07">
        <w:t>as</w:t>
      </w:r>
      <w:r>
        <w:t xml:space="preserve"> </w:t>
      </w:r>
      <w:r w:rsidRPr="00555B07">
        <w:t>contributed</w:t>
      </w:r>
      <w:r>
        <w:t xml:space="preserve"> </w:t>
      </w:r>
      <w:r w:rsidRPr="00555B07">
        <w:t>capital.</w:t>
      </w:r>
      <w:r>
        <w:t xml:space="preserve"> </w:t>
      </w:r>
      <w:r w:rsidRPr="00555B07">
        <w:t>Other</w:t>
      </w:r>
      <w:r>
        <w:t xml:space="preserve"> </w:t>
      </w:r>
      <w:r w:rsidRPr="00555B07">
        <w:t>transfers</w:t>
      </w:r>
      <w:r>
        <w:t xml:space="preserve"> </w:t>
      </w:r>
      <w:r w:rsidRPr="00555B07">
        <w:t>that</w:t>
      </w:r>
      <w:r>
        <w:t xml:space="preserve"> </w:t>
      </w:r>
      <w:r w:rsidRPr="00555B07">
        <w:t>are</w:t>
      </w:r>
      <w:r>
        <w:t xml:space="preserve"> </w:t>
      </w:r>
      <w:r w:rsidRPr="00555B07">
        <w:t>in</w:t>
      </w:r>
      <w:r>
        <w:t xml:space="preserve"> </w:t>
      </w:r>
      <w:r w:rsidRPr="00555B07">
        <w:t>the</w:t>
      </w:r>
      <w:r>
        <w:t xml:space="preserve"> </w:t>
      </w:r>
      <w:r w:rsidRPr="00555B07">
        <w:t>nature</w:t>
      </w:r>
      <w:r>
        <w:t xml:space="preserve"> </w:t>
      </w:r>
      <w:r w:rsidRPr="00555B07">
        <w:t>of</w:t>
      </w:r>
      <w:r>
        <w:t xml:space="preserve"> </w:t>
      </w:r>
      <w:r w:rsidRPr="00555B07">
        <w:t>contributions</w:t>
      </w:r>
      <w:r>
        <w:t xml:space="preserve"> </w:t>
      </w:r>
      <w:r w:rsidRPr="00555B07">
        <w:t>to</w:t>
      </w:r>
      <w:r>
        <w:t xml:space="preserve"> </w:t>
      </w:r>
      <w:r w:rsidRPr="00555B07">
        <w:t>or</w:t>
      </w:r>
      <w:r>
        <w:t xml:space="preserve"> </w:t>
      </w:r>
      <w:r w:rsidRPr="00555B07">
        <w:t>distributions</w:t>
      </w:r>
      <w:r>
        <w:t xml:space="preserve"> </w:t>
      </w:r>
      <w:r w:rsidRPr="00555B07">
        <w:t>by</w:t>
      </w:r>
      <w:r>
        <w:t xml:space="preserve"> </w:t>
      </w:r>
      <w:r w:rsidRPr="00555B07">
        <w:t>owners</w:t>
      </w:r>
      <w:r>
        <w:t xml:space="preserve"> </w:t>
      </w:r>
      <w:r w:rsidRPr="00555B07">
        <w:t>have</w:t>
      </w:r>
      <w:r>
        <w:t xml:space="preserve"> </w:t>
      </w:r>
      <w:r w:rsidRPr="00555B07">
        <w:t>also</w:t>
      </w:r>
      <w:r>
        <w:t xml:space="preserve"> </w:t>
      </w:r>
      <w:r w:rsidRPr="00555B07">
        <w:t>been</w:t>
      </w:r>
      <w:r>
        <w:t xml:space="preserve"> </w:t>
      </w:r>
      <w:r w:rsidRPr="00555B07">
        <w:t>designated</w:t>
      </w:r>
      <w:r>
        <w:t xml:space="preserve"> </w:t>
      </w:r>
      <w:r w:rsidRPr="00555B07">
        <w:t>as</w:t>
      </w:r>
      <w:r>
        <w:t xml:space="preserve"> </w:t>
      </w:r>
      <w:r w:rsidRPr="00555B07">
        <w:t>contributions</w:t>
      </w:r>
      <w:r>
        <w:t xml:space="preserve"> </w:t>
      </w:r>
      <w:r w:rsidRPr="00555B07">
        <w:t>by</w:t>
      </w:r>
      <w:r>
        <w:t xml:space="preserve"> </w:t>
      </w:r>
      <w:r w:rsidRPr="00555B07">
        <w:t>owners.</w:t>
      </w:r>
    </w:p>
    <w:p w14:paraId="54DB8FC2" w14:textId="77777777" w:rsidR="00CE75D4" w:rsidRPr="00555B07" w:rsidRDefault="00CE75D4" w:rsidP="008340C1">
      <w:pPr>
        <w:pStyle w:val="ARfinbody"/>
      </w:pPr>
      <w:r w:rsidRPr="00555B07">
        <w:t>Transfers</w:t>
      </w:r>
      <w:r>
        <w:t xml:space="preserve"> </w:t>
      </w:r>
      <w:r w:rsidRPr="00555B07">
        <w:t>of</w:t>
      </w:r>
      <w:r>
        <w:t xml:space="preserve"> </w:t>
      </w:r>
      <w:r w:rsidRPr="00555B07">
        <w:t>net</w:t>
      </w:r>
      <w:r>
        <w:t xml:space="preserve"> </w:t>
      </w:r>
      <w:r w:rsidRPr="00555B07">
        <w:t>assets</w:t>
      </w:r>
      <w:r>
        <w:t xml:space="preserve"> </w:t>
      </w:r>
      <w:r w:rsidRPr="00555B07">
        <w:t>arising</w:t>
      </w:r>
      <w:r>
        <w:t xml:space="preserve"> </w:t>
      </w:r>
      <w:r w:rsidRPr="00555B07">
        <w:t>from</w:t>
      </w:r>
      <w:r>
        <w:t xml:space="preserve"> </w:t>
      </w:r>
      <w:r w:rsidRPr="00555B07">
        <w:t>administrative</w:t>
      </w:r>
      <w:r>
        <w:t xml:space="preserve"> </w:t>
      </w:r>
      <w:r w:rsidRPr="00555B07">
        <w:t>restructurings</w:t>
      </w:r>
      <w:r>
        <w:t xml:space="preserve"> </w:t>
      </w:r>
      <w:r w:rsidRPr="00555B07">
        <w:t>are</w:t>
      </w:r>
      <w:r>
        <w:t xml:space="preserve"> </w:t>
      </w:r>
      <w:r w:rsidRPr="00555B07">
        <w:t>treated</w:t>
      </w:r>
      <w:r>
        <w:t xml:space="preserve"> </w:t>
      </w:r>
      <w:r w:rsidRPr="00555B07">
        <w:t>as</w:t>
      </w:r>
      <w:r>
        <w:t xml:space="preserve"> </w:t>
      </w:r>
      <w:r w:rsidRPr="00555B07">
        <w:t>distributions</w:t>
      </w:r>
      <w:r>
        <w:t xml:space="preserve"> </w:t>
      </w:r>
      <w:r w:rsidRPr="00555B07">
        <w:t>to</w:t>
      </w:r>
      <w:r>
        <w:t xml:space="preserve"> </w:t>
      </w:r>
      <w:r w:rsidRPr="00555B07">
        <w:t>or</w:t>
      </w:r>
      <w:r>
        <w:t xml:space="preserve"> </w:t>
      </w:r>
      <w:r w:rsidRPr="00555B07">
        <w:t>contributions</w:t>
      </w:r>
      <w:r>
        <w:t xml:space="preserve"> </w:t>
      </w:r>
      <w:r w:rsidRPr="00555B07">
        <w:t>by</w:t>
      </w:r>
      <w:r>
        <w:t xml:space="preserve"> </w:t>
      </w:r>
      <w:r w:rsidRPr="00555B07">
        <w:t>owners.</w:t>
      </w:r>
      <w:r>
        <w:t xml:space="preserve"> </w:t>
      </w:r>
      <w:r w:rsidRPr="00555B07">
        <w:t>Transfers</w:t>
      </w:r>
      <w:r>
        <w:t xml:space="preserve"> </w:t>
      </w:r>
      <w:r w:rsidRPr="00555B07">
        <w:t>of</w:t>
      </w:r>
      <w:r>
        <w:t xml:space="preserve"> </w:t>
      </w:r>
      <w:r w:rsidRPr="00555B07">
        <w:t>net</w:t>
      </w:r>
      <w:r>
        <w:t xml:space="preserve"> </w:t>
      </w:r>
      <w:r w:rsidRPr="00555B07">
        <w:t>liabilities</w:t>
      </w:r>
      <w:r>
        <w:t xml:space="preserve"> </w:t>
      </w:r>
      <w:r w:rsidRPr="00555B07">
        <w:t>arising</w:t>
      </w:r>
      <w:r>
        <w:t xml:space="preserve"> </w:t>
      </w:r>
      <w:r w:rsidRPr="00555B07">
        <w:t>from</w:t>
      </w:r>
      <w:r>
        <w:t xml:space="preserve"> </w:t>
      </w:r>
      <w:r w:rsidRPr="00555B07">
        <w:t>administrative</w:t>
      </w:r>
      <w:r>
        <w:t xml:space="preserve"> </w:t>
      </w:r>
      <w:r w:rsidRPr="00555B07">
        <w:t>restructurings</w:t>
      </w:r>
      <w:r>
        <w:t xml:space="preserve"> </w:t>
      </w:r>
      <w:r w:rsidRPr="00555B07">
        <w:t>are</w:t>
      </w:r>
      <w:r>
        <w:t xml:space="preserve"> </w:t>
      </w:r>
      <w:r w:rsidRPr="00555B07">
        <w:t>treated</w:t>
      </w:r>
      <w:r>
        <w:t xml:space="preserve"> </w:t>
      </w:r>
      <w:r w:rsidRPr="00555B07">
        <w:t>as</w:t>
      </w:r>
      <w:r>
        <w:t xml:space="preserve"> </w:t>
      </w:r>
      <w:r w:rsidRPr="00555B07">
        <w:t>distributions</w:t>
      </w:r>
      <w:r>
        <w:t xml:space="preserve"> </w:t>
      </w:r>
      <w:r w:rsidRPr="00555B07">
        <w:t>to</w:t>
      </w:r>
      <w:r>
        <w:t xml:space="preserve"> </w:t>
      </w:r>
      <w:r w:rsidRPr="00555B07">
        <w:t>owners.</w:t>
      </w:r>
    </w:p>
    <w:p w14:paraId="0626EBC2" w14:textId="77777777" w:rsidR="00CE75D4" w:rsidRPr="00555B07" w:rsidRDefault="00CE75D4" w:rsidP="008340C1">
      <w:pPr>
        <w:pStyle w:val="ARfinbody"/>
      </w:pPr>
      <w:r w:rsidRPr="00555B07">
        <w:t>Judgements,</w:t>
      </w:r>
      <w:r>
        <w:t xml:space="preserve"> </w:t>
      </w:r>
      <w:r w:rsidRPr="00555B07">
        <w:t>estimates</w:t>
      </w:r>
      <w:r>
        <w:t xml:space="preserve"> </w:t>
      </w:r>
      <w:r w:rsidRPr="00555B07">
        <w:t>and</w:t>
      </w:r>
      <w:r>
        <w:t xml:space="preserve"> </w:t>
      </w:r>
      <w:r w:rsidRPr="00555B07">
        <w:t>assumptions</w:t>
      </w:r>
      <w:r>
        <w:t xml:space="preserve"> </w:t>
      </w:r>
      <w:r w:rsidRPr="00555B07">
        <w:t>are</w:t>
      </w:r>
      <w:r>
        <w:t xml:space="preserve"> </w:t>
      </w:r>
      <w:r w:rsidRPr="00555B07">
        <w:t>required</w:t>
      </w:r>
      <w:r>
        <w:t xml:space="preserve"> </w:t>
      </w:r>
      <w:r w:rsidRPr="00555B07">
        <w:t>to</w:t>
      </w:r>
      <w:r>
        <w:t xml:space="preserve"> </w:t>
      </w:r>
      <w:r w:rsidRPr="00555B07">
        <w:t>be</w:t>
      </w:r>
      <w:r>
        <w:t xml:space="preserve"> </w:t>
      </w:r>
      <w:r w:rsidRPr="00555B07">
        <w:t>made</w:t>
      </w:r>
      <w:r>
        <w:t xml:space="preserve"> </w:t>
      </w:r>
      <w:r w:rsidRPr="00555B07">
        <w:t>about</w:t>
      </w:r>
      <w:r>
        <w:t xml:space="preserve"> </w:t>
      </w:r>
      <w:r w:rsidRPr="00555B07">
        <w:t>the</w:t>
      </w:r>
      <w:r>
        <w:t xml:space="preserve"> </w:t>
      </w:r>
      <w:r w:rsidRPr="00555B07">
        <w:t>financial</w:t>
      </w:r>
      <w:r>
        <w:t xml:space="preserve"> </w:t>
      </w:r>
      <w:r w:rsidRPr="00555B07">
        <w:t>information</w:t>
      </w:r>
      <w:r>
        <w:t xml:space="preserve"> </w:t>
      </w:r>
      <w:r w:rsidRPr="00555B07">
        <w:t>being</w:t>
      </w:r>
      <w:r>
        <w:t xml:space="preserve"> </w:t>
      </w:r>
      <w:r w:rsidRPr="00555B07">
        <w:t>presented.</w:t>
      </w:r>
      <w:r>
        <w:t xml:space="preserve"> </w:t>
      </w:r>
      <w:r w:rsidRPr="00555B07">
        <w:t>The</w:t>
      </w:r>
      <w:r>
        <w:t> </w:t>
      </w:r>
      <w:r w:rsidRPr="00555B07">
        <w:t>significant</w:t>
      </w:r>
      <w:r>
        <w:t xml:space="preserve"> </w:t>
      </w:r>
      <w:r w:rsidRPr="00555B07">
        <w:t>judgements</w:t>
      </w:r>
      <w:r>
        <w:t xml:space="preserve"> </w:t>
      </w:r>
      <w:r w:rsidRPr="00555B07">
        <w:t>made</w:t>
      </w:r>
      <w:r>
        <w:t xml:space="preserve"> </w:t>
      </w:r>
      <w:r w:rsidRPr="00555B07">
        <w:t>in</w:t>
      </w:r>
      <w:r>
        <w:t xml:space="preserve"> </w:t>
      </w:r>
      <w:r w:rsidRPr="00555B07">
        <w:t>the</w:t>
      </w:r>
      <w:r>
        <w:t xml:space="preserve"> </w:t>
      </w:r>
      <w:r w:rsidRPr="00555B07">
        <w:t>preparation</w:t>
      </w:r>
      <w:r>
        <w:t xml:space="preserve"> </w:t>
      </w:r>
      <w:r w:rsidRPr="00555B07">
        <w:t>of</w:t>
      </w:r>
      <w:r>
        <w:t xml:space="preserve"> </w:t>
      </w:r>
      <w:r w:rsidRPr="00555B07">
        <w:t>these</w:t>
      </w:r>
      <w:r>
        <w:t xml:space="preserve"> </w:t>
      </w:r>
      <w:r w:rsidRPr="00555B07">
        <w:t>financial</w:t>
      </w:r>
      <w:r>
        <w:t xml:space="preserve"> </w:t>
      </w:r>
      <w:r w:rsidRPr="00555B07">
        <w:t>statements</w:t>
      </w:r>
      <w:r>
        <w:t xml:space="preserve"> </w:t>
      </w:r>
      <w:r w:rsidRPr="00555B07">
        <w:t>are</w:t>
      </w:r>
      <w:r>
        <w:t xml:space="preserve"> </w:t>
      </w:r>
      <w:r w:rsidRPr="00555B07">
        <w:t>disclosed</w:t>
      </w:r>
      <w:r>
        <w:t xml:space="preserve"> </w:t>
      </w:r>
      <w:r w:rsidRPr="00555B07">
        <w:t>in</w:t>
      </w:r>
      <w:r>
        <w:t xml:space="preserve"> </w:t>
      </w:r>
      <w:r w:rsidRPr="00555B07">
        <w:t>the</w:t>
      </w:r>
      <w:r>
        <w:t xml:space="preserve"> </w:t>
      </w:r>
      <w:r w:rsidRPr="00555B07">
        <w:t>notes</w:t>
      </w:r>
      <w:r>
        <w:t xml:space="preserve"> </w:t>
      </w:r>
      <w:r w:rsidRPr="00555B07">
        <w:t>where</w:t>
      </w:r>
      <w:r>
        <w:t xml:space="preserve"> </w:t>
      </w:r>
      <w:r w:rsidRPr="00555B07">
        <w:t>amounts</w:t>
      </w:r>
      <w:r>
        <w:t xml:space="preserve"> </w:t>
      </w:r>
      <w:r w:rsidRPr="00555B07">
        <w:t>affected</w:t>
      </w:r>
      <w:r>
        <w:t xml:space="preserve"> </w:t>
      </w:r>
      <w:r w:rsidRPr="00555B07">
        <w:t>by</w:t>
      </w:r>
      <w:r>
        <w:t xml:space="preserve"> </w:t>
      </w:r>
      <w:r w:rsidRPr="00555B07">
        <w:t>those</w:t>
      </w:r>
      <w:r>
        <w:t xml:space="preserve"> </w:t>
      </w:r>
      <w:r w:rsidRPr="00555B07">
        <w:t>judgements</w:t>
      </w:r>
      <w:r>
        <w:t xml:space="preserve"> </w:t>
      </w:r>
      <w:r w:rsidRPr="00555B07">
        <w:t>are</w:t>
      </w:r>
      <w:r>
        <w:t xml:space="preserve"> </w:t>
      </w:r>
      <w:r w:rsidRPr="00555B07">
        <w:t>disclosed.</w:t>
      </w:r>
      <w:r>
        <w:t xml:space="preserve"> </w:t>
      </w:r>
      <w:r w:rsidRPr="00555B07">
        <w:t>Estimates</w:t>
      </w:r>
      <w:r>
        <w:t xml:space="preserve"> </w:t>
      </w:r>
      <w:r w:rsidRPr="00555B07">
        <w:t>and</w:t>
      </w:r>
      <w:r>
        <w:t xml:space="preserve"> </w:t>
      </w:r>
      <w:r w:rsidRPr="00555B07">
        <w:t>associated</w:t>
      </w:r>
      <w:r>
        <w:t xml:space="preserve"> </w:t>
      </w:r>
      <w:r w:rsidRPr="00555B07">
        <w:t>assumptions</w:t>
      </w:r>
      <w:r>
        <w:t xml:space="preserve"> </w:t>
      </w:r>
      <w:r w:rsidRPr="00555B07">
        <w:t>are</w:t>
      </w:r>
      <w:r>
        <w:t xml:space="preserve"> </w:t>
      </w:r>
      <w:r w:rsidRPr="00555B07">
        <w:t>based</w:t>
      </w:r>
      <w:r>
        <w:t xml:space="preserve"> </w:t>
      </w:r>
      <w:r w:rsidRPr="00555B07">
        <w:t>on</w:t>
      </w:r>
      <w:r>
        <w:t xml:space="preserve"> </w:t>
      </w:r>
      <w:r w:rsidRPr="00555B07">
        <w:t>professional</w:t>
      </w:r>
      <w:r>
        <w:t xml:space="preserve"> </w:t>
      </w:r>
      <w:r w:rsidRPr="00555B07">
        <w:t>judgements</w:t>
      </w:r>
      <w:r>
        <w:t xml:space="preserve"> </w:t>
      </w:r>
      <w:r w:rsidRPr="00555B07">
        <w:t>derived</w:t>
      </w:r>
      <w:r>
        <w:t xml:space="preserve"> </w:t>
      </w:r>
      <w:r w:rsidRPr="00555B07">
        <w:t>from</w:t>
      </w:r>
      <w:r>
        <w:t xml:space="preserve"> </w:t>
      </w:r>
      <w:r w:rsidRPr="00555B07">
        <w:t>historical</w:t>
      </w:r>
      <w:r>
        <w:t xml:space="preserve"> </w:t>
      </w:r>
      <w:r w:rsidRPr="00555B07">
        <w:t>experience</w:t>
      </w:r>
      <w:r>
        <w:t xml:space="preserve"> </w:t>
      </w:r>
      <w:r w:rsidRPr="00555B07">
        <w:t>and</w:t>
      </w:r>
      <w:r>
        <w:t xml:space="preserve"> </w:t>
      </w:r>
      <w:r w:rsidRPr="00555B07">
        <w:t>various</w:t>
      </w:r>
      <w:r>
        <w:t xml:space="preserve"> </w:t>
      </w:r>
      <w:r w:rsidRPr="00555B07">
        <w:t>other</w:t>
      </w:r>
      <w:r>
        <w:t xml:space="preserve"> </w:t>
      </w:r>
      <w:r w:rsidRPr="00555B07">
        <w:t>factors</w:t>
      </w:r>
      <w:r>
        <w:t xml:space="preserve"> </w:t>
      </w:r>
      <w:r w:rsidRPr="00555B07">
        <w:t>that</w:t>
      </w:r>
      <w:r>
        <w:t xml:space="preserve"> </w:t>
      </w:r>
      <w:r w:rsidRPr="00555B07">
        <w:t>are</w:t>
      </w:r>
      <w:r>
        <w:t xml:space="preserve"> </w:t>
      </w:r>
      <w:r w:rsidRPr="00555B07">
        <w:t>believed</w:t>
      </w:r>
      <w:r>
        <w:t xml:space="preserve"> </w:t>
      </w:r>
      <w:r w:rsidRPr="00555B07">
        <w:t>to</w:t>
      </w:r>
      <w:r>
        <w:t xml:space="preserve"> </w:t>
      </w:r>
      <w:r w:rsidRPr="00555B07">
        <w:t>be</w:t>
      </w:r>
      <w:r>
        <w:t xml:space="preserve"> </w:t>
      </w:r>
      <w:r w:rsidRPr="00555B07">
        <w:t>reasonable</w:t>
      </w:r>
      <w:r>
        <w:t xml:space="preserve"> </w:t>
      </w:r>
      <w:r w:rsidRPr="00555B07">
        <w:t>under</w:t>
      </w:r>
      <w:r>
        <w:t xml:space="preserve"> </w:t>
      </w:r>
      <w:r w:rsidRPr="00555B07">
        <w:t>the</w:t>
      </w:r>
      <w:r>
        <w:t xml:space="preserve"> </w:t>
      </w:r>
      <w:r w:rsidRPr="00555B07">
        <w:t>circumstances.</w:t>
      </w:r>
      <w:r>
        <w:t xml:space="preserve"> </w:t>
      </w:r>
      <w:r w:rsidRPr="00555B07">
        <w:t>Actual</w:t>
      </w:r>
      <w:r>
        <w:t xml:space="preserve"> </w:t>
      </w:r>
      <w:r w:rsidRPr="00555B07">
        <w:t>results</w:t>
      </w:r>
      <w:r>
        <w:t xml:space="preserve"> </w:t>
      </w:r>
      <w:r w:rsidRPr="00555B07">
        <w:t>may</w:t>
      </w:r>
      <w:r>
        <w:t xml:space="preserve"> </w:t>
      </w:r>
      <w:r w:rsidRPr="00555B07">
        <w:t>differ</w:t>
      </w:r>
      <w:r>
        <w:t xml:space="preserve"> </w:t>
      </w:r>
      <w:r w:rsidRPr="00555B07">
        <w:t>from</w:t>
      </w:r>
      <w:r>
        <w:t xml:space="preserve"> </w:t>
      </w:r>
      <w:r w:rsidRPr="00555B07">
        <w:t>these</w:t>
      </w:r>
      <w:r>
        <w:t xml:space="preserve"> </w:t>
      </w:r>
      <w:r w:rsidRPr="00555B07">
        <w:t>estimates.</w:t>
      </w:r>
      <w:r>
        <w:t xml:space="preserve"> </w:t>
      </w:r>
      <w:r w:rsidRPr="003C6589">
        <w:t>All relevant judgements are included in the applicable notes.</w:t>
      </w:r>
    </w:p>
    <w:p w14:paraId="1E2F22A2" w14:textId="77777777" w:rsidR="00CE75D4" w:rsidRPr="00555B07" w:rsidRDefault="00CE75D4" w:rsidP="008340C1">
      <w:pPr>
        <w:pStyle w:val="ARfinbody"/>
      </w:pPr>
      <w:r w:rsidRPr="00555B07">
        <w:t>Revisions</w:t>
      </w:r>
      <w:r>
        <w:t xml:space="preserve"> </w:t>
      </w:r>
      <w:r w:rsidRPr="00555B07">
        <w:t>to</w:t>
      </w:r>
      <w:r>
        <w:t xml:space="preserve"> </w:t>
      </w:r>
      <w:r w:rsidRPr="00555B07">
        <w:t>accounting</w:t>
      </w:r>
      <w:r>
        <w:t xml:space="preserve"> </w:t>
      </w:r>
      <w:r w:rsidRPr="00555B07">
        <w:t>estimates</w:t>
      </w:r>
      <w:r>
        <w:t xml:space="preserve"> </w:t>
      </w:r>
      <w:r w:rsidRPr="00555B07">
        <w:t>are</w:t>
      </w:r>
      <w:r>
        <w:t xml:space="preserve"> </w:t>
      </w:r>
      <w:r w:rsidRPr="00555B07">
        <w:t>recognised</w:t>
      </w:r>
      <w:r>
        <w:t xml:space="preserve"> </w:t>
      </w:r>
      <w:r w:rsidRPr="00555B07">
        <w:t>in</w:t>
      </w:r>
      <w:r>
        <w:t xml:space="preserve"> </w:t>
      </w:r>
      <w:r w:rsidRPr="00555B07">
        <w:t>the</w:t>
      </w:r>
      <w:r>
        <w:t xml:space="preserve"> </w:t>
      </w:r>
      <w:r w:rsidRPr="00555B07">
        <w:t>period</w:t>
      </w:r>
      <w:r>
        <w:t xml:space="preserve"> </w:t>
      </w:r>
      <w:r w:rsidRPr="00555B07">
        <w:t>in</w:t>
      </w:r>
      <w:r>
        <w:t xml:space="preserve"> </w:t>
      </w:r>
      <w:r w:rsidRPr="00555B07">
        <w:t>which</w:t>
      </w:r>
      <w:r>
        <w:t xml:space="preserve"> </w:t>
      </w:r>
      <w:r w:rsidRPr="00555B07">
        <w:t>the</w:t>
      </w:r>
      <w:r>
        <w:t xml:space="preserve"> </w:t>
      </w:r>
      <w:r w:rsidRPr="00555B07">
        <w:t>estimate</w:t>
      </w:r>
      <w:r>
        <w:t xml:space="preserve"> </w:t>
      </w:r>
      <w:r w:rsidRPr="00555B07">
        <w:t>is</w:t>
      </w:r>
      <w:r>
        <w:t xml:space="preserve"> </w:t>
      </w:r>
      <w:r w:rsidRPr="00555B07">
        <w:t>revised</w:t>
      </w:r>
      <w:r>
        <w:t xml:space="preserve"> </w:t>
      </w:r>
      <w:r w:rsidRPr="00555B07">
        <w:t>and</w:t>
      </w:r>
      <w:r>
        <w:t xml:space="preserve"> </w:t>
      </w:r>
      <w:r w:rsidRPr="00555B07">
        <w:t>also</w:t>
      </w:r>
      <w:r>
        <w:t xml:space="preserve"> </w:t>
      </w:r>
      <w:r w:rsidRPr="00555B07">
        <w:t>in</w:t>
      </w:r>
      <w:r>
        <w:t xml:space="preserve"> </w:t>
      </w:r>
      <w:r w:rsidRPr="00555B07">
        <w:t>future</w:t>
      </w:r>
      <w:r>
        <w:t xml:space="preserve"> </w:t>
      </w:r>
      <w:r w:rsidRPr="00555B07">
        <w:t>periods</w:t>
      </w:r>
      <w:r>
        <w:t xml:space="preserve"> </w:t>
      </w:r>
      <w:r w:rsidRPr="00555B07">
        <w:t>that</w:t>
      </w:r>
      <w:r>
        <w:t xml:space="preserve"> </w:t>
      </w:r>
      <w:r w:rsidRPr="00555B07">
        <w:t>are</w:t>
      </w:r>
      <w:r>
        <w:t xml:space="preserve"> </w:t>
      </w:r>
      <w:r w:rsidRPr="00555B07">
        <w:t>affected</w:t>
      </w:r>
      <w:r>
        <w:t xml:space="preserve"> </w:t>
      </w:r>
      <w:r w:rsidRPr="00555B07">
        <w:t>by</w:t>
      </w:r>
      <w:r>
        <w:t xml:space="preserve"> </w:t>
      </w:r>
      <w:r w:rsidRPr="00555B07">
        <w:t>the</w:t>
      </w:r>
      <w:r>
        <w:t xml:space="preserve"> </w:t>
      </w:r>
      <w:r w:rsidRPr="00555B07">
        <w:t>revision.</w:t>
      </w:r>
      <w:r>
        <w:t xml:space="preserve"> </w:t>
      </w:r>
      <w:r w:rsidRPr="00555B07">
        <w:t>Judgements</w:t>
      </w:r>
      <w:r>
        <w:t xml:space="preserve"> </w:t>
      </w:r>
      <w:r w:rsidRPr="00555B07">
        <w:t>and</w:t>
      </w:r>
      <w:r>
        <w:t xml:space="preserve"> </w:t>
      </w:r>
      <w:r w:rsidRPr="00555B07">
        <w:t>assumptions</w:t>
      </w:r>
      <w:r>
        <w:t xml:space="preserve"> </w:t>
      </w:r>
      <w:r w:rsidRPr="00555B07">
        <w:t>made</w:t>
      </w:r>
      <w:r>
        <w:t xml:space="preserve"> </w:t>
      </w:r>
      <w:r w:rsidRPr="00555B07">
        <w:t>by</w:t>
      </w:r>
      <w:r>
        <w:t xml:space="preserve"> </w:t>
      </w:r>
      <w:r w:rsidRPr="00555B07">
        <w:t>management</w:t>
      </w:r>
      <w:r>
        <w:t xml:space="preserve"> </w:t>
      </w:r>
      <w:r w:rsidRPr="00555B07">
        <w:t>in</w:t>
      </w:r>
      <w:r>
        <w:t xml:space="preserve"> </w:t>
      </w:r>
      <w:r w:rsidRPr="00555B07">
        <w:t>applying</w:t>
      </w:r>
      <w:r>
        <w:t xml:space="preserve"> </w:t>
      </w:r>
      <w:r w:rsidRPr="00A6132E">
        <w:t>Australian</w:t>
      </w:r>
      <w:r>
        <w:t xml:space="preserve"> </w:t>
      </w:r>
      <w:r w:rsidRPr="00A6132E">
        <w:t>Accounting</w:t>
      </w:r>
      <w:r>
        <w:t xml:space="preserve"> </w:t>
      </w:r>
      <w:r w:rsidRPr="00A6132E">
        <w:t>Standards</w:t>
      </w:r>
      <w:r>
        <w:t xml:space="preserve"> </w:t>
      </w:r>
      <w:r w:rsidRPr="00A6132E">
        <w:t>(AAS)</w:t>
      </w:r>
      <w:r>
        <w:t xml:space="preserve"> </w:t>
      </w:r>
      <w:r w:rsidRPr="00A6132E">
        <w:t>that</w:t>
      </w:r>
      <w:r>
        <w:t xml:space="preserve"> </w:t>
      </w:r>
      <w:r w:rsidRPr="00A6132E">
        <w:t>have</w:t>
      </w:r>
      <w:r>
        <w:t xml:space="preserve"> </w:t>
      </w:r>
      <w:r w:rsidRPr="00A6132E">
        <w:t>significant</w:t>
      </w:r>
      <w:r>
        <w:t xml:space="preserve"> </w:t>
      </w:r>
      <w:r w:rsidRPr="00A6132E">
        <w:t>effect</w:t>
      </w:r>
      <w:r>
        <w:t xml:space="preserve"> </w:t>
      </w:r>
      <w:r w:rsidRPr="00A6132E">
        <w:t>on</w:t>
      </w:r>
      <w:r>
        <w:t xml:space="preserve"> </w:t>
      </w:r>
      <w:r w:rsidRPr="00A6132E">
        <w:t>the</w:t>
      </w:r>
      <w:r>
        <w:t xml:space="preserve"> </w:t>
      </w:r>
      <w:r w:rsidRPr="00A6132E">
        <w:t>financial</w:t>
      </w:r>
      <w:r>
        <w:t xml:space="preserve"> </w:t>
      </w:r>
      <w:r w:rsidRPr="00A6132E">
        <w:t>statements</w:t>
      </w:r>
      <w:r>
        <w:t xml:space="preserve"> </w:t>
      </w:r>
      <w:r w:rsidRPr="00A6132E">
        <w:t>and</w:t>
      </w:r>
      <w:r>
        <w:t xml:space="preserve"> </w:t>
      </w:r>
      <w:r w:rsidRPr="00A6132E">
        <w:t>estimates</w:t>
      </w:r>
      <w:r>
        <w:t xml:space="preserve"> </w:t>
      </w:r>
      <w:r w:rsidRPr="00A6132E">
        <w:t>are</w:t>
      </w:r>
      <w:r>
        <w:t xml:space="preserve"> </w:t>
      </w:r>
      <w:r w:rsidRPr="00A6132E">
        <w:t>disclosed</w:t>
      </w:r>
      <w:r>
        <w:t xml:space="preserve"> </w:t>
      </w:r>
      <w:r w:rsidRPr="00A6132E">
        <w:t>in</w:t>
      </w:r>
      <w:r>
        <w:t xml:space="preserve"> </w:t>
      </w:r>
      <w:r w:rsidRPr="00A6132E">
        <w:t>the</w:t>
      </w:r>
      <w:r>
        <w:t xml:space="preserve"> </w:t>
      </w:r>
      <w:r w:rsidRPr="00A6132E">
        <w:t>notes</w:t>
      </w:r>
      <w:r>
        <w:t xml:space="preserve"> </w:t>
      </w:r>
      <w:r w:rsidRPr="00A6132E">
        <w:t>under</w:t>
      </w:r>
      <w:r>
        <w:t xml:space="preserve"> </w:t>
      </w:r>
      <w:r w:rsidRPr="00A6132E">
        <w:t>the</w:t>
      </w:r>
      <w:r>
        <w:t xml:space="preserve"> </w:t>
      </w:r>
      <w:r w:rsidRPr="00A6132E">
        <w:t>heading</w:t>
      </w:r>
      <w:r>
        <w:t xml:space="preserve"> </w:t>
      </w:r>
      <w:r w:rsidRPr="00A6132E">
        <w:t>‘Significant</w:t>
      </w:r>
      <w:r>
        <w:t xml:space="preserve"> </w:t>
      </w:r>
      <w:r w:rsidRPr="00A6132E">
        <w:t>judgement’.</w:t>
      </w:r>
    </w:p>
    <w:p w14:paraId="11505A53" w14:textId="77777777" w:rsidR="00CE75D4" w:rsidRPr="00555B07" w:rsidRDefault="00CE75D4" w:rsidP="008340C1">
      <w:pPr>
        <w:pStyle w:val="ARfinbody"/>
      </w:pPr>
      <w:r w:rsidRPr="00555B07">
        <w:t>The</w:t>
      </w:r>
      <w:r>
        <w:t xml:space="preserve"> </w:t>
      </w:r>
      <w:r w:rsidRPr="00555B07">
        <w:t>financial</w:t>
      </w:r>
      <w:r>
        <w:t xml:space="preserve"> </w:t>
      </w:r>
      <w:r w:rsidRPr="00555B07">
        <w:t>statements</w:t>
      </w:r>
      <w:r>
        <w:t xml:space="preserve"> </w:t>
      </w:r>
      <w:r w:rsidRPr="00555B07">
        <w:t>have</w:t>
      </w:r>
      <w:r>
        <w:t xml:space="preserve"> </w:t>
      </w:r>
      <w:r w:rsidRPr="00555B07">
        <w:t>been</w:t>
      </w:r>
      <w:r>
        <w:t xml:space="preserve"> </w:t>
      </w:r>
      <w:r w:rsidRPr="00555B07">
        <w:t>prepared</w:t>
      </w:r>
      <w:r>
        <w:t xml:space="preserve"> </w:t>
      </w:r>
      <w:r w:rsidRPr="00555B07">
        <w:t>on</w:t>
      </w:r>
      <w:r>
        <w:t xml:space="preserve"> </w:t>
      </w:r>
      <w:r w:rsidRPr="00555B07">
        <w:t>a</w:t>
      </w:r>
      <w:r>
        <w:t xml:space="preserve"> </w:t>
      </w:r>
      <w:r w:rsidRPr="00555B07">
        <w:t>going-concern</w:t>
      </w:r>
      <w:r>
        <w:t xml:space="preserve"> </w:t>
      </w:r>
      <w:r w:rsidRPr="00555B07">
        <w:t>basis.</w:t>
      </w:r>
    </w:p>
    <w:p w14:paraId="52A5E1D7" w14:textId="77777777" w:rsidR="00CE75D4" w:rsidRPr="00555B07" w:rsidRDefault="00CE75D4" w:rsidP="008340C1">
      <w:pPr>
        <w:pStyle w:val="ARfinbody"/>
      </w:pPr>
      <w:r w:rsidRPr="00555B07">
        <w:t>All</w:t>
      </w:r>
      <w:r>
        <w:t xml:space="preserve"> </w:t>
      </w:r>
      <w:r w:rsidRPr="00555B07">
        <w:t>amounts</w:t>
      </w:r>
      <w:r>
        <w:t xml:space="preserve"> </w:t>
      </w:r>
      <w:r w:rsidRPr="00555B07">
        <w:t>in</w:t>
      </w:r>
      <w:r>
        <w:t xml:space="preserve"> </w:t>
      </w:r>
      <w:r w:rsidRPr="00555B07">
        <w:t>the</w:t>
      </w:r>
      <w:r>
        <w:t xml:space="preserve"> </w:t>
      </w:r>
      <w:r w:rsidRPr="00555B07">
        <w:t>financial</w:t>
      </w:r>
      <w:r>
        <w:t xml:space="preserve"> </w:t>
      </w:r>
      <w:r w:rsidRPr="00555B07">
        <w:t>statements</w:t>
      </w:r>
      <w:r>
        <w:t xml:space="preserve"> </w:t>
      </w:r>
      <w:r w:rsidRPr="00555B07">
        <w:t>have</w:t>
      </w:r>
      <w:r>
        <w:t xml:space="preserve"> </w:t>
      </w:r>
      <w:r w:rsidRPr="00555B07">
        <w:t>been</w:t>
      </w:r>
      <w:r>
        <w:t xml:space="preserve"> </w:t>
      </w:r>
      <w:r w:rsidRPr="00555B07">
        <w:t>rounded</w:t>
      </w:r>
      <w:r>
        <w:t xml:space="preserve"> </w:t>
      </w:r>
      <w:r w:rsidRPr="00555B07">
        <w:t>to</w:t>
      </w:r>
      <w:r>
        <w:t xml:space="preserve"> </w:t>
      </w:r>
      <w:r w:rsidRPr="00555B07">
        <w:t>the</w:t>
      </w:r>
      <w:r>
        <w:t xml:space="preserve"> </w:t>
      </w:r>
      <w:r w:rsidRPr="00555B07">
        <w:t>nearest</w:t>
      </w:r>
      <w:r>
        <w:t xml:space="preserve"> </w:t>
      </w:r>
      <w:r w:rsidRPr="00555B07">
        <w:t>$1,000,000</w:t>
      </w:r>
      <w:r>
        <w:t xml:space="preserve"> </w:t>
      </w:r>
      <w:r w:rsidRPr="00555B07">
        <w:t>unless</w:t>
      </w:r>
      <w:r>
        <w:t xml:space="preserve"> </w:t>
      </w:r>
      <w:r w:rsidRPr="00555B07">
        <w:t>otherwise</w:t>
      </w:r>
      <w:r>
        <w:t xml:space="preserve"> </w:t>
      </w:r>
      <w:r w:rsidRPr="00555B07">
        <w:t>stated.</w:t>
      </w:r>
    </w:p>
    <w:p w14:paraId="40D5DE15" w14:textId="77777777" w:rsidR="00CE75D4" w:rsidRPr="00555B07" w:rsidRDefault="00CE75D4" w:rsidP="008340C1">
      <w:pPr>
        <w:pStyle w:val="ARfinbody"/>
      </w:pPr>
      <w:r w:rsidRPr="00555B07">
        <w:t>Where</w:t>
      </w:r>
      <w:r>
        <w:t xml:space="preserve"> </w:t>
      </w:r>
      <w:r w:rsidRPr="00555B07">
        <w:t>applicable,</w:t>
      </w:r>
      <w:r>
        <w:t xml:space="preserve"> </w:t>
      </w:r>
      <w:r w:rsidRPr="00555B07">
        <w:t>the</w:t>
      </w:r>
      <w:r>
        <w:t xml:space="preserve"> </w:t>
      </w:r>
      <w:r w:rsidRPr="00555B07">
        <w:t>comparative</w:t>
      </w:r>
      <w:r>
        <w:t xml:space="preserve"> </w:t>
      </w:r>
      <w:r w:rsidRPr="00555B07">
        <w:t>figures</w:t>
      </w:r>
      <w:r>
        <w:t xml:space="preserve"> </w:t>
      </w:r>
      <w:r w:rsidRPr="00555B07">
        <w:t>have</w:t>
      </w:r>
      <w:r>
        <w:t xml:space="preserve"> </w:t>
      </w:r>
      <w:r w:rsidRPr="00555B07">
        <w:t>been</w:t>
      </w:r>
      <w:r>
        <w:t xml:space="preserve"> </w:t>
      </w:r>
      <w:r w:rsidRPr="00555B07">
        <w:t>restated</w:t>
      </w:r>
      <w:r>
        <w:t xml:space="preserve"> </w:t>
      </w:r>
      <w:r w:rsidRPr="00555B07">
        <w:t>to</w:t>
      </w:r>
      <w:r>
        <w:t xml:space="preserve"> </w:t>
      </w:r>
      <w:r w:rsidRPr="00555B07">
        <w:t>align</w:t>
      </w:r>
      <w:r>
        <w:t xml:space="preserve"> </w:t>
      </w:r>
      <w:r w:rsidRPr="00555B07">
        <w:t>with</w:t>
      </w:r>
      <w:r>
        <w:t xml:space="preserve"> </w:t>
      </w:r>
      <w:r w:rsidRPr="00555B07">
        <w:t>the</w:t>
      </w:r>
      <w:r>
        <w:t xml:space="preserve"> </w:t>
      </w:r>
      <w:r w:rsidRPr="00555B07">
        <w:t>presentation</w:t>
      </w:r>
      <w:r>
        <w:t xml:space="preserve"> </w:t>
      </w:r>
      <w:r w:rsidRPr="00555B07">
        <w:t>in</w:t>
      </w:r>
      <w:r>
        <w:t xml:space="preserve"> </w:t>
      </w:r>
      <w:r w:rsidRPr="00555B07">
        <w:t>the</w:t>
      </w:r>
      <w:r>
        <w:t xml:space="preserve"> </w:t>
      </w:r>
      <w:r w:rsidRPr="00555B07">
        <w:t>current</w:t>
      </w:r>
      <w:r>
        <w:t xml:space="preserve"> </w:t>
      </w:r>
      <w:r w:rsidRPr="00555B07">
        <w:t>year.</w:t>
      </w:r>
    </w:p>
    <w:p w14:paraId="67B59176" w14:textId="77777777" w:rsidR="00CE75D4" w:rsidRDefault="00CE75D4" w:rsidP="008340C1">
      <w:pPr>
        <w:pStyle w:val="Heading4"/>
        <w:rPr>
          <w:lang w:eastAsia="en-AU"/>
        </w:rPr>
      </w:pPr>
      <w:bookmarkStart w:id="512" w:name="_Ref112963105"/>
      <w:r>
        <w:rPr>
          <w:lang w:eastAsia="en-AU"/>
        </w:rPr>
        <w:t>Compliance information</w:t>
      </w:r>
      <w:bookmarkEnd w:id="512"/>
    </w:p>
    <w:p w14:paraId="3B9A40CC" w14:textId="35798906" w:rsidR="00CE75D4" w:rsidRPr="00555B07" w:rsidRDefault="00CE75D4" w:rsidP="008340C1">
      <w:pPr>
        <w:pStyle w:val="ARfinbody"/>
      </w:pPr>
      <w:r w:rsidRPr="00555B07">
        <w:t>These</w:t>
      </w:r>
      <w:r>
        <w:t xml:space="preserve"> </w:t>
      </w:r>
      <w:r w:rsidRPr="00555B07">
        <w:t>general</w:t>
      </w:r>
      <w:r>
        <w:t xml:space="preserve"> </w:t>
      </w:r>
      <w:r w:rsidRPr="00555B07">
        <w:t>purpose</w:t>
      </w:r>
      <w:r>
        <w:t xml:space="preserve"> </w:t>
      </w:r>
      <w:r w:rsidRPr="00555B07">
        <w:t>financial</w:t>
      </w:r>
      <w:r>
        <w:t xml:space="preserve"> </w:t>
      </w:r>
      <w:r w:rsidRPr="00555B07">
        <w:t>statements</w:t>
      </w:r>
      <w:r>
        <w:t xml:space="preserve"> </w:t>
      </w:r>
      <w:r w:rsidRPr="00555B07">
        <w:t>have</w:t>
      </w:r>
      <w:r>
        <w:t xml:space="preserve"> </w:t>
      </w:r>
      <w:r w:rsidRPr="00555B07">
        <w:t>been</w:t>
      </w:r>
      <w:r>
        <w:t xml:space="preserve"> </w:t>
      </w:r>
      <w:r w:rsidRPr="00555B07">
        <w:t>prepared</w:t>
      </w:r>
      <w:r>
        <w:t xml:space="preserve"> </w:t>
      </w:r>
      <w:r w:rsidRPr="00555B07">
        <w:t>in</w:t>
      </w:r>
      <w:r>
        <w:t xml:space="preserve"> </w:t>
      </w:r>
      <w:r w:rsidRPr="00555B07">
        <w:t>accordance</w:t>
      </w:r>
      <w:r>
        <w:t xml:space="preserve"> </w:t>
      </w:r>
      <w:r w:rsidRPr="00555B07">
        <w:t>with</w:t>
      </w:r>
      <w:r>
        <w:t xml:space="preserve"> </w:t>
      </w:r>
      <w:r w:rsidRPr="00555B07">
        <w:t>the</w:t>
      </w:r>
      <w:r>
        <w:t xml:space="preserve"> </w:t>
      </w:r>
      <w:r w:rsidRPr="00555B07">
        <w:t>FMA</w:t>
      </w:r>
      <w:r>
        <w:t xml:space="preserve"> </w:t>
      </w:r>
      <w:r w:rsidRPr="00555B07">
        <w:t>and</w:t>
      </w:r>
      <w:r>
        <w:t xml:space="preserve"> </w:t>
      </w:r>
      <w:r w:rsidRPr="00555B07">
        <w:t>applicable</w:t>
      </w:r>
      <w:r>
        <w:t xml:space="preserve"> </w:t>
      </w:r>
      <w:r w:rsidRPr="00555B07">
        <w:t>AASs</w:t>
      </w:r>
      <w:r>
        <w:t xml:space="preserve"> </w:t>
      </w:r>
      <w:r w:rsidRPr="00555B07">
        <w:t>which</w:t>
      </w:r>
      <w:r>
        <w:t xml:space="preserve"> </w:t>
      </w:r>
      <w:r w:rsidRPr="00555B07">
        <w:t>include</w:t>
      </w:r>
      <w:r>
        <w:t xml:space="preserve"> </w:t>
      </w:r>
      <w:r w:rsidRPr="00555B07">
        <w:t>Interpretations</w:t>
      </w:r>
      <w:r>
        <w:t xml:space="preserve"> </w:t>
      </w:r>
      <w:r w:rsidRPr="00555B07">
        <w:t>issued</w:t>
      </w:r>
      <w:r>
        <w:t xml:space="preserve"> </w:t>
      </w:r>
      <w:r w:rsidRPr="00555B07">
        <w:t>by</w:t>
      </w:r>
      <w:r>
        <w:t xml:space="preserve"> </w:t>
      </w:r>
      <w:r w:rsidRPr="00555B07">
        <w:t>the</w:t>
      </w:r>
      <w:r>
        <w:t xml:space="preserve"> </w:t>
      </w:r>
      <w:r w:rsidRPr="00555B07">
        <w:t>Australian</w:t>
      </w:r>
      <w:r>
        <w:t xml:space="preserve"> </w:t>
      </w:r>
      <w:r w:rsidRPr="00555B07">
        <w:t>Accounting</w:t>
      </w:r>
      <w:r>
        <w:t xml:space="preserve"> </w:t>
      </w:r>
      <w:r w:rsidRPr="00555B07">
        <w:t>Standards</w:t>
      </w:r>
      <w:r>
        <w:t xml:space="preserve"> </w:t>
      </w:r>
      <w:r w:rsidRPr="00555B07">
        <w:t>Board</w:t>
      </w:r>
      <w:r>
        <w:t xml:space="preserve"> </w:t>
      </w:r>
      <w:r w:rsidRPr="00555B07">
        <w:t>(AASB).</w:t>
      </w:r>
      <w:r>
        <w:t xml:space="preserve"> </w:t>
      </w:r>
      <w:r w:rsidRPr="00555B07">
        <w:t>In</w:t>
      </w:r>
      <w:r>
        <w:t xml:space="preserve"> </w:t>
      </w:r>
      <w:r w:rsidRPr="00555B07">
        <w:t>particular,</w:t>
      </w:r>
      <w:r>
        <w:t xml:space="preserve"> </w:t>
      </w:r>
      <w:r w:rsidRPr="00555B07">
        <w:t>they</w:t>
      </w:r>
      <w:r>
        <w:t xml:space="preserve"> </w:t>
      </w:r>
      <w:r w:rsidRPr="00555B07">
        <w:t>are</w:t>
      </w:r>
      <w:r>
        <w:t xml:space="preserve"> </w:t>
      </w:r>
      <w:r w:rsidRPr="00555B07">
        <w:t>presented</w:t>
      </w:r>
      <w:r>
        <w:t xml:space="preserve"> </w:t>
      </w:r>
      <w:r w:rsidRPr="00555B07">
        <w:t>in</w:t>
      </w:r>
      <w:r>
        <w:t xml:space="preserve"> </w:t>
      </w:r>
      <w:r w:rsidRPr="00555B07">
        <w:t>a</w:t>
      </w:r>
      <w:r>
        <w:t xml:space="preserve"> </w:t>
      </w:r>
      <w:r w:rsidRPr="00555B07">
        <w:t>manner</w:t>
      </w:r>
      <w:r>
        <w:t xml:space="preserve"> </w:t>
      </w:r>
      <w:r w:rsidRPr="00555B07">
        <w:t>consistent</w:t>
      </w:r>
      <w:r>
        <w:t xml:space="preserve"> </w:t>
      </w:r>
      <w:r w:rsidRPr="00555B07">
        <w:t>with</w:t>
      </w:r>
      <w:r>
        <w:t xml:space="preserve"> </w:t>
      </w:r>
      <w:r w:rsidRPr="00555B07">
        <w:t>the</w:t>
      </w:r>
      <w:r>
        <w:t xml:space="preserve"> </w:t>
      </w:r>
      <w:r w:rsidRPr="00555B07">
        <w:t>requirements</w:t>
      </w:r>
      <w:r>
        <w:t xml:space="preserve"> </w:t>
      </w:r>
      <w:r w:rsidRPr="00555B07">
        <w:t>of</w:t>
      </w:r>
      <w:r>
        <w:t xml:space="preserve"> </w:t>
      </w:r>
      <w:r w:rsidRPr="008B06C0">
        <w:t>AASB</w:t>
      </w:r>
      <w:r>
        <w:t xml:space="preserve"> </w:t>
      </w:r>
      <w:r w:rsidRPr="008B06C0">
        <w:t>1049</w:t>
      </w:r>
      <w:r>
        <w:t xml:space="preserve"> </w:t>
      </w:r>
      <w:r w:rsidRPr="3D493511">
        <w:rPr>
          <w:rStyle w:val="Emphasis"/>
        </w:rPr>
        <w:t>Whole of Government and General Government Sector Financial Reporting</w:t>
      </w:r>
      <w:r w:rsidRPr="008B06C0">
        <w:t>.</w:t>
      </w:r>
    </w:p>
    <w:p w14:paraId="27B49F4A" w14:textId="77777777" w:rsidR="00CE75D4" w:rsidRPr="00555B07" w:rsidRDefault="00CE75D4" w:rsidP="008340C1">
      <w:pPr>
        <w:pStyle w:val="ARfinbody"/>
      </w:pPr>
      <w:r w:rsidRPr="00555B07">
        <w:t>Where</w:t>
      </w:r>
      <w:r>
        <w:t xml:space="preserve"> </w:t>
      </w:r>
      <w:r w:rsidRPr="00555B07">
        <w:t>appropriate,</w:t>
      </w:r>
      <w:r>
        <w:t xml:space="preserve"> </w:t>
      </w:r>
      <w:r w:rsidRPr="00555B07">
        <w:t>those</w:t>
      </w:r>
      <w:r>
        <w:t xml:space="preserve"> </w:t>
      </w:r>
      <w:r w:rsidRPr="00555B07">
        <w:t>AAS</w:t>
      </w:r>
      <w:r>
        <w:t xml:space="preserve"> </w:t>
      </w:r>
      <w:r w:rsidRPr="00555B07">
        <w:t>paragraphs</w:t>
      </w:r>
      <w:r>
        <w:t xml:space="preserve"> </w:t>
      </w:r>
      <w:r w:rsidRPr="00555B07">
        <w:t>applicable</w:t>
      </w:r>
      <w:r>
        <w:t xml:space="preserve"> </w:t>
      </w:r>
      <w:r w:rsidRPr="00555B07">
        <w:t>to</w:t>
      </w:r>
      <w:r>
        <w:t xml:space="preserve"> </w:t>
      </w:r>
      <w:r w:rsidRPr="00555B07">
        <w:t>not-for-profit</w:t>
      </w:r>
      <w:r>
        <w:t xml:space="preserve"> </w:t>
      </w:r>
      <w:r w:rsidRPr="00555B07">
        <w:t>entities</w:t>
      </w:r>
      <w:r>
        <w:t xml:space="preserve"> </w:t>
      </w:r>
      <w:r w:rsidRPr="00555B07">
        <w:t>have</w:t>
      </w:r>
      <w:r>
        <w:t xml:space="preserve"> </w:t>
      </w:r>
      <w:r w:rsidRPr="00555B07">
        <w:t>been</w:t>
      </w:r>
      <w:r>
        <w:t xml:space="preserve"> </w:t>
      </w:r>
      <w:r w:rsidRPr="00555B07">
        <w:t>applied.</w:t>
      </w:r>
      <w:r>
        <w:t xml:space="preserve"> </w:t>
      </w:r>
      <w:r w:rsidRPr="00555B07">
        <w:t>Accounting</w:t>
      </w:r>
      <w:r>
        <w:t xml:space="preserve"> </w:t>
      </w:r>
      <w:r w:rsidRPr="00555B07">
        <w:t>policies</w:t>
      </w:r>
      <w:r>
        <w:t xml:space="preserve"> </w:t>
      </w:r>
      <w:r w:rsidRPr="00555B07">
        <w:t>selected</w:t>
      </w:r>
      <w:r>
        <w:t xml:space="preserve"> </w:t>
      </w:r>
      <w:r w:rsidRPr="00555B07">
        <w:t>and</w:t>
      </w:r>
      <w:r>
        <w:t xml:space="preserve"> </w:t>
      </w:r>
      <w:r w:rsidRPr="00555B07">
        <w:t>applied</w:t>
      </w:r>
      <w:r>
        <w:t xml:space="preserve"> </w:t>
      </w:r>
      <w:r w:rsidRPr="00555B07">
        <w:t>in</w:t>
      </w:r>
      <w:r>
        <w:t xml:space="preserve"> </w:t>
      </w:r>
      <w:r w:rsidRPr="00555B07">
        <w:t>these</w:t>
      </w:r>
      <w:r>
        <w:t xml:space="preserve"> </w:t>
      </w:r>
      <w:r w:rsidRPr="00555B07">
        <w:t>financial</w:t>
      </w:r>
      <w:r>
        <w:t xml:space="preserve"> </w:t>
      </w:r>
      <w:r w:rsidRPr="00555B07">
        <w:t>statements</w:t>
      </w:r>
      <w:r>
        <w:t xml:space="preserve"> </w:t>
      </w:r>
      <w:r w:rsidRPr="00555B07">
        <w:t>ensure</w:t>
      </w:r>
      <w:r>
        <w:t xml:space="preserve"> </w:t>
      </w:r>
      <w:r w:rsidRPr="00555B07">
        <w:t>that</w:t>
      </w:r>
      <w:r>
        <w:t xml:space="preserve"> </w:t>
      </w:r>
      <w:r w:rsidRPr="00555B07">
        <w:t>the</w:t>
      </w:r>
      <w:r>
        <w:t xml:space="preserve"> </w:t>
      </w:r>
      <w:r w:rsidRPr="00555B07">
        <w:t>resulting</w:t>
      </w:r>
      <w:r>
        <w:t xml:space="preserve"> </w:t>
      </w:r>
      <w:r w:rsidRPr="00555B07">
        <w:t>financial</w:t>
      </w:r>
      <w:r>
        <w:t xml:space="preserve"> </w:t>
      </w:r>
      <w:r w:rsidRPr="00555B07">
        <w:t>information</w:t>
      </w:r>
      <w:r>
        <w:t xml:space="preserve"> </w:t>
      </w:r>
      <w:r w:rsidRPr="00555B07">
        <w:t>satisfies</w:t>
      </w:r>
      <w:r>
        <w:t xml:space="preserve"> </w:t>
      </w:r>
      <w:r w:rsidRPr="00555B07">
        <w:t>the</w:t>
      </w:r>
      <w:r>
        <w:t xml:space="preserve"> </w:t>
      </w:r>
      <w:r w:rsidRPr="00555B07">
        <w:t>concepts</w:t>
      </w:r>
      <w:r>
        <w:t xml:space="preserve"> </w:t>
      </w:r>
      <w:r w:rsidRPr="00555B07">
        <w:t>of</w:t>
      </w:r>
      <w:r>
        <w:t xml:space="preserve"> </w:t>
      </w:r>
      <w:r w:rsidRPr="00555B07">
        <w:t>relevance</w:t>
      </w:r>
      <w:r>
        <w:t xml:space="preserve"> </w:t>
      </w:r>
      <w:r w:rsidRPr="00555B07">
        <w:t>and</w:t>
      </w:r>
      <w:r>
        <w:t xml:space="preserve"> </w:t>
      </w:r>
      <w:r w:rsidRPr="00555B07">
        <w:t>reliability,</w:t>
      </w:r>
      <w:r>
        <w:t xml:space="preserve"> </w:t>
      </w:r>
      <w:r w:rsidRPr="00555B07">
        <w:t>thereby</w:t>
      </w:r>
      <w:r>
        <w:t xml:space="preserve"> </w:t>
      </w:r>
      <w:r w:rsidRPr="00555B07">
        <w:t>ensuring</w:t>
      </w:r>
      <w:r>
        <w:t xml:space="preserve"> </w:t>
      </w:r>
      <w:r w:rsidRPr="00555B07">
        <w:t>that</w:t>
      </w:r>
      <w:r>
        <w:t xml:space="preserve"> </w:t>
      </w:r>
      <w:r w:rsidRPr="00555B07">
        <w:t>the</w:t>
      </w:r>
      <w:r>
        <w:t xml:space="preserve"> </w:t>
      </w:r>
      <w:r w:rsidRPr="00555B07">
        <w:t>substance</w:t>
      </w:r>
      <w:r>
        <w:t xml:space="preserve"> </w:t>
      </w:r>
      <w:r w:rsidRPr="00555B07">
        <w:t>of</w:t>
      </w:r>
      <w:r>
        <w:t xml:space="preserve"> </w:t>
      </w:r>
      <w:r w:rsidRPr="00555B07">
        <w:t>the</w:t>
      </w:r>
      <w:r>
        <w:t xml:space="preserve"> </w:t>
      </w:r>
      <w:r w:rsidRPr="00555B07">
        <w:t>underlying</w:t>
      </w:r>
      <w:r>
        <w:t xml:space="preserve"> </w:t>
      </w:r>
      <w:r w:rsidRPr="00555B07">
        <w:t>transactions</w:t>
      </w:r>
      <w:r>
        <w:t xml:space="preserve"> </w:t>
      </w:r>
      <w:r w:rsidRPr="00555B07">
        <w:t>or</w:t>
      </w:r>
      <w:r>
        <w:t xml:space="preserve"> </w:t>
      </w:r>
      <w:r w:rsidRPr="00555B07">
        <w:t>other</w:t>
      </w:r>
      <w:r>
        <w:t xml:space="preserve"> </w:t>
      </w:r>
      <w:r w:rsidRPr="00555B07">
        <w:t>events</w:t>
      </w:r>
      <w:r>
        <w:t xml:space="preserve"> </w:t>
      </w:r>
      <w:r w:rsidRPr="00555B07">
        <w:t>is</w:t>
      </w:r>
      <w:r>
        <w:t xml:space="preserve"> </w:t>
      </w:r>
      <w:r w:rsidRPr="00555B07">
        <w:t>reported.</w:t>
      </w:r>
    </w:p>
    <w:p w14:paraId="574F90CE" w14:textId="448400D3" w:rsidR="00CE75D4" w:rsidRPr="00555B07" w:rsidRDefault="00CE75D4" w:rsidP="008340C1">
      <w:pPr>
        <w:pStyle w:val="ARfinbody"/>
      </w:pPr>
      <w:r w:rsidRPr="00555B07">
        <w:t>These</w:t>
      </w:r>
      <w:r>
        <w:t xml:space="preserve"> </w:t>
      </w:r>
      <w:r w:rsidRPr="00555B07">
        <w:t>annual</w:t>
      </w:r>
      <w:r>
        <w:t xml:space="preserve"> </w:t>
      </w:r>
      <w:r w:rsidRPr="00555B07">
        <w:t>financial</w:t>
      </w:r>
      <w:r>
        <w:t xml:space="preserve"> </w:t>
      </w:r>
      <w:r w:rsidRPr="00555B07">
        <w:t>statements</w:t>
      </w:r>
      <w:r>
        <w:t xml:space="preserve"> </w:t>
      </w:r>
      <w:r w:rsidRPr="00555B07">
        <w:t>were</w:t>
      </w:r>
      <w:r>
        <w:t xml:space="preserve"> </w:t>
      </w:r>
      <w:r w:rsidRPr="00555B07">
        <w:t>authorised</w:t>
      </w:r>
      <w:r>
        <w:t xml:space="preserve"> </w:t>
      </w:r>
      <w:r w:rsidRPr="00555B07">
        <w:t>for</w:t>
      </w:r>
      <w:r>
        <w:t xml:space="preserve"> </w:t>
      </w:r>
      <w:r w:rsidRPr="00555B07">
        <w:t>issue</w:t>
      </w:r>
      <w:r>
        <w:t xml:space="preserve"> </w:t>
      </w:r>
      <w:r w:rsidRPr="00555B07">
        <w:t>by</w:t>
      </w:r>
      <w:r>
        <w:t xml:space="preserve"> </w:t>
      </w:r>
      <w:r w:rsidRPr="00555B07">
        <w:t>the</w:t>
      </w:r>
      <w:r>
        <w:t xml:space="preserve"> </w:t>
      </w:r>
      <w:r w:rsidRPr="00555B07">
        <w:t>Secretary</w:t>
      </w:r>
      <w:r>
        <w:t xml:space="preserve"> </w:t>
      </w:r>
      <w:r w:rsidRPr="00555B07">
        <w:t>of</w:t>
      </w:r>
      <w:r>
        <w:t xml:space="preserve"> </w:t>
      </w:r>
      <w:r w:rsidRPr="00555B07">
        <w:t>the</w:t>
      </w:r>
      <w:r>
        <w:t xml:space="preserve"> </w:t>
      </w:r>
      <w:r w:rsidRPr="00555B07">
        <w:t>Department</w:t>
      </w:r>
      <w:r>
        <w:t xml:space="preserve"> </w:t>
      </w:r>
      <w:r w:rsidRPr="00555B07">
        <w:t>of</w:t>
      </w:r>
      <w:r>
        <w:t xml:space="preserve"> </w:t>
      </w:r>
      <w:r w:rsidRPr="00555B07">
        <w:t>Health</w:t>
      </w:r>
      <w:r>
        <w:t xml:space="preserve"> </w:t>
      </w:r>
      <w:r w:rsidRPr="00555B07">
        <w:t>on</w:t>
      </w:r>
      <w:r>
        <w:t xml:space="preserve"> 1</w:t>
      </w:r>
      <w:r w:rsidR="00941086">
        <w:t> </w:t>
      </w:r>
      <w:r>
        <w:rPr>
          <w:szCs w:val="20"/>
        </w:rPr>
        <w:t>September</w:t>
      </w:r>
      <w:r w:rsidRPr="00EC422E">
        <w:rPr>
          <w:szCs w:val="20"/>
        </w:rPr>
        <w:t xml:space="preserve"> </w:t>
      </w:r>
      <w:r w:rsidRPr="00555B07">
        <w:t>2022.</w:t>
      </w:r>
    </w:p>
    <w:p w14:paraId="22730E26" w14:textId="77777777" w:rsidR="00CE75D4" w:rsidRPr="0040433B" w:rsidRDefault="00CE75D4" w:rsidP="003566F1">
      <w:pPr>
        <w:pStyle w:val="ARfinbody"/>
        <w:rPr>
          <w:highlight w:val="yellow"/>
        </w:rPr>
      </w:pPr>
      <w:r w:rsidRPr="0040433B">
        <w:rPr>
          <w:highlight w:val="yellow"/>
        </w:rPr>
        <w:br w:type="page"/>
      </w:r>
    </w:p>
    <w:p w14:paraId="32F27D14" w14:textId="77777777" w:rsidR="00CE75D4" w:rsidRDefault="00CE75D4" w:rsidP="008340C1">
      <w:pPr>
        <w:pStyle w:val="Heading3"/>
      </w:pPr>
      <w:bookmarkStart w:id="513" w:name="_Toc113702960"/>
      <w:r>
        <w:t>2. Funding delivery of our services</w:t>
      </w:r>
      <w:bookmarkEnd w:id="513"/>
    </w:p>
    <w:p w14:paraId="1BB547BA" w14:textId="77777777" w:rsidR="00CE75D4" w:rsidRDefault="00CE75D4" w:rsidP="008340C1">
      <w:pPr>
        <w:pStyle w:val="Heading4"/>
        <w:spacing w:before="120" w:after="60"/>
        <w:rPr>
          <w:lang w:eastAsia="en-AU"/>
        </w:rPr>
      </w:pPr>
      <w:r>
        <w:rPr>
          <w:lang w:eastAsia="en-AU"/>
        </w:rPr>
        <w:t>Introduction</w:t>
      </w:r>
    </w:p>
    <w:p w14:paraId="148D6DC9" w14:textId="77777777" w:rsidR="00CE75D4" w:rsidRDefault="00CE75D4" w:rsidP="008340C1">
      <w:pPr>
        <w:pStyle w:val="ARfinbody"/>
      </w:pPr>
      <w:r>
        <w:t>The department’s overall objective is to develop and deliver policies, programs and services to help Victorians stay healthy and safe and to deliver a world-class healthcare system that leads to better health outcomes for all Victorians.</w:t>
      </w:r>
    </w:p>
    <w:p w14:paraId="10B968E0" w14:textId="77777777" w:rsidR="00CE75D4" w:rsidRDefault="00CE75D4" w:rsidP="008340C1">
      <w:pPr>
        <w:pStyle w:val="ARfinbody"/>
      </w:pPr>
      <w:r>
        <w:t>To enable the department to fulfil its objective and provide outputs as described in section 4 ‘Disaggregated financial information by output’, it receives income predominantly from the accrual-based parliamentary appropriations and also from the supply of services.</w:t>
      </w:r>
    </w:p>
    <w:p w14:paraId="33F91D56" w14:textId="77777777" w:rsidR="00CE75D4" w:rsidRDefault="00CE75D4" w:rsidP="008340C1">
      <w:pPr>
        <w:pStyle w:val="Heading4"/>
        <w:spacing w:before="160" w:after="60"/>
        <w:rPr>
          <w:lang w:eastAsia="en-AU"/>
        </w:rPr>
      </w:pPr>
      <w:r>
        <w:rPr>
          <w:lang w:eastAsia="en-AU"/>
        </w:rPr>
        <w:t>Structure</w:t>
      </w:r>
    </w:p>
    <w:p w14:paraId="76E73C6A" w14:textId="77777777" w:rsidR="00CE75D4" w:rsidRDefault="00CE75D4" w:rsidP="000D16A1">
      <w:pPr>
        <w:pStyle w:val="ARfinstructure1"/>
        <w:spacing w:after="30"/>
      </w:pPr>
      <w:r>
        <w:t>2.1</w:t>
      </w:r>
      <w:r>
        <w:tab/>
        <w:t>Summary of revenue and income that fund the delivery of our services</w:t>
      </w:r>
    </w:p>
    <w:p w14:paraId="200595FC" w14:textId="77777777" w:rsidR="00CE75D4" w:rsidRDefault="00CE75D4" w:rsidP="000D16A1">
      <w:pPr>
        <w:pStyle w:val="ARfinstructure1"/>
        <w:spacing w:after="30"/>
      </w:pPr>
      <w:r>
        <w:t>2.2</w:t>
      </w:r>
      <w:r>
        <w:tab/>
        <w:t>Appropriations</w:t>
      </w:r>
    </w:p>
    <w:p w14:paraId="1157B88B" w14:textId="77777777" w:rsidR="00CE75D4" w:rsidRDefault="00CE75D4" w:rsidP="000D16A1">
      <w:pPr>
        <w:pStyle w:val="ARfinstructure1"/>
        <w:spacing w:after="30"/>
      </w:pPr>
      <w:r>
        <w:t>2.3</w:t>
      </w:r>
      <w:r>
        <w:tab/>
        <w:t>Summary of compliance with annual parliamentary and special appropriations</w:t>
      </w:r>
    </w:p>
    <w:p w14:paraId="6D4F77B9" w14:textId="77777777" w:rsidR="00CE75D4" w:rsidRDefault="00CE75D4" w:rsidP="000D16A1">
      <w:pPr>
        <w:pStyle w:val="ARfinstructure1"/>
        <w:spacing w:after="30"/>
      </w:pPr>
      <w:r>
        <w:t>2.4</w:t>
      </w:r>
      <w:r>
        <w:tab/>
        <w:t>Revenue and income from transactions</w:t>
      </w:r>
    </w:p>
    <w:p w14:paraId="1CB0DC23" w14:textId="77777777" w:rsidR="00CE75D4" w:rsidRDefault="00CE75D4" w:rsidP="000D16A1">
      <w:pPr>
        <w:pStyle w:val="ARfinstructure2"/>
        <w:spacing w:after="30"/>
      </w:pPr>
      <w:r>
        <w:t>2.4.1</w:t>
      </w:r>
      <w:r>
        <w:tab/>
        <w:t>Interest income</w:t>
      </w:r>
    </w:p>
    <w:p w14:paraId="47F9DBCB" w14:textId="77777777" w:rsidR="00CE75D4" w:rsidRDefault="00CE75D4" w:rsidP="000D16A1">
      <w:pPr>
        <w:pStyle w:val="ARfinstructure2"/>
        <w:spacing w:after="30"/>
      </w:pPr>
      <w:r>
        <w:t>2.4.2</w:t>
      </w:r>
      <w:r>
        <w:tab/>
        <w:t>Rental income and income from services</w:t>
      </w:r>
    </w:p>
    <w:p w14:paraId="5771D39C" w14:textId="77777777" w:rsidR="00CE75D4" w:rsidRDefault="00CE75D4" w:rsidP="000D16A1">
      <w:pPr>
        <w:pStyle w:val="ARfinstructure2"/>
        <w:spacing w:after="30"/>
      </w:pPr>
      <w:r>
        <w:t>2.4.3</w:t>
      </w:r>
      <w:r>
        <w:tab/>
        <w:t>Grants</w:t>
      </w:r>
    </w:p>
    <w:p w14:paraId="44CFF1D8" w14:textId="77777777" w:rsidR="00CE75D4" w:rsidRDefault="00CE75D4" w:rsidP="000D16A1">
      <w:pPr>
        <w:pStyle w:val="ARfinstructure2"/>
        <w:spacing w:after="30"/>
      </w:pPr>
      <w:r>
        <w:t>2.4.4</w:t>
      </w:r>
      <w:r>
        <w:tab/>
        <w:t>Fair value of assets and services received free of charge or for nominal consideration</w:t>
      </w:r>
    </w:p>
    <w:p w14:paraId="787DD411" w14:textId="77777777" w:rsidR="00CE75D4" w:rsidRDefault="00CE75D4" w:rsidP="000D16A1">
      <w:pPr>
        <w:pStyle w:val="ARfinstructure2"/>
        <w:spacing w:after="30"/>
      </w:pPr>
      <w:r>
        <w:t>2.4.5</w:t>
      </w:r>
      <w:r>
        <w:tab/>
        <w:t>Other income</w:t>
      </w:r>
    </w:p>
    <w:p w14:paraId="0E3D7FE6" w14:textId="77777777" w:rsidR="00CE75D4" w:rsidRDefault="00CE75D4" w:rsidP="008340C1">
      <w:pPr>
        <w:pStyle w:val="ARfinstructure1"/>
        <w:rPr>
          <w:b/>
          <w:bCs/>
        </w:rPr>
      </w:pPr>
      <w:r>
        <w:t>2.5</w:t>
      </w:r>
      <w:r>
        <w:tab/>
        <w:t>Annotated income agreements</w:t>
      </w:r>
    </w:p>
    <w:p w14:paraId="6860476F" w14:textId="77777777" w:rsidR="00CE75D4" w:rsidRDefault="00CE75D4" w:rsidP="008340C1">
      <w:pPr>
        <w:pStyle w:val="Heading4"/>
        <w:spacing w:before="160" w:after="60"/>
        <w:rPr>
          <w:lang w:eastAsia="en-AU"/>
        </w:rPr>
      </w:pPr>
      <w:r>
        <w:rPr>
          <w:lang w:eastAsia="en-AU"/>
        </w:rPr>
        <w:t>Impact of COVID-19 on revenue and income</w:t>
      </w:r>
    </w:p>
    <w:p w14:paraId="50A165F5" w14:textId="77777777" w:rsidR="00CE75D4" w:rsidRDefault="00CE75D4" w:rsidP="008340C1">
      <w:pPr>
        <w:pStyle w:val="ARfinbody"/>
      </w:pPr>
      <w:r>
        <w:t xml:space="preserve">The department has received additional funding from the Victorian and Commonwealth Governments to meet </w:t>
      </w:r>
      <w:r>
        <w:br/>
        <w:t>COVID-19-related costs and to provide additional funding to the Victorian public health agencies (the health agencies) and other organisations to assist with their COVID-19 response.</w:t>
      </w:r>
    </w:p>
    <w:p w14:paraId="5AD152C7" w14:textId="77777777" w:rsidR="00CE75D4" w:rsidRDefault="00CE75D4" w:rsidP="008340C1">
      <w:pPr>
        <w:pStyle w:val="Heading4"/>
      </w:pPr>
      <w:r>
        <w:rPr>
          <w:lang w:eastAsia="en-AU"/>
        </w:rPr>
        <w:t>2.1</w:t>
      </w:r>
      <w:r>
        <w:t xml:space="preserve"> </w:t>
      </w:r>
      <w:r>
        <w:rPr>
          <w:lang w:eastAsia="en-AU"/>
        </w:rPr>
        <w:t>Summary of revenue and income that fund the delivery of our services</w:t>
      </w:r>
      <w:r>
        <w:t xml:space="preserve"> </w:t>
      </w:r>
      <w:r>
        <w:rPr>
          <w:rStyle w:val="Superscript"/>
        </w:rPr>
        <w:t>(i)</w:t>
      </w:r>
    </w:p>
    <w:tbl>
      <w:tblPr>
        <w:tblStyle w:val="TableGrid"/>
        <w:tblW w:w="9637" w:type="dxa"/>
        <w:tblLayout w:type="fixed"/>
        <w:tblLook w:val="06A0" w:firstRow="1" w:lastRow="0" w:firstColumn="1" w:lastColumn="0" w:noHBand="1" w:noVBand="1"/>
      </w:tblPr>
      <w:tblGrid>
        <w:gridCol w:w="6518"/>
        <w:gridCol w:w="851"/>
        <w:gridCol w:w="1134"/>
        <w:gridCol w:w="1134"/>
      </w:tblGrid>
      <w:tr w:rsidR="00CE75D4" w:rsidRPr="002029AF" w14:paraId="2842E4BF"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2B616FEA" w14:textId="77777777" w:rsidR="00CE75D4" w:rsidRPr="002029AF" w:rsidRDefault="00CE75D4" w:rsidP="000D16A1">
            <w:pPr>
              <w:pStyle w:val="ARfintablecolhead"/>
              <w:spacing w:before="24" w:after="16"/>
            </w:pPr>
          </w:p>
        </w:tc>
        <w:tc>
          <w:tcPr>
            <w:tcW w:w="851" w:type="dxa"/>
            <w:tcBorders>
              <w:bottom w:val="single" w:sz="4" w:space="0" w:color="auto"/>
            </w:tcBorders>
            <w:noWrap/>
            <w:hideMark/>
          </w:tcPr>
          <w:p w14:paraId="540F32C2" w14:textId="77777777" w:rsidR="00CE75D4" w:rsidRPr="002029AF" w:rsidRDefault="00CE75D4" w:rsidP="000D16A1">
            <w:pPr>
              <w:pStyle w:val="ARfintablecolheadright"/>
              <w:spacing w:before="24" w:after="16"/>
            </w:pPr>
            <w:r w:rsidRPr="002029AF">
              <w:t>Note</w:t>
            </w:r>
          </w:p>
        </w:tc>
        <w:tc>
          <w:tcPr>
            <w:tcW w:w="1134" w:type="dxa"/>
            <w:tcBorders>
              <w:bottom w:val="single" w:sz="4" w:space="0" w:color="auto"/>
            </w:tcBorders>
            <w:shd w:val="clear" w:color="auto" w:fill="E7E6E6"/>
            <w:hideMark/>
          </w:tcPr>
          <w:p w14:paraId="661B12A4" w14:textId="77777777" w:rsidR="00CE75D4" w:rsidRPr="002029AF" w:rsidRDefault="00CE75D4" w:rsidP="000D16A1">
            <w:pPr>
              <w:pStyle w:val="ARfintablecolheadright"/>
              <w:spacing w:before="24" w:after="16"/>
            </w:pPr>
            <w:r w:rsidRPr="002029AF">
              <w:t>202</w:t>
            </w:r>
            <w:r>
              <w:t>2</w:t>
            </w:r>
          </w:p>
          <w:p w14:paraId="37A7196F" w14:textId="77777777" w:rsidR="00CE75D4" w:rsidRPr="002029AF" w:rsidRDefault="00CE75D4" w:rsidP="000D16A1">
            <w:pPr>
              <w:pStyle w:val="ARfintablecolheadright"/>
              <w:spacing w:before="24" w:after="16"/>
            </w:pPr>
            <w:r w:rsidRPr="002029AF">
              <w:t>$M</w:t>
            </w:r>
          </w:p>
        </w:tc>
        <w:tc>
          <w:tcPr>
            <w:tcW w:w="1134" w:type="dxa"/>
            <w:tcBorders>
              <w:bottom w:val="single" w:sz="4" w:space="0" w:color="auto"/>
            </w:tcBorders>
            <w:hideMark/>
          </w:tcPr>
          <w:p w14:paraId="20879AD5" w14:textId="77777777" w:rsidR="00CE75D4" w:rsidRPr="002029AF" w:rsidRDefault="00CE75D4" w:rsidP="000D16A1">
            <w:pPr>
              <w:pStyle w:val="ARfintablecolheadright"/>
              <w:spacing w:before="24" w:after="16"/>
            </w:pPr>
            <w:r>
              <w:t>2021</w:t>
            </w:r>
          </w:p>
          <w:p w14:paraId="0D4B9940" w14:textId="77777777" w:rsidR="00CE75D4" w:rsidRPr="002029AF" w:rsidRDefault="00CE75D4" w:rsidP="000D16A1">
            <w:pPr>
              <w:pStyle w:val="ARfintablecolheadright"/>
              <w:spacing w:before="24" w:after="16"/>
            </w:pPr>
            <w:r w:rsidRPr="002029AF">
              <w:t>$M</w:t>
            </w:r>
          </w:p>
        </w:tc>
      </w:tr>
      <w:tr w:rsidR="00CE75D4" w:rsidRPr="002029AF" w14:paraId="7CC12EEE" w14:textId="77777777" w:rsidTr="008340C1">
        <w:tc>
          <w:tcPr>
            <w:tcW w:w="6518" w:type="dxa"/>
            <w:tcBorders>
              <w:top w:val="single" w:sz="4" w:space="0" w:color="auto"/>
              <w:bottom w:val="single" w:sz="4" w:space="0" w:color="A6A6A6"/>
            </w:tcBorders>
            <w:hideMark/>
          </w:tcPr>
          <w:p w14:paraId="294E4B94" w14:textId="77777777" w:rsidR="00CE75D4" w:rsidRPr="002029AF" w:rsidRDefault="00CE75D4" w:rsidP="000D16A1">
            <w:pPr>
              <w:pStyle w:val="ARfintablebody"/>
              <w:spacing w:before="24" w:after="16"/>
            </w:pPr>
            <w:r w:rsidRPr="00EA643E">
              <w:t>Output appropriations</w:t>
            </w:r>
            <w:r w:rsidRPr="00684380">
              <w:t xml:space="preserve"> </w:t>
            </w:r>
            <w:r w:rsidRPr="007919D5">
              <w:rPr>
                <w:rStyle w:val="Superscript"/>
              </w:rPr>
              <w:t>(i</w:t>
            </w:r>
            <w:r>
              <w:rPr>
                <w:rStyle w:val="Superscript"/>
              </w:rPr>
              <w:t>i</w:t>
            </w:r>
            <w:r w:rsidRPr="007919D5">
              <w:rPr>
                <w:rStyle w:val="Superscript"/>
              </w:rPr>
              <w:t>)</w:t>
            </w:r>
          </w:p>
        </w:tc>
        <w:tc>
          <w:tcPr>
            <w:tcW w:w="851" w:type="dxa"/>
            <w:tcBorders>
              <w:top w:val="single" w:sz="4" w:space="0" w:color="auto"/>
              <w:bottom w:val="single" w:sz="4" w:space="0" w:color="A6A6A6"/>
            </w:tcBorders>
            <w:noWrap/>
            <w:hideMark/>
          </w:tcPr>
          <w:p w14:paraId="3BB63E97" w14:textId="77777777" w:rsidR="00CE75D4" w:rsidRPr="002029AF" w:rsidRDefault="00CE75D4" w:rsidP="000D16A1">
            <w:pPr>
              <w:pStyle w:val="ARfintablebodyright"/>
              <w:spacing w:before="24" w:after="16"/>
            </w:pPr>
            <w:r w:rsidRPr="00EA643E">
              <w:t>2.2, 2.3</w:t>
            </w:r>
          </w:p>
        </w:tc>
        <w:tc>
          <w:tcPr>
            <w:tcW w:w="1134" w:type="dxa"/>
            <w:tcBorders>
              <w:top w:val="single" w:sz="4" w:space="0" w:color="auto"/>
              <w:bottom w:val="single" w:sz="4" w:space="0" w:color="A6A6A6"/>
            </w:tcBorders>
            <w:shd w:val="clear" w:color="auto" w:fill="E7E6E6"/>
            <w:noWrap/>
            <w:hideMark/>
          </w:tcPr>
          <w:p w14:paraId="598BE7D1" w14:textId="77777777" w:rsidR="00CE75D4" w:rsidRPr="002029AF" w:rsidRDefault="00CE75D4" w:rsidP="000D16A1">
            <w:pPr>
              <w:pStyle w:val="ARfintablebodyright"/>
              <w:spacing w:before="24" w:after="16"/>
            </w:pPr>
            <w:r w:rsidRPr="00EA643E">
              <w:t>15,9</w:t>
            </w:r>
            <w:r>
              <w:t>09.9</w:t>
            </w:r>
          </w:p>
        </w:tc>
        <w:tc>
          <w:tcPr>
            <w:tcW w:w="1134" w:type="dxa"/>
            <w:tcBorders>
              <w:top w:val="single" w:sz="4" w:space="0" w:color="auto"/>
              <w:bottom w:val="single" w:sz="4" w:space="0" w:color="A6A6A6"/>
            </w:tcBorders>
            <w:noWrap/>
            <w:hideMark/>
          </w:tcPr>
          <w:p w14:paraId="67492945" w14:textId="77777777" w:rsidR="00CE75D4" w:rsidRPr="002029AF" w:rsidRDefault="00CE75D4" w:rsidP="000D16A1">
            <w:pPr>
              <w:pStyle w:val="ARfintablebodyright"/>
              <w:spacing w:before="24" w:after="16"/>
            </w:pPr>
            <w:r w:rsidRPr="00EA643E">
              <w:t>21,551.4</w:t>
            </w:r>
          </w:p>
        </w:tc>
      </w:tr>
      <w:tr w:rsidR="00CE75D4" w:rsidRPr="002029AF" w14:paraId="694EE789" w14:textId="77777777" w:rsidTr="008340C1">
        <w:tc>
          <w:tcPr>
            <w:tcW w:w="6518" w:type="dxa"/>
            <w:tcBorders>
              <w:top w:val="single" w:sz="4" w:space="0" w:color="A6A6A6"/>
              <w:bottom w:val="single" w:sz="4" w:space="0" w:color="A6A6A6"/>
            </w:tcBorders>
            <w:hideMark/>
          </w:tcPr>
          <w:p w14:paraId="1A324BC3" w14:textId="77777777" w:rsidR="00CE75D4" w:rsidRPr="002029AF" w:rsidRDefault="00CE75D4" w:rsidP="000D16A1">
            <w:pPr>
              <w:pStyle w:val="ARfintablebody"/>
              <w:spacing w:before="24" w:after="16"/>
            </w:pPr>
            <w:r w:rsidRPr="00EA643E">
              <w:t>Special appropriations</w:t>
            </w:r>
          </w:p>
        </w:tc>
        <w:tc>
          <w:tcPr>
            <w:tcW w:w="851" w:type="dxa"/>
            <w:tcBorders>
              <w:top w:val="single" w:sz="4" w:space="0" w:color="A6A6A6"/>
              <w:bottom w:val="single" w:sz="4" w:space="0" w:color="A6A6A6"/>
            </w:tcBorders>
            <w:noWrap/>
            <w:hideMark/>
          </w:tcPr>
          <w:p w14:paraId="16912F84" w14:textId="77777777" w:rsidR="00CE75D4" w:rsidRPr="002029AF" w:rsidRDefault="00CE75D4" w:rsidP="000D16A1">
            <w:pPr>
              <w:pStyle w:val="ARfintablebodyright"/>
              <w:spacing w:before="24" w:after="16"/>
            </w:pPr>
            <w:r w:rsidRPr="00EA643E">
              <w:t>2.2, 2.3</w:t>
            </w:r>
          </w:p>
        </w:tc>
        <w:tc>
          <w:tcPr>
            <w:tcW w:w="1134" w:type="dxa"/>
            <w:tcBorders>
              <w:top w:val="single" w:sz="4" w:space="0" w:color="A6A6A6"/>
              <w:bottom w:val="single" w:sz="4" w:space="0" w:color="A6A6A6"/>
            </w:tcBorders>
            <w:shd w:val="clear" w:color="auto" w:fill="E7E6E6"/>
            <w:noWrap/>
            <w:hideMark/>
          </w:tcPr>
          <w:p w14:paraId="5AD88CDB" w14:textId="77777777" w:rsidR="00CE75D4" w:rsidRPr="002029AF" w:rsidRDefault="00CE75D4" w:rsidP="000D16A1">
            <w:pPr>
              <w:pStyle w:val="ARfintablebodyright"/>
              <w:spacing w:before="24" w:after="16"/>
            </w:pPr>
            <w:r w:rsidRPr="00EA643E">
              <w:t>1,8</w:t>
            </w:r>
            <w:r>
              <w:t>88.9</w:t>
            </w:r>
          </w:p>
        </w:tc>
        <w:tc>
          <w:tcPr>
            <w:tcW w:w="1134" w:type="dxa"/>
            <w:tcBorders>
              <w:top w:val="single" w:sz="4" w:space="0" w:color="A6A6A6"/>
              <w:bottom w:val="single" w:sz="4" w:space="0" w:color="A6A6A6"/>
            </w:tcBorders>
            <w:noWrap/>
            <w:hideMark/>
          </w:tcPr>
          <w:p w14:paraId="40A08659" w14:textId="77777777" w:rsidR="00CE75D4" w:rsidRPr="002029AF" w:rsidRDefault="00CE75D4" w:rsidP="000D16A1">
            <w:pPr>
              <w:pStyle w:val="ARfintablebodyright"/>
              <w:spacing w:before="24" w:after="16"/>
            </w:pPr>
            <w:r w:rsidRPr="00EA643E">
              <w:t>1,098.9</w:t>
            </w:r>
          </w:p>
        </w:tc>
      </w:tr>
      <w:tr w:rsidR="00CE75D4" w:rsidRPr="002029AF" w14:paraId="4E5E9F0B" w14:textId="77777777" w:rsidTr="008340C1">
        <w:tc>
          <w:tcPr>
            <w:tcW w:w="6518" w:type="dxa"/>
            <w:tcBorders>
              <w:top w:val="single" w:sz="4" w:space="0" w:color="A6A6A6"/>
              <w:bottom w:val="single" w:sz="4" w:space="0" w:color="A6A6A6"/>
            </w:tcBorders>
            <w:hideMark/>
          </w:tcPr>
          <w:p w14:paraId="13155F7E" w14:textId="77777777" w:rsidR="00CE75D4" w:rsidRPr="002029AF" w:rsidRDefault="00CE75D4" w:rsidP="000D16A1">
            <w:pPr>
              <w:pStyle w:val="ARfintablebody"/>
              <w:spacing w:before="24" w:after="16"/>
            </w:pPr>
            <w:r w:rsidRPr="00EA643E">
              <w:t>Interest income</w:t>
            </w:r>
            <w:r w:rsidRPr="00684380">
              <w:t xml:space="preserve"> </w:t>
            </w:r>
            <w:r w:rsidRPr="007919D5">
              <w:rPr>
                <w:rStyle w:val="Superscript"/>
              </w:rPr>
              <w:t>(ii</w:t>
            </w:r>
            <w:r>
              <w:rPr>
                <w:rStyle w:val="Superscript"/>
              </w:rPr>
              <w:t>i</w:t>
            </w:r>
            <w:r w:rsidRPr="007919D5">
              <w:rPr>
                <w:rStyle w:val="Superscript"/>
              </w:rPr>
              <w:t>)</w:t>
            </w:r>
          </w:p>
        </w:tc>
        <w:tc>
          <w:tcPr>
            <w:tcW w:w="851" w:type="dxa"/>
            <w:tcBorders>
              <w:top w:val="single" w:sz="4" w:space="0" w:color="A6A6A6"/>
              <w:bottom w:val="single" w:sz="4" w:space="0" w:color="A6A6A6"/>
            </w:tcBorders>
            <w:noWrap/>
            <w:hideMark/>
          </w:tcPr>
          <w:p w14:paraId="35FD2DC1" w14:textId="77777777" w:rsidR="00CE75D4" w:rsidRPr="002029AF" w:rsidRDefault="00CE75D4" w:rsidP="000D16A1">
            <w:pPr>
              <w:pStyle w:val="ARfintablebodyright"/>
              <w:spacing w:before="24" w:after="16"/>
            </w:pPr>
            <w:r w:rsidRPr="00EA643E">
              <w:t>2.4.1</w:t>
            </w:r>
          </w:p>
        </w:tc>
        <w:tc>
          <w:tcPr>
            <w:tcW w:w="1134" w:type="dxa"/>
            <w:tcBorders>
              <w:top w:val="single" w:sz="4" w:space="0" w:color="A6A6A6"/>
              <w:bottom w:val="single" w:sz="4" w:space="0" w:color="A6A6A6"/>
            </w:tcBorders>
            <w:shd w:val="clear" w:color="auto" w:fill="E7E6E6"/>
            <w:noWrap/>
            <w:hideMark/>
          </w:tcPr>
          <w:p w14:paraId="4CD11BCE" w14:textId="77777777" w:rsidR="00CE75D4" w:rsidRPr="002029AF" w:rsidRDefault="00CE75D4" w:rsidP="000D16A1">
            <w:pPr>
              <w:pStyle w:val="ARfintablebodyright"/>
              <w:spacing w:before="24" w:after="16"/>
            </w:pPr>
            <w:r>
              <w:t>–</w:t>
            </w:r>
          </w:p>
        </w:tc>
        <w:tc>
          <w:tcPr>
            <w:tcW w:w="1134" w:type="dxa"/>
            <w:tcBorders>
              <w:top w:val="single" w:sz="4" w:space="0" w:color="A6A6A6"/>
              <w:bottom w:val="single" w:sz="4" w:space="0" w:color="A6A6A6"/>
            </w:tcBorders>
            <w:noWrap/>
            <w:hideMark/>
          </w:tcPr>
          <w:p w14:paraId="0D248DBF" w14:textId="77777777" w:rsidR="00CE75D4" w:rsidRPr="002029AF" w:rsidRDefault="00CE75D4" w:rsidP="000D16A1">
            <w:pPr>
              <w:pStyle w:val="ARfintablebodyright"/>
              <w:spacing w:before="24" w:after="16"/>
            </w:pPr>
            <w:r w:rsidRPr="00EA643E">
              <w:t>2.5</w:t>
            </w:r>
          </w:p>
        </w:tc>
      </w:tr>
      <w:tr w:rsidR="00CE75D4" w:rsidRPr="002029AF" w14:paraId="6D12A4A6" w14:textId="77777777" w:rsidTr="008340C1">
        <w:tc>
          <w:tcPr>
            <w:tcW w:w="6518" w:type="dxa"/>
            <w:tcBorders>
              <w:top w:val="single" w:sz="4" w:space="0" w:color="A6A6A6"/>
              <w:bottom w:val="single" w:sz="4" w:space="0" w:color="A6A6A6"/>
            </w:tcBorders>
            <w:hideMark/>
          </w:tcPr>
          <w:p w14:paraId="1F084DDA" w14:textId="77777777" w:rsidR="00CE75D4" w:rsidRPr="002029AF" w:rsidRDefault="00CE75D4" w:rsidP="000D16A1">
            <w:pPr>
              <w:pStyle w:val="ARfintablebody"/>
              <w:spacing w:before="24" w:after="16"/>
            </w:pPr>
            <w:r w:rsidRPr="00EA643E">
              <w:t xml:space="preserve">Rental income and income from services </w:t>
            </w:r>
            <w:r w:rsidRPr="007919D5">
              <w:rPr>
                <w:rStyle w:val="Superscript"/>
              </w:rPr>
              <w:t>(i</w:t>
            </w:r>
            <w:r>
              <w:rPr>
                <w:rStyle w:val="Superscript"/>
              </w:rPr>
              <w:t>i</w:t>
            </w:r>
            <w:r w:rsidRPr="007919D5">
              <w:rPr>
                <w:rStyle w:val="Superscript"/>
              </w:rPr>
              <w:t>i)</w:t>
            </w:r>
          </w:p>
        </w:tc>
        <w:tc>
          <w:tcPr>
            <w:tcW w:w="851" w:type="dxa"/>
            <w:tcBorders>
              <w:top w:val="single" w:sz="4" w:space="0" w:color="A6A6A6"/>
              <w:bottom w:val="single" w:sz="4" w:space="0" w:color="A6A6A6"/>
            </w:tcBorders>
            <w:noWrap/>
            <w:hideMark/>
          </w:tcPr>
          <w:p w14:paraId="1C9F6A68" w14:textId="77777777" w:rsidR="00CE75D4" w:rsidRPr="002029AF" w:rsidRDefault="00CE75D4" w:rsidP="000D16A1">
            <w:pPr>
              <w:pStyle w:val="ARfintablebodyright"/>
              <w:spacing w:before="24" w:after="16"/>
            </w:pPr>
            <w:r w:rsidRPr="00EA643E">
              <w:t>2.4.2</w:t>
            </w:r>
          </w:p>
        </w:tc>
        <w:tc>
          <w:tcPr>
            <w:tcW w:w="1134" w:type="dxa"/>
            <w:tcBorders>
              <w:top w:val="single" w:sz="4" w:space="0" w:color="A6A6A6"/>
              <w:bottom w:val="single" w:sz="4" w:space="0" w:color="A6A6A6"/>
            </w:tcBorders>
            <w:shd w:val="clear" w:color="auto" w:fill="E7E6E6"/>
            <w:noWrap/>
            <w:hideMark/>
          </w:tcPr>
          <w:p w14:paraId="2AC1D2D4" w14:textId="77777777" w:rsidR="00CE75D4" w:rsidRPr="002029AF" w:rsidRDefault="00CE75D4" w:rsidP="000D16A1">
            <w:pPr>
              <w:pStyle w:val="ARfintablebodyright"/>
              <w:spacing w:before="24" w:after="16"/>
            </w:pPr>
            <w:r>
              <w:t>–</w:t>
            </w:r>
          </w:p>
        </w:tc>
        <w:tc>
          <w:tcPr>
            <w:tcW w:w="1134" w:type="dxa"/>
            <w:tcBorders>
              <w:top w:val="single" w:sz="4" w:space="0" w:color="A6A6A6"/>
              <w:bottom w:val="single" w:sz="4" w:space="0" w:color="A6A6A6"/>
            </w:tcBorders>
            <w:noWrap/>
            <w:hideMark/>
          </w:tcPr>
          <w:p w14:paraId="68C1C796" w14:textId="77777777" w:rsidR="00CE75D4" w:rsidRPr="002029AF" w:rsidRDefault="00CE75D4" w:rsidP="000D16A1">
            <w:pPr>
              <w:pStyle w:val="ARfintablebodyright"/>
              <w:spacing w:before="24" w:after="16"/>
            </w:pPr>
            <w:r w:rsidRPr="00EA643E">
              <w:t>477.5</w:t>
            </w:r>
          </w:p>
        </w:tc>
      </w:tr>
      <w:tr w:rsidR="00CE75D4" w:rsidRPr="002029AF" w14:paraId="6B512B25" w14:textId="77777777" w:rsidTr="008340C1">
        <w:tc>
          <w:tcPr>
            <w:tcW w:w="6518" w:type="dxa"/>
            <w:tcBorders>
              <w:top w:val="single" w:sz="4" w:space="0" w:color="A6A6A6"/>
              <w:bottom w:val="single" w:sz="4" w:space="0" w:color="A6A6A6"/>
            </w:tcBorders>
            <w:hideMark/>
          </w:tcPr>
          <w:p w14:paraId="7F43685D" w14:textId="77777777" w:rsidR="00CE75D4" w:rsidRPr="002029AF" w:rsidRDefault="00CE75D4" w:rsidP="000D16A1">
            <w:pPr>
              <w:pStyle w:val="ARfintablebody"/>
              <w:spacing w:before="24" w:after="16"/>
            </w:pPr>
            <w:r w:rsidRPr="00EA643E">
              <w:t>Grants and other income transfers</w:t>
            </w:r>
          </w:p>
        </w:tc>
        <w:tc>
          <w:tcPr>
            <w:tcW w:w="851" w:type="dxa"/>
            <w:tcBorders>
              <w:top w:val="single" w:sz="4" w:space="0" w:color="A6A6A6"/>
              <w:bottom w:val="single" w:sz="4" w:space="0" w:color="A6A6A6"/>
            </w:tcBorders>
            <w:noWrap/>
            <w:hideMark/>
          </w:tcPr>
          <w:p w14:paraId="5807C5EC" w14:textId="77777777" w:rsidR="00CE75D4" w:rsidRPr="002029AF" w:rsidRDefault="00CE75D4" w:rsidP="000D16A1">
            <w:pPr>
              <w:pStyle w:val="ARfintablebodyright"/>
              <w:spacing w:before="24" w:after="16"/>
            </w:pPr>
            <w:r w:rsidRPr="00EA643E">
              <w:t>2.4.3</w:t>
            </w:r>
          </w:p>
        </w:tc>
        <w:tc>
          <w:tcPr>
            <w:tcW w:w="1134" w:type="dxa"/>
            <w:tcBorders>
              <w:top w:val="single" w:sz="4" w:space="0" w:color="A6A6A6"/>
              <w:bottom w:val="single" w:sz="4" w:space="0" w:color="A6A6A6"/>
            </w:tcBorders>
            <w:shd w:val="clear" w:color="auto" w:fill="E7E6E6"/>
            <w:noWrap/>
            <w:hideMark/>
          </w:tcPr>
          <w:p w14:paraId="3D40DE9A" w14:textId="77777777" w:rsidR="00CE75D4" w:rsidRPr="002029AF" w:rsidRDefault="00CE75D4" w:rsidP="000D16A1">
            <w:pPr>
              <w:pStyle w:val="ARfintablebodyright"/>
              <w:spacing w:before="24" w:after="16"/>
            </w:pPr>
            <w:r w:rsidRPr="00EA643E">
              <w:t>3,893.0</w:t>
            </w:r>
          </w:p>
        </w:tc>
        <w:tc>
          <w:tcPr>
            <w:tcW w:w="1134" w:type="dxa"/>
            <w:tcBorders>
              <w:top w:val="single" w:sz="4" w:space="0" w:color="A6A6A6"/>
              <w:bottom w:val="single" w:sz="4" w:space="0" w:color="A6A6A6"/>
            </w:tcBorders>
            <w:noWrap/>
            <w:hideMark/>
          </w:tcPr>
          <w:p w14:paraId="7CA89B0D" w14:textId="77777777" w:rsidR="00CE75D4" w:rsidRPr="002029AF" w:rsidRDefault="00CE75D4" w:rsidP="000D16A1">
            <w:pPr>
              <w:pStyle w:val="ARfintablebodyright"/>
              <w:spacing w:before="24" w:after="16"/>
            </w:pPr>
            <w:r w:rsidRPr="00EA643E">
              <w:t>2,549.2</w:t>
            </w:r>
          </w:p>
        </w:tc>
      </w:tr>
      <w:tr w:rsidR="00CE75D4" w:rsidRPr="002029AF" w14:paraId="7093BD6D" w14:textId="77777777" w:rsidTr="008340C1">
        <w:tc>
          <w:tcPr>
            <w:tcW w:w="6518" w:type="dxa"/>
            <w:tcBorders>
              <w:top w:val="single" w:sz="4" w:space="0" w:color="A6A6A6"/>
              <w:bottom w:val="single" w:sz="4" w:space="0" w:color="A6A6A6"/>
            </w:tcBorders>
            <w:hideMark/>
          </w:tcPr>
          <w:p w14:paraId="23F11A29" w14:textId="77777777" w:rsidR="00CE75D4" w:rsidRPr="002029AF" w:rsidRDefault="00CE75D4" w:rsidP="000D16A1">
            <w:pPr>
              <w:pStyle w:val="ARfintablebody"/>
              <w:spacing w:before="24" w:after="16"/>
            </w:pPr>
            <w:r w:rsidRPr="00EA643E">
              <w:t>Fair value of assets and services received free of charge or for nominal consideration</w:t>
            </w:r>
          </w:p>
        </w:tc>
        <w:tc>
          <w:tcPr>
            <w:tcW w:w="851" w:type="dxa"/>
            <w:tcBorders>
              <w:top w:val="single" w:sz="4" w:space="0" w:color="A6A6A6"/>
              <w:bottom w:val="single" w:sz="4" w:space="0" w:color="A6A6A6"/>
            </w:tcBorders>
            <w:noWrap/>
            <w:hideMark/>
          </w:tcPr>
          <w:p w14:paraId="73856A23" w14:textId="77777777" w:rsidR="00CE75D4" w:rsidRPr="002029AF" w:rsidRDefault="00CE75D4" w:rsidP="000D16A1">
            <w:pPr>
              <w:pStyle w:val="ARfintablebodyright"/>
              <w:spacing w:before="24" w:after="16"/>
            </w:pPr>
            <w:r w:rsidRPr="00EA643E">
              <w:t>2.4.4</w:t>
            </w:r>
          </w:p>
        </w:tc>
        <w:tc>
          <w:tcPr>
            <w:tcW w:w="1134" w:type="dxa"/>
            <w:tcBorders>
              <w:top w:val="single" w:sz="4" w:space="0" w:color="A6A6A6"/>
              <w:bottom w:val="single" w:sz="4" w:space="0" w:color="A6A6A6"/>
            </w:tcBorders>
            <w:shd w:val="clear" w:color="auto" w:fill="E7E6E6"/>
            <w:noWrap/>
            <w:hideMark/>
          </w:tcPr>
          <w:p w14:paraId="6045B959" w14:textId="77777777" w:rsidR="00CE75D4" w:rsidRPr="002029AF" w:rsidRDefault="00CE75D4" w:rsidP="000D16A1">
            <w:pPr>
              <w:pStyle w:val="ARfintablebodyright"/>
              <w:spacing w:before="24" w:after="16"/>
            </w:pPr>
            <w:r w:rsidRPr="00EA643E">
              <w:t>29.7</w:t>
            </w:r>
          </w:p>
        </w:tc>
        <w:tc>
          <w:tcPr>
            <w:tcW w:w="1134" w:type="dxa"/>
            <w:tcBorders>
              <w:top w:val="single" w:sz="4" w:space="0" w:color="A6A6A6"/>
              <w:bottom w:val="single" w:sz="4" w:space="0" w:color="A6A6A6"/>
            </w:tcBorders>
            <w:noWrap/>
            <w:hideMark/>
          </w:tcPr>
          <w:p w14:paraId="6DE4761A" w14:textId="77777777" w:rsidR="00CE75D4" w:rsidRPr="002029AF" w:rsidRDefault="00CE75D4" w:rsidP="000D16A1">
            <w:pPr>
              <w:pStyle w:val="ARfintablebodyright"/>
              <w:spacing w:before="24" w:after="16"/>
            </w:pPr>
            <w:r w:rsidRPr="00EA643E">
              <w:t>0.6</w:t>
            </w:r>
          </w:p>
        </w:tc>
      </w:tr>
      <w:tr w:rsidR="00CE75D4" w:rsidRPr="002029AF" w14:paraId="3315068B" w14:textId="77777777" w:rsidTr="008340C1">
        <w:tc>
          <w:tcPr>
            <w:tcW w:w="6518" w:type="dxa"/>
            <w:tcBorders>
              <w:top w:val="single" w:sz="4" w:space="0" w:color="A6A6A6"/>
            </w:tcBorders>
            <w:hideMark/>
          </w:tcPr>
          <w:p w14:paraId="6ED6F3B5" w14:textId="77777777" w:rsidR="00CE75D4" w:rsidRPr="002029AF" w:rsidRDefault="00CE75D4" w:rsidP="000D16A1">
            <w:pPr>
              <w:pStyle w:val="ARfintablebody"/>
              <w:spacing w:before="24" w:after="16"/>
            </w:pPr>
            <w:r w:rsidRPr="00EA643E">
              <w:t>Other income</w:t>
            </w:r>
          </w:p>
        </w:tc>
        <w:tc>
          <w:tcPr>
            <w:tcW w:w="851" w:type="dxa"/>
            <w:tcBorders>
              <w:top w:val="single" w:sz="4" w:space="0" w:color="A6A6A6"/>
            </w:tcBorders>
            <w:noWrap/>
            <w:hideMark/>
          </w:tcPr>
          <w:p w14:paraId="4750635C" w14:textId="77777777" w:rsidR="00CE75D4" w:rsidRPr="002029AF" w:rsidRDefault="00CE75D4" w:rsidP="000D16A1">
            <w:pPr>
              <w:pStyle w:val="ARfintablebodyright"/>
              <w:spacing w:before="24" w:after="16"/>
            </w:pPr>
            <w:r w:rsidRPr="00EA643E">
              <w:t>2.4.5</w:t>
            </w:r>
          </w:p>
        </w:tc>
        <w:tc>
          <w:tcPr>
            <w:tcW w:w="1134" w:type="dxa"/>
            <w:tcBorders>
              <w:top w:val="single" w:sz="4" w:space="0" w:color="A6A6A6"/>
            </w:tcBorders>
            <w:shd w:val="clear" w:color="auto" w:fill="E7E6E6"/>
            <w:noWrap/>
            <w:hideMark/>
          </w:tcPr>
          <w:p w14:paraId="72009CF5" w14:textId="77777777" w:rsidR="00CE75D4" w:rsidRPr="002029AF" w:rsidRDefault="00CE75D4" w:rsidP="000D16A1">
            <w:pPr>
              <w:pStyle w:val="ARfintablebodyright"/>
              <w:spacing w:before="24" w:after="16"/>
            </w:pPr>
            <w:r w:rsidRPr="00EA643E">
              <w:t>91.5</w:t>
            </w:r>
          </w:p>
        </w:tc>
        <w:tc>
          <w:tcPr>
            <w:tcW w:w="1134" w:type="dxa"/>
            <w:tcBorders>
              <w:top w:val="single" w:sz="4" w:space="0" w:color="A6A6A6"/>
            </w:tcBorders>
            <w:noWrap/>
            <w:hideMark/>
          </w:tcPr>
          <w:p w14:paraId="1C92495C" w14:textId="77777777" w:rsidR="00CE75D4" w:rsidRPr="002029AF" w:rsidRDefault="00CE75D4" w:rsidP="000D16A1">
            <w:pPr>
              <w:pStyle w:val="ARfintablebodyright"/>
              <w:spacing w:before="24" w:after="16"/>
            </w:pPr>
            <w:r w:rsidRPr="00EA643E">
              <w:t>18.3</w:t>
            </w:r>
          </w:p>
        </w:tc>
      </w:tr>
      <w:tr w:rsidR="00CE75D4" w:rsidRPr="002029AF" w14:paraId="4E4BD322" w14:textId="77777777" w:rsidTr="008340C1">
        <w:tc>
          <w:tcPr>
            <w:tcW w:w="6518" w:type="dxa"/>
            <w:hideMark/>
          </w:tcPr>
          <w:p w14:paraId="48A8DE35" w14:textId="77777777" w:rsidR="00CE75D4" w:rsidRPr="002029AF" w:rsidRDefault="00CE75D4" w:rsidP="000D16A1">
            <w:pPr>
              <w:pStyle w:val="ARfintablebodybold"/>
              <w:spacing w:before="24" w:after="16"/>
            </w:pPr>
            <w:r w:rsidRPr="00EA643E">
              <w:t>Total revenue and income from transactions</w:t>
            </w:r>
          </w:p>
        </w:tc>
        <w:tc>
          <w:tcPr>
            <w:tcW w:w="851" w:type="dxa"/>
            <w:hideMark/>
          </w:tcPr>
          <w:p w14:paraId="11617DAF" w14:textId="77777777" w:rsidR="00CE75D4" w:rsidRPr="002029AF" w:rsidRDefault="00CE75D4" w:rsidP="000D16A1">
            <w:pPr>
              <w:pStyle w:val="ARfintablebodyrightbold"/>
              <w:spacing w:before="24" w:after="16"/>
            </w:pPr>
          </w:p>
        </w:tc>
        <w:tc>
          <w:tcPr>
            <w:tcW w:w="1134" w:type="dxa"/>
            <w:shd w:val="clear" w:color="auto" w:fill="E7E6E6"/>
            <w:noWrap/>
            <w:hideMark/>
          </w:tcPr>
          <w:p w14:paraId="641F61A9" w14:textId="77777777" w:rsidR="00CE75D4" w:rsidRPr="002029AF" w:rsidRDefault="00CE75D4" w:rsidP="000D16A1">
            <w:pPr>
              <w:pStyle w:val="ARfintablebodyrightbold"/>
              <w:spacing w:before="24" w:after="16"/>
            </w:pPr>
            <w:r w:rsidRPr="00EA643E">
              <w:t>21,813.1</w:t>
            </w:r>
          </w:p>
        </w:tc>
        <w:tc>
          <w:tcPr>
            <w:tcW w:w="1134" w:type="dxa"/>
            <w:noWrap/>
            <w:hideMark/>
          </w:tcPr>
          <w:p w14:paraId="22F28E5A" w14:textId="77777777" w:rsidR="00CE75D4" w:rsidRPr="002029AF" w:rsidRDefault="00CE75D4" w:rsidP="000D16A1">
            <w:pPr>
              <w:pStyle w:val="ARfintablebodyrightbold"/>
              <w:spacing w:before="24" w:after="16"/>
            </w:pPr>
            <w:r w:rsidRPr="00EA643E">
              <w:t>25,698.4</w:t>
            </w:r>
          </w:p>
        </w:tc>
      </w:tr>
    </w:tbl>
    <w:p w14:paraId="4DEFA148" w14:textId="77777777" w:rsidR="00CE75D4" w:rsidRDefault="00CE75D4" w:rsidP="008340C1">
      <w:pPr>
        <w:pStyle w:val="ARfintablefootnote"/>
      </w:pPr>
      <w:r>
        <w:rPr>
          <w:lang w:eastAsia="en-AU"/>
        </w:rPr>
        <w:t>Notes:</w:t>
      </w:r>
    </w:p>
    <w:p w14:paraId="7D0B3081" w14:textId="77777777" w:rsidR="00CE75D4" w:rsidRDefault="00CE75D4" w:rsidP="008340C1">
      <w:pPr>
        <w:pStyle w:val="ARfintablefootnoteindent"/>
      </w:pPr>
      <w:r>
        <w:t>(i)</w:t>
      </w:r>
      <w:r>
        <w:tab/>
        <w:t>Includes COVID-19-related funding from the Victorian and Commonwealth Governments. Refer to Note 2.4.3.</w:t>
      </w:r>
    </w:p>
    <w:p w14:paraId="3150AD8A" w14:textId="77777777" w:rsidR="00CE75D4" w:rsidRDefault="00CE75D4" w:rsidP="008340C1">
      <w:pPr>
        <w:pStyle w:val="ARfintablefootnoteindent"/>
      </w:pPr>
      <w:r>
        <w:t>(ii)</w:t>
      </w:r>
      <w:r>
        <w:tab/>
        <w:t>I</w:t>
      </w:r>
      <w:r w:rsidRPr="008B32D8">
        <w:t>ncludes the state contribution to the Victorian State Pool Account for the activity-based funding in</w:t>
      </w:r>
      <w:r>
        <w:t xml:space="preserve"> </w:t>
      </w:r>
      <w:r w:rsidRPr="008B32D8">
        <w:t>scope of the National Health Reform Agreement (refer to Note 3.1.2).</w:t>
      </w:r>
    </w:p>
    <w:p w14:paraId="7F1E5787" w14:textId="77777777" w:rsidR="00CE75D4" w:rsidRDefault="00CE75D4" w:rsidP="008340C1">
      <w:pPr>
        <w:pStyle w:val="ARfintablefootnoteindent"/>
      </w:pPr>
      <w:r>
        <w:t>(iii)</w:t>
      </w:r>
      <w:r>
        <w:tab/>
        <w:t xml:space="preserve">2021 numbers relate to the transactions for the year ended 30 June 2021 of the Director of Housing. </w:t>
      </w:r>
      <w:r w:rsidRPr="008840A7">
        <w:t>The transactions which relate to this entity are reported in the DFFH</w:t>
      </w:r>
      <w:r>
        <w:t>’</w:t>
      </w:r>
      <w:r w:rsidRPr="008840A7">
        <w:t>s 2021</w:t>
      </w:r>
      <w:r>
        <w:t>–</w:t>
      </w:r>
      <w:r w:rsidRPr="008840A7">
        <w:t>22 financial statements.</w:t>
      </w:r>
    </w:p>
    <w:p w14:paraId="4A10D26C" w14:textId="384D0A2F" w:rsidR="00CE75D4" w:rsidRDefault="00CE75D4" w:rsidP="000D16A1">
      <w:pPr>
        <w:pStyle w:val="ARfinbodyaftertable"/>
        <w:spacing w:before="120"/>
      </w:pPr>
      <w:r>
        <w:t>Revenue and income that fund delivery of the department’s services are accounted for consistently</w:t>
      </w:r>
      <w:r w:rsidR="002B3B64">
        <w:t xml:space="preserve"> </w:t>
      </w:r>
      <w:r>
        <w:t>with the requirements of the relevant accounting standards in the following notes.</w:t>
      </w:r>
    </w:p>
    <w:p w14:paraId="02656729" w14:textId="77777777" w:rsidR="00CE75D4" w:rsidRDefault="00CE75D4" w:rsidP="000D16A1">
      <w:pPr>
        <w:pStyle w:val="Heading4"/>
        <w:spacing w:before="160" w:after="60"/>
      </w:pPr>
      <w:r>
        <w:rPr>
          <w:lang w:eastAsia="en-AU"/>
        </w:rPr>
        <w:t>2.2</w:t>
      </w:r>
      <w:r>
        <w:t xml:space="preserve"> </w:t>
      </w:r>
      <w:r>
        <w:rPr>
          <w:lang w:eastAsia="en-AU"/>
        </w:rPr>
        <w:t>Appropriations</w:t>
      </w:r>
    </w:p>
    <w:p w14:paraId="07332EEB" w14:textId="77777777" w:rsidR="00CE75D4" w:rsidRDefault="00CE75D4" w:rsidP="008340C1">
      <w:pPr>
        <w:pStyle w:val="ARfinbody"/>
      </w:pPr>
      <w:r>
        <w:t>Once annual parliamentary appropriations are applied by the Treasurer, they become controlled by the department and are recognised as income when applied to the purposes defined under the relevant Appropriations Act.</w:t>
      </w:r>
    </w:p>
    <w:p w14:paraId="519BA87E" w14:textId="77777777" w:rsidR="00CE75D4" w:rsidRDefault="00CE75D4" w:rsidP="008340C1">
      <w:pPr>
        <w:pStyle w:val="ARfinbody"/>
      </w:pPr>
      <w:r>
        <w:rPr>
          <w:rStyle w:val="Strong"/>
        </w:rPr>
        <w:t>Output appropriations:</w:t>
      </w:r>
      <w:r>
        <w:t xml:space="preserve"> Income from the outputs the department provides to the government is recognised when those outputs have been delivered and the relevant minister has certified delivery of those outputs in accordance with specified performance criteria.</w:t>
      </w:r>
    </w:p>
    <w:p w14:paraId="5B9BC04E" w14:textId="77777777" w:rsidR="00CE75D4" w:rsidRDefault="00CE75D4" w:rsidP="00130D1C">
      <w:pPr>
        <w:pStyle w:val="ARfinbody"/>
      </w:pPr>
      <w:r>
        <w:rPr>
          <w:rStyle w:val="Strong"/>
        </w:rPr>
        <w:t>Special appropriations:</w:t>
      </w:r>
      <w:r>
        <w:t xml:space="preserve"> Under ss. 3.6.11, 4.4.11, 4.6.8, 5.4.6, and 6A.4.4(1) of the </w:t>
      </w:r>
      <w:r>
        <w:rPr>
          <w:rStyle w:val="Emphasis"/>
        </w:rPr>
        <w:t>Gambling Regulation Act 2003</w:t>
      </w:r>
      <w:r>
        <w:t xml:space="preserve"> and s. 114 of the </w:t>
      </w:r>
      <w:r>
        <w:rPr>
          <w:rStyle w:val="Emphasis"/>
        </w:rPr>
        <w:t>Casino Control Act 1991</w:t>
      </w:r>
      <w:r>
        <w:t xml:space="preserve">, income related to the Hospitals and Charities Fund is recognised when the amounts appropriated for that purpose are due and payable by the department. The department also receives special appropriations to contribute to mental health services under the </w:t>
      </w:r>
      <w:r>
        <w:rPr>
          <w:rStyle w:val="Emphasis"/>
        </w:rPr>
        <w:t>Mental Health Act 2014</w:t>
      </w:r>
      <w:r>
        <w:t xml:space="preserve"> and for various purposes approved under s. 10 of the FMA.</w:t>
      </w:r>
    </w:p>
    <w:p w14:paraId="012D5964" w14:textId="77777777" w:rsidR="00CE75D4" w:rsidRPr="002029AF" w:rsidRDefault="00CE75D4" w:rsidP="00087B91">
      <w:pPr>
        <w:pStyle w:val="ARfinbody"/>
        <w:sectPr w:rsidR="00CE75D4" w:rsidRPr="002029AF" w:rsidSect="00CE75D4">
          <w:headerReference w:type="even" r:id="rId85"/>
          <w:footerReference w:type="even" r:id="rId86"/>
          <w:footerReference w:type="default" r:id="rId87"/>
          <w:headerReference w:type="first" r:id="rId88"/>
          <w:footerReference w:type="first" r:id="rId89"/>
          <w:footnotePr>
            <w:numFmt w:val="lowerLetter"/>
            <w:numRestart w:val="eachPage"/>
          </w:footnotePr>
          <w:endnotePr>
            <w:numFmt w:val="decimal"/>
          </w:endnotePr>
          <w:pgSz w:w="11900" w:h="16840" w:code="9"/>
          <w:pgMar w:top="1531" w:right="1134" w:bottom="851" w:left="1134" w:header="510" w:footer="340" w:gutter="0"/>
          <w:cols w:space="708"/>
          <w:docGrid w:linePitch="299"/>
          <w15:footnoteColumns w:val="1"/>
        </w:sectPr>
      </w:pPr>
    </w:p>
    <w:p w14:paraId="43CAF7C4" w14:textId="77777777" w:rsidR="00CE75D4" w:rsidRDefault="00CE75D4" w:rsidP="008340C1">
      <w:pPr>
        <w:pStyle w:val="Heading4"/>
        <w:spacing w:before="0"/>
      </w:pPr>
      <w:bookmarkStart w:id="514" w:name="_Ref112963450"/>
      <w:r>
        <w:rPr>
          <w:lang w:eastAsia="en-AU"/>
        </w:rPr>
        <w:t>2.3</w:t>
      </w:r>
      <w:r>
        <w:t xml:space="preserve"> </w:t>
      </w:r>
      <w:r>
        <w:rPr>
          <w:lang w:eastAsia="en-AU"/>
        </w:rPr>
        <w:t>Summary of compliance with annual parliamentary and special appropriations</w:t>
      </w:r>
      <w:bookmarkEnd w:id="514"/>
    </w:p>
    <w:p w14:paraId="5C8FFB03" w14:textId="77777777" w:rsidR="00CE75D4" w:rsidRDefault="00CE75D4" w:rsidP="008340C1">
      <w:pPr>
        <w:pStyle w:val="ARfinbody"/>
      </w:pPr>
      <w:r>
        <w:t>The following table discloses the details of the various annual parliamentary appropriations received by the department for the year.</w:t>
      </w:r>
    </w:p>
    <w:p w14:paraId="1A9D7B1B" w14:textId="77777777" w:rsidR="00CE75D4" w:rsidRDefault="00CE75D4" w:rsidP="00130D1C">
      <w:pPr>
        <w:pStyle w:val="ARfinbodylargespace"/>
      </w:pPr>
      <w:r>
        <w:t>In accordance with accrual output-based management procedures ‘provision of outputs’ and ‘additions to net assets’ are disclosed as ‘controlled’ activities of the department. Administered transactions are those that are undertaken on behalf of the state over which the department has no control or discretion (refer to Note 4.2).</w:t>
      </w:r>
    </w:p>
    <w:tbl>
      <w:tblPr>
        <w:tblStyle w:val="TableGrid"/>
        <w:tblW w:w="14460" w:type="dxa"/>
        <w:tblLayout w:type="fixed"/>
        <w:tblLook w:val="06A0" w:firstRow="1" w:lastRow="0" w:firstColumn="1" w:lastColumn="0" w:noHBand="1" w:noVBand="1"/>
      </w:tblPr>
      <w:tblGrid>
        <w:gridCol w:w="3341"/>
        <w:gridCol w:w="1085"/>
        <w:gridCol w:w="1075"/>
        <w:gridCol w:w="1040"/>
        <w:gridCol w:w="1040"/>
        <w:gridCol w:w="1072"/>
        <w:gridCol w:w="1072"/>
        <w:gridCol w:w="1072"/>
        <w:gridCol w:w="1085"/>
        <w:gridCol w:w="1078"/>
        <w:gridCol w:w="1067"/>
        <w:gridCol w:w="433"/>
      </w:tblGrid>
      <w:tr w:rsidR="00CE75D4" w14:paraId="243B025B"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3341" w:type="dxa"/>
            <w:vMerge w:val="restart"/>
            <w:tcBorders>
              <w:top w:val="nil"/>
              <w:left w:val="single" w:sz="4" w:space="0" w:color="FFFFFF"/>
              <w:bottom w:val="single" w:sz="4" w:space="0" w:color="auto"/>
              <w:right w:val="single" w:sz="4" w:space="0" w:color="FFFFFF"/>
            </w:tcBorders>
            <w:noWrap/>
          </w:tcPr>
          <w:p w14:paraId="26888C8F" w14:textId="77777777" w:rsidR="00CE75D4" w:rsidRDefault="00CE75D4" w:rsidP="008340C1">
            <w:pPr>
              <w:pStyle w:val="ARfintablecolhead"/>
              <w:spacing w:before="20" w:after="10" w:line="264" w:lineRule="auto"/>
            </w:pPr>
            <w:bookmarkStart w:id="515" w:name="_Hlk110098611"/>
          </w:p>
        </w:tc>
        <w:tc>
          <w:tcPr>
            <w:tcW w:w="3200" w:type="dxa"/>
            <w:gridSpan w:val="3"/>
            <w:tcBorders>
              <w:top w:val="nil"/>
              <w:left w:val="single" w:sz="4" w:space="0" w:color="FFFFFF"/>
              <w:bottom w:val="single" w:sz="4" w:space="0" w:color="auto"/>
              <w:right w:val="single" w:sz="4" w:space="0" w:color="FFFFFF"/>
            </w:tcBorders>
            <w:hideMark/>
          </w:tcPr>
          <w:p w14:paraId="5F8503F1" w14:textId="77777777" w:rsidR="00CE75D4" w:rsidRDefault="00CE75D4" w:rsidP="008340C1">
            <w:pPr>
              <w:pStyle w:val="ARfintablecolheadcentre"/>
              <w:spacing w:before="20" w:after="10" w:line="264" w:lineRule="auto"/>
            </w:pPr>
            <w:r>
              <w:t>Appropriation Act</w:t>
            </w:r>
          </w:p>
        </w:tc>
        <w:tc>
          <w:tcPr>
            <w:tcW w:w="4256" w:type="dxa"/>
            <w:gridSpan w:val="4"/>
            <w:tcBorders>
              <w:top w:val="nil"/>
              <w:left w:val="single" w:sz="4" w:space="0" w:color="FFFFFF"/>
              <w:bottom w:val="single" w:sz="4" w:space="0" w:color="auto"/>
              <w:right w:val="single" w:sz="4" w:space="0" w:color="FFFFFF"/>
            </w:tcBorders>
            <w:shd w:val="clear" w:color="auto" w:fill="E7E6E6"/>
            <w:hideMark/>
          </w:tcPr>
          <w:p w14:paraId="0CF52506" w14:textId="77777777" w:rsidR="00CE75D4" w:rsidRDefault="00CE75D4" w:rsidP="008340C1">
            <w:pPr>
              <w:pStyle w:val="ARfintablecolheadcentre"/>
              <w:spacing w:before="20" w:after="10" w:line="264" w:lineRule="auto"/>
            </w:pPr>
            <w:r>
              <w:t>FMA</w:t>
            </w:r>
          </w:p>
        </w:tc>
        <w:tc>
          <w:tcPr>
            <w:tcW w:w="1085" w:type="dxa"/>
            <w:vMerge w:val="restart"/>
            <w:tcBorders>
              <w:top w:val="nil"/>
              <w:left w:val="single" w:sz="4" w:space="0" w:color="FFFFFF"/>
              <w:bottom w:val="single" w:sz="4" w:space="0" w:color="auto"/>
              <w:right w:val="single" w:sz="4" w:space="0" w:color="FFFFFF"/>
            </w:tcBorders>
            <w:hideMark/>
          </w:tcPr>
          <w:p w14:paraId="3399FCF2" w14:textId="77777777" w:rsidR="00CE75D4" w:rsidRDefault="00CE75D4" w:rsidP="008340C1">
            <w:pPr>
              <w:pStyle w:val="ARfintablecolheadright"/>
              <w:spacing w:before="20" w:after="10" w:line="264" w:lineRule="auto"/>
            </w:pPr>
            <w:r>
              <w:t>Total parlia-</w:t>
            </w:r>
            <w:r>
              <w:br/>
              <w:t xml:space="preserve">mentary </w:t>
            </w:r>
            <w:r>
              <w:br/>
              <w:t>authority</w:t>
            </w:r>
          </w:p>
          <w:p w14:paraId="3589985F" w14:textId="77777777" w:rsidR="00CE75D4" w:rsidRDefault="00CE75D4" w:rsidP="008340C1">
            <w:pPr>
              <w:pStyle w:val="ARfintablecolheadright"/>
              <w:spacing w:before="20" w:after="10" w:line="264" w:lineRule="auto"/>
            </w:pPr>
            <w:r>
              <w:t>$M</w:t>
            </w:r>
          </w:p>
        </w:tc>
        <w:tc>
          <w:tcPr>
            <w:tcW w:w="1078" w:type="dxa"/>
            <w:vMerge w:val="restart"/>
            <w:tcBorders>
              <w:top w:val="nil"/>
              <w:left w:val="single" w:sz="4" w:space="0" w:color="FFFFFF"/>
              <w:bottom w:val="single" w:sz="4" w:space="0" w:color="auto"/>
              <w:right w:val="single" w:sz="4" w:space="0" w:color="FFFFFF"/>
            </w:tcBorders>
            <w:hideMark/>
          </w:tcPr>
          <w:p w14:paraId="7AA740C9" w14:textId="77777777" w:rsidR="00CE75D4" w:rsidRDefault="00CE75D4" w:rsidP="008340C1">
            <w:pPr>
              <w:pStyle w:val="ARfintablecolheadright"/>
              <w:spacing w:before="20" w:after="10" w:line="264" w:lineRule="auto"/>
            </w:pPr>
            <w:r>
              <w:t>Appro-</w:t>
            </w:r>
            <w:r>
              <w:br/>
              <w:t xml:space="preserve">priations </w:t>
            </w:r>
            <w:r>
              <w:br/>
              <w:t>applied</w:t>
            </w:r>
          </w:p>
          <w:p w14:paraId="7D6D5BC6" w14:textId="77777777" w:rsidR="00CE75D4" w:rsidRDefault="00CE75D4" w:rsidP="008340C1">
            <w:pPr>
              <w:pStyle w:val="ARfintablecolheadright"/>
              <w:spacing w:before="20" w:after="10" w:line="264" w:lineRule="auto"/>
            </w:pPr>
            <w:r>
              <w:t>$M</w:t>
            </w:r>
          </w:p>
        </w:tc>
        <w:tc>
          <w:tcPr>
            <w:tcW w:w="1067" w:type="dxa"/>
            <w:vMerge w:val="restart"/>
            <w:tcBorders>
              <w:top w:val="nil"/>
              <w:left w:val="single" w:sz="4" w:space="0" w:color="FFFFFF"/>
              <w:bottom w:val="single" w:sz="4" w:space="0" w:color="auto"/>
              <w:right w:val="single" w:sz="4" w:space="0" w:color="FFFFFF"/>
            </w:tcBorders>
            <w:hideMark/>
          </w:tcPr>
          <w:p w14:paraId="6766A567" w14:textId="77777777" w:rsidR="00CE75D4" w:rsidRDefault="00CE75D4" w:rsidP="008340C1">
            <w:pPr>
              <w:pStyle w:val="ARfintablecolheadright"/>
              <w:spacing w:before="20" w:after="10" w:line="264" w:lineRule="auto"/>
            </w:pPr>
            <w:r>
              <w:t>Variance</w:t>
            </w:r>
          </w:p>
          <w:p w14:paraId="67E43E9A" w14:textId="77777777" w:rsidR="00CE75D4" w:rsidRDefault="00CE75D4" w:rsidP="008340C1">
            <w:pPr>
              <w:pStyle w:val="ARfintablecolheadright"/>
              <w:spacing w:before="20" w:after="10" w:line="264" w:lineRule="auto"/>
            </w:pPr>
            <w:r>
              <w:t>$M</w:t>
            </w:r>
          </w:p>
        </w:tc>
        <w:tc>
          <w:tcPr>
            <w:tcW w:w="433" w:type="dxa"/>
            <w:vMerge w:val="restart"/>
            <w:tcBorders>
              <w:top w:val="nil"/>
              <w:left w:val="single" w:sz="4" w:space="0" w:color="FFFFFF"/>
              <w:bottom w:val="single" w:sz="4" w:space="0" w:color="auto"/>
              <w:right w:val="single" w:sz="4" w:space="0" w:color="FFFFFF"/>
            </w:tcBorders>
          </w:tcPr>
          <w:p w14:paraId="3A428026" w14:textId="77777777" w:rsidR="00CE75D4" w:rsidRDefault="00CE75D4" w:rsidP="008340C1">
            <w:pPr>
              <w:pStyle w:val="ARfintablecolheadright"/>
              <w:spacing w:before="20" w:after="10" w:line="264" w:lineRule="auto"/>
            </w:pPr>
          </w:p>
        </w:tc>
      </w:tr>
      <w:tr w:rsidR="00CE75D4" w14:paraId="4C7C88BA"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14460" w:type="dxa"/>
            <w:vMerge/>
            <w:tcBorders>
              <w:top w:val="nil"/>
              <w:left w:val="single" w:sz="4" w:space="0" w:color="FFFFFF"/>
              <w:bottom w:val="single" w:sz="4" w:space="0" w:color="auto"/>
              <w:right w:val="single" w:sz="4" w:space="0" w:color="FFFFFF"/>
            </w:tcBorders>
            <w:vAlign w:val="center"/>
            <w:hideMark/>
          </w:tcPr>
          <w:p w14:paraId="06D61AA7" w14:textId="77777777" w:rsidR="00CE75D4" w:rsidRDefault="00CE75D4" w:rsidP="008340C1">
            <w:pPr>
              <w:spacing w:before="20" w:after="10"/>
              <w:rPr>
                <w:rFonts w:ascii="Arial" w:hAnsi="Arial"/>
                <w:b/>
                <w:sz w:val="18"/>
                <w:szCs w:val="16"/>
              </w:rPr>
            </w:pPr>
          </w:p>
        </w:tc>
        <w:tc>
          <w:tcPr>
            <w:tcW w:w="1085" w:type="dxa"/>
            <w:tcBorders>
              <w:top w:val="single" w:sz="4" w:space="0" w:color="auto"/>
              <w:left w:val="single" w:sz="4" w:space="0" w:color="FFFFFF"/>
              <w:bottom w:val="single" w:sz="4" w:space="0" w:color="auto"/>
              <w:right w:val="single" w:sz="4" w:space="0" w:color="FFFFFF"/>
            </w:tcBorders>
            <w:hideMark/>
          </w:tcPr>
          <w:p w14:paraId="5EC937FB" w14:textId="77777777" w:rsidR="00CE75D4" w:rsidRDefault="00CE75D4" w:rsidP="008340C1">
            <w:pPr>
              <w:pStyle w:val="ARfintablecolheadright"/>
              <w:spacing w:before="20" w:after="10" w:line="264" w:lineRule="auto"/>
            </w:pPr>
            <w:r>
              <w:t>Annual appro-</w:t>
            </w:r>
            <w:r>
              <w:br/>
              <w:t>priation</w:t>
            </w:r>
          </w:p>
          <w:p w14:paraId="687584AD" w14:textId="77777777" w:rsidR="00CE75D4" w:rsidRDefault="00CE75D4" w:rsidP="008340C1">
            <w:pPr>
              <w:pStyle w:val="ARfintablecolheadright"/>
              <w:spacing w:before="20" w:after="10" w:line="264" w:lineRule="auto"/>
            </w:pPr>
            <w:r>
              <w:t>$M</w:t>
            </w:r>
          </w:p>
        </w:tc>
        <w:tc>
          <w:tcPr>
            <w:tcW w:w="1075" w:type="dxa"/>
            <w:tcBorders>
              <w:top w:val="single" w:sz="4" w:space="0" w:color="auto"/>
              <w:left w:val="single" w:sz="4" w:space="0" w:color="FFFFFF"/>
              <w:bottom w:val="single" w:sz="4" w:space="0" w:color="auto"/>
              <w:right w:val="single" w:sz="4" w:space="0" w:color="FFFFFF"/>
            </w:tcBorders>
            <w:hideMark/>
          </w:tcPr>
          <w:p w14:paraId="7F6FE1A5" w14:textId="77777777" w:rsidR="00CE75D4" w:rsidRDefault="00CE75D4" w:rsidP="008340C1">
            <w:pPr>
              <w:pStyle w:val="ARfintablecolheadright"/>
              <w:spacing w:before="20" w:after="10" w:line="264" w:lineRule="auto"/>
            </w:pPr>
            <w:r>
              <w:t>Advance from Treasurer</w:t>
            </w:r>
          </w:p>
          <w:p w14:paraId="0230805D" w14:textId="77777777" w:rsidR="00CE75D4" w:rsidRDefault="00CE75D4" w:rsidP="008340C1">
            <w:pPr>
              <w:pStyle w:val="ARfintablecolheadright"/>
              <w:spacing w:before="20" w:after="10" w:line="264" w:lineRule="auto"/>
            </w:pPr>
            <w:r>
              <w:t>$M</w:t>
            </w:r>
          </w:p>
        </w:tc>
        <w:tc>
          <w:tcPr>
            <w:tcW w:w="1040" w:type="dxa"/>
            <w:tcBorders>
              <w:top w:val="single" w:sz="4" w:space="0" w:color="auto"/>
              <w:left w:val="single" w:sz="4" w:space="0" w:color="FFFFFF"/>
              <w:bottom w:val="single" w:sz="4" w:space="0" w:color="auto"/>
              <w:right w:val="single" w:sz="4" w:space="0" w:color="FFFFFF"/>
            </w:tcBorders>
            <w:hideMark/>
          </w:tcPr>
          <w:p w14:paraId="19B92835" w14:textId="77777777" w:rsidR="00CE75D4" w:rsidRDefault="00CE75D4" w:rsidP="008340C1">
            <w:pPr>
              <w:pStyle w:val="ARfintablecolheadright"/>
              <w:spacing w:before="20" w:after="10" w:line="264" w:lineRule="auto"/>
            </w:pPr>
            <w:r>
              <w:t xml:space="preserve">Section </w:t>
            </w:r>
            <w:r>
              <w:br/>
              <w:t>3(2)</w:t>
            </w:r>
          </w:p>
          <w:p w14:paraId="6F484A7A" w14:textId="77777777" w:rsidR="00CE75D4" w:rsidRDefault="00CE75D4" w:rsidP="008340C1">
            <w:pPr>
              <w:pStyle w:val="ARfintablecolheadright"/>
              <w:spacing w:before="20" w:after="10" w:line="264" w:lineRule="auto"/>
            </w:pPr>
            <w:r>
              <w:t>$M</w:t>
            </w:r>
          </w:p>
        </w:tc>
        <w:tc>
          <w:tcPr>
            <w:tcW w:w="1040" w:type="dxa"/>
            <w:tcBorders>
              <w:top w:val="single" w:sz="4" w:space="0" w:color="auto"/>
              <w:left w:val="single" w:sz="4" w:space="0" w:color="FFFFFF"/>
              <w:bottom w:val="single" w:sz="4" w:space="0" w:color="auto"/>
              <w:right w:val="nil"/>
            </w:tcBorders>
            <w:shd w:val="clear" w:color="auto" w:fill="E7E6E6"/>
            <w:hideMark/>
          </w:tcPr>
          <w:p w14:paraId="435E1744" w14:textId="77777777" w:rsidR="00CE75D4" w:rsidRDefault="00CE75D4" w:rsidP="008340C1">
            <w:pPr>
              <w:pStyle w:val="ARfintablecolheadright"/>
              <w:spacing w:before="20" w:after="10" w:line="264" w:lineRule="auto"/>
              <w:rPr>
                <w:rStyle w:val="Superscript"/>
              </w:rPr>
            </w:pPr>
            <w:r>
              <w:t xml:space="preserve">Section </w:t>
            </w:r>
            <w:r>
              <w:br/>
              <w:t xml:space="preserve">29 </w:t>
            </w:r>
            <w:r>
              <w:rPr>
                <w:rStyle w:val="Superscript"/>
              </w:rPr>
              <w:t>(i)</w:t>
            </w:r>
          </w:p>
          <w:p w14:paraId="0BAF6997" w14:textId="77777777" w:rsidR="00CE75D4" w:rsidRDefault="00CE75D4" w:rsidP="008340C1">
            <w:pPr>
              <w:pStyle w:val="ARfintablecolheadright"/>
              <w:spacing w:before="20" w:after="10" w:line="264" w:lineRule="auto"/>
            </w:pPr>
            <w:r>
              <w:t>$M</w:t>
            </w:r>
          </w:p>
        </w:tc>
        <w:tc>
          <w:tcPr>
            <w:tcW w:w="1072" w:type="dxa"/>
            <w:tcBorders>
              <w:top w:val="single" w:sz="4" w:space="0" w:color="auto"/>
              <w:left w:val="nil"/>
              <w:bottom w:val="single" w:sz="4" w:space="0" w:color="auto"/>
              <w:right w:val="nil"/>
            </w:tcBorders>
            <w:shd w:val="clear" w:color="auto" w:fill="E7E6E6"/>
            <w:hideMark/>
          </w:tcPr>
          <w:p w14:paraId="6372902F" w14:textId="77777777" w:rsidR="00CE75D4" w:rsidRDefault="00CE75D4" w:rsidP="008340C1">
            <w:pPr>
              <w:pStyle w:val="ARfintablecolheadright"/>
              <w:spacing w:before="20" w:after="10" w:line="264" w:lineRule="auto"/>
            </w:pPr>
            <w:r>
              <w:t xml:space="preserve">Section </w:t>
            </w:r>
            <w:r>
              <w:br/>
              <w:t xml:space="preserve">30 </w:t>
            </w:r>
            <w:r>
              <w:rPr>
                <w:rStyle w:val="Superscript"/>
              </w:rPr>
              <w:t>(ii)</w:t>
            </w:r>
          </w:p>
          <w:p w14:paraId="3D123C1B" w14:textId="77777777" w:rsidR="00CE75D4" w:rsidRDefault="00CE75D4" w:rsidP="008340C1">
            <w:pPr>
              <w:pStyle w:val="ARfintablecolheadright"/>
              <w:spacing w:before="20" w:after="10" w:line="264" w:lineRule="auto"/>
            </w:pPr>
            <w:r>
              <w:t>$M</w:t>
            </w:r>
          </w:p>
        </w:tc>
        <w:tc>
          <w:tcPr>
            <w:tcW w:w="1072" w:type="dxa"/>
            <w:tcBorders>
              <w:top w:val="single" w:sz="4" w:space="0" w:color="auto"/>
              <w:left w:val="nil"/>
              <w:bottom w:val="single" w:sz="4" w:space="0" w:color="auto"/>
              <w:right w:val="nil"/>
            </w:tcBorders>
            <w:shd w:val="clear" w:color="auto" w:fill="E7E6E6"/>
            <w:hideMark/>
          </w:tcPr>
          <w:p w14:paraId="7F98BA43" w14:textId="77777777" w:rsidR="00CE75D4" w:rsidRDefault="00CE75D4" w:rsidP="008340C1">
            <w:pPr>
              <w:pStyle w:val="ARfintablecolheadright"/>
              <w:spacing w:before="20" w:after="10" w:line="264" w:lineRule="auto"/>
            </w:pPr>
            <w:r>
              <w:t xml:space="preserve">Section </w:t>
            </w:r>
            <w:r>
              <w:br/>
              <w:t>32</w:t>
            </w:r>
          </w:p>
          <w:p w14:paraId="212E901B" w14:textId="77777777" w:rsidR="00CE75D4" w:rsidRDefault="00CE75D4" w:rsidP="008340C1">
            <w:pPr>
              <w:pStyle w:val="ARfintablecolheadright"/>
              <w:spacing w:before="20" w:after="10" w:line="264" w:lineRule="auto"/>
            </w:pPr>
            <w:r>
              <w:t>$M</w:t>
            </w:r>
          </w:p>
        </w:tc>
        <w:tc>
          <w:tcPr>
            <w:tcW w:w="1072" w:type="dxa"/>
            <w:tcBorders>
              <w:top w:val="single" w:sz="4" w:space="0" w:color="auto"/>
              <w:left w:val="nil"/>
              <w:bottom w:val="single" w:sz="4" w:space="0" w:color="auto"/>
              <w:right w:val="single" w:sz="4" w:space="0" w:color="FFFFFF"/>
            </w:tcBorders>
            <w:shd w:val="clear" w:color="auto" w:fill="E7E6E6"/>
            <w:hideMark/>
          </w:tcPr>
          <w:p w14:paraId="125B27B7" w14:textId="77777777" w:rsidR="00CE75D4" w:rsidRDefault="00CE75D4" w:rsidP="008340C1">
            <w:pPr>
              <w:pStyle w:val="ARfintablecolheadright"/>
              <w:spacing w:before="20" w:after="10" w:line="264" w:lineRule="auto"/>
            </w:pPr>
            <w:r>
              <w:t xml:space="preserve">Section </w:t>
            </w:r>
            <w:r>
              <w:br/>
              <w:t xml:space="preserve">35 </w:t>
            </w:r>
            <w:r>
              <w:br/>
              <w:t>advances</w:t>
            </w:r>
          </w:p>
          <w:p w14:paraId="4E0F4B08" w14:textId="77777777" w:rsidR="00CE75D4" w:rsidRDefault="00CE75D4" w:rsidP="008340C1">
            <w:pPr>
              <w:pStyle w:val="ARfintablecolheadright"/>
              <w:spacing w:before="20" w:after="10" w:line="264" w:lineRule="auto"/>
            </w:pPr>
            <w:r>
              <w:t>$M</w:t>
            </w:r>
          </w:p>
        </w:tc>
        <w:tc>
          <w:tcPr>
            <w:tcW w:w="1085" w:type="dxa"/>
            <w:vMerge/>
            <w:tcBorders>
              <w:top w:val="nil"/>
              <w:left w:val="single" w:sz="4" w:space="0" w:color="FFFFFF"/>
              <w:bottom w:val="single" w:sz="4" w:space="0" w:color="auto"/>
              <w:right w:val="single" w:sz="4" w:space="0" w:color="FFFFFF"/>
            </w:tcBorders>
            <w:vAlign w:val="center"/>
            <w:hideMark/>
          </w:tcPr>
          <w:p w14:paraId="3BBE4A8C" w14:textId="77777777" w:rsidR="00CE75D4" w:rsidRDefault="00CE75D4" w:rsidP="008340C1">
            <w:pPr>
              <w:spacing w:before="20" w:after="10"/>
              <w:rPr>
                <w:rFonts w:ascii="Arial" w:hAnsi="Arial"/>
                <w:b/>
                <w:sz w:val="18"/>
                <w:szCs w:val="16"/>
              </w:rPr>
            </w:pPr>
          </w:p>
        </w:tc>
        <w:tc>
          <w:tcPr>
            <w:tcW w:w="1078" w:type="dxa"/>
            <w:vMerge/>
            <w:tcBorders>
              <w:top w:val="nil"/>
              <w:left w:val="single" w:sz="4" w:space="0" w:color="FFFFFF"/>
              <w:bottom w:val="single" w:sz="4" w:space="0" w:color="auto"/>
              <w:right w:val="single" w:sz="4" w:space="0" w:color="FFFFFF"/>
            </w:tcBorders>
            <w:vAlign w:val="center"/>
            <w:hideMark/>
          </w:tcPr>
          <w:p w14:paraId="0E3EB222" w14:textId="77777777" w:rsidR="00CE75D4" w:rsidRDefault="00CE75D4" w:rsidP="008340C1">
            <w:pPr>
              <w:spacing w:before="20" w:after="10"/>
              <w:rPr>
                <w:rFonts w:ascii="Arial" w:hAnsi="Arial"/>
                <w:b/>
                <w:sz w:val="18"/>
                <w:szCs w:val="16"/>
              </w:rPr>
            </w:pPr>
          </w:p>
        </w:tc>
        <w:tc>
          <w:tcPr>
            <w:tcW w:w="1067" w:type="dxa"/>
            <w:vMerge/>
            <w:tcBorders>
              <w:top w:val="nil"/>
              <w:left w:val="single" w:sz="4" w:space="0" w:color="FFFFFF"/>
              <w:bottom w:val="single" w:sz="4" w:space="0" w:color="auto"/>
              <w:right w:val="single" w:sz="4" w:space="0" w:color="FFFFFF"/>
            </w:tcBorders>
            <w:vAlign w:val="center"/>
            <w:hideMark/>
          </w:tcPr>
          <w:p w14:paraId="16446A97" w14:textId="77777777" w:rsidR="00CE75D4" w:rsidRDefault="00CE75D4" w:rsidP="008340C1">
            <w:pPr>
              <w:spacing w:before="20" w:after="10"/>
              <w:rPr>
                <w:rFonts w:ascii="Arial" w:hAnsi="Arial"/>
                <w:b/>
                <w:sz w:val="18"/>
                <w:szCs w:val="16"/>
              </w:rPr>
            </w:pPr>
          </w:p>
        </w:tc>
        <w:tc>
          <w:tcPr>
            <w:tcW w:w="433" w:type="dxa"/>
            <w:vMerge/>
            <w:tcBorders>
              <w:top w:val="nil"/>
              <w:left w:val="single" w:sz="4" w:space="0" w:color="FFFFFF"/>
              <w:bottom w:val="single" w:sz="4" w:space="0" w:color="auto"/>
              <w:right w:val="single" w:sz="4" w:space="0" w:color="FFFFFF"/>
            </w:tcBorders>
            <w:vAlign w:val="center"/>
            <w:hideMark/>
          </w:tcPr>
          <w:p w14:paraId="59B9EB16" w14:textId="77777777" w:rsidR="00CE75D4" w:rsidRDefault="00CE75D4" w:rsidP="008340C1">
            <w:pPr>
              <w:spacing w:before="20" w:after="10"/>
              <w:rPr>
                <w:rFonts w:ascii="Arial" w:hAnsi="Arial"/>
                <w:b/>
                <w:sz w:val="18"/>
                <w:szCs w:val="16"/>
              </w:rPr>
            </w:pPr>
          </w:p>
        </w:tc>
      </w:tr>
      <w:tr w:rsidR="00CE75D4" w14:paraId="7BE29B6C" w14:textId="77777777" w:rsidTr="008340C1">
        <w:tc>
          <w:tcPr>
            <w:tcW w:w="14460" w:type="dxa"/>
            <w:gridSpan w:val="12"/>
            <w:tcBorders>
              <w:top w:val="single" w:sz="4" w:space="0" w:color="auto"/>
              <w:left w:val="single" w:sz="4" w:space="0" w:color="FFFFFF"/>
              <w:bottom w:val="single" w:sz="4" w:space="0" w:color="auto"/>
              <w:right w:val="single" w:sz="4" w:space="0" w:color="FFFFFF"/>
            </w:tcBorders>
            <w:hideMark/>
          </w:tcPr>
          <w:p w14:paraId="60962A53" w14:textId="77777777" w:rsidR="00CE75D4" w:rsidRDefault="00CE75D4" w:rsidP="008340C1">
            <w:pPr>
              <w:pStyle w:val="ARfintablebodybold"/>
              <w:spacing w:before="20" w:after="10"/>
            </w:pPr>
            <w:r>
              <w:t>2022</w:t>
            </w:r>
          </w:p>
        </w:tc>
      </w:tr>
      <w:tr w:rsidR="00CE75D4" w14:paraId="013A32C9" w14:textId="77777777" w:rsidTr="008340C1">
        <w:tc>
          <w:tcPr>
            <w:tcW w:w="14460" w:type="dxa"/>
            <w:gridSpan w:val="12"/>
            <w:tcBorders>
              <w:top w:val="single" w:sz="4" w:space="0" w:color="auto"/>
              <w:left w:val="single" w:sz="4" w:space="0" w:color="FFFFFF"/>
              <w:bottom w:val="single" w:sz="4" w:space="0" w:color="A6A6A6"/>
              <w:right w:val="single" w:sz="4" w:space="0" w:color="FFFFFF"/>
            </w:tcBorders>
            <w:hideMark/>
          </w:tcPr>
          <w:p w14:paraId="3F71864E" w14:textId="77777777" w:rsidR="00CE75D4" w:rsidRDefault="00CE75D4" w:rsidP="008340C1">
            <w:pPr>
              <w:pStyle w:val="ARfintablebodybold"/>
              <w:spacing w:before="20" w:after="10"/>
            </w:pPr>
            <w:r>
              <w:t>Controlled</w:t>
            </w:r>
          </w:p>
        </w:tc>
      </w:tr>
      <w:tr w:rsidR="00CE75D4" w14:paraId="2E79DB3C" w14:textId="77777777" w:rsidTr="008340C1">
        <w:tc>
          <w:tcPr>
            <w:tcW w:w="3341" w:type="dxa"/>
            <w:tcBorders>
              <w:top w:val="single" w:sz="4" w:space="0" w:color="A6A6A6"/>
              <w:left w:val="single" w:sz="4" w:space="0" w:color="FFFFFF"/>
              <w:bottom w:val="single" w:sz="4" w:space="0" w:color="A6A6A6"/>
              <w:right w:val="single" w:sz="4" w:space="0" w:color="FFFFFF"/>
            </w:tcBorders>
            <w:hideMark/>
          </w:tcPr>
          <w:p w14:paraId="30BAF155" w14:textId="77777777" w:rsidR="00CE75D4" w:rsidRDefault="00CE75D4" w:rsidP="008340C1">
            <w:pPr>
              <w:pStyle w:val="ARfintablebody"/>
              <w:spacing w:before="20" w:after="10"/>
            </w:pPr>
            <w:r>
              <w:t>Provision of outputs</w:t>
            </w:r>
          </w:p>
        </w:tc>
        <w:tc>
          <w:tcPr>
            <w:tcW w:w="1085" w:type="dxa"/>
            <w:tcBorders>
              <w:top w:val="single" w:sz="4" w:space="0" w:color="A6A6A6"/>
              <w:left w:val="single" w:sz="4" w:space="0" w:color="FFFFFF"/>
              <w:bottom w:val="single" w:sz="4" w:space="0" w:color="A6A6A6"/>
              <w:right w:val="single" w:sz="4" w:space="0" w:color="FFFFFF"/>
            </w:tcBorders>
            <w:noWrap/>
            <w:hideMark/>
          </w:tcPr>
          <w:p w14:paraId="0EC91915" w14:textId="77777777" w:rsidR="00CE75D4" w:rsidRDefault="00CE75D4" w:rsidP="008340C1">
            <w:pPr>
              <w:pStyle w:val="ARfintablebodyright"/>
              <w:spacing w:before="20" w:after="10"/>
            </w:pPr>
            <w:r>
              <w:t>11,670.9</w:t>
            </w:r>
          </w:p>
        </w:tc>
        <w:tc>
          <w:tcPr>
            <w:tcW w:w="1075" w:type="dxa"/>
            <w:tcBorders>
              <w:top w:val="single" w:sz="4" w:space="0" w:color="A6A6A6"/>
              <w:left w:val="single" w:sz="4" w:space="0" w:color="FFFFFF"/>
              <w:bottom w:val="single" w:sz="4" w:space="0" w:color="A6A6A6"/>
              <w:right w:val="single" w:sz="4" w:space="0" w:color="FFFFFF"/>
            </w:tcBorders>
            <w:noWrap/>
            <w:hideMark/>
          </w:tcPr>
          <w:p w14:paraId="53D3F961" w14:textId="77777777" w:rsidR="00CE75D4" w:rsidRDefault="00CE75D4" w:rsidP="008340C1">
            <w:pPr>
              <w:pStyle w:val="ARfintablebodyright"/>
              <w:spacing w:before="20" w:after="10"/>
            </w:pPr>
            <w:r>
              <w:t>4,235.3</w:t>
            </w:r>
          </w:p>
        </w:tc>
        <w:tc>
          <w:tcPr>
            <w:tcW w:w="1040" w:type="dxa"/>
            <w:tcBorders>
              <w:top w:val="single" w:sz="4" w:space="0" w:color="A6A6A6"/>
              <w:left w:val="single" w:sz="4" w:space="0" w:color="FFFFFF"/>
              <w:bottom w:val="single" w:sz="4" w:space="0" w:color="A6A6A6"/>
              <w:right w:val="single" w:sz="4" w:space="0" w:color="FFFFFF"/>
            </w:tcBorders>
            <w:noWrap/>
            <w:hideMark/>
          </w:tcPr>
          <w:p w14:paraId="0612F005" w14:textId="77777777" w:rsidR="00CE75D4" w:rsidRDefault="00CE75D4" w:rsidP="008340C1">
            <w:pPr>
              <w:pStyle w:val="ARfintablebodyright"/>
              <w:spacing w:before="20" w:after="10"/>
            </w:pPr>
            <w:r>
              <w:t>–</w:t>
            </w:r>
          </w:p>
        </w:tc>
        <w:tc>
          <w:tcPr>
            <w:tcW w:w="1040" w:type="dxa"/>
            <w:tcBorders>
              <w:top w:val="single" w:sz="4" w:space="0" w:color="A6A6A6"/>
              <w:left w:val="single" w:sz="4" w:space="0" w:color="FFFFFF"/>
              <w:bottom w:val="single" w:sz="4" w:space="0" w:color="A6A6A6"/>
              <w:right w:val="nil"/>
            </w:tcBorders>
            <w:shd w:val="clear" w:color="auto" w:fill="E7E6E6"/>
            <w:noWrap/>
            <w:hideMark/>
          </w:tcPr>
          <w:p w14:paraId="1F8EAFA8" w14:textId="77777777" w:rsidR="00CE75D4" w:rsidRDefault="00CE75D4" w:rsidP="008340C1">
            <w:pPr>
              <w:pStyle w:val="ARfintablebodyright"/>
              <w:spacing w:before="20" w:after="10"/>
            </w:pPr>
            <w:r>
              <w:t>389.5</w:t>
            </w:r>
          </w:p>
        </w:tc>
        <w:tc>
          <w:tcPr>
            <w:tcW w:w="1072" w:type="dxa"/>
            <w:tcBorders>
              <w:top w:val="single" w:sz="4" w:space="0" w:color="A6A6A6"/>
              <w:left w:val="nil"/>
              <w:bottom w:val="single" w:sz="4" w:space="0" w:color="A6A6A6"/>
              <w:right w:val="nil"/>
            </w:tcBorders>
            <w:shd w:val="clear" w:color="auto" w:fill="E7E6E6"/>
            <w:noWrap/>
            <w:hideMark/>
          </w:tcPr>
          <w:p w14:paraId="3FF59094" w14:textId="77777777" w:rsidR="00CE75D4" w:rsidRDefault="00CE75D4" w:rsidP="008340C1">
            <w:pPr>
              <w:pStyle w:val="ARfintablebodyright"/>
              <w:spacing w:before="20" w:after="10"/>
            </w:pPr>
            <w:r>
              <w:t>51.1</w:t>
            </w:r>
          </w:p>
        </w:tc>
        <w:tc>
          <w:tcPr>
            <w:tcW w:w="1072" w:type="dxa"/>
            <w:tcBorders>
              <w:top w:val="single" w:sz="4" w:space="0" w:color="A6A6A6"/>
              <w:left w:val="nil"/>
              <w:bottom w:val="single" w:sz="4" w:space="0" w:color="A6A6A6"/>
              <w:right w:val="nil"/>
            </w:tcBorders>
            <w:shd w:val="clear" w:color="auto" w:fill="E7E6E6"/>
            <w:noWrap/>
            <w:hideMark/>
          </w:tcPr>
          <w:p w14:paraId="4AB861B8" w14:textId="77777777" w:rsidR="00CE75D4" w:rsidRDefault="00CE75D4" w:rsidP="008340C1">
            <w:pPr>
              <w:pStyle w:val="ARfintablebodyright"/>
              <w:spacing w:before="20" w:after="10"/>
            </w:pPr>
            <w:r>
              <w:t>65.8</w:t>
            </w:r>
          </w:p>
        </w:tc>
        <w:tc>
          <w:tcPr>
            <w:tcW w:w="1072" w:type="dxa"/>
            <w:tcBorders>
              <w:top w:val="single" w:sz="4" w:space="0" w:color="A6A6A6"/>
              <w:left w:val="nil"/>
              <w:bottom w:val="single" w:sz="4" w:space="0" w:color="A6A6A6"/>
              <w:right w:val="single" w:sz="4" w:space="0" w:color="FFFFFF"/>
            </w:tcBorders>
            <w:shd w:val="clear" w:color="auto" w:fill="E7E6E6"/>
            <w:noWrap/>
            <w:hideMark/>
          </w:tcPr>
          <w:p w14:paraId="1E89B586" w14:textId="77777777" w:rsidR="00CE75D4" w:rsidRDefault="00CE75D4" w:rsidP="008340C1">
            <w:pPr>
              <w:pStyle w:val="ARfintablebodyright"/>
              <w:spacing w:before="20" w:after="10"/>
            </w:pPr>
            <w:r>
              <w:t>–</w:t>
            </w:r>
          </w:p>
        </w:tc>
        <w:tc>
          <w:tcPr>
            <w:tcW w:w="1085" w:type="dxa"/>
            <w:tcBorders>
              <w:top w:val="single" w:sz="4" w:space="0" w:color="A6A6A6"/>
              <w:left w:val="single" w:sz="4" w:space="0" w:color="FFFFFF"/>
              <w:bottom w:val="single" w:sz="4" w:space="0" w:color="A6A6A6"/>
              <w:right w:val="single" w:sz="4" w:space="0" w:color="FFFFFF"/>
            </w:tcBorders>
            <w:noWrap/>
            <w:hideMark/>
          </w:tcPr>
          <w:p w14:paraId="24059BD1" w14:textId="77777777" w:rsidR="00CE75D4" w:rsidRDefault="00CE75D4" w:rsidP="008340C1">
            <w:pPr>
              <w:pStyle w:val="ARfintablebodyright"/>
              <w:spacing w:before="20" w:after="10"/>
            </w:pPr>
            <w:r>
              <w:t>16,412.5</w:t>
            </w:r>
          </w:p>
        </w:tc>
        <w:tc>
          <w:tcPr>
            <w:tcW w:w="1078" w:type="dxa"/>
            <w:tcBorders>
              <w:top w:val="single" w:sz="4" w:space="0" w:color="A6A6A6"/>
              <w:left w:val="single" w:sz="4" w:space="0" w:color="FFFFFF"/>
              <w:bottom w:val="single" w:sz="4" w:space="0" w:color="A6A6A6"/>
              <w:right w:val="single" w:sz="4" w:space="0" w:color="FFFFFF"/>
            </w:tcBorders>
            <w:noWrap/>
            <w:hideMark/>
          </w:tcPr>
          <w:p w14:paraId="06375501" w14:textId="77777777" w:rsidR="00CE75D4" w:rsidRDefault="00CE75D4" w:rsidP="008340C1">
            <w:pPr>
              <w:pStyle w:val="ARfintablebodyright"/>
              <w:spacing w:before="20" w:after="10"/>
            </w:pPr>
            <w:r>
              <w:t>15,909.9</w:t>
            </w:r>
          </w:p>
        </w:tc>
        <w:tc>
          <w:tcPr>
            <w:tcW w:w="1067" w:type="dxa"/>
            <w:tcBorders>
              <w:top w:val="single" w:sz="4" w:space="0" w:color="A6A6A6"/>
              <w:left w:val="single" w:sz="4" w:space="0" w:color="FFFFFF"/>
              <w:bottom w:val="single" w:sz="4" w:space="0" w:color="A6A6A6"/>
              <w:right w:val="single" w:sz="4" w:space="0" w:color="FFFFFF"/>
            </w:tcBorders>
            <w:noWrap/>
            <w:hideMark/>
          </w:tcPr>
          <w:p w14:paraId="13C4C40F" w14:textId="77777777" w:rsidR="00CE75D4" w:rsidRDefault="00CE75D4" w:rsidP="008340C1">
            <w:pPr>
              <w:pStyle w:val="ARfintablebodyright"/>
              <w:spacing w:before="20" w:after="10"/>
            </w:pPr>
            <w:r>
              <w:t>502.6</w:t>
            </w:r>
          </w:p>
        </w:tc>
        <w:tc>
          <w:tcPr>
            <w:tcW w:w="433" w:type="dxa"/>
            <w:tcBorders>
              <w:top w:val="single" w:sz="4" w:space="0" w:color="A6A6A6"/>
              <w:left w:val="single" w:sz="4" w:space="0" w:color="FFFFFF"/>
              <w:bottom w:val="single" w:sz="4" w:space="0" w:color="A6A6A6"/>
              <w:right w:val="single" w:sz="4" w:space="0" w:color="FFFFFF"/>
            </w:tcBorders>
            <w:noWrap/>
            <w:hideMark/>
          </w:tcPr>
          <w:p w14:paraId="7EA22BDE" w14:textId="77777777" w:rsidR="00CE75D4" w:rsidRDefault="00CE75D4" w:rsidP="008340C1">
            <w:pPr>
              <w:pStyle w:val="ARfintablebodyright"/>
              <w:spacing w:before="20" w:after="10"/>
              <w:rPr>
                <w:rStyle w:val="Superscript"/>
              </w:rPr>
            </w:pPr>
            <w:r>
              <w:rPr>
                <w:rStyle w:val="Superscript"/>
              </w:rPr>
              <w:t>(iii)</w:t>
            </w:r>
          </w:p>
        </w:tc>
      </w:tr>
      <w:tr w:rsidR="00CE75D4" w14:paraId="1681B9C5" w14:textId="77777777" w:rsidTr="008340C1">
        <w:tc>
          <w:tcPr>
            <w:tcW w:w="3341" w:type="dxa"/>
            <w:tcBorders>
              <w:top w:val="single" w:sz="4" w:space="0" w:color="A6A6A6"/>
              <w:left w:val="single" w:sz="4" w:space="0" w:color="FFFFFF"/>
              <w:bottom w:val="single" w:sz="4" w:space="0" w:color="A6A6A6"/>
              <w:right w:val="single" w:sz="4" w:space="0" w:color="FFFFFF"/>
            </w:tcBorders>
            <w:hideMark/>
          </w:tcPr>
          <w:p w14:paraId="13DC62BE" w14:textId="77777777" w:rsidR="00CE75D4" w:rsidRDefault="00CE75D4" w:rsidP="008340C1">
            <w:pPr>
              <w:pStyle w:val="ARfintablebody"/>
              <w:spacing w:before="20" w:after="10"/>
            </w:pPr>
            <w:r>
              <w:t>Additions to net assets</w:t>
            </w:r>
          </w:p>
        </w:tc>
        <w:tc>
          <w:tcPr>
            <w:tcW w:w="1085" w:type="dxa"/>
            <w:tcBorders>
              <w:top w:val="single" w:sz="4" w:space="0" w:color="A6A6A6"/>
              <w:left w:val="single" w:sz="4" w:space="0" w:color="FFFFFF"/>
              <w:bottom w:val="single" w:sz="4" w:space="0" w:color="A6A6A6"/>
              <w:right w:val="single" w:sz="4" w:space="0" w:color="FFFFFF"/>
            </w:tcBorders>
            <w:noWrap/>
            <w:hideMark/>
          </w:tcPr>
          <w:p w14:paraId="08C4D39E" w14:textId="77777777" w:rsidR="00CE75D4" w:rsidRDefault="00CE75D4" w:rsidP="008340C1">
            <w:pPr>
              <w:pStyle w:val="ARfintablebodyright"/>
              <w:spacing w:before="20" w:after="10"/>
            </w:pPr>
            <w:r>
              <w:t>155.1</w:t>
            </w:r>
          </w:p>
        </w:tc>
        <w:tc>
          <w:tcPr>
            <w:tcW w:w="1075" w:type="dxa"/>
            <w:tcBorders>
              <w:top w:val="single" w:sz="4" w:space="0" w:color="A6A6A6"/>
              <w:left w:val="single" w:sz="4" w:space="0" w:color="FFFFFF"/>
              <w:bottom w:val="single" w:sz="4" w:space="0" w:color="A6A6A6"/>
              <w:right w:val="single" w:sz="4" w:space="0" w:color="FFFFFF"/>
            </w:tcBorders>
            <w:noWrap/>
            <w:hideMark/>
          </w:tcPr>
          <w:p w14:paraId="01F6F78B" w14:textId="77777777" w:rsidR="00CE75D4" w:rsidRDefault="00CE75D4" w:rsidP="008340C1">
            <w:pPr>
              <w:pStyle w:val="ARfintablebodyright"/>
              <w:spacing w:before="20" w:after="10"/>
            </w:pPr>
            <w:r>
              <w:t>–</w:t>
            </w:r>
          </w:p>
        </w:tc>
        <w:tc>
          <w:tcPr>
            <w:tcW w:w="1040" w:type="dxa"/>
            <w:tcBorders>
              <w:top w:val="single" w:sz="4" w:space="0" w:color="A6A6A6"/>
              <w:left w:val="single" w:sz="4" w:space="0" w:color="FFFFFF"/>
              <w:bottom w:val="single" w:sz="4" w:space="0" w:color="A6A6A6"/>
              <w:right w:val="single" w:sz="4" w:space="0" w:color="FFFFFF"/>
            </w:tcBorders>
            <w:noWrap/>
            <w:hideMark/>
          </w:tcPr>
          <w:p w14:paraId="7A834A3D" w14:textId="77777777" w:rsidR="00CE75D4" w:rsidRDefault="00CE75D4" w:rsidP="008340C1">
            <w:pPr>
              <w:pStyle w:val="ARfintablebodyright"/>
              <w:spacing w:before="20" w:after="10"/>
            </w:pPr>
            <w:r>
              <w:t>–</w:t>
            </w:r>
          </w:p>
        </w:tc>
        <w:tc>
          <w:tcPr>
            <w:tcW w:w="1040" w:type="dxa"/>
            <w:tcBorders>
              <w:top w:val="single" w:sz="4" w:space="0" w:color="A6A6A6"/>
              <w:left w:val="single" w:sz="4" w:space="0" w:color="FFFFFF"/>
              <w:bottom w:val="single" w:sz="4" w:space="0" w:color="A6A6A6"/>
              <w:right w:val="nil"/>
            </w:tcBorders>
            <w:shd w:val="clear" w:color="auto" w:fill="E7E6E6"/>
            <w:noWrap/>
            <w:hideMark/>
          </w:tcPr>
          <w:p w14:paraId="19C3EF97" w14:textId="77777777" w:rsidR="00CE75D4" w:rsidRDefault="00CE75D4" w:rsidP="008340C1">
            <w:pPr>
              <w:pStyle w:val="ARfintablebodyright"/>
              <w:spacing w:before="20" w:after="10"/>
            </w:pPr>
            <w:r>
              <w:t>29.6</w:t>
            </w:r>
          </w:p>
        </w:tc>
        <w:tc>
          <w:tcPr>
            <w:tcW w:w="1072" w:type="dxa"/>
            <w:tcBorders>
              <w:top w:val="single" w:sz="4" w:space="0" w:color="A6A6A6"/>
              <w:left w:val="nil"/>
              <w:bottom w:val="single" w:sz="4" w:space="0" w:color="A6A6A6"/>
              <w:right w:val="nil"/>
            </w:tcBorders>
            <w:shd w:val="clear" w:color="auto" w:fill="E7E6E6"/>
            <w:noWrap/>
            <w:hideMark/>
          </w:tcPr>
          <w:p w14:paraId="0CCB2DC7" w14:textId="77777777" w:rsidR="00CE75D4" w:rsidRDefault="00CE75D4" w:rsidP="008340C1">
            <w:pPr>
              <w:pStyle w:val="ARfintablebodyright"/>
              <w:spacing w:before="20" w:after="10"/>
            </w:pPr>
            <w:r>
              <w:t>(51.1)</w:t>
            </w:r>
          </w:p>
        </w:tc>
        <w:tc>
          <w:tcPr>
            <w:tcW w:w="1072" w:type="dxa"/>
            <w:tcBorders>
              <w:top w:val="single" w:sz="4" w:space="0" w:color="A6A6A6"/>
              <w:left w:val="nil"/>
              <w:bottom w:val="single" w:sz="4" w:space="0" w:color="A6A6A6"/>
              <w:right w:val="nil"/>
            </w:tcBorders>
            <w:shd w:val="clear" w:color="auto" w:fill="E7E6E6"/>
            <w:noWrap/>
            <w:hideMark/>
          </w:tcPr>
          <w:p w14:paraId="69A7EE6D" w14:textId="77777777" w:rsidR="00CE75D4" w:rsidRDefault="00CE75D4" w:rsidP="008340C1">
            <w:pPr>
              <w:pStyle w:val="ARfintablebodyright"/>
              <w:spacing w:before="20" w:after="10"/>
            </w:pPr>
            <w:r>
              <w:t>–</w:t>
            </w:r>
          </w:p>
        </w:tc>
        <w:tc>
          <w:tcPr>
            <w:tcW w:w="1072" w:type="dxa"/>
            <w:tcBorders>
              <w:top w:val="single" w:sz="4" w:space="0" w:color="A6A6A6"/>
              <w:left w:val="nil"/>
              <w:bottom w:val="single" w:sz="4" w:space="0" w:color="A6A6A6"/>
              <w:right w:val="single" w:sz="4" w:space="0" w:color="FFFFFF"/>
            </w:tcBorders>
            <w:shd w:val="clear" w:color="auto" w:fill="E7E6E6"/>
            <w:noWrap/>
            <w:hideMark/>
          </w:tcPr>
          <w:p w14:paraId="6A72C235" w14:textId="77777777" w:rsidR="00CE75D4" w:rsidRDefault="00CE75D4" w:rsidP="008340C1">
            <w:pPr>
              <w:pStyle w:val="ARfintablebodyright"/>
              <w:spacing w:before="20" w:after="10"/>
            </w:pPr>
            <w:r>
              <w:t>–</w:t>
            </w:r>
          </w:p>
        </w:tc>
        <w:tc>
          <w:tcPr>
            <w:tcW w:w="1085" w:type="dxa"/>
            <w:tcBorders>
              <w:top w:val="single" w:sz="4" w:space="0" w:color="A6A6A6"/>
              <w:left w:val="single" w:sz="4" w:space="0" w:color="FFFFFF"/>
              <w:bottom w:val="single" w:sz="4" w:space="0" w:color="A6A6A6"/>
              <w:right w:val="single" w:sz="4" w:space="0" w:color="FFFFFF"/>
            </w:tcBorders>
            <w:noWrap/>
            <w:hideMark/>
          </w:tcPr>
          <w:p w14:paraId="4F9159B3" w14:textId="77777777" w:rsidR="00CE75D4" w:rsidRDefault="00CE75D4" w:rsidP="008340C1">
            <w:pPr>
              <w:pStyle w:val="ARfintablebodyright"/>
              <w:spacing w:before="20" w:after="10"/>
            </w:pPr>
            <w:r>
              <w:t>133.6</w:t>
            </w:r>
          </w:p>
        </w:tc>
        <w:tc>
          <w:tcPr>
            <w:tcW w:w="1078" w:type="dxa"/>
            <w:tcBorders>
              <w:top w:val="single" w:sz="4" w:space="0" w:color="A6A6A6"/>
              <w:left w:val="single" w:sz="4" w:space="0" w:color="FFFFFF"/>
              <w:bottom w:val="single" w:sz="4" w:space="0" w:color="A6A6A6"/>
              <w:right w:val="single" w:sz="4" w:space="0" w:color="FFFFFF"/>
            </w:tcBorders>
            <w:noWrap/>
            <w:hideMark/>
          </w:tcPr>
          <w:p w14:paraId="162AF7D4" w14:textId="77777777" w:rsidR="00CE75D4" w:rsidRDefault="00CE75D4" w:rsidP="008340C1">
            <w:pPr>
              <w:pStyle w:val="ARfintablebodyright"/>
              <w:spacing w:before="20" w:after="10"/>
            </w:pPr>
            <w:r>
              <w:t>7.7</w:t>
            </w:r>
          </w:p>
        </w:tc>
        <w:tc>
          <w:tcPr>
            <w:tcW w:w="1067" w:type="dxa"/>
            <w:tcBorders>
              <w:top w:val="single" w:sz="4" w:space="0" w:color="A6A6A6"/>
              <w:left w:val="single" w:sz="4" w:space="0" w:color="FFFFFF"/>
              <w:bottom w:val="single" w:sz="4" w:space="0" w:color="A6A6A6"/>
              <w:right w:val="single" w:sz="4" w:space="0" w:color="FFFFFF"/>
            </w:tcBorders>
            <w:noWrap/>
            <w:hideMark/>
          </w:tcPr>
          <w:p w14:paraId="097244A7" w14:textId="77777777" w:rsidR="00CE75D4" w:rsidRDefault="00CE75D4" w:rsidP="008340C1">
            <w:pPr>
              <w:pStyle w:val="ARfintablebodyright"/>
              <w:spacing w:before="20" w:after="10"/>
            </w:pPr>
            <w:r>
              <w:t>125.9</w:t>
            </w:r>
          </w:p>
        </w:tc>
        <w:tc>
          <w:tcPr>
            <w:tcW w:w="433" w:type="dxa"/>
            <w:tcBorders>
              <w:top w:val="single" w:sz="4" w:space="0" w:color="A6A6A6"/>
              <w:left w:val="single" w:sz="4" w:space="0" w:color="FFFFFF"/>
              <w:bottom w:val="single" w:sz="4" w:space="0" w:color="A6A6A6"/>
              <w:right w:val="single" w:sz="4" w:space="0" w:color="FFFFFF"/>
            </w:tcBorders>
            <w:noWrap/>
            <w:hideMark/>
          </w:tcPr>
          <w:p w14:paraId="7FC07CD3" w14:textId="77777777" w:rsidR="00CE75D4" w:rsidRDefault="00CE75D4" w:rsidP="008340C1">
            <w:pPr>
              <w:pStyle w:val="ARfintablebodyright"/>
              <w:spacing w:before="20" w:after="10"/>
              <w:rPr>
                <w:rStyle w:val="Superscript"/>
              </w:rPr>
            </w:pPr>
            <w:r>
              <w:rPr>
                <w:rStyle w:val="Superscript"/>
              </w:rPr>
              <w:t>(iv)</w:t>
            </w:r>
          </w:p>
        </w:tc>
      </w:tr>
      <w:tr w:rsidR="00CE75D4" w14:paraId="35E8B211" w14:textId="77777777" w:rsidTr="008340C1">
        <w:tc>
          <w:tcPr>
            <w:tcW w:w="14460" w:type="dxa"/>
            <w:gridSpan w:val="12"/>
            <w:tcBorders>
              <w:top w:val="single" w:sz="4" w:space="0" w:color="A6A6A6"/>
              <w:left w:val="single" w:sz="4" w:space="0" w:color="FFFFFF"/>
              <w:bottom w:val="single" w:sz="4" w:space="0" w:color="A6A6A6"/>
              <w:right w:val="single" w:sz="4" w:space="0" w:color="FFFFFF"/>
            </w:tcBorders>
            <w:hideMark/>
          </w:tcPr>
          <w:p w14:paraId="09C06B80" w14:textId="77777777" w:rsidR="00CE75D4" w:rsidRDefault="00CE75D4" w:rsidP="008340C1">
            <w:pPr>
              <w:pStyle w:val="ARfintablebodybold"/>
              <w:spacing w:before="20" w:after="10"/>
            </w:pPr>
            <w:r>
              <w:t>Administered</w:t>
            </w:r>
          </w:p>
        </w:tc>
      </w:tr>
      <w:tr w:rsidR="00CE75D4" w14:paraId="461CAA5B" w14:textId="77777777" w:rsidTr="008340C1">
        <w:tc>
          <w:tcPr>
            <w:tcW w:w="3341" w:type="dxa"/>
            <w:tcBorders>
              <w:top w:val="single" w:sz="4" w:space="0" w:color="A6A6A6"/>
              <w:left w:val="single" w:sz="4" w:space="0" w:color="FFFFFF"/>
              <w:bottom w:val="single" w:sz="4" w:space="0" w:color="auto"/>
              <w:right w:val="single" w:sz="4" w:space="0" w:color="FFFFFF"/>
            </w:tcBorders>
            <w:hideMark/>
          </w:tcPr>
          <w:p w14:paraId="3B04023B" w14:textId="77777777" w:rsidR="00CE75D4" w:rsidRDefault="00CE75D4" w:rsidP="008340C1">
            <w:pPr>
              <w:pStyle w:val="ARfintablebody"/>
              <w:spacing w:before="20" w:after="10"/>
            </w:pPr>
            <w:r>
              <w:t>Payments made on behalf of the state</w:t>
            </w:r>
          </w:p>
        </w:tc>
        <w:tc>
          <w:tcPr>
            <w:tcW w:w="1085" w:type="dxa"/>
            <w:tcBorders>
              <w:top w:val="single" w:sz="4" w:space="0" w:color="A6A6A6"/>
              <w:left w:val="single" w:sz="4" w:space="0" w:color="FFFFFF"/>
              <w:bottom w:val="single" w:sz="4" w:space="0" w:color="auto"/>
              <w:right w:val="single" w:sz="4" w:space="0" w:color="FFFFFF"/>
            </w:tcBorders>
            <w:noWrap/>
            <w:hideMark/>
          </w:tcPr>
          <w:p w14:paraId="23D652EC" w14:textId="77777777" w:rsidR="00CE75D4" w:rsidRDefault="00CE75D4" w:rsidP="008340C1">
            <w:pPr>
              <w:pStyle w:val="ARfintablebodyright"/>
              <w:spacing w:before="20" w:after="10"/>
            </w:pPr>
            <w:r>
              <w:t>–</w:t>
            </w:r>
          </w:p>
        </w:tc>
        <w:tc>
          <w:tcPr>
            <w:tcW w:w="1075" w:type="dxa"/>
            <w:tcBorders>
              <w:top w:val="single" w:sz="4" w:space="0" w:color="A6A6A6"/>
              <w:left w:val="single" w:sz="4" w:space="0" w:color="FFFFFF"/>
              <w:bottom w:val="single" w:sz="4" w:space="0" w:color="auto"/>
              <w:right w:val="single" w:sz="4" w:space="0" w:color="FFFFFF"/>
            </w:tcBorders>
            <w:noWrap/>
            <w:hideMark/>
          </w:tcPr>
          <w:p w14:paraId="7037F821" w14:textId="77777777" w:rsidR="00CE75D4" w:rsidRDefault="00CE75D4" w:rsidP="008340C1">
            <w:pPr>
              <w:pStyle w:val="ARfintablebodyright"/>
              <w:spacing w:before="20" w:after="10"/>
            </w:pPr>
            <w:r>
              <w:t>–</w:t>
            </w:r>
          </w:p>
        </w:tc>
        <w:tc>
          <w:tcPr>
            <w:tcW w:w="1040" w:type="dxa"/>
            <w:tcBorders>
              <w:top w:val="single" w:sz="4" w:space="0" w:color="A6A6A6"/>
              <w:left w:val="single" w:sz="4" w:space="0" w:color="FFFFFF"/>
              <w:bottom w:val="single" w:sz="4" w:space="0" w:color="auto"/>
              <w:right w:val="single" w:sz="4" w:space="0" w:color="FFFFFF"/>
            </w:tcBorders>
            <w:noWrap/>
            <w:hideMark/>
          </w:tcPr>
          <w:p w14:paraId="2E37065F" w14:textId="77777777" w:rsidR="00CE75D4" w:rsidRDefault="00CE75D4" w:rsidP="008340C1">
            <w:pPr>
              <w:pStyle w:val="ARfintablebodyright"/>
              <w:spacing w:before="20" w:after="10"/>
            </w:pPr>
            <w:r>
              <w:t>–</w:t>
            </w:r>
          </w:p>
        </w:tc>
        <w:tc>
          <w:tcPr>
            <w:tcW w:w="1040" w:type="dxa"/>
            <w:tcBorders>
              <w:top w:val="single" w:sz="4" w:space="0" w:color="A6A6A6"/>
              <w:left w:val="single" w:sz="4" w:space="0" w:color="FFFFFF"/>
              <w:bottom w:val="single" w:sz="4" w:space="0" w:color="auto"/>
              <w:right w:val="nil"/>
            </w:tcBorders>
            <w:shd w:val="clear" w:color="auto" w:fill="E7E6E6"/>
            <w:noWrap/>
            <w:hideMark/>
          </w:tcPr>
          <w:p w14:paraId="0FFC3212" w14:textId="77777777" w:rsidR="00CE75D4" w:rsidRDefault="00CE75D4" w:rsidP="008340C1">
            <w:pPr>
              <w:pStyle w:val="ARfintablebodyright"/>
              <w:spacing w:before="20" w:after="10"/>
            </w:pPr>
            <w:r>
              <w:t>–</w:t>
            </w:r>
          </w:p>
        </w:tc>
        <w:tc>
          <w:tcPr>
            <w:tcW w:w="1072" w:type="dxa"/>
            <w:tcBorders>
              <w:top w:val="single" w:sz="4" w:space="0" w:color="A6A6A6"/>
              <w:left w:val="nil"/>
              <w:bottom w:val="single" w:sz="4" w:space="0" w:color="auto"/>
              <w:right w:val="nil"/>
            </w:tcBorders>
            <w:shd w:val="clear" w:color="auto" w:fill="E7E6E6"/>
            <w:noWrap/>
            <w:hideMark/>
          </w:tcPr>
          <w:p w14:paraId="5919A1EC" w14:textId="77777777" w:rsidR="00CE75D4" w:rsidRDefault="00CE75D4" w:rsidP="008340C1">
            <w:pPr>
              <w:pStyle w:val="ARfintablebodyright"/>
              <w:spacing w:before="20" w:after="10"/>
            </w:pPr>
            <w:r>
              <w:t>–</w:t>
            </w:r>
          </w:p>
        </w:tc>
        <w:tc>
          <w:tcPr>
            <w:tcW w:w="1072" w:type="dxa"/>
            <w:tcBorders>
              <w:top w:val="single" w:sz="4" w:space="0" w:color="A6A6A6"/>
              <w:left w:val="nil"/>
              <w:bottom w:val="single" w:sz="4" w:space="0" w:color="auto"/>
              <w:right w:val="nil"/>
            </w:tcBorders>
            <w:shd w:val="clear" w:color="auto" w:fill="E7E6E6"/>
            <w:noWrap/>
            <w:hideMark/>
          </w:tcPr>
          <w:p w14:paraId="4765BC37" w14:textId="77777777" w:rsidR="00CE75D4" w:rsidRDefault="00CE75D4" w:rsidP="008340C1">
            <w:pPr>
              <w:pStyle w:val="ARfintablebodyright"/>
              <w:spacing w:before="20" w:after="10"/>
            </w:pPr>
            <w:r>
              <w:t>–</w:t>
            </w:r>
          </w:p>
        </w:tc>
        <w:tc>
          <w:tcPr>
            <w:tcW w:w="1072" w:type="dxa"/>
            <w:tcBorders>
              <w:top w:val="single" w:sz="4" w:space="0" w:color="A6A6A6"/>
              <w:left w:val="nil"/>
              <w:bottom w:val="single" w:sz="4" w:space="0" w:color="auto"/>
              <w:right w:val="single" w:sz="4" w:space="0" w:color="FFFFFF"/>
            </w:tcBorders>
            <w:shd w:val="clear" w:color="auto" w:fill="E7E6E6"/>
            <w:noWrap/>
            <w:hideMark/>
          </w:tcPr>
          <w:p w14:paraId="24F26FE3" w14:textId="77777777" w:rsidR="00CE75D4" w:rsidRDefault="00CE75D4" w:rsidP="008340C1">
            <w:pPr>
              <w:pStyle w:val="ARfintablebodyright"/>
              <w:spacing w:before="20" w:after="10"/>
            </w:pPr>
            <w:r>
              <w:t>–</w:t>
            </w:r>
          </w:p>
        </w:tc>
        <w:tc>
          <w:tcPr>
            <w:tcW w:w="1085" w:type="dxa"/>
            <w:tcBorders>
              <w:top w:val="single" w:sz="4" w:space="0" w:color="A6A6A6"/>
              <w:left w:val="single" w:sz="4" w:space="0" w:color="FFFFFF"/>
              <w:bottom w:val="single" w:sz="4" w:space="0" w:color="auto"/>
              <w:right w:val="single" w:sz="4" w:space="0" w:color="FFFFFF"/>
            </w:tcBorders>
            <w:noWrap/>
            <w:hideMark/>
          </w:tcPr>
          <w:p w14:paraId="03BB0C25" w14:textId="77777777" w:rsidR="00CE75D4" w:rsidRDefault="00CE75D4" w:rsidP="008340C1">
            <w:pPr>
              <w:pStyle w:val="ARfintablebodyright"/>
              <w:spacing w:before="20" w:after="10"/>
            </w:pPr>
            <w:r>
              <w:t>–</w:t>
            </w:r>
          </w:p>
        </w:tc>
        <w:tc>
          <w:tcPr>
            <w:tcW w:w="1078" w:type="dxa"/>
            <w:tcBorders>
              <w:top w:val="single" w:sz="4" w:space="0" w:color="A6A6A6"/>
              <w:left w:val="single" w:sz="4" w:space="0" w:color="FFFFFF"/>
              <w:bottom w:val="single" w:sz="4" w:space="0" w:color="auto"/>
              <w:right w:val="single" w:sz="4" w:space="0" w:color="FFFFFF"/>
            </w:tcBorders>
            <w:noWrap/>
            <w:hideMark/>
          </w:tcPr>
          <w:p w14:paraId="39CD8F27" w14:textId="77777777" w:rsidR="00CE75D4" w:rsidRDefault="00CE75D4" w:rsidP="008340C1">
            <w:pPr>
              <w:pStyle w:val="ARfintablebodyright"/>
              <w:spacing w:before="20" w:after="10"/>
            </w:pPr>
            <w:r>
              <w:t>–</w:t>
            </w:r>
          </w:p>
        </w:tc>
        <w:tc>
          <w:tcPr>
            <w:tcW w:w="1067" w:type="dxa"/>
            <w:tcBorders>
              <w:top w:val="single" w:sz="4" w:space="0" w:color="A6A6A6"/>
              <w:left w:val="single" w:sz="4" w:space="0" w:color="FFFFFF"/>
              <w:bottom w:val="single" w:sz="4" w:space="0" w:color="auto"/>
              <w:right w:val="single" w:sz="4" w:space="0" w:color="FFFFFF"/>
            </w:tcBorders>
            <w:noWrap/>
            <w:hideMark/>
          </w:tcPr>
          <w:p w14:paraId="1DF9AF59" w14:textId="77777777" w:rsidR="00CE75D4" w:rsidRDefault="00CE75D4" w:rsidP="008340C1">
            <w:pPr>
              <w:pStyle w:val="ARfintablebodyright"/>
              <w:spacing w:before="20" w:after="10"/>
            </w:pPr>
            <w:r>
              <w:t>–</w:t>
            </w:r>
          </w:p>
        </w:tc>
        <w:tc>
          <w:tcPr>
            <w:tcW w:w="433" w:type="dxa"/>
            <w:tcBorders>
              <w:top w:val="single" w:sz="4" w:space="0" w:color="A6A6A6"/>
              <w:left w:val="single" w:sz="4" w:space="0" w:color="FFFFFF"/>
              <w:bottom w:val="single" w:sz="4" w:space="0" w:color="auto"/>
              <w:right w:val="single" w:sz="4" w:space="0" w:color="FFFFFF"/>
            </w:tcBorders>
            <w:noWrap/>
            <w:hideMark/>
          </w:tcPr>
          <w:p w14:paraId="0EC8BD8E" w14:textId="77777777" w:rsidR="00CE75D4" w:rsidRDefault="00CE75D4" w:rsidP="008340C1">
            <w:pPr>
              <w:pStyle w:val="ARfintablebodyright"/>
              <w:spacing w:before="20" w:after="10"/>
            </w:pPr>
          </w:p>
        </w:tc>
      </w:tr>
      <w:tr w:rsidR="00CE75D4" w14:paraId="74ACC0E5" w14:textId="77777777" w:rsidTr="008340C1">
        <w:tc>
          <w:tcPr>
            <w:tcW w:w="3341" w:type="dxa"/>
            <w:tcBorders>
              <w:top w:val="single" w:sz="4" w:space="0" w:color="auto"/>
              <w:left w:val="single" w:sz="4" w:space="0" w:color="FFFFFF"/>
              <w:bottom w:val="single" w:sz="4" w:space="0" w:color="auto"/>
              <w:right w:val="single" w:sz="4" w:space="0" w:color="FFFFFF"/>
            </w:tcBorders>
            <w:hideMark/>
          </w:tcPr>
          <w:p w14:paraId="54C0409F" w14:textId="77777777" w:rsidR="00CE75D4" w:rsidRDefault="00CE75D4" w:rsidP="008340C1">
            <w:pPr>
              <w:pStyle w:val="ARfintablebodybold"/>
              <w:spacing w:before="20" w:after="10"/>
            </w:pPr>
            <w:r>
              <w:t>Total</w:t>
            </w:r>
          </w:p>
        </w:tc>
        <w:tc>
          <w:tcPr>
            <w:tcW w:w="1085" w:type="dxa"/>
            <w:tcBorders>
              <w:top w:val="single" w:sz="4" w:space="0" w:color="auto"/>
              <w:left w:val="single" w:sz="4" w:space="0" w:color="FFFFFF"/>
              <w:bottom w:val="single" w:sz="4" w:space="0" w:color="auto"/>
              <w:right w:val="single" w:sz="4" w:space="0" w:color="FFFFFF"/>
            </w:tcBorders>
            <w:noWrap/>
            <w:hideMark/>
          </w:tcPr>
          <w:p w14:paraId="6E7BEC40" w14:textId="77777777" w:rsidR="00CE75D4" w:rsidRDefault="00CE75D4" w:rsidP="008340C1">
            <w:pPr>
              <w:pStyle w:val="ARfintablebodyrightbold"/>
              <w:spacing w:before="20" w:after="10"/>
            </w:pPr>
            <w:r>
              <w:t>11,826.0</w:t>
            </w:r>
          </w:p>
        </w:tc>
        <w:tc>
          <w:tcPr>
            <w:tcW w:w="1075" w:type="dxa"/>
            <w:tcBorders>
              <w:top w:val="single" w:sz="4" w:space="0" w:color="auto"/>
              <w:left w:val="single" w:sz="4" w:space="0" w:color="FFFFFF"/>
              <w:bottom w:val="single" w:sz="4" w:space="0" w:color="auto"/>
              <w:right w:val="single" w:sz="4" w:space="0" w:color="FFFFFF"/>
            </w:tcBorders>
            <w:noWrap/>
            <w:hideMark/>
          </w:tcPr>
          <w:p w14:paraId="232340F2" w14:textId="77777777" w:rsidR="00CE75D4" w:rsidRDefault="00CE75D4" w:rsidP="008340C1">
            <w:pPr>
              <w:pStyle w:val="ARfintablebodyrightbold"/>
              <w:spacing w:before="20" w:after="10"/>
            </w:pPr>
            <w:r>
              <w:t>4,235.3</w:t>
            </w:r>
          </w:p>
        </w:tc>
        <w:tc>
          <w:tcPr>
            <w:tcW w:w="1040" w:type="dxa"/>
            <w:tcBorders>
              <w:top w:val="single" w:sz="4" w:space="0" w:color="auto"/>
              <w:left w:val="single" w:sz="4" w:space="0" w:color="FFFFFF"/>
              <w:bottom w:val="single" w:sz="4" w:space="0" w:color="auto"/>
              <w:right w:val="single" w:sz="4" w:space="0" w:color="FFFFFF"/>
            </w:tcBorders>
            <w:noWrap/>
            <w:hideMark/>
          </w:tcPr>
          <w:p w14:paraId="1A7F5AC2" w14:textId="77777777" w:rsidR="00CE75D4" w:rsidRDefault="00CE75D4" w:rsidP="008340C1">
            <w:pPr>
              <w:pStyle w:val="ARfintablebodyrightbold"/>
              <w:spacing w:before="20" w:after="10"/>
            </w:pPr>
            <w:r>
              <w:t>–</w:t>
            </w:r>
          </w:p>
        </w:tc>
        <w:tc>
          <w:tcPr>
            <w:tcW w:w="1040" w:type="dxa"/>
            <w:tcBorders>
              <w:top w:val="single" w:sz="4" w:space="0" w:color="auto"/>
              <w:left w:val="single" w:sz="4" w:space="0" w:color="FFFFFF"/>
              <w:bottom w:val="single" w:sz="4" w:space="0" w:color="auto"/>
              <w:right w:val="nil"/>
            </w:tcBorders>
            <w:shd w:val="clear" w:color="auto" w:fill="E7E6E6"/>
            <w:noWrap/>
            <w:hideMark/>
          </w:tcPr>
          <w:p w14:paraId="22C98BF6" w14:textId="77777777" w:rsidR="00CE75D4" w:rsidRDefault="00CE75D4" w:rsidP="008340C1">
            <w:pPr>
              <w:pStyle w:val="ARfintablebodyrightbold"/>
              <w:spacing w:before="20" w:after="10"/>
            </w:pPr>
            <w:r>
              <w:t>419.0</w:t>
            </w:r>
          </w:p>
        </w:tc>
        <w:tc>
          <w:tcPr>
            <w:tcW w:w="1072" w:type="dxa"/>
            <w:tcBorders>
              <w:top w:val="single" w:sz="4" w:space="0" w:color="auto"/>
              <w:left w:val="nil"/>
              <w:bottom w:val="single" w:sz="4" w:space="0" w:color="auto"/>
              <w:right w:val="nil"/>
            </w:tcBorders>
            <w:shd w:val="clear" w:color="auto" w:fill="E7E6E6"/>
            <w:noWrap/>
            <w:hideMark/>
          </w:tcPr>
          <w:p w14:paraId="290B1AC9" w14:textId="77777777" w:rsidR="00CE75D4" w:rsidRDefault="00CE75D4" w:rsidP="008340C1">
            <w:pPr>
              <w:pStyle w:val="ARfintablebodyrightbold"/>
              <w:spacing w:before="20" w:after="10"/>
            </w:pPr>
            <w:r>
              <w:t>–</w:t>
            </w:r>
          </w:p>
        </w:tc>
        <w:tc>
          <w:tcPr>
            <w:tcW w:w="1072" w:type="dxa"/>
            <w:tcBorders>
              <w:top w:val="single" w:sz="4" w:space="0" w:color="auto"/>
              <w:left w:val="nil"/>
              <w:bottom w:val="single" w:sz="4" w:space="0" w:color="auto"/>
              <w:right w:val="nil"/>
            </w:tcBorders>
            <w:shd w:val="clear" w:color="auto" w:fill="E7E6E6"/>
            <w:noWrap/>
            <w:hideMark/>
          </w:tcPr>
          <w:p w14:paraId="2A0F5043" w14:textId="77777777" w:rsidR="00CE75D4" w:rsidRDefault="00CE75D4" w:rsidP="008340C1">
            <w:pPr>
              <w:pStyle w:val="ARfintablebodyrightbold"/>
              <w:spacing w:before="20" w:after="10"/>
            </w:pPr>
            <w:r>
              <w:t>65.8</w:t>
            </w:r>
          </w:p>
        </w:tc>
        <w:tc>
          <w:tcPr>
            <w:tcW w:w="1072" w:type="dxa"/>
            <w:tcBorders>
              <w:top w:val="single" w:sz="4" w:space="0" w:color="auto"/>
              <w:left w:val="nil"/>
              <w:bottom w:val="single" w:sz="4" w:space="0" w:color="auto"/>
              <w:right w:val="single" w:sz="4" w:space="0" w:color="FFFFFF"/>
            </w:tcBorders>
            <w:shd w:val="clear" w:color="auto" w:fill="E7E6E6"/>
            <w:noWrap/>
            <w:hideMark/>
          </w:tcPr>
          <w:p w14:paraId="2886D982" w14:textId="77777777" w:rsidR="00CE75D4" w:rsidRDefault="00CE75D4" w:rsidP="008340C1">
            <w:pPr>
              <w:pStyle w:val="ARfintablebodyrightbold"/>
              <w:spacing w:before="20" w:after="10"/>
            </w:pPr>
            <w:r>
              <w:t>–</w:t>
            </w:r>
          </w:p>
        </w:tc>
        <w:tc>
          <w:tcPr>
            <w:tcW w:w="1085" w:type="dxa"/>
            <w:tcBorders>
              <w:top w:val="single" w:sz="4" w:space="0" w:color="auto"/>
              <w:left w:val="single" w:sz="4" w:space="0" w:color="FFFFFF"/>
              <w:bottom w:val="single" w:sz="4" w:space="0" w:color="auto"/>
              <w:right w:val="single" w:sz="4" w:space="0" w:color="FFFFFF"/>
            </w:tcBorders>
            <w:noWrap/>
            <w:hideMark/>
          </w:tcPr>
          <w:p w14:paraId="5853086C" w14:textId="77777777" w:rsidR="00CE75D4" w:rsidRDefault="00CE75D4" w:rsidP="008340C1">
            <w:pPr>
              <w:pStyle w:val="ARfintablebodyrightbold"/>
              <w:spacing w:before="20" w:after="10"/>
            </w:pPr>
            <w:r>
              <w:t>16,546.1</w:t>
            </w:r>
          </w:p>
        </w:tc>
        <w:tc>
          <w:tcPr>
            <w:tcW w:w="1078" w:type="dxa"/>
            <w:tcBorders>
              <w:top w:val="single" w:sz="4" w:space="0" w:color="auto"/>
              <w:left w:val="single" w:sz="4" w:space="0" w:color="FFFFFF"/>
              <w:bottom w:val="single" w:sz="4" w:space="0" w:color="auto"/>
              <w:right w:val="single" w:sz="4" w:space="0" w:color="FFFFFF"/>
            </w:tcBorders>
            <w:noWrap/>
            <w:hideMark/>
          </w:tcPr>
          <w:p w14:paraId="0476F9EB" w14:textId="77777777" w:rsidR="00CE75D4" w:rsidRDefault="00CE75D4" w:rsidP="008340C1">
            <w:pPr>
              <w:pStyle w:val="ARfintablebodyrightbold"/>
              <w:spacing w:before="20" w:after="10"/>
            </w:pPr>
            <w:r>
              <w:t>15,917.7</w:t>
            </w:r>
          </w:p>
        </w:tc>
        <w:tc>
          <w:tcPr>
            <w:tcW w:w="1067" w:type="dxa"/>
            <w:tcBorders>
              <w:top w:val="single" w:sz="4" w:space="0" w:color="auto"/>
              <w:left w:val="single" w:sz="4" w:space="0" w:color="FFFFFF"/>
              <w:bottom w:val="single" w:sz="4" w:space="0" w:color="auto"/>
              <w:right w:val="single" w:sz="4" w:space="0" w:color="FFFFFF"/>
            </w:tcBorders>
            <w:noWrap/>
            <w:hideMark/>
          </w:tcPr>
          <w:p w14:paraId="635E6850" w14:textId="77777777" w:rsidR="00CE75D4" w:rsidRDefault="00CE75D4" w:rsidP="008340C1">
            <w:pPr>
              <w:pStyle w:val="ARfintablebodyrightbold"/>
              <w:spacing w:before="20" w:after="10"/>
            </w:pPr>
            <w:r>
              <w:t>628.5</w:t>
            </w:r>
          </w:p>
        </w:tc>
        <w:tc>
          <w:tcPr>
            <w:tcW w:w="433" w:type="dxa"/>
            <w:tcBorders>
              <w:top w:val="single" w:sz="4" w:space="0" w:color="auto"/>
              <w:left w:val="single" w:sz="4" w:space="0" w:color="FFFFFF"/>
              <w:bottom w:val="single" w:sz="4" w:space="0" w:color="auto"/>
              <w:right w:val="single" w:sz="4" w:space="0" w:color="FFFFFF"/>
            </w:tcBorders>
            <w:noWrap/>
            <w:hideMark/>
          </w:tcPr>
          <w:p w14:paraId="37D4AAE4" w14:textId="77777777" w:rsidR="00CE75D4" w:rsidRDefault="00CE75D4" w:rsidP="008340C1">
            <w:pPr>
              <w:pStyle w:val="ARfintablebodyright"/>
              <w:spacing w:before="20" w:after="10"/>
            </w:pPr>
          </w:p>
        </w:tc>
      </w:tr>
      <w:tr w:rsidR="00CE75D4" w14:paraId="658FEEA1" w14:textId="77777777" w:rsidTr="008340C1">
        <w:tc>
          <w:tcPr>
            <w:tcW w:w="14460" w:type="dxa"/>
            <w:gridSpan w:val="12"/>
            <w:tcBorders>
              <w:top w:val="single" w:sz="4" w:space="0" w:color="auto"/>
              <w:left w:val="single" w:sz="4" w:space="0" w:color="FFFFFF"/>
              <w:bottom w:val="single" w:sz="4" w:space="0" w:color="auto"/>
              <w:right w:val="single" w:sz="4" w:space="0" w:color="FFFFFF"/>
            </w:tcBorders>
            <w:hideMark/>
          </w:tcPr>
          <w:p w14:paraId="227109C1" w14:textId="77777777" w:rsidR="00CE75D4" w:rsidRDefault="00CE75D4" w:rsidP="008340C1">
            <w:pPr>
              <w:pStyle w:val="ARfintablebodybold"/>
              <w:spacing w:before="20" w:after="10"/>
            </w:pPr>
            <w:r>
              <w:t>2021</w:t>
            </w:r>
          </w:p>
        </w:tc>
      </w:tr>
      <w:tr w:rsidR="00CE75D4" w14:paraId="0816EFC9" w14:textId="77777777" w:rsidTr="008340C1">
        <w:tc>
          <w:tcPr>
            <w:tcW w:w="14460" w:type="dxa"/>
            <w:gridSpan w:val="12"/>
            <w:tcBorders>
              <w:top w:val="single" w:sz="4" w:space="0" w:color="auto"/>
              <w:left w:val="single" w:sz="4" w:space="0" w:color="FFFFFF"/>
              <w:bottom w:val="single" w:sz="4" w:space="0" w:color="A6A6A6"/>
              <w:right w:val="single" w:sz="4" w:space="0" w:color="FFFFFF"/>
            </w:tcBorders>
            <w:hideMark/>
          </w:tcPr>
          <w:p w14:paraId="5DC27532" w14:textId="77777777" w:rsidR="00CE75D4" w:rsidRDefault="00CE75D4" w:rsidP="008340C1">
            <w:pPr>
              <w:pStyle w:val="ARfintablebodybold"/>
              <w:spacing w:before="20" w:after="10"/>
            </w:pPr>
            <w:r>
              <w:t>Controlled</w:t>
            </w:r>
          </w:p>
        </w:tc>
      </w:tr>
      <w:tr w:rsidR="00CE75D4" w14:paraId="4C14100F" w14:textId="77777777" w:rsidTr="008340C1">
        <w:tc>
          <w:tcPr>
            <w:tcW w:w="3341" w:type="dxa"/>
            <w:tcBorders>
              <w:top w:val="single" w:sz="4" w:space="0" w:color="A6A6A6"/>
              <w:left w:val="single" w:sz="4" w:space="0" w:color="FFFFFF"/>
              <w:bottom w:val="single" w:sz="4" w:space="0" w:color="A6A6A6"/>
              <w:right w:val="single" w:sz="4" w:space="0" w:color="FFFFFF"/>
            </w:tcBorders>
            <w:hideMark/>
          </w:tcPr>
          <w:p w14:paraId="72F9A5B8" w14:textId="77777777" w:rsidR="00CE75D4" w:rsidRDefault="00CE75D4" w:rsidP="008340C1">
            <w:pPr>
              <w:pStyle w:val="ARfintablebody"/>
              <w:spacing w:before="20" w:after="10"/>
            </w:pPr>
            <w:r>
              <w:t>Provision of outputs</w:t>
            </w:r>
          </w:p>
        </w:tc>
        <w:tc>
          <w:tcPr>
            <w:tcW w:w="1085" w:type="dxa"/>
            <w:tcBorders>
              <w:top w:val="single" w:sz="4" w:space="0" w:color="A6A6A6"/>
              <w:left w:val="single" w:sz="4" w:space="0" w:color="FFFFFF"/>
              <w:bottom w:val="single" w:sz="4" w:space="0" w:color="A6A6A6"/>
              <w:right w:val="single" w:sz="4" w:space="0" w:color="FFFFFF"/>
            </w:tcBorders>
            <w:noWrap/>
            <w:hideMark/>
          </w:tcPr>
          <w:p w14:paraId="6E576A6B" w14:textId="77777777" w:rsidR="00CE75D4" w:rsidRDefault="00CE75D4" w:rsidP="008340C1">
            <w:pPr>
              <w:pStyle w:val="ARfintablebodyright"/>
              <w:spacing w:before="20" w:after="10"/>
            </w:pPr>
            <w:r>
              <w:t>19,377.1</w:t>
            </w:r>
          </w:p>
        </w:tc>
        <w:tc>
          <w:tcPr>
            <w:tcW w:w="1075" w:type="dxa"/>
            <w:tcBorders>
              <w:top w:val="single" w:sz="4" w:space="0" w:color="A6A6A6"/>
              <w:left w:val="single" w:sz="4" w:space="0" w:color="FFFFFF"/>
              <w:bottom w:val="single" w:sz="4" w:space="0" w:color="A6A6A6"/>
              <w:right w:val="single" w:sz="4" w:space="0" w:color="FFFFFF"/>
            </w:tcBorders>
            <w:noWrap/>
            <w:hideMark/>
          </w:tcPr>
          <w:p w14:paraId="2A9A7E56" w14:textId="77777777" w:rsidR="00CE75D4" w:rsidRDefault="00CE75D4" w:rsidP="008340C1">
            <w:pPr>
              <w:pStyle w:val="ARfintablebodyright"/>
              <w:spacing w:before="20" w:after="10"/>
            </w:pPr>
            <w:r>
              <w:t>1,606.4</w:t>
            </w:r>
          </w:p>
        </w:tc>
        <w:tc>
          <w:tcPr>
            <w:tcW w:w="1040" w:type="dxa"/>
            <w:tcBorders>
              <w:top w:val="single" w:sz="4" w:space="0" w:color="A6A6A6"/>
              <w:left w:val="single" w:sz="4" w:space="0" w:color="FFFFFF"/>
              <w:bottom w:val="single" w:sz="4" w:space="0" w:color="A6A6A6"/>
              <w:right w:val="single" w:sz="4" w:space="0" w:color="FFFFFF"/>
            </w:tcBorders>
            <w:noWrap/>
            <w:hideMark/>
          </w:tcPr>
          <w:p w14:paraId="03ED7FA3" w14:textId="77777777" w:rsidR="00CE75D4" w:rsidRDefault="00CE75D4" w:rsidP="008340C1">
            <w:pPr>
              <w:pStyle w:val="ARfintablebodyright"/>
              <w:spacing w:before="20" w:after="10"/>
            </w:pPr>
            <w:r>
              <w:t>–</w:t>
            </w:r>
          </w:p>
        </w:tc>
        <w:tc>
          <w:tcPr>
            <w:tcW w:w="1040" w:type="dxa"/>
            <w:tcBorders>
              <w:top w:val="single" w:sz="4" w:space="0" w:color="A6A6A6"/>
              <w:left w:val="single" w:sz="4" w:space="0" w:color="FFFFFF"/>
              <w:bottom w:val="single" w:sz="4" w:space="0" w:color="A6A6A6"/>
              <w:right w:val="nil"/>
            </w:tcBorders>
            <w:shd w:val="clear" w:color="auto" w:fill="E7E6E6"/>
            <w:noWrap/>
            <w:hideMark/>
          </w:tcPr>
          <w:p w14:paraId="49465440" w14:textId="77777777" w:rsidR="00CE75D4" w:rsidRDefault="00CE75D4" w:rsidP="008340C1">
            <w:pPr>
              <w:pStyle w:val="ARfintablebodyright"/>
              <w:spacing w:before="20" w:after="10"/>
            </w:pPr>
            <w:r>
              <w:t>979.3</w:t>
            </w:r>
          </w:p>
        </w:tc>
        <w:tc>
          <w:tcPr>
            <w:tcW w:w="1072" w:type="dxa"/>
            <w:tcBorders>
              <w:top w:val="single" w:sz="4" w:space="0" w:color="A6A6A6"/>
              <w:left w:val="nil"/>
              <w:bottom w:val="single" w:sz="4" w:space="0" w:color="A6A6A6"/>
              <w:right w:val="nil"/>
            </w:tcBorders>
            <w:shd w:val="clear" w:color="auto" w:fill="E7E6E6"/>
            <w:noWrap/>
            <w:hideMark/>
          </w:tcPr>
          <w:p w14:paraId="2A1AF265" w14:textId="77777777" w:rsidR="00CE75D4" w:rsidRDefault="00CE75D4" w:rsidP="008340C1">
            <w:pPr>
              <w:pStyle w:val="ARfintablebodyright"/>
              <w:spacing w:before="20" w:after="10"/>
            </w:pPr>
            <w:r>
              <w:t>28.8</w:t>
            </w:r>
          </w:p>
        </w:tc>
        <w:tc>
          <w:tcPr>
            <w:tcW w:w="1072" w:type="dxa"/>
            <w:tcBorders>
              <w:top w:val="single" w:sz="4" w:space="0" w:color="A6A6A6"/>
              <w:left w:val="nil"/>
              <w:bottom w:val="single" w:sz="4" w:space="0" w:color="A6A6A6"/>
              <w:right w:val="nil"/>
            </w:tcBorders>
            <w:shd w:val="clear" w:color="auto" w:fill="E7E6E6"/>
            <w:noWrap/>
            <w:hideMark/>
          </w:tcPr>
          <w:p w14:paraId="66D1C9AE" w14:textId="77777777" w:rsidR="00CE75D4" w:rsidRDefault="00CE75D4" w:rsidP="008340C1">
            <w:pPr>
              <w:pStyle w:val="ARfintablebodyright"/>
              <w:spacing w:before="20" w:after="10"/>
            </w:pPr>
            <w:r>
              <w:t>44.9</w:t>
            </w:r>
          </w:p>
        </w:tc>
        <w:tc>
          <w:tcPr>
            <w:tcW w:w="1072" w:type="dxa"/>
            <w:tcBorders>
              <w:top w:val="single" w:sz="4" w:space="0" w:color="A6A6A6"/>
              <w:left w:val="nil"/>
              <w:bottom w:val="single" w:sz="4" w:space="0" w:color="A6A6A6"/>
              <w:right w:val="single" w:sz="4" w:space="0" w:color="FFFFFF"/>
            </w:tcBorders>
            <w:shd w:val="clear" w:color="auto" w:fill="E7E6E6"/>
            <w:noWrap/>
            <w:hideMark/>
          </w:tcPr>
          <w:p w14:paraId="193312DF" w14:textId="77777777" w:rsidR="00CE75D4" w:rsidRDefault="00CE75D4" w:rsidP="008340C1">
            <w:pPr>
              <w:pStyle w:val="ARfintablebodyright"/>
              <w:spacing w:before="20" w:after="10"/>
            </w:pPr>
            <w:r>
              <w:t>–</w:t>
            </w:r>
          </w:p>
        </w:tc>
        <w:tc>
          <w:tcPr>
            <w:tcW w:w="1085" w:type="dxa"/>
            <w:tcBorders>
              <w:top w:val="single" w:sz="4" w:space="0" w:color="A6A6A6"/>
              <w:left w:val="single" w:sz="4" w:space="0" w:color="FFFFFF"/>
              <w:bottom w:val="single" w:sz="4" w:space="0" w:color="A6A6A6"/>
              <w:right w:val="single" w:sz="4" w:space="0" w:color="FFFFFF"/>
            </w:tcBorders>
            <w:noWrap/>
            <w:hideMark/>
          </w:tcPr>
          <w:p w14:paraId="5767B5C0" w14:textId="77777777" w:rsidR="00CE75D4" w:rsidRDefault="00CE75D4" w:rsidP="008340C1">
            <w:pPr>
              <w:pStyle w:val="ARfintablebodyright"/>
              <w:spacing w:before="20" w:after="10"/>
            </w:pPr>
            <w:r>
              <w:t>22,036.5</w:t>
            </w:r>
          </w:p>
        </w:tc>
        <w:tc>
          <w:tcPr>
            <w:tcW w:w="1078" w:type="dxa"/>
            <w:tcBorders>
              <w:top w:val="single" w:sz="4" w:space="0" w:color="A6A6A6"/>
              <w:left w:val="single" w:sz="4" w:space="0" w:color="FFFFFF"/>
              <w:bottom w:val="single" w:sz="4" w:space="0" w:color="A6A6A6"/>
              <w:right w:val="single" w:sz="4" w:space="0" w:color="FFFFFF"/>
            </w:tcBorders>
            <w:noWrap/>
            <w:hideMark/>
          </w:tcPr>
          <w:p w14:paraId="40B45E31" w14:textId="77777777" w:rsidR="00CE75D4" w:rsidRDefault="00CE75D4" w:rsidP="008340C1">
            <w:pPr>
              <w:pStyle w:val="ARfintablebodyright"/>
              <w:spacing w:before="20" w:after="10"/>
            </w:pPr>
            <w:r>
              <w:t>21,551.4</w:t>
            </w:r>
          </w:p>
        </w:tc>
        <w:tc>
          <w:tcPr>
            <w:tcW w:w="1067" w:type="dxa"/>
            <w:tcBorders>
              <w:top w:val="single" w:sz="4" w:space="0" w:color="A6A6A6"/>
              <w:left w:val="single" w:sz="4" w:space="0" w:color="FFFFFF"/>
              <w:bottom w:val="single" w:sz="4" w:space="0" w:color="A6A6A6"/>
              <w:right w:val="single" w:sz="4" w:space="0" w:color="FFFFFF"/>
            </w:tcBorders>
            <w:noWrap/>
            <w:hideMark/>
          </w:tcPr>
          <w:p w14:paraId="628E56AA" w14:textId="77777777" w:rsidR="00CE75D4" w:rsidRDefault="00CE75D4" w:rsidP="008340C1">
            <w:pPr>
              <w:pStyle w:val="ARfintablebodyright"/>
              <w:spacing w:before="20" w:after="10"/>
            </w:pPr>
            <w:r>
              <w:t>485.1</w:t>
            </w:r>
          </w:p>
        </w:tc>
        <w:tc>
          <w:tcPr>
            <w:tcW w:w="433" w:type="dxa"/>
            <w:tcBorders>
              <w:top w:val="single" w:sz="4" w:space="0" w:color="A6A6A6"/>
              <w:left w:val="single" w:sz="4" w:space="0" w:color="FFFFFF"/>
              <w:bottom w:val="single" w:sz="4" w:space="0" w:color="A6A6A6"/>
              <w:right w:val="single" w:sz="4" w:space="0" w:color="FFFFFF"/>
            </w:tcBorders>
            <w:noWrap/>
            <w:hideMark/>
          </w:tcPr>
          <w:p w14:paraId="099FA1EF" w14:textId="77777777" w:rsidR="00CE75D4" w:rsidRDefault="00CE75D4" w:rsidP="008340C1">
            <w:pPr>
              <w:pStyle w:val="ARfintablebodyright"/>
              <w:spacing w:before="20" w:after="10"/>
              <w:rPr>
                <w:rStyle w:val="Superscript"/>
              </w:rPr>
            </w:pPr>
            <w:r>
              <w:rPr>
                <w:rStyle w:val="Superscript"/>
              </w:rPr>
              <w:t>(v)</w:t>
            </w:r>
          </w:p>
        </w:tc>
      </w:tr>
      <w:tr w:rsidR="00CE75D4" w14:paraId="0EC60258" w14:textId="77777777" w:rsidTr="008340C1">
        <w:tc>
          <w:tcPr>
            <w:tcW w:w="3341" w:type="dxa"/>
            <w:tcBorders>
              <w:top w:val="single" w:sz="4" w:space="0" w:color="A6A6A6"/>
              <w:left w:val="single" w:sz="4" w:space="0" w:color="FFFFFF"/>
              <w:bottom w:val="single" w:sz="4" w:space="0" w:color="A6A6A6"/>
              <w:right w:val="single" w:sz="4" w:space="0" w:color="FFFFFF"/>
            </w:tcBorders>
            <w:hideMark/>
          </w:tcPr>
          <w:p w14:paraId="38B8FF2B" w14:textId="77777777" w:rsidR="00CE75D4" w:rsidRDefault="00CE75D4" w:rsidP="008340C1">
            <w:pPr>
              <w:pStyle w:val="ARfintablebody"/>
              <w:spacing w:before="20" w:after="10"/>
            </w:pPr>
            <w:r>
              <w:t>Additions to net assets</w:t>
            </w:r>
          </w:p>
        </w:tc>
        <w:tc>
          <w:tcPr>
            <w:tcW w:w="1085" w:type="dxa"/>
            <w:tcBorders>
              <w:top w:val="single" w:sz="4" w:space="0" w:color="A6A6A6"/>
              <w:left w:val="single" w:sz="4" w:space="0" w:color="FFFFFF"/>
              <w:bottom w:val="single" w:sz="4" w:space="0" w:color="A6A6A6"/>
              <w:right w:val="single" w:sz="4" w:space="0" w:color="FFFFFF"/>
            </w:tcBorders>
            <w:noWrap/>
            <w:hideMark/>
          </w:tcPr>
          <w:p w14:paraId="2C21E7CB" w14:textId="77777777" w:rsidR="00CE75D4" w:rsidRDefault="00CE75D4" w:rsidP="008340C1">
            <w:pPr>
              <w:pStyle w:val="ARfintablebodyright"/>
              <w:spacing w:before="20" w:after="10"/>
            </w:pPr>
            <w:r>
              <w:t>613.2</w:t>
            </w:r>
          </w:p>
        </w:tc>
        <w:tc>
          <w:tcPr>
            <w:tcW w:w="1075" w:type="dxa"/>
            <w:tcBorders>
              <w:top w:val="single" w:sz="4" w:space="0" w:color="A6A6A6"/>
              <w:left w:val="single" w:sz="4" w:space="0" w:color="FFFFFF"/>
              <w:bottom w:val="single" w:sz="4" w:space="0" w:color="A6A6A6"/>
              <w:right w:val="single" w:sz="4" w:space="0" w:color="FFFFFF"/>
            </w:tcBorders>
            <w:noWrap/>
            <w:hideMark/>
          </w:tcPr>
          <w:p w14:paraId="2BC6220D" w14:textId="77777777" w:rsidR="00CE75D4" w:rsidRDefault="00CE75D4" w:rsidP="008340C1">
            <w:pPr>
              <w:pStyle w:val="ARfintablebodyright"/>
              <w:spacing w:before="20" w:after="10"/>
            </w:pPr>
            <w:r>
              <w:t>2.0</w:t>
            </w:r>
          </w:p>
        </w:tc>
        <w:tc>
          <w:tcPr>
            <w:tcW w:w="1040" w:type="dxa"/>
            <w:tcBorders>
              <w:top w:val="single" w:sz="4" w:space="0" w:color="A6A6A6"/>
              <w:left w:val="single" w:sz="4" w:space="0" w:color="FFFFFF"/>
              <w:bottom w:val="single" w:sz="4" w:space="0" w:color="A6A6A6"/>
              <w:right w:val="single" w:sz="4" w:space="0" w:color="FFFFFF"/>
            </w:tcBorders>
            <w:noWrap/>
            <w:hideMark/>
          </w:tcPr>
          <w:p w14:paraId="6B151540" w14:textId="77777777" w:rsidR="00CE75D4" w:rsidRDefault="00CE75D4" w:rsidP="008340C1">
            <w:pPr>
              <w:pStyle w:val="ARfintablebodyright"/>
              <w:spacing w:before="20" w:after="10"/>
            </w:pPr>
            <w:r>
              <w:t>–</w:t>
            </w:r>
          </w:p>
        </w:tc>
        <w:tc>
          <w:tcPr>
            <w:tcW w:w="1040" w:type="dxa"/>
            <w:tcBorders>
              <w:top w:val="single" w:sz="4" w:space="0" w:color="A6A6A6"/>
              <w:left w:val="single" w:sz="4" w:space="0" w:color="FFFFFF"/>
              <w:bottom w:val="single" w:sz="4" w:space="0" w:color="A6A6A6"/>
              <w:right w:val="nil"/>
            </w:tcBorders>
            <w:shd w:val="clear" w:color="auto" w:fill="E7E6E6"/>
            <w:noWrap/>
            <w:hideMark/>
          </w:tcPr>
          <w:p w14:paraId="22DD31DC" w14:textId="77777777" w:rsidR="00CE75D4" w:rsidRDefault="00CE75D4" w:rsidP="008340C1">
            <w:pPr>
              <w:pStyle w:val="ARfintablebodyright"/>
              <w:spacing w:before="20" w:after="10"/>
            </w:pPr>
            <w:r>
              <w:t>19.8</w:t>
            </w:r>
          </w:p>
        </w:tc>
        <w:tc>
          <w:tcPr>
            <w:tcW w:w="1072" w:type="dxa"/>
            <w:tcBorders>
              <w:top w:val="single" w:sz="4" w:space="0" w:color="A6A6A6"/>
              <w:left w:val="nil"/>
              <w:bottom w:val="single" w:sz="4" w:space="0" w:color="A6A6A6"/>
              <w:right w:val="nil"/>
            </w:tcBorders>
            <w:shd w:val="clear" w:color="auto" w:fill="E7E6E6"/>
            <w:noWrap/>
            <w:hideMark/>
          </w:tcPr>
          <w:p w14:paraId="1ACE9745" w14:textId="77777777" w:rsidR="00CE75D4" w:rsidRDefault="00CE75D4" w:rsidP="008340C1">
            <w:pPr>
              <w:pStyle w:val="ARfintablebodyright"/>
              <w:spacing w:before="20" w:after="10"/>
            </w:pPr>
            <w:r>
              <w:t>(28.8)</w:t>
            </w:r>
          </w:p>
        </w:tc>
        <w:tc>
          <w:tcPr>
            <w:tcW w:w="1072" w:type="dxa"/>
            <w:tcBorders>
              <w:top w:val="single" w:sz="4" w:space="0" w:color="A6A6A6"/>
              <w:left w:val="nil"/>
              <w:bottom w:val="single" w:sz="4" w:space="0" w:color="A6A6A6"/>
              <w:right w:val="nil"/>
            </w:tcBorders>
            <w:shd w:val="clear" w:color="auto" w:fill="E7E6E6"/>
            <w:noWrap/>
            <w:hideMark/>
          </w:tcPr>
          <w:p w14:paraId="028DFD73" w14:textId="77777777" w:rsidR="00CE75D4" w:rsidRDefault="00CE75D4" w:rsidP="008340C1">
            <w:pPr>
              <w:pStyle w:val="ARfintablebodyright"/>
              <w:spacing w:before="20" w:after="10"/>
            </w:pPr>
            <w:r>
              <w:t>–</w:t>
            </w:r>
          </w:p>
        </w:tc>
        <w:tc>
          <w:tcPr>
            <w:tcW w:w="1072" w:type="dxa"/>
            <w:tcBorders>
              <w:top w:val="single" w:sz="4" w:space="0" w:color="A6A6A6"/>
              <w:left w:val="nil"/>
              <w:bottom w:val="single" w:sz="4" w:space="0" w:color="A6A6A6"/>
              <w:right w:val="single" w:sz="4" w:space="0" w:color="FFFFFF"/>
            </w:tcBorders>
            <w:shd w:val="clear" w:color="auto" w:fill="E7E6E6"/>
            <w:noWrap/>
            <w:hideMark/>
          </w:tcPr>
          <w:p w14:paraId="1C40CDEA" w14:textId="77777777" w:rsidR="00CE75D4" w:rsidRDefault="00CE75D4" w:rsidP="008340C1">
            <w:pPr>
              <w:pStyle w:val="ARfintablebodyright"/>
              <w:spacing w:before="20" w:after="10"/>
            </w:pPr>
            <w:r>
              <w:t>–</w:t>
            </w:r>
          </w:p>
        </w:tc>
        <w:tc>
          <w:tcPr>
            <w:tcW w:w="1085" w:type="dxa"/>
            <w:tcBorders>
              <w:top w:val="single" w:sz="4" w:space="0" w:color="A6A6A6"/>
              <w:left w:val="single" w:sz="4" w:space="0" w:color="FFFFFF"/>
              <w:bottom w:val="single" w:sz="4" w:space="0" w:color="A6A6A6"/>
              <w:right w:val="single" w:sz="4" w:space="0" w:color="FFFFFF"/>
            </w:tcBorders>
            <w:noWrap/>
            <w:hideMark/>
          </w:tcPr>
          <w:p w14:paraId="7D285922" w14:textId="77777777" w:rsidR="00CE75D4" w:rsidRDefault="00CE75D4" w:rsidP="008340C1">
            <w:pPr>
              <w:pStyle w:val="ARfintablebodyright"/>
              <w:spacing w:before="20" w:after="10"/>
            </w:pPr>
            <w:r>
              <w:t>606.2</w:t>
            </w:r>
          </w:p>
        </w:tc>
        <w:tc>
          <w:tcPr>
            <w:tcW w:w="1078" w:type="dxa"/>
            <w:tcBorders>
              <w:top w:val="single" w:sz="4" w:space="0" w:color="A6A6A6"/>
              <w:left w:val="single" w:sz="4" w:space="0" w:color="FFFFFF"/>
              <w:bottom w:val="single" w:sz="4" w:space="0" w:color="A6A6A6"/>
              <w:right w:val="single" w:sz="4" w:space="0" w:color="FFFFFF"/>
            </w:tcBorders>
            <w:noWrap/>
            <w:hideMark/>
          </w:tcPr>
          <w:p w14:paraId="0FF05701" w14:textId="77777777" w:rsidR="00CE75D4" w:rsidRDefault="00CE75D4" w:rsidP="008340C1">
            <w:pPr>
              <w:pStyle w:val="ARfintablebodyright"/>
              <w:spacing w:before="20" w:after="10"/>
            </w:pPr>
            <w:r>
              <w:t>424.6</w:t>
            </w:r>
          </w:p>
        </w:tc>
        <w:tc>
          <w:tcPr>
            <w:tcW w:w="1067" w:type="dxa"/>
            <w:tcBorders>
              <w:top w:val="single" w:sz="4" w:space="0" w:color="A6A6A6"/>
              <w:left w:val="single" w:sz="4" w:space="0" w:color="FFFFFF"/>
              <w:bottom w:val="single" w:sz="4" w:space="0" w:color="A6A6A6"/>
              <w:right w:val="single" w:sz="4" w:space="0" w:color="FFFFFF"/>
            </w:tcBorders>
            <w:noWrap/>
            <w:hideMark/>
          </w:tcPr>
          <w:p w14:paraId="12467930" w14:textId="77777777" w:rsidR="00CE75D4" w:rsidRDefault="00CE75D4" w:rsidP="008340C1">
            <w:pPr>
              <w:pStyle w:val="ARfintablebodyright"/>
              <w:spacing w:before="20" w:after="10"/>
            </w:pPr>
            <w:r>
              <w:t>181.6</w:t>
            </w:r>
          </w:p>
        </w:tc>
        <w:tc>
          <w:tcPr>
            <w:tcW w:w="433" w:type="dxa"/>
            <w:tcBorders>
              <w:top w:val="single" w:sz="4" w:space="0" w:color="A6A6A6"/>
              <w:left w:val="single" w:sz="4" w:space="0" w:color="FFFFFF"/>
              <w:bottom w:val="single" w:sz="4" w:space="0" w:color="A6A6A6"/>
              <w:right w:val="single" w:sz="4" w:space="0" w:color="FFFFFF"/>
            </w:tcBorders>
            <w:noWrap/>
            <w:hideMark/>
          </w:tcPr>
          <w:p w14:paraId="34A3E647" w14:textId="77777777" w:rsidR="00CE75D4" w:rsidRDefault="00CE75D4" w:rsidP="008340C1">
            <w:pPr>
              <w:pStyle w:val="ARfintablebodyright"/>
              <w:spacing w:before="20" w:after="10"/>
              <w:rPr>
                <w:rStyle w:val="Superscript"/>
              </w:rPr>
            </w:pPr>
            <w:r>
              <w:rPr>
                <w:rStyle w:val="Superscript"/>
              </w:rPr>
              <w:t>(vi)</w:t>
            </w:r>
          </w:p>
        </w:tc>
      </w:tr>
      <w:tr w:rsidR="00CE75D4" w14:paraId="13ACFEA1" w14:textId="77777777" w:rsidTr="008340C1">
        <w:tc>
          <w:tcPr>
            <w:tcW w:w="14460" w:type="dxa"/>
            <w:gridSpan w:val="12"/>
            <w:tcBorders>
              <w:top w:val="single" w:sz="4" w:space="0" w:color="A6A6A6"/>
              <w:left w:val="single" w:sz="4" w:space="0" w:color="FFFFFF"/>
              <w:bottom w:val="single" w:sz="4" w:space="0" w:color="A6A6A6"/>
              <w:right w:val="single" w:sz="4" w:space="0" w:color="FFFFFF"/>
            </w:tcBorders>
            <w:hideMark/>
          </w:tcPr>
          <w:p w14:paraId="5D54A78F" w14:textId="77777777" w:rsidR="00CE75D4" w:rsidRDefault="00CE75D4" w:rsidP="008340C1">
            <w:pPr>
              <w:pStyle w:val="ARfintablebodybold"/>
              <w:spacing w:before="20" w:after="10"/>
            </w:pPr>
            <w:r>
              <w:t>Administered</w:t>
            </w:r>
          </w:p>
        </w:tc>
      </w:tr>
      <w:tr w:rsidR="00CE75D4" w14:paraId="4B110827" w14:textId="77777777" w:rsidTr="008340C1">
        <w:tc>
          <w:tcPr>
            <w:tcW w:w="3341" w:type="dxa"/>
            <w:tcBorders>
              <w:top w:val="single" w:sz="4" w:space="0" w:color="A6A6A6"/>
              <w:left w:val="single" w:sz="4" w:space="0" w:color="FFFFFF"/>
              <w:bottom w:val="single" w:sz="4" w:space="0" w:color="auto"/>
              <w:right w:val="single" w:sz="4" w:space="0" w:color="FFFFFF"/>
            </w:tcBorders>
            <w:hideMark/>
          </w:tcPr>
          <w:p w14:paraId="6EB12C9E" w14:textId="77777777" w:rsidR="00CE75D4" w:rsidRDefault="00CE75D4" w:rsidP="008340C1">
            <w:pPr>
              <w:pStyle w:val="ARfintablebody"/>
              <w:spacing w:before="20" w:after="10"/>
            </w:pPr>
            <w:r>
              <w:t>Payments made on behalf of the state</w:t>
            </w:r>
          </w:p>
        </w:tc>
        <w:tc>
          <w:tcPr>
            <w:tcW w:w="1085" w:type="dxa"/>
            <w:tcBorders>
              <w:top w:val="single" w:sz="4" w:space="0" w:color="A6A6A6"/>
              <w:left w:val="single" w:sz="4" w:space="0" w:color="FFFFFF"/>
              <w:bottom w:val="single" w:sz="4" w:space="0" w:color="auto"/>
              <w:right w:val="single" w:sz="4" w:space="0" w:color="FFFFFF"/>
            </w:tcBorders>
            <w:noWrap/>
            <w:hideMark/>
          </w:tcPr>
          <w:p w14:paraId="1E09AA34" w14:textId="77777777" w:rsidR="00CE75D4" w:rsidRDefault="00CE75D4" w:rsidP="008340C1">
            <w:pPr>
              <w:pStyle w:val="ARfintablebodyright"/>
              <w:spacing w:before="20" w:after="10"/>
            </w:pPr>
            <w:r>
              <w:t>66.8</w:t>
            </w:r>
          </w:p>
        </w:tc>
        <w:tc>
          <w:tcPr>
            <w:tcW w:w="1075" w:type="dxa"/>
            <w:tcBorders>
              <w:top w:val="single" w:sz="4" w:space="0" w:color="A6A6A6"/>
              <w:left w:val="single" w:sz="4" w:space="0" w:color="FFFFFF"/>
              <w:bottom w:val="single" w:sz="4" w:space="0" w:color="auto"/>
              <w:right w:val="single" w:sz="4" w:space="0" w:color="FFFFFF"/>
            </w:tcBorders>
            <w:noWrap/>
            <w:hideMark/>
          </w:tcPr>
          <w:p w14:paraId="73D349A8" w14:textId="77777777" w:rsidR="00CE75D4" w:rsidRDefault="00CE75D4" w:rsidP="008340C1">
            <w:pPr>
              <w:pStyle w:val="ARfintablebodyright"/>
              <w:spacing w:before="20" w:after="10"/>
            </w:pPr>
            <w:r>
              <w:t>–</w:t>
            </w:r>
          </w:p>
        </w:tc>
        <w:tc>
          <w:tcPr>
            <w:tcW w:w="1040" w:type="dxa"/>
            <w:tcBorders>
              <w:top w:val="single" w:sz="4" w:space="0" w:color="A6A6A6"/>
              <w:left w:val="single" w:sz="4" w:space="0" w:color="FFFFFF"/>
              <w:bottom w:val="single" w:sz="4" w:space="0" w:color="auto"/>
              <w:right w:val="single" w:sz="4" w:space="0" w:color="FFFFFF"/>
            </w:tcBorders>
            <w:noWrap/>
            <w:hideMark/>
          </w:tcPr>
          <w:p w14:paraId="0BBD97CA" w14:textId="77777777" w:rsidR="00CE75D4" w:rsidRDefault="00CE75D4" w:rsidP="008340C1">
            <w:pPr>
              <w:pStyle w:val="ARfintablebodyright"/>
              <w:spacing w:before="20" w:after="10"/>
            </w:pPr>
            <w:r>
              <w:t>–</w:t>
            </w:r>
          </w:p>
        </w:tc>
        <w:tc>
          <w:tcPr>
            <w:tcW w:w="1040" w:type="dxa"/>
            <w:tcBorders>
              <w:top w:val="single" w:sz="4" w:space="0" w:color="A6A6A6"/>
              <w:left w:val="single" w:sz="4" w:space="0" w:color="FFFFFF"/>
              <w:bottom w:val="single" w:sz="4" w:space="0" w:color="auto"/>
              <w:right w:val="nil"/>
            </w:tcBorders>
            <w:shd w:val="clear" w:color="auto" w:fill="E7E6E6"/>
            <w:noWrap/>
            <w:hideMark/>
          </w:tcPr>
          <w:p w14:paraId="0374C720" w14:textId="77777777" w:rsidR="00CE75D4" w:rsidRDefault="00CE75D4" w:rsidP="008340C1">
            <w:pPr>
              <w:pStyle w:val="ARfintablebodyright"/>
              <w:spacing w:before="20" w:after="10"/>
            </w:pPr>
            <w:r>
              <w:t>–</w:t>
            </w:r>
          </w:p>
        </w:tc>
        <w:tc>
          <w:tcPr>
            <w:tcW w:w="1072" w:type="dxa"/>
            <w:tcBorders>
              <w:top w:val="single" w:sz="4" w:space="0" w:color="A6A6A6"/>
              <w:left w:val="nil"/>
              <w:bottom w:val="single" w:sz="4" w:space="0" w:color="auto"/>
              <w:right w:val="nil"/>
            </w:tcBorders>
            <w:shd w:val="clear" w:color="auto" w:fill="E7E6E6"/>
            <w:noWrap/>
            <w:hideMark/>
          </w:tcPr>
          <w:p w14:paraId="3207C695" w14:textId="77777777" w:rsidR="00CE75D4" w:rsidRDefault="00CE75D4" w:rsidP="008340C1">
            <w:pPr>
              <w:pStyle w:val="ARfintablebodyright"/>
              <w:spacing w:before="20" w:after="10"/>
            </w:pPr>
            <w:r>
              <w:t>–</w:t>
            </w:r>
          </w:p>
        </w:tc>
        <w:tc>
          <w:tcPr>
            <w:tcW w:w="1072" w:type="dxa"/>
            <w:tcBorders>
              <w:top w:val="single" w:sz="4" w:space="0" w:color="A6A6A6"/>
              <w:left w:val="nil"/>
              <w:bottom w:val="single" w:sz="4" w:space="0" w:color="auto"/>
              <w:right w:val="nil"/>
            </w:tcBorders>
            <w:shd w:val="clear" w:color="auto" w:fill="E7E6E6"/>
            <w:noWrap/>
            <w:hideMark/>
          </w:tcPr>
          <w:p w14:paraId="6F59FF31" w14:textId="77777777" w:rsidR="00CE75D4" w:rsidRDefault="00CE75D4" w:rsidP="008340C1">
            <w:pPr>
              <w:pStyle w:val="ARfintablebodyright"/>
              <w:spacing w:before="20" w:after="10"/>
            </w:pPr>
            <w:r>
              <w:t>–</w:t>
            </w:r>
          </w:p>
        </w:tc>
        <w:tc>
          <w:tcPr>
            <w:tcW w:w="1072" w:type="dxa"/>
            <w:tcBorders>
              <w:top w:val="single" w:sz="4" w:space="0" w:color="A6A6A6"/>
              <w:left w:val="nil"/>
              <w:bottom w:val="single" w:sz="4" w:space="0" w:color="auto"/>
              <w:right w:val="single" w:sz="4" w:space="0" w:color="FFFFFF"/>
            </w:tcBorders>
            <w:shd w:val="clear" w:color="auto" w:fill="E7E6E6"/>
            <w:noWrap/>
            <w:hideMark/>
          </w:tcPr>
          <w:p w14:paraId="6A9FFC6D" w14:textId="77777777" w:rsidR="00CE75D4" w:rsidRDefault="00CE75D4" w:rsidP="008340C1">
            <w:pPr>
              <w:pStyle w:val="ARfintablebodyright"/>
              <w:spacing w:before="20" w:after="10"/>
            </w:pPr>
            <w:r>
              <w:t>–</w:t>
            </w:r>
          </w:p>
        </w:tc>
        <w:tc>
          <w:tcPr>
            <w:tcW w:w="1085" w:type="dxa"/>
            <w:tcBorders>
              <w:top w:val="single" w:sz="4" w:space="0" w:color="A6A6A6"/>
              <w:left w:val="single" w:sz="4" w:space="0" w:color="FFFFFF"/>
              <w:bottom w:val="single" w:sz="4" w:space="0" w:color="auto"/>
              <w:right w:val="single" w:sz="4" w:space="0" w:color="FFFFFF"/>
            </w:tcBorders>
            <w:noWrap/>
            <w:hideMark/>
          </w:tcPr>
          <w:p w14:paraId="16A3C495" w14:textId="77777777" w:rsidR="00CE75D4" w:rsidRDefault="00CE75D4" w:rsidP="008340C1">
            <w:pPr>
              <w:pStyle w:val="ARfintablebodyright"/>
              <w:spacing w:before="20" w:after="10"/>
            </w:pPr>
            <w:r>
              <w:t>66.8</w:t>
            </w:r>
          </w:p>
        </w:tc>
        <w:tc>
          <w:tcPr>
            <w:tcW w:w="1078" w:type="dxa"/>
            <w:tcBorders>
              <w:top w:val="single" w:sz="4" w:space="0" w:color="A6A6A6"/>
              <w:left w:val="single" w:sz="4" w:space="0" w:color="FFFFFF"/>
              <w:bottom w:val="single" w:sz="4" w:space="0" w:color="auto"/>
              <w:right w:val="single" w:sz="4" w:space="0" w:color="FFFFFF"/>
            </w:tcBorders>
            <w:noWrap/>
            <w:hideMark/>
          </w:tcPr>
          <w:p w14:paraId="23B93995" w14:textId="77777777" w:rsidR="00CE75D4" w:rsidRDefault="00CE75D4" w:rsidP="008340C1">
            <w:pPr>
              <w:pStyle w:val="ARfintablebodyright"/>
              <w:spacing w:before="20" w:after="10"/>
            </w:pPr>
            <w:r>
              <w:t>66.8</w:t>
            </w:r>
          </w:p>
        </w:tc>
        <w:tc>
          <w:tcPr>
            <w:tcW w:w="1067" w:type="dxa"/>
            <w:tcBorders>
              <w:top w:val="single" w:sz="4" w:space="0" w:color="A6A6A6"/>
              <w:left w:val="single" w:sz="4" w:space="0" w:color="FFFFFF"/>
              <w:bottom w:val="single" w:sz="4" w:space="0" w:color="auto"/>
              <w:right w:val="single" w:sz="4" w:space="0" w:color="FFFFFF"/>
            </w:tcBorders>
            <w:noWrap/>
            <w:hideMark/>
          </w:tcPr>
          <w:p w14:paraId="13E2DE7A" w14:textId="77777777" w:rsidR="00CE75D4" w:rsidRDefault="00CE75D4" w:rsidP="008340C1">
            <w:pPr>
              <w:pStyle w:val="ARfintablebodyright"/>
              <w:spacing w:before="20" w:after="10"/>
            </w:pPr>
            <w:r>
              <w:t>–</w:t>
            </w:r>
          </w:p>
        </w:tc>
        <w:tc>
          <w:tcPr>
            <w:tcW w:w="433" w:type="dxa"/>
            <w:tcBorders>
              <w:top w:val="single" w:sz="4" w:space="0" w:color="A6A6A6"/>
              <w:left w:val="single" w:sz="4" w:space="0" w:color="FFFFFF"/>
              <w:bottom w:val="single" w:sz="4" w:space="0" w:color="auto"/>
              <w:right w:val="single" w:sz="4" w:space="0" w:color="FFFFFF"/>
            </w:tcBorders>
            <w:noWrap/>
            <w:hideMark/>
          </w:tcPr>
          <w:p w14:paraId="017D9D87" w14:textId="77777777" w:rsidR="00CE75D4" w:rsidRDefault="00CE75D4" w:rsidP="008340C1">
            <w:pPr>
              <w:pStyle w:val="ARfintablebodyright"/>
              <w:spacing w:before="20" w:after="10"/>
            </w:pPr>
          </w:p>
        </w:tc>
      </w:tr>
      <w:tr w:rsidR="00CE75D4" w14:paraId="634D5826" w14:textId="77777777" w:rsidTr="008340C1">
        <w:tc>
          <w:tcPr>
            <w:tcW w:w="3341" w:type="dxa"/>
            <w:tcBorders>
              <w:top w:val="single" w:sz="4" w:space="0" w:color="auto"/>
              <w:left w:val="single" w:sz="4" w:space="0" w:color="FFFFFF"/>
              <w:bottom w:val="single" w:sz="4" w:space="0" w:color="auto"/>
              <w:right w:val="single" w:sz="4" w:space="0" w:color="FFFFFF"/>
            </w:tcBorders>
            <w:hideMark/>
          </w:tcPr>
          <w:p w14:paraId="67729E47" w14:textId="77777777" w:rsidR="00CE75D4" w:rsidRDefault="00CE75D4" w:rsidP="008340C1">
            <w:pPr>
              <w:pStyle w:val="ARfintablebodybold"/>
              <w:spacing w:before="20" w:after="10"/>
            </w:pPr>
            <w:r>
              <w:t>Total</w:t>
            </w:r>
          </w:p>
        </w:tc>
        <w:tc>
          <w:tcPr>
            <w:tcW w:w="1085" w:type="dxa"/>
            <w:tcBorders>
              <w:top w:val="single" w:sz="4" w:space="0" w:color="auto"/>
              <w:left w:val="single" w:sz="4" w:space="0" w:color="FFFFFF"/>
              <w:bottom w:val="single" w:sz="4" w:space="0" w:color="auto"/>
              <w:right w:val="single" w:sz="4" w:space="0" w:color="FFFFFF"/>
            </w:tcBorders>
            <w:noWrap/>
            <w:hideMark/>
          </w:tcPr>
          <w:p w14:paraId="332EF47E" w14:textId="77777777" w:rsidR="00CE75D4" w:rsidRDefault="00CE75D4" w:rsidP="008340C1">
            <w:pPr>
              <w:pStyle w:val="ARfintablebodyrightbold"/>
              <w:spacing w:before="20" w:after="10"/>
            </w:pPr>
            <w:r>
              <w:t>20,057.1</w:t>
            </w:r>
          </w:p>
        </w:tc>
        <w:tc>
          <w:tcPr>
            <w:tcW w:w="1075" w:type="dxa"/>
            <w:tcBorders>
              <w:top w:val="single" w:sz="4" w:space="0" w:color="auto"/>
              <w:left w:val="single" w:sz="4" w:space="0" w:color="FFFFFF"/>
              <w:bottom w:val="single" w:sz="4" w:space="0" w:color="auto"/>
              <w:right w:val="single" w:sz="4" w:space="0" w:color="FFFFFF"/>
            </w:tcBorders>
            <w:noWrap/>
            <w:hideMark/>
          </w:tcPr>
          <w:p w14:paraId="2B66526D" w14:textId="77777777" w:rsidR="00CE75D4" w:rsidRDefault="00CE75D4" w:rsidP="008340C1">
            <w:pPr>
              <w:pStyle w:val="ARfintablebodyrightbold"/>
              <w:spacing w:before="20" w:after="10"/>
            </w:pPr>
            <w:r>
              <w:t>1,608.4</w:t>
            </w:r>
          </w:p>
        </w:tc>
        <w:tc>
          <w:tcPr>
            <w:tcW w:w="1040" w:type="dxa"/>
            <w:tcBorders>
              <w:top w:val="single" w:sz="4" w:space="0" w:color="auto"/>
              <w:left w:val="single" w:sz="4" w:space="0" w:color="FFFFFF"/>
              <w:bottom w:val="single" w:sz="4" w:space="0" w:color="auto"/>
              <w:right w:val="single" w:sz="4" w:space="0" w:color="FFFFFF"/>
            </w:tcBorders>
            <w:noWrap/>
            <w:hideMark/>
          </w:tcPr>
          <w:p w14:paraId="0F74F279" w14:textId="77777777" w:rsidR="00CE75D4" w:rsidRDefault="00CE75D4" w:rsidP="008340C1">
            <w:pPr>
              <w:pStyle w:val="ARfintablebodyrightbold"/>
              <w:spacing w:before="20" w:after="10"/>
            </w:pPr>
            <w:r>
              <w:t>–</w:t>
            </w:r>
          </w:p>
        </w:tc>
        <w:tc>
          <w:tcPr>
            <w:tcW w:w="1040" w:type="dxa"/>
            <w:tcBorders>
              <w:top w:val="single" w:sz="4" w:space="0" w:color="auto"/>
              <w:left w:val="single" w:sz="4" w:space="0" w:color="FFFFFF"/>
              <w:bottom w:val="single" w:sz="4" w:space="0" w:color="auto"/>
              <w:right w:val="nil"/>
            </w:tcBorders>
            <w:shd w:val="clear" w:color="auto" w:fill="E7E6E6"/>
            <w:noWrap/>
            <w:hideMark/>
          </w:tcPr>
          <w:p w14:paraId="1486BB64" w14:textId="77777777" w:rsidR="00CE75D4" w:rsidRDefault="00CE75D4" w:rsidP="008340C1">
            <w:pPr>
              <w:pStyle w:val="ARfintablebodyrightbold"/>
              <w:spacing w:before="20" w:after="10"/>
            </w:pPr>
            <w:r>
              <w:t>999.1</w:t>
            </w:r>
          </w:p>
        </w:tc>
        <w:tc>
          <w:tcPr>
            <w:tcW w:w="1072" w:type="dxa"/>
            <w:tcBorders>
              <w:top w:val="single" w:sz="4" w:space="0" w:color="auto"/>
              <w:left w:val="nil"/>
              <w:bottom w:val="single" w:sz="4" w:space="0" w:color="auto"/>
              <w:right w:val="nil"/>
            </w:tcBorders>
            <w:shd w:val="clear" w:color="auto" w:fill="E7E6E6"/>
            <w:noWrap/>
            <w:hideMark/>
          </w:tcPr>
          <w:p w14:paraId="0FCF9DFC" w14:textId="77777777" w:rsidR="00CE75D4" w:rsidRDefault="00CE75D4" w:rsidP="008340C1">
            <w:pPr>
              <w:pStyle w:val="ARfintablebodyrightbold"/>
              <w:spacing w:before="20" w:after="10"/>
            </w:pPr>
            <w:r>
              <w:t>–</w:t>
            </w:r>
          </w:p>
        </w:tc>
        <w:tc>
          <w:tcPr>
            <w:tcW w:w="1072" w:type="dxa"/>
            <w:tcBorders>
              <w:top w:val="single" w:sz="4" w:space="0" w:color="auto"/>
              <w:left w:val="nil"/>
              <w:bottom w:val="single" w:sz="4" w:space="0" w:color="auto"/>
              <w:right w:val="nil"/>
            </w:tcBorders>
            <w:shd w:val="clear" w:color="auto" w:fill="E7E6E6"/>
            <w:noWrap/>
            <w:hideMark/>
          </w:tcPr>
          <w:p w14:paraId="2AEC77EF" w14:textId="77777777" w:rsidR="00CE75D4" w:rsidRDefault="00CE75D4" w:rsidP="008340C1">
            <w:pPr>
              <w:pStyle w:val="ARfintablebodyrightbold"/>
              <w:spacing w:before="20" w:after="10"/>
            </w:pPr>
            <w:r>
              <w:t>44.9</w:t>
            </w:r>
          </w:p>
        </w:tc>
        <w:tc>
          <w:tcPr>
            <w:tcW w:w="1072" w:type="dxa"/>
            <w:tcBorders>
              <w:top w:val="single" w:sz="4" w:space="0" w:color="auto"/>
              <w:left w:val="nil"/>
              <w:bottom w:val="single" w:sz="4" w:space="0" w:color="auto"/>
              <w:right w:val="single" w:sz="4" w:space="0" w:color="FFFFFF"/>
            </w:tcBorders>
            <w:shd w:val="clear" w:color="auto" w:fill="E7E6E6"/>
            <w:noWrap/>
            <w:hideMark/>
          </w:tcPr>
          <w:p w14:paraId="4CC1C5D1" w14:textId="77777777" w:rsidR="00CE75D4" w:rsidRDefault="00CE75D4" w:rsidP="008340C1">
            <w:pPr>
              <w:pStyle w:val="ARfintablebodyrightbold"/>
              <w:spacing w:before="20" w:after="10"/>
            </w:pPr>
            <w:r>
              <w:t>–</w:t>
            </w:r>
          </w:p>
        </w:tc>
        <w:tc>
          <w:tcPr>
            <w:tcW w:w="1085" w:type="dxa"/>
            <w:tcBorders>
              <w:top w:val="single" w:sz="4" w:space="0" w:color="auto"/>
              <w:left w:val="single" w:sz="4" w:space="0" w:color="FFFFFF"/>
              <w:bottom w:val="single" w:sz="4" w:space="0" w:color="auto"/>
              <w:right w:val="single" w:sz="4" w:space="0" w:color="FFFFFF"/>
            </w:tcBorders>
            <w:noWrap/>
            <w:hideMark/>
          </w:tcPr>
          <w:p w14:paraId="40CED365" w14:textId="77777777" w:rsidR="00CE75D4" w:rsidRDefault="00CE75D4" w:rsidP="008340C1">
            <w:pPr>
              <w:pStyle w:val="ARfintablebodyrightbold"/>
              <w:spacing w:before="20" w:after="10"/>
            </w:pPr>
            <w:r>
              <w:t>22,709.5</w:t>
            </w:r>
          </w:p>
        </w:tc>
        <w:tc>
          <w:tcPr>
            <w:tcW w:w="1078" w:type="dxa"/>
            <w:tcBorders>
              <w:top w:val="single" w:sz="4" w:space="0" w:color="auto"/>
              <w:left w:val="single" w:sz="4" w:space="0" w:color="FFFFFF"/>
              <w:bottom w:val="single" w:sz="4" w:space="0" w:color="auto"/>
              <w:right w:val="single" w:sz="4" w:space="0" w:color="FFFFFF"/>
            </w:tcBorders>
            <w:noWrap/>
            <w:hideMark/>
          </w:tcPr>
          <w:p w14:paraId="599095D1" w14:textId="77777777" w:rsidR="00CE75D4" w:rsidRDefault="00CE75D4" w:rsidP="008340C1">
            <w:pPr>
              <w:pStyle w:val="ARfintablebodyrightbold"/>
              <w:spacing w:before="20" w:after="10"/>
            </w:pPr>
            <w:r>
              <w:t>22,042.8</w:t>
            </w:r>
          </w:p>
        </w:tc>
        <w:tc>
          <w:tcPr>
            <w:tcW w:w="1067" w:type="dxa"/>
            <w:tcBorders>
              <w:top w:val="single" w:sz="4" w:space="0" w:color="auto"/>
              <w:left w:val="single" w:sz="4" w:space="0" w:color="FFFFFF"/>
              <w:bottom w:val="single" w:sz="4" w:space="0" w:color="auto"/>
              <w:right w:val="single" w:sz="4" w:space="0" w:color="FFFFFF"/>
            </w:tcBorders>
            <w:noWrap/>
            <w:hideMark/>
          </w:tcPr>
          <w:p w14:paraId="1AD061BF" w14:textId="77777777" w:rsidR="00CE75D4" w:rsidRDefault="00CE75D4" w:rsidP="008340C1">
            <w:pPr>
              <w:pStyle w:val="ARfintablebodyrightbold"/>
              <w:spacing w:before="20" w:after="10"/>
            </w:pPr>
            <w:r>
              <w:t>666.7</w:t>
            </w:r>
          </w:p>
        </w:tc>
        <w:tc>
          <w:tcPr>
            <w:tcW w:w="433" w:type="dxa"/>
            <w:tcBorders>
              <w:top w:val="single" w:sz="4" w:space="0" w:color="auto"/>
              <w:left w:val="single" w:sz="4" w:space="0" w:color="FFFFFF"/>
              <w:bottom w:val="single" w:sz="4" w:space="0" w:color="auto"/>
              <w:right w:val="single" w:sz="4" w:space="0" w:color="FFFFFF"/>
            </w:tcBorders>
            <w:noWrap/>
            <w:hideMark/>
          </w:tcPr>
          <w:p w14:paraId="4742A8AA" w14:textId="77777777" w:rsidR="00CE75D4" w:rsidRDefault="00CE75D4" w:rsidP="008340C1">
            <w:pPr>
              <w:pStyle w:val="ARfintablebodyright"/>
              <w:spacing w:before="20" w:after="10"/>
            </w:pPr>
          </w:p>
        </w:tc>
      </w:tr>
    </w:tbl>
    <w:bookmarkEnd w:id="515"/>
    <w:p w14:paraId="293B9434" w14:textId="77777777" w:rsidR="00CE75D4" w:rsidRDefault="00CE75D4" w:rsidP="008340C1">
      <w:pPr>
        <w:pStyle w:val="ARfintablefootnote"/>
      </w:pPr>
      <w:r>
        <w:rPr>
          <w:lang w:eastAsia="en-AU"/>
        </w:rPr>
        <w:t>Notes:</w:t>
      </w:r>
    </w:p>
    <w:p w14:paraId="6DB16608" w14:textId="77777777" w:rsidR="00CE75D4" w:rsidRDefault="00CE75D4" w:rsidP="008340C1">
      <w:pPr>
        <w:pStyle w:val="ARfintablefootnoteindent"/>
      </w:pPr>
      <w:r>
        <w:t>(i)</w:t>
      </w:r>
      <w:r>
        <w:tab/>
        <w:t>Refer to Note 2.5 for further detail.</w:t>
      </w:r>
    </w:p>
    <w:p w14:paraId="49A42443" w14:textId="77777777" w:rsidR="00CE75D4" w:rsidRDefault="00CE75D4" w:rsidP="008340C1">
      <w:pPr>
        <w:pStyle w:val="ARfintablefootnoteindent"/>
      </w:pPr>
      <w:r>
        <w:t>(ii)</w:t>
      </w:r>
      <w:r>
        <w:tab/>
        <w:t xml:space="preserve">Transfer from the additions to net assets </w:t>
      </w:r>
      <w:r w:rsidRPr="002F0F36">
        <w:t>authority</w:t>
      </w:r>
      <w:r>
        <w:t xml:space="preserve"> to appropriation for provision of outputs mainly relates to capital projects that are delivered via non-portfolio agencies, and design and feasibility studies costs which will not be capitalised and result in output appropriation costs to the department.</w:t>
      </w:r>
    </w:p>
    <w:p w14:paraId="390FF2A3" w14:textId="77777777" w:rsidR="00CE75D4" w:rsidRDefault="00CE75D4" w:rsidP="008340C1">
      <w:pPr>
        <w:pStyle w:val="ARfintablefootnoteindent"/>
      </w:pPr>
      <w:r>
        <w:t>(iii)</w:t>
      </w:r>
      <w:r>
        <w:tab/>
        <w:t>The provision of outputs variance of $502.6 million comprises $98.6</w:t>
      </w:r>
      <w:r>
        <w:rPr>
          <w:color w:val="FF0000"/>
        </w:rPr>
        <w:t xml:space="preserve"> </w:t>
      </w:r>
      <w:r>
        <w:t>million relating to funding for services and projects that will be requested in 2022–23, and $404.0 million relating to output appropriation authority not applied in 2021–22. The unapplied authority primarily reflects the lower depreciation equivalent as a funding source due to the lower than expected depreciation expense, savings applied and funding re-cashflowed to deliver outputs in 2022–23 and outyears.</w:t>
      </w:r>
    </w:p>
    <w:p w14:paraId="33DC17F4" w14:textId="77777777" w:rsidR="00CE75D4" w:rsidRDefault="00CE75D4" w:rsidP="008340C1">
      <w:pPr>
        <w:pStyle w:val="ARfintablefootnoteindent"/>
      </w:pPr>
      <w:r>
        <w:t>(iv)</w:t>
      </w:r>
      <w:r>
        <w:tab/>
        <w:t>The additions to net assets variance of $125.9 million comprises $21.8 million relating to funding for capital projects that will be requested in 2022–23 and outyears, and $104.1 million relating to appropriation authority not applied in 2021–22. The unapplied authority reflects utilisation of current year depreciation equivalent as a funding source instead of additions to net assets funding.</w:t>
      </w:r>
    </w:p>
    <w:p w14:paraId="1D8FC316" w14:textId="77777777" w:rsidR="00CE75D4" w:rsidRDefault="00CE75D4" w:rsidP="008340C1">
      <w:pPr>
        <w:pStyle w:val="ARfintablefootnoteindent"/>
      </w:pPr>
      <w:r>
        <w:t>(v)</w:t>
      </w:r>
      <w:r>
        <w:tab/>
        <w:t>The provision of outputs variance of $485.1 million comprises $293.8 million relating to funding for services and projects that were requested in 2021–22 for delivery of these services and projects in that year, and $191.3 million relating to output appropriation authority not applied in 2020–21. The unapplied authority primarily reflects the change in nature of expenditure from operating to capital that was funded by depreciation equivalent as a funding source and funding re-cashflowed to deliver outputs in 2021–22 and outyears.</w:t>
      </w:r>
    </w:p>
    <w:p w14:paraId="2F3BD57F" w14:textId="77777777" w:rsidR="00CE75D4" w:rsidRDefault="00CE75D4" w:rsidP="002A5CF0">
      <w:pPr>
        <w:pStyle w:val="ARfintablefootnoteindent"/>
        <w:rPr>
          <w:rFonts w:cs="Arial"/>
          <w:szCs w:val="16"/>
        </w:rPr>
      </w:pPr>
      <w:r>
        <w:t>(vi)</w:t>
      </w:r>
      <w:r>
        <w:tab/>
        <w:t>The additions to net assets variance of $181.6 million comprises $117.7 million relating to funding for capital projects that were requested in 2021–22 and outyears for delivery of these capital projects in those years, and $63.9 million relating to appropriation authority not applied in 2020–21. The unapplied authority reflects utilisation of current year depreciation equivalent as a funding source instead of additions to net assets funding.</w:t>
      </w:r>
    </w:p>
    <w:p w14:paraId="257A2CF3" w14:textId="77777777" w:rsidR="00CE75D4" w:rsidRPr="002029AF" w:rsidRDefault="00CE75D4" w:rsidP="002A5CF0">
      <w:pPr>
        <w:pStyle w:val="ARfintablefootnoteindent"/>
        <w:rPr>
          <w:rFonts w:cs="Arial"/>
          <w:szCs w:val="16"/>
        </w:rPr>
        <w:sectPr w:rsidR="00CE75D4" w:rsidRPr="002029AF" w:rsidSect="00130D1C">
          <w:footnotePr>
            <w:numFmt w:val="lowerLetter"/>
            <w:numRestart w:val="eachPage"/>
          </w:footnotePr>
          <w:pgSz w:w="16838" w:h="11906" w:orient="landscape" w:code="9"/>
          <w:pgMar w:top="1134" w:right="1531" w:bottom="1134" w:left="851" w:header="510" w:footer="340" w:gutter="0"/>
          <w:cols w:space="708"/>
          <w:docGrid w:linePitch="360"/>
        </w:sectPr>
      </w:pPr>
    </w:p>
    <w:p w14:paraId="5B1B2883" w14:textId="77777777" w:rsidR="00CE75D4" w:rsidRDefault="00CE75D4" w:rsidP="008340C1">
      <w:pPr>
        <w:pStyle w:val="ARfinbodylargespace"/>
      </w:pPr>
      <w:r>
        <w:t>The following table discloses the details of compliance with special appropriations:</w:t>
      </w:r>
    </w:p>
    <w:tbl>
      <w:tblPr>
        <w:tblStyle w:val="TableGrid"/>
        <w:tblW w:w="9637" w:type="dxa"/>
        <w:tblLayout w:type="fixed"/>
        <w:tblLook w:val="06A0" w:firstRow="1" w:lastRow="0" w:firstColumn="1" w:lastColumn="0" w:noHBand="1" w:noVBand="1"/>
      </w:tblPr>
      <w:tblGrid>
        <w:gridCol w:w="3684"/>
        <w:gridCol w:w="3685"/>
        <w:gridCol w:w="1134"/>
        <w:gridCol w:w="1134"/>
      </w:tblGrid>
      <w:tr w:rsidR="00CE75D4" w:rsidRPr="002029AF" w14:paraId="3336B7F5"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3684" w:type="dxa"/>
            <w:vMerge w:val="restart"/>
            <w:noWrap/>
            <w:hideMark/>
          </w:tcPr>
          <w:p w14:paraId="3BEE194F" w14:textId="77777777" w:rsidR="00CE75D4" w:rsidRPr="002029AF" w:rsidRDefault="00CE75D4" w:rsidP="00860E95">
            <w:pPr>
              <w:pStyle w:val="ARfintablecolhead"/>
            </w:pPr>
            <w:r w:rsidRPr="002029AF">
              <w:t>Authority</w:t>
            </w:r>
          </w:p>
        </w:tc>
        <w:tc>
          <w:tcPr>
            <w:tcW w:w="3685" w:type="dxa"/>
            <w:vMerge w:val="restart"/>
            <w:noWrap/>
            <w:hideMark/>
          </w:tcPr>
          <w:p w14:paraId="384DBEDF" w14:textId="77777777" w:rsidR="00CE75D4" w:rsidRPr="002029AF" w:rsidRDefault="00CE75D4" w:rsidP="00860E95">
            <w:pPr>
              <w:pStyle w:val="ARfintablecolhead"/>
            </w:pPr>
            <w:r>
              <w:t>Purpose</w:t>
            </w:r>
          </w:p>
        </w:tc>
        <w:tc>
          <w:tcPr>
            <w:tcW w:w="2268" w:type="dxa"/>
            <w:gridSpan w:val="2"/>
            <w:hideMark/>
          </w:tcPr>
          <w:p w14:paraId="19A03C51" w14:textId="77777777" w:rsidR="00CE75D4" w:rsidRPr="002029AF" w:rsidRDefault="00CE75D4" w:rsidP="00860E95">
            <w:pPr>
              <w:pStyle w:val="ARfintablecolheadright"/>
            </w:pPr>
            <w:r w:rsidRPr="002029AF">
              <w:t>Appropriation applied</w:t>
            </w:r>
          </w:p>
        </w:tc>
      </w:tr>
      <w:tr w:rsidR="00CE75D4" w:rsidRPr="002029AF" w14:paraId="43B1F2F3"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3684" w:type="dxa"/>
            <w:vMerge/>
            <w:tcBorders>
              <w:bottom w:val="single" w:sz="4" w:space="0" w:color="auto"/>
            </w:tcBorders>
            <w:noWrap/>
            <w:hideMark/>
          </w:tcPr>
          <w:p w14:paraId="553C0540" w14:textId="77777777" w:rsidR="00CE75D4" w:rsidRPr="002029AF" w:rsidRDefault="00CE75D4" w:rsidP="008340C1">
            <w:pPr>
              <w:pStyle w:val="ARfintablecolhead"/>
            </w:pPr>
          </w:p>
        </w:tc>
        <w:tc>
          <w:tcPr>
            <w:tcW w:w="3685" w:type="dxa"/>
            <w:vMerge/>
            <w:tcBorders>
              <w:bottom w:val="single" w:sz="4" w:space="0" w:color="auto"/>
            </w:tcBorders>
            <w:noWrap/>
            <w:hideMark/>
          </w:tcPr>
          <w:p w14:paraId="7AA23A85" w14:textId="77777777" w:rsidR="00CE75D4" w:rsidRPr="002029AF" w:rsidRDefault="00CE75D4" w:rsidP="008340C1">
            <w:pPr>
              <w:pStyle w:val="ARfintablecolhead"/>
            </w:pPr>
          </w:p>
        </w:tc>
        <w:tc>
          <w:tcPr>
            <w:tcW w:w="1134" w:type="dxa"/>
            <w:tcBorders>
              <w:bottom w:val="single" w:sz="4" w:space="0" w:color="auto"/>
            </w:tcBorders>
            <w:shd w:val="clear" w:color="auto" w:fill="E7E6E6"/>
            <w:hideMark/>
          </w:tcPr>
          <w:p w14:paraId="3CABEB17" w14:textId="77777777" w:rsidR="00CE75D4" w:rsidRPr="002029AF" w:rsidRDefault="00CE75D4" w:rsidP="008340C1">
            <w:pPr>
              <w:pStyle w:val="ARfintablecolheadright"/>
            </w:pPr>
            <w:r w:rsidRPr="002029AF">
              <w:t>202</w:t>
            </w:r>
            <w:r>
              <w:t>2</w:t>
            </w:r>
          </w:p>
          <w:p w14:paraId="2A66A50D" w14:textId="77777777" w:rsidR="00CE75D4" w:rsidRPr="002029AF" w:rsidRDefault="00CE75D4" w:rsidP="008340C1">
            <w:pPr>
              <w:pStyle w:val="ARfintablecolheadright"/>
            </w:pPr>
            <w:r w:rsidRPr="002029AF">
              <w:t>$M</w:t>
            </w:r>
          </w:p>
        </w:tc>
        <w:tc>
          <w:tcPr>
            <w:tcW w:w="1134" w:type="dxa"/>
            <w:tcBorders>
              <w:bottom w:val="single" w:sz="4" w:space="0" w:color="auto"/>
            </w:tcBorders>
            <w:hideMark/>
          </w:tcPr>
          <w:p w14:paraId="3ED6B971" w14:textId="77777777" w:rsidR="00CE75D4" w:rsidRPr="002029AF" w:rsidRDefault="00CE75D4" w:rsidP="008340C1">
            <w:pPr>
              <w:pStyle w:val="ARfintablecolheadright"/>
            </w:pPr>
            <w:r>
              <w:t>2021</w:t>
            </w:r>
          </w:p>
          <w:p w14:paraId="4E94F619" w14:textId="77777777" w:rsidR="00CE75D4" w:rsidRPr="002029AF" w:rsidRDefault="00CE75D4" w:rsidP="008340C1">
            <w:pPr>
              <w:pStyle w:val="ARfintablecolheadright"/>
            </w:pPr>
            <w:r w:rsidRPr="002029AF">
              <w:t>$M</w:t>
            </w:r>
          </w:p>
        </w:tc>
      </w:tr>
      <w:tr w:rsidR="00CE75D4" w:rsidRPr="002029AF" w14:paraId="7DAF0372" w14:textId="77777777" w:rsidTr="00130D1C">
        <w:tc>
          <w:tcPr>
            <w:tcW w:w="3684" w:type="dxa"/>
            <w:tcBorders>
              <w:top w:val="single" w:sz="4" w:space="0" w:color="auto"/>
              <w:bottom w:val="single" w:sz="4" w:space="0" w:color="A6A6A6"/>
            </w:tcBorders>
            <w:hideMark/>
          </w:tcPr>
          <w:p w14:paraId="1CC23443" w14:textId="77777777" w:rsidR="00CE75D4" w:rsidRPr="002029AF" w:rsidRDefault="00CE75D4" w:rsidP="008340C1">
            <w:pPr>
              <w:pStyle w:val="ARfintablebody"/>
            </w:pPr>
            <w:r w:rsidRPr="007A3FD6">
              <w:t xml:space="preserve">Section 4.4.11 and 4.6.8 of the </w:t>
            </w:r>
            <w:r>
              <w:br/>
            </w:r>
            <w:r w:rsidRPr="000B6906">
              <w:rPr>
                <w:rStyle w:val="Emphasis"/>
              </w:rPr>
              <w:t>Gambling Regulation Act 2003</w:t>
            </w:r>
          </w:p>
        </w:tc>
        <w:tc>
          <w:tcPr>
            <w:tcW w:w="3685" w:type="dxa"/>
            <w:tcBorders>
              <w:top w:val="single" w:sz="4" w:space="0" w:color="auto"/>
              <w:bottom w:val="single" w:sz="4" w:space="0" w:color="A6A6A6"/>
            </w:tcBorders>
            <w:hideMark/>
          </w:tcPr>
          <w:p w14:paraId="615BBBF7" w14:textId="77777777" w:rsidR="00CE75D4" w:rsidRPr="002029AF" w:rsidRDefault="00CE75D4" w:rsidP="008340C1">
            <w:pPr>
              <w:pStyle w:val="ARfintablebody"/>
            </w:pPr>
            <w:r w:rsidRPr="007A3FD6">
              <w:t xml:space="preserve">Contribution to the Hospitals </w:t>
            </w:r>
            <w:r>
              <w:br/>
            </w:r>
            <w:r w:rsidRPr="007A3FD6">
              <w:t>and Charities Fund</w:t>
            </w:r>
          </w:p>
        </w:tc>
        <w:tc>
          <w:tcPr>
            <w:tcW w:w="1134" w:type="dxa"/>
            <w:tcBorders>
              <w:top w:val="single" w:sz="4" w:space="0" w:color="auto"/>
              <w:bottom w:val="single" w:sz="4" w:space="0" w:color="A6A6A6"/>
            </w:tcBorders>
            <w:shd w:val="clear" w:color="auto" w:fill="E7E6E6"/>
            <w:noWrap/>
            <w:hideMark/>
          </w:tcPr>
          <w:p w14:paraId="1746D377" w14:textId="77777777" w:rsidR="00CE75D4" w:rsidRPr="002029AF" w:rsidRDefault="00CE75D4" w:rsidP="008340C1">
            <w:pPr>
              <w:pStyle w:val="ARfintablebodyright"/>
            </w:pPr>
            <w:r w:rsidRPr="007A3FD6">
              <w:t>175.0</w:t>
            </w:r>
          </w:p>
        </w:tc>
        <w:tc>
          <w:tcPr>
            <w:tcW w:w="1134" w:type="dxa"/>
            <w:tcBorders>
              <w:top w:val="single" w:sz="4" w:space="0" w:color="auto"/>
              <w:bottom w:val="single" w:sz="4" w:space="0" w:color="A6A6A6"/>
            </w:tcBorders>
            <w:noWrap/>
            <w:hideMark/>
          </w:tcPr>
          <w:p w14:paraId="132B42D1" w14:textId="77777777" w:rsidR="00CE75D4" w:rsidRPr="002029AF" w:rsidRDefault="00CE75D4" w:rsidP="008340C1">
            <w:pPr>
              <w:pStyle w:val="ARfintablebodyright"/>
            </w:pPr>
            <w:r w:rsidRPr="007A3FD6">
              <w:t>152.2</w:t>
            </w:r>
          </w:p>
        </w:tc>
      </w:tr>
      <w:tr w:rsidR="00CE75D4" w:rsidRPr="002029AF" w14:paraId="4082284F" w14:textId="77777777" w:rsidTr="00130D1C">
        <w:tc>
          <w:tcPr>
            <w:tcW w:w="3684" w:type="dxa"/>
            <w:tcBorders>
              <w:top w:val="single" w:sz="4" w:space="0" w:color="A6A6A6"/>
              <w:bottom w:val="single" w:sz="4" w:space="0" w:color="A6A6A6"/>
            </w:tcBorders>
            <w:hideMark/>
          </w:tcPr>
          <w:p w14:paraId="3E241D1B" w14:textId="77777777" w:rsidR="00CE75D4" w:rsidRPr="002029AF" w:rsidRDefault="00CE75D4" w:rsidP="008340C1">
            <w:pPr>
              <w:pStyle w:val="ARfintablebody"/>
            </w:pPr>
            <w:r w:rsidRPr="007A3FD6">
              <w:t xml:space="preserve">Section 5.4.6 of the </w:t>
            </w:r>
            <w:r>
              <w:br/>
            </w:r>
            <w:r w:rsidRPr="000B6906">
              <w:rPr>
                <w:rStyle w:val="Emphasis"/>
              </w:rPr>
              <w:t>Gambling Regulation Act 2003</w:t>
            </w:r>
          </w:p>
        </w:tc>
        <w:tc>
          <w:tcPr>
            <w:tcW w:w="3685" w:type="dxa"/>
            <w:tcBorders>
              <w:top w:val="single" w:sz="4" w:space="0" w:color="A6A6A6"/>
              <w:bottom w:val="single" w:sz="4" w:space="0" w:color="A6A6A6"/>
            </w:tcBorders>
            <w:hideMark/>
          </w:tcPr>
          <w:p w14:paraId="0A7D75D8" w14:textId="77777777" w:rsidR="00CE75D4" w:rsidRPr="002029AF" w:rsidRDefault="00CE75D4" w:rsidP="008340C1">
            <w:pPr>
              <w:pStyle w:val="ARfintablebody"/>
            </w:pPr>
            <w:r w:rsidRPr="007A3FD6">
              <w:t xml:space="preserve">Contribution to the Hospitals </w:t>
            </w:r>
            <w:r>
              <w:br/>
            </w:r>
            <w:r w:rsidRPr="007A3FD6">
              <w:t xml:space="preserve">and Charities Fund </w:t>
            </w:r>
            <w:r w:rsidRPr="00235044">
              <w:rPr>
                <w:rStyle w:val="Superscript"/>
              </w:rPr>
              <w:t>(i)</w:t>
            </w:r>
          </w:p>
        </w:tc>
        <w:tc>
          <w:tcPr>
            <w:tcW w:w="1134" w:type="dxa"/>
            <w:tcBorders>
              <w:top w:val="single" w:sz="4" w:space="0" w:color="A6A6A6"/>
              <w:bottom w:val="single" w:sz="4" w:space="0" w:color="A6A6A6"/>
            </w:tcBorders>
            <w:shd w:val="clear" w:color="auto" w:fill="E7E6E6"/>
            <w:noWrap/>
            <w:hideMark/>
          </w:tcPr>
          <w:p w14:paraId="0A1E9B91" w14:textId="77777777" w:rsidR="00CE75D4" w:rsidRPr="002029AF" w:rsidRDefault="00CE75D4" w:rsidP="008340C1">
            <w:pPr>
              <w:pStyle w:val="ARfintablebodyright"/>
            </w:pPr>
            <w:r w:rsidRPr="007A3FD6">
              <w:t>601.9</w:t>
            </w:r>
          </w:p>
        </w:tc>
        <w:tc>
          <w:tcPr>
            <w:tcW w:w="1134" w:type="dxa"/>
            <w:tcBorders>
              <w:top w:val="single" w:sz="4" w:space="0" w:color="A6A6A6"/>
              <w:bottom w:val="single" w:sz="4" w:space="0" w:color="A6A6A6"/>
            </w:tcBorders>
            <w:noWrap/>
            <w:hideMark/>
          </w:tcPr>
          <w:p w14:paraId="5342B0B6" w14:textId="77777777" w:rsidR="00CE75D4" w:rsidRPr="002029AF" w:rsidRDefault="00CE75D4" w:rsidP="008340C1">
            <w:pPr>
              <w:pStyle w:val="ARfintablebodyright"/>
            </w:pPr>
            <w:r w:rsidRPr="007A3FD6">
              <w:t>464.5</w:t>
            </w:r>
          </w:p>
        </w:tc>
      </w:tr>
      <w:tr w:rsidR="00CE75D4" w:rsidRPr="002029AF" w14:paraId="10D5976B" w14:textId="77777777" w:rsidTr="00130D1C">
        <w:tc>
          <w:tcPr>
            <w:tcW w:w="3684" w:type="dxa"/>
            <w:tcBorders>
              <w:top w:val="single" w:sz="4" w:space="0" w:color="A6A6A6"/>
              <w:bottom w:val="single" w:sz="4" w:space="0" w:color="A6A6A6"/>
            </w:tcBorders>
            <w:hideMark/>
          </w:tcPr>
          <w:p w14:paraId="5C5131A5" w14:textId="77777777" w:rsidR="00CE75D4" w:rsidRPr="002029AF" w:rsidRDefault="00CE75D4" w:rsidP="008340C1">
            <w:pPr>
              <w:pStyle w:val="ARfintablebody"/>
            </w:pPr>
            <w:r>
              <w:t xml:space="preserve">Section 114 of the </w:t>
            </w:r>
            <w:r>
              <w:br/>
            </w:r>
            <w:r w:rsidRPr="00064408">
              <w:rPr>
                <w:rStyle w:val="Emphasis"/>
              </w:rPr>
              <w:t>Casino Control Act 1991</w:t>
            </w:r>
          </w:p>
        </w:tc>
        <w:tc>
          <w:tcPr>
            <w:tcW w:w="3685" w:type="dxa"/>
            <w:tcBorders>
              <w:top w:val="single" w:sz="4" w:space="0" w:color="A6A6A6"/>
              <w:bottom w:val="single" w:sz="4" w:space="0" w:color="A6A6A6"/>
            </w:tcBorders>
            <w:hideMark/>
          </w:tcPr>
          <w:p w14:paraId="31EA63B4" w14:textId="77777777" w:rsidR="00CE75D4" w:rsidRPr="002029AF" w:rsidRDefault="00CE75D4" w:rsidP="008340C1">
            <w:pPr>
              <w:pStyle w:val="ARfintablebody"/>
            </w:pPr>
            <w:r w:rsidRPr="007A3FD6">
              <w:t xml:space="preserve">Contribution to the Hospitals </w:t>
            </w:r>
            <w:r>
              <w:br/>
            </w:r>
            <w:r w:rsidRPr="007A3FD6">
              <w:t>and Charities Fund</w:t>
            </w:r>
          </w:p>
        </w:tc>
        <w:tc>
          <w:tcPr>
            <w:tcW w:w="1134" w:type="dxa"/>
            <w:tcBorders>
              <w:top w:val="single" w:sz="4" w:space="0" w:color="A6A6A6"/>
              <w:bottom w:val="single" w:sz="4" w:space="0" w:color="A6A6A6"/>
            </w:tcBorders>
            <w:shd w:val="clear" w:color="auto" w:fill="E7E6E6"/>
            <w:noWrap/>
            <w:hideMark/>
          </w:tcPr>
          <w:p w14:paraId="07FFC54A" w14:textId="77777777" w:rsidR="00CE75D4" w:rsidRPr="002029AF" w:rsidRDefault="00CE75D4" w:rsidP="008340C1">
            <w:pPr>
              <w:pStyle w:val="ARfintablebodyright"/>
            </w:pPr>
            <w:r w:rsidRPr="007A3FD6">
              <w:t>6.1</w:t>
            </w:r>
          </w:p>
        </w:tc>
        <w:tc>
          <w:tcPr>
            <w:tcW w:w="1134" w:type="dxa"/>
            <w:tcBorders>
              <w:top w:val="single" w:sz="4" w:space="0" w:color="A6A6A6"/>
              <w:bottom w:val="single" w:sz="4" w:space="0" w:color="A6A6A6"/>
            </w:tcBorders>
            <w:noWrap/>
            <w:hideMark/>
          </w:tcPr>
          <w:p w14:paraId="7A4053A3" w14:textId="77777777" w:rsidR="00CE75D4" w:rsidRPr="002029AF" w:rsidRDefault="00CE75D4" w:rsidP="008340C1">
            <w:pPr>
              <w:pStyle w:val="ARfintablebodyright"/>
            </w:pPr>
            <w:r w:rsidRPr="007A3FD6">
              <w:t>3.9</w:t>
            </w:r>
          </w:p>
        </w:tc>
      </w:tr>
      <w:tr w:rsidR="00CE75D4" w:rsidRPr="002029AF" w14:paraId="2E6A3BB1" w14:textId="77777777" w:rsidTr="00130D1C">
        <w:tc>
          <w:tcPr>
            <w:tcW w:w="3684" w:type="dxa"/>
            <w:tcBorders>
              <w:top w:val="single" w:sz="4" w:space="0" w:color="A6A6A6"/>
              <w:bottom w:val="single" w:sz="4" w:space="0" w:color="A6A6A6"/>
            </w:tcBorders>
            <w:hideMark/>
          </w:tcPr>
          <w:p w14:paraId="6D1E9971" w14:textId="77777777" w:rsidR="00CE75D4" w:rsidRPr="002029AF" w:rsidRDefault="00CE75D4" w:rsidP="008340C1">
            <w:pPr>
              <w:pStyle w:val="ARfintablebody"/>
            </w:pPr>
            <w:r w:rsidRPr="007A3FD6">
              <w:t xml:space="preserve">Section 3.6.11 of the </w:t>
            </w:r>
            <w:r>
              <w:br/>
            </w:r>
            <w:r w:rsidRPr="000B6906">
              <w:rPr>
                <w:rStyle w:val="Emphasis"/>
              </w:rPr>
              <w:t>Gambling Regulation Act 2003</w:t>
            </w:r>
          </w:p>
        </w:tc>
        <w:tc>
          <w:tcPr>
            <w:tcW w:w="3685" w:type="dxa"/>
            <w:tcBorders>
              <w:top w:val="single" w:sz="4" w:space="0" w:color="A6A6A6"/>
              <w:bottom w:val="single" w:sz="4" w:space="0" w:color="A6A6A6"/>
            </w:tcBorders>
            <w:hideMark/>
          </w:tcPr>
          <w:p w14:paraId="49F17F62" w14:textId="77777777" w:rsidR="00CE75D4" w:rsidRPr="002029AF" w:rsidRDefault="00CE75D4" w:rsidP="008340C1">
            <w:pPr>
              <w:pStyle w:val="ARfintablebody"/>
            </w:pPr>
            <w:r w:rsidRPr="007A3FD6">
              <w:t xml:space="preserve">Contribution to the Hospitals </w:t>
            </w:r>
            <w:r>
              <w:br/>
            </w:r>
            <w:r w:rsidRPr="007A3FD6">
              <w:t>and Charities Fund</w:t>
            </w:r>
          </w:p>
        </w:tc>
        <w:tc>
          <w:tcPr>
            <w:tcW w:w="1134" w:type="dxa"/>
            <w:tcBorders>
              <w:top w:val="single" w:sz="4" w:space="0" w:color="A6A6A6"/>
              <w:bottom w:val="single" w:sz="4" w:space="0" w:color="A6A6A6"/>
            </w:tcBorders>
            <w:shd w:val="clear" w:color="auto" w:fill="E7E6E6"/>
            <w:noWrap/>
            <w:hideMark/>
          </w:tcPr>
          <w:p w14:paraId="50B0ABB1" w14:textId="77777777" w:rsidR="00CE75D4" w:rsidRPr="002029AF" w:rsidRDefault="00CE75D4" w:rsidP="008340C1">
            <w:pPr>
              <w:pStyle w:val="ARfintablebodyright"/>
            </w:pPr>
            <w:r w:rsidRPr="007A3FD6">
              <w:t>695.8</w:t>
            </w:r>
          </w:p>
        </w:tc>
        <w:tc>
          <w:tcPr>
            <w:tcW w:w="1134" w:type="dxa"/>
            <w:tcBorders>
              <w:top w:val="single" w:sz="4" w:space="0" w:color="A6A6A6"/>
              <w:bottom w:val="single" w:sz="4" w:space="0" w:color="A6A6A6"/>
            </w:tcBorders>
            <w:noWrap/>
            <w:hideMark/>
          </w:tcPr>
          <w:p w14:paraId="24B77E05" w14:textId="77777777" w:rsidR="00CE75D4" w:rsidRPr="002029AF" w:rsidRDefault="00CE75D4" w:rsidP="008340C1">
            <w:pPr>
              <w:pStyle w:val="ARfintablebodyright"/>
            </w:pPr>
            <w:r w:rsidRPr="007A3FD6">
              <w:t>463.5</w:t>
            </w:r>
          </w:p>
        </w:tc>
      </w:tr>
      <w:tr w:rsidR="00CE75D4" w:rsidRPr="002029AF" w14:paraId="60887071" w14:textId="77777777" w:rsidTr="00130D1C">
        <w:tc>
          <w:tcPr>
            <w:tcW w:w="3684" w:type="dxa"/>
            <w:tcBorders>
              <w:top w:val="single" w:sz="4" w:space="0" w:color="A6A6A6"/>
              <w:bottom w:val="single" w:sz="4" w:space="0" w:color="A6A6A6"/>
            </w:tcBorders>
            <w:hideMark/>
          </w:tcPr>
          <w:p w14:paraId="3C80BFC8" w14:textId="77777777" w:rsidR="00CE75D4" w:rsidRPr="002029AF" w:rsidRDefault="00CE75D4" w:rsidP="008340C1">
            <w:pPr>
              <w:pStyle w:val="ARfintablebody"/>
            </w:pPr>
            <w:r w:rsidRPr="007A3FD6">
              <w:t xml:space="preserve">Section 6A.4.4(1) of the </w:t>
            </w:r>
            <w:r>
              <w:br/>
            </w:r>
            <w:r w:rsidRPr="000B6906">
              <w:rPr>
                <w:rStyle w:val="Emphasis"/>
              </w:rPr>
              <w:t>Gambling Regulation Act 2003</w:t>
            </w:r>
          </w:p>
        </w:tc>
        <w:tc>
          <w:tcPr>
            <w:tcW w:w="3685" w:type="dxa"/>
            <w:tcBorders>
              <w:top w:val="single" w:sz="4" w:space="0" w:color="A6A6A6"/>
              <w:bottom w:val="single" w:sz="4" w:space="0" w:color="A6A6A6"/>
            </w:tcBorders>
            <w:hideMark/>
          </w:tcPr>
          <w:p w14:paraId="324A2443" w14:textId="77777777" w:rsidR="00CE75D4" w:rsidRPr="002029AF" w:rsidRDefault="00CE75D4" w:rsidP="008340C1">
            <w:pPr>
              <w:pStyle w:val="ARfintablebody"/>
            </w:pPr>
            <w:r w:rsidRPr="007A3FD6">
              <w:t xml:space="preserve">Contribution to the Hospitals </w:t>
            </w:r>
            <w:r>
              <w:br/>
            </w:r>
            <w:r w:rsidRPr="007A3FD6">
              <w:t>and Charities Fund</w:t>
            </w:r>
          </w:p>
        </w:tc>
        <w:tc>
          <w:tcPr>
            <w:tcW w:w="1134" w:type="dxa"/>
            <w:tcBorders>
              <w:top w:val="single" w:sz="4" w:space="0" w:color="A6A6A6"/>
              <w:bottom w:val="single" w:sz="4" w:space="0" w:color="A6A6A6"/>
            </w:tcBorders>
            <w:shd w:val="clear" w:color="auto" w:fill="E7E6E6"/>
            <w:noWrap/>
            <w:hideMark/>
          </w:tcPr>
          <w:p w14:paraId="615DF88D" w14:textId="77777777" w:rsidR="00CE75D4" w:rsidRPr="002029AF" w:rsidRDefault="00CE75D4" w:rsidP="008340C1">
            <w:pPr>
              <w:pStyle w:val="ARfintablebodyright"/>
            </w:pPr>
            <w:r w:rsidRPr="007A3FD6">
              <w:t>4.4</w:t>
            </w:r>
          </w:p>
        </w:tc>
        <w:tc>
          <w:tcPr>
            <w:tcW w:w="1134" w:type="dxa"/>
            <w:tcBorders>
              <w:top w:val="single" w:sz="4" w:space="0" w:color="A6A6A6"/>
              <w:bottom w:val="single" w:sz="4" w:space="0" w:color="A6A6A6"/>
            </w:tcBorders>
            <w:noWrap/>
            <w:hideMark/>
          </w:tcPr>
          <w:p w14:paraId="6D152DBC" w14:textId="77777777" w:rsidR="00CE75D4" w:rsidRPr="002029AF" w:rsidRDefault="00CE75D4" w:rsidP="008340C1">
            <w:pPr>
              <w:pStyle w:val="ARfintablebodyright"/>
            </w:pPr>
            <w:r w:rsidRPr="007A3FD6">
              <w:t>3.2</w:t>
            </w:r>
          </w:p>
        </w:tc>
      </w:tr>
      <w:tr w:rsidR="00CE75D4" w:rsidRPr="002029AF" w14:paraId="428CFBAA" w14:textId="77777777" w:rsidTr="00130D1C">
        <w:tc>
          <w:tcPr>
            <w:tcW w:w="3684" w:type="dxa"/>
            <w:tcBorders>
              <w:top w:val="single" w:sz="4" w:space="0" w:color="A6A6A6"/>
              <w:bottom w:val="single" w:sz="4" w:space="0" w:color="A6A6A6"/>
            </w:tcBorders>
          </w:tcPr>
          <w:p w14:paraId="6D4E9583" w14:textId="77777777" w:rsidR="00CE75D4" w:rsidRPr="000B6906" w:rsidRDefault="00CE75D4" w:rsidP="008340C1">
            <w:pPr>
              <w:pStyle w:val="ARfintablebody"/>
              <w:rPr>
                <w:rStyle w:val="Emphasis"/>
              </w:rPr>
            </w:pPr>
            <w:r w:rsidRPr="000B6906">
              <w:rPr>
                <w:rStyle w:val="Emphasis"/>
              </w:rPr>
              <w:t>Mental Health Act 2014</w:t>
            </w:r>
          </w:p>
        </w:tc>
        <w:tc>
          <w:tcPr>
            <w:tcW w:w="3685" w:type="dxa"/>
            <w:tcBorders>
              <w:top w:val="single" w:sz="4" w:space="0" w:color="A6A6A6"/>
              <w:bottom w:val="single" w:sz="4" w:space="0" w:color="A6A6A6"/>
            </w:tcBorders>
          </w:tcPr>
          <w:p w14:paraId="7ACAA318" w14:textId="77777777" w:rsidR="00CE75D4" w:rsidRPr="006515FB" w:rsidRDefault="00CE75D4" w:rsidP="008340C1">
            <w:pPr>
              <w:pStyle w:val="ARfintablebody"/>
            </w:pPr>
            <w:r w:rsidRPr="007A3FD6">
              <w:t xml:space="preserve">Contribution to mental health </w:t>
            </w:r>
            <w:r>
              <w:br/>
            </w:r>
            <w:r w:rsidRPr="007A3FD6">
              <w:t>services funding</w:t>
            </w:r>
          </w:p>
        </w:tc>
        <w:tc>
          <w:tcPr>
            <w:tcW w:w="1134" w:type="dxa"/>
            <w:tcBorders>
              <w:top w:val="single" w:sz="4" w:space="0" w:color="A6A6A6"/>
              <w:bottom w:val="single" w:sz="4" w:space="0" w:color="A6A6A6"/>
            </w:tcBorders>
            <w:shd w:val="clear" w:color="auto" w:fill="E7E6E6"/>
            <w:noWrap/>
          </w:tcPr>
          <w:p w14:paraId="4ADFCE1F" w14:textId="77777777" w:rsidR="00CE75D4" w:rsidRPr="006515FB" w:rsidRDefault="00CE75D4" w:rsidP="008340C1">
            <w:pPr>
              <w:pStyle w:val="ARfintablebodyright"/>
            </w:pPr>
            <w:r w:rsidRPr="007A3FD6">
              <w:t>3</w:t>
            </w:r>
            <w:r>
              <w:t>97.5</w:t>
            </w:r>
          </w:p>
        </w:tc>
        <w:tc>
          <w:tcPr>
            <w:tcW w:w="1134" w:type="dxa"/>
            <w:tcBorders>
              <w:top w:val="single" w:sz="4" w:space="0" w:color="A6A6A6"/>
              <w:bottom w:val="single" w:sz="4" w:space="0" w:color="A6A6A6"/>
            </w:tcBorders>
            <w:noWrap/>
          </w:tcPr>
          <w:p w14:paraId="06F36597" w14:textId="77777777" w:rsidR="00CE75D4" w:rsidRPr="006515FB" w:rsidRDefault="00CE75D4" w:rsidP="008340C1">
            <w:pPr>
              <w:pStyle w:val="ARfintablebodyright"/>
            </w:pPr>
            <w:r w:rsidRPr="007A3FD6">
              <w:t>–</w:t>
            </w:r>
          </w:p>
        </w:tc>
      </w:tr>
      <w:tr w:rsidR="00CE75D4" w:rsidRPr="002029AF" w14:paraId="431299C4" w14:textId="77777777" w:rsidTr="00130D1C">
        <w:tc>
          <w:tcPr>
            <w:tcW w:w="3684" w:type="dxa"/>
            <w:tcBorders>
              <w:top w:val="single" w:sz="4" w:space="0" w:color="A6A6A6"/>
            </w:tcBorders>
            <w:hideMark/>
          </w:tcPr>
          <w:p w14:paraId="359F903C" w14:textId="77777777" w:rsidR="00CE75D4" w:rsidRPr="002029AF" w:rsidRDefault="00CE75D4" w:rsidP="008340C1">
            <w:pPr>
              <w:pStyle w:val="ARfintablebody"/>
            </w:pPr>
            <w:r w:rsidRPr="007A3FD6">
              <w:t>Section 10 of the FMA</w:t>
            </w:r>
          </w:p>
        </w:tc>
        <w:tc>
          <w:tcPr>
            <w:tcW w:w="3685" w:type="dxa"/>
            <w:tcBorders>
              <w:top w:val="single" w:sz="4" w:space="0" w:color="A6A6A6"/>
            </w:tcBorders>
            <w:hideMark/>
          </w:tcPr>
          <w:p w14:paraId="456D21B7" w14:textId="77777777" w:rsidR="00CE75D4" w:rsidRPr="002029AF" w:rsidRDefault="00CE75D4" w:rsidP="008340C1">
            <w:pPr>
              <w:pStyle w:val="ARfintablebody"/>
            </w:pPr>
            <w:r w:rsidRPr="007A3FD6">
              <w:t xml:space="preserve">Access to various Commonwealth </w:t>
            </w:r>
            <w:r>
              <w:br/>
            </w:r>
            <w:r w:rsidRPr="007A3FD6">
              <w:t>grants – provision of outputs</w:t>
            </w:r>
          </w:p>
        </w:tc>
        <w:tc>
          <w:tcPr>
            <w:tcW w:w="1134" w:type="dxa"/>
            <w:tcBorders>
              <w:top w:val="single" w:sz="4" w:space="0" w:color="A6A6A6"/>
            </w:tcBorders>
            <w:shd w:val="clear" w:color="auto" w:fill="E7E6E6"/>
            <w:noWrap/>
            <w:hideMark/>
          </w:tcPr>
          <w:p w14:paraId="06B3541B" w14:textId="77777777" w:rsidR="00CE75D4" w:rsidRPr="002029AF" w:rsidRDefault="00CE75D4" w:rsidP="008340C1">
            <w:pPr>
              <w:pStyle w:val="ARfintablebodyright"/>
            </w:pPr>
            <w:r w:rsidRPr="007A3FD6">
              <w:t>8.2</w:t>
            </w:r>
          </w:p>
        </w:tc>
        <w:tc>
          <w:tcPr>
            <w:tcW w:w="1134" w:type="dxa"/>
            <w:tcBorders>
              <w:top w:val="single" w:sz="4" w:space="0" w:color="A6A6A6"/>
            </w:tcBorders>
            <w:noWrap/>
            <w:hideMark/>
          </w:tcPr>
          <w:p w14:paraId="28AE557E" w14:textId="77777777" w:rsidR="00CE75D4" w:rsidRPr="002029AF" w:rsidRDefault="00CE75D4" w:rsidP="008340C1">
            <w:pPr>
              <w:pStyle w:val="ARfintablebodyright"/>
            </w:pPr>
            <w:r w:rsidRPr="007A3FD6">
              <w:t>11.7</w:t>
            </w:r>
          </w:p>
        </w:tc>
      </w:tr>
      <w:tr w:rsidR="00CE75D4" w:rsidRPr="002029AF" w14:paraId="31224FE9" w14:textId="77777777" w:rsidTr="00130D1C">
        <w:tc>
          <w:tcPr>
            <w:tcW w:w="3684" w:type="dxa"/>
            <w:hideMark/>
          </w:tcPr>
          <w:p w14:paraId="3BA1C99F" w14:textId="77777777" w:rsidR="00CE75D4" w:rsidRPr="002029AF" w:rsidRDefault="00CE75D4" w:rsidP="008340C1">
            <w:pPr>
              <w:pStyle w:val="ARfintablebodybold"/>
            </w:pPr>
            <w:r w:rsidRPr="007A3FD6">
              <w:t xml:space="preserve">Total special appropriations </w:t>
            </w:r>
            <w:r>
              <w:br/>
            </w:r>
            <w:r w:rsidRPr="007A3FD6">
              <w:t>– Provision of outputs</w:t>
            </w:r>
          </w:p>
        </w:tc>
        <w:tc>
          <w:tcPr>
            <w:tcW w:w="3685" w:type="dxa"/>
            <w:hideMark/>
          </w:tcPr>
          <w:p w14:paraId="48C0B54C" w14:textId="77777777" w:rsidR="00CE75D4" w:rsidRPr="002029AF" w:rsidRDefault="00CE75D4" w:rsidP="008340C1">
            <w:pPr>
              <w:pStyle w:val="ARfintablebody"/>
            </w:pPr>
          </w:p>
        </w:tc>
        <w:tc>
          <w:tcPr>
            <w:tcW w:w="1134" w:type="dxa"/>
            <w:shd w:val="clear" w:color="auto" w:fill="E7E6E6"/>
            <w:noWrap/>
            <w:hideMark/>
          </w:tcPr>
          <w:p w14:paraId="23F80AF7" w14:textId="77777777" w:rsidR="00CE75D4" w:rsidRPr="002029AF" w:rsidRDefault="00CE75D4" w:rsidP="008340C1">
            <w:pPr>
              <w:pStyle w:val="ARfintablebodyrightbold"/>
            </w:pPr>
            <w:r w:rsidRPr="007A3FD6">
              <w:t>1,8</w:t>
            </w:r>
            <w:r>
              <w:t>88.9</w:t>
            </w:r>
          </w:p>
        </w:tc>
        <w:tc>
          <w:tcPr>
            <w:tcW w:w="1134" w:type="dxa"/>
            <w:noWrap/>
            <w:hideMark/>
          </w:tcPr>
          <w:p w14:paraId="7DC95DD9" w14:textId="77777777" w:rsidR="00CE75D4" w:rsidRPr="002029AF" w:rsidRDefault="00CE75D4" w:rsidP="008340C1">
            <w:pPr>
              <w:pStyle w:val="ARfintablebodyrightbold"/>
            </w:pPr>
            <w:r w:rsidRPr="007A3FD6">
              <w:t>1,098.9</w:t>
            </w:r>
          </w:p>
        </w:tc>
      </w:tr>
      <w:tr w:rsidR="00CE75D4" w:rsidRPr="002029AF" w14:paraId="708757FF" w14:textId="77777777" w:rsidTr="00130D1C">
        <w:tc>
          <w:tcPr>
            <w:tcW w:w="3684" w:type="dxa"/>
            <w:hideMark/>
          </w:tcPr>
          <w:p w14:paraId="0C605DB6" w14:textId="77777777" w:rsidR="00CE75D4" w:rsidRPr="002029AF" w:rsidRDefault="00CE75D4" w:rsidP="008340C1">
            <w:pPr>
              <w:pStyle w:val="ARfintablebody"/>
            </w:pPr>
            <w:r w:rsidRPr="007A3FD6">
              <w:t>Section 10 of the FMA</w:t>
            </w:r>
          </w:p>
        </w:tc>
        <w:tc>
          <w:tcPr>
            <w:tcW w:w="3685" w:type="dxa"/>
            <w:hideMark/>
          </w:tcPr>
          <w:p w14:paraId="67F7CE34" w14:textId="77777777" w:rsidR="00CE75D4" w:rsidRPr="0018204C" w:rsidRDefault="00CE75D4" w:rsidP="008340C1">
            <w:pPr>
              <w:pStyle w:val="ARfintablebody"/>
            </w:pPr>
            <w:r w:rsidRPr="007A3FD6">
              <w:t>Access to various Commonwealth grants – additions to net assets</w:t>
            </w:r>
          </w:p>
        </w:tc>
        <w:tc>
          <w:tcPr>
            <w:tcW w:w="1134" w:type="dxa"/>
            <w:shd w:val="clear" w:color="auto" w:fill="E7E6E6"/>
            <w:noWrap/>
            <w:hideMark/>
          </w:tcPr>
          <w:p w14:paraId="28AE9ED9" w14:textId="77777777" w:rsidR="00CE75D4" w:rsidRPr="002029AF" w:rsidRDefault="00CE75D4" w:rsidP="008340C1">
            <w:pPr>
              <w:pStyle w:val="ARfintablebodyright"/>
            </w:pPr>
            <w:r w:rsidRPr="007A3FD6">
              <w:t>3.6</w:t>
            </w:r>
          </w:p>
        </w:tc>
        <w:tc>
          <w:tcPr>
            <w:tcW w:w="1134" w:type="dxa"/>
            <w:noWrap/>
            <w:hideMark/>
          </w:tcPr>
          <w:p w14:paraId="4E10AB45" w14:textId="77777777" w:rsidR="00CE75D4" w:rsidRPr="002029AF" w:rsidRDefault="00CE75D4" w:rsidP="008340C1">
            <w:pPr>
              <w:pStyle w:val="ARfintablebodyright"/>
            </w:pPr>
            <w:r w:rsidRPr="007A3FD6">
              <w:t>2.9</w:t>
            </w:r>
          </w:p>
        </w:tc>
      </w:tr>
      <w:tr w:rsidR="00CE75D4" w:rsidRPr="002029AF" w14:paraId="2C2388AF" w14:textId="77777777" w:rsidTr="00130D1C">
        <w:tc>
          <w:tcPr>
            <w:tcW w:w="3684" w:type="dxa"/>
            <w:hideMark/>
          </w:tcPr>
          <w:p w14:paraId="1347BAFD" w14:textId="77777777" w:rsidR="00CE75D4" w:rsidRPr="002029AF" w:rsidRDefault="00CE75D4" w:rsidP="008340C1">
            <w:pPr>
              <w:pStyle w:val="ARfintablebodybold"/>
            </w:pPr>
            <w:r w:rsidRPr="007A3FD6">
              <w:t xml:space="preserve">Total special appropriations </w:t>
            </w:r>
            <w:r>
              <w:br/>
            </w:r>
            <w:r w:rsidRPr="007A3FD6">
              <w:t>– Additions to net assets</w:t>
            </w:r>
          </w:p>
        </w:tc>
        <w:tc>
          <w:tcPr>
            <w:tcW w:w="3685" w:type="dxa"/>
            <w:hideMark/>
          </w:tcPr>
          <w:p w14:paraId="41DD3E39" w14:textId="77777777" w:rsidR="00CE75D4" w:rsidRPr="002029AF" w:rsidRDefault="00CE75D4" w:rsidP="008340C1">
            <w:pPr>
              <w:pStyle w:val="ARfintablebody"/>
            </w:pPr>
          </w:p>
        </w:tc>
        <w:tc>
          <w:tcPr>
            <w:tcW w:w="1134" w:type="dxa"/>
            <w:shd w:val="clear" w:color="auto" w:fill="E7E6E6"/>
            <w:noWrap/>
            <w:hideMark/>
          </w:tcPr>
          <w:p w14:paraId="5FA8E107" w14:textId="77777777" w:rsidR="00CE75D4" w:rsidRPr="002029AF" w:rsidRDefault="00CE75D4" w:rsidP="008340C1">
            <w:pPr>
              <w:pStyle w:val="ARfintablebodyrightbold"/>
            </w:pPr>
            <w:r w:rsidRPr="007A3FD6">
              <w:t>3.6</w:t>
            </w:r>
          </w:p>
        </w:tc>
        <w:tc>
          <w:tcPr>
            <w:tcW w:w="1134" w:type="dxa"/>
            <w:noWrap/>
            <w:hideMark/>
          </w:tcPr>
          <w:p w14:paraId="6CCDBEF4" w14:textId="77777777" w:rsidR="00CE75D4" w:rsidRPr="002029AF" w:rsidRDefault="00CE75D4" w:rsidP="008340C1">
            <w:pPr>
              <w:pStyle w:val="ARfintablebodyrightbold"/>
            </w:pPr>
            <w:r w:rsidRPr="007A3FD6">
              <w:t>2.9</w:t>
            </w:r>
          </w:p>
        </w:tc>
      </w:tr>
      <w:tr w:rsidR="00CE75D4" w:rsidRPr="002029AF" w14:paraId="4865D5A8" w14:textId="77777777" w:rsidTr="00130D1C">
        <w:tc>
          <w:tcPr>
            <w:tcW w:w="3684" w:type="dxa"/>
            <w:hideMark/>
          </w:tcPr>
          <w:p w14:paraId="6A3F6695" w14:textId="77777777" w:rsidR="00CE75D4" w:rsidRPr="002029AF" w:rsidRDefault="00CE75D4" w:rsidP="008340C1">
            <w:pPr>
              <w:pStyle w:val="ARfintablebodybold"/>
            </w:pPr>
            <w:r w:rsidRPr="007A3FD6">
              <w:t>Total special appropriations</w:t>
            </w:r>
          </w:p>
        </w:tc>
        <w:tc>
          <w:tcPr>
            <w:tcW w:w="3685" w:type="dxa"/>
            <w:hideMark/>
          </w:tcPr>
          <w:p w14:paraId="1D4F4722" w14:textId="77777777" w:rsidR="00CE75D4" w:rsidRPr="002029AF" w:rsidRDefault="00CE75D4" w:rsidP="008340C1">
            <w:pPr>
              <w:pStyle w:val="ARfintablebody"/>
            </w:pPr>
          </w:p>
        </w:tc>
        <w:tc>
          <w:tcPr>
            <w:tcW w:w="1134" w:type="dxa"/>
            <w:shd w:val="clear" w:color="auto" w:fill="E7E6E6"/>
            <w:noWrap/>
            <w:hideMark/>
          </w:tcPr>
          <w:p w14:paraId="0568B780" w14:textId="77777777" w:rsidR="00CE75D4" w:rsidRPr="002029AF" w:rsidRDefault="00CE75D4" w:rsidP="008340C1">
            <w:pPr>
              <w:pStyle w:val="ARfintablebodyrightbold"/>
            </w:pPr>
            <w:r w:rsidRPr="007A3FD6">
              <w:t>1,8</w:t>
            </w:r>
            <w:r>
              <w:t>92.4</w:t>
            </w:r>
          </w:p>
        </w:tc>
        <w:tc>
          <w:tcPr>
            <w:tcW w:w="1134" w:type="dxa"/>
            <w:noWrap/>
            <w:hideMark/>
          </w:tcPr>
          <w:p w14:paraId="1D545C4E" w14:textId="77777777" w:rsidR="00CE75D4" w:rsidRPr="002029AF" w:rsidRDefault="00CE75D4" w:rsidP="008340C1">
            <w:pPr>
              <w:pStyle w:val="ARfintablebodyrightbold"/>
            </w:pPr>
            <w:r w:rsidRPr="007A3FD6">
              <w:t>1,101.8</w:t>
            </w:r>
          </w:p>
        </w:tc>
      </w:tr>
    </w:tbl>
    <w:p w14:paraId="05C26627" w14:textId="77777777" w:rsidR="00CE75D4" w:rsidRDefault="00CE75D4" w:rsidP="008340C1">
      <w:pPr>
        <w:pStyle w:val="ARfintablefootnote"/>
      </w:pPr>
      <w:bookmarkStart w:id="516" w:name="_Toc39136691"/>
      <w:bookmarkStart w:id="517" w:name="_Toc39242135"/>
      <w:bookmarkStart w:id="518" w:name="_Ref51926821"/>
      <w:bookmarkStart w:id="519" w:name="_Ref52454736"/>
      <w:bookmarkStart w:id="520" w:name="_Toc85121364"/>
      <w:r>
        <w:t>Note:</w:t>
      </w:r>
    </w:p>
    <w:p w14:paraId="0DD58AA9" w14:textId="77777777" w:rsidR="00CE75D4" w:rsidRDefault="00CE75D4" w:rsidP="008340C1">
      <w:pPr>
        <w:pStyle w:val="ARfintablefootnoteindent"/>
      </w:pPr>
      <w:r>
        <w:t>(i)</w:t>
      </w:r>
      <w:r>
        <w:tab/>
        <w:t xml:space="preserve">2021 number includes the DFFH contribution to the Mental Health Fund for the year ended 30 June 2021. </w:t>
      </w:r>
      <w:r w:rsidRPr="008840A7">
        <w:t>The transactions which relate to this entity are reported in the DFFH</w:t>
      </w:r>
      <w:r>
        <w:t>’</w:t>
      </w:r>
      <w:r w:rsidRPr="008840A7">
        <w:t>s 2021</w:t>
      </w:r>
      <w:r>
        <w:t>–</w:t>
      </w:r>
      <w:r w:rsidRPr="008840A7">
        <w:t>22 financial statements.</w:t>
      </w:r>
    </w:p>
    <w:p w14:paraId="54353A7A" w14:textId="77777777" w:rsidR="00CE75D4" w:rsidRPr="001518C2" w:rsidRDefault="00CE75D4" w:rsidP="00130D1C">
      <w:pPr>
        <w:pStyle w:val="Heading4"/>
        <w:spacing w:before="320"/>
      </w:pPr>
      <w:r w:rsidRPr="001518C2">
        <w:t>2.4 Revenue and income from transactions</w:t>
      </w:r>
      <w:bookmarkEnd w:id="516"/>
      <w:bookmarkEnd w:id="517"/>
      <w:bookmarkEnd w:id="518"/>
      <w:bookmarkEnd w:id="519"/>
      <w:bookmarkEnd w:id="520"/>
    </w:p>
    <w:p w14:paraId="1911464B" w14:textId="77777777" w:rsidR="00CE75D4" w:rsidRPr="001518C2" w:rsidRDefault="00CE75D4" w:rsidP="00087B91">
      <w:pPr>
        <w:pStyle w:val="Heading5"/>
      </w:pPr>
      <w:bookmarkStart w:id="521" w:name="_Toc39136692"/>
      <w:bookmarkStart w:id="522" w:name="_Toc85121365"/>
      <w:r w:rsidRPr="001518C2">
        <w:t>2.4.1 Interest income</w:t>
      </w:r>
      <w:bookmarkEnd w:id="521"/>
      <w:bookmarkEnd w:id="522"/>
    </w:p>
    <w:tbl>
      <w:tblPr>
        <w:tblStyle w:val="TableGrid"/>
        <w:tblW w:w="9637" w:type="dxa"/>
        <w:tblLayout w:type="fixed"/>
        <w:tblLook w:val="06A0" w:firstRow="1" w:lastRow="0" w:firstColumn="1" w:lastColumn="0" w:noHBand="1" w:noVBand="1"/>
      </w:tblPr>
      <w:tblGrid>
        <w:gridCol w:w="7371"/>
        <w:gridCol w:w="1133"/>
        <w:gridCol w:w="1133"/>
      </w:tblGrid>
      <w:tr w:rsidR="00CE75D4" w:rsidRPr="001518C2" w14:paraId="37CD15A1"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46C27B45" w14:textId="77777777" w:rsidR="00CE75D4" w:rsidRPr="001518C2" w:rsidRDefault="00CE75D4" w:rsidP="008340C1">
            <w:pPr>
              <w:pStyle w:val="ARfintablecolhead"/>
            </w:pPr>
          </w:p>
        </w:tc>
        <w:tc>
          <w:tcPr>
            <w:tcW w:w="1133" w:type="dxa"/>
            <w:tcBorders>
              <w:bottom w:val="single" w:sz="4" w:space="0" w:color="auto"/>
            </w:tcBorders>
            <w:shd w:val="clear" w:color="auto" w:fill="E7E6E6"/>
            <w:hideMark/>
          </w:tcPr>
          <w:p w14:paraId="2DFFDF9B" w14:textId="77777777" w:rsidR="00CE75D4" w:rsidRPr="001518C2" w:rsidRDefault="00CE75D4" w:rsidP="008340C1">
            <w:pPr>
              <w:pStyle w:val="ARfintablecolheadright"/>
            </w:pPr>
            <w:r w:rsidRPr="001518C2">
              <w:t>2022</w:t>
            </w:r>
          </w:p>
          <w:p w14:paraId="4C321978" w14:textId="77777777" w:rsidR="00CE75D4" w:rsidRPr="001518C2" w:rsidRDefault="00CE75D4" w:rsidP="008340C1">
            <w:pPr>
              <w:pStyle w:val="ARfintablecolheadright"/>
            </w:pPr>
            <w:r w:rsidRPr="001518C2">
              <w:t>$M</w:t>
            </w:r>
          </w:p>
        </w:tc>
        <w:tc>
          <w:tcPr>
            <w:tcW w:w="1133" w:type="dxa"/>
            <w:tcBorders>
              <w:bottom w:val="single" w:sz="4" w:space="0" w:color="auto"/>
            </w:tcBorders>
            <w:hideMark/>
          </w:tcPr>
          <w:p w14:paraId="3907FA78" w14:textId="77777777" w:rsidR="00CE75D4" w:rsidRPr="001518C2" w:rsidRDefault="00CE75D4" w:rsidP="008340C1">
            <w:pPr>
              <w:pStyle w:val="ARfintablecolheadright"/>
            </w:pPr>
            <w:r w:rsidRPr="001518C2">
              <w:t>2021</w:t>
            </w:r>
          </w:p>
          <w:p w14:paraId="02209A53" w14:textId="77777777" w:rsidR="00CE75D4" w:rsidRPr="001518C2" w:rsidRDefault="00CE75D4" w:rsidP="008340C1">
            <w:pPr>
              <w:pStyle w:val="ARfintablecolheadright"/>
            </w:pPr>
            <w:r w:rsidRPr="001518C2">
              <w:t>$M</w:t>
            </w:r>
          </w:p>
        </w:tc>
      </w:tr>
      <w:tr w:rsidR="00CE75D4" w:rsidRPr="001518C2" w14:paraId="56F17C49" w14:textId="77777777" w:rsidTr="00860E95">
        <w:tc>
          <w:tcPr>
            <w:tcW w:w="9637" w:type="dxa"/>
            <w:gridSpan w:val="3"/>
            <w:tcBorders>
              <w:top w:val="single" w:sz="4" w:space="0" w:color="auto"/>
              <w:bottom w:val="single" w:sz="4" w:space="0" w:color="A6A6A6"/>
            </w:tcBorders>
            <w:hideMark/>
          </w:tcPr>
          <w:p w14:paraId="51C39329" w14:textId="77777777" w:rsidR="00CE75D4" w:rsidRPr="001518C2" w:rsidRDefault="00CE75D4" w:rsidP="008340C1">
            <w:pPr>
              <w:pStyle w:val="ARfintablebodybold"/>
            </w:pPr>
            <w:r w:rsidRPr="00880BC9">
              <w:t xml:space="preserve">Interest from financial assets </w:t>
            </w:r>
            <w:r w:rsidRPr="001518C2">
              <w:rPr>
                <w:rStyle w:val="Superscript"/>
              </w:rPr>
              <w:t>(i)</w:t>
            </w:r>
          </w:p>
        </w:tc>
      </w:tr>
      <w:tr w:rsidR="00CE75D4" w:rsidRPr="001518C2" w14:paraId="3BF43B40" w14:textId="77777777" w:rsidTr="00860E95">
        <w:tc>
          <w:tcPr>
            <w:tcW w:w="7371" w:type="dxa"/>
            <w:tcBorders>
              <w:top w:val="single" w:sz="4" w:space="0" w:color="A6A6A6"/>
              <w:bottom w:val="single" w:sz="4" w:space="0" w:color="A6A6A6"/>
            </w:tcBorders>
            <w:hideMark/>
          </w:tcPr>
          <w:p w14:paraId="0939E80C" w14:textId="77777777" w:rsidR="00CE75D4" w:rsidRPr="001518C2" w:rsidRDefault="00CE75D4" w:rsidP="008340C1">
            <w:pPr>
              <w:pStyle w:val="ARfintablebody"/>
            </w:pPr>
            <w:r>
              <w:t>–</w:t>
            </w:r>
            <w:r w:rsidRPr="00880BC9">
              <w:t xml:space="preserve"> Interest on short-term deposits</w:t>
            </w:r>
          </w:p>
        </w:tc>
        <w:tc>
          <w:tcPr>
            <w:tcW w:w="1133" w:type="dxa"/>
            <w:tcBorders>
              <w:top w:val="single" w:sz="4" w:space="0" w:color="A6A6A6"/>
              <w:bottom w:val="single" w:sz="4" w:space="0" w:color="A6A6A6"/>
            </w:tcBorders>
            <w:shd w:val="clear" w:color="auto" w:fill="E7E6E6"/>
            <w:noWrap/>
            <w:hideMark/>
          </w:tcPr>
          <w:p w14:paraId="0D87BA94" w14:textId="77777777" w:rsidR="00CE75D4" w:rsidRPr="001518C2" w:rsidRDefault="00CE75D4" w:rsidP="008340C1">
            <w:pPr>
              <w:pStyle w:val="ARfintablebodyright"/>
            </w:pPr>
            <w:r>
              <w:t>–</w:t>
            </w:r>
          </w:p>
        </w:tc>
        <w:tc>
          <w:tcPr>
            <w:tcW w:w="1133" w:type="dxa"/>
            <w:tcBorders>
              <w:top w:val="single" w:sz="4" w:space="0" w:color="A6A6A6"/>
              <w:bottom w:val="single" w:sz="4" w:space="0" w:color="A6A6A6"/>
            </w:tcBorders>
            <w:noWrap/>
            <w:hideMark/>
          </w:tcPr>
          <w:p w14:paraId="2B0D654E" w14:textId="77777777" w:rsidR="00CE75D4" w:rsidRPr="001518C2" w:rsidRDefault="00CE75D4" w:rsidP="008340C1">
            <w:pPr>
              <w:pStyle w:val="ARfintablebodyright"/>
            </w:pPr>
            <w:r w:rsidRPr="00880BC9">
              <w:t>2.1</w:t>
            </w:r>
          </w:p>
        </w:tc>
      </w:tr>
      <w:tr w:rsidR="00CE75D4" w:rsidRPr="001518C2" w14:paraId="114890CF" w14:textId="77777777" w:rsidTr="00860E95">
        <w:tc>
          <w:tcPr>
            <w:tcW w:w="7371" w:type="dxa"/>
            <w:tcBorders>
              <w:top w:val="single" w:sz="4" w:space="0" w:color="A6A6A6"/>
            </w:tcBorders>
            <w:hideMark/>
          </w:tcPr>
          <w:p w14:paraId="2391DEE4" w14:textId="77777777" w:rsidR="00CE75D4" w:rsidRPr="001518C2" w:rsidRDefault="00CE75D4" w:rsidP="008340C1">
            <w:pPr>
              <w:pStyle w:val="ARfintablebody"/>
            </w:pPr>
            <w:r>
              <w:t>–</w:t>
            </w:r>
            <w:r w:rsidRPr="00880BC9">
              <w:t xml:space="preserve"> Interest from loans</w:t>
            </w:r>
          </w:p>
        </w:tc>
        <w:tc>
          <w:tcPr>
            <w:tcW w:w="1133" w:type="dxa"/>
            <w:tcBorders>
              <w:top w:val="single" w:sz="4" w:space="0" w:color="A6A6A6"/>
            </w:tcBorders>
            <w:shd w:val="clear" w:color="auto" w:fill="E7E6E6"/>
            <w:noWrap/>
            <w:hideMark/>
          </w:tcPr>
          <w:p w14:paraId="2E20A619" w14:textId="77777777" w:rsidR="00CE75D4" w:rsidRPr="001518C2" w:rsidRDefault="00CE75D4" w:rsidP="008340C1">
            <w:pPr>
              <w:pStyle w:val="ARfintablebodyright"/>
            </w:pPr>
            <w:r>
              <w:t>–</w:t>
            </w:r>
          </w:p>
        </w:tc>
        <w:tc>
          <w:tcPr>
            <w:tcW w:w="1133" w:type="dxa"/>
            <w:tcBorders>
              <w:top w:val="single" w:sz="4" w:space="0" w:color="A6A6A6"/>
            </w:tcBorders>
            <w:noWrap/>
            <w:hideMark/>
          </w:tcPr>
          <w:p w14:paraId="3590DBAF" w14:textId="77777777" w:rsidR="00CE75D4" w:rsidRPr="001518C2" w:rsidRDefault="00CE75D4" w:rsidP="008340C1">
            <w:pPr>
              <w:pStyle w:val="ARfintablebodyright"/>
            </w:pPr>
            <w:r w:rsidRPr="00880BC9">
              <w:t>0.4</w:t>
            </w:r>
          </w:p>
        </w:tc>
      </w:tr>
      <w:tr w:rsidR="00CE75D4" w:rsidRPr="001518C2" w14:paraId="5293D986" w14:textId="77777777" w:rsidTr="00860E95">
        <w:tc>
          <w:tcPr>
            <w:tcW w:w="7371" w:type="dxa"/>
            <w:hideMark/>
          </w:tcPr>
          <w:p w14:paraId="27E80C93" w14:textId="77777777" w:rsidR="00CE75D4" w:rsidRPr="001518C2" w:rsidRDefault="00CE75D4" w:rsidP="008340C1">
            <w:pPr>
              <w:pStyle w:val="ARfintablebodybold"/>
            </w:pPr>
            <w:r w:rsidRPr="00880BC9">
              <w:t>Total interest</w:t>
            </w:r>
          </w:p>
        </w:tc>
        <w:tc>
          <w:tcPr>
            <w:tcW w:w="1133" w:type="dxa"/>
            <w:shd w:val="clear" w:color="auto" w:fill="E7E6E6"/>
            <w:noWrap/>
            <w:hideMark/>
          </w:tcPr>
          <w:p w14:paraId="0C371FCC" w14:textId="77777777" w:rsidR="00CE75D4" w:rsidRPr="001518C2" w:rsidRDefault="00CE75D4" w:rsidP="008340C1">
            <w:pPr>
              <w:pStyle w:val="ARfintablebodyrightbold"/>
            </w:pPr>
            <w:r>
              <w:t>–</w:t>
            </w:r>
          </w:p>
        </w:tc>
        <w:tc>
          <w:tcPr>
            <w:tcW w:w="1133" w:type="dxa"/>
            <w:noWrap/>
            <w:hideMark/>
          </w:tcPr>
          <w:p w14:paraId="39CB9805" w14:textId="77777777" w:rsidR="00CE75D4" w:rsidRPr="001518C2" w:rsidRDefault="00CE75D4" w:rsidP="008340C1">
            <w:pPr>
              <w:pStyle w:val="ARfintablebodyrightbold"/>
            </w:pPr>
            <w:r w:rsidRPr="00880BC9">
              <w:t>2.5</w:t>
            </w:r>
          </w:p>
        </w:tc>
      </w:tr>
    </w:tbl>
    <w:p w14:paraId="0D0CBE21" w14:textId="77777777" w:rsidR="00CE75D4" w:rsidRDefault="00CE75D4" w:rsidP="008340C1">
      <w:pPr>
        <w:pStyle w:val="ARfintablefootnote"/>
      </w:pPr>
      <w:bookmarkStart w:id="523" w:name="_Toc39136693"/>
      <w:bookmarkStart w:id="524" w:name="_Toc85121366"/>
      <w:r>
        <w:rPr>
          <w:lang w:eastAsia="en-AU"/>
        </w:rPr>
        <w:t>Note:</w:t>
      </w:r>
    </w:p>
    <w:p w14:paraId="3CE6A04D" w14:textId="62AEC4DC" w:rsidR="00CE75D4" w:rsidRDefault="00CE75D4" w:rsidP="008340C1">
      <w:pPr>
        <w:pStyle w:val="ARfintablefootnoteindent"/>
      </w:pPr>
      <w:r>
        <w:t>(i)</w:t>
      </w:r>
      <w:r>
        <w:tab/>
        <w:t>2021 numbers relate to the 30 June 2021 closing balances of the Victorian Disability Worker Commission and the Director of Housing.</w:t>
      </w:r>
      <w:r w:rsidR="00D74DAA">
        <w:t xml:space="preserve"> The transactions which relate to these entities are reported in the DFFH’s 2021–22 financial statements.</w:t>
      </w:r>
    </w:p>
    <w:p w14:paraId="76A0792B" w14:textId="77777777" w:rsidR="00CE75D4" w:rsidRDefault="00CE75D4" w:rsidP="008340C1">
      <w:pPr>
        <w:pStyle w:val="ARfinbodyaftertable"/>
      </w:pPr>
      <w:r>
        <w:t>Interest income includes interest received on bank, term deposits and other investments. Interest income is recognised using the effective interest method which allocates the interest over the relevant period.</w:t>
      </w:r>
    </w:p>
    <w:p w14:paraId="0555669A" w14:textId="77777777" w:rsidR="00CE75D4" w:rsidRPr="00614F04" w:rsidRDefault="00CE75D4" w:rsidP="008340C1">
      <w:pPr>
        <w:pStyle w:val="ARfinbody"/>
      </w:pPr>
      <w:r w:rsidRPr="00614F04">
        <w:br w:type="page"/>
      </w:r>
    </w:p>
    <w:p w14:paraId="384DDEB7" w14:textId="77777777" w:rsidR="00CE75D4" w:rsidRPr="001518C2" w:rsidRDefault="00CE75D4" w:rsidP="00087B91">
      <w:pPr>
        <w:pStyle w:val="Heading5"/>
      </w:pPr>
      <w:r w:rsidRPr="001518C2">
        <w:t>2.4.2 Rental income and income from services</w:t>
      </w:r>
      <w:bookmarkEnd w:id="523"/>
      <w:bookmarkEnd w:id="524"/>
    </w:p>
    <w:tbl>
      <w:tblPr>
        <w:tblStyle w:val="TableGrid"/>
        <w:tblW w:w="9637" w:type="dxa"/>
        <w:tblLayout w:type="fixed"/>
        <w:tblLook w:val="06A0" w:firstRow="1" w:lastRow="0" w:firstColumn="1" w:lastColumn="0" w:noHBand="1" w:noVBand="1"/>
      </w:tblPr>
      <w:tblGrid>
        <w:gridCol w:w="7369"/>
        <w:gridCol w:w="1134"/>
        <w:gridCol w:w="1134"/>
      </w:tblGrid>
      <w:tr w:rsidR="00CE75D4" w:rsidRPr="001518C2" w14:paraId="77FDB2F1"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1E65D1DF" w14:textId="77777777" w:rsidR="00CE75D4" w:rsidRPr="001518C2" w:rsidRDefault="00CE75D4" w:rsidP="008340C1">
            <w:pPr>
              <w:pStyle w:val="ARfintablecolhead"/>
            </w:pPr>
          </w:p>
        </w:tc>
        <w:tc>
          <w:tcPr>
            <w:tcW w:w="1134" w:type="dxa"/>
            <w:tcBorders>
              <w:bottom w:val="single" w:sz="4" w:space="0" w:color="auto"/>
            </w:tcBorders>
            <w:shd w:val="clear" w:color="auto" w:fill="E7E6E6"/>
            <w:hideMark/>
          </w:tcPr>
          <w:p w14:paraId="4331251D" w14:textId="77777777" w:rsidR="00CE75D4" w:rsidRPr="001518C2" w:rsidRDefault="00CE75D4" w:rsidP="008340C1">
            <w:pPr>
              <w:pStyle w:val="ARfintablecolheadright"/>
            </w:pPr>
            <w:r w:rsidRPr="001518C2">
              <w:t>2022</w:t>
            </w:r>
          </w:p>
          <w:p w14:paraId="4F699FDA" w14:textId="77777777" w:rsidR="00CE75D4" w:rsidRPr="001518C2" w:rsidRDefault="00CE75D4" w:rsidP="008340C1">
            <w:pPr>
              <w:pStyle w:val="ARfintablecolheadright"/>
            </w:pPr>
            <w:r w:rsidRPr="001518C2">
              <w:t>$M</w:t>
            </w:r>
          </w:p>
        </w:tc>
        <w:tc>
          <w:tcPr>
            <w:tcW w:w="1134" w:type="dxa"/>
            <w:tcBorders>
              <w:bottom w:val="single" w:sz="4" w:space="0" w:color="auto"/>
            </w:tcBorders>
            <w:hideMark/>
          </w:tcPr>
          <w:p w14:paraId="222651A1" w14:textId="77777777" w:rsidR="00CE75D4" w:rsidRPr="001518C2" w:rsidRDefault="00CE75D4" w:rsidP="008340C1">
            <w:pPr>
              <w:pStyle w:val="ARfintablecolheadright"/>
            </w:pPr>
            <w:r w:rsidRPr="001518C2">
              <w:t>2021</w:t>
            </w:r>
          </w:p>
          <w:p w14:paraId="33164264" w14:textId="77777777" w:rsidR="00CE75D4" w:rsidRPr="001518C2" w:rsidRDefault="00CE75D4" w:rsidP="008340C1">
            <w:pPr>
              <w:pStyle w:val="ARfintablecolheadright"/>
            </w:pPr>
            <w:r w:rsidRPr="001518C2">
              <w:t>$M</w:t>
            </w:r>
          </w:p>
        </w:tc>
      </w:tr>
      <w:tr w:rsidR="00CE75D4" w:rsidRPr="001518C2" w14:paraId="3F2474E5" w14:textId="77777777" w:rsidTr="00130D1C">
        <w:tc>
          <w:tcPr>
            <w:tcW w:w="7369" w:type="dxa"/>
            <w:tcBorders>
              <w:top w:val="single" w:sz="4" w:space="0" w:color="auto"/>
              <w:bottom w:val="single" w:sz="4" w:space="0" w:color="A6A6A6"/>
            </w:tcBorders>
            <w:hideMark/>
          </w:tcPr>
          <w:p w14:paraId="5AC6C5BB" w14:textId="77777777" w:rsidR="00CE75D4" w:rsidRPr="001518C2" w:rsidRDefault="00CE75D4" w:rsidP="008340C1">
            <w:pPr>
              <w:pStyle w:val="ARfintablebody"/>
            </w:pPr>
            <w:r w:rsidRPr="00462CD3">
              <w:t>Rental income raised</w:t>
            </w:r>
          </w:p>
        </w:tc>
        <w:tc>
          <w:tcPr>
            <w:tcW w:w="1134" w:type="dxa"/>
            <w:tcBorders>
              <w:top w:val="single" w:sz="4" w:space="0" w:color="auto"/>
              <w:bottom w:val="single" w:sz="4" w:space="0" w:color="A6A6A6"/>
            </w:tcBorders>
            <w:shd w:val="clear" w:color="auto" w:fill="E7E6E6"/>
            <w:noWrap/>
            <w:hideMark/>
          </w:tcPr>
          <w:p w14:paraId="169C6C48" w14:textId="77777777" w:rsidR="00CE75D4" w:rsidRPr="001518C2" w:rsidRDefault="00CE75D4" w:rsidP="008340C1">
            <w:pPr>
              <w:pStyle w:val="ARfintablebodyright"/>
            </w:pPr>
            <w:r>
              <w:t>–</w:t>
            </w:r>
          </w:p>
        </w:tc>
        <w:tc>
          <w:tcPr>
            <w:tcW w:w="1134" w:type="dxa"/>
            <w:tcBorders>
              <w:top w:val="single" w:sz="4" w:space="0" w:color="auto"/>
              <w:bottom w:val="single" w:sz="4" w:space="0" w:color="A6A6A6"/>
            </w:tcBorders>
            <w:noWrap/>
            <w:hideMark/>
          </w:tcPr>
          <w:p w14:paraId="09F2B55D" w14:textId="77777777" w:rsidR="00CE75D4" w:rsidRPr="001518C2" w:rsidRDefault="00CE75D4" w:rsidP="008340C1">
            <w:pPr>
              <w:pStyle w:val="ARfintablebodyright"/>
            </w:pPr>
            <w:r w:rsidRPr="00462CD3">
              <w:t>1,013.9</w:t>
            </w:r>
          </w:p>
        </w:tc>
      </w:tr>
      <w:tr w:rsidR="00CE75D4" w:rsidRPr="001518C2" w14:paraId="02BEC230" w14:textId="77777777" w:rsidTr="00130D1C">
        <w:tc>
          <w:tcPr>
            <w:tcW w:w="7369" w:type="dxa"/>
            <w:tcBorders>
              <w:top w:val="single" w:sz="4" w:space="0" w:color="A6A6A6"/>
              <w:bottom w:val="single" w:sz="4" w:space="0" w:color="A6A6A6"/>
            </w:tcBorders>
            <w:hideMark/>
          </w:tcPr>
          <w:p w14:paraId="74A5534C" w14:textId="77777777" w:rsidR="00CE75D4" w:rsidRPr="001518C2" w:rsidRDefault="00CE75D4" w:rsidP="008340C1">
            <w:pPr>
              <w:pStyle w:val="ARfintablebody"/>
            </w:pPr>
            <w:r w:rsidRPr="00462CD3">
              <w:t>Rental rebates</w:t>
            </w:r>
          </w:p>
        </w:tc>
        <w:tc>
          <w:tcPr>
            <w:tcW w:w="1134" w:type="dxa"/>
            <w:tcBorders>
              <w:top w:val="single" w:sz="4" w:space="0" w:color="A6A6A6"/>
              <w:bottom w:val="single" w:sz="4" w:space="0" w:color="A6A6A6"/>
            </w:tcBorders>
            <w:shd w:val="clear" w:color="auto" w:fill="E7E6E6"/>
            <w:noWrap/>
            <w:hideMark/>
          </w:tcPr>
          <w:p w14:paraId="05799036" w14:textId="77777777" w:rsidR="00CE75D4" w:rsidRPr="001518C2" w:rsidRDefault="00CE75D4" w:rsidP="008340C1">
            <w:pPr>
              <w:pStyle w:val="ARfintablebodyright"/>
            </w:pPr>
            <w:r>
              <w:t>–</w:t>
            </w:r>
          </w:p>
        </w:tc>
        <w:tc>
          <w:tcPr>
            <w:tcW w:w="1134" w:type="dxa"/>
            <w:tcBorders>
              <w:top w:val="single" w:sz="4" w:space="0" w:color="A6A6A6"/>
              <w:bottom w:val="single" w:sz="4" w:space="0" w:color="A6A6A6"/>
            </w:tcBorders>
            <w:noWrap/>
            <w:hideMark/>
          </w:tcPr>
          <w:p w14:paraId="239E1600" w14:textId="77777777" w:rsidR="00CE75D4" w:rsidRPr="001518C2" w:rsidRDefault="00CE75D4" w:rsidP="008340C1">
            <w:pPr>
              <w:pStyle w:val="ARfintablebodyright"/>
            </w:pPr>
            <w:r w:rsidRPr="00462CD3">
              <w:t>(532.3)</w:t>
            </w:r>
          </w:p>
        </w:tc>
      </w:tr>
      <w:tr w:rsidR="00CE75D4" w:rsidRPr="001518C2" w14:paraId="3D367D03" w14:textId="77777777" w:rsidTr="00130D1C">
        <w:tc>
          <w:tcPr>
            <w:tcW w:w="7369" w:type="dxa"/>
            <w:tcBorders>
              <w:top w:val="single" w:sz="4" w:space="0" w:color="A6A6A6"/>
              <w:bottom w:val="single" w:sz="4" w:space="0" w:color="A6A6A6"/>
            </w:tcBorders>
            <w:hideMark/>
          </w:tcPr>
          <w:p w14:paraId="6B2C6A26" w14:textId="77777777" w:rsidR="00CE75D4" w:rsidRPr="001518C2" w:rsidRDefault="00CE75D4" w:rsidP="008340C1">
            <w:pPr>
              <w:pStyle w:val="ARfintablebody"/>
            </w:pPr>
            <w:r w:rsidRPr="00462CD3">
              <w:t>Rental subsidies – welfare organisations</w:t>
            </w:r>
          </w:p>
        </w:tc>
        <w:tc>
          <w:tcPr>
            <w:tcW w:w="1134" w:type="dxa"/>
            <w:tcBorders>
              <w:top w:val="single" w:sz="4" w:space="0" w:color="A6A6A6"/>
              <w:bottom w:val="single" w:sz="4" w:space="0" w:color="A6A6A6"/>
            </w:tcBorders>
            <w:shd w:val="clear" w:color="auto" w:fill="E7E6E6"/>
            <w:noWrap/>
            <w:hideMark/>
          </w:tcPr>
          <w:p w14:paraId="21F13549" w14:textId="77777777" w:rsidR="00CE75D4" w:rsidRPr="001518C2" w:rsidRDefault="00CE75D4" w:rsidP="008340C1">
            <w:pPr>
              <w:pStyle w:val="ARfintablebodyright"/>
            </w:pPr>
            <w:r>
              <w:t>–</w:t>
            </w:r>
          </w:p>
        </w:tc>
        <w:tc>
          <w:tcPr>
            <w:tcW w:w="1134" w:type="dxa"/>
            <w:tcBorders>
              <w:top w:val="single" w:sz="4" w:space="0" w:color="A6A6A6"/>
              <w:bottom w:val="single" w:sz="4" w:space="0" w:color="A6A6A6"/>
            </w:tcBorders>
            <w:noWrap/>
            <w:hideMark/>
          </w:tcPr>
          <w:p w14:paraId="3D95F721" w14:textId="77777777" w:rsidR="00CE75D4" w:rsidRPr="001518C2" w:rsidRDefault="00CE75D4" w:rsidP="008340C1">
            <w:pPr>
              <w:pStyle w:val="ARfintablebodyright"/>
            </w:pPr>
            <w:r w:rsidRPr="00462CD3">
              <w:t>(10.6)</w:t>
            </w:r>
          </w:p>
        </w:tc>
      </w:tr>
      <w:tr w:rsidR="00CE75D4" w:rsidRPr="001518C2" w14:paraId="4A497883" w14:textId="77777777" w:rsidTr="00130D1C">
        <w:tc>
          <w:tcPr>
            <w:tcW w:w="7369" w:type="dxa"/>
            <w:tcBorders>
              <w:top w:val="single" w:sz="4" w:space="0" w:color="A6A6A6"/>
            </w:tcBorders>
            <w:hideMark/>
          </w:tcPr>
          <w:p w14:paraId="6E66B5A0" w14:textId="77777777" w:rsidR="00CE75D4" w:rsidRPr="001518C2" w:rsidRDefault="00CE75D4" w:rsidP="008340C1">
            <w:pPr>
              <w:pStyle w:val="ARfintablebody"/>
            </w:pPr>
            <w:r w:rsidRPr="00462CD3">
              <w:t>Shared Home Ownership Scheme – rent raised</w:t>
            </w:r>
          </w:p>
        </w:tc>
        <w:tc>
          <w:tcPr>
            <w:tcW w:w="1134" w:type="dxa"/>
            <w:tcBorders>
              <w:top w:val="single" w:sz="4" w:space="0" w:color="A6A6A6"/>
            </w:tcBorders>
            <w:shd w:val="clear" w:color="auto" w:fill="E7E6E6"/>
            <w:noWrap/>
            <w:hideMark/>
          </w:tcPr>
          <w:p w14:paraId="7552BDA6" w14:textId="77777777" w:rsidR="00CE75D4" w:rsidRPr="001518C2" w:rsidRDefault="00CE75D4" w:rsidP="008340C1">
            <w:pPr>
              <w:pStyle w:val="ARfintablebodyright"/>
            </w:pPr>
            <w:r>
              <w:t>–</w:t>
            </w:r>
          </w:p>
        </w:tc>
        <w:tc>
          <w:tcPr>
            <w:tcW w:w="1134" w:type="dxa"/>
            <w:tcBorders>
              <w:top w:val="single" w:sz="4" w:space="0" w:color="A6A6A6"/>
            </w:tcBorders>
            <w:noWrap/>
            <w:hideMark/>
          </w:tcPr>
          <w:p w14:paraId="0242732F" w14:textId="77777777" w:rsidR="00CE75D4" w:rsidRPr="001518C2" w:rsidRDefault="00CE75D4" w:rsidP="008340C1">
            <w:pPr>
              <w:pStyle w:val="ARfintablebodyright"/>
            </w:pPr>
            <w:r w:rsidRPr="00462CD3">
              <w:t>1.9</w:t>
            </w:r>
          </w:p>
        </w:tc>
      </w:tr>
      <w:tr w:rsidR="00CE75D4" w:rsidRPr="001518C2" w14:paraId="4854AC0A" w14:textId="77777777" w:rsidTr="00130D1C">
        <w:tc>
          <w:tcPr>
            <w:tcW w:w="7369" w:type="dxa"/>
            <w:tcBorders>
              <w:bottom w:val="single" w:sz="4" w:space="0" w:color="auto"/>
            </w:tcBorders>
            <w:hideMark/>
          </w:tcPr>
          <w:p w14:paraId="7FA11A65" w14:textId="77777777" w:rsidR="00CE75D4" w:rsidRPr="001518C2" w:rsidRDefault="00CE75D4" w:rsidP="008340C1">
            <w:pPr>
              <w:pStyle w:val="ARfintablebodybold"/>
            </w:pPr>
            <w:r w:rsidRPr="00462CD3">
              <w:t>Total net rent receivable</w:t>
            </w:r>
          </w:p>
        </w:tc>
        <w:tc>
          <w:tcPr>
            <w:tcW w:w="1134" w:type="dxa"/>
            <w:tcBorders>
              <w:bottom w:val="single" w:sz="4" w:space="0" w:color="auto"/>
            </w:tcBorders>
            <w:shd w:val="clear" w:color="auto" w:fill="E7E6E6"/>
            <w:noWrap/>
            <w:hideMark/>
          </w:tcPr>
          <w:p w14:paraId="627E9F9B" w14:textId="77777777" w:rsidR="00CE75D4" w:rsidRPr="001518C2" w:rsidRDefault="00CE75D4" w:rsidP="008340C1">
            <w:pPr>
              <w:pStyle w:val="ARfintablebodyrightbold"/>
            </w:pPr>
            <w:r>
              <w:t>–</w:t>
            </w:r>
          </w:p>
        </w:tc>
        <w:tc>
          <w:tcPr>
            <w:tcW w:w="1134" w:type="dxa"/>
            <w:tcBorders>
              <w:bottom w:val="single" w:sz="4" w:space="0" w:color="auto"/>
            </w:tcBorders>
            <w:noWrap/>
            <w:hideMark/>
          </w:tcPr>
          <w:p w14:paraId="2EBDF45F" w14:textId="77777777" w:rsidR="00CE75D4" w:rsidRPr="001518C2" w:rsidRDefault="00CE75D4" w:rsidP="008340C1">
            <w:pPr>
              <w:pStyle w:val="ARfintablebodyrightbold"/>
            </w:pPr>
            <w:r w:rsidRPr="00462CD3">
              <w:t>472.9</w:t>
            </w:r>
          </w:p>
        </w:tc>
      </w:tr>
      <w:tr w:rsidR="00CE75D4" w:rsidRPr="001518C2" w14:paraId="3AB9F8B2" w14:textId="77777777" w:rsidTr="00130D1C">
        <w:tc>
          <w:tcPr>
            <w:tcW w:w="7369" w:type="dxa"/>
            <w:tcBorders>
              <w:top w:val="single" w:sz="4" w:space="0" w:color="A6A6A6"/>
            </w:tcBorders>
            <w:hideMark/>
          </w:tcPr>
          <w:p w14:paraId="7358D911" w14:textId="77777777" w:rsidR="00CE75D4" w:rsidRPr="001518C2" w:rsidRDefault="00CE75D4" w:rsidP="008340C1">
            <w:pPr>
              <w:pStyle w:val="ARfintablebody"/>
            </w:pPr>
            <w:r w:rsidRPr="00462CD3">
              <w:t>Total user charges – rental properties</w:t>
            </w:r>
          </w:p>
        </w:tc>
        <w:tc>
          <w:tcPr>
            <w:tcW w:w="1134" w:type="dxa"/>
            <w:tcBorders>
              <w:top w:val="single" w:sz="4" w:space="0" w:color="A6A6A6"/>
            </w:tcBorders>
            <w:shd w:val="clear" w:color="auto" w:fill="E7E6E6"/>
            <w:noWrap/>
            <w:hideMark/>
          </w:tcPr>
          <w:p w14:paraId="328C4E6C" w14:textId="77777777" w:rsidR="00CE75D4" w:rsidRPr="001518C2" w:rsidRDefault="00CE75D4" w:rsidP="008340C1">
            <w:pPr>
              <w:pStyle w:val="ARfintablebodyright"/>
            </w:pPr>
            <w:r>
              <w:t>–</w:t>
            </w:r>
          </w:p>
        </w:tc>
        <w:tc>
          <w:tcPr>
            <w:tcW w:w="1134" w:type="dxa"/>
            <w:tcBorders>
              <w:top w:val="single" w:sz="4" w:space="0" w:color="A6A6A6"/>
            </w:tcBorders>
            <w:noWrap/>
            <w:hideMark/>
          </w:tcPr>
          <w:p w14:paraId="4BA958A1" w14:textId="77777777" w:rsidR="00CE75D4" w:rsidRPr="001518C2" w:rsidRDefault="00CE75D4" w:rsidP="008340C1">
            <w:pPr>
              <w:pStyle w:val="ARfintablebodyright"/>
            </w:pPr>
            <w:r w:rsidRPr="00462CD3">
              <w:t>4.6</w:t>
            </w:r>
          </w:p>
        </w:tc>
      </w:tr>
      <w:tr w:rsidR="00CE75D4" w:rsidRPr="001518C2" w14:paraId="6A8A73A3" w14:textId="77777777" w:rsidTr="00130D1C">
        <w:tc>
          <w:tcPr>
            <w:tcW w:w="7369" w:type="dxa"/>
            <w:hideMark/>
          </w:tcPr>
          <w:p w14:paraId="0B86A733" w14:textId="77777777" w:rsidR="00CE75D4" w:rsidRPr="001518C2" w:rsidRDefault="00CE75D4" w:rsidP="008340C1">
            <w:pPr>
              <w:pStyle w:val="ARfintablebodybold"/>
            </w:pPr>
            <w:r w:rsidRPr="00462CD3">
              <w:t xml:space="preserve">Total rental income and income from services </w:t>
            </w:r>
            <w:r w:rsidRPr="004C4FE3">
              <w:rPr>
                <w:rStyle w:val="Superscript"/>
              </w:rPr>
              <w:t>(i)</w:t>
            </w:r>
          </w:p>
        </w:tc>
        <w:tc>
          <w:tcPr>
            <w:tcW w:w="1134" w:type="dxa"/>
            <w:shd w:val="clear" w:color="auto" w:fill="E7E6E6"/>
            <w:noWrap/>
            <w:hideMark/>
          </w:tcPr>
          <w:p w14:paraId="47C8FD88" w14:textId="77777777" w:rsidR="00CE75D4" w:rsidRPr="001518C2" w:rsidRDefault="00CE75D4" w:rsidP="008340C1">
            <w:pPr>
              <w:pStyle w:val="ARfintablebodyrightbold"/>
            </w:pPr>
            <w:r>
              <w:t>–</w:t>
            </w:r>
          </w:p>
        </w:tc>
        <w:tc>
          <w:tcPr>
            <w:tcW w:w="1134" w:type="dxa"/>
            <w:noWrap/>
            <w:hideMark/>
          </w:tcPr>
          <w:p w14:paraId="04B3387B" w14:textId="77777777" w:rsidR="00CE75D4" w:rsidRPr="001518C2" w:rsidRDefault="00CE75D4" w:rsidP="008340C1">
            <w:pPr>
              <w:pStyle w:val="ARfintablebodyrightbold"/>
            </w:pPr>
            <w:r w:rsidRPr="00462CD3">
              <w:t>477.5</w:t>
            </w:r>
          </w:p>
        </w:tc>
      </w:tr>
    </w:tbl>
    <w:p w14:paraId="5C8333D1" w14:textId="77777777" w:rsidR="00CE75D4" w:rsidRDefault="00CE75D4" w:rsidP="008340C1">
      <w:pPr>
        <w:pStyle w:val="ARfintablefootnote"/>
      </w:pPr>
      <w:bookmarkStart w:id="525" w:name="_Toc39136694"/>
      <w:bookmarkStart w:id="526" w:name="_Toc85121368"/>
      <w:r>
        <w:rPr>
          <w:lang w:eastAsia="en-AU"/>
        </w:rPr>
        <w:t>Note:</w:t>
      </w:r>
    </w:p>
    <w:p w14:paraId="3067BF94" w14:textId="27D49E90" w:rsidR="00CE75D4" w:rsidRDefault="00CE75D4" w:rsidP="008340C1">
      <w:pPr>
        <w:pStyle w:val="ARfintablefootnoteindent"/>
      </w:pPr>
      <w:r>
        <w:t>(i)</w:t>
      </w:r>
      <w:r>
        <w:tab/>
        <w:t>2021 numbers relate to the 30 June 2021 closing balances of the Director of Housing.</w:t>
      </w:r>
      <w:r w:rsidR="00D74DAA">
        <w:t xml:space="preserve"> The transactions which relate to this entity are reported in the DFFH’s 2021–22 financial statements.</w:t>
      </w:r>
    </w:p>
    <w:p w14:paraId="172D64C3" w14:textId="77777777" w:rsidR="00CE75D4" w:rsidRDefault="00CE75D4" w:rsidP="008340C1">
      <w:pPr>
        <w:pStyle w:val="ARfinbodyaftertable"/>
      </w:pPr>
      <w:r>
        <w:rPr>
          <w:rStyle w:val="Strong"/>
        </w:rPr>
        <w:t>Rental income</w:t>
      </w:r>
      <w:r>
        <w:t xml:space="preserve"> arising from tenancy operating agreements was recognised on a straight-line basis over the terms of the ongoing agreements. This was subject to annual review. Rental rebates or subsidies provided to tenants were recognised on a straight-line basis over the term of the agreements. These were subject to bi-annual review.</w:t>
      </w:r>
    </w:p>
    <w:p w14:paraId="437F5811" w14:textId="77777777" w:rsidR="00CE75D4" w:rsidRDefault="00CE75D4" w:rsidP="008340C1">
      <w:pPr>
        <w:pStyle w:val="Heading6"/>
        <w:rPr>
          <w:lang w:eastAsia="en-AU"/>
        </w:rPr>
      </w:pPr>
      <w:r>
        <w:rPr>
          <w:lang w:eastAsia="en-AU"/>
        </w:rPr>
        <w:t>Operating leases – lessors</w:t>
      </w:r>
    </w:p>
    <w:p w14:paraId="07626C1B" w14:textId="77777777" w:rsidR="00CE75D4" w:rsidRDefault="00CE75D4" w:rsidP="008340C1">
      <w:pPr>
        <w:pStyle w:val="ARfinbody"/>
      </w:pPr>
      <w:r>
        <w:t xml:space="preserve">The department provided rental accommodation for a range of clients. These were public rental units that were owned and operated by the Director of Housing which had week-to-week tenancy agreements. These agreements were subject to the </w:t>
      </w:r>
      <w:r>
        <w:rPr>
          <w:rStyle w:val="Emphasis"/>
        </w:rPr>
        <w:t>Residential Tenancies Act 1997</w:t>
      </w:r>
      <w:r>
        <w:t xml:space="preserve"> provisions, which allowed termination of a lease under certain circumstances. Accordingly, the future revenue streams from the lease agreements were not required to be reported under AASB 16.97.</w:t>
      </w:r>
    </w:p>
    <w:p w14:paraId="65D9F8CF" w14:textId="77777777" w:rsidR="00CE75D4" w:rsidRPr="002029AF" w:rsidRDefault="00CE75D4" w:rsidP="00087B91">
      <w:pPr>
        <w:pStyle w:val="Heading5"/>
      </w:pPr>
      <w:r w:rsidRPr="002029AF">
        <w:t>2.4.3 Grants</w:t>
      </w:r>
      <w:bookmarkEnd w:id="525"/>
      <w:bookmarkEnd w:id="526"/>
    </w:p>
    <w:tbl>
      <w:tblPr>
        <w:tblStyle w:val="TableGrid"/>
        <w:tblW w:w="9637" w:type="dxa"/>
        <w:tblLayout w:type="fixed"/>
        <w:tblLook w:val="06A0" w:firstRow="1" w:lastRow="0" w:firstColumn="1" w:lastColumn="0" w:noHBand="1" w:noVBand="1"/>
      </w:tblPr>
      <w:tblGrid>
        <w:gridCol w:w="7371"/>
        <w:gridCol w:w="1133"/>
        <w:gridCol w:w="1133"/>
      </w:tblGrid>
      <w:tr w:rsidR="00CE75D4" w:rsidRPr="002029AF" w14:paraId="03CE872C"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762B1575" w14:textId="77777777" w:rsidR="00CE75D4" w:rsidRPr="002029AF" w:rsidRDefault="00CE75D4" w:rsidP="008340C1">
            <w:pPr>
              <w:pStyle w:val="ARfintablecolhead"/>
            </w:pPr>
          </w:p>
        </w:tc>
        <w:tc>
          <w:tcPr>
            <w:tcW w:w="1133" w:type="dxa"/>
            <w:tcBorders>
              <w:bottom w:val="single" w:sz="4" w:space="0" w:color="auto"/>
            </w:tcBorders>
            <w:shd w:val="clear" w:color="auto" w:fill="E7E6E6"/>
            <w:hideMark/>
          </w:tcPr>
          <w:p w14:paraId="6DE317CC" w14:textId="77777777" w:rsidR="00CE75D4" w:rsidRPr="002029AF" w:rsidRDefault="00CE75D4" w:rsidP="008340C1">
            <w:pPr>
              <w:pStyle w:val="ARfintablecolheadright"/>
            </w:pPr>
            <w:r w:rsidRPr="002029AF">
              <w:t>202</w:t>
            </w:r>
            <w:r>
              <w:t>2</w:t>
            </w:r>
          </w:p>
          <w:p w14:paraId="3C14D556" w14:textId="77777777" w:rsidR="00CE75D4" w:rsidRPr="002029AF" w:rsidRDefault="00CE75D4" w:rsidP="008340C1">
            <w:pPr>
              <w:pStyle w:val="ARfintablecolheadright"/>
            </w:pPr>
            <w:r w:rsidRPr="002029AF">
              <w:t>$M</w:t>
            </w:r>
          </w:p>
        </w:tc>
        <w:tc>
          <w:tcPr>
            <w:tcW w:w="1133" w:type="dxa"/>
            <w:tcBorders>
              <w:bottom w:val="single" w:sz="4" w:space="0" w:color="auto"/>
            </w:tcBorders>
            <w:hideMark/>
          </w:tcPr>
          <w:p w14:paraId="06491133" w14:textId="77777777" w:rsidR="00CE75D4" w:rsidRPr="002029AF" w:rsidRDefault="00CE75D4" w:rsidP="008340C1">
            <w:pPr>
              <w:pStyle w:val="ARfintablecolheadright"/>
            </w:pPr>
            <w:r>
              <w:t>2021</w:t>
            </w:r>
          </w:p>
          <w:p w14:paraId="3C25738C" w14:textId="77777777" w:rsidR="00CE75D4" w:rsidRPr="002029AF" w:rsidRDefault="00CE75D4" w:rsidP="008340C1">
            <w:pPr>
              <w:pStyle w:val="ARfintablecolheadright"/>
            </w:pPr>
            <w:r w:rsidRPr="002029AF">
              <w:t>$M</w:t>
            </w:r>
          </w:p>
        </w:tc>
      </w:tr>
      <w:tr w:rsidR="00CE75D4" w:rsidRPr="002029AF" w14:paraId="5C5FEDBA" w14:textId="77777777" w:rsidTr="00860E95">
        <w:tc>
          <w:tcPr>
            <w:tcW w:w="7371" w:type="dxa"/>
            <w:tcBorders>
              <w:top w:val="single" w:sz="4" w:space="0" w:color="auto"/>
              <w:bottom w:val="single" w:sz="4" w:space="0" w:color="A6A6A6"/>
            </w:tcBorders>
            <w:hideMark/>
          </w:tcPr>
          <w:p w14:paraId="25245723" w14:textId="77777777" w:rsidR="00CE75D4" w:rsidRPr="002029AF" w:rsidRDefault="00CE75D4" w:rsidP="008340C1">
            <w:pPr>
              <w:pStyle w:val="ARfintablebody"/>
            </w:pPr>
            <w:r w:rsidRPr="009F175A">
              <w:t>Income recognised under AASB 1058</w:t>
            </w:r>
          </w:p>
        </w:tc>
        <w:tc>
          <w:tcPr>
            <w:tcW w:w="1133" w:type="dxa"/>
            <w:tcBorders>
              <w:top w:val="single" w:sz="4" w:space="0" w:color="auto"/>
              <w:bottom w:val="single" w:sz="4" w:space="0" w:color="A6A6A6"/>
            </w:tcBorders>
            <w:shd w:val="clear" w:color="auto" w:fill="E7E6E6"/>
            <w:noWrap/>
            <w:hideMark/>
          </w:tcPr>
          <w:p w14:paraId="7E2F9D5F" w14:textId="77777777" w:rsidR="00CE75D4" w:rsidRPr="002029AF" w:rsidRDefault="00CE75D4" w:rsidP="008340C1">
            <w:pPr>
              <w:pStyle w:val="ARfintablebodyright"/>
            </w:pPr>
            <w:r w:rsidRPr="009F175A">
              <w:t>3,885.1</w:t>
            </w:r>
          </w:p>
        </w:tc>
        <w:tc>
          <w:tcPr>
            <w:tcW w:w="1133" w:type="dxa"/>
            <w:tcBorders>
              <w:top w:val="single" w:sz="4" w:space="0" w:color="auto"/>
              <w:bottom w:val="single" w:sz="4" w:space="0" w:color="A6A6A6"/>
            </w:tcBorders>
            <w:noWrap/>
            <w:hideMark/>
          </w:tcPr>
          <w:p w14:paraId="03B5468B" w14:textId="77777777" w:rsidR="00CE75D4" w:rsidRPr="002029AF" w:rsidRDefault="00CE75D4" w:rsidP="008340C1">
            <w:pPr>
              <w:pStyle w:val="ARfintablebodyright"/>
            </w:pPr>
            <w:r w:rsidRPr="009F175A">
              <w:t>2,537.0</w:t>
            </w:r>
          </w:p>
        </w:tc>
      </w:tr>
      <w:tr w:rsidR="00CE75D4" w:rsidRPr="002029AF" w14:paraId="6126C364" w14:textId="77777777" w:rsidTr="00130D1C">
        <w:tc>
          <w:tcPr>
            <w:tcW w:w="7371" w:type="dxa"/>
            <w:tcBorders>
              <w:top w:val="single" w:sz="4" w:space="0" w:color="A6A6A6"/>
              <w:bottom w:val="single" w:sz="4" w:space="0" w:color="auto"/>
            </w:tcBorders>
            <w:hideMark/>
          </w:tcPr>
          <w:p w14:paraId="672FF15A" w14:textId="77777777" w:rsidR="00CE75D4" w:rsidRPr="002029AF" w:rsidRDefault="00CE75D4" w:rsidP="008340C1">
            <w:pPr>
              <w:pStyle w:val="ARfintablebody"/>
            </w:pPr>
            <w:r w:rsidRPr="009F175A">
              <w:t>Revenue recognised under AASB 15</w:t>
            </w:r>
          </w:p>
        </w:tc>
        <w:tc>
          <w:tcPr>
            <w:tcW w:w="1133" w:type="dxa"/>
            <w:tcBorders>
              <w:top w:val="single" w:sz="4" w:space="0" w:color="A6A6A6"/>
              <w:bottom w:val="single" w:sz="4" w:space="0" w:color="auto"/>
            </w:tcBorders>
            <w:shd w:val="clear" w:color="auto" w:fill="E7E6E6"/>
            <w:noWrap/>
            <w:hideMark/>
          </w:tcPr>
          <w:p w14:paraId="354B0268" w14:textId="77777777" w:rsidR="00CE75D4" w:rsidRPr="002029AF" w:rsidRDefault="00CE75D4" w:rsidP="008340C1">
            <w:pPr>
              <w:pStyle w:val="ARfintablebodyright"/>
            </w:pPr>
            <w:r w:rsidRPr="009F175A">
              <w:t>7.9</w:t>
            </w:r>
          </w:p>
        </w:tc>
        <w:tc>
          <w:tcPr>
            <w:tcW w:w="1133" w:type="dxa"/>
            <w:tcBorders>
              <w:top w:val="single" w:sz="4" w:space="0" w:color="A6A6A6"/>
              <w:bottom w:val="single" w:sz="4" w:space="0" w:color="auto"/>
            </w:tcBorders>
            <w:noWrap/>
            <w:hideMark/>
          </w:tcPr>
          <w:p w14:paraId="19A81B29" w14:textId="77777777" w:rsidR="00CE75D4" w:rsidRPr="002029AF" w:rsidRDefault="00CE75D4" w:rsidP="008340C1">
            <w:pPr>
              <w:pStyle w:val="ARfintablebodyright"/>
            </w:pPr>
            <w:r w:rsidRPr="009F175A">
              <w:t>12.2</w:t>
            </w:r>
          </w:p>
        </w:tc>
      </w:tr>
      <w:tr w:rsidR="00CE75D4" w:rsidRPr="002029AF" w14:paraId="3094D043" w14:textId="77777777" w:rsidTr="00130D1C">
        <w:tc>
          <w:tcPr>
            <w:tcW w:w="7371" w:type="dxa"/>
            <w:tcBorders>
              <w:top w:val="single" w:sz="4" w:space="0" w:color="auto"/>
              <w:bottom w:val="single" w:sz="4" w:space="0" w:color="auto"/>
            </w:tcBorders>
            <w:hideMark/>
          </w:tcPr>
          <w:p w14:paraId="2722C8D1" w14:textId="77777777" w:rsidR="00CE75D4" w:rsidRPr="002029AF" w:rsidRDefault="00CE75D4" w:rsidP="008340C1">
            <w:pPr>
              <w:pStyle w:val="ARfintablebodybold"/>
            </w:pPr>
            <w:r w:rsidRPr="009F175A">
              <w:t>Total grants</w:t>
            </w:r>
          </w:p>
        </w:tc>
        <w:tc>
          <w:tcPr>
            <w:tcW w:w="1133" w:type="dxa"/>
            <w:tcBorders>
              <w:top w:val="single" w:sz="4" w:space="0" w:color="auto"/>
              <w:bottom w:val="single" w:sz="4" w:space="0" w:color="auto"/>
            </w:tcBorders>
            <w:shd w:val="clear" w:color="auto" w:fill="E7E6E6"/>
            <w:noWrap/>
            <w:hideMark/>
          </w:tcPr>
          <w:p w14:paraId="7C7ECC91" w14:textId="77777777" w:rsidR="00CE75D4" w:rsidRPr="002029AF" w:rsidRDefault="00CE75D4" w:rsidP="008340C1">
            <w:pPr>
              <w:pStyle w:val="ARfintablebodyrightbold"/>
            </w:pPr>
            <w:r w:rsidRPr="009F175A">
              <w:t>3,893.0</w:t>
            </w:r>
          </w:p>
        </w:tc>
        <w:tc>
          <w:tcPr>
            <w:tcW w:w="1133" w:type="dxa"/>
            <w:tcBorders>
              <w:top w:val="single" w:sz="4" w:space="0" w:color="auto"/>
              <w:bottom w:val="single" w:sz="4" w:space="0" w:color="auto"/>
            </w:tcBorders>
            <w:noWrap/>
            <w:hideMark/>
          </w:tcPr>
          <w:p w14:paraId="277AE44B" w14:textId="77777777" w:rsidR="00CE75D4" w:rsidRPr="002029AF" w:rsidRDefault="00CE75D4" w:rsidP="008340C1">
            <w:pPr>
              <w:pStyle w:val="ARfintablebodyrightbold"/>
            </w:pPr>
            <w:r w:rsidRPr="009F175A">
              <w:t>2,549.2</w:t>
            </w:r>
          </w:p>
        </w:tc>
      </w:tr>
      <w:tr w:rsidR="00CE75D4" w:rsidRPr="002029AF" w14:paraId="09424A4B" w14:textId="77777777" w:rsidTr="00130D1C">
        <w:tc>
          <w:tcPr>
            <w:tcW w:w="9637" w:type="dxa"/>
            <w:gridSpan w:val="3"/>
            <w:tcBorders>
              <w:top w:val="single" w:sz="4" w:space="0" w:color="auto"/>
              <w:bottom w:val="single" w:sz="4" w:space="0" w:color="A6A6A6"/>
            </w:tcBorders>
            <w:hideMark/>
          </w:tcPr>
          <w:p w14:paraId="58066AF6" w14:textId="77777777" w:rsidR="00CE75D4" w:rsidRPr="002029AF" w:rsidRDefault="00CE75D4" w:rsidP="008340C1">
            <w:pPr>
              <w:pStyle w:val="ARfintablebodybold"/>
            </w:pPr>
            <w:r w:rsidRPr="009F175A">
              <w:t>Represented by:</w:t>
            </w:r>
          </w:p>
        </w:tc>
      </w:tr>
      <w:tr w:rsidR="00CE75D4" w:rsidRPr="002029AF" w14:paraId="6D50E78E" w14:textId="77777777" w:rsidTr="00130D1C">
        <w:tc>
          <w:tcPr>
            <w:tcW w:w="9637" w:type="dxa"/>
            <w:gridSpan w:val="3"/>
            <w:tcBorders>
              <w:top w:val="single" w:sz="4" w:space="0" w:color="A6A6A6"/>
              <w:bottom w:val="single" w:sz="4" w:space="0" w:color="A6A6A6"/>
            </w:tcBorders>
            <w:hideMark/>
          </w:tcPr>
          <w:p w14:paraId="4F28DA70" w14:textId="77777777" w:rsidR="00CE75D4" w:rsidRPr="002029AF" w:rsidRDefault="00CE75D4" w:rsidP="008340C1">
            <w:pPr>
              <w:pStyle w:val="ARfintablebodybold"/>
            </w:pPr>
            <w:r w:rsidRPr="009F175A">
              <w:t>Victorian Government</w:t>
            </w:r>
          </w:p>
        </w:tc>
      </w:tr>
      <w:tr w:rsidR="00CE75D4" w:rsidRPr="002029AF" w14:paraId="74C9D1A2" w14:textId="77777777" w:rsidTr="00860E95">
        <w:tc>
          <w:tcPr>
            <w:tcW w:w="7371" w:type="dxa"/>
            <w:tcBorders>
              <w:top w:val="single" w:sz="4" w:space="0" w:color="A6A6A6"/>
              <w:bottom w:val="single" w:sz="4" w:space="0" w:color="A6A6A6"/>
            </w:tcBorders>
          </w:tcPr>
          <w:p w14:paraId="53D02FDD" w14:textId="77777777" w:rsidR="00CE75D4" w:rsidRPr="002029AF" w:rsidRDefault="00CE75D4" w:rsidP="008340C1">
            <w:pPr>
              <w:pStyle w:val="ARfintablebody"/>
            </w:pPr>
            <w:r w:rsidRPr="009F175A">
              <w:t>Department of Treasury and Finance</w:t>
            </w:r>
          </w:p>
        </w:tc>
        <w:tc>
          <w:tcPr>
            <w:tcW w:w="1133" w:type="dxa"/>
            <w:tcBorders>
              <w:top w:val="single" w:sz="4" w:space="0" w:color="A6A6A6"/>
              <w:bottom w:val="single" w:sz="4" w:space="0" w:color="A6A6A6"/>
            </w:tcBorders>
            <w:shd w:val="clear" w:color="auto" w:fill="E7E6E6"/>
            <w:noWrap/>
          </w:tcPr>
          <w:p w14:paraId="74C92618" w14:textId="77777777" w:rsidR="00CE75D4" w:rsidRPr="002029AF" w:rsidRDefault="00CE75D4" w:rsidP="008340C1">
            <w:pPr>
              <w:pStyle w:val="ARfintablebodyright"/>
            </w:pPr>
            <w:r w:rsidRPr="009F175A">
              <w:t>15.3</w:t>
            </w:r>
          </w:p>
        </w:tc>
        <w:tc>
          <w:tcPr>
            <w:tcW w:w="1133" w:type="dxa"/>
            <w:tcBorders>
              <w:top w:val="single" w:sz="4" w:space="0" w:color="A6A6A6"/>
              <w:bottom w:val="single" w:sz="4" w:space="0" w:color="A6A6A6"/>
            </w:tcBorders>
            <w:noWrap/>
          </w:tcPr>
          <w:p w14:paraId="63C76DBD" w14:textId="77777777" w:rsidR="00CE75D4" w:rsidRPr="002029AF" w:rsidRDefault="00CE75D4" w:rsidP="008340C1">
            <w:pPr>
              <w:pStyle w:val="ARfintablebodyright"/>
            </w:pPr>
            <w:r w:rsidRPr="009F175A">
              <w:t>93.0</w:t>
            </w:r>
          </w:p>
        </w:tc>
      </w:tr>
      <w:tr w:rsidR="00CE75D4" w:rsidRPr="002029AF" w14:paraId="495035D8" w14:textId="77777777" w:rsidTr="00860E95">
        <w:tc>
          <w:tcPr>
            <w:tcW w:w="7371" w:type="dxa"/>
            <w:tcBorders>
              <w:top w:val="single" w:sz="4" w:space="0" w:color="A6A6A6"/>
              <w:bottom w:val="single" w:sz="4" w:space="0" w:color="A6A6A6"/>
            </w:tcBorders>
          </w:tcPr>
          <w:p w14:paraId="7D7C3C38" w14:textId="77777777" w:rsidR="00CE75D4" w:rsidRPr="002029AF" w:rsidRDefault="00CE75D4" w:rsidP="008340C1">
            <w:pPr>
              <w:pStyle w:val="ARfintablebody"/>
            </w:pPr>
            <w:r w:rsidRPr="009F175A">
              <w:t>Department of Education and Training</w:t>
            </w:r>
          </w:p>
        </w:tc>
        <w:tc>
          <w:tcPr>
            <w:tcW w:w="1133" w:type="dxa"/>
            <w:tcBorders>
              <w:top w:val="single" w:sz="4" w:space="0" w:color="A6A6A6"/>
              <w:bottom w:val="single" w:sz="4" w:space="0" w:color="A6A6A6"/>
            </w:tcBorders>
            <w:shd w:val="clear" w:color="auto" w:fill="E7E6E6"/>
            <w:noWrap/>
          </w:tcPr>
          <w:p w14:paraId="221F20AA" w14:textId="77777777" w:rsidR="00CE75D4" w:rsidRPr="002029AF" w:rsidRDefault="00CE75D4" w:rsidP="008340C1">
            <w:pPr>
              <w:pStyle w:val="ARfintablebodyright"/>
            </w:pPr>
            <w:r w:rsidRPr="009F175A">
              <w:t>131.4</w:t>
            </w:r>
          </w:p>
        </w:tc>
        <w:tc>
          <w:tcPr>
            <w:tcW w:w="1133" w:type="dxa"/>
            <w:tcBorders>
              <w:top w:val="single" w:sz="4" w:space="0" w:color="A6A6A6"/>
              <w:bottom w:val="single" w:sz="4" w:space="0" w:color="A6A6A6"/>
            </w:tcBorders>
            <w:noWrap/>
          </w:tcPr>
          <w:p w14:paraId="1F34D807" w14:textId="77777777" w:rsidR="00CE75D4" w:rsidRPr="002029AF" w:rsidRDefault="00CE75D4" w:rsidP="008340C1">
            <w:pPr>
              <w:pStyle w:val="ARfintablebodyright"/>
            </w:pPr>
            <w:r w:rsidRPr="009F175A">
              <w:t>141.0</w:t>
            </w:r>
          </w:p>
        </w:tc>
      </w:tr>
      <w:tr w:rsidR="00CE75D4" w:rsidRPr="002029AF" w14:paraId="7C43A813" w14:textId="77777777" w:rsidTr="00860E95">
        <w:tc>
          <w:tcPr>
            <w:tcW w:w="7371" w:type="dxa"/>
            <w:tcBorders>
              <w:top w:val="single" w:sz="4" w:space="0" w:color="A6A6A6"/>
              <w:bottom w:val="single" w:sz="4" w:space="0" w:color="A6A6A6"/>
            </w:tcBorders>
          </w:tcPr>
          <w:p w14:paraId="252E8D3E" w14:textId="77777777" w:rsidR="00CE75D4" w:rsidRPr="002029AF" w:rsidRDefault="00CE75D4" w:rsidP="008340C1">
            <w:pPr>
              <w:pStyle w:val="ARfintablebody"/>
            </w:pPr>
            <w:r w:rsidRPr="009F175A">
              <w:t>Department of Families, Fairness and Housing</w:t>
            </w:r>
          </w:p>
        </w:tc>
        <w:tc>
          <w:tcPr>
            <w:tcW w:w="1133" w:type="dxa"/>
            <w:tcBorders>
              <w:top w:val="single" w:sz="4" w:space="0" w:color="A6A6A6"/>
              <w:bottom w:val="single" w:sz="4" w:space="0" w:color="A6A6A6"/>
            </w:tcBorders>
            <w:shd w:val="clear" w:color="auto" w:fill="E7E6E6"/>
            <w:noWrap/>
          </w:tcPr>
          <w:p w14:paraId="05ED3AF9" w14:textId="77777777" w:rsidR="00CE75D4" w:rsidRPr="002029AF" w:rsidRDefault="00CE75D4" w:rsidP="008340C1">
            <w:pPr>
              <w:pStyle w:val="ARfintablebodyright"/>
            </w:pPr>
            <w:r w:rsidRPr="009F175A">
              <w:t>34.1</w:t>
            </w:r>
          </w:p>
        </w:tc>
        <w:tc>
          <w:tcPr>
            <w:tcW w:w="1133" w:type="dxa"/>
            <w:tcBorders>
              <w:top w:val="single" w:sz="4" w:space="0" w:color="A6A6A6"/>
              <w:bottom w:val="single" w:sz="4" w:space="0" w:color="A6A6A6"/>
            </w:tcBorders>
            <w:noWrap/>
          </w:tcPr>
          <w:p w14:paraId="78FC25D0" w14:textId="77777777" w:rsidR="00CE75D4" w:rsidRPr="002029AF" w:rsidRDefault="00CE75D4" w:rsidP="008340C1">
            <w:pPr>
              <w:pStyle w:val="ARfintablebodyright"/>
            </w:pPr>
            <w:r>
              <w:t>–</w:t>
            </w:r>
          </w:p>
        </w:tc>
      </w:tr>
      <w:tr w:rsidR="00CE75D4" w:rsidRPr="002029AF" w14:paraId="793F9952" w14:textId="77777777" w:rsidTr="00860E95">
        <w:tc>
          <w:tcPr>
            <w:tcW w:w="7371" w:type="dxa"/>
            <w:tcBorders>
              <w:top w:val="single" w:sz="4" w:space="0" w:color="A6A6A6"/>
              <w:bottom w:val="single" w:sz="4" w:space="0" w:color="A6A6A6"/>
            </w:tcBorders>
          </w:tcPr>
          <w:p w14:paraId="4A93E959" w14:textId="77777777" w:rsidR="00CE75D4" w:rsidRPr="002029AF" w:rsidRDefault="00CE75D4" w:rsidP="008340C1">
            <w:pPr>
              <w:pStyle w:val="ARfintablebody"/>
            </w:pPr>
            <w:r w:rsidRPr="009F175A">
              <w:t>Department of Environment, Land, Water and Planning</w:t>
            </w:r>
          </w:p>
        </w:tc>
        <w:tc>
          <w:tcPr>
            <w:tcW w:w="1133" w:type="dxa"/>
            <w:tcBorders>
              <w:top w:val="single" w:sz="4" w:space="0" w:color="A6A6A6"/>
              <w:bottom w:val="single" w:sz="4" w:space="0" w:color="A6A6A6"/>
            </w:tcBorders>
            <w:shd w:val="clear" w:color="auto" w:fill="E7E6E6"/>
            <w:noWrap/>
          </w:tcPr>
          <w:p w14:paraId="276BCC55" w14:textId="77777777" w:rsidR="00CE75D4" w:rsidRPr="002029AF" w:rsidRDefault="00CE75D4" w:rsidP="008340C1">
            <w:pPr>
              <w:pStyle w:val="ARfintablebodyright"/>
            </w:pPr>
            <w:r w:rsidRPr="009F175A">
              <w:t>14.4</w:t>
            </w:r>
          </w:p>
        </w:tc>
        <w:tc>
          <w:tcPr>
            <w:tcW w:w="1133" w:type="dxa"/>
            <w:tcBorders>
              <w:top w:val="single" w:sz="4" w:space="0" w:color="A6A6A6"/>
              <w:bottom w:val="single" w:sz="4" w:space="0" w:color="A6A6A6"/>
            </w:tcBorders>
            <w:noWrap/>
          </w:tcPr>
          <w:p w14:paraId="6D8A99EA" w14:textId="77777777" w:rsidR="00CE75D4" w:rsidRPr="002029AF" w:rsidRDefault="00CE75D4" w:rsidP="008340C1">
            <w:pPr>
              <w:pStyle w:val="ARfintablebodyright"/>
            </w:pPr>
            <w:r w:rsidRPr="009F175A">
              <w:t>43.7</w:t>
            </w:r>
          </w:p>
        </w:tc>
      </w:tr>
      <w:tr w:rsidR="00CE75D4" w:rsidRPr="002029AF" w14:paraId="286CC169" w14:textId="77777777" w:rsidTr="00860E95">
        <w:tc>
          <w:tcPr>
            <w:tcW w:w="7371" w:type="dxa"/>
            <w:tcBorders>
              <w:top w:val="single" w:sz="4" w:space="0" w:color="A6A6A6"/>
              <w:bottom w:val="single" w:sz="4" w:space="0" w:color="A6A6A6"/>
            </w:tcBorders>
          </w:tcPr>
          <w:p w14:paraId="17E9CD9C" w14:textId="77777777" w:rsidR="00CE75D4" w:rsidRPr="002029AF" w:rsidRDefault="00CE75D4" w:rsidP="008340C1">
            <w:pPr>
              <w:pStyle w:val="ARfintablebody"/>
            </w:pPr>
            <w:r w:rsidRPr="009F175A">
              <w:t>Department of Justice and Community Safety</w:t>
            </w:r>
          </w:p>
        </w:tc>
        <w:tc>
          <w:tcPr>
            <w:tcW w:w="1133" w:type="dxa"/>
            <w:tcBorders>
              <w:top w:val="single" w:sz="4" w:space="0" w:color="A6A6A6"/>
              <w:bottom w:val="single" w:sz="4" w:space="0" w:color="A6A6A6"/>
            </w:tcBorders>
            <w:shd w:val="clear" w:color="auto" w:fill="E7E6E6"/>
            <w:noWrap/>
          </w:tcPr>
          <w:p w14:paraId="7F81A605" w14:textId="77777777" w:rsidR="00CE75D4" w:rsidRPr="002029AF" w:rsidRDefault="00CE75D4" w:rsidP="008340C1">
            <w:pPr>
              <w:pStyle w:val="ARfintablebodyright"/>
            </w:pPr>
            <w:r w:rsidRPr="009F175A">
              <w:t>17.2</w:t>
            </w:r>
          </w:p>
        </w:tc>
        <w:tc>
          <w:tcPr>
            <w:tcW w:w="1133" w:type="dxa"/>
            <w:tcBorders>
              <w:top w:val="single" w:sz="4" w:space="0" w:color="A6A6A6"/>
              <w:bottom w:val="single" w:sz="4" w:space="0" w:color="A6A6A6"/>
            </w:tcBorders>
            <w:noWrap/>
          </w:tcPr>
          <w:p w14:paraId="2BCB118B" w14:textId="77777777" w:rsidR="00CE75D4" w:rsidRPr="002029AF" w:rsidRDefault="00CE75D4" w:rsidP="008340C1">
            <w:pPr>
              <w:pStyle w:val="ARfintablebodyright"/>
            </w:pPr>
            <w:r w:rsidRPr="009F175A">
              <w:t>24.5</w:t>
            </w:r>
          </w:p>
        </w:tc>
      </w:tr>
      <w:tr w:rsidR="00CE75D4" w:rsidRPr="002029AF" w14:paraId="1DD2C41C" w14:textId="77777777" w:rsidTr="00860E95">
        <w:tc>
          <w:tcPr>
            <w:tcW w:w="7371" w:type="dxa"/>
            <w:tcBorders>
              <w:top w:val="single" w:sz="4" w:space="0" w:color="A6A6A6"/>
              <w:bottom w:val="single" w:sz="4" w:space="0" w:color="A6A6A6"/>
            </w:tcBorders>
          </w:tcPr>
          <w:p w14:paraId="6F44B0A9" w14:textId="77777777" w:rsidR="00CE75D4" w:rsidRPr="002029AF" w:rsidRDefault="00CE75D4" w:rsidP="008340C1">
            <w:pPr>
              <w:pStyle w:val="ARfintablebody"/>
            </w:pPr>
            <w:r w:rsidRPr="009F175A">
              <w:t>Department of Jobs, Precincts and Regions</w:t>
            </w:r>
          </w:p>
        </w:tc>
        <w:tc>
          <w:tcPr>
            <w:tcW w:w="1133" w:type="dxa"/>
            <w:tcBorders>
              <w:top w:val="single" w:sz="4" w:space="0" w:color="A6A6A6"/>
              <w:bottom w:val="single" w:sz="4" w:space="0" w:color="A6A6A6"/>
            </w:tcBorders>
            <w:shd w:val="clear" w:color="auto" w:fill="E7E6E6"/>
            <w:noWrap/>
          </w:tcPr>
          <w:p w14:paraId="393A233B" w14:textId="77777777" w:rsidR="00CE75D4" w:rsidRPr="002029AF" w:rsidRDefault="00CE75D4" w:rsidP="008340C1">
            <w:pPr>
              <w:pStyle w:val="ARfintablebodyright"/>
            </w:pPr>
            <w:r w:rsidRPr="009F175A">
              <w:t>4.9</w:t>
            </w:r>
          </w:p>
        </w:tc>
        <w:tc>
          <w:tcPr>
            <w:tcW w:w="1133" w:type="dxa"/>
            <w:tcBorders>
              <w:top w:val="single" w:sz="4" w:space="0" w:color="A6A6A6"/>
              <w:bottom w:val="single" w:sz="4" w:space="0" w:color="A6A6A6"/>
            </w:tcBorders>
            <w:noWrap/>
          </w:tcPr>
          <w:p w14:paraId="06664E34" w14:textId="77777777" w:rsidR="00CE75D4" w:rsidRPr="002029AF" w:rsidRDefault="00CE75D4" w:rsidP="008340C1">
            <w:pPr>
              <w:pStyle w:val="ARfintablebodyright"/>
            </w:pPr>
            <w:r w:rsidRPr="009F175A">
              <w:t>43.4</w:t>
            </w:r>
          </w:p>
        </w:tc>
      </w:tr>
      <w:tr w:rsidR="00CE75D4" w:rsidRPr="002029AF" w14:paraId="394EF25E" w14:textId="77777777" w:rsidTr="00860E95">
        <w:tc>
          <w:tcPr>
            <w:tcW w:w="7371" w:type="dxa"/>
            <w:tcBorders>
              <w:top w:val="single" w:sz="4" w:space="0" w:color="A6A6A6"/>
              <w:bottom w:val="single" w:sz="4" w:space="0" w:color="A6A6A6"/>
            </w:tcBorders>
          </w:tcPr>
          <w:p w14:paraId="39BA27E2" w14:textId="77777777" w:rsidR="00CE75D4" w:rsidRPr="002029AF" w:rsidRDefault="00CE75D4" w:rsidP="008340C1">
            <w:pPr>
              <w:pStyle w:val="ARfintablebody"/>
            </w:pPr>
            <w:r w:rsidRPr="009F175A">
              <w:t>Department of Premier and Cabinet</w:t>
            </w:r>
          </w:p>
        </w:tc>
        <w:tc>
          <w:tcPr>
            <w:tcW w:w="1133" w:type="dxa"/>
            <w:tcBorders>
              <w:top w:val="single" w:sz="4" w:space="0" w:color="A6A6A6"/>
              <w:bottom w:val="single" w:sz="4" w:space="0" w:color="A6A6A6"/>
            </w:tcBorders>
            <w:shd w:val="clear" w:color="auto" w:fill="E7E6E6"/>
            <w:noWrap/>
          </w:tcPr>
          <w:p w14:paraId="3598EE68" w14:textId="77777777" w:rsidR="00CE75D4" w:rsidRPr="002029AF" w:rsidRDefault="00CE75D4" w:rsidP="008340C1">
            <w:pPr>
              <w:pStyle w:val="ARfintablebodyright"/>
            </w:pPr>
            <w:r w:rsidRPr="009F175A">
              <w:t>2.0</w:t>
            </w:r>
          </w:p>
        </w:tc>
        <w:tc>
          <w:tcPr>
            <w:tcW w:w="1133" w:type="dxa"/>
            <w:tcBorders>
              <w:top w:val="single" w:sz="4" w:space="0" w:color="A6A6A6"/>
              <w:bottom w:val="single" w:sz="4" w:space="0" w:color="A6A6A6"/>
            </w:tcBorders>
            <w:noWrap/>
          </w:tcPr>
          <w:p w14:paraId="46FED570" w14:textId="77777777" w:rsidR="00CE75D4" w:rsidRPr="002029AF" w:rsidRDefault="00CE75D4" w:rsidP="008340C1">
            <w:pPr>
              <w:pStyle w:val="ARfintablebodyright"/>
            </w:pPr>
            <w:r w:rsidRPr="009F175A">
              <w:t>9.1</w:t>
            </w:r>
          </w:p>
        </w:tc>
      </w:tr>
      <w:tr w:rsidR="00CE75D4" w:rsidRPr="002029AF" w14:paraId="22C0D96A" w14:textId="77777777" w:rsidTr="00860E95">
        <w:tc>
          <w:tcPr>
            <w:tcW w:w="7371" w:type="dxa"/>
            <w:tcBorders>
              <w:top w:val="single" w:sz="4" w:space="0" w:color="A6A6A6"/>
              <w:bottom w:val="single" w:sz="4" w:space="0" w:color="A6A6A6"/>
            </w:tcBorders>
            <w:hideMark/>
          </w:tcPr>
          <w:p w14:paraId="24B4E155" w14:textId="77777777" w:rsidR="00CE75D4" w:rsidRPr="002029AF" w:rsidRDefault="00CE75D4" w:rsidP="008340C1">
            <w:pPr>
              <w:pStyle w:val="ARfintablebody"/>
            </w:pPr>
            <w:r w:rsidRPr="009F175A">
              <w:t>Department of Transport</w:t>
            </w:r>
          </w:p>
        </w:tc>
        <w:tc>
          <w:tcPr>
            <w:tcW w:w="1133" w:type="dxa"/>
            <w:tcBorders>
              <w:top w:val="single" w:sz="4" w:space="0" w:color="A6A6A6"/>
              <w:bottom w:val="single" w:sz="4" w:space="0" w:color="A6A6A6"/>
            </w:tcBorders>
            <w:shd w:val="clear" w:color="auto" w:fill="E7E6E6"/>
            <w:noWrap/>
            <w:hideMark/>
          </w:tcPr>
          <w:p w14:paraId="4A3543E8"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hideMark/>
          </w:tcPr>
          <w:p w14:paraId="787B06CD" w14:textId="77777777" w:rsidR="00CE75D4" w:rsidRPr="002029AF" w:rsidRDefault="00CE75D4" w:rsidP="008340C1">
            <w:pPr>
              <w:pStyle w:val="ARfintablebodyright"/>
            </w:pPr>
            <w:r w:rsidRPr="009F175A">
              <w:t>(0.1)</w:t>
            </w:r>
          </w:p>
        </w:tc>
      </w:tr>
      <w:tr w:rsidR="00CE75D4" w:rsidRPr="002029AF" w14:paraId="6B8B549F" w14:textId="77777777" w:rsidTr="00860E95">
        <w:tc>
          <w:tcPr>
            <w:tcW w:w="7371" w:type="dxa"/>
            <w:tcBorders>
              <w:top w:val="single" w:sz="4" w:space="0" w:color="A6A6A6"/>
              <w:bottom w:val="single" w:sz="4" w:space="0" w:color="A6A6A6"/>
            </w:tcBorders>
            <w:hideMark/>
          </w:tcPr>
          <w:p w14:paraId="5B618369" w14:textId="77777777" w:rsidR="00CE75D4" w:rsidRPr="002029AF" w:rsidRDefault="00CE75D4" w:rsidP="008340C1">
            <w:pPr>
              <w:pStyle w:val="ARfintablebody"/>
            </w:pPr>
            <w:r w:rsidRPr="009F175A">
              <w:t xml:space="preserve">Court Services Victoria </w:t>
            </w:r>
            <w:r w:rsidRPr="00B92C8F">
              <w:rPr>
                <w:rStyle w:val="Superscript"/>
              </w:rPr>
              <w:t>(i)</w:t>
            </w:r>
          </w:p>
        </w:tc>
        <w:tc>
          <w:tcPr>
            <w:tcW w:w="1133" w:type="dxa"/>
            <w:tcBorders>
              <w:top w:val="single" w:sz="4" w:space="0" w:color="A6A6A6"/>
              <w:bottom w:val="single" w:sz="4" w:space="0" w:color="A6A6A6"/>
            </w:tcBorders>
            <w:shd w:val="clear" w:color="auto" w:fill="E7E6E6"/>
            <w:noWrap/>
            <w:hideMark/>
          </w:tcPr>
          <w:p w14:paraId="46FB2D0F" w14:textId="77777777" w:rsidR="00CE75D4" w:rsidRPr="002029AF" w:rsidRDefault="00CE75D4" w:rsidP="008340C1">
            <w:pPr>
              <w:pStyle w:val="ARfintablebodyright"/>
            </w:pPr>
            <w:r w:rsidRPr="009F175A">
              <w:t>(1.6)</w:t>
            </w:r>
          </w:p>
        </w:tc>
        <w:tc>
          <w:tcPr>
            <w:tcW w:w="1133" w:type="dxa"/>
            <w:tcBorders>
              <w:top w:val="single" w:sz="4" w:space="0" w:color="A6A6A6"/>
              <w:bottom w:val="single" w:sz="4" w:space="0" w:color="A6A6A6"/>
            </w:tcBorders>
            <w:noWrap/>
            <w:hideMark/>
          </w:tcPr>
          <w:p w14:paraId="2CFC7117" w14:textId="77777777" w:rsidR="00CE75D4" w:rsidRPr="002029AF" w:rsidRDefault="00CE75D4" w:rsidP="008340C1">
            <w:pPr>
              <w:pStyle w:val="ARfintablebodyright"/>
            </w:pPr>
            <w:r w:rsidRPr="009F175A">
              <w:t>2.9</w:t>
            </w:r>
          </w:p>
        </w:tc>
      </w:tr>
      <w:tr w:rsidR="00CE75D4" w:rsidRPr="002029AF" w14:paraId="472E56E6" w14:textId="77777777" w:rsidTr="00860E95">
        <w:tc>
          <w:tcPr>
            <w:tcW w:w="7371" w:type="dxa"/>
            <w:tcBorders>
              <w:top w:val="single" w:sz="4" w:space="0" w:color="A6A6A6"/>
              <w:bottom w:val="single" w:sz="4" w:space="0" w:color="A6A6A6"/>
            </w:tcBorders>
            <w:hideMark/>
          </w:tcPr>
          <w:p w14:paraId="5B3A4CB9" w14:textId="77777777" w:rsidR="00CE75D4" w:rsidRPr="002029AF" w:rsidRDefault="00CE75D4" w:rsidP="008340C1">
            <w:pPr>
              <w:pStyle w:val="ARfintablebody"/>
            </w:pPr>
            <w:r w:rsidRPr="009F175A">
              <w:t>Global Victoria</w:t>
            </w:r>
          </w:p>
        </w:tc>
        <w:tc>
          <w:tcPr>
            <w:tcW w:w="1133" w:type="dxa"/>
            <w:tcBorders>
              <w:top w:val="single" w:sz="4" w:space="0" w:color="A6A6A6"/>
              <w:bottom w:val="single" w:sz="4" w:space="0" w:color="A6A6A6"/>
            </w:tcBorders>
            <w:shd w:val="clear" w:color="auto" w:fill="E7E6E6"/>
            <w:noWrap/>
            <w:hideMark/>
          </w:tcPr>
          <w:p w14:paraId="669E43E0"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hideMark/>
          </w:tcPr>
          <w:p w14:paraId="609ECD14" w14:textId="77777777" w:rsidR="00CE75D4" w:rsidRPr="002029AF" w:rsidRDefault="00CE75D4" w:rsidP="008340C1">
            <w:pPr>
              <w:pStyle w:val="ARfintablebodyright"/>
            </w:pPr>
            <w:r w:rsidRPr="009F175A">
              <w:t>8.5</w:t>
            </w:r>
          </w:p>
        </w:tc>
      </w:tr>
      <w:tr w:rsidR="00CE75D4" w:rsidRPr="002029AF" w14:paraId="61440B5B" w14:textId="77777777" w:rsidTr="00860E95">
        <w:tc>
          <w:tcPr>
            <w:tcW w:w="7371" w:type="dxa"/>
            <w:tcBorders>
              <w:top w:val="single" w:sz="4" w:space="0" w:color="A6A6A6"/>
              <w:bottom w:val="single" w:sz="4" w:space="0" w:color="A6A6A6"/>
            </w:tcBorders>
            <w:hideMark/>
          </w:tcPr>
          <w:p w14:paraId="57C89F34" w14:textId="77777777" w:rsidR="00CE75D4" w:rsidRPr="002029AF" w:rsidRDefault="00CE75D4" w:rsidP="008340C1">
            <w:pPr>
              <w:pStyle w:val="ARfintablebody"/>
            </w:pPr>
            <w:r w:rsidRPr="009F175A">
              <w:t>Other public bodies</w:t>
            </w:r>
          </w:p>
        </w:tc>
        <w:tc>
          <w:tcPr>
            <w:tcW w:w="1133" w:type="dxa"/>
            <w:tcBorders>
              <w:top w:val="single" w:sz="4" w:space="0" w:color="A6A6A6"/>
              <w:bottom w:val="single" w:sz="4" w:space="0" w:color="A6A6A6"/>
            </w:tcBorders>
            <w:shd w:val="clear" w:color="auto" w:fill="E7E6E6"/>
            <w:noWrap/>
            <w:hideMark/>
          </w:tcPr>
          <w:p w14:paraId="46906C13" w14:textId="77777777" w:rsidR="00CE75D4" w:rsidRPr="002029AF" w:rsidRDefault="00CE75D4" w:rsidP="008340C1">
            <w:pPr>
              <w:pStyle w:val="ARfintablebodyright"/>
            </w:pPr>
            <w:r w:rsidRPr="009F175A">
              <w:t>3.6</w:t>
            </w:r>
          </w:p>
        </w:tc>
        <w:tc>
          <w:tcPr>
            <w:tcW w:w="1133" w:type="dxa"/>
            <w:tcBorders>
              <w:top w:val="single" w:sz="4" w:space="0" w:color="A6A6A6"/>
              <w:bottom w:val="single" w:sz="4" w:space="0" w:color="A6A6A6"/>
            </w:tcBorders>
            <w:noWrap/>
            <w:hideMark/>
          </w:tcPr>
          <w:p w14:paraId="2D8EFB1B" w14:textId="77777777" w:rsidR="00CE75D4" w:rsidRPr="002029AF" w:rsidRDefault="00CE75D4" w:rsidP="008340C1">
            <w:pPr>
              <w:pStyle w:val="ARfintablebodyright"/>
            </w:pPr>
            <w:r w:rsidRPr="009F175A">
              <w:t>0.2</w:t>
            </w:r>
          </w:p>
        </w:tc>
      </w:tr>
      <w:tr w:rsidR="00CE75D4" w:rsidRPr="002029AF" w14:paraId="334606C5" w14:textId="77777777" w:rsidTr="00130D1C">
        <w:tc>
          <w:tcPr>
            <w:tcW w:w="9637" w:type="dxa"/>
            <w:gridSpan w:val="3"/>
            <w:tcBorders>
              <w:top w:val="single" w:sz="4" w:space="0" w:color="A6A6A6"/>
              <w:bottom w:val="single" w:sz="4" w:space="0" w:color="A6A6A6"/>
            </w:tcBorders>
            <w:hideMark/>
          </w:tcPr>
          <w:p w14:paraId="0A748604" w14:textId="77777777" w:rsidR="00CE75D4" w:rsidRPr="002029AF" w:rsidRDefault="00CE75D4" w:rsidP="008340C1">
            <w:pPr>
              <w:pStyle w:val="ARfintablebodybold"/>
            </w:pPr>
            <w:r w:rsidRPr="009F175A">
              <w:t>Commonwealth Government</w:t>
            </w:r>
          </w:p>
        </w:tc>
      </w:tr>
      <w:tr w:rsidR="00CE75D4" w:rsidRPr="002029AF" w14:paraId="6070D94D" w14:textId="77777777" w:rsidTr="00860E95">
        <w:tc>
          <w:tcPr>
            <w:tcW w:w="7371" w:type="dxa"/>
            <w:tcBorders>
              <w:top w:val="single" w:sz="4" w:space="0" w:color="A6A6A6"/>
              <w:bottom w:val="single" w:sz="4" w:space="0" w:color="A6A6A6"/>
            </w:tcBorders>
            <w:hideMark/>
          </w:tcPr>
          <w:p w14:paraId="207E79B4" w14:textId="77777777" w:rsidR="00CE75D4" w:rsidRPr="002029AF" w:rsidRDefault="00CE75D4" w:rsidP="008340C1">
            <w:pPr>
              <w:pStyle w:val="ARfintablebody"/>
            </w:pPr>
            <w:r>
              <w:t>Victorian State Pool Accoun</w:t>
            </w:r>
            <w:r w:rsidRPr="00684380">
              <w:t xml:space="preserve">t </w:t>
            </w:r>
            <w:r w:rsidRPr="00B92C8F">
              <w:rPr>
                <w:rStyle w:val="Superscript"/>
              </w:rPr>
              <w:t>(</w:t>
            </w:r>
            <w:r>
              <w:rPr>
                <w:rStyle w:val="Superscript"/>
              </w:rPr>
              <w:t>i</w:t>
            </w:r>
            <w:r w:rsidRPr="00B92C8F">
              <w:rPr>
                <w:rStyle w:val="Superscript"/>
              </w:rPr>
              <w:t>i)</w:t>
            </w:r>
          </w:p>
        </w:tc>
        <w:tc>
          <w:tcPr>
            <w:tcW w:w="1133" w:type="dxa"/>
            <w:tcBorders>
              <w:top w:val="single" w:sz="4" w:space="0" w:color="A6A6A6"/>
              <w:bottom w:val="single" w:sz="4" w:space="0" w:color="A6A6A6"/>
            </w:tcBorders>
            <w:shd w:val="clear" w:color="auto" w:fill="E7E6E6"/>
            <w:noWrap/>
            <w:hideMark/>
          </w:tcPr>
          <w:p w14:paraId="2F0FA278" w14:textId="77777777" w:rsidR="00CE75D4" w:rsidRPr="002029AF" w:rsidRDefault="00CE75D4" w:rsidP="008340C1">
            <w:pPr>
              <w:pStyle w:val="ARfintablebodyright"/>
            </w:pPr>
            <w:r w:rsidRPr="009F175A">
              <w:t>3,663.5</w:t>
            </w:r>
          </w:p>
        </w:tc>
        <w:tc>
          <w:tcPr>
            <w:tcW w:w="1133" w:type="dxa"/>
            <w:tcBorders>
              <w:top w:val="single" w:sz="4" w:space="0" w:color="A6A6A6"/>
              <w:bottom w:val="single" w:sz="4" w:space="0" w:color="A6A6A6"/>
            </w:tcBorders>
            <w:noWrap/>
            <w:hideMark/>
          </w:tcPr>
          <w:p w14:paraId="05D8924A" w14:textId="77777777" w:rsidR="00CE75D4" w:rsidRPr="002029AF" w:rsidRDefault="00CE75D4" w:rsidP="008340C1">
            <w:pPr>
              <w:pStyle w:val="ARfintablebodyright"/>
            </w:pPr>
            <w:r w:rsidRPr="009F175A">
              <w:t>2,170.6</w:t>
            </w:r>
          </w:p>
        </w:tc>
      </w:tr>
      <w:tr w:rsidR="00CE75D4" w:rsidRPr="002029AF" w14:paraId="05FE81E5" w14:textId="77777777" w:rsidTr="00130D1C">
        <w:tc>
          <w:tcPr>
            <w:tcW w:w="9637" w:type="dxa"/>
            <w:gridSpan w:val="3"/>
            <w:tcBorders>
              <w:top w:val="single" w:sz="4" w:space="0" w:color="A6A6A6"/>
              <w:bottom w:val="single" w:sz="4" w:space="0" w:color="A6A6A6"/>
            </w:tcBorders>
            <w:hideMark/>
          </w:tcPr>
          <w:p w14:paraId="644D568E" w14:textId="77777777" w:rsidR="00CE75D4" w:rsidRPr="002029AF" w:rsidRDefault="00CE75D4" w:rsidP="008340C1">
            <w:pPr>
              <w:pStyle w:val="ARfintablebodybold"/>
            </w:pPr>
            <w:r w:rsidRPr="009F175A">
              <w:t>Other Australian jurisdictions</w:t>
            </w:r>
          </w:p>
        </w:tc>
      </w:tr>
      <w:tr w:rsidR="00CE75D4" w:rsidRPr="002029AF" w14:paraId="22880F6D" w14:textId="77777777" w:rsidTr="00860E95">
        <w:tc>
          <w:tcPr>
            <w:tcW w:w="7371" w:type="dxa"/>
            <w:tcBorders>
              <w:top w:val="single" w:sz="4" w:space="0" w:color="A6A6A6"/>
            </w:tcBorders>
            <w:hideMark/>
          </w:tcPr>
          <w:p w14:paraId="0FC9EEC8" w14:textId="77777777" w:rsidR="00CE75D4" w:rsidRPr="002029AF" w:rsidRDefault="00CE75D4" w:rsidP="008340C1">
            <w:pPr>
              <w:pStyle w:val="ARfintablebody"/>
            </w:pPr>
            <w:r w:rsidRPr="009F175A">
              <w:t>Departments and agencies from other Australian jurisdictions</w:t>
            </w:r>
          </w:p>
        </w:tc>
        <w:tc>
          <w:tcPr>
            <w:tcW w:w="1133" w:type="dxa"/>
            <w:tcBorders>
              <w:top w:val="single" w:sz="4" w:space="0" w:color="A6A6A6"/>
            </w:tcBorders>
            <w:shd w:val="clear" w:color="auto" w:fill="E7E6E6"/>
            <w:noWrap/>
            <w:hideMark/>
          </w:tcPr>
          <w:p w14:paraId="50DA3829" w14:textId="77777777" w:rsidR="00CE75D4" w:rsidRPr="002029AF" w:rsidRDefault="00CE75D4" w:rsidP="008340C1">
            <w:pPr>
              <w:pStyle w:val="ARfintablebodyright"/>
            </w:pPr>
            <w:r w:rsidRPr="009F175A">
              <w:t>8.1</w:t>
            </w:r>
          </w:p>
        </w:tc>
        <w:tc>
          <w:tcPr>
            <w:tcW w:w="1133" w:type="dxa"/>
            <w:tcBorders>
              <w:top w:val="single" w:sz="4" w:space="0" w:color="A6A6A6"/>
            </w:tcBorders>
            <w:noWrap/>
            <w:hideMark/>
          </w:tcPr>
          <w:p w14:paraId="5EA95E00" w14:textId="77777777" w:rsidR="00CE75D4" w:rsidRPr="002029AF" w:rsidRDefault="00CE75D4" w:rsidP="008340C1">
            <w:pPr>
              <w:pStyle w:val="ARfintablebodyright"/>
            </w:pPr>
            <w:r w:rsidRPr="009F175A">
              <w:t>12.4</w:t>
            </w:r>
          </w:p>
        </w:tc>
      </w:tr>
      <w:tr w:rsidR="00CE75D4" w:rsidRPr="002029AF" w14:paraId="7A5AAAF9" w14:textId="77777777" w:rsidTr="00860E95">
        <w:tc>
          <w:tcPr>
            <w:tcW w:w="7371" w:type="dxa"/>
            <w:hideMark/>
          </w:tcPr>
          <w:p w14:paraId="58C491E0" w14:textId="77777777" w:rsidR="00CE75D4" w:rsidRPr="002029AF" w:rsidRDefault="00CE75D4" w:rsidP="008340C1">
            <w:pPr>
              <w:pStyle w:val="ARfintablebodybold"/>
            </w:pPr>
            <w:r w:rsidRPr="009F175A">
              <w:t>Total grants</w:t>
            </w:r>
          </w:p>
        </w:tc>
        <w:tc>
          <w:tcPr>
            <w:tcW w:w="1133" w:type="dxa"/>
            <w:shd w:val="clear" w:color="auto" w:fill="E7E6E6"/>
            <w:noWrap/>
            <w:hideMark/>
          </w:tcPr>
          <w:p w14:paraId="081D30F2" w14:textId="77777777" w:rsidR="00CE75D4" w:rsidRPr="002029AF" w:rsidRDefault="00CE75D4" w:rsidP="008340C1">
            <w:pPr>
              <w:pStyle w:val="ARfintablebodyrightbold"/>
            </w:pPr>
            <w:r w:rsidRPr="009F175A">
              <w:t>3,893.0</w:t>
            </w:r>
          </w:p>
        </w:tc>
        <w:tc>
          <w:tcPr>
            <w:tcW w:w="1133" w:type="dxa"/>
            <w:noWrap/>
            <w:hideMark/>
          </w:tcPr>
          <w:p w14:paraId="62EB5CF9" w14:textId="77777777" w:rsidR="00CE75D4" w:rsidRPr="002029AF" w:rsidRDefault="00CE75D4" w:rsidP="008340C1">
            <w:pPr>
              <w:pStyle w:val="ARfintablebodyrightbold"/>
            </w:pPr>
            <w:r w:rsidRPr="009F175A">
              <w:t>2,549.2</w:t>
            </w:r>
          </w:p>
        </w:tc>
      </w:tr>
    </w:tbl>
    <w:p w14:paraId="035E0F97" w14:textId="77777777" w:rsidR="00CE75D4" w:rsidRDefault="00CE75D4" w:rsidP="008340C1">
      <w:pPr>
        <w:pStyle w:val="ARfintablefootnote"/>
      </w:pPr>
      <w:bookmarkStart w:id="527" w:name="_Toc39136695"/>
      <w:r>
        <w:rPr>
          <w:lang w:eastAsia="en-AU"/>
        </w:rPr>
        <w:t>Notes:</w:t>
      </w:r>
    </w:p>
    <w:p w14:paraId="4A88D45E" w14:textId="77777777" w:rsidR="00CE75D4" w:rsidRDefault="00CE75D4" w:rsidP="00817CFB">
      <w:pPr>
        <w:pStyle w:val="ARfintablefootnoteindent"/>
        <w:numPr>
          <w:ilvl w:val="0"/>
          <w:numId w:val="32"/>
        </w:numPr>
        <w:spacing w:before="40" w:after="40"/>
        <w:ind w:left="284" w:hanging="295"/>
      </w:pPr>
      <w:r>
        <w:t>Negative balance due to credit memos issued in 2021–22 for invoices that were primarily issued in 2020–21.</w:t>
      </w:r>
    </w:p>
    <w:p w14:paraId="7E48030B" w14:textId="77777777" w:rsidR="00CE75D4" w:rsidRDefault="00CE75D4" w:rsidP="00817CFB">
      <w:pPr>
        <w:pStyle w:val="ARfintablefootnoteindent"/>
        <w:numPr>
          <w:ilvl w:val="0"/>
          <w:numId w:val="32"/>
        </w:numPr>
        <w:spacing w:before="40" w:after="40"/>
        <w:ind w:left="284" w:hanging="295"/>
      </w:pPr>
      <w:r>
        <w:t>In</w:t>
      </w:r>
      <w:r w:rsidRPr="008B32D8">
        <w:t>cludes funding through the National Partnership on COVID-19 Response of $2.0 billion in 2022 (2021: $1.0 billion).</w:t>
      </w:r>
    </w:p>
    <w:p w14:paraId="2BA9C897" w14:textId="77777777" w:rsidR="00CE75D4" w:rsidRDefault="00CE75D4" w:rsidP="008340C1">
      <w:pPr>
        <w:pStyle w:val="Heading6"/>
        <w:rPr>
          <w:szCs w:val="20"/>
          <w:lang w:eastAsia="en-AU"/>
        </w:rPr>
      </w:pPr>
      <w:r>
        <w:rPr>
          <w:lang w:eastAsia="en-AU"/>
        </w:rPr>
        <w:t>Significant judgement: Grants revenue and income</w:t>
      </w:r>
    </w:p>
    <w:p w14:paraId="2B810B9E" w14:textId="77777777" w:rsidR="00CE75D4" w:rsidRDefault="00CE75D4" w:rsidP="008340C1">
      <w:pPr>
        <w:pStyle w:val="ARfinbody"/>
      </w:pPr>
      <w:r>
        <w:t>The department has made judgement on the recognition of grants revenue and income as income of not-for-profit entities where they do not contain sufficiently specific performance obligations. Revenue from grants that are enforceable and with sufficiently specific performance obligations and accounted for as revenue from contracts with customers is recognised when the department satisfies the performance obligation by providing the relevant services to the agencies. Income from grants to construct the capital assets that are controlled by the department is recognised progressively as the asset is constructed. The progressive percentage costs incurred are used to recognise income because these most closely reflect the progress to completion as costs are incurred as the works are done.</w:t>
      </w:r>
    </w:p>
    <w:p w14:paraId="10A7802C" w14:textId="77777777" w:rsidR="00CE75D4" w:rsidRDefault="00CE75D4" w:rsidP="008340C1">
      <w:pPr>
        <w:pStyle w:val="Heading6"/>
      </w:pPr>
      <w:r>
        <w:rPr>
          <w:lang w:eastAsia="en-AU"/>
        </w:rPr>
        <w:t xml:space="preserve">Grants recognised under AASB 1058 </w:t>
      </w:r>
      <w:r w:rsidRPr="00BA58F8">
        <w:rPr>
          <w:rStyle w:val="Emphasis"/>
        </w:rPr>
        <w:t>Income of Not-for-Profit Entities</w:t>
      </w:r>
    </w:p>
    <w:p w14:paraId="04ECCE50" w14:textId="77777777" w:rsidR="00CE75D4" w:rsidRDefault="00CE75D4" w:rsidP="008340C1">
      <w:pPr>
        <w:pStyle w:val="ARfinbody"/>
      </w:pPr>
      <w:r>
        <w:t>The department has determined that the grant income included in the table above under AASB 1058 has been earned under arrangements that are either not enforceable and/or linked to sufficiently specific performance obligations.</w:t>
      </w:r>
    </w:p>
    <w:p w14:paraId="0BB37AA1" w14:textId="2D7BA21E" w:rsidR="00CE75D4" w:rsidRDefault="00CE75D4" w:rsidP="008340C1">
      <w:pPr>
        <w:pStyle w:val="ARfinbody"/>
      </w:pPr>
      <w:r>
        <w:t>Income from grants without any sufficiently specific performance obligations, or that are not enforceable, is recognised when the department has an unconditional right to receive the cash, which usually coincides with receipt of cash. On initial recognition of the asset, the department recognises any related contributions by owners, increases in liabilities, decreases in assets, and revenue (</w:t>
      </w:r>
      <w:r w:rsidDel="008114B3">
        <w:t>‘</w:t>
      </w:r>
      <w:r>
        <w:t>related amounts</w:t>
      </w:r>
      <w:r w:rsidDel="008114B3">
        <w:t>’</w:t>
      </w:r>
      <w:r>
        <w:t xml:space="preserve">) in accordance with other </w:t>
      </w:r>
      <w:r w:rsidRPr="00044525">
        <w:t>Australian Accounting Standards.</w:t>
      </w:r>
      <w:r>
        <w:t xml:space="preserve"> Related amounts may take the form of:</w:t>
      </w:r>
    </w:p>
    <w:p w14:paraId="7F74225D" w14:textId="77777777" w:rsidR="00CE75D4" w:rsidRPr="007A5FA8" w:rsidRDefault="00CE75D4" w:rsidP="00CE75D4">
      <w:pPr>
        <w:pStyle w:val="ARfinnumberalpha1"/>
      </w:pPr>
      <w:r>
        <w:t>cont</w:t>
      </w:r>
      <w:r w:rsidRPr="007A5FA8">
        <w:t xml:space="preserve">ributions by owners, in accordance with AASB 1004 </w:t>
      </w:r>
      <w:r w:rsidRPr="00FC7AAB">
        <w:rPr>
          <w:rStyle w:val="Emphasis"/>
        </w:rPr>
        <w:t>Contributions</w:t>
      </w:r>
    </w:p>
    <w:p w14:paraId="25574C9D" w14:textId="77777777" w:rsidR="00CE75D4" w:rsidRPr="007A5FA8" w:rsidRDefault="00CE75D4" w:rsidP="00CE75D4">
      <w:pPr>
        <w:pStyle w:val="ARfinnumberalpha1"/>
      </w:pPr>
      <w:r w:rsidRPr="007A5FA8">
        <w:t>revenue or a contract liability arising from a contract with a customer, in accordance with AASB 15</w:t>
      </w:r>
      <w:r w:rsidRPr="00FC7AAB">
        <w:rPr>
          <w:rStyle w:val="Emphasis"/>
        </w:rPr>
        <w:t xml:space="preserve"> Revenue from Contracts with Customers</w:t>
      </w:r>
    </w:p>
    <w:p w14:paraId="2122DC0F" w14:textId="77777777" w:rsidR="00CE75D4" w:rsidRPr="007A5FA8" w:rsidRDefault="00CE75D4" w:rsidP="00CE75D4">
      <w:pPr>
        <w:pStyle w:val="ARfinnumberalpha1"/>
      </w:pPr>
      <w:r w:rsidRPr="007A5FA8">
        <w:t xml:space="preserve">a lease liability, in accordance with AASB 16 </w:t>
      </w:r>
      <w:r w:rsidRPr="00FC7AAB">
        <w:rPr>
          <w:rStyle w:val="Emphasis"/>
        </w:rPr>
        <w:t>Leases</w:t>
      </w:r>
    </w:p>
    <w:p w14:paraId="5160E7B1" w14:textId="77777777" w:rsidR="00CE75D4" w:rsidRPr="007A5FA8" w:rsidRDefault="00CE75D4" w:rsidP="00CE75D4">
      <w:pPr>
        <w:pStyle w:val="ARfinnumberalpha1"/>
      </w:pPr>
      <w:r w:rsidRPr="007A5FA8">
        <w:t xml:space="preserve">a financial instrument, in accordance with AASB 9 </w:t>
      </w:r>
      <w:r w:rsidRPr="00FC7AAB">
        <w:rPr>
          <w:rStyle w:val="Emphasis"/>
        </w:rPr>
        <w:t>Financial Instruments</w:t>
      </w:r>
      <w:r w:rsidRPr="007A5FA8">
        <w:t>, or</w:t>
      </w:r>
    </w:p>
    <w:p w14:paraId="0DA54CA4" w14:textId="77777777" w:rsidR="00CE75D4" w:rsidRDefault="00CE75D4" w:rsidP="00CE75D4">
      <w:pPr>
        <w:pStyle w:val="ARfinnumberalpha1"/>
      </w:pPr>
      <w:r w:rsidRPr="007A5FA8">
        <w:t>a provision, in a</w:t>
      </w:r>
      <w:r>
        <w:t>ccordance with AASB 137</w:t>
      </w:r>
      <w:r w:rsidRPr="00326B00">
        <w:t xml:space="preserve"> </w:t>
      </w:r>
      <w:r w:rsidRPr="00BA58F8">
        <w:rPr>
          <w:rStyle w:val="Emphasis"/>
        </w:rPr>
        <w:t>Provisions, Contingent Liabilities and Contingent Assets</w:t>
      </w:r>
      <w:r>
        <w:t>.</w:t>
      </w:r>
    </w:p>
    <w:p w14:paraId="1979F32B" w14:textId="77777777" w:rsidR="00CE75D4" w:rsidRDefault="00CE75D4" w:rsidP="008340C1">
      <w:pPr>
        <w:pStyle w:val="Heading6"/>
      </w:pPr>
      <w:r>
        <w:rPr>
          <w:lang w:eastAsia="en-AU"/>
        </w:rPr>
        <w:t xml:space="preserve">Grants recognised under AASB 15 </w:t>
      </w:r>
      <w:r w:rsidRPr="00BA58F8">
        <w:rPr>
          <w:rStyle w:val="Emphasis"/>
        </w:rPr>
        <w:t>Revenue from Contracts with Customers</w:t>
      </w:r>
    </w:p>
    <w:p w14:paraId="767265F3" w14:textId="55447865" w:rsidR="00CE75D4" w:rsidRDefault="00CE75D4" w:rsidP="008340C1">
      <w:pPr>
        <w:pStyle w:val="ARfinbody"/>
      </w:pPr>
      <w:r>
        <w:t xml:space="preserve">Revenue from grants that are enforceable and with sufficiently specific performance obligations </w:t>
      </w:r>
      <w:r w:rsidR="00E73D87">
        <w:t xml:space="preserve">is </w:t>
      </w:r>
      <w:r>
        <w:t>accounted for as revenue from contracts with customers under AASB 15. Revenue is recognised when the department satisfies the performance obligation by providing the relevant services to the relevant organisations. This is recognised based on the consideration specified in the funding agreement and to the extent that it is highly probable a significant reversal of the revenue will not occur. The funding payments are normally received in advance or shortly after the relevant obligation is satisfied.</w:t>
      </w:r>
    </w:p>
    <w:p w14:paraId="1DBE175C" w14:textId="77777777" w:rsidR="00CE75D4" w:rsidRPr="002029AF" w:rsidRDefault="00CE75D4" w:rsidP="00087B91">
      <w:pPr>
        <w:pStyle w:val="Heading5"/>
      </w:pPr>
      <w:bookmarkStart w:id="528" w:name="_Toc85121372"/>
      <w:bookmarkEnd w:id="527"/>
      <w:r>
        <w:t xml:space="preserve">2.4.4 </w:t>
      </w:r>
      <w:r w:rsidRPr="00836535">
        <w:t>Fair value of assets and services received free of charge or for nominal consideration</w:t>
      </w:r>
      <w:bookmarkEnd w:id="528"/>
    </w:p>
    <w:tbl>
      <w:tblPr>
        <w:tblStyle w:val="TableGrid"/>
        <w:tblW w:w="9637" w:type="dxa"/>
        <w:tblLayout w:type="fixed"/>
        <w:tblLook w:val="06A0" w:firstRow="1" w:lastRow="0" w:firstColumn="1" w:lastColumn="0" w:noHBand="1" w:noVBand="1"/>
      </w:tblPr>
      <w:tblGrid>
        <w:gridCol w:w="7369"/>
        <w:gridCol w:w="1134"/>
        <w:gridCol w:w="1134"/>
      </w:tblGrid>
      <w:tr w:rsidR="00CE75D4" w:rsidRPr="002029AF" w14:paraId="63295EC3"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2092F678" w14:textId="77777777" w:rsidR="00CE75D4" w:rsidRPr="002029AF" w:rsidRDefault="00CE75D4" w:rsidP="008340C1">
            <w:pPr>
              <w:pStyle w:val="ARfintablecolhead"/>
            </w:pPr>
          </w:p>
        </w:tc>
        <w:tc>
          <w:tcPr>
            <w:tcW w:w="1134" w:type="dxa"/>
            <w:tcBorders>
              <w:bottom w:val="single" w:sz="4" w:space="0" w:color="auto"/>
            </w:tcBorders>
            <w:shd w:val="clear" w:color="auto" w:fill="E7E6E6"/>
            <w:hideMark/>
          </w:tcPr>
          <w:p w14:paraId="41062F76" w14:textId="77777777" w:rsidR="00CE75D4" w:rsidRPr="002029AF" w:rsidRDefault="00CE75D4" w:rsidP="008340C1">
            <w:pPr>
              <w:pStyle w:val="ARfintablecolheadright"/>
            </w:pPr>
            <w:r w:rsidRPr="002029AF">
              <w:t>202</w:t>
            </w:r>
            <w:r>
              <w:t>2</w:t>
            </w:r>
          </w:p>
          <w:p w14:paraId="2557A1DA" w14:textId="77777777" w:rsidR="00CE75D4" w:rsidRPr="002029AF" w:rsidRDefault="00CE75D4" w:rsidP="008340C1">
            <w:pPr>
              <w:pStyle w:val="ARfintablecolheadright"/>
            </w:pPr>
            <w:r w:rsidRPr="002029AF">
              <w:t>$M</w:t>
            </w:r>
          </w:p>
        </w:tc>
        <w:tc>
          <w:tcPr>
            <w:tcW w:w="1134" w:type="dxa"/>
            <w:tcBorders>
              <w:bottom w:val="single" w:sz="4" w:space="0" w:color="auto"/>
            </w:tcBorders>
            <w:hideMark/>
          </w:tcPr>
          <w:p w14:paraId="2DE8F5D3" w14:textId="77777777" w:rsidR="00CE75D4" w:rsidRPr="002029AF" w:rsidRDefault="00CE75D4" w:rsidP="008340C1">
            <w:pPr>
              <w:pStyle w:val="ARfintablecolheadright"/>
            </w:pPr>
            <w:r>
              <w:t>2021</w:t>
            </w:r>
          </w:p>
          <w:p w14:paraId="5D2B5A05" w14:textId="77777777" w:rsidR="00CE75D4" w:rsidRPr="002029AF" w:rsidRDefault="00CE75D4" w:rsidP="008340C1">
            <w:pPr>
              <w:pStyle w:val="ARfintablecolheadright"/>
            </w:pPr>
            <w:r w:rsidRPr="002029AF">
              <w:t>$M</w:t>
            </w:r>
          </w:p>
        </w:tc>
      </w:tr>
      <w:tr w:rsidR="00CE75D4" w:rsidRPr="002029AF" w14:paraId="55B231F2" w14:textId="77777777" w:rsidTr="00130D1C">
        <w:tc>
          <w:tcPr>
            <w:tcW w:w="7369" w:type="dxa"/>
            <w:tcBorders>
              <w:top w:val="single" w:sz="4" w:space="0" w:color="A6A6A6"/>
              <w:bottom w:val="single" w:sz="4" w:space="0" w:color="A6A6A6"/>
            </w:tcBorders>
            <w:hideMark/>
          </w:tcPr>
          <w:p w14:paraId="45253CBA" w14:textId="77777777" w:rsidR="00CE75D4" w:rsidRPr="002029AF" w:rsidRDefault="00CE75D4" w:rsidP="008340C1">
            <w:pPr>
              <w:pStyle w:val="ARfintablebody"/>
            </w:pPr>
            <w:r w:rsidRPr="00E30CEE">
              <w:t>Plant and equipment received at fair value</w:t>
            </w:r>
          </w:p>
        </w:tc>
        <w:tc>
          <w:tcPr>
            <w:tcW w:w="1134" w:type="dxa"/>
            <w:tcBorders>
              <w:top w:val="single" w:sz="4" w:space="0" w:color="A6A6A6"/>
              <w:bottom w:val="single" w:sz="4" w:space="0" w:color="A6A6A6"/>
            </w:tcBorders>
            <w:shd w:val="clear" w:color="auto" w:fill="E7E6E6"/>
            <w:noWrap/>
            <w:hideMark/>
          </w:tcPr>
          <w:p w14:paraId="409775E6" w14:textId="77777777" w:rsidR="00CE75D4" w:rsidRPr="002029AF" w:rsidRDefault="00CE75D4" w:rsidP="008340C1">
            <w:pPr>
              <w:pStyle w:val="ARfintablebodyright"/>
            </w:pPr>
            <w:r w:rsidRPr="00E30CEE">
              <w:t>0.3</w:t>
            </w:r>
          </w:p>
        </w:tc>
        <w:tc>
          <w:tcPr>
            <w:tcW w:w="1134" w:type="dxa"/>
            <w:tcBorders>
              <w:top w:val="single" w:sz="4" w:space="0" w:color="A6A6A6"/>
              <w:bottom w:val="single" w:sz="4" w:space="0" w:color="A6A6A6"/>
            </w:tcBorders>
            <w:noWrap/>
            <w:hideMark/>
          </w:tcPr>
          <w:p w14:paraId="0D92D997" w14:textId="77777777" w:rsidR="00CE75D4" w:rsidRPr="002029AF" w:rsidRDefault="00CE75D4" w:rsidP="008340C1">
            <w:pPr>
              <w:pStyle w:val="ARfintablebodyright"/>
            </w:pPr>
            <w:r w:rsidRPr="00E30CEE">
              <w:t>0.3</w:t>
            </w:r>
          </w:p>
        </w:tc>
      </w:tr>
      <w:tr w:rsidR="00CE75D4" w:rsidRPr="002029AF" w14:paraId="0CC9FF88" w14:textId="77777777" w:rsidTr="00130D1C">
        <w:tc>
          <w:tcPr>
            <w:tcW w:w="7369" w:type="dxa"/>
            <w:tcBorders>
              <w:top w:val="single" w:sz="4" w:space="0" w:color="A6A6A6"/>
              <w:bottom w:val="single" w:sz="4" w:space="0" w:color="A6A6A6"/>
            </w:tcBorders>
          </w:tcPr>
          <w:p w14:paraId="303304AE" w14:textId="77777777" w:rsidR="00CE75D4" w:rsidRPr="00E30CEE" w:rsidRDefault="00CE75D4" w:rsidP="008340C1">
            <w:pPr>
              <w:pStyle w:val="ARfintablebody"/>
            </w:pPr>
            <w:r>
              <w:t>Other assets received free of charge</w:t>
            </w:r>
          </w:p>
        </w:tc>
        <w:tc>
          <w:tcPr>
            <w:tcW w:w="1134" w:type="dxa"/>
            <w:tcBorders>
              <w:top w:val="single" w:sz="4" w:space="0" w:color="A6A6A6"/>
              <w:bottom w:val="single" w:sz="4" w:space="0" w:color="A6A6A6"/>
            </w:tcBorders>
            <w:shd w:val="clear" w:color="auto" w:fill="E7E6E6"/>
            <w:noWrap/>
          </w:tcPr>
          <w:p w14:paraId="3047530A" w14:textId="77777777" w:rsidR="00CE75D4" w:rsidRPr="00E30CEE" w:rsidRDefault="00CE75D4" w:rsidP="008340C1">
            <w:pPr>
              <w:pStyle w:val="ARfintablebodyright"/>
            </w:pPr>
            <w:r>
              <w:t>1.5</w:t>
            </w:r>
          </w:p>
        </w:tc>
        <w:tc>
          <w:tcPr>
            <w:tcW w:w="1134" w:type="dxa"/>
            <w:tcBorders>
              <w:top w:val="single" w:sz="4" w:space="0" w:color="A6A6A6"/>
              <w:bottom w:val="single" w:sz="4" w:space="0" w:color="A6A6A6"/>
            </w:tcBorders>
            <w:noWrap/>
          </w:tcPr>
          <w:p w14:paraId="3B497994" w14:textId="77777777" w:rsidR="00CE75D4" w:rsidRPr="00E30CEE" w:rsidRDefault="00CE75D4" w:rsidP="008340C1">
            <w:pPr>
              <w:pStyle w:val="ARfintablebodyright"/>
            </w:pPr>
            <w:r>
              <w:t>–</w:t>
            </w:r>
          </w:p>
        </w:tc>
      </w:tr>
      <w:tr w:rsidR="00CE75D4" w:rsidRPr="002029AF" w14:paraId="413EB5A2" w14:textId="77777777" w:rsidTr="00130D1C">
        <w:tc>
          <w:tcPr>
            <w:tcW w:w="7369" w:type="dxa"/>
            <w:tcBorders>
              <w:top w:val="single" w:sz="4" w:space="0" w:color="A6A6A6"/>
            </w:tcBorders>
            <w:hideMark/>
          </w:tcPr>
          <w:p w14:paraId="3C5CB2F0" w14:textId="77777777" w:rsidR="00CE75D4" w:rsidRPr="002029AF" w:rsidRDefault="00CE75D4" w:rsidP="008340C1">
            <w:pPr>
              <w:pStyle w:val="ARfintablebody"/>
            </w:pPr>
            <w:r w:rsidRPr="00E30CEE">
              <w:t xml:space="preserve">Resources received free of charge </w:t>
            </w:r>
            <w:r w:rsidRPr="00477775">
              <w:rPr>
                <w:rStyle w:val="Superscript"/>
              </w:rPr>
              <w:t>(i)</w:t>
            </w:r>
          </w:p>
        </w:tc>
        <w:tc>
          <w:tcPr>
            <w:tcW w:w="1134" w:type="dxa"/>
            <w:tcBorders>
              <w:top w:val="single" w:sz="4" w:space="0" w:color="A6A6A6"/>
            </w:tcBorders>
            <w:shd w:val="clear" w:color="auto" w:fill="E7E6E6"/>
            <w:noWrap/>
            <w:hideMark/>
          </w:tcPr>
          <w:p w14:paraId="4B49734F" w14:textId="77777777" w:rsidR="00CE75D4" w:rsidRPr="002029AF" w:rsidRDefault="00CE75D4" w:rsidP="008340C1">
            <w:pPr>
              <w:pStyle w:val="ARfintablebodyright"/>
            </w:pPr>
            <w:r w:rsidRPr="00E30CEE">
              <w:t>27.9</w:t>
            </w:r>
          </w:p>
        </w:tc>
        <w:tc>
          <w:tcPr>
            <w:tcW w:w="1134" w:type="dxa"/>
            <w:tcBorders>
              <w:top w:val="single" w:sz="4" w:space="0" w:color="A6A6A6"/>
            </w:tcBorders>
            <w:noWrap/>
            <w:hideMark/>
          </w:tcPr>
          <w:p w14:paraId="5BD97A89" w14:textId="77777777" w:rsidR="00CE75D4" w:rsidRPr="002029AF" w:rsidRDefault="00CE75D4" w:rsidP="008340C1">
            <w:pPr>
              <w:pStyle w:val="ARfintablebodyright"/>
            </w:pPr>
            <w:r w:rsidRPr="00E30CEE">
              <w:t>0.3</w:t>
            </w:r>
          </w:p>
        </w:tc>
      </w:tr>
      <w:tr w:rsidR="00CE75D4" w:rsidRPr="002029AF" w14:paraId="333F6C05" w14:textId="77777777" w:rsidTr="00130D1C">
        <w:tc>
          <w:tcPr>
            <w:tcW w:w="7369" w:type="dxa"/>
            <w:hideMark/>
          </w:tcPr>
          <w:p w14:paraId="1DCAD5DB" w14:textId="77777777" w:rsidR="00CE75D4" w:rsidRPr="002029AF" w:rsidRDefault="00CE75D4" w:rsidP="008340C1">
            <w:pPr>
              <w:pStyle w:val="ARfintablebodybold"/>
            </w:pPr>
            <w:r w:rsidRPr="00E30CEE">
              <w:t xml:space="preserve">Total fair value of assets and services received free of charge </w:t>
            </w:r>
            <w:r>
              <w:br/>
            </w:r>
            <w:r w:rsidRPr="00E30CEE">
              <w:t>or for nominal consideration</w:t>
            </w:r>
          </w:p>
        </w:tc>
        <w:tc>
          <w:tcPr>
            <w:tcW w:w="1134" w:type="dxa"/>
            <w:shd w:val="clear" w:color="auto" w:fill="E7E6E6"/>
            <w:noWrap/>
            <w:hideMark/>
          </w:tcPr>
          <w:p w14:paraId="097AE969" w14:textId="77777777" w:rsidR="00CE75D4" w:rsidRPr="002029AF" w:rsidRDefault="00CE75D4" w:rsidP="008340C1">
            <w:pPr>
              <w:pStyle w:val="ARfintablebodyrightbold"/>
            </w:pPr>
            <w:r w:rsidRPr="00E30CEE">
              <w:t>29.7</w:t>
            </w:r>
          </w:p>
        </w:tc>
        <w:tc>
          <w:tcPr>
            <w:tcW w:w="1134" w:type="dxa"/>
            <w:noWrap/>
            <w:hideMark/>
          </w:tcPr>
          <w:p w14:paraId="4B59131F" w14:textId="77777777" w:rsidR="00CE75D4" w:rsidRPr="002029AF" w:rsidRDefault="00CE75D4" w:rsidP="008340C1">
            <w:pPr>
              <w:pStyle w:val="ARfintablebodyrightbold"/>
            </w:pPr>
            <w:r w:rsidRPr="00E30CEE">
              <w:t>0.6</w:t>
            </w:r>
          </w:p>
        </w:tc>
      </w:tr>
    </w:tbl>
    <w:p w14:paraId="231FDAE7" w14:textId="77777777" w:rsidR="00CE75D4" w:rsidRDefault="00CE75D4" w:rsidP="008340C1">
      <w:pPr>
        <w:pStyle w:val="ARfintablefootnote"/>
      </w:pPr>
      <w:bookmarkStart w:id="529" w:name="_Toc39136696"/>
      <w:r>
        <w:rPr>
          <w:lang w:eastAsia="en-AU"/>
        </w:rPr>
        <w:t>Note:</w:t>
      </w:r>
    </w:p>
    <w:p w14:paraId="181D96A7" w14:textId="6104FEAD" w:rsidR="00CE75D4" w:rsidRDefault="00CE75D4" w:rsidP="008340C1">
      <w:pPr>
        <w:pStyle w:val="ARfintablefootnoteindent"/>
      </w:pPr>
      <w:r>
        <w:t>(i)</w:t>
      </w:r>
      <w:r>
        <w:tab/>
        <w:t xml:space="preserve">Received $27.9 million for the rapid antigen test (RAT) kits from the Victorian </w:t>
      </w:r>
      <w:r w:rsidR="70FF4855">
        <w:t>Government</w:t>
      </w:r>
      <w:r>
        <w:t xml:space="preserve"> as part of COVID-19 State Supply Arrangement.</w:t>
      </w:r>
    </w:p>
    <w:p w14:paraId="42294A20" w14:textId="77777777" w:rsidR="00CE75D4" w:rsidRDefault="00CE75D4" w:rsidP="008340C1">
      <w:pPr>
        <w:pStyle w:val="ARfinbodyaftertable"/>
      </w:pPr>
      <w:r>
        <w:rPr>
          <w:rStyle w:val="Strong"/>
        </w:rPr>
        <w:t>Contributions of resources received free of charge or for nominal consideration</w:t>
      </w:r>
      <w:r>
        <w:t xml:space="preserve"> are recognised at their fair value when control is obtained over them, irrespective of whether these contributions are subject to restrictions or conditions over their use, unless received from another government department or agency as a consequence of a restructuring of administrative arrangements. In the latter case, such a transfer is recognised at its carrying value.</w:t>
      </w:r>
    </w:p>
    <w:p w14:paraId="450D9613" w14:textId="77777777" w:rsidR="00CE75D4" w:rsidRDefault="00CE75D4" w:rsidP="008340C1">
      <w:pPr>
        <w:pStyle w:val="ARfinbody"/>
      </w:pPr>
      <w:r>
        <w:rPr>
          <w:rStyle w:val="Strong"/>
        </w:rPr>
        <w:t>Voluntary services:</w:t>
      </w:r>
      <w:r>
        <w:t xml:space="preserve"> Contributions in the form of services are only recognised when a fair value can be reliably determined and the services would have been purchased if not received as a donation. The department did not receive any voluntary services and does not use volunteers to deliver its services.</w:t>
      </w:r>
    </w:p>
    <w:p w14:paraId="354338AF" w14:textId="77777777" w:rsidR="00CE75D4" w:rsidRPr="00E51489" w:rsidRDefault="00CE75D4" w:rsidP="008340C1">
      <w:pPr>
        <w:pStyle w:val="ARbody"/>
      </w:pPr>
      <w:bookmarkStart w:id="530" w:name="_Toc85121373"/>
      <w:r w:rsidRPr="00E51489">
        <w:br w:type="page"/>
      </w:r>
    </w:p>
    <w:p w14:paraId="6EE26CFC" w14:textId="77777777" w:rsidR="00CE75D4" w:rsidRPr="002029AF" w:rsidRDefault="00CE75D4" w:rsidP="00087B91">
      <w:pPr>
        <w:pStyle w:val="Heading5"/>
      </w:pPr>
      <w:r w:rsidRPr="002029AF">
        <w:t>2.4.5 Other income</w:t>
      </w:r>
      <w:bookmarkEnd w:id="529"/>
      <w:bookmarkEnd w:id="530"/>
    </w:p>
    <w:tbl>
      <w:tblPr>
        <w:tblStyle w:val="TableGrid"/>
        <w:tblW w:w="9637" w:type="dxa"/>
        <w:tblLayout w:type="fixed"/>
        <w:tblLook w:val="06A0" w:firstRow="1" w:lastRow="0" w:firstColumn="1" w:lastColumn="0" w:noHBand="1" w:noVBand="1"/>
      </w:tblPr>
      <w:tblGrid>
        <w:gridCol w:w="7371"/>
        <w:gridCol w:w="1133"/>
        <w:gridCol w:w="1133"/>
      </w:tblGrid>
      <w:tr w:rsidR="00CE75D4" w:rsidRPr="002029AF" w14:paraId="5FE89069"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7F7BF076" w14:textId="77777777" w:rsidR="00CE75D4" w:rsidRPr="002029AF" w:rsidRDefault="00CE75D4" w:rsidP="008340C1">
            <w:pPr>
              <w:pStyle w:val="ARfintablecolhead"/>
            </w:pPr>
          </w:p>
        </w:tc>
        <w:tc>
          <w:tcPr>
            <w:tcW w:w="1133" w:type="dxa"/>
            <w:tcBorders>
              <w:bottom w:val="single" w:sz="4" w:space="0" w:color="auto"/>
            </w:tcBorders>
            <w:shd w:val="clear" w:color="auto" w:fill="E7E6E6"/>
            <w:hideMark/>
          </w:tcPr>
          <w:p w14:paraId="50C4D4E1" w14:textId="77777777" w:rsidR="00CE75D4" w:rsidRPr="002029AF" w:rsidRDefault="00CE75D4" w:rsidP="008340C1">
            <w:pPr>
              <w:pStyle w:val="ARfintablecolheadright"/>
            </w:pPr>
            <w:r w:rsidRPr="002029AF">
              <w:t>202</w:t>
            </w:r>
            <w:r>
              <w:t>2</w:t>
            </w:r>
          </w:p>
          <w:p w14:paraId="2A2798E0" w14:textId="77777777" w:rsidR="00CE75D4" w:rsidRPr="002029AF" w:rsidRDefault="00CE75D4" w:rsidP="008340C1">
            <w:pPr>
              <w:pStyle w:val="ARfintablecolheadright"/>
            </w:pPr>
            <w:r w:rsidRPr="002029AF">
              <w:t>$M</w:t>
            </w:r>
          </w:p>
        </w:tc>
        <w:tc>
          <w:tcPr>
            <w:tcW w:w="1133" w:type="dxa"/>
            <w:tcBorders>
              <w:bottom w:val="single" w:sz="4" w:space="0" w:color="auto"/>
            </w:tcBorders>
            <w:hideMark/>
          </w:tcPr>
          <w:p w14:paraId="4C209ABF" w14:textId="77777777" w:rsidR="00CE75D4" w:rsidRPr="002029AF" w:rsidRDefault="00CE75D4" w:rsidP="008340C1">
            <w:pPr>
              <w:pStyle w:val="ARfintablecolheadright"/>
            </w:pPr>
            <w:r>
              <w:t>2021</w:t>
            </w:r>
          </w:p>
          <w:p w14:paraId="19DD7545" w14:textId="77777777" w:rsidR="00CE75D4" w:rsidRPr="002029AF" w:rsidRDefault="00CE75D4" w:rsidP="008340C1">
            <w:pPr>
              <w:pStyle w:val="ARfintablecolheadright"/>
            </w:pPr>
            <w:r w:rsidRPr="002029AF">
              <w:t>$M</w:t>
            </w:r>
          </w:p>
        </w:tc>
      </w:tr>
      <w:tr w:rsidR="00CE75D4" w:rsidRPr="002029AF" w14:paraId="6B09D729" w14:textId="77777777" w:rsidTr="00860E95">
        <w:trPr>
          <w:trHeight w:val="255"/>
        </w:trPr>
        <w:tc>
          <w:tcPr>
            <w:tcW w:w="7371" w:type="dxa"/>
            <w:tcBorders>
              <w:top w:val="single" w:sz="4" w:space="0" w:color="auto"/>
              <w:bottom w:val="single" w:sz="4" w:space="0" w:color="A6A6A6"/>
            </w:tcBorders>
            <w:hideMark/>
          </w:tcPr>
          <w:p w14:paraId="77F8FCC2" w14:textId="77777777" w:rsidR="00CE75D4" w:rsidRPr="002029AF" w:rsidRDefault="00CE75D4" w:rsidP="008340C1">
            <w:pPr>
              <w:pStyle w:val="ARfintablebody"/>
            </w:pPr>
            <w:r w:rsidRPr="00E139CA">
              <w:t xml:space="preserve">State trust accounts </w:t>
            </w:r>
            <w:r w:rsidRPr="00F30000">
              <w:rPr>
                <w:rStyle w:val="Superscript"/>
              </w:rPr>
              <w:t>(i)</w:t>
            </w:r>
          </w:p>
        </w:tc>
        <w:tc>
          <w:tcPr>
            <w:tcW w:w="1133" w:type="dxa"/>
            <w:tcBorders>
              <w:top w:val="single" w:sz="4" w:space="0" w:color="auto"/>
              <w:bottom w:val="single" w:sz="4" w:space="0" w:color="A6A6A6"/>
            </w:tcBorders>
            <w:shd w:val="clear" w:color="auto" w:fill="E7E6E6"/>
            <w:noWrap/>
            <w:hideMark/>
          </w:tcPr>
          <w:p w14:paraId="26059EE8" w14:textId="77777777" w:rsidR="00CE75D4" w:rsidRPr="002029AF" w:rsidRDefault="00CE75D4" w:rsidP="008340C1">
            <w:pPr>
              <w:pStyle w:val="ARfintablebodyright"/>
            </w:pPr>
            <w:r w:rsidRPr="00E139CA">
              <w:t>93.1</w:t>
            </w:r>
          </w:p>
        </w:tc>
        <w:tc>
          <w:tcPr>
            <w:tcW w:w="1133" w:type="dxa"/>
            <w:tcBorders>
              <w:top w:val="single" w:sz="4" w:space="0" w:color="auto"/>
              <w:bottom w:val="single" w:sz="4" w:space="0" w:color="A6A6A6"/>
            </w:tcBorders>
            <w:noWrap/>
            <w:hideMark/>
          </w:tcPr>
          <w:p w14:paraId="40ADEA7F" w14:textId="77777777" w:rsidR="00CE75D4" w:rsidRPr="002029AF" w:rsidRDefault="00CE75D4" w:rsidP="008340C1">
            <w:pPr>
              <w:pStyle w:val="ARfintablebodyright"/>
            </w:pPr>
            <w:r w:rsidRPr="00E139CA">
              <w:t>14.5</w:t>
            </w:r>
          </w:p>
        </w:tc>
      </w:tr>
      <w:tr w:rsidR="00CE75D4" w:rsidRPr="002029AF" w14:paraId="6B3A7189" w14:textId="77777777" w:rsidTr="00860E95">
        <w:trPr>
          <w:trHeight w:val="255"/>
        </w:trPr>
        <w:tc>
          <w:tcPr>
            <w:tcW w:w="7371" w:type="dxa"/>
            <w:tcBorders>
              <w:top w:val="single" w:sz="4" w:space="0" w:color="A6A6A6"/>
            </w:tcBorders>
            <w:hideMark/>
          </w:tcPr>
          <w:p w14:paraId="7390359B" w14:textId="77777777" w:rsidR="00CE75D4" w:rsidRPr="002029AF" w:rsidRDefault="00CE75D4" w:rsidP="008340C1">
            <w:pPr>
              <w:pStyle w:val="ARfintablebody"/>
            </w:pPr>
            <w:r w:rsidRPr="00E139CA">
              <w:t xml:space="preserve">Other miscellaneous income </w:t>
            </w:r>
            <w:r w:rsidRPr="00F30000">
              <w:rPr>
                <w:rStyle w:val="Superscript"/>
              </w:rPr>
              <w:t>(ii)</w:t>
            </w:r>
          </w:p>
        </w:tc>
        <w:tc>
          <w:tcPr>
            <w:tcW w:w="1133" w:type="dxa"/>
            <w:tcBorders>
              <w:top w:val="single" w:sz="4" w:space="0" w:color="A6A6A6"/>
            </w:tcBorders>
            <w:shd w:val="clear" w:color="auto" w:fill="E7E6E6"/>
            <w:noWrap/>
            <w:hideMark/>
          </w:tcPr>
          <w:p w14:paraId="7E6562EE" w14:textId="77777777" w:rsidR="00CE75D4" w:rsidRPr="002029AF" w:rsidRDefault="00CE75D4" w:rsidP="008340C1">
            <w:pPr>
              <w:pStyle w:val="ARfintablebodyright"/>
            </w:pPr>
            <w:r w:rsidRPr="00E139CA">
              <w:t>(1.5)</w:t>
            </w:r>
          </w:p>
        </w:tc>
        <w:tc>
          <w:tcPr>
            <w:tcW w:w="1133" w:type="dxa"/>
            <w:tcBorders>
              <w:top w:val="single" w:sz="4" w:space="0" w:color="A6A6A6"/>
            </w:tcBorders>
            <w:noWrap/>
            <w:hideMark/>
          </w:tcPr>
          <w:p w14:paraId="12914CC2" w14:textId="77777777" w:rsidR="00CE75D4" w:rsidRPr="002029AF" w:rsidRDefault="00CE75D4" w:rsidP="008340C1">
            <w:pPr>
              <w:pStyle w:val="ARfintablebodyright"/>
            </w:pPr>
            <w:r w:rsidRPr="00E139CA">
              <w:t>3.8</w:t>
            </w:r>
          </w:p>
        </w:tc>
      </w:tr>
      <w:tr w:rsidR="00CE75D4" w:rsidRPr="002029AF" w14:paraId="23966FA7" w14:textId="77777777" w:rsidTr="00860E95">
        <w:trPr>
          <w:trHeight w:val="255"/>
        </w:trPr>
        <w:tc>
          <w:tcPr>
            <w:tcW w:w="7371" w:type="dxa"/>
            <w:hideMark/>
          </w:tcPr>
          <w:p w14:paraId="3C22846A" w14:textId="77777777" w:rsidR="00CE75D4" w:rsidRPr="002029AF" w:rsidRDefault="00CE75D4" w:rsidP="008340C1">
            <w:pPr>
              <w:pStyle w:val="ARfintablebodybold"/>
            </w:pPr>
            <w:r w:rsidRPr="00E139CA">
              <w:t>Total other income</w:t>
            </w:r>
          </w:p>
        </w:tc>
        <w:tc>
          <w:tcPr>
            <w:tcW w:w="1133" w:type="dxa"/>
            <w:shd w:val="clear" w:color="auto" w:fill="E7E6E6"/>
            <w:noWrap/>
            <w:hideMark/>
          </w:tcPr>
          <w:p w14:paraId="133EA2B7" w14:textId="77777777" w:rsidR="00CE75D4" w:rsidRPr="002029AF" w:rsidRDefault="00CE75D4" w:rsidP="008340C1">
            <w:pPr>
              <w:pStyle w:val="ARfintablebodyrightbold"/>
            </w:pPr>
            <w:r w:rsidRPr="00E139CA">
              <w:t>91.5</w:t>
            </w:r>
          </w:p>
        </w:tc>
        <w:tc>
          <w:tcPr>
            <w:tcW w:w="1133" w:type="dxa"/>
            <w:noWrap/>
            <w:hideMark/>
          </w:tcPr>
          <w:p w14:paraId="64F4EF8A" w14:textId="77777777" w:rsidR="00CE75D4" w:rsidRPr="002029AF" w:rsidRDefault="00CE75D4" w:rsidP="008340C1">
            <w:pPr>
              <w:pStyle w:val="ARfintablebodyrightbold"/>
            </w:pPr>
            <w:r w:rsidRPr="00E139CA">
              <w:t>18.3</w:t>
            </w:r>
          </w:p>
        </w:tc>
      </w:tr>
    </w:tbl>
    <w:p w14:paraId="5D46306F" w14:textId="77777777" w:rsidR="00CE75D4" w:rsidRDefault="00CE75D4" w:rsidP="008340C1">
      <w:pPr>
        <w:pStyle w:val="ARfintablefootnote"/>
      </w:pPr>
      <w:bookmarkStart w:id="531" w:name="_Toc39136697"/>
      <w:bookmarkStart w:id="532" w:name="_Toc39242136"/>
      <w:r>
        <w:rPr>
          <w:lang w:eastAsia="en-AU"/>
        </w:rPr>
        <w:t>Notes:</w:t>
      </w:r>
    </w:p>
    <w:p w14:paraId="68BCF933" w14:textId="66486652" w:rsidR="00CE75D4" w:rsidRDefault="00CE75D4" w:rsidP="008340C1">
      <w:pPr>
        <w:pStyle w:val="ARfintablefootnoteindent"/>
      </w:pPr>
      <w:r>
        <w:t>(i)</w:t>
      </w:r>
      <w:r>
        <w:tab/>
        <w:t>Includes the reimbursement of shared services provided to</w:t>
      </w:r>
      <w:r w:rsidR="000C63E0">
        <w:t xml:space="preserve"> the</w:t>
      </w:r>
      <w:r>
        <w:t xml:space="preserve"> DFFH.</w:t>
      </w:r>
    </w:p>
    <w:p w14:paraId="34B1026E" w14:textId="77777777" w:rsidR="00CE75D4" w:rsidRDefault="00CE75D4" w:rsidP="008340C1">
      <w:pPr>
        <w:pStyle w:val="ARfintablefootnoteindent"/>
      </w:pPr>
      <w:r>
        <w:t>(ii)</w:t>
      </w:r>
      <w:r>
        <w:tab/>
        <w:t>Negative balance relates to the discount interest on loans and advances to health agencies.</w:t>
      </w:r>
    </w:p>
    <w:p w14:paraId="05B6F4D4" w14:textId="77777777" w:rsidR="00CE75D4" w:rsidRDefault="00CE75D4" w:rsidP="008340C1">
      <w:pPr>
        <w:pStyle w:val="ARfinbodyaftertable"/>
      </w:pPr>
      <w:r>
        <w:rPr>
          <w:rStyle w:val="Strong"/>
        </w:rPr>
        <w:t>Other income</w:t>
      </w:r>
      <w:r>
        <w:t xml:space="preserve"> includes income received from departmental controlled trust funds and is recognised when the department gains control over the funds. It also includes income received from treasury trusts.</w:t>
      </w:r>
    </w:p>
    <w:bookmarkEnd w:id="531"/>
    <w:bookmarkEnd w:id="532"/>
    <w:p w14:paraId="56DB2BB3" w14:textId="77777777" w:rsidR="00CE75D4" w:rsidRDefault="00CE75D4" w:rsidP="008340C1">
      <w:pPr>
        <w:pStyle w:val="Heading4"/>
      </w:pPr>
      <w:r>
        <w:t>2.5 Annotated income agreements</w:t>
      </w:r>
    </w:p>
    <w:p w14:paraId="31286531" w14:textId="77777777" w:rsidR="00CE75D4" w:rsidRDefault="00CE75D4" w:rsidP="008340C1">
      <w:pPr>
        <w:pStyle w:val="ARfinbody"/>
      </w:pPr>
      <w:r>
        <w:t xml:space="preserve">The department is permitted under </w:t>
      </w:r>
      <w:r w:rsidRPr="00A778E3">
        <w:t>s. 29</w:t>
      </w:r>
      <w:r>
        <w:t xml:space="preserve"> of the FMA to have certain income annotated to the annual appropriation. The income which forms part of a s. 29 agreement is recognised by the department and the receipts paid into the consolidated fund as an administered item. At the point of income recognition, s. 29 provides for an equivalent amount to be added to the annual appropriation.</w:t>
      </w:r>
    </w:p>
    <w:p w14:paraId="75BEE99B" w14:textId="77777777" w:rsidR="00CE75D4" w:rsidRPr="002029AF" w:rsidRDefault="00CE75D4" w:rsidP="008340C1">
      <w:pPr>
        <w:pStyle w:val="ARfinbodylargespace"/>
      </w:pPr>
      <w:r>
        <w:t>The following is a listing of annotated income agreements under s. 29 of the FMA approved by the Treasurer:</w:t>
      </w:r>
    </w:p>
    <w:tbl>
      <w:tblPr>
        <w:tblStyle w:val="TableGrid"/>
        <w:tblW w:w="9637" w:type="dxa"/>
        <w:tblLayout w:type="fixed"/>
        <w:tblLook w:val="06A0" w:firstRow="1" w:lastRow="0" w:firstColumn="1" w:lastColumn="0" w:noHBand="1" w:noVBand="1"/>
      </w:tblPr>
      <w:tblGrid>
        <w:gridCol w:w="7371"/>
        <w:gridCol w:w="1133"/>
        <w:gridCol w:w="1133"/>
      </w:tblGrid>
      <w:tr w:rsidR="00CE75D4" w:rsidRPr="002029AF" w14:paraId="6FFDEFF0"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3814D339" w14:textId="77777777" w:rsidR="00CE75D4" w:rsidRPr="002029AF" w:rsidRDefault="00CE75D4" w:rsidP="008340C1">
            <w:pPr>
              <w:pStyle w:val="ARfintablecolhead"/>
              <w:spacing w:before="30"/>
            </w:pPr>
          </w:p>
        </w:tc>
        <w:tc>
          <w:tcPr>
            <w:tcW w:w="1133" w:type="dxa"/>
            <w:tcBorders>
              <w:bottom w:val="single" w:sz="4" w:space="0" w:color="auto"/>
            </w:tcBorders>
            <w:shd w:val="clear" w:color="auto" w:fill="E7E6E6"/>
            <w:hideMark/>
          </w:tcPr>
          <w:p w14:paraId="11F80B8D" w14:textId="77777777" w:rsidR="00CE75D4" w:rsidRPr="002029AF" w:rsidRDefault="00CE75D4" w:rsidP="008340C1">
            <w:pPr>
              <w:pStyle w:val="ARfintablecolheadright"/>
            </w:pPr>
            <w:r w:rsidRPr="002029AF">
              <w:t>202</w:t>
            </w:r>
            <w:r>
              <w:t>2</w:t>
            </w:r>
          </w:p>
          <w:p w14:paraId="73DFCB87" w14:textId="77777777" w:rsidR="00CE75D4" w:rsidRPr="002029AF" w:rsidRDefault="00CE75D4" w:rsidP="008340C1">
            <w:pPr>
              <w:pStyle w:val="ARfintablecolheadright"/>
              <w:spacing w:before="30"/>
            </w:pPr>
            <w:r w:rsidRPr="002029AF">
              <w:t>$M</w:t>
            </w:r>
          </w:p>
        </w:tc>
        <w:tc>
          <w:tcPr>
            <w:tcW w:w="1133" w:type="dxa"/>
            <w:tcBorders>
              <w:bottom w:val="single" w:sz="4" w:space="0" w:color="auto"/>
            </w:tcBorders>
            <w:hideMark/>
          </w:tcPr>
          <w:p w14:paraId="6B8FF9CB" w14:textId="77777777" w:rsidR="00CE75D4" w:rsidRPr="002029AF" w:rsidRDefault="00CE75D4" w:rsidP="008340C1">
            <w:pPr>
              <w:pStyle w:val="ARfintablecolheadright"/>
            </w:pPr>
            <w:r>
              <w:t>2021</w:t>
            </w:r>
          </w:p>
          <w:p w14:paraId="0D6ED56A" w14:textId="77777777" w:rsidR="00CE75D4" w:rsidRPr="002029AF" w:rsidRDefault="00CE75D4" w:rsidP="008340C1">
            <w:pPr>
              <w:pStyle w:val="ARfintablecolheadright"/>
              <w:spacing w:before="30"/>
            </w:pPr>
            <w:r w:rsidRPr="002029AF">
              <w:t>$M</w:t>
            </w:r>
          </w:p>
        </w:tc>
      </w:tr>
      <w:tr w:rsidR="00CE75D4" w:rsidRPr="002029AF" w14:paraId="77BCA302" w14:textId="77777777" w:rsidTr="00860E95">
        <w:tc>
          <w:tcPr>
            <w:tcW w:w="9637" w:type="dxa"/>
            <w:gridSpan w:val="3"/>
            <w:tcBorders>
              <w:top w:val="single" w:sz="4" w:space="0" w:color="auto"/>
              <w:bottom w:val="single" w:sz="4" w:space="0" w:color="A6A6A6"/>
            </w:tcBorders>
            <w:hideMark/>
          </w:tcPr>
          <w:p w14:paraId="7BEABF5F" w14:textId="77777777" w:rsidR="00CE75D4" w:rsidRPr="002029AF" w:rsidRDefault="00CE75D4" w:rsidP="008340C1">
            <w:pPr>
              <w:pStyle w:val="ARfintablebodybold"/>
            </w:pPr>
            <w:r w:rsidRPr="00BA77D7">
              <w:t>User charges, or sales of goods and services</w:t>
            </w:r>
          </w:p>
        </w:tc>
      </w:tr>
      <w:tr w:rsidR="00CE75D4" w:rsidRPr="002029AF" w14:paraId="552D126E" w14:textId="77777777" w:rsidTr="00860E95">
        <w:tc>
          <w:tcPr>
            <w:tcW w:w="7371" w:type="dxa"/>
            <w:tcBorders>
              <w:top w:val="single" w:sz="4" w:space="0" w:color="A6A6A6"/>
              <w:bottom w:val="single" w:sz="4" w:space="0" w:color="A6A6A6"/>
            </w:tcBorders>
            <w:hideMark/>
          </w:tcPr>
          <w:p w14:paraId="1AC67B8A" w14:textId="77777777" w:rsidR="00CE75D4" w:rsidRPr="002029AF" w:rsidRDefault="00CE75D4" w:rsidP="008340C1">
            <w:pPr>
              <w:pStyle w:val="ARfintablebody"/>
            </w:pPr>
            <w:r w:rsidRPr="00BA77D7">
              <w:t>Albury Wodonga Health (Capital)</w:t>
            </w:r>
          </w:p>
        </w:tc>
        <w:tc>
          <w:tcPr>
            <w:tcW w:w="1133" w:type="dxa"/>
            <w:tcBorders>
              <w:top w:val="single" w:sz="4" w:space="0" w:color="A6A6A6"/>
              <w:bottom w:val="single" w:sz="4" w:space="0" w:color="A6A6A6"/>
            </w:tcBorders>
            <w:shd w:val="clear" w:color="auto" w:fill="E7E6E6"/>
            <w:noWrap/>
            <w:hideMark/>
          </w:tcPr>
          <w:p w14:paraId="4B7E21B1" w14:textId="77777777" w:rsidR="00CE75D4" w:rsidRPr="002029AF" w:rsidRDefault="00CE75D4" w:rsidP="008340C1">
            <w:pPr>
              <w:pStyle w:val="ARfintablebodyright"/>
            </w:pPr>
            <w:r w:rsidRPr="00BA77D7">
              <w:t>1.6</w:t>
            </w:r>
          </w:p>
        </w:tc>
        <w:tc>
          <w:tcPr>
            <w:tcW w:w="1133" w:type="dxa"/>
            <w:tcBorders>
              <w:top w:val="single" w:sz="4" w:space="0" w:color="A6A6A6"/>
              <w:bottom w:val="single" w:sz="4" w:space="0" w:color="A6A6A6"/>
            </w:tcBorders>
            <w:noWrap/>
            <w:hideMark/>
          </w:tcPr>
          <w:p w14:paraId="40DF64DC" w14:textId="77777777" w:rsidR="00CE75D4" w:rsidRPr="002029AF" w:rsidRDefault="00CE75D4" w:rsidP="008340C1">
            <w:pPr>
              <w:pStyle w:val="ARfintablebodyright"/>
            </w:pPr>
            <w:r w:rsidRPr="00BA77D7">
              <w:t>1.6</w:t>
            </w:r>
          </w:p>
        </w:tc>
      </w:tr>
      <w:tr w:rsidR="00CE75D4" w:rsidRPr="002029AF" w14:paraId="08288AB3" w14:textId="77777777" w:rsidTr="00860E95">
        <w:tc>
          <w:tcPr>
            <w:tcW w:w="7371" w:type="dxa"/>
            <w:tcBorders>
              <w:top w:val="single" w:sz="4" w:space="0" w:color="A6A6A6"/>
              <w:bottom w:val="single" w:sz="4" w:space="0" w:color="A6A6A6"/>
            </w:tcBorders>
            <w:hideMark/>
          </w:tcPr>
          <w:p w14:paraId="3D28DCE1" w14:textId="77777777" w:rsidR="00CE75D4" w:rsidRPr="002029AF" w:rsidRDefault="00CE75D4" w:rsidP="008340C1">
            <w:pPr>
              <w:pStyle w:val="ARfintablebody"/>
            </w:pPr>
            <w:r w:rsidRPr="00BA77D7">
              <w:t>Albury Wodonga Health (Output)</w:t>
            </w:r>
          </w:p>
        </w:tc>
        <w:tc>
          <w:tcPr>
            <w:tcW w:w="1133" w:type="dxa"/>
            <w:tcBorders>
              <w:top w:val="single" w:sz="4" w:space="0" w:color="A6A6A6"/>
              <w:bottom w:val="single" w:sz="4" w:space="0" w:color="A6A6A6"/>
            </w:tcBorders>
            <w:shd w:val="clear" w:color="auto" w:fill="E7E6E6"/>
            <w:noWrap/>
            <w:hideMark/>
          </w:tcPr>
          <w:p w14:paraId="63AE7230" w14:textId="77777777" w:rsidR="00CE75D4" w:rsidRPr="002029AF" w:rsidRDefault="00CE75D4" w:rsidP="008340C1">
            <w:pPr>
              <w:pStyle w:val="ARfintablebodyright"/>
            </w:pPr>
            <w:r w:rsidRPr="00BA77D7">
              <w:t>122.9</w:t>
            </w:r>
          </w:p>
        </w:tc>
        <w:tc>
          <w:tcPr>
            <w:tcW w:w="1133" w:type="dxa"/>
            <w:tcBorders>
              <w:top w:val="single" w:sz="4" w:space="0" w:color="A6A6A6"/>
              <w:bottom w:val="single" w:sz="4" w:space="0" w:color="A6A6A6"/>
            </w:tcBorders>
            <w:noWrap/>
            <w:hideMark/>
          </w:tcPr>
          <w:p w14:paraId="365F7C19" w14:textId="77777777" w:rsidR="00CE75D4" w:rsidRPr="002029AF" w:rsidRDefault="00CE75D4" w:rsidP="008340C1">
            <w:pPr>
              <w:pStyle w:val="ARfintablebodyright"/>
            </w:pPr>
            <w:r w:rsidRPr="00BA77D7">
              <w:t>118.0</w:t>
            </w:r>
          </w:p>
        </w:tc>
      </w:tr>
      <w:tr w:rsidR="00CE75D4" w:rsidRPr="002029AF" w14:paraId="47777439" w14:textId="77777777" w:rsidTr="00860E95">
        <w:tc>
          <w:tcPr>
            <w:tcW w:w="7371" w:type="dxa"/>
            <w:tcBorders>
              <w:top w:val="single" w:sz="4" w:space="0" w:color="A6A6A6"/>
              <w:bottom w:val="single" w:sz="4" w:space="0" w:color="A6A6A6"/>
            </w:tcBorders>
            <w:hideMark/>
          </w:tcPr>
          <w:p w14:paraId="165DB0AC" w14:textId="77777777" w:rsidR="00CE75D4" w:rsidRPr="002029AF" w:rsidRDefault="00CE75D4" w:rsidP="008340C1">
            <w:pPr>
              <w:pStyle w:val="ARfintablebody"/>
            </w:pPr>
            <w:r w:rsidRPr="00BA77D7">
              <w:t>Community Residential Units Accommodation charges including full Board and Lodging Model (Output)</w:t>
            </w:r>
            <w:r w:rsidRPr="00B612BA">
              <w:t xml:space="preserve"> </w:t>
            </w:r>
            <w:r w:rsidRPr="00AC3632">
              <w:rPr>
                <w:rStyle w:val="Superscript"/>
              </w:rPr>
              <w:t>(i)</w:t>
            </w:r>
          </w:p>
        </w:tc>
        <w:tc>
          <w:tcPr>
            <w:tcW w:w="1133" w:type="dxa"/>
            <w:tcBorders>
              <w:top w:val="single" w:sz="4" w:space="0" w:color="A6A6A6"/>
              <w:bottom w:val="single" w:sz="4" w:space="0" w:color="A6A6A6"/>
            </w:tcBorders>
            <w:shd w:val="clear" w:color="auto" w:fill="E7E6E6"/>
            <w:noWrap/>
            <w:hideMark/>
          </w:tcPr>
          <w:p w14:paraId="234F8071"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hideMark/>
          </w:tcPr>
          <w:p w14:paraId="3BFF2D3E" w14:textId="77777777" w:rsidR="00CE75D4" w:rsidRPr="002029AF" w:rsidRDefault="00CE75D4" w:rsidP="008340C1">
            <w:pPr>
              <w:pStyle w:val="ARfintablebodyright"/>
            </w:pPr>
            <w:r w:rsidRPr="00BA77D7">
              <w:t>8.5</w:t>
            </w:r>
          </w:p>
        </w:tc>
      </w:tr>
      <w:tr w:rsidR="00CE75D4" w:rsidRPr="002029AF" w14:paraId="75CB6F9A" w14:textId="77777777" w:rsidTr="00860E95">
        <w:tc>
          <w:tcPr>
            <w:tcW w:w="7371" w:type="dxa"/>
            <w:tcBorders>
              <w:top w:val="single" w:sz="4" w:space="0" w:color="A6A6A6"/>
              <w:bottom w:val="single" w:sz="4" w:space="0" w:color="A6A6A6"/>
            </w:tcBorders>
            <w:hideMark/>
          </w:tcPr>
          <w:p w14:paraId="4CB27A3C" w14:textId="77777777" w:rsidR="00CE75D4" w:rsidRPr="002029AF" w:rsidRDefault="00CE75D4" w:rsidP="008340C1">
            <w:pPr>
              <w:pStyle w:val="ARfintablebody"/>
            </w:pPr>
            <w:r w:rsidRPr="00BA77D7">
              <w:t>Department of Veteran Affairs Hospital Services (Output)</w:t>
            </w:r>
          </w:p>
        </w:tc>
        <w:tc>
          <w:tcPr>
            <w:tcW w:w="1133" w:type="dxa"/>
            <w:tcBorders>
              <w:top w:val="single" w:sz="4" w:space="0" w:color="A6A6A6"/>
              <w:bottom w:val="single" w:sz="4" w:space="0" w:color="A6A6A6"/>
            </w:tcBorders>
            <w:shd w:val="clear" w:color="auto" w:fill="E7E6E6"/>
            <w:noWrap/>
            <w:hideMark/>
          </w:tcPr>
          <w:p w14:paraId="76082D3B" w14:textId="77777777" w:rsidR="00CE75D4" w:rsidRPr="002029AF" w:rsidRDefault="00CE75D4" w:rsidP="008340C1">
            <w:pPr>
              <w:pStyle w:val="ARfintablebodyright"/>
            </w:pPr>
            <w:r w:rsidRPr="00BA77D7">
              <w:t>65.0</w:t>
            </w:r>
          </w:p>
        </w:tc>
        <w:tc>
          <w:tcPr>
            <w:tcW w:w="1133" w:type="dxa"/>
            <w:tcBorders>
              <w:top w:val="single" w:sz="4" w:space="0" w:color="A6A6A6"/>
              <w:bottom w:val="single" w:sz="4" w:space="0" w:color="A6A6A6"/>
            </w:tcBorders>
            <w:noWrap/>
            <w:hideMark/>
          </w:tcPr>
          <w:p w14:paraId="32BC1DAE" w14:textId="77777777" w:rsidR="00CE75D4" w:rsidRPr="002029AF" w:rsidRDefault="00CE75D4" w:rsidP="008340C1">
            <w:pPr>
              <w:pStyle w:val="ARfintablebodyright"/>
            </w:pPr>
            <w:r w:rsidRPr="00BA77D7">
              <w:t>63.5</w:t>
            </w:r>
          </w:p>
        </w:tc>
      </w:tr>
      <w:tr w:rsidR="00CE75D4" w:rsidRPr="002029AF" w14:paraId="6E069093" w14:textId="77777777" w:rsidTr="00860E95">
        <w:tc>
          <w:tcPr>
            <w:tcW w:w="7371" w:type="dxa"/>
            <w:tcBorders>
              <w:top w:val="single" w:sz="4" w:space="0" w:color="A6A6A6"/>
              <w:bottom w:val="single" w:sz="4" w:space="0" w:color="A6A6A6"/>
            </w:tcBorders>
            <w:hideMark/>
          </w:tcPr>
          <w:p w14:paraId="18856D85" w14:textId="77777777" w:rsidR="00CE75D4" w:rsidRPr="002029AF" w:rsidRDefault="00CE75D4" w:rsidP="008340C1">
            <w:pPr>
              <w:pStyle w:val="ARfintablebody"/>
            </w:pPr>
            <w:r w:rsidRPr="00BA77D7">
              <w:t>Health Technology Services (Output)</w:t>
            </w:r>
          </w:p>
        </w:tc>
        <w:tc>
          <w:tcPr>
            <w:tcW w:w="1133" w:type="dxa"/>
            <w:tcBorders>
              <w:top w:val="single" w:sz="4" w:space="0" w:color="A6A6A6"/>
              <w:bottom w:val="single" w:sz="4" w:space="0" w:color="A6A6A6"/>
            </w:tcBorders>
            <w:shd w:val="clear" w:color="auto" w:fill="E7E6E6"/>
            <w:noWrap/>
            <w:hideMark/>
          </w:tcPr>
          <w:p w14:paraId="51C7437C" w14:textId="77777777" w:rsidR="00CE75D4" w:rsidRPr="002029AF" w:rsidRDefault="00CE75D4" w:rsidP="008340C1">
            <w:pPr>
              <w:pStyle w:val="ARfintablebodyright"/>
            </w:pPr>
            <w:r w:rsidRPr="00BA77D7">
              <w:t>4.9</w:t>
            </w:r>
          </w:p>
        </w:tc>
        <w:tc>
          <w:tcPr>
            <w:tcW w:w="1133" w:type="dxa"/>
            <w:tcBorders>
              <w:top w:val="single" w:sz="4" w:space="0" w:color="A6A6A6"/>
              <w:bottom w:val="single" w:sz="4" w:space="0" w:color="A6A6A6"/>
            </w:tcBorders>
            <w:noWrap/>
            <w:hideMark/>
          </w:tcPr>
          <w:p w14:paraId="6474C06A" w14:textId="77777777" w:rsidR="00CE75D4" w:rsidRPr="002029AF" w:rsidRDefault="00CE75D4" w:rsidP="008340C1">
            <w:pPr>
              <w:pStyle w:val="ARfintablebodyright"/>
            </w:pPr>
            <w:r w:rsidRPr="00BA77D7">
              <w:t>7.7</w:t>
            </w:r>
          </w:p>
        </w:tc>
      </w:tr>
      <w:tr w:rsidR="00CE75D4" w:rsidRPr="002029AF" w14:paraId="1CEAC7FD" w14:textId="77777777" w:rsidTr="00860E95">
        <w:tc>
          <w:tcPr>
            <w:tcW w:w="7371" w:type="dxa"/>
            <w:tcBorders>
              <w:top w:val="single" w:sz="4" w:space="0" w:color="A6A6A6"/>
              <w:bottom w:val="single" w:sz="4" w:space="0" w:color="A6A6A6"/>
            </w:tcBorders>
            <w:hideMark/>
          </w:tcPr>
          <w:p w14:paraId="0CE55117" w14:textId="77777777" w:rsidR="00CE75D4" w:rsidRPr="002029AF" w:rsidRDefault="00CE75D4" w:rsidP="008340C1">
            <w:pPr>
              <w:pStyle w:val="ARfintablebody"/>
            </w:pPr>
            <w:r w:rsidRPr="00BA77D7">
              <w:t>Revenue for Services Provided for the National Disability Insurance Agency (Output)</w:t>
            </w:r>
            <w:r w:rsidRPr="00B612BA">
              <w:t xml:space="preserve"> </w:t>
            </w:r>
            <w:r w:rsidRPr="00AC3632">
              <w:rPr>
                <w:rStyle w:val="Superscript"/>
              </w:rPr>
              <w:t>(i)</w:t>
            </w:r>
          </w:p>
        </w:tc>
        <w:tc>
          <w:tcPr>
            <w:tcW w:w="1133" w:type="dxa"/>
            <w:tcBorders>
              <w:top w:val="single" w:sz="4" w:space="0" w:color="A6A6A6"/>
              <w:bottom w:val="single" w:sz="4" w:space="0" w:color="A6A6A6"/>
            </w:tcBorders>
            <w:shd w:val="clear" w:color="auto" w:fill="E7E6E6"/>
            <w:noWrap/>
            <w:hideMark/>
          </w:tcPr>
          <w:p w14:paraId="5464923B"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hideMark/>
          </w:tcPr>
          <w:p w14:paraId="314AC816" w14:textId="77777777" w:rsidR="00CE75D4" w:rsidRPr="002029AF" w:rsidRDefault="00CE75D4" w:rsidP="008340C1">
            <w:pPr>
              <w:pStyle w:val="ARfintablebodyright"/>
            </w:pPr>
            <w:r w:rsidRPr="00BA77D7">
              <w:t>6.4</w:t>
            </w:r>
          </w:p>
        </w:tc>
      </w:tr>
      <w:tr w:rsidR="00CE75D4" w:rsidRPr="002029AF" w14:paraId="4CF84DAE" w14:textId="77777777" w:rsidTr="00860E95">
        <w:tc>
          <w:tcPr>
            <w:tcW w:w="7371" w:type="dxa"/>
            <w:tcBorders>
              <w:top w:val="single" w:sz="4" w:space="0" w:color="A6A6A6"/>
              <w:bottom w:val="single" w:sz="4" w:space="0" w:color="A6A6A6"/>
            </w:tcBorders>
            <w:hideMark/>
          </w:tcPr>
          <w:p w14:paraId="76070023" w14:textId="77777777" w:rsidR="00CE75D4" w:rsidRPr="002029AF" w:rsidRDefault="00CE75D4" w:rsidP="008340C1">
            <w:pPr>
              <w:pStyle w:val="ARfintablebody"/>
            </w:pPr>
            <w:r w:rsidRPr="00BA77D7">
              <w:t>Seniors Card Directory Advertising (Output)</w:t>
            </w:r>
            <w:r w:rsidRPr="00B612BA">
              <w:t xml:space="preserve"> </w:t>
            </w:r>
            <w:r w:rsidRPr="00AC3632">
              <w:rPr>
                <w:rStyle w:val="Superscript"/>
              </w:rPr>
              <w:t>(i)</w:t>
            </w:r>
          </w:p>
        </w:tc>
        <w:tc>
          <w:tcPr>
            <w:tcW w:w="1133" w:type="dxa"/>
            <w:tcBorders>
              <w:top w:val="single" w:sz="4" w:space="0" w:color="A6A6A6"/>
              <w:bottom w:val="single" w:sz="4" w:space="0" w:color="A6A6A6"/>
            </w:tcBorders>
            <w:shd w:val="clear" w:color="auto" w:fill="E7E6E6"/>
            <w:noWrap/>
            <w:hideMark/>
          </w:tcPr>
          <w:p w14:paraId="059D26A5"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hideMark/>
          </w:tcPr>
          <w:p w14:paraId="78E03904" w14:textId="77777777" w:rsidR="00CE75D4" w:rsidRPr="002029AF" w:rsidRDefault="00CE75D4" w:rsidP="008340C1">
            <w:pPr>
              <w:pStyle w:val="ARfintablebodyright"/>
            </w:pPr>
            <w:r w:rsidRPr="00BA77D7">
              <w:t>0.3</w:t>
            </w:r>
          </w:p>
        </w:tc>
      </w:tr>
      <w:tr w:rsidR="00CE75D4" w:rsidRPr="002029AF" w14:paraId="71872E21" w14:textId="77777777" w:rsidTr="00860E95">
        <w:tc>
          <w:tcPr>
            <w:tcW w:w="7371" w:type="dxa"/>
            <w:tcBorders>
              <w:top w:val="single" w:sz="4" w:space="0" w:color="A6A6A6"/>
            </w:tcBorders>
            <w:hideMark/>
          </w:tcPr>
          <w:p w14:paraId="6CC8F662" w14:textId="77777777" w:rsidR="00CE75D4" w:rsidRPr="002029AF" w:rsidRDefault="00CE75D4" w:rsidP="008340C1">
            <w:pPr>
              <w:pStyle w:val="ARfintablebody"/>
            </w:pPr>
            <w:r w:rsidRPr="00BA77D7">
              <w:t>Transport Accident Commission Agreement (Output)</w:t>
            </w:r>
          </w:p>
        </w:tc>
        <w:tc>
          <w:tcPr>
            <w:tcW w:w="1133" w:type="dxa"/>
            <w:tcBorders>
              <w:top w:val="single" w:sz="4" w:space="0" w:color="A6A6A6"/>
            </w:tcBorders>
            <w:shd w:val="clear" w:color="auto" w:fill="E7E6E6"/>
            <w:noWrap/>
            <w:hideMark/>
          </w:tcPr>
          <w:p w14:paraId="74A0F633" w14:textId="77777777" w:rsidR="00CE75D4" w:rsidRPr="002029AF" w:rsidRDefault="00CE75D4" w:rsidP="008340C1">
            <w:pPr>
              <w:pStyle w:val="ARfintablebodyright"/>
            </w:pPr>
            <w:r w:rsidRPr="00BA77D7">
              <w:t>82.7</w:t>
            </w:r>
          </w:p>
        </w:tc>
        <w:tc>
          <w:tcPr>
            <w:tcW w:w="1133" w:type="dxa"/>
            <w:tcBorders>
              <w:top w:val="single" w:sz="4" w:space="0" w:color="A6A6A6"/>
            </w:tcBorders>
            <w:noWrap/>
            <w:hideMark/>
          </w:tcPr>
          <w:p w14:paraId="5E11F23E" w14:textId="77777777" w:rsidR="00CE75D4" w:rsidRPr="002029AF" w:rsidRDefault="00CE75D4" w:rsidP="008340C1">
            <w:pPr>
              <w:pStyle w:val="ARfintablebodyright"/>
            </w:pPr>
            <w:r w:rsidRPr="00BA77D7">
              <w:t>174.2</w:t>
            </w:r>
          </w:p>
        </w:tc>
      </w:tr>
      <w:tr w:rsidR="00CE75D4" w:rsidRPr="002029AF" w14:paraId="52E32814" w14:textId="77777777" w:rsidTr="00860E95">
        <w:tc>
          <w:tcPr>
            <w:tcW w:w="7371" w:type="dxa"/>
            <w:tcBorders>
              <w:bottom w:val="single" w:sz="4" w:space="0" w:color="auto"/>
            </w:tcBorders>
            <w:hideMark/>
          </w:tcPr>
          <w:p w14:paraId="6A01A09F" w14:textId="77777777" w:rsidR="00CE75D4" w:rsidRPr="002029AF" w:rsidRDefault="00CE75D4" w:rsidP="008340C1">
            <w:pPr>
              <w:pStyle w:val="ARfintablebodybold"/>
            </w:pPr>
          </w:p>
        </w:tc>
        <w:tc>
          <w:tcPr>
            <w:tcW w:w="1133" w:type="dxa"/>
            <w:tcBorders>
              <w:bottom w:val="single" w:sz="4" w:space="0" w:color="auto"/>
            </w:tcBorders>
            <w:shd w:val="clear" w:color="auto" w:fill="E7E6E6"/>
            <w:noWrap/>
            <w:hideMark/>
          </w:tcPr>
          <w:p w14:paraId="5B7BDE88" w14:textId="77777777" w:rsidR="00CE75D4" w:rsidRPr="002029AF" w:rsidRDefault="00CE75D4" w:rsidP="008340C1">
            <w:pPr>
              <w:pStyle w:val="ARfintablebodyrightbold"/>
            </w:pPr>
            <w:r w:rsidRPr="00BA77D7">
              <w:t>277.1</w:t>
            </w:r>
          </w:p>
        </w:tc>
        <w:tc>
          <w:tcPr>
            <w:tcW w:w="1133" w:type="dxa"/>
            <w:tcBorders>
              <w:bottom w:val="single" w:sz="4" w:space="0" w:color="auto"/>
            </w:tcBorders>
            <w:noWrap/>
            <w:hideMark/>
          </w:tcPr>
          <w:p w14:paraId="3A150164" w14:textId="77777777" w:rsidR="00CE75D4" w:rsidRPr="002029AF" w:rsidRDefault="00CE75D4" w:rsidP="008340C1">
            <w:pPr>
              <w:pStyle w:val="ARfintablebodyrightbold"/>
            </w:pPr>
            <w:r w:rsidRPr="00BA77D7">
              <w:t>380.2</w:t>
            </w:r>
          </w:p>
        </w:tc>
      </w:tr>
      <w:tr w:rsidR="00CE75D4" w:rsidRPr="002029AF" w14:paraId="6A5E40D1" w14:textId="77777777" w:rsidTr="00860E95">
        <w:tc>
          <w:tcPr>
            <w:tcW w:w="9637" w:type="dxa"/>
            <w:gridSpan w:val="3"/>
            <w:tcBorders>
              <w:top w:val="single" w:sz="4" w:space="0" w:color="auto"/>
              <w:bottom w:val="single" w:sz="4" w:space="0" w:color="A6A6A6"/>
            </w:tcBorders>
            <w:hideMark/>
          </w:tcPr>
          <w:p w14:paraId="6F855D6E" w14:textId="77777777" w:rsidR="00CE75D4" w:rsidRPr="002029AF" w:rsidRDefault="00CE75D4" w:rsidP="008340C1">
            <w:pPr>
              <w:pStyle w:val="ARfintablebodybold"/>
            </w:pPr>
            <w:r w:rsidRPr="00BA77D7">
              <w:t>Asset sales</w:t>
            </w:r>
          </w:p>
        </w:tc>
      </w:tr>
      <w:tr w:rsidR="00CE75D4" w:rsidRPr="002029AF" w14:paraId="123A30CB" w14:textId="77777777" w:rsidTr="00860E95">
        <w:tc>
          <w:tcPr>
            <w:tcW w:w="7371" w:type="dxa"/>
            <w:tcBorders>
              <w:top w:val="single" w:sz="4" w:space="0" w:color="A6A6A6"/>
            </w:tcBorders>
            <w:hideMark/>
          </w:tcPr>
          <w:p w14:paraId="3CE97582" w14:textId="77777777" w:rsidR="00CE75D4" w:rsidRPr="002029AF" w:rsidRDefault="00CE75D4" w:rsidP="008340C1">
            <w:pPr>
              <w:pStyle w:val="ARfintablebody"/>
            </w:pPr>
            <w:r w:rsidRPr="00BA77D7">
              <w:t>Proceeds from sale of land and buildings (Capital)</w:t>
            </w:r>
          </w:p>
        </w:tc>
        <w:tc>
          <w:tcPr>
            <w:tcW w:w="1133" w:type="dxa"/>
            <w:tcBorders>
              <w:top w:val="single" w:sz="4" w:space="0" w:color="A6A6A6"/>
            </w:tcBorders>
            <w:shd w:val="clear" w:color="auto" w:fill="E7E6E6"/>
            <w:noWrap/>
            <w:hideMark/>
          </w:tcPr>
          <w:p w14:paraId="634DBF10" w14:textId="77777777" w:rsidR="00CE75D4" w:rsidRPr="002029AF" w:rsidRDefault="00CE75D4" w:rsidP="008340C1">
            <w:pPr>
              <w:pStyle w:val="ARfintablebodyright"/>
            </w:pPr>
            <w:r>
              <w:t>–</w:t>
            </w:r>
          </w:p>
        </w:tc>
        <w:tc>
          <w:tcPr>
            <w:tcW w:w="1133" w:type="dxa"/>
            <w:tcBorders>
              <w:top w:val="single" w:sz="4" w:space="0" w:color="A6A6A6"/>
            </w:tcBorders>
            <w:noWrap/>
            <w:hideMark/>
          </w:tcPr>
          <w:p w14:paraId="38A7A38D" w14:textId="77777777" w:rsidR="00CE75D4" w:rsidRPr="002029AF" w:rsidRDefault="00CE75D4" w:rsidP="008340C1">
            <w:pPr>
              <w:pStyle w:val="ARfintablebodyright"/>
            </w:pPr>
            <w:r w:rsidRPr="00BA77D7">
              <w:t>1.2</w:t>
            </w:r>
          </w:p>
        </w:tc>
      </w:tr>
      <w:tr w:rsidR="00CE75D4" w:rsidRPr="002029AF" w14:paraId="454D5090" w14:textId="77777777" w:rsidTr="00860E95">
        <w:tc>
          <w:tcPr>
            <w:tcW w:w="7371" w:type="dxa"/>
            <w:tcBorders>
              <w:bottom w:val="single" w:sz="4" w:space="0" w:color="auto"/>
            </w:tcBorders>
            <w:hideMark/>
          </w:tcPr>
          <w:p w14:paraId="5D6E83AE" w14:textId="77777777" w:rsidR="00CE75D4" w:rsidRPr="002029AF" w:rsidRDefault="00CE75D4" w:rsidP="008340C1">
            <w:pPr>
              <w:pStyle w:val="ARfintablebodybold"/>
            </w:pPr>
          </w:p>
        </w:tc>
        <w:tc>
          <w:tcPr>
            <w:tcW w:w="1133" w:type="dxa"/>
            <w:tcBorders>
              <w:bottom w:val="single" w:sz="4" w:space="0" w:color="auto"/>
            </w:tcBorders>
            <w:shd w:val="clear" w:color="auto" w:fill="E7E6E6"/>
            <w:noWrap/>
            <w:hideMark/>
          </w:tcPr>
          <w:p w14:paraId="73BEA34B" w14:textId="77777777" w:rsidR="00CE75D4" w:rsidRPr="002029AF" w:rsidRDefault="00CE75D4" w:rsidP="008340C1">
            <w:pPr>
              <w:pStyle w:val="ARfintablebodyrightbold"/>
            </w:pPr>
            <w:r>
              <w:t>–</w:t>
            </w:r>
          </w:p>
        </w:tc>
        <w:tc>
          <w:tcPr>
            <w:tcW w:w="1133" w:type="dxa"/>
            <w:tcBorders>
              <w:bottom w:val="single" w:sz="4" w:space="0" w:color="auto"/>
            </w:tcBorders>
            <w:noWrap/>
            <w:hideMark/>
          </w:tcPr>
          <w:p w14:paraId="738B6276" w14:textId="77777777" w:rsidR="00CE75D4" w:rsidRPr="002029AF" w:rsidRDefault="00CE75D4" w:rsidP="008340C1">
            <w:pPr>
              <w:pStyle w:val="ARfintablebodyrightbold"/>
            </w:pPr>
            <w:r w:rsidRPr="00BA77D7">
              <w:t>1.2</w:t>
            </w:r>
          </w:p>
        </w:tc>
      </w:tr>
      <w:tr w:rsidR="00CE75D4" w:rsidRPr="002029AF" w14:paraId="406772F2" w14:textId="77777777" w:rsidTr="00860E95">
        <w:tc>
          <w:tcPr>
            <w:tcW w:w="9637" w:type="dxa"/>
            <w:gridSpan w:val="3"/>
            <w:tcBorders>
              <w:top w:val="single" w:sz="4" w:space="0" w:color="auto"/>
              <w:bottom w:val="single" w:sz="4" w:space="0" w:color="A6A6A6"/>
            </w:tcBorders>
            <w:hideMark/>
          </w:tcPr>
          <w:p w14:paraId="42187C5A" w14:textId="77777777" w:rsidR="00CE75D4" w:rsidRPr="002029AF" w:rsidRDefault="00CE75D4" w:rsidP="008340C1">
            <w:pPr>
              <w:pStyle w:val="ARfintablebodybold"/>
              <w:rPr>
                <w:rFonts w:ascii="Calibri Light" w:hAnsi="Calibri Light"/>
              </w:rPr>
            </w:pPr>
            <w:r w:rsidRPr="00BA77D7">
              <w:t>Commonwealth specific purpose payments</w:t>
            </w:r>
          </w:p>
        </w:tc>
      </w:tr>
      <w:tr w:rsidR="00CE75D4" w:rsidRPr="002029AF" w14:paraId="4233A57F" w14:textId="77777777" w:rsidTr="00860E95">
        <w:tc>
          <w:tcPr>
            <w:tcW w:w="9637" w:type="dxa"/>
            <w:gridSpan w:val="3"/>
            <w:tcBorders>
              <w:top w:val="single" w:sz="4" w:space="0" w:color="A6A6A6"/>
              <w:bottom w:val="single" w:sz="4" w:space="0" w:color="A6A6A6"/>
            </w:tcBorders>
            <w:hideMark/>
          </w:tcPr>
          <w:p w14:paraId="5BB1771E" w14:textId="77777777" w:rsidR="00CE75D4" w:rsidRPr="002029AF" w:rsidRDefault="00CE75D4" w:rsidP="008340C1">
            <w:pPr>
              <w:pStyle w:val="ARfintablebodybold"/>
            </w:pPr>
            <w:r w:rsidRPr="00BA77D7">
              <w:t>National Partnership Agreements</w:t>
            </w:r>
          </w:p>
        </w:tc>
      </w:tr>
      <w:tr w:rsidR="00CE75D4" w:rsidRPr="002029AF" w14:paraId="1DE85974" w14:textId="77777777" w:rsidTr="00860E95">
        <w:tc>
          <w:tcPr>
            <w:tcW w:w="7371" w:type="dxa"/>
            <w:tcBorders>
              <w:top w:val="single" w:sz="4" w:space="0" w:color="A6A6A6"/>
              <w:bottom w:val="single" w:sz="4" w:space="0" w:color="A6A6A6"/>
            </w:tcBorders>
            <w:hideMark/>
          </w:tcPr>
          <w:p w14:paraId="5260CCAE" w14:textId="77777777" w:rsidR="00CE75D4" w:rsidRPr="002029AF" w:rsidRDefault="00CE75D4" w:rsidP="008340C1">
            <w:pPr>
              <w:pStyle w:val="ARfintablebody"/>
            </w:pPr>
            <w:r w:rsidRPr="00BA77D7">
              <w:t>Adult Public Dental Services (Output)</w:t>
            </w:r>
          </w:p>
        </w:tc>
        <w:tc>
          <w:tcPr>
            <w:tcW w:w="1133" w:type="dxa"/>
            <w:tcBorders>
              <w:top w:val="single" w:sz="4" w:space="0" w:color="A6A6A6"/>
              <w:bottom w:val="single" w:sz="4" w:space="0" w:color="A6A6A6"/>
            </w:tcBorders>
            <w:shd w:val="clear" w:color="auto" w:fill="E7E6E6"/>
            <w:noWrap/>
            <w:hideMark/>
          </w:tcPr>
          <w:p w14:paraId="66991D5A" w14:textId="77777777" w:rsidR="00CE75D4" w:rsidRPr="002029AF" w:rsidRDefault="00CE75D4" w:rsidP="008340C1">
            <w:pPr>
              <w:pStyle w:val="ARfintablebodyright"/>
            </w:pPr>
            <w:r w:rsidRPr="00BA77D7">
              <w:t>9.9</w:t>
            </w:r>
          </w:p>
        </w:tc>
        <w:tc>
          <w:tcPr>
            <w:tcW w:w="1133" w:type="dxa"/>
            <w:tcBorders>
              <w:top w:val="single" w:sz="4" w:space="0" w:color="A6A6A6"/>
              <w:bottom w:val="single" w:sz="4" w:space="0" w:color="A6A6A6"/>
            </w:tcBorders>
            <w:noWrap/>
            <w:hideMark/>
          </w:tcPr>
          <w:p w14:paraId="1B08065A" w14:textId="77777777" w:rsidR="00CE75D4" w:rsidRPr="002029AF" w:rsidRDefault="00CE75D4" w:rsidP="008340C1">
            <w:pPr>
              <w:pStyle w:val="ARfintablebodyright"/>
            </w:pPr>
            <w:r w:rsidRPr="00BA77D7">
              <w:t>26.9</w:t>
            </w:r>
          </w:p>
        </w:tc>
      </w:tr>
      <w:tr w:rsidR="00CE75D4" w:rsidRPr="002029AF" w14:paraId="62D7E45F" w14:textId="77777777" w:rsidTr="00860E95">
        <w:tc>
          <w:tcPr>
            <w:tcW w:w="7371" w:type="dxa"/>
            <w:tcBorders>
              <w:top w:val="single" w:sz="4" w:space="0" w:color="A6A6A6"/>
              <w:bottom w:val="single" w:sz="4" w:space="0" w:color="A6A6A6"/>
            </w:tcBorders>
            <w:hideMark/>
          </w:tcPr>
          <w:p w14:paraId="75BC77CD" w14:textId="77777777" w:rsidR="00CE75D4" w:rsidRPr="002029AF" w:rsidRDefault="00CE75D4" w:rsidP="008340C1">
            <w:pPr>
              <w:pStyle w:val="ARfintablebody"/>
            </w:pPr>
            <w:r w:rsidRPr="00BA77D7">
              <w:t>COVID-19 Domestic and Family Violence Response (Output)</w:t>
            </w:r>
            <w:r w:rsidRPr="00B612BA">
              <w:t xml:space="preserve"> </w:t>
            </w:r>
            <w:r w:rsidRPr="00AC3632">
              <w:rPr>
                <w:rStyle w:val="Superscript"/>
              </w:rPr>
              <w:t>(i)</w:t>
            </w:r>
          </w:p>
        </w:tc>
        <w:tc>
          <w:tcPr>
            <w:tcW w:w="1133" w:type="dxa"/>
            <w:tcBorders>
              <w:top w:val="single" w:sz="4" w:space="0" w:color="A6A6A6"/>
              <w:bottom w:val="single" w:sz="4" w:space="0" w:color="A6A6A6"/>
            </w:tcBorders>
            <w:shd w:val="clear" w:color="auto" w:fill="E7E6E6"/>
            <w:noWrap/>
            <w:hideMark/>
          </w:tcPr>
          <w:p w14:paraId="5A4CEA4F"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hideMark/>
          </w:tcPr>
          <w:p w14:paraId="53C5B5AF" w14:textId="77777777" w:rsidR="00CE75D4" w:rsidRPr="002029AF" w:rsidRDefault="00CE75D4" w:rsidP="008340C1">
            <w:pPr>
              <w:pStyle w:val="ARfintablebodyright"/>
            </w:pPr>
            <w:r w:rsidRPr="00BA77D7">
              <w:t>24.3</w:t>
            </w:r>
          </w:p>
        </w:tc>
      </w:tr>
      <w:tr w:rsidR="00CE75D4" w:rsidRPr="002029AF" w14:paraId="5F1290D5" w14:textId="77777777" w:rsidTr="00860E95">
        <w:tc>
          <w:tcPr>
            <w:tcW w:w="7371" w:type="dxa"/>
            <w:tcBorders>
              <w:top w:val="single" w:sz="4" w:space="0" w:color="A6A6A6"/>
              <w:bottom w:val="single" w:sz="4" w:space="0" w:color="A6A6A6"/>
            </w:tcBorders>
            <w:hideMark/>
          </w:tcPr>
          <w:p w14:paraId="0F60FCA3" w14:textId="77777777" w:rsidR="00CE75D4" w:rsidRPr="002029AF" w:rsidRDefault="00CE75D4" w:rsidP="008340C1">
            <w:pPr>
              <w:pStyle w:val="ARfintablebody"/>
            </w:pPr>
            <w:r w:rsidRPr="00BA77D7">
              <w:t>Community Health and Hospitals Program – Victorian Children</w:t>
            </w:r>
            <w:r>
              <w:t>’</w:t>
            </w:r>
            <w:r w:rsidRPr="00BA77D7">
              <w:t>s Colorectal Service (Output)</w:t>
            </w:r>
          </w:p>
        </w:tc>
        <w:tc>
          <w:tcPr>
            <w:tcW w:w="1133" w:type="dxa"/>
            <w:tcBorders>
              <w:top w:val="single" w:sz="4" w:space="0" w:color="A6A6A6"/>
              <w:bottom w:val="single" w:sz="4" w:space="0" w:color="A6A6A6"/>
            </w:tcBorders>
            <w:shd w:val="clear" w:color="auto" w:fill="E7E6E6"/>
            <w:noWrap/>
            <w:hideMark/>
          </w:tcPr>
          <w:p w14:paraId="16C8B0D1" w14:textId="77777777" w:rsidR="00CE75D4" w:rsidRPr="002029AF" w:rsidRDefault="00CE75D4" w:rsidP="008340C1">
            <w:pPr>
              <w:pStyle w:val="ARfintablebodyright"/>
            </w:pPr>
            <w:r w:rsidRPr="00BA77D7">
              <w:t>1.2</w:t>
            </w:r>
          </w:p>
        </w:tc>
        <w:tc>
          <w:tcPr>
            <w:tcW w:w="1133" w:type="dxa"/>
            <w:tcBorders>
              <w:top w:val="single" w:sz="4" w:space="0" w:color="A6A6A6"/>
              <w:bottom w:val="single" w:sz="4" w:space="0" w:color="A6A6A6"/>
            </w:tcBorders>
            <w:noWrap/>
            <w:hideMark/>
          </w:tcPr>
          <w:p w14:paraId="2C33ECDC" w14:textId="77777777" w:rsidR="00CE75D4" w:rsidRPr="002029AF" w:rsidRDefault="00CE75D4" w:rsidP="008340C1">
            <w:pPr>
              <w:pStyle w:val="ARfintablebodyright"/>
            </w:pPr>
            <w:r w:rsidRPr="00BA77D7">
              <w:t>2.4</w:t>
            </w:r>
          </w:p>
        </w:tc>
      </w:tr>
      <w:tr w:rsidR="00CE75D4" w:rsidRPr="002029AF" w14:paraId="2725FE1A" w14:textId="77777777" w:rsidTr="00860E95">
        <w:tc>
          <w:tcPr>
            <w:tcW w:w="7371" w:type="dxa"/>
            <w:tcBorders>
              <w:top w:val="single" w:sz="4" w:space="0" w:color="A6A6A6"/>
              <w:bottom w:val="single" w:sz="4" w:space="0" w:color="A6A6A6"/>
            </w:tcBorders>
            <w:hideMark/>
          </w:tcPr>
          <w:p w14:paraId="664B1E35" w14:textId="77777777" w:rsidR="00CE75D4" w:rsidRPr="002029AF" w:rsidRDefault="00CE75D4" w:rsidP="008340C1">
            <w:pPr>
              <w:pStyle w:val="ARfintablebody"/>
            </w:pPr>
            <w:r w:rsidRPr="00BA77D7">
              <w:t>Community Health and Hospitals Program – Geelong Women</w:t>
            </w:r>
            <w:r>
              <w:t>’</w:t>
            </w:r>
            <w:r w:rsidRPr="00BA77D7">
              <w:t>s and Children</w:t>
            </w:r>
            <w:r>
              <w:t>’</w:t>
            </w:r>
            <w:r w:rsidRPr="00BA77D7">
              <w:t>s Hospital (Capital)</w:t>
            </w:r>
          </w:p>
        </w:tc>
        <w:tc>
          <w:tcPr>
            <w:tcW w:w="1133" w:type="dxa"/>
            <w:tcBorders>
              <w:top w:val="single" w:sz="4" w:space="0" w:color="A6A6A6"/>
              <w:bottom w:val="single" w:sz="4" w:space="0" w:color="A6A6A6"/>
            </w:tcBorders>
            <w:shd w:val="clear" w:color="auto" w:fill="E7E6E6"/>
            <w:noWrap/>
            <w:hideMark/>
          </w:tcPr>
          <w:p w14:paraId="6AD2C77F" w14:textId="77777777" w:rsidR="00CE75D4" w:rsidRPr="002029AF" w:rsidRDefault="00CE75D4" w:rsidP="008340C1">
            <w:pPr>
              <w:pStyle w:val="ARfintablebodyright"/>
            </w:pPr>
            <w:r w:rsidRPr="00BA77D7">
              <w:t>5.0</w:t>
            </w:r>
          </w:p>
        </w:tc>
        <w:tc>
          <w:tcPr>
            <w:tcW w:w="1133" w:type="dxa"/>
            <w:tcBorders>
              <w:top w:val="single" w:sz="4" w:space="0" w:color="A6A6A6"/>
              <w:bottom w:val="single" w:sz="4" w:space="0" w:color="A6A6A6"/>
            </w:tcBorders>
            <w:noWrap/>
            <w:hideMark/>
          </w:tcPr>
          <w:p w14:paraId="333C30B9" w14:textId="77777777" w:rsidR="00CE75D4" w:rsidRPr="002029AF" w:rsidRDefault="00CE75D4" w:rsidP="008340C1">
            <w:pPr>
              <w:pStyle w:val="ARfintablebodyright"/>
            </w:pPr>
            <w:r w:rsidRPr="00BA77D7">
              <w:t>5.0</w:t>
            </w:r>
          </w:p>
        </w:tc>
      </w:tr>
      <w:tr w:rsidR="00CE75D4" w:rsidRPr="002029AF" w14:paraId="33A1F903" w14:textId="77777777" w:rsidTr="00860E95">
        <w:tc>
          <w:tcPr>
            <w:tcW w:w="7371" w:type="dxa"/>
            <w:tcBorders>
              <w:top w:val="single" w:sz="4" w:space="0" w:color="A6A6A6"/>
              <w:bottom w:val="single" w:sz="4" w:space="0" w:color="A6A6A6"/>
            </w:tcBorders>
            <w:hideMark/>
          </w:tcPr>
          <w:p w14:paraId="7791FD90" w14:textId="77777777" w:rsidR="00CE75D4" w:rsidRPr="002029AF" w:rsidRDefault="00CE75D4" w:rsidP="008340C1">
            <w:pPr>
              <w:pStyle w:val="ARfintablebody"/>
            </w:pPr>
            <w:r w:rsidRPr="00BA77D7">
              <w:t>Community Health and Hospitals Program – Wodonga Hospital (Capital)</w:t>
            </w:r>
          </w:p>
        </w:tc>
        <w:tc>
          <w:tcPr>
            <w:tcW w:w="1133" w:type="dxa"/>
            <w:tcBorders>
              <w:top w:val="single" w:sz="4" w:space="0" w:color="A6A6A6"/>
              <w:bottom w:val="single" w:sz="4" w:space="0" w:color="A6A6A6"/>
            </w:tcBorders>
            <w:shd w:val="clear" w:color="auto" w:fill="E7E6E6"/>
            <w:noWrap/>
            <w:hideMark/>
          </w:tcPr>
          <w:p w14:paraId="36B98083" w14:textId="77777777" w:rsidR="00CE75D4" w:rsidRPr="002029AF" w:rsidRDefault="00CE75D4" w:rsidP="008340C1">
            <w:pPr>
              <w:pStyle w:val="ARfintablebodyright"/>
            </w:pPr>
            <w:r w:rsidRPr="00BA77D7">
              <w:t>6.0</w:t>
            </w:r>
          </w:p>
        </w:tc>
        <w:tc>
          <w:tcPr>
            <w:tcW w:w="1133" w:type="dxa"/>
            <w:tcBorders>
              <w:top w:val="single" w:sz="4" w:space="0" w:color="A6A6A6"/>
              <w:bottom w:val="single" w:sz="4" w:space="0" w:color="A6A6A6"/>
            </w:tcBorders>
            <w:noWrap/>
            <w:hideMark/>
          </w:tcPr>
          <w:p w14:paraId="0583FD88" w14:textId="77777777" w:rsidR="00CE75D4" w:rsidRPr="002029AF" w:rsidRDefault="00CE75D4" w:rsidP="008340C1">
            <w:pPr>
              <w:pStyle w:val="ARfintablebodyright"/>
            </w:pPr>
            <w:r w:rsidRPr="00BA77D7">
              <w:t>2.5</w:t>
            </w:r>
          </w:p>
        </w:tc>
      </w:tr>
      <w:tr w:rsidR="00CE75D4" w:rsidRPr="002029AF" w14:paraId="2323D339" w14:textId="77777777" w:rsidTr="00860E95">
        <w:tc>
          <w:tcPr>
            <w:tcW w:w="7371" w:type="dxa"/>
            <w:tcBorders>
              <w:top w:val="single" w:sz="4" w:space="0" w:color="A6A6A6"/>
              <w:bottom w:val="single" w:sz="4" w:space="0" w:color="A6A6A6"/>
            </w:tcBorders>
            <w:hideMark/>
          </w:tcPr>
          <w:p w14:paraId="67DAC12D" w14:textId="77777777" w:rsidR="00CE75D4" w:rsidRPr="002029AF" w:rsidRDefault="00CE75D4" w:rsidP="008340C1">
            <w:pPr>
              <w:pStyle w:val="ARfintablebody"/>
            </w:pPr>
            <w:r w:rsidRPr="00BA77D7">
              <w:t>Community Health and Hospitals Program – Redevelopment of Rosebud Hospital (Capital)</w:t>
            </w:r>
          </w:p>
        </w:tc>
        <w:tc>
          <w:tcPr>
            <w:tcW w:w="1133" w:type="dxa"/>
            <w:tcBorders>
              <w:top w:val="single" w:sz="4" w:space="0" w:color="A6A6A6"/>
              <w:bottom w:val="single" w:sz="4" w:space="0" w:color="A6A6A6"/>
            </w:tcBorders>
            <w:shd w:val="clear" w:color="auto" w:fill="E7E6E6"/>
            <w:noWrap/>
            <w:hideMark/>
          </w:tcPr>
          <w:p w14:paraId="4E31DA6D"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hideMark/>
          </w:tcPr>
          <w:p w14:paraId="699563D5" w14:textId="77777777" w:rsidR="00CE75D4" w:rsidRPr="002029AF" w:rsidRDefault="00CE75D4" w:rsidP="008340C1">
            <w:pPr>
              <w:pStyle w:val="ARfintablebodyright"/>
            </w:pPr>
            <w:r w:rsidRPr="00BA77D7">
              <w:t>5.0</w:t>
            </w:r>
          </w:p>
        </w:tc>
      </w:tr>
      <w:tr w:rsidR="00CE75D4" w:rsidRPr="002029AF" w14:paraId="071DC6B4" w14:textId="77777777" w:rsidTr="00860E95">
        <w:tc>
          <w:tcPr>
            <w:tcW w:w="7371" w:type="dxa"/>
            <w:tcBorders>
              <w:top w:val="single" w:sz="4" w:space="0" w:color="A6A6A6"/>
              <w:bottom w:val="single" w:sz="4" w:space="0" w:color="A6A6A6"/>
            </w:tcBorders>
            <w:hideMark/>
          </w:tcPr>
          <w:p w14:paraId="306AFA50" w14:textId="77777777" w:rsidR="00CE75D4" w:rsidRPr="002029AF" w:rsidRDefault="00CE75D4" w:rsidP="008340C1">
            <w:pPr>
              <w:pStyle w:val="ARfintablebody"/>
            </w:pPr>
            <w:r w:rsidRPr="00BA77D7">
              <w:t>Community Health and Hospitals Program – Expand Cancer Infrastructure in the West Gippsland Region (Capital)</w:t>
            </w:r>
          </w:p>
        </w:tc>
        <w:tc>
          <w:tcPr>
            <w:tcW w:w="1133" w:type="dxa"/>
            <w:tcBorders>
              <w:top w:val="single" w:sz="4" w:space="0" w:color="A6A6A6"/>
              <w:bottom w:val="single" w:sz="4" w:space="0" w:color="A6A6A6"/>
            </w:tcBorders>
            <w:shd w:val="clear" w:color="auto" w:fill="E7E6E6"/>
            <w:noWrap/>
            <w:hideMark/>
          </w:tcPr>
          <w:p w14:paraId="1311A947"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hideMark/>
          </w:tcPr>
          <w:p w14:paraId="2797D6F2" w14:textId="77777777" w:rsidR="00CE75D4" w:rsidRPr="002029AF" w:rsidRDefault="00CE75D4" w:rsidP="008340C1">
            <w:pPr>
              <w:pStyle w:val="ARfintablebodyright"/>
            </w:pPr>
            <w:r w:rsidRPr="00BA77D7">
              <w:t>4.5</w:t>
            </w:r>
          </w:p>
        </w:tc>
      </w:tr>
      <w:tr w:rsidR="00CE75D4" w:rsidRPr="002029AF" w14:paraId="1D32F794" w14:textId="77777777" w:rsidTr="00860E95">
        <w:tc>
          <w:tcPr>
            <w:tcW w:w="7371" w:type="dxa"/>
            <w:tcBorders>
              <w:top w:val="single" w:sz="4" w:space="0" w:color="A6A6A6"/>
              <w:bottom w:val="single" w:sz="4" w:space="0" w:color="A6A6A6"/>
            </w:tcBorders>
            <w:hideMark/>
          </w:tcPr>
          <w:p w14:paraId="1C5C9121" w14:textId="77777777" w:rsidR="00CE75D4" w:rsidRPr="002029AF" w:rsidRDefault="00CE75D4" w:rsidP="008340C1">
            <w:pPr>
              <w:pStyle w:val="ARfintablebody"/>
            </w:pPr>
            <w:r w:rsidRPr="00BA77D7">
              <w:t>Community Health and Hospitals Program – Paediatric Emergency Facilities (Capital)</w:t>
            </w:r>
          </w:p>
        </w:tc>
        <w:tc>
          <w:tcPr>
            <w:tcW w:w="1133" w:type="dxa"/>
            <w:tcBorders>
              <w:top w:val="single" w:sz="4" w:space="0" w:color="A6A6A6"/>
              <w:bottom w:val="single" w:sz="4" w:space="0" w:color="A6A6A6"/>
            </w:tcBorders>
            <w:shd w:val="clear" w:color="auto" w:fill="E7E6E6"/>
            <w:noWrap/>
            <w:hideMark/>
          </w:tcPr>
          <w:p w14:paraId="26385922" w14:textId="77777777" w:rsidR="00CE75D4" w:rsidRPr="002029AF" w:rsidRDefault="00CE75D4" w:rsidP="008340C1">
            <w:pPr>
              <w:pStyle w:val="ARfintablebodyright"/>
            </w:pPr>
            <w:r w:rsidRPr="00BA77D7">
              <w:t>7.0</w:t>
            </w:r>
          </w:p>
        </w:tc>
        <w:tc>
          <w:tcPr>
            <w:tcW w:w="1133" w:type="dxa"/>
            <w:tcBorders>
              <w:top w:val="single" w:sz="4" w:space="0" w:color="A6A6A6"/>
              <w:bottom w:val="single" w:sz="4" w:space="0" w:color="A6A6A6"/>
            </w:tcBorders>
            <w:noWrap/>
            <w:hideMark/>
          </w:tcPr>
          <w:p w14:paraId="5AC04564" w14:textId="77777777" w:rsidR="00CE75D4" w:rsidRPr="002029AF" w:rsidRDefault="00CE75D4" w:rsidP="008340C1">
            <w:pPr>
              <w:pStyle w:val="ARfintablebodyright"/>
            </w:pPr>
            <w:r>
              <w:t>–</w:t>
            </w:r>
          </w:p>
        </w:tc>
      </w:tr>
      <w:tr w:rsidR="00CE75D4" w:rsidRPr="002029AF" w14:paraId="205D93B1" w14:textId="77777777" w:rsidTr="00860E95">
        <w:tc>
          <w:tcPr>
            <w:tcW w:w="7371" w:type="dxa"/>
            <w:tcBorders>
              <w:top w:val="single" w:sz="4" w:space="0" w:color="A6A6A6"/>
              <w:bottom w:val="single" w:sz="4" w:space="0" w:color="A6A6A6"/>
            </w:tcBorders>
            <w:hideMark/>
          </w:tcPr>
          <w:p w14:paraId="4750B1F8" w14:textId="77777777" w:rsidR="00CE75D4" w:rsidRPr="002029AF" w:rsidRDefault="00CE75D4" w:rsidP="008340C1">
            <w:pPr>
              <w:pStyle w:val="ARfintablebody"/>
            </w:pPr>
            <w:r w:rsidRPr="00BA77D7">
              <w:t>Community Health and Hospitals Program – Aikenhead Centre for Medical Discovery (Output)</w:t>
            </w:r>
          </w:p>
        </w:tc>
        <w:tc>
          <w:tcPr>
            <w:tcW w:w="1133" w:type="dxa"/>
            <w:tcBorders>
              <w:top w:val="single" w:sz="4" w:space="0" w:color="A6A6A6"/>
              <w:bottom w:val="single" w:sz="4" w:space="0" w:color="A6A6A6"/>
            </w:tcBorders>
            <w:shd w:val="clear" w:color="auto" w:fill="E7E6E6"/>
            <w:noWrap/>
            <w:hideMark/>
          </w:tcPr>
          <w:p w14:paraId="7DC862B0" w14:textId="77777777" w:rsidR="00CE75D4" w:rsidRPr="002029AF" w:rsidRDefault="00CE75D4" w:rsidP="008340C1">
            <w:pPr>
              <w:pStyle w:val="ARfintablebodyright"/>
            </w:pPr>
            <w:r w:rsidRPr="00BA77D7">
              <w:t>10.0</w:t>
            </w:r>
          </w:p>
        </w:tc>
        <w:tc>
          <w:tcPr>
            <w:tcW w:w="1133" w:type="dxa"/>
            <w:tcBorders>
              <w:top w:val="single" w:sz="4" w:space="0" w:color="A6A6A6"/>
              <w:bottom w:val="single" w:sz="4" w:space="0" w:color="A6A6A6"/>
            </w:tcBorders>
            <w:noWrap/>
            <w:hideMark/>
          </w:tcPr>
          <w:p w14:paraId="0B7EF3D9" w14:textId="77777777" w:rsidR="00CE75D4" w:rsidRPr="002029AF" w:rsidRDefault="00CE75D4" w:rsidP="008340C1">
            <w:pPr>
              <w:pStyle w:val="ARfintablebodyright"/>
            </w:pPr>
            <w:r>
              <w:t>–</w:t>
            </w:r>
          </w:p>
        </w:tc>
      </w:tr>
      <w:tr w:rsidR="00CE75D4" w:rsidRPr="002029AF" w14:paraId="2F26DB90" w14:textId="77777777" w:rsidTr="00860E95">
        <w:tc>
          <w:tcPr>
            <w:tcW w:w="7371" w:type="dxa"/>
            <w:tcBorders>
              <w:top w:val="single" w:sz="4" w:space="0" w:color="A6A6A6"/>
              <w:bottom w:val="single" w:sz="4" w:space="0" w:color="A6A6A6"/>
            </w:tcBorders>
            <w:hideMark/>
          </w:tcPr>
          <w:p w14:paraId="40F7A832" w14:textId="77777777" w:rsidR="00CE75D4" w:rsidRPr="002029AF" w:rsidRDefault="00CE75D4" w:rsidP="008340C1">
            <w:pPr>
              <w:pStyle w:val="ARfintablebody"/>
            </w:pPr>
            <w:r w:rsidRPr="00BA77D7">
              <w:t>Community Health and Hospitals Program – Swan District Hospital (Capital)</w:t>
            </w:r>
          </w:p>
        </w:tc>
        <w:tc>
          <w:tcPr>
            <w:tcW w:w="1133" w:type="dxa"/>
            <w:tcBorders>
              <w:top w:val="single" w:sz="4" w:space="0" w:color="A6A6A6"/>
              <w:bottom w:val="single" w:sz="4" w:space="0" w:color="A6A6A6"/>
            </w:tcBorders>
            <w:shd w:val="clear" w:color="auto" w:fill="E7E6E6"/>
            <w:noWrap/>
            <w:hideMark/>
          </w:tcPr>
          <w:p w14:paraId="77FC5729" w14:textId="77777777" w:rsidR="00CE75D4" w:rsidRPr="002029AF" w:rsidRDefault="00CE75D4" w:rsidP="008340C1">
            <w:pPr>
              <w:pStyle w:val="ARfintablebodyright"/>
            </w:pPr>
            <w:r w:rsidRPr="00BA77D7">
              <w:t>10.0</w:t>
            </w:r>
          </w:p>
        </w:tc>
        <w:tc>
          <w:tcPr>
            <w:tcW w:w="1133" w:type="dxa"/>
            <w:tcBorders>
              <w:top w:val="single" w:sz="4" w:space="0" w:color="A6A6A6"/>
              <w:bottom w:val="single" w:sz="4" w:space="0" w:color="A6A6A6"/>
            </w:tcBorders>
            <w:noWrap/>
            <w:hideMark/>
          </w:tcPr>
          <w:p w14:paraId="26A8A74C" w14:textId="77777777" w:rsidR="00CE75D4" w:rsidRPr="002029AF" w:rsidRDefault="00CE75D4" w:rsidP="008340C1">
            <w:pPr>
              <w:pStyle w:val="ARfintablebodyright"/>
            </w:pPr>
            <w:r>
              <w:t>–</w:t>
            </w:r>
          </w:p>
        </w:tc>
      </w:tr>
      <w:tr w:rsidR="00CE75D4" w:rsidRPr="002029AF" w14:paraId="626DB19E" w14:textId="77777777" w:rsidTr="00860E95">
        <w:tc>
          <w:tcPr>
            <w:tcW w:w="7371" w:type="dxa"/>
            <w:tcBorders>
              <w:top w:val="single" w:sz="4" w:space="0" w:color="A6A6A6"/>
              <w:bottom w:val="single" w:sz="4" w:space="0" w:color="A6A6A6"/>
            </w:tcBorders>
            <w:hideMark/>
          </w:tcPr>
          <w:p w14:paraId="00C1EBB3" w14:textId="77777777" w:rsidR="00CE75D4" w:rsidRPr="002029AF" w:rsidRDefault="00CE75D4" w:rsidP="008340C1">
            <w:pPr>
              <w:pStyle w:val="ARfintablebody"/>
            </w:pPr>
            <w:r w:rsidRPr="00BA77D7">
              <w:t>Essential Vaccines (Output)</w:t>
            </w:r>
          </w:p>
        </w:tc>
        <w:tc>
          <w:tcPr>
            <w:tcW w:w="1133" w:type="dxa"/>
            <w:tcBorders>
              <w:top w:val="single" w:sz="4" w:space="0" w:color="A6A6A6"/>
              <w:bottom w:val="single" w:sz="4" w:space="0" w:color="A6A6A6"/>
            </w:tcBorders>
            <w:shd w:val="clear" w:color="auto" w:fill="E7E6E6"/>
            <w:noWrap/>
            <w:hideMark/>
          </w:tcPr>
          <w:p w14:paraId="2A7BD0F9" w14:textId="77777777" w:rsidR="00CE75D4" w:rsidRPr="002029AF" w:rsidRDefault="00CE75D4" w:rsidP="008340C1">
            <w:pPr>
              <w:pStyle w:val="ARfintablebodyright"/>
            </w:pPr>
            <w:r w:rsidRPr="00BA77D7">
              <w:t>4.0</w:t>
            </w:r>
          </w:p>
        </w:tc>
        <w:tc>
          <w:tcPr>
            <w:tcW w:w="1133" w:type="dxa"/>
            <w:tcBorders>
              <w:top w:val="single" w:sz="4" w:space="0" w:color="A6A6A6"/>
              <w:bottom w:val="single" w:sz="4" w:space="0" w:color="A6A6A6"/>
            </w:tcBorders>
            <w:noWrap/>
            <w:hideMark/>
          </w:tcPr>
          <w:p w14:paraId="6B0CBAF8" w14:textId="77777777" w:rsidR="00CE75D4" w:rsidRPr="002029AF" w:rsidRDefault="00CE75D4" w:rsidP="008340C1">
            <w:pPr>
              <w:pStyle w:val="ARfintablebodyright"/>
            </w:pPr>
            <w:r w:rsidRPr="00BA77D7">
              <w:t>3.9</w:t>
            </w:r>
          </w:p>
        </w:tc>
      </w:tr>
      <w:tr w:rsidR="00CE75D4" w:rsidRPr="002029AF" w14:paraId="7FFF928F" w14:textId="77777777" w:rsidTr="00860E95">
        <w:tc>
          <w:tcPr>
            <w:tcW w:w="7371" w:type="dxa"/>
            <w:tcBorders>
              <w:top w:val="single" w:sz="4" w:space="0" w:color="A6A6A6"/>
              <w:bottom w:val="single" w:sz="4" w:space="0" w:color="A6A6A6"/>
            </w:tcBorders>
          </w:tcPr>
          <w:p w14:paraId="2543E3AD" w14:textId="77777777" w:rsidR="00CE75D4" w:rsidRPr="002029AF" w:rsidRDefault="00CE75D4" w:rsidP="008340C1">
            <w:pPr>
              <w:pStyle w:val="ARfintablebody"/>
            </w:pPr>
            <w:r w:rsidRPr="00BA77D7">
              <w:t>Expansion of the BreastScreen Australia Program (Output)</w:t>
            </w:r>
          </w:p>
        </w:tc>
        <w:tc>
          <w:tcPr>
            <w:tcW w:w="1133" w:type="dxa"/>
            <w:tcBorders>
              <w:top w:val="single" w:sz="4" w:space="0" w:color="A6A6A6"/>
              <w:bottom w:val="single" w:sz="4" w:space="0" w:color="A6A6A6"/>
            </w:tcBorders>
            <w:shd w:val="clear" w:color="auto" w:fill="E7E6E6"/>
            <w:noWrap/>
          </w:tcPr>
          <w:p w14:paraId="38821F31"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tcPr>
          <w:p w14:paraId="72F36F3E" w14:textId="77777777" w:rsidR="00CE75D4" w:rsidRPr="002029AF" w:rsidRDefault="00CE75D4" w:rsidP="008340C1">
            <w:pPr>
              <w:pStyle w:val="ARfintablebodyright"/>
            </w:pPr>
            <w:r w:rsidRPr="00BA77D7">
              <w:t>3.9</w:t>
            </w:r>
          </w:p>
        </w:tc>
      </w:tr>
      <w:tr w:rsidR="00CE75D4" w:rsidRPr="002029AF" w14:paraId="0F62F977" w14:textId="77777777" w:rsidTr="00860E95">
        <w:tc>
          <w:tcPr>
            <w:tcW w:w="7371" w:type="dxa"/>
            <w:tcBorders>
              <w:top w:val="single" w:sz="4" w:space="0" w:color="A6A6A6"/>
              <w:bottom w:val="single" w:sz="4" w:space="0" w:color="A6A6A6"/>
            </w:tcBorders>
          </w:tcPr>
          <w:p w14:paraId="0AA66D84" w14:textId="77777777" w:rsidR="00CE75D4" w:rsidRPr="002029AF" w:rsidRDefault="00CE75D4" w:rsidP="008340C1">
            <w:pPr>
              <w:pStyle w:val="ARfintablebody"/>
            </w:pPr>
            <w:r w:rsidRPr="00BA77D7">
              <w:t>Family Law Information Sharing (Output)</w:t>
            </w:r>
            <w:r w:rsidRPr="008B6631">
              <w:t xml:space="preserve"> </w:t>
            </w:r>
            <w:r w:rsidRPr="00AC3632">
              <w:rPr>
                <w:rStyle w:val="Superscript"/>
              </w:rPr>
              <w:t>(i)</w:t>
            </w:r>
          </w:p>
        </w:tc>
        <w:tc>
          <w:tcPr>
            <w:tcW w:w="1133" w:type="dxa"/>
            <w:tcBorders>
              <w:top w:val="single" w:sz="4" w:space="0" w:color="A6A6A6"/>
              <w:bottom w:val="single" w:sz="4" w:space="0" w:color="A6A6A6"/>
            </w:tcBorders>
            <w:shd w:val="clear" w:color="auto" w:fill="E7E6E6"/>
            <w:noWrap/>
          </w:tcPr>
          <w:p w14:paraId="2DC41448"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tcPr>
          <w:p w14:paraId="564AD1E4" w14:textId="77777777" w:rsidR="00CE75D4" w:rsidRPr="002029AF" w:rsidRDefault="00CE75D4" w:rsidP="008340C1">
            <w:pPr>
              <w:pStyle w:val="ARfintablebodyright"/>
            </w:pPr>
            <w:r w:rsidRPr="00BA77D7">
              <w:t>0.3</w:t>
            </w:r>
          </w:p>
        </w:tc>
      </w:tr>
      <w:tr w:rsidR="00CE75D4" w:rsidRPr="002029AF" w14:paraId="438EE6AE" w14:textId="77777777" w:rsidTr="00860E95">
        <w:tc>
          <w:tcPr>
            <w:tcW w:w="7371" w:type="dxa"/>
            <w:tcBorders>
              <w:top w:val="single" w:sz="4" w:space="0" w:color="A6A6A6"/>
              <w:bottom w:val="single" w:sz="4" w:space="0" w:color="A6A6A6"/>
            </w:tcBorders>
          </w:tcPr>
          <w:p w14:paraId="6308F157" w14:textId="77777777" w:rsidR="00CE75D4" w:rsidRPr="002029AF" w:rsidRDefault="00CE75D4" w:rsidP="008340C1">
            <w:pPr>
              <w:pStyle w:val="ARfintablebody"/>
            </w:pPr>
            <w:r w:rsidRPr="00BA77D7">
              <w:t>Health Services – National Bowel Cancer Screening Program (Output)</w:t>
            </w:r>
          </w:p>
        </w:tc>
        <w:tc>
          <w:tcPr>
            <w:tcW w:w="1133" w:type="dxa"/>
            <w:tcBorders>
              <w:top w:val="single" w:sz="4" w:space="0" w:color="A6A6A6"/>
              <w:bottom w:val="single" w:sz="4" w:space="0" w:color="A6A6A6"/>
            </w:tcBorders>
            <w:shd w:val="clear" w:color="auto" w:fill="E7E6E6"/>
            <w:noWrap/>
          </w:tcPr>
          <w:p w14:paraId="691F8FC3" w14:textId="77777777" w:rsidR="00CE75D4" w:rsidRPr="002029AF" w:rsidRDefault="00CE75D4" w:rsidP="008340C1">
            <w:pPr>
              <w:pStyle w:val="ARfintablebodyright"/>
            </w:pPr>
            <w:r w:rsidRPr="00BA77D7">
              <w:t>2.2</w:t>
            </w:r>
          </w:p>
        </w:tc>
        <w:tc>
          <w:tcPr>
            <w:tcW w:w="1133" w:type="dxa"/>
            <w:tcBorders>
              <w:top w:val="single" w:sz="4" w:space="0" w:color="A6A6A6"/>
              <w:bottom w:val="single" w:sz="4" w:space="0" w:color="A6A6A6"/>
            </w:tcBorders>
            <w:noWrap/>
          </w:tcPr>
          <w:p w14:paraId="7ADB2106" w14:textId="77777777" w:rsidR="00CE75D4" w:rsidRPr="002029AF" w:rsidRDefault="00CE75D4" w:rsidP="008340C1">
            <w:pPr>
              <w:pStyle w:val="ARfintablebodyright"/>
            </w:pPr>
            <w:r w:rsidRPr="00BA77D7">
              <w:t>2.2</w:t>
            </w:r>
          </w:p>
        </w:tc>
      </w:tr>
      <w:tr w:rsidR="00CE75D4" w:rsidRPr="002029AF" w14:paraId="39A9B425" w14:textId="77777777" w:rsidTr="00860E95">
        <w:tc>
          <w:tcPr>
            <w:tcW w:w="7371" w:type="dxa"/>
            <w:tcBorders>
              <w:top w:val="single" w:sz="4" w:space="0" w:color="A6A6A6"/>
              <w:bottom w:val="single" w:sz="4" w:space="0" w:color="A6A6A6"/>
            </w:tcBorders>
            <w:hideMark/>
          </w:tcPr>
          <w:p w14:paraId="5C3472A8" w14:textId="77777777" w:rsidR="00CE75D4" w:rsidRPr="002029AF" w:rsidRDefault="00CE75D4" w:rsidP="008340C1">
            <w:pPr>
              <w:pStyle w:val="ARfintablebody"/>
            </w:pPr>
            <w:r w:rsidRPr="00BA77D7">
              <w:t>Health Services – OzFoodNet (Output)</w:t>
            </w:r>
          </w:p>
        </w:tc>
        <w:tc>
          <w:tcPr>
            <w:tcW w:w="1133" w:type="dxa"/>
            <w:tcBorders>
              <w:top w:val="single" w:sz="4" w:space="0" w:color="A6A6A6"/>
              <w:bottom w:val="single" w:sz="4" w:space="0" w:color="A6A6A6"/>
            </w:tcBorders>
            <w:shd w:val="clear" w:color="auto" w:fill="E7E6E6"/>
            <w:noWrap/>
            <w:hideMark/>
          </w:tcPr>
          <w:p w14:paraId="631F81E1" w14:textId="77777777" w:rsidR="00CE75D4" w:rsidRPr="002029AF" w:rsidRDefault="00CE75D4" w:rsidP="008340C1">
            <w:pPr>
              <w:pStyle w:val="ARfintablebodyright"/>
            </w:pPr>
            <w:r w:rsidRPr="00BA77D7">
              <w:t>0.3</w:t>
            </w:r>
          </w:p>
        </w:tc>
        <w:tc>
          <w:tcPr>
            <w:tcW w:w="1133" w:type="dxa"/>
            <w:tcBorders>
              <w:top w:val="single" w:sz="4" w:space="0" w:color="A6A6A6"/>
              <w:bottom w:val="single" w:sz="4" w:space="0" w:color="A6A6A6"/>
            </w:tcBorders>
            <w:noWrap/>
            <w:hideMark/>
          </w:tcPr>
          <w:p w14:paraId="4AC66F54" w14:textId="77777777" w:rsidR="00CE75D4" w:rsidRPr="002029AF" w:rsidRDefault="00CE75D4" w:rsidP="008340C1">
            <w:pPr>
              <w:pStyle w:val="ARfintablebodyright"/>
            </w:pPr>
            <w:r w:rsidRPr="00BA77D7">
              <w:t>0.3</w:t>
            </w:r>
          </w:p>
        </w:tc>
      </w:tr>
      <w:tr w:rsidR="00CE75D4" w:rsidRPr="002029AF" w14:paraId="60DBA115" w14:textId="77777777" w:rsidTr="00860E95">
        <w:tc>
          <w:tcPr>
            <w:tcW w:w="7371" w:type="dxa"/>
            <w:tcBorders>
              <w:top w:val="single" w:sz="4" w:space="0" w:color="A6A6A6"/>
              <w:bottom w:val="single" w:sz="4" w:space="0" w:color="A6A6A6"/>
            </w:tcBorders>
            <w:hideMark/>
          </w:tcPr>
          <w:p w14:paraId="3E70C5FC" w14:textId="77777777" w:rsidR="00CE75D4" w:rsidRPr="002029AF" w:rsidRDefault="00CE75D4" w:rsidP="008340C1">
            <w:pPr>
              <w:pStyle w:val="ARfintablebody"/>
            </w:pPr>
            <w:r w:rsidRPr="00BA77D7">
              <w:t>Health Services – Vaccine-Preventable Diseases Surveillance Program (Output)</w:t>
            </w:r>
          </w:p>
        </w:tc>
        <w:tc>
          <w:tcPr>
            <w:tcW w:w="1133" w:type="dxa"/>
            <w:tcBorders>
              <w:top w:val="single" w:sz="4" w:space="0" w:color="A6A6A6"/>
              <w:bottom w:val="single" w:sz="4" w:space="0" w:color="A6A6A6"/>
            </w:tcBorders>
            <w:shd w:val="clear" w:color="auto" w:fill="E7E6E6"/>
            <w:noWrap/>
            <w:hideMark/>
          </w:tcPr>
          <w:p w14:paraId="07682686" w14:textId="77777777" w:rsidR="00CE75D4" w:rsidRPr="002029AF" w:rsidRDefault="00CE75D4" w:rsidP="008340C1">
            <w:pPr>
              <w:pStyle w:val="ARfintablebodyright"/>
            </w:pPr>
            <w:r w:rsidRPr="00BA77D7">
              <w:t>0.2</w:t>
            </w:r>
          </w:p>
        </w:tc>
        <w:tc>
          <w:tcPr>
            <w:tcW w:w="1133" w:type="dxa"/>
            <w:tcBorders>
              <w:top w:val="single" w:sz="4" w:space="0" w:color="A6A6A6"/>
              <w:bottom w:val="single" w:sz="4" w:space="0" w:color="A6A6A6"/>
            </w:tcBorders>
            <w:noWrap/>
            <w:hideMark/>
          </w:tcPr>
          <w:p w14:paraId="419A8B37" w14:textId="77777777" w:rsidR="00CE75D4" w:rsidRPr="002029AF" w:rsidRDefault="00CE75D4" w:rsidP="008340C1">
            <w:pPr>
              <w:pStyle w:val="ARfintablebodyright"/>
            </w:pPr>
            <w:r w:rsidRPr="00BA77D7">
              <w:t>0.2</w:t>
            </w:r>
          </w:p>
        </w:tc>
      </w:tr>
      <w:tr w:rsidR="00CE75D4" w:rsidRPr="002029AF" w14:paraId="0C9C2FB3" w14:textId="77777777" w:rsidTr="00860E95">
        <w:tc>
          <w:tcPr>
            <w:tcW w:w="7371" w:type="dxa"/>
            <w:tcBorders>
              <w:top w:val="single" w:sz="4" w:space="0" w:color="A6A6A6"/>
              <w:bottom w:val="single" w:sz="4" w:space="0" w:color="A6A6A6"/>
            </w:tcBorders>
          </w:tcPr>
          <w:p w14:paraId="64BF963E" w14:textId="77777777" w:rsidR="00CE75D4" w:rsidRPr="004456FE" w:rsidRDefault="00CE75D4" w:rsidP="008340C1">
            <w:pPr>
              <w:pStyle w:val="ARfintablebody"/>
            </w:pPr>
            <w:r w:rsidRPr="00BA77D7">
              <w:t>Health Services – Victorian Cytology Service (Output)</w:t>
            </w:r>
          </w:p>
        </w:tc>
        <w:tc>
          <w:tcPr>
            <w:tcW w:w="1133" w:type="dxa"/>
            <w:tcBorders>
              <w:top w:val="single" w:sz="4" w:space="0" w:color="A6A6A6"/>
              <w:bottom w:val="single" w:sz="4" w:space="0" w:color="A6A6A6"/>
            </w:tcBorders>
            <w:shd w:val="clear" w:color="auto" w:fill="E7E6E6"/>
            <w:noWrap/>
          </w:tcPr>
          <w:p w14:paraId="24F3ACC8" w14:textId="77777777" w:rsidR="00CE75D4" w:rsidRPr="004456FE" w:rsidRDefault="00CE75D4" w:rsidP="008340C1">
            <w:pPr>
              <w:pStyle w:val="ARfintablebodyright"/>
            </w:pPr>
            <w:r>
              <w:t>–</w:t>
            </w:r>
          </w:p>
        </w:tc>
        <w:tc>
          <w:tcPr>
            <w:tcW w:w="1133" w:type="dxa"/>
            <w:tcBorders>
              <w:top w:val="single" w:sz="4" w:space="0" w:color="A6A6A6"/>
              <w:bottom w:val="single" w:sz="4" w:space="0" w:color="A6A6A6"/>
            </w:tcBorders>
            <w:noWrap/>
          </w:tcPr>
          <w:p w14:paraId="3338297B" w14:textId="77777777" w:rsidR="00CE75D4" w:rsidRPr="004456FE" w:rsidRDefault="00CE75D4" w:rsidP="008340C1">
            <w:pPr>
              <w:pStyle w:val="ARfintablebodyright"/>
            </w:pPr>
            <w:r w:rsidRPr="00BA77D7">
              <w:t>10.6</w:t>
            </w:r>
          </w:p>
        </w:tc>
      </w:tr>
      <w:tr w:rsidR="00CE75D4" w:rsidRPr="002029AF" w14:paraId="061EC8CD" w14:textId="77777777" w:rsidTr="00860E95">
        <w:tc>
          <w:tcPr>
            <w:tcW w:w="7371" w:type="dxa"/>
            <w:tcBorders>
              <w:top w:val="single" w:sz="4" w:space="0" w:color="A6A6A6"/>
              <w:bottom w:val="single" w:sz="4" w:space="0" w:color="A6A6A6"/>
            </w:tcBorders>
          </w:tcPr>
          <w:p w14:paraId="5EDE9B99" w14:textId="77777777" w:rsidR="00CE75D4" w:rsidRPr="004456FE" w:rsidRDefault="00CE75D4" w:rsidP="008340C1">
            <w:pPr>
              <w:pStyle w:val="ARfintablebody"/>
            </w:pPr>
            <w:r w:rsidRPr="00BA77D7">
              <w:t>National Housing and Homelessness Agreement (Output)</w:t>
            </w:r>
            <w:r w:rsidRPr="008B6631">
              <w:t xml:space="preserve"> </w:t>
            </w:r>
            <w:r w:rsidRPr="00AC3632">
              <w:rPr>
                <w:rStyle w:val="Superscript"/>
              </w:rPr>
              <w:t>(</w:t>
            </w:r>
            <w:r>
              <w:rPr>
                <w:rStyle w:val="Superscript"/>
              </w:rPr>
              <w:t>i</w:t>
            </w:r>
            <w:r w:rsidRPr="00AC3632">
              <w:rPr>
                <w:rStyle w:val="Superscript"/>
              </w:rPr>
              <w:t>i)</w:t>
            </w:r>
          </w:p>
        </w:tc>
        <w:tc>
          <w:tcPr>
            <w:tcW w:w="1133" w:type="dxa"/>
            <w:tcBorders>
              <w:top w:val="single" w:sz="4" w:space="0" w:color="A6A6A6"/>
              <w:bottom w:val="single" w:sz="4" w:space="0" w:color="A6A6A6"/>
            </w:tcBorders>
            <w:shd w:val="clear" w:color="auto" w:fill="E7E6E6"/>
            <w:noWrap/>
          </w:tcPr>
          <w:p w14:paraId="1D0437EB" w14:textId="77777777" w:rsidR="00CE75D4" w:rsidRPr="004456FE" w:rsidRDefault="00CE75D4" w:rsidP="008340C1">
            <w:pPr>
              <w:pStyle w:val="ARfintablebodyright"/>
            </w:pPr>
            <w:r>
              <w:t>–</w:t>
            </w:r>
          </w:p>
        </w:tc>
        <w:tc>
          <w:tcPr>
            <w:tcW w:w="1133" w:type="dxa"/>
            <w:tcBorders>
              <w:top w:val="single" w:sz="4" w:space="0" w:color="A6A6A6"/>
              <w:bottom w:val="single" w:sz="4" w:space="0" w:color="A6A6A6"/>
            </w:tcBorders>
            <w:noWrap/>
          </w:tcPr>
          <w:p w14:paraId="45E1E519" w14:textId="77777777" w:rsidR="00CE75D4" w:rsidRPr="004456FE" w:rsidRDefault="00CE75D4" w:rsidP="008340C1">
            <w:pPr>
              <w:pStyle w:val="ARfintablebodyright"/>
            </w:pPr>
            <w:r w:rsidRPr="00BA77D7">
              <w:t>413.1</w:t>
            </w:r>
          </w:p>
        </w:tc>
      </w:tr>
      <w:tr w:rsidR="00CE75D4" w:rsidRPr="002029AF" w14:paraId="72C87DD5" w14:textId="77777777" w:rsidTr="00860E95">
        <w:tc>
          <w:tcPr>
            <w:tcW w:w="7371" w:type="dxa"/>
            <w:tcBorders>
              <w:top w:val="single" w:sz="4" w:space="0" w:color="A6A6A6"/>
              <w:bottom w:val="single" w:sz="4" w:space="0" w:color="A6A6A6"/>
            </w:tcBorders>
            <w:hideMark/>
          </w:tcPr>
          <w:p w14:paraId="660A1658" w14:textId="77777777" w:rsidR="00CE75D4" w:rsidRPr="002029AF" w:rsidRDefault="00CE75D4" w:rsidP="008340C1">
            <w:pPr>
              <w:pStyle w:val="ARfintablebody"/>
            </w:pPr>
            <w:r w:rsidRPr="00BA77D7">
              <w:t>Lymphoedema Compression Garment Scheme (Output)</w:t>
            </w:r>
          </w:p>
        </w:tc>
        <w:tc>
          <w:tcPr>
            <w:tcW w:w="1133" w:type="dxa"/>
            <w:tcBorders>
              <w:top w:val="single" w:sz="4" w:space="0" w:color="A6A6A6"/>
              <w:bottom w:val="single" w:sz="4" w:space="0" w:color="A6A6A6"/>
            </w:tcBorders>
            <w:shd w:val="clear" w:color="auto" w:fill="E7E6E6"/>
            <w:noWrap/>
            <w:hideMark/>
          </w:tcPr>
          <w:p w14:paraId="2C081ED0" w14:textId="77777777" w:rsidR="00CE75D4" w:rsidRPr="002029AF" w:rsidRDefault="00CE75D4" w:rsidP="008340C1">
            <w:pPr>
              <w:pStyle w:val="ARfintablebodyright"/>
            </w:pPr>
            <w:r w:rsidRPr="00BA77D7">
              <w:t>0.5</w:t>
            </w:r>
          </w:p>
        </w:tc>
        <w:tc>
          <w:tcPr>
            <w:tcW w:w="1133" w:type="dxa"/>
            <w:tcBorders>
              <w:top w:val="single" w:sz="4" w:space="0" w:color="A6A6A6"/>
              <w:bottom w:val="single" w:sz="4" w:space="0" w:color="A6A6A6"/>
            </w:tcBorders>
            <w:noWrap/>
            <w:hideMark/>
          </w:tcPr>
          <w:p w14:paraId="4E92DA2B" w14:textId="77777777" w:rsidR="00CE75D4" w:rsidRPr="002029AF" w:rsidRDefault="00CE75D4" w:rsidP="008340C1">
            <w:pPr>
              <w:pStyle w:val="ARfintablebodyright"/>
            </w:pPr>
            <w:r w:rsidRPr="00BA77D7">
              <w:t>1.0</w:t>
            </w:r>
          </w:p>
        </w:tc>
      </w:tr>
      <w:tr w:rsidR="00CE75D4" w:rsidRPr="002029AF" w14:paraId="09A7D4C6" w14:textId="77777777" w:rsidTr="00860E95">
        <w:tc>
          <w:tcPr>
            <w:tcW w:w="7371" w:type="dxa"/>
            <w:tcBorders>
              <w:top w:val="single" w:sz="4" w:space="0" w:color="A6A6A6"/>
              <w:bottom w:val="single" w:sz="4" w:space="0" w:color="A6A6A6"/>
            </w:tcBorders>
            <w:hideMark/>
          </w:tcPr>
          <w:p w14:paraId="109048E5" w14:textId="77777777" w:rsidR="00CE75D4" w:rsidRPr="002029AF" w:rsidRDefault="00CE75D4" w:rsidP="008340C1">
            <w:pPr>
              <w:pStyle w:val="ARfintablebody"/>
            </w:pPr>
            <w:r w:rsidRPr="00BA77D7">
              <w:t>Comprehensive Palliative Care (Output)</w:t>
            </w:r>
          </w:p>
        </w:tc>
        <w:tc>
          <w:tcPr>
            <w:tcW w:w="1133" w:type="dxa"/>
            <w:tcBorders>
              <w:top w:val="single" w:sz="4" w:space="0" w:color="A6A6A6"/>
              <w:bottom w:val="single" w:sz="4" w:space="0" w:color="A6A6A6"/>
            </w:tcBorders>
            <w:shd w:val="clear" w:color="auto" w:fill="E7E6E6"/>
            <w:noWrap/>
            <w:hideMark/>
          </w:tcPr>
          <w:p w14:paraId="0A493E0E" w14:textId="77777777" w:rsidR="00CE75D4" w:rsidRPr="002029AF" w:rsidRDefault="00CE75D4" w:rsidP="008340C1">
            <w:pPr>
              <w:pStyle w:val="ARfintablebodyright"/>
            </w:pPr>
            <w:r w:rsidRPr="00BA77D7">
              <w:t>5.3</w:t>
            </w:r>
          </w:p>
        </w:tc>
        <w:tc>
          <w:tcPr>
            <w:tcW w:w="1133" w:type="dxa"/>
            <w:tcBorders>
              <w:top w:val="single" w:sz="4" w:space="0" w:color="A6A6A6"/>
              <w:bottom w:val="single" w:sz="4" w:space="0" w:color="A6A6A6"/>
            </w:tcBorders>
            <w:noWrap/>
            <w:hideMark/>
          </w:tcPr>
          <w:p w14:paraId="36DE4FCA" w14:textId="77777777" w:rsidR="00CE75D4" w:rsidRPr="002029AF" w:rsidRDefault="00CE75D4" w:rsidP="008340C1">
            <w:pPr>
              <w:pStyle w:val="ARfintablebodyright"/>
            </w:pPr>
            <w:r>
              <w:t>–</w:t>
            </w:r>
          </w:p>
        </w:tc>
      </w:tr>
      <w:tr w:rsidR="00CE75D4" w:rsidRPr="002029AF" w14:paraId="24E878C8" w14:textId="77777777" w:rsidTr="00860E95">
        <w:tc>
          <w:tcPr>
            <w:tcW w:w="7371" w:type="dxa"/>
            <w:tcBorders>
              <w:top w:val="single" w:sz="4" w:space="0" w:color="A6A6A6"/>
              <w:bottom w:val="single" w:sz="4" w:space="0" w:color="A6A6A6"/>
            </w:tcBorders>
            <w:hideMark/>
          </w:tcPr>
          <w:p w14:paraId="069A61FC" w14:textId="77777777" w:rsidR="00CE75D4" w:rsidRPr="002029AF" w:rsidRDefault="00CE75D4" w:rsidP="008340C1">
            <w:pPr>
              <w:pStyle w:val="ARfintablebody"/>
            </w:pPr>
            <w:r w:rsidRPr="00BA77D7">
              <w:t>Specialist Dementia Care Program (Output)</w:t>
            </w:r>
          </w:p>
        </w:tc>
        <w:tc>
          <w:tcPr>
            <w:tcW w:w="1133" w:type="dxa"/>
            <w:tcBorders>
              <w:top w:val="single" w:sz="4" w:space="0" w:color="A6A6A6"/>
              <w:bottom w:val="single" w:sz="4" w:space="0" w:color="A6A6A6"/>
            </w:tcBorders>
            <w:shd w:val="clear" w:color="auto" w:fill="E7E6E6"/>
            <w:noWrap/>
            <w:hideMark/>
          </w:tcPr>
          <w:p w14:paraId="6BADC0E8" w14:textId="77777777" w:rsidR="00CE75D4" w:rsidRPr="002029AF" w:rsidRDefault="00CE75D4" w:rsidP="008340C1">
            <w:pPr>
              <w:pStyle w:val="ARfintablebodyright"/>
            </w:pPr>
            <w:r w:rsidRPr="00BA77D7">
              <w:t>0.8</w:t>
            </w:r>
          </w:p>
        </w:tc>
        <w:tc>
          <w:tcPr>
            <w:tcW w:w="1133" w:type="dxa"/>
            <w:tcBorders>
              <w:top w:val="single" w:sz="4" w:space="0" w:color="A6A6A6"/>
              <w:bottom w:val="single" w:sz="4" w:space="0" w:color="A6A6A6"/>
            </w:tcBorders>
            <w:noWrap/>
            <w:hideMark/>
          </w:tcPr>
          <w:p w14:paraId="03CE859D" w14:textId="77777777" w:rsidR="00CE75D4" w:rsidRPr="002029AF" w:rsidRDefault="00CE75D4" w:rsidP="008340C1">
            <w:pPr>
              <w:pStyle w:val="ARfintablebodyright"/>
            </w:pPr>
            <w:r w:rsidRPr="00BA77D7">
              <w:t>0.7</w:t>
            </w:r>
          </w:p>
        </w:tc>
      </w:tr>
      <w:tr w:rsidR="00CE75D4" w:rsidRPr="002029AF" w14:paraId="74636510" w14:textId="77777777" w:rsidTr="00860E95">
        <w:tc>
          <w:tcPr>
            <w:tcW w:w="9637" w:type="dxa"/>
            <w:gridSpan w:val="3"/>
            <w:tcBorders>
              <w:top w:val="single" w:sz="4" w:space="0" w:color="A6A6A6"/>
              <w:bottom w:val="single" w:sz="4" w:space="0" w:color="A6A6A6"/>
            </w:tcBorders>
            <w:hideMark/>
          </w:tcPr>
          <w:p w14:paraId="056E5299" w14:textId="77777777" w:rsidR="00CE75D4" w:rsidRPr="002029AF" w:rsidRDefault="00CE75D4" w:rsidP="008340C1">
            <w:pPr>
              <w:pStyle w:val="ARfintablebodybold"/>
            </w:pPr>
            <w:r w:rsidRPr="00BA77D7">
              <w:t>Other</w:t>
            </w:r>
          </w:p>
        </w:tc>
      </w:tr>
      <w:tr w:rsidR="00CE75D4" w:rsidRPr="002029AF" w14:paraId="64AE716C" w14:textId="77777777" w:rsidTr="00860E95">
        <w:tc>
          <w:tcPr>
            <w:tcW w:w="7371" w:type="dxa"/>
            <w:tcBorders>
              <w:top w:val="single" w:sz="4" w:space="0" w:color="A6A6A6"/>
              <w:bottom w:val="single" w:sz="4" w:space="0" w:color="A6A6A6"/>
            </w:tcBorders>
            <w:hideMark/>
          </w:tcPr>
          <w:p w14:paraId="2428FA78" w14:textId="77777777" w:rsidR="00CE75D4" w:rsidRPr="002029AF" w:rsidRDefault="00CE75D4" w:rsidP="008340C1">
            <w:pPr>
              <w:pStyle w:val="ARfintablebody"/>
            </w:pPr>
            <w:r w:rsidRPr="00BA77D7">
              <w:t>Aged Care Assessment (Output)</w:t>
            </w:r>
          </w:p>
        </w:tc>
        <w:tc>
          <w:tcPr>
            <w:tcW w:w="1133" w:type="dxa"/>
            <w:tcBorders>
              <w:top w:val="single" w:sz="4" w:space="0" w:color="A6A6A6"/>
              <w:bottom w:val="single" w:sz="4" w:space="0" w:color="A6A6A6"/>
            </w:tcBorders>
            <w:shd w:val="clear" w:color="auto" w:fill="E7E6E6"/>
            <w:noWrap/>
            <w:hideMark/>
          </w:tcPr>
          <w:p w14:paraId="531D9766" w14:textId="77777777" w:rsidR="00CE75D4" w:rsidRPr="002029AF" w:rsidRDefault="00CE75D4" w:rsidP="008340C1">
            <w:pPr>
              <w:pStyle w:val="ARfintablebodyright"/>
            </w:pPr>
            <w:r w:rsidRPr="00BA77D7">
              <w:t>32.4</w:t>
            </w:r>
          </w:p>
        </w:tc>
        <w:tc>
          <w:tcPr>
            <w:tcW w:w="1133" w:type="dxa"/>
            <w:tcBorders>
              <w:top w:val="single" w:sz="4" w:space="0" w:color="A6A6A6"/>
              <w:bottom w:val="single" w:sz="4" w:space="0" w:color="A6A6A6"/>
            </w:tcBorders>
            <w:noWrap/>
            <w:hideMark/>
          </w:tcPr>
          <w:p w14:paraId="3145FAAC" w14:textId="77777777" w:rsidR="00CE75D4" w:rsidRPr="002029AF" w:rsidRDefault="00CE75D4" w:rsidP="008340C1">
            <w:pPr>
              <w:pStyle w:val="ARfintablebodyright"/>
            </w:pPr>
            <w:r w:rsidRPr="00BA77D7">
              <w:t>31.9</w:t>
            </w:r>
          </w:p>
        </w:tc>
      </w:tr>
      <w:tr w:rsidR="00CE75D4" w:rsidRPr="002029AF" w14:paraId="6F14F107" w14:textId="77777777" w:rsidTr="00860E95">
        <w:tc>
          <w:tcPr>
            <w:tcW w:w="7371" w:type="dxa"/>
            <w:tcBorders>
              <w:top w:val="single" w:sz="4" w:space="0" w:color="A6A6A6"/>
              <w:bottom w:val="single" w:sz="4" w:space="0" w:color="A6A6A6"/>
            </w:tcBorders>
            <w:hideMark/>
          </w:tcPr>
          <w:p w14:paraId="13422D61" w14:textId="77777777" w:rsidR="00CE75D4" w:rsidRPr="002029AF" w:rsidRDefault="00CE75D4" w:rsidP="008340C1">
            <w:pPr>
              <w:pStyle w:val="ARfintablebody"/>
            </w:pPr>
            <w:r w:rsidRPr="00BA77D7">
              <w:t>Rural Junior Doctor Training Innovation Fund (Output)</w:t>
            </w:r>
          </w:p>
        </w:tc>
        <w:tc>
          <w:tcPr>
            <w:tcW w:w="1133" w:type="dxa"/>
            <w:tcBorders>
              <w:top w:val="single" w:sz="4" w:space="0" w:color="A6A6A6"/>
              <w:bottom w:val="single" w:sz="4" w:space="0" w:color="A6A6A6"/>
            </w:tcBorders>
            <w:shd w:val="clear" w:color="auto" w:fill="E7E6E6"/>
            <w:noWrap/>
            <w:hideMark/>
          </w:tcPr>
          <w:p w14:paraId="6CD3A05A" w14:textId="77777777" w:rsidR="00CE75D4" w:rsidRPr="002029AF" w:rsidRDefault="00CE75D4" w:rsidP="008340C1">
            <w:pPr>
              <w:pStyle w:val="ARfintablebodyright"/>
            </w:pPr>
            <w:r w:rsidRPr="00BA77D7">
              <w:t>0.7</w:t>
            </w:r>
          </w:p>
        </w:tc>
        <w:tc>
          <w:tcPr>
            <w:tcW w:w="1133" w:type="dxa"/>
            <w:tcBorders>
              <w:top w:val="single" w:sz="4" w:space="0" w:color="A6A6A6"/>
              <w:bottom w:val="single" w:sz="4" w:space="0" w:color="A6A6A6"/>
            </w:tcBorders>
            <w:noWrap/>
            <w:hideMark/>
          </w:tcPr>
          <w:p w14:paraId="0DBB8CCB" w14:textId="77777777" w:rsidR="00CE75D4" w:rsidRPr="002029AF" w:rsidRDefault="00CE75D4" w:rsidP="008340C1">
            <w:pPr>
              <w:pStyle w:val="ARfintablebodyright"/>
            </w:pPr>
            <w:r>
              <w:t>–</w:t>
            </w:r>
          </w:p>
        </w:tc>
      </w:tr>
      <w:tr w:rsidR="00CE75D4" w:rsidRPr="002029AF" w14:paraId="17B6ED0E" w14:textId="77777777" w:rsidTr="00860E95">
        <w:tc>
          <w:tcPr>
            <w:tcW w:w="7371" w:type="dxa"/>
            <w:tcBorders>
              <w:top w:val="single" w:sz="4" w:space="0" w:color="A6A6A6"/>
              <w:bottom w:val="single" w:sz="4" w:space="0" w:color="A6A6A6"/>
            </w:tcBorders>
            <w:hideMark/>
          </w:tcPr>
          <w:p w14:paraId="116F9CF8" w14:textId="77777777" w:rsidR="00CE75D4" w:rsidRPr="002029AF" w:rsidRDefault="00CE75D4" w:rsidP="008340C1">
            <w:pPr>
              <w:pStyle w:val="ARfintablebody"/>
            </w:pPr>
            <w:r w:rsidRPr="00BA77D7">
              <w:t>National Rural Generalist Pathway (Output)</w:t>
            </w:r>
          </w:p>
        </w:tc>
        <w:tc>
          <w:tcPr>
            <w:tcW w:w="1133" w:type="dxa"/>
            <w:tcBorders>
              <w:top w:val="single" w:sz="4" w:space="0" w:color="A6A6A6"/>
              <w:bottom w:val="single" w:sz="4" w:space="0" w:color="A6A6A6"/>
            </w:tcBorders>
            <w:shd w:val="clear" w:color="auto" w:fill="E7E6E6"/>
            <w:noWrap/>
            <w:hideMark/>
          </w:tcPr>
          <w:p w14:paraId="01E5A080" w14:textId="77777777" w:rsidR="00CE75D4" w:rsidRPr="002029AF" w:rsidRDefault="00CE75D4" w:rsidP="008340C1">
            <w:pPr>
              <w:pStyle w:val="ARfintablebodyright"/>
            </w:pPr>
            <w:r w:rsidRPr="00BA77D7">
              <w:t>1.4</w:t>
            </w:r>
          </w:p>
        </w:tc>
        <w:tc>
          <w:tcPr>
            <w:tcW w:w="1133" w:type="dxa"/>
            <w:tcBorders>
              <w:top w:val="single" w:sz="4" w:space="0" w:color="A6A6A6"/>
              <w:bottom w:val="single" w:sz="4" w:space="0" w:color="A6A6A6"/>
            </w:tcBorders>
            <w:noWrap/>
            <w:hideMark/>
          </w:tcPr>
          <w:p w14:paraId="614B1023" w14:textId="77777777" w:rsidR="00CE75D4" w:rsidRPr="002029AF" w:rsidRDefault="00CE75D4" w:rsidP="008340C1">
            <w:pPr>
              <w:pStyle w:val="ARfintablebodyright"/>
            </w:pPr>
            <w:r w:rsidRPr="00BA77D7">
              <w:t>0.7</w:t>
            </w:r>
          </w:p>
        </w:tc>
      </w:tr>
      <w:tr w:rsidR="00CE75D4" w:rsidRPr="002029AF" w14:paraId="3F2FF504" w14:textId="77777777" w:rsidTr="00860E95">
        <w:tc>
          <w:tcPr>
            <w:tcW w:w="7371" w:type="dxa"/>
            <w:tcBorders>
              <w:top w:val="single" w:sz="4" w:space="0" w:color="A6A6A6"/>
              <w:bottom w:val="single" w:sz="4" w:space="0" w:color="A6A6A6"/>
            </w:tcBorders>
            <w:hideMark/>
          </w:tcPr>
          <w:p w14:paraId="5FB0F080" w14:textId="77777777" w:rsidR="00CE75D4" w:rsidRPr="002029AF" w:rsidRDefault="00CE75D4" w:rsidP="008340C1">
            <w:pPr>
              <w:pStyle w:val="ARfintablebody"/>
            </w:pPr>
            <w:r w:rsidRPr="00BA77D7">
              <w:t>Regional Assessment Services (Output)</w:t>
            </w:r>
          </w:p>
        </w:tc>
        <w:tc>
          <w:tcPr>
            <w:tcW w:w="1133" w:type="dxa"/>
            <w:tcBorders>
              <w:top w:val="single" w:sz="4" w:space="0" w:color="A6A6A6"/>
              <w:bottom w:val="single" w:sz="4" w:space="0" w:color="A6A6A6"/>
            </w:tcBorders>
            <w:shd w:val="clear" w:color="auto" w:fill="E7E6E6"/>
            <w:noWrap/>
            <w:hideMark/>
          </w:tcPr>
          <w:p w14:paraId="2207441B" w14:textId="77777777" w:rsidR="00CE75D4" w:rsidRPr="002029AF" w:rsidRDefault="00CE75D4" w:rsidP="008340C1">
            <w:pPr>
              <w:pStyle w:val="ARfintablebodyright"/>
            </w:pPr>
            <w:r w:rsidRPr="00BA77D7">
              <w:t>35.9</w:t>
            </w:r>
          </w:p>
        </w:tc>
        <w:tc>
          <w:tcPr>
            <w:tcW w:w="1133" w:type="dxa"/>
            <w:tcBorders>
              <w:top w:val="single" w:sz="4" w:space="0" w:color="A6A6A6"/>
              <w:bottom w:val="single" w:sz="4" w:space="0" w:color="A6A6A6"/>
            </w:tcBorders>
            <w:noWrap/>
            <w:hideMark/>
          </w:tcPr>
          <w:p w14:paraId="0BCC7EFA" w14:textId="77777777" w:rsidR="00CE75D4" w:rsidRPr="002029AF" w:rsidRDefault="00CE75D4" w:rsidP="008340C1">
            <w:pPr>
              <w:pStyle w:val="ARfintablebodyright"/>
            </w:pPr>
            <w:r w:rsidRPr="00BA77D7">
              <w:t>34.8</w:t>
            </w:r>
          </w:p>
        </w:tc>
      </w:tr>
      <w:tr w:rsidR="00CE75D4" w:rsidRPr="002029AF" w14:paraId="713B10FD" w14:textId="77777777" w:rsidTr="00860E95">
        <w:tc>
          <w:tcPr>
            <w:tcW w:w="7371" w:type="dxa"/>
            <w:tcBorders>
              <w:top w:val="single" w:sz="4" w:space="0" w:color="A6A6A6"/>
              <w:bottom w:val="single" w:sz="4" w:space="0" w:color="A6A6A6"/>
            </w:tcBorders>
            <w:hideMark/>
          </w:tcPr>
          <w:p w14:paraId="2DD77D23" w14:textId="77777777" w:rsidR="00CE75D4" w:rsidRPr="002029AF" w:rsidRDefault="00CE75D4" w:rsidP="008340C1">
            <w:pPr>
              <w:pStyle w:val="ARfintablebody"/>
            </w:pPr>
            <w:r w:rsidRPr="00BA77D7">
              <w:t>Human Quarantine Services (Output)</w:t>
            </w:r>
          </w:p>
        </w:tc>
        <w:tc>
          <w:tcPr>
            <w:tcW w:w="1133" w:type="dxa"/>
            <w:tcBorders>
              <w:top w:val="single" w:sz="4" w:space="0" w:color="A6A6A6"/>
              <w:bottom w:val="single" w:sz="4" w:space="0" w:color="A6A6A6"/>
            </w:tcBorders>
            <w:shd w:val="clear" w:color="auto" w:fill="E7E6E6"/>
            <w:noWrap/>
            <w:hideMark/>
          </w:tcPr>
          <w:p w14:paraId="3EE863A8" w14:textId="77777777" w:rsidR="00CE75D4" w:rsidRPr="002029AF" w:rsidRDefault="00CE75D4" w:rsidP="008340C1">
            <w:pPr>
              <w:pStyle w:val="ARfintablebodyright"/>
            </w:pPr>
            <w:r w:rsidRPr="00BA77D7">
              <w:t>0.1</w:t>
            </w:r>
          </w:p>
        </w:tc>
        <w:tc>
          <w:tcPr>
            <w:tcW w:w="1133" w:type="dxa"/>
            <w:tcBorders>
              <w:top w:val="single" w:sz="4" w:space="0" w:color="A6A6A6"/>
              <w:bottom w:val="single" w:sz="4" w:space="0" w:color="A6A6A6"/>
            </w:tcBorders>
            <w:noWrap/>
            <w:hideMark/>
          </w:tcPr>
          <w:p w14:paraId="744409DB" w14:textId="77777777" w:rsidR="00CE75D4" w:rsidRPr="002029AF" w:rsidRDefault="00CE75D4" w:rsidP="008340C1">
            <w:pPr>
              <w:pStyle w:val="ARfintablebodyright"/>
            </w:pPr>
            <w:r w:rsidRPr="00BA77D7">
              <w:t>0.1</w:t>
            </w:r>
          </w:p>
        </w:tc>
      </w:tr>
      <w:tr w:rsidR="00CE75D4" w:rsidRPr="002029AF" w14:paraId="4980124E" w14:textId="77777777" w:rsidTr="00860E95">
        <w:tc>
          <w:tcPr>
            <w:tcW w:w="7371" w:type="dxa"/>
            <w:tcBorders>
              <w:top w:val="single" w:sz="4" w:space="0" w:color="A6A6A6"/>
              <w:bottom w:val="single" w:sz="4" w:space="0" w:color="A6A6A6"/>
            </w:tcBorders>
            <w:hideMark/>
          </w:tcPr>
          <w:p w14:paraId="0207B279" w14:textId="77777777" w:rsidR="00CE75D4" w:rsidRPr="002029AF" w:rsidRDefault="00CE75D4" w:rsidP="008340C1">
            <w:pPr>
              <w:pStyle w:val="ARfintablebody"/>
            </w:pPr>
            <w:r w:rsidRPr="00BA77D7">
              <w:t>Mental Health Professional Online Development</w:t>
            </w:r>
          </w:p>
        </w:tc>
        <w:tc>
          <w:tcPr>
            <w:tcW w:w="1133" w:type="dxa"/>
            <w:tcBorders>
              <w:top w:val="single" w:sz="4" w:space="0" w:color="A6A6A6"/>
              <w:bottom w:val="single" w:sz="4" w:space="0" w:color="A6A6A6"/>
            </w:tcBorders>
            <w:shd w:val="clear" w:color="auto" w:fill="E7E6E6"/>
            <w:noWrap/>
            <w:hideMark/>
          </w:tcPr>
          <w:p w14:paraId="7C568978"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hideMark/>
          </w:tcPr>
          <w:p w14:paraId="1EE4C5AC" w14:textId="77777777" w:rsidR="00CE75D4" w:rsidRPr="002029AF" w:rsidRDefault="00CE75D4" w:rsidP="008340C1">
            <w:pPr>
              <w:pStyle w:val="ARfintablebodyright"/>
            </w:pPr>
            <w:r w:rsidRPr="00BA77D7">
              <w:t>0.2</w:t>
            </w:r>
          </w:p>
        </w:tc>
      </w:tr>
      <w:tr w:rsidR="00CE75D4" w:rsidRPr="002029AF" w14:paraId="1998ADB3" w14:textId="77777777" w:rsidTr="00860E95">
        <w:tc>
          <w:tcPr>
            <w:tcW w:w="7371" w:type="dxa"/>
            <w:tcBorders>
              <w:top w:val="single" w:sz="4" w:space="0" w:color="A6A6A6"/>
              <w:bottom w:val="single" w:sz="4" w:space="0" w:color="A6A6A6"/>
            </w:tcBorders>
            <w:hideMark/>
          </w:tcPr>
          <w:p w14:paraId="514B045D" w14:textId="77777777" w:rsidR="00CE75D4" w:rsidRPr="002029AF" w:rsidRDefault="00CE75D4" w:rsidP="008340C1">
            <w:pPr>
              <w:pStyle w:val="ARfintablebody"/>
            </w:pPr>
            <w:r w:rsidRPr="00BA77D7">
              <w:t>National Reform Agenda for Organ and Tissue Donation (Output)</w:t>
            </w:r>
          </w:p>
        </w:tc>
        <w:tc>
          <w:tcPr>
            <w:tcW w:w="1133" w:type="dxa"/>
            <w:tcBorders>
              <w:top w:val="single" w:sz="4" w:space="0" w:color="A6A6A6"/>
              <w:bottom w:val="single" w:sz="4" w:space="0" w:color="A6A6A6"/>
            </w:tcBorders>
            <w:shd w:val="clear" w:color="auto" w:fill="E7E6E6"/>
            <w:noWrap/>
            <w:hideMark/>
          </w:tcPr>
          <w:p w14:paraId="45F34F4F" w14:textId="77777777" w:rsidR="00CE75D4" w:rsidRPr="002029AF" w:rsidRDefault="00CE75D4" w:rsidP="008340C1">
            <w:pPr>
              <w:pStyle w:val="ARfintablebodyright"/>
            </w:pPr>
            <w:r w:rsidRPr="00BA77D7">
              <w:t>9.2</w:t>
            </w:r>
          </w:p>
        </w:tc>
        <w:tc>
          <w:tcPr>
            <w:tcW w:w="1133" w:type="dxa"/>
            <w:tcBorders>
              <w:top w:val="single" w:sz="4" w:space="0" w:color="A6A6A6"/>
              <w:bottom w:val="single" w:sz="4" w:space="0" w:color="A6A6A6"/>
            </w:tcBorders>
            <w:noWrap/>
            <w:hideMark/>
          </w:tcPr>
          <w:p w14:paraId="22365647" w14:textId="77777777" w:rsidR="00CE75D4" w:rsidRPr="002029AF" w:rsidRDefault="00CE75D4" w:rsidP="008340C1">
            <w:pPr>
              <w:pStyle w:val="ARfintablebodyright"/>
            </w:pPr>
            <w:r w:rsidRPr="00BA77D7">
              <w:t>7.8</w:t>
            </w:r>
          </w:p>
        </w:tc>
      </w:tr>
      <w:tr w:rsidR="00CE75D4" w:rsidRPr="002029AF" w14:paraId="1DE73153" w14:textId="77777777" w:rsidTr="00860E95">
        <w:tc>
          <w:tcPr>
            <w:tcW w:w="7371" w:type="dxa"/>
            <w:tcBorders>
              <w:top w:val="single" w:sz="4" w:space="0" w:color="A6A6A6"/>
              <w:bottom w:val="single" w:sz="4" w:space="0" w:color="A6A6A6"/>
            </w:tcBorders>
            <w:hideMark/>
          </w:tcPr>
          <w:p w14:paraId="114C5F95" w14:textId="77777777" w:rsidR="00CE75D4" w:rsidRPr="002029AF" w:rsidRDefault="00CE75D4" w:rsidP="008340C1">
            <w:pPr>
              <w:pStyle w:val="ARfintablebody"/>
            </w:pPr>
            <w:r w:rsidRPr="00BA77D7">
              <w:t>Continuity of Support Services for Clients Over 65 (Output)</w:t>
            </w:r>
            <w:r w:rsidRPr="008B6631">
              <w:t xml:space="preserve"> </w:t>
            </w:r>
            <w:r w:rsidRPr="00AC3632">
              <w:rPr>
                <w:rStyle w:val="Superscript"/>
              </w:rPr>
              <w:t>(i)</w:t>
            </w:r>
          </w:p>
        </w:tc>
        <w:tc>
          <w:tcPr>
            <w:tcW w:w="1133" w:type="dxa"/>
            <w:tcBorders>
              <w:top w:val="single" w:sz="4" w:space="0" w:color="A6A6A6"/>
              <w:bottom w:val="single" w:sz="4" w:space="0" w:color="A6A6A6"/>
            </w:tcBorders>
            <w:shd w:val="clear" w:color="auto" w:fill="E7E6E6"/>
            <w:noWrap/>
            <w:hideMark/>
          </w:tcPr>
          <w:p w14:paraId="39FB8968"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hideMark/>
          </w:tcPr>
          <w:p w14:paraId="01D3300E" w14:textId="77777777" w:rsidR="00CE75D4" w:rsidRPr="002029AF" w:rsidRDefault="00CE75D4" w:rsidP="008340C1">
            <w:pPr>
              <w:pStyle w:val="ARfintablebodyright"/>
            </w:pPr>
            <w:r w:rsidRPr="00BA77D7">
              <w:t>33.3</w:t>
            </w:r>
          </w:p>
        </w:tc>
      </w:tr>
      <w:tr w:rsidR="00CE75D4" w:rsidRPr="002029AF" w14:paraId="49AD7B58" w14:textId="77777777" w:rsidTr="00860E95">
        <w:tc>
          <w:tcPr>
            <w:tcW w:w="7371" w:type="dxa"/>
            <w:tcBorders>
              <w:top w:val="single" w:sz="4" w:space="0" w:color="A6A6A6"/>
              <w:bottom w:val="single" w:sz="4" w:space="0" w:color="A6A6A6"/>
            </w:tcBorders>
            <w:hideMark/>
          </w:tcPr>
          <w:p w14:paraId="495C0563" w14:textId="77777777" w:rsidR="00CE75D4" w:rsidRPr="002029AF" w:rsidRDefault="00CE75D4" w:rsidP="008340C1">
            <w:pPr>
              <w:pStyle w:val="ARfintablebody"/>
            </w:pPr>
            <w:r w:rsidRPr="00BA77D7">
              <w:t>Unattached Refugee Children (Output)</w:t>
            </w:r>
            <w:r w:rsidRPr="008B6631">
              <w:t xml:space="preserve"> </w:t>
            </w:r>
            <w:r w:rsidRPr="00AC3632">
              <w:rPr>
                <w:rStyle w:val="Superscript"/>
              </w:rPr>
              <w:t>(i)</w:t>
            </w:r>
          </w:p>
        </w:tc>
        <w:tc>
          <w:tcPr>
            <w:tcW w:w="1133" w:type="dxa"/>
            <w:tcBorders>
              <w:top w:val="single" w:sz="4" w:space="0" w:color="A6A6A6"/>
              <w:bottom w:val="single" w:sz="4" w:space="0" w:color="A6A6A6"/>
            </w:tcBorders>
            <w:shd w:val="clear" w:color="auto" w:fill="E7E6E6"/>
            <w:noWrap/>
            <w:hideMark/>
          </w:tcPr>
          <w:p w14:paraId="6A477556"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hideMark/>
          </w:tcPr>
          <w:p w14:paraId="526D644B" w14:textId="77777777" w:rsidR="00CE75D4" w:rsidRPr="002029AF" w:rsidRDefault="00CE75D4" w:rsidP="008340C1">
            <w:pPr>
              <w:pStyle w:val="ARfintablebodyright"/>
            </w:pPr>
            <w:r w:rsidRPr="00BA77D7">
              <w:t>0.8</w:t>
            </w:r>
          </w:p>
        </w:tc>
      </w:tr>
      <w:tr w:rsidR="00CE75D4" w:rsidRPr="002029AF" w14:paraId="291524BC" w14:textId="77777777" w:rsidTr="00860E95">
        <w:tc>
          <w:tcPr>
            <w:tcW w:w="7371" w:type="dxa"/>
            <w:tcBorders>
              <w:top w:val="single" w:sz="4" w:space="0" w:color="A6A6A6"/>
              <w:bottom w:val="single" w:sz="4" w:space="0" w:color="A6A6A6"/>
            </w:tcBorders>
          </w:tcPr>
          <w:p w14:paraId="1F61C09A" w14:textId="77777777" w:rsidR="00CE75D4" w:rsidRPr="004456FE" w:rsidRDefault="00CE75D4" w:rsidP="008340C1">
            <w:pPr>
              <w:pStyle w:val="ARfintablebody"/>
            </w:pPr>
            <w:r w:rsidRPr="00BA77D7">
              <w:t>Women</w:t>
            </w:r>
            <w:r>
              <w:t>’</w:t>
            </w:r>
            <w:r w:rsidRPr="00BA77D7">
              <w:t>s Safety Measures – Keeping Women Safe in Their Homes (Output)</w:t>
            </w:r>
            <w:r w:rsidRPr="008B6631">
              <w:t xml:space="preserve"> </w:t>
            </w:r>
            <w:r w:rsidRPr="00AC3632">
              <w:rPr>
                <w:rStyle w:val="Superscript"/>
              </w:rPr>
              <w:t>(i)</w:t>
            </w:r>
          </w:p>
        </w:tc>
        <w:tc>
          <w:tcPr>
            <w:tcW w:w="1133" w:type="dxa"/>
            <w:tcBorders>
              <w:top w:val="single" w:sz="4" w:space="0" w:color="A6A6A6"/>
              <w:bottom w:val="single" w:sz="4" w:space="0" w:color="A6A6A6"/>
            </w:tcBorders>
            <w:shd w:val="clear" w:color="auto" w:fill="E7E6E6"/>
            <w:noWrap/>
          </w:tcPr>
          <w:p w14:paraId="0426A16D" w14:textId="77777777" w:rsidR="00CE75D4" w:rsidRPr="004456FE" w:rsidRDefault="00CE75D4" w:rsidP="008340C1">
            <w:pPr>
              <w:pStyle w:val="ARfintablebodyright"/>
            </w:pPr>
            <w:r>
              <w:t>–</w:t>
            </w:r>
          </w:p>
        </w:tc>
        <w:tc>
          <w:tcPr>
            <w:tcW w:w="1133" w:type="dxa"/>
            <w:tcBorders>
              <w:top w:val="single" w:sz="4" w:space="0" w:color="A6A6A6"/>
              <w:bottom w:val="single" w:sz="4" w:space="0" w:color="A6A6A6"/>
            </w:tcBorders>
            <w:noWrap/>
          </w:tcPr>
          <w:p w14:paraId="590B7F07" w14:textId="77777777" w:rsidR="00CE75D4" w:rsidRPr="004456FE" w:rsidRDefault="00CE75D4" w:rsidP="008340C1">
            <w:pPr>
              <w:pStyle w:val="ARfintablebodyright"/>
            </w:pPr>
            <w:r w:rsidRPr="00BA77D7">
              <w:t>0.9</w:t>
            </w:r>
          </w:p>
        </w:tc>
      </w:tr>
      <w:tr w:rsidR="00CE75D4" w:rsidRPr="002029AF" w14:paraId="21DA7764" w14:textId="77777777" w:rsidTr="00860E95">
        <w:tc>
          <w:tcPr>
            <w:tcW w:w="7371" w:type="dxa"/>
            <w:tcBorders>
              <w:top w:val="single" w:sz="4" w:space="0" w:color="A6A6A6"/>
            </w:tcBorders>
            <w:hideMark/>
          </w:tcPr>
          <w:p w14:paraId="2B2EF712" w14:textId="77777777" w:rsidR="00CE75D4" w:rsidRPr="002029AF" w:rsidRDefault="00CE75D4" w:rsidP="008340C1">
            <w:pPr>
              <w:pStyle w:val="ARfintablebody"/>
            </w:pPr>
            <w:r w:rsidRPr="00BA77D7">
              <w:t>Women</w:t>
            </w:r>
            <w:r>
              <w:t>’</w:t>
            </w:r>
            <w:r w:rsidRPr="00BA77D7">
              <w:t>s Safety Measures – Local Support Coordinator (Output)</w:t>
            </w:r>
            <w:r w:rsidRPr="008B6631">
              <w:t xml:space="preserve"> </w:t>
            </w:r>
            <w:r w:rsidRPr="00AC3632">
              <w:rPr>
                <w:rStyle w:val="Superscript"/>
              </w:rPr>
              <w:t>(i)</w:t>
            </w:r>
          </w:p>
        </w:tc>
        <w:tc>
          <w:tcPr>
            <w:tcW w:w="1133" w:type="dxa"/>
            <w:tcBorders>
              <w:top w:val="single" w:sz="4" w:space="0" w:color="A6A6A6"/>
            </w:tcBorders>
            <w:shd w:val="clear" w:color="auto" w:fill="E7E6E6"/>
            <w:noWrap/>
            <w:hideMark/>
          </w:tcPr>
          <w:p w14:paraId="43C93EE9" w14:textId="77777777" w:rsidR="00CE75D4" w:rsidRPr="002029AF" w:rsidRDefault="00CE75D4" w:rsidP="008340C1">
            <w:pPr>
              <w:pStyle w:val="ARfintablebodyright"/>
            </w:pPr>
            <w:r>
              <w:t>–</w:t>
            </w:r>
          </w:p>
        </w:tc>
        <w:tc>
          <w:tcPr>
            <w:tcW w:w="1133" w:type="dxa"/>
            <w:tcBorders>
              <w:top w:val="single" w:sz="4" w:space="0" w:color="A6A6A6"/>
            </w:tcBorders>
            <w:noWrap/>
            <w:hideMark/>
          </w:tcPr>
          <w:p w14:paraId="1A7F5487" w14:textId="77777777" w:rsidR="00CE75D4" w:rsidRPr="002029AF" w:rsidRDefault="00CE75D4" w:rsidP="008340C1">
            <w:pPr>
              <w:pStyle w:val="ARfintablebodyright"/>
            </w:pPr>
            <w:r w:rsidRPr="00BA77D7">
              <w:t>0.2</w:t>
            </w:r>
          </w:p>
        </w:tc>
      </w:tr>
      <w:tr w:rsidR="00CE75D4" w:rsidRPr="002029AF" w14:paraId="61B5FF43" w14:textId="77777777" w:rsidTr="00860E95">
        <w:tc>
          <w:tcPr>
            <w:tcW w:w="7371" w:type="dxa"/>
            <w:hideMark/>
          </w:tcPr>
          <w:p w14:paraId="55230195" w14:textId="77777777" w:rsidR="00CE75D4" w:rsidRPr="002029AF" w:rsidRDefault="00CE75D4" w:rsidP="008340C1">
            <w:pPr>
              <w:pStyle w:val="ARfintablebodybold"/>
            </w:pPr>
          </w:p>
        </w:tc>
        <w:tc>
          <w:tcPr>
            <w:tcW w:w="1133" w:type="dxa"/>
            <w:shd w:val="clear" w:color="auto" w:fill="E7E6E6"/>
            <w:noWrap/>
            <w:hideMark/>
          </w:tcPr>
          <w:p w14:paraId="3B008B31" w14:textId="77777777" w:rsidR="00CE75D4" w:rsidRPr="002029AF" w:rsidRDefault="00CE75D4" w:rsidP="008340C1">
            <w:pPr>
              <w:pStyle w:val="ARfintablebodyrightbold"/>
            </w:pPr>
            <w:r w:rsidRPr="00BA77D7">
              <w:t>141.9</w:t>
            </w:r>
          </w:p>
        </w:tc>
        <w:tc>
          <w:tcPr>
            <w:tcW w:w="1133" w:type="dxa"/>
            <w:noWrap/>
            <w:hideMark/>
          </w:tcPr>
          <w:p w14:paraId="1EE8BD61" w14:textId="77777777" w:rsidR="00CE75D4" w:rsidRPr="002029AF" w:rsidRDefault="00CE75D4" w:rsidP="008340C1">
            <w:pPr>
              <w:pStyle w:val="ARfintablebodyrightbold"/>
            </w:pPr>
            <w:r w:rsidRPr="00BA77D7">
              <w:t>617.7</w:t>
            </w:r>
          </w:p>
        </w:tc>
      </w:tr>
      <w:tr w:rsidR="00CE75D4" w:rsidRPr="002029AF" w14:paraId="23E05AEE" w14:textId="77777777" w:rsidTr="00860E95">
        <w:tc>
          <w:tcPr>
            <w:tcW w:w="7371" w:type="dxa"/>
            <w:hideMark/>
          </w:tcPr>
          <w:p w14:paraId="1E0EA30E" w14:textId="77777777" w:rsidR="00CE75D4" w:rsidRPr="002029AF" w:rsidRDefault="00CE75D4" w:rsidP="008340C1">
            <w:pPr>
              <w:pStyle w:val="ARfintablebodybold"/>
            </w:pPr>
            <w:r w:rsidRPr="00BA77D7">
              <w:t>Total annotated income agreements</w:t>
            </w:r>
          </w:p>
        </w:tc>
        <w:tc>
          <w:tcPr>
            <w:tcW w:w="1133" w:type="dxa"/>
            <w:shd w:val="clear" w:color="auto" w:fill="E7E6E6"/>
            <w:noWrap/>
            <w:hideMark/>
          </w:tcPr>
          <w:p w14:paraId="32921146" w14:textId="77777777" w:rsidR="00CE75D4" w:rsidRPr="002029AF" w:rsidRDefault="00CE75D4" w:rsidP="008340C1">
            <w:pPr>
              <w:pStyle w:val="ARfintablebodyrightbold"/>
            </w:pPr>
            <w:r w:rsidRPr="00BA77D7">
              <w:t>419.0</w:t>
            </w:r>
          </w:p>
        </w:tc>
        <w:tc>
          <w:tcPr>
            <w:tcW w:w="1133" w:type="dxa"/>
            <w:noWrap/>
            <w:hideMark/>
          </w:tcPr>
          <w:p w14:paraId="28AD8552" w14:textId="77777777" w:rsidR="00CE75D4" w:rsidRPr="002029AF" w:rsidRDefault="00CE75D4" w:rsidP="008340C1">
            <w:pPr>
              <w:pStyle w:val="ARfintablebodyrightbold"/>
            </w:pPr>
            <w:r w:rsidRPr="00BA77D7">
              <w:t>999.1</w:t>
            </w:r>
          </w:p>
        </w:tc>
      </w:tr>
    </w:tbl>
    <w:p w14:paraId="710D2284" w14:textId="77777777" w:rsidR="00CE75D4" w:rsidRDefault="00CE75D4" w:rsidP="008340C1">
      <w:pPr>
        <w:pStyle w:val="ARfintablefootnote"/>
      </w:pPr>
      <w:bookmarkStart w:id="533" w:name="_Toc39136698"/>
      <w:bookmarkStart w:id="534" w:name="_Toc39242137"/>
      <w:bookmarkStart w:id="535" w:name="_Toc51235514"/>
      <w:bookmarkStart w:id="536" w:name="_Ref52284174"/>
      <w:bookmarkStart w:id="537" w:name="_Ref52455262"/>
      <w:bookmarkStart w:id="538" w:name="_Toc443469540"/>
      <w:bookmarkStart w:id="539" w:name="_Toc444065794"/>
      <w:bookmarkStart w:id="540" w:name="_Toc444079991"/>
      <w:r>
        <w:rPr>
          <w:lang w:eastAsia="en-AU"/>
        </w:rPr>
        <w:t>Notes:</w:t>
      </w:r>
    </w:p>
    <w:p w14:paraId="1FF21BCA" w14:textId="7079ABD9" w:rsidR="00CE75D4" w:rsidRDefault="00CE75D4" w:rsidP="008340C1">
      <w:pPr>
        <w:pStyle w:val="ARfintablefootnoteindent"/>
      </w:pPr>
      <w:r w:rsidRPr="00B612BA">
        <w:t>(i)</w:t>
      </w:r>
      <w:r>
        <w:tab/>
      </w:r>
      <w:r w:rsidRPr="00B612BA">
        <w:t>2021</w:t>
      </w:r>
      <w:r>
        <w:t xml:space="preserve"> numbers relate to the transactions for the year ended 30 June 2021 of the DFFH. The transactions which relate to </w:t>
      </w:r>
      <w:r w:rsidR="00321FE3">
        <w:t>th</w:t>
      </w:r>
      <w:r w:rsidR="25B17DCB">
        <w:t>is entity</w:t>
      </w:r>
      <w:r>
        <w:t xml:space="preserve"> are reported in the DFFH’s 2021–22 financial statements.</w:t>
      </w:r>
    </w:p>
    <w:p w14:paraId="49C40B85" w14:textId="77777777" w:rsidR="00E56D80" w:rsidRDefault="00CE75D4" w:rsidP="008340C1">
      <w:pPr>
        <w:pStyle w:val="ARfintablefootnoteindent"/>
      </w:pPr>
      <w:r>
        <w:t>(ii)</w:t>
      </w:r>
      <w:r>
        <w:tab/>
        <w:t>2021 number relate to the transactions for the year ended 30 June 2021 of the Director of Housing.</w:t>
      </w:r>
      <w:r w:rsidRPr="00085286">
        <w:t xml:space="preserve"> The transactions which relate to</w:t>
      </w:r>
      <w:r>
        <w:t> </w:t>
      </w:r>
      <w:r w:rsidRPr="00085286">
        <w:t>this entity are reported in the DFFH</w:t>
      </w:r>
      <w:r>
        <w:t>’</w:t>
      </w:r>
      <w:r w:rsidRPr="00085286">
        <w:t>s 2021</w:t>
      </w:r>
      <w:r>
        <w:t>–</w:t>
      </w:r>
      <w:r w:rsidRPr="00085286">
        <w:t>22 financial statements.</w:t>
      </w:r>
    </w:p>
    <w:bookmarkEnd w:id="533"/>
    <w:bookmarkEnd w:id="534"/>
    <w:bookmarkEnd w:id="535"/>
    <w:bookmarkEnd w:id="536"/>
    <w:bookmarkEnd w:id="537"/>
    <w:p w14:paraId="37E6E668" w14:textId="77777777" w:rsidR="00E56D80" w:rsidRPr="00E56D80" w:rsidRDefault="00E56D80" w:rsidP="00E56D80">
      <w:pPr>
        <w:pStyle w:val="ARbody"/>
      </w:pPr>
      <w:r w:rsidRPr="00E56D80">
        <w:br w:type="page"/>
      </w:r>
    </w:p>
    <w:p w14:paraId="549FBD93" w14:textId="098113F2" w:rsidR="00CE75D4" w:rsidRDefault="00CE75D4" w:rsidP="008340C1">
      <w:pPr>
        <w:pStyle w:val="Heading3"/>
      </w:pPr>
      <w:bookmarkStart w:id="541" w:name="_Toc113702961"/>
      <w:r>
        <w:t>3. The cost of delivering services</w:t>
      </w:r>
      <w:bookmarkEnd w:id="541"/>
    </w:p>
    <w:p w14:paraId="0F388526" w14:textId="77777777" w:rsidR="00CE75D4" w:rsidRDefault="00CE75D4" w:rsidP="008340C1">
      <w:pPr>
        <w:pStyle w:val="Heading4"/>
        <w:rPr>
          <w:lang w:eastAsia="en-AU"/>
        </w:rPr>
      </w:pPr>
      <w:r>
        <w:rPr>
          <w:lang w:eastAsia="en-AU"/>
        </w:rPr>
        <w:t>Introduction</w:t>
      </w:r>
    </w:p>
    <w:p w14:paraId="0658C6FE" w14:textId="77777777" w:rsidR="00CE75D4" w:rsidRDefault="00CE75D4" w:rsidP="008340C1">
      <w:pPr>
        <w:pStyle w:val="ARfinbody"/>
      </w:pPr>
      <w:r>
        <w:t xml:space="preserve">This section provides an account of the expenses incurred by the department in delivering services and outputs. In section 2 ‘Funding delivery of our services’, the funds that enable the provision of services were disclosed and in </w:t>
      </w:r>
      <w:r w:rsidRPr="00DD5C92">
        <w:t>this note</w:t>
      </w:r>
      <w:r>
        <w:t xml:space="preserve"> the costs associated with the provision of services are recorded. Section 4 ‘Disaggregated financial information by output’ discloses aggregated information in relation to the income and expenses by output.</w:t>
      </w:r>
    </w:p>
    <w:p w14:paraId="16D6BCFE" w14:textId="77777777" w:rsidR="00CE75D4" w:rsidRDefault="00CE75D4" w:rsidP="008340C1">
      <w:pPr>
        <w:pStyle w:val="Heading4"/>
        <w:rPr>
          <w:lang w:eastAsia="en-AU"/>
        </w:rPr>
      </w:pPr>
      <w:r>
        <w:rPr>
          <w:lang w:eastAsia="en-AU"/>
        </w:rPr>
        <w:t>Structure</w:t>
      </w:r>
    </w:p>
    <w:p w14:paraId="471D1106" w14:textId="77777777" w:rsidR="00CE75D4" w:rsidRDefault="00CE75D4" w:rsidP="008340C1">
      <w:pPr>
        <w:pStyle w:val="ARfinstructure1"/>
      </w:pPr>
      <w:r>
        <w:t>3.1</w:t>
      </w:r>
      <w:r>
        <w:tab/>
        <w:t>Expenses incurred in delivery of services</w:t>
      </w:r>
    </w:p>
    <w:p w14:paraId="4122E839" w14:textId="77777777" w:rsidR="00CE75D4" w:rsidRDefault="00CE75D4" w:rsidP="008340C1">
      <w:pPr>
        <w:pStyle w:val="ARfinstructure2"/>
      </w:pPr>
      <w:r>
        <w:t>3.1.1</w:t>
      </w:r>
      <w:r>
        <w:tab/>
        <w:t>Employee benefits</w:t>
      </w:r>
    </w:p>
    <w:p w14:paraId="7333B2C3" w14:textId="77777777" w:rsidR="00CE75D4" w:rsidRDefault="00CE75D4" w:rsidP="008340C1">
      <w:pPr>
        <w:pStyle w:val="ARfinstructure2"/>
      </w:pPr>
      <w:r>
        <w:t>3.1.2</w:t>
      </w:r>
      <w:r>
        <w:tab/>
        <w:t>Grants and other expense transfers</w:t>
      </w:r>
    </w:p>
    <w:p w14:paraId="215DDDCD" w14:textId="77777777" w:rsidR="00CE75D4" w:rsidRDefault="00CE75D4" w:rsidP="008340C1">
      <w:pPr>
        <w:pStyle w:val="ARfinstructure2"/>
      </w:pPr>
      <w:r>
        <w:t>3.1.3</w:t>
      </w:r>
      <w:r>
        <w:tab/>
        <w:t>Capital asset charge</w:t>
      </w:r>
    </w:p>
    <w:p w14:paraId="2912B7CC" w14:textId="77777777" w:rsidR="00CE75D4" w:rsidRDefault="00CE75D4" w:rsidP="008340C1">
      <w:pPr>
        <w:pStyle w:val="ARfinstructure2"/>
      </w:pPr>
      <w:r>
        <w:t>3.1.4</w:t>
      </w:r>
      <w:r>
        <w:tab/>
        <w:t>Fair value of assets and services provided free of charge or for nominal consideration</w:t>
      </w:r>
    </w:p>
    <w:p w14:paraId="4E21DB09" w14:textId="77777777" w:rsidR="00CE75D4" w:rsidRDefault="00CE75D4" w:rsidP="008340C1">
      <w:pPr>
        <w:pStyle w:val="ARfinstructure2"/>
      </w:pPr>
      <w:r>
        <w:t>3.1.5</w:t>
      </w:r>
      <w:r>
        <w:tab/>
        <w:t>Other operating expenses</w:t>
      </w:r>
    </w:p>
    <w:p w14:paraId="03DCBE84" w14:textId="77777777" w:rsidR="00CE75D4" w:rsidRDefault="00CE75D4" w:rsidP="008340C1">
      <w:pPr>
        <w:pStyle w:val="ARfinstructure2"/>
        <w:rPr>
          <w:b/>
          <w:bCs/>
        </w:rPr>
      </w:pPr>
      <w:r>
        <w:t>3.1.6</w:t>
      </w:r>
      <w:r>
        <w:tab/>
        <w:t>Other property management expenses</w:t>
      </w:r>
    </w:p>
    <w:p w14:paraId="4685840D" w14:textId="77777777" w:rsidR="00CE75D4" w:rsidRDefault="00CE75D4" w:rsidP="008340C1">
      <w:pPr>
        <w:pStyle w:val="Heading4"/>
        <w:rPr>
          <w:lang w:eastAsia="en-AU"/>
        </w:rPr>
      </w:pPr>
      <w:r>
        <w:rPr>
          <w:lang w:eastAsia="en-AU"/>
        </w:rPr>
        <w:t>Impact of COVID-19 on expenses</w:t>
      </w:r>
    </w:p>
    <w:p w14:paraId="0B27C61C" w14:textId="77777777" w:rsidR="00CE75D4" w:rsidRDefault="00CE75D4" w:rsidP="008340C1">
      <w:pPr>
        <w:pStyle w:val="ARfinbody"/>
      </w:pPr>
      <w:r>
        <w:t xml:space="preserve">The department has provided additional funding to the health agencies and other organisations to assist with the </w:t>
      </w:r>
      <w:r>
        <w:br/>
        <w:t>COVID-19 response, allocated additional resources to attend to COVID-19 public queries and contact tracing and also implemented work from home arrangements where appropriate.</w:t>
      </w:r>
    </w:p>
    <w:p w14:paraId="0FE7DC6B" w14:textId="77777777" w:rsidR="00CE75D4" w:rsidRPr="00FF78A0" w:rsidRDefault="00CE75D4" w:rsidP="00130D1C">
      <w:pPr>
        <w:pStyle w:val="Heading4"/>
      </w:pPr>
      <w:bookmarkStart w:id="542" w:name="_Toc39136699"/>
      <w:bookmarkStart w:id="543" w:name="_Toc39242138"/>
      <w:bookmarkStart w:id="544" w:name="_Toc85121379"/>
      <w:r>
        <w:t>3.1 Expenses incurred in the delivery of services</w:t>
      </w:r>
      <w:bookmarkEnd w:id="542"/>
      <w:bookmarkEnd w:id="543"/>
      <w:bookmarkEnd w:id="544"/>
    </w:p>
    <w:tbl>
      <w:tblPr>
        <w:tblStyle w:val="TableGrid"/>
        <w:tblW w:w="9637" w:type="dxa"/>
        <w:tblLayout w:type="fixed"/>
        <w:tblLook w:val="06A0" w:firstRow="1" w:lastRow="0" w:firstColumn="1" w:lastColumn="0" w:noHBand="1" w:noVBand="1"/>
      </w:tblPr>
      <w:tblGrid>
        <w:gridCol w:w="6518"/>
        <w:gridCol w:w="851"/>
        <w:gridCol w:w="1134"/>
        <w:gridCol w:w="1134"/>
      </w:tblGrid>
      <w:tr w:rsidR="00CE75D4" w:rsidRPr="002029AF" w14:paraId="696ECC06"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4CFFA9D8" w14:textId="77777777" w:rsidR="00CE75D4" w:rsidRPr="002029AF" w:rsidRDefault="00CE75D4" w:rsidP="008340C1">
            <w:pPr>
              <w:pStyle w:val="ARfintablecolhead"/>
            </w:pPr>
          </w:p>
        </w:tc>
        <w:tc>
          <w:tcPr>
            <w:tcW w:w="851" w:type="dxa"/>
            <w:tcBorders>
              <w:bottom w:val="single" w:sz="4" w:space="0" w:color="auto"/>
            </w:tcBorders>
            <w:noWrap/>
            <w:hideMark/>
          </w:tcPr>
          <w:p w14:paraId="0723AD6C" w14:textId="77777777" w:rsidR="00CE75D4" w:rsidRPr="002029AF" w:rsidRDefault="00CE75D4" w:rsidP="008340C1">
            <w:pPr>
              <w:pStyle w:val="ARfintablecolheadright"/>
            </w:pPr>
            <w:r w:rsidRPr="002029AF">
              <w:t>Note</w:t>
            </w:r>
          </w:p>
        </w:tc>
        <w:tc>
          <w:tcPr>
            <w:tcW w:w="1134" w:type="dxa"/>
            <w:tcBorders>
              <w:bottom w:val="single" w:sz="4" w:space="0" w:color="auto"/>
            </w:tcBorders>
            <w:shd w:val="clear" w:color="auto" w:fill="E7E6E6"/>
            <w:hideMark/>
          </w:tcPr>
          <w:p w14:paraId="7EC0B590" w14:textId="77777777" w:rsidR="00CE75D4" w:rsidRPr="002029AF" w:rsidRDefault="00CE75D4" w:rsidP="008340C1">
            <w:pPr>
              <w:pStyle w:val="ARfintablecolheadright"/>
            </w:pPr>
            <w:r w:rsidRPr="002029AF">
              <w:t>202</w:t>
            </w:r>
            <w:r>
              <w:t>2</w:t>
            </w:r>
          </w:p>
          <w:p w14:paraId="42025165" w14:textId="77777777" w:rsidR="00CE75D4" w:rsidRPr="002029AF" w:rsidRDefault="00CE75D4" w:rsidP="008340C1">
            <w:pPr>
              <w:pStyle w:val="ARfintablecolheadright"/>
            </w:pPr>
            <w:r w:rsidRPr="002029AF">
              <w:t>$M</w:t>
            </w:r>
          </w:p>
        </w:tc>
        <w:tc>
          <w:tcPr>
            <w:tcW w:w="1134" w:type="dxa"/>
            <w:tcBorders>
              <w:bottom w:val="single" w:sz="4" w:space="0" w:color="auto"/>
            </w:tcBorders>
            <w:hideMark/>
          </w:tcPr>
          <w:p w14:paraId="6DF961BC" w14:textId="77777777" w:rsidR="00CE75D4" w:rsidRPr="002029AF" w:rsidRDefault="00CE75D4" w:rsidP="008340C1">
            <w:pPr>
              <w:pStyle w:val="ARfintablecolheadright"/>
            </w:pPr>
            <w:r>
              <w:t>2021</w:t>
            </w:r>
          </w:p>
          <w:p w14:paraId="13276588" w14:textId="77777777" w:rsidR="00CE75D4" w:rsidRPr="002029AF" w:rsidRDefault="00CE75D4" w:rsidP="008340C1">
            <w:pPr>
              <w:pStyle w:val="ARfintablecolheadright"/>
            </w:pPr>
            <w:r w:rsidRPr="002029AF">
              <w:t>$M</w:t>
            </w:r>
          </w:p>
        </w:tc>
      </w:tr>
      <w:tr w:rsidR="00CE75D4" w:rsidRPr="002029AF" w14:paraId="64988D8F" w14:textId="77777777" w:rsidTr="00130D1C">
        <w:tc>
          <w:tcPr>
            <w:tcW w:w="6518" w:type="dxa"/>
            <w:tcBorders>
              <w:top w:val="single" w:sz="4" w:space="0" w:color="auto"/>
              <w:bottom w:val="single" w:sz="4" w:space="0" w:color="A6A6A6"/>
            </w:tcBorders>
            <w:hideMark/>
          </w:tcPr>
          <w:p w14:paraId="5A95F62B" w14:textId="77777777" w:rsidR="00CE75D4" w:rsidRPr="002029AF" w:rsidRDefault="00CE75D4" w:rsidP="008340C1">
            <w:pPr>
              <w:pStyle w:val="ARfintablebody"/>
            </w:pPr>
            <w:r w:rsidRPr="00B64D79">
              <w:t>Employee benefits</w:t>
            </w:r>
          </w:p>
        </w:tc>
        <w:tc>
          <w:tcPr>
            <w:tcW w:w="851" w:type="dxa"/>
            <w:tcBorders>
              <w:top w:val="single" w:sz="4" w:space="0" w:color="auto"/>
              <w:bottom w:val="single" w:sz="4" w:space="0" w:color="A6A6A6"/>
            </w:tcBorders>
            <w:noWrap/>
            <w:hideMark/>
          </w:tcPr>
          <w:p w14:paraId="4611B05A" w14:textId="77777777" w:rsidR="00CE75D4" w:rsidRPr="002029AF" w:rsidRDefault="00CE75D4" w:rsidP="008340C1">
            <w:pPr>
              <w:pStyle w:val="ARfintablebodyright"/>
            </w:pPr>
            <w:r w:rsidRPr="00B64D79">
              <w:t>3.1.1(a)</w:t>
            </w:r>
          </w:p>
        </w:tc>
        <w:tc>
          <w:tcPr>
            <w:tcW w:w="1134" w:type="dxa"/>
            <w:tcBorders>
              <w:top w:val="single" w:sz="4" w:space="0" w:color="auto"/>
              <w:bottom w:val="single" w:sz="4" w:space="0" w:color="A6A6A6"/>
            </w:tcBorders>
            <w:shd w:val="clear" w:color="auto" w:fill="E7E6E6"/>
            <w:noWrap/>
            <w:hideMark/>
          </w:tcPr>
          <w:p w14:paraId="2FA759A4" w14:textId="77777777" w:rsidR="00CE75D4" w:rsidRPr="002029AF" w:rsidRDefault="00CE75D4" w:rsidP="008340C1">
            <w:pPr>
              <w:pStyle w:val="ARfintablebodyright"/>
            </w:pPr>
            <w:r w:rsidRPr="00B64D79">
              <w:t>788.7</w:t>
            </w:r>
          </w:p>
        </w:tc>
        <w:tc>
          <w:tcPr>
            <w:tcW w:w="1134" w:type="dxa"/>
            <w:tcBorders>
              <w:top w:val="single" w:sz="4" w:space="0" w:color="auto"/>
              <w:bottom w:val="single" w:sz="4" w:space="0" w:color="A6A6A6"/>
            </w:tcBorders>
            <w:noWrap/>
            <w:hideMark/>
          </w:tcPr>
          <w:p w14:paraId="4226C677" w14:textId="77777777" w:rsidR="00CE75D4" w:rsidRPr="002029AF" w:rsidRDefault="00CE75D4" w:rsidP="008340C1">
            <w:pPr>
              <w:pStyle w:val="ARfintablebodyright"/>
            </w:pPr>
            <w:r w:rsidRPr="00B64D79">
              <w:t>1,500.3</w:t>
            </w:r>
          </w:p>
        </w:tc>
      </w:tr>
      <w:tr w:rsidR="00CE75D4" w:rsidRPr="002029AF" w14:paraId="5B8A7D09" w14:textId="77777777" w:rsidTr="00130D1C">
        <w:tc>
          <w:tcPr>
            <w:tcW w:w="6518" w:type="dxa"/>
            <w:tcBorders>
              <w:top w:val="single" w:sz="4" w:space="0" w:color="A6A6A6"/>
              <w:bottom w:val="single" w:sz="4" w:space="0" w:color="A6A6A6"/>
            </w:tcBorders>
            <w:hideMark/>
          </w:tcPr>
          <w:p w14:paraId="4B7B87FB" w14:textId="77777777" w:rsidR="00CE75D4" w:rsidRPr="002029AF" w:rsidRDefault="00CE75D4" w:rsidP="008340C1">
            <w:pPr>
              <w:pStyle w:val="ARfintablebody"/>
            </w:pPr>
            <w:r w:rsidRPr="00B64D79">
              <w:t>Grants and other expense transfers</w:t>
            </w:r>
            <w:r>
              <w:t xml:space="preserve"> </w:t>
            </w:r>
            <w:r w:rsidRPr="00AC3632">
              <w:rPr>
                <w:rStyle w:val="Superscript"/>
              </w:rPr>
              <w:t>(i)</w:t>
            </w:r>
          </w:p>
        </w:tc>
        <w:tc>
          <w:tcPr>
            <w:tcW w:w="851" w:type="dxa"/>
            <w:tcBorders>
              <w:top w:val="single" w:sz="4" w:space="0" w:color="A6A6A6"/>
              <w:bottom w:val="single" w:sz="4" w:space="0" w:color="A6A6A6"/>
            </w:tcBorders>
            <w:noWrap/>
            <w:hideMark/>
          </w:tcPr>
          <w:p w14:paraId="5D1C8AA3" w14:textId="77777777" w:rsidR="00CE75D4" w:rsidRPr="002029AF" w:rsidRDefault="00CE75D4" w:rsidP="008340C1">
            <w:pPr>
              <w:pStyle w:val="ARfintablebodyright"/>
            </w:pPr>
            <w:r w:rsidRPr="00B64D79">
              <w:t>3.1.2</w:t>
            </w:r>
          </w:p>
        </w:tc>
        <w:tc>
          <w:tcPr>
            <w:tcW w:w="1134" w:type="dxa"/>
            <w:tcBorders>
              <w:top w:val="single" w:sz="4" w:space="0" w:color="A6A6A6"/>
              <w:bottom w:val="single" w:sz="4" w:space="0" w:color="A6A6A6"/>
            </w:tcBorders>
            <w:shd w:val="clear" w:color="auto" w:fill="E7E6E6"/>
            <w:noWrap/>
            <w:hideMark/>
          </w:tcPr>
          <w:p w14:paraId="2AFF82FB" w14:textId="77777777" w:rsidR="00CE75D4" w:rsidRPr="002029AF" w:rsidRDefault="00CE75D4" w:rsidP="008340C1">
            <w:pPr>
              <w:pStyle w:val="ARfintablebodyright"/>
            </w:pPr>
            <w:r w:rsidRPr="00B64D79">
              <w:t>18,031.5</w:t>
            </w:r>
          </w:p>
        </w:tc>
        <w:tc>
          <w:tcPr>
            <w:tcW w:w="1134" w:type="dxa"/>
            <w:tcBorders>
              <w:top w:val="single" w:sz="4" w:space="0" w:color="A6A6A6"/>
              <w:bottom w:val="single" w:sz="4" w:space="0" w:color="A6A6A6"/>
            </w:tcBorders>
            <w:noWrap/>
            <w:hideMark/>
          </w:tcPr>
          <w:p w14:paraId="2750A303" w14:textId="77777777" w:rsidR="00CE75D4" w:rsidRPr="002029AF" w:rsidRDefault="00CE75D4" w:rsidP="008340C1">
            <w:pPr>
              <w:pStyle w:val="ARfintablebodyright"/>
            </w:pPr>
            <w:r w:rsidRPr="00B64D79">
              <w:t>19,720.7</w:t>
            </w:r>
          </w:p>
        </w:tc>
      </w:tr>
      <w:tr w:rsidR="00CE75D4" w:rsidRPr="002029AF" w14:paraId="58C81EB5" w14:textId="77777777" w:rsidTr="00130D1C">
        <w:tc>
          <w:tcPr>
            <w:tcW w:w="6518" w:type="dxa"/>
            <w:tcBorders>
              <w:top w:val="single" w:sz="4" w:space="0" w:color="A6A6A6"/>
              <w:bottom w:val="single" w:sz="4" w:space="0" w:color="A6A6A6"/>
            </w:tcBorders>
            <w:hideMark/>
          </w:tcPr>
          <w:p w14:paraId="6AEB9F07" w14:textId="77777777" w:rsidR="00CE75D4" w:rsidRPr="002029AF" w:rsidRDefault="00CE75D4" w:rsidP="008340C1">
            <w:pPr>
              <w:pStyle w:val="ARfintablebody"/>
            </w:pPr>
            <w:r w:rsidRPr="00B64D79">
              <w:t xml:space="preserve">Capital asset charge </w:t>
            </w:r>
            <w:r w:rsidRPr="00AC3632">
              <w:rPr>
                <w:rStyle w:val="Superscript"/>
              </w:rPr>
              <w:t>(</w:t>
            </w:r>
            <w:r>
              <w:rPr>
                <w:rStyle w:val="Superscript"/>
              </w:rPr>
              <w:t>i</w:t>
            </w:r>
            <w:r w:rsidRPr="00AC3632">
              <w:rPr>
                <w:rStyle w:val="Superscript"/>
              </w:rPr>
              <w:t>i)</w:t>
            </w:r>
          </w:p>
        </w:tc>
        <w:tc>
          <w:tcPr>
            <w:tcW w:w="851" w:type="dxa"/>
            <w:tcBorders>
              <w:top w:val="single" w:sz="4" w:space="0" w:color="A6A6A6"/>
              <w:bottom w:val="single" w:sz="4" w:space="0" w:color="A6A6A6"/>
            </w:tcBorders>
            <w:noWrap/>
            <w:hideMark/>
          </w:tcPr>
          <w:p w14:paraId="6C40CACC" w14:textId="77777777" w:rsidR="00CE75D4" w:rsidRPr="002029AF" w:rsidRDefault="00CE75D4" w:rsidP="008340C1">
            <w:pPr>
              <w:pStyle w:val="ARfintablebodyright"/>
            </w:pPr>
            <w:r w:rsidRPr="00B64D79">
              <w:t>3.1.3</w:t>
            </w:r>
          </w:p>
        </w:tc>
        <w:tc>
          <w:tcPr>
            <w:tcW w:w="1134" w:type="dxa"/>
            <w:tcBorders>
              <w:top w:val="single" w:sz="4" w:space="0" w:color="A6A6A6"/>
              <w:bottom w:val="single" w:sz="4" w:space="0" w:color="A6A6A6"/>
            </w:tcBorders>
            <w:shd w:val="clear" w:color="auto" w:fill="E7E6E6"/>
            <w:noWrap/>
            <w:hideMark/>
          </w:tcPr>
          <w:p w14:paraId="0CB0ECAC"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7A743FFF" w14:textId="77777777" w:rsidR="00CE75D4" w:rsidRPr="002029AF" w:rsidRDefault="00CE75D4" w:rsidP="008340C1">
            <w:pPr>
              <w:pStyle w:val="ARfintablebodyright"/>
            </w:pPr>
            <w:r w:rsidRPr="00B64D79">
              <w:t>1,427.7</w:t>
            </w:r>
          </w:p>
        </w:tc>
      </w:tr>
      <w:tr w:rsidR="00CE75D4" w:rsidRPr="002029AF" w14:paraId="0AAEC1F8" w14:textId="77777777" w:rsidTr="00130D1C">
        <w:tc>
          <w:tcPr>
            <w:tcW w:w="6518" w:type="dxa"/>
            <w:tcBorders>
              <w:top w:val="single" w:sz="4" w:space="0" w:color="A6A6A6"/>
              <w:bottom w:val="single" w:sz="4" w:space="0" w:color="A6A6A6"/>
            </w:tcBorders>
            <w:hideMark/>
          </w:tcPr>
          <w:p w14:paraId="104EF660" w14:textId="77777777" w:rsidR="00CE75D4" w:rsidRPr="002029AF" w:rsidRDefault="00CE75D4" w:rsidP="008340C1">
            <w:pPr>
              <w:pStyle w:val="ARfintablebody"/>
            </w:pPr>
            <w:r w:rsidRPr="00B64D79">
              <w:t xml:space="preserve">Maintenance </w:t>
            </w:r>
            <w:r w:rsidRPr="00AC3632">
              <w:rPr>
                <w:rStyle w:val="Superscript"/>
              </w:rPr>
              <w:t>(i</w:t>
            </w:r>
            <w:r>
              <w:rPr>
                <w:rStyle w:val="Superscript"/>
              </w:rPr>
              <w:t>i</w:t>
            </w:r>
            <w:r w:rsidRPr="00AC3632">
              <w:rPr>
                <w:rStyle w:val="Superscript"/>
              </w:rPr>
              <w:t>i)</w:t>
            </w:r>
          </w:p>
        </w:tc>
        <w:tc>
          <w:tcPr>
            <w:tcW w:w="851" w:type="dxa"/>
            <w:tcBorders>
              <w:top w:val="single" w:sz="4" w:space="0" w:color="A6A6A6"/>
              <w:bottom w:val="single" w:sz="4" w:space="0" w:color="A6A6A6"/>
            </w:tcBorders>
            <w:noWrap/>
            <w:hideMark/>
          </w:tcPr>
          <w:p w14:paraId="404E7493" w14:textId="77777777" w:rsidR="00CE75D4" w:rsidRPr="002029AF" w:rsidRDefault="00CE75D4" w:rsidP="008340C1">
            <w:pPr>
              <w:pStyle w:val="ARfintablebodyright"/>
            </w:pPr>
          </w:p>
        </w:tc>
        <w:tc>
          <w:tcPr>
            <w:tcW w:w="1134" w:type="dxa"/>
            <w:tcBorders>
              <w:top w:val="single" w:sz="4" w:space="0" w:color="A6A6A6"/>
              <w:bottom w:val="single" w:sz="4" w:space="0" w:color="A6A6A6"/>
            </w:tcBorders>
            <w:shd w:val="clear" w:color="auto" w:fill="E7E6E6"/>
            <w:noWrap/>
            <w:hideMark/>
          </w:tcPr>
          <w:p w14:paraId="1CDB11FB" w14:textId="77777777" w:rsidR="00CE75D4" w:rsidRPr="002029AF" w:rsidRDefault="00CE75D4" w:rsidP="008340C1">
            <w:pPr>
              <w:pStyle w:val="ARfintablebodyright"/>
            </w:pPr>
            <w:r w:rsidRPr="00B64D79">
              <w:t>0.7</w:t>
            </w:r>
          </w:p>
        </w:tc>
        <w:tc>
          <w:tcPr>
            <w:tcW w:w="1134" w:type="dxa"/>
            <w:tcBorders>
              <w:top w:val="single" w:sz="4" w:space="0" w:color="A6A6A6"/>
              <w:bottom w:val="single" w:sz="4" w:space="0" w:color="A6A6A6"/>
            </w:tcBorders>
            <w:noWrap/>
            <w:hideMark/>
          </w:tcPr>
          <w:p w14:paraId="1B4D9736" w14:textId="77777777" w:rsidR="00CE75D4" w:rsidRPr="002029AF" w:rsidRDefault="00CE75D4" w:rsidP="008340C1">
            <w:pPr>
              <w:pStyle w:val="ARfintablebodyright"/>
            </w:pPr>
            <w:r w:rsidRPr="00B64D79">
              <w:t>239.6</w:t>
            </w:r>
          </w:p>
        </w:tc>
      </w:tr>
      <w:tr w:rsidR="00CE75D4" w:rsidRPr="002029AF" w14:paraId="2234FC50" w14:textId="77777777" w:rsidTr="00130D1C">
        <w:tc>
          <w:tcPr>
            <w:tcW w:w="6518" w:type="dxa"/>
            <w:tcBorders>
              <w:top w:val="single" w:sz="4" w:space="0" w:color="A6A6A6"/>
              <w:bottom w:val="single" w:sz="4" w:space="0" w:color="A6A6A6"/>
            </w:tcBorders>
            <w:hideMark/>
          </w:tcPr>
          <w:p w14:paraId="6D540847" w14:textId="77777777" w:rsidR="00CE75D4" w:rsidRPr="002029AF" w:rsidRDefault="00CE75D4" w:rsidP="008340C1">
            <w:pPr>
              <w:pStyle w:val="ARfintablebody"/>
            </w:pPr>
            <w:r w:rsidRPr="00B64D79">
              <w:t>Fair value of assets and services provided free of charge or for nominal consideration</w:t>
            </w:r>
          </w:p>
        </w:tc>
        <w:tc>
          <w:tcPr>
            <w:tcW w:w="851" w:type="dxa"/>
            <w:tcBorders>
              <w:top w:val="single" w:sz="4" w:space="0" w:color="A6A6A6"/>
              <w:bottom w:val="single" w:sz="4" w:space="0" w:color="A6A6A6"/>
            </w:tcBorders>
            <w:noWrap/>
            <w:hideMark/>
          </w:tcPr>
          <w:p w14:paraId="4BCE8D0B" w14:textId="77777777" w:rsidR="00CE75D4" w:rsidRPr="002029AF" w:rsidRDefault="00CE75D4" w:rsidP="008340C1">
            <w:pPr>
              <w:pStyle w:val="ARfintablebodyright"/>
            </w:pPr>
            <w:r w:rsidRPr="00B64D79">
              <w:t>3.1.4</w:t>
            </w:r>
          </w:p>
        </w:tc>
        <w:tc>
          <w:tcPr>
            <w:tcW w:w="1134" w:type="dxa"/>
            <w:tcBorders>
              <w:top w:val="single" w:sz="4" w:space="0" w:color="A6A6A6"/>
              <w:bottom w:val="single" w:sz="4" w:space="0" w:color="A6A6A6"/>
            </w:tcBorders>
            <w:shd w:val="clear" w:color="auto" w:fill="E7E6E6"/>
            <w:noWrap/>
            <w:hideMark/>
          </w:tcPr>
          <w:p w14:paraId="4E05C593" w14:textId="77777777" w:rsidR="00CE75D4" w:rsidRPr="002029AF" w:rsidRDefault="00CE75D4" w:rsidP="008340C1">
            <w:pPr>
              <w:pStyle w:val="ARfintablebodyright"/>
            </w:pPr>
            <w:r w:rsidRPr="00B64D79">
              <w:t>683.4</w:t>
            </w:r>
          </w:p>
        </w:tc>
        <w:tc>
          <w:tcPr>
            <w:tcW w:w="1134" w:type="dxa"/>
            <w:tcBorders>
              <w:top w:val="single" w:sz="4" w:space="0" w:color="A6A6A6"/>
              <w:bottom w:val="single" w:sz="4" w:space="0" w:color="A6A6A6"/>
            </w:tcBorders>
            <w:noWrap/>
            <w:hideMark/>
          </w:tcPr>
          <w:p w14:paraId="4E79656E" w14:textId="77777777" w:rsidR="00CE75D4" w:rsidRPr="002029AF" w:rsidRDefault="00CE75D4" w:rsidP="008340C1">
            <w:pPr>
              <w:pStyle w:val="ARfintablebodyright"/>
            </w:pPr>
            <w:r w:rsidRPr="00B64D79">
              <w:t>297.2</w:t>
            </w:r>
          </w:p>
        </w:tc>
      </w:tr>
      <w:tr w:rsidR="00CE75D4" w:rsidRPr="002029AF" w14:paraId="0DDB35E4" w14:textId="77777777" w:rsidTr="00130D1C">
        <w:tc>
          <w:tcPr>
            <w:tcW w:w="6518" w:type="dxa"/>
            <w:tcBorders>
              <w:top w:val="single" w:sz="4" w:space="0" w:color="A6A6A6"/>
              <w:bottom w:val="single" w:sz="4" w:space="0" w:color="A6A6A6"/>
            </w:tcBorders>
            <w:hideMark/>
          </w:tcPr>
          <w:p w14:paraId="65C04A40" w14:textId="77777777" w:rsidR="00CE75D4" w:rsidRPr="002029AF" w:rsidRDefault="00CE75D4" w:rsidP="008340C1">
            <w:pPr>
              <w:pStyle w:val="ARfintablebody"/>
            </w:pPr>
            <w:r w:rsidRPr="00B64D79">
              <w:t>Other operating expenses</w:t>
            </w:r>
          </w:p>
        </w:tc>
        <w:tc>
          <w:tcPr>
            <w:tcW w:w="851" w:type="dxa"/>
            <w:tcBorders>
              <w:top w:val="single" w:sz="4" w:space="0" w:color="A6A6A6"/>
              <w:bottom w:val="single" w:sz="4" w:space="0" w:color="A6A6A6"/>
            </w:tcBorders>
            <w:noWrap/>
            <w:hideMark/>
          </w:tcPr>
          <w:p w14:paraId="1CED5424" w14:textId="77777777" w:rsidR="00CE75D4" w:rsidRPr="002029AF" w:rsidRDefault="00CE75D4" w:rsidP="008340C1">
            <w:pPr>
              <w:pStyle w:val="ARfintablebodyright"/>
            </w:pPr>
            <w:r w:rsidRPr="00B64D79">
              <w:t>3.1.5</w:t>
            </w:r>
          </w:p>
        </w:tc>
        <w:tc>
          <w:tcPr>
            <w:tcW w:w="1134" w:type="dxa"/>
            <w:tcBorders>
              <w:top w:val="single" w:sz="4" w:space="0" w:color="A6A6A6"/>
              <w:bottom w:val="single" w:sz="4" w:space="0" w:color="A6A6A6"/>
            </w:tcBorders>
            <w:shd w:val="clear" w:color="auto" w:fill="E7E6E6"/>
            <w:noWrap/>
            <w:hideMark/>
          </w:tcPr>
          <w:p w14:paraId="57C1A937" w14:textId="77777777" w:rsidR="00CE75D4" w:rsidRPr="002029AF" w:rsidRDefault="00CE75D4" w:rsidP="008340C1">
            <w:pPr>
              <w:pStyle w:val="ARfintablebodyright"/>
            </w:pPr>
            <w:r w:rsidRPr="00B64D79">
              <w:t>1,537.1</w:t>
            </w:r>
          </w:p>
        </w:tc>
        <w:tc>
          <w:tcPr>
            <w:tcW w:w="1134" w:type="dxa"/>
            <w:tcBorders>
              <w:top w:val="single" w:sz="4" w:space="0" w:color="A6A6A6"/>
              <w:bottom w:val="single" w:sz="4" w:space="0" w:color="A6A6A6"/>
            </w:tcBorders>
            <w:noWrap/>
            <w:hideMark/>
          </w:tcPr>
          <w:p w14:paraId="3B858F67" w14:textId="77777777" w:rsidR="00CE75D4" w:rsidRPr="002029AF" w:rsidRDefault="00CE75D4" w:rsidP="008340C1">
            <w:pPr>
              <w:pStyle w:val="ARfintablebodyright"/>
            </w:pPr>
            <w:r w:rsidRPr="00B64D79">
              <w:t>1,361.5</w:t>
            </w:r>
          </w:p>
        </w:tc>
      </w:tr>
      <w:tr w:rsidR="00CE75D4" w:rsidRPr="002029AF" w14:paraId="5E7AFF0F" w14:textId="77777777" w:rsidTr="00130D1C">
        <w:tc>
          <w:tcPr>
            <w:tcW w:w="6518" w:type="dxa"/>
            <w:tcBorders>
              <w:top w:val="single" w:sz="4" w:space="0" w:color="A6A6A6"/>
            </w:tcBorders>
            <w:hideMark/>
          </w:tcPr>
          <w:p w14:paraId="2DAF2CA4" w14:textId="77777777" w:rsidR="00CE75D4" w:rsidRPr="002029AF" w:rsidRDefault="00CE75D4" w:rsidP="008340C1">
            <w:pPr>
              <w:pStyle w:val="ARfintablebody"/>
            </w:pPr>
            <w:r w:rsidRPr="00B64D79">
              <w:t xml:space="preserve">Other property management expenses </w:t>
            </w:r>
            <w:r w:rsidRPr="00AC3632">
              <w:rPr>
                <w:rStyle w:val="Superscript"/>
              </w:rPr>
              <w:t>(ii</w:t>
            </w:r>
            <w:r>
              <w:rPr>
                <w:rStyle w:val="Superscript"/>
              </w:rPr>
              <w:t>i</w:t>
            </w:r>
            <w:r w:rsidRPr="00AC3632">
              <w:rPr>
                <w:rStyle w:val="Superscript"/>
              </w:rPr>
              <w:t>)</w:t>
            </w:r>
          </w:p>
        </w:tc>
        <w:tc>
          <w:tcPr>
            <w:tcW w:w="851" w:type="dxa"/>
            <w:tcBorders>
              <w:top w:val="single" w:sz="4" w:space="0" w:color="A6A6A6"/>
            </w:tcBorders>
            <w:noWrap/>
            <w:hideMark/>
          </w:tcPr>
          <w:p w14:paraId="34506DFD" w14:textId="77777777" w:rsidR="00CE75D4" w:rsidRPr="002029AF" w:rsidRDefault="00CE75D4" w:rsidP="008340C1">
            <w:pPr>
              <w:pStyle w:val="ARfintablebodyright"/>
            </w:pPr>
            <w:r w:rsidRPr="00B64D79">
              <w:t>3.1.6</w:t>
            </w:r>
          </w:p>
        </w:tc>
        <w:tc>
          <w:tcPr>
            <w:tcW w:w="1134" w:type="dxa"/>
            <w:tcBorders>
              <w:top w:val="single" w:sz="4" w:space="0" w:color="A6A6A6"/>
            </w:tcBorders>
            <w:shd w:val="clear" w:color="auto" w:fill="E7E6E6"/>
            <w:noWrap/>
            <w:hideMark/>
          </w:tcPr>
          <w:p w14:paraId="0C9857A8" w14:textId="77777777" w:rsidR="00CE75D4" w:rsidRPr="002029AF" w:rsidRDefault="00CE75D4" w:rsidP="008340C1">
            <w:pPr>
              <w:pStyle w:val="ARfintablebodyright"/>
            </w:pPr>
            <w:r>
              <w:t>–</w:t>
            </w:r>
          </w:p>
        </w:tc>
        <w:tc>
          <w:tcPr>
            <w:tcW w:w="1134" w:type="dxa"/>
            <w:tcBorders>
              <w:top w:val="single" w:sz="4" w:space="0" w:color="A6A6A6"/>
            </w:tcBorders>
            <w:noWrap/>
            <w:hideMark/>
          </w:tcPr>
          <w:p w14:paraId="4B678C37" w14:textId="77777777" w:rsidR="00CE75D4" w:rsidRPr="002029AF" w:rsidRDefault="00CE75D4" w:rsidP="008340C1">
            <w:pPr>
              <w:pStyle w:val="ARfintablebodyright"/>
            </w:pPr>
            <w:r w:rsidRPr="00B64D79">
              <w:t>274.6</w:t>
            </w:r>
          </w:p>
        </w:tc>
      </w:tr>
      <w:tr w:rsidR="00CE75D4" w:rsidRPr="002029AF" w14:paraId="16E51A76" w14:textId="77777777" w:rsidTr="00130D1C">
        <w:tc>
          <w:tcPr>
            <w:tcW w:w="6518" w:type="dxa"/>
            <w:hideMark/>
          </w:tcPr>
          <w:p w14:paraId="2F97BD90" w14:textId="77777777" w:rsidR="00CE75D4" w:rsidRPr="002029AF" w:rsidRDefault="00CE75D4" w:rsidP="008340C1">
            <w:pPr>
              <w:pStyle w:val="ARfintablebodybold"/>
            </w:pPr>
            <w:r w:rsidRPr="00B64D79">
              <w:t>Total expenses incurred in delivery of services</w:t>
            </w:r>
          </w:p>
        </w:tc>
        <w:tc>
          <w:tcPr>
            <w:tcW w:w="851" w:type="dxa"/>
            <w:hideMark/>
          </w:tcPr>
          <w:p w14:paraId="6B50125B" w14:textId="77777777" w:rsidR="00CE75D4" w:rsidRPr="002029AF" w:rsidRDefault="00CE75D4" w:rsidP="008340C1">
            <w:pPr>
              <w:pStyle w:val="ARfintablebodyrightbold"/>
            </w:pPr>
          </w:p>
        </w:tc>
        <w:tc>
          <w:tcPr>
            <w:tcW w:w="1134" w:type="dxa"/>
            <w:shd w:val="clear" w:color="auto" w:fill="E7E6E6"/>
            <w:noWrap/>
            <w:hideMark/>
          </w:tcPr>
          <w:p w14:paraId="79DD0D1D" w14:textId="77777777" w:rsidR="00CE75D4" w:rsidRPr="002029AF" w:rsidRDefault="00CE75D4" w:rsidP="008340C1">
            <w:pPr>
              <w:pStyle w:val="ARfintablebodyrightbold"/>
            </w:pPr>
            <w:r w:rsidRPr="00B64D79">
              <w:t>21,041.4</w:t>
            </w:r>
          </w:p>
        </w:tc>
        <w:tc>
          <w:tcPr>
            <w:tcW w:w="1134" w:type="dxa"/>
            <w:noWrap/>
            <w:hideMark/>
          </w:tcPr>
          <w:p w14:paraId="304D0C7E" w14:textId="77777777" w:rsidR="00CE75D4" w:rsidRPr="002029AF" w:rsidRDefault="00CE75D4" w:rsidP="008340C1">
            <w:pPr>
              <w:pStyle w:val="ARfintablebodyrightbold"/>
            </w:pPr>
            <w:r w:rsidRPr="00B64D79">
              <w:t>24,821.6</w:t>
            </w:r>
          </w:p>
        </w:tc>
      </w:tr>
    </w:tbl>
    <w:p w14:paraId="6E34EECA" w14:textId="77777777" w:rsidR="00CE75D4" w:rsidRDefault="00CE75D4" w:rsidP="008340C1">
      <w:pPr>
        <w:pStyle w:val="ARfintablefootnote"/>
      </w:pPr>
      <w:bookmarkStart w:id="545" w:name="_Toc39136700"/>
      <w:bookmarkStart w:id="546" w:name="_Toc85121380"/>
      <w:r>
        <w:rPr>
          <w:lang w:eastAsia="en-AU"/>
        </w:rPr>
        <w:t>Notes:</w:t>
      </w:r>
    </w:p>
    <w:p w14:paraId="7FB9B7FC" w14:textId="77777777" w:rsidR="00CE75D4" w:rsidRDefault="00CE75D4" w:rsidP="008340C1">
      <w:pPr>
        <w:pStyle w:val="ARfintablefootnoteindent"/>
      </w:pPr>
      <w:r>
        <w:t>(i)</w:t>
      </w:r>
      <w:r>
        <w:tab/>
        <w:t xml:space="preserve">The </w:t>
      </w:r>
      <w:r w:rsidRPr="00CE317F">
        <w:t>department provided additional grants and other expense transfers in 2022 in response to the COVID-19 pandemic. This is partially offset by the reduction in grants and other expense transfers due to the exclusion of DFFH-related numbers following the machinery of government changes in 2020</w:t>
      </w:r>
      <w:r>
        <w:t>–</w:t>
      </w:r>
      <w:r w:rsidRPr="00CE317F">
        <w:t>21.</w:t>
      </w:r>
    </w:p>
    <w:p w14:paraId="12D44173" w14:textId="77777777" w:rsidR="00CE75D4" w:rsidRDefault="00CE75D4" w:rsidP="008340C1">
      <w:pPr>
        <w:pStyle w:val="ARfintablefootnoteindent"/>
      </w:pPr>
      <w:r>
        <w:t>(ii)</w:t>
      </w:r>
      <w:r>
        <w:tab/>
        <w:t>Capital asset charge policy was discontinued in 2021–22. Refer to Note 3.1.3.</w:t>
      </w:r>
    </w:p>
    <w:p w14:paraId="73DF98D7" w14:textId="77777777" w:rsidR="00CE75D4" w:rsidRDefault="00CE75D4" w:rsidP="008340C1">
      <w:pPr>
        <w:pStyle w:val="ARfintablefootnoteindent"/>
      </w:pPr>
      <w:r>
        <w:t>(iii)</w:t>
      </w:r>
      <w:r>
        <w:tab/>
        <w:t xml:space="preserve">2021 numbers relate to the transactions for the year ended 30 June 2021 of the DFFH, the Victorian Disability Worker Commission and the Director of Housing. </w:t>
      </w:r>
      <w:r w:rsidRPr="00CE317F">
        <w:t>The transactions which relate to these entities are reported in the DFFH</w:t>
      </w:r>
      <w:r>
        <w:t>’</w:t>
      </w:r>
      <w:r w:rsidRPr="00CE317F">
        <w:t>s 2021</w:t>
      </w:r>
      <w:r>
        <w:t>–</w:t>
      </w:r>
      <w:r w:rsidRPr="00CE317F">
        <w:t>22 financial statements.</w:t>
      </w:r>
    </w:p>
    <w:p w14:paraId="63F7558E" w14:textId="77777777" w:rsidR="00CE75D4" w:rsidRDefault="00CE75D4" w:rsidP="00130D1C">
      <w:pPr>
        <w:pStyle w:val="Heading5"/>
      </w:pPr>
      <w:r>
        <w:t>3.1.1 Employee benefits</w:t>
      </w:r>
      <w:bookmarkEnd w:id="545"/>
      <w:bookmarkEnd w:id="546"/>
    </w:p>
    <w:p w14:paraId="229A268B" w14:textId="77777777" w:rsidR="00CE75D4" w:rsidRPr="008C1A64" w:rsidRDefault="00CE75D4" w:rsidP="00130D1C">
      <w:pPr>
        <w:pStyle w:val="Heading6"/>
      </w:pPr>
      <w:bookmarkStart w:id="547" w:name="_Toc85121381"/>
      <w:r w:rsidRPr="008C1A64">
        <w:t>3.1.1(a) Employee benefits</w:t>
      </w:r>
      <w:r>
        <w:t xml:space="preserve"> in the </w:t>
      </w:r>
      <w:r w:rsidRPr="008C1A64">
        <w:t>comprehensive operating statement</w:t>
      </w:r>
      <w:bookmarkEnd w:id="547"/>
    </w:p>
    <w:tbl>
      <w:tblPr>
        <w:tblStyle w:val="TableGrid"/>
        <w:tblW w:w="9637" w:type="dxa"/>
        <w:tblLayout w:type="fixed"/>
        <w:tblLook w:val="06A0" w:firstRow="1" w:lastRow="0" w:firstColumn="1" w:lastColumn="0" w:noHBand="1" w:noVBand="1"/>
      </w:tblPr>
      <w:tblGrid>
        <w:gridCol w:w="7369"/>
        <w:gridCol w:w="1134"/>
        <w:gridCol w:w="1134"/>
      </w:tblGrid>
      <w:tr w:rsidR="00CE75D4" w:rsidRPr="002029AF" w14:paraId="0A889F58"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0EC562F0" w14:textId="77777777" w:rsidR="00CE75D4" w:rsidRPr="002029AF" w:rsidRDefault="00CE75D4" w:rsidP="008340C1">
            <w:pPr>
              <w:pStyle w:val="ARfintablecolhead"/>
            </w:pPr>
          </w:p>
        </w:tc>
        <w:tc>
          <w:tcPr>
            <w:tcW w:w="1134" w:type="dxa"/>
            <w:tcBorders>
              <w:bottom w:val="single" w:sz="4" w:space="0" w:color="auto"/>
            </w:tcBorders>
            <w:shd w:val="clear" w:color="auto" w:fill="E7E6E6"/>
            <w:hideMark/>
          </w:tcPr>
          <w:p w14:paraId="45714CC1" w14:textId="77777777" w:rsidR="00CE75D4" w:rsidRPr="002029AF" w:rsidRDefault="00CE75D4" w:rsidP="008340C1">
            <w:pPr>
              <w:pStyle w:val="ARfintablecolheadright"/>
            </w:pPr>
            <w:r w:rsidRPr="002029AF">
              <w:t>202</w:t>
            </w:r>
            <w:r>
              <w:t>2</w:t>
            </w:r>
          </w:p>
          <w:p w14:paraId="269A7177" w14:textId="77777777" w:rsidR="00CE75D4" w:rsidRPr="002029AF" w:rsidRDefault="00CE75D4" w:rsidP="008340C1">
            <w:pPr>
              <w:pStyle w:val="ARfintablecolheadright"/>
            </w:pPr>
            <w:r w:rsidRPr="002029AF">
              <w:t>$M</w:t>
            </w:r>
          </w:p>
        </w:tc>
        <w:tc>
          <w:tcPr>
            <w:tcW w:w="1134" w:type="dxa"/>
            <w:tcBorders>
              <w:bottom w:val="single" w:sz="4" w:space="0" w:color="auto"/>
            </w:tcBorders>
            <w:hideMark/>
          </w:tcPr>
          <w:p w14:paraId="0DFFA48C" w14:textId="77777777" w:rsidR="00CE75D4" w:rsidRPr="002029AF" w:rsidRDefault="00CE75D4" w:rsidP="008340C1">
            <w:pPr>
              <w:pStyle w:val="ARfintablecolheadright"/>
            </w:pPr>
            <w:r>
              <w:t>2021</w:t>
            </w:r>
          </w:p>
          <w:p w14:paraId="235838D2" w14:textId="77777777" w:rsidR="00CE75D4" w:rsidRPr="002029AF" w:rsidRDefault="00CE75D4" w:rsidP="008340C1">
            <w:pPr>
              <w:pStyle w:val="ARfintablecolheadright"/>
            </w:pPr>
            <w:r w:rsidRPr="002029AF">
              <w:t>$M</w:t>
            </w:r>
          </w:p>
        </w:tc>
      </w:tr>
      <w:tr w:rsidR="00CE75D4" w:rsidRPr="002029AF" w14:paraId="68815580" w14:textId="77777777" w:rsidTr="00130D1C">
        <w:tc>
          <w:tcPr>
            <w:tcW w:w="7369" w:type="dxa"/>
            <w:tcBorders>
              <w:top w:val="single" w:sz="4" w:space="0" w:color="auto"/>
              <w:bottom w:val="single" w:sz="4" w:space="0" w:color="A6A6A6"/>
            </w:tcBorders>
            <w:hideMark/>
          </w:tcPr>
          <w:p w14:paraId="36559849" w14:textId="77777777" w:rsidR="00CE75D4" w:rsidRPr="002029AF" w:rsidRDefault="00CE75D4" w:rsidP="008340C1">
            <w:pPr>
              <w:pStyle w:val="ARfintablebody"/>
            </w:pPr>
            <w:r w:rsidRPr="005E203C">
              <w:t>Defined contribution superannuation expense</w:t>
            </w:r>
          </w:p>
        </w:tc>
        <w:tc>
          <w:tcPr>
            <w:tcW w:w="1134" w:type="dxa"/>
            <w:tcBorders>
              <w:top w:val="single" w:sz="4" w:space="0" w:color="auto"/>
              <w:bottom w:val="single" w:sz="4" w:space="0" w:color="A6A6A6"/>
            </w:tcBorders>
            <w:shd w:val="clear" w:color="auto" w:fill="E7E6E6"/>
            <w:noWrap/>
            <w:hideMark/>
          </w:tcPr>
          <w:p w14:paraId="0CBFED88" w14:textId="77777777" w:rsidR="00CE75D4" w:rsidRPr="002029AF" w:rsidRDefault="00CE75D4" w:rsidP="008340C1">
            <w:pPr>
              <w:pStyle w:val="ARfintablebodyright"/>
            </w:pPr>
            <w:r w:rsidRPr="005E203C">
              <w:t>51.4</w:t>
            </w:r>
          </w:p>
        </w:tc>
        <w:tc>
          <w:tcPr>
            <w:tcW w:w="1134" w:type="dxa"/>
            <w:tcBorders>
              <w:top w:val="single" w:sz="4" w:space="0" w:color="auto"/>
              <w:bottom w:val="single" w:sz="4" w:space="0" w:color="A6A6A6"/>
            </w:tcBorders>
            <w:noWrap/>
            <w:hideMark/>
          </w:tcPr>
          <w:p w14:paraId="3A08390C" w14:textId="77777777" w:rsidR="00CE75D4" w:rsidRPr="002029AF" w:rsidRDefault="00CE75D4" w:rsidP="008340C1">
            <w:pPr>
              <w:pStyle w:val="ARfintablebodyright"/>
            </w:pPr>
            <w:r w:rsidRPr="005E203C">
              <w:t>93.0</w:t>
            </w:r>
          </w:p>
        </w:tc>
      </w:tr>
      <w:tr w:rsidR="00CE75D4" w:rsidRPr="002029AF" w14:paraId="4DC1584A" w14:textId="77777777" w:rsidTr="00130D1C">
        <w:tc>
          <w:tcPr>
            <w:tcW w:w="7369" w:type="dxa"/>
            <w:tcBorders>
              <w:top w:val="single" w:sz="4" w:space="0" w:color="A6A6A6"/>
              <w:bottom w:val="single" w:sz="4" w:space="0" w:color="A6A6A6"/>
            </w:tcBorders>
            <w:hideMark/>
          </w:tcPr>
          <w:p w14:paraId="44BA0F07" w14:textId="77777777" w:rsidR="00CE75D4" w:rsidRPr="002029AF" w:rsidRDefault="00CE75D4" w:rsidP="008340C1">
            <w:pPr>
              <w:pStyle w:val="ARfintablebody"/>
            </w:pPr>
            <w:r w:rsidRPr="005E203C">
              <w:t>Defined benefit superannuation expense</w:t>
            </w:r>
          </w:p>
        </w:tc>
        <w:tc>
          <w:tcPr>
            <w:tcW w:w="1134" w:type="dxa"/>
            <w:tcBorders>
              <w:top w:val="single" w:sz="4" w:space="0" w:color="A6A6A6"/>
              <w:bottom w:val="single" w:sz="4" w:space="0" w:color="A6A6A6"/>
            </w:tcBorders>
            <w:shd w:val="clear" w:color="auto" w:fill="E7E6E6"/>
            <w:noWrap/>
            <w:hideMark/>
          </w:tcPr>
          <w:p w14:paraId="30DF5F3A" w14:textId="77777777" w:rsidR="00CE75D4" w:rsidRPr="002029AF" w:rsidRDefault="00CE75D4" w:rsidP="008340C1">
            <w:pPr>
              <w:pStyle w:val="ARfintablebodyright"/>
            </w:pPr>
            <w:r w:rsidRPr="005E203C">
              <w:t>1.8</w:t>
            </w:r>
          </w:p>
        </w:tc>
        <w:tc>
          <w:tcPr>
            <w:tcW w:w="1134" w:type="dxa"/>
            <w:tcBorders>
              <w:top w:val="single" w:sz="4" w:space="0" w:color="A6A6A6"/>
              <w:bottom w:val="single" w:sz="4" w:space="0" w:color="A6A6A6"/>
            </w:tcBorders>
            <w:noWrap/>
            <w:hideMark/>
          </w:tcPr>
          <w:p w14:paraId="04550C31" w14:textId="77777777" w:rsidR="00CE75D4" w:rsidRPr="002029AF" w:rsidRDefault="00CE75D4" w:rsidP="008340C1">
            <w:pPr>
              <w:pStyle w:val="ARfintablebodyright"/>
            </w:pPr>
            <w:r w:rsidRPr="005E203C">
              <w:t>6.5</w:t>
            </w:r>
          </w:p>
        </w:tc>
      </w:tr>
      <w:tr w:rsidR="00CE75D4" w:rsidRPr="002029AF" w14:paraId="727EEEDC" w14:textId="77777777" w:rsidTr="00130D1C">
        <w:tc>
          <w:tcPr>
            <w:tcW w:w="7369" w:type="dxa"/>
            <w:tcBorders>
              <w:top w:val="single" w:sz="4" w:space="0" w:color="A6A6A6"/>
              <w:bottom w:val="single" w:sz="4" w:space="0" w:color="A6A6A6"/>
            </w:tcBorders>
            <w:hideMark/>
          </w:tcPr>
          <w:p w14:paraId="0D64FA55" w14:textId="77777777" w:rsidR="00CE75D4" w:rsidRPr="002029AF" w:rsidRDefault="00CE75D4" w:rsidP="008340C1">
            <w:pPr>
              <w:pStyle w:val="ARfintablebody"/>
            </w:pPr>
            <w:r w:rsidRPr="005E203C">
              <w:t>Termination benefits</w:t>
            </w:r>
          </w:p>
        </w:tc>
        <w:tc>
          <w:tcPr>
            <w:tcW w:w="1134" w:type="dxa"/>
            <w:tcBorders>
              <w:top w:val="single" w:sz="4" w:space="0" w:color="A6A6A6"/>
              <w:bottom w:val="single" w:sz="4" w:space="0" w:color="A6A6A6"/>
            </w:tcBorders>
            <w:shd w:val="clear" w:color="auto" w:fill="E7E6E6"/>
            <w:noWrap/>
            <w:hideMark/>
          </w:tcPr>
          <w:p w14:paraId="75E4547C" w14:textId="77777777" w:rsidR="00CE75D4" w:rsidRPr="002029AF" w:rsidRDefault="00CE75D4" w:rsidP="008340C1">
            <w:pPr>
              <w:pStyle w:val="ARfintablebodyright"/>
            </w:pPr>
            <w:r w:rsidRPr="005E203C">
              <w:t>22.4</w:t>
            </w:r>
          </w:p>
        </w:tc>
        <w:tc>
          <w:tcPr>
            <w:tcW w:w="1134" w:type="dxa"/>
            <w:tcBorders>
              <w:top w:val="single" w:sz="4" w:space="0" w:color="A6A6A6"/>
              <w:bottom w:val="single" w:sz="4" w:space="0" w:color="A6A6A6"/>
            </w:tcBorders>
            <w:noWrap/>
            <w:hideMark/>
          </w:tcPr>
          <w:p w14:paraId="538A0F6F" w14:textId="77777777" w:rsidR="00CE75D4" w:rsidRPr="002029AF" w:rsidRDefault="00CE75D4" w:rsidP="008340C1">
            <w:pPr>
              <w:pStyle w:val="ARfintablebodyright"/>
            </w:pPr>
            <w:r w:rsidRPr="005E203C">
              <w:t>23.7</w:t>
            </w:r>
          </w:p>
        </w:tc>
      </w:tr>
      <w:tr w:rsidR="00CE75D4" w:rsidRPr="002029AF" w14:paraId="7BEC1882" w14:textId="77777777" w:rsidTr="00130D1C">
        <w:tc>
          <w:tcPr>
            <w:tcW w:w="7369" w:type="dxa"/>
            <w:tcBorders>
              <w:top w:val="single" w:sz="4" w:space="0" w:color="A6A6A6"/>
            </w:tcBorders>
            <w:hideMark/>
          </w:tcPr>
          <w:p w14:paraId="0A9E7073" w14:textId="77777777" w:rsidR="00CE75D4" w:rsidRPr="002029AF" w:rsidRDefault="00CE75D4" w:rsidP="008340C1">
            <w:pPr>
              <w:pStyle w:val="ARfintablebody"/>
            </w:pPr>
            <w:r w:rsidRPr="005E203C">
              <w:t>Salaries and wages, annual leave and long service leave</w:t>
            </w:r>
          </w:p>
        </w:tc>
        <w:tc>
          <w:tcPr>
            <w:tcW w:w="1134" w:type="dxa"/>
            <w:tcBorders>
              <w:top w:val="single" w:sz="4" w:space="0" w:color="A6A6A6"/>
            </w:tcBorders>
            <w:shd w:val="clear" w:color="auto" w:fill="E7E6E6"/>
            <w:noWrap/>
            <w:hideMark/>
          </w:tcPr>
          <w:p w14:paraId="7B4CAF49" w14:textId="77777777" w:rsidR="00CE75D4" w:rsidRPr="002029AF" w:rsidRDefault="00CE75D4" w:rsidP="008340C1">
            <w:pPr>
              <w:pStyle w:val="ARfintablebodyright"/>
            </w:pPr>
            <w:r w:rsidRPr="005E203C">
              <w:t>713.1</w:t>
            </w:r>
          </w:p>
        </w:tc>
        <w:tc>
          <w:tcPr>
            <w:tcW w:w="1134" w:type="dxa"/>
            <w:tcBorders>
              <w:top w:val="single" w:sz="4" w:space="0" w:color="A6A6A6"/>
            </w:tcBorders>
            <w:noWrap/>
            <w:hideMark/>
          </w:tcPr>
          <w:p w14:paraId="47ED769C" w14:textId="77777777" w:rsidR="00CE75D4" w:rsidRPr="002029AF" w:rsidRDefault="00CE75D4" w:rsidP="008340C1">
            <w:pPr>
              <w:pStyle w:val="ARfintablebodyright"/>
            </w:pPr>
            <w:r w:rsidRPr="005E203C">
              <w:t>1,377.1</w:t>
            </w:r>
          </w:p>
        </w:tc>
      </w:tr>
      <w:tr w:rsidR="00CE75D4" w:rsidRPr="002029AF" w14:paraId="63D106A5" w14:textId="77777777" w:rsidTr="00130D1C">
        <w:tc>
          <w:tcPr>
            <w:tcW w:w="7369" w:type="dxa"/>
            <w:hideMark/>
          </w:tcPr>
          <w:p w14:paraId="2B752B43" w14:textId="77777777" w:rsidR="00CE75D4" w:rsidRPr="002029AF" w:rsidRDefault="00CE75D4" w:rsidP="008340C1">
            <w:pPr>
              <w:pStyle w:val="ARfintablebodybold"/>
            </w:pPr>
            <w:r w:rsidRPr="005E203C">
              <w:t>Total employee benefits</w:t>
            </w:r>
          </w:p>
        </w:tc>
        <w:tc>
          <w:tcPr>
            <w:tcW w:w="1134" w:type="dxa"/>
            <w:shd w:val="clear" w:color="auto" w:fill="E7E6E6"/>
            <w:noWrap/>
            <w:hideMark/>
          </w:tcPr>
          <w:p w14:paraId="490982BB" w14:textId="77777777" w:rsidR="00CE75D4" w:rsidRPr="002029AF" w:rsidRDefault="00CE75D4" w:rsidP="008340C1">
            <w:pPr>
              <w:pStyle w:val="ARfintablebodyrightbold"/>
            </w:pPr>
            <w:r w:rsidRPr="005E203C">
              <w:t>788.7</w:t>
            </w:r>
          </w:p>
        </w:tc>
        <w:tc>
          <w:tcPr>
            <w:tcW w:w="1134" w:type="dxa"/>
            <w:noWrap/>
            <w:hideMark/>
          </w:tcPr>
          <w:p w14:paraId="0CE90E2A" w14:textId="77777777" w:rsidR="00CE75D4" w:rsidRPr="002029AF" w:rsidRDefault="00CE75D4" w:rsidP="008340C1">
            <w:pPr>
              <w:pStyle w:val="ARfintablebodyrightbold"/>
            </w:pPr>
            <w:r w:rsidRPr="005E203C">
              <w:t>1,500.3</w:t>
            </w:r>
          </w:p>
        </w:tc>
      </w:tr>
    </w:tbl>
    <w:p w14:paraId="64F8DA48" w14:textId="77777777" w:rsidR="00CE75D4" w:rsidRDefault="00CE75D4" w:rsidP="008340C1">
      <w:pPr>
        <w:pStyle w:val="ARfinbodyaftertable"/>
      </w:pPr>
      <w:r>
        <w:t>Employee benefits include all costs related to employment, including salaries and wages, leave entitlements, fringe benefits tax, termination benefits, payroll tax and WorkCover premiums.</w:t>
      </w:r>
    </w:p>
    <w:p w14:paraId="39DADD0A" w14:textId="77777777" w:rsidR="00CE75D4" w:rsidRDefault="00CE75D4" w:rsidP="008340C1">
      <w:pPr>
        <w:pStyle w:val="ARfinbody"/>
      </w:pPr>
      <w:r>
        <w:t>The amount recognised in the comprehensive operating statement in relation to superannuation is employer contributions for members of both defined benefit and defined contribution superannuation plans that are paid or payable during the reporting period. The department does not recognise any defined benefit liabilities because it has no legal or constructive obligation to pay future benefits relating to its employees. Instead, the Department of Treasury and Finance discloses in its annual financial statements the net defined benefit cost related to the members of these plans as an administered liability (on behalf of the state as the sponsoring employer).</w:t>
      </w:r>
    </w:p>
    <w:p w14:paraId="1C5E9D28" w14:textId="77777777" w:rsidR="00CE75D4" w:rsidRDefault="00CE75D4" w:rsidP="008340C1">
      <w:pPr>
        <w:pStyle w:val="ARfinbody"/>
      </w:pPr>
      <w:r>
        <w:t>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w:t>
      </w:r>
    </w:p>
    <w:p w14:paraId="74BFB6CF" w14:textId="77777777" w:rsidR="00CE75D4" w:rsidRDefault="00CE75D4" w:rsidP="008340C1">
      <w:pPr>
        <w:pStyle w:val="Heading6"/>
        <w:spacing w:before="160" w:after="60"/>
      </w:pPr>
      <w:r>
        <w:rPr>
          <w:lang w:eastAsia="en-AU"/>
        </w:rPr>
        <w:t>3.1.1(b) Employee benefits in the balance sheet</w:t>
      </w:r>
    </w:p>
    <w:p w14:paraId="79D514A3" w14:textId="77777777" w:rsidR="00CE75D4" w:rsidRDefault="00CE75D4" w:rsidP="008340C1">
      <w:pPr>
        <w:pStyle w:val="ARfinbodylargespace"/>
      </w:pPr>
      <w:r>
        <w:t xml:space="preserve">Provision is made for benefits accruing to employees in respect of annual leave and </w:t>
      </w:r>
      <w:r w:rsidRPr="00D534FE">
        <w:t>long service leave (LSL)</w:t>
      </w:r>
      <w:r>
        <w:t xml:space="preserve"> for services rendered to the reporting date and recorded as an expense during the period the services are delivered.</w:t>
      </w:r>
    </w:p>
    <w:tbl>
      <w:tblPr>
        <w:tblStyle w:val="TableGrid"/>
        <w:tblW w:w="9637" w:type="dxa"/>
        <w:tblLayout w:type="fixed"/>
        <w:tblLook w:val="06A0" w:firstRow="1" w:lastRow="0" w:firstColumn="1" w:lastColumn="0" w:noHBand="1" w:noVBand="1"/>
      </w:tblPr>
      <w:tblGrid>
        <w:gridCol w:w="7371"/>
        <w:gridCol w:w="1133"/>
        <w:gridCol w:w="1133"/>
      </w:tblGrid>
      <w:tr w:rsidR="00CE75D4" w:rsidRPr="002029AF" w14:paraId="09DF7687"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7E85B190" w14:textId="77777777" w:rsidR="00CE75D4" w:rsidRPr="002029AF" w:rsidRDefault="00CE75D4" w:rsidP="008340C1">
            <w:pPr>
              <w:pStyle w:val="ARfintablecolhead"/>
              <w:spacing w:before="28" w:after="10"/>
            </w:pPr>
          </w:p>
        </w:tc>
        <w:tc>
          <w:tcPr>
            <w:tcW w:w="1133" w:type="dxa"/>
            <w:tcBorders>
              <w:bottom w:val="single" w:sz="4" w:space="0" w:color="auto"/>
            </w:tcBorders>
            <w:shd w:val="clear" w:color="auto" w:fill="E7E6E6"/>
            <w:hideMark/>
          </w:tcPr>
          <w:p w14:paraId="69F9E75B" w14:textId="77777777" w:rsidR="00CE75D4" w:rsidRPr="002029AF" w:rsidRDefault="00CE75D4" w:rsidP="008340C1">
            <w:pPr>
              <w:pStyle w:val="ARfintablecolheadright"/>
              <w:spacing w:before="28" w:after="10"/>
            </w:pPr>
            <w:r w:rsidRPr="002029AF">
              <w:t>202</w:t>
            </w:r>
            <w:r>
              <w:t>2</w:t>
            </w:r>
          </w:p>
          <w:p w14:paraId="332D8C9D" w14:textId="77777777" w:rsidR="00CE75D4" w:rsidRPr="002029AF" w:rsidRDefault="00CE75D4" w:rsidP="008340C1">
            <w:pPr>
              <w:pStyle w:val="ARfintablecolheadright"/>
              <w:spacing w:before="28" w:after="10"/>
            </w:pPr>
            <w:r w:rsidRPr="002029AF">
              <w:t>$M</w:t>
            </w:r>
          </w:p>
        </w:tc>
        <w:tc>
          <w:tcPr>
            <w:tcW w:w="1133" w:type="dxa"/>
            <w:tcBorders>
              <w:bottom w:val="single" w:sz="4" w:space="0" w:color="auto"/>
            </w:tcBorders>
            <w:hideMark/>
          </w:tcPr>
          <w:p w14:paraId="757834DB" w14:textId="77777777" w:rsidR="00CE75D4" w:rsidRPr="002029AF" w:rsidRDefault="00CE75D4" w:rsidP="008340C1">
            <w:pPr>
              <w:pStyle w:val="ARfintablecolheadright"/>
              <w:spacing w:before="28" w:after="10"/>
            </w:pPr>
            <w:r>
              <w:t>2021</w:t>
            </w:r>
          </w:p>
          <w:p w14:paraId="1F909CE3" w14:textId="77777777" w:rsidR="00CE75D4" w:rsidRPr="002029AF" w:rsidRDefault="00CE75D4" w:rsidP="008340C1">
            <w:pPr>
              <w:pStyle w:val="ARfintablecolheadright"/>
              <w:spacing w:before="28" w:after="10"/>
            </w:pPr>
            <w:r w:rsidRPr="002029AF">
              <w:t>$M</w:t>
            </w:r>
          </w:p>
        </w:tc>
      </w:tr>
      <w:tr w:rsidR="00CE75D4" w:rsidRPr="002029AF" w14:paraId="1D0886FC" w14:textId="77777777" w:rsidTr="00860E95">
        <w:tc>
          <w:tcPr>
            <w:tcW w:w="9637" w:type="dxa"/>
            <w:gridSpan w:val="3"/>
            <w:tcBorders>
              <w:top w:val="single" w:sz="4" w:space="0" w:color="auto"/>
              <w:bottom w:val="single" w:sz="4" w:space="0" w:color="A6A6A6"/>
            </w:tcBorders>
            <w:hideMark/>
          </w:tcPr>
          <w:p w14:paraId="5CD2C626" w14:textId="77777777" w:rsidR="00CE75D4" w:rsidRPr="002029AF" w:rsidRDefault="00CE75D4" w:rsidP="008340C1">
            <w:pPr>
              <w:pStyle w:val="ARfintablebodybold"/>
              <w:spacing w:before="28" w:after="10"/>
            </w:pPr>
            <w:r w:rsidRPr="001E7599">
              <w:t>Current provisions</w:t>
            </w:r>
          </w:p>
        </w:tc>
      </w:tr>
      <w:tr w:rsidR="00CE75D4" w:rsidRPr="002029AF" w14:paraId="0B5B80F7" w14:textId="77777777" w:rsidTr="00860E95">
        <w:tc>
          <w:tcPr>
            <w:tcW w:w="9637" w:type="dxa"/>
            <w:gridSpan w:val="3"/>
            <w:tcBorders>
              <w:top w:val="single" w:sz="4" w:space="0" w:color="A6A6A6"/>
              <w:bottom w:val="single" w:sz="4" w:space="0" w:color="A6A6A6"/>
            </w:tcBorders>
            <w:hideMark/>
          </w:tcPr>
          <w:p w14:paraId="6B2F2997" w14:textId="77777777" w:rsidR="00CE75D4" w:rsidRPr="002029AF" w:rsidRDefault="00CE75D4" w:rsidP="008340C1">
            <w:pPr>
              <w:pStyle w:val="ARfintablebody"/>
              <w:spacing w:before="28" w:after="10"/>
            </w:pPr>
            <w:r w:rsidRPr="001E7599">
              <w:t>Annual leave</w:t>
            </w:r>
          </w:p>
        </w:tc>
      </w:tr>
      <w:tr w:rsidR="00CE75D4" w:rsidRPr="002029AF" w14:paraId="2AEFE50E" w14:textId="77777777" w:rsidTr="00860E95">
        <w:tc>
          <w:tcPr>
            <w:tcW w:w="7371" w:type="dxa"/>
            <w:tcBorders>
              <w:top w:val="single" w:sz="4" w:space="0" w:color="A6A6A6"/>
              <w:bottom w:val="single" w:sz="4" w:space="0" w:color="A6A6A6"/>
            </w:tcBorders>
            <w:hideMark/>
          </w:tcPr>
          <w:p w14:paraId="506F47FD" w14:textId="77777777" w:rsidR="00CE75D4" w:rsidRPr="002029AF" w:rsidRDefault="00CE75D4" w:rsidP="008340C1">
            <w:pPr>
              <w:pStyle w:val="ARfintablebodyindent"/>
              <w:spacing w:before="28" w:after="10"/>
            </w:pPr>
            <w:r w:rsidRPr="001E7599">
              <w:t>Unconditional and expected to be settled within 12 months</w:t>
            </w:r>
          </w:p>
        </w:tc>
        <w:tc>
          <w:tcPr>
            <w:tcW w:w="1133" w:type="dxa"/>
            <w:tcBorders>
              <w:top w:val="single" w:sz="4" w:space="0" w:color="A6A6A6"/>
              <w:bottom w:val="single" w:sz="4" w:space="0" w:color="A6A6A6"/>
            </w:tcBorders>
            <w:shd w:val="clear" w:color="auto" w:fill="E7E6E6"/>
            <w:noWrap/>
            <w:hideMark/>
          </w:tcPr>
          <w:p w14:paraId="5829A0F5" w14:textId="77777777" w:rsidR="00CE75D4" w:rsidRPr="002029AF" w:rsidRDefault="00CE75D4" w:rsidP="008340C1">
            <w:pPr>
              <w:pStyle w:val="ARfintablebodyright"/>
              <w:spacing w:before="28" w:after="10"/>
            </w:pPr>
            <w:r w:rsidRPr="001E7599">
              <w:t>39.5</w:t>
            </w:r>
          </w:p>
        </w:tc>
        <w:tc>
          <w:tcPr>
            <w:tcW w:w="1133" w:type="dxa"/>
            <w:tcBorders>
              <w:top w:val="single" w:sz="4" w:space="0" w:color="A6A6A6"/>
              <w:bottom w:val="single" w:sz="4" w:space="0" w:color="A6A6A6"/>
            </w:tcBorders>
            <w:noWrap/>
            <w:hideMark/>
          </w:tcPr>
          <w:p w14:paraId="5010ADFF" w14:textId="77777777" w:rsidR="00CE75D4" w:rsidRPr="002029AF" w:rsidRDefault="00CE75D4" w:rsidP="008340C1">
            <w:pPr>
              <w:pStyle w:val="ARfintablebodyright"/>
              <w:spacing w:before="28" w:after="10"/>
            </w:pPr>
            <w:r w:rsidRPr="001E7599">
              <w:t>84.9</w:t>
            </w:r>
          </w:p>
        </w:tc>
      </w:tr>
      <w:tr w:rsidR="00CE75D4" w:rsidRPr="002029AF" w14:paraId="0A505E88" w14:textId="77777777" w:rsidTr="00860E95">
        <w:tc>
          <w:tcPr>
            <w:tcW w:w="7371" w:type="dxa"/>
            <w:tcBorders>
              <w:top w:val="single" w:sz="4" w:space="0" w:color="A6A6A6"/>
              <w:bottom w:val="single" w:sz="4" w:space="0" w:color="A6A6A6"/>
            </w:tcBorders>
            <w:hideMark/>
          </w:tcPr>
          <w:p w14:paraId="5033269F" w14:textId="77777777" w:rsidR="00CE75D4" w:rsidRPr="002029AF" w:rsidRDefault="00CE75D4" w:rsidP="008340C1">
            <w:pPr>
              <w:pStyle w:val="ARfintablebodyindent"/>
              <w:spacing w:before="28" w:after="10"/>
            </w:pPr>
            <w:r w:rsidRPr="001E7599">
              <w:t>Unconditional and expected to be settled after 12 months</w:t>
            </w:r>
          </w:p>
        </w:tc>
        <w:tc>
          <w:tcPr>
            <w:tcW w:w="1133" w:type="dxa"/>
            <w:tcBorders>
              <w:top w:val="single" w:sz="4" w:space="0" w:color="A6A6A6"/>
              <w:bottom w:val="single" w:sz="4" w:space="0" w:color="A6A6A6"/>
            </w:tcBorders>
            <w:shd w:val="clear" w:color="auto" w:fill="E7E6E6"/>
            <w:noWrap/>
            <w:hideMark/>
          </w:tcPr>
          <w:p w14:paraId="555D881D" w14:textId="77777777" w:rsidR="00CE75D4" w:rsidRPr="002029AF" w:rsidRDefault="00CE75D4" w:rsidP="008340C1">
            <w:pPr>
              <w:pStyle w:val="ARfintablebodyright"/>
              <w:spacing w:before="28" w:after="10"/>
            </w:pPr>
            <w:r w:rsidRPr="001E7599">
              <w:t>17.8</w:t>
            </w:r>
          </w:p>
        </w:tc>
        <w:tc>
          <w:tcPr>
            <w:tcW w:w="1133" w:type="dxa"/>
            <w:tcBorders>
              <w:top w:val="single" w:sz="4" w:space="0" w:color="A6A6A6"/>
              <w:bottom w:val="single" w:sz="4" w:space="0" w:color="A6A6A6"/>
            </w:tcBorders>
            <w:noWrap/>
            <w:hideMark/>
          </w:tcPr>
          <w:p w14:paraId="003B9F06" w14:textId="77777777" w:rsidR="00CE75D4" w:rsidRPr="002029AF" w:rsidRDefault="00CE75D4" w:rsidP="008340C1">
            <w:pPr>
              <w:pStyle w:val="ARfintablebodyright"/>
              <w:spacing w:before="28" w:after="10"/>
            </w:pPr>
            <w:r w:rsidRPr="001E7599">
              <w:t>42.4</w:t>
            </w:r>
          </w:p>
        </w:tc>
      </w:tr>
      <w:tr w:rsidR="00CE75D4" w:rsidRPr="002029AF" w14:paraId="718DBA6C" w14:textId="77777777" w:rsidTr="00860E95">
        <w:tc>
          <w:tcPr>
            <w:tcW w:w="9637" w:type="dxa"/>
            <w:gridSpan w:val="3"/>
            <w:tcBorders>
              <w:top w:val="single" w:sz="4" w:space="0" w:color="A6A6A6"/>
              <w:bottom w:val="single" w:sz="4" w:space="0" w:color="A6A6A6"/>
            </w:tcBorders>
            <w:hideMark/>
          </w:tcPr>
          <w:p w14:paraId="48474779" w14:textId="77777777" w:rsidR="00CE75D4" w:rsidRPr="00EC6F46" w:rsidRDefault="00CE75D4" w:rsidP="008340C1">
            <w:pPr>
              <w:pStyle w:val="ARfintablebody"/>
              <w:spacing w:before="28" w:after="10"/>
            </w:pPr>
            <w:r w:rsidRPr="001E7599">
              <w:t>Maternity leave</w:t>
            </w:r>
          </w:p>
        </w:tc>
      </w:tr>
      <w:tr w:rsidR="00CE75D4" w:rsidRPr="002029AF" w14:paraId="161A9042" w14:textId="77777777" w:rsidTr="00860E95">
        <w:tc>
          <w:tcPr>
            <w:tcW w:w="7371" w:type="dxa"/>
            <w:tcBorders>
              <w:top w:val="single" w:sz="4" w:space="0" w:color="A6A6A6"/>
              <w:bottom w:val="single" w:sz="4" w:space="0" w:color="A6A6A6"/>
            </w:tcBorders>
            <w:hideMark/>
          </w:tcPr>
          <w:p w14:paraId="6535AB1B" w14:textId="77777777" w:rsidR="00CE75D4" w:rsidRPr="002029AF" w:rsidRDefault="00CE75D4" w:rsidP="008340C1">
            <w:pPr>
              <w:pStyle w:val="ARfintablebodyindent"/>
              <w:spacing w:before="28" w:after="10"/>
            </w:pPr>
            <w:r w:rsidRPr="001E7599">
              <w:t>Unconditional and expected to be settled within 12 months</w:t>
            </w:r>
          </w:p>
        </w:tc>
        <w:tc>
          <w:tcPr>
            <w:tcW w:w="1133" w:type="dxa"/>
            <w:tcBorders>
              <w:top w:val="single" w:sz="4" w:space="0" w:color="A6A6A6"/>
              <w:bottom w:val="single" w:sz="4" w:space="0" w:color="A6A6A6"/>
            </w:tcBorders>
            <w:shd w:val="clear" w:color="auto" w:fill="E7E6E6"/>
            <w:noWrap/>
            <w:hideMark/>
          </w:tcPr>
          <w:p w14:paraId="56F21DF9" w14:textId="77777777" w:rsidR="00CE75D4" w:rsidRPr="002029AF" w:rsidRDefault="00CE75D4" w:rsidP="008340C1">
            <w:pPr>
              <w:pStyle w:val="ARfintablebodyright"/>
              <w:spacing w:before="28" w:after="10"/>
            </w:pPr>
            <w:r w:rsidRPr="001E7599">
              <w:t>5.0</w:t>
            </w:r>
          </w:p>
        </w:tc>
        <w:tc>
          <w:tcPr>
            <w:tcW w:w="1133" w:type="dxa"/>
            <w:tcBorders>
              <w:top w:val="single" w:sz="4" w:space="0" w:color="A6A6A6"/>
              <w:bottom w:val="single" w:sz="4" w:space="0" w:color="A6A6A6"/>
            </w:tcBorders>
            <w:noWrap/>
            <w:hideMark/>
          </w:tcPr>
          <w:p w14:paraId="2174BA44" w14:textId="77777777" w:rsidR="00CE75D4" w:rsidRPr="002029AF" w:rsidRDefault="00CE75D4" w:rsidP="008340C1">
            <w:pPr>
              <w:pStyle w:val="ARfintablebodyright"/>
              <w:spacing w:before="28" w:after="10"/>
            </w:pPr>
            <w:r w:rsidRPr="001E7599">
              <w:t>11.1</w:t>
            </w:r>
          </w:p>
        </w:tc>
      </w:tr>
      <w:tr w:rsidR="00CE75D4" w:rsidRPr="002029AF" w14:paraId="33E53EF1" w14:textId="77777777" w:rsidTr="00860E95">
        <w:tc>
          <w:tcPr>
            <w:tcW w:w="9637" w:type="dxa"/>
            <w:gridSpan w:val="3"/>
            <w:tcBorders>
              <w:top w:val="single" w:sz="4" w:space="0" w:color="A6A6A6"/>
              <w:bottom w:val="single" w:sz="4" w:space="0" w:color="A6A6A6"/>
            </w:tcBorders>
            <w:hideMark/>
          </w:tcPr>
          <w:p w14:paraId="141CE761" w14:textId="77777777" w:rsidR="00CE75D4" w:rsidRPr="00EC6F46" w:rsidRDefault="00CE75D4" w:rsidP="008340C1">
            <w:pPr>
              <w:pStyle w:val="ARfintablebody"/>
              <w:spacing w:before="28" w:after="10"/>
            </w:pPr>
            <w:r w:rsidRPr="001E7599">
              <w:t>Long service leave</w:t>
            </w:r>
          </w:p>
        </w:tc>
      </w:tr>
      <w:tr w:rsidR="00CE75D4" w:rsidRPr="002029AF" w14:paraId="328C085D" w14:textId="77777777" w:rsidTr="00860E95">
        <w:tc>
          <w:tcPr>
            <w:tcW w:w="7371" w:type="dxa"/>
            <w:tcBorders>
              <w:top w:val="single" w:sz="4" w:space="0" w:color="A6A6A6"/>
              <w:bottom w:val="single" w:sz="4" w:space="0" w:color="A6A6A6"/>
            </w:tcBorders>
            <w:hideMark/>
          </w:tcPr>
          <w:p w14:paraId="7CAC810F" w14:textId="77777777" w:rsidR="00CE75D4" w:rsidRPr="002029AF" w:rsidRDefault="00CE75D4" w:rsidP="008340C1">
            <w:pPr>
              <w:pStyle w:val="ARfintablebodyindent"/>
              <w:spacing w:before="28" w:after="10"/>
            </w:pPr>
            <w:r w:rsidRPr="001E7599">
              <w:t>Unconditional and expected to be settled within 12 months</w:t>
            </w:r>
          </w:p>
        </w:tc>
        <w:tc>
          <w:tcPr>
            <w:tcW w:w="1133" w:type="dxa"/>
            <w:tcBorders>
              <w:top w:val="single" w:sz="4" w:space="0" w:color="A6A6A6"/>
              <w:bottom w:val="single" w:sz="4" w:space="0" w:color="A6A6A6"/>
            </w:tcBorders>
            <w:shd w:val="clear" w:color="auto" w:fill="E7E6E6"/>
            <w:noWrap/>
            <w:hideMark/>
          </w:tcPr>
          <w:p w14:paraId="00E010AB" w14:textId="77777777" w:rsidR="00CE75D4" w:rsidRPr="002029AF" w:rsidRDefault="00CE75D4" w:rsidP="008340C1">
            <w:pPr>
              <w:pStyle w:val="ARfintablebodyright"/>
              <w:spacing w:before="28" w:after="10"/>
            </w:pPr>
            <w:r w:rsidRPr="001E7599">
              <w:t>5.4</w:t>
            </w:r>
          </w:p>
        </w:tc>
        <w:tc>
          <w:tcPr>
            <w:tcW w:w="1133" w:type="dxa"/>
            <w:tcBorders>
              <w:top w:val="single" w:sz="4" w:space="0" w:color="A6A6A6"/>
              <w:bottom w:val="single" w:sz="4" w:space="0" w:color="A6A6A6"/>
            </w:tcBorders>
            <w:noWrap/>
            <w:hideMark/>
          </w:tcPr>
          <w:p w14:paraId="2EEC191C" w14:textId="77777777" w:rsidR="00CE75D4" w:rsidRPr="002029AF" w:rsidRDefault="00CE75D4" w:rsidP="008340C1">
            <w:pPr>
              <w:pStyle w:val="ARfintablebodyright"/>
              <w:spacing w:before="28" w:after="10"/>
            </w:pPr>
            <w:r w:rsidRPr="001E7599">
              <w:t>16.6</w:t>
            </w:r>
          </w:p>
        </w:tc>
      </w:tr>
      <w:tr w:rsidR="00CE75D4" w:rsidRPr="002029AF" w14:paraId="657235E1" w14:textId="77777777" w:rsidTr="00860E95">
        <w:tc>
          <w:tcPr>
            <w:tcW w:w="7371" w:type="dxa"/>
            <w:tcBorders>
              <w:top w:val="single" w:sz="4" w:space="0" w:color="A6A6A6"/>
              <w:bottom w:val="single" w:sz="4" w:space="0" w:color="A6A6A6"/>
            </w:tcBorders>
            <w:hideMark/>
          </w:tcPr>
          <w:p w14:paraId="412997D0" w14:textId="77777777" w:rsidR="00CE75D4" w:rsidRPr="002029AF" w:rsidRDefault="00CE75D4" w:rsidP="008340C1">
            <w:pPr>
              <w:pStyle w:val="ARfintablebodyindent"/>
              <w:spacing w:before="28" w:after="10"/>
            </w:pPr>
            <w:r w:rsidRPr="001E7599">
              <w:t>Unconditional and expected to be settled after 12 months</w:t>
            </w:r>
          </w:p>
        </w:tc>
        <w:tc>
          <w:tcPr>
            <w:tcW w:w="1133" w:type="dxa"/>
            <w:tcBorders>
              <w:top w:val="single" w:sz="4" w:space="0" w:color="A6A6A6"/>
              <w:bottom w:val="single" w:sz="4" w:space="0" w:color="A6A6A6"/>
            </w:tcBorders>
            <w:shd w:val="clear" w:color="auto" w:fill="E7E6E6"/>
            <w:noWrap/>
            <w:hideMark/>
          </w:tcPr>
          <w:p w14:paraId="73B1D559" w14:textId="77777777" w:rsidR="00CE75D4" w:rsidRPr="002029AF" w:rsidRDefault="00CE75D4" w:rsidP="008340C1">
            <w:pPr>
              <w:pStyle w:val="ARfintablebodyright"/>
              <w:spacing w:before="28" w:after="10"/>
            </w:pPr>
            <w:r w:rsidRPr="001E7599">
              <w:t>47.8</w:t>
            </w:r>
          </w:p>
        </w:tc>
        <w:tc>
          <w:tcPr>
            <w:tcW w:w="1133" w:type="dxa"/>
            <w:tcBorders>
              <w:top w:val="single" w:sz="4" w:space="0" w:color="A6A6A6"/>
              <w:bottom w:val="single" w:sz="4" w:space="0" w:color="A6A6A6"/>
            </w:tcBorders>
            <w:noWrap/>
            <w:hideMark/>
          </w:tcPr>
          <w:p w14:paraId="0852A435" w14:textId="77777777" w:rsidR="00CE75D4" w:rsidRPr="002029AF" w:rsidRDefault="00CE75D4" w:rsidP="008340C1">
            <w:pPr>
              <w:pStyle w:val="ARfintablebodyright"/>
              <w:spacing w:before="28" w:after="10"/>
            </w:pPr>
            <w:r w:rsidRPr="001E7599">
              <w:t>147.4</w:t>
            </w:r>
          </w:p>
        </w:tc>
      </w:tr>
      <w:tr w:rsidR="00CE75D4" w:rsidRPr="002029AF" w14:paraId="6C766EDA" w14:textId="77777777" w:rsidTr="00860E95">
        <w:tc>
          <w:tcPr>
            <w:tcW w:w="9637" w:type="dxa"/>
            <w:gridSpan w:val="3"/>
            <w:tcBorders>
              <w:top w:val="single" w:sz="4" w:space="0" w:color="A6A6A6"/>
              <w:bottom w:val="single" w:sz="4" w:space="0" w:color="A6A6A6"/>
            </w:tcBorders>
            <w:hideMark/>
          </w:tcPr>
          <w:p w14:paraId="6989F485" w14:textId="77777777" w:rsidR="00CE75D4" w:rsidRPr="00EC6F46" w:rsidRDefault="00CE75D4" w:rsidP="008340C1">
            <w:pPr>
              <w:pStyle w:val="ARfintablebody"/>
              <w:spacing w:before="28" w:after="10"/>
            </w:pPr>
            <w:r w:rsidRPr="001E7599">
              <w:t>Superannuation</w:t>
            </w:r>
          </w:p>
        </w:tc>
      </w:tr>
      <w:tr w:rsidR="00CE75D4" w:rsidRPr="002029AF" w14:paraId="1A24FCA4" w14:textId="77777777" w:rsidTr="00860E95">
        <w:tc>
          <w:tcPr>
            <w:tcW w:w="7371" w:type="dxa"/>
            <w:tcBorders>
              <w:top w:val="single" w:sz="4" w:space="0" w:color="A6A6A6"/>
              <w:bottom w:val="single" w:sz="4" w:space="0" w:color="A6A6A6"/>
            </w:tcBorders>
            <w:hideMark/>
          </w:tcPr>
          <w:p w14:paraId="1687878D" w14:textId="77777777" w:rsidR="00CE75D4" w:rsidRPr="002029AF" w:rsidRDefault="00CE75D4" w:rsidP="008340C1">
            <w:pPr>
              <w:pStyle w:val="ARfintablebodyindent"/>
              <w:spacing w:before="28" w:after="10"/>
            </w:pPr>
            <w:r w:rsidRPr="001E7599">
              <w:t>Unconditional and expected to be settled within 12 months</w:t>
            </w:r>
          </w:p>
        </w:tc>
        <w:tc>
          <w:tcPr>
            <w:tcW w:w="1133" w:type="dxa"/>
            <w:tcBorders>
              <w:top w:val="single" w:sz="4" w:space="0" w:color="A6A6A6"/>
              <w:bottom w:val="single" w:sz="4" w:space="0" w:color="A6A6A6"/>
            </w:tcBorders>
            <w:shd w:val="clear" w:color="auto" w:fill="E7E6E6"/>
            <w:noWrap/>
            <w:hideMark/>
          </w:tcPr>
          <w:p w14:paraId="6867E458" w14:textId="77777777" w:rsidR="00CE75D4" w:rsidRPr="002029AF" w:rsidRDefault="00CE75D4" w:rsidP="008340C1">
            <w:pPr>
              <w:pStyle w:val="ARfintablebodyright"/>
              <w:spacing w:before="28" w:after="10"/>
            </w:pPr>
            <w:r>
              <w:t>–</w:t>
            </w:r>
          </w:p>
        </w:tc>
        <w:tc>
          <w:tcPr>
            <w:tcW w:w="1133" w:type="dxa"/>
            <w:tcBorders>
              <w:top w:val="single" w:sz="4" w:space="0" w:color="A6A6A6"/>
              <w:bottom w:val="single" w:sz="4" w:space="0" w:color="A6A6A6"/>
            </w:tcBorders>
            <w:noWrap/>
            <w:hideMark/>
          </w:tcPr>
          <w:p w14:paraId="74AFDFAE" w14:textId="77777777" w:rsidR="00CE75D4" w:rsidRPr="002029AF" w:rsidRDefault="00CE75D4" w:rsidP="008340C1">
            <w:pPr>
              <w:pStyle w:val="ARfintablebodyright"/>
              <w:spacing w:before="28" w:after="10"/>
            </w:pPr>
            <w:r w:rsidRPr="001E7599">
              <w:t>2.5</w:t>
            </w:r>
          </w:p>
        </w:tc>
      </w:tr>
      <w:tr w:rsidR="00CE75D4" w:rsidRPr="002029AF" w14:paraId="5AF9FD95" w14:textId="77777777" w:rsidTr="00860E95">
        <w:tc>
          <w:tcPr>
            <w:tcW w:w="9637" w:type="dxa"/>
            <w:gridSpan w:val="3"/>
            <w:tcBorders>
              <w:top w:val="single" w:sz="4" w:space="0" w:color="A6A6A6"/>
              <w:bottom w:val="single" w:sz="4" w:space="0" w:color="A6A6A6"/>
            </w:tcBorders>
            <w:hideMark/>
          </w:tcPr>
          <w:p w14:paraId="17FCDEBF" w14:textId="77777777" w:rsidR="00CE75D4" w:rsidRPr="00EC6F46" w:rsidRDefault="00CE75D4" w:rsidP="008340C1">
            <w:pPr>
              <w:pStyle w:val="ARfintablebody"/>
              <w:spacing w:before="28" w:after="10"/>
            </w:pPr>
            <w:r w:rsidRPr="001E7599">
              <w:t>Provisions for on-costs</w:t>
            </w:r>
          </w:p>
        </w:tc>
      </w:tr>
      <w:tr w:rsidR="00CE75D4" w:rsidRPr="002029AF" w14:paraId="5D3E6672" w14:textId="77777777" w:rsidTr="00860E95">
        <w:tc>
          <w:tcPr>
            <w:tcW w:w="7371" w:type="dxa"/>
            <w:tcBorders>
              <w:top w:val="single" w:sz="4" w:space="0" w:color="A6A6A6"/>
              <w:bottom w:val="single" w:sz="4" w:space="0" w:color="A6A6A6"/>
            </w:tcBorders>
            <w:hideMark/>
          </w:tcPr>
          <w:p w14:paraId="43821FCF" w14:textId="77777777" w:rsidR="00CE75D4" w:rsidRPr="002029AF" w:rsidRDefault="00CE75D4" w:rsidP="008340C1">
            <w:pPr>
              <w:pStyle w:val="ARfintablebodyindent"/>
              <w:spacing w:before="28" w:after="10"/>
            </w:pPr>
            <w:r w:rsidRPr="001E7599">
              <w:t>Unconditional and expected to be settled within 12 months</w:t>
            </w:r>
          </w:p>
        </w:tc>
        <w:tc>
          <w:tcPr>
            <w:tcW w:w="1133" w:type="dxa"/>
            <w:tcBorders>
              <w:top w:val="single" w:sz="4" w:space="0" w:color="A6A6A6"/>
              <w:bottom w:val="single" w:sz="4" w:space="0" w:color="A6A6A6"/>
            </w:tcBorders>
            <w:shd w:val="clear" w:color="auto" w:fill="E7E6E6"/>
            <w:noWrap/>
            <w:hideMark/>
          </w:tcPr>
          <w:p w14:paraId="720B2A81" w14:textId="77777777" w:rsidR="00CE75D4" w:rsidRPr="002029AF" w:rsidRDefault="00CE75D4" w:rsidP="008340C1">
            <w:pPr>
              <w:pStyle w:val="ARfintablebodyright"/>
              <w:spacing w:before="28" w:after="10"/>
            </w:pPr>
            <w:r w:rsidRPr="001E7599">
              <w:t>7.4</w:t>
            </w:r>
          </w:p>
        </w:tc>
        <w:tc>
          <w:tcPr>
            <w:tcW w:w="1133" w:type="dxa"/>
            <w:tcBorders>
              <w:top w:val="single" w:sz="4" w:space="0" w:color="A6A6A6"/>
              <w:bottom w:val="single" w:sz="4" w:space="0" w:color="A6A6A6"/>
            </w:tcBorders>
            <w:noWrap/>
            <w:hideMark/>
          </w:tcPr>
          <w:p w14:paraId="316A7CB1" w14:textId="77777777" w:rsidR="00CE75D4" w:rsidRPr="002029AF" w:rsidRDefault="00CE75D4" w:rsidP="008340C1">
            <w:pPr>
              <w:pStyle w:val="ARfintablebodyright"/>
              <w:spacing w:before="28" w:after="10"/>
            </w:pPr>
            <w:r w:rsidRPr="001E7599">
              <w:t>15.7</w:t>
            </w:r>
          </w:p>
        </w:tc>
      </w:tr>
      <w:tr w:rsidR="00CE75D4" w:rsidRPr="002029AF" w14:paraId="5C8D240B" w14:textId="77777777" w:rsidTr="00860E95">
        <w:tc>
          <w:tcPr>
            <w:tcW w:w="7371" w:type="dxa"/>
            <w:tcBorders>
              <w:top w:val="single" w:sz="4" w:space="0" w:color="A6A6A6"/>
            </w:tcBorders>
            <w:hideMark/>
          </w:tcPr>
          <w:p w14:paraId="3DECFC94" w14:textId="77777777" w:rsidR="00CE75D4" w:rsidRPr="002029AF" w:rsidRDefault="00CE75D4" w:rsidP="008340C1">
            <w:pPr>
              <w:pStyle w:val="ARfintablebodyindent"/>
              <w:spacing w:before="28" w:after="10"/>
            </w:pPr>
            <w:r w:rsidRPr="001E7599">
              <w:t>Unconditional and expected to be settled after 12 months</w:t>
            </w:r>
          </w:p>
        </w:tc>
        <w:tc>
          <w:tcPr>
            <w:tcW w:w="1133" w:type="dxa"/>
            <w:tcBorders>
              <w:top w:val="single" w:sz="4" w:space="0" w:color="A6A6A6"/>
            </w:tcBorders>
            <w:shd w:val="clear" w:color="auto" w:fill="E7E6E6"/>
            <w:noWrap/>
            <w:hideMark/>
          </w:tcPr>
          <w:p w14:paraId="47A29973" w14:textId="77777777" w:rsidR="00CE75D4" w:rsidRPr="002029AF" w:rsidRDefault="00CE75D4" w:rsidP="008340C1">
            <w:pPr>
              <w:pStyle w:val="ARfintablebodyright"/>
              <w:spacing w:before="28" w:after="10"/>
            </w:pPr>
            <w:r w:rsidRPr="001E7599">
              <w:t>11.2</w:t>
            </w:r>
          </w:p>
        </w:tc>
        <w:tc>
          <w:tcPr>
            <w:tcW w:w="1133" w:type="dxa"/>
            <w:tcBorders>
              <w:top w:val="single" w:sz="4" w:space="0" w:color="A6A6A6"/>
            </w:tcBorders>
            <w:noWrap/>
            <w:hideMark/>
          </w:tcPr>
          <w:p w14:paraId="43E5A8E5" w14:textId="77777777" w:rsidR="00CE75D4" w:rsidRPr="002029AF" w:rsidRDefault="00CE75D4" w:rsidP="008340C1">
            <w:pPr>
              <w:pStyle w:val="ARfintablebodyright"/>
              <w:spacing w:before="28" w:after="10"/>
            </w:pPr>
            <w:r w:rsidRPr="001E7599">
              <w:t>30.4</w:t>
            </w:r>
          </w:p>
        </w:tc>
      </w:tr>
      <w:tr w:rsidR="00CE75D4" w:rsidRPr="002029AF" w14:paraId="767AEE6D" w14:textId="77777777" w:rsidTr="00860E95">
        <w:tc>
          <w:tcPr>
            <w:tcW w:w="7371" w:type="dxa"/>
            <w:tcBorders>
              <w:bottom w:val="single" w:sz="4" w:space="0" w:color="auto"/>
            </w:tcBorders>
            <w:hideMark/>
          </w:tcPr>
          <w:p w14:paraId="2DACA572" w14:textId="77777777" w:rsidR="00CE75D4" w:rsidRPr="002029AF" w:rsidRDefault="00CE75D4" w:rsidP="008340C1">
            <w:pPr>
              <w:pStyle w:val="ARfintablebodybold"/>
              <w:spacing w:before="28" w:after="10"/>
            </w:pPr>
            <w:r w:rsidRPr="001E7599">
              <w:t>Total current provisions for employee benefits</w:t>
            </w:r>
          </w:p>
        </w:tc>
        <w:tc>
          <w:tcPr>
            <w:tcW w:w="1133" w:type="dxa"/>
            <w:tcBorders>
              <w:bottom w:val="single" w:sz="4" w:space="0" w:color="auto"/>
            </w:tcBorders>
            <w:shd w:val="clear" w:color="auto" w:fill="E7E6E6"/>
            <w:noWrap/>
            <w:hideMark/>
          </w:tcPr>
          <w:p w14:paraId="5353CC06" w14:textId="77777777" w:rsidR="00CE75D4" w:rsidRPr="002029AF" w:rsidRDefault="00CE75D4" w:rsidP="008340C1">
            <w:pPr>
              <w:pStyle w:val="ARfintablebodyrightbold"/>
              <w:spacing w:before="28" w:after="10"/>
            </w:pPr>
            <w:r w:rsidRPr="001E7599">
              <w:t>134.1</w:t>
            </w:r>
          </w:p>
        </w:tc>
        <w:tc>
          <w:tcPr>
            <w:tcW w:w="1133" w:type="dxa"/>
            <w:tcBorders>
              <w:bottom w:val="single" w:sz="4" w:space="0" w:color="auto"/>
            </w:tcBorders>
            <w:noWrap/>
            <w:hideMark/>
          </w:tcPr>
          <w:p w14:paraId="50C6D234" w14:textId="77777777" w:rsidR="00CE75D4" w:rsidRPr="002029AF" w:rsidRDefault="00CE75D4" w:rsidP="008340C1">
            <w:pPr>
              <w:pStyle w:val="ARfintablebodyrightbold"/>
              <w:spacing w:before="28" w:after="10"/>
            </w:pPr>
            <w:r w:rsidRPr="001E7599">
              <w:t>351.0</w:t>
            </w:r>
          </w:p>
        </w:tc>
      </w:tr>
      <w:tr w:rsidR="00CE75D4" w:rsidRPr="002029AF" w14:paraId="2A056523" w14:textId="77777777" w:rsidTr="00860E95">
        <w:tc>
          <w:tcPr>
            <w:tcW w:w="9637" w:type="dxa"/>
            <w:gridSpan w:val="3"/>
            <w:tcBorders>
              <w:top w:val="single" w:sz="4" w:space="0" w:color="auto"/>
              <w:bottom w:val="single" w:sz="4" w:space="0" w:color="A6A6A6"/>
            </w:tcBorders>
            <w:hideMark/>
          </w:tcPr>
          <w:p w14:paraId="6519CE1F" w14:textId="77777777" w:rsidR="00CE75D4" w:rsidRPr="002029AF" w:rsidRDefault="00CE75D4" w:rsidP="008340C1">
            <w:pPr>
              <w:pStyle w:val="ARfintablebodybold"/>
              <w:spacing w:before="28" w:after="10"/>
            </w:pPr>
            <w:r w:rsidRPr="001E7599">
              <w:t>Non-current provisions</w:t>
            </w:r>
          </w:p>
        </w:tc>
      </w:tr>
      <w:tr w:rsidR="00CE75D4" w:rsidRPr="002029AF" w14:paraId="3EA047E4" w14:textId="77777777" w:rsidTr="00860E95">
        <w:tc>
          <w:tcPr>
            <w:tcW w:w="7371" w:type="dxa"/>
            <w:tcBorders>
              <w:top w:val="single" w:sz="4" w:space="0" w:color="A6A6A6"/>
              <w:bottom w:val="single" w:sz="4" w:space="0" w:color="A6A6A6"/>
            </w:tcBorders>
            <w:hideMark/>
          </w:tcPr>
          <w:p w14:paraId="2C05BC71" w14:textId="77777777" w:rsidR="00CE75D4" w:rsidRPr="002029AF" w:rsidRDefault="00CE75D4" w:rsidP="008340C1">
            <w:pPr>
              <w:pStyle w:val="ARfintablebody"/>
              <w:spacing w:before="28" w:after="10"/>
            </w:pPr>
            <w:r w:rsidRPr="001E7599">
              <w:t>Conditional long service leave entitlements</w:t>
            </w:r>
          </w:p>
        </w:tc>
        <w:tc>
          <w:tcPr>
            <w:tcW w:w="1133" w:type="dxa"/>
            <w:tcBorders>
              <w:top w:val="single" w:sz="4" w:space="0" w:color="A6A6A6"/>
              <w:bottom w:val="single" w:sz="4" w:space="0" w:color="A6A6A6"/>
            </w:tcBorders>
            <w:shd w:val="clear" w:color="auto" w:fill="E7E6E6"/>
            <w:noWrap/>
            <w:hideMark/>
          </w:tcPr>
          <w:p w14:paraId="731B14E3" w14:textId="77777777" w:rsidR="00CE75D4" w:rsidRPr="002029AF" w:rsidRDefault="00CE75D4" w:rsidP="008340C1">
            <w:pPr>
              <w:pStyle w:val="ARfintablebodyright"/>
              <w:spacing w:before="28" w:after="10"/>
            </w:pPr>
            <w:r w:rsidRPr="001E7599">
              <w:t>13.8</w:t>
            </w:r>
          </w:p>
        </w:tc>
        <w:tc>
          <w:tcPr>
            <w:tcW w:w="1133" w:type="dxa"/>
            <w:tcBorders>
              <w:top w:val="single" w:sz="4" w:space="0" w:color="A6A6A6"/>
              <w:bottom w:val="single" w:sz="4" w:space="0" w:color="A6A6A6"/>
            </w:tcBorders>
            <w:noWrap/>
            <w:hideMark/>
          </w:tcPr>
          <w:p w14:paraId="70FD407F" w14:textId="77777777" w:rsidR="00CE75D4" w:rsidRPr="002029AF" w:rsidRDefault="00CE75D4" w:rsidP="008340C1">
            <w:pPr>
              <w:pStyle w:val="ARfintablebodyright"/>
              <w:spacing w:before="28" w:after="10"/>
            </w:pPr>
            <w:r w:rsidRPr="001E7599">
              <w:t>28.2</w:t>
            </w:r>
          </w:p>
        </w:tc>
      </w:tr>
      <w:tr w:rsidR="00CE75D4" w:rsidRPr="002029AF" w14:paraId="7831A2C9" w14:textId="77777777" w:rsidTr="00860E95">
        <w:tc>
          <w:tcPr>
            <w:tcW w:w="7371" w:type="dxa"/>
            <w:tcBorders>
              <w:top w:val="single" w:sz="4" w:space="0" w:color="A6A6A6"/>
              <w:bottom w:val="single" w:sz="4" w:space="0" w:color="A6A6A6"/>
            </w:tcBorders>
            <w:hideMark/>
          </w:tcPr>
          <w:p w14:paraId="25F2C421" w14:textId="77777777" w:rsidR="00CE75D4" w:rsidRPr="002029AF" w:rsidRDefault="00CE75D4" w:rsidP="008340C1">
            <w:pPr>
              <w:pStyle w:val="ARfintablebody"/>
              <w:spacing w:before="28" w:after="10"/>
            </w:pPr>
            <w:r w:rsidRPr="001E7599">
              <w:t>Superannuation</w:t>
            </w:r>
          </w:p>
        </w:tc>
        <w:tc>
          <w:tcPr>
            <w:tcW w:w="1133" w:type="dxa"/>
            <w:tcBorders>
              <w:top w:val="single" w:sz="4" w:space="0" w:color="A6A6A6"/>
              <w:bottom w:val="single" w:sz="4" w:space="0" w:color="A6A6A6"/>
            </w:tcBorders>
            <w:shd w:val="clear" w:color="auto" w:fill="E7E6E6"/>
            <w:noWrap/>
            <w:hideMark/>
          </w:tcPr>
          <w:p w14:paraId="6D5AF8B5" w14:textId="77777777" w:rsidR="00CE75D4" w:rsidRPr="002029AF" w:rsidRDefault="00CE75D4" w:rsidP="008340C1">
            <w:pPr>
              <w:pStyle w:val="ARfintablebodyright"/>
              <w:spacing w:before="28" w:after="10"/>
            </w:pPr>
            <w:r>
              <w:t>–</w:t>
            </w:r>
          </w:p>
        </w:tc>
        <w:tc>
          <w:tcPr>
            <w:tcW w:w="1133" w:type="dxa"/>
            <w:tcBorders>
              <w:top w:val="single" w:sz="4" w:space="0" w:color="A6A6A6"/>
              <w:bottom w:val="single" w:sz="4" w:space="0" w:color="A6A6A6"/>
            </w:tcBorders>
            <w:noWrap/>
            <w:hideMark/>
          </w:tcPr>
          <w:p w14:paraId="560425F9" w14:textId="77777777" w:rsidR="00CE75D4" w:rsidRPr="002029AF" w:rsidRDefault="00CE75D4" w:rsidP="008340C1">
            <w:pPr>
              <w:pStyle w:val="ARfintablebodyright"/>
              <w:spacing w:before="28" w:after="10"/>
            </w:pPr>
            <w:r w:rsidRPr="001E7599">
              <w:t>28.9</w:t>
            </w:r>
          </w:p>
        </w:tc>
      </w:tr>
      <w:tr w:rsidR="00CE75D4" w:rsidRPr="002029AF" w14:paraId="7CA3CCA4" w14:textId="77777777" w:rsidTr="00860E95">
        <w:tc>
          <w:tcPr>
            <w:tcW w:w="7371" w:type="dxa"/>
            <w:tcBorders>
              <w:top w:val="single" w:sz="4" w:space="0" w:color="A6A6A6"/>
            </w:tcBorders>
            <w:hideMark/>
          </w:tcPr>
          <w:p w14:paraId="233EF75A" w14:textId="77777777" w:rsidR="00CE75D4" w:rsidRPr="002029AF" w:rsidRDefault="00CE75D4" w:rsidP="008340C1">
            <w:pPr>
              <w:pStyle w:val="ARfintablebody"/>
              <w:spacing w:before="28" w:after="10"/>
            </w:pPr>
            <w:r w:rsidRPr="001E7599">
              <w:t>Provisions for on-costs</w:t>
            </w:r>
          </w:p>
        </w:tc>
        <w:tc>
          <w:tcPr>
            <w:tcW w:w="1133" w:type="dxa"/>
            <w:tcBorders>
              <w:top w:val="single" w:sz="4" w:space="0" w:color="A6A6A6"/>
            </w:tcBorders>
            <w:shd w:val="clear" w:color="auto" w:fill="E7E6E6"/>
            <w:noWrap/>
            <w:hideMark/>
          </w:tcPr>
          <w:p w14:paraId="41A3F49D" w14:textId="77777777" w:rsidR="00CE75D4" w:rsidRPr="002029AF" w:rsidRDefault="00CE75D4" w:rsidP="008340C1">
            <w:pPr>
              <w:pStyle w:val="ARfintablebodyright"/>
              <w:spacing w:before="28" w:after="10"/>
            </w:pPr>
            <w:r w:rsidRPr="001E7599">
              <w:t>2.4</w:t>
            </w:r>
          </w:p>
        </w:tc>
        <w:tc>
          <w:tcPr>
            <w:tcW w:w="1133" w:type="dxa"/>
            <w:tcBorders>
              <w:top w:val="single" w:sz="4" w:space="0" w:color="A6A6A6"/>
            </w:tcBorders>
            <w:noWrap/>
            <w:hideMark/>
          </w:tcPr>
          <w:p w14:paraId="49EBF85C" w14:textId="77777777" w:rsidR="00CE75D4" w:rsidRPr="002029AF" w:rsidRDefault="00CE75D4" w:rsidP="008340C1">
            <w:pPr>
              <w:pStyle w:val="ARfintablebodyright"/>
              <w:spacing w:before="28" w:after="10"/>
            </w:pPr>
            <w:r w:rsidRPr="001E7599">
              <w:t>4.5</w:t>
            </w:r>
          </w:p>
        </w:tc>
      </w:tr>
      <w:tr w:rsidR="00CE75D4" w:rsidRPr="002029AF" w14:paraId="15FB5302" w14:textId="77777777" w:rsidTr="00860E95">
        <w:tc>
          <w:tcPr>
            <w:tcW w:w="7371" w:type="dxa"/>
            <w:hideMark/>
          </w:tcPr>
          <w:p w14:paraId="32EEAD02" w14:textId="77777777" w:rsidR="00CE75D4" w:rsidRPr="002029AF" w:rsidRDefault="00CE75D4" w:rsidP="008340C1">
            <w:pPr>
              <w:pStyle w:val="ARfintablebodybold"/>
              <w:spacing w:before="28" w:after="10"/>
            </w:pPr>
            <w:r w:rsidRPr="001E7599">
              <w:t>Total non-current provisions for employee benefits</w:t>
            </w:r>
          </w:p>
        </w:tc>
        <w:tc>
          <w:tcPr>
            <w:tcW w:w="1133" w:type="dxa"/>
            <w:shd w:val="clear" w:color="auto" w:fill="E7E6E6"/>
            <w:noWrap/>
            <w:hideMark/>
          </w:tcPr>
          <w:p w14:paraId="0970021E" w14:textId="77777777" w:rsidR="00CE75D4" w:rsidRPr="002029AF" w:rsidRDefault="00CE75D4" w:rsidP="008340C1">
            <w:pPr>
              <w:pStyle w:val="ARfintablebodyrightbold"/>
              <w:spacing w:before="28" w:after="10"/>
            </w:pPr>
            <w:r w:rsidRPr="001E7599">
              <w:t>16.2</w:t>
            </w:r>
          </w:p>
        </w:tc>
        <w:tc>
          <w:tcPr>
            <w:tcW w:w="1133" w:type="dxa"/>
            <w:noWrap/>
            <w:hideMark/>
          </w:tcPr>
          <w:p w14:paraId="290DEAF4" w14:textId="77777777" w:rsidR="00CE75D4" w:rsidRPr="002029AF" w:rsidRDefault="00CE75D4" w:rsidP="008340C1">
            <w:pPr>
              <w:pStyle w:val="ARfintablebodyrightbold"/>
              <w:spacing w:before="28" w:after="10"/>
            </w:pPr>
            <w:r w:rsidRPr="001E7599">
              <w:t>61.6</w:t>
            </w:r>
          </w:p>
        </w:tc>
      </w:tr>
      <w:tr w:rsidR="00CE75D4" w:rsidRPr="002029AF" w14:paraId="427F52A8" w14:textId="77777777" w:rsidTr="00860E95">
        <w:tc>
          <w:tcPr>
            <w:tcW w:w="7371" w:type="dxa"/>
            <w:hideMark/>
          </w:tcPr>
          <w:p w14:paraId="65AC2853" w14:textId="77777777" w:rsidR="00CE75D4" w:rsidRPr="002029AF" w:rsidRDefault="00CE75D4" w:rsidP="008340C1">
            <w:pPr>
              <w:pStyle w:val="ARfintablebodybold"/>
              <w:spacing w:before="28" w:after="10"/>
            </w:pPr>
            <w:r w:rsidRPr="001E7599">
              <w:t>Total provisions for employee benefits</w:t>
            </w:r>
          </w:p>
        </w:tc>
        <w:tc>
          <w:tcPr>
            <w:tcW w:w="1133" w:type="dxa"/>
            <w:shd w:val="clear" w:color="auto" w:fill="E7E6E6"/>
            <w:noWrap/>
            <w:hideMark/>
          </w:tcPr>
          <w:p w14:paraId="1893E5A0" w14:textId="77777777" w:rsidR="00CE75D4" w:rsidRPr="002029AF" w:rsidRDefault="00CE75D4" w:rsidP="008340C1">
            <w:pPr>
              <w:pStyle w:val="ARfintablebodyrightbold"/>
              <w:spacing w:before="28" w:after="10"/>
            </w:pPr>
            <w:r w:rsidRPr="001E7599">
              <w:t>150.2</w:t>
            </w:r>
          </w:p>
        </w:tc>
        <w:tc>
          <w:tcPr>
            <w:tcW w:w="1133" w:type="dxa"/>
            <w:noWrap/>
            <w:hideMark/>
          </w:tcPr>
          <w:p w14:paraId="7CDCED0F" w14:textId="77777777" w:rsidR="00CE75D4" w:rsidRPr="002029AF" w:rsidRDefault="00CE75D4" w:rsidP="008340C1">
            <w:pPr>
              <w:pStyle w:val="ARfintablebodyrightbold"/>
              <w:spacing w:before="28" w:after="10"/>
            </w:pPr>
            <w:r w:rsidRPr="001E7599">
              <w:t>412.6</w:t>
            </w:r>
          </w:p>
        </w:tc>
      </w:tr>
    </w:tbl>
    <w:p w14:paraId="2992DAC3" w14:textId="77777777" w:rsidR="00CE75D4" w:rsidRPr="002029AF" w:rsidRDefault="00CE75D4" w:rsidP="00087B91">
      <w:pPr>
        <w:pStyle w:val="Heading7"/>
      </w:pPr>
      <w:bookmarkStart w:id="548" w:name="_Toc85121383"/>
      <w:r w:rsidRPr="009373AD">
        <w:t>Reconciliation of movement in on-cost provision</w:t>
      </w:r>
      <w:bookmarkEnd w:id="548"/>
    </w:p>
    <w:tbl>
      <w:tblPr>
        <w:tblStyle w:val="TableGrid"/>
        <w:tblW w:w="8505" w:type="dxa"/>
        <w:tblLayout w:type="fixed"/>
        <w:tblLook w:val="06A0" w:firstRow="1" w:lastRow="0" w:firstColumn="1" w:lastColumn="0" w:noHBand="1" w:noVBand="1"/>
      </w:tblPr>
      <w:tblGrid>
        <w:gridCol w:w="7371"/>
        <w:gridCol w:w="1134"/>
      </w:tblGrid>
      <w:tr w:rsidR="00CE75D4" w:rsidRPr="002029AF" w14:paraId="0189B165"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01DF3B9E" w14:textId="77777777" w:rsidR="00CE75D4" w:rsidRPr="002029AF" w:rsidRDefault="00CE75D4" w:rsidP="008340C1">
            <w:pPr>
              <w:pStyle w:val="ARfintablecolhead"/>
              <w:spacing w:before="28" w:after="10"/>
            </w:pPr>
          </w:p>
        </w:tc>
        <w:tc>
          <w:tcPr>
            <w:tcW w:w="1134" w:type="dxa"/>
            <w:tcBorders>
              <w:bottom w:val="single" w:sz="4" w:space="0" w:color="auto"/>
            </w:tcBorders>
            <w:hideMark/>
          </w:tcPr>
          <w:p w14:paraId="6BFEC887" w14:textId="77777777" w:rsidR="00CE75D4" w:rsidRPr="002029AF" w:rsidRDefault="00CE75D4" w:rsidP="008340C1">
            <w:pPr>
              <w:pStyle w:val="ARfintablecolheadright"/>
              <w:spacing w:before="28" w:after="10"/>
            </w:pPr>
            <w:r>
              <w:t>2022</w:t>
            </w:r>
          </w:p>
          <w:p w14:paraId="285FE2BA" w14:textId="77777777" w:rsidR="00CE75D4" w:rsidRPr="002029AF" w:rsidRDefault="00CE75D4" w:rsidP="008340C1">
            <w:pPr>
              <w:pStyle w:val="ARfintablecolheadright"/>
              <w:spacing w:before="28" w:after="10"/>
            </w:pPr>
            <w:r w:rsidRPr="002029AF">
              <w:t>$M</w:t>
            </w:r>
          </w:p>
        </w:tc>
      </w:tr>
      <w:tr w:rsidR="00CE75D4" w:rsidRPr="002029AF" w14:paraId="5D3D3418" w14:textId="77777777" w:rsidTr="00860E95">
        <w:tc>
          <w:tcPr>
            <w:tcW w:w="7371" w:type="dxa"/>
            <w:tcBorders>
              <w:top w:val="single" w:sz="4" w:space="0" w:color="auto"/>
              <w:bottom w:val="single" w:sz="4" w:space="0" w:color="A6A6A6"/>
            </w:tcBorders>
            <w:hideMark/>
          </w:tcPr>
          <w:p w14:paraId="1A672F88" w14:textId="77777777" w:rsidR="00CE75D4" w:rsidRPr="002029AF" w:rsidRDefault="00CE75D4" w:rsidP="008340C1">
            <w:pPr>
              <w:pStyle w:val="ARfintablebodybold"/>
              <w:spacing w:before="28" w:after="10"/>
            </w:pPr>
            <w:r w:rsidRPr="00D8166D">
              <w:t>Opening balance</w:t>
            </w:r>
          </w:p>
        </w:tc>
        <w:tc>
          <w:tcPr>
            <w:tcW w:w="1134" w:type="dxa"/>
            <w:tcBorders>
              <w:top w:val="single" w:sz="4" w:space="0" w:color="auto"/>
              <w:bottom w:val="single" w:sz="4" w:space="0" w:color="A6A6A6"/>
            </w:tcBorders>
            <w:noWrap/>
            <w:hideMark/>
          </w:tcPr>
          <w:p w14:paraId="039744F6" w14:textId="77777777" w:rsidR="00CE75D4" w:rsidRPr="002029AF" w:rsidRDefault="00CE75D4" w:rsidP="008340C1">
            <w:pPr>
              <w:pStyle w:val="ARfintablebodyrightbold"/>
              <w:spacing w:before="28" w:after="10"/>
            </w:pPr>
            <w:r w:rsidRPr="00D8166D">
              <w:t>50.6</w:t>
            </w:r>
          </w:p>
        </w:tc>
      </w:tr>
      <w:tr w:rsidR="00CE75D4" w:rsidRPr="002029AF" w14:paraId="4311BE70" w14:textId="77777777" w:rsidTr="00860E95">
        <w:tc>
          <w:tcPr>
            <w:tcW w:w="7371" w:type="dxa"/>
            <w:tcBorders>
              <w:top w:val="single" w:sz="4" w:space="0" w:color="A6A6A6"/>
              <w:bottom w:val="single" w:sz="4" w:space="0" w:color="A6A6A6"/>
            </w:tcBorders>
            <w:hideMark/>
          </w:tcPr>
          <w:p w14:paraId="1004710C" w14:textId="77777777" w:rsidR="00CE75D4" w:rsidRPr="002029AF" w:rsidRDefault="00CE75D4" w:rsidP="008340C1">
            <w:pPr>
              <w:pStyle w:val="ARfintablebody"/>
              <w:spacing w:before="28" w:after="10"/>
            </w:pPr>
            <w:r w:rsidRPr="00D8166D">
              <w:t xml:space="preserve">Removal of DFFH-related June 2021 closing balance </w:t>
            </w:r>
            <w:r w:rsidRPr="007E2747">
              <w:rPr>
                <w:rStyle w:val="Superscript"/>
              </w:rPr>
              <w:t>(i)</w:t>
            </w:r>
          </w:p>
        </w:tc>
        <w:tc>
          <w:tcPr>
            <w:tcW w:w="1134" w:type="dxa"/>
            <w:tcBorders>
              <w:top w:val="single" w:sz="4" w:space="0" w:color="A6A6A6"/>
              <w:bottom w:val="single" w:sz="4" w:space="0" w:color="A6A6A6"/>
            </w:tcBorders>
            <w:noWrap/>
            <w:hideMark/>
          </w:tcPr>
          <w:p w14:paraId="15719FF2" w14:textId="77777777" w:rsidR="00CE75D4" w:rsidRPr="002029AF" w:rsidRDefault="00CE75D4" w:rsidP="008340C1">
            <w:pPr>
              <w:pStyle w:val="ARfintablebodyright"/>
              <w:spacing w:before="28" w:after="10"/>
            </w:pPr>
            <w:r w:rsidRPr="00D8166D">
              <w:t>(34.0)</w:t>
            </w:r>
          </w:p>
        </w:tc>
      </w:tr>
      <w:tr w:rsidR="00CE75D4" w:rsidRPr="002029AF" w14:paraId="01A8EA82" w14:textId="77777777" w:rsidTr="00860E95">
        <w:tc>
          <w:tcPr>
            <w:tcW w:w="7371" w:type="dxa"/>
            <w:tcBorders>
              <w:top w:val="single" w:sz="4" w:space="0" w:color="A6A6A6"/>
              <w:bottom w:val="single" w:sz="4" w:space="0" w:color="A6A6A6"/>
            </w:tcBorders>
          </w:tcPr>
          <w:p w14:paraId="1AC39905" w14:textId="77777777" w:rsidR="00CE75D4" w:rsidRPr="002A7CA9" w:rsidRDefault="00CE75D4" w:rsidP="008340C1">
            <w:pPr>
              <w:pStyle w:val="ARfintablebody"/>
              <w:spacing w:before="28" w:after="10"/>
            </w:pPr>
            <w:r w:rsidRPr="00D8166D">
              <w:t>Additional provisions recognised</w:t>
            </w:r>
          </w:p>
        </w:tc>
        <w:tc>
          <w:tcPr>
            <w:tcW w:w="1134" w:type="dxa"/>
            <w:tcBorders>
              <w:top w:val="single" w:sz="4" w:space="0" w:color="A6A6A6"/>
              <w:bottom w:val="single" w:sz="4" w:space="0" w:color="A6A6A6"/>
            </w:tcBorders>
            <w:noWrap/>
          </w:tcPr>
          <w:p w14:paraId="5CD20F7C" w14:textId="77777777" w:rsidR="00CE75D4" w:rsidRPr="002A7CA9" w:rsidRDefault="00CE75D4" w:rsidP="008340C1">
            <w:pPr>
              <w:pStyle w:val="ARfintablebodyright"/>
              <w:spacing w:before="28" w:after="10"/>
            </w:pPr>
            <w:r w:rsidRPr="00D8166D">
              <w:t>7.5</w:t>
            </w:r>
          </w:p>
        </w:tc>
      </w:tr>
      <w:tr w:rsidR="00CE75D4" w:rsidRPr="002029AF" w14:paraId="1C540FD2" w14:textId="77777777" w:rsidTr="00860E95">
        <w:tc>
          <w:tcPr>
            <w:tcW w:w="7371" w:type="dxa"/>
            <w:tcBorders>
              <w:top w:val="single" w:sz="4" w:space="0" w:color="A6A6A6"/>
              <w:bottom w:val="single" w:sz="4" w:space="0" w:color="A6A6A6"/>
            </w:tcBorders>
          </w:tcPr>
          <w:p w14:paraId="48392444" w14:textId="77777777" w:rsidR="00CE75D4" w:rsidRPr="002A7CA9" w:rsidRDefault="00CE75D4" w:rsidP="008340C1">
            <w:pPr>
              <w:pStyle w:val="ARfintablebody"/>
              <w:spacing w:before="28" w:after="10"/>
            </w:pPr>
            <w:r w:rsidRPr="00D8166D">
              <w:t>Reductions arising from payments/other sacrifices of future economic benefits</w:t>
            </w:r>
          </w:p>
        </w:tc>
        <w:tc>
          <w:tcPr>
            <w:tcW w:w="1134" w:type="dxa"/>
            <w:tcBorders>
              <w:top w:val="single" w:sz="4" w:space="0" w:color="A6A6A6"/>
              <w:bottom w:val="single" w:sz="4" w:space="0" w:color="A6A6A6"/>
            </w:tcBorders>
            <w:noWrap/>
          </w:tcPr>
          <w:p w14:paraId="53311088" w14:textId="77777777" w:rsidR="00CE75D4" w:rsidRPr="002A7CA9" w:rsidRDefault="00CE75D4" w:rsidP="008340C1">
            <w:pPr>
              <w:pStyle w:val="ARfintablebodyright"/>
              <w:spacing w:before="28" w:after="10"/>
            </w:pPr>
            <w:r w:rsidRPr="00D8166D">
              <w:t>(2.5)</w:t>
            </w:r>
          </w:p>
        </w:tc>
      </w:tr>
      <w:tr w:rsidR="00CE75D4" w:rsidRPr="002029AF" w14:paraId="0EB6C834" w14:textId="77777777" w:rsidTr="00860E95">
        <w:tc>
          <w:tcPr>
            <w:tcW w:w="7371" w:type="dxa"/>
            <w:tcBorders>
              <w:top w:val="single" w:sz="4" w:space="0" w:color="A6A6A6"/>
            </w:tcBorders>
            <w:hideMark/>
          </w:tcPr>
          <w:p w14:paraId="5FEF99AB" w14:textId="77777777" w:rsidR="00CE75D4" w:rsidRPr="002029AF" w:rsidRDefault="00CE75D4" w:rsidP="008340C1">
            <w:pPr>
              <w:pStyle w:val="ARfintablebody"/>
              <w:spacing w:before="28" w:after="10"/>
            </w:pPr>
            <w:r w:rsidRPr="00D8166D">
              <w:t>Unwind of discount and effect of changes in the discount rate</w:t>
            </w:r>
          </w:p>
        </w:tc>
        <w:tc>
          <w:tcPr>
            <w:tcW w:w="1134" w:type="dxa"/>
            <w:tcBorders>
              <w:top w:val="single" w:sz="4" w:space="0" w:color="A6A6A6"/>
            </w:tcBorders>
            <w:noWrap/>
            <w:hideMark/>
          </w:tcPr>
          <w:p w14:paraId="05E71FAC" w14:textId="77777777" w:rsidR="00CE75D4" w:rsidRPr="002029AF" w:rsidRDefault="00CE75D4" w:rsidP="008340C1">
            <w:pPr>
              <w:pStyle w:val="ARfintablebodyright"/>
              <w:spacing w:before="28" w:after="10"/>
            </w:pPr>
            <w:r w:rsidRPr="00D8166D">
              <w:t>(0.7)</w:t>
            </w:r>
          </w:p>
        </w:tc>
      </w:tr>
      <w:tr w:rsidR="00CE75D4" w:rsidRPr="002029AF" w14:paraId="18D81AD3" w14:textId="77777777" w:rsidTr="00860E95">
        <w:tc>
          <w:tcPr>
            <w:tcW w:w="7371" w:type="dxa"/>
            <w:tcBorders>
              <w:bottom w:val="single" w:sz="4" w:space="0" w:color="auto"/>
            </w:tcBorders>
            <w:hideMark/>
          </w:tcPr>
          <w:p w14:paraId="152B27A5" w14:textId="77777777" w:rsidR="00CE75D4" w:rsidRPr="002029AF" w:rsidRDefault="00CE75D4" w:rsidP="008340C1">
            <w:pPr>
              <w:pStyle w:val="ARfintablebodybold"/>
              <w:spacing w:before="28" w:after="10"/>
            </w:pPr>
            <w:r w:rsidRPr="00D8166D">
              <w:t>Closing balance</w:t>
            </w:r>
          </w:p>
        </w:tc>
        <w:tc>
          <w:tcPr>
            <w:tcW w:w="1134" w:type="dxa"/>
            <w:tcBorders>
              <w:bottom w:val="single" w:sz="4" w:space="0" w:color="auto"/>
            </w:tcBorders>
            <w:noWrap/>
            <w:hideMark/>
          </w:tcPr>
          <w:p w14:paraId="339C939F" w14:textId="77777777" w:rsidR="00CE75D4" w:rsidRPr="002029AF" w:rsidRDefault="00CE75D4" w:rsidP="008340C1">
            <w:pPr>
              <w:pStyle w:val="ARfintablebodyrightbold"/>
              <w:spacing w:before="28" w:after="10"/>
            </w:pPr>
            <w:r w:rsidRPr="00D8166D">
              <w:t>20.9</w:t>
            </w:r>
          </w:p>
        </w:tc>
      </w:tr>
      <w:tr w:rsidR="00CE75D4" w:rsidRPr="002029AF" w14:paraId="6729F36F" w14:textId="77777777" w:rsidTr="00860E95">
        <w:tc>
          <w:tcPr>
            <w:tcW w:w="7371" w:type="dxa"/>
            <w:tcBorders>
              <w:top w:val="single" w:sz="4" w:space="0" w:color="auto"/>
              <w:bottom w:val="single" w:sz="4" w:space="0" w:color="A6A6A6"/>
            </w:tcBorders>
            <w:hideMark/>
          </w:tcPr>
          <w:p w14:paraId="3589BEE2" w14:textId="77777777" w:rsidR="00CE75D4" w:rsidRPr="002029AF" w:rsidRDefault="00CE75D4" w:rsidP="008340C1">
            <w:pPr>
              <w:pStyle w:val="ARfintablebody"/>
              <w:spacing w:before="28" w:after="10"/>
            </w:pPr>
            <w:r w:rsidRPr="00D8166D">
              <w:t>Current</w:t>
            </w:r>
          </w:p>
        </w:tc>
        <w:tc>
          <w:tcPr>
            <w:tcW w:w="1134" w:type="dxa"/>
            <w:tcBorders>
              <w:top w:val="single" w:sz="4" w:space="0" w:color="auto"/>
              <w:bottom w:val="single" w:sz="4" w:space="0" w:color="A6A6A6"/>
            </w:tcBorders>
            <w:noWrap/>
            <w:hideMark/>
          </w:tcPr>
          <w:p w14:paraId="006CC0B8" w14:textId="77777777" w:rsidR="00CE75D4" w:rsidRPr="002029AF" w:rsidRDefault="00CE75D4" w:rsidP="008340C1">
            <w:pPr>
              <w:pStyle w:val="ARfintablebodyright"/>
              <w:spacing w:before="28" w:after="10"/>
            </w:pPr>
            <w:r w:rsidRPr="00D8166D">
              <w:t>18.6</w:t>
            </w:r>
          </w:p>
        </w:tc>
      </w:tr>
      <w:tr w:rsidR="00CE75D4" w:rsidRPr="002029AF" w14:paraId="7F1E4450" w14:textId="77777777" w:rsidTr="00860E95">
        <w:tc>
          <w:tcPr>
            <w:tcW w:w="7371" w:type="dxa"/>
            <w:tcBorders>
              <w:top w:val="single" w:sz="4" w:space="0" w:color="A6A6A6"/>
            </w:tcBorders>
            <w:hideMark/>
          </w:tcPr>
          <w:p w14:paraId="4F6CEA0D" w14:textId="77777777" w:rsidR="00CE75D4" w:rsidRPr="002029AF" w:rsidRDefault="00CE75D4" w:rsidP="008340C1">
            <w:pPr>
              <w:pStyle w:val="ARfintablebody"/>
              <w:spacing w:before="28" w:after="10"/>
            </w:pPr>
            <w:r w:rsidRPr="00D8166D">
              <w:t>Non-current</w:t>
            </w:r>
          </w:p>
        </w:tc>
        <w:tc>
          <w:tcPr>
            <w:tcW w:w="1134" w:type="dxa"/>
            <w:tcBorders>
              <w:top w:val="single" w:sz="4" w:space="0" w:color="A6A6A6"/>
            </w:tcBorders>
            <w:noWrap/>
            <w:hideMark/>
          </w:tcPr>
          <w:p w14:paraId="205BDC47" w14:textId="77777777" w:rsidR="00CE75D4" w:rsidRPr="002029AF" w:rsidRDefault="00CE75D4" w:rsidP="008340C1">
            <w:pPr>
              <w:pStyle w:val="ARfintablebodyright"/>
              <w:spacing w:before="28" w:after="10"/>
            </w:pPr>
            <w:r w:rsidRPr="00D8166D">
              <w:t>2.4</w:t>
            </w:r>
          </w:p>
        </w:tc>
      </w:tr>
    </w:tbl>
    <w:p w14:paraId="472FBDED" w14:textId="77777777" w:rsidR="00CE75D4" w:rsidRDefault="00CE75D4" w:rsidP="008340C1">
      <w:pPr>
        <w:pStyle w:val="ARfintablefootnote"/>
      </w:pPr>
      <w:r>
        <w:rPr>
          <w:lang w:eastAsia="en-AU"/>
        </w:rPr>
        <w:t>Note:</w:t>
      </w:r>
    </w:p>
    <w:p w14:paraId="0D961986" w14:textId="77777777" w:rsidR="00CE75D4" w:rsidRDefault="00CE75D4" w:rsidP="008340C1">
      <w:pPr>
        <w:pStyle w:val="ARfintablefootnoteindent"/>
      </w:pPr>
      <w:r>
        <w:t>(i)</w:t>
      </w:r>
      <w:r>
        <w:tab/>
        <w:t xml:space="preserve">Removes the 30 June 2021 closing balances of the DFFH, the Victorian Disability Worker Commission and the Director of Housing, which were included in the department’s 2020–21 financial statements under s. 53(1)(b) of the FMA. </w:t>
      </w:r>
      <w:r w:rsidRPr="006F4B79">
        <w:t xml:space="preserve">The transactions which relate to these entities </w:t>
      </w:r>
      <w:r>
        <w:t>are reported in the DFFH’s 2021–22 financial statements.</w:t>
      </w:r>
    </w:p>
    <w:p w14:paraId="525DD6C9" w14:textId="77777777" w:rsidR="00CE75D4" w:rsidRDefault="00CE75D4" w:rsidP="008340C1">
      <w:pPr>
        <w:pStyle w:val="ARfinbodyaftertable"/>
      </w:pPr>
      <w:r>
        <w:rPr>
          <w:rStyle w:val="Strong"/>
        </w:rPr>
        <w:t>Annual leave and sick leave:</w:t>
      </w:r>
      <w:r>
        <w:t xml:space="preserve"> Liabilities for annual leave and on-costs are recognised as part of the provisions for employee benefits as ‘current liabilities’ because the department does not have an unconditional right to defer settlements of these liabilities.</w:t>
      </w:r>
    </w:p>
    <w:p w14:paraId="7505C431" w14:textId="77777777" w:rsidR="00CE75D4" w:rsidRDefault="00CE75D4" w:rsidP="008340C1">
      <w:pPr>
        <w:pStyle w:val="ARfinbody"/>
      </w:pPr>
      <w:r>
        <w:t>The annual leave liability is classified as a current liability and measured at the undiscounted amount expected to be paid, as the department does not have an unconditional right to defer settlement of the liability for at least 12 months after the end of the reporting period.</w:t>
      </w:r>
    </w:p>
    <w:p w14:paraId="79449092" w14:textId="77777777" w:rsidR="00CE75D4" w:rsidRDefault="00CE75D4" w:rsidP="008340C1">
      <w:pPr>
        <w:pStyle w:val="ARfinbody"/>
      </w:pPr>
      <w:r>
        <w:t>No provision has been made for sick leave as all sick leave is non-vesting and it is not considered probable that the average sick leave taken in the future will be greater than the benefits accrued in the future. As sick leave is non-vesting, an expense is recognised in the comprehensive operating statement as it is taken.</w:t>
      </w:r>
    </w:p>
    <w:p w14:paraId="566B2C25" w14:textId="77777777" w:rsidR="00CE75D4" w:rsidRDefault="00CE75D4" w:rsidP="008340C1">
      <w:pPr>
        <w:pStyle w:val="ARfinbody"/>
      </w:pPr>
      <w:r>
        <w:t>Employment on-costs such as payroll tax, workers’ compensation and superannuation are not employee benefits. They are disclosed separately as a component of the provision for employee benefits when the employment to which they relate has occurred.</w:t>
      </w:r>
    </w:p>
    <w:p w14:paraId="68897210" w14:textId="77777777" w:rsidR="00CE75D4" w:rsidRDefault="00CE75D4" w:rsidP="008340C1">
      <w:pPr>
        <w:pStyle w:val="ARfinbody"/>
      </w:pPr>
      <w:r>
        <w:rPr>
          <w:rStyle w:val="Strong"/>
        </w:rPr>
        <w:t>Unconditional LSL</w:t>
      </w:r>
      <w:r>
        <w:t xml:space="preserve"> is disclosed as a current liability; even where the department does not expect to settle the liability within 12 months because it will not have the unconditional right to defer the settlement of the entitlement should an employee take leave within 12 months.</w:t>
      </w:r>
    </w:p>
    <w:p w14:paraId="7BE9BBDB" w14:textId="77777777" w:rsidR="00CE75D4" w:rsidRDefault="00CE75D4" w:rsidP="008340C1">
      <w:pPr>
        <w:pStyle w:val="ARfinbody"/>
      </w:pPr>
      <w:r>
        <w:t>The components of this current LSL liability are measured at present value where the department does not expect to wholly settle within 12 months. The components of current LSL liability are measured at nominal value where the department expects to settle within 12 months.</w:t>
      </w:r>
    </w:p>
    <w:p w14:paraId="50D8BDEA" w14:textId="77777777" w:rsidR="00CE75D4" w:rsidRDefault="00CE75D4" w:rsidP="008340C1">
      <w:pPr>
        <w:pStyle w:val="ARfinbody"/>
      </w:pPr>
      <w:r>
        <w:rPr>
          <w:rStyle w:val="Strong"/>
        </w:rPr>
        <w:t>Conditional LSL</w:t>
      </w:r>
      <w:r>
        <w:t xml:space="preserve"> is disclosed as a non-current liability. There is an unconditional right to defer the settlement of the entitlement until the employee has completed the requisite years of service. This non-current LSL liability is measured at present value.</w:t>
      </w:r>
    </w:p>
    <w:p w14:paraId="25FA8F81" w14:textId="77777777" w:rsidR="00CE75D4" w:rsidRDefault="00CE75D4" w:rsidP="008340C1">
      <w:pPr>
        <w:pStyle w:val="ARfinbody"/>
      </w:pPr>
      <w:r>
        <w:t>Any gain or loss following the revaluation of the present value of non-current LSL liability is recognised as a transaction, except to the extent that a gain or loss arises due to changes in bond interest rates for which it is then recognised as an ‘other economic flow’ in the net result.</w:t>
      </w:r>
    </w:p>
    <w:p w14:paraId="18600502" w14:textId="77777777" w:rsidR="00CE75D4" w:rsidRDefault="00CE75D4" w:rsidP="008340C1">
      <w:pPr>
        <w:pStyle w:val="Heading7"/>
        <w:spacing w:before="120" w:after="40"/>
      </w:pPr>
      <w:bookmarkStart w:id="549" w:name="_Ref112963602"/>
      <w:r>
        <w:t>Provisions for superannuation – Defined benefit obligation</w:t>
      </w:r>
      <w:bookmarkEnd w:id="549"/>
    </w:p>
    <w:p w14:paraId="36ACD998" w14:textId="77777777" w:rsidR="00CE75D4" w:rsidRDefault="00CE75D4" w:rsidP="008340C1">
      <w:pPr>
        <w:pStyle w:val="ARfinbody"/>
      </w:pPr>
      <w:r>
        <w:t>The 2021 numbers represent the liability reported by the Director of Housing for unfunded superannuation in respect of former employees of the Director of Housing for the shortfall of superannuation benefits paid to former housing staff who retired or resigned on or before 14 December 1987 or were employed by the Director of Housing as at 14 December 1987 and retired or resigned prior to or on 30 June 1994.</w:t>
      </w:r>
    </w:p>
    <w:p w14:paraId="20247B15" w14:textId="77777777" w:rsidR="00CE75D4" w:rsidRDefault="00CE75D4" w:rsidP="008340C1">
      <w:pPr>
        <w:pStyle w:val="ARfinbody"/>
      </w:pPr>
      <w:r>
        <w:t>This liability represented the shortfall between the total net assets of the superannuation fund at 30 June 2021 and the total benefits that members had accrued up to that date, determined by an actuarial assessment. Information relating to the fund based on the latest actuarial assessment for 30 June 2021 is set out below. The amount expensed in respect of unfunded superannuation represented the contributions made by the department to the superannuation fund, adjusted by the movement in the liability or asset.</w:t>
      </w:r>
    </w:p>
    <w:p w14:paraId="32928675" w14:textId="4E44C3E9" w:rsidR="00CE75D4" w:rsidRDefault="00CE75D4" w:rsidP="008340C1">
      <w:pPr>
        <w:pStyle w:val="ARfinbody"/>
      </w:pPr>
      <w:r>
        <w:t>The department had no defined benefit superannuation liability in 2022 following the transfer of Director of Housing to </w:t>
      </w:r>
      <w:r w:rsidR="00321FE3">
        <w:t xml:space="preserve">the </w:t>
      </w:r>
      <w:r>
        <w:t>DFFH as part of the machinery of government changes effective 1 February 2021. Refer to Note 3.1.1(a).</w:t>
      </w:r>
    </w:p>
    <w:tbl>
      <w:tblPr>
        <w:tblStyle w:val="TableGrid"/>
        <w:tblW w:w="9637" w:type="dxa"/>
        <w:tblLayout w:type="fixed"/>
        <w:tblLook w:val="06A0" w:firstRow="1" w:lastRow="0" w:firstColumn="1" w:lastColumn="0" w:noHBand="1" w:noVBand="1"/>
      </w:tblPr>
      <w:tblGrid>
        <w:gridCol w:w="7371"/>
        <w:gridCol w:w="1133"/>
        <w:gridCol w:w="1133"/>
      </w:tblGrid>
      <w:tr w:rsidR="00CE75D4" w:rsidRPr="002029AF" w14:paraId="50F99F5B"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3A3D0854" w14:textId="77777777" w:rsidR="00CE75D4" w:rsidRPr="002029AF" w:rsidRDefault="00CE75D4" w:rsidP="008340C1">
            <w:pPr>
              <w:pStyle w:val="ARfintablecolhead"/>
            </w:pPr>
          </w:p>
        </w:tc>
        <w:tc>
          <w:tcPr>
            <w:tcW w:w="1133" w:type="dxa"/>
            <w:tcBorders>
              <w:bottom w:val="single" w:sz="4" w:space="0" w:color="auto"/>
            </w:tcBorders>
            <w:shd w:val="clear" w:color="auto" w:fill="E7E6E6"/>
            <w:hideMark/>
          </w:tcPr>
          <w:p w14:paraId="52753F7A" w14:textId="77777777" w:rsidR="00CE75D4" w:rsidRPr="002029AF" w:rsidRDefault="00CE75D4" w:rsidP="008340C1">
            <w:pPr>
              <w:pStyle w:val="ARfintablecolheadright"/>
            </w:pPr>
            <w:r w:rsidRPr="002029AF">
              <w:t>202</w:t>
            </w:r>
            <w:r>
              <w:t>2</w:t>
            </w:r>
          </w:p>
          <w:p w14:paraId="771117AA" w14:textId="77777777" w:rsidR="00CE75D4" w:rsidRPr="002029AF" w:rsidRDefault="00CE75D4" w:rsidP="008340C1">
            <w:pPr>
              <w:pStyle w:val="ARfintablecolheadright"/>
            </w:pPr>
            <w:r w:rsidRPr="002029AF">
              <w:t>$M</w:t>
            </w:r>
          </w:p>
        </w:tc>
        <w:tc>
          <w:tcPr>
            <w:tcW w:w="1133" w:type="dxa"/>
            <w:tcBorders>
              <w:bottom w:val="single" w:sz="4" w:space="0" w:color="auto"/>
            </w:tcBorders>
            <w:hideMark/>
          </w:tcPr>
          <w:p w14:paraId="65C5C79F" w14:textId="77777777" w:rsidR="00CE75D4" w:rsidRPr="002029AF" w:rsidRDefault="00CE75D4" w:rsidP="008340C1">
            <w:pPr>
              <w:pStyle w:val="ARfintablecolheadright"/>
            </w:pPr>
            <w:r>
              <w:t>2021</w:t>
            </w:r>
          </w:p>
          <w:p w14:paraId="6F880A22" w14:textId="77777777" w:rsidR="00CE75D4" w:rsidRPr="002029AF" w:rsidRDefault="00CE75D4" w:rsidP="008340C1">
            <w:pPr>
              <w:pStyle w:val="ARfintablecolheadright"/>
            </w:pPr>
            <w:r w:rsidRPr="002029AF">
              <w:t>$M</w:t>
            </w:r>
          </w:p>
        </w:tc>
      </w:tr>
      <w:tr w:rsidR="00CE75D4" w:rsidRPr="002029AF" w14:paraId="60BCB60E" w14:textId="77777777" w:rsidTr="00860E95">
        <w:tc>
          <w:tcPr>
            <w:tcW w:w="9637" w:type="dxa"/>
            <w:gridSpan w:val="3"/>
            <w:tcBorders>
              <w:top w:val="single" w:sz="4" w:space="0" w:color="auto"/>
              <w:bottom w:val="single" w:sz="4" w:space="0" w:color="A6A6A6"/>
            </w:tcBorders>
            <w:hideMark/>
          </w:tcPr>
          <w:p w14:paraId="13633A35" w14:textId="77777777" w:rsidR="00CE75D4" w:rsidRPr="002029AF" w:rsidRDefault="00CE75D4" w:rsidP="008340C1">
            <w:pPr>
              <w:pStyle w:val="ARfintablebodybold"/>
            </w:pPr>
            <w:r w:rsidRPr="00AA33BD">
              <w:t>Reconciliation of the superannuation liability in the balance sheet</w:t>
            </w:r>
          </w:p>
        </w:tc>
      </w:tr>
      <w:tr w:rsidR="00CE75D4" w:rsidRPr="002029AF" w14:paraId="0923280C" w14:textId="77777777" w:rsidTr="00860E95">
        <w:tc>
          <w:tcPr>
            <w:tcW w:w="7371" w:type="dxa"/>
            <w:tcBorders>
              <w:top w:val="single" w:sz="4" w:space="0" w:color="A6A6A6"/>
            </w:tcBorders>
            <w:hideMark/>
          </w:tcPr>
          <w:p w14:paraId="42A116C5" w14:textId="77777777" w:rsidR="00CE75D4" w:rsidRPr="002029AF" w:rsidRDefault="00CE75D4" w:rsidP="008340C1">
            <w:pPr>
              <w:pStyle w:val="ARfintablebody"/>
            </w:pPr>
            <w:r w:rsidRPr="00AA33BD">
              <w:t>Defined benefit obligation</w:t>
            </w:r>
          </w:p>
        </w:tc>
        <w:tc>
          <w:tcPr>
            <w:tcW w:w="1133" w:type="dxa"/>
            <w:tcBorders>
              <w:top w:val="single" w:sz="4" w:space="0" w:color="A6A6A6"/>
            </w:tcBorders>
            <w:shd w:val="clear" w:color="auto" w:fill="E7E6E6"/>
            <w:noWrap/>
            <w:hideMark/>
          </w:tcPr>
          <w:p w14:paraId="38F35BAF" w14:textId="77777777" w:rsidR="00CE75D4" w:rsidRPr="002029AF" w:rsidRDefault="00CE75D4" w:rsidP="008340C1">
            <w:pPr>
              <w:pStyle w:val="ARfintablebodyright"/>
            </w:pPr>
            <w:r>
              <w:t>–</w:t>
            </w:r>
          </w:p>
        </w:tc>
        <w:tc>
          <w:tcPr>
            <w:tcW w:w="1133" w:type="dxa"/>
            <w:tcBorders>
              <w:top w:val="single" w:sz="4" w:space="0" w:color="A6A6A6"/>
            </w:tcBorders>
            <w:noWrap/>
            <w:hideMark/>
          </w:tcPr>
          <w:p w14:paraId="6B11136D" w14:textId="77777777" w:rsidR="00CE75D4" w:rsidRPr="002029AF" w:rsidRDefault="00CE75D4" w:rsidP="008340C1">
            <w:pPr>
              <w:pStyle w:val="ARfintablebodyright"/>
            </w:pPr>
            <w:r w:rsidRPr="00AA33BD">
              <w:t>31.4</w:t>
            </w:r>
          </w:p>
        </w:tc>
      </w:tr>
      <w:tr w:rsidR="00CE75D4" w:rsidRPr="002029AF" w14:paraId="4FA663D9" w14:textId="77777777" w:rsidTr="00860E95">
        <w:tc>
          <w:tcPr>
            <w:tcW w:w="7371" w:type="dxa"/>
            <w:hideMark/>
          </w:tcPr>
          <w:p w14:paraId="24C419F8" w14:textId="77777777" w:rsidR="00CE75D4" w:rsidRPr="002029AF" w:rsidRDefault="00CE75D4" w:rsidP="008340C1">
            <w:pPr>
              <w:pStyle w:val="ARfintablebodybold"/>
            </w:pPr>
            <w:r w:rsidRPr="00AA33BD">
              <w:t>Net liability/(asset)</w:t>
            </w:r>
          </w:p>
        </w:tc>
        <w:tc>
          <w:tcPr>
            <w:tcW w:w="1133" w:type="dxa"/>
            <w:shd w:val="clear" w:color="auto" w:fill="E7E6E6"/>
            <w:noWrap/>
            <w:hideMark/>
          </w:tcPr>
          <w:p w14:paraId="12250F1F" w14:textId="77777777" w:rsidR="00CE75D4" w:rsidRPr="002029AF" w:rsidRDefault="00CE75D4" w:rsidP="008340C1">
            <w:pPr>
              <w:pStyle w:val="ARfintablebodyrightbold"/>
            </w:pPr>
            <w:r>
              <w:t>–</w:t>
            </w:r>
          </w:p>
        </w:tc>
        <w:tc>
          <w:tcPr>
            <w:tcW w:w="1133" w:type="dxa"/>
            <w:noWrap/>
            <w:hideMark/>
          </w:tcPr>
          <w:p w14:paraId="32C1CB70" w14:textId="77777777" w:rsidR="00CE75D4" w:rsidRPr="002029AF" w:rsidRDefault="00CE75D4" w:rsidP="008340C1">
            <w:pPr>
              <w:pStyle w:val="ARfintablebodyrightbold"/>
            </w:pPr>
            <w:r w:rsidRPr="00AA33BD">
              <w:t>31.4</w:t>
            </w:r>
          </w:p>
        </w:tc>
      </w:tr>
      <w:tr w:rsidR="00CE75D4" w:rsidRPr="002029AF" w14:paraId="0241536E" w14:textId="77777777" w:rsidTr="00860E95">
        <w:tc>
          <w:tcPr>
            <w:tcW w:w="7371" w:type="dxa"/>
            <w:tcBorders>
              <w:bottom w:val="single" w:sz="4" w:space="0" w:color="auto"/>
            </w:tcBorders>
            <w:hideMark/>
          </w:tcPr>
          <w:p w14:paraId="3D5165B5" w14:textId="77777777" w:rsidR="00CE75D4" w:rsidRPr="002029AF" w:rsidRDefault="00CE75D4" w:rsidP="008340C1">
            <w:pPr>
              <w:pStyle w:val="ARfintablebodybold"/>
            </w:pPr>
            <w:r w:rsidRPr="00AA33BD">
              <w:t>Total obligation and liability in the balance sheet</w:t>
            </w:r>
          </w:p>
        </w:tc>
        <w:tc>
          <w:tcPr>
            <w:tcW w:w="1133" w:type="dxa"/>
            <w:tcBorders>
              <w:bottom w:val="single" w:sz="4" w:space="0" w:color="auto"/>
            </w:tcBorders>
            <w:shd w:val="clear" w:color="auto" w:fill="E7E6E6"/>
            <w:noWrap/>
            <w:hideMark/>
          </w:tcPr>
          <w:p w14:paraId="76B79D7A" w14:textId="77777777" w:rsidR="00CE75D4" w:rsidRPr="002029AF" w:rsidRDefault="00CE75D4" w:rsidP="008340C1">
            <w:pPr>
              <w:pStyle w:val="ARfintablebodyrightbold"/>
            </w:pPr>
            <w:r>
              <w:t>–</w:t>
            </w:r>
          </w:p>
        </w:tc>
        <w:tc>
          <w:tcPr>
            <w:tcW w:w="1133" w:type="dxa"/>
            <w:tcBorders>
              <w:bottom w:val="single" w:sz="4" w:space="0" w:color="auto"/>
            </w:tcBorders>
            <w:noWrap/>
            <w:hideMark/>
          </w:tcPr>
          <w:p w14:paraId="7D215185" w14:textId="77777777" w:rsidR="00CE75D4" w:rsidRPr="002029AF" w:rsidRDefault="00CE75D4" w:rsidP="008340C1">
            <w:pPr>
              <w:pStyle w:val="ARfintablebodyrightbold"/>
            </w:pPr>
            <w:r w:rsidRPr="00AA33BD">
              <w:t>31.4</w:t>
            </w:r>
          </w:p>
        </w:tc>
      </w:tr>
      <w:tr w:rsidR="00CE75D4" w:rsidRPr="002029AF" w14:paraId="373FCCFB" w14:textId="77777777" w:rsidTr="00860E95">
        <w:tc>
          <w:tcPr>
            <w:tcW w:w="9637" w:type="dxa"/>
            <w:gridSpan w:val="3"/>
            <w:tcBorders>
              <w:top w:val="single" w:sz="4" w:space="0" w:color="auto"/>
              <w:bottom w:val="single" w:sz="4" w:space="0" w:color="A6A6A6"/>
            </w:tcBorders>
            <w:hideMark/>
          </w:tcPr>
          <w:p w14:paraId="1F2A5D08" w14:textId="77777777" w:rsidR="00CE75D4" w:rsidRPr="002029AF" w:rsidRDefault="00CE75D4" w:rsidP="008340C1">
            <w:pPr>
              <w:pStyle w:val="ARfintablebodybold"/>
            </w:pPr>
            <w:r w:rsidRPr="00AA33BD">
              <w:t>Represented by:</w:t>
            </w:r>
          </w:p>
        </w:tc>
      </w:tr>
      <w:tr w:rsidR="00CE75D4" w:rsidRPr="002029AF" w14:paraId="56D368B5" w14:textId="77777777" w:rsidTr="00860E95">
        <w:tc>
          <w:tcPr>
            <w:tcW w:w="7371" w:type="dxa"/>
            <w:tcBorders>
              <w:top w:val="single" w:sz="4" w:space="0" w:color="A6A6A6"/>
              <w:bottom w:val="single" w:sz="4" w:space="0" w:color="A6A6A6"/>
            </w:tcBorders>
            <w:hideMark/>
          </w:tcPr>
          <w:p w14:paraId="25A79832" w14:textId="77777777" w:rsidR="00CE75D4" w:rsidRPr="002029AF" w:rsidRDefault="00CE75D4" w:rsidP="008340C1">
            <w:pPr>
              <w:pStyle w:val="ARfintablebody"/>
            </w:pPr>
            <w:r w:rsidRPr="00AA33BD">
              <w:t>Current liability</w:t>
            </w:r>
          </w:p>
        </w:tc>
        <w:tc>
          <w:tcPr>
            <w:tcW w:w="1133" w:type="dxa"/>
            <w:tcBorders>
              <w:top w:val="single" w:sz="4" w:space="0" w:color="A6A6A6"/>
              <w:bottom w:val="single" w:sz="4" w:space="0" w:color="A6A6A6"/>
            </w:tcBorders>
            <w:shd w:val="clear" w:color="auto" w:fill="E7E6E6"/>
            <w:noWrap/>
            <w:hideMark/>
          </w:tcPr>
          <w:p w14:paraId="298675EE"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hideMark/>
          </w:tcPr>
          <w:p w14:paraId="2666F50B" w14:textId="77777777" w:rsidR="00CE75D4" w:rsidRPr="002029AF" w:rsidRDefault="00CE75D4" w:rsidP="008340C1">
            <w:pPr>
              <w:pStyle w:val="ARfintablebodyright"/>
            </w:pPr>
            <w:r w:rsidRPr="00AA33BD">
              <w:t>2.5</w:t>
            </w:r>
          </w:p>
        </w:tc>
      </w:tr>
      <w:tr w:rsidR="00CE75D4" w:rsidRPr="002029AF" w14:paraId="5B47B297" w14:textId="77777777" w:rsidTr="00860E95">
        <w:tc>
          <w:tcPr>
            <w:tcW w:w="7371" w:type="dxa"/>
            <w:tcBorders>
              <w:top w:val="single" w:sz="4" w:space="0" w:color="A6A6A6"/>
            </w:tcBorders>
            <w:hideMark/>
          </w:tcPr>
          <w:p w14:paraId="0764CD10" w14:textId="77777777" w:rsidR="00CE75D4" w:rsidRPr="002029AF" w:rsidRDefault="00CE75D4" w:rsidP="008340C1">
            <w:pPr>
              <w:pStyle w:val="ARfintablebody"/>
            </w:pPr>
            <w:r w:rsidRPr="00AA33BD">
              <w:t>Non-current liability</w:t>
            </w:r>
          </w:p>
        </w:tc>
        <w:tc>
          <w:tcPr>
            <w:tcW w:w="1133" w:type="dxa"/>
            <w:tcBorders>
              <w:top w:val="single" w:sz="4" w:space="0" w:color="A6A6A6"/>
            </w:tcBorders>
            <w:shd w:val="clear" w:color="auto" w:fill="E7E6E6"/>
            <w:noWrap/>
            <w:hideMark/>
          </w:tcPr>
          <w:p w14:paraId="411B821B" w14:textId="77777777" w:rsidR="00CE75D4" w:rsidRPr="002029AF" w:rsidRDefault="00CE75D4" w:rsidP="008340C1">
            <w:pPr>
              <w:pStyle w:val="ARfintablebodyright"/>
            </w:pPr>
            <w:r>
              <w:t>–</w:t>
            </w:r>
          </w:p>
        </w:tc>
        <w:tc>
          <w:tcPr>
            <w:tcW w:w="1133" w:type="dxa"/>
            <w:tcBorders>
              <w:top w:val="single" w:sz="4" w:space="0" w:color="A6A6A6"/>
            </w:tcBorders>
            <w:noWrap/>
            <w:hideMark/>
          </w:tcPr>
          <w:p w14:paraId="575B0E7D" w14:textId="77777777" w:rsidR="00CE75D4" w:rsidRPr="002029AF" w:rsidRDefault="00CE75D4" w:rsidP="008340C1">
            <w:pPr>
              <w:pStyle w:val="ARfintablebodyright"/>
            </w:pPr>
            <w:r w:rsidRPr="00AA33BD">
              <w:t>28.9</w:t>
            </w:r>
          </w:p>
        </w:tc>
      </w:tr>
      <w:tr w:rsidR="00CE75D4" w:rsidRPr="002029AF" w14:paraId="0D50501D" w14:textId="77777777" w:rsidTr="00860E95">
        <w:tc>
          <w:tcPr>
            <w:tcW w:w="7371" w:type="dxa"/>
            <w:tcBorders>
              <w:bottom w:val="single" w:sz="4" w:space="0" w:color="auto"/>
            </w:tcBorders>
            <w:hideMark/>
          </w:tcPr>
          <w:p w14:paraId="689B3B3F" w14:textId="77777777" w:rsidR="00CE75D4" w:rsidRPr="002029AF" w:rsidRDefault="00CE75D4" w:rsidP="008340C1">
            <w:pPr>
              <w:pStyle w:val="ARfintablebodybold"/>
            </w:pPr>
            <w:r w:rsidRPr="00AA33BD">
              <w:t>Total liability</w:t>
            </w:r>
          </w:p>
        </w:tc>
        <w:tc>
          <w:tcPr>
            <w:tcW w:w="1133" w:type="dxa"/>
            <w:tcBorders>
              <w:bottom w:val="single" w:sz="4" w:space="0" w:color="auto"/>
            </w:tcBorders>
            <w:shd w:val="clear" w:color="auto" w:fill="E7E6E6"/>
            <w:noWrap/>
            <w:hideMark/>
          </w:tcPr>
          <w:p w14:paraId="263CCB69" w14:textId="77777777" w:rsidR="00CE75D4" w:rsidRPr="002029AF" w:rsidRDefault="00CE75D4" w:rsidP="008340C1">
            <w:pPr>
              <w:pStyle w:val="ARfintablebodyrightbold"/>
            </w:pPr>
            <w:r>
              <w:t>–</w:t>
            </w:r>
          </w:p>
        </w:tc>
        <w:tc>
          <w:tcPr>
            <w:tcW w:w="1133" w:type="dxa"/>
            <w:tcBorders>
              <w:bottom w:val="single" w:sz="4" w:space="0" w:color="auto"/>
            </w:tcBorders>
            <w:noWrap/>
            <w:hideMark/>
          </w:tcPr>
          <w:p w14:paraId="055447BA" w14:textId="77777777" w:rsidR="00CE75D4" w:rsidRPr="002029AF" w:rsidRDefault="00CE75D4" w:rsidP="008340C1">
            <w:pPr>
              <w:pStyle w:val="ARfintablebodyrightbold"/>
            </w:pPr>
            <w:r w:rsidRPr="00AA33BD">
              <w:t>31.4</w:t>
            </w:r>
          </w:p>
        </w:tc>
      </w:tr>
      <w:tr w:rsidR="00CE75D4" w:rsidRPr="002029AF" w14:paraId="672850A1" w14:textId="77777777" w:rsidTr="00860E95">
        <w:tc>
          <w:tcPr>
            <w:tcW w:w="9637" w:type="dxa"/>
            <w:gridSpan w:val="3"/>
            <w:tcBorders>
              <w:top w:val="single" w:sz="4" w:space="0" w:color="auto"/>
              <w:bottom w:val="single" w:sz="4" w:space="0" w:color="A6A6A6"/>
            </w:tcBorders>
            <w:hideMark/>
          </w:tcPr>
          <w:p w14:paraId="5D1E1C16" w14:textId="77777777" w:rsidR="00CE75D4" w:rsidRPr="002029AF" w:rsidRDefault="00CE75D4" w:rsidP="008340C1">
            <w:pPr>
              <w:pStyle w:val="ARfintablebodybold"/>
            </w:pPr>
            <w:r w:rsidRPr="00AA33BD">
              <w:t>Principal actuarial assumptions</w:t>
            </w:r>
          </w:p>
        </w:tc>
      </w:tr>
      <w:tr w:rsidR="00CE75D4" w:rsidRPr="002029AF" w14:paraId="443E5AB0" w14:textId="77777777" w:rsidTr="00860E95">
        <w:tc>
          <w:tcPr>
            <w:tcW w:w="7371" w:type="dxa"/>
            <w:tcBorders>
              <w:top w:val="single" w:sz="4" w:space="0" w:color="A6A6A6"/>
              <w:bottom w:val="single" w:sz="4" w:space="0" w:color="A6A6A6"/>
            </w:tcBorders>
            <w:hideMark/>
          </w:tcPr>
          <w:p w14:paraId="10AA2C20" w14:textId="77777777" w:rsidR="00CE75D4" w:rsidRPr="002029AF" w:rsidRDefault="00CE75D4" w:rsidP="008340C1">
            <w:pPr>
              <w:pStyle w:val="ARfintablebody"/>
            </w:pPr>
            <w:r w:rsidRPr="00AA33BD">
              <w:t>Discount rate</w:t>
            </w:r>
          </w:p>
        </w:tc>
        <w:tc>
          <w:tcPr>
            <w:tcW w:w="1133" w:type="dxa"/>
            <w:tcBorders>
              <w:top w:val="single" w:sz="4" w:space="0" w:color="A6A6A6"/>
              <w:bottom w:val="single" w:sz="4" w:space="0" w:color="A6A6A6"/>
            </w:tcBorders>
            <w:shd w:val="clear" w:color="auto" w:fill="E7E6E6"/>
            <w:noWrap/>
            <w:hideMark/>
          </w:tcPr>
          <w:p w14:paraId="6B6B6FDC"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hideMark/>
          </w:tcPr>
          <w:p w14:paraId="13AF3985" w14:textId="77777777" w:rsidR="00CE75D4" w:rsidRPr="002029AF" w:rsidRDefault="00CE75D4" w:rsidP="008340C1">
            <w:pPr>
              <w:pStyle w:val="ARfintablebodyright"/>
            </w:pPr>
            <w:r w:rsidRPr="00AA33BD">
              <w:t>2.0%</w:t>
            </w:r>
          </w:p>
        </w:tc>
      </w:tr>
      <w:tr w:rsidR="00CE75D4" w:rsidRPr="002029AF" w14:paraId="0BB0969F" w14:textId="77777777" w:rsidTr="00860E95">
        <w:tc>
          <w:tcPr>
            <w:tcW w:w="7371" w:type="dxa"/>
            <w:tcBorders>
              <w:top w:val="single" w:sz="4" w:space="0" w:color="A6A6A6"/>
              <w:bottom w:val="single" w:sz="4" w:space="0" w:color="A6A6A6"/>
            </w:tcBorders>
            <w:hideMark/>
          </w:tcPr>
          <w:p w14:paraId="2729F4B2" w14:textId="77777777" w:rsidR="00CE75D4" w:rsidRPr="002029AF" w:rsidRDefault="00CE75D4" w:rsidP="008340C1">
            <w:pPr>
              <w:pStyle w:val="ARfintablebody"/>
            </w:pPr>
            <w:r w:rsidRPr="00AA33BD">
              <w:t>Expected return on plan assets</w:t>
            </w:r>
          </w:p>
        </w:tc>
        <w:tc>
          <w:tcPr>
            <w:tcW w:w="1133" w:type="dxa"/>
            <w:tcBorders>
              <w:top w:val="single" w:sz="4" w:space="0" w:color="A6A6A6"/>
              <w:bottom w:val="single" w:sz="4" w:space="0" w:color="A6A6A6"/>
            </w:tcBorders>
            <w:shd w:val="clear" w:color="auto" w:fill="E7E6E6"/>
            <w:noWrap/>
            <w:hideMark/>
          </w:tcPr>
          <w:p w14:paraId="0F9D1394"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hideMark/>
          </w:tcPr>
          <w:p w14:paraId="1804D01D" w14:textId="77777777" w:rsidR="00CE75D4" w:rsidRPr="002029AF" w:rsidRDefault="00CE75D4" w:rsidP="008340C1">
            <w:pPr>
              <w:pStyle w:val="ARfintablebodyright"/>
            </w:pPr>
            <w:r w:rsidRPr="00AA33BD">
              <w:t>6.8%</w:t>
            </w:r>
          </w:p>
        </w:tc>
      </w:tr>
      <w:tr w:rsidR="00CE75D4" w:rsidRPr="002029AF" w14:paraId="26EC4F95" w14:textId="77777777" w:rsidTr="00860E95">
        <w:tc>
          <w:tcPr>
            <w:tcW w:w="7371" w:type="dxa"/>
            <w:tcBorders>
              <w:top w:val="single" w:sz="4" w:space="0" w:color="A6A6A6"/>
              <w:bottom w:val="single" w:sz="4" w:space="0" w:color="A6A6A6"/>
            </w:tcBorders>
            <w:hideMark/>
          </w:tcPr>
          <w:p w14:paraId="108EFA14" w14:textId="77777777" w:rsidR="00CE75D4" w:rsidRPr="002029AF" w:rsidRDefault="00CE75D4" w:rsidP="008340C1">
            <w:pPr>
              <w:pStyle w:val="ARfintablebody"/>
            </w:pPr>
            <w:r w:rsidRPr="00AA33BD">
              <w:t>Expected rate of salary increase</w:t>
            </w:r>
          </w:p>
        </w:tc>
        <w:tc>
          <w:tcPr>
            <w:tcW w:w="1133" w:type="dxa"/>
            <w:tcBorders>
              <w:top w:val="single" w:sz="4" w:space="0" w:color="A6A6A6"/>
              <w:bottom w:val="single" w:sz="4" w:space="0" w:color="A6A6A6"/>
            </w:tcBorders>
            <w:shd w:val="clear" w:color="auto" w:fill="E7E6E6"/>
            <w:noWrap/>
            <w:hideMark/>
          </w:tcPr>
          <w:p w14:paraId="581C7A1A"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hideMark/>
          </w:tcPr>
          <w:p w14:paraId="5785110F" w14:textId="77777777" w:rsidR="00CE75D4" w:rsidRPr="002029AF" w:rsidRDefault="00CE75D4" w:rsidP="008340C1">
            <w:pPr>
              <w:pStyle w:val="ARfintablebodyright"/>
            </w:pPr>
            <w:r w:rsidRPr="00AA33BD">
              <w:t>3.4%</w:t>
            </w:r>
          </w:p>
        </w:tc>
      </w:tr>
      <w:tr w:rsidR="00CE75D4" w:rsidRPr="002029AF" w14:paraId="0BA9C8DF" w14:textId="77777777" w:rsidTr="00860E95">
        <w:tc>
          <w:tcPr>
            <w:tcW w:w="7371" w:type="dxa"/>
            <w:tcBorders>
              <w:top w:val="single" w:sz="4" w:space="0" w:color="A6A6A6"/>
            </w:tcBorders>
            <w:hideMark/>
          </w:tcPr>
          <w:p w14:paraId="52B5C684" w14:textId="77777777" w:rsidR="00CE75D4" w:rsidRPr="002029AF" w:rsidRDefault="00CE75D4" w:rsidP="008340C1">
            <w:pPr>
              <w:pStyle w:val="ARfintablebody"/>
            </w:pPr>
            <w:r w:rsidRPr="00AA33BD">
              <w:t>Inflation</w:t>
            </w:r>
          </w:p>
        </w:tc>
        <w:tc>
          <w:tcPr>
            <w:tcW w:w="1133" w:type="dxa"/>
            <w:tcBorders>
              <w:top w:val="single" w:sz="4" w:space="0" w:color="A6A6A6"/>
            </w:tcBorders>
            <w:shd w:val="clear" w:color="auto" w:fill="E7E6E6"/>
            <w:noWrap/>
            <w:hideMark/>
          </w:tcPr>
          <w:p w14:paraId="228DA96B" w14:textId="77777777" w:rsidR="00CE75D4" w:rsidRPr="002029AF" w:rsidRDefault="00CE75D4" w:rsidP="008340C1">
            <w:pPr>
              <w:pStyle w:val="ARfintablebodyright"/>
            </w:pPr>
            <w:r>
              <w:t>–</w:t>
            </w:r>
          </w:p>
        </w:tc>
        <w:tc>
          <w:tcPr>
            <w:tcW w:w="1133" w:type="dxa"/>
            <w:tcBorders>
              <w:top w:val="single" w:sz="4" w:space="0" w:color="A6A6A6"/>
            </w:tcBorders>
            <w:noWrap/>
            <w:hideMark/>
          </w:tcPr>
          <w:p w14:paraId="2FA94431" w14:textId="77777777" w:rsidR="00CE75D4" w:rsidRPr="002029AF" w:rsidRDefault="00CE75D4" w:rsidP="008340C1">
            <w:pPr>
              <w:pStyle w:val="ARfintablebodyright"/>
            </w:pPr>
            <w:r w:rsidRPr="00AA33BD">
              <w:t>1.9%</w:t>
            </w:r>
          </w:p>
        </w:tc>
      </w:tr>
    </w:tbl>
    <w:p w14:paraId="0B8BC7EA" w14:textId="77777777" w:rsidR="00CE75D4" w:rsidRPr="0040433B" w:rsidRDefault="00CE75D4" w:rsidP="008340C1">
      <w:pPr>
        <w:pStyle w:val="ARfinbodyaftertable"/>
      </w:pPr>
      <w:r>
        <w:t>The expected return on assets assumption was determined by weighting the expected long-term return for each asset class by the target allocation of assets to each asset class and allowing for the correlations of the investment returns between asset classes. The returns used for each asset class were net of investment tax (where applicable) and investment fees.</w:t>
      </w:r>
      <w:r w:rsidRPr="0040433B">
        <w:br w:type="page"/>
      </w:r>
    </w:p>
    <w:p w14:paraId="0C8118A1" w14:textId="77777777" w:rsidR="00CE75D4" w:rsidRDefault="00CE75D4" w:rsidP="008340C1">
      <w:pPr>
        <w:pStyle w:val="Heading7"/>
      </w:pPr>
      <w:r>
        <w:t>Reconciliation of opening and closing balances of the present value of the defined benefit obligation</w:t>
      </w:r>
    </w:p>
    <w:p w14:paraId="4F9A89F1" w14:textId="77777777" w:rsidR="00CE75D4" w:rsidRDefault="00CE75D4" w:rsidP="008340C1">
      <w:pPr>
        <w:pStyle w:val="ARfinbody"/>
      </w:pPr>
      <w:r>
        <w:t>Movements in the present value of the defined benefit obligation in the current period were as follows:</w:t>
      </w:r>
    </w:p>
    <w:tbl>
      <w:tblPr>
        <w:tblStyle w:val="TableGrid"/>
        <w:tblW w:w="9637" w:type="dxa"/>
        <w:tblLayout w:type="fixed"/>
        <w:tblLook w:val="06A0" w:firstRow="1" w:lastRow="0" w:firstColumn="1" w:lastColumn="0" w:noHBand="1" w:noVBand="1"/>
      </w:tblPr>
      <w:tblGrid>
        <w:gridCol w:w="7371"/>
        <w:gridCol w:w="1133"/>
        <w:gridCol w:w="1133"/>
      </w:tblGrid>
      <w:tr w:rsidR="00CE75D4" w:rsidRPr="002029AF" w14:paraId="13C61F33"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76AAB7E4" w14:textId="77777777" w:rsidR="00CE75D4" w:rsidRPr="002029AF" w:rsidRDefault="00CE75D4" w:rsidP="008340C1">
            <w:pPr>
              <w:pStyle w:val="ARfintablecolhead"/>
              <w:spacing w:before="30"/>
            </w:pPr>
          </w:p>
        </w:tc>
        <w:tc>
          <w:tcPr>
            <w:tcW w:w="1133" w:type="dxa"/>
            <w:tcBorders>
              <w:bottom w:val="single" w:sz="4" w:space="0" w:color="auto"/>
            </w:tcBorders>
            <w:shd w:val="clear" w:color="auto" w:fill="E7E6E6"/>
            <w:hideMark/>
          </w:tcPr>
          <w:p w14:paraId="0E5DA1C3" w14:textId="77777777" w:rsidR="00CE75D4" w:rsidRPr="002029AF" w:rsidRDefault="00CE75D4" w:rsidP="008340C1">
            <w:pPr>
              <w:pStyle w:val="ARfintablecolheadright"/>
              <w:spacing w:before="30"/>
            </w:pPr>
            <w:r w:rsidRPr="002029AF">
              <w:t>202</w:t>
            </w:r>
            <w:r>
              <w:t>2</w:t>
            </w:r>
          </w:p>
          <w:p w14:paraId="391379F3" w14:textId="77777777" w:rsidR="00CE75D4" w:rsidRPr="002029AF" w:rsidRDefault="00CE75D4" w:rsidP="008340C1">
            <w:pPr>
              <w:pStyle w:val="ARfintablecolheadright"/>
              <w:spacing w:before="30"/>
            </w:pPr>
            <w:r w:rsidRPr="002029AF">
              <w:t>$M</w:t>
            </w:r>
          </w:p>
        </w:tc>
        <w:tc>
          <w:tcPr>
            <w:tcW w:w="1133" w:type="dxa"/>
            <w:tcBorders>
              <w:bottom w:val="single" w:sz="4" w:space="0" w:color="auto"/>
            </w:tcBorders>
            <w:hideMark/>
          </w:tcPr>
          <w:p w14:paraId="3B3A3D63" w14:textId="77777777" w:rsidR="00CE75D4" w:rsidRPr="002029AF" w:rsidRDefault="00CE75D4" w:rsidP="008340C1">
            <w:pPr>
              <w:pStyle w:val="ARfintablecolheadright"/>
              <w:spacing w:before="30"/>
            </w:pPr>
            <w:r>
              <w:t>2021</w:t>
            </w:r>
          </w:p>
          <w:p w14:paraId="4451DE33" w14:textId="77777777" w:rsidR="00CE75D4" w:rsidRPr="002029AF" w:rsidRDefault="00CE75D4" w:rsidP="008340C1">
            <w:pPr>
              <w:pStyle w:val="ARfintablecolheadright"/>
              <w:spacing w:before="30"/>
            </w:pPr>
            <w:r w:rsidRPr="002029AF">
              <w:t>$M</w:t>
            </w:r>
          </w:p>
        </w:tc>
      </w:tr>
      <w:tr w:rsidR="00CE75D4" w:rsidRPr="002029AF" w14:paraId="3F1FC4FB" w14:textId="77777777" w:rsidTr="00860E95">
        <w:tc>
          <w:tcPr>
            <w:tcW w:w="7371" w:type="dxa"/>
            <w:tcBorders>
              <w:top w:val="single" w:sz="4" w:space="0" w:color="auto"/>
              <w:bottom w:val="single" w:sz="4" w:space="0" w:color="A6A6A6"/>
            </w:tcBorders>
            <w:hideMark/>
          </w:tcPr>
          <w:p w14:paraId="32A7A4BF" w14:textId="77777777" w:rsidR="00CE75D4" w:rsidRPr="002029AF" w:rsidRDefault="00CE75D4" w:rsidP="008340C1">
            <w:pPr>
              <w:pStyle w:val="ARfintablebodybold"/>
              <w:spacing w:before="30"/>
            </w:pPr>
            <w:r w:rsidRPr="00666FFC">
              <w:t>Opening balance of defined benefit obligation</w:t>
            </w:r>
          </w:p>
        </w:tc>
        <w:tc>
          <w:tcPr>
            <w:tcW w:w="1133" w:type="dxa"/>
            <w:tcBorders>
              <w:top w:val="single" w:sz="4" w:space="0" w:color="auto"/>
              <w:bottom w:val="single" w:sz="4" w:space="0" w:color="A6A6A6"/>
            </w:tcBorders>
            <w:shd w:val="clear" w:color="auto" w:fill="E7E6E6"/>
            <w:noWrap/>
            <w:hideMark/>
          </w:tcPr>
          <w:p w14:paraId="6467F639" w14:textId="77777777" w:rsidR="00CE75D4" w:rsidRPr="002029AF" w:rsidRDefault="00CE75D4" w:rsidP="008340C1">
            <w:pPr>
              <w:pStyle w:val="ARfintablebodyrightbold"/>
              <w:spacing w:before="30"/>
            </w:pPr>
            <w:r w:rsidRPr="00666FFC">
              <w:t>31.4</w:t>
            </w:r>
          </w:p>
        </w:tc>
        <w:tc>
          <w:tcPr>
            <w:tcW w:w="1133" w:type="dxa"/>
            <w:tcBorders>
              <w:top w:val="single" w:sz="4" w:space="0" w:color="auto"/>
              <w:bottom w:val="single" w:sz="4" w:space="0" w:color="A6A6A6"/>
            </w:tcBorders>
            <w:noWrap/>
            <w:hideMark/>
          </w:tcPr>
          <w:p w14:paraId="035DC373" w14:textId="77777777" w:rsidR="00CE75D4" w:rsidRPr="002029AF" w:rsidRDefault="00CE75D4" w:rsidP="008340C1">
            <w:pPr>
              <w:pStyle w:val="ARfintablebodyrightbold"/>
              <w:spacing w:before="30"/>
            </w:pPr>
            <w:r w:rsidRPr="00666FFC">
              <w:t>32.2</w:t>
            </w:r>
          </w:p>
        </w:tc>
      </w:tr>
      <w:tr w:rsidR="00CE75D4" w:rsidRPr="002029AF" w14:paraId="01FB037F" w14:textId="77777777" w:rsidTr="00860E95">
        <w:tc>
          <w:tcPr>
            <w:tcW w:w="7371" w:type="dxa"/>
            <w:tcBorders>
              <w:top w:val="single" w:sz="4" w:space="0" w:color="A6A6A6"/>
              <w:bottom w:val="single" w:sz="4" w:space="0" w:color="A6A6A6"/>
            </w:tcBorders>
            <w:hideMark/>
          </w:tcPr>
          <w:p w14:paraId="40D49F7C" w14:textId="77777777" w:rsidR="00CE75D4" w:rsidRPr="002029AF" w:rsidRDefault="00CE75D4" w:rsidP="008340C1">
            <w:pPr>
              <w:pStyle w:val="ARfintablebody"/>
              <w:spacing w:before="30"/>
            </w:pPr>
            <w:r w:rsidRPr="00666FFC">
              <w:t xml:space="preserve">Removal of DFFH-related June 2021 closing balance </w:t>
            </w:r>
            <w:r w:rsidRPr="003F1314">
              <w:rPr>
                <w:rStyle w:val="Superscript"/>
              </w:rPr>
              <w:t>(i)</w:t>
            </w:r>
          </w:p>
        </w:tc>
        <w:tc>
          <w:tcPr>
            <w:tcW w:w="1133" w:type="dxa"/>
            <w:tcBorders>
              <w:top w:val="single" w:sz="4" w:space="0" w:color="A6A6A6"/>
              <w:bottom w:val="single" w:sz="4" w:space="0" w:color="A6A6A6"/>
            </w:tcBorders>
            <w:shd w:val="clear" w:color="auto" w:fill="E7E6E6"/>
            <w:noWrap/>
            <w:hideMark/>
          </w:tcPr>
          <w:p w14:paraId="37F72AC5" w14:textId="77777777" w:rsidR="00CE75D4" w:rsidRPr="002029AF" w:rsidRDefault="00CE75D4" w:rsidP="008340C1">
            <w:pPr>
              <w:pStyle w:val="ARfintablebodyright"/>
              <w:spacing w:before="30"/>
            </w:pPr>
            <w:r w:rsidRPr="00666FFC">
              <w:t>(31.4)</w:t>
            </w:r>
          </w:p>
        </w:tc>
        <w:tc>
          <w:tcPr>
            <w:tcW w:w="1133" w:type="dxa"/>
            <w:tcBorders>
              <w:top w:val="single" w:sz="4" w:space="0" w:color="A6A6A6"/>
              <w:bottom w:val="single" w:sz="4" w:space="0" w:color="A6A6A6"/>
            </w:tcBorders>
            <w:noWrap/>
            <w:hideMark/>
          </w:tcPr>
          <w:p w14:paraId="20308F6D" w14:textId="77777777" w:rsidR="00CE75D4" w:rsidRPr="002029AF" w:rsidRDefault="00CE75D4" w:rsidP="008340C1">
            <w:pPr>
              <w:pStyle w:val="ARfintablebodyright"/>
              <w:spacing w:before="30"/>
            </w:pPr>
            <w:r>
              <w:t>–</w:t>
            </w:r>
          </w:p>
        </w:tc>
      </w:tr>
      <w:tr w:rsidR="00CE75D4" w:rsidRPr="002029AF" w14:paraId="212D810A" w14:textId="77777777" w:rsidTr="00860E95">
        <w:tc>
          <w:tcPr>
            <w:tcW w:w="7371" w:type="dxa"/>
            <w:tcBorders>
              <w:top w:val="single" w:sz="4" w:space="0" w:color="A6A6A6"/>
              <w:bottom w:val="single" w:sz="4" w:space="0" w:color="A6A6A6"/>
            </w:tcBorders>
            <w:hideMark/>
          </w:tcPr>
          <w:p w14:paraId="15C1C9C6" w14:textId="77777777" w:rsidR="00CE75D4" w:rsidRPr="002029AF" w:rsidRDefault="00CE75D4" w:rsidP="008340C1">
            <w:pPr>
              <w:pStyle w:val="ARfintablebody"/>
              <w:spacing w:before="30"/>
            </w:pPr>
            <w:r w:rsidRPr="00666FFC">
              <w:t>Interest cost</w:t>
            </w:r>
          </w:p>
        </w:tc>
        <w:tc>
          <w:tcPr>
            <w:tcW w:w="1133" w:type="dxa"/>
            <w:tcBorders>
              <w:top w:val="single" w:sz="4" w:space="0" w:color="A6A6A6"/>
              <w:bottom w:val="single" w:sz="4" w:space="0" w:color="A6A6A6"/>
            </w:tcBorders>
            <w:shd w:val="clear" w:color="auto" w:fill="E7E6E6"/>
            <w:noWrap/>
            <w:hideMark/>
          </w:tcPr>
          <w:p w14:paraId="466671F8" w14:textId="77777777" w:rsidR="00CE75D4" w:rsidRPr="002029AF" w:rsidRDefault="00CE75D4" w:rsidP="008340C1">
            <w:pPr>
              <w:pStyle w:val="ARfintablebodyright"/>
              <w:spacing w:before="30"/>
            </w:pPr>
            <w:r>
              <w:t>–</w:t>
            </w:r>
          </w:p>
        </w:tc>
        <w:tc>
          <w:tcPr>
            <w:tcW w:w="1133" w:type="dxa"/>
            <w:tcBorders>
              <w:top w:val="single" w:sz="4" w:space="0" w:color="A6A6A6"/>
              <w:bottom w:val="single" w:sz="4" w:space="0" w:color="A6A6A6"/>
            </w:tcBorders>
            <w:noWrap/>
            <w:hideMark/>
          </w:tcPr>
          <w:p w14:paraId="632F1B0C" w14:textId="77777777" w:rsidR="00CE75D4" w:rsidRPr="002029AF" w:rsidRDefault="00CE75D4" w:rsidP="008340C1">
            <w:pPr>
              <w:pStyle w:val="ARfintablebodyright"/>
              <w:spacing w:before="30"/>
            </w:pPr>
            <w:r w:rsidRPr="00666FFC">
              <w:t>0.3</w:t>
            </w:r>
          </w:p>
        </w:tc>
      </w:tr>
      <w:tr w:rsidR="00CE75D4" w:rsidRPr="002029AF" w14:paraId="1FBD6EA3" w14:textId="77777777" w:rsidTr="00860E95">
        <w:tc>
          <w:tcPr>
            <w:tcW w:w="7371" w:type="dxa"/>
            <w:tcBorders>
              <w:top w:val="single" w:sz="4" w:space="0" w:color="A6A6A6"/>
              <w:bottom w:val="single" w:sz="4" w:space="0" w:color="A6A6A6"/>
            </w:tcBorders>
          </w:tcPr>
          <w:p w14:paraId="69BC22C3" w14:textId="77777777" w:rsidR="00CE75D4" w:rsidRPr="006764B1" w:rsidRDefault="00CE75D4" w:rsidP="008340C1">
            <w:pPr>
              <w:pStyle w:val="ARfintablebody"/>
              <w:spacing w:before="30"/>
            </w:pPr>
            <w:r w:rsidRPr="00666FFC">
              <w:t>Actuarial losses/(gains)</w:t>
            </w:r>
          </w:p>
        </w:tc>
        <w:tc>
          <w:tcPr>
            <w:tcW w:w="1133" w:type="dxa"/>
            <w:tcBorders>
              <w:top w:val="single" w:sz="4" w:space="0" w:color="A6A6A6"/>
              <w:bottom w:val="single" w:sz="4" w:space="0" w:color="A6A6A6"/>
            </w:tcBorders>
            <w:shd w:val="clear" w:color="auto" w:fill="E7E6E6"/>
            <w:noWrap/>
          </w:tcPr>
          <w:p w14:paraId="718E93A4" w14:textId="77777777" w:rsidR="00CE75D4" w:rsidRPr="006764B1" w:rsidRDefault="00CE75D4" w:rsidP="008340C1">
            <w:pPr>
              <w:pStyle w:val="ARfintablebodyright"/>
              <w:spacing w:before="30"/>
            </w:pPr>
            <w:r>
              <w:t>–</w:t>
            </w:r>
          </w:p>
        </w:tc>
        <w:tc>
          <w:tcPr>
            <w:tcW w:w="1133" w:type="dxa"/>
            <w:tcBorders>
              <w:top w:val="single" w:sz="4" w:space="0" w:color="A6A6A6"/>
              <w:bottom w:val="single" w:sz="4" w:space="0" w:color="A6A6A6"/>
            </w:tcBorders>
            <w:noWrap/>
          </w:tcPr>
          <w:p w14:paraId="05C2DDA3" w14:textId="77777777" w:rsidR="00CE75D4" w:rsidRPr="006764B1" w:rsidRDefault="00CE75D4" w:rsidP="008340C1">
            <w:pPr>
              <w:pStyle w:val="ARfintablebodyright"/>
              <w:spacing w:before="30"/>
            </w:pPr>
            <w:r w:rsidRPr="00666FFC">
              <w:t>1.5</w:t>
            </w:r>
          </w:p>
        </w:tc>
      </w:tr>
      <w:tr w:rsidR="00CE75D4" w:rsidRPr="002029AF" w14:paraId="1B95558F" w14:textId="77777777" w:rsidTr="00860E95">
        <w:tc>
          <w:tcPr>
            <w:tcW w:w="7371" w:type="dxa"/>
            <w:tcBorders>
              <w:top w:val="single" w:sz="4" w:space="0" w:color="A6A6A6"/>
            </w:tcBorders>
            <w:hideMark/>
          </w:tcPr>
          <w:p w14:paraId="414A3470" w14:textId="77777777" w:rsidR="00CE75D4" w:rsidRPr="002029AF" w:rsidRDefault="00CE75D4" w:rsidP="008340C1">
            <w:pPr>
              <w:pStyle w:val="ARfintablebody"/>
              <w:spacing w:before="30"/>
            </w:pPr>
            <w:r w:rsidRPr="00666FFC">
              <w:t>Benefits paid</w:t>
            </w:r>
          </w:p>
        </w:tc>
        <w:tc>
          <w:tcPr>
            <w:tcW w:w="1133" w:type="dxa"/>
            <w:tcBorders>
              <w:top w:val="single" w:sz="4" w:space="0" w:color="A6A6A6"/>
            </w:tcBorders>
            <w:shd w:val="clear" w:color="auto" w:fill="E7E6E6"/>
            <w:noWrap/>
            <w:hideMark/>
          </w:tcPr>
          <w:p w14:paraId="56CA82A1" w14:textId="77777777" w:rsidR="00CE75D4" w:rsidRPr="002029AF" w:rsidRDefault="00CE75D4" w:rsidP="008340C1">
            <w:pPr>
              <w:pStyle w:val="ARfintablebodyright"/>
              <w:spacing w:before="30"/>
            </w:pPr>
            <w:r>
              <w:t>–</w:t>
            </w:r>
          </w:p>
        </w:tc>
        <w:tc>
          <w:tcPr>
            <w:tcW w:w="1133" w:type="dxa"/>
            <w:tcBorders>
              <w:top w:val="single" w:sz="4" w:space="0" w:color="A6A6A6"/>
            </w:tcBorders>
            <w:noWrap/>
            <w:hideMark/>
          </w:tcPr>
          <w:p w14:paraId="32024171" w14:textId="77777777" w:rsidR="00CE75D4" w:rsidRPr="002029AF" w:rsidRDefault="00CE75D4" w:rsidP="008340C1">
            <w:pPr>
              <w:pStyle w:val="ARfintablebodyright"/>
              <w:spacing w:before="30"/>
            </w:pPr>
            <w:r w:rsidRPr="00666FFC">
              <w:t>(2.6)</w:t>
            </w:r>
          </w:p>
        </w:tc>
      </w:tr>
      <w:tr w:rsidR="00CE75D4" w:rsidRPr="002029AF" w14:paraId="2AD3D366" w14:textId="77777777" w:rsidTr="00860E95">
        <w:tc>
          <w:tcPr>
            <w:tcW w:w="7371" w:type="dxa"/>
            <w:hideMark/>
          </w:tcPr>
          <w:p w14:paraId="4B0009B1" w14:textId="77777777" w:rsidR="00CE75D4" w:rsidRPr="002029AF" w:rsidRDefault="00CE75D4" w:rsidP="008340C1">
            <w:pPr>
              <w:pStyle w:val="ARfintablebodybold"/>
              <w:spacing w:before="30"/>
            </w:pPr>
            <w:r w:rsidRPr="00666FFC">
              <w:t>Closing balance of defined benefit obligation</w:t>
            </w:r>
          </w:p>
        </w:tc>
        <w:tc>
          <w:tcPr>
            <w:tcW w:w="1133" w:type="dxa"/>
            <w:shd w:val="clear" w:color="auto" w:fill="E7E6E6"/>
            <w:noWrap/>
            <w:hideMark/>
          </w:tcPr>
          <w:p w14:paraId="5B80B4B9" w14:textId="77777777" w:rsidR="00CE75D4" w:rsidRPr="002029AF" w:rsidRDefault="00CE75D4" w:rsidP="008340C1">
            <w:pPr>
              <w:pStyle w:val="ARfintablebodyrightbold"/>
              <w:spacing w:before="30"/>
            </w:pPr>
            <w:r>
              <w:t>–</w:t>
            </w:r>
          </w:p>
        </w:tc>
        <w:tc>
          <w:tcPr>
            <w:tcW w:w="1133" w:type="dxa"/>
            <w:noWrap/>
            <w:hideMark/>
          </w:tcPr>
          <w:p w14:paraId="73A20CD9" w14:textId="77777777" w:rsidR="00CE75D4" w:rsidRPr="002029AF" w:rsidRDefault="00CE75D4" w:rsidP="008340C1">
            <w:pPr>
              <w:pStyle w:val="ARfintablebodyrightbold"/>
              <w:spacing w:before="30"/>
            </w:pPr>
            <w:r w:rsidRPr="00666FFC">
              <w:t>31.4</w:t>
            </w:r>
          </w:p>
        </w:tc>
      </w:tr>
    </w:tbl>
    <w:p w14:paraId="1B61BF8E" w14:textId="77777777" w:rsidR="00CE75D4" w:rsidRDefault="00CE75D4" w:rsidP="008340C1">
      <w:pPr>
        <w:pStyle w:val="ARfintablefootnote"/>
      </w:pPr>
      <w:bookmarkStart w:id="550" w:name="_Toc85121386"/>
      <w:r>
        <w:rPr>
          <w:lang w:eastAsia="en-AU"/>
        </w:rPr>
        <w:t>Note:</w:t>
      </w:r>
    </w:p>
    <w:p w14:paraId="0FFE79B7" w14:textId="77777777" w:rsidR="00CE75D4" w:rsidRDefault="00CE75D4" w:rsidP="008340C1">
      <w:pPr>
        <w:pStyle w:val="ARfintablefootnoteindent"/>
      </w:pPr>
      <w:r>
        <w:t>(i)</w:t>
      </w:r>
      <w:r>
        <w:tab/>
        <w:t>Removes the 30 June 2021 closing balances of the DFFH, the Victorian Disability Worker Commission and the Director of Housing, which were included in the department’s 2020–21 financial statements under s. 53(1)(b) of the FMA. The transactions which relate to these entities are reported in the DFFH’s 2021–22 financial statements.</w:t>
      </w:r>
    </w:p>
    <w:bookmarkEnd w:id="550"/>
    <w:p w14:paraId="30900DC4" w14:textId="77777777" w:rsidR="00CE75D4" w:rsidRDefault="00CE75D4" w:rsidP="008340C1">
      <w:pPr>
        <w:pStyle w:val="Heading7"/>
      </w:pPr>
      <w:r>
        <w:t>Reconciliation of opening and closing balances of the fair value of plan assets</w:t>
      </w:r>
    </w:p>
    <w:p w14:paraId="216CD918" w14:textId="77777777" w:rsidR="00CE75D4" w:rsidRDefault="00CE75D4" w:rsidP="008340C1">
      <w:pPr>
        <w:pStyle w:val="ARfinbody"/>
      </w:pPr>
      <w:r>
        <w:t>Movements in the present value of the plan assets in the current period were as follows:</w:t>
      </w:r>
    </w:p>
    <w:tbl>
      <w:tblPr>
        <w:tblStyle w:val="TableGrid"/>
        <w:tblW w:w="9637" w:type="dxa"/>
        <w:tblLayout w:type="fixed"/>
        <w:tblLook w:val="06A0" w:firstRow="1" w:lastRow="0" w:firstColumn="1" w:lastColumn="0" w:noHBand="1" w:noVBand="1"/>
      </w:tblPr>
      <w:tblGrid>
        <w:gridCol w:w="7371"/>
        <w:gridCol w:w="1133"/>
        <w:gridCol w:w="1133"/>
      </w:tblGrid>
      <w:tr w:rsidR="00CE75D4" w:rsidRPr="002029AF" w14:paraId="5DD8A7F6"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67D12CBB" w14:textId="77777777" w:rsidR="00CE75D4" w:rsidRPr="002029AF" w:rsidRDefault="00CE75D4" w:rsidP="008340C1">
            <w:pPr>
              <w:pStyle w:val="ARfintablecolhead"/>
            </w:pPr>
          </w:p>
        </w:tc>
        <w:tc>
          <w:tcPr>
            <w:tcW w:w="1133" w:type="dxa"/>
            <w:tcBorders>
              <w:bottom w:val="single" w:sz="4" w:space="0" w:color="auto"/>
            </w:tcBorders>
            <w:shd w:val="clear" w:color="auto" w:fill="E7E6E6"/>
            <w:hideMark/>
          </w:tcPr>
          <w:p w14:paraId="5EADF8EB" w14:textId="77777777" w:rsidR="00CE75D4" w:rsidRPr="002029AF" w:rsidRDefault="00CE75D4" w:rsidP="008340C1">
            <w:pPr>
              <w:pStyle w:val="ARfintablecolheadright"/>
            </w:pPr>
            <w:r w:rsidRPr="002029AF">
              <w:t>202</w:t>
            </w:r>
            <w:r>
              <w:t>2</w:t>
            </w:r>
          </w:p>
          <w:p w14:paraId="53333A4B" w14:textId="77777777" w:rsidR="00CE75D4" w:rsidRPr="002029AF" w:rsidRDefault="00CE75D4" w:rsidP="008340C1">
            <w:pPr>
              <w:pStyle w:val="ARfintablecolheadright"/>
            </w:pPr>
            <w:r w:rsidRPr="002029AF">
              <w:t>$M</w:t>
            </w:r>
          </w:p>
        </w:tc>
        <w:tc>
          <w:tcPr>
            <w:tcW w:w="1133" w:type="dxa"/>
            <w:tcBorders>
              <w:bottom w:val="single" w:sz="4" w:space="0" w:color="auto"/>
            </w:tcBorders>
            <w:hideMark/>
          </w:tcPr>
          <w:p w14:paraId="6F5030CD" w14:textId="77777777" w:rsidR="00CE75D4" w:rsidRPr="002029AF" w:rsidRDefault="00CE75D4" w:rsidP="008340C1">
            <w:pPr>
              <w:pStyle w:val="ARfintablecolheadright"/>
            </w:pPr>
            <w:r>
              <w:t>2021</w:t>
            </w:r>
          </w:p>
          <w:p w14:paraId="726D1557" w14:textId="77777777" w:rsidR="00CE75D4" w:rsidRPr="002029AF" w:rsidRDefault="00CE75D4" w:rsidP="008340C1">
            <w:pPr>
              <w:pStyle w:val="ARfintablecolheadright"/>
            </w:pPr>
            <w:r w:rsidRPr="002029AF">
              <w:t>$M</w:t>
            </w:r>
          </w:p>
        </w:tc>
      </w:tr>
      <w:tr w:rsidR="00CE75D4" w:rsidRPr="002029AF" w14:paraId="1BBD62E1" w14:textId="77777777" w:rsidTr="008340C1">
        <w:tc>
          <w:tcPr>
            <w:tcW w:w="7371" w:type="dxa"/>
            <w:tcBorders>
              <w:top w:val="single" w:sz="4" w:space="0" w:color="auto"/>
              <w:bottom w:val="single" w:sz="4" w:space="0" w:color="A6A6A6"/>
            </w:tcBorders>
            <w:hideMark/>
          </w:tcPr>
          <w:p w14:paraId="5BB05DDC" w14:textId="77777777" w:rsidR="00CE75D4" w:rsidRPr="002029AF" w:rsidRDefault="00CE75D4" w:rsidP="008340C1">
            <w:pPr>
              <w:pStyle w:val="ARfintablebody"/>
            </w:pPr>
            <w:r w:rsidRPr="00256D76">
              <w:t>Contributions from the employer</w:t>
            </w:r>
          </w:p>
        </w:tc>
        <w:tc>
          <w:tcPr>
            <w:tcW w:w="1133" w:type="dxa"/>
            <w:tcBorders>
              <w:top w:val="single" w:sz="4" w:space="0" w:color="auto"/>
              <w:bottom w:val="single" w:sz="4" w:space="0" w:color="A6A6A6"/>
            </w:tcBorders>
            <w:shd w:val="clear" w:color="auto" w:fill="E7E6E6"/>
            <w:noWrap/>
            <w:hideMark/>
          </w:tcPr>
          <w:p w14:paraId="180DA46E" w14:textId="77777777" w:rsidR="00CE75D4" w:rsidRPr="002029AF" w:rsidRDefault="00CE75D4" w:rsidP="008340C1">
            <w:pPr>
              <w:pStyle w:val="ARfintablebodyright"/>
            </w:pPr>
            <w:r>
              <w:t>–</w:t>
            </w:r>
          </w:p>
        </w:tc>
        <w:tc>
          <w:tcPr>
            <w:tcW w:w="1133" w:type="dxa"/>
            <w:tcBorders>
              <w:top w:val="single" w:sz="4" w:space="0" w:color="auto"/>
              <w:bottom w:val="single" w:sz="4" w:space="0" w:color="A6A6A6"/>
            </w:tcBorders>
            <w:noWrap/>
            <w:hideMark/>
          </w:tcPr>
          <w:p w14:paraId="5E69CBD4" w14:textId="77777777" w:rsidR="00CE75D4" w:rsidRPr="002029AF" w:rsidRDefault="00CE75D4" w:rsidP="008340C1">
            <w:pPr>
              <w:pStyle w:val="ARfintablebodyright"/>
            </w:pPr>
            <w:r w:rsidRPr="00256D76">
              <w:t>2.6</w:t>
            </w:r>
          </w:p>
        </w:tc>
      </w:tr>
      <w:tr w:rsidR="00CE75D4" w:rsidRPr="002029AF" w14:paraId="63A96936" w14:textId="77777777" w:rsidTr="008340C1">
        <w:tc>
          <w:tcPr>
            <w:tcW w:w="7371" w:type="dxa"/>
            <w:tcBorders>
              <w:top w:val="single" w:sz="4" w:space="0" w:color="A6A6A6"/>
            </w:tcBorders>
            <w:hideMark/>
          </w:tcPr>
          <w:p w14:paraId="4B870391" w14:textId="77777777" w:rsidR="00CE75D4" w:rsidRPr="002029AF" w:rsidRDefault="00CE75D4" w:rsidP="008340C1">
            <w:pPr>
              <w:pStyle w:val="ARfintablebody"/>
            </w:pPr>
            <w:r w:rsidRPr="00256D76">
              <w:t>Benefits paid</w:t>
            </w:r>
          </w:p>
        </w:tc>
        <w:tc>
          <w:tcPr>
            <w:tcW w:w="1133" w:type="dxa"/>
            <w:tcBorders>
              <w:top w:val="single" w:sz="4" w:space="0" w:color="A6A6A6"/>
            </w:tcBorders>
            <w:shd w:val="clear" w:color="auto" w:fill="E7E6E6"/>
            <w:noWrap/>
            <w:hideMark/>
          </w:tcPr>
          <w:p w14:paraId="15A0A380" w14:textId="77777777" w:rsidR="00CE75D4" w:rsidRPr="002029AF" w:rsidRDefault="00CE75D4" w:rsidP="008340C1">
            <w:pPr>
              <w:pStyle w:val="ARfintablebodyright"/>
            </w:pPr>
            <w:r>
              <w:t>–</w:t>
            </w:r>
          </w:p>
        </w:tc>
        <w:tc>
          <w:tcPr>
            <w:tcW w:w="1133" w:type="dxa"/>
            <w:tcBorders>
              <w:top w:val="single" w:sz="4" w:space="0" w:color="A6A6A6"/>
            </w:tcBorders>
            <w:noWrap/>
            <w:hideMark/>
          </w:tcPr>
          <w:p w14:paraId="4EAD2676" w14:textId="77777777" w:rsidR="00CE75D4" w:rsidRPr="002029AF" w:rsidRDefault="00CE75D4" w:rsidP="008340C1">
            <w:pPr>
              <w:pStyle w:val="ARfintablebodyright"/>
            </w:pPr>
            <w:r w:rsidRPr="00256D76">
              <w:t>(2.6)</w:t>
            </w:r>
          </w:p>
        </w:tc>
      </w:tr>
      <w:tr w:rsidR="00CE75D4" w:rsidRPr="002029AF" w14:paraId="2DC6B79C" w14:textId="77777777" w:rsidTr="008340C1">
        <w:tc>
          <w:tcPr>
            <w:tcW w:w="7371" w:type="dxa"/>
            <w:hideMark/>
          </w:tcPr>
          <w:p w14:paraId="75362F7B" w14:textId="77777777" w:rsidR="00CE75D4" w:rsidRPr="002029AF" w:rsidRDefault="00CE75D4" w:rsidP="008340C1">
            <w:pPr>
              <w:pStyle w:val="ARfintablebodybold"/>
            </w:pPr>
            <w:r w:rsidRPr="00256D76">
              <w:t>Closing balance of plan assets</w:t>
            </w:r>
          </w:p>
        </w:tc>
        <w:tc>
          <w:tcPr>
            <w:tcW w:w="1133" w:type="dxa"/>
            <w:shd w:val="clear" w:color="auto" w:fill="E7E6E6"/>
            <w:noWrap/>
            <w:hideMark/>
          </w:tcPr>
          <w:p w14:paraId="3AC86CFB" w14:textId="77777777" w:rsidR="00CE75D4" w:rsidRPr="002029AF" w:rsidRDefault="00CE75D4" w:rsidP="008340C1">
            <w:pPr>
              <w:pStyle w:val="ARfintablebodyrightbold"/>
            </w:pPr>
            <w:r>
              <w:t>–</w:t>
            </w:r>
          </w:p>
        </w:tc>
        <w:tc>
          <w:tcPr>
            <w:tcW w:w="1133" w:type="dxa"/>
            <w:noWrap/>
            <w:hideMark/>
          </w:tcPr>
          <w:p w14:paraId="3609B738" w14:textId="77777777" w:rsidR="00CE75D4" w:rsidRPr="002029AF" w:rsidRDefault="00CE75D4" w:rsidP="008340C1">
            <w:pPr>
              <w:pStyle w:val="ARfintablebodyrightbold"/>
            </w:pPr>
            <w:r>
              <w:t>–</w:t>
            </w:r>
          </w:p>
        </w:tc>
      </w:tr>
    </w:tbl>
    <w:p w14:paraId="3B7EB476" w14:textId="77777777" w:rsidR="00CE75D4" w:rsidRPr="002029AF" w:rsidRDefault="00CE75D4" w:rsidP="00087B91">
      <w:pPr>
        <w:pStyle w:val="Heading7"/>
      </w:pPr>
      <w:bookmarkStart w:id="551" w:name="_Toc85121387"/>
      <w:r>
        <w:t>Superannuation</w:t>
      </w:r>
      <w:r w:rsidRPr="009D1213">
        <w:t xml:space="preserve"> expense recognised in the comprehensive operating statement</w:t>
      </w:r>
      <w:bookmarkEnd w:id="551"/>
    </w:p>
    <w:tbl>
      <w:tblPr>
        <w:tblStyle w:val="TableGrid"/>
        <w:tblW w:w="9637" w:type="dxa"/>
        <w:tblLayout w:type="fixed"/>
        <w:tblLook w:val="06A0" w:firstRow="1" w:lastRow="0" w:firstColumn="1" w:lastColumn="0" w:noHBand="1" w:noVBand="1"/>
      </w:tblPr>
      <w:tblGrid>
        <w:gridCol w:w="7371"/>
        <w:gridCol w:w="1133"/>
        <w:gridCol w:w="1133"/>
      </w:tblGrid>
      <w:tr w:rsidR="00CE75D4" w:rsidRPr="002029AF" w14:paraId="6499AFE0"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06DDF613" w14:textId="77777777" w:rsidR="00CE75D4" w:rsidRPr="002029AF" w:rsidRDefault="00CE75D4" w:rsidP="008340C1">
            <w:pPr>
              <w:pStyle w:val="ARfintablecolhead"/>
              <w:spacing w:after="20"/>
            </w:pPr>
          </w:p>
        </w:tc>
        <w:tc>
          <w:tcPr>
            <w:tcW w:w="1133" w:type="dxa"/>
            <w:tcBorders>
              <w:bottom w:val="single" w:sz="4" w:space="0" w:color="auto"/>
            </w:tcBorders>
            <w:shd w:val="clear" w:color="auto" w:fill="E7E6E6"/>
            <w:hideMark/>
          </w:tcPr>
          <w:p w14:paraId="0C35FD43" w14:textId="77777777" w:rsidR="00CE75D4" w:rsidRPr="002029AF" w:rsidRDefault="00CE75D4" w:rsidP="008340C1">
            <w:pPr>
              <w:pStyle w:val="ARfintablecolheadright"/>
              <w:spacing w:after="20"/>
            </w:pPr>
            <w:r w:rsidRPr="002029AF">
              <w:t>202</w:t>
            </w:r>
            <w:r>
              <w:t>2</w:t>
            </w:r>
          </w:p>
          <w:p w14:paraId="0E41BC53" w14:textId="77777777" w:rsidR="00CE75D4" w:rsidRPr="002029AF" w:rsidRDefault="00CE75D4" w:rsidP="008340C1">
            <w:pPr>
              <w:pStyle w:val="ARfintablecolheadright"/>
              <w:spacing w:after="20"/>
            </w:pPr>
            <w:r w:rsidRPr="002029AF">
              <w:t>$M</w:t>
            </w:r>
          </w:p>
        </w:tc>
        <w:tc>
          <w:tcPr>
            <w:tcW w:w="1133" w:type="dxa"/>
            <w:tcBorders>
              <w:bottom w:val="single" w:sz="4" w:space="0" w:color="auto"/>
            </w:tcBorders>
            <w:hideMark/>
          </w:tcPr>
          <w:p w14:paraId="0AE26C7C" w14:textId="77777777" w:rsidR="00CE75D4" w:rsidRPr="002029AF" w:rsidRDefault="00CE75D4" w:rsidP="008340C1">
            <w:pPr>
              <w:pStyle w:val="ARfintablecolheadright"/>
              <w:spacing w:after="20"/>
            </w:pPr>
            <w:r>
              <w:t>2021</w:t>
            </w:r>
          </w:p>
          <w:p w14:paraId="2B688A98" w14:textId="77777777" w:rsidR="00CE75D4" w:rsidRPr="002029AF" w:rsidRDefault="00CE75D4" w:rsidP="008340C1">
            <w:pPr>
              <w:pStyle w:val="ARfintablecolheadright"/>
              <w:spacing w:after="20"/>
            </w:pPr>
            <w:r w:rsidRPr="002029AF">
              <w:t>$M</w:t>
            </w:r>
          </w:p>
        </w:tc>
      </w:tr>
      <w:tr w:rsidR="00CE75D4" w:rsidRPr="002029AF" w14:paraId="4FE3185A" w14:textId="77777777" w:rsidTr="00860E95">
        <w:trPr>
          <w:trHeight w:val="255"/>
        </w:trPr>
        <w:tc>
          <w:tcPr>
            <w:tcW w:w="7371" w:type="dxa"/>
            <w:tcBorders>
              <w:top w:val="single" w:sz="4" w:space="0" w:color="auto"/>
              <w:bottom w:val="single" w:sz="4" w:space="0" w:color="A6A6A6"/>
            </w:tcBorders>
            <w:hideMark/>
          </w:tcPr>
          <w:p w14:paraId="76FD093A" w14:textId="77777777" w:rsidR="00CE75D4" w:rsidRPr="002029AF" w:rsidRDefault="00CE75D4" w:rsidP="008340C1">
            <w:pPr>
              <w:pStyle w:val="ARfintablebody"/>
            </w:pPr>
            <w:r w:rsidRPr="00BB3A05">
              <w:t>Interest cost</w:t>
            </w:r>
          </w:p>
        </w:tc>
        <w:tc>
          <w:tcPr>
            <w:tcW w:w="1133" w:type="dxa"/>
            <w:tcBorders>
              <w:top w:val="single" w:sz="4" w:space="0" w:color="auto"/>
              <w:bottom w:val="single" w:sz="4" w:space="0" w:color="A6A6A6"/>
            </w:tcBorders>
            <w:shd w:val="clear" w:color="auto" w:fill="E7E6E6"/>
            <w:noWrap/>
            <w:hideMark/>
          </w:tcPr>
          <w:p w14:paraId="6457E2A4" w14:textId="77777777" w:rsidR="00CE75D4" w:rsidRPr="002029AF" w:rsidRDefault="00CE75D4" w:rsidP="008340C1">
            <w:pPr>
              <w:pStyle w:val="ARfintablebodyright"/>
            </w:pPr>
            <w:r>
              <w:t>–</w:t>
            </w:r>
          </w:p>
        </w:tc>
        <w:tc>
          <w:tcPr>
            <w:tcW w:w="1133" w:type="dxa"/>
            <w:tcBorders>
              <w:top w:val="single" w:sz="4" w:space="0" w:color="auto"/>
              <w:bottom w:val="single" w:sz="4" w:space="0" w:color="A6A6A6"/>
            </w:tcBorders>
            <w:noWrap/>
            <w:hideMark/>
          </w:tcPr>
          <w:p w14:paraId="1A9E8F10" w14:textId="77777777" w:rsidR="00CE75D4" w:rsidRPr="002029AF" w:rsidRDefault="00CE75D4" w:rsidP="008340C1">
            <w:pPr>
              <w:pStyle w:val="ARfintablebodyright"/>
            </w:pPr>
            <w:r w:rsidRPr="00BB3A05">
              <w:t>0.3</w:t>
            </w:r>
          </w:p>
        </w:tc>
      </w:tr>
      <w:tr w:rsidR="00CE75D4" w:rsidRPr="002029AF" w14:paraId="7C0A8F84" w14:textId="77777777" w:rsidTr="00860E95">
        <w:trPr>
          <w:trHeight w:val="255"/>
        </w:trPr>
        <w:tc>
          <w:tcPr>
            <w:tcW w:w="7371" w:type="dxa"/>
            <w:tcBorders>
              <w:top w:val="single" w:sz="4" w:space="0" w:color="A6A6A6"/>
            </w:tcBorders>
            <w:hideMark/>
          </w:tcPr>
          <w:p w14:paraId="562A0FBB" w14:textId="77777777" w:rsidR="00CE75D4" w:rsidRPr="002029AF" w:rsidRDefault="00CE75D4" w:rsidP="008340C1">
            <w:pPr>
              <w:pStyle w:val="ARfintablebody"/>
            </w:pPr>
            <w:r w:rsidRPr="00BB3A05">
              <w:t>Actuarial losses/(gains)</w:t>
            </w:r>
          </w:p>
        </w:tc>
        <w:tc>
          <w:tcPr>
            <w:tcW w:w="1133" w:type="dxa"/>
            <w:tcBorders>
              <w:top w:val="single" w:sz="4" w:space="0" w:color="A6A6A6"/>
            </w:tcBorders>
            <w:shd w:val="clear" w:color="auto" w:fill="E7E6E6"/>
            <w:noWrap/>
            <w:hideMark/>
          </w:tcPr>
          <w:p w14:paraId="26AA6D60" w14:textId="77777777" w:rsidR="00CE75D4" w:rsidRPr="002029AF" w:rsidRDefault="00CE75D4" w:rsidP="008340C1">
            <w:pPr>
              <w:pStyle w:val="ARfintablebodyright"/>
            </w:pPr>
            <w:r>
              <w:t>–</w:t>
            </w:r>
          </w:p>
        </w:tc>
        <w:tc>
          <w:tcPr>
            <w:tcW w:w="1133" w:type="dxa"/>
            <w:tcBorders>
              <w:top w:val="single" w:sz="4" w:space="0" w:color="A6A6A6"/>
            </w:tcBorders>
            <w:noWrap/>
            <w:hideMark/>
          </w:tcPr>
          <w:p w14:paraId="7332B9B0" w14:textId="77777777" w:rsidR="00CE75D4" w:rsidRPr="002029AF" w:rsidRDefault="00CE75D4" w:rsidP="008340C1">
            <w:pPr>
              <w:pStyle w:val="ARfintablebodyright"/>
            </w:pPr>
            <w:r w:rsidRPr="00BB3A05">
              <w:t>1.5</w:t>
            </w:r>
          </w:p>
        </w:tc>
      </w:tr>
      <w:tr w:rsidR="00CE75D4" w:rsidRPr="002029AF" w14:paraId="3AA0DE4E" w14:textId="77777777" w:rsidTr="00860E95">
        <w:trPr>
          <w:trHeight w:val="255"/>
        </w:trPr>
        <w:tc>
          <w:tcPr>
            <w:tcW w:w="7371" w:type="dxa"/>
            <w:hideMark/>
          </w:tcPr>
          <w:p w14:paraId="3C30C173" w14:textId="77777777" w:rsidR="00CE75D4" w:rsidRPr="002029AF" w:rsidRDefault="00CE75D4" w:rsidP="008340C1">
            <w:pPr>
              <w:pStyle w:val="ARfintablebodybold"/>
            </w:pPr>
            <w:r w:rsidRPr="00BB3A05">
              <w:t>Total expense recognised in respect of defined benefit plans</w:t>
            </w:r>
          </w:p>
        </w:tc>
        <w:tc>
          <w:tcPr>
            <w:tcW w:w="1133" w:type="dxa"/>
            <w:shd w:val="clear" w:color="auto" w:fill="E7E6E6"/>
            <w:noWrap/>
            <w:hideMark/>
          </w:tcPr>
          <w:p w14:paraId="357A346A" w14:textId="77777777" w:rsidR="00CE75D4" w:rsidRPr="002029AF" w:rsidRDefault="00CE75D4" w:rsidP="008340C1">
            <w:pPr>
              <w:pStyle w:val="ARfintablebodyrightbold"/>
            </w:pPr>
            <w:r>
              <w:t>–</w:t>
            </w:r>
          </w:p>
        </w:tc>
        <w:tc>
          <w:tcPr>
            <w:tcW w:w="1133" w:type="dxa"/>
            <w:noWrap/>
            <w:hideMark/>
          </w:tcPr>
          <w:p w14:paraId="2C39A5F8" w14:textId="77777777" w:rsidR="00CE75D4" w:rsidRPr="002029AF" w:rsidRDefault="00CE75D4" w:rsidP="008340C1">
            <w:pPr>
              <w:pStyle w:val="ARfintablebodyrightbold"/>
            </w:pPr>
            <w:r w:rsidRPr="00BB3A05">
              <w:t>1.8</w:t>
            </w:r>
          </w:p>
        </w:tc>
      </w:tr>
    </w:tbl>
    <w:p w14:paraId="487D2D8D" w14:textId="77777777" w:rsidR="00CE75D4" w:rsidRDefault="00CE75D4" w:rsidP="008340C1">
      <w:pPr>
        <w:pStyle w:val="ARfinbodyaftertable"/>
      </w:pPr>
      <w:r>
        <w:t>Net actuarial gains or losses reflected the change in superannuation liability that arose due to differences between the assumptions used to calculate the superannuation expense from transactions and actual outcomes. The effect of any change in actuarial assumptions during the period was also included. Net actuarial gains or losses were recognised in the period in which they occurred.</w:t>
      </w:r>
    </w:p>
    <w:p w14:paraId="0549648D" w14:textId="77777777" w:rsidR="00CE75D4" w:rsidRDefault="00CE75D4" w:rsidP="008340C1">
      <w:pPr>
        <w:pStyle w:val="Heading6"/>
        <w:spacing w:before="160" w:after="60"/>
      </w:pPr>
      <w:r>
        <w:rPr>
          <w:lang w:eastAsia="en-AU"/>
        </w:rPr>
        <w:t>3.1.1(c) Superannuation contributions</w:t>
      </w:r>
    </w:p>
    <w:p w14:paraId="6BA31F08" w14:textId="77777777" w:rsidR="00CE75D4" w:rsidRDefault="00CE75D4" w:rsidP="008340C1">
      <w:pPr>
        <w:pStyle w:val="ARfinbody"/>
      </w:pPr>
      <w:r>
        <w:t>Employees of the department are entitled to receive superannuation benefits and the department contributes to both defined benefit and defined contribution plans. The defined benefit plan(s) provide benefits based on years of service and final average salary.</w:t>
      </w:r>
    </w:p>
    <w:p w14:paraId="6BEA5D61" w14:textId="77777777" w:rsidR="00CE75D4" w:rsidRDefault="00CE75D4" w:rsidP="008340C1">
      <w:pPr>
        <w:pStyle w:val="ARfinbody"/>
      </w:pPr>
      <w:r>
        <w:t>As noted in Note 3.1.1(a),</w:t>
      </w:r>
      <w:r>
        <w:rPr>
          <w:color w:val="FF0000"/>
        </w:rPr>
        <w:t xml:space="preserve"> </w:t>
      </w:r>
      <w:r>
        <w:t>the defined benefit liability is recognised in the Department of Treasury and Finance as an administered liability. However, superannuation contributions paid or payable for the reporting period are included as part of employee benefits in the comprehensive operating statement of the department.</w:t>
      </w:r>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CE75D4" w:rsidRPr="002029AF" w14:paraId="680119E1"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noWrap/>
            <w:hideMark/>
          </w:tcPr>
          <w:p w14:paraId="190D4C99" w14:textId="77777777" w:rsidR="00CE75D4" w:rsidRPr="002029AF" w:rsidRDefault="00CE75D4" w:rsidP="008340C1">
            <w:pPr>
              <w:pStyle w:val="ARfintablecolhead"/>
              <w:spacing w:after="20"/>
            </w:pPr>
          </w:p>
        </w:tc>
        <w:tc>
          <w:tcPr>
            <w:tcW w:w="2268" w:type="dxa"/>
            <w:gridSpan w:val="2"/>
            <w:hideMark/>
          </w:tcPr>
          <w:p w14:paraId="2E4054E3" w14:textId="77777777" w:rsidR="00CE75D4" w:rsidRPr="002029AF" w:rsidRDefault="00CE75D4" w:rsidP="008340C1">
            <w:pPr>
              <w:pStyle w:val="ARfintablecolheadcentre"/>
              <w:spacing w:after="20"/>
            </w:pPr>
            <w:r w:rsidRPr="002029AF">
              <w:t xml:space="preserve">Paid contribution </w:t>
            </w:r>
            <w:r w:rsidRPr="002029AF">
              <w:br/>
              <w:t>for the year</w:t>
            </w:r>
          </w:p>
        </w:tc>
        <w:tc>
          <w:tcPr>
            <w:tcW w:w="2268" w:type="dxa"/>
            <w:gridSpan w:val="2"/>
            <w:hideMark/>
          </w:tcPr>
          <w:p w14:paraId="750550FE" w14:textId="77777777" w:rsidR="00CE75D4" w:rsidRPr="002029AF" w:rsidRDefault="00CE75D4" w:rsidP="008340C1">
            <w:pPr>
              <w:pStyle w:val="ARfintablecolheadcentre"/>
              <w:spacing w:after="20"/>
            </w:pPr>
            <w:r w:rsidRPr="002029AF">
              <w:t xml:space="preserve">Contribution outstanding </w:t>
            </w:r>
            <w:r w:rsidRPr="002029AF">
              <w:br/>
              <w:t>at year end</w:t>
            </w:r>
          </w:p>
        </w:tc>
      </w:tr>
      <w:tr w:rsidR="00CE75D4" w:rsidRPr="002029AF" w14:paraId="4633762E"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5101" w:type="dxa"/>
            <w:vMerge/>
            <w:tcBorders>
              <w:bottom w:val="single" w:sz="4" w:space="0" w:color="auto"/>
            </w:tcBorders>
            <w:noWrap/>
            <w:hideMark/>
          </w:tcPr>
          <w:p w14:paraId="0D4AC574" w14:textId="77777777" w:rsidR="00CE75D4" w:rsidRPr="002029AF" w:rsidRDefault="00CE75D4" w:rsidP="008340C1">
            <w:pPr>
              <w:pStyle w:val="ARfintablecolhead"/>
              <w:spacing w:after="20"/>
            </w:pPr>
          </w:p>
        </w:tc>
        <w:tc>
          <w:tcPr>
            <w:tcW w:w="1134" w:type="dxa"/>
            <w:tcBorders>
              <w:bottom w:val="single" w:sz="4" w:space="0" w:color="auto"/>
            </w:tcBorders>
            <w:shd w:val="clear" w:color="auto" w:fill="E7E6E6"/>
            <w:hideMark/>
          </w:tcPr>
          <w:p w14:paraId="08859829" w14:textId="77777777" w:rsidR="00CE75D4" w:rsidRPr="002029AF" w:rsidRDefault="00CE75D4" w:rsidP="008340C1">
            <w:pPr>
              <w:pStyle w:val="ARfintablecolheadright"/>
              <w:spacing w:after="20"/>
            </w:pPr>
            <w:r w:rsidRPr="002029AF">
              <w:t>202</w:t>
            </w:r>
            <w:r>
              <w:t>2</w:t>
            </w:r>
          </w:p>
          <w:p w14:paraId="082B0609" w14:textId="77777777" w:rsidR="00CE75D4" w:rsidRPr="002029AF" w:rsidRDefault="00CE75D4" w:rsidP="008340C1">
            <w:pPr>
              <w:pStyle w:val="ARfintablecolheadright"/>
              <w:spacing w:after="20"/>
            </w:pPr>
            <w:r w:rsidRPr="002029AF">
              <w:t>$M</w:t>
            </w:r>
          </w:p>
        </w:tc>
        <w:tc>
          <w:tcPr>
            <w:tcW w:w="1134" w:type="dxa"/>
            <w:tcBorders>
              <w:bottom w:val="single" w:sz="4" w:space="0" w:color="auto"/>
            </w:tcBorders>
            <w:hideMark/>
          </w:tcPr>
          <w:p w14:paraId="75933007" w14:textId="77777777" w:rsidR="00CE75D4" w:rsidRPr="002029AF" w:rsidRDefault="00CE75D4" w:rsidP="008340C1">
            <w:pPr>
              <w:pStyle w:val="ARfintablecolheadright"/>
              <w:spacing w:after="20"/>
            </w:pPr>
            <w:r>
              <w:t xml:space="preserve">2021 </w:t>
            </w:r>
            <w:r w:rsidRPr="009C7D41">
              <w:rPr>
                <w:rStyle w:val="Superscript"/>
              </w:rPr>
              <w:t>(i)</w:t>
            </w:r>
          </w:p>
          <w:p w14:paraId="2AA6758E" w14:textId="77777777" w:rsidR="00CE75D4" w:rsidRPr="002029AF" w:rsidRDefault="00CE75D4" w:rsidP="008340C1">
            <w:pPr>
              <w:pStyle w:val="ARfintablecolheadright"/>
              <w:spacing w:after="20"/>
            </w:pPr>
            <w:r w:rsidRPr="002029AF">
              <w:t>$M</w:t>
            </w:r>
          </w:p>
        </w:tc>
        <w:tc>
          <w:tcPr>
            <w:tcW w:w="1134" w:type="dxa"/>
            <w:tcBorders>
              <w:bottom w:val="single" w:sz="4" w:space="0" w:color="auto"/>
            </w:tcBorders>
            <w:shd w:val="clear" w:color="auto" w:fill="E7E6E6"/>
            <w:hideMark/>
          </w:tcPr>
          <w:p w14:paraId="4EF8898C" w14:textId="77777777" w:rsidR="00CE75D4" w:rsidRPr="002029AF" w:rsidRDefault="00CE75D4" w:rsidP="008340C1">
            <w:pPr>
              <w:pStyle w:val="ARfintablecolheadright"/>
              <w:spacing w:after="20"/>
            </w:pPr>
            <w:r w:rsidRPr="002029AF">
              <w:t>202</w:t>
            </w:r>
            <w:r>
              <w:t>2</w:t>
            </w:r>
          </w:p>
          <w:p w14:paraId="2FC1AC35" w14:textId="77777777" w:rsidR="00CE75D4" w:rsidRPr="002029AF" w:rsidRDefault="00CE75D4" w:rsidP="008340C1">
            <w:pPr>
              <w:pStyle w:val="ARfintablecolheadright"/>
              <w:spacing w:after="20"/>
            </w:pPr>
            <w:r w:rsidRPr="002029AF">
              <w:t>$M</w:t>
            </w:r>
          </w:p>
        </w:tc>
        <w:tc>
          <w:tcPr>
            <w:tcW w:w="1134" w:type="dxa"/>
            <w:tcBorders>
              <w:bottom w:val="single" w:sz="4" w:space="0" w:color="auto"/>
            </w:tcBorders>
            <w:hideMark/>
          </w:tcPr>
          <w:p w14:paraId="33F839C2" w14:textId="77777777" w:rsidR="00CE75D4" w:rsidRPr="002029AF" w:rsidRDefault="00CE75D4" w:rsidP="008340C1">
            <w:pPr>
              <w:pStyle w:val="ARfintablecolheadright"/>
              <w:spacing w:after="20"/>
            </w:pPr>
            <w:r>
              <w:t xml:space="preserve">2021 </w:t>
            </w:r>
            <w:r w:rsidRPr="009C7D41">
              <w:rPr>
                <w:rStyle w:val="Superscript"/>
              </w:rPr>
              <w:t>(i)</w:t>
            </w:r>
          </w:p>
          <w:p w14:paraId="54CC8C69" w14:textId="77777777" w:rsidR="00CE75D4" w:rsidRPr="002029AF" w:rsidRDefault="00CE75D4" w:rsidP="008340C1">
            <w:pPr>
              <w:pStyle w:val="ARfintablecolheadright"/>
              <w:spacing w:after="20"/>
            </w:pPr>
            <w:r w:rsidRPr="002029AF">
              <w:t>$M</w:t>
            </w:r>
          </w:p>
        </w:tc>
      </w:tr>
      <w:tr w:rsidR="00CE75D4" w:rsidRPr="002029AF" w14:paraId="05CB419D" w14:textId="77777777" w:rsidTr="00860E95">
        <w:tc>
          <w:tcPr>
            <w:tcW w:w="9637" w:type="dxa"/>
            <w:gridSpan w:val="5"/>
            <w:tcBorders>
              <w:top w:val="single" w:sz="4" w:space="0" w:color="auto"/>
              <w:bottom w:val="single" w:sz="4" w:space="0" w:color="A6A6A6"/>
            </w:tcBorders>
            <w:hideMark/>
          </w:tcPr>
          <w:p w14:paraId="3F499AFA" w14:textId="77777777" w:rsidR="00CE75D4" w:rsidRPr="002029AF" w:rsidRDefault="00CE75D4" w:rsidP="008340C1">
            <w:pPr>
              <w:pStyle w:val="ARfintablebodybold"/>
            </w:pPr>
            <w:r w:rsidRPr="00281455">
              <w:t>Defined benefit plans</w:t>
            </w:r>
          </w:p>
        </w:tc>
      </w:tr>
      <w:tr w:rsidR="00CE75D4" w:rsidRPr="002029AF" w14:paraId="75833874" w14:textId="77777777" w:rsidTr="00860E95">
        <w:tc>
          <w:tcPr>
            <w:tcW w:w="5101" w:type="dxa"/>
            <w:tcBorders>
              <w:top w:val="single" w:sz="4" w:space="0" w:color="A6A6A6"/>
              <w:bottom w:val="single" w:sz="4" w:space="0" w:color="A6A6A6"/>
            </w:tcBorders>
            <w:hideMark/>
          </w:tcPr>
          <w:p w14:paraId="61A0E0E0" w14:textId="77777777" w:rsidR="00CE75D4" w:rsidRPr="002029AF" w:rsidRDefault="00CE75D4" w:rsidP="008340C1">
            <w:pPr>
              <w:pStyle w:val="ARfintablebody"/>
            </w:pPr>
            <w:r w:rsidRPr="00281455">
              <w:t>State superannuation fund</w:t>
            </w:r>
          </w:p>
        </w:tc>
        <w:tc>
          <w:tcPr>
            <w:tcW w:w="1134" w:type="dxa"/>
            <w:tcBorders>
              <w:top w:val="single" w:sz="4" w:space="0" w:color="A6A6A6"/>
              <w:bottom w:val="single" w:sz="4" w:space="0" w:color="A6A6A6"/>
            </w:tcBorders>
            <w:shd w:val="clear" w:color="auto" w:fill="E7E6E6"/>
            <w:noWrap/>
            <w:hideMark/>
          </w:tcPr>
          <w:p w14:paraId="73DFDE18" w14:textId="77777777" w:rsidR="00CE75D4" w:rsidRPr="002029AF" w:rsidRDefault="00CE75D4" w:rsidP="008340C1">
            <w:pPr>
              <w:pStyle w:val="ARfintablebodyright"/>
            </w:pPr>
            <w:r w:rsidRPr="00281455">
              <w:t>1.8</w:t>
            </w:r>
          </w:p>
        </w:tc>
        <w:tc>
          <w:tcPr>
            <w:tcW w:w="1134" w:type="dxa"/>
            <w:tcBorders>
              <w:top w:val="single" w:sz="4" w:space="0" w:color="A6A6A6"/>
              <w:bottom w:val="single" w:sz="4" w:space="0" w:color="A6A6A6"/>
            </w:tcBorders>
            <w:noWrap/>
            <w:hideMark/>
          </w:tcPr>
          <w:p w14:paraId="6E582E0F" w14:textId="77777777" w:rsidR="00CE75D4" w:rsidRPr="002029AF" w:rsidRDefault="00CE75D4" w:rsidP="008340C1">
            <w:pPr>
              <w:pStyle w:val="ARfintablebodyright"/>
            </w:pPr>
            <w:r w:rsidRPr="00281455">
              <w:t>6.5</w:t>
            </w:r>
          </w:p>
        </w:tc>
        <w:tc>
          <w:tcPr>
            <w:tcW w:w="1134" w:type="dxa"/>
            <w:tcBorders>
              <w:top w:val="single" w:sz="4" w:space="0" w:color="A6A6A6"/>
              <w:bottom w:val="single" w:sz="4" w:space="0" w:color="A6A6A6"/>
            </w:tcBorders>
            <w:shd w:val="clear" w:color="auto" w:fill="E7E6E6"/>
            <w:noWrap/>
            <w:hideMark/>
          </w:tcPr>
          <w:p w14:paraId="47EBF281"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41C31ED9" w14:textId="77777777" w:rsidR="00CE75D4" w:rsidRPr="002029AF" w:rsidRDefault="00CE75D4" w:rsidP="008340C1">
            <w:pPr>
              <w:pStyle w:val="ARfintablebodyright"/>
            </w:pPr>
            <w:r w:rsidRPr="00281455">
              <w:t>0.2</w:t>
            </w:r>
          </w:p>
        </w:tc>
      </w:tr>
      <w:tr w:rsidR="00CE75D4" w:rsidRPr="002029AF" w14:paraId="651707D1" w14:textId="77777777" w:rsidTr="00860E95">
        <w:tc>
          <w:tcPr>
            <w:tcW w:w="9637" w:type="dxa"/>
            <w:gridSpan w:val="5"/>
            <w:tcBorders>
              <w:top w:val="single" w:sz="4" w:space="0" w:color="A6A6A6"/>
              <w:bottom w:val="single" w:sz="4" w:space="0" w:color="A6A6A6"/>
            </w:tcBorders>
            <w:hideMark/>
          </w:tcPr>
          <w:p w14:paraId="4619C13C" w14:textId="77777777" w:rsidR="00CE75D4" w:rsidRPr="002029AF" w:rsidRDefault="00CE75D4" w:rsidP="008340C1">
            <w:pPr>
              <w:pStyle w:val="ARfintablebodybold"/>
            </w:pPr>
            <w:r w:rsidRPr="00281455">
              <w:t>Defined contribution plans</w:t>
            </w:r>
          </w:p>
        </w:tc>
      </w:tr>
      <w:tr w:rsidR="00CE75D4" w:rsidRPr="002029AF" w14:paraId="434483B4" w14:textId="77777777" w:rsidTr="00860E95">
        <w:tc>
          <w:tcPr>
            <w:tcW w:w="5101" w:type="dxa"/>
            <w:tcBorders>
              <w:top w:val="single" w:sz="4" w:space="0" w:color="A6A6A6"/>
              <w:bottom w:val="single" w:sz="4" w:space="0" w:color="A6A6A6"/>
            </w:tcBorders>
            <w:hideMark/>
          </w:tcPr>
          <w:p w14:paraId="3F93C1C8" w14:textId="77777777" w:rsidR="00CE75D4" w:rsidRPr="002029AF" w:rsidRDefault="00CE75D4" w:rsidP="008340C1">
            <w:pPr>
              <w:pStyle w:val="ARfintablebody"/>
            </w:pPr>
            <w:r w:rsidRPr="00281455">
              <w:t>VicSuper</w:t>
            </w:r>
          </w:p>
        </w:tc>
        <w:tc>
          <w:tcPr>
            <w:tcW w:w="1134" w:type="dxa"/>
            <w:tcBorders>
              <w:top w:val="single" w:sz="4" w:space="0" w:color="A6A6A6"/>
              <w:bottom w:val="single" w:sz="4" w:space="0" w:color="A6A6A6"/>
            </w:tcBorders>
            <w:shd w:val="clear" w:color="auto" w:fill="E7E6E6"/>
            <w:noWrap/>
            <w:hideMark/>
          </w:tcPr>
          <w:p w14:paraId="227DDBDE" w14:textId="77777777" w:rsidR="00CE75D4" w:rsidRPr="002029AF" w:rsidRDefault="00CE75D4" w:rsidP="008340C1">
            <w:pPr>
              <w:pStyle w:val="ARfintablebodyright"/>
            </w:pPr>
            <w:r w:rsidRPr="00281455">
              <w:t>19.6</w:t>
            </w:r>
          </w:p>
        </w:tc>
        <w:tc>
          <w:tcPr>
            <w:tcW w:w="1134" w:type="dxa"/>
            <w:tcBorders>
              <w:top w:val="single" w:sz="4" w:space="0" w:color="A6A6A6"/>
              <w:bottom w:val="single" w:sz="4" w:space="0" w:color="A6A6A6"/>
            </w:tcBorders>
            <w:noWrap/>
            <w:hideMark/>
          </w:tcPr>
          <w:p w14:paraId="51688EB1" w14:textId="77777777" w:rsidR="00CE75D4" w:rsidRPr="002029AF" w:rsidRDefault="00CE75D4" w:rsidP="008340C1">
            <w:pPr>
              <w:pStyle w:val="ARfintablebodyright"/>
            </w:pPr>
            <w:r w:rsidRPr="00281455">
              <w:t>52.3</w:t>
            </w:r>
          </w:p>
        </w:tc>
        <w:tc>
          <w:tcPr>
            <w:tcW w:w="1134" w:type="dxa"/>
            <w:tcBorders>
              <w:top w:val="single" w:sz="4" w:space="0" w:color="A6A6A6"/>
              <w:bottom w:val="single" w:sz="4" w:space="0" w:color="A6A6A6"/>
            </w:tcBorders>
            <w:shd w:val="clear" w:color="auto" w:fill="E7E6E6"/>
            <w:noWrap/>
            <w:hideMark/>
          </w:tcPr>
          <w:p w14:paraId="3336FB3C" w14:textId="77777777" w:rsidR="00CE75D4" w:rsidRPr="002029AF" w:rsidRDefault="00CE75D4" w:rsidP="008340C1">
            <w:pPr>
              <w:pStyle w:val="ARfintablebodyright"/>
            </w:pPr>
            <w:r w:rsidRPr="00281455">
              <w:t>5.4</w:t>
            </w:r>
          </w:p>
        </w:tc>
        <w:tc>
          <w:tcPr>
            <w:tcW w:w="1134" w:type="dxa"/>
            <w:tcBorders>
              <w:top w:val="single" w:sz="4" w:space="0" w:color="A6A6A6"/>
              <w:bottom w:val="single" w:sz="4" w:space="0" w:color="A6A6A6"/>
            </w:tcBorders>
            <w:noWrap/>
            <w:hideMark/>
          </w:tcPr>
          <w:p w14:paraId="5F510BF4" w14:textId="77777777" w:rsidR="00CE75D4" w:rsidRPr="002029AF" w:rsidRDefault="00CE75D4" w:rsidP="008340C1">
            <w:pPr>
              <w:pStyle w:val="ARfintablebodyright"/>
            </w:pPr>
            <w:r w:rsidRPr="00281455">
              <w:t>2.9</w:t>
            </w:r>
          </w:p>
        </w:tc>
      </w:tr>
      <w:tr w:rsidR="00CE75D4" w:rsidRPr="002029AF" w14:paraId="6A7AFB51" w14:textId="77777777" w:rsidTr="00860E95">
        <w:tc>
          <w:tcPr>
            <w:tcW w:w="5101" w:type="dxa"/>
            <w:tcBorders>
              <w:top w:val="single" w:sz="4" w:space="0" w:color="A6A6A6"/>
            </w:tcBorders>
            <w:hideMark/>
          </w:tcPr>
          <w:p w14:paraId="367D7818" w14:textId="77777777" w:rsidR="00CE75D4" w:rsidRPr="002029AF" w:rsidRDefault="00CE75D4" w:rsidP="008340C1">
            <w:pPr>
              <w:pStyle w:val="ARfintablebody"/>
            </w:pPr>
            <w:r w:rsidRPr="00281455">
              <w:t>Other</w:t>
            </w:r>
          </w:p>
        </w:tc>
        <w:tc>
          <w:tcPr>
            <w:tcW w:w="1134" w:type="dxa"/>
            <w:tcBorders>
              <w:top w:val="single" w:sz="4" w:space="0" w:color="A6A6A6"/>
            </w:tcBorders>
            <w:shd w:val="clear" w:color="auto" w:fill="E7E6E6"/>
            <w:noWrap/>
            <w:hideMark/>
          </w:tcPr>
          <w:p w14:paraId="0674F32F" w14:textId="77777777" w:rsidR="00CE75D4" w:rsidRPr="002029AF" w:rsidRDefault="00CE75D4" w:rsidP="008340C1">
            <w:pPr>
              <w:pStyle w:val="ARfintablebodyright"/>
            </w:pPr>
            <w:r w:rsidRPr="00281455">
              <w:t>26.4</w:t>
            </w:r>
          </w:p>
        </w:tc>
        <w:tc>
          <w:tcPr>
            <w:tcW w:w="1134" w:type="dxa"/>
            <w:tcBorders>
              <w:top w:val="single" w:sz="4" w:space="0" w:color="A6A6A6"/>
            </w:tcBorders>
            <w:noWrap/>
            <w:hideMark/>
          </w:tcPr>
          <w:p w14:paraId="4FA209F8" w14:textId="77777777" w:rsidR="00CE75D4" w:rsidRPr="002029AF" w:rsidRDefault="00CE75D4" w:rsidP="008340C1">
            <w:pPr>
              <w:pStyle w:val="ARfintablebodyright"/>
            </w:pPr>
            <w:r w:rsidRPr="00281455">
              <w:t>37.7</w:t>
            </w:r>
          </w:p>
        </w:tc>
        <w:tc>
          <w:tcPr>
            <w:tcW w:w="1134" w:type="dxa"/>
            <w:tcBorders>
              <w:top w:val="single" w:sz="4" w:space="0" w:color="A6A6A6"/>
            </w:tcBorders>
            <w:shd w:val="clear" w:color="auto" w:fill="E7E6E6"/>
            <w:noWrap/>
            <w:hideMark/>
          </w:tcPr>
          <w:p w14:paraId="16655C44" w14:textId="77777777" w:rsidR="00CE75D4" w:rsidRPr="002029AF" w:rsidRDefault="00CE75D4" w:rsidP="008340C1">
            <w:pPr>
              <w:pStyle w:val="ARfintablebodyright"/>
            </w:pPr>
            <w:r>
              <w:t>–</w:t>
            </w:r>
          </w:p>
        </w:tc>
        <w:tc>
          <w:tcPr>
            <w:tcW w:w="1134" w:type="dxa"/>
            <w:tcBorders>
              <w:top w:val="single" w:sz="4" w:space="0" w:color="A6A6A6"/>
            </w:tcBorders>
            <w:noWrap/>
            <w:hideMark/>
          </w:tcPr>
          <w:p w14:paraId="49916921" w14:textId="77777777" w:rsidR="00CE75D4" w:rsidRPr="002029AF" w:rsidRDefault="00CE75D4" w:rsidP="008340C1">
            <w:pPr>
              <w:pStyle w:val="ARfintablebodyright"/>
            </w:pPr>
            <w:r>
              <w:t>–</w:t>
            </w:r>
          </w:p>
        </w:tc>
      </w:tr>
      <w:tr w:rsidR="00CE75D4" w:rsidRPr="002029AF" w14:paraId="52FDE292" w14:textId="77777777" w:rsidTr="00860E95">
        <w:tc>
          <w:tcPr>
            <w:tcW w:w="5101" w:type="dxa"/>
            <w:hideMark/>
          </w:tcPr>
          <w:p w14:paraId="0B083496" w14:textId="77777777" w:rsidR="00CE75D4" w:rsidRPr="002029AF" w:rsidRDefault="00CE75D4" w:rsidP="008340C1">
            <w:pPr>
              <w:pStyle w:val="ARfintablebodybold"/>
            </w:pPr>
            <w:r w:rsidRPr="00281455">
              <w:t>Total</w:t>
            </w:r>
          </w:p>
        </w:tc>
        <w:tc>
          <w:tcPr>
            <w:tcW w:w="1134" w:type="dxa"/>
            <w:shd w:val="clear" w:color="auto" w:fill="E7E6E6"/>
            <w:noWrap/>
            <w:hideMark/>
          </w:tcPr>
          <w:p w14:paraId="54D61005" w14:textId="77777777" w:rsidR="00CE75D4" w:rsidRPr="002029AF" w:rsidRDefault="00CE75D4" w:rsidP="008340C1">
            <w:pPr>
              <w:pStyle w:val="ARfintablebodyrightbold"/>
            </w:pPr>
            <w:r w:rsidRPr="00281455">
              <w:t>47.8</w:t>
            </w:r>
          </w:p>
        </w:tc>
        <w:tc>
          <w:tcPr>
            <w:tcW w:w="1134" w:type="dxa"/>
            <w:noWrap/>
            <w:hideMark/>
          </w:tcPr>
          <w:p w14:paraId="33316C21" w14:textId="77777777" w:rsidR="00CE75D4" w:rsidRPr="002029AF" w:rsidRDefault="00CE75D4" w:rsidP="008340C1">
            <w:pPr>
              <w:pStyle w:val="ARfintablebodyrightbold"/>
            </w:pPr>
            <w:r w:rsidRPr="00281455">
              <w:t>96.5</w:t>
            </w:r>
          </w:p>
        </w:tc>
        <w:tc>
          <w:tcPr>
            <w:tcW w:w="1134" w:type="dxa"/>
            <w:shd w:val="clear" w:color="auto" w:fill="E7E6E6"/>
            <w:noWrap/>
            <w:hideMark/>
          </w:tcPr>
          <w:p w14:paraId="0A0DFF70" w14:textId="77777777" w:rsidR="00CE75D4" w:rsidRPr="002029AF" w:rsidRDefault="00CE75D4" w:rsidP="008340C1">
            <w:pPr>
              <w:pStyle w:val="ARfintablebodyrightbold"/>
            </w:pPr>
            <w:r w:rsidRPr="00281455">
              <w:t>5.4</w:t>
            </w:r>
          </w:p>
        </w:tc>
        <w:tc>
          <w:tcPr>
            <w:tcW w:w="1134" w:type="dxa"/>
            <w:noWrap/>
            <w:hideMark/>
          </w:tcPr>
          <w:p w14:paraId="560D302C" w14:textId="77777777" w:rsidR="00CE75D4" w:rsidRPr="002029AF" w:rsidRDefault="00CE75D4" w:rsidP="008340C1">
            <w:pPr>
              <w:pStyle w:val="ARfintablebodyrightbold"/>
            </w:pPr>
            <w:r w:rsidRPr="00281455">
              <w:t>3.1</w:t>
            </w:r>
          </w:p>
        </w:tc>
      </w:tr>
    </w:tbl>
    <w:p w14:paraId="70E9EC07" w14:textId="77777777" w:rsidR="00CE75D4" w:rsidRDefault="00CE75D4" w:rsidP="008340C1">
      <w:pPr>
        <w:pStyle w:val="ARfintablefootnote"/>
        <w:rPr>
          <w:lang w:eastAsia="en-AU"/>
        </w:rPr>
      </w:pPr>
      <w:bookmarkStart w:id="552" w:name="_Toc39136701"/>
      <w:bookmarkStart w:id="553" w:name="_Toc85121389"/>
      <w:r>
        <w:rPr>
          <w:lang w:eastAsia="en-AU"/>
        </w:rPr>
        <w:t>Note:</w:t>
      </w:r>
    </w:p>
    <w:p w14:paraId="5910C572" w14:textId="77777777" w:rsidR="00CE75D4" w:rsidRDefault="00CE75D4" w:rsidP="008340C1">
      <w:pPr>
        <w:pStyle w:val="ARfintablefootnote"/>
        <w:ind w:left="284" w:hanging="284"/>
        <w:rPr>
          <w:lang w:eastAsia="en-AU"/>
        </w:rPr>
      </w:pPr>
      <w:r>
        <w:rPr>
          <w:lang w:eastAsia="en-AU"/>
        </w:rPr>
        <w:t>(i)</w:t>
      </w:r>
      <w:r>
        <w:rPr>
          <w:lang w:eastAsia="en-AU"/>
        </w:rPr>
        <w:tab/>
      </w:r>
      <w:r w:rsidRPr="006F4B79">
        <w:rPr>
          <w:lang w:eastAsia="en-AU"/>
        </w:rPr>
        <w:t>2021 numbers include the transactions for the year ended 30 June 2021 of the DFFH, the Victorian Disability Worker Commission and the Director of Housing. The transactions which relate to these entities are reported in the DFFH</w:t>
      </w:r>
      <w:r>
        <w:rPr>
          <w:lang w:eastAsia="en-AU"/>
        </w:rPr>
        <w:t>’</w:t>
      </w:r>
      <w:r w:rsidRPr="006F4B79">
        <w:rPr>
          <w:lang w:eastAsia="en-AU"/>
        </w:rPr>
        <w:t>s 2021</w:t>
      </w:r>
      <w:r>
        <w:rPr>
          <w:lang w:eastAsia="en-AU"/>
        </w:rPr>
        <w:t>–</w:t>
      </w:r>
      <w:r w:rsidRPr="006F4B79">
        <w:rPr>
          <w:lang w:eastAsia="en-AU"/>
        </w:rPr>
        <w:t>22 financial statements.</w:t>
      </w:r>
    </w:p>
    <w:p w14:paraId="73739ED2" w14:textId="77777777" w:rsidR="00CE75D4" w:rsidRPr="002029AF" w:rsidRDefault="00CE75D4" w:rsidP="008340C1">
      <w:pPr>
        <w:pStyle w:val="Heading5"/>
        <w:tabs>
          <w:tab w:val="right" w:pos="9638"/>
        </w:tabs>
      </w:pPr>
      <w:r>
        <w:t>3.1.2 Grants and other expense transfers</w:t>
      </w:r>
      <w:bookmarkEnd w:id="552"/>
      <w:bookmarkEnd w:id="553"/>
    </w:p>
    <w:tbl>
      <w:tblPr>
        <w:tblStyle w:val="TableGrid"/>
        <w:tblW w:w="9637" w:type="dxa"/>
        <w:tblLayout w:type="fixed"/>
        <w:tblLook w:val="06A0" w:firstRow="1" w:lastRow="0" w:firstColumn="1" w:lastColumn="0" w:noHBand="1" w:noVBand="1"/>
      </w:tblPr>
      <w:tblGrid>
        <w:gridCol w:w="7369"/>
        <w:gridCol w:w="1134"/>
        <w:gridCol w:w="1134"/>
      </w:tblGrid>
      <w:tr w:rsidR="00CE75D4" w:rsidRPr="002029AF" w14:paraId="61269D9C"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noWrap/>
            <w:hideMark/>
          </w:tcPr>
          <w:p w14:paraId="35A0DA85" w14:textId="77777777" w:rsidR="00CE75D4" w:rsidRPr="002029AF" w:rsidRDefault="00CE75D4" w:rsidP="008340C1">
            <w:pPr>
              <w:pStyle w:val="ARfintablecolhead"/>
            </w:pPr>
          </w:p>
        </w:tc>
        <w:tc>
          <w:tcPr>
            <w:tcW w:w="1134" w:type="dxa"/>
            <w:shd w:val="clear" w:color="auto" w:fill="E7E6E6"/>
            <w:hideMark/>
          </w:tcPr>
          <w:p w14:paraId="76EC004C" w14:textId="77777777" w:rsidR="00CE75D4" w:rsidRPr="002029AF" w:rsidRDefault="00CE75D4" w:rsidP="008340C1">
            <w:pPr>
              <w:pStyle w:val="ARfintablecolheadright"/>
            </w:pPr>
            <w:r w:rsidRPr="002029AF">
              <w:t>202</w:t>
            </w:r>
            <w:r>
              <w:t>2</w:t>
            </w:r>
          </w:p>
          <w:p w14:paraId="56D45799" w14:textId="77777777" w:rsidR="00CE75D4" w:rsidRPr="002029AF" w:rsidRDefault="00CE75D4" w:rsidP="008340C1">
            <w:pPr>
              <w:pStyle w:val="ARfintablecolheadright"/>
            </w:pPr>
            <w:r w:rsidRPr="002029AF">
              <w:t>$M</w:t>
            </w:r>
          </w:p>
        </w:tc>
        <w:tc>
          <w:tcPr>
            <w:tcW w:w="1134" w:type="dxa"/>
            <w:hideMark/>
          </w:tcPr>
          <w:p w14:paraId="2B316951" w14:textId="77777777" w:rsidR="00CE75D4" w:rsidRPr="002029AF" w:rsidRDefault="00CE75D4" w:rsidP="008340C1">
            <w:pPr>
              <w:pStyle w:val="ARfintablecolheadright"/>
            </w:pPr>
            <w:r>
              <w:t>2021</w:t>
            </w:r>
          </w:p>
          <w:p w14:paraId="21A20F03" w14:textId="77777777" w:rsidR="00CE75D4" w:rsidRPr="002029AF" w:rsidRDefault="00CE75D4" w:rsidP="008340C1">
            <w:pPr>
              <w:pStyle w:val="ARfintablecolheadright"/>
            </w:pPr>
            <w:r w:rsidRPr="002029AF">
              <w:t>$M</w:t>
            </w:r>
          </w:p>
        </w:tc>
      </w:tr>
      <w:tr w:rsidR="00CE75D4" w:rsidRPr="002029AF" w14:paraId="712E7300" w14:textId="77777777" w:rsidTr="00860E95">
        <w:tc>
          <w:tcPr>
            <w:tcW w:w="7369" w:type="dxa"/>
            <w:tcBorders>
              <w:bottom w:val="single" w:sz="4" w:space="0" w:color="auto"/>
            </w:tcBorders>
            <w:hideMark/>
          </w:tcPr>
          <w:p w14:paraId="21795A5E" w14:textId="77777777" w:rsidR="00CE75D4" w:rsidRPr="002029AF" w:rsidRDefault="00CE75D4" w:rsidP="008340C1">
            <w:pPr>
              <w:pStyle w:val="ARfintablebody"/>
              <w:spacing w:before="30" w:after="10" w:line="228" w:lineRule="auto"/>
            </w:pPr>
            <w:r w:rsidRPr="009573E6">
              <w:t xml:space="preserve">State contributions to the </w:t>
            </w:r>
            <w:r>
              <w:t>Victorian State Pool Account</w:t>
            </w:r>
            <w:r w:rsidRPr="00743781">
              <w:t xml:space="preserve"> </w:t>
            </w:r>
            <w:r w:rsidRPr="009C7D41">
              <w:rPr>
                <w:rStyle w:val="Superscript"/>
              </w:rPr>
              <w:t>(i</w:t>
            </w:r>
            <w:r>
              <w:rPr>
                <w:rStyle w:val="Superscript"/>
              </w:rPr>
              <w:t>)</w:t>
            </w:r>
          </w:p>
        </w:tc>
        <w:tc>
          <w:tcPr>
            <w:tcW w:w="1134" w:type="dxa"/>
            <w:tcBorders>
              <w:bottom w:val="single" w:sz="4" w:space="0" w:color="auto"/>
            </w:tcBorders>
            <w:shd w:val="clear" w:color="auto" w:fill="E7E6E6"/>
            <w:noWrap/>
            <w:hideMark/>
          </w:tcPr>
          <w:p w14:paraId="478C82D1" w14:textId="77777777" w:rsidR="00CE75D4" w:rsidRPr="002029AF" w:rsidRDefault="00CE75D4" w:rsidP="008340C1">
            <w:pPr>
              <w:pStyle w:val="ARfintablebodyright"/>
              <w:spacing w:before="30" w:after="10" w:line="228" w:lineRule="auto"/>
            </w:pPr>
            <w:r>
              <w:t>7,628.0</w:t>
            </w:r>
          </w:p>
        </w:tc>
        <w:tc>
          <w:tcPr>
            <w:tcW w:w="1134" w:type="dxa"/>
            <w:tcBorders>
              <w:bottom w:val="single" w:sz="4" w:space="0" w:color="auto"/>
            </w:tcBorders>
            <w:noWrap/>
            <w:hideMark/>
          </w:tcPr>
          <w:p w14:paraId="74836E61" w14:textId="77777777" w:rsidR="00CE75D4" w:rsidRPr="002029AF" w:rsidRDefault="00CE75D4" w:rsidP="008340C1">
            <w:pPr>
              <w:pStyle w:val="ARfintablebodyright"/>
              <w:spacing w:before="30" w:after="10" w:line="228" w:lineRule="auto"/>
            </w:pPr>
            <w:r w:rsidRPr="009573E6">
              <w:t>5,628.4</w:t>
            </w:r>
          </w:p>
        </w:tc>
      </w:tr>
      <w:tr w:rsidR="00CE75D4" w:rsidRPr="002029AF" w14:paraId="50163FB1" w14:textId="77777777" w:rsidTr="00860E95">
        <w:tc>
          <w:tcPr>
            <w:tcW w:w="9637" w:type="dxa"/>
            <w:gridSpan w:val="3"/>
            <w:tcBorders>
              <w:top w:val="single" w:sz="4" w:space="0" w:color="auto"/>
              <w:bottom w:val="single" w:sz="4" w:space="0" w:color="A6A6A6"/>
            </w:tcBorders>
            <w:hideMark/>
          </w:tcPr>
          <w:p w14:paraId="1DFEB945" w14:textId="77777777" w:rsidR="00CE75D4" w:rsidRPr="002029AF" w:rsidRDefault="00CE75D4" w:rsidP="008340C1">
            <w:pPr>
              <w:pStyle w:val="ARfintablebodybold"/>
              <w:spacing w:before="30" w:after="10" w:line="228" w:lineRule="auto"/>
            </w:pPr>
            <w:r w:rsidRPr="009573E6">
              <w:t xml:space="preserve">Public health services and hospitals </w:t>
            </w:r>
            <w:r w:rsidRPr="009C7D41">
              <w:rPr>
                <w:rStyle w:val="Superscript"/>
              </w:rPr>
              <w:t>(</w:t>
            </w:r>
            <w:r>
              <w:rPr>
                <w:rStyle w:val="Superscript"/>
              </w:rPr>
              <w:t>i</w:t>
            </w:r>
            <w:r w:rsidRPr="009C7D41">
              <w:rPr>
                <w:rStyle w:val="Superscript"/>
              </w:rPr>
              <w:t>i)</w:t>
            </w:r>
          </w:p>
        </w:tc>
      </w:tr>
      <w:tr w:rsidR="00CE75D4" w:rsidRPr="002029AF" w14:paraId="4230D66B" w14:textId="77777777" w:rsidTr="00860E95">
        <w:tc>
          <w:tcPr>
            <w:tcW w:w="7369" w:type="dxa"/>
            <w:tcBorders>
              <w:top w:val="single" w:sz="4" w:space="0" w:color="A6A6A6"/>
              <w:bottom w:val="single" w:sz="4" w:space="0" w:color="A6A6A6"/>
            </w:tcBorders>
            <w:hideMark/>
          </w:tcPr>
          <w:p w14:paraId="009648EA" w14:textId="77777777" w:rsidR="00CE75D4" w:rsidRPr="002029AF" w:rsidRDefault="00CE75D4" w:rsidP="008340C1">
            <w:pPr>
              <w:pStyle w:val="ARfintablebody"/>
              <w:spacing w:before="30" w:after="10" w:line="228" w:lineRule="auto"/>
            </w:pPr>
            <w:r w:rsidRPr="009573E6">
              <w:t>Monash Health</w:t>
            </w:r>
          </w:p>
        </w:tc>
        <w:tc>
          <w:tcPr>
            <w:tcW w:w="1134" w:type="dxa"/>
            <w:tcBorders>
              <w:top w:val="single" w:sz="4" w:space="0" w:color="A6A6A6"/>
              <w:bottom w:val="single" w:sz="4" w:space="0" w:color="A6A6A6"/>
            </w:tcBorders>
            <w:shd w:val="clear" w:color="auto" w:fill="E7E6E6"/>
            <w:noWrap/>
            <w:hideMark/>
          </w:tcPr>
          <w:p w14:paraId="2077E3CB" w14:textId="77777777" w:rsidR="00CE75D4" w:rsidRPr="002029AF" w:rsidRDefault="00CE75D4" w:rsidP="008340C1">
            <w:pPr>
              <w:pStyle w:val="ARfintablebodyright"/>
              <w:spacing w:before="30" w:after="10" w:line="228" w:lineRule="auto"/>
            </w:pPr>
            <w:r>
              <w:t>935.4</w:t>
            </w:r>
          </w:p>
        </w:tc>
        <w:tc>
          <w:tcPr>
            <w:tcW w:w="1134" w:type="dxa"/>
            <w:tcBorders>
              <w:top w:val="single" w:sz="4" w:space="0" w:color="A6A6A6"/>
              <w:bottom w:val="single" w:sz="4" w:space="0" w:color="A6A6A6"/>
            </w:tcBorders>
            <w:noWrap/>
            <w:hideMark/>
          </w:tcPr>
          <w:p w14:paraId="326AB1B9" w14:textId="77777777" w:rsidR="00CE75D4" w:rsidRPr="002029AF" w:rsidRDefault="00CE75D4" w:rsidP="008340C1">
            <w:pPr>
              <w:pStyle w:val="ARfintablebodyright"/>
              <w:spacing w:before="30" w:after="10" w:line="228" w:lineRule="auto"/>
            </w:pPr>
            <w:r w:rsidRPr="009573E6">
              <w:t>785.7</w:t>
            </w:r>
          </w:p>
        </w:tc>
      </w:tr>
      <w:tr w:rsidR="00CE75D4" w:rsidRPr="002029AF" w14:paraId="5F472686" w14:textId="77777777" w:rsidTr="00860E95">
        <w:tc>
          <w:tcPr>
            <w:tcW w:w="7369" w:type="dxa"/>
            <w:tcBorders>
              <w:top w:val="single" w:sz="4" w:space="0" w:color="A6A6A6"/>
              <w:bottom w:val="single" w:sz="4" w:space="0" w:color="A6A6A6"/>
            </w:tcBorders>
            <w:hideMark/>
          </w:tcPr>
          <w:p w14:paraId="669E9EA6" w14:textId="77777777" w:rsidR="00CE75D4" w:rsidRPr="002029AF" w:rsidRDefault="00CE75D4" w:rsidP="008340C1">
            <w:pPr>
              <w:pStyle w:val="ARfintablebody"/>
              <w:spacing w:before="30" w:after="10" w:line="228" w:lineRule="auto"/>
            </w:pPr>
            <w:r w:rsidRPr="009573E6">
              <w:t>Melbourne Health</w:t>
            </w:r>
          </w:p>
        </w:tc>
        <w:tc>
          <w:tcPr>
            <w:tcW w:w="1134" w:type="dxa"/>
            <w:tcBorders>
              <w:top w:val="single" w:sz="4" w:space="0" w:color="A6A6A6"/>
              <w:bottom w:val="single" w:sz="4" w:space="0" w:color="A6A6A6"/>
            </w:tcBorders>
            <w:shd w:val="clear" w:color="auto" w:fill="E7E6E6"/>
            <w:noWrap/>
            <w:hideMark/>
          </w:tcPr>
          <w:p w14:paraId="6E392B61" w14:textId="77777777" w:rsidR="00CE75D4" w:rsidRPr="002029AF" w:rsidRDefault="00CE75D4" w:rsidP="008340C1">
            <w:pPr>
              <w:pStyle w:val="ARfintablebodyright"/>
              <w:spacing w:before="30" w:after="10" w:line="228" w:lineRule="auto"/>
            </w:pPr>
            <w:r w:rsidRPr="009573E6">
              <w:t>4</w:t>
            </w:r>
            <w:r>
              <w:t>92.9</w:t>
            </w:r>
          </w:p>
        </w:tc>
        <w:tc>
          <w:tcPr>
            <w:tcW w:w="1134" w:type="dxa"/>
            <w:tcBorders>
              <w:top w:val="single" w:sz="4" w:space="0" w:color="A6A6A6"/>
              <w:bottom w:val="single" w:sz="4" w:space="0" w:color="A6A6A6"/>
            </w:tcBorders>
            <w:noWrap/>
            <w:hideMark/>
          </w:tcPr>
          <w:p w14:paraId="224229B7" w14:textId="77777777" w:rsidR="00CE75D4" w:rsidRPr="002029AF" w:rsidRDefault="00CE75D4" w:rsidP="008340C1">
            <w:pPr>
              <w:pStyle w:val="ARfintablebodyright"/>
              <w:spacing w:before="30" w:after="10" w:line="228" w:lineRule="auto"/>
            </w:pPr>
            <w:r w:rsidRPr="009573E6">
              <w:t>519.3</w:t>
            </w:r>
          </w:p>
        </w:tc>
      </w:tr>
      <w:tr w:rsidR="00CE75D4" w:rsidRPr="002029AF" w14:paraId="26E6D307" w14:textId="77777777" w:rsidTr="00860E95">
        <w:tc>
          <w:tcPr>
            <w:tcW w:w="7369" w:type="dxa"/>
            <w:tcBorders>
              <w:top w:val="single" w:sz="4" w:space="0" w:color="A6A6A6"/>
              <w:bottom w:val="single" w:sz="4" w:space="0" w:color="A6A6A6"/>
            </w:tcBorders>
            <w:hideMark/>
          </w:tcPr>
          <w:p w14:paraId="479DC2BD" w14:textId="77777777" w:rsidR="00CE75D4" w:rsidRPr="002029AF" w:rsidRDefault="00CE75D4" w:rsidP="008340C1">
            <w:pPr>
              <w:pStyle w:val="ARfintablebody"/>
              <w:spacing w:before="30" w:after="10" w:line="228" w:lineRule="auto"/>
            </w:pPr>
            <w:r w:rsidRPr="009573E6">
              <w:t>Alfred Health</w:t>
            </w:r>
          </w:p>
        </w:tc>
        <w:tc>
          <w:tcPr>
            <w:tcW w:w="1134" w:type="dxa"/>
            <w:tcBorders>
              <w:top w:val="single" w:sz="4" w:space="0" w:color="A6A6A6"/>
              <w:bottom w:val="single" w:sz="4" w:space="0" w:color="A6A6A6"/>
            </w:tcBorders>
            <w:shd w:val="clear" w:color="auto" w:fill="E7E6E6"/>
            <w:noWrap/>
            <w:hideMark/>
          </w:tcPr>
          <w:p w14:paraId="0A44A142" w14:textId="77777777" w:rsidR="00CE75D4" w:rsidRPr="002029AF" w:rsidRDefault="00CE75D4" w:rsidP="008340C1">
            <w:pPr>
              <w:pStyle w:val="ARfintablebodyright"/>
              <w:spacing w:before="30" w:after="10" w:line="228" w:lineRule="auto"/>
            </w:pPr>
            <w:r w:rsidRPr="009573E6">
              <w:t>4</w:t>
            </w:r>
            <w:r>
              <w:t>62.2</w:t>
            </w:r>
          </w:p>
        </w:tc>
        <w:tc>
          <w:tcPr>
            <w:tcW w:w="1134" w:type="dxa"/>
            <w:tcBorders>
              <w:top w:val="single" w:sz="4" w:space="0" w:color="A6A6A6"/>
              <w:bottom w:val="single" w:sz="4" w:space="0" w:color="A6A6A6"/>
            </w:tcBorders>
            <w:noWrap/>
            <w:hideMark/>
          </w:tcPr>
          <w:p w14:paraId="05EB173B" w14:textId="77777777" w:rsidR="00CE75D4" w:rsidRPr="002029AF" w:rsidRDefault="00CE75D4" w:rsidP="008340C1">
            <w:pPr>
              <w:pStyle w:val="ARfintablebodyright"/>
              <w:spacing w:before="30" w:after="10" w:line="228" w:lineRule="auto"/>
            </w:pPr>
            <w:r w:rsidRPr="009573E6">
              <w:t>432.8</w:t>
            </w:r>
          </w:p>
        </w:tc>
      </w:tr>
      <w:tr w:rsidR="00CE75D4" w:rsidRPr="002029AF" w14:paraId="4CA2CE52" w14:textId="77777777" w:rsidTr="00860E95">
        <w:tc>
          <w:tcPr>
            <w:tcW w:w="7369" w:type="dxa"/>
            <w:tcBorders>
              <w:top w:val="single" w:sz="4" w:space="0" w:color="A6A6A6"/>
              <w:bottom w:val="single" w:sz="4" w:space="0" w:color="A6A6A6"/>
            </w:tcBorders>
            <w:hideMark/>
          </w:tcPr>
          <w:p w14:paraId="003A8DE9" w14:textId="77777777" w:rsidR="00CE75D4" w:rsidRPr="002029AF" w:rsidRDefault="00CE75D4" w:rsidP="008340C1">
            <w:pPr>
              <w:pStyle w:val="ARfintablebody"/>
              <w:spacing w:before="30" w:after="10" w:line="228" w:lineRule="auto"/>
            </w:pPr>
            <w:r w:rsidRPr="009573E6">
              <w:t>Barwon Health</w:t>
            </w:r>
          </w:p>
        </w:tc>
        <w:tc>
          <w:tcPr>
            <w:tcW w:w="1134" w:type="dxa"/>
            <w:tcBorders>
              <w:top w:val="single" w:sz="4" w:space="0" w:color="A6A6A6"/>
              <w:bottom w:val="single" w:sz="4" w:space="0" w:color="A6A6A6"/>
            </w:tcBorders>
            <w:shd w:val="clear" w:color="auto" w:fill="E7E6E6"/>
            <w:noWrap/>
            <w:hideMark/>
          </w:tcPr>
          <w:p w14:paraId="6162D95E" w14:textId="77777777" w:rsidR="00CE75D4" w:rsidRPr="002029AF" w:rsidRDefault="00CE75D4" w:rsidP="008340C1">
            <w:pPr>
              <w:pStyle w:val="ARfintablebodyright"/>
              <w:spacing w:before="30" w:after="10" w:line="228" w:lineRule="auto"/>
            </w:pPr>
            <w:r>
              <w:t>422.4</w:t>
            </w:r>
          </w:p>
        </w:tc>
        <w:tc>
          <w:tcPr>
            <w:tcW w:w="1134" w:type="dxa"/>
            <w:tcBorders>
              <w:top w:val="single" w:sz="4" w:space="0" w:color="A6A6A6"/>
              <w:bottom w:val="single" w:sz="4" w:space="0" w:color="A6A6A6"/>
            </w:tcBorders>
            <w:noWrap/>
            <w:hideMark/>
          </w:tcPr>
          <w:p w14:paraId="2839CE0F" w14:textId="77777777" w:rsidR="00CE75D4" w:rsidRPr="002029AF" w:rsidRDefault="00CE75D4" w:rsidP="008340C1">
            <w:pPr>
              <w:pStyle w:val="ARfintablebodyright"/>
              <w:spacing w:before="30" w:after="10" w:line="228" w:lineRule="auto"/>
            </w:pPr>
            <w:r w:rsidRPr="009573E6">
              <w:t>260.2</w:t>
            </w:r>
          </w:p>
        </w:tc>
      </w:tr>
      <w:tr w:rsidR="00CE75D4" w:rsidRPr="002029AF" w14:paraId="596E45C1" w14:textId="77777777" w:rsidTr="00860E95">
        <w:tc>
          <w:tcPr>
            <w:tcW w:w="7369" w:type="dxa"/>
            <w:tcBorders>
              <w:top w:val="single" w:sz="4" w:space="0" w:color="A6A6A6"/>
              <w:bottom w:val="single" w:sz="4" w:space="0" w:color="A6A6A6"/>
            </w:tcBorders>
            <w:hideMark/>
          </w:tcPr>
          <w:p w14:paraId="1CD1F476" w14:textId="77777777" w:rsidR="00CE75D4" w:rsidRPr="002029AF" w:rsidRDefault="00CE75D4" w:rsidP="008340C1">
            <w:pPr>
              <w:pStyle w:val="ARfintablebody"/>
              <w:spacing w:before="30" w:after="10" w:line="228" w:lineRule="auto"/>
            </w:pPr>
            <w:r w:rsidRPr="009573E6">
              <w:t>Eastern Health</w:t>
            </w:r>
          </w:p>
        </w:tc>
        <w:tc>
          <w:tcPr>
            <w:tcW w:w="1134" w:type="dxa"/>
            <w:tcBorders>
              <w:top w:val="single" w:sz="4" w:space="0" w:color="A6A6A6"/>
              <w:bottom w:val="single" w:sz="4" w:space="0" w:color="A6A6A6"/>
            </w:tcBorders>
            <w:shd w:val="clear" w:color="auto" w:fill="E7E6E6"/>
            <w:noWrap/>
            <w:hideMark/>
          </w:tcPr>
          <w:p w14:paraId="3D9C1016" w14:textId="77777777" w:rsidR="00CE75D4" w:rsidRPr="002029AF" w:rsidRDefault="00CE75D4" w:rsidP="008340C1">
            <w:pPr>
              <w:pStyle w:val="ARfintablebodyright"/>
              <w:spacing w:before="30" w:after="10" w:line="228" w:lineRule="auto"/>
            </w:pPr>
            <w:r w:rsidRPr="009573E6">
              <w:t>3</w:t>
            </w:r>
            <w:r>
              <w:t>7</w:t>
            </w:r>
            <w:r w:rsidRPr="009573E6">
              <w:t>9.9</w:t>
            </w:r>
          </w:p>
        </w:tc>
        <w:tc>
          <w:tcPr>
            <w:tcW w:w="1134" w:type="dxa"/>
            <w:tcBorders>
              <w:top w:val="single" w:sz="4" w:space="0" w:color="A6A6A6"/>
              <w:bottom w:val="single" w:sz="4" w:space="0" w:color="A6A6A6"/>
            </w:tcBorders>
            <w:noWrap/>
            <w:hideMark/>
          </w:tcPr>
          <w:p w14:paraId="2721DED4" w14:textId="77777777" w:rsidR="00CE75D4" w:rsidRPr="002029AF" w:rsidRDefault="00CE75D4" w:rsidP="008340C1">
            <w:pPr>
              <w:pStyle w:val="ARfintablebodyright"/>
              <w:spacing w:before="30" w:after="10" w:line="228" w:lineRule="auto"/>
            </w:pPr>
            <w:r w:rsidRPr="009573E6">
              <w:t>328.2</w:t>
            </w:r>
          </w:p>
        </w:tc>
      </w:tr>
      <w:tr w:rsidR="00CE75D4" w:rsidRPr="002029AF" w14:paraId="617B9ACA" w14:textId="77777777" w:rsidTr="00860E95">
        <w:tc>
          <w:tcPr>
            <w:tcW w:w="7369" w:type="dxa"/>
            <w:tcBorders>
              <w:top w:val="single" w:sz="4" w:space="0" w:color="A6A6A6"/>
              <w:bottom w:val="single" w:sz="4" w:space="0" w:color="A6A6A6"/>
            </w:tcBorders>
            <w:hideMark/>
          </w:tcPr>
          <w:p w14:paraId="7676D5AD" w14:textId="77777777" w:rsidR="00CE75D4" w:rsidRPr="002029AF" w:rsidRDefault="00CE75D4" w:rsidP="008340C1">
            <w:pPr>
              <w:pStyle w:val="ARfintablebody"/>
              <w:spacing w:before="30" w:after="10" w:line="228" w:lineRule="auto"/>
            </w:pPr>
            <w:r w:rsidRPr="009573E6">
              <w:t>Austin Health</w:t>
            </w:r>
          </w:p>
        </w:tc>
        <w:tc>
          <w:tcPr>
            <w:tcW w:w="1134" w:type="dxa"/>
            <w:tcBorders>
              <w:top w:val="single" w:sz="4" w:space="0" w:color="A6A6A6"/>
              <w:bottom w:val="single" w:sz="4" w:space="0" w:color="A6A6A6"/>
            </w:tcBorders>
            <w:shd w:val="clear" w:color="auto" w:fill="E7E6E6"/>
            <w:noWrap/>
            <w:hideMark/>
          </w:tcPr>
          <w:p w14:paraId="47F04283" w14:textId="77777777" w:rsidR="00CE75D4" w:rsidRPr="002029AF" w:rsidRDefault="00CE75D4" w:rsidP="008340C1">
            <w:pPr>
              <w:pStyle w:val="ARfintablebodyright"/>
              <w:spacing w:before="30" w:after="10" w:line="228" w:lineRule="auto"/>
            </w:pPr>
            <w:r w:rsidRPr="009573E6">
              <w:t>3</w:t>
            </w:r>
            <w:r>
              <w:t>55.7</w:t>
            </w:r>
          </w:p>
        </w:tc>
        <w:tc>
          <w:tcPr>
            <w:tcW w:w="1134" w:type="dxa"/>
            <w:tcBorders>
              <w:top w:val="single" w:sz="4" w:space="0" w:color="A6A6A6"/>
              <w:bottom w:val="single" w:sz="4" w:space="0" w:color="A6A6A6"/>
            </w:tcBorders>
            <w:noWrap/>
            <w:hideMark/>
          </w:tcPr>
          <w:p w14:paraId="67346E62" w14:textId="77777777" w:rsidR="00CE75D4" w:rsidRPr="002029AF" w:rsidRDefault="00CE75D4" w:rsidP="008340C1">
            <w:pPr>
              <w:pStyle w:val="ARfintablebodyright"/>
              <w:spacing w:before="30" w:after="10" w:line="228" w:lineRule="auto"/>
            </w:pPr>
            <w:r w:rsidRPr="009573E6">
              <w:t>350.8</w:t>
            </w:r>
          </w:p>
        </w:tc>
      </w:tr>
      <w:tr w:rsidR="00CE75D4" w:rsidRPr="002029AF" w14:paraId="1860E2A3" w14:textId="77777777" w:rsidTr="00860E95">
        <w:tc>
          <w:tcPr>
            <w:tcW w:w="7369" w:type="dxa"/>
            <w:tcBorders>
              <w:top w:val="single" w:sz="4" w:space="0" w:color="A6A6A6"/>
              <w:bottom w:val="single" w:sz="4" w:space="0" w:color="A6A6A6"/>
            </w:tcBorders>
            <w:hideMark/>
          </w:tcPr>
          <w:p w14:paraId="5DEE1484" w14:textId="77777777" w:rsidR="00CE75D4" w:rsidRPr="002029AF" w:rsidRDefault="00CE75D4" w:rsidP="008340C1">
            <w:pPr>
              <w:pStyle w:val="ARfintablebody"/>
              <w:spacing w:before="30" w:after="10" w:line="228" w:lineRule="auto"/>
            </w:pPr>
            <w:r w:rsidRPr="009573E6">
              <w:t>Western Health</w:t>
            </w:r>
          </w:p>
        </w:tc>
        <w:tc>
          <w:tcPr>
            <w:tcW w:w="1134" w:type="dxa"/>
            <w:tcBorders>
              <w:top w:val="single" w:sz="4" w:space="0" w:color="A6A6A6"/>
              <w:bottom w:val="single" w:sz="4" w:space="0" w:color="A6A6A6"/>
            </w:tcBorders>
            <w:shd w:val="clear" w:color="auto" w:fill="E7E6E6"/>
            <w:noWrap/>
            <w:hideMark/>
          </w:tcPr>
          <w:p w14:paraId="119603B1" w14:textId="77777777" w:rsidR="00CE75D4" w:rsidRPr="002029AF" w:rsidRDefault="00CE75D4" w:rsidP="008340C1">
            <w:pPr>
              <w:pStyle w:val="ARfintablebodyright"/>
              <w:spacing w:before="30" w:after="10" w:line="228" w:lineRule="auto"/>
            </w:pPr>
            <w:r>
              <w:t>351.7</w:t>
            </w:r>
          </w:p>
        </w:tc>
        <w:tc>
          <w:tcPr>
            <w:tcW w:w="1134" w:type="dxa"/>
            <w:tcBorders>
              <w:top w:val="single" w:sz="4" w:space="0" w:color="A6A6A6"/>
              <w:bottom w:val="single" w:sz="4" w:space="0" w:color="A6A6A6"/>
            </w:tcBorders>
            <w:noWrap/>
            <w:hideMark/>
          </w:tcPr>
          <w:p w14:paraId="43185AD1" w14:textId="77777777" w:rsidR="00CE75D4" w:rsidRPr="002029AF" w:rsidRDefault="00CE75D4" w:rsidP="008340C1">
            <w:pPr>
              <w:pStyle w:val="ARfintablebodyright"/>
              <w:spacing w:before="30" w:after="10" w:line="228" w:lineRule="auto"/>
            </w:pPr>
            <w:r w:rsidRPr="009573E6">
              <w:t>324.7</w:t>
            </w:r>
          </w:p>
        </w:tc>
      </w:tr>
      <w:tr w:rsidR="00CE75D4" w:rsidRPr="002029AF" w14:paraId="29F9E6B3" w14:textId="77777777" w:rsidTr="00860E95">
        <w:tc>
          <w:tcPr>
            <w:tcW w:w="7369" w:type="dxa"/>
            <w:tcBorders>
              <w:top w:val="single" w:sz="4" w:space="0" w:color="A6A6A6"/>
              <w:bottom w:val="single" w:sz="4" w:space="0" w:color="A6A6A6"/>
            </w:tcBorders>
            <w:hideMark/>
          </w:tcPr>
          <w:p w14:paraId="57E35178" w14:textId="77777777" w:rsidR="00CE75D4" w:rsidRPr="002029AF" w:rsidRDefault="00CE75D4" w:rsidP="008340C1">
            <w:pPr>
              <w:pStyle w:val="ARfintablebody"/>
              <w:spacing w:before="30" w:after="10" w:line="228" w:lineRule="auto"/>
            </w:pPr>
            <w:r w:rsidRPr="009573E6">
              <w:t>Peter Mac</w:t>
            </w:r>
            <w:r>
              <w:t>C</w:t>
            </w:r>
            <w:r w:rsidRPr="009573E6">
              <w:t>allum Cancer Centre</w:t>
            </w:r>
          </w:p>
        </w:tc>
        <w:tc>
          <w:tcPr>
            <w:tcW w:w="1134" w:type="dxa"/>
            <w:tcBorders>
              <w:top w:val="single" w:sz="4" w:space="0" w:color="A6A6A6"/>
              <w:bottom w:val="single" w:sz="4" w:space="0" w:color="A6A6A6"/>
            </w:tcBorders>
            <w:shd w:val="clear" w:color="auto" w:fill="E7E6E6"/>
            <w:noWrap/>
            <w:hideMark/>
          </w:tcPr>
          <w:p w14:paraId="46B942A8" w14:textId="77777777" w:rsidR="00CE75D4" w:rsidRPr="002029AF" w:rsidRDefault="00CE75D4" w:rsidP="008340C1">
            <w:pPr>
              <w:pStyle w:val="ARfintablebodyright"/>
              <w:spacing w:before="30" w:after="10" w:line="228" w:lineRule="auto"/>
            </w:pPr>
            <w:r w:rsidRPr="009573E6">
              <w:t>2</w:t>
            </w:r>
            <w:r>
              <w:t>62.4</w:t>
            </w:r>
          </w:p>
        </w:tc>
        <w:tc>
          <w:tcPr>
            <w:tcW w:w="1134" w:type="dxa"/>
            <w:tcBorders>
              <w:top w:val="single" w:sz="4" w:space="0" w:color="A6A6A6"/>
              <w:bottom w:val="single" w:sz="4" w:space="0" w:color="A6A6A6"/>
            </w:tcBorders>
            <w:noWrap/>
            <w:hideMark/>
          </w:tcPr>
          <w:p w14:paraId="4C3F0D9C" w14:textId="77777777" w:rsidR="00CE75D4" w:rsidRPr="002029AF" w:rsidRDefault="00CE75D4" w:rsidP="008340C1">
            <w:pPr>
              <w:pStyle w:val="ARfintablebodyright"/>
              <w:spacing w:before="30" w:after="10" w:line="228" w:lineRule="auto"/>
            </w:pPr>
            <w:r>
              <w:t>316.9</w:t>
            </w:r>
          </w:p>
        </w:tc>
      </w:tr>
      <w:tr w:rsidR="00CE75D4" w:rsidRPr="002029AF" w14:paraId="02CDF58E" w14:textId="77777777" w:rsidTr="00860E95">
        <w:tc>
          <w:tcPr>
            <w:tcW w:w="7369" w:type="dxa"/>
            <w:tcBorders>
              <w:top w:val="single" w:sz="4" w:space="0" w:color="A6A6A6"/>
              <w:bottom w:val="single" w:sz="4" w:space="0" w:color="A6A6A6"/>
            </w:tcBorders>
            <w:hideMark/>
          </w:tcPr>
          <w:p w14:paraId="73143060" w14:textId="77777777" w:rsidR="00CE75D4" w:rsidRPr="002029AF" w:rsidRDefault="00CE75D4" w:rsidP="008340C1">
            <w:pPr>
              <w:pStyle w:val="ARfintablebody"/>
              <w:spacing w:before="30" w:after="10" w:line="228" w:lineRule="auto"/>
            </w:pPr>
            <w:r>
              <w:t>Dental Health Services Victoria</w:t>
            </w:r>
          </w:p>
        </w:tc>
        <w:tc>
          <w:tcPr>
            <w:tcW w:w="1134" w:type="dxa"/>
            <w:tcBorders>
              <w:top w:val="single" w:sz="4" w:space="0" w:color="A6A6A6"/>
              <w:bottom w:val="single" w:sz="4" w:space="0" w:color="A6A6A6"/>
            </w:tcBorders>
            <w:shd w:val="clear" w:color="auto" w:fill="E7E6E6"/>
            <w:noWrap/>
            <w:hideMark/>
          </w:tcPr>
          <w:p w14:paraId="6890BA6C" w14:textId="77777777" w:rsidR="00CE75D4" w:rsidRPr="002029AF" w:rsidRDefault="00CE75D4" w:rsidP="008340C1">
            <w:pPr>
              <w:pStyle w:val="ARfintablebodyright"/>
              <w:spacing w:before="30" w:after="10" w:line="228" w:lineRule="auto"/>
            </w:pPr>
            <w:r w:rsidRPr="009573E6">
              <w:t>25</w:t>
            </w:r>
            <w:r>
              <w:t>4.8</w:t>
            </w:r>
          </w:p>
        </w:tc>
        <w:tc>
          <w:tcPr>
            <w:tcW w:w="1134" w:type="dxa"/>
            <w:tcBorders>
              <w:top w:val="single" w:sz="4" w:space="0" w:color="A6A6A6"/>
              <w:bottom w:val="single" w:sz="4" w:space="0" w:color="A6A6A6"/>
            </w:tcBorders>
            <w:noWrap/>
            <w:hideMark/>
          </w:tcPr>
          <w:p w14:paraId="134CC27D" w14:textId="77777777" w:rsidR="00CE75D4" w:rsidRPr="002029AF" w:rsidRDefault="00CE75D4" w:rsidP="008340C1">
            <w:pPr>
              <w:pStyle w:val="ARfintablebodyright"/>
              <w:spacing w:before="30" w:after="10" w:line="228" w:lineRule="auto"/>
            </w:pPr>
            <w:r>
              <w:t>250.7</w:t>
            </w:r>
          </w:p>
        </w:tc>
      </w:tr>
      <w:tr w:rsidR="00CE75D4" w:rsidRPr="002029AF" w14:paraId="7CA36AAD" w14:textId="77777777" w:rsidTr="00860E95">
        <w:tc>
          <w:tcPr>
            <w:tcW w:w="7369" w:type="dxa"/>
            <w:tcBorders>
              <w:top w:val="single" w:sz="4" w:space="0" w:color="A6A6A6"/>
              <w:bottom w:val="single" w:sz="4" w:space="0" w:color="A6A6A6"/>
            </w:tcBorders>
            <w:hideMark/>
          </w:tcPr>
          <w:p w14:paraId="3251E848" w14:textId="77777777" w:rsidR="00CE75D4" w:rsidRPr="002029AF" w:rsidRDefault="00CE75D4" w:rsidP="008340C1">
            <w:pPr>
              <w:pStyle w:val="ARfintablebody"/>
              <w:spacing w:before="30" w:after="10" w:line="228" w:lineRule="auto"/>
            </w:pPr>
            <w:r w:rsidRPr="009573E6">
              <w:t>The Royal Children</w:t>
            </w:r>
            <w:r>
              <w:t>’</w:t>
            </w:r>
            <w:r w:rsidRPr="009573E6">
              <w:t>s Hospital</w:t>
            </w:r>
          </w:p>
        </w:tc>
        <w:tc>
          <w:tcPr>
            <w:tcW w:w="1134" w:type="dxa"/>
            <w:tcBorders>
              <w:top w:val="single" w:sz="4" w:space="0" w:color="A6A6A6"/>
              <w:bottom w:val="single" w:sz="4" w:space="0" w:color="A6A6A6"/>
            </w:tcBorders>
            <w:shd w:val="clear" w:color="auto" w:fill="E7E6E6"/>
            <w:noWrap/>
            <w:hideMark/>
          </w:tcPr>
          <w:p w14:paraId="0B48E5A2" w14:textId="77777777" w:rsidR="00CE75D4" w:rsidRPr="002029AF" w:rsidRDefault="00CE75D4" w:rsidP="008340C1">
            <w:pPr>
              <w:pStyle w:val="ARfintablebodyright"/>
              <w:spacing w:before="30" w:after="10" w:line="228" w:lineRule="auto"/>
            </w:pPr>
            <w:r w:rsidRPr="009573E6">
              <w:t>2</w:t>
            </w:r>
            <w:r>
              <w:t>53.2</w:t>
            </w:r>
          </w:p>
        </w:tc>
        <w:tc>
          <w:tcPr>
            <w:tcW w:w="1134" w:type="dxa"/>
            <w:tcBorders>
              <w:top w:val="single" w:sz="4" w:space="0" w:color="A6A6A6"/>
              <w:bottom w:val="single" w:sz="4" w:space="0" w:color="A6A6A6"/>
            </w:tcBorders>
            <w:noWrap/>
            <w:hideMark/>
          </w:tcPr>
          <w:p w14:paraId="069E294F" w14:textId="77777777" w:rsidR="00CE75D4" w:rsidRPr="002029AF" w:rsidRDefault="00CE75D4" w:rsidP="008340C1">
            <w:pPr>
              <w:pStyle w:val="ARfintablebodyright"/>
              <w:spacing w:before="30" w:after="10" w:line="228" w:lineRule="auto"/>
            </w:pPr>
            <w:r w:rsidRPr="009573E6">
              <w:t>281.8</w:t>
            </w:r>
          </w:p>
        </w:tc>
      </w:tr>
      <w:tr w:rsidR="00CE75D4" w:rsidRPr="002029AF" w14:paraId="49EAB34C" w14:textId="77777777" w:rsidTr="00860E95">
        <w:tc>
          <w:tcPr>
            <w:tcW w:w="7369" w:type="dxa"/>
            <w:tcBorders>
              <w:top w:val="single" w:sz="4" w:space="0" w:color="A6A6A6"/>
              <w:bottom w:val="single" w:sz="4" w:space="0" w:color="A6A6A6"/>
            </w:tcBorders>
            <w:hideMark/>
          </w:tcPr>
          <w:p w14:paraId="24406AC8" w14:textId="77777777" w:rsidR="00CE75D4" w:rsidRPr="002029AF" w:rsidRDefault="00CE75D4" w:rsidP="008340C1">
            <w:pPr>
              <w:pStyle w:val="ARfintablebody"/>
              <w:spacing w:before="30" w:after="10" w:line="228" w:lineRule="auto"/>
            </w:pPr>
            <w:r w:rsidRPr="009573E6">
              <w:t>Northern Health</w:t>
            </w:r>
          </w:p>
        </w:tc>
        <w:tc>
          <w:tcPr>
            <w:tcW w:w="1134" w:type="dxa"/>
            <w:tcBorders>
              <w:top w:val="single" w:sz="4" w:space="0" w:color="A6A6A6"/>
              <w:bottom w:val="single" w:sz="4" w:space="0" w:color="A6A6A6"/>
            </w:tcBorders>
            <w:shd w:val="clear" w:color="auto" w:fill="E7E6E6"/>
            <w:noWrap/>
            <w:hideMark/>
          </w:tcPr>
          <w:p w14:paraId="564D3EC4" w14:textId="77777777" w:rsidR="00CE75D4" w:rsidRPr="002029AF" w:rsidRDefault="00CE75D4" w:rsidP="008340C1">
            <w:pPr>
              <w:pStyle w:val="ARfintablebodyright"/>
              <w:spacing w:before="30" w:after="10" w:line="228" w:lineRule="auto"/>
            </w:pPr>
            <w:r w:rsidRPr="009573E6">
              <w:t>2</w:t>
            </w:r>
            <w:r>
              <w:t>50.1</w:t>
            </w:r>
          </w:p>
        </w:tc>
        <w:tc>
          <w:tcPr>
            <w:tcW w:w="1134" w:type="dxa"/>
            <w:tcBorders>
              <w:top w:val="single" w:sz="4" w:space="0" w:color="A6A6A6"/>
              <w:bottom w:val="single" w:sz="4" w:space="0" w:color="A6A6A6"/>
            </w:tcBorders>
            <w:noWrap/>
            <w:hideMark/>
          </w:tcPr>
          <w:p w14:paraId="6C6DC350" w14:textId="77777777" w:rsidR="00CE75D4" w:rsidRPr="002029AF" w:rsidRDefault="00CE75D4" w:rsidP="008340C1">
            <w:pPr>
              <w:pStyle w:val="ARfintablebodyright"/>
              <w:spacing w:before="30" w:after="10" w:line="228" w:lineRule="auto"/>
            </w:pPr>
            <w:r w:rsidRPr="009573E6">
              <w:t>21</w:t>
            </w:r>
            <w:r>
              <w:t>9</w:t>
            </w:r>
            <w:r w:rsidRPr="009573E6">
              <w:t>.8</w:t>
            </w:r>
          </w:p>
        </w:tc>
      </w:tr>
      <w:tr w:rsidR="00CE75D4" w:rsidRPr="002029AF" w14:paraId="1DCD1C0F" w14:textId="77777777" w:rsidTr="00860E95">
        <w:tc>
          <w:tcPr>
            <w:tcW w:w="7369" w:type="dxa"/>
            <w:tcBorders>
              <w:top w:val="single" w:sz="4" w:space="0" w:color="A6A6A6"/>
              <w:bottom w:val="single" w:sz="4" w:space="0" w:color="A6A6A6"/>
            </w:tcBorders>
            <w:hideMark/>
          </w:tcPr>
          <w:p w14:paraId="4BED3F5A" w14:textId="77777777" w:rsidR="00CE75D4" w:rsidRPr="002029AF" w:rsidRDefault="00CE75D4" w:rsidP="008340C1">
            <w:pPr>
              <w:pStyle w:val="ARfintablebody"/>
              <w:spacing w:before="30" w:after="10" w:line="228" w:lineRule="auto"/>
            </w:pPr>
            <w:r>
              <w:t>Peninsula</w:t>
            </w:r>
            <w:r w:rsidRPr="009573E6">
              <w:t xml:space="preserve"> Health</w:t>
            </w:r>
          </w:p>
        </w:tc>
        <w:tc>
          <w:tcPr>
            <w:tcW w:w="1134" w:type="dxa"/>
            <w:tcBorders>
              <w:top w:val="single" w:sz="4" w:space="0" w:color="A6A6A6"/>
              <w:bottom w:val="single" w:sz="4" w:space="0" w:color="A6A6A6"/>
            </w:tcBorders>
            <w:shd w:val="clear" w:color="auto" w:fill="E7E6E6"/>
            <w:noWrap/>
            <w:hideMark/>
          </w:tcPr>
          <w:p w14:paraId="67A44A3E" w14:textId="77777777" w:rsidR="00CE75D4" w:rsidRPr="002029AF" w:rsidRDefault="00CE75D4" w:rsidP="008340C1">
            <w:pPr>
              <w:pStyle w:val="ARfintablebodyright"/>
              <w:spacing w:before="30" w:after="10" w:line="228" w:lineRule="auto"/>
            </w:pPr>
            <w:r w:rsidRPr="009573E6">
              <w:t>2</w:t>
            </w:r>
            <w:r>
              <w:t>34.2</w:t>
            </w:r>
          </w:p>
        </w:tc>
        <w:tc>
          <w:tcPr>
            <w:tcW w:w="1134" w:type="dxa"/>
            <w:tcBorders>
              <w:top w:val="single" w:sz="4" w:space="0" w:color="A6A6A6"/>
              <w:bottom w:val="single" w:sz="4" w:space="0" w:color="A6A6A6"/>
            </w:tcBorders>
            <w:noWrap/>
            <w:hideMark/>
          </w:tcPr>
          <w:p w14:paraId="24C1119B" w14:textId="77777777" w:rsidR="00CE75D4" w:rsidRPr="002029AF" w:rsidRDefault="00CE75D4" w:rsidP="008340C1">
            <w:pPr>
              <w:pStyle w:val="ARfintablebodyright"/>
              <w:spacing w:before="30" w:after="10" w:line="228" w:lineRule="auto"/>
            </w:pPr>
            <w:r w:rsidRPr="009573E6">
              <w:t>21</w:t>
            </w:r>
            <w:r>
              <w:t>4.1</w:t>
            </w:r>
          </w:p>
        </w:tc>
      </w:tr>
      <w:tr w:rsidR="00CE75D4" w:rsidRPr="002029AF" w14:paraId="00DC5913" w14:textId="77777777" w:rsidTr="00860E95">
        <w:tc>
          <w:tcPr>
            <w:tcW w:w="7369" w:type="dxa"/>
            <w:tcBorders>
              <w:top w:val="single" w:sz="4" w:space="0" w:color="A6A6A6"/>
              <w:bottom w:val="single" w:sz="4" w:space="0" w:color="A6A6A6"/>
            </w:tcBorders>
            <w:hideMark/>
          </w:tcPr>
          <w:p w14:paraId="60BA407E" w14:textId="77777777" w:rsidR="00CE75D4" w:rsidRPr="002029AF" w:rsidRDefault="00CE75D4" w:rsidP="008340C1">
            <w:pPr>
              <w:pStyle w:val="ARfintablebody"/>
              <w:spacing w:before="30" w:after="10" w:line="228" w:lineRule="auto"/>
            </w:pPr>
            <w:r>
              <w:t>Bendigo</w:t>
            </w:r>
            <w:r w:rsidRPr="009573E6">
              <w:t xml:space="preserve"> Health</w:t>
            </w:r>
          </w:p>
        </w:tc>
        <w:tc>
          <w:tcPr>
            <w:tcW w:w="1134" w:type="dxa"/>
            <w:tcBorders>
              <w:top w:val="single" w:sz="4" w:space="0" w:color="A6A6A6"/>
              <w:bottom w:val="single" w:sz="4" w:space="0" w:color="A6A6A6"/>
            </w:tcBorders>
            <w:shd w:val="clear" w:color="auto" w:fill="E7E6E6"/>
            <w:noWrap/>
            <w:hideMark/>
          </w:tcPr>
          <w:p w14:paraId="644901D4" w14:textId="77777777" w:rsidR="00CE75D4" w:rsidRPr="002029AF" w:rsidRDefault="00CE75D4" w:rsidP="008340C1">
            <w:pPr>
              <w:pStyle w:val="ARfintablebodyright"/>
              <w:spacing w:before="30" w:after="10" w:line="228" w:lineRule="auto"/>
            </w:pPr>
            <w:r>
              <w:t>225.4</w:t>
            </w:r>
          </w:p>
        </w:tc>
        <w:tc>
          <w:tcPr>
            <w:tcW w:w="1134" w:type="dxa"/>
            <w:tcBorders>
              <w:top w:val="single" w:sz="4" w:space="0" w:color="A6A6A6"/>
              <w:bottom w:val="single" w:sz="4" w:space="0" w:color="A6A6A6"/>
            </w:tcBorders>
            <w:noWrap/>
            <w:hideMark/>
          </w:tcPr>
          <w:p w14:paraId="5FD81CF9" w14:textId="77777777" w:rsidR="00CE75D4" w:rsidRPr="002029AF" w:rsidRDefault="00CE75D4" w:rsidP="008340C1">
            <w:pPr>
              <w:pStyle w:val="ARfintablebodyright"/>
              <w:spacing w:before="30" w:after="10" w:line="228" w:lineRule="auto"/>
            </w:pPr>
            <w:r w:rsidRPr="009573E6">
              <w:t>21</w:t>
            </w:r>
            <w:r>
              <w:t>1.8</w:t>
            </w:r>
          </w:p>
        </w:tc>
      </w:tr>
      <w:tr w:rsidR="00CE75D4" w:rsidRPr="002029AF" w14:paraId="0167B383" w14:textId="77777777" w:rsidTr="00860E95">
        <w:tc>
          <w:tcPr>
            <w:tcW w:w="7369" w:type="dxa"/>
            <w:tcBorders>
              <w:top w:val="single" w:sz="4" w:space="0" w:color="A6A6A6"/>
              <w:bottom w:val="single" w:sz="4" w:space="0" w:color="A6A6A6"/>
            </w:tcBorders>
            <w:hideMark/>
          </w:tcPr>
          <w:p w14:paraId="2051CE80" w14:textId="77777777" w:rsidR="00CE75D4" w:rsidRPr="002029AF" w:rsidRDefault="00CE75D4" w:rsidP="008340C1">
            <w:pPr>
              <w:pStyle w:val="ARfintablebody"/>
              <w:spacing w:before="30" w:after="10" w:line="228" w:lineRule="auto"/>
            </w:pPr>
            <w:r w:rsidRPr="009573E6">
              <w:t>Albury Wodonga Health</w:t>
            </w:r>
          </w:p>
        </w:tc>
        <w:tc>
          <w:tcPr>
            <w:tcW w:w="1134" w:type="dxa"/>
            <w:tcBorders>
              <w:top w:val="single" w:sz="4" w:space="0" w:color="A6A6A6"/>
              <w:bottom w:val="single" w:sz="4" w:space="0" w:color="A6A6A6"/>
            </w:tcBorders>
            <w:shd w:val="clear" w:color="auto" w:fill="E7E6E6"/>
            <w:noWrap/>
            <w:hideMark/>
          </w:tcPr>
          <w:p w14:paraId="7D6BB87F" w14:textId="77777777" w:rsidR="00CE75D4" w:rsidRPr="002029AF" w:rsidRDefault="00CE75D4" w:rsidP="008340C1">
            <w:pPr>
              <w:pStyle w:val="ARfintablebodyright"/>
              <w:spacing w:before="30" w:after="10" w:line="228" w:lineRule="auto"/>
            </w:pPr>
            <w:r w:rsidRPr="009573E6">
              <w:t>1</w:t>
            </w:r>
            <w:r>
              <w:t>96.1</w:t>
            </w:r>
          </w:p>
        </w:tc>
        <w:tc>
          <w:tcPr>
            <w:tcW w:w="1134" w:type="dxa"/>
            <w:tcBorders>
              <w:top w:val="single" w:sz="4" w:space="0" w:color="A6A6A6"/>
              <w:bottom w:val="single" w:sz="4" w:space="0" w:color="A6A6A6"/>
            </w:tcBorders>
            <w:noWrap/>
            <w:hideMark/>
          </w:tcPr>
          <w:p w14:paraId="2891EE17" w14:textId="77777777" w:rsidR="00CE75D4" w:rsidRPr="002029AF" w:rsidRDefault="00CE75D4" w:rsidP="008340C1">
            <w:pPr>
              <w:pStyle w:val="ARfintablebodyright"/>
              <w:spacing w:before="30" w:after="10" w:line="228" w:lineRule="auto"/>
            </w:pPr>
            <w:r w:rsidRPr="009573E6">
              <w:t>176.6</w:t>
            </w:r>
          </w:p>
        </w:tc>
      </w:tr>
      <w:tr w:rsidR="00CE75D4" w:rsidRPr="002029AF" w14:paraId="0300384F" w14:textId="77777777" w:rsidTr="00860E95">
        <w:tc>
          <w:tcPr>
            <w:tcW w:w="7369" w:type="dxa"/>
            <w:tcBorders>
              <w:top w:val="single" w:sz="4" w:space="0" w:color="A6A6A6"/>
              <w:bottom w:val="single" w:sz="4" w:space="0" w:color="A6A6A6"/>
            </w:tcBorders>
          </w:tcPr>
          <w:p w14:paraId="025E6330" w14:textId="77777777" w:rsidR="00CE75D4" w:rsidRPr="002029AF" w:rsidRDefault="00CE75D4" w:rsidP="008340C1">
            <w:pPr>
              <w:pStyle w:val="ARfintablebody"/>
              <w:spacing w:before="30" w:after="10" w:line="228" w:lineRule="auto"/>
            </w:pPr>
            <w:r w:rsidRPr="009573E6">
              <w:t>Grampians Health</w:t>
            </w:r>
          </w:p>
        </w:tc>
        <w:tc>
          <w:tcPr>
            <w:tcW w:w="1134" w:type="dxa"/>
            <w:tcBorders>
              <w:top w:val="single" w:sz="4" w:space="0" w:color="A6A6A6"/>
              <w:bottom w:val="single" w:sz="4" w:space="0" w:color="A6A6A6"/>
            </w:tcBorders>
            <w:shd w:val="clear" w:color="auto" w:fill="E7E6E6"/>
            <w:noWrap/>
          </w:tcPr>
          <w:p w14:paraId="7A0FDD8F" w14:textId="77777777" w:rsidR="00CE75D4" w:rsidRPr="002029AF" w:rsidRDefault="00CE75D4" w:rsidP="008340C1">
            <w:pPr>
              <w:pStyle w:val="ARfintablebodyright"/>
              <w:spacing w:before="30" w:after="10" w:line="228" w:lineRule="auto"/>
            </w:pPr>
            <w:r w:rsidRPr="009573E6">
              <w:t>1</w:t>
            </w:r>
            <w:r>
              <w:t>78.7</w:t>
            </w:r>
          </w:p>
        </w:tc>
        <w:tc>
          <w:tcPr>
            <w:tcW w:w="1134" w:type="dxa"/>
            <w:tcBorders>
              <w:top w:val="single" w:sz="4" w:space="0" w:color="A6A6A6"/>
              <w:bottom w:val="single" w:sz="4" w:space="0" w:color="A6A6A6"/>
            </w:tcBorders>
            <w:noWrap/>
          </w:tcPr>
          <w:p w14:paraId="4DB3BA55" w14:textId="77777777" w:rsidR="00CE75D4" w:rsidRPr="002029AF" w:rsidRDefault="00CE75D4" w:rsidP="008340C1">
            <w:pPr>
              <w:pStyle w:val="ARfintablebodyright"/>
              <w:spacing w:before="30" w:after="10" w:line="228" w:lineRule="auto"/>
            </w:pPr>
            <w:r>
              <w:t>–</w:t>
            </w:r>
          </w:p>
        </w:tc>
      </w:tr>
      <w:tr w:rsidR="00CE75D4" w:rsidRPr="002029AF" w14:paraId="3CF909F7" w14:textId="77777777" w:rsidTr="00860E95">
        <w:tc>
          <w:tcPr>
            <w:tcW w:w="7369" w:type="dxa"/>
            <w:tcBorders>
              <w:top w:val="single" w:sz="4" w:space="0" w:color="A6A6A6"/>
              <w:bottom w:val="single" w:sz="4" w:space="0" w:color="A6A6A6"/>
            </w:tcBorders>
          </w:tcPr>
          <w:p w14:paraId="3A7CD19E" w14:textId="77777777" w:rsidR="00CE75D4" w:rsidRPr="002029AF" w:rsidRDefault="00CE75D4" w:rsidP="008340C1">
            <w:pPr>
              <w:pStyle w:val="ARfintablebody"/>
              <w:spacing w:before="30" w:after="10" w:line="228" w:lineRule="auto"/>
            </w:pPr>
            <w:r w:rsidRPr="009573E6">
              <w:t>Goulburn Valley Health</w:t>
            </w:r>
          </w:p>
        </w:tc>
        <w:tc>
          <w:tcPr>
            <w:tcW w:w="1134" w:type="dxa"/>
            <w:tcBorders>
              <w:top w:val="single" w:sz="4" w:space="0" w:color="A6A6A6"/>
              <w:bottom w:val="single" w:sz="4" w:space="0" w:color="A6A6A6"/>
            </w:tcBorders>
            <w:shd w:val="clear" w:color="auto" w:fill="E7E6E6"/>
            <w:noWrap/>
          </w:tcPr>
          <w:p w14:paraId="6182669A" w14:textId="77777777" w:rsidR="00CE75D4" w:rsidRPr="002029AF" w:rsidRDefault="00CE75D4" w:rsidP="008340C1">
            <w:pPr>
              <w:pStyle w:val="ARfintablebodyright"/>
              <w:spacing w:before="30" w:after="10" w:line="228" w:lineRule="auto"/>
            </w:pPr>
            <w:r w:rsidRPr="009573E6">
              <w:t>1</w:t>
            </w:r>
            <w:r>
              <w:t>21.5</w:t>
            </w:r>
          </w:p>
        </w:tc>
        <w:tc>
          <w:tcPr>
            <w:tcW w:w="1134" w:type="dxa"/>
            <w:tcBorders>
              <w:top w:val="single" w:sz="4" w:space="0" w:color="A6A6A6"/>
              <w:bottom w:val="single" w:sz="4" w:space="0" w:color="A6A6A6"/>
            </w:tcBorders>
            <w:noWrap/>
          </w:tcPr>
          <w:p w14:paraId="62A7085F" w14:textId="77777777" w:rsidR="00CE75D4" w:rsidRPr="002029AF" w:rsidRDefault="00CE75D4" w:rsidP="008340C1">
            <w:pPr>
              <w:pStyle w:val="ARfintablebodyright"/>
              <w:spacing w:before="30" w:after="10" w:line="228" w:lineRule="auto"/>
            </w:pPr>
            <w:r>
              <w:t>113.7</w:t>
            </w:r>
          </w:p>
        </w:tc>
      </w:tr>
      <w:tr w:rsidR="00CE75D4" w:rsidRPr="002029AF" w14:paraId="0194925F" w14:textId="77777777" w:rsidTr="00860E95">
        <w:tc>
          <w:tcPr>
            <w:tcW w:w="7369" w:type="dxa"/>
            <w:tcBorders>
              <w:top w:val="single" w:sz="4" w:space="0" w:color="A6A6A6"/>
              <w:bottom w:val="single" w:sz="4" w:space="0" w:color="A6A6A6"/>
            </w:tcBorders>
          </w:tcPr>
          <w:p w14:paraId="39002053" w14:textId="77777777" w:rsidR="00CE75D4" w:rsidRPr="002029AF" w:rsidRDefault="00CE75D4" w:rsidP="008340C1">
            <w:pPr>
              <w:pStyle w:val="ARfintablebody"/>
              <w:spacing w:before="30" w:after="10" w:line="228" w:lineRule="auto"/>
            </w:pPr>
            <w:r w:rsidRPr="009573E6">
              <w:t>Latrobe Regional Hospital</w:t>
            </w:r>
          </w:p>
        </w:tc>
        <w:tc>
          <w:tcPr>
            <w:tcW w:w="1134" w:type="dxa"/>
            <w:tcBorders>
              <w:top w:val="single" w:sz="4" w:space="0" w:color="A6A6A6"/>
              <w:bottom w:val="single" w:sz="4" w:space="0" w:color="A6A6A6"/>
            </w:tcBorders>
            <w:shd w:val="clear" w:color="auto" w:fill="E7E6E6"/>
            <w:noWrap/>
          </w:tcPr>
          <w:p w14:paraId="54E4D097" w14:textId="77777777" w:rsidR="00CE75D4" w:rsidRPr="002029AF" w:rsidRDefault="00CE75D4" w:rsidP="008340C1">
            <w:pPr>
              <w:pStyle w:val="ARfintablebodyright"/>
              <w:spacing w:before="30" w:after="10" w:line="228" w:lineRule="auto"/>
            </w:pPr>
            <w:r w:rsidRPr="009573E6">
              <w:t>1</w:t>
            </w:r>
            <w:r>
              <w:t>21.0</w:t>
            </w:r>
          </w:p>
        </w:tc>
        <w:tc>
          <w:tcPr>
            <w:tcW w:w="1134" w:type="dxa"/>
            <w:tcBorders>
              <w:top w:val="single" w:sz="4" w:space="0" w:color="A6A6A6"/>
              <w:bottom w:val="single" w:sz="4" w:space="0" w:color="A6A6A6"/>
            </w:tcBorders>
            <w:noWrap/>
          </w:tcPr>
          <w:p w14:paraId="692312C9" w14:textId="77777777" w:rsidR="00CE75D4" w:rsidRPr="002029AF" w:rsidRDefault="00CE75D4" w:rsidP="008340C1">
            <w:pPr>
              <w:pStyle w:val="ARfintablebodyright"/>
              <w:spacing w:before="30" w:after="10" w:line="228" w:lineRule="auto"/>
            </w:pPr>
            <w:r>
              <w:t>78.4</w:t>
            </w:r>
          </w:p>
        </w:tc>
      </w:tr>
      <w:tr w:rsidR="00CE75D4" w:rsidRPr="002029AF" w14:paraId="727F99E6" w14:textId="77777777" w:rsidTr="00860E95">
        <w:tc>
          <w:tcPr>
            <w:tcW w:w="7369" w:type="dxa"/>
            <w:tcBorders>
              <w:top w:val="single" w:sz="4" w:space="0" w:color="A6A6A6"/>
              <w:bottom w:val="single" w:sz="4" w:space="0" w:color="A6A6A6"/>
            </w:tcBorders>
          </w:tcPr>
          <w:p w14:paraId="3BC008D3" w14:textId="77777777" w:rsidR="00CE75D4" w:rsidRPr="002029AF" w:rsidRDefault="00CE75D4" w:rsidP="008340C1">
            <w:pPr>
              <w:pStyle w:val="ARfintablebody"/>
              <w:spacing w:before="30" w:after="10" w:line="228" w:lineRule="auto"/>
            </w:pPr>
            <w:r w:rsidRPr="009573E6">
              <w:t>Bass Coast Health</w:t>
            </w:r>
          </w:p>
        </w:tc>
        <w:tc>
          <w:tcPr>
            <w:tcW w:w="1134" w:type="dxa"/>
            <w:tcBorders>
              <w:top w:val="single" w:sz="4" w:space="0" w:color="A6A6A6"/>
              <w:bottom w:val="single" w:sz="4" w:space="0" w:color="A6A6A6"/>
            </w:tcBorders>
            <w:shd w:val="clear" w:color="auto" w:fill="E7E6E6"/>
            <w:noWrap/>
          </w:tcPr>
          <w:p w14:paraId="511F56FA" w14:textId="77777777" w:rsidR="00CE75D4" w:rsidRPr="002029AF" w:rsidRDefault="00CE75D4" w:rsidP="008340C1">
            <w:pPr>
              <w:pStyle w:val="ARfintablebodyright"/>
              <w:spacing w:before="30" w:after="10" w:line="228" w:lineRule="auto"/>
            </w:pPr>
            <w:r>
              <w:t>92.6</w:t>
            </w:r>
          </w:p>
        </w:tc>
        <w:tc>
          <w:tcPr>
            <w:tcW w:w="1134" w:type="dxa"/>
            <w:tcBorders>
              <w:top w:val="single" w:sz="4" w:space="0" w:color="A6A6A6"/>
              <w:bottom w:val="single" w:sz="4" w:space="0" w:color="A6A6A6"/>
            </w:tcBorders>
            <w:noWrap/>
          </w:tcPr>
          <w:p w14:paraId="3A588F56" w14:textId="77777777" w:rsidR="00CE75D4" w:rsidRPr="002029AF" w:rsidRDefault="00CE75D4" w:rsidP="008340C1">
            <w:pPr>
              <w:pStyle w:val="ARfintablebodyright"/>
              <w:spacing w:before="30" w:after="10" w:line="228" w:lineRule="auto"/>
            </w:pPr>
            <w:r w:rsidRPr="009573E6">
              <w:t>41.7</w:t>
            </w:r>
          </w:p>
        </w:tc>
      </w:tr>
      <w:tr w:rsidR="00CE75D4" w:rsidRPr="002029AF" w14:paraId="55927D9E" w14:textId="77777777" w:rsidTr="00860E95">
        <w:tc>
          <w:tcPr>
            <w:tcW w:w="7369" w:type="dxa"/>
            <w:tcBorders>
              <w:top w:val="single" w:sz="4" w:space="0" w:color="A6A6A6"/>
              <w:bottom w:val="single" w:sz="4" w:space="0" w:color="A6A6A6"/>
            </w:tcBorders>
          </w:tcPr>
          <w:p w14:paraId="24400D95" w14:textId="77777777" w:rsidR="00CE75D4" w:rsidRPr="002029AF" w:rsidRDefault="00CE75D4" w:rsidP="008340C1">
            <w:pPr>
              <w:pStyle w:val="ARfintablebody"/>
              <w:spacing w:before="30" w:after="10" w:line="228" w:lineRule="auto"/>
            </w:pPr>
            <w:r w:rsidRPr="009573E6">
              <w:t>The Royal Women</w:t>
            </w:r>
            <w:r>
              <w:t>’</w:t>
            </w:r>
            <w:r w:rsidRPr="009573E6">
              <w:t>s Hospital</w:t>
            </w:r>
          </w:p>
        </w:tc>
        <w:tc>
          <w:tcPr>
            <w:tcW w:w="1134" w:type="dxa"/>
            <w:tcBorders>
              <w:top w:val="single" w:sz="4" w:space="0" w:color="A6A6A6"/>
              <w:bottom w:val="single" w:sz="4" w:space="0" w:color="A6A6A6"/>
            </w:tcBorders>
            <w:shd w:val="clear" w:color="auto" w:fill="E7E6E6"/>
            <w:noWrap/>
          </w:tcPr>
          <w:p w14:paraId="4855DEBA" w14:textId="77777777" w:rsidR="00CE75D4" w:rsidRPr="002029AF" w:rsidRDefault="00CE75D4" w:rsidP="008340C1">
            <w:pPr>
              <w:pStyle w:val="ARfintablebodyright"/>
              <w:spacing w:before="30" w:after="10" w:line="228" w:lineRule="auto"/>
            </w:pPr>
            <w:r>
              <w:t>80.4</w:t>
            </w:r>
          </w:p>
        </w:tc>
        <w:tc>
          <w:tcPr>
            <w:tcW w:w="1134" w:type="dxa"/>
            <w:tcBorders>
              <w:top w:val="single" w:sz="4" w:space="0" w:color="A6A6A6"/>
              <w:bottom w:val="single" w:sz="4" w:space="0" w:color="A6A6A6"/>
            </w:tcBorders>
            <w:noWrap/>
          </w:tcPr>
          <w:p w14:paraId="214E57FE" w14:textId="77777777" w:rsidR="00CE75D4" w:rsidRPr="002029AF" w:rsidRDefault="00CE75D4" w:rsidP="008340C1">
            <w:pPr>
              <w:pStyle w:val="ARfintablebodyright"/>
              <w:spacing w:before="30" w:after="10" w:line="228" w:lineRule="auto"/>
            </w:pPr>
            <w:r w:rsidRPr="009573E6">
              <w:t>77.8</w:t>
            </w:r>
          </w:p>
        </w:tc>
      </w:tr>
      <w:tr w:rsidR="00CE75D4" w:rsidRPr="002029AF" w14:paraId="43D06559" w14:textId="77777777" w:rsidTr="00860E95">
        <w:tc>
          <w:tcPr>
            <w:tcW w:w="7369" w:type="dxa"/>
            <w:tcBorders>
              <w:top w:val="single" w:sz="4" w:space="0" w:color="A6A6A6"/>
              <w:bottom w:val="single" w:sz="4" w:space="0" w:color="A6A6A6"/>
            </w:tcBorders>
            <w:hideMark/>
          </w:tcPr>
          <w:p w14:paraId="6FEA0823" w14:textId="77777777" w:rsidR="00CE75D4" w:rsidRPr="002029AF" w:rsidRDefault="00CE75D4" w:rsidP="008340C1">
            <w:pPr>
              <w:pStyle w:val="ARfintablebody"/>
              <w:spacing w:before="30" w:after="10" w:line="228" w:lineRule="auto"/>
            </w:pPr>
            <w:r w:rsidRPr="009573E6">
              <w:t>South West Healthcare</w:t>
            </w:r>
          </w:p>
        </w:tc>
        <w:tc>
          <w:tcPr>
            <w:tcW w:w="1134" w:type="dxa"/>
            <w:tcBorders>
              <w:top w:val="single" w:sz="4" w:space="0" w:color="A6A6A6"/>
              <w:bottom w:val="single" w:sz="4" w:space="0" w:color="A6A6A6"/>
            </w:tcBorders>
            <w:shd w:val="clear" w:color="auto" w:fill="E7E6E6"/>
            <w:noWrap/>
            <w:hideMark/>
          </w:tcPr>
          <w:p w14:paraId="00471C95" w14:textId="77777777" w:rsidR="00CE75D4" w:rsidRPr="002029AF" w:rsidRDefault="00CE75D4" w:rsidP="008340C1">
            <w:pPr>
              <w:pStyle w:val="ARfintablebodyright"/>
              <w:spacing w:before="30" w:after="10" w:line="228" w:lineRule="auto"/>
            </w:pPr>
            <w:r>
              <w:t>63.1</w:t>
            </w:r>
          </w:p>
        </w:tc>
        <w:tc>
          <w:tcPr>
            <w:tcW w:w="1134" w:type="dxa"/>
            <w:tcBorders>
              <w:top w:val="single" w:sz="4" w:space="0" w:color="A6A6A6"/>
              <w:bottom w:val="single" w:sz="4" w:space="0" w:color="A6A6A6"/>
            </w:tcBorders>
            <w:noWrap/>
            <w:hideMark/>
          </w:tcPr>
          <w:p w14:paraId="432028F7" w14:textId="77777777" w:rsidR="00CE75D4" w:rsidRPr="002029AF" w:rsidRDefault="00CE75D4" w:rsidP="008340C1">
            <w:pPr>
              <w:pStyle w:val="ARfintablebodyright"/>
              <w:spacing w:before="30" w:after="10" w:line="228" w:lineRule="auto"/>
            </w:pPr>
            <w:r w:rsidRPr="009573E6">
              <w:t>49.1</w:t>
            </w:r>
          </w:p>
        </w:tc>
      </w:tr>
      <w:tr w:rsidR="00CE75D4" w:rsidRPr="002029AF" w14:paraId="66EE99B7" w14:textId="77777777" w:rsidTr="00860E95">
        <w:tc>
          <w:tcPr>
            <w:tcW w:w="7369" w:type="dxa"/>
            <w:tcBorders>
              <w:top w:val="single" w:sz="4" w:space="0" w:color="A6A6A6"/>
              <w:bottom w:val="single" w:sz="4" w:space="0" w:color="A6A6A6"/>
            </w:tcBorders>
            <w:hideMark/>
          </w:tcPr>
          <w:p w14:paraId="2CCCD27D" w14:textId="77777777" w:rsidR="00CE75D4" w:rsidRPr="002029AF" w:rsidRDefault="00CE75D4" w:rsidP="008340C1">
            <w:pPr>
              <w:pStyle w:val="ARfintablebody"/>
              <w:spacing w:before="30" w:after="10" w:line="228" w:lineRule="auto"/>
            </w:pPr>
            <w:r w:rsidRPr="009573E6">
              <w:t>Mildura Base Public Hospital</w:t>
            </w:r>
          </w:p>
        </w:tc>
        <w:tc>
          <w:tcPr>
            <w:tcW w:w="1134" w:type="dxa"/>
            <w:tcBorders>
              <w:top w:val="single" w:sz="4" w:space="0" w:color="A6A6A6"/>
              <w:bottom w:val="single" w:sz="4" w:space="0" w:color="A6A6A6"/>
            </w:tcBorders>
            <w:shd w:val="clear" w:color="auto" w:fill="E7E6E6"/>
            <w:noWrap/>
            <w:hideMark/>
          </w:tcPr>
          <w:p w14:paraId="48B3C001" w14:textId="77777777" w:rsidR="00CE75D4" w:rsidRPr="002029AF" w:rsidRDefault="00CE75D4" w:rsidP="008340C1">
            <w:pPr>
              <w:pStyle w:val="ARfintablebodyright"/>
              <w:spacing w:before="30" w:after="10" w:line="228" w:lineRule="auto"/>
            </w:pPr>
            <w:r>
              <w:t>58.2</w:t>
            </w:r>
          </w:p>
        </w:tc>
        <w:tc>
          <w:tcPr>
            <w:tcW w:w="1134" w:type="dxa"/>
            <w:tcBorders>
              <w:top w:val="single" w:sz="4" w:space="0" w:color="A6A6A6"/>
              <w:bottom w:val="single" w:sz="4" w:space="0" w:color="A6A6A6"/>
            </w:tcBorders>
            <w:noWrap/>
            <w:hideMark/>
          </w:tcPr>
          <w:p w14:paraId="32D9C1DA" w14:textId="77777777" w:rsidR="00CE75D4" w:rsidRPr="002029AF" w:rsidRDefault="00CE75D4" w:rsidP="008340C1">
            <w:pPr>
              <w:pStyle w:val="ARfintablebodyright"/>
              <w:spacing w:before="30" w:after="10" w:line="228" w:lineRule="auto"/>
            </w:pPr>
            <w:r w:rsidRPr="009573E6">
              <w:t>37.6</w:t>
            </w:r>
          </w:p>
        </w:tc>
      </w:tr>
      <w:tr w:rsidR="00CE75D4" w:rsidRPr="002029AF" w14:paraId="6A3AD516" w14:textId="77777777" w:rsidTr="00860E95">
        <w:tc>
          <w:tcPr>
            <w:tcW w:w="7369" w:type="dxa"/>
            <w:tcBorders>
              <w:top w:val="single" w:sz="4" w:space="0" w:color="A6A6A6"/>
              <w:bottom w:val="single" w:sz="4" w:space="0" w:color="A6A6A6"/>
            </w:tcBorders>
            <w:hideMark/>
          </w:tcPr>
          <w:p w14:paraId="6A8BF34B" w14:textId="77777777" w:rsidR="00CE75D4" w:rsidRPr="002029AF" w:rsidRDefault="00CE75D4" w:rsidP="008340C1">
            <w:pPr>
              <w:pStyle w:val="ARfintablebody"/>
              <w:spacing w:before="30" w:after="10" w:line="228" w:lineRule="auto"/>
            </w:pPr>
            <w:r w:rsidRPr="009573E6">
              <w:t>Ballarat Health Services</w:t>
            </w:r>
          </w:p>
        </w:tc>
        <w:tc>
          <w:tcPr>
            <w:tcW w:w="1134" w:type="dxa"/>
            <w:tcBorders>
              <w:top w:val="single" w:sz="4" w:space="0" w:color="A6A6A6"/>
              <w:bottom w:val="single" w:sz="4" w:space="0" w:color="A6A6A6"/>
            </w:tcBorders>
            <w:shd w:val="clear" w:color="auto" w:fill="E7E6E6"/>
            <w:noWrap/>
            <w:hideMark/>
          </w:tcPr>
          <w:p w14:paraId="16018114" w14:textId="77777777" w:rsidR="00CE75D4" w:rsidRPr="002029AF" w:rsidRDefault="00CE75D4" w:rsidP="008340C1">
            <w:pPr>
              <w:pStyle w:val="ARfintablebodyright"/>
              <w:spacing w:before="30" w:after="10" w:line="228" w:lineRule="auto"/>
            </w:pPr>
            <w:r w:rsidRPr="009573E6">
              <w:t>40.8</w:t>
            </w:r>
          </w:p>
        </w:tc>
        <w:tc>
          <w:tcPr>
            <w:tcW w:w="1134" w:type="dxa"/>
            <w:tcBorders>
              <w:top w:val="single" w:sz="4" w:space="0" w:color="A6A6A6"/>
              <w:bottom w:val="single" w:sz="4" w:space="0" w:color="A6A6A6"/>
            </w:tcBorders>
            <w:noWrap/>
            <w:hideMark/>
          </w:tcPr>
          <w:p w14:paraId="52C1A745" w14:textId="77777777" w:rsidR="00CE75D4" w:rsidRPr="002029AF" w:rsidRDefault="00CE75D4" w:rsidP="008340C1">
            <w:pPr>
              <w:pStyle w:val="ARfintablebodyright"/>
              <w:spacing w:before="30" w:after="10" w:line="228" w:lineRule="auto"/>
            </w:pPr>
            <w:r w:rsidRPr="009573E6">
              <w:t>143.9</w:t>
            </w:r>
          </w:p>
        </w:tc>
      </w:tr>
      <w:tr w:rsidR="00CE75D4" w:rsidRPr="002029AF" w14:paraId="5EAFA086" w14:textId="77777777" w:rsidTr="00860E95">
        <w:tc>
          <w:tcPr>
            <w:tcW w:w="7369" w:type="dxa"/>
            <w:tcBorders>
              <w:top w:val="single" w:sz="4" w:space="0" w:color="A6A6A6"/>
              <w:bottom w:val="single" w:sz="4" w:space="0" w:color="A6A6A6"/>
            </w:tcBorders>
            <w:hideMark/>
          </w:tcPr>
          <w:p w14:paraId="6E0D90B8" w14:textId="77777777" w:rsidR="00CE75D4" w:rsidRPr="002029AF" w:rsidRDefault="00CE75D4" w:rsidP="008340C1">
            <w:pPr>
              <w:pStyle w:val="ARfintablebody"/>
              <w:spacing w:before="30" w:after="10" w:line="228" w:lineRule="auto"/>
            </w:pPr>
            <w:r w:rsidRPr="009573E6">
              <w:t>Central Highlands Rural Health</w:t>
            </w:r>
          </w:p>
        </w:tc>
        <w:tc>
          <w:tcPr>
            <w:tcW w:w="1134" w:type="dxa"/>
            <w:tcBorders>
              <w:top w:val="single" w:sz="4" w:space="0" w:color="A6A6A6"/>
              <w:bottom w:val="single" w:sz="4" w:space="0" w:color="A6A6A6"/>
            </w:tcBorders>
            <w:shd w:val="clear" w:color="auto" w:fill="E7E6E6"/>
            <w:noWrap/>
            <w:hideMark/>
          </w:tcPr>
          <w:p w14:paraId="1975D9FB" w14:textId="77777777" w:rsidR="00CE75D4" w:rsidRPr="002029AF" w:rsidRDefault="00CE75D4" w:rsidP="008340C1">
            <w:pPr>
              <w:pStyle w:val="ARfintablebodyright"/>
              <w:spacing w:before="30" w:after="10" w:line="228" w:lineRule="auto"/>
            </w:pPr>
            <w:r w:rsidRPr="009573E6">
              <w:t>36.9</w:t>
            </w:r>
          </w:p>
        </w:tc>
        <w:tc>
          <w:tcPr>
            <w:tcW w:w="1134" w:type="dxa"/>
            <w:tcBorders>
              <w:top w:val="single" w:sz="4" w:space="0" w:color="A6A6A6"/>
              <w:bottom w:val="single" w:sz="4" w:space="0" w:color="A6A6A6"/>
            </w:tcBorders>
            <w:noWrap/>
            <w:hideMark/>
          </w:tcPr>
          <w:p w14:paraId="593844AE" w14:textId="77777777" w:rsidR="00CE75D4" w:rsidRPr="002029AF" w:rsidRDefault="00CE75D4" w:rsidP="008340C1">
            <w:pPr>
              <w:pStyle w:val="ARfintablebodyright"/>
              <w:spacing w:before="30" w:after="10" w:line="228" w:lineRule="auto"/>
            </w:pPr>
            <w:r w:rsidRPr="009573E6">
              <w:t>33.3</w:t>
            </w:r>
          </w:p>
        </w:tc>
      </w:tr>
      <w:tr w:rsidR="00CE75D4" w:rsidRPr="002029AF" w14:paraId="493D21BA" w14:textId="77777777" w:rsidTr="00860E95">
        <w:tc>
          <w:tcPr>
            <w:tcW w:w="7369" w:type="dxa"/>
            <w:tcBorders>
              <w:top w:val="single" w:sz="4" w:space="0" w:color="A6A6A6"/>
              <w:bottom w:val="single" w:sz="4" w:space="0" w:color="A6A6A6"/>
            </w:tcBorders>
            <w:hideMark/>
          </w:tcPr>
          <w:p w14:paraId="12AE224E" w14:textId="77777777" w:rsidR="00CE75D4" w:rsidRPr="002029AF" w:rsidRDefault="00CE75D4" w:rsidP="008340C1">
            <w:pPr>
              <w:pStyle w:val="ARfintablebody"/>
              <w:keepNext/>
              <w:spacing w:before="30" w:after="10" w:line="228" w:lineRule="auto"/>
            </w:pPr>
            <w:r w:rsidRPr="009573E6">
              <w:t>NCN Health</w:t>
            </w:r>
          </w:p>
        </w:tc>
        <w:tc>
          <w:tcPr>
            <w:tcW w:w="1134" w:type="dxa"/>
            <w:tcBorders>
              <w:top w:val="single" w:sz="4" w:space="0" w:color="A6A6A6"/>
              <w:bottom w:val="single" w:sz="4" w:space="0" w:color="A6A6A6"/>
            </w:tcBorders>
            <w:shd w:val="clear" w:color="auto" w:fill="E7E6E6"/>
            <w:noWrap/>
            <w:hideMark/>
          </w:tcPr>
          <w:p w14:paraId="3D66B3D9" w14:textId="77777777" w:rsidR="00CE75D4" w:rsidRPr="002029AF" w:rsidRDefault="00CE75D4" w:rsidP="008340C1">
            <w:pPr>
              <w:pStyle w:val="ARfintablebodyright"/>
              <w:spacing w:before="30" w:after="10" w:line="228" w:lineRule="auto"/>
            </w:pPr>
            <w:r w:rsidRPr="009573E6">
              <w:t>34.4</w:t>
            </w:r>
          </w:p>
        </w:tc>
        <w:tc>
          <w:tcPr>
            <w:tcW w:w="1134" w:type="dxa"/>
            <w:tcBorders>
              <w:top w:val="single" w:sz="4" w:space="0" w:color="A6A6A6"/>
              <w:bottom w:val="single" w:sz="4" w:space="0" w:color="A6A6A6"/>
            </w:tcBorders>
            <w:noWrap/>
            <w:hideMark/>
          </w:tcPr>
          <w:p w14:paraId="280E5770" w14:textId="77777777" w:rsidR="00CE75D4" w:rsidRPr="002029AF" w:rsidRDefault="00CE75D4" w:rsidP="008340C1">
            <w:pPr>
              <w:pStyle w:val="ARfintablebodyright"/>
              <w:spacing w:before="30" w:after="10" w:line="228" w:lineRule="auto"/>
            </w:pPr>
            <w:r w:rsidRPr="009573E6">
              <w:t>30.6</w:t>
            </w:r>
          </w:p>
        </w:tc>
      </w:tr>
      <w:tr w:rsidR="00CE75D4" w:rsidRPr="002029AF" w14:paraId="105CBD05" w14:textId="77777777" w:rsidTr="00860E95">
        <w:tc>
          <w:tcPr>
            <w:tcW w:w="7369" w:type="dxa"/>
            <w:tcBorders>
              <w:top w:val="single" w:sz="4" w:space="0" w:color="A6A6A6"/>
            </w:tcBorders>
            <w:hideMark/>
          </w:tcPr>
          <w:p w14:paraId="4943C5B2" w14:textId="77777777" w:rsidR="00CE75D4" w:rsidRPr="002029AF" w:rsidRDefault="00CE75D4" w:rsidP="008340C1">
            <w:pPr>
              <w:pStyle w:val="ARfintablebody"/>
              <w:spacing w:before="30" w:after="10" w:line="228" w:lineRule="auto"/>
            </w:pPr>
            <w:r w:rsidRPr="009573E6">
              <w:t>Other public hospitals with payments totalling less than $30 million</w:t>
            </w:r>
          </w:p>
        </w:tc>
        <w:tc>
          <w:tcPr>
            <w:tcW w:w="1134" w:type="dxa"/>
            <w:tcBorders>
              <w:top w:val="single" w:sz="4" w:space="0" w:color="A6A6A6"/>
            </w:tcBorders>
            <w:shd w:val="clear" w:color="auto" w:fill="E7E6E6"/>
            <w:noWrap/>
            <w:hideMark/>
          </w:tcPr>
          <w:p w14:paraId="4804116F" w14:textId="77777777" w:rsidR="00CE75D4" w:rsidRPr="002029AF" w:rsidRDefault="00CE75D4" w:rsidP="008340C1">
            <w:pPr>
              <w:pStyle w:val="ARfintablebodyright"/>
              <w:spacing w:before="30" w:after="10" w:line="228" w:lineRule="auto"/>
            </w:pPr>
            <w:r>
              <w:t>708.6</w:t>
            </w:r>
          </w:p>
        </w:tc>
        <w:tc>
          <w:tcPr>
            <w:tcW w:w="1134" w:type="dxa"/>
            <w:tcBorders>
              <w:top w:val="single" w:sz="4" w:space="0" w:color="A6A6A6"/>
            </w:tcBorders>
            <w:noWrap/>
            <w:hideMark/>
          </w:tcPr>
          <w:p w14:paraId="5F1DAC02" w14:textId="77777777" w:rsidR="00CE75D4" w:rsidRPr="002029AF" w:rsidRDefault="00CE75D4" w:rsidP="008340C1">
            <w:pPr>
              <w:pStyle w:val="ARfintablebodyright"/>
              <w:spacing w:before="30" w:after="10" w:line="228" w:lineRule="auto"/>
            </w:pPr>
            <w:r w:rsidRPr="009573E6">
              <w:t>745.0</w:t>
            </w:r>
          </w:p>
        </w:tc>
      </w:tr>
      <w:tr w:rsidR="00CE75D4" w:rsidRPr="002029AF" w14:paraId="17C65756" w14:textId="77777777" w:rsidTr="00860E95">
        <w:tc>
          <w:tcPr>
            <w:tcW w:w="7369" w:type="dxa"/>
            <w:tcBorders>
              <w:bottom w:val="single" w:sz="4" w:space="0" w:color="auto"/>
            </w:tcBorders>
            <w:hideMark/>
          </w:tcPr>
          <w:p w14:paraId="50CC18B2" w14:textId="77777777" w:rsidR="00CE75D4" w:rsidRPr="002029AF" w:rsidRDefault="00CE75D4" w:rsidP="008340C1">
            <w:pPr>
              <w:pStyle w:val="ARfintablebodybold"/>
              <w:spacing w:before="30" w:after="10" w:line="228" w:lineRule="auto"/>
            </w:pPr>
          </w:p>
        </w:tc>
        <w:tc>
          <w:tcPr>
            <w:tcW w:w="1134" w:type="dxa"/>
            <w:tcBorders>
              <w:bottom w:val="single" w:sz="4" w:space="0" w:color="auto"/>
            </w:tcBorders>
            <w:shd w:val="clear" w:color="auto" w:fill="E7E6E6"/>
            <w:noWrap/>
            <w:hideMark/>
          </w:tcPr>
          <w:p w14:paraId="40DC4120" w14:textId="77777777" w:rsidR="00CE75D4" w:rsidRPr="002029AF" w:rsidRDefault="00CE75D4" w:rsidP="008340C1">
            <w:pPr>
              <w:pStyle w:val="ARfintablebodyrightbold"/>
              <w:spacing w:before="30" w:after="10" w:line="228" w:lineRule="auto"/>
            </w:pPr>
            <w:r w:rsidRPr="009573E6">
              <w:t>14,</w:t>
            </w:r>
            <w:r>
              <w:t>240.7</w:t>
            </w:r>
          </w:p>
        </w:tc>
        <w:tc>
          <w:tcPr>
            <w:tcW w:w="1134" w:type="dxa"/>
            <w:tcBorders>
              <w:bottom w:val="single" w:sz="4" w:space="0" w:color="auto"/>
            </w:tcBorders>
            <w:noWrap/>
            <w:hideMark/>
          </w:tcPr>
          <w:p w14:paraId="5CBB4802" w14:textId="77777777" w:rsidR="00CE75D4" w:rsidRPr="002029AF" w:rsidRDefault="00CE75D4" w:rsidP="008340C1">
            <w:pPr>
              <w:pStyle w:val="ARfintablebodyrightbold"/>
              <w:spacing w:before="30" w:after="10" w:line="228" w:lineRule="auto"/>
            </w:pPr>
            <w:r w:rsidRPr="009573E6">
              <w:t>11,652.9</w:t>
            </w:r>
          </w:p>
        </w:tc>
      </w:tr>
      <w:tr w:rsidR="00CE75D4" w:rsidRPr="002029AF" w14:paraId="41E6AEEE" w14:textId="77777777" w:rsidTr="00860E95">
        <w:tc>
          <w:tcPr>
            <w:tcW w:w="9637" w:type="dxa"/>
            <w:gridSpan w:val="3"/>
            <w:tcBorders>
              <w:top w:val="single" w:sz="4" w:space="0" w:color="auto"/>
              <w:bottom w:val="single" w:sz="4" w:space="0" w:color="A6A6A6"/>
            </w:tcBorders>
            <w:hideMark/>
          </w:tcPr>
          <w:p w14:paraId="2F113338" w14:textId="77777777" w:rsidR="00CE75D4" w:rsidRPr="002029AF" w:rsidRDefault="00CE75D4" w:rsidP="008340C1">
            <w:pPr>
              <w:pStyle w:val="ARfintablebodybold"/>
              <w:spacing w:before="30" w:after="10" w:line="228" w:lineRule="auto"/>
            </w:pPr>
            <w:r w:rsidRPr="009573E6">
              <w:t>Denominational hospitals</w:t>
            </w:r>
            <w:r w:rsidRPr="00743781">
              <w:t xml:space="preserve"> </w:t>
            </w:r>
            <w:r w:rsidRPr="009C7D41">
              <w:rPr>
                <w:rStyle w:val="Superscript"/>
              </w:rPr>
              <w:t>(</w:t>
            </w:r>
            <w:r>
              <w:rPr>
                <w:rStyle w:val="Superscript"/>
              </w:rPr>
              <w:t>i</w:t>
            </w:r>
            <w:r w:rsidRPr="009C7D41">
              <w:rPr>
                <w:rStyle w:val="Superscript"/>
              </w:rPr>
              <w:t>ii)</w:t>
            </w:r>
          </w:p>
        </w:tc>
      </w:tr>
      <w:tr w:rsidR="00CE75D4" w:rsidRPr="002029AF" w14:paraId="3BD7567A" w14:textId="77777777" w:rsidTr="00860E95">
        <w:tc>
          <w:tcPr>
            <w:tcW w:w="7369" w:type="dxa"/>
            <w:tcBorders>
              <w:top w:val="single" w:sz="4" w:space="0" w:color="A6A6A6"/>
              <w:bottom w:val="single" w:sz="4" w:space="0" w:color="A6A6A6"/>
            </w:tcBorders>
            <w:hideMark/>
          </w:tcPr>
          <w:p w14:paraId="49D1B428" w14:textId="77777777" w:rsidR="00CE75D4" w:rsidRPr="002029AF" w:rsidRDefault="00CE75D4" w:rsidP="008340C1">
            <w:pPr>
              <w:pStyle w:val="ARfintablebody"/>
              <w:spacing w:before="30" w:after="10" w:line="228" w:lineRule="auto"/>
            </w:pPr>
            <w:r w:rsidRPr="009573E6">
              <w:t>St Vincent</w:t>
            </w:r>
            <w:r>
              <w:t>’</w:t>
            </w:r>
            <w:r w:rsidRPr="009573E6">
              <w:t>s Hospital (Melbourne) Limited</w:t>
            </w:r>
          </w:p>
        </w:tc>
        <w:tc>
          <w:tcPr>
            <w:tcW w:w="1134" w:type="dxa"/>
            <w:tcBorders>
              <w:top w:val="single" w:sz="4" w:space="0" w:color="A6A6A6"/>
              <w:bottom w:val="single" w:sz="4" w:space="0" w:color="A6A6A6"/>
            </w:tcBorders>
            <w:shd w:val="clear" w:color="auto" w:fill="E7E6E6"/>
            <w:noWrap/>
            <w:hideMark/>
          </w:tcPr>
          <w:p w14:paraId="0CF93841" w14:textId="77777777" w:rsidR="00CE75D4" w:rsidRPr="002029AF" w:rsidRDefault="00CE75D4" w:rsidP="008340C1">
            <w:pPr>
              <w:pStyle w:val="ARfintablebodyright"/>
              <w:spacing w:before="30" w:after="10" w:line="228" w:lineRule="auto"/>
            </w:pPr>
            <w:r w:rsidRPr="009573E6">
              <w:t>2</w:t>
            </w:r>
            <w:r>
              <w:t>41.5</w:t>
            </w:r>
          </w:p>
        </w:tc>
        <w:tc>
          <w:tcPr>
            <w:tcW w:w="1134" w:type="dxa"/>
            <w:tcBorders>
              <w:top w:val="single" w:sz="4" w:space="0" w:color="A6A6A6"/>
              <w:bottom w:val="single" w:sz="4" w:space="0" w:color="A6A6A6"/>
            </w:tcBorders>
            <w:noWrap/>
            <w:hideMark/>
          </w:tcPr>
          <w:p w14:paraId="4FEFC14C" w14:textId="77777777" w:rsidR="00CE75D4" w:rsidRPr="002029AF" w:rsidRDefault="00CE75D4" w:rsidP="008340C1">
            <w:pPr>
              <w:pStyle w:val="ARfintablebodyright"/>
              <w:spacing w:before="30" w:after="10" w:line="228" w:lineRule="auto"/>
            </w:pPr>
            <w:r w:rsidRPr="009573E6">
              <w:t>223.8</w:t>
            </w:r>
          </w:p>
        </w:tc>
      </w:tr>
      <w:tr w:rsidR="00CE75D4" w:rsidRPr="002029AF" w14:paraId="111CD508" w14:textId="77777777" w:rsidTr="00860E95">
        <w:tc>
          <w:tcPr>
            <w:tcW w:w="7369" w:type="dxa"/>
            <w:tcBorders>
              <w:top w:val="single" w:sz="4" w:space="0" w:color="A6A6A6"/>
              <w:bottom w:val="single" w:sz="4" w:space="0" w:color="A6A6A6"/>
            </w:tcBorders>
            <w:hideMark/>
          </w:tcPr>
          <w:p w14:paraId="4F1D664E" w14:textId="77777777" w:rsidR="00CE75D4" w:rsidRPr="002029AF" w:rsidRDefault="00CE75D4" w:rsidP="008340C1">
            <w:pPr>
              <w:pStyle w:val="ARfintablebody"/>
              <w:spacing w:before="30" w:after="10" w:line="228" w:lineRule="auto"/>
            </w:pPr>
            <w:r w:rsidRPr="009573E6">
              <w:t>Mercy Hospitals Victoria Limited</w:t>
            </w:r>
          </w:p>
        </w:tc>
        <w:tc>
          <w:tcPr>
            <w:tcW w:w="1134" w:type="dxa"/>
            <w:tcBorders>
              <w:top w:val="single" w:sz="4" w:space="0" w:color="A6A6A6"/>
              <w:bottom w:val="single" w:sz="4" w:space="0" w:color="A6A6A6"/>
            </w:tcBorders>
            <w:shd w:val="clear" w:color="auto" w:fill="E7E6E6"/>
            <w:noWrap/>
            <w:hideMark/>
          </w:tcPr>
          <w:p w14:paraId="35EA8BF6" w14:textId="77777777" w:rsidR="00CE75D4" w:rsidRPr="002029AF" w:rsidRDefault="00CE75D4" w:rsidP="008340C1">
            <w:pPr>
              <w:pStyle w:val="ARfintablebodyright"/>
              <w:spacing w:before="30" w:after="10" w:line="228" w:lineRule="auto"/>
            </w:pPr>
            <w:r>
              <w:t>115.0</w:t>
            </w:r>
          </w:p>
        </w:tc>
        <w:tc>
          <w:tcPr>
            <w:tcW w:w="1134" w:type="dxa"/>
            <w:tcBorders>
              <w:top w:val="single" w:sz="4" w:space="0" w:color="A6A6A6"/>
              <w:bottom w:val="single" w:sz="4" w:space="0" w:color="A6A6A6"/>
            </w:tcBorders>
            <w:noWrap/>
            <w:hideMark/>
          </w:tcPr>
          <w:p w14:paraId="02083D1B" w14:textId="77777777" w:rsidR="00CE75D4" w:rsidRPr="002029AF" w:rsidRDefault="00CE75D4" w:rsidP="008340C1">
            <w:pPr>
              <w:pStyle w:val="ARfintablebodyright"/>
              <w:spacing w:before="30" w:after="10" w:line="228" w:lineRule="auto"/>
            </w:pPr>
            <w:r w:rsidRPr="009573E6">
              <w:t>105.3</w:t>
            </w:r>
          </w:p>
        </w:tc>
      </w:tr>
      <w:tr w:rsidR="00CE75D4" w:rsidRPr="002029AF" w14:paraId="56FC17E5" w14:textId="77777777" w:rsidTr="00860E95">
        <w:tc>
          <w:tcPr>
            <w:tcW w:w="7369" w:type="dxa"/>
            <w:tcBorders>
              <w:top w:val="single" w:sz="4" w:space="0" w:color="A6A6A6"/>
            </w:tcBorders>
            <w:hideMark/>
          </w:tcPr>
          <w:p w14:paraId="1A254B6F" w14:textId="77777777" w:rsidR="00CE75D4" w:rsidRPr="002029AF" w:rsidRDefault="00CE75D4" w:rsidP="008340C1">
            <w:pPr>
              <w:pStyle w:val="ARfintablebody"/>
              <w:spacing w:before="30" w:after="10" w:line="228" w:lineRule="auto"/>
            </w:pPr>
            <w:r w:rsidRPr="009573E6">
              <w:t>Other denominational hospitals with payments totalling less than $30 million</w:t>
            </w:r>
          </w:p>
        </w:tc>
        <w:tc>
          <w:tcPr>
            <w:tcW w:w="1134" w:type="dxa"/>
            <w:tcBorders>
              <w:top w:val="single" w:sz="4" w:space="0" w:color="A6A6A6"/>
            </w:tcBorders>
            <w:shd w:val="clear" w:color="auto" w:fill="E7E6E6"/>
            <w:noWrap/>
            <w:hideMark/>
          </w:tcPr>
          <w:p w14:paraId="23CB9C4B" w14:textId="77777777" w:rsidR="00CE75D4" w:rsidRPr="002029AF" w:rsidRDefault="00CE75D4" w:rsidP="008340C1">
            <w:pPr>
              <w:pStyle w:val="ARfintablebodyright"/>
              <w:spacing w:before="30" w:after="10" w:line="228" w:lineRule="auto"/>
            </w:pPr>
            <w:r>
              <w:t>2.9</w:t>
            </w:r>
          </w:p>
        </w:tc>
        <w:tc>
          <w:tcPr>
            <w:tcW w:w="1134" w:type="dxa"/>
            <w:tcBorders>
              <w:top w:val="single" w:sz="4" w:space="0" w:color="A6A6A6"/>
            </w:tcBorders>
            <w:noWrap/>
            <w:hideMark/>
          </w:tcPr>
          <w:p w14:paraId="5537C136" w14:textId="77777777" w:rsidR="00CE75D4" w:rsidRPr="002029AF" w:rsidRDefault="00CE75D4" w:rsidP="008340C1">
            <w:pPr>
              <w:pStyle w:val="ARfintablebodyright"/>
              <w:spacing w:before="30" w:after="10" w:line="228" w:lineRule="auto"/>
            </w:pPr>
            <w:r w:rsidRPr="009573E6">
              <w:t>3.6</w:t>
            </w:r>
          </w:p>
        </w:tc>
      </w:tr>
      <w:tr w:rsidR="00CE75D4" w:rsidRPr="002029AF" w14:paraId="52372FB6" w14:textId="77777777" w:rsidTr="00860E95">
        <w:tc>
          <w:tcPr>
            <w:tcW w:w="7369" w:type="dxa"/>
            <w:tcBorders>
              <w:bottom w:val="single" w:sz="4" w:space="0" w:color="auto"/>
            </w:tcBorders>
            <w:hideMark/>
          </w:tcPr>
          <w:p w14:paraId="202D9FE2" w14:textId="77777777" w:rsidR="00CE75D4" w:rsidRPr="002029AF" w:rsidRDefault="00CE75D4" w:rsidP="008340C1">
            <w:pPr>
              <w:pStyle w:val="ARfintablebodybold"/>
              <w:spacing w:before="30" w:after="10" w:line="228" w:lineRule="auto"/>
            </w:pPr>
          </w:p>
        </w:tc>
        <w:tc>
          <w:tcPr>
            <w:tcW w:w="1134" w:type="dxa"/>
            <w:tcBorders>
              <w:bottom w:val="single" w:sz="4" w:space="0" w:color="auto"/>
            </w:tcBorders>
            <w:shd w:val="clear" w:color="auto" w:fill="E7E6E6"/>
            <w:noWrap/>
            <w:hideMark/>
          </w:tcPr>
          <w:p w14:paraId="115B65F7" w14:textId="77777777" w:rsidR="00CE75D4" w:rsidRPr="002029AF" w:rsidRDefault="00CE75D4" w:rsidP="008340C1">
            <w:pPr>
              <w:pStyle w:val="ARfintablebodyrightbold"/>
              <w:spacing w:before="30" w:after="10" w:line="228" w:lineRule="auto"/>
            </w:pPr>
            <w:r>
              <w:t>359.4</w:t>
            </w:r>
          </w:p>
        </w:tc>
        <w:tc>
          <w:tcPr>
            <w:tcW w:w="1134" w:type="dxa"/>
            <w:tcBorders>
              <w:bottom w:val="single" w:sz="4" w:space="0" w:color="auto"/>
            </w:tcBorders>
            <w:noWrap/>
            <w:hideMark/>
          </w:tcPr>
          <w:p w14:paraId="7A63656E" w14:textId="77777777" w:rsidR="00CE75D4" w:rsidRPr="002029AF" w:rsidRDefault="00CE75D4" w:rsidP="008340C1">
            <w:pPr>
              <w:pStyle w:val="ARfintablebodyrightbold"/>
              <w:spacing w:before="30" w:after="10" w:line="228" w:lineRule="auto"/>
            </w:pPr>
            <w:r w:rsidRPr="009573E6">
              <w:t>332.7</w:t>
            </w:r>
          </w:p>
        </w:tc>
      </w:tr>
      <w:tr w:rsidR="00CE75D4" w:rsidRPr="002029AF" w14:paraId="4931F501" w14:textId="77777777" w:rsidTr="00860E95">
        <w:tc>
          <w:tcPr>
            <w:tcW w:w="9637" w:type="dxa"/>
            <w:gridSpan w:val="3"/>
            <w:tcBorders>
              <w:top w:val="single" w:sz="4" w:space="0" w:color="auto"/>
              <w:bottom w:val="single" w:sz="4" w:space="0" w:color="A6A6A6"/>
            </w:tcBorders>
            <w:hideMark/>
          </w:tcPr>
          <w:p w14:paraId="2A2E319C" w14:textId="77777777" w:rsidR="00CE75D4" w:rsidRPr="002029AF" w:rsidRDefault="00CE75D4" w:rsidP="008340C1">
            <w:pPr>
              <w:pStyle w:val="ARfintablebodybold"/>
              <w:spacing w:before="30" w:after="10" w:line="228" w:lineRule="auto"/>
            </w:pPr>
            <w:r w:rsidRPr="009573E6">
              <w:t>Ambulance services</w:t>
            </w:r>
          </w:p>
        </w:tc>
      </w:tr>
      <w:tr w:rsidR="00CE75D4" w:rsidRPr="002029AF" w14:paraId="17E25982" w14:textId="77777777" w:rsidTr="00860E95">
        <w:tc>
          <w:tcPr>
            <w:tcW w:w="7369" w:type="dxa"/>
            <w:tcBorders>
              <w:top w:val="single" w:sz="4" w:space="0" w:color="A6A6A6"/>
            </w:tcBorders>
            <w:hideMark/>
          </w:tcPr>
          <w:p w14:paraId="1C90FE35" w14:textId="77777777" w:rsidR="00CE75D4" w:rsidRPr="002029AF" w:rsidRDefault="00CE75D4" w:rsidP="008340C1">
            <w:pPr>
              <w:pStyle w:val="ARfintablebody"/>
              <w:spacing w:before="30" w:after="10" w:line="228" w:lineRule="auto"/>
            </w:pPr>
            <w:r w:rsidRPr="009573E6">
              <w:t>Ambulance Victoria</w:t>
            </w:r>
          </w:p>
        </w:tc>
        <w:tc>
          <w:tcPr>
            <w:tcW w:w="1134" w:type="dxa"/>
            <w:tcBorders>
              <w:top w:val="single" w:sz="4" w:space="0" w:color="A6A6A6"/>
            </w:tcBorders>
            <w:shd w:val="clear" w:color="auto" w:fill="E7E6E6"/>
            <w:noWrap/>
            <w:hideMark/>
          </w:tcPr>
          <w:p w14:paraId="0174FEBD" w14:textId="77777777" w:rsidR="00CE75D4" w:rsidRPr="002029AF" w:rsidRDefault="00CE75D4" w:rsidP="008340C1">
            <w:pPr>
              <w:pStyle w:val="ARfintablebodyright"/>
              <w:spacing w:before="30" w:after="10" w:line="228" w:lineRule="auto"/>
            </w:pPr>
            <w:r w:rsidRPr="009573E6">
              <w:t>1,162.8</w:t>
            </w:r>
          </w:p>
        </w:tc>
        <w:tc>
          <w:tcPr>
            <w:tcW w:w="1134" w:type="dxa"/>
            <w:tcBorders>
              <w:top w:val="single" w:sz="4" w:space="0" w:color="A6A6A6"/>
            </w:tcBorders>
            <w:noWrap/>
            <w:hideMark/>
          </w:tcPr>
          <w:p w14:paraId="005D5714" w14:textId="77777777" w:rsidR="00CE75D4" w:rsidRPr="002029AF" w:rsidRDefault="00CE75D4" w:rsidP="008340C1">
            <w:pPr>
              <w:pStyle w:val="ARfintablebodyright"/>
              <w:spacing w:before="30" w:after="10" w:line="228" w:lineRule="auto"/>
            </w:pPr>
            <w:r w:rsidRPr="009573E6">
              <w:t>939.6</w:t>
            </w:r>
          </w:p>
        </w:tc>
      </w:tr>
      <w:tr w:rsidR="00CE75D4" w:rsidRPr="002029AF" w14:paraId="3629553B" w14:textId="77777777" w:rsidTr="00860E95">
        <w:tc>
          <w:tcPr>
            <w:tcW w:w="7369" w:type="dxa"/>
            <w:hideMark/>
          </w:tcPr>
          <w:p w14:paraId="61909AE4" w14:textId="77777777" w:rsidR="00CE75D4" w:rsidRPr="002029AF" w:rsidRDefault="00CE75D4" w:rsidP="008340C1">
            <w:pPr>
              <w:pStyle w:val="ARfintablebodybold"/>
              <w:spacing w:before="30" w:after="10" w:line="228" w:lineRule="auto"/>
            </w:pPr>
          </w:p>
        </w:tc>
        <w:tc>
          <w:tcPr>
            <w:tcW w:w="1134" w:type="dxa"/>
            <w:shd w:val="clear" w:color="auto" w:fill="E7E6E6"/>
            <w:noWrap/>
            <w:hideMark/>
          </w:tcPr>
          <w:p w14:paraId="0392F5EC" w14:textId="77777777" w:rsidR="00CE75D4" w:rsidRPr="002029AF" w:rsidRDefault="00CE75D4" w:rsidP="008340C1">
            <w:pPr>
              <w:pStyle w:val="ARfintablebodyrightbold"/>
              <w:spacing w:before="30" w:after="10" w:line="228" w:lineRule="auto"/>
            </w:pPr>
            <w:r w:rsidRPr="009573E6">
              <w:t>1,162.8</w:t>
            </w:r>
          </w:p>
        </w:tc>
        <w:tc>
          <w:tcPr>
            <w:tcW w:w="1134" w:type="dxa"/>
            <w:noWrap/>
            <w:hideMark/>
          </w:tcPr>
          <w:p w14:paraId="37F11116" w14:textId="77777777" w:rsidR="00CE75D4" w:rsidRPr="002029AF" w:rsidRDefault="00CE75D4" w:rsidP="008340C1">
            <w:pPr>
              <w:pStyle w:val="ARfintablebodyrightbold"/>
              <w:spacing w:before="30" w:after="10" w:line="228" w:lineRule="auto"/>
            </w:pPr>
            <w:r w:rsidRPr="009573E6">
              <w:t>939.6</w:t>
            </w:r>
          </w:p>
        </w:tc>
      </w:tr>
      <w:tr w:rsidR="00CE75D4" w:rsidRPr="002029AF" w14:paraId="1D26139E" w14:textId="77777777" w:rsidTr="00860E95">
        <w:tc>
          <w:tcPr>
            <w:tcW w:w="9637" w:type="dxa"/>
            <w:gridSpan w:val="3"/>
            <w:tcBorders>
              <w:top w:val="single" w:sz="4" w:space="0" w:color="auto"/>
              <w:bottom w:val="single" w:sz="4" w:space="0" w:color="A6A6A6"/>
            </w:tcBorders>
            <w:hideMark/>
          </w:tcPr>
          <w:p w14:paraId="6AB782E9" w14:textId="77777777" w:rsidR="00CE75D4" w:rsidRPr="002029AF" w:rsidRDefault="00CE75D4" w:rsidP="008340C1">
            <w:pPr>
              <w:pStyle w:val="ARfintablebodybold"/>
              <w:spacing w:before="30" w:after="10" w:line="228" w:lineRule="auto"/>
            </w:pPr>
            <w:r w:rsidRPr="009573E6">
              <w:t>Other state government agencies</w:t>
            </w:r>
          </w:p>
        </w:tc>
      </w:tr>
      <w:tr w:rsidR="00CE75D4" w:rsidRPr="002029AF" w14:paraId="306A33FE" w14:textId="77777777" w:rsidTr="00860E95">
        <w:tc>
          <w:tcPr>
            <w:tcW w:w="7369" w:type="dxa"/>
            <w:tcBorders>
              <w:top w:val="single" w:sz="4" w:space="0" w:color="A6A6A6"/>
              <w:bottom w:val="single" w:sz="4" w:space="0" w:color="A6A6A6"/>
            </w:tcBorders>
            <w:hideMark/>
          </w:tcPr>
          <w:p w14:paraId="58CB483F" w14:textId="77777777" w:rsidR="00CE75D4" w:rsidRPr="002029AF" w:rsidRDefault="00CE75D4" w:rsidP="008340C1">
            <w:pPr>
              <w:pStyle w:val="ARfintablebody"/>
              <w:spacing w:before="30" w:after="10" w:line="228" w:lineRule="auto"/>
            </w:pPr>
            <w:r w:rsidRPr="009573E6">
              <w:t>Victorian Institute of Forensic Mental Health</w:t>
            </w:r>
          </w:p>
        </w:tc>
        <w:tc>
          <w:tcPr>
            <w:tcW w:w="1134" w:type="dxa"/>
            <w:tcBorders>
              <w:top w:val="single" w:sz="4" w:space="0" w:color="A6A6A6"/>
              <w:bottom w:val="single" w:sz="4" w:space="0" w:color="A6A6A6"/>
            </w:tcBorders>
            <w:shd w:val="clear" w:color="auto" w:fill="E7E6E6"/>
            <w:noWrap/>
            <w:hideMark/>
          </w:tcPr>
          <w:p w14:paraId="099F8D67" w14:textId="77777777" w:rsidR="00CE75D4" w:rsidRPr="002029AF" w:rsidRDefault="00CE75D4" w:rsidP="008340C1">
            <w:pPr>
              <w:pStyle w:val="ARfintablebodyright"/>
              <w:spacing w:before="30" w:after="10" w:line="228" w:lineRule="auto"/>
            </w:pPr>
            <w:r w:rsidRPr="009573E6">
              <w:t>107.7</w:t>
            </w:r>
          </w:p>
        </w:tc>
        <w:tc>
          <w:tcPr>
            <w:tcW w:w="1134" w:type="dxa"/>
            <w:tcBorders>
              <w:top w:val="single" w:sz="4" w:space="0" w:color="A6A6A6"/>
              <w:bottom w:val="single" w:sz="4" w:space="0" w:color="A6A6A6"/>
            </w:tcBorders>
            <w:noWrap/>
            <w:hideMark/>
          </w:tcPr>
          <w:p w14:paraId="49006D34" w14:textId="77777777" w:rsidR="00CE75D4" w:rsidRPr="002029AF" w:rsidRDefault="00CE75D4" w:rsidP="008340C1">
            <w:pPr>
              <w:pStyle w:val="ARfintablebodyright"/>
              <w:spacing w:before="30" w:after="10" w:line="228" w:lineRule="auto"/>
            </w:pPr>
            <w:r w:rsidRPr="009573E6">
              <w:t>86.0</w:t>
            </w:r>
          </w:p>
        </w:tc>
      </w:tr>
      <w:tr w:rsidR="00CE75D4" w:rsidRPr="002029AF" w14:paraId="251C7358" w14:textId="77777777" w:rsidTr="00860E95">
        <w:tc>
          <w:tcPr>
            <w:tcW w:w="7369" w:type="dxa"/>
            <w:tcBorders>
              <w:top w:val="single" w:sz="4" w:space="0" w:color="A6A6A6"/>
              <w:bottom w:val="single" w:sz="4" w:space="0" w:color="A6A6A6"/>
            </w:tcBorders>
            <w:hideMark/>
          </w:tcPr>
          <w:p w14:paraId="7559516A" w14:textId="77777777" w:rsidR="00CE75D4" w:rsidRPr="002029AF" w:rsidRDefault="00CE75D4" w:rsidP="008340C1">
            <w:pPr>
              <w:pStyle w:val="ARfintablebody"/>
              <w:spacing w:before="30" w:after="10" w:line="228" w:lineRule="auto"/>
            </w:pPr>
            <w:r w:rsidRPr="009573E6">
              <w:t>Department of Families, Fairness and Housing</w:t>
            </w:r>
          </w:p>
        </w:tc>
        <w:tc>
          <w:tcPr>
            <w:tcW w:w="1134" w:type="dxa"/>
            <w:tcBorders>
              <w:top w:val="single" w:sz="4" w:space="0" w:color="A6A6A6"/>
              <w:bottom w:val="single" w:sz="4" w:space="0" w:color="A6A6A6"/>
            </w:tcBorders>
            <w:shd w:val="clear" w:color="auto" w:fill="E7E6E6"/>
            <w:noWrap/>
            <w:hideMark/>
          </w:tcPr>
          <w:p w14:paraId="7E954DE9" w14:textId="77777777" w:rsidR="00CE75D4" w:rsidRPr="002029AF" w:rsidRDefault="00CE75D4" w:rsidP="008340C1">
            <w:pPr>
              <w:pStyle w:val="ARfintablebodyright"/>
              <w:spacing w:before="30" w:after="10" w:line="228" w:lineRule="auto"/>
            </w:pPr>
            <w:r w:rsidRPr="009573E6">
              <w:t>57.8</w:t>
            </w:r>
          </w:p>
        </w:tc>
        <w:tc>
          <w:tcPr>
            <w:tcW w:w="1134" w:type="dxa"/>
            <w:tcBorders>
              <w:top w:val="single" w:sz="4" w:space="0" w:color="A6A6A6"/>
              <w:bottom w:val="single" w:sz="4" w:space="0" w:color="A6A6A6"/>
            </w:tcBorders>
            <w:noWrap/>
            <w:hideMark/>
          </w:tcPr>
          <w:p w14:paraId="40DACDF8" w14:textId="77777777" w:rsidR="00CE75D4" w:rsidRPr="002029AF" w:rsidRDefault="00CE75D4" w:rsidP="008340C1">
            <w:pPr>
              <w:pStyle w:val="ARfintablebodyright"/>
              <w:spacing w:before="30" w:after="10" w:line="228" w:lineRule="auto"/>
            </w:pPr>
            <w:r>
              <w:t>–</w:t>
            </w:r>
          </w:p>
        </w:tc>
      </w:tr>
      <w:tr w:rsidR="00CE75D4" w:rsidRPr="002029AF" w14:paraId="0FCEC797" w14:textId="77777777" w:rsidTr="00860E95">
        <w:tc>
          <w:tcPr>
            <w:tcW w:w="7369" w:type="dxa"/>
            <w:tcBorders>
              <w:top w:val="single" w:sz="4" w:space="0" w:color="A6A6A6"/>
              <w:bottom w:val="single" w:sz="4" w:space="0" w:color="A6A6A6"/>
            </w:tcBorders>
          </w:tcPr>
          <w:p w14:paraId="4F81BF0D" w14:textId="77777777" w:rsidR="00CE75D4" w:rsidRPr="000B5F7A" w:rsidRDefault="00CE75D4" w:rsidP="008340C1">
            <w:pPr>
              <w:pStyle w:val="ARfintablebody"/>
              <w:spacing w:before="30" w:after="10" w:line="228" w:lineRule="auto"/>
            </w:pPr>
            <w:r w:rsidRPr="009573E6">
              <w:t>Health Purchasing Victoria</w:t>
            </w:r>
          </w:p>
        </w:tc>
        <w:tc>
          <w:tcPr>
            <w:tcW w:w="1134" w:type="dxa"/>
            <w:tcBorders>
              <w:top w:val="single" w:sz="4" w:space="0" w:color="A6A6A6"/>
              <w:bottom w:val="single" w:sz="4" w:space="0" w:color="A6A6A6"/>
            </w:tcBorders>
            <w:shd w:val="clear" w:color="auto" w:fill="E7E6E6"/>
            <w:noWrap/>
          </w:tcPr>
          <w:p w14:paraId="3F8B2586" w14:textId="77777777" w:rsidR="00CE75D4" w:rsidRPr="000B5F7A" w:rsidRDefault="00CE75D4" w:rsidP="008340C1">
            <w:pPr>
              <w:pStyle w:val="ARfintablebodyright"/>
              <w:spacing w:before="30" w:after="10" w:line="228" w:lineRule="auto"/>
            </w:pPr>
            <w:r w:rsidRPr="009573E6">
              <w:t>45.9</w:t>
            </w:r>
          </w:p>
        </w:tc>
        <w:tc>
          <w:tcPr>
            <w:tcW w:w="1134" w:type="dxa"/>
            <w:tcBorders>
              <w:top w:val="single" w:sz="4" w:space="0" w:color="A6A6A6"/>
              <w:bottom w:val="single" w:sz="4" w:space="0" w:color="A6A6A6"/>
            </w:tcBorders>
            <w:noWrap/>
          </w:tcPr>
          <w:p w14:paraId="582B4A50" w14:textId="77777777" w:rsidR="00CE75D4" w:rsidRPr="000B5F7A" w:rsidRDefault="00CE75D4" w:rsidP="008340C1">
            <w:pPr>
              <w:pStyle w:val="ARfintablebodyright"/>
              <w:spacing w:before="30" w:after="10" w:line="228" w:lineRule="auto"/>
            </w:pPr>
            <w:r w:rsidRPr="009573E6">
              <w:t>37.3</w:t>
            </w:r>
          </w:p>
        </w:tc>
      </w:tr>
      <w:tr w:rsidR="00CE75D4" w:rsidRPr="002029AF" w14:paraId="0003189D" w14:textId="77777777" w:rsidTr="00860E95">
        <w:tc>
          <w:tcPr>
            <w:tcW w:w="7369" w:type="dxa"/>
            <w:tcBorders>
              <w:top w:val="single" w:sz="4" w:space="0" w:color="A6A6A6"/>
              <w:bottom w:val="single" w:sz="4" w:space="0" w:color="A6A6A6"/>
            </w:tcBorders>
          </w:tcPr>
          <w:p w14:paraId="0ACBAE3F" w14:textId="77777777" w:rsidR="00CE75D4" w:rsidRPr="000B5F7A" w:rsidRDefault="00CE75D4" w:rsidP="008340C1">
            <w:pPr>
              <w:pStyle w:val="ARfintablebody"/>
              <w:spacing w:before="30" w:after="10" w:line="228" w:lineRule="auto"/>
            </w:pPr>
            <w:r w:rsidRPr="009573E6">
              <w:t>Victorian Health Promotion Foundation</w:t>
            </w:r>
          </w:p>
        </w:tc>
        <w:tc>
          <w:tcPr>
            <w:tcW w:w="1134" w:type="dxa"/>
            <w:tcBorders>
              <w:top w:val="single" w:sz="4" w:space="0" w:color="A6A6A6"/>
              <w:bottom w:val="single" w:sz="4" w:space="0" w:color="A6A6A6"/>
            </w:tcBorders>
            <w:shd w:val="clear" w:color="auto" w:fill="E7E6E6"/>
            <w:noWrap/>
          </w:tcPr>
          <w:p w14:paraId="42E857D1" w14:textId="77777777" w:rsidR="00CE75D4" w:rsidRPr="000B5F7A" w:rsidRDefault="00CE75D4" w:rsidP="008340C1">
            <w:pPr>
              <w:pStyle w:val="ARfintablebodyright"/>
              <w:spacing w:before="30" w:after="10" w:line="228" w:lineRule="auto"/>
            </w:pPr>
            <w:r w:rsidRPr="009573E6">
              <w:t>42.6</w:t>
            </w:r>
          </w:p>
        </w:tc>
        <w:tc>
          <w:tcPr>
            <w:tcW w:w="1134" w:type="dxa"/>
            <w:tcBorders>
              <w:top w:val="single" w:sz="4" w:space="0" w:color="A6A6A6"/>
              <w:bottom w:val="single" w:sz="4" w:space="0" w:color="A6A6A6"/>
            </w:tcBorders>
            <w:noWrap/>
          </w:tcPr>
          <w:p w14:paraId="667DB7DA" w14:textId="77777777" w:rsidR="00CE75D4" w:rsidRPr="000B5F7A" w:rsidRDefault="00CE75D4" w:rsidP="008340C1">
            <w:pPr>
              <w:pStyle w:val="ARfintablebodyright"/>
              <w:spacing w:before="30" w:after="10" w:line="228" w:lineRule="auto"/>
            </w:pPr>
            <w:r w:rsidRPr="009573E6">
              <w:t>41.3</w:t>
            </w:r>
          </w:p>
        </w:tc>
      </w:tr>
      <w:tr w:rsidR="00CE75D4" w:rsidRPr="002029AF" w14:paraId="3591F62F" w14:textId="77777777" w:rsidTr="00860E95">
        <w:tc>
          <w:tcPr>
            <w:tcW w:w="7369" w:type="dxa"/>
            <w:tcBorders>
              <w:top w:val="single" w:sz="4" w:space="0" w:color="A6A6A6"/>
            </w:tcBorders>
            <w:hideMark/>
          </w:tcPr>
          <w:p w14:paraId="11D40087" w14:textId="77777777" w:rsidR="00CE75D4" w:rsidRPr="002029AF" w:rsidRDefault="00CE75D4" w:rsidP="008340C1">
            <w:pPr>
              <w:pStyle w:val="ARfintablebody"/>
              <w:spacing w:before="30" w:after="10" w:line="228" w:lineRule="auto"/>
            </w:pPr>
            <w:r w:rsidRPr="009573E6">
              <w:t>Other state government agencies with payments totalling less than $30 million</w:t>
            </w:r>
          </w:p>
        </w:tc>
        <w:tc>
          <w:tcPr>
            <w:tcW w:w="1134" w:type="dxa"/>
            <w:tcBorders>
              <w:top w:val="single" w:sz="4" w:space="0" w:color="A6A6A6"/>
            </w:tcBorders>
            <w:shd w:val="clear" w:color="auto" w:fill="E7E6E6"/>
            <w:noWrap/>
            <w:hideMark/>
          </w:tcPr>
          <w:p w14:paraId="0D24E515" w14:textId="77777777" w:rsidR="00CE75D4" w:rsidRPr="002029AF" w:rsidRDefault="00CE75D4" w:rsidP="008340C1">
            <w:pPr>
              <w:pStyle w:val="ARfintablebodyright"/>
              <w:spacing w:before="30" w:after="10" w:line="228" w:lineRule="auto"/>
            </w:pPr>
            <w:r w:rsidRPr="009573E6">
              <w:t>49.2</w:t>
            </w:r>
          </w:p>
        </w:tc>
        <w:tc>
          <w:tcPr>
            <w:tcW w:w="1134" w:type="dxa"/>
            <w:tcBorders>
              <w:top w:val="single" w:sz="4" w:space="0" w:color="A6A6A6"/>
            </w:tcBorders>
            <w:noWrap/>
            <w:hideMark/>
          </w:tcPr>
          <w:p w14:paraId="5B751420" w14:textId="77777777" w:rsidR="00CE75D4" w:rsidRPr="002029AF" w:rsidRDefault="00CE75D4" w:rsidP="008340C1">
            <w:pPr>
              <w:pStyle w:val="ARfintablebodyright"/>
              <w:spacing w:before="30" w:after="10" w:line="228" w:lineRule="auto"/>
            </w:pPr>
            <w:r w:rsidRPr="009573E6">
              <w:t>74.5</w:t>
            </w:r>
          </w:p>
        </w:tc>
      </w:tr>
      <w:tr w:rsidR="00CE75D4" w:rsidRPr="002029AF" w14:paraId="69BCACC9" w14:textId="77777777" w:rsidTr="00860E95">
        <w:tc>
          <w:tcPr>
            <w:tcW w:w="7369" w:type="dxa"/>
            <w:tcBorders>
              <w:bottom w:val="single" w:sz="4" w:space="0" w:color="auto"/>
            </w:tcBorders>
            <w:hideMark/>
          </w:tcPr>
          <w:p w14:paraId="3B9E3DF8" w14:textId="77777777" w:rsidR="00CE75D4" w:rsidRPr="002029AF" w:rsidRDefault="00CE75D4" w:rsidP="008340C1">
            <w:pPr>
              <w:pStyle w:val="ARfintablebodybold"/>
              <w:spacing w:before="30" w:after="10" w:line="228" w:lineRule="auto"/>
            </w:pPr>
          </w:p>
        </w:tc>
        <w:tc>
          <w:tcPr>
            <w:tcW w:w="1134" w:type="dxa"/>
            <w:tcBorders>
              <w:bottom w:val="single" w:sz="4" w:space="0" w:color="auto"/>
            </w:tcBorders>
            <w:shd w:val="clear" w:color="auto" w:fill="E7E6E6"/>
            <w:noWrap/>
            <w:hideMark/>
          </w:tcPr>
          <w:p w14:paraId="40BC2537" w14:textId="77777777" w:rsidR="00CE75D4" w:rsidRPr="002029AF" w:rsidRDefault="00CE75D4" w:rsidP="008340C1">
            <w:pPr>
              <w:pStyle w:val="ARfintablebodyrightbold"/>
              <w:spacing w:before="30" w:after="10" w:line="228" w:lineRule="auto"/>
            </w:pPr>
            <w:r w:rsidRPr="009573E6">
              <w:t>303.2</w:t>
            </w:r>
          </w:p>
        </w:tc>
        <w:tc>
          <w:tcPr>
            <w:tcW w:w="1134" w:type="dxa"/>
            <w:tcBorders>
              <w:bottom w:val="single" w:sz="4" w:space="0" w:color="auto"/>
            </w:tcBorders>
            <w:noWrap/>
            <w:hideMark/>
          </w:tcPr>
          <w:p w14:paraId="0CEC8BD2" w14:textId="77777777" w:rsidR="00CE75D4" w:rsidRPr="002029AF" w:rsidRDefault="00CE75D4" w:rsidP="008340C1">
            <w:pPr>
              <w:pStyle w:val="ARfintablebodyrightbold"/>
              <w:spacing w:before="30" w:after="10" w:line="228" w:lineRule="auto"/>
            </w:pPr>
            <w:r w:rsidRPr="009573E6">
              <w:t>239.1</w:t>
            </w:r>
          </w:p>
        </w:tc>
      </w:tr>
      <w:tr w:rsidR="00CE75D4" w:rsidRPr="002029AF" w14:paraId="02B27FD1" w14:textId="77777777" w:rsidTr="00860E95">
        <w:tc>
          <w:tcPr>
            <w:tcW w:w="9637" w:type="dxa"/>
            <w:gridSpan w:val="3"/>
            <w:tcBorders>
              <w:top w:val="single" w:sz="4" w:space="0" w:color="auto"/>
              <w:bottom w:val="single" w:sz="4" w:space="0" w:color="A6A6A6"/>
            </w:tcBorders>
            <w:hideMark/>
          </w:tcPr>
          <w:p w14:paraId="063D8F63" w14:textId="77777777" w:rsidR="00CE75D4" w:rsidRPr="002029AF" w:rsidRDefault="00CE75D4" w:rsidP="008340C1">
            <w:pPr>
              <w:pStyle w:val="ARfintablebodybold"/>
              <w:spacing w:before="30" w:after="10" w:line="228" w:lineRule="auto"/>
            </w:pPr>
            <w:r w:rsidRPr="009573E6">
              <w:t>Local councils</w:t>
            </w:r>
          </w:p>
        </w:tc>
      </w:tr>
      <w:tr w:rsidR="00CE75D4" w:rsidRPr="002029AF" w14:paraId="3075B1DB" w14:textId="77777777" w:rsidTr="00860E95">
        <w:tc>
          <w:tcPr>
            <w:tcW w:w="7369" w:type="dxa"/>
            <w:tcBorders>
              <w:top w:val="single" w:sz="4" w:space="0" w:color="A6A6A6"/>
              <w:bottom w:val="single" w:sz="4" w:space="0" w:color="A6A6A6"/>
            </w:tcBorders>
            <w:hideMark/>
          </w:tcPr>
          <w:p w14:paraId="14DE26E8" w14:textId="77777777" w:rsidR="00CE75D4" w:rsidRPr="002029AF" w:rsidRDefault="00CE75D4" w:rsidP="008340C1">
            <w:pPr>
              <w:pStyle w:val="ARfintablebody"/>
              <w:spacing w:before="30" w:after="10" w:line="228" w:lineRule="auto"/>
            </w:pPr>
            <w:r w:rsidRPr="009573E6">
              <w:t>Casey City Council</w:t>
            </w:r>
          </w:p>
        </w:tc>
        <w:tc>
          <w:tcPr>
            <w:tcW w:w="1134" w:type="dxa"/>
            <w:tcBorders>
              <w:top w:val="single" w:sz="4" w:space="0" w:color="A6A6A6"/>
              <w:bottom w:val="single" w:sz="4" w:space="0" w:color="A6A6A6"/>
            </w:tcBorders>
            <w:shd w:val="clear" w:color="auto" w:fill="E7E6E6"/>
            <w:noWrap/>
            <w:hideMark/>
          </w:tcPr>
          <w:p w14:paraId="29874BAE" w14:textId="77777777" w:rsidR="00CE75D4" w:rsidRPr="002029AF" w:rsidRDefault="00CE75D4" w:rsidP="008340C1">
            <w:pPr>
              <w:pStyle w:val="ARfintablebodyright"/>
              <w:spacing w:before="30" w:after="10" w:line="228" w:lineRule="auto"/>
            </w:pPr>
            <w:r w:rsidRPr="009573E6">
              <w:t>11.0</w:t>
            </w:r>
          </w:p>
        </w:tc>
        <w:tc>
          <w:tcPr>
            <w:tcW w:w="1134" w:type="dxa"/>
            <w:tcBorders>
              <w:top w:val="single" w:sz="4" w:space="0" w:color="A6A6A6"/>
              <w:bottom w:val="single" w:sz="4" w:space="0" w:color="A6A6A6"/>
            </w:tcBorders>
            <w:noWrap/>
            <w:hideMark/>
          </w:tcPr>
          <w:p w14:paraId="466F21EF" w14:textId="77777777" w:rsidR="00CE75D4" w:rsidRPr="002029AF" w:rsidRDefault="00CE75D4" w:rsidP="008340C1">
            <w:pPr>
              <w:pStyle w:val="ARfintablebodyright"/>
              <w:spacing w:before="30" w:after="10" w:line="228" w:lineRule="auto"/>
            </w:pPr>
            <w:r w:rsidRPr="009573E6">
              <w:t>10.8</w:t>
            </w:r>
          </w:p>
        </w:tc>
      </w:tr>
      <w:tr w:rsidR="00CE75D4" w:rsidRPr="002029AF" w14:paraId="468A00AC" w14:textId="77777777" w:rsidTr="00860E95">
        <w:tc>
          <w:tcPr>
            <w:tcW w:w="7369" w:type="dxa"/>
            <w:tcBorders>
              <w:top w:val="single" w:sz="4" w:space="0" w:color="A6A6A6"/>
              <w:bottom w:val="single" w:sz="4" w:space="0" w:color="A6A6A6"/>
            </w:tcBorders>
            <w:hideMark/>
          </w:tcPr>
          <w:p w14:paraId="2E34E4D8" w14:textId="77777777" w:rsidR="00CE75D4" w:rsidRPr="002029AF" w:rsidRDefault="00CE75D4" w:rsidP="008340C1">
            <w:pPr>
              <w:pStyle w:val="ARfintablebody"/>
              <w:spacing w:before="30" w:after="10" w:line="228" w:lineRule="auto"/>
            </w:pPr>
            <w:r w:rsidRPr="009573E6">
              <w:t>Wyndham City Council</w:t>
            </w:r>
          </w:p>
        </w:tc>
        <w:tc>
          <w:tcPr>
            <w:tcW w:w="1134" w:type="dxa"/>
            <w:tcBorders>
              <w:top w:val="single" w:sz="4" w:space="0" w:color="A6A6A6"/>
              <w:bottom w:val="single" w:sz="4" w:space="0" w:color="A6A6A6"/>
            </w:tcBorders>
            <w:shd w:val="clear" w:color="auto" w:fill="E7E6E6"/>
            <w:noWrap/>
            <w:hideMark/>
          </w:tcPr>
          <w:p w14:paraId="3E3BF47B" w14:textId="77777777" w:rsidR="00CE75D4" w:rsidRPr="002029AF" w:rsidRDefault="00CE75D4" w:rsidP="008340C1">
            <w:pPr>
              <w:pStyle w:val="ARfintablebodyright"/>
              <w:spacing w:before="30" w:after="10" w:line="228" w:lineRule="auto"/>
            </w:pPr>
            <w:r w:rsidRPr="009573E6">
              <w:t>8.2</w:t>
            </w:r>
          </w:p>
        </w:tc>
        <w:tc>
          <w:tcPr>
            <w:tcW w:w="1134" w:type="dxa"/>
            <w:tcBorders>
              <w:top w:val="single" w:sz="4" w:space="0" w:color="A6A6A6"/>
              <w:bottom w:val="single" w:sz="4" w:space="0" w:color="A6A6A6"/>
            </w:tcBorders>
            <w:noWrap/>
            <w:hideMark/>
          </w:tcPr>
          <w:p w14:paraId="1D1EED80" w14:textId="77777777" w:rsidR="00CE75D4" w:rsidRPr="002029AF" w:rsidRDefault="00CE75D4" w:rsidP="008340C1">
            <w:pPr>
              <w:pStyle w:val="ARfintablebodyright"/>
              <w:spacing w:before="30" w:after="10" w:line="228" w:lineRule="auto"/>
            </w:pPr>
            <w:r w:rsidRPr="009573E6">
              <w:t>8.2</w:t>
            </w:r>
          </w:p>
        </w:tc>
      </w:tr>
      <w:tr w:rsidR="00CE75D4" w:rsidRPr="002029AF" w14:paraId="7EF4BAD7" w14:textId="77777777" w:rsidTr="00860E95">
        <w:tc>
          <w:tcPr>
            <w:tcW w:w="7369" w:type="dxa"/>
            <w:tcBorders>
              <w:top w:val="single" w:sz="4" w:space="0" w:color="A6A6A6"/>
              <w:bottom w:val="single" w:sz="4" w:space="0" w:color="A6A6A6"/>
            </w:tcBorders>
          </w:tcPr>
          <w:p w14:paraId="374890AA" w14:textId="77777777" w:rsidR="00CE75D4" w:rsidRPr="002029AF" w:rsidRDefault="00CE75D4" w:rsidP="008340C1">
            <w:pPr>
              <w:pStyle w:val="ARfintablebody"/>
              <w:spacing w:before="30" w:after="10" w:line="228" w:lineRule="auto"/>
            </w:pPr>
            <w:r w:rsidRPr="009573E6">
              <w:t>Hume City Council</w:t>
            </w:r>
          </w:p>
        </w:tc>
        <w:tc>
          <w:tcPr>
            <w:tcW w:w="1134" w:type="dxa"/>
            <w:tcBorders>
              <w:top w:val="single" w:sz="4" w:space="0" w:color="A6A6A6"/>
              <w:bottom w:val="single" w:sz="4" w:space="0" w:color="A6A6A6"/>
            </w:tcBorders>
            <w:shd w:val="clear" w:color="auto" w:fill="E7E6E6"/>
            <w:noWrap/>
          </w:tcPr>
          <w:p w14:paraId="75E29CDA" w14:textId="77777777" w:rsidR="00CE75D4" w:rsidRPr="002029AF" w:rsidRDefault="00CE75D4" w:rsidP="008340C1">
            <w:pPr>
              <w:pStyle w:val="ARfintablebodyright"/>
              <w:spacing w:before="30" w:after="10" w:line="228" w:lineRule="auto"/>
            </w:pPr>
            <w:r w:rsidRPr="009573E6">
              <w:t>6.8</w:t>
            </w:r>
          </w:p>
        </w:tc>
        <w:tc>
          <w:tcPr>
            <w:tcW w:w="1134" w:type="dxa"/>
            <w:tcBorders>
              <w:top w:val="single" w:sz="4" w:space="0" w:color="A6A6A6"/>
              <w:bottom w:val="single" w:sz="4" w:space="0" w:color="A6A6A6"/>
            </w:tcBorders>
            <w:noWrap/>
          </w:tcPr>
          <w:p w14:paraId="11A841E5" w14:textId="77777777" w:rsidR="00CE75D4" w:rsidRPr="002029AF" w:rsidRDefault="00CE75D4" w:rsidP="008340C1">
            <w:pPr>
              <w:pStyle w:val="ARfintablebodyright"/>
              <w:spacing w:before="30" w:after="10" w:line="228" w:lineRule="auto"/>
            </w:pPr>
            <w:r w:rsidRPr="009573E6">
              <w:t>6.5</w:t>
            </w:r>
          </w:p>
        </w:tc>
      </w:tr>
      <w:tr w:rsidR="00CE75D4" w:rsidRPr="002029AF" w14:paraId="7912C448" w14:textId="77777777" w:rsidTr="00860E95">
        <w:tc>
          <w:tcPr>
            <w:tcW w:w="7369" w:type="dxa"/>
            <w:tcBorders>
              <w:top w:val="single" w:sz="4" w:space="0" w:color="A6A6A6"/>
              <w:bottom w:val="single" w:sz="4" w:space="0" w:color="A6A6A6"/>
            </w:tcBorders>
            <w:hideMark/>
          </w:tcPr>
          <w:p w14:paraId="0DB0C358" w14:textId="77777777" w:rsidR="00CE75D4" w:rsidRPr="002029AF" w:rsidRDefault="00CE75D4" w:rsidP="008340C1">
            <w:pPr>
              <w:pStyle w:val="ARfintablebody"/>
              <w:spacing w:before="30" w:after="10" w:line="228" w:lineRule="auto"/>
            </w:pPr>
            <w:r w:rsidRPr="009573E6">
              <w:t>Whittlesea City Council</w:t>
            </w:r>
          </w:p>
        </w:tc>
        <w:tc>
          <w:tcPr>
            <w:tcW w:w="1134" w:type="dxa"/>
            <w:tcBorders>
              <w:top w:val="single" w:sz="4" w:space="0" w:color="A6A6A6"/>
              <w:bottom w:val="single" w:sz="4" w:space="0" w:color="A6A6A6"/>
            </w:tcBorders>
            <w:shd w:val="clear" w:color="auto" w:fill="E7E6E6"/>
            <w:noWrap/>
            <w:hideMark/>
          </w:tcPr>
          <w:p w14:paraId="5142B666" w14:textId="77777777" w:rsidR="00CE75D4" w:rsidRPr="002029AF" w:rsidRDefault="00CE75D4" w:rsidP="008340C1">
            <w:pPr>
              <w:pStyle w:val="ARfintablebodyright"/>
              <w:spacing w:before="30" w:after="10" w:line="228" w:lineRule="auto"/>
            </w:pPr>
            <w:r w:rsidRPr="009573E6">
              <w:t>6.3</w:t>
            </w:r>
          </w:p>
        </w:tc>
        <w:tc>
          <w:tcPr>
            <w:tcW w:w="1134" w:type="dxa"/>
            <w:tcBorders>
              <w:top w:val="single" w:sz="4" w:space="0" w:color="A6A6A6"/>
              <w:bottom w:val="single" w:sz="4" w:space="0" w:color="A6A6A6"/>
            </w:tcBorders>
            <w:noWrap/>
            <w:hideMark/>
          </w:tcPr>
          <w:p w14:paraId="075C4013" w14:textId="77777777" w:rsidR="00CE75D4" w:rsidRPr="002029AF" w:rsidRDefault="00CE75D4" w:rsidP="008340C1">
            <w:pPr>
              <w:pStyle w:val="ARfintablebodyright"/>
              <w:spacing w:before="30" w:after="10" w:line="228" w:lineRule="auto"/>
            </w:pPr>
            <w:r w:rsidRPr="009573E6">
              <w:t>6.3</w:t>
            </w:r>
          </w:p>
        </w:tc>
      </w:tr>
      <w:tr w:rsidR="00CE75D4" w:rsidRPr="002029AF" w14:paraId="11AD550A" w14:textId="77777777" w:rsidTr="00860E95">
        <w:tc>
          <w:tcPr>
            <w:tcW w:w="7369" w:type="dxa"/>
            <w:tcBorders>
              <w:top w:val="single" w:sz="4" w:space="0" w:color="A6A6A6"/>
              <w:bottom w:val="single" w:sz="4" w:space="0" w:color="A6A6A6"/>
            </w:tcBorders>
            <w:hideMark/>
          </w:tcPr>
          <w:p w14:paraId="600104E0" w14:textId="77777777" w:rsidR="00CE75D4" w:rsidRPr="002029AF" w:rsidRDefault="00CE75D4" w:rsidP="008340C1">
            <w:pPr>
              <w:pStyle w:val="ARfintablebody"/>
              <w:spacing w:before="30" w:after="10" w:line="228" w:lineRule="auto"/>
            </w:pPr>
            <w:r w:rsidRPr="009573E6">
              <w:t>City of Greater Geelong</w:t>
            </w:r>
          </w:p>
        </w:tc>
        <w:tc>
          <w:tcPr>
            <w:tcW w:w="1134" w:type="dxa"/>
            <w:tcBorders>
              <w:top w:val="single" w:sz="4" w:space="0" w:color="A6A6A6"/>
              <w:bottom w:val="single" w:sz="4" w:space="0" w:color="A6A6A6"/>
            </w:tcBorders>
            <w:shd w:val="clear" w:color="auto" w:fill="E7E6E6"/>
            <w:noWrap/>
            <w:hideMark/>
          </w:tcPr>
          <w:p w14:paraId="2224F5D8" w14:textId="77777777" w:rsidR="00CE75D4" w:rsidRPr="002029AF" w:rsidRDefault="00CE75D4" w:rsidP="008340C1">
            <w:pPr>
              <w:pStyle w:val="ARfintablebodyright"/>
              <w:spacing w:before="30" w:after="10" w:line="228" w:lineRule="auto"/>
            </w:pPr>
            <w:r w:rsidRPr="009573E6">
              <w:t>6.0</w:t>
            </w:r>
          </w:p>
        </w:tc>
        <w:tc>
          <w:tcPr>
            <w:tcW w:w="1134" w:type="dxa"/>
            <w:tcBorders>
              <w:top w:val="single" w:sz="4" w:space="0" w:color="A6A6A6"/>
              <w:bottom w:val="single" w:sz="4" w:space="0" w:color="A6A6A6"/>
            </w:tcBorders>
            <w:noWrap/>
            <w:hideMark/>
          </w:tcPr>
          <w:p w14:paraId="7EF82B98" w14:textId="77777777" w:rsidR="00CE75D4" w:rsidRPr="002029AF" w:rsidRDefault="00CE75D4" w:rsidP="008340C1">
            <w:pPr>
              <w:pStyle w:val="ARfintablebodyright"/>
              <w:spacing w:before="30" w:after="10" w:line="228" w:lineRule="auto"/>
            </w:pPr>
            <w:r w:rsidRPr="009573E6">
              <w:t>6.9</w:t>
            </w:r>
          </w:p>
        </w:tc>
      </w:tr>
      <w:tr w:rsidR="00CE75D4" w:rsidRPr="002029AF" w14:paraId="78238376" w14:textId="77777777" w:rsidTr="00860E95">
        <w:tc>
          <w:tcPr>
            <w:tcW w:w="7369" w:type="dxa"/>
            <w:tcBorders>
              <w:top w:val="single" w:sz="4" w:space="0" w:color="A6A6A6"/>
              <w:bottom w:val="single" w:sz="4" w:space="0" w:color="A6A6A6"/>
            </w:tcBorders>
            <w:hideMark/>
          </w:tcPr>
          <w:p w14:paraId="41A42CFC" w14:textId="77777777" w:rsidR="00CE75D4" w:rsidRPr="002029AF" w:rsidRDefault="00CE75D4" w:rsidP="008340C1">
            <w:pPr>
              <w:pStyle w:val="ARfintablebody"/>
              <w:spacing w:before="30" w:after="10" w:line="228" w:lineRule="auto"/>
            </w:pPr>
            <w:r w:rsidRPr="009573E6">
              <w:t>City of Greater Dandenong</w:t>
            </w:r>
          </w:p>
        </w:tc>
        <w:tc>
          <w:tcPr>
            <w:tcW w:w="1134" w:type="dxa"/>
            <w:tcBorders>
              <w:top w:val="single" w:sz="4" w:space="0" w:color="A6A6A6"/>
              <w:bottom w:val="single" w:sz="4" w:space="0" w:color="A6A6A6"/>
            </w:tcBorders>
            <w:shd w:val="clear" w:color="auto" w:fill="E7E6E6"/>
            <w:noWrap/>
            <w:hideMark/>
          </w:tcPr>
          <w:p w14:paraId="525E9CE8" w14:textId="77777777" w:rsidR="00CE75D4" w:rsidRPr="002029AF" w:rsidRDefault="00CE75D4" w:rsidP="008340C1">
            <w:pPr>
              <w:pStyle w:val="ARfintablebodyright"/>
              <w:spacing w:before="30" w:after="10" w:line="228" w:lineRule="auto"/>
            </w:pPr>
            <w:r w:rsidRPr="009573E6">
              <w:t>5.7</w:t>
            </w:r>
          </w:p>
        </w:tc>
        <w:tc>
          <w:tcPr>
            <w:tcW w:w="1134" w:type="dxa"/>
            <w:tcBorders>
              <w:top w:val="single" w:sz="4" w:space="0" w:color="A6A6A6"/>
              <w:bottom w:val="single" w:sz="4" w:space="0" w:color="A6A6A6"/>
            </w:tcBorders>
            <w:noWrap/>
            <w:hideMark/>
          </w:tcPr>
          <w:p w14:paraId="12B65690" w14:textId="77777777" w:rsidR="00CE75D4" w:rsidRPr="002029AF" w:rsidRDefault="00CE75D4" w:rsidP="008340C1">
            <w:pPr>
              <w:pStyle w:val="ARfintablebodyright"/>
              <w:spacing w:before="30" w:after="10" w:line="228" w:lineRule="auto"/>
            </w:pPr>
            <w:r w:rsidRPr="009573E6">
              <w:t>7.2</w:t>
            </w:r>
          </w:p>
        </w:tc>
      </w:tr>
      <w:tr w:rsidR="00CE75D4" w:rsidRPr="002029AF" w14:paraId="2F352411" w14:textId="77777777" w:rsidTr="00860E95">
        <w:tc>
          <w:tcPr>
            <w:tcW w:w="7369" w:type="dxa"/>
            <w:tcBorders>
              <w:top w:val="single" w:sz="4" w:space="0" w:color="A6A6A6"/>
            </w:tcBorders>
            <w:hideMark/>
          </w:tcPr>
          <w:p w14:paraId="05774C11" w14:textId="77777777" w:rsidR="00CE75D4" w:rsidRPr="002029AF" w:rsidRDefault="00CE75D4" w:rsidP="008340C1">
            <w:pPr>
              <w:pStyle w:val="ARfintablebody"/>
              <w:spacing w:before="30" w:after="10" w:line="228" w:lineRule="auto"/>
            </w:pPr>
            <w:r w:rsidRPr="009573E6">
              <w:t>Other local councils with payments totalling less than $5 million</w:t>
            </w:r>
          </w:p>
        </w:tc>
        <w:tc>
          <w:tcPr>
            <w:tcW w:w="1134" w:type="dxa"/>
            <w:tcBorders>
              <w:top w:val="single" w:sz="4" w:space="0" w:color="A6A6A6"/>
            </w:tcBorders>
            <w:shd w:val="clear" w:color="auto" w:fill="E7E6E6"/>
            <w:noWrap/>
            <w:hideMark/>
          </w:tcPr>
          <w:p w14:paraId="4CADE7F0" w14:textId="77777777" w:rsidR="00CE75D4" w:rsidRPr="002029AF" w:rsidRDefault="00CE75D4" w:rsidP="008340C1">
            <w:pPr>
              <w:pStyle w:val="ARfintablebodyright"/>
              <w:spacing w:before="30" w:after="10" w:line="228" w:lineRule="auto"/>
            </w:pPr>
            <w:r w:rsidRPr="009573E6">
              <w:t>108.5</w:t>
            </w:r>
          </w:p>
        </w:tc>
        <w:tc>
          <w:tcPr>
            <w:tcW w:w="1134" w:type="dxa"/>
            <w:tcBorders>
              <w:top w:val="single" w:sz="4" w:space="0" w:color="A6A6A6"/>
            </w:tcBorders>
            <w:noWrap/>
            <w:hideMark/>
          </w:tcPr>
          <w:p w14:paraId="46A7D221" w14:textId="77777777" w:rsidR="00CE75D4" w:rsidRPr="002029AF" w:rsidRDefault="00CE75D4" w:rsidP="008340C1">
            <w:pPr>
              <w:pStyle w:val="ARfintablebodyright"/>
              <w:spacing w:before="30" w:after="10" w:line="228" w:lineRule="auto"/>
            </w:pPr>
            <w:r w:rsidRPr="009573E6">
              <w:t>133.5</w:t>
            </w:r>
          </w:p>
        </w:tc>
      </w:tr>
      <w:tr w:rsidR="00CE75D4" w:rsidRPr="002029AF" w14:paraId="765344E2" w14:textId="77777777" w:rsidTr="00860E95">
        <w:tc>
          <w:tcPr>
            <w:tcW w:w="7369" w:type="dxa"/>
            <w:tcBorders>
              <w:bottom w:val="single" w:sz="4" w:space="0" w:color="auto"/>
            </w:tcBorders>
            <w:hideMark/>
          </w:tcPr>
          <w:p w14:paraId="24B55F1E" w14:textId="77777777" w:rsidR="00CE75D4" w:rsidRPr="002029AF" w:rsidRDefault="00CE75D4" w:rsidP="008340C1">
            <w:pPr>
              <w:pStyle w:val="ARfintablebodybold"/>
              <w:spacing w:before="30" w:after="10" w:line="228" w:lineRule="auto"/>
            </w:pPr>
          </w:p>
        </w:tc>
        <w:tc>
          <w:tcPr>
            <w:tcW w:w="1134" w:type="dxa"/>
            <w:tcBorders>
              <w:bottom w:val="single" w:sz="4" w:space="0" w:color="auto"/>
            </w:tcBorders>
            <w:shd w:val="clear" w:color="auto" w:fill="E7E6E6"/>
            <w:noWrap/>
            <w:hideMark/>
          </w:tcPr>
          <w:p w14:paraId="5D0ECB8D" w14:textId="77777777" w:rsidR="00CE75D4" w:rsidRPr="002029AF" w:rsidRDefault="00CE75D4" w:rsidP="008340C1">
            <w:pPr>
              <w:pStyle w:val="ARfintablebodyrightbold"/>
              <w:spacing w:before="30" w:after="10" w:line="228" w:lineRule="auto"/>
            </w:pPr>
            <w:r w:rsidRPr="009573E6">
              <w:t>152.</w:t>
            </w:r>
            <w:r>
              <w:t>4</w:t>
            </w:r>
          </w:p>
        </w:tc>
        <w:tc>
          <w:tcPr>
            <w:tcW w:w="1134" w:type="dxa"/>
            <w:tcBorders>
              <w:bottom w:val="single" w:sz="4" w:space="0" w:color="auto"/>
            </w:tcBorders>
            <w:noWrap/>
            <w:hideMark/>
          </w:tcPr>
          <w:p w14:paraId="1BA3CF45" w14:textId="77777777" w:rsidR="00CE75D4" w:rsidRPr="002029AF" w:rsidRDefault="00CE75D4" w:rsidP="008340C1">
            <w:pPr>
              <w:pStyle w:val="ARfintablebodyrightbold"/>
              <w:spacing w:before="30" w:after="10" w:line="228" w:lineRule="auto"/>
            </w:pPr>
            <w:r w:rsidRPr="009573E6">
              <w:t>179.4</w:t>
            </w:r>
          </w:p>
        </w:tc>
      </w:tr>
      <w:tr w:rsidR="00CE75D4" w:rsidRPr="002029AF" w14:paraId="0A49074D" w14:textId="77777777" w:rsidTr="00860E95">
        <w:tc>
          <w:tcPr>
            <w:tcW w:w="9637" w:type="dxa"/>
            <w:gridSpan w:val="3"/>
            <w:tcBorders>
              <w:top w:val="single" w:sz="4" w:space="0" w:color="auto"/>
              <w:bottom w:val="single" w:sz="4" w:space="0" w:color="A6A6A6"/>
            </w:tcBorders>
            <w:hideMark/>
          </w:tcPr>
          <w:p w14:paraId="7386827E" w14:textId="77777777" w:rsidR="00CE75D4" w:rsidRPr="002029AF" w:rsidRDefault="00CE75D4" w:rsidP="008340C1">
            <w:pPr>
              <w:pStyle w:val="ARfintablebodybold"/>
              <w:pageBreakBefore/>
              <w:spacing w:before="30" w:after="10" w:line="252" w:lineRule="auto"/>
            </w:pPr>
            <w:r w:rsidRPr="009573E6">
              <w:t>Commonwealth Government</w:t>
            </w:r>
          </w:p>
        </w:tc>
      </w:tr>
      <w:tr w:rsidR="00CE75D4" w:rsidRPr="002029AF" w14:paraId="3A69DA29" w14:textId="77777777" w:rsidTr="00860E95">
        <w:tc>
          <w:tcPr>
            <w:tcW w:w="7369" w:type="dxa"/>
            <w:tcBorders>
              <w:top w:val="single" w:sz="4" w:space="0" w:color="A6A6A6"/>
              <w:bottom w:val="single" w:sz="4" w:space="0" w:color="A6A6A6"/>
            </w:tcBorders>
            <w:hideMark/>
          </w:tcPr>
          <w:p w14:paraId="2EA9BB43" w14:textId="77777777" w:rsidR="00CE75D4" w:rsidRPr="002029AF" w:rsidRDefault="00CE75D4" w:rsidP="008340C1">
            <w:pPr>
              <w:pStyle w:val="ARfintablebody"/>
              <w:spacing w:before="30" w:after="10" w:line="252" w:lineRule="auto"/>
            </w:pPr>
            <w:r w:rsidRPr="009573E6">
              <w:t>National Blood Authority</w:t>
            </w:r>
          </w:p>
        </w:tc>
        <w:tc>
          <w:tcPr>
            <w:tcW w:w="1134" w:type="dxa"/>
            <w:tcBorders>
              <w:top w:val="single" w:sz="4" w:space="0" w:color="A6A6A6"/>
              <w:bottom w:val="single" w:sz="4" w:space="0" w:color="A6A6A6"/>
            </w:tcBorders>
            <w:shd w:val="clear" w:color="auto" w:fill="E7E6E6"/>
            <w:noWrap/>
            <w:hideMark/>
          </w:tcPr>
          <w:p w14:paraId="4081CC36" w14:textId="77777777" w:rsidR="00CE75D4" w:rsidRPr="002029AF" w:rsidRDefault="00CE75D4" w:rsidP="008340C1">
            <w:pPr>
              <w:pStyle w:val="ARfintablebodyright"/>
              <w:spacing w:before="30" w:after="10" w:line="252" w:lineRule="auto"/>
            </w:pPr>
            <w:r w:rsidRPr="009573E6">
              <w:t>98.0</w:t>
            </w:r>
          </w:p>
        </w:tc>
        <w:tc>
          <w:tcPr>
            <w:tcW w:w="1134" w:type="dxa"/>
            <w:tcBorders>
              <w:top w:val="single" w:sz="4" w:space="0" w:color="A6A6A6"/>
              <w:bottom w:val="single" w:sz="4" w:space="0" w:color="A6A6A6"/>
            </w:tcBorders>
            <w:noWrap/>
            <w:hideMark/>
          </w:tcPr>
          <w:p w14:paraId="4E840969" w14:textId="77777777" w:rsidR="00CE75D4" w:rsidRPr="002029AF" w:rsidRDefault="00CE75D4" w:rsidP="008340C1">
            <w:pPr>
              <w:pStyle w:val="ARfintablebodyright"/>
              <w:spacing w:before="30" w:after="10" w:line="252" w:lineRule="auto"/>
            </w:pPr>
            <w:r w:rsidRPr="009573E6">
              <w:t>117.0</w:t>
            </w:r>
          </w:p>
        </w:tc>
      </w:tr>
      <w:tr w:rsidR="00CE75D4" w:rsidRPr="002029AF" w14:paraId="1C723960" w14:textId="77777777" w:rsidTr="00860E95">
        <w:tc>
          <w:tcPr>
            <w:tcW w:w="7369" w:type="dxa"/>
            <w:tcBorders>
              <w:top w:val="single" w:sz="4" w:space="0" w:color="A6A6A6"/>
            </w:tcBorders>
            <w:hideMark/>
          </w:tcPr>
          <w:p w14:paraId="09E328A5" w14:textId="77777777" w:rsidR="00CE75D4" w:rsidRPr="002029AF" w:rsidRDefault="00CE75D4" w:rsidP="008340C1">
            <w:pPr>
              <w:pStyle w:val="ARfintablebody"/>
              <w:spacing w:before="30" w:after="10" w:line="252" w:lineRule="auto"/>
            </w:pPr>
            <w:r w:rsidRPr="009573E6">
              <w:t>Other Commonwealth Government with payments totalling less than $30 million</w:t>
            </w:r>
          </w:p>
        </w:tc>
        <w:tc>
          <w:tcPr>
            <w:tcW w:w="1134" w:type="dxa"/>
            <w:tcBorders>
              <w:top w:val="single" w:sz="4" w:space="0" w:color="A6A6A6"/>
            </w:tcBorders>
            <w:shd w:val="clear" w:color="auto" w:fill="E7E6E6"/>
            <w:noWrap/>
            <w:hideMark/>
          </w:tcPr>
          <w:p w14:paraId="6A9AFBEF" w14:textId="77777777" w:rsidR="00CE75D4" w:rsidRPr="002029AF" w:rsidRDefault="00CE75D4" w:rsidP="008340C1">
            <w:pPr>
              <w:pStyle w:val="ARfintablebodyright"/>
              <w:spacing w:before="30" w:after="10" w:line="252" w:lineRule="auto"/>
            </w:pPr>
            <w:r w:rsidRPr="009573E6">
              <w:t>5.1</w:t>
            </w:r>
          </w:p>
        </w:tc>
        <w:tc>
          <w:tcPr>
            <w:tcW w:w="1134" w:type="dxa"/>
            <w:tcBorders>
              <w:top w:val="single" w:sz="4" w:space="0" w:color="A6A6A6"/>
            </w:tcBorders>
            <w:noWrap/>
            <w:hideMark/>
          </w:tcPr>
          <w:p w14:paraId="56BFF04A" w14:textId="77777777" w:rsidR="00CE75D4" w:rsidRPr="002029AF" w:rsidRDefault="00CE75D4" w:rsidP="008340C1">
            <w:pPr>
              <w:pStyle w:val="ARfintablebodyright"/>
              <w:spacing w:before="30" w:after="10" w:line="252" w:lineRule="auto"/>
            </w:pPr>
            <w:r w:rsidRPr="009573E6">
              <w:t>(0.7)</w:t>
            </w:r>
          </w:p>
        </w:tc>
      </w:tr>
      <w:tr w:rsidR="00CE75D4" w:rsidRPr="002029AF" w14:paraId="15003D23" w14:textId="77777777" w:rsidTr="00860E95">
        <w:tc>
          <w:tcPr>
            <w:tcW w:w="7369" w:type="dxa"/>
            <w:tcBorders>
              <w:bottom w:val="single" w:sz="4" w:space="0" w:color="auto"/>
            </w:tcBorders>
            <w:hideMark/>
          </w:tcPr>
          <w:p w14:paraId="650FE054" w14:textId="77777777" w:rsidR="00CE75D4" w:rsidRPr="002029AF" w:rsidRDefault="00CE75D4" w:rsidP="008340C1">
            <w:pPr>
              <w:pStyle w:val="ARfintablebodybold"/>
              <w:spacing w:before="30" w:after="10" w:line="252" w:lineRule="auto"/>
            </w:pPr>
          </w:p>
        </w:tc>
        <w:tc>
          <w:tcPr>
            <w:tcW w:w="1134" w:type="dxa"/>
            <w:tcBorders>
              <w:bottom w:val="single" w:sz="4" w:space="0" w:color="auto"/>
            </w:tcBorders>
            <w:shd w:val="clear" w:color="auto" w:fill="E7E6E6"/>
            <w:noWrap/>
            <w:hideMark/>
          </w:tcPr>
          <w:p w14:paraId="2D1DE928" w14:textId="77777777" w:rsidR="00CE75D4" w:rsidRPr="002029AF" w:rsidRDefault="00CE75D4" w:rsidP="008340C1">
            <w:pPr>
              <w:pStyle w:val="ARfintablebodyrightbold"/>
              <w:spacing w:before="30" w:after="10" w:line="252" w:lineRule="auto"/>
            </w:pPr>
            <w:r w:rsidRPr="009573E6">
              <w:t>103.1</w:t>
            </w:r>
          </w:p>
        </w:tc>
        <w:tc>
          <w:tcPr>
            <w:tcW w:w="1134" w:type="dxa"/>
            <w:tcBorders>
              <w:bottom w:val="single" w:sz="4" w:space="0" w:color="auto"/>
            </w:tcBorders>
            <w:noWrap/>
            <w:hideMark/>
          </w:tcPr>
          <w:p w14:paraId="6F8679EC" w14:textId="77777777" w:rsidR="00CE75D4" w:rsidRPr="002029AF" w:rsidRDefault="00CE75D4" w:rsidP="008340C1">
            <w:pPr>
              <w:pStyle w:val="ARfintablebodyrightbold"/>
              <w:spacing w:before="30" w:after="10" w:line="252" w:lineRule="auto"/>
            </w:pPr>
            <w:r w:rsidRPr="009573E6">
              <w:t>116.3</w:t>
            </w:r>
          </w:p>
        </w:tc>
      </w:tr>
      <w:tr w:rsidR="00CE75D4" w:rsidRPr="002029AF" w14:paraId="47567D21" w14:textId="77777777" w:rsidTr="00860E95">
        <w:tc>
          <w:tcPr>
            <w:tcW w:w="9637" w:type="dxa"/>
            <w:gridSpan w:val="3"/>
            <w:tcBorders>
              <w:top w:val="single" w:sz="4" w:space="0" w:color="auto"/>
              <w:bottom w:val="single" w:sz="4" w:space="0" w:color="A6A6A6"/>
            </w:tcBorders>
            <w:hideMark/>
          </w:tcPr>
          <w:p w14:paraId="4536187E" w14:textId="77777777" w:rsidR="00CE75D4" w:rsidRPr="002029AF" w:rsidRDefault="00CE75D4" w:rsidP="008340C1">
            <w:pPr>
              <w:pStyle w:val="ARfintablebodybold"/>
              <w:spacing w:before="30" w:after="10" w:line="252" w:lineRule="auto"/>
            </w:pPr>
            <w:r w:rsidRPr="009573E6">
              <w:t>Non-government agencies and individuals</w:t>
            </w:r>
          </w:p>
        </w:tc>
      </w:tr>
      <w:tr w:rsidR="00CE75D4" w:rsidRPr="002029AF" w14:paraId="6A57B4BC" w14:textId="77777777" w:rsidTr="00860E95">
        <w:tc>
          <w:tcPr>
            <w:tcW w:w="7369" w:type="dxa"/>
            <w:tcBorders>
              <w:top w:val="single" w:sz="4" w:space="0" w:color="A6A6A6"/>
              <w:bottom w:val="single" w:sz="4" w:space="0" w:color="A6A6A6"/>
            </w:tcBorders>
            <w:hideMark/>
          </w:tcPr>
          <w:p w14:paraId="5C0B2F48" w14:textId="77777777" w:rsidR="00CE75D4" w:rsidRPr="002029AF" w:rsidRDefault="00CE75D4" w:rsidP="008340C1">
            <w:pPr>
              <w:pStyle w:val="ARfintablebody"/>
              <w:spacing w:before="30" w:after="10" w:line="252" w:lineRule="auto"/>
            </w:pPr>
            <w:r w:rsidRPr="009573E6">
              <w:t>Epworth Healthcare</w:t>
            </w:r>
          </w:p>
        </w:tc>
        <w:tc>
          <w:tcPr>
            <w:tcW w:w="1134" w:type="dxa"/>
            <w:tcBorders>
              <w:top w:val="single" w:sz="4" w:space="0" w:color="A6A6A6"/>
              <w:bottom w:val="single" w:sz="4" w:space="0" w:color="A6A6A6"/>
            </w:tcBorders>
            <w:shd w:val="clear" w:color="auto" w:fill="E7E6E6"/>
            <w:noWrap/>
            <w:hideMark/>
          </w:tcPr>
          <w:p w14:paraId="3421C442" w14:textId="77777777" w:rsidR="00CE75D4" w:rsidRPr="002029AF" w:rsidRDefault="00CE75D4" w:rsidP="008340C1">
            <w:pPr>
              <w:pStyle w:val="ARfintablebodyright"/>
              <w:spacing w:before="30" w:after="10" w:line="252" w:lineRule="auto"/>
            </w:pPr>
            <w:r w:rsidRPr="009573E6">
              <w:t>112.5</w:t>
            </w:r>
          </w:p>
        </w:tc>
        <w:tc>
          <w:tcPr>
            <w:tcW w:w="1134" w:type="dxa"/>
            <w:tcBorders>
              <w:top w:val="single" w:sz="4" w:space="0" w:color="A6A6A6"/>
              <w:bottom w:val="single" w:sz="4" w:space="0" w:color="A6A6A6"/>
            </w:tcBorders>
            <w:noWrap/>
            <w:hideMark/>
          </w:tcPr>
          <w:p w14:paraId="0E72EF6C" w14:textId="77777777" w:rsidR="00CE75D4" w:rsidRPr="002029AF" w:rsidRDefault="00CE75D4" w:rsidP="008340C1">
            <w:pPr>
              <w:pStyle w:val="ARfintablebodyright"/>
              <w:spacing w:before="30" w:after="10" w:line="252" w:lineRule="auto"/>
            </w:pPr>
            <w:r w:rsidRPr="009573E6">
              <w:t>106.7</w:t>
            </w:r>
          </w:p>
        </w:tc>
      </w:tr>
      <w:tr w:rsidR="00CE75D4" w:rsidRPr="002029AF" w14:paraId="07A0F27E" w14:textId="77777777" w:rsidTr="00860E95">
        <w:tc>
          <w:tcPr>
            <w:tcW w:w="7369" w:type="dxa"/>
            <w:tcBorders>
              <w:top w:val="single" w:sz="4" w:space="0" w:color="A6A6A6"/>
              <w:bottom w:val="single" w:sz="4" w:space="0" w:color="A6A6A6"/>
            </w:tcBorders>
            <w:hideMark/>
          </w:tcPr>
          <w:p w14:paraId="41BD7A78" w14:textId="77777777" w:rsidR="00CE75D4" w:rsidRPr="002029AF" w:rsidRDefault="00CE75D4" w:rsidP="008340C1">
            <w:pPr>
              <w:pStyle w:val="ARfintablebody"/>
              <w:spacing w:before="30" w:after="10" w:line="252" w:lineRule="auto"/>
            </w:pPr>
            <w:r w:rsidRPr="009573E6">
              <w:t>IPC Health</w:t>
            </w:r>
          </w:p>
        </w:tc>
        <w:tc>
          <w:tcPr>
            <w:tcW w:w="1134" w:type="dxa"/>
            <w:tcBorders>
              <w:top w:val="single" w:sz="4" w:space="0" w:color="A6A6A6"/>
              <w:bottom w:val="single" w:sz="4" w:space="0" w:color="A6A6A6"/>
            </w:tcBorders>
            <w:shd w:val="clear" w:color="auto" w:fill="E7E6E6"/>
            <w:noWrap/>
            <w:hideMark/>
          </w:tcPr>
          <w:p w14:paraId="1D103632" w14:textId="77777777" w:rsidR="00CE75D4" w:rsidRPr="002029AF" w:rsidRDefault="00CE75D4" w:rsidP="008340C1">
            <w:pPr>
              <w:pStyle w:val="ARfintablebodyright"/>
              <w:spacing w:before="30" w:after="10" w:line="252" w:lineRule="auto"/>
            </w:pPr>
            <w:r w:rsidRPr="009573E6">
              <w:t>77.3</w:t>
            </w:r>
          </w:p>
        </w:tc>
        <w:tc>
          <w:tcPr>
            <w:tcW w:w="1134" w:type="dxa"/>
            <w:tcBorders>
              <w:top w:val="single" w:sz="4" w:space="0" w:color="A6A6A6"/>
              <w:bottom w:val="single" w:sz="4" w:space="0" w:color="A6A6A6"/>
            </w:tcBorders>
            <w:noWrap/>
            <w:hideMark/>
          </w:tcPr>
          <w:p w14:paraId="11FBE586" w14:textId="77777777" w:rsidR="00CE75D4" w:rsidRPr="002029AF" w:rsidRDefault="00CE75D4" w:rsidP="008340C1">
            <w:pPr>
              <w:pStyle w:val="ARfintablebodyright"/>
              <w:spacing w:before="30" w:after="10" w:line="252" w:lineRule="auto"/>
            </w:pPr>
            <w:r w:rsidRPr="009573E6">
              <w:t>45.2</w:t>
            </w:r>
          </w:p>
        </w:tc>
      </w:tr>
      <w:tr w:rsidR="00CE75D4" w:rsidRPr="002029AF" w14:paraId="4A13F084" w14:textId="77777777" w:rsidTr="00860E95">
        <w:tc>
          <w:tcPr>
            <w:tcW w:w="7369" w:type="dxa"/>
            <w:tcBorders>
              <w:top w:val="single" w:sz="4" w:space="0" w:color="A6A6A6"/>
              <w:bottom w:val="single" w:sz="4" w:space="0" w:color="A6A6A6"/>
            </w:tcBorders>
            <w:hideMark/>
          </w:tcPr>
          <w:p w14:paraId="448370B7" w14:textId="77777777" w:rsidR="00CE75D4" w:rsidRPr="002029AF" w:rsidRDefault="00CE75D4" w:rsidP="008340C1">
            <w:pPr>
              <w:pStyle w:val="ARfintablebody"/>
              <w:spacing w:before="30" w:after="10" w:line="252" w:lineRule="auto"/>
            </w:pPr>
            <w:r w:rsidRPr="009573E6">
              <w:t>Cabrini Health Ltd</w:t>
            </w:r>
          </w:p>
        </w:tc>
        <w:tc>
          <w:tcPr>
            <w:tcW w:w="1134" w:type="dxa"/>
            <w:tcBorders>
              <w:top w:val="single" w:sz="4" w:space="0" w:color="A6A6A6"/>
              <w:bottom w:val="single" w:sz="4" w:space="0" w:color="A6A6A6"/>
            </w:tcBorders>
            <w:shd w:val="clear" w:color="auto" w:fill="E7E6E6"/>
            <w:noWrap/>
            <w:hideMark/>
          </w:tcPr>
          <w:p w14:paraId="0187E504" w14:textId="77777777" w:rsidR="00CE75D4" w:rsidRPr="002029AF" w:rsidRDefault="00CE75D4" w:rsidP="008340C1">
            <w:pPr>
              <w:pStyle w:val="ARfintablebodyright"/>
              <w:spacing w:before="30" w:after="10" w:line="252" w:lineRule="auto"/>
            </w:pPr>
            <w:r w:rsidRPr="009573E6">
              <w:t>63.3</w:t>
            </w:r>
          </w:p>
        </w:tc>
        <w:tc>
          <w:tcPr>
            <w:tcW w:w="1134" w:type="dxa"/>
            <w:tcBorders>
              <w:top w:val="single" w:sz="4" w:space="0" w:color="A6A6A6"/>
              <w:bottom w:val="single" w:sz="4" w:space="0" w:color="A6A6A6"/>
            </w:tcBorders>
            <w:noWrap/>
            <w:hideMark/>
          </w:tcPr>
          <w:p w14:paraId="55697756" w14:textId="77777777" w:rsidR="00CE75D4" w:rsidRPr="002029AF" w:rsidRDefault="00CE75D4" w:rsidP="008340C1">
            <w:pPr>
              <w:pStyle w:val="ARfintablebodyright"/>
              <w:spacing w:before="30" w:after="10" w:line="252" w:lineRule="auto"/>
            </w:pPr>
            <w:r w:rsidRPr="009573E6">
              <w:t>44.6</w:t>
            </w:r>
          </w:p>
        </w:tc>
      </w:tr>
      <w:tr w:rsidR="00CE75D4" w:rsidRPr="002029AF" w14:paraId="03BC2179" w14:textId="77777777" w:rsidTr="00860E95">
        <w:tc>
          <w:tcPr>
            <w:tcW w:w="7369" w:type="dxa"/>
            <w:tcBorders>
              <w:top w:val="single" w:sz="4" w:space="0" w:color="A6A6A6"/>
              <w:bottom w:val="single" w:sz="4" w:space="0" w:color="A6A6A6"/>
            </w:tcBorders>
            <w:hideMark/>
          </w:tcPr>
          <w:p w14:paraId="79FEC7D3" w14:textId="77777777" w:rsidR="00CE75D4" w:rsidRPr="002029AF" w:rsidRDefault="00CE75D4" w:rsidP="008340C1">
            <w:pPr>
              <w:pStyle w:val="ARfintablebody"/>
              <w:spacing w:before="30" w:after="10" w:line="252" w:lineRule="auto"/>
            </w:pPr>
            <w:r w:rsidRPr="009573E6">
              <w:t>St John of God Health Care</w:t>
            </w:r>
          </w:p>
        </w:tc>
        <w:tc>
          <w:tcPr>
            <w:tcW w:w="1134" w:type="dxa"/>
            <w:tcBorders>
              <w:top w:val="single" w:sz="4" w:space="0" w:color="A6A6A6"/>
              <w:bottom w:val="single" w:sz="4" w:space="0" w:color="A6A6A6"/>
            </w:tcBorders>
            <w:shd w:val="clear" w:color="auto" w:fill="E7E6E6"/>
            <w:noWrap/>
            <w:hideMark/>
          </w:tcPr>
          <w:p w14:paraId="3E44DB9E" w14:textId="77777777" w:rsidR="00CE75D4" w:rsidRPr="002029AF" w:rsidRDefault="00CE75D4" w:rsidP="008340C1">
            <w:pPr>
              <w:pStyle w:val="ARfintablebodyright"/>
              <w:spacing w:before="30" w:after="10" w:line="252" w:lineRule="auto"/>
            </w:pPr>
            <w:r w:rsidRPr="009573E6">
              <w:t>63.4</w:t>
            </w:r>
          </w:p>
        </w:tc>
        <w:tc>
          <w:tcPr>
            <w:tcW w:w="1134" w:type="dxa"/>
            <w:tcBorders>
              <w:top w:val="single" w:sz="4" w:space="0" w:color="A6A6A6"/>
              <w:bottom w:val="single" w:sz="4" w:space="0" w:color="A6A6A6"/>
            </w:tcBorders>
            <w:noWrap/>
            <w:hideMark/>
          </w:tcPr>
          <w:p w14:paraId="72AA20E0" w14:textId="77777777" w:rsidR="00CE75D4" w:rsidRPr="002029AF" w:rsidRDefault="00CE75D4" w:rsidP="008340C1">
            <w:pPr>
              <w:pStyle w:val="ARfintablebodyright"/>
              <w:spacing w:before="30" w:after="10" w:line="252" w:lineRule="auto"/>
            </w:pPr>
            <w:r w:rsidRPr="009573E6">
              <w:t>25.0</w:t>
            </w:r>
          </w:p>
        </w:tc>
      </w:tr>
      <w:tr w:rsidR="00CE75D4" w:rsidRPr="002029AF" w14:paraId="30567445" w14:textId="77777777" w:rsidTr="00860E95">
        <w:tc>
          <w:tcPr>
            <w:tcW w:w="7369" w:type="dxa"/>
            <w:tcBorders>
              <w:top w:val="single" w:sz="4" w:space="0" w:color="A6A6A6"/>
              <w:bottom w:val="single" w:sz="4" w:space="0" w:color="A6A6A6"/>
            </w:tcBorders>
            <w:hideMark/>
          </w:tcPr>
          <w:p w14:paraId="635CC83E" w14:textId="77777777" w:rsidR="00CE75D4" w:rsidRPr="002029AF" w:rsidRDefault="00CE75D4" w:rsidP="008340C1">
            <w:pPr>
              <w:pStyle w:val="ARfintablebody"/>
              <w:spacing w:before="30" w:after="10" w:line="252" w:lineRule="auto"/>
            </w:pPr>
            <w:r w:rsidRPr="009573E6">
              <w:t>BreastScreen Victoria Inc</w:t>
            </w:r>
          </w:p>
        </w:tc>
        <w:tc>
          <w:tcPr>
            <w:tcW w:w="1134" w:type="dxa"/>
            <w:tcBorders>
              <w:top w:val="single" w:sz="4" w:space="0" w:color="A6A6A6"/>
              <w:bottom w:val="single" w:sz="4" w:space="0" w:color="A6A6A6"/>
            </w:tcBorders>
            <w:shd w:val="clear" w:color="auto" w:fill="E7E6E6"/>
            <w:noWrap/>
            <w:hideMark/>
          </w:tcPr>
          <w:p w14:paraId="797ACF95" w14:textId="77777777" w:rsidR="00CE75D4" w:rsidRPr="002029AF" w:rsidRDefault="00CE75D4" w:rsidP="008340C1">
            <w:pPr>
              <w:pStyle w:val="ARfintablebodyright"/>
              <w:spacing w:before="30" w:after="10" w:line="252" w:lineRule="auto"/>
            </w:pPr>
            <w:r w:rsidRPr="009573E6">
              <w:t>56.4</w:t>
            </w:r>
          </w:p>
        </w:tc>
        <w:tc>
          <w:tcPr>
            <w:tcW w:w="1134" w:type="dxa"/>
            <w:tcBorders>
              <w:top w:val="single" w:sz="4" w:space="0" w:color="A6A6A6"/>
              <w:bottom w:val="single" w:sz="4" w:space="0" w:color="A6A6A6"/>
            </w:tcBorders>
            <w:noWrap/>
            <w:hideMark/>
          </w:tcPr>
          <w:p w14:paraId="777A77E5" w14:textId="77777777" w:rsidR="00CE75D4" w:rsidRPr="002029AF" w:rsidRDefault="00CE75D4" w:rsidP="008340C1">
            <w:pPr>
              <w:pStyle w:val="ARfintablebodyright"/>
              <w:spacing w:before="30" w:after="10" w:line="252" w:lineRule="auto"/>
            </w:pPr>
            <w:r w:rsidRPr="009573E6">
              <w:t>53.4</w:t>
            </w:r>
          </w:p>
        </w:tc>
      </w:tr>
      <w:tr w:rsidR="00CE75D4" w:rsidRPr="002029AF" w14:paraId="4D96FB8A" w14:textId="77777777" w:rsidTr="00860E95">
        <w:tc>
          <w:tcPr>
            <w:tcW w:w="7369" w:type="dxa"/>
            <w:tcBorders>
              <w:top w:val="single" w:sz="4" w:space="0" w:color="A6A6A6"/>
              <w:bottom w:val="single" w:sz="4" w:space="0" w:color="A6A6A6"/>
            </w:tcBorders>
            <w:hideMark/>
          </w:tcPr>
          <w:p w14:paraId="7FB73A14" w14:textId="77777777" w:rsidR="00CE75D4" w:rsidRPr="002029AF" w:rsidRDefault="00CE75D4" w:rsidP="008340C1">
            <w:pPr>
              <w:pStyle w:val="ARfintablebody"/>
              <w:spacing w:before="30" w:after="10" w:line="252" w:lineRule="auto"/>
            </w:pPr>
            <w:r w:rsidRPr="009573E6">
              <w:t>Healthscope</w:t>
            </w:r>
          </w:p>
        </w:tc>
        <w:tc>
          <w:tcPr>
            <w:tcW w:w="1134" w:type="dxa"/>
            <w:tcBorders>
              <w:top w:val="single" w:sz="4" w:space="0" w:color="A6A6A6"/>
              <w:bottom w:val="single" w:sz="4" w:space="0" w:color="A6A6A6"/>
            </w:tcBorders>
            <w:shd w:val="clear" w:color="auto" w:fill="E7E6E6"/>
            <w:noWrap/>
            <w:hideMark/>
          </w:tcPr>
          <w:p w14:paraId="333C0841" w14:textId="77777777" w:rsidR="00CE75D4" w:rsidRPr="002029AF" w:rsidRDefault="00CE75D4" w:rsidP="008340C1">
            <w:pPr>
              <w:pStyle w:val="ARfintablebodyright"/>
              <w:spacing w:before="30" w:after="10" w:line="252" w:lineRule="auto"/>
            </w:pPr>
            <w:r w:rsidRPr="009573E6">
              <w:t>47.7</w:t>
            </w:r>
          </w:p>
        </w:tc>
        <w:tc>
          <w:tcPr>
            <w:tcW w:w="1134" w:type="dxa"/>
            <w:tcBorders>
              <w:top w:val="single" w:sz="4" w:space="0" w:color="A6A6A6"/>
              <w:bottom w:val="single" w:sz="4" w:space="0" w:color="A6A6A6"/>
            </w:tcBorders>
            <w:noWrap/>
            <w:hideMark/>
          </w:tcPr>
          <w:p w14:paraId="21156A2D" w14:textId="77777777" w:rsidR="00CE75D4" w:rsidRPr="002029AF" w:rsidRDefault="00CE75D4" w:rsidP="008340C1">
            <w:pPr>
              <w:pStyle w:val="ARfintablebodyright"/>
              <w:spacing w:before="30" w:after="10" w:line="252" w:lineRule="auto"/>
            </w:pPr>
            <w:r w:rsidRPr="009573E6">
              <w:t>13.0</w:t>
            </w:r>
          </w:p>
        </w:tc>
      </w:tr>
      <w:tr w:rsidR="00CE75D4" w:rsidRPr="002029AF" w14:paraId="0B41E9F8" w14:textId="77777777" w:rsidTr="00860E95">
        <w:tc>
          <w:tcPr>
            <w:tcW w:w="7369" w:type="dxa"/>
            <w:tcBorders>
              <w:top w:val="single" w:sz="4" w:space="0" w:color="A6A6A6"/>
              <w:bottom w:val="single" w:sz="4" w:space="0" w:color="A6A6A6"/>
            </w:tcBorders>
            <w:hideMark/>
          </w:tcPr>
          <w:p w14:paraId="343CCA01" w14:textId="77777777" w:rsidR="00CE75D4" w:rsidRPr="002029AF" w:rsidRDefault="00CE75D4" w:rsidP="008340C1">
            <w:pPr>
              <w:pStyle w:val="ARfintablebody"/>
              <w:spacing w:before="30" w:after="10" w:line="252" w:lineRule="auto"/>
            </w:pPr>
            <w:r w:rsidRPr="009573E6">
              <w:t>Ramsay Health Care</w:t>
            </w:r>
          </w:p>
        </w:tc>
        <w:tc>
          <w:tcPr>
            <w:tcW w:w="1134" w:type="dxa"/>
            <w:tcBorders>
              <w:top w:val="single" w:sz="4" w:space="0" w:color="A6A6A6"/>
              <w:bottom w:val="single" w:sz="4" w:space="0" w:color="A6A6A6"/>
            </w:tcBorders>
            <w:shd w:val="clear" w:color="auto" w:fill="E7E6E6"/>
            <w:noWrap/>
            <w:hideMark/>
          </w:tcPr>
          <w:p w14:paraId="1B1E5F48" w14:textId="77777777" w:rsidR="00CE75D4" w:rsidRPr="002029AF" w:rsidRDefault="00CE75D4" w:rsidP="008340C1">
            <w:pPr>
              <w:pStyle w:val="ARfintablebodyright"/>
              <w:spacing w:before="30" w:after="10" w:line="252" w:lineRule="auto"/>
            </w:pPr>
            <w:r w:rsidRPr="009573E6">
              <w:t>55.1</w:t>
            </w:r>
          </w:p>
        </w:tc>
        <w:tc>
          <w:tcPr>
            <w:tcW w:w="1134" w:type="dxa"/>
            <w:tcBorders>
              <w:top w:val="single" w:sz="4" w:space="0" w:color="A6A6A6"/>
              <w:bottom w:val="single" w:sz="4" w:space="0" w:color="A6A6A6"/>
            </w:tcBorders>
            <w:noWrap/>
            <w:hideMark/>
          </w:tcPr>
          <w:p w14:paraId="773A1B9A" w14:textId="77777777" w:rsidR="00CE75D4" w:rsidRPr="002029AF" w:rsidRDefault="00CE75D4" w:rsidP="008340C1">
            <w:pPr>
              <w:pStyle w:val="ARfintablebodyright"/>
              <w:spacing w:before="30" w:after="10" w:line="252" w:lineRule="auto"/>
            </w:pPr>
            <w:r w:rsidRPr="009573E6">
              <w:t>32.3</w:t>
            </w:r>
          </w:p>
        </w:tc>
      </w:tr>
      <w:tr w:rsidR="00CE75D4" w:rsidRPr="002029AF" w14:paraId="366F994D" w14:textId="77777777" w:rsidTr="00860E95">
        <w:tc>
          <w:tcPr>
            <w:tcW w:w="7369" w:type="dxa"/>
            <w:tcBorders>
              <w:top w:val="single" w:sz="4" w:space="0" w:color="A6A6A6"/>
              <w:bottom w:val="single" w:sz="4" w:space="0" w:color="A6A6A6"/>
            </w:tcBorders>
            <w:hideMark/>
          </w:tcPr>
          <w:p w14:paraId="7AB98EB4" w14:textId="77777777" w:rsidR="00CE75D4" w:rsidRPr="002029AF" w:rsidRDefault="00CE75D4" w:rsidP="008340C1">
            <w:pPr>
              <w:pStyle w:val="ARfintablebody"/>
              <w:spacing w:before="30" w:after="10" w:line="252" w:lineRule="auto"/>
            </w:pPr>
            <w:r w:rsidRPr="009573E6">
              <w:t>The University of Melbourne</w:t>
            </w:r>
          </w:p>
        </w:tc>
        <w:tc>
          <w:tcPr>
            <w:tcW w:w="1134" w:type="dxa"/>
            <w:tcBorders>
              <w:top w:val="single" w:sz="4" w:space="0" w:color="A6A6A6"/>
              <w:bottom w:val="single" w:sz="4" w:space="0" w:color="A6A6A6"/>
            </w:tcBorders>
            <w:shd w:val="clear" w:color="auto" w:fill="E7E6E6"/>
            <w:noWrap/>
            <w:hideMark/>
          </w:tcPr>
          <w:p w14:paraId="3BA497C3" w14:textId="77777777" w:rsidR="00CE75D4" w:rsidRPr="002029AF" w:rsidRDefault="00CE75D4" w:rsidP="008340C1">
            <w:pPr>
              <w:pStyle w:val="ARfintablebodyright"/>
              <w:spacing w:before="30" w:after="10" w:line="252" w:lineRule="auto"/>
            </w:pPr>
            <w:r w:rsidRPr="009573E6">
              <w:t>48.5</w:t>
            </w:r>
          </w:p>
        </w:tc>
        <w:tc>
          <w:tcPr>
            <w:tcW w:w="1134" w:type="dxa"/>
            <w:tcBorders>
              <w:top w:val="single" w:sz="4" w:space="0" w:color="A6A6A6"/>
              <w:bottom w:val="single" w:sz="4" w:space="0" w:color="A6A6A6"/>
            </w:tcBorders>
            <w:noWrap/>
            <w:hideMark/>
          </w:tcPr>
          <w:p w14:paraId="345EDDCC" w14:textId="77777777" w:rsidR="00CE75D4" w:rsidRPr="002029AF" w:rsidRDefault="00CE75D4" w:rsidP="008340C1">
            <w:pPr>
              <w:pStyle w:val="ARfintablebodyright"/>
              <w:spacing w:before="30" w:after="10" w:line="252" w:lineRule="auto"/>
            </w:pPr>
            <w:r w:rsidRPr="009573E6">
              <w:t>37.6</w:t>
            </w:r>
          </w:p>
        </w:tc>
      </w:tr>
      <w:tr w:rsidR="00CE75D4" w:rsidRPr="002029AF" w14:paraId="555E5EED" w14:textId="77777777" w:rsidTr="00860E95">
        <w:tc>
          <w:tcPr>
            <w:tcW w:w="7369" w:type="dxa"/>
            <w:tcBorders>
              <w:top w:val="single" w:sz="4" w:space="0" w:color="A6A6A6"/>
              <w:bottom w:val="single" w:sz="4" w:space="0" w:color="A6A6A6"/>
            </w:tcBorders>
          </w:tcPr>
          <w:p w14:paraId="7258EFAB" w14:textId="77777777" w:rsidR="00CE75D4" w:rsidRPr="002029AF" w:rsidRDefault="00CE75D4" w:rsidP="008340C1">
            <w:pPr>
              <w:pStyle w:val="ARfintablebody"/>
              <w:spacing w:before="30" w:after="10" w:line="252" w:lineRule="auto"/>
            </w:pPr>
            <w:r w:rsidRPr="009573E6">
              <w:t>Cohealth Ltd</w:t>
            </w:r>
          </w:p>
        </w:tc>
        <w:tc>
          <w:tcPr>
            <w:tcW w:w="1134" w:type="dxa"/>
            <w:tcBorders>
              <w:top w:val="single" w:sz="4" w:space="0" w:color="A6A6A6"/>
              <w:bottom w:val="single" w:sz="4" w:space="0" w:color="A6A6A6"/>
            </w:tcBorders>
            <w:shd w:val="clear" w:color="auto" w:fill="E7E6E6"/>
            <w:noWrap/>
          </w:tcPr>
          <w:p w14:paraId="58EF6503" w14:textId="77777777" w:rsidR="00CE75D4" w:rsidRPr="002029AF" w:rsidRDefault="00CE75D4" w:rsidP="008340C1">
            <w:pPr>
              <w:pStyle w:val="ARfintablebodyright"/>
              <w:spacing w:before="30" w:after="10" w:line="252" w:lineRule="auto"/>
            </w:pPr>
            <w:r w:rsidRPr="009573E6">
              <w:t>45.4</w:t>
            </w:r>
          </w:p>
        </w:tc>
        <w:tc>
          <w:tcPr>
            <w:tcW w:w="1134" w:type="dxa"/>
            <w:tcBorders>
              <w:top w:val="single" w:sz="4" w:space="0" w:color="A6A6A6"/>
              <w:bottom w:val="single" w:sz="4" w:space="0" w:color="A6A6A6"/>
            </w:tcBorders>
            <w:noWrap/>
          </w:tcPr>
          <w:p w14:paraId="73030186" w14:textId="77777777" w:rsidR="00CE75D4" w:rsidRPr="002029AF" w:rsidRDefault="00CE75D4" w:rsidP="008340C1">
            <w:pPr>
              <w:pStyle w:val="ARfintablebodyright"/>
              <w:spacing w:before="30" w:after="10" w:line="252" w:lineRule="auto"/>
            </w:pPr>
            <w:r w:rsidRPr="009573E6">
              <w:t>65.9</w:t>
            </w:r>
          </w:p>
        </w:tc>
      </w:tr>
      <w:tr w:rsidR="00CE75D4" w:rsidRPr="002029AF" w14:paraId="228C5DED" w14:textId="77777777" w:rsidTr="00860E95">
        <w:tc>
          <w:tcPr>
            <w:tcW w:w="7369" w:type="dxa"/>
            <w:tcBorders>
              <w:top w:val="single" w:sz="4" w:space="0" w:color="A6A6A6"/>
              <w:bottom w:val="single" w:sz="4" w:space="0" w:color="A6A6A6"/>
            </w:tcBorders>
          </w:tcPr>
          <w:p w14:paraId="206C7D7F" w14:textId="77777777" w:rsidR="00CE75D4" w:rsidRPr="002029AF" w:rsidRDefault="00CE75D4" w:rsidP="008340C1">
            <w:pPr>
              <w:pStyle w:val="ARfintablebody"/>
              <w:spacing w:before="30" w:after="10" w:line="252" w:lineRule="auto"/>
            </w:pPr>
            <w:r w:rsidRPr="009573E6">
              <w:t>Eastern Access Community Health Inc</w:t>
            </w:r>
          </w:p>
        </w:tc>
        <w:tc>
          <w:tcPr>
            <w:tcW w:w="1134" w:type="dxa"/>
            <w:tcBorders>
              <w:top w:val="single" w:sz="4" w:space="0" w:color="A6A6A6"/>
              <w:bottom w:val="single" w:sz="4" w:space="0" w:color="A6A6A6"/>
            </w:tcBorders>
            <w:shd w:val="clear" w:color="auto" w:fill="E7E6E6"/>
            <w:noWrap/>
          </w:tcPr>
          <w:p w14:paraId="7D172AFA" w14:textId="77777777" w:rsidR="00CE75D4" w:rsidRPr="002029AF" w:rsidRDefault="00CE75D4" w:rsidP="008340C1">
            <w:pPr>
              <w:pStyle w:val="ARfintablebodyright"/>
              <w:spacing w:before="30" w:after="10" w:line="252" w:lineRule="auto"/>
            </w:pPr>
            <w:r w:rsidRPr="009573E6">
              <w:t>41.9</w:t>
            </w:r>
          </w:p>
        </w:tc>
        <w:tc>
          <w:tcPr>
            <w:tcW w:w="1134" w:type="dxa"/>
            <w:tcBorders>
              <w:top w:val="single" w:sz="4" w:space="0" w:color="A6A6A6"/>
              <w:bottom w:val="single" w:sz="4" w:space="0" w:color="A6A6A6"/>
            </w:tcBorders>
            <w:noWrap/>
          </w:tcPr>
          <w:p w14:paraId="7CD8C1B6" w14:textId="77777777" w:rsidR="00CE75D4" w:rsidRPr="002029AF" w:rsidRDefault="00CE75D4" w:rsidP="008340C1">
            <w:pPr>
              <w:pStyle w:val="ARfintablebodyright"/>
              <w:spacing w:before="30" w:after="10" w:line="252" w:lineRule="auto"/>
            </w:pPr>
            <w:r w:rsidRPr="009573E6">
              <w:t>42.6</w:t>
            </w:r>
          </w:p>
        </w:tc>
      </w:tr>
      <w:tr w:rsidR="00CE75D4" w:rsidRPr="002029AF" w14:paraId="3A372047" w14:textId="77777777" w:rsidTr="00860E95">
        <w:tc>
          <w:tcPr>
            <w:tcW w:w="7369" w:type="dxa"/>
            <w:tcBorders>
              <w:top w:val="single" w:sz="4" w:space="0" w:color="A6A6A6"/>
              <w:bottom w:val="single" w:sz="4" w:space="0" w:color="A6A6A6"/>
            </w:tcBorders>
          </w:tcPr>
          <w:p w14:paraId="7DFC1BD8" w14:textId="77777777" w:rsidR="00CE75D4" w:rsidRPr="002029AF" w:rsidRDefault="00CE75D4" w:rsidP="008340C1">
            <w:pPr>
              <w:pStyle w:val="ARfintablebody"/>
              <w:spacing w:before="30" w:after="10" w:line="252" w:lineRule="auto"/>
            </w:pPr>
            <w:r w:rsidRPr="009573E6">
              <w:t>St Vin</w:t>
            </w:r>
            <w:r>
              <w:t>c</w:t>
            </w:r>
            <w:r w:rsidRPr="009573E6">
              <w:t>ent</w:t>
            </w:r>
            <w:r>
              <w:t>’</w:t>
            </w:r>
            <w:r w:rsidRPr="009573E6">
              <w:t>s Private Hospital</w:t>
            </w:r>
          </w:p>
        </w:tc>
        <w:tc>
          <w:tcPr>
            <w:tcW w:w="1134" w:type="dxa"/>
            <w:tcBorders>
              <w:top w:val="single" w:sz="4" w:space="0" w:color="A6A6A6"/>
              <w:bottom w:val="single" w:sz="4" w:space="0" w:color="A6A6A6"/>
            </w:tcBorders>
            <w:shd w:val="clear" w:color="auto" w:fill="E7E6E6"/>
            <w:noWrap/>
          </w:tcPr>
          <w:p w14:paraId="4BC52A00" w14:textId="77777777" w:rsidR="00CE75D4" w:rsidRPr="002029AF" w:rsidRDefault="00CE75D4" w:rsidP="008340C1">
            <w:pPr>
              <w:pStyle w:val="ARfintablebodyright"/>
              <w:spacing w:before="30" w:after="10" w:line="252" w:lineRule="auto"/>
            </w:pPr>
            <w:r w:rsidRPr="009573E6">
              <w:t>35.5</w:t>
            </w:r>
          </w:p>
        </w:tc>
        <w:tc>
          <w:tcPr>
            <w:tcW w:w="1134" w:type="dxa"/>
            <w:tcBorders>
              <w:top w:val="single" w:sz="4" w:space="0" w:color="A6A6A6"/>
              <w:bottom w:val="single" w:sz="4" w:space="0" w:color="A6A6A6"/>
            </w:tcBorders>
            <w:noWrap/>
          </w:tcPr>
          <w:p w14:paraId="65E9177E" w14:textId="77777777" w:rsidR="00CE75D4" w:rsidRPr="002029AF" w:rsidRDefault="00CE75D4" w:rsidP="008340C1">
            <w:pPr>
              <w:pStyle w:val="ARfintablebodyright"/>
              <w:spacing w:before="30" w:after="10" w:line="252" w:lineRule="auto"/>
            </w:pPr>
            <w:r w:rsidRPr="009573E6">
              <w:t>41.8</w:t>
            </w:r>
          </w:p>
        </w:tc>
      </w:tr>
      <w:tr w:rsidR="00CE75D4" w:rsidRPr="002029AF" w14:paraId="0293767A" w14:textId="77777777" w:rsidTr="00860E95">
        <w:tc>
          <w:tcPr>
            <w:tcW w:w="7369" w:type="dxa"/>
            <w:tcBorders>
              <w:top w:val="single" w:sz="4" w:space="0" w:color="A6A6A6"/>
              <w:bottom w:val="single" w:sz="4" w:space="0" w:color="A6A6A6"/>
            </w:tcBorders>
          </w:tcPr>
          <w:p w14:paraId="6FDE2605" w14:textId="77777777" w:rsidR="00CE75D4" w:rsidRPr="002029AF" w:rsidRDefault="00CE75D4" w:rsidP="008340C1">
            <w:pPr>
              <w:pStyle w:val="ARfintablebody"/>
              <w:spacing w:before="30" w:after="10" w:line="252" w:lineRule="auto"/>
            </w:pPr>
            <w:r w:rsidRPr="009573E6">
              <w:t>Wesley Mission Victoria</w:t>
            </w:r>
          </w:p>
        </w:tc>
        <w:tc>
          <w:tcPr>
            <w:tcW w:w="1134" w:type="dxa"/>
            <w:tcBorders>
              <w:top w:val="single" w:sz="4" w:space="0" w:color="A6A6A6"/>
              <w:bottom w:val="single" w:sz="4" w:space="0" w:color="A6A6A6"/>
            </w:tcBorders>
            <w:shd w:val="clear" w:color="auto" w:fill="E7E6E6"/>
            <w:noWrap/>
          </w:tcPr>
          <w:p w14:paraId="3865930A" w14:textId="77777777" w:rsidR="00CE75D4" w:rsidRPr="002029AF" w:rsidRDefault="00CE75D4" w:rsidP="008340C1">
            <w:pPr>
              <w:pStyle w:val="ARfintablebodyright"/>
              <w:spacing w:before="30" w:after="10" w:line="252" w:lineRule="auto"/>
            </w:pPr>
            <w:r w:rsidRPr="009573E6">
              <w:t>32.3</w:t>
            </w:r>
          </w:p>
        </w:tc>
        <w:tc>
          <w:tcPr>
            <w:tcW w:w="1134" w:type="dxa"/>
            <w:tcBorders>
              <w:top w:val="single" w:sz="4" w:space="0" w:color="A6A6A6"/>
              <w:bottom w:val="single" w:sz="4" w:space="0" w:color="A6A6A6"/>
            </w:tcBorders>
            <w:noWrap/>
          </w:tcPr>
          <w:p w14:paraId="2BC6BED3" w14:textId="77777777" w:rsidR="00CE75D4" w:rsidRPr="002029AF" w:rsidRDefault="00CE75D4" w:rsidP="008340C1">
            <w:pPr>
              <w:pStyle w:val="ARfintablebodyright"/>
              <w:spacing w:before="30" w:after="10" w:line="252" w:lineRule="auto"/>
            </w:pPr>
            <w:r w:rsidRPr="009573E6">
              <w:t>141.5</w:t>
            </w:r>
          </w:p>
        </w:tc>
      </w:tr>
      <w:tr w:rsidR="00CE75D4" w:rsidRPr="002029AF" w14:paraId="2F98D996" w14:textId="77777777" w:rsidTr="00860E95">
        <w:tc>
          <w:tcPr>
            <w:tcW w:w="7369" w:type="dxa"/>
            <w:tcBorders>
              <w:top w:val="single" w:sz="4" w:space="0" w:color="A6A6A6"/>
              <w:bottom w:val="single" w:sz="4" w:space="0" w:color="A6A6A6"/>
            </w:tcBorders>
          </w:tcPr>
          <w:p w14:paraId="6E34E748" w14:textId="77777777" w:rsidR="00CE75D4" w:rsidRPr="002029AF" w:rsidRDefault="00CE75D4" w:rsidP="008340C1">
            <w:pPr>
              <w:pStyle w:val="ARfintablebody"/>
              <w:spacing w:before="30" w:after="10" w:line="252" w:lineRule="auto"/>
            </w:pPr>
            <w:r w:rsidRPr="009573E6">
              <w:t xml:space="preserve">Other non-government agencies and individuals with payments totalling </w:t>
            </w:r>
            <w:r>
              <w:br/>
            </w:r>
            <w:r w:rsidRPr="009573E6">
              <w:t>less than $30</w:t>
            </w:r>
            <w:r>
              <w:t> </w:t>
            </w:r>
            <w:r w:rsidRPr="009573E6">
              <w:t>million</w:t>
            </w:r>
          </w:p>
        </w:tc>
        <w:tc>
          <w:tcPr>
            <w:tcW w:w="1134" w:type="dxa"/>
            <w:tcBorders>
              <w:top w:val="single" w:sz="4" w:space="0" w:color="A6A6A6"/>
              <w:bottom w:val="single" w:sz="4" w:space="0" w:color="A6A6A6"/>
            </w:tcBorders>
            <w:shd w:val="clear" w:color="auto" w:fill="E7E6E6"/>
            <w:noWrap/>
          </w:tcPr>
          <w:p w14:paraId="7E99A180" w14:textId="77777777" w:rsidR="00CE75D4" w:rsidRPr="002029AF" w:rsidRDefault="00CE75D4" w:rsidP="008340C1">
            <w:pPr>
              <w:pStyle w:val="ARfintablebodyright"/>
              <w:spacing w:before="30" w:after="10" w:line="252" w:lineRule="auto"/>
            </w:pPr>
            <w:r w:rsidRPr="009573E6">
              <w:t>1,030.5</w:t>
            </w:r>
          </w:p>
        </w:tc>
        <w:tc>
          <w:tcPr>
            <w:tcW w:w="1134" w:type="dxa"/>
            <w:tcBorders>
              <w:top w:val="single" w:sz="4" w:space="0" w:color="A6A6A6"/>
              <w:bottom w:val="single" w:sz="4" w:space="0" w:color="A6A6A6"/>
            </w:tcBorders>
            <w:noWrap/>
          </w:tcPr>
          <w:p w14:paraId="66D5B54B" w14:textId="77777777" w:rsidR="00CE75D4" w:rsidRPr="002029AF" w:rsidRDefault="00CE75D4" w:rsidP="008340C1">
            <w:pPr>
              <w:pStyle w:val="ARfintablebodyright"/>
              <w:spacing w:before="30" w:after="10" w:line="252" w:lineRule="auto"/>
            </w:pPr>
            <w:r w:rsidRPr="009573E6">
              <w:t>5,611.1</w:t>
            </w:r>
          </w:p>
        </w:tc>
      </w:tr>
      <w:tr w:rsidR="00CE75D4" w:rsidRPr="002029AF" w14:paraId="1D5E660B" w14:textId="77777777" w:rsidTr="00860E95">
        <w:tc>
          <w:tcPr>
            <w:tcW w:w="7369" w:type="dxa"/>
            <w:hideMark/>
          </w:tcPr>
          <w:p w14:paraId="15E01315" w14:textId="77777777" w:rsidR="00CE75D4" w:rsidRPr="002029AF" w:rsidRDefault="00CE75D4" w:rsidP="008340C1">
            <w:pPr>
              <w:pStyle w:val="ARfintablebodybold"/>
              <w:spacing w:before="30" w:after="10" w:line="252" w:lineRule="auto"/>
            </w:pPr>
          </w:p>
        </w:tc>
        <w:tc>
          <w:tcPr>
            <w:tcW w:w="1134" w:type="dxa"/>
            <w:shd w:val="clear" w:color="auto" w:fill="E7E6E6"/>
            <w:noWrap/>
            <w:hideMark/>
          </w:tcPr>
          <w:p w14:paraId="5048B9F6" w14:textId="77777777" w:rsidR="00CE75D4" w:rsidRPr="002029AF" w:rsidRDefault="00CE75D4" w:rsidP="008340C1">
            <w:pPr>
              <w:pStyle w:val="ARfintablebodyrightbold"/>
              <w:spacing w:before="30" w:after="10" w:line="252" w:lineRule="auto"/>
            </w:pPr>
            <w:r w:rsidRPr="009573E6">
              <w:t>1,709.8</w:t>
            </w:r>
          </w:p>
        </w:tc>
        <w:tc>
          <w:tcPr>
            <w:tcW w:w="1134" w:type="dxa"/>
            <w:noWrap/>
            <w:hideMark/>
          </w:tcPr>
          <w:p w14:paraId="1112E817" w14:textId="77777777" w:rsidR="00CE75D4" w:rsidRPr="002029AF" w:rsidRDefault="00CE75D4" w:rsidP="008340C1">
            <w:pPr>
              <w:pStyle w:val="ARfintablebodyrightbold"/>
              <w:spacing w:before="30" w:after="10" w:line="252" w:lineRule="auto"/>
            </w:pPr>
            <w:r w:rsidRPr="009573E6">
              <w:t>6,260.7</w:t>
            </w:r>
          </w:p>
        </w:tc>
      </w:tr>
      <w:tr w:rsidR="00CE75D4" w:rsidRPr="002029AF" w14:paraId="04652E39" w14:textId="77777777" w:rsidTr="00860E95">
        <w:tc>
          <w:tcPr>
            <w:tcW w:w="7369" w:type="dxa"/>
            <w:hideMark/>
          </w:tcPr>
          <w:p w14:paraId="497D6380" w14:textId="77777777" w:rsidR="00CE75D4" w:rsidRPr="002029AF" w:rsidRDefault="00CE75D4" w:rsidP="008340C1">
            <w:pPr>
              <w:pStyle w:val="ARfintablebodybold"/>
              <w:spacing w:before="30" w:after="10" w:line="252" w:lineRule="auto"/>
            </w:pPr>
            <w:r w:rsidRPr="009573E6">
              <w:t>Total grants and other expense transfers</w:t>
            </w:r>
          </w:p>
        </w:tc>
        <w:tc>
          <w:tcPr>
            <w:tcW w:w="1134" w:type="dxa"/>
            <w:shd w:val="clear" w:color="auto" w:fill="E7E6E6"/>
            <w:noWrap/>
            <w:hideMark/>
          </w:tcPr>
          <w:p w14:paraId="6A5F057B" w14:textId="77777777" w:rsidR="00CE75D4" w:rsidRPr="002029AF" w:rsidRDefault="00CE75D4" w:rsidP="008340C1">
            <w:pPr>
              <w:pStyle w:val="ARfintablebodyrightbold"/>
              <w:spacing w:before="30" w:after="10" w:line="252" w:lineRule="auto"/>
            </w:pPr>
            <w:r w:rsidRPr="009573E6">
              <w:t>18,031.5</w:t>
            </w:r>
          </w:p>
        </w:tc>
        <w:tc>
          <w:tcPr>
            <w:tcW w:w="1134" w:type="dxa"/>
            <w:noWrap/>
            <w:hideMark/>
          </w:tcPr>
          <w:p w14:paraId="5A6233AC" w14:textId="77777777" w:rsidR="00CE75D4" w:rsidRPr="002029AF" w:rsidRDefault="00CE75D4" w:rsidP="008340C1">
            <w:pPr>
              <w:pStyle w:val="ARfintablebodyrightbold"/>
              <w:spacing w:before="30" w:after="10" w:line="252" w:lineRule="auto"/>
            </w:pPr>
            <w:r w:rsidRPr="009573E6">
              <w:t>19,720.7</w:t>
            </w:r>
          </w:p>
        </w:tc>
      </w:tr>
    </w:tbl>
    <w:p w14:paraId="38AAE0ED" w14:textId="77777777" w:rsidR="00CE75D4" w:rsidRDefault="00CE75D4" w:rsidP="008340C1">
      <w:pPr>
        <w:pStyle w:val="ARfintablefootnote"/>
      </w:pPr>
      <w:bookmarkStart w:id="554" w:name="_Toc39136702"/>
      <w:r>
        <w:rPr>
          <w:lang w:eastAsia="en-AU"/>
        </w:rPr>
        <w:t>Notes:</w:t>
      </w:r>
    </w:p>
    <w:p w14:paraId="0E83C1FC" w14:textId="77777777" w:rsidR="00CE75D4" w:rsidRDefault="00CE75D4" w:rsidP="008340C1">
      <w:pPr>
        <w:pStyle w:val="ARfintablefootnoteindent"/>
      </w:pPr>
      <w:r>
        <w:t>(i)</w:t>
      </w:r>
      <w:r>
        <w:tab/>
      </w:r>
      <w:r w:rsidRPr="008B32D8">
        <w:t>Represents the activity-based funding in</w:t>
      </w:r>
      <w:r>
        <w:t xml:space="preserve"> </w:t>
      </w:r>
      <w:r w:rsidRPr="008B32D8">
        <w:t>scope of the National Health Reform Agreement from Victoria to the health agencies through the Victorian State Pool Account.</w:t>
      </w:r>
    </w:p>
    <w:p w14:paraId="6FB5AAE0" w14:textId="77777777" w:rsidR="00CE75D4" w:rsidRDefault="00CE75D4" w:rsidP="008340C1">
      <w:pPr>
        <w:pStyle w:val="ARfintablefootnoteindent"/>
      </w:pPr>
      <w:r>
        <w:t>(ii)</w:t>
      </w:r>
      <w:r>
        <w:tab/>
        <w:t xml:space="preserve">As defined in schedules 1 and 5 of the </w:t>
      </w:r>
      <w:r>
        <w:rPr>
          <w:rStyle w:val="Emphasis"/>
        </w:rPr>
        <w:t>Health Services Act 1988</w:t>
      </w:r>
      <w:r>
        <w:t>.</w:t>
      </w:r>
    </w:p>
    <w:p w14:paraId="27693469" w14:textId="77777777" w:rsidR="00CE75D4" w:rsidRDefault="00CE75D4" w:rsidP="008340C1">
      <w:pPr>
        <w:pStyle w:val="ARfintablefootnoteindent"/>
      </w:pPr>
      <w:r>
        <w:t>(iii)</w:t>
      </w:r>
      <w:r>
        <w:tab/>
        <w:t xml:space="preserve">As defined in schedule 2 of the </w:t>
      </w:r>
      <w:r>
        <w:rPr>
          <w:rStyle w:val="Emphasis"/>
        </w:rPr>
        <w:t>Health Services Act 1988</w:t>
      </w:r>
      <w:r>
        <w:t>.</w:t>
      </w:r>
    </w:p>
    <w:p w14:paraId="0A0C5C51" w14:textId="77777777" w:rsidR="00CE75D4" w:rsidRDefault="00CE75D4" w:rsidP="008340C1">
      <w:pPr>
        <w:pStyle w:val="ARfinbodyaftertable"/>
        <w:spacing w:before="100" w:after="40" w:line="252" w:lineRule="auto"/>
      </w:pPr>
      <w:r>
        <w:t>Transactions in which the department provides goods, services, assets (or extinguishes a liability) or labour to another party without receiving approximately equal value in return are categorised as ‘Grant and other expense transfers’. Grants can either be operating or capital in nature.</w:t>
      </w:r>
    </w:p>
    <w:p w14:paraId="173E3D6F" w14:textId="77777777" w:rsidR="00CE75D4" w:rsidRDefault="00CE75D4" w:rsidP="008340C1">
      <w:pPr>
        <w:pStyle w:val="ARfinbody"/>
        <w:spacing w:after="40" w:line="252" w:lineRule="auto"/>
      </w:pPr>
      <w:r>
        <w:t xml:space="preserve">Grants and other transfers to third parties (other than contribution to owners) are recognised as an expense in the reporting period in which they are paid or payable. They include transactions such as grants, subsidies and other transfer payments to public health agencies, public and denominational hospitals, other state government agencies, local councils and non-government agencies and individuals and the state contribution to the Victorian State Pool Account. </w:t>
      </w:r>
      <w:r w:rsidRPr="008B32D8">
        <w:t>The Victorian State Pool Account in the National Health Funding Pool is an administered trust established to record the activity-based funding contributions for Victoria by the Commonwealth and the state under the National Health Reform Agreement</w:t>
      </w:r>
      <w:r>
        <w:t>.</w:t>
      </w:r>
    </w:p>
    <w:p w14:paraId="49C79308" w14:textId="77777777" w:rsidR="00CE75D4" w:rsidRDefault="00CE75D4" w:rsidP="008340C1">
      <w:pPr>
        <w:pStyle w:val="ARfinbody"/>
        <w:spacing w:after="40" w:line="252" w:lineRule="auto"/>
      </w:pPr>
      <w:r w:rsidRPr="00A90C73">
        <w:t>The state contributions to the Victorian State Pool Account represent activity-based funding in</w:t>
      </w:r>
      <w:r>
        <w:t xml:space="preserve"> </w:t>
      </w:r>
      <w:r w:rsidRPr="00A90C73">
        <w:t>scope of the National Health Reform Agreement from Victoria to health agencies through the administered trust. The transactions of this administered trust are disclosed in Note 4.2.</w:t>
      </w:r>
    </w:p>
    <w:p w14:paraId="08606D3B" w14:textId="035FD376" w:rsidR="00CE75D4" w:rsidRDefault="00CE75D4" w:rsidP="008340C1">
      <w:pPr>
        <w:pStyle w:val="ARfinbody"/>
        <w:spacing w:line="252" w:lineRule="auto"/>
      </w:pPr>
      <w:r w:rsidRPr="00A90C73">
        <w:t xml:space="preserve">Grants paid directly to health agencies and other entities by the department </w:t>
      </w:r>
      <w:r w:rsidRPr="00D11539">
        <w:t>are disclosed in this Note by recipient.</w:t>
      </w:r>
      <w:r w:rsidRPr="00A90C73">
        <w:t xml:space="preserve"> These payments include state contributions to the block-funded services under the National Health Reform Agreement and the National Partnership on COVID-19 Response and a range of other grant payments for services that are out of scope </w:t>
      </w:r>
      <w:r w:rsidR="00D378D9">
        <w:t>of</w:t>
      </w:r>
      <w:r w:rsidRPr="00A90C73">
        <w:t xml:space="preserve"> the National Health Reform Agreement and the National Partnership on COVID-19 Response. This includes aged care subsidies, home and community care payments and community-based drug and alcohol services.</w:t>
      </w:r>
    </w:p>
    <w:p w14:paraId="764B234F" w14:textId="77777777" w:rsidR="00CE75D4" w:rsidRPr="002029AF" w:rsidRDefault="00CE75D4" w:rsidP="008340C1">
      <w:pPr>
        <w:pStyle w:val="Heading5"/>
        <w:spacing w:before="160" w:after="60"/>
      </w:pPr>
      <w:bookmarkStart w:id="555" w:name="_Toc85121390"/>
      <w:r w:rsidRPr="002029AF">
        <w:t>3.1.3 Capital asset charge</w:t>
      </w:r>
      <w:bookmarkEnd w:id="554"/>
      <w:bookmarkEnd w:id="555"/>
    </w:p>
    <w:tbl>
      <w:tblPr>
        <w:tblStyle w:val="TableGrid"/>
        <w:tblW w:w="9637" w:type="dxa"/>
        <w:tblLayout w:type="fixed"/>
        <w:tblLook w:val="06A0" w:firstRow="1" w:lastRow="0" w:firstColumn="1" w:lastColumn="0" w:noHBand="1" w:noVBand="1"/>
      </w:tblPr>
      <w:tblGrid>
        <w:gridCol w:w="7371"/>
        <w:gridCol w:w="1133"/>
        <w:gridCol w:w="1133"/>
      </w:tblGrid>
      <w:tr w:rsidR="00CE75D4" w:rsidRPr="002029AF" w14:paraId="41BDD8C4"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3B96745A" w14:textId="77777777" w:rsidR="00CE75D4" w:rsidRPr="002029AF" w:rsidRDefault="00CE75D4" w:rsidP="008340C1">
            <w:pPr>
              <w:pStyle w:val="ARfintablecolhead"/>
            </w:pPr>
          </w:p>
        </w:tc>
        <w:tc>
          <w:tcPr>
            <w:tcW w:w="1133" w:type="dxa"/>
            <w:shd w:val="clear" w:color="auto" w:fill="E7E6E6"/>
            <w:hideMark/>
          </w:tcPr>
          <w:p w14:paraId="15FA74B1" w14:textId="77777777" w:rsidR="00CE75D4" w:rsidRPr="002029AF" w:rsidRDefault="00CE75D4" w:rsidP="008340C1">
            <w:pPr>
              <w:pStyle w:val="ARfintablecolheadright"/>
            </w:pPr>
            <w:r w:rsidRPr="002029AF">
              <w:t>202</w:t>
            </w:r>
            <w:r>
              <w:t>2</w:t>
            </w:r>
          </w:p>
          <w:p w14:paraId="445B7587" w14:textId="77777777" w:rsidR="00CE75D4" w:rsidRPr="002029AF" w:rsidRDefault="00CE75D4" w:rsidP="008340C1">
            <w:pPr>
              <w:pStyle w:val="ARfintablecolheadright"/>
            </w:pPr>
            <w:r w:rsidRPr="002029AF">
              <w:t>$M</w:t>
            </w:r>
          </w:p>
        </w:tc>
        <w:tc>
          <w:tcPr>
            <w:tcW w:w="1133" w:type="dxa"/>
            <w:hideMark/>
          </w:tcPr>
          <w:p w14:paraId="03B8A3F9" w14:textId="77777777" w:rsidR="00CE75D4" w:rsidRPr="002029AF" w:rsidRDefault="00CE75D4" w:rsidP="008340C1">
            <w:pPr>
              <w:pStyle w:val="ARfintablecolheadright"/>
            </w:pPr>
            <w:r>
              <w:t>2021</w:t>
            </w:r>
          </w:p>
          <w:p w14:paraId="5D773875" w14:textId="77777777" w:rsidR="00CE75D4" w:rsidRPr="002029AF" w:rsidRDefault="00CE75D4" w:rsidP="008340C1">
            <w:pPr>
              <w:pStyle w:val="ARfintablecolheadright"/>
            </w:pPr>
            <w:r w:rsidRPr="002029AF">
              <w:t>$M</w:t>
            </w:r>
          </w:p>
        </w:tc>
      </w:tr>
      <w:tr w:rsidR="00CE75D4" w:rsidRPr="002029AF" w14:paraId="5C48685A" w14:textId="77777777" w:rsidTr="00860E95">
        <w:tc>
          <w:tcPr>
            <w:tcW w:w="7371" w:type="dxa"/>
            <w:hideMark/>
          </w:tcPr>
          <w:p w14:paraId="2B319F23" w14:textId="77777777" w:rsidR="00CE75D4" w:rsidRPr="002029AF" w:rsidRDefault="00CE75D4" w:rsidP="008340C1">
            <w:pPr>
              <w:pStyle w:val="ARfintablebody"/>
            </w:pPr>
            <w:r w:rsidRPr="00680BB7">
              <w:t>Capital asset charge</w:t>
            </w:r>
          </w:p>
        </w:tc>
        <w:tc>
          <w:tcPr>
            <w:tcW w:w="1133" w:type="dxa"/>
            <w:shd w:val="clear" w:color="auto" w:fill="E7E6E6"/>
            <w:noWrap/>
            <w:hideMark/>
          </w:tcPr>
          <w:p w14:paraId="29B2C394" w14:textId="77777777" w:rsidR="00CE75D4" w:rsidRPr="002029AF" w:rsidRDefault="00CE75D4" w:rsidP="008340C1">
            <w:pPr>
              <w:pStyle w:val="ARfintablebodyright"/>
            </w:pPr>
            <w:r>
              <w:t>–</w:t>
            </w:r>
          </w:p>
        </w:tc>
        <w:tc>
          <w:tcPr>
            <w:tcW w:w="1133" w:type="dxa"/>
            <w:noWrap/>
            <w:hideMark/>
          </w:tcPr>
          <w:p w14:paraId="4A05D1A4" w14:textId="77777777" w:rsidR="00CE75D4" w:rsidRPr="002029AF" w:rsidRDefault="00CE75D4" w:rsidP="008340C1">
            <w:pPr>
              <w:pStyle w:val="ARfintablebodyright"/>
            </w:pPr>
            <w:r w:rsidRPr="00680BB7">
              <w:t>1,427.7</w:t>
            </w:r>
          </w:p>
        </w:tc>
      </w:tr>
    </w:tbl>
    <w:p w14:paraId="60D8347D" w14:textId="77777777" w:rsidR="00CE75D4" w:rsidRDefault="00CE75D4" w:rsidP="008340C1">
      <w:pPr>
        <w:pStyle w:val="ARfinbodyaftertable"/>
        <w:spacing w:before="120" w:after="40"/>
      </w:pPr>
      <w:bookmarkStart w:id="556" w:name="_Toc39136703"/>
      <w:r>
        <w:t xml:space="preserve">A </w:t>
      </w:r>
      <w:r>
        <w:rPr>
          <w:rStyle w:val="Strong"/>
        </w:rPr>
        <w:t>capital asset charge</w:t>
      </w:r>
      <w:r>
        <w:t xml:space="preserve"> (CAC) was a charge levied on the budgeted written-down value of controlled non-current physical assets in a department’s balance sheet. In previous years, CAC had been used to demonstrate the opportunity cost of utilising government assets.</w:t>
      </w:r>
    </w:p>
    <w:p w14:paraId="6162798C" w14:textId="77777777" w:rsidR="00CE75D4" w:rsidRDefault="00CE75D4" w:rsidP="008340C1">
      <w:pPr>
        <w:pStyle w:val="ARfinbody"/>
      </w:pPr>
      <w:r>
        <w:t>It should be noted that the CAC policy was discontinued in 2021–22 and also reflected in the 2021–22 Budget. While the inclusion of CAC was previously reflected in output cost, it did not reflect a net distribution of funds to the department because the department was funded from the budget for its CAC expense, and the department always then immediately paid the same amount back into the consolidated fund.</w:t>
      </w:r>
    </w:p>
    <w:bookmarkEnd w:id="556"/>
    <w:p w14:paraId="19DDDD68" w14:textId="77777777" w:rsidR="00CE75D4" w:rsidRPr="002029AF" w:rsidRDefault="00CE75D4" w:rsidP="00130D1C">
      <w:pPr>
        <w:pStyle w:val="Heading5"/>
        <w:spacing w:before="160"/>
      </w:pPr>
      <w:r w:rsidRPr="0056787D">
        <w:t>3.1.4 Fair value of assets and services provided free of charge or for nominal consideration</w:t>
      </w:r>
    </w:p>
    <w:tbl>
      <w:tblPr>
        <w:tblStyle w:val="TableGrid"/>
        <w:tblW w:w="9637" w:type="dxa"/>
        <w:tblLayout w:type="fixed"/>
        <w:tblLook w:val="06A0" w:firstRow="1" w:lastRow="0" w:firstColumn="1" w:lastColumn="0" w:noHBand="1" w:noVBand="1"/>
      </w:tblPr>
      <w:tblGrid>
        <w:gridCol w:w="7369"/>
        <w:gridCol w:w="1134"/>
        <w:gridCol w:w="1134"/>
      </w:tblGrid>
      <w:tr w:rsidR="00CE75D4" w:rsidRPr="002029AF" w14:paraId="46AD9359"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6F83A7AF" w14:textId="77777777" w:rsidR="00CE75D4" w:rsidRPr="002029AF" w:rsidRDefault="00CE75D4" w:rsidP="008340C1">
            <w:pPr>
              <w:pStyle w:val="ARfintablecolhead"/>
            </w:pPr>
          </w:p>
        </w:tc>
        <w:tc>
          <w:tcPr>
            <w:tcW w:w="1134" w:type="dxa"/>
            <w:tcBorders>
              <w:bottom w:val="single" w:sz="4" w:space="0" w:color="auto"/>
            </w:tcBorders>
            <w:shd w:val="clear" w:color="auto" w:fill="E7E6E6"/>
            <w:hideMark/>
          </w:tcPr>
          <w:p w14:paraId="28C4DAAA" w14:textId="77777777" w:rsidR="00CE75D4" w:rsidRPr="002029AF" w:rsidRDefault="00CE75D4" w:rsidP="008340C1">
            <w:pPr>
              <w:pStyle w:val="ARfintablecolheadright"/>
            </w:pPr>
            <w:r w:rsidRPr="002029AF">
              <w:t>202</w:t>
            </w:r>
            <w:r>
              <w:t>2</w:t>
            </w:r>
          </w:p>
          <w:p w14:paraId="2305696D" w14:textId="77777777" w:rsidR="00CE75D4" w:rsidRPr="002029AF" w:rsidRDefault="00CE75D4" w:rsidP="008340C1">
            <w:pPr>
              <w:pStyle w:val="ARfintablecolheadright"/>
            </w:pPr>
            <w:r w:rsidRPr="002029AF">
              <w:t>$M</w:t>
            </w:r>
          </w:p>
        </w:tc>
        <w:tc>
          <w:tcPr>
            <w:tcW w:w="1134" w:type="dxa"/>
            <w:tcBorders>
              <w:bottom w:val="single" w:sz="4" w:space="0" w:color="auto"/>
            </w:tcBorders>
            <w:hideMark/>
          </w:tcPr>
          <w:p w14:paraId="21AA40E2" w14:textId="77777777" w:rsidR="00CE75D4" w:rsidRPr="002029AF" w:rsidRDefault="00CE75D4" w:rsidP="008340C1">
            <w:pPr>
              <w:pStyle w:val="ARfintablecolheadright"/>
            </w:pPr>
            <w:r>
              <w:t>2021</w:t>
            </w:r>
          </w:p>
          <w:p w14:paraId="1B87E01E" w14:textId="77777777" w:rsidR="00CE75D4" w:rsidRPr="002029AF" w:rsidRDefault="00CE75D4" w:rsidP="008340C1">
            <w:pPr>
              <w:pStyle w:val="ARfintablecolheadright"/>
            </w:pPr>
            <w:r w:rsidRPr="002029AF">
              <w:t>$M</w:t>
            </w:r>
          </w:p>
        </w:tc>
      </w:tr>
      <w:tr w:rsidR="00CE75D4" w:rsidRPr="002029AF" w14:paraId="7C185EDE" w14:textId="77777777" w:rsidTr="00130D1C">
        <w:tc>
          <w:tcPr>
            <w:tcW w:w="7369" w:type="dxa"/>
            <w:tcBorders>
              <w:top w:val="single" w:sz="4" w:space="0" w:color="auto"/>
              <w:bottom w:val="single" w:sz="4" w:space="0" w:color="A6A6A6"/>
            </w:tcBorders>
            <w:hideMark/>
          </w:tcPr>
          <w:p w14:paraId="0BFA9CDE" w14:textId="77777777" w:rsidR="00CE75D4" w:rsidRPr="002029AF" w:rsidRDefault="00CE75D4" w:rsidP="008340C1">
            <w:pPr>
              <w:pStyle w:val="ARfintablebody"/>
            </w:pPr>
            <w:r w:rsidRPr="000336DE">
              <w:t>Land at fair value</w:t>
            </w:r>
          </w:p>
        </w:tc>
        <w:tc>
          <w:tcPr>
            <w:tcW w:w="1134" w:type="dxa"/>
            <w:tcBorders>
              <w:top w:val="single" w:sz="4" w:space="0" w:color="auto"/>
              <w:bottom w:val="single" w:sz="4" w:space="0" w:color="A6A6A6"/>
            </w:tcBorders>
            <w:shd w:val="clear" w:color="auto" w:fill="E7E6E6"/>
            <w:noWrap/>
            <w:hideMark/>
          </w:tcPr>
          <w:p w14:paraId="2860BAD4" w14:textId="77777777" w:rsidR="00CE75D4" w:rsidRPr="002029AF" w:rsidRDefault="00CE75D4" w:rsidP="008340C1">
            <w:pPr>
              <w:pStyle w:val="ARfintablebodyright"/>
            </w:pPr>
            <w:r>
              <w:t>–</w:t>
            </w:r>
          </w:p>
        </w:tc>
        <w:tc>
          <w:tcPr>
            <w:tcW w:w="1134" w:type="dxa"/>
            <w:tcBorders>
              <w:top w:val="single" w:sz="4" w:space="0" w:color="auto"/>
              <w:bottom w:val="single" w:sz="4" w:space="0" w:color="A6A6A6"/>
            </w:tcBorders>
            <w:noWrap/>
            <w:hideMark/>
          </w:tcPr>
          <w:p w14:paraId="21EC2A1D" w14:textId="77777777" w:rsidR="00CE75D4" w:rsidRPr="002029AF" w:rsidRDefault="00CE75D4" w:rsidP="008340C1">
            <w:pPr>
              <w:pStyle w:val="ARfintablebodyright"/>
            </w:pPr>
            <w:r w:rsidRPr="000336DE">
              <w:t>1.6</w:t>
            </w:r>
          </w:p>
        </w:tc>
      </w:tr>
      <w:tr w:rsidR="00CE75D4" w:rsidRPr="002029AF" w14:paraId="0312E811" w14:textId="77777777" w:rsidTr="00130D1C">
        <w:tc>
          <w:tcPr>
            <w:tcW w:w="7369" w:type="dxa"/>
            <w:tcBorders>
              <w:top w:val="single" w:sz="4" w:space="0" w:color="A6A6A6"/>
              <w:bottom w:val="single" w:sz="4" w:space="0" w:color="A6A6A6"/>
            </w:tcBorders>
            <w:hideMark/>
          </w:tcPr>
          <w:p w14:paraId="4DFC5DAA" w14:textId="77777777" w:rsidR="00CE75D4" w:rsidRPr="002029AF" w:rsidRDefault="00CE75D4" w:rsidP="008340C1">
            <w:pPr>
              <w:pStyle w:val="ARfintablebody"/>
            </w:pPr>
            <w:r w:rsidRPr="000336DE">
              <w:t>Buildings at fair value</w:t>
            </w:r>
          </w:p>
        </w:tc>
        <w:tc>
          <w:tcPr>
            <w:tcW w:w="1134" w:type="dxa"/>
            <w:tcBorders>
              <w:top w:val="single" w:sz="4" w:space="0" w:color="A6A6A6"/>
              <w:bottom w:val="single" w:sz="4" w:space="0" w:color="A6A6A6"/>
            </w:tcBorders>
            <w:shd w:val="clear" w:color="auto" w:fill="E7E6E6"/>
            <w:noWrap/>
            <w:hideMark/>
          </w:tcPr>
          <w:p w14:paraId="65A215B4" w14:textId="77777777" w:rsidR="00CE75D4" w:rsidRPr="002029AF" w:rsidRDefault="00CE75D4" w:rsidP="008340C1">
            <w:pPr>
              <w:pStyle w:val="ARfintablebodyright"/>
            </w:pPr>
            <w:r w:rsidRPr="000336DE">
              <w:t>0.8</w:t>
            </w:r>
          </w:p>
        </w:tc>
        <w:tc>
          <w:tcPr>
            <w:tcW w:w="1134" w:type="dxa"/>
            <w:tcBorders>
              <w:top w:val="single" w:sz="4" w:space="0" w:color="A6A6A6"/>
              <w:bottom w:val="single" w:sz="4" w:space="0" w:color="A6A6A6"/>
            </w:tcBorders>
            <w:noWrap/>
            <w:hideMark/>
          </w:tcPr>
          <w:p w14:paraId="16277728" w14:textId="77777777" w:rsidR="00CE75D4" w:rsidRPr="002029AF" w:rsidRDefault="00CE75D4" w:rsidP="008340C1">
            <w:pPr>
              <w:pStyle w:val="ARfintablebodyright"/>
            </w:pPr>
            <w:r w:rsidRPr="000336DE">
              <w:t>0.4</w:t>
            </w:r>
          </w:p>
        </w:tc>
      </w:tr>
      <w:tr w:rsidR="00CE75D4" w:rsidRPr="002029AF" w14:paraId="5F5E314C" w14:textId="77777777" w:rsidTr="00130D1C">
        <w:tc>
          <w:tcPr>
            <w:tcW w:w="7369" w:type="dxa"/>
            <w:tcBorders>
              <w:top w:val="single" w:sz="4" w:space="0" w:color="A6A6A6"/>
              <w:bottom w:val="single" w:sz="4" w:space="0" w:color="A6A6A6"/>
            </w:tcBorders>
          </w:tcPr>
          <w:p w14:paraId="075D7FF0" w14:textId="77777777" w:rsidR="00CE75D4" w:rsidRPr="00F70034" w:rsidRDefault="00CE75D4" w:rsidP="008340C1">
            <w:pPr>
              <w:pStyle w:val="ARfintablebody"/>
            </w:pPr>
            <w:r w:rsidRPr="000336DE">
              <w:t xml:space="preserve">Resources provided free of charge </w:t>
            </w:r>
            <w:r w:rsidRPr="0056787D">
              <w:rPr>
                <w:rStyle w:val="Superscript"/>
              </w:rPr>
              <w:t>(i)</w:t>
            </w:r>
          </w:p>
        </w:tc>
        <w:tc>
          <w:tcPr>
            <w:tcW w:w="1134" w:type="dxa"/>
            <w:tcBorders>
              <w:top w:val="single" w:sz="4" w:space="0" w:color="A6A6A6"/>
              <w:bottom w:val="single" w:sz="4" w:space="0" w:color="A6A6A6"/>
            </w:tcBorders>
            <w:shd w:val="clear" w:color="auto" w:fill="E7E6E6"/>
            <w:noWrap/>
          </w:tcPr>
          <w:p w14:paraId="2901D0AA" w14:textId="77777777" w:rsidR="00CE75D4" w:rsidRPr="00F70034" w:rsidRDefault="00CE75D4" w:rsidP="008340C1">
            <w:pPr>
              <w:pStyle w:val="ARfintablebodyright"/>
            </w:pPr>
            <w:r w:rsidRPr="000336DE">
              <w:t>681.9</w:t>
            </w:r>
          </w:p>
        </w:tc>
        <w:tc>
          <w:tcPr>
            <w:tcW w:w="1134" w:type="dxa"/>
            <w:tcBorders>
              <w:top w:val="single" w:sz="4" w:space="0" w:color="A6A6A6"/>
              <w:bottom w:val="single" w:sz="4" w:space="0" w:color="A6A6A6"/>
            </w:tcBorders>
            <w:noWrap/>
          </w:tcPr>
          <w:p w14:paraId="45AED640" w14:textId="77777777" w:rsidR="00CE75D4" w:rsidRPr="00F70034" w:rsidRDefault="00CE75D4" w:rsidP="008340C1">
            <w:pPr>
              <w:pStyle w:val="ARfintablebodyright"/>
            </w:pPr>
            <w:r w:rsidRPr="000336DE">
              <w:t>295.2</w:t>
            </w:r>
          </w:p>
        </w:tc>
      </w:tr>
      <w:tr w:rsidR="00CE75D4" w:rsidRPr="002029AF" w14:paraId="7CB9FAF5" w14:textId="77777777" w:rsidTr="00130D1C">
        <w:tc>
          <w:tcPr>
            <w:tcW w:w="7369" w:type="dxa"/>
            <w:tcBorders>
              <w:top w:val="single" w:sz="4" w:space="0" w:color="A6A6A6"/>
            </w:tcBorders>
            <w:hideMark/>
          </w:tcPr>
          <w:p w14:paraId="3B962340" w14:textId="77777777" w:rsidR="00CE75D4" w:rsidRPr="002029AF" w:rsidRDefault="00CE75D4" w:rsidP="008340C1">
            <w:pPr>
              <w:pStyle w:val="ARfintablebody"/>
            </w:pPr>
            <w:r w:rsidRPr="000336DE">
              <w:t>Other assets provided free of charge</w:t>
            </w:r>
          </w:p>
        </w:tc>
        <w:tc>
          <w:tcPr>
            <w:tcW w:w="1134" w:type="dxa"/>
            <w:tcBorders>
              <w:top w:val="single" w:sz="4" w:space="0" w:color="A6A6A6"/>
            </w:tcBorders>
            <w:shd w:val="clear" w:color="auto" w:fill="E7E6E6"/>
            <w:noWrap/>
            <w:hideMark/>
          </w:tcPr>
          <w:p w14:paraId="09D324A5" w14:textId="77777777" w:rsidR="00CE75D4" w:rsidRPr="002029AF" w:rsidRDefault="00CE75D4" w:rsidP="008340C1">
            <w:pPr>
              <w:pStyle w:val="ARfintablebodyright"/>
            </w:pPr>
            <w:r w:rsidRPr="000336DE">
              <w:t>0.7</w:t>
            </w:r>
          </w:p>
        </w:tc>
        <w:tc>
          <w:tcPr>
            <w:tcW w:w="1134" w:type="dxa"/>
            <w:tcBorders>
              <w:top w:val="single" w:sz="4" w:space="0" w:color="A6A6A6"/>
            </w:tcBorders>
            <w:noWrap/>
            <w:hideMark/>
          </w:tcPr>
          <w:p w14:paraId="043191FB" w14:textId="77777777" w:rsidR="00CE75D4" w:rsidRPr="002029AF" w:rsidRDefault="00CE75D4" w:rsidP="008340C1">
            <w:pPr>
              <w:pStyle w:val="ARfintablebodyright"/>
            </w:pPr>
            <w:r>
              <w:t>–</w:t>
            </w:r>
          </w:p>
        </w:tc>
      </w:tr>
      <w:tr w:rsidR="00CE75D4" w:rsidRPr="002029AF" w14:paraId="3C3D1B63" w14:textId="77777777" w:rsidTr="00130D1C">
        <w:tc>
          <w:tcPr>
            <w:tcW w:w="7369" w:type="dxa"/>
            <w:hideMark/>
          </w:tcPr>
          <w:p w14:paraId="05DD92BA" w14:textId="77777777" w:rsidR="00CE75D4" w:rsidRPr="002029AF" w:rsidRDefault="00CE75D4" w:rsidP="008340C1">
            <w:pPr>
              <w:pStyle w:val="ARfintablebodybold"/>
            </w:pPr>
            <w:r w:rsidRPr="000336DE">
              <w:t xml:space="preserve">Total fair value of assets and services provided free of charge </w:t>
            </w:r>
            <w:r>
              <w:br/>
            </w:r>
            <w:r w:rsidRPr="000336DE">
              <w:t>or for nominal consideration</w:t>
            </w:r>
          </w:p>
        </w:tc>
        <w:tc>
          <w:tcPr>
            <w:tcW w:w="1134" w:type="dxa"/>
            <w:shd w:val="clear" w:color="auto" w:fill="E7E6E6"/>
            <w:noWrap/>
            <w:hideMark/>
          </w:tcPr>
          <w:p w14:paraId="20529781" w14:textId="77777777" w:rsidR="00CE75D4" w:rsidRPr="002029AF" w:rsidRDefault="00CE75D4" w:rsidP="008340C1">
            <w:pPr>
              <w:pStyle w:val="ARfintablebodyrightbold"/>
            </w:pPr>
            <w:r w:rsidRPr="000336DE">
              <w:t>683.4</w:t>
            </w:r>
          </w:p>
        </w:tc>
        <w:tc>
          <w:tcPr>
            <w:tcW w:w="1134" w:type="dxa"/>
            <w:noWrap/>
            <w:hideMark/>
          </w:tcPr>
          <w:p w14:paraId="1B8AF09B" w14:textId="77777777" w:rsidR="00CE75D4" w:rsidRPr="002029AF" w:rsidRDefault="00CE75D4" w:rsidP="008340C1">
            <w:pPr>
              <w:pStyle w:val="ARfintablebodyrightbold"/>
            </w:pPr>
            <w:r w:rsidRPr="000336DE">
              <w:t>297.2</w:t>
            </w:r>
          </w:p>
        </w:tc>
      </w:tr>
    </w:tbl>
    <w:p w14:paraId="0F507DD5" w14:textId="77777777" w:rsidR="00CE75D4" w:rsidRDefault="00CE75D4" w:rsidP="008340C1">
      <w:pPr>
        <w:pStyle w:val="ARfintablefootnote"/>
      </w:pPr>
      <w:bookmarkStart w:id="557" w:name="_Toc39136704"/>
      <w:r>
        <w:rPr>
          <w:lang w:eastAsia="en-AU"/>
        </w:rPr>
        <w:t>Note:</w:t>
      </w:r>
    </w:p>
    <w:p w14:paraId="1DF81831" w14:textId="4EB07AB4" w:rsidR="00CE75D4" w:rsidRDefault="00CE75D4" w:rsidP="008340C1">
      <w:pPr>
        <w:pStyle w:val="ARfintablefootnoteindent"/>
      </w:pPr>
      <w:r>
        <w:t>(i)</w:t>
      </w:r>
      <w:r>
        <w:tab/>
        <w:t xml:space="preserve">Figures include transfers of personal protective equipment and </w:t>
      </w:r>
      <w:r w:rsidRPr="00C22DD2">
        <w:t>rapid antigen test kits</w:t>
      </w:r>
      <w:r>
        <w:t xml:space="preserve"> to health services, other departments and agencies under the State Supply Arrangement set up in response to the COVID-19 pandemic.</w:t>
      </w:r>
    </w:p>
    <w:p w14:paraId="51C4D209" w14:textId="77777777" w:rsidR="00CE75D4" w:rsidRDefault="00CE75D4" w:rsidP="008340C1">
      <w:pPr>
        <w:pStyle w:val="ARfinbodyaftertable"/>
      </w:pPr>
      <w:r>
        <w:rPr>
          <w:rStyle w:val="Strong"/>
        </w:rPr>
        <w:t>Contributions of resources provided free of charge or for nominal consideration</w:t>
      </w:r>
      <w:r>
        <w:t xml:space="preserve"> are recognised at their fair value when the recipient obtains control over the resources, irrespective of whether restrictions or conditions are imposed over the use of the contributions. The exception to this would be when the resource is provided to another government department (or agency) as a consequence of a restructuring of administrative arrangements, in which case such a transfer will be recognised at its carrying value.</w:t>
      </w:r>
    </w:p>
    <w:p w14:paraId="06BA92FE" w14:textId="77777777" w:rsidR="00CE75D4" w:rsidRDefault="00CE75D4" w:rsidP="008340C1">
      <w:pPr>
        <w:pStyle w:val="ARfinbody"/>
      </w:pPr>
      <w:r>
        <w:rPr>
          <w:rStyle w:val="Strong"/>
        </w:rPr>
        <w:t>Voluntary services:</w:t>
      </w:r>
      <w:r>
        <w:t xml:space="preserve"> Contributions in the form of services are only recognised when a fair value can be reliably determined and the services would have been sold if not donated.</w:t>
      </w:r>
    </w:p>
    <w:p w14:paraId="3EA5C715" w14:textId="77777777" w:rsidR="00CE75D4" w:rsidRPr="002029AF" w:rsidRDefault="00CE75D4" w:rsidP="00130D1C">
      <w:pPr>
        <w:pStyle w:val="Heading5"/>
        <w:spacing w:before="160"/>
      </w:pPr>
      <w:bookmarkStart w:id="558" w:name="_Toc85121392"/>
      <w:bookmarkEnd w:id="557"/>
      <w:r>
        <w:t>3.1.5 Other operating expenses</w:t>
      </w:r>
      <w:bookmarkEnd w:id="558"/>
    </w:p>
    <w:tbl>
      <w:tblPr>
        <w:tblStyle w:val="TableGrid"/>
        <w:tblW w:w="9637" w:type="dxa"/>
        <w:tblLayout w:type="fixed"/>
        <w:tblLook w:val="06A0" w:firstRow="1" w:lastRow="0" w:firstColumn="1" w:lastColumn="0" w:noHBand="1" w:noVBand="1"/>
      </w:tblPr>
      <w:tblGrid>
        <w:gridCol w:w="7371"/>
        <w:gridCol w:w="1133"/>
        <w:gridCol w:w="1133"/>
      </w:tblGrid>
      <w:tr w:rsidR="00CE75D4" w:rsidRPr="002029AF" w14:paraId="1BB95240"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78D33BEE" w14:textId="77777777" w:rsidR="00CE75D4" w:rsidRPr="002029AF" w:rsidRDefault="00CE75D4" w:rsidP="008340C1">
            <w:pPr>
              <w:pStyle w:val="ARfintablecolhead"/>
            </w:pPr>
          </w:p>
        </w:tc>
        <w:tc>
          <w:tcPr>
            <w:tcW w:w="1133" w:type="dxa"/>
            <w:tcBorders>
              <w:bottom w:val="single" w:sz="4" w:space="0" w:color="auto"/>
            </w:tcBorders>
            <w:shd w:val="clear" w:color="auto" w:fill="E7E6E6"/>
            <w:hideMark/>
          </w:tcPr>
          <w:p w14:paraId="5AAF085A" w14:textId="77777777" w:rsidR="00CE75D4" w:rsidRPr="002029AF" w:rsidRDefault="00CE75D4" w:rsidP="008340C1">
            <w:pPr>
              <w:pStyle w:val="ARfintablecolheadright"/>
            </w:pPr>
            <w:r w:rsidRPr="002029AF">
              <w:t>202</w:t>
            </w:r>
            <w:r>
              <w:t>2</w:t>
            </w:r>
          </w:p>
          <w:p w14:paraId="07E05E4F" w14:textId="77777777" w:rsidR="00CE75D4" w:rsidRPr="002029AF" w:rsidRDefault="00CE75D4" w:rsidP="008340C1">
            <w:pPr>
              <w:pStyle w:val="ARfintablecolheadright"/>
            </w:pPr>
            <w:r w:rsidRPr="002029AF">
              <w:t>$M</w:t>
            </w:r>
          </w:p>
        </w:tc>
        <w:tc>
          <w:tcPr>
            <w:tcW w:w="1133" w:type="dxa"/>
            <w:tcBorders>
              <w:bottom w:val="single" w:sz="4" w:space="0" w:color="auto"/>
            </w:tcBorders>
            <w:hideMark/>
          </w:tcPr>
          <w:p w14:paraId="458EA89B" w14:textId="77777777" w:rsidR="00CE75D4" w:rsidRPr="002029AF" w:rsidRDefault="00CE75D4" w:rsidP="008340C1">
            <w:pPr>
              <w:pStyle w:val="ARfintablecolheadright"/>
            </w:pPr>
            <w:r>
              <w:t>2021</w:t>
            </w:r>
          </w:p>
          <w:p w14:paraId="0CE72D16" w14:textId="77777777" w:rsidR="00CE75D4" w:rsidRPr="002029AF" w:rsidRDefault="00CE75D4" w:rsidP="008340C1">
            <w:pPr>
              <w:pStyle w:val="ARfintablecolheadright"/>
            </w:pPr>
            <w:r w:rsidRPr="002029AF">
              <w:t>$M</w:t>
            </w:r>
          </w:p>
        </w:tc>
      </w:tr>
      <w:tr w:rsidR="00CE75D4" w:rsidRPr="002029AF" w14:paraId="3A17FD0A" w14:textId="77777777" w:rsidTr="00860E95">
        <w:tc>
          <w:tcPr>
            <w:tcW w:w="7371" w:type="dxa"/>
            <w:tcBorders>
              <w:top w:val="single" w:sz="4" w:space="0" w:color="auto"/>
              <w:bottom w:val="single" w:sz="4" w:space="0" w:color="A6A6A6"/>
            </w:tcBorders>
            <w:hideMark/>
          </w:tcPr>
          <w:p w14:paraId="2F953000" w14:textId="77777777" w:rsidR="00CE75D4" w:rsidRPr="002029AF" w:rsidRDefault="00CE75D4" w:rsidP="008340C1">
            <w:pPr>
              <w:pStyle w:val="ARfintablebody"/>
            </w:pPr>
            <w:r w:rsidRPr="006B22AE">
              <w:t xml:space="preserve">Accommodation and property services </w:t>
            </w:r>
            <w:r w:rsidRPr="00475B9A">
              <w:rPr>
                <w:rStyle w:val="Superscript"/>
              </w:rPr>
              <w:t>(i)</w:t>
            </w:r>
          </w:p>
        </w:tc>
        <w:tc>
          <w:tcPr>
            <w:tcW w:w="1133" w:type="dxa"/>
            <w:tcBorders>
              <w:top w:val="single" w:sz="4" w:space="0" w:color="auto"/>
              <w:bottom w:val="single" w:sz="4" w:space="0" w:color="A6A6A6"/>
            </w:tcBorders>
            <w:shd w:val="clear" w:color="auto" w:fill="E7E6E6"/>
            <w:noWrap/>
            <w:hideMark/>
          </w:tcPr>
          <w:p w14:paraId="095F462C" w14:textId="77777777" w:rsidR="00CE75D4" w:rsidRPr="002029AF" w:rsidRDefault="00CE75D4" w:rsidP="008340C1">
            <w:pPr>
              <w:pStyle w:val="ARfintablebodyright"/>
            </w:pPr>
            <w:r w:rsidRPr="006B22AE">
              <w:t>126.7</w:t>
            </w:r>
          </w:p>
        </w:tc>
        <w:tc>
          <w:tcPr>
            <w:tcW w:w="1133" w:type="dxa"/>
            <w:tcBorders>
              <w:top w:val="single" w:sz="4" w:space="0" w:color="auto"/>
              <w:bottom w:val="single" w:sz="4" w:space="0" w:color="A6A6A6"/>
            </w:tcBorders>
            <w:noWrap/>
            <w:hideMark/>
          </w:tcPr>
          <w:p w14:paraId="2713B51E" w14:textId="77777777" w:rsidR="00CE75D4" w:rsidRPr="002029AF" w:rsidRDefault="00CE75D4" w:rsidP="008340C1">
            <w:pPr>
              <w:pStyle w:val="ARfintablebodyright"/>
            </w:pPr>
            <w:r w:rsidRPr="006B22AE">
              <w:t>129.5</w:t>
            </w:r>
          </w:p>
        </w:tc>
      </w:tr>
      <w:tr w:rsidR="00CE75D4" w:rsidRPr="002029AF" w14:paraId="23DA26AD" w14:textId="77777777" w:rsidTr="00860E95">
        <w:tc>
          <w:tcPr>
            <w:tcW w:w="7371" w:type="dxa"/>
            <w:tcBorders>
              <w:top w:val="single" w:sz="4" w:space="0" w:color="A6A6A6"/>
              <w:bottom w:val="single" w:sz="4" w:space="0" w:color="A6A6A6"/>
            </w:tcBorders>
            <w:hideMark/>
          </w:tcPr>
          <w:p w14:paraId="45534ADD" w14:textId="77777777" w:rsidR="00CE75D4" w:rsidRPr="002029AF" w:rsidRDefault="00CE75D4" w:rsidP="008340C1">
            <w:pPr>
              <w:pStyle w:val="ARfintablebody"/>
            </w:pPr>
            <w:r w:rsidRPr="006B22AE">
              <w:t xml:space="preserve">Administrative costs </w:t>
            </w:r>
            <w:r w:rsidRPr="00475B9A">
              <w:rPr>
                <w:rStyle w:val="Superscript"/>
              </w:rPr>
              <w:t>(ii)</w:t>
            </w:r>
          </w:p>
        </w:tc>
        <w:tc>
          <w:tcPr>
            <w:tcW w:w="1133" w:type="dxa"/>
            <w:tcBorders>
              <w:top w:val="single" w:sz="4" w:space="0" w:color="A6A6A6"/>
              <w:bottom w:val="single" w:sz="4" w:space="0" w:color="A6A6A6"/>
            </w:tcBorders>
            <w:shd w:val="clear" w:color="auto" w:fill="E7E6E6"/>
            <w:noWrap/>
            <w:hideMark/>
          </w:tcPr>
          <w:p w14:paraId="276BDF25" w14:textId="77777777" w:rsidR="00CE75D4" w:rsidRPr="002029AF" w:rsidRDefault="00CE75D4" w:rsidP="008340C1">
            <w:pPr>
              <w:pStyle w:val="ARfintablebodyright"/>
            </w:pPr>
            <w:r w:rsidRPr="006B22AE">
              <w:t>1,145.3</w:t>
            </w:r>
          </w:p>
        </w:tc>
        <w:tc>
          <w:tcPr>
            <w:tcW w:w="1133" w:type="dxa"/>
            <w:tcBorders>
              <w:top w:val="single" w:sz="4" w:space="0" w:color="A6A6A6"/>
              <w:bottom w:val="single" w:sz="4" w:space="0" w:color="A6A6A6"/>
            </w:tcBorders>
            <w:noWrap/>
            <w:hideMark/>
          </w:tcPr>
          <w:p w14:paraId="705C66A1" w14:textId="77777777" w:rsidR="00CE75D4" w:rsidRPr="002029AF" w:rsidRDefault="00CE75D4" w:rsidP="008340C1">
            <w:pPr>
              <w:pStyle w:val="ARfintablebodyright"/>
            </w:pPr>
            <w:r w:rsidRPr="006B22AE">
              <w:t>843.5</w:t>
            </w:r>
          </w:p>
        </w:tc>
      </w:tr>
      <w:tr w:rsidR="00CE75D4" w:rsidRPr="002029AF" w14:paraId="2FA3B6B9" w14:textId="77777777" w:rsidTr="00860E95">
        <w:tc>
          <w:tcPr>
            <w:tcW w:w="7371" w:type="dxa"/>
            <w:tcBorders>
              <w:top w:val="single" w:sz="4" w:space="0" w:color="A6A6A6"/>
              <w:bottom w:val="single" w:sz="4" w:space="0" w:color="A6A6A6"/>
            </w:tcBorders>
            <w:hideMark/>
          </w:tcPr>
          <w:p w14:paraId="030A7BD1" w14:textId="77777777" w:rsidR="00CE75D4" w:rsidRPr="002029AF" w:rsidRDefault="00CE75D4" w:rsidP="008340C1">
            <w:pPr>
              <w:pStyle w:val="ARfintablebody"/>
            </w:pPr>
            <w:r w:rsidRPr="006B22AE">
              <w:t>Short-term lease expenses</w:t>
            </w:r>
          </w:p>
        </w:tc>
        <w:tc>
          <w:tcPr>
            <w:tcW w:w="1133" w:type="dxa"/>
            <w:tcBorders>
              <w:top w:val="single" w:sz="4" w:space="0" w:color="A6A6A6"/>
              <w:bottom w:val="single" w:sz="4" w:space="0" w:color="A6A6A6"/>
            </w:tcBorders>
            <w:shd w:val="clear" w:color="auto" w:fill="E7E6E6"/>
            <w:noWrap/>
            <w:hideMark/>
          </w:tcPr>
          <w:p w14:paraId="443CA08C" w14:textId="77777777" w:rsidR="00CE75D4" w:rsidRPr="002029AF" w:rsidRDefault="00CE75D4" w:rsidP="008340C1">
            <w:pPr>
              <w:pStyle w:val="ARfintablebodyright"/>
            </w:pPr>
            <w:r w:rsidRPr="006B22AE">
              <w:t>0.1</w:t>
            </w:r>
          </w:p>
        </w:tc>
        <w:tc>
          <w:tcPr>
            <w:tcW w:w="1133" w:type="dxa"/>
            <w:tcBorders>
              <w:top w:val="single" w:sz="4" w:space="0" w:color="A6A6A6"/>
              <w:bottom w:val="single" w:sz="4" w:space="0" w:color="A6A6A6"/>
            </w:tcBorders>
            <w:noWrap/>
            <w:hideMark/>
          </w:tcPr>
          <w:p w14:paraId="64E7E75D" w14:textId="77777777" w:rsidR="00CE75D4" w:rsidRPr="002029AF" w:rsidRDefault="00CE75D4" w:rsidP="008340C1">
            <w:pPr>
              <w:pStyle w:val="ARfintablebodyright"/>
            </w:pPr>
            <w:r w:rsidRPr="006B22AE">
              <w:t>13.4</w:t>
            </w:r>
          </w:p>
        </w:tc>
      </w:tr>
      <w:tr w:rsidR="00CE75D4" w:rsidRPr="002029AF" w14:paraId="003EB3A9" w14:textId="77777777" w:rsidTr="00860E95">
        <w:tc>
          <w:tcPr>
            <w:tcW w:w="7371" w:type="dxa"/>
            <w:tcBorders>
              <w:top w:val="single" w:sz="4" w:space="0" w:color="A6A6A6"/>
              <w:bottom w:val="single" w:sz="4" w:space="0" w:color="A6A6A6"/>
            </w:tcBorders>
            <w:hideMark/>
          </w:tcPr>
          <w:p w14:paraId="36A5AC2D" w14:textId="77777777" w:rsidR="00CE75D4" w:rsidRPr="002029AF" w:rsidRDefault="00CE75D4" w:rsidP="008340C1">
            <w:pPr>
              <w:pStyle w:val="ARfintablebody"/>
            </w:pPr>
            <w:r w:rsidRPr="006B22AE">
              <w:t>Variable lease expenses</w:t>
            </w:r>
          </w:p>
        </w:tc>
        <w:tc>
          <w:tcPr>
            <w:tcW w:w="1133" w:type="dxa"/>
            <w:tcBorders>
              <w:top w:val="single" w:sz="4" w:space="0" w:color="A6A6A6"/>
              <w:bottom w:val="single" w:sz="4" w:space="0" w:color="A6A6A6"/>
            </w:tcBorders>
            <w:shd w:val="clear" w:color="auto" w:fill="E7E6E6"/>
            <w:noWrap/>
            <w:hideMark/>
          </w:tcPr>
          <w:p w14:paraId="0CCB1371" w14:textId="77777777" w:rsidR="00CE75D4" w:rsidRPr="002029AF" w:rsidRDefault="00CE75D4" w:rsidP="008340C1">
            <w:pPr>
              <w:pStyle w:val="ARfintablebodyright"/>
            </w:pPr>
            <w:r w:rsidRPr="006B22AE">
              <w:t>0.4</w:t>
            </w:r>
          </w:p>
        </w:tc>
        <w:tc>
          <w:tcPr>
            <w:tcW w:w="1133" w:type="dxa"/>
            <w:tcBorders>
              <w:top w:val="single" w:sz="4" w:space="0" w:color="A6A6A6"/>
              <w:bottom w:val="single" w:sz="4" w:space="0" w:color="A6A6A6"/>
            </w:tcBorders>
            <w:noWrap/>
            <w:hideMark/>
          </w:tcPr>
          <w:p w14:paraId="65B58867" w14:textId="77777777" w:rsidR="00CE75D4" w:rsidRPr="002029AF" w:rsidRDefault="00CE75D4" w:rsidP="008340C1">
            <w:pPr>
              <w:pStyle w:val="ARfintablebodyright"/>
            </w:pPr>
            <w:r w:rsidRPr="006B22AE">
              <w:t>0.4</w:t>
            </w:r>
          </w:p>
        </w:tc>
      </w:tr>
      <w:tr w:rsidR="00CE75D4" w:rsidRPr="002029AF" w14:paraId="5C56EDD9" w14:textId="77777777" w:rsidTr="00860E95">
        <w:tc>
          <w:tcPr>
            <w:tcW w:w="7371" w:type="dxa"/>
            <w:tcBorders>
              <w:top w:val="single" w:sz="4" w:space="0" w:color="A6A6A6"/>
              <w:bottom w:val="single" w:sz="4" w:space="0" w:color="A6A6A6"/>
            </w:tcBorders>
            <w:hideMark/>
          </w:tcPr>
          <w:p w14:paraId="007EFE84" w14:textId="77777777" w:rsidR="00CE75D4" w:rsidRPr="002029AF" w:rsidRDefault="00CE75D4" w:rsidP="008340C1">
            <w:pPr>
              <w:pStyle w:val="ARfintablebody"/>
            </w:pPr>
            <w:r w:rsidRPr="006B22AE">
              <w:t>Information, communications and technology costs</w:t>
            </w:r>
          </w:p>
        </w:tc>
        <w:tc>
          <w:tcPr>
            <w:tcW w:w="1133" w:type="dxa"/>
            <w:tcBorders>
              <w:top w:val="single" w:sz="4" w:space="0" w:color="A6A6A6"/>
              <w:bottom w:val="single" w:sz="4" w:space="0" w:color="A6A6A6"/>
            </w:tcBorders>
            <w:shd w:val="clear" w:color="auto" w:fill="E7E6E6"/>
            <w:noWrap/>
            <w:hideMark/>
          </w:tcPr>
          <w:p w14:paraId="22F6B033" w14:textId="77777777" w:rsidR="00CE75D4" w:rsidRPr="002029AF" w:rsidRDefault="00CE75D4" w:rsidP="008340C1">
            <w:pPr>
              <w:pStyle w:val="ARfintablebodyright"/>
            </w:pPr>
            <w:r w:rsidRPr="006B22AE">
              <w:t>242.6</w:t>
            </w:r>
          </w:p>
        </w:tc>
        <w:tc>
          <w:tcPr>
            <w:tcW w:w="1133" w:type="dxa"/>
            <w:tcBorders>
              <w:top w:val="single" w:sz="4" w:space="0" w:color="A6A6A6"/>
              <w:bottom w:val="single" w:sz="4" w:space="0" w:color="A6A6A6"/>
            </w:tcBorders>
            <w:noWrap/>
            <w:hideMark/>
          </w:tcPr>
          <w:p w14:paraId="6CD256C0" w14:textId="77777777" w:rsidR="00CE75D4" w:rsidRPr="002029AF" w:rsidRDefault="00CE75D4" w:rsidP="008340C1">
            <w:pPr>
              <w:pStyle w:val="ARfintablebodyright"/>
            </w:pPr>
            <w:r w:rsidRPr="006B22AE">
              <w:t>298.9</w:t>
            </w:r>
          </w:p>
        </w:tc>
      </w:tr>
      <w:tr w:rsidR="00CE75D4" w:rsidRPr="002029AF" w14:paraId="3B1D870C" w14:textId="77777777" w:rsidTr="00860E95">
        <w:tc>
          <w:tcPr>
            <w:tcW w:w="7371" w:type="dxa"/>
            <w:tcBorders>
              <w:top w:val="single" w:sz="4" w:space="0" w:color="A6A6A6"/>
              <w:bottom w:val="single" w:sz="4" w:space="0" w:color="A6A6A6"/>
            </w:tcBorders>
            <w:hideMark/>
          </w:tcPr>
          <w:p w14:paraId="0DEF7F78" w14:textId="77777777" w:rsidR="00CE75D4" w:rsidRPr="002029AF" w:rsidRDefault="00CE75D4" w:rsidP="008340C1">
            <w:pPr>
              <w:pStyle w:val="ARfintablebody"/>
            </w:pPr>
            <w:r w:rsidRPr="006B22AE">
              <w:t>Medicines and drugs / pharmacy supplies</w:t>
            </w:r>
          </w:p>
        </w:tc>
        <w:tc>
          <w:tcPr>
            <w:tcW w:w="1133" w:type="dxa"/>
            <w:tcBorders>
              <w:top w:val="single" w:sz="4" w:space="0" w:color="A6A6A6"/>
              <w:bottom w:val="single" w:sz="4" w:space="0" w:color="A6A6A6"/>
            </w:tcBorders>
            <w:shd w:val="clear" w:color="auto" w:fill="E7E6E6"/>
            <w:noWrap/>
            <w:hideMark/>
          </w:tcPr>
          <w:p w14:paraId="37F9C5B5" w14:textId="77777777" w:rsidR="00CE75D4" w:rsidRPr="002029AF" w:rsidRDefault="00CE75D4" w:rsidP="008340C1">
            <w:pPr>
              <w:pStyle w:val="ARfintablebodyright"/>
            </w:pPr>
            <w:r w:rsidRPr="006B22AE">
              <w:t>8.0</w:t>
            </w:r>
          </w:p>
        </w:tc>
        <w:tc>
          <w:tcPr>
            <w:tcW w:w="1133" w:type="dxa"/>
            <w:tcBorders>
              <w:top w:val="single" w:sz="4" w:space="0" w:color="A6A6A6"/>
              <w:bottom w:val="single" w:sz="4" w:space="0" w:color="A6A6A6"/>
            </w:tcBorders>
            <w:noWrap/>
            <w:hideMark/>
          </w:tcPr>
          <w:p w14:paraId="0422838E" w14:textId="77777777" w:rsidR="00CE75D4" w:rsidRPr="002029AF" w:rsidRDefault="00CE75D4" w:rsidP="008340C1">
            <w:pPr>
              <w:pStyle w:val="ARfintablebodyright"/>
            </w:pPr>
            <w:r w:rsidRPr="006B22AE">
              <w:t>10.2</w:t>
            </w:r>
          </w:p>
        </w:tc>
      </w:tr>
      <w:tr w:rsidR="00CE75D4" w:rsidRPr="002029AF" w14:paraId="44E15285" w14:textId="77777777" w:rsidTr="00860E95">
        <w:tc>
          <w:tcPr>
            <w:tcW w:w="7371" w:type="dxa"/>
            <w:tcBorders>
              <w:top w:val="single" w:sz="4" w:space="0" w:color="A6A6A6"/>
            </w:tcBorders>
            <w:hideMark/>
          </w:tcPr>
          <w:p w14:paraId="76D2B47E" w14:textId="77777777" w:rsidR="00CE75D4" w:rsidRPr="002029AF" w:rsidRDefault="00CE75D4" w:rsidP="008340C1">
            <w:pPr>
              <w:pStyle w:val="ARfintablebody"/>
            </w:pPr>
            <w:r w:rsidRPr="006B22AE">
              <w:t>Direct care operating costs</w:t>
            </w:r>
          </w:p>
        </w:tc>
        <w:tc>
          <w:tcPr>
            <w:tcW w:w="1133" w:type="dxa"/>
            <w:tcBorders>
              <w:top w:val="single" w:sz="4" w:space="0" w:color="A6A6A6"/>
            </w:tcBorders>
            <w:shd w:val="clear" w:color="auto" w:fill="E7E6E6"/>
            <w:noWrap/>
            <w:hideMark/>
          </w:tcPr>
          <w:p w14:paraId="0C633D83" w14:textId="77777777" w:rsidR="00CE75D4" w:rsidRPr="002029AF" w:rsidRDefault="00CE75D4" w:rsidP="008340C1">
            <w:pPr>
              <w:pStyle w:val="ARfintablebodyright"/>
            </w:pPr>
            <w:r w:rsidRPr="006B22AE">
              <w:t>14.0</w:t>
            </w:r>
          </w:p>
        </w:tc>
        <w:tc>
          <w:tcPr>
            <w:tcW w:w="1133" w:type="dxa"/>
            <w:tcBorders>
              <w:top w:val="single" w:sz="4" w:space="0" w:color="A6A6A6"/>
            </w:tcBorders>
            <w:noWrap/>
            <w:hideMark/>
          </w:tcPr>
          <w:p w14:paraId="563B881B" w14:textId="77777777" w:rsidR="00CE75D4" w:rsidRPr="002029AF" w:rsidRDefault="00CE75D4" w:rsidP="008340C1">
            <w:pPr>
              <w:pStyle w:val="ARfintablebodyright"/>
            </w:pPr>
            <w:r w:rsidRPr="006B22AE">
              <w:t>65.5</w:t>
            </w:r>
          </w:p>
        </w:tc>
      </w:tr>
      <w:tr w:rsidR="00CE75D4" w:rsidRPr="002029AF" w14:paraId="49192C48" w14:textId="77777777" w:rsidTr="00860E95">
        <w:tc>
          <w:tcPr>
            <w:tcW w:w="7371" w:type="dxa"/>
            <w:hideMark/>
          </w:tcPr>
          <w:p w14:paraId="13278293" w14:textId="77777777" w:rsidR="00CE75D4" w:rsidRPr="002029AF" w:rsidRDefault="00CE75D4" w:rsidP="008340C1">
            <w:pPr>
              <w:pStyle w:val="ARfintablebodybold"/>
            </w:pPr>
            <w:r w:rsidRPr="006B22AE">
              <w:t>Total other operating expenses</w:t>
            </w:r>
          </w:p>
        </w:tc>
        <w:tc>
          <w:tcPr>
            <w:tcW w:w="1133" w:type="dxa"/>
            <w:shd w:val="clear" w:color="auto" w:fill="E7E6E6"/>
            <w:noWrap/>
            <w:hideMark/>
          </w:tcPr>
          <w:p w14:paraId="6DC8F51A" w14:textId="77777777" w:rsidR="00CE75D4" w:rsidRPr="002029AF" w:rsidRDefault="00CE75D4" w:rsidP="008340C1">
            <w:pPr>
              <w:pStyle w:val="ARfintablebodyrightbold"/>
            </w:pPr>
            <w:r w:rsidRPr="006B22AE">
              <w:t>1,537.1</w:t>
            </w:r>
          </w:p>
        </w:tc>
        <w:tc>
          <w:tcPr>
            <w:tcW w:w="1133" w:type="dxa"/>
            <w:noWrap/>
            <w:hideMark/>
          </w:tcPr>
          <w:p w14:paraId="516FCD05" w14:textId="77777777" w:rsidR="00CE75D4" w:rsidRPr="002029AF" w:rsidRDefault="00CE75D4" w:rsidP="008340C1">
            <w:pPr>
              <w:pStyle w:val="ARfintablebodyrightbold"/>
            </w:pPr>
            <w:r w:rsidRPr="006B22AE">
              <w:t>1,361.5</w:t>
            </w:r>
          </w:p>
        </w:tc>
      </w:tr>
    </w:tbl>
    <w:p w14:paraId="65C49C79" w14:textId="77777777" w:rsidR="00CE75D4" w:rsidRDefault="00CE75D4" w:rsidP="008340C1">
      <w:pPr>
        <w:pStyle w:val="ARfintablefootnote"/>
      </w:pPr>
      <w:bookmarkStart w:id="559" w:name="_Toc39136705"/>
      <w:r>
        <w:rPr>
          <w:lang w:eastAsia="en-AU"/>
        </w:rPr>
        <w:t>Notes:</w:t>
      </w:r>
    </w:p>
    <w:p w14:paraId="42B3B163" w14:textId="6147F11A" w:rsidR="00CE75D4" w:rsidRDefault="00CE75D4" w:rsidP="008340C1">
      <w:pPr>
        <w:pStyle w:val="ARfintablefootnoteindent"/>
      </w:pPr>
      <w:r>
        <w:t>(i)</w:t>
      </w:r>
      <w:r>
        <w:tab/>
        <w:t>Figures relate to office accommodation-related costs.</w:t>
      </w:r>
    </w:p>
    <w:p w14:paraId="02A8FE3B" w14:textId="6FB0D033" w:rsidR="00CE75D4" w:rsidRDefault="00CE75D4" w:rsidP="008340C1">
      <w:pPr>
        <w:pStyle w:val="ARfintablefootnoteindent"/>
      </w:pPr>
      <w:r>
        <w:t>(ii)</w:t>
      </w:r>
      <w:r>
        <w:tab/>
        <w:t xml:space="preserve">Higher administrative costs in 2022 are primarily due to COVID-19 costs to support vaccine immunisation, pathology, </w:t>
      </w:r>
      <w:r>
        <w:br/>
        <w:t xml:space="preserve">drive-through testing sites, </w:t>
      </w:r>
      <w:r w:rsidRPr="00C22DD2">
        <w:t>legal and logistics.</w:t>
      </w:r>
    </w:p>
    <w:p w14:paraId="282DDA0D" w14:textId="77777777" w:rsidR="00CE75D4" w:rsidRDefault="00CE75D4" w:rsidP="008340C1">
      <w:pPr>
        <w:pStyle w:val="ARfinbodyaftertable"/>
      </w:pPr>
      <w:r>
        <w:rPr>
          <w:rStyle w:val="Strong"/>
        </w:rPr>
        <w:t>Other operating expenses</w:t>
      </w:r>
      <w:r>
        <w:t xml:space="preserve"> generally represent the day-to-day running costs incurred in normal operations. They also include bad debts expense from transactions that are mutually agreed.</w:t>
      </w:r>
    </w:p>
    <w:p w14:paraId="0212FC8C" w14:textId="77777777" w:rsidR="00CE75D4" w:rsidRDefault="00CE75D4" w:rsidP="008340C1">
      <w:pPr>
        <w:pStyle w:val="ARfinbody"/>
      </w:pPr>
      <w:r>
        <w:rPr>
          <w:rStyle w:val="Strong"/>
        </w:rPr>
        <w:t>Supplies and services</w:t>
      </w:r>
      <w:r>
        <w:t xml:space="preserve"> are recognised as an expense in the reporting period in which they are incurred.</w:t>
      </w:r>
    </w:p>
    <w:p w14:paraId="2D6F267B" w14:textId="77777777" w:rsidR="00CE75D4" w:rsidRDefault="00CE75D4" w:rsidP="008340C1">
      <w:pPr>
        <w:pStyle w:val="ARfinbody"/>
      </w:pPr>
      <w:r>
        <w:t>The following lease payments are recognised on a straight-line basis:</w:t>
      </w:r>
    </w:p>
    <w:p w14:paraId="1C240931" w14:textId="77777777" w:rsidR="00CE75D4" w:rsidRPr="00E06A3B" w:rsidRDefault="00CE75D4" w:rsidP="00817CFB">
      <w:pPr>
        <w:pStyle w:val="ARfinbullet1"/>
        <w:numPr>
          <w:ilvl w:val="0"/>
          <w:numId w:val="27"/>
        </w:numPr>
        <w:textAlignment w:val="auto"/>
        <w:rPr>
          <w:szCs w:val="18"/>
        </w:rPr>
      </w:pPr>
      <w:r w:rsidRPr="00E06A3B">
        <w:rPr>
          <w:szCs w:val="18"/>
        </w:rPr>
        <w:t>Short-term leases – leases with a term of 12 months or less</w:t>
      </w:r>
    </w:p>
    <w:p w14:paraId="2D815260" w14:textId="77777777" w:rsidR="00CE75D4" w:rsidRPr="00E06A3B" w:rsidRDefault="00CE75D4" w:rsidP="00817CFB">
      <w:pPr>
        <w:pStyle w:val="ARfinbullet1"/>
        <w:numPr>
          <w:ilvl w:val="0"/>
          <w:numId w:val="27"/>
        </w:numPr>
        <w:textAlignment w:val="auto"/>
        <w:rPr>
          <w:szCs w:val="18"/>
        </w:rPr>
      </w:pPr>
      <w:r w:rsidRPr="00E06A3B">
        <w:rPr>
          <w:szCs w:val="18"/>
        </w:rPr>
        <w:t>Low-value leases – leases where the underlying asset’s fair value (when new, regardless of the age of the asset being leased) is no more than $10,000.</w:t>
      </w:r>
    </w:p>
    <w:p w14:paraId="554201D8" w14:textId="77777777" w:rsidR="00CE75D4" w:rsidRDefault="00CE75D4" w:rsidP="008340C1">
      <w:pPr>
        <w:pStyle w:val="ARfinbody"/>
      </w:pPr>
      <w:r>
        <w:t>Variable lease payments that are not included in the measurement of the lease liability (i.e. variable lease payments that do not depend on an index or a rate and which are not in-substance fixed), such as those based on performance or usage of the underlying asset, are recognised in the comprehensive operating statement (except for payments which have been included in the carrying amount of another asset) in the period in which the event or condition that triggers those payments occurs.</w:t>
      </w:r>
    </w:p>
    <w:p w14:paraId="604D948F" w14:textId="77777777" w:rsidR="00CE75D4" w:rsidRPr="00614F04" w:rsidRDefault="00CE75D4" w:rsidP="008340C1">
      <w:pPr>
        <w:pStyle w:val="ARfinbody"/>
      </w:pPr>
      <w:bookmarkStart w:id="560" w:name="_Toc85121393"/>
      <w:bookmarkEnd w:id="559"/>
      <w:r w:rsidRPr="00614F04">
        <w:br w:type="page"/>
      </w:r>
    </w:p>
    <w:p w14:paraId="1B490AAB" w14:textId="77777777" w:rsidR="00CE75D4" w:rsidRPr="002029AF" w:rsidRDefault="00CE75D4" w:rsidP="00087B91">
      <w:pPr>
        <w:pStyle w:val="Heading5"/>
      </w:pPr>
      <w:r>
        <w:t xml:space="preserve">3.1.6 Other </w:t>
      </w:r>
      <w:r>
        <w:rPr>
          <w:lang w:eastAsia="en-AU"/>
        </w:rPr>
        <w:t>property management expenses</w:t>
      </w:r>
      <w:bookmarkEnd w:id="560"/>
    </w:p>
    <w:tbl>
      <w:tblPr>
        <w:tblStyle w:val="TableGrid"/>
        <w:tblW w:w="9637" w:type="dxa"/>
        <w:tblLayout w:type="fixed"/>
        <w:tblLook w:val="06A0" w:firstRow="1" w:lastRow="0" w:firstColumn="1" w:lastColumn="0" w:noHBand="1" w:noVBand="1"/>
      </w:tblPr>
      <w:tblGrid>
        <w:gridCol w:w="7369"/>
        <w:gridCol w:w="1134"/>
        <w:gridCol w:w="1134"/>
      </w:tblGrid>
      <w:tr w:rsidR="00CE75D4" w:rsidRPr="002029AF" w14:paraId="7F8D566A"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5C2AF7FE" w14:textId="77777777" w:rsidR="00CE75D4" w:rsidRPr="002029AF" w:rsidRDefault="00CE75D4" w:rsidP="008340C1">
            <w:pPr>
              <w:pStyle w:val="ARfintablecolhead"/>
            </w:pPr>
          </w:p>
        </w:tc>
        <w:tc>
          <w:tcPr>
            <w:tcW w:w="1134" w:type="dxa"/>
            <w:tcBorders>
              <w:bottom w:val="single" w:sz="4" w:space="0" w:color="auto"/>
            </w:tcBorders>
            <w:shd w:val="clear" w:color="auto" w:fill="E7E6E6"/>
            <w:hideMark/>
          </w:tcPr>
          <w:p w14:paraId="7778BC1D" w14:textId="77777777" w:rsidR="00CE75D4" w:rsidRPr="002029AF" w:rsidRDefault="00CE75D4" w:rsidP="008340C1">
            <w:pPr>
              <w:pStyle w:val="ARfintablecolheadright"/>
            </w:pPr>
            <w:r w:rsidRPr="002029AF">
              <w:t>202</w:t>
            </w:r>
            <w:r>
              <w:t>2</w:t>
            </w:r>
          </w:p>
          <w:p w14:paraId="6DD59380" w14:textId="77777777" w:rsidR="00CE75D4" w:rsidRPr="002029AF" w:rsidRDefault="00CE75D4" w:rsidP="008340C1">
            <w:pPr>
              <w:pStyle w:val="ARfintablecolheadright"/>
            </w:pPr>
            <w:r w:rsidRPr="002029AF">
              <w:t>$M</w:t>
            </w:r>
          </w:p>
        </w:tc>
        <w:tc>
          <w:tcPr>
            <w:tcW w:w="1134" w:type="dxa"/>
            <w:tcBorders>
              <w:bottom w:val="single" w:sz="4" w:space="0" w:color="auto"/>
            </w:tcBorders>
            <w:hideMark/>
          </w:tcPr>
          <w:p w14:paraId="35889627" w14:textId="77777777" w:rsidR="00CE75D4" w:rsidRPr="002029AF" w:rsidRDefault="00CE75D4" w:rsidP="008340C1">
            <w:pPr>
              <w:pStyle w:val="ARfintablecolheadright"/>
            </w:pPr>
            <w:r>
              <w:t>2021</w:t>
            </w:r>
          </w:p>
          <w:p w14:paraId="53F52B5C" w14:textId="77777777" w:rsidR="00CE75D4" w:rsidRPr="002029AF" w:rsidRDefault="00CE75D4" w:rsidP="008340C1">
            <w:pPr>
              <w:pStyle w:val="ARfintablecolheadright"/>
            </w:pPr>
            <w:r w:rsidRPr="002029AF">
              <w:t>$M</w:t>
            </w:r>
          </w:p>
        </w:tc>
      </w:tr>
      <w:tr w:rsidR="00CE75D4" w:rsidRPr="002029AF" w14:paraId="2F7BF46B" w14:textId="77777777" w:rsidTr="00130D1C">
        <w:trPr>
          <w:trHeight w:val="255"/>
        </w:trPr>
        <w:tc>
          <w:tcPr>
            <w:tcW w:w="7369" w:type="dxa"/>
            <w:tcBorders>
              <w:top w:val="single" w:sz="4" w:space="0" w:color="auto"/>
              <w:bottom w:val="single" w:sz="4" w:space="0" w:color="A6A6A6"/>
            </w:tcBorders>
            <w:hideMark/>
          </w:tcPr>
          <w:p w14:paraId="6C391338" w14:textId="77777777" w:rsidR="00CE75D4" w:rsidRPr="002029AF" w:rsidRDefault="00CE75D4" w:rsidP="008340C1">
            <w:pPr>
              <w:pStyle w:val="ARfintablebody"/>
            </w:pPr>
            <w:r w:rsidRPr="00B53494">
              <w:t>Rates to local authorities</w:t>
            </w:r>
          </w:p>
        </w:tc>
        <w:tc>
          <w:tcPr>
            <w:tcW w:w="1134" w:type="dxa"/>
            <w:tcBorders>
              <w:top w:val="single" w:sz="4" w:space="0" w:color="auto"/>
              <w:bottom w:val="single" w:sz="4" w:space="0" w:color="A6A6A6"/>
            </w:tcBorders>
            <w:shd w:val="clear" w:color="auto" w:fill="E7E6E6"/>
            <w:noWrap/>
            <w:hideMark/>
          </w:tcPr>
          <w:p w14:paraId="64A34F24" w14:textId="77777777" w:rsidR="00CE75D4" w:rsidRPr="002029AF" w:rsidRDefault="00CE75D4" w:rsidP="008340C1">
            <w:pPr>
              <w:pStyle w:val="ARfintablebodyright"/>
            </w:pPr>
            <w:r>
              <w:t>–</w:t>
            </w:r>
          </w:p>
        </w:tc>
        <w:tc>
          <w:tcPr>
            <w:tcW w:w="1134" w:type="dxa"/>
            <w:tcBorders>
              <w:top w:val="single" w:sz="4" w:space="0" w:color="auto"/>
              <w:bottom w:val="single" w:sz="4" w:space="0" w:color="A6A6A6"/>
            </w:tcBorders>
            <w:noWrap/>
            <w:hideMark/>
          </w:tcPr>
          <w:p w14:paraId="68200565" w14:textId="77777777" w:rsidR="00CE75D4" w:rsidRPr="002029AF" w:rsidRDefault="00CE75D4" w:rsidP="008340C1">
            <w:pPr>
              <w:pStyle w:val="ARfintablebodyright"/>
            </w:pPr>
            <w:r w:rsidRPr="00B53494">
              <w:t>116.1</w:t>
            </w:r>
          </w:p>
        </w:tc>
      </w:tr>
      <w:tr w:rsidR="00CE75D4" w:rsidRPr="002029AF" w14:paraId="592D733D" w14:textId="77777777" w:rsidTr="00130D1C">
        <w:trPr>
          <w:trHeight w:val="255"/>
        </w:trPr>
        <w:tc>
          <w:tcPr>
            <w:tcW w:w="7369" w:type="dxa"/>
            <w:tcBorders>
              <w:top w:val="single" w:sz="4" w:space="0" w:color="A6A6A6"/>
            </w:tcBorders>
            <w:hideMark/>
          </w:tcPr>
          <w:p w14:paraId="415C88F5" w14:textId="77777777" w:rsidR="00CE75D4" w:rsidRPr="002029AF" w:rsidRDefault="00CE75D4" w:rsidP="008340C1">
            <w:pPr>
              <w:pStyle w:val="ARfintablebody"/>
            </w:pPr>
            <w:r w:rsidRPr="00B53494">
              <w:t>Tenant utilities and other expenses</w:t>
            </w:r>
          </w:p>
        </w:tc>
        <w:tc>
          <w:tcPr>
            <w:tcW w:w="1134" w:type="dxa"/>
            <w:tcBorders>
              <w:top w:val="single" w:sz="4" w:space="0" w:color="A6A6A6"/>
            </w:tcBorders>
            <w:shd w:val="clear" w:color="auto" w:fill="E7E6E6"/>
            <w:noWrap/>
            <w:hideMark/>
          </w:tcPr>
          <w:p w14:paraId="15FF01EA" w14:textId="77777777" w:rsidR="00CE75D4" w:rsidRPr="002029AF" w:rsidRDefault="00CE75D4" w:rsidP="008340C1">
            <w:pPr>
              <w:pStyle w:val="ARfintablebodyright"/>
            </w:pPr>
            <w:r>
              <w:t>–</w:t>
            </w:r>
          </w:p>
        </w:tc>
        <w:tc>
          <w:tcPr>
            <w:tcW w:w="1134" w:type="dxa"/>
            <w:tcBorders>
              <w:top w:val="single" w:sz="4" w:space="0" w:color="A6A6A6"/>
            </w:tcBorders>
            <w:noWrap/>
            <w:hideMark/>
          </w:tcPr>
          <w:p w14:paraId="72F9187D" w14:textId="77777777" w:rsidR="00CE75D4" w:rsidRPr="002029AF" w:rsidRDefault="00CE75D4" w:rsidP="008340C1">
            <w:pPr>
              <w:pStyle w:val="ARfintablebodyright"/>
            </w:pPr>
            <w:r w:rsidRPr="00B53494">
              <w:t>158.5</w:t>
            </w:r>
          </w:p>
        </w:tc>
      </w:tr>
      <w:tr w:rsidR="00CE75D4" w:rsidRPr="002029AF" w14:paraId="10EFA808" w14:textId="77777777" w:rsidTr="00130D1C">
        <w:trPr>
          <w:trHeight w:val="255"/>
        </w:trPr>
        <w:tc>
          <w:tcPr>
            <w:tcW w:w="7369" w:type="dxa"/>
            <w:hideMark/>
          </w:tcPr>
          <w:p w14:paraId="3FAAC05B" w14:textId="77777777" w:rsidR="00CE75D4" w:rsidRPr="002029AF" w:rsidRDefault="00CE75D4" w:rsidP="008340C1">
            <w:pPr>
              <w:pStyle w:val="ARfintablebodybold"/>
            </w:pPr>
            <w:r w:rsidRPr="00B53494">
              <w:t>Total other property management expenses</w:t>
            </w:r>
          </w:p>
        </w:tc>
        <w:tc>
          <w:tcPr>
            <w:tcW w:w="1134" w:type="dxa"/>
            <w:shd w:val="clear" w:color="auto" w:fill="E7E6E6"/>
            <w:noWrap/>
            <w:hideMark/>
          </w:tcPr>
          <w:p w14:paraId="14A22AB1" w14:textId="77777777" w:rsidR="00CE75D4" w:rsidRPr="002029AF" w:rsidRDefault="00CE75D4" w:rsidP="008340C1">
            <w:pPr>
              <w:pStyle w:val="ARfintablebodyrightbold"/>
            </w:pPr>
            <w:r>
              <w:t>–</w:t>
            </w:r>
          </w:p>
        </w:tc>
        <w:tc>
          <w:tcPr>
            <w:tcW w:w="1134" w:type="dxa"/>
            <w:noWrap/>
            <w:hideMark/>
          </w:tcPr>
          <w:p w14:paraId="2C4C94A7" w14:textId="77777777" w:rsidR="00CE75D4" w:rsidRPr="002029AF" w:rsidRDefault="00CE75D4" w:rsidP="008340C1">
            <w:pPr>
              <w:pStyle w:val="ARfintablebodyrightbold"/>
            </w:pPr>
            <w:r w:rsidRPr="00B53494">
              <w:t>274.6</w:t>
            </w:r>
          </w:p>
        </w:tc>
      </w:tr>
    </w:tbl>
    <w:p w14:paraId="550DFAD2" w14:textId="77777777" w:rsidR="00CE75D4" w:rsidRDefault="00CE75D4" w:rsidP="008340C1">
      <w:pPr>
        <w:pStyle w:val="ARfinbodyaftertable"/>
      </w:pPr>
      <w:bookmarkStart w:id="561" w:name="_Toc443469546"/>
      <w:bookmarkStart w:id="562" w:name="_Toc444065801"/>
      <w:bookmarkStart w:id="563" w:name="_Toc444079997"/>
      <w:r>
        <w:rPr>
          <w:rStyle w:val="Strong"/>
        </w:rPr>
        <w:t>Other property management expenses</w:t>
      </w:r>
      <w:r>
        <w:t xml:space="preserve"> generally include all costs and incidental expenses associated with the management of Director of Housing properties.</w:t>
      </w:r>
    </w:p>
    <w:p w14:paraId="145C21CF" w14:textId="539D46D9" w:rsidR="00CE75D4" w:rsidRDefault="00CE75D4" w:rsidP="008340C1">
      <w:pPr>
        <w:pStyle w:val="ARfinbody"/>
      </w:pPr>
      <w:r>
        <w:t xml:space="preserve">Director of Housing was transferred to </w:t>
      </w:r>
      <w:r w:rsidR="00321FE3">
        <w:t xml:space="preserve">the </w:t>
      </w:r>
      <w:r>
        <w:t>DFFH as part of the machinery of government changes effective 1 February 2021. Its numbers were included in the department’s 2020–21 financial statements under s. 53(1)(b) of the FMA.</w:t>
      </w:r>
    </w:p>
    <w:p w14:paraId="2D89BBAC" w14:textId="77777777" w:rsidR="00CE75D4" w:rsidRPr="0040433B" w:rsidRDefault="00CE75D4" w:rsidP="00087B91">
      <w:pPr>
        <w:pStyle w:val="ARfinbody"/>
      </w:pPr>
      <w:r w:rsidRPr="0040433B">
        <w:br w:type="page"/>
      </w:r>
    </w:p>
    <w:p w14:paraId="17F1752D" w14:textId="77777777" w:rsidR="00CE75D4" w:rsidRDefault="00CE75D4" w:rsidP="008340C1">
      <w:pPr>
        <w:pStyle w:val="Heading3"/>
      </w:pPr>
      <w:bookmarkStart w:id="564" w:name="_Toc113702962"/>
      <w:bookmarkStart w:id="565" w:name="_Ref338146507"/>
      <w:bookmarkEnd w:id="538"/>
      <w:bookmarkEnd w:id="539"/>
      <w:bookmarkEnd w:id="540"/>
      <w:bookmarkEnd w:id="561"/>
      <w:bookmarkEnd w:id="562"/>
      <w:bookmarkEnd w:id="563"/>
      <w:r>
        <w:t>4. Disaggregated financial information by output</w:t>
      </w:r>
      <w:bookmarkEnd w:id="564"/>
    </w:p>
    <w:p w14:paraId="252901F6" w14:textId="77777777" w:rsidR="00CE75D4" w:rsidRDefault="00CE75D4" w:rsidP="008340C1">
      <w:pPr>
        <w:pStyle w:val="Heading4"/>
        <w:rPr>
          <w:lang w:eastAsia="en-AU"/>
        </w:rPr>
      </w:pPr>
      <w:r>
        <w:rPr>
          <w:lang w:eastAsia="en-AU"/>
        </w:rPr>
        <w:t>Introduction</w:t>
      </w:r>
    </w:p>
    <w:p w14:paraId="313D0034" w14:textId="77777777" w:rsidR="00CE75D4" w:rsidRDefault="00CE75D4" w:rsidP="008340C1">
      <w:pPr>
        <w:pStyle w:val="ARfinbody"/>
      </w:pPr>
      <w:r>
        <w:t>The department is predominantly funded by accrual-based parliamentary appropriations for the provision of outputs. This section provides a description of the departmental outputs delivered during the year along with the objectives of those outputs.</w:t>
      </w:r>
    </w:p>
    <w:p w14:paraId="0C3D8976" w14:textId="77777777" w:rsidR="00CE75D4" w:rsidRDefault="00CE75D4" w:rsidP="008340C1">
      <w:pPr>
        <w:pStyle w:val="ARfinbody"/>
      </w:pPr>
      <w:r>
        <w:t>This section disaggregates revenue and expenses that enable the delivery of services (described in section 2 ‘Funding delivery of our services’) by output and records the allocation of expenses incurred (described in section 3 ‘The cost of delivering services’) also by output, which form part of controlled balances of the department.</w:t>
      </w:r>
    </w:p>
    <w:p w14:paraId="2FCF1AAE" w14:textId="77777777" w:rsidR="00CE75D4" w:rsidRDefault="00CE75D4" w:rsidP="008340C1">
      <w:pPr>
        <w:pStyle w:val="ARfinbody"/>
      </w:pPr>
      <w:r>
        <w:t>It also provides information on items administered in connection with these outputs.</w:t>
      </w:r>
    </w:p>
    <w:p w14:paraId="373F627F" w14:textId="77777777" w:rsidR="00CE75D4" w:rsidRDefault="00CE75D4" w:rsidP="008340C1">
      <w:pPr>
        <w:pStyle w:val="ARfinbody"/>
      </w:pPr>
      <w:r>
        <w:t>Judgement is required in allocating income and expenditure to specific outputs. For the period under review there were no amounts unallocated.</w:t>
      </w:r>
    </w:p>
    <w:p w14:paraId="15B28173" w14:textId="77777777" w:rsidR="00CE75D4" w:rsidRDefault="00CE75D4" w:rsidP="008340C1">
      <w:pPr>
        <w:pStyle w:val="ARfinbody"/>
      </w:pPr>
      <w:r>
        <w:t xml:space="preserve">The distinction between controlled and administered items is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 </w:t>
      </w:r>
      <w:r w:rsidRPr="00A90C73">
        <w:t>The department has classified transactions and balances of the Victorian State Pool Account in the National Health Funding Pool as administered items because the department transacts these items on behalf of the state under the National Health Reform Agreement between the Commonwealth and the state.</w:t>
      </w:r>
    </w:p>
    <w:p w14:paraId="7C1CCE0C" w14:textId="77777777" w:rsidR="00CE75D4" w:rsidRDefault="00CE75D4" w:rsidP="008340C1">
      <w:pPr>
        <w:pStyle w:val="Heading4"/>
        <w:rPr>
          <w:lang w:eastAsia="en-AU"/>
        </w:rPr>
      </w:pPr>
      <w:r>
        <w:rPr>
          <w:lang w:eastAsia="en-AU"/>
        </w:rPr>
        <w:t>Structure</w:t>
      </w:r>
    </w:p>
    <w:p w14:paraId="7819A82E" w14:textId="77777777" w:rsidR="00CE75D4" w:rsidRDefault="00CE75D4" w:rsidP="008340C1">
      <w:pPr>
        <w:pStyle w:val="ARfinstructure1"/>
      </w:pPr>
      <w:r>
        <w:t>4.1</w:t>
      </w:r>
      <w:r>
        <w:tab/>
        <w:t>Departmental outputs</w:t>
      </w:r>
    </w:p>
    <w:p w14:paraId="0B55D64A" w14:textId="77777777" w:rsidR="00CE75D4" w:rsidRDefault="00CE75D4" w:rsidP="008340C1">
      <w:pPr>
        <w:pStyle w:val="ARfinstructure2"/>
      </w:pPr>
      <w:r>
        <w:t>4.1.1</w:t>
      </w:r>
      <w:r>
        <w:tab/>
        <w:t>Departmental outputs – Descriptions and objectives</w:t>
      </w:r>
    </w:p>
    <w:p w14:paraId="770A85CF" w14:textId="77777777" w:rsidR="00CE75D4" w:rsidRDefault="00CE75D4" w:rsidP="008340C1">
      <w:pPr>
        <w:pStyle w:val="ARfinstructure2"/>
      </w:pPr>
      <w:r>
        <w:t>4.1.2</w:t>
      </w:r>
      <w:r>
        <w:tab/>
        <w:t>Departmental outputs – Controlled income and expenses</w:t>
      </w:r>
    </w:p>
    <w:p w14:paraId="69BC477D" w14:textId="77777777" w:rsidR="00CE75D4" w:rsidRDefault="00CE75D4" w:rsidP="008340C1">
      <w:pPr>
        <w:pStyle w:val="ARfinstructure2"/>
      </w:pPr>
      <w:r>
        <w:t>4.1.3</w:t>
      </w:r>
      <w:r>
        <w:tab/>
        <w:t>Departmental outputs – Controlled assets and liabilities</w:t>
      </w:r>
    </w:p>
    <w:p w14:paraId="770F78D3" w14:textId="77777777" w:rsidR="00CE75D4" w:rsidRDefault="00CE75D4" w:rsidP="008340C1">
      <w:pPr>
        <w:pStyle w:val="ARfinstructure1"/>
      </w:pPr>
      <w:r>
        <w:t>4.2</w:t>
      </w:r>
      <w:r>
        <w:tab/>
        <w:t>Administered items</w:t>
      </w:r>
    </w:p>
    <w:p w14:paraId="279B1E81" w14:textId="77777777" w:rsidR="00CE75D4" w:rsidRDefault="00CE75D4" w:rsidP="008340C1">
      <w:pPr>
        <w:pStyle w:val="ARfinstructure2"/>
      </w:pPr>
      <w:r>
        <w:t>4.2.1</w:t>
      </w:r>
      <w:r>
        <w:tab/>
        <w:t>Administered income and expenses</w:t>
      </w:r>
    </w:p>
    <w:p w14:paraId="04EE0B44" w14:textId="77777777" w:rsidR="00CE75D4" w:rsidRDefault="00CE75D4" w:rsidP="008340C1">
      <w:pPr>
        <w:pStyle w:val="ARfinstructure2"/>
      </w:pPr>
      <w:r>
        <w:t>4.2.2</w:t>
      </w:r>
      <w:r>
        <w:tab/>
        <w:t>Administered assets and liabilities</w:t>
      </w:r>
    </w:p>
    <w:p w14:paraId="3B32DF5C" w14:textId="77777777" w:rsidR="00CE75D4" w:rsidRDefault="00CE75D4" w:rsidP="008340C1">
      <w:pPr>
        <w:pStyle w:val="ARfinstructure2"/>
      </w:pPr>
      <w:r>
        <w:t>4.2.3</w:t>
      </w:r>
      <w:r>
        <w:tab/>
        <w:t>Administered grants and other expense transfers</w:t>
      </w:r>
    </w:p>
    <w:p w14:paraId="29AF93FB" w14:textId="77777777" w:rsidR="00CE75D4" w:rsidRDefault="00CE75D4" w:rsidP="008340C1">
      <w:pPr>
        <w:pStyle w:val="ARfinstructure1"/>
        <w:rPr>
          <w:b/>
          <w:bCs/>
        </w:rPr>
      </w:pPr>
      <w:r>
        <w:t>4.3</w:t>
      </w:r>
      <w:r>
        <w:tab/>
        <w:t>Restructuring of administrative arrangements</w:t>
      </w:r>
    </w:p>
    <w:p w14:paraId="4FCCC991" w14:textId="77777777" w:rsidR="00CE75D4" w:rsidRDefault="00CE75D4" w:rsidP="008340C1">
      <w:pPr>
        <w:pStyle w:val="Heading4"/>
      </w:pPr>
      <w:r>
        <w:rPr>
          <w:lang w:eastAsia="en-AU"/>
        </w:rPr>
        <w:t>4.1 Departmental outputs</w:t>
      </w:r>
    </w:p>
    <w:p w14:paraId="7E5DA127" w14:textId="77777777" w:rsidR="00CE75D4" w:rsidRDefault="00CE75D4" w:rsidP="008340C1">
      <w:pPr>
        <w:pStyle w:val="Heading5"/>
        <w:spacing w:before="160"/>
      </w:pPr>
      <w:r>
        <w:rPr>
          <w:lang w:eastAsia="en-AU"/>
        </w:rPr>
        <w:t>4.1.1(a) Departmental outputs – Descriptions and objectives</w:t>
      </w:r>
    </w:p>
    <w:p w14:paraId="68FC616E" w14:textId="77777777" w:rsidR="00CE75D4" w:rsidRDefault="00CE75D4" w:rsidP="008340C1">
      <w:pPr>
        <w:pStyle w:val="Heading6"/>
        <w:spacing w:before="160"/>
      </w:pPr>
      <w:r>
        <w:rPr>
          <w:lang w:eastAsia="en-AU"/>
        </w:rPr>
        <w:t>Department of Health output (applicable from 2021–22)</w:t>
      </w:r>
    </w:p>
    <w:p w14:paraId="3532BA5D" w14:textId="77777777" w:rsidR="00CE75D4" w:rsidRDefault="00CE75D4" w:rsidP="008340C1">
      <w:pPr>
        <w:pStyle w:val="ARfinbody"/>
      </w:pPr>
      <w:r>
        <w:t xml:space="preserve">Output groups in 2021 have been disaggregated into individual outputs in 2022 to better align with the standard output practice across government. Further details on the objectives of each output can be found in the </w:t>
      </w:r>
      <w:r w:rsidRPr="000C598D">
        <w:rPr>
          <w:rStyle w:val="Emphasis"/>
        </w:rPr>
        <w:t>2021–22 State Budget Paper No. 3 – Service Delivery</w:t>
      </w:r>
      <w:r>
        <w:t>.</w:t>
      </w:r>
    </w:p>
    <w:p w14:paraId="76244FDC" w14:textId="77777777" w:rsidR="00CE75D4" w:rsidRDefault="00CE75D4" w:rsidP="008340C1">
      <w:pPr>
        <w:pStyle w:val="Heading7"/>
      </w:pPr>
      <w:r>
        <w:t>Output 1: Admitted Services</w:t>
      </w:r>
    </w:p>
    <w:p w14:paraId="6A188F19" w14:textId="77777777" w:rsidR="00CE75D4" w:rsidRDefault="00CE75D4" w:rsidP="008340C1">
      <w:pPr>
        <w:pStyle w:val="ARfinbody"/>
      </w:pPr>
      <w:r>
        <w:t>Acute and sub-acute patient services (elective and non-elective) provided at Victorian metropolitan and rural public hospitals.</w:t>
      </w:r>
    </w:p>
    <w:p w14:paraId="4B36ACBD" w14:textId="77777777" w:rsidR="00CE75D4" w:rsidRDefault="00CE75D4" w:rsidP="008340C1">
      <w:pPr>
        <w:pStyle w:val="Heading7"/>
      </w:pPr>
      <w:r>
        <w:t>Output 2: Non-Admitted Services</w:t>
      </w:r>
    </w:p>
    <w:p w14:paraId="0B8DB5C4" w14:textId="77777777" w:rsidR="00CE75D4" w:rsidRDefault="00CE75D4" w:rsidP="008340C1">
      <w:pPr>
        <w:pStyle w:val="ARfinbody"/>
      </w:pPr>
      <w:r>
        <w:t>Non-Admitted sub-acute services improve consumer access to services closer to home by providing models of integrated community care, which significantly reduces the demand for hospital beds and supports the transition from hospital to home in a safe and timely manner. The services improve health outcomes, particularly for older people and people with complex care needs.</w:t>
      </w:r>
    </w:p>
    <w:p w14:paraId="5682D148" w14:textId="77777777" w:rsidR="00CE75D4" w:rsidRDefault="00CE75D4" w:rsidP="008340C1">
      <w:pPr>
        <w:pStyle w:val="Heading7"/>
      </w:pPr>
      <w:r>
        <w:t>Output 3: Emergency Services</w:t>
      </w:r>
    </w:p>
    <w:p w14:paraId="73A39005" w14:textId="77777777" w:rsidR="00CE75D4" w:rsidRDefault="00CE75D4" w:rsidP="008340C1">
      <w:pPr>
        <w:pStyle w:val="ARfinbody"/>
      </w:pPr>
      <w:r>
        <w:t>This output relates to emergency presentations at reporting hospitals with emergency departments. It aims to provide high-quality, accessible health and community services, specifically in improving waiting times for emergency services.</w:t>
      </w:r>
    </w:p>
    <w:p w14:paraId="64D8F9FD" w14:textId="77777777" w:rsidR="00CE75D4" w:rsidRDefault="00CE75D4" w:rsidP="008340C1">
      <w:pPr>
        <w:pStyle w:val="Heading7"/>
      </w:pPr>
      <w:r>
        <w:t>Output 4: Acute Training and Development</w:t>
      </w:r>
    </w:p>
    <w:p w14:paraId="72FB4795" w14:textId="77777777" w:rsidR="00CE75D4" w:rsidRDefault="00CE75D4" w:rsidP="008340C1">
      <w:pPr>
        <w:pStyle w:val="ARfinbody"/>
      </w:pPr>
      <w:r>
        <w:t>Provision of grants to hospitals for the training and accreditation of health workers. These outputs aim to provide career opportunities and contribute towards a stable and accredited workforce in the health sector in Victoria.</w:t>
      </w:r>
    </w:p>
    <w:p w14:paraId="2CF615D1" w14:textId="77777777" w:rsidR="00CE75D4" w:rsidRDefault="00CE75D4" w:rsidP="008340C1">
      <w:pPr>
        <w:pStyle w:val="Heading7"/>
      </w:pPr>
      <w:r>
        <w:t>Output 5: Residential Aged Care</w:t>
      </w:r>
    </w:p>
    <w:p w14:paraId="77AFC1F9" w14:textId="77777777" w:rsidR="00CE75D4" w:rsidRDefault="00CE75D4" w:rsidP="008340C1">
      <w:pPr>
        <w:pStyle w:val="ARfinbody"/>
      </w:pPr>
      <w:r>
        <w:t>This output includes delivery of services for older Victorians requiring ongoing care and support in a residential aged care setting.</w:t>
      </w:r>
    </w:p>
    <w:p w14:paraId="2CB15F80" w14:textId="77777777" w:rsidR="00CE75D4" w:rsidRDefault="00CE75D4" w:rsidP="008340C1">
      <w:pPr>
        <w:pStyle w:val="Heading7"/>
      </w:pPr>
      <w:r>
        <w:t>Output 6: Aged Care Assessment</w:t>
      </w:r>
    </w:p>
    <w:p w14:paraId="2BA97683" w14:textId="77777777" w:rsidR="00CE75D4" w:rsidRDefault="00CE75D4" w:rsidP="008340C1">
      <w:pPr>
        <w:pStyle w:val="ARfinbody"/>
      </w:pPr>
      <w:r>
        <w:t>This output includes delivery of comprehensive assessment of older Victorians’ requirements for treatment and residential aged care services.</w:t>
      </w:r>
    </w:p>
    <w:p w14:paraId="1F343E3B" w14:textId="77777777" w:rsidR="00CE75D4" w:rsidRDefault="00CE75D4" w:rsidP="008340C1">
      <w:pPr>
        <w:pStyle w:val="Heading7"/>
      </w:pPr>
      <w:r>
        <w:t>Output 7: Aged Support Services</w:t>
      </w:r>
    </w:p>
    <w:p w14:paraId="32443194" w14:textId="77777777" w:rsidR="00CE75D4" w:rsidRDefault="00CE75D4" w:rsidP="008340C1">
      <w:pPr>
        <w:pStyle w:val="ARfinbody"/>
      </w:pPr>
      <w:r>
        <w:t>This output includes delivery of a range of community services that support older Victorians, such as eye care services, Personal Alert Victoria services, and pension-level Supported Residential Services.</w:t>
      </w:r>
    </w:p>
    <w:p w14:paraId="7D2ED3ED" w14:textId="77777777" w:rsidR="00CE75D4" w:rsidRDefault="00CE75D4" w:rsidP="008340C1">
      <w:pPr>
        <w:pStyle w:val="Heading7"/>
      </w:pPr>
      <w:r>
        <w:t>Output 8: Home and Community Care Program for Younger People</w:t>
      </w:r>
    </w:p>
    <w:p w14:paraId="08853126" w14:textId="77777777" w:rsidR="00CE75D4" w:rsidRDefault="00CE75D4" w:rsidP="008340C1">
      <w:pPr>
        <w:pStyle w:val="ARfinbody"/>
      </w:pPr>
      <w:r>
        <w:t>This output includes delivery of a range of community-based nursing, allied health and support services enabling younger people to maintain their independence in the community. This includes Home and Community Care program for Younger People services.</w:t>
      </w:r>
    </w:p>
    <w:p w14:paraId="78BB30A1" w14:textId="77777777" w:rsidR="00CE75D4" w:rsidRDefault="00CE75D4" w:rsidP="008340C1">
      <w:pPr>
        <w:pStyle w:val="Heading7"/>
      </w:pPr>
      <w:r>
        <w:t>Output 9: Ambulance Emergency Services</w:t>
      </w:r>
    </w:p>
    <w:p w14:paraId="404588AC" w14:textId="77777777" w:rsidR="00CE75D4" w:rsidRDefault="00CE75D4" w:rsidP="008340C1">
      <w:pPr>
        <w:pStyle w:val="ARfinbody"/>
      </w:pPr>
      <w:r>
        <w:t>Emergency road, rotary and fixed air wing patient treatment and transport services provide timely and high-quality emergency ambulance services. Timely and high-quality emergency ambulance services contribute to high-quality, accessible health and community services for all Victorians.</w:t>
      </w:r>
    </w:p>
    <w:p w14:paraId="469915CF" w14:textId="77777777" w:rsidR="00CE75D4" w:rsidRDefault="00CE75D4" w:rsidP="008340C1">
      <w:pPr>
        <w:pStyle w:val="Heading7"/>
      </w:pPr>
      <w:r>
        <w:t>Output 10: Ambulance Non-Emergency Services</w:t>
      </w:r>
    </w:p>
    <w:p w14:paraId="79E6928B" w14:textId="77777777" w:rsidR="00CE75D4" w:rsidRDefault="00CE75D4" w:rsidP="008340C1">
      <w:pPr>
        <w:pStyle w:val="ARfinbody"/>
      </w:pPr>
      <w:r>
        <w:t xml:space="preserve">Non-emergency road, rotary and fixed air wing patient treatment and transport services provide access to timely, </w:t>
      </w:r>
      <w:r>
        <w:br/>
        <w:t xml:space="preserve">high-quality non-emergency ambulance services. High-quality non-emergency ambulance services contribute to </w:t>
      </w:r>
      <w:r>
        <w:br/>
        <w:t>high-quality, accessible health and community services for all Victorians. The output supports departmental priorities through provision of patient transport officers to service non-emergency, pre- and post-hospital patients.</w:t>
      </w:r>
    </w:p>
    <w:p w14:paraId="1D90D15D" w14:textId="77777777" w:rsidR="00CE75D4" w:rsidRDefault="00CE75D4" w:rsidP="008340C1">
      <w:pPr>
        <w:pStyle w:val="Heading7"/>
      </w:pPr>
      <w:r>
        <w:t>Output 11: Drug Prevention and Control</w:t>
      </w:r>
    </w:p>
    <w:p w14:paraId="57BCA1CB" w14:textId="77777777" w:rsidR="00CE75D4" w:rsidRDefault="00CE75D4" w:rsidP="008340C1">
      <w:pPr>
        <w:pStyle w:val="ARfinbody"/>
      </w:pPr>
      <w:r>
        <w:t>Encourages all Victorians to minimise the harmful effects of alcohol and other drugs by providing a comprehensive range of strategies which focus on enhanced community and professional education, targeted prevention and early intervention programs, community and residential treatment services, and the use of effective regulation.</w:t>
      </w:r>
    </w:p>
    <w:p w14:paraId="7A97CDBF" w14:textId="77777777" w:rsidR="00CE75D4" w:rsidRDefault="00CE75D4" w:rsidP="008340C1">
      <w:pPr>
        <w:pStyle w:val="Heading7"/>
      </w:pPr>
      <w:r>
        <w:t>Output 12: Drug Treatment and Rehabilitation</w:t>
      </w:r>
    </w:p>
    <w:p w14:paraId="2CBD12E5" w14:textId="77777777" w:rsidR="00CE75D4" w:rsidRDefault="00CE75D4" w:rsidP="008340C1">
      <w:pPr>
        <w:pStyle w:val="ARfinbody"/>
      </w:pPr>
      <w:r>
        <w:t>Assists the community and individuals to control and reduce the harmful effects of illicit and licit drugs, including alcohol, in Victoria through the provision of community-based non-residential and residential treatment services, education and training, and support services.</w:t>
      </w:r>
    </w:p>
    <w:p w14:paraId="6C8AB46E" w14:textId="77777777" w:rsidR="00CE75D4" w:rsidRDefault="00CE75D4" w:rsidP="008340C1">
      <w:pPr>
        <w:pStyle w:val="Heading7"/>
      </w:pPr>
      <w:r>
        <w:t>Output 13: Mental Health Clinical Care</w:t>
      </w:r>
    </w:p>
    <w:p w14:paraId="2038C69D" w14:textId="77777777" w:rsidR="00CE75D4" w:rsidRDefault="00CE75D4" w:rsidP="008340C1">
      <w:pPr>
        <w:pStyle w:val="ARfinbody"/>
      </w:pPr>
      <w:r>
        <w:t>This output provides a range of inpatient residential and community-based clinical services to people with mental illness and their families, so that those experiencing mental health problems can access timely, high-quality care and support to recover and live successfully in the community.</w:t>
      </w:r>
    </w:p>
    <w:p w14:paraId="3D284908" w14:textId="77777777" w:rsidR="00CE75D4" w:rsidRDefault="00CE75D4" w:rsidP="008340C1">
      <w:pPr>
        <w:pStyle w:val="Heading7"/>
      </w:pPr>
      <w:r>
        <w:t>Output 14: Mental Health Community Support Services</w:t>
      </w:r>
    </w:p>
    <w:p w14:paraId="4D868322" w14:textId="77777777" w:rsidR="00CE75D4" w:rsidRDefault="00CE75D4" w:rsidP="008340C1">
      <w:pPr>
        <w:pStyle w:val="ARfinbody"/>
      </w:pPr>
      <w:r>
        <w:t>A range of rehabilitation and support services provided to youth and adults with a psychiatric disability, and their families and carers, so that those experiencing mental health problems can access timely, high-quality care and support to recover and reintegrate into the community.</w:t>
      </w:r>
    </w:p>
    <w:p w14:paraId="3C619747" w14:textId="77777777" w:rsidR="00CE75D4" w:rsidRDefault="00CE75D4" w:rsidP="008340C1">
      <w:pPr>
        <w:pStyle w:val="Heading7"/>
      </w:pPr>
      <w:r>
        <w:t>Output 15: Community Health Care</w:t>
      </w:r>
    </w:p>
    <w:p w14:paraId="06F5562A" w14:textId="77777777" w:rsidR="00CE75D4" w:rsidRDefault="00CE75D4" w:rsidP="008340C1">
      <w:pPr>
        <w:pStyle w:val="ARfinbody"/>
      </w:pPr>
      <w:r>
        <w:t>This output includes delivery of a range of community care and support services, including counselling, allied health and nursing, that enable people to continue to live independently in the community.</w:t>
      </w:r>
    </w:p>
    <w:p w14:paraId="0CF734CB" w14:textId="77777777" w:rsidR="00CE75D4" w:rsidRDefault="00CE75D4" w:rsidP="008340C1">
      <w:pPr>
        <w:pStyle w:val="Heading7"/>
      </w:pPr>
      <w:r>
        <w:t>Output 16: Dental Services</w:t>
      </w:r>
    </w:p>
    <w:p w14:paraId="02B117AE" w14:textId="77777777" w:rsidR="00CE75D4" w:rsidRDefault="00CE75D4" w:rsidP="008340C1">
      <w:pPr>
        <w:pStyle w:val="ARfinbody"/>
      </w:pPr>
      <w:r>
        <w:t>This output includes delivery of a range of dental health services to support health and wellbeing in the community.</w:t>
      </w:r>
    </w:p>
    <w:p w14:paraId="5EE63012" w14:textId="77777777" w:rsidR="00CE75D4" w:rsidRDefault="00CE75D4" w:rsidP="008340C1">
      <w:pPr>
        <w:pStyle w:val="Heading7"/>
      </w:pPr>
      <w:r>
        <w:t>Output 17: Maternal and Child Health and Early Parenting Services</w:t>
      </w:r>
    </w:p>
    <w:p w14:paraId="3FCF15C8" w14:textId="77777777" w:rsidR="00CE75D4" w:rsidRDefault="00CE75D4" w:rsidP="008340C1">
      <w:pPr>
        <w:pStyle w:val="ARfinbody"/>
      </w:pPr>
      <w:r>
        <w:t>This output involves the provision of community-based maternal and child health services available to all families with children.</w:t>
      </w:r>
    </w:p>
    <w:p w14:paraId="06837213" w14:textId="77777777" w:rsidR="00CE75D4" w:rsidRDefault="00CE75D4" w:rsidP="008340C1">
      <w:pPr>
        <w:pStyle w:val="Heading7"/>
      </w:pPr>
      <w:r>
        <w:t>Output 18: Health Protection</w:t>
      </w:r>
    </w:p>
    <w:p w14:paraId="7BBC0343" w14:textId="77777777" w:rsidR="00CE75D4" w:rsidRDefault="00CE75D4" w:rsidP="008340C1">
      <w:pPr>
        <w:pStyle w:val="ARfinbody"/>
      </w:pPr>
      <w:r>
        <w:t>Protects the health of Victorians through a range of prevention programs, including regulation, surveillance and the provision of statutory services.</w:t>
      </w:r>
    </w:p>
    <w:p w14:paraId="76D622AA" w14:textId="77777777" w:rsidR="00CE75D4" w:rsidRDefault="00CE75D4" w:rsidP="008340C1">
      <w:pPr>
        <w:pStyle w:val="Heading7"/>
      </w:pPr>
      <w:r>
        <w:t>Output 19: Health Advancement</w:t>
      </w:r>
    </w:p>
    <w:p w14:paraId="0FFCC13B" w14:textId="77777777" w:rsidR="00CE75D4" w:rsidRDefault="00CE75D4" w:rsidP="008340C1">
      <w:pPr>
        <w:pStyle w:val="ARfinbody"/>
      </w:pPr>
      <w:r>
        <w:t>Improves the general health and wellbeing of Victorians through the provision of community information and the fostering of healthy behaviours.</w:t>
      </w:r>
    </w:p>
    <w:p w14:paraId="6E8DB671" w14:textId="77777777" w:rsidR="00CE75D4" w:rsidRDefault="00CE75D4" w:rsidP="008340C1">
      <w:pPr>
        <w:pStyle w:val="Heading7"/>
      </w:pPr>
      <w:r>
        <w:t>Output 20: Emergency Management</w:t>
      </w:r>
    </w:p>
    <w:p w14:paraId="4D9D0E3A" w14:textId="77777777" w:rsidR="00CE75D4" w:rsidRDefault="00CE75D4" w:rsidP="008340C1">
      <w:pPr>
        <w:pStyle w:val="ARfinbody"/>
      </w:pPr>
      <w:r>
        <w:t>Training in emergency management preparedness, planning, response, relief and recovery.</w:t>
      </w:r>
    </w:p>
    <w:p w14:paraId="1D37A69B" w14:textId="77777777" w:rsidR="00CE75D4" w:rsidRDefault="00CE75D4" w:rsidP="008340C1">
      <w:pPr>
        <w:pStyle w:val="Heading7"/>
      </w:pPr>
      <w:r>
        <w:t>Output 21: Small Rural Services – Acute Health</w:t>
      </w:r>
    </w:p>
    <w:p w14:paraId="7AFF527C" w14:textId="77777777" w:rsidR="00CE75D4" w:rsidRDefault="00CE75D4" w:rsidP="008340C1">
      <w:pPr>
        <w:pStyle w:val="ARfinbody"/>
      </w:pPr>
      <w:r>
        <w:t>Admitted and non-admitted services delivered by small rural services, including elective and non-elective surgical and medical care, accident and emergency services, and maternity services.</w:t>
      </w:r>
    </w:p>
    <w:p w14:paraId="300C5882" w14:textId="77777777" w:rsidR="00CE75D4" w:rsidRDefault="00CE75D4" w:rsidP="008340C1">
      <w:pPr>
        <w:pStyle w:val="Heading7"/>
      </w:pPr>
      <w:r>
        <w:t>Output 22: Small Rural Services – Aged Care</w:t>
      </w:r>
    </w:p>
    <w:p w14:paraId="64AC37A2" w14:textId="77777777" w:rsidR="00CE75D4" w:rsidRDefault="00CE75D4" w:rsidP="008340C1">
      <w:pPr>
        <w:pStyle w:val="ARfinbody"/>
      </w:pPr>
      <w:r>
        <w:t>This output includes delivery of in-home, community-based and residential care services for older people, delivered in small rural towns.</w:t>
      </w:r>
    </w:p>
    <w:p w14:paraId="3DDF3BD6" w14:textId="77777777" w:rsidR="00CE75D4" w:rsidRDefault="00CE75D4" w:rsidP="008340C1">
      <w:pPr>
        <w:pStyle w:val="Heading7"/>
      </w:pPr>
      <w:r>
        <w:t>Output 23: Small Rural Services – Home and Community Care Services</w:t>
      </w:r>
    </w:p>
    <w:p w14:paraId="38074F7E" w14:textId="77777777" w:rsidR="00CE75D4" w:rsidRDefault="00CE75D4" w:rsidP="008340C1">
      <w:pPr>
        <w:pStyle w:val="ARfinbody"/>
      </w:pPr>
      <w:r>
        <w:t>This output includes delivery of in-home, community-based care services for older people and younger people with disabilities delivered by small rural services.</w:t>
      </w:r>
    </w:p>
    <w:p w14:paraId="0B816AF2" w14:textId="77777777" w:rsidR="00CE75D4" w:rsidRDefault="00CE75D4" w:rsidP="008340C1">
      <w:pPr>
        <w:pStyle w:val="Heading7"/>
      </w:pPr>
      <w:r>
        <w:t>Output 24: Small Rural Services – Primary Health</w:t>
      </w:r>
    </w:p>
    <w:p w14:paraId="7EF0750A" w14:textId="77777777" w:rsidR="00CE75D4" w:rsidRDefault="00CE75D4" w:rsidP="008340C1">
      <w:pPr>
        <w:pStyle w:val="ARfinbody"/>
      </w:pPr>
      <w:r>
        <w:t>This output includes delivery of in-home, community-based and primary health services delivered by small rural services and designed to promote health and wellbeing and prevent the onset of more serious illness.</w:t>
      </w:r>
    </w:p>
    <w:p w14:paraId="69C70A80" w14:textId="77777777" w:rsidR="00CE75D4" w:rsidRDefault="00CE75D4" w:rsidP="008340C1">
      <w:pPr>
        <w:pStyle w:val="Heading7"/>
      </w:pPr>
      <w:r>
        <w:t>Output 25: Shared Services</w:t>
      </w:r>
    </w:p>
    <w:p w14:paraId="13EAB2BC" w14:textId="77777777" w:rsidR="00CE75D4" w:rsidRDefault="00CE75D4" w:rsidP="008340C1">
      <w:pPr>
        <w:pStyle w:val="ARfinbody"/>
      </w:pPr>
      <w:r>
        <w:t>Shared Services output reflects the range of corporate services that the department provides to other Victorian Government departments.</w:t>
      </w:r>
    </w:p>
    <w:p w14:paraId="2DD78ECB" w14:textId="77777777" w:rsidR="00CE75D4" w:rsidRDefault="00CE75D4" w:rsidP="008340C1">
      <w:pPr>
        <w:pStyle w:val="Heading5"/>
      </w:pPr>
      <w:r>
        <w:rPr>
          <w:lang w:eastAsia="en-AU"/>
        </w:rPr>
        <w:t>4.1.1(b) Departmental outputs – Descriptions and objectives</w:t>
      </w:r>
    </w:p>
    <w:p w14:paraId="418DD9F0" w14:textId="77777777" w:rsidR="00CE75D4" w:rsidRDefault="00CE75D4" w:rsidP="008340C1">
      <w:pPr>
        <w:pStyle w:val="Heading6"/>
        <w:spacing w:before="160"/>
      </w:pPr>
      <w:r>
        <w:rPr>
          <w:lang w:eastAsia="en-AU"/>
        </w:rPr>
        <w:t>Department of Health output groups (applicable for 2020–21)</w:t>
      </w:r>
    </w:p>
    <w:p w14:paraId="79EE9E02" w14:textId="77777777" w:rsidR="00CE75D4" w:rsidRDefault="00CE75D4" w:rsidP="008340C1">
      <w:pPr>
        <w:pStyle w:val="Heading7"/>
        <w:spacing w:before="160"/>
      </w:pPr>
      <w:r>
        <w:t>Output group 1: Acute Health Services</w:t>
      </w:r>
    </w:p>
    <w:p w14:paraId="52309A0D" w14:textId="77777777" w:rsidR="00CE75D4" w:rsidRDefault="00CE75D4" w:rsidP="008340C1">
      <w:pPr>
        <w:pStyle w:val="ARfinbody"/>
      </w:pPr>
      <w:r>
        <w:t>The Acute Health Services output group included a range of timely and high-quality acute hospital inpatient, ambulatory, emergency, community-based and specialist services.</w:t>
      </w:r>
    </w:p>
    <w:p w14:paraId="2D92D125" w14:textId="77777777" w:rsidR="00CE75D4" w:rsidRDefault="00CE75D4" w:rsidP="008340C1">
      <w:pPr>
        <w:pStyle w:val="Heading7"/>
      </w:pPr>
      <w:r>
        <w:t>Output group 2: Ambulance Services</w:t>
      </w:r>
    </w:p>
    <w:p w14:paraId="746E4BE9" w14:textId="77777777" w:rsidR="00CE75D4" w:rsidRDefault="00CE75D4" w:rsidP="008340C1">
      <w:pPr>
        <w:pStyle w:val="ARfinbody"/>
      </w:pPr>
      <w:r>
        <w:t>The Ambulance Services output included emergency and non-emergency ambulance services.</w:t>
      </w:r>
    </w:p>
    <w:p w14:paraId="466310D2" w14:textId="77777777" w:rsidR="00CE75D4" w:rsidRDefault="00CE75D4" w:rsidP="008340C1">
      <w:pPr>
        <w:pStyle w:val="Heading7"/>
      </w:pPr>
      <w:r>
        <w:t>Output group 3: Mental Health</w:t>
      </w:r>
    </w:p>
    <w:p w14:paraId="618926C6" w14:textId="77777777" w:rsidR="00CE75D4" w:rsidRDefault="00CE75D4" w:rsidP="008340C1">
      <w:pPr>
        <w:pStyle w:val="ARfinbody"/>
      </w:pPr>
      <w:r>
        <w:t xml:space="preserve">The Mental Health output group included the provision of a range of inpatient, community-based residential and ambulatory services which treated and supported people with a mental illness and their families and carers, identified mental illness early, and sought to reduce its impact through providing timely acute care services and appropriate </w:t>
      </w:r>
      <w:r>
        <w:br/>
        <w:t>longer-term accommodation and support for those living with a mental illness.</w:t>
      </w:r>
    </w:p>
    <w:p w14:paraId="65A155A4" w14:textId="77777777" w:rsidR="00CE75D4" w:rsidRDefault="00CE75D4" w:rsidP="008340C1">
      <w:pPr>
        <w:pStyle w:val="Heading7"/>
      </w:pPr>
      <w:r>
        <w:t>Output group 4: Ageing, Aged and Home Care</w:t>
      </w:r>
    </w:p>
    <w:p w14:paraId="795F5B00" w14:textId="77777777" w:rsidR="00CE75D4" w:rsidRDefault="00CE75D4" w:rsidP="008340C1">
      <w:pPr>
        <w:pStyle w:val="ARfinbody"/>
      </w:pPr>
      <w:r>
        <w:t>The Ageing, Aged and Home Care output group encompassed leading and coordinating the whole of government policy on issues affecting our ageing community. It included a range of in-home, specialist geriatric, residential care and community-based programs, such as Home and Community Care (HACC), that were targeted to older people, people with a disability, and their carers.</w:t>
      </w:r>
    </w:p>
    <w:p w14:paraId="5A331AD1" w14:textId="77777777" w:rsidR="00CE75D4" w:rsidRDefault="00CE75D4" w:rsidP="008340C1">
      <w:pPr>
        <w:pStyle w:val="Heading7"/>
      </w:pPr>
      <w:r>
        <w:t>Output group 5: Primary, Community and Dental Health</w:t>
      </w:r>
    </w:p>
    <w:p w14:paraId="75989B84" w14:textId="77777777" w:rsidR="00CE75D4" w:rsidRDefault="00CE75D4" w:rsidP="008340C1">
      <w:pPr>
        <w:pStyle w:val="ARfinbody"/>
      </w:pPr>
      <w:r>
        <w:t>The Primary, Community and Dental Health output group included a range of in-home, community-based (including maternal and child health services), community, primary health and dental services designed to promote health and wellbeing and prevent the onset of more serious illnesses.</w:t>
      </w:r>
    </w:p>
    <w:p w14:paraId="7A92FDC0" w14:textId="77777777" w:rsidR="00CE75D4" w:rsidRDefault="00CE75D4" w:rsidP="008340C1">
      <w:pPr>
        <w:pStyle w:val="Heading7"/>
      </w:pPr>
      <w:r>
        <w:t>Output group 6: Small Rural Services</w:t>
      </w:r>
    </w:p>
    <w:p w14:paraId="741DB70B" w14:textId="77777777" w:rsidR="00CE75D4" w:rsidRDefault="00CE75D4" w:rsidP="008340C1">
      <w:pPr>
        <w:pStyle w:val="ARfinbody"/>
      </w:pPr>
      <w:r>
        <w:t>The Small Rural Services output group included a range of health and aged care services delivered in small rural towns. The funding and service delivery approach focused on achieving a sustainable, flexible service mix that is responsive to local needs. Service providers included small rural hospitals, community health services, bush nursing centres, multipurpose services and public sector residential aged care services.</w:t>
      </w:r>
    </w:p>
    <w:p w14:paraId="33040A6C" w14:textId="77777777" w:rsidR="00CE75D4" w:rsidRDefault="00CE75D4" w:rsidP="008340C1">
      <w:pPr>
        <w:pStyle w:val="Heading7"/>
      </w:pPr>
      <w:r>
        <w:t>Output group 7: Public Health</w:t>
      </w:r>
    </w:p>
    <w:p w14:paraId="3D109A97" w14:textId="77777777" w:rsidR="00CE75D4" w:rsidRDefault="00CE75D4" w:rsidP="008340C1">
      <w:pPr>
        <w:pStyle w:val="ARfinbody"/>
      </w:pPr>
      <w:r>
        <w:t>The Public Health output group encompassed services and support, including screening for health conditions and safety inspections that promoted and protected the health and wellbeing of all Victorians.</w:t>
      </w:r>
    </w:p>
    <w:p w14:paraId="41076607" w14:textId="77777777" w:rsidR="00CE75D4" w:rsidRDefault="00CE75D4" w:rsidP="008340C1">
      <w:pPr>
        <w:pStyle w:val="Heading7"/>
      </w:pPr>
      <w:r>
        <w:t>Output group 8: Drug Services</w:t>
      </w:r>
    </w:p>
    <w:p w14:paraId="53E1E5D8" w14:textId="77777777" w:rsidR="00CE75D4" w:rsidRDefault="00CE75D4" w:rsidP="008340C1">
      <w:pPr>
        <w:pStyle w:val="ARfinbody"/>
      </w:pPr>
      <w:r>
        <w:t>The Drug Services output group included programs and services aimed at promoting and protecting health by reducing death, disease and social harm caused by the use and misuse of licit and illicit drugs.</w:t>
      </w:r>
    </w:p>
    <w:p w14:paraId="1C3B7E5D" w14:textId="77777777" w:rsidR="00CE75D4" w:rsidRDefault="00CE75D4" w:rsidP="008340C1">
      <w:pPr>
        <w:pStyle w:val="Heading6"/>
      </w:pPr>
      <w:r>
        <w:rPr>
          <w:lang w:eastAsia="en-AU"/>
        </w:rPr>
        <w:t>Department of Families, Fairness and Housing output groups</w:t>
      </w:r>
    </w:p>
    <w:p w14:paraId="316B8908" w14:textId="77777777" w:rsidR="00CE75D4" w:rsidRDefault="00CE75D4" w:rsidP="008340C1">
      <w:pPr>
        <w:pStyle w:val="Heading7"/>
      </w:pPr>
      <w:r>
        <w:t>Output group 9: Disability Services</w:t>
      </w:r>
    </w:p>
    <w:p w14:paraId="0574CA2E" w14:textId="77777777" w:rsidR="00CE75D4" w:rsidRDefault="00CE75D4" w:rsidP="008340C1">
      <w:pPr>
        <w:pStyle w:val="ARfinbody"/>
      </w:pPr>
      <w:r>
        <w:t>The Disability Services output included provision of continuing care and support services for people with disabilities, their carers and their families, and aimed to make a positive difference for Victorians experiencing disadvantage and provide excellent community services to meet clients’ needs.</w:t>
      </w:r>
    </w:p>
    <w:p w14:paraId="6C7D0B1E" w14:textId="77777777" w:rsidR="00CE75D4" w:rsidRDefault="00CE75D4" w:rsidP="008340C1">
      <w:pPr>
        <w:pStyle w:val="Heading7"/>
      </w:pPr>
      <w:r>
        <w:t>Output group 10: Child Protection and Family Services</w:t>
      </w:r>
    </w:p>
    <w:p w14:paraId="142077E2" w14:textId="77777777" w:rsidR="00CE75D4" w:rsidRDefault="00CE75D4" w:rsidP="008340C1">
      <w:pPr>
        <w:pStyle w:val="ARfinbody"/>
      </w:pPr>
      <w:r>
        <w:t>The Child Protection and Family Services output funded statutory child protection services, family support and early parenting services, family violence and sexual assault services, placement care services and specialist support services to ensure the safety and wellbeing of adolescents and children at risk of harm, abuse and neglect.</w:t>
      </w:r>
    </w:p>
    <w:p w14:paraId="3CA3E7DA" w14:textId="77777777" w:rsidR="00CE75D4" w:rsidRDefault="00CE75D4" w:rsidP="008340C1">
      <w:pPr>
        <w:pStyle w:val="Heading7"/>
      </w:pPr>
      <w:r>
        <w:t>Output group 11: Concessions to Pensioners and Beneficiaries</w:t>
      </w:r>
    </w:p>
    <w:p w14:paraId="77026C5C" w14:textId="77777777" w:rsidR="00CE75D4" w:rsidRDefault="00CE75D4" w:rsidP="008340C1">
      <w:pPr>
        <w:pStyle w:val="ARfinbody"/>
      </w:pPr>
      <w:r>
        <w:t>Concessions to Pensioners and Beneficiaries output included the development and coordination of the delivery of concessions and relief grants to eligible consumers and concession card holders.</w:t>
      </w:r>
    </w:p>
    <w:p w14:paraId="33040148" w14:textId="77777777" w:rsidR="00CE75D4" w:rsidRDefault="00CE75D4" w:rsidP="008340C1">
      <w:pPr>
        <w:pStyle w:val="ARfinbody"/>
      </w:pPr>
      <w:r>
        <w:t>This output provided reductions in the price of energy, water, and municipal rates to eligible consumers and concession card holders. It also provided trustee services for people on a low income or those who were subject to an order by the Victorian Civil and Administrative Tribunal, and other social and community services, including the provision of emergency relief for individuals or families who were experiencing immediate and personal distress due to a financial or domestic crisis.</w:t>
      </w:r>
    </w:p>
    <w:p w14:paraId="3BB1E460" w14:textId="77777777" w:rsidR="00CE75D4" w:rsidRDefault="00CE75D4" w:rsidP="008340C1">
      <w:pPr>
        <w:pStyle w:val="Heading7"/>
      </w:pPr>
      <w:r>
        <w:t>Output group 12: Empowering Individuals and Communities</w:t>
      </w:r>
    </w:p>
    <w:p w14:paraId="3292F9B6" w14:textId="77777777" w:rsidR="00CE75D4" w:rsidRDefault="00CE75D4" w:rsidP="008340C1">
      <w:pPr>
        <w:pStyle w:val="ARfinbody"/>
      </w:pPr>
      <w:r>
        <w:t>The Empowering Individuals and Communities output group comprised:</w:t>
      </w:r>
    </w:p>
    <w:p w14:paraId="4B8295DB" w14:textId="029B9668" w:rsidR="00CE75D4" w:rsidRPr="00E06A3B" w:rsidRDefault="00CE75D4" w:rsidP="00817CFB">
      <w:pPr>
        <w:pStyle w:val="ARfinbullet1"/>
        <w:numPr>
          <w:ilvl w:val="0"/>
          <w:numId w:val="28"/>
        </w:numPr>
        <w:textAlignment w:val="auto"/>
      </w:pPr>
      <w:r>
        <w:t>The Community Participation output, which funded programs that supported community participation, including neighbourhood houses, Men’s Sheds, community support projects and programs for people with disability.</w:t>
      </w:r>
    </w:p>
    <w:p w14:paraId="6BBBCB1F" w14:textId="77777777" w:rsidR="00CE75D4" w:rsidRPr="00E06A3B" w:rsidRDefault="00CE75D4" w:rsidP="00817CFB">
      <w:pPr>
        <w:pStyle w:val="ARfinbullet1"/>
        <w:numPr>
          <w:ilvl w:val="0"/>
          <w:numId w:val="28"/>
        </w:numPr>
        <w:textAlignment w:val="auto"/>
        <w:rPr>
          <w:szCs w:val="18"/>
        </w:rPr>
      </w:pPr>
      <w:r w:rsidRPr="00E06A3B">
        <w:rPr>
          <w:szCs w:val="18"/>
        </w:rPr>
        <w:t>The Senior Programs and Participation output, which supported broader community planning processes to facilitate a</w:t>
      </w:r>
      <w:r>
        <w:rPr>
          <w:szCs w:val="18"/>
        </w:rPr>
        <w:t> </w:t>
      </w:r>
      <w:r w:rsidRPr="00E06A3B">
        <w:rPr>
          <w:szCs w:val="18"/>
        </w:rPr>
        <w:t>community planning and response approach aimed at enabling older Victorians to fully participate and engage in the community.</w:t>
      </w:r>
    </w:p>
    <w:p w14:paraId="1E6C58ED" w14:textId="77777777" w:rsidR="00CE75D4" w:rsidRPr="00E06A3B" w:rsidRDefault="00CE75D4" w:rsidP="00817CFB">
      <w:pPr>
        <w:pStyle w:val="ARfinbullet1"/>
        <w:numPr>
          <w:ilvl w:val="0"/>
          <w:numId w:val="28"/>
        </w:numPr>
        <w:textAlignment w:val="auto"/>
        <w:rPr>
          <w:szCs w:val="18"/>
        </w:rPr>
      </w:pPr>
      <w:r w:rsidRPr="00E06A3B">
        <w:rPr>
          <w:szCs w:val="18"/>
        </w:rPr>
        <w:t>The Support to Veterans in Victoria output, which provided coordination of veteran-related issues at a state level, especially in relation to commemoration, education programs, grant programs, research and veteran welfare.</w:t>
      </w:r>
    </w:p>
    <w:p w14:paraId="3D9C4EE5" w14:textId="77777777" w:rsidR="00CE75D4" w:rsidRPr="00E06A3B" w:rsidRDefault="00CE75D4" w:rsidP="00817CFB">
      <w:pPr>
        <w:pStyle w:val="ARfinbullet1"/>
        <w:numPr>
          <w:ilvl w:val="0"/>
          <w:numId w:val="28"/>
        </w:numPr>
        <w:textAlignment w:val="auto"/>
        <w:rPr>
          <w:szCs w:val="18"/>
        </w:rPr>
      </w:pPr>
      <w:r w:rsidRPr="00E06A3B">
        <w:rPr>
          <w:szCs w:val="18"/>
        </w:rPr>
        <w:t>The LGBTIQ+ Equality Policy and Programs output, which provided programs and services to promote equality for LGBTIQ+ Victorians and to support these communities’ economic, social and civic participation.</w:t>
      </w:r>
    </w:p>
    <w:p w14:paraId="308B7604" w14:textId="77777777" w:rsidR="00CE75D4" w:rsidRPr="00E06A3B" w:rsidRDefault="00CE75D4" w:rsidP="00817CFB">
      <w:pPr>
        <w:pStyle w:val="ARfinbullet1"/>
        <w:numPr>
          <w:ilvl w:val="0"/>
          <w:numId w:val="28"/>
        </w:numPr>
        <w:textAlignment w:val="auto"/>
        <w:rPr>
          <w:szCs w:val="18"/>
        </w:rPr>
      </w:pPr>
      <w:r w:rsidRPr="00E06A3B">
        <w:rPr>
          <w:szCs w:val="18"/>
        </w:rPr>
        <w:t>The Women’s Policy output, which provided initiatives that support gender equality and better outcomes for women across all areas of their lives, including economic security, safety, leadership, health and wellbeing.</w:t>
      </w:r>
    </w:p>
    <w:p w14:paraId="713B5496" w14:textId="07F60F77" w:rsidR="00CE75D4" w:rsidRPr="00E06A3B" w:rsidRDefault="00CE75D4" w:rsidP="00817CFB">
      <w:pPr>
        <w:pStyle w:val="ARfinbullet1"/>
        <w:numPr>
          <w:ilvl w:val="0"/>
          <w:numId w:val="28"/>
        </w:numPr>
        <w:textAlignment w:val="auto"/>
      </w:pPr>
      <w:r>
        <w:t>The Primary</w:t>
      </w:r>
      <w:r w:rsidR="00777835">
        <w:t xml:space="preserve"> </w:t>
      </w:r>
      <w:r>
        <w:t>Prevention of Family Violence output, which provided initiatives that support primary prevention of family violence and violence against women.</w:t>
      </w:r>
    </w:p>
    <w:p w14:paraId="0C28F63B" w14:textId="77777777" w:rsidR="00CE75D4" w:rsidRPr="00E06A3B" w:rsidRDefault="00CE75D4" w:rsidP="00817CFB">
      <w:pPr>
        <w:pStyle w:val="ARfinbullet1"/>
        <w:numPr>
          <w:ilvl w:val="0"/>
          <w:numId w:val="28"/>
        </w:numPr>
        <w:textAlignment w:val="auto"/>
        <w:rPr>
          <w:szCs w:val="18"/>
        </w:rPr>
      </w:pPr>
      <w:r w:rsidRPr="00E06A3B">
        <w:rPr>
          <w:szCs w:val="18"/>
        </w:rPr>
        <w:t>The Youth output, which led and coordinated whole of government policy advice and delivered a range of initiatives for young people aged between 12 and 25 years to enable them to gain a range of skills and experience and to actively participate in their local communities.</w:t>
      </w:r>
    </w:p>
    <w:p w14:paraId="1A7AF2F4" w14:textId="77777777" w:rsidR="00CE75D4" w:rsidRPr="00E06A3B" w:rsidRDefault="00CE75D4" w:rsidP="00817CFB">
      <w:pPr>
        <w:pStyle w:val="ARfinbullet1"/>
        <w:numPr>
          <w:ilvl w:val="0"/>
          <w:numId w:val="28"/>
        </w:numPr>
        <w:textAlignment w:val="auto"/>
        <w:rPr>
          <w:szCs w:val="18"/>
        </w:rPr>
      </w:pPr>
      <w:r w:rsidRPr="00E06A3B">
        <w:rPr>
          <w:szCs w:val="18"/>
        </w:rPr>
        <w:t>The Multicultural Affairs Policy and Program output, which provided policy advice on multicultural affairs and social cohesion in Victoria, including settlement coordination for newly arrived migrants and refugees, and delivered a range of programs to directly support Victoria’s multicultural communities.</w:t>
      </w:r>
    </w:p>
    <w:p w14:paraId="79C732FC" w14:textId="77777777" w:rsidR="00CE75D4" w:rsidRDefault="00CE75D4" w:rsidP="008340C1">
      <w:pPr>
        <w:pStyle w:val="Heading7"/>
      </w:pPr>
      <w:r>
        <w:t>Output group 13: Family Violence Service Delivery</w:t>
      </w:r>
    </w:p>
    <w:p w14:paraId="69FBDE29" w14:textId="77777777" w:rsidR="00CE75D4" w:rsidRDefault="00CE75D4" w:rsidP="008340C1">
      <w:pPr>
        <w:pStyle w:val="ARfinbody"/>
      </w:pPr>
      <w:r>
        <w:t>The Family Violence Service Delivery output group led and coordinated whole of government family violence policy, and implemented and delivered the government’s family violence reform agenda. This included establishing and operating Support and Safety Hubs, implementing information-sharing legislation, and delivering risk assessment and management programs.</w:t>
      </w:r>
    </w:p>
    <w:p w14:paraId="7E86CB65" w14:textId="77777777" w:rsidR="00CE75D4" w:rsidRPr="004E753B" w:rsidRDefault="00CE75D4" w:rsidP="008340C1">
      <w:pPr>
        <w:pStyle w:val="ARfinbody"/>
      </w:pPr>
      <w:r w:rsidRPr="004E753B">
        <w:br w:type="page"/>
      </w:r>
    </w:p>
    <w:p w14:paraId="1435CF3D" w14:textId="77777777" w:rsidR="00CE75D4" w:rsidRDefault="00CE75D4" w:rsidP="008340C1">
      <w:pPr>
        <w:pStyle w:val="Heading7"/>
      </w:pPr>
      <w:r>
        <w:t>Output group 14: Housing Assistance</w:t>
      </w:r>
    </w:p>
    <w:p w14:paraId="6F5C2010" w14:textId="77777777" w:rsidR="00CE75D4" w:rsidRDefault="00CE75D4" w:rsidP="008340C1">
      <w:pPr>
        <w:pStyle w:val="ARfinbody"/>
      </w:pPr>
      <w:r>
        <w:t>The Housing Assistance output (through the provision of homelessness services, crisis and transitional accommodation and long-term, adequate, affordable and accessible housing assistance, coordinated with support services where required, home renovation assistance and the management of the home loan portfolio) aimed to make a positive difference for Victorians experiencing disadvantage by providing excellent housing and community services to meet clients’ needs. This output provided:</w:t>
      </w:r>
    </w:p>
    <w:p w14:paraId="3C46FBE6" w14:textId="77777777" w:rsidR="00CE75D4" w:rsidRPr="00E06A3B" w:rsidRDefault="00CE75D4" w:rsidP="00817CFB">
      <w:pPr>
        <w:pStyle w:val="ARfinbullet1"/>
        <w:numPr>
          <w:ilvl w:val="0"/>
          <w:numId w:val="28"/>
        </w:numPr>
        <w:textAlignment w:val="auto"/>
        <w:rPr>
          <w:szCs w:val="18"/>
        </w:rPr>
      </w:pPr>
      <w:r w:rsidRPr="00E06A3B">
        <w:rPr>
          <w:szCs w:val="18"/>
        </w:rPr>
        <w:t>housing assistance for low-income families, older people, singles, youth and other households. It responded to the needs of clients through the provision of appropriate accommodation, including short-term and long-term properties that assist in reducing and preventing homelessness, and</w:t>
      </w:r>
    </w:p>
    <w:p w14:paraId="0A3A8A96" w14:textId="052E0AC0" w:rsidR="00CE75D4" w:rsidRPr="00E06A3B" w:rsidRDefault="00CE75D4" w:rsidP="00817CFB">
      <w:pPr>
        <w:pStyle w:val="ARfinbullet1"/>
        <w:numPr>
          <w:ilvl w:val="0"/>
          <w:numId w:val="28"/>
        </w:numPr>
        <w:textAlignment w:val="auto"/>
      </w:pPr>
      <w:r>
        <w:t xml:space="preserve">housing support services to people who were homeless or at risk of homelessness, in short-term housing or crisis situations. Support </w:t>
      </w:r>
      <w:r w:rsidDel="00BB39C9">
        <w:t xml:space="preserve">would </w:t>
      </w:r>
      <w:r>
        <w:t xml:space="preserve">assist clients in accessing and maintaining tenancies in appropriate accommodation. Services provided </w:t>
      </w:r>
      <w:r w:rsidDel="00BB39C9">
        <w:t xml:space="preserve">would </w:t>
      </w:r>
      <w:r>
        <w:t>assist in the prevention and overall reduction of homelessness.</w:t>
      </w:r>
    </w:p>
    <w:p w14:paraId="02E362C7" w14:textId="77777777" w:rsidR="00CE75D4" w:rsidRDefault="00CE75D4" w:rsidP="008340C1">
      <w:pPr>
        <w:pStyle w:val="Heading7"/>
      </w:pPr>
      <w:r>
        <w:t>Output group 15: Shared Services</w:t>
      </w:r>
    </w:p>
    <w:p w14:paraId="68512E4D" w14:textId="77777777" w:rsidR="00CE75D4" w:rsidRDefault="00CE75D4" w:rsidP="008340C1">
      <w:pPr>
        <w:pStyle w:val="ARfinbody"/>
      </w:pPr>
      <w:r>
        <w:t>Shared Services output reflected a range of corporate services that the department provided to the Department of Education and Training. These costs were included across the outputs of the Department of Education and Training. This output group was shared between the Department of Health and the Department of Families, Fairness and Housing.</w:t>
      </w:r>
    </w:p>
    <w:p w14:paraId="0D6A4128" w14:textId="77777777" w:rsidR="00CE75D4" w:rsidRDefault="00CE75D4" w:rsidP="00130D1C">
      <w:pPr>
        <w:pStyle w:val="ARfinbody"/>
      </w:pPr>
      <w:r>
        <w:t xml:space="preserve">Further details on the objectives of each output group can be found in the </w:t>
      </w:r>
      <w:r w:rsidRPr="000C598D">
        <w:rPr>
          <w:rStyle w:val="Emphasis"/>
        </w:rPr>
        <w:t>2020–21 State Budget Paper No. 3 – Service Delivery</w:t>
      </w:r>
      <w:r>
        <w:t>.</w:t>
      </w:r>
    </w:p>
    <w:p w14:paraId="40524557" w14:textId="77777777" w:rsidR="00CE75D4" w:rsidRPr="002029AF" w:rsidRDefault="00CE75D4" w:rsidP="00087B91">
      <w:pPr>
        <w:pStyle w:val="ARfinbody"/>
      </w:pPr>
    </w:p>
    <w:p w14:paraId="2F3B0215" w14:textId="77777777" w:rsidR="00CE75D4" w:rsidRPr="002029AF" w:rsidRDefault="00CE75D4" w:rsidP="00087B91">
      <w:pPr>
        <w:pStyle w:val="ARfinbody"/>
        <w:sectPr w:rsidR="00CE75D4" w:rsidRPr="002029AF" w:rsidSect="00130D1C">
          <w:footnotePr>
            <w:numFmt w:val="lowerLetter"/>
            <w:numRestart w:val="eachPage"/>
          </w:footnotePr>
          <w:pgSz w:w="11906" w:h="16838" w:code="9"/>
          <w:pgMar w:top="1531" w:right="1134" w:bottom="851" w:left="1134" w:header="510" w:footer="340" w:gutter="0"/>
          <w:cols w:space="708"/>
          <w:docGrid w:linePitch="360"/>
        </w:sectPr>
      </w:pPr>
    </w:p>
    <w:p w14:paraId="05CBB38D" w14:textId="77777777" w:rsidR="00CE75D4" w:rsidRDefault="00CE75D4" w:rsidP="008340C1">
      <w:pPr>
        <w:pStyle w:val="Heading5"/>
        <w:spacing w:before="0" w:after="0"/>
        <w:rPr>
          <w:lang w:eastAsia="en-AU"/>
        </w:rPr>
      </w:pPr>
      <w:bookmarkStart w:id="566" w:name="_Toc39136709"/>
      <w:bookmarkStart w:id="567" w:name="_Toc85121416"/>
      <w:r>
        <w:rPr>
          <w:lang w:eastAsia="en-AU"/>
        </w:rPr>
        <w:t>4.1.2 Departmental outputs – Controlled income and expenses</w:t>
      </w:r>
      <w:bookmarkEnd w:id="566"/>
      <w:bookmarkEnd w:id="567"/>
    </w:p>
    <w:p w14:paraId="72B3EC7B" w14:textId="77777777" w:rsidR="00CE75D4" w:rsidRPr="00AF0E05" w:rsidRDefault="00CE75D4" w:rsidP="008340C1">
      <w:pPr>
        <w:pStyle w:val="Heading6"/>
        <w:spacing w:before="80" w:after="160"/>
        <w:rPr>
          <w:lang w:eastAsia="en-AU"/>
        </w:rPr>
      </w:pPr>
      <w:r>
        <w:rPr>
          <w:lang w:eastAsia="en-AU"/>
        </w:rPr>
        <w:t>A. 2022 – Outputs 1–13</w:t>
      </w:r>
    </w:p>
    <w:tbl>
      <w:tblPr>
        <w:tblStyle w:val="TableGrid"/>
        <w:tblW w:w="14459" w:type="dxa"/>
        <w:tblLayout w:type="fixed"/>
        <w:tblCellMar>
          <w:right w:w="0" w:type="dxa"/>
        </w:tblCellMar>
        <w:tblLook w:val="06A0" w:firstRow="1" w:lastRow="0" w:firstColumn="1" w:lastColumn="0" w:noHBand="1" w:noVBand="1"/>
      </w:tblPr>
      <w:tblGrid>
        <w:gridCol w:w="3400"/>
        <w:gridCol w:w="850"/>
        <w:gridCol w:w="850"/>
        <w:gridCol w:w="850"/>
        <w:gridCol w:w="850"/>
        <w:gridCol w:w="851"/>
        <w:gridCol w:w="851"/>
        <w:gridCol w:w="851"/>
        <w:gridCol w:w="851"/>
        <w:gridCol w:w="851"/>
        <w:gridCol w:w="851"/>
        <w:gridCol w:w="851"/>
        <w:gridCol w:w="851"/>
        <w:gridCol w:w="851"/>
      </w:tblGrid>
      <w:tr w:rsidR="00CE75D4" w:rsidRPr="00C0495C" w14:paraId="04BD0EDC" w14:textId="77777777" w:rsidTr="008340C1">
        <w:trPr>
          <w:cnfStyle w:val="100000000000" w:firstRow="1" w:lastRow="0" w:firstColumn="0" w:lastColumn="0" w:oddVBand="0" w:evenVBand="0" w:oddHBand="0" w:evenHBand="0" w:firstRowFirstColumn="0" w:firstRowLastColumn="0" w:lastRowFirstColumn="0" w:lastRowLastColumn="0"/>
          <w:trHeight w:val="170"/>
          <w:tblHeader/>
        </w:trPr>
        <w:tc>
          <w:tcPr>
            <w:tcW w:w="3402" w:type="dxa"/>
            <w:tcBorders>
              <w:bottom w:val="single" w:sz="4" w:space="0" w:color="auto"/>
            </w:tcBorders>
            <w:hideMark/>
          </w:tcPr>
          <w:p w14:paraId="7B8416BA" w14:textId="77777777" w:rsidR="00CE75D4" w:rsidRPr="00140535" w:rsidRDefault="00CE75D4" w:rsidP="008340C1">
            <w:pPr>
              <w:pStyle w:val="ARfintablecolhead"/>
              <w:spacing w:before="10" w:after="10" w:line="228" w:lineRule="auto"/>
              <w:rPr>
                <w:rFonts w:cs="Arial"/>
                <w:sz w:val="17"/>
                <w:szCs w:val="17"/>
              </w:rPr>
            </w:pPr>
            <w:r w:rsidRPr="00140535">
              <w:rPr>
                <w:rFonts w:cs="Arial"/>
                <w:sz w:val="17"/>
                <w:szCs w:val="17"/>
              </w:rPr>
              <w:t>Year ended 30 June 2022</w:t>
            </w:r>
          </w:p>
          <w:p w14:paraId="1568DAEE" w14:textId="77777777" w:rsidR="00CE75D4" w:rsidRPr="00140535" w:rsidRDefault="00CE75D4" w:rsidP="008340C1">
            <w:pPr>
              <w:pStyle w:val="ARfintablecolhead"/>
              <w:spacing w:before="10" w:after="10" w:line="228" w:lineRule="auto"/>
              <w:rPr>
                <w:rFonts w:cs="Arial"/>
                <w:sz w:val="17"/>
                <w:szCs w:val="17"/>
              </w:rPr>
            </w:pPr>
            <w:r w:rsidRPr="00140535">
              <w:rPr>
                <w:rFonts w:cs="Arial"/>
                <w:sz w:val="17"/>
                <w:szCs w:val="17"/>
              </w:rPr>
              <w:t xml:space="preserve">Output </w:t>
            </w:r>
            <w:r w:rsidRPr="00140535">
              <w:rPr>
                <w:rStyle w:val="Superscript"/>
                <w:rFonts w:cs="Arial"/>
                <w:sz w:val="17"/>
                <w:szCs w:val="17"/>
              </w:rPr>
              <w:t>(i)</w:t>
            </w:r>
          </w:p>
        </w:tc>
        <w:tc>
          <w:tcPr>
            <w:tcW w:w="851" w:type="dxa"/>
            <w:tcBorders>
              <w:bottom w:val="single" w:sz="4" w:space="0" w:color="auto"/>
            </w:tcBorders>
            <w:hideMark/>
          </w:tcPr>
          <w:p w14:paraId="72A38B97"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1</w:t>
            </w:r>
          </w:p>
          <w:p w14:paraId="072F035D"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31A0C2A7"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2</w:t>
            </w:r>
          </w:p>
          <w:p w14:paraId="7F585F86"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7C55963B"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3</w:t>
            </w:r>
          </w:p>
          <w:p w14:paraId="7A714DB1"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67BE6DAB"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4</w:t>
            </w:r>
          </w:p>
          <w:p w14:paraId="0F822865"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0F54540E"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5</w:t>
            </w:r>
          </w:p>
          <w:p w14:paraId="31295AC1"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1A8B6466"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6</w:t>
            </w:r>
          </w:p>
          <w:p w14:paraId="70975F10"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7A26E9FC"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7</w:t>
            </w:r>
          </w:p>
          <w:p w14:paraId="41EB6E72"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7FF8D5AA"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8</w:t>
            </w:r>
          </w:p>
          <w:p w14:paraId="0829DB30"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48CA80A7"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9</w:t>
            </w:r>
          </w:p>
          <w:p w14:paraId="1BB653B2"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3CB5A303"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10</w:t>
            </w:r>
          </w:p>
          <w:p w14:paraId="1F3B91A5"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4B4F1B77"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11</w:t>
            </w:r>
          </w:p>
          <w:p w14:paraId="34DD8ABC"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3220145B"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12</w:t>
            </w:r>
          </w:p>
          <w:p w14:paraId="13B9BA88"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5735B438"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13</w:t>
            </w:r>
          </w:p>
          <w:p w14:paraId="424FA6C1"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r>
      <w:tr w:rsidR="00CE75D4" w:rsidRPr="00C0495C" w14:paraId="025C3AE4" w14:textId="77777777" w:rsidTr="008340C1">
        <w:trPr>
          <w:cantSplit w:val="0"/>
          <w:trHeight w:val="170"/>
        </w:trPr>
        <w:tc>
          <w:tcPr>
            <w:tcW w:w="3402" w:type="dxa"/>
            <w:gridSpan w:val="14"/>
            <w:tcBorders>
              <w:top w:val="single" w:sz="4" w:space="0" w:color="A6A6A6"/>
              <w:bottom w:val="single" w:sz="4" w:space="0" w:color="A6A6A6"/>
            </w:tcBorders>
          </w:tcPr>
          <w:p w14:paraId="63EFD21B" w14:textId="77777777" w:rsidR="00CE75D4" w:rsidRPr="00140535" w:rsidRDefault="00CE75D4" w:rsidP="008340C1">
            <w:pPr>
              <w:pStyle w:val="ARfintablebodybold"/>
              <w:spacing w:before="10" w:after="10" w:line="228" w:lineRule="auto"/>
              <w:rPr>
                <w:rFonts w:cs="Arial"/>
                <w:sz w:val="17"/>
                <w:szCs w:val="17"/>
              </w:rPr>
            </w:pPr>
            <w:r>
              <w:rPr>
                <w:rFonts w:cs="Arial"/>
                <w:sz w:val="17"/>
                <w:szCs w:val="17"/>
              </w:rPr>
              <w:t>Revenue and i</w:t>
            </w:r>
            <w:r w:rsidRPr="00140535">
              <w:rPr>
                <w:rFonts w:cs="Arial"/>
                <w:sz w:val="17"/>
                <w:szCs w:val="17"/>
              </w:rPr>
              <w:t>ncome from transactions</w:t>
            </w:r>
          </w:p>
        </w:tc>
      </w:tr>
      <w:tr w:rsidR="00CE75D4" w:rsidRPr="00C0495C" w14:paraId="03CD85AE" w14:textId="77777777" w:rsidTr="008340C1">
        <w:trPr>
          <w:cantSplit w:val="0"/>
          <w:trHeight w:val="170"/>
        </w:trPr>
        <w:tc>
          <w:tcPr>
            <w:tcW w:w="3402" w:type="dxa"/>
            <w:tcBorders>
              <w:top w:val="single" w:sz="4" w:space="0" w:color="A6A6A6"/>
              <w:bottom w:val="single" w:sz="4" w:space="0" w:color="A6A6A6"/>
            </w:tcBorders>
            <w:hideMark/>
          </w:tcPr>
          <w:p w14:paraId="274BF194" w14:textId="77777777" w:rsidR="00CE75D4" w:rsidRPr="00140535" w:rsidRDefault="00CE75D4" w:rsidP="008340C1">
            <w:pPr>
              <w:pStyle w:val="ARfintablebody"/>
              <w:spacing w:before="10" w:after="10" w:line="228" w:lineRule="auto"/>
              <w:rPr>
                <w:sz w:val="17"/>
                <w:szCs w:val="17"/>
              </w:rPr>
            </w:pPr>
            <w:r w:rsidRPr="00140535">
              <w:rPr>
                <w:sz w:val="17"/>
                <w:szCs w:val="17"/>
              </w:rPr>
              <w:t>Output appropriations</w:t>
            </w:r>
          </w:p>
        </w:tc>
        <w:tc>
          <w:tcPr>
            <w:tcW w:w="851" w:type="dxa"/>
            <w:tcBorders>
              <w:top w:val="single" w:sz="4" w:space="0" w:color="A6A6A6"/>
              <w:bottom w:val="single" w:sz="4" w:space="0" w:color="A6A6A6"/>
            </w:tcBorders>
            <w:noWrap/>
            <w:hideMark/>
          </w:tcPr>
          <w:p w14:paraId="277F8FD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7,841.8</w:t>
            </w:r>
          </w:p>
        </w:tc>
        <w:tc>
          <w:tcPr>
            <w:tcW w:w="851" w:type="dxa"/>
            <w:tcBorders>
              <w:top w:val="single" w:sz="4" w:space="0" w:color="A6A6A6"/>
              <w:bottom w:val="single" w:sz="4" w:space="0" w:color="A6A6A6"/>
            </w:tcBorders>
            <w:noWrap/>
            <w:hideMark/>
          </w:tcPr>
          <w:p w14:paraId="63BCEF4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954.7</w:t>
            </w:r>
          </w:p>
        </w:tc>
        <w:tc>
          <w:tcPr>
            <w:tcW w:w="851" w:type="dxa"/>
            <w:tcBorders>
              <w:top w:val="single" w:sz="4" w:space="0" w:color="A6A6A6"/>
              <w:bottom w:val="single" w:sz="4" w:space="0" w:color="A6A6A6"/>
            </w:tcBorders>
            <w:noWrap/>
            <w:hideMark/>
          </w:tcPr>
          <w:p w14:paraId="6233A8D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354.1</w:t>
            </w:r>
          </w:p>
        </w:tc>
        <w:tc>
          <w:tcPr>
            <w:tcW w:w="851" w:type="dxa"/>
            <w:tcBorders>
              <w:top w:val="single" w:sz="4" w:space="0" w:color="A6A6A6"/>
              <w:bottom w:val="single" w:sz="4" w:space="0" w:color="A6A6A6"/>
            </w:tcBorders>
            <w:noWrap/>
            <w:hideMark/>
          </w:tcPr>
          <w:p w14:paraId="72E22A1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80.2</w:t>
            </w:r>
          </w:p>
        </w:tc>
        <w:tc>
          <w:tcPr>
            <w:tcW w:w="851" w:type="dxa"/>
            <w:tcBorders>
              <w:top w:val="single" w:sz="4" w:space="0" w:color="A6A6A6"/>
              <w:bottom w:val="single" w:sz="4" w:space="0" w:color="A6A6A6"/>
            </w:tcBorders>
            <w:noWrap/>
            <w:hideMark/>
          </w:tcPr>
          <w:p w14:paraId="697554D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108.8</w:t>
            </w:r>
          </w:p>
        </w:tc>
        <w:tc>
          <w:tcPr>
            <w:tcW w:w="851" w:type="dxa"/>
            <w:tcBorders>
              <w:top w:val="single" w:sz="4" w:space="0" w:color="A6A6A6"/>
              <w:bottom w:val="single" w:sz="4" w:space="0" w:color="A6A6A6"/>
            </w:tcBorders>
            <w:noWrap/>
            <w:hideMark/>
          </w:tcPr>
          <w:p w14:paraId="5545E8C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53.8</w:t>
            </w:r>
          </w:p>
        </w:tc>
        <w:tc>
          <w:tcPr>
            <w:tcW w:w="851" w:type="dxa"/>
            <w:tcBorders>
              <w:top w:val="single" w:sz="4" w:space="0" w:color="A6A6A6"/>
              <w:bottom w:val="single" w:sz="4" w:space="0" w:color="A6A6A6"/>
            </w:tcBorders>
            <w:noWrap/>
            <w:hideMark/>
          </w:tcPr>
          <w:p w14:paraId="75FFADC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121.1</w:t>
            </w:r>
          </w:p>
        </w:tc>
        <w:tc>
          <w:tcPr>
            <w:tcW w:w="851" w:type="dxa"/>
            <w:tcBorders>
              <w:top w:val="single" w:sz="4" w:space="0" w:color="A6A6A6"/>
              <w:bottom w:val="single" w:sz="4" w:space="0" w:color="A6A6A6"/>
            </w:tcBorders>
            <w:noWrap/>
            <w:hideMark/>
          </w:tcPr>
          <w:p w14:paraId="6CBA677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213.7</w:t>
            </w:r>
          </w:p>
        </w:tc>
        <w:tc>
          <w:tcPr>
            <w:tcW w:w="851" w:type="dxa"/>
            <w:tcBorders>
              <w:top w:val="single" w:sz="4" w:space="0" w:color="A6A6A6"/>
              <w:bottom w:val="single" w:sz="4" w:space="0" w:color="A6A6A6"/>
            </w:tcBorders>
            <w:noWrap/>
            <w:hideMark/>
          </w:tcPr>
          <w:p w14:paraId="461FEE5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934.1</w:t>
            </w:r>
          </w:p>
        </w:tc>
        <w:tc>
          <w:tcPr>
            <w:tcW w:w="851" w:type="dxa"/>
            <w:tcBorders>
              <w:top w:val="single" w:sz="4" w:space="0" w:color="A6A6A6"/>
              <w:bottom w:val="single" w:sz="4" w:space="0" w:color="A6A6A6"/>
            </w:tcBorders>
            <w:noWrap/>
            <w:hideMark/>
          </w:tcPr>
          <w:p w14:paraId="520641D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134.2</w:t>
            </w:r>
          </w:p>
        </w:tc>
        <w:tc>
          <w:tcPr>
            <w:tcW w:w="851" w:type="dxa"/>
            <w:tcBorders>
              <w:top w:val="single" w:sz="4" w:space="0" w:color="A6A6A6"/>
              <w:bottom w:val="single" w:sz="4" w:space="0" w:color="A6A6A6"/>
            </w:tcBorders>
            <w:noWrap/>
            <w:hideMark/>
          </w:tcPr>
          <w:p w14:paraId="55179EB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41.0</w:t>
            </w:r>
          </w:p>
        </w:tc>
        <w:tc>
          <w:tcPr>
            <w:tcW w:w="851" w:type="dxa"/>
            <w:tcBorders>
              <w:top w:val="single" w:sz="4" w:space="0" w:color="A6A6A6"/>
              <w:bottom w:val="single" w:sz="4" w:space="0" w:color="A6A6A6"/>
            </w:tcBorders>
            <w:noWrap/>
            <w:hideMark/>
          </w:tcPr>
          <w:p w14:paraId="0631416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315.6</w:t>
            </w:r>
          </w:p>
        </w:tc>
        <w:tc>
          <w:tcPr>
            <w:tcW w:w="851" w:type="dxa"/>
            <w:tcBorders>
              <w:top w:val="single" w:sz="4" w:space="0" w:color="A6A6A6"/>
              <w:bottom w:val="single" w:sz="4" w:space="0" w:color="A6A6A6"/>
            </w:tcBorders>
            <w:noWrap/>
            <w:hideMark/>
          </w:tcPr>
          <w:p w14:paraId="2AA7D61B" w14:textId="77777777" w:rsidR="00CE75D4" w:rsidRPr="00140535" w:rsidRDefault="00CE75D4" w:rsidP="008340C1">
            <w:pPr>
              <w:pStyle w:val="ARfintablebodyright"/>
              <w:spacing w:before="10" w:after="10" w:line="228" w:lineRule="auto"/>
              <w:ind w:right="0"/>
              <w:rPr>
                <w:sz w:val="17"/>
                <w:szCs w:val="17"/>
              </w:rPr>
            </w:pPr>
            <w:r>
              <w:rPr>
                <w:sz w:val="17"/>
                <w:szCs w:val="17"/>
              </w:rPr>
              <w:t>676.5</w:t>
            </w:r>
          </w:p>
        </w:tc>
      </w:tr>
      <w:tr w:rsidR="00CE75D4" w:rsidRPr="00C0495C" w14:paraId="0E27FDF7" w14:textId="77777777" w:rsidTr="008340C1">
        <w:trPr>
          <w:cantSplit w:val="0"/>
          <w:trHeight w:val="170"/>
        </w:trPr>
        <w:tc>
          <w:tcPr>
            <w:tcW w:w="3402" w:type="dxa"/>
            <w:tcBorders>
              <w:top w:val="single" w:sz="4" w:space="0" w:color="A6A6A6"/>
              <w:bottom w:val="single" w:sz="4" w:space="0" w:color="A6A6A6"/>
            </w:tcBorders>
            <w:hideMark/>
          </w:tcPr>
          <w:p w14:paraId="7E8E1CB4" w14:textId="77777777" w:rsidR="00CE75D4" w:rsidRPr="00140535" w:rsidRDefault="00CE75D4" w:rsidP="008340C1">
            <w:pPr>
              <w:pStyle w:val="ARfintablebody"/>
              <w:spacing w:before="10" w:after="10" w:line="228" w:lineRule="auto"/>
              <w:rPr>
                <w:sz w:val="17"/>
                <w:szCs w:val="17"/>
              </w:rPr>
            </w:pPr>
            <w:r w:rsidRPr="00140535">
              <w:rPr>
                <w:sz w:val="17"/>
                <w:szCs w:val="17"/>
              </w:rPr>
              <w:t>Special appropriations</w:t>
            </w:r>
          </w:p>
        </w:tc>
        <w:tc>
          <w:tcPr>
            <w:tcW w:w="851" w:type="dxa"/>
            <w:tcBorders>
              <w:top w:val="single" w:sz="4" w:space="0" w:color="A6A6A6"/>
              <w:bottom w:val="single" w:sz="4" w:space="0" w:color="A6A6A6"/>
            </w:tcBorders>
            <w:noWrap/>
            <w:hideMark/>
          </w:tcPr>
          <w:p w14:paraId="2CF023F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1,207.2</w:t>
            </w:r>
          </w:p>
        </w:tc>
        <w:tc>
          <w:tcPr>
            <w:tcW w:w="851" w:type="dxa"/>
            <w:tcBorders>
              <w:top w:val="single" w:sz="4" w:space="0" w:color="A6A6A6"/>
              <w:bottom w:val="single" w:sz="4" w:space="0" w:color="A6A6A6"/>
            </w:tcBorders>
            <w:noWrap/>
            <w:hideMark/>
          </w:tcPr>
          <w:p w14:paraId="139FCCD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72.5</w:t>
            </w:r>
          </w:p>
        </w:tc>
        <w:tc>
          <w:tcPr>
            <w:tcW w:w="851" w:type="dxa"/>
            <w:tcBorders>
              <w:top w:val="single" w:sz="4" w:space="0" w:color="A6A6A6"/>
              <w:bottom w:val="single" w:sz="4" w:space="0" w:color="A6A6A6"/>
            </w:tcBorders>
            <w:noWrap/>
            <w:hideMark/>
          </w:tcPr>
          <w:p w14:paraId="74810F7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34.6</w:t>
            </w:r>
          </w:p>
        </w:tc>
        <w:tc>
          <w:tcPr>
            <w:tcW w:w="851" w:type="dxa"/>
            <w:tcBorders>
              <w:top w:val="single" w:sz="4" w:space="0" w:color="A6A6A6"/>
              <w:bottom w:val="single" w:sz="4" w:space="0" w:color="A6A6A6"/>
            </w:tcBorders>
            <w:noWrap/>
            <w:hideMark/>
          </w:tcPr>
          <w:p w14:paraId="163C3D0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w:t>
            </w:r>
            <w:r>
              <w:rPr>
                <w:sz w:val="17"/>
                <w:szCs w:val="17"/>
              </w:rPr>
              <w:t>2</w:t>
            </w:r>
          </w:p>
        </w:tc>
        <w:tc>
          <w:tcPr>
            <w:tcW w:w="851" w:type="dxa"/>
            <w:tcBorders>
              <w:top w:val="single" w:sz="4" w:space="0" w:color="A6A6A6"/>
              <w:bottom w:val="single" w:sz="4" w:space="0" w:color="A6A6A6"/>
            </w:tcBorders>
            <w:noWrap/>
            <w:hideMark/>
          </w:tcPr>
          <w:p w14:paraId="1FFCF5F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8.6</w:t>
            </w:r>
          </w:p>
        </w:tc>
        <w:tc>
          <w:tcPr>
            <w:tcW w:w="851" w:type="dxa"/>
            <w:tcBorders>
              <w:top w:val="single" w:sz="4" w:space="0" w:color="A6A6A6"/>
              <w:bottom w:val="single" w:sz="4" w:space="0" w:color="A6A6A6"/>
            </w:tcBorders>
            <w:noWrap/>
            <w:hideMark/>
          </w:tcPr>
          <w:p w14:paraId="46745A0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4.3</w:t>
            </w:r>
          </w:p>
        </w:tc>
        <w:tc>
          <w:tcPr>
            <w:tcW w:w="851" w:type="dxa"/>
            <w:tcBorders>
              <w:top w:val="single" w:sz="4" w:space="0" w:color="A6A6A6"/>
              <w:bottom w:val="single" w:sz="4" w:space="0" w:color="A6A6A6"/>
            </w:tcBorders>
            <w:noWrap/>
            <w:hideMark/>
          </w:tcPr>
          <w:p w14:paraId="78AE5D7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7.4</w:t>
            </w:r>
          </w:p>
        </w:tc>
        <w:tc>
          <w:tcPr>
            <w:tcW w:w="851" w:type="dxa"/>
            <w:tcBorders>
              <w:top w:val="single" w:sz="4" w:space="0" w:color="A6A6A6"/>
              <w:bottom w:val="single" w:sz="4" w:space="0" w:color="A6A6A6"/>
            </w:tcBorders>
            <w:noWrap/>
            <w:hideMark/>
          </w:tcPr>
          <w:p w14:paraId="54455EE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4576DC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41.7</w:t>
            </w:r>
          </w:p>
        </w:tc>
        <w:tc>
          <w:tcPr>
            <w:tcW w:w="851" w:type="dxa"/>
            <w:tcBorders>
              <w:top w:val="single" w:sz="4" w:space="0" w:color="A6A6A6"/>
              <w:bottom w:val="single" w:sz="4" w:space="0" w:color="A6A6A6"/>
            </w:tcBorders>
            <w:noWrap/>
            <w:hideMark/>
          </w:tcPr>
          <w:p w14:paraId="291A862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7.8</w:t>
            </w:r>
          </w:p>
        </w:tc>
        <w:tc>
          <w:tcPr>
            <w:tcW w:w="851" w:type="dxa"/>
            <w:tcBorders>
              <w:top w:val="single" w:sz="4" w:space="0" w:color="A6A6A6"/>
              <w:bottom w:val="single" w:sz="4" w:space="0" w:color="A6A6A6"/>
            </w:tcBorders>
            <w:noWrap/>
            <w:hideMark/>
          </w:tcPr>
          <w:p w14:paraId="7998E4A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0.5</w:t>
            </w:r>
          </w:p>
        </w:tc>
        <w:tc>
          <w:tcPr>
            <w:tcW w:w="851" w:type="dxa"/>
            <w:tcBorders>
              <w:top w:val="single" w:sz="4" w:space="0" w:color="A6A6A6"/>
              <w:bottom w:val="single" w:sz="4" w:space="0" w:color="A6A6A6"/>
            </w:tcBorders>
            <w:noWrap/>
            <w:hideMark/>
          </w:tcPr>
          <w:p w14:paraId="7989934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6.1</w:t>
            </w:r>
          </w:p>
        </w:tc>
        <w:tc>
          <w:tcPr>
            <w:tcW w:w="851" w:type="dxa"/>
            <w:tcBorders>
              <w:top w:val="single" w:sz="4" w:space="0" w:color="A6A6A6"/>
              <w:bottom w:val="single" w:sz="4" w:space="0" w:color="A6A6A6"/>
            </w:tcBorders>
            <w:noWrap/>
            <w:hideMark/>
          </w:tcPr>
          <w:p w14:paraId="2DE3906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4</w:t>
            </w:r>
            <w:r>
              <w:rPr>
                <w:sz w:val="17"/>
                <w:szCs w:val="17"/>
              </w:rPr>
              <w:t>20.0</w:t>
            </w:r>
          </w:p>
        </w:tc>
      </w:tr>
      <w:tr w:rsidR="00CE75D4" w:rsidRPr="00C0495C" w14:paraId="5C7AA3B1" w14:textId="77777777" w:rsidTr="008340C1">
        <w:trPr>
          <w:cantSplit w:val="0"/>
          <w:trHeight w:val="170"/>
        </w:trPr>
        <w:tc>
          <w:tcPr>
            <w:tcW w:w="3402" w:type="dxa"/>
            <w:tcBorders>
              <w:top w:val="single" w:sz="4" w:space="0" w:color="A6A6A6"/>
              <w:bottom w:val="single" w:sz="4" w:space="0" w:color="A6A6A6"/>
            </w:tcBorders>
            <w:hideMark/>
          </w:tcPr>
          <w:p w14:paraId="2F469CD6" w14:textId="77777777" w:rsidR="00CE75D4" w:rsidRPr="00140535" w:rsidRDefault="00CE75D4" w:rsidP="008340C1">
            <w:pPr>
              <w:pStyle w:val="ARfintablebody"/>
              <w:spacing w:before="10" w:after="10" w:line="228" w:lineRule="auto"/>
              <w:rPr>
                <w:sz w:val="17"/>
                <w:szCs w:val="17"/>
              </w:rPr>
            </w:pPr>
            <w:r w:rsidRPr="00140535">
              <w:rPr>
                <w:sz w:val="17"/>
                <w:szCs w:val="17"/>
              </w:rPr>
              <w:t>Interest income</w:t>
            </w:r>
          </w:p>
        </w:tc>
        <w:tc>
          <w:tcPr>
            <w:tcW w:w="851" w:type="dxa"/>
            <w:tcBorders>
              <w:top w:val="single" w:sz="4" w:space="0" w:color="A6A6A6"/>
              <w:bottom w:val="single" w:sz="4" w:space="0" w:color="A6A6A6"/>
            </w:tcBorders>
            <w:noWrap/>
            <w:hideMark/>
          </w:tcPr>
          <w:p w14:paraId="42FB88B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6B9DA6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2FCAB8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24C915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E716F4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0C6F67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BEA473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5BAD8D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C1E20B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AD9566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ED3C1E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CC2555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651D59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r>
      <w:tr w:rsidR="00CE75D4" w:rsidRPr="00C0495C" w14:paraId="03BF2438" w14:textId="77777777" w:rsidTr="008340C1">
        <w:trPr>
          <w:cantSplit w:val="0"/>
          <w:trHeight w:val="170"/>
        </w:trPr>
        <w:tc>
          <w:tcPr>
            <w:tcW w:w="3402" w:type="dxa"/>
            <w:tcBorders>
              <w:top w:val="single" w:sz="4" w:space="0" w:color="A6A6A6"/>
              <w:bottom w:val="single" w:sz="4" w:space="0" w:color="A6A6A6"/>
            </w:tcBorders>
            <w:hideMark/>
          </w:tcPr>
          <w:p w14:paraId="67E6A7D9" w14:textId="77777777" w:rsidR="00CE75D4" w:rsidRPr="00140535" w:rsidRDefault="00CE75D4" w:rsidP="008340C1">
            <w:pPr>
              <w:pStyle w:val="ARfintablebody"/>
              <w:spacing w:before="10" w:after="10" w:line="228" w:lineRule="auto"/>
              <w:rPr>
                <w:sz w:val="17"/>
                <w:szCs w:val="17"/>
              </w:rPr>
            </w:pPr>
            <w:r w:rsidRPr="00140535">
              <w:rPr>
                <w:sz w:val="17"/>
                <w:szCs w:val="17"/>
              </w:rPr>
              <w:t>Rental income and income from services</w:t>
            </w:r>
          </w:p>
        </w:tc>
        <w:tc>
          <w:tcPr>
            <w:tcW w:w="851" w:type="dxa"/>
            <w:tcBorders>
              <w:top w:val="single" w:sz="4" w:space="0" w:color="A6A6A6"/>
              <w:bottom w:val="single" w:sz="4" w:space="0" w:color="A6A6A6"/>
            </w:tcBorders>
            <w:noWrap/>
            <w:hideMark/>
          </w:tcPr>
          <w:p w14:paraId="16C214E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EA909C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5E82C8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700CA6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460997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8EC6D3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126513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6065EF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D769F4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AC8FD0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BA08D4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957ACA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386C1A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r>
      <w:tr w:rsidR="00CE75D4" w:rsidRPr="00C0495C" w14:paraId="7C50F413" w14:textId="77777777" w:rsidTr="008340C1">
        <w:trPr>
          <w:cantSplit w:val="0"/>
          <w:trHeight w:val="170"/>
        </w:trPr>
        <w:tc>
          <w:tcPr>
            <w:tcW w:w="3402" w:type="dxa"/>
            <w:tcBorders>
              <w:top w:val="single" w:sz="4" w:space="0" w:color="A6A6A6"/>
              <w:bottom w:val="single" w:sz="4" w:space="0" w:color="A6A6A6"/>
            </w:tcBorders>
            <w:hideMark/>
          </w:tcPr>
          <w:p w14:paraId="56DD2CF1" w14:textId="77777777" w:rsidR="00CE75D4" w:rsidRPr="00140535" w:rsidRDefault="00CE75D4" w:rsidP="008340C1">
            <w:pPr>
              <w:pStyle w:val="ARfintablebody"/>
              <w:spacing w:before="10" w:after="10" w:line="228" w:lineRule="auto"/>
              <w:rPr>
                <w:sz w:val="17"/>
                <w:szCs w:val="17"/>
              </w:rPr>
            </w:pPr>
            <w:r w:rsidRPr="00140535">
              <w:rPr>
                <w:sz w:val="17"/>
                <w:szCs w:val="17"/>
              </w:rPr>
              <w:t>Grants</w:t>
            </w:r>
          </w:p>
        </w:tc>
        <w:tc>
          <w:tcPr>
            <w:tcW w:w="851" w:type="dxa"/>
            <w:tcBorders>
              <w:top w:val="single" w:sz="4" w:space="0" w:color="A6A6A6"/>
              <w:bottom w:val="single" w:sz="4" w:space="0" w:color="A6A6A6"/>
            </w:tcBorders>
            <w:noWrap/>
            <w:hideMark/>
          </w:tcPr>
          <w:p w14:paraId="7E12070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2,766.8</w:t>
            </w:r>
          </w:p>
        </w:tc>
        <w:tc>
          <w:tcPr>
            <w:tcW w:w="851" w:type="dxa"/>
            <w:tcBorders>
              <w:top w:val="single" w:sz="4" w:space="0" w:color="A6A6A6"/>
              <w:bottom w:val="single" w:sz="4" w:space="0" w:color="A6A6A6"/>
            </w:tcBorders>
            <w:noWrap/>
            <w:hideMark/>
          </w:tcPr>
          <w:p w14:paraId="14A4331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96.1</w:t>
            </w:r>
          </w:p>
        </w:tc>
        <w:tc>
          <w:tcPr>
            <w:tcW w:w="851" w:type="dxa"/>
            <w:tcBorders>
              <w:top w:val="single" w:sz="4" w:space="0" w:color="A6A6A6"/>
              <w:bottom w:val="single" w:sz="4" w:space="0" w:color="A6A6A6"/>
            </w:tcBorders>
            <w:noWrap/>
            <w:hideMark/>
          </w:tcPr>
          <w:p w14:paraId="7A49D9B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E3331A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237.4</w:t>
            </w:r>
          </w:p>
        </w:tc>
        <w:tc>
          <w:tcPr>
            <w:tcW w:w="851" w:type="dxa"/>
            <w:tcBorders>
              <w:top w:val="single" w:sz="4" w:space="0" w:color="A6A6A6"/>
              <w:bottom w:val="single" w:sz="4" w:space="0" w:color="A6A6A6"/>
            </w:tcBorders>
            <w:noWrap/>
            <w:hideMark/>
          </w:tcPr>
          <w:p w14:paraId="0D05AA0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D58322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B88955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1D6645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8D4B58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345A86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3.9</w:t>
            </w:r>
          </w:p>
        </w:tc>
        <w:tc>
          <w:tcPr>
            <w:tcW w:w="851" w:type="dxa"/>
            <w:tcBorders>
              <w:top w:val="single" w:sz="4" w:space="0" w:color="A6A6A6"/>
              <w:bottom w:val="single" w:sz="4" w:space="0" w:color="A6A6A6"/>
            </w:tcBorders>
            <w:noWrap/>
            <w:hideMark/>
          </w:tcPr>
          <w:p w14:paraId="025B655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74CA61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14.5</w:t>
            </w:r>
          </w:p>
        </w:tc>
        <w:tc>
          <w:tcPr>
            <w:tcW w:w="851" w:type="dxa"/>
            <w:tcBorders>
              <w:top w:val="single" w:sz="4" w:space="0" w:color="A6A6A6"/>
              <w:bottom w:val="single" w:sz="4" w:space="0" w:color="A6A6A6"/>
            </w:tcBorders>
            <w:noWrap/>
            <w:hideMark/>
          </w:tcPr>
          <w:p w14:paraId="228C52C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469.6</w:t>
            </w:r>
          </w:p>
        </w:tc>
      </w:tr>
      <w:tr w:rsidR="00CE75D4" w:rsidRPr="00C0495C" w14:paraId="1B676F79" w14:textId="77777777" w:rsidTr="008340C1">
        <w:trPr>
          <w:cantSplit w:val="0"/>
          <w:trHeight w:val="170"/>
        </w:trPr>
        <w:tc>
          <w:tcPr>
            <w:tcW w:w="3402" w:type="dxa"/>
            <w:tcBorders>
              <w:top w:val="single" w:sz="4" w:space="0" w:color="A6A6A6"/>
              <w:bottom w:val="single" w:sz="4" w:space="0" w:color="A6A6A6"/>
            </w:tcBorders>
            <w:hideMark/>
          </w:tcPr>
          <w:p w14:paraId="48B072A7" w14:textId="77777777" w:rsidR="00CE75D4" w:rsidRPr="00140535" w:rsidRDefault="00CE75D4" w:rsidP="008340C1">
            <w:pPr>
              <w:pStyle w:val="ARfintablebody"/>
              <w:spacing w:before="10" w:after="10" w:line="228" w:lineRule="auto"/>
              <w:rPr>
                <w:sz w:val="17"/>
                <w:szCs w:val="17"/>
              </w:rPr>
            </w:pPr>
            <w:r w:rsidRPr="00140535">
              <w:rPr>
                <w:sz w:val="17"/>
                <w:szCs w:val="17"/>
              </w:rPr>
              <w:t xml:space="preserve">Fair value of assets and services received </w:t>
            </w:r>
            <w:r w:rsidRPr="00140535">
              <w:rPr>
                <w:sz w:val="17"/>
                <w:szCs w:val="17"/>
              </w:rPr>
              <w:br/>
              <w:t>free of charge or for nominal consideration</w:t>
            </w:r>
          </w:p>
        </w:tc>
        <w:tc>
          <w:tcPr>
            <w:tcW w:w="851" w:type="dxa"/>
            <w:tcBorders>
              <w:top w:val="single" w:sz="4" w:space="0" w:color="A6A6A6"/>
              <w:bottom w:val="single" w:sz="4" w:space="0" w:color="A6A6A6"/>
            </w:tcBorders>
            <w:noWrap/>
            <w:hideMark/>
          </w:tcPr>
          <w:p w14:paraId="342B488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1.8</w:t>
            </w:r>
          </w:p>
        </w:tc>
        <w:tc>
          <w:tcPr>
            <w:tcW w:w="851" w:type="dxa"/>
            <w:tcBorders>
              <w:top w:val="single" w:sz="4" w:space="0" w:color="A6A6A6"/>
              <w:bottom w:val="single" w:sz="4" w:space="0" w:color="A6A6A6"/>
            </w:tcBorders>
            <w:noWrap/>
            <w:hideMark/>
          </w:tcPr>
          <w:p w14:paraId="7B8B724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FAB45C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8A11AF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793711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E6705A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151BB2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784AF6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84B3C5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956E1F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526E2E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FDC41B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FD0E17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r>
      <w:tr w:rsidR="00CE75D4" w:rsidRPr="00C0495C" w14:paraId="5EA01B3D" w14:textId="77777777" w:rsidTr="008340C1">
        <w:trPr>
          <w:cantSplit w:val="0"/>
          <w:trHeight w:val="170"/>
        </w:trPr>
        <w:tc>
          <w:tcPr>
            <w:tcW w:w="3402" w:type="dxa"/>
            <w:tcBorders>
              <w:top w:val="single" w:sz="4" w:space="0" w:color="A6A6A6"/>
            </w:tcBorders>
            <w:hideMark/>
          </w:tcPr>
          <w:p w14:paraId="6A2C407C" w14:textId="77777777" w:rsidR="00CE75D4" w:rsidRPr="00140535" w:rsidRDefault="00CE75D4" w:rsidP="008340C1">
            <w:pPr>
              <w:pStyle w:val="ARfintablebody"/>
              <w:spacing w:before="10" w:after="10" w:line="228" w:lineRule="auto"/>
              <w:rPr>
                <w:sz w:val="17"/>
                <w:szCs w:val="17"/>
              </w:rPr>
            </w:pPr>
            <w:r w:rsidRPr="00140535">
              <w:rPr>
                <w:sz w:val="17"/>
                <w:szCs w:val="17"/>
              </w:rPr>
              <w:t>Other income</w:t>
            </w:r>
          </w:p>
        </w:tc>
        <w:tc>
          <w:tcPr>
            <w:tcW w:w="851" w:type="dxa"/>
            <w:tcBorders>
              <w:top w:val="single" w:sz="4" w:space="0" w:color="A6A6A6"/>
            </w:tcBorders>
            <w:noWrap/>
            <w:hideMark/>
          </w:tcPr>
          <w:p w14:paraId="3EB2B27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15.6</w:t>
            </w:r>
          </w:p>
        </w:tc>
        <w:tc>
          <w:tcPr>
            <w:tcW w:w="851" w:type="dxa"/>
            <w:tcBorders>
              <w:top w:val="single" w:sz="4" w:space="0" w:color="A6A6A6"/>
            </w:tcBorders>
            <w:noWrap/>
            <w:hideMark/>
          </w:tcPr>
          <w:p w14:paraId="687605E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12CE4ED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0FB407C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0.2</w:t>
            </w:r>
          </w:p>
        </w:tc>
        <w:tc>
          <w:tcPr>
            <w:tcW w:w="851" w:type="dxa"/>
            <w:tcBorders>
              <w:top w:val="single" w:sz="4" w:space="0" w:color="A6A6A6"/>
            </w:tcBorders>
            <w:noWrap/>
            <w:hideMark/>
          </w:tcPr>
          <w:p w14:paraId="089ACCB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35AD1CA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4D3193D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1.1</w:t>
            </w:r>
          </w:p>
        </w:tc>
        <w:tc>
          <w:tcPr>
            <w:tcW w:w="851" w:type="dxa"/>
            <w:tcBorders>
              <w:top w:val="single" w:sz="4" w:space="0" w:color="A6A6A6"/>
            </w:tcBorders>
            <w:noWrap/>
            <w:hideMark/>
          </w:tcPr>
          <w:p w14:paraId="0200FF5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7B505F7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556BD85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2557462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202B9AD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43DF0A6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2.2</w:t>
            </w:r>
          </w:p>
        </w:tc>
      </w:tr>
      <w:tr w:rsidR="00CE75D4" w:rsidRPr="00C0495C" w14:paraId="67D09DD4" w14:textId="77777777" w:rsidTr="008340C1">
        <w:trPr>
          <w:cantSplit w:val="0"/>
          <w:trHeight w:val="170"/>
        </w:trPr>
        <w:tc>
          <w:tcPr>
            <w:tcW w:w="3402" w:type="dxa"/>
            <w:tcBorders>
              <w:bottom w:val="single" w:sz="4" w:space="0" w:color="auto"/>
            </w:tcBorders>
            <w:hideMark/>
          </w:tcPr>
          <w:p w14:paraId="3F41E7F9" w14:textId="77777777" w:rsidR="00CE75D4" w:rsidRPr="00140535" w:rsidRDefault="00CE75D4" w:rsidP="008340C1">
            <w:pPr>
              <w:pStyle w:val="ARfintablebodybold"/>
              <w:spacing w:before="10" w:after="10" w:line="228" w:lineRule="auto"/>
              <w:rPr>
                <w:rFonts w:cs="Arial"/>
                <w:sz w:val="17"/>
                <w:szCs w:val="17"/>
              </w:rPr>
            </w:pPr>
            <w:r w:rsidRPr="00140535">
              <w:rPr>
                <w:rFonts w:cs="Arial"/>
                <w:sz w:val="17"/>
                <w:szCs w:val="17"/>
              </w:rPr>
              <w:t>Total revenue and income from transactions</w:t>
            </w:r>
          </w:p>
        </w:tc>
        <w:tc>
          <w:tcPr>
            <w:tcW w:w="851" w:type="dxa"/>
            <w:tcBorders>
              <w:bottom w:val="single" w:sz="4" w:space="0" w:color="auto"/>
            </w:tcBorders>
            <w:noWrap/>
            <w:hideMark/>
          </w:tcPr>
          <w:p w14:paraId="5E6D1C1D"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11,833.2</w:t>
            </w:r>
          </w:p>
        </w:tc>
        <w:tc>
          <w:tcPr>
            <w:tcW w:w="851" w:type="dxa"/>
            <w:tcBorders>
              <w:bottom w:val="single" w:sz="4" w:space="0" w:color="auto"/>
            </w:tcBorders>
            <w:noWrap/>
            <w:hideMark/>
          </w:tcPr>
          <w:p w14:paraId="1ADC6A84"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1,123.4</w:t>
            </w:r>
          </w:p>
        </w:tc>
        <w:tc>
          <w:tcPr>
            <w:tcW w:w="851" w:type="dxa"/>
            <w:tcBorders>
              <w:bottom w:val="single" w:sz="4" w:space="0" w:color="auto"/>
            </w:tcBorders>
            <w:noWrap/>
            <w:hideMark/>
          </w:tcPr>
          <w:p w14:paraId="14EF0599"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388.7</w:t>
            </w:r>
          </w:p>
        </w:tc>
        <w:tc>
          <w:tcPr>
            <w:tcW w:w="851" w:type="dxa"/>
            <w:tcBorders>
              <w:bottom w:val="single" w:sz="4" w:space="0" w:color="auto"/>
            </w:tcBorders>
            <w:noWrap/>
            <w:hideMark/>
          </w:tcPr>
          <w:p w14:paraId="30B6888A"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318.0</w:t>
            </w:r>
          </w:p>
        </w:tc>
        <w:tc>
          <w:tcPr>
            <w:tcW w:w="851" w:type="dxa"/>
            <w:tcBorders>
              <w:bottom w:val="single" w:sz="4" w:space="0" w:color="auto"/>
            </w:tcBorders>
            <w:noWrap/>
            <w:hideMark/>
          </w:tcPr>
          <w:p w14:paraId="65A0D452"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117.4</w:t>
            </w:r>
          </w:p>
        </w:tc>
        <w:tc>
          <w:tcPr>
            <w:tcW w:w="851" w:type="dxa"/>
            <w:tcBorders>
              <w:bottom w:val="single" w:sz="4" w:space="0" w:color="auto"/>
            </w:tcBorders>
            <w:noWrap/>
            <w:hideMark/>
          </w:tcPr>
          <w:p w14:paraId="65FE44D9"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58.1</w:t>
            </w:r>
          </w:p>
        </w:tc>
        <w:tc>
          <w:tcPr>
            <w:tcW w:w="851" w:type="dxa"/>
            <w:tcBorders>
              <w:bottom w:val="single" w:sz="4" w:space="0" w:color="auto"/>
            </w:tcBorders>
            <w:noWrap/>
            <w:hideMark/>
          </w:tcPr>
          <w:p w14:paraId="66A42AB9"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129.6</w:t>
            </w:r>
          </w:p>
        </w:tc>
        <w:tc>
          <w:tcPr>
            <w:tcW w:w="851" w:type="dxa"/>
            <w:tcBorders>
              <w:bottom w:val="single" w:sz="4" w:space="0" w:color="auto"/>
            </w:tcBorders>
            <w:noWrap/>
            <w:hideMark/>
          </w:tcPr>
          <w:p w14:paraId="4307D8A5"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213.7</w:t>
            </w:r>
          </w:p>
        </w:tc>
        <w:tc>
          <w:tcPr>
            <w:tcW w:w="851" w:type="dxa"/>
            <w:tcBorders>
              <w:bottom w:val="single" w:sz="4" w:space="0" w:color="auto"/>
            </w:tcBorders>
            <w:noWrap/>
            <w:hideMark/>
          </w:tcPr>
          <w:p w14:paraId="1F0EF8D3"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975.8</w:t>
            </w:r>
          </w:p>
        </w:tc>
        <w:tc>
          <w:tcPr>
            <w:tcW w:w="851" w:type="dxa"/>
            <w:tcBorders>
              <w:bottom w:val="single" w:sz="4" w:space="0" w:color="auto"/>
            </w:tcBorders>
            <w:noWrap/>
            <w:hideMark/>
          </w:tcPr>
          <w:p w14:paraId="1C6C8A0D"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145.9</w:t>
            </w:r>
          </w:p>
        </w:tc>
        <w:tc>
          <w:tcPr>
            <w:tcW w:w="851" w:type="dxa"/>
            <w:tcBorders>
              <w:bottom w:val="single" w:sz="4" w:space="0" w:color="auto"/>
            </w:tcBorders>
            <w:noWrap/>
            <w:hideMark/>
          </w:tcPr>
          <w:p w14:paraId="0AF8CE92"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41.5</w:t>
            </w:r>
          </w:p>
        </w:tc>
        <w:tc>
          <w:tcPr>
            <w:tcW w:w="851" w:type="dxa"/>
            <w:tcBorders>
              <w:bottom w:val="single" w:sz="4" w:space="0" w:color="auto"/>
            </w:tcBorders>
            <w:noWrap/>
            <w:hideMark/>
          </w:tcPr>
          <w:p w14:paraId="06197336"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336.1</w:t>
            </w:r>
          </w:p>
        </w:tc>
        <w:tc>
          <w:tcPr>
            <w:tcW w:w="851" w:type="dxa"/>
            <w:tcBorders>
              <w:bottom w:val="single" w:sz="4" w:space="0" w:color="auto"/>
            </w:tcBorders>
            <w:noWrap/>
            <w:hideMark/>
          </w:tcPr>
          <w:p w14:paraId="19658CA0"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1,568.</w:t>
            </w:r>
            <w:r>
              <w:rPr>
                <w:sz w:val="17"/>
                <w:szCs w:val="17"/>
              </w:rPr>
              <w:t>2</w:t>
            </w:r>
          </w:p>
        </w:tc>
      </w:tr>
      <w:tr w:rsidR="00CE75D4" w:rsidRPr="00C0495C" w14:paraId="4850F744" w14:textId="77777777" w:rsidTr="008340C1">
        <w:trPr>
          <w:cantSplit w:val="0"/>
          <w:trHeight w:val="170"/>
        </w:trPr>
        <w:tc>
          <w:tcPr>
            <w:tcW w:w="3402" w:type="dxa"/>
            <w:gridSpan w:val="14"/>
            <w:tcBorders>
              <w:top w:val="single" w:sz="4" w:space="0" w:color="A6A6A6"/>
              <w:bottom w:val="single" w:sz="4" w:space="0" w:color="A6A6A6"/>
            </w:tcBorders>
          </w:tcPr>
          <w:p w14:paraId="4943C7B3" w14:textId="77777777" w:rsidR="00CE75D4" w:rsidRPr="00140535" w:rsidRDefault="00CE75D4" w:rsidP="008340C1">
            <w:pPr>
              <w:pStyle w:val="ARfintablebodybold"/>
              <w:spacing w:before="10" w:after="10" w:line="228" w:lineRule="auto"/>
              <w:rPr>
                <w:rFonts w:cs="Arial"/>
                <w:sz w:val="17"/>
                <w:szCs w:val="17"/>
              </w:rPr>
            </w:pPr>
            <w:r w:rsidRPr="00140535">
              <w:rPr>
                <w:rFonts w:cs="Arial"/>
                <w:sz w:val="17"/>
                <w:szCs w:val="17"/>
              </w:rPr>
              <w:t>Expenses from transactions</w:t>
            </w:r>
          </w:p>
        </w:tc>
      </w:tr>
      <w:tr w:rsidR="00CE75D4" w:rsidRPr="00C0495C" w14:paraId="4FBD97C1" w14:textId="77777777" w:rsidTr="008340C1">
        <w:trPr>
          <w:cantSplit w:val="0"/>
          <w:trHeight w:val="170"/>
        </w:trPr>
        <w:tc>
          <w:tcPr>
            <w:tcW w:w="3402" w:type="dxa"/>
            <w:tcBorders>
              <w:top w:val="single" w:sz="4" w:space="0" w:color="A6A6A6"/>
              <w:bottom w:val="single" w:sz="4" w:space="0" w:color="A6A6A6"/>
            </w:tcBorders>
            <w:hideMark/>
          </w:tcPr>
          <w:p w14:paraId="652AD25A" w14:textId="77777777" w:rsidR="00CE75D4" w:rsidRPr="00140535" w:rsidRDefault="00CE75D4" w:rsidP="008340C1">
            <w:pPr>
              <w:pStyle w:val="ARfintablebody"/>
              <w:spacing w:before="10" w:after="10" w:line="228" w:lineRule="auto"/>
              <w:rPr>
                <w:sz w:val="17"/>
                <w:szCs w:val="17"/>
              </w:rPr>
            </w:pPr>
            <w:r w:rsidRPr="00140535">
              <w:rPr>
                <w:sz w:val="17"/>
                <w:szCs w:val="17"/>
              </w:rPr>
              <w:t>Employee benefits</w:t>
            </w:r>
          </w:p>
        </w:tc>
        <w:tc>
          <w:tcPr>
            <w:tcW w:w="851" w:type="dxa"/>
            <w:tcBorders>
              <w:top w:val="single" w:sz="4" w:space="0" w:color="A6A6A6"/>
              <w:bottom w:val="single" w:sz="4" w:space="0" w:color="A6A6A6"/>
            </w:tcBorders>
            <w:noWrap/>
            <w:hideMark/>
          </w:tcPr>
          <w:p w14:paraId="36D4C10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222.</w:t>
            </w:r>
            <w:r>
              <w:rPr>
                <w:sz w:val="17"/>
                <w:szCs w:val="17"/>
              </w:rPr>
              <w:t>1</w:t>
            </w:r>
          </w:p>
        </w:tc>
        <w:tc>
          <w:tcPr>
            <w:tcW w:w="851" w:type="dxa"/>
            <w:tcBorders>
              <w:top w:val="single" w:sz="4" w:space="0" w:color="A6A6A6"/>
              <w:bottom w:val="single" w:sz="4" w:space="0" w:color="A6A6A6"/>
            </w:tcBorders>
            <w:noWrap/>
            <w:hideMark/>
          </w:tcPr>
          <w:p w14:paraId="1AFF015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6.7</w:t>
            </w:r>
          </w:p>
        </w:tc>
        <w:tc>
          <w:tcPr>
            <w:tcW w:w="851" w:type="dxa"/>
            <w:tcBorders>
              <w:top w:val="single" w:sz="4" w:space="0" w:color="A6A6A6"/>
              <w:bottom w:val="single" w:sz="4" w:space="0" w:color="A6A6A6"/>
            </w:tcBorders>
            <w:noWrap/>
            <w:hideMark/>
          </w:tcPr>
          <w:p w14:paraId="43E241F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2.4</w:t>
            </w:r>
          </w:p>
        </w:tc>
        <w:tc>
          <w:tcPr>
            <w:tcW w:w="851" w:type="dxa"/>
            <w:tcBorders>
              <w:top w:val="single" w:sz="4" w:space="0" w:color="A6A6A6"/>
              <w:bottom w:val="single" w:sz="4" w:space="0" w:color="A6A6A6"/>
            </w:tcBorders>
            <w:noWrap/>
            <w:hideMark/>
          </w:tcPr>
          <w:p w14:paraId="5A0A5E4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7.1</w:t>
            </w:r>
          </w:p>
        </w:tc>
        <w:tc>
          <w:tcPr>
            <w:tcW w:w="851" w:type="dxa"/>
            <w:tcBorders>
              <w:top w:val="single" w:sz="4" w:space="0" w:color="A6A6A6"/>
              <w:bottom w:val="single" w:sz="4" w:space="0" w:color="A6A6A6"/>
            </w:tcBorders>
            <w:noWrap/>
            <w:hideMark/>
          </w:tcPr>
          <w:p w14:paraId="5ACF9BB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7.8</w:t>
            </w:r>
          </w:p>
        </w:tc>
        <w:tc>
          <w:tcPr>
            <w:tcW w:w="851" w:type="dxa"/>
            <w:tcBorders>
              <w:top w:val="single" w:sz="4" w:space="0" w:color="A6A6A6"/>
              <w:bottom w:val="single" w:sz="4" w:space="0" w:color="A6A6A6"/>
            </w:tcBorders>
            <w:noWrap/>
            <w:hideMark/>
          </w:tcPr>
          <w:p w14:paraId="69949D3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0.8</w:t>
            </w:r>
          </w:p>
        </w:tc>
        <w:tc>
          <w:tcPr>
            <w:tcW w:w="851" w:type="dxa"/>
            <w:tcBorders>
              <w:top w:val="single" w:sz="4" w:space="0" w:color="A6A6A6"/>
              <w:bottom w:val="single" w:sz="4" w:space="0" w:color="A6A6A6"/>
            </w:tcBorders>
            <w:noWrap/>
            <w:hideMark/>
          </w:tcPr>
          <w:p w14:paraId="0560C8A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5.8</w:t>
            </w:r>
          </w:p>
        </w:tc>
        <w:tc>
          <w:tcPr>
            <w:tcW w:w="851" w:type="dxa"/>
            <w:tcBorders>
              <w:top w:val="single" w:sz="4" w:space="0" w:color="A6A6A6"/>
              <w:bottom w:val="single" w:sz="4" w:space="0" w:color="A6A6A6"/>
            </w:tcBorders>
            <w:noWrap/>
            <w:hideMark/>
          </w:tcPr>
          <w:p w14:paraId="6CFEC84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5.3</w:t>
            </w:r>
          </w:p>
        </w:tc>
        <w:tc>
          <w:tcPr>
            <w:tcW w:w="851" w:type="dxa"/>
            <w:tcBorders>
              <w:top w:val="single" w:sz="4" w:space="0" w:color="A6A6A6"/>
              <w:bottom w:val="single" w:sz="4" w:space="0" w:color="A6A6A6"/>
            </w:tcBorders>
            <w:noWrap/>
            <w:hideMark/>
          </w:tcPr>
          <w:p w14:paraId="0555E6D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3.5</w:t>
            </w:r>
          </w:p>
        </w:tc>
        <w:tc>
          <w:tcPr>
            <w:tcW w:w="851" w:type="dxa"/>
            <w:tcBorders>
              <w:top w:val="single" w:sz="4" w:space="0" w:color="A6A6A6"/>
              <w:bottom w:val="single" w:sz="4" w:space="0" w:color="A6A6A6"/>
            </w:tcBorders>
            <w:noWrap/>
            <w:hideMark/>
          </w:tcPr>
          <w:p w14:paraId="4B85B5F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1.0</w:t>
            </w:r>
          </w:p>
        </w:tc>
        <w:tc>
          <w:tcPr>
            <w:tcW w:w="851" w:type="dxa"/>
            <w:tcBorders>
              <w:top w:val="single" w:sz="4" w:space="0" w:color="A6A6A6"/>
              <w:bottom w:val="single" w:sz="4" w:space="0" w:color="A6A6A6"/>
            </w:tcBorders>
            <w:noWrap/>
            <w:hideMark/>
          </w:tcPr>
          <w:p w14:paraId="63A2F29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6.4</w:t>
            </w:r>
          </w:p>
        </w:tc>
        <w:tc>
          <w:tcPr>
            <w:tcW w:w="851" w:type="dxa"/>
            <w:tcBorders>
              <w:top w:val="single" w:sz="4" w:space="0" w:color="A6A6A6"/>
              <w:bottom w:val="single" w:sz="4" w:space="0" w:color="A6A6A6"/>
            </w:tcBorders>
            <w:noWrap/>
            <w:hideMark/>
          </w:tcPr>
          <w:p w14:paraId="7D4067B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6.5</w:t>
            </w:r>
          </w:p>
        </w:tc>
        <w:tc>
          <w:tcPr>
            <w:tcW w:w="851" w:type="dxa"/>
            <w:tcBorders>
              <w:top w:val="single" w:sz="4" w:space="0" w:color="A6A6A6"/>
              <w:bottom w:val="single" w:sz="4" w:space="0" w:color="A6A6A6"/>
            </w:tcBorders>
            <w:noWrap/>
            <w:hideMark/>
          </w:tcPr>
          <w:p w14:paraId="2AD886F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55.8</w:t>
            </w:r>
          </w:p>
        </w:tc>
      </w:tr>
      <w:tr w:rsidR="00CE75D4" w:rsidRPr="00C0495C" w14:paraId="6D93EFFA" w14:textId="77777777" w:rsidTr="008340C1">
        <w:trPr>
          <w:cantSplit w:val="0"/>
          <w:trHeight w:val="170"/>
        </w:trPr>
        <w:tc>
          <w:tcPr>
            <w:tcW w:w="3402" w:type="dxa"/>
            <w:tcBorders>
              <w:top w:val="single" w:sz="4" w:space="0" w:color="A6A6A6"/>
              <w:bottom w:val="single" w:sz="4" w:space="0" w:color="A6A6A6"/>
            </w:tcBorders>
            <w:hideMark/>
          </w:tcPr>
          <w:p w14:paraId="3773968A" w14:textId="77777777" w:rsidR="00CE75D4" w:rsidRPr="00140535" w:rsidRDefault="00CE75D4" w:rsidP="008340C1">
            <w:pPr>
              <w:pStyle w:val="ARfintablebody"/>
              <w:spacing w:before="10" w:after="10" w:line="228" w:lineRule="auto"/>
              <w:rPr>
                <w:sz w:val="17"/>
                <w:szCs w:val="17"/>
              </w:rPr>
            </w:pPr>
            <w:r w:rsidRPr="00140535">
              <w:rPr>
                <w:sz w:val="17"/>
                <w:szCs w:val="17"/>
              </w:rPr>
              <w:t>Depreciation and amortisation</w:t>
            </w:r>
          </w:p>
        </w:tc>
        <w:tc>
          <w:tcPr>
            <w:tcW w:w="851" w:type="dxa"/>
            <w:tcBorders>
              <w:top w:val="single" w:sz="4" w:space="0" w:color="A6A6A6"/>
              <w:bottom w:val="single" w:sz="4" w:space="0" w:color="A6A6A6"/>
            </w:tcBorders>
            <w:noWrap/>
            <w:hideMark/>
          </w:tcPr>
          <w:p w14:paraId="6862F44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16.4</w:t>
            </w:r>
          </w:p>
        </w:tc>
        <w:tc>
          <w:tcPr>
            <w:tcW w:w="851" w:type="dxa"/>
            <w:tcBorders>
              <w:top w:val="single" w:sz="4" w:space="0" w:color="A6A6A6"/>
              <w:bottom w:val="single" w:sz="4" w:space="0" w:color="A6A6A6"/>
            </w:tcBorders>
            <w:noWrap/>
            <w:hideMark/>
          </w:tcPr>
          <w:p w14:paraId="374291A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FDA742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AA7F19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7ECD2E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0.7</w:t>
            </w:r>
          </w:p>
        </w:tc>
        <w:tc>
          <w:tcPr>
            <w:tcW w:w="851" w:type="dxa"/>
            <w:tcBorders>
              <w:top w:val="single" w:sz="4" w:space="0" w:color="A6A6A6"/>
              <w:bottom w:val="single" w:sz="4" w:space="0" w:color="A6A6A6"/>
            </w:tcBorders>
            <w:noWrap/>
            <w:hideMark/>
          </w:tcPr>
          <w:p w14:paraId="4363AA9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194C91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0.2</w:t>
            </w:r>
          </w:p>
        </w:tc>
        <w:tc>
          <w:tcPr>
            <w:tcW w:w="851" w:type="dxa"/>
            <w:tcBorders>
              <w:top w:val="single" w:sz="4" w:space="0" w:color="A6A6A6"/>
              <w:bottom w:val="single" w:sz="4" w:space="0" w:color="A6A6A6"/>
            </w:tcBorders>
            <w:noWrap/>
            <w:hideMark/>
          </w:tcPr>
          <w:p w14:paraId="23F417F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648C5B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0D6971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36E0B8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0.1</w:t>
            </w:r>
          </w:p>
        </w:tc>
        <w:tc>
          <w:tcPr>
            <w:tcW w:w="851" w:type="dxa"/>
            <w:tcBorders>
              <w:top w:val="single" w:sz="4" w:space="0" w:color="A6A6A6"/>
              <w:bottom w:val="single" w:sz="4" w:space="0" w:color="A6A6A6"/>
            </w:tcBorders>
            <w:noWrap/>
            <w:hideMark/>
          </w:tcPr>
          <w:p w14:paraId="7FBCA47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3.4</w:t>
            </w:r>
          </w:p>
        </w:tc>
        <w:tc>
          <w:tcPr>
            <w:tcW w:w="851" w:type="dxa"/>
            <w:tcBorders>
              <w:top w:val="single" w:sz="4" w:space="0" w:color="A6A6A6"/>
              <w:bottom w:val="single" w:sz="4" w:space="0" w:color="A6A6A6"/>
            </w:tcBorders>
            <w:noWrap/>
            <w:hideMark/>
          </w:tcPr>
          <w:p w14:paraId="02FE371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9.1</w:t>
            </w:r>
          </w:p>
        </w:tc>
      </w:tr>
      <w:tr w:rsidR="00CE75D4" w:rsidRPr="00C0495C" w14:paraId="4190D233" w14:textId="77777777" w:rsidTr="008340C1">
        <w:trPr>
          <w:cantSplit w:val="0"/>
          <w:trHeight w:val="170"/>
        </w:trPr>
        <w:tc>
          <w:tcPr>
            <w:tcW w:w="3402" w:type="dxa"/>
            <w:tcBorders>
              <w:top w:val="single" w:sz="4" w:space="0" w:color="A6A6A6"/>
              <w:bottom w:val="single" w:sz="4" w:space="0" w:color="A6A6A6"/>
            </w:tcBorders>
            <w:hideMark/>
          </w:tcPr>
          <w:p w14:paraId="5F6A315F" w14:textId="77777777" w:rsidR="00CE75D4" w:rsidRPr="00140535" w:rsidRDefault="00CE75D4" w:rsidP="008340C1">
            <w:pPr>
              <w:pStyle w:val="ARfintablebody"/>
              <w:spacing w:before="10" w:after="10" w:line="228" w:lineRule="auto"/>
              <w:rPr>
                <w:sz w:val="17"/>
                <w:szCs w:val="17"/>
              </w:rPr>
            </w:pPr>
            <w:r w:rsidRPr="00140535">
              <w:rPr>
                <w:sz w:val="17"/>
                <w:szCs w:val="17"/>
              </w:rPr>
              <w:t>Interest expense</w:t>
            </w:r>
          </w:p>
        </w:tc>
        <w:tc>
          <w:tcPr>
            <w:tcW w:w="851" w:type="dxa"/>
            <w:tcBorders>
              <w:top w:val="single" w:sz="4" w:space="0" w:color="A6A6A6"/>
              <w:bottom w:val="single" w:sz="4" w:space="0" w:color="A6A6A6"/>
            </w:tcBorders>
            <w:noWrap/>
            <w:hideMark/>
          </w:tcPr>
          <w:p w14:paraId="07F4FB5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14.4</w:t>
            </w:r>
          </w:p>
        </w:tc>
        <w:tc>
          <w:tcPr>
            <w:tcW w:w="851" w:type="dxa"/>
            <w:tcBorders>
              <w:top w:val="single" w:sz="4" w:space="0" w:color="A6A6A6"/>
              <w:bottom w:val="single" w:sz="4" w:space="0" w:color="A6A6A6"/>
            </w:tcBorders>
            <w:noWrap/>
            <w:hideMark/>
          </w:tcPr>
          <w:p w14:paraId="5C5A9BF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B1EDD8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A263D3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808574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308296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B288D7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DC7C14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34DCF3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B12C9A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ACE8AF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0B71A2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B720E0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r>
      <w:tr w:rsidR="00CE75D4" w:rsidRPr="00C0495C" w14:paraId="7F613D8A" w14:textId="77777777" w:rsidTr="008340C1">
        <w:trPr>
          <w:cantSplit w:val="0"/>
          <w:trHeight w:val="170"/>
        </w:trPr>
        <w:tc>
          <w:tcPr>
            <w:tcW w:w="3402" w:type="dxa"/>
            <w:tcBorders>
              <w:top w:val="single" w:sz="4" w:space="0" w:color="A6A6A6"/>
              <w:bottom w:val="single" w:sz="4" w:space="0" w:color="A6A6A6"/>
            </w:tcBorders>
            <w:hideMark/>
          </w:tcPr>
          <w:p w14:paraId="6BDCB615" w14:textId="77777777" w:rsidR="00CE75D4" w:rsidRPr="00140535" w:rsidRDefault="00CE75D4" w:rsidP="008340C1">
            <w:pPr>
              <w:pStyle w:val="ARfintablebody"/>
              <w:spacing w:before="10" w:after="10" w:line="228" w:lineRule="auto"/>
              <w:rPr>
                <w:sz w:val="17"/>
                <w:szCs w:val="17"/>
              </w:rPr>
            </w:pPr>
            <w:r w:rsidRPr="00140535">
              <w:rPr>
                <w:sz w:val="17"/>
                <w:szCs w:val="17"/>
              </w:rPr>
              <w:t>Maintenance</w:t>
            </w:r>
          </w:p>
        </w:tc>
        <w:tc>
          <w:tcPr>
            <w:tcW w:w="851" w:type="dxa"/>
            <w:tcBorders>
              <w:top w:val="single" w:sz="4" w:space="0" w:color="A6A6A6"/>
              <w:bottom w:val="single" w:sz="4" w:space="0" w:color="A6A6A6"/>
            </w:tcBorders>
            <w:noWrap/>
            <w:hideMark/>
          </w:tcPr>
          <w:p w14:paraId="0D422F6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0.5</w:t>
            </w:r>
          </w:p>
        </w:tc>
        <w:tc>
          <w:tcPr>
            <w:tcW w:w="851" w:type="dxa"/>
            <w:tcBorders>
              <w:top w:val="single" w:sz="4" w:space="0" w:color="A6A6A6"/>
              <w:bottom w:val="single" w:sz="4" w:space="0" w:color="A6A6A6"/>
            </w:tcBorders>
            <w:noWrap/>
            <w:hideMark/>
          </w:tcPr>
          <w:p w14:paraId="3F20575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6C423F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DA46F6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852B6D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83DD3B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6F0CDE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F1710D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2EF169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941DDE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EEA618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0AC288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79B643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0.2</w:t>
            </w:r>
          </w:p>
        </w:tc>
      </w:tr>
      <w:tr w:rsidR="00CE75D4" w:rsidRPr="00C0495C" w14:paraId="10FF5B74" w14:textId="77777777" w:rsidTr="008340C1">
        <w:trPr>
          <w:cantSplit w:val="0"/>
          <w:trHeight w:val="170"/>
        </w:trPr>
        <w:tc>
          <w:tcPr>
            <w:tcW w:w="3402" w:type="dxa"/>
            <w:tcBorders>
              <w:top w:val="single" w:sz="4" w:space="0" w:color="A6A6A6"/>
              <w:bottom w:val="single" w:sz="4" w:space="0" w:color="A6A6A6"/>
            </w:tcBorders>
            <w:hideMark/>
          </w:tcPr>
          <w:p w14:paraId="5082DEFA" w14:textId="77777777" w:rsidR="00CE75D4" w:rsidRPr="00140535" w:rsidRDefault="00CE75D4" w:rsidP="008340C1">
            <w:pPr>
              <w:pStyle w:val="ARfintablebody"/>
              <w:spacing w:before="10" w:after="10" w:line="228" w:lineRule="auto"/>
              <w:rPr>
                <w:sz w:val="17"/>
                <w:szCs w:val="17"/>
              </w:rPr>
            </w:pPr>
            <w:r w:rsidRPr="00140535">
              <w:rPr>
                <w:sz w:val="17"/>
                <w:szCs w:val="17"/>
              </w:rPr>
              <w:t>Grants and other expense transfers</w:t>
            </w:r>
          </w:p>
        </w:tc>
        <w:tc>
          <w:tcPr>
            <w:tcW w:w="851" w:type="dxa"/>
            <w:tcBorders>
              <w:top w:val="single" w:sz="4" w:space="0" w:color="A6A6A6"/>
              <w:bottom w:val="single" w:sz="4" w:space="0" w:color="A6A6A6"/>
            </w:tcBorders>
            <w:noWrap/>
            <w:hideMark/>
          </w:tcPr>
          <w:p w14:paraId="47B102C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10,831.</w:t>
            </w:r>
            <w:r>
              <w:rPr>
                <w:sz w:val="17"/>
                <w:szCs w:val="17"/>
              </w:rPr>
              <w:t>6</w:t>
            </w:r>
          </w:p>
        </w:tc>
        <w:tc>
          <w:tcPr>
            <w:tcW w:w="851" w:type="dxa"/>
            <w:tcBorders>
              <w:top w:val="single" w:sz="4" w:space="0" w:color="A6A6A6"/>
              <w:bottom w:val="single" w:sz="4" w:space="0" w:color="A6A6A6"/>
            </w:tcBorders>
            <w:noWrap/>
            <w:hideMark/>
          </w:tcPr>
          <w:p w14:paraId="6CC52E1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973.9</w:t>
            </w:r>
          </w:p>
        </w:tc>
        <w:tc>
          <w:tcPr>
            <w:tcW w:w="851" w:type="dxa"/>
            <w:tcBorders>
              <w:top w:val="single" w:sz="4" w:space="0" w:color="A6A6A6"/>
              <w:bottom w:val="single" w:sz="4" w:space="0" w:color="A6A6A6"/>
            </w:tcBorders>
            <w:noWrap/>
            <w:hideMark/>
          </w:tcPr>
          <w:p w14:paraId="6386FED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350.8</w:t>
            </w:r>
          </w:p>
        </w:tc>
        <w:tc>
          <w:tcPr>
            <w:tcW w:w="851" w:type="dxa"/>
            <w:tcBorders>
              <w:top w:val="single" w:sz="4" w:space="0" w:color="A6A6A6"/>
              <w:bottom w:val="single" w:sz="4" w:space="0" w:color="A6A6A6"/>
            </w:tcBorders>
            <w:noWrap/>
            <w:hideMark/>
          </w:tcPr>
          <w:p w14:paraId="4CEBD5D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288.8</w:t>
            </w:r>
          </w:p>
        </w:tc>
        <w:tc>
          <w:tcPr>
            <w:tcW w:w="851" w:type="dxa"/>
            <w:tcBorders>
              <w:top w:val="single" w:sz="4" w:space="0" w:color="A6A6A6"/>
              <w:bottom w:val="single" w:sz="4" w:space="0" w:color="A6A6A6"/>
            </w:tcBorders>
            <w:noWrap/>
            <w:hideMark/>
          </w:tcPr>
          <w:p w14:paraId="0E76D75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134.3</w:t>
            </w:r>
          </w:p>
        </w:tc>
        <w:tc>
          <w:tcPr>
            <w:tcW w:w="851" w:type="dxa"/>
            <w:tcBorders>
              <w:top w:val="single" w:sz="4" w:space="0" w:color="A6A6A6"/>
              <w:bottom w:val="single" w:sz="4" w:space="0" w:color="A6A6A6"/>
            </w:tcBorders>
            <w:noWrap/>
            <w:hideMark/>
          </w:tcPr>
          <w:p w14:paraId="002F2C3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46.6</w:t>
            </w:r>
          </w:p>
        </w:tc>
        <w:tc>
          <w:tcPr>
            <w:tcW w:w="851" w:type="dxa"/>
            <w:tcBorders>
              <w:top w:val="single" w:sz="4" w:space="0" w:color="A6A6A6"/>
              <w:bottom w:val="single" w:sz="4" w:space="0" w:color="A6A6A6"/>
            </w:tcBorders>
            <w:noWrap/>
            <w:hideMark/>
          </w:tcPr>
          <w:p w14:paraId="2CBF57F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110.3</w:t>
            </w:r>
          </w:p>
        </w:tc>
        <w:tc>
          <w:tcPr>
            <w:tcW w:w="851" w:type="dxa"/>
            <w:tcBorders>
              <w:top w:val="single" w:sz="4" w:space="0" w:color="A6A6A6"/>
              <w:bottom w:val="single" w:sz="4" w:space="0" w:color="A6A6A6"/>
            </w:tcBorders>
            <w:noWrap/>
            <w:hideMark/>
          </w:tcPr>
          <w:p w14:paraId="439ED52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176.8</w:t>
            </w:r>
          </w:p>
        </w:tc>
        <w:tc>
          <w:tcPr>
            <w:tcW w:w="851" w:type="dxa"/>
            <w:tcBorders>
              <w:top w:val="single" w:sz="4" w:space="0" w:color="A6A6A6"/>
              <w:bottom w:val="single" w:sz="4" w:space="0" w:color="A6A6A6"/>
            </w:tcBorders>
            <w:noWrap/>
            <w:hideMark/>
          </w:tcPr>
          <w:p w14:paraId="3F65394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906.9</w:t>
            </w:r>
          </w:p>
        </w:tc>
        <w:tc>
          <w:tcPr>
            <w:tcW w:w="851" w:type="dxa"/>
            <w:tcBorders>
              <w:top w:val="single" w:sz="4" w:space="0" w:color="A6A6A6"/>
              <w:bottom w:val="single" w:sz="4" w:space="0" w:color="A6A6A6"/>
            </w:tcBorders>
            <w:noWrap/>
            <w:hideMark/>
          </w:tcPr>
          <w:p w14:paraId="2952298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152.8</w:t>
            </w:r>
          </w:p>
        </w:tc>
        <w:tc>
          <w:tcPr>
            <w:tcW w:w="851" w:type="dxa"/>
            <w:tcBorders>
              <w:top w:val="single" w:sz="4" w:space="0" w:color="A6A6A6"/>
              <w:bottom w:val="single" w:sz="4" w:space="0" w:color="A6A6A6"/>
            </w:tcBorders>
            <w:noWrap/>
            <w:hideMark/>
          </w:tcPr>
          <w:p w14:paraId="50104C1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25.7</w:t>
            </w:r>
          </w:p>
        </w:tc>
        <w:tc>
          <w:tcPr>
            <w:tcW w:w="851" w:type="dxa"/>
            <w:tcBorders>
              <w:top w:val="single" w:sz="4" w:space="0" w:color="A6A6A6"/>
              <w:bottom w:val="single" w:sz="4" w:space="0" w:color="A6A6A6"/>
            </w:tcBorders>
            <w:noWrap/>
            <w:hideMark/>
          </w:tcPr>
          <w:p w14:paraId="1C4376E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291.2</w:t>
            </w:r>
          </w:p>
        </w:tc>
        <w:tc>
          <w:tcPr>
            <w:tcW w:w="851" w:type="dxa"/>
            <w:tcBorders>
              <w:top w:val="single" w:sz="4" w:space="0" w:color="A6A6A6"/>
              <w:bottom w:val="single" w:sz="4" w:space="0" w:color="A6A6A6"/>
            </w:tcBorders>
            <w:noWrap/>
            <w:hideMark/>
          </w:tcPr>
          <w:p w14:paraId="63355B6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1,629.2</w:t>
            </w:r>
          </w:p>
        </w:tc>
      </w:tr>
      <w:tr w:rsidR="00CE75D4" w:rsidRPr="00C0495C" w14:paraId="2777935C" w14:textId="77777777" w:rsidTr="008340C1">
        <w:trPr>
          <w:cantSplit w:val="0"/>
          <w:trHeight w:val="170"/>
        </w:trPr>
        <w:tc>
          <w:tcPr>
            <w:tcW w:w="3402" w:type="dxa"/>
            <w:tcBorders>
              <w:top w:val="single" w:sz="4" w:space="0" w:color="A6A6A6"/>
              <w:bottom w:val="single" w:sz="4" w:space="0" w:color="A6A6A6"/>
            </w:tcBorders>
            <w:hideMark/>
          </w:tcPr>
          <w:p w14:paraId="2F6421FF" w14:textId="77777777" w:rsidR="00CE75D4" w:rsidRPr="00140535" w:rsidRDefault="00CE75D4" w:rsidP="008340C1">
            <w:pPr>
              <w:pStyle w:val="ARfintablebody"/>
              <w:spacing w:before="10" w:after="10" w:line="228" w:lineRule="auto"/>
              <w:rPr>
                <w:sz w:val="17"/>
                <w:szCs w:val="17"/>
              </w:rPr>
            </w:pPr>
            <w:r w:rsidRPr="00140535">
              <w:rPr>
                <w:sz w:val="17"/>
                <w:szCs w:val="17"/>
              </w:rPr>
              <w:t>Capital asset charge</w:t>
            </w:r>
          </w:p>
        </w:tc>
        <w:tc>
          <w:tcPr>
            <w:tcW w:w="851" w:type="dxa"/>
            <w:tcBorders>
              <w:top w:val="single" w:sz="4" w:space="0" w:color="A6A6A6"/>
              <w:bottom w:val="single" w:sz="4" w:space="0" w:color="A6A6A6"/>
            </w:tcBorders>
            <w:noWrap/>
            <w:hideMark/>
          </w:tcPr>
          <w:p w14:paraId="2F78F79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EBF78C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2886B9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69453C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35EBD8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49AB64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E4F4C0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325B0D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7FF113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F431E6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CF31A1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53C735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B21B70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r>
      <w:tr w:rsidR="00CE75D4" w:rsidRPr="00C0495C" w14:paraId="2FA707BC" w14:textId="77777777" w:rsidTr="008340C1">
        <w:trPr>
          <w:cantSplit w:val="0"/>
          <w:trHeight w:val="170"/>
        </w:trPr>
        <w:tc>
          <w:tcPr>
            <w:tcW w:w="3402" w:type="dxa"/>
            <w:tcBorders>
              <w:top w:val="single" w:sz="4" w:space="0" w:color="A6A6A6"/>
              <w:bottom w:val="single" w:sz="4" w:space="0" w:color="A6A6A6"/>
            </w:tcBorders>
            <w:hideMark/>
          </w:tcPr>
          <w:p w14:paraId="315D0804" w14:textId="77777777" w:rsidR="00CE75D4" w:rsidRPr="00140535" w:rsidRDefault="00CE75D4" w:rsidP="008340C1">
            <w:pPr>
              <w:pStyle w:val="ARfintablebody"/>
              <w:spacing w:before="10" w:after="10" w:line="228" w:lineRule="auto"/>
              <w:rPr>
                <w:sz w:val="17"/>
                <w:szCs w:val="17"/>
              </w:rPr>
            </w:pPr>
            <w:r w:rsidRPr="00140535">
              <w:rPr>
                <w:sz w:val="17"/>
                <w:szCs w:val="17"/>
              </w:rPr>
              <w:t xml:space="preserve">Fair value of assets and services provided </w:t>
            </w:r>
            <w:r w:rsidRPr="00140535">
              <w:rPr>
                <w:sz w:val="17"/>
                <w:szCs w:val="17"/>
              </w:rPr>
              <w:br/>
              <w:t>free of charge or for nominal consideration</w:t>
            </w:r>
          </w:p>
        </w:tc>
        <w:tc>
          <w:tcPr>
            <w:tcW w:w="851" w:type="dxa"/>
            <w:tcBorders>
              <w:top w:val="single" w:sz="4" w:space="0" w:color="A6A6A6"/>
              <w:bottom w:val="single" w:sz="4" w:space="0" w:color="A6A6A6"/>
            </w:tcBorders>
            <w:noWrap/>
            <w:hideMark/>
          </w:tcPr>
          <w:p w14:paraId="590941E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303.0</w:t>
            </w:r>
          </w:p>
        </w:tc>
        <w:tc>
          <w:tcPr>
            <w:tcW w:w="851" w:type="dxa"/>
            <w:tcBorders>
              <w:top w:val="single" w:sz="4" w:space="0" w:color="A6A6A6"/>
              <w:bottom w:val="single" w:sz="4" w:space="0" w:color="A6A6A6"/>
            </w:tcBorders>
            <w:noWrap/>
            <w:hideMark/>
          </w:tcPr>
          <w:p w14:paraId="5331A9C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34A60D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771675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495D1D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29FF42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D666E3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D9ED2A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103292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14DAB2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BAB108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CA577A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2EB805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r>
      <w:tr w:rsidR="00CE75D4" w:rsidRPr="00C0495C" w14:paraId="0B7ADED7" w14:textId="77777777" w:rsidTr="008340C1">
        <w:trPr>
          <w:cantSplit w:val="0"/>
          <w:trHeight w:val="170"/>
        </w:trPr>
        <w:tc>
          <w:tcPr>
            <w:tcW w:w="3402" w:type="dxa"/>
            <w:tcBorders>
              <w:top w:val="single" w:sz="4" w:space="0" w:color="A6A6A6"/>
              <w:bottom w:val="single" w:sz="4" w:space="0" w:color="A6A6A6"/>
            </w:tcBorders>
            <w:hideMark/>
          </w:tcPr>
          <w:p w14:paraId="35E07C62" w14:textId="77777777" w:rsidR="00CE75D4" w:rsidRPr="00140535" w:rsidRDefault="00CE75D4" w:rsidP="008340C1">
            <w:pPr>
              <w:pStyle w:val="ARfintablebody"/>
              <w:spacing w:before="10" w:after="10" w:line="228" w:lineRule="auto"/>
              <w:rPr>
                <w:sz w:val="17"/>
                <w:szCs w:val="17"/>
              </w:rPr>
            </w:pPr>
            <w:r w:rsidRPr="00140535">
              <w:rPr>
                <w:sz w:val="17"/>
                <w:szCs w:val="17"/>
              </w:rPr>
              <w:t>Other operating expenses</w:t>
            </w:r>
          </w:p>
        </w:tc>
        <w:tc>
          <w:tcPr>
            <w:tcW w:w="851" w:type="dxa"/>
            <w:tcBorders>
              <w:top w:val="single" w:sz="4" w:space="0" w:color="A6A6A6"/>
              <w:bottom w:val="single" w:sz="4" w:space="0" w:color="A6A6A6"/>
            </w:tcBorders>
            <w:noWrap/>
            <w:hideMark/>
          </w:tcPr>
          <w:p w14:paraId="0010813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281.9</w:t>
            </w:r>
          </w:p>
        </w:tc>
        <w:tc>
          <w:tcPr>
            <w:tcW w:w="851" w:type="dxa"/>
            <w:tcBorders>
              <w:top w:val="single" w:sz="4" w:space="0" w:color="A6A6A6"/>
              <w:bottom w:val="single" w:sz="4" w:space="0" w:color="A6A6A6"/>
            </w:tcBorders>
            <w:noWrap/>
            <w:hideMark/>
          </w:tcPr>
          <w:p w14:paraId="1439C4A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43.0</w:t>
            </w:r>
          </w:p>
        </w:tc>
        <w:tc>
          <w:tcPr>
            <w:tcW w:w="851" w:type="dxa"/>
            <w:tcBorders>
              <w:top w:val="single" w:sz="4" w:space="0" w:color="A6A6A6"/>
              <w:bottom w:val="single" w:sz="4" w:space="0" w:color="A6A6A6"/>
            </w:tcBorders>
            <w:noWrap/>
            <w:hideMark/>
          </w:tcPr>
          <w:p w14:paraId="0739A11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w:t>
            </w:r>
            <w:r>
              <w:rPr>
                <w:sz w:val="17"/>
                <w:szCs w:val="17"/>
              </w:rPr>
              <w:t>3</w:t>
            </w:r>
          </w:p>
        </w:tc>
        <w:tc>
          <w:tcPr>
            <w:tcW w:w="851" w:type="dxa"/>
            <w:tcBorders>
              <w:top w:val="single" w:sz="4" w:space="0" w:color="A6A6A6"/>
              <w:bottom w:val="single" w:sz="4" w:space="0" w:color="A6A6A6"/>
            </w:tcBorders>
            <w:noWrap/>
            <w:hideMark/>
          </w:tcPr>
          <w:p w14:paraId="48E6E5B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2.1</w:t>
            </w:r>
          </w:p>
        </w:tc>
        <w:tc>
          <w:tcPr>
            <w:tcW w:w="851" w:type="dxa"/>
            <w:tcBorders>
              <w:top w:val="single" w:sz="4" w:space="0" w:color="A6A6A6"/>
              <w:bottom w:val="single" w:sz="4" w:space="0" w:color="A6A6A6"/>
            </w:tcBorders>
            <w:noWrap/>
            <w:hideMark/>
          </w:tcPr>
          <w:p w14:paraId="5D0781C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2.5</w:t>
            </w:r>
          </w:p>
        </w:tc>
        <w:tc>
          <w:tcPr>
            <w:tcW w:w="851" w:type="dxa"/>
            <w:tcBorders>
              <w:top w:val="single" w:sz="4" w:space="0" w:color="A6A6A6"/>
              <w:bottom w:val="single" w:sz="4" w:space="0" w:color="A6A6A6"/>
            </w:tcBorders>
            <w:noWrap/>
            <w:hideMark/>
          </w:tcPr>
          <w:p w14:paraId="04099C7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0.4</w:t>
            </w:r>
          </w:p>
        </w:tc>
        <w:tc>
          <w:tcPr>
            <w:tcW w:w="851" w:type="dxa"/>
            <w:tcBorders>
              <w:top w:val="single" w:sz="4" w:space="0" w:color="A6A6A6"/>
              <w:bottom w:val="single" w:sz="4" w:space="0" w:color="A6A6A6"/>
            </w:tcBorders>
            <w:noWrap/>
            <w:hideMark/>
          </w:tcPr>
          <w:p w14:paraId="7FC3278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10.</w:t>
            </w:r>
            <w:r>
              <w:rPr>
                <w:sz w:val="17"/>
                <w:szCs w:val="17"/>
              </w:rPr>
              <w:t>6</w:t>
            </w:r>
          </w:p>
        </w:tc>
        <w:tc>
          <w:tcPr>
            <w:tcW w:w="851" w:type="dxa"/>
            <w:tcBorders>
              <w:top w:val="single" w:sz="4" w:space="0" w:color="A6A6A6"/>
              <w:bottom w:val="single" w:sz="4" w:space="0" w:color="A6A6A6"/>
            </w:tcBorders>
            <w:noWrap/>
            <w:hideMark/>
          </w:tcPr>
          <w:p w14:paraId="7CD1A5F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w:t>
            </w:r>
            <w:r>
              <w:rPr>
                <w:sz w:val="17"/>
                <w:szCs w:val="17"/>
              </w:rPr>
              <w:t>4</w:t>
            </w:r>
          </w:p>
        </w:tc>
        <w:tc>
          <w:tcPr>
            <w:tcW w:w="851" w:type="dxa"/>
            <w:tcBorders>
              <w:top w:val="single" w:sz="4" w:space="0" w:color="A6A6A6"/>
              <w:bottom w:val="single" w:sz="4" w:space="0" w:color="A6A6A6"/>
            </w:tcBorders>
            <w:noWrap/>
            <w:hideMark/>
          </w:tcPr>
          <w:p w14:paraId="11D8C8B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0.6</w:t>
            </w:r>
          </w:p>
        </w:tc>
        <w:tc>
          <w:tcPr>
            <w:tcW w:w="851" w:type="dxa"/>
            <w:tcBorders>
              <w:top w:val="single" w:sz="4" w:space="0" w:color="A6A6A6"/>
              <w:bottom w:val="single" w:sz="4" w:space="0" w:color="A6A6A6"/>
            </w:tcBorders>
            <w:noWrap/>
            <w:hideMark/>
          </w:tcPr>
          <w:p w14:paraId="449952E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0.2</w:t>
            </w:r>
          </w:p>
        </w:tc>
        <w:tc>
          <w:tcPr>
            <w:tcW w:w="851" w:type="dxa"/>
            <w:tcBorders>
              <w:top w:val="single" w:sz="4" w:space="0" w:color="A6A6A6"/>
              <w:bottom w:val="single" w:sz="4" w:space="0" w:color="A6A6A6"/>
            </w:tcBorders>
            <w:noWrap/>
            <w:hideMark/>
          </w:tcPr>
          <w:p w14:paraId="490D23E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1.0</w:t>
            </w:r>
          </w:p>
        </w:tc>
        <w:tc>
          <w:tcPr>
            <w:tcW w:w="851" w:type="dxa"/>
            <w:tcBorders>
              <w:top w:val="single" w:sz="4" w:space="0" w:color="A6A6A6"/>
              <w:bottom w:val="single" w:sz="4" w:space="0" w:color="A6A6A6"/>
            </w:tcBorders>
            <w:noWrap/>
            <w:hideMark/>
          </w:tcPr>
          <w:p w14:paraId="18274E8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2.8</w:t>
            </w:r>
          </w:p>
        </w:tc>
        <w:tc>
          <w:tcPr>
            <w:tcW w:w="851" w:type="dxa"/>
            <w:tcBorders>
              <w:top w:val="single" w:sz="4" w:space="0" w:color="A6A6A6"/>
              <w:bottom w:val="single" w:sz="4" w:space="0" w:color="A6A6A6"/>
            </w:tcBorders>
            <w:noWrap/>
            <w:hideMark/>
          </w:tcPr>
          <w:p w14:paraId="36FC635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40.5</w:t>
            </w:r>
          </w:p>
        </w:tc>
      </w:tr>
      <w:tr w:rsidR="00CE75D4" w:rsidRPr="00C0495C" w14:paraId="7E64B0F7" w14:textId="77777777" w:rsidTr="008340C1">
        <w:trPr>
          <w:cantSplit w:val="0"/>
          <w:trHeight w:val="170"/>
        </w:trPr>
        <w:tc>
          <w:tcPr>
            <w:tcW w:w="3402" w:type="dxa"/>
            <w:tcBorders>
              <w:top w:val="single" w:sz="4" w:space="0" w:color="A6A6A6"/>
            </w:tcBorders>
            <w:hideMark/>
          </w:tcPr>
          <w:p w14:paraId="03C38B5E" w14:textId="77777777" w:rsidR="00CE75D4" w:rsidRPr="00140535" w:rsidRDefault="00CE75D4" w:rsidP="008340C1">
            <w:pPr>
              <w:pStyle w:val="ARfintablebody"/>
              <w:spacing w:before="10" w:after="10" w:line="228" w:lineRule="auto"/>
              <w:rPr>
                <w:sz w:val="17"/>
                <w:szCs w:val="17"/>
              </w:rPr>
            </w:pPr>
            <w:r w:rsidRPr="00140535">
              <w:rPr>
                <w:sz w:val="17"/>
                <w:szCs w:val="17"/>
              </w:rPr>
              <w:t>Other property management expenses</w:t>
            </w:r>
          </w:p>
        </w:tc>
        <w:tc>
          <w:tcPr>
            <w:tcW w:w="851" w:type="dxa"/>
            <w:tcBorders>
              <w:top w:val="single" w:sz="4" w:space="0" w:color="A6A6A6"/>
            </w:tcBorders>
            <w:noWrap/>
            <w:hideMark/>
          </w:tcPr>
          <w:p w14:paraId="7FC63D8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0.0</w:t>
            </w:r>
          </w:p>
        </w:tc>
        <w:tc>
          <w:tcPr>
            <w:tcW w:w="851" w:type="dxa"/>
            <w:tcBorders>
              <w:top w:val="single" w:sz="4" w:space="0" w:color="A6A6A6"/>
            </w:tcBorders>
            <w:noWrap/>
            <w:hideMark/>
          </w:tcPr>
          <w:p w14:paraId="733386E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1ACC7AA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318B48C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4774569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552A6CD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579F593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172E614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6956D9E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43F1549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1C472C7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7182155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2678ABD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r>
      <w:tr w:rsidR="00CE75D4" w:rsidRPr="00C0495C" w14:paraId="4E86EFB8" w14:textId="77777777" w:rsidTr="008340C1">
        <w:trPr>
          <w:cantSplit w:val="0"/>
          <w:trHeight w:val="170"/>
        </w:trPr>
        <w:tc>
          <w:tcPr>
            <w:tcW w:w="3402" w:type="dxa"/>
            <w:hideMark/>
          </w:tcPr>
          <w:p w14:paraId="77E5E279" w14:textId="77777777" w:rsidR="00CE75D4" w:rsidRPr="00140535" w:rsidRDefault="00CE75D4" w:rsidP="008340C1">
            <w:pPr>
              <w:pStyle w:val="ARfintablebodybold"/>
              <w:spacing w:before="10" w:after="10" w:line="228" w:lineRule="auto"/>
              <w:rPr>
                <w:rFonts w:cs="Arial"/>
                <w:sz w:val="17"/>
                <w:szCs w:val="17"/>
              </w:rPr>
            </w:pPr>
            <w:r w:rsidRPr="00140535">
              <w:rPr>
                <w:rFonts w:cs="Arial"/>
                <w:sz w:val="17"/>
                <w:szCs w:val="17"/>
              </w:rPr>
              <w:t>Total expenses from transactions</w:t>
            </w:r>
          </w:p>
        </w:tc>
        <w:tc>
          <w:tcPr>
            <w:tcW w:w="851" w:type="dxa"/>
            <w:noWrap/>
            <w:hideMark/>
          </w:tcPr>
          <w:p w14:paraId="492E27A1"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11,6</w:t>
            </w:r>
            <w:r>
              <w:rPr>
                <w:sz w:val="17"/>
                <w:szCs w:val="17"/>
              </w:rPr>
              <w:t>70.0</w:t>
            </w:r>
          </w:p>
        </w:tc>
        <w:tc>
          <w:tcPr>
            <w:tcW w:w="851" w:type="dxa"/>
            <w:noWrap/>
            <w:hideMark/>
          </w:tcPr>
          <w:p w14:paraId="0AB32615"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1,023.7</w:t>
            </w:r>
          </w:p>
        </w:tc>
        <w:tc>
          <w:tcPr>
            <w:tcW w:w="851" w:type="dxa"/>
            <w:noWrap/>
            <w:hideMark/>
          </w:tcPr>
          <w:p w14:paraId="15C897E6"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354.4</w:t>
            </w:r>
          </w:p>
        </w:tc>
        <w:tc>
          <w:tcPr>
            <w:tcW w:w="851" w:type="dxa"/>
            <w:noWrap/>
            <w:hideMark/>
          </w:tcPr>
          <w:p w14:paraId="4B7802BC"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298.0</w:t>
            </w:r>
          </w:p>
        </w:tc>
        <w:tc>
          <w:tcPr>
            <w:tcW w:w="851" w:type="dxa"/>
            <w:noWrap/>
            <w:hideMark/>
          </w:tcPr>
          <w:p w14:paraId="560DB844"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145.4</w:t>
            </w:r>
          </w:p>
        </w:tc>
        <w:tc>
          <w:tcPr>
            <w:tcW w:w="851" w:type="dxa"/>
            <w:noWrap/>
            <w:hideMark/>
          </w:tcPr>
          <w:p w14:paraId="6762FDF7"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47.9</w:t>
            </w:r>
          </w:p>
        </w:tc>
        <w:tc>
          <w:tcPr>
            <w:tcW w:w="851" w:type="dxa"/>
            <w:noWrap/>
            <w:hideMark/>
          </w:tcPr>
          <w:p w14:paraId="5BB5D0D5"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126.9</w:t>
            </w:r>
          </w:p>
        </w:tc>
        <w:tc>
          <w:tcPr>
            <w:tcW w:w="851" w:type="dxa"/>
            <w:noWrap/>
            <w:hideMark/>
          </w:tcPr>
          <w:p w14:paraId="69196EFE"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184.</w:t>
            </w:r>
            <w:r>
              <w:rPr>
                <w:sz w:val="17"/>
                <w:szCs w:val="17"/>
              </w:rPr>
              <w:t>4</w:t>
            </w:r>
          </w:p>
        </w:tc>
        <w:tc>
          <w:tcPr>
            <w:tcW w:w="851" w:type="dxa"/>
            <w:noWrap/>
            <w:hideMark/>
          </w:tcPr>
          <w:p w14:paraId="0FC3EA88"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911.</w:t>
            </w:r>
            <w:r>
              <w:rPr>
                <w:sz w:val="17"/>
                <w:szCs w:val="17"/>
              </w:rPr>
              <w:t>0</w:t>
            </w:r>
          </w:p>
        </w:tc>
        <w:tc>
          <w:tcPr>
            <w:tcW w:w="851" w:type="dxa"/>
            <w:noWrap/>
            <w:hideMark/>
          </w:tcPr>
          <w:p w14:paraId="6A09183A"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154.0</w:t>
            </w:r>
          </w:p>
        </w:tc>
        <w:tc>
          <w:tcPr>
            <w:tcW w:w="851" w:type="dxa"/>
            <w:noWrap/>
            <w:hideMark/>
          </w:tcPr>
          <w:p w14:paraId="79F36B71"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33.2</w:t>
            </w:r>
          </w:p>
        </w:tc>
        <w:tc>
          <w:tcPr>
            <w:tcW w:w="851" w:type="dxa"/>
            <w:noWrap/>
            <w:hideMark/>
          </w:tcPr>
          <w:p w14:paraId="0A6DD05B"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303.9</w:t>
            </w:r>
          </w:p>
        </w:tc>
        <w:tc>
          <w:tcPr>
            <w:tcW w:w="851" w:type="dxa"/>
            <w:noWrap/>
            <w:hideMark/>
          </w:tcPr>
          <w:p w14:paraId="31DEE1BD"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1,734.7</w:t>
            </w:r>
          </w:p>
        </w:tc>
      </w:tr>
      <w:tr w:rsidR="00CE75D4" w:rsidRPr="00C0495C" w14:paraId="607EA9FA" w14:textId="77777777" w:rsidTr="008340C1">
        <w:trPr>
          <w:cantSplit w:val="0"/>
          <w:trHeight w:val="170"/>
        </w:trPr>
        <w:tc>
          <w:tcPr>
            <w:tcW w:w="3402" w:type="dxa"/>
            <w:tcBorders>
              <w:bottom w:val="single" w:sz="4" w:space="0" w:color="auto"/>
            </w:tcBorders>
            <w:hideMark/>
          </w:tcPr>
          <w:p w14:paraId="29A73A71" w14:textId="77777777" w:rsidR="00CE75D4" w:rsidRPr="00140535" w:rsidRDefault="00CE75D4" w:rsidP="008340C1">
            <w:pPr>
              <w:pStyle w:val="ARfintablebodybold"/>
              <w:spacing w:before="10" w:after="10" w:line="228" w:lineRule="auto"/>
              <w:rPr>
                <w:rFonts w:cs="Arial"/>
                <w:sz w:val="17"/>
                <w:szCs w:val="17"/>
              </w:rPr>
            </w:pPr>
            <w:r w:rsidRPr="00140535">
              <w:rPr>
                <w:rFonts w:cs="Arial"/>
                <w:sz w:val="17"/>
                <w:szCs w:val="17"/>
              </w:rPr>
              <w:t>Net result from transactions (net operating balance)</w:t>
            </w:r>
          </w:p>
        </w:tc>
        <w:tc>
          <w:tcPr>
            <w:tcW w:w="851" w:type="dxa"/>
            <w:tcBorders>
              <w:bottom w:val="single" w:sz="4" w:space="0" w:color="auto"/>
            </w:tcBorders>
            <w:noWrap/>
            <w:hideMark/>
          </w:tcPr>
          <w:p w14:paraId="0F79B74D"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163.</w:t>
            </w:r>
            <w:r>
              <w:rPr>
                <w:sz w:val="17"/>
                <w:szCs w:val="17"/>
              </w:rPr>
              <w:t>1</w:t>
            </w:r>
          </w:p>
        </w:tc>
        <w:tc>
          <w:tcPr>
            <w:tcW w:w="851" w:type="dxa"/>
            <w:tcBorders>
              <w:bottom w:val="single" w:sz="4" w:space="0" w:color="auto"/>
            </w:tcBorders>
            <w:noWrap/>
            <w:hideMark/>
          </w:tcPr>
          <w:p w14:paraId="4B79CBEE"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99.7</w:t>
            </w:r>
          </w:p>
        </w:tc>
        <w:tc>
          <w:tcPr>
            <w:tcW w:w="851" w:type="dxa"/>
            <w:tcBorders>
              <w:bottom w:val="single" w:sz="4" w:space="0" w:color="auto"/>
            </w:tcBorders>
            <w:noWrap/>
            <w:hideMark/>
          </w:tcPr>
          <w:p w14:paraId="1A9143D4"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34.3</w:t>
            </w:r>
          </w:p>
        </w:tc>
        <w:tc>
          <w:tcPr>
            <w:tcW w:w="851" w:type="dxa"/>
            <w:tcBorders>
              <w:bottom w:val="single" w:sz="4" w:space="0" w:color="auto"/>
            </w:tcBorders>
            <w:noWrap/>
            <w:hideMark/>
          </w:tcPr>
          <w:p w14:paraId="51E3D1BD"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20.0</w:t>
            </w:r>
          </w:p>
        </w:tc>
        <w:tc>
          <w:tcPr>
            <w:tcW w:w="851" w:type="dxa"/>
            <w:tcBorders>
              <w:bottom w:val="single" w:sz="4" w:space="0" w:color="auto"/>
            </w:tcBorders>
            <w:noWrap/>
            <w:hideMark/>
          </w:tcPr>
          <w:p w14:paraId="2BF22291"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(28.0)</w:t>
            </w:r>
          </w:p>
        </w:tc>
        <w:tc>
          <w:tcPr>
            <w:tcW w:w="851" w:type="dxa"/>
            <w:tcBorders>
              <w:bottom w:val="single" w:sz="4" w:space="0" w:color="auto"/>
            </w:tcBorders>
            <w:noWrap/>
            <w:hideMark/>
          </w:tcPr>
          <w:p w14:paraId="0324E587"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10.2</w:t>
            </w:r>
          </w:p>
        </w:tc>
        <w:tc>
          <w:tcPr>
            <w:tcW w:w="851" w:type="dxa"/>
            <w:tcBorders>
              <w:bottom w:val="single" w:sz="4" w:space="0" w:color="auto"/>
            </w:tcBorders>
            <w:noWrap/>
            <w:hideMark/>
          </w:tcPr>
          <w:p w14:paraId="39861F25"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2.7</w:t>
            </w:r>
          </w:p>
        </w:tc>
        <w:tc>
          <w:tcPr>
            <w:tcW w:w="851" w:type="dxa"/>
            <w:tcBorders>
              <w:bottom w:val="single" w:sz="4" w:space="0" w:color="auto"/>
            </w:tcBorders>
            <w:noWrap/>
            <w:hideMark/>
          </w:tcPr>
          <w:p w14:paraId="6965A3A3"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29.2</w:t>
            </w:r>
          </w:p>
        </w:tc>
        <w:tc>
          <w:tcPr>
            <w:tcW w:w="851" w:type="dxa"/>
            <w:tcBorders>
              <w:bottom w:val="single" w:sz="4" w:space="0" w:color="auto"/>
            </w:tcBorders>
            <w:noWrap/>
            <w:hideMark/>
          </w:tcPr>
          <w:p w14:paraId="7B4382D9"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64.7</w:t>
            </w:r>
          </w:p>
        </w:tc>
        <w:tc>
          <w:tcPr>
            <w:tcW w:w="851" w:type="dxa"/>
            <w:tcBorders>
              <w:bottom w:val="single" w:sz="4" w:space="0" w:color="auto"/>
            </w:tcBorders>
            <w:noWrap/>
            <w:hideMark/>
          </w:tcPr>
          <w:p w14:paraId="67FFA87B"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(8.1)</w:t>
            </w:r>
          </w:p>
        </w:tc>
        <w:tc>
          <w:tcPr>
            <w:tcW w:w="851" w:type="dxa"/>
            <w:tcBorders>
              <w:bottom w:val="single" w:sz="4" w:space="0" w:color="auto"/>
            </w:tcBorders>
            <w:noWrap/>
            <w:hideMark/>
          </w:tcPr>
          <w:p w14:paraId="55EF54DE"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8.4</w:t>
            </w:r>
          </w:p>
        </w:tc>
        <w:tc>
          <w:tcPr>
            <w:tcW w:w="851" w:type="dxa"/>
            <w:tcBorders>
              <w:bottom w:val="single" w:sz="4" w:space="0" w:color="auto"/>
            </w:tcBorders>
            <w:noWrap/>
            <w:hideMark/>
          </w:tcPr>
          <w:p w14:paraId="5997AED9"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32.2</w:t>
            </w:r>
          </w:p>
        </w:tc>
        <w:tc>
          <w:tcPr>
            <w:tcW w:w="851" w:type="dxa"/>
            <w:tcBorders>
              <w:bottom w:val="single" w:sz="4" w:space="0" w:color="auto"/>
            </w:tcBorders>
            <w:noWrap/>
            <w:hideMark/>
          </w:tcPr>
          <w:p w14:paraId="2B1BB1BF"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(166.</w:t>
            </w:r>
            <w:r>
              <w:rPr>
                <w:sz w:val="17"/>
                <w:szCs w:val="17"/>
              </w:rPr>
              <w:t>5</w:t>
            </w:r>
            <w:r w:rsidRPr="00140535">
              <w:rPr>
                <w:sz w:val="17"/>
                <w:szCs w:val="17"/>
              </w:rPr>
              <w:t>)</w:t>
            </w:r>
          </w:p>
        </w:tc>
      </w:tr>
      <w:tr w:rsidR="00CE75D4" w:rsidRPr="00C0495C" w14:paraId="534B11A2" w14:textId="77777777" w:rsidTr="008340C1">
        <w:trPr>
          <w:cantSplit w:val="0"/>
          <w:trHeight w:val="170"/>
        </w:trPr>
        <w:tc>
          <w:tcPr>
            <w:tcW w:w="3402" w:type="dxa"/>
            <w:gridSpan w:val="14"/>
            <w:tcBorders>
              <w:top w:val="single" w:sz="4" w:space="0" w:color="A6A6A6"/>
              <w:bottom w:val="single" w:sz="4" w:space="0" w:color="A6A6A6"/>
            </w:tcBorders>
          </w:tcPr>
          <w:p w14:paraId="764BC17F" w14:textId="77777777" w:rsidR="00CE75D4" w:rsidRPr="00140535" w:rsidRDefault="00CE75D4" w:rsidP="008340C1">
            <w:pPr>
              <w:pStyle w:val="ARfintablebodybold"/>
              <w:spacing w:before="10" w:after="10" w:line="228" w:lineRule="auto"/>
              <w:rPr>
                <w:rFonts w:cs="Arial"/>
                <w:sz w:val="17"/>
                <w:szCs w:val="17"/>
              </w:rPr>
            </w:pPr>
            <w:r w:rsidRPr="00140535">
              <w:rPr>
                <w:rFonts w:cs="Arial"/>
                <w:sz w:val="17"/>
                <w:szCs w:val="17"/>
              </w:rPr>
              <w:t>Other economic flows included in net result</w:t>
            </w:r>
          </w:p>
        </w:tc>
      </w:tr>
      <w:tr w:rsidR="00CE75D4" w:rsidRPr="00C0495C" w14:paraId="66DAB09E" w14:textId="77777777" w:rsidTr="008340C1">
        <w:trPr>
          <w:cantSplit w:val="0"/>
          <w:trHeight w:val="170"/>
        </w:trPr>
        <w:tc>
          <w:tcPr>
            <w:tcW w:w="3402" w:type="dxa"/>
            <w:tcBorders>
              <w:top w:val="single" w:sz="4" w:space="0" w:color="A6A6A6"/>
              <w:bottom w:val="single" w:sz="4" w:space="0" w:color="A6A6A6"/>
            </w:tcBorders>
            <w:hideMark/>
          </w:tcPr>
          <w:p w14:paraId="01F04E4B" w14:textId="77777777" w:rsidR="00CE75D4" w:rsidRPr="00140535" w:rsidRDefault="00CE75D4" w:rsidP="008340C1">
            <w:pPr>
              <w:pStyle w:val="ARfintablebody"/>
              <w:spacing w:before="10" w:after="10" w:line="228" w:lineRule="auto"/>
              <w:rPr>
                <w:sz w:val="17"/>
                <w:szCs w:val="17"/>
              </w:rPr>
            </w:pPr>
            <w:r w:rsidRPr="00140535">
              <w:rPr>
                <w:sz w:val="17"/>
                <w:szCs w:val="17"/>
              </w:rPr>
              <w:t>Net gain/(loss) on non-financial assets</w:t>
            </w:r>
          </w:p>
        </w:tc>
        <w:tc>
          <w:tcPr>
            <w:tcW w:w="851" w:type="dxa"/>
            <w:tcBorders>
              <w:top w:val="single" w:sz="4" w:space="0" w:color="A6A6A6"/>
              <w:bottom w:val="single" w:sz="4" w:space="0" w:color="A6A6A6"/>
            </w:tcBorders>
            <w:noWrap/>
            <w:hideMark/>
          </w:tcPr>
          <w:p w14:paraId="7AF84FE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w:t>
            </w:r>
            <w:r>
              <w:rPr>
                <w:sz w:val="17"/>
                <w:szCs w:val="17"/>
              </w:rPr>
              <w:t>2</w:t>
            </w:r>
          </w:p>
        </w:tc>
        <w:tc>
          <w:tcPr>
            <w:tcW w:w="851" w:type="dxa"/>
            <w:tcBorders>
              <w:top w:val="single" w:sz="4" w:space="0" w:color="A6A6A6"/>
              <w:bottom w:val="single" w:sz="4" w:space="0" w:color="A6A6A6"/>
            </w:tcBorders>
            <w:noWrap/>
            <w:hideMark/>
          </w:tcPr>
          <w:p w14:paraId="231F88F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BD6A0B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3DF267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2D2F18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1899E0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77FD99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ECB636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BB12F5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77152F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1881F4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E24A8F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F72816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r>
      <w:tr w:rsidR="00CE75D4" w:rsidRPr="00C0495C" w14:paraId="57137DCA" w14:textId="77777777" w:rsidTr="008340C1">
        <w:trPr>
          <w:cantSplit w:val="0"/>
          <w:trHeight w:val="170"/>
        </w:trPr>
        <w:tc>
          <w:tcPr>
            <w:tcW w:w="3402" w:type="dxa"/>
            <w:tcBorders>
              <w:top w:val="single" w:sz="4" w:space="0" w:color="A6A6A6"/>
              <w:bottom w:val="single" w:sz="4" w:space="0" w:color="A6A6A6"/>
            </w:tcBorders>
            <w:hideMark/>
          </w:tcPr>
          <w:p w14:paraId="6EB68EC3" w14:textId="77777777" w:rsidR="00CE75D4" w:rsidRPr="00140535" w:rsidRDefault="00CE75D4" w:rsidP="008340C1">
            <w:pPr>
              <w:pStyle w:val="ARfintablebody"/>
              <w:spacing w:before="10" w:after="10" w:line="228" w:lineRule="auto"/>
              <w:rPr>
                <w:sz w:val="17"/>
                <w:szCs w:val="17"/>
              </w:rPr>
            </w:pPr>
            <w:r w:rsidRPr="00140535">
              <w:rPr>
                <w:sz w:val="17"/>
                <w:szCs w:val="17"/>
              </w:rPr>
              <w:t>Net gain/(loss) on financial instruments</w:t>
            </w:r>
          </w:p>
        </w:tc>
        <w:tc>
          <w:tcPr>
            <w:tcW w:w="851" w:type="dxa"/>
            <w:tcBorders>
              <w:top w:val="single" w:sz="4" w:space="0" w:color="A6A6A6"/>
              <w:bottom w:val="single" w:sz="4" w:space="0" w:color="A6A6A6"/>
            </w:tcBorders>
            <w:noWrap/>
            <w:hideMark/>
          </w:tcPr>
          <w:p w14:paraId="6C8FC83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301166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BC6978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CB03C3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0039EF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5F73DE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90EB9A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4F4593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D0F52E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FEBF2B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9CAE99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870058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C918E7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r>
      <w:tr w:rsidR="00CE75D4" w:rsidRPr="00C0495C" w14:paraId="0D122CC1" w14:textId="77777777" w:rsidTr="008340C1">
        <w:trPr>
          <w:cantSplit w:val="0"/>
          <w:trHeight w:val="170"/>
        </w:trPr>
        <w:tc>
          <w:tcPr>
            <w:tcW w:w="3402" w:type="dxa"/>
            <w:tcBorders>
              <w:top w:val="single" w:sz="4" w:space="0" w:color="A6A6A6"/>
            </w:tcBorders>
            <w:hideMark/>
          </w:tcPr>
          <w:p w14:paraId="21CD9350" w14:textId="77777777" w:rsidR="00CE75D4" w:rsidRPr="00140535" w:rsidRDefault="00CE75D4" w:rsidP="008340C1">
            <w:pPr>
              <w:pStyle w:val="ARfintablebody"/>
              <w:spacing w:before="10" w:after="10" w:line="228" w:lineRule="auto"/>
              <w:rPr>
                <w:sz w:val="17"/>
                <w:szCs w:val="17"/>
              </w:rPr>
            </w:pPr>
            <w:r w:rsidRPr="00140535">
              <w:rPr>
                <w:sz w:val="17"/>
                <w:szCs w:val="17"/>
              </w:rPr>
              <w:t>Other gains/(losses) from other economic flows</w:t>
            </w:r>
          </w:p>
        </w:tc>
        <w:tc>
          <w:tcPr>
            <w:tcW w:w="851" w:type="dxa"/>
            <w:tcBorders>
              <w:top w:val="single" w:sz="4" w:space="0" w:color="A6A6A6"/>
            </w:tcBorders>
            <w:noWrap/>
            <w:hideMark/>
          </w:tcPr>
          <w:p w14:paraId="6699313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3.</w:t>
            </w:r>
            <w:r>
              <w:rPr>
                <w:sz w:val="17"/>
                <w:szCs w:val="17"/>
              </w:rPr>
              <w:t>5</w:t>
            </w:r>
          </w:p>
        </w:tc>
        <w:tc>
          <w:tcPr>
            <w:tcW w:w="851" w:type="dxa"/>
            <w:tcBorders>
              <w:top w:val="single" w:sz="4" w:space="0" w:color="A6A6A6"/>
            </w:tcBorders>
            <w:noWrap/>
            <w:hideMark/>
          </w:tcPr>
          <w:p w14:paraId="1E02CE7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0.1</w:t>
            </w:r>
          </w:p>
        </w:tc>
        <w:tc>
          <w:tcPr>
            <w:tcW w:w="851" w:type="dxa"/>
            <w:tcBorders>
              <w:top w:val="single" w:sz="4" w:space="0" w:color="A6A6A6"/>
            </w:tcBorders>
            <w:noWrap/>
            <w:hideMark/>
          </w:tcPr>
          <w:p w14:paraId="6CB6CAB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3B8BF6D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0.1</w:t>
            </w:r>
          </w:p>
        </w:tc>
        <w:tc>
          <w:tcPr>
            <w:tcW w:w="851" w:type="dxa"/>
            <w:tcBorders>
              <w:top w:val="single" w:sz="4" w:space="0" w:color="A6A6A6"/>
            </w:tcBorders>
            <w:noWrap/>
            <w:hideMark/>
          </w:tcPr>
          <w:p w14:paraId="03899C0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w:t>
            </w:r>
            <w:r>
              <w:rPr>
                <w:sz w:val="17"/>
                <w:szCs w:val="17"/>
              </w:rPr>
              <w:t>2</w:t>
            </w:r>
            <w:r w:rsidRPr="00140535">
              <w:rPr>
                <w:sz w:val="17"/>
                <w:szCs w:val="17"/>
              </w:rPr>
              <w:t>)</w:t>
            </w:r>
          </w:p>
        </w:tc>
        <w:tc>
          <w:tcPr>
            <w:tcW w:w="851" w:type="dxa"/>
            <w:tcBorders>
              <w:top w:val="single" w:sz="4" w:space="0" w:color="A6A6A6"/>
            </w:tcBorders>
            <w:noWrap/>
            <w:hideMark/>
          </w:tcPr>
          <w:p w14:paraId="51329C8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1DAC539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0.1</w:t>
            </w:r>
          </w:p>
        </w:tc>
        <w:tc>
          <w:tcPr>
            <w:tcW w:w="851" w:type="dxa"/>
            <w:tcBorders>
              <w:top w:val="single" w:sz="4" w:space="0" w:color="A6A6A6"/>
            </w:tcBorders>
            <w:noWrap/>
            <w:hideMark/>
          </w:tcPr>
          <w:p w14:paraId="770FB28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0.1</w:t>
            </w:r>
          </w:p>
        </w:tc>
        <w:tc>
          <w:tcPr>
            <w:tcW w:w="851" w:type="dxa"/>
            <w:tcBorders>
              <w:top w:val="single" w:sz="4" w:space="0" w:color="A6A6A6"/>
            </w:tcBorders>
            <w:noWrap/>
            <w:hideMark/>
          </w:tcPr>
          <w:p w14:paraId="3041BE3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652BFD1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6399D19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0.1</w:t>
            </w:r>
          </w:p>
        </w:tc>
        <w:tc>
          <w:tcPr>
            <w:tcW w:w="851" w:type="dxa"/>
            <w:tcBorders>
              <w:top w:val="single" w:sz="4" w:space="0" w:color="A6A6A6"/>
            </w:tcBorders>
            <w:noWrap/>
            <w:hideMark/>
          </w:tcPr>
          <w:p w14:paraId="1F09A2E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4FBC7CF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0.5</w:t>
            </w:r>
          </w:p>
        </w:tc>
      </w:tr>
      <w:tr w:rsidR="00CE75D4" w:rsidRPr="00C0495C" w14:paraId="73EA8C76" w14:textId="77777777" w:rsidTr="008340C1">
        <w:trPr>
          <w:cantSplit w:val="0"/>
          <w:trHeight w:val="170"/>
        </w:trPr>
        <w:tc>
          <w:tcPr>
            <w:tcW w:w="3402" w:type="dxa"/>
            <w:hideMark/>
          </w:tcPr>
          <w:p w14:paraId="0D4B9D9E" w14:textId="77777777" w:rsidR="00CE75D4" w:rsidRPr="00140535" w:rsidRDefault="00CE75D4" w:rsidP="008340C1">
            <w:pPr>
              <w:pStyle w:val="ARfintablebodybold"/>
              <w:spacing w:before="10" w:after="10" w:line="228" w:lineRule="auto"/>
              <w:rPr>
                <w:rFonts w:cs="Arial"/>
                <w:sz w:val="17"/>
                <w:szCs w:val="17"/>
              </w:rPr>
            </w:pPr>
            <w:r w:rsidRPr="00140535">
              <w:rPr>
                <w:rFonts w:cs="Arial"/>
                <w:sz w:val="17"/>
                <w:szCs w:val="17"/>
              </w:rPr>
              <w:t>Total other economic flows included in</w:t>
            </w:r>
            <w:r>
              <w:rPr>
                <w:rFonts w:cs="Arial"/>
                <w:sz w:val="17"/>
                <w:szCs w:val="17"/>
              </w:rPr>
              <w:t> </w:t>
            </w:r>
            <w:r w:rsidRPr="00140535">
              <w:rPr>
                <w:rFonts w:cs="Arial"/>
                <w:sz w:val="17"/>
                <w:szCs w:val="17"/>
              </w:rPr>
              <w:t>net result</w:t>
            </w:r>
          </w:p>
        </w:tc>
        <w:tc>
          <w:tcPr>
            <w:tcW w:w="851" w:type="dxa"/>
            <w:noWrap/>
            <w:hideMark/>
          </w:tcPr>
          <w:p w14:paraId="28EA5E0A"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3.</w:t>
            </w:r>
            <w:r>
              <w:rPr>
                <w:sz w:val="17"/>
                <w:szCs w:val="17"/>
              </w:rPr>
              <w:t>7</w:t>
            </w:r>
          </w:p>
        </w:tc>
        <w:tc>
          <w:tcPr>
            <w:tcW w:w="851" w:type="dxa"/>
            <w:noWrap/>
            <w:hideMark/>
          </w:tcPr>
          <w:p w14:paraId="42265C7B"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0.1</w:t>
            </w:r>
          </w:p>
        </w:tc>
        <w:tc>
          <w:tcPr>
            <w:tcW w:w="851" w:type="dxa"/>
            <w:noWrap/>
            <w:hideMark/>
          </w:tcPr>
          <w:p w14:paraId="54B6B306"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w:t>
            </w:r>
          </w:p>
        </w:tc>
        <w:tc>
          <w:tcPr>
            <w:tcW w:w="851" w:type="dxa"/>
            <w:noWrap/>
            <w:hideMark/>
          </w:tcPr>
          <w:p w14:paraId="7FFECCEF"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0.1</w:t>
            </w:r>
          </w:p>
        </w:tc>
        <w:tc>
          <w:tcPr>
            <w:tcW w:w="851" w:type="dxa"/>
            <w:noWrap/>
            <w:hideMark/>
          </w:tcPr>
          <w:p w14:paraId="6D08F245"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(0.</w:t>
            </w:r>
            <w:r>
              <w:rPr>
                <w:sz w:val="17"/>
                <w:szCs w:val="17"/>
              </w:rPr>
              <w:t>2</w:t>
            </w:r>
            <w:r w:rsidRPr="00140535">
              <w:rPr>
                <w:sz w:val="17"/>
                <w:szCs w:val="17"/>
              </w:rPr>
              <w:t>)</w:t>
            </w:r>
          </w:p>
        </w:tc>
        <w:tc>
          <w:tcPr>
            <w:tcW w:w="851" w:type="dxa"/>
            <w:noWrap/>
            <w:hideMark/>
          </w:tcPr>
          <w:p w14:paraId="0B432E3E"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w:t>
            </w:r>
          </w:p>
        </w:tc>
        <w:tc>
          <w:tcPr>
            <w:tcW w:w="851" w:type="dxa"/>
            <w:noWrap/>
            <w:hideMark/>
          </w:tcPr>
          <w:p w14:paraId="2B51A6AA"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0.1</w:t>
            </w:r>
          </w:p>
        </w:tc>
        <w:tc>
          <w:tcPr>
            <w:tcW w:w="851" w:type="dxa"/>
            <w:noWrap/>
            <w:hideMark/>
          </w:tcPr>
          <w:p w14:paraId="76738CB0"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0.1</w:t>
            </w:r>
          </w:p>
        </w:tc>
        <w:tc>
          <w:tcPr>
            <w:tcW w:w="851" w:type="dxa"/>
            <w:noWrap/>
            <w:hideMark/>
          </w:tcPr>
          <w:p w14:paraId="49E94056"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w:t>
            </w:r>
          </w:p>
        </w:tc>
        <w:tc>
          <w:tcPr>
            <w:tcW w:w="851" w:type="dxa"/>
            <w:noWrap/>
            <w:hideMark/>
          </w:tcPr>
          <w:p w14:paraId="1455FB96"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w:t>
            </w:r>
          </w:p>
        </w:tc>
        <w:tc>
          <w:tcPr>
            <w:tcW w:w="851" w:type="dxa"/>
            <w:noWrap/>
            <w:hideMark/>
          </w:tcPr>
          <w:p w14:paraId="41A162E3"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0.1</w:t>
            </w:r>
          </w:p>
        </w:tc>
        <w:tc>
          <w:tcPr>
            <w:tcW w:w="851" w:type="dxa"/>
            <w:noWrap/>
            <w:hideMark/>
          </w:tcPr>
          <w:p w14:paraId="675B7D8C"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w:t>
            </w:r>
          </w:p>
        </w:tc>
        <w:tc>
          <w:tcPr>
            <w:tcW w:w="851" w:type="dxa"/>
            <w:noWrap/>
            <w:hideMark/>
          </w:tcPr>
          <w:p w14:paraId="3BEC50F5"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0.5</w:t>
            </w:r>
          </w:p>
        </w:tc>
      </w:tr>
      <w:tr w:rsidR="00CE75D4" w:rsidRPr="00C0495C" w14:paraId="2E37F12F" w14:textId="77777777" w:rsidTr="008340C1">
        <w:trPr>
          <w:cantSplit w:val="0"/>
          <w:trHeight w:val="170"/>
        </w:trPr>
        <w:tc>
          <w:tcPr>
            <w:tcW w:w="3402" w:type="dxa"/>
            <w:hideMark/>
          </w:tcPr>
          <w:p w14:paraId="081B7352" w14:textId="77777777" w:rsidR="00CE75D4" w:rsidRPr="00140535" w:rsidRDefault="00CE75D4" w:rsidP="008340C1">
            <w:pPr>
              <w:pStyle w:val="ARfintablebodybold"/>
              <w:spacing w:before="10" w:after="10" w:line="228" w:lineRule="auto"/>
              <w:rPr>
                <w:rFonts w:cs="Arial"/>
                <w:sz w:val="17"/>
                <w:szCs w:val="17"/>
              </w:rPr>
            </w:pPr>
            <w:r w:rsidRPr="00140535">
              <w:rPr>
                <w:rFonts w:cs="Arial"/>
                <w:sz w:val="17"/>
                <w:szCs w:val="17"/>
              </w:rPr>
              <w:t>Net result</w:t>
            </w:r>
          </w:p>
        </w:tc>
        <w:tc>
          <w:tcPr>
            <w:tcW w:w="851" w:type="dxa"/>
            <w:noWrap/>
            <w:hideMark/>
          </w:tcPr>
          <w:p w14:paraId="2023CC36"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166.8</w:t>
            </w:r>
          </w:p>
        </w:tc>
        <w:tc>
          <w:tcPr>
            <w:tcW w:w="851" w:type="dxa"/>
            <w:noWrap/>
            <w:hideMark/>
          </w:tcPr>
          <w:p w14:paraId="185DE8AB"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99.8</w:t>
            </w:r>
          </w:p>
        </w:tc>
        <w:tc>
          <w:tcPr>
            <w:tcW w:w="851" w:type="dxa"/>
            <w:noWrap/>
            <w:hideMark/>
          </w:tcPr>
          <w:p w14:paraId="65B3B2AC"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34.3</w:t>
            </w:r>
          </w:p>
        </w:tc>
        <w:tc>
          <w:tcPr>
            <w:tcW w:w="851" w:type="dxa"/>
            <w:noWrap/>
            <w:hideMark/>
          </w:tcPr>
          <w:p w14:paraId="39DA666C"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20.1</w:t>
            </w:r>
          </w:p>
        </w:tc>
        <w:tc>
          <w:tcPr>
            <w:tcW w:w="851" w:type="dxa"/>
            <w:noWrap/>
            <w:hideMark/>
          </w:tcPr>
          <w:p w14:paraId="0A981355"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(28.</w:t>
            </w:r>
            <w:r>
              <w:rPr>
                <w:sz w:val="17"/>
                <w:szCs w:val="17"/>
              </w:rPr>
              <w:t>1</w:t>
            </w:r>
            <w:r w:rsidRPr="00140535">
              <w:rPr>
                <w:sz w:val="17"/>
                <w:szCs w:val="17"/>
              </w:rPr>
              <w:t>)</w:t>
            </w:r>
          </w:p>
        </w:tc>
        <w:tc>
          <w:tcPr>
            <w:tcW w:w="851" w:type="dxa"/>
            <w:noWrap/>
            <w:hideMark/>
          </w:tcPr>
          <w:p w14:paraId="072A4C0B"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10.2</w:t>
            </w:r>
          </w:p>
        </w:tc>
        <w:tc>
          <w:tcPr>
            <w:tcW w:w="851" w:type="dxa"/>
            <w:noWrap/>
            <w:hideMark/>
          </w:tcPr>
          <w:p w14:paraId="7CB40341"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w:t>
            </w:r>
            <w:r>
              <w:rPr>
                <w:sz w:val="17"/>
                <w:szCs w:val="17"/>
              </w:rPr>
              <w:t>8</w:t>
            </w:r>
          </w:p>
        </w:tc>
        <w:tc>
          <w:tcPr>
            <w:tcW w:w="851" w:type="dxa"/>
            <w:noWrap/>
            <w:hideMark/>
          </w:tcPr>
          <w:p w14:paraId="20EDDCD6"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29.3</w:t>
            </w:r>
          </w:p>
        </w:tc>
        <w:tc>
          <w:tcPr>
            <w:tcW w:w="851" w:type="dxa"/>
            <w:noWrap/>
            <w:hideMark/>
          </w:tcPr>
          <w:p w14:paraId="603DB9C2"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64.7</w:t>
            </w:r>
          </w:p>
        </w:tc>
        <w:tc>
          <w:tcPr>
            <w:tcW w:w="851" w:type="dxa"/>
            <w:noWrap/>
            <w:hideMark/>
          </w:tcPr>
          <w:p w14:paraId="3B0C3446"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(8.1)</w:t>
            </w:r>
          </w:p>
        </w:tc>
        <w:tc>
          <w:tcPr>
            <w:tcW w:w="851" w:type="dxa"/>
            <w:noWrap/>
            <w:hideMark/>
          </w:tcPr>
          <w:p w14:paraId="5E3E3160"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8.4</w:t>
            </w:r>
          </w:p>
        </w:tc>
        <w:tc>
          <w:tcPr>
            <w:tcW w:w="851" w:type="dxa"/>
            <w:noWrap/>
            <w:hideMark/>
          </w:tcPr>
          <w:p w14:paraId="12F928D0"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32.</w:t>
            </w:r>
            <w:r>
              <w:rPr>
                <w:sz w:val="17"/>
                <w:szCs w:val="17"/>
              </w:rPr>
              <w:t>2</w:t>
            </w:r>
          </w:p>
        </w:tc>
        <w:tc>
          <w:tcPr>
            <w:tcW w:w="851" w:type="dxa"/>
            <w:noWrap/>
            <w:hideMark/>
          </w:tcPr>
          <w:p w14:paraId="7B9F6D7B"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(166.</w:t>
            </w:r>
            <w:r>
              <w:rPr>
                <w:sz w:val="17"/>
                <w:szCs w:val="17"/>
              </w:rPr>
              <w:t>0</w:t>
            </w:r>
            <w:r w:rsidRPr="00140535">
              <w:rPr>
                <w:sz w:val="17"/>
                <w:szCs w:val="17"/>
              </w:rPr>
              <w:t>)</w:t>
            </w:r>
          </w:p>
        </w:tc>
      </w:tr>
    </w:tbl>
    <w:p w14:paraId="332C6853" w14:textId="77777777" w:rsidR="00CE75D4" w:rsidRPr="003472D7" w:rsidRDefault="00CE75D4" w:rsidP="008340C1">
      <w:pPr>
        <w:pStyle w:val="ARfintablefootnote"/>
        <w:rPr>
          <w:sz w:val="15"/>
          <w:szCs w:val="15"/>
        </w:rPr>
      </w:pPr>
      <w:r w:rsidRPr="003472D7">
        <w:rPr>
          <w:sz w:val="15"/>
          <w:szCs w:val="15"/>
          <w:lang w:eastAsia="en-AU"/>
        </w:rPr>
        <w:t>Note:</w:t>
      </w:r>
    </w:p>
    <w:p w14:paraId="49AB003C" w14:textId="77777777" w:rsidR="00CE75D4" w:rsidRPr="003472D7" w:rsidRDefault="00CE75D4" w:rsidP="008340C1">
      <w:pPr>
        <w:pStyle w:val="ARfintablefootnoteindent"/>
        <w:rPr>
          <w:sz w:val="15"/>
          <w:szCs w:val="15"/>
        </w:rPr>
      </w:pPr>
      <w:r w:rsidRPr="003472D7">
        <w:rPr>
          <w:sz w:val="15"/>
          <w:szCs w:val="15"/>
        </w:rPr>
        <w:t>(i)</w:t>
      </w:r>
      <w:r w:rsidRPr="003472D7">
        <w:rPr>
          <w:sz w:val="15"/>
          <w:szCs w:val="15"/>
        </w:rPr>
        <w:tab/>
        <w:t>Refer to Note 4.1.1(a) for output definitions.</w:t>
      </w:r>
    </w:p>
    <w:p w14:paraId="4034CD99" w14:textId="77777777" w:rsidR="00CE75D4" w:rsidRPr="0040433B" w:rsidRDefault="00CE75D4" w:rsidP="008340C1">
      <w:pPr>
        <w:pStyle w:val="ARfinbody"/>
      </w:pPr>
      <w:r w:rsidRPr="0040433B">
        <w:br w:type="page"/>
      </w:r>
    </w:p>
    <w:p w14:paraId="44C02B37" w14:textId="77777777" w:rsidR="00CE75D4" w:rsidRPr="00AF0E05" w:rsidRDefault="00CE75D4" w:rsidP="008340C1">
      <w:pPr>
        <w:pStyle w:val="Heading6"/>
        <w:spacing w:before="80" w:after="160"/>
        <w:rPr>
          <w:lang w:eastAsia="en-AU"/>
        </w:rPr>
      </w:pPr>
      <w:r>
        <w:rPr>
          <w:lang w:eastAsia="en-AU"/>
        </w:rPr>
        <w:t>B. 2022 (continued) – Outputs 14–25 and total of outputs 1–25</w:t>
      </w:r>
    </w:p>
    <w:tbl>
      <w:tblPr>
        <w:tblStyle w:val="TableGrid"/>
        <w:tblW w:w="14459" w:type="dxa"/>
        <w:tblLayout w:type="fixed"/>
        <w:tblCellMar>
          <w:right w:w="0" w:type="dxa"/>
        </w:tblCellMar>
        <w:tblLook w:val="06A0" w:firstRow="1" w:lastRow="0" w:firstColumn="1" w:lastColumn="0" w:noHBand="1" w:noVBand="1"/>
      </w:tblPr>
      <w:tblGrid>
        <w:gridCol w:w="3400"/>
        <w:gridCol w:w="850"/>
        <w:gridCol w:w="850"/>
        <w:gridCol w:w="850"/>
        <w:gridCol w:w="850"/>
        <w:gridCol w:w="851"/>
        <w:gridCol w:w="851"/>
        <w:gridCol w:w="851"/>
        <w:gridCol w:w="851"/>
        <w:gridCol w:w="851"/>
        <w:gridCol w:w="851"/>
        <w:gridCol w:w="851"/>
        <w:gridCol w:w="851"/>
        <w:gridCol w:w="851"/>
      </w:tblGrid>
      <w:tr w:rsidR="00CE75D4" w:rsidRPr="003472D7" w14:paraId="5F2681C1" w14:textId="77777777" w:rsidTr="008340C1">
        <w:trPr>
          <w:cnfStyle w:val="100000000000" w:firstRow="1" w:lastRow="0" w:firstColumn="0" w:lastColumn="0" w:oddVBand="0" w:evenVBand="0" w:oddHBand="0" w:evenHBand="0" w:firstRowFirstColumn="0" w:firstRowLastColumn="0" w:lastRowFirstColumn="0" w:lastRowLastColumn="0"/>
          <w:trHeight w:val="170"/>
          <w:tblHeader/>
        </w:trPr>
        <w:tc>
          <w:tcPr>
            <w:tcW w:w="3402" w:type="dxa"/>
            <w:tcBorders>
              <w:bottom w:val="single" w:sz="4" w:space="0" w:color="auto"/>
            </w:tcBorders>
            <w:hideMark/>
          </w:tcPr>
          <w:p w14:paraId="1B46C582" w14:textId="77777777" w:rsidR="00CE75D4" w:rsidRPr="00140535" w:rsidRDefault="00CE75D4" w:rsidP="008340C1">
            <w:pPr>
              <w:pStyle w:val="ARfintablecolhead"/>
              <w:spacing w:before="10" w:after="10" w:line="228" w:lineRule="auto"/>
              <w:rPr>
                <w:rFonts w:cs="Arial"/>
                <w:sz w:val="17"/>
                <w:szCs w:val="17"/>
              </w:rPr>
            </w:pPr>
            <w:r w:rsidRPr="00140535">
              <w:rPr>
                <w:rFonts w:cs="Arial"/>
                <w:sz w:val="17"/>
                <w:szCs w:val="17"/>
              </w:rPr>
              <w:t>Year ended 30 June 2022</w:t>
            </w:r>
          </w:p>
          <w:p w14:paraId="0513CE9E" w14:textId="77777777" w:rsidR="00CE75D4" w:rsidRPr="00140535" w:rsidRDefault="00CE75D4" w:rsidP="008340C1">
            <w:pPr>
              <w:pStyle w:val="ARfintablecolhead"/>
              <w:spacing w:before="10" w:after="10" w:line="228" w:lineRule="auto"/>
              <w:rPr>
                <w:rFonts w:cs="Arial"/>
                <w:sz w:val="17"/>
                <w:szCs w:val="17"/>
              </w:rPr>
            </w:pPr>
            <w:r w:rsidRPr="00140535">
              <w:rPr>
                <w:rFonts w:cs="Arial"/>
                <w:sz w:val="17"/>
                <w:szCs w:val="17"/>
              </w:rPr>
              <w:t xml:space="preserve">Output </w:t>
            </w:r>
            <w:r w:rsidRPr="00140535">
              <w:rPr>
                <w:rStyle w:val="Superscript"/>
                <w:sz w:val="17"/>
                <w:szCs w:val="17"/>
              </w:rPr>
              <w:t>(i)</w:t>
            </w:r>
          </w:p>
        </w:tc>
        <w:tc>
          <w:tcPr>
            <w:tcW w:w="851" w:type="dxa"/>
            <w:tcBorders>
              <w:bottom w:val="single" w:sz="4" w:space="0" w:color="auto"/>
            </w:tcBorders>
            <w:hideMark/>
          </w:tcPr>
          <w:p w14:paraId="63EA3453"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 xml:space="preserve">14 </w:t>
            </w:r>
          </w:p>
          <w:p w14:paraId="2AE64572"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5F02F277"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15</w:t>
            </w:r>
          </w:p>
          <w:p w14:paraId="0F1CA716"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5942A107"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16</w:t>
            </w:r>
          </w:p>
          <w:p w14:paraId="6C285F8F"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63E6DEDE"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17</w:t>
            </w:r>
          </w:p>
          <w:p w14:paraId="2B00D679"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5A30A20B"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18</w:t>
            </w:r>
          </w:p>
          <w:p w14:paraId="16C561C8"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2D44EAB5"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19</w:t>
            </w:r>
          </w:p>
          <w:p w14:paraId="47ECEC4F"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67326245"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20</w:t>
            </w:r>
          </w:p>
          <w:p w14:paraId="12F0ED86"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3FD4FC34"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21</w:t>
            </w:r>
          </w:p>
          <w:p w14:paraId="68DC3E84"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64572FCF"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22</w:t>
            </w:r>
          </w:p>
          <w:p w14:paraId="7FD1FA94"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3586EC90"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23</w:t>
            </w:r>
          </w:p>
          <w:p w14:paraId="142E2044"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48987CE9"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24</w:t>
            </w:r>
          </w:p>
          <w:p w14:paraId="1CFCD6EE"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2ACE2B99"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25</w:t>
            </w:r>
          </w:p>
          <w:p w14:paraId="426B5CD5"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c>
          <w:tcPr>
            <w:tcW w:w="851" w:type="dxa"/>
            <w:tcBorders>
              <w:bottom w:val="single" w:sz="4" w:space="0" w:color="auto"/>
            </w:tcBorders>
            <w:hideMark/>
          </w:tcPr>
          <w:p w14:paraId="2BD51F76"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Total</w:t>
            </w:r>
          </w:p>
          <w:p w14:paraId="2A24C1AB" w14:textId="77777777" w:rsidR="00CE75D4" w:rsidRPr="00140535" w:rsidRDefault="00CE75D4" w:rsidP="008340C1">
            <w:pPr>
              <w:pStyle w:val="ARfintablecolheadright"/>
              <w:spacing w:before="10" w:after="10" w:line="228" w:lineRule="auto"/>
              <w:ind w:right="0"/>
              <w:rPr>
                <w:rFonts w:cs="Arial"/>
                <w:sz w:val="17"/>
                <w:szCs w:val="17"/>
              </w:rPr>
            </w:pPr>
            <w:r w:rsidRPr="00140535">
              <w:rPr>
                <w:rFonts w:cs="Arial"/>
                <w:sz w:val="17"/>
                <w:szCs w:val="17"/>
              </w:rPr>
              <w:t>$M</w:t>
            </w:r>
          </w:p>
        </w:tc>
      </w:tr>
      <w:tr w:rsidR="00CE75D4" w:rsidRPr="003472D7" w14:paraId="1047A2F8" w14:textId="77777777" w:rsidTr="008340C1">
        <w:trPr>
          <w:cantSplit w:val="0"/>
          <w:trHeight w:val="170"/>
        </w:trPr>
        <w:tc>
          <w:tcPr>
            <w:tcW w:w="3402" w:type="dxa"/>
            <w:gridSpan w:val="14"/>
            <w:tcBorders>
              <w:top w:val="single" w:sz="4" w:space="0" w:color="A6A6A6"/>
              <w:bottom w:val="single" w:sz="4" w:space="0" w:color="A6A6A6"/>
            </w:tcBorders>
          </w:tcPr>
          <w:p w14:paraId="634CB1A3" w14:textId="77777777" w:rsidR="00CE75D4" w:rsidRPr="00140535" w:rsidRDefault="00CE75D4" w:rsidP="008340C1">
            <w:pPr>
              <w:pStyle w:val="ARfintablebodybold"/>
              <w:spacing w:before="10" w:after="10" w:line="228" w:lineRule="auto"/>
              <w:rPr>
                <w:rFonts w:cs="Arial"/>
                <w:sz w:val="17"/>
                <w:szCs w:val="17"/>
              </w:rPr>
            </w:pPr>
            <w:r>
              <w:rPr>
                <w:rFonts w:cs="Arial"/>
                <w:sz w:val="17"/>
                <w:szCs w:val="17"/>
              </w:rPr>
              <w:t>Revenue and i</w:t>
            </w:r>
            <w:r w:rsidRPr="00140535">
              <w:rPr>
                <w:rFonts w:cs="Arial"/>
                <w:sz w:val="17"/>
                <w:szCs w:val="17"/>
              </w:rPr>
              <w:t>ncome from transactions</w:t>
            </w:r>
          </w:p>
        </w:tc>
      </w:tr>
      <w:tr w:rsidR="00CE75D4" w:rsidRPr="003472D7" w14:paraId="5AA38507" w14:textId="77777777" w:rsidTr="008340C1">
        <w:trPr>
          <w:cantSplit w:val="0"/>
          <w:trHeight w:val="170"/>
        </w:trPr>
        <w:tc>
          <w:tcPr>
            <w:tcW w:w="3402" w:type="dxa"/>
            <w:tcBorders>
              <w:top w:val="single" w:sz="4" w:space="0" w:color="A6A6A6"/>
              <w:bottom w:val="single" w:sz="4" w:space="0" w:color="A6A6A6"/>
            </w:tcBorders>
            <w:hideMark/>
          </w:tcPr>
          <w:p w14:paraId="2743B506" w14:textId="77777777" w:rsidR="00CE75D4" w:rsidRPr="00140535" w:rsidRDefault="00CE75D4" w:rsidP="008340C1">
            <w:pPr>
              <w:pStyle w:val="ARfintablebody"/>
              <w:spacing w:before="10" w:after="10" w:line="228" w:lineRule="auto"/>
              <w:rPr>
                <w:sz w:val="17"/>
                <w:szCs w:val="17"/>
              </w:rPr>
            </w:pPr>
            <w:r w:rsidRPr="00140535">
              <w:rPr>
                <w:sz w:val="17"/>
                <w:szCs w:val="17"/>
              </w:rPr>
              <w:t>Output appropriations</w:t>
            </w:r>
          </w:p>
        </w:tc>
        <w:tc>
          <w:tcPr>
            <w:tcW w:w="851" w:type="dxa"/>
            <w:tcBorders>
              <w:top w:val="single" w:sz="4" w:space="0" w:color="A6A6A6"/>
              <w:bottom w:val="single" w:sz="4" w:space="0" w:color="A6A6A6"/>
            </w:tcBorders>
            <w:noWrap/>
            <w:hideMark/>
          </w:tcPr>
          <w:p w14:paraId="6B84721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126.1</w:t>
            </w:r>
          </w:p>
        </w:tc>
        <w:tc>
          <w:tcPr>
            <w:tcW w:w="851" w:type="dxa"/>
            <w:tcBorders>
              <w:top w:val="single" w:sz="4" w:space="0" w:color="A6A6A6"/>
              <w:bottom w:val="single" w:sz="4" w:space="0" w:color="A6A6A6"/>
            </w:tcBorders>
            <w:noWrap/>
            <w:hideMark/>
          </w:tcPr>
          <w:p w14:paraId="531A683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529.8</w:t>
            </w:r>
          </w:p>
        </w:tc>
        <w:tc>
          <w:tcPr>
            <w:tcW w:w="851" w:type="dxa"/>
            <w:tcBorders>
              <w:top w:val="single" w:sz="4" w:space="0" w:color="A6A6A6"/>
              <w:bottom w:val="single" w:sz="4" w:space="0" w:color="A6A6A6"/>
            </w:tcBorders>
            <w:noWrap/>
            <w:hideMark/>
          </w:tcPr>
          <w:p w14:paraId="371D3AA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255.4</w:t>
            </w:r>
          </w:p>
        </w:tc>
        <w:tc>
          <w:tcPr>
            <w:tcW w:w="851" w:type="dxa"/>
            <w:tcBorders>
              <w:top w:val="single" w:sz="4" w:space="0" w:color="A6A6A6"/>
              <w:bottom w:val="single" w:sz="4" w:space="0" w:color="A6A6A6"/>
            </w:tcBorders>
            <w:noWrap/>
            <w:hideMark/>
          </w:tcPr>
          <w:p w14:paraId="775F303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142.5</w:t>
            </w:r>
          </w:p>
        </w:tc>
        <w:tc>
          <w:tcPr>
            <w:tcW w:w="851" w:type="dxa"/>
            <w:tcBorders>
              <w:top w:val="single" w:sz="4" w:space="0" w:color="A6A6A6"/>
              <w:bottom w:val="single" w:sz="4" w:space="0" w:color="A6A6A6"/>
            </w:tcBorders>
            <w:noWrap/>
            <w:hideMark/>
          </w:tcPr>
          <w:p w14:paraId="19C9A63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2,587.8</w:t>
            </w:r>
          </w:p>
        </w:tc>
        <w:tc>
          <w:tcPr>
            <w:tcW w:w="851" w:type="dxa"/>
            <w:tcBorders>
              <w:top w:val="single" w:sz="4" w:space="0" w:color="A6A6A6"/>
              <w:bottom w:val="single" w:sz="4" w:space="0" w:color="A6A6A6"/>
            </w:tcBorders>
            <w:noWrap/>
            <w:hideMark/>
          </w:tcPr>
          <w:p w14:paraId="67FB608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87.7</w:t>
            </w:r>
          </w:p>
        </w:tc>
        <w:tc>
          <w:tcPr>
            <w:tcW w:w="851" w:type="dxa"/>
            <w:tcBorders>
              <w:top w:val="single" w:sz="4" w:space="0" w:color="A6A6A6"/>
              <w:bottom w:val="single" w:sz="4" w:space="0" w:color="A6A6A6"/>
            </w:tcBorders>
            <w:noWrap/>
            <w:hideMark/>
          </w:tcPr>
          <w:p w14:paraId="31B30A3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13.6</w:t>
            </w:r>
          </w:p>
        </w:tc>
        <w:tc>
          <w:tcPr>
            <w:tcW w:w="851" w:type="dxa"/>
            <w:tcBorders>
              <w:top w:val="single" w:sz="4" w:space="0" w:color="A6A6A6"/>
              <w:bottom w:val="single" w:sz="4" w:space="0" w:color="A6A6A6"/>
            </w:tcBorders>
            <w:noWrap/>
            <w:hideMark/>
          </w:tcPr>
          <w:p w14:paraId="3C9C8EE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260.1</w:t>
            </w:r>
          </w:p>
        </w:tc>
        <w:tc>
          <w:tcPr>
            <w:tcW w:w="851" w:type="dxa"/>
            <w:tcBorders>
              <w:top w:val="single" w:sz="4" w:space="0" w:color="A6A6A6"/>
              <w:bottom w:val="single" w:sz="4" w:space="0" w:color="A6A6A6"/>
            </w:tcBorders>
            <w:noWrap/>
            <w:hideMark/>
          </w:tcPr>
          <w:p w14:paraId="5D238F2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56.1</w:t>
            </w:r>
          </w:p>
        </w:tc>
        <w:tc>
          <w:tcPr>
            <w:tcW w:w="851" w:type="dxa"/>
            <w:tcBorders>
              <w:top w:val="single" w:sz="4" w:space="0" w:color="A6A6A6"/>
              <w:bottom w:val="single" w:sz="4" w:space="0" w:color="A6A6A6"/>
            </w:tcBorders>
            <w:noWrap/>
            <w:hideMark/>
          </w:tcPr>
          <w:p w14:paraId="3837DDC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4.5</w:t>
            </w:r>
          </w:p>
        </w:tc>
        <w:tc>
          <w:tcPr>
            <w:tcW w:w="851" w:type="dxa"/>
            <w:tcBorders>
              <w:top w:val="single" w:sz="4" w:space="0" w:color="A6A6A6"/>
              <w:bottom w:val="single" w:sz="4" w:space="0" w:color="A6A6A6"/>
            </w:tcBorders>
            <w:noWrap/>
            <w:hideMark/>
          </w:tcPr>
          <w:p w14:paraId="5244ED5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16.7</w:t>
            </w:r>
          </w:p>
        </w:tc>
        <w:tc>
          <w:tcPr>
            <w:tcW w:w="851" w:type="dxa"/>
            <w:tcBorders>
              <w:top w:val="single" w:sz="4" w:space="0" w:color="A6A6A6"/>
              <w:bottom w:val="single" w:sz="4" w:space="0" w:color="A6A6A6"/>
            </w:tcBorders>
            <w:noWrap/>
            <w:hideMark/>
          </w:tcPr>
          <w:p w14:paraId="39531E9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4C87E5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15,9</w:t>
            </w:r>
            <w:r>
              <w:rPr>
                <w:sz w:val="17"/>
                <w:szCs w:val="17"/>
              </w:rPr>
              <w:t>09.9</w:t>
            </w:r>
          </w:p>
        </w:tc>
      </w:tr>
      <w:tr w:rsidR="00CE75D4" w:rsidRPr="003472D7" w14:paraId="0CC04C13" w14:textId="77777777" w:rsidTr="008340C1">
        <w:trPr>
          <w:cantSplit w:val="0"/>
          <w:trHeight w:val="170"/>
        </w:trPr>
        <w:tc>
          <w:tcPr>
            <w:tcW w:w="3402" w:type="dxa"/>
            <w:tcBorders>
              <w:top w:val="single" w:sz="4" w:space="0" w:color="A6A6A6"/>
              <w:bottom w:val="single" w:sz="4" w:space="0" w:color="A6A6A6"/>
            </w:tcBorders>
            <w:hideMark/>
          </w:tcPr>
          <w:p w14:paraId="4E334AF0" w14:textId="77777777" w:rsidR="00CE75D4" w:rsidRPr="00140535" w:rsidRDefault="00CE75D4" w:rsidP="008340C1">
            <w:pPr>
              <w:pStyle w:val="ARfintablebody"/>
              <w:spacing w:before="10" w:after="10" w:line="228" w:lineRule="auto"/>
              <w:rPr>
                <w:sz w:val="17"/>
                <w:szCs w:val="17"/>
              </w:rPr>
            </w:pPr>
            <w:r w:rsidRPr="00140535">
              <w:rPr>
                <w:sz w:val="17"/>
                <w:szCs w:val="17"/>
              </w:rPr>
              <w:t>Special appropriations</w:t>
            </w:r>
          </w:p>
        </w:tc>
        <w:tc>
          <w:tcPr>
            <w:tcW w:w="851" w:type="dxa"/>
            <w:tcBorders>
              <w:top w:val="single" w:sz="4" w:space="0" w:color="A6A6A6"/>
              <w:bottom w:val="single" w:sz="4" w:space="0" w:color="A6A6A6"/>
            </w:tcBorders>
            <w:noWrap/>
            <w:hideMark/>
          </w:tcPr>
          <w:p w14:paraId="20CEBA8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13.4</w:t>
            </w:r>
          </w:p>
        </w:tc>
        <w:tc>
          <w:tcPr>
            <w:tcW w:w="851" w:type="dxa"/>
            <w:tcBorders>
              <w:top w:val="single" w:sz="4" w:space="0" w:color="A6A6A6"/>
              <w:bottom w:val="single" w:sz="4" w:space="0" w:color="A6A6A6"/>
            </w:tcBorders>
            <w:noWrap/>
            <w:hideMark/>
          </w:tcPr>
          <w:p w14:paraId="35D6584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20.7</w:t>
            </w:r>
          </w:p>
        </w:tc>
        <w:tc>
          <w:tcPr>
            <w:tcW w:w="851" w:type="dxa"/>
            <w:tcBorders>
              <w:top w:val="single" w:sz="4" w:space="0" w:color="A6A6A6"/>
              <w:bottom w:val="single" w:sz="4" w:space="0" w:color="A6A6A6"/>
            </w:tcBorders>
            <w:noWrap/>
            <w:hideMark/>
          </w:tcPr>
          <w:p w14:paraId="7B05A56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20.5</w:t>
            </w:r>
          </w:p>
        </w:tc>
        <w:tc>
          <w:tcPr>
            <w:tcW w:w="851" w:type="dxa"/>
            <w:tcBorders>
              <w:top w:val="single" w:sz="4" w:space="0" w:color="A6A6A6"/>
              <w:bottom w:val="single" w:sz="4" w:space="0" w:color="A6A6A6"/>
            </w:tcBorders>
            <w:noWrap/>
            <w:hideMark/>
          </w:tcPr>
          <w:p w14:paraId="22A8870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0.1</w:t>
            </w:r>
          </w:p>
        </w:tc>
        <w:tc>
          <w:tcPr>
            <w:tcW w:w="851" w:type="dxa"/>
            <w:tcBorders>
              <w:top w:val="single" w:sz="4" w:space="0" w:color="A6A6A6"/>
              <w:bottom w:val="single" w:sz="4" w:space="0" w:color="A6A6A6"/>
            </w:tcBorders>
            <w:noWrap/>
            <w:hideMark/>
          </w:tcPr>
          <w:p w14:paraId="3650695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11.3</w:t>
            </w:r>
          </w:p>
        </w:tc>
        <w:tc>
          <w:tcPr>
            <w:tcW w:w="851" w:type="dxa"/>
            <w:tcBorders>
              <w:top w:val="single" w:sz="4" w:space="0" w:color="A6A6A6"/>
              <w:bottom w:val="single" w:sz="4" w:space="0" w:color="A6A6A6"/>
            </w:tcBorders>
            <w:noWrap/>
            <w:hideMark/>
          </w:tcPr>
          <w:p w14:paraId="45E4F92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4.5</w:t>
            </w:r>
          </w:p>
        </w:tc>
        <w:tc>
          <w:tcPr>
            <w:tcW w:w="851" w:type="dxa"/>
            <w:tcBorders>
              <w:top w:val="single" w:sz="4" w:space="0" w:color="A6A6A6"/>
              <w:bottom w:val="single" w:sz="4" w:space="0" w:color="A6A6A6"/>
            </w:tcBorders>
            <w:noWrap/>
            <w:hideMark/>
          </w:tcPr>
          <w:p w14:paraId="7C36435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w:t>
            </w:r>
            <w:r>
              <w:rPr>
                <w:sz w:val="17"/>
                <w:szCs w:val="17"/>
              </w:rPr>
              <w:t>3</w:t>
            </w:r>
          </w:p>
        </w:tc>
        <w:tc>
          <w:tcPr>
            <w:tcW w:w="851" w:type="dxa"/>
            <w:tcBorders>
              <w:top w:val="single" w:sz="4" w:space="0" w:color="A6A6A6"/>
              <w:bottom w:val="single" w:sz="4" w:space="0" w:color="A6A6A6"/>
            </w:tcBorders>
            <w:noWrap/>
            <w:hideMark/>
          </w:tcPr>
          <w:p w14:paraId="48C3924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1.3</w:t>
            </w:r>
          </w:p>
        </w:tc>
        <w:tc>
          <w:tcPr>
            <w:tcW w:w="851" w:type="dxa"/>
            <w:tcBorders>
              <w:top w:val="single" w:sz="4" w:space="0" w:color="A6A6A6"/>
              <w:bottom w:val="single" w:sz="4" w:space="0" w:color="A6A6A6"/>
            </w:tcBorders>
            <w:noWrap/>
            <w:hideMark/>
          </w:tcPr>
          <w:p w14:paraId="11D0079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4.4</w:t>
            </w:r>
          </w:p>
        </w:tc>
        <w:tc>
          <w:tcPr>
            <w:tcW w:w="851" w:type="dxa"/>
            <w:tcBorders>
              <w:top w:val="single" w:sz="4" w:space="0" w:color="A6A6A6"/>
              <w:bottom w:val="single" w:sz="4" w:space="0" w:color="A6A6A6"/>
            </w:tcBorders>
            <w:noWrap/>
            <w:hideMark/>
          </w:tcPr>
          <w:p w14:paraId="74C0C6A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291225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1.9</w:t>
            </w:r>
          </w:p>
        </w:tc>
        <w:tc>
          <w:tcPr>
            <w:tcW w:w="851" w:type="dxa"/>
            <w:tcBorders>
              <w:top w:val="single" w:sz="4" w:space="0" w:color="A6A6A6"/>
              <w:bottom w:val="single" w:sz="4" w:space="0" w:color="A6A6A6"/>
            </w:tcBorders>
            <w:noWrap/>
            <w:hideMark/>
          </w:tcPr>
          <w:p w14:paraId="34DE8C2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8B4021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1,8</w:t>
            </w:r>
            <w:r>
              <w:rPr>
                <w:sz w:val="17"/>
                <w:szCs w:val="17"/>
              </w:rPr>
              <w:t>88.9</w:t>
            </w:r>
          </w:p>
        </w:tc>
      </w:tr>
      <w:tr w:rsidR="00CE75D4" w:rsidRPr="003472D7" w14:paraId="1CE034FF" w14:textId="77777777" w:rsidTr="008340C1">
        <w:trPr>
          <w:cantSplit w:val="0"/>
          <w:trHeight w:val="170"/>
        </w:trPr>
        <w:tc>
          <w:tcPr>
            <w:tcW w:w="3402" w:type="dxa"/>
            <w:tcBorders>
              <w:top w:val="single" w:sz="4" w:space="0" w:color="A6A6A6"/>
              <w:bottom w:val="single" w:sz="4" w:space="0" w:color="A6A6A6"/>
            </w:tcBorders>
            <w:hideMark/>
          </w:tcPr>
          <w:p w14:paraId="48333F15" w14:textId="77777777" w:rsidR="00CE75D4" w:rsidRPr="00140535" w:rsidRDefault="00CE75D4" w:rsidP="008340C1">
            <w:pPr>
              <w:pStyle w:val="ARfintablebody"/>
              <w:spacing w:before="10" w:after="10" w:line="228" w:lineRule="auto"/>
              <w:rPr>
                <w:sz w:val="17"/>
                <w:szCs w:val="17"/>
              </w:rPr>
            </w:pPr>
            <w:r w:rsidRPr="00140535">
              <w:rPr>
                <w:sz w:val="17"/>
                <w:szCs w:val="17"/>
              </w:rPr>
              <w:t>Interest income</w:t>
            </w:r>
          </w:p>
        </w:tc>
        <w:tc>
          <w:tcPr>
            <w:tcW w:w="851" w:type="dxa"/>
            <w:tcBorders>
              <w:top w:val="single" w:sz="4" w:space="0" w:color="A6A6A6"/>
              <w:bottom w:val="single" w:sz="4" w:space="0" w:color="A6A6A6"/>
            </w:tcBorders>
            <w:noWrap/>
            <w:hideMark/>
          </w:tcPr>
          <w:p w14:paraId="7107DBB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58532E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1FEBAE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45635B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A56C37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D95388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0A6181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EF5FE2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E24A81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F51467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C09CB8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ED0E02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E339B7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r>
      <w:tr w:rsidR="00CE75D4" w:rsidRPr="003472D7" w14:paraId="09CCBCEA" w14:textId="77777777" w:rsidTr="008340C1">
        <w:trPr>
          <w:cantSplit w:val="0"/>
          <w:trHeight w:val="170"/>
        </w:trPr>
        <w:tc>
          <w:tcPr>
            <w:tcW w:w="3402" w:type="dxa"/>
            <w:tcBorders>
              <w:top w:val="single" w:sz="4" w:space="0" w:color="A6A6A6"/>
              <w:bottom w:val="single" w:sz="4" w:space="0" w:color="A6A6A6"/>
            </w:tcBorders>
            <w:hideMark/>
          </w:tcPr>
          <w:p w14:paraId="605DCB6A" w14:textId="77777777" w:rsidR="00CE75D4" w:rsidRPr="00140535" w:rsidRDefault="00CE75D4" w:rsidP="008340C1">
            <w:pPr>
              <w:pStyle w:val="ARfintablebody"/>
              <w:spacing w:before="10" w:after="10" w:line="228" w:lineRule="auto"/>
              <w:rPr>
                <w:sz w:val="17"/>
                <w:szCs w:val="17"/>
              </w:rPr>
            </w:pPr>
            <w:r w:rsidRPr="00140535">
              <w:rPr>
                <w:sz w:val="17"/>
                <w:szCs w:val="17"/>
              </w:rPr>
              <w:t>Rental income and income from services</w:t>
            </w:r>
          </w:p>
        </w:tc>
        <w:tc>
          <w:tcPr>
            <w:tcW w:w="851" w:type="dxa"/>
            <w:tcBorders>
              <w:top w:val="single" w:sz="4" w:space="0" w:color="A6A6A6"/>
              <w:bottom w:val="single" w:sz="4" w:space="0" w:color="A6A6A6"/>
            </w:tcBorders>
            <w:noWrap/>
            <w:hideMark/>
          </w:tcPr>
          <w:p w14:paraId="095184D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762E69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834A2D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658F61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DE5A93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E99B38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988B78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CF68BF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9636FB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6C1D78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575851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880C98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FBF528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r>
      <w:tr w:rsidR="00CE75D4" w:rsidRPr="003472D7" w14:paraId="21B357CA" w14:textId="77777777" w:rsidTr="008340C1">
        <w:trPr>
          <w:cantSplit w:val="0"/>
          <w:trHeight w:val="170"/>
        </w:trPr>
        <w:tc>
          <w:tcPr>
            <w:tcW w:w="3402" w:type="dxa"/>
            <w:tcBorders>
              <w:top w:val="single" w:sz="4" w:space="0" w:color="A6A6A6"/>
              <w:bottom w:val="single" w:sz="4" w:space="0" w:color="A6A6A6"/>
            </w:tcBorders>
            <w:hideMark/>
          </w:tcPr>
          <w:p w14:paraId="0E780A45" w14:textId="77777777" w:rsidR="00CE75D4" w:rsidRPr="00140535" w:rsidRDefault="00CE75D4" w:rsidP="008340C1">
            <w:pPr>
              <w:pStyle w:val="ARfintablebody"/>
              <w:spacing w:before="10" w:after="10" w:line="228" w:lineRule="auto"/>
              <w:rPr>
                <w:sz w:val="17"/>
                <w:szCs w:val="17"/>
              </w:rPr>
            </w:pPr>
            <w:r w:rsidRPr="00140535">
              <w:rPr>
                <w:sz w:val="17"/>
                <w:szCs w:val="17"/>
              </w:rPr>
              <w:t>Grants</w:t>
            </w:r>
          </w:p>
        </w:tc>
        <w:tc>
          <w:tcPr>
            <w:tcW w:w="851" w:type="dxa"/>
            <w:tcBorders>
              <w:top w:val="single" w:sz="4" w:space="0" w:color="A6A6A6"/>
              <w:bottom w:val="single" w:sz="4" w:space="0" w:color="A6A6A6"/>
            </w:tcBorders>
            <w:noWrap/>
            <w:hideMark/>
          </w:tcPr>
          <w:p w14:paraId="2E2EA17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12.6</w:t>
            </w:r>
          </w:p>
        </w:tc>
        <w:tc>
          <w:tcPr>
            <w:tcW w:w="851" w:type="dxa"/>
            <w:tcBorders>
              <w:top w:val="single" w:sz="4" w:space="0" w:color="A6A6A6"/>
              <w:bottom w:val="single" w:sz="4" w:space="0" w:color="A6A6A6"/>
            </w:tcBorders>
            <w:noWrap/>
            <w:hideMark/>
          </w:tcPr>
          <w:p w14:paraId="4DF4B54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7.3</w:t>
            </w:r>
          </w:p>
        </w:tc>
        <w:tc>
          <w:tcPr>
            <w:tcW w:w="851" w:type="dxa"/>
            <w:tcBorders>
              <w:top w:val="single" w:sz="4" w:space="0" w:color="A6A6A6"/>
              <w:bottom w:val="single" w:sz="4" w:space="0" w:color="A6A6A6"/>
            </w:tcBorders>
            <w:noWrap/>
            <w:hideMark/>
          </w:tcPr>
          <w:p w14:paraId="3FDC6D3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655D44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5BE969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141.</w:t>
            </w:r>
            <w:r>
              <w:rPr>
                <w:sz w:val="17"/>
                <w:szCs w:val="17"/>
              </w:rPr>
              <w:t>3</w:t>
            </w:r>
          </w:p>
        </w:tc>
        <w:tc>
          <w:tcPr>
            <w:tcW w:w="851" w:type="dxa"/>
            <w:tcBorders>
              <w:top w:val="single" w:sz="4" w:space="0" w:color="A6A6A6"/>
              <w:bottom w:val="single" w:sz="4" w:space="0" w:color="A6A6A6"/>
            </w:tcBorders>
            <w:noWrap/>
            <w:hideMark/>
          </w:tcPr>
          <w:p w14:paraId="1BA3178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1.3</w:t>
            </w:r>
          </w:p>
        </w:tc>
        <w:tc>
          <w:tcPr>
            <w:tcW w:w="851" w:type="dxa"/>
            <w:tcBorders>
              <w:top w:val="single" w:sz="4" w:space="0" w:color="A6A6A6"/>
              <w:bottom w:val="single" w:sz="4" w:space="0" w:color="A6A6A6"/>
            </w:tcBorders>
            <w:noWrap/>
            <w:hideMark/>
          </w:tcPr>
          <w:p w14:paraId="5ACABAF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E73413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142.3</w:t>
            </w:r>
          </w:p>
        </w:tc>
        <w:tc>
          <w:tcPr>
            <w:tcW w:w="851" w:type="dxa"/>
            <w:tcBorders>
              <w:top w:val="single" w:sz="4" w:space="0" w:color="A6A6A6"/>
              <w:bottom w:val="single" w:sz="4" w:space="0" w:color="A6A6A6"/>
            </w:tcBorders>
            <w:noWrap/>
            <w:hideMark/>
          </w:tcPr>
          <w:p w14:paraId="1698B5C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B81E62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1688BF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2CD618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C248FF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3,893.0</w:t>
            </w:r>
          </w:p>
        </w:tc>
      </w:tr>
      <w:tr w:rsidR="00CE75D4" w:rsidRPr="003472D7" w14:paraId="0A254634" w14:textId="77777777" w:rsidTr="008340C1">
        <w:trPr>
          <w:cantSplit w:val="0"/>
          <w:trHeight w:val="170"/>
        </w:trPr>
        <w:tc>
          <w:tcPr>
            <w:tcW w:w="3402" w:type="dxa"/>
            <w:tcBorders>
              <w:top w:val="single" w:sz="4" w:space="0" w:color="A6A6A6"/>
              <w:bottom w:val="single" w:sz="4" w:space="0" w:color="A6A6A6"/>
            </w:tcBorders>
            <w:hideMark/>
          </w:tcPr>
          <w:p w14:paraId="783B9342" w14:textId="77777777" w:rsidR="00CE75D4" w:rsidRPr="00140535" w:rsidRDefault="00CE75D4" w:rsidP="008340C1">
            <w:pPr>
              <w:pStyle w:val="ARfintablebody"/>
              <w:spacing w:before="10" w:after="10" w:line="228" w:lineRule="auto"/>
              <w:rPr>
                <w:sz w:val="17"/>
                <w:szCs w:val="17"/>
              </w:rPr>
            </w:pPr>
            <w:r w:rsidRPr="00140535">
              <w:rPr>
                <w:sz w:val="17"/>
                <w:szCs w:val="17"/>
              </w:rPr>
              <w:t xml:space="preserve">Fair value of assets and services received </w:t>
            </w:r>
            <w:r w:rsidRPr="00140535">
              <w:rPr>
                <w:sz w:val="17"/>
                <w:szCs w:val="17"/>
              </w:rPr>
              <w:br/>
              <w:t>free of charge or for nominal consideration</w:t>
            </w:r>
          </w:p>
        </w:tc>
        <w:tc>
          <w:tcPr>
            <w:tcW w:w="851" w:type="dxa"/>
            <w:tcBorders>
              <w:top w:val="single" w:sz="4" w:space="0" w:color="A6A6A6"/>
              <w:bottom w:val="single" w:sz="4" w:space="0" w:color="A6A6A6"/>
            </w:tcBorders>
            <w:noWrap/>
            <w:hideMark/>
          </w:tcPr>
          <w:p w14:paraId="208D31A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3B5C17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ECC7D4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5EECE5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56F506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27.9</w:t>
            </w:r>
          </w:p>
        </w:tc>
        <w:tc>
          <w:tcPr>
            <w:tcW w:w="851" w:type="dxa"/>
            <w:tcBorders>
              <w:top w:val="single" w:sz="4" w:space="0" w:color="A6A6A6"/>
              <w:bottom w:val="single" w:sz="4" w:space="0" w:color="A6A6A6"/>
            </w:tcBorders>
            <w:noWrap/>
            <w:hideMark/>
          </w:tcPr>
          <w:p w14:paraId="1A6D377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AF6CB1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8D9336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F95C35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F74DBE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124A58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5EDFA0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59D2F1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29.7</w:t>
            </w:r>
          </w:p>
        </w:tc>
      </w:tr>
      <w:tr w:rsidR="00CE75D4" w:rsidRPr="003472D7" w14:paraId="784C8807" w14:textId="77777777" w:rsidTr="008340C1">
        <w:trPr>
          <w:cantSplit w:val="0"/>
          <w:trHeight w:val="170"/>
        </w:trPr>
        <w:tc>
          <w:tcPr>
            <w:tcW w:w="3402" w:type="dxa"/>
            <w:tcBorders>
              <w:top w:val="single" w:sz="4" w:space="0" w:color="A6A6A6"/>
            </w:tcBorders>
            <w:hideMark/>
          </w:tcPr>
          <w:p w14:paraId="5302E420" w14:textId="77777777" w:rsidR="00CE75D4" w:rsidRPr="00140535" w:rsidRDefault="00CE75D4" w:rsidP="008340C1">
            <w:pPr>
              <w:pStyle w:val="ARfintablebody"/>
              <w:spacing w:before="10" w:after="10" w:line="228" w:lineRule="auto"/>
              <w:rPr>
                <w:sz w:val="17"/>
                <w:szCs w:val="17"/>
              </w:rPr>
            </w:pPr>
            <w:r w:rsidRPr="00140535">
              <w:rPr>
                <w:sz w:val="17"/>
                <w:szCs w:val="17"/>
              </w:rPr>
              <w:t>Other income</w:t>
            </w:r>
          </w:p>
        </w:tc>
        <w:tc>
          <w:tcPr>
            <w:tcW w:w="851" w:type="dxa"/>
            <w:tcBorders>
              <w:top w:val="single" w:sz="4" w:space="0" w:color="A6A6A6"/>
            </w:tcBorders>
            <w:noWrap/>
            <w:hideMark/>
          </w:tcPr>
          <w:p w14:paraId="30F6720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798208B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0C94D32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44748ED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4699105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5.8</w:t>
            </w:r>
          </w:p>
        </w:tc>
        <w:tc>
          <w:tcPr>
            <w:tcW w:w="851" w:type="dxa"/>
            <w:tcBorders>
              <w:top w:val="single" w:sz="4" w:space="0" w:color="A6A6A6"/>
            </w:tcBorders>
            <w:noWrap/>
            <w:hideMark/>
          </w:tcPr>
          <w:p w14:paraId="7913EC6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0C62459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2.6</w:t>
            </w:r>
          </w:p>
        </w:tc>
        <w:tc>
          <w:tcPr>
            <w:tcW w:w="851" w:type="dxa"/>
            <w:tcBorders>
              <w:top w:val="single" w:sz="4" w:space="0" w:color="A6A6A6"/>
            </w:tcBorders>
            <w:noWrap/>
            <w:hideMark/>
          </w:tcPr>
          <w:p w14:paraId="3113FDC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(0.3)</w:t>
            </w:r>
          </w:p>
        </w:tc>
        <w:tc>
          <w:tcPr>
            <w:tcW w:w="851" w:type="dxa"/>
            <w:tcBorders>
              <w:top w:val="single" w:sz="4" w:space="0" w:color="A6A6A6"/>
            </w:tcBorders>
            <w:noWrap/>
            <w:hideMark/>
          </w:tcPr>
          <w:p w14:paraId="66FBB24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60F338B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6DD3A60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6B95942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64.4</w:t>
            </w:r>
          </w:p>
        </w:tc>
        <w:tc>
          <w:tcPr>
            <w:tcW w:w="851" w:type="dxa"/>
            <w:tcBorders>
              <w:top w:val="single" w:sz="4" w:space="0" w:color="A6A6A6"/>
            </w:tcBorders>
            <w:noWrap/>
            <w:hideMark/>
          </w:tcPr>
          <w:p w14:paraId="6461001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91.5</w:t>
            </w:r>
          </w:p>
        </w:tc>
      </w:tr>
      <w:tr w:rsidR="00CE75D4" w:rsidRPr="003472D7" w14:paraId="32C29D58" w14:textId="77777777" w:rsidTr="008340C1">
        <w:trPr>
          <w:cantSplit w:val="0"/>
          <w:trHeight w:val="170"/>
        </w:trPr>
        <w:tc>
          <w:tcPr>
            <w:tcW w:w="3402" w:type="dxa"/>
            <w:tcBorders>
              <w:bottom w:val="single" w:sz="4" w:space="0" w:color="auto"/>
            </w:tcBorders>
            <w:hideMark/>
          </w:tcPr>
          <w:p w14:paraId="2B0B7E6A" w14:textId="77777777" w:rsidR="00CE75D4" w:rsidRPr="00140535" w:rsidRDefault="00CE75D4" w:rsidP="008340C1">
            <w:pPr>
              <w:pStyle w:val="ARfintablebodybold"/>
              <w:spacing w:before="10" w:after="10" w:line="228" w:lineRule="auto"/>
              <w:rPr>
                <w:rFonts w:cs="Arial"/>
                <w:sz w:val="17"/>
                <w:szCs w:val="17"/>
              </w:rPr>
            </w:pPr>
            <w:r w:rsidRPr="00140535">
              <w:rPr>
                <w:rFonts w:cs="Arial"/>
                <w:sz w:val="17"/>
                <w:szCs w:val="17"/>
              </w:rPr>
              <w:t>Total revenue and income from transactions</w:t>
            </w:r>
          </w:p>
        </w:tc>
        <w:tc>
          <w:tcPr>
            <w:tcW w:w="851" w:type="dxa"/>
            <w:tcBorders>
              <w:bottom w:val="single" w:sz="4" w:space="0" w:color="auto"/>
            </w:tcBorders>
            <w:noWrap/>
            <w:hideMark/>
          </w:tcPr>
          <w:p w14:paraId="72FD645F"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152.1</w:t>
            </w:r>
          </w:p>
        </w:tc>
        <w:tc>
          <w:tcPr>
            <w:tcW w:w="851" w:type="dxa"/>
            <w:tcBorders>
              <w:bottom w:val="single" w:sz="4" w:space="0" w:color="auto"/>
            </w:tcBorders>
            <w:noWrap/>
            <w:hideMark/>
          </w:tcPr>
          <w:p w14:paraId="7E0095BB"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557.7</w:t>
            </w:r>
          </w:p>
        </w:tc>
        <w:tc>
          <w:tcPr>
            <w:tcW w:w="851" w:type="dxa"/>
            <w:tcBorders>
              <w:bottom w:val="single" w:sz="4" w:space="0" w:color="auto"/>
            </w:tcBorders>
            <w:noWrap/>
            <w:hideMark/>
          </w:tcPr>
          <w:p w14:paraId="777D257C"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275.8</w:t>
            </w:r>
          </w:p>
        </w:tc>
        <w:tc>
          <w:tcPr>
            <w:tcW w:w="851" w:type="dxa"/>
            <w:tcBorders>
              <w:bottom w:val="single" w:sz="4" w:space="0" w:color="auto"/>
            </w:tcBorders>
            <w:noWrap/>
            <w:hideMark/>
          </w:tcPr>
          <w:p w14:paraId="1713FE4F"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142.6</w:t>
            </w:r>
          </w:p>
        </w:tc>
        <w:tc>
          <w:tcPr>
            <w:tcW w:w="851" w:type="dxa"/>
            <w:tcBorders>
              <w:bottom w:val="single" w:sz="4" w:space="0" w:color="auto"/>
            </w:tcBorders>
            <w:noWrap/>
            <w:hideMark/>
          </w:tcPr>
          <w:p w14:paraId="750FE4B4"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2,774.1</w:t>
            </w:r>
          </w:p>
        </w:tc>
        <w:tc>
          <w:tcPr>
            <w:tcW w:w="851" w:type="dxa"/>
            <w:tcBorders>
              <w:bottom w:val="single" w:sz="4" w:space="0" w:color="auto"/>
            </w:tcBorders>
            <w:noWrap/>
            <w:hideMark/>
          </w:tcPr>
          <w:p w14:paraId="7DC5BC95"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93.5</w:t>
            </w:r>
          </w:p>
        </w:tc>
        <w:tc>
          <w:tcPr>
            <w:tcW w:w="851" w:type="dxa"/>
            <w:tcBorders>
              <w:bottom w:val="single" w:sz="4" w:space="0" w:color="auto"/>
            </w:tcBorders>
            <w:noWrap/>
            <w:hideMark/>
          </w:tcPr>
          <w:p w14:paraId="25E08F40"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16.</w:t>
            </w:r>
            <w:r>
              <w:rPr>
                <w:sz w:val="17"/>
                <w:szCs w:val="17"/>
              </w:rPr>
              <w:t>5</w:t>
            </w:r>
          </w:p>
        </w:tc>
        <w:tc>
          <w:tcPr>
            <w:tcW w:w="851" w:type="dxa"/>
            <w:tcBorders>
              <w:bottom w:val="single" w:sz="4" w:space="0" w:color="auto"/>
            </w:tcBorders>
            <w:noWrap/>
            <w:hideMark/>
          </w:tcPr>
          <w:p w14:paraId="32E44C1D"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403.3</w:t>
            </w:r>
          </w:p>
        </w:tc>
        <w:tc>
          <w:tcPr>
            <w:tcW w:w="851" w:type="dxa"/>
            <w:tcBorders>
              <w:bottom w:val="single" w:sz="4" w:space="0" w:color="auto"/>
            </w:tcBorders>
            <w:noWrap/>
            <w:hideMark/>
          </w:tcPr>
          <w:p w14:paraId="7B48C169"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60.5</w:t>
            </w:r>
          </w:p>
        </w:tc>
        <w:tc>
          <w:tcPr>
            <w:tcW w:w="851" w:type="dxa"/>
            <w:tcBorders>
              <w:bottom w:val="single" w:sz="4" w:space="0" w:color="auto"/>
            </w:tcBorders>
            <w:noWrap/>
            <w:hideMark/>
          </w:tcPr>
          <w:p w14:paraId="3130C0EC"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4.5</w:t>
            </w:r>
          </w:p>
        </w:tc>
        <w:tc>
          <w:tcPr>
            <w:tcW w:w="851" w:type="dxa"/>
            <w:tcBorders>
              <w:bottom w:val="single" w:sz="4" w:space="0" w:color="auto"/>
            </w:tcBorders>
            <w:noWrap/>
            <w:hideMark/>
          </w:tcPr>
          <w:p w14:paraId="3665E73D"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18.6</w:t>
            </w:r>
          </w:p>
        </w:tc>
        <w:tc>
          <w:tcPr>
            <w:tcW w:w="851" w:type="dxa"/>
            <w:tcBorders>
              <w:bottom w:val="single" w:sz="4" w:space="0" w:color="auto"/>
            </w:tcBorders>
            <w:noWrap/>
            <w:hideMark/>
          </w:tcPr>
          <w:p w14:paraId="7E64F044"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64.4</w:t>
            </w:r>
          </w:p>
        </w:tc>
        <w:tc>
          <w:tcPr>
            <w:tcW w:w="851" w:type="dxa"/>
            <w:tcBorders>
              <w:bottom w:val="single" w:sz="4" w:space="0" w:color="auto"/>
            </w:tcBorders>
            <w:noWrap/>
            <w:hideMark/>
          </w:tcPr>
          <w:p w14:paraId="01624A22"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21,813.</w:t>
            </w:r>
            <w:r>
              <w:rPr>
                <w:sz w:val="17"/>
                <w:szCs w:val="17"/>
              </w:rPr>
              <w:t>1</w:t>
            </w:r>
          </w:p>
        </w:tc>
      </w:tr>
      <w:tr w:rsidR="00CE75D4" w:rsidRPr="003472D7" w14:paraId="7BAD97E1" w14:textId="77777777" w:rsidTr="008340C1">
        <w:trPr>
          <w:cantSplit w:val="0"/>
          <w:trHeight w:val="170"/>
        </w:trPr>
        <w:tc>
          <w:tcPr>
            <w:tcW w:w="3402" w:type="dxa"/>
            <w:gridSpan w:val="14"/>
            <w:tcBorders>
              <w:top w:val="single" w:sz="4" w:space="0" w:color="A6A6A6"/>
              <w:bottom w:val="single" w:sz="4" w:space="0" w:color="A6A6A6"/>
            </w:tcBorders>
          </w:tcPr>
          <w:p w14:paraId="6F1B0C23" w14:textId="77777777" w:rsidR="00CE75D4" w:rsidRPr="00140535" w:rsidRDefault="00CE75D4" w:rsidP="008340C1">
            <w:pPr>
              <w:pStyle w:val="ARfintablebodybold"/>
              <w:spacing w:before="10" w:after="10" w:line="228" w:lineRule="auto"/>
              <w:rPr>
                <w:rFonts w:cs="Arial"/>
                <w:sz w:val="17"/>
                <w:szCs w:val="17"/>
              </w:rPr>
            </w:pPr>
            <w:r w:rsidRPr="00140535">
              <w:rPr>
                <w:rFonts w:cs="Arial"/>
                <w:sz w:val="17"/>
                <w:szCs w:val="17"/>
              </w:rPr>
              <w:t>Expenses from transactions</w:t>
            </w:r>
          </w:p>
        </w:tc>
      </w:tr>
      <w:tr w:rsidR="00CE75D4" w:rsidRPr="003472D7" w14:paraId="42F53D19" w14:textId="77777777" w:rsidTr="008340C1">
        <w:trPr>
          <w:cantSplit w:val="0"/>
          <w:trHeight w:val="170"/>
        </w:trPr>
        <w:tc>
          <w:tcPr>
            <w:tcW w:w="3402" w:type="dxa"/>
            <w:tcBorders>
              <w:top w:val="single" w:sz="4" w:space="0" w:color="A6A6A6"/>
              <w:bottom w:val="single" w:sz="4" w:space="0" w:color="A6A6A6"/>
            </w:tcBorders>
            <w:hideMark/>
          </w:tcPr>
          <w:p w14:paraId="4DA8903E" w14:textId="77777777" w:rsidR="00CE75D4" w:rsidRPr="00140535" w:rsidRDefault="00CE75D4" w:rsidP="008340C1">
            <w:pPr>
              <w:pStyle w:val="ARfintablebody"/>
              <w:spacing w:before="10" w:after="10" w:line="228" w:lineRule="auto"/>
              <w:rPr>
                <w:sz w:val="17"/>
                <w:szCs w:val="17"/>
              </w:rPr>
            </w:pPr>
            <w:r w:rsidRPr="00140535">
              <w:rPr>
                <w:sz w:val="17"/>
                <w:szCs w:val="17"/>
              </w:rPr>
              <w:t>Employee benefits</w:t>
            </w:r>
          </w:p>
        </w:tc>
        <w:tc>
          <w:tcPr>
            <w:tcW w:w="851" w:type="dxa"/>
            <w:tcBorders>
              <w:top w:val="single" w:sz="4" w:space="0" w:color="A6A6A6"/>
              <w:bottom w:val="single" w:sz="4" w:space="0" w:color="A6A6A6"/>
            </w:tcBorders>
            <w:noWrap/>
            <w:hideMark/>
          </w:tcPr>
          <w:p w14:paraId="56B27DF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2.2</w:t>
            </w:r>
          </w:p>
        </w:tc>
        <w:tc>
          <w:tcPr>
            <w:tcW w:w="851" w:type="dxa"/>
            <w:tcBorders>
              <w:top w:val="single" w:sz="4" w:space="0" w:color="A6A6A6"/>
              <w:bottom w:val="single" w:sz="4" w:space="0" w:color="A6A6A6"/>
            </w:tcBorders>
            <w:noWrap/>
            <w:hideMark/>
          </w:tcPr>
          <w:p w14:paraId="1896D4E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74.1</w:t>
            </w:r>
          </w:p>
        </w:tc>
        <w:tc>
          <w:tcPr>
            <w:tcW w:w="851" w:type="dxa"/>
            <w:tcBorders>
              <w:top w:val="single" w:sz="4" w:space="0" w:color="A6A6A6"/>
              <w:bottom w:val="single" w:sz="4" w:space="0" w:color="A6A6A6"/>
            </w:tcBorders>
            <w:noWrap/>
            <w:hideMark/>
          </w:tcPr>
          <w:p w14:paraId="6D7284E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5.0</w:t>
            </w:r>
          </w:p>
        </w:tc>
        <w:tc>
          <w:tcPr>
            <w:tcW w:w="851" w:type="dxa"/>
            <w:tcBorders>
              <w:top w:val="single" w:sz="4" w:space="0" w:color="A6A6A6"/>
              <w:bottom w:val="single" w:sz="4" w:space="0" w:color="A6A6A6"/>
            </w:tcBorders>
            <w:noWrap/>
            <w:hideMark/>
          </w:tcPr>
          <w:p w14:paraId="5D61435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9.2</w:t>
            </w:r>
          </w:p>
        </w:tc>
        <w:tc>
          <w:tcPr>
            <w:tcW w:w="851" w:type="dxa"/>
            <w:tcBorders>
              <w:top w:val="single" w:sz="4" w:space="0" w:color="A6A6A6"/>
              <w:bottom w:val="single" w:sz="4" w:space="0" w:color="A6A6A6"/>
            </w:tcBorders>
            <w:noWrap/>
            <w:hideMark/>
          </w:tcPr>
          <w:p w14:paraId="776268D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300.</w:t>
            </w:r>
            <w:r>
              <w:rPr>
                <w:sz w:val="17"/>
                <w:szCs w:val="17"/>
              </w:rPr>
              <w:t>2</w:t>
            </w:r>
          </w:p>
        </w:tc>
        <w:tc>
          <w:tcPr>
            <w:tcW w:w="851" w:type="dxa"/>
            <w:tcBorders>
              <w:top w:val="single" w:sz="4" w:space="0" w:color="A6A6A6"/>
              <w:bottom w:val="single" w:sz="4" w:space="0" w:color="A6A6A6"/>
            </w:tcBorders>
            <w:noWrap/>
            <w:hideMark/>
          </w:tcPr>
          <w:p w14:paraId="155D6F2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13.3</w:t>
            </w:r>
          </w:p>
        </w:tc>
        <w:tc>
          <w:tcPr>
            <w:tcW w:w="851" w:type="dxa"/>
            <w:tcBorders>
              <w:top w:val="single" w:sz="4" w:space="0" w:color="A6A6A6"/>
              <w:bottom w:val="single" w:sz="4" w:space="0" w:color="A6A6A6"/>
            </w:tcBorders>
            <w:noWrap/>
            <w:hideMark/>
          </w:tcPr>
          <w:p w14:paraId="3C7D091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9.3</w:t>
            </w:r>
          </w:p>
        </w:tc>
        <w:tc>
          <w:tcPr>
            <w:tcW w:w="851" w:type="dxa"/>
            <w:tcBorders>
              <w:top w:val="single" w:sz="4" w:space="0" w:color="A6A6A6"/>
              <w:bottom w:val="single" w:sz="4" w:space="0" w:color="A6A6A6"/>
            </w:tcBorders>
            <w:noWrap/>
            <w:hideMark/>
          </w:tcPr>
          <w:p w14:paraId="23D2E23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6.6</w:t>
            </w:r>
          </w:p>
        </w:tc>
        <w:tc>
          <w:tcPr>
            <w:tcW w:w="851" w:type="dxa"/>
            <w:tcBorders>
              <w:top w:val="single" w:sz="4" w:space="0" w:color="A6A6A6"/>
              <w:bottom w:val="single" w:sz="4" w:space="0" w:color="A6A6A6"/>
            </w:tcBorders>
            <w:noWrap/>
            <w:hideMark/>
          </w:tcPr>
          <w:p w14:paraId="6C3C510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0FD9AF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C2DCCC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1.1</w:t>
            </w:r>
          </w:p>
        </w:tc>
        <w:tc>
          <w:tcPr>
            <w:tcW w:w="851" w:type="dxa"/>
            <w:tcBorders>
              <w:top w:val="single" w:sz="4" w:space="0" w:color="A6A6A6"/>
              <w:bottom w:val="single" w:sz="4" w:space="0" w:color="A6A6A6"/>
            </w:tcBorders>
            <w:noWrap/>
            <w:hideMark/>
          </w:tcPr>
          <w:p w14:paraId="0415646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36.5</w:t>
            </w:r>
          </w:p>
        </w:tc>
        <w:tc>
          <w:tcPr>
            <w:tcW w:w="851" w:type="dxa"/>
            <w:tcBorders>
              <w:top w:val="single" w:sz="4" w:space="0" w:color="A6A6A6"/>
              <w:bottom w:val="single" w:sz="4" w:space="0" w:color="A6A6A6"/>
            </w:tcBorders>
            <w:noWrap/>
            <w:hideMark/>
          </w:tcPr>
          <w:p w14:paraId="43B99E2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788.7</w:t>
            </w:r>
          </w:p>
        </w:tc>
      </w:tr>
      <w:tr w:rsidR="00CE75D4" w:rsidRPr="003472D7" w14:paraId="2F1673EC" w14:textId="77777777" w:rsidTr="008340C1">
        <w:trPr>
          <w:cantSplit w:val="0"/>
          <w:trHeight w:val="170"/>
        </w:trPr>
        <w:tc>
          <w:tcPr>
            <w:tcW w:w="3402" w:type="dxa"/>
            <w:tcBorders>
              <w:top w:val="single" w:sz="4" w:space="0" w:color="A6A6A6"/>
              <w:bottom w:val="single" w:sz="4" w:space="0" w:color="A6A6A6"/>
            </w:tcBorders>
            <w:hideMark/>
          </w:tcPr>
          <w:p w14:paraId="5535B662" w14:textId="77777777" w:rsidR="00CE75D4" w:rsidRPr="00140535" w:rsidRDefault="00CE75D4" w:rsidP="008340C1">
            <w:pPr>
              <w:pStyle w:val="ARfintablebody"/>
              <w:spacing w:before="10" w:after="10" w:line="228" w:lineRule="auto"/>
              <w:rPr>
                <w:sz w:val="17"/>
                <w:szCs w:val="17"/>
              </w:rPr>
            </w:pPr>
            <w:r w:rsidRPr="00140535">
              <w:rPr>
                <w:sz w:val="17"/>
                <w:szCs w:val="17"/>
              </w:rPr>
              <w:t>Depreciation and amortisation</w:t>
            </w:r>
          </w:p>
        </w:tc>
        <w:tc>
          <w:tcPr>
            <w:tcW w:w="851" w:type="dxa"/>
            <w:tcBorders>
              <w:top w:val="single" w:sz="4" w:space="0" w:color="A6A6A6"/>
              <w:bottom w:val="single" w:sz="4" w:space="0" w:color="A6A6A6"/>
            </w:tcBorders>
            <w:noWrap/>
            <w:hideMark/>
          </w:tcPr>
          <w:p w14:paraId="08A2A05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1ED580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4.7</w:t>
            </w:r>
          </w:p>
        </w:tc>
        <w:tc>
          <w:tcPr>
            <w:tcW w:w="851" w:type="dxa"/>
            <w:tcBorders>
              <w:top w:val="single" w:sz="4" w:space="0" w:color="A6A6A6"/>
              <w:bottom w:val="single" w:sz="4" w:space="0" w:color="A6A6A6"/>
            </w:tcBorders>
            <w:noWrap/>
            <w:hideMark/>
          </w:tcPr>
          <w:p w14:paraId="695625F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8FC058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76D8CE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3.7</w:t>
            </w:r>
          </w:p>
        </w:tc>
        <w:tc>
          <w:tcPr>
            <w:tcW w:w="851" w:type="dxa"/>
            <w:tcBorders>
              <w:top w:val="single" w:sz="4" w:space="0" w:color="A6A6A6"/>
              <w:bottom w:val="single" w:sz="4" w:space="0" w:color="A6A6A6"/>
            </w:tcBorders>
            <w:noWrap/>
            <w:hideMark/>
          </w:tcPr>
          <w:p w14:paraId="70C3208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0.1</w:t>
            </w:r>
          </w:p>
        </w:tc>
        <w:tc>
          <w:tcPr>
            <w:tcW w:w="851" w:type="dxa"/>
            <w:tcBorders>
              <w:top w:val="single" w:sz="4" w:space="0" w:color="A6A6A6"/>
              <w:bottom w:val="single" w:sz="4" w:space="0" w:color="A6A6A6"/>
            </w:tcBorders>
            <w:noWrap/>
            <w:hideMark/>
          </w:tcPr>
          <w:p w14:paraId="08C2E39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7A29CF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46D23B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9FF4DB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25433A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34F4C6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4334CC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38.5</w:t>
            </w:r>
          </w:p>
        </w:tc>
      </w:tr>
      <w:tr w:rsidR="00CE75D4" w:rsidRPr="003472D7" w14:paraId="3E00D4C2" w14:textId="77777777" w:rsidTr="008340C1">
        <w:trPr>
          <w:cantSplit w:val="0"/>
          <w:trHeight w:val="170"/>
        </w:trPr>
        <w:tc>
          <w:tcPr>
            <w:tcW w:w="3402" w:type="dxa"/>
            <w:tcBorders>
              <w:top w:val="single" w:sz="4" w:space="0" w:color="A6A6A6"/>
              <w:bottom w:val="single" w:sz="4" w:space="0" w:color="A6A6A6"/>
            </w:tcBorders>
            <w:hideMark/>
          </w:tcPr>
          <w:p w14:paraId="0B69EC98" w14:textId="77777777" w:rsidR="00CE75D4" w:rsidRPr="00140535" w:rsidRDefault="00CE75D4" w:rsidP="008340C1">
            <w:pPr>
              <w:pStyle w:val="ARfintablebody"/>
              <w:spacing w:before="10" w:after="10" w:line="228" w:lineRule="auto"/>
              <w:rPr>
                <w:sz w:val="17"/>
                <w:szCs w:val="17"/>
              </w:rPr>
            </w:pPr>
            <w:r w:rsidRPr="00140535">
              <w:rPr>
                <w:sz w:val="17"/>
                <w:szCs w:val="17"/>
              </w:rPr>
              <w:t>Interest expense</w:t>
            </w:r>
          </w:p>
        </w:tc>
        <w:tc>
          <w:tcPr>
            <w:tcW w:w="851" w:type="dxa"/>
            <w:tcBorders>
              <w:top w:val="single" w:sz="4" w:space="0" w:color="A6A6A6"/>
              <w:bottom w:val="single" w:sz="4" w:space="0" w:color="A6A6A6"/>
            </w:tcBorders>
            <w:noWrap/>
            <w:hideMark/>
          </w:tcPr>
          <w:p w14:paraId="79A63E1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9A9AF8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DBFDBE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463411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EC5276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C84C97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D32E06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3D6E1D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5A412C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2717CA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6C76E5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BE062A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A36A91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14.4</w:t>
            </w:r>
          </w:p>
        </w:tc>
      </w:tr>
      <w:tr w:rsidR="00CE75D4" w:rsidRPr="003472D7" w14:paraId="31146D62" w14:textId="77777777" w:rsidTr="008340C1">
        <w:trPr>
          <w:cantSplit w:val="0"/>
          <w:trHeight w:val="170"/>
        </w:trPr>
        <w:tc>
          <w:tcPr>
            <w:tcW w:w="3402" w:type="dxa"/>
            <w:tcBorders>
              <w:top w:val="single" w:sz="4" w:space="0" w:color="A6A6A6"/>
              <w:bottom w:val="single" w:sz="4" w:space="0" w:color="A6A6A6"/>
            </w:tcBorders>
            <w:hideMark/>
          </w:tcPr>
          <w:p w14:paraId="40EED950" w14:textId="77777777" w:rsidR="00CE75D4" w:rsidRPr="00140535" w:rsidRDefault="00CE75D4" w:rsidP="008340C1">
            <w:pPr>
              <w:pStyle w:val="ARfintablebody"/>
              <w:spacing w:before="10" w:after="10" w:line="228" w:lineRule="auto"/>
              <w:rPr>
                <w:sz w:val="17"/>
                <w:szCs w:val="17"/>
              </w:rPr>
            </w:pPr>
            <w:r w:rsidRPr="00140535">
              <w:rPr>
                <w:sz w:val="17"/>
                <w:szCs w:val="17"/>
              </w:rPr>
              <w:t>Maintenance</w:t>
            </w:r>
          </w:p>
        </w:tc>
        <w:tc>
          <w:tcPr>
            <w:tcW w:w="851" w:type="dxa"/>
            <w:tcBorders>
              <w:top w:val="single" w:sz="4" w:space="0" w:color="A6A6A6"/>
              <w:bottom w:val="single" w:sz="4" w:space="0" w:color="A6A6A6"/>
            </w:tcBorders>
            <w:noWrap/>
            <w:hideMark/>
          </w:tcPr>
          <w:p w14:paraId="2613ACC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BD90D0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0D606E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DD4D18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877AFB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29CE0B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76683A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2D5AB8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A216E2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F8B6C1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2BDA4D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06A803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0C56DD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0.7</w:t>
            </w:r>
          </w:p>
        </w:tc>
      </w:tr>
      <w:tr w:rsidR="00CE75D4" w:rsidRPr="003472D7" w14:paraId="11DC83AE" w14:textId="77777777" w:rsidTr="008340C1">
        <w:trPr>
          <w:cantSplit w:val="0"/>
          <w:trHeight w:val="170"/>
        </w:trPr>
        <w:tc>
          <w:tcPr>
            <w:tcW w:w="3402" w:type="dxa"/>
            <w:tcBorders>
              <w:top w:val="single" w:sz="4" w:space="0" w:color="A6A6A6"/>
              <w:bottom w:val="single" w:sz="4" w:space="0" w:color="A6A6A6"/>
            </w:tcBorders>
            <w:hideMark/>
          </w:tcPr>
          <w:p w14:paraId="77B527FC" w14:textId="77777777" w:rsidR="00CE75D4" w:rsidRPr="00140535" w:rsidRDefault="00CE75D4" w:rsidP="008340C1">
            <w:pPr>
              <w:pStyle w:val="ARfintablebody"/>
              <w:spacing w:before="10" w:after="10" w:line="228" w:lineRule="auto"/>
              <w:rPr>
                <w:sz w:val="17"/>
                <w:szCs w:val="17"/>
              </w:rPr>
            </w:pPr>
            <w:r w:rsidRPr="00140535">
              <w:rPr>
                <w:sz w:val="17"/>
                <w:szCs w:val="17"/>
              </w:rPr>
              <w:t>Grants and other expense transfers</w:t>
            </w:r>
          </w:p>
        </w:tc>
        <w:tc>
          <w:tcPr>
            <w:tcW w:w="851" w:type="dxa"/>
            <w:tcBorders>
              <w:top w:val="single" w:sz="4" w:space="0" w:color="A6A6A6"/>
              <w:bottom w:val="single" w:sz="4" w:space="0" w:color="A6A6A6"/>
            </w:tcBorders>
            <w:noWrap/>
            <w:hideMark/>
          </w:tcPr>
          <w:p w14:paraId="7BCBDCA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153.8</w:t>
            </w:r>
          </w:p>
        </w:tc>
        <w:tc>
          <w:tcPr>
            <w:tcW w:w="851" w:type="dxa"/>
            <w:tcBorders>
              <w:top w:val="single" w:sz="4" w:space="0" w:color="A6A6A6"/>
              <w:bottom w:val="single" w:sz="4" w:space="0" w:color="A6A6A6"/>
            </w:tcBorders>
            <w:noWrap/>
            <w:hideMark/>
          </w:tcPr>
          <w:p w14:paraId="56DCDCB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337.</w:t>
            </w:r>
            <w:r>
              <w:rPr>
                <w:sz w:val="17"/>
                <w:szCs w:val="17"/>
              </w:rPr>
              <w:t>2</w:t>
            </w:r>
          </w:p>
        </w:tc>
        <w:tc>
          <w:tcPr>
            <w:tcW w:w="851" w:type="dxa"/>
            <w:tcBorders>
              <w:top w:val="single" w:sz="4" w:space="0" w:color="A6A6A6"/>
              <w:bottom w:val="single" w:sz="4" w:space="0" w:color="A6A6A6"/>
            </w:tcBorders>
            <w:noWrap/>
            <w:hideMark/>
          </w:tcPr>
          <w:p w14:paraId="720B4D0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243.6</w:t>
            </w:r>
          </w:p>
        </w:tc>
        <w:tc>
          <w:tcPr>
            <w:tcW w:w="851" w:type="dxa"/>
            <w:tcBorders>
              <w:top w:val="single" w:sz="4" w:space="0" w:color="A6A6A6"/>
              <w:bottom w:val="single" w:sz="4" w:space="0" w:color="A6A6A6"/>
            </w:tcBorders>
            <w:noWrap/>
            <w:hideMark/>
          </w:tcPr>
          <w:p w14:paraId="3697513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121.</w:t>
            </w:r>
            <w:r>
              <w:rPr>
                <w:sz w:val="17"/>
                <w:szCs w:val="17"/>
              </w:rPr>
              <w:t>7</w:t>
            </w:r>
          </w:p>
        </w:tc>
        <w:tc>
          <w:tcPr>
            <w:tcW w:w="851" w:type="dxa"/>
            <w:tcBorders>
              <w:top w:val="single" w:sz="4" w:space="0" w:color="A6A6A6"/>
              <w:bottom w:val="single" w:sz="4" w:space="0" w:color="A6A6A6"/>
            </w:tcBorders>
            <w:noWrap/>
            <w:hideMark/>
          </w:tcPr>
          <w:p w14:paraId="6612DFD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724.8</w:t>
            </w:r>
          </w:p>
        </w:tc>
        <w:tc>
          <w:tcPr>
            <w:tcW w:w="851" w:type="dxa"/>
            <w:tcBorders>
              <w:top w:val="single" w:sz="4" w:space="0" w:color="A6A6A6"/>
              <w:bottom w:val="single" w:sz="4" w:space="0" w:color="A6A6A6"/>
            </w:tcBorders>
            <w:noWrap/>
            <w:hideMark/>
          </w:tcPr>
          <w:p w14:paraId="7D219AB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76.0</w:t>
            </w:r>
          </w:p>
        </w:tc>
        <w:tc>
          <w:tcPr>
            <w:tcW w:w="851" w:type="dxa"/>
            <w:tcBorders>
              <w:top w:val="single" w:sz="4" w:space="0" w:color="A6A6A6"/>
              <w:bottom w:val="single" w:sz="4" w:space="0" w:color="A6A6A6"/>
            </w:tcBorders>
            <w:noWrap/>
            <w:hideMark/>
          </w:tcPr>
          <w:p w14:paraId="0D3A0C8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4.</w:t>
            </w:r>
            <w:r>
              <w:rPr>
                <w:sz w:val="17"/>
                <w:szCs w:val="17"/>
              </w:rPr>
              <w:t>2</w:t>
            </w:r>
          </w:p>
        </w:tc>
        <w:tc>
          <w:tcPr>
            <w:tcW w:w="851" w:type="dxa"/>
            <w:tcBorders>
              <w:top w:val="single" w:sz="4" w:space="0" w:color="A6A6A6"/>
              <w:bottom w:val="single" w:sz="4" w:space="0" w:color="A6A6A6"/>
            </w:tcBorders>
            <w:noWrap/>
            <w:hideMark/>
          </w:tcPr>
          <w:p w14:paraId="06FF054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384.7</w:t>
            </w:r>
          </w:p>
        </w:tc>
        <w:tc>
          <w:tcPr>
            <w:tcW w:w="851" w:type="dxa"/>
            <w:tcBorders>
              <w:top w:val="single" w:sz="4" w:space="0" w:color="A6A6A6"/>
              <w:bottom w:val="single" w:sz="4" w:space="0" w:color="A6A6A6"/>
            </w:tcBorders>
            <w:noWrap/>
            <w:hideMark/>
          </w:tcPr>
          <w:p w14:paraId="007A997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44.6</w:t>
            </w:r>
          </w:p>
        </w:tc>
        <w:tc>
          <w:tcPr>
            <w:tcW w:w="851" w:type="dxa"/>
            <w:tcBorders>
              <w:top w:val="single" w:sz="4" w:space="0" w:color="A6A6A6"/>
              <w:bottom w:val="single" w:sz="4" w:space="0" w:color="A6A6A6"/>
            </w:tcBorders>
            <w:noWrap/>
            <w:hideMark/>
          </w:tcPr>
          <w:p w14:paraId="7A5F0D5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4.6</w:t>
            </w:r>
          </w:p>
        </w:tc>
        <w:tc>
          <w:tcPr>
            <w:tcW w:w="851" w:type="dxa"/>
            <w:tcBorders>
              <w:top w:val="single" w:sz="4" w:space="0" w:color="A6A6A6"/>
              <w:bottom w:val="single" w:sz="4" w:space="0" w:color="A6A6A6"/>
            </w:tcBorders>
            <w:noWrap/>
            <w:hideMark/>
          </w:tcPr>
          <w:p w14:paraId="2B8F1CD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17.4</w:t>
            </w:r>
          </w:p>
        </w:tc>
        <w:tc>
          <w:tcPr>
            <w:tcW w:w="851" w:type="dxa"/>
            <w:tcBorders>
              <w:top w:val="single" w:sz="4" w:space="0" w:color="A6A6A6"/>
              <w:bottom w:val="single" w:sz="4" w:space="0" w:color="A6A6A6"/>
            </w:tcBorders>
            <w:noWrap/>
            <w:hideMark/>
          </w:tcPr>
          <w:p w14:paraId="2C525AD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E74CCA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18,031.5</w:t>
            </w:r>
          </w:p>
        </w:tc>
      </w:tr>
      <w:tr w:rsidR="00CE75D4" w:rsidRPr="003472D7" w14:paraId="39CA65A1" w14:textId="77777777" w:rsidTr="008340C1">
        <w:trPr>
          <w:cantSplit w:val="0"/>
          <w:trHeight w:val="170"/>
        </w:trPr>
        <w:tc>
          <w:tcPr>
            <w:tcW w:w="3402" w:type="dxa"/>
            <w:tcBorders>
              <w:top w:val="single" w:sz="4" w:space="0" w:color="A6A6A6"/>
              <w:bottom w:val="single" w:sz="4" w:space="0" w:color="A6A6A6"/>
            </w:tcBorders>
            <w:hideMark/>
          </w:tcPr>
          <w:p w14:paraId="53B46FAB" w14:textId="77777777" w:rsidR="00CE75D4" w:rsidRPr="00140535" w:rsidRDefault="00CE75D4" w:rsidP="008340C1">
            <w:pPr>
              <w:pStyle w:val="ARfintablebody"/>
              <w:spacing w:before="10" w:after="10" w:line="228" w:lineRule="auto"/>
              <w:rPr>
                <w:sz w:val="17"/>
                <w:szCs w:val="17"/>
              </w:rPr>
            </w:pPr>
            <w:r w:rsidRPr="00140535">
              <w:rPr>
                <w:sz w:val="17"/>
                <w:szCs w:val="17"/>
              </w:rPr>
              <w:t>Capital asset charge</w:t>
            </w:r>
          </w:p>
        </w:tc>
        <w:tc>
          <w:tcPr>
            <w:tcW w:w="851" w:type="dxa"/>
            <w:tcBorders>
              <w:top w:val="single" w:sz="4" w:space="0" w:color="A6A6A6"/>
              <w:bottom w:val="single" w:sz="4" w:space="0" w:color="A6A6A6"/>
            </w:tcBorders>
            <w:noWrap/>
            <w:hideMark/>
          </w:tcPr>
          <w:p w14:paraId="4C2CDB9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FF051D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17FC0B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D1083F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DA2AA9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476336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59DB44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E19EFC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4111D1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F957C7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4D549F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5831C9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1EC858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r>
      <w:tr w:rsidR="00CE75D4" w:rsidRPr="003472D7" w14:paraId="104B5F78" w14:textId="77777777" w:rsidTr="008340C1">
        <w:trPr>
          <w:cantSplit w:val="0"/>
          <w:trHeight w:val="170"/>
        </w:trPr>
        <w:tc>
          <w:tcPr>
            <w:tcW w:w="3402" w:type="dxa"/>
            <w:tcBorders>
              <w:top w:val="single" w:sz="4" w:space="0" w:color="A6A6A6"/>
              <w:bottom w:val="single" w:sz="4" w:space="0" w:color="A6A6A6"/>
            </w:tcBorders>
            <w:hideMark/>
          </w:tcPr>
          <w:p w14:paraId="24A99B12" w14:textId="77777777" w:rsidR="00CE75D4" w:rsidRPr="00140535" w:rsidRDefault="00CE75D4" w:rsidP="008340C1">
            <w:pPr>
              <w:pStyle w:val="ARfintablebody"/>
              <w:spacing w:before="10" w:after="10" w:line="228" w:lineRule="auto"/>
              <w:rPr>
                <w:sz w:val="17"/>
                <w:szCs w:val="17"/>
              </w:rPr>
            </w:pPr>
            <w:r w:rsidRPr="00140535">
              <w:rPr>
                <w:sz w:val="17"/>
                <w:szCs w:val="17"/>
              </w:rPr>
              <w:t xml:space="preserve">Fair value of assets and services provided </w:t>
            </w:r>
            <w:r w:rsidRPr="00140535">
              <w:rPr>
                <w:sz w:val="17"/>
                <w:szCs w:val="17"/>
              </w:rPr>
              <w:br/>
              <w:t>free of charge or for nominal consideration</w:t>
            </w:r>
          </w:p>
        </w:tc>
        <w:tc>
          <w:tcPr>
            <w:tcW w:w="851" w:type="dxa"/>
            <w:tcBorders>
              <w:top w:val="single" w:sz="4" w:space="0" w:color="A6A6A6"/>
              <w:bottom w:val="single" w:sz="4" w:space="0" w:color="A6A6A6"/>
            </w:tcBorders>
            <w:noWrap/>
            <w:hideMark/>
          </w:tcPr>
          <w:p w14:paraId="19AEC34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085538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5E3383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8F16B3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0AA8B1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380.4</w:t>
            </w:r>
          </w:p>
        </w:tc>
        <w:tc>
          <w:tcPr>
            <w:tcW w:w="851" w:type="dxa"/>
            <w:tcBorders>
              <w:top w:val="single" w:sz="4" w:space="0" w:color="A6A6A6"/>
              <w:bottom w:val="single" w:sz="4" w:space="0" w:color="A6A6A6"/>
            </w:tcBorders>
            <w:noWrap/>
            <w:hideMark/>
          </w:tcPr>
          <w:p w14:paraId="39A621E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57092F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AC39A2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CFC898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F34D9F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99A64A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313E34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D033D1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683.4</w:t>
            </w:r>
          </w:p>
        </w:tc>
      </w:tr>
      <w:tr w:rsidR="00CE75D4" w:rsidRPr="003472D7" w14:paraId="7973C6F5" w14:textId="77777777" w:rsidTr="008340C1">
        <w:trPr>
          <w:cantSplit w:val="0"/>
          <w:trHeight w:val="170"/>
        </w:trPr>
        <w:tc>
          <w:tcPr>
            <w:tcW w:w="3402" w:type="dxa"/>
            <w:tcBorders>
              <w:top w:val="single" w:sz="4" w:space="0" w:color="A6A6A6"/>
              <w:bottom w:val="single" w:sz="4" w:space="0" w:color="A6A6A6"/>
            </w:tcBorders>
            <w:hideMark/>
          </w:tcPr>
          <w:p w14:paraId="369A3657" w14:textId="77777777" w:rsidR="00CE75D4" w:rsidRPr="00140535" w:rsidRDefault="00CE75D4" w:rsidP="008340C1">
            <w:pPr>
              <w:pStyle w:val="ARfintablebody"/>
              <w:spacing w:before="10" w:after="10" w:line="228" w:lineRule="auto"/>
              <w:rPr>
                <w:sz w:val="17"/>
                <w:szCs w:val="17"/>
              </w:rPr>
            </w:pPr>
            <w:r w:rsidRPr="00140535">
              <w:rPr>
                <w:sz w:val="17"/>
                <w:szCs w:val="17"/>
              </w:rPr>
              <w:t>Other operating expenses</w:t>
            </w:r>
          </w:p>
        </w:tc>
        <w:tc>
          <w:tcPr>
            <w:tcW w:w="851" w:type="dxa"/>
            <w:tcBorders>
              <w:top w:val="single" w:sz="4" w:space="0" w:color="A6A6A6"/>
              <w:bottom w:val="single" w:sz="4" w:space="0" w:color="A6A6A6"/>
            </w:tcBorders>
            <w:noWrap/>
            <w:hideMark/>
          </w:tcPr>
          <w:p w14:paraId="552386D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2.0</w:t>
            </w:r>
          </w:p>
        </w:tc>
        <w:tc>
          <w:tcPr>
            <w:tcW w:w="851" w:type="dxa"/>
            <w:tcBorders>
              <w:top w:val="single" w:sz="4" w:space="0" w:color="A6A6A6"/>
              <w:bottom w:val="single" w:sz="4" w:space="0" w:color="A6A6A6"/>
            </w:tcBorders>
            <w:noWrap/>
            <w:hideMark/>
          </w:tcPr>
          <w:p w14:paraId="4EF8BAC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124.7</w:t>
            </w:r>
          </w:p>
        </w:tc>
        <w:tc>
          <w:tcPr>
            <w:tcW w:w="851" w:type="dxa"/>
            <w:tcBorders>
              <w:top w:val="single" w:sz="4" w:space="0" w:color="A6A6A6"/>
              <w:bottom w:val="single" w:sz="4" w:space="0" w:color="A6A6A6"/>
            </w:tcBorders>
            <w:noWrap/>
            <w:hideMark/>
          </w:tcPr>
          <w:p w14:paraId="3722218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6.0</w:t>
            </w:r>
          </w:p>
        </w:tc>
        <w:tc>
          <w:tcPr>
            <w:tcW w:w="851" w:type="dxa"/>
            <w:tcBorders>
              <w:top w:val="single" w:sz="4" w:space="0" w:color="A6A6A6"/>
              <w:bottom w:val="single" w:sz="4" w:space="0" w:color="A6A6A6"/>
            </w:tcBorders>
            <w:noWrap/>
            <w:hideMark/>
          </w:tcPr>
          <w:p w14:paraId="336C616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14.5</w:t>
            </w:r>
          </w:p>
        </w:tc>
        <w:tc>
          <w:tcPr>
            <w:tcW w:w="851" w:type="dxa"/>
            <w:tcBorders>
              <w:top w:val="single" w:sz="4" w:space="0" w:color="A6A6A6"/>
              <w:bottom w:val="single" w:sz="4" w:space="0" w:color="A6A6A6"/>
            </w:tcBorders>
            <w:noWrap/>
            <w:hideMark/>
          </w:tcPr>
          <w:p w14:paraId="5FE26D5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960.8</w:t>
            </w:r>
          </w:p>
        </w:tc>
        <w:tc>
          <w:tcPr>
            <w:tcW w:w="851" w:type="dxa"/>
            <w:tcBorders>
              <w:top w:val="single" w:sz="4" w:space="0" w:color="A6A6A6"/>
              <w:bottom w:val="single" w:sz="4" w:space="0" w:color="A6A6A6"/>
            </w:tcBorders>
            <w:noWrap/>
            <w:hideMark/>
          </w:tcPr>
          <w:p w14:paraId="0C8954D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4.9</w:t>
            </w:r>
          </w:p>
        </w:tc>
        <w:tc>
          <w:tcPr>
            <w:tcW w:w="851" w:type="dxa"/>
            <w:tcBorders>
              <w:top w:val="single" w:sz="4" w:space="0" w:color="A6A6A6"/>
              <w:bottom w:val="single" w:sz="4" w:space="0" w:color="A6A6A6"/>
            </w:tcBorders>
            <w:noWrap/>
            <w:hideMark/>
          </w:tcPr>
          <w:p w14:paraId="0B87578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2.9</w:t>
            </w:r>
          </w:p>
        </w:tc>
        <w:tc>
          <w:tcPr>
            <w:tcW w:w="851" w:type="dxa"/>
            <w:tcBorders>
              <w:top w:val="single" w:sz="4" w:space="0" w:color="A6A6A6"/>
              <w:bottom w:val="single" w:sz="4" w:space="0" w:color="A6A6A6"/>
            </w:tcBorders>
            <w:noWrap/>
            <w:hideMark/>
          </w:tcPr>
          <w:p w14:paraId="62349C3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0.7</w:t>
            </w:r>
          </w:p>
        </w:tc>
        <w:tc>
          <w:tcPr>
            <w:tcW w:w="851" w:type="dxa"/>
            <w:tcBorders>
              <w:top w:val="single" w:sz="4" w:space="0" w:color="A6A6A6"/>
              <w:bottom w:val="single" w:sz="4" w:space="0" w:color="A6A6A6"/>
            </w:tcBorders>
            <w:noWrap/>
            <w:hideMark/>
          </w:tcPr>
          <w:p w14:paraId="1759FE9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0.2</w:t>
            </w:r>
          </w:p>
        </w:tc>
        <w:tc>
          <w:tcPr>
            <w:tcW w:w="851" w:type="dxa"/>
            <w:tcBorders>
              <w:top w:val="single" w:sz="4" w:space="0" w:color="A6A6A6"/>
              <w:bottom w:val="single" w:sz="4" w:space="0" w:color="A6A6A6"/>
            </w:tcBorders>
            <w:noWrap/>
            <w:hideMark/>
          </w:tcPr>
          <w:p w14:paraId="7287BB9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C33A10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0.3</w:t>
            </w:r>
          </w:p>
        </w:tc>
        <w:tc>
          <w:tcPr>
            <w:tcW w:w="851" w:type="dxa"/>
            <w:tcBorders>
              <w:top w:val="single" w:sz="4" w:space="0" w:color="A6A6A6"/>
              <w:bottom w:val="single" w:sz="4" w:space="0" w:color="A6A6A6"/>
            </w:tcBorders>
            <w:noWrap/>
            <w:hideMark/>
          </w:tcPr>
          <w:p w14:paraId="43B5BDB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30.7</w:t>
            </w:r>
          </w:p>
        </w:tc>
        <w:tc>
          <w:tcPr>
            <w:tcW w:w="851" w:type="dxa"/>
            <w:tcBorders>
              <w:top w:val="single" w:sz="4" w:space="0" w:color="A6A6A6"/>
              <w:bottom w:val="single" w:sz="4" w:space="0" w:color="A6A6A6"/>
            </w:tcBorders>
            <w:noWrap/>
            <w:hideMark/>
          </w:tcPr>
          <w:p w14:paraId="2E3D1C4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1,537.1</w:t>
            </w:r>
          </w:p>
        </w:tc>
      </w:tr>
      <w:tr w:rsidR="00CE75D4" w:rsidRPr="003472D7" w14:paraId="4508A486" w14:textId="77777777" w:rsidTr="008340C1">
        <w:trPr>
          <w:cantSplit w:val="0"/>
          <w:trHeight w:val="170"/>
        </w:trPr>
        <w:tc>
          <w:tcPr>
            <w:tcW w:w="3402" w:type="dxa"/>
            <w:tcBorders>
              <w:top w:val="single" w:sz="4" w:space="0" w:color="A6A6A6"/>
            </w:tcBorders>
            <w:hideMark/>
          </w:tcPr>
          <w:p w14:paraId="69A4910C" w14:textId="77777777" w:rsidR="00CE75D4" w:rsidRPr="00140535" w:rsidRDefault="00CE75D4" w:rsidP="008340C1">
            <w:pPr>
              <w:pStyle w:val="ARfintablebody"/>
              <w:spacing w:before="10" w:after="10" w:line="228" w:lineRule="auto"/>
              <w:rPr>
                <w:sz w:val="17"/>
                <w:szCs w:val="17"/>
              </w:rPr>
            </w:pPr>
            <w:r w:rsidRPr="00140535">
              <w:rPr>
                <w:sz w:val="17"/>
                <w:szCs w:val="17"/>
              </w:rPr>
              <w:t>Other property management expenses</w:t>
            </w:r>
          </w:p>
        </w:tc>
        <w:tc>
          <w:tcPr>
            <w:tcW w:w="851" w:type="dxa"/>
            <w:tcBorders>
              <w:top w:val="single" w:sz="4" w:space="0" w:color="A6A6A6"/>
            </w:tcBorders>
            <w:noWrap/>
            <w:hideMark/>
          </w:tcPr>
          <w:p w14:paraId="695D76B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41A01FE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36F4971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605533B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3FAD853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7EDD50D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0B74617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0ACAEB3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25AE7B8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31C63FD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1D8AF0D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76475A7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2A66CE6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r>
      <w:tr w:rsidR="00CE75D4" w:rsidRPr="003472D7" w14:paraId="20747BCB" w14:textId="77777777" w:rsidTr="008340C1">
        <w:trPr>
          <w:cantSplit w:val="0"/>
          <w:trHeight w:val="170"/>
        </w:trPr>
        <w:tc>
          <w:tcPr>
            <w:tcW w:w="3402" w:type="dxa"/>
            <w:hideMark/>
          </w:tcPr>
          <w:p w14:paraId="779C8C7B" w14:textId="77777777" w:rsidR="00CE75D4" w:rsidRPr="00140535" w:rsidRDefault="00CE75D4" w:rsidP="008340C1">
            <w:pPr>
              <w:pStyle w:val="ARfintablebodybold"/>
              <w:spacing w:before="10" w:after="10" w:line="228" w:lineRule="auto"/>
              <w:rPr>
                <w:rFonts w:cs="Arial"/>
                <w:sz w:val="17"/>
                <w:szCs w:val="17"/>
              </w:rPr>
            </w:pPr>
            <w:r w:rsidRPr="00140535">
              <w:rPr>
                <w:rFonts w:cs="Arial"/>
                <w:sz w:val="17"/>
                <w:szCs w:val="17"/>
              </w:rPr>
              <w:t>Total expenses from transactions</w:t>
            </w:r>
          </w:p>
        </w:tc>
        <w:tc>
          <w:tcPr>
            <w:tcW w:w="851" w:type="dxa"/>
            <w:noWrap/>
            <w:hideMark/>
          </w:tcPr>
          <w:p w14:paraId="4BC648CA"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158.0</w:t>
            </w:r>
          </w:p>
        </w:tc>
        <w:tc>
          <w:tcPr>
            <w:tcW w:w="851" w:type="dxa"/>
            <w:noWrap/>
            <w:hideMark/>
          </w:tcPr>
          <w:p w14:paraId="10E33BD6"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540.8</w:t>
            </w:r>
          </w:p>
        </w:tc>
        <w:tc>
          <w:tcPr>
            <w:tcW w:w="851" w:type="dxa"/>
            <w:noWrap/>
            <w:hideMark/>
          </w:tcPr>
          <w:p w14:paraId="787B3B09"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254.6</w:t>
            </w:r>
          </w:p>
        </w:tc>
        <w:tc>
          <w:tcPr>
            <w:tcW w:w="851" w:type="dxa"/>
            <w:noWrap/>
            <w:hideMark/>
          </w:tcPr>
          <w:p w14:paraId="2A94AE40"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145.4</w:t>
            </w:r>
          </w:p>
        </w:tc>
        <w:tc>
          <w:tcPr>
            <w:tcW w:w="851" w:type="dxa"/>
            <w:noWrap/>
            <w:hideMark/>
          </w:tcPr>
          <w:p w14:paraId="24ED88F8"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2,370.0</w:t>
            </w:r>
          </w:p>
        </w:tc>
        <w:tc>
          <w:tcPr>
            <w:tcW w:w="851" w:type="dxa"/>
            <w:noWrap/>
            <w:hideMark/>
          </w:tcPr>
          <w:p w14:paraId="47AC6304"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94.3</w:t>
            </w:r>
          </w:p>
        </w:tc>
        <w:tc>
          <w:tcPr>
            <w:tcW w:w="851" w:type="dxa"/>
            <w:noWrap/>
            <w:hideMark/>
          </w:tcPr>
          <w:p w14:paraId="3B5F70E3"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16.5</w:t>
            </w:r>
          </w:p>
        </w:tc>
        <w:tc>
          <w:tcPr>
            <w:tcW w:w="851" w:type="dxa"/>
            <w:noWrap/>
            <w:hideMark/>
          </w:tcPr>
          <w:p w14:paraId="577A8589"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391.9</w:t>
            </w:r>
          </w:p>
        </w:tc>
        <w:tc>
          <w:tcPr>
            <w:tcW w:w="851" w:type="dxa"/>
            <w:noWrap/>
            <w:hideMark/>
          </w:tcPr>
          <w:p w14:paraId="1261C724"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44.8</w:t>
            </w:r>
          </w:p>
        </w:tc>
        <w:tc>
          <w:tcPr>
            <w:tcW w:w="851" w:type="dxa"/>
            <w:noWrap/>
            <w:hideMark/>
          </w:tcPr>
          <w:p w14:paraId="4C2178E8"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4.6</w:t>
            </w:r>
          </w:p>
        </w:tc>
        <w:tc>
          <w:tcPr>
            <w:tcW w:w="851" w:type="dxa"/>
            <w:noWrap/>
            <w:hideMark/>
          </w:tcPr>
          <w:p w14:paraId="3B284B67"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18.7</w:t>
            </w:r>
          </w:p>
        </w:tc>
        <w:tc>
          <w:tcPr>
            <w:tcW w:w="851" w:type="dxa"/>
            <w:noWrap/>
            <w:hideMark/>
          </w:tcPr>
          <w:p w14:paraId="13E17035"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67.2</w:t>
            </w:r>
          </w:p>
        </w:tc>
        <w:tc>
          <w:tcPr>
            <w:tcW w:w="851" w:type="dxa"/>
            <w:noWrap/>
            <w:hideMark/>
          </w:tcPr>
          <w:p w14:paraId="4A9A6729"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21,094.3</w:t>
            </w:r>
          </w:p>
        </w:tc>
      </w:tr>
      <w:tr w:rsidR="00CE75D4" w:rsidRPr="003472D7" w14:paraId="58928EAE" w14:textId="77777777" w:rsidTr="008340C1">
        <w:trPr>
          <w:cantSplit w:val="0"/>
          <w:trHeight w:val="170"/>
        </w:trPr>
        <w:tc>
          <w:tcPr>
            <w:tcW w:w="3402" w:type="dxa"/>
            <w:tcBorders>
              <w:bottom w:val="single" w:sz="4" w:space="0" w:color="auto"/>
            </w:tcBorders>
            <w:hideMark/>
          </w:tcPr>
          <w:p w14:paraId="2FBDE3CD" w14:textId="77777777" w:rsidR="00CE75D4" w:rsidRPr="00140535" w:rsidRDefault="00CE75D4" w:rsidP="008340C1">
            <w:pPr>
              <w:pStyle w:val="ARfintablebodybold"/>
              <w:spacing w:before="10" w:after="10" w:line="228" w:lineRule="auto"/>
              <w:rPr>
                <w:rFonts w:cs="Arial"/>
                <w:sz w:val="17"/>
                <w:szCs w:val="17"/>
              </w:rPr>
            </w:pPr>
            <w:r w:rsidRPr="00140535">
              <w:rPr>
                <w:rFonts w:cs="Arial"/>
                <w:sz w:val="17"/>
                <w:szCs w:val="17"/>
              </w:rPr>
              <w:t>Net result from transactions (net operating balance)</w:t>
            </w:r>
          </w:p>
        </w:tc>
        <w:tc>
          <w:tcPr>
            <w:tcW w:w="851" w:type="dxa"/>
            <w:tcBorders>
              <w:bottom w:val="single" w:sz="4" w:space="0" w:color="auto"/>
            </w:tcBorders>
            <w:noWrap/>
            <w:hideMark/>
          </w:tcPr>
          <w:p w14:paraId="22D90D23"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(5.9)</w:t>
            </w:r>
          </w:p>
        </w:tc>
        <w:tc>
          <w:tcPr>
            <w:tcW w:w="851" w:type="dxa"/>
            <w:tcBorders>
              <w:bottom w:val="single" w:sz="4" w:space="0" w:color="auto"/>
            </w:tcBorders>
            <w:noWrap/>
            <w:hideMark/>
          </w:tcPr>
          <w:p w14:paraId="7BD9AD23"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16.9</w:t>
            </w:r>
          </w:p>
        </w:tc>
        <w:tc>
          <w:tcPr>
            <w:tcW w:w="851" w:type="dxa"/>
            <w:tcBorders>
              <w:bottom w:val="single" w:sz="4" w:space="0" w:color="auto"/>
            </w:tcBorders>
            <w:noWrap/>
            <w:hideMark/>
          </w:tcPr>
          <w:p w14:paraId="68D4051C"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21.2</w:t>
            </w:r>
          </w:p>
        </w:tc>
        <w:tc>
          <w:tcPr>
            <w:tcW w:w="851" w:type="dxa"/>
            <w:tcBorders>
              <w:bottom w:val="single" w:sz="4" w:space="0" w:color="auto"/>
            </w:tcBorders>
            <w:noWrap/>
            <w:hideMark/>
          </w:tcPr>
          <w:p w14:paraId="28D4E481"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(2.9)</w:t>
            </w:r>
          </w:p>
        </w:tc>
        <w:tc>
          <w:tcPr>
            <w:tcW w:w="851" w:type="dxa"/>
            <w:tcBorders>
              <w:bottom w:val="single" w:sz="4" w:space="0" w:color="auto"/>
            </w:tcBorders>
            <w:noWrap/>
            <w:hideMark/>
          </w:tcPr>
          <w:p w14:paraId="0A4F00D5"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404.</w:t>
            </w:r>
            <w:r>
              <w:rPr>
                <w:sz w:val="17"/>
                <w:szCs w:val="17"/>
              </w:rPr>
              <w:t>1</w:t>
            </w:r>
          </w:p>
        </w:tc>
        <w:tc>
          <w:tcPr>
            <w:tcW w:w="851" w:type="dxa"/>
            <w:tcBorders>
              <w:bottom w:val="single" w:sz="4" w:space="0" w:color="auto"/>
            </w:tcBorders>
            <w:noWrap/>
            <w:hideMark/>
          </w:tcPr>
          <w:p w14:paraId="13DFA84C"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(0.8)</w:t>
            </w:r>
          </w:p>
        </w:tc>
        <w:tc>
          <w:tcPr>
            <w:tcW w:w="851" w:type="dxa"/>
            <w:tcBorders>
              <w:bottom w:val="single" w:sz="4" w:space="0" w:color="auto"/>
            </w:tcBorders>
            <w:noWrap/>
            <w:hideMark/>
          </w:tcPr>
          <w:p w14:paraId="064838F0"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0.1</w:t>
            </w:r>
          </w:p>
        </w:tc>
        <w:tc>
          <w:tcPr>
            <w:tcW w:w="851" w:type="dxa"/>
            <w:tcBorders>
              <w:bottom w:val="single" w:sz="4" w:space="0" w:color="auto"/>
            </w:tcBorders>
            <w:noWrap/>
            <w:hideMark/>
          </w:tcPr>
          <w:p w14:paraId="1BBD140D"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11.4</w:t>
            </w:r>
          </w:p>
        </w:tc>
        <w:tc>
          <w:tcPr>
            <w:tcW w:w="851" w:type="dxa"/>
            <w:tcBorders>
              <w:bottom w:val="single" w:sz="4" w:space="0" w:color="auto"/>
            </w:tcBorders>
            <w:noWrap/>
            <w:hideMark/>
          </w:tcPr>
          <w:p w14:paraId="3FB6E76D"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15.7</w:t>
            </w:r>
          </w:p>
        </w:tc>
        <w:tc>
          <w:tcPr>
            <w:tcW w:w="851" w:type="dxa"/>
            <w:tcBorders>
              <w:bottom w:val="single" w:sz="4" w:space="0" w:color="auto"/>
            </w:tcBorders>
            <w:noWrap/>
            <w:hideMark/>
          </w:tcPr>
          <w:p w14:paraId="66D91CFB"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(0.1)</w:t>
            </w:r>
          </w:p>
        </w:tc>
        <w:tc>
          <w:tcPr>
            <w:tcW w:w="851" w:type="dxa"/>
            <w:tcBorders>
              <w:bottom w:val="single" w:sz="4" w:space="0" w:color="auto"/>
            </w:tcBorders>
            <w:noWrap/>
            <w:hideMark/>
          </w:tcPr>
          <w:p w14:paraId="3239C7F7"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(0.1)</w:t>
            </w:r>
          </w:p>
        </w:tc>
        <w:tc>
          <w:tcPr>
            <w:tcW w:w="851" w:type="dxa"/>
            <w:tcBorders>
              <w:bottom w:val="single" w:sz="4" w:space="0" w:color="auto"/>
            </w:tcBorders>
            <w:noWrap/>
            <w:hideMark/>
          </w:tcPr>
          <w:p w14:paraId="6DB90F17"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(2.8)</w:t>
            </w:r>
          </w:p>
        </w:tc>
        <w:tc>
          <w:tcPr>
            <w:tcW w:w="851" w:type="dxa"/>
            <w:tcBorders>
              <w:bottom w:val="single" w:sz="4" w:space="0" w:color="auto"/>
            </w:tcBorders>
            <w:noWrap/>
            <w:hideMark/>
          </w:tcPr>
          <w:p w14:paraId="6F84E6AE"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718.</w:t>
            </w:r>
            <w:r>
              <w:rPr>
                <w:sz w:val="17"/>
                <w:szCs w:val="17"/>
              </w:rPr>
              <w:t>8</w:t>
            </w:r>
          </w:p>
        </w:tc>
      </w:tr>
      <w:tr w:rsidR="00CE75D4" w:rsidRPr="003472D7" w14:paraId="7176024D" w14:textId="77777777" w:rsidTr="008340C1">
        <w:trPr>
          <w:cantSplit w:val="0"/>
          <w:trHeight w:val="170"/>
        </w:trPr>
        <w:tc>
          <w:tcPr>
            <w:tcW w:w="3402" w:type="dxa"/>
            <w:gridSpan w:val="14"/>
            <w:tcBorders>
              <w:top w:val="single" w:sz="4" w:space="0" w:color="A6A6A6"/>
              <w:bottom w:val="single" w:sz="4" w:space="0" w:color="A6A6A6"/>
            </w:tcBorders>
          </w:tcPr>
          <w:p w14:paraId="09789197" w14:textId="77777777" w:rsidR="00CE75D4" w:rsidRPr="00140535" w:rsidRDefault="00CE75D4" w:rsidP="008340C1">
            <w:pPr>
              <w:pStyle w:val="ARfintablebodybold"/>
              <w:spacing w:before="10" w:after="10" w:line="228" w:lineRule="auto"/>
              <w:rPr>
                <w:rFonts w:cs="Arial"/>
                <w:sz w:val="17"/>
                <w:szCs w:val="17"/>
              </w:rPr>
            </w:pPr>
            <w:r w:rsidRPr="00140535">
              <w:rPr>
                <w:rFonts w:cs="Arial"/>
                <w:sz w:val="17"/>
                <w:szCs w:val="17"/>
              </w:rPr>
              <w:t>Other economic flows included in net result</w:t>
            </w:r>
          </w:p>
        </w:tc>
      </w:tr>
      <w:tr w:rsidR="00CE75D4" w:rsidRPr="003472D7" w14:paraId="04BFE7E3" w14:textId="77777777" w:rsidTr="008340C1">
        <w:trPr>
          <w:cantSplit w:val="0"/>
          <w:trHeight w:val="170"/>
        </w:trPr>
        <w:tc>
          <w:tcPr>
            <w:tcW w:w="3402" w:type="dxa"/>
            <w:tcBorders>
              <w:top w:val="single" w:sz="4" w:space="0" w:color="A6A6A6"/>
              <w:bottom w:val="single" w:sz="4" w:space="0" w:color="A6A6A6"/>
            </w:tcBorders>
            <w:hideMark/>
          </w:tcPr>
          <w:p w14:paraId="574349DE" w14:textId="77777777" w:rsidR="00CE75D4" w:rsidRPr="00140535" w:rsidRDefault="00CE75D4" w:rsidP="008340C1">
            <w:pPr>
              <w:pStyle w:val="ARfintablebody"/>
              <w:spacing w:before="10" w:after="10" w:line="228" w:lineRule="auto"/>
              <w:rPr>
                <w:sz w:val="17"/>
                <w:szCs w:val="17"/>
              </w:rPr>
            </w:pPr>
            <w:r w:rsidRPr="00140535">
              <w:rPr>
                <w:sz w:val="17"/>
                <w:szCs w:val="17"/>
              </w:rPr>
              <w:t>Net gain/(loss) on non-financial assets</w:t>
            </w:r>
          </w:p>
        </w:tc>
        <w:tc>
          <w:tcPr>
            <w:tcW w:w="851" w:type="dxa"/>
            <w:tcBorders>
              <w:top w:val="single" w:sz="4" w:space="0" w:color="A6A6A6"/>
              <w:bottom w:val="single" w:sz="4" w:space="0" w:color="A6A6A6"/>
            </w:tcBorders>
            <w:noWrap/>
            <w:hideMark/>
          </w:tcPr>
          <w:p w14:paraId="4B75BA4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E779CC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DC5F1C8"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DD952C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548B2C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0.1</w:t>
            </w:r>
          </w:p>
        </w:tc>
        <w:tc>
          <w:tcPr>
            <w:tcW w:w="851" w:type="dxa"/>
            <w:tcBorders>
              <w:top w:val="single" w:sz="4" w:space="0" w:color="A6A6A6"/>
              <w:bottom w:val="single" w:sz="4" w:space="0" w:color="A6A6A6"/>
            </w:tcBorders>
            <w:noWrap/>
            <w:hideMark/>
          </w:tcPr>
          <w:p w14:paraId="60FFF92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7070E9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4C859A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524337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8D7F16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F545EE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2C961A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22B494D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0.3</w:t>
            </w:r>
          </w:p>
        </w:tc>
      </w:tr>
      <w:tr w:rsidR="00CE75D4" w:rsidRPr="003472D7" w14:paraId="379E89FE" w14:textId="77777777" w:rsidTr="008340C1">
        <w:trPr>
          <w:cantSplit w:val="0"/>
          <w:trHeight w:val="170"/>
        </w:trPr>
        <w:tc>
          <w:tcPr>
            <w:tcW w:w="3402" w:type="dxa"/>
            <w:tcBorders>
              <w:top w:val="single" w:sz="4" w:space="0" w:color="A6A6A6"/>
              <w:bottom w:val="single" w:sz="4" w:space="0" w:color="A6A6A6"/>
            </w:tcBorders>
            <w:hideMark/>
          </w:tcPr>
          <w:p w14:paraId="512F9DC5" w14:textId="77777777" w:rsidR="00CE75D4" w:rsidRPr="00140535" w:rsidRDefault="00CE75D4" w:rsidP="008340C1">
            <w:pPr>
              <w:pStyle w:val="ARfintablebody"/>
              <w:spacing w:before="10" w:after="10" w:line="228" w:lineRule="auto"/>
              <w:rPr>
                <w:sz w:val="17"/>
                <w:szCs w:val="17"/>
              </w:rPr>
            </w:pPr>
            <w:r w:rsidRPr="00140535">
              <w:rPr>
                <w:sz w:val="17"/>
                <w:szCs w:val="17"/>
              </w:rPr>
              <w:t>Net gain/(loss) on financial instruments</w:t>
            </w:r>
          </w:p>
        </w:tc>
        <w:tc>
          <w:tcPr>
            <w:tcW w:w="851" w:type="dxa"/>
            <w:tcBorders>
              <w:top w:val="single" w:sz="4" w:space="0" w:color="A6A6A6"/>
              <w:bottom w:val="single" w:sz="4" w:space="0" w:color="A6A6A6"/>
            </w:tcBorders>
            <w:noWrap/>
            <w:hideMark/>
          </w:tcPr>
          <w:p w14:paraId="2AC4722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D5BDEA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8791451"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380D3FFE"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6F5CC192"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w:t>
            </w:r>
            <w:r>
              <w:rPr>
                <w:sz w:val="17"/>
                <w:szCs w:val="17"/>
              </w:rPr>
              <w:t>3</w:t>
            </w:r>
            <w:r w:rsidRPr="00140535">
              <w:rPr>
                <w:sz w:val="17"/>
                <w:szCs w:val="17"/>
              </w:rPr>
              <w:t>)</w:t>
            </w:r>
          </w:p>
        </w:tc>
        <w:tc>
          <w:tcPr>
            <w:tcW w:w="851" w:type="dxa"/>
            <w:tcBorders>
              <w:top w:val="single" w:sz="4" w:space="0" w:color="A6A6A6"/>
              <w:bottom w:val="single" w:sz="4" w:space="0" w:color="A6A6A6"/>
            </w:tcBorders>
            <w:noWrap/>
            <w:hideMark/>
          </w:tcPr>
          <w:p w14:paraId="547AF71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0C674E7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23AA5F0"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4EFCDF8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5618E556"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422E82A"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1A315785"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bottom w:val="single" w:sz="4" w:space="0" w:color="A6A6A6"/>
            </w:tcBorders>
            <w:noWrap/>
            <w:hideMark/>
          </w:tcPr>
          <w:p w14:paraId="71F74EF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(0.2)</w:t>
            </w:r>
          </w:p>
        </w:tc>
      </w:tr>
      <w:tr w:rsidR="00CE75D4" w:rsidRPr="003472D7" w14:paraId="4736FA3C" w14:textId="77777777" w:rsidTr="008340C1">
        <w:trPr>
          <w:cantSplit w:val="0"/>
          <w:trHeight w:val="170"/>
        </w:trPr>
        <w:tc>
          <w:tcPr>
            <w:tcW w:w="3402" w:type="dxa"/>
            <w:tcBorders>
              <w:top w:val="single" w:sz="4" w:space="0" w:color="A6A6A6"/>
            </w:tcBorders>
            <w:hideMark/>
          </w:tcPr>
          <w:p w14:paraId="5820AAC4" w14:textId="77777777" w:rsidR="00CE75D4" w:rsidRPr="00140535" w:rsidRDefault="00CE75D4" w:rsidP="008340C1">
            <w:pPr>
              <w:pStyle w:val="ARfintablebody"/>
              <w:spacing w:before="10" w:after="10" w:line="228" w:lineRule="auto"/>
              <w:rPr>
                <w:sz w:val="17"/>
                <w:szCs w:val="17"/>
              </w:rPr>
            </w:pPr>
            <w:r w:rsidRPr="00140535">
              <w:rPr>
                <w:sz w:val="17"/>
                <w:szCs w:val="17"/>
              </w:rPr>
              <w:t>Other gains/(losses) from other economic flows</w:t>
            </w:r>
          </w:p>
        </w:tc>
        <w:tc>
          <w:tcPr>
            <w:tcW w:w="851" w:type="dxa"/>
            <w:tcBorders>
              <w:top w:val="single" w:sz="4" w:space="0" w:color="A6A6A6"/>
            </w:tcBorders>
            <w:noWrap/>
            <w:hideMark/>
          </w:tcPr>
          <w:p w14:paraId="784404B4"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647575F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0.8</w:t>
            </w:r>
          </w:p>
        </w:tc>
        <w:tc>
          <w:tcPr>
            <w:tcW w:w="851" w:type="dxa"/>
            <w:tcBorders>
              <w:top w:val="single" w:sz="4" w:space="0" w:color="A6A6A6"/>
            </w:tcBorders>
            <w:noWrap/>
            <w:hideMark/>
          </w:tcPr>
          <w:p w14:paraId="093C237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632A04D7"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0.1</w:t>
            </w:r>
          </w:p>
        </w:tc>
        <w:tc>
          <w:tcPr>
            <w:tcW w:w="851" w:type="dxa"/>
            <w:tcBorders>
              <w:top w:val="single" w:sz="4" w:space="0" w:color="A6A6A6"/>
            </w:tcBorders>
            <w:noWrap/>
            <w:hideMark/>
          </w:tcPr>
          <w:p w14:paraId="5E08A02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(2.7)</w:t>
            </w:r>
          </w:p>
        </w:tc>
        <w:tc>
          <w:tcPr>
            <w:tcW w:w="851" w:type="dxa"/>
            <w:tcBorders>
              <w:top w:val="single" w:sz="4" w:space="0" w:color="A6A6A6"/>
            </w:tcBorders>
            <w:noWrap/>
            <w:hideMark/>
          </w:tcPr>
          <w:p w14:paraId="0BF57953"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0.2</w:t>
            </w:r>
          </w:p>
        </w:tc>
        <w:tc>
          <w:tcPr>
            <w:tcW w:w="851" w:type="dxa"/>
            <w:tcBorders>
              <w:top w:val="single" w:sz="4" w:space="0" w:color="A6A6A6"/>
            </w:tcBorders>
            <w:noWrap/>
            <w:hideMark/>
          </w:tcPr>
          <w:p w14:paraId="633C279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0.1</w:t>
            </w:r>
          </w:p>
        </w:tc>
        <w:tc>
          <w:tcPr>
            <w:tcW w:w="851" w:type="dxa"/>
            <w:tcBorders>
              <w:top w:val="single" w:sz="4" w:space="0" w:color="A6A6A6"/>
            </w:tcBorders>
            <w:noWrap/>
            <w:hideMark/>
          </w:tcPr>
          <w:p w14:paraId="15C8904C"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4A547A6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25E9274D"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7C9572EF"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0C674359"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w:t>
            </w:r>
          </w:p>
        </w:tc>
        <w:tc>
          <w:tcPr>
            <w:tcW w:w="851" w:type="dxa"/>
            <w:tcBorders>
              <w:top w:val="single" w:sz="4" w:space="0" w:color="A6A6A6"/>
            </w:tcBorders>
            <w:noWrap/>
            <w:hideMark/>
          </w:tcPr>
          <w:p w14:paraId="708F5EDB" w14:textId="77777777" w:rsidR="00CE75D4" w:rsidRPr="00140535" w:rsidRDefault="00CE75D4" w:rsidP="008340C1">
            <w:pPr>
              <w:pStyle w:val="ARfintablebodyright"/>
              <w:spacing w:before="10" w:after="10" w:line="228" w:lineRule="auto"/>
              <w:ind w:right="0"/>
              <w:rPr>
                <w:sz w:val="17"/>
                <w:szCs w:val="17"/>
              </w:rPr>
            </w:pPr>
            <w:r w:rsidRPr="00140535">
              <w:rPr>
                <w:sz w:val="17"/>
                <w:szCs w:val="17"/>
              </w:rPr>
              <w:t>2.9</w:t>
            </w:r>
          </w:p>
        </w:tc>
      </w:tr>
      <w:tr w:rsidR="00CE75D4" w:rsidRPr="003472D7" w14:paraId="0D008C68" w14:textId="77777777" w:rsidTr="008340C1">
        <w:trPr>
          <w:cantSplit w:val="0"/>
          <w:trHeight w:val="170"/>
        </w:trPr>
        <w:tc>
          <w:tcPr>
            <w:tcW w:w="3402" w:type="dxa"/>
            <w:hideMark/>
          </w:tcPr>
          <w:p w14:paraId="232AA13F" w14:textId="77777777" w:rsidR="00CE75D4" w:rsidRPr="00140535" w:rsidRDefault="00CE75D4" w:rsidP="008340C1">
            <w:pPr>
              <w:pStyle w:val="ARfintablebodybold"/>
              <w:spacing w:before="10" w:after="10" w:line="228" w:lineRule="auto"/>
              <w:rPr>
                <w:rFonts w:cs="Arial"/>
                <w:sz w:val="17"/>
                <w:szCs w:val="17"/>
              </w:rPr>
            </w:pPr>
            <w:r w:rsidRPr="00140535">
              <w:rPr>
                <w:rFonts w:cs="Arial"/>
                <w:sz w:val="17"/>
                <w:szCs w:val="17"/>
              </w:rPr>
              <w:t>Total other economic flows included in</w:t>
            </w:r>
            <w:r>
              <w:rPr>
                <w:rFonts w:cs="Arial"/>
                <w:sz w:val="17"/>
                <w:szCs w:val="17"/>
              </w:rPr>
              <w:t> </w:t>
            </w:r>
            <w:r w:rsidRPr="00140535">
              <w:rPr>
                <w:rFonts w:cs="Arial"/>
                <w:sz w:val="17"/>
                <w:szCs w:val="17"/>
              </w:rPr>
              <w:t>net result</w:t>
            </w:r>
          </w:p>
        </w:tc>
        <w:tc>
          <w:tcPr>
            <w:tcW w:w="851" w:type="dxa"/>
            <w:noWrap/>
            <w:hideMark/>
          </w:tcPr>
          <w:p w14:paraId="3578B25F"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w:t>
            </w:r>
          </w:p>
        </w:tc>
        <w:tc>
          <w:tcPr>
            <w:tcW w:w="851" w:type="dxa"/>
            <w:noWrap/>
            <w:hideMark/>
          </w:tcPr>
          <w:p w14:paraId="725FC119"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0.</w:t>
            </w:r>
            <w:r>
              <w:rPr>
                <w:sz w:val="17"/>
                <w:szCs w:val="17"/>
              </w:rPr>
              <w:t>8</w:t>
            </w:r>
          </w:p>
        </w:tc>
        <w:tc>
          <w:tcPr>
            <w:tcW w:w="851" w:type="dxa"/>
            <w:noWrap/>
            <w:hideMark/>
          </w:tcPr>
          <w:p w14:paraId="5E7FCD13"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w:t>
            </w:r>
          </w:p>
        </w:tc>
        <w:tc>
          <w:tcPr>
            <w:tcW w:w="851" w:type="dxa"/>
            <w:noWrap/>
            <w:hideMark/>
          </w:tcPr>
          <w:p w14:paraId="67EB2871"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0.1</w:t>
            </w:r>
          </w:p>
        </w:tc>
        <w:tc>
          <w:tcPr>
            <w:tcW w:w="851" w:type="dxa"/>
            <w:noWrap/>
            <w:hideMark/>
          </w:tcPr>
          <w:p w14:paraId="437B6F63"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(2.8)</w:t>
            </w:r>
          </w:p>
        </w:tc>
        <w:tc>
          <w:tcPr>
            <w:tcW w:w="851" w:type="dxa"/>
            <w:noWrap/>
            <w:hideMark/>
          </w:tcPr>
          <w:p w14:paraId="716CF7DD"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0.2</w:t>
            </w:r>
          </w:p>
        </w:tc>
        <w:tc>
          <w:tcPr>
            <w:tcW w:w="851" w:type="dxa"/>
            <w:noWrap/>
            <w:hideMark/>
          </w:tcPr>
          <w:p w14:paraId="7C6DBD63"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0.1</w:t>
            </w:r>
          </w:p>
        </w:tc>
        <w:tc>
          <w:tcPr>
            <w:tcW w:w="851" w:type="dxa"/>
            <w:noWrap/>
            <w:hideMark/>
          </w:tcPr>
          <w:p w14:paraId="19077295"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w:t>
            </w:r>
          </w:p>
        </w:tc>
        <w:tc>
          <w:tcPr>
            <w:tcW w:w="851" w:type="dxa"/>
            <w:noWrap/>
            <w:hideMark/>
          </w:tcPr>
          <w:p w14:paraId="4DC37C18"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w:t>
            </w:r>
          </w:p>
        </w:tc>
        <w:tc>
          <w:tcPr>
            <w:tcW w:w="851" w:type="dxa"/>
            <w:noWrap/>
            <w:hideMark/>
          </w:tcPr>
          <w:p w14:paraId="5F7C86E0"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w:t>
            </w:r>
          </w:p>
        </w:tc>
        <w:tc>
          <w:tcPr>
            <w:tcW w:w="851" w:type="dxa"/>
            <w:noWrap/>
            <w:hideMark/>
          </w:tcPr>
          <w:p w14:paraId="474F1744"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w:t>
            </w:r>
          </w:p>
        </w:tc>
        <w:tc>
          <w:tcPr>
            <w:tcW w:w="851" w:type="dxa"/>
            <w:noWrap/>
            <w:hideMark/>
          </w:tcPr>
          <w:p w14:paraId="403C6804"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w:t>
            </w:r>
          </w:p>
        </w:tc>
        <w:tc>
          <w:tcPr>
            <w:tcW w:w="851" w:type="dxa"/>
            <w:noWrap/>
            <w:hideMark/>
          </w:tcPr>
          <w:p w14:paraId="686F32E6"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3.0</w:t>
            </w:r>
          </w:p>
        </w:tc>
      </w:tr>
      <w:tr w:rsidR="00CE75D4" w:rsidRPr="003472D7" w14:paraId="78B5FC16" w14:textId="77777777" w:rsidTr="008340C1">
        <w:trPr>
          <w:cantSplit w:val="0"/>
          <w:trHeight w:val="170"/>
        </w:trPr>
        <w:tc>
          <w:tcPr>
            <w:tcW w:w="3402" w:type="dxa"/>
            <w:hideMark/>
          </w:tcPr>
          <w:p w14:paraId="69172601" w14:textId="77777777" w:rsidR="00CE75D4" w:rsidRPr="00140535" w:rsidRDefault="00CE75D4" w:rsidP="008340C1">
            <w:pPr>
              <w:pStyle w:val="ARfintablebodybold"/>
              <w:spacing w:before="10" w:after="10" w:line="228" w:lineRule="auto"/>
              <w:rPr>
                <w:rFonts w:cs="Arial"/>
                <w:sz w:val="17"/>
                <w:szCs w:val="17"/>
              </w:rPr>
            </w:pPr>
            <w:r w:rsidRPr="00140535">
              <w:rPr>
                <w:rFonts w:cs="Arial"/>
                <w:sz w:val="17"/>
                <w:szCs w:val="17"/>
              </w:rPr>
              <w:t>Net result</w:t>
            </w:r>
          </w:p>
        </w:tc>
        <w:tc>
          <w:tcPr>
            <w:tcW w:w="851" w:type="dxa"/>
            <w:noWrap/>
            <w:hideMark/>
          </w:tcPr>
          <w:p w14:paraId="3819E55B"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(5.9)</w:t>
            </w:r>
          </w:p>
        </w:tc>
        <w:tc>
          <w:tcPr>
            <w:tcW w:w="851" w:type="dxa"/>
            <w:noWrap/>
            <w:hideMark/>
          </w:tcPr>
          <w:p w14:paraId="5480AA9A"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17.8</w:t>
            </w:r>
          </w:p>
        </w:tc>
        <w:tc>
          <w:tcPr>
            <w:tcW w:w="851" w:type="dxa"/>
            <w:noWrap/>
            <w:hideMark/>
          </w:tcPr>
          <w:p w14:paraId="671DA7EA"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21.</w:t>
            </w:r>
            <w:r>
              <w:rPr>
                <w:sz w:val="17"/>
                <w:szCs w:val="17"/>
              </w:rPr>
              <w:t>2</w:t>
            </w:r>
          </w:p>
        </w:tc>
        <w:tc>
          <w:tcPr>
            <w:tcW w:w="851" w:type="dxa"/>
            <w:noWrap/>
            <w:hideMark/>
          </w:tcPr>
          <w:p w14:paraId="77BFB144"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(2.8)</w:t>
            </w:r>
          </w:p>
        </w:tc>
        <w:tc>
          <w:tcPr>
            <w:tcW w:w="851" w:type="dxa"/>
            <w:noWrap/>
            <w:hideMark/>
          </w:tcPr>
          <w:p w14:paraId="1000882D"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401.3</w:t>
            </w:r>
          </w:p>
        </w:tc>
        <w:tc>
          <w:tcPr>
            <w:tcW w:w="851" w:type="dxa"/>
            <w:noWrap/>
            <w:hideMark/>
          </w:tcPr>
          <w:p w14:paraId="7F74CD3B"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(0.6)</w:t>
            </w:r>
          </w:p>
        </w:tc>
        <w:tc>
          <w:tcPr>
            <w:tcW w:w="851" w:type="dxa"/>
            <w:noWrap/>
            <w:hideMark/>
          </w:tcPr>
          <w:p w14:paraId="3EF25B0D"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0.2</w:t>
            </w:r>
          </w:p>
        </w:tc>
        <w:tc>
          <w:tcPr>
            <w:tcW w:w="851" w:type="dxa"/>
            <w:noWrap/>
            <w:hideMark/>
          </w:tcPr>
          <w:p w14:paraId="729BDCE8"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11.4</w:t>
            </w:r>
          </w:p>
        </w:tc>
        <w:tc>
          <w:tcPr>
            <w:tcW w:w="851" w:type="dxa"/>
            <w:noWrap/>
            <w:hideMark/>
          </w:tcPr>
          <w:p w14:paraId="6076B2A8"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15.7</w:t>
            </w:r>
          </w:p>
        </w:tc>
        <w:tc>
          <w:tcPr>
            <w:tcW w:w="851" w:type="dxa"/>
            <w:noWrap/>
            <w:hideMark/>
          </w:tcPr>
          <w:p w14:paraId="44B0B2F8"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(0.1)</w:t>
            </w:r>
          </w:p>
        </w:tc>
        <w:tc>
          <w:tcPr>
            <w:tcW w:w="851" w:type="dxa"/>
            <w:noWrap/>
            <w:hideMark/>
          </w:tcPr>
          <w:p w14:paraId="49CEA910"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(0.1)</w:t>
            </w:r>
          </w:p>
        </w:tc>
        <w:tc>
          <w:tcPr>
            <w:tcW w:w="851" w:type="dxa"/>
            <w:noWrap/>
            <w:hideMark/>
          </w:tcPr>
          <w:p w14:paraId="1838A3E8"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(2.8)</w:t>
            </w:r>
          </w:p>
        </w:tc>
        <w:tc>
          <w:tcPr>
            <w:tcW w:w="851" w:type="dxa"/>
            <w:noWrap/>
            <w:hideMark/>
          </w:tcPr>
          <w:p w14:paraId="4FF4ADA2" w14:textId="77777777" w:rsidR="00CE75D4" w:rsidRPr="00140535" w:rsidRDefault="00CE75D4" w:rsidP="008340C1">
            <w:pPr>
              <w:pStyle w:val="ARfintablebodyrightbold"/>
              <w:spacing w:before="10" w:after="10" w:line="228" w:lineRule="auto"/>
              <w:ind w:right="0"/>
              <w:rPr>
                <w:sz w:val="17"/>
                <w:szCs w:val="17"/>
              </w:rPr>
            </w:pPr>
            <w:r w:rsidRPr="00140535">
              <w:rPr>
                <w:sz w:val="17"/>
                <w:szCs w:val="17"/>
              </w:rPr>
              <w:t>721.</w:t>
            </w:r>
            <w:r>
              <w:rPr>
                <w:sz w:val="17"/>
                <w:szCs w:val="17"/>
              </w:rPr>
              <w:t>8</w:t>
            </w:r>
          </w:p>
        </w:tc>
      </w:tr>
    </w:tbl>
    <w:p w14:paraId="7894C8D5" w14:textId="77777777" w:rsidR="00CE75D4" w:rsidRPr="003472D7" w:rsidRDefault="00CE75D4" w:rsidP="008340C1">
      <w:pPr>
        <w:pStyle w:val="ARfintablefootnote"/>
        <w:rPr>
          <w:sz w:val="15"/>
          <w:szCs w:val="15"/>
        </w:rPr>
      </w:pPr>
      <w:r w:rsidRPr="003472D7">
        <w:rPr>
          <w:sz w:val="15"/>
          <w:szCs w:val="15"/>
          <w:lang w:eastAsia="en-AU"/>
        </w:rPr>
        <w:t>Note:</w:t>
      </w:r>
    </w:p>
    <w:p w14:paraId="7EE98258" w14:textId="77777777" w:rsidR="00CE75D4" w:rsidRPr="003472D7" w:rsidRDefault="00CE75D4" w:rsidP="008340C1">
      <w:pPr>
        <w:pStyle w:val="ARfintablefootnoteindent"/>
        <w:rPr>
          <w:sz w:val="15"/>
          <w:szCs w:val="15"/>
        </w:rPr>
      </w:pPr>
      <w:r w:rsidRPr="003472D7">
        <w:rPr>
          <w:sz w:val="15"/>
          <w:szCs w:val="15"/>
        </w:rPr>
        <w:t>(i)</w:t>
      </w:r>
      <w:r w:rsidRPr="003472D7">
        <w:rPr>
          <w:sz w:val="15"/>
          <w:szCs w:val="15"/>
        </w:rPr>
        <w:tab/>
        <w:t>Refer to Note 4.1.1(a) for output definitions.</w:t>
      </w:r>
    </w:p>
    <w:p w14:paraId="5F3A6A9E" w14:textId="77777777" w:rsidR="00CE75D4" w:rsidRPr="00140535" w:rsidRDefault="00CE75D4" w:rsidP="008340C1">
      <w:pPr>
        <w:pStyle w:val="ARfinbody"/>
      </w:pPr>
      <w:r w:rsidRPr="00140535">
        <w:br w:type="page"/>
      </w:r>
    </w:p>
    <w:p w14:paraId="5F192AF4" w14:textId="77777777" w:rsidR="00CE75D4" w:rsidRDefault="00CE75D4" w:rsidP="008340C1">
      <w:pPr>
        <w:pStyle w:val="Heading6"/>
        <w:spacing w:after="0"/>
      </w:pPr>
      <w:r>
        <w:t>C. 2021 – Output groups 1–15</w:t>
      </w:r>
    </w:p>
    <w:tbl>
      <w:tblPr>
        <w:tblStyle w:val="TableGrid"/>
        <w:tblW w:w="14459" w:type="dxa"/>
        <w:tblLayout w:type="fixed"/>
        <w:tblCellMar>
          <w:right w:w="0" w:type="dxa"/>
        </w:tblCellMar>
        <w:tblLook w:val="06A0" w:firstRow="1" w:lastRow="0" w:firstColumn="1" w:lastColumn="0" w:noHBand="1" w:noVBand="1"/>
      </w:tblPr>
      <w:tblGrid>
        <w:gridCol w:w="2303"/>
        <w:gridCol w:w="938"/>
        <w:gridCol w:w="737"/>
        <w:gridCol w:w="598"/>
        <w:gridCol w:w="709"/>
        <w:gridCol w:w="757"/>
        <w:gridCol w:w="639"/>
        <w:gridCol w:w="708"/>
        <w:gridCol w:w="708"/>
        <w:gridCol w:w="749"/>
        <w:gridCol w:w="738"/>
        <w:gridCol w:w="738"/>
        <w:gridCol w:w="738"/>
        <w:gridCol w:w="590"/>
        <w:gridCol w:w="737"/>
        <w:gridCol w:w="738"/>
        <w:gridCol w:w="590"/>
        <w:gridCol w:w="744"/>
      </w:tblGrid>
      <w:tr w:rsidR="00CE75D4" w:rsidRPr="003472D7" w14:paraId="07F97157" w14:textId="77777777" w:rsidTr="008340C1">
        <w:trPr>
          <w:cnfStyle w:val="100000000000" w:firstRow="1" w:lastRow="0" w:firstColumn="0" w:lastColumn="0" w:oddVBand="0" w:evenVBand="0" w:oddHBand="0" w:evenHBand="0" w:firstRowFirstColumn="0" w:firstRowLastColumn="0" w:lastRowFirstColumn="0" w:lastRowLastColumn="0"/>
          <w:trHeight w:val="170"/>
          <w:tblHeader/>
        </w:trPr>
        <w:tc>
          <w:tcPr>
            <w:tcW w:w="2303" w:type="dxa"/>
            <w:tcBorders>
              <w:bottom w:val="single" w:sz="4" w:space="0" w:color="auto"/>
            </w:tcBorders>
            <w:hideMark/>
          </w:tcPr>
          <w:p w14:paraId="6391C0A2" w14:textId="77777777" w:rsidR="00CE75D4" w:rsidRPr="003472D7" w:rsidRDefault="00CE75D4" w:rsidP="008340C1">
            <w:pPr>
              <w:pStyle w:val="ARfintablecolhead"/>
              <w:spacing w:before="20" w:after="16" w:line="228" w:lineRule="auto"/>
              <w:rPr>
                <w:sz w:val="15"/>
                <w:szCs w:val="15"/>
              </w:rPr>
            </w:pPr>
            <w:r w:rsidRPr="003472D7">
              <w:rPr>
                <w:sz w:val="15"/>
                <w:szCs w:val="15"/>
              </w:rPr>
              <w:t>Year ended 30 June 2021</w:t>
            </w:r>
          </w:p>
          <w:p w14:paraId="6997F991" w14:textId="77777777" w:rsidR="00CE75D4" w:rsidRPr="003472D7" w:rsidRDefault="00CE75D4" w:rsidP="008340C1">
            <w:pPr>
              <w:pStyle w:val="ARfintablecolhead"/>
              <w:spacing w:before="20" w:after="16" w:line="228" w:lineRule="auto"/>
              <w:rPr>
                <w:sz w:val="15"/>
                <w:szCs w:val="15"/>
              </w:rPr>
            </w:pPr>
            <w:r w:rsidRPr="003472D7">
              <w:rPr>
                <w:sz w:val="15"/>
                <w:szCs w:val="15"/>
              </w:rPr>
              <w:t xml:space="preserve">Output group </w:t>
            </w:r>
            <w:r w:rsidRPr="003472D7">
              <w:rPr>
                <w:rStyle w:val="Superscript"/>
                <w:sz w:val="15"/>
                <w:szCs w:val="15"/>
              </w:rPr>
              <w:t>(i)</w:t>
            </w:r>
          </w:p>
        </w:tc>
        <w:tc>
          <w:tcPr>
            <w:tcW w:w="938" w:type="dxa"/>
            <w:tcBorders>
              <w:bottom w:val="single" w:sz="4" w:space="0" w:color="auto"/>
            </w:tcBorders>
            <w:hideMark/>
          </w:tcPr>
          <w:p w14:paraId="064E0D0A"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1</w:t>
            </w:r>
          </w:p>
          <w:p w14:paraId="7B56F88B"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$M</w:t>
            </w:r>
          </w:p>
        </w:tc>
        <w:tc>
          <w:tcPr>
            <w:tcW w:w="737" w:type="dxa"/>
            <w:tcBorders>
              <w:bottom w:val="single" w:sz="4" w:space="0" w:color="auto"/>
            </w:tcBorders>
            <w:hideMark/>
          </w:tcPr>
          <w:p w14:paraId="5289EA60"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2</w:t>
            </w:r>
          </w:p>
          <w:p w14:paraId="0FF144B6"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$M</w:t>
            </w:r>
          </w:p>
        </w:tc>
        <w:tc>
          <w:tcPr>
            <w:tcW w:w="598" w:type="dxa"/>
            <w:tcBorders>
              <w:bottom w:val="single" w:sz="4" w:space="0" w:color="auto"/>
            </w:tcBorders>
            <w:hideMark/>
          </w:tcPr>
          <w:p w14:paraId="35E5B9CF"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3</w:t>
            </w:r>
          </w:p>
          <w:p w14:paraId="4915FCCF"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$M</w:t>
            </w:r>
          </w:p>
        </w:tc>
        <w:tc>
          <w:tcPr>
            <w:tcW w:w="709" w:type="dxa"/>
            <w:tcBorders>
              <w:bottom w:val="single" w:sz="4" w:space="0" w:color="auto"/>
            </w:tcBorders>
            <w:hideMark/>
          </w:tcPr>
          <w:p w14:paraId="6B907D65"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4</w:t>
            </w:r>
          </w:p>
          <w:p w14:paraId="2127709F"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$M</w:t>
            </w:r>
          </w:p>
        </w:tc>
        <w:tc>
          <w:tcPr>
            <w:tcW w:w="757" w:type="dxa"/>
            <w:tcBorders>
              <w:bottom w:val="single" w:sz="4" w:space="0" w:color="auto"/>
            </w:tcBorders>
            <w:hideMark/>
          </w:tcPr>
          <w:p w14:paraId="01185104"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5</w:t>
            </w:r>
          </w:p>
          <w:p w14:paraId="1CE8C459"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$M</w:t>
            </w:r>
          </w:p>
        </w:tc>
        <w:tc>
          <w:tcPr>
            <w:tcW w:w="639" w:type="dxa"/>
            <w:tcBorders>
              <w:bottom w:val="single" w:sz="4" w:space="0" w:color="auto"/>
            </w:tcBorders>
            <w:hideMark/>
          </w:tcPr>
          <w:p w14:paraId="28C13F29"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6</w:t>
            </w:r>
          </w:p>
          <w:p w14:paraId="18A0C90C"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$M</w:t>
            </w:r>
          </w:p>
        </w:tc>
        <w:tc>
          <w:tcPr>
            <w:tcW w:w="708" w:type="dxa"/>
            <w:tcBorders>
              <w:bottom w:val="single" w:sz="4" w:space="0" w:color="auto"/>
            </w:tcBorders>
            <w:hideMark/>
          </w:tcPr>
          <w:p w14:paraId="6B4D9594"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7</w:t>
            </w:r>
          </w:p>
          <w:p w14:paraId="1A704A83"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$M</w:t>
            </w:r>
          </w:p>
        </w:tc>
        <w:tc>
          <w:tcPr>
            <w:tcW w:w="708" w:type="dxa"/>
            <w:tcBorders>
              <w:bottom w:val="single" w:sz="4" w:space="0" w:color="auto"/>
            </w:tcBorders>
            <w:hideMark/>
          </w:tcPr>
          <w:p w14:paraId="60E7497F"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8</w:t>
            </w:r>
          </w:p>
          <w:p w14:paraId="23FB7909"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$M</w:t>
            </w:r>
          </w:p>
        </w:tc>
        <w:tc>
          <w:tcPr>
            <w:tcW w:w="749" w:type="dxa"/>
            <w:tcBorders>
              <w:bottom w:val="single" w:sz="4" w:space="0" w:color="auto"/>
            </w:tcBorders>
            <w:hideMark/>
          </w:tcPr>
          <w:p w14:paraId="015F1754"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9</w:t>
            </w:r>
          </w:p>
          <w:p w14:paraId="380EA8D0"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$M</w:t>
            </w:r>
          </w:p>
        </w:tc>
        <w:tc>
          <w:tcPr>
            <w:tcW w:w="738" w:type="dxa"/>
            <w:tcBorders>
              <w:bottom w:val="single" w:sz="4" w:space="0" w:color="auto"/>
            </w:tcBorders>
            <w:hideMark/>
          </w:tcPr>
          <w:p w14:paraId="256F0F5A"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10</w:t>
            </w:r>
          </w:p>
          <w:p w14:paraId="30ACC231"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$M</w:t>
            </w:r>
          </w:p>
        </w:tc>
        <w:tc>
          <w:tcPr>
            <w:tcW w:w="738" w:type="dxa"/>
            <w:tcBorders>
              <w:bottom w:val="single" w:sz="4" w:space="0" w:color="auto"/>
            </w:tcBorders>
            <w:hideMark/>
          </w:tcPr>
          <w:p w14:paraId="6EA2AB1D"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11</w:t>
            </w:r>
          </w:p>
          <w:p w14:paraId="718B6527"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$M</w:t>
            </w:r>
          </w:p>
        </w:tc>
        <w:tc>
          <w:tcPr>
            <w:tcW w:w="738" w:type="dxa"/>
            <w:tcBorders>
              <w:bottom w:val="single" w:sz="4" w:space="0" w:color="auto"/>
            </w:tcBorders>
            <w:hideMark/>
          </w:tcPr>
          <w:p w14:paraId="0BB47F7C"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12</w:t>
            </w:r>
          </w:p>
          <w:p w14:paraId="268B6455"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$M</w:t>
            </w:r>
          </w:p>
        </w:tc>
        <w:tc>
          <w:tcPr>
            <w:tcW w:w="590" w:type="dxa"/>
            <w:tcBorders>
              <w:bottom w:val="single" w:sz="4" w:space="0" w:color="auto"/>
            </w:tcBorders>
            <w:hideMark/>
          </w:tcPr>
          <w:p w14:paraId="4C94D1C4"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13</w:t>
            </w:r>
          </w:p>
          <w:p w14:paraId="04403196"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$M</w:t>
            </w:r>
          </w:p>
        </w:tc>
        <w:tc>
          <w:tcPr>
            <w:tcW w:w="737" w:type="dxa"/>
            <w:tcBorders>
              <w:bottom w:val="single" w:sz="4" w:space="0" w:color="auto"/>
            </w:tcBorders>
            <w:hideMark/>
          </w:tcPr>
          <w:p w14:paraId="2DBAF1C1"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14</w:t>
            </w:r>
          </w:p>
          <w:p w14:paraId="77D93DAB"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$M</w:t>
            </w:r>
          </w:p>
        </w:tc>
        <w:tc>
          <w:tcPr>
            <w:tcW w:w="738" w:type="dxa"/>
            <w:tcBorders>
              <w:bottom w:val="single" w:sz="4" w:space="0" w:color="auto"/>
            </w:tcBorders>
            <w:hideMark/>
          </w:tcPr>
          <w:p w14:paraId="641FD10A"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15</w:t>
            </w:r>
          </w:p>
          <w:p w14:paraId="33A35981"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$M</w:t>
            </w:r>
          </w:p>
        </w:tc>
        <w:tc>
          <w:tcPr>
            <w:tcW w:w="590" w:type="dxa"/>
            <w:tcBorders>
              <w:bottom w:val="single" w:sz="4" w:space="0" w:color="auto"/>
            </w:tcBorders>
            <w:hideMark/>
          </w:tcPr>
          <w:p w14:paraId="1CAD80C8"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Elimin-</w:t>
            </w:r>
            <w:r w:rsidRPr="003472D7">
              <w:rPr>
                <w:sz w:val="15"/>
                <w:szCs w:val="15"/>
              </w:rPr>
              <w:br/>
              <w:t>ation</w:t>
            </w:r>
          </w:p>
          <w:p w14:paraId="4732471B"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$M</w:t>
            </w:r>
          </w:p>
        </w:tc>
        <w:tc>
          <w:tcPr>
            <w:tcW w:w="744" w:type="dxa"/>
            <w:tcBorders>
              <w:bottom w:val="single" w:sz="4" w:space="0" w:color="auto"/>
            </w:tcBorders>
            <w:hideMark/>
          </w:tcPr>
          <w:p w14:paraId="6EDEB777"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Total</w:t>
            </w:r>
          </w:p>
          <w:p w14:paraId="71313635" w14:textId="77777777" w:rsidR="00CE75D4" w:rsidRPr="003472D7" w:rsidRDefault="00CE75D4" w:rsidP="008340C1">
            <w:pPr>
              <w:pStyle w:val="ARfintablecolheadright"/>
              <w:spacing w:before="20" w:after="16" w:line="228" w:lineRule="auto"/>
              <w:ind w:right="0"/>
              <w:rPr>
                <w:sz w:val="15"/>
                <w:szCs w:val="15"/>
              </w:rPr>
            </w:pPr>
            <w:r w:rsidRPr="003472D7">
              <w:rPr>
                <w:sz w:val="15"/>
                <w:szCs w:val="15"/>
              </w:rPr>
              <w:t>$M</w:t>
            </w:r>
          </w:p>
        </w:tc>
      </w:tr>
      <w:tr w:rsidR="00CE75D4" w:rsidRPr="003472D7" w14:paraId="7E6B288F" w14:textId="77777777" w:rsidTr="008340C1">
        <w:trPr>
          <w:trHeight w:val="170"/>
        </w:trPr>
        <w:tc>
          <w:tcPr>
            <w:tcW w:w="14459" w:type="dxa"/>
            <w:gridSpan w:val="18"/>
            <w:tcBorders>
              <w:top w:val="single" w:sz="4" w:space="0" w:color="auto"/>
              <w:bottom w:val="single" w:sz="4" w:space="0" w:color="A6A6A6"/>
            </w:tcBorders>
            <w:hideMark/>
          </w:tcPr>
          <w:p w14:paraId="077DC13E" w14:textId="77777777" w:rsidR="00CE75D4" w:rsidRPr="003472D7" w:rsidRDefault="00CE75D4" w:rsidP="008340C1">
            <w:pPr>
              <w:pStyle w:val="ARfintablebodybold"/>
              <w:spacing w:before="10" w:after="10" w:line="228" w:lineRule="auto"/>
              <w:rPr>
                <w:rFonts w:cs="Arial"/>
                <w:sz w:val="15"/>
                <w:szCs w:val="15"/>
              </w:rPr>
            </w:pPr>
            <w:r>
              <w:rPr>
                <w:rFonts w:cs="Arial"/>
                <w:sz w:val="15"/>
                <w:szCs w:val="15"/>
              </w:rPr>
              <w:t>Revenue and i</w:t>
            </w:r>
            <w:r w:rsidRPr="003472D7">
              <w:rPr>
                <w:rFonts w:cs="Arial"/>
                <w:sz w:val="15"/>
                <w:szCs w:val="15"/>
              </w:rPr>
              <w:t>ncome from transactions</w:t>
            </w:r>
          </w:p>
        </w:tc>
      </w:tr>
      <w:tr w:rsidR="00CE75D4" w:rsidRPr="003472D7" w14:paraId="34AB577E" w14:textId="77777777" w:rsidTr="008340C1">
        <w:trPr>
          <w:trHeight w:val="170"/>
        </w:trPr>
        <w:tc>
          <w:tcPr>
            <w:tcW w:w="2303" w:type="dxa"/>
            <w:tcBorders>
              <w:top w:val="single" w:sz="4" w:space="0" w:color="A6A6A6"/>
              <w:bottom w:val="single" w:sz="4" w:space="0" w:color="A6A6A6"/>
            </w:tcBorders>
            <w:hideMark/>
          </w:tcPr>
          <w:p w14:paraId="6FFFE943" w14:textId="77777777" w:rsidR="00CE75D4" w:rsidRPr="003472D7" w:rsidRDefault="00CE75D4" w:rsidP="008340C1">
            <w:pPr>
              <w:pStyle w:val="ARfintablebody"/>
              <w:spacing w:before="10" w:after="10" w:line="228" w:lineRule="auto"/>
              <w:rPr>
                <w:sz w:val="15"/>
                <w:szCs w:val="15"/>
              </w:rPr>
            </w:pPr>
            <w:r w:rsidRPr="003472D7">
              <w:rPr>
                <w:sz w:val="15"/>
                <w:szCs w:val="15"/>
              </w:rPr>
              <w:t>Output appropriations</w:t>
            </w:r>
          </w:p>
        </w:tc>
        <w:tc>
          <w:tcPr>
            <w:tcW w:w="938" w:type="dxa"/>
            <w:tcBorders>
              <w:top w:val="single" w:sz="4" w:space="0" w:color="A6A6A6"/>
              <w:bottom w:val="single" w:sz="4" w:space="0" w:color="A6A6A6"/>
            </w:tcBorders>
            <w:noWrap/>
            <w:hideMark/>
          </w:tcPr>
          <w:p w14:paraId="47A49E29"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9,622.9</w:t>
            </w:r>
          </w:p>
        </w:tc>
        <w:tc>
          <w:tcPr>
            <w:tcW w:w="737" w:type="dxa"/>
            <w:tcBorders>
              <w:top w:val="single" w:sz="4" w:space="0" w:color="A6A6A6"/>
              <w:bottom w:val="single" w:sz="4" w:space="0" w:color="A6A6A6"/>
            </w:tcBorders>
            <w:noWrap/>
            <w:hideMark/>
          </w:tcPr>
          <w:p w14:paraId="11545740"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869.0</w:t>
            </w:r>
          </w:p>
        </w:tc>
        <w:tc>
          <w:tcPr>
            <w:tcW w:w="598" w:type="dxa"/>
            <w:tcBorders>
              <w:top w:val="single" w:sz="4" w:space="0" w:color="A6A6A6"/>
              <w:bottom w:val="single" w:sz="4" w:space="0" w:color="A6A6A6"/>
            </w:tcBorders>
            <w:noWrap/>
            <w:hideMark/>
          </w:tcPr>
          <w:p w14:paraId="6BA3E93F"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1,224.9</w:t>
            </w:r>
          </w:p>
        </w:tc>
        <w:tc>
          <w:tcPr>
            <w:tcW w:w="709" w:type="dxa"/>
            <w:tcBorders>
              <w:top w:val="single" w:sz="4" w:space="0" w:color="A6A6A6"/>
              <w:bottom w:val="single" w:sz="4" w:space="0" w:color="A6A6A6"/>
            </w:tcBorders>
            <w:noWrap/>
            <w:hideMark/>
          </w:tcPr>
          <w:p w14:paraId="0A37FC2B"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558.4</w:t>
            </w:r>
          </w:p>
        </w:tc>
        <w:tc>
          <w:tcPr>
            <w:tcW w:w="757" w:type="dxa"/>
            <w:tcBorders>
              <w:top w:val="single" w:sz="4" w:space="0" w:color="A6A6A6"/>
              <w:bottom w:val="single" w:sz="4" w:space="0" w:color="A6A6A6"/>
            </w:tcBorders>
            <w:noWrap/>
            <w:hideMark/>
          </w:tcPr>
          <w:p w14:paraId="20D1AEDA"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709.8</w:t>
            </w:r>
          </w:p>
        </w:tc>
        <w:tc>
          <w:tcPr>
            <w:tcW w:w="639" w:type="dxa"/>
            <w:tcBorders>
              <w:top w:val="single" w:sz="4" w:space="0" w:color="A6A6A6"/>
              <w:bottom w:val="single" w:sz="4" w:space="0" w:color="A6A6A6"/>
            </w:tcBorders>
            <w:noWrap/>
            <w:hideMark/>
          </w:tcPr>
          <w:p w14:paraId="272DA1A3"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356.1</w:t>
            </w:r>
          </w:p>
        </w:tc>
        <w:tc>
          <w:tcPr>
            <w:tcW w:w="708" w:type="dxa"/>
            <w:tcBorders>
              <w:top w:val="single" w:sz="4" w:space="0" w:color="A6A6A6"/>
              <w:bottom w:val="single" w:sz="4" w:space="0" w:color="A6A6A6"/>
            </w:tcBorders>
            <w:noWrap/>
            <w:hideMark/>
          </w:tcPr>
          <w:p w14:paraId="1C9EA5C9"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1,363.6</w:t>
            </w:r>
          </w:p>
        </w:tc>
        <w:tc>
          <w:tcPr>
            <w:tcW w:w="708" w:type="dxa"/>
            <w:tcBorders>
              <w:top w:val="single" w:sz="4" w:space="0" w:color="A6A6A6"/>
              <w:bottom w:val="single" w:sz="4" w:space="0" w:color="A6A6A6"/>
            </w:tcBorders>
            <w:noWrap/>
            <w:hideMark/>
          </w:tcPr>
          <w:p w14:paraId="0D4AD302"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198.4</w:t>
            </w:r>
          </w:p>
        </w:tc>
        <w:tc>
          <w:tcPr>
            <w:tcW w:w="749" w:type="dxa"/>
            <w:tcBorders>
              <w:top w:val="single" w:sz="4" w:space="0" w:color="A6A6A6"/>
              <w:bottom w:val="single" w:sz="4" w:space="0" w:color="A6A6A6"/>
            </w:tcBorders>
            <w:noWrap/>
            <w:hideMark/>
          </w:tcPr>
          <w:p w14:paraId="0A8DB60B"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2,150.1</w:t>
            </w:r>
          </w:p>
        </w:tc>
        <w:tc>
          <w:tcPr>
            <w:tcW w:w="738" w:type="dxa"/>
            <w:tcBorders>
              <w:top w:val="single" w:sz="4" w:space="0" w:color="A6A6A6"/>
              <w:bottom w:val="single" w:sz="4" w:space="0" w:color="A6A6A6"/>
            </w:tcBorders>
            <w:noWrap/>
            <w:hideMark/>
          </w:tcPr>
          <w:p w14:paraId="798D6DF4"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1,708.0</w:t>
            </w:r>
          </w:p>
        </w:tc>
        <w:tc>
          <w:tcPr>
            <w:tcW w:w="738" w:type="dxa"/>
            <w:tcBorders>
              <w:top w:val="single" w:sz="4" w:space="0" w:color="A6A6A6"/>
              <w:bottom w:val="single" w:sz="4" w:space="0" w:color="A6A6A6"/>
            </w:tcBorders>
            <w:noWrap/>
            <w:hideMark/>
          </w:tcPr>
          <w:p w14:paraId="41C01F0E"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820.2</w:t>
            </w:r>
          </w:p>
        </w:tc>
        <w:tc>
          <w:tcPr>
            <w:tcW w:w="738" w:type="dxa"/>
            <w:tcBorders>
              <w:top w:val="single" w:sz="4" w:space="0" w:color="A6A6A6"/>
              <w:bottom w:val="single" w:sz="4" w:space="0" w:color="A6A6A6"/>
            </w:tcBorders>
            <w:noWrap/>
            <w:hideMark/>
          </w:tcPr>
          <w:p w14:paraId="027427D8"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290.2</w:t>
            </w:r>
          </w:p>
        </w:tc>
        <w:tc>
          <w:tcPr>
            <w:tcW w:w="590" w:type="dxa"/>
            <w:tcBorders>
              <w:top w:val="single" w:sz="4" w:space="0" w:color="A6A6A6"/>
              <w:bottom w:val="single" w:sz="4" w:space="0" w:color="A6A6A6"/>
            </w:tcBorders>
            <w:noWrap/>
            <w:hideMark/>
          </w:tcPr>
          <w:p w14:paraId="3D292F15"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345.9</w:t>
            </w:r>
          </w:p>
        </w:tc>
        <w:tc>
          <w:tcPr>
            <w:tcW w:w="737" w:type="dxa"/>
            <w:tcBorders>
              <w:top w:val="single" w:sz="4" w:space="0" w:color="A6A6A6"/>
              <w:bottom w:val="single" w:sz="4" w:space="0" w:color="A6A6A6"/>
            </w:tcBorders>
            <w:noWrap/>
            <w:hideMark/>
          </w:tcPr>
          <w:p w14:paraId="70001983"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1,333.9</w:t>
            </w:r>
          </w:p>
        </w:tc>
        <w:tc>
          <w:tcPr>
            <w:tcW w:w="738" w:type="dxa"/>
            <w:tcBorders>
              <w:top w:val="single" w:sz="4" w:space="0" w:color="A6A6A6"/>
              <w:bottom w:val="single" w:sz="4" w:space="0" w:color="A6A6A6"/>
            </w:tcBorders>
            <w:noWrap/>
            <w:hideMark/>
          </w:tcPr>
          <w:p w14:paraId="4EDFA21D"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745AFF2F"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4" w:type="dxa"/>
            <w:tcBorders>
              <w:top w:val="single" w:sz="4" w:space="0" w:color="A6A6A6"/>
              <w:bottom w:val="single" w:sz="4" w:space="0" w:color="A6A6A6"/>
            </w:tcBorders>
            <w:noWrap/>
            <w:hideMark/>
          </w:tcPr>
          <w:p w14:paraId="61FCA74E"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21,551.4</w:t>
            </w:r>
          </w:p>
        </w:tc>
      </w:tr>
      <w:tr w:rsidR="00CE75D4" w:rsidRPr="003472D7" w14:paraId="7703F45F" w14:textId="77777777" w:rsidTr="008340C1">
        <w:trPr>
          <w:trHeight w:val="170"/>
        </w:trPr>
        <w:tc>
          <w:tcPr>
            <w:tcW w:w="2303" w:type="dxa"/>
            <w:tcBorders>
              <w:top w:val="single" w:sz="4" w:space="0" w:color="A6A6A6"/>
              <w:bottom w:val="single" w:sz="4" w:space="0" w:color="A6A6A6"/>
            </w:tcBorders>
            <w:hideMark/>
          </w:tcPr>
          <w:p w14:paraId="2C4855CA" w14:textId="77777777" w:rsidR="00CE75D4" w:rsidRPr="003472D7" w:rsidRDefault="00CE75D4" w:rsidP="008340C1">
            <w:pPr>
              <w:pStyle w:val="ARfintablebody"/>
              <w:spacing w:before="10" w:after="10" w:line="228" w:lineRule="auto"/>
              <w:rPr>
                <w:sz w:val="15"/>
                <w:szCs w:val="15"/>
              </w:rPr>
            </w:pPr>
            <w:r w:rsidRPr="003472D7">
              <w:rPr>
                <w:sz w:val="15"/>
                <w:szCs w:val="15"/>
              </w:rPr>
              <w:t>Special appropriations</w:t>
            </w:r>
          </w:p>
        </w:tc>
        <w:tc>
          <w:tcPr>
            <w:tcW w:w="938" w:type="dxa"/>
            <w:tcBorders>
              <w:top w:val="single" w:sz="4" w:space="0" w:color="A6A6A6"/>
              <w:bottom w:val="single" w:sz="4" w:space="0" w:color="A6A6A6"/>
            </w:tcBorders>
            <w:noWrap/>
            <w:hideMark/>
          </w:tcPr>
          <w:p w14:paraId="6E0FF821"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919.5</w:t>
            </w:r>
          </w:p>
        </w:tc>
        <w:tc>
          <w:tcPr>
            <w:tcW w:w="737" w:type="dxa"/>
            <w:tcBorders>
              <w:top w:val="single" w:sz="4" w:space="0" w:color="A6A6A6"/>
              <w:bottom w:val="single" w:sz="4" w:space="0" w:color="A6A6A6"/>
            </w:tcBorders>
            <w:noWrap/>
            <w:hideMark/>
          </w:tcPr>
          <w:p w14:paraId="75AEEA58"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33.0</w:t>
            </w:r>
          </w:p>
        </w:tc>
        <w:tc>
          <w:tcPr>
            <w:tcW w:w="598" w:type="dxa"/>
            <w:tcBorders>
              <w:top w:val="single" w:sz="4" w:space="0" w:color="A6A6A6"/>
              <w:bottom w:val="single" w:sz="4" w:space="0" w:color="A6A6A6"/>
            </w:tcBorders>
            <w:noWrap/>
            <w:hideMark/>
          </w:tcPr>
          <w:p w14:paraId="5261226F"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23.8</w:t>
            </w:r>
          </w:p>
        </w:tc>
        <w:tc>
          <w:tcPr>
            <w:tcW w:w="709" w:type="dxa"/>
            <w:tcBorders>
              <w:top w:val="single" w:sz="4" w:space="0" w:color="A6A6A6"/>
              <w:bottom w:val="single" w:sz="4" w:space="0" w:color="A6A6A6"/>
            </w:tcBorders>
            <w:noWrap/>
            <w:hideMark/>
          </w:tcPr>
          <w:p w14:paraId="7372EEE3"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13.5</w:t>
            </w:r>
          </w:p>
        </w:tc>
        <w:tc>
          <w:tcPr>
            <w:tcW w:w="757" w:type="dxa"/>
            <w:tcBorders>
              <w:top w:val="single" w:sz="4" w:space="0" w:color="A6A6A6"/>
              <w:bottom w:val="single" w:sz="4" w:space="0" w:color="A6A6A6"/>
            </w:tcBorders>
            <w:noWrap/>
            <w:hideMark/>
          </w:tcPr>
          <w:p w14:paraId="1B437041"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27.4</w:t>
            </w:r>
          </w:p>
        </w:tc>
        <w:tc>
          <w:tcPr>
            <w:tcW w:w="639" w:type="dxa"/>
            <w:tcBorders>
              <w:top w:val="single" w:sz="4" w:space="0" w:color="A6A6A6"/>
              <w:bottom w:val="single" w:sz="4" w:space="0" w:color="A6A6A6"/>
            </w:tcBorders>
            <w:noWrap/>
            <w:hideMark/>
          </w:tcPr>
          <w:p w14:paraId="053635C6"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5.0</w:t>
            </w:r>
          </w:p>
        </w:tc>
        <w:tc>
          <w:tcPr>
            <w:tcW w:w="708" w:type="dxa"/>
            <w:tcBorders>
              <w:top w:val="single" w:sz="4" w:space="0" w:color="A6A6A6"/>
              <w:bottom w:val="single" w:sz="4" w:space="0" w:color="A6A6A6"/>
            </w:tcBorders>
            <w:noWrap/>
            <w:hideMark/>
          </w:tcPr>
          <w:p w14:paraId="0BB99D56"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7.9</w:t>
            </w:r>
          </w:p>
        </w:tc>
        <w:tc>
          <w:tcPr>
            <w:tcW w:w="708" w:type="dxa"/>
            <w:tcBorders>
              <w:top w:val="single" w:sz="4" w:space="0" w:color="A6A6A6"/>
              <w:bottom w:val="single" w:sz="4" w:space="0" w:color="A6A6A6"/>
            </w:tcBorders>
            <w:noWrap/>
            <w:hideMark/>
          </w:tcPr>
          <w:p w14:paraId="6AD5ACC1"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4.4</w:t>
            </w:r>
          </w:p>
        </w:tc>
        <w:tc>
          <w:tcPr>
            <w:tcW w:w="749" w:type="dxa"/>
            <w:tcBorders>
              <w:top w:val="single" w:sz="4" w:space="0" w:color="A6A6A6"/>
              <w:bottom w:val="single" w:sz="4" w:space="0" w:color="A6A6A6"/>
            </w:tcBorders>
            <w:noWrap/>
            <w:hideMark/>
          </w:tcPr>
          <w:p w14:paraId="22515104"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63.9</w:t>
            </w:r>
          </w:p>
        </w:tc>
        <w:tc>
          <w:tcPr>
            <w:tcW w:w="738" w:type="dxa"/>
            <w:tcBorders>
              <w:top w:val="single" w:sz="4" w:space="0" w:color="A6A6A6"/>
              <w:bottom w:val="single" w:sz="4" w:space="0" w:color="A6A6A6"/>
            </w:tcBorders>
            <w:noWrap/>
            <w:hideMark/>
          </w:tcPr>
          <w:p w14:paraId="249DC552"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53A79D79"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60511E1F"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0.5</w:t>
            </w:r>
          </w:p>
        </w:tc>
        <w:tc>
          <w:tcPr>
            <w:tcW w:w="590" w:type="dxa"/>
            <w:tcBorders>
              <w:top w:val="single" w:sz="4" w:space="0" w:color="A6A6A6"/>
              <w:bottom w:val="single" w:sz="4" w:space="0" w:color="A6A6A6"/>
            </w:tcBorders>
            <w:noWrap/>
            <w:hideMark/>
          </w:tcPr>
          <w:p w14:paraId="22FD6C12"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7" w:type="dxa"/>
            <w:tcBorders>
              <w:top w:val="single" w:sz="4" w:space="0" w:color="A6A6A6"/>
              <w:bottom w:val="single" w:sz="4" w:space="0" w:color="A6A6A6"/>
            </w:tcBorders>
            <w:noWrap/>
            <w:hideMark/>
          </w:tcPr>
          <w:p w14:paraId="6F27BC16"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6267981E"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3B43A7F7"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4" w:type="dxa"/>
            <w:tcBorders>
              <w:top w:val="single" w:sz="4" w:space="0" w:color="A6A6A6"/>
              <w:bottom w:val="single" w:sz="4" w:space="0" w:color="A6A6A6"/>
            </w:tcBorders>
            <w:noWrap/>
            <w:hideMark/>
          </w:tcPr>
          <w:p w14:paraId="2D8F8C3E"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1,098.9</w:t>
            </w:r>
          </w:p>
        </w:tc>
      </w:tr>
      <w:tr w:rsidR="00CE75D4" w:rsidRPr="003472D7" w14:paraId="704FA65F" w14:textId="77777777" w:rsidTr="008340C1">
        <w:trPr>
          <w:trHeight w:val="170"/>
        </w:trPr>
        <w:tc>
          <w:tcPr>
            <w:tcW w:w="2303" w:type="dxa"/>
            <w:tcBorders>
              <w:top w:val="single" w:sz="4" w:space="0" w:color="A6A6A6"/>
              <w:bottom w:val="single" w:sz="4" w:space="0" w:color="A6A6A6"/>
            </w:tcBorders>
            <w:hideMark/>
          </w:tcPr>
          <w:p w14:paraId="6DC2D626" w14:textId="77777777" w:rsidR="00CE75D4" w:rsidRPr="003472D7" w:rsidRDefault="00CE75D4" w:rsidP="008340C1">
            <w:pPr>
              <w:pStyle w:val="ARfintablebody"/>
              <w:spacing w:before="10" w:after="10" w:line="228" w:lineRule="auto"/>
              <w:rPr>
                <w:sz w:val="15"/>
                <w:szCs w:val="15"/>
              </w:rPr>
            </w:pPr>
            <w:r w:rsidRPr="003472D7">
              <w:rPr>
                <w:sz w:val="15"/>
                <w:szCs w:val="15"/>
              </w:rPr>
              <w:t>Interest income</w:t>
            </w:r>
          </w:p>
        </w:tc>
        <w:tc>
          <w:tcPr>
            <w:tcW w:w="938" w:type="dxa"/>
            <w:tcBorders>
              <w:top w:val="single" w:sz="4" w:space="0" w:color="A6A6A6"/>
              <w:bottom w:val="single" w:sz="4" w:space="0" w:color="A6A6A6"/>
            </w:tcBorders>
            <w:noWrap/>
            <w:hideMark/>
          </w:tcPr>
          <w:p w14:paraId="669E5063"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7" w:type="dxa"/>
            <w:tcBorders>
              <w:top w:val="single" w:sz="4" w:space="0" w:color="A6A6A6"/>
              <w:bottom w:val="single" w:sz="4" w:space="0" w:color="A6A6A6"/>
            </w:tcBorders>
            <w:noWrap/>
            <w:hideMark/>
          </w:tcPr>
          <w:p w14:paraId="627EC50C"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8" w:type="dxa"/>
            <w:tcBorders>
              <w:top w:val="single" w:sz="4" w:space="0" w:color="A6A6A6"/>
              <w:bottom w:val="single" w:sz="4" w:space="0" w:color="A6A6A6"/>
            </w:tcBorders>
            <w:noWrap/>
            <w:hideMark/>
          </w:tcPr>
          <w:p w14:paraId="345A4A75"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9" w:type="dxa"/>
            <w:tcBorders>
              <w:top w:val="single" w:sz="4" w:space="0" w:color="A6A6A6"/>
              <w:bottom w:val="single" w:sz="4" w:space="0" w:color="A6A6A6"/>
            </w:tcBorders>
            <w:noWrap/>
            <w:hideMark/>
          </w:tcPr>
          <w:p w14:paraId="06E72FF7"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57" w:type="dxa"/>
            <w:tcBorders>
              <w:top w:val="single" w:sz="4" w:space="0" w:color="A6A6A6"/>
              <w:bottom w:val="single" w:sz="4" w:space="0" w:color="A6A6A6"/>
            </w:tcBorders>
            <w:noWrap/>
            <w:hideMark/>
          </w:tcPr>
          <w:p w14:paraId="6E27D8D1"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639" w:type="dxa"/>
            <w:tcBorders>
              <w:top w:val="single" w:sz="4" w:space="0" w:color="A6A6A6"/>
              <w:bottom w:val="single" w:sz="4" w:space="0" w:color="A6A6A6"/>
            </w:tcBorders>
            <w:noWrap/>
            <w:hideMark/>
          </w:tcPr>
          <w:p w14:paraId="09B5ABB6"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8" w:type="dxa"/>
            <w:tcBorders>
              <w:top w:val="single" w:sz="4" w:space="0" w:color="A6A6A6"/>
              <w:bottom w:val="single" w:sz="4" w:space="0" w:color="A6A6A6"/>
            </w:tcBorders>
            <w:noWrap/>
            <w:hideMark/>
          </w:tcPr>
          <w:p w14:paraId="19891A3E"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8" w:type="dxa"/>
            <w:tcBorders>
              <w:top w:val="single" w:sz="4" w:space="0" w:color="A6A6A6"/>
              <w:bottom w:val="single" w:sz="4" w:space="0" w:color="A6A6A6"/>
            </w:tcBorders>
            <w:noWrap/>
            <w:hideMark/>
          </w:tcPr>
          <w:p w14:paraId="3BC08E0C"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9" w:type="dxa"/>
            <w:tcBorders>
              <w:top w:val="single" w:sz="4" w:space="0" w:color="A6A6A6"/>
              <w:bottom w:val="single" w:sz="4" w:space="0" w:color="A6A6A6"/>
            </w:tcBorders>
            <w:noWrap/>
            <w:hideMark/>
          </w:tcPr>
          <w:p w14:paraId="65162DCF"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1EE85B08"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52F90CE9"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377119AA"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08F2727E"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7" w:type="dxa"/>
            <w:tcBorders>
              <w:top w:val="single" w:sz="4" w:space="0" w:color="A6A6A6"/>
              <w:bottom w:val="single" w:sz="4" w:space="0" w:color="A6A6A6"/>
            </w:tcBorders>
            <w:noWrap/>
            <w:hideMark/>
          </w:tcPr>
          <w:p w14:paraId="581EF62F"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2.5</w:t>
            </w:r>
          </w:p>
        </w:tc>
        <w:tc>
          <w:tcPr>
            <w:tcW w:w="738" w:type="dxa"/>
            <w:tcBorders>
              <w:top w:val="single" w:sz="4" w:space="0" w:color="A6A6A6"/>
              <w:bottom w:val="single" w:sz="4" w:space="0" w:color="A6A6A6"/>
            </w:tcBorders>
            <w:noWrap/>
            <w:hideMark/>
          </w:tcPr>
          <w:p w14:paraId="36D73B92"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7A15295A"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4" w:type="dxa"/>
            <w:tcBorders>
              <w:top w:val="single" w:sz="4" w:space="0" w:color="A6A6A6"/>
              <w:bottom w:val="single" w:sz="4" w:space="0" w:color="A6A6A6"/>
            </w:tcBorders>
            <w:noWrap/>
            <w:hideMark/>
          </w:tcPr>
          <w:p w14:paraId="18E04F51"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2.5</w:t>
            </w:r>
          </w:p>
        </w:tc>
      </w:tr>
      <w:tr w:rsidR="00CE75D4" w:rsidRPr="003472D7" w14:paraId="127C2F25" w14:textId="77777777" w:rsidTr="008340C1">
        <w:trPr>
          <w:trHeight w:val="170"/>
        </w:trPr>
        <w:tc>
          <w:tcPr>
            <w:tcW w:w="2303" w:type="dxa"/>
            <w:tcBorders>
              <w:top w:val="single" w:sz="4" w:space="0" w:color="A6A6A6"/>
              <w:bottom w:val="single" w:sz="4" w:space="0" w:color="A6A6A6"/>
            </w:tcBorders>
            <w:hideMark/>
          </w:tcPr>
          <w:p w14:paraId="3AAE8372" w14:textId="77777777" w:rsidR="00CE75D4" w:rsidRPr="003472D7" w:rsidRDefault="00CE75D4" w:rsidP="008340C1">
            <w:pPr>
              <w:pStyle w:val="ARfintablebody"/>
              <w:spacing w:before="10" w:after="10" w:line="228" w:lineRule="auto"/>
              <w:rPr>
                <w:sz w:val="15"/>
                <w:szCs w:val="15"/>
              </w:rPr>
            </w:pPr>
            <w:r w:rsidRPr="003472D7">
              <w:rPr>
                <w:sz w:val="15"/>
                <w:szCs w:val="15"/>
              </w:rPr>
              <w:t>Rental income and income from services</w:t>
            </w:r>
          </w:p>
        </w:tc>
        <w:tc>
          <w:tcPr>
            <w:tcW w:w="938" w:type="dxa"/>
            <w:tcBorders>
              <w:top w:val="single" w:sz="4" w:space="0" w:color="A6A6A6"/>
              <w:bottom w:val="single" w:sz="4" w:space="0" w:color="A6A6A6"/>
            </w:tcBorders>
            <w:noWrap/>
            <w:hideMark/>
          </w:tcPr>
          <w:p w14:paraId="53F58CB2"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7" w:type="dxa"/>
            <w:tcBorders>
              <w:top w:val="single" w:sz="4" w:space="0" w:color="A6A6A6"/>
              <w:bottom w:val="single" w:sz="4" w:space="0" w:color="A6A6A6"/>
            </w:tcBorders>
            <w:noWrap/>
            <w:hideMark/>
          </w:tcPr>
          <w:p w14:paraId="0E23722B"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8" w:type="dxa"/>
            <w:tcBorders>
              <w:top w:val="single" w:sz="4" w:space="0" w:color="A6A6A6"/>
              <w:bottom w:val="single" w:sz="4" w:space="0" w:color="A6A6A6"/>
            </w:tcBorders>
            <w:noWrap/>
            <w:hideMark/>
          </w:tcPr>
          <w:p w14:paraId="00DF8583"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9" w:type="dxa"/>
            <w:tcBorders>
              <w:top w:val="single" w:sz="4" w:space="0" w:color="A6A6A6"/>
              <w:bottom w:val="single" w:sz="4" w:space="0" w:color="A6A6A6"/>
            </w:tcBorders>
            <w:noWrap/>
            <w:hideMark/>
          </w:tcPr>
          <w:p w14:paraId="1A11944F"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57" w:type="dxa"/>
            <w:tcBorders>
              <w:top w:val="single" w:sz="4" w:space="0" w:color="A6A6A6"/>
              <w:bottom w:val="single" w:sz="4" w:space="0" w:color="A6A6A6"/>
            </w:tcBorders>
            <w:noWrap/>
            <w:hideMark/>
          </w:tcPr>
          <w:p w14:paraId="2F736A80"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639" w:type="dxa"/>
            <w:tcBorders>
              <w:top w:val="single" w:sz="4" w:space="0" w:color="A6A6A6"/>
              <w:bottom w:val="single" w:sz="4" w:space="0" w:color="A6A6A6"/>
            </w:tcBorders>
            <w:noWrap/>
            <w:hideMark/>
          </w:tcPr>
          <w:p w14:paraId="79C980A2"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8" w:type="dxa"/>
            <w:tcBorders>
              <w:top w:val="single" w:sz="4" w:space="0" w:color="A6A6A6"/>
              <w:bottom w:val="single" w:sz="4" w:space="0" w:color="A6A6A6"/>
            </w:tcBorders>
            <w:noWrap/>
            <w:hideMark/>
          </w:tcPr>
          <w:p w14:paraId="4258BE06"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8" w:type="dxa"/>
            <w:tcBorders>
              <w:top w:val="single" w:sz="4" w:space="0" w:color="A6A6A6"/>
              <w:bottom w:val="single" w:sz="4" w:space="0" w:color="A6A6A6"/>
            </w:tcBorders>
            <w:noWrap/>
            <w:hideMark/>
          </w:tcPr>
          <w:p w14:paraId="617ED54D"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9" w:type="dxa"/>
            <w:tcBorders>
              <w:top w:val="single" w:sz="4" w:space="0" w:color="A6A6A6"/>
              <w:bottom w:val="single" w:sz="4" w:space="0" w:color="A6A6A6"/>
            </w:tcBorders>
            <w:noWrap/>
            <w:hideMark/>
          </w:tcPr>
          <w:p w14:paraId="59C9E51B"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3167197F"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5B49EB10"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3DCB9B0E"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4708448C"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7" w:type="dxa"/>
            <w:tcBorders>
              <w:top w:val="single" w:sz="4" w:space="0" w:color="A6A6A6"/>
              <w:bottom w:val="single" w:sz="4" w:space="0" w:color="A6A6A6"/>
            </w:tcBorders>
            <w:noWrap/>
            <w:hideMark/>
          </w:tcPr>
          <w:p w14:paraId="233A8E3F"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477.5</w:t>
            </w:r>
          </w:p>
        </w:tc>
        <w:tc>
          <w:tcPr>
            <w:tcW w:w="738" w:type="dxa"/>
            <w:tcBorders>
              <w:top w:val="single" w:sz="4" w:space="0" w:color="A6A6A6"/>
              <w:bottom w:val="single" w:sz="4" w:space="0" w:color="A6A6A6"/>
            </w:tcBorders>
            <w:noWrap/>
            <w:hideMark/>
          </w:tcPr>
          <w:p w14:paraId="186FC322"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129DA454"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4" w:type="dxa"/>
            <w:tcBorders>
              <w:top w:val="single" w:sz="4" w:space="0" w:color="A6A6A6"/>
              <w:bottom w:val="single" w:sz="4" w:space="0" w:color="A6A6A6"/>
            </w:tcBorders>
            <w:noWrap/>
            <w:hideMark/>
          </w:tcPr>
          <w:p w14:paraId="44B5EE1A"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477.5</w:t>
            </w:r>
          </w:p>
        </w:tc>
      </w:tr>
      <w:tr w:rsidR="00CE75D4" w:rsidRPr="003472D7" w14:paraId="3EE0A893" w14:textId="77777777" w:rsidTr="008340C1">
        <w:trPr>
          <w:trHeight w:val="170"/>
        </w:trPr>
        <w:tc>
          <w:tcPr>
            <w:tcW w:w="2303" w:type="dxa"/>
            <w:tcBorders>
              <w:top w:val="single" w:sz="4" w:space="0" w:color="A6A6A6"/>
              <w:bottom w:val="single" w:sz="4" w:space="0" w:color="A6A6A6"/>
            </w:tcBorders>
            <w:hideMark/>
          </w:tcPr>
          <w:p w14:paraId="41294DCC" w14:textId="77777777" w:rsidR="00CE75D4" w:rsidRPr="003472D7" w:rsidRDefault="00CE75D4" w:rsidP="008340C1">
            <w:pPr>
              <w:pStyle w:val="ARfintablebody"/>
              <w:spacing w:before="10" w:after="10" w:line="228" w:lineRule="auto"/>
              <w:rPr>
                <w:sz w:val="15"/>
                <w:szCs w:val="15"/>
              </w:rPr>
            </w:pPr>
            <w:r w:rsidRPr="003472D7">
              <w:rPr>
                <w:sz w:val="15"/>
                <w:szCs w:val="15"/>
              </w:rPr>
              <w:t>Grants</w:t>
            </w:r>
          </w:p>
        </w:tc>
        <w:tc>
          <w:tcPr>
            <w:tcW w:w="938" w:type="dxa"/>
            <w:tcBorders>
              <w:top w:val="single" w:sz="4" w:space="0" w:color="A6A6A6"/>
              <w:bottom w:val="single" w:sz="4" w:space="0" w:color="A6A6A6"/>
            </w:tcBorders>
            <w:noWrap/>
            <w:hideMark/>
          </w:tcPr>
          <w:p w14:paraId="689A5D27"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1,707.1</w:t>
            </w:r>
          </w:p>
        </w:tc>
        <w:tc>
          <w:tcPr>
            <w:tcW w:w="737" w:type="dxa"/>
            <w:tcBorders>
              <w:top w:val="single" w:sz="4" w:space="0" w:color="A6A6A6"/>
              <w:bottom w:val="single" w:sz="4" w:space="0" w:color="A6A6A6"/>
            </w:tcBorders>
            <w:noWrap/>
            <w:hideMark/>
          </w:tcPr>
          <w:p w14:paraId="04F49D67"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8" w:type="dxa"/>
            <w:tcBorders>
              <w:top w:val="single" w:sz="4" w:space="0" w:color="A6A6A6"/>
              <w:bottom w:val="single" w:sz="4" w:space="0" w:color="A6A6A6"/>
            </w:tcBorders>
            <w:noWrap/>
            <w:hideMark/>
          </w:tcPr>
          <w:p w14:paraId="3747320A"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453.5</w:t>
            </w:r>
          </w:p>
        </w:tc>
        <w:tc>
          <w:tcPr>
            <w:tcW w:w="709" w:type="dxa"/>
            <w:tcBorders>
              <w:top w:val="single" w:sz="4" w:space="0" w:color="A6A6A6"/>
              <w:bottom w:val="single" w:sz="4" w:space="0" w:color="A6A6A6"/>
            </w:tcBorders>
            <w:noWrap/>
            <w:hideMark/>
          </w:tcPr>
          <w:p w14:paraId="41577742"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57" w:type="dxa"/>
            <w:tcBorders>
              <w:top w:val="single" w:sz="4" w:space="0" w:color="A6A6A6"/>
              <w:bottom w:val="single" w:sz="4" w:space="0" w:color="A6A6A6"/>
            </w:tcBorders>
            <w:noWrap/>
            <w:hideMark/>
          </w:tcPr>
          <w:p w14:paraId="5386FFB5"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4.0</w:t>
            </w:r>
          </w:p>
        </w:tc>
        <w:tc>
          <w:tcPr>
            <w:tcW w:w="639" w:type="dxa"/>
            <w:tcBorders>
              <w:top w:val="single" w:sz="4" w:space="0" w:color="A6A6A6"/>
              <w:bottom w:val="single" w:sz="4" w:space="0" w:color="A6A6A6"/>
            </w:tcBorders>
            <w:noWrap/>
            <w:hideMark/>
          </w:tcPr>
          <w:p w14:paraId="7D0CAFB2"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131.4</w:t>
            </w:r>
          </w:p>
        </w:tc>
        <w:tc>
          <w:tcPr>
            <w:tcW w:w="708" w:type="dxa"/>
            <w:tcBorders>
              <w:top w:val="single" w:sz="4" w:space="0" w:color="A6A6A6"/>
              <w:bottom w:val="single" w:sz="4" w:space="0" w:color="A6A6A6"/>
            </w:tcBorders>
            <w:noWrap/>
            <w:hideMark/>
          </w:tcPr>
          <w:p w14:paraId="6ABD43E9"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78.8</w:t>
            </w:r>
          </w:p>
        </w:tc>
        <w:tc>
          <w:tcPr>
            <w:tcW w:w="708" w:type="dxa"/>
            <w:tcBorders>
              <w:top w:val="single" w:sz="4" w:space="0" w:color="A6A6A6"/>
              <w:bottom w:val="single" w:sz="4" w:space="0" w:color="A6A6A6"/>
            </w:tcBorders>
            <w:noWrap/>
            <w:hideMark/>
          </w:tcPr>
          <w:p w14:paraId="79E33269"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103.1</w:t>
            </w:r>
          </w:p>
        </w:tc>
        <w:tc>
          <w:tcPr>
            <w:tcW w:w="749" w:type="dxa"/>
            <w:tcBorders>
              <w:top w:val="single" w:sz="4" w:space="0" w:color="A6A6A6"/>
              <w:bottom w:val="single" w:sz="4" w:space="0" w:color="A6A6A6"/>
            </w:tcBorders>
            <w:noWrap/>
            <w:hideMark/>
          </w:tcPr>
          <w:p w14:paraId="1C11CE26"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10.4</w:t>
            </w:r>
          </w:p>
        </w:tc>
        <w:tc>
          <w:tcPr>
            <w:tcW w:w="738" w:type="dxa"/>
            <w:tcBorders>
              <w:top w:val="single" w:sz="4" w:space="0" w:color="A6A6A6"/>
              <w:bottom w:val="single" w:sz="4" w:space="0" w:color="A6A6A6"/>
            </w:tcBorders>
            <w:noWrap/>
            <w:hideMark/>
          </w:tcPr>
          <w:p w14:paraId="721E3FC6"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12.8</w:t>
            </w:r>
          </w:p>
        </w:tc>
        <w:tc>
          <w:tcPr>
            <w:tcW w:w="738" w:type="dxa"/>
            <w:tcBorders>
              <w:top w:val="single" w:sz="4" w:space="0" w:color="A6A6A6"/>
              <w:bottom w:val="single" w:sz="4" w:space="0" w:color="A6A6A6"/>
            </w:tcBorders>
            <w:noWrap/>
            <w:hideMark/>
          </w:tcPr>
          <w:p w14:paraId="0D818312"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3C8E11D8"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10.4</w:t>
            </w:r>
          </w:p>
        </w:tc>
        <w:tc>
          <w:tcPr>
            <w:tcW w:w="590" w:type="dxa"/>
            <w:tcBorders>
              <w:top w:val="single" w:sz="4" w:space="0" w:color="A6A6A6"/>
              <w:bottom w:val="single" w:sz="4" w:space="0" w:color="A6A6A6"/>
            </w:tcBorders>
            <w:noWrap/>
            <w:hideMark/>
          </w:tcPr>
          <w:p w14:paraId="314F702C"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1.0</w:t>
            </w:r>
          </w:p>
        </w:tc>
        <w:tc>
          <w:tcPr>
            <w:tcW w:w="737" w:type="dxa"/>
            <w:tcBorders>
              <w:top w:val="single" w:sz="4" w:space="0" w:color="A6A6A6"/>
              <w:bottom w:val="single" w:sz="4" w:space="0" w:color="A6A6A6"/>
            </w:tcBorders>
            <w:noWrap/>
            <w:hideMark/>
          </w:tcPr>
          <w:p w14:paraId="4F8F269E"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53.8</w:t>
            </w:r>
          </w:p>
        </w:tc>
        <w:tc>
          <w:tcPr>
            <w:tcW w:w="738" w:type="dxa"/>
            <w:tcBorders>
              <w:top w:val="single" w:sz="4" w:space="0" w:color="A6A6A6"/>
              <w:bottom w:val="single" w:sz="4" w:space="0" w:color="A6A6A6"/>
            </w:tcBorders>
            <w:noWrap/>
            <w:hideMark/>
          </w:tcPr>
          <w:p w14:paraId="41C9650C"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1.8</w:t>
            </w:r>
          </w:p>
        </w:tc>
        <w:tc>
          <w:tcPr>
            <w:tcW w:w="590" w:type="dxa"/>
            <w:tcBorders>
              <w:top w:val="single" w:sz="4" w:space="0" w:color="A6A6A6"/>
              <w:bottom w:val="single" w:sz="4" w:space="0" w:color="A6A6A6"/>
            </w:tcBorders>
            <w:noWrap/>
            <w:hideMark/>
          </w:tcPr>
          <w:p w14:paraId="66365B8B"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(18.9)</w:t>
            </w:r>
          </w:p>
        </w:tc>
        <w:tc>
          <w:tcPr>
            <w:tcW w:w="744" w:type="dxa"/>
            <w:tcBorders>
              <w:top w:val="single" w:sz="4" w:space="0" w:color="A6A6A6"/>
              <w:bottom w:val="single" w:sz="4" w:space="0" w:color="A6A6A6"/>
            </w:tcBorders>
            <w:noWrap/>
            <w:hideMark/>
          </w:tcPr>
          <w:p w14:paraId="4E62C9B3"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2,549.2</w:t>
            </w:r>
          </w:p>
        </w:tc>
      </w:tr>
      <w:tr w:rsidR="00CE75D4" w:rsidRPr="003472D7" w14:paraId="358278A0" w14:textId="77777777" w:rsidTr="008340C1">
        <w:trPr>
          <w:trHeight w:val="170"/>
        </w:trPr>
        <w:tc>
          <w:tcPr>
            <w:tcW w:w="2303" w:type="dxa"/>
            <w:tcBorders>
              <w:top w:val="single" w:sz="4" w:space="0" w:color="A6A6A6"/>
              <w:bottom w:val="single" w:sz="4" w:space="0" w:color="A6A6A6"/>
            </w:tcBorders>
            <w:hideMark/>
          </w:tcPr>
          <w:p w14:paraId="4BAFF35B" w14:textId="77777777" w:rsidR="00CE75D4" w:rsidRPr="003472D7" w:rsidRDefault="00CE75D4" w:rsidP="008340C1">
            <w:pPr>
              <w:pStyle w:val="ARfintablebody"/>
              <w:spacing w:before="10" w:after="10" w:line="228" w:lineRule="auto"/>
              <w:rPr>
                <w:sz w:val="15"/>
                <w:szCs w:val="15"/>
              </w:rPr>
            </w:pPr>
            <w:r w:rsidRPr="003472D7">
              <w:rPr>
                <w:sz w:val="15"/>
                <w:szCs w:val="15"/>
              </w:rPr>
              <w:t>Fair value of assets and services received free of charge or for nominal consideration</w:t>
            </w:r>
          </w:p>
        </w:tc>
        <w:tc>
          <w:tcPr>
            <w:tcW w:w="938" w:type="dxa"/>
            <w:tcBorders>
              <w:top w:val="single" w:sz="4" w:space="0" w:color="A6A6A6"/>
              <w:bottom w:val="single" w:sz="4" w:space="0" w:color="A6A6A6"/>
            </w:tcBorders>
            <w:noWrap/>
            <w:hideMark/>
          </w:tcPr>
          <w:p w14:paraId="3817CFBD"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7" w:type="dxa"/>
            <w:tcBorders>
              <w:top w:val="single" w:sz="4" w:space="0" w:color="A6A6A6"/>
              <w:bottom w:val="single" w:sz="4" w:space="0" w:color="A6A6A6"/>
            </w:tcBorders>
            <w:noWrap/>
            <w:hideMark/>
          </w:tcPr>
          <w:p w14:paraId="04894BCC"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8" w:type="dxa"/>
            <w:tcBorders>
              <w:top w:val="single" w:sz="4" w:space="0" w:color="A6A6A6"/>
              <w:bottom w:val="single" w:sz="4" w:space="0" w:color="A6A6A6"/>
            </w:tcBorders>
            <w:noWrap/>
            <w:hideMark/>
          </w:tcPr>
          <w:p w14:paraId="222D8530"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9" w:type="dxa"/>
            <w:tcBorders>
              <w:top w:val="single" w:sz="4" w:space="0" w:color="A6A6A6"/>
              <w:bottom w:val="single" w:sz="4" w:space="0" w:color="A6A6A6"/>
            </w:tcBorders>
            <w:noWrap/>
            <w:hideMark/>
          </w:tcPr>
          <w:p w14:paraId="475B3F21"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57" w:type="dxa"/>
            <w:tcBorders>
              <w:top w:val="single" w:sz="4" w:space="0" w:color="A6A6A6"/>
              <w:bottom w:val="single" w:sz="4" w:space="0" w:color="A6A6A6"/>
            </w:tcBorders>
            <w:noWrap/>
            <w:hideMark/>
          </w:tcPr>
          <w:p w14:paraId="1291B3C7"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639" w:type="dxa"/>
            <w:tcBorders>
              <w:top w:val="single" w:sz="4" w:space="0" w:color="A6A6A6"/>
              <w:bottom w:val="single" w:sz="4" w:space="0" w:color="A6A6A6"/>
            </w:tcBorders>
            <w:noWrap/>
            <w:hideMark/>
          </w:tcPr>
          <w:p w14:paraId="7AAA8426"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8" w:type="dxa"/>
            <w:tcBorders>
              <w:top w:val="single" w:sz="4" w:space="0" w:color="A6A6A6"/>
              <w:bottom w:val="single" w:sz="4" w:space="0" w:color="A6A6A6"/>
            </w:tcBorders>
            <w:noWrap/>
            <w:hideMark/>
          </w:tcPr>
          <w:p w14:paraId="7A9CA21C"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1.5</w:t>
            </w:r>
          </w:p>
        </w:tc>
        <w:tc>
          <w:tcPr>
            <w:tcW w:w="708" w:type="dxa"/>
            <w:tcBorders>
              <w:top w:val="single" w:sz="4" w:space="0" w:color="A6A6A6"/>
              <w:bottom w:val="single" w:sz="4" w:space="0" w:color="A6A6A6"/>
            </w:tcBorders>
            <w:noWrap/>
            <w:hideMark/>
          </w:tcPr>
          <w:p w14:paraId="6603F332"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9" w:type="dxa"/>
            <w:tcBorders>
              <w:top w:val="single" w:sz="4" w:space="0" w:color="A6A6A6"/>
              <w:bottom w:val="single" w:sz="4" w:space="0" w:color="A6A6A6"/>
            </w:tcBorders>
            <w:noWrap/>
            <w:hideMark/>
          </w:tcPr>
          <w:p w14:paraId="4095BC13"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0.7</w:t>
            </w:r>
          </w:p>
        </w:tc>
        <w:tc>
          <w:tcPr>
            <w:tcW w:w="738" w:type="dxa"/>
            <w:tcBorders>
              <w:top w:val="single" w:sz="4" w:space="0" w:color="A6A6A6"/>
              <w:bottom w:val="single" w:sz="4" w:space="0" w:color="A6A6A6"/>
            </w:tcBorders>
            <w:noWrap/>
            <w:hideMark/>
          </w:tcPr>
          <w:p w14:paraId="4B5D08DB"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4B299F3C"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16CEAD4C"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11DAF0B0"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7" w:type="dxa"/>
            <w:tcBorders>
              <w:top w:val="single" w:sz="4" w:space="0" w:color="A6A6A6"/>
              <w:bottom w:val="single" w:sz="4" w:space="0" w:color="A6A6A6"/>
            </w:tcBorders>
            <w:noWrap/>
            <w:hideMark/>
          </w:tcPr>
          <w:p w14:paraId="17504CA2"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0.3</w:t>
            </w:r>
          </w:p>
        </w:tc>
        <w:tc>
          <w:tcPr>
            <w:tcW w:w="738" w:type="dxa"/>
            <w:tcBorders>
              <w:top w:val="single" w:sz="4" w:space="0" w:color="A6A6A6"/>
              <w:bottom w:val="single" w:sz="4" w:space="0" w:color="A6A6A6"/>
            </w:tcBorders>
            <w:noWrap/>
            <w:hideMark/>
          </w:tcPr>
          <w:p w14:paraId="7E989B45"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3F899DA7"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(2.0)</w:t>
            </w:r>
          </w:p>
        </w:tc>
        <w:tc>
          <w:tcPr>
            <w:tcW w:w="744" w:type="dxa"/>
            <w:tcBorders>
              <w:top w:val="single" w:sz="4" w:space="0" w:color="A6A6A6"/>
              <w:bottom w:val="single" w:sz="4" w:space="0" w:color="A6A6A6"/>
            </w:tcBorders>
            <w:noWrap/>
            <w:hideMark/>
          </w:tcPr>
          <w:p w14:paraId="1D71E59D"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0.6</w:t>
            </w:r>
          </w:p>
        </w:tc>
      </w:tr>
      <w:tr w:rsidR="00CE75D4" w:rsidRPr="003472D7" w14:paraId="7EEFD663" w14:textId="77777777" w:rsidTr="008340C1">
        <w:trPr>
          <w:trHeight w:val="170"/>
        </w:trPr>
        <w:tc>
          <w:tcPr>
            <w:tcW w:w="2303" w:type="dxa"/>
            <w:tcBorders>
              <w:top w:val="single" w:sz="4" w:space="0" w:color="A6A6A6"/>
            </w:tcBorders>
            <w:hideMark/>
          </w:tcPr>
          <w:p w14:paraId="695A5BA1" w14:textId="77777777" w:rsidR="00CE75D4" w:rsidRPr="003472D7" w:rsidRDefault="00CE75D4" w:rsidP="008340C1">
            <w:pPr>
              <w:pStyle w:val="ARfintablebody"/>
              <w:spacing w:before="10" w:after="10" w:line="228" w:lineRule="auto"/>
              <w:rPr>
                <w:sz w:val="15"/>
                <w:szCs w:val="15"/>
              </w:rPr>
            </w:pPr>
            <w:r w:rsidRPr="003472D7">
              <w:rPr>
                <w:sz w:val="15"/>
                <w:szCs w:val="15"/>
              </w:rPr>
              <w:t>Other income</w:t>
            </w:r>
          </w:p>
        </w:tc>
        <w:tc>
          <w:tcPr>
            <w:tcW w:w="938" w:type="dxa"/>
            <w:tcBorders>
              <w:top w:val="single" w:sz="4" w:space="0" w:color="A6A6A6"/>
            </w:tcBorders>
            <w:noWrap/>
            <w:hideMark/>
          </w:tcPr>
          <w:p w14:paraId="4A7A1098"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7.7</w:t>
            </w:r>
          </w:p>
        </w:tc>
        <w:tc>
          <w:tcPr>
            <w:tcW w:w="737" w:type="dxa"/>
            <w:tcBorders>
              <w:top w:val="single" w:sz="4" w:space="0" w:color="A6A6A6"/>
            </w:tcBorders>
            <w:noWrap/>
            <w:hideMark/>
          </w:tcPr>
          <w:p w14:paraId="47DB80A5"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8" w:type="dxa"/>
            <w:tcBorders>
              <w:top w:val="single" w:sz="4" w:space="0" w:color="A6A6A6"/>
            </w:tcBorders>
            <w:noWrap/>
            <w:hideMark/>
          </w:tcPr>
          <w:p w14:paraId="4AE30339"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3.5</w:t>
            </w:r>
          </w:p>
        </w:tc>
        <w:tc>
          <w:tcPr>
            <w:tcW w:w="709" w:type="dxa"/>
            <w:tcBorders>
              <w:top w:val="single" w:sz="4" w:space="0" w:color="A6A6A6"/>
            </w:tcBorders>
            <w:noWrap/>
            <w:hideMark/>
          </w:tcPr>
          <w:p w14:paraId="01FF6DEA"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0.7</w:t>
            </w:r>
          </w:p>
        </w:tc>
        <w:tc>
          <w:tcPr>
            <w:tcW w:w="757" w:type="dxa"/>
            <w:tcBorders>
              <w:top w:val="single" w:sz="4" w:space="0" w:color="A6A6A6"/>
            </w:tcBorders>
            <w:noWrap/>
            <w:hideMark/>
          </w:tcPr>
          <w:p w14:paraId="3F285312"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639" w:type="dxa"/>
            <w:tcBorders>
              <w:top w:val="single" w:sz="4" w:space="0" w:color="A6A6A6"/>
            </w:tcBorders>
            <w:noWrap/>
            <w:hideMark/>
          </w:tcPr>
          <w:p w14:paraId="0907A1B3"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(0.3)</w:t>
            </w:r>
          </w:p>
        </w:tc>
        <w:tc>
          <w:tcPr>
            <w:tcW w:w="708" w:type="dxa"/>
            <w:tcBorders>
              <w:top w:val="single" w:sz="4" w:space="0" w:color="A6A6A6"/>
            </w:tcBorders>
            <w:noWrap/>
            <w:hideMark/>
          </w:tcPr>
          <w:p w14:paraId="04D31770"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2.6</w:t>
            </w:r>
          </w:p>
        </w:tc>
        <w:tc>
          <w:tcPr>
            <w:tcW w:w="708" w:type="dxa"/>
            <w:tcBorders>
              <w:top w:val="single" w:sz="4" w:space="0" w:color="A6A6A6"/>
            </w:tcBorders>
            <w:noWrap/>
            <w:hideMark/>
          </w:tcPr>
          <w:p w14:paraId="3136DB23"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9" w:type="dxa"/>
            <w:tcBorders>
              <w:top w:val="single" w:sz="4" w:space="0" w:color="A6A6A6"/>
            </w:tcBorders>
            <w:noWrap/>
            <w:hideMark/>
          </w:tcPr>
          <w:p w14:paraId="20819114"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0.3</w:t>
            </w:r>
          </w:p>
        </w:tc>
        <w:tc>
          <w:tcPr>
            <w:tcW w:w="738" w:type="dxa"/>
            <w:tcBorders>
              <w:top w:val="single" w:sz="4" w:space="0" w:color="A6A6A6"/>
            </w:tcBorders>
            <w:noWrap/>
            <w:hideMark/>
          </w:tcPr>
          <w:p w14:paraId="25A76B0F"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tcBorders>
            <w:noWrap/>
            <w:hideMark/>
          </w:tcPr>
          <w:p w14:paraId="22C2DA2B"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0.2</w:t>
            </w:r>
          </w:p>
        </w:tc>
        <w:tc>
          <w:tcPr>
            <w:tcW w:w="738" w:type="dxa"/>
            <w:tcBorders>
              <w:top w:val="single" w:sz="4" w:space="0" w:color="A6A6A6"/>
            </w:tcBorders>
            <w:noWrap/>
            <w:hideMark/>
          </w:tcPr>
          <w:p w14:paraId="2838748C"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0.6</w:t>
            </w:r>
          </w:p>
        </w:tc>
        <w:tc>
          <w:tcPr>
            <w:tcW w:w="590" w:type="dxa"/>
            <w:tcBorders>
              <w:top w:val="single" w:sz="4" w:space="0" w:color="A6A6A6"/>
            </w:tcBorders>
            <w:noWrap/>
            <w:hideMark/>
          </w:tcPr>
          <w:p w14:paraId="18DBD8EE"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7" w:type="dxa"/>
            <w:tcBorders>
              <w:top w:val="single" w:sz="4" w:space="0" w:color="A6A6A6"/>
            </w:tcBorders>
            <w:noWrap/>
            <w:hideMark/>
          </w:tcPr>
          <w:p w14:paraId="451DF389"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3.9</w:t>
            </w:r>
          </w:p>
        </w:tc>
        <w:tc>
          <w:tcPr>
            <w:tcW w:w="738" w:type="dxa"/>
            <w:tcBorders>
              <w:top w:val="single" w:sz="4" w:space="0" w:color="A6A6A6"/>
            </w:tcBorders>
            <w:noWrap/>
            <w:hideMark/>
          </w:tcPr>
          <w:p w14:paraId="291496C7"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75.5</w:t>
            </w:r>
          </w:p>
        </w:tc>
        <w:tc>
          <w:tcPr>
            <w:tcW w:w="590" w:type="dxa"/>
            <w:tcBorders>
              <w:top w:val="single" w:sz="4" w:space="0" w:color="A6A6A6"/>
            </w:tcBorders>
            <w:noWrap/>
            <w:hideMark/>
          </w:tcPr>
          <w:p w14:paraId="15E91920"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(76.4)</w:t>
            </w:r>
          </w:p>
        </w:tc>
        <w:tc>
          <w:tcPr>
            <w:tcW w:w="744" w:type="dxa"/>
            <w:tcBorders>
              <w:top w:val="single" w:sz="4" w:space="0" w:color="A6A6A6"/>
            </w:tcBorders>
            <w:noWrap/>
            <w:hideMark/>
          </w:tcPr>
          <w:p w14:paraId="2A75A962"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18.3</w:t>
            </w:r>
          </w:p>
        </w:tc>
      </w:tr>
      <w:tr w:rsidR="00CE75D4" w:rsidRPr="003472D7" w14:paraId="46F95AF1" w14:textId="77777777" w:rsidTr="008340C1">
        <w:trPr>
          <w:trHeight w:val="170"/>
        </w:trPr>
        <w:tc>
          <w:tcPr>
            <w:tcW w:w="2303" w:type="dxa"/>
            <w:tcBorders>
              <w:bottom w:val="single" w:sz="4" w:space="0" w:color="auto"/>
            </w:tcBorders>
            <w:hideMark/>
          </w:tcPr>
          <w:p w14:paraId="5200803C" w14:textId="77777777" w:rsidR="00CE75D4" w:rsidRPr="003472D7" w:rsidRDefault="00CE75D4" w:rsidP="008340C1">
            <w:pPr>
              <w:pStyle w:val="ARfintablebodybold"/>
              <w:spacing w:before="10" w:after="10" w:line="228" w:lineRule="auto"/>
              <w:rPr>
                <w:rFonts w:cs="Arial"/>
                <w:sz w:val="15"/>
                <w:szCs w:val="15"/>
              </w:rPr>
            </w:pPr>
            <w:r w:rsidRPr="003472D7">
              <w:rPr>
                <w:rFonts w:cs="Arial"/>
                <w:sz w:val="15"/>
                <w:szCs w:val="15"/>
              </w:rPr>
              <w:t>Total revenue and income from transactions</w:t>
            </w:r>
          </w:p>
        </w:tc>
        <w:tc>
          <w:tcPr>
            <w:tcW w:w="938" w:type="dxa"/>
            <w:tcBorders>
              <w:bottom w:val="single" w:sz="4" w:space="0" w:color="auto"/>
            </w:tcBorders>
            <w:noWrap/>
            <w:hideMark/>
          </w:tcPr>
          <w:p w14:paraId="784469C4"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12,257.2</w:t>
            </w:r>
          </w:p>
        </w:tc>
        <w:tc>
          <w:tcPr>
            <w:tcW w:w="737" w:type="dxa"/>
            <w:tcBorders>
              <w:bottom w:val="single" w:sz="4" w:space="0" w:color="auto"/>
            </w:tcBorders>
            <w:noWrap/>
            <w:hideMark/>
          </w:tcPr>
          <w:p w14:paraId="739A7A96"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902.0</w:t>
            </w:r>
          </w:p>
        </w:tc>
        <w:tc>
          <w:tcPr>
            <w:tcW w:w="598" w:type="dxa"/>
            <w:tcBorders>
              <w:bottom w:val="single" w:sz="4" w:space="0" w:color="auto"/>
            </w:tcBorders>
            <w:noWrap/>
            <w:hideMark/>
          </w:tcPr>
          <w:p w14:paraId="085DCC66"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1,705.7</w:t>
            </w:r>
          </w:p>
        </w:tc>
        <w:tc>
          <w:tcPr>
            <w:tcW w:w="709" w:type="dxa"/>
            <w:tcBorders>
              <w:bottom w:val="single" w:sz="4" w:space="0" w:color="auto"/>
            </w:tcBorders>
            <w:noWrap/>
            <w:hideMark/>
          </w:tcPr>
          <w:p w14:paraId="11771AEE"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572.6</w:t>
            </w:r>
          </w:p>
        </w:tc>
        <w:tc>
          <w:tcPr>
            <w:tcW w:w="757" w:type="dxa"/>
            <w:tcBorders>
              <w:bottom w:val="single" w:sz="4" w:space="0" w:color="auto"/>
            </w:tcBorders>
            <w:noWrap/>
            <w:hideMark/>
          </w:tcPr>
          <w:p w14:paraId="2150E6F1"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741.2</w:t>
            </w:r>
          </w:p>
        </w:tc>
        <w:tc>
          <w:tcPr>
            <w:tcW w:w="639" w:type="dxa"/>
            <w:tcBorders>
              <w:bottom w:val="single" w:sz="4" w:space="0" w:color="auto"/>
            </w:tcBorders>
            <w:noWrap/>
            <w:hideMark/>
          </w:tcPr>
          <w:p w14:paraId="37B87428"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492.2</w:t>
            </w:r>
          </w:p>
        </w:tc>
        <w:tc>
          <w:tcPr>
            <w:tcW w:w="708" w:type="dxa"/>
            <w:tcBorders>
              <w:bottom w:val="single" w:sz="4" w:space="0" w:color="auto"/>
            </w:tcBorders>
            <w:noWrap/>
            <w:hideMark/>
          </w:tcPr>
          <w:p w14:paraId="3A4CFCBF"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1,454.4</w:t>
            </w:r>
          </w:p>
        </w:tc>
        <w:tc>
          <w:tcPr>
            <w:tcW w:w="708" w:type="dxa"/>
            <w:tcBorders>
              <w:bottom w:val="single" w:sz="4" w:space="0" w:color="auto"/>
            </w:tcBorders>
            <w:noWrap/>
            <w:hideMark/>
          </w:tcPr>
          <w:p w14:paraId="3688F98A"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305.9</w:t>
            </w:r>
          </w:p>
        </w:tc>
        <w:tc>
          <w:tcPr>
            <w:tcW w:w="749" w:type="dxa"/>
            <w:tcBorders>
              <w:bottom w:val="single" w:sz="4" w:space="0" w:color="auto"/>
            </w:tcBorders>
            <w:noWrap/>
            <w:hideMark/>
          </w:tcPr>
          <w:p w14:paraId="3FD9E7EB"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2,225.4</w:t>
            </w:r>
          </w:p>
        </w:tc>
        <w:tc>
          <w:tcPr>
            <w:tcW w:w="738" w:type="dxa"/>
            <w:tcBorders>
              <w:bottom w:val="single" w:sz="4" w:space="0" w:color="auto"/>
            </w:tcBorders>
            <w:noWrap/>
            <w:hideMark/>
          </w:tcPr>
          <w:p w14:paraId="25A2F279"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1,720.8</w:t>
            </w:r>
          </w:p>
        </w:tc>
        <w:tc>
          <w:tcPr>
            <w:tcW w:w="738" w:type="dxa"/>
            <w:tcBorders>
              <w:bottom w:val="single" w:sz="4" w:space="0" w:color="auto"/>
            </w:tcBorders>
            <w:noWrap/>
            <w:hideMark/>
          </w:tcPr>
          <w:p w14:paraId="773CC619"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820.4</w:t>
            </w:r>
          </w:p>
        </w:tc>
        <w:tc>
          <w:tcPr>
            <w:tcW w:w="738" w:type="dxa"/>
            <w:tcBorders>
              <w:bottom w:val="single" w:sz="4" w:space="0" w:color="auto"/>
            </w:tcBorders>
            <w:noWrap/>
            <w:hideMark/>
          </w:tcPr>
          <w:p w14:paraId="7188AB7C"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301.7</w:t>
            </w:r>
          </w:p>
        </w:tc>
        <w:tc>
          <w:tcPr>
            <w:tcW w:w="590" w:type="dxa"/>
            <w:tcBorders>
              <w:bottom w:val="single" w:sz="4" w:space="0" w:color="auto"/>
            </w:tcBorders>
            <w:noWrap/>
            <w:hideMark/>
          </w:tcPr>
          <w:p w14:paraId="23279E5F"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346.9</w:t>
            </w:r>
          </w:p>
        </w:tc>
        <w:tc>
          <w:tcPr>
            <w:tcW w:w="737" w:type="dxa"/>
            <w:tcBorders>
              <w:bottom w:val="single" w:sz="4" w:space="0" w:color="auto"/>
            </w:tcBorders>
            <w:noWrap/>
            <w:hideMark/>
          </w:tcPr>
          <w:p w14:paraId="41F372C3"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1,871.9</w:t>
            </w:r>
          </w:p>
        </w:tc>
        <w:tc>
          <w:tcPr>
            <w:tcW w:w="738" w:type="dxa"/>
            <w:tcBorders>
              <w:bottom w:val="single" w:sz="4" w:space="0" w:color="auto"/>
            </w:tcBorders>
            <w:noWrap/>
            <w:hideMark/>
          </w:tcPr>
          <w:p w14:paraId="33866AEC"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77.3</w:t>
            </w:r>
          </w:p>
        </w:tc>
        <w:tc>
          <w:tcPr>
            <w:tcW w:w="590" w:type="dxa"/>
            <w:tcBorders>
              <w:bottom w:val="single" w:sz="4" w:space="0" w:color="auto"/>
            </w:tcBorders>
            <w:noWrap/>
            <w:hideMark/>
          </w:tcPr>
          <w:p w14:paraId="46C0AF88"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(97.3)</w:t>
            </w:r>
          </w:p>
        </w:tc>
        <w:tc>
          <w:tcPr>
            <w:tcW w:w="744" w:type="dxa"/>
            <w:tcBorders>
              <w:bottom w:val="single" w:sz="4" w:space="0" w:color="auto"/>
            </w:tcBorders>
            <w:noWrap/>
            <w:hideMark/>
          </w:tcPr>
          <w:p w14:paraId="691ADF67"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25,698.4</w:t>
            </w:r>
          </w:p>
        </w:tc>
      </w:tr>
      <w:tr w:rsidR="00CE75D4" w:rsidRPr="003472D7" w14:paraId="3A053944" w14:textId="77777777" w:rsidTr="008340C1">
        <w:trPr>
          <w:trHeight w:val="170"/>
        </w:trPr>
        <w:tc>
          <w:tcPr>
            <w:tcW w:w="14459" w:type="dxa"/>
            <w:gridSpan w:val="18"/>
            <w:tcBorders>
              <w:top w:val="single" w:sz="4" w:space="0" w:color="auto"/>
              <w:bottom w:val="single" w:sz="4" w:space="0" w:color="A6A6A6"/>
            </w:tcBorders>
            <w:hideMark/>
          </w:tcPr>
          <w:p w14:paraId="6722B84C" w14:textId="77777777" w:rsidR="00CE75D4" w:rsidRPr="003472D7" w:rsidRDefault="00CE75D4" w:rsidP="008340C1">
            <w:pPr>
              <w:pStyle w:val="ARfintablebodybold"/>
              <w:spacing w:before="10" w:after="10" w:line="228" w:lineRule="auto"/>
              <w:ind w:right="0"/>
              <w:rPr>
                <w:rFonts w:cs="Arial"/>
                <w:sz w:val="15"/>
                <w:szCs w:val="15"/>
              </w:rPr>
            </w:pPr>
            <w:r w:rsidRPr="003472D7">
              <w:rPr>
                <w:rFonts w:cs="Arial"/>
                <w:sz w:val="15"/>
                <w:szCs w:val="15"/>
              </w:rPr>
              <w:t>Expenses from transactions</w:t>
            </w:r>
          </w:p>
        </w:tc>
      </w:tr>
      <w:tr w:rsidR="00CE75D4" w:rsidRPr="003472D7" w14:paraId="689AEC04" w14:textId="77777777" w:rsidTr="008340C1">
        <w:trPr>
          <w:trHeight w:val="170"/>
        </w:trPr>
        <w:tc>
          <w:tcPr>
            <w:tcW w:w="2303" w:type="dxa"/>
            <w:tcBorders>
              <w:top w:val="single" w:sz="4" w:space="0" w:color="A6A6A6"/>
              <w:bottom w:val="single" w:sz="4" w:space="0" w:color="A6A6A6"/>
            </w:tcBorders>
            <w:hideMark/>
          </w:tcPr>
          <w:p w14:paraId="7572B0A1" w14:textId="77777777" w:rsidR="00CE75D4" w:rsidRPr="003472D7" w:rsidRDefault="00CE75D4" w:rsidP="008340C1">
            <w:pPr>
              <w:pStyle w:val="ARfintablebody"/>
              <w:spacing w:before="10" w:after="10" w:line="228" w:lineRule="auto"/>
              <w:rPr>
                <w:sz w:val="15"/>
                <w:szCs w:val="15"/>
              </w:rPr>
            </w:pPr>
            <w:r w:rsidRPr="003472D7">
              <w:rPr>
                <w:sz w:val="15"/>
                <w:szCs w:val="15"/>
              </w:rPr>
              <w:t>Employee benefits</w:t>
            </w:r>
          </w:p>
        </w:tc>
        <w:tc>
          <w:tcPr>
            <w:tcW w:w="938" w:type="dxa"/>
            <w:tcBorders>
              <w:top w:val="single" w:sz="4" w:space="0" w:color="A6A6A6"/>
              <w:bottom w:val="single" w:sz="4" w:space="0" w:color="A6A6A6"/>
            </w:tcBorders>
            <w:noWrap/>
            <w:hideMark/>
          </w:tcPr>
          <w:p w14:paraId="4BEF02E7"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179.9</w:t>
            </w:r>
          </w:p>
        </w:tc>
        <w:tc>
          <w:tcPr>
            <w:tcW w:w="737" w:type="dxa"/>
            <w:tcBorders>
              <w:top w:val="single" w:sz="4" w:space="0" w:color="A6A6A6"/>
              <w:bottom w:val="single" w:sz="4" w:space="0" w:color="A6A6A6"/>
            </w:tcBorders>
            <w:noWrap/>
            <w:hideMark/>
          </w:tcPr>
          <w:p w14:paraId="2B4F3FD8"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1.6</w:t>
            </w:r>
          </w:p>
        </w:tc>
        <w:tc>
          <w:tcPr>
            <w:tcW w:w="598" w:type="dxa"/>
            <w:tcBorders>
              <w:top w:val="single" w:sz="4" w:space="0" w:color="A6A6A6"/>
              <w:bottom w:val="single" w:sz="4" w:space="0" w:color="A6A6A6"/>
            </w:tcBorders>
            <w:noWrap/>
            <w:hideMark/>
          </w:tcPr>
          <w:p w14:paraId="1A5118D6"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43.0</w:t>
            </w:r>
          </w:p>
        </w:tc>
        <w:tc>
          <w:tcPr>
            <w:tcW w:w="709" w:type="dxa"/>
            <w:tcBorders>
              <w:top w:val="single" w:sz="4" w:space="0" w:color="A6A6A6"/>
              <w:bottom w:val="single" w:sz="4" w:space="0" w:color="A6A6A6"/>
            </w:tcBorders>
            <w:noWrap/>
            <w:hideMark/>
          </w:tcPr>
          <w:p w14:paraId="34329BA4"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21.3</w:t>
            </w:r>
          </w:p>
        </w:tc>
        <w:tc>
          <w:tcPr>
            <w:tcW w:w="757" w:type="dxa"/>
            <w:tcBorders>
              <w:top w:val="single" w:sz="4" w:space="0" w:color="A6A6A6"/>
              <w:bottom w:val="single" w:sz="4" w:space="0" w:color="A6A6A6"/>
            </w:tcBorders>
            <w:noWrap/>
            <w:hideMark/>
          </w:tcPr>
          <w:p w14:paraId="1489AA83"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28.6</w:t>
            </w:r>
          </w:p>
        </w:tc>
        <w:tc>
          <w:tcPr>
            <w:tcW w:w="639" w:type="dxa"/>
            <w:tcBorders>
              <w:top w:val="single" w:sz="4" w:space="0" w:color="A6A6A6"/>
              <w:bottom w:val="single" w:sz="4" w:space="0" w:color="A6A6A6"/>
            </w:tcBorders>
            <w:noWrap/>
            <w:hideMark/>
          </w:tcPr>
          <w:p w14:paraId="005F2575"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6.2</w:t>
            </w:r>
          </w:p>
        </w:tc>
        <w:tc>
          <w:tcPr>
            <w:tcW w:w="708" w:type="dxa"/>
            <w:tcBorders>
              <w:top w:val="single" w:sz="4" w:space="0" w:color="A6A6A6"/>
              <w:bottom w:val="single" w:sz="4" w:space="0" w:color="A6A6A6"/>
            </w:tcBorders>
            <w:noWrap/>
            <w:hideMark/>
          </w:tcPr>
          <w:p w14:paraId="5D2CA004"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285.7</w:t>
            </w:r>
          </w:p>
        </w:tc>
        <w:tc>
          <w:tcPr>
            <w:tcW w:w="708" w:type="dxa"/>
            <w:tcBorders>
              <w:top w:val="single" w:sz="4" w:space="0" w:color="A6A6A6"/>
              <w:bottom w:val="single" w:sz="4" w:space="0" w:color="A6A6A6"/>
            </w:tcBorders>
            <w:noWrap/>
            <w:hideMark/>
          </w:tcPr>
          <w:p w14:paraId="1403A13C"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11.3</w:t>
            </w:r>
          </w:p>
        </w:tc>
        <w:tc>
          <w:tcPr>
            <w:tcW w:w="749" w:type="dxa"/>
            <w:tcBorders>
              <w:top w:val="single" w:sz="4" w:space="0" w:color="A6A6A6"/>
              <w:bottom w:val="single" w:sz="4" w:space="0" w:color="A6A6A6"/>
            </w:tcBorders>
            <w:noWrap/>
            <w:hideMark/>
          </w:tcPr>
          <w:p w14:paraId="6A4D2C3F"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244.9</w:t>
            </w:r>
          </w:p>
        </w:tc>
        <w:tc>
          <w:tcPr>
            <w:tcW w:w="738" w:type="dxa"/>
            <w:tcBorders>
              <w:top w:val="single" w:sz="4" w:space="0" w:color="A6A6A6"/>
              <w:bottom w:val="single" w:sz="4" w:space="0" w:color="A6A6A6"/>
            </w:tcBorders>
            <w:noWrap/>
            <w:hideMark/>
          </w:tcPr>
          <w:p w14:paraId="2DA76898"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430.7</w:t>
            </w:r>
          </w:p>
        </w:tc>
        <w:tc>
          <w:tcPr>
            <w:tcW w:w="738" w:type="dxa"/>
            <w:tcBorders>
              <w:top w:val="single" w:sz="4" w:space="0" w:color="A6A6A6"/>
              <w:bottom w:val="single" w:sz="4" w:space="0" w:color="A6A6A6"/>
            </w:tcBorders>
            <w:noWrap/>
            <w:hideMark/>
          </w:tcPr>
          <w:p w14:paraId="0A6464CA"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11.1</w:t>
            </w:r>
          </w:p>
        </w:tc>
        <w:tc>
          <w:tcPr>
            <w:tcW w:w="738" w:type="dxa"/>
            <w:tcBorders>
              <w:top w:val="single" w:sz="4" w:space="0" w:color="A6A6A6"/>
              <w:bottom w:val="single" w:sz="4" w:space="0" w:color="A6A6A6"/>
            </w:tcBorders>
            <w:noWrap/>
            <w:hideMark/>
          </w:tcPr>
          <w:p w14:paraId="487B5D7E"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26.5</w:t>
            </w:r>
          </w:p>
        </w:tc>
        <w:tc>
          <w:tcPr>
            <w:tcW w:w="590" w:type="dxa"/>
            <w:tcBorders>
              <w:top w:val="single" w:sz="4" w:space="0" w:color="A6A6A6"/>
              <w:bottom w:val="single" w:sz="4" w:space="0" w:color="A6A6A6"/>
            </w:tcBorders>
            <w:noWrap/>
            <w:hideMark/>
          </w:tcPr>
          <w:p w14:paraId="3FBE88E2"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40.7</w:t>
            </w:r>
          </w:p>
        </w:tc>
        <w:tc>
          <w:tcPr>
            <w:tcW w:w="737" w:type="dxa"/>
            <w:tcBorders>
              <w:top w:val="single" w:sz="4" w:space="0" w:color="A6A6A6"/>
              <w:bottom w:val="single" w:sz="4" w:space="0" w:color="A6A6A6"/>
            </w:tcBorders>
            <w:noWrap/>
            <w:hideMark/>
          </w:tcPr>
          <w:p w14:paraId="0B962557"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142.6</w:t>
            </w:r>
          </w:p>
        </w:tc>
        <w:tc>
          <w:tcPr>
            <w:tcW w:w="738" w:type="dxa"/>
            <w:tcBorders>
              <w:top w:val="single" w:sz="4" w:space="0" w:color="A6A6A6"/>
              <w:bottom w:val="single" w:sz="4" w:space="0" w:color="A6A6A6"/>
            </w:tcBorders>
            <w:noWrap/>
            <w:hideMark/>
          </w:tcPr>
          <w:p w14:paraId="1A2328EA"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26.2</w:t>
            </w:r>
          </w:p>
        </w:tc>
        <w:tc>
          <w:tcPr>
            <w:tcW w:w="590" w:type="dxa"/>
            <w:tcBorders>
              <w:top w:val="single" w:sz="4" w:space="0" w:color="A6A6A6"/>
              <w:bottom w:val="single" w:sz="4" w:space="0" w:color="A6A6A6"/>
            </w:tcBorders>
            <w:noWrap/>
            <w:hideMark/>
          </w:tcPr>
          <w:p w14:paraId="51E55639"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4" w:type="dxa"/>
            <w:tcBorders>
              <w:top w:val="single" w:sz="4" w:space="0" w:color="A6A6A6"/>
              <w:bottom w:val="single" w:sz="4" w:space="0" w:color="A6A6A6"/>
            </w:tcBorders>
            <w:noWrap/>
            <w:hideMark/>
          </w:tcPr>
          <w:p w14:paraId="6629B1E8"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1,500.3</w:t>
            </w:r>
          </w:p>
        </w:tc>
      </w:tr>
      <w:tr w:rsidR="00CE75D4" w:rsidRPr="003472D7" w14:paraId="7F1C1604" w14:textId="77777777" w:rsidTr="008340C1">
        <w:trPr>
          <w:trHeight w:val="170"/>
        </w:trPr>
        <w:tc>
          <w:tcPr>
            <w:tcW w:w="2303" w:type="dxa"/>
            <w:tcBorders>
              <w:top w:val="single" w:sz="4" w:space="0" w:color="A6A6A6"/>
              <w:bottom w:val="single" w:sz="4" w:space="0" w:color="A6A6A6"/>
            </w:tcBorders>
            <w:hideMark/>
          </w:tcPr>
          <w:p w14:paraId="1A5D5462" w14:textId="77777777" w:rsidR="00CE75D4" w:rsidRPr="003472D7" w:rsidRDefault="00CE75D4" w:rsidP="008340C1">
            <w:pPr>
              <w:pStyle w:val="ARfintablebody"/>
              <w:spacing w:before="10" w:after="10" w:line="228" w:lineRule="auto"/>
              <w:rPr>
                <w:sz w:val="15"/>
                <w:szCs w:val="15"/>
              </w:rPr>
            </w:pPr>
            <w:r w:rsidRPr="003472D7">
              <w:rPr>
                <w:sz w:val="15"/>
                <w:szCs w:val="15"/>
              </w:rPr>
              <w:t>Depreciation and amortisation</w:t>
            </w:r>
          </w:p>
        </w:tc>
        <w:tc>
          <w:tcPr>
            <w:tcW w:w="938" w:type="dxa"/>
            <w:tcBorders>
              <w:top w:val="single" w:sz="4" w:space="0" w:color="A6A6A6"/>
              <w:bottom w:val="single" w:sz="4" w:space="0" w:color="A6A6A6"/>
            </w:tcBorders>
            <w:noWrap/>
            <w:hideMark/>
          </w:tcPr>
          <w:p w14:paraId="097B01E8"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22.0</w:t>
            </w:r>
          </w:p>
        </w:tc>
        <w:tc>
          <w:tcPr>
            <w:tcW w:w="737" w:type="dxa"/>
            <w:tcBorders>
              <w:top w:val="single" w:sz="4" w:space="0" w:color="A6A6A6"/>
              <w:bottom w:val="single" w:sz="4" w:space="0" w:color="A6A6A6"/>
            </w:tcBorders>
            <w:noWrap/>
            <w:hideMark/>
          </w:tcPr>
          <w:p w14:paraId="4F04CDA3"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0.1</w:t>
            </w:r>
          </w:p>
        </w:tc>
        <w:tc>
          <w:tcPr>
            <w:tcW w:w="598" w:type="dxa"/>
            <w:tcBorders>
              <w:top w:val="single" w:sz="4" w:space="0" w:color="A6A6A6"/>
              <w:bottom w:val="single" w:sz="4" w:space="0" w:color="A6A6A6"/>
            </w:tcBorders>
            <w:noWrap/>
            <w:hideMark/>
          </w:tcPr>
          <w:p w14:paraId="0651D470"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12.4</w:t>
            </w:r>
          </w:p>
        </w:tc>
        <w:tc>
          <w:tcPr>
            <w:tcW w:w="709" w:type="dxa"/>
            <w:tcBorders>
              <w:top w:val="single" w:sz="4" w:space="0" w:color="A6A6A6"/>
              <w:bottom w:val="single" w:sz="4" w:space="0" w:color="A6A6A6"/>
            </w:tcBorders>
            <w:noWrap/>
            <w:hideMark/>
          </w:tcPr>
          <w:p w14:paraId="0C4F8796"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0.9</w:t>
            </w:r>
          </w:p>
        </w:tc>
        <w:tc>
          <w:tcPr>
            <w:tcW w:w="757" w:type="dxa"/>
            <w:tcBorders>
              <w:top w:val="single" w:sz="4" w:space="0" w:color="A6A6A6"/>
              <w:bottom w:val="single" w:sz="4" w:space="0" w:color="A6A6A6"/>
            </w:tcBorders>
            <w:noWrap/>
            <w:hideMark/>
          </w:tcPr>
          <w:p w14:paraId="62113020"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5.0</w:t>
            </w:r>
          </w:p>
        </w:tc>
        <w:tc>
          <w:tcPr>
            <w:tcW w:w="639" w:type="dxa"/>
            <w:tcBorders>
              <w:top w:val="single" w:sz="4" w:space="0" w:color="A6A6A6"/>
              <w:bottom w:val="single" w:sz="4" w:space="0" w:color="A6A6A6"/>
            </w:tcBorders>
            <w:noWrap/>
            <w:hideMark/>
          </w:tcPr>
          <w:p w14:paraId="48702307"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8" w:type="dxa"/>
            <w:tcBorders>
              <w:top w:val="single" w:sz="4" w:space="0" w:color="A6A6A6"/>
              <w:bottom w:val="single" w:sz="4" w:space="0" w:color="A6A6A6"/>
            </w:tcBorders>
            <w:noWrap/>
            <w:hideMark/>
          </w:tcPr>
          <w:p w14:paraId="10FC907F"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2.7</w:t>
            </w:r>
          </w:p>
        </w:tc>
        <w:tc>
          <w:tcPr>
            <w:tcW w:w="708" w:type="dxa"/>
            <w:tcBorders>
              <w:top w:val="single" w:sz="4" w:space="0" w:color="A6A6A6"/>
              <w:bottom w:val="single" w:sz="4" w:space="0" w:color="A6A6A6"/>
            </w:tcBorders>
            <w:noWrap/>
            <w:hideMark/>
          </w:tcPr>
          <w:p w14:paraId="44402084"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0.3</w:t>
            </w:r>
          </w:p>
        </w:tc>
        <w:tc>
          <w:tcPr>
            <w:tcW w:w="749" w:type="dxa"/>
            <w:tcBorders>
              <w:top w:val="single" w:sz="4" w:space="0" w:color="A6A6A6"/>
              <w:bottom w:val="single" w:sz="4" w:space="0" w:color="A6A6A6"/>
            </w:tcBorders>
            <w:noWrap/>
            <w:hideMark/>
          </w:tcPr>
          <w:p w14:paraId="6B2C539F"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8.4</w:t>
            </w:r>
          </w:p>
        </w:tc>
        <w:tc>
          <w:tcPr>
            <w:tcW w:w="738" w:type="dxa"/>
            <w:tcBorders>
              <w:top w:val="single" w:sz="4" w:space="0" w:color="A6A6A6"/>
              <w:bottom w:val="single" w:sz="4" w:space="0" w:color="A6A6A6"/>
            </w:tcBorders>
            <w:noWrap/>
            <w:hideMark/>
          </w:tcPr>
          <w:p w14:paraId="1E90FBA4"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12.9</w:t>
            </w:r>
          </w:p>
        </w:tc>
        <w:tc>
          <w:tcPr>
            <w:tcW w:w="738" w:type="dxa"/>
            <w:tcBorders>
              <w:top w:val="single" w:sz="4" w:space="0" w:color="A6A6A6"/>
              <w:bottom w:val="single" w:sz="4" w:space="0" w:color="A6A6A6"/>
            </w:tcBorders>
            <w:noWrap/>
            <w:hideMark/>
          </w:tcPr>
          <w:p w14:paraId="3B12863D"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0.4</w:t>
            </w:r>
          </w:p>
        </w:tc>
        <w:tc>
          <w:tcPr>
            <w:tcW w:w="738" w:type="dxa"/>
            <w:tcBorders>
              <w:top w:val="single" w:sz="4" w:space="0" w:color="A6A6A6"/>
              <w:bottom w:val="single" w:sz="4" w:space="0" w:color="A6A6A6"/>
            </w:tcBorders>
            <w:noWrap/>
            <w:hideMark/>
          </w:tcPr>
          <w:p w14:paraId="50B4ACD3"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0.4</w:t>
            </w:r>
          </w:p>
        </w:tc>
        <w:tc>
          <w:tcPr>
            <w:tcW w:w="590" w:type="dxa"/>
            <w:tcBorders>
              <w:top w:val="single" w:sz="4" w:space="0" w:color="A6A6A6"/>
              <w:bottom w:val="single" w:sz="4" w:space="0" w:color="A6A6A6"/>
            </w:tcBorders>
            <w:noWrap/>
            <w:hideMark/>
          </w:tcPr>
          <w:p w14:paraId="3E56EC40"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13.7</w:t>
            </w:r>
          </w:p>
        </w:tc>
        <w:tc>
          <w:tcPr>
            <w:tcW w:w="737" w:type="dxa"/>
            <w:tcBorders>
              <w:top w:val="single" w:sz="4" w:space="0" w:color="A6A6A6"/>
              <w:bottom w:val="single" w:sz="4" w:space="0" w:color="A6A6A6"/>
            </w:tcBorders>
            <w:noWrap/>
            <w:hideMark/>
          </w:tcPr>
          <w:p w14:paraId="27B225AC"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265.8</w:t>
            </w:r>
          </w:p>
        </w:tc>
        <w:tc>
          <w:tcPr>
            <w:tcW w:w="738" w:type="dxa"/>
            <w:tcBorders>
              <w:top w:val="single" w:sz="4" w:space="0" w:color="A6A6A6"/>
              <w:bottom w:val="single" w:sz="4" w:space="0" w:color="A6A6A6"/>
            </w:tcBorders>
            <w:noWrap/>
            <w:hideMark/>
          </w:tcPr>
          <w:p w14:paraId="785C09D4"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0.1</w:t>
            </w:r>
          </w:p>
        </w:tc>
        <w:tc>
          <w:tcPr>
            <w:tcW w:w="590" w:type="dxa"/>
            <w:tcBorders>
              <w:top w:val="single" w:sz="4" w:space="0" w:color="A6A6A6"/>
              <w:bottom w:val="single" w:sz="4" w:space="0" w:color="A6A6A6"/>
            </w:tcBorders>
            <w:noWrap/>
            <w:hideMark/>
          </w:tcPr>
          <w:p w14:paraId="7DF1FBC1"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4" w:type="dxa"/>
            <w:tcBorders>
              <w:top w:val="single" w:sz="4" w:space="0" w:color="A6A6A6"/>
              <w:bottom w:val="single" w:sz="4" w:space="0" w:color="A6A6A6"/>
            </w:tcBorders>
            <w:noWrap/>
            <w:hideMark/>
          </w:tcPr>
          <w:p w14:paraId="475410FA"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345.1</w:t>
            </w:r>
          </w:p>
        </w:tc>
      </w:tr>
      <w:tr w:rsidR="00CE75D4" w:rsidRPr="003472D7" w14:paraId="0B9472EE" w14:textId="77777777" w:rsidTr="008340C1">
        <w:trPr>
          <w:trHeight w:val="170"/>
        </w:trPr>
        <w:tc>
          <w:tcPr>
            <w:tcW w:w="2303" w:type="dxa"/>
            <w:tcBorders>
              <w:top w:val="single" w:sz="4" w:space="0" w:color="A6A6A6"/>
              <w:bottom w:val="single" w:sz="4" w:space="0" w:color="A6A6A6"/>
            </w:tcBorders>
            <w:hideMark/>
          </w:tcPr>
          <w:p w14:paraId="7385976E" w14:textId="77777777" w:rsidR="00CE75D4" w:rsidRPr="003472D7" w:rsidRDefault="00CE75D4" w:rsidP="008340C1">
            <w:pPr>
              <w:pStyle w:val="ARfintablebody"/>
              <w:spacing w:before="10" w:after="10" w:line="228" w:lineRule="auto"/>
              <w:rPr>
                <w:sz w:val="15"/>
                <w:szCs w:val="15"/>
              </w:rPr>
            </w:pPr>
            <w:r w:rsidRPr="003472D7">
              <w:rPr>
                <w:sz w:val="15"/>
                <w:szCs w:val="15"/>
              </w:rPr>
              <w:t>Interest expense</w:t>
            </w:r>
          </w:p>
        </w:tc>
        <w:tc>
          <w:tcPr>
            <w:tcW w:w="938" w:type="dxa"/>
            <w:tcBorders>
              <w:top w:val="single" w:sz="4" w:space="0" w:color="A6A6A6"/>
              <w:bottom w:val="single" w:sz="4" w:space="0" w:color="A6A6A6"/>
            </w:tcBorders>
            <w:noWrap/>
            <w:hideMark/>
          </w:tcPr>
          <w:p w14:paraId="670F3A17"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2.6</w:t>
            </w:r>
          </w:p>
        </w:tc>
        <w:tc>
          <w:tcPr>
            <w:tcW w:w="737" w:type="dxa"/>
            <w:tcBorders>
              <w:top w:val="single" w:sz="4" w:space="0" w:color="A6A6A6"/>
              <w:bottom w:val="single" w:sz="4" w:space="0" w:color="A6A6A6"/>
            </w:tcBorders>
            <w:noWrap/>
            <w:hideMark/>
          </w:tcPr>
          <w:p w14:paraId="4E346A2F"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8" w:type="dxa"/>
            <w:tcBorders>
              <w:top w:val="single" w:sz="4" w:space="0" w:color="A6A6A6"/>
              <w:bottom w:val="single" w:sz="4" w:space="0" w:color="A6A6A6"/>
            </w:tcBorders>
            <w:noWrap/>
            <w:hideMark/>
          </w:tcPr>
          <w:p w14:paraId="4BDA6125"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9" w:type="dxa"/>
            <w:tcBorders>
              <w:top w:val="single" w:sz="4" w:space="0" w:color="A6A6A6"/>
              <w:bottom w:val="single" w:sz="4" w:space="0" w:color="A6A6A6"/>
            </w:tcBorders>
            <w:noWrap/>
            <w:hideMark/>
          </w:tcPr>
          <w:p w14:paraId="13CD9AA4"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57" w:type="dxa"/>
            <w:tcBorders>
              <w:top w:val="single" w:sz="4" w:space="0" w:color="A6A6A6"/>
              <w:bottom w:val="single" w:sz="4" w:space="0" w:color="A6A6A6"/>
            </w:tcBorders>
            <w:noWrap/>
            <w:hideMark/>
          </w:tcPr>
          <w:p w14:paraId="51B24305"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639" w:type="dxa"/>
            <w:tcBorders>
              <w:top w:val="single" w:sz="4" w:space="0" w:color="A6A6A6"/>
              <w:bottom w:val="single" w:sz="4" w:space="0" w:color="A6A6A6"/>
            </w:tcBorders>
            <w:noWrap/>
            <w:hideMark/>
          </w:tcPr>
          <w:p w14:paraId="3EC1EE8F"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8" w:type="dxa"/>
            <w:tcBorders>
              <w:top w:val="single" w:sz="4" w:space="0" w:color="A6A6A6"/>
              <w:bottom w:val="single" w:sz="4" w:space="0" w:color="A6A6A6"/>
            </w:tcBorders>
            <w:noWrap/>
            <w:hideMark/>
          </w:tcPr>
          <w:p w14:paraId="30E9B253"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8" w:type="dxa"/>
            <w:tcBorders>
              <w:top w:val="single" w:sz="4" w:space="0" w:color="A6A6A6"/>
              <w:bottom w:val="single" w:sz="4" w:space="0" w:color="A6A6A6"/>
            </w:tcBorders>
            <w:noWrap/>
            <w:hideMark/>
          </w:tcPr>
          <w:p w14:paraId="106AF3D8"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9" w:type="dxa"/>
            <w:tcBorders>
              <w:top w:val="single" w:sz="4" w:space="0" w:color="A6A6A6"/>
              <w:bottom w:val="single" w:sz="4" w:space="0" w:color="A6A6A6"/>
            </w:tcBorders>
            <w:noWrap/>
            <w:hideMark/>
          </w:tcPr>
          <w:p w14:paraId="72196934"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53E5D185"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0.5</w:t>
            </w:r>
          </w:p>
        </w:tc>
        <w:tc>
          <w:tcPr>
            <w:tcW w:w="738" w:type="dxa"/>
            <w:tcBorders>
              <w:top w:val="single" w:sz="4" w:space="0" w:color="A6A6A6"/>
              <w:bottom w:val="single" w:sz="4" w:space="0" w:color="A6A6A6"/>
            </w:tcBorders>
            <w:noWrap/>
            <w:hideMark/>
          </w:tcPr>
          <w:p w14:paraId="32A3CF3B"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5151E432"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4DAC433B"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7" w:type="dxa"/>
            <w:tcBorders>
              <w:top w:val="single" w:sz="4" w:space="0" w:color="A6A6A6"/>
              <w:bottom w:val="single" w:sz="4" w:space="0" w:color="A6A6A6"/>
            </w:tcBorders>
            <w:noWrap/>
            <w:hideMark/>
          </w:tcPr>
          <w:p w14:paraId="649C0BF1"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0.9</w:t>
            </w:r>
          </w:p>
        </w:tc>
        <w:tc>
          <w:tcPr>
            <w:tcW w:w="738" w:type="dxa"/>
            <w:tcBorders>
              <w:top w:val="single" w:sz="4" w:space="0" w:color="A6A6A6"/>
              <w:bottom w:val="single" w:sz="4" w:space="0" w:color="A6A6A6"/>
            </w:tcBorders>
            <w:noWrap/>
            <w:hideMark/>
          </w:tcPr>
          <w:p w14:paraId="518310C4"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2C26FE7B"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4" w:type="dxa"/>
            <w:tcBorders>
              <w:top w:val="single" w:sz="4" w:space="0" w:color="A6A6A6"/>
              <w:bottom w:val="single" w:sz="4" w:space="0" w:color="A6A6A6"/>
            </w:tcBorders>
            <w:noWrap/>
            <w:hideMark/>
          </w:tcPr>
          <w:p w14:paraId="6EFD6EE6"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4.0</w:t>
            </w:r>
          </w:p>
        </w:tc>
      </w:tr>
      <w:tr w:rsidR="00CE75D4" w:rsidRPr="003472D7" w14:paraId="274CC040" w14:textId="77777777" w:rsidTr="008340C1">
        <w:trPr>
          <w:trHeight w:val="170"/>
        </w:trPr>
        <w:tc>
          <w:tcPr>
            <w:tcW w:w="2303" w:type="dxa"/>
            <w:tcBorders>
              <w:top w:val="single" w:sz="4" w:space="0" w:color="A6A6A6"/>
              <w:bottom w:val="single" w:sz="4" w:space="0" w:color="A6A6A6"/>
            </w:tcBorders>
            <w:hideMark/>
          </w:tcPr>
          <w:p w14:paraId="5909D439" w14:textId="77777777" w:rsidR="00CE75D4" w:rsidRPr="003472D7" w:rsidRDefault="00CE75D4" w:rsidP="008340C1">
            <w:pPr>
              <w:pStyle w:val="ARfintablebody"/>
              <w:spacing w:before="10" w:after="10" w:line="228" w:lineRule="auto"/>
              <w:rPr>
                <w:sz w:val="15"/>
                <w:szCs w:val="15"/>
              </w:rPr>
            </w:pPr>
            <w:r w:rsidRPr="003472D7">
              <w:rPr>
                <w:sz w:val="15"/>
                <w:szCs w:val="15"/>
              </w:rPr>
              <w:t>Maintenance</w:t>
            </w:r>
          </w:p>
        </w:tc>
        <w:tc>
          <w:tcPr>
            <w:tcW w:w="938" w:type="dxa"/>
            <w:tcBorders>
              <w:top w:val="single" w:sz="4" w:space="0" w:color="A6A6A6"/>
              <w:bottom w:val="single" w:sz="4" w:space="0" w:color="A6A6A6"/>
            </w:tcBorders>
            <w:noWrap/>
            <w:hideMark/>
          </w:tcPr>
          <w:p w14:paraId="691F7EA6"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0.8</w:t>
            </w:r>
          </w:p>
        </w:tc>
        <w:tc>
          <w:tcPr>
            <w:tcW w:w="737" w:type="dxa"/>
            <w:tcBorders>
              <w:top w:val="single" w:sz="4" w:space="0" w:color="A6A6A6"/>
              <w:bottom w:val="single" w:sz="4" w:space="0" w:color="A6A6A6"/>
            </w:tcBorders>
            <w:noWrap/>
            <w:hideMark/>
          </w:tcPr>
          <w:p w14:paraId="784A8E61"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8" w:type="dxa"/>
            <w:tcBorders>
              <w:top w:val="single" w:sz="4" w:space="0" w:color="A6A6A6"/>
              <w:bottom w:val="single" w:sz="4" w:space="0" w:color="A6A6A6"/>
            </w:tcBorders>
            <w:noWrap/>
            <w:hideMark/>
          </w:tcPr>
          <w:p w14:paraId="5F45048A"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9" w:type="dxa"/>
            <w:tcBorders>
              <w:top w:val="single" w:sz="4" w:space="0" w:color="A6A6A6"/>
              <w:bottom w:val="single" w:sz="4" w:space="0" w:color="A6A6A6"/>
            </w:tcBorders>
            <w:noWrap/>
            <w:hideMark/>
          </w:tcPr>
          <w:p w14:paraId="75CC1226"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57" w:type="dxa"/>
            <w:tcBorders>
              <w:top w:val="single" w:sz="4" w:space="0" w:color="A6A6A6"/>
              <w:bottom w:val="single" w:sz="4" w:space="0" w:color="A6A6A6"/>
            </w:tcBorders>
            <w:noWrap/>
            <w:hideMark/>
          </w:tcPr>
          <w:p w14:paraId="30E12ADA"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639" w:type="dxa"/>
            <w:tcBorders>
              <w:top w:val="single" w:sz="4" w:space="0" w:color="A6A6A6"/>
              <w:bottom w:val="single" w:sz="4" w:space="0" w:color="A6A6A6"/>
            </w:tcBorders>
            <w:noWrap/>
            <w:hideMark/>
          </w:tcPr>
          <w:p w14:paraId="4935A804"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8" w:type="dxa"/>
            <w:tcBorders>
              <w:top w:val="single" w:sz="4" w:space="0" w:color="A6A6A6"/>
              <w:bottom w:val="single" w:sz="4" w:space="0" w:color="A6A6A6"/>
            </w:tcBorders>
            <w:noWrap/>
            <w:hideMark/>
          </w:tcPr>
          <w:p w14:paraId="2A7B6B7C"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8" w:type="dxa"/>
            <w:tcBorders>
              <w:top w:val="single" w:sz="4" w:space="0" w:color="A6A6A6"/>
              <w:bottom w:val="single" w:sz="4" w:space="0" w:color="A6A6A6"/>
            </w:tcBorders>
            <w:noWrap/>
            <w:hideMark/>
          </w:tcPr>
          <w:p w14:paraId="5BD73934"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9" w:type="dxa"/>
            <w:tcBorders>
              <w:top w:val="single" w:sz="4" w:space="0" w:color="A6A6A6"/>
              <w:bottom w:val="single" w:sz="4" w:space="0" w:color="A6A6A6"/>
            </w:tcBorders>
            <w:noWrap/>
            <w:hideMark/>
          </w:tcPr>
          <w:p w14:paraId="6ABA72D4"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12.5</w:t>
            </w:r>
          </w:p>
        </w:tc>
        <w:tc>
          <w:tcPr>
            <w:tcW w:w="738" w:type="dxa"/>
            <w:tcBorders>
              <w:top w:val="single" w:sz="4" w:space="0" w:color="A6A6A6"/>
              <w:bottom w:val="single" w:sz="4" w:space="0" w:color="A6A6A6"/>
            </w:tcBorders>
            <w:noWrap/>
            <w:hideMark/>
          </w:tcPr>
          <w:p w14:paraId="0DD42149"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5.9</w:t>
            </w:r>
          </w:p>
        </w:tc>
        <w:tc>
          <w:tcPr>
            <w:tcW w:w="738" w:type="dxa"/>
            <w:tcBorders>
              <w:top w:val="single" w:sz="4" w:space="0" w:color="A6A6A6"/>
              <w:bottom w:val="single" w:sz="4" w:space="0" w:color="A6A6A6"/>
            </w:tcBorders>
            <w:noWrap/>
            <w:hideMark/>
          </w:tcPr>
          <w:p w14:paraId="1E0DA113"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0BE9082F"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0.2</w:t>
            </w:r>
          </w:p>
        </w:tc>
        <w:tc>
          <w:tcPr>
            <w:tcW w:w="590" w:type="dxa"/>
            <w:tcBorders>
              <w:top w:val="single" w:sz="4" w:space="0" w:color="A6A6A6"/>
              <w:bottom w:val="single" w:sz="4" w:space="0" w:color="A6A6A6"/>
            </w:tcBorders>
            <w:noWrap/>
            <w:hideMark/>
          </w:tcPr>
          <w:p w14:paraId="05EBA1FC"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7" w:type="dxa"/>
            <w:tcBorders>
              <w:top w:val="single" w:sz="4" w:space="0" w:color="A6A6A6"/>
              <w:bottom w:val="single" w:sz="4" w:space="0" w:color="A6A6A6"/>
            </w:tcBorders>
            <w:noWrap/>
            <w:hideMark/>
          </w:tcPr>
          <w:p w14:paraId="3BB1E8C9"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220.2</w:t>
            </w:r>
          </w:p>
        </w:tc>
        <w:tc>
          <w:tcPr>
            <w:tcW w:w="738" w:type="dxa"/>
            <w:tcBorders>
              <w:top w:val="single" w:sz="4" w:space="0" w:color="A6A6A6"/>
              <w:bottom w:val="single" w:sz="4" w:space="0" w:color="A6A6A6"/>
            </w:tcBorders>
            <w:noWrap/>
            <w:hideMark/>
          </w:tcPr>
          <w:p w14:paraId="333C2F40"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26ED87FD"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4" w:type="dxa"/>
            <w:tcBorders>
              <w:top w:val="single" w:sz="4" w:space="0" w:color="A6A6A6"/>
              <w:bottom w:val="single" w:sz="4" w:space="0" w:color="A6A6A6"/>
            </w:tcBorders>
            <w:noWrap/>
            <w:hideMark/>
          </w:tcPr>
          <w:p w14:paraId="0186B14E"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239.6</w:t>
            </w:r>
          </w:p>
        </w:tc>
      </w:tr>
      <w:tr w:rsidR="00CE75D4" w:rsidRPr="003472D7" w14:paraId="19809F87" w14:textId="77777777" w:rsidTr="008340C1">
        <w:trPr>
          <w:trHeight w:val="170"/>
        </w:trPr>
        <w:tc>
          <w:tcPr>
            <w:tcW w:w="2303" w:type="dxa"/>
            <w:tcBorders>
              <w:top w:val="single" w:sz="4" w:space="0" w:color="A6A6A6"/>
              <w:bottom w:val="single" w:sz="4" w:space="0" w:color="A6A6A6"/>
            </w:tcBorders>
            <w:hideMark/>
          </w:tcPr>
          <w:p w14:paraId="46781298" w14:textId="77777777" w:rsidR="00CE75D4" w:rsidRPr="003472D7" w:rsidRDefault="00CE75D4" w:rsidP="008340C1">
            <w:pPr>
              <w:pStyle w:val="ARfintablebody"/>
              <w:spacing w:before="10" w:after="10" w:line="228" w:lineRule="auto"/>
              <w:rPr>
                <w:sz w:val="15"/>
                <w:szCs w:val="15"/>
              </w:rPr>
            </w:pPr>
            <w:r w:rsidRPr="003472D7">
              <w:rPr>
                <w:sz w:val="15"/>
                <w:szCs w:val="15"/>
              </w:rPr>
              <w:t>Grants and other expense transfers</w:t>
            </w:r>
          </w:p>
        </w:tc>
        <w:tc>
          <w:tcPr>
            <w:tcW w:w="938" w:type="dxa"/>
            <w:tcBorders>
              <w:top w:val="single" w:sz="4" w:space="0" w:color="A6A6A6"/>
              <w:bottom w:val="single" w:sz="4" w:space="0" w:color="A6A6A6"/>
            </w:tcBorders>
            <w:noWrap/>
            <w:hideMark/>
          </w:tcPr>
          <w:p w14:paraId="076E312B"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10,191.6</w:t>
            </w:r>
          </w:p>
        </w:tc>
        <w:tc>
          <w:tcPr>
            <w:tcW w:w="737" w:type="dxa"/>
            <w:tcBorders>
              <w:top w:val="single" w:sz="4" w:space="0" w:color="A6A6A6"/>
              <w:bottom w:val="single" w:sz="4" w:space="0" w:color="A6A6A6"/>
            </w:tcBorders>
            <w:noWrap/>
            <w:hideMark/>
          </w:tcPr>
          <w:p w14:paraId="2960F59F"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841.2</w:t>
            </w:r>
          </w:p>
        </w:tc>
        <w:tc>
          <w:tcPr>
            <w:tcW w:w="598" w:type="dxa"/>
            <w:tcBorders>
              <w:top w:val="single" w:sz="4" w:space="0" w:color="A6A6A6"/>
              <w:bottom w:val="single" w:sz="4" w:space="0" w:color="A6A6A6"/>
            </w:tcBorders>
            <w:noWrap/>
            <w:hideMark/>
          </w:tcPr>
          <w:p w14:paraId="07BB94AE"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1,484.2</w:t>
            </w:r>
          </w:p>
        </w:tc>
        <w:tc>
          <w:tcPr>
            <w:tcW w:w="709" w:type="dxa"/>
            <w:tcBorders>
              <w:top w:val="single" w:sz="4" w:space="0" w:color="A6A6A6"/>
              <w:bottom w:val="single" w:sz="4" w:space="0" w:color="A6A6A6"/>
            </w:tcBorders>
            <w:noWrap/>
            <w:hideMark/>
          </w:tcPr>
          <w:p w14:paraId="4243885D"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429.5</w:t>
            </w:r>
          </w:p>
        </w:tc>
        <w:tc>
          <w:tcPr>
            <w:tcW w:w="757" w:type="dxa"/>
            <w:tcBorders>
              <w:top w:val="single" w:sz="4" w:space="0" w:color="A6A6A6"/>
              <w:bottom w:val="single" w:sz="4" w:space="0" w:color="A6A6A6"/>
            </w:tcBorders>
            <w:noWrap/>
            <w:hideMark/>
          </w:tcPr>
          <w:p w14:paraId="33D3379F"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614.6</w:t>
            </w:r>
          </w:p>
        </w:tc>
        <w:tc>
          <w:tcPr>
            <w:tcW w:w="639" w:type="dxa"/>
            <w:tcBorders>
              <w:top w:val="single" w:sz="4" w:space="0" w:color="A6A6A6"/>
              <w:bottom w:val="single" w:sz="4" w:space="0" w:color="A6A6A6"/>
            </w:tcBorders>
            <w:noWrap/>
            <w:hideMark/>
          </w:tcPr>
          <w:p w14:paraId="49098E73"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402.7</w:t>
            </w:r>
          </w:p>
        </w:tc>
        <w:tc>
          <w:tcPr>
            <w:tcW w:w="708" w:type="dxa"/>
            <w:tcBorders>
              <w:top w:val="single" w:sz="4" w:space="0" w:color="A6A6A6"/>
              <w:bottom w:val="single" w:sz="4" w:space="0" w:color="A6A6A6"/>
            </w:tcBorders>
            <w:noWrap/>
            <w:hideMark/>
          </w:tcPr>
          <w:p w14:paraId="0EAABAC1"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550.1</w:t>
            </w:r>
          </w:p>
        </w:tc>
        <w:tc>
          <w:tcPr>
            <w:tcW w:w="708" w:type="dxa"/>
            <w:tcBorders>
              <w:top w:val="single" w:sz="4" w:space="0" w:color="A6A6A6"/>
              <w:bottom w:val="single" w:sz="4" w:space="0" w:color="A6A6A6"/>
            </w:tcBorders>
            <w:noWrap/>
            <w:hideMark/>
          </w:tcPr>
          <w:p w14:paraId="46CB43F2"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267.3</w:t>
            </w:r>
          </w:p>
        </w:tc>
        <w:tc>
          <w:tcPr>
            <w:tcW w:w="749" w:type="dxa"/>
            <w:tcBorders>
              <w:top w:val="single" w:sz="4" w:space="0" w:color="A6A6A6"/>
              <w:bottom w:val="single" w:sz="4" w:space="0" w:color="A6A6A6"/>
            </w:tcBorders>
            <w:noWrap/>
            <w:hideMark/>
          </w:tcPr>
          <w:p w14:paraId="7EFA7FD7"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1,815.0</w:t>
            </w:r>
          </w:p>
        </w:tc>
        <w:tc>
          <w:tcPr>
            <w:tcW w:w="738" w:type="dxa"/>
            <w:tcBorders>
              <w:top w:val="single" w:sz="4" w:space="0" w:color="A6A6A6"/>
              <w:bottom w:val="single" w:sz="4" w:space="0" w:color="A6A6A6"/>
            </w:tcBorders>
            <w:noWrap/>
            <w:hideMark/>
          </w:tcPr>
          <w:p w14:paraId="6B074EA5"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1,058.8</w:t>
            </w:r>
          </w:p>
        </w:tc>
        <w:tc>
          <w:tcPr>
            <w:tcW w:w="738" w:type="dxa"/>
            <w:tcBorders>
              <w:top w:val="single" w:sz="4" w:space="0" w:color="A6A6A6"/>
              <w:bottom w:val="single" w:sz="4" w:space="0" w:color="A6A6A6"/>
            </w:tcBorders>
            <w:noWrap/>
            <w:hideMark/>
          </w:tcPr>
          <w:p w14:paraId="1260ED3B"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803.1</w:t>
            </w:r>
          </w:p>
        </w:tc>
        <w:tc>
          <w:tcPr>
            <w:tcW w:w="738" w:type="dxa"/>
            <w:tcBorders>
              <w:top w:val="single" w:sz="4" w:space="0" w:color="A6A6A6"/>
              <w:bottom w:val="single" w:sz="4" w:space="0" w:color="A6A6A6"/>
            </w:tcBorders>
            <w:noWrap/>
            <w:hideMark/>
          </w:tcPr>
          <w:p w14:paraId="2B79A975"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256.4</w:t>
            </w:r>
          </w:p>
        </w:tc>
        <w:tc>
          <w:tcPr>
            <w:tcW w:w="590" w:type="dxa"/>
            <w:tcBorders>
              <w:top w:val="single" w:sz="4" w:space="0" w:color="A6A6A6"/>
              <w:bottom w:val="single" w:sz="4" w:space="0" w:color="A6A6A6"/>
            </w:tcBorders>
            <w:noWrap/>
            <w:hideMark/>
          </w:tcPr>
          <w:p w14:paraId="7566A9BE"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277.7</w:t>
            </w:r>
          </w:p>
        </w:tc>
        <w:tc>
          <w:tcPr>
            <w:tcW w:w="737" w:type="dxa"/>
            <w:tcBorders>
              <w:top w:val="single" w:sz="4" w:space="0" w:color="A6A6A6"/>
              <w:bottom w:val="single" w:sz="4" w:space="0" w:color="A6A6A6"/>
            </w:tcBorders>
            <w:noWrap/>
            <w:hideMark/>
          </w:tcPr>
          <w:p w14:paraId="7E8ADFB9"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747.1</w:t>
            </w:r>
          </w:p>
        </w:tc>
        <w:tc>
          <w:tcPr>
            <w:tcW w:w="738" w:type="dxa"/>
            <w:tcBorders>
              <w:top w:val="single" w:sz="4" w:space="0" w:color="A6A6A6"/>
              <w:bottom w:val="single" w:sz="4" w:space="0" w:color="A6A6A6"/>
            </w:tcBorders>
            <w:noWrap/>
            <w:hideMark/>
          </w:tcPr>
          <w:p w14:paraId="30B5A63B"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0.2</w:t>
            </w:r>
          </w:p>
        </w:tc>
        <w:tc>
          <w:tcPr>
            <w:tcW w:w="590" w:type="dxa"/>
            <w:tcBorders>
              <w:top w:val="single" w:sz="4" w:space="0" w:color="A6A6A6"/>
              <w:bottom w:val="single" w:sz="4" w:space="0" w:color="A6A6A6"/>
            </w:tcBorders>
            <w:noWrap/>
            <w:hideMark/>
          </w:tcPr>
          <w:p w14:paraId="43B7002C"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(18.9)</w:t>
            </w:r>
          </w:p>
        </w:tc>
        <w:tc>
          <w:tcPr>
            <w:tcW w:w="744" w:type="dxa"/>
            <w:tcBorders>
              <w:top w:val="single" w:sz="4" w:space="0" w:color="A6A6A6"/>
              <w:bottom w:val="single" w:sz="4" w:space="0" w:color="A6A6A6"/>
            </w:tcBorders>
            <w:noWrap/>
            <w:hideMark/>
          </w:tcPr>
          <w:p w14:paraId="5E8E708C"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19,720.7</w:t>
            </w:r>
          </w:p>
        </w:tc>
      </w:tr>
      <w:tr w:rsidR="00CE75D4" w:rsidRPr="003472D7" w14:paraId="2B88F595" w14:textId="77777777" w:rsidTr="008340C1">
        <w:trPr>
          <w:trHeight w:val="170"/>
        </w:trPr>
        <w:tc>
          <w:tcPr>
            <w:tcW w:w="2303" w:type="dxa"/>
            <w:tcBorders>
              <w:top w:val="single" w:sz="4" w:space="0" w:color="A6A6A6"/>
              <w:bottom w:val="single" w:sz="4" w:space="0" w:color="A6A6A6"/>
            </w:tcBorders>
            <w:hideMark/>
          </w:tcPr>
          <w:p w14:paraId="7674AA66" w14:textId="77777777" w:rsidR="00CE75D4" w:rsidRPr="003472D7" w:rsidRDefault="00CE75D4" w:rsidP="008340C1">
            <w:pPr>
              <w:pStyle w:val="ARfintablebody"/>
              <w:spacing w:before="10" w:after="10" w:line="228" w:lineRule="auto"/>
              <w:rPr>
                <w:sz w:val="15"/>
                <w:szCs w:val="15"/>
              </w:rPr>
            </w:pPr>
            <w:r w:rsidRPr="003472D7">
              <w:rPr>
                <w:sz w:val="15"/>
                <w:szCs w:val="15"/>
              </w:rPr>
              <w:t>Capital asset charge</w:t>
            </w:r>
          </w:p>
        </w:tc>
        <w:tc>
          <w:tcPr>
            <w:tcW w:w="938" w:type="dxa"/>
            <w:tcBorders>
              <w:top w:val="single" w:sz="4" w:space="0" w:color="A6A6A6"/>
              <w:bottom w:val="single" w:sz="4" w:space="0" w:color="A6A6A6"/>
            </w:tcBorders>
            <w:noWrap/>
            <w:hideMark/>
          </w:tcPr>
          <w:p w14:paraId="74B9F945"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1,121.9</w:t>
            </w:r>
          </w:p>
        </w:tc>
        <w:tc>
          <w:tcPr>
            <w:tcW w:w="737" w:type="dxa"/>
            <w:tcBorders>
              <w:top w:val="single" w:sz="4" w:space="0" w:color="A6A6A6"/>
              <w:bottom w:val="single" w:sz="4" w:space="0" w:color="A6A6A6"/>
            </w:tcBorders>
            <w:noWrap/>
            <w:hideMark/>
          </w:tcPr>
          <w:p w14:paraId="1D9CD3C4"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27.4</w:t>
            </w:r>
          </w:p>
        </w:tc>
        <w:tc>
          <w:tcPr>
            <w:tcW w:w="598" w:type="dxa"/>
            <w:tcBorders>
              <w:top w:val="single" w:sz="4" w:space="0" w:color="A6A6A6"/>
              <w:bottom w:val="single" w:sz="4" w:space="0" w:color="A6A6A6"/>
            </w:tcBorders>
            <w:noWrap/>
            <w:hideMark/>
          </w:tcPr>
          <w:p w14:paraId="2474B7E2"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84.8</w:t>
            </w:r>
          </w:p>
        </w:tc>
        <w:tc>
          <w:tcPr>
            <w:tcW w:w="709" w:type="dxa"/>
            <w:tcBorders>
              <w:top w:val="single" w:sz="4" w:space="0" w:color="A6A6A6"/>
              <w:bottom w:val="single" w:sz="4" w:space="0" w:color="A6A6A6"/>
            </w:tcBorders>
            <w:noWrap/>
            <w:hideMark/>
          </w:tcPr>
          <w:p w14:paraId="2CBF1CFD"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61.0</w:t>
            </w:r>
          </w:p>
        </w:tc>
        <w:tc>
          <w:tcPr>
            <w:tcW w:w="757" w:type="dxa"/>
            <w:tcBorders>
              <w:top w:val="single" w:sz="4" w:space="0" w:color="A6A6A6"/>
              <w:bottom w:val="single" w:sz="4" w:space="0" w:color="A6A6A6"/>
            </w:tcBorders>
            <w:noWrap/>
            <w:hideMark/>
          </w:tcPr>
          <w:p w14:paraId="3AC7DF1E"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29.1</w:t>
            </w:r>
          </w:p>
        </w:tc>
        <w:tc>
          <w:tcPr>
            <w:tcW w:w="639" w:type="dxa"/>
            <w:tcBorders>
              <w:top w:val="single" w:sz="4" w:space="0" w:color="A6A6A6"/>
              <w:bottom w:val="single" w:sz="4" w:space="0" w:color="A6A6A6"/>
            </w:tcBorders>
            <w:noWrap/>
            <w:hideMark/>
          </w:tcPr>
          <w:p w14:paraId="20C74722"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35.8</w:t>
            </w:r>
          </w:p>
        </w:tc>
        <w:tc>
          <w:tcPr>
            <w:tcW w:w="708" w:type="dxa"/>
            <w:tcBorders>
              <w:top w:val="single" w:sz="4" w:space="0" w:color="A6A6A6"/>
              <w:bottom w:val="single" w:sz="4" w:space="0" w:color="A6A6A6"/>
            </w:tcBorders>
            <w:noWrap/>
            <w:hideMark/>
          </w:tcPr>
          <w:p w14:paraId="1800B6E6"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2.5</w:t>
            </w:r>
          </w:p>
        </w:tc>
        <w:tc>
          <w:tcPr>
            <w:tcW w:w="708" w:type="dxa"/>
            <w:tcBorders>
              <w:top w:val="single" w:sz="4" w:space="0" w:color="A6A6A6"/>
              <w:bottom w:val="single" w:sz="4" w:space="0" w:color="A6A6A6"/>
            </w:tcBorders>
            <w:noWrap/>
            <w:hideMark/>
          </w:tcPr>
          <w:p w14:paraId="6E755D55"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6.8</w:t>
            </w:r>
          </w:p>
        </w:tc>
        <w:tc>
          <w:tcPr>
            <w:tcW w:w="749" w:type="dxa"/>
            <w:tcBorders>
              <w:top w:val="single" w:sz="4" w:space="0" w:color="A6A6A6"/>
              <w:bottom w:val="single" w:sz="4" w:space="0" w:color="A6A6A6"/>
            </w:tcBorders>
            <w:noWrap/>
            <w:hideMark/>
          </w:tcPr>
          <w:p w14:paraId="278A8688"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40.3</w:t>
            </w:r>
          </w:p>
        </w:tc>
        <w:tc>
          <w:tcPr>
            <w:tcW w:w="738" w:type="dxa"/>
            <w:tcBorders>
              <w:top w:val="single" w:sz="4" w:space="0" w:color="A6A6A6"/>
              <w:bottom w:val="single" w:sz="4" w:space="0" w:color="A6A6A6"/>
            </w:tcBorders>
            <w:noWrap/>
            <w:hideMark/>
          </w:tcPr>
          <w:p w14:paraId="0857E49A"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14.6</w:t>
            </w:r>
          </w:p>
        </w:tc>
        <w:tc>
          <w:tcPr>
            <w:tcW w:w="738" w:type="dxa"/>
            <w:tcBorders>
              <w:top w:val="single" w:sz="4" w:space="0" w:color="A6A6A6"/>
              <w:bottom w:val="single" w:sz="4" w:space="0" w:color="A6A6A6"/>
            </w:tcBorders>
            <w:noWrap/>
            <w:hideMark/>
          </w:tcPr>
          <w:p w14:paraId="2EE9AF94"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56018D1E"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148F9543"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3.5</w:t>
            </w:r>
          </w:p>
        </w:tc>
        <w:tc>
          <w:tcPr>
            <w:tcW w:w="737" w:type="dxa"/>
            <w:tcBorders>
              <w:top w:val="single" w:sz="4" w:space="0" w:color="A6A6A6"/>
              <w:bottom w:val="single" w:sz="4" w:space="0" w:color="A6A6A6"/>
            </w:tcBorders>
            <w:noWrap/>
            <w:hideMark/>
          </w:tcPr>
          <w:p w14:paraId="635DEB40"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2516F422"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7CA075D1"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4" w:type="dxa"/>
            <w:tcBorders>
              <w:top w:val="single" w:sz="4" w:space="0" w:color="A6A6A6"/>
              <w:bottom w:val="single" w:sz="4" w:space="0" w:color="A6A6A6"/>
            </w:tcBorders>
            <w:noWrap/>
            <w:hideMark/>
          </w:tcPr>
          <w:p w14:paraId="32D4DF58"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1,427.7</w:t>
            </w:r>
          </w:p>
        </w:tc>
      </w:tr>
      <w:tr w:rsidR="00CE75D4" w:rsidRPr="003472D7" w14:paraId="3AF91936" w14:textId="77777777" w:rsidTr="008340C1">
        <w:trPr>
          <w:trHeight w:val="170"/>
        </w:trPr>
        <w:tc>
          <w:tcPr>
            <w:tcW w:w="2303" w:type="dxa"/>
            <w:tcBorders>
              <w:top w:val="single" w:sz="4" w:space="0" w:color="A6A6A6"/>
              <w:bottom w:val="single" w:sz="4" w:space="0" w:color="A6A6A6"/>
            </w:tcBorders>
            <w:hideMark/>
          </w:tcPr>
          <w:p w14:paraId="40421AF6" w14:textId="77777777" w:rsidR="00CE75D4" w:rsidRPr="003472D7" w:rsidRDefault="00CE75D4" w:rsidP="008340C1">
            <w:pPr>
              <w:pStyle w:val="ARfintablebody"/>
              <w:spacing w:before="10" w:after="10" w:line="228" w:lineRule="auto"/>
              <w:rPr>
                <w:sz w:val="15"/>
                <w:szCs w:val="15"/>
              </w:rPr>
            </w:pPr>
            <w:r w:rsidRPr="003472D7">
              <w:rPr>
                <w:sz w:val="15"/>
                <w:szCs w:val="15"/>
              </w:rPr>
              <w:t>Fair value of assets and services provided free of charge or for nominal consideration</w:t>
            </w:r>
          </w:p>
        </w:tc>
        <w:tc>
          <w:tcPr>
            <w:tcW w:w="938" w:type="dxa"/>
            <w:tcBorders>
              <w:top w:val="single" w:sz="4" w:space="0" w:color="A6A6A6"/>
              <w:bottom w:val="single" w:sz="4" w:space="0" w:color="A6A6A6"/>
            </w:tcBorders>
            <w:noWrap/>
            <w:hideMark/>
          </w:tcPr>
          <w:p w14:paraId="4311344C"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294.8</w:t>
            </w:r>
          </w:p>
        </w:tc>
        <w:tc>
          <w:tcPr>
            <w:tcW w:w="737" w:type="dxa"/>
            <w:tcBorders>
              <w:top w:val="single" w:sz="4" w:space="0" w:color="A6A6A6"/>
              <w:bottom w:val="single" w:sz="4" w:space="0" w:color="A6A6A6"/>
            </w:tcBorders>
            <w:noWrap/>
            <w:hideMark/>
          </w:tcPr>
          <w:p w14:paraId="061014CA"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8" w:type="dxa"/>
            <w:tcBorders>
              <w:top w:val="single" w:sz="4" w:space="0" w:color="A6A6A6"/>
              <w:bottom w:val="single" w:sz="4" w:space="0" w:color="A6A6A6"/>
            </w:tcBorders>
            <w:noWrap/>
            <w:hideMark/>
          </w:tcPr>
          <w:p w14:paraId="31FA404E"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9" w:type="dxa"/>
            <w:tcBorders>
              <w:top w:val="single" w:sz="4" w:space="0" w:color="A6A6A6"/>
              <w:bottom w:val="single" w:sz="4" w:space="0" w:color="A6A6A6"/>
            </w:tcBorders>
            <w:noWrap/>
            <w:hideMark/>
          </w:tcPr>
          <w:p w14:paraId="6881CFA4"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57" w:type="dxa"/>
            <w:tcBorders>
              <w:top w:val="single" w:sz="4" w:space="0" w:color="A6A6A6"/>
              <w:bottom w:val="single" w:sz="4" w:space="0" w:color="A6A6A6"/>
            </w:tcBorders>
            <w:noWrap/>
            <w:hideMark/>
          </w:tcPr>
          <w:p w14:paraId="5707C894"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639" w:type="dxa"/>
            <w:tcBorders>
              <w:top w:val="single" w:sz="4" w:space="0" w:color="A6A6A6"/>
              <w:bottom w:val="single" w:sz="4" w:space="0" w:color="A6A6A6"/>
            </w:tcBorders>
            <w:noWrap/>
            <w:hideMark/>
          </w:tcPr>
          <w:p w14:paraId="60A6B539"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8" w:type="dxa"/>
            <w:tcBorders>
              <w:top w:val="single" w:sz="4" w:space="0" w:color="A6A6A6"/>
              <w:bottom w:val="single" w:sz="4" w:space="0" w:color="A6A6A6"/>
            </w:tcBorders>
            <w:noWrap/>
            <w:hideMark/>
          </w:tcPr>
          <w:p w14:paraId="76833547"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8" w:type="dxa"/>
            <w:tcBorders>
              <w:top w:val="single" w:sz="4" w:space="0" w:color="A6A6A6"/>
              <w:bottom w:val="single" w:sz="4" w:space="0" w:color="A6A6A6"/>
            </w:tcBorders>
            <w:noWrap/>
            <w:hideMark/>
          </w:tcPr>
          <w:p w14:paraId="229FE260"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9" w:type="dxa"/>
            <w:tcBorders>
              <w:top w:val="single" w:sz="4" w:space="0" w:color="A6A6A6"/>
              <w:bottom w:val="single" w:sz="4" w:space="0" w:color="A6A6A6"/>
            </w:tcBorders>
            <w:noWrap/>
            <w:hideMark/>
          </w:tcPr>
          <w:p w14:paraId="6ABC40D5"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0.7</w:t>
            </w:r>
          </w:p>
        </w:tc>
        <w:tc>
          <w:tcPr>
            <w:tcW w:w="738" w:type="dxa"/>
            <w:tcBorders>
              <w:top w:val="single" w:sz="4" w:space="0" w:color="A6A6A6"/>
              <w:bottom w:val="single" w:sz="4" w:space="0" w:color="A6A6A6"/>
            </w:tcBorders>
            <w:noWrap/>
            <w:hideMark/>
          </w:tcPr>
          <w:p w14:paraId="531021EA"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1.7</w:t>
            </w:r>
          </w:p>
        </w:tc>
        <w:tc>
          <w:tcPr>
            <w:tcW w:w="738" w:type="dxa"/>
            <w:tcBorders>
              <w:top w:val="single" w:sz="4" w:space="0" w:color="A6A6A6"/>
              <w:bottom w:val="single" w:sz="4" w:space="0" w:color="A6A6A6"/>
            </w:tcBorders>
            <w:noWrap/>
            <w:hideMark/>
          </w:tcPr>
          <w:p w14:paraId="2CF1F57C"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596369F7"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55E5135A"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7" w:type="dxa"/>
            <w:tcBorders>
              <w:top w:val="single" w:sz="4" w:space="0" w:color="A6A6A6"/>
              <w:bottom w:val="single" w:sz="4" w:space="0" w:color="A6A6A6"/>
            </w:tcBorders>
            <w:noWrap/>
            <w:hideMark/>
          </w:tcPr>
          <w:p w14:paraId="50244FBE"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2.0</w:t>
            </w:r>
          </w:p>
        </w:tc>
        <w:tc>
          <w:tcPr>
            <w:tcW w:w="738" w:type="dxa"/>
            <w:tcBorders>
              <w:top w:val="single" w:sz="4" w:space="0" w:color="A6A6A6"/>
              <w:bottom w:val="single" w:sz="4" w:space="0" w:color="A6A6A6"/>
            </w:tcBorders>
            <w:noWrap/>
            <w:hideMark/>
          </w:tcPr>
          <w:p w14:paraId="1C140305"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46C485DF"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(2.0)</w:t>
            </w:r>
          </w:p>
        </w:tc>
        <w:tc>
          <w:tcPr>
            <w:tcW w:w="744" w:type="dxa"/>
            <w:tcBorders>
              <w:top w:val="single" w:sz="4" w:space="0" w:color="A6A6A6"/>
              <w:bottom w:val="single" w:sz="4" w:space="0" w:color="A6A6A6"/>
            </w:tcBorders>
            <w:noWrap/>
            <w:hideMark/>
          </w:tcPr>
          <w:p w14:paraId="7C50988B"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297.2</w:t>
            </w:r>
          </w:p>
        </w:tc>
      </w:tr>
      <w:tr w:rsidR="00CE75D4" w:rsidRPr="003472D7" w14:paraId="3E175A23" w14:textId="77777777" w:rsidTr="008340C1">
        <w:trPr>
          <w:trHeight w:val="170"/>
        </w:trPr>
        <w:tc>
          <w:tcPr>
            <w:tcW w:w="2303" w:type="dxa"/>
            <w:tcBorders>
              <w:top w:val="single" w:sz="4" w:space="0" w:color="A6A6A6"/>
              <w:bottom w:val="single" w:sz="4" w:space="0" w:color="A6A6A6"/>
            </w:tcBorders>
            <w:hideMark/>
          </w:tcPr>
          <w:p w14:paraId="01490B1B" w14:textId="77777777" w:rsidR="00CE75D4" w:rsidRPr="003472D7" w:rsidRDefault="00CE75D4" w:rsidP="008340C1">
            <w:pPr>
              <w:pStyle w:val="ARfintablebody"/>
              <w:spacing w:before="10" w:after="10" w:line="228" w:lineRule="auto"/>
              <w:rPr>
                <w:sz w:val="15"/>
                <w:szCs w:val="15"/>
              </w:rPr>
            </w:pPr>
            <w:r w:rsidRPr="003472D7">
              <w:rPr>
                <w:sz w:val="15"/>
                <w:szCs w:val="15"/>
              </w:rPr>
              <w:t>Other operating expenses</w:t>
            </w:r>
          </w:p>
        </w:tc>
        <w:tc>
          <w:tcPr>
            <w:tcW w:w="938" w:type="dxa"/>
            <w:tcBorders>
              <w:top w:val="single" w:sz="4" w:space="0" w:color="A6A6A6"/>
              <w:bottom w:val="single" w:sz="4" w:space="0" w:color="A6A6A6"/>
            </w:tcBorders>
            <w:noWrap/>
            <w:hideMark/>
          </w:tcPr>
          <w:p w14:paraId="6A3BC028"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203.9</w:t>
            </w:r>
          </w:p>
        </w:tc>
        <w:tc>
          <w:tcPr>
            <w:tcW w:w="737" w:type="dxa"/>
            <w:tcBorders>
              <w:top w:val="single" w:sz="4" w:space="0" w:color="A6A6A6"/>
              <w:bottom w:val="single" w:sz="4" w:space="0" w:color="A6A6A6"/>
            </w:tcBorders>
            <w:noWrap/>
            <w:hideMark/>
          </w:tcPr>
          <w:p w14:paraId="1147A4F6"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0.4</w:t>
            </w:r>
          </w:p>
        </w:tc>
        <w:tc>
          <w:tcPr>
            <w:tcW w:w="598" w:type="dxa"/>
            <w:tcBorders>
              <w:top w:val="single" w:sz="4" w:space="0" w:color="A6A6A6"/>
              <w:bottom w:val="single" w:sz="4" w:space="0" w:color="A6A6A6"/>
            </w:tcBorders>
            <w:noWrap/>
            <w:hideMark/>
          </w:tcPr>
          <w:p w14:paraId="04903BED"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40.3</w:t>
            </w:r>
          </w:p>
        </w:tc>
        <w:tc>
          <w:tcPr>
            <w:tcW w:w="709" w:type="dxa"/>
            <w:tcBorders>
              <w:top w:val="single" w:sz="4" w:space="0" w:color="A6A6A6"/>
              <w:bottom w:val="single" w:sz="4" w:space="0" w:color="A6A6A6"/>
            </w:tcBorders>
            <w:noWrap/>
            <w:hideMark/>
          </w:tcPr>
          <w:p w14:paraId="2C579C4F"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9.0</w:t>
            </w:r>
          </w:p>
        </w:tc>
        <w:tc>
          <w:tcPr>
            <w:tcW w:w="757" w:type="dxa"/>
            <w:tcBorders>
              <w:top w:val="single" w:sz="4" w:space="0" w:color="A6A6A6"/>
              <w:bottom w:val="single" w:sz="4" w:space="0" w:color="A6A6A6"/>
            </w:tcBorders>
            <w:noWrap/>
            <w:hideMark/>
          </w:tcPr>
          <w:p w14:paraId="381458CB"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30.3</w:t>
            </w:r>
          </w:p>
        </w:tc>
        <w:tc>
          <w:tcPr>
            <w:tcW w:w="639" w:type="dxa"/>
            <w:tcBorders>
              <w:top w:val="single" w:sz="4" w:space="0" w:color="A6A6A6"/>
              <w:bottom w:val="single" w:sz="4" w:space="0" w:color="A6A6A6"/>
            </w:tcBorders>
            <w:noWrap/>
            <w:hideMark/>
          </w:tcPr>
          <w:p w14:paraId="7F9F3244"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0.8</w:t>
            </w:r>
          </w:p>
        </w:tc>
        <w:tc>
          <w:tcPr>
            <w:tcW w:w="708" w:type="dxa"/>
            <w:tcBorders>
              <w:top w:val="single" w:sz="4" w:space="0" w:color="A6A6A6"/>
              <w:bottom w:val="single" w:sz="4" w:space="0" w:color="A6A6A6"/>
            </w:tcBorders>
            <w:noWrap/>
            <w:hideMark/>
          </w:tcPr>
          <w:p w14:paraId="195868B2"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666.4</w:t>
            </w:r>
          </w:p>
        </w:tc>
        <w:tc>
          <w:tcPr>
            <w:tcW w:w="708" w:type="dxa"/>
            <w:tcBorders>
              <w:top w:val="single" w:sz="4" w:space="0" w:color="A6A6A6"/>
              <w:bottom w:val="single" w:sz="4" w:space="0" w:color="A6A6A6"/>
            </w:tcBorders>
            <w:noWrap/>
            <w:hideMark/>
          </w:tcPr>
          <w:p w14:paraId="6FB5303B"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15.3</w:t>
            </w:r>
          </w:p>
        </w:tc>
        <w:tc>
          <w:tcPr>
            <w:tcW w:w="749" w:type="dxa"/>
            <w:tcBorders>
              <w:top w:val="single" w:sz="4" w:space="0" w:color="A6A6A6"/>
              <w:bottom w:val="single" w:sz="4" w:space="0" w:color="A6A6A6"/>
            </w:tcBorders>
            <w:noWrap/>
            <w:hideMark/>
          </w:tcPr>
          <w:p w14:paraId="150830C9"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97.7</w:t>
            </w:r>
          </w:p>
        </w:tc>
        <w:tc>
          <w:tcPr>
            <w:tcW w:w="738" w:type="dxa"/>
            <w:tcBorders>
              <w:top w:val="single" w:sz="4" w:space="0" w:color="A6A6A6"/>
              <w:bottom w:val="single" w:sz="4" w:space="0" w:color="A6A6A6"/>
            </w:tcBorders>
            <w:noWrap/>
            <w:hideMark/>
          </w:tcPr>
          <w:p w14:paraId="76445154"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197.7</w:t>
            </w:r>
          </w:p>
        </w:tc>
        <w:tc>
          <w:tcPr>
            <w:tcW w:w="738" w:type="dxa"/>
            <w:tcBorders>
              <w:top w:val="single" w:sz="4" w:space="0" w:color="A6A6A6"/>
              <w:bottom w:val="single" w:sz="4" w:space="0" w:color="A6A6A6"/>
            </w:tcBorders>
            <w:noWrap/>
            <w:hideMark/>
          </w:tcPr>
          <w:p w14:paraId="35F0FA34"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6.1</w:t>
            </w:r>
          </w:p>
        </w:tc>
        <w:tc>
          <w:tcPr>
            <w:tcW w:w="738" w:type="dxa"/>
            <w:tcBorders>
              <w:top w:val="single" w:sz="4" w:space="0" w:color="A6A6A6"/>
              <w:bottom w:val="single" w:sz="4" w:space="0" w:color="A6A6A6"/>
            </w:tcBorders>
            <w:noWrap/>
            <w:hideMark/>
          </w:tcPr>
          <w:p w14:paraId="78BB6BF0"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15.0</w:t>
            </w:r>
          </w:p>
        </w:tc>
        <w:tc>
          <w:tcPr>
            <w:tcW w:w="590" w:type="dxa"/>
            <w:tcBorders>
              <w:top w:val="single" w:sz="4" w:space="0" w:color="A6A6A6"/>
              <w:bottom w:val="single" w:sz="4" w:space="0" w:color="A6A6A6"/>
            </w:tcBorders>
            <w:noWrap/>
            <w:hideMark/>
          </w:tcPr>
          <w:p w14:paraId="4928C83A"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31.6</w:t>
            </w:r>
          </w:p>
        </w:tc>
        <w:tc>
          <w:tcPr>
            <w:tcW w:w="737" w:type="dxa"/>
            <w:tcBorders>
              <w:top w:val="single" w:sz="4" w:space="0" w:color="A6A6A6"/>
              <w:bottom w:val="single" w:sz="4" w:space="0" w:color="A6A6A6"/>
            </w:tcBorders>
            <w:noWrap/>
            <w:hideMark/>
          </w:tcPr>
          <w:p w14:paraId="3C964471"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72.0</w:t>
            </w:r>
          </w:p>
        </w:tc>
        <w:tc>
          <w:tcPr>
            <w:tcW w:w="738" w:type="dxa"/>
            <w:tcBorders>
              <w:top w:val="single" w:sz="4" w:space="0" w:color="A6A6A6"/>
              <w:bottom w:val="single" w:sz="4" w:space="0" w:color="A6A6A6"/>
            </w:tcBorders>
            <w:noWrap/>
            <w:hideMark/>
          </w:tcPr>
          <w:p w14:paraId="6BCC880D"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51.4</w:t>
            </w:r>
          </w:p>
        </w:tc>
        <w:tc>
          <w:tcPr>
            <w:tcW w:w="590" w:type="dxa"/>
            <w:tcBorders>
              <w:top w:val="single" w:sz="4" w:space="0" w:color="A6A6A6"/>
              <w:bottom w:val="single" w:sz="4" w:space="0" w:color="A6A6A6"/>
            </w:tcBorders>
            <w:noWrap/>
            <w:hideMark/>
          </w:tcPr>
          <w:p w14:paraId="208C553C"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(76.4)</w:t>
            </w:r>
          </w:p>
        </w:tc>
        <w:tc>
          <w:tcPr>
            <w:tcW w:w="744" w:type="dxa"/>
            <w:tcBorders>
              <w:top w:val="single" w:sz="4" w:space="0" w:color="A6A6A6"/>
              <w:bottom w:val="single" w:sz="4" w:space="0" w:color="A6A6A6"/>
            </w:tcBorders>
            <w:noWrap/>
            <w:hideMark/>
          </w:tcPr>
          <w:p w14:paraId="42AE91AC"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1,361.5</w:t>
            </w:r>
          </w:p>
        </w:tc>
      </w:tr>
      <w:tr w:rsidR="00CE75D4" w:rsidRPr="003472D7" w14:paraId="0ED1CE0B" w14:textId="77777777" w:rsidTr="008340C1">
        <w:trPr>
          <w:trHeight w:val="170"/>
        </w:trPr>
        <w:tc>
          <w:tcPr>
            <w:tcW w:w="2303" w:type="dxa"/>
            <w:tcBorders>
              <w:top w:val="single" w:sz="4" w:space="0" w:color="A6A6A6"/>
            </w:tcBorders>
            <w:hideMark/>
          </w:tcPr>
          <w:p w14:paraId="20E9C4B6" w14:textId="77777777" w:rsidR="00CE75D4" w:rsidRPr="003472D7" w:rsidRDefault="00CE75D4" w:rsidP="008340C1">
            <w:pPr>
              <w:pStyle w:val="ARfintablebody"/>
              <w:spacing w:before="10" w:after="10" w:line="228" w:lineRule="auto"/>
              <w:rPr>
                <w:sz w:val="15"/>
                <w:szCs w:val="15"/>
              </w:rPr>
            </w:pPr>
            <w:r w:rsidRPr="003472D7">
              <w:rPr>
                <w:sz w:val="15"/>
                <w:szCs w:val="15"/>
              </w:rPr>
              <w:t>Other property management expenses</w:t>
            </w:r>
          </w:p>
        </w:tc>
        <w:tc>
          <w:tcPr>
            <w:tcW w:w="938" w:type="dxa"/>
            <w:tcBorders>
              <w:top w:val="single" w:sz="4" w:space="0" w:color="A6A6A6"/>
            </w:tcBorders>
            <w:noWrap/>
            <w:hideMark/>
          </w:tcPr>
          <w:p w14:paraId="432C4558"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7" w:type="dxa"/>
            <w:tcBorders>
              <w:top w:val="single" w:sz="4" w:space="0" w:color="A6A6A6"/>
            </w:tcBorders>
            <w:noWrap/>
            <w:hideMark/>
          </w:tcPr>
          <w:p w14:paraId="146D28E6"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8" w:type="dxa"/>
            <w:tcBorders>
              <w:top w:val="single" w:sz="4" w:space="0" w:color="A6A6A6"/>
            </w:tcBorders>
            <w:noWrap/>
            <w:hideMark/>
          </w:tcPr>
          <w:p w14:paraId="3AC6B08F"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9" w:type="dxa"/>
            <w:tcBorders>
              <w:top w:val="single" w:sz="4" w:space="0" w:color="A6A6A6"/>
            </w:tcBorders>
            <w:noWrap/>
            <w:hideMark/>
          </w:tcPr>
          <w:p w14:paraId="73702FD8"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57" w:type="dxa"/>
            <w:tcBorders>
              <w:top w:val="single" w:sz="4" w:space="0" w:color="A6A6A6"/>
            </w:tcBorders>
            <w:noWrap/>
            <w:hideMark/>
          </w:tcPr>
          <w:p w14:paraId="31E85FC4"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639" w:type="dxa"/>
            <w:tcBorders>
              <w:top w:val="single" w:sz="4" w:space="0" w:color="A6A6A6"/>
            </w:tcBorders>
            <w:noWrap/>
            <w:hideMark/>
          </w:tcPr>
          <w:p w14:paraId="3AAEA411"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8" w:type="dxa"/>
            <w:tcBorders>
              <w:top w:val="single" w:sz="4" w:space="0" w:color="A6A6A6"/>
            </w:tcBorders>
            <w:noWrap/>
            <w:hideMark/>
          </w:tcPr>
          <w:p w14:paraId="58D8ED0D"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0.1</w:t>
            </w:r>
          </w:p>
        </w:tc>
        <w:tc>
          <w:tcPr>
            <w:tcW w:w="708" w:type="dxa"/>
            <w:tcBorders>
              <w:top w:val="single" w:sz="4" w:space="0" w:color="A6A6A6"/>
            </w:tcBorders>
            <w:noWrap/>
            <w:hideMark/>
          </w:tcPr>
          <w:p w14:paraId="150AF380"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9" w:type="dxa"/>
            <w:tcBorders>
              <w:top w:val="single" w:sz="4" w:space="0" w:color="A6A6A6"/>
            </w:tcBorders>
            <w:noWrap/>
            <w:hideMark/>
          </w:tcPr>
          <w:p w14:paraId="602C3EEE"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0.3</w:t>
            </w:r>
          </w:p>
        </w:tc>
        <w:tc>
          <w:tcPr>
            <w:tcW w:w="738" w:type="dxa"/>
            <w:tcBorders>
              <w:top w:val="single" w:sz="4" w:space="0" w:color="A6A6A6"/>
            </w:tcBorders>
            <w:noWrap/>
            <w:hideMark/>
          </w:tcPr>
          <w:p w14:paraId="1C770A9A"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0.2</w:t>
            </w:r>
          </w:p>
        </w:tc>
        <w:tc>
          <w:tcPr>
            <w:tcW w:w="738" w:type="dxa"/>
            <w:tcBorders>
              <w:top w:val="single" w:sz="4" w:space="0" w:color="A6A6A6"/>
            </w:tcBorders>
            <w:noWrap/>
            <w:hideMark/>
          </w:tcPr>
          <w:p w14:paraId="1DDE7D21"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tcBorders>
            <w:noWrap/>
            <w:hideMark/>
          </w:tcPr>
          <w:p w14:paraId="7B7323E4"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tcBorders>
            <w:noWrap/>
            <w:hideMark/>
          </w:tcPr>
          <w:p w14:paraId="0B34D7EB"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7" w:type="dxa"/>
            <w:tcBorders>
              <w:top w:val="single" w:sz="4" w:space="0" w:color="A6A6A6"/>
            </w:tcBorders>
            <w:noWrap/>
            <w:hideMark/>
          </w:tcPr>
          <w:p w14:paraId="054C100A"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274.0</w:t>
            </w:r>
          </w:p>
        </w:tc>
        <w:tc>
          <w:tcPr>
            <w:tcW w:w="738" w:type="dxa"/>
            <w:tcBorders>
              <w:top w:val="single" w:sz="4" w:space="0" w:color="A6A6A6"/>
            </w:tcBorders>
            <w:noWrap/>
            <w:hideMark/>
          </w:tcPr>
          <w:p w14:paraId="521015EA"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tcBorders>
            <w:noWrap/>
            <w:hideMark/>
          </w:tcPr>
          <w:p w14:paraId="4E259A62"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4" w:type="dxa"/>
            <w:tcBorders>
              <w:top w:val="single" w:sz="4" w:space="0" w:color="A6A6A6"/>
            </w:tcBorders>
            <w:noWrap/>
            <w:hideMark/>
          </w:tcPr>
          <w:p w14:paraId="13A07C6B"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274.6</w:t>
            </w:r>
          </w:p>
        </w:tc>
      </w:tr>
      <w:tr w:rsidR="00CE75D4" w:rsidRPr="003472D7" w14:paraId="54F02B11" w14:textId="77777777" w:rsidTr="008340C1">
        <w:trPr>
          <w:trHeight w:val="170"/>
        </w:trPr>
        <w:tc>
          <w:tcPr>
            <w:tcW w:w="2303" w:type="dxa"/>
            <w:hideMark/>
          </w:tcPr>
          <w:p w14:paraId="21DA462D" w14:textId="77777777" w:rsidR="00CE75D4" w:rsidRPr="003472D7" w:rsidRDefault="00CE75D4" w:rsidP="008340C1">
            <w:pPr>
              <w:pStyle w:val="ARfintablebodybold"/>
              <w:spacing w:before="10" w:after="10" w:line="228" w:lineRule="auto"/>
              <w:rPr>
                <w:rFonts w:cs="Arial"/>
                <w:sz w:val="15"/>
                <w:szCs w:val="15"/>
              </w:rPr>
            </w:pPr>
            <w:r w:rsidRPr="003472D7">
              <w:rPr>
                <w:rFonts w:cs="Arial"/>
                <w:sz w:val="15"/>
                <w:szCs w:val="15"/>
              </w:rPr>
              <w:t>Total expenses from transactions</w:t>
            </w:r>
          </w:p>
        </w:tc>
        <w:tc>
          <w:tcPr>
            <w:tcW w:w="938" w:type="dxa"/>
            <w:noWrap/>
            <w:hideMark/>
          </w:tcPr>
          <w:p w14:paraId="4DC2FF71"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12,017.5</w:t>
            </w:r>
          </w:p>
        </w:tc>
        <w:tc>
          <w:tcPr>
            <w:tcW w:w="737" w:type="dxa"/>
            <w:noWrap/>
            <w:hideMark/>
          </w:tcPr>
          <w:p w14:paraId="4CCE7CC0"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870.7</w:t>
            </w:r>
          </w:p>
        </w:tc>
        <w:tc>
          <w:tcPr>
            <w:tcW w:w="598" w:type="dxa"/>
            <w:noWrap/>
            <w:hideMark/>
          </w:tcPr>
          <w:p w14:paraId="28949E67"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1,664.7</w:t>
            </w:r>
          </w:p>
        </w:tc>
        <w:tc>
          <w:tcPr>
            <w:tcW w:w="709" w:type="dxa"/>
            <w:noWrap/>
            <w:hideMark/>
          </w:tcPr>
          <w:p w14:paraId="688DA849"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521.7</w:t>
            </w:r>
          </w:p>
        </w:tc>
        <w:tc>
          <w:tcPr>
            <w:tcW w:w="757" w:type="dxa"/>
            <w:noWrap/>
            <w:hideMark/>
          </w:tcPr>
          <w:p w14:paraId="1D7DF4AE"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707.6</w:t>
            </w:r>
          </w:p>
        </w:tc>
        <w:tc>
          <w:tcPr>
            <w:tcW w:w="639" w:type="dxa"/>
            <w:noWrap/>
            <w:hideMark/>
          </w:tcPr>
          <w:p w14:paraId="042069DE"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445.5</w:t>
            </w:r>
          </w:p>
        </w:tc>
        <w:tc>
          <w:tcPr>
            <w:tcW w:w="708" w:type="dxa"/>
            <w:noWrap/>
            <w:hideMark/>
          </w:tcPr>
          <w:p w14:paraId="6A8A1508"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1,507.5</w:t>
            </w:r>
          </w:p>
        </w:tc>
        <w:tc>
          <w:tcPr>
            <w:tcW w:w="708" w:type="dxa"/>
            <w:noWrap/>
            <w:hideMark/>
          </w:tcPr>
          <w:p w14:paraId="4E55B443"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301.0</w:t>
            </w:r>
          </w:p>
        </w:tc>
        <w:tc>
          <w:tcPr>
            <w:tcW w:w="749" w:type="dxa"/>
            <w:noWrap/>
            <w:hideMark/>
          </w:tcPr>
          <w:p w14:paraId="48F15ECF"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2,219.8</w:t>
            </w:r>
          </w:p>
        </w:tc>
        <w:tc>
          <w:tcPr>
            <w:tcW w:w="738" w:type="dxa"/>
            <w:noWrap/>
            <w:hideMark/>
          </w:tcPr>
          <w:p w14:paraId="6ECEF753"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1,723.0</w:t>
            </w:r>
          </w:p>
        </w:tc>
        <w:tc>
          <w:tcPr>
            <w:tcW w:w="738" w:type="dxa"/>
            <w:noWrap/>
            <w:hideMark/>
          </w:tcPr>
          <w:p w14:paraId="14F319F9"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820.7</w:t>
            </w:r>
          </w:p>
        </w:tc>
        <w:tc>
          <w:tcPr>
            <w:tcW w:w="738" w:type="dxa"/>
            <w:noWrap/>
            <w:hideMark/>
          </w:tcPr>
          <w:p w14:paraId="4D3831CF"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298.5</w:t>
            </w:r>
          </w:p>
        </w:tc>
        <w:tc>
          <w:tcPr>
            <w:tcW w:w="590" w:type="dxa"/>
            <w:noWrap/>
            <w:hideMark/>
          </w:tcPr>
          <w:p w14:paraId="7FDBAF8E"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367.2</w:t>
            </w:r>
          </w:p>
        </w:tc>
        <w:tc>
          <w:tcPr>
            <w:tcW w:w="737" w:type="dxa"/>
            <w:noWrap/>
            <w:hideMark/>
          </w:tcPr>
          <w:p w14:paraId="29EAE73A"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1,724.6</w:t>
            </w:r>
          </w:p>
        </w:tc>
        <w:tc>
          <w:tcPr>
            <w:tcW w:w="738" w:type="dxa"/>
            <w:noWrap/>
            <w:hideMark/>
          </w:tcPr>
          <w:p w14:paraId="33B573AA"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77.9</w:t>
            </w:r>
          </w:p>
        </w:tc>
        <w:tc>
          <w:tcPr>
            <w:tcW w:w="590" w:type="dxa"/>
            <w:noWrap/>
            <w:hideMark/>
          </w:tcPr>
          <w:p w14:paraId="53230132"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(97.3)</w:t>
            </w:r>
          </w:p>
        </w:tc>
        <w:tc>
          <w:tcPr>
            <w:tcW w:w="744" w:type="dxa"/>
            <w:noWrap/>
            <w:hideMark/>
          </w:tcPr>
          <w:p w14:paraId="00F1BD19"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25,170.7</w:t>
            </w:r>
          </w:p>
        </w:tc>
      </w:tr>
      <w:tr w:rsidR="00CE75D4" w:rsidRPr="003472D7" w14:paraId="1DE67A00" w14:textId="77777777" w:rsidTr="008340C1">
        <w:trPr>
          <w:trHeight w:val="170"/>
        </w:trPr>
        <w:tc>
          <w:tcPr>
            <w:tcW w:w="2303" w:type="dxa"/>
            <w:tcBorders>
              <w:bottom w:val="single" w:sz="4" w:space="0" w:color="auto"/>
            </w:tcBorders>
            <w:hideMark/>
          </w:tcPr>
          <w:p w14:paraId="1CB113DB" w14:textId="77777777" w:rsidR="00CE75D4" w:rsidRPr="003472D7" w:rsidRDefault="00CE75D4" w:rsidP="008340C1">
            <w:pPr>
              <w:pStyle w:val="ARfintablebodybold"/>
              <w:spacing w:before="10" w:after="10" w:line="228" w:lineRule="auto"/>
              <w:rPr>
                <w:rFonts w:cs="Arial"/>
                <w:sz w:val="15"/>
                <w:szCs w:val="15"/>
              </w:rPr>
            </w:pPr>
            <w:r w:rsidRPr="003472D7">
              <w:rPr>
                <w:rFonts w:cs="Arial"/>
                <w:sz w:val="15"/>
                <w:szCs w:val="15"/>
              </w:rPr>
              <w:t>Net result from transactions (net operating balance)</w:t>
            </w:r>
          </w:p>
        </w:tc>
        <w:tc>
          <w:tcPr>
            <w:tcW w:w="938" w:type="dxa"/>
            <w:tcBorders>
              <w:bottom w:val="single" w:sz="4" w:space="0" w:color="auto"/>
            </w:tcBorders>
            <w:noWrap/>
            <w:hideMark/>
          </w:tcPr>
          <w:p w14:paraId="50536DFB"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239.7</w:t>
            </w:r>
          </w:p>
        </w:tc>
        <w:tc>
          <w:tcPr>
            <w:tcW w:w="737" w:type="dxa"/>
            <w:tcBorders>
              <w:bottom w:val="single" w:sz="4" w:space="0" w:color="auto"/>
            </w:tcBorders>
            <w:noWrap/>
            <w:hideMark/>
          </w:tcPr>
          <w:p w14:paraId="2BAF2395"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31.3</w:t>
            </w:r>
          </w:p>
        </w:tc>
        <w:tc>
          <w:tcPr>
            <w:tcW w:w="598" w:type="dxa"/>
            <w:tcBorders>
              <w:bottom w:val="single" w:sz="4" w:space="0" w:color="auto"/>
            </w:tcBorders>
            <w:noWrap/>
            <w:hideMark/>
          </w:tcPr>
          <w:p w14:paraId="78F4C618"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41.0</w:t>
            </w:r>
          </w:p>
        </w:tc>
        <w:tc>
          <w:tcPr>
            <w:tcW w:w="709" w:type="dxa"/>
            <w:tcBorders>
              <w:bottom w:val="single" w:sz="4" w:space="0" w:color="auto"/>
            </w:tcBorders>
            <w:noWrap/>
            <w:hideMark/>
          </w:tcPr>
          <w:p w14:paraId="6160850C"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50.9</w:t>
            </w:r>
          </w:p>
        </w:tc>
        <w:tc>
          <w:tcPr>
            <w:tcW w:w="757" w:type="dxa"/>
            <w:tcBorders>
              <w:bottom w:val="single" w:sz="4" w:space="0" w:color="auto"/>
            </w:tcBorders>
            <w:noWrap/>
            <w:hideMark/>
          </w:tcPr>
          <w:p w14:paraId="4EDD00A4"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33.6</w:t>
            </w:r>
          </w:p>
        </w:tc>
        <w:tc>
          <w:tcPr>
            <w:tcW w:w="639" w:type="dxa"/>
            <w:tcBorders>
              <w:bottom w:val="single" w:sz="4" w:space="0" w:color="auto"/>
            </w:tcBorders>
            <w:noWrap/>
            <w:hideMark/>
          </w:tcPr>
          <w:p w14:paraId="0F6E60E8"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46.7</w:t>
            </w:r>
          </w:p>
        </w:tc>
        <w:tc>
          <w:tcPr>
            <w:tcW w:w="708" w:type="dxa"/>
            <w:tcBorders>
              <w:bottom w:val="single" w:sz="4" w:space="0" w:color="auto"/>
            </w:tcBorders>
            <w:noWrap/>
            <w:hideMark/>
          </w:tcPr>
          <w:p w14:paraId="18886925"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(53.1)</w:t>
            </w:r>
          </w:p>
        </w:tc>
        <w:tc>
          <w:tcPr>
            <w:tcW w:w="708" w:type="dxa"/>
            <w:tcBorders>
              <w:bottom w:val="single" w:sz="4" w:space="0" w:color="auto"/>
            </w:tcBorders>
            <w:noWrap/>
            <w:hideMark/>
          </w:tcPr>
          <w:p w14:paraId="44366125"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4.9</w:t>
            </w:r>
          </w:p>
        </w:tc>
        <w:tc>
          <w:tcPr>
            <w:tcW w:w="749" w:type="dxa"/>
            <w:tcBorders>
              <w:bottom w:val="single" w:sz="4" w:space="0" w:color="auto"/>
            </w:tcBorders>
            <w:noWrap/>
            <w:hideMark/>
          </w:tcPr>
          <w:p w14:paraId="7539A4D3"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5.6</w:t>
            </w:r>
          </w:p>
        </w:tc>
        <w:tc>
          <w:tcPr>
            <w:tcW w:w="738" w:type="dxa"/>
            <w:tcBorders>
              <w:bottom w:val="single" w:sz="4" w:space="0" w:color="auto"/>
            </w:tcBorders>
            <w:noWrap/>
            <w:hideMark/>
          </w:tcPr>
          <w:p w14:paraId="3F75316E"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(2.2)</w:t>
            </w:r>
          </w:p>
        </w:tc>
        <w:tc>
          <w:tcPr>
            <w:tcW w:w="738" w:type="dxa"/>
            <w:tcBorders>
              <w:bottom w:val="single" w:sz="4" w:space="0" w:color="auto"/>
            </w:tcBorders>
            <w:noWrap/>
            <w:hideMark/>
          </w:tcPr>
          <w:p w14:paraId="0DF62FB1"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(0.3)</w:t>
            </w:r>
          </w:p>
        </w:tc>
        <w:tc>
          <w:tcPr>
            <w:tcW w:w="738" w:type="dxa"/>
            <w:tcBorders>
              <w:bottom w:val="single" w:sz="4" w:space="0" w:color="auto"/>
            </w:tcBorders>
            <w:noWrap/>
            <w:hideMark/>
          </w:tcPr>
          <w:p w14:paraId="38904DE7"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3.2</w:t>
            </w:r>
          </w:p>
        </w:tc>
        <w:tc>
          <w:tcPr>
            <w:tcW w:w="590" w:type="dxa"/>
            <w:tcBorders>
              <w:bottom w:val="single" w:sz="4" w:space="0" w:color="auto"/>
            </w:tcBorders>
            <w:noWrap/>
            <w:hideMark/>
          </w:tcPr>
          <w:p w14:paraId="13095E07"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(20.3)</w:t>
            </w:r>
          </w:p>
        </w:tc>
        <w:tc>
          <w:tcPr>
            <w:tcW w:w="737" w:type="dxa"/>
            <w:tcBorders>
              <w:bottom w:val="single" w:sz="4" w:space="0" w:color="auto"/>
            </w:tcBorders>
            <w:noWrap/>
            <w:hideMark/>
          </w:tcPr>
          <w:p w14:paraId="6968F47A"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147.3</w:t>
            </w:r>
          </w:p>
        </w:tc>
        <w:tc>
          <w:tcPr>
            <w:tcW w:w="738" w:type="dxa"/>
            <w:tcBorders>
              <w:bottom w:val="single" w:sz="4" w:space="0" w:color="auto"/>
            </w:tcBorders>
            <w:noWrap/>
            <w:hideMark/>
          </w:tcPr>
          <w:p w14:paraId="7A77E686"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(0.6)</w:t>
            </w:r>
          </w:p>
        </w:tc>
        <w:tc>
          <w:tcPr>
            <w:tcW w:w="590" w:type="dxa"/>
            <w:tcBorders>
              <w:bottom w:val="single" w:sz="4" w:space="0" w:color="auto"/>
            </w:tcBorders>
            <w:noWrap/>
            <w:hideMark/>
          </w:tcPr>
          <w:p w14:paraId="64D3ACB2" w14:textId="77777777" w:rsidR="00CE75D4" w:rsidRPr="003472D7" w:rsidRDefault="00CE75D4" w:rsidP="008340C1">
            <w:pPr>
              <w:pStyle w:val="ARfintablebodyrightbold"/>
              <w:spacing w:before="10" w:after="10" w:line="228" w:lineRule="auto"/>
              <w:ind w:right="0"/>
              <w:rPr>
                <w:sz w:val="15"/>
                <w:szCs w:val="15"/>
              </w:rPr>
            </w:pPr>
            <w:r>
              <w:rPr>
                <w:sz w:val="15"/>
                <w:szCs w:val="15"/>
              </w:rPr>
              <w:t>–</w:t>
            </w:r>
          </w:p>
        </w:tc>
        <w:tc>
          <w:tcPr>
            <w:tcW w:w="744" w:type="dxa"/>
            <w:tcBorders>
              <w:bottom w:val="single" w:sz="4" w:space="0" w:color="auto"/>
            </w:tcBorders>
            <w:noWrap/>
            <w:hideMark/>
          </w:tcPr>
          <w:p w14:paraId="279518D5"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527.7</w:t>
            </w:r>
          </w:p>
        </w:tc>
      </w:tr>
      <w:tr w:rsidR="00CE75D4" w:rsidRPr="003472D7" w14:paraId="79336C8A" w14:textId="77777777" w:rsidTr="008340C1">
        <w:trPr>
          <w:trHeight w:val="170"/>
        </w:trPr>
        <w:tc>
          <w:tcPr>
            <w:tcW w:w="14459" w:type="dxa"/>
            <w:gridSpan w:val="18"/>
            <w:tcBorders>
              <w:top w:val="single" w:sz="4" w:space="0" w:color="auto"/>
              <w:bottom w:val="single" w:sz="4" w:space="0" w:color="A6A6A6"/>
            </w:tcBorders>
            <w:hideMark/>
          </w:tcPr>
          <w:p w14:paraId="2DE30494" w14:textId="77777777" w:rsidR="00CE75D4" w:rsidRPr="003472D7" w:rsidRDefault="00CE75D4" w:rsidP="008340C1">
            <w:pPr>
              <w:pStyle w:val="ARfintablebodybold"/>
              <w:spacing w:before="10" w:after="10" w:line="228" w:lineRule="auto"/>
              <w:ind w:right="0"/>
              <w:rPr>
                <w:rFonts w:cs="Arial"/>
                <w:sz w:val="15"/>
                <w:szCs w:val="15"/>
              </w:rPr>
            </w:pPr>
            <w:r w:rsidRPr="003472D7">
              <w:rPr>
                <w:rFonts w:cs="Arial"/>
                <w:sz w:val="15"/>
                <w:szCs w:val="15"/>
              </w:rPr>
              <w:t xml:space="preserve">Other economic flows included </w:t>
            </w:r>
            <w:r>
              <w:rPr>
                <w:rFonts w:cs="Arial"/>
                <w:sz w:val="15"/>
                <w:szCs w:val="15"/>
              </w:rPr>
              <w:br/>
            </w:r>
            <w:r w:rsidRPr="003472D7">
              <w:rPr>
                <w:rFonts w:cs="Arial"/>
                <w:sz w:val="15"/>
                <w:szCs w:val="15"/>
              </w:rPr>
              <w:t>in net result</w:t>
            </w:r>
          </w:p>
        </w:tc>
      </w:tr>
      <w:tr w:rsidR="00CE75D4" w:rsidRPr="003472D7" w14:paraId="1886B08F" w14:textId="77777777" w:rsidTr="008340C1">
        <w:trPr>
          <w:trHeight w:val="170"/>
        </w:trPr>
        <w:tc>
          <w:tcPr>
            <w:tcW w:w="2303" w:type="dxa"/>
            <w:tcBorders>
              <w:top w:val="single" w:sz="4" w:space="0" w:color="A6A6A6"/>
              <w:bottom w:val="single" w:sz="4" w:space="0" w:color="A6A6A6"/>
            </w:tcBorders>
            <w:hideMark/>
          </w:tcPr>
          <w:p w14:paraId="44D7F4FA" w14:textId="77777777" w:rsidR="00CE75D4" w:rsidRPr="003472D7" w:rsidRDefault="00CE75D4" w:rsidP="008340C1">
            <w:pPr>
              <w:pStyle w:val="ARfintablebody"/>
              <w:spacing w:before="10" w:after="10" w:line="228" w:lineRule="auto"/>
              <w:rPr>
                <w:sz w:val="15"/>
                <w:szCs w:val="15"/>
              </w:rPr>
            </w:pPr>
            <w:r w:rsidRPr="003472D7">
              <w:rPr>
                <w:sz w:val="15"/>
                <w:szCs w:val="15"/>
              </w:rPr>
              <w:t>Net gain/(loss) on non-financial assets</w:t>
            </w:r>
          </w:p>
        </w:tc>
        <w:tc>
          <w:tcPr>
            <w:tcW w:w="938" w:type="dxa"/>
            <w:tcBorders>
              <w:top w:val="single" w:sz="4" w:space="0" w:color="A6A6A6"/>
              <w:bottom w:val="single" w:sz="4" w:space="0" w:color="A6A6A6"/>
            </w:tcBorders>
            <w:noWrap/>
            <w:hideMark/>
          </w:tcPr>
          <w:p w14:paraId="2BDDE4A0"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(0.1)</w:t>
            </w:r>
          </w:p>
        </w:tc>
        <w:tc>
          <w:tcPr>
            <w:tcW w:w="737" w:type="dxa"/>
            <w:tcBorders>
              <w:top w:val="single" w:sz="4" w:space="0" w:color="A6A6A6"/>
              <w:bottom w:val="single" w:sz="4" w:space="0" w:color="A6A6A6"/>
            </w:tcBorders>
            <w:noWrap/>
            <w:hideMark/>
          </w:tcPr>
          <w:p w14:paraId="7A98A4BD"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8" w:type="dxa"/>
            <w:tcBorders>
              <w:top w:val="single" w:sz="4" w:space="0" w:color="A6A6A6"/>
              <w:bottom w:val="single" w:sz="4" w:space="0" w:color="A6A6A6"/>
            </w:tcBorders>
            <w:noWrap/>
            <w:hideMark/>
          </w:tcPr>
          <w:p w14:paraId="4CF4E5F6"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9" w:type="dxa"/>
            <w:tcBorders>
              <w:top w:val="single" w:sz="4" w:space="0" w:color="A6A6A6"/>
              <w:bottom w:val="single" w:sz="4" w:space="0" w:color="A6A6A6"/>
            </w:tcBorders>
            <w:noWrap/>
            <w:hideMark/>
          </w:tcPr>
          <w:p w14:paraId="6A26FF95"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57" w:type="dxa"/>
            <w:tcBorders>
              <w:top w:val="single" w:sz="4" w:space="0" w:color="A6A6A6"/>
              <w:bottom w:val="single" w:sz="4" w:space="0" w:color="A6A6A6"/>
            </w:tcBorders>
            <w:noWrap/>
            <w:hideMark/>
          </w:tcPr>
          <w:p w14:paraId="7527E293"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639" w:type="dxa"/>
            <w:tcBorders>
              <w:top w:val="single" w:sz="4" w:space="0" w:color="A6A6A6"/>
              <w:bottom w:val="single" w:sz="4" w:space="0" w:color="A6A6A6"/>
            </w:tcBorders>
            <w:noWrap/>
            <w:hideMark/>
          </w:tcPr>
          <w:p w14:paraId="162C0D60"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8" w:type="dxa"/>
            <w:tcBorders>
              <w:top w:val="single" w:sz="4" w:space="0" w:color="A6A6A6"/>
              <w:bottom w:val="single" w:sz="4" w:space="0" w:color="A6A6A6"/>
            </w:tcBorders>
            <w:noWrap/>
            <w:hideMark/>
          </w:tcPr>
          <w:p w14:paraId="3309EBF9"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0.1</w:t>
            </w:r>
          </w:p>
        </w:tc>
        <w:tc>
          <w:tcPr>
            <w:tcW w:w="708" w:type="dxa"/>
            <w:tcBorders>
              <w:top w:val="single" w:sz="4" w:space="0" w:color="A6A6A6"/>
              <w:bottom w:val="single" w:sz="4" w:space="0" w:color="A6A6A6"/>
            </w:tcBorders>
            <w:noWrap/>
            <w:hideMark/>
          </w:tcPr>
          <w:p w14:paraId="1EAE8FF8"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9" w:type="dxa"/>
            <w:tcBorders>
              <w:top w:val="single" w:sz="4" w:space="0" w:color="A6A6A6"/>
              <w:bottom w:val="single" w:sz="4" w:space="0" w:color="A6A6A6"/>
            </w:tcBorders>
            <w:noWrap/>
            <w:hideMark/>
          </w:tcPr>
          <w:p w14:paraId="29D5CEC6"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(0.5)</w:t>
            </w:r>
          </w:p>
        </w:tc>
        <w:tc>
          <w:tcPr>
            <w:tcW w:w="738" w:type="dxa"/>
            <w:tcBorders>
              <w:top w:val="single" w:sz="4" w:space="0" w:color="A6A6A6"/>
              <w:bottom w:val="single" w:sz="4" w:space="0" w:color="A6A6A6"/>
            </w:tcBorders>
            <w:noWrap/>
            <w:hideMark/>
          </w:tcPr>
          <w:p w14:paraId="0A6A45D1"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1.2</w:t>
            </w:r>
          </w:p>
        </w:tc>
        <w:tc>
          <w:tcPr>
            <w:tcW w:w="738" w:type="dxa"/>
            <w:tcBorders>
              <w:top w:val="single" w:sz="4" w:space="0" w:color="A6A6A6"/>
              <w:bottom w:val="single" w:sz="4" w:space="0" w:color="A6A6A6"/>
            </w:tcBorders>
            <w:noWrap/>
            <w:hideMark/>
          </w:tcPr>
          <w:p w14:paraId="2A052C22"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237AD996"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3AFA230A"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7" w:type="dxa"/>
            <w:tcBorders>
              <w:top w:val="single" w:sz="4" w:space="0" w:color="A6A6A6"/>
              <w:bottom w:val="single" w:sz="4" w:space="0" w:color="A6A6A6"/>
            </w:tcBorders>
            <w:noWrap/>
            <w:hideMark/>
          </w:tcPr>
          <w:p w14:paraId="291EFE6A"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(3.6)</w:t>
            </w:r>
          </w:p>
        </w:tc>
        <w:tc>
          <w:tcPr>
            <w:tcW w:w="738" w:type="dxa"/>
            <w:tcBorders>
              <w:top w:val="single" w:sz="4" w:space="0" w:color="A6A6A6"/>
              <w:bottom w:val="single" w:sz="4" w:space="0" w:color="A6A6A6"/>
            </w:tcBorders>
            <w:noWrap/>
            <w:hideMark/>
          </w:tcPr>
          <w:p w14:paraId="251302CC"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655F213A"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4" w:type="dxa"/>
            <w:tcBorders>
              <w:top w:val="single" w:sz="4" w:space="0" w:color="A6A6A6"/>
              <w:bottom w:val="single" w:sz="4" w:space="0" w:color="A6A6A6"/>
            </w:tcBorders>
            <w:noWrap/>
            <w:hideMark/>
          </w:tcPr>
          <w:p w14:paraId="0D8A951A"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(2.9)</w:t>
            </w:r>
          </w:p>
        </w:tc>
      </w:tr>
      <w:tr w:rsidR="00CE75D4" w:rsidRPr="003472D7" w14:paraId="37DF8910" w14:textId="77777777" w:rsidTr="008340C1">
        <w:trPr>
          <w:trHeight w:val="170"/>
        </w:trPr>
        <w:tc>
          <w:tcPr>
            <w:tcW w:w="2303" w:type="dxa"/>
            <w:tcBorders>
              <w:top w:val="single" w:sz="4" w:space="0" w:color="A6A6A6"/>
              <w:bottom w:val="single" w:sz="4" w:space="0" w:color="A6A6A6"/>
            </w:tcBorders>
            <w:hideMark/>
          </w:tcPr>
          <w:p w14:paraId="02301493" w14:textId="77777777" w:rsidR="00CE75D4" w:rsidRPr="003472D7" w:rsidRDefault="00CE75D4" w:rsidP="008340C1">
            <w:pPr>
              <w:pStyle w:val="ARfintablebody"/>
              <w:spacing w:before="10" w:after="10" w:line="228" w:lineRule="auto"/>
              <w:rPr>
                <w:sz w:val="15"/>
                <w:szCs w:val="15"/>
              </w:rPr>
            </w:pPr>
            <w:r w:rsidRPr="003472D7">
              <w:rPr>
                <w:sz w:val="15"/>
                <w:szCs w:val="15"/>
              </w:rPr>
              <w:t>Net gain/(loss) on financial instruments</w:t>
            </w:r>
          </w:p>
        </w:tc>
        <w:tc>
          <w:tcPr>
            <w:tcW w:w="938" w:type="dxa"/>
            <w:tcBorders>
              <w:top w:val="single" w:sz="4" w:space="0" w:color="A6A6A6"/>
              <w:bottom w:val="single" w:sz="4" w:space="0" w:color="A6A6A6"/>
            </w:tcBorders>
            <w:noWrap/>
            <w:hideMark/>
          </w:tcPr>
          <w:p w14:paraId="09920ED7"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0.5</w:t>
            </w:r>
          </w:p>
        </w:tc>
        <w:tc>
          <w:tcPr>
            <w:tcW w:w="737" w:type="dxa"/>
            <w:tcBorders>
              <w:top w:val="single" w:sz="4" w:space="0" w:color="A6A6A6"/>
              <w:bottom w:val="single" w:sz="4" w:space="0" w:color="A6A6A6"/>
            </w:tcBorders>
            <w:noWrap/>
            <w:hideMark/>
          </w:tcPr>
          <w:p w14:paraId="435013DE"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8" w:type="dxa"/>
            <w:tcBorders>
              <w:top w:val="single" w:sz="4" w:space="0" w:color="A6A6A6"/>
              <w:bottom w:val="single" w:sz="4" w:space="0" w:color="A6A6A6"/>
            </w:tcBorders>
            <w:noWrap/>
            <w:hideMark/>
          </w:tcPr>
          <w:p w14:paraId="7216FA3C"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9" w:type="dxa"/>
            <w:tcBorders>
              <w:top w:val="single" w:sz="4" w:space="0" w:color="A6A6A6"/>
              <w:bottom w:val="single" w:sz="4" w:space="0" w:color="A6A6A6"/>
            </w:tcBorders>
            <w:noWrap/>
            <w:hideMark/>
          </w:tcPr>
          <w:p w14:paraId="768AD577"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57" w:type="dxa"/>
            <w:tcBorders>
              <w:top w:val="single" w:sz="4" w:space="0" w:color="A6A6A6"/>
              <w:bottom w:val="single" w:sz="4" w:space="0" w:color="A6A6A6"/>
            </w:tcBorders>
            <w:noWrap/>
            <w:hideMark/>
          </w:tcPr>
          <w:p w14:paraId="472C383B"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639" w:type="dxa"/>
            <w:tcBorders>
              <w:top w:val="single" w:sz="4" w:space="0" w:color="A6A6A6"/>
              <w:bottom w:val="single" w:sz="4" w:space="0" w:color="A6A6A6"/>
            </w:tcBorders>
            <w:noWrap/>
            <w:hideMark/>
          </w:tcPr>
          <w:p w14:paraId="06760EF9"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8" w:type="dxa"/>
            <w:tcBorders>
              <w:top w:val="single" w:sz="4" w:space="0" w:color="A6A6A6"/>
              <w:bottom w:val="single" w:sz="4" w:space="0" w:color="A6A6A6"/>
            </w:tcBorders>
            <w:noWrap/>
            <w:hideMark/>
          </w:tcPr>
          <w:p w14:paraId="7A290A45"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08" w:type="dxa"/>
            <w:tcBorders>
              <w:top w:val="single" w:sz="4" w:space="0" w:color="A6A6A6"/>
              <w:bottom w:val="single" w:sz="4" w:space="0" w:color="A6A6A6"/>
            </w:tcBorders>
            <w:noWrap/>
            <w:hideMark/>
          </w:tcPr>
          <w:p w14:paraId="137BF287"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9" w:type="dxa"/>
            <w:tcBorders>
              <w:top w:val="single" w:sz="4" w:space="0" w:color="A6A6A6"/>
              <w:bottom w:val="single" w:sz="4" w:space="0" w:color="A6A6A6"/>
            </w:tcBorders>
            <w:noWrap/>
            <w:hideMark/>
          </w:tcPr>
          <w:p w14:paraId="1513E975"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0.8</w:t>
            </w:r>
          </w:p>
        </w:tc>
        <w:tc>
          <w:tcPr>
            <w:tcW w:w="738" w:type="dxa"/>
            <w:tcBorders>
              <w:top w:val="single" w:sz="4" w:space="0" w:color="A6A6A6"/>
              <w:bottom w:val="single" w:sz="4" w:space="0" w:color="A6A6A6"/>
            </w:tcBorders>
            <w:noWrap/>
            <w:hideMark/>
          </w:tcPr>
          <w:p w14:paraId="37EFDAC3"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0.3</w:t>
            </w:r>
          </w:p>
        </w:tc>
        <w:tc>
          <w:tcPr>
            <w:tcW w:w="738" w:type="dxa"/>
            <w:tcBorders>
              <w:top w:val="single" w:sz="4" w:space="0" w:color="A6A6A6"/>
              <w:bottom w:val="single" w:sz="4" w:space="0" w:color="A6A6A6"/>
            </w:tcBorders>
            <w:noWrap/>
            <w:hideMark/>
          </w:tcPr>
          <w:p w14:paraId="07A83998"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5BB62C06"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76C3B7AB"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7" w:type="dxa"/>
            <w:tcBorders>
              <w:top w:val="single" w:sz="4" w:space="0" w:color="A6A6A6"/>
              <w:bottom w:val="single" w:sz="4" w:space="0" w:color="A6A6A6"/>
            </w:tcBorders>
            <w:noWrap/>
            <w:hideMark/>
          </w:tcPr>
          <w:p w14:paraId="4D6A24FD"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bottom w:val="single" w:sz="4" w:space="0" w:color="A6A6A6"/>
            </w:tcBorders>
            <w:noWrap/>
            <w:hideMark/>
          </w:tcPr>
          <w:p w14:paraId="7C19E023"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bottom w:val="single" w:sz="4" w:space="0" w:color="A6A6A6"/>
            </w:tcBorders>
            <w:noWrap/>
            <w:hideMark/>
          </w:tcPr>
          <w:p w14:paraId="07B8A3F1"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4" w:type="dxa"/>
            <w:tcBorders>
              <w:top w:val="single" w:sz="4" w:space="0" w:color="A6A6A6"/>
              <w:bottom w:val="single" w:sz="4" w:space="0" w:color="A6A6A6"/>
            </w:tcBorders>
            <w:noWrap/>
            <w:hideMark/>
          </w:tcPr>
          <w:p w14:paraId="51760661"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1.6</w:t>
            </w:r>
          </w:p>
        </w:tc>
      </w:tr>
      <w:tr w:rsidR="00CE75D4" w:rsidRPr="003472D7" w14:paraId="37B9D0A8" w14:textId="77777777" w:rsidTr="008340C1">
        <w:trPr>
          <w:trHeight w:val="170"/>
        </w:trPr>
        <w:tc>
          <w:tcPr>
            <w:tcW w:w="2303" w:type="dxa"/>
            <w:tcBorders>
              <w:top w:val="single" w:sz="4" w:space="0" w:color="A6A6A6"/>
            </w:tcBorders>
            <w:hideMark/>
          </w:tcPr>
          <w:p w14:paraId="1599EBC7" w14:textId="77777777" w:rsidR="00CE75D4" w:rsidRPr="003472D7" w:rsidRDefault="00CE75D4" w:rsidP="008340C1">
            <w:pPr>
              <w:pStyle w:val="ARfintablebody"/>
              <w:spacing w:before="10" w:after="10" w:line="228" w:lineRule="auto"/>
              <w:rPr>
                <w:sz w:val="15"/>
                <w:szCs w:val="15"/>
              </w:rPr>
            </w:pPr>
            <w:r w:rsidRPr="003472D7">
              <w:rPr>
                <w:sz w:val="15"/>
                <w:szCs w:val="15"/>
              </w:rPr>
              <w:t>Other gains/(losses) from other economic flows</w:t>
            </w:r>
          </w:p>
        </w:tc>
        <w:tc>
          <w:tcPr>
            <w:tcW w:w="938" w:type="dxa"/>
            <w:tcBorders>
              <w:top w:val="single" w:sz="4" w:space="0" w:color="A6A6A6"/>
            </w:tcBorders>
            <w:noWrap/>
            <w:hideMark/>
          </w:tcPr>
          <w:p w14:paraId="4CF6F747"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(16.3)</w:t>
            </w:r>
          </w:p>
        </w:tc>
        <w:tc>
          <w:tcPr>
            <w:tcW w:w="737" w:type="dxa"/>
            <w:tcBorders>
              <w:top w:val="single" w:sz="4" w:space="0" w:color="A6A6A6"/>
            </w:tcBorders>
            <w:noWrap/>
            <w:hideMark/>
          </w:tcPr>
          <w:p w14:paraId="39792B4C"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0.1</w:t>
            </w:r>
          </w:p>
        </w:tc>
        <w:tc>
          <w:tcPr>
            <w:tcW w:w="598" w:type="dxa"/>
            <w:tcBorders>
              <w:top w:val="single" w:sz="4" w:space="0" w:color="A6A6A6"/>
            </w:tcBorders>
            <w:noWrap/>
            <w:hideMark/>
          </w:tcPr>
          <w:p w14:paraId="787EC78A"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0.7</w:t>
            </w:r>
          </w:p>
        </w:tc>
        <w:tc>
          <w:tcPr>
            <w:tcW w:w="709" w:type="dxa"/>
            <w:tcBorders>
              <w:top w:val="single" w:sz="4" w:space="0" w:color="A6A6A6"/>
            </w:tcBorders>
            <w:noWrap/>
            <w:hideMark/>
          </w:tcPr>
          <w:p w14:paraId="32B9FD88"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0.5</w:t>
            </w:r>
          </w:p>
        </w:tc>
        <w:tc>
          <w:tcPr>
            <w:tcW w:w="757" w:type="dxa"/>
            <w:tcBorders>
              <w:top w:val="single" w:sz="4" w:space="0" w:color="A6A6A6"/>
            </w:tcBorders>
            <w:noWrap/>
            <w:hideMark/>
          </w:tcPr>
          <w:p w14:paraId="244022C0"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0.3</w:t>
            </w:r>
          </w:p>
        </w:tc>
        <w:tc>
          <w:tcPr>
            <w:tcW w:w="639" w:type="dxa"/>
            <w:tcBorders>
              <w:top w:val="single" w:sz="4" w:space="0" w:color="A6A6A6"/>
            </w:tcBorders>
            <w:noWrap/>
            <w:hideMark/>
          </w:tcPr>
          <w:p w14:paraId="4B81D925"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0.2</w:t>
            </w:r>
          </w:p>
        </w:tc>
        <w:tc>
          <w:tcPr>
            <w:tcW w:w="708" w:type="dxa"/>
            <w:tcBorders>
              <w:top w:val="single" w:sz="4" w:space="0" w:color="A6A6A6"/>
            </w:tcBorders>
            <w:noWrap/>
            <w:hideMark/>
          </w:tcPr>
          <w:p w14:paraId="4F743F86"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1.0</w:t>
            </w:r>
          </w:p>
        </w:tc>
        <w:tc>
          <w:tcPr>
            <w:tcW w:w="708" w:type="dxa"/>
            <w:tcBorders>
              <w:top w:val="single" w:sz="4" w:space="0" w:color="A6A6A6"/>
            </w:tcBorders>
            <w:noWrap/>
            <w:hideMark/>
          </w:tcPr>
          <w:p w14:paraId="39B5E4C7"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0.1</w:t>
            </w:r>
          </w:p>
        </w:tc>
        <w:tc>
          <w:tcPr>
            <w:tcW w:w="749" w:type="dxa"/>
            <w:tcBorders>
              <w:top w:val="single" w:sz="4" w:space="0" w:color="A6A6A6"/>
            </w:tcBorders>
            <w:noWrap/>
            <w:hideMark/>
          </w:tcPr>
          <w:p w14:paraId="12166BC1"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(3.1)</w:t>
            </w:r>
          </w:p>
        </w:tc>
        <w:tc>
          <w:tcPr>
            <w:tcW w:w="738" w:type="dxa"/>
            <w:tcBorders>
              <w:top w:val="single" w:sz="4" w:space="0" w:color="A6A6A6"/>
            </w:tcBorders>
            <w:noWrap/>
            <w:hideMark/>
          </w:tcPr>
          <w:p w14:paraId="01308D34"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2.6</w:t>
            </w:r>
          </w:p>
        </w:tc>
        <w:tc>
          <w:tcPr>
            <w:tcW w:w="738" w:type="dxa"/>
            <w:tcBorders>
              <w:top w:val="single" w:sz="4" w:space="0" w:color="A6A6A6"/>
            </w:tcBorders>
            <w:noWrap/>
            <w:hideMark/>
          </w:tcPr>
          <w:p w14:paraId="3EA5BF4F"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38" w:type="dxa"/>
            <w:tcBorders>
              <w:top w:val="single" w:sz="4" w:space="0" w:color="A6A6A6"/>
            </w:tcBorders>
            <w:noWrap/>
            <w:hideMark/>
          </w:tcPr>
          <w:p w14:paraId="77A9151C"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0.3</w:t>
            </w:r>
          </w:p>
        </w:tc>
        <w:tc>
          <w:tcPr>
            <w:tcW w:w="590" w:type="dxa"/>
            <w:tcBorders>
              <w:top w:val="single" w:sz="4" w:space="0" w:color="A6A6A6"/>
            </w:tcBorders>
            <w:noWrap/>
            <w:hideMark/>
          </w:tcPr>
          <w:p w14:paraId="2C9BCF8E"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0.4</w:t>
            </w:r>
          </w:p>
        </w:tc>
        <w:tc>
          <w:tcPr>
            <w:tcW w:w="737" w:type="dxa"/>
            <w:tcBorders>
              <w:top w:val="single" w:sz="4" w:space="0" w:color="A6A6A6"/>
            </w:tcBorders>
            <w:noWrap/>
            <w:hideMark/>
          </w:tcPr>
          <w:p w14:paraId="70764224"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0.9</w:t>
            </w:r>
          </w:p>
        </w:tc>
        <w:tc>
          <w:tcPr>
            <w:tcW w:w="738" w:type="dxa"/>
            <w:tcBorders>
              <w:top w:val="single" w:sz="4" w:space="0" w:color="A6A6A6"/>
            </w:tcBorders>
            <w:noWrap/>
            <w:hideMark/>
          </w:tcPr>
          <w:p w14:paraId="03D44AD4"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590" w:type="dxa"/>
            <w:tcBorders>
              <w:top w:val="single" w:sz="4" w:space="0" w:color="A6A6A6"/>
            </w:tcBorders>
            <w:noWrap/>
            <w:hideMark/>
          </w:tcPr>
          <w:p w14:paraId="02476223" w14:textId="77777777" w:rsidR="00CE75D4" w:rsidRPr="003472D7" w:rsidRDefault="00CE75D4" w:rsidP="008340C1">
            <w:pPr>
              <w:pStyle w:val="ARfintablebodyright"/>
              <w:spacing w:before="10" w:after="10" w:line="228" w:lineRule="auto"/>
              <w:ind w:right="0"/>
              <w:rPr>
                <w:sz w:val="15"/>
                <w:szCs w:val="15"/>
              </w:rPr>
            </w:pPr>
            <w:r>
              <w:rPr>
                <w:sz w:val="15"/>
                <w:szCs w:val="15"/>
              </w:rPr>
              <w:t>–</w:t>
            </w:r>
          </w:p>
        </w:tc>
        <w:tc>
          <w:tcPr>
            <w:tcW w:w="744" w:type="dxa"/>
            <w:tcBorders>
              <w:top w:val="single" w:sz="4" w:space="0" w:color="A6A6A6"/>
            </w:tcBorders>
            <w:noWrap/>
            <w:hideMark/>
          </w:tcPr>
          <w:p w14:paraId="078C9842" w14:textId="77777777" w:rsidR="00CE75D4" w:rsidRPr="003472D7" w:rsidRDefault="00CE75D4" w:rsidP="008340C1">
            <w:pPr>
              <w:pStyle w:val="ARfintablebodyright"/>
              <w:spacing w:before="10" w:after="10" w:line="228" w:lineRule="auto"/>
              <w:ind w:right="0"/>
              <w:rPr>
                <w:sz w:val="15"/>
                <w:szCs w:val="15"/>
              </w:rPr>
            </w:pPr>
            <w:r w:rsidRPr="003472D7">
              <w:rPr>
                <w:sz w:val="15"/>
                <w:szCs w:val="15"/>
              </w:rPr>
              <w:t>(12.3)</w:t>
            </w:r>
          </w:p>
        </w:tc>
      </w:tr>
      <w:tr w:rsidR="00CE75D4" w:rsidRPr="003472D7" w14:paraId="145485E7" w14:textId="77777777" w:rsidTr="008340C1">
        <w:trPr>
          <w:trHeight w:val="170"/>
        </w:trPr>
        <w:tc>
          <w:tcPr>
            <w:tcW w:w="2303" w:type="dxa"/>
            <w:hideMark/>
          </w:tcPr>
          <w:p w14:paraId="6E867BBC" w14:textId="77777777" w:rsidR="00CE75D4" w:rsidRPr="003472D7" w:rsidRDefault="00CE75D4" w:rsidP="008340C1">
            <w:pPr>
              <w:pStyle w:val="ARfintablebodybold"/>
              <w:spacing w:before="10" w:after="10" w:line="228" w:lineRule="auto"/>
              <w:rPr>
                <w:rFonts w:cs="Arial"/>
                <w:sz w:val="15"/>
                <w:szCs w:val="15"/>
              </w:rPr>
            </w:pPr>
            <w:r w:rsidRPr="003472D7">
              <w:rPr>
                <w:rFonts w:cs="Arial"/>
                <w:sz w:val="15"/>
                <w:szCs w:val="15"/>
              </w:rPr>
              <w:t>Total other economic flows included in net result</w:t>
            </w:r>
          </w:p>
        </w:tc>
        <w:tc>
          <w:tcPr>
            <w:tcW w:w="938" w:type="dxa"/>
            <w:noWrap/>
            <w:hideMark/>
          </w:tcPr>
          <w:p w14:paraId="3845CD7D"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(15.9)</w:t>
            </w:r>
          </w:p>
        </w:tc>
        <w:tc>
          <w:tcPr>
            <w:tcW w:w="737" w:type="dxa"/>
            <w:noWrap/>
            <w:hideMark/>
          </w:tcPr>
          <w:p w14:paraId="68E9075B"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0.1</w:t>
            </w:r>
          </w:p>
        </w:tc>
        <w:tc>
          <w:tcPr>
            <w:tcW w:w="598" w:type="dxa"/>
            <w:noWrap/>
            <w:hideMark/>
          </w:tcPr>
          <w:p w14:paraId="4ECC0AD2"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0.7</w:t>
            </w:r>
          </w:p>
        </w:tc>
        <w:tc>
          <w:tcPr>
            <w:tcW w:w="709" w:type="dxa"/>
            <w:noWrap/>
            <w:hideMark/>
          </w:tcPr>
          <w:p w14:paraId="04C7EF30"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0.5</w:t>
            </w:r>
          </w:p>
        </w:tc>
        <w:tc>
          <w:tcPr>
            <w:tcW w:w="757" w:type="dxa"/>
            <w:noWrap/>
            <w:hideMark/>
          </w:tcPr>
          <w:p w14:paraId="052FB033"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0.3</w:t>
            </w:r>
          </w:p>
        </w:tc>
        <w:tc>
          <w:tcPr>
            <w:tcW w:w="639" w:type="dxa"/>
            <w:noWrap/>
            <w:hideMark/>
          </w:tcPr>
          <w:p w14:paraId="11874B01"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0.2</w:t>
            </w:r>
          </w:p>
        </w:tc>
        <w:tc>
          <w:tcPr>
            <w:tcW w:w="708" w:type="dxa"/>
            <w:noWrap/>
            <w:hideMark/>
          </w:tcPr>
          <w:p w14:paraId="0E551ADE"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1.1</w:t>
            </w:r>
          </w:p>
        </w:tc>
        <w:tc>
          <w:tcPr>
            <w:tcW w:w="708" w:type="dxa"/>
            <w:noWrap/>
            <w:hideMark/>
          </w:tcPr>
          <w:p w14:paraId="71F45E48"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0.1</w:t>
            </w:r>
          </w:p>
        </w:tc>
        <w:tc>
          <w:tcPr>
            <w:tcW w:w="749" w:type="dxa"/>
            <w:noWrap/>
            <w:hideMark/>
          </w:tcPr>
          <w:p w14:paraId="46D1F3BB"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(2.8)</w:t>
            </w:r>
          </w:p>
        </w:tc>
        <w:tc>
          <w:tcPr>
            <w:tcW w:w="738" w:type="dxa"/>
            <w:noWrap/>
            <w:hideMark/>
          </w:tcPr>
          <w:p w14:paraId="7F802545"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4.1</w:t>
            </w:r>
          </w:p>
        </w:tc>
        <w:tc>
          <w:tcPr>
            <w:tcW w:w="738" w:type="dxa"/>
            <w:noWrap/>
            <w:hideMark/>
          </w:tcPr>
          <w:p w14:paraId="7222CE2F" w14:textId="77777777" w:rsidR="00CE75D4" w:rsidRPr="003472D7" w:rsidRDefault="00CE75D4" w:rsidP="008340C1">
            <w:pPr>
              <w:pStyle w:val="ARfintablebodyrightbold"/>
              <w:spacing w:before="10" w:after="10" w:line="228" w:lineRule="auto"/>
              <w:ind w:right="0"/>
              <w:rPr>
                <w:sz w:val="15"/>
                <w:szCs w:val="15"/>
              </w:rPr>
            </w:pPr>
            <w:r>
              <w:rPr>
                <w:sz w:val="15"/>
                <w:szCs w:val="15"/>
              </w:rPr>
              <w:t>–</w:t>
            </w:r>
          </w:p>
        </w:tc>
        <w:tc>
          <w:tcPr>
            <w:tcW w:w="738" w:type="dxa"/>
            <w:noWrap/>
            <w:hideMark/>
          </w:tcPr>
          <w:p w14:paraId="3C4CE686"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0.3</w:t>
            </w:r>
          </w:p>
        </w:tc>
        <w:tc>
          <w:tcPr>
            <w:tcW w:w="590" w:type="dxa"/>
            <w:noWrap/>
            <w:hideMark/>
          </w:tcPr>
          <w:p w14:paraId="6D34697C"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0.4</w:t>
            </w:r>
          </w:p>
        </w:tc>
        <w:tc>
          <w:tcPr>
            <w:tcW w:w="737" w:type="dxa"/>
            <w:noWrap/>
            <w:hideMark/>
          </w:tcPr>
          <w:p w14:paraId="0EBFACD7"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(2.7)</w:t>
            </w:r>
          </w:p>
        </w:tc>
        <w:tc>
          <w:tcPr>
            <w:tcW w:w="738" w:type="dxa"/>
            <w:noWrap/>
            <w:hideMark/>
          </w:tcPr>
          <w:p w14:paraId="6A567212" w14:textId="77777777" w:rsidR="00CE75D4" w:rsidRPr="003472D7" w:rsidRDefault="00CE75D4" w:rsidP="008340C1">
            <w:pPr>
              <w:pStyle w:val="ARfintablebodyrightbold"/>
              <w:spacing w:before="10" w:after="10" w:line="228" w:lineRule="auto"/>
              <w:ind w:right="0"/>
              <w:rPr>
                <w:sz w:val="15"/>
                <w:szCs w:val="15"/>
              </w:rPr>
            </w:pPr>
            <w:r>
              <w:rPr>
                <w:sz w:val="15"/>
                <w:szCs w:val="15"/>
              </w:rPr>
              <w:t>–</w:t>
            </w:r>
          </w:p>
        </w:tc>
        <w:tc>
          <w:tcPr>
            <w:tcW w:w="590" w:type="dxa"/>
            <w:noWrap/>
            <w:hideMark/>
          </w:tcPr>
          <w:p w14:paraId="1162FEB3" w14:textId="77777777" w:rsidR="00CE75D4" w:rsidRPr="003472D7" w:rsidRDefault="00CE75D4" w:rsidP="008340C1">
            <w:pPr>
              <w:pStyle w:val="ARfintablebodyrightbold"/>
              <w:spacing w:before="10" w:after="10" w:line="228" w:lineRule="auto"/>
              <w:ind w:right="0"/>
              <w:rPr>
                <w:sz w:val="15"/>
                <w:szCs w:val="15"/>
              </w:rPr>
            </w:pPr>
            <w:r>
              <w:rPr>
                <w:sz w:val="15"/>
                <w:szCs w:val="15"/>
              </w:rPr>
              <w:t>–</w:t>
            </w:r>
          </w:p>
        </w:tc>
        <w:tc>
          <w:tcPr>
            <w:tcW w:w="744" w:type="dxa"/>
            <w:noWrap/>
            <w:hideMark/>
          </w:tcPr>
          <w:p w14:paraId="1DD1CA8F"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(13.6)</w:t>
            </w:r>
          </w:p>
        </w:tc>
      </w:tr>
      <w:tr w:rsidR="00CE75D4" w:rsidRPr="003472D7" w14:paraId="7D4750E1" w14:textId="77777777" w:rsidTr="008340C1">
        <w:trPr>
          <w:trHeight w:val="170"/>
        </w:trPr>
        <w:tc>
          <w:tcPr>
            <w:tcW w:w="2303" w:type="dxa"/>
            <w:hideMark/>
          </w:tcPr>
          <w:p w14:paraId="09A19A01" w14:textId="77777777" w:rsidR="00CE75D4" w:rsidRPr="003472D7" w:rsidRDefault="00CE75D4" w:rsidP="008340C1">
            <w:pPr>
              <w:pStyle w:val="ARfintablebodybold"/>
              <w:spacing w:before="10" w:after="10" w:line="228" w:lineRule="auto"/>
              <w:rPr>
                <w:rFonts w:cs="Arial"/>
                <w:sz w:val="15"/>
                <w:szCs w:val="15"/>
              </w:rPr>
            </w:pPr>
            <w:r w:rsidRPr="003472D7">
              <w:rPr>
                <w:rFonts w:cs="Arial"/>
                <w:sz w:val="15"/>
                <w:szCs w:val="15"/>
              </w:rPr>
              <w:t>Net result</w:t>
            </w:r>
          </w:p>
        </w:tc>
        <w:tc>
          <w:tcPr>
            <w:tcW w:w="938" w:type="dxa"/>
            <w:noWrap/>
            <w:hideMark/>
          </w:tcPr>
          <w:p w14:paraId="179DDCDA"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223.8</w:t>
            </w:r>
          </w:p>
        </w:tc>
        <w:tc>
          <w:tcPr>
            <w:tcW w:w="737" w:type="dxa"/>
            <w:noWrap/>
            <w:hideMark/>
          </w:tcPr>
          <w:p w14:paraId="1E2E4B6C"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31.4</w:t>
            </w:r>
          </w:p>
        </w:tc>
        <w:tc>
          <w:tcPr>
            <w:tcW w:w="598" w:type="dxa"/>
            <w:noWrap/>
            <w:hideMark/>
          </w:tcPr>
          <w:p w14:paraId="711038DC"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41.7</w:t>
            </w:r>
          </w:p>
        </w:tc>
        <w:tc>
          <w:tcPr>
            <w:tcW w:w="709" w:type="dxa"/>
            <w:noWrap/>
            <w:hideMark/>
          </w:tcPr>
          <w:p w14:paraId="16624CD5"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51.4</w:t>
            </w:r>
          </w:p>
        </w:tc>
        <w:tc>
          <w:tcPr>
            <w:tcW w:w="757" w:type="dxa"/>
            <w:noWrap/>
            <w:hideMark/>
          </w:tcPr>
          <w:p w14:paraId="542A3310"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33.9</w:t>
            </w:r>
          </w:p>
        </w:tc>
        <w:tc>
          <w:tcPr>
            <w:tcW w:w="639" w:type="dxa"/>
            <w:noWrap/>
            <w:hideMark/>
          </w:tcPr>
          <w:p w14:paraId="71F5C2AD"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46.9</w:t>
            </w:r>
          </w:p>
        </w:tc>
        <w:tc>
          <w:tcPr>
            <w:tcW w:w="708" w:type="dxa"/>
            <w:noWrap/>
            <w:hideMark/>
          </w:tcPr>
          <w:p w14:paraId="7C3A6D31"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(52.0)</w:t>
            </w:r>
          </w:p>
        </w:tc>
        <w:tc>
          <w:tcPr>
            <w:tcW w:w="708" w:type="dxa"/>
            <w:noWrap/>
            <w:hideMark/>
          </w:tcPr>
          <w:p w14:paraId="687BE4DD"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5.0</w:t>
            </w:r>
          </w:p>
        </w:tc>
        <w:tc>
          <w:tcPr>
            <w:tcW w:w="749" w:type="dxa"/>
            <w:noWrap/>
            <w:hideMark/>
          </w:tcPr>
          <w:p w14:paraId="7407DA0F"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2.8</w:t>
            </w:r>
          </w:p>
        </w:tc>
        <w:tc>
          <w:tcPr>
            <w:tcW w:w="738" w:type="dxa"/>
            <w:noWrap/>
            <w:hideMark/>
          </w:tcPr>
          <w:p w14:paraId="6C45613D"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1.9</w:t>
            </w:r>
          </w:p>
        </w:tc>
        <w:tc>
          <w:tcPr>
            <w:tcW w:w="738" w:type="dxa"/>
            <w:noWrap/>
            <w:hideMark/>
          </w:tcPr>
          <w:p w14:paraId="3CB061AA"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(0.3)</w:t>
            </w:r>
          </w:p>
        </w:tc>
        <w:tc>
          <w:tcPr>
            <w:tcW w:w="738" w:type="dxa"/>
            <w:noWrap/>
            <w:hideMark/>
          </w:tcPr>
          <w:p w14:paraId="559F7E03"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3.5</w:t>
            </w:r>
          </w:p>
        </w:tc>
        <w:tc>
          <w:tcPr>
            <w:tcW w:w="590" w:type="dxa"/>
            <w:noWrap/>
            <w:hideMark/>
          </w:tcPr>
          <w:p w14:paraId="62B22F53"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(19.9)</w:t>
            </w:r>
          </w:p>
        </w:tc>
        <w:tc>
          <w:tcPr>
            <w:tcW w:w="737" w:type="dxa"/>
            <w:noWrap/>
            <w:hideMark/>
          </w:tcPr>
          <w:p w14:paraId="68CE751E"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144.6</w:t>
            </w:r>
          </w:p>
        </w:tc>
        <w:tc>
          <w:tcPr>
            <w:tcW w:w="738" w:type="dxa"/>
            <w:noWrap/>
            <w:hideMark/>
          </w:tcPr>
          <w:p w14:paraId="536FE44D"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(0.6)</w:t>
            </w:r>
          </w:p>
        </w:tc>
        <w:tc>
          <w:tcPr>
            <w:tcW w:w="590" w:type="dxa"/>
            <w:noWrap/>
            <w:hideMark/>
          </w:tcPr>
          <w:p w14:paraId="0696471A" w14:textId="77777777" w:rsidR="00CE75D4" w:rsidRPr="003472D7" w:rsidRDefault="00CE75D4" w:rsidP="008340C1">
            <w:pPr>
              <w:pStyle w:val="ARfintablebodyrightbold"/>
              <w:spacing w:before="10" w:after="10" w:line="228" w:lineRule="auto"/>
              <w:ind w:right="0"/>
              <w:rPr>
                <w:sz w:val="15"/>
                <w:szCs w:val="15"/>
              </w:rPr>
            </w:pPr>
            <w:r>
              <w:rPr>
                <w:sz w:val="15"/>
                <w:szCs w:val="15"/>
              </w:rPr>
              <w:t>–</w:t>
            </w:r>
          </w:p>
        </w:tc>
        <w:tc>
          <w:tcPr>
            <w:tcW w:w="744" w:type="dxa"/>
            <w:noWrap/>
            <w:hideMark/>
          </w:tcPr>
          <w:p w14:paraId="4E325DDA" w14:textId="77777777" w:rsidR="00CE75D4" w:rsidRPr="003472D7" w:rsidRDefault="00CE75D4" w:rsidP="008340C1">
            <w:pPr>
              <w:pStyle w:val="ARfintablebodyrightbold"/>
              <w:spacing w:before="10" w:after="10" w:line="228" w:lineRule="auto"/>
              <w:ind w:right="0"/>
              <w:rPr>
                <w:sz w:val="15"/>
                <w:szCs w:val="15"/>
              </w:rPr>
            </w:pPr>
            <w:r w:rsidRPr="003472D7">
              <w:rPr>
                <w:sz w:val="15"/>
                <w:szCs w:val="15"/>
              </w:rPr>
              <w:t>513.9</w:t>
            </w:r>
          </w:p>
        </w:tc>
      </w:tr>
    </w:tbl>
    <w:p w14:paraId="33F6BC07" w14:textId="77777777" w:rsidR="00CE75D4" w:rsidRPr="003472D7" w:rsidRDefault="00CE75D4" w:rsidP="008340C1">
      <w:pPr>
        <w:pStyle w:val="ARfintablefootnote"/>
        <w:rPr>
          <w:sz w:val="15"/>
          <w:szCs w:val="15"/>
        </w:rPr>
      </w:pPr>
      <w:r w:rsidRPr="003472D7">
        <w:rPr>
          <w:sz w:val="15"/>
          <w:szCs w:val="15"/>
          <w:lang w:eastAsia="en-AU"/>
        </w:rPr>
        <w:t>Note:</w:t>
      </w:r>
    </w:p>
    <w:p w14:paraId="1B982ECA" w14:textId="77777777" w:rsidR="00CE75D4" w:rsidRDefault="00CE75D4" w:rsidP="008340C1">
      <w:pPr>
        <w:pStyle w:val="ARfintablefootnoteindent"/>
      </w:pPr>
      <w:r w:rsidRPr="003472D7">
        <w:rPr>
          <w:sz w:val="15"/>
          <w:szCs w:val="15"/>
        </w:rPr>
        <w:t>(i)</w:t>
      </w:r>
      <w:r w:rsidRPr="003472D7">
        <w:rPr>
          <w:sz w:val="15"/>
          <w:szCs w:val="15"/>
        </w:rPr>
        <w:tab/>
        <w:t xml:space="preserve">Refer to Note 4.1.1(b) for output </w:t>
      </w:r>
      <w:r>
        <w:rPr>
          <w:sz w:val="15"/>
          <w:szCs w:val="15"/>
        </w:rPr>
        <w:t xml:space="preserve">group </w:t>
      </w:r>
      <w:r w:rsidRPr="003472D7">
        <w:rPr>
          <w:sz w:val="15"/>
          <w:szCs w:val="15"/>
        </w:rPr>
        <w:t>definitions.</w:t>
      </w:r>
    </w:p>
    <w:p w14:paraId="3847B17B" w14:textId="77777777" w:rsidR="00CE75D4" w:rsidRPr="0040433B" w:rsidRDefault="00CE75D4" w:rsidP="008340C1">
      <w:pPr>
        <w:pStyle w:val="ARfinbody"/>
      </w:pPr>
      <w:r w:rsidRPr="0040433B">
        <w:br w:type="page"/>
      </w:r>
    </w:p>
    <w:p w14:paraId="31709B12" w14:textId="77777777" w:rsidR="00CE75D4" w:rsidRDefault="00CE75D4" w:rsidP="008340C1">
      <w:pPr>
        <w:pStyle w:val="Heading5"/>
      </w:pPr>
      <w:r w:rsidRPr="001C0EB0">
        <w:t>4.1.3 Departmental outputs – Controlled assets and liabilities</w:t>
      </w:r>
    </w:p>
    <w:p w14:paraId="47F9BDC8" w14:textId="77777777" w:rsidR="00CE75D4" w:rsidRPr="00CE2A64" w:rsidRDefault="00CE75D4" w:rsidP="008340C1">
      <w:pPr>
        <w:pStyle w:val="Heading6"/>
        <w:spacing w:after="160"/>
        <w:rPr>
          <w:lang w:eastAsia="en-AU"/>
        </w:rPr>
      </w:pPr>
      <w:r>
        <w:rPr>
          <w:lang w:eastAsia="en-AU"/>
        </w:rPr>
        <w:t>A. 2022 – Outputs 1–13</w:t>
      </w:r>
    </w:p>
    <w:tbl>
      <w:tblPr>
        <w:tblStyle w:val="TableGrid"/>
        <w:tblW w:w="14459" w:type="dxa"/>
        <w:tblLayout w:type="fixed"/>
        <w:tblCellMar>
          <w:right w:w="0" w:type="dxa"/>
        </w:tblCellMar>
        <w:tblLook w:val="06A0" w:firstRow="1" w:lastRow="0" w:firstColumn="1" w:lastColumn="0" w:noHBand="1" w:noVBand="1"/>
      </w:tblPr>
      <w:tblGrid>
        <w:gridCol w:w="2273"/>
        <w:gridCol w:w="938"/>
        <w:gridCol w:w="938"/>
        <w:gridCol w:w="938"/>
        <w:gridCol w:w="938"/>
        <w:gridCol w:w="938"/>
        <w:gridCol w:w="937"/>
        <w:gridCol w:w="937"/>
        <w:gridCol w:w="937"/>
        <w:gridCol w:w="937"/>
        <w:gridCol w:w="937"/>
        <w:gridCol w:w="937"/>
        <w:gridCol w:w="937"/>
        <w:gridCol w:w="937"/>
      </w:tblGrid>
      <w:tr w:rsidR="00CE75D4" w:rsidRPr="00C0495C" w14:paraId="2E0F5A4C" w14:textId="77777777" w:rsidTr="008340C1">
        <w:trPr>
          <w:cnfStyle w:val="100000000000" w:firstRow="1" w:lastRow="0" w:firstColumn="0" w:lastColumn="0" w:oddVBand="0" w:evenVBand="0" w:oddHBand="0" w:evenHBand="0" w:firstRowFirstColumn="0" w:firstRowLastColumn="0" w:lastRowFirstColumn="0" w:lastRowLastColumn="0"/>
          <w:trHeight w:val="170"/>
          <w:tblHeader/>
        </w:trPr>
        <w:tc>
          <w:tcPr>
            <w:tcW w:w="2273" w:type="dxa"/>
            <w:tcBorders>
              <w:bottom w:val="single" w:sz="4" w:space="0" w:color="auto"/>
            </w:tcBorders>
            <w:hideMark/>
          </w:tcPr>
          <w:p w14:paraId="52F27CFE" w14:textId="77777777" w:rsidR="00CE75D4" w:rsidRPr="00F42E60" w:rsidRDefault="00CE75D4" w:rsidP="008340C1">
            <w:pPr>
              <w:pStyle w:val="ARfintablecolhead"/>
              <w:spacing w:after="20" w:line="264" w:lineRule="auto"/>
              <w:rPr>
                <w:rFonts w:cs="Arial"/>
                <w:szCs w:val="18"/>
              </w:rPr>
            </w:pPr>
            <w:r w:rsidRPr="00F42E60">
              <w:rPr>
                <w:rFonts w:cs="Arial"/>
                <w:szCs w:val="18"/>
              </w:rPr>
              <w:t>Year ended 30 June 2022</w:t>
            </w:r>
          </w:p>
          <w:p w14:paraId="3BB20639" w14:textId="77777777" w:rsidR="00CE75D4" w:rsidRPr="00F42E60" w:rsidRDefault="00CE75D4" w:rsidP="008340C1">
            <w:pPr>
              <w:pStyle w:val="ARfintablecolhead"/>
              <w:spacing w:after="20" w:line="264" w:lineRule="auto"/>
              <w:rPr>
                <w:rFonts w:cs="Arial"/>
                <w:szCs w:val="18"/>
              </w:rPr>
            </w:pPr>
            <w:r w:rsidRPr="00F42E60">
              <w:rPr>
                <w:rFonts w:cs="Arial"/>
                <w:szCs w:val="18"/>
              </w:rPr>
              <w:t xml:space="preserve">Output </w:t>
            </w:r>
            <w:r w:rsidRPr="00F42E60">
              <w:rPr>
                <w:rStyle w:val="Superscript"/>
                <w:rFonts w:cs="Arial"/>
                <w:szCs w:val="18"/>
              </w:rPr>
              <w:t>(i)</w:t>
            </w:r>
          </w:p>
        </w:tc>
        <w:tc>
          <w:tcPr>
            <w:tcW w:w="938" w:type="dxa"/>
            <w:tcBorders>
              <w:bottom w:val="single" w:sz="4" w:space="0" w:color="auto"/>
            </w:tcBorders>
            <w:hideMark/>
          </w:tcPr>
          <w:p w14:paraId="37A58C67"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1</w:t>
            </w:r>
          </w:p>
          <w:p w14:paraId="65082122"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8" w:type="dxa"/>
            <w:tcBorders>
              <w:bottom w:val="single" w:sz="4" w:space="0" w:color="auto"/>
            </w:tcBorders>
            <w:hideMark/>
          </w:tcPr>
          <w:p w14:paraId="03EC0DC4"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2</w:t>
            </w:r>
          </w:p>
          <w:p w14:paraId="11D8C7B6"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8" w:type="dxa"/>
            <w:tcBorders>
              <w:bottom w:val="single" w:sz="4" w:space="0" w:color="auto"/>
            </w:tcBorders>
            <w:hideMark/>
          </w:tcPr>
          <w:p w14:paraId="44724ABD"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3</w:t>
            </w:r>
          </w:p>
          <w:p w14:paraId="6FAA0249"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8" w:type="dxa"/>
            <w:tcBorders>
              <w:bottom w:val="single" w:sz="4" w:space="0" w:color="auto"/>
            </w:tcBorders>
            <w:hideMark/>
          </w:tcPr>
          <w:p w14:paraId="68268B40"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4</w:t>
            </w:r>
          </w:p>
          <w:p w14:paraId="29B90346"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8" w:type="dxa"/>
            <w:tcBorders>
              <w:bottom w:val="single" w:sz="4" w:space="0" w:color="auto"/>
            </w:tcBorders>
            <w:hideMark/>
          </w:tcPr>
          <w:p w14:paraId="39BF52EC"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5</w:t>
            </w:r>
          </w:p>
          <w:p w14:paraId="7BDCEDF0"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7" w:type="dxa"/>
            <w:tcBorders>
              <w:bottom w:val="single" w:sz="4" w:space="0" w:color="auto"/>
            </w:tcBorders>
            <w:hideMark/>
          </w:tcPr>
          <w:p w14:paraId="65A117F5"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6</w:t>
            </w:r>
          </w:p>
          <w:p w14:paraId="7020F0EF"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7" w:type="dxa"/>
            <w:tcBorders>
              <w:bottom w:val="single" w:sz="4" w:space="0" w:color="auto"/>
            </w:tcBorders>
            <w:hideMark/>
          </w:tcPr>
          <w:p w14:paraId="3AC80659"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7</w:t>
            </w:r>
          </w:p>
          <w:p w14:paraId="26A85209"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7" w:type="dxa"/>
            <w:tcBorders>
              <w:bottom w:val="single" w:sz="4" w:space="0" w:color="auto"/>
            </w:tcBorders>
            <w:hideMark/>
          </w:tcPr>
          <w:p w14:paraId="225FE49C"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8</w:t>
            </w:r>
          </w:p>
          <w:p w14:paraId="53D1F722"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7" w:type="dxa"/>
            <w:tcBorders>
              <w:bottom w:val="single" w:sz="4" w:space="0" w:color="auto"/>
            </w:tcBorders>
            <w:hideMark/>
          </w:tcPr>
          <w:p w14:paraId="3902B19D"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9</w:t>
            </w:r>
          </w:p>
          <w:p w14:paraId="37649AD8"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7" w:type="dxa"/>
            <w:tcBorders>
              <w:bottom w:val="single" w:sz="4" w:space="0" w:color="auto"/>
            </w:tcBorders>
            <w:hideMark/>
          </w:tcPr>
          <w:p w14:paraId="29951CE6"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10</w:t>
            </w:r>
          </w:p>
          <w:p w14:paraId="58826185"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7" w:type="dxa"/>
            <w:tcBorders>
              <w:bottom w:val="single" w:sz="4" w:space="0" w:color="auto"/>
            </w:tcBorders>
            <w:hideMark/>
          </w:tcPr>
          <w:p w14:paraId="1CE40D7A"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11</w:t>
            </w:r>
          </w:p>
          <w:p w14:paraId="73E5B2D8"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7" w:type="dxa"/>
            <w:tcBorders>
              <w:bottom w:val="single" w:sz="4" w:space="0" w:color="auto"/>
            </w:tcBorders>
            <w:hideMark/>
          </w:tcPr>
          <w:p w14:paraId="4E0B0B25"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12</w:t>
            </w:r>
          </w:p>
          <w:p w14:paraId="18B75BE4"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7" w:type="dxa"/>
            <w:tcBorders>
              <w:bottom w:val="single" w:sz="4" w:space="0" w:color="auto"/>
            </w:tcBorders>
            <w:hideMark/>
          </w:tcPr>
          <w:p w14:paraId="4D4CFE50"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13</w:t>
            </w:r>
          </w:p>
          <w:p w14:paraId="1DC51DA7"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r>
      <w:tr w:rsidR="00CE75D4" w:rsidRPr="00C0495C" w14:paraId="30FB6624" w14:textId="77777777" w:rsidTr="008340C1">
        <w:trPr>
          <w:cantSplit w:val="0"/>
          <w:trHeight w:val="170"/>
        </w:trPr>
        <w:tc>
          <w:tcPr>
            <w:tcW w:w="14459" w:type="dxa"/>
            <w:gridSpan w:val="14"/>
            <w:tcBorders>
              <w:top w:val="single" w:sz="4" w:space="0" w:color="A6A6A6"/>
              <w:bottom w:val="single" w:sz="4" w:space="0" w:color="A6A6A6"/>
            </w:tcBorders>
          </w:tcPr>
          <w:p w14:paraId="1E07EC27" w14:textId="77777777" w:rsidR="00CE75D4" w:rsidRPr="00F42E60" w:rsidRDefault="00CE75D4" w:rsidP="008340C1">
            <w:pPr>
              <w:pStyle w:val="ARfintablebodybold"/>
              <w:rPr>
                <w:rFonts w:cs="Arial"/>
                <w:szCs w:val="18"/>
              </w:rPr>
            </w:pPr>
            <w:r w:rsidRPr="00F42E60">
              <w:rPr>
                <w:rFonts w:cs="Arial"/>
                <w:szCs w:val="18"/>
              </w:rPr>
              <w:t>Assets</w:t>
            </w:r>
          </w:p>
        </w:tc>
      </w:tr>
      <w:tr w:rsidR="00CE75D4" w:rsidRPr="00C0495C" w14:paraId="2A5071C8" w14:textId="77777777" w:rsidTr="008340C1">
        <w:trPr>
          <w:cantSplit w:val="0"/>
          <w:trHeight w:val="170"/>
        </w:trPr>
        <w:tc>
          <w:tcPr>
            <w:tcW w:w="2273" w:type="dxa"/>
            <w:tcBorders>
              <w:top w:val="single" w:sz="4" w:space="0" w:color="A6A6A6"/>
              <w:bottom w:val="single" w:sz="4" w:space="0" w:color="A6A6A6"/>
            </w:tcBorders>
            <w:hideMark/>
          </w:tcPr>
          <w:p w14:paraId="378A41FA" w14:textId="77777777" w:rsidR="00CE75D4" w:rsidRPr="00F42E60" w:rsidRDefault="00CE75D4" w:rsidP="008340C1">
            <w:pPr>
              <w:pStyle w:val="ARfintablebody"/>
              <w:rPr>
                <w:szCs w:val="18"/>
              </w:rPr>
            </w:pPr>
            <w:r w:rsidRPr="00F42E60">
              <w:rPr>
                <w:szCs w:val="18"/>
              </w:rPr>
              <w:t>Financial assets</w:t>
            </w:r>
          </w:p>
        </w:tc>
        <w:tc>
          <w:tcPr>
            <w:tcW w:w="938" w:type="dxa"/>
            <w:tcBorders>
              <w:top w:val="single" w:sz="4" w:space="0" w:color="A6A6A6"/>
              <w:bottom w:val="single" w:sz="4" w:space="0" w:color="A6A6A6"/>
            </w:tcBorders>
            <w:noWrap/>
            <w:hideMark/>
          </w:tcPr>
          <w:p w14:paraId="4E11F7ED" w14:textId="77777777" w:rsidR="00CE75D4" w:rsidRPr="00F42E60" w:rsidRDefault="00CE75D4" w:rsidP="008340C1">
            <w:pPr>
              <w:pStyle w:val="ARfintablebodyright"/>
              <w:ind w:right="0"/>
              <w:rPr>
                <w:szCs w:val="18"/>
              </w:rPr>
            </w:pPr>
            <w:r w:rsidRPr="00F42E60">
              <w:rPr>
                <w:szCs w:val="18"/>
              </w:rPr>
              <w:t>2,955.2</w:t>
            </w:r>
          </w:p>
        </w:tc>
        <w:tc>
          <w:tcPr>
            <w:tcW w:w="938" w:type="dxa"/>
            <w:tcBorders>
              <w:top w:val="single" w:sz="4" w:space="0" w:color="A6A6A6"/>
              <w:bottom w:val="single" w:sz="4" w:space="0" w:color="A6A6A6"/>
            </w:tcBorders>
            <w:noWrap/>
            <w:hideMark/>
          </w:tcPr>
          <w:p w14:paraId="22610C5A" w14:textId="77777777" w:rsidR="00CE75D4" w:rsidRPr="00F42E60" w:rsidRDefault="00CE75D4" w:rsidP="008340C1">
            <w:pPr>
              <w:pStyle w:val="ARfintablebodyright"/>
              <w:ind w:right="0"/>
              <w:rPr>
                <w:szCs w:val="18"/>
              </w:rPr>
            </w:pPr>
            <w:r w:rsidRPr="00F42E60">
              <w:rPr>
                <w:szCs w:val="18"/>
              </w:rPr>
              <w:t>210.3</w:t>
            </w:r>
          </w:p>
        </w:tc>
        <w:tc>
          <w:tcPr>
            <w:tcW w:w="938" w:type="dxa"/>
            <w:tcBorders>
              <w:top w:val="single" w:sz="4" w:space="0" w:color="A6A6A6"/>
              <w:bottom w:val="single" w:sz="4" w:space="0" w:color="A6A6A6"/>
            </w:tcBorders>
            <w:noWrap/>
            <w:hideMark/>
          </w:tcPr>
          <w:p w14:paraId="00239697" w14:textId="77777777" w:rsidR="00CE75D4" w:rsidRPr="00F42E60" w:rsidRDefault="00CE75D4" w:rsidP="008340C1">
            <w:pPr>
              <w:pStyle w:val="ARfintablebodyright"/>
              <w:ind w:right="0"/>
              <w:rPr>
                <w:szCs w:val="18"/>
              </w:rPr>
            </w:pPr>
            <w:r w:rsidRPr="00F42E60">
              <w:rPr>
                <w:szCs w:val="18"/>
              </w:rPr>
              <w:t>152.1</w:t>
            </w:r>
          </w:p>
        </w:tc>
        <w:tc>
          <w:tcPr>
            <w:tcW w:w="938" w:type="dxa"/>
            <w:tcBorders>
              <w:top w:val="single" w:sz="4" w:space="0" w:color="A6A6A6"/>
              <w:bottom w:val="single" w:sz="4" w:space="0" w:color="A6A6A6"/>
            </w:tcBorders>
            <w:noWrap/>
            <w:hideMark/>
          </w:tcPr>
          <w:p w14:paraId="7054D3AD" w14:textId="77777777" w:rsidR="00CE75D4" w:rsidRPr="00F42E60" w:rsidRDefault="00CE75D4" w:rsidP="008340C1">
            <w:pPr>
              <w:pStyle w:val="ARfintablebodyright"/>
              <w:ind w:right="0"/>
              <w:rPr>
                <w:szCs w:val="18"/>
              </w:rPr>
            </w:pPr>
            <w:r w:rsidRPr="00F42E60">
              <w:rPr>
                <w:szCs w:val="18"/>
              </w:rPr>
              <w:t>36.6</w:t>
            </w:r>
          </w:p>
        </w:tc>
        <w:tc>
          <w:tcPr>
            <w:tcW w:w="938" w:type="dxa"/>
            <w:tcBorders>
              <w:top w:val="single" w:sz="4" w:space="0" w:color="A6A6A6"/>
              <w:bottom w:val="single" w:sz="4" w:space="0" w:color="A6A6A6"/>
            </w:tcBorders>
            <w:noWrap/>
            <w:hideMark/>
          </w:tcPr>
          <w:p w14:paraId="0149963A" w14:textId="77777777" w:rsidR="00CE75D4" w:rsidRPr="00F42E60" w:rsidRDefault="00CE75D4" w:rsidP="008340C1">
            <w:pPr>
              <w:pStyle w:val="ARfintablebodyright"/>
              <w:ind w:right="0"/>
              <w:rPr>
                <w:szCs w:val="18"/>
              </w:rPr>
            </w:pPr>
            <w:r w:rsidRPr="00F42E60">
              <w:rPr>
                <w:szCs w:val="18"/>
              </w:rPr>
              <w:t>47.4</w:t>
            </w:r>
          </w:p>
        </w:tc>
        <w:tc>
          <w:tcPr>
            <w:tcW w:w="937" w:type="dxa"/>
            <w:tcBorders>
              <w:top w:val="single" w:sz="4" w:space="0" w:color="A6A6A6"/>
              <w:bottom w:val="single" w:sz="4" w:space="0" w:color="A6A6A6"/>
            </w:tcBorders>
            <w:noWrap/>
            <w:hideMark/>
          </w:tcPr>
          <w:p w14:paraId="7F14F307" w14:textId="77777777" w:rsidR="00CE75D4" w:rsidRPr="00F42E60" w:rsidRDefault="00CE75D4" w:rsidP="008340C1">
            <w:pPr>
              <w:pStyle w:val="ARfintablebodyright"/>
              <w:ind w:right="0"/>
              <w:rPr>
                <w:szCs w:val="18"/>
              </w:rPr>
            </w:pPr>
            <w:r w:rsidRPr="00F42E60">
              <w:rPr>
                <w:szCs w:val="18"/>
              </w:rPr>
              <w:t>0.9</w:t>
            </w:r>
          </w:p>
        </w:tc>
        <w:tc>
          <w:tcPr>
            <w:tcW w:w="937" w:type="dxa"/>
            <w:tcBorders>
              <w:top w:val="single" w:sz="4" w:space="0" w:color="A6A6A6"/>
              <w:bottom w:val="single" w:sz="4" w:space="0" w:color="A6A6A6"/>
            </w:tcBorders>
            <w:noWrap/>
            <w:hideMark/>
          </w:tcPr>
          <w:p w14:paraId="61BC4A14" w14:textId="77777777" w:rsidR="00CE75D4" w:rsidRPr="00F42E60" w:rsidRDefault="00CE75D4" w:rsidP="008340C1">
            <w:pPr>
              <w:pStyle w:val="ARfintablebodyright"/>
              <w:ind w:right="0"/>
              <w:rPr>
                <w:szCs w:val="18"/>
              </w:rPr>
            </w:pPr>
            <w:r w:rsidRPr="00F42E60">
              <w:rPr>
                <w:szCs w:val="18"/>
              </w:rPr>
              <w:t>15.4</w:t>
            </w:r>
          </w:p>
        </w:tc>
        <w:tc>
          <w:tcPr>
            <w:tcW w:w="937" w:type="dxa"/>
            <w:tcBorders>
              <w:top w:val="single" w:sz="4" w:space="0" w:color="A6A6A6"/>
              <w:bottom w:val="single" w:sz="4" w:space="0" w:color="A6A6A6"/>
            </w:tcBorders>
            <w:noWrap/>
            <w:hideMark/>
          </w:tcPr>
          <w:p w14:paraId="0F72D449" w14:textId="77777777" w:rsidR="00CE75D4" w:rsidRPr="00F42E60" w:rsidRDefault="00CE75D4" w:rsidP="008340C1">
            <w:pPr>
              <w:pStyle w:val="ARfintablebodyright"/>
              <w:ind w:right="0"/>
              <w:rPr>
                <w:szCs w:val="18"/>
              </w:rPr>
            </w:pPr>
            <w:r w:rsidRPr="00F42E60">
              <w:rPr>
                <w:szCs w:val="18"/>
              </w:rPr>
              <w:t>8.5</w:t>
            </w:r>
          </w:p>
        </w:tc>
        <w:tc>
          <w:tcPr>
            <w:tcW w:w="937" w:type="dxa"/>
            <w:tcBorders>
              <w:top w:val="single" w:sz="4" w:space="0" w:color="A6A6A6"/>
              <w:bottom w:val="single" w:sz="4" w:space="0" w:color="A6A6A6"/>
            </w:tcBorders>
            <w:noWrap/>
            <w:hideMark/>
          </w:tcPr>
          <w:p w14:paraId="4346A107" w14:textId="77777777" w:rsidR="00CE75D4" w:rsidRPr="00F42E60" w:rsidRDefault="00CE75D4" w:rsidP="008340C1">
            <w:pPr>
              <w:pStyle w:val="ARfintablebodyright"/>
              <w:ind w:right="0"/>
              <w:rPr>
                <w:szCs w:val="18"/>
              </w:rPr>
            </w:pPr>
            <w:r w:rsidRPr="00F42E60">
              <w:rPr>
                <w:szCs w:val="18"/>
              </w:rPr>
              <w:t>220.3</w:t>
            </w:r>
          </w:p>
        </w:tc>
        <w:tc>
          <w:tcPr>
            <w:tcW w:w="937" w:type="dxa"/>
            <w:tcBorders>
              <w:top w:val="single" w:sz="4" w:space="0" w:color="A6A6A6"/>
              <w:bottom w:val="single" w:sz="4" w:space="0" w:color="A6A6A6"/>
            </w:tcBorders>
            <w:noWrap/>
            <w:hideMark/>
          </w:tcPr>
          <w:p w14:paraId="079C5F57" w14:textId="77777777" w:rsidR="00CE75D4" w:rsidRPr="00F42E60" w:rsidRDefault="00CE75D4" w:rsidP="008340C1">
            <w:pPr>
              <w:pStyle w:val="ARfintablebodyright"/>
              <w:ind w:right="0"/>
              <w:rPr>
                <w:szCs w:val="18"/>
              </w:rPr>
            </w:pPr>
            <w:r w:rsidRPr="00F42E60">
              <w:rPr>
                <w:szCs w:val="18"/>
              </w:rPr>
              <w:t>29.2</w:t>
            </w:r>
          </w:p>
        </w:tc>
        <w:tc>
          <w:tcPr>
            <w:tcW w:w="937" w:type="dxa"/>
            <w:tcBorders>
              <w:top w:val="single" w:sz="4" w:space="0" w:color="A6A6A6"/>
              <w:bottom w:val="single" w:sz="4" w:space="0" w:color="A6A6A6"/>
            </w:tcBorders>
            <w:noWrap/>
            <w:hideMark/>
          </w:tcPr>
          <w:p w14:paraId="15023F43" w14:textId="77777777" w:rsidR="00CE75D4" w:rsidRPr="00F42E60" w:rsidRDefault="00CE75D4" w:rsidP="008340C1">
            <w:pPr>
              <w:pStyle w:val="ARfintablebodyright"/>
              <w:ind w:right="0"/>
              <w:rPr>
                <w:szCs w:val="18"/>
              </w:rPr>
            </w:pPr>
            <w:r w:rsidRPr="00F42E60">
              <w:rPr>
                <w:szCs w:val="18"/>
              </w:rPr>
              <w:t>(0.2)</w:t>
            </w:r>
          </w:p>
        </w:tc>
        <w:tc>
          <w:tcPr>
            <w:tcW w:w="937" w:type="dxa"/>
            <w:tcBorders>
              <w:top w:val="single" w:sz="4" w:space="0" w:color="A6A6A6"/>
              <w:bottom w:val="single" w:sz="4" w:space="0" w:color="A6A6A6"/>
            </w:tcBorders>
            <w:noWrap/>
            <w:hideMark/>
          </w:tcPr>
          <w:p w14:paraId="124198BA" w14:textId="77777777" w:rsidR="00CE75D4" w:rsidRPr="00F42E60" w:rsidRDefault="00CE75D4" w:rsidP="008340C1">
            <w:pPr>
              <w:pStyle w:val="ARfintablebodyright"/>
              <w:ind w:right="0"/>
              <w:rPr>
                <w:szCs w:val="18"/>
              </w:rPr>
            </w:pPr>
            <w:r w:rsidRPr="00F42E60">
              <w:rPr>
                <w:szCs w:val="18"/>
              </w:rPr>
              <w:t>42.2</w:t>
            </w:r>
          </w:p>
        </w:tc>
        <w:tc>
          <w:tcPr>
            <w:tcW w:w="937" w:type="dxa"/>
            <w:tcBorders>
              <w:top w:val="single" w:sz="4" w:space="0" w:color="A6A6A6"/>
              <w:bottom w:val="single" w:sz="4" w:space="0" w:color="A6A6A6"/>
            </w:tcBorders>
            <w:noWrap/>
            <w:hideMark/>
          </w:tcPr>
          <w:p w14:paraId="798CD190" w14:textId="77777777" w:rsidR="00CE75D4" w:rsidRPr="00F42E60" w:rsidRDefault="00CE75D4" w:rsidP="008340C1">
            <w:pPr>
              <w:pStyle w:val="ARfintablebodyright"/>
              <w:ind w:right="0"/>
              <w:rPr>
                <w:szCs w:val="18"/>
              </w:rPr>
            </w:pPr>
            <w:r w:rsidRPr="00F42E60">
              <w:rPr>
                <w:szCs w:val="18"/>
              </w:rPr>
              <w:t>286.0</w:t>
            </w:r>
          </w:p>
        </w:tc>
      </w:tr>
      <w:tr w:rsidR="00CE75D4" w:rsidRPr="00C0495C" w14:paraId="1BCDCDB1" w14:textId="77777777" w:rsidTr="008340C1">
        <w:trPr>
          <w:cantSplit w:val="0"/>
          <w:trHeight w:val="170"/>
        </w:trPr>
        <w:tc>
          <w:tcPr>
            <w:tcW w:w="2273" w:type="dxa"/>
            <w:tcBorders>
              <w:top w:val="single" w:sz="4" w:space="0" w:color="A6A6A6"/>
              <w:bottom w:val="single" w:sz="4" w:space="0" w:color="A6A6A6"/>
            </w:tcBorders>
            <w:hideMark/>
          </w:tcPr>
          <w:p w14:paraId="6B29D1DB" w14:textId="77777777" w:rsidR="00CE75D4" w:rsidRPr="00F42E60" w:rsidRDefault="00CE75D4" w:rsidP="008340C1">
            <w:pPr>
              <w:pStyle w:val="ARfintablebody"/>
              <w:rPr>
                <w:szCs w:val="18"/>
              </w:rPr>
            </w:pPr>
            <w:r w:rsidRPr="00F42E60">
              <w:rPr>
                <w:szCs w:val="18"/>
              </w:rPr>
              <w:t>Non-financial assets</w:t>
            </w:r>
          </w:p>
        </w:tc>
        <w:tc>
          <w:tcPr>
            <w:tcW w:w="938" w:type="dxa"/>
            <w:tcBorders>
              <w:top w:val="single" w:sz="4" w:space="0" w:color="A6A6A6"/>
              <w:bottom w:val="single" w:sz="4" w:space="0" w:color="A6A6A6"/>
            </w:tcBorders>
            <w:noWrap/>
            <w:hideMark/>
          </w:tcPr>
          <w:p w14:paraId="3E64B459" w14:textId="77777777" w:rsidR="00CE75D4" w:rsidRPr="00F42E60" w:rsidRDefault="00CE75D4" w:rsidP="008340C1">
            <w:pPr>
              <w:pStyle w:val="ARfintablebodyright"/>
              <w:ind w:right="0"/>
              <w:rPr>
                <w:szCs w:val="18"/>
              </w:rPr>
            </w:pPr>
            <w:r w:rsidRPr="00F42E60">
              <w:rPr>
                <w:szCs w:val="18"/>
              </w:rPr>
              <w:t>1,646.</w:t>
            </w:r>
            <w:r>
              <w:rPr>
                <w:szCs w:val="18"/>
              </w:rPr>
              <w:t>5</w:t>
            </w:r>
          </w:p>
        </w:tc>
        <w:tc>
          <w:tcPr>
            <w:tcW w:w="938" w:type="dxa"/>
            <w:tcBorders>
              <w:top w:val="single" w:sz="4" w:space="0" w:color="A6A6A6"/>
              <w:bottom w:val="single" w:sz="4" w:space="0" w:color="A6A6A6"/>
            </w:tcBorders>
            <w:noWrap/>
            <w:hideMark/>
          </w:tcPr>
          <w:p w14:paraId="3867827D" w14:textId="77777777" w:rsidR="00CE75D4" w:rsidRPr="00F42E60" w:rsidRDefault="00CE75D4" w:rsidP="008340C1">
            <w:pPr>
              <w:pStyle w:val="ARfintablebodyright"/>
              <w:ind w:right="0"/>
              <w:rPr>
                <w:szCs w:val="18"/>
              </w:rPr>
            </w:pPr>
            <w:r w:rsidRPr="00F42E60">
              <w:rPr>
                <w:szCs w:val="18"/>
              </w:rPr>
              <w:t>0.7</w:t>
            </w:r>
          </w:p>
        </w:tc>
        <w:tc>
          <w:tcPr>
            <w:tcW w:w="938" w:type="dxa"/>
            <w:tcBorders>
              <w:top w:val="single" w:sz="4" w:space="0" w:color="A6A6A6"/>
              <w:bottom w:val="single" w:sz="4" w:space="0" w:color="A6A6A6"/>
            </w:tcBorders>
            <w:noWrap/>
            <w:hideMark/>
          </w:tcPr>
          <w:p w14:paraId="7605CC2D" w14:textId="77777777" w:rsidR="00CE75D4" w:rsidRPr="00F42E60" w:rsidRDefault="00CE75D4" w:rsidP="008340C1">
            <w:pPr>
              <w:pStyle w:val="ARfintablebodyright"/>
              <w:ind w:right="0"/>
              <w:rPr>
                <w:szCs w:val="18"/>
              </w:rPr>
            </w:pPr>
            <w:r w:rsidRPr="00F42E60">
              <w:rPr>
                <w:szCs w:val="18"/>
              </w:rPr>
              <w:t>0.3</w:t>
            </w:r>
          </w:p>
        </w:tc>
        <w:tc>
          <w:tcPr>
            <w:tcW w:w="938" w:type="dxa"/>
            <w:tcBorders>
              <w:top w:val="single" w:sz="4" w:space="0" w:color="A6A6A6"/>
              <w:bottom w:val="single" w:sz="4" w:space="0" w:color="A6A6A6"/>
            </w:tcBorders>
            <w:noWrap/>
            <w:hideMark/>
          </w:tcPr>
          <w:p w14:paraId="5776C139" w14:textId="77777777" w:rsidR="00CE75D4" w:rsidRPr="00F42E60" w:rsidRDefault="00CE75D4" w:rsidP="008340C1">
            <w:pPr>
              <w:pStyle w:val="ARfintablebodyright"/>
              <w:ind w:right="0"/>
              <w:rPr>
                <w:szCs w:val="18"/>
              </w:rPr>
            </w:pPr>
            <w:r w:rsidRPr="00F42E60">
              <w:rPr>
                <w:szCs w:val="18"/>
              </w:rPr>
              <w:t>–</w:t>
            </w:r>
          </w:p>
        </w:tc>
        <w:tc>
          <w:tcPr>
            <w:tcW w:w="938" w:type="dxa"/>
            <w:tcBorders>
              <w:top w:val="single" w:sz="4" w:space="0" w:color="A6A6A6"/>
              <w:bottom w:val="single" w:sz="4" w:space="0" w:color="A6A6A6"/>
            </w:tcBorders>
            <w:noWrap/>
            <w:hideMark/>
          </w:tcPr>
          <w:p w14:paraId="01DF90B0" w14:textId="77777777" w:rsidR="00CE75D4" w:rsidRPr="00F42E60" w:rsidRDefault="00CE75D4" w:rsidP="008340C1">
            <w:pPr>
              <w:pStyle w:val="ARfintablebodyright"/>
              <w:ind w:right="0"/>
              <w:rPr>
                <w:szCs w:val="18"/>
              </w:rPr>
            </w:pPr>
            <w:r w:rsidRPr="00F42E60">
              <w:rPr>
                <w:szCs w:val="18"/>
              </w:rPr>
              <w:t>113.4</w:t>
            </w:r>
          </w:p>
        </w:tc>
        <w:tc>
          <w:tcPr>
            <w:tcW w:w="937" w:type="dxa"/>
            <w:tcBorders>
              <w:top w:val="single" w:sz="4" w:space="0" w:color="A6A6A6"/>
              <w:bottom w:val="single" w:sz="4" w:space="0" w:color="A6A6A6"/>
            </w:tcBorders>
            <w:noWrap/>
            <w:hideMark/>
          </w:tcPr>
          <w:p w14:paraId="78BE4F67" w14:textId="77777777" w:rsidR="00CE75D4" w:rsidRPr="00F42E60" w:rsidRDefault="00CE75D4" w:rsidP="008340C1">
            <w:pPr>
              <w:pStyle w:val="ARfintablebodyright"/>
              <w:ind w:right="0"/>
              <w:rPr>
                <w:szCs w:val="18"/>
              </w:rPr>
            </w:pPr>
            <w:r w:rsidRPr="00F42E60">
              <w:rPr>
                <w:szCs w:val="18"/>
              </w:rPr>
              <w:t>–</w:t>
            </w:r>
          </w:p>
        </w:tc>
        <w:tc>
          <w:tcPr>
            <w:tcW w:w="937" w:type="dxa"/>
            <w:tcBorders>
              <w:top w:val="single" w:sz="4" w:space="0" w:color="A6A6A6"/>
              <w:bottom w:val="single" w:sz="4" w:space="0" w:color="A6A6A6"/>
            </w:tcBorders>
            <w:noWrap/>
            <w:hideMark/>
          </w:tcPr>
          <w:p w14:paraId="37F92DB6" w14:textId="77777777" w:rsidR="00CE75D4" w:rsidRPr="00F42E60" w:rsidRDefault="00CE75D4" w:rsidP="008340C1">
            <w:pPr>
              <w:pStyle w:val="ARfintablebodyright"/>
              <w:ind w:right="0"/>
              <w:rPr>
                <w:szCs w:val="18"/>
              </w:rPr>
            </w:pPr>
            <w:r w:rsidRPr="00F42E60">
              <w:rPr>
                <w:szCs w:val="18"/>
              </w:rPr>
              <w:t>2.6</w:t>
            </w:r>
          </w:p>
        </w:tc>
        <w:tc>
          <w:tcPr>
            <w:tcW w:w="937" w:type="dxa"/>
            <w:tcBorders>
              <w:top w:val="single" w:sz="4" w:space="0" w:color="A6A6A6"/>
              <w:bottom w:val="single" w:sz="4" w:space="0" w:color="A6A6A6"/>
            </w:tcBorders>
            <w:noWrap/>
            <w:hideMark/>
          </w:tcPr>
          <w:p w14:paraId="6D5B834B" w14:textId="77777777" w:rsidR="00CE75D4" w:rsidRPr="00F42E60" w:rsidRDefault="00CE75D4" w:rsidP="008340C1">
            <w:pPr>
              <w:pStyle w:val="ARfintablebodyright"/>
              <w:ind w:right="0"/>
              <w:rPr>
                <w:szCs w:val="18"/>
              </w:rPr>
            </w:pPr>
            <w:r w:rsidRPr="00F42E60">
              <w:rPr>
                <w:szCs w:val="18"/>
              </w:rPr>
              <w:t>1.9</w:t>
            </w:r>
          </w:p>
        </w:tc>
        <w:tc>
          <w:tcPr>
            <w:tcW w:w="937" w:type="dxa"/>
            <w:tcBorders>
              <w:top w:val="single" w:sz="4" w:space="0" w:color="A6A6A6"/>
              <w:bottom w:val="single" w:sz="4" w:space="0" w:color="A6A6A6"/>
            </w:tcBorders>
            <w:noWrap/>
            <w:hideMark/>
          </w:tcPr>
          <w:p w14:paraId="6AC8CED4" w14:textId="77777777" w:rsidR="00CE75D4" w:rsidRPr="00F42E60" w:rsidRDefault="00CE75D4" w:rsidP="008340C1">
            <w:pPr>
              <w:pStyle w:val="ARfintablebodyright"/>
              <w:ind w:right="0"/>
              <w:rPr>
                <w:szCs w:val="18"/>
              </w:rPr>
            </w:pPr>
            <w:r w:rsidRPr="00F42E60">
              <w:rPr>
                <w:szCs w:val="18"/>
              </w:rPr>
              <w:t>1.4</w:t>
            </w:r>
          </w:p>
        </w:tc>
        <w:tc>
          <w:tcPr>
            <w:tcW w:w="937" w:type="dxa"/>
            <w:tcBorders>
              <w:top w:val="single" w:sz="4" w:space="0" w:color="A6A6A6"/>
              <w:bottom w:val="single" w:sz="4" w:space="0" w:color="A6A6A6"/>
            </w:tcBorders>
            <w:noWrap/>
            <w:hideMark/>
          </w:tcPr>
          <w:p w14:paraId="34B37B26" w14:textId="77777777" w:rsidR="00CE75D4" w:rsidRPr="00F42E60" w:rsidRDefault="00CE75D4" w:rsidP="008340C1">
            <w:pPr>
              <w:pStyle w:val="ARfintablebodyright"/>
              <w:ind w:right="0"/>
              <w:rPr>
                <w:szCs w:val="18"/>
              </w:rPr>
            </w:pPr>
            <w:r w:rsidRPr="00F42E60">
              <w:rPr>
                <w:szCs w:val="18"/>
              </w:rPr>
              <w:t>1.3</w:t>
            </w:r>
          </w:p>
        </w:tc>
        <w:tc>
          <w:tcPr>
            <w:tcW w:w="937" w:type="dxa"/>
            <w:tcBorders>
              <w:top w:val="single" w:sz="4" w:space="0" w:color="A6A6A6"/>
              <w:bottom w:val="single" w:sz="4" w:space="0" w:color="A6A6A6"/>
            </w:tcBorders>
            <w:noWrap/>
            <w:hideMark/>
          </w:tcPr>
          <w:p w14:paraId="64883C71" w14:textId="77777777" w:rsidR="00CE75D4" w:rsidRPr="00F42E60" w:rsidRDefault="00CE75D4" w:rsidP="008340C1">
            <w:pPr>
              <w:pStyle w:val="ARfintablebodyright"/>
              <w:ind w:right="0"/>
              <w:rPr>
                <w:szCs w:val="18"/>
              </w:rPr>
            </w:pPr>
            <w:r w:rsidRPr="00F42E60">
              <w:rPr>
                <w:szCs w:val="18"/>
              </w:rPr>
              <w:t>0.4</w:t>
            </w:r>
          </w:p>
        </w:tc>
        <w:tc>
          <w:tcPr>
            <w:tcW w:w="937" w:type="dxa"/>
            <w:tcBorders>
              <w:top w:val="single" w:sz="4" w:space="0" w:color="A6A6A6"/>
              <w:bottom w:val="single" w:sz="4" w:space="0" w:color="A6A6A6"/>
            </w:tcBorders>
            <w:noWrap/>
            <w:hideMark/>
          </w:tcPr>
          <w:p w14:paraId="59839A82" w14:textId="77777777" w:rsidR="00CE75D4" w:rsidRPr="00F42E60" w:rsidRDefault="00CE75D4" w:rsidP="008340C1">
            <w:pPr>
              <w:pStyle w:val="ARfintablebodyright"/>
              <w:ind w:right="0"/>
              <w:rPr>
                <w:szCs w:val="18"/>
              </w:rPr>
            </w:pPr>
            <w:r w:rsidRPr="00F42E60">
              <w:rPr>
                <w:szCs w:val="18"/>
              </w:rPr>
              <w:t>78.4</w:t>
            </w:r>
          </w:p>
        </w:tc>
        <w:tc>
          <w:tcPr>
            <w:tcW w:w="937" w:type="dxa"/>
            <w:tcBorders>
              <w:top w:val="single" w:sz="4" w:space="0" w:color="A6A6A6"/>
              <w:bottom w:val="single" w:sz="4" w:space="0" w:color="A6A6A6"/>
            </w:tcBorders>
            <w:noWrap/>
            <w:hideMark/>
          </w:tcPr>
          <w:p w14:paraId="28CB56CD" w14:textId="77777777" w:rsidR="00CE75D4" w:rsidRPr="00F42E60" w:rsidRDefault="00CE75D4" w:rsidP="008340C1">
            <w:pPr>
              <w:pStyle w:val="ARfintablebodyright"/>
              <w:ind w:right="0"/>
              <w:rPr>
                <w:szCs w:val="18"/>
              </w:rPr>
            </w:pPr>
            <w:r w:rsidRPr="00F42E60">
              <w:rPr>
                <w:szCs w:val="18"/>
              </w:rPr>
              <w:t>408.5</w:t>
            </w:r>
          </w:p>
        </w:tc>
      </w:tr>
      <w:tr w:rsidR="00CE75D4" w:rsidRPr="00C0495C" w14:paraId="4AD60857" w14:textId="77777777" w:rsidTr="008340C1">
        <w:trPr>
          <w:cantSplit w:val="0"/>
          <w:trHeight w:val="170"/>
        </w:trPr>
        <w:tc>
          <w:tcPr>
            <w:tcW w:w="2273" w:type="dxa"/>
            <w:tcBorders>
              <w:bottom w:val="single" w:sz="4" w:space="0" w:color="auto"/>
            </w:tcBorders>
            <w:hideMark/>
          </w:tcPr>
          <w:p w14:paraId="4158C343" w14:textId="77777777" w:rsidR="00CE75D4" w:rsidRPr="00F42E60" w:rsidRDefault="00CE75D4" w:rsidP="008340C1">
            <w:pPr>
              <w:pStyle w:val="ARfintablebodybold"/>
              <w:rPr>
                <w:rFonts w:cs="Arial"/>
                <w:szCs w:val="18"/>
              </w:rPr>
            </w:pPr>
            <w:r w:rsidRPr="00F42E60">
              <w:rPr>
                <w:rFonts w:cs="Arial"/>
                <w:szCs w:val="18"/>
              </w:rPr>
              <w:t>Total assets</w:t>
            </w:r>
          </w:p>
        </w:tc>
        <w:tc>
          <w:tcPr>
            <w:tcW w:w="938" w:type="dxa"/>
            <w:tcBorders>
              <w:bottom w:val="single" w:sz="4" w:space="0" w:color="auto"/>
            </w:tcBorders>
            <w:noWrap/>
            <w:hideMark/>
          </w:tcPr>
          <w:p w14:paraId="0547B184" w14:textId="77777777" w:rsidR="00CE75D4" w:rsidRPr="00F42E60" w:rsidRDefault="00CE75D4" w:rsidP="008340C1">
            <w:pPr>
              <w:pStyle w:val="ARfintablebodyrightbold"/>
              <w:ind w:right="0"/>
              <w:rPr>
                <w:szCs w:val="18"/>
              </w:rPr>
            </w:pPr>
            <w:r w:rsidRPr="00F42E60">
              <w:rPr>
                <w:szCs w:val="18"/>
              </w:rPr>
              <w:t>4,601.7</w:t>
            </w:r>
          </w:p>
        </w:tc>
        <w:tc>
          <w:tcPr>
            <w:tcW w:w="938" w:type="dxa"/>
            <w:tcBorders>
              <w:bottom w:val="single" w:sz="4" w:space="0" w:color="auto"/>
            </w:tcBorders>
            <w:noWrap/>
            <w:hideMark/>
          </w:tcPr>
          <w:p w14:paraId="2A71D611" w14:textId="77777777" w:rsidR="00CE75D4" w:rsidRPr="00F42E60" w:rsidRDefault="00CE75D4" w:rsidP="008340C1">
            <w:pPr>
              <w:pStyle w:val="ARfintablebodyrightbold"/>
              <w:ind w:right="0"/>
              <w:rPr>
                <w:szCs w:val="18"/>
              </w:rPr>
            </w:pPr>
            <w:r w:rsidRPr="00F42E60">
              <w:rPr>
                <w:szCs w:val="18"/>
              </w:rPr>
              <w:t>211.0</w:t>
            </w:r>
          </w:p>
        </w:tc>
        <w:tc>
          <w:tcPr>
            <w:tcW w:w="938" w:type="dxa"/>
            <w:tcBorders>
              <w:bottom w:val="single" w:sz="4" w:space="0" w:color="auto"/>
            </w:tcBorders>
            <w:noWrap/>
            <w:hideMark/>
          </w:tcPr>
          <w:p w14:paraId="6C2E1E18" w14:textId="77777777" w:rsidR="00CE75D4" w:rsidRPr="00F42E60" w:rsidRDefault="00CE75D4" w:rsidP="008340C1">
            <w:pPr>
              <w:pStyle w:val="ARfintablebodyrightbold"/>
              <w:ind w:right="0"/>
              <w:rPr>
                <w:szCs w:val="18"/>
              </w:rPr>
            </w:pPr>
            <w:r w:rsidRPr="00F42E60">
              <w:rPr>
                <w:szCs w:val="18"/>
              </w:rPr>
              <w:t>152.4</w:t>
            </w:r>
          </w:p>
        </w:tc>
        <w:tc>
          <w:tcPr>
            <w:tcW w:w="938" w:type="dxa"/>
            <w:tcBorders>
              <w:bottom w:val="single" w:sz="4" w:space="0" w:color="auto"/>
            </w:tcBorders>
            <w:noWrap/>
            <w:hideMark/>
          </w:tcPr>
          <w:p w14:paraId="40456958" w14:textId="77777777" w:rsidR="00CE75D4" w:rsidRPr="00F42E60" w:rsidRDefault="00CE75D4" w:rsidP="008340C1">
            <w:pPr>
              <w:pStyle w:val="ARfintablebodyrightbold"/>
              <w:ind w:right="0"/>
              <w:rPr>
                <w:szCs w:val="18"/>
              </w:rPr>
            </w:pPr>
            <w:r w:rsidRPr="00F42E60">
              <w:rPr>
                <w:szCs w:val="18"/>
              </w:rPr>
              <w:t>36.6</w:t>
            </w:r>
          </w:p>
        </w:tc>
        <w:tc>
          <w:tcPr>
            <w:tcW w:w="938" w:type="dxa"/>
            <w:tcBorders>
              <w:bottom w:val="single" w:sz="4" w:space="0" w:color="auto"/>
            </w:tcBorders>
            <w:noWrap/>
            <w:hideMark/>
          </w:tcPr>
          <w:p w14:paraId="41E71ABA" w14:textId="77777777" w:rsidR="00CE75D4" w:rsidRPr="00F42E60" w:rsidRDefault="00CE75D4" w:rsidP="008340C1">
            <w:pPr>
              <w:pStyle w:val="ARfintablebodyrightbold"/>
              <w:ind w:right="0"/>
              <w:rPr>
                <w:szCs w:val="18"/>
              </w:rPr>
            </w:pPr>
            <w:r w:rsidRPr="00F42E60">
              <w:rPr>
                <w:szCs w:val="18"/>
              </w:rPr>
              <w:t>160.8</w:t>
            </w:r>
          </w:p>
        </w:tc>
        <w:tc>
          <w:tcPr>
            <w:tcW w:w="937" w:type="dxa"/>
            <w:tcBorders>
              <w:bottom w:val="single" w:sz="4" w:space="0" w:color="auto"/>
            </w:tcBorders>
            <w:noWrap/>
            <w:hideMark/>
          </w:tcPr>
          <w:p w14:paraId="59F92F87" w14:textId="77777777" w:rsidR="00CE75D4" w:rsidRPr="00F42E60" w:rsidRDefault="00CE75D4" w:rsidP="008340C1">
            <w:pPr>
              <w:pStyle w:val="ARfintablebodyrightbold"/>
              <w:ind w:right="0"/>
              <w:rPr>
                <w:szCs w:val="18"/>
              </w:rPr>
            </w:pPr>
            <w:r w:rsidRPr="00F42E60">
              <w:rPr>
                <w:szCs w:val="18"/>
              </w:rPr>
              <w:t>0.9</w:t>
            </w:r>
          </w:p>
        </w:tc>
        <w:tc>
          <w:tcPr>
            <w:tcW w:w="937" w:type="dxa"/>
            <w:tcBorders>
              <w:bottom w:val="single" w:sz="4" w:space="0" w:color="auto"/>
            </w:tcBorders>
            <w:noWrap/>
            <w:hideMark/>
          </w:tcPr>
          <w:p w14:paraId="47A145B4" w14:textId="77777777" w:rsidR="00CE75D4" w:rsidRPr="00F42E60" w:rsidRDefault="00CE75D4" w:rsidP="008340C1">
            <w:pPr>
              <w:pStyle w:val="ARfintablebodyrightbold"/>
              <w:ind w:right="0"/>
              <w:rPr>
                <w:szCs w:val="18"/>
              </w:rPr>
            </w:pPr>
            <w:r w:rsidRPr="00F42E60">
              <w:rPr>
                <w:szCs w:val="18"/>
              </w:rPr>
              <w:t>18.0</w:t>
            </w:r>
          </w:p>
        </w:tc>
        <w:tc>
          <w:tcPr>
            <w:tcW w:w="937" w:type="dxa"/>
            <w:tcBorders>
              <w:bottom w:val="single" w:sz="4" w:space="0" w:color="auto"/>
            </w:tcBorders>
            <w:noWrap/>
            <w:hideMark/>
          </w:tcPr>
          <w:p w14:paraId="10FBE74E" w14:textId="77777777" w:rsidR="00CE75D4" w:rsidRPr="00F42E60" w:rsidRDefault="00CE75D4" w:rsidP="008340C1">
            <w:pPr>
              <w:pStyle w:val="ARfintablebodyrightbold"/>
              <w:ind w:right="0"/>
              <w:rPr>
                <w:szCs w:val="18"/>
              </w:rPr>
            </w:pPr>
            <w:r w:rsidRPr="00F42E60">
              <w:rPr>
                <w:szCs w:val="18"/>
              </w:rPr>
              <w:t>10.4</w:t>
            </w:r>
          </w:p>
        </w:tc>
        <w:tc>
          <w:tcPr>
            <w:tcW w:w="937" w:type="dxa"/>
            <w:tcBorders>
              <w:bottom w:val="single" w:sz="4" w:space="0" w:color="auto"/>
            </w:tcBorders>
            <w:noWrap/>
            <w:hideMark/>
          </w:tcPr>
          <w:p w14:paraId="2AE557CE" w14:textId="77777777" w:rsidR="00CE75D4" w:rsidRPr="00F42E60" w:rsidRDefault="00CE75D4" w:rsidP="008340C1">
            <w:pPr>
              <w:pStyle w:val="ARfintablebodyrightbold"/>
              <w:ind w:right="0"/>
              <w:rPr>
                <w:szCs w:val="18"/>
              </w:rPr>
            </w:pPr>
            <w:r w:rsidRPr="00F42E60">
              <w:rPr>
                <w:szCs w:val="18"/>
              </w:rPr>
              <w:t>221.7</w:t>
            </w:r>
          </w:p>
        </w:tc>
        <w:tc>
          <w:tcPr>
            <w:tcW w:w="937" w:type="dxa"/>
            <w:tcBorders>
              <w:bottom w:val="single" w:sz="4" w:space="0" w:color="auto"/>
            </w:tcBorders>
            <w:noWrap/>
            <w:hideMark/>
          </w:tcPr>
          <w:p w14:paraId="3B6643B7" w14:textId="77777777" w:rsidR="00CE75D4" w:rsidRPr="00F42E60" w:rsidRDefault="00CE75D4" w:rsidP="008340C1">
            <w:pPr>
              <w:pStyle w:val="ARfintablebodyrightbold"/>
              <w:ind w:right="0"/>
              <w:rPr>
                <w:szCs w:val="18"/>
              </w:rPr>
            </w:pPr>
            <w:r w:rsidRPr="00F42E60">
              <w:rPr>
                <w:szCs w:val="18"/>
              </w:rPr>
              <w:t>30.5</w:t>
            </w:r>
          </w:p>
        </w:tc>
        <w:tc>
          <w:tcPr>
            <w:tcW w:w="937" w:type="dxa"/>
            <w:tcBorders>
              <w:bottom w:val="single" w:sz="4" w:space="0" w:color="auto"/>
            </w:tcBorders>
            <w:noWrap/>
            <w:hideMark/>
          </w:tcPr>
          <w:p w14:paraId="5D40A110" w14:textId="77777777" w:rsidR="00CE75D4" w:rsidRPr="00F42E60" w:rsidRDefault="00CE75D4" w:rsidP="008340C1">
            <w:pPr>
              <w:pStyle w:val="ARfintablebodyrightbold"/>
              <w:ind w:right="0"/>
              <w:rPr>
                <w:szCs w:val="18"/>
              </w:rPr>
            </w:pPr>
            <w:r w:rsidRPr="00F42E60">
              <w:rPr>
                <w:szCs w:val="18"/>
              </w:rPr>
              <w:t>0.2</w:t>
            </w:r>
          </w:p>
        </w:tc>
        <w:tc>
          <w:tcPr>
            <w:tcW w:w="937" w:type="dxa"/>
            <w:tcBorders>
              <w:bottom w:val="single" w:sz="4" w:space="0" w:color="auto"/>
            </w:tcBorders>
            <w:noWrap/>
            <w:hideMark/>
          </w:tcPr>
          <w:p w14:paraId="136FDDFF" w14:textId="77777777" w:rsidR="00CE75D4" w:rsidRPr="00F42E60" w:rsidRDefault="00CE75D4" w:rsidP="008340C1">
            <w:pPr>
              <w:pStyle w:val="ARfintablebodyrightbold"/>
              <w:ind w:right="0"/>
              <w:rPr>
                <w:szCs w:val="18"/>
              </w:rPr>
            </w:pPr>
            <w:r w:rsidRPr="00F42E60">
              <w:rPr>
                <w:szCs w:val="18"/>
              </w:rPr>
              <w:t>120.6</w:t>
            </w:r>
          </w:p>
        </w:tc>
        <w:tc>
          <w:tcPr>
            <w:tcW w:w="937" w:type="dxa"/>
            <w:tcBorders>
              <w:bottom w:val="single" w:sz="4" w:space="0" w:color="auto"/>
            </w:tcBorders>
            <w:noWrap/>
            <w:hideMark/>
          </w:tcPr>
          <w:p w14:paraId="45A44ACA" w14:textId="77777777" w:rsidR="00CE75D4" w:rsidRPr="00F42E60" w:rsidRDefault="00CE75D4" w:rsidP="008340C1">
            <w:pPr>
              <w:pStyle w:val="ARfintablebodyrightbold"/>
              <w:ind w:right="0"/>
              <w:rPr>
                <w:szCs w:val="18"/>
              </w:rPr>
            </w:pPr>
            <w:r w:rsidRPr="00F42E60">
              <w:rPr>
                <w:szCs w:val="18"/>
              </w:rPr>
              <w:t>694.5</w:t>
            </w:r>
          </w:p>
        </w:tc>
      </w:tr>
      <w:tr w:rsidR="00CE75D4" w:rsidRPr="00C0495C" w14:paraId="096AE33F" w14:textId="77777777" w:rsidTr="008340C1">
        <w:trPr>
          <w:cantSplit w:val="0"/>
          <w:trHeight w:val="170"/>
        </w:trPr>
        <w:tc>
          <w:tcPr>
            <w:tcW w:w="14459" w:type="dxa"/>
            <w:gridSpan w:val="14"/>
            <w:tcBorders>
              <w:top w:val="single" w:sz="4" w:space="0" w:color="A6A6A6"/>
              <w:bottom w:val="single" w:sz="4" w:space="0" w:color="A6A6A6"/>
            </w:tcBorders>
          </w:tcPr>
          <w:p w14:paraId="100ACD19" w14:textId="77777777" w:rsidR="00CE75D4" w:rsidRPr="00F42E60" w:rsidRDefault="00CE75D4" w:rsidP="008340C1">
            <w:pPr>
              <w:pStyle w:val="ARfintablebodybold"/>
              <w:rPr>
                <w:rFonts w:cs="Arial"/>
                <w:szCs w:val="18"/>
              </w:rPr>
            </w:pPr>
            <w:r w:rsidRPr="00F42E60">
              <w:rPr>
                <w:rFonts w:cs="Arial"/>
                <w:szCs w:val="18"/>
              </w:rPr>
              <w:t>Liabilities</w:t>
            </w:r>
          </w:p>
        </w:tc>
      </w:tr>
      <w:tr w:rsidR="00CE75D4" w:rsidRPr="00C0495C" w14:paraId="558949C0" w14:textId="77777777" w:rsidTr="008340C1">
        <w:trPr>
          <w:cantSplit w:val="0"/>
          <w:trHeight w:val="170"/>
        </w:trPr>
        <w:tc>
          <w:tcPr>
            <w:tcW w:w="2273" w:type="dxa"/>
            <w:tcBorders>
              <w:top w:val="single" w:sz="4" w:space="0" w:color="A6A6A6"/>
              <w:bottom w:val="single" w:sz="4" w:space="0" w:color="A6A6A6"/>
            </w:tcBorders>
            <w:hideMark/>
          </w:tcPr>
          <w:p w14:paraId="649C8CF9" w14:textId="77777777" w:rsidR="00CE75D4" w:rsidRPr="00F42E60" w:rsidRDefault="00CE75D4" w:rsidP="008340C1">
            <w:pPr>
              <w:pStyle w:val="ARfintablebody"/>
              <w:rPr>
                <w:szCs w:val="18"/>
              </w:rPr>
            </w:pPr>
            <w:r w:rsidRPr="00F42E60">
              <w:rPr>
                <w:szCs w:val="18"/>
              </w:rPr>
              <w:t>Financial liabilities</w:t>
            </w:r>
          </w:p>
        </w:tc>
        <w:tc>
          <w:tcPr>
            <w:tcW w:w="938" w:type="dxa"/>
            <w:tcBorders>
              <w:top w:val="single" w:sz="4" w:space="0" w:color="A6A6A6"/>
              <w:bottom w:val="single" w:sz="4" w:space="0" w:color="A6A6A6"/>
            </w:tcBorders>
            <w:noWrap/>
            <w:hideMark/>
          </w:tcPr>
          <w:p w14:paraId="64D92949" w14:textId="77777777" w:rsidR="00CE75D4" w:rsidRPr="00F42E60" w:rsidRDefault="00CE75D4" w:rsidP="008340C1">
            <w:pPr>
              <w:pStyle w:val="ARfintablebodyright"/>
              <w:ind w:right="0"/>
              <w:rPr>
                <w:szCs w:val="18"/>
              </w:rPr>
            </w:pPr>
            <w:r w:rsidRPr="00F42E60">
              <w:rPr>
                <w:szCs w:val="18"/>
              </w:rPr>
              <w:t>2,127.0</w:t>
            </w:r>
          </w:p>
        </w:tc>
        <w:tc>
          <w:tcPr>
            <w:tcW w:w="938" w:type="dxa"/>
            <w:tcBorders>
              <w:top w:val="single" w:sz="4" w:space="0" w:color="A6A6A6"/>
              <w:bottom w:val="single" w:sz="4" w:space="0" w:color="A6A6A6"/>
            </w:tcBorders>
            <w:noWrap/>
            <w:hideMark/>
          </w:tcPr>
          <w:p w14:paraId="7A11C6E2" w14:textId="77777777" w:rsidR="00CE75D4" w:rsidRPr="00F42E60" w:rsidRDefault="00CE75D4" w:rsidP="008340C1">
            <w:pPr>
              <w:pStyle w:val="ARfintablebodyright"/>
              <w:ind w:right="0"/>
              <w:rPr>
                <w:szCs w:val="18"/>
              </w:rPr>
            </w:pPr>
            <w:r w:rsidRPr="00F42E60">
              <w:rPr>
                <w:szCs w:val="18"/>
              </w:rPr>
              <w:t>48.8</w:t>
            </w:r>
          </w:p>
        </w:tc>
        <w:tc>
          <w:tcPr>
            <w:tcW w:w="938" w:type="dxa"/>
            <w:tcBorders>
              <w:top w:val="single" w:sz="4" w:space="0" w:color="A6A6A6"/>
              <w:bottom w:val="single" w:sz="4" w:space="0" w:color="A6A6A6"/>
            </w:tcBorders>
            <w:noWrap/>
            <w:hideMark/>
          </w:tcPr>
          <w:p w14:paraId="1707C57D" w14:textId="77777777" w:rsidR="00CE75D4" w:rsidRPr="00F42E60" w:rsidRDefault="00CE75D4" w:rsidP="008340C1">
            <w:pPr>
              <w:pStyle w:val="ARfintablebodyright"/>
              <w:ind w:right="0"/>
              <w:rPr>
                <w:szCs w:val="18"/>
              </w:rPr>
            </w:pPr>
            <w:r w:rsidRPr="00F42E60">
              <w:rPr>
                <w:szCs w:val="18"/>
              </w:rPr>
              <w:t>27.2</w:t>
            </w:r>
          </w:p>
        </w:tc>
        <w:tc>
          <w:tcPr>
            <w:tcW w:w="938" w:type="dxa"/>
            <w:tcBorders>
              <w:top w:val="single" w:sz="4" w:space="0" w:color="A6A6A6"/>
              <w:bottom w:val="single" w:sz="4" w:space="0" w:color="A6A6A6"/>
            </w:tcBorders>
            <w:noWrap/>
            <w:hideMark/>
          </w:tcPr>
          <w:p w14:paraId="203009C7" w14:textId="77777777" w:rsidR="00CE75D4" w:rsidRPr="00F42E60" w:rsidRDefault="00CE75D4" w:rsidP="008340C1">
            <w:pPr>
              <w:pStyle w:val="ARfintablebodyright"/>
              <w:ind w:right="0"/>
              <w:rPr>
                <w:szCs w:val="18"/>
              </w:rPr>
            </w:pPr>
            <w:r w:rsidRPr="00F42E60">
              <w:rPr>
                <w:szCs w:val="18"/>
              </w:rPr>
              <w:t>10.7</w:t>
            </w:r>
          </w:p>
        </w:tc>
        <w:tc>
          <w:tcPr>
            <w:tcW w:w="938" w:type="dxa"/>
            <w:tcBorders>
              <w:top w:val="single" w:sz="4" w:space="0" w:color="A6A6A6"/>
              <w:bottom w:val="single" w:sz="4" w:space="0" w:color="A6A6A6"/>
            </w:tcBorders>
            <w:noWrap/>
            <w:hideMark/>
          </w:tcPr>
          <w:p w14:paraId="6DF3E810" w14:textId="77777777" w:rsidR="00CE75D4" w:rsidRPr="00F42E60" w:rsidRDefault="00CE75D4" w:rsidP="008340C1">
            <w:pPr>
              <w:pStyle w:val="ARfintablebodyright"/>
              <w:ind w:right="0"/>
              <w:rPr>
                <w:szCs w:val="18"/>
              </w:rPr>
            </w:pPr>
            <w:r w:rsidRPr="00F42E60">
              <w:rPr>
                <w:szCs w:val="18"/>
              </w:rPr>
              <w:t>12.6</w:t>
            </w:r>
          </w:p>
        </w:tc>
        <w:tc>
          <w:tcPr>
            <w:tcW w:w="937" w:type="dxa"/>
            <w:tcBorders>
              <w:top w:val="single" w:sz="4" w:space="0" w:color="A6A6A6"/>
              <w:bottom w:val="single" w:sz="4" w:space="0" w:color="A6A6A6"/>
            </w:tcBorders>
            <w:noWrap/>
            <w:hideMark/>
          </w:tcPr>
          <w:p w14:paraId="411AA6AC" w14:textId="77777777" w:rsidR="00CE75D4" w:rsidRPr="00F42E60" w:rsidRDefault="00CE75D4" w:rsidP="008340C1">
            <w:pPr>
              <w:pStyle w:val="ARfintablebodyright"/>
              <w:ind w:right="0"/>
              <w:rPr>
                <w:szCs w:val="18"/>
              </w:rPr>
            </w:pPr>
            <w:r w:rsidRPr="00F42E60">
              <w:rPr>
                <w:szCs w:val="18"/>
              </w:rPr>
              <w:t>1.</w:t>
            </w:r>
            <w:r>
              <w:rPr>
                <w:szCs w:val="18"/>
              </w:rPr>
              <w:t>8</w:t>
            </w:r>
          </w:p>
        </w:tc>
        <w:tc>
          <w:tcPr>
            <w:tcW w:w="937" w:type="dxa"/>
            <w:tcBorders>
              <w:top w:val="single" w:sz="4" w:space="0" w:color="A6A6A6"/>
              <w:bottom w:val="single" w:sz="4" w:space="0" w:color="A6A6A6"/>
            </w:tcBorders>
            <w:noWrap/>
            <w:hideMark/>
          </w:tcPr>
          <w:p w14:paraId="3678EDE0" w14:textId="77777777" w:rsidR="00CE75D4" w:rsidRPr="00F42E60" w:rsidRDefault="00CE75D4" w:rsidP="008340C1">
            <w:pPr>
              <w:pStyle w:val="ARfintablebodyright"/>
              <w:ind w:right="0"/>
              <w:rPr>
                <w:szCs w:val="18"/>
              </w:rPr>
            </w:pPr>
            <w:r w:rsidRPr="00F42E60">
              <w:rPr>
                <w:szCs w:val="18"/>
              </w:rPr>
              <w:t>18.2</w:t>
            </w:r>
          </w:p>
        </w:tc>
        <w:tc>
          <w:tcPr>
            <w:tcW w:w="937" w:type="dxa"/>
            <w:tcBorders>
              <w:top w:val="single" w:sz="4" w:space="0" w:color="A6A6A6"/>
              <w:bottom w:val="single" w:sz="4" w:space="0" w:color="A6A6A6"/>
            </w:tcBorders>
            <w:noWrap/>
            <w:hideMark/>
          </w:tcPr>
          <w:p w14:paraId="584A7899" w14:textId="77777777" w:rsidR="00CE75D4" w:rsidRPr="00F42E60" w:rsidRDefault="00CE75D4" w:rsidP="008340C1">
            <w:pPr>
              <w:pStyle w:val="ARfintablebodyright"/>
              <w:ind w:right="0"/>
              <w:rPr>
                <w:szCs w:val="18"/>
              </w:rPr>
            </w:pPr>
            <w:r w:rsidRPr="00F42E60">
              <w:rPr>
                <w:szCs w:val="18"/>
              </w:rPr>
              <w:t>7.8</w:t>
            </w:r>
          </w:p>
        </w:tc>
        <w:tc>
          <w:tcPr>
            <w:tcW w:w="937" w:type="dxa"/>
            <w:tcBorders>
              <w:top w:val="single" w:sz="4" w:space="0" w:color="A6A6A6"/>
              <w:bottom w:val="single" w:sz="4" w:space="0" w:color="A6A6A6"/>
            </w:tcBorders>
            <w:noWrap/>
            <w:hideMark/>
          </w:tcPr>
          <w:p w14:paraId="3C0177B3" w14:textId="77777777" w:rsidR="00CE75D4" w:rsidRPr="00F42E60" w:rsidRDefault="00CE75D4" w:rsidP="008340C1">
            <w:pPr>
              <w:pStyle w:val="ARfintablebodyright"/>
              <w:ind w:right="0"/>
              <w:rPr>
                <w:szCs w:val="18"/>
              </w:rPr>
            </w:pPr>
            <w:r w:rsidRPr="00F42E60">
              <w:rPr>
                <w:szCs w:val="18"/>
              </w:rPr>
              <w:t>91.2</w:t>
            </w:r>
          </w:p>
        </w:tc>
        <w:tc>
          <w:tcPr>
            <w:tcW w:w="937" w:type="dxa"/>
            <w:tcBorders>
              <w:top w:val="single" w:sz="4" w:space="0" w:color="A6A6A6"/>
              <w:bottom w:val="single" w:sz="4" w:space="0" w:color="A6A6A6"/>
            </w:tcBorders>
            <w:noWrap/>
            <w:hideMark/>
          </w:tcPr>
          <w:p w14:paraId="1F59DA02" w14:textId="77777777" w:rsidR="00CE75D4" w:rsidRPr="00F42E60" w:rsidRDefault="00CE75D4" w:rsidP="008340C1">
            <w:pPr>
              <w:pStyle w:val="ARfintablebodyright"/>
              <w:ind w:right="0"/>
              <w:rPr>
                <w:szCs w:val="18"/>
              </w:rPr>
            </w:pPr>
            <w:r w:rsidRPr="00F42E60">
              <w:rPr>
                <w:szCs w:val="18"/>
              </w:rPr>
              <w:t>7.9</w:t>
            </w:r>
          </w:p>
        </w:tc>
        <w:tc>
          <w:tcPr>
            <w:tcW w:w="937" w:type="dxa"/>
            <w:tcBorders>
              <w:top w:val="single" w:sz="4" w:space="0" w:color="A6A6A6"/>
              <w:bottom w:val="single" w:sz="4" w:space="0" w:color="A6A6A6"/>
            </w:tcBorders>
            <w:noWrap/>
            <w:hideMark/>
          </w:tcPr>
          <w:p w14:paraId="550D393F" w14:textId="77777777" w:rsidR="00CE75D4" w:rsidRPr="00F42E60" w:rsidRDefault="00CE75D4" w:rsidP="008340C1">
            <w:pPr>
              <w:pStyle w:val="ARfintablebodyright"/>
              <w:ind w:right="0"/>
              <w:rPr>
                <w:szCs w:val="18"/>
              </w:rPr>
            </w:pPr>
            <w:r w:rsidRPr="00F42E60">
              <w:rPr>
                <w:szCs w:val="18"/>
              </w:rPr>
              <w:t>5.6</w:t>
            </w:r>
          </w:p>
        </w:tc>
        <w:tc>
          <w:tcPr>
            <w:tcW w:w="937" w:type="dxa"/>
            <w:tcBorders>
              <w:top w:val="single" w:sz="4" w:space="0" w:color="A6A6A6"/>
              <w:bottom w:val="single" w:sz="4" w:space="0" w:color="A6A6A6"/>
            </w:tcBorders>
            <w:noWrap/>
            <w:hideMark/>
          </w:tcPr>
          <w:p w14:paraId="7759FA67" w14:textId="77777777" w:rsidR="00CE75D4" w:rsidRPr="00F42E60" w:rsidRDefault="00CE75D4" w:rsidP="008340C1">
            <w:pPr>
              <w:pStyle w:val="ARfintablebodyright"/>
              <w:ind w:right="0"/>
              <w:rPr>
                <w:szCs w:val="18"/>
              </w:rPr>
            </w:pPr>
            <w:r w:rsidRPr="00F42E60">
              <w:rPr>
                <w:szCs w:val="18"/>
              </w:rPr>
              <w:t>5.9</w:t>
            </w:r>
          </w:p>
        </w:tc>
        <w:tc>
          <w:tcPr>
            <w:tcW w:w="937" w:type="dxa"/>
            <w:tcBorders>
              <w:top w:val="single" w:sz="4" w:space="0" w:color="A6A6A6"/>
              <w:bottom w:val="single" w:sz="4" w:space="0" w:color="A6A6A6"/>
            </w:tcBorders>
            <w:noWrap/>
            <w:hideMark/>
          </w:tcPr>
          <w:p w14:paraId="51E83D6C" w14:textId="77777777" w:rsidR="00CE75D4" w:rsidRPr="00F42E60" w:rsidRDefault="00CE75D4" w:rsidP="008340C1">
            <w:pPr>
              <w:pStyle w:val="ARfintablebodyright"/>
              <w:ind w:right="0"/>
              <w:rPr>
                <w:szCs w:val="18"/>
              </w:rPr>
            </w:pPr>
            <w:r w:rsidRPr="00F42E60">
              <w:rPr>
                <w:szCs w:val="18"/>
              </w:rPr>
              <w:t>87.9</w:t>
            </w:r>
          </w:p>
        </w:tc>
      </w:tr>
      <w:tr w:rsidR="00CE75D4" w:rsidRPr="00C0495C" w14:paraId="763BC849" w14:textId="77777777" w:rsidTr="008340C1">
        <w:trPr>
          <w:cantSplit w:val="0"/>
          <w:trHeight w:val="170"/>
        </w:trPr>
        <w:tc>
          <w:tcPr>
            <w:tcW w:w="2273" w:type="dxa"/>
            <w:tcBorders>
              <w:top w:val="single" w:sz="4" w:space="0" w:color="A6A6A6"/>
              <w:bottom w:val="single" w:sz="4" w:space="0" w:color="A6A6A6"/>
            </w:tcBorders>
            <w:hideMark/>
          </w:tcPr>
          <w:p w14:paraId="0EDF2BB6" w14:textId="77777777" w:rsidR="00CE75D4" w:rsidRPr="00F42E60" w:rsidRDefault="00CE75D4" w:rsidP="008340C1">
            <w:pPr>
              <w:pStyle w:val="ARfintablebody"/>
              <w:rPr>
                <w:szCs w:val="18"/>
              </w:rPr>
            </w:pPr>
            <w:r w:rsidRPr="00F42E60">
              <w:rPr>
                <w:szCs w:val="18"/>
              </w:rPr>
              <w:t>Non-financial liabilities</w:t>
            </w:r>
          </w:p>
        </w:tc>
        <w:tc>
          <w:tcPr>
            <w:tcW w:w="938" w:type="dxa"/>
            <w:tcBorders>
              <w:top w:val="single" w:sz="4" w:space="0" w:color="A6A6A6"/>
              <w:bottom w:val="single" w:sz="4" w:space="0" w:color="A6A6A6"/>
            </w:tcBorders>
            <w:noWrap/>
            <w:hideMark/>
          </w:tcPr>
          <w:p w14:paraId="229C9A3E" w14:textId="77777777" w:rsidR="00CE75D4" w:rsidRPr="00F42E60" w:rsidRDefault="00CE75D4" w:rsidP="008340C1">
            <w:pPr>
              <w:pStyle w:val="ARfintablebodyright"/>
              <w:ind w:right="0"/>
              <w:rPr>
                <w:szCs w:val="18"/>
              </w:rPr>
            </w:pPr>
            <w:r w:rsidRPr="00F42E60">
              <w:rPr>
                <w:szCs w:val="18"/>
              </w:rPr>
              <w:t>8.1</w:t>
            </w:r>
          </w:p>
        </w:tc>
        <w:tc>
          <w:tcPr>
            <w:tcW w:w="938" w:type="dxa"/>
            <w:tcBorders>
              <w:top w:val="single" w:sz="4" w:space="0" w:color="A6A6A6"/>
              <w:bottom w:val="single" w:sz="4" w:space="0" w:color="A6A6A6"/>
            </w:tcBorders>
            <w:noWrap/>
            <w:hideMark/>
          </w:tcPr>
          <w:p w14:paraId="6CD60E0B" w14:textId="77777777" w:rsidR="00CE75D4" w:rsidRPr="00F42E60" w:rsidRDefault="00CE75D4" w:rsidP="008340C1">
            <w:pPr>
              <w:pStyle w:val="ARfintablebodyright"/>
              <w:ind w:right="0"/>
              <w:rPr>
                <w:szCs w:val="18"/>
              </w:rPr>
            </w:pPr>
            <w:r w:rsidRPr="00F42E60">
              <w:rPr>
                <w:szCs w:val="18"/>
              </w:rPr>
              <w:t>–</w:t>
            </w:r>
          </w:p>
        </w:tc>
        <w:tc>
          <w:tcPr>
            <w:tcW w:w="938" w:type="dxa"/>
            <w:tcBorders>
              <w:top w:val="single" w:sz="4" w:space="0" w:color="A6A6A6"/>
              <w:bottom w:val="single" w:sz="4" w:space="0" w:color="A6A6A6"/>
            </w:tcBorders>
            <w:noWrap/>
            <w:hideMark/>
          </w:tcPr>
          <w:p w14:paraId="6AE5ADCF" w14:textId="77777777" w:rsidR="00CE75D4" w:rsidRPr="00F42E60" w:rsidRDefault="00CE75D4" w:rsidP="008340C1">
            <w:pPr>
              <w:pStyle w:val="ARfintablebodyright"/>
              <w:ind w:right="0"/>
              <w:rPr>
                <w:szCs w:val="18"/>
              </w:rPr>
            </w:pPr>
            <w:r w:rsidRPr="00F42E60">
              <w:rPr>
                <w:szCs w:val="18"/>
              </w:rPr>
              <w:t>–</w:t>
            </w:r>
          </w:p>
        </w:tc>
        <w:tc>
          <w:tcPr>
            <w:tcW w:w="938" w:type="dxa"/>
            <w:tcBorders>
              <w:top w:val="single" w:sz="4" w:space="0" w:color="A6A6A6"/>
              <w:bottom w:val="single" w:sz="4" w:space="0" w:color="A6A6A6"/>
            </w:tcBorders>
            <w:noWrap/>
            <w:hideMark/>
          </w:tcPr>
          <w:p w14:paraId="0849DB1C" w14:textId="77777777" w:rsidR="00CE75D4" w:rsidRPr="00F42E60" w:rsidRDefault="00CE75D4" w:rsidP="008340C1">
            <w:pPr>
              <w:pStyle w:val="ARfintablebodyright"/>
              <w:ind w:right="0"/>
              <w:rPr>
                <w:szCs w:val="18"/>
              </w:rPr>
            </w:pPr>
            <w:r w:rsidRPr="00F42E60">
              <w:rPr>
                <w:szCs w:val="18"/>
              </w:rPr>
              <w:t>–</w:t>
            </w:r>
          </w:p>
        </w:tc>
        <w:tc>
          <w:tcPr>
            <w:tcW w:w="938" w:type="dxa"/>
            <w:tcBorders>
              <w:top w:val="single" w:sz="4" w:space="0" w:color="A6A6A6"/>
              <w:bottom w:val="single" w:sz="4" w:space="0" w:color="A6A6A6"/>
            </w:tcBorders>
            <w:noWrap/>
            <w:hideMark/>
          </w:tcPr>
          <w:p w14:paraId="14676CDC" w14:textId="77777777" w:rsidR="00CE75D4" w:rsidRPr="00F42E60" w:rsidRDefault="00CE75D4" w:rsidP="008340C1">
            <w:pPr>
              <w:pStyle w:val="ARfintablebodyright"/>
              <w:ind w:right="0"/>
              <w:rPr>
                <w:szCs w:val="18"/>
              </w:rPr>
            </w:pPr>
            <w:r w:rsidRPr="00F42E60">
              <w:rPr>
                <w:szCs w:val="18"/>
              </w:rPr>
              <w:t>–</w:t>
            </w:r>
          </w:p>
        </w:tc>
        <w:tc>
          <w:tcPr>
            <w:tcW w:w="937" w:type="dxa"/>
            <w:tcBorders>
              <w:top w:val="single" w:sz="4" w:space="0" w:color="A6A6A6"/>
              <w:bottom w:val="single" w:sz="4" w:space="0" w:color="A6A6A6"/>
            </w:tcBorders>
            <w:noWrap/>
            <w:hideMark/>
          </w:tcPr>
          <w:p w14:paraId="5EC7E36D" w14:textId="77777777" w:rsidR="00CE75D4" w:rsidRPr="00F42E60" w:rsidRDefault="00CE75D4" w:rsidP="008340C1">
            <w:pPr>
              <w:pStyle w:val="ARfintablebodyright"/>
              <w:ind w:right="0"/>
              <w:rPr>
                <w:szCs w:val="18"/>
              </w:rPr>
            </w:pPr>
            <w:r w:rsidRPr="00F42E60">
              <w:rPr>
                <w:szCs w:val="18"/>
              </w:rPr>
              <w:t>–</w:t>
            </w:r>
          </w:p>
        </w:tc>
        <w:tc>
          <w:tcPr>
            <w:tcW w:w="937" w:type="dxa"/>
            <w:tcBorders>
              <w:top w:val="single" w:sz="4" w:space="0" w:color="A6A6A6"/>
              <w:bottom w:val="single" w:sz="4" w:space="0" w:color="A6A6A6"/>
            </w:tcBorders>
            <w:noWrap/>
            <w:hideMark/>
          </w:tcPr>
          <w:p w14:paraId="356CAC95" w14:textId="77777777" w:rsidR="00CE75D4" w:rsidRPr="00F42E60" w:rsidRDefault="00CE75D4" w:rsidP="008340C1">
            <w:pPr>
              <w:pStyle w:val="ARfintablebodyright"/>
              <w:ind w:right="0"/>
              <w:rPr>
                <w:szCs w:val="18"/>
              </w:rPr>
            </w:pPr>
            <w:r w:rsidRPr="00F42E60">
              <w:rPr>
                <w:szCs w:val="18"/>
              </w:rPr>
              <w:t>–</w:t>
            </w:r>
          </w:p>
        </w:tc>
        <w:tc>
          <w:tcPr>
            <w:tcW w:w="937" w:type="dxa"/>
            <w:tcBorders>
              <w:top w:val="single" w:sz="4" w:space="0" w:color="A6A6A6"/>
              <w:bottom w:val="single" w:sz="4" w:space="0" w:color="A6A6A6"/>
            </w:tcBorders>
            <w:noWrap/>
            <w:hideMark/>
          </w:tcPr>
          <w:p w14:paraId="25259DC2" w14:textId="77777777" w:rsidR="00CE75D4" w:rsidRPr="00F42E60" w:rsidRDefault="00CE75D4" w:rsidP="008340C1">
            <w:pPr>
              <w:pStyle w:val="ARfintablebodyright"/>
              <w:ind w:right="0"/>
              <w:rPr>
                <w:szCs w:val="18"/>
              </w:rPr>
            </w:pPr>
            <w:r w:rsidRPr="00F42E60">
              <w:rPr>
                <w:szCs w:val="18"/>
              </w:rPr>
              <w:t>–</w:t>
            </w:r>
          </w:p>
        </w:tc>
        <w:tc>
          <w:tcPr>
            <w:tcW w:w="937" w:type="dxa"/>
            <w:tcBorders>
              <w:top w:val="single" w:sz="4" w:space="0" w:color="A6A6A6"/>
              <w:bottom w:val="single" w:sz="4" w:space="0" w:color="A6A6A6"/>
            </w:tcBorders>
            <w:noWrap/>
            <w:hideMark/>
          </w:tcPr>
          <w:p w14:paraId="2F21D5D9" w14:textId="77777777" w:rsidR="00CE75D4" w:rsidRPr="00F42E60" w:rsidRDefault="00CE75D4" w:rsidP="008340C1">
            <w:pPr>
              <w:pStyle w:val="ARfintablebodyright"/>
              <w:ind w:right="0"/>
              <w:rPr>
                <w:szCs w:val="18"/>
              </w:rPr>
            </w:pPr>
            <w:r w:rsidRPr="00F42E60">
              <w:rPr>
                <w:szCs w:val="18"/>
              </w:rPr>
              <w:t>–</w:t>
            </w:r>
          </w:p>
        </w:tc>
        <w:tc>
          <w:tcPr>
            <w:tcW w:w="937" w:type="dxa"/>
            <w:tcBorders>
              <w:top w:val="single" w:sz="4" w:space="0" w:color="A6A6A6"/>
              <w:bottom w:val="single" w:sz="4" w:space="0" w:color="A6A6A6"/>
            </w:tcBorders>
            <w:noWrap/>
            <w:hideMark/>
          </w:tcPr>
          <w:p w14:paraId="4015AC6A" w14:textId="77777777" w:rsidR="00CE75D4" w:rsidRPr="00F42E60" w:rsidRDefault="00CE75D4" w:rsidP="008340C1">
            <w:pPr>
              <w:pStyle w:val="ARfintablebodyright"/>
              <w:ind w:right="0"/>
              <w:rPr>
                <w:szCs w:val="18"/>
              </w:rPr>
            </w:pPr>
            <w:r w:rsidRPr="00F42E60">
              <w:rPr>
                <w:szCs w:val="18"/>
              </w:rPr>
              <w:t>–</w:t>
            </w:r>
          </w:p>
        </w:tc>
        <w:tc>
          <w:tcPr>
            <w:tcW w:w="937" w:type="dxa"/>
            <w:tcBorders>
              <w:top w:val="single" w:sz="4" w:space="0" w:color="A6A6A6"/>
              <w:bottom w:val="single" w:sz="4" w:space="0" w:color="A6A6A6"/>
            </w:tcBorders>
            <w:noWrap/>
            <w:hideMark/>
          </w:tcPr>
          <w:p w14:paraId="1A843C65" w14:textId="77777777" w:rsidR="00CE75D4" w:rsidRPr="00F42E60" w:rsidRDefault="00CE75D4" w:rsidP="008340C1">
            <w:pPr>
              <w:pStyle w:val="ARfintablebodyright"/>
              <w:ind w:right="0"/>
              <w:rPr>
                <w:szCs w:val="18"/>
              </w:rPr>
            </w:pPr>
            <w:r w:rsidRPr="00F42E60">
              <w:rPr>
                <w:szCs w:val="18"/>
              </w:rPr>
              <w:t>–</w:t>
            </w:r>
          </w:p>
        </w:tc>
        <w:tc>
          <w:tcPr>
            <w:tcW w:w="937" w:type="dxa"/>
            <w:tcBorders>
              <w:top w:val="single" w:sz="4" w:space="0" w:color="A6A6A6"/>
              <w:bottom w:val="single" w:sz="4" w:space="0" w:color="A6A6A6"/>
            </w:tcBorders>
            <w:noWrap/>
            <w:hideMark/>
          </w:tcPr>
          <w:p w14:paraId="5E0DB905" w14:textId="77777777" w:rsidR="00CE75D4" w:rsidRPr="00F42E60" w:rsidRDefault="00CE75D4" w:rsidP="008340C1">
            <w:pPr>
              <w:pStyle w:val="ARfintablebodyright"/>
              <w:ind w:right="0"/>
              <w:rPr>
                <w:szCs w:val="18"/>
              </w:rPr>
            </w:pPr>
            <w:r w:rsidRPr="00F42E60">
              <w:rPr>
                <w:szCs w:val="18"/>
              </w:rPr>
              <w:t>–</w:t>
            </w:r>
          </w:p>
        </w:tc>
        <w:tc>
          <w:tcPr>
            <w:tcW w:w="937" w:type="dxa"/>
            <w:tcBorders>
              <w:top w:val="single" w:sz="4" w:space="0" w:color="A6A6A6"/>
              <w:bottom w:val="single" w:sz="4" w:space="0" w:color="A6A6A6"/>
            </w:tcBorders>
            <w:noWrap/>
            <w:hideMark/>
          </w:tcPr>
          <w:p w14:paraId="4F7FD5D9" w14:textId="77777777" w:rsidR="00CE75D4" w:rsidRPr="00F42E60" w:rsidRDefault="00CE75D4" w:rsidP="008340C1">
            <w:pPr>
              <w:pStyle w:val="ARfintablebodyright"/>
              <w:ind w:right="0"/>
              <w:rPr>
                <w:szCs w:val="18"/>
              </w:rPr>
            </w:pPr>
            <w:r w:rsidRPr="00F42E60">
              <w:rPr>
                <w:szCs w:val="18"/>
              </w:rPr>
              <w:t>–</w:t>
            </w:r>
          </w:p>
        </w:tc>
      </w:tr>
      <w:tr w:rsidR="00CE75D4" w:rsidRPr="00C0495C" w14:paraId="585345E2" w14:textId="77777777" w:rsidTr="008340C1">
        <w:trPr>
          <w:cantSplit w:val="0"/>
          <w:trHeight w:val="170"/>
        </w:trPr>
        <w:tc>
          <w:tcPr>
            <w:tcW w:w="2273" w:type="dxa"/>
            <w:hideMark/>
          </w:tcPr>
          <w:p w14:paraId="6E7F8C48" w14:textId="77777777" w:rsidR="00CE75D4" w:rsidRPr="00F42E60" w:rsidRDefault="00CE75D4" w:rsidP="008340C1">
            <w:pPr>
              <w:pStyle w:val="ARfintablebodybold"/>
              <w:rPr>
                <w:rFonts w:cs="Arial"/>
                <w:szCs w:val="18"/>
              </w:rPr>
            </w:pPr>
            <w:r w:rsidRPr="00F42E60">
              <w:rPr>
                <w:rFonts w:cs="Arial"/>
                <w:szCs w:val="18"/>
              </w:rPr>
              <w:t>Total liabilities</w:t>
            </w:r>
          </w:p>
        </w:tc>
        <w:tc>
          <w:tcPr>
            <w:tcW w:w="938" w:type="dxa"/>
            <w:noWrap/>
            <w:hideMark/>
          </w:tcPr>
          <w:p w14:paraId="2E35986C" w14:textId="77777777" w:rsidR="00CE75D4" w:rsidRPr="00F42E60" w:rsidRDefault="00CE75D4" w:rsidP="008340C1">
            <w:pPr>
              <w:pStyle w:val="ARfintablebodyrightbold"/>
              <w:ind w:right="0"/>
              <w:rPr>
                <w:szCs w:val="18"/>
              </w:rPr>
            </w:pPr>
            <w:r w:rsidRPr="00F42E60">
              <w:rPr>
                <w:szCs w:val="18"/>
              </w:rPr>
              <w:t>2,135.1</w:t>
            </w:r>
          </w:p>
        </w:tc>
        <w:tc>
          <w:tcPr>
            <w:tcW w:w="938" w:type="dxa"/>
            <w:noWrap/>
            <w:hideMark/>
          </w:tcPr>
          <w:p w14:paraId="59254139" w14:textId="77777777" w:rsidR="00CE75D4" w:rsidRPr="00F42E60" w:rsidRDefault="00CE75D4" w:rsidP="008340C1">
            <w:pPr>
              <w:pStyle w:val="ARfintablebodyrightbold"/>
              <w:ind w:right="0"/>
              <w:rPr>
                <w:szCs w:val="18"/>
              </w:rPr>
            </w:pPr>
            <w:r w:rsidRPr="00F42E60">
              <w:rPr>
                <w:szCs w:val="18"/>
              </w:rPr>
              <w:t>48.8</w:t>
            </w:r>
          </w:p>
        </w:tc>
        <w:tc>
          <w:tcPr>
            <w:tcW w:w="938" w:type="dxa"/>
            <w:noWrap/>
            <w:hideMark/>
          </w:tcPr>
          <w:p w14:paraId="05440752" w14:textId="77777777" w:rsidR="00CE75D4" w:rsidRPr="00F42E60" w:rsidRDefault="00CE75D4" w:rsidP="008340C1">
            <w:pPr>
              <w:pStyle w:val="ARfintablebodyrightbold"/>
              <w:ind w:right="0"/>
              <w:rPr>
                <w:szCs w:val="18"/>
              </w:rPr>
            </w:pPr>
            <w:r w:rsidRPr="00F42E60">
              <w:rPr>
                <w:szCs w:val="18"/>
              </w:rPr>
              <w:t>27.2</w:t>
            </w:r>
          </w:p>
        </w:tc>
        <w:tc>
          <w:tcPr>
            <w:tcW w:w="938" w:type="dxa"/>
            <w:noWrap/>
            <w:hideMark/>
          </w:tcPr>
          <w:p w14:paraId="1DD97F93" w14:textId="77777777" w:rsidR="00CE75D4" w:rsidRPr="00F42E60" w:rsidRDefault="00CE75D4" w:rsidP="008340C1">
            <w:pPr>
              <w:pStyle w:val="ARfintablebodyrightbold"/>
              <w:ind w:right="0"/>
              <w:rPr>
                <w:szCs w:val="18"/>
              </w:rPr>
            </w:pPr>
            <w:r w:rsidRPr="00F42E60">
              <w:rPr>
                <w:szCs w:val="18"/>
              </w:rPr>
              <w:t>10.7</w:t>
            </w:r>
          </w:p>
        </w:tc>
        <w:tc>
          <w:tcPr>
            <w:tcW w:w="938" w:type="dxa"/>
            <w:noWrap/>
            <w:hideMark/>
          </w:tcPr>
          <w:p w14:paraId="3BFFF961" w14:textId="77777777" w:rsidR="00CE75D4" w:rsidRPr="00F42E60" w:rsidRDefault="00CE75D4" w:rsidP="008340C1">
            <w:pPr>
              <w:pStyle w:val="ARfintablebodyrightbold"/>
              <w:ind w:right="0"/>
              <w:rPr>
                <w:szCs w:val="18"/>
              </w:rPr>
            </w:pPr>
            <w:r w:rsidRPr="00F42E60">
              <w:rPr>
                <w:szCs w:val="18"/>
              </w:rPr>
              <w:t>12.6</w:t>
            </w:r>
          </w:p>
        </w:tc>
        <w:tc>
          <w:tcPr>
            <w:tcW w:w="937" w:type="dxa"/>
            <w:noWrap/>
            <w:hideMark/>
          </w:tcPr>
          <w:p w14:paraId="660EC2F2" w14:textId="77777777" w:rsidR="00CE75D4" w:rsidRPr="00F42E60" w:rsidRDefault="00CE75D4" w:rsidP="008340C1">
            <w:pPr>
              <w:pStyle w:val="ARfintablebodyrightbold"/>
              <w:ind w:right="0"/>
              <w:rPr>
                <w:szCs w:val="18"/>
              </w:rPr>
            </w:pPr>
            <w:r w:rsidRPr="00F42E60">
              <w:rPr>
                <w:szCs w:val="18"/>
              </w:rPr>
              <w:t>1.8</w:t>
            </w:r>
          </w:p>
        </w:tc>
        <w:tc>
          <w:tcPr>
            <w:tcW w:w="937" w:type="dxa"/>
            <w:noWrap/>
            <w:hideMark/>
          </w:tcPr>
          <w:p w14:paraId="5F59AD68" w14:textId="77777777" w:rsidR="00CE75D4" w:rsidRPr="00F42E60" w:rsidRDefault="00CE75D4" w:rsidP="008340C1">
            <w:pPr>
              <w:pStyle w:val="ARfintablebodyrightbold"/>
              <w:ind w:right="0"/>
              <w:rPr>
                <w:szCs w:val="18"/>
              </w:rPr>
            </w:pPr>
            <w:r w:rsidRPr="00F42E60">
              <w:rPr>
                <w:szCs w:val="18"/>
              </w:rPr>
              <w:t>18.2</w:t>
            </w:r>
          </w:p>
        </w:tc>
        <w:tc>
          <w:tcPr>
            <w:tcW w:w="937" w:type="dxa"/>
            <w:noWrap/>
            <w:hideMark/>
          </w:tcPr>
          <w:p w14:paraId="0E5E536A" w14:textId="77777777" w:rsidR="00CE75D4" w:rsidRPr="00F42E60" w:rsidRDefault="00CE75D4" w:rsidP="008340C1">
            <w:pPr>
              <w:pStyle w:val="ARfintablebodyrightbold"/>
              <w:ind w:right="0"/>
              <w:rPr>
                <w:szCs w:val="18"/>
              </w:rPr>
            </w:pPr>
            <w:r w:rsidRPr="00F42E60">
              <w:rPr>
                <w:szCs w:val="18"/>
              </w:rPr>
              <w:t>7.8</w:t>
            </w:r>
          </w:p>
        </w:tc>
        <w:tc>
          <w:tcPr>
            <w:tcW w:w="937" w:type="dxa"/>
            <w:noWrap/>
            <w:hideMark/>
          </w:tcPr>
          <w:p w14:paraId="53B2BACF" w14:textId="77777777" w:rsidR="00CE75D4" w:rsidRPr="00F42E60" w:rsidRDefault="00CE75D4" w:rsidP="008340C1">
            <w:pPr>
              <w:pStyle w:val="ARfintablebodyrightbold"/>
              <w:ind w:right="0"/>
              <w:rPr>
                <w:szCs w:val="18"/>
              </w:rPr>
            </w:pPr>
            <w:r w:rsidRPr="00F42E60">
              <w:rPr>
                <w:szCs w:val="18"/>
              </w:rPr>
              <w:t>91.2</w:t>
            </w:r>
          </w:p>
        </w:tc>
        <w:tc>
          <w:tcPr>
            <w:tcW w:w="937" w:type="dxa"/>
            <w:noWrap/>
            <w:hideMark/>
          </w:tcPr>
          <w:p w14:paraId="0AB584F9" w14:textId="77777777" w:rsidR="00CE75D4" w:rsidRPr="00F42E60" w:rsidRDefault="00CE75D4" w:rsidP="008340C1">
            <w:pPr>
              <w:pStyle w:val="ARfintablebodyrightbold"/>
              <w:ind w:right="0"/>
              <w:rPr>
                <w:szCs w:val="18"/>
              </w:rPr>
            </w:pPr>
            <w:r w:rsidRPr="00F42E60">
              <w:rPr>
                <w:szCs w:val="18"/>
              </w:rPr>
              <w:t>7.9</w:t>
            </w:r>
          </w:p>
        </w:tc>
        <w:tc>
          <w:tcPr>
            <w:tcW w:w="937" w:type="dxa"/>
            <w:noWrap/>
            <w:hideMark/>
          </w:tcPr>
          <w:p w14:paraId="70BAFBE7" w14:textId="77777777" w:rsidR="00CE75D4" w:rsidRPr="00F42E60" w:rsidRDefault="00CE75D4" w:rsidP="008340C1">
            <w:pPr>
              <w:pStyle w:val="ARfintablebodyrightbold"/>
              <w:ind w:right="0"/>
              <w:rPr>
                <w:szCs w:val="18"/>
              </w:rPr>
            </w:pPr>
            <w:r w:rsidRPr="00F42E60">
              <w:rPr>
                <w:szCs w:val="18"/>
              </w:rPr>
              <w:t>5.6</w:t>
            </w:r>
          </w:p>
        </w:tc>
        <w:tc>
          <w:tcPr>
            <w:tcW w:w="937" w:type="dxa"/>
            <w:noWrap/>
            <w:hideMark/>
          </w:tcPr>
          <w:p w14:paraId="505EB6A4" w14:textId="77777777" w:rsidR="00CE75D4" w:rsidRPr="00F42E60" w:rsidRDefault="00CE75D4" w:rsidP="008340C1">
            <w:pPr>
              <w:pStyle w:val="ARfintablebodyrightbold"/>
              <w:ind w:right="0"/>
              <w:rPr>
                <w:szCs w:val="18"/>
              </w:rPr>
            </w:pPr>
            <w:r w:rsidRPr="00F42E60">
              <w:rPr>
                <w:szCs w:val="18"/>
              </w:rPr>
              <w:t>5.9</w:t>
            </w:r>
          </w:p>
        </w:tc>
        <w:tc>
          <w:tcPr>
            <w:tcW w:w="937" w:type="dxa"/>
            <w:noWrap/>
            <w:hideMark/>
          </w:tcPr>
          <w:p w14:paraId="5C9196CE" w14:textId="77777777" w:rsidR="00CE75D4" w:rsidRPr="00F42E60" w:rsidRDefault="00CE75D4" w:rsidP="008340C1">
            <w:pPr>
              <w:pStyle w:val="ARfintablebodyrightbold"/>
              <w:ind w:right="0"/>
              <w:rPr>
                <w:szCs w:val="18"/>
              </w:rPr>
            </w:pPr>
            <w:r w:rsidRPr="00F42E60">
              <w:rPr>
                <w:szCs w:val="18"/>
              </w:rPr>
              <w:t>87.9</w:t>
            </w:r>
          </w:p>
        </w:tc>
      </w:tr>
      <w:tr w:rsidR="00CE75D4" w:rsidRPr="00C0495C" w14:paraId="51DA8BE7" w14:textId="77777777" w:rsidTr="008340C1">
        <w:trPr>
          <w:cantSplit w:val="0"/>
          <w:trHeight w:val="170"/>
        </w:trPr>
        <w:tc>
          <w:tcPr>
            <w:tcW w:w="2273" w:type="dxa"/>
            <w:tcBorders>
              <w:bottom w:val="single" w:sz="4" w:space="0" w:color="auto"/>
            </w:tcBorders>
            <w:hideMark/>
          </w:tcPr>
          <w:p w14:paraId="0DACE245" w14:textId="77777777" w:rsidR="00CE75D4" w:rsidRPr="00F42E60" w:rsidRDefault="00CE75D4" w:rsidP="008340C1">
            <w:pPr>
              <w:pStyle w:val="ARfintablebodybold"/>
              <w:rPr>
                <w:rFonts w:cs="Arial"/>
                <w:szCs w:val="18"/>
              </w:rPr>
            </w:pPr>
            <w:r w:rsidRPr="00F42E60">
              <w:rPr>
                <w:rFonts w:cs="Arial"/>
                <w:szCs w:val="18"/>
              </w:rPr>
              <w:t>Net assets</w:t>
            </w:r>
          </w:p>
        </w:tc>
        <w:tc>
          <w:tcPr>
            <w:tcW w:w="938" w:type="dxa"/>
            <w:tcBorders>
              <w:bottom w:val="single" w:sz="4" w:space="0" w:color="auto"/>
            </w:tcBorders>
            <w:noWrap/>
            <w:hideMark/>
          </w:tcPr>
          <w:p w14:paraId="3C712B83" w14:textId="77777777" w:rsidR="00CE75D4" w:rsidRPr="00F42E60" w:rsidRDefault="00CE75D4" w:rsidP="008340C1">
            <w:pPr>
              <w:pStyle w:val="ARfintablebodyrightbold"/>
              <w:ind w:right="0"/>
              <w:rPr>
                <w:szCs w:val="18"/>
              </w:rPr>
            </w:pPr>
            <w:r w:rsidRPr="00F42E60">
              <w:rPr>
                <w:szCs w:val="18"/>
              </w:rPr>
              <w:t>2,466.7</w:t>
            </w:r>
          </w:p>
        </w:tc>
        <w:tc>
          <w:tcPr>
            <w:tcW w:w="938" w:type="dxa"/>
            <w:tcBorders>
              <w:bottom w:val="single" w:sz="4" w:space="0" w:color="auto"/>
            </w:tcBorders>
            <w:noWrap/>
            <w:hideMark/>
          </w:tcPr>
          <w:p w14:paraId="5C9F0E24" w14:textId="77777777" w:rsidR="00CE75D4" w:rsidRPr="00F42E60" w:rsidRDefault="00CE75D4" w:rsidP="008340C1">
            <w:pPr>
              <w:pStyle w:val="ARfintablebodyrightbold"/>
              <w:ind w:right="0"/>
              <w:rPr>
                <w:szCs w:val="18"/>
              </w:rPr>
            </w:pPr>
            <w:r w:rsidRPr="00F42E60">
              <w:rPr>
                <w:szCs w:val="18"/>
              </w:rPr>
              <w:t>162.3</w:t>
            </w:r>
          </w:p>
        </w:tc>
        <w:tc>
          <w:tcPr>
            <w:tcW w:w="938" w:type="dxa"/>
            <w:tcBorders>
              <w:bottom w:val="single" w:sz="4" w:space="0" w:color="auto"/>
            </w:tcBorders>
            <w:noWrap/>
            <w:hideMark/>
          </w:tcPr>
          <w:p w14:paraId="5CEE54D7" w14:textId="77777777" w:rsidR="00CE75D4" w:rsidRPr="00F42E60" w:rsidRDefault="00CE75D4" w:rsidP="008340C1">
            <w:pPr>
              <w:pStyle w:val="ARfintablebodyrightbold"/>
              <w:ind w:right="0"/>
              <w:rPr>
                <w:szCs w:val="18"/>
              </w:rPr>
            </w:pPr>
            <w:r w:rsidRPr="00F42E60">
              <w:rPr>
                <w:szCs w:val="18"/>
              </w:rPr>
              <w:t>125.2</w:t>
            </w:r>
          </w:p>
        </w:tc>
        <w:tc>
          <w:tcPr>
            <w:tcW w:w="938" w:type="dxa"/>
            <w:tcBorders>
              <w:bottom w:val="single" w:sz="4" w:space="0" w:color="auto"/>
            </w:tcBorders>
            <w:noWrap/>
            <w:hideMark/>
          </w:tcPr>
          <w:p w14:paraId="3E39AD2C" w14:textId="77777777" w:rsidR="00CE75D4" w:rsidRPr="00F42E60" w:rsidRDefault="00CE75D4" w:rsidP="008340C1">
            <w:pPr>
              <w:pStyle w:val="ARfintablebodyrightbold"/>
              <w:ind w:right="0"/>
              <w:rPr>
                <w:szCs w:val="18"/>
              </w:rPr>
            </w:pPr>
            <w:r w:rsidRPr="00F42E60">
              <w:rPr>
                <w:szCs w:val="18"/>
              </w:rPr>
              <w:t>25.9</w:t>
            </w:r>
          </w:p>
        </w:tc>
        <w:tc>
          <w:tcPr>
            <w:tcW w:w="938" w:type="dxa"/>
            <w:tcBorders>
              <w:bottom w:val="single" w:sz="4" w:space="0" w:color="auto"/>
            </w:tcBorders>
            <w:noWrap/>
            <w:hideMark/>
          </w:tcPr>
          <w:p w14:paraId="45B54E7F" w14:textId="77777777" w:rsidR="00CE75D4" w:rsidRPr="00F42E60" w:rsidRDefault="00CE75D4" w:rsidP="008340C1">
            <w:pPr>
              <w:pStyle w:val="ARfintablebodyrightbold"/>
              <w:ind w:right="0"/>
              <w:rPr>
                <w:szCs w:val="18"/>
              </w:rPr>
            </w:pPr>
            <w:r w:rsidRPr="00F42E60">
              <w:rPr>
                <w:szCs w:val="18"/>
              </w:rPr>
              <w:t>148.2</w:t>
            </w:r>
          </w:p>
        </w:tc>
        <w:tc>
          <w:tcPr>
            <w:tcW w:w="937" w:type="dxa"/>
            <w:tcBorders>
              <w:bottom w:val="single" w:sz="4" w:space="0" w:color="auto"/>
            </w:tcBorders>
            <w:noWrap/>
            <w:hideMark/>
          </w:tcPr>
          <w:p w14:paraId="57912BFC" w14:textId="77777777" w:rsidR="00CE75D4" w:rsidRPr="00F42E60" w:rsidRDefault="00CE75D4" w:rsidP="008340C1">
            <w:pPr>
              <w:pStyle w:val="ARfintablebodyrightbold"/>
              <w:ind w:right="0"/>
              <w:rPr>
                <w:szCs w:val="18"/>
              </w:rPr>
            </w:pPr>
            <w:r w:rsidRPr="00F42E60">
              <w:rPr>
                <w:szCs w:val="18"/>
              </w:rPr>
              <w:t>(0.9)</w:t>
            </w:r>
          </w:p>
        </w:tc>
        <w:tc>
          <w:tcPr>
            <w:tcW w:w="937" w:type="dxa"/>
            <w:tcBorders>
              <w:bottom w:val="single" w:sz="4" w:space="0" w:color="auto"/>
            </w:tcBorders>
            <w:noWrap/>
            <w:hideMark/>
          </w:tcPr>
          <w:p w14:paraId="7751582E" w14:textId="77777777" w:rsidR="00CE75D4" w:rsidRPr="00F42E60" w:rsidRDefault="00CE75D4" w:rsidP="008340C1">
            <w:pPr>
              <w:pStyle w:val="ARfintablebodyrightbold"/>
              <w:ind w:right="0"/>
              <w:rPr>
                <w:szCs w:val="18"/>
              </w:rPr>
            </w:pPr>
            <w:r w:rsidRPr="00F42E60">
              <w:rPr>
                <w:szCs w:val="18"/>
              </w:rPr>
              <w:t>(0.2)</w:t>
            </w:r>
          </w:p>
        </w:tc>
        <w:tc>
          <w:tcPr>
            <w:tcW w:w="937" w:type="dxa"/>
            <w:tcBorders>
              <w:bottom w:val="single" w:sz="4" w:space="0" w:color="auto"/>
            </w:tcBorders>
            <w:noWrap/>
            <w:hideMark/>
          </w:tcPr>
          <w:p w14:paraId="06B0E3A9" w14:textId="77777777" w:rsidR="00CE75D4" w:rsidRPr="00F42E60" w:rsidRDefault="00CE75D4" w:rsidP="008340C1">
            <w:pPr>
              <w:pStyle w:val="ARfintablebodyrightbold"/>
              <w:ind w:right="0"/>
              <w:rPr>
                <w:szCs w:val="18"/>
              </w:rPr>
            </w:pPr>
            <w:r w:rsidRPr="00F42E60">
              <w:rPr>
                <w:szCs w:val="18"/>
              </w:rPr>
              <w:t>2.6</w:t>
            </w:r>
          </w:p>
        </w:tc>
        <w:tc>
          <w:tcPr>
            <w:tcW w:w="937" w:type="dxa"/>
            <w:tcBorders>
              <w:bottom w:val="single" w:sz="4" w:space="0" w:color="auto"/>
            </w:tcBorders>
            <w:noWrap/>
            <w:hideMark/>
          </w:tcPr>
          <w:p w14:paraId="4B1A831D" w14:textId="77777777" w:rsidR="00CE75D4" w:rsidRPr="00F42E60" w:rsidRDefault="00CE75D4" w:rsidP="008340C1">
            <w:pPr>
              <w:pStyle w:val="ARfintablebodyrightbold"/>
              <w:ind w:right="0"/>
              <w:rPr>
                <w:szCs w:val="18"/>
              </w:rPr>
            </w:pPr>
            <w:r w:rsidRPr="00F42E60">
              <w:rPr>
                <w:szCs w:val="18"/>
              </w:rPr>
              <w:t>130.5</w:t>
            </w:r>
          </w:p>
        </w:tc>
        <w:tc>
          <w:tcPr>
            <w:tcW w:w="937" w:type="dxa"/>
            <w:tcBorders>
              <w:bottom w:val="single" w:sz="4" w:space="0" w:color="auto"/>
            </w:tcBorders>
            <w:noWrap/>
            <w:hideMark/>
          </w:tcPr>
          <w:p w14:paraId="5324DCA1" w14:textId="77777777" w:rsidR="00CE75D4" w:rsidRPr="00F42E60" w:rsidRDefault="00CE75D4" w:rsidP="008340C1">
            <w:pPr>
              <w:pStyle w:val="ARfintablebodyrightbold"/>
              <w:ind w:right="0"/>
              <w:rPr>
                <w:szCs w:val="18"/>
              </w:rPr>
            </w:pPr>
            <w:r w:rsidRPr="00F42E60">
              <w:rPr>
                <w:szCs w:val="18"/>
              </w:rPr>
              <w:t>22.6</w:t>
            </w:r>
          </w:p>
        </w:tc>
        <w:tc>
          <w:tcPr>
            <w:tcW w:w="937" w:type="dxa"/>
            <w:tcBorders>
              <w:bottom w:val="single" w:sz="4" w:space="0" w:color="auto"/>
            </w:tcBorders>
            <w:noWrap/>
            <w:hideMark/>
          </w:tcPr>
          <w:p w14:paraId="4830F84F" w14:textId="77777777" w:rsidR="00CE75D4" w:rsidRPr="00F42E60" w:rsidRDefault="00CE75D4" w:rsidP="008340C1">
            <w:pPr>
              <w:pStyle w:val="ARfintablebodyrightbold"/>
              <w:ind w:right="0"/>
              <w:rPr>
                <w:szCs w:val="18"/>
              </w:rPr>
            </w:pPr>
            <w:r w:rsidRPr="00F42E60">
              <w:rPr>
                <w:szCs w:val="18"/>
              </w:rPr>
              <w:t>(5.4)</w:t>
            </w:r>
          </w:p>
        </w:tc>
        <w:tc>
          <w:tcPr>
            <w:tcW w:w="937" w:type="dxa"/>
            <w:tcBorders>
              <w:bottom w:val="single" w:sz="4" w:space="0" w:color="auto"/>
            </w:tcBorders>
            <w:noWrap/>
            <w:hideMark/>
          </w:tcPr>
          <w:p w14:paraId="19B2D727" w14:textId="77777777" w:rsidR="00CE75D4" w:rsidRPr="00F42E60" w:rsidRDefault="00CE75D4" w:rsidP="008340C1">
            <w:pPr>
              <w:pStyle w:val="ARfintablebodyrightbold"/>
              <w:ind w:right="0"/>
              <w:rPr>
                <w:szCs w:val="18"/>
              </w:rPr>
            </w:pPr>
            <w:r w:rsidRPr="00F42E60">
              <w:rPr>
                <w:szCs w:val="18"/>
              </w:rPr>
              <w:t>114.7</w:t>
            </w:r>
          </w:p>
        </w:tc>
        <w:tc>
          <w:tcPr>
            <w:tcW w:w="937" w:type="dxa"/>
            <w:tcBorders>
              <w:bottom w:val="single" w:sz="4" w:space="0" w:color="auto"/>
            </w:tcBorders>
            <w:noWrap/>
            <w:hideMark/>
          </w:tcPr>
          <w:p w14:paraId="7CF4AE95" w14:textId="77777777" w:rsidR="00CE75D4" w:rsidRPr="00F42E60" w:rsidRDefault="00CE75D4" w:rsidP="008340C1">
            <w:pPr>
              <w:pStyle w:val="ARfintablebodyrightbold"/>
              <w:ind w:right="0"/>
              <w:rPr>
                <w:szCs w:val="18"/>
              </w:rPr>
            </w:pPr>
            <w:r w:rsidRPr="00F42E60">
              <w:rPr>
                <w:szCs w:val="18"/>
              </w:rPr>
              <w:t>606.6</w:t>
            </w:r>
          </w:p>
        </w:tc>
      </w:tr>
    </w:tbl>
    <w:p w14:paraId="48360DD6" w14:textId="77777777" w:rsidR="00CE75D4" w:rsidRDefault="00CE75D4" w:rsidP="008340C1">
      <w:pPr>
        <w:pStyle w:val="Heading6"/>
        <w:spacing w:after="160"/>
        <w:rPr>
          <w:lang w:eastAsia="en-AU"/>
        </w:rPr>
      </w:pPr>
      <w:r>
        <w:rPr>
          <w:lang w:eastAsia="en-AU"/>
        </w:rPr>
        <w:t>B. 2022 (continued) – Outputs 14–25 and total of outputs 1–25</w:t>
      </w:r>
    </w:p>
    <w:tbl>
      <w:tblPr>
        <w:tblStyle w:val="TableGrid"/>
        <w:tblW w:w="14459" w:type="dxa"/>
        <w:tblLayout w:type="fixed"/>
        <w:tblCellMar>
          <w:right w:w="0" w:type="dxa"/>
        </w:tblCellMar>
        <w:tblLook w:val="06A0" w:firstRow="1" w:lastRow="0" w:firstColumn="1" w:lastColumn="0" w:noHBand="1" w:noVBand="1"/>
      </w:tblPr>
      <w:tblGrid>
        <w:gridCol w:w="2273"/>
        <w:gridCol w:w="938"/>
        <w:gridCol w:w="938"/>
        <w:gridCol w:w="938"/>
        <w:gridCol w:w="938"/>
        <w:gridCol w:w="938"/>
        <w:gridCol w:w="937"/>
        <w:gridCol w:w="937"/>
        <w:gridCol w:w="937"/>
        <w:gridCol w:w="937"/>
        <w:gridCol w:w="937"/>
        <w:gridCol w:w="937"/>
        <w:gridCol w:w="937"/>
        <w:gridCol w:w="937"/>
      </w:tblGrid>
      <w:tr w:rsidR="00CE75D4" w:rsidRPr="00C0495C" w14:paraId="3B9EB2F2" w14:textId="77777777" w:rsidTr="008340C1">
        <w:trPr>
          <w:cnfStyle w:val="100000000000" w:firstRow="1" w:lastRow="0" w:firstColumn="0" w:lastColumn="0" w:oddVBand="0" w:evenVBand="0" w:oddHBand="0" w:evenHBand="0" w:firstRowFirstColumn="0" w:firstRowLastColumn="0" w:lastRowFirstColumn="0" w:lastRowLastColumn="0"/>
          <w:trHeight w:val="170"/>
          <w:tblHeader/>
        </w:trPr>
        <w:tc>
          <w:tcPr>
            <w:tcW w:w="2273" w:type="dxa"/>
            <w:tcBorders>
              <w:bottom w:val="single" w:sz="4" w:space="0" w:color="auto"/>
            </w:tcBorders>
            <w:hideMark/>
          </w:tcPr>
          <w:p w14:paraId="5CBD9A51" w14:textId="77777777" w:rsidR="00CE75D4" w:rsidRPr="00F42E60" w:rsidRDefault="00CE75D4" w:rsidP="008340C1">
            <w:pPr>
              <w:pStyle w:val="ARfintablecolhead"/>
              <w:spacing w:after="20" w:line="264" w:lineRule="auto"/>
              <w:rPr>
                <w:rFonts w:cs="Arial"/>
                <w:szCs w:val="18"/>
              </w:rPr>
            </w:pPr>
            <w:r w:rsidRPr="00F42E60">
              <w:rPr>
                <w:rFonts w:cs="Arial"/>
                <w:szCs w:val="18"/>
              </w:rPr>
              <w:t>Year ended 30 June 2022</w:t>
            </w:r>
          </w:p>
          <w:p w14:paraId="70D5EB84" w14:textId="77777777" w:rsidR="00CE75D4" w:rsidRPr="00F42E60" w:rsidRDefault="00CE75D4" w:rsidP="008340C1">
            <w:pPr>
              <w:pStyle w:val="ARfintablecolhead"/>
              <w:spacing w:after="20" w:line="264" w:lineRule="auto"/>
              <w:rPr>
                <w:rFonts w:cs="Arial"/>
                <w:szCs w:val="18"/>
              </w:rPr>
            </w:pPr>
            <w:r w:rsidRPr="00F42E60">
              <w:rPr>
                <w:rFonts w:cs="Arial"/>
                <w:szCs w:val="18"/>
              </w:rPr>
              <w:t xml:space="preserve">Output </w:t>
            </w:r>
            <w:r w:rsidRPr="00F42E60">
              <w:rPr>
                <w:rStyle w:val="Superscript"/>
                <w:rFonts w:cs="Arial"/>
                <w:szCs w:val="18"/>
              </w:rPr>
              <w:t>(i)</w:t>
            </w:r>
          </w:p>
        </w:tc>
        <w:tc>
          <w:tcPr>
            <w:tcW w:w="938" w:type="dxa"/>
            <w:tcBorders>
              <w:bottom w:val="single" w:sz="4" w:space="0" w:color="auto"/>
            </w:tcBorders>
            <w:hideMark/>
          </w:tcPr>
          <w:p w14:paraId="59B91BD7"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 xml:space="preserve">14 </w:t>
            </w:r>
          </w:p>
          <w:p w14:paraId="2D6DEEBC"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8" w:type="dxa"/>
            <w:tcBorders>
              <w:bottom w:val="single" w:sz="4" w:space="0" w:color="auto"/>
            </w:tcBorders>
            <w:hideMark/>
          </w:tcPr>
          <w:p w14:paraId="6D6C5DCA"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15</w:t>
            </w:r>
          </w:p>
          <w:p w14:paraId="7156F0C3"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8" w:type="dxa"/>
            <w:tcBorders>
              <w:bottom w:val="single" w:sz="4" w:space="0" w:color="auto"/>
            </w:tcBorders>
            <w:hideMark/>
          </w:tcPr>
          <w:p w14:paraId="2F5F55B6"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16</w:t>
            </w:r>
          </w:p>
          <w:p w14:paraId="7767FE1B"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8" w:type="dxa"/>
            <w:tcBorders>
              <w:bottom w:val="single" w:sz="4" w:space="0" w:color="auto"/>
            </w:tcBorders>
            <w:hideMark/>
          </w:tcPr>
          <w:p w14:paraId="6B8C4D96"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17</w:t>
            </w:r>
          </w:p>
          <w:p w14:paraId="00897665"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8" w:type="dxa"/>
            <w:tcBorders>
              <w:bottom w:val="single" w:sz="4" w:space="0" w:color="auto"/>
            </w:tcBorders>
            <w:hideMark/>
          </w:tcPr>
          <w:p w14:paraId="348FC0C2"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18</w:t>
            </w:r>
          </w:p>
          <w:p w14:paraId="09E29192"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7" w:type="dxa"/>
            <w:tcBorders>
              <w:bottom w:val="single" w:sz="4" w:space="0" w:color="auto"/>
            </w:tcBorders>
            <w:hideMark/>
          </w:tcPr>
          <w:p w14:paraId="53F74AC4"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19</w:t>
            </w:r>
          </w:p>
          <w:p w14:paraId="50FC36A7"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7" w:type="dxa"/>
            <w:tcBorders>
              <w:bottom w:val="single" w:sz="4" w:space="0" w:color="auto"/>
            </w:tcBorders>
            <w:hideMark/>
          </w:tcPr>
          <w:p w14:paraId="76C9870C"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20</w:t>
            </w:r>
          </w:p>
          <w:p w14:paraId="2C4EC428"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7" w:type="dxa"/>
            <w:tcBorders>
              <w:bottom w:val="single" w:sz="4" w:space="0" w:color="auto"/>
            </w:tcBorders>
            <w:hideMark/>
          </w:tcPr>
          <w:p w14:paraId="64C8027A"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21</w:t>
            </w:r>
          </w:p>
          <w:p w14:paraId="6813FB41"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7" w:type="dxa"/>
            <w:tcBorders>
              <w:bottom w:val="single" w:sz="4" w:space="0" w:color="auto"/>
            </w:tcBorders>
            <w:hideMark/>
          </w:tcPr>
          <w:p w14:paraId="619ACCE5"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22</w:t>
            </w:r>
          </w:p>
          <w:p w14:paraId="0AB356B2"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7" w:type="dxa"/>
            <w:tcBorders>
              <w:bottom w:val="single" w:sz="4" w:space="0" w:color="auto"/>
            </w:tcBorders>
            <w:hideMark/>
          </w:tcPr>
          <w:p w14:paraId="1D11948D"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23</w:t>
            </w:r>
          </w:p>
          <w:p w14:paraId="467CAD4E"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7" w:type="dxa"/>
            <w:tcBorders>
              <w:bottom w:val="single" w:sz="4" w:space="0" w:color="auto"/>
            </w:tcBorders>
            <w:hideMark/>
          </w:tcPr>
          <w:p w14:paraId="38115923"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24</w:t>
            </w:r>
          </w:p>
          <w:p w14:paraId="0C95585A"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7" w:type="dxa"/>
            <w:tcBorders>
              <w:bottom w:val="single" w:sz="4" w:space="0" w:color="auto"/>
            </w:tcBorders>
            <w:hideMark/>
          </w:tcPr>
          <w:p w14:paraId="586B36DB"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25</w:t>
            </w:r>
          </w:p>
          <w:p w14:paraId="2424584F"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c>
          <w:tcPr>
            <w:tcW w:w="937" w:type="dxa"/>
            <w:tcBorders>
              <w:bottom w:val="single" w:sz="4" w:space="0" w:color="auto"/>
            </w:tcBorders>
            <w:hideMark/>
          </w:tcPr>
          <w:p w14:paraId="215CA5FE"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Total</w:t>
            </w:r>
          </w:p>
          <w:p w14:paraId="7A58CC33" w14:textId="77777777" w:rsidR="00CE75D4" w:rsidRPr="00F42E60" w:rsidRDefault="00CE75D4" w:rsidP="008340C1">
            <w:pPr>
              <w:pStyle w:val="ARfintablecolheadright"/>
              <w:spacing w:after="20" w:line="264" w:lineRule="auto"/>
              <w:ind w:right="0"/>
              <w:rPr>
                <w:rFonts w:cs="Arial"/>
                <w:szCs w:val="18"/>
              </w:rPr>
            </w:pPr>
            <w:r w:rsidRPr="00F42E60">
              <w:rPr>
                <w:rFonts w:cs="Arial"/>
                <w:szCs w:val="18"/>
              </w:rPr>
              <w:t>$M</w:t>
            </w:r>
          </w:p>
        </w:tc>
      </w:tr>
      <w:tr w:rsidR="00CE75D4" w:rsidRPr="00C0495C" w14:paraId="09AFB2B1" w14:textId="77777777" w:rsidTr="008340C1">
        <w:trPr>
          <w:cantSplit w:val="0"/>
          <w:trHeight w:val="170"/>
        </w:trPr>
        <w:tc>
          <w:tcPr>
            <w:tcW w:w="14459" w:type="dxa"/>
            <w:gridSpan w:val="14"/>
            <w:tcBorders>
              <w:top w:val="single" w:sz="4" w:space="0" w:color="A6A6A6"/>
              <w:bottom w:val="single" w:sz="4" w:space="0" w:color="A6A6A6"/>
            </w:tcBorders>
          </w:tcPr>
          <w:p w14:paraId="5243AF7A" w14:textId="77777777" w:rsidR="00CE75D4" w:rsidRPr="00F42E60" w:rsidRDefault="00CE75D4" w:rsidP="008340C1">
            <w:pPr>
              <w:pStyle w:val="ARfintablebodybold"/>
              <w:rPr>
                <w:rFonts w:cs="Arial"/>
                <w:szCs w:val="18"/>
              </w:rPr>
            </w:pPr>
            <w:r w:rsidRPr="00F42E60">
              <w:rPr>
                <w:rFonts w:cs="Arial"/>
                <w:szCs w:val="18"/>
              </w:rPr>
              <w:t>Assets</w:t>
            </w:r>
          </w:p>
        </w:tc>
      </w:tr>
      <w:tr w:rsidR="00CE75D4" w:rsidRPr="00C0495C" w14:paraId="20C895D6" w14:textId="77777777" w:rsidTr="008340C1">
        <w:trPr>
          <w:cantSplit w:val="0"/>
          <w:trHeight w:val="170"/>
        </w:trPr>
        <w:tc>
          <w:tcPr>
            <w:tcW w:w="2273" w:type="dxa"/>
            <w:tcBorders>
              <w:top w:val="single" w:sz="4" w:space="0" w:color="A6A6A6"/>
              <w:bottom w:val="single" w:sz="4" w:space="0" w:color="A6A6A6"/>
            </w:tcBorders>
          </w:tcPr>
          <w:p w14:paraId="3466DBD6" w14:textId="77777777" w:rsidR="00CE75D4" w:rsidRPr="00F42E60" w:rsidRDefault="00CE75D4" w:rsidP="008340C1">
            <w:pPr>
              <w:pStyle w:val="ARfintablebody"/>
              <w:rPr>
                <w:szCs w:val="18"/>
              </w:rPr>
            </w:pPr>
            <w:r w:rsidRPr="00F42E60">
              <w:rPr>
                <w:szCs w:val="18"/>
              </w:rPr>
              <w:t>Financial assets</w:t>
            </w:r>
          </w:p>
        </w:tc>
        <w:tc>
          <w:tcPr>
            <w:tcW w:w="938" w:type="dxa"/>
            <w:tcBorders>
              <w:top w:val="single" w:sz="4" w:space="0" w:color="A6A6A6"/>
              <w:bottom w:val="single" w:sz="4" w:space="0" w:color="A6A6A6"/>
            </w:tcBorders>
            <w:noWrap/>
          </w:tcPr>
          <w:p w14:paraId="690C68AC" w14:textId="77777777" w:rsidR="00CE75D4" w:rsidRPr="00F42E60" w:rsidRDefault="00CE75D4" w:rsidP="008340C1">
            <w:pPr>
              <w:pStyle w:val="ARfintablebodyright"/>
              <w:ind w:right="0"/>
              <w:rPr>
                <w:szCs w:val="18"/>
              </w:rPr>
            </w:pPr>
            <w:r w:rsidRPr="00F42E60">
              <w:rPr>
                <w:szCs w:val="18"/>
              </w:rPr>
              <w:t>37.5</w:t>
            </w:r>
          </w:p>
        </w:tc>
        <w:tc>
          <w:tcPr>
            <w:tcW w:w="938" w:type="dxa"/>
            <w:tcBorders>
              <w:top w:val="single" w:sz="4" w:space="0" w:color="A6A6A6"/>
              <w:bottom w:val="single" w:sz="4" w:space="0" w:color="A6A6A6"/>
            </w:tcBorders>
            <w:noWrap/>
          </w:tcPr>
          <w:p w14:paraId="1C1876B6" w14:textId="77777777" w:rsidR="00CE75D4" w:rsidRPr="00F42E60" w:rsidRDefault="00CE75D4" w:rsidP="008340C1">
            <w:pPr>
              <w:pStyle w:val="ARfintablebodyright"/>
              <w:ind w:right="0"/>
              <w:rPr>
                <w:szCs w:val="18"/>
              </w:rPr>
            </w:pPr>
            <w:r w:rsidRPr="00F42E60">
              <w:rPr>
                <w:szCs w:val="18"/>
              </w:rPr>
              <w:t>71.3</w:t>
            </w:r>
          </w:p>
        </w:tc>
        <w:tc>
          <w:tcPr>
            <w:tcW w:w="938" w:type="dxa"/>
            <w:tcBorders>
              <w:top w:val="single" w:sz="4" w:space="0" w:color="A6A6A6"/>
              <w:bottom w:val="single" w:sz="4" w:space="0" w:color="A6A6A6"/>
            </w:tcBorders>
            <w:noWrap/>
          </w:tcPr>
          <w:p w14:paraId="718EF0FE" w14:textId="77777777" w:rsidR="00CE75D4" w:rsidRPr="00F42E60" w:rsidRDefault="00CE75D4" w:rsidP="008340C1">
            <w:pPr>
              <w:pStyle w:val="ARfintablebodyright"/>
              <w:ind w:right="0"/>
              <w:rPr>
                <w:szCs w:val="18"/>
              </w:rPr>
            </w:pPr>
            <w:r w:rsidRPr="00F42E60">
              <w:rPr>
                <w:szCs w:val="18"/>
              </w:rPr>
              <w:t>36.0</w:t>
            </w:r>
          </w:p>
        </w:tc>
        <w:tc>
          <w:tcPr>
            <w:tcW w:w="938" w:type="dxa"/>
            <w:tcBorders>
              <w:top w:val="single" w:sz="4" w:space="0" w:color="A6A6A6"/>
              <w:bottom w:val="single" w:sz="4" w:space="0" w:color="A6A6A6"/>
            </w:tcBorders>
            <w:noWrap/>
          </w:tcPr>
          <w:p w14:paraId="13C0280D" w14:textId="77777777" w:rsidR="00CE75D4" w:rsidRPr="00F42E60" w:rsidRDefault="00CE75D4" w:rsidP="008340C1">
            <w:pPr>
              <w:pStyle w:val="ARfintablebodyright"/>
              <w:ind w:right="0"/>
              <w:rPr>
                <w:szCs w:val="18"/>
              </w:rPr>
            </w:pPr>
            <w:r w:rsidRPr="00F42E60">
              <w:rPr>
                <w:szCs w:val="18"/>
              </w:rPr>
              <w:t>33.7</w:t>
            </w:r>
          </w:p>
        </w:tc>
        <w:tc>
          <w:tcPr>
            <w:tcW w:w="938" w:type="dxa"/>
            <w:tcBorders>
              <w:top w:val="single" w:sz="4" w:space="0" w:color="A6A6A6"/>
              <w:bottom w:val="single" w:sz="4" w:space="0" w:color="A6A6A6"/>
            </w:tcBorders>
            <w:noWrap/>
          </w:tcPr>
          <w:p w14:paraId="4DCD443A" w14:textId="77777777" w:rsidR="00CE75D4" w:rsidRPr="00F42E60" w:rsidRDefault="00CE75D4" w:rsidP="008340C1">
            <w:pPr>
              <w:pStyle w:val="ARfintablebodyright"/>
              <w:ind w:right="0"/>
              <w:rPr>
                <w:szCs w:val="18"/>
              </w:rPr>
            </w:pPr>
            <w:r w:rsidRPr="00F42E60">
              <w:rPr>
                <w:szCs w:val="18"/>
              </w:rPr>
              <w:t>344.7</w:t>
            </w:r>
          </w:p>
        </w:tc>
        <w:tc>
          <w:tcPr>
            <w:tcW w:w="937" w:type="dxa"/>
            <w:tcBorders>
              <w:top w:val="single" w:sz="4" w:space="0" w:color="A6A6A6"/>
              <w:bottom w:val="single" w:sz="4" w:space="0" w:color="A6A6A6"/>
            </w:tcBorders>
            <w:noWrap/>
          </w:tcPr>
          <w:p w14:paraId="56BF462D" w14:textId="77777777" w:rsidR="00CE75D4" w:rsidRPr="00F42E60" w:rsidRDefault="00CE75D4" w:rsidP="008340C1">
            <w:pPr>
              <w:pStyle w:val="ARfintablebodyright"/>
              <w:ind w:right="0"/>
              <w:rPr>
                <w:szCs w:val="18"/>
              </w:rPr>
            </w:pPr>
            <w:r w:rsidRPr="00F42E60">
              <w:rPr>
                <w:szCs w:val="18"/>
              </w:rPr>
              <w:t>11.0</w:t>
            </w:r>
          </w:p>
        </w:tc>
        <w:tc>
          <w:tcPr>
            <w:tcW w:w="937" w:type="dxa"/>
            <w:tcBorders>
              <w:top w:val="single" w:sz="4" w:space="0" w:color="A6A6A6"/>
              <w:bottom w:val="single" w:sz="4" w:space="0" w:color="A6A6A6"/>
            </w:tcBorders>
            <w:noWrap/>
          </w:tcPr>
          <w:p w14:paraId="02F415C7" w14:textId="77777777" w:rsidR="00CE75D4" w:rsidRPr="00F42E60" w:rsidRDefault="00CE75D4" w:rsidP="008340C1">
            <w:pPr>
              <w:pStyle w:val="ARfintablebodyright"/>
              <w:ind w:right="0"/>
              <w:rPr>
                <w:szCs w:val="18"/>
              </w:rPr>
            </w:pPr>
            <w:r w:rsidRPr="00F42E60">
              <w:rPr>
                <w:szCs w:val="18"/>
              </w:rPr>
              <w:t>(1.7)</w:t>
            </w:r>
          </w:p>
        </w:tc>
        <w:tc>
          <w:tcPr>
            <w:tcW w:w="937" w:type="dxa"/>
            <w:tcBorders>
              <w:top w:val="single" w:sz="4" w:space="0" w:color="A6A6A6"/>
              <w:bottom w:val="single" w:sz="4" w:space="0" w:color="A6A6A6"/>
            </w:tcBorders>
            <w:noWrap/>
          </w:tcPr>
          <w:p w14:paraId="68F41635" w14:textId="77777777" w:rsidR="00CE75D4" w:rsidRPr="00F42E60" w:rsidRDefault="00CE75D4" w:rsidP="008340C1">
            <w:pPr>
              <w:pStyle w:val="ARfintablebodyright"/>
              <w:ind w:right="0"/>
              <w:rPr>
                <w:szCs w:val="18"/>
              </w:rPr>
            </w:pPr>
            <w:r w:rsidRPr="00F42E60">
              <w:rPr>
                <w:szCs w:val="18"/>
              </w:rPr>
              <w:t>29.9</w:t>
            </w:r>
          </w:p>
        </w:tc>
        <w:tc>
          <w:tcPr>
            <w:tcW w:w="937" w:type="dxa"/>
            <w:tcBorders>
              <w:top w:val="single" w:sz="4" w:space="0" w:color="A6A6A6"/>
              <w:bottom w:val="single" w:sz="4" w:space="0" w:color="A6A6A6"/>
            </w:tcBorders>
            <w:noWrap/>
          </w:tcPr>
          <w:p w14:paraId="7704E1D2" w14:textId="77777777" w:rsidR="00CE75D4" w:rsidRPr="00F42E60" w:rsidRDefault="00CE75D4" w:rsidP="008340C1">
            <w:pPr>
              <w:pStyle w:val="ARfintablebodyright"/>
              <w:ind w:right="0"/>
              <w:rPr>
                <w:szCs w:val="18"/>
              </w:rPr>
            </w:pPr>
            <w:r w:rsidRPr="00F42E60">
              <w:rPr>
                <w:szCs w:val="18"/>
              </w:rPr>
              <w:t>22.2</w:t>
            </w:r>
          </w:p>
        </w:tc>
        <w:tc>
          <w:tcPr>
            <w:tcW w:w="937" w:type="dxa"/>
            <w:tcBorders>
              <w:top w:val="single" w:sz="4" w:space="0" w:color="A6A6A6"/>
              <w:bottom w:val="single" w:sz="4" w:space="0" w:color="A6A6A6"/>
            </w:tcBorders>
            <w:noWrap/>
          </w:tcPr>
          <w:p w14:paraId="11581BB8" w14:textId="77777777" w:rsidR="00CE75D4" w:rsidRPr="00F42E60" w:rsidRDefault="00CE75D4" w:rsidP="008340C1">
            <w:pPr>
              <w:pStyle w:val="ARfintablebodyright"/>
              <w:ind w:right="0"/>
              <w:rPr>
                <w:szCs w:val="18"/>
              </w:rPr>
            </w:pPr>
            <w:r w:rsidRPr="00F42E60">
              <w:rPr>
                <w:szCs w:val="18"/>
              </w:rPr>
              <w:t>4.5</w:t>
            </w:r>
          </w:p>
        </w:tc>
        <w:tc>
          <w:tcPr>
            <w:tcW w:w="937" w:type="dxa"/>
            <w:tcBorders>
              <w:top w:val="single" w:sz="4" w:space="0" w:color="A6A6A6"/>
              <w:bottom w:val="single" w:sz="4" w:space="0" w:color="A6A6A6"/>
            </w:tcBorders>
            <w:noWrap/>
          </w:tcPr>
          <w:p w14:paraId="7C2C2101" w14:textId="77777777" w:rsidR="00CE75D4" w:rsidRPr="00F42E60" w:rsidRDefault="00CE75D4" w:rsidP="008340C1">
            <w:pPr>
              <w:pStyle w:val="ARfintablebodyright"/>
              <w:ind w:right="0"/>
              <w:rPr>
                <w:szCs w:val="18"/>
              </w:rPr>
            </w:pPr>
            <w:r w:rsidRPr="00F42E60">
              <w:rPr>
                <w:szCs w:val="18"/>
              </w:rPr>
              <w:t>2.3</w:t>
            </w:r>
          </w:p>
        </w:tc>
        <w:tc>
          <w:tcPr>
            <w:tcW w:w="937" w:type="dxa"/>
            <w:tcBorders>
              <w:top w:val="single" w:sz="4" w:space="0" w:color="A6A6A6"/>
              <w:bottom w:val="single" w:sz="4" w:space="0" w:color="A6A6A6"/>
            </w:tcBorders>
            <w:noWrap/>
          </w:tcPr>
          <w:p w14:paraId="43FB2849" w14:textId="77777777" w:rsidR="00CE75D4" w:rsidRPr="00F42E60" w:rsidRDefault="00CE75D4" w:rsidP="008340C1">
            <w:pPr>
              <w:pStyle w:val="ARfintablebodyright"/>
              <w:ind w:right="0"/>
              <w:rPr>
                <w:szCs w:val="18"/>
              </w:rPr>
            </w:pPr>
            <w:r w:rsidRPr="00F42E60">
              <w:rPr>
                <w:szCs w:val="18"/>
              </w:rPr>
              <w:t>2.4</w:t>
            </w:r>
          </w:p>
        </w:tc>
        <w:tc>
          <w:tcPr>
            <w:tcW w:w="937" w:type="dxa"/>
            <w:tcBorders>
              <w:top w:val="single" w:sz="4" w:space="0" w:color="A6A6A6"/>
              <w:bottom w:val="single" w:sz="4" w:space="0" w:color="A6A6A6"/>
            </w:tcBorders>
            <w:noWrap/>
          </w:tcPr>
          <w:p w14:paraId="15455B34" w14:textId="77777777" w:rsidR="00CE75D4" w:rsidRPr="00F42E60" w:rsidRDefault="00CE75D4" w:rsidP="008340C1">
            <w:pPr>
              <w:pStyle w:val="ARfintablebodyright"/>
              <w:ind w:right="0"/>
              <w:rPr>
                <w:szCs w:val="18"/>
              </w:rPr>
            </w:pPr>
            <w:r w:rsidRPr="00F42E60">
              <w:rPr>
                <w:szCs w:val="18"/>
              </w:rPr>
              <w:t>4,597.7</w:t>
            </w:r>
          </w:p>
        </w:tc>
      </w:tr>
      <w:tr w:rsidR="00CE75D4" w:rsidRPr="00C0495C" w14:paraId="0AD2EF91" w14:textId="77777777" w:rsidTr="008340C1">
        <w:trPr>
          <w:cantSplit w:val="0"/>
          <w:trHeight w:val="170"/>
        </w:trPr>
        <w:tc>
          <w:tcPr>
            <w:tcW w:w="2273" w:type="dxa"/>
            <w:tcBorders>
              <w:top w:val="single" w:sz="4" w:space="0" w:color="A6A6A6"/>
              <w:bottom w:val="single" w:sz="4" w:space="0" w:color="A6A6A6"/>
            </w:tcBorders>
            <w:hideMark/>
          </w:tcPr>
          <w:p w14:paraId="4A28F235" w14:textId="77777777" w:rsidR="00CE75D4" w:rsidRPr="00F42E60" w:rsidRDefault="00CE75D4" w:rsidP="008340C1">
            <w:pPr>
              <w:pStyle w:val="ARfintablebody"/>
              <w:rPr>
                <w:szCs w:val="18"/>
              </w:rPr>
            </w:pPr>
            <w:r w:rsidRPr="00F42E60">
              <w:rPr>
                <w:szCs w:val="18"/>
              </w:rPr>
              <w:t>Non-financial assets</w:t>
            </w:r>
          </w:p>
        </w:tc>
        <w:tc>
          <w:tcPr>
            <w:tcW w:w="938" w:type="dxa"/>
            <w:tcBorders>
              <w:top w:val="single" w:sz="4" w:space="0" w:color="A6A6A6"/>
              <w:bottom w:val="single" w:sz="4" w:space="0" w:color="A6A6A6"/>
            </w:tcBorders>
            <w:noWrap/>
            <w:hideMark/>
          </w:tcPr>
          <w:p w14:paraId="1FE0AF53" w14:textId="77777777" w:rsidR="00CE75D4" w:rsidRPr="00F42E60" w:rsidRDefault="00CE75D4" w:rsidP="008340C1">
            <w:pPr>
              <w:pStyle w:val="ARfintablebodyright"/>
              <w:ind w:right="0"/>
              <w:rPr>
                <w:szCs w:val="18"/>
              </w:rPr>
            </w:pPr>
            <w:r w:rsidRPr="00F42E60">
              <w:rPr>
                <w:szCs w:val="18"/>
              </w:rPr>
              <w:t>–</w:t>
            </w:r>
          </w:p>
        </w:tc>
        <w:tc>
          <w:tcPr>
            <w:tcW w:w="938" w:type="dxa"/>
            <w:tcBorders>
              <w:top w:val="single" w:sz="4" w:space="0" w:color="A6A6A6"/>
              <w:bottom w:val="single" w:sz="4" w:space="0" w:color="A6A6A6"/>
            </w:tcBorders>
            <w:noWrap/>
            <w:hideMark/>
          </w:tcPr>
          <w:p w14:paraId="09B2D55A" w14:textId="77777777" w:rsidR="00CE75D4" w:rsidRPr="00F42E60" w:rsidRDefault="00CE75D4" w:rsidP="008340C1">
            <w:pPr>
              <w:pStyle w:val="ARfintablebodyright"/>
              <w:ind w:right="0"/>
              <w:rPr>
                <w:szCs w:val="18"/>
              </w:rPr>
            </w:pPr>
            <w:r w:rsidRPr="00F42E60">
              <w:rPr>
                <w:szCs w:val="18"/>
              </w:rPr>
              <w:t>310.4</w:t>
            </w:r>
          </w:p>
        </w:tc>
        <w:tc>
          <w:tcPr>
            <w:tcW w:w="938" w:type="dxa"/>
            <w:tcBorders>
              <w:top w:val="single" w:sz="4" w:space="0" w:color="A6A6A6"/>
              <w:bottom w:val="single" w:sz="4" w:space="0" w:color="A6A6A6"/>
            </w:tcBorders>
            <w:noWrap/>
            <w:hideMark/>
          </w:tcPr>
          <w:p w14:paraId="2CAF9B23" w14:textId="77777777" w:rsidR="00CE75D4" w:rsidRPr="00F42E60" w:rsidRDefault="00CE75D4" w:rsidP="008340C1">
            <w:pPr>
              <w:pStyle w:val="ARfintablebodyright"/>
              <w:ind w:right="0"/>
              <w:rPr>
                <w:szCs w:val="18"/>
              </w:rPr>
            </w:pPr>
            <w:r w:rsidRPr="00F42E60">
              <w:rPr>
                <w:szCs w:val="18"/>
              </w:rPr>
              <w:t>0.5</w:t>
            </w:r>
          </w:p>
        </w:tc>
        <w:tc>
          <w:tcPr>
            <w:tcW w:w="938" w:type="dxa"/>
            <w:tcBorders>
              <w:top w:val="single" w:sz="4" w:space="0" w:color="A6A6A6"/>
              <w:bottom w:val="single" w:sz="4" w:space="0" w:color="A6A6A6"/>
            </w:tcBorders>
            <w:noWrap/>
            <w:hideMark/>
          </w:tcPr>
          <w:p w14:paraId="67DF6574" w14:textId="77777777" w:rsidR="00CE75D4" w:rsidRPr="00F42E60" w:rsidRDefault="00CE75D4" w:rsidP="008340C1">
            <w:pPr>
              <w:pStyle w:val="ARfintablebodyright"/>
              <w:ind w:right="0"/>
              <w:rPr>
                <w:szCs w:val="18"/>
              </w:rPr>
            </w:pPr>
            <w:r w:rsidRPr="00F42E60">
              <w:rPr>
                <w:szCs w:val="18"/>
              </w:rPr>
              <w:t>3.4</w:t>
            </w:r>
          </w:p>
        </w:tc>
        <w:tc>
          <w:tcPr>
            <w:tcW w:w="938" w:type="dxa"/>
            <w:tcBorders>
              <w:top w:val="single" w:sz="4" w:space="0" w:color="A6A6A6"/>
              <w:bottom w:val="single" w:sz="4" w:space="0" w:color="A6A6A6"/>
            </w:tcBorders>
            <w:noWrap/>
            <w:hideMark/>
          </w:tcPr>
          <w:p w14:paraId="004407E2" w14:textId="77777777" w:rsidR="00CE75D4" w:rsidRPr="00F42E60" w:rsidRDefault="00CE75D4" w:rsidP="008340C1">
            <w:pPr>
              <w:pStyle w:val="ARfintablebodyright"/>
              <w:ind w:right="0"/>
              <w:rPr>
                <w:szCs w:val="18"/>
              </w:rPr>
            </w:pPr>
            <w:r w:rsidRPr="00F42E60">
              <w:rPr>
                <w:szCs w:val="18"/>
              </w:rPr>
              <w:t>367.0</w:t>
            </w:r>
          </w:p>
        </w:tc>
        <w:tc>
          <w:tcPr>
            <w:tcW w:w="937" w:type="dxa"/>
            <w:tcBorders>
              <w:top w:val="single" w:sz="4" w:space="0" w:color="A6A6A6"/>
              <w:bottom w:val="single" w:sz="4" w:space="0" w:color="A6A6A6"/>
            </w:tcBorders>
            <w:noWrap/>
            <w:hideMark/>
          </w:tcPr>
          <w:p w14:paraId="4CEF1C6D" w14:textId="77777777" w:rsidR="00CE75D4" w:rsidRPr="00F42E60" w:rsidRDefault="00CE75D4" w:rsidP="008340C1">
            <w:pPr>
              <w:pStyle w:val="ARfintablebodyright"/>
              <w:ind w:right="0"/>
              <w:rPr>
                <w:szCs w:val="18"/>
              </w:rPr>
            </w:pPr>
            <w:r w:rsidRPr="00F42E60">
              <w:rPr>
                <w:szCs w:val="18"/>
              </w:rPr>
              <w:t>1.9</w:t>
            </w:r>
          </w:p>
        </w:tc>
        <w:tc>
          <w:tcPr>
            <w:tcW w:w="937" w:type="dxa"/>
            <w:tcBorders>
              <w:top w:val="single" w:sz="4" w:space="0" w:color="A6A6A6"/>
              <w:bottom w:val="single" w:sz="4" w:space="0" w:color="A6A6A6"/>
            </w:tcBorders>
            <w:noWrap/>
            <w:hideMark/>
          </w:tcPr>
          <w:p w14:paraId="0C226BB3" w14:textId="77777777" w:rsidR="00CE75D4" w:rsidRPr="00F42E60" w:rsidRDefault="00CE75D4" w:rsidP="008340C1">
            <w:pPr>
              <w:pStyle w:val="ARfintablebodyright"/>
              <w:ind w:right="0"/>
              <w:rPr>
                <w:szCs w:val="18"/>
              </w:rPr>
            </w:pPr>
            <w:r w:rsidRPr="00F42E60">
              <w:rPr>
                <w:szCs w:val="18"/>
              </w:rPr>
              <w:t>0.6</w:t>
            </w:r>
          </w:p>
        </w:tc>
        <w:tc>
          <w:tcPr>
            <w:tcW w:w="937" w:type="dxa"/>
            <w:tcBorders>
              <w:top w:val="single" w:sz="4" w:space="0" w:color="A6A6A6"/>
              <w:bottom w:val="single" w:sz="4" w:space="0" w:color="A6A6A6"/>
            </w:tcBorders>
            <w:noWrap/>
            <w:hideMark/>
          </w:tcPr>
          <w:p w14:paraId="1F8A7BAF" w14:textId="77777777" w:rsidR="00CE75D4" w:rsidRPr="00F42E60" w:rsidRDefault="00CE75D4" w:rsidP="008340C1">
            <w:pPr>
              <w:pStyle w:val="ARfintablebodyright"/>
              <w:ind w:right="0"/>
              <w:rPr>
                <w:szCs w:val="18"/>
              </w:rPr>
            </w:pPr>
            <w:r w:rsidRPr="00F42E60">
              <w:rPr>
                <w:szCs w:val="18"/>
              </w:rPr>
              <w:t>10.3</w:t>
            </w:r>
          </w:p>
        </w:tc>
        <w:tc>
          <w:tcPr>
            <w:tcW w:w="937" w:type="dxa"/>
            <w:tcBorders>
              <w:top w:val="single" w:sz="4" w:space="0" w:color="A6A6A6"/>
              <w:bottom w:val="single" w:sz="4" w:space="0" w:color="A6A6A6"/>
            </w:tcBorders>
            <w:noWrap/>
            <w:hideMark/>
          </w:tcPr>
          <w:p w14:paraId="1EB7B142" w14:textId="77777777" w:rsidR="00CE75D4" w:rsidRPr="00F42E60" w:rsidRDefault="00CE75D4" w:rsidP="008340C1">
            <w:pPr>
              <w:pStyle w:val="ARfintablebodyright"/>
              <w:ind w:right="0"/>
              <w:rPr>
                <w:szCs w:val="18"/>
              </w:rPr>
            </w:pPr>
            <w:r w:rsidRPr="00F42E60">
              <w:rPr>
                <w:szCs w:val="18"/>
              </w:rPr>
              <w:t>–</w:t>
            </w:r>
          </w:p>
        </w:tc>
        <w:tc>
          <w:tcPr>
            <w:tcW w:w="937" w:type="dxa"/>
            <w:tcBorders>
              <w:top w:val="single" w:sz="4" w:space="0" w:color="A6A6A6"/>
              <w:bottom w:val="single" w:sz="4" w:space="0" w:color="A6A6A6"/>
            </w:tcBorders>
            <w:noWrap/>
            <w:hideMark/>
          </w:tcPr>
          <w:p w14:paraId="0817EBCD" w14:textId="77777777" w:rsidR="00CE75D4" w:rsidRPr="00F42E60" w:rsidRDefault="00CE75D4" w:rsidP="008340C1">
            <w:pPr>
              <w:pStyle w:val="ARfintablebodyright"/>
              <w:ind w:right="0"/>
              <w:rPr>
                <w:szCs w:val="18"/>
              </w:rPr>
            </w:pPr>
            <w:r w:rsidRPr="00F42E60">
              <w:rPr>
                <w:szCs w:val="18"/>
              </w:rPr>
              <w:t>–</w:t>
            </w:r>
          </w:p>
        </w:tc>
        <w:tc>
          <w:tcPr>
            <w:tcW w:w="937" w:type="dxa"/>
            <w:tcBorders>
              <w:top w:val="single" w:sz="4" w:space="0" w:color="A6A6A6"/>
              <w:bottom w:val="single" w:sz="4" w:space="0" w:color="A6A6A6"/>
            </w:tcBorders>
            <w:noWrap/>
            <w:hideMark/>
          </w:tcPr>
          <w:p w14:paraId="18BDBB24" w14:textId="77777777" w:rsidR="00CE75D4" w:rsidRPr="00F42E60" w:rsidRDefault="00CE75D4" w:rsidP="008340C1">
            <w:pPr>
              <w:pStyle w:val="ARfintablebodyright"/>
              <w:ind w:right="0"/>
              <w:rPr>
                <w:szCs w:val="18"/>
              </w:rPr>
            </w:pPr>
            <w:r w:rsidRPr="00F42E60">
              <w:rPr>
                <w:szCs w:val="18"/>
              </w:rPr>
              <w:t>6.6</w:t>
            </w:r>
          </w:p>
        </w:tc>
        <w:tc>
          <w:tcPr>
            <w:tcW w:w="937" w:type="dxa"/>
            <w:tcBorders>
              <w:top w:val="single" w:sz="4" w:space="0" w:color="A6A6A6"/>
              <w:bottom w:val="single" w:sz="4" w:space="0" w:color="A6A6A6"/>
            </w:tcBorders>
            <w:noWrap/>
            <w:hideMark/>
          </w:tcPr>
          <w:p w14:paraId="41C1193D" w14:textId="77777777" w:rsidR="00CE75D4" w:rsidRPr="00F42E60" w:rsidRDefault="00CE75D4" w:rsidP="008340C1">
            <w:pPr>
              <w:pStyle w:val="ARfintablebodyright"/>
              <w:ind w:right="0"/>
              <w:rPr>
                <w:szCs w:val="18"/>
              </w:rPr>
            </w:pPr>
            <w:r w:rsidRPr="00F42E60">
              <w:rPr>
                <w:szCs w:val="18"/>
              </w:rPr>
              <w:t>0.8</w:t>
            </w:r>
          </w:p>
        </w:tc>
        <w:tc>
          <w:tcPr>
            <w:tcW w:w="937" w:type="dxa"/>
            <w:tcBorders>
              <w:top w:val="single" w:sz="4" w:space="0" w:color="A6A6A6"/>
              <w:bottom w:val="single" w:sz="4" w:space="0" w:color="A6A6A6"/>
            </w:tcBorders>
            <w:noWrap/>
            <w:hideMark/>
          </w:tcPr>
          <w:p w14:paraId="27F205BD" w14:textId="77777777" w:rsidR="00CE75D4" w:rsidRPr="00F42E60" w:rsidRDefault="00CE75D4" w:rsidP="008340C1">
            <w:pPr>
              <w:pStyle w:val="ARfintablebodyright"/>
              <w:ind w:right="0"/>
              <w:rPr>
                <w:szCs w:val="18"/>
              </w:rPr>
            </w:pPr>
            <w:r w:rsidRPr="00F42E60">
              <w:rPr>
                <w:szCs w:val="18"/>
              </w:rPr>
              <w:t>2,957.0</w:t>
            </w:r>
          </w:p>
        </w:tc>
      </w:tr>
      <w:tr w:rsidR="00CE75D4" w:rsidRPr="00C0495C" w14:paraId="27D18F73" w14:textId="77777777" w:rsidTr="008340C1">
        <w:trPr>
          <w:cantSplit w:val="0"/>
          <w:trHeight w:val="170"/>
        </w:trPr>
        <w:tc>
          <w:tcPr>
            <w:tcW w:w="2273" w:type="dxa"/>
            <w:tcBorders>
              <w:bottom w:val="single" w:sz="4" w:space="0" w:color="auto"/>
            </w:tcBorders>
            <w:hideMark/>
          </w:tcPr>
          <w:p w14:paraId="593D413A" w14:textId="77777777" w:rsidR="00CE75D4" w:rsidRPr="00F42E60" w:rsidRDefault="00CE75D4" w:rsidP="008340C1">
            <w:pPr>
              <w:pStyle w:val="ARfintablebodybold"/>
              <w:rPr>
                <w:rFonts w:cs="Arial"/>
                <w:szCs w:val="18"/>
              </w:rPr>
            </w:pPr>
            <w:r w:rsidRPr="00F42E60">
              <w:rPr>
                <w:rFonts w:cs="Arial"/>
                <w:szCs w:val="18"/>
              </w:rPr>
              <w:t>Total assets</w:t>
            </w:r>
          </w:p>
        </w:tc>
        <w:tc>
          <w:tcPr>
            <w:tcW w:w="938" w:type="dxa"/>
            <w:tcBorders>
              <w:bottom w:val="single" w:sz="4" w:space="0" w:color="auto"/>
            </w:tcBorders>
            <w:noWrap/>
            <w:hideMark/>
          </w:tcPr>
          <w:p w14:paraId="1DFC26B6" w14:textId="77777777" w:rsidR="00CE75D4" w:rsidRPr="00F42E60" w:rsidRDefault="00CE75D4" w:rsidP="008340C1">
            <w:pPr>
              <w:pStyle w:val="ARfintablebodyrightbold"/>
              <w:ind w:right="0"/>
              <w:rPr>
                <w:szCs w:val="18"/>
              </w:rPr>
            </w:pPr>
            <w:r w:rsidRPr="00F42E60">
              <w:rPr>
                <w:szCs w:val="18"/>
              </w:rPr>
              <w:t>37.5</w:t>
            </w:r>
          </w:p>
        </w:tc>
        <w:tc>
          <w:tcPr>
            <w:tcW w:w="938" w:type="dxa"/>
            <w:tcBorders>
              <w:bottom w:val="single" w:sz="4" w:space="0" w:color="auto"/>
            </w:tcBorders>
            <w:noWrap/>
            <w:hideMark/>
          </w:tcPr>
          <w:p w14:paraId="6D65E962" w14:textId="77777777" w:rsidR="00CE75D4" w:rsidRPr="00F42E60" w:rsidRDefault="00CE75D4" w:rsidP="008340C1">
            <w:pPr>
              <w:pStyle w:val="ARfintablebodyrightbold"/>
              <w:ind w:right="0"/>
              <w:rPr>
                <w:szCs w:val="18"/>
              </w:rPr>
            </w:pPr>
            <w:r w:rsidRPr="00F42E60">
              <w:rPr>
                <w:szCs w:val="18"/>
              </w:rPr>
              <w:t>381.7</w:t>
            </w:r>
          </w:p>
        </w:tc>
        <w:tc>
          <w:tcPr>
            <w:tcW w:w="938" w:type="dxa"/>
            <w:tcBorders>
              <w:bottom w:val="single" w:sz="4" w:space="0" w:color="auto"/>
            </w:tcBorders>
            <w:noWrap/>
            <w:hideMark/>
          </w:tcPr>
          <w:p w14:paraId="79B74990" w14:textId="77777777" w:rsidR="00CE75D4" w:rsidRPr="00F42E60" w:rsidRDefault="00CE75D4" w:rsidP="008340C1">
            <w:pPr>
              <w:pStyle w:val="ARfintablebodyrightbold"/>
              <w:ind w:right="0"/>
              <w:rPr>
                <w:szCs w:val="18"/>
              </w:rPr>
            </w:pPr>
            <w:r w:rsidRPr="00F42E60">
              <w:rPr>
                <w:szCs w:val="18"/>
              </w:rPr>
              <w:t>36.5</w:t>
            </w:r>
          </w:p>
        </w:tc>
        <w:tc>
          <w:tcPr>
            <w:tcW w:w="938" w:type="dxa"/>
            <w:tcBorders>
              <w:bottom w:val="single" w:sz="4" w:space="0" w:color="auto"/>
            </w:tcBorders>
            <w:noWrap/>
            <w:hideMark/>
          </w:tcPr>
          <w:p w14:paraId="078E07FC" w14:textId="77777777" w:rsidR="00CE75D4" w:rsidRPr="00F42E60" w:rsidRDefault="00CE75D4" w:rsidP="008340C1">
            <w:pPr>
              <w:pStyle w:val="ARfintablebodyrightbold"/>
              <w:ind w:right="0"/>
              <w:rPr>
                <w:szCs w:val="18"/>
              </w:rPr>
            </w:pPr>
            <w:r w:rsidRPr="00F42E60">
              <w:rPr>
                <w:szCs w:val="18"/>
              </w:rPr>
              <w:t>37.1</w:t>
            </w:r>
          </w:p>
        </w:tc>
        <w:tc>
          <w:tcPr>
            <w:tcW w:w="938" w:type="dxa"/>
            <w:tcBorders>
              <w:bottom w:val="single" w:sz="4" w:space="0" w:color="auto"/>
            </w:tcBorders>
            <w:noWrap/>
            <w:hideMark/>
          </w:tcPr>
          <w:p w14:paraId="6ED50CF6" w14:textId="77777777" w:rsidR="00CE75D4" w:rsidRPr="00F42E60" w:rsidRDefault="00CE75D4" w:rsidP="008340C1">
            <w:pPr>
              <w:pStyle w:val="ARfintablebodyrightbold"/>
              <w:ind w:right="0"/>
              <w:rPr>
                <w:szCs w:val="18"/>
              </w:rPr>
            </w:pPr>
            <w:r w:rsidRPr="00F42E60">
              <w:rPr>
                <w:szCs w:val="18"/>
              </w:rPr>
              <w:t>711.7</w:t>
            </w:r>
          </w:p>
        </w:tc>
        <w:tc>
          <w:tcPr>
            <w:tcW w:w="937" w:type="dxa"/>
            <w:tcBorders>
              <w:bottom w:val="single" w:sz="4" w:space="0" w:color="auto"/>
            </w:tcBorders>
            <w:noWrap/>
            <w:hideMark/>
          </w:tcPr>
          <w:p w14:paraId="7E5F1EF7" w14:textId="77777777" w:rsidR="00CE75D4" w:rsidRPr="00F42E60" w:rsidRDefault="00CE75D4" w:rsidP="008340C1">
            <w:pPr>
              <w:pStyle w:val="ARfintablebodyrightbold"/>
              <w:ind w:right="0"/>
              <w:rPr>
                <w:szCs w:val="18"/>
              </w:rPr>
            </w:pPr>
            <w:r w:rsidRPr="00F42E60">
              <w:rPr>
                <w:szCs w:val="18"/>
              </w:rPr>
              <w:t>12.9</w:t>
            </w:r>
          </w:p>
        </w:tc>
        <w:tc>
          <w:tcPr>
            <w:tcW w:w="937" w:type="dxa"/>
            <w:tcBorders>
              <w:bottom w:val="single" w:sz="4" w:space="0" w:color="auto"/>
            </w:tcBorders>
            <w:noWrap/>
            <w:hideMark/>
          </w:tcPr>
          <w:p w14:paraId="2233F5A0" w14:textId="77777777" w:rsidR="00CE75D4" w:rsidRPr="00F42E60" w:rsidRDefault="00CE75D4" w:rsidP="008340C1">
            <w:pPr>
              <w:pStyle w:val="ARfintablebodyrightbold"/>
              <w:ind w:right="0"/>
              <w:rPr>
                <w:szCs w:val="18"/>
              </w:rPr>
            </w:pPr>
            <w:r w:rsidRPr="00F42E60">
              <w:rPr>
                <w:szCs w:val="18"/>
              </w:rPr>
              <w:t>(1.1)</w:t>
            </w:r>
          </w:p>
        </w:tc>
        <w:tc>
          <w:tcPr>
            <w:tcW w:w="937" w:type="dxa"/>
            <w:tcBorders>
              <w:bottom w:val="single" w:sz="4" w:space="0" w:color="auto"/>
            </w:tcBorders>
            <w:noWrap/>
            <w:hideMark/>
          </w:tcPr>
          <w:p w14:paraId="3E62B366" w14:textId="77777777" w:rsidR="00CE75D4" w:rsidRPr="00F42E60" w:rsidRDefault="00CE75D4" w:rsidP="008340C1">
            <w:pPr>
              <w:pStyle w:val="ARfintablebodyrightbold"/>
              <w:ind w:right="0"/>
              <w:rPr>
                <w:szCs w:val="18"/>
              </w:rPr>
            </w:pPr>
            <w:r w:rsidRPr="00F42E60">
              <w:rPr>
                <w:szCs w:val="18"/>
              </w:rPr>
              <w:t>40.2</w:t>
            </w:r>
          </w:p>
        </w:tc>
        <w:tc>
          <w:tcPr>
            <w:tcW w:w="937" w:type="dxa"/>
            <w:tcBorders>
              <w:bottom w:val="single" w:sz="4" w:space="0" w:color="auto"/>
            </w:tcBorders>
            <w:noWrap/>
            <w:hideMark/>
          </w:tcPr>
          <w:p w14:paraId="6B891357" w14:textId="77777777" w:rsidR="00CE75D4" w:rsidRPr="00F42E60" w:rsidRDefault="00CE75D4" w:rsidP="008340C1">
            <w:pPr>
              <w:pStyle w:val="ARfintablebodyrightbold"/>
              <w:ind w:right="0"/>
              <w:rPr>
                <w:szCs w:val="18"/>
              </w:rPr>
            </w:pPr>
            <w:r w:rsidRPr="00F42E60">
              <w:rPr>
                <w:szCs w:val="18"/>
              </w:rPr>
              <w:t>22.2</w:t>
            </w:r>
          </w:p>
        </w:tc>
        <w:tc>
          <w:tcPr>
            <w:tcW w:w="937" w:type="dxa"/>
            <w:tcBorders>
              <w:bottom w:val="single" w:sz="4" w:space="0" w:color="auto"/>
            </w:tcBorders>
            <w:noWrap/>
            <w:hideMark/>
          </w:tcPr>
          <w:p w14:paraId="04B7CECB" w14:textId="77777777" w:rsidR="00CE75D4" w:rsidRPr="00F42E60" w:rsidRDefault="00CE75D4" w:rsidP="008340C1">
            <w:pPr>
              <w:pStyle w:val="ARfintablebodyrightbold"/>
              <w:ind w:right="0"/>
              <w:rPr>
                <w:szCs w:val="18"/>
              </w:rPr>
            </w:pPr>
            <w:r w:rsidRPr="00F42E60">
              <w:rPr>
                <w:szCs w:val="18"/>
              </w:rPr>
              <w:t>4.5</w:t>
            </w:r>
          </w:p>
        </w:tc>
        <w:tc>
          <w:tcPr>
            <w:tcW w:w="937" w:type="dxa"/>
            <w:tcBorders>
              <w:bottom w:val="single" w:sz="4" w:space="0" w:color="auto"/>
            </w:tcBorders>
            <w:noWrap/>
            <w:hideMark/>
          </w:tcPr>
          <w:p w14:paraId="1A8501AA" w14:textId="77777777" w:rsidR="00CE75D4" w:rsidRPr="00F42E60" w:rsidRDefault="00CE75D4" w:rsidP="008340C1">
            <w:pPr>
              <w:pStyle w:val="ARfintablebodyrightbold"/>
              <w:ind w:right="0"/>
              <w:rPr>
                <w:szCs w:val="18"/>
              </w:rPr>
            </w:pPr>
            <w:r w:rsidRPr="00F42E60">
              <w:rPr>
                <w:szCs w:val="18"/>
              </w:rPr>
              <w:t>8.9</w:t>
            </w:r>
          </w:p>
        </w:tc>
        <w:tc>
          <w:tcPr>
            <w:tcW w:w="937" w:type="dxa"/>
            <w:tcBorders>
              <w:bottom w:val="single" w:sz="4" w:space="0" w:color="auto"/>
            </w:tcBorders>
            <w:noWrap/>
            <w:hideMark/>
          </w:tcPr>
          <w:p w14:paraId="7B9D87E8" w14:textId="77777777" w:rsidR="00CE75D4" w:rsidRPr="00F42E60" w:rsidRDefault="00CE75D4" w:rsidP="008340C1">
            <w:pPr>
              <w:pStyle w:val="ARfintablebodyrightbold"/>
              <w:ind w:right="0"/>
              <w:rPr>
                <w:szCs w:val="18"/>
              </w:rPr>
            </w:pPr>
            <w:r w:rsidRPr="00F42E60">
              <w:rPr>
                <w:szCs w:val="18"/>
              </w:rPr>
              <w:t>3.2</w:t>
            </w:r>
          </w:p>
        </w:tc>
        <w:tc>
          <w:tcPr>
            <w:tcW w:w="937" w:type="dxa"/>
            <w:tcBorders>
              <w:bottom w:val="single" w:sz="4" w:space="0" w:color="auto"/>
            </w:tcBorders>
            <w:noWrap/>
            <w:hideMark/>
          </w:tcPr>
          <w:p w14:paraId="6573D57A" w14:textId="77777777" w:rsidR="00CE75D4" w:rsidRPr="00F42E60" w:rsidRDefault="00CE75D4" w:rsidP="008340C1">
            <w:pPr>
              <w:pStyle w:val="ARfintablebodyrightbold"/>
              <w:ind w:right="0"/>
              <w:rPr>
                <w:szCs w:val="18"/>
              </w:rPr>
            </w:pPr>
            <w:r w:rsidRPr="00F42E60">
              <w:rPr>
                <w:szCs w:val="18"/>
              </w:rPr>
              <w:t>7,554.</w:t>
            </w:r>
            <w:r>
              <w:rPr>
                <w:szCs w:val="18"/>
              </w:rPr>
              <w:t>8</w:t>
            </w:r>
          </w:p>
        </w:tc>
      </w:tr>
      <w:tr w:rsidR="00CE75D4" w:rsidRPr="00C0495C" w14:paraId="14DCA323" w14:textId="77777777" w:rsidTr="008340C1">
        <w:trPr>
          <w:cantSplit w:val="0"/>
          <w:trHeight w:val="170"/>
        </w:trPr>
        <w:tc>
          <w:tcPr>
            <w:tcW w:w="14459" w:type="dxa"/>
            <w:gridSpan w:val="14"/>
            <w:tcBorders>
              <w:top w:val="single" w:sz="4" w:space="0" w:color="A6A6A6"/>
              <w:bottom w:val="single" w:sz="4" w:space="0" w:color="A6A6A6"/>
            </w:tcBorders>
          </w:tcPr>
          <w:p w14:paraId="2D78F85C" w14:textId="77777777" w:rsidR="00CE75D4" w:rsidRPr="00F42E60" w:rsidRDefault="00CE75D4" w:rsidP="008340C1">
            <w:pPr>
              <w:pStyle w:val="ARfintablebodybold"/>
              <w:rPr>
                <w:rFonts w:cs="Arial"/>
                <w:szCs w:val="18"/>
              </w:rPr>
            </w:pPr>
            <w:r w:rsidRPr="00F42E60">
              <w:rPr>
                <w:rFonts w:cs="Arial"/>
                <w:szCs w:val="18"/>
              </w:rPr>
              <w:t>Liabilities</w:t>
            </w:r>
          </w:p>
        </w:tc>
      </w:tr>
      <w:tr w:rsidR="00CE75D4" w:rsidRPr="00C0495C" w14:paraId="61673F85" w14:textId="77777777" w:rsidTr="008340C1">
        <w:trPr>
          <w:cantSplit w:val="0"/>
          <w:trHeight w:val="170"/>
        </w:trPr>
        <w:tc>
          <w:tcPr>
            <w:tcW w:w="2273" w:type="dxa"/>
            <w:tcBorders>
              <w:top w:val="single" w:sz="4" w:space="0" w:color="A6A6A6"/>
              <w:bottom w:val="single" w:sz="4" w:space="0" w:color="A6A6A6"/>
            </w:tcBorders>
            <w:hideMark/>
          </w:tcPr>
          <w:p w14:paraId="6F6B34A7" w14:textId="77777777" w:rsidR="00CE75D4" w:rsidRPr="00F42E60" w:rsidRDefault="00CE75D4" w:rsidP="008340C1">
            <w:pPr>
              <w:pStyle w:val="ARfintablebody"/>
              <w:rPr>
                <w:szCs w:val="18"/>
              </w:rPr>
            </w:pPr>
            <w:r w:rsidRPr="00F42E60">
              <w:rPr>
                <w:szCs w:val="18"/>
              </w:rPr>
              <w:t>Financial liabilities</w:t>
            </w:r>
          </w:p>
        </w:tc>
        <w:tc>
          <w:tcPr>
            <w:tcW w:w="938" w:type="dxa"/>
            <w:tcBorders>
              <w:top w:val="single" w:sz="4" w:space="0" w:color="A6A6A6"/>
              <w:bottom w:val="single" w:sz="4" w:space="0" w:color="A6A6A6"/>
            </w:tcBorders>
            <w:noWrap/>
            <w:hideMark/>
          </w:tcPr>
          <w:p w14:paraId="7ECFDAAF" w14:textId="77777777" w:rsidR="00CE75D4" w:rsidRPr="00F42E60" w:rsidRDefault="00CE75D4" w:rsidP="008340C1">
            <w:pPr>
              <w:pStyle w:val="ARfintablebodyright"/>
              <w:ind w:right="0"/>
              <w:rPr>
                <w:szCs w:val="18"/>
              </w:rPr>
            </w:pPr>
            <w:r w:rsidRPr="00F42E60">
              <w:rPr>
                <w:szCs w:val="18"/>
              </w:rPr>
              <w:t>2.6</w:t>
            </w:r>
          </w:p>
        </w:tc>
        <w:tc>
          <w:tcPr>
            <w:tcW w:w="938" w:type="dxa"/>
            <w:tcBorders>
              <w:top w:val="single" w:sz="4" w:space="0" w:color="A6A6A6"/>
              <w:bottom w:val="single" w:sz="4" w:space="0" w:color="A6A6A6"/>
            </w:tcBorders>
            <w:noWrap/>
            <w:hideMark/>
          </w:tcPr>
          <w:p w14:paraId="07055AB2" w14:textId="77777777" w:rsidR="00CE75D4" w:rsidRPr="00F42E60" w:rsidRDefault="00CE75D4" w:rsidP="008340C1">
            <w:pPr>
              <w:pStyle w:val="ARfintablebodyright"/>
              <w:ind w:right="0"/>
              <w:rPr>
                <w:szCs w:val="18"/>
              </w:rPr>
            </w:pPr>
            <w:r w:rsidRPr="00F42E60">
              <w:rPr>
                <w:szCs w:val="18"/>
              </w:rPr>
              <w:t>39.6</w:t>
            </w:r>
          </w:p>
        </w:tc>
        <w:tc>
          <w:tcPr>
            <w:tcW w:w="938" w:type="dxa"/>
            <w:tcBorders>
              <w:top w:val="single" w:sz="4" w:space="0" w:color="A6A6A6"/>
              <w:bottom w:val="single" w:sz="4" w:space="0" w:color="A6A6A6"/>
            </w:tcBorders>
            <w:noWrap/>
            <w:hideMark/>
          </w:tcPr>
          <w:p w14:paraId="73752086" w14:textId="77777777" w:rsidR="00CE75D4" w:rsidRPr="00F42E60" w:rsidRDefault="00CE75D4" w:rsidP="008340C1">
            <w:pPr>
              <w:pStyle w:val="ARfintablebodyright"/>
              <w:ind w:right="0"/>
              <w:rPr>
                <w:szCs w:val="18"/>
              </w:rPr>
            </w:pPr>
            <w:r w:rsidRPr="00F42E60">
              <w:rPr>
                <w:szCs w:val="18"/>
              </w:rPr>
              <w:t>9.5</w:t>
            </w:r>
          </w:p>
        </w:tc>
        <w:tc>
          <w:tcPr>
            <w:tcW w:w="938" w:type="dxa"/>
            <w:tcBorders>
              <w:top w:val="single" w:sz="4" w:space="0" w:color="A6A6A6"/>
              <w:bottom w:val="single" w:sz="4" w:space="0" w:color="A6A6A6"/>
            </w:tcBorders>
            <w:noWrap/>
            <w:hideMark/>
          </w:tcPr>
          <w:p w14:paraId="6F6DA7EB" w14:textId="77777777" w:rsidR="00CE75D4" w:rsidRPr="00F42E60" w:rsidRDefault="00CE75D4" w:rsidP="008340C1">
            <w:pPr>
              <w:pStyle w:val="ARfintablebodyright"/>
              <w:ind w:right="0"/>
              <w:rPr>
                <w:szCs w:val="18"/>
              </w:rPr>
            </w:pPr>
            <w:r w:rsidRPr="00F42E60">
              <w:rPr>
                <w:szCs w:val="18"/>
              </w:rPr>
              <w:t>2.5</w:t>
            </w:r>
          </w:p>
        </w:tc>
        <w:tc>
          <w:tcPr>
            <w:tcW w:w="938" w:type="dxa"/>
            <w:tcBorders>
              <w:top w:val="single" w:sz="4" w:space="0" w:color="A6A6A6"/>
              <w:bottom w:val="single" w:sz="4" w:space="0" w:color="A6A6A6"/>
            </w:tcBorders>
            <w:noWrap/>
            <w:hideMark/>
          </w:tcPr>
          <w:p w14:paraId="5CCFCA25" w14:textId="77777777" w:rsidR="00CE75D4" w:rsidRPr="00F42E60" w:rsidRDefault="00CE75D4" w:rsidP="008340C1">
            <w:pPr>
              <w:pStyle w:val="ARfintablebodyright"/>
              <w:ind w:right="0"/>
              <w:rPr>
                <w:szCs w:val="18"/>
              </w:rPr>
            </w:pPr>
            <w:r w:rsidRPr="00F42E60">
              <w:rPr>
                <w:szCs w:val="18"/>
              </w:rPr>
              <w:t>137.2</w:t>
            </w:r>
          </w:p>
        </w:tc>
        <w:tc>
          <w:tcPr>
            <w:tcW w:w="937" w:type="dxa"/>
            <w:tcBorders>
              <w:top w:val="single" w:sz="4" w:space="0" w:color="A6A6A6"/>
              <w:bottom w:val="single" w:sz="4" w:space="0" w:color="A6A6A6"/>
            </w:tcBorders>
            <w:noWrap/>
            <w:hideMark/>
          </w:tcPr>
          <w:p w14:paraId="2A8ADD50" w14:textId="77777777" w:rsidR="00CE75D4" w:rsidRPr="00F42E60" w:rsidRDefault="00CE75D4" w:rsidP="008340C1">
            <w:pPr>
              <w:pStyle w:val="ARfintablebodyright"/>
              <w:ind w:right="0"/>
              <w:rPr>
                <w:szCs w:val="18"/>
              </w:rPr>
            </w:pPr>
            <w:r w:rsidRPr="00F42E60">
              <w:rPr>
                <w:szCs w:val="18"/>
              </w:rPr>
              <w:t>6.5</w:t>
            </w:r>
          </w:p>
        </w:tc>
        <w:tc>
          <w:tcPr>
            <w:tcW w:w="937" w:type="dxa"/>
            <w:tcBorders>
              <w:top w:val="single" w:sz="4" w:space="0" w:color="A6A6A6"/>
              <w:bottom w:val="single" w:sz="4" w:space="0" w:color="A6A6A6"/>
            </w:tcBorders>
            <w:noWrap/>
            <w:hideMark/>
          </w:tcPr>
          <w:p w14:paraId="2C5900CF" w14:textId="77777777" w:rsidR="00CE75D4" w:rsidRPr="00F42E60" w:rsidRDefault="00CE75D4" w:rsidP="008340C1">
            <w:pPr>
              <w:pStyle w:val="ARfintablebodyright"/>
              <w:ind w:right="0"/>
              <w:rPr>
                <w:szCs w:val="18"/>
              </w:rPr>
            </w:pPr>
            <w:r w:rsidRPr="00F42E60">
              <w:rPr>
                <w:szCs w:val="18"/>
              </w:rPr>
              <w:t>5.5</w:t>
            </w:r>
          </w:p>
        </w:tc>
        <w:tc>
          <w:tcPr>
            <w:tcW w:w="937" w:type="dxa"/>
            <w:tcBorders>
              <w:top w:val="single" w:sz="4" w:space="0" w:color="A6A6A6"/>
              <w:bottom w:val="single" w:sz="4" w:space="0" w:color="A6A6A6"/>
            </w:tcBorders>
            <w:noWrap/>
            <w:hideMark/>
          </w:tcPr>
          <w:p w14:paraId="6D80C842" w14:textId="77777777" w:rsidR="00CE75D4" w:rsidRPr="00F42E60" w:rsidRDefault="00CE75D4" w:rsidP="008340C1">
            <w:pPr>
              <w:pStyle w:val="ARfintablebodyright"/>
              <w:ind w:right="0"/>
              <w:rPr>
                <w:szCs w:val="18"/>
              </w:rPr>
            </w:pPr>
            <w:r w:rsidRPr="00F42E60">
              <w:rPr>
                <w:szCs w:val="18"/>
              </w:rPr>
              <w:t>21.8</w:t>
            </w:r>
          </w:p>
        </w:tc>
        <w:tc>
          <w:tcPr>
            <w:tcW w:w="937" w:type="dxa"/>
            <w:tcBorders>
              <w:top w:val="single" w:sz="4" w:space="0" w:color="A6A6A6"/>
              <w:bottom w:val="single" w:sz="4" w:space="0" w:color="A6A6A6"/>
            </w:tcBorders>
            <w:noWrap/>
            <w:hideMark/>
          </w:tcPr>
          <w:p w14:paraId="008F7BA0" w14:textId="77777777" w:rsidR="00CE75D4" w:rsidRPr="00F42E60" w:rsidRDefault="00CE75D4" w:rsidP="008340C1">
            <w:pPr>
              <w:pStyle w:val="ARfintablebodyright"/>
              <w:ind w:right="0"/>
              <w:rPr>
                <w:szCs w:val="18"/>
              </w:rPr>
            </w:pPr>
            <w:r w:rsidRPr="00F42E60">
              <w:rPr>
                <w:szCs w:val="18"/>
              </w:rPr>
              <w:t>3.8</w:t>
            </w:r>
          </w:p>
        </w:tc>
        <w:tc>
          <w:tcPr>
            <w:tcW w:w="937" w:type="dxa"/>
            <w:tcBorders>
              <w:top w:val="single" w:sz="4" w:space="0" w:color="A6A6A6"/>
              <w:bottom w:val="single" w:sz="4" w:space="0" w:color="A6A6A6"/>
            </w:tcBorders>
            <w:noWrap/>
            <w:hideMark/>
          </w:tcPr>
          <w:p w14:paraId="1B864EF7" w14:textId="77777777" w:rsidR="00CE75D4" w:rsidRPr="00F42E60" w:rsidRDefault="00CE75D4" w:rsidP="008340C1">
            <w:pPr>
              <w:pStyle w:val="ARfintablebodyright"/>
              <w:ind w:right="0"/>
              <w:rPr>
                <w:szCs w:val="18"/>
              </w:rPr>
            </w:pPr>
            <w:r w:rsidRPr="00F42E60">
              <w:rPr>
                <w:szCs w:val="18"/>
              </w:rPr>
              <w:t>1.0</w:t>
            </w:r>
          </w:p>
        </w:tc>
        <w:tc>
          <w:tcPr>
            <w:tcW w:w="937" w:type="dxa"/>
            <w:tcBorders>
              <w:top w:val="single" w:sz="4" w:space="0" w:color="A6A6A6"/>
              <w:bottom w:val="single" w:sz="4" w:space="0" w:color="A6A6A6"/>
            </w:tcBorders>
            <w:noWrap/>
            <w:hideMark/>
          </w:tcPr>
          <w:p w14:paraId="0A902929" w14:textId="77777777" w:rsidR="00CE75D4" w:rsidRPr="00F42E60" w:rsidRDefault="00CE75D4" w:rsidP="008340C1">
            <w:pPr>
              <w:pStyle w:val="ARfintablebodyright"/>
              <w:ind w:right="0"/>
              <w:rPr>
                <w:szCs w:val="18"/>
              </w:rPr>
            </w:pPr>
            <w:r w:rsidRPr="00F42E60">
              <w:rPr>
                <w:szCs w:val="18"/>
              </w:rPr>
              <w:t>1.0</w:t>
            </w:r>
          </w:p>
        </w:tc>
        <w:tc>
          <w:tcPr>
            <w:tcW w:w="937" w:type="dxa"/>
            <w:tcBorders>
              <w:top w:val="single" w:sz="4" w:space="0" w:color="A6A6A6"/>
              <w:bottom w:val="single" w:sz="4" w:space="0" w:color="A6A6A6"/>
            </w:tcBorders>
            <w:noWrap/>
            <w:hideMark/>
          </w:tcPr>
          <w:p w14:paraId="5787B730" w14:textId="77777777" w:rsidR="00CE75D4" w:rsidRPr="00F42E60" w:rsidRDefault="00CE75D4" w:rsidP="008340C1">
            <w:pPr>
              <w:pStyle w:val="ARfintablebodyright"/>
              <w:ind w:right="0"/>
              <w:rPr>
                <w:szCs w:val="18"/>
              </w:rPr>
            </w:pPr>
            <w:r w:rsidRPr="00F42E60">
              <w:rPr>
                <w:szCs w:val="18"/>
              </w:rPr>
              <w:t>(0.3)</w:t>
            </w:r>
          </w:p>
        </w:tc>
        <w:tc>
          <w:tcPr>
            <w:tcW w:w="937" w:type="dxa"/>
            <w:tcBorders>
              <w:top w:val="single" w:sz="4" w:space="0" w:color="A6A6A6"/>
              <w:bottom w:val="single" w:sz="4" w:space="0" w:color="A6A6A6"/>
            </w:tcBorders>
            <w:noWrap/>
            <w:hideMark/>
          </w:tcPr>
          <w:p w14:paraId="0C8B91DB" w14:textId="77777777" w:rsidR="00CE75D4" w:rsidRPr="00F42E60" w:rsidRDefault="00CE75D4" w:rsidP="008340C1">
            <w:pPr>
              <w:pStyle w:val="ARfintablebodyright"/>
              <w:ind w:right="0"/>
              <w:rPr>
                <w:szCs w:val="18"/>
              </w:rPr>
            </w:pPr>
            <w:r w:rsidRPr="00F42E60">
              <w:rPr>
                <w:szCs w:val="18"/>
              </w:rPr>
              <w:t>2,683.5</w:t>
            </w:r>
          </w:p>
        </w:tc>
      </w:tr>
      <w:tr w:rsidR="00CE75D4" w:rsidRPr="00C0495C" w14:paraId="3AA99B73" w14:textId="77777777" w:rsidTr="008340C1">
        <w:trPr>
          <w:cantSplit w:val="0"/>
          <w:trHeight w:val="170"/>
        </w:trPr>
        <w:tc>
          <w:tcPr>
            <w:tcW w:w="2273" w:type="dxa"/>
            <w:tcBorders>
              <w:top w:val="single" w:sz="4" w:space="0" w:color="A6A6A6"/>
              <w:bottom w:val="single" w:sz="4" w:space="0" w:color="A6A6A6"/>
            </w:tcBorders>
            <w:hideMark/>
          </w:tcPr>
          <w:p w14:paraId="50FCBDA9" w14:textId="77777777" w:rsidR="00CE75D4" w:rsidRPr="00F42E60" w:rsidRDefault="00CE75D4" w:rsidP="008340C1">
            <w:pPr>
              <w:pStyle w:val="ARfintablebody"/>
              <w:rPr>
                <w:szCs w:val="18"/>
              </w:rPr>
            </w:pPr>
            <w:r w:rsidRPr="00F42E60">
              <w:rPr>
                <w:szCs w:val="18"/>
              </w:rPr>
              <w:t>Non-financial liabilities</w:t>
            </w:r>
          </w:p>
        </w:tc>
        <w:tc>
          <w:tcPr>
            <w:tcW w:w="938" w:type="dxa"/>
            <w:tcBorders>
              <w:top w:val="single" w:sz="4" w:space="0" w:color="A6A6A6"/>
              <w:bottom w:val="single" w:sz="4" w:space="0" w:color="A6A6A6"/>
            </w:tcBorders>
            <w:noWrap/>
            <w:hideMark/>
          </w:tcPr>
          <w:p w14:paraId="0B04EF43" w14:textId="77777777" w:rsidR="00CE75D4" w:rsidRPr="00F42E60" w:rsidRDefault="00CE75D4" w:rsidP="008340C1">
            <w:pPr>
              <w:pStyle w:val="ARfintablebodyright"/>
              <w:ind w:right="0"/>
              <w:rPr>
                <w:szCs w:val="18"/>
              </w:rPr>
            </w:pPr>
            <w:r w:rsidRPr="00F42E60">
              <w:rPr>
                <w:szCs w:val="18"/>
              </w:rPr>
              <w:t>–</w:t>
            </w:r>
          </w:p>
        </w:tc>
        <w:tc>
          <w:tcPr>
            <w:tcW w:w="938" w:type="dxa"/>
            <w:tcBorders>
              <w:top w:val="single" w:sz="4" w:space="0" w:color="A6A6A6"/>
              <w:bottom w:val="single" w:sz="4" w:space="0" w:color="A6A6A6"/>
            </w:tcBorders>
            <w:noWrap/>
            <w:hideMark/>
          </w:tcPr>
          <w:p w14:paraId="575BA246" w14:textId="77777777" w:rsidR="00CE75D4" w:rsidRPr="00F42E60" w:rsidRDefault="00CE75D4" w:rsidP="008340C1">
            <w:pPr>
              <w:pStyle w:val="ARfintablebodyright"/>
              <w:ind w:right="0"/>
              <w:rPr>
                <w:szCs w:val="18"/>
              </w:rPr>
            </w:pPr>
            <w:r w:rsidRPr="00F42E60">
              <w:rPr>
                <w:szCs w:val="18"/>
              </w:rPr>
              <w:t>–</w:t>
            </w:r>
          </w:p>
        </w:tc>
        <w:tc>
          <w:tcPr>
            <w:tcW w:w="938" w:type="dxa"/>
            <w:tcBorders>
              <w:top w:val="single" w:sz="4" w:space="0" w:color="A6A6A6"/>
              <w:bottom w:val="single" w:sz="4" w:space="0" w:color="A6A6A6"/>
            </w:tcBorders>
            <w:noWrap/>
            <w:hideMark/>
          </w:tcPr>
          <w:p w14:paraId="716D3576" w14:textId="77777777" w:rsidR="00CE75D4" w:rsidRPr="00F42E60" w:rsidRDefault="00CE75D4" w:rsidP="008340C1">
            <w:pPr>
              <w:pStyle w:val="ARfintablebodyright"/>
              <w:ind w:right="0"/>
              <w:rPr>
                <w:szCs w:val="18"/>
              </w:rPr>
            </w:pPr>
            <w:r w:rsidRPr="00F42E60">
              <w:rPr>
                <w:szCs w:val="18"/>
              </w:rPr>
              <w:t>–</w:t>
            </w:r>
          </w:p>
        </w:tc>
        <w:tc>
          <w:tcPr>
            <w:tcW w:w="938" w:type="dxa"/>
            <w:tcBorders>
              <w:top w:val="single" w:sz="4" w:space="0" w:color="A6A6A6"/>
              <w:bottom w:val="single" w:sz="4" w:space="0" w:color="A6A6A6"/>
            </w:tcBorders>
            <w:noWrap/>
            <w:hideMark/>
          </w:tcPr>
          <w:p w14:paraId="05A8EE80" w14:textId="77777777" w:rsidR="00CE75D4" w:rsidRPr="00F42E60" w:rsidRDefault="00CE75D4" w:rsidP="008340C1">
            <w:pPr>
              <w:pStyle w:val="ARfintablebodyright"/>
              <w:ind w:right="0"/>
              <w:rPr>
                <w:szCs w:val="18"/>
              </w:rPr>
            </w:pPr>
            <w:r w:rsidRPr="00F42E60">
              <w:rPr>
                <w:szCs w:val="18"/>
              </w:rPr>
              <w:t>–</w:t>
            </w:r>
          </w:p>
        </w:tc>
        <w:tc>
          <w:tcPr>
            <w:tcW w:w="938" w:type="dxa"/>
            <w:tcBorders>
              <w:top w:val="single" w:sz="4" w:space="0" w:color="A6A6A6"/>
              <w:bottom w:val="single" w:sz="4" w:space="0" w:color="A6A6A6"/>
            </w:tcBorders>
            <w:noWrap/>
            <w:hideMark/>
          </w:tcPr>
          <w:p w14:paraId="3CD256ED" w14:textId="77777777" w:rsidR="00CE75D4" w:rsidRPr="00F42E60" w:rsidRDefault="00CE75D4" w:rsidP="008340C1">
            <w:pPr>
              <w:pStyle w:val="ARfintablebodyright"/>
              <w:ind w:right="0"/>
              <w:rPr>
                <w:szCs w:val="18"/>
              </w:rPr>
            </w:pPr>
            <w:r w:rsidRPr="00F42E60">
              <w:rPr>
                <w:szCs w:val="18"/>
              </w:rPr>
              <w:t>–</w:t>
            </w:r>
          </w:p>
        </w:tc>
        <w:tc>
          <w:tcPr>
            <w:tcW w:w="937" w:type="dxa"/>
            <w:tcBorders>
              <w:top w:val="single" w:sz="4" w:space="0" w:color="A6A6A6"/>
              <w:bottom w:val="single" w:sz="4" w:space="0" w:color="A6A6A6"/>
            </w:tcBorders>
            <w:noWrap/>
            <w:hideMark/>
          </w:tcPr>
          <w:p w14:paraId="6C5DA54D" w14:textId="77777777" w:rsidR="00CE75D4" w:rsidRPr="00F42E60" w:rsidRDefault="00CE75D4" w:rsidP="008340C1">
            <w:pPr>
              <w:pStyle w:val="ARfintablebodyright"/>
              <w:ind w:right="0"/>
              <w:rPr>
                <w:szCs w:val="18"/>
              </w:rPr>
            </w:pPr>
            <w:r w:rsidRPr="00F42E60">
              <w:rPr>
                <w:szCs w:val="18"/>
              </w:rPr>
              <w:t>–</w:t>
            </w:r>
          </w:p>
        </w:tc>
        <w:tc>
          <w:tcPr>
            <w:tcW w:w="937" w:type="dxa"/>
            <w:tcBorders>
              <w:top w:val="single" w:sz="4" w:space="0" w:color="A6A6A6"/>
              <w:bottom w:val="single" w:sz="4" w:space="0" w:color="A6A6A6"/>
            </w:tcBorders>
            <w:noWrap/>
            <w:hideMark/>
          </w:tcPr>
          <w:p w14:paraId="5F9B67B1" w14:textId="77777777" w:rsidR="00CE75D4" w:rsidRPr="00F42E60" w:rsidRDefault="00CE75D4" w:rsidP="008340C1">
            <w:pPr>
              <w:pStyle w:val="ARfintablebodyright"/>
              <w:ind w:right="0"/>
              <w:rPr>
                <w:szCs w:val="18"/>
              </w:rPr>
            </w:pPr>
            <w:r w:rsidRPr="00F42E60">
              <w:rPr>
                <w:szCs w:val="18"/>
              </w:rPr>
              <w:t>–</w:t>
            </w:r>
          </w:p>
        </w:tc>
        <w:tc>
          <w:tcPr>
            <w:tcW w:w="937" w:type="dxa"/>
            <w:tcBorders>
              <w:top w:val="single" w:sz="4" w:space="0" w:color="A6A6A6"/>
              <w:bottom w:val="single" w:sz="4" w:space="0" w:color="A6A6A6"/>
            </w:tcBorders>
            <w:noWrap/>
            <w:hideMark/>
          </w:tcPr>
          <w:p w14:paraId="67E5E0B8" w14:textId="77777777" w:rsidR="00CE75D4" w:rsidRPr="00F42E60" w:rsidRDefault="00CE75D4" w:rsidP="008340C1">
            <w:pPr>
              <w:pStyle w:val="ARfintablebodyright"/>
              <w:ind w:right="0"/>
              <w:rPr>
                <w:szCs w:val="18"/>
              </w:rPr>
            </w:pPr>
            <w:r w:rsidRPr="00F42E60">
              <w:rPr>
                <w:szCs w:val="18"/>
              </w:rPr>
              <w:t>–</w:t>
            </w:r>
          </w:p>
        </w:tc>
        <w:tc>
          <w:tcPr>
            <w:tcW w:w="937" w:type="dxa"/>
            <w:tcBorders>
              <w:top w:val="single" w:sz="4" w:space="0" w:color="A6A6A6"/>
              <w:bottom w:val="single" w:sz="4" w:space="0" w:color="A6A6A6"/>
            </w:tcBorders>
            <w:noWrap/>
            <w:hideMark/>
          </w:tcPr>
          <w:p w14:paraId="78EAD080" w14:textId="77777777" w:rsidR="00CE75D4" w:rsidRPr="00F42E60" w:rsidRDefault="00CE75D4" w:rsidP="008340C1">
            <w:pPr>
              <w:pStyle w:val="ARfintablebodyright"/>
              <w:ind w:right="0"/>
              <w:rPr>
                <w:szCs w:val="18"/>
              </w:rPr>
            </w:pPr>
            <w:r w:rsidRPr="00F42E60">
              <w:rPr>
                <w:szCs w:val="18"/>
              </w:rPr>
              <w:t>–</w:t>
            </w:r>
          </w:p>
        </w:tc>
        <w:tc>
          <w:tcPr>
            <w:tcW w:w="937" w:type="dxa"/>
            <w:tcBorders>
              <w:top w:val="single" w:sz="4" w:space="0" w:color="A6A6A6"/>
              <w:bottom w:val="single" w:sz="4" w:space="0" w:color="A6A6A6"/>
            </w:tcBorders>
            <w:noWrap/>
            <w:hideMark/>
          </w:tcPr>
          <w:p w14:paraId="634DC0A6" w14:textId="77777777" w:rsidR="00CE75D4" w:rsidRPr="00F42E60" w:rsidRDefault="00CE75D4" w:rsidP="008340C1">
            <w:pPr>
              <w:pStyle w:val="ARfintablebodyright"/>
              <w:ind w:right="0"/>
              <w:rPr>
                <w:szCs w:val="18"/>
              </w:rPr>
            </w:pPr>
            <w:r w:rsidRPr="00F42E60">
              <w:rPr>
                <w:szCs w:val="18"/>
              </w:rPr>
              <w:t>–</w:t>
            </w:r>
          </w:p>
        </w:tc>
        <w:tc>
          <w:tcPr>
            <w:tcW w:w="937" w:type="dxa"/>
            <w:tcBorders>
              <w:top w:val="single" w:sz="4" w:space="0" w:color="A6A6A6"/>
              <w:bottom w:val="single" w:sz="4" w:space="0" w:color="A6A6A6"/>
            </w:tcBorders>
            <w:noWrap/>
            <w:hideMark/>
          </w:tcPr>
          <w:p w14:paraId="38E48DC7" w14:textId="77777777" w:rsidR="00CE75D4" w:rsidRPr="00F42E60" w:rsidRDefault="00CE75D4" w:rsidP="008340C1">
            <w:pPr>
              <w:pStyle w:val="ARfintablebodyright"/>
              <w:ind w:right="0"/>
              <w:rPr>
                <w:szCs w:val="18"/>
              </w:rPr>
            </w:pPr>
            <w:r w:rsidRPr="00F42E60">
              <w:rPr>
                <w:szCs w:val="18"/>
              </w:rPr>
              <w:t>–</w:t>
            </w:r>
          </w:p>
        </w:tc>
        <w:tc>
          <w:tcPr>
            <w:tcW w:w="937" w:type="dxa"/>
            <w:tcBorders>
              <w:top w:val="single" w:sz="4" w:space="0" w:color="A6A6A6"/>
              <w:bottom w:val="single" w:sz="4" w:space="0" w:color="A6A6A6"/>
            </w:tcBorders>
            <w:noWrap/>
            <w:hideMark/>
          </w:tcPr>
          <w:p w14:paraId="331FCD3B" w14:textId="77777777" w:rsidR="00CE75D4" w:rsidRPr="00F42E60" w:rsidRDefault="00CE75D4" w:rsidP="008340C1">
            <w:pPr>
              <w:pStyle w:val="ARfintablebodyright"/>
              <w:ind w:right="0"/>
              <w:rPr>
                <w:szCs w:val="18"/>
              </w:rPr>
            </w:pPr>
            <w:r w:rsidRPr="00F42E60">
              <w:rPr>
                <w:szCs w:val="18"/>
              </w:rPr>
              <w:t>–</w:t>
            </w:r>
          </w:p>
        </w:tc>
        <w:tc>
          <w:tcPr>
            <w:tcW w:w="937" w:type="dxa"/>
            <w:tcBorders>
              <w:top w:val="single" w:sz="4" w:space="0" w:color="A6A6A6"/>
              <w:bottom w:val="single" w:sz="4" w:space="0" w:color="A6A6A6"/>
            </w:tcBorders>
            <w:noWrap/>
            <w:hideMark/>
          </w:tcPr>
          <w:p w14:paraId="66112447" w14:textId="77777777" w:rsidR="00CE75D4" w:rsidRPr="00F42E60" w:rsidRDefault="00CE75D4" w:rsidP="008340C1">
            <w:pPr>
              <w:pStyle w:val="ARfintablebodyright"/>
              <w:ind w:right="0"/>
              <w:rPr>
                <w:szCs w:val="18"/>
              </w:rPr>
            </w:pPr>
            <w:r w:rsidRPr="00F42E60">
              <w:rPr>
                <w:szCs w:val="18"/>
              </w:rPr>
              <w:t>8.1</w:t>
            </w:r>
          </w:p>
        </w:tc>
      </w:tr>
      <w:tr w:rsidR="00CE75D4" w:rsidRPr="00C0495C" w14:paraId="77A9B6AD" w14:textId="77777777" w:rsidTr="008340C1">
        <w:trPr>
          <w:cantSplit w:val="0"/>
          <w:trHeight w:val="170"/>
        </w:trPr>
        <w:tc>
          <w:tcPr>
            <w:tcW w:w="2273" w:type="dxa"/>
            <w:hideMark/>
          </w:tcPr>
          <w:p w14:paraId="17BD5496" w14:textId="77777777" w:rsidR="00CE75D4" w:rsidRPr="00F42E60" w:rsidRDefault="00CE75D4" w:rsidP="008340C1">
            <w:pPr>
              <w:pStyle w:val="ARfintablebodybold"/>
              <w:rPr>
                <w:rFonts w:cs="Arial"/>
                <w:szCs w:val="18"/>
              </w:rPr>
            </w:pPr>
            <w:r w:rsidRPr="00F42E60">
              <w:rPr>
                <w:rFonts w:cs="Arial"/>
                <w:szCs w:val="18"/>
              </w:rPr>
              <w:t>Total liabilities</w:t>
            </w:r>
          </w:p>
        </w:tc>
        <w:tc>
          <w:tcPr>
            <w:tcW w:w="938" w:type="dxa"/>
            <w:noWrap/>
            <w:hideMark/>
          </w:tcPr>
          <w:p w14:paraId="5562AEBF" w14:textId="77777777" w:rsidR="00CE75D4" w:rsidRPr="00F42E60" w:rsidRDefault="00CE75D4" w:rsidP="008340C1">
            <w:pPr>
              <w:pStyle w:val="ARfintablebodyrightbold"/>
              <w:ind w:right="0"/>
              <w:rPr>
                <w:szCs w:val="18"/>
              </w:rPr>
            </w:pPr>
            <w:r w:rsidRPr="00F42E60">
              <w:rPr>
                <w:szCs w:val="18"/>
              </w:rPr>
              <w:t>2.6</w:t>
            </w:r>
          </w:p>
        </w:tc>
        <w:tc>
          <w:tcPr>
            <w:tcW w:w="938" w:type="dxa"/>
            <w:noWrap/>
            <w:hideMark/>
          </w:tcPr>
          <w:p w14:paraId="45D6AE54" w14:textId="77777777" w:rsidR="00CE75D4" w:rsidRPr="00F42E60" w:rsidRDefault="00CE75D4" w:rsidP="008340C1">
            <w:pPr>
              <w:pStyle w:val="ARfintablebodyrightbold"/>
              <w:ind w:right="0"/>
              <w:rPr>
                <w:szCs w:val="18"/>
              </w:rPr>
            </w:pPr>
            <w:r w:rsidRPr="00F42E60">
              <w:rPr>
                <w:szCs w:val="18"/>
              </w:rPr>
              <w:t>39.6</w:t>
            </w:r>
          </w:p>
        </w:tc>
        <w:tc>
          <w:tcPr>
            <w:tcW w:w="938" w:type="dxa"/>
            <w:noWrap/>
            <w:hideMark/>
          </w:tcPr>
          <w:p w14:paraId="57EA974B" w14:textId="77777777" w:rsidR="00CE75D4" w:rsidRPr="00F42E60" w:rsidRDefault="00CE75D4" w:rsidP="008340C1">
            <w:pPr>
              <w:pStyle w:val="ARfintablebodyrightbold"/>
              <w:ind w:right="0"/>
              <w:rPr>
                <w:szCs w:val="18"/>
              </w:rPr>
            </w:pPr>
            <w:r w:rsidRPr="00F42E60">
              <w:rPr>
                <w:szCs w:val="18"/>
              </w:rPr>
              <w:t>9.5</w:t>
            </w:r>
          </w:p>
        </w:tc>
        <w:tc>
          <w:tcPr>
            <w:tcW w:w="938" w:type="dxa"/>
            <w:noWrap/>
            <w:hideMark/>
          </w:tcPr>
          <w:p w14:paraId="5DBAFCB9" w14:textId="77777777" w:rsidR="00CE75D4" w:rsidRPr="00F42E60" w:rsidRDefault="00CE75D4" w:rsidP="008340C1">
            <w:pPr>
              <w:pStyle w:val="ARfintablebodyrightbold"/>
              <w:ind w:right="0"/>
              <w:rPr>
                <w:szCs w:val="18"/>
              </w:rPr>
            </w:pPr>
            <w:r w:rsidRPr="00F42E60">
              <w:rPr>
                <w:szCs w:val="18"/>
              </w:rPr>
              <w:t>2.5</w:t>
            </w:r>
          </w:p>
        </w:tc>
        <w:tc>
          <w:tcPr>
            <w:tcW w:w="938" w:type="dxa"/>
            <w:noWrap/>
            <w:hideMark/>
          </w:tcPr>
          <w:p w14:paraId="697E354C" w14:textId="77777777" w:rsidR="00CE75D4" w:rsidRPr="00F42E60" w:rsidRDefault="00CE75D4" w:rsidP="008340C1">
            <w:pPr>
              <w:pStyle w:val="ARfintablebodyrightbold"/>
              <w:ind w:right="0"/>
              <w:rPr>
                <w:szCs w:val="18"/>
              </w:rPr>
            </w:pPr>
            <w:r w:rsidRPr="00F42E60">
              <w:rPr>
                <w:szCs w:val="18"/>
              </w:rPr>
              <w:t>137.2</w:t>
            </w:r>
          </w:p>
        </w:tc>
        <w:tc>
          <w:tcPr>
            <w:tcW w:w="937" w:type="dxa"/>
            <w:noWrap/>
            <w:hideMark/>
          </w:tcPr>
          <w:p w14:paraId="29CF9AA0" w14:textId="77777777" w:rsidR="00CE75D4" w:rsidRPr="00F42E60" w:rsidRDefault="00CE75D4" w:rsidP="008340C1">
            <w:pPr>
              <w:pStyle w:val="ARfintablebodyrightbold"/>
              <w:ind w:right="0"/>
              <w:rPr>
                <w:szCs w:val="18"/>
              </w:rPr>
            </w:pPr>
            <w:r w:rsidRPr="00F42E60">
              <w:rPr>
                <w:szCs w:val="18"/>
              </w:rPr>
              <w:t>6.5</w:t>
            </w:r>
          </w:p>
        </w:tc>
        <w:tc>
          <w:tcPr>
            <w:tcW w:w="937" w:type="dxa"/>
            <w:noWrap/>
            <w:hideMark/>
          </w:tcPr>
          <w:p w14:paraId="1C6BA2D3" w14:textId="77777777" w:rsidR="00CE75D4" w:rsidRPr="00F42E60" w:rsidRDefault="00CE75D4" w:rsidP="008340C1">
            <w:pPr>
              <w:pStyle w:val="ARfintablebodyrightbold"/>
              <w:ind w:right="0"/>
              <w:rPr>
                <w:szCs w:val="18"/>
              </w:rPr>
            </w:pPr>
            <w:r w:rsidRPr="00F42E60">
              <w:rPr>
                <w:szCs w:val="18"/>
              </w:rPr>
              <w:t>5.5</w:t>
            </w:r>
          </w:p>
        </w:tc>
        <w:tc>
          <w:tcPr>
            <w:tcW w:w="937" w:type="dxa"/>
            <w:noWrap/>
            <w:hideMark/>
          </w:tcPr>
          <w:p w14:paraId="6852430E" w14:textId="77777777" w:rsidR="00CE75D4" w:rsidRPr="00F42E60" w:rsidRDefault="00CE75D4" w:rsidP="008340C1">
            <w:pPr>
              <w:pStyle w:val="ARfintablebodyrightbold"/>
              <w:ind w:right="0"/>
              <w:rPr>
                <w:szCs w:val="18"/>
              </w:rPr>
            </w:pPr>
            <w:r w:rsidRPr="00F42E60">
              <w:rPr>
                <w:szCs w:val="18"/>
              </w:rPr>
              <w:t>21.8</w:t>
            </w:r>
          </w:p>
        </w:tc>
        <w:tc>
          <w:tcPr>
            <w:tcW w:w="937" w:type="dxa"/>
            <w:noWrap/>
            <w:hideMark/>
          </w:tcPr>
          <w:p w14:paraId="36E35816" w14:textId="77777777" w:rsidR="00CE75D4" w:rsidRPr="00F42E60" w:rsidRDefault="00CE75D4" w:rsidP="008340C1">
            <w:pPr>
              <w:pStyle w:val="ARfintablebodyrightbold"/>
              <w:ind w:right="0"/>
              <w:rPr>
                <w:szCs w:val="18"/>
              </w:rPr>
            </w:pPr>
            <w:r w:rsidRPr="00F42E60">
              <w:rPr>
                <w:szCs w:val="18"/>
              </w:rPr>
              <w:t>3.8</w:t>
            </w:r>
          </w:p>
        </w:tc>
        <w:tc>
          <w:tcPr>
            <w:tcW w:w="937" w:type="dxa"/>
            <w:noWrap/>
            <w:hideMark/>
          </w:tcPr>
          <w:p w14:paraId="4AB72254" w14:textId="77777777" w:rsidR="00CE75D4" w:rsidRPr="00F42E60" w:rsidRDefault="00CE75D4" w:rsidP="008340C1">
            <w:pPr>
              <w:pStyle w:val="ARfintablebodyrightbold"/>
              <w:ind w:right="0"/>
              <w:rPr>
                <w:szCs w:val="18"/>
              </w:rPr>
            </w:pPr>
            <w:r w:rsidRPr="00F42E60">
              <w:rPr>
                <w:szCs w:val="18"/>
              </w:rPr>
              <w:t>1.0</w:t>
            </w:r>
          </w:p>
        </w:tc>
        <w:tc>
          <w:tcPr>
            <w:tcW w:w="937" w:type="dxa"/>
            <w:noWrap/>
            <w:hideMark/>
          </w:tcPr>
          <w:p w14:paraId="6EACBE4A" w14:textId="77777777" w:rsidR="00CE75D4" w:rsidRPr="00F42E60" w:rsidRDefault="00CE75D4" w:rsidP="008340C1">
            <w:pPr>
              <w:pStyle w:val="ARfintablebodyrightbold"/>
              <w:ind w:right="0"/>
              <w:rPr>
                <w:szCs w:val="18"/>
              </w:rPr>
            </w:pPr>
            <w:r w:rsidRPr="00F42E60">
              <w:rPr>
                <w:szCs w:val="18"/>
              </w:rPr>
              <w:t>1.0</w:t>
            </w:r>
          </w:p>
        </w:tc>
        <w:tc>
          <w:tcPr>
            <w:tcW w:w="937" w:type="dxa"/>
            <w:noWrap/>
            <w:hideMark/>
          </w:tcPr>
          <w:p w14:paraId="740D0B8D" w14:textId="77777777" w:rsidR="00CE75D4" w:rsidRPr="00F42E60" w:rsidRDefault="00CE75D4" w:rsidP="008340C1">
            <w:pPr>
              <w:pStyle w:val="ARfintablebodyrightbold"/>
              <w:ind w:right="0"/>
              <w:rPr>
                <w:szCs w:val="18"/>
              </w:rPr>
            </w:pPr>
            <w:r w:rsidRPr="00F42E60">
              <w:rPr>
                <w:szCs w:val="18"/>
              </w:rPr>
              <w:t>(0.3)</w:t>
            </w:r>
          </w:p>
        </w:tc>
        <w:tc>
          <w:tcPr>
            <w:tcW w:w="937" w:type="dxa"/>
            <w:noWrap/>
            <w:hideMark/>
          </w:tcPr>
          <w:p w14:paraId="33810501" w14:textId="77777777" w:rsidR="00CE75D4" w:rsidRPr="00F42E60" w:rsidRDefault="00CE75D4" w:rsidP="008340C1">
            <w:pPr>
              <w:pStyle w:val="ARfintablebodyrightbold"/>
              <w:ind w:right="0"/>
              <w:rPr>
                <w:szCs w:val="18"/>
              </w:rPr>
            </w:pPr>
            <w:r w:rsidRPr="00F42E60">
              <w:rPr>
                <w:szCs w:val="18"/>
              </w:rPr>
              <w:t>2,691.6</w:t>
            </w:r>
          </w:p>
        </w:tc>
      </w:tr>
      <w:tr w:rsidR="00CE75D4" w:rsidRPr="00C0495C" w14:paraId="342F0EE7" w14:textId="77777777" w:rsidTr="008340C1">
        <w:trPr>
          <w:cantSplit w:val="0"/>
          <w:trHeight w:val="170"/>
        </w:trPr>
        <w:tc>
          <w:tcPr>
            <w:tcW w:w="2273" w:type="dxa"/>
            <w:tcBorders>
              <w:bottom w:val="single" w:sz="4" w:space="0" w:color="auto"/>
            </w:tcBorders>
            <w:hideMark/>
          </w:tcPr>
          <w:p w14:paraId="44D1F758" w14:textId="77777777" w:rsidR="00CE75D4" w:rsidRPr="00F42E60" w:rsidRDefault="00CE75D4" w:rsidP="008340C1">
            <w:pPr>
              <w:pStyle w:val="ARfintablebodybold"/>
              <w:rPr>
                <w:rFonts w:cs="Arial"/>
                <w:szCs w:val="18"/>
              </w:rPr>
            </w:pPr>
            <w:r w:rsidRPr="00F42E60">
              <w:rPr>
                <w:rFonts w:cs="Arial"/>
                <w:szCs w:val="18"/>
              </w:rPr>
              <w:t>Net assets</w:t>
            </w:r>
          </w:p>
        </w:tc>
        <w:tc>
          <w:tcPr>
            <w:tcW w:w="938" w:type="dxa"/>
            <w:tcBorders>
              <w:bottom w:val="single" w:sz="4" w:space="0" w:color="auto"/>
            </w:tcBorders>
            <w:noWrap/>
            <w:hideMark/>
          </w:tcPr>
          <w:p w14:paraId="460AC568" w14:textId="77777777" w:rsidR="00CE75D4" w:rsidRPr="00F42E60" w:rsidRDefault="00CE75D4" w:rsidP="008340C1">
            <w:pPr>
              <w:pStyle w:val="ARfintablebodyrightbold"/>
              <w:ind w:right="0"/>
              <w:rPr>
                <w:szCs w:val="18"/>
              </w:rPr>
            </w:pPr>
            <w:r w:rsidRPr="00F42E60">
              <w:rPr>
                <w:szCs w:val="18"/>
              </w:rPr>
              <w:t>34.9</w:t>
            </w:r>
          </w:p>
        </w:tc>
        <w:tc>
          <w:tcPr>
            <w:tcW w:w="938" w:type="dxa"/>
            <w:tcBorders>
              <w:bottom w:val="single" w:sz="4" w:space="0" w:color="auto"/>
            </w:tcBorders>
            <w:noWrap/>
            <w:hideMark/>
          </w:tcPr>
          <w:p w14:paraId="264409D7" w14:textId="77777777" w:rsidR="00CE75D4" w:rsidRPr="00F42E60" w:rsidRDefault="00CE75D4" w:rsidP="008340C1">
            <w:pPr>
              <w:pStyle w:val="ARfintablebodyrightbold"/>
              <w:ind w:right="0"/>
              <w:rPr>
                <w:szCs w:val="18"/>
              </w:rPr>
            </w:pPr>
            <w:r w:rsidRPr="00F42E60">
              <w:rPr>
                <w:szCs w:val="18"/>
              </w:rPr>
              <w:t>342.2</w:t>
            </w:r>
          </w:p>
        </w:tc>
        <w:tc>
          <w:tcPr>
            <w:tcW w:w="938" w:type="dxa"/>
            <w:tcBorders>
              <w:bottom w:val="single" w:sz="4" w:space="0" w:color="auto"/>
            </w:tcBorders>
            <w:noWrap/>
            <w:hideMark/>
          </w:tcPr>
          <w:p w14:paraId="1B3A3587" w14:textId="77777777" w:rsidR="00CE75D4" w:rsidRPr="00F42E60" w:rsidRDefault="00CE75D4" w:rsidP="008340C1">
            <w:pPr>
              <w:pStyle w:val="ARfintablebodyrightbold"/>
              <w:ind w:right="0"/>
              <w:rPr>
                <w:szCs w:val="18"/>
              </w:rPr>
            </w:pPr>
            <w:r w:rsidRPr="00F42E60">
              <w:rPr>
                <w:szCs w:val="18"/>
              </w:rPr>
              <w:t>27.0</w:t>
            </w:r>
          </w:p>
        </w:tc>
        <w:tc>
          <w:tcPr>
            <w:tcW w:w="938" w:type="dxa"/>
            <w:tcBorders>
              <w:bottom w:val="single" w:sz="4" w:space="0" w:color="auto"/>
            </w:tcBorders>
            <w:noWrap/>
            <w:hideMark/>
          </w:tcPr>
          <w:p w14:paraId="23244D44" w14:textId="77777777" w:rsidR="00CE75D4" w:rsidRPr="00F42E60" w:rsidRDefault="00CE75D4" w:rsidP="008340C1">
            <w:pPr>
              <w:pStyle w:val="ARfintablebodyrightbold"/>
              <w:ind w:right="0"/>
              <w:rPr>
                <w:szCs w:val="18"/>
              </w:rPr>
            </w:pPr>
            <w:r w:rsidRPr="00F42E60">
              <w:rPr>
                <w:szCs w:val="18"/>
              </w:rPr>
              <w:t>34.6</w:t>
            </w:r>
          </w:p>
        </w:tc>
        <w:tc>
          <w:tcPr>
            <w:tcW w:w="938" w:type="dxa"/>
            <w:tcBorders>
              <w:bottom w:val="single" w:sz="4" w:space="0" w:color="auto"/>
            </w:tcBorders>
            <w:noWrap/>
            <w:hideMark/>
          </w:tcPr>
          <w:p w14:paraId="42B4FFA5" w14:textId="77777777" w:rsidR="00CE75D4" w:rsidRPr="00F42E60" w:rsidRDefault="00CE75D4" w:rsidP="008340C1">
            <w:pPr>
              <w:pStyle w:val="ARfintablebodyrightbold"/>
              <w:ind w:right="0"/>
              <w:rPr>
                <w:szCs w:val="18"/>
              </w:rPr>
            </w:pPr>
            <w:r w:rsidRPr="00F42E60">
              <w:rPr>
                <w:szCs w:val="18"/>
              </w:rPr>
              <w:t>574.4</w:t>
            </w:r>
          </w:p>
        </w:tc>
        <w:tc>
          <w:tcPr>
            <w:tcW w:w="937" w:type="dxa"/>
            <w:tcBorders>
              <w:bottom w:val="single" w:sz="4" w:space="0" w:color="auto"/>
            </w:tcBorders>
            <w:noWrap/>
            <w:hideMark/>
          </w:tcPr>
          <w:p w14:paraId="34C043E5" w14:textId="77777777" w:rsidR="00CE75D4" w:rsidRPr="00F42E60" w:rsidRDefault="00CE75D4" w:rsidP="008340C1">
            <w:pPr>
              <w:pStyle w:val="ARfintablebodyrightbold"/>
              <w:ind w:right="0"/>
              <w:rPr>
                <w:szCs w:val="18"/>
              </w:rPr>
            </w:pPr>
            <w:r w:rsidRPr="00F42E60">
              <w:rPr>
                <w:szCs w:val="18"/>
              </w:rPr>
              <w:t>6.3</w:t>
            </w:r>
          </w:p>
        </w:tc>
        <w:tc>
          <w:tcPr>
            <w:tcW w:w="937" w:type="dxa"/>
            <w:tcBorders>
              <w:bottom w:val="single" w:sz="4" w:space="0" w:color="auto"/>
            </w:tcBorders>
            <w:noWrap/>
            <w:hideMark/>
          </w:tcPr>
          <w:p w14:paraId="4EF971B2" w14:textId="77777777" w:rsidR="00CE75D4" w:rsidRPr="00F42E60" w:rsidRDefault="00CE75D4" w:rsidP="008340C1">
            <w:pPr>
              <w:pStyle w:val="ARfintablebodyrightbold"/>
              <w:ind w:right="0"/>
              <w:rPr>
                <w:szCs w:val="18"/>
              </w:rPr>
            </w:pPr>
            <w:r w:rsidRPr="00F42E60">
              <w:rPr>
                <w:szCs w:val="18"/>
              </w:rPr>
              <w:t>(6.6)</w:t>
            </w:r>
          </w:p>
        </w:tc>
        <w:tc>
          <w:tcPr>
            <w:tcW w:w="937" w:type="dxa"/>
            <w:tcBorders>
              <w:bottom w:val="single" w:sz="4" w:space="0" w:color="auto"/>
            </w:tcBorders>
            <w:noWrap/>
            <w:hideMark/>
          </w:tcPr>
          <w:p w14:paraId="528B9AC5" w14:textId="77777777" w:rsidR="00CE75D4" w:rsidRPr="00F42E60" w:rsidRDefault="00CE75D4" w:rsidP="008340C1">
            <w:pPr>
              <w:pStyle w:val="ARfintablebodyrightbold"/>
              <w:ind w:right="0"/>
              <w:rPr>
                <w:szCs w:val="18"/>
              </w:rPr>
            </w:pPr>
            <w:r w:rsidRPr="00F42E60">
              <w:rPr>
                <w:szCs w:val="18"/>
              </w:rPr>
              <w:t>18.3</w:t>
            </w:r>
          </w:p>
        </w:tc>
        <w:tc>
          <w:tcPr>
            <w:tcW w:w="937" w:type="dxa"/>
            <w:tcBorders>
              <w:bottom w:val="single" w:sz="4" w:space="0" w:color="auto"/>
            </w:tcBorders>
            <w:noWrap/>
            <w:hideMark/>
          </w:tcPr>
          <w:p w14:paraId="50BD60FD" w14:textId="77777777" w:rsidR="00CE75D4" w:rsidRPr="00F42E60" w:rsidRDefault="00CE75D4" w:rsidP="008340C1">
            <w:pPr>
              <w:pStyle w:val="ARfintablebodyrightbold"/>
              <w:ind w:right="0"/>
              <w:rPr>
                <w:szCs w:val="18"/>
              </w:rPr>
            </w:pPr>
            <w:r w:rsidRPr="00F42E60">
              <w:rPr>
                <w:szCs w:val="18"/>
              </w:rPr>
              <w:t>18.4</w:t>
            </w:r>
          </w:p>
        </w:tc>
        <w:tc>
          <w:tcPr>
            <w:tcW w:w="937" w:type="dxa"/>
            <w:tcBorders>
              <w:bottom w:val="single" w:sz="4" w:space="0" w:color="auto"/>
            </w:tcBorders>
            <w:noWrap/>
            <w:hideMark/>
          </w:tcPr>
          <w:p w14:paraId="0C3EB98F" w14:textId="77777777" w:rsidR="00CE75D4" w:rsidRPr="00F42E60" w:rsidRDefault="00CE75D4" w:rsidP="008340C1">
            <w:pPr>
              <w:pStyle w:val="ARfintablebodyrightbold"/>
              <w:ind w:right="0"/>
              <w:rPr>
                <w:szCs w:val="18"/>
              </w:rPr>
            </w:pPr>
            <w:r w:rsidRPr="00F42E60">
              <w:rPr>
                <w:szCs w:val="18"/>
              </w:rPr>
              <w:t>3.5</w:t>
            </w:r>
          </w:p>
        </w:tc>
        <w:tc>
          <w:tcPr>
            <w:tcW w:w="937" w:type="dxa"/>
            <w:tcBorders>
              <w:bottom w:val="single" w:sz="4" w:space="0" w:color="auto"/>
            </w:tcBorders>
            <w:noWrap/>
            <w:hideMark/>
          </w:tcPr>
          <w:p w14:paraId="5D6148C9" w14:textId="77777777" w:rsidR="00CE75D4" w:rsidRPr="00F42E60" w:rsidRDefault="00CE75D4" w:rsidP="008340C1">
            <w:pPr>
              <w:pStyle w:val="ARfintablebodyrightbold"/>
              <w:ind w:right="0"/>
              <w:rPr>
                <w:szCs w:val="18"/>
              </w:rPr>
            </w:pPr>
            <w:r w:rsidRPr="00F42E60">
              <w:rPr>
                <w:szCs w:val="18"/>
              </w:rPr>
              <w:t>7.9</w:t>
            </w:r>
          </w:p>
        </w:tc>
        <w:tc>
          <w:tcPr>
            <w:tcW w:w="937" w:type="dxa"/>
            <w:tcBorders>
              <w:bottom w:val="single" w:sz="4" w:space="0" w:color="auto"/>
            </w:tcBorders>
            <w:noWrap/>
            <w:hideMark/>
          </w:tcPr>
          <w:p w14:paraId="78323CCE" w14:textId="77777777" w:rsidR="00CE75D4" w:rsidRPr="00F42E60" w:rsidRDefault="00CE75D4" w:rsidP="008340C1">
            <w:pPr>
              <w:pStyle w:val="ARfintablebodyrightbold"/>
              <w:ind w:right="0"/>
              <w:rPr>
                <w:szCs w:val="18"/>
              </w:rPr>
            </w:pPr>
            <w:r w:rsidRPr="00F42E60">
              <w:rPr>
                <w:szCs w:val="18"/>
              </w:rPr>
              <w:t>3.5</w:t>
            </w:r>
          </w:p>
        </w:tc>
        <w:tc>
          <w:tcPr>
            <w:tcW w:w="937" w:type="dxa"/>
            <w:tcBorders>
              <w:bottom w:val="single" w:sz="4" w:space="0" w:color="auto"/>
            </w:tcBorders>
            <w:noWrap/>
            <w:hideMark/>
          </w:tcPr>
          <w:p w14:paraId="3A53995B" w14:textId="77777777" w:rsidR="00CE75D4" w:rsidRPr="00F42E60" w:rsidRDefault="00CE75D4" w:rsidP="008340C1">
            <w:pPr>
              <w:pStyle w:val="ARfintablebodyrightbold"/>
              <w:ind w:right="0"/>
              <w:rPr>
                <w:szCs w:val="18"/>
              </w:rPr>
            </w:pPr>
            <w:r w:rsidRPr="00F42E60">
              <w:rPr>
                <w:szCs w:val="18"/>
              </w:rPr>
              <w:t>4,863.</w:t>
            </w:r>
            <w:r>
              <w:rPr>
                <w:szCs w:val="18"/>
              </w:rPr>
              <w:t>2</w:t>
            </w:r>
          </w:p>
        </w:tc>
      </w:tr>
    </w:tbl>
    <w:p w14:paraId="0C5B7B67" w14:textId="77777777" w:rsidR="00CE75D4" w:rsidRDefault="00CE75D4" w:rsidP="008340C1">
      <w:pPr>
        <w:pStyle w:val="ARfintablefootnote"/>
      </w:pPr>
      <w:r w:rsidRPr="00447BC3">
        <w:rPr>
          <w:lang w:eastAsia="en-AU"/>
        </w:rPr>
        <w:t>Note:</w:t>
      </w:r>
    </w:p>
    <w:p w14:paraId="2C99DCD6" w14:textId="77777777" w:rsidR="00CE75D4" w:rsidRDefault="00CE75D4" w:rsidP="008340C1">
      <w:pPr>
        <w:pStyle w:val="ARfintablefootnoteindent"/>
      </w:pPr>
      <w:r w:rsidRPr="00447BC3">
        <w:t>(i)</w:t>
      </w:r>
      <w:r>
        <w:tab/>
      </w:r>
      <w:r w:rsidRPr="00447BC3">
        <w:t>Refer to Note 4.1.1(a) for output definitions.</w:t>
      </w:r>
    </w:p>
    <w:p w14:paraId="25B9BCFC" w14:textId="77777777" w:rsidR="00CE75D4" w:rsidRPr="0040433B" w:rsidRDefault="00CE75D4" w:rsidP="008340C1">
      <w:pPr>
        <w:pStyle w:val="ARfinbody"/>
      </w:pPr>
      <w:r w:rsidRPr="0040433B">
        <w:br w:type="page"/>
      </w:r>
    </w:p>
    <w:p w14:paraId="6193CEB6" w14:textId="77777777" w:rsidR="00CE75D4" w:rsidRPr="00147B66" w:rsidRDefault="00CE75D4" w:rsidP="00130D1C">
      <w:pPr>
        <w:pStyle w:val="Heading4"/>
      </w:pPr>
      <w:bookmarkStart w:id="568" w:name="_Toc85121417"/>
      <w:r w:rsidRPr="00147B66">
        <w:t>4.2 Administered items</w:t>
      </w:r>
      <w:bookmarkEnd w:id="568"/>
    </w:p>
    <w:p w14:paraId="7E6DFAAC" w14:textId="77777777" w:rsidR="00CE75D4" w:rsidRDefault="00CE75D4" w:rsidP="008340C1">
      <w:pPr>
        <w:pStyle w:val="ARfinbody"/>
      </w:pPr>
      <w:bookmarkStart w:id="569" w:name="_Toc85121418"/>
      <w:r w:rsidRPr="00447BC3">
        <w:t>Administered income includes taxes, fees and fines and the proceeds from the sale of administered surplus land and buildings. Administered expenses include payments made on</w:t>
      </w:r>
      <w:r>
        <w:t> </w:t>
      </w:r>
      <w:r w:rsidRPr="00447BC3">
        <w:t>behalf of the state and payments into the consolidated fund. Administered assets include government income earned but yet to be collected. Administered liabilities include government expenses incurred but yet to be paid. Except as otherwise disclosed, administered resources are accounted for on an accrual basis using the same accounting policies adopted for recognition of the departmental items in the financial statements. Both the controlled department financial statements and these administered items are consolidated into the financial statements of the state.</w:t>
      </w:r>
    </w:p>
    <w:p w14:paraId="5C36A187" w14:textId="77777777" w:rsidR="00CE75D4" w:rsidRDefault="00CE75D4" w:rsidP="008340C1">
      <w:pPr>
        <w:pStyle w:val="ARfinbody"/>
      </w:pPr>
      <w:r w:rsidRPr="00447BC3">
        <w:t>The department does not gain control over assets arising from taxes, fines and regulatory fees, consequently no income is recognised in the department</w:t>
      </w:r>
      <w:r>
        <w:t>’</w:t>
      </w:r>
      <w:r w:rsidRPr="00447BC3">
        <w:t>s financial statements. The</w:t>
      </w:r>
      <w:r>
        <w:t> </w:t>
      </w:r>
      <w:r w:rsidRPr="00447BC3">
        <w:t>department collects these amounts on behalf of the state. Accordingly, the amounts are disclosed as income in the schedule of Administered Items.</w:t>
      </w:r>
    </w:p>
    <w:p w14:paraId="36DF9A6D" w14:textId="77777777" w:rsidR="00CE75D4" w:rsidRPr="009A3ED9" w:rsidRDefault="00CE75D4" w:rsidP="008340C1">
      <w:pPr>
        <w:pStyle w:val="ARfinbody"/>
      </w:pPr>
      <w:r w:rsidRPr="009A3ED9">
        <w:br w:type="page"/>
      </w:r>
    </w:p>
    <w:p w14:paraId="3B340E08" w14:textId="77777777" w:rsidR="00CE75D4" w:rsidRDefault="00CE75D4" w:rsidP="008340C1">
      <w:pPr>
        <w:pStyle w:val="Heading5"/>
        <w:rPr>
          <w:lang w:eastAsia="en-AU"/>
        </w:rPr>
      </w:pPr>
      <w:r w:rsidRPr="00F951BA">
        <w:rPr>
          <w:lang w:eastAsia="en-AU"/>
        </w:rPr>
        <w:t>4.2.1</w:t>
      </w:r>
      <w:r w:rsidRPr="00F951BA">
        <w:t xml:space="preserve"> </w:t>
      </w:r>
      <w:r w:rsidRPr="00F951BA">
        <w:rPr>
          <w:lang w:eastAsia="en-AU"/>
        </w:rPr>
        <w:t>Administered income and expenses</w:t>
      </w:r>
    </w:p>
    <w:p w14:paraId="570B18DB" w14:textId="77777777" w:rsidR="00CE75D4" w:rsidRPr="00AF0E05" w:rsidRDefault="00CE75D4" w:rsidP="008340C1">
      <w:pPr>
        <w:pStyle w:val="Heading6"/>
        <w:spacing w:before="80"/>
        <w:rPr>
          <w:lang w:eastAsia="en-AU"/>
        </w:rPr>
      </w:pPr>
      <w:r>
        <w:rPr>
          <w:lang w:eastAsia="en-AU"/>
        </w:rPr>
        <w:t>A. 2022 – Outputs 1–13</w:t>
      </w:r>
    </w:p>
    <w:tbl>
      <w:tblPr>
        <w:tblStyle w:val="TableGrid"/>
        <w:tblW w:w="14459" w:type="dxa"/>
        <w:tblLayout w:type="fixed"/>
        <w:tblCellMar>
          <w:right w:w="0" w:type="dxa"/>
        </w:tblCellMar>
        <w:tblLook w:val="06A0" w:firstRow="1" w:lastRow="0" w:firstColumn="1" w:lastColumn="0" w:noHBand="1" w:noVBand="1"/>
      </w:tblPr>
      <w:tblGrid>
        <w:gridCol w:w="3400"/>
        <w:gridCol w:w="850"/>
        <w:gridCol w:w="850"/>
        <w:gridCol w:w="850"/>
        <w:gridCol w:w="850"/>
        <w:gridCol w:w="851"/>
        <w:gridCol w:w="851"/>
        <w:gridCol w:w="851"/>
        <w:gridCol w:w="851"/>
        <w:gridCol w:w="851"/>
        <w:gridCol w:w="851"/>
        <w:gridCol w:w="851"/>
        <w:gridCol w:w="851"/>
        <w:gridCol w:w="851"/>
      </w:tblGrid>
      <w:tr w:rsidR="00CE75D4" w:rsidRPr="00C0495C" w14:paraId="5B8129A1" w14:textId="77777777" w:rsidTr="008340C1">
        <w:trPr>
          <w:cnfStyle w:val="100000000000" w:firstRow="1" w:lastRow="0" w:firstColumn="0" w:lastColumn="0" w:oddVBand="0" w:evenVBand="0" w:oddHBand="0" w:evenHBand="0" w:firstRowFirstColumn="0" w:firstRowLastColumn="0" w:lastRowFirstColumn="0" w:lastRowLastColumn="0"/>
          <w:trHeight w:val="170"/>
          <w:tblHeader/>
        </w:trPr>
        <w:tc>
          <w:tcPr>
            <w:tcW w:w="3402" w:type="dxa"/>
            <w:tcBorders>
              <w:bottom w:val="single" w:sz="4" w:space="0" w:color="auto"/>
            </w:tcBorders>
            <w:hideMark/>
          </w:tcPr>
          <w:p w14:paraId="5FC55C21" w14:textId="77777777" w:rsidR="00CE75D4" w:rsidRPr="009A3ED9" w:rsidRDefault="00CE75D4" w:rsidP="008340C1">
            <w:pPr>
              <w:pStyle w:val="ARfintablecolhead"/>
              <w:spacing w:before="10" w:after="10" w:line="228" w:lineRule="auto"/>
              <w:rPr>
                <w:rFonts w:cs="Arial"/>
                <w:sz w:val="16"/>
              </w:rPr>
            </w:pPr>
            <w:r w:rsidRPr="009A3ED9">
              <w:rPr>
                <w:rFonts w:cs="Arial"/>
                <w:sz w:val="16"/>
              </w:rPr>
              <w:t>Year ended 30 June 2022</w:t>
            </w:r>
          </w:p>
          <w:p w14:paraId="316C3E46" w14:textId="77777777" w:rsidR="00CE75D4" w:rsidRPr="009A3ED9" w:rsidRDefault="00CE75D4" w:rsidP="008340C1">
            <w:pPr>
              <w:pStyle w:val="ARfintablecolhead"/>
              <w:spacing w:before="10" w:after="10" w:line="228" w:lineRule="auto"/>
              <w:rPr>
                <w:rFonts w:cs="Arial"/>
                <w:sz w:val="16"/>
              </w:rPr>
            </w:pPr>
            <w:r w:rsidRPr="009A3ED9">
              <w:rPr>
                <w:rFonts w:cs="Arial"/>
                <w:sz w:val="16"/>
              </w:rPr>
              <w:t xml:space="preserve">Output </w:t>
            </w:r>
            <w:r w:rsidRPr="009A3ED9">
              <w:rPr>
                <w:rStyle w:val="Superscript"/>
                <w:rFonts w:cs="Arial"/>
                <w:sz w:val="16"/>
              </w:rPr>
              <w:t>(i)</w:t>
            </w:r>
          </w:p>
        </w:tc>
        <w:tc>
          <w:tcPr>
            <w:tcW w:w="851" w:type="dxa"/>
            <w:tcBorders>
              <w:bottom w:val="single" w:sz="4" w:space="0" w:color="auto"/>
            </w:tcBorders>
            <w:hideMark/>
          </w:tcPr>
          <w:p w14:paraId="209DC691"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1</w:t>
            </w:r>
          </w:p>
          <w:p w14:paraId="5FD778EC"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$M</w:t>
            </w:r>
          </w:p>
        </w:tc>
        <w:tc>
          <w:tcPr>
            <w:tcW w:w="851" w:type="dxa"/>
            <w:tcBorders>
              <w:bottom w:val="single" w:sz="4" w:space="0" w:color="auto"/>
            </w:tcBorders>
            <w:hideMark/>
          </w:tcPr>
          <w:p w14:paraId="6846E42D"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2</w:t>
            </w:r>
          </w:p>
          <w:p w14:paraId="02AC8883"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$M</w:t>
            </w:r>
          </w:p>
        </w:tc>
        <w:tc>
          <w:tcPr>
            <w:tcW w:w="851" w:type="dxa"/>
            <w:tcBorders>
              <w:bottom w:val="single" w:sz="4" w:space="0" w:color="auto"/>
            </w:tcBorders>
            <w:hideMark/>
          </w:tcPr>
          <w:p w14:paraId="2FFDCE3A"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3</w:t>
            </w:r>
          </w:p>
          <w:p w14:paraId="36DD493C"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$M</w:t>
            </w:r>
          </w:p>
        </w:tc>
        <w:tc>
          <w:tcPr>
            <w:tcW w:w="851" w:type="dxa"/>
            <w:tcBorders>
              <w:bottom w:val="single" w:sz="4" w:space="0" w:color="auto"/>
            </w:tcBorders>
            <w:hideMark/>
          </w:tcPr>
          <w:p w14:paraId="624F5C2F"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4</w:t>
            </w:r>
          </w:p>
          <w:p w14:paraId="19906BAA"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$M</w:t>
            </w:r>
          </w:p>
        </w:tc>
        <w:tc>
          <w:tcPr>
            <w:tcW w:w="851" w:type="dxa"/>
            <w:tcBorders>
              <w:bottom w:val="single" w:sz="4" w:space="0" w:color="auto"/>
            </w:tcBorders>
            <w:hideMark/>
          </w:tcPr>
          <w:p w14:paraId="547F2482"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5</w:t>
            </w:r>
          </w:p>
          <w:p w14:paraId="2CA88192"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$M</w:t>
            </w:r>
          </w:p>
        </w:tc>
        <w:tc>
          <w:tcPr>
            <w:tcW w:w="851" w:type="dxa"/>
            <w:tcBorders>
              <w:bottom w:val="single" w:sz="4" w:space="0" w:color="auto"/>
            </w:tcBorders>
            <w:hideMark/>
          </w:tcPr>
          <w:p w14:paraId="577F788F"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6</w:t>
            </w:r>
          </w:p>
          <w:p w14:paraId="5040DA78"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$M</w:t>
            </w:r>
          </w:p>
        </w:tc>
        <w:tc>
          <w:tcPr>
            <w:tcW w:w="851" w:type="dxa"/>
            <w:tcBorders>
              <w:bottom w:val="single" w:sz="4" w:space="0" w:color="auto"/>
            </w:tcBorders>
            <w:hideMark/>
          </w:tcPr>
          <w:p w14:paraId="630A033C"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7</w:t>
            </w:r>
          </w:p>
          <w:p w14:paraId="122B063E"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$M</w:t>
            </w:r>
          </w:p>
        </w:tc>
        <w:tc>
          <w:tcPr>
            <w:tcW w:w="851" w:type="dxa"/>
            <w:tcBorders>
              <w:bottom w:val="single" w:sz="4" w:space="0" w:color="auto"/>
            </w:tcBorders>
            <w:hideMark/>
          </w:tcPr>
          <w:p w14:paraId="179B2C27"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8</w:t>
            </w:r>
          </w:p>
          <w:p w14:paraId="36F98D6A"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$M</w:t>
            </w:r>
          </w:p>
        </w:tc>
        <w:tc>
          <w:tcPr>
            <w:tcW w:w="851" w:type="dxa"/>
            <w:tcBorders>
              <w:bottom w:val="single" w:sz="4" w:space="0" w:color="auto"/>
            </w:tcBorders>
            <w:hideMark/>
          </w:tcPr>
          <w:p w14:paraId="1EB2ECA8"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9</w:t>
            </w:r>
          </w:p>
          <w:p w14:paraId="512DB801"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$M</w:t>
            </w:r>
          </w:p>
        </w:tc>
        <w:tc>
          <w:tcPr>
            <w:tcW w:w="851" w:type="dxa"/>
            <w:tcBorders>
              <w:bottom w:val="single" w:sz="4" w:space="0" w:color="auto"/>
            </w:tcBorders>
            <w:hideMark/>
          </w:tcPr>
          <w:p w14:paraId="61F8E96F"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10</w:t>
            </w:r>
          </w:p>
          <w:p w14:paraId="252036D2"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$M</w:t>
            </w:r>
          </w:p>
        </w:tc>
        <w:tc>
          <w:tcPr>
            <w:tcW w:w="851" w:type="dxa"/>
            <w:tcBorders>
              <w:bottom w:val="single" w:sz="4" w:space="0" w:color="auto"/>
            </w:tcBorders>
            <w:hideMark/>
          </w:tcPr>
          <w:p w14:paraId="5FE3D48E"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11</w:t>
            </w:r>
          </w:p>
          <w:p w14:paraId="425E2341"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$M</w:t>
            </w:r>
          </w:p>
        </w:tc>
        <w:tc>
          <w:tcPr>
            <w:tcW w:w="851" w:type="dxa"/>
            <w:tcBorders>
              <w:bottom w:val="single" w:sz="4" w:space="0" w:color="auto"/>
            </w:tcBorders>
            <w:hideMark/>
          </w:tcPr>
          <w:p w14:paraId="307B3C05"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12</w:t>
            </w:r>
          </w:p>
          <w:p w14:paraId="02BA69A1"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$M</w:t>
            </w:r>
          </w:p>
        </w:tc>
        <w:tc>
          <w:tcPr>
            <w:tcW w:w="851" w:type="dxa"/>
            <w:tcBorders>
              <w:bottom w:val="single" w:sz="4" w:space="0" w:color="auto"/>
            </w:tcBorders>
            <w:hideMark/>
          </w:tcPr>
          <w:p w14:paraId="447308D9"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13</w:t>
            </w:r>
          </w:p>
          <w:p w14:paraId="0C2751FE" w14:textId="77777777" w:rsidR="00CE75D4" w:rsidRPr="009A3ED9" w:rsidRDefault="00CE75D4" w:rsidP="008340C1">
            <w:pPr>
              <w:pStyle w:val="ARfintablecolheadright"/>
              <w:spacing w:before="10" w:after="10" w:line="228" w:lineRule="auto"/>
              <w:ind w:right="0"/>
              <w:rPr>
                <w:rFonts w:cs="Arial"/>
                <w:sz w:val="16"/>
              </w:rPr>
            </w:pPr>
            <w:r w:rsidRPr="009A3ED9">
              <w:rPr>
                <w:rFonts w:cs="Arial"/>
                <w:sz w:val="16"/>
              </w:rPr>
              <w:t>$M</w:t>
            </w:r>
          </w:p>
        </w:tc>
      </w:tr>
      <w:tr w:rsidR="00CE75D4" w:rsidRPr="00C0495C" w14:paraId="42604803" w14:textId="77777777" w:rsidTr="008340C1">
        <w:trPr>
          <w:cantSplit w:val="0"/>
          <w:trHeight w:val="170"/>
        </w:trPr>
        <w:tc>
          <w:tcPr>
            <w:tcW w:w="3402" w:type="dxa"/>
            <w:gridSpan w:val="14"/>
            <w:tcBorders>
              <w:top w:val="single" w:sz="4" w:space="0" w:color="A6A6A6"/>
              <w:bottom w:val="single" w:sz="4" w:space="0" w:color="A6A6A6"/>
            </w:tcBorders>
          </w:tcPr>
          <w:p w14:paraId="0526F3B6" w14:textId="77777777" w:rsidR="00CE75D4" w:rsidRPr="009A3ED9" w:rsidRDefault="00CE75D4" w:rsidP="008340C1">
            <w:pPr>
              <w:pStyle w:val="ARfintablebodybold"/>
              <w:spacing w:before="10" w:after="10" w:line="228" w:lineRule="auto"/>
              <w:rPr>
                <w:rFonts w:cs="Arial"/>
                <w:sz w:val="16"/>
              </w:rPr>
            </w:pPr>
            <w:r w:rsidRPr="009A3ED9">
              <w:rPr>
                <w:rFonts w:cs="Arial"/>
                <w:sz w:val="16"/>
              </w:rPr>
              <w:t xml:space="preserve">Administered </w:t>
            </w:r>
            <w:r>
              <w:rPr>
                <w:rFonts w:cs="Arial"/>
                <w:sz w:val="16"/>
              </w:rPr>
              <w:t xml:space="preserve">revenue and </w:t>
            </w:r>
            <w:r w:rsidRPr="009A3ED9">
              <w:rPr>
                <w:rFonts w:cs="Arial"/>
                <w:sz w:val="16"/>
              </w:rPr>
              <w:t>income from transactions</w:t>
            </w:r>
          </w:p>
        </w:tc>
      </w:tr>
      <w:tr w:rsidR="00CE75D4" w:rsidRPr="00C0495C" w14:paraId="79F16335" w14:textId="77777777" w:rsidTr="008340C1">
        <w:trPr>
          <w:cantSplit w:val="0"/>
          <w:trHeight w:val="170"/>
        </w:trPr>
        <w:tc>
          <w:tcPr>
            <w:tcW w:w="3402" w:type="dxa"/>
            <w:tcBorders>
              <w:top w:val="single" w:sz="4" w:space="0" w:color="A6A6A6"/>
              <w:bottom w:val="single" w:sz="4" w:space="0" w:color="A6A6A6"/>
            </w:tcBorders>
            <w:hideMark/>
          </w:tcPr>
          <w:p w14:paraId="02B76C17" w14:textId="77777777" w:rsidR="00CE75D4" w:rsidRPr="0070717C" w:rsidRDefault="00CE75D4" w:rsidP="008340C1">
            <w:pPr>
              <w:pStyle w:val="ARfintablebody"/>
              <w:spacing w:before="10" w:after="10" w:line="228" w:lineRule="auto"/>
              <w:rPr>
                <w:sz w:val="16"/>
              </w:rPr>
            </w:pPr>
            <w:r w:rsidRPr="00EC013F">
              <w:rPr>
                <w:sz w:val="16"/>
              </w:rPr>
              <w:t xml:space="preserve">Commonwealth contribution to the </w:t>
            </w:r>
            <w:r>
              <w:rPr>
                <w:sz w:val="16"/>
              </w:rPr>
              <w:t>Victorian State Pool Account</w:t>
            </w:r>
          </w:p>
        </w:tc>
        <w:tc>
          <w:tcPr>
            <w:tcW w:w="851" w:type="dxa"/>
            <w:tcBorders>
              <w:top w:val="single" w:sz="4" w:space="0" w:color="A6A6A6"/>
              <w:bottom w:val="single" w:sz="4" w:space="0" w:color="A6A6A6"/>
            </w:tcBorders>
            <w:noWrap/>
            <w:hideMark/>
          </w:tcPr>
          <w:p w14:paraId="51BA6F64" w14:textId="77777777" w:rsidR="00CE75D4" w:rsidRPr="009A3ED9" w:rsidRDefault="00CE75D4" w:rsidP="008340C1">
            <w:pPr>
              <w:pStyle w:val="ARfintablebodyright"/>
              <w:spacing w:before="10" w:after="10" w:line="228" w:lineRule="auto"/>
              <w:ind w:right="0"/>
              <w:rPr>
                <w:sz w:val="16"/>
              </w:rPr>
            </w:pPr>
            <w:r w:rsidRPr="009A3ED9">
              <w:rPr>
                <w:sz w:val="16"/>
              </w:rPr>
              <w:t>3,241.6</w:t>
            </w:r>
          </w:p>
        </w:tc>
        <w:tc>
          <w:tcPr>
            <w:tcW w:w="851" w:type="dxa"/>
            <w:tcBorders>
              <w:top w:val="single" w:sz="4" w:space="0" w:color="A6A6A6"/>
              <w:bottom w:val="single" w:sz="4" w:space="0" w:color="A6A6A6"/>
            </w:tcBorders>
            <w:noWrap/>
            <w:hideMark/>
          </w:tcPr>
          <w:p w14:paraId="785042A4" w14:textId="77777777" w:rsidR="00CE75D4" w:rsidRPr="009A3ED9" w:rsidRDefault="00CE75D4" w:rsidP="008340C1">
            <w:pPr>
              <w:pStyle w:val="ARfintablebodyright"/>
              <w:spacing w:before="10" w:after="10" w:line="228" w:lineRule="auto"/>
              <w:ind w:right="0"/>
              <w:rPr>
                <w:sz w:val="16"/>
              </w:rPr>
            </w:pPr>
            <w:r w:rsidRPr="009A3ED9">
              <w:rPr>
                <w:sz w:val="16"/>
              </w:rPr>
              <w:t>402.3</w:t>
            </w:r>
          </w:p>
        </w:tc>
        <w:tc>
          <w:tcPr>
            <w:tcW w:w="851" w:type="dxa"/>
            <w:tcBorders>
              <w:top w:val="single" w:sz="4" w:space="0" w:color="A6A6A6"/>
              <w:bottom w:val="single" w:sz="4" w:space="0" w:color="A6A6A6"/>
            </w:tcBorders>
            <w:noWrap/>
            <w:hideMark/>
          </w:tcPr>
          <w:p w14:paraId="3A199353" w14:textId="77777777" w:rsidR="00CE75D4" w:rsidRPr="009A3ED9" w:rsidRDefault="00CE75D4" w:rsidP="008340C1">
            <w:pPr>
              <w:pStyle w:val="ARfintablebodyright"/>
              <w:spacing w:before="10" w:after="10" w:line="228" w:lineRule="auto"/>
              <w:ind w:right="0"/>
              <w:rPr>
                <w:sz w:val="16"/>
              </w:rPr>
            </w:pPr>
            <w:r w:rsidRPr="009A3ED9">
              <w:rPr>
                <w:sz w:val="16"/>
              </w:rPr>
              <w:t>551.8</w:t>
            </w:r>
          </w:p>
        </w:tc>
        <w:tc>
          <w:tcPr>
            <w:tcW w:w="851" w:type="dxa"/>
            <w:tcBorders>
              <w:top w:val="single" w:sz="4" w:space="0" w:color="A6A6A6"/>
              <w:bottom w:val="single" w:sz="4" w:space="0" w:color="A6A6A6"/>
            </w:tcBorders>
            <w:noWrap/>
            <w:hideMark/>
          </w:tcPr>
          <w:p w14:paraId="0235B9D6" w14:textId="77777777" w:rsidR="00CE75D4" w:rsidRPr="009A3ED9" w:rsidRDefault="00CE75D4" w:rsidP="008340C1">
            <w:pPr>
              <w:pStyle w:val="ARfintablebodyright"/>
              <w:spacing w:before="10" w:after="10" w:line="228" w:lineRule="auto"/>
              <w:ind w:right="0"/>
              <w:rPr>
                <w:sz w:val="16"/>
              </w:rPr>
            </w:pPr>
            <w:r w:rsidRPr="009A3ED9">
              <w:rPr>
                <w:sz w:val="16"/>
              </w:rPr>
              <w:t>107.4</w:t>
            </w:r>
          </w:p>
        </w:tc>
        <w:tc>
          <w:tcPr>
            <w:tcW w:w="851" w:type="dxa"/>
            <w:tcBorders>
              <w:top w:val="single" w:sz="4" w:space="0" w:color="A6A6A6"/>
              <w:bottom w:val="single" w:sz="4" w:space="0" w:color="A6A6A6"/>
            </w:tcBorders>
            <w:noWrap/>
            <w:hideMark/>
          </w:tcPr>
          <w:p w14:paraId="622702AF"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0D9ED968"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22072F7E"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08B5BDE8"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3F432B8C"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0EEA7187"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53120F73"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76E78C96" w14:textId="77777777" w:rsidR="00CE75D4" w:rsidRPr="009A3ED9" w:rsidRDefault="00CE75D4" w:rsidP="008340C1">
            <w:pPr>
              <w:pStyle w:val="ARfintablebodyright"/>
              <w:spacing w:before="10" w:after="10" w:line="228" w:lineRule="auto"/>
              <w:ind w:right="0"/>
              <w:rPr>
                <w:sz w:val="16"/>
              </w:rPr>
            </w:pPr>
            <w:r w:rsidRPr="009A3ED9">
              <w:rPr>
                <w:sz w:val="16"/>
              </w:rPr>
              <w:t>14.1</w:t>
            </w:r>
          </w:p>
        </w:tc>
        <w:tc>
          <w:tcPr>
            <w:tcW w:w="851" w:type="dxa"/>
            <w:tcBorders>
              <w:top w:val="single" w:sz="4" w:space="0" w:color="A6A6A6"/>
              <w:bottom w:val="single" w:sz="4" w:space="0" w:color="A6A6A6"/>
            </w:tcBorders>
            <w:noWrap/>
            <w:hideMark/>
          </w:tcPr>
          <w:p w14:paraId="2C094038" w14:textId="77777777" w:rsidR="00CE75D4" w:rsidRPr="009A3ED9" w:rsidRDefault="00CE75D4" w:rsidP="008340C1">
            <w:pPr>
              <w:pStyle w:val="ARfintablebodyright"/>
              <w:spacing w:before="10" w:after="10" w:line="228" w:lineRule="auto"/>
              <w:ind w:right="0"/>
              <w:rPr>
                <w:sz w:val="16"/>
              </w:rPr>
            </w:pPr>
            <w:r w:rsidRPr="009A3ED9">
              <w:rPr>
                <w:sz w:val="16"/>
              </w:rPr>
              <w:t>785.4</w:t>
            </w:r>
          </w:p>
        </w:tc>
      </w:tr>
      <w:tr w:rsidR="00CE75D4" w:rsidRPr="00C0495C" w14:paraId="28032D8D" w14:textId="77777777" w:rsidTr="008340C1">
        <w:trPr>
          <w:cantSplit w:val="0"/>
          <w:trHeight w:val="170"/>
        </w:trPr>
        <w:tc>
          <w:tcPr>
            <w:tcW w:w="3402" w:type="dxa"/>
            <w:tcBorders>
              <w:top w:val="single" w:sz="4" w:space="0" w:color="A6A6A6"/>
              <w:bottom w:val="single" w:sz="4" w:space="0" w:color="A6A6A6"/>
            </w:tcBorders>
            <w:hideMark/>
          </w:tcPr>
          <w:p w14:paraId="3C77D14E" w14:textId="77777777" w:rsidR="00CE75D4" w:rsidRPr="00EC013F" w:rsidRDefault="00CE75D4" w:rsidP="008340C1">
            <w:pPr>
              <w:pStyle w:val="ARfintablebody"/>
              <w:spacing w:before="10" w:after="10" w:line="228" w:lineRule="auto"/>
              <w:rPr>
                <w:sz w:val="16"/>
              </w:rPr>
            </w:pPr>
            <w:r w:rsidRPr="00EC013F">
              <w:rPr>
                <w:sz w:val="16"/>
              </w:rPr>
              <w:t xml:space="preserve">State contribution to the </w:t>
            </w:r>
            <w:r>
              <w:rPr>
                <w:sz w:val="16"/>
              </w:rPr>
              <w:t>Victorian State Pool Account</w:t>
            </w:r>
          </w:p>
        </w:tc>
        <w:tc>
          <w:tcPr>
            <w:tcW w:w="851" w:type="dxa"/>
            <w:tcBorders>
              <w:top w:val="single" w:sz="4" w:space="0" w:color="A6A6A6"/>
              <w:bottom w:val="single" w:sz="4" w:space="0" w:color="A6A6A6"/>
            </w:tcBorders>
            <w:noWrap/>
            <w:hideMark/>
          </w:tcPr>
          <w:p w14:paraId="5BA56A23" w14:textId="77777777" w:rsidR="00CE75D4" w:rsidRPr="009A3ED9" w:rsidRDefault="00CE75D4" w:rsidP="008340C1">
            <w:pPr>
              <w:pStyle w:val="ARfintablebodyright"/>
              <w:spacing w:before="10" w:after="10" w:line="228" w:lineRule="auto"/>
              <w:ind w:right="0"/>
              <w:rPr>
                <w:sz w:val="16"/>
              </w:rPr>
            </w:pPr>
            <w:r w:rsidRPr="009A3ED9">
              <w:rPr>
                <w:sz w:val="16"/>
              </w:rPr>
              <w:t>6,489.4</w:t>
            </w:r>
          </w:p>
        </w:tc>
        <w:tc>
          <w:tcPr>
            <w:tcW w:w="851" w:type="dxa"/>
            <w:tcBorders>
              <w:top w:val="single" w:sz="4" w:space="0" w:color="A6A6A6"/>
              <w:bottom w:val="single" w:sz="4" w:space="0" w:color="A6A6A6"/>
            </w:tcBorders>
            <w:noWrap/>
            <w:hideMark/>
          </w:tcPr>
          <w:p w14:paraId="73E5A185" w14:textId="77777777" w:rsidR="00CE75D4" w:rsidRPr="009A3ED9" w:rsidRDefault="00CE75D4" w:rsidP="008340C1">
            <w:pPr>
              <w:pStyle w:val="ARfintablebodyright"/>
              <w:spacing w:before="10" w:after="10" w:line="228" w:lineRule="auto"/>
              <w:ind w:right="0"/>
              <w:rPr>
                <w:sz w:val="16"/>
              </w:rPr>
            </w:pPr>
            <w:r w:rsidRPr="009A3ED9">
              <w:rPr>
                <w:sz w:val="16"/>
              </w:rPr>
              <w:t>619.5</w:t>
            </w:r>
          </w:p>
        </w:tc>
        <w:tc>
          <w:tcPr>
            <w:tcW w:w="851" w:type="dxa"/>
            <w:tcBorders>
              <w:top w:val="single" w:sz="4" w:space="0" w:color="A6A6A6"/>
              <w:bottom w:val="single" w:sz="4" w:space="0" w:color="A6A6A6"/>
            </w:tcBorders>
            <w:noWrap/>
            <w:hideMark/>
          </w:tcPr>
          <w:p w14:paraId="4B725F3B" w14:textId="77777777" w:rsidR="00CE75D4" w:rsidRPr="009A3ED9" w:rsidRDefault="00CE75D4" w:rsidP="008340C1">
            <w:pPr>
              <w:pStyle w:val="ARfintablebodyright"/>
              <w:spacing w:before="10" w:after="10" w:line="228" w:lineRule="auto"/>
              <w:ind w:right="0"/>
              <w:rPr>
                <w:sz w:val="16"/>
              </w:rPr>
            </w:pPr>
            <w:r w:rsidRPr="009A3ED9">
              <w:rPr>
                <w:sz w:val="16"/>
              </w:rPr>
              <w:t>322.2</w:t>
            </w:r>
          </w:p>
        </w:tc>
        <w:tc>
          <w:tcPr>
            <w:tcW w:w="851" w:type="dxa"/>
            <w:tcBorders>
              <w:top w:val="single" w:sz="4" w:space="0" w:color="A6A6A6"/>
              <w:bottom w:val="single" w:sz="4" w:space="0" w:color="A6A6A6"/>
            </w:tcBorders>
            <w:noWrap/>
            <w:hideMark/>
          </w:tcPr>
          <w:p w14:paraId="7DBC3445"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382E331A"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5F6B45D5"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3162F0F8"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3BC325D9"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488FC1CF"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4E0B0315"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17821127"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73D8B472"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5B8F6ADB" w14:textId="77777777" w:rsidR="00CE75D4" w:rsidRPr="009A3ED9" w:rsidRDefault="00CE75D4" w:rsidP="008340C1">
            <w:pPr>
              <w:pStyle w:val="ARfintablebodyright"/>
              <w:spacing w:before="10" w:after="10" w:line="228" w:lineRule="auto"/>
              <w:ind w:right="0"/>
              <w:rPr>
                <w:sz w:val="16"/>
              </w:rPr>
            </w:pPr>
            <w:r w:rsidRPr="009A3ED9">
              <w:rPr>
                <w:sz w:val="16"/>
              </w:rPr>
              <w:t>196.9</w:t>
            </w:r>
          </w:p>
        </w:tc>
      </w:tr>
      <w:tr w:rsidR="00CE75D4" w:rsidRPr="00C0495C" w14:paraId="53ADBFF4" w14:textId="77777777" w:rsidTr="008340C1">
        <w:trPr>
          <w:cantSplit w:val="0"/>
          <w:trHeight w:val="170"/>
        </w:trPr>
        <w:tc>
          <w:tcPr>
            <w:tcW w:w="3402" w:type="dxa"/>
            <w:tcBorders>
              <w:top w:val="single" w:sz="4" w:space="0" w:color="A6A6A6"/>
              <w:bottom w:val="single" w:sz="4" w:space="0" w:color="A6A6A6"/>
            </w:tcBorders>
            <w:hideMark/>
          </w:tcPr>
          <w:p w14:paraId="1CF73378" w14:textId="77777777" w:rsidR="00CE75D4" w:rsidRPr="009A3ED9" w:rsidRDefault="00CE75D4" w:rsidP="008340C1">
            <w:pPr>
              <w:pStyle w:val="ARfintablebody"/>
              <w:spacing w:before="10" w:after="10" w:line="228" w:lineRule="auto"/>
              <w:rPr>
                <w:sz w:val="16"/>
              </w:rPr>
            </w:pPr>
            <w:r w:rsidRPr="009A3ED9">
              <w:rPr>
                <w:sz w:val="16"/>
              </w:rPr>
              <w:t>State contribution to the National Disability Insurance Agency</w:t>
            </w:r>
          </w:p>
        </w:tc>
        <w:tc>
          <w:tcPr>
            <w:tcW w:w="851" w:type="dxa"/>
            <w:tcBorders>
              <w:top w:val="single" w:sz="4" w:space="0" w:color="A6A6A6"/>
              <w:bottom w:val="single" w:sz="4" w:space="0" w:color="A6A6A6"/>
            </w:tcBorders>
            <w:noWrap/>
            <w:hideMark/>
          </w:tcPr>
          <w:p w14:paraId="527E53BE"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535F6EFF"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0F3217B6"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0FC46A40"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7D2CD783"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3C54BA9F"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19882D2C"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1839A86F"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76FF6DAF"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401FB7BA"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1BD83CA7"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519BA397"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5ADFB849" w14:textId="77777777" w:rsidR="00CE75D4" w:rsidRPr="009A3ED9" w:rsidRDefault="00CE75D4" w:rsidP="008340C1">
            <w:pPr>
              <w:pStyle w:val="ARfintablebodyright"/>
              <w:spacing w:before="10" w:after="10" w:line="228" w:lineRule="auto"/>
              <w:ind w:right="0"/>
              <w:rPr>
                <w:sz w:val="16"/>
              </w:rPr>
            </w:pPr>
            <w:r w:rsidRPr="009A3ED9">
              <w:rPr>
                <w:sz w:val="16"/>
              </w:rPr>
              <w:t>–</w:t>
            </w:r>
          </w:p>
        </w:tc>
      </w:tr>
      <w:tr w:rsidR="00CE75D4" w:rsidRPr="00C0495C" w14:paraId="760EBF02" w14:textId="77777777" w:rsidTr="008340C1">
        <w:trPr>
          <w:cantSplit w:val="0"/>
          <w:trHeight w:val="170"/>
        </w:trPr>
        <w:tc>
          <w:tcPr>
            <w:tcW w:w="3402" w:type="dxa"/>
            <w:tcBorders>
              <w:top w:val="single" w:sz="4" w:space="0" w:color="A6A6A6"/>
              <w:bottom w:val="single" w:sz="4" w:space="0" w:color="A6A6A6"/>
            </w:tcBorders>
            <w:hideMark/>
          </w:tcPr>
          <w:p w14:paraId="4BA9E202" w14:textId="77777777" w:rsidR="00CE75D4" w:rsidRPr="009A3ED9" w:rsidRDefault="00CE75D4" w:rsidP="008340C1">
            <w:pPr>
              <w:pStyle w:val="ARfintablebody"/>
              <w:spacing w:before="10" w:after="10" w:line="228" w:lineRule="auto"/>
              <w:rPr>
                <w:sz w:val="16"/>
              </w:rPr>
            </w:pPr>
            <w:r w:rsidRPr="009A3ED9">
              <w:rPr>
                <w:sz w:val="16"/>
              </w:rPr>
              <w:t>Commonwealth grants</w:t>
            </w:r>
          </w:p>
        </w:tc>
        <w:tc>
          <w:tcPr>
            <w:tcW w:w="851" w:type="dxa"/>
            <w:tcBorders>
              <w:top w:val="single" w:sz="4" w:space="0" w:color="A6A6A6"/>
              <w:bottom w:val="single" w:sz="4" w:space="0" w:color="A6A6A6"/>
            </w:tcBorders>
            <w:noWrap/>
            <w:hideMark/>
          </w:tcPr>
          <w:p w14:paraId="4F5055EB" w14:textId="77777777" w:rsidR="00CE75D4" w:rsidRPr="009A3ED9" w:rsidRDefault="00CE75D4" w:rsidP="008340C1">
            <w:pPr>
              <w:pStyle w:val="ARfintablebodyright"/>
              <w:spacing w:before="10" w:after="10" w:line="228" w:lineRule="auto"/>
              <w:ind w:right="0"/>
              <w:rPr>
                <w:sz w:val="16"/>
              </w:rPr>
            </w:pPr>
            <w:r w:rsidRPr="009A3ED9">
              <w:rPr>
                <w:sz w:val="16"/>
              </w:rPr>
              <w:t>2,514.9</w:t>
            </w:r>
          </w:p>
        </w:tc>
        <w:tc>
          <w:tcPr>
            <w:tcW w:w="851" w:type="dxa"/>
            <w:tcBorders>
              <w:top w:val="single" w:sz="4" w:space="0" w:color="A6A6A6"/>
              <w:bottom w:val="single" w:sz="4" w:space="0" w:color="A6A6A6"/>
            </w:tcBorders>
            <w:noWrap/>
            <w:hideMark/>
          </w:tcPr>
          <w:p w14:paraId="57FD077D"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21152E90"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44A81038" w14:textId="77777777" w:rsidR="00CE75D4" w:rsidRPr="009A3ED9" w:rsidRDefault="00CE75D4" w:rsidP="008340C1">
            <w:pPr>
              <w:pStyle w:val="ARfintablebodyright"/>
              <w:spacing w:before="10" w:after="10" w:line="228" w:lineRule="auto"/>
              <w:ind w:right="0"/>
              <w:rPr>
                <w:sz w:val="16"/>
              </w:rPr>
            </w:pPr>
            <w:r w:rsidRPr="009A3ED9">
              <w:rPr>
                <w:sz w:val="16"/>
              </w:rPr>
              <w:t>2.0</w:t>
            </w:r>
          </w:p>
        </w:tc>
        <w:tc>
          <w:tcPr>
            <w:tcW w:w="851" w:type="dxa"/>
            <w:tcBorders>
              <w:top w:val="single" w:sz="4" w:space="0" w:color="A6A6A6"/>
              <w:bottom w:val="single" w:sz="4" w:space="0" w:color="A6A6A6"/>
            </w:tcBorders>
            <w:noWrap/>
            <w:hideMark/>
          </w:tcPr>
          <w:p w14:paraId="7E83203D"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0778B395" w14:textId="77777777" w:rsidR="00CE75D4" w:rsidRPr="009A3ED9" w:rsidRDefault="00CE75D4" w:rsidP="008340C1">
            <w:pPr>
              <w:pStyle w:val="ARfintablebodyright"/>
              <w:spacing w:before="10" w:after="10" w:line="228" w:lineRule="auto"/>
              <w:ind w:right="0"/>
              <w:rPr>
                <w:sz w:val="16"/>
              </w:rPr>
            </w:pPr>
            <w:r w:rsidRPr="009A3ED9">
              <w:rPr>
                <w:sz w:val="16"/>
              </w:rPr>
              <w:t>32.4</w:t>
            </w:r>
          </w:p>
        </w:tc>
        <w:tc>
          <w:tcPr>
            <w:tcW w:w="851" w:type="dxa"/>
            <w:tcBorders>
              <w:top w:val="single" w:sz="4" w:space="0" w:color="A6A6A6"/>
              <w:bottom w:val="single" w:sz="4" w:space="0" w:color="A6A6A6"/>
            </w:tcBorders>
            <w:noWrap/>
            <w:hideMark/>
          </w:tcPr>
          <w:p w14:paraId="3C8E1280"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31689B42" w14:textId="77777777" w:rsidR="00CE75D4" w:rsidRPr="009A3ED9" w:rsidRDefault="00CE75D4" w:rsidP="008340C1">
            <w:pPr>
              <w:pStyle w:val="ARfintablebodyright"/>
              <w:spacing w:before="10" w:after="10" w:line="228" w:lineRule="auto"/>
              <w:ind w:right="0"/>
              <w:rPr>
                <w:sz w:val="16"/>
              </w:rPr>
            </w:pPr>
            <w:r w:rsidRPr="009A3ED9">
              <w:rPr>
                <w:sz w:val="16"/>
              </w:rPr>
              <w:t>35.9</w:t>
            </w:r>
          </w:p>
        </w:tc>
        <w:tc>
          <w:tcPr>
            <w:tcW w:w="851" w:type="dxa"/>
            <w:tcBorders>
              <w:top w:val="single" w:sz="4" w:space="0" w:color="A6A6A6"/>
              <w:bottom w:val="single" w:sz="4" w:space="0" w:color="A6A6A6"/>
            </w:tcBorders>
            <w:noWrap/>
            <w:hideMark/>
          </w:tcPr>
          <w:p w14:paraId="1518F5E4"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799DE72B"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39BA576E"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3CB8E5B6"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1C514D4A" w14:textId="77777777" w:rsidR="00CE75D4" w:rsidRPr="009A3ED9" w:rsidRDefault="00CE75D4" w:rsidP="008340C1">
            <w:pPr>
              <w:pStyle w:val="ARfintablebodyright"/>
              <w:spacing w:before="10" w:after="10" w:line="228" w:lineRule="auto"/>
              <w:ind w:right="0"/>
              <w:rPr>
                <w:sz w:val="16"/>
              </w:rPr>
            </w:pPr>
            <w:r w:rsidRPr="009A3ED9">
              <w:rPr>
                <w:sz w:val="16"/>
              </w:rPr>
              <w:t>–</w:t>
            </w:r>
          </w:p>
        </w:tc>
      </w:tr>
      <w:tr w:rsidR="00CE75D4" w:rsidRPr="00C0495C" w14:paraId="79EE53EF" w14:textId="77777777" w:rsidTr="008340C1">
        <w:trPr>
          <w:cantSplit w:val="0"/>
          <w:trHeight w:val="170"/>
        </w:trPr>
        <w:tc>
          <w:tcPr>
            <w:tcW w:w="3402" w:type="dxa"/>
            <w:tcBorders>
              <w:top w:val="single" w:sz="4" w:space="0" w:color="A6A6A6"/>
              <w:bottom w:val="single" w:sz="4" w:space="0" w:color="A6A6A6"/>
            </w:tcBorders>
            <w:hideMark/>
          </w:tcPr>
          <w:p w14:paraId="2EC2B999" w14:textId="77777777" w:rsidR="00CE75D4" w:rsidRPr="009A3ED9" w:rsidRDefault="00CE75D4" w:rsidP="008340C1">
            <w:pPr>
              <w:pStyle w:val="ARfintablebody"/>
              <w:spacing w:before="10" w:after="10" w:line="228" w:lineRule="auto"/>
              <w:rPr>
                <w:sz w:val="16"/>
              </w:rPr>
            </w:pPr>
            <w:r w:rsidRPr="009A3ED9">
              <w:rPr>
                <w:sz w:val="16"/>
              </w:rPr>
              <w:t>Sales of goods and services</w:t>
            </w:r>
          </w:p>
        </w:tc>
        <w:tc>
          <w:tcPr>
            <w:tcW w:w="851" w:type="dxa"/>
            <w:tcBorders>
              <w:top w:val="single" w:sz="4" w:space="0" w:color="A6A6A6"/>
              <w:bottom w:val="single" w:sz="4" w:space="0" w:color="A6A6A6"/>
            </w:tcBorders>
            <w:noWrap/>
            <w:hideMark/>
          </w:tcPr>
          <w:p w14:paraId="7F56DE72" w14:textId="77777777" w:rsidR="00CE75D4" w:rsidRPr="009A3ED9" w:rsidRDefault="00CE75D4" w:rsidP="008340C1">
            <w:pPr>
              <w:pStyle w:val="ARfintablebodyright"/>
              <w:spacing w:before="10" w:after="10" w:line="228" w:lineRule="auto"/>
              <w:ind w:right="0"/>
              <w:rPr>
                <w:sz w:val="16"/>
              </w:rPr>
            </w:pPr>
            <w:r w:rsidRPr="009A3ED9">
              <w:rPr>
                <w:sz w:val="16"/>
              </w:rPr>
              <w:t>236.2</w:t>
            </w:r>
          </w:p>
        </w:tc>
        <w:tc>
          <w:tcPr>
            <w:tcW w:w="851" w:type="dxa"/>
            <w:tcBorders>
              <w:top w:val="single" w:sz="4" w:space="0" w:color="A6A6A6"/>
              <w:bottom w:val="single" w:sz="4" w:space="0" w:color="A6A6A6"/>
            </w:tcBorders>
            <w:noWrap/>
            <w:hideMark/>
          </w:tcPr>
          <w:p w14:paraId="42A0C0A3" w14:textId="77777777" w:rsidR="00CE75D4" w:rsidRPr="009A3ED9" w:rsidRDefault="00CE75D4" w:rsidP="008340C1">
            <w:pPr>
              <w:pStyle w:val="ARfintablebodyright"/>
              <w:spacing w:before="10" w:after="10" w:line="228" w:lineRule="auto"/>
              <w:ind w:right="0"/>
              <w:rPr>
                <w:sz w:val="16"/>
              </w:rPr>
            </w:pPr>
            <w:r w:rsidRPr="009A3ED9">
              <w:rPr>
                <w:sz w:val="16"/>
              </w:rPr>
              <w:t>7.3</w:t>
            </w:r>
          </w:p>
        </w:tc>
        <w:tc>
          <w:tcPr>
            <w:tcW w:w="851" w:type="dxa"/>
            <w:tcBorders>
              <w:top w:val="single" w:sz="4" w:space="0" w:color="A6A6A6"/>
              <w:bottom w:val="single" w:sz="4" w:space="0" w:color="A6A6A6"/>
            </w:tcBorders>
            <w:noWrap/>
            <w:hideMark/>
          </w:tcPr>
          <w:p w14:paraId="2C0B0568" w14:textId="77777777" w:rsidR="00CE75D4" w:rsidRPr="009A3ED9" w:rsidRDefault="00CE75D4" w:rsidP="008340C1">
            <w:pPr>
              <w:pStyle w:val="ARfintablebodyright"/>
              <w:spacing w:before="10" w:after="10" w:line="228" w:lineRule="auto"/>
              <w:ind w:right="0"/>
              <w:rPr>
                <w:sz w:val="16"/>
              </w:rPr>
            </w:pPr>
            <w:r w:rsidRPr="009A3ED9">
              <w:rPr>
                <w:sz w:val="16"/>
              </w:rPr>
              <w:t>1.7</w:t>
            </w:r>
          </w:p>
        </w:tc>
        <w:tc>
          <w:tcPr>
            <w:tcW w:w="851" w:type="dxa"/>
            <w:tcBorders>
              <w:top w:val="single" w:sz="4" w:space="0" w:color="A6A6A6"/>
              <w:bottom w:val="single" w:sz="4" w:space="0" w:color="A6A6A6"/>
            </w:tcBorders>
            <w:noWrap/>
            <w:hideMark/>
          </w:tcPr>
          <w:p w14:paraId="3DDB389A" w14:textId="77777777" w:rsidR="00CE75D4" w:rsidRPr="009A3ED9" w:rsidRDefault="00CE75D4" w:rsidP="008340C1">
            <w:pPr>
              <w:pStyle w:val="ARfintablebodyright"/>
              <w:spacing w:before="10" w:after="10" w:line="228" w:lineRule="auto"/>
              <w:ind w:right="0"/>
              <w:rPr>
                <w:sz w:val="16"/>
              </w:rPr>
            </w:pPr>
            <w:r w:rsidRPr="009A3ED9">
              <w:rPr>
                <w:sz w:val="16"/>
              </w:rPr>
              <w:t>0.5</w:t>
            </w:r>
          </w:p>
        </w:tc>
        <w:tc>
          <w:tcPr>
            <w:tcW w:w="851" w:type="dxa"/>
            <w:tcBorders>
              <w:top w:val="single" w:sz="4" w:space="0" w:color="A6A6A6"/>
              <w:bottom w:val="single" w:sz="4" w:space="0" w:color="A6A6A6"/>
            </w:tcBorders>
            <w:noWrap/>
            <w:hideMark/>
          </w:tcPr>
          <w:p w14:paraId="1E175346"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7FE26A69"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2C193103" w14:textId="77777777" w:rsidR="00CE75D4" w:rsidRPr="009A3ED9" w:rsidRDefault="00CE75D4" w:rsidP="008340C1">
            <w:pPr>
              <w:pStyle w:val="ARfintablebodyright"/>
              <w:spacing w:before="10" w:after="10" w:line="228" w:lineRule="auto"/>
              <w:ind w:right="0"/>
              <w:rPr>
                <w:sz w:val="16"/>
              </w:rPr>
            </w:pPr>
            <w:r>
              <w:rPr>
                <w:sz w:val="16"/>
              </w:rPr>
              <w:t>–</w:t>
            </w:r>
          </w:p>
        </w:tc>
        <w:tc>
          <w:tcPr>
            <w:tcW w:w="851" w:type="dxa"/>
            <w:tcBorders>
              <w:top w:val="single" w:sz="4" w:space="0" w:color="A6A6A6"/>
              <w:bottom w:val="single" w:sz="4" w:space="0" w:color="A6A6A6"/>
            </w:tcBorders>
            <w:noWrap/>
            <w:hideMark/>
          </w:tcPr>
          <w:p w14:paraId="5D7A0519" w14:textId="77777777" w:rsidR="00CE75D4" w:rsidRPr="009A3ED9" w:rsidRDefault="00CE75D4" w:rsidP="008340C1">
            <w:pPr>
              <w:pStyle w:val="ARfintablebodyright"/>
              <w:spacing w:before="10" w:after="10" w:line="228" w:lineRule="auto"/>
              <w:ind w:right="0"/>
              <w:rPr>
                <w:sz w:val="16"/>
              </w:rPr>
            </w:pPr>
            <w:r w:rsidRPr="009A3ED9">
              <w:rPr>
                <w:sz w:val="16"/>
              </w:rPr>
              <w:t>0.1</w:t>
            </w:r>
          </w:p>
        </w:tc>
        <w:tc>
          <w:tcPr>
            <w:tcW w:w="851" w:type="dxa"/>
            <w:tcBorders>
              <w:top w:val="single" w:sz="4" w:space="0" w:color="A6A6A6"/>
              <w:bottom w:val="single" w:sz="4" w:space="0" w:color="A6A6A6"/>
            </w:tcBorders>
            <w:noWrap/>
            <w:hideMark/>
          </w:tcPr>
          <w:p w14:paraId="2D227516" w14:textId="77777777" w:rsidR="00CE75D4" w:rsidRPr="009A3ED9" w:rsidRDefault="00CE75D4" w:rsidP="008340C1">
            <w:pPr>
              <w:pStyle w:val="ARfintablebodyright"/>
              <w:spacing w:before="10" w:after="10" w:line="228" w:lineRule="auto"/>
              <w:ind w:right="0"/>
              <w:rPr>
                <w:sz w:val="16"/>
              </w:rPr>
            </w:pPr>
            <w:r>
              <w:rPr>
                <w:sz w:val="16"/>
              </w:rPr>
              <w:t>–</w:t>
            </w:r>
          </w:p>
        </w:tc>
        <w:tc>
          <w:tcPr>
            <w:tcW w:w="851" w:type="dxa"/>
            <w:tcBorders>
              <w:top w:val="single" w:sz="4" w:space="0" w:color="A6A6A6"/>
              <w:bottom w:val="single" w:sz="4" w:space="0" w:color="A6A6A6"/>
            </w:tcBorders>
            <w:noWrap/>
            <w:hideMark/>
          </w:tcPr>
          <w:p w14:paraId="1DF2A124" w14:textId="77777777" w:rsidR="00CE75D4" w:rsidRPr="009A3ED9" w:rsidRDefault="00CE75D4" w:rsidP="008340C1">
            <w:pPr>
              <w:pStyle w:val="ARfintablebodyright"/>
              <w:spacing w:before="10" w:after="10" w:line="228" w:lineRule="auto"/>
              <w:ind w:right="0"/>
              <w:rPr>
                <w:sz w:val="16"/>
              </w:rPr>
            </w:pPr>
            <w:r>
              <w:rPr>
                <w:sz w:val="16"/>
              </w:rPr>
              <w:t>–</w:t>
            </w:r>
          </w:p>
        </w:tc>
        <w:tc>
          <w:tcPr>
            <w:tcW w:w="851" w:type="dxa"/>
            <w:tcBorders>
              <w:top w:val="single" w:sz="4" w:space="0" w:color="A6A6A6"/>
              <w:bottom w:val="single" w:sz="4" w:space="0" w:color="A6A6A6"/>
            </w:tcBorders>
            <w:noWrap/>
            <w:hideMark/>
          </w:tcPr>
          <w:p w14:paraId="001C94E2" w14:textId="77777777" w:rsidR="00CE75D4" w:rsidRPr="009A3ED9" w:rsidRDefault="00CE75D4" w:rsidP="008340C1">
            <w:pPr>
              <w:pStyle w:val="ARfintablebodyright"/>
              <w:spacing w:before="10" w:after="10" w:line="228" w:lineRule="auto"/>
              <w:ind w:right="0"/>
              <w:rPr>
                <w:sz w:val="16"/>
              </w:rPr>
            </w:pPr>
            <w:r>
              <w:rPr>
                <w:sz w:val="16"/>
              </w:rPr>
              <w:t>–</w:t>
            </w:r>
          </w:p>
        </w:tc>
        <w:tc>
          <w:tcPr>
            <w:tcW w:w="851" w:type="dxa"/>
            <w:tcBorders>
              <w:top w:val="single" w:sz="4" w:space="0" w:color="A6A6A6"/>
              <w:bottom w:val="single" w:sz="4" w:space="0" w:color="A6A6A6"/>
            </w:tcBorders>
            <w:noWrap/>
            <w:hideMark/>
          </w:tcPr>
          <w:p w14:paraId="63885B6B" w14:textId="77777777" w:rsidR="00CE75D4" w:rsidRPr="009A3ED9" w:rsidRDefault="00CE75D4" w:rsidP="008340C1">
            <w:pPr>
              <w:pStyle w:val="ARfintablebodyright"/>
              <w:spacing w:before="10" w:after="10" w:line="228" w:lineRule="auto"/>
              <w:ind w:right="0"/>
              <w:rPr>
                <w:sz w:val="16"/>
              </w:rPr>
            </w:pPr>
            <w:r w:rsidRPr="009A3ED9">
              <w:rPr>
                <w:sz w:val="16"/>
              </w:rPr>
              <w:t>0.</w:t>
            </w:r>
            <w:r>
              <w:rPr>
                <w:sz w:val="16"/>
              </w:rPr>
              <w:t>7</w:t>
            </w:r>
          </w:p>
        </w:tc>
        <w:tc>
          <w:tcPr>
            <w:tcW w:w="851" w:type="dxa"/>
            <w:tcBorders>
              <w:top w:val="single" w:sz="4" w:space="0" w:color="A6A6A6"/>
              <w:bottom w:val="single" w:sz="4" w:space="0" w:color="A6A6A6"/>
            </w:tcBorders>
            <w:noWrap/>
            <w:hideMark/>
          </w:tcPr>
          <w:p w14:paraId="0128165B" w14:textId="77777777" w:rsidR="00CE75D4" w:rsidRPr="009A3ED9" w:rsidRDefault="00CE75D4" w:rsidP="008340C1">
            <w:pPr>
              <w:pStyle w:val="ARfintablebodyright"/>
              <w:spacing w:before="10" w:after="10" w:line="228" w:lineRule="auto"/>
              <w:ind w:right="0"/>
              <w:rPr>
                <w:sz w:val="16"/>
              </w:rPr>
            </w:pPr>
            <w:r w:rsidRPr="009A3ED9">
              <w:rPr>
                <w:sz w:val="16"/>
              </w:rPr>
              <w:t>17.8</w:t>
            </w:r>
          </w:p>
        </w:tc>
      </w:tr>
      <w:tr w:rsidR="00CE75D4" w:rsidRPr="00C0495C" w14:paraId="5578E930" w14:textId="77777777" w:rsidTr="008340C1">
        <w:trPr>
          <w:cantSplit w:val="0"/>
          <w:trHeight w:val="170"/>
        </w:trPr>
        <w:tc>
          <w:tcPr>
            <w:tcW w:w="3402" w:type="dxa"/>
            <w:tcBorders>
              <w:top w:val="single" w:sz="4" w:space="0" w:color="A6A6A6"/>
              <w:bottom w:val="single" w:sz="4" w:space="0" w:color="A6A6A6"/>
            </w:tcBorders>
          </w:tcPr>
          <w:p w14:paraId="4716DE7A" w14:textId="77777777" w:rsidR="00CE75D4" w:rsidRPr="009A3ED9" w:rsidRDefault="00CE75D4" w:rsidP="008340C1">
            <w:pPr>
              <w:pStyle w:val="ARfintablebody"/>
              <w:spacing w:before="10" w:after="10" w:line="228" w:lineRule="auto"/>
              <w:rPr>
                <w:sz w:val="16"/>
              </w:rPr>
            </w:pPr>
            <w:r w:rsidRPr="009A3ED9">
              <w:rPr>
                <w:sz w:val="16"/>
              </w:rPr>
              <w:t xml:space="preserve">Appropriations – payments made </w:t>
            </w:r>
            <w:r>
              <w:rPr>
                <w:sz w:val="16"/>
              </w:rPr>
              <w:br/>
            </w:r>
            <w:r w:rsidRPr="009A3ED9">
              <w:rPr>
                <w:sz w:val="16"/>
              </w:rPr>
              <w:t>on behalf of the state</w:t>
            </w:r>
          </w:p>
        </w:tc>
        <w:tc>
          <w:tcPr>
            <w:tcW w:w="851" w:type="dxa"/>
            <w:tcBorders>
              <w:top w:val="single" w:sz="4" w:space="0" w:color="A6A6A6"/>
              <w:bottom w:val="single" w:sz="4" w:space="0" w:color="A6A6A6"/>
            </w:tcBorders>
            <w:noWrap/>
          </w:tcPr>
          <w:p w14:paraId="5361CDDA"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6A2314BC"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5EDF69C1"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3BE8FBD0"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74112736"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511A3BDA"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7676EFFC"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4BE195ED"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284176D9"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72791CD3"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2B53BB1F"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463E6077"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620784A7" w14:textId="77777777" w:rsidR="00CE75D4" w:rsidRPr="009A3ED9" w:rsidRDefault="00CE75D4" w:rsidP="008340C1">
            <w:pPr>
              <w:pStyle w:val="ARfintablebodyright"/>
              <w:spacing w:before="10" w:after="10" w:line="228" w:lineRule="auto"/>
              <w:ind w:right="0"/>
              <w:rPr>
                <w:sz w:val="16"/>
              </w:rPr>
            </w:pPr>
            <w:r w:rsidRPr="009A3ED9">
              <w:rPr>
                <w:sz w:val="16"/>
              </w:rPr>
              <w:t>–</w:t>
            </w:r>
          </w:p>
        </w:tc>
      </w:tr>
      <w:tr w:rsidR="00CE75D4" w:rsidRPr="00C0495C" w14:paraId="53C8D004" w14:textId="77777777" w:rsidTr="008340C1">
        <w:trPr>
          <w:cantSplit w:val="0"/>
          <w:trHeight w:val="170"/>
        </w:trPr>
        <w:tc>
          <w:tcPr>
            <w:tcW w:w="3402" w:type="dxa"/>
            <w:tcBorders>
              <w:top w:val="single" w:sz="4" w:space="0" w:color="A6A6A6"/>
              <w:bottom w:val="single" w:sz="4" w:space="0" w:color="A6A6A6"/>
            </w:tcBorders>
          </w:tcPr>
          <w:p w14:paraId="1A96AD35" w14:textId="77777777" w:rsidR="00CE75D4" w:rsidRPr="009A3ED9" w:rsidRDefault="00CE75D4" w:rsidP="008340C1">
            <w:pPr>
              <w:pStyle w:val="ARfintablebody"/>
              <w:spacing w:before="10" w:after="10" w:line="228" w:lineRule="auto"/>
              <w:rPr>
                <w:sz w:val="16"/>
              </w:rPr>
            </w:pPr>
            <w:r w:rsidRPr="009A3ED9">
              <w:rPr>
                <w:sz w:val="16"/>
              </w:rPr>
              <w:t>Interest income</w:t>
            </w:r>
          </w:p>
        </w:tc>
        <w:tc>
          <w:tcPr>
            <w:tcW w:w="851" w:type="dxa"/>
            <w:tcBorders>
              <w:top w:val="single" w:sz="4" w:space="0" w:color="A6A6A6"/>
              <w:bottom w:val="single" w:sz="4" w:space="0" w:color="A6A6A6"/>
            </w:tcBorders>
            <w:noWrap/>
          </w:tcPr>
          <w:p w14:paraId="217F8AC5"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34FB6A1B"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2C224CAD"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3AE44B89"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63329392"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265428D9"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05AFDA63"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4659BB5E"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7B75CFD9"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71B3BBB4"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1734DC9B"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61FFF5A8"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33801595" w14:textId="77777777" w:rsidR="00CE75D4" w:rsidRPr="009A3ED9" w:rsidRDefault="00CE75D4" w:rsidP="008340C1">
            <w:pPr>
              <w:pStyle w:val="ARfintablebodyright"/>
              <w:spacing w:before="10" w:after="10" w:line="228" w:lineRule="auto"/>
              <w:ind w:right="0"/>
              <w:rPr>
                <w:sz w:val="16"/>
              </w:rPr>
            </w:pPr>
            <w:r w:rsidRPr="009A3ED9">
              <w:rPr>
                <w:sz w:val="16"/>
              </w:rPr>
              <w:t>–</w:t>
            </w:r>
          </w:p>
        </w:tc>
      </w:tr>
      <w:tr w:rsidR="00CE75D4" w:rsidRPr="00C0495C" w14:paraId="4831C6F4" w14:textId="77777777" w:rsidTr="008340C1">
        <w:trPr>
          <w:cantSplit w:val="0"/>
          <w:trHeight w:val="170"/>
        </w:trPr>
        <w:tc>
          <w:tcPr>
            <w:tcW w:w="3402" w:type="dxa"/>
            <w:tcBorders>
              <w:top w:val="single" w:sz="4" w:space="0" w:color="A6A6A6"/>
              <w:bottom w:val="single" w:sz="4" w:space="0" w:color="A6A6A6"/>
            </w:tcBorders>
          </w:tcPr>
          <w:p w14:paraId="59E10FF4" w14:textId="77777777" w:rsidR="00CE75D4" w:rsidRPr="009A3ED9" w:rsidRDefault="00CE75D4" w:rsidP="008340C1">
            <w:pPr>
              <w:pStyle w:val="ARfintablebody"/>
              <w:spacing w:before="10" w:after="10" w:line="228" w:lineRule="auto"/>
              <w:rPr>
                <w:sz w:val="16"/>
              </w:rPr>
            </w:pPr>
            <w:r w:rsidRPr="009A3ED9">
              <w:rPr>
                <w:sz w:val="16"/>
              </w:rPr>
              <w:t>Fees</w:t>
            </w:r>
          </w:p>
        </w:tc>
        <w:tc>
          <w:tcPr>
            <w:tcW w:w="851" w:type="dxa"/>
            <w:tcBorders>
              <w:top w:val="single" w:sz="4" w:space="0" w:color="A6A6A6"/>
              <w:bottom w:val="single" w:sz="4" w:space="0" w:color="A6A6A6"/>
            </w:tcBorders>
            <w:noWrap/>
          </w:tcPr>
          <w:p w14:paraId="2A2DF010"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3F5F6948"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4A56D655"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0069594B"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649340A0"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002324AE"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5F42CDF3"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20E3B999"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5B53EE09"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3DDFA5BD"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47E60EAA" w14:textId="77777777" w:rsidR="00CE75D4" w:rsidRPr="009A3ED9" w:rsidRDefault="00CE75D4" w:rsidP="008340C1">
            <w:pPr>
              <w:pStyle w:val="ARfintablebodyright"/>
              <w:spacing w:before="10" w:after="10" w:line="228" w:lineRule="auto"/>
              <w:ind w:right="0"/>
              <w:rPr>
                <w:sz w:val="16"/>
              </w:rPr>
            </w:pPr>
            <w:r w:rsidRPr="009A3ED9">
              <w:rPr>
                <w:sz w:val="16"/>
              </w:rPr>
              <w:t>1.0</w:t>
            </w:r>
          </w:p>
        </w:tc>
        <w:tc>
          <w:tcPr>
            <w:tcW w:w="851" w:type="dxa"/>
            <w:tcBorders>
              <w:top w:val="single" w:sz="4" w:space="0" w:color="A6A6A6"/>
              <w:bottom w:val="single" w:sz="4" w:space="0" w:color="A6A6A6"/>
            </w:tcBorders>
            <w:noWrap/>
          </w:tcPr>
          <w:p w14:paraId="5FCD62C7"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65535005" w14:textId="77777777" w:rsidR="00CE75D4" w:rsidRPr="009A3ED9" w:rsidRDefault="00CE75D4" w:rsidP="008340C1">
            <w:pPr>
              <w:pStyle w:val="ARfintablebodyright"/>
              <w:spacing w:before="10" w:after="10" w:line="228" w:lineRule="auto"/>
              <w:ind w:right="0"/>
              <w:rPr>
                <w:sz w:val="16"/>
              </w:rPr>
            </w:pPr>
            <w:r w:rsidRPr="009A3ED9">
              <w:rPr>
                <w:sz w:val="16"/>
              </w:rPr>
              <w:t>–</w:t>
            </w:r>
          </w:p>
        </w:tc>
      </w:tr>
      <w:tr w:rsidR="00CE75D4" w:rsidRPr="00C0495C" w14:paraId="0A121782" w14:textId="77777777" w:rsidTr="008340C1">
        <w:trPr>
          <w:cantSplit w:val="0"/>
          <w:trHeight w:val="170"/>
        </w:trPr>
        <w:tc>
          <w:tcPr>
            <w:tcW w:w="3402" w:type="dxa"/>
            <w:tcBorders>
              <w:top w:val="single" w:sz="4" w:space="0" w:color="A6A6A6"/>
              <w:bottom w:val="single" w:sz="4" w:space="0" w:color="A6A6A6"/>
            </w:tcBorders>
          </w:tcPr>
          <w:p w14:paraId="38AA5123" w14:textId="77777777" w:rsidR="00CE75D4" w:rsidRPr="009A3ED9" w:rsidRDefault="00CE75D4" w:rsidP="008340C1">
            <w:pPr>
              <w:pStyle w:val="ARfintablebody"/>
              <w:spacing w:before="10" w:after="10" w:line="228" w:lineRule="auto"/>
              <w:rPr>
                <w:sz w:val="16"/>
              </w:rPr>
            </w:pPr>
            <w:r w:rsidRPr="009A3ED9">
              <w:rPr>
                <w:sz w:val="16"/>
              </w:rPr>
              <w:t>Grants</w:t>
            </w:r>
          </w:p>
        </w:tc>
        <w:tc>
          <w:tcPr>
            <w:tcW w:w="851" w:type="dxa"/>
            <w:tcBorders>
              <w:top w:val="single" w:sz="4" w:space="0" w:color="A6A6A6"/>
              <w:bottom w:val="single" w:sz="4" w:space="0" w:color="A6A6A6"/>
            </w:tcBorders>
            <w:noWrap/>
          </w:tcPr>
          <w:p w14:paraId="78F78507" w14:textId="77777777" w:rsidR="00CE75D4" w:rsidRPr="009A3ED9" w:rsidRDefault="00CE75D4" w:rsidP="008340C1">
            <w:pPr>
              <w:pStyle w:val="ARfintablebodyright"/>
              <w:spacing w:before="10" w:after="10" w:line="228" w:lineRule="auto"/>
              <w:ind w:right="0"/>
              <w:rPr>
                <w:sz w:val="16"/>
              </w:rPr>
            </w:pPr>
            <w:r w:rsidRPr="009A3ED9">
              <w:rPr>
                <w:sz w:val="16"/>
              </w:rPr>
              <w:t>120.5</w:t>
            </w:r>
          </w:p>
        </w:tc>
        <w:tc>
          <w:tcPr>
            <w:tcW w:w="851" w:type="dxa"/>
            <w:tcBorders>
              <w:top w:val="single" w:sz="4" w:space="0" w:color="A6A6A6"/>
              <w:bottom w:val="single" w:sz="4" w:space="0" w:color="A6A6A6"/>
            </w:tcBorders>
            <w:noWrap/>
          </w:tcPr>
          <w:p w14:paraId="4AB74B2A"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74CB5A34"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385075D3"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01C4FFF0"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7D9B5D52"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4C580967"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686D9380"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4EC08298"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4A5EED0A"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36B88115"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5F3CE469"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tcPr>
          <w:p w14:paraId="3E136B8F" w14:textId="77777777" w:rsidR="00CE75D4" w:rsidRPr="009A3ED9" w:rsidRDefault="00CE75D4" w:rsidP="008340C1">
            <w:pPr>
              <w:pStyle w:val="ARfintablebodyright"/>
              <w:spacing w:before="10" w:after="10" w:line="228" w:lineRule="auto"/>
              <w:ind w:right="0"/>
              <w:rPr>
                <w:sz w:val="16"/>
              </w:rPr>
            </w:pPr>
            <w:r w:rsidRPr="009A3ED9">
              <w:rPr>
                <w:sz w:val="16"/>
              </w:rPr>
              <w:t>–</w:t>
            </w:r>
          </w:p>
        </w:tc>
      </w:tr>
      <w:tr w:rsidR="00CE75D4" w:rsidRPr="00C0495C" w14:paraId="197AA0ED" w14:textId="77777777" w:rsidTr="008340C1">
        <w:trPr>
          <w:cantSplit w:val="0"/>
          <w:trHeight w:val="170"/>
        </w:trPr>
        <w:tc>
          <w:tcPr>
            <w:tcW w:w="3402" w:type="dxa"/>
            <w:tcBorders>
              <w:top w:val="single" w:sz="4" w:space="0" w:color="A6A6A6"/>
              <w:bottom w:val="single" w:sz="4" w:space="0" w:color="A6A6A6"/>
            </w:tcBorders>
            <w:hideMark/>
          </w:tcPr>
          <w:p w14:paraId="731C7F6F" w14:textId="77777777" w:rsidR="00CE75D4" w:rsidRPr="009A3ED9" w:rsidRDefault="00CE75D4" w:rsidP="008340C1">
            <w:pPr>
              <w:pStyle w:val="ARfintablebody"/>
              <w:spacing w:before="10" w:after="10" w:line="228" w:lineRule="auto"/>
              <w:rPr>
                <w:sz w:val="16"/>
              </w:rPr>
            </w:pPr>
            <w:r w:rsidRPr="009A3ED9">
              <w:rPr>
                <w:sz w:val="16"/>
              </w:rPr>
              <w:t>Other</w:t>
            </w:r>
          </w:p>
        </w:tc>
        <w:tc>
          <w:tcPr>
            <w:tcW w:w="851" w:type="dxa"/>
            <w:tcBorders>
              <w:top w:val="single" w:sz="4" w:space="0" w:color="A6A6A6"/>
              <w:bottom w:val="single" w:sz="4" w:space="0" w:color="A6A6A6"/>
            </w:tcBorders>
            <w:noWrap/>
            <w:hideMark/>
          </w:tcPr>
          <w:p w14:paraId="2751C1C8" w14:textId="77777777" w:rsidR="00CE75D4" w:rsidRPr="009A3ED9" w:rsidRDefault="00CE75D4" w:rsidP="008340C1">
            <w:pPr>
              <w:pStyle w:val="ARfintablebodyright"/>
              <w:spacing w:before="10" w:after="10" w:line="228" w:lineRule="auto"/>
              <w:ind w:right="0"/>
              <w:rPr>
                <w:sz w:val="16"/>
              </w:rPr>
            </w:pPr>
            <w:r w:rsidRPr="009A3ED9">
              <w:rPr>
                <w:sz w:val="16"/>
              </w:rPr>
              <w:t>8.</w:t>
            </w:r>
            <w:r>
              <w:rPr>
                <w:sz w:val="16"/>
              </w:rPr>
              <w:t>6</w:t>
            </w:r>
          </w:p>
        </w:tc>
        <w:tc>
          <w:tcPr>
            <w:tcW w:w="851" w:type="dxa"/>
            <w:tcBorders>
              <w:top w:val="single" w:sz="4" w:space="0" w:color="A6A6A6"/>
              <w:bottom w:val="single" w:sz="4" w:space="0" w:color="A6A6A6"/>
            </w:tcBorders>
            <w:noWrap/>
            <w:hideMark/>
          </w:tcPr>
          <w:p w14:paraId="0683E443" w14:textId="77777777" w:rsidR="00CE75D4" w:rsidRPr="009A3ED9" w:rsidRDefault="00CE75D4" w:rsidP="008340C1">
            <w:pPr>
              <w:pStyle w:val="ARfintablebodyright"/>
              <w:spacing w:before="10" w:after="10" w:line="228" w:lineRule="auto"/>
              <w:ind w:right="0"/>
              <w:rPr>
                <w:sz w:val="16"/>
              </w:rPr>
            </w:pPr>
            <w:r>
              <w:rPr>
                <w:sz w:val="16"/>
              </w:rPr>
              <w:t>–</w:t>
            </w:r>
          </w:p>
        </w:tc>
        <w:tc>
          <w:tcPr>
            <w:tcW w:w="851" w:type="dxa"/>
            <w:tcBorders>
              <w:top w:val="single" w:sz="4" w:space="0" w:color="A6A6A6"/>
              <w:bottom w:val="single" w:sz="4" w:space="0" w:color="A6A6A6"/>
            </w:tcBorders>
            <w:noWrap/>
            <w:hideMark/>
          </w:tcPr>
          <w:p w14:paraId="0CD88036" w14:textId="77777777" w:rsidR="00CE75D4" w:rsidRPr="009A3ED9" w:rsidRDefault="00CE75D4" w:rsidP="008340C1">
            <w:pPr>
              <w:pStyle w:val="ARfintablebodyright"/>
              <w:spacing w:before="10" w:after="10" w:line="228" w:lineRule="auto"/>
              <w:ind w:right="0"/>
              <w:rPr>
                <w:sz w:val="16"/>
              </w:rPr>
            </w:pPr>
            <w:r>
              <w:rPr>
                <w:sz w:val="16"/>
              </w:rPr>
              <w:t>–</w:t>
            </w:r>
          </w:p>
        </w:tc>
        <w:tc>
          <w:tcPr>
            <w:tcW w:w="851" w:type="dxa"/>
            <w:tcBorders>
              <w:top w:val="single" w:sz="4" w:space="0" w:color="A6A6A6"/>
              <w:bottom w:val="single" w:sz="4" w:space="0" w:color="A6A6A6"/>
            </w:tcBorders>
            <w:noWrap/>
            <w:hideMark/>
          </w:tcPr>
          <w:p w14:paraId="68BB4EFD"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74D222AA" w14:textId="77777777" w:rsidR="00CE75D4" w:rsidRPr="009A3ED9" w:rsidRDefault="00CE75D4" w:rsidP="008340C1">
            <w:pPr>
              <w:pStyle w:val="ARfintablebodyright"/>
              <w:spacing w:before="10" w:after="10" w:line="228" w:lineRule="auto"/>
              <w:ind w:right="0"/>
              <w:rPr>
                <w:sz w:val="16"/>
              </w:rPr>
            </w:pPr>
            <w:r>
              <w:rPr>
                <w:sz w:val="16"/>
              </w:rPr>
              <w:t>–</w:t>
            </w:r>
          </w:p>
        </w:tc>
        <w:tc>
          <w:tcPr>
            <w:tcW w:w="851" w:type="dxa"/>
            <w:tcBorders>
              <w:top w:val="single" w:sz="4" w:space="0" w:color="A6A6A6"/>
              <w:bottom w:val="single" w:sz="4" w:space="0" w:color="A6A6A6"/>
            </w:tcBorders>
            <w:noWrap/>
            <w:hideMark/>
          </w:tcPr>
          <w:p w14:paraId="3C88BD08" w14:textId="77777777" w:rsidR="00CE75D4" w:rsidRPr="009A3ED9" w:rsidRDefault="00CE75D4" w:rsidP="008340C1">
            <w:pPr>
              <w:pStyle w:val="ARfintablebodyright"/>
              <w:spacing w:before="10" w:after="10" w:line="228" w:lineRule="auto"/>
              <w:ind w:right="0"/>
              <w:rPr>
                <w:sz w:val="16"/>
              </w:rPr>
            </w:pPr>
            <w:r>
              <w:rPr>
                <w:sz w:val="16"/>
              </w:rPr>
              <w:t>–</w:t>
            </w:r>
          </w:p>
        </w:tc>
        <w:tc>
          <w:tcPr>
            <w:tcW w:w="851" w:type="dxa"/>
            <w:tcBorders>
              <w:top w:val="single" w:sz="4" w:space="0" w:color="A6A6A6"/>
              <w:bottom w:val="single" w:sz="4" w:space="0" w:color="A6A6A6"/>
            </w:tcBorders>
            <w:noWrap/>
            <w:hideMark/>
          </w:tcPr>
          <w:p w14:paraId="64C8BDB0" w14:textId="77777777" w:rsidR="00CE75D4" w:rsidRPr="009A3ED9" w:rsidRDefault="00CE75D4" w:rsidP="008340C1">
            <w:pPr>
              <w:pStyle w:val="ARfintablebodyright"/>
              <w:spacing w:before="10" w:after="10" w:line="228" w:lineRule="auto"/>
              <w:ind w:right="0"/>
              <w:rPr>
                <w:sz w:val="16"/>
              </w:rPr>
            </w:pPr>
            <w:r>
              <w:rPr>
                <w:sz w:val="16"/>
              </w:rPr>
              <w:t>–</w:t>
            </w:r>
          </w:p>
        </w:tc>
        <w:tc>
          <w:tcPr>
            <w:tcW w:w="851" w:type="dxa"/>
            <w:tcBorders>
              <w:top w:val="single" w:sz="4" w:space="0" w:color="A6A6A6"/>
              <w:bottom w:val="single" w:sz="4" w:space="0" w:color="A6A6A6"/>
            </w:tcBorders>
            <w:noWrap/>
            <w:hideMark/>
          </w:tcPr>
          <w:p w14:paraId="0421E45B" w14:textId="77777777" w:rsidR="00CE75D4" w:rsidRPr="009A3ED9" w:rsidRDefault="00CE75D4" w:rsidP="008340C1">
            <w:pPr>
              <w:pStyle w:val="ARfintablebodyright"/>
              <w:spacing w:before="10" w:after="10" w:line="228" w:lineRule="auto"/>
              <w:ind w:right="0"/>
              <w:rPr>
                <w:sz w:val="16"/>
              </w:rPr>
            </w:pPr>
            <w:r>
              <w:rPr>
                <w:sz w:val="16"/>
              </w:rPr>
              <w:t>–</w:t>
            </w:r>
          </w:p>
        </w:tc>
        <w:tc>
          <w:tcPr>
            <w:tcW w:w="851" w:type="dxa"/>
            <w:tcBorders>
              <w:top w:val="single" w:sz="4" w:space="0" w:color="A6A6A6"/>
              <w:bottom w:val="single" w:sz="4" w:space="0" w:color="A6A6A6"/>
            </w:tcBorders>
            <w:noWrap/>
            <w:hideMark/>
          </w:tcPr>
          <w:p w14:paraId="23421B40" w14:textId="77777777" w:rsidR="00CE75D4" w:rsidRPr="009A3ED9" w:rsidRDefault="00CE75D4" w:rsidP="008340C1">
            <w:pPr>
              <w:pStyle w:val="ARfintablebodyright"/>
              <w:spacing w:before="10" w:after="10" w:line="228" w:lineRule="auto"/>
              <w:ind w:right="0"/>
              <w:rPr>
                <w:sz w:val="16"/>
              </w:rPr>
            </w:pPr>
            <w:r>
              <w:rPr>
                <w:sz w:val="16"/>
              </w:rPr>
              <w:t>–</w:t>
            </w:r>
          </w:p>
        </w:tc>
        <w:tc>
          <w:tcPr>
            <w:tcW w:w="851" w:type="dxa"/>
            <w:tcBorders>
              <w:top w:val="single" w:sz="4" w:space="0" w:color="A6A6A6"/>
              <w:bottom w:val="single" w:sz="4" w:space="0" w:color="A6A6A6"/>
            </w:tcBorders>
            <w:noWrap/>
            <w:hideMark/>
          </w:tcPr>
          <w:p w14:paraId="3A1C35D3"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6749B5BE" w14:textId="77777777" w:rsidR="00CE75D4" w:rsidRPr="009A3ED9" w:rsidRDefault="00CE75D4" w:rsidP="008340C1">
            <w:pPr>
              <w:pStyle w:val="ARfintablebodyright"/>
              <w:spacing w:before="10" w:after="10" w:line="228" w:lineRule="auto"/>
              <w:ind w:right="0"/>
              <w:rPr>
                <w:sz w:val="16"/>
              </w:rPr>
            </w:pPr>
            <w:r>
              <w:rPr>
                <w:sz w:val="16"/>
              </w:rPr>
              <w:t>–</w:t>
            </w:r>
          </w:p>
        </w:tc>
        <w:tc>
          <w:tcPr>
            <w:tcW w:w="851" w:type="dxa"/>
            <w:tcBorders>
              <w:top w:val="single" w:sz="4" w:space="0" w:color="A6A6A6"/>
              <w:bottom w:val="single" w:sz="4" w:space="0" w:color="A6A6A6"/>
            </w:tcBorders>
            <w:noWrap/>
            <w:hideMark/>
          </w:tcPr>
          <w:p w14:paraId="11CE2EEA" w14:textId="77777777" w:rsidR="00CE75D4" w:rsidRPr="009A3ED9" w:rsidRDefault="00CE75D4" w:rsidP="008340C1">
            <w:pPr>
              <w:pStyle w:val="ARfintablebodyright"/>
              <w:spacing w:before="10" w:after="10" w:line="228" w:lineRule="auto"/>
              <w:ind w:right="0"/>
              <w:rPr>
                <w:sz w:val="16"/>
              </w:rPr>
            </w:pPr>
            <w:r>
              <w:rPr>
                <w:sz w:val="16"/>
              </w:rPr>
              <w:t>–</w:t>
            </w:r>
          </w:p>
        </w:tc>
        <w:tc>
          <w:tcPr>
            <w:tcW w:w="851" w:type="dxa"/>
            <w:tcBorders>
              <w:top w:val="single" w:sz="4" w:space="0" w:color="A6A6A6"/>
              <w:bottom w:val="single" w:sz="4" w:space="0" w:color="A6A6A6"/>
            </w:tcBorders>
            <w:noWrap/>
            <w:hideMark/>
          </w:tcPr>
          <w:p w14:paraId="2DEA8846" w14:textId="77777777" w:rsidR="00CE75D4" w:rsidRPr="009A3ED9" w:rsidRDefault="00CE75D4" w:rsidP="008340C1">
            <w:pPr>
              <w:pStyle w:val="ARfintablebodyright"/>
              <w:spacing w:before="10" w:after="10" w:line="228" w:lineRule="auto"/>
              <w:ind w:right="0"/>
              <w:rPr>
                <w:sz w:val="16"/>
              </w:rPr>
            </w:pPr>
            <w:r w:rsidRPr="009A3ED9">
              <w:rPr>
                <w:sz w:val="16"/>
              </w:rPr>
              <w:t>0.1</w:t>
            </w:r>
          </w:p>
        </w:tc>
      </w:tr>
      <w:tr w:rsidR="00CE75D4" w:rsidRPr="00C0495C" w14:paraId="2089F73B" w14:textId="77777777" w:rsidTr="008340C1">
        <w:trPr>
          <w:cantSplit w:val="0"/>
          <w:trHeight w:val="170"/>
        </w:trPr>
        <w:tc>
          <w:tcPr>
            <w:tcW w:w="3402" w:type="dxa"/>
            <w:tcBorders>
              <w:top w:val="single" w:sz="4" w:space="0" w:color="A6A6A6"/>
            </w:tcBorders>
            <w:hideMark/>
          </w:tcPr>
          <w:p w14:paraId="107C601E" w14:textId="77777777" w:rsidR="00CE75D4" w:rsidRPr="009A3ED9" w:rsidRDefault="00CE75D4" w:rsidP="008340C1">
            <w:pPr>
              <w:pStyle w:val="ARfintablebody"/>
              <w:spacing w:before="10" w:after="10" w:line="228" w:lineRule="auto"/>
              <w:rPr>
                <w:sz w:val="16"/>
              </w:rPr>
            </w:pPr>
            <w:r w:rsidRPr="009A3ED9">
              <w:rPr>
                <w:sz w:val="16"/>
              </w:rPr>
              <w:t>Fair value of assets and services received free of charge or for nominal consideration</w:t>
            </w:r>
          </w:p>
        </w:tc>
        <w:tc>
          <w:tcPr>
            <w:tcW w:w="851" w:type="dxa"/>
            <w:tcBorders>
              <w:top w:val="single" w:sz="4" w:space="0" w:color="A6A6A6"/>
            </w:tcBorders>
            <w:noWrap/>
            <w:hideMark/>
          </w:tcPr>
          <w:p w14:paraId="0E802556"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6524FDD3"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572A8096"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1493DAC7"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073CC76F"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41BB9736"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54A4BAB3"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4E9B34D3"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33466DA7"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2FE961D5"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275AEAC4"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65ED387E"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589D2B10" w14:textId="77777777" w:rsidR="00CE75D4" w:rsidRPr="009A3ED9" w:rsidRDefault="00CE75D4" w:rsidP="008340C1">
            <w:pPr>
              <w:pStyle w:val="ARfintablebodyright"/>
              <w:spacing w:before="10" w:after="10" w:line="228" w:lineRule="auto"/>
              <w:ind w:right="0"/>
              <w:rPr>
                <w:sz w:val="16"/>
              </w:rPr>
            </w:pPr>
            <w:r w:rsidRPr="009A3ED9">
              <w:rPr>
                <w:sz w:val="16"/>
              </w:rPr>
              <w:t>–</w:t>
            </w:r>
          </w:p>
        </w:tc>
      </w:tr>
      <w:tr w:rsidR="00CE75D4" w:rsidRPr="00C0495C" w14:paraId="72E2F9F1" w14:textId="77777777" w:rsidTr="008340C1">
        <w:trPr>
          <w:cantSplit w:val="0"/>
          <w:trHeight w:val="170"/>
        </w:trPr>
        <w:tc>
          <w:tcPr>
            <w:tcW w:w="3402" w:type="dxa"/>
            <w:tcBorders>
              <w:bottom w:val="single" w:sz="4" w:space="0" w:color="auto"/>
            </w:tcBorders>
            <w:hideMark/>
          </w:tcPr>
          <w:p w14:paraId="67DE53EB" w14:textId="77777777" w:rsidR="00CE75D4" w:rsidRPr="009A3ED9" w:rsidRDefault="00CE75D4" w:rsidP="008340C1">
            <w:pPr>
              <w:pStyle w:val="ARfintablebodybold"/>
              <w:spacing w:before="10" w:after="10" w:line="228" w:lineRule="auto"/>
              <w:rPr>
                <w:rFonts w:cs="Arial"/>
                <w:sz w:val="16"/>
              </w:rPr>
            </w:pPr>
            <w:r w:rsidRPr="009A3ED9">
              <w:rPr>
                <w:rFonts w:cs="Arial"/>
                <w:sz w:val="16"/>
              </w:rPr>
              <w:t>Total administered revenue and income from transactions</w:t>
            </w:r>
          </w:p>
        </w:tc>
        <w:tc>
          <w:tcPr>
            <w:tcW w:w="851" w:type="dxa"/>
            <w:tcBorders>
              <w:bottom w:val="single" w:sz="4" w:space="0" w:color="auto"/>
            </w:tcBorders>
            <w:noWrap/>
            <w:hideMark/>
          </w:tcPr>
          <w:p w14:paraId="57465522" w14:textId="77777777" w:rsidR="00CE75D4" w:rsidRPr="009A3ED9" w:rsidRDefault="00CE75D4" w:rsidP="008340C1">
            <w:pPr>
              <w:pStyle w:val="ARfintablebodyrightbold"/>
              <w:spacing w:before="10" w:after="10" w:line="228" w:lineRule="auto"/>
              <w:ind w:right="0"/>
              <w:rPr>
                <w:sz w:val="16"/>
              </w:rPr>
            </w:pPr>
            <w:r w:rsidRPr="009A3ED9">
              <w:rPr>
                <w:sz w:val="16"/>
              </w:rPr>
              <w:t>12,611.</w:t>
            </w:r>
            <w:r>
              <w:rPr>
                <w:sz w:val="16"/>
              </w:rPr>
              <w:t>2</w:t>
            </w:r>
          </w:p>
        </w:tc>
        <w:tc>
          <w:tcPr>
            <w:tcW w:w="851" w:type="dxa"/>
            <w:tcBorders>
              <w:bottom w:val="single" w:sz="4" w:space="0" w:color="auto"/>
            </w:tcBorders>
            <w:noWrap/>
            <w:hideMark/>
          </w:tcPr>
          <w:p w14:paraId="403CCF5F" w14:textId="77777777" w:rsidR="00CE75D4" w:rsidRPr="009A3ED9" w:rsidRDefault="00CE75D4" w:rsidP="008340C1">
            <w:pPr>
              <w:pStyle w:val="ARfintablebodyrightbold"/>
              <w:spacing w:before="10" w:after="10" w:line="228" w:lineRule="auto"/>
              <w:ind w:right="0"/>
              <w:rPr>
                <w:sz w:val="16"/>
              </w:rPr>
            </w:pPr>
            <w:r w:rsidRPr="009A3ED9">
              <w:rPr>
                <w:sz w:val="16"/>
              </w:rPr>
              <w:t>1,029.1</w:t>
            </w:r>
          </w:p>
        </w:tc>
        <w:tc>
          <w:tcPr>
            <w:tcW w:w="851" w:type="dxa"/>
            <w:tcBorders>
              <w:bottom w:val="single" w:sz="4" w:space="0" w:color="auto"/>
            </w:tcBorders>
            <w:noWrap/>
            <w:hideMark/>
          </w:tcPr>
          <w:p w14:paraId="77EC3711" w14:textId="77777777" w:rsidR="00CE75D4" w:rsidRPr="009A3ED9" w:rsidRDefault="00CE75D4" w:rsidP="008340C1">
            <w:pPr>
              <w:pStyle w:val="ARfintablebodyrightbold"/>
              <w:spacing w:before="10" w:after="10" w:line="228" w:lineRule="auto"/>
              <w:ind w:right="0"/>
              <w:rPr>
                <w:sz w:val="16"/>
              </w:rPr>
            </w:pPr>
            <w:r w:rsidRPr="009A3ED9">
              <w:rPr>
                <w:sz w:val="16"/>
              </w:rPr>
              <w:t>875.7</w:t>
            </w:r>
          </w:p>
        </w:tc>
        <w:tc>
          <w:tcPr>
            <w:tcW w:w="851" w:type="dxa"/>
            <w:tcBorders>
              <w:bottom w:val="single" w:sz="4" w:space="0" w:color="auto"/>
            </w:tcBorders>
            <w:noWrap/>
            <w:hideMark/>
          </w:tcPr>
          <w:p w14:paraId="3C0972EC" w14:textId="77777777" w:rsidR="00CE75D4" w:rsidRPr="009A3ED9" w:rsidRDefault="00CE75D4" w:rsidP="008340C1">
            <w:pPr>
              <w:pStyle w:val="ARfintablebodyrightbold"/>
              <w:spacing w:before="10" w:after="10" w:line="228" w:lineRule="auto"/>
              <w:ind w:right="0"/>
              <w:rPr>
                <w:sz w:val="16"/>
              </w:rPr>
            </w:pPr>
            <w:r w:rsidRPr="009A3ED9">
              <w:rPr>
                <w:sz w:val="16"/>
              </w:rPr>
              <w:t>109.9</w:t>
            </w:r>
          </w:p>
        </w:tc>
        <w:tc>
          <w:tcPr>
            <w:tcW w:w="851" w:type="dxa"/>
            <w:tcBorders>
              <w:bottom w:val="single" w:sz="4" w:space="0" w:color="auto"/>
            </w:tcBorders>
            <w:noWrap/>
            <w:hideMark/>
          </w:tcPr>
          <w:p w14:paraId="518AA937" w14:textId="77777777" w:rsidR="00CE75D4" w:rsidRPr="009A3ED9" w:rsidRDefault="00CE75D4" w:rsidP="008340C1">
            <w:pPr>
              <w:pStyle w:val="ARfintablebodyrightbold"/>
              <w:spacing w:before="10" w:after="10" w:line="228" w:lineRule="auto"/>
              <w:ind w:right="0"/>
              <w:rPr>
                <w:sz w:val="16"/>
              </w:rPr>
            </w:pPr>
            <w:r>
              <w:rPr>
                <w:sz w:val="16"/>
              </w:rPr>
              <w:t>–</w:t>
            </w:r>
          </w:p>
        </w:tc>
        <w:tc>
          <w:tcPr>
            <w:tcW w:w="851" w:type="dxa"/>
            <w:tcBorders>
              <w:bottom w:val="single" w:sz="4" w:space="0" w:color="auto"/>
            </w:tcBorders>
            <w:noWrap/>
            <w:hideMark/>
          </w:tcPr>
          <w:p w14:paraId="4F8A88E2" w14:textId="77777777" w:rsidR="00CE75D4" w:rsidRPr="009A3ED9" w:rsidRDefault="00CE75D4" w:rsidP="008340C1">
            <w:pPr>
              <w:pStyle w:val="ARfintablebodyrightbold"/>
              <w:spacing w:before="10" w:after="10" w:line="228" w:lineRule="auto"/>
              <w:ind w:right="0"/>
              <w:rPr>
                <w:sz w:val="16"/>
              </w:rPr>
            </w:pPr>
            <w:r w:rsidRPr="009A3ED9">
              <w:rPr>
                <w:sz w:val="16"/>
              </w:rPr>
              <w:t>32.4</w:t>
            </w:r>
          </w:p>
        </w:tc>
        <w:tc>
          <w:tcPr>
            <w:tcW w:w="851" w:type="dxa"/>
            <w:tcBorders>
              <w:bottom w:val="single" w:sz="4" w:space="0" w:color="auto"/>
            </w:tcBorders>
            <w:noWrap/>
            <w:hideMark/>
          </w:tcPr>
          <w:p w14:paraId="10B22125" w14:textId="77777777" w:rsidR="00CE75D4" w:rsidRPr="009A3ED9" w:rsidRDefault="00CE75D4" w:rsidP="008340C1">
            <w:pPr>
              <w:pStyle w:val="ARfintablebodyrightbold"/>
              <w:spacing w:before="10" w:after="10" w:line="228" w:lineRule="auto"/>
              <w:ind w:right="0"/>
              <w:rPr>
                <w:sz w:val="16"/>
              </w:rPr>
            </w:pPr>
            <w:r>
              <w:rPr>
                <w:sz w:val="16"/>
              </w:rPr>
              <w:t>–</w:t>
            </w:r>
          </w:p>
        </w:tc>
        <w:tc>
          <w:tcPr>
            <w:tcW w:w="851" w:type="dxa"/>
            <w:tcBorders>
              <w:bottom w:val="single" w:sz="4" w:space="0" w:color="auto"/>
            </w:tcBorders>
            <w:noWrap/>
            <w:hideMark/>
          </w:tcPr>
          <w:p w14:paraId="1CAE3028" w14:textId="77777777" w:rsidR="00CE75D4" w:rsidRPr="009A3ED9" w:rsidRDefault="00CE75D4" w:rsidP="008340C1">
            <w:pPr>
              <w:pStyle w:val="ARfintablebodyrightbold"/>
              <w:spacing w:before="10" w:after="10" w:line="228" w:lineRule="auto"/>
              <w:ind w:right="0"/>
              <w:rPr>
                <w:sz w:val="16"/>
              </w:rPr>
            </w:pPr>
            <w:r w:rsidRPr="009A3ED9">
              <w:rPr>
                <w:sz w:val="16"/>
              </w:rPr>
              <w:t>36.0</w:t>
            </w:r>
          </w:p>
        </w:tc>
        <w:tc>
          <w:tcPr>
            <w:tcW w:w="851" w:type="dxa"/>
            <w:tcBorders>
              <w:bottom w:val="single" w:sz="4" w:space="0" w:color="auto"/>
            </w:tcBorders>
            <w:noWrap/>
            <w:hideMark/>
          </w:tcPr>
          <w:p w14:paraId="617A2C58" w14:textId="77777777" w:rsidR="00CE75D4" w:rsidRPr="009A3ED9" w:rsidRDefault="00CE75D4" w:rsidP="008340C1">
            <w:pPr>
              <w:pStyle w:val="ARfintablebodyrightbold"/>
              <w:spacing w:before="10" w:after="10" w:line="228" w:lineRule="auto"/>
              <w:ind w:right="0"/>
              <w:rPr>
                <w:sz w:val="16"/>
              </w:rPr>
            </w:pPr>
            <w:r>
              <w:rPr>
                <w:sz w:val="16"/>
              </w:rPr>
              <w:t>–</w:t>
            </w:r>
          </w:p>
        </w:tc>
        <w:tc>
          <w:tcPr>
            <w:tcW w:w="851" w:type="dxa"/>
            <w:tcBorders>
              <w:bottom w:val="single" w:sz="4" w:space="0" w:color="auto"/>
            </w:tcBorders>
            <w:noWrap/>
            <w:hideMark/>
          </w:tcPr>
          <w:p w14:paraId="2704268E" w14:textId="77777777" w:rsidR="00CE75D4" w:rsidRPr="009A3ED9" w:rsidRDefault="00CE75D4" w:rsidP="008340C1">
            <w:pPr>
              <w:pStyle w:val="ARfintablebodyrightbold"/>
              <w:spacing w:before="10" w:after="10" w:line="228" w:lineRule="auto"/>
              <w:ind w:right="0"/>
              <w:rPr>
                <w:sz w:val="16"/>
              </w:rPr>
            </w:pPr>
            <w:r>
              <w:rPr>
                <w:sz w:val="16"/>
              </w:rPr>
              <w:t>–</w:t>
            </w:r>
          </w:p>
        </w:tc>
        <w:tc>
          <w:tcPr>
            <w:tcW w:w="851" w:type="dxa"/>
            <w:tcBorders>
              <w:bottom w:val="single" w:sz="4" w:space="0" w:color="auto"/>
            </w:tcBorders>
            <w:noWrap/>
            <w:hideMark/>
          </w:tcPr>
          <w:p w14:paraId="6547CF5B" w14:textId="77777777" w:rsidR="00CE75D4" w:rsidRPr="009A3ED9" w:rsidRDefault="00CE75D4" w:rsidP="008340C1">
            <w:pPr>
              <w:pStyle w:val="ARfintablebodyrightbold"/>
              <w:spacing w:before="10" w:after="10" w:line="228" w:lineRule="auto"/>
              <w:ind w:right="0"/>
              <w:rPr>
                <w:sz w:val="16"/>
              </w:rPr>
            </w:pPr>
            <w:r w:rsidRPr="009A3ED9">
              <w:rPr>
                <w:sz w:val="16"/>
              </w:rPr>
              <w:t>1.0</w:t>
            </w:r>
          </w:p>
        </w:tc>
        <w:tc>
          <w:tcPr>
            <w:tcW w:w="851" w:type="dxa"/>
            <w:tcBorders>
              <w:bottom w:val="single" w:sz="4" w:space="0" w:color="auto"/>
            </w:tcBorders>
            <w:noWrap/>
            <w:hideMark/>
          </w:tcPr>
          <w:p w14:paraId="0EEAB1A0" w14:textId="77777777" w:rsidR="00CE75D4" w:rsidRPr="009A3ED9" w:rsidRDefault="00CE75D4" w:rsidP="008340C1">
            <w:pPr>
              <w:pStyle w:val="ARfintablebodyrightbold"/>
              <w:spacing w:before="10" w:after="10" w:line="228" w:lineRule="auto"/>
              <w:ind w:right="0"/>
              <w:rPr>
                <w:sz w:val="16"/>
              </w:rPr>
            </w:pPr>
            <w:r w:rsidRPr="009A3ED9">
              <w:rPr>
                <w:sz w:val="16"/>
              </w:rPr>
              <w:t>14.8</w:t>
            </w:r>
          </w:p>
        </w:tc>
        <w:tc>
          <w:tcPr>
            <w:tcW w:w="851" w:type="dxa"/>
            <w:tcBorders>
              <w:bottom w:val="single" w:sz="4" w:space="0" w:color="auto"/>
            </w:tcBorders>
            <w:noWrap/>
            <w:hideMark/>
          </w:tcPr>
          <w:p w14:paraId="5CACF940" w14:textId="77777777" w:rsidR="00CE75D4" w:rsidRPr="009A3ED9" w:rsidRDefault="00CE75D4" w:rsidP="008340C1">
            <w:pPr>
              <w:pStyle w:val="ARfintablebodyrightbold"/>
              <w:spacing w:before="10" w:after="10" w:line="228" w:lineRule="auto"/>
              <w:ind w:right="0"/>
              <w:rPr>
                <w:sz w:val="16"/>
              </w:rPr>
            </w:pPr>
            <w:r w:rsidRPr="009A3ED9">
              <w:rPr>
                <w:sz w:val="16"/>
              </w:rPr>
              <w:t>1,000.2</w:t>
            </w:r>
          </w:p>
        </w:tc>
      </w:tr>
      <w:tr w:rsidR="00CE75D4" w:rsidRPr="00C0495C" w14:paraId="52E6CD08" w14:textId="77777777" w:rsidTr="008340C1">
        <w:trPr>
          <w:cantSplit w:val="0"/>
          <w:trHeight w:val="170"/>
        </w:trPr>
        <w:tc>
          <w:tcPr>
            <w:tcW w:w="3402" w:type="dxa"/>
            <w:gridSpan w:val="14"/>
            <w:tcBorders>
              <w:top w:val="single" w:sz="4" w:space="0" w:color="A6A6A6"/>
              <w:bottom w:val="single" w:sz="4" w:space="0" w:color="A6A6A6"/>
            </w:tcBorders>
          </w:tcPr>
          <w:p w14:paraId="089B8FC2" w14:textId="77777777" w:rsidR="00CE75D4" w:rsidRPr="009A3ED9" w:rsidRDefault="00CE75D4" w:rsidP="008340C1">
            <w:pPr>
              <w:pStyle w:val="ARfintablebodybold"/>
              <w:spacing w:before="10" w:after="10" w:line="228" w:lineRule="auto"/>
              <w:rPr>
                <w:rFonts w:cs="Arial"/>
                <w:sz w:val="16"/>
              </w:rPr>
            </w:pPr>
            <w:r w:rsidRPr="009A3ED9">
              <w:rPr>
                <w:rFonts w:cs="Arial"/>
                <w:sz w:val="16"/>
              </w:rPr>
              <w:t>Administered expenses from transactions</w:t>
            </w:r>
          </w:p>
        </w:tc>
      </w:tr>
      <w:tr w:rsidR="00CE75D4" w:rsidRPr="00C0495C" w14:paraId="3FF7F19B" w14:textId="77777777" w:rsidTr="008340C1">
        <w:trPr>
          <w:cantSplit w:val="0"/>
          <w:trHeight w:val="170"/>
        </w:trPr>
        <w:tc>
          <w:tcPr>
            <w:tcW w:w="3402" w:type="dxa"/>
            <w:tcBorders>
              <w:top w:val="single" w:sz="4" w:space="0" w:color="A6A6A6"/>
              <w:bottom w:val="single" w:sz="4" w:space="0" w:color="A6A6A6"/>
            </w:tcBorders>
            <w:hideMark/>
          </w:tcPr>
          <w:p w14:paraId="7B5497A6" w14:textId="77777777" w:rsidR="00CE75D4" w:rsidRPr="009A3ED9" w:rsidRDefault="00CE75D4" w:rsidP="008340C1">
            <w:pPr>
              <w:pStyle w:val="ARfintablebody"/>
              <w:spacing w:before="10" w:after="10" w:line="228" w:lineRule="auto"/>
              <w:rPr>
                <w:sz w:val="16"/>
              </w:rPr>
            </w:pPr>
            <w:r w:rsidRPr="009A3ED9">
              <w:rPr>
                <w:sz w:val="16"/>
              </w:rPr>
              <w:t>Grants and other expense transfers</w:t>
            </w:r>
          </w:p>
        </w:tc>
        <w:tc>
          <w:tcPr>
            <w:tcW w:w="851" w:type="dxa"/>
            <w:tcBorders>
              <w:top w:val="single" w:sz="4" w:space="0" w:color="A6A6A6"/>
              <w:bottom w:val="single" w:sz="4" w:space="0" w:color="A6A6A6"/>
            </w:tcBorders>
            <w:noWrap/>
            <w:hideMark/>
          </w:tcPr>
          <w:p w14:paraId="774AC326" w14:textId="77777777" w:rsidR="00CE75D4" w:rsidRPr="009A3ED9" w:rsidRDefault="00CE75D4" w:rsidP="008340C1">
            <w:pPr>
              <w:pStyle w:val="ARfintablebodyright"/>
              <w:spacing w:before="10" w:after="10" w:line="228" w:lineRule="auto"/>
              <w:ind w:right="0"/>
              <w:rPr>
                <w:sz w:val="16"/>
              </w:rPr>
            </w:pPr>
            <w:r w:rsidRPr="009A3ED9">
              <w:rPr>
                <w:sz w:val="16"/>
              </w:rPr>
              <w:t>9,622.6</w:t>
            </w:r>
          </w:p>
        </w:tc>
        <w:tc>
          <w:tcPr>
            <w:tcW w:w="851" w:type="dxa"/>
            <w:tcBorders>
              <w:top w:val="single" w:sz="4" w:space="0" w:color="A6A6A6"/>
              <w:bottom w:val="single" w:sz="4" w:space="0" w:color="A6A6A6"/>
            </w:tcBorders>
            <w:noWrap/>
            <w:hideMark/>
          </w:tcPr>
          <w:p w14:paraId="0A2D6EC9" w14:textId="77777777" w:rsidR="00CE75D4" w:rsidRPr="009A3ED9" w:rsidRDefault="00CE75D4" w:rsidP="008340C1">
            <w:pPr>
              <w:pStyle w:val="ARfintablebodyright"/>
              <w:spacing w:before="10" w:after="10" w:line="228" w:lineRule="auto"/>
              <w:ind w:right="0"/>
              <w:rPr>
                <w:sz w:val="16"/>
              </w:rPr>
            </w:pPr>
            <w:r w:rsidRPr="009A3ED9">
              <w:rPr>
                <w:sz w:val="16"/>
              </w:rPr>
              <w:t>935.0</w:t>
            </w:r>
          </w:p>
        </w:tc>
        <w:tc>
          <w:tcPr>
            <w:tcW w:w="851" w:type="dxa"/>
            <w:tcBorders>
              <w:top w:val="single" w:sz="4" w:space="0" w:color="A6A6A6"/>
              <w:bottom w:val="single" w:sz="4" w:space="0" w:color="A6A6A6"/>
            </w:tcBorders>
            <w:noWrap/>
            <w:hideMark/>
          </w:tcPr>
          <w:p w14:paraId="0BFFD0BE" w14:textId="77777777" w:rsidR="00CE75D4" w:rsidRPr="009A3ED9" w:rsidRDefault="00CE75D4" w:rsidP="008340C1">
            <w:pPr>
              <w:pStyle w:val="ARfintablebodyright"/>
              <w:spacing w:before="10" w:after="10" w:line="228" w:lineRule="auto"/>
              <w:ind w:right="0"/>
              <w:rPr>
                <w:sz w:val="16"/>
              </w:rPr>
            </w:pPr>
            <w:r w:rsidRPr="009A3ED9">
              <w:rPr>
                <w:sz w:val="16"/>
              </w:rPr>
              <w:t>828.6</w:t>
            </w:r>
          </w:p>
        </w:tc>
        <w:tc>
          <w:tcPr>
            <w:tcW w:w="851" w:type="dxa"/>
            <w:tcBorders>
              <w:top w:val="single" w:sz="4" w:space="0" w:color="A6A6A6"/>
              <w:bottom w:val="single" w:sz="4" w:space="0" w:color="A6A6A6"/>
            </w:tcBorders>
            <w:noWrap/>
            <w:hideMark/>
          </w:tcPr>
          <w:p w14:paraId="6FF7B395"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0CB13B91"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0646D477"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665181D7"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5FEF002D"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6EE6ADD7"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22A7F5BC"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208B050A"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104D1F03"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79AB696A" w14:textId="77777777" w:rsidR="00CE75D4" w:rsidRPr="009A3ED9" w:rsidRDefault="00CE75D4" w:rsidP="008340C1">
            <w:pPr>
              <w:pStyle w:val="ARfintablebodyright"/>
              <w:spacing w:before="10" w:after="10" w:line="228" w:lineRule="auto"/>
              <w:ind w:right="0"/>
              <w:rPr>
                <w:sz w:val="16"/>
              </w:rPr>
            </w:pPr>
            <w:r w:rsidRPr="009A3ED9">
              <w:rPr>
                <w:sz w:val="16"/>
              </w:rPr>
              <w:t>495.2</w:t>
            </w:r>
          </w:p>
        </w:tc>
      </w:tr>
      <w:tr w:rsidR="00CE75D4" w:rsidRPr="00C0495C" w14:paraId="52D65D30" w14:textId="77777777" w:rsidTr="008340C1">
        <w:trPr>
          <w:cantSplit w:val="0"/>
          <w:trHeight w:val="170"/>
        </w:trPr>
        <w:tc>
          <w:tcPr>
            <w:tcW w:w="3402" w:type="dxa"/>
            <w:tcBorders>
              <w:top w:val="single" w:sz="4" w:space="0" w:color="A6A6A6"/>
              <w:bottom w:val="single" w:sz="4" w:space="0" w:color="A6A6A6"/>
            </w:tcBorders>
            <w:hideMark/>
          </w:tcPr>
          <w:p w14:paraId="25FCA8F1" w14:textId="77777777" w:rsidR="00CE75D4" w:rsidRPr="009A3ED9" w:rsidRDefault="00CE75D4" w:rsidP="008340C1">
            <w:pPr>
              <w:pStyle w:val="ARfintablebody"/>
              <w:spacing w:before="10" w:after="10" w:line="228" w:lineRule="auto"/>
              <w:rPr>
                <w:sz w:val="16"/>
              </w:rPr>
            </w:pPr>
            <w:r w:rsidRPr="009A3ED9">
              <w:rPr>
                <w:sz w:val="16"/>
              </w:rPr>
              <w:t>Employee benefits</w:t>
            </w:r>
          </w:p>
        </w:tc>
        <w:tc>
          <w:tcPr>
            <w:tcW w:w="851" w:type="dxa"/>
            <w:tcBorders>
              <w:top w:val="single" w:sz="4" w:space="0" w:color="A6A6A6"/>
              <w:bottom w:val="single" w:sz="4" w:space="0" w:color="A6A6A6"/>
            </w:tcBorders>
            <w:noWrap/>
            <w:hideMark/>
          </w:tcPr>
          <w:p w14:paraId="68E9F306"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721D2656"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6354A66E"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4181A719"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25F43B75"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2599B506"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14C25F87"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7FD7884B"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0A94A5AD"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03A49E11"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5D5098D6"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78043F74"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56032CB1" w14:textId="77777777" w:rsidR="00CE75D4" w:rsidRPr="009A3ED9" w:rsidRDefault="00CE75D4" w:rsidP="008340C1">
            <w:pPr>
              <w:pStyle w:val="ARfintablebodyright"/>
              <w:spacing w:before="10" w:after="10" w:line="228" w:lineRule="auto"/>
              <w:ind w:right="0"/>
              <w:rPr>
                <w:sz w:val="16"/>
              </w:rPr>
            </w:pPr>
            <w:r w:rsidRPr="009A3ED9">
              <w:rPr>
                <w:sz w:val="16"/>
              </w:rPr>
              <w:t>–</w:t>
            </w:r>
          </w:p>
        </w:tc>
      </w:tr>
      <w:tr w:rsidR="00CE75D4" w:rsidRPr="00C0495C" w14:paraId="7BC4E928" w14:textId="77777777" w:rsidTr="008340C1">
        <w:trPr>
          <w:cantSplit w:val="0"/>
          <w:trHeight w:val="170"/>
        </w:trPr>
        <w:tc>
          <w:tcPr>
            <w:tcW w:w="3402" w:type="dxa"/>
            <w:tcBorders>
              <w:top w:val="single" w:sz="4" w:space="0" w:color="A6A6A6"/>
              <w:bottom w:val="single" w:sz="4" w:space="0" w:color="A6A6A6"/>
            </w:tcBorders>
            <w:hideMark/>
          </w:tcPr>
          <w:p w14:paraId="04C1E0F1" w14:textId="77777777" w:rsidR="00CE75D4" w:rsidRPr="009A3ED9" w:rsidRDefault="00CE75D4" w:rsidP="008340C1">
            <w:pPr>
              <w:pStyle w:val="ARfintablebody"/>
              <w:spacing w:before="10" w:after="10" w:line="228" w:lineRule="auto"/>
              <w:rPr>
                <w:sz w:val="16"/>
              </w:rPr>
            </w:pPr>
            <w:r w:rsidRPr="009A3ED9">
              <w:rPr>
                <w:sz w:val="16"/>
              </w:rPr>
              <w:t>Other operating expenses</w:t>
            </w:r>
          </w:p>
        </w:tc>
        <w:tc>
          <w:tcPr>
            <w:tcW w:w="851" w:type="dxa"/>
            <w:tcBorders>
              <w:top w:val="single" w:sz="4" w:space="0" w:color="A6A6A6"/>
              <w:bottom w:val="single" w:sz="4" w:space="0" w:color="A6A6A6"/>
            </w:tcBorders>
            <w:noWrap/>
            <w:hideMark/>
          </w:tcPr>
          <w:p w14:paraId="1CDF439C" w14:textId="77777777" w:rsidR="00CE75D4" w:rsidRPr="009A3ED9" w:rsidRDefault="00CE75D4" w:rsidP="008340C1">
            <w:pPr>
              <w:pStyle w:val="ARfintablebodyright"/>
              <w:spacing w:before="10" w:after="10" w:line="228" w:lineRule="auto"/>
              <w:ind w:right="0"/>
              <w:rPr>
                <w:sz w:val="16"/>
              </w:rPr>
            </w:pPr>
            <w:r>
              <w:rPr>
                <w:sz w:val="16"/>
              </w:rPr>
              <w:t>0.1</w:t>
            </w:r>
          </w:p>
        </w:tc>
        <w:tc>
          <w:tcPr>
            <w:tcW w:w="851" w:type="dxa"/>
            <w:tcBorders>
              <w:top w:val="single" w:sz="4" w:space="0" w:color="A6A6A6"/>
              <w:bottom w:val="single" w:sz="4" w:space="0" w:color="A6A6A6"/>
            </w:tcBorders>
            <w:noWrap/>
            <w:hideMark/>
          </w:tcPr>
          <w:p w14:paraId="3C318B24"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53B3CB41"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33895B06"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3775C9ED"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3CD04D48"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1E31A83D"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720FE0E8"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66341FB0"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78B08311"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26A1251A"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0F192EF0" w14:textId="77777777" w:rsidR="00CE75D4" w:rsidRPr="009A3ED9" w:rsidRDefault="00CE75D4" w:rsidP="008340C1">
            <w:pPr>
              <w:pStyle w:val="ARfintablebodyright"/>
              <w:spacing w:before="10" w:after="10" w:line="228" w:lineRule="auto"/>
              <w:ind w:right="0"/>
              <w:rPr>
                <w:sz w:val="16"/>
              </w:rPr>
            </w:pPr>
            <w:r>
              <w:rPr>
                <w:sz w:val="16"/>
              </w:rPr>
              <w:t>–</w:t>
            </w:r>
          </w:p>
        </w:tc>
        <w:tc>
          <w:tcPr>
            <w:tcW w:w="851" w:type="dxa"/>
            <w:tcBorders>
              <w:top w:val="single" w:sz="4" w:space="0" w:color="A6A6A6"/>
              <w:bottom w:val="single" w:sz="4" w:space="0" w:color="A6A6A6"/>
            </w:tcBorders>
            <w:noWrap/>
            <w:hideMark/>
          </w:tcPr>
          <w:p w14:paraId="542A7485" w14:textId="77777777" w:rsidR="00CE75D4" w:rsidRPr="009A3ED9" w:rsidRDefault="00CE75D4" w:rsidP="008340C1">
            <w:pPr>
              <w:pStyle w:val="ARfintablebodyright"/>
              <w:spacing w:before="10" w:after="10" w:line="228" w:lineRule="auto"/>
              <w:ind w:right="0"/>
              <w:rPr>
                <w:sz w:val="16"/>
              </w:rPr>
            </w:pPr>
            <w:r>
              <w:rPr>
                <w:sz w:val="16"/>
              </w:rPr>
              <w:t>–</w:t>
            </w:r>
          </w:p>
        </w:tc>
      </w:tr>
      <w:tr w:rsidR="00CE75D4" w:rsidRPr="00C0495C" w14:paraId="2508A02D" w14:textId="77777777" w:rsidTr="008340C1">
        <w:trPr>
          <w:cantSplit w:val="0"/>
          <w:trHeight w:val="170"/>
        </w:trPr>
        <w:tc>
          <w:tcPr>
            <w:tcW w:w="3402" w:type="dxa"/>
            <w:tcBorders>
              <w:top w:val="single" w:sz="4" w:space="0" w:color="A6A6A6"/>
              <w:bottom w:val="single" w:sz="4" w:space="0" w:color="A6A6A6"/>
            </w:tcBorders>
            <w:hideMark/>
          </w:tcPr>
          <w:p w14:paraId="4C319160" w14:textId="77777777" w:rsidR="00CE75D4" w:rsidRPr="009A3ED9" w:rsidRDefault="00CE75D4" w:rsidP="008340C1">
            <w:pPr>
              <w:pStyle w:val="ARfintablebody"/>
              <w:spacing w:before="10" w:after="10" w:line="228" w:lineRule="auto"/>
              <w:rPr>
                <w:sz w:val="16"/>
              </w:rPr>
            </w:pPr>
            <w:r w:rsidRPr="009A3ED9">
              <w:rPr>
                <w:sz w:val="16"/>
              </w:rPr>
              <w:t>Payments into the consolidated fund</w:t>
            </w:r>
          </w:p>
        </w:tc>
        <w:tc>
          <w:tcPr>
            <w:tcW w:w="851" w:type="dxa"/>
            <w:tcBorders>
              <w:top w:val="single" w:sz="4" w:space="0" w:color="A6A6A6"/>
              <w:bottom w:val="single" w:sz="4" w:space="0" w:color="A6A6A6"/>
            </w:tcBorders>
            <w:noWrap/>
            <w:hideMark/>
          </w:tcPr>
          <w:p w14:paraId="24A2F4A8" w14:textId="77777777" w:rsidR="00CE75D4" w:rsidRPr="009A3ED9" w:rsidRDefault="00CE75D4" w:rsidP="008340C1">
            <w:pPr>
              <w:pStyle w:val="ARfintablebodyright"/>
              <w:spacing w:before="10" w:after="10" w:line="228" w:lineRule="auto"/>
              <w:ind w:right="0"/>
              <w:rPr>
                <w:sz w:val="16"/>
              </w:rPr>
            </w:pPr>
            <w:r w:rsidRPr="009A3ED9">
              <w:rPr>
                <w:sz w:val="16"/>
              </w:rPr>
              <w:t>271.3</w:t>
            </w:r>
          </w:p>
        </w:tc>
        <w:tc>
          <w:tcPr>
            <w:tcW w:w="851" w:type="dxa"/>
            <w:tcBorders>
              <w:top w:val="single" w:sz="4" w:space="0" w:color="A6A6A6"/>
              <w:bottom w:val="single" w:sz="4" w:space="0" w:color="A6A6A6"/>
            </w:tcBorders>
            <w:noWrap/>
            <w:hideMark/>
          </w:tcPr>
          <w:p w14:paraId="1A909046"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36FB8C98" w14:textId="77777777" w:rsidR="00CE75D4" w:rsidRPr="009A3ED9" w:rsidRDefault="00CE75D4" w:rsidP="008340C1">
            <w:pPr>
              <w:pStyle w:val="ARfintablebodyright"/>
              <w:spacing w:before="10" w:after="10" w:line="228" w:lineRule="auto"/>
              <w:ind w:right="0"/>
              <w:rPr>
                <w:sz w:val="16"/>
              </w:rPr>
            </w:pPr>
            <w:r w:rsidRPr="009A3ED9">
              <w:rPr>
                <w:sz w:val="16"/>
              </w:rPr>
              <w:t>17.4</w:t>
            </w:r>
          </w:p>
        </w:tc>
        <w:tc>
          <w:tcPr>
            <w:tcW w:w="851" w:type="dxa"/>
            <w:tcBorders>
              <w:top w:val="single" w:sz="4" w:space="0" w:color="A6A6A6"/>
              <w:bottom w:val="single" w:sz="4" w:space="0" w:color="A6A6A6"/>
            </w:tcBorders>
            <w:noWrap/>
            <w:hideMark/>
          </w:tcPr>
          <w:p w14:paraId="6B4D81C7"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177891FA" w14:textId="77777777" w:rsidR="00CE75D4" w:rsidRPr="009A3ED9" w:rsidRDefault="00CE75D4" w:rsidP="008340C1">
            <w:pPr>
              <w:pStyle w:val="ARfintablebodyright"/>
              <w:spacing w:before="10" w:after="10" w:line="228" w:lineRule="auto"/>
              <w:ind w:right="0"/>
              <w:rPr>
                <w:sz w:val="16"/>
              </w:rPr>
            </w:pPr>
            <w:r>
              <w:rPr>
                <w:sz w:val="16"/>
              </w:rPr>
              <w:t>–</w:t>
            </w:r>
          </w:p>
        </w:tc>
        <w:tc>
          <w:tcPr>
            <w:tcW w:w="851" w:type="dxa"/>
            <w:tcBorders>
              <w:top w:val="single" w:sz="4" w:space="0" w:color="A6A6A6"/>
              <w:bottom w:val="single" w:sz="4" w:space="0" w:color="A6A6A6"/>
            </w:tcBorders>
            <w:noWrap/>
            <w:hideMark/>
          </w:tcPr>
          <w:p w14:paraId="0784DFD7" w14:textId="77777777" w:rsidR="00CE75D4" w:rsidRPr="009A3ED9" w:rsidRDefault="00CE75D4" w:rsidP="008340C1">
            <w:pPr>
              <w:pStyle w:val="ARfintablebodyright"/>
              <w:spacing w:before="10" w:after="10" w:line="228" w:lineRule="auto"/>
              <w:ind w:right="0"/>
              <w:rPr>
                <w:sz w:val="16"/>
              </w:rPr>
            </w:pPr>
            <w:r w:rsidRPr="009A3ED9">
              <w:rPr>
                <w:sz w:val="16"/>
              </w:rPr>
              <w:t>32.4</w:t>
            </w:r>
          </w:p>
        </w:tc>
        <w:tc>
          <w:tcPr>
            <w:tcW w:w="851" w:type="dxa"/>
            <w:tcBorders>
              <w:top w:val="single" w:sz="4" w:space="0" w:color="A6A6A6"/>
              <w:bottom w:val="single" w:sz="4" w:space="0" w:color="A6A6A6"/>
            </w:tcBorders>
            <w:noWrap/>
            <w:hideMark/>
          </w:tcPr>
          <w:p w14:paraId="0F8C018B" w14:textId="77777777" w:rsidR="00CE75D4" w:rsidRPr="009A3ED9" w:rsidRDefault="00CE75D4" w:rsidP="008340C1">
            <w:pPr>
              <w:pStyle w:val="ARfintablebodyright"/>
              <w:spacing w:before="10" w:after="10" w:line="228" w:lineRule="auto"/>
              <w:ind w:right="0"/>
              <w:rPr>
                <w:sz w:val="16"/>
              </w:rPr>
            </w:pPr>
            <w:r>
              <w:rPr>
                <w:sz w:val="16"/>
              </w:rPr>
              <w:t>–</w:t>
            </w:r>
          </w:p>
        </w:tc>
        <w:tc>
          <w:tcPr>
            <w:tcW w:w="851" w:type="dxa"/>
            <w:tcBorders>
              <w:top w:val="single" w:sz="4" w:space="0" w:color="A6A6A6"/>
              <w:bottom w:val="single" w:sz="4" w:space="0" w:color="A6A6A6"/>
            </w:tcBorders>
            <w:noWrap/>
            <w:hideMark/>
          </w:tcPr>
          <w:p w14:paraId="0923DB16" w14:textId="77777777" w:rsidR="00CE75D4" w:rsidRPr="009A3ED9" w:rsidRDefault="00CE75D4" w:rsidP="008340C1">
            <w:pPr>
              <w:pStyle w:val="ARfintablebodyright"/>
              <w:spacing w:before="10" w:after="10" w:line="228" w:lineRule="auto"/>
              <w:ind w:right="0"/>
              <w:rPr>
                <w:sz w:val="16"/>
              </w:rPr>
            </w:pPr>
            <w:r w:rsidRPr="009A3ED9">
              <w:rPr>
                <w:sz w:val="16"/>
              </w:rPr>
              <w:t>36.0</w:t>
            </w:r>
          </w:p>
        </w:tc>
        <w:tc>
          <w:tcPr>
            <w:tcW w:w="851" w:type="dxa"/>
            <w:tcBorders>
              <w:top w:val="single" w:sz="4" w:space="0" w:color="A6A6A6"/>
              <w:bottom w:val="single" w:sz="4" w:space="0" w:color="A6A6A6"/>
            </w:tcBorders>
            <w:noWrap/>
            <w:hideMark/>
          </w:tcPr>
          <w:p w14:paraId="3F988733" w14:textId="77777777" w:rsidR="00CE75D4" w:rsidRPr="009A3ED9" w:rsidRDefault="00CE75D4" w:rsidP="008340C1">
            <w:pPr>
              <w:pStyle w:val="ARfintablebodyright"/>
              <w:spacing w:before="10" w:after="10" w:line="228" w:lineRule="auto"/>
              <w:ind w:right="0"/>
              <w:rPr>
                <w:sz w:val="16"/>
              </w:rPr>
            </w:pPr>
            <w:r>
              <w:rPr>
                <w:sz w:val="16"/>
              </w:rPr>
              <w:t>–</w:t>
            </w:r>
          </w:p>
        </w:tc>
        <w:tc>
          <w:tcPr>
            <w:tcW w:w="851" w:type="dxa"/>
            <w:tcBorders>
              <w:top w:val="single" w:sz="4" w:space="0" w:color="A6A6A6"/>
              <w:bottom w:val="single" w:sz="4" w:space="0" w:color="A6A6A6"/>
            </w:tcBorders>
            <w:noWrap/>
            <w:hideMark/>
          </w:tcPr>
          <w:p w14:paraId="59878FCF"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40A4E1B3" w14:textId="77777777" w:rsidR="00CE75D4" w:rsidRPr="009A3ED9" w:rsidRDefault="00CE75D4" w:rsidP="008340C1">
            <w:pPr>
              <w:pStyle w:val="ARfintablebodyright"/>
              <w:spacing w:before="10" w:after="10" w:line="228" w:lineRule="auto"/>
              <w:ind w:right="0"/>
              <w:rPr>
                <w:sz w:val="16"/>
              </w:rPr>
            </w:pPr>
            <w:r w:rsidRPr="009A3ED9">
              <w:rPr>
                <w:sz w:val="16"/>
              </w:rPr>
              <w:t>1.0</w:t>
            </w:r>
          </w:p>
        </w:tc>
        <w:tc>
          <w:tcPr>
            <w:tcW w:w="851" w:type="dxa"/>
            <w:tcBorders>
              <w:top w:val="single" w:sz="4" w:space="0" w:color="A6A6A6"/>
              <w:bottom w:val="single" w:sz="4" w:space="0" w:color="A6A6A6"/>
            </w:tcBorders>
            <w:noWrap/>
            <w:hideMark/>
          </w:tcPr>
          <w:p w14:paraId="10736047" w14:textId="77777777" w:rsidR="00CE75D4" w:rsidRPr="009A3ED9" w:rsidRDefault="00CE75D4" w:rsidP="008340C1">
            <w:pPr>
              <w:pStyle w:val="ARfintablebodyright"/>
              <w:spacing w:before="10" w:after="10" w:line="228" w:lineRule="auto"/>
              <w:ind w:right="0"/>
              <w:rPr>
                <w:sz w:val="16"/>
              </w:rPr>
            </w:pPr>
            <w:r w:rsidRPr="009A3ED9">
              <w:rPr>
                <w:sz w:val="16"/>
              </w:rPr>
              <w:t>0.7</w:t>
            </w:r>
          </w:p>
        </w:tc>
        <w:tc>
          <w:tcPr>
            <w:tcW w:w="851" w:type="dxa"/>
            <w:tcBorders>
              <w:top w:val="single" w:sz="4" w:space="0" w:color="A6A6A6"/>
              <w:bottom w:val="single" w:sz="4" w:space="0" w:color="A6A6A6"/>
            </w:tcBorders>
            <w:noWrap/>
            <w:hideMark/>
          </w:tcPr>
          <w:p w14:paraId="35414BE0" w14:textId="77777777" w:rsidR="00CE75D4" w:rsidRPr="009A3ED9" w:rsidRDefault="00CE75D4" w:rsidP="008340C1">
            <w:pPr>
              <w:pStyle w:val="ARfintablebodyright"/>
              <w:spacing w:before="10" w:after="10" w:line="228" w:lineRule="auto"/>
              <w:ind w:right="0"/>
              <w:rPr>
                <w:sz w:val="16"/>
              </w:rPr>
            </w:pPr>
            <w:r w:rsidRPr="009A3ED9">
              <w:rPr>
                <w:sz w:val="16"/>
              </w:rPr>
              <w:t>17.9</w:t>
            </w:r>
          </w:p>
        </w:tc>
      </w:tr>
      <w:tr w:rsidR="00CE75D4" w:rsidRPr="00C0495C" w14:paraId="2600E323" w14:textId="77777777" w:rsidTr="008340C1">
        <w:trPr>
          <w:cantSplit w:val="0"/>
          <w:trHeight w:val="170"/>
        </w:trPr>
        <w:tc>
          <w:tcPr>
            <w:tcW w:w="3402" w:type="dxa"/>
            <w:tcBorders>
              <w:top w:val="single" w:sz="4" w:space="0" w:color="A6A6A6"/>
              <w:bottom w:val="single" w:sz="4" w:space="0" w:color="A6A6A6"/>
            </w:tcBorders>
            <w:hideMark/>
          </w:tcPr>
          <w:p w14:paraId="56F5A2FB" w14:textId="77777777" w:rsidR="00CE75D4" w:rsidRPr="009A3ED9" w:rsidRDefault="00CE75D4" w:rsidP="008340C1">
            <w:pPr>
              <w:pStyle w:val="ARfintablebody"/>
              <w:spacing w:before="10" w:after="10" w:line="228" w:lineRule="auto"/>
              <w:rPr>
                <w:sz w:val="16"/>
              </w:rPr>
            </w:pPr>
            <w:r w:rsidRPr="009A3ED9">
              <w:rPr>
                <w:sz w:val="16"/>
              </w:rPr>
              <w:t xml:space="preserve">Payment from the </w:t>
            </w:r>
            <w:r>
              <w:rPr>
                <w:sz w:val="16"/>
              </w:rPr>
              <w:t xml:space="preserve">Victorian State Pool Account </w:t>
            </w:r>
            <w:r w:rsidRPr="009A3ED9">
              <w:rPr>
                <w:sz w:val="16"/>
              </w:rPr>
              <w:t>to the departmental controlled entity</w:t>
            </w:r>
          </w:p>
        </w:tc>
        <w:tc>
          <w:tcPr>
            <w:tcW w:w="851" w:type="dxa"/>
            <w:tcBorders>
              <w:top w:val="single" w:sz="4" w:space="0" w:color="A6A6A6"/>
              <w:bottom w:val="single" w:sz="4" w:space="0" w:color="A6A6A6"/>
            </w:tcBorders>
            <w:noWrap/>
            <w:hideMark/>
          </w:tcPr>
          <w:p w14:paraId="287A5FB6" w14:textId="77777777" w:rsidR="00CE75D4" w:rsidRPr="009A3ED9" w:rsidRDefault="00CE75D4" w:rsidP="008340C1">
            <w:pPr>
              <w:pStyle w:val="ARfintablebodyright"/>
              <w:spacing w:before="10" w:after="10" w:line="228" w:lineRule="auto"/>
              <w:ind w:right="0"/>
              <w:rPr>
                <w:sz w:val="16"/>
              </w:rPr>
            </w:pPr>
            <w:r w:rsidRPr="009A3ED9">
              <w:rPr>
                <w:sz w:val="16"/>
              </w:rPr>
              <w:t>2,737.</w:t>
            </w:r>
            <w:r>
              <w:rPr>
                <w:sz w:val="16"/>
              </w:rPr>
              <w:t>2</w:t>
            </w:r>
          </w:p>
        </w:tc>
        <w:tc>
          <w:tcPr>
            <w:tcW w:w="851" w:type="dxa"/>
            <w:tcBorders>
              <w:top w:val="single" w:sz="4" w:space="0" w:color="A6A6A6"/>
              <w:bottom w:val="single" w:sz="4" w:space="0" w:color="A6A6A6"/>
            </w:tcBorders>
            <w:noWrap/>
            <w:hideMark/>
          </w:tcPr>
          <w:p w14:paraId="79B68B80" w14:textId="77777777" w:rsidR="00CE75D4" w:rsidRPr="009A3ED9" w:rsidRDefault="00CE75D4" w:rsidP="008340C1">
            <w:pPr>
              <w:pStyle w:val="ARfintablebodyright"/>
              <w:spacing w:before="10" w:after="10" w:line="228" w:lineRule="auto"/>
              <w:ind w:right="0"/>
              <w:rPr>
                <w:sz w:val="16"/>
              </w:rPr>
            </w:pPr>
            <w:r w:rsidRPr="009A3ED9">
              <w:rPr>
                <w:sz w:val="16"/>
              </w:rPr>
              <w:t>86.8</w:t>
            </w:r>
          </w:p>
        </w:tc>
        <w:tc>
          <w:tcPr>
            <w:tcW w:w="851" w:type="dxa"/>
            <w:tcBorders>
              <w:top w:val="single" w:sz="4" w:space="0" w:color="A6A6A6"/>
              <w:bottom w:val="single" w:sz="4" w:space="0" w:color="A6A6A6"/>
            </w:tcBorders>
            <w:noWrap/>
            <w:hideMark/>
          </w:tcPr>
          <w:p w14:paraId="6B12AB27"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463CE889" w14:textId="77777777" w:rsidR="00CE75D4" w:rsidRPr="009A3ED9" w:rsidRDefault="00CE75D4" w:rsidP="008340C1">
            <w:pPr>
              <w:pStyle w:val="ARfintablebodyright"/>
              <w:spacing w:before="10" w:after="10" w:line="228" w:lineRule="auto"/>
              <w:ind w:right="0"/>
              <w:rPr>
                <w:sz w:val="16"/>
              </w:rPr>
            </w:pPr>
            <w:r w:rsidRPr="009A3ED9">
              <w:rPr>
                <w:sz w:val="16"/>
              </w:rPr>
              <w:t>107.4</w:t>
            </w:r>
          </w:p>
        </w:tc>
        <w:tc>
          <w:tcPr>
            <w:tcW w:w="851" w:type="dxa"/>
            <w:tcBorders>
              <w:top w:val="single" w:sz="4" w:space="0" w:color="A6A6A6"/>
              <w:bottom w:val="single" w:sz="4" w:space="0" w:color="A6A6A6"/>
            </w:tcBorders>
            <w:noWrap/>
            <w:hideMark/>
          </w:tcPr>
          <w:p w14:paraId="29B1A2DE"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1EC1E2FC"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0F2DAA34"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65E73965"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7291D3D8"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5F7904D8"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40BBCA94"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7F57701F" w14:textId="77777777" w:rsidR="00CE75D4" w:rsidRPr="009A3ED9" w:rsidRDefault="00CE75D4" w:rsidP="008340C1">
            <w:pPr>
              <w:pStyle w:val="ARfintablebodyright"/>
              <w:spacing w:before="10" w:after="10" w:line="228" w:lineRule="auto"/>
              <w:ind w:right="0"/>
              <w:rPr>
                <w:sz w:val="16"/>
              </w:rPr>
            </w:pPr>
            <w:r w:rsidRPr="009A3ED9">
              <w:rPr>
                <w:sz w:val="16"/>
              </w:rPr>
              <w:t>14.1</w:t>
            </w:r>
          </w:p>
        </w:tc>
        <w:tc>
          <w:tcPr>
            <w:tcW w:w="851" w:type="dxa"/>
            <w:tcBorders>
              <w:top w:val="single" w:sz="4" w:space="0" w:color="A6A6A6"/>
              <w:bottom w:val="single" w:sz="4" w:space="0" w:color="A6A6A6"/>
            </w:tcBorders>
            <w:noWrap/>
            <w:hideMark/>
          </w:tcPr>
          <w:p w14:paraId="587545BA" w14:textId="77777777" w:rsidR="00CE75D4" w:rsidRPr="009A3ED9" w:rsidRDefault="00CE75D4" w:rsidP="008340C1">
            <w:pPr>
              <w:pStyle w:val="ARfintablebodyright"/>
              <w:spacing w:before="10" w:after="10" w:line="228" w:lineRule="auto"/>
              <w:ind w:right="0"/>
              <w:rPr>
                <w:sz w:val="16"/>
              </w:rPr>
            </w:pPr>
            <w:r w:rsidRPr="009A3ED9">
              <w:rPr>
                <w:sz w:val="16"/>
              </w:rPr>
              <w:t>462.0</w:t>
            </w:r>
          </w:p>
        </w:tc>
      </w:tr>
      <w:tr w:rsidR="00CE75D4" w:rsidRPr="00C0495C" w14:paraId="6395F640" w14:textId="77777777" w:rsidTr="008340C1">
        <w:trPr>
          <w:cantSplit w:val="0"/>
          <w:trHeight w:val="170"/>
        </w:trPr>
        <w:tc>
          <w:tcPr>
            <w:tcW w:w="3402" w:type="dxa"/>
            <w:tcBorders>
              <w:top w:val="single" w:sz="4" w:space="0" w:color="A6A6A6"/>
              <w:bottom w:val="single" w:sz="4" w:space="0" w:color="A6A6A6"/>
            </w:tcBorders>
            <w:hideMark/>
          </w:tcPr>
          <w:p w14:paraId="0B168524" w14:textId="77777777" w:rsidR="00CE75D4" w:rsidRPr="009A3ED9" w:rsidRDefault="00CE75D4" w:rsidP="008340C1">
            <w:pPr>
              <w:pStyle w:val="ARfintablebody"/>
              <w:spacing w:before="10" w:after="10" w:line="228" w:lineRule="auto"/>
              <w:rPr>
                <w:sz w:val="16"/>
              </w:rPr>
            </w:pPr>
            <w:r w:rsidRPr="009A3ED9">
              <w:rPr>
                <w:sz w:val="16"/>
              </w:rPr>
              <w:t>Fair value of assets and services provided free of charge or for nominal consideration</w:t>
            </w:r>
          </w:p>
        </w:tc>
        <w:tc>
          <w:tcPr>
            <w:tcW w:w="851" w:type="dxa"/>
            <w:tcBorders>
              <w:top w:val="single" w:sz="4" w:space="0" w:color="A6A6A6"/>
              <w:bottom w:val="single" w:sz="4" w:space="0" w:color="A6A6A6"/>
            </w:tcBorders>
            <w:noWrap/>
            <w:hideMark/>
          </w:tcPr>
          <w:p w14:paraId="79FE7E3B" w14:textId="77777777" w:rsidR="00CE75D4" w:rsidRPr="009A3ED9" w:rsidRDefault="00CE75D4" w:rsidP="008340C1">
            <w:pPr>
              <w:pStyle w:val="ARfintablebodyright"/>
              <w:spacing w:before="10" w:after="10" w:line="228" w:lineRule="auto"/>
              <w:ind w:right="0"/>
              <w:rPr>
                <w:sz w:val="16"/>
              </w:rPr>
            </w:pPr>
            <w:r w:rsidRPr="009A3ED9">
              <w:rPr>
                <w:sz w:val="16"/>
              </w:rPr>
              <w:t>0.3</w:t>
            </w:r>
          </w:p>
        </w:tc>
        <w:tc>
          <w:tcPr>
            <w:tcW w:w="851" w:type="dxa"/>
            <w:tcBorders>
              <w:top w:val="single" w:sz="4" w:space="0" w:color="A6A6A6"/>
              <w:bottom w:val="single" w:sz="4" w:space="0" w:color="A6A6A6"/>
            </w:tcBorders>
            <w:noWrap/>
            <w:hideMark/>
          </w:tcPr>
          <w:p w14:paraId="333D9A91"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5D5F6D30"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30ECB357"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03A8CF79"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7E2C17A4"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7C93E1BD"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504816E8"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78A396DF"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36DFEBFD"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476D0FDE"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3E069203"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1D1C592E" w14:textId="77777777" w:rsidR="00CE75D4" w:rsidRPr="009A3ED9" w:rsidRDefault="00CE75D4" w:rsidP="008340C1">
            <w:pPr>
              <w:pStyle w:val="ARfintablebodyright"/>
              <w:spacing w:before="10" w:after="10" w:line="228" w:lineRule="auto"/>
              <w:ind w:right="0"/>
              <w:rPr>
                <w:sz w:val="16"/>
              </w:rPr>
            </w:pPr>
            <w:r w:rsidRPr="009A3ED9">
              <w:rPr>
                <w:sz w:val="16"/>
              </w:rPr>
              <w:t>–</w:t>
            </w:r>
          </w:p>
        </w:tc>
      </w:tr>
      <w:tr w:rsidR="00CE75D4" w:rsidRPr="00C0495C" w14:paraId="0577D8B8" w14:textId="77777777" w:rsidTr="008340C1">
        <w:trPr>
          <w:cantSplit w:val="0"/>
          <w:trHeight w:val="170"/>
        </w:trPr>
        <w:tc>
          <w:tcPr>
            <w:tcW w:w="3402" w:type="dxa"/>
            <w:hideMark/>
          </w:tcPr>
          <w:p w14:paraId="0B14EC77" w14:textId="77777777" w:rsidR="00CE75D4" w:rsidRPr="009A3ED9" w:rsidRDefault="00CE75D4" w:rsidP="008340C1">
            <w:pPr>
              <w:pStyle w:val="ARfintablebodybold"/>
              <w:spacing w:before="10" w:after="10" w:line="228" w:lineRule="auto"/>
              <w:rPr>
                <w:rFonts w:cs="Arial"/>
                <w:sz w:val="16"/>
              </w:rPr>
            </w:pPr>
            <w:r w:rsidRPr="009A3ED9">
              <w:rPr>
                <w:rFonts w:cs="Arial"/>
                <w:sz w:val="16"/>
              </w:rPr>
              <w:t>Total administered expenses from transactions</w:t>
            </w:r>
          </w:p>
        </w:tc>
        <w:tc>
          <w:tcPr>
            <w:tcW w:w="851" w:type="dxa"/>
            <w:noWrap/>
            <w:hideMark/>
          </w:tcPr>
          <w:p w14:paraId="3CC04455" w14:textId="77777777" w:rsidR="00CE75D4" w:rsidRPr="009A3ED9" w:rsidRDefault="00CE75D4" w:rsidP="008340C1">
            <w:pPr>
              <w:pStyle w:val="ARfintablebodyrightbold"/>
              <w:spacing w:before="10" w:after="10" w:line="228" w:lineRule="auto"/>
              <w:ind w:right="0"/>
              <w:rPr>
                <w:sz w:val="16"/>
              </w:rPr>
            </w:pPr>
            <w:r w:rsidRPr="009A3ED9">
              <w:rPr>
                <w:sz w:val="16"/>
              </w:rPr>
              <w:t>12,631.</w:t>
            </w:r>
            <w:r>
              <w:rPr>
                <w:sz w:val="16"/>
              </w:rPr>
              <w:t>5</w:t>
            </w:r>
          </w:p>
        </w:tc>
        <w:tc>
          <w:tcPr>
            <w:tcW w:w="851" w:type="dxa"/>
            <w:noWrap/>
            <w:hideMark/>
          </w:tcPr>
          <w:p w14:paraId="370A4613" w14:textId="77777777" w:rsidR="00CE75D4" w:rsidRPr="009A3ED9" w:rsidRDefault="00CE75D4" w:rsidP="008340C1">
            <w:pPr>
              <w:pStyle w:val="ARfintablebodyrightbold"/>
              <w:spacing w:before="10" w:after="10" w:line="228" w:lineRule="auto"/>
              <w:ind w:right="0"/>
              <w:rPr>
                <w:sz w:val="16"/>
              </w:rPr>
            </w:pPr>
            <w:r w:rsidRPr="009A3ED9">
              <w:rPr>
                <w:sz w:val="16"/>
              </w:rPr>
              <w:t>1,021.8</w:t>
            </w:r>
          </w:p>
        </w:tc>
        <w:tc>
          <w:tcPr>
            <w:tcW w:w="851" w:type="dxa"/>
            <w:noWrap/>
            <w:hideMark/>
          </w:tcPr>
          <w:p w14:paraId="202F0E89" w14:textId="77777777" w:rsidR="00CE75D4" w:rsidRPr="009A3ED9" w:rsidRDefault="00CE75D4" w:rsidP="008340C1">
            <w:pPr>
              <w:pStyle w:val="ARfintablebodyrightbold"/>
              <w:spacing w:before="10" w:after="10" w:line="228" w:lineRule="auto"/>
              <w:ind w:right="0"/>
              <w:rPr>
                <w:sz w:val="16"/>
              </w:rPr>
            </w:pPr>
            <w:r w:rsidRPr="009A3ED9">
              <w:rPr>
                <w:sz w:val="16"/>
              </w:rPr>
              <w:t>846.0</w:t>
            </w:r>
          </w:p>
        </w:tc>
        <w:tc>
          <w:tcPr>
            <w:tcW w:w="851" w:type="dxa"/>
            <w:noWrap/>
            <w:hideMark/>
          </w:tcPr>
          <w:p w14:paraId="484D6A1F" w14:textId="77777777" w:rsidR="00CE75D4" w:rsidRPr="009A3ED9" w:rsidRDefault="00CE75D4" w:rsidP="008340C1">
            <w:pPr>
              <w:pStyle w:val="ARfintablebodyrightbold"/>
              <w:spacing w:before="10" w:after="10" w:line="228" w:lineRule="auto"/>
              <w:ind w:right="0"/>
              <w:rPr>
                <w:sz w:val="16"/>
              </w:rPr>
            </w:pPr>
            <w:r w:rsidRPr="009A3ED9">
              <w:rPr>
                <w:sz w:val="16"/>
              </w:rPr>
              <w:t>107.4</w:t>
            </w:r>
          </w:p>
        </w:tc>
        <w:tc>
          <w:tcPr>
            <w:tcW w:w="851" w:type="dxa"/>
            <w:noWrap/>
            <w:hideMark/>
          </w:tcPr>
          <w:p w14:paraId="5CED049F" w14:textId="77777777" w:rsidR="00CE75D4" w:rsidRPr="009A3ED9" w:rsidRDefault="00CE75D4" w:rsidP="008340C1">
            <w:pPr>
              <w:pStyle w:val="ARfintablebodyrightbold"/>
              <w:spacing w:before="10" w:after="10" w:line="228" w:lineRule="auto"/>
              <w:ind w:right="0"/>
              <w:rPr>
                <w:sz w:val="16"/>
              </w:rPr>
            </w:pPr>
            <w:r>
              <w:rPr>
                <w:sz w:val="16"/>
              </w:rPr>
              <w:t>–</w:t>
            </w:r>
          </w:p>
        </w:tc>
        <w:tc>
          <w:tcPr>
            <w:tcW w:w="851" w:type="dxa"/>
            <w:noWrap/>
            <w:hideMark/>
          </w:tcPr>
          <w:p w14:paraId="0BD72E0B" w14:textId="77777777" w:rsidR="00CE75D4" w:rsidRPr="009A3ED9" w:rsidRDefault="00CE75D4" w:rsidP="008340C1">
            <w:pPr>
              <w:pStyle w:val="ARfintablebodyrightbold"/>
              <w:spacing w:before="10" w:after="10" w:line="228" w:lineRule="auto"/>
              <w:ind w:right="0"/>
              <w:rPr>
                <w:sz w:val="16"/>
              </w:rPr>
            </w:pPr>
            <w:r w:rsidRPr="009A3ED9">
              <w:rPr>
                <w:sz w:val="16"/>
              </w:rPr>
              <w:t>32.4</w:t>
            </w:r>
          </w:p>
        </w:tc>
        <w:tc>
          <w:tcPr>
            <w:tcW w:w="851" w:type="dxa"/>
            <w:noWrap/>
            <w:hideMark/>
          </w:tcPr>
          <w:p w14:paraId="590E0D26" w14:textId="77777777" w:rsidR="00CE75D4" w:rsidRPr="009A3ED9" w:rsidRDefault="00CE75D4" w:rsidP="008340C1">
            <w:pPr>
              <w:pStyle w:val="ARfintablebodyrightbold"/>
              <w:spacing w:before="10" w:after="10" w:line="228" w:lineRule="auto"/>
              <w:ind w:right="0"/>
              <w:rPr>
                <w:sz w:val="16"/>
              </w:rPr>
            </w:pPr>
            <w:r>
              <w:rPr>
                <w:sz w:val="16"/>
              </w:rPr>
              <w:t>–</w:t>
            </w:r>
          </w:p>
        </w:tc>
        <w:tc>
          <w:tcPr>
            <w:tcW w:w="851" w:type="dxa"/>
            <w:noWrap/>
            <w:hideMark/>
          </w:tcPr>
          <w:p w14:paraId="0B1B4AA4" w14:textId="77777777" w:rsidR="00CE75D4" w:rsidRPr="009A3ED9" w:rsidRDefault="00CE75D4" w:rsidP="008340C1">
            <w:pPr>
              <w:pStyle w:val="ARfintablebodyrightbold"/>
              <w:spacing w:before="10" w:after="10" w:line="228" w:lineRule="auto"/>
              <w:ind w:right="0"/>
              <w:rPr>
                <w:sz w:val="16"/>
              </w:rPr>
            </w:pPr>
            <w:r w:rsidRPr="009A3ED9">
              <w:rPr>
                <w:sz w:val="16"/>
              </w:rPr>
              <w:t>36.0</w:t>
            </w:r>
          </w:p>
        </w:tc>
        <w:tc>
          <w:tcPr>
            <w:tcW w:w="851" w:type="dxa"/>
            <w:noWrap/>
            <w:hideMark/>
          </w:tcPr>
          <w:p w14:paraId="310B3545" w14:textId="77777777" w:rsidR="00CE75D4" w:rsidRPr="009A3ED9" w:rsidRDefault="00CE75D4" w:rsidP="008340C1">
            <w:pPr>
              <w:pStyle w:val="ARfintablebodyrightbold"/>
              <w:spacing w:before="10" w:after="10" w:line="228" w:lineRule="auto"/>
              <w:ind w:right="0"/>
              <w:rPr>
                <w:sz w:val="16"/>
              </w:rPr>
            </w:pPr>
            <w:r>
              <w:rPr>
                <w:sz w:val="16"/>
              </w:rPr>
              <w:t>–</w:t>
            </w:r>
          </w:p>
        </w:tc>
        <w:tc>
          <w:tcPr>
            <w:tcW w:w="851" w:type="dxa"/>
            <w:noWrap/>
            <w:hideMark/>
          </w:tcPr>
          <w:p w14:paraId="16075AAE"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noWrap/>
            <w:hideMark/>
          </w:tcPr>
          <w:p w14:paraId="332E8B0C" w14:textId="77777777" w:rsidR="00CE75D4" w:rsidRPr="009A3ED9" w:rsidRDefault="00CE75D4" w:rsidP="008340C1">
            <w:pPr>
              <w:pStyle w:val="ARfintablebodyrightbold"/>
              <w:spacing w:before="10" w:after="10" w:line="228" w:lineRule="auto"/>
              <w:ind w:right="0"/>
              <w:rPr>
                <w:sz w:val="16"/>
              </w:rPr>
            </w:pPr>
            <w:r w:rsidRPr="009A3ED9">
              <w:rPr>
                <w:sz w:val="16"/>
              </w:rPr>
              <w:t>1.0</w:t>
            </w:r>
          </w:p>
        </w:tc>
        <w:tc>
          <w:tcPr>
            <w:tcW w:w="851" w:type="dxa"/>
            <w:noWrap/>
            <w:hideMark/>
          </w:tcPr>
          <w:p w14:paraId="1B9909ED" w14:textId="77777777" w:rsidR="00CE75D4" w:rsidRPr="009A3ED9" w:rsidRDefault="00CE75D4" w:rsidP="008340C1">
            <w:pPr>
              <w:pStyle w:val="ARfintablebodyrightbold"/>
              <w:spacing w:before="10" w:after="10" w:line="228" w:lineRule="auto"/>
              <w:ind w:right="0"/>
              <w:rPr>
                <w:sz w:val="16"/>
              </w:rPr>
            </w:pPr>
            <w:r w:rsidRPr="009A3ED9">
              <w:rPr>
                <w:sz w:val="16"/>
              </w:rPr>
              <w:t>14.8</w:t>
            </w:r>
          </w:p>
        </w:tc>
        <w:tc>
          <w:tcPr>
            <w:tcW w:w="851" w:type="dxa"/>
            <w:noWrap/>
            <w:hideMark/>
          </w:tcPr>
          <w:p w14:paraId="591E9646" w14:textId="77777777" w:rsidR="00CE75D4" w:rsidRPr="009A3ED9" w:rsidRDefault="00CE75D4" w:rsidP="008340C1">
            <w:pPr>
              <w:pStyle w:val="ARfintablebodyrightbold"/>
              <w:spacing w:before="10" w:after="10" w:line="228" w:lineRule="auto"/>
              <w:ind w:right="0"/>
              <w:rPr>
                <w:sz w:val="16"/>
              </w:rPr>
            </w:pPr>
            <w:r w:rsidRPr="009A3ED9">
              <w:rPr>
                <w:sz w:val="16"/>
              </w:rPr>
              <w:t>975.1</w:t>
            </w:r>
          </w:p>
        </w:tc>
      </w:tr>
      <w:tr w:rsidR="00CE75D4" w:rsidRPr="00C0495C" w14:paraId="6095FB1A" w14:textId="77777777" w:rsidTr="008340C1">
        <w:trPr>
          <w:cantSplit w:val="0"/>
          <w:trHeight w:val="170"/>
        </w:trPr>
        <w:tc>
          <w:tcPr>
            <w:tcW w:w="3402" w:type="dxa"/>
            <w:tcBorders>
              <w:bottom w:val="single" w:sz="4" w:space="0" w:color="auto"/>
            </w:tcBorders>
            <w:hideMark/>
          </w:tcPr>
          <w:p w14:paraId="61C1C3CA" w14:textId="77777777" w:rsidR="00CE75D4" w:rsidRPr="009A3ED9" w:rsidRDefault="00CE75D4" w:rsidP="008340C1">
            <w:pPr>
              <w:pStyle w:val="ARfintablebodybold"/>
              <w:spacing w:before="10" w:after="10" w:line="228" w:lineRule="auto"/>
              <w:rPr>
                <w:rFonts w:cs="Arial"/>
                <w:sz w:val="16"/>
              </w:rPr>
            </w:pPr>
            <w:r w:rsidRPr="009A3ED9">
              <w:rPr>
                <w:rFonts w:cs="Arial"/>
                <w:sz w:val="16"/>
              </w:rPr>
              <w:t>Total administered net result from transactions</w:t>
            </w:r>
          </w:p>
        </w:tc>
        <w:tc>
          <w:tcPr>
            <w:tcW w:w="851" w:type="dxa"/>
            <w:tcBorders>
              <w:bottom w:val="single" w:sz="4" w:space="0" w:color="auto"/>
            </w:tcBorders>
            <w:noWrap/>
            <w:hideMark/>
          </w:tcPr>
          <w:p w14:paraId="6180F805" w14:textId="77777777" w:rsidR="00CE75D4" w:rsidRPr="009A3ED9" w:rsidRDefault="00CE75D4" w:rsidP="008340C1">
            <w:pPr>
              <w:pStyle w:val="ARfintablebodyrightbold"/>
              <w:spacing w:before="10" w:after="10" w:line="228" w:lineRule="auto"/>
              <w:ind w:right="0"/>
              <w:rPr>
                <w:sz w:val="16"/>
              </w:rPr>
            </w:pPr>
            <w:r w:rsidRPr="009A3ED9">
              <w:rPr>
                <w:sz w:val="16"/>
              </w:rPr>
              <w:t>(20.3)</w:t>
            </w:r>
          </w:p>
        </w:tc>
        <w:tc>
          <w:tcPr>
            <w:tcW w:w="851" w:type="dxa"/>
            <w:tcBorders>
              <w:bottom w:val="single" w:sz="4" w:space="0" w:color="auto"/>
            </w:tcBorders>
            <w:noWrap/>
            <w:hideMark/>
          </w:tcPr>
          <w:p w14:paraId="2BB7B747" w14:textId="77777777" w:rsidR="00CE75D4" w:rsidRPr="009A3ED9" w:rsidRDefault="00CE75D4" w:rsidP="008340C1">
            <w:pPr>
              <w:pStyle w:val="ARfintablebodyrightbold"/>
              <w:spacing w:before="10" w:after="10" w:line="228" w:lineRule="auto"/>
              <w:ind w:right="0"/>
              <w:rPr>
                <w:sz w:val="16"/>
              </w:rPr>
            </w:pPr>
            <w:r w:rsidRPr="009A3ED9">
              <w:rPr>
                <w:sz w:val="16"/>
              </w:rPr>
              <w:t>7.3</w:t>
            </w:r>
          </w:p>
        </w:tc>
        <w:tc>
          <w:tcPr>
            <w:tcW w:w="851" w:type="dxa"/>
            <w:tcBorders>
              <w:bottom w:val="single" w:sz="4" w:space="0" w:color="auto"/>
            </w:tcBorders>
            <w:noWrap/>
            <w:hideMark/>
          </w:tcPr>
          <w:p w14:paraId="41FEE201" w14:textId="77777777" w:rsidR="00CE75D4" w:rsidRPr="009A3ED9" w:rsidRDefault="00CE75D4" w:rsidP="008340C1">
            <w:pPr>
              <w:pStyle w:val="ARfintablebodyrightbold"/>
              <w:spacing w:before="10" w:after="10" w:line="228" w:lineRule="auto"/>
              <w:ind w:right="0"/>
              <w:rPr>
                <w:sz w:val="16"/>
              </w:rPr>
            </w:pPr>
            <w:r w:rsidRPr="009A3ED9">
              <w:rPr>
                <w:sz w:val="16"/>
              </w:rPr>
              <w:t>29.7</w:t>
            </w:r>
          </w:p>
        </w:tc>
        <w:tc>
          <w:tcPr>
            <w:tcW w:w="851" w:type="dxa"/>
            <w:tcBorders>
              <w:bottom w:val="single" w:sz="4" w:space="0" w:color="auto"/>
            </w:tcBorders>
            <w:noWrap/>
            <w:hideMark/>
          </w:tcPr>
          <w:p w14:paraId="6A311794" w14:textId="77777777" w:rsidR="00CE75D4" w:rsidRPr="009A3ED9" w:rsidRDefault="00CE75D4" w:rsidP="008340C1">
            <w:pPr>
              <w:pStyle w:val="ARfintablebodyrightbold"/>
              <w:spacing w:before="10" w:after="10" w:line="228" w:lineRule="auto"/>
              <w:ind w:right="0"/>
              <w:rPr>
                <w:sz w:val="16"/>
              </w:rPr>
            </w:pPr>
            <w:r w:rsidRPr="009A3ED9">
              <w:rPr>
                <w:sz w:val="16"/>
              </w:rPr>
              <w:t>2.5</w:t>
            </w:r>
          </w:p>
        </w:tc>
        <w:tc>
          <w:tcPr>
            <w:tcW w:w="851" w:type="dxa"/>
            <w:tcBorders>
              <w:bottom w:val="single" w:sz="4" w:space="0" w:color="auto"/>
            </w:tcBorders>
            <w:noWrap/>
            <w:hideMark/>
          </w:tcPr>
          <w:p w14:paraId="78627316"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tcBorders>
              <w:bottom w:val="single" w:sz="4" w:space="0" w:color="auto"/>
            </w:tcBorders>
            <w:noWrap/>
            <w:hideMark/>
          </w:tcPr>
          <w:p w14:paraId="73E60987"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tcBorders>
              <w:bottom w:val="single" w:sz="4" w:space="0" w:color="auto"/>
            </w:tcBorders>
            <w:noWrap/>
            <w:hideMark/>
          </w:tcPr>
          <w:p w14:paraId="5B086785"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tcBorders>
              <w:bottom w:val="single" w:sz="4" w:space="0" w:color="auto"/>
            </w:tcBorders>
            <w:noWrap/>
            <w:hideMark/>
          </w:tcPr>
          <w:p w14:paraId="6C782D4F"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tcBorders>
              <w:bottom w:val="single" w:sz="4" w:space="0" w:color="auto"/>
            </w:tcBorders>
            <w:noWrap/>
            <w:hideMark/>
          </w:tcPr>
          <w:p w14:paraId="596F214A"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tcBorders>
              <w:bottom w:val="single" w:sz="4" w:space="0" w:color="auto"/>
            </w:tcBorders>
            <w:noWrap/>
            <w:hideMark/>
          </w:tcPr>
          <w:p w14:paraId="175CFBD0" w14:textId="77777777" w:rsidR="00CE75D4" w:rsidRPr="009A3ED9" w:rsidRDefault="00CE75D4" w:rsidP="008340C1">
            <w:pPr>
              <w:pStyle w:val="ARfintablebodyrightbold"/>
              <w:spacing w:before="10" w:after="10" w:line="228" w:lineRule="auto"/>
              <w:ind w:right="0"/>
              <w:rPr>
                <w:sz w:val="16"/>
              </w:rPr>
            </w:pPr>
            <w:r>
              <w:rPr>
                <w:sz w:val="16"/>
              </w:rPr>
              <w:t>–</w:t>
            </w:r>
          </w:p>
        </w:tc>
        <w:tc>
          <w:tcPr>
            <w:tcW w:w="851" w:type="dxa"/>
            <w:tcBorders>
              <w:bottom w:val="single" w:sz="4" w:space="0" w:color="auto"/>
            </w:tcBorders>
            <w:noWrap/>
            <w:hideMark/>
          </w:tcPr>
          <w:p w14:paraId="65350B90"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tcBorders>
              <w:bottom w:val="single" w:sz="4" w:space="0" w:color="auto"/>
            </w:tcBorders>
            <w:noWrap/>
            <w:hideMark/>
          </w:tcPr>
          <w:p w14:paraId="3F098B93" w14:textId="77777777" w:rsidR="00CE75D4" w:rsidRPr="009A3ED9" w:rsidRDefault="00CE75D4" w:rsidP="008340C1">
            <w:pPr>
              <w:pStyle w:val="ARfintablebodyrightbold"/>
              <w:spacing w:before="10" w:after="10" w:line="228" w:lineRule="auto"/>
              <w:ind w:right="0"/>
              <w:rPr>
                <w:sz w:val="16"/>
              </w:rPr>
            </w:pPr>
            <w:r>
              <w:rPr>
                <w:sz w:val="16"/>
              </w:rPr>
              <w:t>–</w:t>
            </w:r>
          </w:p>
        </w:tc>
        <w:tc>
          <w:tcPr>
            <w:tcW w:w="851" w:type="dxa"/>
            <w:tcBorders>
              <w:bottom w:val="single" w:sz="4" w:space="0" w:color="auto"/>
            </w:tcBorders>
            <w:noWrap/>
            <w:hideMark/>
          </w:tcPr>
          <w:p w14:paraId="6C3C4E55" w14:textId="77777777" w:rsidR="00CE75D4" w:rsidRPr="009A3ED9" w:rsidRDefault="00CE75D4" w:rsidP="008340C1">
            <w:pPr>
              <w:pStyle w:val="ARfintablebodyrightbold"/>
              <w:spacing w:before="10" w:after="10" w:line="228" w:lineRule="auto"/>
              <w:ind w:right="0"/>
              <w:rPr>
                <w:sz w:val="16"/>
              </w:rPr>
            </w:pPr>
            <w:r w:rsidRPr="009A3ED9">
              <w:rPr>
                <w:sz w:val="16"/>
              </w:rPr>
              <w:t>25.1</w:t>
            </w:r>
          </w:p>
        </w:tc>
      </w:tr>
      <w:tr w:rsidR="00CE75D4" w:rsidRPr="00C0495C" w14:paraId="45698C38" w14:textId="77777777" w:rsidTr="008340C1">
        <w:trPr>
          <w:cantSplit w:val="0"/>
          <w:trHeight w:val="170"/>
        </w:trPr>
        <w:tc>
          <w:tcPr>
            <w:tcW w:w="3402" w:type="dxa"/>
            <w:gridSpan w:val="14"/>
            <w:tcBorders>
              <w:top w:val="single" w:sz="4" w:space="0" w:color="A6A6A6"/>
              <w:bottom w:val="single" w:sz="4" w:space="0" w:color="A6A6A6"/>
            </w:tcBorders>
          </w:tcPr>
          <w:p w14:paraId="74CF07C2" w14:textId="77777777" w:rsidR="00CE75D4" w:rsidRPr="009A3ED9" w:rsidRDefault="00CE75D4" w:rsidP="008340C1">
            <w:pPr>
              <w:pStyle w:val="ARfintablebodybold"/>
              <w:spacing w:before="10" w:after="10" w:line="228" w:lineRule="auto"/>
              <w:rPr>
                <w:rFonts w:cs="Arial"/>
                <w:sz w:val="16"/>
              </w:rPr>
            </w:pPr>
            <w:r w:rsidRPr="009A3ED9">
              <w:rPr>
                <w:rFonts w:cs="Arial"/>
                <w:sz w:val="16"/>
              </w:rPr>
              <w:t xml:space="preserve">Administered other economic flows </w:t>
            </w:r>
            <w:r>
              <w:rPr>
                <w:rFonts w:cs="Arial"/>
                <w:sz w:val="16"/>
              </w:rPr>
              <w:br/>
            </w:r>
            <w:r w:rsidRPr="009A3ED9">
              <w:rPr>
                <w:rFonts w:cs="Arial"/>
                <w:sz w:val="16"/>
              </w:rPr>
              <w:t>included in net result</w:t>
            </w:r>
          </w:p>
        </w:tc>
      </w:tr>
      <w:tr w:rsidR="00CE75D4" w:rsidRPr="00C0495C" w14:paraId="2B78979C" w14:textId="77777777" w:rsidTr="008340C1">
        <w:trPr>
          <w:cantSplit w:val="0"/>
          <w:trHeight w:val="170"/>
        </w:trPr>
        <w:tc>
          <w:tcPr>
            <w:tcW w:w="3402" w:type="dxa"/>
            <w:tcBorders>
              <w:top w:val="single" w:sz="4" w:space="0" w:color="A6A6A6"/>
              <w:bottom w:val="single" w:sz="4" w:space="0" w:color="A6A6A6"/>
            </w:tcBorders>
            <w:hideMark/>
          </w:tcPr>
          <w:p w14:paraId="7D352C03" w14:textId="77777777" w:rsidR="00CE75D4" w:rsidRPr="009A3ED9" w:rsidRDefault="00CE75D4" w:rsidP="008340C1">
            <w:pPr>
              <w:pStyle w:val="ARfintablebody"/>
              <w:spacing w:before="10" w:after="10" w:line="228" w:lineRule="auto"/>
              <w:rPr>
                <w:sz w:val="16"/>
              </w:rPr>
            </w:pPr>
            <w:r w:rsidRPr="009A3ED9">
              <w:rPr>
                <w:sz w:val="16"/>
              </w:rPr>
              <w:t>Net gain/(loss) on non-financial assets</w:t>
            </w:r>
          </w:p>
        </w:tc>
        <w:tc>
          <w:tcPr>
            <w:tcW w:w="851" w:type="dxa"/>
            <w:tcBorders>
              <w:top w:val="single" w:sz="4" w:space="0" w:color="A6A6A6"/>
              <w:bottom w:val="single" w:sz="4" w:space="0" w:color="A6A6A6"/>
            </w:tcBorders>
            <w:noWrap/>
            <w:hideMark/>
          </w:tcPr>
          <w:p w14:paraId="7BE66FF7"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526240C1"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1E5B06DB"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2522B1C3"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3F0A5424"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0A4ABBCD"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70136F54"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34A2CAC6"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6449DEED"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00FA1181"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147E2874"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46E2B286"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bottom w:val="single" w:sz="4" w:space="0" w:color="A6A6A6"/>
            </w:tcBorders>
            <w:noWrap/>
            <w:hideMark/>
          </w:tcPr>
          <w:p w14:paraId="01E78F7E" w14:textId="77777777" w:rsidR="00CE75D4" w:rsidRPr="009A3ED9" w:rsidRDefault="00CE75D4" w:rsidP="008340C1">
            <w:pPr>
              <w:pStyle w:val="ARfintablebodyright"/>
              <w:spacing w:before="10" w:after="10" w:line="228" w:lineRule="auto"/>
              <w:ind w:right="0"/>
              <w:rPr>
                <w:sz w:val="16"/>
              </w:rPr>
            </w:pPr>
            <w:r w:rsidRPr="009A3ED9">
              <w:rPr>
                <w:sz w:val="16"/>
              </w:rPr>
              <w:t>–</w:t>
            </w:r>
          </w:p>
        </w:tc>
      </w:tr>
      <w:tr w:rsidR="00CE75D4" w:rsidRPr="00C0495C" w14:paraId="617B3AB4" w14:textId="77777777" w:rsidTr="008340C1">
        <w:trPr>
          <w:cantSplit w:val="0"/>
          <w:trHeight w:val="170"/>
        </w:trPr>
        <w:tc>
          <w:tcPr>
            <w:tcW w:w="3402" w:type="dxa"/>
            <w:tcBorders>
              <w:top w:val="single" w:sz="4" w:space="0" w:color="A6A6A6"/>
            </w:tcBorders>
            <w:hideMark/>
          </w:tcPr>
          <w:p w14:paraId="4C5D1669" w14:textId="77777777" w:rsidR="00CE75D4" w:rsidRPr="009A3ED9" w:rsidRDefault="00CE75D4" w:rsidP="008340C1">
            <w:pPr>
              <w:pStyle w:val="ARfintablebody"/>
              <w:spacing w:before="10" w:after="10" w:line="228" w:lineRule="auto"/>
              <w:rPr>
                <w:sz w:val="16"/>
              </w:rPr>
            </w:pPr>
            <w:r w:rsidRPr="009A3ED9">
              <w:rPr>
                <w:sz w:val="16"/>
              </w:rPr>
              <w:t>Other gains/(losses) from other economic flows</w:t>
            </w:r>
          </w:p>
        </w:tc>
        <w:tc>
          <w:tcPr>
            <w:tcW w:w="851" w:type="dxa"/>
            <w:tcBorders>
              <w:top w:val="single" w:sz="4" w:space="0" w:color="A6A6A6"/>
            </w:tcBorders>
            <w:noWrap/>
            <w:hideMark/>
          </w:tcPr>
          <w:p w14:paraId="2A31A9B7" w14:textId="77777777" w:rsidR="00CE75D4" w:rsidRPr="009A3ED9" w:rsidRDefault="00CE75D4" w:rsidP="008340C1">
            <w:pPr>
              <w:pStyle w:val="ARfintablebodyright"/>
              <w:spacing w:before="10" w:after="10" w:line="228" w:lineRule="auto"/>
              <w:ind w:right="0"/>
              <w:rPr>
                <w:sz w:val="16"/>
              </w:rPr>
            </w:pPr>
            <w:r w:rsidRPr="009A3ED9">
              <w:rPr>
                <w:sz w:val="16"/>
              </w:rPr>
              <w:t>8.8</w:t>
            </w:r>
          </w:p>
        </w:tc>
        <w:tc>
          <w:tcPr>
            <w:tcW w:w="851" w:type="dxa"/>
            <w:tcBorders>
              <w:top w:val="single" w:sz="4" w:space="0" w:color="A6A6A6"/>
            </w:tcBorders>
            <w:noWrap/>
            <w:hideMark/>
          </w:tcPr>
          <w:p w14:paraId="4E4896B7"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51CABE06"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69E8DA52"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250C7C71"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6B0ED02B"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3254E8A6"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7E6DF8D9"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5BF0A726"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3A49427C"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2788552E"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3438A027" w14:textId="77777777" w:rsidR="00CE75D4" w:rsidRPr="009A3ED9" w:rsidRDefault="00CE75D4" w:rsidP="008340C1">
            <w:pPr>
              <w:pStyle w:val="ARfintablebodyright"/>
              <w:spacing w:before="10" w:after="10" w:line="228" w:lineRule="auto"/>
              <w:ind w:right="0"/>
              <w:rPr>
                <w:sz w:val="16"/>
              </w:rPr>
            </w:pPr>
            <w:r w:rsidRPr="009A3ED9">
              <w:rPr>
                <w:sz w:val="16"/>
              </w:rPr>
              <w:t>–</w:t>
            </w:r>
          </w:p>
        </w:tc>
        <w:tc>
          <w:tcPr>
            <w:tcW w:w="851" w:type="dxa"/>
            <w:tcBorders>
              <w:top w:val="single" w:sz="4" w:space="0" w:color="A6A6A6"/>
            </w:tcBorders>
            <w:noWrap/>
            <w:hideMark/>
          </w:tcPr>
          <w:p w14:paraId="7B64B4DB" w14:textId="77777777" w:rsidR="00CE75D4" w:rsidRPr="009A3ED9" w:rsidRDefault="00CE75D4" w:rsidP="008340C1">
            <w:pPr>
              <w:pStyle w:val="ARfintablebodyright"/>
              <w:spacing w:before="10" w:after="10" w:line="228" w:lineRule="auto"/>
              <w:ind w:right="0"/>
              <w:rPr>
                <w:sz w:val="16"/>
              </w:rPr>
            </w:pPr>
            <w:r w:rsidRPr="009A3ED9">
              <w:rPr>
                <w:sz w:val="16"/>
              </w:rPr>
              <w:t>–</w:t>
            </w:r>
          </w:p>
        </w:tc>
      </w:tr>
      <w:tr w:rsidR="00CE75D4" w:rsidRPr="00C0495C" w14:paraId="6484BE17" w14:textId="77777777" w:rsidTr="008340C1">
        <w:trPr>
          <w:cantSplit w:val="0"/>
          <w:trHeight w:val="170"/>
        </w:trPr>
        <w:tc>
          <w:tcPr>
            <w:tcW w:w="3402" w:type="dxa"/>
            <w:hideMark/>
          </w:tcPr>
          <w:p w14:paraId="4F88030D" w14:textId="77777777" w:rsidR="00CE75D4" w:rsidRPr="009A3ED9" w:rsidRDefault="00CE75D4" w:rsidP="008340C1">
            <w:pPr>
              <w:pStyle w:val="ARfintablebodybold"/>
              <w:spacing w:before="10" w:after="10" w:line="228" w:lineRule="auto"/>
              <w:rPr>
                <w:rFonts w:cs="Arial"/>
                <w:sz w:val="16"/>
              </w:rPr>
            </w:pPr>
            <w:r w:rsidRPr="009A3ED9">
              <w:rPr>
                <w:rFonts w:cs="Arial"/>
                <w:sz w:val="16"/>
              </w:rPr>
              <w:t>Total administered other economic flows</w:t>
            </w:r>
          </w:p>
        </w:tc>
        <w:tc>
          <w:tcPr>
            <w:tcW w:w="851" w:type="dxa"/>
            <w:noWrap/>
            <w:hideMark/>
          </w:tcPr>
          <w:p w14:paraId="2FE9E6A3" w14:textId="77777777" w:rsidR="00CE75D4" w:rsidRPr="009A3ED9" w:rsidRDefault="00CE75D4" w:rsidP="008340C1">
            <w:pPr>
              <w:pStyle w:val="ARfintablebodyrightbold"/>
              <w:spacing w:before="10" w:after="10" w:line="228" w:lineRule="auto"/>
              <w:ind w:right="0"/>
              <w:rPr>
                <w:sz w:val="16"/>
              </w:rPr>
            </w:pPr>
            <w:r w:rsidRPr="009A3ED9">
              <w:rPr>
                <w:sz w:val="16"/>
              </w:rPr>
              <w:t>8.8</w:t>
            </w:r>
          </w:p>
        </w:tc>
        <w:tc>
          <w:tcPr>
            <w:tcW w:w="851" w:type="dxa"/>
            <w:noWrap/>
            <w:hideMark/>
          </w:tcPr>
          <w:p w14:paraId="3B41B7AF"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noWrap/>
            <w:hideMark/>
          </w:tcPr>
          <w:p w14:paraId="63307E74"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noWrap/>
            <w:hideMark/>
          </w:tcPr>
          <w:p w14:paraId="567005BA"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noWrap/>
            <w:hideMark/>
          </w:tcPr>
          <w:p w14:paraId="22988564"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noWrap/>
            <w:hideMark/>
          </w:tcPr>
          <w:p w14:paraId="5042187B"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noWrap/>
            <w:hideMark/>
          </w:tcPr>
          <w:p w14:paraId="12B207A5"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noWrap/>
            <w:hideMark/>
          </w:tcPr>
          <w:p w14:paraId="52DBFA11"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noWrap/>
            <w:hideMark/>
          </w:tcPr>
          <w:p w14:paraId="5C152FB2"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noWrap/>
            <w:hideMark/>
          </w:tcPr>
          <w:p w14:paraId="33D3B17B"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noWrap/>
            <w:hideMark/>
          </w:tcPr>
          <w:p w14:paraId="5B4C9226"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noWrap/>
            <w:hideMark/>
          </w:tcPr>
          <w:p w14:paraId="238FAD2C"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noWrap/>
            <w:hideMark/>
          </w:tcPr>
          <w:p w14:paraId="59F34401" w14:textId="77777777" w:rsidR="00CE75D4" w:rsidRPr="009A3ED9" w:rsidRDefault="00CE75D4" w:rsidP="008340C1">
            <w:pPr>
              <w:pStyle w:val="ARfintablebodyrightbold"/>
              <w:spacing w:before="10" w:after="10" w:line="228" w:lineRule="auto"/>
              <w:ind w:right="0"/>
              <w:rPr>
                <w:sz w:val="16"/>
              </w:rPr>
            </w:pPr>
            <w:r w:rsidRPr="009A3ED9">
              <w:rPr>
                <w:sz w:val="16"/>
              </w:rPr>
              <w:t>–</w:t>
            </w:r>
          </w:p>
        </w:tc>
      </w:tr>
      <w:tr w:rsidR="00CE75D4" w:rsidRPr="00C0495C" w14:paraId="45CF1F11" w14:textId="77777777" w:rsidTr="008340C1">
        <w:trPr>
          <w:cantSplit w:val="0"/>
          <w:trHeight w:val="170"/>
        </w:trPr>
        <w:tc>
          <w:tcPr>
            <w:tcW w:w="3402" w:type="dxa"/>
            <w:hideMark/>
          </w:tcPr>
          <w:p w14:paraId="537D6F7E" w14:textId="77777777" w:rsidR="00CE75D4" w:rsidRPr="009A3ED9" w:rsidRDefault="00CE75D4" w:rsidP="008340C1">
            <w:pPr>
              <w:pStyle w:val="ARfintablebodybold"/>
              <w:spacing w:before="10" w:after="10" w:line="228" w:lineRule="auto"/>
              <w:rPr>
                <w:rFonts w:cs="Arial"/>
                <w:sz w:val="16"/>
              </w:rPr>
            </w:pPr>
            <w:r w:rsidRPr="009A3ED9">
              <w:rPr>
                <w:rFonts w:cs="Arial"/>
                <w:sz w:val="16"/>
              </w:rPr>
              <w:t>Administered net result</w:t>
            </w:r>
          </w:p>
        </w:tc>
        <w:tc>
          <w:tcPr>
            <w:tcW w:w="851" w:type="dxa"/>
            <w:noWrap/>
            <w:hideMark/>
          </w:tcPr>
          <w:p w14:paraId="0E2B0746" w14:textId="77777777" w:rsidR="00CE75D4" w:rsidRPr="009A3ED9" w:rsidRDefault="00CE75D4" w:rsidP="008340C1">
            <w:pPr>
              <w:pStyle w:val="ARfintablebodyrightbold"/>
              <w:spacing w:before="10" w:after="10" w:line="228" w:lineRule="auto"/>
              <w:ind w:right="0"/>
              <w:rPr>
                <w:sz w:val="16"/>
              </w:rPr>
            </w:pPr>
            <w:r w:rsidRPr="009A3ED9">
              <w:rPr>
                <w:sz w:val="16"/>
              </w:rPr>
              <w:t>(11.5)</w:t>
            </w:r>
          </w:p>
        </w:tc>
        <w:tc>
          <w:tcPr>
            <w:tcW w:w="851" w:type="dxa"/>
            <w:noWrap/>
            <w:hideMark/>
          </w:tcPr>
          <w:p w14:paraId="23C2BB62" w14:textId="77777777" w:rsidR="00CE75D4" w:rsidRPr="009A3ED9" w:rsidRDefault="00CE75D4" w:rsidP="008340C1">
            <w:pPr>
              <w:pStyle w:val="ARfintablebodyrightbold"/>
              <w:spacing w:before="10" w:after="10" w:line="228" w:lineRule="auto"/>
              <w:ind w:right="0"/>
              <w:rPr>
                <w:sz w:val="16"/>
              </w:rPr>
            </w:pPr>
            <w:r w:rsidRPr="009A3ED9">
              <w:rPr>
                <w:sz w:val="16"/>
              </w:rPr>
              <w:t>7.3</w:t>
            </w:r>
          </w:p>
        </w:tc>
        <w:tc>
          <w:tcPr>
            <w:tcW w:w="851" w:type="dxa"/>
            <w:noWrap/>
            <w:hideMark/>
          </w:tcPr>
          <w:p w14:paraId="009B65DD" w14:textId="77777777" w:rsidR="00CE75D4" w:rsidRPr="009A3ED9" w:rsidRDefault="00CE75D4" w:rsidP="008340C1">
            <w:pPr>
              <w:pStyle w:val="ARfintablebodyrightbold"/>
              <w:spacing w:before="10" w:after="10" w:line="228" w:lineRule="auto"/>
              <w:ind w:right="0"/>
              <w:rPr>
                <w:sz w:val="16"/>
              </w:rPr>
            </w:pPr>
            <w:r w:rsidRPr="009A3ED9">
              <w:rPr>
                <w:sz w:val="16"/>
              </w:rPr>
              <w:t>29.7</w:t>
            </w:r>
          </w:p>
        </w:tc>
        <w:tc>
          <w:tcPr>
            <w:tcW w:w="851" w:type="dxa"/>
            <w:noWrap/>
            <w:hideMark/>
          </w:tcPr>
          <w:p w14:paraId="649F78CB" w14:textId="77777777" w:rsidR="00CE75D4" w:rsidRPr="009A3ED9" w:rsidRDefault="00CE75D4" w:rsidP="008340C1">
            <w:pPr>
              <w:pStyle w:val="ARfintablebodyrightbold"/>
              <w:spacing w:before="10" w:after="10" w:line="228" w:lineRule="auto"/>
              <w:ind w:right="0"/>
              <w:rPr>
                <w:sz w:val="16"/>
              </w:rPr>
            </w:pPr>
            <w:r w:rsidRPr="009A3ED9">
              <w:rPr>
                <w:sz w:val="16"/>
              </w:rPr>
              <w:t>2.5</w:t>
            </w:r>
          </w:p>
        </w:tc>
        <w:tc>
          <w:tcPr>
            <w:tcW w:w="851" w:type="dxa"/>
            <w:noWrap/>
            <w:hideMark/>
          </w:tcPr>
          <w:p w14:paraId="54E9F5B6"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noWrap/>
            <w:hideMark/>
          </w:tcPr>
          <w:p w14:paraId="2E8436FD"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noWrap/>
            <w:hideMark/>
          </w:tcPr>
          <w:p w14:paraId="213E42A8"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noWrap/>
            <w:hideMark/>
          </w:tcPr>
          <w:p w14:paraId="6C8FEA17"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noWrap/>
            <w:hideMark/>
          </w:tcPr>
          <w:p w14:paraId="681463FF"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noWrap/>
            <w:hideMark/>
          </w:tcPr>
          <w:p w14:paraId="714D2033" w14:textId="77777777" w:rsidR="00CE75D4" w:rsidRPr="009A3ED9" w:rsidRDefault="00CE75D4" w:rsidP="008340C1">
            <w:pPr>
              <w:pStyle w:val="ARfintablebodyrightbold"/>
              <w:spacing w:before="10" w:after="10" w:line="228" w:lineRule="auto"/>
              <w:ind w:right="0"/>
              <w:rPr>
                <w:sz w:val="16"/>
              </w:rPr>
            </w:pPr>
            <w:r>
              <w:rPr>
                <w:sz w:val="16"/>
              </w:rPr>
              <w:t>–</w:t>
            </w:r>
          </w:p>
        </w:tc>
        <w:tc>
          <w:tcPr>
            <w:tcW w:w="851" w:type="dxa"/>
            <w:noWrap/>
            <w:hideMark/>
          </w:tcPr>
          <w:p w14:paraId="36D93A51" w14:textId="77777777" w:rsidR="00CE75D4" w:rsidRPr="009A3ED9" w:rsidRDefault="00CE75D4" w:rsidP="008340C1">
            <w:pPr>
              <w:pStyle w:val="ARfintablebodyrightbold"/>
              <w:spacing w:before="10" w:after="10" w:line="228" w:lineRule="auto"/>
              <w:ind w:right="0"/>
              <w:rPr>
                <w:sz w:val="16"/>
              </w:rPr>
            </w:pPr>
            <w:r w:rsidRPr="009A3ED9">
              <w:rPr>
                <w:sz w:val="16"/>
              </w:rPr>
              <w:t>–</w:t>
            </w:r>
          </w:p>
        </w:tc>
        <w:tc>
          <w:tcPr>
            <w:tcW w:w="851" w:type="dxa"/>
            <w:noWrap/>
            <w:hideMark/>
          </w:tcPr>
          <w:p w14:paraId="469EFD95" w14:textId="77777777" w:rsidR="00CE75D4" w:rsidRPr="009A3ED9" w:rsidRDefault="00CE75D4" w:rsidP="008340C1">
            <w:pPr>
              <w:pStyle w:val="ARfintablebodyrightbold"/>
              <w:spacing w:before="10" w:after="10" w:line="228" w:lineRule="auto"/>
              <w:ind w:right="0"/>
              <w:rPr>
                <w:sz w:val="16"/>
              </w:rPr>
            </w:pPr>
            <w:r>
              <w:rPr>
                <w:sz w:val="16"/>
              </w:rPr>
              <w:t>–</w:t>
            </w:r>
          </w:p>
        </w:tc>
        <w:tc>
          <w:tcPr>
            <w:tcW w:w="851" w:type="dxa"/>
            <w:noWrap/>
            <w:hideMark/>
          </w:tcPr>
          <w:p w14:paraId="5C7313E5" w14:textId="77777777" w:rsidR="00CE75D4" w:rsidRPr="009A3ED9" w:rsidRDefault="00CE75D4" w:rsidP="008340C1">
            <w:pPr>
              <w:pStyle w:val="ARfintablebodyrightbold"/>
              <w:spacing w:before="10" w:after="10" w:line="228" w:lineRule="auto"/>
              <w:ind w:right="0"/>
              <w:rPr>
                <w:sz w:val="16"/>
              </w:rPr>
            </w:pPr>
            <w:r w:rsidRPr="009A3ED9">
              <w:rPr>
                <w:sz w:val="16"/>
              </w:rPr>
              <w:t>25.1</w:t>
            </w:r>
          </w:p>
        </w:tc>
      </w:tr>
    </w:tbl>
    <w:p w14:paraId="35E7B814" w14:textId="77777777" w:rsidR="00CE75D4" w:rsidRPr="005B53BA" w:rsidRDefault="00CE75D4" w:rsidP="008340C1">
      <w:pPr>
        <w:pStyle w:val="ARfintablefootnote"/>
        <w:rPr>
          <w:sz w:val="15"/>
          <w:szCs w:val="15"/>
        </w:rPr>
      </w:pPr>
      <w:r w:rsidRPr="005B53BA">
        <w:rPr>
          <w:sz w:val="15"/>
          <w:szCs w:val="15"/>
        </w:rPr>
        <w:t>Notes:</w:t>
      </w:r>
    </w:p>
    <w:p w14:paraId="158D9622" w14:textId="77777777" w:rsidR="00CE75D4" w:rsidRPr="005B53BA" w:rsidRDefault="00CE75D4" w:rsidP="008340C1">
      <w:pPr>
        <w:pStyle w:val="ARfintablefootnoteindent"/>
        <w:rPr>
          <w:sz w:val="15"/>
          <w:szCs w:val="15"/>
        </w:rPr>
      </w:pPr>
      <w:r w:rsidRPr="005B53BA">
        <w:rPr>
          <w:sz w:val="15"/>
          <w:szCs w:val="15"/>
        </w:rPr>
        <w:t>(i)</w:t>
      </w:r>
      <w:r w:rsidRPr="005B53BA">
        <w:rPr>
          <w:sz w:val="15"/>
          <w:szCs w:val="15"/>
        </w:rPr>
        <w:tab/>
        <w:t>Refer to Note 4.1.1(a) for output definitions.</w:t>
      </w:r>
    </w:p>
    <w:p w14:paraId="73C55909" w14:textId="77777777" w:rsidR="00CE75D4" w:rsidRPr="00182C99" w:rsidRDefault="00CE75D4" w:rsidP="008340C1">
      <w:pPr>
        <w:pStyle w:val="ARfintablefootnoteindent"/>
      </w:pPr>
      <w:r w:rsidRPr="005B53BA">
        <w:rPr>
          <w:sz w:val="15"/>
          <w:szCs w:val="15"/>
        </w:rPr>
        <w:t>(ii)</w:t>
      </w:r>
      <w:r w:rsidRPr="005B53BA">
        <w:rPr>
          <w:sz w:val="15"/>
          <w:szCs w:val="15"/>
        </w:rPr>
        <w:tab/>
        <w:t xml:space="preserve">Output 25 Shared Services is not applicable for administered </w:t>
      </w:r>
      <w:r w:rsidRPr="00EC013F">
        <w:rPr>
          <w:sz w:val="15"/>
          <w:szCs w:val="15"/>
        </w:rPr>
        <w:t>entity</w:t>
      </w:r>
      <w:r w:rsidRPr="005B53BA">
        <w:rPr>
          <w:sz w:val="15"/>
          <w:szCs w:val="15"/>
        </w:rPr>
        <w:t>.</w:t>
      </w:r>
      <w:r w:rsidRPr="00182C99">
        <w:br w:type="page"/>
      </w:r>
    </w:p>
    <w:p w14:paraId="74F5A16E" w14:textId="77777777" w:rsidR="00CE75D4" w:rsidRPr="00AF0E05" w:rsidRDefault="00CE75D4" w:rsidP="008340C1">
      <w:pPr>
        <w:pStyle w:val="Heading6"/>
        <w:spacing w:before="80" w:after="160"/>
        <w:rPr>
          <w:lang w:eastAsia="en-AU"/>
        </w:rPr>
      </w:pPr>
      <w:r>
        <w:rPr>
          <w:lang w:eastAsia="en-AU"/>
        </w:rPr>
        <w:t>B. 2022 (continued) – Outputs 14–25 and total of outputs 1–25</w:t>
      </w:r>
    </w:p>
    <w:tbl>
      <w:tblPr>
        <w:tblStyle w:val="TableGrid"/>
        <w:tblW w:w="14459" w:type="dxa"/>
        <w:tblLayout w:type="fixed"/>
        <w:tblCellMar>
          <w:right w:w="0" w:type="dxa"/>
        </w:tblCellMar>
        <w:tblLook w:val="06A0" w:firstRow="1" w:lastRow="0" w:firstColumn="1" w:lastColumn="0" w:noHBand="1" w:noVBand="1"/>
      </w:tblPr>
      <w:tblGrid>
        <w:gridCol w:w="3400"/>
        <w:gridCol w:w="850"/>
        <w:gridCol w:w="850"/>
        <w:gridCol w:w="850"/>
        <w:gridCol w:w="850"/>
        <w:gridCol w:w="851"/>
        <w:gridCol w:w="851"/>
        <w:gridCol w:w="851"/>
        <w:gridCol w:w="851"/>
        <w:gridCol w:w="851"/>
        <w:gridCol w:w="851"/>
        <w:gridCol w:w="851"/>
        <w:gridCol w:w="851"/>
        <w:gridCol w:w="851"/>
      </w:tblGrid>
      <w:tr w:rsidR="00CE75D4" w:rsidRPr="00C0495C" w14:paraId="4153BDC6" w14:textId="77777777" w:rsidTr="008340C1">
        <w:trPr>
          <w:cnfStyle w:val="100000000000" w:firstRow="1" w:lastRow="0" w:firstColumn="0" w:lastColumn="0" w:oddVBand="0" w:evenVBand="0" w:oddHBand="0" w:evenHBand="0" w:firstRowFirstColumn="0" w:firstRowLastColumn="0" w:lastRowFirstColumn="0" w:lastRowLastColumn="0"/>
          <w:trHeight w:val="170"/>
        </w:trPr>
        <w:tc>
          <w:tcPr>
            <w:tcW w:w="3400" w:type="dxa"/>
            <w:tcBorders>
              <w:bottom w:val="single" w:sz="4" w:space="0" w:color="auto"/>
            </w:tcBorders>
            <w:hideMark/>
          </w:tcPr>
          <w:p w14:paraId="0E3F0036" w14:textId="77777777" w:rsidR="00CE75D4" w:rsidRDefault="00CE75D4" w:rsidP="008340C1">
            <w:pPr>
              <w:pStyle w:val="ARfintablecolhead"/>
              <w:spacing w:before="20" w:after="16" w:line="228" w:lineRule="auto"/>
              <w:rPr>
                <w:rFonts w:cs="Arial"/>
                <w:sz w:val="16"/>
              </w:rPr>
            </w:pPr>
            <w:r w:rsidRPr="00C0495C">
              <w:rPr>
                <w:rFonts w:cs="Arial"/>
                <w:sz w:val="16"/>
              </w:rPr>
              <w:t>Year ended 30 June 2022</w:t>
            </w:r>
          </w:p>
          <w:p w14:paraId="21F7C5DA" w14:textId="77777777" w:rsidR="00CE75D4" w:rsidRPr="00C0495C" w:rsidRDefault="00CE75D4" w:rsidP="008340C1">
            <w:pPr>
              <w:pStyle w:val="ARfintablecolhead"/>
              <w:spacing w:before="20" w:after="16" w:line="228" w:lineRule="auto"/>
              <w:rPr>
                <w:rFonts w:cs="Arial"/>
                <w:sz w:val="16"/>
              </w:rPr>
            </w:pPr>
            <w:r w:rsidRPr="00C0495C">
              <w:rPr>
                <w:rFonts w:cs="Arial"/>
                <w:sz w:val="16"/>
              </w:rPr>
              <w:t xml:space="preserve">Output </w:t>
            </w:r>
            <w:r w:rsidRPr="00C0495C">
              <w:rPr>
                <w:rStyle w:val="Superscript"/>
              </w:rPr>
              <w:t>(i)</w:t>
            </w:r>
          </w:p>
        </w:tc>
        <w:tc>
          <w:tcPr>
            <w:tcW w:w="850" w:type="dxa"/>
            <w:tcBorders>
              <w:bottom w:val="single" w:sz="4" w:space="0" w:color="auto"/>
            </w:tcBorders>
            <w:hideMark/>
          </w:tcPr>
          <w:p w14:paraId="396DF272" w14:textId="77777777" w:rsidR="00CE75D4" w:rsidRDefault="00CE75D4" w:rsidP="008340C1">
            <w:pPr>
              <w:pStyle w:val="ARfintablecolheadright"/>
              <w:spacing w:before="20" w:after="16" w:line="228" w:lineRule="auto"/>
              <w:ind w:right="0"/>
              <w:rPr>
                <w:rFonts w:cs="Arial"/>
                <w:sz w:val="16"/>
              </w:rPr>
            </w:pPr>
            <w:r w:rsidRPr="00C0495C">
              <w:rPr>
                <w:rFonts w:cs="Arial"/>
                <w:sz w:val="16"/>
              </w:rPr>
              <w:t xml:space="preserve">14 </w:t>
            </w:r>
          </w:p>
          <w:p w14:paraId="49FAC65F" w14:textId="77777777" w:rsidR="00CE75D4" w:rsidRPr="00C0495C" w:rsidRDefault="00CE75D4" w:rsidP="008340C1">
            <w:pPr>
              <w:pStyle w:val="ARfintablecolheadright"/>
              <w:spacing w:before="20" w:after="16" w:line="228" w:lineRule="auto"/>
              <w:ind w:right="0"/>
              <w:rPr>
                <w:rFonts w:cs="Arial"/>
                <w:sz w:val="16"/>
              </w:rPr>
            </w:pPr>
            <w:r w:rsidRPr="00C0495C">
              <w:rPr>
                <w:rFonts w:cs="Arial"/>
                <w:sz w:val="16"/>
              </w:rPr>
              <w:t>$M</w:t>
            </w:r>
          </w:p>
        </w:tc>
        <w:tc>
          <w:tcPr>
            <w:tcW w:w="850" w:type="dxa"/>
            <w:tcBorders>
              <w:bottom w:val="single" w:sz="4" w:space="0" w:color="auto"/>
            </w:tcBorders>
            <w:hideMark/>
          </w:tcPr>
          <w:p w14:paraId="349904E0" w14:textId="77777777" w:rsidR="00CE75D4" w:rsidRDefault="00CE75D4" w:rsidP="008340C1">
            <w:pPr>
              <w:pStyle w:val="ARfintablecolheadright"/>
              <w:spacing w:before="20" w:after="16" w:line="228" w:lineRule="auto"/>
              <w:ind w:right="0"/>
              <w:rPr>
                <w:rFonts w:cs="Arial"/>
                <w:sz w:val="16"/>
              </w:rPr>
            </w:pPr>
            <w:r w:rsidRPr="00C0495C">
              <w:rPr>
                <w:rFonts w:cs="Arial"/>
                <w:sz w:val="16"/>
              </w:rPr>
              <w:t>15</w:t>
            </w:r>
          </w:p>
          <w:p w14:paraId="6D5CE176" w14:textId="77777777" w:rsidR="00CE75D4" w:rsidRPr="00C0495C" w:rsidRDefault="00CE75D4" w:rsidP="008340C1">
            <w:pPr>
              <w:pStyle w:val="ARfintablecolheadright"/>
              <w:spacing w:before="20" w:after="16" w:line="228" w:lineRule="auto"/>
              <w:ind w:right="0"/>
              <w:rPr>
                <w:rFonts w:cs="Arial"/>
                <w:sz w:val="16"/>
              </w:rPr>
            </w:pPr>
            <w:r w:rsidRPr="00C0495C">
              <w:rPr>
                <w:rFonts w:cs="Arial"/>
                <w:sz w:val="16"/>
              </w:rPr>
              <w:t>$M</w:t>
            </w:r>
          </w:p>
        </w:tc>
        <w:tc>
          <w:tcPr>
            <w:tcW w:w="850" w:type="dxa"/>
            <w:tcBorders>
              <w:bottom w:val="single" w:sz="4" w:space="0" w:color="auto"/>
            </w:tcBorders>
            <w:hideMark/>
          </w:tcPr>
          <w:p w14:paraId="1F424EC6" w14:textId="77777777" w:rsidR="00CE75D4" w:rsidRDefault="00CE75D4" w:rsidP="008340C1">
            <w:pPr>
              <w:pStyle w:val="ARfintablecolheadright"/>
              <w:spacing w:before="20" w:after="16" w:line="228" w:lineRule="auto"/>
              <w:ind w:right="0"/>
              <w:rPr>
                <w:rFonts w:cs="Arial"/>
                <w:sz w:val="16"/>
              </w:rPr>
            </w:pPr>
            <w:r w:rsidRPr="00C0495C">
              <w:rPr>
                <w:rFonts w:cs="Arial"/>
                <w:sz w:val="16"/>
              </w:rPr>
              <w:t>16</w:t>
            </w:r>
          </w:p>
          <w:p w14:paraId="4DD4D2C7" w14:textId="77777777" w:rsidR="00CE75D4" w:rsidRPr="00C0495C" w:rsidRDefault="00CE75D4" w:rsidP="008340C1">
            <w:pPr>
              <w:pStyle w:val="ARfintablecolheadright"/>
              <w:spacing w:before="20" w:after="16" w:line="228" w:lineRule="auto"/>
              <w:ind w:right="0"/>
              <w:rPr>
                <w:rFonts w:cs="Arial"/>
                <w:sz w:val="16"/>
              </w:rPr>
            </w:pPr>
            <w:r w:rsidRPr="00C0495C">
              <w:rPr>
                <w:rFonts w:cs="Arial"/>
                <w:sz w:val="16"/>
              </w:rPr>
              <w:t>$M</w:t>
            </w:r>
          </w:p>
        </w:tc>
        <w:tc>
          <w:tcPr>
            <w:tcW w:w="850" w:type="dxa"/>
            <w:tcBorders>
              <w:bottom w:val="single" w:sz="4" w:space="0" w:color="auto"/>
            </w:tcBorders>
            <w:hideMark/>
          </w:tcPr>
          <w:p w14:paraId="78A6F5C1" w14:textId="77777777" w:rsidR="00CE75D4" w:rsidRDefault="00CE75D4" w:rsidP="008340C1">
            <w:pPr>
              <w:pStyle w:val="ARfintablecolheadright"/>
              <w:spacing w:before="20" w:after="16" w:line="228" w:lineRule="auto"/>
              <w:ind w:right="0"/>
              <w:rPr>
                <w:rFonts w:cs="Arial"/>
                <w:sz w:val="16"/>
              </w:rPr>
            </w:pPr>
            <w:r w:rsidRPr="00C0495C">
              <w:rPr>
                <w:rFonts w:cs="Arial"/>
                <w:sz w:val="16"/>
              </w:rPr>
              <w:t>17</w:t>
            </w:r>
          </w:p>
          <w:p w14:paraId="382EE8AC" w14:textId="77777777" w:rsidR="00CE75D4" w:rsidRPr="00C0495C" w:rsidRDefault="00CE75D4" w:rsidP="008340C1">
            <w:pPr>
              <w:pStyle w:val="ARfintablecolheadright"/>
              <w:spacing w:before="20" w:after="16" w:line="228" w:lineRule="auto"/>
              <w:ind w:right="0"/>
              <w:rPr>
                <w:rFonts w:cs="Arial"/>
                <w:sz w:val="16"/>
              </w:rPr>
            </w:pPr>
            <w:r w:rsidRPr="00C0495C">
              <w:rPr>
                <w:rFonts w:cs="Arial"/>
                <w:sz w:val="16"/>
              </w:rPr>
              <w:t>$M</w:t>
            </w:r>
          </w:p>
        </w:tc>
        <w:tc>
          <w:tcPr>
            <w:tcW w:w="851" w:type="dxa"/>
            <w:tcBorders>
              <w:bottom w:val="single" w:sz="4" w:space="0" w:color="auto"/>
            </w:tcBorders>
            <w:hideMark/>
          </w:tcPr>
          <w:p w14:paraId="7AA0D630" w14:textId="77777777" w:rsidR="00CE75D4" w:rsidRDefault="00CE75D4" w:rsidP="008340C1">
            <w:pPr>
              <w:pStyle w:val="ARfintablecolheadright"/>
              <w:spacing w:before="20" w:after="16" w:line="228" w:lineRule="auto"/>
              <w:ind w:right="0"/>
              <w:rPr>
                <w:rFonts w:cs="Arial"/>
                <w:sz w:val="16"/>
              </w:rPr>
            </w:pPr>
            <w:r w:rsidRPr="00C0495C">
              <w:rPr>
                <w:rFonts w:cs="Arial"/>
                <w:sz w:val="16"/>
              </w:rPr>
              <w:t>18</w:t>
            </w:r>
          </w:p>
          <w:p w14:paraId="0745E920" w14:textId="77777777" w:rsidR="00CE75D4" w:rsidRPr="00C0495C" w:rsidRDefault="00CE75D4" w:rsidP="008340C1">
            <w:pPr>
              <w:pStyle w:val="ARfintablecolheadright"/>
              <w:spacing w:before="20" w:after="16" w:line="228" w:lineRule="auto"/>
              <w:ind w:right="0"/>
              <w:rPr>
                <w:rFonts w:cs="Arial"/>
                <w:sz w:val="16"/>
              </w:rPr>
            </w:pPr>
            <w:r w:rsidRPr="00C0495C">
              <w:rPr>
                <w:rFonts w:cs="Arial"/>
                <w:sz w:val="16"/>
              </w:rPr>
              <w:t>$M</w:t>
            </w:r>
          </w:p>
        </w:tc>
        <w:tc>
          <w:tcPr>
            <w:tcW w:w="851" w:type="dxa"/>
            <w:tcBorders>
              <w:bottom w:val="single" w:sz="4" w:space="0" w:color="auto"/>
            </w:tcBorders>
            <w:hideMark/>
          </w:tcPr>
          <w:p w14:paraId="200D2381" w14:textId="77777777" w:rsidR="00CE75D4" w:rsidRDefault="00CE75D4" w:rsidP="008340C1">
            <w:pPr>
              <w:pStyle w:val="ARfintablecolheadright"/>
              <w:spacing w:before="20" w:after="16" w:line="228" w:lineRule="auto"/>
              <w:ind w:right="0"/>
              <w:rPr>
                <w:rFonts w:cs="Arial"/>
                <w:sz w:val="16"/>
              </w:rPr>
            </w:pPr>
            <w:r w:rsidRPr="00C0495C">
              <w:rPr>
                <w:rFonts w:cs="Arial"/>
                <w:sz w:val="16"/>
              </w:rPr>
              <w:t>19</w:t>
            </w:r>
          </w:p>
          <w:p w14:paraId="3317CC27" w14:textId="77777777" w:rsidR="00CE75D4" w:rsidRPr="00C0495C" w:rsidRDefault="00CE75D4" w:rsidP="008340C1">
            <w:pPr>
              <w:pStyle w:val="ARfintablecolheadright"/>
              <w:spacing w:before="20" w:after="16" w:line="228" w:lineRule="auto"/>
              <w:ind w:right="0"/>
              <w:rPr>
                <w:rFonts w:cs="Arial"/>
                <w:sz w:val="16"/>
              </w:rPr>
            </w:pPr>
            <w:r w:rsidRPr="00C0495C">
              <w:rPr>
                <w:rFonts w:cs="Arial"/>
                <w:sz w:val="16"/>
              </w:rPr>
              <w:t>$M</w:t>
            </w:r>
          </w:p>
        </w:tc>
        <w:tc>
          <w:tcPr>
            <w:tcW w:w="851" w:type="dxa"/>
            <w:tcBorders>
              <w:bottom w:val="single" w:sz="4" w:space="0" w:color="auto"/>
            </w:tcBorders>
            <w:hideMark/>
          </w:tcPr>
          <w:p w14:paraId="32FFC82A" w14:textId="77777777" w:rsidR="00CE75D4" w:rsidRDefault="00CE75D4" w:rsidP="008340C1">
            <w:pPr>
              <w:pStyle w:val="ARfintablecolheadright"/>
              <w:spacing w:before="20" w:after="16" w:line="228" w:lineRule="auto"/>
              <w:ind w:right="0"/>
              <w:rPr>
                <w:rFonts w:cs="Arial"/>
                <w:sz w:val="16"/>
              </w:rPr>
            </w:pPr>
            <w:r w:rsidRPr="00C0495C">
              <w:rPr>
                <w:rFonts w:cs="Arial"/>
                <w:sz w:val="16"/>
              </w:rPr>
              <w:t>20</w:t>
            </w:r>
          </w:p>
          <w:p w14:paraId="19AEBE7D" w14:textId="77777777" w:rsidR="00CE75D4" w:rsidRPr="00C0495C" w:rsidRDefault="00CE75D4" w:rsidP="008340C1">
            <w:pPr>
              <w:pStyle w:val="ARfintablecolheadright"/>
              <w:spacing w:before="20" w:after="16" w:line="228" w:lineRule="auto"/>
              <w:ind w:right="0"/>
              <w:rPr>
                <w:rFonts w:cs="Arial"/>
                <w:sz w:val="16"/>
              </w:rPr>
            </w:pPr>
            <w:r w:rsidRPr="00C0495C">
              <w:rPr>
                <w:rFonts w:cs="Arial"/>
                <w:sz w:val="16"/>
              </w:rPr>
              <w:t>$M</w:t>
            </w:r>
          </w:p>
        </w:tc>
        <w:tc>
          <w:tcPr>
            <w:tcW w:w="851" w:type="dxa"/>
            <w:tcBorders>
              <w:bottom w:val="single" w:sz="4" w:space="0" w:color="auto"/>
            </w:tcBorders>
            <w:hideMark/>
          </w:tcPr>
          <w:p w14:paraId="5FCE82F9" w14:textId="77777777" w:rsidR="00CE75D4" w:rsidRDefault="00CE75D4" w:rsidP="008340C1">
            <w:pPr>
              <w:pStyle w:val="ARfintablecolheadright"/>
              <w:spacing w:before="20" w:after="16" w:line="228" w:lineRule="auto"/>
              <w:ind w:right="0"/>
              <w:rPr>
                <w:rFonts w:cs="Arial"/>
                <w:sz w:val="16"/>
              </w:rPr>
            </w:pPr>
            <w:r w:rsidRPr="00C0495C">
              <w:rPr>
                <w:rFonts w:cs="Arial"/>
                <w:sz w:val="16"/>
              </w:rPr>
              <w:t>21</w:t>
            </w:r>
          </w:p>
          <w:p w14:paraId="108361D4" w14:textId="77777777" w:rsidR="00CE75D4" w:rsidRPr="00C0495C" w:rsidRDefault="00CE75D4" w:rsidP="008340C1">
            <w:pPr>
              <w:pStyle w:val="ARfintablecolheadright"/>
              <w:spacing w:before="20" w:after="16" w:line="228" w:lineRule="auto"/>
              <w:ind w:right="0"/>
              <w:rPr>
                <w:rFonts w:cs="Arial"/>
                <w:sz w:val="16"/>
              </w:rPr>
            </w:pPr>
            <w:r w:rsidRPr="00C0495C">
              <w:rPr>
                <w:rFonts w:cs="Arial"/>
                <w:sz w:val="16"/>
              </w:rPr>
              <w:t>$M</w:t>
            </w:r>
          </w:p>
        </w:tc>
        <w:tc>
          <w:tcPr>
            <w:tcW w:w="851" w:type="dxa"/>
            <w:tcBorders>
              <w:bottom w:val="single" w:sz="4" w:space="0" w:color="auto"/>
            </w:tcBorders>
            <w:hideMark/>
          </w:tcPr>
          <w:p w14:paraId="1B4CAD8D" w14:textId="77777777" w:rsidR="00CE75D4" w:rsidRDefault="00CE75D4" w:rsidP="008340C1">
            <w:pPr>
              <w:pStyle w:val="ARfintablecolheadright"/>
              <w:spacing w:before="20" w:after="16" w:line="228" w:lineRule="auto"/>
              <w:ind w:right="0"/>
              <w:rPr>
                <w:rFonts w:cs="Arial"/>
                <w:sz w:val="16"/>
              </w:rPr>
            </w:pPr>
            <w:r w:rsidRPr="00C0495C">
              <w:rPr>
                <w:rFonts w:cs="Arial"/>
                <w:sz w:val="16"/>
              </w:rPr>
              <w:t>22</w:t>
            </w:r>
          </w:p>
          <w:p w14:paraId="67AAC227" w14:textId="77777777" w:rsidR="00CE75D4" w:rsidRPr="00C0495C" w:rsidRDefault="00CE75D4" w:rsidP="008340C1">
            <w:pPr>
              <w:pStyle w:val="ARfintablecolheadright"/>
              <w:spacing w:before="20" w:after="16" w:line="228" w:lineRule="auto"/>
              <w:ind w:right="0"/>
              <w:rPr>
                <w:rFonts w:cs="Arial"/>
                <w:sz w:val="16"/>
              </w:rPr>
            </w:pPr>
            <w:r w:rsidRPr="00C0495C">
              <w:rPr>
                <w:rFonts w:cs="Arial"/>
                <w:sz w:val="16"/>
              </w:rPr>
              <w:t>$M</w:t>
            </w:r>
          </w:p>
        </w:tc>
        <w:tc>
          <w:tcPr>
            <w:tcW w:w="851" w:type="dxa"/>
            <w:tcBorders>
              <w:bottom w:val="single" w:sz="4" w:space="0" w:color="auto"/>
            </w:tcBorders>
            <w:hideMark/>
          </w:tcPr>
          <w:p w14:paraId="1CE73A65" w14:textId="77777777" w:rsidR="00CE75D4" w:rsidRDefault="00CE75D4" w:rsidP="008340C1">
            <w:pPr>
              <w:pStyle w:val="ARfintablecolheadright"/>
              <w:spacing w:before="20" w:after="16" w:line="228" w:lineRule="auto"/>
              <w:ind w:right="0"/>
              <w:rPr>
                <w:rFonts w:cs="Arial"/>
                <w:sz w:val="16"/>
              </w:rPr>
            </w:pPr>
            <w:r w:rsidRPr="00C0495C">
              <w:rPr>
                <w:rFonts w:cs="Arial"/>
                <w:sz w:val="16"/>
              </w:rPr>
              <w:t>23</w:t>
            </w:r>
          </w:p>
          <w:p w14:paraId="6DB80191" w14:textId="77777777" w:rsidR="00CE75D4" w:rsidRPr="00C0495C" w:rsidRDefault="00CE75D4" w:rsidP="008340C1">
            <w:pPr>
              <w:pStyle w:val="ARfintablecolheadright"/>
              <w:spacing w:before="20" w:after="16" w:line="228" w:lineRule="auto"/>
              <w:ind w:right="0"/>
              <w:rPr>
                <w:rFonts w:cs="Arial"/>
                <w:sz w:val="16"/>
              </w:rPr>
            </w:pPr>
            <w:r w:rsidRPr="00C0495C">
              <w:rPr>
                <w:rFonts w:cs="Arial"/>
                <w:sz w:val="16"/>
              </w:rPr>
              <w:t>$M</w:t>
            </w:r>
          </w:p>
        </w:tc>
        <w:tc>
          <w:tcPr>
            <w:tcW w:w="851" w:type="dxa"/>
            <w:tcBorders>
              <w:bottom w:val="single" w:sz="4" w:space="0" w:color="auto"/>
            </w:tcBorders>
            <w:hideMark/>
          </w:tcPr>
          <w:p w14:paraId="4720FF74" w14:textId="77777777" w:rsidR="00CE75D4" w:rsidRDefault="00CE75D4" w:rsidP="008340C1">
            <w:pPr>
              <w:pStyle w:val="ARfintablecolheadright"/>
              <w:spacing w:before="20" w:after="16" w:line="228" w:lineRule="auto"/>
              <w:ind w:right="0"/>
              <w:rPr>
                <w:rFonts w:cs="Arial"/>
                <w:sz w:val="16"/>
              </w:rPr>
            </w:pPr>
            <w:r w:rsidRPr="00C0495C">
              <w:rPr>
                <w:rFonts w:cs="Arial"/>
                <w:sz w:val="16"/>
              </w:rPr>
              <w:t>24</w:t>
            </w:r>
          </w:p>
          <w:p w14:paraId="57F4CEA5" w14:textId="77777777" w:rsidR="00CE75D4" w:rsidRPr="00C0495C" w:rsidRDefault="00CE75D4" w:rsidP="008340C1">
            <w:pPr>
              <w:pStyle w:val="ARfintablecolheadright"/>
              <w:spacing w:before="20" w:after="16" w:line="228" w:lineRule="auto"/>
              <w:ind w:right="0"/>
              <w:rPr>
                <w:rFonts w:cs="Arial"/>
                <w:sz w:val="16"/>
              </w:rPr>
            </w:pPr>
            <w:r w:rsidRPr="00C0495C">
              <w:rPr>
                <w:rFonts w:cs="Arial"/>
                <w:sz w:val="16"/>
              </w:rPr>
              <w:t>$M</w:t>
            </w:r>
          </w:p>
        </w:tc>
        <w:tc>
          <w:tcPr>
            <w:tcW w:w="851" w:type="dxa"/>
            <w:tcBorders>
              <w:bottom w:val="single" w:sz="4" w:space="0" w:color="auto"/>
            </w:tcBorders>
            <w:hideMark/>
          </w:tcPr>
          <w:p w14:paraId="65A8710C" w14:textId="77777777" w:rsidR="00CE75D4" w:rsidRDefault="00CE75D4" w:rsidP="008340C1">
            <w:pPr>
              <w:pStyle w:val="ARfintablecolheadright"/>
              <w:spacing w:before="20" w:after="16" w:line="228" w:lineRule="auto"/>
              <w:ind w:right="0"/>
              <w:rPr>
                <w:rFonts w:cs="Arial"/>
                <w:sz w:val="16"/>
              </w:rPr>
            </w:pPr>
            <w:r w:rsidRPr="00C0495C">
              <w:rPr>
                <w:rFonts w:cs="Arial"/>
                <w:sz w:val="16"/>
              </w:rPr>
              <w:t>25</w:t>
            </w:r>
          </w:p>
          <w:p w14:paraId="0A05C2C9" w14:textId="77777777" w:rsidR="00CE75D4" w:rsidRPr="00C0495C" w:rsidRDefault="00CE75D4" w:rsidP="008340C1">
            <w:pPr>
              <w:pStyle w:val="ARfintablecolheadright"/>
              <w:spacing w:before="20" w:after="16" w:line="228" w:lineRule="auto"/>
              <w:ind w:right="0"/>
              <w:rPr>
                <w:rFonts w:cs="Arial"/>
                <w:sz w:val="16"/>
              </w:rPr>
            </w:pPr>
            <w:r w:rsidRPr="00C0495C">
              <w:rPr>
                <w:rFonts w:cs="Arial"/>
                <w:sz w:val="16"/>
              </w:rPr>
              <w:t>$M</w:t>
            </w:r>
          </w:p>
        </w:tc>
        <w:tc>
          <w:tcPr>
            <w:tcW w:w="851" w:type="dxa"/>
            <w:tcBorders>
              <w:bottom w:val="single" w:sz="4" w:space="0" w:color="auto"/>
            </w:tcBorders>
            <w:hideMark/>
          </w:tcPr>
          <w:p w14:paraId="1A0E624D" w14:textId="77777777" w:rsidR="00CE75D4" w:rsidRDefault="00CE75D4" w:rsidP="008340C1">
            <w:pPr>
              <w:pStyle w:val="ARfintablecolheadright"/>
              <w:spacing w:before="20" w:after="16" w:line="228" w:lineRule="auto"/>
              <w:ind w:right="0"/>
              <w:rPr>
                <w:rFonts w:cs="Arial"/>
                <w:sz w:val="16"/>
              </w:rPr>
            </w:pPr>
            <w:r w:rsidRPr="00C0495C">
              <w:rPr>
                <w:rFonts w:cs="Arial"/>
                <w:sz w:val="16"/>
              </w:rPr>
              <w:t>Total</w:t>
            </w:r>
          </w:p>
          <w:p w14:paraId="34DDF02D" w14:textId="77777777" w:rsidR="00CE75D4" w:rsidRPr="00C0495C" w:rsidRDefault="00CE75D4" w:rsidP="008340C1">
            <w:pPr>
              <w:pStyle w:val="ARfintablecolheadright"/>
              <w:spacing w:before="20" w:after="16" w:line="228" w:lineRule="auto"/>
              <w:ind w:right="0"/>
              <w:rPr>
                <w:rFonts w:cs="Arial"/>
                <w:sz w:val="16"/>
              </w:rPr>
            </w:pPr>
            <w:r w:rsidRPr="00C0495C">
              <w:rPr>
                <w:rFonts w:cs="Arial"/>
                <w:sz w:val="16"/>
              </w:rPr>
              <w:t>$M</w:t>
            </w:r>
          </w:p>
        </w:tc>
      </w:tr>
      <w:tr w:rsidR="00CE75D4" w:rsidRPr="00C0495C" w14:paraId="66FCABC2" w14:textId="77777777" w:rsidTr="008340C1">
        <w:trPr>
          <w:cantSplit w:val="0"/>
          <w:trHeight w:val="170"/>
        </w:trPr>
        <w:tc>
          <w:tcPr>
            <w:tcW w:w="14459" w:type="dxa"/>
            <w:gridSpan w:val="14"/>
            <w:tcBorders>
              <w:top w:val="single" w:sz="4" w:space="0" w:color="A6A6A6"/>
              <w:bottom w:val="single" w:sz="4" w:space="0" w:color="A6A6A6"/>
            </w:tcBorders>
          </w:tcPr>
          <w:p w14:paraId="44A41D16" w14:textId="77777777" w:rsidR="00CE75D4" w:rsidRPr="00494321" w:rsidRDefault="00CE75D4" w:rsidP="008340C1">
            <w:pPr>
              <w:pStyle w:val="ARfintablebodybold"/>
              <w:spacing w:before="20" w:after="16" w:line="228" w:lineRule="auto"/>
              <w:rPr>
                <w:rFonts w:cs="Arial"/>
                <w:sz w:val="16"/>
              </w:rPr>
            </w:pPr>
            <w:r w:rsidRPr="00494321">
              <w:rPr>
                <w:rFonts w:cs="Arial"/>
                <w:sz w:val="16"/>
              </w:rPr>
              <w:t xml:space="preserve">Administered </w:t>
            </w:r>
            <w:r>
              <w:rPr>
                <w:rFonts w:cs="Arial"/>
                <w:sz w:val="16"/>
              </w:rPr>
              <w:t xml:space="preserve">revenue and </w:t>
            </w:r>
            <w:r w:rsidRPr="00494321">
              <w:rPr>
                <w:rFonts w:cs="Arial"/>
                <w:sz w:val="16"/>
              </w:rPr>
              <w:t>income from transactions</w:t>
            </w:r>
          </w:p>
        </w:tc>
      </w:tr>
      <w:tr w:rsidR="00CE75D4" w:rsidRPr="00C0495C" w14:paraId="5B1ACB26" w14:textId="77777777" w:rsidTr="008340C1">
        <w:trPr>
          <w:cantSplit w:val="0"/>
          <w:trHeight w:val="170"/>
        </w:trPr>
        <w:tc>
          <w:tcPr>
            <w:tcW w:w="3400" w:type="dxa"/>
            <w:tcBorders>
              <w:top w:val="single" w:sz="4" w:space="0" w:color="A6A6A6"/>
              <w:bottom w:val="single" w:sz="4" w:space="0" w:color="A6A6A6"/>
            </w:tcBorders>
            <w:hideMark/>
          </w:tcPr>
          <w:p w14:paraId="0656185B" w14:textId="77777777" w:rsidR="00CE75D4" w:rsidRPr="00EC013F" w:rsidRDefault="00CE75D4" w:rsidP="008340C1">
            <w:pPr>
              <w:pStyle w:val="ARfintablebody"/>
              <w:spacing w:before="20" w:after="16" w:line="228" w:lineRule="auto"/>
              <w:rPr>
                <w:sz w:val="16"/>
              </w:rPr>
            </w:pPr>
            <w:r w:rsidRPr="00EC013F">
              <w:rPr>
                <w:sz w:val="16"/>
              </w:rPr>
              <w:t xml:space="preserve">Commonwealth contribution to the </w:t>
            </w:r>
            <w:r>
              <w:rPr>
                <w:sz w:val="16"/>
              </w:rPr>
              <w:t>Victorian State Pool Account</w:t>
            </w:r>
          </w:p>
        </w:tc>
        <w:tc>
          <w:tcPr>
            <w:tcW w:w="850" w:type="dxa"/>
            <w:tcBorders>
              <w:top w:val="single" w:sz="4" w:space="0" w:color="A6A6A6"/>
              <w:bottom w:val="single" w:sz="4" w:space="0" w:color="A6A6A6"/>
            </w:tcBorders>
            <w:noWrap/>
            <w:hideMark/>
          </w:tcPr>
          <w:p w14:paraId="2FF11D99"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50093572" w14:textId="77777777" w:rsidR="00CE75D4" w:rsidRPr="00494321" w:rsidRDefault="00CE75D4" w:rsidP="008340C1">
            <w:pPr>
              <w:pStyle w:val="ARfintablebodyright"/>
              <w:spacing w:before="20" w:after="16" w:line="228" w:lineRule="auto"/>
              <w:ind w:right="0"/>
              <w:rPr>
                <w:sz w:val="16"/>
              </w:rPr>
            </w:pPr>
            <w:r w:rsidRPr="00494321">
              <w:rPr>
                <w:sz w:val="16"/>
              </w:rPr>
              <w:t>0.3</w:t>
            </w:r>
          </w:p>
        </w:tc>
        <w:tc>
          <w:tcPr>
            <w:tcW w:w="850" w:type="dxa"/>
            <w:tcBorders>
              <w:top w:val="single" w:sz="4" w:space="0" w:color="A6A6A6"/>
              <w:bottom w:val="single" w:sz="4" w:space="0" w:color="A6A6A6"/>
            </w:tcBorders>
            <w:noWrap/>
            <w:hideMark/>
          </w:tcPr>
          <w:p w14:paraId="0C543F78"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17138509"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62E364B6" w14:textId="77777777" w:rsidR="00CE75D4" w:rsidRPr="00494321" w:rsidRDefault="00CE75D4" w:rsidP="008340C1">
            <w:pPr>
              <w:pStyle w:val="ARfintablebodyright"/>
              <w:spacing w:before="20" w:after="16" w:line="228" w:lineRule="auto"/>
              <w:ind w:right="0"/>
              <w:rPr>
                <w:sz w:val="16"/>
              </w:rPr>
            </w:pPr>
            <w:r w:rsidRPr="00494321">
              <w:rPr>
                <w:sz w:val="16"/>
              </w:rPr>
              <w:t>123.3</w:t>
            </w:r>
          </w:p>
        </w:tc>
        <w:tc>
          <w:tcPr>
            <w:tcW w:w="851" w:type="dxa"/>
            <w:tcBorders>
              <w:top w:val="single" w:sz="4" w:space="0" w:color="A6A6A6"/>
              <w:bottom w:val="single" w:sz="4" w:space="0" w:color="A6A6A6"/>
            </w:tcBorders>
            <w:noWrap/>
            <w:hideMark/>
          </w:tcPr>
          <w:p w14:paraId="489B8E08"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12A4A2AC"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51016B30" w14:textId="77777777" w:rsidR="00CE75D4" w:rsidRPr="00494321" w:rsidRDefault="00CE75D4" w:rsidP="008340C1">
            <w:pPr>
              <w:pStyle w:val="ARfintablebodyright"/>
              <w:spacing w:before="20" w:after="16" w:line="228" w:lineRule="auto"/>
              <w:ind w:right="0"/>
              <w:rPr>
                <w:sz w:val="16"/>
              </w:rPr>
            </w:pPr>
            <w:r w:rsidRPr="00494321">
              <w:rPr>
                <w:sz w:val="16"/>
              </w:rPr>
              <w:t>132.4</w:t>
            </w:r>
          </w:p>
        </w:tc>
        <w:tc>
          <w:tcPr>
            <w:tcW w:w="851" w:type="dxa"/>
            <w:tcBorders>
              <w:top w:val="single" w:sz="4" w:space="0" w:color="A6A6A6"/>
              <w:bottom w:val="single" w:sz="4" w:space="0" w:color="A6A6A6"/>
            </w:tcBorders>
            <w:noWrap/>
            <w:hideMark/>
          </w:tcPr>
          <w:p w14:paraId="3E79EDF3"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66AA5120"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2EF72E44"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5BB6A0EC"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08485CBF" w14:textId="77777777" w:rsidR="00CE75D4" w:rsidRPr="00494321" w:rsidRDefault="00CE75D4" w:rsidP="008340C1">
            <w:pPr>
              <w:pStyle w:val="ARfintablebodyright"/>
              <w:spacing w:before="20" w:after="16" w:line="228" w:lineRule="auto"/>
              <w:ind w:right="0"/>
              <w:rPr>
                <w:sz w:val="16"/>
              </w:rPr>
            </w:pPr>
            <w:r w:rsidRPr="00494321">
              <w:rPr>
                <w:sz w:val="16"/>
              </w:rPr>
              <w:t>5,358.7</w:t>
            </w:r>
          </w:p>
        </w:tc>
      </w:tr>
      <w:tr w:rsidR="00CE75D4" w:rsidRPr="00C0495C" w14:paraId="470F7279" w14:textId="77777777" w:rsidTr="008340C1">
        <w:trPr>
          <w:cantSplit w:val="0"/>
          <w:trHeight w:val="170"/>
        </w:trPr>
        <w:tc>
          <w:tcPr>
            <w:tcW w:w="3400" w:type="dxa"/>
            <w:tcBorders>
              <w:top w:val="single" w:sz="4" w:space="0" w:color="A6A6A6"/>
              <w:bottom w:val="single" w:sz="4" w:space="0" w:color="A6A6A6"/>
            </w:tcBorders>
            <w:hideMark/>
          </w:tcPr>
          <w:p w14:paraId="2DF060C0" w14:textId="77777777" w:rsidR="00CE75D4" w:rsidRPr="00EC013F" w:rsidRDefault="00CE75D4" w:rsidP="008340C1">
            <w:pPr>
              <w:pStyle w:val="ARfintablebody"/>
              <w:spacing w:before="20" w:after="16" w:line="228" w:lineRule="auto"/>
              <w:rPr>
                <w:sz w:val="16"/>
              </w:rPr>
            </w:pPr>
            <w:r w:rsidRPr="00EC013F">
              <w:rPr>
                <w:sz w:val="16"/>
              </w:rPr>
              <w:t xml:space="preserve">State contribution to the </w:t>
            </w:r>
            <w:r>
              <w:rPr>
                <w:sz w:val="16"/>
              </w:rPr>
              <w:t>Victorian State Pool Account</w:t>
            </w:r>
          </w:p>
        </w:tc>
        <w:tc>
          <w:tcPr>
            <w:tcW w:w="850" w:type="dxa"/>
            <w:tcBorders>
              <w:top w:val="single" w:sz="4" w:space="0" w:color="A6A6A6"/>
              <w:bottom w:val="single" w:sz="4" w:space="0" w:color="A6A6A6"/>
            </w:tcBorders>
            <w:noWrap/>
            <w:hideMark/>
          </w:tcPr>
          <w:p w14:paraId="79BC6775"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4BD9FF2B"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051F04A5"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1201D043"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6A9F5528"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7D92CFEC"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043F7C43"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128EBCA2"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08E73F5D"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2A768237"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1F6E50FF"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66261862"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5E8247F5" w14:textId="77777777" w:rsidR="00CE75D4" w:rsidRPr="00494321" w:rsidRDefault="00CE75D4" w:rsidP="008340C1">
            <w:pPr>
              <w:pStyle w:val="ARfintablebodyright"/>
              <w:spacing w:before="20" w:after="16" w:line="228" w:lineRule="auto"/>
              <w:ind w:right="0"/>
              <w:rPr>
                <w:sz w:val="16"/>
              </w:rPr>
            </w:pPr>
            <w:r w:rsidRPr="00494321">
              <w:rPr>
                <w:sz w:val="16"/>
              </w:rPr>
              <w:t>7,628.0</w:t>
            </w:r>
          </w:p>
        </w:tc>
      </w:tr>
      <w:tr w:rsidR="00CE75D4" w:rsidRPr="00C0495C" w14:paraId="75BD59FF" w14:textId="77777777" w:rsidTr="008340C1">
        <w:trPr>
          <w:cantSplit w:val="0"/>
          <w:trHeight w:val="170"/>
        </w:trPr>
        <w:tc>
          <w:tcPr>
            <w:tcW w:w="3400" w:type="dxa"/>
            <w:tcBorders>
              <w:top w:val="single" w:sz="4" w:space="0" w:color="A6A6A6"/>
              <w:bottom w:val="single" w:sz="4" w:space="0" w:color="A6A6A6"/>
            </w:tcBorders>
            <w:hideMark/>
          </w:tcPr>
          <w:p w14:paraId="36A75816" w14:textId="77777777" w:rsidR="00CE75D4" w:rsidRPr="00494321" w:rsidRDefault="00CE75D4" w:rsidP="008340C1">
            <w:pPr>
              <w:pStyle w:val="ARfintablebody"/>
              <w:spacing w:before="20" w:after="16" w:line="228" w:lineRule="auto"/>
              <w:rPr>
                <w:sz w:val="16"/>
              </w:rPr>
            </w:pPr>
            <w:r w:rsidRPr="00494321">
              <w:rPr>
                <w:sz w:val="16"/>
              </w:rPr>
              <w:t>State contribution to the National Disability Insurance Agency</w:t>
            </w:r>
          </w:p>
        </w:tc>
        <w:tc>
          <w:tcPr>
            <w:tcW w:w="850" w:type="dxa"/>
            <w:tcBorders>
              <w:top w:val="single" w:sz="4" w:space="0" w:color="A6A6A6"/>
              <w:bottom w:val="single" w:sz="4" w:space="0" w:color="A6A6A6"/>
            </w:tcBorders>
            <w:noWrap/>
            <w:hideMark/>
          </w:tcPr>
          <w:p w14:paraId="4CEB0C73"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7049640D"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4A90437A"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1B7989CC"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20A80EDC"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6A4EC6CA"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6B2D2E6A"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3F5A7C16"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0D574145"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676FAF68"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42A92397"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6DC72687"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0C1DFE9C" w14:textId="77777777" w:rsidR="00CE75D4" w:rsidRPr="00494321" w:rsidRDefault="00CE75D4" w:rsidP="008340C1">
            <w:pPr>
              <w:pStyle w:val="ARfintablebodyright"/>
              <w:spacing w:before="20" w:after="16" w:line="228" w:lineRule="auto"/>
              <w:ind w:right="0"/>
              <w:rPr>
                <w:sz w:val="16"/>
              </w:rPr>
            </w:pPr>
            <w:r>
              <w:rPr>
                <w:sz w:val="16"/>
              </w:rPr>
              <w:t>–</w:t>
            </w:r>
          </w:p>
        </w:tc>
      </w:tr>
      <w:tr w:rsidR="00CE75D4" w:rsidRPr="00C0495C" w14:paraId="7AE5586E" w14:textId="77777777" w:rsidTr="008340C1">
        <w:trPr>
          <w:cantSplit w:val="0"/>
          <w:trHeight w:val="170"/>
        </w:trPr>
        <w:tc>
          <w:tcPr>
            <w:tcW w:w="3400" w:type="dxa"/>
            <w:tcBorders>
              <w:top w:val="single" w:sz="4" w:space="0" w:color="A6A6A6"/>
              <w:bottom w:val="single" w:sz="4" w:space="0" w:color="A6A6A6"/>
            </w:tcBorders>
            <w:hideMark/>
          </w:tcPr>
          <w:p w14:paraId="7C3275BB" w14:textId="77777777" w:rsidR="00CE75D4" w:rsidRPr="00494321" w:rsidRDefault="00CE75D4" w:rsidP="008340C1">
            <w:pPr>
              <w:pStyle w:val="ARfintablebody"/>
              <w:spacing w:before="20" w:after="16" w:line="228" w:lineRule="auto"/>
              <w:rPr>
                <w:sz w:val="16"/>
              </w:rPr>
            </w:pPr>
            <w:r w:rsidRPr="00494321">
              <w:rPr>
                <w:sz w:val="16"/>
              </w:rPr>
              <w:t>Commonwealth grants</w:t>
            </w:r>
          </w:p>
        </w:tc>
        <w:tc>
          <w:tcPr>
            <w:tcW w:w="850" w:type="dxa"/>
            <w:tcBorders>
              <w:top w:val="single" w:sz="4" w:space="0" w:color="A6A6A6"/>
              <w:bottom w:val="single" w:sz="4" w:space="0" w:color="A6A6A6"/>
            </w:tcBorders>
            <w:noWrap/>
            <w:hideMark/>
          </w:tcPr>
          <w:p w14:paraId="36DB8EEE"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20070E04"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49B162DB"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352A3643"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2F7085DA" w14:textId="77777777" w:rsidR="00CE75D4" w:rsidRPr="00494321" w:rsidRDefault="00CE75D4" w:rsidP="008340C1">
            <w:pPr>
              <w:pStyle w:val="ARfintablebodyright"/>
              <w:spacing w:before="20" w:after="16" w:line="228" w:lineRule="auto"/>
              <w:ind w:right="0"/>
              <w:rPr>
                <w:sz w:val="16"/>
              </w:rPr>
            </w:pPr>
            <w:r w:rsidRPr="00494321">
              <w:rPr>
                <w:sz w:val="16"/>
              </w:rPr>
              <w:t>0.1</w:t>
            </w:r>
          </w:p>
        </w:tc>
        <w:tc>
          <w:tcPr>
            <w:tcW w:w="851" w:type="dxa"/>
            <w:tcBorders>
              <w:top w:val="single" w:sz="4" w:space="0" w:color="A6A6A6"/>
              <w:bottom w:val="single" w:sz="4" w:space="0" w:color="A6A6A6"/>
            </w:tcBorders>
            <w:noWrap/>
            <w:hideMark/>
          </w:tcPr>
          <w:p w14:paraId="0ACBCA0D"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4712FDA2"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3E99106F"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11185156"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6CF51001"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1073E64F"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49572669"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2F696F73" w14:textId="77777777" w:rsidR="00CE75D4" w:rsidRPr="00494321" w:rsidRDefault="00CE75D4" w:rsidP="008340C1">
            <w:pPr>
              <w:pStyle w:val="ARfintablebodyright"/>
              <w:spacing w:before="20" w:after="16" w:line="228" w:lineRule="auto"/>
              <w:ind w:right="0"/>
              <w:rPr>
                <w:sz w:val="16"/>
              </w:rPr>
            </w:pPr>
            <w:r w:rsidRPr="00494321">
              <w:rPr>
                <w:sz w:val="16"/>
              </w:rPr>
              <w:t>2,585.3</w:t>
            </w:r>
          </w:p>
        </w:tc>
      </w:tr>
      <w:tr w:rsidR="00CE75D4" w:rsidRPr="00C0495C" w14:paraId="06EE7BC8" w14:textId="77777777" w:rsidTr="008340C1">
        <w:trPr>
          <w:cantSplit w:val="0"/>
          <w:trHeight w:val="170"/>
        </w:trPr>
        <w:tc>
          <w:tcPr>
            <w:tcW w:w="3400" w:type="dxa"/>
            <w:tcBorders>
              <w:top w:val="single" w:sz="4" w:space="0" w:color="A6A6A6"/>
              <w:bottom w:val="single" w:sz="4" w:space="0" w:color="A6A6A6"/>
            </w:tcBorders>
          </w:tcPr>
          <w:p w14:paraId="4B7E6301" w14:textId="77777777" w:rsidR="00CE75D4" w:rsidRPr="00494321" w:rsidRDefault="00CE75D4" w:rsidP="008340C1">
            <w:pPr>
              <w:pStyle w:val="ARfintablebody"/>
              <w:spacing w:before="20" w:after="16" w:line="228" w:lineRule="auto"/>
              <w:rPr>
                <w:sz w:val="16"/>
              </w:rPr>
            </w:pPr>
            <w:r w:rsidRPr="00494321">
              <w:rPr>
                <w:sz w:val="16"/>
              </w:rPr>
              <w:t>Sales of goods and services</w:t>
            </w:r>
          </w:p>
        </w:tc>
        <w:tc>
          <w:tcPr>
            <w:tcW w:w="850" w:type="dxa"/>
            <w:tcBorders>
              <w:top w:val="single" w:sz="4" w:space="0" w:color="A6A6A6"/>
              <w:bottom w:val="single" w:sz="4" w:space="0" w:color="A6A6A6"/>
            </w:tcBorders>
            <w:noWrap/>
          </w:tcPr>
          <w:p w14:paraId="4AA8FE8C" w14:textId="77777777" w:rsidR="00CE75D4" w:rsidRPr="00494321" w:rsidRDefault="00CE75D4" w:rsidP="008340C1">
            <w:pPr>
              <w:pStyle w:val="ARfintablebodyright"/>
              <w:spacing w:before="20" w:after="16" w:line="228" w:lineRule="auto"/>
              <w:ind w:right="0"/>
              <w:rPr>
                <w:sz w:val="16"/>
              </w:rPr>
            </w:pPr>
            <w:r w:rsidRPr="00494321">
              <w:rPr>
                <w:sz w:val="16"/>
              </w:rPr>
              <w:t>1.3</w:t>
            </w:r>
          </w:p>
        </w:tc>
        <w:tc>
          <w:tcPr>
            <w:tcW w:w="850" w:type="dxa"/>
            <w:tcBorders>
              <w:top w:val="single" w:sz="4" w:space="0" w:color="A6A6A6"/>
              <w:bottom w:val="single" w:sz="4" w:space="0" w:color="A6A6A6"/>
            </w:tcBorders>
            <w:noWrap/>
          </w:tcPr>
          <w:p w14:paraId="503A0AE3" w14:textId="77777777" w:rsidR="00CE75D4" w:rsidRPr="00494321" w:rsidRDefault="00CE75D4" w:rsidP="008340C1">
            <w:pPr>
              <w:pStyle w:val="ARfintablebodyright"/>
              <w:spacing w:before="20" w:after="16" w:line="228" w:lineRule="auto"/>
              <w:ind w:right="0"/>
              <w:rPr>
                <w:sz w:val="16"/>
              </w:rPr>
            </w:pPr>
            <w:r w:rsidRPr="00494321">
              <w:rPr>
                <w:sz w:val="16"/>
              </w:rPr>
              <w:t>4.</w:t>
            </w:r>
            <w:r>
              <w:rPr>
                <w:sz w:val="16"/>
              </w:rPr>
              <w:t>5</w:t>
            </w:r>
          </w:p>
        </w:tc>
        <w:tc>
          <w:tcPr>
            <w:tcW w:w="850" w:type="dxa"/>
            <w:tcBorders>
              <w:top w:val="single" w:sz="4" w:space="0" w:color="A6A6A6"/>
              <w:bottom w:val="single" w:sz="4" w:space="0" w:color="A6A6A6"/>
            </w:tcBorders>
            <w:noWrap/>
          </w:tcPr>
          <w:p w14:paraId="5DC091FC"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tcPr>
          <w:p w14:paraId="3FAD637D"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79CE7E4F" w14:textId="77777777" w:rsidR="00CE75D4" w:rsidRPr="00494321" w:rsidRDefault="00CE75D4" w:rsidP="008340C1">
            <w:pPr>
              <w:pStyle w:val="ARfintablebodyright"/>
              <w:spacing w:before="20" w:after="16" w:line="228" w:lineRule="auto"/>
              <w:ind w:right="0"/>
              <w:rPr>
                <w:sz w:val="16"/>
              </w:rPr>
            </w:pPr>
            <w:r w:rsidRPr="00494321">
              <w:rPr>
                <w:sz w:val="16"/>
              </w:rPr>
              <w:t>2.6</w:t>
            </w:r>
          </w:p>
        </w:tc>
        <w:tc>
          <w:tcPr>
            <w:tcW w:w="851" w:type="dxa"/>
            <w:tcBorders>
              <w:top w:val="single" w:sz="4" w:space="0" w:color="A6A6A6"/>
              <w:bottom w:val="single" w:sz="4" w:space="0" w:color="A6A6A6"/>
            </w:tcBorders>
            <w:noWrap/>
          </w:tcPr>
          <w:p w14:paraId="01D09CFB" w14:textId="77777777" w:rsidR="00CE75D4" w:rsidRPr="00494321" w:rsidRDefault="00CE75D4" w:rsidP="008340C1">
            <w:pPr>
              <w:pStyle w:val="ARfintablebodyright"/>
              <w:spacing w:before="20" w:after="16" w:line="228" w:lineRule="auto"/>
              <w:ind w:right="0"/>
              <w:rPr>
                <w:sz w:val="16"/>
              </w:rPr>
            </w:pPr>
            <w:r w:rsidRPr="00494321">
              <w:rPr>
                <w:sz w:val="16"/>
              </w:rPr>
              <w:t>0.1</w:t>
            </w:r>
          </w:p>
        </w:tc>
        <w:tc>
          <w:tcPr>
            <w:tcW w:w="851" w:type="dxa"/>
            <w:tcBorders>
              <w:top w:val="single" w:sz="4" w:space="0" w:color="A6A6A6"/>
              <w:bottom w:val="single" w:sz="4" w:space="0" w:color="A6A6A6"/>
            </w:tcBorders>
            <w:noWrap/>
          </w:tcPr>
          <w:p w14:paraId="3B22FB76"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4815B323" w14:textId="77777777" w:rsidR="00CE75D4" w:rsidRPr="00494321" w:rsidRDefault="00CE75D4" w:rsidP="008340C1">
            <w:pPr>
              <w:pStyle w:val="ARfintablebodyright"/>
              <w:spacing w:before="20" w:after="16" w:line="228" w:lineRule="auto"/>
              <w:ind w:right="0"/>
              <w:rPr>
                <w:sz w:val="16"/>
              </w:rPr>
            </w:pPr>
            <w:r w:rsidRPr="00494321">
              <w:rPr>
                <w:sz w:val="16"/>
              </w:rPr>
              <w:t>3.6</w:t>
            </w:r>
          </w:p>
        </w:tc>
        <w:tc>
          <w:tcPr>
            <w:tcW w:w="851" w:type="dxa"/>
            <w:tcBorders>
              <w:top w:val="single" w:sz="4" w:space="0" w:color="A6A6A6"/>
              <w:bottom w:val="single" w:sz="4" w:space="0" w:color="A6A6A6"/>
            </w:tcBorders>
            <w:noWrap/>
          </w:tcPr>
          <w:p w14:paraId="03862B52"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4D38A7F4"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11901A34"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6049F935"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10EA4890" w14:textId="77777777" w:rsidR="00CE75D4" w:rsidRPr="00494321" w:rsidRDefault="00CE75D4" w:rsidP="008340C1">
            <w:pPr>
              <w:pStyle w:val="ARfintablebodyright"/>
              <w:spacing w:before="20" w:after="16" w:line="228" w:lineRule="auto"/>
              <w:ind w:right="0"/>
              <w:rPr>
                <w:sz w:val="16"/>
              </w:rPr>
            </w:pPr>
            <w:r w:rsidRPr="00494321">
              <w:rPr>
                <w:sz w:val="16"/>
              </w:rPr>
              <w:t>276.4</w:t>
            </w:r>
          </w:p>
        </w:tc>
      </w:tr>
      <w:tr w:rsidR="00CE75D4" w:rsidRPr="00C0495C" w14:paraId="46DA8C39" w14:textId="77777777" w:rsidTr="008340C1">
        <w:trPr>
          <w:cantSplit w:val="0"/>
          <w:trHeight w:val="170"/>
        </w:trPr>
        <w:tc>
          <w:tcPr>
            <w:tcW w:w="3400" w:type="dxa"/>
            <w:tcBorders>
              <w:top w:val="single" w:sz="4" w:space="0" w:color="A6A6A6"/>
              <w:bottom w:val="single" w:sz="4" w:space="0" w:color="A6A6A6"/>
            </w:tcBorders>
          </w:tcPr>
          <w:p w14:paraId="060F555E" w14:textId="77777777" w:rsidR="00CE75D4" w:rsidRPr="00494321" w:rsidRDefault="00CE75D4" w:rsidP="008340C1">
            <w:pPr>
              <w:pStyle w:val="ARfintablebody"/>
              <w:spacing w:before="20" w:after="16" w:line="228" w:lineRule="auto"/>
              <w:rPr>
                <w:sz w:val="16"/>
              </w:rPr>
            </w:pPr>
            <w:r w:rsidRPr="00494321">
              <w:rPr>
                <w:sz w:val="16"/>
              </w:rPr>
              <w:t xml:space="preserve">Appropriations – payments made </w:t>
            </w:r>
            <w:r>
              <w:rPr>
                <w:sz w:val="16"/>
              </w:rPr>
              <w:br/>
            </w:r>
            <w:r w:rsidRPr="00494321">
              <w:rPr>
                <w:sz w:val="16"/>
              </w:rPr>
              <w:t>on behalf of the state</w:t>
            </w:r>
          </w:p>
        </w:tc>
        <w:tc>
          <w:tcPr>
            <w:tcW w:w="850" w:type="dxa"/>
            <w:tcBorders>
              <w:top w:val="single" w:sz="4" w:space="0" w:color="A6A6A6"/>
              <w:bottom w:val="single" w:sz="4" w:space="0" w:color="A6A6A6"/>
            </w:tcBorders>
            <w:noWrap/>
          </w:tcPr>
          <w:p w14:paraId="154AA2FC"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tcPr>
          <w:p w14:paraId="6B5B5AFC"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tcPr>
          <w:p w14:paraId="2ABE73A7"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tcPr>
          <w:p w14:paraId="67679C1E"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0CDD0B8F"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17112C91"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08E77253"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32197DBF"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16F9C694"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0743EC78"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53D35CC2"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6E9A5BE9"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32C4E6E4" w14:textId="77777777" w:rsidR="00CE75D4" w:rsidRPr="00494321" w:rsidRDefault="00CE75D4" w:rsidP="008340C1">
            <w:pPr>
              <w:pStyle w:val="ARfintablebodyright"/>
              <w:spacing w:before="20" w:after="16" w:line="228" w:lineRule="auto"/>
              <w:ind w:right="0"/>
              <w:rPr>
                <w:sz w:val="16"/>
              </w:rPr>
            </w:pPr>
            <w:r>
              <w:rPr>
                <w:sz w:val="16"/>
              </w:rPr>
              <w:t>–</w:t>
            </w:r>
          </w:p>
        </w:tc>
      </w:tr>
      <w:tr w:rsidR="00CE75D4" w:rsidRPr="00C0495C" w14:paraId="60199F96" w14:textId="77777777" w:rsidTr="008340C1">
        <w:trPr>
          <w:cantSplit w:val="0"/>
          <w:trHeight w:val="170"/>
        </w:trPr>
        <w:tc>
          <w:tcPr>
            <w:tcW w:w="3400" w:type="dxa"/>
            <w:tcBorders>
              <w:top w:val="single" w:sz="4" w:space="0" w:color="A6A6A6"/>
              <w:bottom w:val="single" w:sz="4" w:space="0" w:color="A6A6A6"/>
            </w:tcBorders>
          </w:tcPr>
          <w:p w14:paraId="494246EA" w14:textId="77777777" w:rsidR="00CE75D4" w:rsidRPr="00494321" w:rsidRDefault="00CE75D4" w:rsidP="008340C1">
            <w:pPr>
              <w:pStyle w:val="ARfintablebody"/>
              <w:spacing w:before="20" w:after="16" w:line="228" w:lineRule="auto"/>
              <w:rPr>
                <w:sz w:val="16"/>
              </w:rPr>
            </w:pPr>
            <w:r w:rsidRPr="00494321">
              <w:rPr>
                <w:sz w:val="16"/>
              </w:rPr>
              <w:t>Interest income</w:t>
            </w:r>
          </w:p>
        </w:tc>
        <w:tc>
          <w:tcPr>
            <w:tcW w:w="850" w:type="dxa"/>
            <w:tcBorders>
              <w:top w:val="single" w:sz="4" w:space="0" w:color="A6A6A6"/>
              <w:bottom w:val="single" w:sz="4" w:space="0" w:color="A6A6A6"/>
            </w:tcBorders>
            <w:noWrap/>
          </w:tcPr>
          <w:p w14:paraId="0EA7618B"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tcPr>
          <w:p w14:paraId="4655BF81"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tcPr>
          <w:p w14:paraId="62A07F91"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tcPr>
          <w:p w14:paraId="424AD75C"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4C34BDA9"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1E5CE30C"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6C7F175A"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62AFC949"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0CC9DD73"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374135C8"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5BB90B8D"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64FD0E84"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5B22C62D" w14:textId="77777777" w:rsidR="00CE75D4" w:rsidRPr="00494321" w:rsidRDefault="00CE75D4" w:rsidP="008340C1">
            <w:pPr>
              <w:pStyle w:val="ARfintablebodyright"/>
              <w:spacing w:before="20" w:after="16" w:line="228" w:lineRule="auto"/>
              <w:ind w:right="0"/>
              <w:rPr>
                <w:sz w:val="16"/>
              </w:rPr>
            </w:pPr>
            <w:r>
              <w:rPr>
                <w:sz w:val="16"/>
              </w:rPr>
              <w:t>–</w:t>
            </w:r>
          </w:p>
        </w:tc>
      </w:tr>
      <w:tr w:rsidR="00CE75D4" w:rsidRPr="00C0495C" w14:paraId="7D33753D" w14:textId="77777777" w:rsidTr="008340C1">
        <w:trPr>
          <w:cantSplit w:val="0"/>
          <w:trHeight w:val="170"/>
        </w:trPr>
        <w:tc>
          <w:tcPr>
            <w:tcW w:w="3400" w:type="dxa"/>
            <w:tcBorders>
              <w:top w:val="single" w:sz="4" w:space="0" w:color="A6A6A6"/>
              <w:bottom w:val="single" w:sz="4" w:space="0" w:color="A6A6A6"/>
            </w:tcBorders>
          </w:tcPr>
          <w:p w14:paraId="520C2544" w14:textId="77777777" w:rsidR="00CE75D4" w:rsidRPr="00494321" w:rsidRDefault="00CE75D4" w:rsidP="008340C1">
            <w:pPr>
              <w:pStyle w:val="ARfintablebody"/>
              <w:spacing w:before="20" w:after="16" w:line="228" w:lineRule="auto"/>
              <w:rPr>
                <w:sz w:val="16"/>
              </w:rPr>
            </w:pPr>
            <w:r w:rsidRPr="00494321">
              <w:rPr>
                <w:sz w:val="16"/>
              </w:rPr>
              <w:t>Fees</w:t>
            </w:r>
          </w:p>
        </w:tc>
        <w:tc>
          <w:tcPr>
            <w:tcW w:w="850" w:type="dxa"/>
            <w:tcBorders>
              <w:top w:val="single" w:sz="4" w:space="0" w:color="A6A6A6"/>
              <w:bottom w:val="single" w:sz="4" w:space="0" w:color="A6A6A6"/>
            </w:tcBorders>
            <w:noWrap/>
          </w:tcPr>
          <w:p w14:paraId="36FE917F"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tcPr>
          <w:p w14:paraId="5F208F46"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tcPr>
          <w:p w14:paraId="7F255DF9"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tcPr>
          <w:p w14:paraId="579308B9"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3EC2975F" w14:textId="77777777" w:rsidR="00CE75D4" w:rsidRPr="00494321" w:rsidRDefault="00CE75D4" w:rsidP="008340C1">
            <w:pPr>
              <w:pStyle w:val="ARfintablebodyright"/>
              <w:spacing w:before="20" w:after="16" w:line="228" w:lineRule="auto"/>
              <w:ind w:right="0"/>
              <w:rPr>
                <w:sz w:val="16"/>
              </w:rPr>
            </w:pPr>
            <w:r w:rsidRPr="00494321">
              <w:rPr>
                <w:sz w:val="16"/>
              </w:rPr>
              <w:t>11.</w:t>
            </w:r>
            <w:r>
              <w:rPr>
                <w:sz w:val="16"/>
              </w:rPr>
              <w:t>0</w:t>
            </w:r>
          </w:p>
        </w:tc>
        <w:tc>
          <w:tcPr>
            <w:tcW w:w="851" w:type="dxa"/>
            <w:tcBorders>
              <w:top w:val="single" w:sz="4" w:space="0" w:color="A6A6A6"/>
              <w:bottom w:val="single" w:sz="4" w:space="0" w:color="A6A6A6"/>
            </w:tcBorders>
            <w:noWrap/>
          </w:tcPr>
          <w:p w14:paraId="4A35DC25"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0F4B5FF8"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59AD6F7B"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6D9A98F9"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5EEB79BF"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0AAA86CE"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4B024E53"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tcPr>
          <w:p w14:paraId="3283968D" w14:textId="77777777" w:rsidR="00CE75D4" w:rsidRPr="00494321" w:rsidRDefault="00CE75D4" w:rsidP="008340C1">
            <w:pPr>
              <w:pStyle w:val="ARfintablebodyright"/>
              <w:spacing w:before="20" w:after="16" w:line="228" w:lineRule="auto"/>
              <w:ind w:right="0"/>
              <w:rPr>
                <w:sz w:val="16"/>
              </w:rPr>
            </w:pPr>
            <w:r w:rsidRPr="00494321">
              <w:rPr>
                <w:sz w:val="16"/>
              </w:rPr>
              <w:t>12.0</w:t>
            </w:r>
          </w:p>
        </w:tc>
      </w:tr>
      <w:tr w:rsidR="00CE75D4" w:rsidRPr="00C0495C" w14:paraId="17DF8188" w14:textId="77777777" w:rsidTr="008340C1">
        <w:trPr>
          <w:cantSplit w:val="0"/>
          <w:trHeight w:val="170"/>
        </w:trPr>
        <w:tc>
          <w:tcPr>
            <w:tcW w:w="3400" w:type="dxa"/>
            <w:tcBorders>
              <w:top w:val="single" w:sz="4" w:space="0" w:color="A6A6A6"/>
              <w:bottom w:val="single" w:sz="4" w:space="0" w:color="A6A6A6"/>
            </w:tcBorders>
            <w:hideMark/>
          </w:tcPr>
          <w:p w14:paraId="3A259315" w14:textId="77777777" w:rsidR="00CE75D4" w:rsidRPr="00494321" w:rsidRDefault="00CE75D4" w:rsidP="008340C1">
            <w:pPr>
              <w:pStyle w:val="ARfintablebody"/>
              <w:spacing w:before="20" w:after="16" w:line="228" w:lineRule="auto"/>
              <w:rPr>
                <w:sz w:val="16"/>
              </w:rPr>
            </w:pPr>
            <w:r w:rsidRPr="00494321">
              <w:rPr>
                <w:sz w:val="16"/>
              </w:rPr>
              <w:t>Grants</w:t>
            </w:r>
          </w:p>
        </w:tc>
        <w:tc>
          <w:tcPr>
            <w:tcW w:w="850" w:type="dxa"/>
            <w:tcBorders>
              <w:top w:val="single" w:sz="4" w:space="0" w:color="A6A6A6"/>
              <w:bottom w:val="single" w:sz="4" w:space="0" w:color="A6A6A6"/>
            </w:tcBorders>
            <w:noWrap/>
            <w:hideMark/>
          </w:tcPr>
          <w:p w14:paraId="4E885216"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5EC1FE71"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534B16D5"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02B7C4CC"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5F056A4C"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6DCBDB8C"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40B276F5"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198A5A77"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6BBD4951"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57B28A35"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776CEEBD"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290FC08C"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5C5A8650" w14:textId="77777777" w:rsidR="00CE75D4" w:rsidRPr="00494321" w:rsidRDefault="00CE75D4" w:rsidP="008340C1">
            <w:pPr>
              <w:pStyle w:val="ARfintablebodyright"/>
              <w:spacing w:before="20" w:after="16" w:line="228" w:lineRule="auto"/>
              <w:ind w:right="0"/>
              <w:rPr>
                <w:sz w:val="16"/>
              </w:rPr>
            </w:pPr>
            <w:r w:rsidRPr="00494321">
              <w:rPr>
                <w:sz w:val="16"/>
              </w:rPr>
              <w:t>120.5</w:t>
            </w:r>
          </w:p>
        </w:tc>
      </w:tr>
      <w:tr w:rsidR="00CE75D4" w:rsidRPr="00C0495C" w14:paraId="2BBD039F" w14:textId="77777777" w:rsidTr="008340C1">
        <w:trPr>
          <w:cantSplit w:val="0"/>
          <w:trHeight w:val="170"/>
        </w:trPr>
        <w:tc>
          <w:tcPr>
            <w:tcW w:w="3400" w:type="dxa"/>
            <w:tcBorders>
              <w:top w:val="single" w:sz="4" w:space="0" w:color="A6A6A6"/>
              <w:bottom w:val="single" w:sz="4" w:space="0" w:color="A6A6A6"/>
            </w:tcBorders>
            <w:hideMark/>
          </w:tcPr>
          <w:p w14:paraId="74790968" w14:textId="77777777" w:rsidR="00CE75D4" w:rsidRPr="00494321" w:rsidRDefault="00CE75D4" w:rsidP="008340C1">
            <w:pPr>
              <w:pStyle w:val="ARfintablebody"/>
              <w:spacing w:before="20" w:after="16" w:line="228" w:lineRule="auto"/>
              <w:rPr>
                <w:sz w:val="16"/>
              </w:rPr>
            </w:pPr>
            <w:r w:rsidRPr="00494321">
              <w:rPr>
                <w:sz w:val="16"/>
              </w:rPr>
              <w:t>Other</w:t>
            </w:r>
          </w:p>
        </w:tc>
        <w:tc>
          <w:tcPr>
            <w:tcW w:w="850" w:type="dxa"/>
            <w:tcBorders>
              <w:top w:val="single" w:sz="4" w:space="0" w:color="A6A6A6"/>
              <w:bottom w:val="single" w:sz="4" w:space="0" w:color="A6A6A6"/>
            </w:tcBorders>
            <w:noWrap/>
            <w:hideMark/>
          </w:tcPr>
          <w:p w14:paraId="626AD42A"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375A32FD"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1A62E4AF"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5EEBE012"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19FFEBDB"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0A07F7D2" w14:textId="77777777" w:rsidR="00CE75D4" w:rsidRPr="00494321" w:rsidRDefault="00CE75D4" w:rsidP="008340C1">
            <w:pPr>
              <w:pStyle w:val="ARfintablebodyright"/>
              <w:spacing w:before="20" w:after="16" w:line="228" w:lineRule="auto"/>
              <w:ind w:right="0"/>
              <w:rPr>
                <w:sz w:val="16"/>
              </w:rPr>
            </w:pPr>
            <w:r w:rsidRPr="00494321">
              <w:rPr>
                <w:sz w:val="16"/>
              </w:rPr>
              <w:t>0.1</w:t>
            </w:r>
          </w:p>
        </w:tc>
        <w:tc>
          <w:tcPr>
            <w:tcW w:w="851" w:type="dxa"/>
            <w:tcBorders>
              <w:top w:val="single" w:sz="4" w:space="0" w:color="A6A6A6"/>
              <w:bottom w:val="single" w:sz="4" w:space="0" w:color="A6A6A6"/>
            </w:tcBorders>
            <w:noWrap/>
            <w:hideMark/>
          </w:tcPr>
          <w:p w14:paraId="6EBADCCC"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11B57014"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78996D61"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31061255"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50FA1687"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253F161B"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003FD437" w14:textId="77777777" w:rsidR="00CE75D4" w:rsidRPr="00494321" w:rsidRDefault="00CE75D4" w:rsidP="008340C1">
            <w:pPr>
              <w:pStyle w:val="ARfintablebodyright"/>
              <w:spacing w:before="20" w:after="16" w:line="228" w:lineRule="auto"/>
              <w:ind w:right="0"/>
              <w:rPr>
                <w:sz w:val="16"/>
              </w:rPr>
            </w:pPr>
            <w:r w:rsidRPr="00494321">
              <w:rPr>
                <w:sz w:val="16"/>
              </w:rPr>
              <w:t>8.8</w:t>
            </w:r>
          </w:p>
        </w:tc>
      </w:tr>
      <w:tr w:rsidR="00CE75D4" w:rsidRPr="00C0495C" w14:paraId="07FFD6B9" w14:textId="77777777" w:rsidTr="008340C1">
        <w:trPr>
          <w:cantSplit w:val="0"/>
          <w:trHeight w:val="170"/>
        </w:trPr>
        <w:tc>
          <w:tcPr>
            <w:tcW w:w="3400" w:type="dxa"/>
            <w:tcBorders>
              <w:top w:val="single" w:sz="4" w:space="0" w:color="A6A6A6"/>
            </w:tcBorders>
            <w:hideMark/>
          </w:tcPr>
          <w:p w14:paraId="0D40A2BD" w14:textId="77777777" w:rsidR="00CE75D4" w:rsidRPr="00494321" w:rsidRDefault="00CE75D4" w:rsidP="008340C1">
            <w:pPr>
              <w:pStyle w:val="ARfintablebody"/>
              <w:spacing w:before="20" w:after="16" w:line="228" w:lineRule="auto"/>
              <w:rPr>
                <w:sz w:val="16"/>
              </w:rPr>
            </w:pPr>
            <w:r w:rsidRPr="00494321">
              <w:rPr>
                <w:sz w:val="16"/>
              </w:rPr>
              <w:t>Fair value of assets and services received free of charge or for nominal consideration</w:t>
            </w:r>
          </w:p>
        </w:tc>
        <w:tc>
          <w:tcPr>
            <w:tcW w:w="850" w:type="dxa"/>
            <w:tcBorders>
              <w:top w:val="single" w:sz="4" w:space="0" w:color="A6A6A6"/>
            </w:tcBorders>
            <w:noWrap/>
            <w:hideMark/>
          </w:tcPr>
          <w:p w14:paraId="03AFE276"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tcBorders>
            <w:noWrap/>
            <w:hideMark/>
          </w:tcPr>
          <w:p w14:paraId="0D8F8C62"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tcBorders>
            <w:noWrap/>
            <w:hideMark/>
          </w:tcPr>
          <w:p w14:paraId="570931F7"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tcBorders>
            <w:noWrap/>
            <w:hideMark/>
          </w:tcPr>
          <w:p w14:paraId="16CEAA93"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tcBorders>
            <w:noWrap/>
            <w:hideMark/>
          </w:tcPr>
          <w:p w14:paraId="117274B7"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tcBorders>
            <w:noWrap/>
            <w:hideMark/>
          </w:tcPr>
          <w:p w14:paraId="6EF44381"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tcBorders>
            <w:noWrap/>
            <w:hideMark/>
          </w:tcPr>
          <w:p w14:paraId="2BCEA074"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tcBorders>
            <w:noWrap/>
            <w:hideMark/>
          </w:tcPr>
          <w:p w14:paraId="30EE4DE5"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tcBorders>
            <w:noWrap/>
            <w:hideMark/>
          </w:tcPr>
          <w:p w14:paraId="412F162B"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tcBorders>
            <w:noWrap/>
            <w:hideMark/>
          </w:tcPr>
          <w:p w14:paraId="46725081"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tcBorders>
            <w:noWrap/>
            <w:hideMark/>
          </w:tcPr>
          <w:p w14:paraId="2A873962"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tcBorders>
            <w:noWrap/>
            <w:hideMark/>
          </w:tcPr>
          <w:p w14:paraId="20B13A3F"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tcBorders>
            <w:noWrap/>
            <w:hideMark/>
          </w:tcPr>
          <w:p w14:paraId="4A144DF7" w14:textId="77777777" w:rsidR="00CE75D4" w:rsidRPr="00494321" w:rsidRDefault="00CE75D4" w:rsidP="008340C1">
            <w:pPr>
              <w:pStyle w:val="ARfintablebodyright"/>
              <w:spacing w:before="20" w:after="16" w:line="228" w:lineRule="auto"/>
              <w:ind w:right="0"/>
              <w:rPr>
                <w:sz w:val="16"/>
              </w:rPr>
            </w:pPr>
            <w:r>
              <w:rPr>
                <w:sz w:val="16"/>
              </w:rPr>
              <w:t>–</w:t>
            </w:r>
          </w:p>
        </w:tc>
      </w:tr>
      <w:tr w:rsidR="00CE75D4" w:rsidRPr="00C0495C" w14:paraId="5D5112E3" w14:textId="77777777" w:rsidTr="008340C1">
        <w:trPr>
          <w:cantSplit w:val="0"/>
          <w:trHeight w:val="170"/>
        </w:trPr>
        <w:tc>
          <w:tcPr>
            <w:tcW w:w="3400" w:type="dxa"/>
            <w:tcBorders>
              <w:bottom w:val="single" w:sz="4" w:space="0" w:color="auto"/>
            </w:tcBorders>
            <w:hideMark/>
          </w:tcPr>
          <w:p w14:paraId="7CDD3073" w14:textId="77777777" w:rsidR="00CE75D4" w:rsidRPr="00494321" w:rsidRDefault="00CE75D4" w:rsidP="008340C1">
            <w:pPr>
              <w:pStyle w:val="ARfintablebodybold"/>
              <w:spacing w:before="20" w:after="16" w:line="228" w:lineRule="auto"/>
              <w:rPr>
                <w:rFonts w:cs="Arial"/>
                <w:sz w:val="16"/>
              </w:rPr>
            </w:pPr>
            <w:r w:rsidRPr="00494321">
              <w:rPr>
                <w:rFonts w:cs="Arial"/>
                <w:sz w:val="16"/>
              </w:rPr>
              <w:t>Total administered revenue and income from transactions</w:t>
            </w:r>
          </w:p>
        </w:tc>
        <w:tc>
          <w:tcPr>
            <w:tcW w:w="850" w:type="dxa"/>
            <w:tcBorders>
              <w:bottom w:val="single" w:sz="4" w:space="0" w:color="auto"/>
            </w:tcBorders>
            <w:noWrap/>
            <w:hideMark/>
          </w:tcPr>
          <w:p w14:paraId="4C98A34A" w14:textId="77777777" w:rsidR="00CE75D4" w:rsidRPr="00494321" w:rsidRDefault="00CE75D4" w:rsidP="008340C1">
            <w:pPr>
              <w:pStyle w:val="ARfintablebodyrightbold"/>
              <w:spacing w:before="20" w:after="16" w:line="228" w:lineRule="auto"/>
              <w:ind w:right="0"/>
              <w:rPr>
                <w:sz w:val="16"/>
              </w:rPr>
            </w:pPr>
            <w:r w:rsidRPr="00494321">
              <w:rPr>
                <w:sz w:val="16"/>
              </w:rPr>
              <w:t>1.3</w:t>
            </w:r>
          </w:p>
        </w:tc>
        <w:tc>
          <w:tcPr>
            <w:tcW w:w="850" w:type="dxa"/>
            <w:tcBorders>
              <w:bottom w:val="single" w:sz="4" w:space="0" w:color="auto"/>
            </w:tcBorders>
            <w:noWrap/>
            <w:hideMark/>
          </w:tcPr>
          <w:p w14:paraId="16BD1CEF" w14:textId="77777777" w:rsidR="00CE75D4" w:rsidRPr="00494321" w:rsidRDefault="00CE75D4" w:rsidP="008340C1">
            <w:pPr>
              <w:pStyle w:val="ARfintablebodyrightbold"/>
              <w:spacing w:before="20" w:after="16" w:line="228" w:lineRule="auto"/>
              <w:ind w:right="0"/>
              <w:rPr>
                <w:sz w:val="16"/>
              </w:rPr>
            </w:pPr>
            <w:r w:rsidRPr="00494321">
              <w:rPr>
                <w:sz w:val="16"/>
              </w:rPr>
              <w:t>4.8</w:t>
            </w:r>
          </w:p>
        </w:tc>
        <w:tc>
          <w:tcPr>
            <w:tcW w:w="850" w:type="dxa"/>
            <w:tcBorders>
              <w:bottom w:val="single" w:sz="4" w:space="0" w:color="auto"/>
            </w:tcBorders>
            <w:noWrap/>
            <w:hideMark/>
          </w:tcPr>
          <w:p w14:paraId="700BC880" w14:textId="77777777" w:rsidR="00CE75D4" w:rsidRPr="00494321" w:rsidRDefault="00CE75D4" w:rsidP="008340C1">
            <w:pPr>
              <w:pStyle w:val="ARfintablebodyrightbold"/>
              <w:spacing w:before="20" w:after="16" w:line="228" w:lineRule="auto"/>
              <w:ind w:right="0"/>
              <w:rPr>
                <w:sz w:val="16"/>
              </w:rPr>
            </w:pPr>
            <w:r>
              <w:rPr>
                <w:sz w:val="16"/>
              </w:rPr>
              <w:t>–</w:t>
            </w:r>
          </w:p>
        </w:tc>
        <w:tc>
          <w:tcPr>
            <w:tcW w:w="850" w:type="dxa"/>
            <w:tcBorders>
              <w:bottom w:val="single" w:sz="4" w:space="0" w:color="auto"/>
            </w:tcBorders>
            <w:noWrap/>
            <w:hideMark/>
          </w:tcPr>
          <w:p w14:paraId="0F17C1E0"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tcBorders>
              <w:bottom w:val="single" w:sz="4" w:space="0" w:color="auto"/>
            </w:tcBorders>
            <w:noWrap/>
            <w:hideMark/>
          </w:tcPr>
          <w:p w14:paraId="1D756D18" w14:textId="77777777" w:rsidR="00CE75D4" w:rsidRPr="00494321" w:rsidRDefault="00CE75D4" w:rsidP="008340C1">
            <w:pPr>
              <w:pStyle w:val="ARfintablebodyrightbold"/>
              <w:spacing w:before="20" w:after="16" w:line="228" w:lineRule="auto"/>
              <w:ind w:right="0"/>
              <w:rPr>
                <w:sz w:val="16"/>
              </w:rPr>
            </w:pPr>
            <w:r w:rsidRPr="00494321">
              <w:rPr>
                <w:sz w:val="16"/>
              </w:rPr>
              <w:t>137.</w:t>
            </w:r>
            <w:r>
              <w:rPr>
                <w:sz w:val="16"/>
              </w:rPr>
              <w:t>0</w:t>
            </w:r>
          </w:p>
        </w:tc>
        <w:tc>
          <w:tcPr>
            <w:tcW w:w="851" w:type="dxa"/>
            <w:tcBorders>
              <w:bottom w:val="single" w:sz="4" w:space="0" w:color="auto"/>
            </w:tcBorders>
            <w:noWrap/>
            <w:hideMark/>
          </w:tcPr>
          <w:p w14:paraId="3CE6E678" w14:textId="77777777" w:rsidR="00CE75D4" w:rsidRPr="00494321" w:rsidRDefault="00CE75D4" w:rsidP="008340C1">
            <w:pPr>
              <w:pStyle w:val="ARfintablebodyrightbold"/>
              <w:spacing w:before="20" w:after="16" w:line="228" w:lineRule="auto"/>
              <w:ind w:right="0"/>
              <w:rPr>
                <w:sz w:val="16"/>
              </w:rPr>
            </w:pPr>
            <w:r w:rsidRPr="00494321">
              <w:rPr>
                <w:sz w:val="16"/>
              </w:rPr>
              <w:t>0.2</w:t>
            </w:r>
          </w:p>
        </w:tc>
        <w:tc>
          <w:tcPr>
            <w:tcW w:w="851" w:type="dxa"/>
            <w:tcBorders>
              <w:bottom w:val="single" w:sz="4" w:space="0" w:color="auto"/>
            </w:tcBorders>
            <w:noWrap/>
            <w:hideMark/>
          </w:tcPr>
          <w:p w14:paraId="01245EA4"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tcBorders>
              <w:bottom w:val="single" w:sz="4" w:space="0" w:color="auto"/>
            </w:tcBorders>
            <w:noWrap/>
            <w:hideMark/>
          </w:tcPr>
          <w:p w14:paraId="6B4F7345" w14:textId="77777777" w:rsidR="00CE75D4" w:rsidRPr="00494321" w:rsidRDefault="00CE75D4" w:rsidP="008340C1">
            <w:pPr>
              <w:pStyle w:val="ARfintablebodyrightbold"/>
              <w:spacing w:before="20" w:after="16" w:line="228" w:lineRule="auto"/>
              <w:ind w:right="0"/>
              <w:rPr>
                <w:sz w:val="16"/>
              </w:rPr>
            </w:pPr>
            <w:r w:rsidRPr="00494321">
              <w:rPr>
                <w:sz w:val="16"/>
              </w:rPr>
              <w:t>136.0</w:t>
            </w:r>
          </w:p>
        </w:tc>
        <w:tc>
          <w:tcPr>
            <w:tcW w:w="851" w:type="dxa"/>
            <w:tcBorders>
              <w:bottom w:val="single" w:sz="4" w:space="0" w:color="auto"/>
            </w:tcBorders>
            <w:noWrap/>
            <w:hideMark/>
          </w:tcPr>
          <w:p w14:paraId="62061906"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tcBorders>
              <w:bottom w:val="single" w:sz="4" w:space="0" w:color="auto"/>
            </w:tcBorders>
            <w:noWrap/>
            <w:hideMark/>
          </w:tcPr>
          <w:p w14:paraId="1EFAE342"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tcBorders>
              <w:bottom w:val="single" w:sz="4" w:space="0" w:color="auto"/>
            </w:tcBorders>
            <w:noWrap/>
            <w:hideMark/>
          </w:tcPr>
          <w:p w14:paraId="19ED19EB"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tcBorders>
              <w:bottom w:val="single" w:sz="4" w:space="0" w:color="auto"/>
            </w:tcBorders>
            <w:noWrap/>
            <w:hideMark/>
          </w:tcPr>
          <w:p w14:paraId="38081607"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tcBorders>
              <w:bottom w:val="single" w:sz="4" w:space="0" w:color="auto"/>
            </w:tcBorders>
            <w:noWrap/>
            <w:hideMark/>
          </w:tcPr>
          <w:p w14:paraId="2941D33A" w14:textId="77777777" w:rsidR="00CE75D4" w:rsidRPr="00494321" w:rsidRDefault="00CE75D4" w:rsidP="008340C1">
            <w:pPr>
              <w:pStyle w:val="ARfintablebodyrightbold"/>
              <w:spacing w:before="20" w:after="16" w:line="228" w:lineRule="auto"/>
              <w:ind w:right="0"/>
              <w:rPr>
                <w:sz w:val="16"/>
              </w:rPr>
            </w:pPr>
            <w:r w:rsidRPr="00494321">
              <w:rPr>
                <w:sz w:val="16"/>
              </w:rPr>
              <w:t>15,989.7</w:t>
            </w:r>
          </w:p>
        </w:tc>
      </w:tr>
      <w:tr w:rsidR="00CE75D4" w:rsidRPr="00C0495C" w14:paraId="00658316" w14:textId="77777777" w:rsidTr="008340C1">
        <w:trPr>
          <w:cantSplit w:val="0"/>
          <w:trHeight w:val="170"/>
        </w:trPr>
        <w:tc>
          <w:tcPr>
            <w:tcW w:w="14459" w:type="dxa"/>
            <w:gridSpan w:val="14"/>
            <w:tcBorders>
              <w:top w:val="single" w:sz="4" w:space="0" w:color="A6A6A6"/>
              <w:bottom w:val="single" w:sz="4" w:space="0" w:color="A6A6A6"/>
            </w:tcBorders>
          </w:tcPr>
          <w:p w14:paraId="0A4E7EDC" w14:textId="77777777" w:rsidR="00CE75D4" w:rsidRPr="00494321" w:rsidRDefault="00CE75D4" w:rsidP="008340C1">
            <w:pPr>
              <w:pStyle w:val="ARfintablebodybold"/>
              <w:spacing w:before="20" w:after="16" w:line="228" w:lineRule="auto"/>
              <w:rPr>
                <w:rFonts w:cs="Arial"/>
                <w:sz w:val="16"/>
              </w:rPr>
            </w:pPr>
            <w:r w:rsidRPr="00494321">
              <w:rPr>
                <w:rFonts w:cs="Arial"/>
                <w:sz w:val="16"/>
              </w:rPr>
              <w:t>Administered expenses from transactions</w:t>
            </w:r>
          </w:p>
        </w:tc>
      </w:tr>
      <w:tr w:rsidR="00CE75D4" w:rsidRPr="00C0495C" w14:paraId="60AFB310" w14:textId="77777777" w:rsidTr="008340C1">
        <w:trPr>
          <w:cantSplit w:val="0"/>
          <w:trHeight w:val="170"/>
        </w:trPr>
        <w:tc>
          <w:tcPr>
            <w:tcW w:w="3400" w:type="dxa"/>
            <w:tcBorders>
              <w:top w:val="single" w:sz="4" w:space="0" w:color="A6A6A6"/>
              <w:bottom w:val="single" w:sz="4" w:space="0" w:color="A6A6A6"/>
            </w:tcBorders>
            <w:hideMark/>
          </w:tcPr>
          <w:p w14:paraId="51628934" w14:textId="77777777" w:rsidR="00CE75D4" w:rsidRPr="00494321" w:rsidRDefault="00CE75D4" w:rsidP="008340C1">
            <w:pPr>
              <w:pStyle w:val="ARfintablebody"/>
              <w:spacing w:before="20" w:after="16" w:line="228" w:lineRule="auto"/>
              <w:rPr>
                <w:sz w:val="16"/>
              </w:rPr>
            </w:pPr>
            <w:r w:rsidRPr="00494321">
              <w:rPr>
                <w:sz w:val="16"/>
              </w:rPr>
              <w:t>Grants and other expense transfers</w:t>
            </w:r>
          </w:p>
        </w:tc>
        <w:tc>
          <w:tcPr>
            <w:tcW w:w="850" w:type="dxa"/>
            <w:tcBorders>
              <w:top w:val="single" w:sz="4" w:space="0" w:color="A6A6A6"/>
              <w:bottom w:val="single" w:sz="4" w:space="0" w:color="A6A6A6"/>
            </w:tcBorders>
            <w:noWrap/>
            <w:hideMark/>
          </w:tcPr>
          <w:p w14:paraId="4C368228"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622C20D4"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51F45F39"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26F5F15D"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44394697"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6455E578"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4E512BE5"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1B0DE156"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7E8A5E5B"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1D52B927"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0995DCD2"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55451AFC"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57292650" w14:textId="77777777" w:rsidR="00CE75D4" w:rsidRPr="00494321" w:rsidRDefault="00CE75D4" w:rsidP="008340C1">
            <w:pPr>
              <w:pStyle w:val="ARfintablebodyright"/>
              <w:spacing w:before="20" w:after="16" w:line="228" w:lineRule="auto"/>
              <w:ind w:right="0"/>
              <w:rPr>
                <w:sz w:val="16"/>
              </w:rPr>
            </w:pPr>
            <w:r w:rsidRPr="00494321">
              <w:rPr>
                <w:sz w:val="16"/>
              </w:rPr>
              <w:t>11,881.4</w:t>
            </w:r>
          </w:p>
        </w:tc>
      </w:tr>
      <w:tr w:rsidR="00CE75D4" w:rsidRPr="00C0495C" w14:paraId="5DF44159" w14:textId="77777777" w:rsidTr="008340C1">
        <w:trPr>
          <w:cantSplit w:val="0"/>
          <w:trHeight w:val="170"/>
        </w:trPr>
        <w:tc>
          <w:tcPr>
            <w:tcW w:w="3400" w:type="dxa"/>
            <w:tcBorders>
              <w:top w:val="single" w:sz="4" w:space="0" w:color="A6A6A6"/>
              <w:bottom w:val="single" w:sz="4" w:space="0" w:color="A6A6A6"/>
            </w:tcBorders>
            <w:hideMark/>
          </w:tcPr>
          <w:p w14:paraId="4F754B26" w14:textId="77777777" w:rsidR="00CE75D4" w:rsidRPr="00494321" w:rsidRDefault="00CE75D4" w:rsidP="008340C1">
            <w:pPr>
              <w:pStyle w:val="ARfintablebody"/>
              <w:spacing w:before="20" w:after="16" w:line="228" w:lineRule="auto"/>
              <w:rPr>
                <w:sz w:val="16"/>
              </w:rPr>
            </w:pPr>
            <w:r w:rsidRPr="00494321">
              <w:rPr>
                <w:sz w:val="16"/>
              </w:rPr>
              <w:t>Employee benefits</w:t>
            </w:r>
          </w:p>
        </w:tc>
        <w:tc>
          <w:tcPr>
            <w:tcW w:w="850" w:type="dxa"/>
            <w:tcBorders>
              <w:top w:val="single" w:sz="4" w:space="0" w:color="A6A6A6"/>
              <w:bottom w:val="single" w:sz="4" w:space="0" w:color="A6A6A6"/>
            </w:tcBorders>
            <w:noWrap/>
            <w:hideMark/>
          </w:tcPr>
          <w:p w14:paraId="61D0BE94"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202C2270"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5831E107"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0C92A82E"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714AAFFE"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594EA7D2"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39890991"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5940D731"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278C52A3"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4D4AF6E7"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4FEEE4E4"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1ACFEB07"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35782A1C" w14:textId="77777777" w:rsidR="00CE75D4" w:rsidRPr="00494321" w:rsidRDefault="00CE75D4" w:rsidP="008340C1">
            <w:pPr>
              <w:pStyle w:val="ARfintablebodyright"/>
              <w:spacing w:before="20" w:after="16" w:line="228" w:lineRule="auto"/>
              <w:ind w:right="0"/>
              <w:rPr>
                <w:sz w:val="16"/>
              </w:rPr>
            </w:pPr>
            <w:r>
              <w:rPr>
                <w:sz w:val="16"/>
              </w:rPr>
              <w:t>–</w:t>
            </w:r>
          </w:p>
        </w:tc>
      </w:tr>
      <w:tr w:rsidR="00CE75D4" w:rsidRPr="00C0495C" w14:paraId="471CA3AE" w14:textId="77777777" w:rsidTr="008340C1">
        <w:trPr>
          <w:cantSplit w:val="0"/>
          <w:trHeight w:val="170"/>
        </w:trPr>
        <w:tc>
          <w:tcPr>
            <w:tcW w:w="3400" w:type="dxa"/>
            <w:tcBorders>
              <w:top w:val="single" w:sz="4" w:space="0" w:color="A6A6A6"/>
              <w:bottom w:val="single" w:sz="4" w:space="0" w:color="A6A6A6"/>
            </w:tcBorders>
            <w:hideMark/>
          </w:tcPr>
          <w:p w14:paraId="7E7BD09D" w14:textId="77777777" w:rsidR="00CE75D4" w:rsidRPr="00494321" w:rsidRDefault="00CE75D4" w:rsidP="008340C1">
            <w:pPr>
              <w:pStyle w:val="ARfintablebody"/>
              <w:spacing w:before="20" w:after="16" w:line="228" w:lineRule="auto"/>
              <w:rPr>
                <w:sz w:val="16"/>
              </w:rPr>
            </w:pPr>
            <w:r w:rsidRPr="00494321">
              <w:rPr>
                <w:sz w:val="16"/>
              </w:rPr>
              <w:t>Other operating expenses</w:t>
            </w:r>
          </w:p>
        </w:tc>
        <w:tc>
          <w:tcPr>
            <w:tcW w:w="850" w:type="dxa"/>
            <w:tcBorders>
              <w:top w:val="single" w:sz="4" w:space="0" w:color="A6A6A6"/>
              <w:bottom w:val="single" w:sz="4" w:space="0" w:color="A6A6A6"/>
            </w:tcBorders>
            <w:noWrap/>
            <w:hideMark/>
          </w:tcPr>
          <w:p w14:paraId="6EFF1CB4"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4BFD2764"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49DD06DD"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3F5D1677"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7133A653"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6580A8D9"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13DA7FDA"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40677AB4"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5CDB212F"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5D94E116"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338C011A"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1D1322CE"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022B02F2" w14:textId="77777777" w:rsidR="00CE75D4" w:rsidRPr="00494321" w:rsidRDefault="00CE75D4" w:rsidP="008340C1">
            <w:pPr>
              <w:pStyle w:val="ARfintablebodyright"/>
              <w:spacing w:before="20" w:after="16" w:line="228" w:lineRule="auto"/>
              <w:ind w:right="0"/>
              <w:rPr>
                <w:sz w:val="16"/>
              </w:rPr>
            </w:pPr>
            <w:r w:rsidRPr="00494321">
              <w:rPr>
                <w:sz w:val="16"/>
              </w:rPr>
              <w:t>0.1</w:t>
            </w:r>
          </w:p>
        </w:tc>
      </w:tr>
      <w:tr w:rsidR="00CE75D4" w:rsidRPr="00C0495C" w14:paraId="09A820B3" w14:textId="77777777" w:rsidTr="008340C1">
        <w:trPr>
          <w:cantSplit w:val="0"/>
          <w:trHeight w:val="170"/>
        </w:trPr>
        <w:tc>
          <w:tcPr>
            <w:tcW w:w="3400" w:type="dxa"/>
            <w:tcBorders>
              <w:top w:val="single" w:sz="4" w:space="0" w:color="A6A6A6"/>
              <w:bottom w:val="single" w:sz="4" w:space="0" w:color="A6A6A6"/>
            </w:tcBorders>
            <w:hideMark/>
          </w:tcPr>
          <w:p w14:paraId="30C012AC" w14:textId="77777777" w:rsidR="00CE75D4" w:rsidRPr="00494321" w:rsidRDefault="00CE75D4" w:rsidP="008340C1">
            <w:pPr>
              <w:pStyle w:val="ARfintablebody"/>
              <w:spacing w:before="20" w:after="16" w:line="228" w:lineRule="auto"/>
              <w:rPr>
                <w:sz w:val="16"/>
              </w:rPr>
            </w:pPr>
            <w:r w:rsidRPr="00494321">
              <w:rPr>
                <w:sz w:val="16"/>
              </w:rPr>
              <w:t>Payments into the consolidated fund</w:t>
            </w:r>
          </w:p>
        </w:tc>
        <w:tc>
          <w:tcPr>
            <w:tcW w:w="850" w:type="dxa"/>
            <w:tcBorders>
              <w:top w:val="single" w:sz="4" w:space="0" w:color="A6A6A6"/>
              <w:bottom w:val="single" w:sz="4" w:space="0" w:color="A6A6A6"/>
            </w:tcBorders>
            <w:noWrap/>
            <w:hideMark/>
          </w:tcPr>
          <w:p w14:paraId="53990D66" w14:textId="77777777" w:rsidR="00CE75D4" w:rsidRPr="00494321" w:rsidRDefault="00CE75D4" w:rsidP="008340C1">
            <w:pPr>
              <w:pStyle w:val="ARfintablebodyright"/>
              <w:spacing w:before="20" w:after="16" w:line="228" w:lineRule="auto"/>
              <w:ind w:right="0"/>
              <w:rPr>
                <w:sz w:val="16"/>
              </w:rPr>
            </w:pPr>
            <w:r w:rsidRPr="00494321">
              <w:rPr>
                <w:sz w:val="16"/>
              </w:rPr>
              <w:t>1.3</w:t>
            </w:r>
          </w:p>
        </w:tc>
        <w:tc>
          <w:tcPr>
            <w:tcW w:w="850" w:type="dxa"/>
            <w:tcBorders>
              <w:top w:val="single" w:sz="4" w:space="0" w:color="A6A6A6"/>
              <w:bottom w:val="single" w:sz="4" w:space="0" w:color="A6A6A6"/>
            </w:tcBorders>
            <w:noWrap/>
            <w:hideMark/>
          </w:tcPr>
          <w:p w14:paraId="31A3F5BF" w14:textId="77777777" w:rsidR="00CE75D4" w:rsidRPr="00494321" w:rsidRDefault="00CE75D4" w:rsidP="008340C1">
            <w:pPr>
              <w:pStyle w:val="ARfintablebodyright"/>
              <w:spacing w:before="20" w:after="16" w:line="228" w:lineRule="auto"/>
              <w:ind w:right="0"/>
              <w:rPr>
                <w:sz w:val="16"/>
              </w:rPr>
            </w:pPr>
            <w:r w:rsidRPr="00494321">
              <w:rPr>
                <w:sz w:val="16"/>
              </w:rPr>
              <w:t>4.5</w:t>
            </w:r>
          </w:p>
        </w:tc>
        <w:tc>
          <w:tcPr>
            <w:tcW w:w="850" w:type="dxa"/>
            <w:tcBorders>
              <w:top w:val="single" w:sz="4" w:space="0" w:color="A6A6A6"/>
              <w:bottom w:val="single" w:sz="4" w:space="0" w:color="A6A6A6"/>
            </w:tcBorders>
            <w:noWrap/>
            <w:hideMark/>
          </w:tcPr>
          <w:p w14:paraId="7A17653E"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6E93F8F3"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3DC28507" w14:textId="77777777" w:rsidR="00CE75D4" w:rsidRPr="00494321" w:rsidRDefault="00CE75D4" w:rsidP="008340C1">
            <w:pPr>
              <w:pStyle w:val="ARfintablebodyright"/>
              <w:spacing w:before="20" w:after="16" w:line="228" w:lineRule="auto"/>
              <w:ind w:right="0"/>
              <w:rPr>
                <w:sz w:val="16"/>
              </w:rPr>
            </w:pPr>
            <w:r w:rsidRPr="00494321">
              <w:rPr>
                <w:sz w:val="16"/>
              </w:rPr>
              <w:t>13.8</w:t>
            </w:r>
          </w:p>
        </w:tc>
        <w:tc>
          <w:tcPr>
            <w:tcW w:w="851" w:type="dxa"/>
            <w:tcBorders>
              <w:top w:val="single" w:sz="4" w:space="0" w:color="A6A6A6"/>
              <w:bottom w:val="single" w:sz="4" w:space="0" w:color="A6A6A6"/>
            </w:tcBorders>
            <w:noWrap/>
            <w:hideMark/>
          </w:tcPr>
          <w:p w14:paraId="6A763608" w14:textId="77777777" w:rsidR="00CE75D4" w:rsidRPr="00494321" w:rsidRDefault="00CE75D4" w:rsidP="008340C1">
            <w:pPr>
              <w:pStyle w:val="ARfintablebodyright"/>
              <w:spacing w:before="20" w:after="16" w:line="228" w:lineRule="auto"/>
              <w:ind w:right="0"/>
              <w:rPr>
                <w:sz w:val="16"/>
              </w:rPr>
            </w:pPr>
            <w:r w:rsidRPr="00494321">
              <w:rPr>
                <w:sz w:val="16"/>
              </w:rPr>
              <w:t>0.2</w:t>
            </w:r>
          </w:p>
        </w:tc>
        <w:tc>
          <w:tcPr>
            <w:tcW w:w="851" w:type="dxa"/>
            <w:tcBorders>
              <w:top w:val="single" w:sz="4" w:space="0" w:color="A6A6A6"/>
              <w:bottom w:val="single" w:sz="4" w:space="0" w:color="A6A6A6"/>
            </w:tcBorders>
            <w:noWrap/>
            <w:hideMark/>
          </w:tcPr>
          <w:p w14:paraId="5403BE9A"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2EB3F0CA" w14:textId="77777777" w:rsidR="00CE75D4" w:rsidRPr="00494321" w:rsidRDefault="00CE75D4" w:rsidP="008340C1">
            <w:pPr>
              <w:pStyle w:val="ARfintablebodyright"/>
              <w:spacing w:before="20" w:after="16" w:line="228" w:lineRule="auto"/>
              <w:ind w:right="0"/>
              <w:rPr>
                <w:sz w:val="16"/>
              </w:rPr>
            </w:pPr>
            <w:r w:rsidRPr="00494321">
              <w:rPr>
                <w:sz w:val="16"/>
              </w:rPr>
              <w:t>3.6</w:t>
            </w:r>
          </w:p>
        </w:tc>
        <w:tc>
          <w:tcPr>
            <w:tcW w:w="851" w:type="dxa"/>
            <w:tcBorders>
              <w:top w:val="single" w:sz="4" w:space="0" w:color="A6A6A6"/>
              <w:bottom w:val="single" w:sz="4" w:space="0" w:color="A6A6A6"/>
            </w:tcBorders>
            <w:noWrap/>
            <w:hideMark/>
          </w:tcPr>
          <w:p w14:paraId="48293CDD"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7110CF10"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2CE47E6B"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54D28E09"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2C9FCDD5" w14:textId="77777777" w:rsidR="00CE75D4" w:rsidRPr="00494321" w:rsidRDefault="00CE75D4" w:rsidP="008340C1">
            <w:pPr>
              <w:pStyle w:val="ARfintablebodyright"/>
              <w:spacing w:before="20" w:after="16" w:line="228" w:lineRule="auto"/>
              <w:ind w:right="0"/>
              <w:rPr>
                <w:sz w:val="16"/>
              </w:rPr>
            </w:pPr>
            <w:r w:rsidRPr="00494321">
              <w:rPr>
                <w:sz w:val="16"/>
              </w:rPr>
              <w:t>400.1</w:t>
            </w:r>
          </w:p>
        </w:tc>
      </w:tr>
      <w:tr w:rsidR="00CE75D4" w:rsidRPr="00C0495C" w14:paraId="5BD80CBC" w14:textId="77777777" w:rsidTr="008340C1">
        <w:trPr>
          <w:cantSplit w:val="0"/>
          <w:trHeight w:val="170"/>
        </w:trPr>
        <w:tc>
          <w:tcPr>
            <w:tcW w:w="3400" w:type="dxa"/>
            <w:tcBorders>
              <w:top w:val="single" w:sz="4" w:space="0" w:color="A6A6A6"/>
              <w:bottom w:val="single" w:sz="4" w:space="0" w:color="A6A6A6"/>
            </w:tcBorders>
            <w:hideMark/>
          </w:tcPr>
          <w:p w14:paraId="11FB2EF9" w14:textId="77777777" w:rsidR="00CE75D4" w:rsidRPr="00494321" w:rsidRDefault="00CE75D4" w:rsidP="008340C1">
            <w:pPr>
              <w:pStyle w:val="ARfintablebody"/>
              <w:spacing w:before="20" w:after="16" w:line="228" w:lineRule="auto"/>
              <w:rPr>
                <w:sz w:val="16"/>
              </w:rPr>
            </w:pPr>
            <w:r w:rsidRPr="00494321">
              <w:rPr>
                <w:sz w:val="16"/>
              </w:rPr>
              <w:t xml:space="preserve">Payment from the </w:t>
            </w:r>
            <w:r>
              <w:rPr>
                <w:sz w:val="16"/>
              </w:rPr>
              <w:t xml:space="preserve">Victorian State Pool Account </w:t>
            </w:r>
            <w:r w:rsidRPr="00494321">
              <w:rPr>
                <w:sz w:val="16"/>
              </w:rPr>
              <w:t>to the departmental controlled entity</w:t>
            </w:r>
          </w:p>
        </w:tc>
        <w:tc>
          <w:tcPr>
            <w:tcW w:w="850" w:type="dxa"/>
            <w:tcBorders>
              <w:top w:val="single" w:sz="4" w:space="0" w:color="A6A6A6"/>
              <w:bottom w:val="single" w:sz="4" w:space="0" w:color="A6A6A6"/>
            </w:tcBorders>
            <w:noWrap/>
            <w:hideMark/>
          </w:tcPr>
          <w:p w14:paraId="6C45C5EB"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4BC6C2CE" w14:textId="77777777" w:rsidR="00CE75D4" w:rsidRPr="00494321" w:rsidRDefault="00CE75D4" w:rsidP="008340C1">
            <w:pPr>
              <w:pStyle w:val="ARfintablebodyright"/>
              <w:spacing w:before="20" w:after="16" w:line="228" w:lineRule="auto"/>
              <w:ind w:right="0"/>
              <w:rPr>
                <w:sz w:val="16"/>
              </w:rPr>
            </w:pPr>
            <w:r w:rsidRPr="00494321">
              <w:rPr>
                <w:sz w:val="16"/>
              </w:rPr>
              <w:t>0.3</w:t>
            </w:r>
          </w:p>
        </w:tc>
        <w:tc>
          <w:tcPr>
            <w:tcW w:w="850" w:type="dxa"/>
            <w:tcBorders>
              <w:top w:val="single" w:sz="4" w:space="0" w:color="A6A6A6"/>
              <w:bottom w:val="single" w:sz="4" w:space="0" w:color="A6A6A6"/>
            </w:tcBorders>
            <w:noWrap/>
            <w:hideMark/>
          </w:tcPr>
          <w:p w14:paraId="232C2B09"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707BB5B5"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54F6DEDB" w14:textId="77777777" w:rsidR="00CE75D4" w:rsidRPr="00494321" w:rsidRDefault="00CE75D4" w:rsidP="008340C1">
            <w:pPr>
              <w:pStyle w:val="ARfintablebodyright"/>
              <w:spacing w:before="20" w:after="16" w:line="228" w:lineRule="auto"/>
              <w:ind w:right="0"/>
              <w:rPr>
                <w:sz w:val="16"/>
              </w:rPr>
            </w:pPr>
            <w:r w:rsidRPr="00494321">
              <w:rPr>
                <w:sz w:val="16"/>
              </w:rPr>
              <w:t>123.3</w:t>
            </w:r>
          </w:p>
        </w:tc>
        <w:tc>
          <w:tcPr>
            <w:tcW w:w="851" w:type="dxa"/>
            <w:tcBorders>
              <w:top w:val="single" w:sz="4" w:space="0" w:color="A6A6A6"/>
              <w:bottom w:val="single" w:sz="4" w:space="0" w:color="A6A6A6"/>
            </w:tcBorders>
            <w:noWrap/>
            <w:hideMark/>
          </w:tcPr>
          <w:p w14:paraId="1DD06C60"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5FDA592B"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569BAC99" w14:textId="77777777" w:rsidR="00CE75D4" w:rsidRPr="00494321" w:rsidRDefault="00CE75D4" w:rsidP="008340C1">
            <w:pPr>
              <w:pStyle w:val="ARfintablebodyright"/>
              <w:spacing w:before="20" w:after="16" w:line="228" w:lineRule="auto"/>
              <w:ind w:right="0"/>
              <w:rPr>
                <w:sz w:val="16"/>
              </w:rPr>
            </w:pPr>
            <w:r w:rsidRPr="00494321">
              <w:rPr>
                <w:sz w:val="16"/>
              </w:rPr>
              <w:t>132.4</w:t>
            </w:r>
          </w:p>
        </w:tc>
        <w:tc>
          <w:tcPr>
            <w:tcW w:w="851" w:type="dxa"/>
            <w:tcBorders>
              <w:top w:val="single" w:sz="4" w:space="0" w:color="A6A6A6"/>
              <w:bottom w:val="single" w:sz="4" w:space="0" w:color="A6A6A6"/>
            </w:tcBorders>
            <w:noWrap/>
            <w:hideMark/>
          </w:tcPr>
          <w:p w14:paraId="2D394B97"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0A15A9D0"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7C204EC0"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7E7A12CF"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2C30812B" w14:textId="77777777" w:rsidR="00CE75D4" w:rsidRPr="00494321" w:rsidRDefault="00CE75D4" w:rsidP="008340C1">
            <w:pPr>
              <w:pStyle w:val="ARfintablebodyright"/>
              <w:spacing w:before="20" w:after="16" w:line="228" w:lineRule="auto"/>
              <w:ind w:right="0"/>
              <w:rPr>
                <w:sz w:val="16"/>
              </w:rPr>
            </w:pPr>
            <w:r w:rsidRPr="00494321">
              <w:rPr>
                <w:sz w:val="16"/>
              </w:rPr>
              <w:t>3,663.5</w:t>
            </w:r>
          </w:p>
        </w:tc>
      </w:tr>
      <w:tr w:rsidR="00CE75D4" w:rsidRPr="00C0495C" w14:paraId="3B83898C" w14:textId="77777777" w:rsidTr="008340C1">
        <w:trPr>
          <w:cantSplit w:val="0"/>
          <w:trHeight w:val="170"/>
        </w:trPr>
        <w:tc>
          <w:tcPr>
            <w:tcW w:w="3400" w:type="dxa"/>
            <w:tcBorders>
              <w:top w:val="single" w:sz="4" w:space="0" w:color="A6A6A6"/>
              <w:bottom w:val="single" w:sz="4" w:space="0" w:color="A6A6A6"/>
            </w:tcBorders>
            <w:hideMark/>
          </w:tcPr>
          <w:p w14:paraId="0A6D7865" w14:textId="77777777" w:rsidR="00CE75D4" w:rsidRPr="00494321" w:rsidRDefault="00CE75D4" w:rsidP="008340C1">
            <w:pPr>
              <w:pStyle w:val="ARfintablebody"/>
              <w:spacing w:before="20" w:after="16" w:line="228" w:lineRule="auto"/>
              <w:rPr>
                <w:sz w:val="16"/>
              </w:rPr>
            </w:pPr>
            <w:r w:rsidRPr="00494321">
              <w:rPr>
                <w:sz w:val="16"/>
              </w:rPr>
              <w:t>Fair value of assets and services provided free of charge or for nominal consideration</w:t>
            </w:r>
          </w:p>
        </w:tc>
        <w:tc>
          <w:tcPr>
            <w:tcW w:w="850" w:type="dxa"/>
            <w:tcBorders>
              <w:top w:val="single" w:sz="4" w:space="0" w:color="A6A6A6"/>
              <w:bottom w:val="single" w:sz="4" w:space="0" w:color="A6A6A6"/>
            </w:tcBorders>
            <w:noWrap/>
            <w:hideMark/>
          </w:tcPr>
          <w:p w14:paraId="24B063FB"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1DF84AE2"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595D8A81"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74975EDC"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6E1F229E"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3B7FFB9D"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37E48563"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54DDE827"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601FFB0E"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45EF2E96"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03DB1CEB"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07F1107B"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4611FF7F" w14:textId="77777777" w:rsidR="00CE75D4" w:rsidRPr="00494321" w:rsidRDefault="00CE75D4" w:rsidP="008340C1">
            <w:pPr>
              <w:pStyle w:val="ARfintablebodyright"/>
              <w:spacing w:before="20" w:after="16" w:line="228" w:lineRule="auto"/>
              <w:ind w:right="0"/>
              <w:rPr>
                <w:sz w:val="16"/>
              </w:rPr>
            </w:pPr>
            <w:r w:rsidRPr="00494321">
              <w:rPr>
                <w:sz w:val="16"/>
              </w:rPr>
              <w:t>0.3</w:t>
            </w:r>
          </w:p>
        </w:tc>
      </w:tr>
      <w:tr w:rsidR="00CE75D4" w:rsidRPr="00C0495C" w14:paraId="6B529356" w14:textId="77777777" w:rsidTr="008340C1">
        <w:trPr>
          <w:cantSplit w:val="0"/>
          <w:trHeight w:val="170"/>
        </w:trPr>
        <w:tc>
          <w:tcPr>
            <w:tcW w:w="3400" w:type="dxa"/>
            <w:hideMark/>
          </w:tcPr>
          <w:p w14:paraId="4040949B" w14:textId="77777777" w:rsidR="00CE75D4" w:rsidRPr="00494321" w:rsidRDefault="00CE75D4" w:rsidP="008340C1">
            <w:pPr>
              <w:pStyle w:val="ARfintablebodybold"/>
              <w:spacing w:before="20" w:after="16" w:line="228" w:lineRule="auto"/>
              <w:rPr>
                <w:rFonts w:cs="Arial"/>
                <w:sz w:val="16"/>
              </w:rPr>
            </w:pPr>
            <w:r w:rsidRPr="00494321">
              <w:rPr>
                <w:rFonts w:cs="Arial"/>
                <w:sz w:val="16"/>
              </w:rPr>
              <w:t>Total administered expenses from transactions</w:t>
            </w:r>
          </w:p>
        </w:tc>
        <w:tc>
          <w:tcPr>
            <w:tcW w:w="850" w:type="dxa"/>
            <w:noWrap/>
            <w:hideMark/>
          </w:tcPr>
          <w:p w14:paraId="0891C27F" w14:textId="77777777" w:rsidR="00CE75D4" w:rsidRPr="00494321" w:rsidRDefault="00CE75D4" w:rsidP="008340C1">
            <w:pPr>
              <w:pStyle w:val="ARfintablebodyrightbold"/>
              <w:spacing w:before="20" w:after="16" w:line="228" w:lineRule="auto"/>
              <w:ind w:right="0"/>
              <w:rPr>
                <w:sz w:val="16"/>
              </w:rPr>
            </w:pPr>
            <w:r w:rsidRPr="00494321">
              <w:rPr>
                <w:sz w:val="16"/>
              </w:rPr>
              <w:t>1.3</w:t>
            </w:r>
          </w:p>
        </w:tc>
        <w:tc>
          <w:tcPr>
            <w:tcW w:w="850" w:type="dxa"/>
            <w:noWrap/>
            <w:hideMark/>
          </w:tcPr>
          <w:p w14:paraId="5ADF40DA" w14:textId="77777777" w:rsidR="00CE75D4" w:rsidRPr="00494321" w:rsidRDefault="00CE75D4" w:rsidP="008340C1">
            <w:pPr>
              <w:pStyle w:val="ARfintablebodyrightbold"/>
              <w:spacing w:before="20" w:after="16" w:line="228" w:lineRule="auto"/>
              <w:ind w:right="0"/>
              <w:rPr>
                <w:sz w:val="16"/>
              </w:rPr>
            </w:pPr>
            <w:r w:rsidRPr="00494321">
              <w:rPr>
                <w:sz w:val="16"/>
              </w:rPr>
              <w:t>4.8</w:t>
            </w:r>
          </w:p>
        </w:tc>
        <w:tc>
          <w:tcPr>
            <w:tcW w:w="850" w:type="dxa"/>
            <w:noWrap/>
            <w:hideMark/>
          </w:tcPr>
          <w:p w14:paraId="41C7C64F" w14:textId="77777777" w:rsidR="00CE75D4" w:rsidRPr="00494321" w:rsidRDefault="00CE75D4" w:rsidP="008340C1">
            <w:pPr>
              <w:pStyle w:val="ARfintablebodyrightbold"/>
              <w:spacing w:before="20" w:after="16" w:line="228" w:lineRule="auto"/>
              <w:ind w:right="0"/>
              <w:rPr>
                <w:sz w:val="16"/>
              </w:rPr>
            </w:pPr>
            <w:r>
              <w:rPr>
                <w:sz w:val="16"/>
              </w:rPr>
              <w:t>–</w:t>
            </w:r>
          </w:p>
        </w:tc>
        <w:tc>
          <w:tcPr>
            <w:tcW w:w="850" w:type="dxa"/>
            <w:noWrap/>
            <w:hideMark/>
          </w:tcPr>
          <w:p w14:paraId="280F99BF"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7989EE14" w14:textId="77777777" w:rsidR="00CE75D4" w:rsidRPr="00494321" w:rsidRDefault="00CE75D4" w:rsidP="008340C1">
            <w:pPr>
              <w:pStyle w:val="ARfintablebodyrightbold"/>
              <w:spacing w:before="20" w:after="16" w:line="228" w:lineRule="auto"/>
              <w:ind w:right="0"/>
              <w:rPr>
                <w:sz w:val="16"/>
              </w:rPr>
            </w:pPr>
            <w:r w:rsidRPr="00494321">
              <w:rPr>
                <w:sz w:val="16"/>
              </w:rPr>
              <w:t>137.1</w:t>
            </w:r>
          </w:p>
        </w:tc>
        <w:tc>
          <w:tcPr>
            <w:tcW w:w="851" w:type="dxa"/>
            <w:noWrap/>
            <w:hideMark/>
          </w:tcPr>
          <w:p w14:paraId="3B7F7039" w14:textId="77777777" w:rsidR="00CE75D4" w:rsidRPr="00494321" w:rsidRDefault="00CE75D4" w:rsidP="008340C1">
            <w:pPr>
              <w:pStyle w:val="ARfintablebodyrightbold"/>
              <w:spacing w:before="20" w:after="16" w:line="228" w:lineRule="auto"/>
              <w:ind w:right="0"/>
              <w:rPr>
                <w:sz w:val="16"/>
              </w:rPr>
            </w:pPr>
            <w:r w:rsidRPr="00494321">
              <w:rPr>
                <w:sz w:val="16"/>
              </w:rPr>
              <w:t>0.2</w:t>
            </w:r>
          </w:p>
        </w:tc>
        <w:tc>
          <w:tcPr>
            <w:tcW w:w="851" w:type="dxa"/>
            <w:noWrap/>
            <w:hideMark/>
          </w:tcPr>
          <w:p w14:paraId="23011765"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7BEB4B9D" w14:textId="77777777" w:rsidR="00CE75D4" w:rsidRPr="00494321" w:rsidRDefault="00CE75D4" w:rsidP="008340C1">
            <w:pPr>
              <w:pStyle w:val="ARfintablebodyrightbold"/>
              <w:spacing w:before="20" w:after="16" w:line="228" w:lineRule="auto"/>
              <w:ind w:right="0"/>
              <w:rPr>
                <w:sz w:val="16"/>
              </w:rPr>
            </w:pPr>
            <w:r w:rsidRPr="00494321">
              <w:rPr>
                <w:sz w:val="16"/>
              </w:rPr>
              <w:t>136.0</w:t>
            </w:r>
          </w:p>
        </w:tc>
        <w:tc>
          <w:tcPr>
            <w:tcW w:w="851" w:type="dxa"/>
            <w:noWrap/>
            <w:hideMark/>
          </w:tcPr>
          <w:p w14:paraId="0CC0C2A5"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59F7EA1D"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16DD40E4"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410F22F3"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7CBC9FFC" w14:textId="77777777" w:rsidR="00CE75D4" w:rsidRPr="00494321" w:rsidRDefault="00CE75D4" w:rsidP="008340C1">
            <w:pPr>
              <w:pStyle w:val="ARfintablebodyrightbold"/>
              <w:spacing w:before="20" w:after="16" w:line="228" w:lineRule="auto"/>
              <w:ind w:right="0"/>
              <w:rPr>
                <w:sz w:val="16"/>
              </w:rPr>
            </w:pPr>
            <w:r w:rsidRPr="00494321">
              <w:rPr>
                <w:sz w:val="16"/>
              </w:rPr>
              <w:t>15,945.4</w:t>
            </w:r>
          </w:p>
        </w:tc>
      </w:tr>
      <w:tr w:rsidR="00CE75D4" w:rsidRPr="00C0495C" w14:paraId="279307B1" w14:textId="77777777" w:rsidTr="008340C1">
        <w:trPr>
          <w:cantSplit w:val="0"/>
          <w:trHeight w:val="170"/>
        </w:trPr>
        <w:tc>
          <w:tcPr>
            <w:tcW w:w="3400" w:type="dxa"/>
            <w:tcBorders>
              <w:bottom w:val="single" w:sz="4" w:space="0" w:color="auto"/>
            </w:tcBorders>
            <w:hideMark/>
          </w:tcPr>
          <w:p w14:paraId="59EB2FC5" w14:textId="77777777" w:rsidR="00CE75D4" w:rsidRPr="00494321" w:rsidRDefault="00CE75D4" w:rsidP="008340C1">
            <w:pPr>
              <w:pStyle w:val="ARfintablebodybold"/>
              <w:spacing w:before="20" w:after="16" w:line="228" w:lineRule="auto"/>
              <w:rPr>
                <w:rFonts w:cs="Arial"/>
                <w:sz w:val="16"/>
              </w:rPr>
            </w:pPr>
            <w:r w:rsidRPr="00494321">
              <w:rPr>
                <w:rFonts w:cs="Arial"/>
                <w:sz w:val="16"/>
              </w:rPr>
              <w:t>Total administered net result from transactions</w:t>
            </w:r>
          </w:p>
        </w:tc>
        <w:tc>
          <w:tcPr>
            <w:tcW w:w="850" w:type="dxa"/>
            <w:tcBorders>
              <w:bottom w:val="single" w:sz="4" w:space="0" w:color="auto"/>
            </w:tcBorders>
            <w:noWrap/>
            <w:hideMark/>
          </w:tcPr>
          <w:p w14:paraId="2E947734" w14:textId="77777777" w:rsidR="00CE75D4" w:rsidRPr="00494321" w:rsidRDefault="00CE75D4" w:rsidP="008340C1">
            <w:pPr>
              <w:pStyle w:val="ARfintablebodyrightbold"/>
              <w:spacing w:before="20" w:after="16" w:line="228" w:lineRule="auto"/>
              <w:ind w:right="0"/>
              <w:rPr>
                <w:sz w:val="16"/>
              </w:rPr>
            </w:pPr>
            <w:r>
              <w:rPr>
                <w:sz w:val="16"/>
              </w:rPr>
              <w:t>–</w:t>
            </w:r>
          </w:p>
        </w:tc>
        <w:tc>
          <w:tcPr>
            <w:tcW w:w="850" w:type="dxa"/>
            <w:tcBorders>
              <w:bottom w:val="single" w:sz="4" w:space="0" w:color="auto"/>
            </w:tcBorders>
            <w:noWrap/>
            <w:hideMark/>
          </w:tcPr>
          <w:p w14:paraId="10ADC92E" w14:textId="77777777" w:rsidR="00CE75D4" w:rsidRPr="00494321" w:rsidRDefault="00CE75D4" w:rsidP="008340C1">
            <w:pPr>
              <w:pStyle w:val="ARfintablebodyrightbold"/>
              <w:spacing w:before="20" w:after="16" w:line="228" w:lineRule="auto"/>
              <w:ind w:right="0"/>
              <w:rPr>
                <w:sz w:val="16"/>
              </w:rPr>
            </w:pPr>
            <w:r>
              <w:rPr>
                <w:sz w:val="16"/>
              </w:rPr>
              <w:t>–</w:t>
            </w:r>
          </w:p>
        </w:tc>
        <w:tc>
          <w:tcPr>
            <w:tcW w:w="850" w:type="dxa"/>
            <w:tcBorders>
              <w:bottom w:val="single" w:sz="4" w:space="0" w:color="auto"/>
            </w:tcBorders>
            <w:noWrap/>
            <w:hideMark/>
          </w:tcPr>
          <w:p w14:paraId="760BA188" w14:textId="77777777" w:rsidR="00CE75D4" w:rsidRPr="00494321" w:rsidRDefault="00CE75D4" w:rsidP="008340C1">
            <w:pPr>
              <w:pStyle w:val="ARfintablebodyrightbold"/>
              <w:spacing w:before="20" w:after="16" w:line="228" w:lineRule="auto"/>
              <w:ind w:right="0"/>
              <w:rPr>
                <w:sz w:val="16"/>
              </w:rPr>
            </w:pPr>
            <w:r>
              <w:rPr>
                <w:sz w:val="16"/>
              </w:rPr>
              <w:t>–</w:t>
            </w:r>
          </w:p>
        </w:tc>
        <w:tc>
          <w:tcPr>
            <w:tcW w:w="850" w:type="dxa"/>
            <w:tcBorders>
              <w:bottom w:val="single" w:sz="4" w:space="0" w:color="auto"/>
            </w:tcBorders>
            <w:noWrap/>
            <w:hideMark/>
          </w:tcPr>
          <w:p w14:paraId="3740C49C"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tcBorders>
              <w:bottom w:val="single" w:sz="4" w:space="0" w:color="auto"/>
            </w:tcBorders>
            <w:noWrap/>
            <w:hideMark/>
          </w:tcPr>
          <w:p w14:paraId="4AC36538" w14:textId="77777777" w:rsidR="00CE75D4" w:rsidRPr="00494321" w:rsidRDefault="00CE75D4" w:rsidP="008340C1">
            <w:pPr>
              <w:pStyle w:val="ARfintablebodyrightbold"/>
              <w:spacing w:before="20" w:after="16" w:line="228" w:lineRule="auto"/>
              <w:ind w:right="0"/>
              <w:rPr>
                <w:sz w:val="16"/>
              </w:rPr>
            </w:pPr>
            <w:r>
              <w:rPr>
                <w:sz w:val="16"/>
              </w:rPr>
              <w:t>(0.1)</w:t>
            </w:r>
          </w:p>
        </w:tc>
        <w:tc>
          <w:tcPr>
            <w:tcW w:w="851" w:type="dxa"/>
            <w:tcBorders>
              <w:bottom w:val="single" w:sz="4" w:space="0" w:color="auto"/>
            </w:tcBorders>
            <w:noWrap/>
            <w:hideMark/>
          </w:tcPr>
          <w:p w14:paraId="450EF94C"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tcBorders>
              <w:bottom w:val="single" w:sz="4" w:space="0" w:color="auto"/>
            </w:tcBorders>
            <w:noWrap/>
            <w:hideMark/>
          </w:tcPr>
          <w:p w14:paraId="6A7EBE49"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tcBorders>
              <w:bottom w:val="single" w:sz="4" w:space="0" w:color="auto"/>
            </w:tcBorders>
            <w:noWrap/>
            <w:hideMark/>
          </w:tcPr>
          <w:p w14:paraId="1B56E305"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tcBorders>
              <w:bottom w:val="single" w:sz="4" w:space="0" w:color="auto"/>
            </w:tcBorders>
            <w:noWrap/>
            <w:hideMark/>
          </w:tcPr>
          <w:p w14:paraId="6F4FEAE4"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tcBorders>
              <w:bottom w:val="single" w:sz="4" w:space="0" w:color="auto"/>
            </w:tcBorders>
            <w:noWrap/>
            <w:hideMark/>
          </w:tcPr>
          <w:p w14:paraId="67F30FE2"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tcBorders>
              <w:bottom w:val="single" w:sz="4" w:space="0" w:color="auto"/>
            </w:tcBorders>
            <w:noWrap/>
            <w:hideMark/>
          </w:tcPr>
          <w:p w14:paraId="72B52FE2"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tcBorders>
              <w:bottom w:val="single" w:sz="4" w:space="0" w:color="auto"/>
            </w:tcBorders>
            <w:noWrap/>
            <w:hideMark/>
          </w:tcPr>
          <w:p w14:paraId="2BFAE8B0"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tcBorders>
              <w:bottom w:val="single" w:sz="4" w:space="0" w:color="auto"/>
            </w:tcBorders>
            <w:noWrap/>
            <w:hideMark/>
          </w:tcPr>
          <w:p w14:paraId="53BD7DE1" w14:textId="77777777" w:rsidR="00CE75D4" w:rsidRPr="00494321" w:rsidRDefault="00CE75D4" w:rsidP="008340C1">
            <w:pPr>
              <w:pStyle w:val="ARfintablebodyrightbold"/>
              <w:spacing w:before="20" w:after="16" w:line="228" w:lineRule="auto"/>
              <w:ind w:right="0"/>
              <w:rPr>
                <w:sz w:val="16"/>
              </w:rPr>
            </w:pPr>
            <w:r w:rsidRPr="00494321">
              <w:rPr>
                <w:sz w:val="16"/>
              </w:rPr>
              <w:t>44.3</w:t>
            </w:r>
          </w:p>
        </w:tc>
      </w:tr>
      <w:tr w:rsidR="00CE75D4" w:rsidRPr="00C0495C" w14:paraId="25C8F1F2" w14:textId="77777777" w:rsidTr="008340C1">
        <w:trPr>
          <w:cantSplit w:val="0"/>
          <w:trHeight w:val="170"/>
        </w:trPr>
        <w:tc>
          <w:tcPr>
            <w:tcW w:w="14459" w:type="dxa"/>
            <w:gridSpan w:val="14"/>
            <w:tcBorders>
              <w:top w:val="single" w:sz="4" w:space="0" w:color="A6A6A6"/>
              <w:bottom w:val="single" w:sz="4" w:space="0" w:color="A6A6A6"/>
            </w:tcBorders>
          </w:tcPr>
          <w:p w14:paraId="4E9ADACE" w14:textId="77777777" w:rsidR="00CE75D4" w:rsidRPr="00494321" w:rsidRDefault="00CE75D4" w:rsidP="008340C1">
            <w:pPr>
              <w:pStyle w:val="ARfintablebodybold"/>
              <w:spacing w:before="20" w:after="16" w:line="228" w:lineRule="auto"/>
              <w:rPr>
                <w:rFonts w:cs="Arial"/>
                <w:sz w:val="16"/>
              </w:rPr>
            </w:pPr>
            <w:r w:rsidRPr="00494321">
              <w:rPr>
                <w:rFonts w:cs="Arial"/>
                <w:sz w:val="16"/>
              </w:rPr>
              <w:t xml:space="preserve">Administered other economic flows </w:t>
            </w:r>
            <w:r>
              <w:rPr>
                <w:rFonts w:cs="Arial"/>
                <w:sz w:val="16"/>
              </w:rPr>
              <w:br/>
            </w:r>
            <w:r w:rsidRPr="00494321">
              <w:rPr>
                <w:rFonts w:cs="Arial"/>
                <w:sz w:val="16"/>
              </w:rPr>
              <w:t>included in net result</w:t>
            </w:r>
          </w:p>
        </w:tc>
      </w:tr>
      <w:tr w:rsidR="00CE75D4" w:rsidRPr="00C0495C" w14:paraId="18222195" w14:textId="77777777" w:rsidTr="008340C1">
        <w:trPr>
          <w:cantSplit w:val="0"/>
          <w:trHeight w:val="170"/>
        </w:trPr>
        <w:tc>
          <w:tcPr>
            <w:tcW w:w="3400" w:type="dxa"/>
            <w:tcBorders>
              <w:top w:val="single" w:sz="4" w:space="0" w:color="A6A6A6"/>
              <w:bottom w:val="single" w:sz="4" w:space="0" w:color="A6A6A6"/>
            </w:tcBorders>
            <w:hideMark/>
          </w:tcPr>
          <w:p w14:paraId="28F693FA" w14:textId="77777777" w:rsidR="00CE75D4" w:rsidRPr="00494321" w:rsidRDefault="00CE75D4" w:rsidP="008340C1">
            <w:pPr>
              <w:pStyle w:val="ARfintablebody"/>
              <w:spacing w:before="20" w:after="16" w:line="228" w:lineRule="auto"/>
              <w:rPr>
                <w:sz w:val="16"/>
              </w:rPr>
            </w:pPr>
            <w:r w:rsidRPr="00494321">
              <w:rPr>
                <w:sz w:val="16"/>
              </w:rPr>
              <w:t>Net gain/(loss) on non-financial assets</w:t>
            </w:r>
          </w:p>
        </w:tc>
        <w:tc>
          <w:tcPr>
            <w:tcW w:w="850" w:type="dxa"/>
            <w:tcBorders>
              <w:top w:val="single" w:sz="4" w:space="0" w:color="A6A6A6"/>
              <w:bottom w:val="single" w:sz="4" w:space="0" w:color="A6A6A6"/>
            </w:tcBorders>
            <w:noWrap/>
            <w:hideMark/>
          </w:tcPr>
          <w:p w14:paraId="1697A71A"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52F25CA6"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36D91BBB"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42099D17"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05DC5220"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70475623"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7BC0659C"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1F071D44"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6EFA7C76"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1A85B501"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167D9DB0"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6C1736DC"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51A09287" w14:textId="77777777" w:rsidR="00CE75D4" w:rsidRPr="00494321" w:rsidRDefault="00CE75D4" w:rsidP="008340C1">
            <w:pPr>
              <w:pStyle w:val="ARfintablebodyright"/>
              <w:spacing w:before="20" w:after="16" w:line="228" w:lineRule="auto"/>
              <w:ind w:right="0"/>
              <w:rPr>
                <w:sz w:val="16"/>
              </w:rPr>
            </w:pPr>
            <w:r>
              <w:rPr>
                <w:sz w:val="16"/>
              </w:rPr>
              <w:t>–</w:t>
            </w:r>
          </w:p>
        </w:tc>
      </w:tr>
      <w:tr w:rsidR="00CE75D4" w:rsidRPr="00C0495C" w14:paraId="3547E1CE" w14:textId="77777777" w:rsidTr="008340C1">
        <w:trPr>
          <w:cantSplit w:val="0"/>
          <w:trHeight w:val="170"/>
        </w:trPr>
        <w:tc>
          <w:tcPr>
            <w:tcW w:w="3400" w:type="dxa"/>
            <w:tcBorders>
              <w:top w:val="single" w:sz="4" w:space="0" w:color="A6A6A6"/>
              <w:bottom w:val="single" w:sz="4" w:space="0" w:color="A6A6A6"/>
            </w:tcBorders>
            <w:hideMark/>
          </w:tcPr>
          <w:p w14:paraId="706F111D" w14:textId="77777777" w:rsidR="00CE75D4" w:rsidRPr="00494321" w:rsidRDefault="00CE75D4" w:rsidP="008340C1">
            <w:pPr>
              <w:pStyle w:val="ARfintablebody"/>
              <w:spacing w:before="20" w:after="16" w:line="228" w:lineRule="auto"/>
              <w:rPr>
                <w:sz w:val="16"/>
              </w:rPr>
            </w:pPr>
            <w:r w:rsidRPr="00494321">
              <w:rPr>
                <w:sz w:val="16"/>
              </w:rPr>
              <w:t>Other gains/(losses) from other economic flows</w:t>
            </w:r>
          </w:p>
        </w:tc>
        <w:tc>
          <w:tcPr>
            <w:tcW w:w="850" w:type="dxa"/>
            <w:tcBorders>
              <w:top w:val="single" w:sz="4" w:space="0" w:color="A6A6A6"/>
              <w:bottom w:val="single" w:sz="4" w:space="0" w:color="A6A6A6"/>
            </w:tcBorders>
            <w:noWrap/>
            <w:hideMark/>
          </w:tcPr>
          <w:p w14:paraId="6FF08A61"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79F9AD63"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7A7D9C6F" w14:textId="77777777" w:rsidR="00CE75D4" w:rsidRPr="00494321" w:rsidRDefault="00CE75D4" w:rsidP="008340C1">
            <w:pPr>
              <w:pStyle w:val="ARfintablebodyright"/>
              <w:spacing w:before="20" w:after="16" w:line="228" w:lineRule="auto"/>
              <w:ind w:right="0"/>
              <w:rPr>
                <w:sz w:val="16"/>
              </w:rPr>
            </w:pPr>
            <w:r>
              <w:rPr>
                <w:sz w:val="16"/>
              </w:rPr>
              <w:t>–</w:t>
            </w:r>
          </w:p>
        </w:tc>
        <w:tc>
          <w:tcPr>
            <w:tcW w:w="850" w:type="dxa"/>
            <w:tcBorders>
              <w:top w:val="single" w:sz="4" w:space="0" w:color="A6A6A6"/>
              <w:bottom w:val="single" w:sz="4" w:space="0" w:color="A6A6A6"/>
            </w:tcBorders>
            <w:noWrap/>
            <w:hideMark/>
          </w:tcPr>
          <w:p w14:paraId="3FE736B3"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242A4BEB"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05AF3683"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2DCB05A6"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60A484C6"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2286871C"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1DF9F538"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19413A17"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765E488A" w14:textId="77777777" w:rsidR="00CE75D4" w:rsidRPr="00494321" w:rsidRDefault="00CE75D4" w:rsidP="008340C1">
            <w:pPr>
              <w:pStyle w:val="ARfintablebodyright"/>
              <w:spacing w:before="20" w:after="16" w:line="228" w:lineRule="auto"/>
              <w:ind w:right="0"/>
              <w:rPr>
                <w:sz w:val="16"/>
              </w:rPr>
            </w:pPr>
            <w:r>
              <w:rPr>
                <w:sz w:val="16"/>
              </w:rPr>
              <w:t>–</w:t>
            </w:r>
          </w:p>
        </w:tc>
        <w:tc>
          <w:tcPr>
            <w:tcW w:w="851" w:type="dxa"/>
            <w:tcBorders>
              <w:top w:val="single" w:sz="4" w:space="0" w:color="A6A6A6"/>
              <w:bottom w:val="single" w:sz="4" w:space="0" w:color="A6A6A6"/>
            </w:tcBorders>
            <w:noWrap/>
            <w:hideMark/>
          </w:tcPr>
          <w:p w14:paraId="1A11BB37" w14:textId="77777777" w:rsidR="00CE75D4" w:rsidRPr="00494321" w:rsidRDefault="00CE75D4" w:rsidP="008340C1">
            <w:pPr>
              <w:pStyle w:val="ARfintablebodyright"/>
              <w:spacing w:before="20" w:after="16" w:line="228" w:lineRule="auto"/>
              <w:ind w:right="0"/>
              <w:rPr>
                <w:sz w:val="16"/>
              </w:rPr>
            </w:pPr>
            <w:r w:rsidRPr="00494321">
              <w:rPr>
                <w:sz w:val="16"/>
              </w:rPr>
              <w:t>8.8</w:t>
            </w:r>
          </w:p>
        </w:tc>
      </w:tr>
      <w:tr w:rsidR="00CE75D4" w:rsidRPr="00C0495C" w14:paraId="331C8618" w14:textId="77777777" w:rsidTr="008340C1">
        <w:trPr>
          <w:cantSplit w:val="0"/>
          <w:trHeight w:val="170"/>
        </w:trPr>
        <w:tc>
          <w:tcPr>
            <w:tcW w:w="3400" w:type="dxa"/>
            <w:hideMark/>
          </w:tcPr>
          <w:p w14:paraId="21AE77DA" w14:textId="77777777" w:rsidR="00CE75D4" w:rsidRPr="00494321" w:rsidRDefault="00CE75D4" w:rsidP="008340C1">
            <w:pPr>
              <w:pStyle w:val="ARfintablebodybold"/>
              <w:spacing w:before="20" w:after="16" w:line="228" w:lineRule="auto"/>
              <w:rPr>
                <w:rFonts w:cs="Arial"/>
                <w:sz w:val="16"/>
              </w:rPr>
            </w:pPr>
            <w:r w:rsidRPr="00494321">
              <w:rPr>
                <w:rFonts w:cs="Arial"/>
                <w:sz w:val="16"/>
              </w:rPr>
              <w:t>Total administered other economic flows</w:t>
            </w:r>
          </w:p>
        </w:tc>
        <w:tc>
          <w:tcPr>
            <w:tcW w:w="850" w:type="dxa"/>
            <w:noWrap/>
            <w:hideMark/>
          </w:tcPr>
          <w:p w14:paraId="3D389BC5" w14:textId="77777777" w:rsidR="00CE75D4" w:rsidRPr="00494321" w:rsidRDefault="00CE75D4" w:rsidP="008340C1">
            <w:pPr>
              <w:pStyle w:val="ARfintablebodyrightbold"/>
              <w:spacing w:before="20" w:after="16" w:line="228" w:lineRule="auto"/>
              <w:ind w:right="0"/>
              <w:rPr>
                <w:sz w:val="16"/>
              </w:rPr>
            </w:pPr>
            <w:r>
              <w:rPr>
                <w:sz w:val="16"/>
              </w:rPr>
              <w:t>–</w:t>
            </w:r>
          </w:p>
        </w:tc>
        <w:tc>
          <w:tcPr>
            <w:tcW w:w="850" w:type="dxa"/>
            <w:noWrap/>
            <w:hideMark/>
          </w:tcPr>
          <w:p w14:paraId="3FBCA989" w14:textId="77777777" w:rsidR="00CE75D4" w:rsidRPr="00494321" w:rsidRDefault="00CE75D4" w:rsidP="008340C1">
            <w:pPr>
              <w:pStyle w:val="ARfintablebodyrightbold"/>
              <w:spacing w:before="20" w:after="16" w:line="228" w:lineRule="auto"/>
              <w:ind w:right="0"/>
              <w:rPr>
                <w:sz w:val="16"/>
              </w:rPr>
            </w:pPr>
            <w:r>
              <w:rPr>
                <w:sz w:val="16"/>
              </w:rPr>
              <w:t>–</w:t>
            </w:r>
          </w:p>
        </w:tc>
        <w:tc>
          <w:tcPr>
            <w:tcW w:w="850" w:type="dxa"/>
            <w:noWrap/>
            <w:hideMark/>
          </w:tcPr>
          <w:p w14:paraId="43C0C5DC" w14:textId="77777777" w:rsidR="00CE75D4" w:rsidRPr="00494321" w:rsidRDefault="00CE75D4" w:rsidP="008340C1">
            <w:pPr>
              <w:pStyle w:val="ARfintablebodyrightbold"/>
              <w:spacing w:before="20" w:after="16" w:line="228" w:lineRule="auto"/>
              <w:ind w:right="0"/>
              <w:rPr>
                <w:sz w:val="16"/>
              </w:rPr>
            </w:pPr>
            <w:r>
              <w:rPr>
                <w:sz w:val="16"/>
              </w:rPr>
              <w:t>–</w:t>
            </w:r>
          </w:p>
        </w:tc>
        <w:tc>
          <w:tcPr>
            <w:tcW w:w="850" w:type="dxa"/>
            <w:noWrap/>
            <w:hideMark/>
          </w:tcPr>
          <w:p w14:paraId="557361A3"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46758674"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25B3DA9F"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7FD6CE5D"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6EB7C65C"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1B41ABF0"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416DDB0C"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2E79326D"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7A905BFB"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0F25AAF7" w14:textId="77777777" w:rsidR="00CE75D4" w:rsidRPr="00494321" w:rsidRDefault="00CE75D4" w:rsidP="008340C1">
            <w:pPr>
              <w:pStyle w:val="ARfintablebodyrightbold"/>
              <w:spacing w:before="20" w:after="16" w:line="228" w:lineRule="auto"/>
              <w:ind w:right="0"/>
              <w:rPr>
                <w:sz w:val="16"/>
              </w:rPr>
            </w:pPr>
            <w:r w:rsidRPr="00494321">
              <w:rPr>
                <w:sz w:val="16"/>
              </w:rPr>
              <w:t>8.8</w:t>
            </w:r>
          </w:p>
        </w:tc>
      </w:tr>
      <w:tr w:rsidR="00CE75D4" w:rsidRPr="00C0495C" w14:paraId="24CDA72B" w14:textId="77777777" w:rsidTr="008340C1">
        <w:trPr>
          <w:cantSplit w:val="0"/>
          <w:trHeight w:val="170"/>
        </w:trPr>
        <w:tc>
          <w:tcPr>
            <w:tcW w:w="3400" w:type="dxa"/>
            <w:hideMark/>
          </w:tcPr>
          <w:p w14:paraId="685121AE" w14:textId="77777777" w:rsidR="00CE75D4" w:rsidRPr="00494321" w:rsidRDefault="00CE75D4" w:rsidP="008340C1">
            <w:pPr>
              <w:pStyle w:val="ARfintablebodybold"/>
              <w:spacing w:before="20" w:after="16" w:line="228" w:lineRule="auto"/>
              <w:rPr>
                <w:rFonts w:cs="Arial"/>
                <w:sz w:val="16"/>
              </w:rPr>
            </w:pPr>
            <w:r w:rsidRPr="00494321">
              <w:rPr>
                <w:rFonts w:cs="Arial"/>
                <w:sz w:val="16"/>
              </w:rPr>
              <w:t>Administered net result</w:t>
            </w:r>
          </w:p>
        </w:tc>
        <w:tc>
          <w:tcPr>
            <w:tcW w:w="850" w:type="dxa"/>
            <w:noWrap/>
            <w:hideMark/>
          </w:tcPr>
          <w:p w14:paraId="0B85FDAF" w14:textId="77777777" w:rsidR="00CE75D4" w:rsidRPr="00494321" w:rsidRDefault="00CE75D4" w:rsidP="008340C1">
            <w:pPr>
              <w:pStyle w:val="ARfintablebodyrightbold"/>
              <w:spacing w:before="20" w:after="16" w:line="228" w:lineRule="auto"/>
              <w:ind w:right="0"/>
              <w:rPr>
                <w:sz w:val="16"/>
              </w:rPr>
            </w:pPr>
            <w:r>
              <w:rPr>
                <w:sz w:val="16"/>
              </w:rPr>
              <w:t>–</w:t>
            </w:r>
          </w:p>
        </w:tc>
        <w:tc>
          <w:tcPr>
            <w:tcW w:w="850" w:type="dxa"/>
            <w:noWrap/>
            <w:hideMark/>
          </w:tcPr>
          <w:p w14:paraId="2E61E483" w14:textId="77777777" w:rsidR="00CE75D4" w:rsidRPr="00494321" w:rsidRDefault="00CE75D4" w:rsidP="008340C1">
            <w:pPr>
              <w:pStyle w:val="ARfintablebodyrightbold"/>
              <w:spacing w:before="20" w:after="16" w:line="228" w:lineRule="auto"/>
              <w:ind w:right="0"/>
              <w:rPr>
                <w:sz w:val="16"/>
              </w:rPr>
            </w:pPr>
            <w:r>
              <w:rPr>
                <w:sz w:val="16"/>
              </w:rPr>
              <w:t>–</w:t>
            </w:r>
          </w:p>
        </w:tc>
        <w:tc>
          <w:tcPr>
            <w:tcW w:w="850" w:type="dxa"/>
            <w:noWrap/>
            <w:hideMark/>
          </w:tcPr>
          <w:p w14:paraId="7C88496E" w14:textId="77777777" w:rsidR="00CE75D4" w:rsidRPr="00494321" w:rsidRDefault="00CE75D4" w:rsidP="008340C1">
            <w:pPr>
              <w:pStyle w:val="ARfintablebodyrightbold"/>
              <w:spacing w:before="20" w:after="16" w:line="228" w:lineRule="auto"/>
              <w:ind w:right="0"/>
              <w:rPr>
                <w:sz w:val="16"/>
              </w:rPr>
            </w:pPr>
            <w:r>
              <w:rPr>
                <w:sz w:val="16"/>
              </w:rPr>
              <w:t>–</w:t>
            </w:r>
          </w:p>
        </w:tc>
        <w:tc>
          <w:tcPr>
            <w:tcW w:w="850" w:type="dxa"/>
            <w:noWrap/>
            <w:hideMark/>
          </w:tcPr>
          <w:p w14:paraId="13760AFB"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329008FD" w14:textId="77777777" w:rsidR="00CE75D4" w:rsidRPr="00494321" w:rsidRDefault="00CE75D4" w:rsidP="008340C1">
            <w:pPr>
              <w:pStyle w:val="ARfintablebodyrightbold"/>
              <w:spacing w:before="20" w:after="16" w:line="228" w:lineRule="auto"/>
              <w:ind w:right="0"/>
              <w:rPr>
                <w:sz w:val="16"/>
              </w:rPr>
            </w:pPr>
            <w:r>
              <w:rPr>
                <w:sz w:val="16"/>
              </w:rPr>
              <w:t>(0.1)</w:t>
            </w:r>
          </w:p>
        </w:tc>
        <w:tc>
          <w:tcPr>
            <w:tcW w:w="851" w:type="dxa"/>
            <w:noWrap/>
            <w:hideMark/>
          </w:tcPr>
          <w:p w14:paraId="5AB5A887"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060F1BFD"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0CB15D54"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0B561DA2"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01BB9996"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14FFB8C8"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3160875C" w14:textId="77777777" w:rsidR="00CE75D4" w:rsidRPr="00494321" w:rsidRDefault="00CE75D4" w:rsidP="008340C1">
            <w:pPr>
              <w:pStyle w:val="ARfintablebodyrightbold"/>
              <w:spacing w:before="20" w:after="16" w:line="228" w:lineRule="auto"/>
              <w:ind w:right="0"/>
              <w:rPr>
                <w:sz w:val="16"/>
              </w:rPr>
            </w:pPr>
            <w:r>
              <w:rPr>
                <w:sz w:val="16"/>
              </w:rPr>
              <w:t>–</w:t>
            </w:r>
          </w:p>
        </w:tc>
        <w:tc>
          <w:tcPr>
            <w:tcW w:w="851" w:type="dxa"/>
            <w:noWrap/>
            <w:hideMark/>
          </w:tcPr>
          <w:p w14:paraId="5F358F77" w14:textId="77777777" w:rsidR="00CE75D4" w:rsidRPr="00494321" w:rsidRDefault="00CE75D4" w:rsidP="008340C1">
            <w:pPr>
              <w:pStyle w:val="ARfintablebodyrightbold"/>
              <w:spacing w:before="20" w:after="16" w:line="228" w:lineRule="auto"/>
              <w:ind w:right="0"/>
              <w:rPr>
                <w:sz w:val="16"/>
              </w:rPr>
            </w:pPr>
            <w:r w:rsidRPr="00494321">
              <w:rPr>
                <w:sz w:val="16"/>
              </w:rPr>
              <w:t>53.1</w:t>
            </w:r>
          </w:p>
        </w:tc>
      </w:tr>
    </w:tbl>
    <w:p w14:paraId="0092D56C" w14:textId="77777777" w:rsidR="00CE75D4" w:rsidRPr="005B53BA" w:rsidRDefault="00CE75D4" w:rsidP="008340C1">
      <w:pPr>
        <w:pStyle w:val="ARfintablefootnote"/>
        <w:rPr>
          <w:sz w:val="15"/>
          <w:szCs w:val="15"/>
        </w:rPr>
      </w:pPr>
      <w:r w:rsidRPr="005B53BA">
        <w:rPr>
          <w:sz w:val="15"/>
          <w:szCs w:val="15"/>
        </w:rPr>
        <w:t>Notes:</w:t>
      </w:r>
    </w:p>
    <w:p w14:paraId="1C123793" w14:textId="77777777" w:rsidR="00CE75D4" w:rsidRPr="005B53BA" w:rsidRDefault="00CE75D4" w:rsidP="008340C1">
      <w:pPr>
        <w:pStyle w:val="ARfintablefootnoteindent"/>
        <w:rPr>
          <w:sz w:val="15"/>
          <w:szCs w:val="15"/>
        </w:rPr>
      </w:pPr>
      <w:r w:rsidRPr="005B53BA">
        <w:rPr>
          <w:sz w:val="15"/>
          <w:szCs w:val="15"/>
        </w:rPr>
        <w:t>(i)</w:t>
      </w:r>
      <w:r w:rsidRPr="005B53BA">
        <w:rPr>
          <w:sz w:val="15"/>
          <w:szCs w:val="15"/>
        </w:rPr>
        <w:tab/>
        <w:t>Refer to Note 4.1.1(a) for output definitions.</w:t>
      </w:r>
    </w:p>
    <w:p w14:paraId="01EAC3BF" w14:textId="77777777" w:rsidR="00CE75D4" w:rsidRPr="00182C99" w:rsidRDefault="00CE75D4" w:rsidP="008340C1">
      <w:pPr>
        <w:pStyle w:val="ARfintablefootnoteindent"/>
      </w:pPr>
      <w:r w:rsidRPr="005B53BA">
        <w:rPr>
          <w:sz w:val="15"/>
          <w:szCs w:val="15"/>
        </w:rPr>
        <w:t>(ii)</w:t>
      </w:r>
      <w:r w:rsidRPr="005B53BA">
        <w:rPr>
          <w:sz w:val="15"/>
          <w:szCs w:val="15"/>
        </w:rPr>
        <w:tab/>
        <w:t xml:space="preserve">Output 25 Shared Services is not applicable for administered </w:t>
      </w:r>
      <w:r w:rsidRPr="00EC013F">
        <w:rPr>
          <w:sz w:val="15"/>
          <w:szCs w:val="15"/>
        </w:rPr>
        <w:t>entity</w:t>
      </w:r>
      <w:r w:rsidRPr="005B53BA">
        <w:rPr>
          <w:sz w:val="15"/>
          <w:szCs w:val="15"/>
        </w:rPr>
        <w:t>.</w:t>
      </w:r>
      <w:r w:rsidRPr="00182C99">
        <w:br w:type="page"/>
      </w:r>
    </w:p>
    <w:p w14:paraId="26641DFD" w14:textId="77777777" w:rsidR="00CE75D4" w:rsidRDefault="00CE75D4" w:rsidP="008340C1">
      <w:pPr>
        <w:pStyle w:val="Heading6"/>
      </w:pPr>
      <w:r>
        <w:t>C. 2021 – Output groups 1–15</w:t>
      </w:r>
    </w:p>
    <w:tbl>
      <w:tblPr>
        <w:tblStyle w:val="TableGrid"/>
        <w:tblW w:w="14459" w:type="dxa"/>
        <w:tblLayout w:type="fixed"/>
        <w:tblCellMar>
          <w:right w:w="0" w:type="dxa"/>
        </w:tblCellMar>
        <w:tblLook w:val="06A0" w:firstRow="1" w:lastRow="0" w:firstColumn="1" w:lastColumn="0" w:noHBand="1" w:noVBand="1"/>
      </w:tblPr>
      <w:tblGrid>
        <w:gridCol w:w="3334"/>
        <w:gridCol w:w="835"/>
        <w:gridCol w:w="656"/>
        <w:gridCol w:w="656"/>
        <w:gridCol w:w="655"/>
        <w:gridCol w:w="655"/>
        <w:gridCol w:w="654"/>
        <w:gridCol w:w="654"/>
        <w:gridCol w:w="721"/>
        <w:gridCol w:w="882"/>
        <w:gridCol w:w="654"/>
        <w:gridCol w:w="654"/>
        <w:gridCol w:w="654"/>
        <w:gridCol w:w="654"/>
        <w:gridCol w:w="654"/>
        <w:gridCol w:w="654"/>
        <w:gridCol w:w="833"/>
      </w:tblGrid>
      <w:tr w:rsidR="00CE75D4" w:rsidRPr="00515571" w14:paraId="0522F453"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3334" w:type="dxa"/>
            <w:tcBorders>
              <w:bottom w:val="single" w:sz="4" w:space="0" w:color="auto"/>
            </w:tcBorders>
            <w:hideMark/>
          </w:tcPr>
          <w:p w14:paraId="69DF3975" w14:textId="77777777" w:rsidR="00CE75D4" w:rsidRPr="00095EB4" w:rsidRDefault="00CE75D4" w:rsidP="008340C1">
            <w:pPr>
              <w:pStyle w:val="ARfintablecolhead"/>
              <w:spacing w:before="10" w:after="10" w:line="228" w:lineRule="auto"/>
              <w:rPr>
                <w:rFonts w:cs="Arial"/>
                <w:sz w:val="16"/>
              </w:rPr>
            </w:pPr>
            <w:bookmarkStart w:id="570" w:name="_Hlk82959212"/>
            <w:bookmarkEnd w:id="569"/>
            <w:r w:rsidRPr="00095EB4">
              <w:rPr>
                <w:rFonts w:cs="Arial"/>
                <w:sz w:val="16"/>
              </w:rPr>
              <w:t>Year ended 30 June 2021</w:t>
            </w:r>
          </w:p>
          <w:p w14:paraId="33AC1BBA" w14:textId="77777777" w:rsidR="00CE75D4" w:rsidRPr="00095EB4" w:rsidRDefault="00CE75D4" w:rsidP="008340C1">
            <w:pPr>
              <w:pStyle w:val="ARfintablecolhead"/>
              <w:spacing w:before="10" w:after="10" w:line="228" w:lineRule="auto"/>
              <w:rPr>
                <w:rFonts w:cs="Arial"/>
                <w:sz w:val="16"/>
              </w:rPr>
            </w:pPr>
            <w:r w:rsidRPr="00095EB4">
              <w:rPr>
                <w:rFonts w:cs="Arial"/>
                <w:sz w:val="16"/>
              </w:rPr>
              <w:t xml:space="preserve">Output group </w:t>
            </w:r>
            <w:r w:rsidRPr="00095EB4">
              <w:rPr>
                <w:rStyle w:val="Superscript"/>
                <w:rFonts w:cs="Arial"/>
                <w:sz w:val="16"/>
              </w:rPr>
              <w:t>(i)(ii)</w:t>
            </w:r>
          </w:p>
        </w:tc>
        <w:tc>
          <w:tcPr>
            <w:tcW w:w="835" w:type="dxa"/>
            <w:tcBorders>
              <w:bottom w:val="single" w:sz="4" w:space="0" w:color="auto"/>
            </w:tcBorders>
            <w:hideMark/>
          </w:tcPr>
          <w:p w14:paraId="6CB0851C"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1</w:t>
            </w:r>
          </w:p>
          <w:p w14:paraId="4AEF7B82"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$M</w:t>
            </w:r>
          </w:p>
        </w:tc>
        <w:tc>
          <w:tcPr>
            <w:tcW w:w="656" w:type="dxa"/>
            <w:tcBorders>
              <w:bottom w:val="single" w:sz="4" w:space="0" w:color="auto"/>
            </w:tcBorders>
            <w:hideMark/>
          </w:tcPr>
          <w:p w14:paraId="6061F920"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2</w:t>
            </w:r>
          </w:p>
          <w:p w14:paraId="299F24BB"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$M</w:t>
            </w:r>
          </w:p>
        </w:tc>
        <w:tc>
          <w:tcPr>
            <w:tcW w:w="656" w:type="dxa"/>
            <w:tcBorders>
              <w:bottom w:val="single" w:sz="4" w:space="0" w:color="auto"/>
            </w:tcBorders>
            <w:hideMark/>
          </w:tcPr>
          <w:p w14:paraId="5950E72F"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3</w:t>
            </w:r>
          </w:p>
          <w:p w14:paraId="0FC1DA55"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$M</w:t>
            </w:r>
          </w:p>
        </w:tc>
        <w:tc>
          <w:tcPr>
            <w:tcW w:w="655" w:type="dxa"/>
            <w:tcBorders>
              <w:bottom w:val="single" w:sz="4" w:space="0" w:color="auto"/>
            </w:tcBorders>
            <w:hideMark/>
          </w:tcPr>
          <w:p w14:paraId="1AE1A3B5"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4</w:t>
            </w:r>
          </w:p>
          <w:p w14:paraId="5D520C67"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$M</w:t>
            </w:r>
          </w:p>
        </w:tc>
        <w:tc>
          <w:tcPr>
            <w:tcW w:w="655" w:type="dxa"/>
            <w:tcBorders>
              <w:bottom w:val="single" w:sz="4" w:space="0" w:color="auto"/>
            </w:tcBorders>
            <w:hideMark/>
          </w:tcPr>
          <w:p w14:paraId="2FB2A75B"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5</w:t>
            </w:r>
          </w:p>
          <w:p w14:paraId="73CB2306"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$M</w:t>
            </w:r>
          </w:p>
        </w:tc>
        <w:tc>
          <w:tcPr>
            <w:tcW w:w="654" w:type="dxa"/>
            <w:tcBorders>
              <w:bottom w:val="single" w:sz="4" w:space="0" w:color="auto"/>
            </w:tcBorders>
            <w:hideMark/>
          </w:tcPr>
          <w:p w14:paraId="530B9CA2"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6</w:t>
            </w:r>
          </w:p>
          <w:p w14:paraId="7F84CBA3"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$M</w:t>
            </w:r>
          </w:p>
        </w:tc>
        <w:tc>
          <w:tcPr>
            <w:tcW w:w="654" w:type="dxa"/>
            <w:tcBorders>
              <w:bottom w:val="single" w:sz="4" w:space="0" w:color="auto"/>
            </w:tcBorders>
            <w:hideMark/>
          </w:tcPr>
          <w:p w14:paraId="248535C9"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7</w:t>
            </w:r>
          </w:p>
          <w:p w14:paraId="256D2661"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$M</w:t>
            </w:r>
          </w:p>
        </w:tc>
        <w:tc>
          <w:tcPr>
            <w:tcW w:w="721" w:type="dxa"/>
            <w:tcBorders>
              <w:bottom w:val="single" w:sz="4" w:space="0" w:color="auto"/>
            </w:tcBorders>
            <w:hideMark/>
          </w:tcPr>
          <w:p w14:paraId="67662037"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8</w:t>
            </w:r>
          </w:p>
          <w:p w14:paraId="53EEDB09"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$M</w:t>
            </w:r>
          </w:p>
        </w:tc>
        <w:tc>
          <w:tcPr>
            <w:tcW w:w="882" w:type="dxa"/>
            <w:tcBorders>
              <w:bottom w:val="single" w:sz="4" w:space="0" w:color="auto"/>
            </w:tcBorders>
            <w:hideMark/>
          </w:tcPr>
          <w:p w14:paraId="0D55C82E"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9</w:t>
            </w:r>
          </w:p>
          <w:p w14:paraId="2EED535F"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$M</w:t>
            </w:r>
          </w:p>
        </w:tc>
        <w:tc>
          <w:tcPr>
            <w:tcW w:w="654" w:type="dxa"/>
            <w:tcBorders>
              <w:bottom w:val="single" w:sz="4" w:space="0" w:color="auto"/>
            </w:tcBorders>
            <w:hideMark/>
          </w:tcPr>
          <w:p w14:paraId="61A42200"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10</w:t>
            </w:r>
          </w:p>
          <w:p w14:paraId="70B94692"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$M</w:t>
            </w:r>
          </w:p>
        </w:tc>
        <w:tc>
          <w:tcPr>
            <w:tcW w:w="654" w:type="dxa"/>
            <w:tcBorders>
              <w:bottom w:val="single" w:sz="4" w:space="0" w:color="auto"/>
            </w:tcBorders>
            <w:hideMark/>
          </w:tcPr>
          <w:p w14:paraId="0ED53073"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11</w:t>
            </w:r>
          </w:p>
          <w:p w14:paraId="23B0645A"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$M</w:t>
            </w:r>
          </w:p>
        </w:tc>
        <w:tc>
          <w:tcPr>
            <w:tcW w:w="654" w:type="dxa"/>
            <w:tcBorders>
              <w:bottom w:val="single" w:sz="4" w:space="0" w:color="auto"/>
            </w:tcBorders>
            <w:hideMark/>
          </w:tcPr>
          <w:p w14:paraId="4106897E"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12</w:t>
            </w:r>
          </w:p>
          <w:p w14:paraId="32D5747A"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$M</w:t>
            </w:r>
          </w:p>
        </w:tc>
        <w:tc>
          <w:tcPr>
            <w:tcW w:w="654" w:type="dxa"/>
            <w:tcBorders>
              <w:bottom w:val="single" w:sz="4" w:space="0" w:color="auto"/>
            </w:tcBorders>
            <w:hideMark/>
          </w:tcPr>
          <w:p w14:paraId="41E22DA8"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13</w:t>
            </w:r>
          </w:p>
          <w:p w14:paraId="1CFE6EDC"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$M</w:t>
            </w:r>
          </w:p>
        </w:tc>
        <w:tc>
          <w:tcPr>
            <w:tcW w:w="654" w:type="dxa"/>
            <w:tcBorders>
              <w:bottom w:val="single" w:sz="4" w:space="0" w:color="auto"/>
            </w:tcBorders>
            <w:hideMark/>
          </w:tcPr>
          <w:p w14:paraId="67EFA5D1"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14</w:t>
            </w:r>
          </w:p>
          <w:p w14:paraId="6FB93018"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$M</w:t>
            </w:r>
          </w:p>
        </w:tc>
        <w:tc>
          <w:tcPr>
            <w:tcW w:w="654" w:type="dxa"/>
            <w:tcBorders>
              <w:bottom w:val="single" w:sz="4" w:space="0" w:color="auto"/>
            </w:tcBorders>
            <w:hideMark/>
          </w:tcPr>
          <w:p w14:paraId="2E76FB83"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15</w:t>
            </w:r>
          </w:p>
          <w:p w14:paraId="259B8E8F"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$M</w:t>
            </w:r>
          </w:p>
        </w:tc>
        <w:tc>
          <w:tcPr>
            <w:tcW w:w="833" w:type="dxa"/>
            <w:tcBorders>
              <w:bottom w:val="single" w:sz="4" w:space="0" w:color="auto"/>
            </w:tcBorders>
            <w:hideMark/>
          </w:tcPr>
          <w:p w14:paraId="5BB8BFBE"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Total</w:t>
            </w:r>
          </w:p>
          <w:p w14:paraId="59A0B3EA" w14:textId="77777777" w:rsidR="00CE75D4" w:rsidRPr="00095EB4" w:rsidRDefault="00CE75D4" w:rsidP="008340C1">
            <w:pPr>
              <w:pStyle w:val="ARfintablecolheadright"/>
              <w:spacing w:before="10" w:after="10" w:line="228" w:lineRule="auto"/>
              <w:rPr>
                <w:rFonts w:cs="Arial"/>
                <w:sz w:val="16"/>
              </w:rPr>
            </w:pPr>
            <w:r w:rsidRPr="00095EB4">
              <w:rPr>
                <w:rFonts w:cs="Arial"/>
                <w:sz w:val="16"/>
              </w:rPr>
              <w:t>$M</w:t>
            </w:r>
          </w:p>
        </w:tc>
      </w:tr>
      <w:tr w:rsidR="00CE75D4" w:rsidRPr="00147B66" w14:paraId="0FCC4BA6" w14:textId="77777777" w:rsidTr="3D493511">
        <w:tc>
          <w:tcPr>
            <w:tcW w:w="14459" w:type="dxa"/>
            <w:gridSpan w:val="17"/>
            <w:tcBorders>
              <w:top w:val="single" w:sz="4" w:space="0" w:color="auto"/>
              <w:bottom w:val="single" w:sz="4" w:space="0" w:color="A6A6A6" w:themeColor="background1" w:themeShade="A6"/>
            </w:tcBorders>
            <w:hideMark/>
          </w:tcPr>
          <w:p w14:paraId="2903BF3D" w14:textId="77777777" w:rsidR="00CE75D4" w:rsidRPr="00095EB4" w:rsidRDefault="00CE75D4" w:rsidP="008340C1">
            <w:pPr>
              <w:pStyle w:val="ARfintablebodybold"/>
              <w:spacing w:before="10" w:after="10" w:line="228" w:lineRule="auto"/>
              <w:rPr>
                <w:rFonts w:cs="Arial"/>
                <w:sz w:val="16"/>
              </w:rPr>
            </w:pPr>
            <w:r w:rsidRPr="00095EB4">
              <w:rPr>
                <w:rFonts w:cs="Arial"/>
                <w:sz w:val="16"/>
              </w:rPr>
              <w:t>Administered</w:t>
            </w:r>
            <w:r>
              <w:rPr>
                <w:rFonts w:cs="Arial"/>
                <w:sz w:val="16"/>
              </w:rPr>
              <w:t xml:space="preserve"> revenue and</w:t>
            </w:r>
            <w:r w:rsidRPr="00095EB4">
              <w:rPr>
                <w:rFonts w:cs="Arial"/>
                <w:sz w:val="16"/>
              </w:rPr>
              <w:t xml:space="preserve"> income from transactions</w:t>
            </w:r>
          </w:p>
        </w:tc>
      </w:tr>
      <w:tr w:rsidR="00CE75D4" w:rsidRPr="00147B66" w14:paraId="2E969970" w14:textId="77777777" w:rsidTr="3D493511">
        <w:tc>
          <w:tcPr>
            <w:tcW w:w="3334" w:type="dxa"/>
            <w:tcBorders>
              <w:top w:val="single" w:sz="4" w:space="0" w:color="A6A6A6" w:themeColor="background1" w:themeShade="A6"/>
              <w:bottom w:val="single" w:sz="4" w:space="0" w:color="A6A6A6" w:themeColor="background1" w:themeShade="A6"/>
            </w:tcBorders>
            <w:hideMark/>
          </w:tcPr>
          <w:p w14:paraId="2B7ED388" w14:textId="77777777" w:rsidR="00CE75D4" w:rsidRPr="00EC013F" w:rsidRDefault="00CE75D4" w:rsidP="008340C1">
            <w:pPr>
              <w:pStyle w:val="ARfintablebody"/>
              <w:spacing w:before="10" w:after="10" w:line="228" w:lineRule="auto"/>
              <w:rPr>
                <w:sz w:val="16"/>
              </w:rPr>
            </w:pPr>
            <w:r w:rsidRPr="00EC013F">
              <w:rPr>
                <w:sz w:val="16"/>
              </w:rPr>
              <w:t xml:space="preserve">Commonwealth contribution to the </w:t>
            </w:r>
            <w:r>
              <w:rPr>
                <w:sz w:val="16"/>
              </w:rPr>
              <w:t>Victorian State Pool Account</w:t>
            </w:r>
          </w:p>
        </w:tc>
        <w:tc>
          <w:tcPr>
            <w:tcW w:w="835" w:type="dxa"/>
            <w:tcBorders>
              <w:top w:val="single" w:sz="4" w:space="0" w:color="A6A6A6" w:themeColor="background1" w:themeShade="A6"/>
              <w:bottom w:val="single" w:sz="4" w:space="0" w:color="A6A6A6" w:themeColor="background1" w:themeShade="A6"/>
            </w:tcBorders>
            <w:noWrap/>
            <w:hideMark/>
          </w:tcPr>
          <w:p w14:paraId="3B85D309" w14:textId="77777777" w:rsidR="00CE75D4" w:rsidRPr="00095EB4" w:rsidRDefault="00CE75D4" w:rsidP="008340C1">
            <w:pPr>
              <w:pStyle w:val="ARfintablebodyright"/>
              <w:spacing w:before="10" w:after="10" w:line="228" w:lineRule="auto"/>
              <w:rPr>
                <w:sz w:val="16"/>
              </w:rPr>
            </w:pPr>
            <w:r w:rsidRPr="00095EB4">
              <w:rPr>
                <w:sz w:val="16"/>
              </w:rPr>
              <w:t>4,750.2</w:t>
            </w:r>
          </w:p>
        </w:tc>
        <w:tc>
          <w:tcPr>
            <w:tcW w:w="656" w:type="dxa"/>
            <w:tcBorders>
              <w:top w:val="single" w:sz="4" w:space="0" w:color="A6A6A6" w:themeColor="background1" w:themeShade="A6"/>
              <w:bottom w:val="single" w:sz="4" w:space="0" w:color="A6A6A6" w:themeColor="background1" w:themeShade="A6"/>
            </w:tcBorders>
            <w:noWrap/>
            <w:hideMark/>
          </w:tcPr>
          <w:p w14:paraId="17FDD6D1"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bottom w:val="single" w:sz="4" w:space="0" w:color="A6A6A6" w:themeColor="background1" w:themeShade="A6"/>
            </w:tcBorders>
            <w:noWrap/>
            <w:hideMark/>
          </w:tcPr>
          <w:p w14:paraId="0026BB8A" w14:textId="77777777" w:rsidR="00CE75D4" w:rsidRPr="00095EB4" w:rsidRDefault="00CE75D4" w:rsidP="008340C1">
            <w:pPr>
              <w:pStyle w:val="ARfintablebodyright"/>
              <w:spacing w:before="10" w:after="10" w:line="228" w:lineRule="auto"/>
              <w:rPr>
                <w:sz w:val="16"/>
              </w:rPr>
            </w:pPr>
            <w:r w:rsidRPr="00095EB4">
              <w:rPr>
                <w:sz w:val="16"/>
              </w:rPr>
              <w:t>690.0</w:t>
            </w:r>
          </w:p>
        </w:tc>
        <w:tc>
          <w:tcPr>
            <w:tcW w:w="655" w:type="dxa"/>
            <w:tcBorders>
              <w:top w:val="single" w:sz="4" w:space="0" w:color="A6A6A6" w:themeColor="background1" w:themeShade="A6"/>
              <w:bottom w:val="single" w:sz="4" w:space="0" w:color="A6A6A6" w:themeColor="background1" w:themeShade="A6"/>
            </w:tcBorders>
            <w:noWrap/>
            <w:hideMark/>
          </w:tcPr>
          <w:p w14:paraId="68F545AB"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247E953B" w14:textId="77777777" w:rsidR="00CE75D4" w:rsidRPr="00095EB4" w:rsidRDefault="00CE75D4" w:rsidP="008340C1">
            <w:pPr>
              <w:pStyle w:val="ARfintablebodyright"/>
              <w:spacing w:before="10" w:after="10" w:line="228" w:lineRule="auto"/>
              <w:rPr>
                <w:sz w:val="16"/>
              </w:rPr>
            </w:pPr>
            <w:r w:rsidRPr="00095EB4">
              <w:rPr>
                <w:sz w:val="16"/>
              </w:rPr>
              <w:t>0.3</w:t>
            </w:r>
          </w:p>
        </w:tc>
        <w:tc>
          <w:tcPr>
            <w:tcW w:w="654" w:type="dxa"/>
            <w:tcBorders>
              <w:top w:val="single" w:sz="4" w:space="0" w:color="A6A6A6" w:themeColor="background1" w:themeShade="A6"/>
              <w:bottom w:val="single" w:sz="4" w:space="0" w:color="A6A6A6" w:themeColor="background1" w:themeShade="A6"/>
            </w:tcBorders>
            <w:noWrap/>
            <w:hideMark/>
          </w:tcPr>
          <w:p w14:paraId="272FADB6" w14:textId="77777777" w:rsidR="00CE75D4" w:rsidRPr="00095EB4" w:rsidRDefault="00CE75D4" w:rsidP="008340C1">
            <w:pPr>
              <w:pStyle w:val="ARfintablebodyright"/>
              <w:spacing w:before="10" w:after="10" w:line="228" w:lineRule="auto"/>
              <w:rPr>
                <w:sz w:val="16"/>
              </w:rPr>
            </w:pPr>
            <w:r w:rsidRPr="00095EB4">
              <w:rPr>
                <w:sz w:val="16"/>
              </w:rPr>
              <w:t>131.4</w:t>
            </w:r>
          </w:p>
        </w:tc>
        <w:tc>
          <w:tcPr>
            <w:tcW w:w="654" w:type="dxa"/>
            <w:tcBorders>
              <w:top w:val="single" w:sz="4" w:space="0" w:color="A6A6A6" w:themeColor="background1" w:themeShade="A6"/>
              <w:bottom w:val="single" w:sz="4" w:space="0" w:color="A6A6A6" w:themeColor="background1" w:themeShade="A6"/>
            </w:tcBorders>
            <w:noWrap/>
            <w:hideMark/>
          </w:tcPr>
          <w:p w14:paraId="6B27D836" w14:textId="77777777" w:rsidR="00CE75D4" w:rsidRPr="00095EB4" w:rsidRDefault="00CE75D4" w:rsidP="008340C1">
            <w:pPr>
              <w:pStyle w:val="ARfintablebodyright"/>
              <w:spacing w:before="10" w:after="10" w:line="228" w:lineRule="auto"/>
              <w:rPr>
                <w:sz w:val="16"/>
              </w:rPr>
            </w:pPr>
            <w:r w:rsidRPr="00095EB4">
              <w:rPr>
                <w:sz w:val="16"/>
              </w:rPr>
              <w:t>115.6</w:t>
            </w:r>
          </w:p>
        </w:tc>
        <w:tc>
          <w:tcPr>
            <w:tcW w:w="721" w:type="dxa"/>
            <w:tcBorders>
              <w:top w:val="single" w:sz="4" w:space="0" w:color="A6A6A6" w:themeColor="background1" w:themeShade="A6"/>
              <w:bottom w:val="single" w:sz="4" w:space="0" w:color="A6A6A6" w:themeColor="background1" w:themeShade="A6"/>
            </w:tcBorders>
            <w:noWrap/>
            <w:hideMark/>
          </w:tcPr>
          <w:p w14:paraId="729E7930" w14:textId="77777777" w:rsidR="00CE75D4" w:rsidRPr="00095EB4" w:rsidRDefault="00CE75D4" w:rsidP="008340C1">
            <w:pPr>
              <w:pStyle w:val="ARfintablebodyright"/>
              <w:spacing w:before="10" w:after="10" w:line="228" w:lineRule="auto"/>
              <w:rPr>
                <w:sz w:val="16"/>
              </w:rPr>
            </w:pPr>
            <w:r w:rsidRPr="00095EB4">
              <w:rPr>
                <w:sz w:val="16"/>
              </w:rPr>
              <w:t>13.5</w:t>
            </w:r>
          </w:p>
        </w:tc>
        <w:tc>
          <w:tcPr>
            <w:tcW w:w="882" w:type="dxa"/>
            <w:tcBorders>
              <w:top w:val="single" w:sz="4" w:space="0" w:color="A6A6A6" w:themeColor="background1" w:themeShade="A6"/>
              <w:bottom w:val="single" w:sz="4" w:space="0" w:color="A6A6A6" w:themeColor="background1" w:themeShade="A6"/>
            </w:tcBorders>
            <w:noWrap/>
            <w:hideMark/>
          </w:tcPr>
          <w:p w14:paraId="449C2418"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352177B9"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5FFAC73A"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32B9DFCD"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1FCB8C3F"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5ED01F62"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7150CBEA" w14:textId="77777777" w:rsidR="00CE75D4" w:rsidRPr="00095EB4" w:rsidRDefault="00CE75D4" w:rsidP="008340C1">
            <w:pPr>
              <w:pStyle w:val="ARfintablebodyright"/>
              <w:spacing w:before="10" w:after="10" w:line="228" w:lineRule="auto"/>
              <w:rPr>
                <w:sz w:val="16"/>
              </w:rPr>
            </w:pPr>
            <w:r w:rsidRPr="00095EB4">
              <w:rPr>
                <w:sz w:val="16"/>
              </w:rPr>
              <w:t>–</w:t>
            </w:r>
          </w:p>
        </w:tc>
        <w:tc>
          <w:tcPr>
            <w:tcW w:w="833" w:type="dxa"/>
            <w:tcBorders>
              <w:top w:val="single" w:sz="4" w:space="0" w:color="A6A6A6" w:themeColor="background1" w:themeShade="A6"/>
              <w:bottom w:val="single" w:sz="4" w:space="0" w:color="A6A6A6" w:themeColor="background1" w:themeShade="A6"/>
            </w:tcBorders>
            <w:noWrap/>
            <w:hideMark/>
          </w:tcPr>
          <w:p w14:paraId="43ABBDA1" w14:textId="77777777" w:rsidR="00CE75D4" w:rsidRPr="00095EB4" w:rsidRDefault="00CE75D4" w:rsidP="008340C1">
            <w:pPr>
              <w:pStyle w:val="ARfintablebodyright"/>
              <w:spacing w:before="10" w:after="10" w:line="228" w:lineRule="auto"/>
              <w:rPr>
                <w:sz w:val="16"/>
              </w:rPr>
            </w:pPr>
            <w:r w:rsidRPr="00095EB4">
              <w:rPr>
                <w:sz w:val="16"/>
              </w:rPr>
              <w:t>5,701.0</w:t>
            </w:r>
          </w:p>
        </w:tc>
      </w:tr>
      <w:tr w:rsidR="00CE75D4" w:rsidRPr="00147B66" w14:paraId="11A98DB4" w14:textId="77777777" w:rsidTr="3D493511">
        <w:tc>
          <w:tcPr>
            <w:tcW w:w="3334" w:type="dxa"/>
            <w:tcBorders>
              <w:top w:val="single" w:sz="4" w:space="0" w:color="A6A6A6" w:themeColor="background1" w:themeShade="A6"/>
              <w:bottom w:val="single" w:sz="4" w:space="0" w:color="A6A6A6" w:themeColor="background1" w:themeShade="A6"/>
            </w:tcBorders>
            <w:hideMark/>
          </w:tcPr>
          <w:p w14:paraId="62893042" w14:textId="77777777" w:rsidR="00CE75D4" w:rsidRPr="00EC013F" w:rsidRDefault="00CE75D4" w:rsidP="008340C1">
            <w:pPr>
              <w:pStyle w:val="ARfintablebody"/>
              <w:spacing w:before="10" w:after="10" w:line="228" w:lineRule="auto"/>
              <w:rPr>
                <w:sz w:val="16"/>
              </w:rPr>
            </w:pPr>
            <w:r w:rsidRPr="00EC013F">
              <w:rPr>
                <w:sz w:val="16"/>
              </w:rPr>
              <w:t xml:space="preserve">State contribution to the </w:t>
            </w:r>
            <w:r>
              <w:rPr>
                <w:sz w:val="16"/>
              </w:rPr>
              <w:t>Victorian State Pool Account</w:t>
            </w:r>
          </w:p>
        </w:tc>
        <w:tc>
          <w:tcPr>
            <w:tcW w:w="835" w:type="dxa"/>
            <w:tcBorders>
              <w:top w:val="single" w:sz="4" w:space="0" w:color="A6A6A6" w:themeColor="background1" w:themeShade="A6"/>
              <w:bottom w:val="single" w:sz="4" w:space="0" w:color="A6A6A6" w:themeColor="background1" w:themeShade="A6"/>
            </w:tcBorders>
            <w:noWrap/>
            <w:hideMark/>
          </w:tcPr>
          <w:p w14:paraId="440D3442" w14:textId="77777777" w:rsidR="00CE75D4" w:rsidRPr="00095EB4" w:rsidRDefault="00CE75D4" w:rsidP="008340C1">
            <w:pPr>
              <w:pStyle w:val="ARfintablebodyright"/>
              <w:spacing w:before="10" w:after="10" w:line="228" w:lineRule="auto"/>
              <w:rPr>
                <w:sz w:val="16"/>
              </w:rPr>
            </w:pPr>
            <w:r w:rsidRPr="00095EB4">
              <w:rPr>
                <w:sz w:val="16"/>
              </w:rPr>
              <w:t>5,450.2</w:t>
            </w:r>
          </w:p>
        </w:tc>
        <w:tc>
          <w:tcPr>
            <w:tcW w:w="656" w:type="dxa"/>
            <w:tcBorders>
              <w:top w:val="single" w:sz="4" w:space="0" w:color="A6A6A6" w:themeColor="background1" w:themeShade="A6"/>
              <w:bottom w:val="single" w:sz="4" w:space="0" w:color="A6A6A6" w:themeColor="background1" w:themeShade="A6"/>
            </w:tcBorders>
            <w:noWrap/>
            <w:hideMark/>
          </w:tcPr>
          <w:p w14:paraId="499AB17A"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bottom w:val="single" w:sz="4" w:space="0" w:color="A6A6A6" w:themeColor="background1" w:themeShade="A6"/>
            </w:tcBorders>
            <w:noWrap/>
            <w:hideMark/>
          </w:tcPr>
          <w:p w14:paraId="4E976591" w14:textId="77777777" w:rsidR="00CE75D4" w:rsidRPr="00095EB4" w:rsidRDefault="00CE75D4" w:rsidP="008340C1">
            <w:pPr>
              <w:pStyle w:val="ARfintablebodyright"/>
              <w:spacing w:before="10" w:after="10" w:line="228" w:lineRule="auto"/>
              <w:rPr>
                <w:sz w:val="16"/>
              </w:rPr>
            </w:pPr>
            <w:r w:rsidRPr="00095EB4">
              <w:rPr>
                <w:sz w:val="16"/>
              </w:rPr>
              <w:t>178.2</w:t>
            </w:r>
          </w:p>
        </w:tc>
        <w:tc>
          <w:tcPr>
            <w:tcW w:w="655" w:type="dxa"/>
            <w:tcBorders>
              <w:top w:val="single" w:sz="4" w:space="0" w:color="A6A6A6" w:themeColor="background1" w:themeShade="A6"/>
              <w:bottom w:val="single" w:sz="4" w:space="0" w:color="A6A6A6" w:themeColor="background1" w:themeShade="A6"/>
            </w:tcBorders>
            <w:noWrap/>
            <w:hideMark/>
          </w:tcPr>
          <w:p w14:paraId="21205A1F"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712E270F"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129D5573"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38E3DEF1" w14:textId="77777777" w:rsidR="00CE75D4" w:rsidRPr="00095EB4" w:rsidRDefault="00CE75D4" w:rsidP="008340C1">
            <w:pPr>
              <w:pStyle w:val="ARfintablebodyright"/>
              <w:spacing w:before="10" w:after="10" w:line="228" w:lineRule="auto"/>
              <w:rPr>
                <w:sz w:val="16"/>
              </w:rPr>
            </w:pPr>
            <w:r w:rsidRPr="00095EB4">
              <w:rPr>
                <w:sz w:val="16"/>
              </w:rPr>
              <w:t>–</w:t>
            </w:r>
          </w:p>
        </w:tc>
        <w:tc>
          <w:tcPr>
            <w:tcW w:w="721" w:type="dxa"/>
            <w:tcBorders>
              <w:top w:val="single" w:sz="4" w:space="0" w:color="A6A6A6" w:themeColor="background1" w:themeShade="A6"/>
              <w:bottom w:val="single" w:sz="4" w:space="0" w:color="A6A6A6" w:themeColor="background1" w:themeShade="A6"/>
            </w:tcBorders>
            <w:noWrap/>
            <w:hideMark/>
          </w:tcPr>
          <w:p w14:paraId="18EC85F1" w14:textId="77777777" w:rsidR="00CE75D4" w:rsidRPr="00095EB4" w:rsidRDefault="00CE75D4" w:rsidP="008340C1">
            <w:pPr>
              <w:pStyle w:val="ARfintablebodyright"/>
              <w:spacing w:before="10" w:after="10" w:line="228" w:lineRule="auto"/>
              <w:rPr>
                <w:sz w:val="16"/>
              </w:rPr>
            </w:pPr>
            <w:r w:rsidRPr="00095EB4">
              <w:rPr>
                <w:sz w:val="16"/>
              </w:rPr>
              <w:t>–</w:t>
            </w:r>
          </w:p>
        </w:tc>
        <w:tc>
          <w:tcPr>
            <w:tcW w:w="882" w:type="dxa"/>
            <w:tcBorders>
              <w:top w:val="single" w:sz="4" w:space="0" w:color="A6A6A6" w:themeColor="background1" w:themeShade="A6"/>
              <w:bottom w:val="single" w:sz="4" w:space="0" w:color="A6A6A6" w:themeColor="background1" w:themeShade="A6"/>
            </w:tcBorders>
            <w:noWrap/>
            <w:hideMark/>
          </w:tcPr>
          <w:p w14:paraId="44DB1F7B"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25537C9D"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0EE05F17"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50ACB6D8"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0CEF4CDF"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5364B6AA"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59C085AD" w14:textId="77777777" w:rsidR="00CE75D4" w:rsidRPr="00095EB4" w:rsidRDefault="00CE75D4" w:rsidP="008340C1">
            <w:pPr>
              <w:pStyle w:val="ARfintablebodyright"/>
              <w:spacing w:before="10" w:after="10" w:line="228" w:lineRule="auto"/>
              <w:rPr>
                <w:sz w:val="16"/>
              </w:rPr>
            </w:pPr>
            <w:r w:rsidRPr="00095EB4">
              <w:rPr>
                <w:sz w:val="16"/>
              </w:rPr>
              <w:t>–</w:t>
            </w:r>
          </w:p>
        </w:tc>
        <w:tc>
          <w:tcPr>
            <w:tcW w:w="833" w:type="dxa"/>
            <w:tcBorders>
              <w:top w:val="single" w:sz="4" w:space="0" w:color="A6A6A6" w:themeColor="background1" w:themeShade="A6"/>
              <w:bottom w:val="single" w:sz="4" w:space="0" w:color="A6A6A6" w:themeColor="background1" w:themeShade="A6"/>
            </w:tcBorders>
            <w:noWrap/>
            <w:hideMark/>
          </w:tcPr>
          <w:p w14:paraId="49D52998" w14:textId="77777777" w:rsidR="00CE75D4" w:rsidRPr="00095EB4" w:rsidRDefault="00CE75D4" w:rsidP="008340C1">
            <w:pPr>
              <w:pStyle w:val="ARfintablebodyright"/>
              <w:spacing w:before="10" w:after="10" w:line="228" w:lineRule="auto"/>
              <w:rPr>
                <w:sz w:val="16"/>
              </w:rPr>
            </w:pPr>
            <w:r w:rsidRPr="00095EB4">
              <w:rPr>
                <w:sz w:val="16"/>
              </w:rPr>
              <w:t>5,628.4</w:t>
            </w:r>
          </w:p>
        </w:tc>
      </w:tr>
      <w:tr w:rsidR="00CE75D4" w:rsidRPr="00147B66" w14:paraId="4F7225B8" w14:textId="77777777" w:rsidTr="3D493511">
        <w:tc>
          <w:tcPr>
            <w:tcW w:w="3334" w:type="dxa"/>
            <w:tcBorders>
              <w:top w:val="single" w:sz="4" w:space="0" w:color="A6A6A6" w:themeColor="background1" w:themeShade="A6"/>
              <w:bottom w:val="single" w:sz="4" w:space="0" w:color="A6A6A6" w:themeColor="background1" w:themeShade="A6"/>
            </w:tcBorders>
            <w:hideMark/>
          </w:tcPr>
          <w:p w14:paraId="30ADF1EE" w14:textId="77777777" w:rsidR="00CE75D4" w:rsidRPr="00095EB4" w:rsidRDefault="00CE75D4" w:rsidP="008340C1">
            <w:pPr>
              <w:pStyle w:val="ARfintablebody"/>
              <w:spacing w:before="10" w:after="10" w:line="228" w:lineRule="auto"/>
              <w:rPr>
                <w:sz w:val="16"/>
              </w:rPr>
            </w:pPr>
            <w:r w:rsidRPr="00095EB4">
              <w:rPr>
                <w:sz w:val="16"/>
              </w:rPr>
              <w:t>State contribution to the National Disability Insurance Agency</w:t>
            </w:r>
          </w:p>
        </w:tc>
        <w:tc>
          <w:tcPr>
            <w:tcW w:w="835" w:type="dxa"/>
            <w:tcBorders>
              <w:top w:val="single" w:sz="4" w:space="0" w:color="A6A6A6" w:themeColor="background1" w:themeShade="A6"/>
              <w:bottom w:val="single" w:sz="4" w:space="0" w:color="A6A6A6" w:themeColor="background1" w:themeShade="A6"/>
            </w:tcBorders>
            <w:noWrap/>
            <w:hideMark/>
          </w:tcPr>
          <w:p w14:paraId="1C271280"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bottom w:val="single" w:sz="4" w:space="0" w:color="A6A6A6" w:themeColor="background1" w:themeShade="A6"/>
            </w:tcBorders>
            <w:noWrap/>
            <w:hideMark/>
          </w:tcPr>
          <w:p w14:paraId="21FD8694"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bottom w:val="single" w:sz="4" w:space="0" w:color="A6A6A6" w:themeColor="background1" w:themeShade="A6"/>
            </w:tcBorders>
            <w:noWrap/>
            <w:hideMark/>
          </w:tcPr>
          <w:p w14:paraId="16209996"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7BB0BD58"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465CDF77"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73F5B3DD"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34022B1C" w14:textId="77777777" w:rsidR="00CE75D4" w:rsidRPr="00095EB4" w:rsidRDefault="00CE75D4" w:rsidP="008340C1">
            <w:pPr>
              <w:pStyle w:val="ARfintablebodyright"/>
              <w:spacing w:before="10" w:after="10" w:line="228" w:lineRule="auto"/>
              <w:rPr>
                <w:sz w:val="16"/>
              </w:rPr>
            </w:pPr>
            <w:r w:rsidRPr="00095EB4">
              <w:rPr>
                <w:sz w:val="16"/>
              </w:rPr>
              <w:t>–</w:t>
            </w:r>
          </w:p>
        </w:tc>
        <w:tc>
          <w:tcPr>
            <w:tcW w:w="721" w:type="dxa"/>
            <w:tcBorders>
              <w:top w:val="single" w:sz="4" w:space="0" w:color="A6A6A6" w:themeColor="background1" w:themeShade="A6"/>
              <w:bottom w:val="single" w:sz="4" w:space="0" w:color="A6A6A6" w:themeColor="background1" w:themeShade="A6"/>
            </w:tcBorders>
            <w:noWrap/>
            <w:hideMark/>
          </w:tcPr>
          <w:p w14:paraId="523C9462" w14:textId="77777777" w:rsidR="00CE75D4" w:rsidRPr="00095EB4" w:rsidRDefault="00CE75D4" w:rsidP="008340C1">
            <w:pPr>
              <w:pStyle w:val="ARfintablebodyright"/>
              <w:spacing w:before="10" w:after="10" w:line="228" w:lineRule="auto"/>
              <w:rPr>
                <w:sz w:val="16"/>
              </w:rPr>
            </w:pPr>
            <w:r w:rsidRPr="00095EB4">
              <w:rPr>
                <w:sz w:val="16"/>
              </w:rPr>
              <w:t>–</w:t>
            </w:r>
          </w:p>
        </w:tc>
        <w:tc>
          <w:tcPr>
            <w:tcW w:w="882" w:type="dxa"/>
            <w:tcBorders>
              <w:top w:val="single" w:sz="4" w:space="0" w:color="A6A6A6" w:themeColor="background1" w:themeShade="A6"/>
              <w:bottom w:val="single" w:sz="4" w:space="0" w:color="A6A6A6" w:themeColor="background1" w:themeShade="A6"/>
            </w:tcBorders>
            <w:noWrap/>
            <w:hideMark/>
          </w:tcPr>
          <w:p w14:paraId="79154AD1" w14:textId="77777777" w:rsidR="00CE75D4" w:rsidRPr="00095EB4" w:rsidRDefault="00CE75D4" w:rsidP="008340C1">
            <w:pPr>
              <w:pStyle w:val="ARfintablebodyright"/>
              <w:spacing w:before="10" w:after="10" w:line="228" w:lineRule="auto"/>
              <w:rPr>
                <w:sz w:val="16"/>
              </w:rPr>
            </w:pPr>
            <w:r w:rsidRPr="00095EB4">
              <w:rPr>
                <w:sz w:val="16"/>
              </w:rPr>
              <w:t>1,260.3</w:t>
            </w:r>
          </w:p>
        </w:tc>
        <w:tc>
          <w:tcPr>
            <w:tcW w:w="654" w:type="dxa"/>
            <w:tcBorders>
              <w:top w:val="single" w:sz="4" w:space="0" w:color="A6A6A6" w:themeColor="background1" w:themeShade="A6"/>
              <w:bottom w:val="single" w:sz="4" w:space="0" w:color="A6A6A6" w:themeColor="background1" w:themeShade="A6"/>
            </w:tcBorders>
            <w:noWrap/>
            <w:hideMark/>
          </w:tcPr>
          <w:p w14:paraId="40E41E40"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0A694D80"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04CEEF96"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11C9F6EE"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0C12CD19"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4852FA3E" w14:textId="77777777" w:rsidR="00CE75D4" w:rsidRPr="00095EB4" w:rsidRDefault="00CE75D4" w:rsidP="008340C1">
            <w:pPr>
              <w:pStyle w:val="ARfintablebodyright"/>
              <w:spacing w:before="10" w:after="10" w:line="228" w:lineRule="auto"/>
              <w:rPr>
                <w:sz w:val="16"/>
              </w:rPr>
            </w:pPr>
            <w:r w:rsidRPr="00095EB4">
              <w:rPr>
                <w:sz w:val="16"/>
              </w:rPr>
              <w:t>–</w:t>
            </w:r>
          </w:p>
        </w:tc>
        <w:tc>
          <w:tcPr>
            <w:tcW w:w="833" w:type="dxa"/>
            <w:tcBorders>
              <w:top w:val="single" w:sz="4" w:space="0" w:color="A6A6A6" w:themeColor="background1" w:themeShade="A6"/>
              <w:bottom w:val="single" w:sz="4" w:space="0" w:color="A6A6A6" w:themeColor="background1" w:themeShade="A6"/>
            </w:tcBorders>
            <w:noWrap/>
            <w:hideMark/>
          </w:tcPr>
          <w:p w14:paraId="32570546" w14:textId="77777777" w:rsidR="00CE75D4" w:rsidRPr="00095EB4" w:rsidRDefault="00CE75D4" w:rsidP="008340C1">
            <w:pPr>
              <w:pStyle w:val="ARfintablebodyright"/>
              <w:spacing w:before="10" w:after="10" w:line="228" w:lineRule="auto"/>
              <w:rPr>
                <w:sz w:val="16"/>
              </w:rPr>
            </w:pPr>
            <w:r w:rsidRPr="00095EB4">
              <w:rPr>
                <w:sz w:val="16"/>
              </w:rPr>
              <w:t>1,260.3</w:t>
            </w:r>
          </w:p>
        </w:tc>
      </w:tr>
      <w:tr w:rsidR="00CE75D4" w:rsidRPr="00147B66" w14:paraId="30FF8359" w14:textId="77777777" w:rsidTr="3D493511">
        <w:tc>
          <w:tcPr>
            <w:tcW w:w="3334" w:type="dxa"/>
            <w:tcBorders>
              <w:top w:val="single" w:sz="4" w:space="0" w:color="A6A6A6" w:themeColor="background1" w:themeShade="A6"/>
              <w:bottom w:val="single" w:sz="4" w:space="0" w:color="A6A6A6" w:themeColor="background1" w:themeShade="A6"/>
            </w:tcBorders>
            <w:hideMark/>
          </w:tcPr>
          <w:p w14:paraId="691DF522" w14:textId="77777777" w:rsidR="00CE75D4" w:rsidRPr="00095EB4" w:rsidRDefault="00CE75D4" w:rsidP="008340C1">
            <w:pPr>
              <w:pStyle w:val="ARfintablebody"/>
              <w:spacing w:before="10" w:after="10" w:line="228" w:lineRule="auto"/>
              <w:rPr>
                <w:sz w:val="16"/>
              </w:rPr>
            </w:pPr>
            <w:r w:rsidRPr="00095EB4">
              <w:rPr>
                <w:sz w:val="16"/>
              </w:rPr>
              <w:t>Commonwealth grants</w:t>
            </w:r>
          </w:p>
        </w:tc>
        <w:tc>
          <w:tcPr>
            <w:tcW w:w="835" w:type="dxa"/>
            <w:tcBorders>
              <w:top w:val="single" w:sz="4" w:space="0" w:color="A6A6A6" w:themeColor="background1" w:themeShade="A6"/>
              <w:bottom w:val="single" w:sz="4" w:space="0" w:color="A6A6A6" w:themeColor="background1" w:themeShade="A6"/>
            </w:tcBorders>
            <w:noWrap/>
            <w:hideMark/>
          </w:tcPr>
          <w:p w14:paraId="3D520BC4" w14:textId="77777777" w:rsidR="00CE75D4" w:rsidRPr="00095EB4" w:rsidRDefault="00CE75D4" w:rsidP="008340C1">
            <w:pPr>
              <w:pStyle w:val="ARfintablebodyright"/>
              <w:spacing w:before="10" w:after="10" w:line="228" w:lineRule="auto"/>
              <w:rPr>
                <w:sz w:val="16"/>
              </w:rPr>
            </w:pPr>
            <w:r w:rsidRPr="00095EB4">
              <w:rPr>
                <w:sz w:val="16"/>
              </w:rPr>
              <w:t>1,047.6</w:t>
            </w:r>
          </w:p>
        </w:tc>
        <w:tc>
          <w:tcPr>
            <w:tcW w:w="656" w:type="dxa"/>
            <w:tcBorders>
              <w:top w:val="single" w:sz="4" w:space="0" w:color="A6A6A6" w:themeColor="background1" w:themeShade="A6"/>
              <w:bottom w:val="single" w:sz="4" w:space="0" w:color="A6A6A6" w:themeColor="background1" w:themeShade="A6"/>
            </w:tcBorders>
            <w:noWrap/>
            <w:hideMark/>
          </w:tcPr>
          <w:p w14:paraId="0F9A460F"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bottom w:val="single" w:sz="4" w:space="0" w:color="A6A6A6" w:themeColor="background1" w:themeShade="A6"/>
            </w:tcBorders>
            <w:noWrap/>
            <w:hideMark/>
          </w:tcPr>
          <w:p w14:paraId="2C7E577C" w14:textId="77777777" w:rsidR="00CE75D4" w:rsidRPr="00095EB4" w:rsidRDefault="00CE75D4" w:rsidP="008340C1">
            <w:pPr>
              <w:pStyle w:val="ARfintablebodyright"/>
              <w:spacing w:before="10" w:after="10" w:line="228" w:lineRule="auto"/>
              <w:rPr>
                <w:sz w:val="16"/>
              </w:rPr>
            </w:pPr>
            <w:r w:rsidRPr="00095EB4">
              <w:rPr>
                <w:sz w:val="16"/>
              </w:rPr>
              <w:t>0.2</w:t>
            </w:r>
          </w:p>
        </w:tc>
        <w:tc>
          <w:tcPr>
            <w:tcW w:w="655" w:type="dxa"/>
            <w:tcBorders>
              <w:top w:val="single" w:sz="4" w:space="0" w:color="A6A6A6" w:themeColor="background1" w:themeShade="A6"/>
              <w:bottom w:val="single" w:sz="4" w:space="0" w:color="A6A6A6" w:themeColor="background1" w:themeShade="A6"/>
            </w:tcBorders>
            <w:noWrap/>
            <w:hideMark/>
          </w:tcPr>
          <w:p w14:paraId="05EF0612" w14:textId="77777777" w:rsidR="00CE75D4" w:rsidRPr="00095EB4" w:rsidRDefault="00CE75D4" w:rsidP="008340C1">
            <w:pPr>
              <w:pStyle w:val="ARfintablebodyright"/>
              <w:spacing w:before="10" w:after="10" w:line="228" w:lineRule="auto"/>
              <w:rPr>
                <w:sz w:val="16"/>
              </w:rPr>
            </w:pPr>
            <w:r w:rsidRPr="00095EB4">
              <w:rPr>
                <w:sz w:val="16"/>
              </w:rPr>
              <w:t>66.7</w:t>
            </w:r>
          </w:p>
        </w:tc>
        <w:tc>
          <w:tcPr>
            <w:tcW w:w="655" w:type="dxa"/>
            <w:tcBorders>
              <w:top w:val="single" w:sz="4" w:space="0" w:color="A6A6A6" w:themeColor="background1" w:themeShade="A6"/>
              <w:bottom w:val="single" w:sz="4" w:space="0" w:color="A6A6A6" w:themeColor="background1" w:themeShade="A6"/>
            </w:tcBorders>
            <w:noWrap/>
            <w:hideMark/>
          </w:tcPr>
          <w:p w14:paraId="3DC881BC"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5025CEAE"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5576CAB1" w14:textId="77777777" w:rsidR="00CE75D4" w:rsidRPr="00095EB4" w:rsidRDefault="00CE75D4" w:rsidP="008340C1">
            <w:pPr>
              <w:pStyle w:val="ARfintablebodyright"/>
              <w:spacing w:before="10" w:after="10" w:line="228" w:lineRule="auto"/>
              <w:rPr>
                <w:sz w:val="16"/>
              </w:rPr>
            </w:pPr>
            <w:r w:rsidRPr="00095EB4">
              <w:rPr>
                <w:sz w:val="16"/>
              </w:rPr>
              <w:t>5.1</w:t>
            </w:r>
          </w:p>
        </w:tc>
        <w:tc>
          <w:tcPr>
            <w:tcW w:w="721" w:type="dxa"/>
            <w:tcBorders>
              <w:top w:val="single" w:sz="4" w:space="0" w:color="A6A6A6" w:themeColor="background1" w:themeShade="A6"/>
              <w:bottom w:val="single" w:sz="4" w:space="0" w:color="A6A6A6" w:themeColor="background1" w:themeShade="A6"/>
            </w:tcBorders>
            <w:noWrap/>
            <w:hideMark/>
          </w:tcPr>
          <w:p w14:paraId="494ACE34" w14:textId="77777777" w:rsidR="00CE75D4" w:rsidRPr="00095EB4" w:rsidRDefault="00CE75D4" w:rsidP="008340C1">
            <w:pPr>
              <w:pStyle w:val="ARfintablebodyright"/>
              <w:spacing w:before="10" w:after="10" w:line="228" w:lineRule="auto"/>
              <w:rPr>
                <w:sz w:val="16"/>
              </w:rPr>
            </w:pPr>
            <w:r w:rsidRPr="00095EB4">
              <w:rPr>
                <w:sz w:val="16"/>
              </w:rPr>
              <w:t>–</w:t>
            </w:r>
          </w:p>
        </w:tc>
        <w:tc>
          <w:tcPr>
            <w:tcW w:w="882" w:type="dxa"/>
            <w:tcBorders>
              <w:top w:val="single" w:sz="4" w:space="0" w:color="A6A6A6" w:themeColor="background1" w:themeShade="A6"/>
              <w:bottom w:val="single" w:sz="4" w:space="0" w:color="A6A6A6" w:themeColor="background1" w:themeShade="A6"/>
            </w:tcBorders>
            <w:noWrap/>
            <w:hideMark/>
          </w:tcPr>
          <w:p w14:paraId="55D57BED" w14:textId="77777777" w:rsidR="00CE75D4" w:rsidRPr="00095EB4" w:rsidRDefault="00CE75D4" w:rsidP="008340C1">
            <w:pPr>
              <w:pStyle w:val="ARfintablebodyright"/>
              <w:spacing w:before="10" w:after="10" w:line="228" w:lineRule="auto"/>
              <w:rPr>
                <w:sz w:val="16"/>
              </w:rPr>
            </w:pPr>
            <w:r w:rsidRPr="00095EB4">
              <w:rPr>
                <w:sz w:val="16"/>
              </w:rPr>
              <w:t>35.6</w:t>
            </w:r>
          </w:p>
        </w:tc>
        <w:tc>
          <w:tcPr>
            <w:tcW w:w="654" w:type="dxa"/>
            <w:tcBorders>
              <w:top w:val="single" w:sz="4" w:space="0" w:color="A6A6A6" w:themeColor="background1" w:themeShade="A6"/>
              <w:bottom w:val="single" w:sz="4" w:space="0" w:color="A6A6A6" w:themeColor="background1" w:themeShade="A6"/>
            </w:tcBorders>
            <w:noWrap/>
            <w:hideMark/>
          </w:tcPr>
          <w:p w14:paraId="7A002788" w14:textId="77777777" w:rsidR="00CE75D4" w:rsidRPr="00095EB4" w:rsidRDefault="00CE75D4" w:rsidP="008340C1">
            <w:pPr>
              <w:pStyle w:val="ARfintablebodyright"/>
              <w:spacing w:before="10" w:after="10" w:line="228" w:lineRule="auto"/>
              <w:rPr>
                <w:sz w:val="16"/>
              </w:rPr>
            </w:pPr>
            <w:r w:rsidRPr="00095EB4">
              <w:rPr>
                <w:sz w:val="16"/>
              </w:rPr>
              <w:t>0.8</w:t>
            </w:r>
          </w:p>
        </w:tc>
        <w:tc>
          <w:tcPr>
            <w:tcW w:w="654" w:type="dxa"/>
            <w:tcBorders>
              <w:top w:val="single" w:sz="4" w:space="0" w:color="A6A6A6" w:themeColor="background1" w:themeShade="A6"/>
              <w:bottom w:val="single" w:sz="4" w:space="0" w:color="A6A6A6" w:themeColor="background1" w:themeShade="A6"/>
            </w:tcBorders>
            <w:noWrap/>
            <w:hideMark/>
          </w:tcPr>
          <w:p w14:paraId="72F996F2"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6C20BC92"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3EEF1437" w14:textId="77777777" w:rsidR="00CE75D4" w:rsidRPr="00095EB4" w:rsidRDefault="00CE75D4" w:rsidP="008340C1">
            <w:pPr>
              <w:pStyle w:val="ARfintablebodyright"/>
              <w:spacing w:before="10" w:after="10" w:line="228" w:lineRule="auto"/>
              <w:rPr>
                <w:sz w:val="16"/>
              </w:rPr>
            </w:pPr>
            <w:r w:rsidRPr="00095EB4">
              <w:rPr>
                <w:sz w:val="16"/>
              </w:rPr>
              <w:t>1.1</w:t>
            </w:r>
          </w:p>
        </w:tc>
        <w:tc>
          <w:tcPr>
            <w:tcW w:w="654" w:type="dxa"/>
            <w:tcBorders>
              <w:top w:val="single" w:sz="4" w:space="0" w:color="A6A6A6" w:themeColor="background1" w:themeShade="A6"/>
              <w:bottom w:val="single" w:sz="4" w:space="0" w:color="A6A6A6" w:themeColor="background1" w:themeShade="A6"/>
            </w:tcBorders>
            <w:noWrap/>
            <w:hideMark/>
          </w:tcPr>
          <w:p w14:paraId="74E76076"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6B6C90F1" w14:textId="77777777" w:rsidR="00CE75D4" w:rsidRPr="00095EB4" w:rsidRDefault="00CE75D4" w:rsidP="008340C1">
            <w:pPr>
              <w:pStyle w:val="ARfintablebodyright"/>
              <w:spacing w:before="10" w:after="10" w:line="228" w:lineRule="auto"/>
              <w:rPr>
                <w:sz w:val="16"/>
              </w:rPr>
            </w:pPr>
            <w:r w:rsidRPr="00095EB4">
              <w:rPr>
                <w:sz w:val="16"/>
              </w:rPr>
              <w:t>–</w:t>
            </w:r>
          </w:p>
        </w:tc>
        <w:tc>
          <w:tcPr>
            <w:tcW w:w="833" w:type="dxa"/>
            <w:tcBorders>
              <w:top w:val="single" w:sz="4" w:space="0" w:color="A6A6A6" w:themeColor="background1" w:themeShade="A6"/>
              <w:bottom w:val="single" w:sz="4" w:space="0" w:color="A6A6A6" w:themeColor="background1" w:themeShade="A6"/>
            </w:tcBorders>
            <w:noWrap/>
            <w:hideMark/>
          </w:tcPr>
          <w:p w14:paraId="3F0153FA" w14:textId="77777777" w:rsidR="00CE75D4" w:rsidRPr="00095EB4" w:rsidRDefault="00CE75D4" w:rsidP="008340C1">
            <w:pPr>
              <w:pStyle w:val="ARfintablebodyright"/>
              <w:spacing w:before="10" w:after="10" w:line="228" w:lineRule="auto"/>
              <w:rPr>
                <w:sz w:val="16"/>
              </w:rPr>
            </w:pPr>
            <w:r w:rsidRPr="00095EB4">
              <w:rPr>
                <w:sz w:val="16"/>
              </w:rPr>
              <w:t>1,157.1</w:t>
            </w:r>
          </w:p>
        </w:tc>
      </w:tr>
      <w:tr w:rsidR="00CE75D4" w:rsidRPr="00147B66" w14:paraId="424C891B" w14:textId="77777777" w:rsidTr="3D493511">
        <w:tc>
          <w:tcPr>
            <w:tcW w:w="3334" w:type="dxa"/>
            <w:tcBorders>
              <w:top w:val="single" w:sz="4" w:space="0" w:color="A6A6A6" w:themeColor="background1" w:themeShade="A6"/>
              <w:bottom w:val="single" w:sz="4" w:space="0" w:color="A6A6A6" w:themeColor="background1" w:themeShade="A6"/>
            </w:tcBorders>
            <w:hideMark/>
          </w:tcPr>
          <w:p w14:paraId="555ECBE4" w14:textId="77777777" w:rsidR="00CE75D4" w:rsidRPr="00095EB4" w:rsidRDefault="00CE75D4" w:rsidP="008340C1">
            <w:pPr>
              <w:pStyle w:val="ARfintablebody"/>
              <w:spacing w:before="10" w:after="10" w:line="228" w:lineRule="auto"/>
              <w:rPr>
                <w:sz w:val="16"/>
              </w:rPr>
            </w:pPr>
            <w:r w:rsidRPr="00095EB4">
              <w:rPr>
                <w:sz w:val="16"/>
              </w:rPr>
              <w:t>Sales of goods and services</w:t>
            </w:r>
          </w:p>
        </w:tc>
        <w:tc>
          <w:tcPr>
            <w:tcW w:w="835" w:type="dxa"/>
            <w:tcBorders>
              <w:top w:val="single" w:sz="4" w:space="0" w:color="A6A6A6" w:themeColor="background1" w:themeShade="A6"/>
              <w:bottom w:val="single" w:sz="4" w:space="0" w:color="A6A6A6" w:themeColor="background1" w:themeShade="A6"/>
            </w:tcBorders>
            <w:noWrap/>
            <w:hideMark/>
          </w:tcPr>
          <w:p w14:paraId="30C0CC83" w14:textId="77777777" w:rsidR="00CE75D4" w:rsidRPr="00095EB4" w:rsidRDefault="00CE75D4" w:rsidP="008340C1">
            <w:pPr>
              <w:pStyle w:val="ARfintablebodyright"/>
              <w:spacing w:before="10" w:after="10" w:line="228" w:lineRule="auto"/>
              <w:rPr>
                <w:sz w:val="16"/>
              </w:rPr>
            </w:pPr>
            <w:r w:rsidRPr="00095EB4">
              <w:rPr>
                <w:sz w:val="16"/>
              </w:rPr>
              <w:t>344.9</w:t>
            </w:r>
          </w:p>
        </w:tc>
        <w:tc>
          <w:tcPr>
            <w:tcW w:w="656" w:type="dxa"/>
            <w:tcBorders>
              <w:top w:val="single" w:sz="4" w:space="0" w:color="A6A6A6" w:themeColor="background1" w:themeShade="A6"/>
              <w:bottom w:val="single" w:sz="4" w:space="0" w:color="A6A6A6" w:themeColor="background1" w:themeShade="A6"/>
            </w:tcBorders>
            <w:noWrap/>
            <w:hideMark/>
          </w:tcPr>
          <w:p w14:paraId="6F727988"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bottom w:val="single" w:sz="4" w:space="0" w:color="A6A6A6" w:themeColor="background1" w:themeShade="A6"/>
            </w:tcBorders>
            <w:noWrap/>
            <w:hideMark/>
          </w:tcPr>
          <w:p w14:paraId="15AD3C3D" w14:textId="77777777" w:rsidR="00CE75D4" w:rsidRPr="00095EB4" w:rsidRDefault="00CE75D4" w:rsidP="008340C1">
            <w:pPr>
              <w:pStyle w:val="ARfintablebodyright"/>
              <w:spacing w:before="10" w:after="10" w:line="228" w:lineRule="auto"/>
              <w:rPr>
                <w:sz w:val="16"/>
              </w:rPr>
            </w:pPr>
            <w:r w:rsidRPr="00095EB4">
              <w:rPr>
                <w:sz w:val="16"/>
              </w:rPr>
              <w:t>12.5</w:t>
            </w:r>
          </w:p>
        </w:tc>
        <w:tc>
          <w:tcPr>
            <w:tcW w:w="655" w:type="dxa"/>
            <w:tcBorders>
              <w:top w:val="single" w:sz="4" w:space="0" w:color="A6A6A6" w:themeColor="background1" w:themeShade="A6"/>
              <w:bottom w:val="single" w:sz="4" w:space="0" w:color="A6A6A6" w:themeColor="background1" w:themeShade="A6"/>
            </w:tcBorders>
            <w:noWrap/>
            <w:hideMark/>
          </w:tcPr>
          <w:p w14:paraId="31EC9DF1"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5D73FFB7" w14:textId="77777777" w:rsidR="00CE75D4" w:rsidRPr="00095EB4" w:rsidRDefault="00CE75D4" w:rsidP="008340C1">
            <w:pPr>
              <w:pStyle w:val="ARfintablebodyright"/>
              <w:spacing w:before="10" w:after="10" w:line="228" w:lineRule="auto"/>
              <w:rPr>
                <w:sz w:val="16"/>
              </w:rPr>
            </w:pPr>
            <w:r w:rsidRPr="00095EB4">
              <w:rPr>
                <w:sz w:val="16"/>
              </w:rPr>
              <w:t>3.8</w:t>
            </w:r>
          </w:p>
        </w:tc>
        <w:tc>
          <w:tcPr>
            <w:tcW w:w="654" w:type="dxa"/>
            <w:tcBorders>
              <w:top w:val="single" w:sz="4" w:space="0" w:color="A6A6A6" w:themeColor="background1" w:themeShade="A6"/>
              <w:bottom w:val="single" w:sz="4" w:space="0" w:color="A6A6A6" w:themeColor="background1" w:themeShade="A6"/>
            </w:tcBorders>
            <w:noWrap/>
            <w:hideMark/>
          </w:tcPr>
          <w:p w14:paraId="4625EF2A" w14:textId="77777777" w:rsidR="00CE75D4" w:rsidRPr="00095EB4" w:rsidRDefault="00CE75D4" w:rsidP="008340C1">
            <w:pPr>
              <w:pStyle w:val="ARfintablebodyright"/>
              <w:spacing w:before="10" w:after="10" w:line="228" w:lineRule="auto"/>
              <w:rPr>
                <w:sz w:val="16"/>
              </w:rPr>
            </w:pPr>
            <w:r w:rsidRPr="00095EB4">
              <w:rPr>
                <w:sz w:val="16"/>
              </w:rPr>
              <w:t>2.5</w:t>
            </w:r>
          </w:p>
        </w:tc>
        <w:tc>
          <w:tcPr>
            <w:tcW w:w="654" w:type="dxa"/>
            <w:tcBorders>
              <w:top w:val="single" w:sz="4" w:space="0" w:color="A6A6A6" w:themeColor="background1" w:themeShade="A6"/>
              <w:bottom w:val="single" w:sz="4" w:space="0" w:color="A6A6A6" w:themeColor="background1" w:themeShade="A6"/>
            </w:tcBorders>
            <w:noWrap/>
            <w:hideMark/>
          </w:tcPr>
          <w:p w14:paraId="3854F660" w14:textId="77777777" w:rsidR="00CE75D4" w:rsidRPr="00095EB4" w:rsidRDefault="00CE75D4" w:rsidP="008340C1">
            <w:pPr>
              <w:pStyle w:val="ARfintablebodyright"/>
              <w:spacing w:before="10" w:after="10" w:line="228" w:lineRule="auto"/>
              <w:rPr>
                <w:sz w:val="16"/>
              </w:rPr>
            </w:pPr>
            <w:r w:rsidRPr="00095EB4">
              <w:rPr>
                <w:sz w:val="16"/>
              </w:rPr>
              <w:t>–</w:t>
            </w:r>
          </w:p>
        </w:tc>
        <w:tc>
          <w:tcPr>
            <w:tcW w:w="721" w:type="dxa"/>
            <w:tcBorders>
              <w:top w:val="single" w:sz="4" w:space="0" w:color="A6A6A6" w:themeColor="background1" w:themeShade="A6"/>
              <w:bottom w:val="single" w:sz="4" w:space="0" w:color="A6A6A6" w:themeColor="background1" w:themeShade="A6"/>
            </w:tcBorders>
            <w:noWrap/>
            <w:hideMark/>
          </w:tcPr>
          <w:p w14:paraId="2E7C8BBB" w14:textId="77777777" w:rsidR="00CE75D4" w:rsidRPr="00095EB4" w:rsidRDefault="00CE75D4" w:rsidP="008340C1">
            <w:pPr>
              <w:pStyle w:val="ARfintablebodyright"/>
              <w:spacing w:before="10" w:after="10" w:line="228" w:lineRule="auto"/>
              <w:rPr>
                <w:sz w:val="16"/>
              </w:rPr>
            </w:pPr>
            <w:r w:rsidRPr="00095EB4">
              <w:rPr>
                <w:sz w:val="16"/>
              </w:rPr>
              <w:t>0.6</w:t>
            </w:r>
          </w:p>
        </w:tc>
        <w:tc>
          <w:tcPr>
            <w:tcW w:w="882" w:type="dxa"/>
            <w:tcBorders>
              <w:top w:val="single" w:sz="4" w:space="0" w:color="A6A6A6" w:themeColor="background1" w:themeShade="A6"/>
              <w:bottom w:val="single" w:sz="4" w:space="0" w:color="A6A6A6" w:themeColor="background1" w:themeShade="A6"/>
            </w:tcBorders>
            <w:noWrap/>
            <w:hideMark/>
          </w:tcPr>
          <w:p w14:paraId="7B094A04" w14:textId="77777777" w:rsidR="00CE75D4" w:rsidRPr="00095EB4" w:rsidRDefault="00CE75D4" w:rsidP="008340C1">
            <w:pPr>
              <w:pStyle w:val="ARfintablebodyright"/>
              <w:spacing w:before="10" w:after="10" w:line="228" w:lineRule="auto"/>
              <w:rPr>
                <w:sz w:val="16"/>
              </w:rPr>
            </w:pPr>
            <w:r w:rsidRPr="00095EB4">
              <w:rPr>
                <w:sz w:val="16"/>
              </w:rPr>
              <w:t>14.9</w:t>
            </w:r>
          </w:p>
        </w:tc>
        <w:tc>
          <w:tcPr>
            <w:tcW w:w="654" w:type="dxa"/>
            <w:tcBorders>
              <w:top w:val="single" w:sz="4" w:space="0" w:color="A6A6A6" w:themeColor="background1" w:themeShade="A6"/>
              <w:bottom w:val="single" w:sz="4" w:space="0" w:color="A6A6A6" w:themeColor="background1" w:themeShade="A6"/>
            </w:tcBorders>
            <w:noWrap/>
            <w:hideMark/>
          </w:tcPr>
          <w:p w14:paraId="2E69676D" w14:textId="77777777" w:rsidR="00CE75D4" w:rsidRPr="00095EB4" w:rsidRDefault="00CE75D4" w:rsidP="008340C1">
            <w:pPr>
              <w:pStyle w:val="ARfintablebodyright"/>
              <w:spacing w:before="10" w:after="10" w:line="228" w:lineRule="auto"/>
              <w:rPr>
                <w:sz w:val="16"/>
              </w:rPr>
            </w:pPr>
            <w:r w:rsidRPr="00095EB4">
              <w:rPr>
                <w:sz w:val="16"/>
              </w:rPr>
              <w:t>0.3</w:t>
            </w:r>
          </w:p>
        </w:tc>
        <w:tc>
          <w:tcPr>
            <w:tcW w:w="654" w:type="dxa"/>
            <w:tcBorders>
              <w:top w:val="single" w:sz="4" w:space="0" w:color="A6A6A6" w:themeColor="background1" w:themeShade="A6"/>
              <w:bottom w:val="single" w:sz="4" w:space="0" w:color="A6A6A6" w:themeColor="background1" w:themeShade="A6"/>
            </w:tcBorders>
            <w:noWrap/>
            <w:hideMark/>
          </w:tcPr>
          <w:p w14:paraId="1CB190B3"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6308DD2B" w14:textId="18938732" w:rsidR="00CE75D4" w:rsidRPr="00095EB4" w:rsidRDefault="649BD908" w:rsidP="008340C1">
            <w:pPr>
              <w:pStyle w:val="ARfintablebodyright"/>
              <w:spacing w:before="10" w:after="10" w:line="228" w:lineRule="auto"/>
              <w:rPr>
                <w:sz w:val="16"/>
              </w:rPr>
            </w:pPr>
            <w:r w:rsidRPr="3D493511">
              <w:rPr>
                <w:sz w:val="16"/>
              </w:rPr>
              <w:t>0.1</w:t>
            </w:r>
          </w:p>
        </w:tc>
        <w:tc>
          <w:tcPr>
            <w:tcW w:w="654" w:type="dxa"/>
            <w:tcBorders>
              <w:top w:val="single" w:sz="4" w:space="0" w:color="A6A6A6" w:themeColor="background1" w:themeShade="A6"/>
              <w:bottom w:val="single" w:sz="4" w:space="0" w:color="A6A6A6" w:themeColor="background1" w:themeShade="A6"/>
            </w:tcBorders>
            <w:noWrap/>
            <w:hideMark/>
          </w:tcPr>
          <w:p w14:paraId="6619B906"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03DC056F"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2AC9162B" w14:textId="77777777" w:rsidR="00CE75D4" w:rsidRPr="00095EB4" w:rsidRDefault="00CE75D4" w:rsidP="008340C1">
            <w:pPr>
              <w:pStyle w:val="ARfintablebodyright"/>
              <w:spacing w:before="10" w:after="10" w:line="228" w:lineRule="auto"/>
              <w:rPr>
                <w:sz w:val="16"/>
              </w:rPr>
            </w:pPr>
            <w:r w:rsidRPr="00095EB4">
              <w:rPr>
                <w:sz w:val="16"/>
              </w:rPr>
              <w:t>–</w:t>
            </w:r>
          </w:p>
        </w:tc>
        <w:tc>
          <w:tcPr>
            <w:tcW w:w="833" w:type="dxa"/>
            <w:tcBorders>
              <w:top w:val="single" w:sz="4" w:space="0" w:color="A6A6A6" w:themeColor="background1" w:themeShade="A6"/>
              <w:bottom w:val="single" w:sz="4" w:space="0" w:color="A6A6A6" w:themeColor="background1" w:themeShade="A6"/>
            </w:tcBorders>
            <w:noWrap/>
            <w:hideMark/>
          </w:tcPr>
          <w:p w14:paraId="7F6434DA" w14:textId="77777777" w:rsidR="00CE75D4" w:rsidRPr="00095EB4" w:rsidRDefault="00CE75D4" w:rsidP="008340C1">
            <w:pPr>
              <w:pStyle w:val="ARfintablebodyright"/>
              <w:spacing w:before="10" w:after="10" w:line="228" w:lineRule="auto"/>
              <w:rPr>
                <w:sz w:val="16"/>
              </w:rPr>
            </w:pPr>
            <w:r w:rsidRPr="00095EB4">
              <w:rPr>
                <w:sz w:val="16"/>
              </w:rPr>
              <w:t>379.6</w:t>
            </w:r>
          </w:p>
        </w:tc>
      </w:tr>
      <w:tr w:rsidR="00CE75D4" w:rsidRPr="00147B66" w14:paraId="717C89D6" w14:textId="77777777" w:rsidTr="3D493511">
        <w:tc>
          <w:tcPr>
            <w:tcW w:w="3334" w:type="dxa"/>
            <w:tcBorders>
              <w:top w:val="single" w:sz="4" w:space="0" w:color="A6A6A6" w:themeColor="background1" w:themeShade="A6"/>
              <w:bottom w:val="single" w:sz="4" w:space="0" w:color="A6A6A6" w:themeColor="background1" w:themeShade="A6"/>
            </w:tcBorders>
            <w:hideMark/>
          </w:tcPr>
          <w:p w14:paraId="0D3498AB" w14:textId="77777777" w:rsidR="00CE75D4" w:rsidRPr="00095EB4" w:rsidRDefault="00CE75D4" w:rsidP="008340C1">
            <w:pPr>
              <w:pStyle w:val="ARfintablebody"/>
              <w:spacing w:before="10" w:after="10" w:line="228" w:lineRule="auto"/>
              <w:rPr>
                <w:sz w:val="16"/>
              </w:rPr>
            </w:pPr>
            <w:r w:rsidRPr="00095EB4">
              <w:rPr>
                <w:sz w:val="16"/>
              </w:rPr>
              <w:t xml:space="preserve">Appropriations – payments made </w:t>
            </w:r>
            <w:r>
              <w:rPr>
                <w:sz w:val="16"/>
              </w:rPr>
              <w:br/>
            </w:r>
            <w:r w:rsidRPr="00095EB4">
              <w:rPr>
                <w:sz w:val="16"/>
              </w:rPr>
              <w:t>on behalf of the state</w:t>
            </w:r>
          </w:p>
        </w:tc>
        <w:tc>
          <w:tcPr>
            <w:tcW w:w="835" w:type="dxa"/>
            <w:tcBorders>
              <w:top w:val="single" w:sz="4" w:space="0" w:color="A6A6A6" w:themeColor="background1" w:themeShade="A6"/>
              <w:bottom w:val="single" w:sz="4" w:space="0" w:color="A6A6A6" w:themeColor="background1" w:themeShade="A6"/>
            </w:tcBorders>
            <w:noWrap/>
            <w:hideMark/>
          </w:tcPr>
          <w:p w14:paraId="35D19304"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bottom w:val="single" w:sz="4" w:space="0" w:color="A6A6A6" w:themeColor="background1" w:themeShade="A6"/>
            </w:tcBorders>
            <w:noWrap/>
            <w:hideMark/>
          </w:tcPr>
          <w:p w14:paraId="4401D173"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bottom w:val="single" w:sz="4" w:space="0" w:color="A6A6A6" w:themeColor="background1" w:themeShade="A6"/>
            </w:tcBorders>
            <w:noWrap/>
            <w:hideMark/>
          </w:tcPr>
          <w:p w14:paraId="14CD102E"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19F281AA" w14:textId="77777777" w:rsidR="00CE75D4" w:rsidRPr="00095EB4" w:rsidRDefault="00CE75D4" w:rsidP="008340C1">
            <w:pPr>
              <w:pStyle w:val="ARfintablebodyright"/>
              <w:spacing w:before="10" w:after="10" w:line="228" w:lineRule="auto"/>
              <w:rPr>
                <w:sz w:val="16"/>
              </w:rPr>
            </w:pPr>
            <w:r w:rsidRPr="00095EB4">
              <w:rPr>
                <w:sz w:val="16"/>
              </w:rPr>
              <w:t>50.1</w:t>
            </w:r>
          </w:p>
        </w:tc>
        <w:tc>
          <w:tcPr>
            <w:tcW w:w="655" w:type="dxa"/>
            <w:tcBorders>
              <w:top w:val="single" w:sz="4" w:space="0" w:color="A6A6A6" w:themeColor="background1" w:themeShade="A6"/>
              <w:bottom w:val="single" w:sz="4" w:space="0" w:color="A6A6A6" w:themeColor="background1" w:themeShade="A6"/>
            </w:tcBorders>
            <w:noWrap/>
            <w:hideMark/>
          </w:tcPr>
          <w:p w14:paraId="07651F24"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4D686D63"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3A39497B" w14:textId="77777777" w:rsidR="00CE75D4" w:rsidRPr="00095EB4" w:rsidRDefault="00CE75D4" w:rsidP="008340C1">
            <w:pPr>
              <w:pStyle w:val="ARfintablebodyright"/>
              <w:spacing w:before="10" w:after="10" w:line="228" w:lineRule="auto"/>
              <w:rPr>
                <w:sz w:val="16"/>
              </w:rPr>
            </w:pPr>
            <w:r w:rsidRPr="00095EB4">
              <w:rPr>
                <w:sz w:val="16"/>
              </w:rPr>
              <w:t>–</w:t>
            </w:r>
          </w:p>
        </w:tc>
        <w:tc>
          <w:tcPr>
            <w:tcW w:w="721" w:type="dxa"/>
            <w:tcBorders>
              <w:top w:val="single" w:sz="4" w:space="0" w:color="A6A6A6" w:themeColor="background1" w:themeShade="A6"/>
              <w:bottom w:val="single" w:sz="4" w:space="0" w:color="A6A6A6" w:themeColor="background1" w:themeShade="A6"/>
            </w:tcBorders>
            <w:noWrap/>
            <w:hideMark/>
          </w:tcPr>
          <w:p w14:paraId="42C4B758" w14:textId="77777777" w:rsidR="00CE75D4" w:rsidRPr="00095EB4" w:rsidRDefault="00CE75D4" w:rsidP="008340C1">
            <w:pPr>
              <w:pStyle w:val="ARfintablebodyright"/>
              <w:spacing w:before="10" w:after="10" w:line="228" w:lineRule="auto"/>
              <w:rPr>
                <w:sz w:val="16"/>
              </w:rPr>
            </w:pPr>
            <w:r w:rsidRPr="00095EB4">
              <w:rPr>
                <w:sz w:val="16"/>
              </w:rPr>
              <w:t>–</w:t>
            </w:r>
          </w:p>
        </w:tc>
        <w:tc>
          <w:tcPr>
            <w:tcW w:w="882" w:type="dxa"/>
            <w:tcBorders>
              <w:top w:val="single" w:sz="4" w:space="0" w:color="A6A6A6" w:themeColor="background1" w:themeShade="A6"/>
              <w:bottom w:val="single" w:sz="4" w:space="0" w:color="A6A6A6" w:themeColor="background1" w:themeShade="A6"/>
            </w:tcBorders>
            <w:noWrap/>
            <w:hideMark/>
          </w:tcPr>
          <w:p w14:paraId="0FBA85A3" w14:textId="77777777" w:rsidR="00CE75D4" w:rsidRPr="00095EB4" w:rsidRDefault="00CE75D4" w:rsidP="008340C1">
            <w:pPr>
              <w:pStyle w:val="ARfintablebodyright"/>
              <w:spacing w:before="10" w:after="10" w:line="228" w:lineRule="auto"/>
              <w:rPr>
                <w:sz w:val="16"/>
              </w:rPr>
            </w:pPr>
            <w:r w:rsidRPr="00095EB4">
              <w:rPr>
                <w:sz w:val="16"/>
              </w:rPr>
              <w:t>16.7</w:t>
            </w:r>
          </w:p>
        </w:tc>
        <w:tc>
          <w:tcPr>
            <w:tcW w:w="654" w:type="dxa"/>
            <w:tcBorders>
              <w:top w:val="single" w:sz="4" w:space="0" w:color="A6A6A6" w:themeColor="background1" w:themeShade="A6"/>
              <w:bottom w:val="single" w:sz="4" w:space="0" w:color="A6A6A6" w:themeColor="background1" w:themeShade="A6"/>
            </w:tcBorders>
            <w:noWrap/>
            <w:hideMark/>
          </w:tcPr>
          <w:p w14:paraId="01A56974"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41CB3333"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2B77FDE0"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35535138"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585F98D3"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6676BB6E" w14:textId="77777777" w:rsidR="00CE75D4" w:rsidRPr="00095EB4" w:rsidRDefault="00CE75D4" w:rsidP="008340C1">
            <w:pPr>
              <w:pStyle w:val="ARfintablebodyright"/>
              <w:spacing w:before="10" w:after="10" w:line="228" w:lineRule="auto"/>
              <w:rPr>
                <w:sz w:val="16"/>
              </w:rPr>
            </w:pPr>
            <w:r w:rsidRPr="00095EB4">
              <w:rPr>
                <w:sz w:val="16"/>
              </w:rPr>
              <w:t>–</w:t>
            </w:r>
          </w:p>
        </w:tc>
        <w:tc>
          <w:tcPr>
            <w:tcW w:w="833" w:type="dxa"/>
            <w:tcBorders>
              <w:top w:val="single" w:sz="4" w:space="0" w:color="A6A6A6" w:themeColor="background1" w:themeShade="A6"/>
              <w:bottom w:val="single" w:sz="4" w:space="0" w:color="A6A6A6" w:themeColor="background1" w:themeShade="A6"/>
            </w:tcBorders>
            <w:noWrap/>
            <w:hideMark/>
          </w:tcPr>
          <w:p w14:paraId="74015090" w14:textId="77777777" w:rsidR="00CE75D4" w:rsidRPr="00095EB4" w:rsidRDefault="00CE75D4" w:rsidP="008340C1">
            <w:pPr>
              <w:pStyle w:val="ARfintablebodyright"/>
              <w:spacing w:before="10" w:after="10" w:line="228" w:lineRule="auto"/>
              <w:rPr>
                <w:sz w:val="16"/>
              </w:rPr>
            </w:pPr>
            <w:r w:rsidRPr="00095EB4">
              <w:rPr>
                <w:sz w:val="16"/>
              </w:rPr>
              <w:t>66.8</w:t>
            </w:r>
          </w:p>
        </w:tc>
      </w:tr>
      <w:tr w:rsidR="00CE75D4" w:rsidRPr="00147B66" w14:paraId="6144C066" w14:textId="77777777" w:rsidTr="3D493511">
        <w:tc>
          <w:tcPr>
            <w:tcW w:w="3334" w:type="dxa"/>
            <w:tcBorders>
              <w:top w:val="single" w:sz="4" w:space="0" w:color="A6A6A6" w:themeColor="background1" w:themeShade="A6"/>
              <w:bottom w:val="single" w:sz="4" w:space="0" w:color="A6A6A6" w:themeColor="background1" w:themeShade="A6"/>
            </w:tcBorders>
            <w:hideMark/>
          </w:tcPr>
          <w:p w14:paraId="51C0DBBD" w14:textId="77777777" w:rsidR="00CE75D4" w:rsidRPr="00095EB4" w:rsidRDefault="00CE75D4" w:rsidP="008340C1">
            <w:pPr>
              <w:pStyle w:val="ARfintablebody"/>
              <w:spacing w:before="10" w:after="10" w:line="228" w:lineRule="auto"/>
              <w:rPr>
                <w:sz w:val="16"/>
              </w:rPr>
            </w:pPr>
            <w:r w:rsidRPr="00095EB4">
              <w:rPr>
                <w:sz w:val="16"/>
              </w:rPr>
              <w:t>Interest income</w:t>
            </w:r>
          </w:p>
        </w:tc>
        <w:tc>
          <w:tcPr>
            <w:tcW w:w="835" w:type="dxa"/>
            <w:tcBorders>
              <w:top w:val="single" w:sz="4" w:space="0" w:color="A6A6A6" w:themeColor="background1" w:themeShade="A6"/>
              <w:bottom w:val="single" w:sz="4" w:space="0" w:color="A6A6A6" w:themeColor="background1" w:themeShade="A6"/>
            </w:tcBorders>
            <w:noWrap/>
            <w:hideMark/>
          </w:tcPr>
          <w:p w14:paraId="6EBACB62" w14:textId="77777777" w:rsidR="00CE75D4" w:rsidRPr="00095EB4" w:rsidRDefault="00CE75D4" w:rsidP="008340C1">
            <w:pPr>
              <w:pStyle w:val="ARfintablebodyright"/>
              <w:spacing w:before="10" w:after="10" w:line="228" w:lineRule="auto"/>
              <w:rPr>
                <w:sz w:val="16"/>
              </w:rPr>
            </w:pPr>
            <w:r w:rsidRPr="00095EB4">
              <w:rPr>
                <w:sz w:val="16"/>
              </w:rPr>
              <w:t>0.1</w:t>
            </w:r>
          </w:p>
        </w:tc>
        <w:tc>
          <w:tcPr>
            <w:tcW w:w="656" w:type="dxa"/>
            <w:tcBorders>
              <w:top w:val="single" w:sz="4" w:space="0" w:color="A6A6A6" w:themeColor="background1" w:themeShade="A6"/>
              <w:bottom w:val="single" w:sz="4" w:space="0" w:color="A6A6A6" w:themeColor="background1" w:themeShade="A6"/>
            </w:tcBorders>
            <w:noWrap/>
            <w:hideMark/>
          </w:tcPr>
          <w:p w14:paraId="0F1953C2"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bottom w:val="single" w:sz="4" w:space="0" w:color="A6A6A6" w:themeColor="background1" w:themeShade="A6"/>
            </w:tcBorders>
            <w:noWrap/>
            <w:hideMark/>
          </w:tcPr>
          <w:p w14:paraId="59AEF531"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28015017"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556A3C6D"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679CF2AB"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0B16787E" w14:textId="77777777" w:rsidR="00CE75D4" w:rsidRPr="00095EB4" w:rsidRDefault="00CE75D4" w:rsidP="008340C1">
            <w:pPr>
              <w:pStyle w:val="ARfintablebodyright"/>
              <w:spacing w:before="10" w:after="10" w:line="228" w:lineRule="auto"/>
              <w:rPr>
                <w:sz w:val="16"/>
              </w:rPr>
            </w:pPr>
            <w:r w:rsidRPr="00095EB4">
              <w:rPr>
                <w:sz w:val="16"/>
              </w:rPr>
              <w:t>–</w:t>
            </w:r>
          </w:p>
        </w:tc>
        <w:tc>
          <w:tcPr>
            <w:tcW w:w="721" w:type="dxa"/>
            <w:tcBorders>
              <w:top w:val="single" w:sz="4" w:space="0" w:color="A6A6A6" w:themeColor="background1" w:themeShade="A6"/>
              <w:bottom w:val="single" w:sz="4" w:space="0" w:color="A6A6A6" w:themeColor="background1" w:themeShade="A6"/>
            </w:tcBorders>
            <w:noWrap/>
            <w:hideMark/>
          </w:tcPr>
          <w:p w14:paraId="7819429A" w14:textId="77777777" w:rsidR="00CE75D4" w:rsidRPr="00095EB4" w:rsidRDefault="00CE75D4" w:rsidP="008340C1">
            <w:pPr>
              <w:pStyle w:val="ARfintablebodyright"/>
              <w:spacing w:before="10" w:after="10" w:line="228" w:lineRule="auto"/>
              <w:rPr>
                <w:sz w:val="16"/>
              </w:rPr>
            </w:pPr>
            <w:r w:rsidRPr="00095EB4">
              <w:rPr>
                <w:sz w:val="16"/>
              </w:rPr>
              <w:t>–</w:t>
            </w:r>
          </w:p>
        </w:tc>
        <w:tc>
          <w:tcPr>
            <w:tcW w:w="882" w:type="dxa"/>
            <w:tcBorders>
              <w:top w:val="single" w:sz="4" w:space="0" w:color="A6A6A6" w:themeColor="background1" w:themeShade="A6"/>
              <w:bottom w:val="single" w:sz="4" w:space="0" w:color="A6A6A6" w:themeColor="background1" w:themeShade="A6"/>
            </w:tcBorders>
            <w:noWrap/>
            <w:hideMark/>
          </w:tcPr>
          <w:p w14:paraId="7C1CFD10"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7F253709"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51BD4795"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65700DF2"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16D3EF8F"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5B99F0FA"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3BBE9138" w14:textId="77777777" w:rsidR="00CE75D4" w:rsidRPr="00095EB4" w:rsidRDefault="00CE75D4" w:rsidP="008340C1">
            <w:pPr>
              <w:pStyle w:val="ARfintablebodyright"/>
              <w:spacing w:before="10" w:after="10" w:line="228" w:lineRule="auto"/>
              <w:rPr>
                <w:sz w:val="16"/>
              </w:rPr>
            </w:pPr>
            <w:r w:rsidRPr="00095EB4">
              <w:rPr>
                <w:sz w:val="16"/>
              </w:rPr>
              <w:t>–</w:t>
            </w:r>
          </w:p>
        </w:tc>
        <w:tc>
          <w:tcPr>
            <w:tcW w:w="833" w:type="dxa"/>
            <w:tcBorders>
              <w:top w:val="single" w:sz="4" w:space="0" w:color="A6A6A6" w:themeColor="background1" w:themeShade="A6"/>
              <w:bottom w:val="single" w:sz="4" w:space="0" w:color="A6A6A6" w:themeColor="background1" w:themeShade="A6"/>
            </w:tcBorders>
            <w:noWrap/>
            <w:hideMark/>
          </w:tcPr>
          <w:p w14:paraId="18D5E87D" w14:textId="77777777" w:rsidR="00CE75D4" w:rsidRPr="00095EB4" w:rsidRDefault="00CE75D4" w:rsidP="008340C1">
            <w:pPr>
              <w:pStyle w:val="ARfintablebodyright"/>
              <w:spacing w:before="10" w:after="10" w:line="228" w:lineRule="auto"/>
              <w:rPr>
                <w:sz w:val="16"/>
              </w:rPr>
            </w:pPr>
            <w:r w:rsidRPr="00095EB4">
              <w:rPr>
                <w:sz w:val="16"/>
              </w:rPr>
              <w:t>0.1</w:t>
            </w:r>
          </w:p>
        </w:tc>
      </w:tr>
      <w:tr w:rsidR="00CE75D4" w:rsidRPr="00147B66" w14:paraId="62068729" w14:textId="77777777" w:rsidTr="3D493511">
        <w:tc>
          <w:tcPr>
            <w:tcW w:w="3334" w:type="dxa"/>
            <w:tcBorders>
              <w:top w:val="single" w:sz="4" w:space="0" w:color="A6A6A6" w:themeColor="background1" w:themeShade="A6"/>
              <w:bottom w:val="single" w:sz="4" w:space="0" w:color="A6A6A6" w:themeColor="background1" w:themeShade="A6"/>
            </w:tcBorders>
            <w:hideMark/>
          </w:tcPr>
          <w:p w14:paraId="259603B7" w14:textId="77777777" w:rsidR="00CE75D4" w:rsidRPr="00095EB4" w:rsidRDefault="00CE75D4" w:rsidP="008340C1">
            <w:pPr>
              <w:pStyle w:val="ARfintablebody"/>
              <w:spacing w:before="10" w:after="10" w:line="228" w:lineRule="auto"/>
              <w:rPr>
                <w:sz w:val="16"/>
              </w:rPr>
            </w:pPr>
            <w:r w:rsidRPr="00095EB4">
              <w:rPr>
                <w:sz w:val="16"/>
              </w:rPr>
              <w:t>Fees</w:t>
            </w:r>
          </w:p>
        </w:tc>
        <w:tc>
          <w:tcPr>
            <w:tcW w:w="835" w:type="dxa"/>
            <w:tcBorders>
              <w:top w:val="single" w:sz="4" w:space="0" w:color="A6A6A6" w:themeColor="background1" w:themeShade="A6"/>
              <w:bottom w:val="single" w:sz="4" w:space="0" w:color="A6A6A6" w:themeColor="background1" w:themeShade="A6"/>
            </w:tcBorders>
            <w:noWrap/>
            <w:hideMark/>
          </w:tcPr>
          <w:p w14:paraId="07194439"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bottom w:val="single" w:sz="4" w:space="0" w:color="A6A6A6" w:themeColor="background1" w:themeShade="A6"/>
            </w:tcBorders>
            <w:noWrap/>
            <w:hideMark/>
          </w:tcPr>
          <w:p w14:paraId="6F5AEFC8"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bottom w:val="single" w:sz="4" w:space="0" w:color="A6A6A6" w:themeColor="background1" w:themeShade="A6"/>
            </w:tcBorders>
            <w:noWrap/>
            <w:hideMark/>
          </w:tcPr>
          <w:p w14:paraId="0EADCAE3"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3C4D2A47"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775BA807"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124A0444"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3C925196" w14:textId="77777777" w:rsidR="00CE75D4" w:rsidRPr="00095EB4" w:rsidRDefault="00CE75D4" w:rsidP="008340C1">
            <w:pPr>
              <w:pStyle w:val="ARfintablebodyright"/>
              <w:spacing w:before="10" w:after="10" w:line="228" w:lineRule="auto"/>
              <w:rPr>
                <w:sz w:val="16"/>
              </w:rPr>
            </w:pPr>
            <w:r w:rsidRPr="00095EB4">
              <w:rPr>
                <w:sz w:val="16"/>
              </w:rPr>
              <w:t>10.5</w:t>
            </w:r>
          </w:p>
        </w:tc>
        <w:tc>
          <w:tcPr>
            <w:tcW w:w="721" w:type="dxa"/>
            <w:tcBorders>
              <w:top w:val="single" w:sz="4" w:space="0" w:color="A6A6A6" w:themeColor="background1" w:themeShade="A6"/>
              <w:bottom w:val="single" w:sz="4" w:space="0" w:color="A6A6A6" w:themeColor="background1" w:themeShade="A6"/>
            </w:tcBorders>
            <w:noWrap/>
            <w:hideMark/>
          </w:tcPr>
          <w:p w14:paraId="5450B9C3" w14:textId="77777777" w:rsidR="00CE75D4" w:rsidRPr="00095EB4" w:rsidRDefault="00CE75D4" w:rsidP="008340C1">
            <w:pPr>
              <w:pStyle w:val="ARfintablebodyright"/>
              <w:spacing w:before="10" w:after="10" w:line="228" w:lineRule="auto"/>
              <w:rPr>
                <w:sz w:val="16"/>
              </w:rPr>
            </w:pPr>
            <w:r w:rsidRPr="00095EB4">
              <w:rPr>
                <w:sz w:val="16"/>
              </w:rPr>
              <w:t>0.8</w:t>
            </w:r>
          </w:p>
        </w:tc>
        <w:tc>
          <w:tcPr>
            <w:tcW w:w="882" w:type="dxa"/>
            <w:tcBorders>
              <w:top w:val="single" w:sz="4" w:space="0" w:color="A6A6A6" w:themeColor="background1" w:themeShade="A6"/>
              <w:bottom w:val="single" w:sz="4" w:space="0" w:color="A6A6A6" w:themeColor="background1" w:themeShade="A6"/>
            </w:tcBorders>
            <w:noWrap/>
            <w:hideMark/>
          </w:tcPr>
          <w:p w14:paraId="37F3589D"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0D9B52A9"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1ABEC5C9"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23B65FD3"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2686F726"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22C429F3"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5A8A0B25" w14:textId="77777777" w:rsidR="00CE75D4" w:rsidRPr="00095EB4" w:rsidRDefault="00CE75D4" w:rsidP="008340C1">
            <w:pPr>
              <w:pStyle w:val="ARfintablebodyright"/>
              <w:spacing w:before="10" w:after="10" w:line="228" w:lineRule="auto"/>
              <w:rPr>
                <w:sz w:val="16"/>
              </w:rPr>
            </w:pPr>
            <w:r w:rsidRPr="00095EB4">
              <w:rPr>
                <w:sz w:val="16"/>
              </w:rPr>
              <w:t>–</w:t>
            </w:r>
          </w:p>
        </w:tc>
        <w:tc>
          <w:tcPr>
            <w:tcW w:w="833" w:type="dxa"/>
            <w:tcBorders>
              <w:top w:val="single" w:sz="4" w:space="0" w:color="A6A6A6" w:themeColor="background1" w:themeShade="A6"/>
              <w:bottom w:val="single" w:sz="4" w:space="0" w:color="A6A6A6" w:themeColor="background1" w:themeShade="A6"/>
            </w:tcBorders>
            <w:noWrap/>
            <w:hideMark/>
          </w:tcPr>
          <w:p w14:paraId="7CDA694C" w14:textId="77777777" w:rsidR="00CE75D4" w:rsidRPr="00095EB4" w:rsidRDefault="00CE75D4" w:rsidP="008340C1">
            <w:pPr>
              <w:pStyle w:val="ARfintablebodyright"/>
              <w:spacing w:before="10" w:after="10" w:line="228" w:lineRule="auto"/>
              <w:rPr>
                <w:sz w:val="16"/>
              </w:rPr>
            </w:pPr>
            <w:r w:rsidRPr="00095EB4">
              <w:rPr>
                <w:sz w:val="16"/>
              </w:rPr>
              <w:t>11.3</w:t>
            </w:r>
          </w:p>
        </w:tc>
      </w:tr>
      <w:tr w:rsidR="00CE75D4" w:rsidRPr="00147B66" w14:paraId="4574CA42" w14:textId="77777777" w:rsidTr="3D493511">
        <w:tc>
          <w:tcPr>
            <w:tcW w:w="3334" w:type="dxa"/>
            <w:tcBorders>
              <w:top w:val="single" w:sz="4" w:space="0" w:color="A6A6A6" w:themeColor="background1" w:themeShade="A6"/>
              <w:bottom w:val="single" w:sz="4" w:space="0" w:color="A6A6A6" w:themeColor="background1" w:themeShade="A6"/>
            </w:tcBorders>
            <w:hideMark/>
          </w:tcPr>
          <w:p w14:paraId="2F7C2828" w14:textId="77777777" w:rsidR="00CE75D4" w:rsidRPr="00095EB4" w:rsidRDefault="00CE75D4" w:rsidP="008340C1">
            <w:pPr>
              <w:pStyle w:val="ARfintablebody"/>
              <w:spacing w:before="10" w:after="10" w:line="228" w:lineRule="auto"/>
              <w:rPr>
                <w:sz w:val="16"/>
              </w:rPr>
            </w:pPr>
            <w:r w:rsidRPr="00095EB4">
              <w:rPr>
                <w:sz w:val="16"/>
              </w:rPr>
              <w:t>Grants</w:t>
            </w:r>
          </w:p>
        </w:tc>
        <w:tc>
          <w:tcPr>
            <w:tcW w:w="835" w:type="dxa"/>
            <w:tcBorders>
              <w:top w:val="single" w:sz="4" w:space="0" w:color="A6A6A6" w:themeColor="background1" w:themeShade="A6"/>
              <w:bottom w:val="single" w:sz="4" w:space="0" w:color="A6A6A6" w:themeColor="background1" w:themeShade="A6"/>
            </w:tcBorders>
            <w:noWrap/>
            <w:hideMark/>
          </w:tcPr>
          <w:p w14:paraId="491D4E76" w14:textId="77777777" w:rsidR="00CE75D4" w:rsidRPr="00095EB4" w:rsidRDefault="00CE75D4" w:rsidP="008340C1">
            <w:pPr>
              <w:pStyle w:val="ARfintablebodyright"/>
              <w:spacing w:before="10" w:after="10" w:line="228" w:lineRule="auto"/>
              <w:rPr>
                <w:sz w:val="16"/>
              </w:rPr>
            </w:pPr>
            <w:r w:rsidRPr="00095EB4">
              <w:rPr>
                <w:sz w:val="16"/>
              </w:rPr>
              <w:t>137.4</w:t>
            </w:r>
          </w:p>
        </w:tc>
        <w:tc>
          <w:tcPr>
            <w:tcW w:w="656" w:type="dxa"/>
            <w:tcBorders>
              <w:top w:val="single" w:sz="4" w:space="0" w:color="A6A6A6" w:themeColor="background1" w:themeShade="A6"/>
              <w:bottom w:val="single" w:sz="4" w:space="0" w:color="A6A6A6" w:themeColor="background1" w:themeShade="A6"/>
            </w:tcBorders>
            <w:noWrap/>
            <w:hideMark/>
          </w:tcPr>
          <w:p w14:paraId="0457ED19"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bottom w:val="single" w:sz="4" w:space="0" w:color="A6A6A6" w:themeColor="background1" w:themeShade="A6"/>
            </w:tcBorders>
            <w:noWrap/>
            <w:hideMark/>
          </w:tcPr>
          <w:p w14:paraId="3C2F7E99"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05187500"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164D2412"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286D7A51"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0AFA3C9C" w14:textId="77777777" w:rsidR="00CE75D4" w:rsidRPr="00095EB4" w:rsidRDefault="00CE75D4" w:rsidP="008340C1">
            <w:pPr>
              <w:pStyle w:val="ARfintablebodyright"/>
              <w:spacing w:before="10" w:after="10" w:line="228" w:lineRule="auto"/>
              <w:rPr>
                <w:sz w:val="16"/>
              </w:rPr>
            </w:pPr>
            <w:r w:rsidRPr="00095EB4">
              <w:rPr>
                <w:sz w:val="16"/>
              </w:rPr>
              <w:t>–</w:t>
            </w:r>
          </w:p>
        </w:tc>
        <w:tc>
          <w:tcPr>
            <w:tcW w:w="721" w:type="dxa"/>
            <w:tcBorders>
              <w:top w:val="single" w:sz="4" w:space="0" w:color="A6A6A6" w:themeColor="background1" w:themeShade="A6"/>
              <w:bottom w:val="single" w:sz="4" w:space="0" w:color="A6A6A6" w:themeColor="background1" w:themeShade="A6"/>
            </w:tcBorders>
            <w:noWrap/>
            <w:hideMark/>
          </w:tcPr>
          <w:p w14:paraId="3CF3F594" w14:textId="77777777" w:rsidR="00CE75D4" w:rsidRPr="00095EB4" w:rsidRDefault="00CE75D4" w:rsidP="008340C1">
            <w:pPr>
              <w:pStyle w:val="ARfintablebodyright"/>
              <w:spacing w:before="10" w:after="10" w:line="228" w:lineRule="auto"/>
              <w:rPr>
                <w:sz w:val="16"/>
              </w:rPr>
            </w:pPr>
            <w:r w:rsidRPr="00095EB4">
              <w:rPr>
                <w:sz w:val="16"/>
              </w:rPr>
              <w:t>–</w:t>
            </w:r>
          </w:p>
        </w:tc>
        <w:tc>
          <w:tcPr>
            <w:tcW w:w="882" w:type="dxa"/>
            <w:tcBorders>
              <w:top w:val="single" w:sz="4" w:space="0" w:color="A6A6A6" w:themeColor="background1" w:themeShade="A6"/>
              <w:bottom w:val="single" w:sz="4" w:space="0" w:color="A6A6A6" w:themeColor="background1" w:themeShade="A6"/>
            </w:tcBorders>
            <w:noWrap/>
            <w:hideMark/>
          </w:tcPr>
          <w:p w14:paraId="7620FE7D" w14:textId="77777777" w:rsidR="00CE75D4" w:rsidRPr="00095EB4" w:rsidRDefault="00CE75D4" w:rsidP="008340C1">
            <w:pPr>
              <w:pStyle w:val="ARfintablebodyright"/>
              <w:spacing w:before="10" w:after="10" w:line="228" w:lineRule="auto"/>
              <w:rPr>
                <w:sz w:val="16"/>
              </w:rPr>
            </w:pPr>
            <w:r w:rsidRPr="00095EB4">
              <w:rPr>
                <w:sz w:val="16"/>
              </w:rPr>
              <w:t>611.0</w:t>
            </w:r>
          </w:p>
        </w:tc>
        <w:tc>
          <w:tcPr>
            <w:tcW w:w="654" w:type="dxa"/>
            <w:tcBorders>
              <w:top w:val="single" w:sz="4" w:space="0" w:color="A6A6A6" w:themeColor="background1" w:themeShade="A6"/>
              <w:bottom w:val="single" w:sz="4" w:space="0" w:color="A6A6A6" w:themeColor="background1" w:themeShade="A6"/>
            </w:tcBorders>
            <w:noWrap/>
            <w:hideMark/>
          </w:tcPr>
          <w:p w14:paraId="6ACFE570" w14:textId="77777777" w:rsidR="00CE75D4" w:rsidRPr="00095EB4" w:rsidRDefault="00CE75D4" w:rsidP="008340C1">
            <w:pPr>
              <w:pStyle w:val="ARfintablebodyright"/>
              <w:spacing w:before="10" w:after="10" w:line="228" w:lineRule="auto"/>
              <w:rPr>
                <w:sz w:val="16"/>
              </w:rPr>
            </w:pPr>
            <w:r w:rsidRPr="00095EB4">
              <w:rPr>
                <w:sz w:val="16"/>
              </w:rPr>
              <w:t>7.1</w:t>
            </w:r>
          </w:p>
        </w:tc>
        <w:tc>
          <w:tcPr>
            <w:tcW w:w="654" w:type="dxa"/>
            <w:tcBorders>
              <w:top w:val="single" w:sz="4" w:space="0" w:color="A6A6A6" w:themeColor="background1" w:themeShade="A6"/>
              <w:bottom w:val="single" w:sz="4" w:space="0" w:color="A6A6A6" w:themeColor="background1" w:themeShade="A6"/>
            </w:tcBorders>
            <w:noWrap/>
            <w:hideMark/>
          </w:tcPr>
          <w:p w14:paraId="44A1E669" w14:textId="77777777" w:rsidR="00CE75D4" w:rsidRPr="00095EB4" w:rsidRDefault="00CE75D4" w:rsidP="008340C1">
            <w:pPr>
              <w:pStyle w:val="ARfintablebodyright"/>
              <w:spacing w:before="10" w:after="10" w:line="228" w:lineRule="auto"/>
              <w:rPr>
                <w:sz w:val="16"/>
              </w:rPr>
            </w:pPr>
            <w:r w:rsidRPr="00095EB4">
              <w:rPr>
                <w:sz w:val="16"/>
              </w:rPr>
              <w:t>0.3</w:t>
            </w:r>
          </w:p>
        </w:tc>
        <w:tc>
          <w:tcPr>
            <w:tcW w:w="654" w:type="dxa"/>
            <w:tcBorders>
              <w:top w:val="single" w:sz="4" w:space="0" w:color="A6A6A6" w:themeColor="background1" w:themeShade="A6"/>
              <w:bottom w:val="single" w:sz="4" w:space="0" w:color="A6A6A6" w:themeColor="background1" w:themeShade="A6"/>
            </w:tcBorders>
            <w:noWrap/>
            <w:hideMark/>
          </w:tcPr>
          <w:p w14:paraId="12111334"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341A6930"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74423239"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2A8DA21B" w14:textId="77777777" w:rsidR="00CE75D4" w:rsidRPr="00095EB4" w:rsidRDefault="00CE75D4" w:rsidP="008340C1">
            <w:pPr>
              <w:pStyle w:val="ARfintablebodyright"/>
              <w:spacing w:before="10" w:after="10" w:line="228" w:lineRule="auto"/>
              <w:rPr>
                <w:sz w:val="16"/>
              </w:rPr>
            </w:pPr>
            <w:r w:rsidRPr="00095EB4">
              <w:rPr>
                <w:sz w:val="16"/>
              </w:rPr>
              <w:t>–</w:t>
            </w:r>
          </w:p>
        </w:tc>
        <w:tc>
          <w:tcPr>
            <w:tcW w:w="833" w:type="dxa"/>
            <w:tcBorders>
              <w:top w:val="single" w:sz="4" w:space="0" w:color="A6A6A6" w:themeColor="background1" w:themeShade="A6"/>
              <w:bottom w:val="single" w:sz="4" w:space="0" w:color="A6A6A6" w:themeColor="background1" w:themeShade="A6"/>
            </w:tcBorders>
            <w:noWrap/>
            <w:hideMark/>
          </w:tcPr>
          <w:p w14:paraId="1690A0C8" w14:textId="77777777" w:rsidR="00CE75D4" w:rsidRPr="00095EB4" w:rsidRDefault="00CE75D4" w:rsidP="008340C1">
            <w:pPr>
              <w:pStyle w:val="ARfintablebodyright"/>
              <w:spacing w:before="10" w:after="10" w:line="228" w:lineRule="auto"/>
              <w:rPr>
                <w:sz w:val="16"/>
              </w:rPr>
            </w:pPr>
            <w:r w:rsidRPr="00095EB4">
              <w:rPr>
                <w:sz w:val="16"/>
              </w:rPr>
              <w:t>755.8</w:t>
            </w:r>
          </w:p>
        </w:tc>
      </w:tr>
      <w:tr w:rsidR="00CE75D4" w:rsidRPr="00147B66" w14:paraId="1335AA58" w14:textId="77777777" w:rsidTr="3D493511">
        <w:tc>
          <w:tcPr>
            <w:tcW w:w="3334" w:type="dxa"/>
            <w:tcBorders>
              <w:top w:val="single" w:sz="4" w:space="0" w:color="A6A6A6" w:themeColor="background1" w:themeShade="A6"/>
              <w:bottom w:val="single" w:sz="4" w:space="0" w:color="A6A6A6" w:themeColor="background1" w:themeShade="A6"/>
            </w:tcBorders>
            <w:hideMark/>
          </w:tcPr>
          <w:p w14:paraId="2C802942" w14:textId="77777777" w:rsidR="00CE75D4" w:rsidRPr="00095EB4" w:rsidRDefault="00CE75D4" w:rsidP="008340C1">
            <w:pPr>
              <w:pStyle w:val="ARfintablebody"/>
              <w:spacing w:before="10" w:after="10" w:line="228" w:lineRule="auto"/>
              <w:rPr>
                <w:sz w:val="16"/>
              </w:rPr>
            </w:pPr>
            <w:r w:rsidRPr="00095EB4">
              <w:rPr>
                <w:sz w:val="16"/>
              </w:rPr>
              <w:t>Other</w:t>
            </w:r>
          </w:p>
        </w:tc>
        <w:tc>
          <w:tcPr>
            <w:tcW w:w="835" w:type="dxa"/>
            <w:tcBorders>
              <w:top w:val="single" w:sz="4" w:space="0" w:color="A6A6A6" w:themeColor="background1" w:themeShade="A6"/>
              <w:bottom w:val="single" w:sz="4" w:space="0" w:color="A6A6A6" w:themeColor="background1" w:themeShade="A6"/>
            </w:tcBorders>
            <w:noWrap/>
            <w:hideMark/>
          </w:tcPr>
          <w:p w14:paraId="4BBB964D" w14:textId="77777777" w:rsidR="00CE75D4" w:rsidRPr="00095EB4" w:rsidRDefault="00CE75D4" w:rsidP="008340C1">
            <w:pPr>
              <w:pStyle w:val="ARfintablebodyright"/>
              <w:spacing w:before="10" w:after="10" w:line="228" w:lineRule="auto"/>
              <w:rPr>
                <w:sz w:val="16"/>
              </w:rPr>
            </w:pPr>
            <w:r w:rsidRPr="00095EB4">
              <w:rPr>
                <w:sz w:val="16"/>
              </w:rPr>
              <w:t>8.4</w:t>
            </w:r>
          </w:p>
        </w:tc>
        <w:tc>
          <w:tcPr>
            <w:tcW w:w="656" w:type="dxa"/>
            <w:tcBorders>
              <w:top w:val="single" w:sz="4" w:space="0" w:color="A6A6A6" w:themeColor="background1" w:themeShade="A6"/>
              <w:bottom w:val="single" w:sz="4" w:space="0" w:color="A6A6A6" w:themeColor="background1" w:themeShade="A6"/>
            </w:tcBorders>
            <w:noWrap/>
            <w:hideMark/>
          </w:tcPr>
          <w:p w14:paraId="7681F331" w14:textId="77777777" w:rsidR="00CE75D4" w:rsidRPr="00095EB4" w:rsidRDefault="00CE75D4" w:rsidP="008340C1">
            <w:pPr>
              <w:pStyle w:val="ARfintablebodyright"/>
              <w:spacing w:before="10" w:after="10" w:line="228" w:lineRule="auto"/>
              <w:rPr>
                <w:sz w:val="16"/>
              </w:rPr>
            </w:pPr>
            <w:r w:rsidRPr="00095EB4">
              <w:rPr>
                <w:sz w:val="16"/>
              </w:rPr>
              <w:t>8.7</w:t>
            </w:r>
          </w:p>
        </w:tc>
        <w:tc>
          <w:tcPr>
            <w:tcW w:w="656" w:type="dxa"/>
            <w:tcBorders>
              <w:top w:val="single" w:sz="4" w:space="0" w:color="A6A6A6" w:themeColor="background1" w:themeShade="A6"/>
              <w:bottom w:val="single" w:sz="4" w:space="0" w:color="A6A6A6" w:themeColor="background1" w:themeShade="A6"/>
            </w:tcBorders>
            <w:noWrap/>
            <w:hideMark/>
          </w:tcPr>
          <w:p w14:paraId="725B9C3A"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3F855FD2"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7AB9D3C7" w14:textId="77777777" w:rsidR="00CE75D4" w:rsidRPr="00095EB4" w:rsidRDefault="00CE75D4" w:rsidP="008340C1">
            <w:pPr>
              <w:pStyle w:val="ARfintablebodyright"/>
              <w:spacing w:before="10" w:after="10" w:line="228" w:lineRule="auto"/>
              <w:rPr>
                <w:sz w:val="16"/>
              </w:rPr>
            </w:pPr>
            <w:r w:rsidRPr="00095EB4">
              <w:rPr>
                <w:sz w:val="16"/>
              </w:rPr>
              <w:t>0.4</w:t>
            </w:r>
          </w:p>
        </w:tc>
        <w:tc>
          <w:tcPr>
            <w:tcW w:w="654" w:type="dxa"/>
            <w:tcBorders>
              <w:top w:val="single" w:sz="4" w:space="0" w:color="A6A6A6" w:themeColor="background1" w:themeShade="A6"/>
              <w:bottom w:val="single" w:sz="4" w:space="0" w:color="A6A6A6" w:themeColor="background1" w:themeShade="A6"/>
            </w:tcBorders>
            <w:noWrap/>
            <w:hideMark/>
          </w:tcPr>
          <w:p w14:paraId="45FE66FD"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4BC1CEC0" w14:textId="77777777" w:rsidR="00CE75D4" w:rsidRPr="00095EB4" w:rsidRDefault="00CE75D4" w:rsidP="008340C1">
            <w:pPr>
              <w:pStyle w:val="ARfintablebodyright"/>
              <w:spacing w:before="10" w:after="10" w:line="228" w:lineRule="auto"/>
              <w:rPr>
                <w:sz w:val="16"/>
              </w:rPr>
            </w:pPr>
            <w:r w:rsidRPr="00095EB4">
              <w:rPr>
                <w:sz w:val="16"/>
              </w:rPr>
              <w:t>0.1</w:t>
            </w:r>
          </w:p>
        </w:tc>
        <w:tc>
          <w:tcPr>
            <w:tcW w:w="721" w:type="dxa"/>
            <w:tcBorders>
              <w:top w:val="single" w:sz="4" w:space="0" w:color="A6A6A6" w:themeColor="background1" w:themeShade="A6"/>
              <w:bottom w:val="single" w:sz="4" w:space="0" w:color="A6A6A6" w:themeColor="background1" w:themeShade="A6"/>
            </w:tcBorders>
            <w:noWrap/>
            <w:hideMark/>
          </w:tcPr>
          <w:p w14:paraId="65258998" w14:textId="77777777" w:rsidR="00CE75D4" w:rsidRPr="00095EB4" w:rsidRDefault="00CE75D4" w:rsidP="008340C1">
            <w:pPr>
              <w:pStyle w:val="ARfintablebodyright"/>
              <w:spacing w:before="10" w:after="10" w:line="228" w:lineRule="auto"/>
              <w:rPr>
                <w:sz w:val="16"/>
              </w:rPr>
            </w:pPr>
            <w:r w:rsidRPr="00095EB4">
              <w:rPr>
                <w:sz w:val="16"/>
              </w:rPr>
              <w:t>–</w:t>
            </w:r>
          </w:p>
        </w:tc>
        <w:tc>
          <w:tcPr>
            <w:tcW w:w="882" w:type="dxa"/>
            <w:tcBorders>
              <w:top w:val="single" w:sz="4" w:space="0" w:color="A6A6A6" w:themeColor="background1" w:themeShade="A6"/>
              <w:bottom w:val="single" w:sz="4" w:space="0" w:color="A6A6A6" w:themeColor="background1" w:themeShade="A6"/>
            </w:tcBorders>
            <w:noWrap/>
            <w:hideMark/>
          </w:tcPr>
          <w:p w14:paraId="6C1C70FF" w14:textId="77777777" w:rsidR="00CE75D4" w:rsidRPr="00095EB4" w:rsidRDefault="00CE75D4" w:rsidP="008340C1">
            <w:pPr>
              <w:pStyle w:val="ARfintablebodyright"/>
              <w:spacing w:before="10" w:after="10" w:line="228" w:lineRule="auto"/>
              <w:rPr>
                <w:sz w:val="16"/>
              </w:rPr>
            </w:pPr>
            <w:r w:rsidRPr="00095EB4">
              <w:rPr>
                <w:sz w:val="16"/>
              </w:rPr>
              <w:t>0.1</w:t>
            </w:r>
          </w:p>
        </w:tc>
        <w:tc>
          <w:tcPr>
            <w:tcW w:w="654" w:type="dxa"/>
            <w:tcBorders>
              <w:top w:val="single" w:sz="4" w:space="0" w:color="A6A6A6" w:themeColor="background1" w:themeShade="A6"/>
              <w:bottom w:val="single" w:sz="4" w:space="0" w:color="A6A6A6" w:themeColor="background1" w:themeShade="A6"/>
            </w:tcBorders>
            <w:noWrap/>
            <w:hideMark/>
          </w:tcPr>
          <w:p w14:paraId="1A27CC3E" w14:textId="77777777" w:rsidR="00CE75D4" w:rsidRPr="00095EB4" w:rsidRDefault="00CE75D4" w:rsidP="008340C1">
            <w:pPr>
              <w:pStyle w:val="ARfintablebodyright"/>
              <w:spacing w:before="10" w:after="10" w:line="228" w:lineRule="auto"/>
              <w:rPr>
                <w:sz w:val="16"/>
              </w:rPr>
            </w:pPr>
            <w:r w:rsidRPr="00095EB4">
              <w:rPr>
                <w:sz w:val="16"/>
              </w:rPr>
              <w:t>15.1</w:t>
            </w:r>
          </w:p>
        </w:tc>
        <w:tc>
          <w:tcPr>
            <w:tcW w:w="654" w:type="dxa"/>
            <w:tcBorders>
              <w:top w:val="single" w:sz="4" w:space="0" w:color="A6A6A6" w:themeColor="background1" w:themeShade="A6"/>
              <w:bottom w:val="single" w:sz="4" w:space="0" w:color="A6A6A6" w:themeColor="background1" w:themeShade="A6"/>
            </w:tcBorders>
            <w:noWrap/>
            <w:hideMark/>
          </w:tcPr>
          <w:p w14:paraId="03D325B1"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5659AF7F"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49AE7DD1" w14:textId="77777777" w:rsidR="00CE75D4" w:rsidRPr="00095EB4" w:rsidRDefault="00CE75D4" w:rsidP="008340C1">
            <w:pPr>
              <w:pStyle w:val="ARfintablebodyright"/>
              <w:spacing w:before="10" w:after="10" w:line="228" w:lineRule="auto"/>
              <w:rPr>
                <w:sz w:val="16"/>
              </w:rPr>
            </w:pPr>
            <w:r w:rsidRPr="00095EB4">
              <w:rPr>
                <w:sz w:val="16"/>
              </w:rPr>
              <w:t>4.0</w:t>
            </w:r>
          </w:p>
        </w:tc>
        <w:tc>
          <w:tcPr>
            <w:tcW w:w="654" w:type="dxa"/>
            <w:tcBorders>
              <w:top w:val="single" w:sz="4" w:space="0" w:color="A6A6A6" w:themeColor="background1" w:themeShade="A6"/>
              <w:bottom w:val="single" w:sz="4" w:space="0" w:color="A6A6A6" w:themeColor="background1" w:themeShade="A6"/>
            </w:tcBorders>
            <w:noWrap/>
            <w:hideMark/>
          </w:tcPr>
          <w:p w14:paraId="461D9D3B"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7925C642" w14:textId="77777777" w:rsidR="00CE75D4" w:rsidRPr="00095EB4" w:rsidRDefault="00CE75D4" w:rsidP="008340C1">
            <w:pPr>
              <w:pStyle w:val="ARfintablebodyright"/>
              <w:spacing w:before="10" w:after="10" w:line="228" w:lineRule="auto"/>
              <w:rPr>
                <w:sz w:val="16"/>
              </w:rPr>
            </w:pPr>
            <w:r w:rsidRPr="00095EB4">
              <w:rPr>
                <w:sz w:val="16"/>
              </w:rPr>
              <w:t>–</w:t>
            </w:r>
          </w:p>
        </w:tc>
        <w:tc>
          <w:tcPr>
            <w:tcW w:w="833" w:type="dxa"/>
            <w:tcBorders>
              <w:top w:val="single" w:sz="4" w:space="0" w:color="A6A6A6" w:themeColor="background1" w:themeShade="A6"/>
              <w:bottom w:val="single" w:sz="4" w:space="0" w:color="A6A6A6" w:themeColor="background1" w:themeShade="A6"/>
            </w:tcBorders>
            <w:noWrap/>
            <w:hideMark/>
          </w:tcPr>
          <w:p w14:paraId="3933CC69" w14:textId="77777777" w:rsidR="00CE75D4" w:rsidRPr="00095EB4" w:rsidRDefault="00CE75D4" w:rsidP="008340C1">
            <w:pPr>
              <w:pStyle w:val="ARfintablebodyright"/>
              <w:spacing w:before="10" w:after="10" w:line="228" w:lineRule="auto"/>
              <w:rPr>
                <w:sz w:val="16"/>
              </w:rPr>
            </w:pPr>
            <w:r w:rsidRPr="00095EB4">
              <w:rPr>
                <w:sz w:val="16"/>
              </w:rPr>
              <w:t>36.8</w:t>
            </w:r>
          </w:p>
        </w:tc>
      </w:tr>
      <w:tr w:rsidR="00CE75D4" w:rsidRPr="00147B66" w14:paraId="2EF50D2C" w14:textId="77777777" w:rsidTr="3D493511">
        <w:tc>
          <w:tcPr>
            <w:tcW w:w="3334" w:type="dxa"/>
            <w:tcBorders>
              <w:top w:val="single" w:sz="4" w:space="0" w:color="A6A6A6" w:themeColor="background1" w:themeShade="A6"/>
            </w:tcBorders>
            <w:hideMark/>
          </w:tcPr>
          <w:p w14:paraId="0CD4AF6A" w14:textId="77777777" w:rsidR="00CE75D4" w:rsidRPr="00095EB4" w:rsidRDefault="00CE75D4" w:rsidP="008340C1">
            <w:pPr>
              <w:pStyle w:val="ARfintablebody"/>
              <w:spacing w:before="10" w:after="10" w:line="228" w:lineRule="auto"/>
              <w:rPr>
                <w:sz w:val="16"/>
              </w:rPr>
            </w:pPr>
            <w:r w:rsidRPr="00095EB4">
              <w:rPr>
                <w:sz w:val="16"/>
              </w:rPr>
              <w:t>Fair value of assets and services received free of charge or for nominal consideration</w:t>
            </w:r>
          </w:p>
        </w:tc>
        <w:tc>
          <w:tcPr>
            <w:tcW w:w="835" w:type="dxa"/>
            <w:tcBorders>
              <w:top w:val="single" w:sz="4" w:space="0" w:color="A6A6A6" w:themeColor="background1" w:themeShade="A6"/>
            </w:tcBorders>
            <w:noWrap/>
            <w:hideMark/>
          </w:tcPr>
          <w:p w14:paraId="565A26E2"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tcBorders>
            <w:noWrap/>
            <w:hideMark/>
          </w:tcPr>
          <w:p w14:paraId="5B92A0D7"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tcBorders>
            <w:noWrap/>
            <w:hideMark/>
          </w:tcPr>
          <w:p w14:paraId="233131CC"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tcBorders>
            <w:noWrap/>
            <w:hideMark/>
          </w:tcPr>
          <w:p w14:paraId="315022D9"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tcBorders>
            <w:noWrap/>
            <w:hideMark/>
          </w:tcPr>
          <w:p w14:paraId="6A559A19"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7105A4EB"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0094C489" w14:textId="77777777" w:rsidR="00CE75D4" w:rsidRPr="00095EB4" w:rsidRDefault="00CE75D4" w:rsidP="008340C1">
            <w:pPr>
              <w:pStyle w:val="ARfintablebodyright"/>
              <w:spacing w:before="10" w:after="10" w:line="228" w:lineRule="auto"/>
              <w:rPr>
                <w:sz w:val="16"/>
              </w:rPr>
            </w:pPr>
            <w:r w:rsidRPr="00095EB4">
              <w:rPr>
                <w:sz w:val="16"/>
              </w:rPr>
              <w:t>–</w:t>
            </w:r>
          </w:p>
        </w:tc>
        <w:tc>
          <w:tcPr>
            <w:tcW w:w="721" w:type="dxa"/>
            <w:tcBorders>
              <w:top w:val="single" w:sz="4" w:space="0" w:color="A6A6A6" w:themeColor="background1" w:themeShade="A6"/>
            </w:tcBorders>
            <w:noWrap/>
            <w:hideMark/>
          </w:tcPr>
          <w:p w14:paraId="6644644E" w14:textId="77777777" w:rsidR="00CE75D4" w:rsidRPr="00095EB4" w:rsidRDefault="00CE75D4" w:rsidP="008340C1">
            <w:pPr>
              <w:pStyle w:val="ARfintablebodyright"/>
              <w:spacing w:before="10" w:after="10" w:line="228" w:lineRule="auto"/>
              <w:rPr>
                <w:sz w:val="16"/>
              </w:rPr>
            </w:pPr>
            <w:r w:rsidRPr="00095EB4">
              <w:rPr>
                <w:sz w:val="16"/>
              </w:rPr>
              <w:t>–</w:t>
            </w:r>
          </w:p>
        </w:tc>
        <w:tc>
          <w:tcPr>
            <w:tcW w:w="882" w:type="dxa"/>
            <w:tcBorders>
              <w:top w:val="single" w:sz="4" w:space="0" w:color="A6A6A6" w:themeColor="background1" w:themeShade="A6"/>
            </w:tcBorders>
            <w:noWrap/>
            <w:hideMark/>
          </w:tcPr>
          <w:p w14:paraId="68C8E870" w14:textId="77777777" w:rsidR="00CE75D4" w:rsidRPr="00095EB4" w:rsidRDefault="00CE75D4" w:rsidP="008340C1">
            <w:pPr>
              <w:pStyle w:val="ARfintablebodyright"/>
              <w:spacing w:before="10" w:after="10" w:line="228" w:lineRule="auto"/>
              <w:rPr>
                <w:sz w:val="16"/>
              </w:rPr>
            </w:pPr>
            <w:r w:rsidRPr="00095EB4">
              <w:rPr>
                <w:sz w:val="16"/>
              </w:rPr>
              <w:t>3.2</w:t>
            </w:r>
          </w:p>
        </w:tc>
        <w:tc>
          <w:tcPr>
            <w:tcW w:w="654" w:type="dxa"/>
            <w:tcBorders>
              <w:top w:val="single" w:sz="4" w:space="0" w:color="A6A6A6" w:themeColor="background1" w:themeShade="A6"/>
            </w:tcBorders>
            <w:noWrap/>
            <w:hideMark/>
          </w:tcPr>
          <w:p w14:paraId="7E8A0FC3"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118BAE71"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36AFEF9B" w14:textId="77777777" w:rsidR="00CE75D4" w:rsidRPr="00095EB4" w:rsidRDefault="00CE75D4" w:rsidP="008340C1">
            <w:pPr>
              <w:pStyle w:val="ARfintablebodyright"/>
              <w:spacing w:before="10" w:after="10" w:line="228" w:lineRule="auto"/>
              <w:rPr>
                <w:sz w:val="16"/>
              </w:rPr>
            </w:pPr>
            <w:r w:rsidRPr="00095EB4">
              <w:rPr>
                <w:sz w:val="16"/>
              </w:rPr>
              <w:t>0.1</w:t>
            </w:r>
          </w:p>
        </w:tc>
        <w:tc>
          <w:tcPr>
            <w:tcW w:w="654" w:type="dxa"/>
            <w:tcBorders>
              <w:top w:val="single" w:sz="4" w:space="0" w:color="A6A6A6" w:themeColor="background1" w:themeShade="A6"/>
            </w:tcBorders>
            <w:noWrap/>
            <w:hideMark/>
          </w:tcPr>
          <w:p w14:paraId="1687DCE3"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7531A031"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0BDB6CB1" w14:textId="77777777" w:rsidR="00CE75D4" w:rsidRPr="00095EB4" w:rsidRDefault="00CE75D4" w:rsidP="008340C1">
            <w:pPr>
              <w:pStyle w:val="ARfintablebodyright"/>
              <w:spacing w:before="10" w:after="10" w:line="228" w:lineRule="auto"/>
              <w:rPr>
                <w:sz w:val="16"/>
              </w:rPr>
            </w:pPr>
            <w:r w:rsidRPr="00095EB4">
              <w:rPr>
                <w:sz w:val="16"/>
              </w:rPr>
              <w:t>–</w:t>
            </w:r>
          </w:p>
        </w:tc>
        <w:tc>
          <w:tcPr>
            <w:tcW w:w="833" w:type="dxa"/>
            <w:tcBorders>
              <w:top w:val="single" w:sz="4" w:space="0" w:color="A6A6A6" w:themeColor="background1" w:themeShade="A6"/>
            </w:tcBorders>
            <w:noWrap/>
            <w:hideMark/>
          </w:tcPr>
          <w:p w14:paraId="7BE5838F" w14:textId="77777777" w:rsidR="00CE75D4" w:rsidRPr="00095EB4" w:rsidRDefault="00CE75D4" w:rsidP="008340C1">
            <w:pPr>
              <w:pStyle w:val="ARfintablebodyright"/>
              <w:spacing w:before="10" w:after="10" w:line="228" w:lineRule="auto"/>
              <w:rPr>
                <w:sz w:val="16"/>
              </w:rPr>
            </w:pPr>
            <w:r w:rsidRPr="00095EB4">
              <w:rPr>
                <w:sz w:val="16"/>
              </w:rPr>
              <w:t>3.3</w:t>
            </w:r>
          </w:p>
        </w:tc>
      </w:tr>
      <w:tr w:rsidR="00CE75D4" w:rsidRPr="00147B66" w14:paraId="7586C484" w14:textId="77777777" w:rsidTr="00130D1C">
        <w:tc>
          <w:tcPr>
            <w:tcW w:w="3334" w:type="dxa"/>
            <w:tcBorders>
              <w:bottom w:val="single" w:sz="4" w:space="0" w:color="auto"/>
            </w:tcBorders>
            <w:hideMark/>
          </w:tcPr>
          <w:p w14:paraId="0A070D01" w14:textId="77777777" w:rsidR="00CE75D4" w:rsidRPr="00095EB4" w:rsidRDefault="00CE75D4" w:rsidP="008340C1">
            <w:pPr>
              <w:pStyle w:val="ARfintablebodybold"/>
              <w:spacing w:before="10" w:after="10" w:line="228" w:lineRule="auto"/>
              <w:rPr>
                <w:rFonts w:cs="Arial"/>
                <w:sz w:val="16"/>
              </w:rPr>
            </w:pPr>
            <w:r w:rsidRPr="00095EB4">
              <w:rPr>
                <w:rFonts w:cs="Arial"/>
                <w:sz w:val="16"/>
              </w:rPr>
              <w:t>Total administered revenue and income from transactions</w:t>
            </w:r>
          </w:p>
        </w:tc>
        <w:tc>
          <w:tcPr>
            <w:tcW w:w="835" w:type="dxa"/>
            <w:tcBorders>
              <w:bottom w:val="single" w:sz="4" w:space="0" w:color="auto"/>
            </w:tcBorders>
            <w:noWrap/>
            <w:hideMark/>
          </w:tcPr>
          <w:p w14:paraId="4B8AA5CC" w14:textId="77777777" w:rsidR="00CE75D4" w:rsidRPr="00095EB4" w:rsidRDefault="00CE75D4" w:rsidP="008340C1">
            <w:pPr>
              <w:pStyle w:val="ARfintablebodyrightbold"/>
              <w:spacing w:before="10" w:after="10" w:line="228" w:lineRule="auto"/>
              <w:rPr>
                <w:sz w:val="16"/>
              </w:rPr>
            </w:pPr>
            <w:r w:rsidRPr="00095EB4">
              <w:rPr>
                <w:sz w:val="16"/>
              </w:rPr>
              <w:t>11,738.8</w:t>
            </w:r>
          </w:p>
        </w:tc>
        <w:tc>
          <w:tcPr>
            <w:tcW w:w="656" w:type="dxa"/>
            <w:tcBorders>
              <w:bottom w:val="single" w:sz="4" w:space="0" w:color="auto"/>
            </w:tcBorders>
            <w:noWrap/>
            <w:hideMark/>
          </w:tcPr>
          <w:p w14:paraId="2107530F" w14:textId="77777777" w:rsidR="00CE75D4" w:rsidRPr="00095EB4" w:rsidRDefault="00CE75D4" w:rsidP="008340C1">
            <w:pPr>
              <w:pStyle w:val="ARfintablebodyrightbold"/>
              <w:spacing w:before="10" w:after="10" w:line="228" w:lineRule="auto"/>
              <w:rPr>
                <w:sz w:val="16"/>
              </w:rPr>
            </w:pPr>
            <w:r w:rsidRPr="00095EB4">
              <w:rPr>
                <w:sz w:val="16"/>
              </w:rPr>
              <w:t>8.7</w:t>
            </w:r>
          </w:p>
        </w:tc>
        <w:tc>
          <w:tcPr>
            <w:tcW w:w="656" w:type="dxa"/>
            <w:tcBorders>
              <w:bottom w:val="single" w:sz="4" w:space="0" w:color="auto"/>
            </w:tcBorders>
            <w:noWrap/>
            <w:hideMark/>
          </w:tcPr>
          <w:p w14:paraId="310A3905" w14:textId="77777777" w:rsidR="00CE75D4" w:rsidRPr="00095EB4" w:rsidRDefault="00CE75D4" w:rsidP="008340C1">
            <w:pPr>
              <w:pStyle w:val="ARfintablebodyrightbold"/>
              <w:spacing w:before="10" w:after="10" w:line="228" w:lineRule="auto"/>
              <w:rPr>
                <w:sz w:val="16"/>
              </w:rPr>
            </w:pPr>
            <w:r w:rsidRPr="00095EB4">
              <w:rPr>
                <w:sz w:val="16"/>
              </w:rPr>
              <w:t>880.9</w:t>
            </w:r>
          </w:p>
        </w:tc>
        <w:tc>
          <w:tcPr>
            <w:tcW w:w="655" w:type="dxa"/>
            <w:tcBorders>
              <w:bottom w:val="single" w:sz="4" w:space="0" w:color="auto"/>
            </w:tcBorders>
            <w:noWrap/>
            <w:hideMark/>
          </w:tcPr>
          <w:p w14:paraId="703A5519" w14:textId="77777777" w:rsidR="00CE75D4" w:rsidRPr="00095EB4" w:rsidRDefault="00CE75D4" w:rsidP="008340C1">
            <w:pPr>
              <w:pStyle w:val="ARfintablebodyrightbold"/>
              <w:spacing w:before="10" w:after="10" w:line="228" w:lineRule="auto"/>
              <w:rPr>
                <w:sz w:val="16"/>
              </w:rPr>
            </w:pPr>
            <w:r w:rsidRPr="00095EB4">
              <w:rPr>
                <w:sz w:val="16"/>
              </w:rPr>
              <w:t>116.8</w:t>
            </w:r>
          </w:p>
        </w:tc>
        <w:tc>
          <w:tcPr>
            <w:tcW w:w="655" w:type="dxa"/>
            <w:tcBorders>
              <w:bottom w:val="single" w:sz="4" w:space="0" w:color="auto"/>
            </w:tcBorders>
            <w:noWrap/>
            <w:hideMark/>
          </w:tcPr>
          <w:p w14:paraId="08DF8996" w14:textId="77777777" w:rsidR="00CE75D4" w:rsidRPr="00095EB4" w:rsidRDefault="00CE75D4" w:rsidP="008340C1">
            <w:pPr>
              <w:pStyle w:val="ARfintablebodyrightbold"/>
              <w:spacing w:before="10" w:after="10" w:line="228" w:lineRule="auto"/>
              <w:rPr>
                <w:sz w:val="16"/>
              </w:rPr>
            </w:pPr>
            <w:r w:rsidRPr="00095EB4">
              <w:rPr>
                <w:sz w:val="16"/>
              </w:rPr>
              <w:t>4.5</w:t>
            </w:r>
          </w:p>
        </w:tc>
        <w:tc>
          <w:tcPr>
            <w:tcW w:w="654" w:type="dxa"/>
            <w:tcBorders>
              <w:bottom w:val="single" w:sz="4" w:space="0" w:color="auto"/>
            </w:tcBorders>
            <w:noWrap/>
            <w:hideMark/>
          </w:tcPr>
          <w:p w14:paraId="02ADE962" w14:textId="77777777" w:rsidR="00CE75D4" w:rsidRPr="00095EB4" w:rsidRDefault="00CE75D4" w:rsidP="008340C1">
            <w:pPr>
              <w:pStyle w:val="ARfintablebodyrightbold"/>
              <w:spacing w:before="10" w:after="10" w:line="228" w:lineRule="auto"/>
              <w:rPr>
                <w:sz w:val="16"/>
              </w:rPr>
            </w:pPr>
            <w:r w:rsidRPr="00095EB4">
              <w:rPr>
                <w:sz w:val="16"/>
              </w:rPr>
              <w:t>133.9</w:t>
            </w:r>
          </w:p>
        </w:tc>
        <w:tc>
          <w:tcPr>
            <w:tcW w:w="654" w:type="dxa"/>
            <w:tcBorders>
              <w:bottom w:val="single" w:sz="4" w:space="0" w:color="auto"/>
            </w:tcBorders>
            <w:noWrap/>
            <w:hideMark/>
          </w:tcPr>
          <w:p w14:paraId="64DEF651" w14:textId="77777777" w:rsidR="00CE75D4" w:rsidRPr="00095EB4" w:rsidRDefault="00CE75D4" w:rsidP="008340C1">
            <w:pPr>
              <w:pStyle w:val="ARfintablebodyrightbold"/>
              <w:spacing w:before="10" w:after="10" w:line="228" w:lineRule="auto"/>
              <w:rPr>
                <w:sz w:val="16"/>
              </w:rPr>
            </w:pPr>
            <w:r w:rsidRPr="00095EB4">
              <w:rPr>
                <w:sz w:val="16"/>
              </w:rPr>
              <w:t>131.3</w:t>
            </w:r>
          </w:p>
        </w:tc>
        <w:tc>
          <w:tcPr>
            <w:tcW w:w="721" w:type="dxa"/>
            <w:tcBorders>
              <w:bottom w:val="single" w:sz="4" w:space="0" w:color="auto"/>
            </w:tcBorders>
            <w:noWrap/>
            <w:hideMark/>
          </w:tcPr>
          <w:p w14:paraId="589C7797" w14:textId="77777777" w:rsidR="00CE75D4" w:rsidRPr="00095EB4" w:rsidRDefault="00CE75D4" w:rsidP="008340C1">
            <w:pPr>
              <w:pStyle w:val="ARfintablebodyrightbold"/>
              <w:spacing w:before="10" w:after="10" w:line="228" w:lineRule="auto"/>
              <w:rPr>
                <w:sz w:val="16"/>
              </w:rPr>
            </w:pPr>
            <w:r w:rsidRPr="00095EB4">
              <w:rPr>
                <w:sz w:val="16"/>
              </w:rPr>
              <w:t>14.9</w:t>
            </w:r>
          </w:p>
        </w:tc>
        <w:tc>
          <w:tcPr>
            <w:tcW w:w="882" w:type="dxa"/>
            <w:tcBorders>
              <w:bottom w:val="single" w:sz="4" w:space="0" w:color="auto"/>
            </w:tcBorders>
            <w:noWrap/>
            <w:hideMark/>
          </w:tcPr>
          <w:p w14:paraId="05A4B77F" w14:textId="77777777" w:rsidR="00CE75D4" w:rsidRPr="00095EB4" w:rsidRDefault="00CE75D4" w:rsidP="008340C1">
            <w:pPr>
              <w:pStyle w:val="ARfintablebodyrightbold"/>
              <w:spacing w:before="10" w:after="10" w:line="228" w:lineRule="auto"/>
              <w:rPr>
                <w:sz w:val="16"/>
              </w:rPr>
            </w:pPr>
            <w:r w:rsidRPr="00095EB4">
              <w:rPr>
                <w:sz w:val="16"/>
              </w:rPr>
              <w:t>1,941.8</w:t>
            </w:r>
          </w:p>
        </w:tc>
        <w:tc>
          <w:tcPr>
            <w:tcW w:w="654" w:type="dxa"/>
            <w:tcBorders>
              <w:bottom w:val="single" w:sz="4" w:space="0" w:color="auto"/>
            </w:tcBorders>
            <w:noWrap/>
            <w:hideMark/>
          </w:tcPr>
          <w:p w14:paraId="1B203C3C" w14:textId="77777777" w:rsidR="00CE75D4" w:rsidRPr="00095EB4" w:rsidRDefault="00CE75D4" w:rsidP="008340C1">
            <w:pPr>
              <w:pStyle w:val="ARfintablebodyrightbold"/>
              <w:spacing w:before="10" w:after="10" w:line="228" w:lineRule="auto"/>
              <w:rPr>
                <w:sz w:val="16"/>
              </w:rPr>
            </w:pPr>
            <w:r w:rsidRPr="00095EB4">
              <w:rPr>
                <w:sz w:val="16"/>
              </w:rPr>
              <w:t>23.3</w:t>
            </w:r>
          </w:p>
        </w:tc>
        <w:tc>
          <w:tcPr>
            <w:tcW w:w="654" w:type="dxa"/>
            <w:tcBorders>
              <w:bottom w:val="single" w:sz="4" w:space="0" w:color="auto"/>
            </w:tcBorders>
            <w:noWrap/>
            <w:hideMark/>
          </w:tcPr>
          <w:p w14:paraId="3EB38D02" w14:textId="77777777" w:rsidR="00CE75D4" w:rsidRPr="00095EB4" w:rsidRDefault="00CE75D4" w:rsidP="008340C1">
            <w:pPr>
              <w:pStyle w:val="ARfintablebodyrightbold"/>
              <w:spacing w:before="10" w:after="10" w:line="228" w:lineRule="auto"/>
              <w:rPr>
                <w:sz w:val="16"/>
              </w:rPr>
            </w:pPr>
            <w:r w:rsidRPr="00095EB4">
              <w:rPr>
                <w:sz w:val="16"/>
              </w:rPr>
              <w:t>0.3</w:t>
            </w:r>
          </w:p>
        </w:tc>
        <w:tc>
          <w:tcPr>
            <w:tcW w:w="654" w:type="dxa"/>
            <w:tcBorders>
              <w:bottom w:val="single" w:sz="4" w:space="0" w:color="auto"/>
            </w:tcBorders>
            <w:noWrap/>
            <w:hideMark/>
          </w:tcPr>
          <w:p w14:paraId="09355CF2" w14:textId="77777777" w:rsidR="00CE75D4" w:rsidRPr="00095EB4" w:rsidRDefault="00CE75D4" w:rsidP="008340C1">
            <w:pPr>
              <w:pStyle w:val="ARfintablebodyrightbold"/>
              <w:spacing w:before="10" w:after="10" w:line="228" w:lineRule="auto"/>
              <w:rPr>
                <w:sz w:val="16"/>
              </w:rPr>
            </w:pPr>
            <w:r w:rsidRPr="00095EB4">
              <w:rPr>
                <w:sz w:val="16"/>
              </w:rPr>
              <w:t>0.2</w:t>
            </w:r>
          </w:p>
        </w:tc>
        <w:tc>
          <w:tcPr>
            <w:tcW w:w="654" w:type="dxa"/>
            <w:tcBorders>
              <w:bottom w:val="single" w:sz="4" w:space="0" w:color="auto"/>
            </w:tcBorders>
            <w:noWrap/>
            <w:hideMark/>
          </w:tcPr>
          <w:p w14:paraId="5F3B73DF" w14:textId="77777777" w:rsidR="00CE75D4" w:rsidRPr="00095EB4" w:rsidRDefault="00CE75D4" w:rsidP="008340C1">
            <w:pPr>
              <w:pStyle w:val="ARfintablebodyrightbold"/>
              <w:spacing w:before="10" w:after="10" w:line="228" w:lineRule="auto"/>
              <w:rPr>
                <w:sz w:val="16"/>
              </w:rPr>
            </w:pPr>
            <w:r w:rsidRPr="00095EB4">
              <w:rPr>
                <w:sz w:val="16"/>
              </w:rPr>
              <w:t>5.1</w:t>
            </w:r>
          </w:p>
        </w:tc>
        <w:tc>
          <w:tcPr>
            <w:tcW w:w="654" w:type="dxa"/>
            <w:tcBorders>
              <w:bottom w:val="single" w:sz="4" w:space="0" w:color="auto"/>
            </w:tcBorders>
            <w:noWrap/>
            <w:hideMark/>
          </w:tcPr>
          <w:p w14:paraId="06D9288D" w14:textId="77777777" w:rsidR="00CE75D4" w:rsidRPr="00095EB4" w:rsidRDefault="00CE75D4" w:rsidP="008340C1">
            <w:pPr>
              <w:pStyle w:val="ARfintablebodyrightbold"/>
              <w:spacing w:before="10" w:after="10" w:line="228" w:lineRule="auto"/>
              <w:rPr>
                <w:sz w:val="16"/>
              </w:rPr>
            </w:pPr>
            <w:r w:rsidRPr="00095EB4">
              <w:rPr>
                <w:sz w:val="16"/>
              </w:rPr>
              <w:t>–</w:t>
            </w:r>
          </w:p>
        </w:tc>
        <w:tc>
          <w:tcPr>
            <w:tcW w:w="654" w:type="dxa"/>
            <w:tcBorders>
              <w:bottom w:val="single" w:sz="4" w:space="0" w:color="auto"/>
            </w:tcBorders>
            <w:noWrap/>
            <w:hideMark/>
          </w:tcPr>
          <w:p w14:paraId="53F56A56" w14:textId="77777777" w:rsidR="00CE75D4" w:rsidRPr="00095EB4" w:rsidRDefault="00CE75D4" w:rsidP="008340C1">
            <w:pPr>
              <w:pStyle w:val="ARfintablebodyrightbold"/>
              <w:spacing w:before="10" w:after="10" w:line="228" w:lineRule="auto"/>
              <w:rPr>
                <w:sz w:val="16"/>
              </w:rPr>
            </w:pPr>
            <w:r w:rsidRPr="00095EB4">
              <w:rPr>
                <w:sz w:val="16"/>
              </w:rPr>
              <w:t>–</w:t>
            </w:r>
          </w:p>
        </w:tc>
        <w:tc>
          <w:tcPr>
            <w:tcW w:w="833" w:type="dxa"/>
            <w:tcBorders>
              <w:bottom w:val="single" w:sz="4" w:space="0" w:color="auto"/>
            </w:tcBorders>
            <w:noWrap/>
            <w:hideMark/>
          </w:tcPr>
          <w:p w14:paraId="08FD392A" w14:textId="77777777" w:rsidR="00CE75D4" w:rsidRPr="00095EB4" w:rsidRDefault="00CE75D4" w:rsidP="008340C1">
            <w:pPr>
              <w:pStyle w:val="ARfintablebodyrightbold"/>
              <w:spacing w:before="10" w:after="10" w:line="228" w:lineRule="auto"/>
              <w:rPr>
                <w:sz w:val="16"/>
              </w:rPr>
            </w:pPr>
            <w:r w:rsidRPr="00095EB4">
              <w:rPr>
                <w:sz w:val="16"/>
              </w:rPr>
              <w:t>15,000.5</w:t>
            </w:r>
          </w:p>
        </w:tc>
      </w:tr>
      <w:tr w:rsidR="00CE75D4" w:rsidRPr="00147B66" w14:paraId="522A1EFE" w14:textId="77777777" w:rsidTr="3D493511">
        <w:tc>
          <w:tcPr>
            <w:tcW w:w="14459" w:type="dxa"/>
            <w:gridSpan w:val="17"/>
            <w:tcBorders>
              <w:top w:val="single" w:sz="4" w:space="0" w:color="auto"/>
              <w:bottom w:val="single" w:sz="4" w:space="0" w:color="A6A6A6" w:themeColor="background1" w:themeShade="A6"/>
            </w:tcBorders>
            <w:hideMark/>
          </w:tcPr>
          <w:p w14:paraId="4E2DE800" w14:textId="77777777" w:rsidR="00CE75D4" w:rsidRPr="00095EB4" w:rsidRDefault="00CE75D4" w:rsidP="008340C1">
            <w:pPr>
              <w:pStyle w:val="ARfintablebodybold"/>
              <w:spacing w:before="10" w:after="10" w:line="228" w:lineRule="auto"/>
              <w:rPr>
                <w:rFonts w:cs="Arial"/>
                <w:sz w:val="16"/>
              </w:rPr>
            </w:pPr>
            <w:r w:rsidRPr="00095EB4">
              <w:rPr>
                <w:rFonts w:cs="Arial"/>
                <w:sz w:val="16"/>
              </w:rPr>
              <w:t>Administered expenses from transactions</w:t>
            </w:r>
          </w:p>
        </w:tc>
      </w:tr>
      <w:tr w:rsidR="00CE75D4" w:rsidRPr="00147B66" w14:paraId="6E589888" w14:textId="77777777" w:rsidTr="3D493511">
        <w:tc>
          <w:tcPr>
            <w:tcW w:w="3334" w:type="dxa"/>
            <w:tcBorders>
              <w:top w:val="single" w:sz="4" w:space="0" w:color="A6A6A6" w:themeColor="background1" w:themeShade="A6"/>
              <w:bottom w:val="single" w:sz="4" w:space="0" w:color="A6A6A6" w:themeColor="background1" w:themeShade="A6"/>
            </w:tcBorders>
            <w:hideMark/>
          </w:tcPr>
          <w:p w14:paraId="34F3CBB1" w14:textId="77777777" w:rsidR="00CE75D4" w:rsidRPr="00095EB4" w:rsidRDefault="00CE75D4" w:rsidP="008340C1">
            <w:pPr>
              <w:pStyle w:val="ARfintablebody"/>
              <w:spacing w:before="10" w:after="10" w:line="228" w:lineRule="auto"/>
              <w:rPr>
                <w:sz w:val="16"/>
              </w:rPr>
            </w:pPr>
            <w:r w:rsidRPr="00095EB4">
              <w:rPr>
                <w:sz w:val="16"/>
              </w:rPr>
              <w:t>Grants and other expense transfers</w:t>
            </w:r>
          </w:p>
        </w:tc>
        <w:tc>
          <w:tcPr>
            <w:tcW w:w="835" w:type="dxa"/>
            <w:tcBorders>
              <w:top w:val="single" w:sz="4" w:space="0" w:color="A6A6A6" w:themeColor="background1" w:themeShade="A6"/>
              <w:bottom w:val="single" w:sz="4" w:space="0" w:color="A6A6A6" w:themeColor="background1" w:themeShade="A6"/>
            </w:tcBorders>
            <w:noWrap/>
            <w:hideMark/>
          </w:tcPr>
          <w:p w14:paraId="07DA21D7" w14:textId="77777777" w:rsidR="00CE75D4" w:rsidRPr="00095EB4" w:rsidRDefault="00CE75D4" w:rsidP="008340C1">
            <w:pPr>
              <w:pStyle w:val="ARfintablebodyright"/>
              <w:spacing w:before="10" w:after="10" w:line="228" w:lineRule="auto"/>
              <w:rPr>
                <w:sz w:val="16"/>
              </w:rPr>
            </w:pPr>
            <w:r w:rsidRPr="00095EB4">
              <w:rPr>
                <w:sz w:val="16"/>
              </w:rPr>
              <w:t>9,885.9</w:t>
            </w:r>
          </w:p>
        </w:tc>
        <w:tc>
          <w:tcPr>
            <w:tcW w:w="656" w:type="dxa"/>
            <w:tcBorders>
              <w:top w:val="single" w:sz="4" w:space="0" w:color="A6A6A6" w:themeColor="background1" w:themeShade="A6"/>
              <w:bottom w:val="single" w:sz="4" w:space="0" w:color="A6A6A6" w:themeColor="background1" w:themeShade="A6"/>
            </w:tcBorders>
            <w:noWrap/>
            <w:hideMark/>
          </w:tcPr>
          <w:p w14:paraId="5650F518"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bottom w:val="single" w:sz="4" w:space="0" w:color="A6A6A6" w:themeColor="background1" w:themeShade="A6"/>
            </w:tcBorders>
            <w:noWrap/>
            <w:hideMark/>
          </w:tcPr>
          <w:p w14:paraId="7AD77833" w14:textId="77777777" w:rsidR="00CE75D4" w:rsidRPr="00095EB4" w:rsidRDefault="00CE75D4" w:rsidP="008340C1">
            <w:pPr>
              <w:pStyle w:val="ARfintablebodyright"/>
              <w:spacing w:before="10" w:after="10" w:line="228" w:lineRule="auto"/>
              <w:rPr>
                <w:sz w:val="16"/>
              </w:rPr>
            </w:pPr>
            <w:r w:rsidRPr="00095EB4">
              <w:rPr>
                <w:sz w:val="16"/>
              </w:rPr>
              <w:t>449.5</w:t>
            </w:r>
          </w:p>
        </w:tc>
        <w:tc>
          <w:tcPr>
            <w:tcW w:w="655" w:type="dxa"/>
            <w:tcBorders>
              <w:top w:val="single" w:sz="4" w:space="0" w:color="A6A6A6" w:themeColor="background1" w:themeShade="A6"/>
              <w:bottom w:val="single" w:sz="4" w:space="0" w:color="A6A6A6" w:themeColor="background1" w:themeShade="A6"/>
            </w:tcBorders>
            <w:noWrap/>
            <w:hideMark/>
          </w:tcPr>
          <w:p w14:paraId="372B3E9B" w14:textId="77777777" w:rsidR="00CE75D4" w:rsidRPr="00095EB4" w:rsidRDefault="00CE75D4" w:rsidP="008340C1">
            <w:pPr>
              <w:pStyle w:val="ARfintablebodyright"/>
              <w:spacing w:before="10" w:after="10" w:line="228" w:lineRule="auto"/>
              <w:rPr>
                <w:sz w:val="16"/>
              </w:rPr>
            </w:pPr>
            <w:r w:rsidRPr="00095EB4">
              <w:rPr>
                <w:sz w:val="16"/>
              </w:rPr>
              <w:t>50.1</w:t>
            </w:r>
          </w:p>
        </w:tc>
        <w:tc>
          <w:tcPr>
            <w:tcW w:w="655" w:type="dxa"/>
            <w:tcBorders>
              <w:top w:val="single" w:sz="4" w:space="0" w:color="A6A6A6" w:themeColor="background1" w:themeShade="A6"/>
              <w:bottom w:val="single" w:sz="4" w:space="0" w:color="A6A6A6" w:themeColor="background1" w:themeShade="A6"/>
            </w:tcBorders>
            <w:noWrap/>
            <w:hideMark/>
          </w:tcPr>
          <w:p w14:paraId="110D8060"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4E02A1F7"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560C5852" w14:textId="77777777" w:rsidR="00CE75D4" w:rsidRPr="00095EB4" w:rsidRDefault="00CE75D4" w:rsidP="008340C1">
            <w:pPr>
              <w:pStyle w:val="ARfintablebodyright"/>
              <w:spacing w:before="10" w:after="10" w:line="228" w:lineRule="auto"/>
              <w:rPr>
                <w:sz w:val="16"/>
              </w:rPr>
            </w:pPr>
            <w:r w:rsidRPr="00095EB4">
              <w:rPr>
                <w:sz w:val="16"/>
              </w:rPr>
              <w:t>–</w:t>
            </w:r>
          </w:p>
        </w:tc>
        <w:tc>
          <w:tcPr>
            <w:tcW w:w="721" w:type="dxa"/>
            <w:tcBorders>
              <w:top w:val="single" w:sz="4" w:space="0" w:color="A6A6A6" w:themeColor="background1" w:themeShade="A6"/>
              <w:bottom w:val="single" w:sz="4" w:space="0" w:color="A6A6A6" w:themeColor="background1" w:themeShade="A6"/>
            </w:tcBorders>
            <w:noWrap/>
            <w:hideMark/>
          </w:tcPr>
          <w:p w14:paraId="32A52898" w14:textId="77777777" w:rsidR="00CE75D4" w:rsidRPr="00095EB4" w:rsidRDefault="00CE75D4" w:rsidP="008340C1">
            <w:pPr>
              <w:pStyle w:val="ARfintablebodyright"/>
              <w:spacing w:before="10" w:after="10" w:line="228" w:lineRule="auto"/>
              <w:rPr>
                <w:sz w:val="16"/>
              </w:rPr>
            </w:pPr>
            <w:r w:rsidRPr="00095EB4">
              <w:rPr>
                <w:sz w:val="16"/>
              </w:rPr>
              <w:t>–</w:t>
            </w:r>
          </w:p>
        </w:tc>
        <w:tc>
          <w:tcPr>
            <w:tcW w:w="882" w:type="dxa"/>
            <w:tcBorders>
              <w:top w:val="single" w:sz="4" w:space="0" w:color="A6A6A6" w:themeColor="background1" w:themeShade="A6"/>
              <w:bottom w:val="single" w:sz="4" w:space="0" w:color="A6A6A6" w:themeColor="background1" w:themeShade="A6"/>
            </w:tcBorders>
            <w:noWrap/>
            <w:hideMark/>
          </w:tcPr>
          <w:p w14:paraId="05130ACA" w14:textId="77777777" w:rsidR="00CE75D4" w:rsidRPr="00095EB4" w:rsidRDefault="00CE75D4" w:rsidP="008340C1">
            <w:pPr>
              <w:pStyle w:val="ARfintablebodyright"/>
              <w:spacing w:before="10" w:after="10" w:line="228" w:lineRule="auto"/>
              <w:rPr>
                <w:sz w:val="16"/>
              </w:rPr>
            </w:pPr>
            <w:r w:rsidRPr="00095EB4">
              <w:rPr>
                <w:sz w:val="16"/>
              </w:rPr>
              <w:t>2,032.9</w:t>
            </w:r>
          </w:p>
        </w:tc>
        <w:tc>
          <w:tcPr>
            <w:tcW w:w="654" w:type="dxa"/>
            <w:tcBorders>
              <w:top w:val="single" w:sz="4" w:space="0" w:color="A6A6A6" w:themeColor="background1" w:themeShade="A6"/>
              <w:bottom w:val="single" w:sz="4" w:space="0" w:color="A6A6A6" w:themeColor="background1" w:themeShade="A6"/>
            </w:tcBorders>
            <w:noWrap/>
            <w:hideMark/>
          </w:tcPr>
          <w:p w14:paraId="4691AA5E" w14:textId="77777777" w:rsidR="00CE75D4" w:rsidRPr="00095EB4" w:rsidRDefault="00CE75D4" w:rsidP="008340C1">
            <w:pPr>
              <w:pStyle w:val="ARfintablebodyright"/>
              <w:spacing w:before="10" w:after="10" w:line="228" w:lineRule="auto"/>
              <w:rPr>
                <w:sz w:val="16"/>
              </w:rPr>
            </w:pPr>
            <w:r w:rsidRPr="00095EB4">
              <w:rPr>
                <w:sz w:val="16"/>
              </w:rPr>
              <w:t>7.1</w:t>
            </w:r>
          </w:p>
        </w:tc>
        <w:tc>
          <w:tcPr>
            <w:tcW w:w="654" w:type="dxa"/>
            <w:tcBorders>
              <w:top w:val="single" w:sz="4" w:space="0" w:color="A6A6A6" w:themeColor="background1" w:themeShade="A6"/>
              <w:bottom w:val="single" w:sz="4" w:space="0" w:color="A6A6A6" w:themeColor="background1" w:themeShade="A6"/>
            </w:tcBorders>
            <w:noWrap/>
            <w:hideMark/>
          </w:tcPr>
          <w:p w14:paraId="5D41C0D2" w14:textId="77777777" w:rsidR="00CE75D4" w:rsidRPr="00095EB4" w:rsidRDefault="00CE75D4" w:rsidP="008340C1">
            <w:pPr>
              <w:pStyle w:val="ARfintablebodyright"/>
              <w:spacing w:before="10" w:after="10" w:line="228" w:lineRule="auto"/>
              <w:rPr>
                <w:sz w:val="16"/>
              </w:rPr>
            </w:pPr>
            <w:r w:rsidRPr="00095EB4">
              <w:rPr>
                <w:sz w:val="16"/>
              </w:rPr>
              <w:t>0.9</w:t>
            </w:r>
          </w:p>
        </w:tc>
        <w:tc>
          <w:tcPr>
            <w:tcW w:w="654" w:type="dxa"/>
            <w:tcBorders>
              <w:top w:val="single" w:sz="4" w:space="0" w:color="A6A6A6" w:themeColor="background1" w:themeShade="A6"/>
              <w:bottom w:val="single" w:sz="4" w:space="0" w:color="A6A6A6" w:themeColor="background1" w:themeShade="A6"/>
            </w:tcBorders>
            <w:noWrap/>
            <w:hideMark/>
          </w:tcPr>
          <w:p w14:paraId="3E8F2EFA"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1609FBDF"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181065B1"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4819FC4F" w14:textId="77777777" w:rsidR="00CE75D4" w:rsidRPr="00095EB4" w:rsidRDefault="00CE75D4" w:rsidP="008340C1">
            <w:pPr>
              <w:pStyle w:val="ARfintablebodyright"/>
              <w:spacing w:before="10" w:after="10" w:line="228" w:lineRule="auto"/>
              <w:rPr>
                <w:sz w:val="16"/>
              </w:rPr>
            </w:pPr>
            <w:r w:rsidRPr="00095EB4">
              <w:rPr>
                <w:sz w:val="16"/>
              </w:rPr>
              <w:t>–</w:t>
            </w:r>
          </w:p>
        </w:tc>
        <w:tc>
          <w:tcPr>
            <w:tcW w:w="833" w:type="dxa"/>
            <w:tcBorders>
              <w:top w:val="single" w:sz="4" w:space="0" w:color="A6A6A6" w:themeColor="background1" w:themeShade="A6"/>
              <w:bottom w:val="single" w:sz="4" w:space="0" w:color="A6A6A6" w:themeColor="background1" w:themeShade="A6"/>
            </w:tcBorders>
            <w:noWrap/>
            <w:hideMark/>
          </w:tcPr>
          <w:p w14:paraId="27F147B4" w14:textId="77777777" w:rsidR="00CE75D4" w:rsidRPr="00095EB4" w:rsidRDefault="00CE75D4" w:rsidP="008340C1">
            <w:pPr>
              <w:pStyle w:val="ARfintablebodyright"/>
              <w:spacing w:before="10" w:after="10" w:line="228" w:lineRule="auto"/>
              <w:rPr>
                <w:sz w:val="16"/>
              </w:rPr>
            </w:pPr>
            <w:r w:rsidRPr="00095EB4">
              <w:rPr>
                <w:sz w:val="16"/>
              </w:rPr>
              <w:t>12,426.4</w:t>
            </w:r>
          </w:p>
        </w:tc>
      </w:tr>
      <w:tr w:rsidR="00CE75D4" w:rsidRPr="00147B66" w14:paraId="7F7850AC" w14:textId="77777777" w:rsidTr="3D493511">
        <w:tc>
          <w:tcPr>
            <w:tcW w:w="3334" w:type="dxa"/>
            <w:tcBorders>
              <w:top w:val="single" w:sz="4" w:space="0" w:color="A6A6A6" w:themeColor="background1" w:themeShade="A6"/>
              <w:bottom w:val="single" w:sz="4" w:space="0" w:color="A6A6A6" w:themeColor="background1" w:themeShade="A6"/>
            </w:tcBorders>
            <w:hideMark/>
          </w:tcPr>
          <w:p w14:paraId="57E098EF" w14:textId="77777777" w:rsidR="00CE75D4" w:rsidRPr="00095EB4" w:rsidRDefault="00CE75D4" w:rsidP="008340C1">
            <w:pPr>
              <w:pStyle w:val="ARfintablebody"/>
              <w:spacing w:before="10" w:after="10" w:line="228" w:lineRule="auto"/>
              <w:rPr>
                <w:sz w:val="16"/>
              </w:rPr>
            </w:pPr>
            <w:r w:rsidRPr="00095EB4">
              <w:rPr>
                <w:sz w:val="16"/>
              </w:rPr>
              <w:t>Employee benefits</w:t>
            </w:r>
          </w:p>
        </w:tc>
        <w:tc>
          <w:tcPr>
            <w:tcW w:w="835" w:type="dxa"/>
            <w:tcBorders>
              <w:top w:val="single" w:sz="4" w:space="0" w:color="A6A6A6" w:themeColor="background1" w:themeShade="A6"/>
              <w:bottom w:val="single" w:sz="4" w:space="0" w:color="A6A6A6" w:themeColor="background1" w:themeShade="A6"/>
            </w:tcBorders>
            <w:noWrap/>
            <w:hideMark/>
          </w:tcPr>
          <w:p w14:paraId="5E57E882"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bottom w:val="single" w:sz="4" w:space="0" w:color="A6A6A6" w:themeColor="background1" w:themeShade="A6"/>
            </w:tcBorders>
            <w:noWrap/>
            <w:hideMark/>
          </w:tcPr>
          <w:p w14:paraId="6D7F9B57"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bottom w:val="single" w:sz="4" w:space="0" w:color="A6A6A6" w:themeColor="background1" w:themeShade="A6"/>
            </w:tcBorders>
            <w:noWrap/>
            <w:hideMark/>
          </w:tcPr>
          <w:p w14:paraId="537749D2"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2257E8D0"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218B4024"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762870FA"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0883271A" w14:textId="77777777" w:rsidR="00CE75D4" w:rsidRPr="00095EB4" w:rsidRDefault="00CE75D4" w:rsidP="008340C1">
            <w:pPr>
              <w:pStyle w:val="ARfintablebodyright"/>
              <w:spacing w:before="10" w:after="10" w:line="228" w:lineRule="auto"/>
              <w:rPr>
                <w:sz w:val="16"/>
              </w:rPr>
            </w:pPr>
            <w:r w:rsidRPr="00095EB4">
              <w:rPr>
                <w:sz w:val="16"/>
              </w:rPr>
              <w:t>–</w:t>
            </w:r>
          </w:p>
        </w:tc>
        <w:tc>
          <w:tcPr>
            <w:tcW w:w="721" w:type="dxa"/>
            <w:tcBorders>
              <w:top w:val="single" w:sz="4" w:space="0" w:color="A6A6A6" w:themeColor="background1" w:themeShade="A6"/>
              <w:bottom w:val="single" w:sz="4" w:space="0" w:color="A6A6A6" w:themeColor="background1" w:themeShade="A6"/>
            </w:tcBorders>
            <w:noWrap/>
            <w:hideMark/>
          </w:tcPr>
          <w:p w14:paraId="2A7FC2B9" w14:textId="77777777" w:rsidR="00CE75D4" w:rsidRPr="00095EB4" w:rsidRDefault="00CE75D4" w:rsidP="008340C1">
            <w:pPr>
              <w:pStyle w:val="ARfintablebodyright"/>
              <w:spacing w:before="10" w:after="10" w:line="228" w:lineRule="auto"/>
              <w:rPr>
                <w:sz w:val="16"/>
              </w:rPr>
            </w:pPr>
            <w:r w:rsidRPr="00095EB4">
              <w:rPr>
                <w:sz w:val="16"/>
              </w:rPr>
              <w:t>–</w:t>
            </w:r>
          </w:p>
        </w:tc>
        <w:tc>
          <w:tcPr>
            <w:tcW w:w="882" w:type="dxa"/>
            <w:tcBorders>
              <w:top w:val="single" w:sz="4" w:space="0" w:color="A6A6A6" w:themeColor="background1" w:themeShade="A6"/>
              <w:bottom w:val="single" w:sz="4" w:space="0" w:color="A6A6A6" w:themeColor="background1" w:themeShade="A6"/>
            </w:tcBorders>
            <w:noWrap/>
            <w:hideMark/>
          </w:tcPr>
          <w:p w14:paraId="025E087B"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6C77FEEB"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527B6BF7"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63E9D764"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1CF9106A"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19F77A5E"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461E230B" w14:textId="77777777" w:rsidR="00CE75D4" w:rsidRPr="00095EB4" w:rsidRDefault="00CE75D4" w:rsidP="008340C1">
            <w:pPr>
              <w:pStyle w:val="ARfintablebodyright"/>
              <w:spacing w:before="10" w:after="10" w:line="228" w:lineRule="auto"/>
              <w:rPr>
                <w:sz w:val="16"/>
              </w:rPr>
            </w:pPr>
            <w:r w:rsidRPr="00095EB4">
              <w:rPr>
                <w:sz w:val="16"/>
              </w:rPr>
              <w:t>–</w:t>
            </w:r>
          </w:p>
        </w:tc>
        <w:tc>
          <w:tcPr>
            <w:tcW w:w="833" w:type="dxa"/>
            <w:tcBorders>
              <w:top w:val="single" w:sz="4" w:space="0" w:color="A6A6A6" w:themeColor="background1" w:themeShade="A6"/>
              <w:bottom w:val="single" w:sz="4" w:space="0" w:color="A6A6A6" w:themeColor="background1" w:themeShade="A6"/>
            </w:tcBorders>
            <w:noWrap/>
            <w:hideMark/>
          </w:tcPr>
          <w:p w14:paraId="0D332DFF" w14:textId="77777777" w:rsidR="00CE75D4" w:rsidRPr="00095EB4" w:rsidRDefault="00CE75D4" w:rsidP="008340C1">
            <w:pPr>
              <w:pStyle w:val="ARfintablebodyright"/>
              <w:spacing w:before="10" w:after="10" w:line="228" w:lineRule="auto"/>
              <w:rPr>
                <w:sz w:val="16"/>
              </w:rPr>
            </w:pPr>
            <w:r w:rsidRPr="00095EB4">
              <w:rPr>
                <w:sz w:val="16"/>
              </w:rPr>
              <w:t>–</w:t>
            </w:r>
          </w:p>
        </w:tc>
      </w:tr>
      <w:tr w:rsidR="00CE75D4" w:rsidRPr="00147B66" w14:paraId="1E80B408" w14:textId="77777777" w:rsidTr="3D493511">
        <w:tc>
          <w:tcPr>
            <w:tcW w:w="3334" w:type="dxa"/>
            <w:tcBorders>
              <w:top w:val="single" w:sz="4" w:space="0" w:color="A6A6A6" w:themeColor="background1" w:themeShade="A6"/>
              <w:bottom w:val="single" w:sz="4" w:space="0" w:color="A6A6A6" w:themeColor="background1" w:themeShade="A6"/>
            </w:tcBorders>
            <w:hideMark/>
          </w:tcPr>
          <w:p w14:paraId="45BBC9CD" w14:textId="77777777" w:rsidR="00CE75D4" w:rsidRPr="00095EB4" w:rsidRDefault="00CE75D4" w:rsidP="008340C1">
            <w:pPr>
              <w:pStyle w:val="ARfintablebody"/>
              <w:spacing w:before="10" w:after="10" w:line="228" w:lineRule="auto"/>
              <w:rPr>
                <w:sz w:val="16"/>
              </w:rPr>
            </w:pPr>
            <w:r w:rsidRPr="00095EB4">
              <w:rPr>
                <w:sz w:val="16"/>
              </w:rPr>
              <w:t>Other operating expenses</w:t>
            </w:r>
          </w:p>
        </w:tc>
        <w:tc>
          <w:tcPr>
            <w:tcW w:w="835" w:type="dxa"/>
            <w:tcBorders>
              <w:top w:val="single" w:sz="4" w:space="0" w:color="A6A6A6" w:themeColor="background1" w:themeShade="A6"/>
              <w:bottom w:val="single" w:sz="4" w:space="0" w:color="A6A6A6" w:themeColor="background1" w:themeShade="A6"/>
            </w:tcBorders>
            <w:noWrap/>
            <w:hideMark/>
          </w:tcPr>
          <w:p w14:paraId="503985ED" w14:textId="77777777" w:rsidR="00CE75D4" w:rsidRPr="00095EB4" w:rsidRDefault="00CE75D4" w:rsidP="008340C1">
            <w:pPr>
              <w:pStyle w:val="ARfintablebodyright"/>
              <w:spacing w:before="10" w:after="10" w:line="228" w:lineRule="auto"/>
              <w:rPr>
                <w:sz w:val="16"/>
              </w:rPr>
            </w:pPr>
            <w:r w:rsidRPr="00095EB4">
              <w:rPr>
                <w:sz w:val="16"/>
              </w:rPr>
              <w:t>0.1</w:t>
            </w:r>
          </w:p>
        </w:tc>
        <w:tc>
          <w:tcPr>
            <w:tcW w:w="656" w:type="dxa"/>
            <w:tcBorders>
              <w:top w:val="single" w:sz="4" w:space="0" w:color="A6A6A6" w:themeColor="background1" w:themeShade="A6"/>
              <w:bottom w:val="single" w:sz="4" w:space="0" w:color="A6A6A6" w:themeColor="background1" w:themeShade="A6"/>
            </w:tcBorders>
            <w:noWrap/>
            <w:hideMark/>
          </w:tcPr>
          <w:p w14:paraId="49D3C7BD"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bottom w:val="single" w:sz="4" w:space="0" w:color="A6A6A6" w:themeColor="background1" w:themeShade="A6"/>
            </w:tcBorders>
            <w:noWrap/>
            <w:hideMark/>
          </w:tcPr>
          <w:p w14:paraId="5CA2740D"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5F4B011F"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5B76D967"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797F27C5"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1E25AB3A" w14:textId="77777777" w:rsidR="00CE75D4" w:rsidRPr="00095EB4" w:rsidRDefault="00CE75D4" w:rsidP="008340C1">
            <w:pPr>
              <w:pStyle w:val="ARfintablebodyright"/>
              <w:spacing w:before="10" w:after="10" w:line="228" w:lineRule="auto"/>
              <w:rPr>
                <w:sz w:val="16"/>
              </w:rPr>
            </w:pPr>
            <w:r w:rsidRPr="00095EB4">
              <w:rPr>
                <w:sz w:val="16"/>
              </w:rPr>
              <w:t>–</w:t>
            </w:r>
          </w:p>
        </w:tc>
        <w:tc>
          <w:tcPr>
            <w:tcW w:w="721" w:type="dxa"/>
            <w:tcBorders>
              <w:top w:val="single" w:sz="4" w:space="0" w:color="A6A6A6" w:themeColor="background1" w:themeShade="A6"/>
              <w:bottom w:val="single" w:sz="4" w:space="0" w:color="A6A6A6" w:themeColor="background1" w:themeShade="A6"/>
            </w:tcBorders>
            <w:noWrap/>
            <w:hideMark/>
          </w:tcPr>
          <w:p w14:paraId="262690E3" w14:textId="77777777" w:rsidR="00CE75D4" w:rsidRPr="00095EB4" w:rsidRDefault="00CE75D4" w:rsidP="008340C1">
            <w:pPr>
              <w:pStyle w:val="ARfintablebodyright"/>
              <w:spacing w:before="10" w:after="10" w:line="228" w:lineRule="auto"/>
              <w:rPr>
                <w:sz w:val="16"/>
              </w:rPr>
            </w:pPr>
            <w:r w:rsidRPr="00095EB4">
              <w:rPr>
                <w:sz w:val="16"/>
              </w:rPr>
              <w:t>–</w:t>
            </w:r>
          </w:p>
        </w:tc>
        <w:tc>
          <w:tcPr>
            <w:tcW w:w="882" w:type="dxa"/>
            <w:tcBorders>
              <w:top w:val="single" w:sz="4" w:space="0" w:color="A6A6A6" w:themeColor="background1" w:themeShade="A6"/>
              <w:bottom w:val="single" w:sz="4" w:space="0" w:color="A6A6A6" w:themeColor="background1" w:themeShade="A6"/>
            </w:tcBorders>
            <w:noWrap/>
            <w:hideMark/>
          </w:tcPr>
          <w:p w14:paraId="30910C83"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4799D255"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7326F16D"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3808C7AD"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43E11309"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2CA41C48"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2EDDD218" w14:textId="77777777" w:rsidR="00CE75D4" w:rsidRPr="00095EB4" w:rsidRDefault="00CE75D4" w:rsidP="008340C1">
            <w:pPr>
              <w:pStyle w:val="ARfintablebodyright"/>
              <w:spacing w:before="10" w:after="10" w:line="228" w:lineRule="auto"/>
              <w:rPr>
                <w:sz w:val="16"/>
              </w:rPr>
            </w:pPr>
            <w:r w:rsidRPr="00095EB4">
              <w:rPr>
                <w:sz w:val="16"/>
              </w:rPr>
              <w:t>–</w:t>
            </w:r>
          </w:p>
        </w:tc>
        <w:tc>
          <w:tcPr>
            <w:tcW w:w="833" w:type="dxa"/>
            <w:tcBorders>
              <w:top w:val="single" w:sz="4" w:space="0" w:color="A6A6A6" w:themeColor="background1" w:themeShade="A6"/>
              <w:bottom w:val="single" w:sz="4" w:space="0" w:color="A6A6A6" w:themeColor="background1" w:themeShade="A6"/>
            </w:tcBorders>
            <w:noWrap/>
            <w:hideMark/>
          </w:tcPr>
          <w:p w14:paraId="0ED1B7B1" w14:textId="77777777" w:rsidR="00CE75D4" w:rsidRPr="00095EB4" w:rsidRDefault="00CE75D4" w:rsidP="008340C1">
            <w:pPr>
              <w:pStyle w:val="ARfintablebodyright"/>
              <w:spacing w:before="10" w:after="10" w:line="228" w:lineRule="auto"/>
              <w:rPr>
                <w:sz w:val="16"/>
              </w:rPr>
            </w:pPr>
            <w:r w:rsidRPr="00095EB4">
              <w:rPr>
                <w:sz w:val="16"/>
              </w:rPr>
              <w:t>0.1</w:t>
            </w:r>
          </w:p>
        </w:tc>
      </w:tr>
      <w:tr w:rsidR="00CE75D4" w:rsidRPr="00147B66" w14:paraId="6A9085B8" w14:textId="77777777" w:rsidTr="3D493511">
        <w:tc>
          <w:tcPr>
            <w:tcW w:w="3334" w:type="dxa"/>
            <w:tcBorders>
              <w:top w:val="single" w:sz="4" w:space="0" w:color="A6A6A6" w:themeColor="background1" w:themeShade="A6"/>
              <w:bottom w:val="single" w:sz="4" w:space="0" w:color="A6A6A6" w:themeColor="background1" w:themeShade="A6"/>
            </w:tcBorders>
            <w:hideMark/>
          </w:tcPr>
          <w:p w14:paraId="4A874942" w14:textId="77777777" w:rsidR="00CE75D4" w:rsidRPr="00095EB4" w:rsidRDefault="00CE75D4" w:rsidP="008340C1">
            <w:pPr>
              <w:pStyle w:val="ARfintablebody"/>
              <w:spacing w:before="10" w:after="10" w:line="228" w:lineRule="auto"/>
              <w:rPr>
                <w:sz w:val="16"/>
              </w:rPr>
            </w:pPr>
            <w:r w:rsidRPr="00095EB4">
              <w:rPr>
                <w:sz w:val="16"/>
              </w:rPr>
              <w:t>Payments into the consolidated fund</w:t>
            </w:r>
          </w:p>
        </w:tc>
        <w:tc>
          <w:tcPr>
            <w:tcW w:w="835" w:type="dxa"/>
            <w:tcBorders>
              <w:top w:val="single" w:sz="4" w:space="0" w:color="A6A6A6" w:themeColor="background1" w:themeShade="A6"/>
              <w:bottom w:val="single" w:sz="4" w:space="0" w:color="A6A6A6" w:themeColor="background1" w:themeShade="A6"/>
            </w:tcBorders>
            <w:noWrap/>
            <w:hideMark/>
          </w:tcPr>
          <w:p w14:paraId="43124537" w14:textId="77777777" w:rsidR="00CE75D4" w:rsidRPr="00095EB4" w:rsidRDefault="00CE75D4" w:rsidP="008340C1">
            <w:pPr>
              <w:pStyle w:val="ARfintablebodyright"/>
              <w:spacing w:before="10" w:after="10" w:line="228" w:lineRule="auto"/>
              <w:rPr>
                <w:sz w:val="16"/>
              </w:rPr>
            </w:pPr>
            <w:r w:rsidRPr="00095EB4">
              <w:rPr>
                <w:sz w:val="16"/>
              </w:rPr>
              <w:t>409.9</w:t>
            </w:r>
          </w:p>
        </w:tc>
        <w:tc>
          <w:tcPr>
            <w:tcW w:w="656" w:type="dxa"/>
            <w:tcBorders>
              <w:top w:val="single" w:sz="4" w:space="0" w:color="A6A6A6" w:themeColor="background1" w:themeShade="A6"/>
              <w:bottom w:val="single" w:sz="4" w:space="0" w:color="A6A6A6" w:themeColor="background1" w:themeShade="A6"/>
            </w:tcBorders>
            <w:noWrap/>
            <w:hideMark/>
          </w:tcPr>
          <w:p w14:paraId="2EF61976" w14:textId="77777777" w:rsidR="00CE75D4" w:rsidRPr="00095EB4" w:rsidRDefault="00CE75D4" w:rsidP="008340C1">
            <w:pPr>
              <w:pStyle w:val="ARfintablebodyright"/>
              <w:spacing w:before="10" w:after="10" w:line="228" w:lineRule="auto"/>
              <w:rPr>
                <w:sz w:val="16"/>
              </w:rPr>
            </w:pPr>
            <w:r w:rsidRPr="00095EB4">
              <w:rPr>
                <w:sz w:val="16"/>
              </w:rPr>
              <w:t>9.4</w:t>
            </w:r>
          </w:p>
        </w:tc>
        <w:tc>
          <w:tcPr>
            <w:tcW w:w="656" w:type="dxa"/>
            <w:tcBorders>
              <w:top w:val="single" w:sz="4" w:space="0" w:color="A6A6A6" w:themeColor="background1" w:themeShade="A6"/>
              <w:bottom w:val="single" w:sz="4" w:space="0" w:color="A6A6A6" w:themeColor="background1" w:themeShade="A6"/>
            </w:tcBorders>
            <w:noWrap/>
            <w:hideMark/>
          </w:tcPr>
          <w:p w14:paraId="323B8C79" w14:textId="77777777" w:rsidR="00CE75D4" w:rsidRPr="00095EB4" w:rsidRDefault="00CE75D4" w:rsidP="008340C1">
            <w:pPr>
              <w:pStyle w:val="ARfintablebodyright"/>
              <w:spacing w:before="10" w:after="10" w:line="228" w:lineRule="auto"/>
              <w:rPr>
                <w:sz w:val="16"/>
              </w:rPr>
            </w:pPr>
            <w:r w:rsidRPr="00095EB4">
              <w:rPr>
                <w:sz w:val="16"/>
              </w:rPr>
              <w:t>9.1</w:t>
            </w:r>
          </w:p>
        </w:tc>
        <w:tc>
          <w:tcPr>
            <w:tcW w:w="655" w:type="dxa"/>
            <w:tcBorders>
              <w:top w:val="single" w:sz="4" w:space="0" w:color="A6A6A6" w:themeColor="background1" w:themeShade="A6"/>
              <w:bottom w:val="single" w:sz="4" w:space="0" w:color="A6A6A6" w:themeColor="background1" w:themeShade="A6"/>
            </w:tcBorders>
            <w:noWrap/>
            <w:hideMark/>
          </w:tcPr>
          <w:p w14:paraId="3188D82C" w14:textId="77777777" w:rsidR="00CE75D4" w:rsidRPr="00095EB4" w:rsidRDefault="00CE75D4" w:rsidP="008340C1">
            <w:pPr>
              <w:pStyle w:val="ARfintablebodyright"/>
              <w:spacing w:before="10" w:after="10" w:line="228" w:lineRule="auto"/>
              <w:rPr>
                <w:sz w:val="16"/>
              </w:rPr>
            </w:pPr>
            <w:r w:rsidRPr="00095EB4">
              <w:rPr>
                <w:sz w:val="16"/>
              </w:rPr>
              <w:t>30.6</w:t>
            </w:r>
          </w:p>
        </w:tc>
        <w:tc>
          <w:tcPr>
            <w:tcW w:w="655" w:type="dxa"/>
            <w:tcBorders>
              <w:top w:val="single" w:sz="4" w:space="0" w:color="A6A6A6" w:themeColor="background1" w:themeShade="A6"/>
              <w:bottom w:val="single" w:sz="4" w:space="0" w:color="A6A6A6" w:themeColor="background1" w:themeShade="A6"/>
            </w:tcBorders>
            <w:noWrap/>
            <w:hideMark/>
          </w:tcPr>
          <w:p w14:paraId="69D9DE22" w14:textId="77777777" w:rsidR="00CE75D4" w:rsidRPr="00095EB4" w:rsidRDefault="00CE75D4" w:rsidP="008340C1">
            <w:pPr>
              <w:pStyle w:val="ARfintablebodyright"/>
              <w:spacing w:before="10" w:after="10" w:line="228" w:lineRule="auto"/>
              <w:rPr>
                <w:sz w:val="16"/>
              </w:rPr>
            </w:pPr>
            <w:r w:rsidRPr="00095EB4">
              <w:rPr>
                <w:sz w:val="16"/>
              </w:rPr>
              <w:t>2.8</w:t>
            </w:r>
          </w:p>
        </w:tc>
        <w:tc>
          <w:tcPr>
            <w:tcW w:w="654" w:type="dxa"/>
            <w:tcBorders>
              <w:top w:val="single" w:sz="4" w:space="0" w:color="A6A6A6" w:themeColor="background1" w:themeShade="A6"/>
              <w:bottom w:val="single" w:sz="4" w:space="0" w:color="A6A6A6" w:themeColor="background1" w:themeShade="A6"/>
            </w:tcBorders>
            <w:noWrap/>
            <w:hideMark/>
          </w:tcPr>
          <w:p w14:paraId="662BA97F" w14:textId="77777777" w:rsidR="00CE75D4" w:rsidRPr="00095EB4" w:rsidRDefault="00CE75D4" w:rsidP="008340C1">
            <w:pPr>
              <w:pStyle w:val="ARfintablebodyright"/>
              <w:spacing w:before="10" w:after="10" w:line="228" w:lineRule="auto"/>
              <w:rPr>
                <w:sz w:val="16"/>
              </w:rPr>
            </w:pPr>
            <w:r w:rsidRPr="00095EB4">
              <w:rPr>
                <w:sz w:val="16"/>
              </w:rPr>
              <w:t>2.2</w:t>
            </w:r>
          </w:p>
        </w:tc>
        <w:tc>
          <w:tcPr>
            <w:tcW w:w="654" w:type="dxa"/>
            <w:tcBorders>
              <w:top w:val="single" w:sz="4" w:space="0" w:color="A6A6A6" w:themeColor="background1" w:themeShade="A6"/>
              <w:bottom w:val="single" w:sz="4" w:space="0" w:color="A6A6A6" w:themeColor="background1" w:themeShade="A6"/>
            </w:tcBorders>
            <w:noWrap/>
            <w:hideMark/>
          </w:tcPr>
          <w:p w14:paraId="34126399" w14:textId="77777777" w:rsidR="00CE75D4" w:rsidRPr="00095EB4" w:rsidRDefault="00CE75D4" w:rsidP="008340C1">
            <w:pPr>
              <w:pStyle w:val="ARfintablebodyright"/>
              <w:spacing w:before="10" w:after="10" w:line="228" w:lineRule="auto"/>
              <w:rPr>
                <w:sz w:val="16"/>
              </w:rPr>
            </w:pPr>
            <w:r w:rsidRPr="00095EB4">
              <w:rPr>
                <w:sz w:val="16"/>
              </w:rPr>
              <w:t>2.7</w:t>
            </w:r>
          </w:p>
        </w:tc>
        <w:tc>
          <w:tcPr>
            <w:tcW w:w="721" w:type="dxa"/>
            <w:tcBorders>
              <w:top w:val="single" w:sz="4" w:space="0" w:color="A6A6A6" w:themeColor="background1" w:themeShade="A6"/>
              <w:bottom w:val="single" w:sz="4" w:space="0" w:color="A6A6A6" w:themeColor="background1" w:themeShade="A6"/>
            </w:tcBorders>
            <w:noWrap/>
            <w:hideMark/>
          </w:tcPr>
          <w:p w14:paraId="4083C517" w14:textId="77777777" w:rsidR="00CE75D4" w:rsidRPr="00095EB4" w:rsidRDefault="00CE75D4" w:rsidP="008340C1">
            <w:pPr>
              <w:pStyle w:val="ARfintablebodyright"/>
              <w:spacing w:before="10" w:after="10" w:line="228" w:lineRule="auto"/>
              <w:rPr>
                <w:sz w:val="16"/>
              </w:rPr>
            </w:pPr>
            <w:r w:rsidRPr="00095EB4">
              <w:rPr>
                <w:sz w:val="16"/>
              </w:rPr>
              <w:t>0.8</w:t>
            </w:r>
          </w:p>
        </w:tc>
        <w:tc>
          <w:tcPr>
            <w:tcW w:w="882" w:type="dxa"/>
            <w:tcBorders>
              <w:top w:val="single" w:sz="4" w:space="0" w:color="A6A6A6" w:themeColor="background1" w:themeShade="A6"/>
              <w:bottom w:val="single" w:sz="4" w:space="0" w:color="A6A6A6" w:themeColor="background1" w:themeShade="A6"/>
            </w:tcBorders>
            <w:noWrap/>
            <w:hideMark/>
          </w:tcPr>
          <w:p w14:paraId="1A2CDB66" w14:textId="77777777" w:rsidR="00CE75D4" w:rsidRPr="00095EB4" w:rsidRDefault="00CE75D4" w:rsidP="008340C1">
            <w:pPr>
              <w:pStyle w:val="ARfintablebodyright"/>
              <w:spacing w:before="10" w:after="10" w:line="228" w:lineRule="auto"/>
              <w:rPr>
                <w:sz w:val="16"/>
              </w:rPr>
            </w:pPr>
            <w:r w:rsidRPr="00095EB4">
              <w:rPr>
                <w:sz w:val="16"/>
              </w:rPr>
              <w:t>51.3</w:t>
            </w:r>
          </w:p>
        </w:tc>
        <w:tc>
          <w:tcPr>
            <w:tcW w:w="654" w:type="dxa"/>
            <w:tcBorders>
              <w:top w:val="single" w:sz="4" w:space="0" w:color="A6A6A6" w:themeColor="background1" w:themeShade="A6"/>
              <w:bottom w:val="single" w:sz="4" w:space="0" w:color="A6A6A6" w:themeColor="background1" w:themeShade="A6"/>
            </w:tcBorders>
            <w:noWrap/>
            <w:hideMark/>
          </w:tcPr>
          <w:p w14:paraId="45E99BF1" w14:textId="77777777" w:rsidR="00CE75D4" w:rsidRPr="00095EB4" w:rsidRDefault="00CE75D4" w:rsidP="008340C1">
            <w:pPr>
              <w:pStyle w:val="ARfintablebodyright"/>
              <w:spacing w:before="10" w:after="10" w:line="228" w:lineRule="auto"/>
              <w:rPr>
                <w:sz w:val="16"/>
              </w:rPr>
            </w:pPr>
            <w:r w:rsidRPr="00095EB4">
              <w:rPr>
                <w:sz w:val="16"/>
              </w:rPr>
              <w:t>15.7</w:t>
            </w:r>
          </w:p>
        </w:tc>
        <w:tc>
          <w:tcPr>
            <w:tcW w:w="654" w:type="dxa"/>
            <w:tcBorders>
              <w:top w:val="single" w:sz="4" w:space="0" w:color="A6A6A6" w:themeColor="background1" w:themeShade="A6"/>
              <w:bottom w:val="single" w:sz="4" w:space="0" w:color="A6A6A6" w:themeColor="background1" w:themeShade="A6"/>
            </w:tcBorders>
            <w:noWrap/>
            <w:hideMark/>
          </w:tcPr>
          <w:p w14:paraId="2E1035C2"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3EEB18B6" w14:textId="77777777" w:rsidR="00CE75D4" w:rsidRPr="00095EB4" w:rsidRDefault="00CE75D4" w:rsidP="008340C1">
            <w:pPr>
              <w:pStyle w:val="ARfintablebodyright"/>
              <w:spacing w:before="10" w:after="10" w:line="228" w:lineRule="auto"/>
              <w:rPr>
                <w:sz w:val="16"/>
              </w:rPr>
            </w:pPr>
            <w:r w:rsidRPr="00095EB4">
              <w:rPr>
                <w:sz w:val="16"/>
              </w:rPr>
              <w:t>0.1</w:t>
            </w:r>
          </w:p>
        </w:tc>
        <w:tc>
          <w:tcPr>
            <w:tcW w:w="654" w:type="dxa"/>
            <w:tcBorders>
              <w:top w:val="single" w:sz="4" w:space="0" w:color="A6A6A6" w:themeColor="background1" w:themeShade="A6"/>
              <w:bottom w:val="single" w:sz="4" w:space="0" w:color="A6A6A6" w:themeColor="background1" w:themeShade="A6"/>
            </w:tcBorders>
            <w:noWrap/>
            <w:hideMark/>
          </w:tcPr>
          <w:p w14:paraId="5C1FD1A9" w14:textId="77777777" w:rsidR="00CE75D4" w:rsidRPr="00095EB4" w:rsidRDefault="00CE75D4" w:rsidP="008340C1">
            <w:pPr>
              <w:pStyle w:val="ARfintablebodyright"/>
              <w:spacing w:before="10" w:after="10" w:line="228" w:lineRule="auto"/>
              <w:rPr>
                <w:sz w:val="16"/>
              </w:rPr>
            </w:pPr>
            <w:r w:rsidRPr="00095EB4">
              <w:rPr>
                <w:sz w:val="16"/>
              </w:rPr>
              <w:t>5.1</w:t>
            </w:r>
          </w:p>
        </w:tc>
        <w:tc>
          <w:tcPr>
            <w:tcW w:w="654" w:type="dxa"/>
            <w:tcBorders>
              <w:top w:val="single" w:sz="4" w:space="0" w:color="A6A6A6" w:themeColor="background1" w:themeShade="A6"/>
              <w:bottom w:val="single" w:sz="4" w:space="0" w:color="A6A6A6" w:themeColor="background1" w:themeShade="A6"/>
            </w:tcBorders>
            <w:noWrap/>
            <w:hideMark/>
          </w:tcPr>
          <w:p w14:paraId="4BBB2E8A"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66F53E6B" w14:textId="77777777" w:rsidR="00CE75D4" w:rsidRPr="00095EB4" w:rsidRDefault="00CE75D4" w:rsidP="008340C1">
            <w:pPr>
              <w:pStyle w:val="ARfintablebodyright"/>
              <w:spacing w:before="10" w:after="10" w:line="228" w:lineRule="auto"/>
              <w:rPr>
                <w:sz w:val="16"/>
              </w:rPr>
            </w:pPr>
            <w:r w:rsidRPr="00095EB4">
              <w:rPr>
                <w:sz w:val="16"/>
              </w:rPr>
              <w:t>–</w:t>
            </w:r>
          </w:p>
        </w:tc>
        <w:tc>
          <w:tcPr>
            <w:tcW w:w="833" w:type="dxa"/>
            <w:tcBorders>
              <w:top w:val="single" w:sz="4" w:space="0" w:color="A6A6A6" w:themeColor="background1" w:themeShade="A6"/>
              <w:bottom w:val="single" w:sz="4" w:space="0" w:color="A6A6A6" w:themeColor="background1" w:themeShade="A6"/>
            </w:tcBorders>
            <w:noWrap/>
            <w:hideMark/>
          </w:tcPr>
          <w:p w14:paraId="69688A5A" w14:textId="77777777" w:rsidR="00CE75D4" w:rsidRPr="00095EB4" w:rsidRDefault="00CE75D4" w:rsidP="008340C1">
            <w:pPr>
              <w:pStyle w:val="ARfintablebodyright"/>
              <w:spacing w:before="10" w:after="10" w:line="228" w:lineRule="auto"/>
              <w:rPr>
                <w:sz w:val="16"/>
              </w:rPr>
            </w:pPr>
            <w:r w:rsidRPr="00095EB4">
              <w:rPr>
                <w:sz w:val="16"/>
              </w:rPr>
              <w:t>539.7</w:t>
            </w:r>
          </w:p>
        </w:tc>
      </w:tr>
      <w:tr w:rsidR="00CE75D4" w:rsidRPr="00147B66" w14:paraId="2822F848" w14:textId="77777777" w:rsidTr="3D493511">
        <w:tc>
          <w:tcPr>
            <w:tcW w:w="3334" w:type="dxa"/>
            <w:tcBorders>
              <w:top w:val="single" w:sz="4" w:space="0" w:color="A6A6A6" w:themeColor="background1" w:themeShade="A6"/>
              <w:bottom w:val="single" w:sz="4" w:space="0" w:color="A6A6A6" w:themeColor="background1" w:themeShade="A6"/>
            </w:tcBorders>
            <w:hideMark/>
          </w:tcPr>
          <w:p w14:paraId="4566DAAE" w14:textId="77777777" w:rsidR="00CE75D4" w:rsidRPr="00095EB4" w:rsidRDefault="00CE75D4" w:rsidP="008340C1">
            <w:pPr>
              <w:pStyle w:val="ARfintablebody"/>
              <w:spacing w:before="10" w:after="10" w:line="228" w:lineRule="auto"/>
              <w:rPr>
                <w:sz w:val="16"/>
              </w:rPr>
            </w:pPr>
            <w:r w:rsidRPr="00095EB4">
              <w:rPr>
                <w:sz w:val="16"/>
              </w:rPr>
              <w:t xml:space="preserve">Payment from the </w:t>
            </w:r>
            <w:r>
              <w:rPr>
                <w:sz w:val="16"/>
              </w:rPr>
              <w:t xml:space="preserve">Victorian State Pool Account </w:t>
            </w:r>
            <w:r w:rsidRPr="00095EB4">
              <w:rPr>
                <w:sz w:val="16"/>
              </w:rPr>
              <w:t>to the departmental controlled entity</w:t>
            </w:r>
          </w:p>
        </w:tc>
        <w:tc>
          <w:tcPr>
            <w:tcW w:w="835" w:type="dxa"/>
            <w:tcBorders>
              <w:top w:val="single" w:sz="4" w:space="0" w:color="A6A6A6" w:themeColor="background1" w:themeShade="A6"/>
              <w:bottom w:val="single" w:sz="4" w:space="0" w:color="A6A6A6" w:themeColor="background1" w:themeShade="A6"/>
            </w:tcBorders>
            <w:noWrap/>
            <w:hideMark/>
          </w:tcPr>
          <w:p w14:paraId="15E02233" w14:textId="77777777" w:rsidR="00CE75D4" w:rsidRPr="00095EB4" w:rsidRDefault="00CE75D4" w:rsidP="008340C1">
            <w:pPr>
              <w:pStyle w:val="ARfintablebodyright"/>
              <w:spacing w:before="10" w:after="10" w:line="228" w:lineRule="auto"/>
              <w:rPr>
                <w:sz w:val="16"/>
              </w:rPr>
            </w:pPr>
            <w:r w:rsidRPr="00095EB4">
              <w:rPr>
                <w:sz w:val="16"/>
              </w:rPr>
              <w:t>1,486.1</w:t>
            </w:r>
          </w:p>
        </w:tc>
        <w:tc>
          <w:tcPr>
            <w:tcW w:w="656" w:type="dxa"/>
            <w:tcBorders>
              <w:top w:val="single" w:sz="4" w:space="0" w:color="A6A6A6" w:themeColor="background1" w:themeShade="A6"/>
              <w:bottom w:val="single" w:sz="4" w:space="0" w:color="A6A6A6" w:themeColor="background1" w:themeShade="A6"/>
            </w:tcBorders>
            <w:noWrap/>
            <w:hideMark/>
          </w:tcPr>
          <w:p w14:paraId="528CC1F6"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bottom w:val="single" w:sz="4" w:space="0" w:color="A6A6A6" w:themeColor="background1" w:themeShade="A6"/>
            </w:tcBorders>
            <w:noWrap/>
            <w:hideMark/>
          </w:tcPr>
          <w:p w14:paraId="7CF9E67C" w14:textId="77777777" w:rsidR="00CE75D4" w:rsidRPr="00095EB4" w:rsidRDefault="00CE75D4" w:rsidP="008340C1">
            <w:pPr>
              <w:pStyle w:val="ARfintablebodyright"/>
              <w:spacing w:before="10" w:after="10" w:line="228" w:lineRule="auto"/>
              <w:rPr>
                <w:sz w:val="16"/>
              </w:rPr>
            </w:pPr>
            <w:r w:rsidRPr="00095EB4">
              <w:rPr>
                <w:sz w:val="16"/>
              </w:rPr>
              <w:t>418.7</w:t>
            </w:r>
          </w:p>
        </w:tc>
        <w:tc>
          <w:tcPr>
            <w:tcW w:w="655" w:type="dxa"/>
            <w:tcBorders>
              <w:top w:val="single" w:sz="4" w:space="0" w:color="A6A6A6" w:themeColor="background1" w:themeShade="A6"/>
              <w:bottom w:val="single" w:sz="4" w:space="0" w:color="A6A6A6" w:themeColor="background1" w:themeShade="A6"/>
            </w:tcBorders>
            <w:noWrap/>
            <w:hideMark/>
          </w:tcPr>
          <w:p w14:paraId="1A0C275F"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5F4F38CF" w14:textId="77777777" w:rsidR="00CE75D4" w:rsidRPr="00095EB4" w:rsidRDefault="00CE75D4" w:rsidP="008340C1">
            <w:pPr>
              <w:pStyle w:val="ARfintablebodyright"/>
              <w:spacing w:before="10" w:after="10" w:line="228" w:lineRule="auto"/>
              <w:rPr>
                <w:sz w:val="16"/>
              </w:rPr>
            </w:pPr>
            <w:r w:rsidRPr="00095EB4">
              <w:rPr>
                <w:sz w:val="16"/>
              </w:rPr>
              <w:t>0.3</w:t>
            </w:r>
          </w:p>
        </w:tc>
        <w:tc>
          <w:tcPr>
            <w:tcW w:w="654" w:type="dxa"/>
            <w:tcBorders>
              <w:top w:val="single" w:sz="4" w:space="0" w:color="A6A6A6" w:themeColor="background1" w:themeShade="A6"/>
              <w:bottom w:val="single" w:sz="4" w:space="0" w:color="A6A6A6" w:themeColor="background1" w:themeShade="A6"/>
            </w:tcBorders>
            <w:noWrap/>
            <w:hideMark/>
          </w:tcPr>
          <w:p w14:paraId="7D433A1B" w14:textId="77777777" w:rsidR="00CE75D4" w:rsidRPr="00095EB4" w:rsidRDefault="00CE75D4" w:rsidP="008340C1">
            <w:pPr>
              <w:pStyle w:val="ARfintablebodyright"/>
              <w:spacing w:before="10" w:after="10" w:line="228" w:lineRule="auto"/>
              <w:rPr>
                <w:sz w:val="16"/>
              </w:rPr>
            </w:pPr>
            <w:r w:rsidRPr="00095EB4">
              <w:rPr>
                <w:sz w:val="16"/>
              </w:rPr>
              <w:t>131.4</w:t>
            </w:r>
          </w:p>
        </w:tc>
        <w:tc>
          <w:tcPr>
            <w:tcW w:w="654" w:type="dxa"/>
            <w:tcBorders>
              <w:top w:val="single" w:sz="4" w:space="0" w:color="A6A6A6" w:themeColor="background1" w:themeShade="A6"/>
              <w:bottom w:val="single" w:sz="4" w:space="0" w:color="A6A6A6" w:themeColor="background1" w:themeShade="A6"/>
            </w:tcBorders>
            <w:noWrap/>
            <w:hideMark/>
          </w:tcPr>
          <w:p w14:paraId="17192701" w14:textId="77777777" w:rsidR="00CE75D4" w:rsidRPr="00095EB4" w:rsidRDefault="00CE75D4" w:rsidP="008340C1">
            <w:pPr>
              <w:pStyle w:val="ARfintablebodyright"/>
              <w:spacing w:before="10" w:after="10" w:line="228" w:lineRule="auto"/>
              <w:rPr>
                <w:sz w:val="16"/>
              </w:rPr>
            </w:pPr>
            <w:r w:rsidRPr="00095EB4">
              <w:rPr>
                <w:sz w:val="16"/>
              </w:rPr>
              <w:t>120.7</w:t>
            </w:r>
          </w:p>
        </w:tc>
        <w:tc>
          <w:tcPr>
            <w:tcW w:w="721" w:type="dxa"/>
            <w:tcBorders>
              <w:top w:val="single" w:sz="4" w:space="0" w:color="A6A6A6" w:themeColor="background1" w:themeShade="A6"/>
              <w:bottom w:val="single" w:sz="4" w:space="0" w:color="A6A6A6" w:themeColor="background1" w:themeShade="A6"/>
            </w:tcBorders>
            <w:noWrap/>
            <w:hideMark/>
          </w:tcPr>
          <w:p w14:paraId="3AFA1B51" w14:textId="77777777" w:rsidR="00CE75D4" w:rsidRPr="00095EB4" w:rsidRDefault="00CE75D4" w:rsidP="008340C1">
            <w:pPr>
              <w:pStyle w:val="ARfintablebodyright"/>
              <w:spacing w:before="10" w:after="10" w:line="228" w:lineRule="auto"/>
              <w:rPr>
                <w:sz w:val="16"/>
              </w:rPr>
            </w:pPr>
            <w:r w:rsidRPr="00095EB4">
              <w:rPr>
                <w:sz w:val="16"/>
              </w:rPr>
              <w:t>13.5</w:t>
            </w:r>
          </w:p>
        </w:tc>
        <w:tc>
          <w:tcPr>
            <w:tcW w:w="882" w:type="dxa"/>
            <w:tcBorders>
              <w:top w:val="single" w:sz="4" w:space="0" w:color="A6A6A6" w:themeColor="background1" w:themeShade="A6"/>
              <w:bottom w:val="single" w:sz="4" w:space="0" w:color="A6A6A6" w:themeColor="background1" w:themeShade="A6"/>
            </w:tcBorders>
            <w:noWrap/>
            <w:hideMark/>
          </w:tcPr>
          <w:p w14:paraId="27F6D6FB"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43A22BE2"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3F7A48A1"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514125EC"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4B58BBFB"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26305F95"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28CF90FA" w14:textId="77777777" w:rsidR="00CE75D4" w:rsidRPr="00095EB4" w:rsidRDefault="00CE75D4" w:rsidP="008340C1">
            <w:pPr>
              <w:pStyle w:val="ARfintablebodyright"/>
              <w:spacing w:before="10" w:after="10" w:line="228" w:lineRule="auto"/>
              <w:rPr>
                <w:sz w:val="16"/>
              </w:rPr>
            </w:pPr>
            <w:r w:rsidRPr="00095EB4">
              <w:rPr>
                <w:sz w:val="16"/>
              </w:rPr>
              <w:t>–</w:t>
            </w:r>
          </w:p>
        </w:tc>
        <w:tc>
          <w:tcPr>
            <w:tcW w:w="833" w:type="dxa"/>
            <w:tcBorders>
              <w:top w:val="single" w:sz="4" w:space="0" w:color="A6A6A6" w:themeColor="background1" w:themeShade="A6"/>
              <w:bottom w:val="single" w:sz="4" w:space="0" w:color="A6A6A6" w:themeColor="background1" w:themeShade="A6"/>
            </w:tcBorders>
            <w:noWrap/>
            <w:hideMark/>
          </w:tcPr>
          <w:p w14:paraId="3DF982FD" w14:textId="77777777" w:rsidR="00CE75D4" w:rsidRPr="00095EB4" w:rsidRDefault="00CE75D4" w:rsidP="008340C1">
            <w:pPr>
              <w:pStyle w:val="ARfintablebodyright"/>
              <w:spacing w:before="10" w:after="10" w:line="228" w:lineRule="auto"/>
              <w:rPr>
                <w:sz w:val="16"/>
              </w:rPr>
            </w:pPr>
            <w:r w:rsidRPr="00095EB4">
              <w:rPr>
                <w:sz w:val="16"/>
              </w:rPr>
              <w:t>2,170.7</w:t>
            </w:r>
          </w:p>
        </w:tc>
      </w:tr>
      <w:tr w:rsidR="00CE75D4" w:rsidRPr="00147B66" w14:paraId="1956114B" w14:textId="77777777" w:rsidTr="3D493511">
        <w:tc>
          <w:tcPr>
            <w:tcW w:w="3334" w:type="dxa"/>
            <w:tcBorders>
              <w:top w:val="single" w:sz="4" w:space="0" w:color="A6A6A6" w:themeColor="background1" w:themeShade="A6"/>
            </w:tcBorders>
            <w:hideMark/>
          </w:tcPr>
          <w:p w14:paraId="609BA9DC" w14:textId="77777777" w:rsidR="00CE75D4" w:rsidRPr="00095EB4" w:rsidRDefault="00CE75D4" w:rsidP="008340C1">
            <w:pPr>
              <w:pStyle w:val="ARfintablebody"/>
              <w:spacing w:before="10" w:after="10" w:line="228" w:lineRule="auto"/>
              <w:rPr>
                <w:sz w:val="16"/>
              </w:rPr>
            </w:pPr>
            <w:r w:rsidRPr="00095EB4">
              <w:rPr>
                <w:sz w:val="16"/>
              </w:rPr>
              <w:t>Fair value of assets and services provided free of charge or for nominal consideration</w:t>
            </w:r>
          </w:p>
        </w:tc>
        <w:tc>
          <w:tcPr>
            <w:tcW w:w="835" w:type="dxa"/>
            <w:tcBorders>
              <w:top w:val="single" w:sz="4" w:space="0" w:color="A6A6A6" w:themeColor="background1" w:themeShade="A6"/>
            </w:tcBorders>
            <w:noWrap/>
            <w:hideMark/>
          </w:tcPr>
          <w:p w14:paraId="4ED0569B"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tcBorders>
            <w:noWrap/>
            <w:hideMark/>
          </w:tcPr>
          <w:p w14:paraId="2997518D"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tcBorders>
            <w:noWrap/>
            <w:hideMark/>
          </w:tcPr>
          <w:p w14:paraId="2D204E83"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tcBorders>
            <w:noWrap/>
            <w:hideMark/>
          </w:tcPr>
          <w:p w14:paraId="4B70CB96"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tcBorders>
            <w:noWrap/>
            <w:hideMark/>
          </w:tcPr>
          <w:p w14:paraId="413F04B8"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29A4EEC5"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3768D2EF" w14:textId="77777777" w:rsidR="00CE75D4" w:rsidRPr="00095EB4" w:rsidRDefault="00CE75D4" w:rsidP="008340C1">
            <w:pPr>
              <w:pStyle w:val="ARfintablebodyright"/>
              <w:spacing w:before="10" w:after="10" w:line="228" w:lineRule="auto"/>
              <w:rPr>
                <w:sz w:val="16"/>
              </w:rPr>
            </w:pPr>
            <w:r w:rsidRPr="00095EB4">
              <w:rPr>
                <w:sz w:val="16"/>
              </w:rPr>
              <w:t>–</w:t>
            </w:r>
          </w:p>
        </w:tc>
        <w:tc>
          <w:tcPr>
            <w:tcW w:w="721" w:type="dxa"/>
            <w:tcBorders>
              <w:top w:val="single" w:sz="4" w:space="0" w:color="A6A6A6" w:themeColor="background1" w:themeShade="A6"/>
            </w:tcBorders>
            <w:noWrap/>
            <w:hideMark/>
          </w:tcPr>
          <w:p w14:paraId="4B70ECB8" w14:textId="77777777" w:rsidR="00CE75D4" w:rsidRPr="00095EB4" w:rsidRDefault="00CE75D4" w:rsidP="008340C1">
            <w:pPr>
              <w:pStyle w:val="ARfintablebodyright"/>
              <w:spacing w:before="10" w:after="10" w:line="228" w:lineRule="auto"/>
              <w:rPr>
                <w:sz w:val="16"/>
              </w:rPr>
            </w:pPr>
            <w:r w:rsidRPr="00095EB4">
              <w:rPr>
                <w:sz w:val="16"/>
              </w:rPr>
              <w:t>–</w:t>
            </w:r>
          </w:p>
        </w:tc>
        <w:tc>
          <w:tcPr>
            <w:tcW w:w="882" w:type="dxa"/>
            <w:tcBorders>
              <w:top w:val="single" w:sz="4" w:space="0" w:color="A6A6A6" w:themeColor="background1" w:themeShade="A6"/>
            </w:tcBorders>
            <w:noWrap/>
            <w:hideMark/>
          </w:tcPr>
          <w:p w14:paraId="46363D23" w14:textId="77777777" w:rsidR="00CE75D4" w:rsidRPr="00095EB4" w:rsidRDefault="00CE75D4" w:rsidP="008340C1">
            <w:pPr>
              <w:pStyle w:val="ARfintablebodyright"/>
              <w:spacing w:before="10" w:after="10" w:line="228" w:lineRule="auto"/>
              <w:rPr>
                <w:sz w:val="16"/>
              </w:rPr>
            </w:pPr>
            <w:r w:rsidRPr="00095EB4">
              <w:rPr>
                <w:sz w:val="16"/>
              </w:rPr>
              <w:t>3.3</w:t>
            </w:r>
          </w:p>
        </w:tc>
        <w:tc>
          <w:tcPr>
            <w:tcW w:w="654" w:type="dxa"/>
            <w:tcBorders>
              <w:top w:val="single" w:sz="4" w:space="0" w:color="A6A6A6" w:themeColor="background1" w:themeShade="A6"/>
            </w:tcBorders>
            <w:noWrap/>
            <w:hideMark/>
          </w:tcPr>
          <w:p w14:paraId="29D44FF1" w14:textId="77777777" w:rsidR="00CE75D4" w:rsidRPr="00095EB4" w:rsidRDefault="00CE75D4" w:rsidP="008340C1">
            <w:pPr>
              <w:pStyle w:val="ARfintablebodyright"/>
              <w:spacing w:before="10" w:after="10" w:line="228" w:lineRule="auto"/>
              <w:rPr>
                <w:sz w:val="16"/>
              </w:rPr>
            </w:pPr>
            <w:r w:rsidRPr="00095EB4">
              <w:rPr>
                <w:sz w:val="16"/>
              </w:rPr>
              <w:t>0.1</w:t>
            </w:r>
          </w:p>
        </w:tc>
        <w:tc>
          <w:tcPr>
            <w:tcW w:w="654" w:type="dxa"/>
            <w:tcBorders>
              <w:top w:val="single" w:sz="4" w:space="0" w:color="A6A6A6" w:themeColor="background1" w:themeShade="A6"/>
            </w:tcBorders>
            <w:noWrap/>
            <w:hideMark/>
          </w:tcPr>
          <w:p w14:paraId="510B9D6D"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45A34660"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23CF9A4F"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6E5F7C79"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60371B80" w14:textId="77777777" w:rsidR="00CE75D4" w:rsidRPr="00095EB4" w:rsidRDefault="00CE75D4" w:rsidP="008340C1">
            <w:pPr>
              <w:pStyle w:val="ARfintablebodyright"/>
              <w:spacing w:before="10" w:after="10" w:line="228" w:lineRule="auto"/>
              <w:rPr>
                <w:sz w:val="16"/>
              </w:rPr>
            </w:pPr>
            <w:r w:rsidRPr="00095EB4">
              <w:rPr>
                <w:sz w:val="16"/>
              </w:rPr>
              <w:t>–</w:t>
            </w:r>
          </w:p>
        </w:tc>
        <w:tc>
          <w:tcPr>
            <w:tcW w:w="833" w:type="dxa"/>
            <w:tcBorders>
              <w:top w:val="single" w:sz="4" w:space="0" w:color="A6A6A6" w:themeColor="background1" w:themeShade="A6"/>
            </w:tcBorders>
            <w:noWrap/>
            <w:hideMark/>
          </w:tcPr>
          <w:p w14:paraId="3D26ECC5" w14:textId="77777777" w:rsidR="00CE75D4" w:rsidRPr="00095EB4" w:rsidRDefault="00CE75D4" w:rsidP="008340C1">
            <w:pPr>
              <w:pStyle w:val="ARfintablebodyright"/>
              <w:spacing w:before="10" w:after="10" w:line="228" w:lineRule="auto"/>
              <w:rPr>
                <w:sz w:val="16"/>
              </w:rPr>
            </w:pPr>
            <w:r w:rsidRPr="00095EB4">
              <w:rPr>
                <w:sz w:val="16"/>
              </w:rPr>
              <w:t>3.4</w:t>
            </w:r>
          </w:p>
        </w:tc>
      </w:tr>
      <w:tr w:rsidR="00CE75D4" w:rsidRPr="00147B66" w14:paraId="63FDD643" w14:textId="77777777" w:rsidTr="00130D1C">
        <w:tc>
          <w:tcPr>
            <w:tcW w:w="3334" w:type="dxa"/>
            <w:hideMark/>
          </w:tcPr>
          <w:p w14:paraId="15E227EA" w14:textId="77777777" w:rsidR="00CE75D4" w:rsidRPr="00095EB4" w:rsidRDefault="00CE75D4" w:rsidP="008340C1">
            <w:pPr>
              <w:pStyle w:val="ARfintablebodybold"/>
              <w:spacing w:before="10" w:after="10" w:line="228" w:lineRule="auto"/>
              <w:rPr>
                <w:rFonts w:cs="Arial"/>
                <w:sz w:val="16"/>
              </w:rPr>
            </w:pPr>
            <w:r w:rsidRPr="00095EB4">
              <w:rPr>
                <w:rFonts w:cs="Arial"/>
                <w:sz w:val="16"/>
              </w:rPr>
              <w:t>Total administered expenses from transactions</w:t>
            </w:r>
          </w:p>
        </w:tc>
        <w:tc>
          <w:tcPr>
            <w:tcW w:w="835" w:type="dxa"/>
            <w:noWrap/>
            <w:hideMark/>
          </w:tcPr>
          <w:p w14:paraId="2022024B" w14:textId="77777777" w:rsidR="00CE75D4" w:rsidRPr="00095EB4" w:rsidRDefault="00CE75D4" w:rsidP="008340C1">
            <w:pPr>
              <w:pStyle w:val="ARfintablebodyrightbold"/>
              <w:spacing w:before="10" w:after="10" w:line="228" w:lineRule="auto"/>
              <w:rPr>
                <w:sz w:val="16"/>
              </w:rPr>
            </w:pPr>
            <w:r w:rsidRPr="00095EB4">
              <w:rPr>
                <w:sz w:val="16"/>
              </w:rPr>
              <w:t>11,782.0</w:t>
            </w:r>
          </w:p>
        </w:tc>
        <w:tc>
          <w:tcPr>
            <w:tcW w:w="656" w:type="dxa"/>
            <w:noWrap/>
            <w:hideMark/>
          </w:tcPr>
          <w:p w14:paraId="53BEB942" w14:textId="77777777" w:rsidR="00CE75D4" w:rsidRPr="00095EB4" w:rsidRDefault="00CE75D4" w:rsidP="008340C1">
            <w:pPr>
              <w:pStyle w:val="ARfintablebodyrightbold"/>
              <w:spacing w:before="10" w:after="10" w:line="228" w:lineRule="auto"/>
              <w:rPr>
                <w:sz w:val="16"/>
              </w:rPr>
            </w:pPr>
            <w:r w:rsidRPr="00095EB4">
              <w:rPr>
                <w:sz w:val="16"/>
              </w:rPr>
              <w:t>9.4</w:t>
            </w:r>
          </w:p>
        </w:tc>
        <w:tc>
          <w:tcPr>
            <w:tcW w:w="656" w:type="dxa"/>
            <w:noWrap/>
            <w:hideMark/>
          </w:tcPr>
          <w:p w14:paraId="56D5F3CA" w14:textId="77777777" w:rsidR="00CE75D4" w:rsidRPr="00095EB4" w:rsidRDefault="00CE75D4" w:rsidP="008340C1">
            <w:pPr>
              <w:pStyle w:val="ARfintablebodyrightbold"/>
              <w:spacing w:before="10" w:after="10" w:line="228" w:lineRule="auto"/>
              <w:rPr>
                <w:sz w:val="16"/>
              </w:rPr>
            </w:pPr>
            <w:r w:rsidRPr="00095EB4">
              <w:rPr>
                <w:sz w:val="16"/>
              </w:rPr>
              <w:t>877.3</w:t>
            </w:r>
          </w:p>
        </w:tc>
        <w:tc>
          <w:tcPr>
            <w:tcW w:w="655" w:type="dxa"/>
            <w:noWrap/>
            <w:hideMark/>
          </w:tcPr>
          <w:p w14:paraId="68F66BEA" w14:textId="77777777" w:rsidR="00CE75D4" w:rsidRPr="00095EB4" w:rsidRDefault="00CE75D4" w:rsidP="008340C1">
            <w:pPr>
              <w:pStyle w:val="ARfintablebodyrightbold"/>
              <w:spacing w:before="10" w:after="10" w:line="228" w:lineRule="auto"/>
              <w:rPr>
                <w:sz w:val="16"/>
              </w:rPr>
            </w:pPr>
            <w:r w:rsidRPr="00095EB4">
              <w:rPr>
                <w:sz w:val="16"/>
              </w:rPr>
              <w:t>80.7</w:t>
            </w:r>
          </w:p>
        </w:tc>
        <w:tc>
          <w:tcPr>
            <w:tcW w:w="655" w:type="dxa"/>
            <w:noWrap/>
            <w:hideMark/>
          </w:tcPr>
          <w:p w14:paraId="5096E08D" w14:textId="77777777" w:rsidR="00CE75D4" w:rsidRPr="00095EB4" w:rsidRDefault="00CE75D4" w:rsidP="008340C1">
            <w:pPr>
              <w:pStyle w:val="ARfintablebodyrightbold"/>
              <w:spacing w:before="10" w:after="10" w:line="228" w:lineRule="auto"/>
              <w:rPr>
                <w:sz w:val="16"/>
              </w:rPr>
            </w:pPr>
            <w:r w:rsidRPr="00095EB4">
              <w:rPr>
                <w:sz w:val="16"/>
              </w:rPr>
              <w:t>3.1</w:t>
            </w:r>
          </w:p>
        </w:tc>
        <w:tc>
          <w:tcPr>
            <w:tcW w:w="654" w:type="dxa"/>
            <w:noWrap/>
            <w:hideMark/>
          </w:tcPr>
          <w:p w14:paraId="47315451" w14:textId="77777777" w:rsidR="00CE75D4" w:rsidRPr="00095EB4" w:rsidRDefault="00CE75D4" w:rsidP="008340C1">
            <w:pPr>
              <w:pStyle w:val="ARfintablebodyrightbold"/>
              <w:spacing w:before="10" w:after="10" w:line="228" w:lineRule="auto"/>
              <w:rPr>
                <w:sz w:val="16"/>
              </w:rPr>
            </w:pPr>
            <w:r w:rsidRPr="00095EB4">
              <w:rPr>
                <w:sz w:val="16"/>
              </w:rPr>
              <w:t>133.6</w:t>
            </w:r>
          </w:p>
        </w:tc>
        <w:tc>
          <w:tcPr>
            <w:tcW w:w="654" w:type="dxa"/>
            <w:noWrap/>
            <w:hideMark/>
          </w:tcPr>
          <w:p w14:paraId="4A7C9220" w14:textId="77777777" w:rsidR="00CE75D4" w:rsidRPr="00095EB4" w:rsidRDefault="00CE75D4" w:rsidP="008340C1">
            <w:pPr>
              <w:pStyle w:val="ARfintablebodyrightbold"/>
              <w:spacing w:before="10" w:after="10" w:line="228" w:lineRule="auto"/>
              <w:rPr>
                <w:sz w:val="16"/>
              </w:rPr>
            </w:pPr>
            <w:r w:rsidRPr="00095EB4">
              <w:rPr>
                <w:sz w:val="16"/>
              </w:rPr>
              <w:t>123.4</w:t>
            </w:r>
          </w:p>
        </w:tc>
        <w:tc>
          <w:tcPr>
            <w:tcW w:w="721" w:type="dxa"/>
            <w:noWrap/>
            <w:hideMark/>
          </w:tcPr>
          <w:p w14:paraId="27FEA247" w14:textId="77777777" w:rsidR="00CE75D4" w:rsidRPr="00095EB4" w:rsidRDefault="00CE75D4" w:rsidP="008340C1">
            <w:pPr>
              <w:pStyle w:val="ARfintablebodyrightbold"/>
              <w:spacing w:before="10" w:after="10" w:line="228" w:lineRule="auto"/>
              <w:rPr>
                <w:sz w:val="16"/>
              </w:rPr>
            </w:pPr>
            <w:r w:rsidRPr="00095EB4">
              <w:rPr>
                <w:sz w:val="16"/>
              </w:rPr>
              <w:t>14.3</w:t>
            </w:r>
          </w:p>
        </w:tc>
        <w:tc>
          <w:tcPr>
            <w:tcW w:w="882" w:type="dxa"/>
            <w:noWrap/>
            <w:hideMark/>
          </w:tcPr>
          <w:p w14:paraId="6EA450A9" w14:textId="77777777" w:rsidR="00CE75D4" w:rsidRPr="00095EB4" w:rsidRDefault="00CE75D4" w:rsidP="008340C1">
            <w:pPr>
              <w:pStyle w:val="ARfintablebodyrightbold"/>
              <w:spacing w:before="10" w:after="10" w:line="228" w:lineRule="auto"/>
              <w:rPr>
                <w:sz w:val="16"/>
              </w:rPr>
            </w:pPr>
            <w:r w:rsidRPr="00095EB4">
              <w:rPr>
                <w:sz w:val="16"/>
              </w:rPr>
              <w:t>2,087.5</w:t>
            </w:r>
          </w:p>
        </w:tc>
        <w:tc>
          <w:tcPr>
            <w:tcW w:w="654" w:type="dxa"/>
            <w:noWrap/>
            <w:hideMark/>
          </w:tcPr>
          <w:p w14:paraId="30B75F8D" w14:textId="77777777" w:rsidR="00CE75D4" w:rsidRPr="00095EB4" w:rsidRDefault="00CE75D4" w:rsidP="008340C1">
            <w:pPr>
              <w:pStyle w:val="ARfintablebodyrightbold"/>
              <w:spacing w:before="10" w:after="10" w:line="228" w:lineRule="auto"/>
              <w:rPr>
                <w:sz w:val="16"/>
              </w:rPr>
            </w:pPr>
            <w:r w:rsidRPr="00095EB4">
              <w:rPr>
                <w:sz w:val="16"/>
              </w:rPr>
              <w:t>22.9</w:t>
            </w:r>
          </w:p>
        </w:tc>
        <w:tc>
          <w:tcPr>
            <w:tcW w:w="654" w:type="dxa"/>
            <w:noWrap/>
            <w:hideMark/>
          </w:tcPr>
          <w:p w14:paraId="05D97D51" w14:textId="77777777" w:rsidR="00CE75D4" w:rsidRPr="00095EB4" w:rsidRDefault="00CE75D4" w:rsidP="008340C1">
            <w:pPr>
              <w:pStyle w:val="ARfintablebodyrightbold"/>
              <w:spacing w:before="10" w:after="10" w:line="228" w:lineRule="auto"/>
              <w:rPr>
                <w:sz w:val="16"/>
              </w:rPr>
            </w:pPr>
            <w:r w:rsidRPr="00095EB4">
              <w:rPr>
                <w:sz w:val="16"/>
              </w:rPr>
              <w:t>0.9</w:t>
            </w:r>
          </w:p>
        </w:tc>
        <w:tc>
          <w:tcPr>
            <w:tcW w:w="654" w:type="dxa"/>
            <w:noWrap/>
            <w:hideMark/>
          </w:tcPr>
          <w:p w14:paraId="03A93EC8" w14:textId="77777777" w:rsidR="00CE75D4" w:rsidRPr="00095EB4" w:rsidRDefault="00CE75D4" w:rsidP="008340C1">
            <w:pPr>
              <w:pStyle w:val="ARfintablebodyrightbold"/>
              <w:spacing w:before="10" w:after="10" w:line="228" w:lineRule="auto"/>
              <w:rPr>
                <w:sz w:val="16"/>
              </w:rPr>
            </w:pPr>
            <w:r w:rsidRPr="00095EB4">
              <w:rPr>
                <w:sz w:val="16"/>
              </w:rPr>
              <w:t>0.1</w:t>
            </w:r>
          </w:p>
        </w:tc>
        <w:tc>
          <w:tcPr>
            <w:tcW w:w="654" w:type="dxa"/>
            <w:noWrap/>
            <w:hideMark/>
          </w:tcPr>
          <w:p w14:paraId="0EDA3488" w14:textId="77777777" w:rsidR="00CE75D4" w:rsidRPr="00095EB4" w:rsidRDefault="00CE75D4" w:rsidP="008340C1">
            <w:pPr>
              <w:pStyle w:val="ARfintablebodyrightbold"/>
              <w:spacing w:before="10" w:after="10" w:line="228" w:lineRule="auto"/>
              <w:rPr>
                <w:sz w:val="16"/>
              </w:rPr>
            </w:pPr>
            <w:r w:rsidRPr="00095EB4">
              <w:rPr>
                <w:sz w:val="16"/>
              </w:rPr>
              <w:t>5.1</w:t>
            </w:r>
          </w:p>
        </w:tc>
        <w:tc>
          <w:tcPr>
            <w:tcW w:w="654" w:type="dxa"/>
            <w:noWrap/>
            <w:hideMark/>
          </w:tcPr>
          <w:p w14:paraId="641E0FE2" w14:textId="77777777" w:rsidR="00CE75D4" w:rsidRPr="00095EB4" w:rsidRDefault="00CE75D4" w:rsidP="008340C1">
            <w:pPr>
              <w:pStyle w:val="ARfintablebodyrightbold"/>
              <w:spacing w:before="10" w:after="10" w:line="228" w:lineRule="auto"/>
              <w:rPr>
                <w:sz w:val="16"/>
              </w:rPr>
            </w:pPr>
            <w:r w:rsidRPr="00095EB4">
              <w:rPr>
                <w:sz w:val="16"/>
              </w:rPr>
              <w:t>–</w:t>
            </w:r>
          </w:p>
        </w:tc>
        <w:tc>
          <w:tcPr>
            <w:tcW w:w="654" w:type="dxa"/>
            <w:noWrap/>
            <w:hideMark/>
          </w:tcPr>
          <w:p w14:paraId="70544011" w14:textId="77777777" w:rsidR="00CE75D4" w:rsidRPr="00095EB4" w:rsidRDefault="00CE75D4" w:rsidP="008340C1">
            <w:pPr>
              <w:pStyle w:val="ARfintablebodyrightbold"/>
              <w:spacing w:before="10" w:after="10" w:line="228" w:lineRule="auto"/>
              <w:rPr>
                <w:sz w:val="16"/>
              </w:rPr>
            </w:pPr>
            <w:r w:rsidRPr="00095EB4">
              <w:rPr>
                <w:sz w:val="16"/>
              </w:rPr>
              <w:t>–</w:t>
            </w:r>
          </w:p>
        </w:tc>
        <w:tc>
          <w:tcPr>
            <w:tcW w:w="833" w:type="dxa"/>
            <w:noWrap/>
            <w:hideMark/>
          </w:tcPr>
          <w:p w14:paraId="6B2ACCC0" w14:textId="77777777" w:rsidR="00CE75D4" w:rsidRPr="00095EB4" w:rsidRDefault="00CE75D4" w:rsidP="008340C1">
            <w:pPr>
              <w:pStyle w:val="ARfintablebodyrightbold"/>
              <w:spacing w:before="10" w:after="10" w:line="228" w:lineRule="auto"/>
              <w:rPr>
                <w:sz w:val="16"/>
              </w:rPr>
            </w:pPr>
            <w:r w:rsidRPr="00095EB4">
              <w:rPr>
                <w:sz w:val="16"/>
              </w:rPr>
              <w:t>15,140.3</w:t>
            </w:r>
          </w:p>
        </w:tc>
      </w:tr>
      <w:tr w:rsidR="00CE75D4" w:rsidRPr="00147B66" w14:paraId="6733A488" w14:textId="77777777" w:rsidTr="00130D1C">
        <w:tc>
          <w:tcPr>
            <w:tcW w:w="3334" w:type="dxa"/>
            <w:tcBorders>
              <w:bottom w:val="single" w:sz="4" w:space="0" w:color="auto"/>
            </w:tcBorders>
            <w:hideMark/>
          </w:tcPr>
          <w:p w14:paraId="1C11B391" w14:textId="77777777" w:rsidR="00CE75D4" w:rsidRPr="00095EB4" w:rsidRDefault="00CE75D4" w:rsidP="008340C1">
            <w:pPr>
              <w:pStyle w:val="ARfintablebodybold"/>
              <w:spacing w:before="10" w:after="10" w:line="228" w:lineRule="auto"/>
              <w:rPr>
                <w:rFonts w:cs="Arial"/>
                <w:sz w:val="16"/>
              </w:rPr>
            </w:pPr>
            <w:r w:rsidRPr="00095EB4">
              <w:rPr>
                <w:rFonts w:cs="Arial"/>
                <w:sz w:val="16"/>
              </w:rPr>
              <w:t>Total administered net result from transactions</w:t>
            </w:r>
          </w:p>
        </w:tc>
        <w:tc>
          <w:tcPr>
            <w:tcW w:w="835" w:type="dxa"/>
            <w:tcBorders>
              <w:bottom w:val="single" w:sz="4" w:space="0" w:color="auto"/>
            </w:tcBorders>
            <w:noWrap/>
            <w:hideMark/>
          </w:tcPr>
          <w:p w14:paraId="6E227260" w14:textId="77777777" w:rsidR="00CE75D4" w:rsidRPr="00095EB4" w:rsidRDefault="00CE75D4" w:rsidP="008340C1">
            <w:pPr>
              <w:pStyle w:val="ARfintablebodyrightbold"/>
              <w:spacing w:before="10" w:after="10" w:line="228" w:lineRule="auto"/>
              <w:rPr>
                <w:sz w:val="16"/>
              </w:rPr>
            </w:pPr>
            <w:r w:rsidRPr="00095EB4">
              <w:rPr>
                <w:sz w:val="16"/>
              </w:rPr>
              <w:t>(43.2)</w:t>
            </w:r>
          </w:p>
        </w:tc>
        <w:tc>
          <w:tcPr>
            <w:tcW w:w="656" w:type="dxa"/>
            <w:tcBorders>
              <w:bottom w:val="single" w:sz="4" w:space="0" w:color="auto"/>
            </w:tcBorders>
            <w:noWrap/>
            <w:hideMark/>
          </w:tcPr>
          <w:p w14:paraId="3A8ACFA0" w14:textId="77777777" w:rsidR="00CE75D4" w:rsidRPr="00095EB4" w:rsidRDefault="00CE75D4" w:rsidP="008340C1">
            <w:pPr>
              <w:pStyle w:val="ARfintablebodyrightbold"/>
              <w:spacing w:before="10" w:after="10" w:line="228" w:lineRule="auto"/>
              <w:rPr>
                <w:sz w:val="16"/>
              </w:rPr>
            </w:pPr>
            <w:r w:rsidRPr="00095EB4">
              <w:rPr>
                <w:sz w:val="16"/>
              </w:rPr>
              <w:t>(0.7)</w:t>
            </w:r>
          </w:p>
        </w:tc>
        <w:tc>
          <w:tcPr>
            <w:tcW w:w="656" w:type="dxa"/>
            <w:tcBorders>
              <w:bottom w:val="single" w:sz="4" w:space="0" w:color="auto"/>
            </w:tcBorders>
            <w:noWrap/>
            <w:hideMark/>
          </w:tcPr>
          <w:p w14:paraId="7A4C059D" w14:textId="77777777" w:rsidR="00CE75D4" w:rsidRPr="00095EB4" w:rsidRDefault="00CE75D4" w:rsidP="008340C1">
            <w:pPr>
              <w:pStyle w:val="ARfintablebodyrightbold"/>
              <w:spacing w:before="10" w:after="10" w:line="228" w:lineRule="auto"/>
              <w:rPr>
                <w:sz w:val="16"/>
              </w:rPr>
            </w:pPr>
            <w:r w:rsidRPr="00095EB4">
              <w:rPr>
                <w:sz w:val="16"/>
              </w:rPr>
              <w:t>3.6</w:t>
            </w:r>
          </w:p>
        </w:tc>
        <w:tc>
          <w:tcPr>
            <w:tcW w:w="655" w:type="dxa"/>
            <w:tcBorders>
              <w:bottom w:val="single" w:sz="4" w:space="0" w:color="auto"/>
            </w:tcBorders>
            <w:noWrap/>
            <w:hideMark/>
          </w:tcPr>
          <w:p w14:paraId="518045BB" w14:textId="77777777" w:rsidR="00CE75D4" w:rsidRPr="00095EB4" w:rsidRDefault="00CE75D4" w:rsidP="008340C1">
            <w:pPr>
              <w:pStyle w:val="ARfintablebodyrightbold"/>
              <w:spacing w:before="10" w:after="10" w:line="228" w:lineRule="auto"/>
              <w:rPr>
                <w:sz w:val="16"/>
              </w:rPr>
            </w:pPr>
            <w:r w:rsidRPr="00095EB4">
              <w:rPr>
                <w:sz w:val="16"/>
              </w:rPr>
              <w:t>36.1</w:t>
            </w:r>
          </w:p>
        </w:tc>
        <w:tc>
          <w:tcPr>
            <w:tcW w:w="655" w:type="dxa"/>
            <w:tcBorders>
              <w:bottom w:val="single" w:sz="4" w:space="0" w:color="auto"/>
            </w:tcBorders>
            <w:noWrap/>
            <w:hideMark/>
          </w:tcPr>
          <w:p w14:paraId="40FFEDC7" w14:textId="77777777" w:rsidR="00CE75D4" w:rsidRPr="00095EB4" w:rsidRDefault="00CE75D4" w:rsidP="008340C1">
            <w:pPr>
              <w:pStyle w:val="ARfintablebodyrightbold"/>
              <w:spacing w:before="10" w:after="10" w:line="228" w:lineRule="auto"/>
              <w:rPr>
                <w:sz w:val="16"/>
              </w:rPr>
            </w:pPr>
            <w:r w:rsidRPr="00095EB4">
              <w:rPr>
                <w:sz w:val="16"/>
              </w:rPr>
              <w:t>1.4</w:t>
            </w:r>
          </w:p>
        </w:tc>
        <w:tc>
          <w:tcPr>
            <w:tcW w:w="654" w:type="dxa"/>
            <w:tcBorders>
              <w:bottom w:val="single" w:sz="4" w:space="0" w:color="auto"/>
            </w:tcBorders>
            <w:noWrap/>
            <w:hideMark/>
          </w:tcPr>
          <w:p w14:paraId="3551B2C7" w14:textId="77777777" w:rsidR="00CE75D4" w:rsidRPr="00095EB4" w:rsidRDefault="00CE75D4" w:rsidP="008340C1">
            <w:pPr>
              <w:pStyle w:val="ARfintablebodyrightbold"/>
              <w:spacing w:before="10" w:after="10" w:line="228" w:lineRule="auto"/>
              <w:rPr>
                <w:sz w:val="16"/>
              </w:rPr>
            </w:pPr>
            <w:r w:rsidRPr="00095EB4">
              <w:rPr>
                <w:sz w:val="16"/>
              </w:rPr>
              <w:t>0.3</w:t>
            </w:r>
          </w:p>
        </w:tc>
        <w:tc>
          <w:tcPr>
            <w:tcW w:w="654" w:type="dxa"/>
            <w:tcBorders>
              <w:bottom w:val="single" w:sz="4" w:space="0" w:color="auto"/>
            </w:tcBorders>
            <w:noWrap/>
            <w:hideMark/>
          </w:tcPr>
          <w:p w14:paraId="1A443AB6" w14:textId="77777777" w:rsidR="00CE75D4" w:rsidRPr="00095EB4" w:rsidRDefault="00CE75D4" w:rsidP="008340C1">
            <w:pPr>
              <w:pStyle w:val="ARfintablebodyrightbold"/>
              <w:spacing w:before="10" w:after="10" w:line="228" w:lineRule="auto"/>
              <w:rPr>
                <w:sz w:val="16"/>
              </w:rPr>
            </w:pPr>
            <w:r w:rsidRPr="00095EB4">
              <w:rPr>
                <w:sz w:val="16"/>
              </w:rPr>
              <w:t>7.9</w:t>
            </w:r>
          </w:p>
        </w:tc>
        <w:tc>
          <w:tcPr>
            <w:tcW w:w="721" w:type="dxa"/>
            <w:tcBorders>
              <w:bottom w:val="single" w:sz="4" w:space="0" w:color="auto"/>
            </w:tcBorders>
            <w:noWrap/>
            <w:hideMark/>
          </w:tcPr>
          <w:p w14:paraId="468D175B" w14:textId="77777777" w:rsidR="00CE75D4" w:rsidRPr="00095EB4" w:rsidRDefault="00CE75D4" w:rsidP="008340C1">
            <w:pPr>
              <w:pStyle w:val="ARfintablebodyrightbold"/>
              <w:spacing w:before="10" w:after="10" w:line="228" w:lineRule="auto"/>
              <w:rPr>
                <w:sz w:val="16"/>
              </w:rPr>
            </w:pPr>
            <w:r w:rsidRPr="00095EB4">
              <w:rPr>
                <w:sz w:val="16"/>
              </w:rPr>
              <w:t>0.6</w:t>
            </w:r>
          </w:p>
        </w:tc>
        <w:tc>
          <w:tcPr>
            <w:tcW w:w="882" w:type="dxa"/>
            <w:tcBorders>
              <w:bottom w:val="single" w:sz="4" w:space="0" w:color="auto"/>
            </w:tcBorders>
            <w:noWrap/>
            <w:hideMark/>
          </w:tcPr>
          <w:p w14:paraId="2DC5E396" w14:textId="77777777" w:rsidR="00CE75D4" w:rsidRPr="00095EB4" w:rsidRDefault="00CE75D4" w:rsidP="008340C1">
            <w:pPr>
              <w:pStyle w:val="ARfintablebodyrightbold"/>
              <w:spacing w:before="10" w:after="10" w:line="228" w:lineRule="auto"/>
              <w:rPr>
                <w:sz w:val="16"/>
              </w:rPr>
            </w:pPr>
            <w:r w:rsidRPr="00095EB4">
              <w:rPr>
                <w:sz w:val="16"/>
              </w:rPr>
              <w:t>(145.7)</w:t>
            </w:r>
          </w:p>
        </w:tc>
        <w:tc>
          <w:tcPr>
            <w:tcW w:w="654" w:type="dxa"/>
            <w:tcBorders>
              <w:bottom w:val="single" w:sz="4" w:space="0" w:color="auto"/>
            </w:tcBorders>
            <w:noWrap/>
            <w:hideMark/>
          </w:tcPr>
          <w:p w14:paraId="1BB8D00E" w14:textId="77777777" w:rsidR="00CE75D4" w:rsidRPr="00095EB4" w:rsidRDefault="00CE75D4" w:rsidP="008340C1">
            <w:pPr>
              <w:pStyle w:val="ARfintablebodyrightbold"/>
              <w:spacing w:before="10" w:after="10" w:line="228" w:lineRule="auto"/>
              <w:rPr>
                <w:sz w:val="16"/>
              </w:rPr>
            </w:pPr>
            <w:r w:rsidRPr="00095EB4">
              <w:rPr>
                <w:sz w:val="16"/>
              </w:rPr>
              <w:t>0.4</w:t>
            </w:r>
          </w:p>
        </w:tc>
        <w:tc>
          <w:tcPr>
            <w:tcW w:w="654" w:type="dxa"/>
            <w:tcBorders>
              <w:bottom w:val="single" w:sz="4" w:space="0" w:color="auto"/>
            </w:tcBorders>
            <w:noWrap/>
            <w:hideMark/>
          </w:tcPr>
          <w:p w14:paraId="1C126568" w14:textId="77777777" w:rsidR="00CE75D4" w:rsidRPr="00095EB4" w:rsidRDefault="00CE75D4" w:rsidP="008340C1">
            <w:pPr>
              <w:pStyle w:val="ARfintablebodyrightbold"/>
              <w:spacing w:before="10" w:after="10" w:line="228" w:lineRule="auto"/>
              <w:rPr>
                <w:sz w:val="16"/>
              </w:rPr>
            </w:pPr>
            <w:r w:rsidRPr="00095EB4">
              <w:rPr>
                <w:sz w:val="16"/>
              </w:rPr>
              <w:t>(0.6)</w:t>
            </w:r>
          </w:p>
        </w:tc>
        <w:tc>
          <w:tcPr>
            <w:tcW w:w="654" w:type="dxa"/>
            <w:tcBorders>
              <w:bottom w:val="single" w:sz="4" w:space="0" w:color="auto"/>
            </w:tcBorders>
            <w:noWrap/>
            <w:hideMark/>
          </w:tcPr>
          <w:p w14:paraId="08C902BA" w14:textId="77777777" w:rsidR="00CE75D4" w:rsidRPr="00095EB4" w:rsidRDefault="00CE75D4" w:rsidP="008340C1">
            <w:pPr>
              <w:pStyle w:val="ARfintablebodyrightbold"/>
              <w:spacing w:before="10" w:after="10" w:line="228" w:lineRule="auto"/>
              <w:rPr>
                <w:sz w:val="16"/>
              </w:rPr>
            </w:pPr>
            <w:r w:rsidRPr="00095EB4">
              <w:rPr>
                <w:sz w:val="16"/>
              </w:rPr>
              <w:t>0.1</w:t>
            </w:r>
          </w:p>
        </w:tc>
        <w:tc>
          <w:tcPr>
            <w:tcW w:w="654" w:type="dxa"/>
            <w:tcBorders>
              <w:bottom w:val="single" w:sz="4" w:space="0" w:color="auto"/>
            </w:tcBorders>
            <w:noWrap/>
            <w:hideMark/>
          </w:tcPr>
          <w:p w14:paraId="227A5909" w14:textId="77777777" w:rsidR="00CE75D4" w:rsidRPr="00095EB4" w:rsidRDefault="00CE75D4" w:rsidP="008340C1">
            <w:pPr>
              <w:pStyle w:val="ARfintablebodyrightbold"/>
              <w:spacing w:before="10" w:after="10" w:line="228" w:lineRule="auto"/>
              <w:rPr>
                <w:sz w:val="16"/>
              </w:rPr>
            </w:pPr>
            <w:r w:rsidRPr="00095EB4">
              <w:rPr>
                <w:sz w:val="16"/>
              </w:rPr>
              <w:t>–</w:t>
            </w:r>
          </w:p>
        </w:tc>
        <w:tc>
          <w:tcPr>
            <w:tcW w:w="654" w:type="dxa"/>
            <w:tcBorders>
              <w:bottom w:val="single" w:sz="4" w:space="0" w:color="auto"/>
            </w:tcBorders>
            <w:noWrap/>
            <w:hideMark/>
          </w:tcPr>
          <w:p w14:paraId="4AB68257" w14:textId="77777777" w:rsidR="00CE75D4" w:rsidRPr="00095EB4" w:rsidRDefault="00CE75D4" w:rsidP="008340C1">
            <w:pPr>
              <w:pStyle w:val="ARfintablebodyrightbold"/>
              <w:spacing w:before="10" w:after="10" w:line="228" w:lineRule="auto"/>
              <w:rPr>
                <w:sz w:val="16"/>
              </w:rPr>
            </w:pPr>
            <w:r w:rsidRPr="00095EB4">
              <w:rPr>
                <w:sz w:val="16"/>
              </w:rPr>
              <w:t>–</w:t>
            </w:r>
          </w:p>
        </w:tc>
        <w:tc>
          <w:tcPr>
            <w:tcW w:w="654" w:type="dxa"/>
            <w:tcBorders>
              <w:bottom w:val="single" w:sz="4" w:space="0" w:color="auto"/>
            </w:tcBorders>
            <w:noWrap/>
            <w:hideMark/>
          </w:tcPr>
          <w:p w14:paraId="56B315CD" w14:textId="77777777" w:rsidR="00CE75D4" w:rsidRPr="00095EB4" w:rsidRDefault="00CE75D4" w:rsidP="008340C1">
            <w:pPr>
              <w:pStyle w:val="ARfintablebodyrightbold"/>
              <w:spacing w:before="10" w:after="10" w:line="228" w:lineRule="auto"/>
              <w:rPr>
                <w:sz w:val="16"/>
              </w:rPr>
            </w:pPr>
            <w:r w:rsidRPr="00095EB4">
              <w:rPr>
                <w:sz w:val="16"/>
              </w:rPr>
              <w:t>–</w:t>
            </w:r>
          </w:p>
        </w:tc>
        <w:tc>
          <w:tcPr>
            <w:tcW w:w="833" w:type="dxa"/>
            <w:tcBorders>
              <w:bottom w:val="single" w:sz="4" w:space="0" w:color="auto"/>
            </w:tcBorders>
            <w:noWrap/>
            <w:hideMark/>
          </w:tcPr>
          <w:p w14:paraId="2F583D47" w14:textId="77777777" w:rsidR="00CE75D4" w:rsidRPr="00095EB4" w:rsidRDefault="00CE75D4" w:rsidP="008340C1">
            <w:pPr>
              <w:pStyle w:val="ARfintablebodyrightbold"/>
              <w:spacing w:before="10" w:after="10" w:line="228" w:lineRule="auto"/>
              <w:rPr>
                <w:sz w:val="16"/>
              </w:rPr>
            </w:pPr>
            <w:r w:rsidRPr="00095EB4">
              <w:rPr>
                <w:sz w:val="16"/>
              </w:rPr>
              <w:t>(139.8)</w:t>
            </w:r>
          </w:p>
        </w:tc>
      </w:tr>
      <w:tr w:rsidR="00CE75D4" w:rsidRPr="00147B66" w14:paraId="6C926721" w14:textId="77777777" w:rsidTr="3D493511">
        <w:tc>
          <w:tcPr>
            <w:tcW w:w="14459" w:type="dxa"/>
            <w:gridSpan w:val="17"/>
            <w:tcBorders>
              <w:top w:val="single" w:sz="4" w:space="0" w:color="auto"/>
              <w:bottom w:val="single" w:sz="4" w:space="0" w:color="A6A6A6" w:themeColor="background1" w:themeShade="A6"/>
            </w:tcBorders>
            <w:hideMark/>
          </w:tcPr>
          <w:p w14:paraId="433BEA25" w14:textId="77777777" w:rsidR="00CE75D4" w:rsidRPr="00095EB4" w:rsidRDefault="00CE75D4" w:rsidP="008340C1">
            <w:pPr>
              <w:pStyle w:val="ARfintablebodybold"/>
              <w:spacing w:before="10" w:after="10" w:line="228" w:lineRule="auto"/>
              <w:rPr>
                <w:rFonts w:cs="Arial"/>
                <w:sz w:val="16"/>
              </w:rPr>
            </w:pPr>
            <w:r w:rsidRPr="00095EB4">
              <w:rPr>
                <w:rFonts w:cs="Arial"/>
                <w:sz w:val="16"/>
              </w:rPr>
              <w:t xml:space="preserve">Administered other economic flows </w:t>
            </w:r>
            <w:r>
              <w:rPr>
                <w:rFonts w:cs="Arial"/>
                <w:sz w:val="16"/>
              </w:rPr>
              <w:br/>
            </w:r>
            <w:r w:rsidRPr="00095EB4">
              <w:rPr>
                <w:rFonts w:cs="Arial"/>
                <w:sz w:val="16"/>
              </w:rPr>
              <w:t>included in net result</w:t>
            </w:r>
          </w:p>
        </w:tc>
      </w:tr>
      <w:tr w:rsidR="00CE75D4" w:rsidRPr="00147B66" w14:paraId="2450DA0B" w14:textId="77777777" w:rsidTr="3D493511">
        <w:tc>
          <w:tcPr>
            <w:tcW w:w="3334" w:type="dxa"/>
            <w:tcBorders>
              <w:top w:val="single" w:sz="4" w:space="0" w:color="A6A6A6" w:themeColor="background1" w:themeShade="A6"/>
              <w:bottom w:val="single" w:sz="4" w:space="0" w:color="A6A6A6" w:themeColor="background1" w:themeShade="A6"/>
            </w:tcBorders>
            <w:hideMark/>
          </w:tcPr>
          <w:p w14:paraId="478B4716" w14:textId="77777777" w:rsidR="00CE75D4" w:rsidRPr="00095EB4" w:rsidRDefault="00CE75D4" w:rsidP="008340C1">
            <w:pPr>
              <w:pStyle w:val="ARfintablebody"/>
              <w:spacing w:before="10" w:after="10" w:line="228" w:lineRule="auto"/>
              <w:rPr>
                <w:sz w:val="16"/>
              </w:rPr>
            </w:pPr>
            <w:r w:rsidRPr="00095EB4">
              <w:rPr>
                <w:sz w:val="16"/>
              </w:rPr>
              <w:t>Net gain/(loss) on non-financial assets</w:t>
            </w:r>
          </w:p>
        </w:tc>
        <w:tc>
          <w:tcPr>
            <w:tcW w:w="835" w:type="dxa"/>
            <w:tcBorders>
              <w:top w:val="single" w:sz="4" w:space="0" w:color="A6A6A6" w:themeColor="background1" w:themeShade="A6"/>
              <w:bottom w:val="single" w:sz="4" w:space="0" w:color="A6A6A6" w:themeColor="background1" w:themeShade="A6"/>
            </w:tcBorders>
            <w:noWrap/>
            <w:hideMark/>
          </w:tcPr>
          <w:p w14:paraId="4532F8A0" w14:textId="77777777" w:rsidR="00CE75D4" w:rsidRPr="00095EB4" w:rsidRDefault="00CE75D4" w:rsidP="008340C1">
            <w:pPr>
              <w:pStyle w:val="ARfintablebodyright"/>
              <w:spacing w:before="10" w:after="10" w:line="228" w:lineRule="auto"/>
              <w:rPr>
                <w:sz w:val="16"/>
              </w:rPr>
            </w:pPr>
            <w:r w:rsidRPr="00095EB4">
              <w:rPr>
                <w:sz w:val="16"/>
              </w:rPr>
              <w:t>0.1</w:t>
            </w:r>
          </w:p>
        </w:tc>
        <w:tc>
          <w:tcPr>
            <w:tcW w:w="656" w:type="dxa"/>
            <w:tcBorders>
              <w:top w:val="single" w:sz="4" w:space="0" w:color="A6A6A6" w:themeColor="background1" w:themeShade="A6"/>
              <w:bottom w:val="single" w:sz="4" w:space="0" w:color="A6A6A6" w:themeColor="background1" w:themeShade="A6"/>
            </w:tcBorders>
            <w:noWrap/>
            <w:hideMark/>
          </w:tcPr>
          <w:p w14:paraId="4F78DF9A" w14:textId="77777777" w:rsidR="00CE75D4" w:rsidRPr="00095EB4" w:rsidRDefault="00CE75D4" w:rsidP="008340C1">
            <w:pPr>
              <w:pStyle w:val="ARfintablebodyright"/>
              <w:spacing w:before="10" w:after="10" w:line="228" w:lineRule="auto"/>
              <w:rPr>
                <w:sz w:val="16"/>
              </w:rPr>
            </w:pPr>
            <w:r w:rsidRPr="00095EB4">
              <w:rPr>
                <w:sz w:val="16"/>
              </w:rPr>
              <w:t>0.1</w:t>
            </w:r>
          </w:p>
        </w:tc>
        <w:tc>
          <w:tcPr>
            <w:tcW w:w="656" w:type="dxa"/>
            <w:tcBorders>
              <w:top w:val="single" w:sz="4" w:space="0" w:color="A6A6A6" w:themeColor="background1" w:themeShade="A6"/>
              <w:bottom w:val="single" w:sz="4" w:space="0" w:color="A6A6A6" w:themeColor="background1" w:themeShade="A6"/>
            </w:tcBorders>
            <w:noWrap/>
            <w:hideMark/>
          </w:tcPr>
          <w:p w14:paraId="6B26E9BD"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4EE1ECD9"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bottom w:val="single" w:sz="4" w:space="0" w:color="A6A6A6" w:themeColor="background1" w:themeShade="A6"/>
            </w:tcBorders>
            <w:noWrap/>
            <w:hideMark/>
          </w:tcPr>
          <w:p w14:paraId="4C481DF8"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05B28478"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2C90AD1D" w14:textId="77777777" w:rsidR="00CE75D4" w:rsidRPr="00095EB4" w:rsidRDefault="00CE75D4" w:rsidP="008340C1">
            <w:pPr>
              <w:pStyle w:val="ARfintablebodyright"/>
              <w:spacing w:before="10" w:after="10" w:line="228" w:lineRule="auto"/>
              <w:rPr>
                <w:sz w:val="16"/>
              </w:rPr>
            </w:pPr>
            <w:r w:rsidRPr="00095EB4">
              <w:rPr>
                <w:sz w:val="16"/>
              </w:rPr>
              <w:t>–</w:t>
            </w:r>
          </w:p>
        </w:tc>
        <w:tc>
          <w:tcPr>
            <w:tcW w:w="721" w:type="dxa"/>
            <w:tcBorders>
              <w:top w:val="single" w:sz="4" w:space="0" w:color="A6A6A6" w:themeColor="background1" w:themeShade="A6"/>
              <w:bottom w:val="single" w:sz="4" w:space="0" w:color="A6A6A6" w:themeColor="background1" w:themeShade="A6"/>
            </w:tcBorders>
            <w:noWrap/>
            <w:hideMark/>
          </w:tcPr>
          <w:p w14:paraId="454DE9E2" w14:textId="77777777" w:rsidR="00CE75D4" w:rsidRPr="00095EB4" w:rsidRDefault="00CE75D4" w:rsidP="008340C1">
            <w:pPr>
              <w:pStyle w:val="ARfintablebodyright"/>
              <w:spacing w:before="10" w:after="10" w:line="228" w:lineRule="auto"/>
              <w:rPr>
                <w:sz w:val="16"/>
              </w:rPr>
            </w:pPr>
            <w:r w:rsidRPr="00095EB4">
              <w:rPr>
                <w:sz w:val="16"/>
              </w:rPr>
              <w:t>–</w:t>
            </w:r>
          </w:p>
        </w:tc>
        <w:tc>
          <w:tcPr>
            <w:tcW w:w="882" w:type="dxa"/>
            <w:tcBorders>
              <w:top w:val="single" w:sz="4" w:space="0" w:color="A6A6A6" w:themeColor="background1" w:themeShade="A6"/>
              <w:bottom w:val="single" w:sz="4" w:space="0" w:color="A6A6A6" w:themeColor="background1" w:themeShade="A6"/>
            </w:tcBorders>
            <w:noWrap/>
            <w:hideMark/>
          </w:tcPr>
          <w:p w14:paraId="59124D5B"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2E2E7620" w14:textId="77777777" w:rsidR="00CE75D4" w:rsidRPr="00095EB4" w:rsidRDefault="00CE75D4" w:rsidP="008340C1">
            <w:pPr>
              <w:pStyle w:val="ARfintablebodyright"/>
              <w:spacing w:before="10" w:after="10" w:line="228" w:lineRule="auto"/>
              <w:rPr>
                <w:sz w:val="16"/>
              </w:rPr>
            </w:pPr>
            <w:r w:rsidRPr="00095EB4">
              <w:rPr>
                <w:sz w:val="16"/>
              </w:rPr>
              <w:t>(0.1)</w:t>
            </w:r>
          </w:p>
        </w:tc>
        <w:tc>
          <w:tcPr>
            <w:tcW w:w="654" w:type="dxa"/>
            <w:tcBorders>
              <w:top w:val="single" w:sz="4" w:space="0" w:color="A6A6A6" w:themeColor="background1" w:themeShade="A6"/>
              <w:bottom w:val="single" w:sz="4" w:space="0" w:color="A6A6A6" w:themeColor="background1" w:themeShade="A6"/>
            </w:tcBorders>
            <w:noWrap/>
            <w:hideMark/>
          </w:tcPr>
          <w:p w14:paraId="477669D7"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24C72A22"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07A829B4" w14:textId="77777777" w:rsidR="00CE75D4" w:rsidRPr="00095EB4" w:rsidRDefault="00CE75D4" w:rsidP="008340C1">
            <w:pPr>
              <w:pStyle w:val="ARfintablebodyright"/>
              <w:spacing w:before="10" w:after="10" w:line="228" w:lineRule="auto"/>
              <w:rPr>
                <w:sz w:val="16"/>
              </w:rPr>
            </w:pPr>
            <w:r w:rsidRPr="00095EB4">
              <w:rPr>
                <w:sz w:val="16"/>
              </w:rPr>
              <w:t>0.3</w:t>
            </w:r>
          </w:p>
        </w:tc>
        <w:tc>
          <w:tcPr>
            <w:tcW w:w="654" w:type="dxa"/>
            <w:tcBorders>
              <w:top w:val="single" w:sz="4" w:space="0" w:color="A6A6A6" w:themeColor="background1" w:themeShade="A6"/>
              <w:bottom w:val="single" w:sz="4" w:space="0" w:color="A6A6A6" w:themeColor="background1" w:themeShade="A6"/>
            </w:tcBorders>
            <w:noWrap/>
            <w:hideMark/>
          </w:tcPr>
          <w:p w14:paraId="59549F94"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bottom w:val="single" w:sz="4" w:space="0" w:color="A6A6A6" w:themeColor="background1" w:themeShade="A6"/>
            </w:tcBorders>
            <w:noWrap/>
            <w:hideMark/>
          </w:tcPr>
          <w:p w14:paraId="1E7ACBA8" w14:textId="77777777" w:rsidR="00CE75D4" w:rsidRPr="00095EB4" w:rsidRDefault="00CE75D4" w:rsidP="008340C1">
            <w:pPr>
              <w:pStyle w:val="ARfintablebodyright"/>
              <w:spacing w:before="10" w:after="10" w:line="228" w:lineRule="auto"/>
              <w:rPr>
                <w:sz w:val="16"/>
              </w:rPr>
            </w:pPr>
            <w:r w:rsidRPr="00095EB4">
              <w:rPr>
                <w:sz w:val="16"/>
              </w:rPr>
              <w:t>–</w:t>
            </w:r>
          </w:p>
        </w:tc>
        <w:tc>
          <w:tcPr>
            <w:tcW w:w="833" w:type="dxa"/>
            <w:tcBorders>
              <w:top w:val="single" w:sz="4" w:space="0" w:color="A6A6A6" w:themeColor="background1" w:themeShade="A6"/>
              <w:bottom w:val="single" w:sz="4" w:space="0" w:color="A6A6A6" w:themeColor="background1" w:themeShade="A6"/>
            </w:tcBorders>
            <w:noWrap/>
            <w:hideMark/>
          </w:tcPr>
          <w:p w14:paraId="67E3AC2B" w14:textId="77777777" w:rsidR="00CE75D4" w:rsidRPr="00095EB4" w:rsidRDefault="00CE75D4" w:rsidP="008340C1">
            <w:pPr>
              <w:pStyle w:val="ARfintablebodyright"/>
              <w:spacing w:before="10" w:after="10" w:line="228" w:lineRule="auto"/>
              <w:rPr>
                <w:sz w:val="16"/>
              </w:rPr>
            </w:pPr>
            <w:r w:rsidRPr="00095EB4">
              <w:rPr>
                <w:sz w:val="16"/>
              </w:rPr>
              <w:t>0.4</w:t>
            </w:r>
          </w:p>
        </w:tc>
      </w:tr>
      <w:tr w:rsidR="00CE75D4" w:rsidRPr="00147B66" w14:paraId="210AFD6A" w14:textId="77777777" w:rsidTr="3D493511">
        <w:tc>
          <w:tcPr>
            <w:tcW w:w="3334" w:type="dxa"/>
            <w:tcBorders>
              <w:top w:val="single" w:sz="4" w:space="0" w:color="A6A6A6" w:themeColor="background1" w:themeShade="A6"/>
            </w:tcBorders>
            <w:hideMark/>
          </w:tcPr>
          <w:p w14:paraId="4CC9AB77" w14:textId="77777777" w:rsidR="00CE75D4" w:rsidRPr="00095EB4" w:rsidRDefault="00CE75D4" w:rsidP="008340C1">
            <w:pPr>
              <w:pStyle w:val="ARfintablebody"/>
              <w:spacing w:before="10" w:after="10" w:line="228" w:lineRule="auto"/>
              <w:rPr>
                <w:sz w:val="16"/>
              </w:rPr>
            </w:pPr>
            <w:r w:rsidRPr="00095EB4">
              <w:rPr>
                <w:sz w:val="16"/>
              </w:rPr>
              <w:t>Other gains/(losses) from other economic flows</w:t>
            </w:r>
          </w:p>
        </w:tc>
        <w:tc>
          <w:tcPr>
            <w:tcW w:w="835" w:type="dxa"/>
            <w:tcBorders>
              <w:top w:val="single" w:sz="4" w:space="0" w:color="A6A6A6" w:themeColor="background1" w:themeShade="A6"/>
            </w:tcBorders>
            <w:noWrap/>
            <w:hideMark/>
          </w:tcPr>
          <w:p w14:paraId="6FC3DB67" w14:textId="77777777" w:rsidR="00CE75D4" w:rsidRPr="00095EB4" w:rsidRDefault="00CE75D4" w:rsidP="008340C1">
            <w:pPr>
              <w:pStyle w:val="ARfintablebodyright"/>
              <w:spacing w:before="10" w:after="10" w:line="228" w:lineRule="auto"/>
              <w:rPr>
                <w:sz w:val="16"/>
              </w:rPr>
            </w:pPr>
            <w:r w:rsidRPr="00095EB4">
              <w:rPr>
                <w:sz w:val="16"/>
              </w:rPr>
              <w:t>(9.3)</w:t>
            </w:r>
          </w:p>
        </w:tc>
        <w:tc>
          <w:tcPr>
            <w:tcW w:w="656" w:type="dxa"/>
            <w:tcBorders>
              <w:top w:val="single" w:sz="4" w:space="0" w:color="A6A6A6" w:themeColor="background1" w:themeShade="A6"/>
            </w:tcBorders>
            <w:noWrap/>
            <w:hideMark/>
          </w:tcPr>
          <w:p w14:paraId="47C50331" w14:textId="77777777" w:rsidR="00CE75D4" w:rsidRPr="00095EB4" w:rsidRDefault="00CE75D4" w:rsidP="008340C1">
            <w:pPr>
              <w:pStyle w:val="ARfintablebodyright"/>
              <w:spacing w:before="10" w:after="10" w:line="228" w:lineRule="auto"/>
              <w:rPr>
                <w:sz w:val="16"/>
              </w:rPr>
            </w:pPr>
            <w:r w:rsidRPr="00095EB4">
              <w:rPr>
                <w:sz w:val="16"/>
              </w:rPr>
              <w:t>–</w:t>
            </w:r>
          </w:p>
        </w:tc>
        <w:tc>
          <w:tcPr>
            <w:tcW w:w="656" w:type="dxa"/>
            <w:tcBorders>
              <w:top w:val="single" w:sz="4" w:space="0" w:color="A6A6A6" w:themeColor="background1" w:themeShade="A6"/>
            </w:tcBorders>
            <w:noWrap/>
            <w:hideMark/>
          </w:tcPr>
          <w:p w14:paraId="6C18438B"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tcBorders>
            <w:noWrap/>
            <w:hideMark/>
          </w:tcPr>
          <w:p w14:paraId="79E4160A" w14:textId="77777777" w:rsidR="00CE75D4" w:rsidRPr="00095EB4" w:rsidRDefault="00CE75D4" w:rsidP="008340C1">
            <w:pPr>
              <w:pStyle w:val="ARfintablebodyright"/>
              <w:spacing w:before="10" w:after="10" w:line="228" w:lineRule="auto"/>
              <w:rPr>
                <w:sz w:val="16"/>
              </w:rPr>
            </w:pPr>
            <w:r w:rsidRPr="00095EB4">
              <w:rPr>
                <w:sz w:val="16"/>
              </w:rPr>
              <w:t>–</w:t>
            </w:r>
          </w:p>
        </w:tc>
        <w:tc>
          <w:tcPr>
            <w:tcW w:w="655" w:type="dxa"/>
            <w:tcBorders>
              <w:top w:val="single" w:sz="4" w:space="0" w:color="A6A6A6" w:themeColor="background1" w:themeShade="A6"/>
            </w:tcBorders>
            <w:noWrap/>
            <w:hideMark/>
          </w:tcPr>
          <w:p w14:paraId="3E2E8913"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1A4D7918"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292B435E" w14:textId="77777777" w:rsidR="00CE75D4" w:rsidRPr="00095EB4" w:rsidRDefault="00CE75D4" w:rsidP="008340C1">
            <w:pPr>
              <w:pStyle w:val="ARfintablebodyright"/>
              <w:spacing w:before="10" w:after="10" w:line="228" w:lineRule="auto"/>
              <w:rPr>
                <w:sz w:val="16"/>
              </w:rPr>
            </w:pPr>
            <w:r w:rsidRPr="00095EB4">
              <w:rPr>
                <w:sz w:val="16"/>
              </w:rPr>
              <w:t>–</w:t>
            </w:r>
          </w:p>
        </w:tc>
        <w:tc>
          <w:tcPr>
            <w:tcW w:w="721" w:type="dxa"/>
            <w:tcBorders>
              <w:top w:val="single" w:sz="4" w:space="0" w:color="A6A6A6" w:themeColor="background1" w:themeShade="A6"/>
            </w:tcBorders>
            <w:noWrap/>
            <w:hideMark/>
          </w:tcPr>
          <w:p w14:paraId="7BC44915" w14:textId="77777777" w:rsidR="00CE75D4" w:rsidRPr="00095EB4" w:rsidRDefault="00CE75D4" w:rsidP="008340C1">
            <w:pPr>
              <w:pStyle w:val="ARfintablebodyright"/>
              <w:spacing w:before="10" w:after="10" w:line="228" w:lineRule="auto"/>
              <w:rPr>
                <w:sz w:val="16"/>
              </w:rPr>
            </w:pPr>
            <w:r w:rsidRPr="00095EB4">
              <w:rPr>
                <w:sz w:val="16"/>
              </w:rPr>
              <w:t>–</w:t>
            </w:r>
          </w:p>
        </w:tc>
        <w:tc>
          <w:tcPr>
            <w:tcW w:w="882" w:type="dxa"/>
            <w:tcBorders>
              <w:top w:val="single" w:sz="4" w:space="0" w:color="A6A6A6" w:themeColor="background1" w:themeShade="A6"/>
            </w:tcBorders>
            <w:noWrap/>
            <w:hideMark/>
          </w:tcPr>
          <w:p w14:paraId="3434A5F6"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62CFA775"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53580C38"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73D99C94"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7E58CA9B"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2F618B47" w14:textId="77777777" w:rsidR="00CE75D4" w:rsidRPr="00095EB4" w:rsidRDefault="00CE75D4" w:rsidP="008340C1">
            <w:pPr>
              <w:pStyle w:val="ARfintablebodyright"/>
              <w:spacing w:before="10" w:after="10" w:line="228" w:lineRule="auto"/>
              <w:rPr>
                <w:sz w:val="16"/>
              </w:rPr>
            </w:pPr>
            <w:r w:rsidRPr="00095EB4">
              <w:rPr>
                <w:sz w:val="16"/>
              </w:rPr>
              <w:t>–</w:t>
            </w:r>
          </w:p>
        </w:tc>
        <w:tc>
          <w:tcPr>
            <w:tcW w:w="654" w:type="dxa"/>
            <w:tcBorders>
              <w:top w:val="single" w:sz="4" w:space="0" w:color="A6A6A6" w:themeColor="background1" w:themeShade="A6"/>
            </w:tcBorders>
            <w:noWrap/>
            <w:hideMark/>
          </w:tcPr>
          <w:p w14:paraId="4C28FD15" w14:textId="77777777" w:rsidR="00CE75D4" w:rsidRPr="00095EB4" w:rsidRDefault="00CE75D4" w:rsidP="008340C1">
            <w:pPr>
              <w:pStyle w:val="ARfintablebodyright"/>
              <w:spacing w:before="10" w:after="10" w:line="228" w:lineRule="auto"/>
              <w:rPr>
                <w:sz w:val="16"/>
              </w:rPr>
            </w:pPr>
            <w:r w:rsidRPr="00095EB4">
              <w:rPr>
                <w:sz w:val="16"/>
              </w:rPr>
              <w:t>–</w:t>
            </w:r>
          </w:p>
        </w:tc>
        <w:tc>
          <w:tcPr>
            <w:tcW w:w="833" w:type="dxa"/>
            <w:tcBorders>
              <w:top w:val="single" w:sz="4" w:space="0" w:color="A6A6A6" w:themeColor="background1" w:themeShade="A6"/>
            </w:tcBorders>
            <w:noWrap/>
            <w:hideMark/>
          </w:tcPr>
          <w:p w14:paraId="5B81E3BF" w14:textId="77777777" w:rsidR="00CE75D4" w:rsidRPr="00095EB4" w:rsidRDefault="00CE75D4" w:rsidP="008340C1">
            <w:pPr>
              <w:pStyle w:val="ARfintablebodyright"/>
              <w:spacing w:before="10" w:after="10" w:line="228" w:lineRule="auto"/>
              <w:rPr>
                <w:sz w:val="16"/>
              </w:rPr>
            </w:pPr>
            <w:r w:rsidRPr="00095EB4">
              <w:rPr>
                <w:sz w:val="16"/>
              </w:rPr>
              <w:t>(9.3)</w:t>
            </w:r>
          </w:p>
        </w:tc>
      </w:tr>
      <w:tr w:rsidR="00CE75D4" w:rsidRPr="00147B66" w14:paraId="366ABE4A" w14:textId="77777777" w:rsidTr="00130D1C">
        <w:tc>
          <w:tcPr>
            <w:tcW w:w="3334" w:type="dxa"/>
            <w:hideMark/>
          </w:tcPr>
          <w:p w14:paraId="3DA89BFB" w14:textId="77777777" w:rsidR="00CE75D4" w:rsidRPr="00095EB4" w:rsidRDefault="00CE75D4" w:rsidP="008340C1">
            <w:pPr>
              <w:pStyle w:val="ARfintablebodybold"/>
              <w:spacing w:before="10" w:after="10" w:line="228" w:lineRule="auto"/>
              <w:rPr>
                <w:rFonts w:cs="Arial"/>
                <w:sz w:val="16"/>
              </w:rPr>
            </w:pPr>
            <w:r w:rsidRPr="00095EB4">
              <w:rPr>
                <w:rFonts w:cs="Arial"/>
                <w:sz w:val="16"/>
              </w:rPr>
              <w:t>Total administered other economic flows</w:t>
            </w:r>
          </w:p>
        </w:tc>
        <w:tc>
          <w:tcPr>
            <w:tcW w:w="835" w:type="dxa"/>
            <w:noWrap/>
            <w:hideMark/>
          </w:tcPr>
          <w:p w14:paraId="0874C92C" w14:textId="77777777" w:rsidR="00CE75D4" w:rsidRPr="00095EB4" w:rsidRDefault="00CE75D4" w:rsidP="008340C1">
            <w:pPr>
              <w:pStyle w:val="ARfintablebodyrightbold"/>
              <w:spacing w:before="10" w:after="10" w:line="228" w:lineRule="auto"/>
              <w:rPr>
                <w:sz w:val="16"/>
              </w:rPr>
            </w:pPr>
            <w:r w:rsidRPr="00095EB4">
              <w:rPr>
                <w:sz w:val="16"/>
              </w:rPr>
              <w:t>(9.2)</w:t>
            </w:r>
          </w:p>
        </w:tc>
        <w:tc>
          <w:tcPr>
            <w:tcW w:w="656" w:type="dxa"/>
            <w:noWrap/>
            <w:hideMark/>
          </w:tcPr>
          <w:p w14:paraId="0356606D" w14:textId="77777777" w:rsidR="00CE75D4" w:rsidRPr="00095EB4" w:rsidRDefault="00CE75D4" w:rsidP="008340C1">
            <w:pPr>
              <w:pStyle w:val="ARfintablebodyrightbold"/>
              <w:spacing w:before="10" w:after="10" w:line="228" w:lineRule="auto"/>
              <w:rPr>
                <w:sz w:val="16"/>
              </w:rPr>
            </w:pPr>
            <w:r w:rsidRPr="00095EB4">
              <w:rPr>
                <w:sz w:val="16"/>
              </w:rPr>
              <w:t>0.1</w:t>
            </w:r>
          </w:p>
        </w:tc>
        <w:tc>
          <w:tcPr>
            <w:tcW w:w="656" w:type="dxa"/>
            <w:noWrap/>
            <w:hideMark/>
          </w:tcPr>
          <w:p w14:paraId="23BDD4FF" w14:textId="77777777" w:rsidR="00CE75D4" w:rsidRPr="00095EB4" w:rsidRDefault="00CE75D4" w:rsidP="008340C1">
            <w:pPr>
              <w:pStyle w:val="ARfintablebodyrightbold"/>
              <w:spacing w:before="10" w:after="10" w:line="228" w:lineRule="auto"/>
              <w:rPr>
                <w:sz w:val="16"/>
              </w:rPr>
            </w:pPr>
            <w:r w:rsidRPr="00095EB4">
              <w:rPr>
                <w:sz w:val="16"/>
              </w:rPr>
              <w:t>–</w:t>
            </w:r>
          </w:p>
        </w:tc>
        <w:tc>
          <w:tcPr>
            <w:tcW w:w="655" w:type="dxa"/>
            <w:noWrap/>
            <w:hideMark/>
          </w:tcPr>
          <w:p w14:paraId="44A0F23C" w14:textId="77777777" w:rsidR="00CE75D4" w:rsidRPr="00095EB4" w:rsidRDefault="00CE75D4" w:rsidP="008340C1">
            <w:pPr>
              <w:pStyle w:val="ARfintablebodyrightbold"/>
              <w:spacing w:before="10" w:after="10" w:line="228" w:lineRule="auto"/>
              <w:rPr>
                <w:sz w:val="16"/>
              </w:rPr>
            </w:pPr>
            <w:r w:rsidRPr="00095EB4">
              <w:rPr>
                <w:sz w:val="16"/>
              </w:rPr>
              <w:t>–</w:t>
            </w:r>
          </w:p>
        </w:tc>
        <w:tc>
          <w:tcPr>
            <w:tcW w:w="655" w:type="dxa"/>
            <w:noWrap/>
            <w:hideMark/>
          </w:tcPr>
          <w:p w14:paraId="6D79B917" w14:textId="77777777" w:rsidR="00CE75D4" w:rsidRPr="00095EB4" w:rsidRDefault="00CE75D4" w:rsidP="008340C1">
            <w:pPr>
              <w:pStyle w:val="ARfintablebodyrightbold"/>
              <w:spacing w:before="10" w:after="10" w:line="228" w:lineRule="auto"/>
              <w:rPr>
                <w:sz w:val="16"/>
              </w:rPr>
            </w:pPr>
            <w:r w:rsidRPr="00095EB4">
              <w:rPr>
                <w:sz w:val="16"/>
              </w:rPr>
              <w:t>–</w:t>
            </w:r>
          </w:p>
        </w:tc>
        <w:tc>
          <w:tcPr>
            <w:tcW w:w="654" w:type="dxa"/>
            <w:noWrap/>
            <w:hideMark/>
          </w:tcPr>
          <w:p w14:paraId="71BEAAA1" w14:textId="77777777" w:rsidR="00CE75D4" w:rsidRPr="00095EB4" w:rsidRDefault="00CE75D4" w:rsidP="008340C1">
            <w:pPr>
              <w:pStyle w:val="ARfintablebodyrightbold"/>
              <w:spacing w:before="10" w:after="10" w:line="228" w:lineRule="auto"/>
              <w:rPr>
                <w:sz w:val="16"/>
              </w:rPr>
            </w:pPr>
            <w:r w:rsidRPr="00095EB4">
              <w:rPr>
                <w:sz w:val="16"/>
              </w:rPr>
              <w:t>–</w:t>
            </w:r>
          </w:p>
        </w:tc>
        <w:tc>
          <w:tcPr>
            <w:tcW w:w="654" w:type="dxa"/>
            <w:noWrap/>
            <w:hideMark/>
          </w:tcPr>
          <w:p w14:paraId="3AA4C552" w14:textId="77777777" w:rsidR="00CE75D4" w:rsidRPr="00095EB4" w:rsidRDefault="00CE75D4" w:rsidP="008340C1">
            <w:pPr>
              <w:pStyle w:val="ARfintablebodyrightbold"/>
              <w:spacing w:before="10" w:after="10" w:line="228" w:lineRule="auto"/>
              <w:rPr>
                <w:sz w:val="16"/>
              </w:rPr>
            </w:pPr>
            <w:r w:rsidRPr="00095EB4">
              <w:rPr>
                <w:sz w:val="16"/>
              </w:rPr>
              <w:t>–</w:t>
            </w:r>
          </w:p>
        </w:tc>
        <w:tc>
          <w:tcPr>
            <w:tcW w:w="721" w:type="dxa"/>
            <w:noWrap/>
            <w:hideMark/>
          </w:tcPr>
          <w:p w14:paraId="5E32A4BE" w14:textId="77777777" w:rsidR="00CE75D4" w:rsidRPr="00095EB4" w:rsidRDefault="00CE75D4" w:rsidP="008340C1">
            <w:pPr>
              <w:pStyle w:val="ARfintablebodyrightbold"/>
              <w:spacing w:before="10" w:after="10" w:line="228" w:lineRule="auto"/>
              <w:rPr>
                <w:sz w:val="16"/>
              </w:rPr>
            </w:pPr>
            <w:r w:rsidRPr="00095EB4">
              <w:rPr>
                <w:sz w:val="16"/>
              </w:rPr>
              <w:t>–</w:t>
            </w:r>
          </w:p>
        </w:tc>
        <w:tc>
          <w:tcPr>
            <w:tcW w:w="882" w:type="dxa"/>
            <w:noWrap/>
            <w:hideMark/>
          </w:tcPr>
          <w:p w14:paraId="57E6F193" w14:textId="77777777" w:rsidR="00CE75D4" w:rsidRPr="00095EB4" w:rsidRDefault="00CE75D4" w:rsidP="008340C1">
            <w:pPr>
              <w:pStyle w:val="ARfintablebodyrightbold"/>
              <w:spacing w:before="10" w:after="10" w:line="228" w:lineRule="auto"/>
              <w:rPr>
                <w:sz w:val="16"/>
              </w:rPr>
            </w:pPr>
            <w:r w:rsidRPr="00095EB4">
              <w:rPr>
                <w:sz w:val="16"/>
              </w:rPr>
              <w:t>–</w:t>
            </w:r>
          </w:p>
        </w:tc>
        <w:tc>
          <w:tcPr>
            <w:tcW w:w="654" w:type="dxa"/>
            <w:noWrap/>
            <w:hideMark/>
          </w:tcPr>
          <w:p w14:paraId="51CE8B76" w14:textId="77777777" w:rsidR="00CE75D4" w:rsidRPr="00095EB4" w:rsidRDefault="00CE75D4" w:rsidP="008340C1">
            <w:pPr>
              <w:pStyle w:val="ARfintablebodyrightbold"/>
              <w:spacing w:before="10" w:after="10" w:line="228" w:lineRule="auto"/>
              <w:rPr>
                <w:sz w:val="16"/>
              </w:rPr>
            </w:pPr>
            <w:r w:rsidRPr="00095EB4">
              <w:rPr>
                <w:sz w:val="16"/>
              </w:rPr>
              <w:t>(0.1)</w:t>
            </w:r>
          </w:p>
        </w:tc>
        <w:tc>
          <w:tcPr>
            <w:tcW w:w="654" w:type="dxa"/>
            <w:noWrap/>
            <w:hideMark/>
          </w:tcPr>
          <w:p w14:paraId="7BC91FC1" w14:textId="77777777" w:rsidR="00CE75D4" w:rsidRPr="00095EB4" w:rsidRDefault="00CE75D4" w:rsidP="008340C1">
            <w:pPr>
              <w:pStyle w:val="ARfintablebodyrightbold"/>
              <w:spacing w:before="10" w:after="10" w:line="228" w:lineRule="auto"/>
              <w:rPr>
                <w:sz w:val="16"/>
              </w:rPr>
            </w:pPr>
            <w:r w:rsidRPr="00095EB4">
              <w:rPr>
                <w:sz w:val="16"/>
              </w:rPr>
              <w:t>–</w:t>
            </w:r>
          </w:p>
        </w:tc>
        <w:tc>
          <w:tcPr>
            <w:tcW w:w="654" w:type="dxa"/>
            <w:noWrap/>
            <w:hideMark/>
          </w:tcPr>
          <w:p w14:paraId="6DD432E9" w14:textId="77777777" w:rsidR="00CE75D4" w:rsidRPr="00095EB4" w:rsidRDefault="00CE75D4" w:rsidP="008340C1">
            <w:pPr>
              <w:pStyle w:val="ARfintablebodyrightbold"/>
              <w:spacing w:before="10" w:after="10" w:line="228" w:lineRule="auto"/>
              <w:rPr>
                <w:sz w:val="16"/>
              </w:rPr>
            </w:pPr>
            <w:r w:rsidRPr="00095EB4">
              <w:rPr>
                <w:sz w:val="16"/>
              </w:rPr>
              <w:t>–</w:t>
            </w:r>
          </w:p>
        </w:tc>
        <w:tc>
          <w:tcPr>
            <w:tcW w:w="654" w:type="dxa"/>
            <w:noWrap/>
            <w:hideMark/>
          </w:tcPr>
          <w:p w14:paraId="00B201F8" w14:textId="77777777" w:rsidR="00CE75D4" w:rsidRPr="00095EB4" w:rsidRDefault="00CE75D4" w:rsidP="008340C1">
            <w:pPr>
              <w:pStyle w:val="ARfintablebodyrightbold"/>
              <w:spacing w:before="10" w:after="10" w:line="228" w:lineRule="auto"/>
              <w:rPr>
                <w:sz w:val="16"/>
              </w:rPr>
            </w:pPr>
            <w:r w:rsidRPr="00095EB4">
              <w:rPr>
                <w:sz w:val="16"/>
              </w:rPr>
              <w:t>0.3</w:t>
            </w:r>
          </w:p>
        </w:tc>
        <w:tc>
          <w:tcPr>
            <w:tcW w:w="654" w:type="dxa"/>
            <w:noWrap/>
            <w:hideMark/>
          </w:tcPr>
          <w:p w14:paraId="48023B2B" w14:textId="77777777" w:rsidR="00CE75D4" w:rsidRPr="00095EB4" w:rsidRDefault="00CE75D4" w:rsidP="008340C1">
            <w:pPr>
              <w:pStyle w:val="ARfintablebodyrightbold"/>
              <w:spacing w:before="10" w:after="10" w:line="228" w:lineRule="auto"/>
              <w:rPr>
                <w:sz w:val="16"/>
              </w:rPr>
            </w:pPr>
            <w:r w:rsidRPr="00095EB4">
              <w:rPr>
                <w:sz w:val="16"/>
              </w:rPr>
              <w:t>–</w:t>
            </w:r>
          </w:p>
        </w:tc>
        <w:tc>
          <w:tcPr>
            <w:tcW w:w="654" w:type="dxa"/>
            <w:noWrap/>
            <w:hideMark/>
          </w:tcPr>
          <w:p w14:paraId="18A4C3AE" w14:textId="77777777" w:rsidR="00CE75D4" w:rsidRPr="00095EB4" w:rsidRDefault="00CE75D4" w:rsidP="008340C1">
            <w:pPr>
              <w:pStyle w:val="ARfintablebodyrightbold"/>
              <w:spacing w:before="10" w:after="10" w:line="228" w:lineRule="auto"/>
              <w:rPr>
                <w:sz w:val="16"/>
              </w:rPr>
            </w:pPr>
            <w:r w:rsidRPr="00095EB4">
              <w:rPr>
                <w:sz w:val="16"/>
              </w:rPr>
              <w:t>–</w:t>
            </w:r>
          </w:p>
        </w:tc>
        <w:tc>
          <w:tcPr>
            <w:tcW w:w="833" w:type="dxa"/>
            <w:noWrap/>
            <w:hideMark/>
          </w:tcPr>
          <w:p w14:paraId="03F3AE1A" w14:textId="77777777" w:rsidR="00CE75D4" w:rsidRPr="00095EB4" w:rsidRDefault="00CE75D4" w:rsidP="008340C1">
            <w:pPr>
              <w:pStyle w:val="ARfintablebodyrightbold"/>
              <w:spacing w:before="10" w:after="10" w:line="228" w:lineRule="auto"/>
              <w:rPr>
                <w:sz w:val="16"/>
              </w:rPr>
            </w:pPr>
            <w:r w:rsidRPr="00095EB4">
              <w:rPr>
                <w:sz w:val="16"/>
              </w:rPr>
              <w:t>(8.9)</w:t>
            </w:r>
          </w:p>
        </w:tc>
      </w:tr>
      <w:tr w:rsidR="00CE75D4" w:rsidRPr="00147B66" w14:paraId="040E3E87" w14:textId="77777777" w:rsidTr="00130D1C">
        <w:tc>
          <w:tcPr>
            <w:tcW w:w="3334" w:type="dxa"/>
            <w:hideMark/>
          </w:tcPr>
          <w:p w14:paraId="3812E21E" w14:textId="77777777" w:rsidR="00CE75D4" w:rsidRPr="00095EB4" w:rsidRDefault="00CE75D4" w:rsidP="008340C1">
            <w:pPr>
              <w:pStyle w:val="ARfintablebodybold"/>
              <w:spacing w:before="10" w:after="10" w:line="228" w:lineRule="auto"/>
              <w:rPr>
                <w:rFonts w:cs="Arial"/>
                <w:sz w:val="16"/>
              </w:rPr>
            </w:pPr>
            <w:r w:rsidRPr="00095EB4">
              <w:rPr>
                <w:rFonts w:cs="Arial"/>
                <w:sz w:val="16"/>
              </w:rPr>
              <w:t>Administered net result</w:t>
            </w:r>
          </w:p>
        </w:tc>
        <w:tc>
          <w:tcPr>
            <w:tcW w:w="835" w:type="dxa"/>
            <w:noWrap/>
            <w:hideMark/>
          </w:tcPr>
          <w:p w14:paraId="47796C71" w14:textId="77777777" w:rsidR="00CE75D4" w:rsidRPr="00095EB4" w:rsidRDefault="00CE75D4" w:rsidP="008340C1">
            <w:pPr>
              <w:pStyle w:val="ARfintablebodyrightbold"/>
              <w:spacing w:before="10" w:after="10" w:line="228" w:lineRule="auto"/>
              <w:rPr>
                <w:sz w:val="16"/>
              </w:rPr>
            </w:pPr>
            <w:r w:rsidRPr="00095EB4">
              <w:rPr>
                <w:sz w:val="16"/>
              </w:rPr>
              <w:t>(52.4)</w:t>
            </w:r>
          </w:p>
        </w:tc>
        <w:tc>
          <w:tcPr>
            <w:tcW w:w="656" w:type="dxa"/>
            <w:noWrap/>
            <w:hideMark/>
          </w:tcPr>
          <w:p w14:paraId="18421933" w14:textId="77777777" w:rsidR="00CE75D4" w:rsidRPr="00095EB4" w:rsidRDefault="00CE75D4" w:rsidP="008340C1">
            <w:pPr>
              <w:pStyle w:val="ARfintablebodyrightbold"/>
              <w:spacing w:before="10" w:after="10" w:line="228" w:lineRule="auto"/>
              <w:rPr>
                <w:sz w:val="16"/>
              </w:rPr>
            </w:pPr>
            <w:r w:rsidRPr="00095EB4">
              <w:rPr>
                <w:sz w:val="16"/>
              </w:rPr>
              <w:t>(0.6)</w:t>
            </w:r>
          </w:p>
        </w:tc>
        <w:tc>
          <w:tcPr>
            <w:tcW w:w="656" w:type="dxa"/>
            <w:noWrap/>
            <w:hideMark/>
          </w:tcPr>
          <w:p w14:paraId="3ACD6D74" w14:textId="77777777" w:rsidR="00CE75D4" w:rsidRPr="00095EB4" w:rsidRDefault="00CE75D4" w:rsidP="008340C1">
            <w:pPr>
              <w:pStyle w:val="ARfintablebodyrightbold"/>
              <w:spacing w:before="10" w:after="10" w:line="228" w:lineRule="auto"/>
              <w:rPr>
                <w:sz w:val="16"/>
              </w:rPr>
            </w:pPr>
            <w:r w:rsidRPr="00095EB4">
              <w:rPr>
                <w:sz w:val="16"/>
              </w:rPr>
              <w:t>3.6</w:t>
            </w:r>
          </w:p>
        </w:tc>
        <w:tc>
          <w:tcPr>
            <w:tcW w:w="655" w:type="dxa"/>
            <w:noWrap/>
            <w:hideMark/>
          </w:tcPr>
          <w:p w14:paraId="75ECD042" w14:textId="77777777" w:rsidR="00CE75D4" w:rsidRPr="00095EB4" w:rsidRDefault="00CE75D4" w:rsidP="008340C1">
            <w:pPr>
              <w:pStyle w:val="ARfintablebodyrightbold"/>
              <w:spacing w:before="10" w:after="10" w:line="228" w:lineRule="auto"/>
              <w:rPr>
                <w:sz w:val="16"/>
              </w:rPr>
            </w:pPr>
            <w:r w:rsidRPr="00095EB4">
              <w:rPr>
                <w:sz w:val="16"/>
              </w:rPr>
              <w:t>36.1</w:t>
            </w:r>
          </w:p>
        </w:tc>
        <w:tc>
          <w:tcPr>
            <w:tcW w:w="655" w:type="dxa"/>
            <w:noWrap/>
            <w:hideMark/>
          </w:tcPr>
          <w:p w14:paraId="18FE5B01" w14:textId="77777777" w:rsidR="00CE75D4" w:rsidRPr="00095EB4" w:rsidRDefault="00CE75D4" w:rsidP="008340C1">
            <w:pPr>
              <w:pStyle w:val="ARfintablebodyrightbold"/>
              <w:spacing w:before="10" w:after="10" w:line="228" w:lineRule="auto"/>
              <w:rPr>
                <w:sz w:val="16"/>
              </w:rPr>
            </w:pPr>
            <w:r w:rsidRPr="00095EB4">
              <w:rPr>
                <w:sz w:val="16"/>
              </w:rPr>
              <w:t>1.4</w:t>
            </w:r>
          </w:p>
        </w:tc>
        <w:tc>
          <w:tcPr>
            <w:tcW w:w="654" w:type="dxa"/>
            <w:noWrap/>
            <w:hideMark/>
          </w:tcPr>
          <w:p w14:paraId="70F605E9" w14:textId="77777777" w:rsidR="00CE75D4" w:rsidRPr="00095EB4" w:rsidRDefault="00CE75D4" w:rsidP="008340C1">
            <w:pPr>
              <w:pStyle w:val="ARfintablebodyrightbold"/>
              <w:spacing w:before="10" w:after="10" w:line="228" w:lineRule="auto"/>
              <w:rPr>
                <w:sz w:val="16"/>
              </w:rPr>
            </w:pPr>
            <w:r w:rsidRPr="00095EB4">
              <w:rPr>
                <w:sz w:val="16"/>
              </w:rPr>
              <w:t>0.3</w:t>
            </w:r>
          </w:p>
        </w:tc>
        <w:tc>
          <w:tcPr>
            <w:tcW w:w="654" w:type="dxa"/>
            <w:noWrap/>
            <w:hideMark/>
          </w:tcPr>
          <w:p w14:paraId="294D9F9A" w14:textId="77777777" w:rsidR="00CE75D4" w:rsidRPr="00095EB4" w:rsidRDefault="00CE75D4" w:rsidP="008340C1">
            <w:pPr>
              <w:pStyle w:val="ARfintablebodyrightbold"/>
              <w:spacing w:before="10" w:after="10" w:line="228" w:lineRule="auto"/>
              <w:rPr>
                <w:sz w:val="16"/>
              </w:rPr>
            </w:pPr>
            <w:r w:rsidRPr="00095EB4">
              <w:rPr>
                <w:sz w:val="16"/>
              </w:rPr>
              <w:t>7.9</w:t>
            </w:r>
          </w:p>
        </w:tc>
        <w:tc>
          <w:tcPr>
            <w:tcW w:w="721" w:type="dxa"/>
            <w:noWrap/>
            <w:hideMark/>
          </w:tcPr>
          <w:p w14:paraId="21F09643" w14:textId="77777777" w:rsidR="00CE75D4" w:rsidRPr="00095EB4" w:rsidRDefault="00CE75D4" w:rsidP="008340C1">
            <w:pPr>
              <w:pStyle w:val="ARfintablebodyrightbold"/>
              <w:spacing w:before="10" w:after="10" w:line="228" w:lineRule="auto"/>
              <w:rPr>
                <w:sz w:val="16"/>
              </w:rPr>
            </w:pPr>
            <w:r w:rsidRPr="00095EB4">
              <w:rPr>
                <w:sz w:val="16"/>
              </w:rPr>
              <w:t>0.6</w:t>
            </w:r>
          </w:p>
        </w:tc>
        <w:tc>
          <w:tcPr>
            <w:tcW w:w="882" w:type="dxa"/>
            <w:noWrap/>
            <w:hideMark/>
          </w:tcPr>
          <w:p w14:paraId="25C14E7A" w14:textId="77777777" w:rsidR="00CE75D4" w:rsidRPr="00095EB4" w:rsidRDefault="00CE75D4" w:rsidP="008340C1">
            <w:pPr>
              <w:pStyle w:val="ARfintablebodyrightbold"/>
              <w:spacing w:before="10" w:after="10" w:line="228" w:lineRule="auto"/>
              <w:rPr>
                <w:sz w:val="16"/>
              </w:rPr>
            </w:pPr>
            <w:r w:rsidRPr="00095EB4">
              <w:rPr>
                <w:sz w:val="16"/>
              </w:rPr>
              <w:t>(145.7)</w:t>
            </w:r>
          </w:p>
        </w:tc>
        <w:tc>
          <w:tcPr>
            <w:tcW w:w="654" w:type="dxa"/>
            <w:noWrap/>
            <w:hideMark/>
          </w:tcPr>
          <w:p w14:paraId="03EC5266" w14:textId="77777777" w:rsidR="00CE75D4" w:rsidRPr="00095EB4" w:rsidRDefault="00CE75D4" w:rsidP="008340C1">
            <w:pPr>
              <w:pStyle w:val="ARfintablebodyrightbold"/>
              <w:spacing w:before="10" w:after="10" w:line="228" w:lineRule="auto"/>
              <w:rPr>
                <w:sz w:val="16"/>
              </w:rPr>
            </w:pPr>
            <w:r w:rsidRPr="00095EB4">
              <w:rPr>
                <w:sz w:val="16"/>
              </w:rPr>
              <w:t>0.3</w:t>
            </w:r>
          </w:p>
        </w:tc>
        <w:tc>
          <w:tcPr>
            <w:tcW w:w="654" w:type="dxa"/>
            <w:noWrap/>
            <w:hideMark/>
          </w:tcPr>
          <w:p w14:paraId="1C21CFC0" w14:textId="77777777" w:rsidR="00CE75D4" w:rsidRPr="00095EB4" w:rsidRDefault="00CE75D4" w:rsidP="008340C1">
            <w:pPr>
              <w:pStyle w:val="ARfintablebodyrightbold"/>
              <w:spacing w:before="10" w:after="10" w:line="228" w:lineRule="auto"/>
              <w:rPr>
                <w:sz w:val="16"/>
              </w:rPr>
            </w:pPr>
            <w:r w:rsidRPr="00095EB4">
              <w:rPr>
                <w:sz w:val="16"/>
              </w:rPr>
              <w:t>(0.6)</w:t>
            </w:r>
          </w:p>
        </w:tc>
        <w:tc>
          <w:tcPr>
            <w:tcW w:w="654" w:type="dxa"/>
            <w:noWrap/>
            <w:hideMark/>
          </w:tcPr>
          <w:p w14:paraId="582BB12B" w14:textId="77777777" w:rsidR="00CE75D4" w:rsidRPr="00095EB4" w:rsidRDefault="00CE75D4" w:rsidP="008340C1">
            <w:pPr>
              <w:pStyle w:val="ARfintablebodyrightbold"/>
              <w:spacing w:before="10" w:after="10" w:line="228" w:lineRule="auto"/>
              <w:rPr>
                <w:sz w:val="16"/>
              </w:rPr>
            </w:pPr>
            <w:r w:rsidRPr="00095EB4">
              <w:rPr>
                <w:sz w:val="16"/>
              </w:rPr>
              <w:t>0.1</w:t>
            </w:r>
          </w:p>
        </w:tc>
        <w:tc>
          <w:tcPr>
            <w:tcW w:w="654" w:type="dxa"/>
            <w:noWrap/>
            <w:hideMark/>
          </w:tcPr>
          <w:p w14:paraId="1F38B635" w14:textId="77777777" w:rsidR="00CE75D4" w:rsidRPr="00095EB4" w:rsidRDefault="00CE75D4" w:rsidP="008340C1">
            <w:pPr>
              <w:pStyle w:val="ARfintablebodyrightbold"/>
              <w:spacing w:before="10" w:after="10" w:line="228" w:lineRule="auto"/>
              <w:rPr>
                <w:sz w:val="16"/>
              </w:rPr>
            </w:pPr>
            <w:r w:rsidRPr="00095EB4">
              <w:rPr>
                <w:sz w:val="16"/>
              </w:rPr>
              <w:t>0.3</w:t>
            </w:r>
          </w:p>
        </w:tc>
        <w:tc>
          <w:tcPr>
            <w:tcW w:w="654" w:type="dxa"/>
            <w:noWrap/>
            <w:hideMark/>
          </w:tcPr>
          <w:p w14:paraId="5DB2E532" w14:textId="77777777" w:rsidR="00CE75D4" w:rsidRPr="00095EB4" w:rsidRDefault="00CE75D4" w:rsidP="008340C1">
            <w:pPr>
              <w:pStyle w:val="ARfintablebodyrightbold"/>
              <w:spacing w:before="10" w:after="10" w:line="228" w:lineRule="auto"/>
              <w:rPr>
                <w:sz w:val="16"/>
              </w:rPr>
            </w:pPr>
            <w:r w:rsidRPr="00095EB4">
              <w:rPr>
                <w:sz w:val="16"/>
              </w:rPr>
              <w:t>–</w:t>
            </w:r>
          </w:p>
        </w:tc>
        <w:tc>
          <w:tcPr>
            <w:tcW w:w="654" w:type="dxa"/>
            <w:noWrap/>
            <w:hideMark/>
          </w:tcPr>
          <w:p w14:paraId="330F961E" w14:textId="77777777" w:rsidR="00CE75D4" w:rsidRPr="00095EB4" w:rsidRDefault="00CE75D4" w:rsidP="008340C1">
            <w:pPr>
              <w:pStyle w:val="ARfintablebodyrightbold"/>
              <w:spacing w:before="10" w:after="10" w:line="228" w:lineRule="auto"/>
              <w:rPr>
                <w:sz w:val="16"/>
              </w:rPr>
            </w:pPr>
            <w:r w:rsidRPr="00095EB4">
              <w:rPr>
                <w:sz w:val="16"/>
              </w:rPr>
              <w:t>–</w:t>
            </w:r>
          </w:p>
        </w:tc>
        <w:tc>
          <w:tcPr>
            <w:tcW w:w="833" w:type="dxa"/>
            <w:noWrap/>
            <w:hideMark/>
          </w:tcPr>
          <w:p w14:paraId="77FEC666" w14:textId="77777777" w:rsidR="00CE75D4" w:rsidRPr="00095EB4" w:rsidRDefault="00CE75D4" w:rsidP="008340C1">
            <w:pPr>
              <w:pStyle w:val="ARfintablebodyrightbold"/>
              <w:spacing w:before="10" w:after="10" w:line="228" w:lineRule="auto"/>
              <w:rPr>
                <w:sz w:val="16"/>
              </w:rPr>
            </w:pPr>
            <w:r w:rsidRPr="00095EB4">
              <w:rPr>
                <w:sz w:val="16"/>
              </w:rPr>
              <w:t>(148.7)</w:t>
            </w:r>
          </w:p>
        </w:tc>
      </w:tr>
    </w:tbl>
    <w:bookmarkEnd w:id="570"/>
    <w:p w14:paraId="3181841B" w14:textId="77777777" w:rsidR="00CE75D4" w:rsidRPr="005B53BA" w:rsidRDefault="00CE75D4" w:rsidP="008340C1">
      <w:pPr>
        <w:pStyle w:val="ARfintablefootnote"/>
        <w:rPr>
          <w:sz w:val="15"/>
          <w:szCs w:val="15"/>
          <w:lang w:eastAsia="en-AU"/>
        </w:rPr>
      </w:pPr>
      <w:r w:rsidRPr="005B53BA">
        <w:rPr>
          <w:sz w:val="15"/>
          <w:szCs w:val="15"/>
          <w:lang w:eastAsia="en-AU"/>
        </w:rPr>
        <w:t>Notes:</w:t>
      </w:r>
    </w:p>
    <w:p w14:paraId="50B5C916" w14:textId="77777777" w:rsidR="00CE75D4" w:rsidRPr="005B53BA" w:rsidRDefault="00CE75D4" w:rsidP="008340C1">
      <w:pPr>
        <w:pStyle w:val="ARfintablefootnoteindent"/>
        <w:rPr>
          <w:sz w:val="15"/>
          <w:szCs w:val="15"/>
        </w:rPr>
      </w:pPr>
      <w:r w:rsidRPr="005B53BA">
        <w:rPr>
          <w:sz w:val="15"/>
          <w:szCs w:val="15"/>
        </w:rPr>
        <w:t>(i)</w:t>
      </w:r>
      <w:r w:rsidRPr="005B53BA">
        <w:rPr>
          <w:sz w:val="15"/>
          <w:szCs w:val="15"/>
        </w:rPr>
        <w:tab/>
        <w:t>Refer to Note 4.1.1(b) for output group definitions.</w:t>
      </w:r>
    </w:p>
    <w:p w14:paraId="68F0438E" w14:textId="77777777" w:rsidR="00CE75D4" w:rsidRPr="005B53BA" w:rsidRDefault="00CE75D4" w:rsidP="008340C1">
      <w:pPr>
        <w:pStyle w:val="ARfintablefootnoteindent"/>
        <w:rPr>
          <w:sz w:val="15"/>
          <w:szCs w:val="15"/>
        </w:rPr>
      </w:pPr>
      <w:r w:rsidRPr="005B53BA">
        <w:rPr>
          <w:sz w:val="15"/>
          <w:szCs w:val="15"/>
        </w:rPr>
        <w:t>(ii)</w:t>
      </w:r>
      <w:r w:rsidRPr="005B53BA">
        <w:rPr>
          <w:sz w:val="15"/>
          <w:szCs w:val="15"/>
        </w:rPr>
        <w:tab/>
        <w:t xml:space="preserve">Output group 14 Housing Assistance and output group 15 Shared Services are not applicable for administered </w:t>
      </w:r>
      <w:r w:rsidRPr="00EC013F">
        <w:rPr>
          <w:sz w:val="15"/>
          <w:szCs w:val="15"/>
        </w:rPr>
        <w:t>entity</w:t>
      </w:r>
      <w:r w:rsidRPr="005B53BA">
        <w:rPr>
          <w:sz w:val="15"/>
          <w:szCs w:val="15"/>
        </w:rPr>
        <w:t>.</w:t>
      </w:r>
    </w:p>
    <w:p w14:paraId="645C945F" w14:textId="77777777" w:rsidR="00CE75D4" w:rsidRPr="002029AF" w:rsidRDefault="00CE75D4" w:rsidP="00087B91">
      <w:pPr>
        <w:pStyle w:val="ARfinbody"/>
      </w:pPr>
    </w:p>
    <w:p w14:paraId="4EB4EF08" w14:textId="77777777" w:rsidR="00CE75D4" w:rsidRPr="002029AF" w:rsidRDefault="00CE75D4" w:rsidP="00087B91">
      <w:pPr>
        <w:pStyle w:val="ARfinbody"/>
        <w:sectPr w:rsidR="00CE75D4" w:rsidRPr="002029AF" w:rsidSect="00130D1C">
          <w:footnotePr>
            <w:numFmt w:val="lowerLetter"/>
            <w:numRestart w:val="eachPage"/>
          </w:footnotePr>
          <w:pgSz w:w="16838" w:h="11906" w:orient="landscape" w:code="9"/>
          <w:pgMar w:top="1134" w:right="1531" w:bottom="1134" w:left="851" w:header="510" w:footer="340" w:gutter="0"/>
          <w:cols w:space="708"/>
          <w:docGrid w:linePitch="360"/>
        </w:sectPr>
      </w:pPr>
    </w:p>
    <w:p w14:paraId="0E42DCAD" w14:textId="77777777" w:rsidR="00CE75D4" w:rsidRPr="002029AF" w:rsidRDefault="00CE75D4" w:rsidP="00087B91">
      <w:pPr>
        <w:pStyle w:val="Heading5"/>
        <w:spacing w:before="0"/>
      </w:pPr>
      <w:bookmarkStart w:id="571" w:name="_Ref84598229"/>
      <w:bookmarkStart w:id="572" w:name="_Toc85121419"/>
      <w:r>
        <w:rPr>
          <w:lang w:eastAsia="en-AU"/>
        </w:rPr>
        <w:t>4.2.2 Administered assets and liabilities</w:t>
      </w:r>
      <w:bookmarkEnd w:id="571"/>
      <w:bookmarkEnd w:id="572"/>
    </w:p>
    <w:tbl>
      <w:tblPr>
        <w:tblStyle w:val="TableGrid"/>
        <w:tblW w:w="9637" w:type="dxa"/>
        <w:tblLayout w:type="fixed"/>
        <w:tblLook w:val="06A0" w:firstRow="1" w:lastRow="0" w:firstColumn="1" w:lastColumn="0" w:noHBand="1" w:noVBand="1"/>
      </w:tblPr>
      <w:tblGrid>
        <w:gridCol w:w="7369"/>
        <w:gridCol w:w="1134"/>
        <w:gridCol w:w="1134"/>
      </w:tblGrid>
      <w:tr w:rsidR="00CE75D4" w:rsidRPr="002029AF" w14:paraId="220E4B91"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hideMark/>
          </w:tcPr>
          <w:p w14:paraId="3618995D" w14:textId="77777777" w:rsidR="00CE75D4" w:rsidRPr="002029AF" w:rsidRDefault="00CE75D4" w:rsidP="008340C1">
            <w:pPr>
              <w:pStyle w:val="ARfintablecolhead"/>
            </w:pPr>
          </w:p>
        </w:tc>
        <w:tc>
          <w:tcPr>
            <w:tcW w:w="1134" w:type="dxa"/>
            <w:tcBorders>
              <w:bottom w:val="single" w:sz="4" w:space="0" w:color="auto"/>
            </w:tcBorders>
            <w:shd w:val="clear" w:color="auto" w:fill="E7E6E6"/>
            <w:hideMark/>
          </w:tcPr>
          <w:p w14:paraId="68C04752" w14:textId="77777777" w:rsidR="00CE75D4" w:rsidRPr="002029AF" w:rsidRDefault="00CE75D4" w:rsidP="008340C1">
            <w:pPr>
              <w:pStyle w:val="ARfintablecolheadright"/>
            </w:pPr>
            <w:r w:rsidRPr="002029AF">
              <w:t>202</w:t>
            </w:r>
            <w:r>
              <w:t>2</w:t>
            </w:r>
          </w:p>
          <w:p w14:paraId="337CFA05" w14:textId="77777777" w:rsidR="00CE75D4" w:rsidRPr="002029AF" w:rsidRDefault="00CE75D4" w:rsidP="008340C1">
            <w:pPr>
              <w:pStyle w:val="ARfintablecolheadright"/>
            </w:pPr>
            <w:r w:rsidRPr="002029AF">
              <w:t>$M</w:t>
            </w:r>
          </w:p>
        </w:tc>
        <w:tc>
          <w:tcPr>
            <w:tcW w:w="1134" w:type="dxa"/>
            <w:tcBorders>
              <w:bottom w:val="single" w:sz="4" w:space="0" w:color="auto"/>
            </w:tcBorders>
            <w:hideMark/>
          </w:tcPr>
          <w:p w14:paraId="5C905480" w14:textId="77777777" w:rsidR="00CE75D4" w:rsidRPr="002029AF" w:rsidRDefault="00CE75D4" w:rsidP="008340C1">
            <w:pPr>
              <w:pStyle w:val="ARfintablecolheadright"/>
            </w:pPr>
            <w:r>
              <w:t>2021</w:t>
            </w:r>
          </w:p>
          <w:p w14:paraId="2806A5AB" w14:textId="77777777" w:rsidR="00CE75D4" w:rsidRPr="002029AF" w:rsidRDefault="00CE75D4" w:rsidP="008340C1">
            <w:pPr>
              <w:pStyle w:val="ARfintablecolheadright"/>
            </w:pPr>
            <w:r w:rsidRPr="002029AF">
              <w:t>$M</w:t>
            </w:r>
          </w:p>
        </w:tc>
      </w:tr>
      <w:tr w:rsidR="00CE75D4" w:rsidRPr="002029AF" w14:paraId="5668D5D5" w14:textId="77777777" w:rsidTr="00860E95">
        <w:tc>
          <w:tcPr>
            <w:tcW w:w="9637" w:type="dxa"/>
            <w:gridSpan w:val="3"/>
            <w:tcBorders>
              <w:top w:val="single" w:sz="4" w:space="0" w:color="auto"/>
              <w:bottom w:val="single" w:sz="4" w:space="0" w:color="A6A6A6"/>
            </w:tcBorders>
            <w:hideMark/>
          </w:tcPr>
          <w:p w14:paraId="1975C73B" w14:textId="77777777" w:rsidR="00CE75D4" w:rsidRPr="002029AF" w:rsidRDefault="00CE75D4" w:rsidP="008340C1">
            <w:pPr>
              <w:pStyle w:val="ARfintablebodybold"/>
            </w:pPr>
            <w:r w:rsidRPr="001350D9">
              <w:t>Administered assets</w:t>
            </w:r>
          </w:p>
        </w:tc>
      </w:tr>
      <w:tr w:rsidR="00CE75D4" w:rsidRPr="002029AF" w14:paraId="4BA21BED" w14:textId="77777777" w:rsidTr="00860E95">
        <w:tc>
          <w:tcPr>
            <w:tcW w:w="9637" w:type="dxa"/>
            <w:gridSpan w:val="3"/>
            <w:tcBorders>
              <w:top w:val="single" w:sz="4" w:space="0" w:color="A6A6A6"/>
              <w:bottom w:val="single" w:sz="4" w:space="0" w:color="A6A6A6"/>
            </w:tcBorders>
            <w:hideMark/>
          </w:tcPr>
          <w:p w14:paraId="0EE03D73" w14:textId="77777777" w:rsidR="00CE75D4" w:rsidRPr="002029AF" w:rsidRDefault="00CE75D4" w:rsidP="008340C1">
            <w:pPr>
              <w:pStyle w:val="ARfintablebodybold"/>
            </w:pPr>
            <w:r w:rsidRPr="001350D9">
              <w:t>Financial assets</w:t>
            </w:r>
          </w:p>
        </w:tc>
      </w:tr>
      <w:tr w:rsidR="00CE75D4" w:rsidRPr="002029AF" w14:paraId="1CD57BD9" w14:textId="77777777" w:rsidTr="00860E95">
        <w:tc>
          <w:tcPr>
            <w:tcW w:w="7369" w:type="dxa"/>
            <w:tcBorders>
              <w:top w:val="single" w:sz="4" w:space="0" w:color="A6A6A6"/>
              <w:bottom w:val="single" w:sz="4" w:space="0" w:color="A6A6A6"/>
            </w:tcBorders>
            <w:hideMark/>
          </w:tcPr>
          <w:p w14:paraId="251620F3" w14:textId="77777777" w:rsidR="00CE75D4" w:rsidRPr="002029AF" w:rsidRDefault="00CE75D4" w:rsidP="008340C1">
            <w:pPr>
              <w:pStyle w:val="ARfintablebody"/>
            </w:pPr>
            <w:r w:rsidRPr="001350D9">
              <w:t>Trust funds</w:t>
            </w:r>
          </w:p>
        </w:tc>
        <w:tc>
          <w:tcPr>
            <w:tcW w:w="1134" w:type="dxa"/>
            <w:tcBorders>
              <w:top w:val="single" w:sz="4" w:space="0" w:color="A6A6A6"/>
              <w:bottom w:val="single" w:sz="4" w:space="0" w:color="A6A6A6"/>
            </w:tcBorders>
            <w:shd w:val="clear" w:color="auto" w:fill="E7E6E6"/>
            <w:noWrap/>
            <w:hideMark/>
          </w:tcPr>
          <w:p w14:paraId="5CFAD98D"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1E78D6CF" w14:textId="77777777" w:rsidR="00CE75D4" w:rsidRPr="002029AF" w:rsidRDefault="00CE75D4" w:rsidP="008340C1">
            <w:pPr>
              <w:pStyle w:val="ARfintablebodyright"/>
            </w:pPr>
            <w:r w:rsidRPr="001350D9">
              <w:t>3.4</w:t>
            </w:r>
          </w:p>
        </w:tc>
      </w:tr>
      <w:tr w:rsidR="00CE75D4" w:rsidRPr="002029AF" w14:paraId="3AD3D966" w14:textId="77777777" w:rsidTr="00860E95">
        <w:tc>
          <w:tcPr>
            <w:tcW w:w="7369" w:type="dxa"/>
            <w:tcBorders>
              <w:top w:val="single" w:sz="4" w:space="0" w:color="A6A6A6"/>
              <w:bottom w:val="single" w:sz="4" w:space="0" w:color="A6A6A6"/>
            </w:tcBorders>
            <w:hideMark/>
          </w:tcPr>
          <w:p w14:paraId="44FCF399" w14:textId="77777777" w:rsidR="00CE75D4" w:rsidRPr="002029AF" w:rsidRDefault="00CE75D4" w:rsidP="008340C1">
            <w:pPr>
              <w:pStyle w:val="ARfintablebody"/>
            </w:pPr>
            <w:r w:rsidRPr="001350D9">
              <w:t>Receivables</w:t>
            </w:r>
            <w:r>
              <w:t xml:space="preserve"> </w:t>
            </w:r>
            <w:r w:rsidRPr="00C0495C">
              <w:rPr>
                <w:rStyle w:val="Superscript"/>
              </w:rPr>
              <w:t>(i)</w:t>
            </w:r>
          </w:p>
        </w:tc>
        <w:tc>
          <w:tcPr>
            <w:tcW w:w="1134" w:type="dxa"/>
            <w:tcBorders>
              <w:top w:val="single" w:sz="4" w:space="0" w:color="A6A6A6"/>
              <w:bottom w:val="single" w:sz="4" w:space="0" w:color="A6A6A6"/>
            </w:tcBorders>
            <w:shd w:val="clear" w:color="auto" w:fill="E7E6E6"/>
            <w:noWrap/>
            <w:hideMark/>
          </w:tcPr>
          <w:p w14:paraId="3719FE2A" w14:textId="77777777" w:rsidR="00CE75D4" w:rsidRPr="002029AF" w:rsidRDefault="00CE75D4" w:rsidP="008340C1">
            <w:pPr>
              <w:pStyle w:val="ARfintablebodyright"/>
            </w:pPr>
            <w:r w:rsidRPr="001350D9">
              <w:t>1,056.6</w:t>
            </w:r>
          </w:p>
        </w:tc>
        <w:tc>
          <w:tcPr>
            <w:tcW w:w="1134" w:type="dxa"/>
            <w:tcBorders>
              <w:top w:val="single" w:sz="4" w:space="0" w:color="A6A6A6"/>
              <w:bottom w:val="single" w:sz="4" w:space="0" w:color="A6A6A6"/>
            </w:tcBorders>
            <w:noWrap/>
            <w:hideMark/>
          </w:tcPr>
          <w:p w14:paraId="7B3852F7" w14:textId="77777777" w:rsidR="00CE75D4" w:rsidRPr="002029AF" w:rsidRDefault="00CE75D4" w:rsidP="008340C1">
            <w:pPr>
              <w:pStyle w:val="ARfintablebodyright"/>
            </w:pPr>
            <w:r w:rsidRPr="001350D9">
              <w:t>713.9</w:t>
            </w:r>
          </w:p>
        </w:tc>
      </w:tr>
      <w:tr w:rsidR="00CE75D4" w:rsidRPr="002029AF" w14:paraId="729B4F46" w14:textId="77777777" w:rsidTr="00860E95">
        <w:tc>
          <w:tcPr>
            <w:tcW w:w="7369" w:type="dxa"/>
            <w:tcBorders>
              <w:bottom w:val="single" w:sz="4" w:space="0" w:color="auto"/>
            </w:tcBorders>
            <w:hideMark/>
          </w:tcPr>
          <w:p w14:paraId="6C47E7B5" w14:textId="77777777" w:rsidR="00CE75D4" w:rsidRPr="002029AF" w:rsidRDefault="00CE75D4" w:rsidP="008340C1">
            <w:pPr>
              <w:pStyle w:val="ARfintablebodybold"/>
            </w:pPr>
            <w:r w:rsidRPr="001350D9">
              <w:t>Total administered assets</w:t>
            </w:r>
          </w:p>
        </w:tc>
        <w:tc>
          <w:tcPr>
            <w:tcW w:w="1134" w:type="dxa"/>
            <w:tcBorders>
              <w:bottom w:val="single" w:sz="4" w:space="0" w:color="auto"/>
            </w:tcBorders>
            <w:shd w:val="clear" w:color="auto" w:fill="E7E6E6"/>
            <w:noWrap/>
            <w:hideMark/>
          </w:tcPr>
          <w:p w14:paraId="1D90F9CD" w14:textId="77777777" w:rsidR="00CE75D4" w:rsidRPr="002029AF" w:rsidRDefault="00CE75D4" w:rsidP="008340C1">
            <w:pPr>
              <w:pStyle w:val="ARfintablebodyrightbold"/>
            </w:pPr>
            <w:r w:rsidRPr="001350D9">
              <w:t>1,056.6</w:t>
            </w:r>
          </w:p>
        </w:tc>
        <w:tc>
          <w:tcPr>
            <w:tcW w:w="1134" w:type="dxa"/>
            <w:tcBorders>
              <w:bottom w:val="single" w:sz="4" w:space="0" w:color="auto"/>
            </w:tcBorders>
            <w:noWrap/>
            <w:hideMark/>
          </w:tcPr>
          <w:p w14:paraId="5DCBE84A" w14:textId="77777777" w:rsidR="00CE75D4" w:rsidRPr="002029AF" w:rsidRDefault="00CE75D4" w:rsidP="008340C1">
            <w:pPr>
              <w:pStyle w:val="ARfintablebodyrightbold"/>
            </w:pPr>
            <w:r w:rsidRPr="001350D9">
              <w:t>717.3</w:t>
            </w:r>
          </w:p>
        </w:tc>
      </w:tr>
      <w:tr w:rsidR="00CE75D4" w:rsidRPr="002029AF" w14:paraId="02662C4C" w14:textId="77777777" w:rsidTr="00860E95">
        <w:tc>
          <w:tcPr>
            <w:tcW w:w="9637" w:type="dxa"/>
            <w:gridSpan w:val="3"/>
            <w:tcBorders>
              <w:top w:val="single" w:sz="4" w:space="0" w:color="auto"/>
              <w:bottom w:val="single" w:sz="4" w:space="0" w:color="A6A6A6"/>
            </w:tcBorders>
            <w:hideMark/>
          </w:tcPr>
          <w:p w14:paraId="4B3D1BF4" w14:textId="77777777" w:rsidR="00CE75D4" w:rsidRPr="002029AF" w:rsidRDefault="00CE75D4" w:rsidP="008340C1">
            <w:pPr>
              <w:pStyle w:val="ARfintablebodybold"/>
            </w:pPr>
            <w:r w:rsidRPr="001350D9">
              <w:t>Administered liabilities</w:t>
            </w:r>
          </w:p>
        </w:tc>
      </w:tr>
      <w:tr w:rsidR="00CE75D4" w:rsidRPr="002029AF" w14:paraId="29E3B0B2" w14:textId="77777777" w:rsidTr="00860E95">
        <w:tc>
          <w:tcPr>
            <w:tcW w:w="9637" w:type="dxa"/>
            <w:gridSpan w:val="3"/>
            <w:tcBorders>
              <w:top w:val="single" w:sz="4" w:space="0" w:color="A6A6A6"/>
              <w:bottom w:val="single" w:sz="4" w:space="0" w:color="A6A6A6"/>
            </w:tcBorders>
            <w:hideMark/>
          </w:tcPr>
          <w:p w14:paraId="24BE0C1E" w14:textId="77777777" w:rsidR="00CE75D4" w:rsidRPr="002029AF" w:rsidRDefault="00CE75D4" w:rsidP="008340C1">
            <w:pPr>
              <w:pStyle w:val="ARfintablebodybold"/>
            </w:pPr>
            <w:r w:rsidRPr="001350D9">
              <w:t>Financial liabilities</w:t>
            </w:r>
          </w:p>
        </w:tc>
      </w:tr>
      <w:tr w:rsidR="00CE75D4" w:rsidRPr="002029AF" w14:paraId="2DA9A853" w14:textId="77777777" w:rsidTr="00860E95">
        <w:tc>
          <w:tcPr>
            <w:tcW w:w="7369" w:type="dxa"/>
            <w:tcBorders>
              <w:top w:val="single" w:sz="4" w:space="0" w:color="A6A6A6"/>
              <w:bottom w:val="single" w:sz="4" w:space="0" w:color="A6A6A6"/>
            </w:tcBorders>
            <w:hideMark/>
          </w:tcPr>
          <w:p w14:paraId="1EFE6652" w14:textId="77777777" w:rsidR="00CE75D4" w:rsidRPr="002029AF" w:rsidRDefault="00CE75D4" w:rsidP="008340C1">
            <w:pPr>
              <w:pStyle w:val="ARfintablebody"/>
            </w:pPr>
            <w:r w:rsidRPr="001350D9">
              <w:t>Amounts payable to the consolidated fund</w:t>
            </w:r>
          </w:p>
        </w:tc>
        <w:tc>
          <w:tcPr>
            <w:tcW w:w="1134" w:type="dxa"/>
            <w:tcBorders>
              <w:top w:val="single" w:sz="4" w:space="0" w:color="A6A6A6"/>
              <w:bottom w:val="single" w:sz="4" w:space="0" w:color="A6A6A6"/>
            </w:tcBorders>
            <w:shd w:val="clear" w:color="auto" w:fill="E7E6E6"/>
            <w:noWrap/>
            <w:hideMark/>
          </w:tcPr>
          <w:p w14:paraId="20A82079" w14:textId="77777777" w:rsidR="00CE75D4" w:rsidRPr="002029AF" w:rsidRDefault="00CE75D4" w:rsidP="008340C1">
            <w:pPr>
              <w:pStyle w:val="ARfintablebodyright"/>
            </w:pPr>
            <w:r w:rsidRPr="001350D9">
              <w:t>59.8</w:t>
            </w:r>
          </w:p>
        </w:tc>
        <w:tc>
          <w:tcPr>
            <w:tcW w:w="1134" w:type="dxa"/>
            <w:tcBorders>
              <w:top w:val="single" w:sz="4" w:space="0" w:color="A6A6A6"/>
              <w:bottom w:val="single" w:sz="4" w:space="0" w:color="A6A6A6"/>
            </w:tcBorders>
            <w:noWrap/>
            <w:hideMark/>
          </w:tcPr>
          <w:p w14:paraId="6CF27CC6" w14:textId="77777777" w:rsidR="00CE75D4" w:rsidRPr="002029AF" w:rsidRDefault="00CE75D4" w:rsidP="008340C1">
            <w:pPr>
              <w:pStyle w:val="ARfintablebodyright"/>
            </w:pPr>
            <w:r w:rsidRPr="001350D9">
              <w:t>203.1</w:t>
            </w:r>
          </w:p>
        </w:tc>
      </w:tr>
      <w:tr w:rsidR="00CE75D4" w:rsidRPr="002029AF" w14:paraId="7FA7CD98" w14:textId="77777777" w:rsidTr="00860E95">
        <w:tc>
          <w:tcPr>
            <w:tcW w:w="7369" w:type="dxa"/>
            <w:tcBorders>
              <w:top w:val="single" w:sz="4" w:space="0" w:color="A6A6A6"/>
              <w:bottom w:val="single" w:sz="4" w:space="0" w:color="A6A6A6"/>
            </w:tcBorders>
            <w:hideMark/>
          </w:tcPr>
          <w:p w14:paraId="60AB3D4F" w14:textId="77777777" w:rsidR="00CE75D4" w:rsidRPr="002029AF" w:rsidRDefault="00CE75D4" w:rsidP="008340C1">
            <w:pPr>
              <w:pStyle w:val="ARfintablebody"/>
            </w:pPr>
            <w:r w:rsidRPr="001350D9">
              <w:t>Payables</w:t>
            </w:r>
            <w:r>
              <w:t xml:space="preserve"> </w:t>
            </w:r>
            <w:r w:rsidRPr="00C0495C">
              <w:rPr>
                <w:rStyle w:val="Superscript"/>
              </w:rPr>
              <w:t>(i</w:t>
            </w:r>
            <w:r>
              <w:rPr>
                <w:rStyle w:val="Superscript"/>
              </w:rPr>
              <w:t>i</w:t>
            </w:r>
            <w:r w:rsidRPr="00C0495C">
              <w:rPr>
                <w:rStyle w:val="Superscript"/>
              </w:rPr>
              <w:t>)</w:t>
            </w:r>
          </w:p>
        </w:tc>
        <w:tc>
          <w:tcPr>
            <w:tcW w:w="1134" w:type="dxa"/>
            <w:tcBorders>
              <w:top w:val="single" w:sz="4" w:space="0" w:color="A6A6A6"/>
              <w:bottom w:val="single" w:sz="4" w:space="0" w:color="A6A6A6"/>
            </w:tcBorders>
            <w:shd w:val="clear" w:color="auto" w:fill="E7E6E6"/>
            <w:noWrap/>
            <w:hideMark/>
          </w:tcPr>
          <w:p w14:paraId="245BF2A4" w14:textId="77777777" w:rsidR="00CE75D4" w:rsidRPr="002029AF" w:rsidRDefault="00CE75D4" w:rsidP="008340C1">
            <w:pPr>
              <w:pStyle w:val="ARfintablebodyright"/>
            </w:pPr>
            <w:r w:rsidRPr="001350D9">
              <w:t>996.8</w:t>
            </w:r>
          </w:p>
        </w:tc>
        <w:tc>
          <w:tcPr>
            <w:tcW w:w="1134" w:type="dxa"/>
            <w:tcBorders>
              <w:top w:val="single" w:sz="4" w:space="0" w:color="A6A6A6"/>
              <w:bottom w:val="single" w:sz="4" w:space="0" w:color="A6A6A6"/>
            </w:tcBorders>
            <w:noWrap/>
            <w:hideMark/>
          </w:tcPr>
          <w:p w14:paraId="7678497A" w14:textId="77777777" w:rsidR="00CE75D4" w:rsidRPr="002029AF" w:rsidRDefault="00CE75D4" w:rsidP="008340C1">
            <w:pPr>
              <w:pStyle w:val="ARfintablebodyright"/>
            </w:pPr>
            <w:r w:rsidRPr="001350D9">
              <w:t>510.8</w:t>
            </w:r>
          </w:p>
        </w:tc>
      </w:tr>
      <w:tr w:rsidR="00CE75D4" w:rsidRPr="002029AF" w14:paraId="54AB445B" w14:textId="77777777" w:rsidTr="00860E95">
        <w:tc>
          <w:tcPr>
            <w:tcW w:w="7369" w:type="dxa"/>
            <w:tcBorders>
              <w:top w:val="single" w:sz="4" w:space="0" w:color="A6A6A6"/>
            </w:tcBorders>
            <w:hideMark/>
          </w:tcPr>
          <w:p w14:paraId="63873F38" w14:textId="77777777" w:rsidR="00CE75D4" w:rsidRPr="002029AF" w:rsidRDefault="00CE75D4" w:rsidP="008340C1">
            <w:pPr>
              <w:pStyle w:val="ARfintablebody"/>
            </w:pPr>
            <w:r w:rsidRPr="001350D9">
              <w:t>Other</w:t>
            </w:r>
          </w:p>
        </w:tc>
        <w:tc>
          <w:tcPr>
            <w:tcW w:w="1134" w:type="dxa"/>
            <w:tcBorders>
              <w:top w:val="single" w:sz="4" w:space="0" w:color="A6A6A6"/>
            </w:tcBorders>
            <w:shd w:val="clear" w:color="auto" w:fill="E7E6E6"/>
            <w:noWrap/>
            <w:hideMark/>
          </w:tcPr>
          <w:p w14:paraId="5691430D" w14:textId="77777777" w:rsidR="00CE75D4" w:rsidRPr="002029AF" w:rsidRDefault="00CE75D4" w:rsidP="008340C1">
            <w:pPr>
              <w:pStyle w:val="ARfintablebodyright"/>
            </w:pPr>
            <w:r>
              <w:t>–</w:t>
            </w:r>
          </w:p>
        </w:tc>
        <w:tc>
          <w:tcPr>
            <w:tcW w:w="1134" w:type="dxa"/>
            <w:tcBorders>
              <w:top w:val="single" w:sz="4" w:space="0" w:color="A6A6A6"/>
            </w:tcBorders>
            <w:noWrap/>
            <w:hideMark/>
          </w:tcPr>
          <w:p w14:paraId="1DC61F4B" w14:textId="77777777" w:rsidR="00CE75D4" w:rsidRPr="002029AF" w:rsidRDefault="00CE75D4" w:rsidP="008340C1">
            <w:pPr>
              <w:pStyle w:val="ARfintablebodyright"/>
            </w:pPr>
            <w:r w:rsidRPr="001350D9">
              <w:t>3.4</w:t>
            </w:r>
          </w:p>
        </w:tc>
      </w:tr>
      <w:tr w:rsidR="00CE75D4" w:rsidRPr="002029AF" w14:paraId="0D03BBA7" w14:textId="77777777" w:rsidTr="00860E95">
        <w:tc>
          <w:tcPr>
            <w:tcW w:w="7369" w:type="dxa"/>
            <w:hideMark/>
          </w:tcPr>
          <w:p w14:paraId="496A352B" w14:textId="77777777" w:rsidR="00CE75D4" w:rsidRPr="002029AF" w:rsidRDefault="00CE75D4" w:rsidP="008340C1">
            <w:pPr>
              <w:pStyle w:val="ARfintablebodybold"/>
            </w:pPr>
            <w:r w:rsidRPr="001350D9">
              <w:t>Total administered liabilities</w:t>
            </w:r>
          </w:p>
        </w:tc>
        <w:tc>
          <w:tcPr>
            <w:tcW w:w="1134" w:type="dxa"/>
            <w:shd w:val="clear" w:color="auto" w:fill="E7E6E6"/>
            <w:noWrap/>
            <w:hideMark/>
          </w:tcPr>
          <w:p w14:paraId="0A8691DC" w14:textId="77777777" w:rsidR="00CE75D4" w:rsidRPr="002029AF" w:rsidRDefault="00CE75D4" w:rsidP="008340C1">
            <w:pPr>
              <w:pStyle w:val="ARfintablebodyrightbold"/>
            </w:pPr>
            <w:r w:rsidRPr="001350D9">
              <w:t>1,056.6</w:t>
            </w:r>
          </w:p>
        </w:tc>
        <w:tc>
          <w:tcPr>
            <w:tcW w:w="1134" w:type="dxa"/>
            <w:noWrap/>
            <w:hideMark/>
          </w:tcPr>
          <w:p w14:paraId="6796533A" w14:textId="77777777" w:rsidR="00CE75D4" w:rsidRPr="002029AF" w:rsidRDefault="00CE75D4" w:rsidP="008340C1">
            <w:pPr>
              <w:pStyle w:val="ARfintablebodyrightbold"/>
            </w:pPr>
            <w:r w:rsidRPr="001350D9">
              <w:t>717.3</w:t>
            </w:r>
          </w:p>
        </w:tc>
      </w:tr>
      <w:tr w:rsidR="00CE75D4" w:rsidRPr="002029AF" w14:paraId="243AAAE4" w14:textId="77777777" w:rsidTr="00860E95">
        <w:tc>
          <w:tcPr>
            <w:tcW w:w="7369" w:type="dxa"/>
            <w:hideMark/>
          </w:tcPr>
          <w:p w14:paraId="6342B881" w14:textId="77777777" w:rsidR="00CE75D4" w:rsidRPr="002029AF" w:rsidRDefault="00CE75D4" w:rsidP="008340C1">
            <w:pPr>
              <w:pStyle w:val="ARfintablebodybold"/>
            </w:pPr>
            <w:r w:rsidRPr="001350D9">
              <w:t>Total administered net assets</w:t>
            </w:r>
          </w:p>
        </w:tc>
        <w:tc>
          <w:tcPr>
            <w:tcW w:w="1134" w:type="dxa"/>
            <w:shd w:val="clear" w:color="auto" w:fill="E7E6E6"/>
            <w:noWrap/>
            <w:hideMark/>
          </w:tcPr>
          <w:p w14:paraId="11AD079B" w14:textId="77777777" w:rsidR="00CE75D4" w:rsidRPr="002029AF" w:rsidRDefault="00CE75D4" w:rsidP="008340C1">
            <w:pPr>
              <w:pStyle w:val="ARfintablebodyrightbold"/>
            </w:pPr>
            <w:r>
              <w:t>–</w:t>
            </w:r>
          </w:p>
        </w:tc>
        <w:tc>
          <w:tcPr>
            <w:tcW w:w="1134" w:type="dxa"/>
            <w:noWrap/>
            <w:hideMark/>
          </w:tcPr>
          <w:p w14:paraId="36097783" w14:textId="77777777" w:rsidR="00CE75D4" w:rsidRPr="002029AF" w:rsidRDefault="00CE75D4" w:rsidP="008340C1">
            <w:pPr>
              <w:pStyle w:val="ARfintablebodyrightbold"/>
            </w:pPr>
            <w:r>
              <w:t>–</w:t>
            </w:r>
          </w:p>
        </w:tc>
      </w:tr>
    </w:tbl>
    <w:p w14:paraId="79BABF8C" w14:textId="77777777" w:rsidR="00CE75D4" w:rsidRPr="005404DA" w:rsidRDefault="00CE75D4" w:rsidP="008340C1">
      <w:pPr>
        <w:pStyle w:val="ARfintablefootnote"/>
        <w:rPr>
          <w:szCs w:val="16"/>
          <w:lang w:eastAsia="en-AU"/>
        </w:rPr>
      </w:pPr>
      <w:r w:rsidRPr="005404DA">
        <w:rPr>
          <w:szCs w:val="16"/>
          <w:lang w:eastAsia="en-AU"/>
        </w:rPr>
        <w:t>Notes:</w:t>
      </w:r>
    </w:p>
    <w:p w14:paraId="0C534C15" w14:textId="77777777" w:rsidR="00CE75D4" w:rsidRPr="005404DA" w:rsidRDefault="00CE75D4" w:rsidP="008340C1">
      <w:pPr>
        <w:pStyle w:val="ARfintablefootnoteindent"/>
        <w:rPr>
          <w:lang w:eastAsia="en-US"/>
        </w:rPr>
      </w:pPr>
      <w:r w:rsidRPr="005404DA">
        <w:t>(i)</w:t>
      </w:r>
      <w:r w:rsidRPr="005404DA">
        <w:tab/>
        <w:t xml:space="preserve">The increase in receivables is primarily due to the Commonwealth </w:t>
      </w:r>
      <w:r>
        <w:t xml:space="preserve">contribution to the Victorian State Pool Account for the </w:t>
      </w:r>
      <w:r w:rsidRPr="005404DA">
        <w:t xml:space="preserve">National Partnership on COVID-19 </w:t>
      </w:r>
      <w:r>
        <w:t>R</w:t>
      </w:r>
      <w:r w:rsidRPr="005404DA">
        <w:t>esponse earned but</w:t>
      </w:r>
      <w:r>
        <w:t xml:space="preserve"> </w:t>
      </w:r>
      <w:r w:rsidRPr="005404DA">
        <w:t>not yet received.</w:t>
      </w:r>
    </w:p>
    <w:p w14:paraId="729A7C98" w14:textId="31B60E30" w:rsidR="00CE75D4" w:rsidRPr="00E918D2" w:rsidRDefault="00CE75D4" w:rsidP="008340C1">
      <w:pPr>
        <w:pStyle w:val="ARfintablefootnoteindent"/>
      </w:pPr>
      <w:r w:rsidRPr="005404DA">
        <w:t>(ii)</w:t>
      </w:r>
      <w:r w:rsidRPr="005404DA">
        <w:tab/>
        <w:t xml:space="preserve">The increase in payables primarily relates to the </w:t>
      </w:r>
      <w:r>
        <w:t xml:space="preserve">funding payable by the Victorian State Pool Account to the </w:t>
      </w:r>
      <w:r w:rsidRPr="005404DA">
        <w:t xml:space="preserve">state for services </w:t>
      </w:r>
      <w:r w:rsidR="00A60704">
        <w:t xml:space="preserve"> relating to the </w:t>
      </w:r>
      <w:r w:rsidRPr="005404DA">
        <w:t>COVID-19 response.</w:t>
      </w:r>
    </w:p>
    <w:p w14:paraId="2BAAD18D" w14:textId="77777777" w:rsidR="00CE75D4" w:rsidRPr="002029AF" w:rsidRDefault="00CE75D4" w:rsidP="00087B91">
      <w:pPr>
        <w:pStyle w:val="Heading5"/>
      </w:pPr>
      <w:r w:rsidRPr="00EB6DF9">
        <w:rPr>
          <w:lang w:eastAsia="en-AU"/>
        </w:rPr>
        <w:t>4.2.3 Administered grants and other expense transfers</w:t>
      </w:r>
    </w:p>
    <w:tbl>
      <w:tblPr>
        <w:tblStyle w:val="TableGrid"/>
        <w:tblW w:w="9637" w:type="dxa"/>
        <w:tblLayout w:type="fixed"/>
        <w:tblLook w:val="06A0" w:firstRow="1" w:lastRow="0" w:firstColumn="1" w:lastColumn="0" w:noHBand="1" w:noVBand="1"/>
      </w:tblPr>
      <w:tblGrid>
        <w:gridCol w:w="7369"/>
        <w:gridCol w:w="1134"/>
        <w:gridCol w:w="1134"/>
      </w:tblGrid>
      <w:tr w:rsidR="00CE75D4" w:rsidRPr="002029AF" w14:paraId="1D5EA9EF"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hideMark/>
          </w:tcPr>
          <w:p w14:paraId="5335CB23" w14:textId="77777777" w:rsidR="00CE75D4" w:rsidRPr="002029AF" w:rsidRDefault="00CE75D4" w:rsidP="008340C1">
            <w:pPr>
              <w:pStyle w:val="ARfintablecolhead"/>
            </w:pPr>
          </w:p>
        </w:tc>
        <w:tc>
          <w:tcPr>
            <w:tcW w:w="1134" w:type="dxa"/>
            <w:tcBorders>
              <w:bottom w:val="single" w:sz="4" w:space="0" w:color="auto"/>
            </w:tcBorders>
            <w:shd w:val="clear" w:color="auto" w:fill="E7E6E6"/>
            <w:hideMark/>
          </w:tcPr>
          <w:p w14:paraId="51BEF167" w14:textId="77777777" w:rsidR="00CE75D4" w:rsidRPr="002029AF" w:rsidRDefault="00CE75D4" w:rsidP="008340C1">
            <w:pPr>
              <w:pStyle w:val="ARfintablecolheadright"/>
            </w:pPr>
            <w:r w:rsidRPr="002029AF">
              <w:t>202</w:t>
            </w:r>
            <w:r>
              <w:t>2</w:t>
            </w:r>
          </w:p>
          <w:p w14:paraId="253FE7A4" w14:textId="77777777" w:rsidR="00CE75D4" w:rsidRPr="002029AF" w:rsidRDefault="00CE75D4" w:rsidP="008340C1">
            <w:pPr>
              <w:pStyle w:val="ARfintablecolheadright"/>
            </w:pPr>
            <w:r w:rsidRPr="002029AF">
              <w:t>$M</w:t>
            </w:r>
          </w:p>
        </w:tc>
        <w:tc>
          <w:tcPr>
            <w:tcW w:w="1134" w:type="dxa"/>
            <w:tcBorders>
              <w:bottom w:val="single" w:sz="4" w:space="0" w:color="auto"/>
            </w:tcBorders>
            <w:hideMark/>
          </w:tcPr>
          <w:p w14:paraId="1FA655A6" w14:textId="77777777" w:rsidR="00CE75D4" w:rsidRPr="002029AF" w:rsidRDefault="00CE75D4" w:rsidP="008340C1">
            <w:pPr>
              <w:pStyle w:val="ARfintablecolheadright"/>
            </w:pPr>
            <w:r>
              <w:t>2021</w:t>
            </w:r>
          </w:p>
          <w:p w14:paraId="4B307754" w14:textId="77777777" w:rsidR="00CE75D4" w:rsidRPr="002029AF" w:rsidRDefault="00CE75D4" w:rsidP="008340C1">
            <w:pPr>
              <w:pStyle w:val="ARfintablecolheadright"/>
            </w:pPr>
            <w:r w:rsidRPr="002029AF">
              <w:t>$M</w:t>
            </w:r>
          </w:p>
        </w:tc>
      </w:tr>
      <w:tr w:rsidR="00CE75D4" w:rsidRPr="002029AF" w14:paraId="3A566A67" w14:textId="77777777" w:rsidTr="00860E95">
        <w:tc>
          <w:tcPr>
            <w:tcW w:w="9637" w:type="dxa"/>
            <w:gridSpan w:val="3"/>
            <w:tcBorders>
              <w:top w:val="single" w:sz="4" w:space="0" w:color="auto"/>
              <w:bottom w:val="single" w:sz="4" w:space="0" w:color="A6A6A6"/>
            </w:tcBorders>
            <w:hideMark/>
          </w:tcPr>
          <w:p w14:paraId="53A9F630" w14:textId="77777777" w:rsidR="00CE75D4" w:rsidRPr="002029AF" w:rsidRDefault="00CE75D4" w:rsidP="008340C1">
            <w:pPr>
              <w:pStyle w:val="ARfintablebodybold"/>
            </w:pPr>
            <w:r w:rsidRPr="00AF069A">
              <w:t xml:space="preserve">Public health services, public and denominational hospitals </w:t>
            </w:r>
            <w:r w:rsidRPr="00EB6DF9">
              <w:rPr>
                <w:rStyle w:val="Superscript"/>
              </w:rPr>
              <w:t>(i</w:t>
            </w:r>
            <w:r>
              <w:rPr>
                <w:rStyle w:val="Superscript"/>
              </w:rPr>
              <w:t>)(ii</w:t>
            </w:r>
            <w:r w:rsidRPr="00EB6DF9">
              <w:rPr>
                <w:rStyle w:val="Superscript"/>
              </w:rPr>
              <w:t>)</w:t>
            </w:r>
          </w:p>
        </w:tc>
      </w:tr>
      <w:tr w:rsidR="00CE75D4" w:rsidRPr="002029AF" w14:paraId="5D087132" w14:textId="77777777" w:rsidTr="00860E95">
        <w:tc>
          <w:tcPr>
            <w:tcW w:w="7369" w:type="dxa"/>
            <w:tcBorders>
              <w:top w:val="single" w:sz="4" w:space="0" w:color="A6A6A6"/>
              <w:bottom w:val="single" w:sz="4" w:space="0" w:color="A6A6A6"/>
            </w:tcBorders>
            <w:hideMark/>
          </w:tcPr>
          <w:p w14:paraId="203CB887" w14:textId="77777777" w:rsidR="00CE75D4" w:rsidRPr="002029AF" w:rsidRDefault="00CE75D4" w:rsidP="008340C1">
            <w:pPr>
              <w:pStyle w:val="ARfintablebody"/>
            </w:pPr>
            <w:bookmarkStart w:id="573" w:name="_Hlk47956742"/>
            <w:r w:rsidRPr="00AF069A">
              <w:t>Monash Health</w:t>
            </w:r>
          </w:p>
        </w:tc>
        <w:tc>
          <w:tcPr>
            <w:tcW w:w="1134" w:type="dxa"/>
            <w:tcBorders>
              <w:top w:val="single" w:sz="4" w:space="0" w:color="A6A6A6"/>
              <w:bottom w:val="single" w:sz="4" w:space="0" w:color="A6A6A6"/>
            </w:tcBorders>
            <w:shd w:val="clear" w:color="auto" w:fill="E7E6E6"/>
            <w:noWrap/>
            <w:hideMark/>
          </w:tcPr>
          <w:p w14:paraId="547FD4FB" w14:textId="77777777" w:rsidR="00CE75D4" w:rsidRPr="002029AF" w:rsidRDefault="00CE75D4" w:rsidP="008340C1">
            <w:pPr>
              <w:pStyle w:val="ARfintablebodyright"/>
            </w:pPr>
            <w:r w:rsidRPr="00AF069A">
              <w:t>1,579.7</w:t>
            </w:r>
          </w:p>
        </w:tc>
        <w:tc>
          <w:tcPr>
            <w:tcW w:w="1134" w:type="dxa"/>
            <w:tcBorders>
              <w:top w:val="single" w:sz="4" w:space="0" w:color="A6A6A6"/>
              <w:bottom w:val="single" w:sz="4" w:space="0" w:color="A6A6A6"/>
            </w:tcBorders>
            <w:noWrap/>
            <w:hideMark/>
          </w:tcPr>
          <w:p w14:paraId="471A7507" w14:textId="77777777" w:rsidR="00CE75D4" w:rsidRPr="002029AF" w:rsidRDefault="00CE75D4" w:rsidP="008340C1">
            <w:pPr>
              <w:pStyle w:val="ARfintablebodyright"/>
            </w:pPr>
            <w:r w:rsidRPr="00AF069A">
              <w:t>1,398.1</w:t>
            </w:r>
          </w:p>
        </w:tc>
      </w:tr>
      <w:tr w:rsidR="00CE75D4" w:rsidRPr="002029AF" w14:paraId="2757590C" w14:textId="77777777" w:rsidTr="00860E95">
        <w:tc>
          <w:tcPr>
            <w:tcW w:w="7369" w:type="dxa"/>
            <w:tcBorders>
              <w:top w:val="single" w:sz="4" w:space="0" w:color="A6A6A6"/>
              <w:bottom w:val="single" w:sz="4" w:space="0" w:color="A6A6A6"/>
            </w:tcBorders>
            <w:hideMark/>
          </w:tcPr>
          <w:p w14:paraId="27EB7B55" w14:textId="77777777" w:rsidR="00CE75D4" w:rsidRPr="002029AF" w:rsidRDefault="00CE75D4" w:rsidP="008340C1">
            <w:pPr>
              <w:pStyle w:val="ARfintablebody"/>
            </w:pPr>
            <w:r w:rsidRPr="00AF069A">
              <w:t>Eastern Health</w:t>
            </w:r>
          </w:p>
        </w:tc>
        <w:tc>
          <w:tcPr>
            <w:tcW w:w="1134" w:type="dxa"/>
            <w:tcBorders>
              <w:top w:val="single" w:sz="4" w:space="0" w:color="A6A6A6"/>
              <w:bottom w:val="single" w:sz="4" w:space="0" w:color="A6A6A6"/>
            </w:tcBorders>
            <w:shd w:val="clear" w:color="auto" w:fill="E7E6E6"/>
            <w:noWrap/>
            <w:hideMark/>
          </w:tcPr>
          <w:p w14:paraId="0FE74280" w14:textId="77777777" w:rsidR="00CE75D4" w:rsidRPr="002029AF" w:rsidRDefault="00CE75D4" w:rsidP="008340C1">
            <w:pPr>
              <w:pStyle w:val="ARfintablebodyright"/>
            </w:pPr>
            <w:r w:rsidRPr="00AF069A">
              <w:t>877.2</w:t>
            </w:r>
          </w:p>
        </w:tc>
        <w:tc>
          <w:tcPr>
            <w:tcW w:w="1134" w:type="dxa"/>
            <w:tcBorders>
              <w:top w:val="single" w:sz="4" w:space="0" w:color="A6A6A6"/>
              <w:bottom w:val="single" w:sz="4" w:space="0" w:color="A6A6A6"/>
            </w:tcBorders>
            <w:noWrap/>
            <w:hideMark/>
          </w:tcPr>
          <w:p w14:paraId="35EEDB14" w14:textId="77777777" w:rsidR="00CE75D4" w:rsidRPr="002029AF" w:rsidRDefault="00CE75D4" w:rsidP="008340C1">
            <w:pPr>
              <w:pStyle w:val="ARfintablebodyright"/>
            </w:pPr>
            <w:r w:rsidRPr="00AF069A">
              <w:t>780.3</w:t>
            </w:r>
          </w:p>
        </w:tc>
      </w:tr>
      <w:tr w:rsidR="00CE75D4" w:rsidRPr="002029AF" w14:paraId="4E2A1092" w14:textId="77777777" w:rsidTr="00860E95">
        <w:tc>
          <w:tcPr>
            <w:tcW w:w="7369" w:type="dxa"/>
            <w:tcBorders>
              <w:top w:val="single" w:sz="4" w:space="0" w:color="A6A6A6"/>
              <w:bottom w:val="single" w:sz="4" w:space="0" w:color="A6A6A6"/>
            </w:tcBorders>
            <w:hideMark/>
          </w:tcPr>
          <w:p w14:paraId="5CFFDF79" w14:textId="77777777" w:rsidR="00CE75D4" w:rsidRPr="002029AF" w:rsidRDefault="00CE75D4" w:rsidP="008340C1">
            <w:pPr>
              <w:pStyle w:val="ARfintablebody"/>
            </w:pPr>
            <w:r w:rsidRPr="00AF069A">
              <w:t>Melbourne Health</w:t>
            </w:r>
          </w:p>
        </w:tc>
        <w:tc>
          <w:tcPr>
            <w:tcW w:w="1134" w:type="dxa"/>
            <w:tcBorders>
              <w:top w:val="single" w:sz="4" w:space="0" w:color="A6A6A6"/>
              <w:bottom w:val="single" w:sz="4" w:space="0" w:color="A6A6A6"/>
            </w:tcBorders>
            <w:shd w:val="clear" w:color="auto" w:fill="E7E6E6"/>
            <w:noWrap/>
            <w:hideMark/>
          </w:tcPr>
          <w:p w14:paraId="5F2D150C" w14:textId="77777777" w:rsidR="00CE75D4" w:rsidRPr="002029AF" w:rsidRDefault="00CE75D4" w:rsidP="008340C1">
            <w:pPr>
              <w:pStyle w:val="ARfintablebodyright"/>
            </w:pPr>
            <w:r w:rsidRPr="00AF069A">
              <w:t>832.3</w:t>
            </w:r>
          </w:p>
        </w:tc>
        <w:tc>
          <w:tcPr>
            <w:tcW w:w="1134" w:type="dxa"/>
            <w:tcBorders>
              <w:top w:val="single" w:sz="4" w:space="0" w:color="A6A6A6"/>
              <w:bottom w:val="single" w:sz="4" w:space="0" w:color="A6A6A6"/>
            </w:tcBorders>
            <w:noWrap/>
            <w:hideMark/>
          </w:tcPr>
          <w:p w14:paraId="5F8D635F" w14:textId="77777777" w:rsidR="00CE75D4" w:rsidRPr="002029AF" w:rsidRDefault="00CE75D4" w:rsidP="008340C1">
            <w:pPr>
              <w:pStyle w:val="ARfintablebodyright"/>
            </w:pPr>
            <w:r w:rsidRPr="00AF069A">
              <w:t>715.4</w:t>
            </w:r>
          </w:p>
        </w:tc>
      </w:tr>
      <w:tr w:rsidR="00CE75D4" w:rsidRPr="002029AF" w14:paraId="414C981E" w14:textId="77777777" w:rsidTr="00860E95">
        <w:tc>
          <w:tcPr>
            <w:tcW w:w="7369" w:type="dxa"/>
            <w:tcBorders>
              <w:top w:val="single" w:sz="4" w:space="0" w:color="A6A6A6"/>
              <w:bottom w:val="single" w:sz="4" w:space="0" w:color="A6A6A6"/>
            </w:tcBorders>
            <w:hideMark/>
          </w:tcPr>
          <w:p w14:paraId="3ECAA1CE" w14:textId="77777777" w:rsidR="00CE75D4" w:rsidRPr="002029AF" w:rsidRDefault="00CE75D4" w:rsidP="008340C1">
            <w:pPr>
              <w:pStyle w:val="ARfintablebody"/>
            </w:pPr>
            <w:r w:rsidRPr="00AF069A">
              <w:t>Alfred Health</w:t>
            </w:r>
          </w:p>
        </w:tc>
        <w:tc>
          <w:tcPr>
            <w:tcW w:w="1134" w:type="dxa"/>
            <w:tcBorders>
              <w:top w:val="single" w:sz="4" w:space="0" w:color="A6A6A6"/>
              <w:bottom w:val="single" w:sz="4" w:space="0" w:color="A6A6A6"/>
            </w:tcBorders>
            <w:shd w:val="clear" w:color="auto" w:fill="E7E6E6"/>
            <w:noWrap/>
            <w:hideMark/>
          </w:tcPr>
          <w:p w14:paraId="7EAE43D5" w14:textId="77777777" w:rsidR="00CE75D4" w:rsidRPr="002029AF" w:rsidRDefault="00CE75D4" w:rsidP="008340C1">
            <w:pPr>
              <w:pStyle w:val="ARfintablebodyright"/>
            </w:pPr>
            <w:r w:rsidRPr="00AF069A">
              <w:t>829.1</w:t>
            </w:r>
          </w:p>
        </w:tc>
        <w:tc>
          <w:tcPr>
            <w:tcW w:w="1134" w:type="dxa"/>
            <w:tcBorders>
              <w:top w:val="single" w:sz="4" w:space="0" w:color="A6A6A6"/>
              <w:bottom w:val="single" w:sz="4" w:space="0" w:color="A6A6A6"/>
            </w:tcBorders>
            <w:noWrap/>
            <w:hideMark/>
          </w:tcPr>
          <w:p w14:paraId="7E6D4713" w14:textId="77777777" w:rsidR="00CE75D4" w:rsidRPr="002029AF" w:rsidRDefault="00CE75D4" w:rsidP="008340C1">
            <w:pPr>
              <w:pStyle w:val="ARfintablebodyright"/>
            </w:pPr>
            <w:r w:rsidRPr="00AF069A">
              <w:t>723.7</w:t>
            </w:r>
          </w:p>
        </w:tc>
      </w:tr>
      <w:tr w:rsidR="00CE75D4" w:rsidRPr="002029AF" w14:paraId="3D92DAE8" w14:textId="77777777" w:rsidTr="00860E95">
        <w:tc>
          <w:tcPr>
            <w:tcW w:w="7369" w:type="dxa"/>
            <w:tcBorders>
              <w:top w:val="single" w:sz="4" w:space="0" w:color="A6A6A6"/>
              <w:bottom w:val="single" w:sz="4" w:space="0" w:color="A6A6A6"/>
            </w:tcBorders>
            <w:hideMark/>
          </w:tcPr>
          <w:p w14:paraId="32748640" w14:textId="77777777" w:rsidR="00CE75D4" w:rsidRPr="002029AF" w:rsidRDefault="00CE75D4" w:rsidP="008340C1">
            <w:pPr>
              <w:pStyle w:val="ARfintablebody"/>
            </w:pPr>
            <w:r w:rsidRPr="00AF069A">
              <w:t>Western Health</w:t>
            </w:r>
          </w:p>
        </w:tc>
        <w:tc>
          <w:tcPr>
            <w:tcW w:w="1134" w:type="dxa"/>
            <w:tcBorders>
              <w:top w:val="single" w:sz="4" w:space="0" w:color="A6A6A6"/>
              <w:bottom w:val="single" w:sz="4" w:space="0" w:color="A6A6A6"/>
            </w:tcBorders>
            <w:shd w:val="clear" w:color="auto" w:fill="E7E6E6"/>
            <w:noWrap/>
            <w:hideMark/>
          </w:tcPr>
          <w:p w14:paraId="3B4F0670" w14:textId="77777777" w:rsidR="00CE75D4" w:rsidRPr="002029AF" w:rsidRDefault="00CE75D4" w:rsidP="008340C1">
            <w:pPr>
              <w:pStyle w:val="ARfintablebodyright"/>
            </w:pPr>
            <w:r w:rsidRPr="00AF069A">
              <w:t>871.6</w:t>
            </w:r>
          </w:p>
        </w:tc>
        <w:tc>
          <w:tcPr>
            <w:tcW w:w="1134" w:type="dxa"/>
            <w:tcBorders>
              <w:top w:val="single" w:sz="4" w:space="0" w:color="A6A6A6"/>
              <w:bottom w:val="single" w:sz="4" w:space="0" w:color="A6A6A6"/>
            </w:tcBorders>
            <w:noWrap/>
            <w:hideMark/>
          </w:tcPr>
          <w:p w14:paraId="61B6D193" w14:textId="77777777" w:rsidR="00CE75D4" w:rsidRPr="002029AF" w:rsidRDefault="00CE75D4" w:rsidP="008340C1">
            <w:pPr>
              <w:pStyle w:val="ARfintablebodyright"/>
            </w:pPr>
            <w:r w:rsidRPr="00AF069A">
              <w:t>661.5</w:t>
            </w:r>
          </w:p>
        </w:tc>
      </w:tr>
      <w:tr w:rsidR="00CE75D4" w:rsidRPr="002029AF" w14:paraId="0D17CEC1" w14:textId="77777777" w:rsidTr="00860E95">
        <w:tc>
          <w:tcPr>
            <w:tcW w:w="7369" w:type="dxa"/>
            <w:tcBorders>
              <w:top w:val="single" w:sz="4" w:space="0" w:color="A6A6A6"/>
              <w:bottom w:val="single" w:sz="4" w:space="0" w:color="A6A6A6"/>
            </w:tcBorders>
            <w:hideMark/>
          </w:tcPr>
          <w:p w14:paraId="45E4BC57" w14:textId="77777777" w:rsidR="00CE75D4" w:rsidRPr="002029AF" w:rsidRDefault="00CE75D4" w:rsidP="008340C1">
            <w:pPr>
              <w:pStyle w:val="ARfintablebody"/>
            </w:pPr>
            <w:bookmarkStart w:id="574" w:name="_Hlk47956782"/>
            <w:bookmarkEnd w:id="573"/>
            <w:r w:rsidRPr="00AF069A">
              <w:t>Austin Health</w:t>
            </w:r>
          </w:p>
        </w:tc>
        <w:tc>
          <w:tcPr>
            <w:tcW w:w="1134" w:type="dxa"/>
            <w:tcBorders>
              <w:top w:val="single" w:sz="4" w:space="0" w:color="A6A6A6"/>
              <w:bottom w:val="single" w:sz="4" w:space="0" w:color="A6A6A6"/>
            </w:tcBorders>
            <w:shd w:val="clear" w:color="auto" w:fill="E7E6E6"/>
            <w:noWrap/>
            <w:hideMark/>
          </w:tcPr>
          <w:p w14:paraId="731A2913" w14:textId="77777777" w:rsidR="00CE75D4" w:rsidRPr="002029AF" w:rsidRDefault="00CE75D4" w:rsidP="008340C1">
            <w:pPr>
              <w:pStyle w:val="ARfintablebodyright"/>
            </w:pPr>
            <w:r w:rsidRPr="00AF069A">
              <w:t>766.9</w:t>
            </w:r>
          </w:p>
        </w:tc>
        <w:tc>
          <w:tcPr>
            <w:tcW w:w="1134" w:type="dxa"/>
            <w:tcBorders>
              <w:top w:val="single" w:sz="4" w:space="0" w:color="A6A6A6"/>
              <w:bottom w:val="single" w:sz="4" w:space="0" w:color="A6A6A6"/>
            </w:tcBorders>
            <w:noWrap/>
            <w:hideMark/>
          </w:tcPr>
          <w:p w14:paraId="4DA6A514" w14:textId="77777777" w:rsidR="00CE75D4" w:rsidRPr="002029AF" w:rsidRDefault="00CE75D4" w:rsidP="008340C1">
            <w:pPr>
              <w:pStyle w:val="ARfintablebodyright"/>
            </w:pPr>
            <w:r w:rsidRPr="00AF069A">
              <w:t>647.7</w:t>
            </w:r>
          </w:p>
        </w:tc>
      </w:tr>
      <w:tr w:rsidR="00CE75D4" w:rsidRPr="002029AF" w14:paraId="56E5549E" w14:textId="77777777" w:rsidTr="00860E95">
        <w:tc>
          <w:tcPr>
            <w:tcW w:w="7369" w:type="dxa"/>
            <w:tcBorders>
              <w:top w:val="single" w:sz="4" w:space="0" w:color="A6A6A6"/>
              <w:bottom w:val="single" w:sz="4" w:space="0" w:color="A6A6A6"/>
            </w:tcBorders>
            <w:hideMark/>
          </w:tcPr>
          <w:p w14:paraId="65637776" w14:textId="77777777" w:rsidR="00CE75D4" w:rsidRPr="002029AF" w:rsidRDefault="00CE75D4" w:rsidP="008340C1">
            <w:pPr>
              <w:pStyle w:val="ARfintablebody"/>
            </w:pPr>
            <w:r w:rsidRPr="00AF069A">
              <w:t>Northern Health</w:t>
            </w:r>
          </w:p>
        </w:tc>
        <w:tc>
          <w:tcPr>
            <w:tcW w:w="1134" w:type="dxa"/>
            <w:tcBorders>
              <w:top w:val="single" w:sz="4" w:space="0" w:color="A6A6A6"/>
              <w:bottom w:val="single" w:sz="4" w:space="0" w:color="A6A6A6"/>
            </w:tcBorders>
            <w:shd w:val="clear" w:color="auto" w:fill="E7E6E6"/>
            <w:noWrap/>
            <w:hideMark/>
          </w:tcPr>
          <w:p w14:paraId="33EAD04C" w14:textId="77777777" w:rsidR="00CE75D4" w:rsidRPr="002029AF" w:rsidRDefault="00CE75D4" w:rsidP="008340C1">
            <w:pPr>
              <w:pStyle w:val="ARfintablebodyright"/>
            </w:pPr>
            <w:r w:rsidRPr="00AF069A">
              <w:t>565.3</w:t>
            </w:r>
          </w:p>
        </w:tc>
        <w:tc>
          <w:tcPr>
            <w:tcW w:w="1134" w:type="dxa"/>
            <w:tcBorders>
              <w:top w:val="single" w:sz="4" w:space="0" w:color="A6A6A6"/>
              <w:bottom w:val="single" w:sz="4" w:space="0" w:color="A6A6A6"/>
            </w:tcBorders>
            <w:noWrap/>
            <w:hideMark/>
          </w:tcPr>
          <w:p w14:paraId="5245B2B3" w14:textId="77777777" w:rsidR="00CE75D4" w:rsidRPr="002029AF" w:rsidRDefault="00CE75D4" w:rsidP="008340C1">
            <w:pPr>
              <w:pStyle w:val="ARfintablebodyright"/>
            </w:pPr>
            <w:r w:rsidRPr="00AF069A">
              <w:t>487.4</w:t>
            </w:r>
          </w:p>
        </w:tc>
      </w:tr>
      <w:tr w:rsidR="00CE75D4" w:rsidRPr="002029AF" w14:paraId="2B6A4EDF" w14:textId="77777777" w:rsidTr="00860E95">
        <w:tc>
          <w:tcPr>
            <w:tcW w:w="7369" w:type="dxa"/>
            <w:tcBorders>
              <w:top w:val="single" w:sz="4" w:space="0" w:color="A6A6A6"/>
              <w:bottom w:val="single" w:sz="4" w:space="0" w:color="A6A6A6"/>
            </w:tcBorders>
            <w:hideMark/>
          </w:tcPr>
          <w:p w14:paraId="36EC1833" w14:textId="77777777" w:rsidR="00CE75D4" w:rsidRPr="002029AF" w:rsidRDefault="00CE75D4" w:rsidP="008340C1">
            <w:pPr>
              <w:pStyle w:val="ARfintablebody"/>
            </w:pPr>
            <w:r w:rsidRPr="00AF069A">
              <w:t>Barwon Health</w:t>
            </w:r>
          </w:p>
        </w:tc>
        <w:tc>
          <w:tcPr>
            <w:tcW w:w="1134" w:type="dxa"/>
            <w:tcBorders>
              <w:top w:val="single" w:sz="4" w:space="0" w:color="A6A6A6"/>
              <w:bottom w:val="single" w:sz="4" w:space="0" w:color="A6A6A6"/>
            </w:tcBorders>
            <w:shd w:val="clear" w:color="auto" w:fill="E7E6E6"/>
            <w:noWrap/>
            <w:hideMark/>
          </w:tcPr>
          <w:p w14:paraId="1A693E76" w14:textId="77777777" w:rsidR="00CE75D4" w:rsidRPr="002029AF" w:rsidRDefault="00CE75D4" w:rsidP="008340C1">
            <w:pPr>
              <w:pStyle w:val="ARfintablebodyright"/>
            </w:pPr>
            <w:r w:rsidRPr="00AF069A">
              <w:t>552.8</w:t>
            </w:r>
          </w:p>
        </w:tc>
        <w:tc>
          <w:tcPr>
            <w:tcW w:w="1134" w:type="dxa"/>
            <w:tcBorders>
              <w:top w:val="single" w:sz="4" w:space="0" w:color="A6A6A6"/>
              <w:bottom w:val="single" w:sz="4" w:space="0" w:color="A6A6A6"/>
            </w:tcBorders>
            <w:noWrap/>
            <w:hideMark/>
          </w:tcPr>
          <w:p w14:paraId="528DF7DA" w14:textId="77777777" w:rsidR="00CE75D4" w:rsidRPr="002029AF" w:rsidRDefault="00CE75D4" w:rsidP="008340C1">
            <w:pPr>
              <w:pStyle w:val="ARfintablebodyright"/>
            </w:pPr>
            <w:r w:rsidRPr="00AF069A">
              <w:t>467.9</w:t>
            </w:r>
          </w:p>
        </w:tc>
      </w:tr>
      <w:tr w:rsidR="00CE75D4" w:rsidRPr="002029AF" w14:paraId="4FDCC81B" w14:textId="77777777" w:rsidTr="00860E95">
        <w:tc>
          <w:tcPr>
            <w:tcW w:w="7369" w:type="dxa"/>
            <w:tcBorders>
              <w:top w:val="single" w:sz="4" w:space="0" w:color="A6A6A6"/>
              <w:bottom w:val="single" w:sz="4" w:space="0" w:color="A6A6A6"/>
            </w:tcBorders>
            <w:hideMark/>
          </w:tcPr>
          <w:p w14:paraId="28609156" w14:textId="77777777" w:rsidR="00CE75D4" w:rsidRPr="002029AF" w:rsidRDefault="00CE75D4" w:rsidP="008340C1">
            <w:pPr>
              <w:pStyle w:val="ARfintablebody"/>
            </w:pPr>
            <w:r w:rsidRPr="00AF069A">
              <w:t>Peninsula Health</w:t>
            </w:r>
          </w:p>
        </w:tc>
        <w:tc>
          <w:tcPr>
            <w:tcW w:w="1134" w:type="dxa"/>
            <w:tcBorders>
              <w:top w:val="single" w:sz="4" w:space="0" w:color="A6A6A6"/>
              <w:bottom w:val="single" w:sz="4" w:space="0" w:color="A6A6A6"/>
            </w:tcBorders>
            <w:shd w:val="clear" w:color="auto" w:fill="E7E6E6"/>
            <w:noWrap/>
            <w:hideMark/>
          </w:tcPr>
          <w:p w14:paraId="1BB45F4B" w14:textId="77777777" w:rsidR="00CE75D4" w:rsidRPr="002029AF" w:rsidRDefault="00CE75D4" w:rsidP="008340C1">
            <w:pPr>
              <w:pStyle w:val="ARfintablebodyright"/>
            </w:pPr>
            <w:r w:rsidRPr="00AF069A">
              <w:t>536.0</w:t>
            </w:r>
          </w:p>
        </w:tc>
        <w:tc>
          <w:tcPr>
            <w:tcW w:w="1134" w:type="dxa"/>
            <w:tcBorders>
              <w:top w:val="single" w:sz="4" w:space="0" w:color="A6A6A6"/>
              <w:bottom w:val="single" w:sz="4" w:space="0" w:color="A6A6A6"/>
            </w:tcBorders>
            <w:noWrap/>
            <w:hideMark/>
          </w:tcPr>
          <w:p w14:paraId="71B88BEC" w14:textId="77777777" w:rsidR="00CE75D4" w:rsidRPr="002029AF" w:rsidRDefault="00CE75D4" w:rsidP="008340C1">
            <w:pPr>
              <w:pStyle w:val="ARfintablebodyright"/>
            </w:pPr>
            <w:r w:rsidRPr="00AF069A">
              <w:t>472.1</w:t>
            </w:r>
          </w:p>
        </w:tc>
      </w:tr>
      <w:tr w:rsidR="00CE75D4" w:rsidRPr="002029AF" w14:paraId="172BAE43" w14:textId="77777777" w:rsidTr="00860E95">
        <w:tc>
          <w:tcPr>
            <w:tcW w:w="7369" w:type="dxa"/>
            <w:tcBorders>
              <w:top w:val="single" w:sz="4" w:space="0" w:color="A6A6A6"/>
              <w:bottom w:val="single" w:sz="4" w:space="0" w:color="A6A6A6"/>
            </w:tcBorders>
            <w:hideMark/>
          </w:tcPr>
          <w:p w14:paraId="63F598E3" w14:textId="77777777" w:rsidR="00CE75D4" w:rsidRPr="002029AF" w:rsidRDefault="00CE75D4" w:rsidP="008340C1">
            <w:pPr>
              <w:pStyle w:val="ARfintablebody"/>
            </w:pPr>
            <w:r w:rsidRPr="00AF069A">
              <w:t>St Vincent</w:t>
            </w:r>
            <w:r>
              <w:t>’</w:t>
            </w:r>
            <w:r w:rsidRPr="00AF069A">
              <w:t>s Hospital (Melbourne) Limited</w:t>
            </w:r>
          </w:p>
        </w:tc>
        <w:tc>
          <w:tcPr>
            <w:tcW w:w="1134" w:type="dxa"/>
            <w:tcBorders>
              <w:top w:val="single" w:sz="4" w:space="0" w:color="A6A6A6"/>
              <w:bottom w:val="single" w:sz="4" w:space="0" w:color="A6A6A6"/>
            </w:tcBorders>
            <w:shd w:val="clear" w:color="auto" w:fill="E7E6E6"/>
            <w:noWrap/>
            <w:hideMark/>
          </w:tcPr>
          <w:p w14:paraId="5FF71793" w14:textId="77777777" w:rsidR="00CE75D4" w:rsidRPr="002029AF" w:rsidRDefault="00CE75D4" w:rsidP="008340C1">
            <w:pPr>
              <w:pStyle w:val="ARfintablebodyright"/>
            </w:pPr>
            <w:r w:rsidRPr="00AF069A">
              <w:t>535.6</w:t>
            </w:r>
          </w:p>
        </w:tc>
        <w:tc>
          <w:tcPr>
            <w:tcW w:w="1134" w:type="dxa"/>
            <w:tcBorders>
              <w:top w:val="single" w:sz="4" w:space="0" w:color="A6A6A6"/>
              <w:bottom w:val="single" w:sz="4" w:space="0" w:color="A6A6A6"/>
            </w:tcBorders>
            <w:noWrap/>
            <w:hideMark/>
          </w:tcPr>
          <w:p w14:paraId="25505DD0" w14:textId="77777777" w:rsidR="00CE75D4" w:rsidRPr="002029AF" w:rsidRDefault="00CE75D4" w:rsidP="008340C1">
            <w:pPr>
              <w:pStyle w:val="ARfintablebodyright"/>
            </w:pPr>
            <w:r w:rsidRPr="00AF069A">
              <w:t>458.4</w:t>
            </w:r>
          </w:p>
        </w:tc>
      </w:tr>
      <w:tr w:rsidR="00CE75D4" w:rsidRPr="002029AF" w14:paraId="37FA6F7E" w14:textId="77777777" w:rsidTr="00860E95">
        <w:tc>
          <w:tcPr>
            <w:tcW w:w="7369" w:type="dxa"/>
            <w:tcBorders>
              <w:top w:val="single" w:sz="4" w:space="0" w:color="A6A6A6"/>
              <w:bottom w:val="single" w:sz="4" w:space="0" w:color="A6A6A6"/>
            </w:tcBorders>
            <w:hideMark/>
          </w:tcPr>
          <w:p w14:paraId="01C8EE93" w14:textId="77777777" w:rsidR="00CE75D4" w:rsidRPr="002029AF" w:rsidRDefault="00CE75D4" w:rsidP="008340C1">
            <w:pPr>
              <w:pStyle w:val="ARfintablebody"/>
            </w:pPr>
            <w:r w:rsidRPr="00AF069A">
              <w:t>The Royal Children</w:t>
            </w:r>
            <w:r>
              <w:t>’</w:t>
            </w:r>
            <w:r w:rsidRPr="00AF069A">
              <w:t>s Hospital</w:t>
            </w:r>
          </w:p>
        </w:tc>
        <w:tc>
          <w:tcPr>
            <w:tcW w:w="1134" w:type="dxa"/>
            <w:tcBorders>
              <w:top w:val="single" w:sz="4" w:space="0" w:color="A6A6A6"/>
              <w:bottom w:val="single" w:sz="4" w:space="0" w:color="A6A6A6"/>
            </w:tcBorders>
            <w:shd w:val="clear" w:color="auto" w:fill="E7E6E6"/>
            <w:noWrap/>
            <w:hideMark/>
          </w:tcPr>
          <w:p w14:paraId="147533A7" w14:textId="77777777" w:rsidR="00CE75D4" w:rsidRPr="002029AF" w:rsidRDefault="00CE75D4" w:rsidP="008340C1">
            <w:pPr>
              <w:pStyle w:val="ARfintablebodyright"/>
            </w:pPr>
            <w:r w:rsidRPr="00AF069A">
              <w:t>525.0</w:t>
            </w:r>
          </w:p>
        </w:tc>
        <w:tc>
          <w:tcPr>
            <w:tcW w:w="1134" w:type="dxa"/>
            <w:tcBorders>
              <w:top w:val="single" w:sz="4" w:space="0" w:color="A6A6A6"/>
              <w:bottom w:val="single" w:sz="4" w:space="0" w:color="A6A6A6"/>
            </w:tcBorders>
            <w:noWrap/>
            <w:hideMark/>
          </w:tcPr>
          <w:p w14:paraId="6F4B54A0" w14:textId="77777777" w:rsidR="00CE75D4" w:rsidRPr="002029AF" w:rsidRDefault="00CE75D4" w:rsidP="008340C1">
            <w:pPr>
              <w:pStyle w:val="ARfintablebodyright"/>
            </w:pPr>
            <w:r w:rsidRPr="00AF069A">
              <w:t>458.2</w:t>
            </w:r>
          </w:p>
        </w:tc>
      </w:tr>
      <w:tr w:rsidR="00CE75D4" w:rsidRPr="002029AF" w14:paraId="540EFA6B" w14:textId="77777777" w:rsidTr="00860E95">
        <w:tc>
          <w:tcPr>
            <w:tcW w:w="7369" w:type="dxa"/>
            <w:tcBorders>
              <w:top w:val="single" w:sz="4" w:space="0" w:color="A6A6A6"/>
              <w:bottom w:val="single" w:sz="4" w:space="0" w:color="A6A6A6"/>
            </w:tcBorders>
            <w:hideMark/>
          </w:tcPr>
          <w:p w14:paraId="1D9407DF" w14:textId="77777777" w:rsidR="00CE75D4" w:rsidRPr="002029AF" w:rsidRDefault="00CE75D4" w:rsidP="008340C1">
            <w:pPr>
              <w:pStyle w:val="ARfintablebody"/>
            </w:pPr>
            <w:r w:rsidRPr="00AF069A">
              <w:t>Mercy Hospitals Victoria Limited</w:t>
            </w:r>
          </w:p>
        </w:tc>
        <w:tc>
          <w:tcPr>
            <w:tcW w:w="1134" w:type="dxa"/>
            <w:tcBorders>
              <w:top w:val="single" w:sz="4" w:space="0" w:color="A6A6A6"/>
              <w:bottom w:val="single" w:sz="4" w:space="0" w:color="A6A6A6"/>
            </w:tcBorders>
            <w:shd w:val="clear" w:color="auto" w:fill="E7E6E6"/>
            <w:noWrap/>
            <w:hideMark/>
          </w:tcPr>
          <w:p w14:paraId="52FEBA58" w14:textId="77777777" w:rsidR="00CE75D4" w:rsidRPr="002029AF" w:rsidRDefault="00CE75D4" w:rsidP="008340C1">
            <w:pPr>
              <w:pStyle w:val="ARfintablebodyright"/>
            </w:pPr>
            <w:r w:rsidRPr="00AF069A">
              <w:t>401.7</w:t>
            </w:r>
          </w:p>
        </w:tc>
        <w:tc>
          <w:tcPr>
            <w:tcW w:w="1134" w:type="dxa"/>
            <w:tcBorders>
              <w:top w:val="single" w:sz="4" w:space="0" w:color="A6A6A6"/>
              <w:bottom w:val="single" w:sz="4" w:space="0" w:color="A6A6A6"/>
            </w:tcBorders>
            <w:noWrap/>
            <w:hideMark/>
          </w:tcPr>
          <w:p w14:paraId="113FB4FD" w14:textId="77777777" w:rsidR="00CE75D4" w:rsidRPr="002029AF" w:rsidRDefault="00CE75D4" w:rsidP="008340C1">
            <w:pPr>
              <w:pStyle w:val="ARfintablebodyright"/>
            </w:pPr>
            <w:r w:rsidRPr="00AF069A">
              <w:t>353.3</w:t>
            </w:r>
          </w:p>
        </w:tc>
      </w:tr>
      <w:tr w:rsidR="00CE75D4" w:rsidRPr="002029AF" w14:paraId="07950836" w14:textId="77777777" w:rsidTr="00860E95">
        <w:tc>
          <w:tcPr>
            <w:tcW w:w="7369" w:type="dxa"/>
            <w:tcBorders>
              <w:top w:val="single" w:sz="4" w:space="0" w:color="A6A6A6"/>
              <w:bottom w:val="single" w:sz="4" w:space="0" w:color="A6A6A6"/>
            </w:tcBorders>
            <w:hideMark/>
          </w:tcPr>
          <w:p w14:paraId="5DA9B0AA" w14:textId="77777777" w:rsidR="00CE75D4" w:rsidRPr="002029AF" w:rsidRDefault="00CE75D4" w:rsidP="008340C1">
            <w:pPr>
              <w:pStyle w:val="ARfintablebody"/>
            </w:pPr>
            <w:r w:rsidRPr="00AF069A">
              <w:t>Grampians Health</w:t>
            </w:r>
          </w:p>
        </w:tc>
        <w:tc>
          <w:tcPr>
            <w:tcW w:w="1134" w:type="dxa"/>
            <w:tcBorders>
              <w:top w:val="single" w:sz="4" w:space="0" w:color="A6A6A6"/>
              <w:bottom w:val="single" w:sz="4" w:space="0" w:color="A6A6A6"/>
            </w:tcBorders>
            <w:shd w:val="clear" w:color="auto" w:fill="E7E6E6"/>
            <w:noWrap/>
            <w:hideMark/>
          </w:tcPr>
          <w:p w14:paraId="51EB42C6" w14:textId="77777777" w:rsidR="00CE75D4" w:rsidRPr="002029AF" w:rsidRDefault="00CE75D4" w:rsidP="008340C1">
            <w:pPr>
              <w:pStyle w:val="ARfintablebodyright"/>
            </w:pPr>
            <w:r w:rsidRPr="00AF069A">
              <w:t>399.6</w:t>
            </w:r>
          </w:p>
        </w:tc>
        <w:tc>
          <w:tcPr>
            <w:tcW w:w="1134" w:type="dxa"/>
            <w:tcBorders>
              <w:top w:val="single" w:sz="4" w:space="0" w:color="A6A6A6"/>
              <w:bottom w:val="single" w:sz="4" w:space="0" w:color="A6A6A6"/>
            </w:tcBorders>
            <w:noWrap/>
            <w:hideMark/>
          </w:tcPr>
          <w:p w14:paraId="496D77AD" w14:textId="77777777" w:rsidR="00CE75D4" w:rsidRPr="002029AF" w:rsidRDefault="00CE75D4" w:rsidP="008340C1">
            <w:pPr>
              <w:pStyle w:val="ARfintablebodyright"/>
            </w:pPr>
            <w:r>
              <w:t>–</w:t>
            </w:r>
          </w:p>
        </w:tc>
      </w:tr>
      <w:tr w:rsidR="00CE75D4" w:rsidRPr="002029AF" w14:paraId="1351B091" w14:textId="77777777" w:rsidTr="00860E95">
        <w:tc>
          <w:tcPr>
            <w:tcW w:w="7369" w:type="dxa"/>
            <w:tcBorders>
              <w:top w:val="single" w:sz="4" w:space="0" w:color="A6A6A6"/>
              <w:bottom w:val="single" w:sz="4" w:space="0" w:color="A6A6A6"/>
            </w:tcBorders>
            <w:hideMark/>
          </w:tcPr>
          <w:p w14:paraId="7B68A35B" w14:textId="77777777" w:rsidR="00CE75D4" w:rsidRPr="002029AF" w:rsidRDefault="00CE75D4" w:rsidP="008340C1">
            <w:pPr>
              <w:pStyle w:val="ARfintablebody"/>
            </w:pPr>
            <w:r w:rsidRPr="00AF069A">
              <w:t>Bendigo Health</w:t>
            </w:r>
          </w:p>
        </w:tc>
        <w:tc>
          <w:tcPr>
            <w:tcW w:w="1134" w:type="dxa"/>
            <w:tcBorders>
              <w:top w:val="single" w:sz="4" w:space="0" w:color="A6A6A6"/>
              <w:bottom w:val="single" w:sz="4" w:space="0" w:color="A6A6A6"/>
            </w:tcBorders>
            <w:shd w:val="clear" w:color="auto" w:fill="E7E6E6"/>
            <w:noWrap/>
            <w:hideMark/>
          </w:tcPr>
          <w:p w14:paraId="784FCC8C" w14:textId="77777777" w:rsidR="00CE75D4" w:rsidRPr="002029AF" w:rsidRDefault="00CE75D4" w:rsidP="008340C1">
            <w:pPr>
              <w:pStyle w:val="ARfintablebodyright"/>
            </w:pPr>
            <w:r w:rsidRPr="00AF069A">
              <w:t>335.0</w:t>
            </w:r>
          </w:p>
        </w:tc>
        <w:tc>
          <w:tcPr>
            <w:tcW w:w="1134" w:type="dxa"/>
            <w:tcBorders>
              <w:top w:val="single" w:sz="4" w:space="0" w:color="A6A6A6"/>
              <w:bottom w:val="single" w:sz="4" w:space="0" w:color="A6A6A6"/>
            </w:tcBorders>
            <w:noWrap/>
            <w:hideMark/>
          </w:tcPr>
          <w:p w14:paraId="286705AE" w14:textId="77777777" w:rsidR="00CE75D4" w:rsidRPr="002029AF" w:rsidRDefault="00CE75D4" w:rsidP="008340C1">
            <w:pPr>
              <w:pStyle w:val="ARfintablebodyright"/>
            </w:pPr>
            <w:r w:rsidRPr="00AF069A">
              <w:t>297.8</w:t>
            </w:r>
          </w:p>
        </w:tc>
      </w:tr>
      <w:tr w:rsidR="00CE75D4" w:rsidRPr="002029AF" w14:paraId="209043E5" w14:textId="77777777" w:rsidTr="00860E95">
        <w:tc>
          <w:tcPr>
            <w:tcW w:w="7369" w:type="dxa"/>
            <w:tcBorders>
              <w:top w:val="single" w:sz="4" w:space="0" w:color="A6A6A6"/>
              <w:bottom w:val="single" w:sz="4" w:space="0" w:color="A6A6A6"/>
            </w:tcBorders>
            <w:hideMark/>
          </w:tcPr>
          <w:p w14:paraId="3FEF61AC" w14:textId="77777777" w:rsidR="00CE75D4" w:rsidRPr="002029AF" w:rsidRDefault="00CE75D4" w:rsidP="008340C1">
            <w:pPr>
              <w:pStyle w:val="ARfintablebody"/>
            </w:pPr>
            <w:r w:rsidRPr="00AF069A">
              <w:t>Goulburn Valley Health</w:t>
            </w:r>
          </w:p>
        </w:tc>
        <w:tc>
          <w:tcPr>
            <w:tcW w:w="1134" w:type="dxa"/>
            <w:tcBorders>
              <w:top w:val="single" w:sz="4" w:space="0" w:color="A6A6A6"/>
              <w:bottom w:val="single" w:sz="4" w:space="0" w:color="A6A6A6"/>
            </w:tcBorders>
            <w:shd w:val="clear" w:color="auto" w:fill="E7E6E6"/>
            <w:noWrap/>
            <w:hideMark/>
          </w:tcPr>
          <w:p w14:paraId="5D82E9C3" w14:textId="77777777" w:rsidR="00CE75D4" w:rsidRPr="002029AF" w:rsidRDefault="00CE75D4" w:rsidP="008340C1">
            <w:pPr>
              <w:pStyle w:val="ARfintablebodyright"/>
            </w:pPr>
            <w:r w:rsidRPr="00AF069A">
              <w:t>237.5</w:t>
            </w:r>
          </w:p>
        </w:tc>
        <w:tc>
          <w:tcPr>
            <w:tcW w:w="1134" w:type="dxa"/>
            <w:tcBorders>
              <w:top w:val="single" w:sz="4" w:space="0" w:color="A6A6A6"/>
              <w:bottom w:val="single" w:sz="4" w:space="0" w:color="A6A6A6"/>
            </w:tcBorders>
            <w:noWrap/>
            <w:hideMark/>
          </w:tcPr>
          <w:p w14:paraId="024EB55C" w14:textId="77777777" w:rsidR="00CE75D4" w:rsidRPr="002029AF" w:rsidRDefault="00CE75D4" w:rsidP="008340C1">
            <w:pPr>
              <w:pStyle w:val="ARfintablebodyright"/>
            </w:pPr>
            <w:r w:rsidRPr="00AF069A">
              <w:t>194.0</w:t>
            </w:r>
          </w:p>
        </w:tc>
      </w:tr>
      <w:tr w:rsidR="00CE75D4" w:rsidRPr="002029AF" w14:paraId="4F72AB6D" w14:textId="77777777" w:rsidTr="00860E95">
        <w:tc>
          <w:tcPr>
            <w:tcW w:w="7369" w:type="dxa"/>
            <w:tcBorders>
              <w:top w:val="single" w:sz="4" w:space="0" w:color="A6A6A6"/>
              <w:bottom w:val="single" w:sz="4" w:space="0" w:color="A6A6A6"/>
            </w:tcBorders>
            <w:hideMark/>
          </w:tcPr>
          <w:p w14:paraId="598967E2" w14:textId="77777777" w:rsidR="00CE75D4" w:rsidRPr="002029AF" w:rsidRDefault="00CE75D4" w:rsidP="008340C1">
            <w:pPr>
              <w:pStyle w:val="ARfintablebody"/>
            </w:pPr>
            <w:r w:rsidRPr="00AF069A">
              <w:t>The Royal Women</w:t>
            </w:r>
            <w:r>
              <w:t>’</w:t>
            </w:r>
            <w:r w:rsidRPr="00AF069A">
              <w:t xml:space="preserve">s Hospital </w:t>
            </w:r>
          </w:p>
        </w:tc>
        <w:tc>
          <w:tcPr>
            <w:tcW w:w="1134" w:type="dxa"/>
            <w:tcBorders>
              <w:top w:val="single" w:sz="4" w:space="0" w:color="A6A6A6"/>
              <w:bottom w:val="single" w:sz="4" w:space="0" w:color="A6A6A6"/>
            </w:tcBorders>
            <w:shd w:val="clear" w:color="auto" w:fill="E7E6E6"/>
            <w:noWrap/>
            <w:hideMark/>
          </w:tcPr>
          <w:p w14:paraId="076322B8" w14:textId="77777777" w:rsidR="00CE75D4" w:rsidRPr="002029AF" w:rsidRDefault="00CE75D4" w:rsidP="008340C1">
            <w:pPr>
              <w:pStyle w:val="ARfintablebodyright"/>
            </w:pPr>
            <w:r w:rsidRPr="00AF069A">
              <w:t>237.1</w:t>
            </w:r>
          </w:p>
        </w:tc>
        <w:tc>
          <w:tcPr>
            <w:tcW w:w="1134" w:type="dxa"/>
            <w:tcBorders>
              <w:top w:val="single" w:sz="4" w:space="0" w:color="A6A6A6"/>
              <w:bottom w:val="single" w:sz="4" w:space="0" w:color="A6A6A6"/>
            </w:tcBorders>
            <w:noWrap/>
            <w:hideMark/>
          </w:tcPr>
          <w:p w14:paraId="0137A99D" w14:textId="77777777" w:rsidR="00CE75D4" w:rsidRPr="002029AF" w:rsidRDefault="00CE75D4" w:rsidP="008340C1">
            <w:pPr>
              <w:pStyle w:val="ARfintablebodyright"/>
            </w:pPr>
            <w:r w:rsidRPr="00AF069A">
              <w:t>223.2</w:t>
            </w:r>
          </w:p>
        </w:tc>
      </w:tr>
      <w:tr w:rsidR="00CE75D4" w:rsidRPr="002029AF" w14:paraId="1AF42A76" w14:textId="77777777" w:rsidTr="00860E95">
        <w:tc>
          <w:tcPr>
            <w:tcW w:w="7369" w:type="dxa"/>
            <w:tcBorders>
              <w:top w:val="single" w:sz="4" w:space="0" w:color="A6A6A6"/>
              <w:bottom w:val="single" w:sz="4" w:space="0" w:color="A6A6A6"/>
            </w:tcBorders>
            <w:hideMark/>
          </w:tcPr>
          <w:p w14:paraId="7D2741B2" w14:textId="77777777" w:rsidR="00CE75D4" w:rsidRPr="002029AF" w:rsidRDefault="00CE75D4" w:rsidP="008340C1">
            <w:pPr>
              <w:pStyle w:val="ARfintablebody"/>
            </w:pPr>
            <w:r w:rsidRPr="00AF069A">
              <w:t>Latrobe Regional Hospital</w:t>
            </w:r>
          </w:p>
        </w:tc>
        <w:tc>
          <w:tcPr>
            <w:tcW w:w="1134" w:type="dxa"/>
            <w:tcBorders>
              <w:top w:val="single" w:sz="4" w:space="0" w:color="A6A6A6"/>
              <w:bottom w:val="single" w:sz="4" w:space="0" w:color="A6A6A6"/>
            </w:tcBorders>
            <w:shd w:val="clear" w:color="auto" w:fill="E7E6E6"/>
            <w:noWrap/>
            <w:hideMark/>
          </w:tcPr>
          <w:p w14:paraId="661051CF" w14:textId="77777777" w:rsidR="00CE75D4" w:rsidRPr="002029AF" w:rsidRDefault="00CE75D4" w:rsidP="008340C1">
            <w:pPr>
              <w:pStyle w:val="ARfintablebodyright"/>
            </w:pPr>
            <w:r w:rsidRPr="00AF069A">
              <w:t>211.6</w:t>
            </w:r>
          </w:p>
        </w:tc>
        <w:tc>
          <w:tcPr>
            <w:tcW w:w="1134" w:type="dxa"/>
            <w:tcBorders>
              <w:top w:val="single" w:sz="4" w:space="0" w:color="A6A6A6"/>
              <w:bottom w:val="single" w:sz="4" w:space="0" w:color="A6A6A6"/>
            </w:tcBorders>
            <w:noWrap/>
            <w:hideMark/>
          </w:tcPr>
          <w:p w14:paraId="1B1F4DB0" w14:textId="77777777" w:rsidR="00CE75D4" w:rsidRPr="002029AF" w:rsidRDefault="00CE75D4" w:rsidP="008340C1">
            <w:pPr>
              <w:pStyle w:val="ARfintablebodyright"/>
            </w:pPr>
            <w:r w:rsidRPr="00AF069A">
              <w:t>195.6</w:t>
            </w:r>
          </w:p>
        </w:tc>
      </w:tr>
      <w:tr w:rsidR="00CE75D4" w:rsidRPr="002029AF" w14:paraId="66C27234" w14:textId="77777777" w:rsidTr="00860E95">
        <w:tc>
          <w:tcPr>
            <w:tcW w:w="7369" w:type="dxa"/>
            <w:tcBorders>
              <w:top w:val="single" w:sz="4" w:space="0" w:color="A6A6A6"/>
              <w:bottom w:val="single" w:sz="4" w:space="0" w:color="A6A6A6"/>
            </w:tcBorders>
            <w:hideMark/>
          </w:tcPr>
          <w:p w14:paraId="240DBC52" w14:textId="77777777" w:rsidR="00CE75D4" w:rsidRPr="002029AF" w:rsidRDefault="00CE75D4" w:rsidP="008340C1">
            <w:pPr>
              <w:pStyle w:val="ARfintablebody"/>
            </w:pPr>
            <w:r w:rsidRPr="00AF069A">
              <w:t>Peter MacCallum Cancer Centre</w:t>
            </w:r>
          </w:p>
        </w:tc>
        <w:tc>
          <w:tcPr>
            <w:tcW w:w="1134" w:type="dxa"/>
            <w:tcBorders>
              <w:top w:val="single" w:sz="4" w:space="0" w:color="A6A6A6"/>
              <w:bottom w:val="single" w:sz="4" w:space="0" w:color="A6A6A6"/>
            </w:tcBorders>
            <w:shd w:val="clear" w:color="auto" w:fill="E7E6E6"/>
            <w:noWrap/>
            <w:hideMark/>
          </w:tcPr>
          <w:p w14:paraId="3DFE6C42" w14:textId="77777777" w:rsidR="00CE75D4" w:rsidRPr="002029AF" w:rsidRDefault="00CE75D4" w:rsidP="008340C1">
            <w:pPr>
              <w:pStyle w:val="ARfintablebodyright"/>
            </w:pPr>
            <w:r w:rsidRPr="00AF069A">
              <w:t>172.8</w:t>
            </w:r>
          </w:p>
        </w:tc>
        <w:tc>
          <w:tcPr>
            <w:tcW w:w="1134" w:type="dxa"/>
            <w:tcBorders>
              <w:top w:val="single" w:sz="4" w:space="0" w:color="A6A6A6"/>
              <w:bottom w:val="single" w:sz="4" w:space="0" w:color="A6A6A6"/>
            </w:tcBorders>
            <w:noWrap/>
            <w:hideMark/>
          </w:tcPr>
          <w:p w14:paraId="648BEAFA" w14:textId="77777777" w:rsidR="00CE75D4" w:rsidRPr="002029AF" w:rsidRDefault="00CE75D4" w:rsidP="008340C1">
            <w:pPr>
              <w:pStyle w:val="ARfintablebodyright"/>
            </w:pPr>
            <w:r w:rsidRPr="00AF069A">
              <w:t>149.5</w:t>
            </w:r>
          </w:p>
        </w:tc>
      </w:tr>
      <w:tr w:rsidR="00CE75D4" w:rsidRPr="002029AF" w14:paraId="1C5DF805" w14:textId="77777777" w:rsidTr="00860E95">
        <w:tc>
          <w:tcPr>
            <w:tcW w:w="7369" w:type="dxa"/>
            <w:tcBorders>
              <w:top w:val="single" w:sz="4" w:space="0" w:color="A6A6A6"/>
              <w:bottom w:val="single" w:sz="4" w:space="0" w:color="A6A6A6"/>
            </w:tcBorders>
            <w:hideMark/>
          </w:tcPr>
          <w:p w14:paraId="4CA4189F" w14:textId="77777777" w:rsidR="00CE75D4" w:rsidRPr="002029AF" w:rsidRDefault="00CE75D4" w:rsidP="008340C1">
            <w:pPr>
              <w:pStyle w:val="ARfintablebody"/>
            </w:pPr>
            <w:r w:rsidRPr="00AF069A">
              <w:t>Albury Wodonga Health</w:t>
            </w:r>
          </w:p>
        </w:tc>
        <w:tc>
          <w:tcPr>
            <w:tcW w:w="1134" w:type="dxa"/>
            <w:tcBorders>
              <w:top w:val="single" w:sz="4" w:space="0" w:color="A6A6A6"/>
              <w:bottom w:val="single" w:sz="4" w:space="0" w:color="A6A6A6"/>
            </w:tcBorders>
            <w:shd w:val="clear" w:color="auto" w:fill="E7E6E6"/>
            <w:noWrap/>
            <w:hideMark/>
          </w:tcPr>
          <w:p w14:paraId="4E515C89" w14:textId="77777777" w:rsidR="00CE75D4" w:rsidRPr="002029AF" w:rsidRDefault="00CE75D4" w:rsidP="008340C1">
            <w:pPr>
              <w:pStyle w:val="ARfintablebodyright"/>
            </w:pPr>
            <w:r w:rsidRPr="00AF069A">
              <w:t>154.2</w:t>
            </w:r>
          </w:p>
        </w:tc>
        <w:tc>
          <w:tcPr>
            <w:tcW w:w="1134" w:type="dxa"/>
            <w:tcBorders>
              <w:top w:val="single" w:sz="4" w:space="0" w:color="A6A6A6"/>
              <w:bottom w:val="single" w:sz="4" w:space="0" w:color="A6A6A6"/>
            </w:tcBorders>
            <w:noWrap/>
            <w:hideMark/>
          </w:tcPr>
          <w:p w14:paraId="2257C645" w14:textId="77777777" w:rsidR="00CE75D4" w:rsidRPr="002029AF" w:rsidRDefault="00CE75D4" w:rsidP="008340C1">
            <w:pPr>
              <w:pStyle w:val="ARfintablebodyright"/>
            </w:pPr>
            <w:r w:rsidRPr="00AF069A">
              <w:t>136.7</w:t>
            </w:r>
          </w:p>
        </w:tc>
      </w:tr>
      <w:tr w:rsidR="00CE75D4" w:rsidRPr="002029AF" w14:paraId="48864198" w14:textId="77777777" w:rsidTr="00860E95">
        <w:tc>
          <w:tcPr>
            <w:tcW w:w="7369" w:type="dxa"/>
            <w:tcBorders>
              <w:top w:val="single" w:sz="4" w:space="0" w:color="A6A6A6"/>
              <w:bottom w:val="single" w:sz="4" w:space="0" w:color="A6A6A6"/>
            </w:tcBorders>
            <w:hideMark/>
          </w:tcPr>
          <w:p w14:paraId="5C009F12" w14:textId="77777777" w:rsidR="00CE75D4" w:rsidRPr="002029AF" w:rsidRDefault="00CE75D4" w:rsidP="008340C1">
            <w:pPr>
              <w:pStyle w:val="ARfintablebody"/>
            </w:pPr>
            <w:r w:rsidRPr="00AF069A">
              <w:t>South West Healthcare</w:t>
            </w:r>
          </w:p>
        </w:tc>
        <w:tc>
          <w:tcPr>
            <w:tcW w:w="1134" w:type="dxa"/>
            <w:tcBorders>
              <w:top w:val="single" w:sz="4" w:space="0" w:color="A6A6A6"/>
              <w:bottom w:val="single" w:sz="4" w:space="0" w:color="A6A6A6"/>
            </w:tcBorders>
            <w:shd w:val="clear" w:color="auto" w:fill="E7E6E6"/>
            <w:noWrap/>
            <w:hideMark/>
          </w:tcPr>
          <w:p w14:paraId="1EE36BC7" w14:textId="77777777" w:rsidR="00CE75D4" w:rsidRPr="002029AF" w:rsidRDefault="00CE75D4" w:rsidP="008340C1">
            <w:pPr>
              <w:pStyle w:val="ARfintablebodyright"/>
            </w:pPr>
            <w:r w:rsidRPr="00AF069A">
              <w:t>150.8</w:t>
            </w:r>
          </w:p>
        </w:tc>
        <w:tc>
          <w:tcPr>
            <w:tcW w:w="1134" w:type="dxa"/>
            <w:tcBorders>
              <w:top w:val="single" w:sz="4" w:space="0" w:color="A6A6A6"/>
              <w:bottom w:val="single" w:sz="4" w:space="0" w:color="A6A6A6"/>
            </w:tcBorders>
            <w:noWrap/>
            <w:hideMark/>
          </w:tcPr>
          <w:p w14:paraId="15AA7CE6" w14:textId="77777777" w:rsidR="00CE75D4" w:rsidRPr="002029AF" w:rsidRDefault="00CE75D4" w:rsidP="008340C1">
            <w:pPr>
              <w:pStyle w:val="ARfintablebodyright"/>
            </w:pPr>
            <w:r w:rsidRPr="00AF069A">
              <w:t>140.0</w:t>
            </w:r>
          </w:p>
        </w:tc>
      </w:tr>
      <w:tr w:rsidR="00CE75D4" w:rsidRPr="002029AF" w14:paraId="21A21342" w14:textId="77777777" w:rsidTr="00860E95">
        <w:tc>
          <w:tcPr>
            <w:tcW w:w="7369" w:type="dxa"/>
            <w:tcBorders>
              <w:top w:val="single" w:sz="4" w:space="0" w:color="A6A6A6"/>
              <w:bottom w:val="single" w:sz="4" w:space="0" w:color="A6A6A6"/>
            </w:tcBorders>
            <w:hideMark/>
          </w:tcPr>
          <w:p w14:paraId="618F4D57" w14:textId="77777777" w:rsidR="00CE75D4" w:rsidRPr="002029AF" w:rsidRDefault="00CE75D4" w:rsidP="008340C1">
            <w:pPr>
              <w:pStyle w:val="ARfintablebody"/>
            </w:pPr>
            <w:r w:rsidRPr="00AF069A">
              <w:t>Northeast Health Wangaratta</w:t>
            </w:r>
          </w:p>
        </w:tc>
        <w:tc>
          <w:tcPr>
            <w:tcW w:w="1134" w:type="dxa"/>
            <w:tcBorders>
              <w:top w:val="single" w:sz="4" w:space="0" w:color="A6A6A6"/>
              <w:bottom w:val="single" w:sz="4" w:space="0" w:color="A6A6A6"/>
            </w:tcBorders>
            <w:shd w:val="clear" w:color="auto" w:fill="E7E6E6"/>
            <w:noWrap/>
            <w:hideMark/>
          </w:tcPr>
          <w:p w14:paraId="5196FCBD" w14:textId="77777777" w:rsidR="00CE75D4" w:rsidRPr="002029AF" w:rsidRDefault="00CE75D4" w:rsidP="008340C1">
            <w:pPr>
              <w:pStyle w:val="ARfintablebodyright"/>
            </w:pPr>
            <w:r w:rsidRPr="00AF069A">
              <w:t>137.7</w:t>
            </w:r>
          </w:p>
        </w:tc>
        <w:tc>
          <w:tcPr>
            <w:tcW w:w="1134" w:type="dxa"/>
            <w:tcBorders>
              <w:top w:val="single" w:sz="4" w:space="0" w:color="A6A6A6"/>
              <w:bottom w:val="single" w:sz="4" w:space="0" w:color="A6A6A6"/>
            </w:tcBorders>
            <w:noWrap/>
            <w:hideMark/>
          </w:tcPr>
          <w:p w14:paraId="286ABB59" w14:textId="77777777" w:rsidR="00CE75D4" w:rsidRPr="002029AF" w:rsidRDefault="00CE75D4" w:rsidP="008340C1">
            <w:pPr>
              <w:pStyle w:val="ARfintablebodyright"/>
            </w:pPr>
            <w:r w:rsidRPr="00AF069A">
              <w:t>110.5</w:t>
            </w:r>
          </w:p>
        </w:tc>
      </w:tr>
      <w:tr w:rsidR="00CE75D4" w:rsidRPr="002029AF" w14:paraId="4DD4B1F3" w14:textId="77777777" w:rsidTr="00860E95">
        <w:tc>
          <w:tcPr>
            <w:tcW w:w="7369" w:type="dxa"/>
            <w:tcBorders>
              <w:top w:val="single" w:sz="4" w:space="0" w:color="A6A6A6"/>
              <w:bottom w:val="single" w:sz="4" w:space="0" w:color="A6A6A6"/>
            </w:tcBorders>
            <w:hideMark/>
          </w:tcPr>
          <w:p w14:paraId="61C9A138" w14:textId="77777777" w:rsidR="00CE75D4" w:rsidRPr="002029AF" w:rsidRDefault="00CE75D4" w:rsidP="008340C1">
            <w:pPr>
              <w:pStyle w:val="ARfintablebody"/>
            </w:pPr>
            <w:r w:rsidRPr="00AF069A">
              <w:t>Mildura Base Public Hospital</w:t>
            </w:r>
          </w:p>
        </w:tc>
        <w:tc>
          <w:tcPr>
            <w:tcW w:w="1134" w:type="dxa"/>
            <w:tcBorders>
              <w:top w:val="single" w:sz="4" w:space="0" w:color="A6A6A6"/>
              <w:bottom w:val="single" w:sz="4" w:space="0" w:color="A6A6A6"/>
            </w:tcBorders>
            <w:shd w:val="clear" w:color="auto" w:fill="E7E6E6"/>
            <w:noWrap/>
            <w:hideMark/>
          </w:tcPr>
          <w:p w14:paraId="0F3ABDCF" w14:textId="77777777" w:rsidR="00CE75D4" w:rsidRPr="002029AF" w:rsidRDefault="00CE75D4" w:rsidP="008340C1">
            <w:pPr>
              <w:pStyle w:val="ARfintablebodyright"/>
            </w:pPr>
            <w:r w:rsidRPr="00AF069A">
              <w:t>120.6</w:t>
            </w:r>
          </w:p>
        </w:tc>
        <w:tc>
          <w:tcPr>
            <w:tcW w:w="1134" w:type="dxa"/>
            <w:tcBorders>
              <w:top w:val="single" w:sz="4" w:space="0" w:color="A6A6A6"/>
              <w:bottom w:val="single" w:sz="4" w:space="0" w:color="A6A6A6"/>
            </w:tcBorders>
            <w:noWrap/>
            <w:hideMark/>
          </w:tcPr>
          <w:p w14:paraId="5B906738" w14:textId="77777777" w:rsidR="00CE75D4" w:rsidRPr="002029AF" w:rsidRDefault="00CE75D4" w:rsidP="008340C1">
            <w:pPr>
              <w:pStyle w:val="ARfintablebodyright"/>
            </w:pPr>
            <w:r w:rsidRPr="00AF069A">
              <w:t>86.6</w:t>
            </w:r>
          </w:p>
        </w:tc>
      </w:tr>
      <w:tr w:rsidR="00CE75D4" w:rsidRPr="002029AF" w14:paraId="67E6C550" w14:textId="77777777" w:rsidTr="00860E95">
        <w:tc>
          <w:tcPr>
            <w:tcW w:w="7369" w:type="dxa"/>
            <w:tcBorders>
              <w:top w:val="single" w:sz="4" w:space="0" w:color="A6A6A6"/>
              <w:bottom w:val="single" w:sz="4" w:space="0" w:color="A6A6A6"/>
            </w:tcBorders>
            <w:hideMark/>
          </w:tcPr>
          <w:p w14:paraId="73BB929D" w14:textId="77777777" w:rsidR="00CE75D4" w:rsidRPr="002029AF" w:rsidRDefault="00CE75D4" w:rsidP="008340C1">
            <w:pPr>
              <w:pStyle w:val="ARfintablebody"/>
            </w:pPr>
            <w:r w:rsidRPr="00AF069A">
              <w:t>The Royal Victorian Eye and Ear Hospital</w:t>
            </w:r>
          </w:p>
        </w:tc>
        <w:tc>
          <w:tcPr>
            <w:tcW w:w="1134" w:type="dxa"/>
            <w:tcBorders>
              <w:top w:val="single" w:sz="4" w:space="0" w:color="A6A6A6"/>
              <w:bottom w:val="single" w:sz="4" w:space="0" w:color="A6A6A6"/>
            </w:tcBorders>
            <w:shd w:val="clear" w:color="auto" w:fill="E7E6E6"/>
            <w:noWrap/>
            <w:hideMark/>
          </w:tcPr>
          <w:p w14:paraId="7DF47AFB" w14:textId="77777777" w:rsidR="00CE75D4" w:rsidRPr="002029AF" w:rsidRDefault="00CE75D4" w:rsidP="008340C1">
            <w:pPr>
              <w:pStyle w:val="ARfintablebodyright"/>
            </w:pPr>
            <w:r w:rsidRPr="00AF069A">
              <w:t>104.7</w:t>
            </w:r>
          </w:p>
        </w:tc>
        <w:tc>
          <w:tcPr>
            <w:tcW w:w="1134" w:type="dxa"/>
            <w:tcBorders>
              <w:top w:val="single" w:sz="4" w:space="0" w:color="A6A6A6"/>
              <w:bottom w:val="single" w:sz="4" w:space="0" w:color="A6A6A6"/>
            </w:tcBorders>
            <w:noWrap/>
            <w:hideMark/>
          </w:tcPr>
          <w:p w14:paraId="271EE93E" w14:textId="77777777" w:rsidR="00CE75D4" w:rsidRPr="002029AF" w:rsidRDefault="00CE75D4" w:rsidP="008340C1">
            <w:pPr>
              <w:pStyle w:val="ARfintablebodyright"/>
            </w:pPr>
            <w:r w:rsidRPr="00AF069A">
              <w:t>99.6</w:t>
            </w:r>
          </w:p>
        </w:tc>
      </w:tr>
      <w:tr w:rsidR="00CE75D4" w:rsidRPr="002029AF" w14:paraId="7AF5B0B2" w14:textId="77777777" w:rsidTr="00860E95">
        <w:tc>
          <w:tcPr>
            <w:tcW w:w="7369" w:type="dxa"/>
            <w:tcBorders>
              <w:top w:val="single" w:sz="4" w:space="0" w:color="A6A6A6"/>
              <w:bottom w:val="single" w:sz="4" w:space="0" w:color="A6A6A6"/>
            </w:tcBorders>
          </w:tcPr>
          <w:p w14:paraId="1B2C8D71" w14:textId="77777777" w:rsidR="00CE75D4" w:rsidRPr="002029AF" w:rsidRDefault="00CE75D4" w:rsidP="008340C1">
            <w:pPr>
              <w:pStyle w:val="ARfintablebody"/>
            </w:pPr>
            <w:r w:rsidRPr="00AF069A">
              <w:t>West Gippsland Health Care Group</w:t>
            </w:r>
          </w:p>
        </w:tc>
        <w:tc>
          <w:tcPr>
            <w:tcW w:w="1134" w:type="dxa"/>
            <w:tcBorders>
              <w:top w:val="single" w:sz="4" w:space="0" w:color="A6A6A6"/>
              <w:bottom w:val="single" w:sz="4" w:space="0" w:color="A6A6A6"/>
            </w:tcBorders>
            <w:shd w:val="clear" w:color="auto" w:fill="E7E6E6"/>
            <w:noWrap/>
          </w:tcPr>
          <w:p w14:paraId="173AF9CD" w14:textId="77777777" w:rsidR="00CE75D4" w:rsidRPr="002029AF" w:rsidRDefault="00CE75D4" w:rsidP="008340C1">
            <w:pPr>
              <w:pStyle w:val="ARfintablebodyright"/>
            </w:pPr>
            <w:r w:rsidRPr="00AF069A">
              <w:t>93.7</w:t>
            </w:r>
          </w:p>
        </w:tc>
        <w:tc>
          <w:tcPr>
            <w:tcW w:w="1134" w:type="dxa"/>
            <w:tcBorders>
              <w:top w:val="single" w:sz="4" w:space="0" w:color="A6A6A6"/>
              <w:bottom w:val="single" w:sz="4" w:space="0" w:color="A6A6A6"/>
            </w:tcBorders>
            <w:noWrap/>
          </w:tcPr>
          <w:p w14:paraId="4C8DE777" w14:textId="77777777" w:rsidR="00CE75D4" w:rsidRPr="002029AF" w:rsidRDefault="00CE75D4" w:rsidP="008340C1">
            <w:pPr>
              <w:pStyle w:val="ARfintablebodyright"/>
            </w:pPr>
            <w:r w:rsidRPr="00AF069A">
              <w:t>82.3</w:t>
            </w:r>
          </w:p>
        </w:tc>
      </w:tr>
      <w:tr w:rsidR="00CE75D4" w:rsidRPr="002029AF" w14:paraId="20D266D5" w14:textId="77777777" w:rsidTr="00860E95">
        <w:tc>
          <w:tcPr>
            <w:tcW w:w="7369" w:type="dxa"/>
            <w:tcBorders>
              <w:top w:val="single" w:sz="4" w:space="0" w:color="A6A6A6"/>
              <w:bottom w:val="single" w:sz="4" w:space="0" w:color="A6A6A6"/>
            </w:tcBorders>
          </w:tcPr>
          <w:p w14:paraId="3E888F28" w14:textId="77777777" w:rsidR="00CE75D4" w:rsidRPr="002029AF" w:rsidRDefault="00CE75D4" w:rsidP="008340C1">
            <w:pPr>
              <w:pStyle w:val="ARfintablebody"/>
            </w:pPr>
            <w:r w:rsidRPr="00AF069A">
              <w:t>Bairnsdale Regional Health Service</w:t>
            </w:r>
          </w:p>
        </w:tc>
        <w:tc>
          <w:tcPr>
            <w:tcW w:w="1134" w:type="dxa"/>
            <w:tcBorders>
              <w:top w:val="single" w:sz="4" w:space="0" w:color="A6A6A6"/>
              <w:bottom w:val="single" w:sz="4" w:space="0" w:color="A6A6A6"/>
            </w:tcBorders>
            <w:shd w:val="clear" w:color="auto" w:fill="E7E6E6"/>
            <w:noWrap/>
          </w:tcPr>
          <w:p w14:paraId="17E8B9FD" w14:textId="77777777" w:rsidR="00CE75D4" w:rsidRPr="002029AF" w:rsidRDefault="00CE75D4" w:rsidP="008340C1">
            <w:pPr>
              <w:pStyle w:val="ARfintablebodyright"/>
            </w:pPr>
            <w:r w:rsidRPr="00AF069A">
              <w:t>79.7</w:t>
            </w:r>
          </w:p>
        </w:tc>
        <w:tc>
          <w:tcPr>
            <w:tcW w:w="1134" w:type="dxa"/>
            <w:tcBorders>
              <w:top w:val="single" w:sz="4" w:space="0" w:color="A6A6A6"/>
              <w:bottom w:val="single" w:sz="4" w:space="0" w:color="A6A6A6"/>
            </w:tcBorders>
            <w:noWrap/>
          </w:tcPr>
          <w:p w14:paraId="5633EB30" w14:textId="77777777" w:rsidR="00CE75D4" w:rsidRPr="002029AF" w:rsidRDefault="00CE75D4" w:rsidP="008340C1">
            <w:pPr>
              <w:pStyle w:val="ARfintablebodyright"/>
            </w:pPr>
            <w:r w:rsidRPr="00AF069A">
              <w:t>65.9</w:t>
            </w:r>
          </w:p>
        </w:tc>
      </w:tr>
      <w:tr w:rsidR="00CE75D4" w:rsidRPr="002029AF" w14:paraId="7858F0B0" w14:textId="77777777" w:rsidTr="00860E95">
        <w:tc>
          <w:tcPr>
            <w:tcW w:w="7369" w:type="dxa"/>
            <w:tcBorders>
              <w:top w:val="single" w:sz="4" w:space="0" w:color="A6A6A6"/>
              <w:bottom w:val="single" w:sz="4" w:space="0" w:color="A6A6A6"/>
            </w:tcBorders>
            <w:hideMark/>
          </w:tcPr>
          <w:p w14:paraId="42BFBD6A" w14:textId="77777777" w:rsidR="00CE75D4" w:rsidRPr="002029AF" w:rsidRDefault="00CE75D4" w:rsidP="008340C1">
            <w:pPr>
              <w:pStyle w:val="ARfintablebody"/>
            </w:pPr>
            <w:r w:rsidRPr="00AF069A">
              <w:t>Echuca Regional Health</w:t>
            </w:r>
          </w:p>
        </w:tc>
        <w:tc>
          <w:tcPr>
            <w:tcW w:w="1134" w:type="dxa"/>
            <w:tcBorders>
              <w:top w:val="single" w:sz="4" w:space="0" w:color="A6A6A6"/>
              <w:bottom w:val="single" w:sz="4" w:space="0" w:color="A6A6A6"/>
            </w:tcBorders>
            <w:shd w:val="clear" w:color="auto" w:fill="E7E6E6"/>
            <w:noWrap/>
            <w:hideMark/>
          </w:tcPr>
          <w:p w14:paraId="50D262A6" w14:textId="77777777" w:rsidR="00CE75D4" w:rsidRPr="002029AF" w:rsidRDefault="00CE75D4" w:rsidP="008340C1">
            <w:pPr>
              <w:pStyle w:val="ARfintablebodyright"/>
            </w:pPr>
            <w:r w:rsidRPr="00AF069A">
              <w:t>70.0</w:t>
            </w:r>
          </w:p>
        </w:tc>
        <w:tc>
          <w:tcPr>
            <w:tcW w:w="1134" w:type="dxa"/>
            <w:tcBorders>
              <w:top w:val="single" w:sz="4" w:space="0" w:color="A6A6A6"/>
              <w:bottom w:val="single" w:sz="4" w:space="0" w:color="A6A6A6"/>
            </w:tcBorders>
            <w:noWrap/>
            <w:hideMark/>
          </w:tcPr>
          <w:p w14:paraId="321F5DA9" w14:textId="77777777" w:rsidR="00CE75D4" w:rsidRPr="002029AF" w:rsidRDefault="00CE75D4" w:rsidP="008340C1">
            <w:pPr>
              <w:pStyle w:val="ARfintablebodyright"/>
            </w:pPr>
            <w:r w:rsidRPr="00AF069A">
              <w:t>61.4</w:t>
            </w:r>
          </w:p>
        </w:tc>
      </w:tr>
      <w:tr w:rsidR="00CE75D4" w:rsidRPr="002029AF" w14:paraId="47093860" w14:textId="77777777" w:rsidTr="00860E95">
        <w:tc>
          <w:tcPr>
            <w:tcW w:w="7369" w:type="dxa"/>
            <w:tcBorders>
              <w:top w:val="single" w:sz="4" w:space="0" w:color="A6A6A6"/>
              <w:bottom w:val="single" w:sz="4" w:space="0" w:color="A6A6A6"/>
            </w:tcBorders>
          </w:tcPr>
          <w:p w14:paraId="0716770B" w14:textId="77777777" w:rsidR="00CE75D4" w:rsidRPr="002029AF" w:rsidRDefault="00CE75D4" w:rsidP="008340C1">
            <w:pPr>
              <w:pStyle w:val="ARfintablebody"/>
            </w:pPr>
            <w:r w:rsidRPr="00AF069A">
              <w:t>Central Gippsland Health Service</w:t>
            </w:r>
          </w:p>
        </w:tc>
        <w:tc>
          <w:tcPr>
            <w:tcW w:w="1134" w:type="dxa"/>
            <w:tcBorders>
              <w:top w:val="single" w:sz="4" w:space="0" w:color="A6A6A6"/>
              <w:bottom w:val="single" w:sz="4" w:space="0" w:color="A6A6A6"/>
            </w:tcBorders>
            <w:shd w:val="clear" w:color="auto" w:fill="E7E6E6"/>
            <w:noWrap/>
          </w:tcPr>
          <w:p w14:paraId="03E19214" w14:textId="77777777" w:rsidR="00CE75D4" w:rsidRPr="002029AF" w:rsidRDefault="00CE75D4" w:rsidP="008340C1">
            <w:pPr>
              <w:pStyle w:val="ARfintablebodyright"/>
            </w:pPr>
            <w:r w:rsidRPr="00AF069A">
              <w:t>67.2</w:t>
            </w:r>
          </w:p>
        </w:tc>
        <w:tc>
          <w:tcPr>
            <w:tcW w:w="1134" w:type="dxa"/>
            <w:tcBorders>
              <w:top w:val="single" w:sz="4" w:space="0" w:color="A6A6A6"/>
              <w:bottom w:val="single" w:sz="4" w:space="0" w:color="A6A6A6"/>
            </w:tcBorders>
            <w:noWrap/>
          </w:tcPr>
          <w:p w14:paraId="7FADBBC4" w14:textId="77777777" w:rsidR="00CE75D4" w:rsidRPr="002029AF" w:rsidRDefault="00CE75D4" w:rsidP="008340C1">
            <w:pPr>
              <w:pStyle w:val="ARfintablebodyright"/>
            </w:pPr>
            <w:r w:rsidRPr="00AF069A">
              <w:t>62.3</w:t>
            </w:r>
          </w:p>
        </w:tc>
      </w:tr>
      <w:tr w:rsidR="00CE75D4" w:rsidRPr="002029AF" w14:paraId="050E2353" w14:textId="77777777" w:rsidTr="00860E95">
        <w:tc>
          <w:tcPr>
            <w:tcW w:w="7369" w:type="dxa"/>
            <w:tcBorders>
              <w:top w:val="single" w:sz="4" w:space="0" w:color="A6A6A6"/>
              <w:bottom w:val="single" w:sz="4" w:space="0" w:color="A6A6A6"/>
            </w:tcBorders>
            <w:hideMark/>
          </w:tcPr>
          <w:p w14:paraId="47C4A38D" w14:textId="77777777" w:rsidR="00CE75D4" w:rsidRPr="002029AF" w:rsidRDefault="00CE75D4" w:rsidP="008340C1">
            <w:pPr>
              <w:pStyle w:val="ARfintablebody"/>
            </w:pPr>
            <w:r w:rsidRPr="00AF069A">
              <w:t>Bass Coast Health</w:t>
            </w:r>
          </w:p>
        </w:tc>
        <w:tc>
          <w:tcPr>
            <w:tcW w:w="1134" w:type="dxa"/>
            <w:tcBorders>
              <w:top w:val="single" w:sz="4" w:space="0" w:color="A6A6A6"/>
              <w:bottom w:val="single" w:sz="4" w:space="0" w:color="A6A6A6"/>
            </w:tcBorders>
            <w:shd w:val="clear" w:color="auto" w:fill="E7E6E6"/>
            <w:noWrap/>
            <w:hideMark/>
          </w:tcPr>
          <w:p w14:paraId="5DC3288B" w14:textId="77777777" w:rsidR="00CE75D4" w:rsidRPr="002029AF" w:rsidRDefault="00CE75D4" w:rsidP="008340C1">
            <w:pPr>
              <w:pStyle w:val="ARfintablebodyright"/>
            </w:pPr>
            <w:r w:rsidRPr="00AF069A">
              <w:t>66.1</w:t>
            </w:r>
          </w:p>
        </w:tc>
        <w:tc>
          <w:tcPr>
            <w:tcW w:w="1134" w:type="dxa"/>
            <w:tcBorders>
              <w:top w:val="single" w:sz="4" w:space="0" w:color="A6A6A6"/>
              <w:bottom w:val="single" w:sz="4" w:space="0" w:color="A6A6A6"/>
            </w:tcBorders>
            <w:noWrap/>
            <w:hideMark/>
          </w:tcPr>
          <w:p w14:paraId="22F751E9" w14:textId="77777777" w:rsidR="00CE75D4" w:rsidRPr="002029AF" w:rsidRDefault="00CE75D4" w:rsidP="008340C1">
            <w:pPr>
              <w:pStyle w:val="ARfintablebodyright"/>
            </w:pPr>
            <w:r w:rsidRPr="00AF069A">
              <w:t>52.9</w:t>
            </w:r>
          </w:p>
        </w:tc>
      </w:tr>
      <w:tr w:rsidR="00CE75D4" w:rsidRPr="002029AF" w14:paraId="1F949832" w14:textId="77777777" w:rsidTr="00860E95">
        <w:tc>
          <w:tcPr>
            <w:tcW w:w="7369" w:type="dxa"/>
            <w:tcBorders>
              <w:top w:val="single" w:sz="4" w:space="0" w:color="A6A6A6"/>
              <w:bottom w:val="single" w:sz="4" w:space="0" w:color="A6A6A6"/>
            </w:tcBorders>
          </w:tcPr>
          <w:p w14:paraId="0A6DEC2A" w14:textId="77777777" w:rsidR="00CE75D4" w:rsidRPr="002029AF" w:rsidRDefault="00CE75D4" w:rsidP="008340C1">
            <w:pPr>
              <w:pStyle w:val="ARfintablebody"/>
            </w:pPr>
            <w:r w:rsidRPr="00AF069A">
              <w:t>Western District Health Service</w:t>
            </w:r>
          </w:p>
        </w:tc>
        <w:tc>
          <w:tcPr>
            <w:tcW w:w="1134" w:type="dxa"/>
            <w:tcBorders>
              <w:top w:val="single" w:sz="4" w:space="0" w:color="A6A6A6"/>
              <w:bottom w:val="single" w:sz="4" w:space="0" w:color="A6A6A6"/>
            </w:tcBorders>
            <w:shd w:val="clear" w:color="auto" w:fill="E7E6E6"/>
            <w:noWrap/>
          </w:tcPr>
          <w:p w14:paraId="3609C5E6" w14:textId="77777777" w:rsidR="00CE75D4" w:rsidRPr="002029AF" w:rsidRDefault="00CE75D4" w:rsidP="008340C1">
            <w:pPr>
              <w:pStyle w:val="ARfintablebodyright"/>
            </w:pPr>
            <w:r w:rsidRPr="00AF069A">
              <w:t>49.4</w:t>
            </w:r>
          </w:p>
        </w:tc>
        <w:tc>
          <w:tcPr>
            <w:tcW w:w="1134" w:type="dxa"/>
            <w:tcBorders>
              <w:top w:val="single" w:sz="4" w:space="0" w:color="A6A6A6"/>
              <w:bottom w:val="single" w:sz="4" w:space="0" w:color="A6A6A6"/>
            </w:tcBorders>
            <w:noWrap/>
          </w:tcPr>
          <w:p w14:paraId="2FF9DCB3" w14:textId="77777777" w:rsidR="00CE75D4" w:rsidRPr="002029AF" w:rsidRDefault="00CE75D4" w:rsidP="008340C1">
            <w:pPr>
              <w:pStyle w:val="ARfintablebodyright"/>
            </w:pPr>
            <w:r w:rsidRPr="00AF069A">
              <w:t>45.1</w:t>
            </w:r>
          </w:p>
        </w:tc>
      </w:tr>
      <w:tr w:rsidR="00CE75D4" w:rsidRPr="002029AF" w14:paraId="513EDB9E" w14:textId="77777777" w:rsidTr="00860E95">
        <w:tc>
          <w:tcPr>
            <w:tcW w:w="7369" w:type="dxa"/>
            <w:tcBorders>
              <w:top w:val="single" w:sz="4" w:space="0" w:color="A6A6A6"/>
              <w:bottom w:val="single" w:sz="4" w:space="0" w:color="A6A6A6"/>
            </w:tcBorders>
          </w:tcPr>
          <w:p w14:paraId="229F6F7D" w14:textId="77777777" w:rsidR="00CE75D4" w:rsidRPr="00E412CD" w:rsidRDefault="00CE75D4" w:rsidP="008340C1">
            <w:pPr>
              <w:pStyle w:val="ARfintablebody"/>
            </w:pPr>
            <w:r w:rsidRPr="00AF069A">
              <w:t>Swan Hill District Health</w:t>
            </w:r>
          </w:p>
        </w:tc>
        <w:tc>
          <w:tcPr>
            <w:tcW w:w="1134" w:type="dxa"/>
            <w:tcBorders>
              <w:top w:val="single" w:sz="4" w:space="0" w:color="A6A6A6"/>
              <w:bottom w:val="single" w:sz="4" w:space="0" w:color="A6A6A6"/>
            </w:tcBorders>
            <w:shd w:val="clear" w:color="auto" w:fill="E7E6E6"/>
            <w:noWrap/>
          </w:tcPr>
          <w:p w14:paraId="5984C029" w14:textId="77777777" w:rsidR="00CE75D4" w:rsidRPr="00E412CD" w:rsidRDefault="00CE75D4" w:rsidP="008340C1">
            <w:pPr>
              <w:pStyle w:val="ARfintablebodyright"/>
            </w:pPr>
            <w:r w:rsidRPr="00AF069A">
              <w:t>46.8</w:t>
            </w:r>
          </w:p>
        </w:tc>
        <w:tc>
          <w:tcPr>
            <w:tcW w:w="1134" w:type="dxa"/>
            <w:tcBorders>
              <w:top w:val="single" w:sz="4" w:space="0" w:color="A6A6A6"/>
              <w:bottom w:val="single" w:sz="4" w:space="0" w:color="A6A6A6"/>
            </w:tcBorders>
            <w:noWrap/>
          </w:tcPr>
          <w:p w14:paraId="54CCD61C" w14:textId="77777777" w:rsidR="00CE75D4" w:rsidRPr="00E412CD" w:rsidRDefault="00CE75D4" w:rsidP="008340C1">
            <w:pPr>
              <w:pStyle w:val="ARfintablebodyright"/>
            </w:pPr>
            <w:r w:rsidRPr="00AF069A">
              <w:t>41.4</w:t>
            </w:r>
          </w:p>
        </w:tc>
      </w:tr>
      <w:tr w:rsidR="00CE75D4" w:rsidRPr="002029AF" w14:paraId="576423EF" w14:textId="77777777" w:rsidTr="00860E95">
        <w:tc>
          <w:tcPr>
            <w:tcW w:w="7369" w:type="dxa"/>
            <w:tcBorders>
              <w:top w:val="single" w:sz="4" w:space="0" w:color="A6A6A6"/>
              <w:bottom w:val="single" w:sz="4" w:space="0" w:color="A6A6A6"/>
            </w:tcBorders>
          </w:tcPr>
          <w:p w14:paraId="737C285E" w14:textId="77777777" w:rsidR="00CE75D4" w:rsidRPr="002029AF" w:rsidRDefault="00CE75D4" w:rsidP="008340C1">
            <w:pPr>
              <w:pStyle w:val="ARfintablebody"/>
            </w:pPr>
            <w:r w:rsidRPr="00AF069A">
              <w:t>Colac Area Health</w:t>
            </w:r>
          </w:p>
        </w:tc>
        <w:tc>
          <w:tcPr>
            <w:tcW w:w="1134" w:type="dxa"/>
            <w:tcBorders>
              <w:top w:val="single" w:sz="4" w:space="0" w:color="A6A6A6"/>
              <w:bottom w:val="single" w:sz="4" w:space="0" w:color="A6A6A6"/>
            </w:tcBorders>
            <w:shd w:val="clear" w:color="auto" w:fill="E7E6E6"/>
            <w:noWrap/>
          </w:tcPr>
          <w:p w14:paraId="7D259488" w14:textId="77777777" w:rsidR="00CE75D4" w:rsidRPr="002029AF" w:rsidRDefault="00CE75D4" w:rsidP="008340C1">
            <w:pPr>
              <w:pStyle w:val="ARfintablebodyright"/>
            </w:pPr>
            <w:r w:rsidRPr="00AF069A">
              <w:t>33.0</w:t>
            </w:r>
          </w:p>
        </w:tc>
        <w:tc>
          <w:tcPr>
            <w:tcW w:w="1134" w:type="dxa"/>
            <w:tcBorders>
              <w:top w:val="single" w:sz="4" w:space="0" w:color="A6A6A6"/>
              <w:bottom w:val="single" w:sz="4" w:space="0" w:color="A6A6A6"/>
            </w:tcBorders>
            <w:noWrap/>
          </w:tcPr>
          <w:p w14:paraId="25C02550" w14:textId="77777777" w:rsidR="00CE75D4" w:rsidRPr="002029AF" w:rsidRDefault="00CE75D4" w:rsidP="008340C1">
            <w:pPr>
              <w:pStyle w:val="ARfintablebodyright"/>
            </w:pPr>
            <w:r w:rsidRPr="00AF069A">
              <w:t>28.3</w:t>
            </w:r>
          </w:p>
        </w:tc>
      </w:tr>
      <w:tr w:rsidR="00CE75D4" w:rsidRPr="002029AF" w14:paraId="7CED222B" w14:textId="77777777" w:rsidTr="00860E95">
        <w:tc>
          <w:tcPr>
            <w:tcW w:w="7369" w:type="dxa"/>
            <w:tcBorders>
              <w:top w:val="single" w:sz="4" w:space="0" w:color="A6A6A6"/>
              <w:bottom w:val="single" w:sz="4" w:space="0" w:color="A6A6A6"/>
            </w:tcBorders>
          </w:tcPr>
          <w:p w14:paraId="37C378AB" w14:textId="77777777" w:rsidR="00CE75D4" w:rsidRPr="002029AF" w:rsidRDefault="00CE75D4" w:rsidP="008340C1">
            <w:pPr>
              <w:pStyle w:val="ARfintablebody"/>
            </w:pPr>
            <w:r w:rsidRPr="00AF069A">
              <w:t>Ballarat Health Services</w:t>
            </w:r>
          </w:p>
        </w:tc>
        <w:tc>
          <w:tcPr>
            <w:tcW w:w="1134" w:type="dxa"/>
            <w:tcBorders>
              <w:top w:val="single" w:sz="4" w:space="0" w:color="A6A6A6"/>
              <w:bottom w:val="single" w:sz="4" w:space="0" w:color="A6A6A6"/>
            </w:tcBorders>
            <w:shd w:val="clear" w:color="auto" w:fill="E7E6E6"/>
            <w:noWrap/>
          </w:tcPr>
          <w:p w14:paraId="60F900BA"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tcPr>
          <w:p w14:paraId="4B9DB9C9" w14:textId="77777777" w:rsidR="00CE75D4" w:rsidRPr="002029AF" w:rsidRDefault="00CE75D4" w:rsidP="008340C1">
            <w:pPr>
              <w:pStyle w:val="ARfintablebodyright"/>
            </w:pPr>
            <w:r w:rsidRPr="00AF069A">
              <w:t>268.6</w:t>
            </w:r>
          </w:p>
        </w:tc>
      </w:tr>
      <w:tr w:rsidR="00CE75D4" w:rsidRPr="002029AF" w14:paraId="4AE705BE" w14:textId="77777777" w:rsidTr="00860E95">
        <w:tc>
          <w:tcPr>
            <w:tcW w:w="7369" w:type="dxa"/>
            <w:tcBorders>
              <w:top w:val="single" w:sz="4" w:space="0" w:color="A6A6A6"/>
              <w:bottom w:val="single" w:sz="4" w:space="0" w:color="A6A6A6"/>
            </w:tcBorders>
            <w:hideMark/>
          </w:tcPr>
          <w:p w14:paraId="3044B6C5" w14:textId="77777777" w:rsidR="00CE75D4" w:rsidRPr="002029AF" w:rsidRDefault="00CE75D4" w:rsidP="008340C1">
            <w:pPr>
              <w:pStyle w:val="ARfintablebody"/>
            </w:pPr>
            <w:r w:rsidRPr="00AF069A">
              <w:t>D</w:t>
            </w:r>
            <w:r>
              <w:t>j</w:t>
            </w:r>
            <w:r w:rsidRPr="00AF069A">
              <w:t>erriwarrh Health Services</w:t>
            </w:r>
          </w:p>
        </w:tc>
        <w:tc>
          <w:tcPr>
            <w:tcW w:w="1134" w:type="dxa"/>
            <w:tcBorders>
              <w:top w:val="single" w:sz="4" w:space="0" w:color="A6A6A6"/>
              <w:bottom w:val="single" w:sz="4" w:space="0" w:color="A6A6A6"/>
            </w:tcBorders>
            <w:shd w:val="clear" w:color="auto" w:fill="E7E6E6"/>
            <w:noWrap/>
            <w:hideMark/>
          </w:tcPr>
          <w:p w14:paraId="572473AA"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2C762144" w14:textId="77777777" w:rsidR="00CE75D4" w:rsidRPr="002029AF" w:rsidRDefault="00CE75D4" w:rsidP="008340C1">
            <w:pPr>
              <w:pStyle w:val="ARfintablebodyright"/>
            </w:pPr>
            <w:r w:rsidRPr="00AF069A">
              <w:t>45.7</w:t>
            </w:r>
          </w:p>
        </w:tc>
      </w:tr>
      <w:tr w:rsidR="00CE75D4" w:rsidRPr="002029AF" w14:paraId="5AC63352" w14:textId="77777777" w:rsidTr="00860E95">
        <w:tc>
          <w:tcPr>
            <w:tcW w:w="7369" w:type="dxa"/>
            <w:tcBorders>
              <w:top w:val="single" w:sz="4" w:space="0" w:color="A6A6A6"/>
            </w:tcBorders>
            <w:hideMark/>
          </w:tcPr>
          <w:p w14:paraId="1BD43446" w14:textId="77777777" w:rsidR="00CE75D4" w:rsidRPr="002029AF" w:rsidRDefault="00CE75D4" w:rsidP="008340C1">
            <w:pPr>
              <w:pStyle w:val="ARfintablebody"/>
            </w:pPr>
            <w:r w:rsidRPr="00AF069A">
              <w:t>Other public health services, public and denominational hospitals with payments totalling</w:t>
            </w:r>
            <w:r>
              <w:t> </w:t>
            </w:r>
            <w:r w:rsidRPr="00AF069A">
              <w:t>less than $30 million</w:t>
            </w:r>
          </w:p>
        </w:tc>
        <w:tc>
          <w:tcPr>
            <w:tcW w:w="1134" w:type="dxa"/>
            <w:tcBorders>
              <w:top w:val="single" w:sz="4" w:space="0" w:color="A6A6A6"/>
            </w:tcBorders>
            <w:shd w:val="clear" w:color="auto" w:fill="E7E6E6"/>
            <w:noWrap/>
            <w:hideMark/>
          </w:tcPr>
          <w:p w14:paraId="36E62AA3" w14:textId="77777777" w:rsidR="00CE75D4" w:rsidRPr="002029AF" w:rsidRDefault="00CE75D4" w:rsidP="008340C1">
            <w:pPr>
              <w:pStyle w:val="ARfintablebodyright"/>
            </w:pPr>
            <w:r w:rsidRPr="00AF069A">
              <w:t>190.0</w:t>
            </w:r>
          </w:p>
        </w:tc>
        <w:tc>
          <w:tcPr>
            <w:tcW w:w="1134" w:type="dxa"/>
            <w:tcBorders>
              <w:top w:val="single" w:sz="4" w:space="0" w:color="A6A6A6"/>
            </w:tcBorders>
            <w:noWrap/>
            <w:hideMark/>
          </w:tcPr>
          <w:p w14:paraId="36FE7473" w14:textId="77777777" w:rsidR="00CE75D4" w:rsidRPr="002029AF" w:rsidRDefault="00CE75D4" w:rsidP="008340C1">
            <w:pPr>
              <w:pStyle w:val="ARfintablebodyright"/>
            </w:pPr>
            <w:r w:rsidRPr="00AF069A">
              <w:t>272.1</w:t>
            </w:r>
          </w:p>
        </w:tc>
      </w:tr>
      <w:bookmarkEnd w:id="574"/>
      <w:tr w:rsidR="00CE75D4" w:rsidRPr="002029AF" w14:paraId="23514B29" w14:textId="77777777" w:rsidTr="00860E95">
        <w:tc>
          <w:tcPr>
            <w:tcW w:w="7369" w:type="dxa"/>
            <w:tcBorders>
              <w:bottom w:val="single" w:sz="4" w:space="0" w:color="auto"/>
            </w:tcBorders>
            <w:hideMark/>
          </w:tcPr>
          <w:p w14:paraId="00ABBEF0" w14:textId="77777777" w:rsidR="00CE75D4" w:rsidRPr="002029AF" w:rsidRDefault="00CE75D4" w:rsidP="008340C1">
            <w:pPr>
              <w:pStyle w:val="ARfintablebodybold"/>
            </w:pPr>
          </w:p>
        </w:tc>
        <w:tc>
          <w:tcPr>
            <w:tcW w:w="1134" w:type="dxa"/>
            <w:tcBorders>
              <w:bottom w:val="single" w:sz="4" w:space="0" w:color="auto"/>
            </w:tcBorders>
            <w:shd w:val="clear" w:color="auto" w:fill="E7E6E6"/>
            <w:noWrap/>
            <w:hideMark/>
          </w:tcPr>
          <w:p w14:paraId="57C8B11D" w14:textId="77777777" w:rsidR="00CE75D4" w:rsidRPr="002029AF" w:rsidRDefault="00CE75D4" w:rsidP="008340C1">
            <w:pPr>
              <w:pStyle w:val="ARfintablebodyright"/>
            </w:pPr>
            <w:r w:rsidRPr="00AF069A">
              <w:t>11,830.8</w:t>
            </w:r>
          </w:p>
        </w:tc>
        <w:tc>
          <w:tcPr>
            <w:tcW w:w="1134" w:type="dxa"/>
            <w:tcBorders>
              <w:bottom w:val="single" w:sz="4" w:space="0" w:color="auto"/>
            </w:tcBorders>
            <w:noWrap/>
            <w:hideMark/>
          </w:tcPr>
          <w:p w14:paraId="493F7AA8" w14:textId="77777777" w:rsidR="00CE75D4" w:rsidRPr="002029AF" w:rsidRDefault="00CE75D4" w:rsidP="008340C1">
            <w:pPr>
              <w:pStyle w:val="ARfintablebodyright"/>
            </w:pPr>
            <w:r w:rsidRPr="00AF069A">
              <w:t>10,283.3</w:t>
            </w:r>
          </w:p>
        </w:tc>
      </w:tr>
      <w:tr w:rsidR="00CE75D4" w:rsidRPr="002029AF" w14:paraId="745B44F8" w14:textId="77777777" w:rsidTr="00860E95">
        <w:tc>
          <w:tcPr>
            <w:tcW w:w="9637" w:type="dxa"/>
            <w:gridSpan w:val="3"/>
            <w:tcBorders>
              <w:top w:val="single" w:sz="4" w:space="0" w:color="auto"/>
              <w:bottom w:val="single" w:sz="4" w:space="0" w:color="A6A6A6"/>
            </w:tcBorders>
            <w:hideMark/>
          </w:tcPr>
          <w:p w14:paraId="00BD2C5B" w14:textId="77777777" w:rsidR="00CE75D4" w:rsidRPr="002029AF" w:rsidRDefault="00CE75D4" w:rsidP="008340C1">
            <w:pPr>
              <w:pStyle w:val="ARfintablebodybold"/>
            </w:pPr>
            <w:r w:rsidRPr="00AF069A">
              <w:t>Commonwealth Government</w:t>
            </w:r>
          </w:p>
        </w:tc>
      </w:tr>
      <w:tr w:rsidR="00CE75D4" w:rsidRPr="002029AF" w14:paraId="0317B2E7" w14:textId="77777777" w:rsidTr="00860E95">
        <w:tc>
          <w:tcPr>
            <w:tcW w:w="7369" w:type="dxa"/>
            <w:tcBorders>
              <w:top w:val="single" w:sz="4" w:space="0" w:color="A6A6A6"/>
              <w:bottom w:val="single" w:sz="4" w:space="0" w:color="auto"/>
            </w:tcBorders>
            <w:hideMark/>
          </w:tcPr>
          <w:p w14:paraId="6C71DAD9" w14:textId="77777777" w:rsidR="00CE75D4" w:rsidRPr="002029AF" w:rsidRDefault="00CE75D4" w:rsidP="008340C1">
            <w:pPr>
              <w:pStyle w:val="ARfintablebody"/>
            </w:pPr>
            <w:r w:rsidRPr="00AF069A">
              <w:t>National Disability Insurance Agency</w:t>
            </w:r>
          </w:p>
        </w:tc>
        <w:tc>
          <w:tcPr>
            <w:tcW w:w="1134" w:type="dxa"/>
            <w:tcBorders>
              <w:top w:val="single" w:sz="4" w:space="0" w:color="A6A6A6"/>
              <w:bottom w:val="single" w:sz="4" w:space="0" w:color="auto"/>
            </w:tcBorders>
            <w:shd w:val="clear" w:color="auto" w:fill="E7E6E6"/>
            <w:noWrap/>
            <w:hideMark/>
          </w:tcPr>
          <w:p w14:paraId="66E5ACB1" w14:textId="77777777" w:rsidR="00CE75D4" w:rsidRPr="002029AF" w:rsidRDefault="00CE75D4" w:rsidP="008340C1">
            <w:pPr>
              <w:pStyle w:val="ARfintablebodyright"/>
            </w:pPr>
            <w:r>
              <w:t>–</w:t>
            </w:r>
          </w:p>
        </w:tc>
        <w:tc>
          <w:tcPr>
            <w:tcW w:w="1134" w:type="dxa"/>
            <w:tcBorders>
              <w:top w:val="single" w:sz="4" w:space="0" w:color="A6A6A6"/>
              <w:bottom w:val="single" w:sz="4" w:space="0" w:color="auto"/>
            </w:tcBorders>
            <w:noWrap/>
            <w:hideMark/>
          </w:tcPr>
          <w:p w14:paraId="141EF7DE" w14:textId="77777777" w:rsidR="00CE75D4" w:rsidRPr="002029AF" w:rsidRDefault="00CE75D4" w:rsidP="008340C1">
            <w:pPr>
              <w:pStyle w:val="ARfintablebodyright"/>
            </w:pPr>
            <w:r w:rsidRPr="00AF069A">
              <w:t>2,083.0</w:t>
            </w:r>
          </w:p>
        </w:tc>
      </w:tr>
      <w:tr w:rsidR="00CE75D4" w:rsidRPr="002029AF" w14:paraId="3CBB9354" w14:textId="77777777" w:rsidTr="00860E95">
        <w:tc>
          <w:tcPr>
            <w:tcW w:w="9637" w:type="dxa"/>
            <w:gridSpan w:val="3"/>
            <w:tcBorders>
              <w:top w:val="single" w:sz="4" w:space="0" w:color="auto"/>
              <w:bottom w:val="single" w:sz="4" w:space="0" w:color="A6A6A6"/>
            </w:tcBorders>
            <w:hideMark/>
          </w:tcPr>
          <w:p w14:paraId="3F3704AF" w14:textId="77777777" w:rsidR="00CE75D4" w:rsidRPr="002029AF" w:rsidRDefault="00CE75D4" w:rsidP="008340C1">
            <w:pPr>
              <w:pStyle w:val="ARfintablebodybold"/>
            </w:pPr>
            <w:r w:rsidRPr="00AF069A">
              <w:t>Other</w:t>
            </w:r>
          </w:p>
        </w:tc>
      </w:tr>
      <w:tr w:rsidR="00CE75D4" w:rsidRPr="002029AF" w14:paraId="4D938B29" w14:textId="77777777" w:rsidTr="00860E95">
        <w:tc>
          <w:tcPr>
            <w:tcW w:w="7369" w:type="dxa"/>
            <w:tcBorders>
              <w:top w:val="single" w:sz="4" w:space="0" w:color="A6A6A6"/>
              <w:bottom w:val="single" w:sz="4" w:space="0" w:color="A6A6A6"/>
            </w:tcBorders>
            <w:hideMark/>
          </w:tcPr>
          <w:p w14:paraId="030FE1A0" w14:textId="77777777" w:rsidR="00CE75D4" w:rsidRPr="002029AF" w:rsidRDefault="00CE75D4" w:rsidP="008340C1">
            <w:pPr>
              <w:pStyle w:val="ARfintablebody"/>
            </w:pPr>
            <w:r w:rsidRPr="00AF069A">
              <w:t>Cross Border with other jurisdictions</w:t>
            </w:r>
          </w:p>
        </w:tc>
        <w:tc>
          <w:tcPr>
            <w:tcW w:w="1134" w:type="dxa"/>
            <w:tcBorders>
              <w:top w:val="single" w:sz="4" w:space="0" w:color="A6A6A6"/>
              <w:bottom w:val="single" w:sz="4" w:space="0" w:color="A6A6A6"/>
            </w:tcBorders>
            <w:shd w:val="clear" w:color="auto" w:fill="E7E6E6"/>
            <w:noWrap/>
            <w:hideMark/>
          </w:tcPr>
          <w:p w14:paraId="134F5E04" w14:textId="77777777" w:rsidR="00CE75D4" w:rsidRPr="002029AF" w:rsidRDefault="00CE75D4" w:rsidP="008340C1">
            <w:pPr>
              <w:pStyle w:val="ARfintablebodyright"/>
            </w:pPr>
            <w:r w:rsidRPr="00AF069A">
              <w:t>48.7</w:t>
            </w:r>
          </w:p>
        </w:tc>
        <w:tc>
          <w:tcPr>
            <w:tcW w:w="1134" w:type="dxa"/>
            <w:tcBorders>
              <w:top w:val="single" w:sz="4" w:space="0" w:color="A6A6A6"/>
              <w:bottom w:val="single" w:sz="4" w:space="0" w:color="A6A6A6"/>
            </w:tcBorders>
            <w:noWrap/>
            <w:hideMark/>
          </w:tcPr>
          <w:p w14:paraId="66D67D58" w14:textId="77777777" w:rsidR="00CE75D4" w:rsidRPr="002029AF" w:rsidRDefault="00CE75D4" w:rsidP="008340C1">
            <w:pPr>
              <w:pStyle w:val="ARfintablebodyright"/>
            </w:pPr>
            <w:r w:rsidRPr="00AF069A">
              <w:t>52.1</w:t>
            </w:r>
          </w:p>
        </w:tc>
      </w:tr>
      <w:tr w:rsidR="00CE75D4" w:rsidRPr="002029AF" w14:paraId="5C77BD9E" w14:textId="77777777" w:rsidTr="00860E95">
        <w:tc>
          <w:tcPr>
            <w:tcW w:w="7369" w:type="dxa"/>
            <w:tcBorders>
              <w:top w:val="single" w:sz="4" w:space="0" w:color="A6A6A6"/>
            </w:tcBorders>
            <w:hideMark/>
          </w:tcPr>
          <w:p w14:paraId="304E76D7" w14:textId="77777777" w:rsidR="00CE75D4" w:rsidRPr="002029AF" w:rsidRDefault="00CE75D4" w:rsidP="008340C1">
            <w:pPr>
              <w:pStyle w:val="ARfintablebody"/>
            </w:pPr>
            <w:r w:rsidRPr="00AF069A">
              <w:t>Other organisations with payments totalling less than $10 million</w:t>
            </w:r>
          </w:p>
        </w:tc>
        <w:tc>
          <w:tcPr>
            <w:tcW w:w="1134" w:type="dxa"/>
            <w:tcBorders>
              <w:top w:val="single" w:sz="4" w:space="0" w:color="A6A6A6"/>
            </w:tcBorders>
            <w:shd w:val="clear" w:color="auto" w:fill="E7E6E6"/>
            <w:noWrap/>
            <w:hideMark/>
          </w:tcPr>
          <w:p w14:paraId="4D31F2DE" w14:textId="77777777" w:rsidR="00CE75D4" w:rsidRPr="002029AF" w:rsidRDefault="00CE75D4" w:rsidP="008340C1">
            <w:pPr>
              <w:pStyle w:val="ARfintablebodyright"/>
            </w:pPr>
            <w:r w:rsidRPr="00AF069A">
              <w:t>1.8</w:t>
            </w:r>
          </w:p>
        </w:tc>
        <w:tc>
          <w:tcPr>
            <w:tcW w:w="1134" w:type="dxa"/>
            <w:tcBorders>
              <w:top w:val="single" w:sz="4" w:space="0" w:color="A6A6A6"/>
            </w:tcBorders>
            <w:noWrap/>
            <w:hideMark/>
          </w:tcPr>
          <w:p w14:paraId="103F038C" w14:textId="77777777" w:rsidR="00CE75D4" w:rsidRPr="002029AF" w:rsidRDefault="00CE75D4" w:rsidP="008340C1">
            <w:pPr>
              <w:pStyle w:val="ARfintablebodyright"/>
            </w:pPr>
            <w:r w:rsidRPr="00AF069A">
              <w:t>8.0</w:t>
            </w:r>
          </w:p>
        </w:tc>
      </w:tr>
      <w:tr w:rsidR="00CE75D4" w:rsidRPr="002029AF" w14:paraId="098B5CE8" w14:textId="77777777" w:rsidTr="00860E95">
        <w:tc>
          <w:tcPr>
            <w:tcW w:w="7369" w:type="dxa"/>
            <w:hideMark/>
          </w:tcPr>
          <w:p w14:paraId="78B2333B" w14:textId="77777777" w:rsidR="00CE75D4" w:rsidRPr="002029AF" w:rsidRDefault="00CE75D4" w:rsidP="008340C1">
            <w:pPr>
              <w:pStyle w:val="ARfintablebodybold"/>
            </w:pPr>
            <w:r w:rsidRPr="00AF069A">
              <w:t>Total grants and other expense transfers</w:t>
            </w:r>
          </w:p>
        </w:tc>
        <w:tc>
          <w:tcPr>
            <w:tcW w:w="1134" w:type="dxa"/>
            <w:shd w:val="clear" w:color="auto" w:fill="E7E6E6"/>
            <w:noWrap/>
            <w:hideMark/>
          </w:tcPr>
          <w:p w14:paraId="676460A8" w14:textId="77777777" w:rsidR="00CE75D4" w:rsidRPr="002029AF" w:rsidRDefault="00CE75D4" w:rsidP="008340C1">
            <w:pPr>
              <w:pStyle w:val="ARfintablebodyrightbold"/>
            </w:pPr>
            <w:r w:rsidRPr="00AF069A">
              <w:t>11,881.4</w:t>
            </w:r>
          </w:p>
        </w:tc>
        <w:tc>
          <w:tcPr>
            <w:tcW w:w="1134" w:type="dxa"/>
            <w:noWrap/>
            <w:hideMark/>
          </w:tcPr>
          <w:p w14:paraId="10DD0166" w14:textId="77777777" w:rsidR="00CE75D4" w:rsidRPr="002029AF" w:rsidRDefault="00CE75D4" w:rsidP="008340C1">
            <w:pPr>
              <w:pStyle w:val="ARfintablebodyrightbold"/>
            </w:pPr>
            <w:r w:rsidRPr="00AF069A">
              <w:t>12,426.4</w:t>
            </w:r>
          </w:p>
        </w:tc>
      </w:tr>
    </w:tbl>
    <w:p w14:paraId="4277E242" w14:textId="77777777" w:rsidR="00CE75D4" w:rsidRDefault="00CE75D4" w:rsidP="008340C1">
      <w:pPr>
        <w:pStyle w:val="ARfintablefootnote"/>
      </w:pPr>
      <w:bookmarkStart w:id="575" w:name="_Toc39136713"/>
      <w:bookmarkStart w:id="576" w:name="_Toc39242142"/>
      <w:r>
        <w:rPr>
          <w:lang w:eastAsia="en-AU"/>
        </w:rPr>
        <w:t>Notes:</w:t>
      </w:r>
    </w:p>
    <w:p w14:paraId="0C2FDDBD" w14:textId="77777777" w:rsidR="00CE75D4" w:rsidRDefault="00CE75D4" w:rsidP="00817CFB">
      <w:pPr>
        <w:pStyle w:val="ARfintablefootnoteindent"/>
        <w:numPr>
          <w:ilvl w:val="0"/>
          <w:numId w:val="33"/>
        </w:numPr>
        <w:spacing w:before="40" w:after="40"/>
        <w:ind w:left="284" w:hanging="295"/>
      </w:pPr>
      <w:r>
        <w:t xml:space="preserve">As defined in schedules 1, 2 and 5 of the </w:t>
      </w:r>
      <w:r>
        <w:rPr>
          <w:rStyle w:val="Emphasis"/>
        </w:rPr>
        <w:t>Health Services Act 1988</w:t>
      </w:r>
      <w:r>
        <w:t>.</w:t>
      </w:r>
    </w:p>
    <w:p w14:paraId="235A5462" w14:textId="77777777" w:rsidR="00CE75D4" w:rsidRDefault="00CE75D4" w:rsidP="00817CFB">
      <w:pPr>
        <w:pStyle w:val="ARfintablefootnoteindent"/>
        <w:numPr>
          <w:ilvl w:val="0"/>
          <w:numId w:val="33"/>
        </w:numPr>
        <w:spacing w:before="40" w:after="40"/>
        <w:ind w:left="284" w:hanging="295"/>
      </w:pPr>
      <w:r>
        <w:t>R</w:t>
      </w:r>
      <w:r w:rsidRPr="005005A8">
        <w:t>epresents the activity-based funding in scope of the National Health Reform Agreement contributed by the Commonwealth and the state via the Victorian State Pool Account (administered trust).</w:t>
      </w:r>
    </w:p>
    <w:bookmarkEnd w:id="565"/>
    <w:bookmarkEnd w:id="575"/>
    <w:bookmarkEnd w:id="576"/>
    <w:p w14:paraId="5B63FA55" w14:textId="77777777" w:rsidR="00CE75D4" w:rsidRDefault="00CE75D4" w:rsidP="008340C1">
      <w:pPr>
        <w:pStyle w:val="Heading4"/>
      </w:pPr>
      <w:r>
        <w:rPr>
          <w:lang w:eastAsia="en-AU"/>
        </w:rPr>
        <w:t>4.3 Restructuring of administrative arrangements</w:t>
      </w:r>
    </w:p>
    <w:p w14:paraId="25877AB4" w14:textId="00D07861" w:rsidR="00CE75D4" w:rsidRDefault="00CE75D4" w:rsidP="008340C1">
      <w:pPr>
        <w:pStyle w:val="ARfinbody"/>
      </w:pPr>
      <w:r>
        <w:t>The Victorian Government issued an administrative order on 27 January 2021 restructuring some of its activities via machinery of government change. As part of the machinery of government restructure:</w:t>
      </w:r>
    </w:p>
    <w:p w14:paraId="597B0D7A" w14:textId="4940920C" w:rsidR="00CE75D4" w:rsidRDefault="00CE75D4" w:rsidP="008340C1">
      <w:pPr>
        <w:pStyle w:val="ARfinbodylargespace"/>
      </w:pPr>
      <w:r>
        <w:t xml:space="preserve">The Department of Health (as transferor) transferred a group of staff to the Department of Families, Fairness and Housing (as transferee) effective from 1 October 2021 as part of s. 28(1) of the </w:t>
      </w:r>
      <w:r>
        <w:rPr>
          <w:rStyle w:val="Emphasis"/>
        </w:rPr>
        <w:t>Public Administration Act 2004</w:t>
      </w:r>
      <w:r>
        <w:t>. The net assets transferred by the department are at the carrying amount of those assets in the department’s balance sheet immediately before the transfer:</w:t>
      </w:r>
    </w:p>
    <w:tbl>
      <w:tblPr>
        <w:tblStyle w:val="TableGrid"/>
        <w:tblpPr w:leftFromText="180" w:rightFromText="180" w:bottomFromText="120" w:vertAnchor="text" w:horzAnchor="margin" w:tblpY="-59"/>
        <w:tblW w:w="9639" w:type="dxa"/>
        <w:tblLayout w:type="fixed"/>
        <w:tblLook w:val="06A0" w:firstRow="1" w:lastRow="0" w:firstColumn="1" w:lastColumn="0" w:noHBand="1" w:noVBand="1"/>
      </w:tblPr>
      <w:tblGrid>
        <w:gridCol w:w="2835"/>
        <w:gridCol w:w="2835"/>
        <w:gridCol w:w="2835"/>
        <w:gridCol w:w="1134"/>
      </w:tblGrid>
      <w:tr w:rsidR="00CE75D4" w14:paraId="462DE749"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2835" w:type="dxa"/>
            <w:tcBorders>
              <w:bottom w:val="single" w:sz="4" w:space="0" w:color="auto"/>
            </w:tcBorders>
            <w:hideMark/>
          </w:tcPr>
          <w:p w14:paraId="60C0E31A" w14:textId="77777777" w:rsidR="00CE75D4" w:rsidRDefault="00CE75D4" w:rsidP="00130D1C">
            <w:pPr>
              <w:pStyle w:val="ARfintablecolhead"/>
            </w:pPr>
            <w:r>
              <w:t>Function</w:t>
            </w:r>
          </w:p>
        </w:tc>
        <w:tc>
          <w:tcPr>
            <w:tcW w:w="2835" w:type="dxa"/>
            <w:tcBorders>
              <w:bottom w:val="single" w:sz="4" w:space="0" w:color="auto"/>
            </w:tcBorders>
            <w:hideMark/>
          </w:tcPr>
          <w:p w14:paraId="62D537DB" w14:textId="77777777" w:rsidR="00CE75D4" w:rsidRDefault="00CE75D4" w:rsidP="00130D1C">
            <w:pPr>
              <w:pStyle w:val="ARfintablecolhead"/>
            </w:pPr>
            <w:r>
              <w:t>Transferor</w:t>
            </w:r>
          </w:p>
        </w:tc>
        <w:tc>
          <w:tcPr>
            <w:tcW w:w="2835" w:type="dxa"/>
            <w:tcBorders>
              <w:bottom w:val="single" w:sz="4" w:space="0" w:color="auto"/>
            </w:tcBorders>
            <w:hideMark/>
          </w:tcPr>
          <w:p w14:paraId="28CCBD7A" w14:textId="77777777" w:rsidR="00CE75D4" w:rsidRDefault="00CE75D4" w:rsidP="00130D1C">
            <w:pPr>
              <w:pStyle w:val="ARfintablecolhead"/>
            </w:pPr>
            <w:r>
              <w:t>Transferee</w:t>
            </w:r>
          </w:p>
        </w:tc>
        <w:tc>
          <w:tcPr>
            <w:tcW w:w="1134" w:type="dxa"/>
            <w:tcBorders>
              <w:bottom w:val="single" w:sz="4" w:space="0" w:color="auto"/>
            </w:tcBorders>
            <w:hideMark/>
          </w:tcPr>
          <w:p w14:paraId="518DC0E5" w14:textId="77777777" w:rsidR="00CE75D4" w:rsidRDefault="00CE75D4" w:rsidP="00130D1C">
            <w:pPr>
              <w:pStyle w:val="ARfintablecolheadright"/>
            </w:pPr>
            <w:r>
              <w:t>$M</w:t>
            </w:r>
          </w:p>
        </w:tc>
      </w:tr>
      <w:tr w:rsidR="00CE75D4" w14:paraId="31EF5A17" w14:textId="77777777" w:rsidTr="008340C1">
        <w:trPr>
          <w:cantSplit w:val="0"/>
        </w:trPr>
        <w:tc>
          <w:tcPr>
            <w:tcW w:w="2835" w:type="dxa"/>
            <w:tcBorders>
              <w:top w:val="single" w:sz="4" w:space="0" w:color="A6A6A6"/>
            </w:tcBorders>
          </w:tcPr>
          <w:p w14:paraId="6A0EAA0B" w14:textId="77777777" w:rsidR="00CE75D4" w:rsidRDefault="00CE75D4" w:rsidP="008340C1">
            <w:pPr>
              <w:pStyle w:val="ARfintablebody"/>
            </w:pPr>
            <w:r w:rsidRPr="00AD1AAA">
              <w:t>s. 28(1) staff transfer</w:t>
            </w:r>
          </w:p>
        </w:tc>
        <w:tc>
          <w:tcPr>
            <w:tcW w:w="2835" w:type="dxa"/>
            <w:tcBorders>
              <w:top w:val="single" w:sz="4" w:space="0" w:color="A6A6A6"/>
            </w:tcBorders>
          </w:tcPr>
          <w:p w14:paraId="4F9E4F9F" w14:textId="77777777" w:rsidR="00CE75D4" w:rsidRDefault="00CE75D4" w:rsidP="008340C1">
            <w:pPr>
              <w:pStyle w:val="ARfintablebody"/>
            </w:pPr>
            <w:r w:rsidRPr="00AD1AAA">
              <w:t>Department of Health</w:t>
            </w:r>
          </w:p>
        </w:tc>
        <w:tc>
          <w:tcPr>
            <w:tcW w:w="2835" w:type="dxa"/>
            <w:tcBorders>
              <w:top w:val="single" w:sz="4" w:space="0" w:color="A6A6A6"/>
            </w:tcBorders>
          </w:tcPr>
          <w:p w14:paraId="0761689F" w14:textId="77777777" w:rsidR="00CE75D4" w:rsidRDefault="00CE75D4" w:rsidP="008340C1">
            <w:pPr>
              <w:pStyle w:val="ARfintablebody"/>
            </w:pPr>
            <w:r w:rsidRPr="00AD1AAA">
              <w:t>Department of Families, Fairness and Housing</w:t>
            </w:r>
          </w:p>
        </w:tc>
        <w:tc>
          <w:tcPr>
            <w:tcW w:w="1134" w:type="dxa"/>
            <w:tcBorders>
              <w:top w:val="single" w:sz="4" w:space="0" w:color="A6A6A6"/>
            </w:tcBorders>
          </w:tcPr>
          <w:p w14:paraId="3EF757C8" w14:textId="77777777" w:rsidR="00CE75D4" w:rsidRDefault="00CE75D4" w:rsidP="008340C1">
            <w:pPr>
              <w:pStyle w:val="ARfintablebodyright"/>
            </w:pPr>
            <w:r w:rsidRPr="00AD1AAA">
              <w:t>–</w:t>
            </w:r>
          </w:p>
        </w:tc>
      </w:tr>
    </w:tbl>
    <w:p w14:paraId="465FF44E" w14:textId="77777777" w:rsidR="00CE75D4" w:rsidRPr="00D73938" w:rsidRDefault="00CE75D4" w:rsidP="008340C1">
      <w:pPr>
        <w:pStyle w:val="ARfinbodyaftertable"/>
        <w:spacing w:after="160"/>
        <w:rPr>
          <w:sz w:val="22"/>
          <w:szCs w:val="22"/>
          <w:lang w:eastAsia="en-US"/>
        </w:rPr>
      </w:pPr>
      <w:r>
        <w:t>The net asset transfer was treated as a contribution of capital by the state.</w:t>
      </w:r>
    </w:p>
    <w:tbl>
      <w:tblPr>
        <w:tblStyle w:val="TableGrid"/>
        <w:tblW w:w="9637" w:type="dxa"/>
        <w:tblLayout w:type="fixed"/>
        <w:tblLook w:val="06A0" w:firstRow="1" w:lastRow="0" w:firstColumn="1" w:lastColumn="0" w:noHBand="1" w:noVBand="1"/>
      </w:tblPr>
      <w:tblGrid>
        <w:gridCol w:w="6235"/>
        <w:gridCol w:w="1134"/>
        <w:gridCol w:w="1134"/>
        <w:gridCol w:w="1134"/>
      </w:tblGrid>
      <w:tr w:rsidR="00CE75D4" w:rsidRPr="002029AF" w14:paraId="0C5F548F"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6235" w:type="dxa"/>
            <w:tcBorders>
              <w:bottom w:val="single" w:sz="4" w:space="0" w:color="auto"/>
            </w:tcBorders>
            <w:hideMark/>
          </w:tcPr>
          <w:p w14:paraId="6A2C26E8" w14:textId="77777777" w:rsidR="00CE75D4" w:rsidRPr="002029AF" w:rsidRDefault="00CE75D4" w:rsidP="00130D1C">
            <w:pPr>
              <w:pStyle w:val="ARfintablecolhead"/>
            </w:pPr>
          </w:p>
        </w:tc>
        <w:tc>
          <w:tcPr>
            <w:tcW w:w="1134" w:type="dxa"/>
            <w:tcBorders>
              <w:bottom w:val="single" w:sz="4" w:space="0" w:color="auto"/>
            </w:tcBorders>
            <w:hideMark/>
          </w:tcPr>
          <w:p w14:paraId="3ADD7291" w14:textId="77777777" w:rsidR="00CE75D4" w:rsidRPr="002029AF" w:rsidRDefault="00CE75D4" w:rsidP="00130D1C">
            <w:pPr>
              <w:pStyle w:val="ARfintablecolheadright"/>
            </w:pPr>
            <w:r>
              <w:t>2022</w:t>
            </w:r>
            <w:r>
              <w:br/>
            </w:r>
            <w:r w:rsidRPr="002029AF">
              <w:t>Transfer in</w:t>
            </w:r>
          </w:p>
          <w:p w14:paraId="5C80E7CF" w14:textId="77777777" w:rsidR="00CE75D4" w:rsidRPr="002029AF" w:rsidRDefault="00CE75D4" w:rsidP="00130D1C">
            <w:pPr>
              <w:pStyle w:val="ARfintablecolheadright"/>
            </w:pPr>
            <w:r w:rsidRPr="002029AF">
              <w:t>$M</w:t>
            </w:r>
          </w:p>
        </w:tc>
        <w:tc>
          <w:tcPr>
            <w:tcW w:w="1134" w:type="dxa"/>
            <w:tcBorders>
              <w:bottom w:val="single" w:sz="4" w:space="0" w:color="auto"/>
            </w:tcBorders>
            <w:hideMark/>
          </w:tcPr>
          <w:p w14:paraId="5849E6CF" w14:textId="77777777" w:rsidR="00CE75D4" w:rsidRPr="002029AF" w:rsidRDefault="00CE75D4" w:rsidP="00130D1C">
            <w:pPr>
              <w:pStyle w:val="ARfintablecolheadright"/>
            </w:pPr>
            <w:r>
              <w:t>2022</w:t>
            </w:r>
            <w:r>
              <w:br/>
            </w:r>
            <w:r w:rsidRPr="002029AF">
              <w:t>Transfer out</w:t>
            </w:r>
          </w:p>
          <w:p w14:paraId="262881A5" w14:textId="77777777" w:rsidR="00CE75D4" w:rsidRPr="002029AF" w:rsidRDefault="00CE75D4" w:rsidP="00130D1C">
            <w:pPr>
              <w:pStyle w:val="ARfintablecolheadright"/>
            </w:pPr>
            <w:r w:rsidRPr="002029AF">
              <w:t>$M</w:t>
            </w:r>
          </w:p>
        </w:tc>
        <w:tc>
          <w:tcPr>
            <w:tcW w:w="1134" w:type="dxa"/>
            <w:tcBorders>
              <w:bottom w:val="single" w:sz="4" w:space="0" w:color="auto"/>
            </w:tcBorders>
            <w:hideMark/>
          </w:tcPr>
          <w:p w14:paraId="7B0266BD" w14:textId="77777777" w:rsidR="00CE75D4" w:rsidRPr="001E121A" w:rsidRDefault="00CE75D4" w:rsidP="00130D1C">
            <w:pPr>
              <w:pStyle w:val="ARfintablecolheadright"/>
            </w:pPr>
            <w:r w:rsidRPr="001E121A">
              <w:t>202</w:t>
            </w:r>
            <w:r>
              <w:t>2</w:t>
            </w:r>
            <w:r w:rsidRPr="001E121A">
              <w:t xml:space="preserve"> </w:t>
            </w:r>
            <w:r w:rsidRPr="001E121A">
              <w:br/>
              <w:t>Net transfer</w:t>
            </w:r>
          </w:p>
          <w:p w14:paraId="262C4BA9" w14:textId="77777777" w:rsidR="00CE75D4" w:rsidRPr="002029AF" w:rsidRDefault="00CE75D4" w:rsidP="00130D1C">
            <w:pPr>
              <w:pStyle w:val="ARfintablecolheadright"/>
            </w:pPr>
            <w:r w:rsidRPr="001E121A">
              <w:t>$</w:t>
            </w:r>
            <w:r>
              <w:t>M</w:t>
            </w:r>
          </w:p>
        </w:tc>
      </w:tr>
      <w:tr w:rsidR="00CE75D4" w:rsidRPr="002029AF" w14:paraId="4D821E88" w14:textId="77777777" w:rsidTr="00130D1C">
        <w:tc>
          <w:tcPr>
            <w:tcW w:w="9637" w:type="dxa"/>
            <w:gridSpan w:val="4"/>
            <w:tcBorders>
              <w:top w:val="single" w:sz="4" w:space="0" w:color="auto"/>
              <w:bottom w:val="single" w:sz="4" w:space="0" w:color="A6A6A6"/>
            </w:tcBorders>
            <w:hideMark/>
          </w:tcPr>
          <w:p w14:paraId="403BB456" w14:textId="77777777" w:rsidR="00CE75D4" w:rsidRPr="002029AF" w:rsidRDefault="00CE75D4" w:rsidP="008340C1">
            <w:pPr>
              <w:pStyle w:val="ARfintablebodybold"/>
            </w:pPr>
            <w:r w:rsidRPr="00F02D87">
              <w:t>Assets</w:t>
            </w:r>
          </w:p>
        </w:tc>
      </w:tr>
      <w:tr w:rsidR="00CE75D4" w:rsidRPr="002029AF" w14:paraId="62D11EA0" w14:textId="77777777" w:rsidTr="00130D1C">
        <w:tc>
          <w:tcPr>
            <w:tcW w:w="6235" w:type="dxa"/>
            <w:tcBorders>
              <w:top w:val="single" w:sz="4" w:space="0" w:color="A6A6A6"/>
              <w:bottom w:val="single" w:sz="4" w:space="0" w:color="A6A6A6"/>
            </w:tcBorders>
            <w:hideMark/>
          </w:tcPr>
          <w:p w14:paraId="13DA38B3" w14:textId="77777777" w:rsidR="00CE75D4" w:rsidRPr="002029AF" w:rsidRDefault="00CE75D4" w:rsidP="008340C1">
            <w:pPr>
              <w:pStyle w:val="ARfintablebody"/>
            </w:pPr>
            <w:r w:rsidRPr="00F02D87">
              <w:t>Receivables</w:t>
            </w:r>
          </w:p>
        </w:tc>
        <w:tc>
          <w:tcPr>
            <w:tcW w:w="1134" w:type="dxa"/>
            <w:tcBorders>
              <w:top w:val="single" w:sz="4" w:space="0" w:color="A6A6A6"/>
              <w:bottom w:val="single" w:sz="4" w:space="0" w:color="A6A6A6"/>
            </w:tcBorders>
            <w:noWrap/>
            <w:hideMark/>
          </w:tcPr>
          <w:p w14:paraId="35BDF715"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53BCA21E" w14:textId="77777777" w:rsidR="00CE75D4" w:rsidRPr="002029AF" w:rsidRDefault="00CE75D4" w:rsidP="008340C1">
            <w:pPr>
              <w:pStyle w:val="ARfintablebodyright"/>
            </w:pPr>
            <w:r w:rsidRPr="00F02D87">
              <w:t>(1.7)</w:t>
            </w:r>
          </w:p>
        </w:tc>
        <w:tc>
          <w:tcPr>
            <w:tcW w:w="1134" w:type="dxa"/>
            <w:tcBorders>
              <w:top w:val="single" w:sz="4" w:space="0" w:color="A6A6A6"/>
              <w:bottom w:val="single" w:sz="4" w:space="0" w:color="A6A6A6"/>
            </w:tcBorders>
            <w:noWrap/>
            <w:hideMark/>
          </w:tcPr>
          <w:p w14:paraId="06A4294D" w14:textId="77777777" w:rsidR="00CE75D4" w:rsidRPr="002029AF" w:rsidRDefault="00CE75D4" w:rsidP="008340C1">
            <w:pPr>
              <w:pStyle w:val="ARfintablebodyright"/>
            </w:pPr>
            <w:r w:rsidRPr="00F02D87">
              <w:t>(1.7)</w:t>
            </w:r>
          </w:p>
        </w:tc>
      </w:tr>
      <w:tr w:rsidR="00CE75D4" w:rsidRPr="002029AF" w14:paraId="4D3D67BE" w14:textId="77777777" w:rsidTr="00130D1C">
        <w:tc>
          <w:tcPr>
            <w:tcW w:w="9637" w:type="dxa"/>
            <w:gridSpan w:val="4"/>
            <w:tcBorders>
              <w:top w:val="single" w:sz="4" w:space="0" w:color="A6A6A6"/>
              <w:bottom w:val="single" w:sz="4" w:space="0" w:color="A6A6A6"/>
            </w:tcBorders>
            <w:hideMark/>
          </w:tcPr>
          <w:p w14:paraId="0B90CE0C" w14:textId="77777777" w:rsidR="00CE75D4" w:rsidRPr="002029AF" w:rsidRDefault="00CE75D4" w:rsidP="008340C1">
            <w:pPr>
              <w:pStyle w:val="ARfintablebodybold"/>
            </w:pPr>
            <w:r w:rsidRPr="00F02D87">
              <w:t>Liabilities</w:t>
            </w:r>
          </w:p>
        </w:tc>
      </w:tr>
      <w:tr w:rsidR="00CE75D4" w:rsidRPr="002029AF" w14:paraId="2F1CEAA2" w14:textId="77777777" w:rsidTr="00130D1C">
        <w:tc>
          <w:tcPr>
            <w:tcW w:w="6235" w:type="dxa"/>
            <w:tcBorders>
              <w:top w:val="single" w:sz="4" w:space="0" w:color="A6A6A6"/>
            </w:tcBorders>
            <w:hideMark/>
          </w:tcPr>
          <w:p w14:paraId="47C1C581" w14:textId="77777777" w:rsidR="00CE75D4" w:rsidRPr="002029AF" w:rsidRDefault="00CE75D4" w:rsidP="008340C1">
            <w:pPr>
              <w:pStyle w:val="ARfintablebody"/>
            </w:pPr>
            <w:r w:rsidRPr="00F02D87">
              <w:t>Employee-related provisions</w:t>
            </w:r>
          </w:p>
        </w:tc>
        <w:tc>
          <w:tcPr>
            <w:tcW w:w="1134" w:type="dxa"/>
            <w:tcBorders>
              <w:top w:val="single" w:sz="4" w:space="0" w:color="A6A6A6"/>
            </w:tcBorders>
            <w:noWrap/>
            <w:hideMark/>
          </w:tcPr>
          <w:p w14:paraId="6FC2CBC3" w14:textId="77777777" w:rsidR="00CE75D4" w:rsidRPr="002029AF" w:rsidRDefault="00CE75D4" w:rsidP="008340C1">
            <w:pPr>
              <w:pStyle w:val="ARfintablebodyright"/>
            </w:pPr>
            <w:r>
              <w:t>–</w:t>
            </w:r>
          </w:p>
        </w:tc>
        <w:tc>
          <w:tcPr>
            <w:tcW w:w="1134" w:type="dxa"/>
            <w:tcBorders>
              <w:top w:val="single" w:sz="4" w:space="0" w:color="A6A6A6"/>
            </w:tcBorders>
            <w:noWrap/>
            <w:hideMark/>
          </w:tcPr>
          <w:p w14:paraId="1F0FF93E" w14:textId="77777777" w:rsidR="00CE75D4" w:rsidRPr="002029AF" w:rsidRDefault="00CE75D4" w:rsidP="008340C1">
            <w:pPr>
              <w:pStyle w:val="ARfintablebodyright"/>
            </w:pPr>
            <w:r w:rsidRPr="00F02D87">
              <w:t>1.7</w:t>
            </w:r>
          </w:p>
        </w:tc>
        <w:tc>
          <w:tcPr>
            <w:tcW w:w="1134" w:type="dxa"/>
            <w:tcBorders>
              <w:top w:val="single" w:sz="4" w:space="0" w:color="A6A6A6"/>
            </w:tcBorders>
            <w:noWrap/>
            <w:hideMark/>
          </w:tcPr>
          <w:p w14:paraId="42D98DAC" w14:textId="77777777" w:rsidR="00CE75D4" w:rsidRPr="002029AF" w:rsidRDefault="00CE75D4" w:rsidP="008340C1">
            <w:pPr>
              <w:pStyle w:val="ARfintablebodyright"/>
            </w:pPr>
            <w:r w:rsidRPr="00F02D87">
              <w:t>1.7</w:t>
            </w:r>
          </w:p>
        </w:tc>
      </w:tr>
      <w:tr w:rsidR="00CE75D4" w:rsidRPr="002029AF" w14:paraId="485A7A3B" w14:textId="77777777" w:rsidTr="00130D1C">
        <w:tc>
          <w:tcPr>
            <w:tcW w:w="6235" w:type="dxa"/>
            <w:hideMark/>
          </w:tcPr>
          <w:p w14:paraId="036218F4" w14:textId="77777777" w:rsidR="00CE75D4" w:rsidRPr="002029AF" w:rsidRDefault="00CE75D4" w:rsidP="008340C1">
            <w:pPr>
              <w:pStyle w:val="ARfintablebodybold"/>
            </w:pPr>
            <w:r w:rsidRPr="00F02D87">
              <w:t>Net assets recognised/(transferred)</w:t>
            </w:r>
          </w:p>
        </w:tc>
        <w:tc>
          <w:tcPr>
            <w:tcW w:w="1134" w:type="dxa"/>
            <w:noWrap/>
            <w:hideMark/>
          </w:tcPr>
          <w:p w14:paraId="656402C8" w14:textId="77777777" w:rsidR="00CE75D4" w:rsidRPr="002029AF" w:rsidRDefault="00CE75D4" w:rsidP="008340C1">
            <w:pPr>
              <w:pStyle w:val="ARfintablebodyrightbold"/>
            </w:pPr>
            <w:r>
              <w:t>–</w:t>
            </w:r>
          </w:p>
        </w:tc>
        <w:tc>
          <w:tcPr>
            <w:tcW w:w="1134" w:type="dxa"/>
            <w:noWrap/>
            <w:hideMark/>
          </w:tcPr>
          <w:p w14:paraId="48CBB10F" w14:textId="77777777" w:rsidR="00CE75D4" w:rsidRPr="002029AF" w:rsidRDefault="00CE75D4" w:rsidP="008340C1">
            <w:pPr>
              <w:pStyle w:val="ARfintablebodyrightbold"/>
            </w:pPr>
            <w:r>
              <w:t>–</w:t>
            </w:r>
          </w:p>
        </w:tc>
        <w:tc>
          <w:tcPr>
            <w:tcW w:w="1134" w:type="dxa"/>
            <w:noWrap/>
            <w:hideMark/>
          </w:tcPr>
          <w:p w14:paraId="495476B3" w14:textId="77777777" w:rsidR="00CE75D4" w:rsidRPr="002029AF" w:rsidRDefault="00CE75D4" w:rsidP="008340C1">
            <w:pPr>
              <w:pStyle w:val="ARfintablebodyrightbold"/>
            </w:pPr>
            <w:r>
              <w:t>–</w:t>
            </w:r>
          </w:p>
        </w:tc>
      </w:tr>
      <w:tr w:rsidR="00CE75D4" w:rsidRPr="002029AF" w14:paraId="4F5F875F" w14:textId="77777777" w:rsidTr="00130D1C">
        <w:tc>
          <w:tcPr>
            <w:tcW w:w="6235" w:type="dxa"/>
            <w:hideMark/>
          </w:tcPr>
          <w:p w14:paraId="52101508" w14:textId="77777777" w:rsidR="00CE75D4" w:rsidRPr="002029AF" w:rsidRDefault="00CE75D4" w:rsidP="008340C1">
            <w:pPr>
              <w:pStyle w:val="ARfintablebodybold"/>
            </w:pPr>
            <w:r w:rsidRPr="00F02D87">
              <w:t>Net capital contribution from the Crown</w:t>
            </w:r>
          </w:p>
        </w:tc>
        <w:tc>
          <w:tcPr>
            <w:tcW w:w="1134" w:type="dxa"/>
            <w:noWrap/>
            <w:hideMark/>
          </w:tcPr>
          <w:p w14:paraId="4E03A773" w14:textId="77777777" w:rsidR="00CE75D4" w:rsidRPr="002029AF" w:rsidRDefault="00CE75D4" w:rsidP="008340C1">
            <w:pPr>
              <w:pStyle w:val="ARfintablebodyrightbold"/>
            </w:pPr>
          </w:p>
        </w:tc>
        <w:tc>
          <w:tcPr>
            <w:tcW w:w="1134" w:type="dxa"/>
            <w:noWrap/>
            <w:hideMark/>
          </w:tcPr>
          <w:p w14:paraId="7D3BD4EB" w14:textId="77777777" w:rsidR="00CE75D4" w:rsidRPr="002029AF" w:rsidRDefault="00CE75D4" w:rsidP="008340C1">
            <w:pPr>
              <w:pStyle w:val="ARfintablebodyrightbold"/>
            </w:pPr>
          </w:p>
        </w:tc>
        <w:tc>
          <w:tcPr>
            <w:tcW w:w="1134" w:type="dxa"/>
            <w:noWrap/>
            <w:hideMark/>
          </w:tcPr>
          <w:p w14:paraId="7B643C05" w14:textId="77777777" w:rsidR="00CE75D4" w:rsidRPr="002029AF" w:rsidRDefault="00CE75D4" w:rsidP="008340C1">
            <w:pPr>
              <w:pStyle w:val="ARfintablebodyrightbold"/>
            </w:pPr>
            <w:r>
              <w:t>–</w:t>
            </w:r>
          </w:p>
        </w:tc>
      </w:tr>
    </w:tbl>
    <w:p w14:paraId="1ED93595" w14:textId="77777777" w:rsidR="00CE75D4" w:rsidRDefault="00CE75D4" w:rsidP="008340C1">
      <w:pPr>
        <w:pStyle w:val="ARfinbodyaftertable"/>
        <w:spacing w:after="160"/>
        <w:rPr>
          <w:sz w:val="22"/>
          <w:szCs w:val="22"/>
          <w:lang w:eastAsia="en-US"/>
        </w:rPr>
      </w:pPr>
      <w:r>
        <w:t>The net asset transfer was treated as a contribution of capital by the state.</w:t>
      </w:r>
    </w:p>
    <w:p w14:paraId="0DE96874" w14:textId="77777777" w:rsidR="00CE75D4" w:rsidRPr="0040433B" w:rsidRDefault="00CE75D4" w:rsidP="00087B91">
      <w:pPr>
        <w:pStyle w:val="ARfinbody"/>
      </w:pPr>
      <w:r w:rsidRPr="0040433B">
        <w:br w:type="page"/>
      </w:r>
    </w:p>
    <w:p w14:paraId="4E58DD04" w14:textId="77777777" w:rsidR="00CE75D4" w:rsidRDefault="00CE75D4" w:rsidP="008340C1">
      <w:pPr>
        <w:pStyle w:val="Heading3"/>
      </w:pPr>
      <w:bookmarkStart w:id="577" w:name="_Toc113702963"/>
      <w:r w:rsidRPr="00447BC3">
        <w:t>5. Key assets available to support output delivery</w:t>
      </w:r>
      <w:bookmarkEnd w:id="577"/>
    </w:p>
    <w:p w14:paraId="4223C91B" w14:textId="77777777" w:rsidR="00CE75D4" w:rsidRDefault="00CE75D4" w:rsidP="008340C1">
      <w:pPr>
        <w:pStyle w:val="Heading4"/>
        <w:rPr>
          <w:lang w:eastAsia="en-AU"/>
        </w:rPr>
      </w:pPr>
      <w:r w:rsidRPr="00447BC3">
        <w:rPr>
          <w:lang w:eastAsia="en-AU"/>
        </w:rPr>
        <w:t>Introduction</w:t>
      </w:r>
    </w:p>
    <w:p w14:paraId="71E6E4CD" w14:textId="77777777" w:rsidR="00CE75D4" w:rsidRDefault="00CE75D4" w:rsidP="008340C1">
      <w:pPr>
        <w:pStyle w:val="ARfinbody"/>
      </w:pPr>
      <w:r w:rsidRPr="00447BC3">
        <w:t>The department controls infrastructure and other investments that are utilised in fulfilling its objectives and conducting its</w:t>
      </w:r>
      <w:r>
        <w:t> </w:t>
      </w:r>
      <w:r w:rsidRPr="00447BC3">
        <w:t>activities. They represent the key resources that have been entrusted to the department to be utilised for delivery of its</w:t>
      </w:r>
      <w:r>
        <w:t> </w:t>
      </w:r>
      <w:r w:rsidRPr="00447BC3">
        <w:t>outputs.</w:t>
      </w:r>
    </w:p>
    <w:p w14:paraId="41E47E10" w14:textId="77777777" w:rsidR="00CE75D4" w:rsidRDefault="00CE75D4" w:rsidP="008340C1">
      <w:pPr>
        <w:pStyle w:val="Heading4"/>
        <w:rPr>
          <w:lang w:eastAsia="en-AU"/>
        </w:rPr>
      </w:pPr>
      <w:r w:rsidRPr="00447BC3">
        <w:rPr>
          <w:lang w:eastAsia="en-AU"/>
        </w:rPr>
        <w:t>Fair value measurement</w:t>
      </w:r>
    </w:p>
    <w:p w14:paraId="75C513BC" w14:textId="77777777" w:rsidR="00CE75D4" w:rsidRDefault="00CE75D4" w:rsidP="008340C1">
      <w:pPr>
        <w:pStyle w:val="ARfinbody"/>
      </w:pPr>
      <w:r w:rsidRPr="00447BC3">
        <w:t>Where the assets included in this section are carried at fair value, additional information is disclosed in Note 8.3 in</w:t>
      </w:r>
      <w:r>
        <w:t> </w:t>
      </w:r>
      <w:r w:rsidRPr="00447BC3">
        <w:t>connection with how those fair values were determined.</w:t>
      </w:r>
    </w:p>
    <w:p w14:paraId="24931107" w14:textId="77777777" w:rsidR="00CE75D4" w:rsidRDefault="00CE75D4" w:rsidP="008340C1">
      <w:pPr>
        <w:pStyle w:val="Heading4"/>
        <w:rPr>
          <w:lang w:eastAsia="en-AU"/>
        </w:rPr>
      </w:pPr>
      <w:r w:rsidRPr="00447BC3">
        <w:rPr>
          <w:lang w:eastAsia="en-AU"/>
        </w:rPr>
        <w:t>Structure</w:t>
      </w:r>
    </w:p>
    <w:p w14:paraId="39010B71" w14:textId="77777777" w:rsidR="00CE75D4" w:rsidRDefault="00CE75D4" w:rsidP="008340C1">
      <w:pPr>
        <w:pStyle w:val="ARfinstructure1"/>
      </w:pPr>
      <w:r w:rsidRPr="00447BC3">
        <w:t>5.1</w:t>
      </w:r>
      <w:r>
        <w:tab/>
      </w:r>
      <w:r w:rsidRPr="00447BC3">
        <w:t>Total property, plant and equipment</w:t>
      </w:r>
    </w:p>
    <w:p w14:paraId="7820B5FB" w14:textId="77777777" w:rsidR="00CE75D4" w:rsidRDefault="00CE75D4" w:rsidP="008340C1">
      <w:pPr>
        <w:pStyle w:val="ARfinstructure2"/>
      </w:pPr>
      <w:r w:rsidRPr="00447BC3">
        <w:t>5.1(a)</w:t>
      </w:r>
      <w:r>
        <w:tab/>
      </w:r>
      <w:r w:rsidRPr="00447BC3">
        <w:t>Total right-of-use assets</w:t>
      </w:r>
    </w:p>
    <w:p w14:paraId="19F24669" w14:textId="77777777" w:rsidR="00CE75D4" w:rsidRDefault="00CE75D4" w:rsidP="008340C1">
      <w:pPr>
        <w:pStyle w:val="ARfinstructure2"/>
      </w:pPr>
      <w:r w:rsidRPr="00447BC3">
        <w:t>5.1(b)</w:t>
      </w:r>
      <w:r>
        <w:tab/>
      </w:r>
      <w:r w:rsidRPr="00447BC3">
        <w:t>Total service concession assets</w:t>
      </w:r>
    </w:p>
    <w:p w14:paraId="7E83F718" w14:textId="77777777" w:rsidR="00CE75D4" w:rsidRDefault="00CE75D4" w:rsidP="008340C1">
      <w:pPr>
        <w:pStyle w:val="ARfinstructure2"/>
      </w:pPr>
      <w:r w:rsidRPr="00447BC3">
        <w:t>5.1.1</w:t>
      </w:r>
      <w:r>
        <w:tab/>
      </w:r>
      <w:r w:rsidRPr="00447BC3">
        <w:t>Depreciation and amortisation</w:t>
      </w:r>
    </w:p>
    <w:p w14:paraId="27AB4277" w14:textId="77777777" w:rsidR="00CE75D4" w:rsidRDefault="00CE75D4" w:rsidP="008340C1">
      <w:pPr>
        <w:pStyle w:val="ARfinstructure2"/>
      </w:pPr>
      <w:r w:rsidRPr="00447BC3">
        <w:t>5.1.2</w:t>
      </w:r>
      <w:r>
        <w:tab/>
      </w:r>
      <w:r w:rsidRPr="00447BC3">
        <w:t>Reconciliation of movements in carrying values of property, plant and equipment</w:t>
      </w:r>
    </w:p>
    <w:p w14:paraId="70219489" w14:textId="77777777" w:rsidR="00CE75D4" w:rsidRDefault="00CE75D4" w:rsidP="008340C1">
      <w:pPr>
        <w:pStyle w:val="ARfinstructure1"/>
        <w:rPr>
          <w:b/>
          <w:bCs/>
        </w:rPr>
      </w:pPr>
      <w:r w:rsidRPr="00447BC3">
        <w:t>5.2</w:t>
      </w:r>
      <w:r>
        <w:tab/>
      </w:r>
      <w:r w:rsidRPr="00447BC3">
        <w:t>Intangible assets</w:t>
      </w:r>
    </w:p>
    <w:p w14:paraId="534C4CA5" w14:textId="77777777" w:rsidR="00CE75D4" w:rsidRPr="006633AB" w:rsidRDefault="00CE75D4" w:rsidP="00130D1C">
      <w:pPr>
        <w:pStyle w:val="Heading4"/>
      </w:pPr>
      <w:bookmarkStart w:id="578" w:name="_Toc39242144"/>
      <w:bookmarkStart w:id="579" w:name="_Toc85121426"/>
      <w:r>
        <w:t>5.1 Total property, plant and equipment</w:t>
      </w:r>
      <w:bookmarkEnd w:id="578"/>
      <w:r>
        <w:t xml:space="preserve"> </w:t>
      </w:r>
      <w:r w:rsidRPr="006633AB">
        <w:rPr>
          <w:rStyle w:val="Superscript"/>
        </w:rPr>
        <w:t>(i)</w:t>
      </w:r>
      <w:bookmarkEnd w:id="579"/>
    </w:p>
    <w:tbl>
      <w:tblPr>
        <w:tblStyle w:val="TableGrid"/>
        <w:tblW w:w="9637" w:type="dxa"/>
        <w:tblLayout w:type="fixed"/>
        <w:tblLook w:val="06A0" w:firstRow="1" w:lastRow="0" w:firstColumn="1" w:lastColumn="0" w:noHBand="1" w:noVBand="1"/>
      </w:tblPr>
      <w:tblGrid>
        <w:gridCol w:w="3512"/>
        <w:gridCol w:w="1020"/>
        <w:gridCol w:w="1021"/>
        <w:gridCol w:w="1021"/>
        <w:gridCol w:w="1021"/>
        <w:gridCol w:w="1021"/>
        <w:gridCol w:w="1021"/>
      </w:tblGrid>
      <w:tr w:rsidR="00CE75D4" w:rsidRPr="002029AF" w14:paraId="6AA260A0"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3512" w:type="dxa"/>
            <w:vMerge w:val="restart"/>
            <w:noWrap/>
            <w:hideMark/>
          </w:tcPr>
          <w:p w14:paraId="31253FF7" w14:textId="77777777" w:rsidR="00CE75D4" w:rsidRPr="002029AF" w:rsidRDefault="00CE75D4" w:rsidP="00860E95">
            <w:pPr>
              <w:pStyle w:val="ARfintablecolhead"/>
            </w:pPr>
          </w:p>
        </w:tc>
        <w:tc>
          <w:tcPr>
            <w:tcW w:w="2041" w:type="dxa"/>
            <w:gridSpan w:val="2"/>
            <w:hideMark/>
          </w:tcPr>
          <w:p w14:paraId="7D13C164" w14:textId="77777777" w:rsidR="00CE75D4" w:rsidRPr="002029AF" w:rsidRDefault="00CE75D4" w:rsidP="00860E95">
            <w:pPr>
              <w:pStyle w:val="ARfintablecolheadcentre"/>
            </w:pPr>
            <w:r w:rsidRPr="002029AF">
              <w:t>Gross carrying amount</w:t>
            </w:r>
          </w:p>
        </w:tc>
        <w:tc>
          <w:tcPr>
            <w:tcW w:w="2042" w:type="dxa"/>
            <w:gridSpan w:val="2"/>
            <w:hideMark/>
          </w:tcPr>
          <w:p w14:paraId="79EF1149" w14:textId="77777777" w:rsidR="00CE75D4" w:rsidRPr="002029AF" w:rsidRDefault="00CE75D4" w:rsidP="00860E95">
            <w:pPr>
              <w:pStyle w:val="ARfintablecolheadcentre"/>
            </w:pPr>
            <w:r w:rsidRPr="002029AF">
              <w:t>Accumulated depreciation</w:t>
            </w:r>
          </w:p>
        </w:tc>
        <w:tc>
          <w:tcPr>
            <w:tcW w:w="2042" w:type="dxa"/>
            <w:gridSpan w:val="2"/>
            <w:hideMark/>
          </w:tcPr>
          <w:p w14:paraId="63771661" w14:textId="77777777" w:rsidR="00CE75D4" w:rsidRPr="002029AF" w:rsidRDefault="00CE75D4" w:rsidP="00860E95">
            <w:pPr>
              <w:pStyle w:val="ARfintablecolheadcentre"/>
            </w:pPr>
            <w:r w:rsidRPr="002029AF">
              <w:t xml:space="preserve">Net carrying </w:t>
            </w:r>
            <w:r w:rsidRPr="002029AF">
              <w:br/>
              <w:t>amount</w:t>
            </w:r>
          </w:p>
        </w:tc>
      </w:tr>
      <w:tr w:rsidR="00CE75D4" w:rsidRPr="002029AF" w14:paraId="3525A288"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3512" w:type="dxa"/>
            <w:vMerge/>
            <w:tcBorders>
              <w:bottom w:val="single" w:sz="4" w:space="0" w:color="auto"/>
            </w:tcBorders>
            <w:hideMark/>
          </w:tcPr>
          <w:p w14:paraId="7261CEB6" w14:textId="77777777" w:rsidR="00CE75D4" w:rsidRPr="002029AF" w:rsidRDefault="00CE75D4" w:rsidP="008340C1">
            <w:pPr>
              <w:pStyle w:val="ARfintablecolhead"/>
            </w:pPr>
          </w:p>
        </w:tc>
        <w:tc>
          <w:tcPr>
            <w:tcW w:w="1020" w:type="dxa"/>
            <w:tcBorders>
              <w:bottom w:val="single" w:sz="4" w:space="0" w:color="auto"/>
            </w:tcBorders>
            <w:shd w:val="clear" w:color="auto" w:fill="E7E6E6"/>
            <w:hideMark/>
          </w:tcPr>
          <w:p w14:paraId="2D440E3C" w14:textId="77777777" w:rsidR="00CE75D4" w:rsidRPr="002029AF" w:rsidRDefault="00CE75D4" w:rsidP="008340C1">
            <w:pPr>
              <w:pStyle w:val="ARfintablecolheadright"/>
            </w:pPr>
            <w:r w:rsidRPr="002029AF">
              <w:t>202</w:t>
            </w:r>
            <w:r>
              <w:t>2</w:t>
            </w:r>
          </w:p>
          <w:p w14:paraId="26E2DFDA" w14:textId="77777777" w:rsidR="00CE75D4" w:rsidRPr="002029AF" w:rsidRDefault="00CE75D4" w:rsidP="008340C1">
            <w:pPr>
              <w:pStyle w:val="ARfintablecolheadright"/>
            </w:pPr>
            <w:r w:rsidRPr="002029AF">
              <w:t>$M</w:t>
            </w:r>
          </w:p>
        </w:tc>
        <w:tc>
          <w:tcPr>
            <w:tcW w:w="1021" w:type="dxa"/>
            <w:tcBorders>
              <w:bottom w:val="single" w:sz="4" w:space="0" w:color="auto"/>
            </w:tcBorders>
            <w:hideMark/>
          </w:tcPr>
          <w:p w14:paraId="68B26FAE" w14:textId="77777777" w:rsidR="00CE75D4" w:rsidRPr="002029AF" w:rsidRDefault="00CE75D4" w:rsidP="008340C1">
            <w:pPr>
              <w:pStyle w:val="ARfintablecolheadright"/>
            </w:pPr>
            <w:r>
              <w:t>2021</w:t>
            </w:r>
          </w:p>
          <w:p w14:paraId="20735CF9" w14:textId="77777777" w:rsidR="00CE75D4" w:rsidRPr="002029AF" w:rsidRDefault="00CE75D4" w:rsidP="008340C1">
            <w:pPr>
              <w:pStyle w:val="ARfintablecolheadright"/>
            </w:pPr>
            <w:r w:rsidRPr="002029AF">
              <w:t>$M</w:t>
            </w:r>
          </w:p>
        </w:tc>
        <w:tc>
          <w:tcPr>
            <w:tcW w:w="1021" w:type="dxa"/>
            <w:tcBorders>
              <w:bottom w:val="single" w:sz="4" w:space="0" w:color="auto"/>
            </w:tcBorders>
            <w:shd w:val="clear" w:color="auto" w:fill="E7E6E6"/>
            <w:hideMark/>
          </w:tcPr>
          <w:p w14:paraId="04C2927B" w14:textId="77777777" w:rsidR="00CE75D4" w:rsidRPr="002029AF" w:rsidRDefault="00CE75D4" w:rsidP="008340C1">
            <w:pPr>
              <w:pStyle w:val="ARfintablecolheadright"/>
            </w:pPr>
            <w:r w:rsidRPr="002029AF">
              <w:t>202</w:t>
            </w:r>
            <w:r>
              <w:t>2</w:t>
            </w:r>
          </w:p>
          <w:p w14:paraId="377A19E1" w14:textId="77777777" w:rsidR="00CE75D4" w:rsidRPr="002029AF" w:rsidRDefault="00CE75D4" w:rsidP="008340C1">
            <w:pPr>
              <w:pStyle w:val="ARfintablecolheadright"/>
            </w:pPr>
            <w:r w:rsidRPr="002029AF">
              <w:t>$M</w:t>
            </w:r>
          </w:p>
        </w:tc>
        <w:tc>
          <w:tcPr>
            <w:tcW w:w="1021" w:type="dxa"/>
            <w:tcBorders>
              <w:bottom w:val="single" w:sz="4" w:space="0" w:color="auto"/>
            </w:tcBorders>
            <w:hideMark/>
          </w:tcPr>
          <w:p w14:paraId="623F921F" w14:textId="77777777" w:rsidR="00CE75D4" w:rsidRPr="002029AF" w:rsidRDefault="00CE75D4" w:rsidP="008340C1">
            <w:pPr>
              <w:pStyle w:val="ARfintablecolheadright"/>
            </w:pPr>
            <w:r>
              <w:t>2021</w:t>
            </w:r>
          </w:p>
          <w:p w14:paraId="3BD590BE" w14:textId="77777777" w:rsidR="00CE75D4" w:rsidRPr="002029AF" w:rsidRDefault="00CE75D4" w:rsidP="008340C1">
            <w:pPr>
              <w:pStyle w:val="ARfintablecolheadright"/>
            </w:pPr>
            <w:r w:rsidRPr="002029AF">
              <w:t>$M</w:t>
            </w:r>
          </w:p>
        </w:tc>
        <w:tc>
          <w:tcPr>
            <w:tcW w:w="1021" w:type="dxa"/>
            <w:tcBorders>
              <w:bottom w:val="single" w:sz="4" w:space="0" w:color="auto"/>
            </w:tcBorders>
            <w:shd w:val="clear" w:color="auto" w:fill="E7E6E6"/>
            <w:hideMark/>
          </w:tcPr>
          <w:p w14:paraId="0B1EAEEE" w14:textId="77777777" w:rsidR="00CE75D4" w:rsidRPr="002029AF" w:rsidRDefault="00CE75D4" w:rsidP="008340C1">
            <w:pPr>
              <w:pStyle w:val="ARfintablecolheadright"/>
            </w:pPr>
            <w:r w:rsidRPr="002029AF">
              <w:t>202</w:t>
            </w:r>
            <w:r>
              <w:t>2</w:t>
            </w:r>
          </w:p>
          <w:p w14:paraId="33299523" w14:textId="77777777" w:rsidR="00CE75D4" w:rsidRPr="002029AF" w:rsidRDefault="00CE75D4" w:rsidP="008340C1">
            <w:pPr>
              <w:pStyle w:val="ARfintablecolheadright"/>
            </w:pPr>
            <w:r w:rsidRPr="002029AF">
              <w:t>$M</w:t>
            </w:r>
          </w:p>
        </w:tc>
        <w:tc>
          <w:tcPr>
            <w:tcW w:w="1021" w:type="dxa"/>
            <w:tcBorders>
              <w:bottom w:val="single" w:sz="4" w:space="0" w:color="auto"/>
            </w:tcBorders>
            <w:hideMark/>
          </w:tcPr>
          <w:p w14:paraId="5D4B2DCA" w14:textId="77777777" w:rsidR="00CE75D4" w:rsidRPr="002029AF" w:rsidRDefault="00CE75D4" w:rsidP="008340C1">
            <w:pPr>
              <w:pStyle w:val="ARfintablecolheadright"/>
            </w:pPr>
            <w:r>
              <w:t>2021</w:t>
            </w:r>
          </w:p>
          <w:p w14:paraId="28288290" w14:textId="77777777" w:rsidR="00CE75D4" w:rsidRPr="002029AF" w:rsidRDefault="00CE75D4" w:rsidP="008340C1">
            <w:pPr>
              <w:pStyle w:val="ARfintablecolheadright"/>
            </w:pPr>
            <w:r w:rsidRPr="002029AF">
              <w:t>$M</w:t>
            </w:r>
          </w:p>
        </w:tc>
      </w:tr>
      <w:tr w:rsidR="00CE75D4" w:rsidRPr="002029AF" w14:paraId="1A388402" w14:textId="77777777" w:rsidTr="00130D1C">
        <w:tc>
          <w:tcPr>
            <w:tcW w:w="3512" w:type="dxa"/>
            <w:tcBorders>
              <w:top w:val="single" w:sz="4" w:space="0" w:color="auto"/>
              <w:bottom w:val="single" w:sz="4" w:space="0" w:color="A6A6A6"/>
            </w:tcBorders>
            <w:hideMark/>
          </w:tcPr>
          <w:p w14:paraId="7FD91B89" w14:textId="77777777" w:rsidR="00CE75D4" w:rsidRPr="002029AF" w:rsidRDefault="00CE75D4" w:rsidP="008340C1">
            <w:pPr>
              <w:pStyle w:val="ARfintablebody"/>
            </w:pPr>
            <w:r w:rsidRPr="00E333E5">
              <w:t>Land at fair value</w:t>
            </w:r>
          </w:p>
        </w:tc>
        <w:tc>
          <w:tcPr>
            <w:tcW w:w="1020" w:type="dxa"/>
            <w:tcBorders>
              <w:top w:val="single" w:sz="4" w:space="0" w:color="auto"/>
              <w:bottom w:val="single" w:sz="4" w:space="0" w:color="A6A6A6"/>
            </w:tcBorders>
            <w:shd w:val="clear" w:color="auto" w:fill="E7E6E6"/>
            <w:noWrap/>
            <w:hideMark/>
          </w:tcPr>
          <w:p w14:paraId="470258B2" w14:textId="77777777" w:rsidR="00CE75D4" w:rsidRPr="002029AF" w:rsidRDefault="00CE75D4" w:rsidP="008340C1">
            <w:pPr>
              <w:pStyle w:val="ARfintablebodyright"/>
            </w:pPr>
            <w:r w:rsidRPr="00E333E5">
              <w:t>660.8</w:t>
            </w:r>
          </w:p>
        </w:tc>
        <w:tc>
          <w:tcPr>
            <w:tcW w:w="1021" w:type="dxa"/>
            <w:tcBorders>
              <w:top w:val="single" w:sz="4" w:space="0" w:color="auto"/>
              <w:bottom w:val="single" w:sz="4" w:space="0" w:color="A6A6A6"/>
            </w:tcBorders>
            <w:noWrap/>
            <w:hideMark/>
          </w:tcPr>
          <w:p w14:paraId="40117D28" w14:textId="77777777" w:rsidR="00CE75D4" w:rsidRPr="002029AF" w:rsidRDefault="00CE75D4" w:rsidP="008340C1">
            <w:pPr>
              <w:pStyle w:val="ARfintablebodyright"/>
            </w:pPr>
            <w:r w:rsidRPr="00E333E5">
              <w:t>23,080.8</w:t>
            </w:r>
          </w:p>
        </w:tc>
        <w:tc>
          <w:tcPr>
            <w:tcW w:w="1021" w:type="dxa"/>
            <w:tcBorders>
              <w:top w:val="single" w:sz="4" w:space="0" w:color="auto"/>
              <w:bottom w:val="single" w:sz="4" w:space="0" w:color="A6A6A6"/>
            </w:tcBorders>
            <w:shd w:val="clear" w:color="auto" w:fill="E7E6E6"/>
            <w:noWrap/>
            <w:hideMark/>
          </w:tcPr>
          <w:p w14:paraId="79FB2EDC" w14:textId="77777777" w:rsidR="00CE75D4" w:rsidRPr="002029AF" w:rsidRDefault="00CE75D4" w:rsidP="008340C1">
            <w:pPr>
              <w:pStyle w:val="ARfintablebodyright"/>
            </w:pPr>
            <w:r>
              <w:t>–</w:t>
            </w:r>
          </w:p>
        </w:tc>
        <w:tc>
          <w:tcPr>
            <w:tcW w:w="1021" w:type="dxa"/>
            <w:tcBorders>
              <w:top w:val="single" w:sz="4" w:space="0" w:color="auto"/>
              <w:bottom w:val="single" w:sz="4" w:space="0" w:color="A6A6A6"/>
            </w:tcBorders>
            <w:noWrap/>
            <w:hideMark/>
          </w:tcPr>
          <w:p w14:paraId="3441AB21" w14:textId="77777777" w:rsidR="00CE75D4" w:rsidRPr="002029AF" w:rsidRDefault="00CE75D4" w:rsidP="008340C1">
            <w:pPr>
              <w:pStyle w:val="ARfintablebodyright"/>
            </w:pPr>
            <w:r w:rsidRPr="00E333E5">
              <w:t>(1.6)</w:t>
            </w:r>
          </w:p>
        </w:tc>
        <w:tc>
          <w:tcPr>
            <w:tcW w:w="1021" w:type="dxa"/>
            <w:tcBorders>
              <w:top w:val="single" w:sz="4" w:space="0" w:color="auto"/>
              <w:bottom w:val="single" w:sz="4" w:space="0" w:color="A6A6A6"/>
            </w:tcBorders>
            <w:shd w:val="clear" w:color="auto" w:fill="E7E6E6"/>
            <w:noWrap/>
            <w:hideMark/>
          </w:tcPr>
          <w:p w14:paraId="564ED88B" w14:textId="77777777" w:rsidR="00CE75D4" w:rsidRPr="002029AF" w:rsidRDefault="00CE75D4" w:rsidP="008340C1">
            <w:pPr>
              <w:pStyle w:val="ARfintablebodyright"/>
            </w:pPr>
            <w:r w:rsidRPr="00E333E5">
              <w:t>660.8</w:t>
            </w:r>
          </w:p>
        </w:tc>
        <w:tc>
          <w:tcPr>
            <w:tcW w:w="1021" w:type="dxa"/>
            <w:tcBorders>
              <w:top w:val="single" w:sz="4" w:space="0" w:color="auto"/>
              <w:bottom w:val="single" w:sz="4" w:space="0" w:color="A6A6A6"/>
            </w:tcBorders>
            <w:noWrap/>
            <w:hideMark/>
          </w:tcPr>
          <w:p w14:paraId="29D6383F" w14:textId="77777777" w:rsidR="00CE75D4" w:rsidRPr="002029AF" w:rsidRDefault="00CE75D4" w:rsidP="008340C1">
            <w:pPr>
              <w:pStyle w:val="ARfintablebodyright"/>
            </w:pPr>
            <w:r w:rsidRPr="00E333E5">
              <w:t>23,079.2</w:t>
            </w:r>
          </w:p>
        </w:tc>
      </w:tr>
      <w:tr w:rsidR="00CE75D4" w:rsidRPr="002029AF" w14:paraId="48D8024A" w14:textId="77777777" w:rsidTr="00130D1C">
        <w:tc>
          <w:tcPr>
            <w:tcW w:w="3512" w:type="dxa"/>
            <w:tcBorders>
              <w:top w:val="single" w:sz="4" w:space="0" w:color="A6A6A6"/>
              <w:bottom w:val="single" w:sz="4" w:space="0" w:color="A6A6A6"/>
            </w:tcBorders>
            <w:hideMark/>
          </w:tcPr>
          <w:p w14:paraId="052D0045" w14:textId="77777777" w:rsidR="00CE75D4" w:rsidRPr="002029AF" w:rsidRDefault="00CE75D4" w:rsidP="008340C1">
            <w:pPr>
              <w:pStyle w:val="ARfintablebody"/>
            </w:pPr>
            <w:r w:rsidRPr="00E333E5">
              <w:t>Buildings at fair value</w:t>
            </w:r>
          </w:p>
        </w:tc>
        <w:tc>
          <w:tcPr>
            <w:tcW w:w="1020" w:type="dxa"/>
            <w:tcBorders>
              <w:top w:val="single" w:sz="4" w:space="0" w:color="A6A6A6"/>
              <w:bottom w:val="single" w:sz="4" w:space="0" w:color="A6A6A6"/>
            </w:tcBorders>
            <w:shd w:val="clear" w:color="auto" w:fill="E7E6E6"/>
            <w:noWrap/>
            <w:hideMark/>
          </w:tcPr>
          <w:p w14:paraId="2A700BBE" w14:textId="77777777" w:rsidR="00CE75D4" w:rsidRPr="002029AF" w:rsidRDefault="00CE75D4" w:rsidP="008340C1">
            <w:pPr>
              <w:pStyle w:val="ARfintablebodyright"/>
            </w:pPr>
            <w:r w:rsidRPr="00E333E5">
              <w:t>604.1</w:t>
            </w:r>
          </w:p>
        </w:tc>
        <w:tc>
          <w:tcPr>
            <w:tcW w:w="1021" w:type="dxa"/>
            <w:tcBorders>
              <w:top w:val="single" w:sz="4" w:space="0" w:color="A6A6A6"/>
              <w:bottom w:val="single" w:sz="4" w:space="0" w:color="A6A6A6"/>
            </w:tcBorders>
            <w:noWrap/>
            <w:hideMark/>
          </w:tcPr>
          <w:p w14:paraId="277F461A" w14:textId="77777777" w:rsidR="00CE75D4" w:rsidRPr="002029AF" w:rsidRDefault="00CE75D4" w:rsidP="008340C1">
            <w:pPr>
              <w:pStyle w:val="ARfintablebodyright"/>
            </w:pPr>
            <w:r w:rsidRPr="00E333E5">
              <w:t>9,952.9</w:t>
            </w:r>
          </w:p>
        </w:tc>
        <w:tc>
          <w:tcPr>
            <w:tcW w:w="1021" w:type="dxa"/>
            <w:tcBorders>
              <w:top w:val="single" w:sz="4" w:space="0" w:color="A6A6A6"/>
              <w:bottom w:val="single" w:sz="4" w:space="0" w:color="A6A6A6"/>
            </w:tcBorders>
            <w:shd w:val="clear" w:color="auto" w:fill="E7E6E6"/>
            <w:noWrap/>
            <w:hideMark/>
          </w:tcPr>
          <w:p w14:paraId="58B11143" w14:textId="77777777" w:rsidR="00CE75D4" w:rsidRPr="002029AF" w:rsidRDefault="00CE75D4" w:rsidP="008340C1">
            <w:pPr>
              <w:pStyle w:val="ARfintablebodyright"/>
            </w:pPr>
            <w:r w:rsidRPr="00E333E5">
              <w:t>(94.9)</w:t>
            </w:r>
          </w:p>
        </w:tc>
        <w:tc>
          <w:tcPr>
            <w:tcW w:w="1021" w:type="dxa"/>
            <w:tcBorders>
              <w:top w:val="single" w:sz="4" w:space="0" w:color="A6A6A6"/>
              <w:bottom w:val="single" w:sz="4" w:space="0" w:color="A6A6A6"/>
            </w:tcBorders>
            <w:noWrap/>
            <w:hideMark/>
          </w:tcPr>
          <w:p w14:paraId="1BF00B90" w14:textId="77777777" w:rsidR="00CE75D4" w:rsidRPr="002029AF" w:rsidRDefault="00CE75D4" w:rsidP="008340C1">
            <w:pPr>
              <w:pStyle w:val="ARfintablebodyright"/>
            </w:pPr>
            <w:r w:rsidRPr="00E333E5">
              <w:t>(206.4)</w:t>
            </w:r>
          </w:p>
        </w:tc>
        <w:tc>
          <w:tcPr>
            <w:tcW w:w="1021" w:type="dxa"/>
            <w:tcBorders>
              <w:top w:val="single" w:sz="4" w:space="0" w:color="A6A6A6"/>
              <w:bottom w:val="single" w:sz="4" w:space="0" w:color="A6A6A6"/>
            </w:tcBorders>
            <w:shd w:val="clear" w:color="auto" w:fill="E7E6E6"/>
            <w:noWrap/>
            <w:hideMark/>
          </w:tcPr>
          <w:p w14:paraId="62F84D15" w14:textId="77777777" w:rsidR="00CE75D4" w:rsidRPr="002029AF" w:rsidRDefault="00CE75D4" w:rsidP="008340C1">
            <w:pPr>
              <w:pStyle w:val="ARfintablebodyright"/>
            </w:pPr>
            <w:r w:rsidRPr="00E333E5">
              <w:t>509.2</w:t>
            </w:r>
          </w:p>
        </w:tc>
        <w:tc>
          <w:tcPr>
            <w:tcW w:w="1021" w:type="dxa"/>
            <w:tcBorders>
              <w:top w:val="single" w:sz="4" w:space="0" w:color="A6A6A6"/>
              <w:bottom w:val="single" w:sz="4" w:space="0" w:color="A6A6A6"/>
            </w:tcBorders>
            <w:noWrap/>
            <w:hideMark/>
          </w:tcPr>
          <w:p w14:paraId="6AB1FA30" w14:textId="77777777" w:rsidR="00CE75D4" w:rsidRPr="002029AF" w:rsidRDefault="00CE75D4" w:rsidP="008340C1">
            <w:pPr>
              <w:pStyle w:val="ARfintablebodyright"/>
            </w:pPr>
            <w:r w:rsidRPr="00E333E5">
              <w:t>9,746.5</w:t>
            </w:r>
          </w:p>
        </w:tc>
      </w:tr>
      <w:tr w:rsidR="00CE75D4" w:rsidRPr="002029AF" w14:paraId="6DBF9668" w14:textId="77777777" w:rsidTr="00130D1C">
        <w:tc>
          <w:tcPr>
            <w:tcW w:w="3512" w:type="dxa"/>
            <w:tcBorders>
              <w:top w:val="single" w:sz="4" w:space="0" w:color="A6A6A6"/>
              <w:bottom w:val="single" w:sz="4" w:space="0" w:color="A6A6A6"/>
            </w:tcBorders>
            <w:hideMark/>
          </w:tcPr>
          <w:p w14:paraId="21DCBE94" w14:textId="77777777" w:rsidR="00CE75D4" w:rsidRPr="002029AF" w:rsidRDefault="00CE75D4" w:rsidP="008340C1">
            <w:pPr>
              <w:pStyle w:val="ARfintablebody"/>
            </w:pPr>
            <w:r w:rsidRPr="00E333E5">
              <w:t>Plant, equipment and vehicles at fair value</w:t>
            </w:r>
          </w:p>
        </w:tc>
        <w:tc>
          <w:tcPr>
            <w:tcW w:w="1020" w:type="dxa"/>
            <w:tcBorders>
              <w:top w:val="single" w:sz="4" w:space="0" w:color="A6A6A6"/>
              <w:bottom w:val="single" w:sz="4" w:space="0" w:color="A6A6A6"/>
            </w:tcBorders>
            <w:shd w:val="clear" w:color="auto" w:fill="E7E6E6"/>
            <w:noWrap/>
            <w:hideMark/>
          </w:tcPr>
          <w:p w14:paraId="2C880A9C" w14:textId="77777777" w:rsidR="00CE75D4" w:rsidRPr="002029AF" w:rsidRDefault="00CE75D4" w:rsidP="008340C1">
            <w:pPr>
              <w:pStyle w:val="ARfintablebodyright"/>
            </w:pPr>
            <w:r w:rsidRPr="00E333E5">
              <w:t>37.0</w:t>
            </w:r>
          </w:p>
        </w:tc>
        <w:tc>
          <w:tcPr>
            <w:tcW w:w="1021" w:type="dxa"/>
            <w:tcBorders>
              <w:top w:val="single" w:sz="4" w:space="0" w:color="A6A6A6"/>
              <w:bottom w:val="single" w:sz="4" w:space="0" w:color="A6A6A6"/>
            </w:tcBorders>
            <w:noWrap/>
            <w:hideMark/>
          </w:tcPr>
          <w:p w14:paraId="7A0BCA26" w14:textId="77777777" w:rsidR="00CE75D4" w:rsidRPr="002029AF" w:rsidRDefault="00CE75D4" w:rsidP="008340C1">
            <w:pPr>
              <w:pStyle w:val="ARfintablebodyright"/>
            </w:pPr>
            <w:r w:rsidRPr="00E333E5">
              <w:t>39.2</w:t>
            </w:r>
          </w:p>
        </w:tc>
        <w:tc>
          <w:tcPr>
            <w:tcW w:w="1021" w:type="dxa"/>
            <w:tcBorders>
              <w:top w:val="single" w:sz="4" w:space="0" w:color="A6A6A6"/>
              <w:bottom w:val="single" w:sz="4" w:space="0" w:color="A6A6A6"/>
            </w:tcBorders>
            <w:shd w:val="clear" w:color="auto" w:fill="E7E6E6"/>
            <w:noWrap/>
            <w:hideMark/>
          </w:tcPr>
          <w:p w14:paraId="31571EF3" w14:textId="77777777" w:rsidR="00CE75D4" w:rsidRPr="002029AF" w:rsidRDefault="00CE75D4" w:rsidP="008340C1">
            <w:pPr>
              <w:pStyle w:val="ARfintablebodyright"/>
            </w:pPr>
            <w:r w:rsidRPr="00E333E5">
              <w:t>(32.8)</w:t>
            </w:r>
          </w:p>
        </w:tc>
        <w:tc>
          <w:tcPr>
            <w:tcW w:w="1021" w:type="dxa"/>
            <w:tcBorders>
              <w:top w:val="single" w:sz="4" w:space="0" w:color="A6A6A6"/>
              <w:bottom w:val="single" w:sz="4" w:space="0" w:color="A6A6A6"/>
            </w:tcBorders>
            <w:noWrap/>
            <w:hideMark/>
          </w:tcPr>
          <w:p w14:paraId="764B0F97" w14:textId="77777777" w:rsidR="00CE75D4" w:rsidRPr="002029AF" w:rsidRDefault="00CE75D4" w:rsidP="008340C1">
            <w:pPr>
              <w:pStyle w:val="ARfintablebodyright"/>
            </w:pPr>
            <w:r w:rsidRPr="00E333E5">
              <w:t>(32.9)</w:t>
            </w:r>
          </w:p>
        </w:tc>
        <w:tc>
          <w:tcPr>
            <w:tcW w:w="1021" w:type="dxa"/>
            <w:tcBorders>
              <w:top w:val="single" w:sz="4" w:space="0" w:color="A6A6A6"/>
              <w:bottom w:val="single" w:sz="4" w:space="0" w:color="A6A6A6"/>
            </w:tcBorders>
            <w:shd w:val="clear" w:color="auto" w:fill="E7E6E6"/>
            <w:noWrap/>
            <w:hideMark/>
          </w:tcPr>
          <w:p w14:paraId="38A2005A" w14:textId="77777777" w:rsidR="00CE75D4" w:rsidRPr="002029AF" w:rsidRDefault="00CE75D4" w:rsidP="008340C1">
            <w:pPr>
              <w:pStyle w:val="ARfintablebodyright"/>
            </w:pPr>
            <w:r w:rsidRPr="00E333E5">
              <w:t>4.2</w:t>
            </w:r>
          </w:p>
        </w:tc>
        <w:tc>
          <w:tcPr>
            <w:tcW w:w="1021" w:type="dxa"/>
            <w:tcBorders>
              <w:top w:val="single" w:sz="4" w:space="0" w:color="A6A6A6"/>
              <w:bottom w:val="single" w:sz="4" w:space="0" w:color="A6A6A6"/>
            </w:tcBorders>
            <w:noWrap/>
            <w:hideMark/>
          </w:tcPr>
          <w:p w14:paraId="39F45722" w14:textId="77777777" w:rsidR="00CE75D4" w:rsidRPr="002029AF" w:rsidRDefault="00CE75D4" w:rsidP="008340C1">
            <w:pPr>
              <w:pStyle w:val="ARfintablebodyright"/>
            </w:pPr>
            <w:r w:rsidRPr="00E333E5">
              <w:t>6.3</w:t>
            </w:r>
          </w:p>
        </w:tc>
      </w:tr>
      <w:tr w:rsidR="00CE75D4" w:rsidRPr="002029AF" w14:paraId="47641187" w14:textId="77777777" w:rsidTr="00130D1C">
        <w:tc>
          <w:tcPr>
            <w:tcW w:w="3512" w:type="dxa"/>
            <w:tcBorders>
              <w:top w:val="single" w:sz="4" w:space="0" w:color="A6A6A6"/>
              <w:bottom w:val="single" w:sz="4" w:space="0" w:color="A6A6A6"/>
            </w:tcBorders>
            <w:hideMark/>
          </w:tcPr>
          <w:p w14:paraId="69F9F290" w14:textId="77777777" w:rsidR="00CE75D4" w:rsidRPr="002029AF" w:rsidRDefault="00CE75D4" w:rsidP="008340C1">
            <w:pPr>
              <w:pStyle w:val="ARfintablebody"/>
            </w:pPr>
            <w:r w:rsidRPr="00E333E5">
              <w:t>Motor vehicles at fair value</w:t>
            </w:r>
          </w:p>
        </w:tc>
        <w:tc>
          <w:tcPr>
            <w:tcW w:w="1020" w:type="dxa"/>
            <w:tcBorders>
              <w:top w:val="single" w:sz="4" w:space="0" w:color="A6A6A6"/>
              <w:bottom w:val="single" w:sz="4" w:space="0" w:color="A6A6A6"/>
            </w:tcBorders>
            <w:shd w:val="clear" w:color="auto" w:fill="E7E6E6"/>
            <w:noWrap/>
            <w:hideMark/>
          </w:tcPr>
          <w:p w14:paraId="34DB75F9" w14:textId="77777777" w:rsidR="00CE75D4" w:rsidRPr="002029AF" w:rsidRDefault="00CE75D4" w:rsidP="008340C1">
            <w:pPr>
              <w:pStyle w:val="ARfintablebodyright"/>
            </w:pPr>
            <w:r w:rsidRPr="00E333E5">
              <w:t>3.3</w:t>
            </w:r>
          </w:p>
        </w:tc>
        <w:tc>
          <w:tcPr>
            <w:tcW w:w="1021" w:type="dxa"/>
            <w:tcBorders>
              <w:top w:val="single" w:sz="4" w:space="0" w:color="A6A6A6"/>
              <w:bottom w:val="single" w:sz="4" w:space="0" w:color="A6A6A6"/>
            </w:tcBorders>
            <w:noWrap/>
            <w:hideMark/>
          </w:tcPr>
          <w:p w14:paraId="6249AE5E" w14:textId="77777777" w:rsidR="00CE75D4" w:rsidRPr="002029AF" w:rsidRDefault="00CE75D4" w:rsidP="008340C1">
            <w:pPr>
              <w:pStyle w:val="ARfintablebodyright"/>
            </w:pPr>
            <w:r w:rsidRPr="00E333E5">
              <w:t>28.2</w:t>
            </w:r>
          </w:p>
        </w:tc>
        <w:tc>
          <w:tcPr>
            <w:tcW w:w="1021" w:type="dxa"/>
            <w:tcBorders>
              <w:top w:val="single" w:sz="4" w:space="0" w:color="A6A6A6"/>
              <w:bottom w:val="single" w:sz="4" w:space="0" w:color="A6A6A6"/>
            </w:tcBorders>
            <w:shd w:val="clear" w:color="auto" w:fill="E7E6E6"/>
            <w:noWrap/>
            <w:hideMark/>
          </w:tcPr>
          <w:p w14:paraId="3FB32EFB" w14:textId="77777777" w:rsidR="00CE75D4" w:rsidRPr="002029AF" w:rsidRDefault="00CE75D4" w:rsidP="008340C1">
            <w:pPr>
              <w:pStyle w:val="ARfintablebodyright"/>
            </w:pPr>
            <w:r w:rsidRPr="00E333E5">
              <w:t>(1.5)</w:t>
            </w:r>
          </w:p>
        </w:tc>
        <w:tc>
          <w:tcPr>
            <w:tcW w:w="1021" w:type="dxa"/>
            <w:tcBorders>
              <w:top w:val="single" w:sz="4" w:space="0" w:color="A6A6A6"/>
              <w:bottom w:val="single" w:sz="4" w:space="0" w:color="A6A6A6"/>
            </w:tcBorders>
            <w:noWrap/>
            <w:hideMark/>
          </w:tcPr>
          <w:p w14:paraId="581E1D10" w14:textId="77777777" w:rsidR="00CE75D4" w:rsidRPr="002029AF" w:rsidRDefault="00CE75D4" w:rsidP="008340C1">
            <w:pPr>
              <w:pStyle w:val="ARfintablebodyright"/>
            </w:pPr>
            <w:r w:rsidRPr="00E333E5">
              <w:t>(1.7)</w:t>
            </w:r>
          </w:p>
        </w:tc>
        <w:tc>
          <w:tcPr>
            <w:tcW w:w="1021" w:type="dxa"/>
            <w:tcBorders>
              <w:top w:val="single" w:sz="4" w:space="0" w:color="A6A6A6"/>
              <w:bottom w:val="single" w:sz="4" w:space="0" w:color="A6A6A6"/>
            </w:tcBorders>
            <w:shd w:val="clear" w:color="auto" w:fill="E7E6E6"/>
            <w:noWrap/>
            <w:hideMark/>
          </w:tcPr>
          <w:p w14:paraId="164DCC67" w14:textId="77777777" w:rsidR="00CE75D4" w:rsidRPr="002029AF" w:rsidRDefault="00CE75D4" w:rsidP="008340C1">
            <w:pPr>
              <w:pStyle w:val="ARfintablebodyright"/>
            </w:pPr>
            <w:r w:rsidRPr="00E333E5">
              <w:t>1.8</w:t>
            </w:r>
          </w:p>
        </w:tc>
        <w:tc>
          <w:tcPr>
            <w:tcW w:w="1021" w:type="dxa"/>
            <w:tcBorders>
              <w:top w:val="single" w:sz="4" w:space="0" w:color="A6A6A6"/>
              <w:bottom w:val="single" w:sz="4" w:space="0" w:color="A6A6A6"/>
            </w:tcBorders>
            <w:noWrap/>
            <w:hideMark/>
          </w:tcPr>
          <w:p w14:paraId="41A739E0" w14:textId="77777777" w:rsidR="00CE75D4" w:rsidRPr="002029AF" w:rsidRDefault="00CE75D4" w:rsidP="008340C1">
            <w:pPr>
              <w:pStyle w:val="ARfintablebodyright"/>
            </w:pPr>
            <w:r w:rsidRPr="00E333E5">
              <w:t>26.5</w:t>
            </w:r>
          </w:p>
        </w:tc>
      </w:tr>
      <w:tr w:rsidR="00CE75D4" w:rsidRPr="002029AF" w14:paraId="04335E84" w14:textId="77777777" w:rsidTr="00130D1C">
        <w:tc>
          <w:tcPr>
            <w:tcW w:w="3512" w:type="dxa"/>
            <w:tcBorders>
              <w:top w:val="single" w:sz="4" w:space="0" w:color="A6A6A6"/>
            </w:tcBorders>
            <w:hideMark/>
          </w:tcPr>
          <w:p w14:paraId="65014900" w14:textId="77777777" w:rsidR="00CE75D4" w:rsidRPr="002029AF" w:rsidRDefault="00CE75D4" w:rsidP="008340C1">
            <w:pPr>
              <w:pStyle w:val="ARfintablebody"/>
            </w:pPr>
            <w:r w:rsidRPr="00E333E5">
              <w:t>Assets under construction at cost</w:t>
            </w:r>
          </w:p>
        </w:tc>
        <w:tc>
          <w:tcPr>
            <w:tcW w:w="1020" w:type="dxa"/>
            <w:tcBorders>
              <w:top w:val="single" w:sz="4" w:space="0" w:color="A6A6A6"/>
            </w:tcBorders>
            <w:shd w:val="clear" w:color="auto" w:fill="E7E6E6"/>
            <w:noWrap/>
            <w:hideMark/>
          </w:tcPr>
          <w:p w14:paraId="7D5A607C" w14:textId="77777777" w:rsidR="00CE75D4" w:rsidRPr="002029AF" w:rsidRDefault="00CE75D4" w:rsidP="008340C1">
            <w:pPr>
              <w:pStyle w:val="ARfintablebodyright"/>
            </w:pPr>
            <w:r w:rsidRPr="00E333E5">
              <w:t>582.1</w:t>
            </w:r>
          </w:p>
        </w:tc>
        <w:tc>
          <w:tcPr>
            <w:tcW w:w="1021" w:type="dxa"/>
            <w:tcBorders>
              <w:top w:val="single" w:sz="4" w:space="0" w:color="A6A6A6"/>
            </w:tcBorders>
            <w:noWrap/>
            <w:hideMark/>
          </w:tcPr>
          <w:p w14:paraId="0F346CEF" w14:textId="77777777" w:rsidR="00CE75D4" w:rsidRPr="002029AF" w:rsidRDefault="00CE75D4" w:rsidP="008340C1">
            <w:pPr>
              <w:pStyle w:val="ARfintablebodyright"/>
            </w:pPr>
            <w:r w:rsidRPr="00E333E5">
              <w:t>906.0</w:t>
            </w:r>
          </w:p>
        </w:tc>
        <w:tc>
          <w:tcPr>
            <w:tcW w:w="1021" w:type="dxa"/>
            <w:tcBorders>
              <w:top w:val="single" w:sz="4" w:space="0" w:color="A6A6A6"/>
            </w:tcBorders>
            <w:shd w:val="clear" w:color="auto" w:fill="E7E6E6"/>
            <w:noWrap/>
            <w:hideMark/>
          </w:tcPr>
          <w:p w14:paraId="6943D846" w14:textId="77777777" w:rsidR="00CE75D4" w:rsidRPr="002029AF" w:rsidRDefault="00CE75D4" w:rsidP="008340C1">
            <w:pPr>
              <w:pStyle w:val="ARfintablebodyright"/>
            </w:pPr>
            <w:r>
              <w:t>–</w:t>
            </w:r>
          </w:p>
        </w:tc>
        <w:tc>
          <w:tcPr>
            <w:tcW w:w="1021" w:type="dxa"/>
            <w:tcBorders>
              <w:top w:val="single" w:sz="4" w:space="0" w:color="A6A6A6"/>
            </w:tcBorders>
            <w:noWrap/>
            <w:hideMark/>
          </w:tcPr>
          <w:p w14:paraId="6ACCF242" w14:textId="77777777" w:rsidR="00CE75D4" w:rsidRPr="002029AF" w:rsidRDefault="00CE75D4" w:rsidP="008340C1">
            <w:pPr>
              <w:pStyle w:val="ARfintablebodyright"/>
            </w:pPr>
            <w:r>
              <w:t>–</w:t>
            </w:r>
          </w:p>
        </w:tc>
        <w:tc>
          <w:tcPr>
            <w:tcW w:w="1021" w:type="dxa"/>
            <w:tcBorders>
              <w:top w:val="single" w:sz="4" w:space="0" w:color="A6A6A6"/>
            </w:tcBorders>
            <w:shd w:val="clear" w:color="auto" w:fill="E7E6E6"/>
            <w:noWrap/>
            <w:hideMark/>
          </w:tcPr>
          <w:p w14:paraId="5376BF58" w14:textId="77777777" w:rsidR="00CE75D4" w:rsidRPr="002029AF" w:rsidRDefault="00CE75D4" w:rsidP="008340C1">
            <w:pPr>
              <w:pStyle w:val="ARfintablebodyright"/>
            </w:pPr>
            <w:r w:rsidRPr="00E333E5">
              <w:t>582.1</w:t>
            </w:r>
          </w:p>
        </w:tc>
        <w:tc>
          <w:tcPr>
            <w:tcW w:w="1021" w:type="dxa"/>
            <w:tcBorders>
              <w:top w:val="single" w:sz="4" w:space="0" w:color="A6A6A6"/>
            </w:tcBorders>
            <w:noWrap/>
            <w:hideMark/>
          </w:tcPr>
          <w:p w14:paraId="0D976611" w14:textId="77777777" w:rsidR="00CE75D4" w:rsidRPr="002029AF" w:rsidRDefault="00CE75D4" w:rsidP="008340C1">
            <w:pPr>
              <w:pStyle w:val="ARfintablebodyright"/>
            </w:pPr>
            <w:r w:rsidRPr="00E333E5">
              <w:t>906.0</w:t>
            </w:r>
          </w:p>
        </w:tc>
      </w:tr>
      <w:tr w:rsidR="00CE75D4" w:rsidRPr="002029AF" w14:paraId="7D887AF6" w14:textId="77777777" w:rsidTr="00130D1C">
        <w:tc>
          <w:tcPr>
            <w:tcW w:w="3512" w:type="dxa"/>
            <w:hideMark/>
          </w:tcPr>
          <w:p w14:paraId="41BD943E" w14:textId="77777777" w:rsidR="00CE75D4" w:rsidRPr="002029AF" w:rsidRDefault="00CE75D4" w:rsidP="008340C1">
            <w:pPr>
              <w:pStyle w:val="ARfintablebodybold"/>
            </w:pPr>
            <w:r w:rsidRPr="00E333E5">
              <w:t>Net carrying amount</w:t>
            </w:r>
          </w:p>
        </w:tc>
        <w:tc>
          <w:tcPr>
            <w:tcW w:w="1020" w:type="dxa"/>
            <w:shd w:val="clear" w:color="auto" w:fill="E7E6E6"/>
            <w:noWrap/>
            <w:hideMark/>
          </w:tcPr>
          <w:p w14:paraId="20ECE165" w14:textId="77777777" w:rsidR="00CE75D4" w:rsidRPr="002029AF" w:rsidRDefault="00CE75D4" w:rsidP="008340C1">
            <w:pPr>
              <w:pStyle w:val="ARfintablebodyrightbold"/>
            </w:pPr>
            <w:r w:rsidRPr="00E333E5">
              <w:t>1,887.3</w:t>
            </w:r>
          </w:p>
        </w:tc>
        <w:tc>
          <w:tcPr>
            <w:tcW w:w="1021" w:type="dxa"/>
            <w:noWrap/>
            <w:hideMark/>
          </w:tcPr>
          <w:p w14:paraId="3A8FB57C" w14:textId="77777777" w:rsidR="00CE75D4" w:rsidRPr="002029AF" w:rsidRDefault="00CE75D4" w:rsidP="008340C1">
            <w:pPr>
              <w:pStyle w:val="ARfintablebodyrightbold"/>
            </w:pPr>
            <w:r w:rsidRPr="00E333E5">
              <w:t>34,007.1</w:t>
            </w:r>
          </w:p>
        </w:tc>
        <w:tc>
          <w:tcPr>
            <w:tcW w:w="1021" w:type="dxa"/>
            <w:shd w:val="clear" w:color="auto" w:fill="E7E6E6"/>
            <w:noWrap/>
            <w:hideMark/>
          </w:tcPr>
          <w:p w14:paraId="36322F10" w14:textId="77777777" w:rsidR="00CE75D4" w:rsidRPr="002029AF" w:rsidRDefault="00CE75D4" w:rsidP="008340C1">
            <w:pPr>
              <w:pStyle w:val="ARfintablebodyrightbold"/>
            </w:pPr>
            <w:r w:rsidRPr="00E333E5">
              <w:t>(129.2)</w:t>
            </w:r>
          </w:p>
        </w:tc>
        <w:tc>
          <w:tcPr>
            <w:tcW w:w="1021" w:type="dxa"/>
            <w:noWrap/>
            <w:hideMark/>
          </w:tcPr>
          <w:p w14:paraId="3E444A8F" w14:textId="77777777" w:rsidR="00CE75D4" w:rsidRPr="002029AF" w:rsidRDefault="00CE75D4" w:rsidP="008340C1">
            <w:pPr>
              <w:pStyle w:val="ARfintablebodyrightbold"/>
            </w:pPr>
            <w:r w:rsidRPr="00E333E5">
              <w:t>(242.6)</w:t>
            </w:r>
          </w:p>
        </w:tc>
        <w:tc>
          <w:tcPr>
            <w:tcW w:w="1021" w:type="dxa"/>
            <w:shd w:val="clear" w:color="auto" w:fill="E7E6E6"/>
            <w:noWrap/>
            <w:hideMark/>
          </w:tcPr>
          <w:p w14:paraId="5CED304E" w14:textId="77777777" w:rsidR="00CE75D4" w:rsidRPr="002029AF" w:rsidRDefault="00CE75D4" w:rsidP="008340C1">
            <w:pPr>
              <w:pStyle w:val="ARfintablebodyrightbold"/>
            </w:pPr>
            <w:r w:rsidRPr="00E333E5">
              <w:t>1,758.1</w:t>
            </w:r>
          </w:p>
        </w:tc>
        <w:tc>
          <w:tcPr>
            <w:tcW w:w="1021" w:type="dxa"/>
            <w:noWrap/>
            <w:hideMark/>
          </w:tcPr>
          <w:p w14:paraId="126310CE" w14:textId="77777777" w:rsidR="00CE75D4" w:rsidRPr="002029AF" w:rsidRDefault="00CE75D4" w:rsidP="008340C1">
            <w:pPr>
              <w:pStyle w:val="ARfintablebodyrightbold"/>
            </w:pPr>
            <w:r w:rsidRPr="00E333E5">
              <w:t>33,764.5</w:t>
            </w:r>
          </w:p>
        </w:tc>
      </w:tr>
    </w:tbl>
    <w:p w14:paraId="77E21E2F" w14:textId="77777777" w:rsidR="00CE75D4" w:rsidRDefault="00CE75D4" w:rsidP="008340C1">
      <w:pPr>
        <w:pStyle w:val="ARfintablefootnote"/>
      </w:pPr>
      <w:r w:rsidRPr="00447BC3">
        <w:rPr>
          <w:lang w:eastAsia="en-AU"/>
        </w:rPr>
        <w:t>Note:</w:t>
      </w:r>
    </w:p>
    <w:p w14:paraId="38ACE3CA" w14:textId="77777777" w:rsidR="00CE75D4" w:rsidRDefault="00CE75D4" w:rsidP="008340C1">
      <w:pPr>
        <w:pStyle w:val="ARfintablefootnoteindent"/>
      </w:pPr>
      <w:r w:rsidRPr="00447BC3">
        <w:t>(i)</w:t>
      </w:r>
      <w:r>
        <w:tab/>
      </w:r>
      <w:r w:rsidRPr="00447BC3">
        <w:t>2021 numbers include the 30 June 2021 closing balances of the DFFH, the Victorian Disability Worker Commission and the Director of Housing.</w:t>
      </w:r>
      <w:r>
        <w:t xml:space="preserve"> </w:t>
      </w:r>
      <w:r w:rsidRPr="00E918D2">
        <w:t>Refer to Note 5.1.2. The transactions which relate to these entities are reported in the DFFH</w:t>
      </w:r>
      <w:r>
        <w:t>’</w:t>
      </w:r>
      <w:r w:rsidRPr="00E918D2">
        <w:t>s 2021</w:t>
      </w:r>
      <w:r>
        <w:t>–</w:t>
      </w:r>
      <w:r w:rsidRPr="00E918D2">
        <w:t>22 financial statements.</w:t>
      </w:r>
    </w:p>
    <w:p w14:paraId="5BAB99D1" w14:textId="77777777" w:rsidR="00CE75D4" w:rsidRDefault="00CE75D4" w:rsidP="008340C1">
      <w:pPr>
        <w:pStyle w:val="Heading5"/>
      </w:pPr>
      <w:r w:rsidRPr="00447BC3">
        <w:rPr>
          <w:lang w:eastAsia="en-AU"/>
        </w:rPr>
        <w:t xml:space="preserve">5.1(a) Total right-of-use assets </w:t>
      </w:r>
      <w:r w:rsidRPr="00DC2CAC">
        <w:rPr>
          <w:rStyle w:val="Superscript"/>
          <w:rFonts w:eastAsiaTheme="minorEastAsia"/>
        </w:rPr>
        <w:t>(i)</w:t>
      </w:r>
    </w:p>
    <w:tbl>
      <w:tblPr>
        <w:tblStyle w:val="TableGrid"/>
        <w:tblW w:w="9628" w:type="dxa"/>
        <w:tblLayout w:type="fixed"/>
        <w:tblLook w:val="06A0" w:firstRow="1" w:lastRow="0" w:firstColumn="1" w:lastColumn="0" w:noHBand="1" w:noVBand="1"/>
      </w:tblPr>
      <w:tblGrid>
        <w:gridCol w:w="3508"/>
        <w:gridCol w:w="1020"/>
        <w:gridCol w:w="1020"/>
        <w:gridCol w:w="1020"/>
        <w:gridCol w:w="1020"/>
        <w:gridCol w:w="1020"/>
        <w:gridCol w:w="1020"/>
      </w:tblGrid>
      <w:tr w:rsidR="00CE75D4" w:rsidRPr="002029AF" w14:paraId="64726F48"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3508" w:type="dxa"/>
            <w:vMerge w:val="restart"/>
            <w:noWrap/>
            <w:hideMark/>
          </w:tcPr>
          <w:p w14:paraId="6138D42B" w14:textId="77777777" w:rsidR="00CE75D4" w:rsidRPr="002029AF" w:rsidRDefault="00CE75D4" w:rsidP="00860E95">
            <w:pPr>
              <w:pStyle w:val="ARfintablecolhead"/>
            </w:pPr>
          </w:p>
        </w:tc>
        <w:tc>
          <w:tcPr>
            <w:tcW w:w="2040" w:type="dxa"/>
            <w:gridSpan w:val="2"/>
          </w:tcPr>
          <w:p w14:paraId="5C306F61" w14:textId="77777777" w:rsidR="00CE75D4" w:rsidRPr="002029AF" w:rsidRDefault="00CE75D4" w:rsidP="00130D1C">
            <w:pPr>
              <w:pStyle w:val="ARfintablecolheadcentre"/>
            </w:pPr>
            <w:r w:rsidRPr="002029AF">
              <w:t>Gross carrying amount</w:t>
            </w:r>
          </w:p>
        </w:tc>
        <w:tc>
          <w:tcPr>
            <w:tcW w:w="2040" w:type="dxa"/>
            <w:gridSpan w:val="2"/>
          </w:tcPr>
          <w:p w14:paraId="492DBC72" w14:textId="77777777" w:rsidR="00CE75D4" w:rsidRPr="002029AF" w:rsidRDefault="00CE75D4" w:rsidP="00130D1C">
            <w:pPr>
              <w:pStyle w:val="ARfintablecolheadcentre"/>
            </w:pPr>
            <w:r w:rsidRPr="002029AF">
              <w:t>Accumulated depreciation</w:t>
            </w:r>
          </w:p>
        </w:tc>
        <w:tc>
          <w:tcPr>
            <w:tcW w:w="2040" w:type="dxa"/>
            <w:gridSpan w:val="2"/>
          </w:tcPr>
          <w:p w14:paraId="7AA343F1" w14:textId="77777777" w:rsidR="00CE75D4" w:rsidRPr="002029AF" w:rsidRDefault="00CE75D4" w:rsidP="00130D1C">
            <w:pPr>
              <w:pStyle w:val="ARfintablecolheadcentre"/>
            </w:pPr>
            <w:r w:rsidRPr="002029AF">
              <w:t xml:space="preserve">Net carrying </w:t>
            </w:r>
            <w:r w:rsidRPr="002029AF">
              <w:br/>
              <w:t>amount</w:t>
            </w:r>
          </w:p>
        </w:tc>
      </w:tr>
      <w:tr w:rsidR="00CE75D4" w:rsidRPr="002029AF" w14:paraId="777B9106"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3508" w:type="dxa"/>
            <w:vMerge/>
            <w:tcBorders>
              <w:bottom w:val="single" w:sz="4" w:space="0" w:color="auto"/>
            </w:tcBorders>
            <w:hideMark/>
          </w:tcPr>
          <w:p w14:paraId="15240B3B" w14:textId="77777777" w:rsidR="00CE75D4" w:rsidRPr="002029AF" w:rsidRDefault="00CE75D4" w:rsidP="008340C1">
            <w:pPr>
              <w:pStyle w:val="ARfintablecolhead"/>
            </w:pPr>
          </w:p>
        </w:tc>
        <w:tc>
          <w:tcPr>
            <w:tcW w:w="1020" w:type="dxa"/>
            <w:tcBorders>
              <w:bottom w:val="single" w:sz="4" w:space="0" w:color="auto"/>
            </w:tcBorders>
            <w:shd w:val="clear" w:color="auto" w:fill="E7E6E6"/>
          </w:tcPr>
          <w:p w14:paraId="22CF8365" w14:textId="77777777" w:rsidR="00CE75D4" w:rsidRPr="002029AF" w:rsidRDefault="00CE75D4" w:rsidP="008340C1">
            <w:pPr>
              <w:pStyle w:val="ARfintablecolheadright"/>
            </w:pPr>
            <w:r w:rsidRPr="002029AF">
              <w:t>202</w:t>
            </w:r>
            <w:r>
              <w:t>2</w:t>
            </w:r>
          </w:p>
          <w:p w14:paraId="0DF06C92" w14:textId="77777777" w:rsidR="00CE75D4" w:rsidRPr="002029AF" w:rsidRDefault="00CE75D4" w:rsidP="008340C1">
            <w:pPr>
              <w:pStyle w:val="ARfintablecolheadright"/>
            </w:pPr>
            <w:r w:rsidRPr="002029AF">
              <w:t>$M</w:t>
            </w:r>
          </w:p>
        </w:tc>
        <w:tc>
          <w:tcPr>
            <w:tcW w:w="1020" w:type="dxa"/>
            <w:tcBorders>
              <w:bottom w:val="single" w:sz="4" w:space="0" w:color="auto"/>
            </w:tcBorders>
            <w:hideMark/>
          </w:tcPr>
          <w:p w14:paraId="5B81DD54" w14:textId="77777777" w:rsidR="00CE75D4" w:rsidRPr="002029AF" w:rsidRDefault="00CE75D4" w:rsidP="008340C1">
            <w:pPr>
              <w:pStyle w:val="ARfintablecolheadright"/>
            </w:pPr>
            <w:r>
              <w:t>2021</w:t>
            </w:r>
          </w:p>
          <w:p w14:paraId="2014B383" w14:textId="77777777" w:rsidR="00CE75D4" w:rsidRPr="002029AF" w:rsidRDefault="00CE75D4" w:rsidP="008340C1">
            <w:pPr>
              <w:pStyle w:val="ARfintablecolheadright"/>
            </w:pPr>
            <w:r w:rsidRPr="002029AF">
              <w:t>$M</w:t>
            </w:r>
          </w:p>
        </w:tc>
        <w:tc>
          <w:tcPr>
            <w:tcW w:w="1020" w:type="dxa"/>
            <w:tcBorders>
              <w:bottom w:val="single" w:sz="4" w:space="0" w:color="auto"/>
            </w:tcBorders>
            <w:shd w:val="clear" w:color="auto" w:fill="E7E6E6"/>
          </w:tcPr>
          <w:p w14:paraId="553773D1" w14:textId="77777777" w:rsidR="00CE75D4" w:rsidRPr="002029AF" w:rsidRDefault="00CE75D4" w:rsidP="008340C1">
            <w:pPr>
              <w:pStyle w:val="ARfintablecolheadright"/>
            </w:pPr>
            <w:r w:rsidRPr="002029AF">
              <w:t>202</w:t>
            </w:r>
            <w:r>
              <w:t>2</w:t>
            </w:r>
          </w:p>
          <w:p w14:paraId="4B6300DA" w14:textId="77777777" w:rsidR="00CE75D4" w:rsidRPr="002029AF" w:rsidRDefault="00CE75D4" w:rsidP="008340C1">
            <w:pPr>
              <w:pStyle w:val="ARfintablecolheadright"/>
            </w:pPr>
            <w:r w:rsidRPr="002029AF">
              <w:t>$M</w:t>
            </w:r>
          </w:p>
        </w:tc>
        <w:tc>
          <w:tcPr>
            <w:tcW w:w="1020" w:type="dxa"/>
            <w:tcBorders>
              <w:bottom w:val="single" w:sz="4" w:space="0" w:color="auto"/>
            </w:tcBorders>
            <w:hideMark/>
          </w:tcPr>
          <w:p w14:paraId="30248290" w14:textId="77777777" w:rsidR="00CE75D4" w:rsidRPr="002029AF" w:rsidRDefault="00CE75D4" w:rsidP="008340C1">
            <w:pPr>
              <w:pStyle w:val="ARfintablecolheadright"/>
            </w:pPr>
            <w:r>
              <w:t>2021</w:t>
            </w:r>
          </w:p>
          <w:p w14:paraId="03B1A037" w14:textId="77777777" w:rsidR="00CE75D4" w:rsidRPr="002029AF" w:rsidRDefault="00CE75D4" w:rsidP="008340C1">
            <w:pPr>
              <w:pStyle w:val="ARfintablecolheadright"/>
            </w:pPr>
            <w:r w:rsidRPr="002029AF">
              <w:t>$M</w:t>
            </w:r>
          </w:p>
        </w:tc>
        <w:tc>
          <w:tcPr>
            <w:tcW w:w="1020" w:type="dxa"/>
            <w:tcBorders>
              <w:bottom w:val="single" w:sz="4" w:space="0" w:color="auto"/>
            </w:tcBorders>
            <w:shd w:val="clear" w:color="auto" w:fill="E7E6E6"/>
          </w:tcPr>
          <w:p w14:paraId="505BFF8C" w14:textId="77777777" w:rsidR="00CE75D4" w:rsidRPr="002029AF" w:rsidRDefault="00CE75D4" w:rsidP="008340C1">
            <w:pPr>
              <w:pStyle w:val="ARfintablecolheadright"/>
            </w:pPr>
            <w:r w:rsidRPr="002029AF">
              <w:t>202</w:t>
            </w:r>
            <w:r>
              <w:t>2</w:t>
            </w:r>
          </w:p>
          <w:p w14:paraId="74678615" w14:textId="77777777" w:rsidR="00CE75D4" w:rsidRPr="002029AF" w:rsidRDefault="00CE75D4" w:rsidP="008340C1">
            <w:pPr>
              <w:pStyle w:val="ARfintablecolheadright"/>
            </w:pPr>
            <w:r w:rsidRPr="002029AF">
              <w:t>$M</w:t>
            </w:r>
          </w:p>
        </w:tc>
        <w:tc>
          <w:tcPr>
            <w:tcW w:w="1020" w:type="dxa"/>
            <w:tcBorders>
              <w:bottom w:val="single" w:sz="4" w:space="0" w:color="auto"/>
            </w:tcBorders>
            <w:hideMark/>
          </w:tcPr>
          <w:p w14:paraId="428FC6DE" w14:textId="77777777" w:rsidR="00CE75D4" w:rsidRPr="002029AF" w:rsidRDefault="00CE75D4" w:rsidP="008340C1">
            <w:pPr>
              <w:pStyle w:val="ARfintablecolheadright"/>
            </w:pPr>
            <w:r>
              <w:t>2021</w:t>
            </w:r>
          </w:p>
          <w:p w14:paraId="20CD1A6D" w14:textId="77777777" w:rsidR="00CE75D4" w:rsidRPr="002029AF" w:rsidRDefault="00CE75D4" w:rsidP="008340C1">
            <w:pPr>
              <w:pStyle w:val="ARfintablecolheadright"/>
            </w:pPr>
            <w:r w:rsidRPr="002029AF">
              <w:t>$M</w:t>
            </w:r>
          </w:p>
        </w:tc>
      </w:tr>
      <w:tr w:rsidR="00CE75D4" w:rsidRPr="002029AF" w14:paraId="368E0D4C" w14:textId="77777777" w:rsidTr="00130D1C">
        <w:trPr>
          <w:cantSplit w:val="0"/>
          <w:trHeight w:val="255"/>
        </w:trPr>
        <w:tc>
          <w:tcPr>
            <w:tcW w:w="3508" w:type="dxa"/>
            <w:tcBorders>
              <w:top w:val="single" w:sz="4" w:space="0" w:color="auto"/>
              <w:bottom w:val="single" w:sz="4" w:space="0" w:color="A6A6A6"/>
            </w:tcBorders>
            <w:hideMark/>
          </w:tcPr>
          <w:p w14:paraId="5A7793AE" w14:textId="77777777" w:rsidR="00CE75D4" w:rsidRPr="002029AF" w:rsidRDefault="00CE75D4" w:rsidP="008340C1">
            <w:pPr>
              <w:pStyle w:val="ARfintablebody"/>
            </w:pPr>
            <w:r w:rsidRPr="00E801DC">
              <w:t>Land at fair value</w:t>
            </w:r>
          </w:p>
        </w:tc>
        <w:tc>
          <w:tcPr>
            <w:tcW w:w="1020" w:type="dxa"/>
            <w:tcBorders>
              <w:top w:val="single" w:sz="4" w:space="0" w:color="auto"/>
              <w:bottom w:val="single" w:sz="4" w:space="0" w:color="A6A6A6"/>
            </w:tcBorders>
            <w:shd w:val="clear" w:color="auto" w:fill="E7E6E6"/>
          </w:tcPr>
          <w:p w14:paraId="386967D5" w14:textId="77777777" w:rsidR="00CE75D4" w:rsidRPr="002029AF" w:rsidRDefault="00CE75D4" w:rsidP="008340C1">
            <w:pPr>
              <w:pStyle w:val="ARfintablebodyright"/>
            </w:pPr>
            <w:r>
              <w:t>–</w:t>
            </w:r>
          </w:p>
        </w:tc>
        <w:tc>
          <w:tcPr>
            <w:tcW w:w="1020" w:type="dxa"/>
            <w:tcBorders>
              <w:top w:val="single" w:sz="4" w:space="0" w:color="auto"/>
              <w:bottom w:val="single" w:sz="4" w:space="0" w:color="A6A6A6"/>
            </w:tcBorders>
            <w:noWrap/>
            <w:hideMark/>
          </w:tcPr>
          <w:p w14:paraId="3EC12641" w14:textId="77777777" w:rsidR="00CE75D4" w:rsidRPr="002029AF" w:rsidRDefault="00CE75D4" w:rsidP="008340C1">
            <w:pPr>
              <w:pStyle w:val="ARfintablebodyright"/>
            </w:pPr>
            <w:r w:rsidRPr="00E801DC">
              <w:t>10.6</w:t>
            </w:r>
          </w:p>
        </w:tc>
        <w:tc>
          <w:tcPr>
            <w:tcW w:w="1020" w:type="dxa"/>
            <w:tcBorders>
              <w:top w:val="single" w:sz="4" w:space="0" w:color="auto"/>
              <w:bottom w:val="single" w:sz="4" w:space="0" w:color="A6A6A6"/>
            </w:tcBorders>
            <w:shd w:val="clear" w:color="auto" w:fill="E7E6E6"/>
          </w:tcPr>
          <w:p w14:paraId="12E55738" w14:textId="77777777" w:rsidR="00CE75D4" w:rsidRPr="002029AF" w:rsidRDefault="00CE75D4" w:rsidP="008340C1">
            <w:pPr>
              <w:pStyle w:val="ARfintablebodyright"/>
            </w:pPr>
            <w:r>
              <w:t>–</w:t>
            </w:r>
          </w:p>
        </w:tc>
        <w:tc>
          <w:tcPr>
            <w:tcW w:w="1020" w:type="dxa"/>
            <w:tcBorders>
              <w:top w:val="single" w:sz="4" w:space="0" w:color="auto"/>
              <w:bottom w:val="single" w:sz="4" w:space="0" w:color="A6A6A6"/>
            </w:tcBorders>
            <w:noWrap/>
            <w:hideMark/>
          </w:tcPr>
          <w:p w14:paraId="034FBD63" w14:textId="77777777" w:rsidR="00CE75D4" w:rsidRPr="002029AF" w:rsidRDefault="00CE75D4" w:rsidP="008340C1">
            <w:pPr>
              <w:pStyle w:val="ARfintablebodyright"/>
            </w:pPr>
            <w:r w:rsidRPr="00E801DC">
              <w:t>(1.6)</w:t>
            </w:r>
          </w:p>
        </w:tc>
        <w:tc>
          <w:tcPr>
            <w:tcW w:w="1020" w:type="dxa"/>
            <w:tcBorders>
              <w:top w:val="single" w:sz="4" w:space="0" w:color="auto"/>
              <w:bottom w:val="single" w:sz="4" w:space="0" w:color="A6A6A6"/>
            </w:tcBorders>
            <w:shd w:val="clear" w:color="auto" w:fill="E7E6E6"/>
          </w:tcPr>
          <w:p w14:paraId="252141BA" w14:textId="77777777" w:rsidR="00CE75D4" w:rsidRPr="002029AF" w:rsidRDefault="00CE75D4" w:rsidP="008340C1">
            <w:pPr>
              <w:pStyle w:val="ARfintablebodyright"/>
            </w:pPr>
            <w:r>
              <w:t>–</w:t>
            </w:r>
          </w:p>
        </w:tc>
        <w:tc>
          <w:tcPr>
            <w:tcW w:w="1020" w:type="dxa"/>
            <w:tcBorders>
              <w:top w:val="single" w:sz="4" w:space="0" w:color="auto"/>
              <w:bottom w:val="single" w:sz="4" w:space="0" w:color="A6A6A6"/>
            </w:tcBorders>
            <w:noWrap/>
            <w:hideMark/>
          </w:tcPr>
          <w:p w14:paraId="07E35059" w14:textId="77777777" w:rsidR="00CE75D4" w:rsidRPr="002029AF" w:rsidRDefault="00CE75D4" w:rsidP="008340C1">
            <w:pPr>
              <w:pStyle w:val="ARfintablebodyright"/>
            </w:pPr>
            <w:r w:rsidRPr="00E801DC">
              <w:t>9.0</w:t>
            </w:r>
          </w:p>
        </w:tc>
      </w:tr>
      <w:tr w:rsidR="00CE75D4" w:rsidRPr="002029AF" w14:paraId="3B6F05A7" w14:textId="77777777" w:rsidTr="00130D1C">
        <w:trPr>
          <w:cantSplit w:val="0"/>
          <w:trHeight w:val="255"/>
        </w:trPr>
        <w:tc>
          <w:tcPr>
            <w:tcW w:w="3508" w:type="dxa"/>
            <w:tcBorders>
              <w:top w:val="single" w:sz="4" w:space="0" w:color="A6A6A6"/>
              <w:bottom w:val="single" w:sz="4" w:space="0" w:color="A6A6A6"/>
            </w:tcBorders>
            <w:hideMark/>
          </w:tcPr>
          <w:p w14:paraId="02A0E179" w14:textId="77777777" w:rsidR="00CE75D4" w:rsidRPr="002029AF" w:rsidRDefault="00CE75D4" w:rsidP="008340C1">
            <w:pPr>
              <w:pStyle w:val="ARfintablebody"/>
            </w:pPr>
            <w:r w:rsidRPr="00E801DC">
              <w:t>Buildings at fair value</w:t>
            </w:r>
          </w:p>
        </w:tc>
        <w:tc>
          <w:tcPr>
            <w:tcW w:w="1020" w:type="dxa"/>
            <w:tcBorders>
              <w:top w:val="single" w:sz="4" w:space="0" w:color="A6A6A6"/>
              <w:bottom w:val="single" w:sz="4" w:space="0" w:color="A6A6A6"/>
            </w:tcBorders>
            <w:shd w:val="clear" w:color="auto" w:fill="E7E6E6"/>
          </w:tcPr>
          <w:p w14:paraId="70F68FA8" w14:textId="77777777" w:rsidR="00CE75D4" w:rsidRPr="002029AF" w:rsidRDefault="00CE75D4" w:rsidP="008340C1">
            <w:pPr>
              <w:pStyle w:val="ARfintablebodyright"/>
            </w:pPr>
            <w:r w:rsidRPr="00E801DC">
              <w:t>12.5</w:t>
            </w:r>
          </w:p>
        </w:tc>
        <w:tc>
          <w:tcPr>
            <w:tcW w:w="1020" w:type="dxa"/>
            <w:tcBorders>
              <w:top w:val="single" w:sz="4" w:space="0" w:color="A6A6A6"/>
              <w:bottom w:val="single" w:sz="4" w:space="0" w:color="A6A6A6"/>
            </w:tcBorders>
            <w:noWrap/>
            <w:hideMark/>
          </w:tcPr>
          <w:p w14:paraId="3DF222C9" w14:textId="77777777" w:rsidR="00CE75D4" w:rsidRPr="002029AF" w:rsidRDefault="00CE75D4" w:rsidP="008340C1">
            <w:pPr>
              <w:pStyle w:val="ARfintablebodyright"/>
            </w:pPr>
            <w:r w:rsidRPr="00E801DC">
              <w:t>97.4</w:t>
            </w:r>
          </w:p>
        </w:tc>
        <w:tc>
          <w:tcPr>
            <w:tcW w:w="1020" w:type="dxa"/>
            <w:tcBorders>
              <w:top w:val="single" w:sz="4" w:space="0" w:color="A6A6A6"/>
              <w:bottom w:val="single" w:sz="4" w:space="0" w:color="A6A6A6"/>
            </w:tcBorders>
            <w:shd w:val="clear" w:color="auto" w:fill="E7E6E6"/>
          </w:tcPr>
          <w:p w14:paraId="0D2D4214" w14:textId="77777777" w:rsidR="00CE75D4" w:rsidRPr="002029AF" w:rsidRDefault="00CE75D4" w:rsidP="008340C1">
            <w:pPr>
              <w:pStyle w:val="ARfintablebodyright"/>
            </w:pPr>
            <w:r w:rsidRPr="00E801DC">
              <w:t>(4.8)</w:t>
            </w:r>
          </w:p>
        </w:tc>
        <w:tc>
          <w:tcPr>
            <w:tcW w:w="1020" w:type="dxa"/>
            <w:tcBorders>
              <w:top w:val="single" w:sz="4" w:space="0" w:color="A6A6A6"/>
              <w:bottom w:val="single" w:sz="4" w:space="0" w:color="A6A6A6"/>
            </w:tcBorders>
            <w:noWrap/>
            <w:hideMark/>
          </w:tcPr>
          <w:p w14:paraId="1C4CB091" w14:textId="77777777" w:rsidR="00CE75D4" w:rsidRPr="002029AF" w:rsidRDefault="00CE75D4" w:rsidP="008340C1">
            <w:pPr>
              <w:pStyle w:val="ARfintablebodyright"/>
            </w:pPr>
            <w:r w:rsidRPr="00E801DC">
              <w:t>(37.9)</w:t>
            </w:r>
          </w:p>
        </w:tc>
        <w:tc>
          <w:tcPr>
            <w:tcW w:w="1020" w:type="dxa"/>
            <w:tcBorders>
              <w:top w:val="single" w:sz="4" w:space="0" w:color="A6A6A6"/>
              <w:bottom w:val="single" w:sz="4" w:space="0" w:color="A6A6A6"/>
            </w:tcBorders>
            <w:shd w:val="clear" w:color="auto" w:fill="E7E6E6"/>
          </w:tcPr>
          <w:p w14:paraId="451E601A" w14:textId="77777777" w:rsidR="00CE75D4" w:rsidRPr="002029AF" w:rsidRDefault="00CE75D4" w:rsidP="008340C1">
            <w:pPr>
              <w:pStyle w:val="ARfintablebodyright"/>
            </w:pPr>
            <w:r w:rsidRPr="00E801DC">
              <w:t>7.7</w:t>
            </w:r>
          </w:p>
        </w:tc>
        <w:tc>
          <w:tcPr>
            <w:tcW w:w="1020" w:type="dxa"/>
            <w:tcBorders>
              <w:top w:val="single" w:sz="4" w:space="0" w:color="A6A6A6"/>
              <w:bottom w:val="single" w:sz="4" w:space="0" w:color="A6A6A6"/>
            </w:tcBorders>
            <w:noWrap/>
            <w:hideMark/>
          </w:tcPr>
          <w:p w14:paraId="39598C7A" w14:textId="77777777" w:rsidR="00CE75D4" w:rsidRPr="002029AF" w:rsidRDefault="00CE75D4" w:rsidP="008340C1">
            <w:pPr>
              <w:pStyle w:val="ARfintablebodyright"/>
            </w:pPr>
            <w:r w:rsidRPr="00E801DC">
              <w:t>59.5</w:t>
            </w:r>
          </w:p>
        </w:tc>
      </w:tr>
      <w:tr w:rsidR="00CE75D4" w:rsidRPr="002029AF" w14:paraId="4CD5F7FE" w14:textId="77777777" w:rsidTr="00130D1C">
        <w:trPr>
          <w:cantSplit w:val="0"/>
          <w:trHeight w:val="255"/>
        </w:trPr>
        <w:tc>
          <w:tcPr>
            <w:tcW w:w="3508" w:type="dxa"/>
            <w:tcBorders>
              <w:top w:val="single" w:sz="4" w:space="0" w:color="A6A6A6"/>
              <w:bottom w:val="single" w:sz="4" w:space="0" w:color="A6A6A6"/>
            </w:tcBorders>
            <w:hideMark/>
          </w:tcPr>
          <w:p w14:paraId="2D38AFA3" w14:textId="77777777" w:rsidR="00CE75D4" w:rsidRPr="002029AF" w:rsidRDefault="00CE75D4" w:rsidP="008340C1">
            <w:pPr>
              <w:pStyle w:val="ARfintablebody"/>
            </w:pPr>
            <w:r w:rsidRPr="00E801DC">
              <w:t>Plant and equipment at fair value</w:t>
            </w:r>
          </w:p>
        </w:tc>
        <w:tc>
          <w:tcPr>
            <w:tcW w:w="1020" w:type="dxa"/>
            <w:tcBorders>
              <w:top w:val="single" w:sz="4" w:space="0" w:color="A6A6A6"/>
              <w:bottom w:val="single" w:sz="4" w:space="0" w:color="A6A6A6"/>
            </w:tcBorders>
            <w:shd w:val="clear" w:color="auto" w:fill="E7E6E6"/>
          </w:tcPr>
          <w:p w14:paraId="72B6BD21" w14:textId="77777777" w:rsidR="00CE75D4" w:rsidRPr="002029AF" w:rsidRDefault="00CE75D4" w:rsidP="008340C1">
            <w:pPr>
              <w:pStyle w:val="ARfintablebodyright"/>
            </w:pPr>
            <w:r w:rsidRPr="00E801DC">
              <w:t>8.8</w:t>
            </w:r>
          </w:p>
        </w:tc>
        <w:tc>
          <w:tcPr>
            <w:tcW w:w="1020" w:type="dxa"/>
            <w:tcBorders>
              <w:top w:val="single" w:sz="4" w:space="0" w:color="A6A6A6"/>
              <w:bottom w:val="single" w:sz="4" w:space="0" w:color="A6A6A6"/>
            </w:tcBorders>
            <w:noWrap/>
            <w:hideMark/>
          </w:tcPr>
          <w:p w14:paraId="67828EAD" w14:textId="77777777" w:rsidR="00CE75D4" w:rsidRPr="002029AF" w:rsidRDefault="00CE75D4" w:rsidP="008340C1">
            <w:pPr>
              <w:pStyle w:val="ARfintablebodyright"/>
            </w:pPr>
            <w:r w:rsidRPr="00E801DC">
              <w:t>8.2</w:t>
            </w:r>
          </w:p>
        </w:tc>
        <w:tc>
          <w:tcPr>
            <w:tcW w:w="1020" w:type="dxa"/>
            <w:tcBorders>
              <w:top w:val="single" w:sz="4" w:space="0" w:color="A6A6A6"/>
              <w:bottom w:val="single" w:sz="4" w:space="0" w:color="A6A6A6"/>
            </w:tcBorders>
            <w:shd w:val="clear" w:color="auto" w:fill="E7E6E6"/>
          </w:tcPr>
          <w:p w14:paraId="16A86E13" w14:textId="77777777" w:rsidR="00CE75D4" w:rsidRPr="002029AF" w:rsidRDefault="00CE75D4" w:rsidP="008340C1">
            <w:pPr>
              <w:pStyle w:val="ARfintablebodyright"/>
            </w:pPr>
            <w:r w:rsidRPr="00E801DC">
              <w:t>(6.0)</w:t>
            </w:r>
          </w:p>
        </w:tc>
        <w:tc>
          <w:tcPr>
            <w:tcW w:w="1020" w:type="dxa"/>
            <w:tcBorders>
              <w:top w:val="single" w:sz="4" w:space="0" w:color="A6A6A6"/>
              <w:bottom w:val="single" w:sz="4" w:space="0" w:color="A6A6A6"/>
            </w:tcBorders>
            <w:noWrap/>
            <w:hideMark/>
          </w:tcPr>
          <w:p w14:paraId="56937F9B" w14:textId="77777777" w:rsidR="00CE75D4" w:rsidRPr="002029AF" w:rsidRDefault="00CE75D4" w:rsidP="008340C1">
            <w:pPr>
              <w:pStyle w:val="ARfintablebodyright"/>
            </w:pPr>
            <w:r w:rsidRPr="00E801DC">
              <w:t>(5.0)</w:t>
            </w:r>
          </w:p>
        </w:tc>
        <w:tc>
          <w:tcPr>
            <w:tcW w:w="1020" w:type="dxa"/>
            <w:tcBorders>
              <w:top w:val="single" w:sz="4" w:space="0" w:color="A6A6A6"/>
              <w:bottom w:val="single" w:sz="4" w:space="0" w:color="A6A6A6"/>
            </w:tcBorders>
            <w:shd w:val="clear" w:color="auto" w:fill="E7E6E6"/>
          </w:tcPr>
          <w:p w14:paraId="739339B1" w14:textId="77777777" w:rsidR="00CE75D4" w:rsidRPr="002029AF" w:rsidRDefault="00CE75D4" w:rsidP="008340C1">
            <w:pPr>
              <w:pStyle w:val="ARfintablebodyright"/>
            </w:pPr>
            <w:r w:rsidRPr="00E801DC">
              <w:t>2.8</w:t>
            </w:r>
          </w:p>
        </w:tc>
        <w:tc>
          <w:tcPr>
            <w:tcW w:w="1020" w:type="dxa"/>
            <w:tcBorders>
              <w:top w:val="single" w:sz="4" w:space="0" w:color="A6A6A6"/>
              <w:bottom w:val="single" w:sz="4" w:space="0" w:color="A6A6A6"/>
            </w:tcBorders>
            <w:noWrap/>
            <w:hideMark/>
          </w:tcPr>
          <w:p w14:paraId="72193A14" w14:textId="77777777" w:rsidR="00CE75D4" w:rsidRPr="002029AF" w:rsidRDefault="00CE75D4" w:rsidP="008340C1">
            <w:pPr>
              <w:pStyle w:val="ARfintablebodyright"/>
            </w:pPr>
            <w:r w:rsidRPr="00E801DC">
              <w:t>3.2</w:t>
            </w:r>
          </w:p>
        </w:tc>
      </w:tr>
      <w:tr w:rsidR="00CE75D4" w:rsidRPr="002029AF" w14:paraId="69CF7A8D" w14:textId="77777777" w:rsidTr="00130D1C">
        <w:trPr>
          <w:cantSplit w:val="0"/>
          <w:trHeight w:val="255"/>
        </w:trPr>
        <w:tc>
          <w:tcPr>
            <w:tcW w:w="3508" w:type="dxa"/>
            <w:tcBorders>
              <w:top w:val="single" w:sz="4" w:space="0" w:color="A6A6A6"/>
            </w:tcBorders>
            <w:hideMark/>
          </w:tcPr>
          <w:p w14:paraId="4797A650" w14:textId="77777777" w:rsidR="00CE75D4" w:rsidRPr="002029AF" w:rsidRDefault="00CE75D4" w:rsidP="008340C1">
            <w:pPr>
              <w:pStyle w:val="ARfintablebody"/>
            </w:pPr>
            <w:r w:rsidRPr="00E801DC">
              <w:t>Motor vehicles at fair value</w:t>
            </w:r>
          </w:p>
        </w:tc>
        <w:tc>
          <w:tcPr>
            <w:tcW w:w="1020" w:type="dxa"/>
            <w:tcBorders>
              <w:top w:val="single" w:sz="4" w:space="0" w:color="A6A6A6"/>
            </w:tcBorders>
            <w:shd w:val="clear" w:color="auto" w:fill="E7E6E6"/>
          </w:tcPr>
          <w:p w14:paraId="1FD41924" w14:textId="77777777" w:rsidR="00CE75D4" w:rsidRPr="002029AF" w:rsidRDefault="00CE75D4" w:rsidP="008340C1">
            <w:pPr>
              <w:pStyle w:val="ARfintablebodyright"/>
            </w:pPr>
            <w:r w:rsidRPr="00E801DC">
              <w:t>3.3</w:t>
            </w:r>
          </w:p>
        </w:tc>
        <w:tc>
          <w:tcPr>
            <w:tcW w:w="1020" w:type="dxa"/>
            <w:tcBorders>
              <w:top w:val="single" w:sz="4" w:space="0" w:color="A6A6A6"/>
            </w:tcBorders>
            <w:noWrap/>
            <w:hideMark/>
          </w:tcPr>
          <w:p w14:paraId="26D537E5" w14:textId="77777777" w:rsidR="00CE75D4" w:rsidRPr="002029AF" w:rsidRDefault="00CE75D4" w:rsidP="008340C1">
            <w:pPr>
              <w:pStyle w:val="ARfintablebodyright"/>
            </w:pPr>
            <w:r w:rsidRPr="00E801DC">
              <w:t>28.2</w:t>
            </w:r>
          </w:p>
        </w:tc>
        <w:tc>
          <w:tcPr>
            <w:tcW w:w="1020" w:type="dxa"/>
            <w:tcBorders>
              <w:top w:val="single" w:sz="4" w:space="0" w:color="A6A6A6"/>
            </w:tcBorders>
            <w:shd w:val="clear" w:color="auto" w:fill="E7E6E6"/>
          </w:tcPr>
          <w:p w14:paraId="5CCE2069" w14:textId="77777777" w:rsidR="00CE75D4" w:rsidRPr="002029AF" w:rsidRDefault="00CE75D4" w:rsidP="008340C1">
            <w:pPr>
              <w:pStyle w:val="ARfintablebodyright"/>
            </w:pPr>
            <w:r w:rsidRPr="00E801DC">
              <w:t>(1.5)</w:t>
            </w:r>
          </w:p>
        </w:tc>
        <w:tc>
          <w:tcPr>
            <w:tcW w:w="1020" w:type="dxa"/>
            <w:tcBorders>
              <w:top w:val="single" w:sz="4" w:space="0" w:color="A6A6A6"/>
            </w:tcBorders>
            <w:noWrap/>
            <w:hideMark/>
          </w:tcPr>
          <w:p w14:paraId="6ABE3C46" w14:textId="77777777" w:rsidR="00CE75D4" w:rsidRPr="002029AF" w:rsidRDefault="00CE75D4" w:rsidP="008340C1">
            <w:pPr>
              <w:pStyle w:val="ARfintablebodyright"/>
            </w:pPr>
            <w:r w:rsidRPr="00E801DC">
              <w:t>(1.7)</w:t>
            </w:r>
          </w:p>
        </w:tc>
        <w:tc>
          <w:tcPr>
            <w:tcW w:w="1020" w:type="dxa"/>
            <w:tcBorders>
              <w:top w:val="single" w:sz="4" w:space="0" w:color="A6A6A6"/>
            </w:tcBorders>
            <w:shd w:val="clear" w:color="auto" w:fill="E7E6E6"/>
          </w:tcPr>
          <w:p w14:paraId="1F1B4B5C" w14:textId="77777777" w:rsidR="00CE75D4" w:rsidRPr="002029AF" w:rsidRDefault="00CE75D4" w:rsidP="008340C1">
            <w:pPr>
              <w:pStyle w:val="ARfintablebodyright"/>
            </w:pPr>
            <w:r w:rsidRPr="00E801DC">
              <w:t>1.8</w:t>
            </w:r>
          </w:p>
        </w:tc>
        <w:tc>
          <w:tcPr>
            <w:tcW w:w="1020" w:type="dxa"/>
            <w:tcBorders>
              <w:top w:val="single" w:sz="4" w:space="0" w:color="A6A6A6"/>
            </w:tcBorders>
            <w:noWrap/>
            <w:hideMark/>
          </w:tcPr>
          <w:p w14:paraId="7526BA8C" w14:textId="77777777" w:rsidR="00CE75D4" w:rsidRPr="002029AF" w:rsidRDefault="00CE75D4" w:rsidP="008340C1">
            <w:pPr>
              <w:pStyle w:val="ARfintablebodyright"/>
            </w:pPr>
            <w:r w:rsidRPr="00E801DC">
              <w:t>26.5</w:t>
            </w:r>
          </w:p>
        </w:tc>
      </w:tr>
      <w:tr w:rsidR="00CE75D4" w:rsidRPr="002029AF" w14:paraId="11864380" w14:textId="77777777" w:rsidTr="00130D1C">
        <w:trPr>
          <w:cantSplit w:val="0"/>
          <w:trHeight w:val="255"/>
        </w:trPr>
        <w:tc>
          <w:tcPr>
            <w:tcW w:w="3508" w:type="dxa"/>
            <w:hideMark/>
          </w:tcPr>
          <w:p w14:paraId="579D706D" w14:textId="77777777" w:rsidR="00CE75D4" w:rsidRPr="002029AF" w:rsidRDefault="00CE75D4" w:rsidP="008340C1">
            <w:pPr>
              <w:pStyle w:val="ARfintablebodybold"/>
            </w:pPr>
            <w:r w:rsidRPr="00E801DC">
              <w:t>Net carrying amount</w:t>
            </w:r>
          </w:p>
        </w:tc>
        <w:tc>
          <w:tcPr>
            <w:tcW w:w="1020" w:type="dxa"/>
            <w:shd w:val="clear" w:color="auto" w:fill="E7E6E6"/>
          </w:tcPr>
          <w:p w14:paraId="4DEEF371" w14:textId="77777777" w:rsidR="00CE75D4" w:rsidRPr="002029AF" w:rsidRDefault="00CE75D4" w:rsidP="008340C1">
            <w:pPr>
              <w:pStyle w:val="ARfintablebodyrightbold"/>
            </w:pPr>
            <w:r w:rsidRPr="00E801DC">
              <w:t>24.6</w:t>
            </w:r>
          </w:p>
        </w:tc>
        <w:tc>
          <w:tcPr>
            <w:tcW w:w="1020" w:type="dxa"/>
            <w:noWrap/>
            <w:hideMark/>
          </w:tcPr>
          <w:p w14:paraId="62FE1AD4" w14:textId="77777777" w:rsidR="00CE75D4" w:rsidRPr="002029AF" w:rsidRDefault="00CE75D4" w:rsidP="008340C1">
            <w:pPr>
              <w:pStyle w:val="ARfintablebodyrightbold"/>
            </w:pPr>
            <w:r w:rsidRPr="00E801DC">
              <w:t>144.4</w:t>
            </w:r>
          </w:p>
        </w:tc>
        <w:tc>
          <w:tcPr>
            <w:tcW w:w="1020" w:type="dxa"/>
            <w:shd w:val="clear" w:color="auto" w:fill="E7E6E6"/>
          </w:tcPr>
          <w:p w14:paraId="49581C9E" w14:textId="77777777" w:rsidR="00CE75D4" w:rsidRPr="002029AF" w:rsidRDefault="00CE75D4" w:rsidP="008340C1">
            <w:pPr>
              <w:pStyle w:val="ARfintablebodyrightbold"/>
            </w:pPr>
            <w:r w:rsidRPr="00E801DC">
              <w:t>(12.3)</w:t>
            </w:r>
          </w:p>
        </w:tc>
        <w:tc>
          <w:tcPr>
            <w:tcW w:w="1020" w:type="dxa"/>
            <w:noWrap/>
            <w:hideMark/>
          </w:tcPr>
          <w:p w14:paraId="544EBEED" w14:textId="77777777" w:rsidR="00CE75D4" w:rsidRPr="002029AF" w:rsidRDefault="00CE75D4" w:rsidP="008340C1">
            <w:pPr>
              <w:pStyle w:val="ARfintablebodyrightbold"/>
            </w:pPr>
            <w:r w:rsidRPr="00E801DC">
              <w:t>(46.2)</w:t>
            </w:r>
          </w:p>
        </w:tc>
        <w:tc>
          <w:tcPr>
            <w:tcW w:w="1020" w:type="dxa"/>
            <w:shd w:val="clear" w:color="auto" w:fill="E7E6E6"/>
          </w:tcPr>
          <w:p w14:paraId="6BFF68A8" w14:textId="77777777" w:rsidR="00CE75D4" w:rsidRPr="002029AF" w:rsidRDefault="00CE75D4" w:rsidP="008340C1">
            <w:pPr>
              <w:pStyle w:val="ARfintablebodyrightbold"/>
            </w:pPr>
            <w:r w:rsidRPr="00E801DC">
              <w:t>12.3</w:t>
            </w:r>
          </w:p>
        </w:tc>
        <w:tc>
          <w:tcPr>
            <w:tcW w:w="1020" w:type="dxa"/>
            <w:noWrap/>
            <w:hideMark/>
          </w:tcPr>
          <w:p w14:paraId="405ED7B6" w14:textId="77777777" w:rsidR="00CE75D4" w:rsidRPr="002029AF" w:rsidRDefault="00CE75D4" w:rsidP="008340C1">
            <w:pPr>
              <w:pStyle w:val="ARfintablebodyrightbold"/>
            </w:pPr>
            <w:r w:rsidRPr="00E801DC">
              <w:t>98.2</w:t>
            </w:r>
          </w:p>
        </w:tc>
      </w:tr>
    </w:tbl>
    <w:p w14:paraId="66D84BEE" w14:textId="77777777" w:rsidR="00CE75D4" w:rsidRDefault="00CE75D4" w:rsidP="008340C1">
      <w:pPr>
        <w:pStyle w:val="ARfintablefootnote"/>
      </w:pPr>
      <w:r w:rsidRPr="00447BC3">
        <w:rPr>
          <w:lang w:eastAsia="en-AU"/>
        </w:rPr>
        <w:t>Note:</w:t>
      </w:r>
    </w:p>
    <w:p w14:paraId="12E5DFC7" w14:textId="1B59F2A4" w:rsidR="00CE75D4" w:rsidRDefault="00CE75D4" w:rsidP="008340C1">
      <w:pPr>
        <w:pStyle w:val="ARfintablefootnoteindent"/>
      </w:pPr>
      <w:r w:rsidRPr="00447BC3">
        <w:t>(i)</w:t>
      </w:r>
      <w:r>
        <w:tab/>
      </w:r>
      <w:r w:rsidRPr="00447BC3">
        <w:t>2021 numbers include the 30 June 2021 closing balances of the DFFH, the Victorian Disability Worker Commission and the Director of Housing.</w:t>
      </w:r>
      <w:r w:rsidRPr="00E918D2">
        <w:t xml:space="preserve"> The transactions which relate to these entities are reported in the DFFH</w:t>
      </w:r>
      <w:r>
        <w:t>’</w:t>
      </w:r>
      <w:r w:rsidRPr="00E918D2">
        <w:t>s 2021</w:t>
      </w:r>
      <w:r>
        <w:t>–</w:t>
      </w:r>
      <w:r w:rsidRPr="00E918D2">
        <w:t>22 financial statements.</w:t>
      </w:r>
    </w:p>
    <w:p w14:paraId="17C68181" w14:textId="77777777" w:rsidR="00CE75D4" w:rsidRPr="0040433B" w:rsidRDefault="00CE75D4" w:rsidP="00087B91">
      <w:pPr>
        <w:pStyle w:val="ARfinbody"/>
        <w:rPr>
          <w:highlight w:val="yellow"/>
        </w:rPr>
      </w:pPr>
      <w:r w:rsidRPr="0040433B">
        <w:rPr>
          <w:highlight w:val="yellow"/>
        </w:rPr>
        <w:br w:type="page"/>
      </w:r>
    </w:p>
    <w:tbl>
      <w:tblPr>
        <w:tblStyle w:val="TableGrid"/>
        <w:tblW w:w="9637" w:type="dxa"/>
        <w:tblLayout w:type="fixed"/>
        <w:tblLook w:val="06A0" w:firstRow="1" w:lastRow="0" w:firstColumn="1" w:lastColumn="0" w:noHBand="1" w:noVBand="1"/>
      </w:tblPr>
      <w:tblGrid>
        <w:gridCol w:w="3967"/>
        <w:gridCol w:w="1134"/>
        <w:gridCol w:w="1134"/>
        <w:gridCol w:w="1134"/>
        <w:gridCol w:w="1134"/>
        <w:gridCol w:w="1134"/>
      </w:tblGrid>
      <w:tr w:rsidR="00CE75D4" w:rsidRPr="002029AF" w14:paraId="3262CF36"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3967" w:type="dxa"/>
            <w:noWrap/>
            <w:hideMark/>
          </w:tcPr>
          <w:p w14:paraId="3562EBC9" w14:textId="77777777" w:rsidR="00CE75D4" w:rsidRPr="002029AF" w:rsidRDefault="00CE75D4" w:rsidP="00860E95">
            <w:pPr>
              <w:pStyle w:val="ARfintablecolhead"/>
            </w:pPr>
          </w:p>
        </w:tc>
        <w:tc>
          <w:tcPr>
            <w:tcW w:w="1134" w:type="dxa"/>
            <w:hideMark/>
          </w:tcPr>
          <w:p w14:paraId="2EFC4128" w14:textId="77777777" w:rsidR="00CE75D4" w:rsidRPr="002029AF" w:rsidRDefault="00CE75D4" w:rsidP="00860E95">
            <w:pPr>
              <w:pStyle w:val="ARfintablecolheadright"/>
            </w:pPr>
            <w:r w:rsidRPr="002029AF">
              <w:t>Land</w:t>
            </w:r>
          </w:p>
          <w:p w14:paraId="1E5C6BC8" w14:textId="77777777" w:rsidR="00CE75D4" w:rsidRPr="002029AF" w:rsidRDefault="00CE75D4" w:rsidP="00860E95">
            <w:pPr>
              <w:pStyle w:val="ARfintablecolheadright"/>
            </w:pPr>
            <w:r w:rsidRPr="002029AF">
              <w:t>$M</w:t>
            </w:r>
          </w:p>
        </w:tc>
        <w:tc>
          <w:tcPr>
            <w:tcW w:w="1134" w:type="dxa"/>
            <w:hideMark/>
          </w:tcPr>
          <w:p w14:paraId="5A9F9FBC" w14:textId="77777777" w:rsidR="00CE75D4" w:rsidRPr="002029AF" w:rsidRDefault="00CE75D4" w:rsidP="00860E95">
            <w:pPr>
              <w:pStyle w:val="ARfintablecolheadright"/>
            </w:pPr>
            <w:r w:rsidRPr="002029AF">
              <w:t>Buildings</w:t>
            </w:r>
          </w:p>
          <w:p w14:paraId="38BFE576" w14:textId="77777777" w:rsidR="00CE75D4" w:rsidRPr="002029AF" w:rsidRDefault="00CE75D4" w:rsidP="00860E95">
            <w:pPr>
              <w:pStyle w:val="ARfintablecolheadright"/>
            </w:pPr>
            <w:r w:rsidRPr="002029AF">
              <w:t>$M</w:t>
            </w:r>
          </w:p>
        </w:tc>
        <w:tc>
          <w:tcPr>
            <w:tcW w:w="1134" w:type="dxa"/>
            <w:hideMark/>
          </w:tcPr>
          <w:p w14:paraId="34D2A481" w14:textId="77777777" w:rsidR="00CE75D4" w:rsidRPr="002029AF" w:rsidRDefault="00CE75D4" w:rsidP="00860E95">
            <w:pPr>
              <w:pStyle w:val="ARfintablecolheadright"/>
            </w:pPr>
            <w:r w:rsidRPr="002029AF">
              <w:t>Plant and equipment</w:t>
            </w:r>
          </w:p>
          <w:p w14:paraId="0FFDAB07" w14:textId="77777777" w:rsidR="00CE75D4" w:rsidRPr="002029AF" w:rsidRDefault="00CE75D4" w:rsidP="00860E95">
            <w:pPr>
              <w:pStyle w:val="ARfintablecolheadright"/>
            </w:pPr>
            <w:r w:rsidRPr="002029AF">
              <w:t>$M</w:t>
            </w:r>
          </w:p>
        </w:tc>
        <w:tc>
          <w:tcPr>
            <w:tcW w:w="1134" w:type="dxa"/>
            <w:hideMark/>
          </w:tcPr>
          <w:p w14:paraId="1196EDEF" w14:textId="77777777" w:rsidR="00CE75D4" w:rsidRPr="002029AF" w:rsidRDefault="00CE75D4" w:rsidP="00860E95">
            <w:pPr>
              <w:pStyle w:val="ARfintablecolheadright"/>
            </w:pPr>
            <w:r w:rsidRPr="002029AF">
              <w:t>Motor vehicles</w:t>
            </w:r>
          </w:p>
          <w:p w14:paraId="66329AC0" w14:textId="77777777" w:rsidR="00CE75D4" w:rsidRPr="002029AF" w:rsidRDefault="00CE75D4" w:rsidP="00860E95">
            <w:pPr>
              <w:pStyle w:val="ARfintablecolheadright"/>
            </w:pPr>
            <w:r w:rsidRPr="002029AF">
              <w:t>$M</w:t>
            </w:r>
          </w:p>
        </w:tc>
        <w:tc>
          <w:tcPr>
            <w:tcW w:w="1134" w:type="dxa"/>
            <w:hideMark/>
          </w:tcPr>
          <w:p w14:paraId="3E67A90B" w14:textId="77777777" w:rsidR="00CE75D4" w:rsidRPr="002029AF" w:rsidRDefault="00CE75D4" w:rsidP="00860E95">
            <w:pPr>
              <w:pStyle w:val="ARfintablecolheadright"/>
            </w:pPr>
            <w:r w:rsidRPr="002029AF">
              <w:t>Total</w:t>
            </w:r>
          </w:p>
          <w:p w14:paraId="29CCD70D" w14:textId="77777777" w:rsidR="00CE75D4" w:rsidRPr="002029AF" w:rsidRDefault="00CE75D4" w:rsidP="00860E95">
            <w:pPr>
              <w:pStyle w:val="ARfintablecolheadright"/>
            </w:pPr>
            <w:r w:rsidRPr="002029AF">
              <w:t>$M</w:t>
            </w:r>
          </w:p>
        </w:tc>
      </w:tr>
      <w:tr w:rsidR="00CE75D4" w:rsidRPr="002029AF" w14:paraId="155ADCB6" w14:textId="77777777" w:rsidTr="008340C1">
        <w:tc>
          <w:tcPr>
            <w:tcW w:w="3967" w:type="dxa"/>
            <w:tcBorders>
              <w:top w:val="single" w:sz="4" w:space="0" w:color="auto"/>
              <w:bottom w:val="single" w:sz="4" w:space="0" w:color="A6A6A6"/>
            </w:tcBorders>
            <w:hideMark/>
          </w:tcPr>
          <w:p w14:paraId="13B41B05" w14:textId="77777777" w:rsidR="00CE75D4" w:rsidRPr="002029AF" w:rsidRDefault="00CE75D4" w:rsidP="008340C1">
            <w:pPr>
              <w:pStyle w:val="ARfintablebodybold"/>
            </w:pPr>
            <w:r w:rsidRPr="00643100">
              <w:t>Opening balance – 1 July 2021</w:t>
            </w:r>
          </w:p>
        </w:tc>
        <w:tc>
          <w:tcPr>
            <w:tcW w:w="1134" w:type="dxa"/>
            <w:tcBorders>
              <w:top w:val="single" w:sz="4" w:space="0" w:color="auto"/>
              <w:bottom w:val="single" w:sz="4" w:space="0" w:color="A6A6A6"/>
            </w:tcBorders>
            <w:noWrap/>
            <w:hideMark/>
          </w:tcPr>
          <w:p w14:paraId="7F7D3E78" w14:textId="77777777" w:rsidR="00CE75D4" w:rsidRPr="002029AF" w:rsidRDefault="00CE75D4" w:rsidP="008340C1">
            <w:pPr>
              <w:pStyle w:val="ARfintablebodyright"/>
            </w:pPr>
            <w:r w:rsidRPr="00643100">
              <w:t>9.0</w:t>
            </w:r>
          </w:p>
        </w:tc>
        <w:tc>
          <w:tcPr>
            <w:tcW w:w="1134" w:type="dxa"/>
            <w:tcBorders>
              <w:top w:val="single" w:sz="4" w:space="0" w:color="auto"/>
              <w:bottom w:val="single" w:sz="4" w:space="0" w:color="A6A6A6"/>
            </w:tcBorders>
            <w:noWrap/>
            <w:hideMark/>
          </w:tcPr>
          <w:p w14:paraId="02D26F85" w14:textId="77777777" w:rsidR="00CE75D4" w:rsidRPr="002029AF" w:rsidRDefault="00CE75D4" w:rsidP="008340C1">
            <w:pPr>
              <w:pStyle w:val="ARfintablebodyright"/>
            </w:pPr>
            <w:r w:rsidRPr="00643100">
              <w:t>59.5</w:t>
            </w:r>
          </w:p>
        </w:tc>
        <w:tc>
          <w:tcPr>
            <w:tcW w:w="1134" w:type="dxa"/>
            <w:tcBorders>
              <w:top w:val="single" w:sz="4" w:space="0" w:color="auto"/>
              <w:bottom w:val="single" w:sz="4" w:space="0" w:color="A6A6A6"/>
            </w:tcBorders>
            <w:noWrap/>
            <w:hideMark/>
          </w:tcPr>
          <w:p w14:paraId="5E0CE069" w14:textId="77777777" w:rsidR="00CE75D4" w:rsidRPr="002029AF" w:rsidRDefault="00CE75D4" w:rsidP="008340C1">
            <w:pPr>
              <w:pStyle w:val="ARfintablebodyright"/>
            </w:pPr>
            <w:r w:rsidRPr="00643100">
              <w:t>3.2</w:t>
            </w:r>
          </w:p>
        </w:tc>
        <w:tc>
          <w:tcPr>
            <w:tcW w:w="1134" w:type="dxa"/>
            <w:tcBorders>
              <w:top w:val="single" w:sz="4" w:space="0" w:color="auto"/>
              <w:bottom w:val="single" w:sz="4" w:space="0" w:color="A6A6A6"/>
            </w:tcBorders>
            <w:noWrap/>
            <w:hideMark/>
          </w:tcPr>
          <w:p w14:paraId="2F0A0499" w14:textId="77777777" w:rsidR="00CE75D4" w:rsidRPr="002029AF" w:rsidRDefault="00CE75D4" w:rsidP="008340C1">
            <w:pPr>
              <w:pStyle w:val="ARfintablebodyright"/>
            </w:pPr>
            <w:r w:rsidRPr="00643100">
              <w:t>26.5</w:t>
            </w:r>
          </w:p>
        </w:tc>
        <w:tc>
          <w:tcPr>
            <w:tcW w:w="1134" w:type="dxa"/>
            <w:tcBorders>
              <w:top w:val="single" w:sz="4" w:space="0" w:color="auto"/>
              <w:bottom w:val="single" w:sz="4" w:space="0" w:color="A6A6A6"/>
            </w:tcBorders>
            <w:noWrap/>
            <w:hideMark/>
          </w:tcPr>
          <w:p w14:paraId="2E5F3401" w14:textId="77777777" w:rsidR="00CE75D4" w:rsidRPr="002029AF" w:rsidRDefault="00CE75D4" w:rsidP="008340C1">
            <w:pPr>
              <w:pStyle w:val="ARfintablebodyright"/>
            </w:pPr>
            <w:r w:rsidRPr="00643100">
              <w:t>98.2</w:t>
            </w:r>
          </w:p>
        </w:tc>
      </w:tr>
      <w:tr w:rsidR="00CE75D4" w:rsidRPr="002029AF" w14:paraId="44D8F085" w14:textId="77777777" w:rsidTr="00860E95">
        <w:tc>
          <w:tcPr>
            <w:tcW w:w="3967" w:type="dxa"/>
            <w:tcBorders>
              <w:top w:val="single" w:sz="4" w:space="0" w:color="A6A6A6"/>
              <w:bottom w:val="single" w:sz="4" w:space="0" w:color="A6A6A6"/>
            </w:tcBorders>
            <w:hideMark/>
          </w:tcPr>
          <w:p w14:paraId="59D1FD7E" w14:textId="77777777" w:rsidR="00CE75D4" w:rsidRPr="002029AF" w:rsidRDefault="00CE75D4" w:rsidP="008340C1">
            <w:pPr>
              <w:pStyle w:val="ARfintablebody"/>
            </w:pPr>
            <w:r w:rsidRPr="00643100">
              <w:t>Removal of DFFH-related June 2021 closing</w:t>
            </w:r>
            <w:r>
              <w:t> </w:t>
            </w:r>
            <w:r w:rsidRPr="00643100">
              <w:t xml:space="preserve">balance </w:t>
            </w:r>
            <w:r w:rsidRPr="00AE36D7">
              <w:rPr>
                <w:rStyle w:val="Superscript"/>
              </w:rPr>
              <w:t>(i)</w:t>
            </w:r>
          </w:p>
        </w:tc>
        <w:tc>
          <w:tcPr>
            <w:tcW w:w="1134" w:type="dxa"/>
            <w:tcBorders>
              <w:top w:val="single" w:sz="4" w:space="0" w:color="A6A6A6"/>
              <w:bottom w:val="single" w:sz="4" w:space="0" w:color="A6A6A6"/>
            </w:tcBorders>
            <w:noWrap/>
            <w:hideMark/>
          </w:tcPr>
          <w:p w14:paraId="67F6C0A2" w14:textId="77777777" w:rsidR="00CE75D4" w:rsidRPr="002029AF" w:rsidRDefault="00CE75D4" w:rsidP="008340C1">
            <w:pPr>
              <w:pStyle w:val="ARfintablebodyright"/>
            </w:pPr>
            <w:r w:rsidRPr="00643100">
              <w:t>(9.0)</w:t>
            </w:r>
          </w:p>
        </w:tc>
        <w:tc>
          <w:tcPr>
            <w:tcW w:w="1134" w:type="dxa"/>
            <w:tcBorders>
              <w:top w:val="single" w:sz="4" w:space="0" w:color="A6A6A6"/>
              <w:bottom w:val="single" w:sz="4" w:space="0" w:color="A6A6A6"/>
            </w:tcBorders>
            <w:noWrap/>
            <w:hideMark/>
          </w:tcPr>
          <w:p w14:paraId="0048FC58" w14:textId="77777777" w:rsidR="00CE75D4" w:rsidRPr="002029AF" w:rsidRDefault="00CE75D4" w:rsidP="008340C1">
            <w:pPr>
              <w:pStyle w:val="ARfintablebodyright"/>
            </w:pPr>
            <w:r w:rsidRPr="00643100">
              <w:t>(49.8)</w:t>
            </w:r>
          </w:p>
        </w:tc>
        <w:tc>
          <w:tcPr>
            <w:tcW w:w="1134" w:type="dxa"/>
            <w:tcBorders>
              <w:top w:val="single" w:sz="4" w:space="0" w:color="A6A6A6"/>
              <w:bottom w:val="single" w:sz="4" w:space="0" w:color="A6A6A6"/>
            </w:tcBorders>
            <w:noWrap/>
            <w:hideMark/>
          </w:tcPr>
          <w:p w14:paraId="0B056841"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697D4680" w14:textId="77777777" w:rsidR="00CE75D4" w:rsidRPr="002029AF" w:rsidRDefault="00CE75D4" w:rsidP="008340C1">
            <w:pPr>
              <w:pStyle w:val="ARfintablebodyright"/>
            </w:pPr>
            <w:r w:rsidRPr="00643100">
              <w:t>(24.5)</w:t>
            </w:r>
          </w:p>
        </w:tc>
        <w:tc>
          <w:tcPr>
            <w:tcW w:w="1134" w:type="dxa"/>
            <w:tcBorders>
              <w:top w:val="single" w:sz="4" w:space="0" w:color="A6A6A6"/>
              <w:bottom w:val="single" w:sz="4" w:space="0" w:color="A6A6A6"/>
            </w:tcBorders>
            <w:noWrap/>
            <w:hideMark/>
          </w:tcPr>
          <w:p w14:paraId="06069042" w14:textId="77777777" w:rsidR="00CE75D4" w:rsidRPr="002029AF" w:rsidRDefault="00CE75D4" w:rsidP="008340C1">
            <w:pPr>
              <w:pStyle w:val="ARfintablebodyright"/>
            </w:pPr>
            <w:r w:rsidRPr="00643100">
              <w:t>(83.3)</w:t>
            </w:r>
          </w:p>
        </w:tc>
      </w:tr>
      <w:tr w:rsidR="00CE75D4" w:rsidRPr="002029AF" w14:paraId="3790B19E" w14:textId="77777777" w:rsidTr="008340C1">
        <w:tc>
          <w:tcPr>
            <w:tcW w:w="3967" w:type="dxa"/>
            <w:tcBorders>
              <w:top w:val="single" w:sz="4" w:space="0" w:color="A6A6A6"/>
              <w:bottom w:val="single" w:sz="4" w:space="0" w:color="A6A6A6"/>
            </w:tcBorders>
            <w:hideMark/>
          </w:tcPr>
          <w:p w14:paraId="518FEF2A" w14:textId="77777777" w:rsidR="00CE75D4" w:rsidRPr="002029AF" w:rsidRDefault="00CE75D4" w:rsidP="008340C1">
            <w:pPr>
              <w:pStyle w:val="ARfintablebodybold"/>
            </w:pPr>
            <w:r w:rsidRPr="00643100">
              <w:t>Adjusted balance at 1 July 2021</w:t>
            </w:r>
          </w:p>
        </w:tc>
        <w:tc>
          <w:tcPr>
            <w:tcW w:w="1134" w:type="dxa"/>
            <w:tcBorders>
              <w:top w:val="single" w:sz="4" w:space="0" w:color="A6A6A6"/>
              <w:bottom w:val="single" w:sz="4" w:space="0" w:color="A6A6A6"/>
            </w:tcBorders>
            <w:noWrap/>
            <w:hideMark/>
          </w:tcPr>
          <w:p w14:paraId="19D6F7BA" w14:textId="77777777" w:rsidR="00CE75D4" w:rsidRPr="002029AF" w:rsidRDefault="00CE75D4" w:rsidP="008340C1">
            <w:pPr>
              <w:pStyle w:val="ARfintablebodyrightbold"/>
            </w:pPr>
            <w:r>
              <w:t>–</w:t>
            </w:r>
          </w:p>
        </w:tc>
        <w:tc>
          <w:tcPr>
            <w:tcW w:w="1134" w:type="dxa"/>
            <w:tcBorders>
              <w:top w:val="single" w:sz="4" w:space="0" w:color="A6A6A6"/>
              <w:bottom w:val="single" w:sz="4" w:space="0" w:color="A6A6A6"/>
            </w:tcBorders>
            <w:noWrap/>
            <w:hideMark/>
          </w:tcPr>
          <w:p w14:paraId="66EA4966" w14:textId="77777777" w:rsidR="00CE75D4" w:rsidRPr="002029AF" w:rsidRDefault="00CE75D4" w:rsidP="008340C1">
            <w:pPr>
              <w:pStyle w:val="ARfintablebodyrightbold"/>
            </w:pPr>
            <w:r w:rsidRPr="00643100">
              <w:t>9.6</w:t>
            </w:r>
          </w:p>
        </w:tc>
        <w:tc>
          <w:tcPr>
            <w:tcW w:w="1134" w:type="dxa"/>
            <w:tcBorders>
              <w:top w:val="single" w:sz="4" w:space="0" w:color="A6A6A6"/>
              <w:bottom w:val="single" w:sz="4" w:space="0" w:color="A6A6A6"/>
            </w:tcBorders>
            <w:noWrap/>
            <w:hideMark/>
          </w:tcPr>
          <w:p w14:paraId="450EBC0D" w14:textId="77777777" w:rsidR="00CE75D4" w:rsidRPr="002029AF" w:rsidRDefault="00CE75D4" w:rsidP="008340C1">
            <w:pPr>
              <w:pStyle w:val="ARfintablebodyrightbold"/>
            </w:pPr>
            <w:r w:rsidRPr="00643100">
              <w:t>3.2</w:t>
            </w:r>
          </w:p>
        </w:tc>
        <w:tc>
          <w:tcPr>
            <w:tcW w:w="1134" w:type="dxa"/>
            <w:tcBorders>
              <w:top w:val="single" w:sz="4" w:space="0" w:color="A6A6A6"/>
              <w:bottom w:val="single" w:sz="4" w:space="0" w:color="A6A6A6"/>
            </w:tcBorders>
            <w:noWrap/>
            <w:hideMark/>
          </w:tcPr>
          <w:p w14:paraId="61510B13" w14:textId="77777777" w:rsidR="00CE75D4" w:rsidRPr="002029AF" w:rsidRDefault="00CE75D4" w:rsidP="008340C1">
            <w:pPr>
              <w:pStyle w:val="ARfintablebodyrightbold"/>
            </w:pPr>
            <w:r w:rsidRPr="00643100">
              <w:t>1.9</w:t>
            </w:r>
          </w:p>
        </w:tc>
        <w:tc>
          <w:tcPr>
            <w:tcW w:w="1134" w:type="dxa"/>
            <w:tcBorders>
              <w:top w:val="single" w:sz="4" w:space="0" w:color="A6A6A6"/>
              <w:bottom w:val="single" w:sz="4" w:space="0" w:color="A6A6A6"/>
            </w:tcBorders>
            <w:noWrap/>
            <w:hideMark/>
          </w:tcPr>
          <w:p w14:paraId="7D22B542" w14:textId="77777777" w:rsidR="00CE75D4" w:rsidRPr="002029AF" w:rsidRDefault="00CE75D4" w:rsidP="008340C1">
            <w:pPr>
              <w:pStyle w:val="ARfintablebodyrightbold"/>
            </w:pPr>
            <w:r w:rsidRPr="00643100">
              <w:t>14.7</w:t>
            </w:r>
          </w:p>
        </w:tc>
      </w:tr>
      <w:tr w:rsidR="00CE75D4" w:rsidRPr="002029AF" w14:paraId="2805CD92" w14:textId="77777777" w:rsidTr="008340C1">
        <w:tc>
          <w:tcPr>
            <w:tcW w:w="3967" w:type="dxa"/>
            <w:tcBorders>
              <w:top w:val="single" w:sz="4" w:space="0" w:color="A6A6A6"/>
              <w:bottom w:val="single" w:sz="4" w:space="0" w:color="A6A6A6"/>
            </w:tcBorders>
            <w:hideMark/>
          </w:tcPr>
          <w:p w14:paraId="44FAD1FD" w14:textId="77777777" w:rsidR="00CE75D4" w:rsidRPr="002029AF" w:rsidRDefault="00CE75D4" w:rsidP="008340C1">
            <w:pPr>
              <w:pStyle w:val="ARfintablebody"/>
            </w:pPr>
            <w:r w:rsidRPr="00643100">
              <w:t>Additions</w:t>
            </w:r>
          </w:p>
        </w:tc>
        <w:tc>
          <w:tcPr>
            <w:tcW w:w="1134" w:type="dxa"/>
            <w:tcBorders>
              <w:top w:val="single" w:sz="4" w:space="0" w:color="A6A6A6"/>
              <w:bottom w:val="single" w:sz="4" w:space="0" w:color="A6A6A6"/>
            </w:tcBorders>
            <w:noWrap/>
            <w:hideMark/>
          </w:tcPr>
          <w:p w14:paraId="6556BDB6"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4BB8D10C"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0C38A2B6"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73C6E26D" w14:textId="77777777" w:rsidR="00CE75D4" w:rsidRPr="002029AF" w:rsidRDefault="00CE75D4" w:rsidP="008340C1">
            <w:pPr>
              <w:pStyle w:val="ARfintablebodyright"/>
            </w:pPr>
            <w:r w:rsidRPr="00643100">
              <w:t>0.7</w:t>
            </w:r>
          </w:p>
        </w:tc>
        <w:tc>
          <w:tcPr>
            <w:tcW w:w="1134" w:type="dxa"/>
            <w:tcBorders>
              <w:top w:val="single" w:sz="4" w:space="0" w:color="A6A6A6"/>
              <w:bottom w:val="single" w:sz="4" w:space="0" w:color="A6A6A6"/>
            </w:tcBorders>
            <w:noWrap/>
            <w:hideMark/>
          </w:tcPr>
          <w:p w14:paraId="2FE96649" w14:textId="77777777" w:rsidR="00CE75D4" w:rsidRPr="002029AF" w:rsidRDefault="00CE75D4" w:rsidP="008340C1">
            <w:pPr>
              <w:pStyle w:val="ARfintablebodyright"/>
            </w:pPr>
            <w:r w:rsidRPr="00643100">
              <w:t>0.7</w:t>
            </w:r>
          </w:p>
        </w:tc>
      </w:tr>
      <w:tr w:rsidR="00CE75D4" w:rsidRPr="002029AF" w14:paraId="15E23A47" w14:textId="77777777" w:rsidTr="00860E95">
        <w:tc>
          <w:tcPr>
            <w:tcW w:w="3967" w:type="dxa"/>
            <w:tcBorders>
              <w:top w:val="single" w:sz="4" w:space="0" w:color="A6A6A6"/>
              <w:bottom w:val="single" w:sz="4" w:space="0" w:color="A6A6A6"/>
            </w:tcBorders>
            <w:hideMark/>
          </w:tcPr>
          <w:p w14:paraId="01AC25B9" w14:textId="77777777" w:rsidR="00CE75D4" w:rsidRPr="002029AF" w:rsidRDefault="00CE75D4" w:rsidP="008340C1">
            <w:pPr>
              <w:pStyle w:val="ARfintablebody"/>
            </w:pPr>
            <w:r w:rsidRPr="00643100">
              <w:t>Lease modifications</w:t>
            </w:r>
          </w:p>
        </w:tc>
        <w:tc>
          <w:tcPr>
            <w:tcW w:w="1134" w:type="dxa"/>
            <w:tcBorders>
              <w:top w:val="single" w:sz="4" w:space="0" w:color="A6A6A6"/>
              <w:bottom w:val="single" w:sz="4" w:space="0" w:color="A6A6A6"/>
            </w:tcBorders>
            <w:noWrap/>
            <w:hideMark/>
          </w:tcPr>
          <w:p w14:paraId="442FC8DA"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78393833" w14:textId="77777777" w:rsidR="00CE75D4" w:rsidRPr="002029AF" w:rsidRDefault="00CE75D4" w:rsidP="008340C1">
            <w:pPr>
              <w:pStyle w:val="ARfintablebodyright"/>
            </w:pPr>
            <w:r w:rsidRPr="00643100">
              <w:t>(0.2)</w:t>
            </w:r>
          </w:p>
        </w:tc>
        <w:tc>
          <w:tcPr>
            <w:tcW w:w="1134" w:type="dxa"/>
            <w:tcBorders>
              <w:top w:val="single" w:sz="4" w:space="0" w:color="A6A6A6"/>
              <w:bottom w:val="single" w:sz="4" w:space="0" w:color="A6A6A6"/>
            </w:tcBorders>
            <w:noWrap/>
            <w:hideMark/>
          </w:tcPr>
          <w:p w14:paraId="462DE7AD" w14:textId="77777777" w:rsidR="00CE75D4" w:rsidRPr="002029AF" w:rsidRDefault="00CE75D4" w:rsidP="008340C1">
            <w:pPr>
              <w:pStyle w:val="ARfintablebodyright"/>
            </w:pPr>
            <w:r w:rsidRPr="00643100">
              <w:t>0.6</w:t>
            </w:r>
          </w:p>
        </w:tc>
        <w:tc>
          <w:tcPr>
            <w:tcW w:w="1134" w:type="dxa"/>
            <w:tcBorders>
              <w:top w:val="single" w:sz="4" w:space="0" w:color="A6A6A6"/>
              <w:bottom w:val="single" w:sz="4" w:space="0" w:color="A6A6A6"/>
            </w:tcBorders>
            <w:noWrap/>
            <w:hideMark/>
          </w:tcPr>
          <w:p w14:paraId="6A1DA7F2"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0EC0CF6D" w14:textId="77777777" w:rsidR="00CE75D4" w:rsidRPr="002029AF" w:rsidRDefault="00CE75D4" w:rsidP="008340C1">
            <w:pPr>
              <w:pStyle w:val="ARfintablebodyright"/>
            </w:pPr>
            <w:r w:rsidRPr="00643100">
              <w:t>0.5</w:t>
            </w:r>
          </w:p>
        </w:tc>
      </w:tr>
      <w:tr w:rsidR="00CE75D4" w:rsidRPr="002029AF" w14:paraId="0110C1D0" w14:textId="77777777" w:rsidTr="00860E95">
        <w:tc>
          <w:tcPr>
            <w:tcW w:w="3967" w:type="dxa"/>
            <w:tcBorders>
              <w:top w:val="single" w:sz="4" w:space="0" w:color="A6A6A6"/>
              <w:bottom w:val="single" w:sz="4" w:space="0" w:color="A6A6A6"/>
            </w:tcBorders>
            <w:hideMark/>
          </w:tcPr>
          <w:p w14:paraId="22E279AE" w14:textId="77777777" w:rsidR="00CE75D4" w:rsidRPr="002029AF" w:rsidRDefault="00CE75D4" w:rsidP="008340C1">
            <w:pPr>
              <w:pStyle w:val="ARfintablebody"/>
            </w:pPr>
            <w:r w:rsidRPr="00643100">
              <w:t>Disposals</w:t>
            </w:r>
          </w:p>
        </w:tc>
        <w:tc>
          <w:tcPr>
            <w:tcW w:w="1134" w:type="dxa"/>
            <w:tcBorders>
              <w:top w:val="single" w:sz="4" w:space="0" w:color="A6A6A6"/>
              <w:bottom w:val="single" w:sz="4" w:space="0" w:color="A6A6A6"/>
            </w:tcBorders>
            <w:noWrap/>
            <w:hideMark/>
          </w:tcPr>
          <w:p w14:paraId="6562D16A"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1B08BB1B"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38FECE5B"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223F40D8" w14:textId="77777777" w:rsidR="00CE75D4" w:rsidRPr="002029AF" w:rsidRDefault="00CE75D4" w:rsidP="008340C1">
            <w:pPr>
              <w:pStyle w:val="ARfintablebodyright"/>
            </w:pPr>
            <w:r w:rsidRPr="00643100">
              <w:t>(0.3)</w:t>
            </w:r>
          </w:p>
        </w:tc>
        <w:tc>
          <w:tcPr>
            <w:tcW w:w="1134" w:type="dxa"/>
            <w:tcBorders>
              <w:top w:val="single" w:sz="4" w:space="0" w:color="A6A6A6"/>
              <w:bottom w:val="single" w:sz="4" w:space="0" w:color="A6A6A6"/>
            </w:tcBorders>
            <w:noWrap/>
            <w:hideMark/>
          </w:tcPr>
          <w:p w14:paraId="6FA75264" w14:textId="77777777" w:rsidR="00CE75D4" w:rsidRPr="002029AF" w:rsidRDefault="00CE75D4" w:rsidP="008340C1">
            <w:pPr>
              <w:pStyle w:val="ARfintablebodyright"/>
            </w:pPr>
            <w:r w:rsidRPr="00643100">
              <w:t>(0.3)</w:t>
            </w:r>
          </w:p>
        </w:tc>
      </w:tr>
      <w:tr w:rsidR="00CE75D4" w:rsidRPr="002029AF" w14:paraId="2D7D4F1B" w14:textId="77777777" w:rsidTr="00860E95">
        <w:tc>
          <w:tcPr>
            <w:tcW w:w="3967" w:type="dxa"/>
            <w:tcBorders>
              <w:top w:val="single" w:sz="4" w:space="0" w:color="A6A6A6"/>
            </w:tcBorders>
            <w:hideMark/>
          </w:tcPr>
          <w:p w14:paraId="7AE80939" w14:textId="77777777" w:rsidR="00CE75D4" w:rsidRPr="002029AF" w:rsidRDefault="00CE75D4" w:rsidP="008340C1">
            <w:pPr>
              <w:pStyle w:val="ARfintablebody"/>
            </w:pPr>
            <w:r w:rsidRPr="00643100">
              <w:t>Depreciation</w:t>
            </w:r>
          </w:p>
        </w:tc>
        <w:tc>
          <w:tcPr>
            <w:tcW w:w="1134" w:type="dxa"/>
            <w:tcBorders>
              <w:top w:val="single" w:sz="4" w:space="0" w:color="A6A6A6"/>
            </w:tcBorders>
            <w:noWrap/>
            <w:hideMark/>
          </w:tcPr>
          <w:p w14:paraId="32B6C68C" w14:textId="77777777" w:rsidR="00CE75D4" w:rsidRPr="002029AF" w:rsidRDefault="00CE75D4" w:rsidP="008340C1">
            <w:pPr>
              <w:pStyle w:val="ARfintablebodyright"/>
            </w:pPr>
            <w:r>
              <w:t>–</w:t>
            </w:r>
          </w:p>
        </w:tc>
        <w:tc>
          <w:tcPr>
            <w:tcW w:w="1134" w:type="dxa"/>
            <w:tcBorders>
              <w:top w:val="single" w:sz="4" w:space="0" w:color="A6A6A6"/>
            </w:tcBorders>
            <w:noWrap/>
            <w:hideMark/>
          </w:tcPr>
          <w:p w14:paraId="28EBAB06" w14:textId="77777777" w:rsidR="00CE75D4" w:rsidRPr="002029AF" w:rsidRDefault="00CE75D4" w:rsidP="008340C1">
            <w:pPr>
              <w:pStyle w:val="ARfintablebodyright"/>
            </w:pPr>
            <w:r w:rsidRPr="00643100">
              <w:t>(1.7)</w:t>
            </w:r>
          </w:p>
        </w:tc>
        <w:tc>
          <w:tcPr>
            <w:tcW w:w="1134" w:type="dxa"/>
            <w:tcBorders>
              <w:top w:val="single" w:sz="4" w:space="0" w:color="A6A6A6"/>
            </w:tcBorders>
            <w:noWrap/>
            <w:hideMark/>
          </w:tcPr>
          <w:p w14:paraId="740CC790" w14:textId="77777777" w:rsidR="00CE75D4" w:rsidRPr="002029AF" w:rsidRDefault="00CE75D4" w:rsidP="008340C1">
            <w:pPr>
              <w:pStyle w:val="ARfintablebodyright"/>
            </w:pPr>
            <w:r w:rsidRPr="00643100">
              <w:t>(0.9)</w:t>
            </w:r>
          </w:p>
        </w:tc>
        <w:tc>
          <w:tcPr>
            <w:tcW w:w="1134" w:type="dxa"/>
            <w:tcBorders>
              <w:top w:val="single" w:sz="4" w:space="0" w:color="A6A6A6"/>
            </w:tcBorders>
            <w:noWrap/>
            <w:hideMark/>
          </w:tcPr>
          <w:p w14:paraId="2950DCF8" w14:textId="77777777" w:rsidR="00CE75D4" w:rsidRPr="002029AF" w:rsidRDefault="00CE75D4" w:rsidP="008340C1">
            <w:pPr>
              <w:pStyle w:val="ARfintablebodyright"/>
            </w:pPr>
            <w:r w:rsidRPr="00643100">
              <w:t>(0.6)</w:t>
            </w:r>
          </w:p>
        </w:tc>
        <w:tc>
          <w:tcPr>
            <w:tcW w:w="1134" w:type="dxa"/>
            <w:tcBorders>
              <w:top w:val="single" w:sz="4" w:space="0" w:color="A6A6A6"/>
            </w:tcBorders>
            <w:noWrap/>
            <w:hideMark/>
          </w:tcPr>
          <w:p w14:paraId="1E39E119" w14:textId="77777777" w:rsidR="00CE75D4" w:rsidRPr="002029AF" w:rsidRDefault="00CE75D4" w:rsidP="008340C1">
            <w:pPr>
              <w:pStyle w:val="ARfintablebodyright"/>
            </w:pPr>
            <w:r w:rsidRPr="00643100">
              <w:t>(3.2)</w:t>
            </w:r>
          </w:p>
        </w:tc>
      </w:tr>
      <w:tr w:rsidR="00CE75D4" w:rsidRPr="002029AF" w14:paraId="562995C3" w14:textId="77777777" w:rsidTr="008340C1">
        <w:tc>
          <w:tcPr>
            <w:tcW w:w="3967" w:type="dxa"/>
            <w:tcBorders>
              <w:bottom w:val="single" w:sz="4" w:space="0" w:color="auto"/>
            </w:tcBorders>
            <w:hideMark/>
          </w:tcPr>
          <w:p w14:paraId="3B507C2D" w14:textId="77777777" w:rsidR="00CE75D4" w:rsidRPr="002029AF" w:rsidRDefault="00CE75D4" w:rsidP="008340C1">
            <w:pPr>
              <w:pStyle w:val="ARfintablebodybold"/>
            </w:pPr>
            <w:r w:rsidRPr="00643100">
              <w:t>Closing balance – 30 June 2022</w:t>
            </w:r>
          </w:p>
        </w:tc>
        <w:tc>
          <w:tcPr>
            <w:tcW w:w="1134" w:type="dxa"/>
            <w:tcBorders>
              <w:bottom w:val="single" w:sz="4" w:space="0" w:color="auto"/>
            </w:tcBorders>
            <w:noWrap/>
            <w:hideMark/>
          </w:tcPr>
          <w:p w14:paraId="19B89B1F" w14:textId="77777777" w:rsidR="00CE75D4" w:rsidRPr="002029AF" w:rsidRDefault="00CE75D4" w:rsidP="008340C1">
            <w:pPr>
              <w:pStyle w:val="ARfintablebodyrightbold"/>
            </w:pPr>
            <w:r>
              <w:t>–</w:t>
            </w:r>
          </w:p>
        </w:tc>
        <w:tc>
          <w:tcPr>
            <w:tcW w:w="1134" w:type="dxa"/>
            <w:tcBorders>
              <w:bottom w:val="single" w:sz="4" w:space="0" w:color="auto"/>
            </w:tcBorders>
            <w:noWrap/>
            <w:hideMark/>
          </w:tcPr>
          <w:p w14:paraId="5A23C6C2" w14:textId="77777777" w:rsidR="00CE75D4" w:rsidRPr="002029AF" w:rsidRDefault="00CE75D4" w:rsidP="008340C1">
            <w:pPr>
              <w:pStyle w:val="ARfintablebodyrightbold"/>
            </w:pPr>
            <w:r w:rsidRPr="00643100">
              <w:t>7.7</w:t>
            </w:r>
          </w:p>
        </w:tc>
        <w:tc>
          <w:tcPr>
            <w:tcW w:w="1134" w:type="dxa"/>
            <w:tcBorders>
              <w:bottom w:val="single" w:sz="4" w:space="0" w:color="auto"/>
            </w:tcBorders>
            <w:noWrap/>
            <w:hideMark/>
          </w:tcPr>
          <w:p w14:paraId="298CD9CB" w14:textId="77777777" w:rsidR="00CE75D4" w:rsidRPr="002029AF" w:rsidRDefault="00CE75D4" w:rsidP="008340C1">
            <w:pPr>
              <w:pStyle w:val="ARfintablebodyrightbold"/>
            </w:pPr>
            <w:r w:rsidRPr="00643100">
              <w:t>2.8</w:t>
            </w:r>
          </w:p>
        </w:tc>
        <w:tc>
          <w:tcPr>
            <w:tcW w:w="1134" w:type="dxa"/>
            <w:tcBorders>
              <w:bottom w:val="single" w:sz="4" w:space="0" w:color="auto"/>
            </w:tcBorders>
            <w:noWrap/>
            <w:hideMark/>
          </w:tcPr>
          <w:p w14:paraId="1B8C0801" w14:textId="77777777" w:rsidR="00CE75D4" w:rsidRPr="002029AF" w:rsidRDefault="00CE75D4" w:rsidP="008340C1">
            <w:pPr>
              <w:pStyle w:val="ARfintablebodyrightbold"/>
            </w:pPr>
            <w:r w:rsidRPr="00643100">
              <w:t>1.8</w:t>
            </w:r>
          </w:p>
        </w:tc>
        <w:tc>
          <w:tcPr>
            <w:tcW w:w="1134" w:type="dxa"/>
            <w:tcBorders>
              <w:bottom w:val="single" w:sz="4" w:space="0" w:color="auto"/>
            </w:tcBorders>
            <w:noWrap/>
            <w:hideMark/>
          </w:tcPr>
          <w:p w14:paraId="661BDE3C" w14:textId="77777777" w:rsidR="00CE75D4" w:rsidRPr="002029AF" w:rsidRDefault="00CE75D4" w:rsidP="008340C1">
            <w:pPr>
              <w:pStyle w:val="ARfintablebodyrightbold"/>
            </w:pPr>
            <w:r w:rsidRPr="00643100">
              <w:t>12.3</w:t>
            </w:r>
          </w:p>
        </w:tc>
      </w:tr>
      <w:tr w:rsidR="00CE75D4" w:rsidRPr="002029AF" w14:paraId="0F544A18" w14:textId="77777777" w:rsidTr="008340C1">
        <w:tc>
          <w:tcPr>
            <w:tcW w:w="3967" w:type="dxa"/>
            <w:tcBorders>
              <w:top w:val="single" w:sz="4" w:space="0" w:color="auto"/>
              <w:bottom w:val="single" w:sz="4" w:space="0" w:color="A6A6A6"/>
            </w:tcBorders>
          </w:tcPr>
          <w:p w14:paraId="14633E3F" w14:textId="77777777" w:rsidR="00CE75D4" w:rsidRPr="002029AF" w:rsidRDefault="00CE75D4" w:rsidP="008340C1">
            <w:pPr>
              <w:pStyle w:val="ARfintablebodybold"/>
            </w:pPr>
            <w:r w:rsidRPr="00643100">
              <w:t>Opening balance – 1 July 2020</w:t>
            </w:r>
          </w:p>
        </w:tc>
        <w:tc>
          <w:tcPr>
            <w:tcW w:w="1134" w:type="dxa"/>
            <w:tcBorders>
              <w:top w:val="single" w:sz="4" w:space="0" w:color="auto"/>
              <w:bottom w:val="single" w:sz="4" w:space="0" w:color="A6A6A6"/>
            </w:tcBorders>
            <w:noWrap/>
          </w:tcPr>
          <w:p w14:paraId="3E57B9A6" w14:textId="77777777" w:rsidR="00CE75D4" w:rsidRPr="009B76F6" w:rsidRDefault="00CE75D4" w:rsidP="008340C1">
            <w:pPr>
              <w:pStyle w:val="ARfintablebodyright"/>
              <w:rPr>
                <w:b/>
                <w:bCs/>
              </w:rPr>
            </w:pPr>
            <w:r w:rsidRPr="00643100">
              <w:t>10.8</w:t>
            </w:r>
          </w:p>
        </w:tc>
        <w:tc>
          <w:tcPr>
            <w:tcW w:w="1134" w:type="dxa"/>
            <w:tcBorders>
              <w:top w:val="single" w:sz="4" w:space="0" w:color="auto"/>
              <w:bottom w:val="single" w:sz="4" w:space="0" w:color="A6A6A6"/>
            </w:tcBorders>
            <w:noWrap/>
          </w:tcPr>
          <w:p w14:paraId="4679E913" w14:textId="77777777" w:rsidR="00CE75D4" w:rsidRPr="009B76F6" w:rsidRDefault="00CE75D4" w:rsidP="008340C1">
            <w:pPr>
              <w:pStyle w:val="ARfintablebodyright"/>
              <w:rPr>
                <w:b/>
                <w:bCs/>
              </w:rPr>
            </w:pPr>
            <w:r w:rsidRPr="00643100">
              <w:t>44.6</w:t>
            </w:r>
          </w:p>
        </w:tc>
        <w:tc>
          <w:tcPr>
            <w:tcW w:w="1134" w:type="dxa"/>
            <w:tcBorders>
              <w:top w:val="single" w:sz="4" w:space="0" w:color="auto"/>
              <w:bottom w:val="single" w:sz="4" w:space="0" w:color="A6A6A6"/>
            </w:tcBorders>
            <w:noWrap/>
          </w:tcPr>
          <w:p w14:paraId="4DEF5A97" w14:textId="77777777" w:rsidR="00CE75D4" w:rsidRPr="009B76F6" w:rsidRDefault="00CE75D4" w:rsidP="008340C1">
            <w:pPr>
              <w:pStyle w:val="ARfintablebodyright"/>
              <w:rPr>
                <w:b/>
                <w:bCs/>
              </w:rPr>
            </w:pPr>
            <w:r w:rsidRPr="00643100">
              <w:t>3.5</w:t>
            </w:r>
          </w:p>
        </w:tc>
        <w:tc>
          <w:tcPr>
            <w:tcW w:w="1134" w:type="dxa"/>
            <w:tcBorders>
              <w:top w:val="single" w:sz="4" w:space="0" w:color="auto"/>
              <w:bottom w:val="single" w:sz="4" w:space="0" w:color="A6A6A6"/>
            </w:tcBorders>
            <w:noWrap/>
          </w:tcPr>
          <w:p w14:paraId="727320C7" w14:textId="77777777" w:rsidR="00CE75D4" w:rsidRPr="009B76F6" w:rsidRDefault="00CE75D4" w:rsidP="008340C1">
            <w:pPr>
              <w:pStyle w:val="ARfintablebodyright"/>
              <w:rPr>
                <w:b/>
                <w:bCs/>
              </w:rPr>
            </w:pPr>
            <w:r w:rsidRPr="00643100">
              <w:t>30.2</w:t>
            </w:r>
          </w:p>
        </w:tc>
        <w:tc>
          <w:tcPr>
            <w:tcW w:w="1134" w:type="dxa"/>
            <w:tcBorders>
              <w:top w:val="single" w:sz="4" w:space="0" w:color="auto"/>
              <w:bottom w:val="single" w:sz="4" w:space="0" w:color="A6A6A6"/>
            </w:tcBorders>
            <w:noWrap/>
          </w:tcPr>
          <w:p w14:paraId="45BD6EE6" w14:textId="77777777" w:rsidR="00CE75D4" w:rsidRPr="009B76F6" w:rsidRDefault="00CE75D4" w:rsidP="008340C1">
            <w:pPr>
              <w:pStyle w:val="ARfintablebodyright"/>
              <w:rPr>
                <w:b/>
                <w:bCs/>
              </w:rPr>
            </w:pPr>
            <w:r w:rsidRPr="00643100">
              <w:t>89.1</w:t>
            </w:r>
          </w:p>
        </w:tc>
      </w:tr>
      <w:tr w:rsidR="00CE75D4" w:rsidRPr="002029AF" w14:paraId="0B9684ED" w14:textId="77777777" w:rsidTr="00130D1C">
        <w:tc>
          <w:tcPr>
            <w:tcW w:w="3967" w:type="dxa"/>
            <w:tcBorders>
              <w:top w:val="single" w:sz="4" w:space="0" w:color="A6A6A6"/>
              <w:bottom w:val="single" w:sz="4" w:space="0" w:color="A6A6A6"/>
            </w:tcBorders>
            <w:hideMark/>
          </w:tcPr>
          <w:p w14:paraId="2FAB3AB5" w14:textId="77777777" w:rsidR="00CE75D4" w:rsidRPr="002029AF" w:rsidRDefault="00CE75D4" w:rsidP="008340C1">
            <w:pPr>
              <w:pStyle w:val="ARfintablebody"/>
            </w:pPr>
            <w:r w:rsidRPr="00643100">
              <w:t>Additions</w:t>
            </w:r>
          </w:p>
        </w:tc>
        <w:tc>
          <w:tcPr>
            <w:tcW w:w="1134" w:type="dxa"/>
            <w:tcBorders>
              <w:top w:val="single" w:sz="4" w:space="0" w:color="A6A6A6"/>
              <w:bottom w:val="single" w:sz="4" w:space="0" w:color="A6A6A6"/>
            </w:tcBorders>
            <w:noWrap/>
            <w:hideMark/>
          </w:tcPr>
          <w:p w14:paraId="56F8103D"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0593CFE0" w14:textId="77777777" w:rsidR="00CE75D4" w:rsidRPr="002029AF" w:rsidRDefault="00CE75D4" w:rsidP="008340C1">
            <w:pPr>
              <w:pStyle w:val="ARfintablebodyright"/>
            </w:pPr>
            <w:r w:rsidRPr="00643100">
              <w:t>8.9</w:t>
            </w:r>
          </w:p>
        </w:tc>
        <w:tc>
          <w:tcPr>
            <w:tcW w:w="1134" w:type="dxa"/>
            <w:tcBorders>
              <w:top w:val="single" w:sz="4" w:space="0" w:color="A6A6A6"/>
              <w:bottom w:val="single" w:sz="4" w:space="0" w:color="A6A6A6"/>
            </w:tcBorders>
            <w:noWrap/>
            <w:hideMark/>
          </w:tcPr>
          <w:p w14:paraId="129A8471"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4CD7A224" w14:textId="77777777" w:rsidR="00CE75D4" w:rsidRPr="002029AF" w:rsidRDefault="00CE75D4" w:rsidP="008340C1">
            <w:pPr>
              <w:pStyle w:val="ARfintablebodyright"/>
            </w:pPr>
            <w:r w:rsidRPr="00643100">
              <w:t>5.7</w:t>
            </w:r>
          </w:p>
        </w:tc>
        <w:tc>
          <w:tcPr>
            <w:tcW w:w="1134" w:type="dxa"/>
            <w:tcBorders>
              <w:top w:val="single" w:sz="4" w:space="0" w:color="A6A6A6"/>
              <w:bottom w:val="single" w:sz="4" w:space="0" w:color="A6A6A6"/>
            </w:tcBorders>
            <w:noWrap/>
            <w:hideMark/>
          </w:tcPr>
          <w:p w14:paraId="077416AC" w14:textId="77777777" w:rsidR="00CE75D4" w:rsidRPr="002029AF" w:rsidRDefault="00CE75D4" w:rsidP="008340C1">
            <w:pPr>
              <w:pStyle w:val="ARfintablebodyright"/>
            </w:pPr>
            <w:r w:rsidRPr="00643100">
              <w:t>14.6</w:t>
            </w:r>
          </w:p>
        </w:tc>
      </w:tr>
      <w:tr w:rsidR="00CE75D4" w:rsidRPr="002029AF" w14:paraId="56E4CA48" w14:textId="77777777" w:rsidTr="00130D1C">
        <w:tc>
          <w:tcPr>
            <w:tcW w:w="3967" w:type="dxa"/>
            <w:tcBorders>
              <w:top w:val="single" w:sz="4" w:space="0" w:color="A6A6A6"/>
              <w:bottom w:val="single" w:sz="4" w:space="0" w:color="A6A6A6"/>
            </w:tcBorders>
            <w:hideMark/>
          </w:tcPr>
          <w:p w14:paraId="287633AB" w14:textId="77777777" w:rsidR="00CE75D4" w:rsidRPr="002029AF" w:rsidRDefault="00CE75D4" w:rsidP="008340C1">
            <w:pPr>
              <w:pStyle w:val="ARfintablebody"/>
            </w:pPr>
            <w:r w:rsidRPr="00643100">
              <w:t>Transfers</w:t>
            </w:r>
          </w:p>
        </w:tc>
        <w:tc>
          <w:tcPr>
            <w:tcW w:w="1134" w:type="dxa"/>
            <w:tcBorders>
              <w:top w:val="single" w:sz="4" w:space="0" w:color="A6A6A6"/>
              <w:bottom w:val="single" w:sz="4" w:space="0" w:color="A6A6A6"/>
            </w:tcBorders>
            <w:noWrap/>
            <w:hideMark/>
          </w:tcPr>
          <w:p w14:paraId="59A8EA1B"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4029F67C"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24E1C35F"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0410E291" w14:textId="77777777" w:rsidR="00CE75D4" w:rsidRPr="002029AF" w:rsidRDefault="00CE75D4" w:rsidP="008340C1">
            <w:pPr>
              <w:pStyle w:val="ARfintablebodyright"/>
            </w:pPr>
            <w:r w:rsidRPr="00643100">
              <w:t>0.4</w:t>
            </w:r>
          </w:p>
        </w:tc>
        <w:tc>
          <w:tcPr>
            <w:tcW w:w="1134" w:type="dxa"/>
            <w:tcBorders>
              <w:top w:val="single" w:sz="4" w:space="0" w:color="A6A6A6"/>
              <w:bottom w:val="single" w:sz="4" w:space="0" w:color="A6A6A6"/>
            </w:tcBorders>
            <w:noWrap/>
            <w:hideMark/>
          </w:tcPr>
          <w:p w14:paraId="16D079FE" w14:textId="77777777" w:rsidR="00CE75D4" w:rsidRPr="002029AF" w:rsidRDefault="00CE75D4" w:rsidP="008340C1">
            <w:pPr>
              <w:pStyle w:val="ARfintablebodyright"/>
            </w:pPr>
            <w:r w:rsidRPr="00643100">
              <w:t>0.4</w:t>
            </w:r>
          </w:p>
        </w:tc>
      </w:tr>
      <w:tr w:rsidR="00CE75D4" w:rsidRPr="002029AF" w14:paraId="4F7D1D75" w14:textId="77777777" w:rsidTr="00130D1C">
        <w:tc>
          <w:tcPr>
            <w:tcW w:w="3967" w:type="dxa"/>
            <w:tcBorders>
              <w:top w:val="single" w:sz="4" w:space="0" w:color="A6A6A6"/>
              <w:bottom w:val="single" w:sz="4" w:space="0" w:color="A6A6A6"/>
            </w:tcBorders>
            <w:hideMark/>
          </w:tcPr>
          <w:p w14:paraId="22311129" w14:textId="77777777" w:rsidR="00CE75D4" w:rsidRPr="002029AF" w:rsidRDefault="00CE75D4" w:rsidP="008340C1">
            <w:pPr>
              <w:pStyle w:val="ARfintablebody"/>
            </w:pPr>
            <w:r w:rsidRPr="00643100">
              <w:t>Lease modifications</w:t>
            </w:r>
          </w:p>
        </w:tc>
        <w:tc>
          <w:tcPr>
            <w:tcW w:w="1134" w:type="dxa"/>
            <w:tcBorders>
              <w:top w:val="single" w:sz="4" w:space="0" w:color="A6A6A6"/>
              <w:bottom w:val="single" w:sz="4" w:space="0" w:color="A6A6A6"/>
            </w:tcBorders>
            <w:noWrap/>
            <w:hideMark/>
          </w:tcPr>
          <w:p w14:paraId="4F6C260A" w14:textId="77777777" w:rsidR="00CE75D4" w:rsidRPr="002029AF" w:rsidRDefault="00CE75D4" w:rsidP="008340C1">
            <w:pPr>
              <w:pStyle w:val="ARfintablebodyright"/>
            </w:pPr>
            <w:r w:rsidRPr="00643100">
              <w:t>(1.0)</w:t>
            </w:r>
          </w:p>
        </w:tc>
        <w:tc>
          <w:tcPr>
            <w:tcW w:w="1134" w:type="dxa"/>
            <w:tcBorders>
              <w:top w:val="single" w:sz="4" w:space="0" w:color="A6A6A6"/>
              <w:bottom w:val="single" w:sz="4" w:space="0" w:color="A6A6A6"/>
            </w:tcBorders>
            <w:noWrap/>
            <w:hideMark/>
          </w:tcPr>
          <w:p w14:paraId="02FC26CD" w14:textId="77777777" w:rsidR="00CE75D4" w:rsidRPr="002029AF" w:rsidRDefault="00CE75D4" w:rsidP="008340C1">
            <w:pPr>
              <w:pStyle w:val="ARfintablebodyright"/>
            </w:pPr>
            <w:r w:rsidRPr="00643100">
              <w:t>29.0</w:t>
            </w:r>
          </w:p>
        </w:tc>
        <w:tc>
          <w:tcPr>
            <w:tcW w:w="1134" w:type="dxa"/>
            <w:tcBorders>
              <w:top w:val="single" w:sz="4" w:space="0" w:color="A6A6A6"/>
              <w:bottom w:val="single" w:sz="4" w:space="0" w:color="A6A6A6"/>
            </w:tcBorders>
            <w:noWrap/>
            <w:hideMark/>
          </w:tcPr>
          <w:p w14:paraId="1E693FCC" w14:textId="77777777" w:rsidR="00CE75D4" w:rsidRPr="002029AF" w:rsidRDefault="00CE75D4" w:rsidP="008340C1">
            <w:pPr>
              <w:pStyle w:val="ARfintablebodyright"/>
            </w:pPr>
            <w:r w:rsidRPr="00643100">
              <w:t>2.2</w:t>
            </w:r>
          </w:p>
        </w:tc>
        <w:tc>
          <w:tcPr>
            <w:tcW w:w="1134" w:type="dxa"/>
            <w:tcBorders>
              <w:top w:val="single" w:sz="4" w:space="0" w:color="A6A6A6"/>
              <w:bottom w:val="single" w:sz="4" w:space="0" w:color="A6A6A6"/>
            </w:tcBorders>
            <w:noWrap/>
            <w:hideMark/>
          </w:tcPr>
          <w:p w14:paraId="46C126DD"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7AFCCE23" w14:textId="77777777" w:rsidR="00CE75D4" w:rsidRPr="002029AF" w:rsidRDefault="00CE75D4" w:rsidP="008340C1">
            <w:pPr>
              <w:pStyle w:val="ARfintablebodyright"/>
            </w:pPr>
            <w:r w:rsidRPr="00643100">
              <w:t>30.1</w:t>
            </w:r>
          </w:p>
        </w:tc>
      </w:tr>
      <w:tr w:rsidR="00CE75D4" w:rsidRPr="002029AF" w14:paraId="79372B11" w14:textId="77777777" w:rsidTr="00130D1C">
        <w:tc>
          <w:tcPr>
            <w:tcW w:w="3967" w:type="dxa"/>
            <w:tcBorders>
              <w:top w:val="single" w:sz="4" w:space="0" w:color="A6A6A6"/>
              <w:bottom w:val="single" w:sz="4" w:space="0" w:color="A6A6A6"/>
            </w:tcBorders>
            <w:hideMark/>
          </w:tcPr>
          <w:p w14:paraId="0DDFFE61" w14:textId="77777777" w:rsidR="00CE75D4" w:rsidRPr="002029AF" w:rsidRDefault="00CE75D4" w:rsidP="008340C1">
            <w:pPr>
              <w:pStyle w:val="ARfintablebody"/>
            </w:pPr>
            <w:r w:rsidRPr="00643100">
              <w:t>Disposals</w:t>
            </w:r>
          </w:p>
        </w:tc>
        <w:tc>
          <w:tcPr>
            <w:tcW w:w="1134" w:type="dxa"/>
            <w:tcBorders>
              <w:top w:val="single" w:sz="4" w:space="0" w:color="A6A6A6"/>
              <w:bottom w:val="single" w:sz="4" w:space="0" w:color="A6A6A6"/>
            </w:tcBorders>
            <w:noWrap/>
            <w:hideMark/>
          </w:tcPr>
          <w:p w14:paraId="652E7FCA"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43E95D32" w14:textId="77777777" w:rsidR="00CE75D4" w:rsidRPr="002029AF" w:rsidRDefault="00CE75D4" w:rsidP="008340C1">
            <w:pPr>
              <w:pStyle w:val="ARfintablebodyright"/>
            </w:pPr>
            <w:r w:rsidRPr="00643100">
              <w:t>(0.8)</w:t>
            </w:r>
          </w:p>
        </w:tc>
        <w:tc>
          <w:tcPr>
            <w:tcW w:w="1134" w:type="dxa"/>
            <w:tcBorders>
              <w:top w:val="single" w:sz="4" w:space="0" w:color="A6A6A6"/>
              <w:bottom w:val="single" w:sz="4" w:space="0" w:color="A6A6A6"/>
            </w:tcBorders>
            <w:noWrap/>
            <w:hideMark/>
          </w:tcPr>
          <w:p w14:paraId="6AA927D2"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76698943" w14:textId="77777777" w:rsidR="00CE75D4" w:rsidRPr="002029AF" w:rsidRDefault="00CE75D4" w:rsidP="008340C1">
            <w:pPr>
              <w:pStyle w:val="ARfintablebodyright"/>
            </w:pPr>
            <w:r w:rsidRPr="00643100">
              <w:t>(3.4)</w:t>
            </w:r>
          </w:p>
        </w:tc>
        <w:tc>
          <w:tcPr>
            <w:tcW w:w="1134" w:type="dxa"/>
            <w:tcBorders>
              <w:top w:val="single" w:sz="4" w:space="0" w:color="A6A6A6"/>
              <w:bottom w:val="single" w:sz="4" w:space="0" w:color="A6A6A6"/>
            </w:tcBorders>
            <w:noWrap/>
            <w:hideMark/>
          </w:tcPr>
          <w:p w14:paraId="49C3D7B6" w14:textId="77777777" w:rsidR="00CE75D4" w:rsidRPr="002029AF" w:rsidRDefault="00CE75D4" w:rsidP="008340C1">
            <w:pPr>
              <w:pStyle w:val="ARfintablebodyright"/>
            </w:pPr>
            <w:r w:rsidRPr="00643100">
              <w:t>(4.3)</w:t>
            </w:r>
          </w:p>
        </w:tc>
      </w:tr>
      <w:tr w:rsidR="00CE75D4" w:rsidRPr="002029AF" w14:paraId="652E6AE1" w14:textId="77777777" w:rsidTr="00130D1C">
        <w:tc>
          <w:tcPr>
            <w:tcW w:w="3967" w:type="dxa"/>
            <w:tcBorders>
              <w:top w:val="single" w:sz="4" w:space="0" w:color="A6A6A6"/>
            </w:tcBorders>
            <w:hideMark/>
          </w:tcPr>
          <w:p w14:paraId="547C3618" w14:textId="77777777" w:rsidR="00CE75D4" w:rsidRPr="002029AF" w:rsidRDefault="00CE75D4" w:rsidP="008340C1">
            <w:pPr>
              <w:pStyle w:val="ARfintablebody"/>
            </w:pPr>
            <w:r w:rsidRPr="00643100">
              <w:t>Depreciation</w:t>
            </w:r>
          </w:p>
        </w:tc>
        <w:tc>
          <w:tcPr>
            <w:tcW w:w="1134" w:type="dxa"/>
            <w:tcBorders>
              <w:top w:val="single" w:sz="4" w:space="0" w:color="A6A6A6"/>
            </w:tcBorders>
            <w:noWrap/>
            <w:hideMark/>
          </w:tcPr>
          <w:p w14:paraId="3C34076B" w14:textId="77777777" w:rsidR="00CE75D4" w:rsidRPr="002029AF" w:rsidRDefault="00CE75D4" w:rsidP="008340C1">
            <w:pPr>
              <w:pStyle w:val="ARfintablebodyright"/>
            </w:pPr>
            <w:r w:rsidRPr="00643100">
              <w:t>(0.8)</w:t>
            </w:r>
          </w:p>
        </w:tc>
        <w:tc>
          <w:tcPr>
            <w:tcW w:w="1134" w:type="dxa"/>
            <w:tcBorders>
              <w:top w:val="single" w:sz="4" w:space="0" w:color="A6A6A6"/>
            </w:tcBorders>
            <w:noWrap/>
            <w:hideMark/>
          </w:tcPr>
          <w:p w14:paraId="330D5F66" w14:textId="77777777" w:rsidR="00CE75D4" w:rsidRPr="002029AF" w:rsidRDefault="00CE75D4" w:rsidP="008340C1">
            <w:pPr>
              <w:pStyle w:val="ARfintablebodyright"/>
            </w:pPr>
            <w:r w:rsidRPr="00643100">
              <w:t>(22.1)</w:t>
            </w:r>
          </w:p>
        </w:tc>
        <w:tc>
          <w:tcPr>
            <w:tcW w:w="1134" w:type="dxa"/>
            <w:tcBorders>
              <w:top w:val="single" w:sz="4" w:space="0" w:color="A6A6A6"/>
            </w:tcBorders>
            <w:noWrap/>
            <w:hideMark/>
          </w:tcPr>
          <w:p w14:paraId="2311A97E" w14:textId="77777777" w:rsidR="00CE75D4" w:rsidRPr="002029AF" w:rsidRDefault="00CE75D4" w:rsidP="008340C1">
            <w:pPr>
              <w:pStyle w:val="ARfintablebodyright"/>
            </w:pPr>
            <w:r w:rsidRPr="00643100">
              <w:t>(2.5)</w:t>
            </w:r>
          </w:p>
        </w:tc>
        <w:tc>
          <w:tcPr>
            <w:tcW w:w="1134" w:type="dxa"/>
            <w:tcBorders>
              <w:top w:val="single" w:sz="4" w:space="0" w:color="A6A6A6"/>
            </w:tcBorders>
            <w:noWrap/>
            <w:hideMark/>
          </w:tcPr>
          <w:p w14:paraId="77A00DA7" w14:textId="77777777" w:rsidR="00CE75D4" w:rsidRPr="002029AF" w:rsidRDefault="00CE75D4" w:rsidP="008340C1">
            <w:pPr>
              <w:pStyle w:val="ARfintablebodyright"/>
            </w:pPr>
            <w:r w:rsidRPr="00643100">
              <w:t>(6.4)</w:t>
            </w:r>
          </w:p>
        </w:tc>
        <w:tc>
          <w:tcPr>
            <w:tcW w:w="1134" w:type="dxa"/>
            <w:tcBorders>
              <w:top w:val="single" w:sz="4" w:space="0" w:color="A6A6A6"/>
            </w:tcBorders>
            <w:noWrap/>
            <w:hideMark/>
          </w:tcPr>
          <w:p w14:paraId="5238B96D" w14:textId="77777777" w:rsidR="00CE75D4" w:rsidRPr="002029AF" w:rsidRDefault="00CE75D4" w:rsidP="008340C1">
            <w:pPr>
              <w:pStyle w:val="ARfintablebodyright"/>
            </w:pPr>
            <w:r w:rsidRPr="00643100">
              <w:t>(31.8)</w:t>
            </w:r>
          </w:p>
        </w:tc>
      </w:tr>
      <w:tr w:rsidR="00CE75D4" w:rsidRPr="002029AF" w14:paraId="570111FB" w14:textId="77777777" w:rsidTr="00860E95">
        <w:tc>
          <w:tcPr>
            <w:tcW w:w="3967" w:type="dxa"/>
          </w:tcPr>
          <w:p w14:paraId="40C7233D" w14:textId="77777777" w:rsidR="00CE75D4" w:rsidRPr="002029AF" w:rsidRDefault="00CE75D4" w:rsidP="008340C1">
            <w:pPr>
              <w:pStyle w:val="ARfintablebodybold"/>
            </w:pPr>
            <w:r w:rsidRPr="00643100">
              <w:t>Closing balance – 30 June 2021</w:t>
            </w:r>
          </w:p>
        </w:tc>
        <w:tc>
          <w:tcPr>
            <w:tcW w:w="1134" w:type="dxa"/>
            <w:noWrap/>
          </w:tcPr>
          <w:p w14:paraId="329FAB69" w14:textId="77777777" w:rsidR="00CE75D4" w:rsidRPr="002029AF" w:rsidRDefault="00CE75D4" w:rsidP="008340C1">
            <w:pPr>
              <w:pStyle w:val="ARfintablebodyrightbold"/>
            </w:pPr>
            <w:r w:rsidRPr="00643100">
              <w:t>9.0</w:t>
            </w:r>
          </w:p>
        </w:tc>
        <w:tc>
          <w:tcPr>
            <w:tcW w:w="1134" w:type="dxa"/>
            <w:noWrap/>
          </w:tcPr>
          <w:p w14:paraId="327FA33A" w14:textId="77777777" w:rsidR="00CE75D4" w:rsidRPr="002029AF" w:rsidRDefault="00CE75D4" w:rsidP="008340C1">
            <w:pPr>
              <w:pStyle w:val="ARfintablebodyrightbold"/>
            </w:pPr>
            <w:r w:rsidRPr="00643100">
              <w:t>59.5</w:t>
            </w:r>
          </w:p>
        </w:tc>
        <w:tc>
          <w:tcPr>
            <w:tcW w:w="1134" w:type="dxa"/>
            <w:noWrap/>
          </w:tcPr>
          <w:p w14:paraId="65A5B7DE" w14:textId="77777777" w:rsidR="00CE75D4" w:rsidRPr="002029AF" w:rsidRDefault="00CE75D4" w:rsidP="008340C1">
            <w:pPr>
              <w:pStyle w:val="ARfintablebodyrightbold"/>
            </w:pPr>
            <w:r w:rsidRPr="00643100">
              <w:t>3.2</w:t>
            </w:r>
          </w:p>
        </w:tc>
        <w:tc>
          <w:tcPr>
            <w:tcW w:w="1134" w:type="dxa"/>
            <w:noWrap/>
          </w:tcPr>
          <w:p w14:paraId="218BAAA6" w14:textId="77777777" w:rsidR="00CE75D4" w:rsidRPr="002029AF" w:rsidRDefault="00CE75D4" w:rsidP="008340C1">
            <w:pPr>
              <w:pStyle w:val="ARfintablebodyrightbold"/>
            </w:pPr>
            <w:r w:rsidRPr="00643100">
              <w:t>26.5</w:t>
            </w:r>
          </w:p>
        </w:tc>
        <w:tc>
          <w:tcPr>
            <w:tcW w:w="1134" w:type="dxa"/>
            <w:noWrap/>
          </w:tcPr>
          <w:p w14:paraId="061E6478" w14:textId="77777777" w:rsidR="00CE75D4" w:rsidRPr="002029AF" w:rsidRDefault="00CE75D4" w:rsidP="008340C1">
            <w:pPr>
              <w:pStyle w:val="ARfintablebodyrightbold"/>
            </w:pPr>
            <w:r w:rsidRPr="00643100">
              <w:t>98.2</w:t>
            </w:r>
          </w:p>
        </w:tc>
      </w:tr>
    </w:tbl>
    <w:p w14:paraId="5F1BA179" w14:textId="77777777" w:rsidR="00CE75D4" w:rsidRDefault="00CE75D4" w:rsidP="008340C1">
      <w:pPr>
        <w:pStyle w:val="ARfintablefootnote"/>
      </w:pPr>
      <w:r w:rsidRPr="00447BC3">
        <w:rPr>
          <w:lang w:eastAsia="en-AU"/>
        </w:rPr>
        <w:t>Note:</w:t>
      </w:r>
    </w:p>
    <w:p w14:paraId="420E9040" w14:textId="77777777" w:rsidR="00CE75D4" w:rsidRDefault="00CE75D4" w:rsidP="008340C1">
      <w:pPr>
        <w:pStyle w:val="ARfintablefootnoteindent"/>
      </w:pPr>
      <w:r w:rsidRPr="00447BC3">
        <w:t>(i)</w:t>
      </w:r>
      <w:r>
        <w:tab/>
      </w:r>
      <w:r w:rsidRPr="00447BC3">
        <w:t>Removes the 30 June 2021 closing balances of the DFFH, the Victorian Disability Worker Commission and the Director of Housing</w:t>
      </w:r>
      <w:r>
        <w:t>,</w:t>
      </w:r>
      <w:r w:rsidRPr="00447BC3">
        <w:t xml:space="preserve"> which were included in the department</w:t>
      </w:r>
      <w:r>
        <w:t>’</w:t>
      </w:r>
      <w:r w:rsidRPr="00447BC3">
        <w:t xml:space="preserve">s </w:t>
      </w:r>
      <w:r>
        <w:t>2020–21</w:t>
      </w:r>
      <w:r w:rsidRPr="00447BC3">
        <w:t xml:space="preserve"> financial statements under s. 53(1)(b) of the FMA. </w:t>
      </w:r>
      <w:r>
        <w:t>The transactions which relate to these entities</w:t>
      </w:r>
      <w:r w:rsidRPr="00447BC3">
        <w:t xml:space="preserve"> are reported in the DFFH</w:t>
      </w:r>
      <w:r>
        <w:t>’</w:t>
      </w:r>
      <w:r w:rsidRPr="00447BC3">
        <w:t xml:space="preserve">s </w:t>
      </w:r>
      <w:r>
        <w:t>2021–22</w:t>
      </w:r>
      <w:r w:rsidRPr="00447BC3">
        <w:t xml:space="preserve"> financial statements.</w:t>
      </w:r>
    </w:p>
    <w:p w14:paraId="43C0B34D" w14:textId="77777777" w:rsidR="00CE75D4" w:rsidRPr="002029AF" w:rsidRDefault="00CE75D4" w:rsidP="00130D1C">
      <w:pPr>
        <w:pStyle w:val="Heading5"/>
        <w:spacing w:before="160"/>
      </w:pPr>
      <w:bookmarkStart w:id="580" w:name="_Toc85121428"/>
      <w:r>
        <w:rPr>
          <w:lang w:eastAsia="en-AU"/>
        </w:rPr>
        <w:t>5.1(b) Total service concession assets</w:t>
      </w:r>
      <w:bookmarkEnd w:id="580"/>
    </w:p>
    <w:tbl>
      <w:tblPr>
        <w:tblStyle w:val="TableGrid"/>
        <w:tblW w:w="9637" w:type="dxa"/>
        <w:tblLayout w:type="fixed"/>
        <w:tblLook w:val="06A0" w:firstRow="1" w:lastRow="0" w:firstColumn="1" w:lastColumn="0" w:noHBand="1" w:noVBand="1"/>
      </w:tblPr>
      <w:tblGrid>
        <w:gridCol w:w="2833"/>
        <w:gridCol w:w="1134"/>
        <w:gridCol w:w="1134"/>
        <w:gridCol w:w="1134"/>
        <w:gridCol w:w="1134"/>
        <w:gridCol w:w="1134"/>
        <w:gridCol w:w="1134"/>
      </w:tblGrid>
      <w:tr w:rsidR="00CE75D4" w:rsidRPr="002029AF" w14:paraId="2FBD8484"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2833" w:type="dxa"/>
            <w:vMerge w:val="restart"/>
            <w:noWrap/>
            <w:hideMark/>
          </w:tcPr>
          <w:p w14:paraId="52AB78D3" w14:textId="77777777" w:rsidR="00CE75D4" w:rsidRPr="002029AF" w:rsidRDefault="00CE75D4" w:rsidP="00860E95">
            <w:pPr>
              <w:pStyle w:val="ARfintablecolhead"/>
            </w:pPr>
          </w:p>
        </w:tc>
        <w:tc>
          <w:tcPr>
            <w:tcW w:w="2268" w:type="dxa"/>
            <w:gridSpan w:val="2"/>
            <w:hideMark/>
          </w:tcPr>
          <w:p w14:paraId="1747070E" w14:textId="77777777" w:rsidR="00CE75D4" w:rsidRPr="002029AF" w:rsidRDefault="00CE75D4" w:rsidP="00860E95">
            <w:pPr>
              <w:pStyle w:val="ARfintablecolheadright"/>
            </w:pPr>
            <w:r w:rsidRPr="002029AF">
              <w:t>Gross carrying amount</w:t>
            </w:r>
          </w:p>
        </w:tc>
        <w:tc>
          <w:tcPr>
            <w:tcW w:w="2268" w:type="dxa"/>
            <w:gridSpan w:val="2"/>
            <w:hideMark/>
          </w:tcPr>
          <w:p w14:paraId="1AE653BE" w14:textId="77777777" w:rsidR="00CE75D4" w:rsidRPr="002029AF" w:rsidRDefault="00CE75D4" w:rsidP="00860E95">
            <w:pPr>
              <w:pStyle w:val="ARfintablecolheadright"/>
            </w:pPr>
            <w:r w:rsidRPr="002029AF">
              <w:t>Accumulated depreciation</w:t>
            </w:r>
          </w:p>
        </w:tc>
        <w:tc>
          <w:tcPr>
            <w:tcW w:w="2268" w:type="dxa"/>
            <w:gridSpan w:val="2"/>
            <w:hideMark/>
          </w:tcPr>
          <w:p w14:paraId="11276795" w14:textId="77777777" w:rsidR="00CE75D4" w:rsidRPr="002029AF" w:rsidRDefault="00CE75D4" w:rsidP="00860E95">
            <w:pPr>
              <w:pStyle w:val="ARfintablecolheadright"/>
            </w:pPr>
            <w:r w:rsidRPr="002029AF">
              <w:t>Net carrying amount</w:t>
            </w:r>
          </w:p>
        </w:tc>
      </w:tr>
      <w:tr w:rsidR="00CE75D4" w:rsidRPr="002029AF" w14:paraId="2168C075"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2833" w:type="dxa"/>
            <w:vMerge/>
            <w:tcBorders>
              <w:bottom w:val="single" w:sz="4" w:space="0" w:color="auto"/>
            </w:tcBorders>
            <w:hideMark/>
          </w:tcPr>
          <w:p w14:paraId="14917713" w14:textId="77777777" w:rsidR="00CE75D4" w:rsidRPr="002029AF" w:rsidRDefault="00CE75D4" w:rsidP="008340C1">
            <w:pPr>
              <w:pStyle w:val="ARfintablecolheadright"/>
            </w:pPr>
          </w:p>
        </w:tc>
        <w:tc>
          <w:tcPr>
            <w:tcW w:w="1134" w:type="dxa"/>
            <w:tcBorders>
              <w:bottom w:val="single" w:sz="4" w:space="0" w:color="auto"/>
            </w:tcBorders>
            <w:shd w:val="clear" w:color="auto" w:fill="E7E6E6"/>
            <w:hideMark/>
          </w:tcPr>
          <w:p w14:paraId="2B91D371" w14:textId="77777777" w:rsidR="00CE75D4" w:rsidRPr="002029AF" w:rsidRDefault="00CE75D4" w:rsidP="008340C1">
            <w:pPr>
              <w:pStyle w:val="ARfintablecolheadright"/>
            </w:pPr>
            <w:r w:rsidRPr="002029AF">
              <w:t>202</w:t>
            </w:r>
            <w:r>
              <w:t>2</w:t>
            </w:r>
          </w:p>
          <w:p w14:paraId="14697117" w14:textId="77777777" w:rsidR="00CE75D4" w:rsidRPr="002029AF" w:rsidRDefault="00CE75D4" w:rsidP="008340C1">
            <w:pPr>
              <w:pStyle w:val="ARfintablecolheadright"/>
            </w:pPr>
            <w:r w:rsidRPr="002029AF">
              <w:t>$M</w:t>
            </w:r>
          </w:p>
        </w:tc>
        <w:tc>
          <w:tcPr>
            <w:tcW w:w="1134" w:type="dxa"/>
            <w:tcBorders>
              <w:bottom w:val="single" w:sz="4" w:space="0" w:color="auto"/>
            </w:tcBorders>
            <w:hideMark/>
          </w:tcPr>
          <w:p w14:paraId="2C244D6F" w14:textId="77777777" w:rsidR="00CE75D4" w:rsidRPr="002029AF" w:rsidRDefault="00CE75D4" w:rsidP="008340C1">
            <w:pPr>
              <w:pStyle w:val="ARfintablecolheadright"/>
            </w:pPr>
            <w:r>
              <w:t>2021</w:t>
            </w:r>
          </w:p>
          <w:p w14:paraId="07BB5925" w14:textId="77777777" w:rsidR="00CE75D4" w:rsidRPr="002029AF" w:rsidRDefault="00CE75D4" w:rsidP="008340C1">
            <w:pPr>
              <w:pStyle w:val="ARfintablecolheadright"/>
            </w:pPr>
            <w:r w:rsidRPr="002029AF">
              <w:t>$M</w:t>
            </w:r>
          </w:p>
        </w:tc>
        <w:tc>
          <w:tcPr>
            <w:tcW w:w="1134" w:type="dxa"/>
            <w:tcBorders>
              <w:bottom w:val="single" w:sz="4" w:space="0" w:color="auto"/>
            </w:tcBorders>
            <w:shd w:val="clear" w:color="auto" w:fill="E7E6E6"/>
            <w:hideMark/>
          </w:tcPr>
          <w:p w14:paraId="39578E4C" w14:textId="77777777" w:rsidR="00CE75D4" w:rsidRPr="002029AF" w:rsidRDefault="00CE75D4" w:rsidP="008340C1">
            <w:pPr>
              <w:pStyle w:val="ARfintablecolheadright"/>
            </w:pPr>
            <w:r w:rsidRPr="002029AF">
              <w:t>202</w:t>
            </w:r>
            <w:r>
              <w:t>2</w:t>
            </w:r>
          </w:p>
          <w:p w14:paraId="6EFAD9BD" w14:textId="77777777" w:rsidR="00CE75D4" w:rsidRPr="002029AF" w:rsidRDefault="00CE75D4" w:rsidP="008340C1">
            <w:pPr>
              <w:pStyle w:val="ARfintablecolheadright"/>
            </w:pPr>
            <w:r w:rsidRPr="002029AF">
              <w:t>$M</w:t>
            </w:r>
          </w:p>
        </w:tc>
        <w:tc>
          <w:tcPr>
            <w:tcW w:w="1134" w:type="dxa"/>
            <w:tcBorders>
              <w:bottom w:val="single" w:sz="4" w:space="0" w:color="auto"/>
            </w:tcBorders>
            <w:hideMark/>
          </w:tcPr>
          <w:p w14:paraId="28802996" w14:textId="77777777" w:rsidR="00CE75D4" w:rsidRPr="002029AF" w:rsidRDefault="00CE75D4" w:rsidP="008340C1">
            <w:pPr>
              <w:pStyle w:val="ARfintablecolheadright"/>
            </w:pPr>
            <w:r>
              <w:t>2021</w:t>
            </w:r>
          </w:p>
          <w:p w14:paraId="57C837FB" w14:textId="77777777" w:rsidR="00CE75D4" w:rsidRPr="002029AF" w:rsidRDefault="00CE75D4" w:rsidP="008340C1">
            <w:pPr>
              <w:pStyle w:val="ARfintablecolheadright"/>
            </w:pPr>
            <w:r w:rsidRPr="002029AF">
              <w:t>$M</w:t>
            </w:r>
          </w:p>
        </w:tc>
        <w:tc>
          <w:tcPr>
            <w:tcW w:w="1134" w:type="dxa"/>
            <w:tcBorders>
              <w:bottom w:val="single" w:sz="4" w:space="0" w:color="auto"/>
            </w:tcBorders>
            <w:shd w:val="clear" w:color="auto" w:fill="E7E6E6"/>
            <w:hideMark/>
          </w:tcPr>
          <w:p w14:paraId="371885E1" w14:textId="77777777" w:rsidR="00CE75D4" w:rsidRPr="002029AF" w:rsidRDefault="00CE75D4" w:rsidP="008340C1">
            <w:pPr>
              <w:pStyle w:val="ARfintablecolheadright"/>
            </w:pPr>
            <w:r w:rsidRPr="002029AF">
              <w:t>202</w:t>
            </w:r>
            <w:r>
              <w:t>2</w:t>
            </w:r>
          </w:p>
          <w:p w14:paraId="42D4DF95" w14:textId="77777777" w:rsidR="00CE75D4" w:rsidRPr="002029AF" w:rsidRDefault="00CE75D4" w:rsidP="008340C1">
            <w:pPr>
              <w:pStyle w:val="ARfintablecolheadright"/>
            </w:pPr>
            <w:r w:rsidRPr="002029AF">
              <w:t>$M</w:t>
            </w:r>
          </w:p>
        </w:tc>
        <w:tc>
          <w:tcPr>
            <w:tcW w:w="1134" w:type="dxa"/>
            <w:tcBorders>
              <w:bottom w:val="single" w:sz="4" w:space="0" w:color="auto"/>
            </w:tcBorders>
            <w:hideMark/>
          </w:tcPr>
          <w:p w14:paraId="7B921E9B" w14:textId="77777777" w:rsidR="00CE75D4" w:rsidRPr="002029AF" w:rsidRDefault="00CE75D4" w:rsidP="008340C1">
            <w:pPr>
              <w:pStyle w:val="ARfintablecolheadright"/>
            </w:pPr>
            <w:r>
              <w:t>2021</w:t>
            </w:r>
          </w:p>
          <w:p w14:paraId="2FAD2B74" w14:textId="77777777" w:rsidR="00CE75D4" w:rsidRPr="002029AF" w:rsidRDefault="00CE75D4" w:rsidP="008340C1">
            <w:pPr>
              <w:pStyle w:val="ARfintablecolheadright"/>
            </w:pPr>
            <w:r w:rsidRPr="002029AF">
              <w:t>$M</w:t>
            </w:r>
          </w:p>
        </w:tc>
      </w:tr>
      <w:tr w:rsidR="00CE75D4" w:rsidRPr="002029AF" w14:paraId="3F8D7FD9" w14:textId="77777777" w:rsidTr="00130D1C">
        <w:tc>
          <w:tcPr>
            <w:tcW w:w="2833" w:type="dxa"/>
            <w:tcBorders>
              <w:top w:val="single" w:sz="4" w:space="0" w:color="auto"/>
              <w:bottom w:val="single" w:sz="4" w:space="0" w:color="A6A6A6"/>
            </w:tcBorders>
            <w:hideMark/>
          </w:tcPr>
          <w:p w14:paraId="4AAC0EA3" w14:textId="77777777" w:rsidR="00CE75D4" w:rsidRPr="002029AF" w:rsidRDefault="00CE75D4" w:rsidP="008340C1">
            <w:pPr>
              <w:pStyle w:val="ARfintablebody"/>
            </w:pPr>
            <w:r w:rsidRPr="00B40F54">
              <w:t>Land at fair value</w:t>
            </w:r>
          </w:p>
        </w:tc>
        <w:tc>
          <w:tcPr>
            <w:tcW w:w="1134" w:type="dxa"/>
            <w:tcBorders>
              <w:top w:val="single" w:sz="4" w:space="0" w:color="auto"/>
              <w:bottom w:val="single" w:sz="4" w:space="0" w:color="A6A6A6"/>
            </w:tcBorders>
            <w:shd w:val="clear" w:color="auto" w:fill="E7E6E6"/>
            <w:noWrap/>
            <w:hideMark/>
          </w:tcPr>
          <w:p w14:paraId="45BA5DA7" w14:textId="77777777" w:rsidR="00CE75D4" w:rsidRPr="002029AF" w:rsidRDefault="00CE75D4" w:rsidP="008340C1">
            <w:pPr>
              <w:pStyle w:val="ARfintablebodyright"/>
            </w:pPr>
            <w:r w:rsidRPr="00B40F54">
              <w:t>487.7</w:t>
            </w:r>
          </w:p>
        </w:tc>
        <w:tc>
          <w:tcPr>
            <w:tcW w:w="1134" w:type="dxa"/>
            <w:tcBorders>
              <w:top w:val="single" w:sz="4" w:space="0" w:color="auto"/>
              <w:bottom w:val="single" w:sz="4" w:space="0" w:color="A6A6A6"/>
            </w:tcBorders>
            <w:noWrap/>
            <w:hideMark/>
          </w:tcPr>
          <w:p w14:paraId="19A7B2BA" w14:textId="77777777" w:rsidR="00CE75D4" w:rsidRPr="002029AF" w:rsidRDefault="00CE75D4" w:rsidP="008340C1">
            <w:pPr>
              <w:pStyle w:val="ARfintablebodyright"/>
            </w:pPr>
            <w:r w:rsidRPr="00B40F54">
              <w:t>429.1</w:t>
            </w:r>
          </w:p>
        </w:tc>
        <w:tc>
          <w:tcPr>
            <w:tcW w:w="1134" w:type="dxa"/>
            <w:tcBorders>
              <w:top w:val="single" w:sz="4" w:space="0" w:color="auto"/>
              <w:bottom w:val="single" w:sz="4" w:space="0" w:color="A6A6A6"/>
            </w:tcBorders>
            <w:shd w:val="clear" w:color="auto" w:fill="E7E6E6"/>
            <w:noWrap/>
            <w:hideMark/>
          </w:tcPr>
          <w:p w14:paraId="518041FE" w14:textId="77777777" w:rsidR="00CE75D4" w:rsidRPr="002029AF" w:rsidRDefault="00CE75D4" w:rsidP="008340C1">
            <w:pPr>
              <w:pStyle w:val="ARfintablebodyright"/>
            </w:pPr>
            <w:r>
              <w:t>–</w:t>
            </w:r>
          </w:p>
        </w:tc>
        <w:tc>
          <w:tcPr>
            <w:tcW w:w="1134" w:type="dxa"/>
            <w:tcBorders>
              <w:top w:val="single" w:sz="4" w:space="0" w:color="auto"/>
              <w:bottom w:val="single" w:sz="4" w:space="0" w:color="A6A6A6"/>
            </w:tcBorders>
            <w:noWrap/>
            <w:hideMark/>
          </w:tcPr>
          <w:p w14:paraId="40707E7F" w14:textId="77777777" w:rsidR="00CE75D4" w:rsidRPr="002029AF" w:rsidRDefault="00CE75D4" w:rsidP="008340C1">
            <w:pPr>
              <w:pStyle w:val="ARfintablebodyright"/>
            </w:pPr>
            <w:r>
              <w:t>–</w:t>
            </w:r>
          </w:p>
        </w:tc>
        <w:tc>
          <w:tcPr>
            <w:tcW w:w="1134" w:type="dxa"/>
            <w:tcBorders>
              <w:top w:val="single" w:sz="4" w:space="0" w:color="auto"/>
              <w:bottom w:val="single" w:sz="4" w:space="0" w:color="A6A6A6"/>
            </w:tcBorders>
            <w:shd w:val="clear" w:color="auto" w:fill="E7E6E6"/>
            <w:noWrap/>
            <w:hideMark/>
          </w:tcPr>
          <w:p w14:paraId="36B1A415" w14:textId="77777777" w:rsidR="00CE75D4" w:rsidRPr="002029AF" w:rsidRDefault="00CE75D4" w:rsidP="008340C1">
            <w:pPr>
              <w:pStyle w:val="ARfintablebodyright"/>
            </w:pPr>
            <w:r w:rsidRPr="00B40F54">
              <w:t>487.7</w:t>
            </w:r>
          </w:p>
        </w:tc>
        <w:tc>
          <w:tcPr>
            <w:tcW w:w="1134" w:type="dxa"/>
            <w:tcBorders>
              <w:top w:val="single" w:sz="4" w:space="0" w:color="auto"/>
              <w:bottom w:val="single" w:sz="4" w:space="0" w:color="A6A6A6"/>
            </w:tcBorders>
            <w:noWrap/>
            <w:hideMark/>
          </w:tcPr>
          <w:p w14:paraId="57F07A37" w14:textId="77777777" w:rsidR="00CE75D4" w:rsidRPr="002029AF" w:rsidRDefault="00CE75D4" w:rsidP="008340C1">
            <w:pPr>
              <w:pStyle w:val="ARfintablebodyright"/>
            </w:pPr>
            <w:r w:rsidRPr="00B40F54">
              <w:t>429.1</w:t>
            </w:r>
          </w:p>
        </w:tc>
      </w:tr>
      <w:tr w:rsidR="00CE75D4" w:rsidRPr="002029AF" w14:paraId="69F84A00" w14:textId="77777777" w:rsidTr="00130D1C">
        <w:tc>
          <w:tcPr>
            <w:tcW w:w="2833" w:type="dxa"/>
            <w:tcBorders>
              <w:top w:val="single" w:sz="4" w:space="0" w:color="A6A6A6"/>
              <w:bottom w:val="single" w:sz="4" w:space="0" w:color="A6A6A6"/>
            </w:tcBorders>
            <w:hideMark/>
          </w:tcPr>
          <w:p w14:paraId="326E88F1" w14:textId="77777777" w:rsidR="00CE75D4" w:rsidRPr="002029AF" w:rsidRDefault="00CE75D4" w:rsidP="008340C1">
            <w:pPr>
              <w:pStyle w:val="ARfintablebody"/>
            </w:pPr>
            <w:r w:rsidRPr="00B40F54">
              <w:t>Buildings at fair value</w:t>
            </w:r>
          </w:p>
        </w:tc>
        <w:tc>
          <w:tcPr>
            <w:tcW w:w="1134" w:type="dxa"/>
            <w:tcBorders>
              <w:top w:val="single" w:sz="4" w:space="0" w:color="A6A6A6"/>
              <w:bottom w:val="single" w:sz="4" w:space="0" w:color="A6A6A6"/>
            </w:tcBorders>
            <w:shd w:val="clear" w:color="auto" w:fill="E7E6E6"/>
            <w:noWrap/>
            <w:hideMark/>
          </w:tcPr>
          <w:p w14:paraId="5588489C" w14:textId="77777777" w:rsidR="00CE75D4" w:rsidRPr="002029AF" w:rsidRDefault="00CE75D4" w:rsidP="008340C1">
            <w:pPr>
              <w:pStyle w:val="ARfintablebodyright"/>
            </w:pPr>
            <w:r w:rsidRPr="00B40F54">
              <w:t>571.7</w:t>
            </w:r>
          </w:p>
        </w:tc>
        <w:tc>
          <w:tcPr>
            <w:tcW w:w="1134" w:type="dxa"/>
            <w:tcBorders>
              <w:top w:val="single" w:sz="4" w:space="0" w:color="A6A6A6"/>
              <w:bottom w:val="single" w:sz="4" w:space="0" w:color="A6A6A6"/>
            </w:tcBorders>
            <w:noWrap/>
            <w:hideMark/>
          </w:tcPr>
          <w:p w14:paraId="68567850" w14:textId="77777777" w:rsidR="00CE75D4" w:rsidRPr="002029AF" w:rsidRDefault="00CE75D4" w:rsidP="008340C1">
            <w:pPr>
              <w:pStyle w:val="ARfintablebodyright"/>
            </w:pPr>
            <w:r w:rsidRPr="00B40F54">
              <w:t>570.0</w:t>
            </w:r>
          </w:p>
        </w:tc>
        <w:tc>
          <w:tcPr>
            <w:tcW w:w="1134" w:type="dxa"/>
            <w:tcBorders>
              <w:top w:val="single" w:sz="4" w:space="0" w:color="A6A6A6"/>
              <w:bottom w:val="single" w:sz="4" w:space="0" w:color="A6A6A6"/>
            </w:tcBorders>
            <w:shd w:val="clear" w:color="auto" w:fill="E7E6E6"/>
            <w:noWrap/>
            <w:hideMark/>
          </w:tcPr>
          <w:p w14:paraId="585287A0" w14:textId="77777777" w:rsidR="00CE75D4" w:rsidRPr="002029AF" w:rsidRDefault="00CE75D4" w:rsidP="008340C1">
            <w:pPr>
              <w:pStyle w:val="ARfintablebodyright"/>
            </w:pPr>
            <w:r w:rsidRPr="00B40F54">
              <w:t>(71.9)</w:t>
            </w:r>
          </w:p>
        </w:tc>
        <w:tc>
          <w:tcPr>
            <w:tcW w:w="1134" w:type="dxa"/>
            <w:tcBorders>
              <w:top w:val="single" w:sz="4" w:space="0" w:color="A6A6A6"/>
              <w:bottom w:val="single" w:sz="4" w:space="0" w:color="A6A6A6"/>
            </w:tcBorders>
            <w:noWrap/>
            <w:hideMark/>
          </w:tcPr>
          <w:p w14:paraId="7129FAE9" w14:textId="77777777" w:rsidR="00CE75D4" w:rsidRPr="002029AF" w:rsidRDefault="00CE75D4" w:rsidP="008340C1">
            <w:pPr>
              <w:pStyle w:val="ARfintablebodyright"/>
            </w:pPr>
            <w:r w:rsidRPr="00B40F54">
              <w:t>(47.3)</w:t>
            </w:r>
          </w:p>
        </w:tc>
        <w:tc>
          <w:tcPr>
            <w:tcW w:w="1134" w:type="dxa"/>
            <w:tcBorders>
              <w:top w:val="single" w:sz="4" w:space="0" w:color="A6A6A6"/>
              <w:bottom w:val="single" w:sz="4" w:space="0" w:color="A6A6A6"/>
            </w:tcBorders>
            <w:shd w:val="clear" w:color="auto" w:fill="E7E6E6"/>
            <w:noWrap/>
            <w:hideMark/>
          </w:tcPr>
          <w:p w14:paraId="728BAB29" w14:textId="77777777" w:rsidR="00CE75D4" w:rsidRPr="002029AF" w:rsidRDefault="00CE75D4" w:rsidP="008340C1">
            <w:pPr>
              <w:pStyle w:val="ARfintablebodyright"/>
            </w:pPr>
            <w:r w:rsidRPr="00B40F54">
              <w:t>499.8</w:t>
            </w:r>
          </w:p>
        </w:tc>
        <w:tc>
          <w:tcPr>
            <w:tcW w:w="1134" w:type="dxa"/>
            <w:tcBorders>
              <w:top w:val="single" w:sz="4" w:space="0" w:color="A6A6A6"/>
              <w:bottom w:val="single" w:sz="4" w:space="0" w:color="A6A6A6"/>
            </w:tcBorders>
            <w:noWrap/>
            <w:hideMark/>
          </w:tcPr>
          <w:p w14:paraId="73324119" w14:textId="77777777" w:rsidR="00CE75D4" w:rsidRPr="002029AF" w:rsidRDefault="00CE75D4" w:rsidP="008340C1">
            <w:pPr>
              <w:pStyle w:val="ARfintablebodyright"/>
            </w:pPr>
            <w:r w:rsidRPr="00B40F54">
              <w:t>522.7</w:t>
            </w:r>
          </w:p>
        </w:tc>
      </w:tr>
      <w:tr w:rsidR="00CE75D4" w:rsidRPr="002029AF" w14:paraId="20000C97" w14:textId="77777777" w:rsidTr="00130D1C">
        <w:tc>
          <w:tcPr>
            <w:tcW w:w="2833" w:type="dxa"/>
            <w:hideMark/>
          </w:tcPr>
          <w:p w14:paraId="753BCDD2" w14:textId="77777777" w:rsidR="00CE75D4" w:rsidRPr="002029AF" w:rsidRDefault="00CE75D4" w:rsidP="008340C1">
            <w:pPr>
              <w:pStyle w:val="ARfintablebodybold"/>
            </w:pPr>
            <w:r w:rsidRPr="00B40F54">
              <w:t>Net carrying amount</w:t>
            </w:r>
          </w:p>
        </w:tc>
        <w:tc>
          <w:tcPr>
            <w:tcW w:w="1134" w:type="dxa"/>
            <w:shd w:val="clear" w:color="auto" w:fill="E7E6E6"/>
            <w:noWrap/>
            <w:hideMark/>
          </w:tcPr>
          <w:p w14:paraId="1253D9BE" w14:textId="77777777" w:rsidR="00CE75D4" w:rsidRPr="002029AF" w:rsidRDefault="00CE75D4" w:rsidP="008340C1">
            <w:pPr>
              <w:pStyle w:val="ARfintablebodyrightbold"/>
            </w:pPr>
            <w:r w:rsidRPr="00B40F54">
              <w:t>1,059.4</w:t>
            </w:r>
          </w:p>
        </w:tc>
        <w:tc>
          <w:tcPr>
            <w:tcW w:w="1134" w:type="dxa"/>
            <w:noWrap/>
            <w:hideMark/>
          </w:tcPr>
          <w:p w14:paraId="35D50971" w14:textId="77777777" w:rsidR="00CE75D4" w:rsidRPr="002029AF" w:rsidRDefault="00CE75D4" w:rsidP="008340C1">
            <w:pPr>
              <w:pStyle w:val="ARfintablebodyrightbold"/>
            </w:pPr>
            <w:r w:rsidRPr="00B40F54">
              <w:t>999.1</w:t>
            </w:r>
          </w:p>
        </w:tc>
        <w:tc>
          <w:tcPr>
            <w:tcW w:w="1134" w:type="dxa"/>
            <w:shd w:val="clear" w:color="auto" w:fill="E7E6E6"/>
            <w:noWrap/>
            <w:hideMark/>
          </w:tcPr>
          <w:p w14:paraId="48D80F77" w14:textId="77777777" w:rsidR="00CE75D4" w:rsidRPr="002029AF" w:rsidRDefault="00CE75D4" w:rsidP="008340C1">
            <w:pPr>
              <w:pStyle w:val="ARfintablebodyrightbold"/>
            </w:pPr>
            <w:r w:rsidRPr="00B40F54">
              <w:t>(71.9)</w:t>
            </w:r>
          </w:p>
        </w:tc>
        <w:tc>
          <w:tcPr>
            <w:tcW w:w="1134" w:type="dxa"/>
            <w:noWrap/>
            <w:hideMark/>
          </w:tcPr>
          <w:p w14:paraId="23D612C9" w14:textId="77777777" w:rsidR="00CE75D4" w:rsidRPr="002029AF" w:rsidRDefault="00CE75D4" w:rsidP="008340C1">
            <w:pPr>
              <w:pStyle w:val="ARfintablebodyrightbold"/>
            </w:pPr>
            <w:r w:rsidRPr="00B40F54">
              <w:t>(47.3)</w:t>
            </w:r>
          </w:p>
        </w:tc>
        <w:tc>
          <w:tcPr>
            <w:tcW w:w="1134" w:type="dxa"/>
            <w:shd w:val="clear" w:color="auto" w:fill="E7E6E6"/>
            <w:noWrap/>
            <w:hideMark/>
          </w:tcPr>
          <w:p w14:paraId="669B7897" w14:textId="77777777" w:rsidR="00CE75D4" w:rsidRPr="002029AF" w:rsidRDefault="00CE75D4" w:rsidP="008340C1">
            <w:pPr>
              <w:pStyle w:val="ARfintablebodyrightbold"/>
            </w:pPr>
            <w:r w:rsidRPr="00B40F54">
              <w:t>987.5</w:t>
            </w:r>
          </w:p>
        </w:tc>
        <w:tc>
          <w:tcPr>
            <w:tcW w:w="1134" w:type="dxa"/>
            <w:noWrap/>
            <w:hideMark/>
          </w:tcPr>
          <w:p w14:paraId="756E354F" w14:textId="77777777" w:rsidR="00CE75D4" w:rsidRPr="002029AF" w:rsidRDefault="00CE75D4" w:rsidP="008340C1">
            <w:pPr>
              <w:pStyle w:val="ARfintablebodyrightbold"/>
            </w:pPr>
            <w:r w:rsidRPr="00B40F54">
              <w:t>951.8</w:t>
            </w:r>
          </w:p>
        </w:tc>
      </w:tr>
    </w:tbl>
    <w:p w14:paraId="3CEFBE1E" w14:textId="77777777" w:rsidR="00CE75D4" w:rsidRDefault="00CE75D4" w:rsidP="008340C1">
      <w:pPr>
        <w:pStyle w:val="Heading6"/>
        <w:rPr>
          <w:lang w:eastAsia="en-AU"/>
        </w:rPr>
      </w:pPr>
      <w:r w:rsidRPr="00C85C38">
        <w:rPr>
          <w:lang w:eastAsia="en-AU"/>
        </w:rPr>
        <w:t>Initial recognition</w:t>
      </w:r>
    </w:p>
    <w:p w14:paraId="545D66C1" w14:textId="39CAC5DE" w:rsidR="00CE75D4" w:rsidRDefault="00CE75D4" w:rsidP="008340C1">
      <w:pPr>
        <w:pStyle w:val="ARfinbody"/>
      </w:pPr>
      <w:r w:rsidRPr="00C85C38">
        <w:t>Items of property, plant and equipment are measured initially at cost and subsequently revalued at fair value less accumulated depreciation and impairment. Where an asset is acquired for no or nominal consideration, the cost is the</w:t>
      </w:r>
      <w:r>
        <w:t> </w:t>
      </w:r>
      <w:r w:rsidRPr="00C85C38">
        <w:t>asset</w:t>
      </w:r>
      <w:r>
        <w:t>’</w:t>
      </w:r>
      <w:r w:rsidRPr="00C85C38">
        <w:t xml:space="preserve">s fair value at the date of acquisition. Assets transferred as part of a machinery of government </w:t>
      </w:r>
      <w:r>
        <w:t>change</w:t>
      </w:r>
      <w:r w:rsidRPr="00C85C38">
        <w:t xml:space="preserve"> are transferred at their carrying amount.</w:t>
      </w:r>
    </w:p>
    <w:p w14:paraId="1E3BDC7F" w14:textId="77777777" w:rsidR="00CE75D4" w:rsidRDefault="00CE75D4" w:rsidP="008340C1">
      <w:pPr>
        <w:pStyle w:val="ARfinbody"/>
      </w:pPr>
      <w:r w:rsidRPr="00C85C38">
        <w:t>The cost of constructed non-financial physical assets includes the cost of all materials used in construction, direct labour on the project and an appropriate proportion of variable and fixed overheads.</w:t>
      </w:r>
    </w:p>
    <w:p w14:paraId="7986BA91" w14:textId="77777777" w:rsidR="00CE75D4" w:rsidRPr="00C85C38" w:rsidRDefault="00CE75D4" w:rsidP="008340C1">
      <w:pPr>
        <w:pStyle w:val="ARfinbody"/>
      </w:pPr>
      <w:r w:rsidRPr="00C85C38">
        <w:t>The cost of leasehold improvements is capitalised and depreciated over the shorter of the remaining term of the leases or their estimated useful lives.</w:t>
      </w:r>
    </w:p>
    <w:p w14:paraId="40B042FD" w14:textId="77777777" w:rsidR="00CE75D4" w:rsidRDefault="00CE75D4" w:rsidP="008340C1">
      <w:pPr>
        <w:pStyle w:val="Heading6"/>
        <w:rPr>
          <w:lang w:eastAsia="en-AU"/>
        </w:rPr>
      </w:pPr>
      <w:r w:rsidRPr="00C85C38">
        <w:rPr>
          <w:lang w:eastAsia="en-AU"/>
        </w:rPr>
        <w:t>Right-of-use asset acquired by lessees – Initial measurement</w:t>
      </w:r>
    </w:p>
    <w:p w14:paraId="4506B68E" w14:textId="77777777" w:rsidR="00CE75D4" w:rsidRDefault="00CE75D4" w:rsidP="008340C1">
      <w:pPr>
        <w:pStyle w:val="ARfinbody"/>
      </w:pPr>
      <w:r w:rsidRPr="00C85C38">
        <w:t>The department recognises a right-of-use asset and a lease liability at the lease commencement date. The right-of-use asset is initially measured at cost</w:t>
      </w:r>
      <w:r>
        <w:t>,</w:t>
      </w:r>
      <w:r w:rsidRPr="00C85C38">
        <w:t xml:space="preserve"> which comprises the initial amount of the lease liability adjusted for:</w:t>
      </w:r>
    </w:p>
    <w:p w14:paraId="2D964CD7" w14:textId="77777777" w:rsidR="00CE75D4" w:rsidRPr="00E06A3B" w:rsidRDefault="00CE75D4" w:rsidP="00CE75D4">
      <w:pPr>
        <w:pStyle w:val="ARfinbullet1"/>
        <w:rPr>
          <w:szCs w:val="18"/>
        </w:rPr>
      </w:pPr>
      <w:r w:rsidRPr="00E06A3B">
        <w:rPr>
          <w:szCs w:val="18"/>
        </w:rPr>
        <w:t>any lease payments made at or before the commencement date, plus</w:t>
      </w:r>
    </w:p>
    <w:p w14:paraId="7A0E931E" w14:textId="77777777" w:rsidR="00CE75D4" w:rsidRPr="00E06A3B" w:rsidRDefault="00CE75D4" w:rsidP="00CE75D4">
      <w:pPr>
        <w:pStyle w:val="ARfinbullet1"/>
        <w:rPr>
          <w:szCs w:val="18"/>
        </w:rPr>
      </w:pPr>
      <w:r w:rsidRPr="00E06A3B">
        <w:rPr>
          <w:szCs w:val="18"/>
        </w:rPr>
        <w:t>any initial direct costs incurred, and</w:t>
      </w:r>
    </w:p>
    <w:p w14:paraId="1C2EDCE3" w14:textId="77777777" w:rsidR="00CE75D4" w:rsidRPr="00E06A3B" w:rsidRDefault="00CE75D4" w:rsidP="00CE75D4">
      <w:pPr>
        <w:pStyle w:val="ARfinbullet1"/>
        <w:rPr>
          <w:szCs w:val="18"/>
        </w:rPr>
      </w:pPr>
      <w:r w:rsidRPr="00E06A3B">
        <w:rPr>
          <w:szCs w:val="18"/>
        </w:rPr>
        <w:t>an estimate of costs to dismantle and remove the underlying asset or to restore the underlying asset or the site on which it is located.</w:t>
      </w:r>
    </w:p>
    <w:p w14:paraId="4CDCB506" w14:textId="77777777" w:rsidR="00CE75D4" w:rsidRDefault="00CE75D4" w:rsidP="008340C1">
      <w:pPr>
        <w:pStyle w:val="Heading6"/>
        <w:rPr>
          <w:lang w:eastAsia="en-AU"/>
        </w:rPr>
      </w:pPr>
      <w:r w:rsidRPr="00C85C38">
        <w:rPr>
          <w:lang w:eastAsia="en-AU"/>
        </w:rPr>
        <w:t xml:space="preserve">Service concession assets (under AASB </w:t>
      </w:r>
      <w:r w:rsidRPr="003E10BC">
        <w:rPr>
          <w:lang w:eastAsia="en-AU"/>
        </w:rPr>
        <w:t xml:space="preserve">1059 </w:t>
      </w:r>
      <w:r w:rsidRPr="003E10BC">
        <w:rPr>
          <w:rStyle w:val="Emphasis"/>
        </w:rPr>
        <w:t xml:space="preserve">Service Concession </w:t>
      </w:r>
      <w:r>
        <w:rPr>
          <w:rStyle w:val="Emphasis"/>
        </w:rPr>
        <w:t>Arrangements</w:t>
      </w:r>
      <w:r w:rsidRPr="003E10BC">
        <w:rPr>
          <w:rStyle w:val="Emphasis"/>
        </w:rPr>
        <w:t>: Grantors</w:t>
      </w:r>
      <w:r w:rsidRPr="003E10BC">
        <w:rPr>
          <w:lang w:eastAsia="en-AU"/>
        </w:rPr>
        <w:t>)</w:t>
      </w:r>
      <w:r w:rsidRPr="00C85C38">
        <w:rPr>
          <w:lang w:eastAsia="en-AU"/>
        </w:rPr>
        <w:t xml:space="preserve"> – Initial</w:t>
      </w:r>
      <w:r>
        <w:rPr>
          <w:lang w:eastAsia="en-AU"/>
        </w:rPr>
        <w:t> </w:t>
      </w:r>
      <w:r w:rsidRPr="00C85C38">
        <w:rPr>
          <w:lang w:eastAsia="en-AU"/>
        </w:rPr>
        <w:t>measurement</w:t>
      </w:r>
    </w:p>
    <w:p w14:paraId="4A1988BC" w14:textId="77777777" w:rsidR="00CE75D4" w:rsidRPr="00C85C38" w:rsidRDefault="00CE75D4" w:rsidP="008340C1">
      <w:pPr>
        <w:pStyle w:val="ARfinbody"/>
      </w:pPr>
      <w:r w:rsidRPr="00C85C38">
        <w:t>The department initially recognises service concession assets and service concession assets under construction, including land, buildings, equipment and intangible assets, at current replacement cost in accordance with the cost approach to fair value in AASB 13</w:t>
      </w:r>
      <w:r w:rsidRPr="00FB472A">
        <w:rPr>
          <w:rStyle w:val="Emphasis"/>
        </w:rPr>
        <w:t xml:space="preserve"> Fair Value Measurement</w:t>
      </w:r>
      <w:r w:rsidRPr="00C85C38">
        <w:t>. Where existing assets and assets under construction, including land, buildings, equipment and intangible assets, meet the definition of service concession assets under AASB</w:t>
      </w:r>
      <w:r>
        <w:t> </w:t>
      </w:r>
      <w:r w:rsidRPr="00C85C38">
        <w:t>1059, the department reclassifies the existing assets as service concession assets and measures the assets at</w:t>
      </w:r>
      <w:r>
        <w:t> </w:t>
      </w:r>
      <w:r w:rsidRPr="00C85C38">
        <w:t>current replacement cost in accordance with the cost approach to fair value in AASB 13 as at the date of reclassification.</w:t>
      </w:r>
    </w:p>
    <w:p w14:paraId="509F812B" w14:textId="77777777" w:rsidR="00CE75D4" w:rsidRDefault="00CE75D4" w:rsidP="008340C1">
      <w:pPr>
        <w:pStyle w:val="Heading6"/>
        <w:rPr>
          <w:lang w:eastAsia="en-AU"/>
        </w:rPr>
      </w:pPr>
      <w:r w:rsidRPr="00C85C38">
        <w:rPr>
          <w:lang w:eastAsia="en-AU"/>
        </w:rPr>
        <w:t>Subsequent measurement</w:t>
      </w:r>
    </w:p>
    <w:p w14:paraId="122B258B" w14:textId="77777777" w:rsidR="00CE75D4" w:rsidRPr="00C85C38" w:rsidRDefault="00CE75D4" w:rsidP="008340C1">
      <w:pPr>
        <w:pStyle w:val="ARfinbody"/>
      </w:pPr>
      <w:r w:rsidRPr="00C85C38">
        <w:t>Property, plant and equipment as well as right-of-use assets under leases and service concession assets are subsequently measured at fair value less accumulated depreciation and impairment. Fair value is determined with regard</w:t>
      </w:r>
      <w:r>
        <w:t> </w:t>
      </w:r>
      <w:r w:rsidRPr="00C85C38">
        <w:t>to the asset</w:t>
      </w:r>
      <w:r>
        <w:t>’</w:t>
      </w:r>
      <w:r w:rsidRPr="00C85C38">
        <w:t>s highest and best use (considering legal or physical restrictions imposed on the asset, public announcements or commitments made in relation to the intended use of the asset) and is summarised below by asset</w:t>
      </w:r>
      <w:r>
        <w:t> </w:t>
      </w:r>
      <w:r w:rsidRPr="00C85C38">
        <w:t>category.</w:t>
      </w:r>
    </w:p>
    <w:p w14:paraId="1C4BED96" w14:textId="77777777" w:rsidR="00CE75D4" w:rsidRDefault="00CE75D4" w:rsidP="008340C1">
      <w:pPr>
        <w:pStyle w:val="Heading6"/>
        <w:rPr>
          <w:lang w:eastAsia="en-AU"/>
        </w:rPr>
      </w:pPr>
      <w:r w:rsidRPr="00C85C38">
        <w:rPr>
          <w:lang w:eastAsia="en-AU"/>
        </w:rPr>
        <w:t>Right-of-use asset – Subsequent measurement</w:t>
      </w:r>
    </w:p>
    <w:p w14:paraId="27E64DCA" w14:textId="77777777" w:rsidR="00CE75D4" w:rsidRPr="00C85C38" w:rsidRDefault="00CE75D4" w:rsidP="008340C1">
      <w:pPr>
        <w:pStyle w:val="ARfinbody"/>
      </w:pPr>
      <w:r w:rsidRPr="00C85C38">
        <w:t>The department depreciates the right-of-use assets on a straight-line basis from the lease commencement date to the</w:t>
      </w:r>
      <w:r>
        <w:t> </w:t>
      </w:r>
      <w:r w:rsidRPr="00C85C38">
        <w:t>earlier of the end of the useful life of the right-of-use asset or the end of the lease term. The right-of-use assets are</w:t>
      </w:r>
      <w:r>
        <w:t> </w:t>
      </w:r>
      <w:r w:rsidRPr="00C85C38">
        <w:t>also subject to revaluation.</w:t>
      </w:r>
    </w:p>
    <w:p w14:paraId="4942FDFF" w14:textId="77777777" w:rsidR="00CE75D4" w:rsidRPr="00C85C38" w:rsidRDefault="00CE75D4" w:rsidP="008340C1">
      <w:pPr>
        <w:pStyle w:val="ARfinbody"/>
      </w:pPr>
      <w:r w:rsidRPr="00C85C38">
        <w:t>In addition, the right-of-use asset is periodically reduced by impairment losses, if any, and adjusted for certain remeasurements of the lease liability.</w:t>
      </w:r>
    </w:p>
    <w:p w14:paraId="2A1701A5" w14:textId="77777777" w:rsidR="00CE75D4" w:rsidRDefault="00CE75D4" w:rsidP="008340C1">
      <w:pPr>
        <w:pStyle w:val="Heading6"/>
        <w:rPr>
          <w:lang w:eastAsia="en-AU"/>
        </w:rPr>
      </w:pPr>
      <w:r w:rsidRPr="00C85C38">
        <w:rPr>
          <w:lang w:eastAsia="en-AU"/>
        </w:rPr>
        <w:t>Service concession assets – Subsequent measurement</w:t>
      </w:r>
    </w:p>
    <w:p w14:paraId="4FA6E0E5" w14:textId="7B9CD859" w:rsidR="00CE75D4" w:rsidRDefault="00CE75D4" w:rsidP="008340C1">
      <w:pPr>
        <w:pStyle w:val="ARfinbody"/>
      </w:pPr>
      <w:r w:rsidRPr="00C85C38">
        <w:t>Service concession assets are subject to revaluation as required by Financial Reporting Direction (FRD) 103</w:t>
      </w:r>
      <w:r>
        <w:t xml:space="preserve"> </w:t>
      </w:r>
      <w:r>
        <w:br/>
      </w:r>
      <w:r w:rsidRPr="00F87AED">
        <w:rPr>
          <w:rStyle w:val="Emphasis"/>
        </w:rPr>
        <w:t>Non-financial physical assets</w:t>
      </w:r>
      <w:r w:rsidRPr="00C85C38">
        <w:t xml:space="preserve">. </w:t>
      </w:r>
      <w:r>
        <w:t>The FRD requires a managerial revaluation to be performed in the non-scheduled revaluation years, where the cumulative movement in indexed valuations is material (greater than 10% but not greater than 40%). Where the cumulative movement is greater than 40</w:t>
      </w:r>
      <w:r w:rsidDel="006F370B">
        <w:t>%</w:t>
      </w:r>
      <w:r w:rsidR="006F370B">
        <w:t xml:space="preserve"> </w:t>
      </w:r>
      <w:r>
        <w:t xml:space="preserve">and exceptionally material, an interim valuation would be required. </w:t>
      </w:r>
      <w:r w:rsidRPr="00C85C38">
        <w:t>As at 30</w:t>
      </w:r>
      <w:r>
        <w:t xml:space="preserve"> </w:t>
      </w:r>
      <w:r w:rsidRPr="00C85C38">
        <w:t xml:space="preserve">June 2022, </w:t>
      </w:r>
      <w:r>
        <w:t>the cumulative movement based on the assessment performed with the Valuer-General Victoria (VGV)-issued indices, the department’s land asset class, which includes service concession land assets, increased by 12.37</w:t>
      </w:r>
      <w:r w:rsidDel="0027024F">
        <w:t>%</w:t>
      </w:r>
      <w:r w:rsidR="0027024F">
        <w:t xml:space="preserve"> </w:t>
      </w:r>
      <w:r>
        <w:t xml:space="preserve">since the last scheduled revaluation, and </w:t>
      </w:r>
      <w:r w:rsidR="006F370B">
        <w:t>was</w:t>
      </w:r>
      <w:r w:rsidR="000F2903">
        <w:t>,</w:t>
      </w:r>
      <w:r w:rsidR="006F370B">
        <w:t xml:space="preserve"> </w:t>
      </w:r>
      <w:r>
        <w:t>therefore subject to a managerial revaluation.</w:t>
      </w:r>
    </w:p>
    <w:p w14:paraId="500E95BF" w14:textId="77777777" w:rsidR="00CE75D4" w:rsidRPr="00C85C38" w:rsidRDefault="00CE75D4" w:rsidP="008340C1">
      <w:pPr>
        <w:pStyle w:val="ARfinbody"/>
      </w:pPr>
      <w:r w:rsidRPr="00C85C38">
        <w:t>When revalued, the fair value of service concession assets will be determined as follows:</w:t>
      </w:r>
    </w:p>
    <w:p w14:paraId="5A939115" w14:textId="77777777" w:rsidR="00CE75D4" w:rsidRDefault="00CE75D4" w:rsidP="008340C1">
      <w:pPr>
        <w:pStyle w:val="ARfinbody"/>
      </w:pPr>
      <w:r w:rsidRPr="00E25C98">
        <w:rPr>
          <w:rStyle w:val="Strong"/>
        </w:rPr>
        <w:t>Non-specialised land and non-specialised buildings</w:t>
      </w:r>
      <w:r w:rsidRPr="00E25C98">
        <w:t xml:space="preserve"> are</w:t>
      </w:r>
      <w:r w:rsidRPr="00C85C38">
        <w:t xml:space="preserve"> valued using the market approach, whereby assets are compared to recent comparable sales or sales of comparable assets that are considered to have nominal value.</w:t>
      </w:r>
    </w:p>
    <w:p w14:paraId="6A31C485" w14:textId="77777777" w:rsidR="00CE75D4" w:rsidRDefault="00CE75D4" w:rsidP="008340C1">
      <w:pPr>
        <w:pStyle w:val="ARfinbody"/>
      </w:pPr>
      <w:r w:rsidRPr="00E25C98">
        <w:rPr>
          <w:rStyle w:val="Strong"/>
        </w:rPr>
        <w:t>Specialised land and specialised buildings:</w:t>
      </w:r>
      <w:r w:rsidRPr="00E25C98">
        <w:t xml:space="preserve"> </w:t>
      </w:r>
      <w:r w:rsidRPr="00C85C38">
        <w:t>The market approach is used for specialised land, although it may be</w:t>
      </w:r>
      <w:r>
        <w:t> </w:t>
      </w:r>
      <w:r w:rsidRPr="00C85C38">
        <w:t>adjusted for a community service obligation (CSO) to reflect the specialised nature of the land being valued.</w:t>
      </w:r>
    </w:p>
    <w:p w14:paraId="124CFFC1" w14:textId="77777777" w:rsidR="00CE75D4" w:rsidRDefault="00CE75D4" w:rsidP="008340C1">
      <w:pPr>
        <w:pStyle w:val="ARfinbody"/>
      </w:pPr>
      <w:r w:rsidRPr="00C85C38">
        <w:t>The CSO adjustment is a reflection of the valuer</w:t>
      </w:r>
      <w:r>
        <w:t>’</w:t>
      </w:r>
      <w:r w:rsidRPr="00C85C38">
        <w:t>s assessment of the impact of restrictions associated with an asset to</w:t>
      </w:r>
      <w:r>
        <w:t> </w:t>
      </w:r>
      <w:r w:rsidRPr="00C85C38">
        <w:t>the extent that is also equally applicable to market participants.</w:t>
      </w:r>
    </w:p>
    <w:p w14:paraId="2EFC55FF" w14:textId="77777777" w:rsidR="00CE75D4" w:rsidRPr="00C85C38" w:rsidRDefault="00CE75D4" w:rsidP="008340C1">
      <w:pPr>
        <w:pStyle w:val="ARfinbody"/>
      </w:pPr>
      <w:r w:rsidRPr="00C85C38">
        <w:t>For the majority of the department</w:t>
      </w:r>
      <w:r>
        <w:t>’</w:t>
      </w:r>
      <w:r w:rsidRPr="00C85C38">
        <w:t>s specialised buildings, the current replacement cost method is used, adjusting for</w:t>
      </w:r>
      <w:r>
        <w:t> </w:t>
      </w:r>
      <w:r w:rsidRPr="00C85C38">
        <w:t>the</w:t>
      </w:r>
      <w:r>
        <w:t> </w:t>
      </w:r>
      <w:r w:rsidRPr="00C85C38">
        <w:t>associated depreciation.</w:t>
      </w:r>
    </w:p>
    <w:p w14:paraId="217BEB09" w14:textId="77777777" w:rsidR="00CE75D4" w:rsidRDefault="00CE75D4" w:rsidP="008340C1">
      <w:pPr>
        <w:pStyle w:val="ARfinbody"/>
      </w:pPr>
      <w:r w:rsidRPr="00E25C98">
        <w:rPr>
          <w:rStyle w:val="Strong"/>
        </w:rPr>
        <w:t>Vehicles</w:t>
      </w:r>
      <w:r w:rsidRPr="00C85C38">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the relevant depreciation rates during use to reflect the utilisation of the vehicles.</w:t>
      </w:r>
    </w:p>
    <w:p w14:paraId="29F4721E" w14:textId="77777777" w:rsidR="00CE75D4" w:rsidRDefault="00CE75D4" w:rsidP="008340C1">
      <w:pPr>
        <w:pStyle w:val="ARfinbody"/>
      </w:pPr>
      <w:r w:rsidRPr="00C85C38">
        <w:t xml:space="preserve">Fair value for </w:t>
      </w:r>
      <w:r w:rsidRPr="00E25C98">
        <w:rPr>
          <w:rStyle w:val="Strong"/>
        </w:rPr>
        <w:t>plant and equipment</w:t>
      </w:r>
      <w:r w:rsidRPr="00C85C38">
        <w:t xml:space="preserve"> is determined using the current replacement cost method.</w:t>
      </w:r>
    </w:p>
    <w:p w14:paraId="21CAA511" w14:textId="77777777" w:rsidR="00CE75D4" w:rsidRPr="00C85C38" w:rsidRDefault="00CE75D4" w:rsidP="008340C1">
      <w:pPr>
        <w:pStyle w:val="ARfinbody"/>
      </w:pPr>
      <w:r w:rsidRPr="00C85C38">
        <w:t>Refer to Note 8.3.2 for additional information on fair value determination of property, plant and equipment.</w:t>
      </w:r>
    </w:p>
    <w:p w14:paraId="762B518B" w14:textId="77777777" w:rsidR="00CE75D4" w:rsidRDefault="00CE75D4" w:rsidP="008340C1">
      <w:pPr>
        <w:pStyle w:val="Heading6"/>
      </w:pPr>
      <w:r w:rsidRPr="00C85C38">
        <w:t>Impairment of property, plant and equipment</w:t>
      </w:r>
    </w:p>
    <w:p w14:paraId="76E42F90" w14:textId="77777777" w:rsidR="00CE75D4" w:rsidRDefault="00CE75D4" w:rsidP="008340C1">
      <w:pPr>
        <w:pStyle w:val="ARfinbody"/>
      </w:pPr>
      <w:r w:rsidRPr="00C85C38">
        <w:t xml:space="preserve">The recoverable amount of primarily non-cash generating assets of not-for-profit entities, which are typically specialised in nature and held for continuing use of their service capacity, is expected to be materially the same as fair value determined under AASB 13 </w:t>
      </w:r>
      <w:r w:rsidRPr="00FB472A">
        <w:rPr>
          <w:rStyle w:val="Emphasis"/>
        </w:rPr>
        <w:t>Fair Value Measurement</w:t>
      </w:r>
      <w:r w:rsidRPr="00FB472A">
        <w:t>,</w:t>
      </w:r>
      <w:r w:rsidRPr="00C85C38">
        <w:t xml:space="preserve"> with the consequence that AASB 136</w:t>
      </w:r>
      <w:r>
        <w:t xml:space="preserve"> </w:t>
      </w:r>
      <w:r w:rsidRPr="00F87AED">
        <w:rPr>
          <w:rStyle w:val="Emphasis"/>
        </w:rPr>
        <w:t>Impairment of Assets</w:t>
      </w:r>
      <w:r>
        <w:t xml:space="preserve"> </w:t>
      </w:r>
      <w:r w:rsidRPr="00C85C38">
        <w:t>does not apply to such assets that are regularly revalued.</w:t>
      </w:r>
    </w:p>
    <w:p w14:paraId="2B01A113" w14:textId="77777777" w:rsidR="00CE75D4" w:rsidRPr="0040433B" w:rsidRDefault="00CE75D4" w:rsidP="00130D1C">
      <w:pPr>
        <w:pStyle w:val="ARfinbody"/>
      </w:pPr>
      <w:r w:rsidRPr="0040433B">
        <w:br w:type="page"/>
      </w:r>
    </w:p>
    <w:p w14:paraId="788D0FD2" w14:textId="77777777" w:rsidR="00CE75D4" w:rsidRPr="002029AF" w:rsidRDefault="00CE75D4" w:rsidP="00087B91">
      <w:pPr>
        <w:pStyle w:val="Heading5"/>
      </w:pPr>
      <w:bookmarkStart w:id="581" w:name="_Toc85121436"/>
      <w:r w:rsidRPr="002029AF">
        <w:t>5.1.1 Depreciation and amortisation</w:t>
      </w:r>
      <w:bookmarkEnd w:id="581"/>
    </w:p>
    <w:p w14:paraId="56A4D4C9" w14:textId="77777777" w:rsidR="00CE75D4" w:rsidRPr="002029AF" w:rsidRDefault="00CE75D4" w:rsidP="00087B91">
      <w:pPr>
        <w:pStyle w:val="Heading6"/>
      </w:pPr>
      <w:bookmarkStart w:id="582" w:name="_Toc85121437"/>
      <w:r w:rsidRPr="002029AF">
        <w:t>Charge for the period</w:t>
      </w:r>
      <w:bookmarkEnd w:id="582"/>
    </w:p>
    <w:tbl>
      <w:tblPr>
        <w:tblStyle w:val="TableGrid"/>
        <w:tblW w:w="9637" w:type="dxa"/>
        <w:tblLayout w:type="fixed"/>
        <w:tblLook w:val="06A0" w:firstRow="1" w:lastRow="0" w:firstColumn="1" w:lastColumn="0" w:noHBand="1" w:noVBand="1"/>
      </w:tblPr>
      <w:tblGrid>
        <w:gridCol w:w="7371"/>
        <w:gridCol w:w="1133"/>
        <w:gridCol w:w="1133"/>
      </w:tblGrid>
      <w:tr w:rsidR="00CE75D4" w:rsidRPr="002029AF" w14:paraId="342AF8C0" w14:textId="77777777" w:rsidTr="3D493511">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0C8419A2" w14:textId="77777777" w:rsidR="00CE75D4" w:rsidRPr="002029AF" w:rsidRDefault="00CE75D4" w:rsidP="008340C1">
            <w:pPr>
              <w:pStyle w:val="ARfintablecolhead"/>
            </w:pPr>
          </w:p>
        </w:tc>
        <w:tc>
          <w:tcPr>
            <w:tcW w:w="1133" w:type="dxa"/>
            <w:tcBorders>
              <w:bottom w:val="single" w:sz="4" w:space="0" w:color="auto"/>
            </w:tcBorders>
            <w:shd w:val="clear" w:color="auto" w:fill="E7E6E6" w:themeFill="background2"/>
            <w:hideMark/>
          </w:tcPr>
          <w:p w14:paraId="42D823EF" w14:textId="77777777" w:rsidR="00CE75D4" w:rsidRPr="002029AF" w:rsidRDefault="00CE75D4" w:rsidP="008340C1">
            <w:pPr>
              <w:pStyle w:val="ARfintablecolheadright"/>
            </w:pPr>
            <w:r w:rsidRPr="002029AF">
              <w:t>202</w:t>
            </w:r>
            <w:r>
              <w:t>2</w:t>
            </w:r>
          </w:p>
          <w:p w14:paraId="78E7579F" w14:textId="77777777" w:rsidR="00CE75D4" w:rsidRPr="002029AF" w:rsidRDefault="00CE75D4" w:rsidP="008340C1">
            <w:pPr>
              <w:pStyle w:val="ARfintablecolheadright"/>
            </w:pPr>
            <w:r w:rsidRPr="002029AF">
              <w:t>$M</w:t>
            </w:r>
          </w:p>
        </w:tc>
        <w:tc>
          <w:tcPr>
            <w:tcW w:w="1133" w:type="dxa"/>
            <w:tcBorders>
              <w:bottom w:val="single" w:sz="4" w:space="0" w:color="auto"/>
            </w:tcBorders>
            <w:hideMark/>
          </w:tcPr>
          <w:p w14:paraId="5E1959C2" w14:textId="77777777" w:rsidR="00CE75D4" w:rsidRPr="002029AF" w:rsidRDefault="00CE75D4" w:rsidP="008340C1">
            <w:pPr>
              <w:pStyle w:val="ARfintablecolheadright"/>
            </w:pPr>
            <w:r>
              <w:t>2021</w:t>
            </w:r>
          </w:p>
          <w:p w14:paraId="0D955001" w14:textId="77777777" w:rsidR="00CE75D4" w:rsidRPr="002029AF" w:rsidRDefault="00CE75D4" w:rsidP="008340C1">
            <w:pPr>
              <w:pStyle w:val="ARfintablecolheadright"/>
            </w:pPr>
            <w:r w:rsidRPr="002029AF">
              <w:t>$M</w:t>
            </w:r>
          </w:p>
        </w:tc>
      </w:tr>
      <w:tr w:rsidR="00CE75D4" w:rsidRPr="002029AF" w14:paraId="70DA22A7" w14:textId="77777777" w:rsidTr="3D493511">
        <w:trPr>
          <w:trHeight w:val="255"/>
        </w:trPr>
        <w:tc>
          <w:tcPr>
            <w:tcW w:w="7371" w:type="dxa"/>
            <w:tcBorders>
              <w:top w:val="single" w:sz="4" w:space="0" w:color="auto"/>
              <w:bottom w:val="single" w:sz="4" w:space="0" w:color="A6A6A6" w:themeColor="background1" w:themeShade="A6"/>
            </w:tcBorders>
            <w:hideMark/>
          </w:tcPr>
          <w:p w14:paraId="6F95B50A" w14:textId="77777777" w:rsidR="00CE75D4" w:rsidRPr="002029AF" w:rsidRDefault="00CE75D4" w:rsidP="008340C1">
            <w:pPr>
              <w:pStyle w:val="ARfintablebodybold"/>
            </w:pPr>
            <w:r w:rsidRPr="008A7313">
              <w:t>Buildings</w:t>
            </w:r>
          </w:p>
        </w:tc>
        <w:tc>
          <w:tcPr>
            <w:tcW w:w="1133" w:type="dxa"/>
            <w:tcBorders>
              <w:top w:val="single" w:sz="4" w:space="0" w:color="auto"/>
              <w:bottom w:val="single" w:sz="4" w:space="0" w:color="A6A6A6" w:themeColor="background1" w:themeShade="A6"/>
            </w:tcBorders>
            <w:shd w:val="clear" w:color="auto" w:fill="E7E6E6" w:themeFill="background2"/>
            <w:noWrap/>
            <w:hideMark/>
          </w:tcPr>
          <w:p w14:paraId="5D4F31EC" w14:textId="77777777" w:rsidR="00CE75D4" w:rsidRPr="002029AF" w:rsidRDefault="00CE75D4" w:rsidP="008340C1">
            <w:pPr>
              <w:pStyle w:val="ARfintablebodyrightbold"/>
            </w:pPr>
            <w:r w:rsidRPr="008A7313">
              <w:t>0.6</w:t>
            </w:r>
          </w:p>
        </w:tc>
        <w:tc>
          <w:tcPr>
            <w:tcW w:w="1133" w:type="dxa"/>
            <w:tcBorders>
              <w:top w:val="single" w:sz="4" w:space="0" w:color="auto"/>
              <w:bottom w:val="single" w:sz="4" w:space="0" w:color="A6A6A6" w:themeColor="background1" w:themeShade="A6"/>
            </w:tcBorders>
            <w:noWrap/>
            <w:hideMark/>
          </w:tcPr>
          <w:p w14:paraId="423B1D26" w14:textId="77777777" w:rsidR="00CE75D4" w:rsidRPr="002029AF" w:rsidRDefault="00CE75D4" w:rsidP="008340C1">
            <w:pPr>
              <w:pStyle w:val="ARfintablebodyrightbold"/>
            </w:pPr>
            <w:r w:rsidRPr="008A7313">
              <w:t>243.6</w:t>
            </w:r>
          </w:p>
        </w:tc>
      </w:tr>
      <w:tr w:rsidR="00CE75D4" w:rsidRPr="002029AF" w14:paraId="2594282C"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7B70576D" w14:textId="77777777" w:rsidR="00CE75D4" w:rsidRPr="002029AF" w:rsidRDefault="00CE75D4" w:rsidP="008340C1">
            <w:pPr>
              <w:pStyle w:val="ARfintablebody"/>
            </w:pPr>
            <w:r w:rsidRPr="008A7313">
              <w:t>Health and Welfare</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FD6ED0E" w14:textId="77777777" w:rsidR="00CE75D4" w:rsidRPr="002029AF" w:rsidRDefault="00CE75D4" w:rsidP="008340C1">
            <w:pPr>
              <w:pStyle w:val="ARfintablebodyright"/>
            </w:pPr>
            <w:r w:rsidRPr="008A7313">
              <w:t>0.6</w:t>
            </w:r>
          </w:p>
        </w:tc>
        <w:tc>
          <w:tcPr>
            <w:tcW w:w="1133" w:type="dxa"/>
            <w:tcBorders>
              <w:top w:val="single" w:sz="4" w:space="0" w:color="A6A6A6" w:themeColor="background1" w:themeShade="A6"/>
              <w:bottom w:val="single" w:sz="4" w:space="0" w:color="A6A6A6" w:themeColor="background1" w:themeShade="A6"/>
            </w:tcBorders>
            <w:noWrap/>
            <w:hideMark/>
          </w:tcPr>
          <w:p w14:paraId="135100B0" w14:textId="77777777" w:rsidR="00CE75D4" w:rsidRPr="002029AF" w:rsidRDefault="00CE75D4" w:rsidP="008340C1">
            <w:pPr>
              <w:pStyle w:val="ARfintablebodyright"/>
            </w:pPr>
            <w:r w:rsidRPr="008A7313">
              <w:t>15.2</w:t>
            </w:r>
          </w:p>
        </w:tc>
      </w:tr>
      <w:tr w:rsidR="00CE75D4" w:rsidRPr="002029AF" w14:paraId="2050D773"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3FD5D75B" w14:textId="77777777" w:rsidR="00CE75D4" w:rsidRPr="002029AF" w:rsidRDefault="00CE75D4" w:rsidP="008340C1">
            <w:pPr>
              <w:pStyle w:val="ARfintablebody"/>
            </w:pPr>
            <w:r w:rsidRPr="008A7313">
              <w:t>Housing</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9B3A0D1" w14:textId="77777777" w:rsidR="00CE75D4" w:rsidRPr="002029AF" w:rsidRDefault="00CE75D4" w:rsidP="008340C1">
            <w:pPr>
              <w:pStyle w:val="ARfintablebodyright"/>
            </w:pPr>
            <w:r>
              <w:t>–</w:t>
            </w:r>
          </w:p>
        </w:tc>
        <w:tc>
          <w:tcPr>
            <w:tcW w:w="1133" w:type="dxa"/>
            <w:tcBorders>
              <w:top w:val="single" w:sz="4" w:space="0" w:color="A6A6A6" w:themeColor="background1" w:themeShade="A6"/>
              <w:bottom w:val="single" w:sz="4" w:space="0" w:color="A6A6A6" w:themeColor="background1" w:themeShade="A6"/>
            </w:tcBorders>
            <w:noWrap/>
            <w:hideMark/>
          </w:tcPr>
          <w:p w14:paraId="4B2D34D6" w14:textId="77777777" w:rsidR="00CE75D4" w:rsidRPr="002029AF" w:rsidRDefault="00CE75D4" w:rsidP="008340C1">
            <w:pPr>
              <w:pStyle w:val="ARfintablebodyright"/>
            </w:pPr>
            <w:r w:rsidRPr="008A7313">
              <w:t>228.4</w:t>
            </w:r>
          </w:p>
        </w:tc>
      </w:tr>
      <w:tr w:rsidR="00CE75D4" w:rsidRPr="002029AF" w14:paraId="72EB1016"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58662B38" w14:textId="77777777" w:rsidR="00CE75D4" w:rsidRPr="002029AF" w:rsidRDefault="00CE75D4" w:rsidP="008340C1">
            <w:pPr>
              <w:pStyle w:val="ARfintablebodybold"/>
            </w:pPr>
            <w:r w:rsidRPr="008A7313">
              <w:t>Plant, equipment and vehicles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294F861" w14:textId="77777777" w:rsidR="00CE75D4" w:rsidRPr="002029AF" w:rsidRDefault="00CE75D4" w:rsidP="008340C1">
            <w:pPr>
              <w:pStyle w:val="ARfintablebodyrightbold"/>
            </w:pPr>
            <w:r w:rsidRPr="008A7313">
              <w:t>1.6</w:t>
            </w:r>
          </w:p>
        </w:tc>
        <w:tc>
          <w:tcPr>
            <w:tcW w:w="1133" w:type="dxa"/>
            <w:tcBorders>
              <w:top w:val="single" w:sz="4" w:space="0" w:color="A6A6A6" w:themeColor="background1" w:themeShade="A6"/>
              <w:bottom w:val="single" w:sz="4" w:space="0" w:color="A6A6A6" w:themeColor="background1" w:themeShade="A6"/>
            </w:tcBorders>
            <w:noWrap/>
            <w:hideMark/>
          </w:tcPr>
          <w:p w14:paraId="080996CE" w14:textId="77777777" w:rsidR="00CE75D4" w:rsidRPr="002029AF" w:rsidRDefault="00CE75D4" w:rsidP="008340C1">
            <w:pPr>
              <w:pStyle w:val="ARfintablebodyrightbold"/>
            </w:pPr>
            <w:r w:rsidRPr="008A7313">
              <w:t>2.3</w:t>
            </w:r>
          </w:p>
        </w:tc>
      </w:tr>
      <w:tr w:rsidR="00CE75D4" w:rsidRPr="002029AF" w14:paraId="1230B3CC"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3ED4FF1F" w14:textId="106C4CD8" w:rsidR="00CE75D4" w:rsidRPr="002029AF" w:rsidRDefault="00CE75D4" w:rsidP="008340C1">
            <w:pPr>
              <w:pStyle w:val="ARfintablebody"/>
            </w:pPr>
            <w:r w:rsidRPr="008A7313">
              <w:t xml:space="preserve">Health and </w:t>
            </w:r>
            <w:r>
              <w:t>Welfare</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C4C2E18" w14:textId="77777777" w:rsidR="00CE75D4" w:rsidRPr="002029AF" w:rsidRDefault="00CE75D4" w:rsidP="008340C1">
            <w:pPr>
              <w:pStyle w:val="ARfintablebodyright"/>
            </w:pPr>
            <w:r w:rsidRPr="008A7313">
              <w:t>1.6</w:t>
            </w:r>
          </w:p>
        </w:tc>
        <w:tc>
          <w:tcPr>
            <w:tcW w:w="1133" w:type="dxa"/>
            <w:tcBorders>
              <w:top w:val="single" w:sz="4" w:space="0" w:color="A6A6A6" w:themeColor="background1" w:themeShade="A6"/>
              <w:bottom w:val="single" w:sz="4" w:space="0" w:color="A6A6A6" w:themeColor="background1" w:themeShade="A6"/>
            </w:tcBorders>
            <w:noWrap/>
            <w:hideMark/>
          </w:tcPr>
          <w:p w14:paraId="6190FC6C" w14:textId="77777777" w:rsidR="00CE75D4" w:rsidRPr="002029AF" w:rsidRDefault="00CE75D4" w:rsidP="008340C1">
            <w:pPr>
              <w:pStyle w:val="ARfintablebodyright"/>
            </w:pPr>
            <w:r w:rsidRPr="008A7313">
              <w:t>2.3</w:t>
            </w:r>
          </w:p>
        </w:tc>
      </w:tr>
      <w:tr w:rsidR="00CE75D4" w:rsidRPr="002029AF" w14:paraId="1774755F"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716E568C" w14:textId="77777777" w:rsidR="00CE75D4" w:rsidRPr="002029AF" w:rsidRDefault="00CE75D4" w:rsidP="008340C1">
            <w:pPr>
              <w:pStyle w:val="ARfintablebodybold"/>
            </w:pPr>
            <w:r w:rsidRPr="008A7313">
              <w:t>Intangible assets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0FB36F7" w14:textId="77777777" w:rsidR="00CE75D4" w:rsidRPr="002029AF" w:rsidRDefault="00CE75D4" w:rsidP="008340C1">
            <w:pPr>
              <w:pStyle w:val="ARfintablebodyrightbold"/>
            </w:pPr>
            <w:r w:rsidRPr="008A7313">
              <w:t>8.4</w:t>
            </w:r>
          </w:p>
        </w:tc>
        <w:tc>
          <w:tcPr>
            <w:tcW w:w="1133" w:type="dxa"/>
            <w:tcBorders>
              <w:top w:val="single" w:sz="4" w:space="0" w:color="A6A6A6" w:themeColor="background1" w:themeShade="A6"/>
              <w:bottom w:val="single" w:sz="4" w:space="0" w:color="A6A6A6" w:themeColor="background1" w:themeShade="A6"/>
            </w:tcBorders>
            <w:noWrap/>
            <w:hideMark/>
          </w:tcPr>
          <w:p w14:paraId="3078702F" w14:textId="77777777" w:rsidR="00CE75D4" w:rsidRPr="002029AF" w:rsidRDefault="00CE75D4" w:rsidP="008340C1">
            <w:pPr>
              <w:pStyle w:val="ARfintablebodyrightbold"/>
            </w:pPr>
            <w:r w:rsidRPr="008A7313">
              <w:t>44.3</w:t>
            </w:r>
          </w:p>
        </w:tc>
      </w:tr>
      <w:tr w:rsidR="00CE75D4" w:rsidRPr="002029AF" w14:paraId="4A29D964"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69C77D20" w14:textId="67AED457" w:rsidR="00CE75D4" w:rsidRPr="002029AF" w:rsidRDefault="00CE75D4" w:rsidP="008340C1">
            <w:pPr>
              <w:pStyle w:val="ARfintablebody"/>
            </w:pPr>
            <w:r w:rsidRPr="008A7313">
              <w:t xml:space="preserve">Health and </w:t>
            </w:r>
            <w:r>
              <w:t>Welfare</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51816A2" w14:textId="77777777" w:rsidR="00CE75D4" w:rsidRPr="002029AF" w:rsidRDefault="00CE75D4" w:rsidP="008340C1">
            <w:pPr>
              <w:pStyle w:val="ARfintablebodyright"/>
            </w:pPr>
            <w:r w:rsidRPr="008A7313">
              <w:t>8.4</w:t>
            </w:r>
          </w:p>
        </w:tc>
        <w:tc>
          <w:tcPr>
            <w:tcW w:w="1133" w:type="dxa"/>
            <w:tcBorders>
              <w:top w:val="single" w:sz="4" w:space="0" w:color="A6A6A6" w:themeColor="background1" w:themeShade="A6"/>
              <w:bottom w:val="single" w:sz="4" w:space="0" w:color="A6A6A6" w:themeColor="background1" w:themeShade="A6"/>
            </w:tcBorders>
            <w:noWrap/>
            <w:hideMark/>
          </w:tcPr>
          <w:p w14:paraId="28290ECF" w14:textId="77777777" w:rsidR="00CE75D4" w:rsidRPr="002029AF" w:rsidRDefault="00CE75D4" w:rsidP="008340C1">
            <w:pPr>
              <w:pStyle w:val="ARfintablebodyright"/>
            </w:pPr>
            <w:r w:rsidRPr="008A7313">
              <w:t>25.8</w:t>
            </w:r>
          </w:p>
        </w:tc>
      </w:tr>
      <w:tr w:rsidR="00CE75D4" w:rsidRPr="002029AF" w14:paraId="1695F2B5"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4285A207" w14:textId="77777777" w:rsidR="00CE75D4" w:rsidRPr="002029AF" w:rsidRDefault="00CE75D4" w:rsidP="008340C1">
            <w:pPr>
              <w:pStyle w:val="ARfintablebody"/>
            </w:pPr>
            <w:r w:rsidRPr="008A7313">
              <w:t>Housing</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BA5B213" w14:textId="77777777" w:rsidR="00CE75D4" w:rsidRPr="002029AF" w:rsidRDefault="00CE75D4" w:rsidP="008340C1">
            <w:pPr>
              <w:pStyle w:val="ARfintablebodyright"/>
            </w:pPr>
            <w:r>
              <w:t>–</w:t>
            </w:r>
          </w:p>
        </w:tc>
        <w:tc>
          <w:tcPr>
            <w:tcW w:w="1133" w:type="dxa"/>
            <w:tcBorders>
              <w:top w:val="single" w:sz="4" w:space="0" w:color="A6A6A6" w:themeColor="background1" w:themeShade="A6"/>
              <w:bottom w:val="single" w:sz="4" w:space="0" w:color="A6A6A6" w:themeColor="background1" w:themeShade="A6"/>
            </w:tcBorders>
            <w:noWrap/>
            <w:hideMark/>
          </w:tcPr>
          <w:p w14:paraId="3EAD39FA" w14:textId="77777777" w:rsidR="00CE75D4" w:rsidRPr="002029AF" w:rsidRDefault="00CE75D4" w:rsidP="008340C1">
            <w:pPr>
              <w:pStyle w:val="ARfintablebodyright"/>
            </w:pPr>
            <w:r w:rsidRPr="008A7313">
              <w:t>18.5</w:t>
            </w:r>
          </w:p>
        </w:tc>
      </w:tr>
      <w:tr w:rsidR="00CE75D4" w:rsidRPr="002029AF" w14:paraId="41C11451"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118CB6CA" w14:textId="77777777" w:rsidR="00CE75D4" w:rsidRPr="002029AF" w:rsidRDefault="00CE75D4" w:rsidP="008340C1">
            <w:pPr>
              <w:pStyle w:val="ARfintablebodybold"/>
            </w:pPr>
            <w:r w:rsidRPr="008A7313">
              <w:t>Right-of-use assets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E4D1D3A" w14:textId="77777777" w:rsidR="00CE75D4" w:rsidRPr="002029AF" w:rsidRDefault="00CE75D4" w:rsidP="008340C1">
            <w:pPr>
              <w:pStyle w:val="ARfintablebodyrightbold"/>
            </w:pPr>
            <w:r w:rsidRPr="008A7313">
              <w:t>3.2</w:t>
            </w:r>
          </w:p>
        </w:tc>
        <w:tc>
          <w:tcPr>
            <w:tcW w:w="1133" w:type="dxa"/>
            <w:tcBorders>
              <w:top w:val="single" w:sz="4" w:space="0" w:color="A6A6A6" w:themeColor="background1" w:themeShade="A6"/>
              <w:bottom w:val="single" w:sz="4" w:space="0" w:color="A6A6A6" w:themeColor="background1" w:themeShade="A6"/>
            </w:tcBorders>
            <w:noWrap/>
            <w:hideMark/>
          </w:tcPr>
          <w:p w14:paraId="4F671C9A" w14:textId="77777777" w:rsidR="00CE75D4" w:rsidRPr="002029AF" w:rsidRDefault="00CE75D4" w:rsidP="008340C1">
            <w:pPr>
              <w:pStyle w:val="ARfintablebodyrightbold"/>
            </w:pPr>
            <w:r w:rsidRPr="008A7313">
              <w:t>31.8</w:t>
            </w:r>
          </w:p>
        </w:tc>
      </w:tr>
      <w:tr w:rsidR="00CE75D4" w:rsidRPr="002029AF" w14:paraId="121CD0DD"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27352F22" w14:textId="77777777" w:rsidR="00CE75D4" w:rsidRPr="002029AF" w:rsidRDefault="00CE75D4" w:rsidP="008340C1">
            <w:pPr>
              <w:pStyle w:val="ARfintablebody"/>
            </w:pPr>
            <w:r w:rsidRPr="008A7313">
              <w:t>Land</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E5DFEAC" w14:textId="77777777" w:rsidR="00CE75D4" w:rsidRPr="002029AF" w:rsidRDefault="00CE75D4" w:rsidP="008340C1">
            <w:pPr>
              <w:pStyle w:val="ARfintablebodyright"/>
            </w:pPr>
            <w:r>
              <w:t>–</w:t>
            </w:r>
          </w:p>
        </w:tc>
        <w:tc>
          <w:tcPr>
            <w:tcW w:w="1133" w:type="dxa"/>
            <w:tcBorders>
              <w:top w:val="single" w:sz="4" w:space="0" w:color="A6A6A6" w:themeColor="background1" w:themeShade="A6"/>
              <w:bottom w:val="single" w:sz="4" w:space="0" w:color="A6A6A6" w:themeColor="background1" w:themeShade="A6"/>
            </w:tcBorders>
            <w:noWrap/>
            <w:hideMark/>
          </w:tcPr>
          <w:p w14:paraId="36FFE5BA" w14:textId="77777777" w:rsidR="00CE75D4" w:rsidRPr="002029AF" w:rsidRDefault="00CE75D4" w:rsidP="008340C1">
            <w:pPr>
              <w:pStyle w:val="ARfintablebodyright"/>
            </w:pPr>
            <w:r w:rsidRPr="008A7313">
              <w:t>0.8</w:t>
            </w:r>
          </w:p>
        </w:tc>
      </w:tr>
      <w:tr w:rsidR="00CE75D4" w:rsidRPr="002029AF" w14:paraId="11A10CAC"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76855BEA" w14:textId="77777777" w:rsidR="00CE75D4" w:rsidRPr="002029AF" w:rsidRDefault="00CE75D4" w:rsidP="008340C1">
            <w:pPr>
              <w:pStyle w:val="ARfintablebody"/>
            </w:pPr>
            <w:r w:rsidRPr="008A7313">
              <w:t>Buildings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5241199" w14:textId="77777777" w:rsidR="00CE75D4" w:rsidRPr="002029AF" w:rsidRDefault="00CE75D4" w:rsidP="008340C1">
            <w:pPr>
              <w:pStyle w:val="ARfintablebodyright"/>
            </w:pPr>
            <w:r w:rsidRPr="008A7313">
              <w:t>1.7</w:t>
            </w:r>
          </w:p>
        </w:tc>
        <w:tc>
          <w:tcPr>
            <w:tcW w:w="1133" w:type="dxa"/>
            <w:tcBorders>
              <w:top w:val="single" w:sz="4" w:space="0" w:color="A6A6A6" w:themeColor="background1" w:themeShade="A6"/>
              <w:bottom w:val="single" w:sz="4" w:space="0" w:color="A6A6A6" w:themeColor="background1" w:themeShade="A6"/>
            </w:tcBorders>
            <w:noWrap/>
            <w:hideMark/>
          </w:tcPr>
          <w:p w14:paraId="03C40283" w14:textId="77777777" w:rsidR="00CE75D4" w:rsidRPr="002029AF" w:rsidRDefault="00CE75D4" w:rsidP="008340C1">
            <w:pPr>
              <w:pStyle w:val="ARfintablebodyright"/>
            </w:pPr>
            <w:r w:rsidRPr="008A7313">
              <w:t>22.1</w:t>
            </w:r>
          </w:p>
        </w:tc>
      </w:tr>
      <w:tr w:rsidR="00CE75D4" w:rsidRPr="002029AF" w14:paraId="006686C6"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6A6FD4FC" w14:textId="77777777" w:rsidR="00CE75D4" w:rsidRPr="002029AF" w:rsidRDefault="00CE75D4" w:rsidP="008340C1">
            <w:pPr>
              <w:pStyle w:val="ARfintablebody"/>
            </w:pPr>
            <w:r w:rsidRPr="008A7313">
              <w:t>Plant and equipment</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F4AB1B8" w14:textId="77777777" w:rsidR="00CE75D4" w:rsidRPr="002029AF" w:rsidRDefault="00CE75D4" w:rsidP="008340C1">
            <w:pPr>
              <w:pStyle w:val="ARfintablebodyright"/>
            </w:pPr>
            <w:r w:rsidRPr="008A7313">
              <w:t>0.9</w:t>
            </w:r>
          </w:p>
        </w:tc>
        <w:tc>
          <w:tcPr>
            <w:tcW w:w="1133" w:type="dxa"/>
            <w:tcBorders>
              <w:top w:val="single" w:sz="4" w:space="0" w:color="A6A6A6" w:themeColor="background1" w:themeShade="A6"/>
              <w:bottom w:val="single" w:sz="4" w:space="0" w:color="A6A6A6" w:themeColor="background1" w:themeShade="A6"/>
            </w:tcBorders>
            <w:noWrap/>
            <w:hideMark/>
          </w:tcPr>
          <w:p w14:paraId="4F90C871" w14:textId="77777777" w:rsidR="00CE75D4" w:rsidRPr="002029AF" w:rsidRDefault="00CE75D4" w:rsidP="008340C1">
            <w:pPr>
              <w:pStyle w:val="ARfintablebodyright"/>
            </w:pPr>
            <w:r w:rsidRPr="008A7313">
              <w:t>2.5</w:t>
            </w:r>
          </w:p>
        </w:tc>
      </w:tr>
      <w:tr w:rsidR="00CE75D4" w:rsidRPr="002029AF" w14:paraId="2B7CE3E3"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784D06BC" w14:textId="77777777" w:rsidR="00CE75D4" w:rsidRPr="002029AF" w:rsidRDefault="00CE75D4" w:rsidP="008340C1">
            <w:pPr>
              <w:pStyle w:val="ARfintablebody"/>
            </w:pPr>
            <w:r w:rsidRPr="008A7313">
              <w:t>Motor vehicles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E084BF7" w14:textId="77777777" w:rsidR="00CE75D4" w:rsidRPr="002029AF" w:rsidRDefault="00CE75D4" w:rsidP="008340C1">
            <w:pPr>
              <w:pStyle w:val="ARfintablebodyright"/>
            </w:pPr>
            <w:r w:rsidRPr="008A7313">
              <w:t>0.6</w:t>
            </w:r>
          </w:p>
        </w:tc>
        <w:tc>
          <w:tcPr>
            <w:tcW w:w="1133" w:type="dxa"/>
            <w:tcBorders>
              <w:top w:val="single" w:sz="4" w:space="0" w:color="A6A6A6" w:themeColor="background1" w:themeShade="A6"/>
              <w:bottom w:val="single" w:sz="4" w:space="0" w:color="A6A6A6" w:themeColor="background1" w:themeShade="A6"/>
            </w:tcBorders>
            <w:noWrap/>
            <w:hideMark/>
          </w:tcPr>
          <w:p w14:paraId="5F571992" w14:textId="77777777" w:rsidR="00CE75D4" w:rsidRPr="002029AF" w:rsidRDefault="00CE75D4" w:rsidP="008340C1">
            <w:pPr>
              <w:pStyle w:val="ARfintablebodyright"/>
            </w:pPr>
            <w:r w:rsidRPr="008A7313">
              <w:t>6.4</w:t>
            </w:r>
          </w:p>
        </w:tc>
      </w:tr>
      <w:tr w:rsidR="00CE75D4" w:rsidRPr="002029AF" w14:paraId="473E2BE9"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713F39E1" w14:textId="77777777" w:rsidR="00CE75D4" w:rsidRPr="002029AF" w:rsidRDefault="00CE75D4" w:rsidP="008340C1">
            <w:pPr>
              <w:pStyle w:val="ARfintablebodybold"/>
            </w:pPr>
            <w:r w:rsidRPr="008A7313">
              <w:t>Service concession assets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19C5258" w14:textId="77777777" w:rsidR="00CE75D4" w:rsidRPr="002029AF" w:rsidRDefault="00CE75D4" w:rsidP="008340C1">
            <w:pPr>
              <w:pStyle w:val="ARfintablebodyrightbold"/>
            </w:pPr>
            <w:r w:rsidRPr="008A7313">
              <w:t>24.6</w:t>
            </w:r>
          </w:p>
        </w:tc>
        <w:tc>
          <w:tcPr>
            <w:tcW w:w="1133" w:type="dxa"/>
            <w:tcBorders>
              <w:top w:val="single" w:sz="4" w:space="0" w:color="A6A6A6" w:themeColor="background1" w:themeShade="A6"/>
              <w:bottom w:val="single" w:sz="4" w:space="0" w:color="A6A6A6" w:themeColor="background1" w:themeShade="A6"/>
            </w:tcBorders>
            <w:noWrap/>
            <w:hideMark/>
          </w:tcPr>
          <w:p w14:paraId="050FB923" w14:textId="77777777" w:rsidR="00CE75D4" w:rsidRPr="002029AF" w:rsidRDefault="00CE75D4" w:rsidP="008340C1">
            <w:pPr>
              <w:pStyle w:val="ARfintablebodyrightbold"/>
            </w:pPr>
            <w:r w:rsidRPr="008A7313">
              <w:t>25.5</w:t>
            </w:r>
          </w:p>
        </w:tc>
      </w:tr>
      <w:tr w:rsidR="00CE75D4" w:rsidRPr="002029AF" w14:paraId="040C0507"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37276C53" w14:textId="77777777" w:rsidR="00CE75D4" w:rsidRPr="002029AF" w:rsidRDefault="00CE75D4" w:rsidP="008340C1">
            <w:pPr>
              <w:pStyle w:val="ARfintablebody"/>
            </w:pPr>
            <w:r w:rsidRPr="008A7313">
              <w:t>Buildings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E738E74" w14:textId="77777777" w:rsidR="00CE75D4" w:rsidRPr="002029AF" w:rsidRDefault="00CE75D4" w:rsidP="008340C1">
            <w:pPr>
              <w:pStyle w:val="ARfintablebodyright"/>
            </w:pPr>
            <w:r w:rsidRPr="008A7313">
              <w:t>24.6</w:t>
            </w:r>
          </w:p>
        </w:tc>
        <w:tc>
          <w:tcPr>
            <w:tcW w:w="1133" w:type="dxa"/>
            <w:tcBorders>
              <w:top w:val="single" w:sz="4" w:space="0" w:color="A6A6A6" w:themeColor="background1" w:themeShade="A6"/>
              <w:bottom w:val="single" w:sz="4" w:space="0" w:color="A6A6A6" w:themeColor="background1" w:themeShade="A6"/>
            </w:tcBorders>
            <w:noWrap/>
            <w:hideMark/>
          </w:tcPr>
          <w:p w14:paraId="322D0455" w14:textId="77777777" w:rsidR="00CE75D4" w:rsidRPr="002029AF" w:rsidRDefault="00CE75D4" w:rsidP="008340C1">
            <w:pPr>
              <w:pStyle w:val="ARfintablebodyright"/>
            </w:pPr>
            <w:r w:rsidRPr="008A7313">
              <w:t>25.2</w:t>
            </w:r>
          </w:p>
        </w:tc>
      </w:tr>
      <w:tr w:rsidR="00CE75D4" w:rsidRPr="002029AF" w14:paraId="41B926E0"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5C299058" w14:textId="77777777" w:rsidR="00CE75D4" w:rsidRPr="002029AF" w:rsidRDefault="00CE75D4" w:rsidP="008340C1">
            <w:pPr>
              <w:pStyle w:val="ARfintablebody"/>
            </w:pPr>
            <w:r w:rsidRPr="008A7313">
              <w:t>Plant and equipment</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1935FA7" w14:textId="77777777" w:rsidR="00CE75D4" w:rsidRPr="002029AF" w:rsidRDefault="00CE75D4" w:rsidP="008340C1">
            <w:pPr>
              <w:pStyle w:val="ARfintablebodyright"/>
            </w:pPr>
            <w:r>
              <w:t>–</w:t>
            </w:r>
          </w:p>
        </w:tc>
        <w:tc>
          <w:tcPr>
            <w:tcW w:w="1133" w:type="dxa"/>
            <w:tcBorders>
              <w:top w:val="single" w:sz="4" w:space="0" w:color="A6A6A6" w:themeColor="background1" w:themeShade="A6"/>
              <w:bottom w:val="single" w:sz="4" w:space="0" w:color="A6A6A6" w:themeColor="background1" w:themeShade="A6"/>
            </w:tcBorders>
            <w:noWrap/>
            <w:hideMark/>
          </w:tcPr>
          <w:p w14:paraId="4DC961C8" w14:textId="77777777" w:rsidR="00CE75D4" w:rsidRPr="002029AF" w:rsidRDefault="00CE75D4" w:rsidP="008340C1">
            <w:pPr>
              <w:pStyle w:val="ARfintablebodyright"/>
            </w:pPr>
            <w:r w:rsidRPr="008A7313">
              <w:t>0.2</w:t>
            </w:r>
          </w:p>
        </w:tc>
      </w:tr>
      <w:tr w:rsidR="00CE75D4" w:rsidRPr="002029AF" w14:paraId="690F6961"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77152475" w14:textId="77777777" w:rsidR="00CE75D4" w:rsidRPr="002029AF" w:rsidRDefault="00CE75D4" w:rsidP="008340C1">
            <w:pPr>
              <w:pStyle w:val="ARfintablebody"/>
            </w:pPr>
            <w:r w:rsidRPr="008A7313">
              <w:t>Intangible assets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124887B" w14:textId="77777777" w:rsidR="00CE75D4" w:rsidRPr="002029AF" w:rsidRDefault="00CE75D4" w:rsidP="008340C1">
            <w:pPr>
              <w:pStyle w:val="ARfintablebodyright"/>
            </w:pPr>
            <w:r>
              <w:t>–</w:t>
            </w:r>
          </w:p>
        </w:tc>
        <w:tc>
          <w:tcPr>
            <w:tcW w:w="1133" w:type="dxa"/>
            <w:tcBorders>
              <w:top w:val="single" w:sz="4" w:space="0" w:color="A6A6A6" w:themeColor="background1" w:themeShade="A6"/>
              <w:bottom w:val="single" w:sz="4" w:space="0" w:color="A6A6A6" w:themeColor="background1" w:themeShade="A6"/>
            </w:tcBorders>
            <w:noWrap/>
            <w:hideMark/>
          </w:tcPr>
          <w:p w14:paraId="7194806A" w14:textId="77777777" w:rsidR="00CE75D4" w:rsidRPr="002029AF" w:rsidRDefault="00CE75D4" w:rsidP="008340C1">
            <w:pPr>
              <w:pStyle w:val="ARfintablebodyright"/>
            </w:pPr>
            <w:r w:rsidRPr="008A7313">
              <w:t>0.1</w:t>
            </w:r>
          </w:p>
        </w:tc>
      </w:tr>
      <w:tr w:rsidR="00CE75D4" w:rsidRPr="002029AF" w14:paraId="222E3E5A" w14:textId="77777777" w:rsidTr="3D493511">
        <w:trPr>
          <w:trHeight w:val="255"/>
        </w:trPr>
        <w:tc>
          <w:tcPr>
            <w:tcW w:w="7371" w:type="dxa"/>
            <w:tcBorders>
              <w:top w:val="single" w:sz="4" w:space="0" w:color="A6A6A6" w:themeColor="background1" w:themeShade="A6"/>
              <w:bottom w:val="single" w:sz="4" w:space="0" w:color="A6A6A6" w:themeColor="background1" w:themeShade="A6"/>
            </w:tcBorders>
            <w:hideMark/>
          </w:tcPr>
          <w:p w14:paraId="0F4A91D2" w14:textId="77777777" w:rsidR="00CE75D4" w:rsidRPr="002029AF" w:rsidRDefault="00CE75D4" w:rsidP="008340C1">
            <w:pPr>
              <w:pStyle w:val="ARfintablebodybold"/>
            </w:pPr>
            <w:r w:rsidRPr="008A7313">
              <w:t>Aggregate depreciation and amortisation allocated</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AC8E820" w14:textId="77777777" w:rsidR="00CE75D4" w:rsidRPr="002029AF" w:rsidRDefault="00CE75D4" w:rsidP="008340C1">
            <w:pPr>
              <w:pStyle w:val="ARfintablebodyrightbold"/>
            </w:pPr>
            <w:r w:rsidRPr="008A7313">
              <w:t>38.5</w:t>
            </w:r>
          </w:p>
        </w:tc>
        <w:tc>
          <w:tcPr>
            <w:tcW w:w="1133" w:type="dxa"/>
            <w:tcBorders>
              <w:top w:val="single" w:sz="4" w:space="0" w:color="A6A6A6" w:themeColor="background1" w:themeShade="A6"/>
              <w:bottom w:val="single" w:sz="4" w:space="0" w:color="A6A6A6" w:themeColor="background1" w:themeShade="A6"/>
            </w:tcBorders>
            <w:noWrap/>
            <w:hideMark/>
          </w:tcPr>
          <w:p w14:paraId="487DEE5D" w14:textId="77777777" w:rsidR="00CE75D4" w:rsidRPr="002029AF" w:rsidRDefault="00CE75D4" w:rsidP="008340C1">
            <w:pPr>
              <w:pStyle w:val="ARfintablebodyrightbold"/>
            </w:pPr>
            <w:r w:rsidRPr="008A7313">
              <w:t>347.5</w:t>
            </w:r>
          </w:p>
        </w:tc>
      </w:tr>
      <w:tr w:rsidR="00CE75D4" w:rsidRPr="002029AF" w14:paraId="7701530C" w14:textId="77777777" w:rsidTr="3D493511">
        <w:trPr>
          <w:trHeight w:val="255"/>
        </w:trPr>
        <w:tc>
          <w:tcPr>
            <w:tcW w:w="7371" w:type="dxa"/>
            <w:tcBorders>
              <w:top w:val="single" w:sz="4" w:space="0" w:color="A6A6A6" w:themeColor="background1" w:themeShade="A6"/>
            </w:tcBorders>
            <w:hideMark/>
          </w:tcPr>
          <w:p w14:paraId="631AD0FE" w14:textId="77777777" w:rsidR="00CE75D4" w:rsidRPr="002029AF" w:rsidRDefault="00CE75D4" w:rsidP="008340C1">
            <w:pPr>
              <w:pStyle w:val="ARfintablebody"/>
            </w:pPr>
            <w:r w:rsidRPr="008A7313">
              <w:t>Less depreciation and amortisation capitalised to carrying amount of other assets during the year</w:t>
            </w:r>
          </w:p>
        </w:tc>
        <w:tc>
          <w:tcPr>
            <w:tcW w:w="1133" w:type="dxa"/>
            <w:tcBorders>
              <w:top w:val="single" w:sz="4" w:space="0" w:color="A6A6A6" w:themeColor="background1" w:themeShade="A6"/>
            </w:tcBorders>
            <w:shd w:val="clear" w:color="auto" w:fill="E7E6E6" w:themeFill="background2"/>
            <w:noWrap/>
            <w:hideMark/>
          </w:tcPr>
          <w:p w14:paraId="16D0995C" w14:textId="77777777" w:rsidR="00CE75D4" w:rsidRPr="002029AF" w:rsidRDefault="00CE75D4" w:rsidP="008340C1">
            <w:pPr>
              <w:pStyle w:val="ARfintablebodyright"/>
            </w:pPr>
            <w:r>
              <w:t>–</w:t>
            </w:r>
          </w:p>
        </w:tc>
        <w:tc>
          <w:tcPr>
            <w:tcW w:w="1133" w:type="dxa"/>
            <w:tcBorders>
              <w:top w:val="single" w:sz="4" w:space="0" w:color="A6A6A6" w:themeColor="background1" w:themeShade="A6"/>
            </w:tcBorders>
            <w:noWrap/>
            <w:hideMark/>
          </w:tcPr>
          <w:p w14:paraId="5B982647" w14:textId="77777777" w:rsidR="00CE75D4" w:rsidRPr="002029AF" w:rsidRDefault="00CE75D4" w:rsidP="008340C1">
            <w:pPr>
              <w:pStyle w:val="ARfintablebodyright"/>
            </w:pPr>
            <w:r w:rsidRPr="008A7313">
              <w:t>(2.4)</w:t>
            </w:r>
          </w:p>
        </w:tc>
      </w:tr>
      <w:tr w:rsidR="00CE75D4" w:rsidRPr="002029AF" w14:paraId="418AEF61" w14:textId="77777777" w:rsidTr="3D493511">
        <w:trPr>
          <w:trHeight w:val="255"/>
        </w:trPr>
        <w:tc>
          <w:tcPr>
            <w:tcW w:w="7371" w:type="dxa"/>
            <w:hideMark/>
          </w:tcPr>
          <w:p w14:paraId="08DBEAB9" w14:textId="77777777" w:rsidR="00CE75D4" w:rsidRPr="002029AF" w:rsidRDefault="00CE75D4" w:rsidP="008340C1">
            <w:pPr>
              <w:pStyle w:val="ARfintablebodybold"/>
            </w:pPr>
            <w:r w:rsidRPr="008A7313">
              <w:t>Total depreciation and amortisation</w:t>
            </w:r>
          </w:p>
        </w:tc>
        <w:tc>
          <w:tcPr>
            <w:tcW w:w="1133" w:type="dxa"/>
            <w:shd w:val="clear" w:color="auto" w:fill="E7E6E6" w:themeFill="background2"/>
            <w:noWrap/>
            <w:hideMark/>
          </w:tcPr>
          <w:p w14:paraId="77C87C51" w14:textId="77777777" w:rsidR="00CE75D4" w:rsidRPr="002029AF" w:rsidRDefault="00CE75D4" w:rsidP="008340C1">
            <w:pPr>
              <w:pStyle w:val="ARfintablebodyrightbold"/>
            </w:pPr>
            <w:r w:rsidRPr="008A7313">
              <w:t>38.5</w:t>
            </w:r>
          </w:p>
        </w:tc>
        <w:tc>
          <w:tcPr>
            <w:tcW w:w="1133" w:type="dxa"/>
            <w:noWrap/>
            <w:hideMark/>
          </w:tcPr>
          <w:p w14:paraId="615629B5" w14:textId="77777777" w:rsidR="00CE75D4" w:rsidRPr="002029AF" w:rsidRDefault="00CE75D4" w:rsidP="008340C1">
            <w:pPr>
              <w:pStyle w:val="ARfintablebodyrightbold"/>
            </w:pPr>
            <w:r w:rsidRPr="008A7313">
              <w:t>345.1</w:t>
            </w:r>
          </w:p>
        </w:tc>
      </w:tr>
    </w:tbl>
    <w:p w14:paraId="0A0E21ED" w14:textId="77777777" w:rsidR="00CE75D4" w:rsidRDefault="00CE75D4" w:rsidP="008340C1">
      <w:pPr>
        <w:pStyle w:val="ARfinbodyaftertable"/>
      </w:pPr>
      <w:r>
        <w:t>All buildings, plant, equipment, vehicles and other non-current physical assets that have finite useful lives are depreciated. The exceptions to this rule include items under assets held for sale and land.</w:t>
      </w:r>
    </w:p>
    <w:p w14:paraId="5B3831BA" w14:textId="77777777" w:rsidR="00CE75D4" w:rsidRDefault="00CE75D4" w:rsidP="008340C1">
      <w:pPr>
        <w:pStyle w:val="ARfinbody"/>
      </w:pPr>
      <w:r>
        <w:t>Depreciation is calculated on a straight-line basis at rates that allocate the asset value over its estimated useful life.</w:t>
      </w:r>
    </w:p>
    <w:p w14:paraId="15D881FE" w14:textId="77777777" w:rsidR="00CE75D4" w:rsidRDefault="00CE75D4" w:rsidP="008340C1">
      <w:pPr>
        <w:pStyle w:val="ARfinbodylargespace"/>
      </w:pPr>
      <w:r>
        <w:t>Typical estimated useful lives for the different asset classes for the current and prior year are included in the table below:</w:t>
      </w:r>
    </w:p>
    <w:tbl>
      <w:tblPr>
        <w:tblStyle w:val="TableGrid"/>
        <w:tblW w:w="9639" w:type="dxa"/>
        <w:tblLook w:val="06A0" w:firstRow="1" w:lastRow="0" w:firstColumn="1" w:lastColumn="0" w:noHBand="1" w:noVBand="1"/>
      </w:tblPr>
      <w:tblGrid>
        <w:gridCol w:w="6237"/>
        <w:gridCol w:w="1701"/>
        <w:gridCol w:w="1701"/>
      </w:tblGrid>
      <w:tr w:rsidR="00CE75D4" w:rsidRPr="002029AF" w14:paraId="66BCA6A6"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6237" w:type="dxa"/>
            <w:tcBorders>
              <w:bottom w:val="single" w:sz="4" w:space="0" w:color="auto"/>
            </w:tcBorders>
          </w:tcPr>
          <w:p w14:paraId="2DFFA373" w14:textId="77777777" w:rsidR="00CE75D4" w:rsidRPr="002029AF" w:rsidRDefault="00CE75D4" w:rsidP="00860E95">
            <w:pPr>
              <w:pStyle w:val="ARfintablecolhead"/>
            </w:pPr>
            <w:r w:rsidRPr="002029AF">
              <w:t>Asset class</w:t>
            </w:r>
          </w:p>
        </w:tc>
        <w:tc>
          <w:tcPr>
            <w:tcW w:w="1701" w:type="dxa"/>
            <w:tcBorders>
              <w:bottom w:val="single" w:sz="4" w:space="0" w:color="auto"/>
            </w:tcBorders>
          </w:tcPr>
          <w:p w14:paraId="432E32C4" w14:textId="77777777" w:rsidR="00CE75D4" w:rsidRPr="002029AF" w:rsidRDefault="00CE75D4" w:rsidP="00860E95">
            <w:pPr>
              <w:pStyle w:val="ARfintablecolheadright"/>
            </w:pPr>
            <w:r>
              <w:t>2022</w:t>
            </w:r>
          </w:p>
        </w:tc>
        <w:tc>
          <w:tcPr>
            <w:tcW w:w="1701" w:type="dxa"/>
            <w:tcBorders>
              <w:bottom w:val="single" w:sz="4" w:space="0" w:color="auto"/>
            </w:tcBorders>
          </w:tcPr>
          <w:p w14:paraId="5E5E67B0" w14:textId="77777777" w:rsidR="00CE75D4" w:rsidRPr="002029AF" w:rsidRDefault="00CE75D4" w:rsidP="00860E95">
            <w:pPr>
              <w:pStyle w:val="ARfintablecolheadright"/>
            </w:pPr>
            <w:r>
              <w:t>2021</w:t>
            </w:r>
          </w:p>
        </w:tc>
      </w:tr>
      <w:tr w:rsidR="00CE75D4" w:rsidRPr="002029AF" w14:paraId="30B7EE64" w14:textId="77777777" w:rsidTr="00860E95">
        <w:tc>
          <w:tcPr>
            <w:tcW w:w="6237" w:type="dxa"/>
            <w:tcBorders>
              <w:top w:val="single" w:sz="4" w:space="0" w:color="auto"/>
              <w:bottom w:val="single" w:sz="4" w:space="0" w:color="A6A6A6"/>
            </w:tcBorders>
          </w:tcPr>
          <w:p w14:paraId="6E5214BB" w14:textId="77777777" w:rsidR="00CE75D4" w:rsidRPr="002029AF" w:rsidRDefault="00CE75D4" w:rsidP="008340C1">
            <w:pPr>
              <w:pStyle w:val="ARfintablebody"/>
            </w:pPr>
            <w:r w:rsidRPr="00A17373">
              <w:t>Buildings</w:t>
            </w:r>
          </w:p>
        </w:tc>
        <w:tc>
          <w:tcPr>
            <w:tcW w:w="1701" w:type="dxa"/>
            <w:tcBorders>
              <w:top w:val="single" w:sz="4" w:space="0" w:color="auto"/>
              <w:bottom w:val="single" w:sz="4" w:space="0" w:color="A6A6A6"/>
            </w:tcBorders>
          </w:tcPr>
          <w:p w14:paraId="5DF22F63" w14:textId="77777777" w:rsidR="00CE75D4" w:rsidRPr="002029AF" w:rsidRDefault="00CE75D4" w:rsidP="008340C1">
            <w:pPr>
              <w:pStyle w:val="ARfintablebodyright"/>
            </w:pPr>
            <w:r w:rsidRPr="00A17373">
              <w:t>5 to 55 years</w:t>
            </w:r>
          </w:p>
        </w:tc>
        <w:tc>
          <w:tcPr>
            <w:tcW w:w="1701" w:type="dxa"/>
            <w:tcBorders>
              <w:top w:val="single" w:sz="4" w:space="0" w:color="auto"/>
              <w:bottom w:val="single" w:sz="4" w:space="0" w:color="A6A6A6"/>
            </w:tcBorders>
          </w:tcPr>
          <w:p w14:paraId="2F10C08F" w14:textId="77777777" w:rsidR="00CE75D4" w:rsidRPr="002029AF" w:rsidRDefault="00CE75D4" w:rsidP="008340C1">
            <w:pPr>
              <w:pStyle w:val="ARfintablebodyright"/>
            </w:pPr>
            <w:r w:rsidRPr="00A17373">
              <w:t>5 to 85 years</w:t>
            </w:r>
          </w:p>
        </w:tc>
      </w:tr>
      <w:tr w:rsidR="00CE75D4" w:rsidRPr="002029AF" w14:paraId="78F7BE85" w14:textId="77777777" w:rsidTr="00860E95">
        <w:tc>
          <w:tcPr>
            <w:tcW w:w="6237" w:type="dxa"/>
            <w:tcBorders>
              <w:top w:val="single" w:sz="4" w:space="0" w:color="A6A6A6"/>
              <w:bottom w:val="single" w:sz="4" w:space="0" w:color="A6A6A6"/>
            </w:tcBorders>
          </w:tcPr>
          <w:p w14:paraId="1B412DE6" w14:textId="77777777" w:rsidR="00CE75D4" w:rsidRPr="002029AF" w:rsidRDefault="00CE75D4" w:rsidP="008340C1">
            <w:pPr>
              <w:pStyle w:val="ARfintablebody"/>
            </w:pPr>
            <w:r w:rsidRPr="00A17373">
              <w:t>Plant, equipment and vehicles</w:t>
            </w:r>
          </w:p>
        </w:tc>
        <w:tc>
          <w:tcPr>
            <w:tcW w:w="1701" w:type="dxa"/>
            <w:tcBorders>
              <w:top w:val="single" w:sz="4" w:space="0" w:color="A6A6A6"/>
              <w:bottom w:val="single" w:sz="4" w:space="0" w:color="A6A6A6"/>
            </w:tcBorders>
          </w:tcPr>
          <w:p w14:paraId="2E8A938B" w14:textId="77777777" w:rsidR="00CE75D4" w:rsidRPr="002029AF" w:rsidRDefault="00CE75D4" w:rsidP="008340C1">
            <w:pPr>
              <w:pStyle w:val="ARfintablebodyright"/>
            </w:pPr>
            <w:r w:rsidRPr="00A17373">
              <w:t>3 to 10 years</w:t>
            </w:r>
          </w:p>
        </w:tc>
        <w:tc>
          <w:tcPr>
            <w:tcW w:w="1701" w:type="dxa"/>
            <w:tcBorders>
              <w:top w:val="single" w:sz="4" w:space="0" w:color="A6A6A6"/>
              <w:bottom w:val="single" w:sz="4" w:space="0" w:color="A6A6A6"/>
            </w:tcBorders>
          </w:tcPr>
          <w:p w14:paraId="154AFDD0" w14:textId="77777777" w:rsidR="00CE75D4" w:rsidRPr="002029AF" w:rsidRDefault="00CE75D4" w:rsidP="008340C1">
            <w:pPr>
              <w:pStyle w:val="ARfintablebodyright"/>
            </w:pPr>
            <w:r w:rsidRPr="00A17373">
              <w:t>3 to 15 years</w:t>
            </w:r>
          </w:p>
        </w:tc>
      </w:tr>
      <w:tr w:rsidR="00CE75D4" w:rsidRPr="002029AF" w14:paraId="2ED636E4" w14:textId="77777777" w:rsidTr="00860E95">
        <w:tc>
          <w:tcPr>
            <w:tcW w:w="6237" w:type="dxa"/>
            <w:tcBorders>
              <w:top w:val="single" w:sz="4" w:space="0" w:color="A6A6A6"/>
            </w:tcBorders>
          </w:tcPr>
          <w:p w14:paraId="5354E9BA" w14:textId="77777777" w:rsidR="00CE75D4" w:rsidRPr="002029AF" w:rsidRDefault="00CE75D4" w:rsidP="008340C1">
            <w:pPr>
              <w:pStyle w:val="ARfintablebody"/>
            </w:pPr>
            <w:r w:rsidRPr="00A17373">
              <w:t>Intangible assets</w:t>
            </w:r>
          </w:p>
        </w:tc>
        <w:tc>
          <w:tcPr>
            <w:tcW w:w="1701" w:type="dxa"/>
            <w:tcBorders>
              <w:top w:val="single" w:sz="4" w:space="0" w:color="A6A6A6"/>
            </w:tcBorders>
          </w:tcPr>
          <w:p w14:paraId="7B9776AF" w14:textId="77777777" w:rsidR="00CE75D4" w:rsidRPr="002029AF" w:rsidRDefault="00CE75D4" w:rsidP="008340C1">
            <w:pPr>
              <w:pStyle w:val="ARfintablebodyright"/>
            </w:pPr>
            <w:r w:rsidRPr="00A17373">
              <w:t>3 to 20 years</w:t>
            </w:r>
          </w:p>
        </w:tc>
        <w:tc>
          <w:tcPr>
            <w:tcW w:w="1701" w:type="dxa"/>
            <w:tcBorders>
              <w:top w:val="single" w:sz="4" w:space="0" w:color="A6A6A6"/>
            </w:tcBorders>
          </w:tcPr>
          <w:p w14:paraId="7CB109E9" w14:textId="77777777" w:rsidR="00CE75D4" w:rsidRPr="002029AF" w:rsidRDefault="00CE75D4" w:rsidP="008340C1">
            <w:pPr>
              <w:pStyle w:val="ARfintablebodyright"/>
            </w:pPr>
            <w:r w:rsidRPr="00A17373">
              <w:t>3 to 20 years</w:t>
            </w:r>
          </w:p>
        </w:tc>
      </w:tr>
    </w:tbl>
    <w:p w14:paraId="6B049D6B" w14:textId="77777777" w:rsidR="00CE75D4" w:rsidRDefault="00CE75D4" w:rsidP="008340C1">
      <w:pPr>
        <w:pStyle w:val="ARfinbodyaftertable"/>
      </w:pPr>
      <w:r>
        <w:t>The estimated useful lives, residual value and depreciation method are reviewed at the end of each annual reporting period. Estimated useful lives for buildings, and plant, equipment and vehicles have changed since June 2021 as a result of the removal of assets related to the DFFH, the Victorian Disability Worker Commission and the Director of Housing.</w:t>
      </w:r>
    </w:p>
    <w:p w14:paraId="2B1814D9" w14:textId="71964956" w:rsidR="00CE75D4" w:rsidRDefault="00CE75D4" w:rsidP="008340C1">
      <w:pPr>
        <w:pStyle w:val="ARfinbody"/>
      </w:pPr>
      <w:r>
        <w:t xml:space="preserve">Right-of-use assets are generally depreciated over the shorter of the asset’s useful life </w:t>
      </w:r>
      <w:r w:rsidR="002D091E">
        <w:t xml:space="preserve">or </w:t>
      </w:r>
      <w:r>
        <w:t>the lease term. Where the department obtains ownership of the underlying leased asset or if the cost of the right-of-use asset reflects that the entity will exercise a purchase option, the entity depreciates the right-of-use asset over its useful life.</w:t>
      </w:r>
    </w:p>
    <w:p w14:paraId="55E48FCA" w14:textId="23A368DA" w:rsidR="00CE75D4" w:rsidRDefault="00CE75D4" w:rsidP="008340C1">
      <w:pPr>
        <w:pStyle w:val="ARfinbody"/>
      </w:pPr>
      <w:r>
        <w:t xml:space="preserve">Leasehold improvements are depreciated over the shorter of the lease term </w:t>
      </w:r>
      <w:r w:rsidR="002D091E">
        <w:t xml:space="preserve">or </w:t>
      </w:r>
      <w:r>
        <w:t>their useful lives.</w:t>
      </w:r>
    </w:p>
    <w:p w14:paraId="3C6D12BF" w14:textId="77777777" w:rsidR="00CE75D4" w:rsidRPr="00532719" w:rsidRDefault="00CE75D4" w:rsidP="008340C1">
      <w:pPr>
        <w:pStyle w:val="ARfinbody"/>
      </w:pPr>
      <w:r w:rsidRPr="00532719">
        <w:br w:type="page"/>
      </w:r>
    </w:p>
    <w:p w14:paraId="3F750579" w14:textId="77777777" w:rsidR="00CE75D4" w:rsidRDefault="00CE75D4" w:rsidP="008340C1">
      <w:pPr>
        <w:pStyle w:val="Heading5"/>
        <w:rPr>
          <w:lang w:eastAsia="en-AU"/>
        </w:rPr>
      </w:pPr>
      <w:r w:rsidRPr="0043515C">
        <w:t>5.1.2 Reconciliation of movements in carrying values of property, plant and equipment</w:t>
      </w:r>
    </w:p>
    <w:tbl>
      <w:tblPr>
        <w:tblStyle w:val="TableGrid"/>
        <w:tblW w:w="9637" w:type="dxa"/>
        <w:tblLayout w:type="fixed"/>
        <w:tblCellMar>
          <w:right w:w="0" w:type="dxa"/>
        </w:tblCellMar>
        <w:tblLook w:val="06A0" w:firstRow="1" w:lastRow="0" w:firstColumn="1" w:lastColumn="0" w:noHBand="1" w:noVBand="1"/>
      </w:tblPr>
      <w:tblGrid>
        <w:gridCol w:w="3175"/>
        <w:gridCol w:w="1077"/>
        <w:gridCol w:w="1077"/>
        <w:gridCol w:w="1077"/>
        <w:gridCol w:w="1077"/>
        <w:gridCol w:w="1077"/>
        <w:gridCol w:w="1077"/>
      </w:tblGrid>
      <w:tr w:rsidR="00CE75D4" w:rsidRPr="002029AF" w14:paraId="6CDD16CC"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3175" w:type="dxa"/>
            <w:tcBorders>
              <w:bottom w:val="single" w:sz="4" w:space="0" w:color="auto"/>
            </w:tcBorders>
            <w:hideMark/>
          </w:tcPr>
          <w:p w14:paraId="075FD5DE" w14:textId="77777777" w:rsidR="00CE75D4" w:rsidRPr="002029AF" w:rsidRDefault="00CE75D4" w:rsidP="00130D1C">
            <w:pPr>
              <w:pStyle w:val="ARfintablecolhead"/>
              <w:spacing w:before="30" w:line="228" w:lineRule="auto"/>
            </w:pPr>
          </w:p>
        </w:tc>
        <w:tc>
          <w:tcPr>
            <w:tcW w:w="1077" w:type="dxa"/>
            <w:tcBorders>
              <w:bottom w:val="single" w:sz="4" w:space="0" w:color="auto"/>
            </w:tcBorders>
            <w:hideMark/>
          </w:tcPr>
          <w:p w14:paraId="029C5023" w14:textId="77777777" w:rsidR="00CE75D4" w:rsidRPr="002029AF" w:rsidRDefault="00CE75D4" w:rsidP="00130D1C">
            <w:pPr>
              <w:pStyle w:val="ARfintablecolheadright"/>
              <w:spacing w:before="30" w:line="228" w:lineRule="auto"/>
            </w:pPr>
            <w:r w:rsidRPr="002029AF">
              <w:t>Land at fair value</w:t>
            </w:r>
          </w:p>
          <w:p w14:paraId="41BB01D1" w14:textId="77777777" w:rsidR="00CE75D4" w:rsidRPr="002029AF" w:rsidRDefault="00CE75D4" w:rsidP="00130D1C">
            <w:pPr>
              <w:pStyle w:val="ARfintablecolheadright"/>
              <w:spacing w:before="30" w:line="228" w:lineRule="auto"/>
            </w:pPr>
            <w:r w:rsidRPr="002029AF">
              <w:t>$M</w:t>
            </w:r>
          </w:p>
        </w:tc>
        <w:tc>
          <w:tcPr>
            <w:tcW w:w="1077" w:type="dxa"/>
            <w:tcBorders>
              <w:bottom w:val="single" w:sz="4" w:space="0" w:color="auto"/>
            </w:tcBorders>
            <w:hideMark/>
          </w:tcPr>
          <w:p w14:paraId="3E41841F" w14:textId="77777777" w:rsidR="00CE75D4" w:rsidRPr="002029AF" w:rsidRDefault="00CE75D4" w:rsidP="00130D1C">
            <w:pPr>
              <w:pStyle w:val="ARfintablecolheadright"/>
              <w:spacing w:before="30" w:line="228" w:lineRule="auto"/>
            </w:pPr>
            <w:r w:rsidRPr="002029AF">
              <w:t>Buildings at fair value</w:t>
            </w:r>
          </w:p>
          <w:p w14:paraId="727677E5" w14:textId="77777777" w:rsidR="00CE75D4" w:rsidRPr="002029AF" w:rsidRDefault="00CE75D4" w:rsidP="00130D1C">
            <w:pPr>
              <w:pStyle w:val="ARfintablecolheadright"/>
              <w:spacing w:before="30" w:line="228" w:lineRule="auto"/>
            </w:pPr>
            <w:r w:rsidRPr="002029AF">
              <w:t>$M</w:t>
            </w:r>
          </w:p>
        </w:tc>
        <w:tc>
          <w:tcPr>
            <w:tcW w:w="1077" w:type="dxa"/>
            <w:tcBorders>
              <w:bottom w:val="single" w:sz="4" w:space="0" w:color="auto"/>
            </w:tcBorders>
            <w:hideMark/>
          </w:tcPr>
          <w:p w14:paraId="45E275D7" w14:textId="77777777" w:rsidR="00CE75D4" w:rsidRPr="002029AF" w:rsidRDefault="00CE75D4" w:rsidP="00130D1C">
            <w:pPr>
              <w:pStyle w:val="ARfintablecolheadright"/>
              <w:spacing w:before="30" w:line="228" w:lineRule="auto"/>
            </w:pPr>
            <w:r w:rsidRPr="002029AF">
              <w:t>Plant, equipment and vehicles at fair value</w:t>
            </w:r>
          </w:p>
          <w:p w14:paraId="1BCF974B" w14:textId="77777777" w:rsidR="00CE75D4" w:rsidRPr="002029AF" w:rsidRDefault="00CE75D4" w:rsidP="00130D1C">
            <w:pPr>
              <w:pStyle w:val="ARfintablecolheadright"/>
              <w:spacing w:before="30" w:line="228" w:lineRule="auto"/>
            </w:pPr>
            <w:r w:rsidRPr="002029AF">
              <w:t>$M</w:t>
            </w:r>
          </w:p>
        </w:tc>
        <w:tc>
          <w:tcPr>
            <w:tcW w:w="1077" w:type="dxa"/>
            <w:tcBorders>
              <w:bottom w:val="single" w:sz="4" w:space="0" w:color="auto"/>
            </w:tcBorders>
            <w:hideMark/>
          </w:tcPr>
          <w:p w14:paraId="05EBD817" w14:textId="77777777" w:rsidR="00CE75D4" w:rsidRPr="002029AF" w:rsidRDefault="00CE75D4" w:rsidP="00130D1C">
            <w:pPr>
              <w:pStyle w:val="ARfintablecolheadright"/>
              <w:spacing w:before="30" w:line="228" w:lineRule="auto"/>
            </w:pPr>
            <w:r w:rsidRPr="002029AF">
              <w:t>Motor vehicles at fair value</w:t>
            </w:r>
          </w:p>
          <w:p w14:paraId="43CD948A" w14:textId="77777777" w:rsidR="00CE75D4" w:rsidRPr="002029AF" w:rsidRDefault="00CE75D4" w:rsidP="00130D1C">
            <w:pPr>
              <w:pStyle w:val="ARfintablecolheadright"/>
              <w:spacing w:before="30" w:line="228" w:lineRule="auto"/>
            </w:pPr>
            <w:r w:rsidRPr="002029AF">
              <w:t>$M</w:t>
            </w:r>
          </w:p>
        </w:tc>
        <w:tc>
          <w:tcPr>
            <w:tcW w:w="1077" w:type="dxa"/>
            <w:tcBorders>
              <w:bottom w:val="single" w:sz="4" w:space="0" w:color="auto"/>
            </w:tcBorders>
            <w:hideMark/>
          </w:tcPr>
          <w:p w14:paraId="40C85616" w14:textId="77777777" w:rsidR="00CE75D4" w:rsidRPr="002029AF" w:rsidRDefault="00CE75D4" w:rsidP="00130D1C">
            <w:pPr>
              <w:pStyle w:val="ARfintablecolheadright"/>
              <w:spacing w:before="30" w:line="228" w:lineRule="auto"/>
            </w:pPr>
            <w:r w:rsidRPr="002029AF">
              <w:t>Assets under construc-tion at cost</w:t>
            </w:r>
          </w:p>
          <w:p w14:paraId="609B6FAB" w14:textId="77777777" w:rsidR="00CE75D4" w:rsidRPr="002029AF" w:rsidRDefault="00CE75D4" w:rsidP="00130D1C">
            <w:pPr>
              <w:pStyle w:val="ARfintablecolheadright"/>
              <w:spacing w:before="30" w:line="228" w:lineRule="auto"/>
            </w:pPr>
            <w:r w:rsidRPr="002029AF">
              <w:t>$M</w:t>
            </w:r>
          </w:p>
        </w:tc>
        <w:tc>
          <w:tcPr>
            <w:tcW w:w="1077" w:type="dxa"/>
            <w:tcBorders>
              <w:bottom w:val="single" w:sz="4" w:space="0" w:color="auto"/>
            </w:tcBorders>
            <w:hideMark/>
          </w:tcPr>
          <w:p w14:paraId="4617DF9E" w14:textId="77777777" w:rsidR="00CE75D4" w:rsidRPr="002029AF" w:rsidRDefault="00CE75D4" w:rsidP="00130D1C">
            <w:pPr>
              <w:pStyle w:val="ARfintablecolheadright"/>
              <w:spacing w:before="30" w:line="228" w:lineRule="auto"/>
            </w:pPr>
            <w:r w:rsidRPr="002029AF">
              <w:t>Total</w:t>
            </w:r>
          </w:p>
          <w:p w14:paraId="1CEA8AD7" w14:textId="77777777" w:rsidR="00CE75D4" w:rsidRPr="002029AF" w:rsidRDefault="00CE75D4" w:rsidP="00130D1C">
            <w:pPr>
              <w:pStyle w:val="ARfintablecolheadright"/>
              <w:spacing w:before="30" w:line="228" w:lineRule="auto"/>
            </w:pPr>
            <w:r w:rsidRPr="002029AF">
              <w:t>$M</w:t>
            </w:r>
          </w:p>
        </w:tc>
      </w:tr>
      <w:tr w:rsidR="00CE75D4" w:rsidRPr="002029AF" w14:paraId="24707354" w14:textId="77777777" w:rsidTr="00130D1C">
        <w:trPr>
          <w:trHeight w:val="255"/>
        </w:trPr>
        <w:tc>
          <w:tcPr>
            <w:tcW w:w="3175" w:type="dxa"/>
            <w:tcBorders>
              <w:top w:val="single" w:sz="4" w:space="0" w:color="A6A6A6"/>
              <w:bottom w:val="single" w:sz="4" w:space="0" w:color="A6A6A6"/>
            </w:tcBorders>
            <w:hideMark/>
          </w:tcPr>
          <w:p w14:paraId="78C06EE4" w14:textId="77777777" w:rsidR="00CE75D4" w:rsidRPr="002029AF" w:rsidRDefault="00CE75D4" w:rsidP="008340C1">
            <w:pPr>
              <w:pStyle w:val="ARfintablebodybold"/>
              <w:spacing w:before="30" w:line="240" w:lineRule="auto"/>
            </w:pPr>
            <w:r w:rsidRPr="00755D16">
              <w:t>Balance at 1 July 2021</w:t>
            </w:r>
          </w:p>
        </w:tc>
        <w:tc>
          <w:tcPr>
            <w:tcW w:w="1077" w:type="dxa"/>
            <w:tcBorders>
              <w:top w:val="single" w:sz="4" w:space="0" w:color="A6A6A6"/>
              <w:bottom w:val="single" w:sz="4" w:space="0" w:color="A6A6A6"/>
            </w:tcBorders>
            <w:noWrap/>
            <w:hideMark/>
          </w:tcPr>
          <w:p w14:paraId="096B187E" w14:textId="77777777" w:rsidR="00CE75D4" w:rsidRPr="002029AF" w:rsidRDefault="00CE75D4" w:rsidP="008340C1">
            <w:pPr>
              <w:pStyle w:val="ARfintablebodyrightbold"/>
              <w:spacing w:before="30" w:line="240" w:lineRule="auto"/>
            </w:pPr>
            <w:r w:rsidRPr="00755D16">
              <w:t>23,079.2</w:t>
            </w:r>
          </w:p>
        </w:tc>
        <w:tc>
          <w:tcPr>
            <w:tcW w:w="1077" w:type="dxa"/>
            <w:tcBorders>
              <w:top w:val="single" w:sz="4" w:space="0" w:color="A6A6A6"/>
              <w:bottom w:val="single" w:sz="4" w:space="0" w:color="A6A6A6"/>
            </w:tcBorders>
            <w:noWrap/>
            <w:hideMark/>
          </w:tcPr>
          <w:p w14:paraId="6C975065" w14:textId="77777777" w:rsidR="00CE75D4" w:rsidRPr="002029AF" w:rsidRDefault="00CE75D4" w:rsidP="008340C1">
            <w:pPr>
              <w:pStyle w:val="ARfintablebodyrightbold"/>
              <w:spacing w:before="30" w:line="240" w:lineRule="auto"/>
            </w:pPr>
            <w:r w:rsidRPr="00755D16">
              <w:t>9,746.5</w:t>
            </w:r>
          </w:p>
        </w:tc>
        <w:tc>
          <w:tcPr>
            <w:tcW w:w="1077" w:type="dxa"/>
            <w:tcBorders>
              <w:top w:val="single" w:sz="4" w:space="0" w:color="A6A6A6"/>
              <w:bottom w:val="single" w:sz="4" w:space="0" w:color="A6A6A6"/>
            </w:tcBorders>
            <w:noWrap/>
            <w:hideMark/>
          </w:tcPr>
          <w:p w14:paraId="03F41C7F" w14:textId="77777777" w:rsidR="00CE75D4" w:rsidRPr="002029AF" w:rsidRDefault="00CE75D4" w:rsidP="008340C1">
            <w:pPr>
              <w:pStyle w:val="ARfintablebodyrightbold"/>
              <w:spacing w:before="30" w:line="240" w:lineRule="auto"/>
            </w:pPr>
            <w:r w:rsidRPr="00755D16">
              <w:t>6.3</w:t>
            </w:r>
          </w:p>
        </w:tc>
        <w:tc>
          <w:tcPr>
            <w:tcW w:w="1077" w:type="dxa"/>
            <w:tcBorders>
              <w:top w:val="single" w:sz="4" w:space="0" w:color="A6A6A6"/>
              <w:bottom w:val="single" w:sz="4" w:space="0" w:color="A6A6A6"/>
            </w:tcBorders>
            <w:noWrap/>
            <w:hideMark/>
          </w:tcPr>
          <w:p w14:paraId="46F5D388" w14:textId="77777777" w:rsidR="00CE75D4" w:rsidRPr="002029AF" w:rsidRDefault="00CE75D4" w:rsidP="008340C1">
            <w:pPr>
              <w:pStyle w:val="ARfintablebodyrightbold"/>
              <w:spacing w:before="30" w:line="240" w:lineRule="auto"/>
            </w:pPr>
            <w:r w:rsidRPr="00755D16">
              <w:t>26.5</w:t>
            </w:r>
          </w:p>
        </w:tc>
        <w:tc>
          <w:tcPr>
            <w:tcW w:w="1077" w:type="dxa"/>
            <w:tcBorders>
              <w:top w:val="single" w:sz="4" w:space="0" w:color="A6A6A6"/>
              <w:bottom w:val="single" w:sz="4" w:space="0" w:color="A6A6A6"/>
            </w:tcBorders>
            <w:noWrap/>
            <w:hideMark/>
          </w:tcPr>
          <w:p w14:paraId="5FC0E65D" w14:textId="77777777" w:rsidR="00CE75D4" w:rsidRPr="002029AF" w:rsidRDefault="00CE75D4" w:rsidP="008340C1">
            <w:pPr>
              <w:pStyle w:val="ARfintablebodyrightbold"/>
              <w:spacing w:before="30" w:line="240" w:lineRule="auto"/>
            </w:pPr>
            <w:r w:rsidRPr="00755D16">
              <w:t>906.0</w:t>
            </w:r>
          </w:p>
        </w:tc>
        <w:tc>
          <w:tcPr>
            <w:tcW w:w="1077" w:type="dxa"/>
            <w:tcBorders>
              <w:top w:val="single" w:sz="4" w:space="0" w:color="A6A6A6"/>
              <w:bottom w:val="single" w:sz="4" w:space="0" w:color="A6A6A6"/>
            </w:tcBorders>
            <w:noWrap/>
            <w:hideMark/>
          </w:tcPr>
          <w:p w14:paraId="06527573" w14:textId="77777777" w:rsidR="00CE75D4" w:rsidRPr="002029AF" w:rsidRDefault="00CE75D4" w:rsidP="008340C1">
            <w:pPr>
              <w:pStyle w:val="ARfintablebodyrightbold"/>
              <w:spacing w:before="30" w:line="240" w:lineRule="auto"/>
            </w:pPr>
            <w:r w:rsidRPr="00755D16">
              <w:t>33,764.5</w:t>
            </w:r>
          </w:p>
        </w:tc>
      </w:tr>
      <w:tr w:rsidR="00CE75D4" w:rsidRPr="002029AF" w14:paraId="72386CE7" w14:textId="77777777" w:rsidTr="00130D1C">
        <w:trPr>
          <w:trHeight w:val="255"/>
        </w:trPr>
        <w:tc>
          <w:tcPr>
            <w:tcW w:w="3175" w:type="dxa"/>
            <w:tcBorders>
              <w:top w:val="single" w:sz="4" w:space="0" w:color="A6A6A6"/>
              <w:bottom w:val="single" w:sz="4" w:space="0" w:color="A6A6A6"/>
            </w:tcBorders>
            <w:hideMark/>
          </w:tcPr>
          <w:p w14:paraId="090519FD" w14:textId="77777777" w:rsidR="00CE75D4" w:rsidRPr="002029AF" w:rsidRDefault="00CE75D4" w:rsidP="008340C1">
            <w:pPr>
              <w:pStyle w:val="ARfintablebody"/>
              <w:spacing w:before="30" w:line="240" w:lineRule="auto"/>
            </w:pPr>
            <w:r w:rsidRPr="00755D16">
              <w:t xml:space="preserve">Removal of DFFH-related June 2021 closing balance </w:t>
            </w:r>
            <w:r w:rsidRPr="00614F04">
              <w:rPr>
                <w:rStyle w:val="Superscript"/>
              </w:rPr>
              <w:t>(i)</w:t>
            </w:r>
          </w:p>
        </w:tc>
        <w:tc>
          <w:tcPr>
            <w:tcW w:w="1077" w:type="dxa"/>
            <w:tcBorders>
              <w:top w:val="single" w:sz="4" w:space="0" w:color="A6A6A6"/>
              <w:bottom w:val="single" w:sz="4" w:space="0" w:color="A6A6A6"/>
            </w:tcBorders>
            <w:noWrap/>
            <w:hideMark/>
          </w:tcPr>
          <w:p w14:paraId="23C2A26E" w14:textId="77777777" w:rsidR="00CE75D4" w:rsidRPr="002029AF" w:rsidRDefault="00CE75D4" w:rsidP="008340C1">
            <w:pPr>
              <w:pStyle w:val="ARfintablebodyright"/>
              <w:spacing w:before="30" w:line="240" w:lineRule="auto"/>
            </w:pPr>
            <w:r w:rsidRPr="00755D16">
              <w:t>(22,505.5)</w:t>
            </w:r>
          </w:p>
        </w:tc>
        <w:tc>
          <w:tcPr>
            <w:tcW w:w="1077" w:type="dxa"/>
            <w:tcBorders>
              <w:top w:val="single" w:sz="4" w:space="0" w:color="A6A6A6"/>
              <w:bottom w:val="single" w:sz="4" w:space="0" w:color="A6A6A6"/>
            </w:tcBorders>
            <w:noWrap/>
            <w:hideMark/>
          </w:tcPr>
          <w:p w14:paraId="7CDE0D2E" w14:textId="77777777" w:rsidR="00CE75D4" w:rsidRPr="002029AF" w:rsidRDefault="00CE75D4" w:rsidP="008340C1">
            <w:pPr>
              <w:pStyle w:val="ARfintablebodyright"/>
              <w:spacing w:before="30" w:line="240" w:lineRule="auto"/>
            </w:pPr>
            <w:r w:rsidRPr="00755D16">
              <w:t>(9,211.3)</w:t>
            </w:r>
          </w:p>
        </w:tc>
        <w:tc>
          <w:tcPr>
            <w:tcW w:w="1077" w:type="dxa"/>
            <w:tcBorders>
              <w:top w:val="single" w:sz="4" w:space="0" w:color="A6A6A6"/>
              <w:bottom w:val="single" w:sz="4" w:space="0" w:color="A6A6A6"/>
            </w:tcBorders>
            <w:noWrap/>
            <w:hideMark/>
          </w:tcPr>
          <w:p w14:paraId="6DAC98E4" w14:textId="77777777" w:rsidR="00CE75D4" w:rsidRPr="002029AF" w:rsidRDefault="00CE75D4" w:rsidP="008340C1">
            <w:pPr>
              <w:pStyle w:val="ARfintablebodyright"/>
              <w:spacing w:before="30" w:line="240" w:lineRule="auto"/>
            </w:pPr>
            <w:r w:rsidRPr="00755D16">
              <w:t>(0.5)</w:t>
            </w:r>
          </w:p>
        </w:tc>
        <w:tc>
          <w:tcPr>
            <w:tcW w:w="1077" w:type="dxa"/>
            <w:tcBorders>
              <w:top w:val="single" w:sz="4" w:space="0" w:color="A6A6A6"/>
              <w:bottom w:val="single" w:sz="4" w:space="0" w:color="A6A6A6"/>
            </w:tcBorders>
            <w:noWrap/>
            <w:hideMark/>
          </w:tcPr>
          <w:p w14:paraId="11725459" w14:textId="77777777" w:rsidR="00CE75D4" w:rsidRPr="002029AF" w:rsidRDefault="00CE75D4" w:rsidP="008340C1">
            <w:pPr>
              <w:pStyle w:val="ARfintablebodyright"/>
              <w:spacing w:before="30" w:line="240" w:lineRule="auto"/>
            </w:pPr>
            <w:r w:rsidRPr="00755D16">
              <w:t>(24.5)</w:t>
            </w:r>
          </w:p>
        </w:tc>
        <w:tc>
          <w:tcPr>
            <w:tcW w:w="1077" w:type="dxa"/>
            <w:tcBorders>
              <w:top w:val="single" w:sz="4" w:space="0" w:color="A6A6A6"/>
              <w:bottom w:val="single" w:sz="4" w:space="0" w:color="A6A6A6"/>
            </w:tcBorders>
            <w:noWrap/>
            <w:hideMark/>
          </w:tcPr>
          <w:p w14:paraId="6A1A9500" w14:textId="77777777" w:rsidR="00CE75D4" w:rsidRPr="002029AF" w:rsidRDefault="00CE75D4" w:rsidP="008340C1">
            <w:pPr>
              <w:pStyle w:val="ARfintablebodyright"/>
              <w:spacing w:before="30" w:line="240" w:lineRule="auto"/>
            </w:pPr>
            <w:r w:rsidRPr="00755D16">
              <w:t>(685.0)</w:t>
            </w:r>
          </w:p>
        </w:tc>
        <w:tc>
          <w:tcPr>
            <w:tcW w:w="1077" w:type="dxa"/>
            <w:tcBorders>
              <w:top w:val="single" w:sz="4" w:space="0" w:color="A6A6A6"/>
              <w:bottom w:val="single" w:sz="4" w:space="0" w:color="A6A6A6"/>
            </w:tcBorders>
            <w:noWrap/>
            <w:hideMark/>
          </w:tcPr>
          <w:p w14:paraId="18D30375" w14:textId="77777777" w:rsidR="00CE75D4" w:rsidRPr="002029AF" w:rsidRDefault="00CE75D4" w:rsidP="008340C1">
            <w:pPr>
              <w:pStyle w:val="ARfintablebodyright"/>
              <w:spacing w:before="30" w:line="240" w:lineRule="auto"/>
            </w:pPr>
            <w:r w:rsidRPr="00755D16">
              <w:t>(32,426.6)</w:t>
            </w:r>
          </w:p>
        </w:tc>
      </w:tr>
      <w:tr w:rsidR="00CE75D4" w:rsidRPr="002029AF" w14:paraId="44536C9B" w14:textId="77777777" w:rsidTr="008340C1">
        <w:trPr>
          <w:trHeight w:val="255"/>
        </w:trPr>
        <w:tc>
          <w:tcPr>
            <w:tcW w:w="3175" w:type="dxa"/>
            <w:tcBorders>
              <w:top w:val="single" w:sz="4" w:space="0" w:color="A6A6A6"/>
              <w:bottom w:val="single" w:sz="4" w:space="0" w:color="A6A6A6"/>
            </w:tcBorders>
            <w:hideMark/>
          </w:tcPr>
          <w:p w14:paraId="79B6CC1B" w14:textId="77777777" w:rsidR="00CE75D4" w:rsidRPr="002029AF" w:rsidRDefault="00CE75D4" w:rsidP="008340C1">
            <w:pPr>
              <w:pStyle w:val="ARfintablebodybold"/>
              <w:spacing w:before="30" w:line="240" w:lineRule="auto"/>
            </w:pPr>
            <w:r w:rsidRPr="00755D16">
              <w:t>Adjusted balance at 1 July 2021</w:t>
            </w:r>
          </w:p>
        </w:tc>
        <w:tc>
          <w:tcPr>
            <w:tcW w:w="1077" w:type="dxa"/>
            <w:tcBorders>
              <w:top w:val="single" w:sz="4" w:space="0" w:color="A6A6A6"/>
              <w:bottom w:val="single" w:sz="4" w:space="0" w:color="A6A6A6"/>
            </w:tcBorders>
            <w:noWrap/>
            <w:hideMark/>
          </w:tcPr>
          <w:p w14:paraId="74C1211D" w14:textId="77777777" w:rsidR="00CE75D4" w:rsidRPr="002029AF" w:rsidRDefault="00CE75D4" w:rsidP="008340C1">
            <w:pPr>
              <w:pStyle w:val="ARfintablebodyrightbold"/>
              <w:spacing w:before="30" w:line="240" w:lineRule="auto"/>
            </w:pPr>
            <w:r w:rsidRPr="00755D16">
              <w:t>573.7</w:t>
            </w:r>
          </w:p>
        </w:tc>
        <w:tc>
          <w:tcPr>
            <w:tcW w:w="1077" w:type="dxa"/>
            <w:tcBorders>
              <w:top w:val="single" w:sz="4" w:space="0" w:color="A6A6A6"/>
              <w:bottom w:val="single" w:sz="4" w:space="0" w:color="A6A6A6"/>
            </w:tcBorders>
            <w:noWrap/>
            <w:hideMark/>
          </w:tcPr>
          <w:p w14:paraId="302058BC" w14:textId="77777777" w:rsidR="00CE75D4" w:rsidRPr="002029AF" w:rsidRDefault="00CE75D4" w:rsidP="008340C1">
            <w:pPr>
              <w:pStyle w:val="ARfintablebodyrightbold"/>
              <w:spacing w:before="30" w:line="240" w:lineRule="auto"/>
            </w:pPr>
            <w:r w:rsidRPr="00755D16">
              <w:t>535.2</w:t>
            </w:r>
          </w:p>
        </w:tc>
        <w:tc>
          <w:tcPr>
            <w:tcW w:w="1077" w:type="dxa"/>
            <w:tcBorders>
              <w:top w:val="single" w:sz="4" w:space="0" w:color="A6A6A6"/>
              <w:bottom w:val="single" w:sz="4" w:space="0" w:color="A6A6A6"/>
            </w:tcBorders>
            <w:noWrap/>
            <w:hideMark/>
          </w:tcPr>
          <w:p w14:paraId="63F9003B" w14:textId="77777777" w:rsidR="00CE75D4" w:rsidRPr="002029AF" w:rsidRDefault="00CE75D4" w:rsidP="008340C1">
            <w:pPr>
              <w:pStyle w:val="ARfintablebodyrightbold"/>
              <w:spacing w:before="30" w:line="240" w:lineRule="auto"/>
            </w:pPr>
            <w:r w:rsidRPr="00755D16">
              <w:t>5.8</w:t>
            </w:r>
          </w:p>
        </w:tc>
        <w:tc>
          <w:tcPr>
            <w:tcW w:w="1077" w:type="dxa"/>
            <w:tcBorders>
              <w:top w:val="single" w:sz="4" w:space="0" w:color="A6A6A6"/>
              <w:bottom w:val="single" w:sz="4" w:space="0" w:color="A6A6A6"/>
            </w:tcBorders>
            <w:noWrap/>
            <w:hideMark/>
          </w:tcPr>
          <w:p w14:paraId="628AD2C4" w14:textId="77777777" w:rsidR="00CE75D4" w:rsidRPr="002029AF" w:rsidRDefault="00CE75D4" w:rsidP="008340C1">
            <w:pPr>
              <w:pStyle w:val="ARfintablebodyrightbold"/>
              <w:spacing w:before="30" w:line="240" w:lineRule="auto"/>
            </w:pPr>
            <w:r>
              <w:t>2.0</w:t>
            </w:r>
          </w:p>
        </w:tc>
        <w:tc>
          <w:tcPr>
            <w:tcW w:w="1077" w:type="dxa"/>
            <w:tcBorders>
              <w:top w:val="single" w:sz="4" w:space="0" w:color="A6A6A6"/>
              <w:bottom w:val="single" w:sz="4" w:space="0" w:color="A6A6A6"/>
            </w:tcBorders>
            <w:noWrap/>
            <w:hideMark/>
          </w:tcPr>
          <w:p w14:paraId="02C4824C" w14:textId="77777777" w:rsidR="00CE75D4" w:rsidRPr="002029AF" w:rsidRDefault="00CE75D4" w:rsidP="008340C1">
            <w:pPr>
              <w:pStyle w:val="ARfintablebodyrightbold"/>
              <w:spacing w:before="30" w:line="240" w:lineRule="auto"/>
            </w:pPr>
            <w:r w:rsidRPr="00755D16">
              <w:t>221.0</w:t>
            </w:r>
          </w:p>
        </w:tc>
        <w:tc>
          <w:tcPr>
            <w:tcW w:w="1077" w:type="dxa"/>
            <w:tcBorders>
              <w:top w:val="single" w:sz="4" w:space="0" w:color="A6A6A6"/>
              <w:bottom w:val="single" w:sz="4" w:space="0" w:color="A6A6A6"/>
            </w:tcBorders>
            <w:noWrap/>
            <w:hideMark/>
          </w:tcPr>
          <w:p w14:paraId="47C74FF6" w14:textId="77777777" w:rsidR="00CE75D4" w:rsidRPr="002029AF" w:rsidRDefault="00CE75D4" w:rsidP="008340C1">
            <w:pPr>
              <w:pStyle w:val="ARfintablebodyrightbold"/>
              <w:spacing w:before="30" w:line="240" w:lineRule="auto"/>
            </w:pPr>
            <w:r w:rsidRPr="00755D16">
              <w:t>1,337.9</w:t>
            </w:r>
          </w:p>
        </w:tc>
      </w:tr>
      <w:tr w:rsidR="00CE75D4" w:rsidRPr="002029AF" w14:paraId="2EF360AE" w14:textId="77777777" w:rsidTr="008340C1">
        <w:trPr>
          <w:trHeight w:val="255"/>
        </w:trPr>
        <w:tc>
          <w:tcPr>
            <w:tcW w:w="3175" w:type="dxa"/>
            <w:tcBorders>
              <w:top w:val="single" w:sz="4" w:space="0" w:color="A6A6A6"/>
              <w:bottom w:val="single" w:sz="4" w:space="0" w:color="A6A6A6"/>
            </w:tcBorders>
            <w:hideMark/>
          </w:tcPr>
          <w:p w14:paraId="4F7A57CA" w14:textId="77777777" w:rsidR="00CE75D4" w:rsidRPr="002029AF" w:rsidRDefault="00CE75D4" w:rsidP="008340C1">
            <w:pPr>
              <w:pStyle w:val="ARfintablebody"/>
              <w:spacing w:before="30" w:line="240" w:lineRule="auto"/>
            </w:pPr>
            <w:r w:rsidRPr="00755D16">
              <w:t>Additions</w:t>
            </w:r>
          </w:p>
        </w:tc>
        <w:tc>
          <w:tcPr>
            <w:tcW w:w="1077" w:type="dxa"/>
            <w:tcBorders>
              <w:top w:val="single" w:sz="4" w:space="0" w:color="A6A6A6"/>
              <w:bottom w:val="single" w:sz="4" w:space="0" w:color="A6A6A6"/>
            </w:tcBorders>
            <w:noWrap/>
            <w:hideMark/>
          </w:tcPr>
          <w:p w14:paraId="2386C64A" w14:textId="77777777" w:rsidR="00CE75D4" w:rsidRPr="002029AF" w:rsidRDefault="00CE75D4" w:rsidP="008340C1">
            <w:pPr>
              <w:pStyle w:val="ARfintablebodyright"/>
              <w:spacing w:before="30" w:line="240" w:lineRule="auto"/>
            </w:pPr>
            <w:r w:rsidRPr="00755D16">
              <w:t>15.5</w:t>
            </w:r>
          </w:p>
        </w:tc>
        <w:tc>
          <w:tcPr>
            <w:tcW w:w="1077" w:type="dxa"/>
            <w:tcBorders>
              <w:top w:val="single" w:sz="4" w:space="0" w:color="A6A6A6"/>
              <w:bottom w:val="single" w:sz="4" w:space="0" w:color="A6A6A6"/>
            </w:tcBorders>
            <w:noWrap/>
            <w:hideMark/>
          </w:tcPr>
          <w:p w14:paraId="0471B990" w14:textId="77777777" w:rsidR="00CE75D4" w:rsidRPr="002029AF" w:rsidRDefault="00CE75D4" w:rsidP="008340C1">
            <w:pPr>
              <w:pStyle w:val="ARfintablebodyright"/>
              <w:spacing w:before="30" w:line="240" w:lineRule="auto"/>
            </w:pPr>
            <w:r w:rsidRPr="00755D16">
              <w:t>0.3</w:t>
            </w:r>
          </w:p>
        </w:tc>
        <w:tc>
          <w:tcPr>
            <w:tcW w:w="1077" w:type="dxa"/>
            <w:tcBorders>
              <w:top w:val="single" w:sz="4" w:space="0" w:color="A6A6A6"/>
              <w:bottom w:val="single" w:sz="4" w:space="0" w:color="A6A6A6"/>
            </w:tcBorders>
            <w:noWrap/>
            <w:hideMark/>
          </w:tcPr>
          <w:p w14:paraId="19E87107" w14:textId="77777777" w:rsidR="00CE75D4" w:rsidRPr="002029AF" w:rsidRDefault="00CE75D4" w:rsidP="008340C1">
            <w:pPr>
              <w:pStyle w:val="ARfintablebodyright"/>
              <w:spacing w:before="30" w:line="240" w:lineRule="auto"/>
            </w:pPr>
            <w:r w:rsidRPr="00755D16">
              <w:t>0.7</w:t>
            </w:r>
          </w:p>
        </w:tc>
        <w:tc>
          <w:tcPr>
            <w:tcW w:w="1077" w:type="dxa"/>
            <w:tcBorders>
              <w:top w:val="single" w:sz="4" w:space="0" w:color="A6A6A6"/>
              <w:bottom w:val="single" w:sz="4" w:space="0" w:color="A6A6A6"/>
            </w:tcBorders>
            <w:noWrap/>
            <w:hideMark/>
          </w:tcPr>
          <w:p w14:paraId="0544D75D" w14:textId="77777777" w:rsidR="00CE75D4" w:rsidRPr="002029AF" w:rsidRDefault="00CE75D4" w:rsidP="008340C1">
            <w:pPr>
              <w:pStyle w:val="ARfintablebodyright"/>
              <w:spacing w:before="30" w:line="240" w:lineRule="auto"/>
            </w:pPr>
            <w:r w:rsidRPr="00755D16">
              <w:t>0.7</w:t>
            </w:r>
          </w:p>
        </w:tc>
        <w:tc>
          <w:tcPr>
            <w:tcW w:w="1077" w:type="dxa"/>
            <w:tcBorders>
              <w:top w:val="single" w:sz="4" w:space="0" w:color="A6A6A6"/>
              <w:bottom w:val="single" w:sz="4" w:space="0" w:color="A6A6A6"/>
            </w:tcBorders>
            <w:noWrap/>
            <w:hideMark/>
          </w:tcPr>
          <w:p w14:paraId="3D06B8A4" w14:textId="77777777" w:rsidR="00CE75D4" w:rsidRPr="002029AF" w:rsidRDefault="00CE75D4" w:rsidP="008340C1">
            <w:pPr>
              <w:pStyle w:val="ARfintablebodyright"/>
              <w:spacing w:before="30" w:line="240" w:lineRule="auto"/>
            </w:pPr>
            <w:r w:rsidRPr="00755D16">
              <w:t>3</w:t>
            </w:r>
            <w:r>
              <w:t>48</w:t>
            </w:r>
            <w:r w:rsidRPr="00755D16">
              <w:t>.7</w:t>
            </w:r>
          </w:p>
        </w:tc>
        <w:tc>
          <w:tcPr>
            <w:tcW w:w="1077" w:type="dxa"/>
            <w:tcBorders>
              <w:top w:val="single" w:sz="4" w:space="0" w:color="A6A6A6"/>
              <w:bottom w:val="single" w:sz="4" w:space="0" w:color="A6A6A6"/>
            </w:tcBorders>
            <w:noWrap/>
            <w:hideMark/>
          </w:tcPr>
          <w:p w14:paraId="45E64BB6" w14:textId="77777777" w:rsidR="00CE75D4" w:rsidRPr="002029AF" w:rsidRDefault="00CE75D4" w:rsidP="008340C1">
            <w:pPr>
              <w:pStyle w:val="ARfintablebodyright"/>
              <w:spacing w:before="30" w:line="240" w:lineRule="auto"/>
            </w:pPr>
            <w:r w:rsidRPr="00755D16">
              <w:t>3</w:t>
            </w:r>
            <w:r>
              <w:t>65.9</w:t>
            </w:r>
          </w:p>
        </w:tc>
      </w:tr>
      <w:tr w:rsidR="00CE75D4" w:rsidRPr="002029AF" w14:paraId="2BBDD9DC" w14:textId="77777777" w:rsidTr="00130D1C">
        <w:trPr>
          <w:trHeight w:val="255"/>
        </w:trPr>
        <w:tc>
          <w:tcPr>
            <w:tcW w:w="3175" w:type="dxa"/>
            <w:tcBorders>
              <w:top w:val="single" w:sz="4" w:space="0" w:color="A6A6A6"/>
              <w:bottom w:val="single" w:sz="4" w:space="0" w:color="A6A6A6"/>
            </w:tcBorders>
            <w:hideMark/>
          </w:tcPr>
          <w:p w14:paraId="49D0CBB3" w14:textId="77777777" w:rsidR="00CE75D4" w:rsidRPr="002029AF" w:rsidRDefault="00CE75D4" w:rsidP="008340C1">
            <w:pPr>
              <w:pStyle w:val="ARfintablebody"/>
              <w:spacing w:before="30" w:line="240" w:lineRule="auto"/>
            </w:pPr>
            <w:r w:rsidRPr="00755D16">
              <w:t>Disposals</w:t>
            </w:r>
          </w:p>
        </w:tc>
        <w:tc>
          <w:tcPr>
            <w:tcW w:w="1077" w:type="dxa"/>
            <w:tcBorders>
              <w:top w:val="single" w:sz="4" w:space="0" w:color="A6A6A6"/>
              <w:bottom w:val="single" w:sz="4" w:space="0" w:color="A6A6A6"/>
            </w:tcBorders>
            <w:noWrap/>
            <w:hideMark/>
          </w:tcPr>
          <w:p w14:paraId="6A237FB8"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6EE7B30C"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49CCC134"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4F1CCCAB" w14:textId="77777777" w:rsidR="00CE75D4" w:rsidRPr="002029AF" w:rsidRDefault="00CE75D4" w:rsidP="008340C1">
            <w:pPr>
              <w:pStyle w:val="ARfintablebodyright"/>
              <w:spacing w:before="30" w:line="240" w:lineRule="auto"/>
            </w:pPr>
            <w:r w:rsidRPr="00755D16">
              <w:t>(0.3)</w:t>
            </w:r>
          </w:p>
        </w:tc>
        <w:tc>
          <w:tcPr>
            <w:tcW w:w="1077" w:type="dxa"/>
            <w:tcBorders>
              <w:top w:val="single" w:sz="4" w:space="0" w:color="A6A6A6"/>
              <w:bottom w:val="single" w:sz="4" w:space="0" w:color="A6A6A6"/>
            </w:tcBorders>
            <w:noWrap/>
            <w:hideMark/>
          </w:tcPr>
          <w:p w14:paraId="1EE4A1BA"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441D1BBC" w14:textId="77777777" w:rsidR="00CE75D4" w:rsidRPr="002029AF" w:rsidRDefault="00CE75D4" w:rsidP="008340C1">
            <w:pPr>
              <w:pStyle w:val="ARfintablebodyright"/>
              <w:spacing w:before="30" w:line="240" w:lineRule="auto"/>
            </w:pPr>
            <w:r w:rsidRPr="00755D16">
              <w:t>(0.3)</w:t>
            </w:r>
          </w:p>
        </w:tc>
      </w:tr>
      <w:tr w:rsidR="00CE75D4" w:rsidRPr="002029AF" w14:paraId="714AE4B2" w14:textId="77777777" w:rsidTr="00130D1C">
        <w:trPr>
          <w:trHeight w:val="255"/>
        </w:trPr>
        <w:tc>
          <w:tcPr>
            <w:tcW w:w="3175" w:type="dxa"/>
            <w:tcBorders>
              <w:top w:val="single" w:sz="4" w:space="0" w:color="A6A6A6"/>
              <w:bottom w:val="single" w:sz="4" w:space="0" w:color="A6A6A6"/>
            </w:tcBorders>
            <w:hideMark/>
          </w:tcPr>
          <w:p w14:paraId="2D5B893E" w14:textId="77777777" w:rsidR="00CE75D4" w:rsidRPr="002029AF" w:rsidRDefault="00CE75D4" w:rsidP="008340C1">
            <w:pPr>
              <w:pStyle w:val="ARfintablebody"/>
              <w:spacing w:before="30" w:line="240" w:lineRule="auto"/>
            </w:pPr>
            <w:r w:rsidRPr="00755D16">
              <w:t>Net revaluation increments/(decrements)</w:t>
            </w:r>
          </w:p>
        </w:tc>
        <w:tc>
          <w:tcPr>
            <w:tcW w:w="1077" w:type="dxa"/>
            <w:tcBorders>
              <w:top w:val="single" w:sz="4" w:space="0" w:color="A6A6A6"/>
              <w:bottom w:val="single" w:sz="4" w:space="0" w:color="A6A6A6"/>
            </w:tcBorders>
            <w:noWrap/>
            <w:hideMark/>
          </w:tcPr>
          <w:p w14:paraId="2BACCB78" w14:textId="77777777" w:rsidR="00CE75D4" w:rsidRPr="002029AF" w:rsidRDefault="00CE75D4" w:rsidP="008340C1">
            <w:pPr>
              <w:pStyle w:val="ARfintablebodyright"/>
              <w:spacing w:before="30" w:line="240" w:lineRule="auto"/>
            </w:pPr>
            <w:r w:rsidRPr="00755D16">
              <w:t>71.5</w:t>
            </w:r>
          </w:p>
        </w:tc>
        <w:tc>
          <w:tcPr>
            <w:tcW w:w="1077" w:type="dxa"/>
            <w:tcBorders>
              <w:top w:val="single" w:sz="4" w:space="0" w:color="A6A6A6"/>
              <w:bottom w:val="single" w:sz="4" w:space="0" w:color="A6A6A6"/>
            </w:tcBorders>
            <w:noWrap/>
            <w:hideMark/>
          </w:tcPr>
          <w:p w14:paraId="1F067A0F"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56856585"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56947183"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17D39266" w14:textId="77777777" w:rsidR="00CE75D4" w:rsidRPr="002029AF" w:rsidRDefault="00CE75D4" w:rsidP="008340C1">
            <w:pPr>
              <w:pStyle w:val="ARfintablebodyright"/>
              <w:spacing w:before="30" w:line="240" w:lineRule="auto"/>
            </w:pPr>
            <w:r>
              <w:t>14.0</w:t>
            </w:r>
          </w:p>
        </w:tc>
        <w:tc>
          <w:tcPr>
            <w:tcW w:w="1077" w:type="dxa"/>
            <w:tcBorders>
              <w:top w:val="single" w:sz="4" w:space="0" w:color="A6A6A6"/>
              <w:bottom w:val="single" w:sz="4" w:space="0" w:color="A6A6A6"/>
            </w:tcBorders>
            <w:noWrap/>
            <w:hideMark/>
          </w:tcPr>
          <w:p w14:paraId="2AA4046F" w14:textId="77777777" w:rsidR="00CE75D4" w:rsidRPr="002029AF" w:rsidRDefault="00CE75D4" w:rsidP="008340C1">
            <w:pPr>
              <w:pStyle w:val="ARfintablebodyright"/>
              <w:spacing w:before="30" w:line="240" w:lineRule="auto"/>
            </w:pPr>
            <w:r>
              <w:t>85</w:t>
            </w:r>
            <w:r w:rsidRPr="00755D16">
              <w:t>.5</w:t>
            </w:r>
          </w:p>
        </w:tc>
      </w:tr>
      <w:tr w:rsidR="00CE75D4" w:rsidRPr="002029AF" w14:paraId="68FB87CB" w14:textId="77777777" w:rsidTr="00130D1C">
        <w:trPr>
          <w:trHeight w:val="255"/>
        </w:trPr>
        <w:tc>
          <w:tcPr>
            <w:tcW w:w="3175" w:type="dxa"/>
            <w:tcBorders>
              <w:top w:val="single" w:sz="4" w:space="0" w:color="A6A6A6"/>
              <w:bottom w:val="single" w:sz="4" w:space="0" w:color="A6A6A6"/>
            </w:tcBorders>
            <w:hideMark/>
          </w:tcPr>
          <w:p w14:paraId="613480B7" w14:textId="77777777" w:rsidR="00CE75D4" w:rsidRPr="002029AF" w:rsidRDefault="00CE75D4" w:rsidP="008340C1">
            <w:pPr>
              <w:pStyle w:val="ARfintablebody"/>
              <w:spacing w:before="30" w:line="240" w:lineRule="auto"/>
            </w:pPr>
            <w:r w:rsidRPr="00755D16">
              <w:t>Depreciation and amortisation</w:t>
            </w:r>
          </w:p>
        </w:tc>
        <w:tc>
          <w:tcPr>
            <w:tcW w:w="1077" w:type="dxa"/>
            <w:tcBorders>
              <w:top w:val="single" w:sz="4" w:space="0" w:color="A6A6A6"/>
              <w:bottom w:val="single" w:sz="4" w:space="0" w:color="A6A6A6"/>
            </w:tcBorders>
            <w:noWrap/>
            <w:hideMark/>
          </w:tcPr>
          <w:p w14:paraId="363AD6A8"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0A49AD45" w14:textId="77777777" w:rsidR="00CE75D4" w:rsidRPr="002029AF" w:rsidRDefault="00CE75D4" w:rsidP="008340C1">
            <w:pPr>
              <w:pStyle w:val="ARfintablebodyright"/>
              <w:spacing w:before="30" w:line="240" w:lineRule="auto"/>
            </w:pPr>
            <w:r w:rsidRPr="00755D16">
              <w:t>(27.0)</w:t>
            </w:r>
          </w:p>
        </w:tc>
        <w:tc>
          <w:tcPr>
            <w:tcW w:w="1077" w:type="dxa"/>
            <w:tcBorders>
              <w:top w:val="single" w:sz="4" w:space="0" w:color="A6A6A6"/>
              <w:bottom w:val="single" w:sz="4" w:space="0" w:color="A6A6A6"/>
            </w:tcBorders>
            <w:noWrap/>
            <w:hideMark/>
          </w:tcPr>
          <w:p w14:paraId="4788F96C" w14:textId="77777777" w:rsidR="00CE75D4" w:rsidRPr="002029AF" w:rsidRDefault="00CE75D4" w:rsidP="008340C1">
            <w:pPr>
              <w:pStyle w:val="ARfintablebodyright"/>
              <w:spacing w:before="30" w:line="240" w:lineRule="auto"/>
            </w:pPr>
            <w:r w:rsidRPr="00755D16">
              <w:t>(2.5)</w:t>
            </w:r>
          </w:p>
        </w:tc>
        <w:tc>
          <w:tcPr>
            <w:tcW w:w="1077" w:type="dxa"/>
            <w:tcBorders>
              <w:top w:val="single" w:sz="4" w:space="0" w:color="A6A6A6"/>
              <w:bottom w:val="single" w:sz="4" w:space="0" w:color="A6A6A6"/>
            </w:tcBorders>
            <w:noWrap/>
            <w:hideMark/>
          </w:tcPr>
          <w:p w14:paraId="6CD57767" w14:textId="77777777" w:rsidR="00CE75D4" w:rsidRPr="002029AF" w:rsidRDefault="00CE75D4" w:rsidP="008340C1">
            <w:pPr>
              <w:pStyle w:val="ARfintablebodyright"/>
              <w:spacing w:before="30" w:line="240" w:lineRule="auto"/>
            </w:pPr>
            <w:r w:rsidRPr="00755D16">
              <w:t>(0.6)</w:t>
            </w:r>
          </w:p>
        </w:tc>
        <w:tc>
          <w:tcPr>
            <w:tcW w:w="1077" w:type="dxa"/>
            <w:tcBorders>
              <w:top w:val="single" w:sz="4" w:space="0" w:color="A6A6A6"/>
              <w:bottom w:val="single" w:sz="4" w:space="0" w:color="A6A6A6"/>
            </w:tcBorders>
            <w:noWrap/>
            <w:hideMark/>
          </w:tcPr>
          <w:p w14:paraId="54529C15"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003AC09A" w14:textId="77777777" w:rsidR="00CE75D4" w:rsidRPr="002029AF" w:rsidRDefault="00CE75D4" w:rsidP="008340C1">
            <w:pPr>
              <w:pStyle w:val="ARfintablebodyright"/>
              <w:spacing w:before="30" w:line="240" w:lineRule="auto"/>
            </w:pPr>
            <w:r w:rsidRPr="00755D16">
              <w:t>(30.1)</w:t>
            </w:r>
          </w:p>
        </w:tc>
      </w:tr>
      <w:tr w:rsidR="00CE75D4" w:rsidRPr="002029AF" w14:paraId="206AA9FE" w14:textId="77777777" w:rsidTr="00130D1C">
        <w:trPr>
          <w:trHeight w:val="255"/>
        </w:trPr>
        <w:tc>
          <w:tcPr>
            <w:tcW w:w="3175" w:type="dxa"/>
            <w:tcBorders>
              <w:top w:val="single" w:sz="4" w:space="0" w:color="A6A6A6"/>
              <w:bottom w:val="single" w:sz="4" w:space="0" w:color="A6A6A6"/>
            </w:tcBorders>
            <w:hideMark/>
          </w:tcPr>
          <w:p w14:paraId="14956B44" w14:textId="77777777" w:rsidR="00CE75D4" w:rsidRPr="002029AF" w:rsidRDefault="00CE75D4" w:rsidP="008340C1">
            <w:pPr>
              <w:pStyle w:val="ARfintablebody"/>
              <w:spacing w:before="30" w:line="240" w:lineRule="auto"/>
            </w:pPr>
            <w:r w:rsidRPr="00755D16">
              <w:t>Fair value of assets received free of charge or for nominal consideration</w:t>
            </w:r>
          </w:p>
        </w:tc>
        <w:tc>
          <w:tcPr>
            <w:tcW w:w="1077" w:type="dxa"/>
            <w:tcBorders>
              <w:top w:val="single" w:sz="4" w:space="0" w:color="A6A6A6"/>
              <w:bottom w:val="single" w:sz="4" w:space="0" w:color="A6A6A6"/>
            </w:tcBorders>
            <w:noWrap/>
            <w:hideMark/>
          </w:tcPr>
          <w:p w14:paraId="4340BC83"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258CB8E5"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229DF1B9"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204F1974" w14:textId="77777777" w:rsidR="00CE75D4" w:rsidRPr="002029AF" w:rsidRDefault="00CE75D4" w:rsidP="008340C1">
            <w:pPr>
              <w:pStyle w:val="ARfintablebodyright"/>
              <w:spacing w:before="30" w:line="240" w:lineRule="auto"/>
            </w:pPr>
            <w:r w:rsidRPr="00755D16">
              <w:t>0.1</w:t>
            </w:r>
          </w:p>
        </w:tc>
        <w:tc>
          <w:tcPr>
            <w:tcW w:w="1077" w:type="dxa"/>
            <w:tcBorders>
              <w:top w:val="single" w:sz="4" w:space="0" w:color="A6A6A6"/>
              <w:bottom w:val="single" w:sz="4" w:space="0" w:color="A6A6A6"/>
            </w:tcBorders>
            <w:noWrap/>
            <w:hideMark/>
          </w:tcPr>
          <w:p w14:paraId="1590496A"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5B5D2BEA" w14:textId="77777777" w:rsidR="00CE75D4" w:rsidRPr="002029AF" w:rsidRDefault="00CE75D4" w:rsidP="008340C1">
            <w:pPr>
              <w:pStyle w:val="ARfintablebodyright"/>
              <w:spacing w:before="30" w:line="240" w:lineRule="auto"/>
            </w:pPr>
            <w:r w:rsidRPr="00755D16">
              <w:t>0.1</w:t>
            </w:r>
          </w:p>
        </w:tc>
      </w:tr>
      <w:tr w:rsidR="00CE75D4" w:rsidRPr="002029AF" w14:paraId="3C78A52A" w14:textId="77777777" w:rsidTr="00130D1C">
        <w:trPr>
          <w:trHeight w:val="255"/>
        </w:trPr>
        <w:tc>
          <w:tcPr>
            <w:tcW w:w="3175" w:type="dxa"/>
            <w:tcBorders>
              <w:top w:val="single" w:sz="4" w:space="0" w:color="A6A6A6"/>
              <w:bottom w:val="single" w:sz="4" w:space="0" w:color="A6A6A6"/>
            </w:tcBorders>
            <w:hideMark/>
          </w:tcPr>
          <w:p w14:paraId="37084406" w14:textId="77777777" w:rsidR="00CE75D4" w:rsidRPr="002029AF" w:rsidRDefault="00CE75D4" w:rsidP="008340C1">
            <w:pPr>
              <w:pStyle w:val="ARfintablebody"/>
              <w:keepNext/>
              <w:spacing w:before="30" w:line="240" w:lineRule="auto"/>
            </w:pPr>
            <w:r w:rsidRPr="00755D16">
              <w:t>Fair value of assets provided free of charge or for nominal consideration</w:t>
            </w:r>
          </w:p>
        </w:tc>
        <w:tc>
          <w:tcPr>
            <w:tcW w:w="1077" w:type="dxa"/>
            <w:tcBorders>
              <w:top w:val="single" w:sz="4" w:space="0" w:color="A6A6A6"/>
              <w:bottom w:val="single" w:sz="4" w:space="0" w:color="A6A6A6"/>
            </w:tcBorders>
            <w:noWrap/>
            <w:hideMark/>
          </w:tcPr>
          <w:p w14:paraId="53267059"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04B0DBD4" w14:textId="77777777" w:rsidR="00CE75D4" w:rsidRPr="002029AF" w:rsidRDefault="00CE75D4" w:rsidP="008340C1">
            <w:pPr>
              <w:pStyle w:val="ARfintablebodyright"/>
              <w:spacing w:before="30" w:line="240" w:lineRule="auto"/>
            </w:pPr>
            <w:r w:rsidRPr="00755D16">
              <w:t>(0.8)</w:t>
            </w:r>
          </w:p>
        </w:tc>
        <w:tc>
          <w:tcPr>
            <w:tcW w:w="1077" w:type="dxa"/>
            <w:tcBorders>
              <w:top w:val="single" w:sz="4" w:space="0" w:color="A6A6A6"/>
              <w:bottom w:val="single" w:sz="4" w:space="0" w:color="A6A6A6"/>
            </w:tcBorders>
            <w:noWrap/>
            <w:hideMark/>
          </w:tcPr>
          <w:p w14:paraId="0FEE1129" w14:textId="77777777" w:rsidR="00CE75D4" w:rsidRPr="002029AF" w:rsidRDefault="00CE75D4" w:rsidP="008340C1">
            <w:pPr>
              <w:pStyle w:val="ARfintablebodyright"/>
              <w:spacing w:before="30" w:line="240" w:lineRule="auto"/>
            </w:pPr>
            <w:r w:rsidRPr="00755D16">
              <w:t>(0.3)</w:t>
            </w:r>
          </w:p>
        </w:tc>
        <w:tc>
          <w:tcPr>
            <w:tcW w:w="1077" w:type="dxa"/>
            <w:tcBorders>
              <w:top w:val="single" w:sz="4" w:space="0" w:color="A6A6A6"/>
              <w:bottom w:val="single" w:sz="4" w:space="0" w:color="A6A6A6"/>
            </w:tcBorders>
            <w:noWrap/>
            <w:hideMark/>
          </w:tcPr>
          <w:p w14:paraId="3B150DC3"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31BDD0B3"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59FC3B37" w14:textId="77777777" w:rsidR="00CE75D4" w:rsidRPr="002029AF" w:rsidRDefault="00CE75D4" w:rsidP="008340C1">
            <w:pPr>
              <w:pStyle w:val="ARfintablebodyright"/>
              <w:spacing w:before="30" w:line="240" w:lineRule="auto"/>
            </w:pPr>
            <w:r w:rsidRPr="00755D16">
              <w:t>(1.1)</w:t>
            </w:r>
          </w:p>
        </w:tc>
      </w:tr>
      <w:tr w:rsidR="00CE75D4" w:rsidRPr="002029AF" w14:paraId="063321FD" w14:textId="77777777" w:rsidTr="00130D1C">
        <w:trPr>
          <w:trHeight w:val="255"/>
        </w:trPr>
        <w:tc>
          <w:tcPr>
            <w:tcW w:w="3175" w:type="dxa"/>
            <w:tcBorders>
              <w:top w:val="single" w:sz="4" w:space="0" w:color="A6A6A6"/>
              <w:bottom w:val="single" w:sz="4" w:space="0" w:color="A6A6A6"/>
            </w:tcBorders>
            <w:hideMark/>
          </w:tcPr>
          <w:p w14:paraId="7B652395" w14:textId="77777777" w:rsidR="00CE75D4" w:rsidRPr="002029AF" w:rsidRDefault="00CE75D4" w:rsidP="008340C1">
            <w:pPr>
              <w:pStyle w:val="ARfintablebody"/>
              <w:spacing w:before="30" w:line="240" w:lineRule="auto"/>
            </w:pPr>
            <w:r w:rsidRPr="00755D16">
              <w:t>Transfers in/(out) of assets under construction</w:t>
            </w:r>
          </w:p>
        </w:tc>
        <w:tc>
          <w:tcPr>
            <w:tcW w:w="1077" w:type="dxa"/>
            <w:tcBorders>
              <w:top w:val="single" w:sz="4" w:space="0" w:color="A6A6A6"/>
              <w:bottom w:val="single" w:sz="4" w:space="0" w:color="A6A6A6"/>
            </w:tcBorders>
            <w:noWrap/>
            <w:hideMark/>
          </w:tcPr>
          <w:p w14:paraId="7212F779"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5CACCFD2" w14:textId="77777777" w:rsidR="00CE75D4" w:rsidRPr="002029AF" w:rsidRDefault="00CE75D4" w:rsidP="008340C1">
            <w:pPr>
              <w:pStyle w:val="ARfintablebodyright"/>
              <w:spacing w:before="30" w:line="240" w:lineRule="auto"/>
            </w:pPr>
            <w:r w:rsidRPr="00755D16">
              <w:t>1.6</w:t>
            </w:r>
          </w:p>
        </w:tc>
        <w:tc>
          <w:tcPr>
            <w:tcW w:w="1077" w:type="dxa"/>
            <w:tcBorders>
              <w:top w:val="single" w:sz="4" w:space="0" w:color="A6A6A6"/>
              <w:bottom w:val="single" w:sz="4" w:space="0" w:color="A6A6A6"/>
            </w:tcBorders>
            <w:noWrap/>
            <w:hideMark/>
          </w:tcPr>
          <w:p w14:paraId="6CAD96A9"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5A79B666"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0A573B34" w14:textId="77777777" w:rsidR="00CE75D4" w:rsidRPr="002029AF" w:rsidRDefault="00CE75D4" w:rsidP="008340C1">
            <w:pPr>
              <w:pStyle w:val="ARfintablebodyright"/>
              <w:spacing w:before="30" w:line="240" w:lineRule="auto"/>
            </w:pPr>
            <w:r w:rsidRPr="00755D16">
              <w:t>(1.6)</w:t>
            </w:r>
          </w:p>
        </w:tc>
        <w:tc>
          <w:tcPr>
            <w:tcW w:w="1077" w:type="dxa"/>
            <w:tcBorders>
              <w:top w:val="single" w:sz="4" w:space="0" w:color="A6A6A6"/>
              <w:bottom w:val="single" w:sz="4" w:space="0" w:color="A6A6A6"/>
            </w:tcBorders>
            <w:noWrap/>
            <w:hideMark/>
          </w:tcPr>
          <w:p w14:paraId="4F86ECB1" w14:textId="77777777" w:rsidR="00CE75D4" w:rsidRPr="002029AF" w:rsidRDefault="00CE75D4" w:rsidP="008340C1">
            <w:pPr>
              <w:pStyle w:val="ARfintablebodyright"/>
              <w:spacing w:before="30" w:line="240" w:lineRule="auto"/>
            </w:pPr>
            <w:r>
              <w:t>–</w:t>
            </w:r>
          </w:p>
        </w:tc>
      </w:tr>
      <w:tr w:rsidR="00CE75D4" w:rsidRPr="002029AF" w14:paraId="4D261E34" w14:textId="77777777" w:rsidTr="00130D1C">
        <w:trPr>
          <w:trHeight w:val="255"/>
        </w:trPr>
        <w:tc>
          <w:tcPr>
            <w:tcW w:w="3175" w:type="dxa"/>
            <w:tcBorders>
              <w:top w:val="single" w:sz="4" w:space="0" w:color="A6A6A6"/>
            </w:tcBorders>
            <w:hideMark/>
          </w:tcPr>
          <w:p w14:paraId="72AB98A9" w14:textId="77777777" w:rsidR="00CE75D4" w:rsidRPr="002029AF" w:rsidRDefault="00CE75D4" w:rsidP="008340C1">
            <w:pPr>
              <w:pStyle w:val="ARfintablebody"/>
              <w:spacing w:before="30" w:line="240" w:lineRule="auto"/>
            </w:pPr>
            <w:r w:rsidRPr="00755D16">
              <w:t>Other changes</w:t>
            </w:r>
          </w:p>
        </w:tc>
        <w:tc>
          <w:tcPr>
            <w:tcW w:w="1077" w:type="dxa"/>
            <w:tcBorders>
              <w:top w:val="single" w:sz="4" w:space="0" w:color="A6A6A6"/>
            </w:tcBorders>
            <w:noWrap/>
            <w:hideMark/>
          </w:tcPr>
          <w:p w14:paraId="3C0C7C9D" w14:textId="77777777" w:rsidR="00CE75D4" w:rsidRPr="002029AF" w:rsidRDefault="00CE75D4" w:rsidP="008340C1">
            <w:pPr>
              <w:pStyle w:val="ARfintablebodyright"/>
              <w:spacing w:before="30" w:line="240" w:lineRule="auto"/>
            </w:pPr>
            <w:r>
              <w:t>–</w:t>
            </w:r>
          </w:p>
        </w:tc>
        <w:tc>
          <w:tcPr>
            <w:tcW w:w="1077" w:type="dxa"/>
            <w:tcBorders>
              <w:top w:val="single" w:sz="4" w:space="0" w:color="A6A6A6"/>
            </w:tcBorders>
            <w:noWrap/>
            <w:hideMark/>
          </w:tcPr>
          <w:p w14:paraId="46155832" w14:textId="77777777" w:rsidR="00CE75D4" w:rsidRPr="002029AF" w:rsidRDefault="00CE75D4" w:rsidP="008340C1">
            <w:pPr>
              <w:pStyle w:val="ARfintablebodyright"/>
              <w:spacing w:before="30" w:line="240" w:lineRule="auto"/>
            </w:pPr>
            <w:r w:rsidRPr="00755D16">
              <w:t>(0.2)</w:t>
            </w:r>
          </w:p>
        </w:tc>
        <w:tc>
          <w:tcPr>
            <w:tcW w:w="1077" w:type="dxa"/>
            <w:tcBorders>
              <w:top w:val="single" w:sz="4" w:space="0" w:color="A6A6A6"/>
            </w:tcBorders>
            <w:noWrap/>
            <w:hideMark/>
          </w:tcPr>
          <w:p w14:paraId="3BE542BE" w14:textId="77777777" w:rsidR="00CE75D4" w:rsidRPr="002029AF" w:rsidRDefault="00CE75D4" w:rsidP="008340C1">
            <w:pPr>
              <w:pStyle w:val="ARfintablebodyright"/>
              <w:spacing w:before="30" w:line="240" w:lineRule="auto"/>
            </w:pPr>
            <w:r w:rsidRPr="00755D16">
              <w:t>0.6</w:t>
            </w:r>
          </w:p>
        </w:tc>
        <w:tc>
          <w:tcPr>
            <w:tcW w:w="1077" w:type="dxa"/>
            <w:tcBorders>
              <w:top w:val="single" w:sz="4" w:space="0" w:color="A6A6A6"/>
            </w:tcBorders>
            <w:noWrap/>
            <w:hideMark/>
          </w:tcPr>
          <w:p w14:paraId="653E3EED" w14:textId="77777777" w:rsidR="00CE75D4" w:rsidRPr="002029AF" w:rsidRDefault="00CE75D4" w:rsidP="008340C1">
            <w:pPr>
              <w:pStyle w:val="ARfintablebodyright"/>
              <w:spacing w:before="30" w:line="240" w:lineRule="auto"/>
            </w:pPr>
            <w:r w:rsidRPr="00755D16">
              <w:t>(0.1)</w:t>
            </w:r>
          </w:p>
        </w:tc>
        <w:tc>
          <w:tcPr>
            <w:tcW w:w="1077" w:type="dxa"/>
            <w:tcBorders>
              <w:top w:val="single" w:sz="4" w:space="0" w:color="A6A6A6"/>
            </w:tcBorders>
            <w:noWrap/>
            <w:hideMark/>
          </w:tcPr>
          <w:p w14:paraId="2000E404" w14:textId="77777777" w:rsidR="00CE75D4" w:rsidRPr="002029AF" w:rsidRDefault="00CE75D4" w:rsidP="008340C1">
            <w:pPr>
              <w:pStyle w:val="ARfintablebodyright"/>
              <w:spacing w:before="30" w:line="240" w:lineRule="auto"/>
            </w:pPr>
            <w:r>
              <w:t>–</w:t>
            </w:r>
          </w:p>
        </w:tc>
        <w:tc>
          <w:tcPr>
            <w:tcW w:w="1077" w:type="dxa"/>
            <w:tcBorders>
              <w:top w:val="single" w:sz="4" w:space="0" w:color="A6A6A6"/>
            </w:tcBorders>
            <w:noWrap/>
            <w:hideMark/>
          </w:tcPr>
          <w:p w14:paraId="5D381FBB" w14:textId="77777777" w:rsidR="00CE75D4" w:rsidRPr="002029AF" w:rsidRDefault="00CE75D4" w:rsidP="008340C1">
            <w:pPr>
              <w:pStyle w:val="ARfintablebodyright"/>
              <w:spacing w:before="30" w:line="240" w:lineRule="auto"/>
            </w:pPr>
            <w:r w:rsidRPr="00755D16">
              <w:t>0.3</w:t>
            </w:r>
          </w:p>
        </w:tc>
      </w:tr>
      <w:tr w:rsidR="00CE75D4" w:rsidRPr="002029AF" w14:paraId="6310F147" w14:textId="77777777" w:rsidTr="00130D1C">
        <w:trPr>
          <w:trHeight w:val="255"/>
        </w:trPr>
        <w:tc>
          <w:tcPr>
            <w:tcW w:w="3175" w:type="dxa"/>
            <w:hideMark/>
          </w:tcPr>
          <w:p w14:paraId="4A617F7D" w14:textId="77777777" w:rsidR="00CE75D4" w:rsidRPr="002029AF" w:rsidRDefault="00CE75D4" w:rsidP="008340C1">
            <w:pPr>
              <w:pStyle w:val="ARfintablebodybold"/>
              <w:spacing w:before="30" w:line="240" w:lineRule="auto"/>
            </w:pPr>
            <w:r w:rsidRPr="00755D16">
              <w:t>Balance at 30 June 2022</w:t>
            </w:r>
          </w:p>
        </w:tc>
        <w:tc>
          <w:tcPr>
            <w:tcW w:w="1077" w:type="dxa"/>
            <w:noWrap/>
            <w:hideMark/>
          </w:tcPr>
          <w:p w14:paraId="1964CD02" w14:textId="77777777" w:rsidR="00CE75D4" w:rsidRPr="002029AF" w:rsidRDefault="00CE75D4" w:rsidP="008340C1">
            <w:pPr>
              <w:pStyle w:val="ARfintablebodyrightbold"/>
              <w:spacing w:before="30" w:line="240" w:lineRule="auto"/>
            </w:pPr>
            <w:r w:rsidRPr="00755D16">
              <w:t>660.8</w:t>
            </w:r>
          </w:p>
        </w:tc>
        <w:tc>
          <w:tcPr>
            <w:tcW w:w="1077" w:type="dxa"/>
            <w:noWrap/>
            <w:hideMark/>
          </w:tcPr>
          <w:p w14:paraId="4B197D19" w14:textId="77777777" w:rsidR="00CE75D4" w:rsidRPr="002029AF" w:rsidRDefault="00CE75D4" w:rsidP="008340C1">
            <w:pPr>
              <w:pStyle w:val="ARfintablebodyrightbold"/>
              <w:spacing w:before="30" w:line="240" w:lineRule="auto"/>
            </w:pPr>
            <w:r w:rsidRPr="00755D16">
              <w:t>509.2</w:t>
            </w:r>
          </w:p>
        </w:tc>
        <w:tc>
          <w:tcPr>
            <w:tcW w:w="1077" w:type="dxa"/>
            <w:noWrap/>
            <w:hideMark/>
          </w:tcPr>
          <w:p w14:paraId="2BE10AD7" w14:textId="77777777" w:rsidR="00CE75D4" w:rsidRPr="002029AF" w:rsidRDefault="00CE75D4" w:rsidP="008340C1">
            <w:pPr>
              <w:pStyle w:val="ARfintablebodyrightbold"/>
              <w:spacing w:before="30" w:line="240" w:lineRule="auto"/>
            </w:pPr>
            <w:r w:rsidRPr="00755D16">
              <w:t>4.2</w:t>
            </w:r>
          </w:p>
        </w:tc>
        <w:tc>
          <w:tcPr>
            <w:tcW w:w="1077" w:type="dxa"/>
            <w:noWrap/>
            <w:hideMark/>
          </w:tcPr>
          <w:p w14:paraId="73699D03" w14:textId="77777777" w:rsidR="00CE75D4" w:rsidRPr="002029AF" w:rsidRDefault="00CE75D4" w:rsidP="008340C1">
            <w:pPr>
              <w:pStyle w:val="ARfintablebodyrightbold"/>
              <w:spacing w:before="30" w:line="240" w:lineRule="auto"/>
            </w:pPr>
            <w:r w:rsidRPr="00755D16">
              <w:t>1.8</w:t>
            </w:r>
          </w:p>
        </w:tc>
        <w:tc>
          <w:tcPr>
            <w:tcW w:w="1077" w:type="dxa"/>
            <w:noWrap/>
            <w:hideMark/>
          </w:tcPr>
          <w:p w14:paraId="35B98429" w14:textId="77777777" w:rsidR="00CE75D4" w:rsidRPr="002029AF" w:rsidRDefault="00CE75D4" w:rsidP="008340C1">
            <w:pPr>
              <w:pStyle w:val="ARfintablebodyrightbold"/>
              <w:spacing w:before="30" w:line="240" w:lineRule="auto"/>
            </w:pPr>
            <w:r w:rsidRPr="00755D16">
              <w:t>582.1</w:t>
            </w:r>
          </w:p>
        </w:tc>
        <w:tc>
          <w:tcPr>
            <w:tcW w:w="1077" w:type="dxa"/>
            <w:noWrap/>
            <w:hideMark/>
          </w:tcPr>
          <w:p w14:paraId="290FED57" w14:textId="77777777" w:rsidR="00CE75D4" w:rsidRPr="002029AF" w:rsidRDefault="00CE75D4" w:rsidP="008340C1">
            <w:pPr>
              <w:pStyle w:val="ARfintablebodyrightbold"/>
              <w:spacing w:before="30" w:line="240" w:lineRule="auto"/>
            </w:pPr>
            <w:r w:rsidRPr="00755D16">
              <w:t>1,758.1</w:t>
            </w:r>
          </w:p>
        </w:tc>
      </w:tr>
      <w:tr w:rsidR="00CE75D4" w:rsidRPr="002029AF" w14:paraId="62934201" w14:textId="77777777" w:rsidTr="008340C1">
        <w:tc>
          <w:tcPr>
            <w:tcW w:w="3175" w:type="dxa"/>
            <w:tcBorders>
              <w:top w:val="single" w:sz="4" w:space="0" w:color="auto"/>
              <w:bottom w:val="single" w:sz="4" w:space="0" w:color="A6A6A6"/>
            </w:tcBorders>
            <w:hideMark/>
          </w:tcPr>
          <w:p w14:paraId="1C05265C" w14:textId="77777777" w:rsidR="00CE75D4" w:rsidRPr="002029AF" w:rsidRDefault="00CE75D4" w:rsidP="008340C1">
            <w:pPr>
              <w:pStyle w:val="ARfintablebodybold"/>
              <w:spacing w:before="30" w:line="240" w:lineRule="auto"/>
            </w:pPr>
            <w:r w:rsidRPr="00755D16">
              <w:t>Balance at 1 July 2020</w:t>
            </w:r>
          </w:p>
        </w:tc>
        <w:tc>
          <w:tcPr>
            <w:tcW w:w="1077" w:type="dxa"/>
            <w:tcBorders>
              <w:top w:val="single" w:sz="4" w:space="0" w:color="auto"/>
              <w:bottom w:val="single" w:sz="4" w:space="0" w:color="A6A6A6"/>
            </w:tcBorders>
            <w:noWrap/>
            <w:hideMark/>
          </w:tcPr>
          <w:p w14:paraId="0C9D4AAD" w14:textId="77777777" w:rsidR="00CE75D4" w:rsidRPr="002029AF" w:rsidRDefault="00CE75D4" w:rsidP="008340C1">
            <w:pPr>
              <w:pStyle w:val="ARfintablebodyrightbold"/>
              <w:spacing w:before="30" w:line="240" w:lineRule="auto"/>
            </w:pPr>
            <w:r w:rsidRPr="00755D16">
              <w:t>18,524.3</w:t>
            </w:r>
          </w:p>
        </w:tc>
        <w:tc>
          <w:tcPr>
            <w:tcW w:w="1077" w:type="dxa"/>
            <w:tcBorders>
              <w:top w:val="single" w:sz="4" w:space="0" w:color="auto"/>
              <w:bottom w:val="single" w:sz="4" w:space="0" w:color="A6A6A6"/>
            </w:tcBorders>
            <w:noWrap/>
            <w:hideMark/>
          </w:tcPr>
          <w:p w14:paraId="09468B9E" w14:textId="77777777" w:rsidR="00CE75D4" w:rsidRPr="002029AF" w:rsidRDefault="00CE75D4" w:rsidP="008340C1">
            <w:pPr>
              <w:pStyle w:val="ARfintablebodyrightbold"/>
              <w:spacing w:before="30" w:line="240" w:lineRule="auto"/>
            </w:pPr>
            <w:r w:rsidRPr="00755D16">
              <w:t>9,650.3</w:t>
            </w:r>
          </w:p>
        </w:tc>
        <w:tc>
          <w:tcPr>
            <w:tcW w:w="1077" w:type="dxa"/>
            <w:tcBorders>
              <w:top w:val="single" w:sz="4" w:space="0" w:color="auto"/>
              <w:bottom w:val="single" w:sz="4" w:space="0" w:color="A6A6A6"/>
            </w:tcBorders>
            <w:noWrap/>
            <w:hideMark/>
          </w:tcPr>
          <w:p w14:paraId="7266EBC9" w14:textId="77777777" w:rsidR="00CE75D4" w:rsidRPr="002029AF" w:rsidRDefault="00CE75D4" w:rsidP="008340C1">
            <w:pPr>
              <w:pStyle w:val="ARfintablebodyrightbold"/>
              <w:spacing w:before="30" w:line="240" w:lineRule="auto"/>
            </w:pPr>
            <w:r w:rsidRPr="00755D16">
              <w:t>11.6</w:t>
            </w:r>
          </w:p>
        </w:tc>
        <w:tc>
          <w:tcPr>
            <w:tcW w:w="1077" w:type="dxa"/>
            <w:tcBorders>
              <w:top w:val="single" w:sz="4" w:space="0" w:color="auto"/>
              <w:bottom w:val="single" w:sz="4" w:space="0" w:color="A6A6A6"/>
            </w:tcBorders>
            <w:noWrap/>
            <w:hideMark/>
          </w:tcPr>
          <w:p w14:paraId="7170717B" w14:textId="77777777" w:rsidR="00CE75D4" w:rsidRPr="002029AF" w:rsidRDefault="00CE75D4" w:rsidP="008340C1">
            <w:pPr>
              <w:pStyle w:val="ARfintablebodyrightbold"/>
              <w:spacing w:before="30" w:line="240" w:lineRule="auto"/>
            </w:pPr>
            <w:r w:rsidRPr="00755D16">
              <w:t>30.2</w:t>
            </w:r>
          </w:p>
        </w:tc>
        <w:tc>
          <w:tcPr>
            <w:tcW w:w="1077" w:type="dxa"/>
            <w:tcBorders>
              <w:top w:val="single" w:sz="4" w:space="0" w:color="auto"/>
              <w:bottom w:val="single" w:sz="4" w:space="0" w:color="A6A6A6"/>
            </w:tcBorders>
            <w:noWrap/>
            <w:hideMark/>
          </w:tcPr>
          <w:p w14:paraId="01BE7871" w14:textId="77777777" w:rsidR="00CE75D4" w:rsidRPr="002029AF" w:rsidRDefault="00CE75D4" w:rsidP="008340C1">
            <w:pPr>
              <w:pStyle w:val="ARfintablebodyrightbold"/>
              <w:spacing w:before="30" w:line="240" w:lineRule="auto"/>
            </w:pPr>
            <w:r w:rsidRPr="00755D16">
              <w:t>576.2</w:t>
            </w:r>
          </w:p>
        </w:tc>
        <w:tc>
          <w:tcPr>
            <w:tcW w:w="1077" w:type="dxa"/>
            <w:tcBorders>
              <w:top w:val="single" w:sz="4" w:space="0" w:color="auto"/>
              <w:bottom w:val="single" w:sz="4" w:space="0" w:color="A6A6A6"/>
            </w:tcBorders>
            <w:noWrap/>
            <w:hideMark/>
          </w:tcPr>
          <w:p w14:paraId="031F4B2A" w14:textId="77777777" w:rsidR="00CE75D4" w:rsidRPr="002029AF" w:rsidRDefault="00CE75D4" w:rsidP="008340C1">
            <w:pPr>
              <w:pStyle w:val="ARfintablebodyrightbold"/>
              <w:spacing w:before="30" w:line="240" w:lineRule="auto"/>
            </w:pPr>
            <w:r w:rsidRPr="00755D16">
              <w:t>28,792.6</w:t>
            </w:r>
          </w:p>
        </w:tc>
      </w:tr>
      <w:tr w:rsidR="00CE75D4" w:rsidRPr="002029AF" w14:paraId="11609CCA" w14:textId="77777777" w:rsidTr="008340C1">
        <w:tc>
          <w:tcPr>
            <w:tcW w:w="3175" w:type="dxa"/>
            <w:tcBorders>
              <w:top w:val="single" w:sz="4" w:space="0" w:color="A6A6A6"/>
              <w:bottom w:val="single" w:sz="4" w:space="0" w:color="A6A6A6"/>
            </w:tcBorders>
            <w:hideMark/>
          </w:tcPr>
          <w:p w14:paraId="46581698" w14:textId="77777777" w:rsidR="00CE75D4" w:rsidRPr="002029AF" w:rsidRDefault="00CE75D4" w:rsidP="008340C1">
            <w:pPr>
              <w:pStyle w:val="ARfintablebody"/>
              <w:spacing w:before="30" w:line="240" w:lineRule="auto"/>
            </w:pPr>
            <w:r w:rsidRPr="00755D16">
              <w:t>Machinery of government transfer in/(out)</w:t>
            </w:r>
          </w:p>
        </w:tc>
        <w:tc>
          <w:tcPr>
            <w:tcW w:w="1077" w:type="dxa"/>
            <w:tcBorders>
              <w:top w:val="single" w:sz="4" w:space="0" w:color="A6A6A6"/>
              <w:bottom w:val="single" w:sz="4" w:space="0" w:color="A6A6A6"/>
            </w:tcBorders>
            <w:noWrap/>
            <w:hideMark/>
          </w:tcPr>
          <w:p w14:paraId="3C67AF8B"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70C637AB"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7F528298"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1B68FB94" w14:textId="77777777" w:rsidR="00CE75D4" w:rsidRPr="002029AF" w:rsidRDefault="00CE75D4" w:rsidP="008340C1">
            <w:pPr>
              <w:pStyle w:val="ARfintablebodyright"/>
              <w:spacing w:before="30" w:line="240" w:lineRule="auto"/>
            </w:pPr>
            <w:r w:rsidRPr="00755D16">
              <w:t>0.2</w:t>
            </w:r>
          </w:p>
        </w:tc>
        <w:tc>
          <w:tcPr>
            <w:tcW w:w="1077" w:type="dxa"/>
            <w:tcBorders>
              <w:top w:val="single" w:sz="4" w:space="0" w:color="A6A6A6"/>
              <w:bottom w:val="single" w:sz="4" w:space="0" w:color="A6A6A6"/>
            </w:tcBorders>
            <w:noWrap/>
            <w:hideMark/>
          </w:tcPr>
          <w:p w14:paraId="25882812" w14:textId="77777777" w:rsidR="00CE75D4" w:rsidRPr="002029AF" w:rsidRDefault="00CE75D4" w:rsidP="008340C1">
            <w:pPr>
              <w:pStyle w:val="ARfintablebodyright"/>
              <w:spacing w:before="30" w:line="240" w:lineRule="auto"/>
            </w:pPr>
            <w:r w:rsidRPr="00755D16">
              <w:t>1.2</w:t>
            </w:r>
          </w:p>
        </w:tc>
        <w:tc>
          <w:tcPr>
            <w:tcW w:w="1077" w:type="dxa"/>
            <w:tcBorders>
              <w:top w:val="single" w:sz="4" w:space="0" w:color="A6A6A6"/>
              <w:bottom w:val="single" w:sz="4" w:space="0" w:color="A6A6A6"/>
            </w:tcBorders>
            <w:noWrap/>
            <w:hideMark/>
          </w:tcPr>
          <w:p w14:paraId="73760311" w14:textId="77777777" w:rsidR="00CE75D4" w:rsidRPr="002029AF" w:rsidRDefault="00CE75D4" w:rsidP="008340C1">
            <w:pPr>
              <w:pStyle w:val="ARfintablebodyright"/>
              <w:spacing w:before="30" w:line="240" w:lineRule="auto"/>
            </w:pPr>
            <w:r w:rsidRPr="00755D16">
              <w:t>1.4</w:t>
            </w:r>
          </w:p>
        </w:tc>
      </w:tr>
      <w:tr w:rsidR="00CE75D4" w:rsidRPr="002029AF" w14:paraId="5C850B24" w14:textId="77777777" w:rsidTr="008340C1">
        <w:tc>
          <w:tcPr>
            <w:tcW w:w="3175" w:type="dxa"/>
            <w:tcBorders>
              <w:top w:val="single" w:sz="4" w:space="0" w:color="A6A6A6"/>
              <w:bottom w:val="single" w:sz="4" w:space="0" w:color="A6A6A6"/>
            </w:tcBorders>
            <w:hideMark/>
          </w:tcPr>
          <w:p w14:paraId="426B9D5E" w14:textId="77777777" w:rsidR="00CE75D4" w:rsidRPr="002029AF" w:rsidRDefault="00CE75D4" w:rsidP="008340C1">
            <w:pPr>
              <w:pStyle w:val="ARfintablebody"/>
              <w:spacing w:before="30" w:line="240" w:lineRule="auto"/>
            </w:pPr>
            <w:r w:rsidRPr="00755D16">
              <w:t>Additions</w:t>
            </w:r>
          </w:p>
        </w:tc>
        <w:tc>
          <w:tcPr>
            <w:tcW w:w="1077" w:type="dxa"/>
            <w:tcBorders>
              <w:top w:val="single" w:sz="4" w:space="0" w:color="A6A6A6"/>
              <w:bottom w:val="single" w:sz="4" w:space="0" w:color="A6A6A6"/>
            </w:tcBorders>
            <w:noWrap/>
            <w:hideMark/>
          </w:tcPr>
          <w:p w14:paraId="3580EA87" w14:textId="77777777" w:rsidR="00CE75D4" w:rsidRPr="002029AF" w:rsidRDefault="00CE75D4" w:rsidP="008340C1">
            <w:pPr>
              <w:pStyle w:val="ARfintablebodyright"/>
              <w:spacing w:before="30" w:line="240" w:lineRule="auto"/>
            </w:pPr>
            <w:r w:rsidRPr="00755D16">
              <w:t>94.7</w:t>
            </w:r>
          </w:p>
        </w:tc>
        <w:tc>
          <w:tcPr>
            <w:tcW w:w="1077" w:type="dxa"/>
            <w:tcBorders>
              <w:top w:val="single" w:sz="4" w:space="0" w:color="A6A6A6"/>
              <w:bottom w:val="single" w:sz="4" w:space="0" w:color="A6A6A6"/>
            </w:tcBorders>
            <w:noWrap/>
            <w:hideMark/>
          </w:tcPr>
          <w:p w14:paraId="2DB20C8B" w14:textId="77777777" w:rsidR="00CE75D4" w:rsidRPr="002029AF" w:rsidRDefault="00CE75D4" w:rsidP="008340C1">
            <w:pPr>
              <w:pStyle w:val="ARfintablebodyright"/>
              <w:spacing w:before="30" w:line="240" w:lineRule="auto"/>
            </w:pPr>
            <w:r w:rsidRPr="00755D16">
              <w:t>28.7</w:t>
            </w:r>
          </w:p>
        </w:tc>
        <w:tc>
          <w:tcPr>
            <w:tcW w:w="1077" w:type="dxa"/>
            <w:tcBorders>
              <w:top w:val="single" w:sz="4" w:space="0" w:color="A6A6A6"/>
              <w:bottom w:val="single" w:sz="4" w:space="0" w:color="A6A6A6"/>
            </w:tcBorders>
            <w:noWrap/>
            <w:hideMark/>
          </w:tcPr>
          <w:p w14:paraId="2297FF9F" w14:textId="77777777" w:rsidR="00CE75D4" w:rsidRPr="002029AF" w:rsidRDefault="00CE75D4" w:rsidP="008340C1">
            <w:pPr>
              <w:pStyle w:val="ARfintablebodyright"/>
              <w:spacing w:before="30" w:line="240" w:lineRule="auto"/>
            </w:pPr>
            <w:r w:rsidRPr="00755D16">
              <w:t>0.7</w:t>
            </w:r>
          </w:p>
        </w:tc>
        <w:tc>
          <w:tcPr>
            <w:tcW w:w="1077" w:type="dxa"/>
            <w:tcBorders>
              <w:top w:val="single" w:sz="4" w:space="0" w:color="A6A6A6"/>
              <w:bottom w:val="single" w:sz="4" w:space="0" w:color="A6A6A6"/>
            </w:tcBorders>
            <w:noWrap/>
            <w:hideMark/>
          </w:tcPr>
          <w:p w14:paraId="3C364968" w14:textId="77777777" w:rsidR="00CE75D4" w:rsidRPr="002029AF" w:rsidRDefault="00CE75D4" w:rsidP="008340C1">
            <w:pPr>
              <w:pStyle w:val="ARfintablebodyright"/>
              <w:spacing w:before="30" w:line="240" w:lineRule="auto"/>
            </w:pPr>
            <w:r w:rsidRPr="00755D16">
              <w:t>5.7</w:t>
            </w:r>
          </w:p>
        </w:tc>
        <w:tc>
          <w:tcPr>
            <w:tcW w:w="1077" w:type="dxa"/>
            <w:tcBorders>
              <w:top w:val="single" w:sz="4" w:space="0" w:color="A6A6A6"/>
              <w:bottom w:val="single" w:sz="4" w:space="0" w:color="A6A6A6"/>
            </w:tcBorders>
            <w:noWrap/>
            <w:hideMark/>
          </w:tcPr>
          <w:p w14:paraId="09AB0209" w14:textId="77777777" w:rsidR="00CE75D4" w:rsidRPr="002029AF" w:rsidRDefault="00CE75D4" w:rsidP="008340C1">
            <w:pPr>
              <w:pStyle w:val="ARfintablebodyright"/>
              <w:spacing w:before="30" w:line="240" w:lineRule="auto"/>
            </w:pPr>
            <w:r w:rsidRPr="00755D16">
              <w:t>828.8</w:t>
            </w:r>
          </w:p>
        </w:tc>
        <w:tc>
          <w:tcPr>
            <w:tcW w:w="1077" w:type="dxa"/>
            <w:tcBorders>
              <w:top w:val="single" w:sz="4" w:space="0" w:color="A6A6A6"/>
              <w:bottom w:val="single" w:sz="4" w:space="0" w:color="A6A6A6"/>
            </w:tcBorders>
            <w:noWrap/>
            <w:hideMark/>
          </w:tcPr>
          <w:p w14:paraId="0079D24A" w14:textId="77777777" w:rsidR="00CE75D4" w:rsidRPr="002029AF" w:rsidRDefault="00CE75D4" w:rsidP="008340C1">
            <w:pPr>
              <w:pStyle w:val="ARfintablebodyright"/>
              <w:spacing w:before="30" w:line="240" w:lineRule="auto"/>
            </w:pPr>
            <w:r w:rsidRPr="00755D16">
              <w:t>958.6</w:t>
            </w:r>
          </w:p>
        </w:tc>
      </w:tr>
      <w:tr w:rsidR="00CE75D4" w:rsidRPr="002029AF" w14:paraId="4210E3B0" w14:textId="77777777" w:rsidTr="008340C1">
        <w:tc>
          <w:tcPr>
            <w:tcW w:w="3175" w:type="dxa"/>
            <w:tcBorders>
              <w:top w:val="single" w:sz="4" w:space="0" w:color="A6A6A6"/>
              <w:bottom w:val="single" w:sz="4" w:space="0" w:color="A6A6A6"/>
            </w:tcBorders>
            <w:hideMark/>
          </w:tcPr>
          <w:p w14:paraId="77094F00" w14:textId="77777777" w:rsidR="00CE75D4" w:rsidRPr="002029AF" w:rsidRDefault="00CE75D4" w:rsidP="008340C1">
            <w:pPr>
              <w:pStyle w:val="ARfintablebody"/>
              <w:spacing w:before="30" w:line="240" w:lineRule="auto"/>
            </w:pPr>
            <w:r w:rsidRPr="00755D16">
              <w:t>Administrative instrument transfers</w:t>
            </w:r>
          </w:p>
        </w:tc>
        <w:tc>
          <w:tcPr>
            <w:tcW w:w="1077" w:type="dxa"/>
            <w:tcBorders>
              <w:top w:val="single" w:sz="4" w:space="0" w:color="A6A6A6"/>
              <w:bottom w:val="single" w:sz="4" w:space="0" w:color="A6A6A6"/>
            </w:tcBorders>
            <w:noWrap/>
            <w:hideMark/>
          </w:tcPr>
          <w:p w14:paraId="3B28A005" w14:textId="77777777" w:rsidR="00CE75D4" w:rsidRPr="002029AF" w:rsidRDefault="00CE75D4" w:rsidP="008340C1">
            <w:pPr>
              <w:pStyle w:val="ARfintablebodyright"/>
              <w:spacing w:before="30" w:line="240" w:lineRule="auto"/>
            </w:pPr>
            <w:r w:rsidRPr="00755D16">
              <w:t>(1.3)</w:t>
            </w:r>
          </w:p>
        </w:tc>
        <w:tc>
          <w:tcPr>
            <w:tcW w:w="1077" w:type="dxa"/>
            <w:tcBorders>
              <w:top w:val="single" w:sz="4" w:space="0" w:color="A6A6A6"/>
              <w:bottom w:val="single" w:sz="4" w:space="0" w:color="A6A6A6"/>
            </w:tcBorders>
            <w:noWrap/>
            <w:hideMark/>
          </w:tcPr>
          <w:p w14:paraId="208FC4BF" w14:textId="77777777" w:rsidR="00CE75D4" w:rsidRPr="002029AF" w:rsidRDefault="00CE75D4" w:rsidP="008340C1">
            <w:pPr>
              <w:pStyle w:val="ARfintablebodyright"/>
              <w:spacing w:before="30" w:line="240" w:lineRule="auto"/>
            </w:pPr>
            <w:r w:rsidRPr="00755D16">
              <w:t>(78.4)</w:t>
            </w:r>
          </w:p>
        </w:tc>
        <w:tc>
          <w:tcPr>
            <w:tcW w:w="1077" w:type="dxa"/>
            <w:tcBorders>
              <w:top w:val="single" w:sz="4" w:space="0" w:color="A6A6A6"/>
              <w:bottom w:val="single" w:sz="4" w:space="0" w:color="A6A6A6"/>
            </w:tcBorders>
            <w:noWrap/>
            <w:hideMark/>
          </w:tcPr>
          <w:p w14:paraId="467BA090" w14:textId="77777777" w:rsidR="00CE75D4" w:rsidRPr="002029AF" w:rsidRDefault="00CE75D4" w:rsidP="008340C1">
            <w:pPr>
              <w:pStyle w:val="ARfintablebodyright"/>
              <w:spacing w:before="30" w:line="240" w:lineRule="auto"/>
            </w:pPr>
            <w:r w:rsidRPr="00755D16">
              <w:t>(3.1)</w:t>
            </w:r>
          </w:p>
        </w:tc>
        <w:tc>
          <w:tcPr>
            <w:tcW w:w="1077" w:type="dxa"/>
            <w:tcBorders>
              <w:top w:val="single" w:sz="4" w:space="0" w:color="A6A6A6"/>
              <w:bottom w:val="single" w:sz="4" w:space="0" w:color="A6A6A6"/>
            </w:tcBorders>
            <w:noWrap/>
            <w:hideMark/>
          </w:tcPr>
          <w:p w14:paraId="0FCB919A"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0F9D79E5" w14:textId="77777777" w:rsidR="00CE75D4" w:rsidRPr="002029AF" w:rsidRDefault="00CE75D4" w:rsidP="008340C1">
            <w:pPr>
              <w:pStyle w:val="ARfintablebodyright"/>
              <w:spacing w:before="30" w:line="240" w:lineRule="auto"/>
            </w:pPr>
            <w:r w:rsidRPr="00755D16">
              <w:t>(3.5)</w:t>
            </w:r>
          </w:p>
        </w:tc>
        <w:tc>
          <w:tcPr>
            <w:tcW w:w="1077" w:type="dxa"/>
            <w:tcBorders>
              <w:top w:val="single" w:sz="4" w:space="0" w:color="A6A6A6"/>
              <w:bottom w:val="single" w:sz="4" w:space="0" w:color="A6A6A6"/>
            </w:tcBorders>
            <w:noWrap/>
            <w:hideMark/>
          </w:tcPr>
          <w:p w14:paraId="2759FB78" w14:textId="77777777" w:rsidR="00CE75D4" w:rsidRPr="002029AF" w:rsidRDefault="00CE75D4" w:rsidP="008340C1">
            <w:pPr>
              <w:pStyle w:val="ARfintablebodyright"/>
              <w:spacing w:before="30" w:line="240" w:lineRule="auto"/>
            </w:pPr>
            <w:r w:rsidRPr="00755D16">
              <w:t>(86.3)</w:t>
            </w:r>
          </w:p>
        </w:tc>
      </w:tr>
      <w:tr w:rsidR="00CE75D4" w:rsidRPr="002029AF" w14:paraId="2CE43CA7" w14:textId="77777777" w:rsidTr="008340C1">
        <w:tc>
          <w:tcPr>
            <w:tcW w:w="3175" w:type="dxa"/>
            <w:tcBorders>
              <w:top w:val="single" w:sz="4" w:space="0" w:color="A6A6A6"/>
              <w:bottom w:val="single" w:sz="4" w:space="0" w:color="A6A6A6"/>
            </w:tcBorders>
            <w:hideMark/>
          </w:tcPr>
          <w:p w14:paraId="1CFBC084" w14:textId="77777777" w:rsidR="00CE75D4" w:rsidRPr="002029AF" w:rsidRDefault="00CE75D4" w:rsidP="008340C1">
            <w:pPr>
              <w:pStyle w:val="ARfintablebody"/>
              <w:spacing w:before="30" w:line="240" w:lineRule="auto"/>
            </w:pPr>
            <w:r w:rsidRPr="00755D16">
              <w:t>Disposals</w:t>
            </w:r>
          </w:p>
        </w:tc>
        <w:tc>
          <w:tcPr>
            <w:tcW w:w="1077" w:type="dxa"/>
            <w:tcBorders>
              <w:top w:val="single" w:sz="4" w:space="0" w:color="A6A6A6"/>
              <w:bottom w:val="single" w:sz="4" w:space="0" w:color="A6A6A6"/>
            </w:tcBorders>
            <w:noWrap/>
            <w:hideMark/>
          </w:tcPr>
          <w:p w14:paraId="011538CF" w14:textId="77777777" w:rsidR="00CE75D4" w:rsidRPr="002029AF" w:rsidRDefault="00CE75D4" w:rsidP="008340C1">
            <w:pPr>
              <w:pStyle w:val="ARfintablebodyright"/>
              <w:spacing w:before="30" w:line="240" w:lineRule="auto"/>
            </w:pPr>
            <w:r w:rsidRPr="00755D16">
              <w:t>(32.5)</w:t>
            </w:r>
          </w:p>
        </w:tc>
        <w:tc>
          <w:tcPr>
            <w:tcW w:w="1077" w:type="dxa"/>
            <w:tcBorders>
              <w:top w:val="single" w:sz="4" w:space="0" w:color="A6A6A6"/>
              <w:bottom w:val="single" w:sz="4" w:space="0" w:color="A6A6A6"/>
            </w:tcBorders>
            <w:noWrap/>
            <w:hideMark/>
          </w:tcPr>
          <w:p w14:paraId="26312129" w14:textId="77777777" w:rsidR="00CE75D4" w:rsidRPr="002029AF" w:rsidRDefault="00CE75D4" w:rsidP="008340C1">
            <w:pPr>
              <w:pStyle w:val="ARfintablebodyright"/>
              <w:spacing w:before="30" w:line="240" w:lineRule="auto"/>
            </w:pPr>
            <w:r w:rsidRPr="00755D16">
              <w:t>(26.4)</w:t>
            </w:r>
          </w:p>
        </w:tc>
        <w:tc>
          <w:tcPr>
            <w:tcW w:w="1077" w:type="dxa"/>
            <w:tcBorders>
              <w:top w:val="single" w:sz="4" w:space="0" w:color="A6A6A6"/>
              <w:bottom w:val="single" w:sz="4" w:space="0" w:color="A6A6A6"/>
            </w:tcBorders>
            <w:noWrap/>
            <w:hideMark/>
          </w:tcPr>
          <w:p w14:paraId="45D1F212"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22406928" w14:textId="77777777" w:rsidR="00CE75D4" w:rsidRPr="002029AF" w:rsidRDefault="00CE75D4" w:rsidP="008340C1">
            <w:pPr>
              <w:pStyle w:val="ARfintablebodyright"/>
              <w:spacing w:before="30" w:line="240" w:lineRule="auto"/>
            </w:pPr>
            <w:r w:rsidRPr="00755D16">
              <w:t>(3.4)</w:t>
            </w:r>
          </w:p>
        </w:tc>
        <w:tc>
          <w:tcPr>
            <w:tcW w:w="1077" w:type="dxa"/>
            <w:tcBorders>
              <w:top w:val="single" w:sz="4" w:space="0" w:color="A6A6A6"/>
              <w:bottom w:val="single" w:sz="4" w:space="0" w:color="A6A6A6"/>
            </w:tcBorders>
            <w:noWrap/>
            <w:hideMark/>
          </w:tcPr>
          <w:p w14:paraId="1C0EDFC7"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01AB8A45" w14:textId="77777777" w:rsidR="00CE75D4" w:rsidRPr="002029AF" w:rsidRDefault="00CE75D4" w:rsidP="008340C1">
            <w:pPr>
              <w:pStyle w:val="ARfintablebodyright"/>
              <w:spacing w:before="30" w:line="240" w:lineRule="auto"/>
            </w:pPr>
            <w:r w:rsidRPr="00755D16">
              <w:t>(62.3)</w:t>
            </w:r>
          </w:p>
        </w:tc>
      </w:tr>
      <w:tr w:rsidR="00CE75D4" w:rsidRPr="002029AF" w14:paraId="13A6CE00" w14:textId="77777777" w:rsidTr="008340C1">
        <w:tc>
          <w:tcPr>
            <w:tcW w:w="3175" w:type="dxa"/>
            <w:tcBorders>
              <w:top w:val="single" w:sz="4" w:space="0" w:color="A6A6A6"/>
              <w:bottom w:val="single" w:sz="4" w:space="0" w:color="A6A6A6"/>
            </w:tcBorders>
            <w:hideMark/>
          </w:tcPr>
          <w:p w14:paraId="4AF7A65D" w14:textId="77777777" w:rsidR="00CE75D4" w:rsidRPr="002029AF" w:rsidRDefault="00CE75D4" w:rsidP="008340C1">
            <w:pPr>
              <w:pStyle w:val="ARfintablebody"/>
              <w:spacing w:before="30" w:line="240" w:lineRule="auto"/>
            </w:pPr>
            <w:r w:rsidRPr="00755D16">
              <w:t>Net revaluation increments/(decrements)</w:t>
            </w:r>
          </w:p>
        </w:tc>
        <w:tc>
          <w:tcPr>
            <w:tcW w:w="1077" w:type="dxa"/>
            <w:tcBorders>
              <w:top w:val="single" w:sz="4" w:space="0" w:color="A6A6A6"/>
              <w:bottom w:val="single" w:sz="4" w:space="0" w:color="A6A6A6"/>
            </w:tcBorders>
            <w:noWrap/>
            <w:hideMark/>
          </w:tcPr>
          <w:p w14:paraId="19B62A82" w14:textId="77777777" w:rsidR="00CE75D4" w:rsidRPr="002029AF" w:rsidRDefault="00CE75D4" w:rsidP="008340C1">
            <w:pPr>
              <w:pStyle w:val="ARfintablebodyright"/>
              <w:spacing w:before="30" w:line="240" w:lineRule="auto"/>
            </w:pPr>
            <w:r w:rsidRPr="00755D16">
              <w:t>4,467.4</w:t>
            </w:r>
          </w:p>
        </w:tc>
        <w:tc>
          <w:tcPr>
            <w:tcW w:w="1077" w:type="dxa"/>
            <w:tcBorders>
              <w:top w:val="single" w:sz="4" w:space="0" w:color="A6A6A6"/>
              <w:bottom w:val="single" w:sz="4" w:space="0" w:color="A6A6A6"/>
            </w:tcBorders>
            <w:noWrap/>
            <w:hideMark/>
          </w:tcPr>
          <w:p w14:paraId="7C898634" w14:textId="77777777" w:rsidR="00CE75D4" w:rsidRPr="002029AF" w:rsidRDefault="00CE75D4" w:rsidP="008340C1">
            <w:pPr>
              <w:pStyle w:val="ARfintablebodyright"/>
              <w:spacing w:before="30" w:line="240" w:lineRule="auto"/>
            </w:pPr>
            <w:r w:rsidRPr="00755D16">
              <w:t>(30.8)</w:t>
            </w:r>
          </w:p>
        </w:tc>
        <w:tc>
          <w:tcPr>
            <w:tcW w:w="1077" w:type="dxa"/>
            <w:tcBorders>
              <w:top w:val="single" w:sz="4" w:space="0" w:color="A6A6A6"/>
              <w:bottom w:val="single" w:sz="4" w:space="0" w:color="A6A6A6"/>
            </w:tcBorders>
            <w:noWrap/>
            <w:hideMark/>
          </w:tcPr>
          <w:p w14:paraId="42EE75F2"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512FA4E5"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2BD5D92F" w14:textId="77777777" w:rsidR="00CE75D4" w:rsidRPr="002029AF" w:rsidRDefault="00CE75D4" w:rsidP="008340C1">
            <w:pPr>
              <w:pStyle w:val="ARfintablebodyright"/>
              <w:spacing w:before="30" w:line="240" w:lineRule="auto"/>
            </w:pPr>
            <w:r w:rsidRPr="00755D16">
              <w:t>2.4</w:t>
            </w:r>
          </w:p>
        </w:tc>
        <w:tc>
          <w:tcPr>
            <w:tcW w:w="1077" w:type="dxa"/>
            <w:tcBorders>
              <w:top w:val="single" w:sz="4" w:space="0" w:color="A6A6A6"/>
              <w:bottom w:val="single" w:sz="4" w:space="0" w:color="A6A6A6"/>
            </w:tcBorders>
            <w:noWrap/>
            <w:hideMark/>
          </w:tcPr>
          <w:p w14:paraId="45F99A71" w14:textId="77777777" w:rsidR="00CE75D4" w:rsidRPr="002029AF" w:rsidRDefault="00CE75D4" w:rsidP="008340C1">
            <w:pPr>
              <w:pStyle w:val="ARfintablebodyright"/>
              <w:spacing w:before="30" w:line="240" w:lineRule="auto"/>
            </w:pPr>
            <w:r w:rsidRPr="00755D16">
              <w:t>4,439.1</w:t>
            </w:r>
          </w:p>
        </w:tc>
      </w:tr>
      <w:tr w:rsidR="00CE75D4" w:rsidRPr="002029AF" w14:paraId="0C7ADF82" w14:textId="77777777" w:rsidTr="008340C1">
        <w:tc>
          <w:tcPr>
            <w:tcW w:w="3175" w:type="dxa"/>
            <w:tcBorders>
              <w:top w:val="single" w:sz="4" w:space="0" w:color="A6A6A6"/>
              <w:bottom w:val="single" w:sz="4" w:space="0" w:color="A6A6A6"/>
            </w:tcBorders>
            <w:hideMark/>
          </w:tcPr>
          <w:p w14:paraId="01398D87" w14:textId="77777777" w:rsidR="00CE75D4" w:rsidRPr="002029AF" w:rsidRDefault="00CE75D4" w:rsidP="008340C1">
            <w:pPr>
              <w:pStyle w:val="ARfintablebody"/>
              <w:spacing w:before="30" w:line="240" w:lineRule="auto"/>
            </w:pPr>
            <w:r w:rsidRPr="00755D16">
              <w:t>Depreciation and amortisation</w:t>
            </w:r>
          </w:p>
        </w:tc>
        <w:tc>
          <w:tcPr>
            <w:tcW w:w="1077" w:type="dxa"/>
            <w:tcBorders>
              <w:top w:val="single" w:sz="4" w:space="0" w:color="A6A6A6"/>
              <w:bottom w:val="single" w:sz="4" w:space="0" w:color="A6A6A6"/>
            </w:tcBorders>
            <w:noWrap/>
            <w:hideMark/>
          </w:tcPr>
          <w:p w14:paraId="17F71803" w14:textId="77777777" w:rsidR="00CE75D4" w:rsidRPr="002029AF" w:rsidRDefault="00CE75D4" w:rsidP="008340C1">
            <w:pPr>
              <w:pStyle w:val="ARfintablebodyright"/>
              <w:spacing w:before="30" w:line="240" w:lineRule="auto"/>
            </w:pPr>
            <w:r w:rsidRPr="00755D16">
              <w:t>(0.8)</w:t>
            </w:r>
          </w:p>
        </w:tc>
        <w:tc>
          <w:tcPr>
            <w:tcW w:w="1077" w:type="dxa"/>
            <w:tcBorders>
              <w:top w:val="single" w:sz="4" w:space="0" w:color="A6A6A6"/>
              <w:bottom w:val="single" w:sz="4" w:space="0" w:color="A6A6A6"/>
            </w:tcBorders>
            <w:noWrap/>
            <w:hideMark/>
          </w:tcPr>
          <w:p w14:paraId="7D60E5C2" w14:textId="77777777" w:rsidR="00CE75D4" w:rsidRPr="002029AF" w:rsidRDefault="00CE75D4" w:rsidP="008340C1">
            <w:pPr>
              <w:pStyle w:val="ARfintablebodyright"/>
              <w:spacing w:before="30" w:line="240" w:lineRule="auto"/>
            </w:pPr>
            <w:r w:rsidRPr="00755D16">
              <w:t>(290.9)</w:t>
            </w:r>
          </w:p>
        </w:tc>
        <w:tc>
          <w:tcPr>
            <w:tcW w:w="1077" w:type="dxa"/>
            <w:tcBorders>
              <w:top w:val="single" w:sz="4" w:space="0" w:color="A6A6A6"/>
              <w:bottom w:val="single" w:sz="4" w:space="0" w:color="A6A6A6"/>
            </w:tcBorders>
            <w:noWrap/>
            <w:hideMark/>
          </w:tcPr>
          <w:p w14:paraId="095B3170" w14:textId="77777777" w:rsidR="00CE75D4" w:rsidRPr="002029AF" w:rsidRDefault="00CE75D4" w:rsidP="008340C1">
            <w:pPr>
              <w:pStyle w:val="ARfintablebodyright"/>
              <w:spacing w:before="30" w:line="240" w:lineRule="auto"/>
            </w:pPr>
            <w:r w:rsidRPr="00755D16">
              <w:t>(5.0)</w:t>
            </w:r>
          </w:p>
        </w:tc>
        <w:tc>
          <w:tcPr>
            <w:tcW w:w="1077" w:type="dxa"/>
            <w:tcBorders>
              <w:top w:val="single" w:sz="4" w:space="0" w:color="A6A6A6"/>
              <w:bottom w:val="single" w:sz="4" w:space="0" w:color="A6A6A6"/>
            </w:tcBorders>
            <w:noWrap/>
            <w:hideMark/>
          </w:tcPr>
          <w:p w14:paraId="0A844B6A" w14:textId="77777777" w:rsidR="00CE75D4" w:rsidRPr="002029AF" w:rsidRDefault="00CE75D4" w:rsidP="008340C1">
            <w:pPr>
              <w:pStyle w:val="ARfintablebodyright"/>
              <w:spacing w:before="30" w:line="240" w:lineRule="auto"/>
            </w:pPr>
            <w:r w:rsidRPr="00755D16">
              <w:t>(6.4)</w:t>
            </w:r>
          </w:p>
        </w:tc>
        <w:tc>
          <w:tcPr>
            <w:tcW w:w="1077" w:type="dxa"/>
            <w:tcBorders>
              <w:top w:val="single" w:sz="4" w:space="0" w:color="A6A6A6"/>
              <w:bottom w:val="single" w:sz="4" w:space="0" w:color="A6A6A6"/>
            </w:tcBorders>
            <w:noWrap/>
            <w:hideMark/>
          </w:tcPr>
          <w:p w14:paraId="104DDE0E"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164C6993" w14:textId="77777777" w:rsidR="00CE75D4" w:rsidRPr="002029AF" w:rsidRDefault="00CE75D4" w:rsidP="008340C1">
            <w:pPr>
              <w:pStyle w:val="ARfintablebodyright"/>
              <w:spacing w:before="30" w:line="240" w:lineRule="auto"/>
            </w:pPr>
            <w:r w:rsidRPr="00755D16">
              <w:t>(303.1)</w:t>
            </w:r>
          </w:p>
        </w:tc>
      </w:tr>
      <w:tr w:rsidR="00CE75D4" w:rsidRPr="002029AF" w14:paraId="0E9FEC04" w14:textId="77777777" w:rsidTr="008340C1">
        <w:tc>
          <w:tcPr>
            <w:tcW w:w="3175" w:type="dxa"/>
            <w:tcBorders>
              <w:top w:val="single" w:sz="4" w:space="0" w:color="A6A6A6"/>
              <w:bottom w:val="single" w:sz="4" w:space="0" w:color="A6A6A6"/>
            </w:tcBorders>
          </w:tcPr>
          <w:p w14:paraId="60DD2D0E" w14:textId="77777777" w:rsidR="00CE75D4" w:rsidRPr="00834B3B" w:rsidRDefault="00CE75D4" w:rsidP="008340C1">
            <w:pPr>
              <w:pStyle w:val="ARfintablebody"/>
              <w:spacing w:before="30" w:line="240" w:lineRule="auto"/>
            </w:pPr>
            <w:r w:rsidRPr="00755D16">
              <w:t>Fair value of assets received free of charge or for nominal consideration</w:t>
            </w:r>
          </w:p>
        </w:tc>
        <w:tc>
          <w:tcPr>
            <w:tcW w:w="1077" w:type="dxa"/>
            <w:tcBorders>
              <w:top w:val="single" w:sz="4" w:space="0" w:color="A6A6A6"/>
              <w:bottom w:val="single" w:sz="4" w:space="0" w:color="A6A6A6"/>
            </w:tcBorders>
            <w:noWrap/>
          </w:tcPr>
          <w:p w14:paraId="20166015" w14:textId="77777777" w:rsidR="00CE75D4" w:rsidRPr="00834B3B"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tcPr>
          <w:p w14:paraId="1570D1FC" w14:textId="77777777" w:rsidR="00CE75D4" w:rsidRPr="00834B3B"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tcPr>
          <w:p w14:paraId="2434678C" w14:textId="77777777" w:rsidR="00CE75D4" w:rsidRPr="00834B3B"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tcPr>
          <w:p w14:paraId="097525C7" w14:textId="77777777" w:rsidR="00CE75D4" w:rsidRPr="00834B3B" w:rsidRDefault="00CE75D4" w:rsidP="008340C1">
            <w:pPr>
              <w:pStyle w:val="ARfintablebodyright"/>
              <w:spacing w:before="30" w:line="240" w:lineRule="auto"/>
            </w:pPr>
            <w:r w:rsidRPr="00755D16">
              <w:t>0.2</w:t>
            </w:r>
          </w:p>
        </w:tc>
        <w:tc>
          <w:tcPr>
            <w:tcW w:w="1077" w:type="dxa"/>
            <w:tcBorders>
              <w:top w:val="single" w:sz="4" w:space="0" w:color="A6A6A6"/>
              <w:bottom w:val="single" w:sz="4" w:space="0" w:color="A6A6A6"/>
            </w:tcBorders>
            <w:noWrap/>
          </w:tcPr>
          <w:p w14:paraId="6E36F472" w14:textId="77777777" w:rsidR="00CE75D4" w:rsidRPr="00834B3B"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tcPr>
          <w:p w14:paraId="4D4C993F" w14:textId="77777777" w:rsidR="00CE75D4" w:rsidRPr="00834B3B" w:rsidRDefault="00CE75D4" w:rsidP="008340C1">
            <w:pPr>
              <w:pStyle w:val="ARfintablebodyright"/>
              <w:spacing w:before="30" w:line="240" w:lineRule="auto"/>
            </w:pPr>
            <w:r w:rsidRPr="00755D16">
              <w:t>0.2</w:t>
            </w:r>
          </w:p>
        </w:tc>
      </w:tr>
      <w:tr w:rsidR="00CE75D4" w:rsidRPr="002029AF" w14:paraId="6E8B7F1D" w14:textId="77777777" w:rsidTr="008340C1">
        <w:tc>
          <w:tcPr>
            <w:tcW w:w="3175" w:type="dxa"/>
            <w:tcBorders>
              <w:top w:val="single" w:sz="4" w:space="0" w:color="A6A6A6"/>
              <w:bottom w:val="single" w:sz="4" w:space="0" w:color="A6A6A6"/>
            </w:tcBorders>
          </w:tcPr>
          <w:p w14:paraId="282E1F09" w14:textId="77777777" w:rsidR="00CE75D4" w:rsidRPr="00834B3B" w:rsidRDefault="00CE75D4" w:rsidP="008340C1">
            <w:pPr>
              <w:pStyle w:val="ARfintablebody"/>
              <w:spacing w:before="30" w:line="240" w:lineRule="auto"/>
            </w:pPr>
            <w:r w:rsidRPr="00755D16">
              <w:t>Fair value of assets provided free of charge or for nominal consideration</w:t>
            </w:r>
          </w:p>
        </w:tc>
        <w:tc>
          <w:tcPr>
            <w:tcW w:w="1077" w:type="dxa"/>
            <w:tcBorders>
              <w:top w:val="single" w:sz="4" w:space="0" w:color="A6A6A6"/>
              <w:bottom w:val="single" w:sz="4" w:space="0" w:color="A6A6A6"/>
            </w:tcBorders>
            <w:noWrap/>
          </w:tcPr>
          <w:p w14:paraId="0C695DFC" w14:textId="77777777" w:rsidR="00CE75D4" w:rsidRPr="00834B3B" w:rsidRDefault="00CE75D4" w:rsidP="008340C1">
            <w:pPr>
              <w:pStyle w:val="ARfintablebodyright"/>
              <w:spacing w:before="30" w:line="240" w:lineRule="auto"/>
            </w:pPr>
            <w:r w:rsidRPr="00755D16">
              <w:t>(1.6)</w:t>
            </w:r>
          </w:p>
        </w:tc>
        <w:tc>
          <w:tcPr>
            <w:tcW w:w="1077" w:type="dxa"/>
            <w:tcBorders>
              <w:top w:val="single" w:sz="4" w:space="0" w:color="A6A6A6"/>
              <w:bottom w:val="single" w:sz="4" w:space="0" w:color="A6A6A6"/>
            </w:tcBorders>
            <w:noWrap/>
          </w:tcPr>
          <w:p w14:paraId="41474B7D" w14:textId="77777777" w:rsidR="00CE75D4" w:rsidRPr="00834B3B" w:rsidRDefault="00CE75D4" w:rsidP="008340C1">
            <w:pPr>
              <w:pStyle w:val="ARfintablebodyright"/>
              <w:spacing w:before="30" w:line="240" w:lineRule="auto"/>
            </w:pPr>
            <w:r w:rsidRPr="00755D16">
              <w:t>(0.4)</w:t>
            </w:r>
          </w:p>
        </w:tc>
        <w:tc>
          <w:tcPr>
            <w:tcW w:w="1077" w:type="dxa"/>
            <w:tcBorders>
              <w:top w:val="single" w:sz="4" w:space="0" w:color="A6A6A6"/>
              <w:bottom w:val="single" w:sz="4" w:space="0" w:color="A6A6A6"/>
            </w:tcBorders>
            <w:noWrap/>
          </w:tcPr>
          <w:p w14:paraId="6727C410" w14:textId="77777777" w:rsidR="00CE75D4" w:rsidRPr="00834B3B"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tcPr>
          <w:p w14:paraId="7B9988DA" w14:textId="77777777" w:rsidR="00CE75D4" w:rsidRPr="00834B3B"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tcPr>
          <w:p w14:paraId="4C241ABD" w14:textId="77777777" w:rsidR="00CE75D4" w:rsidRPr="00834B3B" w:rsidRDefault="00CE75D4" w:rsidP="008340C1">
            <w:pPr>
              <w:pStyle w:val="ARfintablebodyright"/>
              <w:spacing w:before="30" w:line="240" w:lineRule="auto"/>
            </w:pPr>
            <w:r w:rsidRPr="00755D16">
              <w:t>(0.1)</w:t>
            </w:r>
          </w:p>
        </w:tc>
        <w:tc>
          <w:tcPr>
            <w:tcW w:w="1077" w:type="dxa"/>
            <w:tcBorders>
              <w:top w:val="single" w:sz="4" w:space="0" w:color="A6A6A6"/>
              <w:bottom w:val="single" w:sz="4" w:space="0" w:color="A6A6A6"/>
            </w:tcBorders>
            <w:noWrap/>
          </w:tcPr>
          <w:p w14:paraId="2022B521" w14:textId="77777777" w:rsidR="00CE75D4" w:rsidRPr="00834B3B" w:rsidRDefault="00CE75D4" w:rsidP="008340C1">
            <w:pPr>
              <w:pStyle w:val="ARfintablebodyright"/>
              <w:spacing w:before="30" w:line="240" w:lineRule="auto"/>
            </w:pPr>
            <w:r w:rsidRPr="00755D16">
              <w:t>(2.1)</w:t>
            </w:r>
          </w:p>
        </w:tc>
      </w:tr>
      <w:tr w:rsidR="00CE75D4" w:rsidRPr="002029AF" w14:paraId="2D67F3D1" w14:textId="77777777" w:rsidTr="008340C1">
        <w:tc>
          <w:tcPr>
            <w:tcW w:w="3175" w:type="dxa"/>
            <w:tcBorders>
              <w:top w:val="single" w:sz="4" w:space="0" w:color="A6A6A6"/>
              <w:bottom w:val="single" w:sz="4" w:space="0" w:color="A6A6A6"/>
            </w:tcBorders>
            <w:hideMark/>
          </w:tcPr>
          <w:p w14:paraId="78986A5A" w14:textId="77777777" w:rsidR="00CE75D4" w:rsidRPr="002029AF" w:rsidRDefault="00CE75D4" w:rsidP="008340C1">
            <w:pPr>
              <w:pStyle w:val="ARfintablebody"/>
              <w:spacing w:before="30" w:line="240" w:lineRule="auto"/>
            </w:pPr>
            <w:r w:rsidRPr="00755D16">
              <w:t>Transfers in/(out) of assets under construction</w:t>
            </w:r>
          </w:p>
        </w:tc>
        <w:tc>
          <w:tcPr>
            <w:tcW w:w="1077" w:type="dxa"/>
            <w:tcBorders>
              <w:top w:val="single" w:sz="4" w:space="0" w:color="A6A6A6"/>
              <w:bottom w:val="single" w:sz="4" w:space="0" w:color="A6A6A6"/>
            </w:tcBorders>
            <w:noWrap/>
            <w:hideMark/>
          </w:tcPr>
          <w:p w14:paraId="0A34F16A" w14:textId="77777777" w:rsidR="00CE75D4" w:rsidRPr="002029AF" w:rsidRDefault="00CE75D4" w:rsidP="008340C1">
            <w:pPr>
              <w:pStyle w:val="ARfintablebodyright"/>
              <w:spacing w:before="30" w:line="240" w:lineRule="auto"/>
            </w:pPr>
            <w:r w:rsidRPr="00755D16">
              <w:t>29.7</w:t>
            </w:r>
          </w:p>
        </w:tc>
        <w:tc>
          <w:tcPr>
            <w:tcW w:w="1077" w:type="dxa"/>
            <w:tcBorders>
              <w:top w:val="single" w:sz="4" w:space="0" w:color="A6A6A6"/>
              <w:bottom w:val="single" w:sz="4" w:space="0" w:color="A6A6A6"/>
            </w:tcBorders>
            <w:noWrap/>
            <w:hideMark/>
          </w:tcPr>
          <w:p w14:paraId="2C1E2695" w14:textId="77777777" w:rsidR="00CE75D4" w:rsidRPr="002029AF" w:rsidRDefault="00CE75D4" w:rsidP="008340C1">
            <w:pPr>
              <w:pStyle w:val="ARfintablebodyright"/>
              <w:spacing w:before="30" w:line="240" w:lineRule="auto"/>
            </w:pPr>
            <w:r w:rsidRPr="00755D16">
              <w:t>469.8</w:t>
            </w:r>
          </w:p>
        </w:tc>
        <w:tc>
          <w:tcPr>
            <w:tcW w:w="1077" w:type="dxa"/>
            <w:tcBorders>
              <w:top w:val="single" w:sz="4" w:space="0" w:color="A6A6A6"/>
              <w:bottom w:val="single" w:sz="4" w:space="0" w:color="A6A6A6"/>
            </w:tcBorders>
            <w:noWrap/>
            <w:hideMark/>
          </w:tcPr>
          <w:p w14:paraId="1BBAE903"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6C89EB7C"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021BD442" w14:textId="77777777" w:rsidR="00CE75D4" w:rsidRPr="002029AF" w:rsidRDefault="00CE75D4" w:rsidP="008340C1">
            <w:pPr>
              <w:pStyle w:val="ARfintablebodyright"/>
              <w:spacing w:before="30" w:line="240" w:lineRule="auto"/>
            </w:pPr>
            <w:r w:rsidRPr="00755D16">
              <w:t>(499.5)</w:t>
            </w:r>
          </w:p>
        </w:tc>
        <w:tc>
          <w:tcPr>
            <w:tcW w:w="1077" w:type="dxa"/>
            <w:tcBorders>
              <w:top w:val="single" w:sz="4" w:space="0" w:color="A6A6A6"/>
              <w:bottom w:val="single" w:sz="4" w:space="0" w:color="A6A6A6"/>
            </w:tcBorders>
            <w:noWrap/>
            <w:hideMark/>
          </w:tcPr>
          <w:p w14:paraId="00AAA426" w14:textId="77777777" w:rsidR="00CE75D4" w:rsidRPr="002029AF" w:rsidRDefault="00CE75D4" w:rsidP="008340C1">
            <w:pPr>
              <w:pStyle w:val="ARfintablebodyright"/>
              <w:spacing w:before="30" w:line="240" w:lineRule="auto"/>
            </w:pPr>
            <w:r>
              <w:t>–</w:t>
            </w:r>
          </w:p>
        </w:tc>
      </w:tr>
      <w:tr w:rsidR="00CE75D4" w:rsidRPr="002029AF" w14:paraId="66EE6C63" w14:textId="77777777" w:rsidTr="008340C1">
        <w:tc>
          <w:tcPr>
            <w:tcW w:w="3175" w:type="dxa"/>
            <w:tcBorders>
              <w:top w:val="single" w:sz="4" w:space="0" w:color="A6A6A6"/>
              <w:bottom w:val="single" w:sz="4" w:space="0" w:color="A6A6A6"/>
            </w:tcBorders>
            <w:hideMark/>
          </w:tcPr>
          <w:p w14:paraId="08015145" w14:textId="77777777" w:rsidR="00CE75D4" w:rsidRPr="002029AF" w:rsidRDefault="00CE75D4" w:rsidP="008340C1">
            <w:pPr>
              <w:pStyle w:val="ARfintablebody"/>
              <w:spacing w:before="30" w:line="240" w:lineRule="auto"/>
            </w:pPr>
            <w:r w:rsidRPr="00755D16">
              <w:t>Transfers between classes</w:t>
            </w:r>
          </w:p>
        </w:tc>
        <w:tc>
          <w:tcPr>
            <w:tcW w:w="1077" w:type="dxa"/>
            <w:tcBorders>
              <w:top w:val="single" w:sz="4" w:space="0" w:color="A6A6A6"/>
              <w:bottom w:val="single" w:sz="4" w:space="0" w:color="A6A6A6"/>
            </w:tcBorders>
            <w:noWrap/>
            <w:hideMark/>
          </w:tcPr>
          <w:p w14:paraId="35977B37"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0F5EBAD6"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40324CA7"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64B38340" w14:textId="77777777" w:rsidR="00CE75D4" w:rsidRPr="002029AF" w:rsidRDefault="00CE75D4" w:rsidP="008340C1">
            <w:pPr>
              <w:pStyle w:val="ARfintablebodyright"/>
              <w:spacing w:before="30" w:line="240" w:lineRule="auto"/>
            </w:pPr>
            <w:r w:rsidRPr="00755D16">
              <w:t>(0.5)</w:t>
            </w:r>
          </w:p>
        </w:tc>
        <w:tc>
          <w:tcPr>
            <w:tcW w:w="1077" w:type="dxa"/>
            <w:tcBorders>
              <w:top w:val="single" w:sz="4" w:space="0" w:color="A6A6A6"/>
              <w:bottom w:val="single" w:sz="4" w:space="0" w:color="A6A6A6"/>
            </w:tcBorders>
            <w:noWrap/>
            <w:hideMark/>
          </w:tcPr>
          <w:p w14:paraId="55BF0D42"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1D6C831B" w14:textId="77777777" w:rsidR="00CE75D4" w:rsidRPr="002029AF" w:rsidRDefault="00CE75D4" w:rsidP="008340C1">
            <w:pPr>
              <w:pStyle w:val="ARfintablebodyright"/>
              <w:spacing w:before="30" w:line="240" w:lineRule="auto"/>
            </w:pPr>
            <w:r w:rsidRPr="00755D16">
              <w:t>(0.5)</w:t>
            </w:r>
          </w:p>
        </w:tc>
      </w:tr>
      <w:tr w:rsidR="00CE75D4" w:rsidRPr="002029AF" w14:paraId="32CB4610" w14:textId="77777777" w:rsidTr="008340C1">
        <w:tc>
          <w:tcPr>
            <w:tcW w:w="3175" w:type="dxa"/>
            <w:tcBorders>
              <w:top w:val="single" w:sz="4" w:space="0" w:color="A6A6A6"/>
              <w:bottom w:val="single" w:sz="4" w:space="0" w:color="A6A6A6"/>
            </w:tcBorders>
            <w:hideMark/>
          </w:tcPr>
          <w:p w14:paraId="63C0FA0A" w14:textId="77777777" w:rsidR="00CE75D4" w:rsidRPr="002029AF" w:rsidRDefault="00CE75D4" w:rsidP="008340C1">
            <w:pPr>
              <w:pStyle w:val="ARfintablebody"/>
              <w:spacing w:before="30" w:line="240" w:lineRule="auto"/>
            </w:pPr>
            <w:r w:rsidRPr="00755D16">
              <w:t>Transfers to provision for equity reduction</w:t>
            </w:r>
          </w:p>
        </w:tc>
        <w:tc>
          <w:tcPr>
            <w:tcW w:w="1077" w:type="dxa"/>
            <w:tcBorders>
              <w:top w:val="single" w:sz="4" w:space="0" w:color="A6A6A6"/>
              <w:bottom w:val="single" w:sz="4" w:space="0" w:color="A6A6A6"/>
            </w:tcBorders>
            <w:noWrap/>
            <w:hideMark/>
          </w:tcPr>
          <w:p w14:paraId="7D4536EF" w14:textId="77777777" w:rsidR="00CE75D4" w:rsidRPr="002029AF" w:rsidRDefault="00CE75D4" w:rsidP="008340C1">
            <w:pPr>
              <w:pStyle w:val="ARfintablebodyright"/>
              <w:spacing w:before="30" w:line="240" w:lineRule="auto"/>
            </w:pPr>
            <w:r w:rsidRPr="00755D16">
              <w:t>(0.2)</w:t>
            </w:r>
          </w:p>
        </w:tc>
        <w:tc>
          <w:tcPr>
            <w:tcW w:w="1077" w:type="dxa"/>
            <w:tcBorders>
              <w:top w:val="single" w:sz="4" w:space="0" w:color="A6A6A6"/>
              <w:bottom w:val="single" w:sz="4" w:space="0" w:color="A6A6A6"/>
            </w:tcBorders>
            <w:noWrap/>
            <w:hideMark/>
          </w:tcPr>
          <w:p w14:paraId="63595ED7" w14:textId="77777777" w:rsidR="00CE75D4" w:rsidRPr="002029AF" w:rsidRDefault="00CE75D4" w:rsidP="008340C1">
            <w:pPr>
              <w:pStyle w:val="ARfintablebodyright"/>
              <w:spacing w:before="30" w:line="240" w:lineRule="auto"/>
            </w:pPr>
            <w:r w:rsidRPr="00755D16">
              <w:t>(0.1)</w:t>
            </w:r>
          </w:p>
        </w:tc>
        <w:tc>
          <w:tcPr>
            <w:tcW w:w="1077" w:type="dxa"/>
            <w:tcBorders>
              <w:top w:val="single" w:sz="4" w:space="0" w:color="A6A6A6"/>
              <w:bottom w:val="single" w:sz="4" w:space="0" w:color="A6A6A6"/>
            </w:tcBorders>
            <w:noWrap/>
            <w:hideMark/>
          </w:tcPr>
          <w:p w14:paraId="76984D39"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4BD76BDB"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22519CD5"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2FFA5CEA" w14:textId="77777777" w:rsidR="00CE75D4" w:rsidRPr="002029AF" w:rsidRDefault="00CE75D4" w:rsidP="008340C1">
            <w:pPr>
              <w:pStyle w:val="ARfintablebodyright"/>
              <w:spacing w:before="30" w:line="240" w:lineRule="auto"/>
            </w:pPr>
            <w:r w:rsidRPr="00755D16">
              <w:t>(0.2)</w:t>
            </w:r>
          </w:p>
        </w:tc>
      </w:tr>
      <w:tr w:rsidR="00CE75D4" w:rsidRPr="002029AF" w14:paraId="185E480F" w14:textId="77777777" w:rsidTr="008340C1">
        <w:tc>
          <w:tcPr>
            <w:tcW w:w="3175" w:type="dxa"/>
            <w:tcBorders>
              <w:top w:val="single" w:sz="4" w:space="0" w:color="A6A6A6"/>
              <w:bottom w:val="single" w:sz="4" w:space="0" w:color="A6A6A6"/>
            </w:tcBorders>
            <w:hideMark/>
          </w:tcPr>
          <w:p w14:paraId="3B4BB179" w14:textId="77777777" w:rsidR="00CE75D4" w:rsidRPr="002029AF" w:rsidRDefault="00CE75D4" w:rsidP="008340C1">
            <w:pPr>
              <w:pStyle w:val="ARfintablebody"/>
              <w:spacing w:before="30" w:line="240" w:lineRule="auto"/>
            </w:pPr>
            <w:r w:rsidRPr="00755D16">
              <w:t>Transfers (to)/from assets held for sale</w:t>
            </w:r>
          </w:p>
        </w:tc>
        <w:tc>
          <w:tcPr>
            <w:tcW w:w="1077" w:type="dxa"/>
            <w:tcBorders>
              <w:top w:val="single" w:sz="4" w:space="0" w:color="A6A6A6"/>
              <w:bottom w:val="single" w:sz="4" w:space="0" w:color="A6A6A6"/>
            </w:tcBorders>
            <w:noWrap/>
            <w:hideMark/>
          </w:tcPr>
          <w:p w14:paraId="61E44ABE" w14:textId="77777777" w:rsidR="00CE75D4" w:rsidRPr="002029AF" w:rsidRDefault="00CE75D4" w:rsidP="008340C1">
            <w:pPr>
              <w:pStyle w:val="ARfintablebodyright"/>
              <w:spacing w:before="30" w:line="240" w:lineRule="auto"/>
            </w:pPr>
            <w:r w:rsidRPr="00755D16">
              <w:t>0.5</w:t>
            </w:r>
          </w:p>
        </w:tc>
        <w:tc>
          <w:tcPr>
            <w:tcW w:w="1077" w:type="dxa"/>
            <w:tcBorders>
              <w:top w:val="single" w:sz="4" w:space="0" w:color="A6A6A6"/>
              <w:bottom w:val="single" w:sz="4" w:space="0" w:color="A6A6A6"/>
            </w:tcBorders>
            <w:noWrap/>
            <w:hideMark/>
          </w:tcPr>
          <w:p w14:paraId="0E14486C" w14:textId="77777777" w:rsidR="00CE75D4" w:rsidRPr="002029AF" w:rsidRDefault="00CE75D4" w:rsidP="008340C1">
            <w:pPr>
              <w:pStyle w:val="ARfintablebodyright"/>
              <w:spacing w:before="30" w:line="240" w:lineRule="auto"/>
            </w:pPr>
            <w:r w:rsidRPr="00755D16">
              <w:t>(4.4)</w:t>
            </w:r>
          </w:p>
        </w:tc>
        <w:tc>
          <w:tcPr>
            <w:tcW w:w="1077" w:type="dxa"/>
            <w:tcBorders>
              <w:top w:val="single" w:sz="4" w:space="0" w:color="A6A6A6"/>
              <w:bottom w:val="single" w:sz="4" w:space="0" w:color="A6A6A6"/>
            </w:tcBorders>
            <w:noWrap/>
            <w:hideMark/>
          </w:tcPr>
          <w:p w14:paraId="3B2B1234"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7E662CDA" w14:textId="77777777" w:rsidR="00CE75D4" w:rsidRPr="002029AF" w:rsidRDefault="00CE75D4" w:rsidP="008340C1">
            <w:pPr>
              <w:pStyle w:val="ARfintablebodyright"/>
              <w:spacing w:before="30" w:line="240" w:lineRule="auto"/>
            </w:pPr>
            <w:r w:rsidRPr="00755D16">
              <w:t>0.5</w:t>
            </w:r>
          </w:p>
        </w:tc>
        <w:tc>
          <w:tcPr>
            <w:tcW w:w="1077" w:type="dxa"/>
            <w:tcBorders>
              <w:top w:val="single" w:sz="4" w:space="0" w:color="A6A6A6"/>
              <w:bottom w:val="single" w:sz="4" w:space="0" w:color="A6A6A6"/>
            </w:tcBorders>
            <w:noWrap/>
            <w:hideMark/>
          </w:tcPr>
          <w:p w14:paraId="30D3B0D7"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4433F582" w14:textId="77777777" w:rsidR="00CE75D4" w:rsidRPr="002029AF" w:rsidRDefault="00CE75D4" w:rsidP="008340C1">
            <w:pPr>
              <w:pStyle w:val="ARfintablebodyright"/>
              <w:spacing w:before="30" w:line="240" w:lineRule="auto"/>
            </w:pPr>
            <w:r w:rsidRPr="00755D16">
              <w:t>(3.3)</w:t>
            </w:r>
          </w:p>
        </w:tc>
      </w:tr>
      <w:tr w:rsidR="00CE75D4" w:rsidRPr="002029AF" w14:paraId="090A60ED" w14:textId="77777777" w:rsidTr="008340C1">
        <w:tc>
          <w:tcPr>
            <w:tcW w:w="3175" w:type="dxa"/>
            <w:tcBorders>
              <w:top w:val="single" w:sz="4" w:space="0" w:color="A6A6A6"/>
              <w:bottom w:val="single" w:sz="4" w:space="0" w:color="A6A6A6"/>
            </w:tcBorders>
            <w:hideMark/>
          </w:tcPr>
          <w:p w14:paraId="73FF1407" w14:textId="77777777" w:rsidR="00CE75D4" w:rsidRPr="002029AF" w:rsidRDefault="00CE75D4" w:rsidP="008340C1">
            <w:pPr>
              <w:pStyle w:val="ARfintablebody"/>
              <w:spacing w:before="30" w:line="240" w:lineRule="auto"/>
            </w:pPr>
            <w:r w:rsidRPr="00755D16">
              <w:t>Other changes</w:t>
            </w:r>
          </w:p>
        </w:tc>
        <w:tc>
          <w:tcPr>
            <w:tcW w:w="1077" w:type="dxa"/>
            <w:tcBorders>
              <w:top w:val="single" w:sz="4" w:space="0" w:color="A6A6A6"/>
              <w:bottom w:val="single" w:sz="4" w:space="0" w:color="A6A6A6"/>
            </w:tcBorders>
            <w:noWrap/>
            <w:hideMark/>
          </w:tcPr>
          <w:p w14:paraId="1BB053AC" w14:textId="77777777" w:rsidR="00CE75D4" w:rsidRPr="002029AF" w:rsidRDefault="00CE75D4" w:rsidP="008340C1">
            <w:pPr>
              <w:pStyle w:val="ARfintablebodyright"/>
              <w:spacing w:before="30" w:line="240" w:lineRule="auto"/>
            </w:pPr>
            <w:r w:rsidRPr="00755D16">
              <w:t>(1.1)</w:t>
            </w:r>
          </w:p>
        </w:tc>
        <w:tc>
          <w:tcPr>
            <w:tcW w:w="1077" w:type="dxa"/>
            <w:tcBorders>
              <w:top w:val="single" w:sz="4" w:space="0" w:color="A6A6A6"/>
              <w:bottom w:val="single" w:sz="4" w:space="0" w:color="A6A6A6"/>
            </w:tcBorders>
            <w:noWrap/>
            <w:hideMark/>
          </w:tcPr>
          <w:p w14:paraId="56869C04" w14:textId="77777777" w:rsidR="00CE75D4" w:rsidRPr="002029AF" w:rsidRDefault="00CE75D4" w:rsidP="008340C1">
            <w:pPr>
              <w:pStyle w:val="ARfintablebodyright"/>
              <w:spacing w:before="30" w:line="240" w:lineRule="auto"/>
            </w:pPr>
            <w:r w:rsidRPr="00755D16">
              <w:t>29.0</w:t>
            </w:r>
          </w:p>
        </w:tc>
        <w:tc>
          <w:tcPr>
            <w:tcW w:w="1077" w:type="dxa"/>
            <w:tcBorders>
              <w:top w:val="single" w:sz="4" w:space="0" w:color="A6A6A6"/>
              <w:bottom w:val="single" w:sz="4" w:space="0" w:color="A6A6A6"/>
            </w:tcBorders>
            <w:noWrap/>
            <w:hideMark/>
          </w:tcPr>
          <w:p w14:paraId="051C1794" w14:textId="77777777" w:rsidR="00CE75D4" w:rsidRPr="002029AF" w:rsidRDefault="00CE75D4" w:rsidP="008340C1">
            <w:pPr>
              <w:pStyle w:val="ARfintablebodyright"/>
              <w:spacing w:before="30" w:line="240" w:lineRule="auto"/>
            </w:pPr>
            <w:r w:rsidRPr="00755D16">
              <w:t>2.1</w:t>
            </w:r>
          </w:p>
        </w:tc>
        <w:tc>
          <w:tcPr>
            <w:tcW w:w="1077" w:type="dxa"/>
            <w:tcBorders>
              <w:top w:val="single" w:sz="4" w:space="0" w:color="A6A6A6"/>
              <w:bottom w:val="single" w:sz="4" w:space="0" w:color="A6A6A6"/>
            </w:tcBorders>
            <w:noWrap/>
            <w:hideMark/>
          </w:tcPr>
          <w:p w14:paraId="21C13F3E" w14:textId="77777777" w:rsidR="00CE75D4" w:rsidRPr="002029AF" w:rsidRDefault="00CE75D4" w:rsidP="008340C1">
            <w:pPr>
              <w:pStyle w:val="ARfintablebodyright"/>
              <w:spacing w:before="30" w:line="240" w:lineRule="auto"/>
            </w:pPr>
            <w:r>
              <w:t>–</w:t>
            </w:r>
          </w:p>
        </w:tc>
        <w:tc>
          <w:tcPr>
            <w:tcW w:w="1077" w:type="dxa"/>
            <w:tcBorders>
              <w:top w:val="single" w:sz="4" w:space="0" w:color="A6A6A6"/>
              <w:bottom w:val="single" w:sz="4" w:space="0" w:color="A6A6A6"/>
            </w:tcBorders>
            <w:noWrap/>
            <w:hideMark/>
          </w:tcPr>
          <w:p w14:paraId="0DA3E307" w14:textId="77777777" w:rsidR="00CE75D4" w:rsidRPr="002029AF" w:rsidRDefault="00CE75D4" w:rsidP="008340C1">
            <w:pPr>
              <w:pStyle w:val="ARfintablebodyright"/>
              <w:spacing w:before="30" w:line="240" w:lineRule="auto"/>
            </w:pPr>
            <w:r w:rsidRPr="00755D16">
              <w:t>0.5</w:t>
            </w:r>
          </w:p>
        </w:tc>
        <w:tc>
          <w:tcPr>
            <w:tcW w:w="1077" w:type="dxa"/>
            <w:tcBorders>
              <w:top w:val="single" w:sz="4" w:space="0" w:color="A6A6A6"/>
              <w:bottom w:val="single" w:sz="4" w:space="0" w:color="A6A6A6"/>
            </w:tcBorders>
            <w:noWrap/>
            <w:hideMark/>
          </w:tcPr>
          <w:p w14:paraId="63492B2E" w14:textId="77777777" w:rsidR="00CE75D4" w:rsidRPr="002029AF" w:rsidRDefault="00CE75D4" w:rsidP="008340C1">
            <w:pPr>
              <w:pStyle w:val="ARfintablebodyright"/>
              <w:spacing w:before="30" w:line="240" w:lineRule="auto"/>
            </w:pPr>
            <w:r w:rsidRPr="00755D16">
              <w:t>30.5</w:t>
            </w:r>
          </w:p>
        </w:tc>
      </w:tr>
      <w:tr w:rsidR="00CE75D4" w:rsidRPr="002029AF" w14:paraId="3DD7F701" w14:textId="77777777" w:rsidTr="008340C1">
        <w:tc>
          <w:tcPr>
            <w:tcW w:w="3175" w:type="dxa"/>
            <w:hideMark/>
          </w:tcPr>
          <w:p w14:paraId="6E351613" w14:textId="77777777" w:rsidR="00CE75D4" w:rsidRPr="002029AF" w:rsidRDefault="00CE75D4" w:rsidP="008340C1">
            <w:pPr>
              <w:pStyle w:val="ARfintablebodybold"/>
              <w:spacing w:before="30" w:line="240" w:lineRule="auto"/>
            </w:pPr>
            <w:r w:rsidRPr="00755D16">
              <w:t>Balance at 30 June 2021</w:t>
            </w:r>
          </w:p>
        </w:tc>
        <w:tc>
          <w:tcPr>
            <w:tcW w:w="1077" w:type="dxa"/>
            <w:noWrap/>
            <w:hideMark/>
          </w:tcPr>
          <w:p w14:paraId="059CB6AA" w14:textId="77777777" w:rsidR="00CE75D4" w:rsidRPr="002029AF" w:rsidRDefault="00CE75D4" w:rsidP="008340C1">
            <w:pPr>
              <w:pStyle w:val="ARfintablebodyrightbold"/>
              <w:spacing w:before="30" w:line="240" w:lineRule="auto"/>
            </w:pPr>
            <w:r w:rsidRPr="00755D16">
              <w:t>23,079.2</w:t>
            </w:r>
          </w:p>
        </w:tc>
        <w:tc>
          <w:tcPr>
            <w:tcW w:w="1077" w:type="dxa"/>
            <w:noWrap/>
            <w:hideMark/>
          </w:tcPr>
          <w:p w14:paraId="6818507A" w14:textId="77777777" w:rsidR="00CE75D4" w:rsidRPr="002029AF" w:rsidRDefault="00CE75D4" w:rsidP="008340C1">
            <w:pPr>
              <w:pStyle w:val="ARfintablebodyrightbold"/>
              <w:spacing w:before="30" w:line="240" w:lineRule="auto"/>
            </w:pPr>
            <w:r w:rsidRPr="00755D16">
              <w:t>9,746.5</w:t>
            </w:r>
          </w:p>
        </w:tc>
        <w:tc>
          <w:tcPr>
            <w:tcW w:w="1077" w:type="dxa"/>
            <w:noWrap/>
            <w:hideMark/>
          </w:tcPr>
          <w:p w14:paraId="07D4456B" w14:textId="77777777" w:rsidR="00CE75D4" w:rsidRPr="002029AF" w:rsidRDefault="00CE75D4" w:rsidP="008340C1">
            <w:pPr>
              <w:pStyle w:val="ARfintablebodyrightbold"/>
              <w:spacing w:before="30" w:line="240" w:lineRule="auto"/>
            </w:pPr>
            <w:r w:rsidRPr="00755D16">
              <w:t>6.3</w:t>
            </w:r>
          </w:p>
        </w:tc>
        <w:tc>
          <w:tcPr>
            <w:tcW w:w="1077" w:type="dxa"/>
            <w:noWrap/>
            <w:hideMark/>
          </w:tcPr>
          <w:p w14:paraId="7577DF54" w14:textId="77777777" w:rsidR="00CE75D4" w:rsidRPr="002029AF" w:rsidRDefault="00CE75D4" w:rsidP="008340C1">
            <w:pPr>
              <w:pStyle w:val="ARfintablebodyrightbold"/>
              <w:spacing w:before="30" w:line="240" w:lineRule="auto"/>
            </w:pPr>
            <w:r w:rsidRPr="00755D16">
              <w:t>26.5</w:t>
            </w:r>
          </w:p>
        </w:tc>
        <w:tc>
          <w:tcPr>
            <w:tcW w:w="1077" w:type="dxa"/>
            <w:noWrap/>
            <w:hideMark/>
          </w:tcPr>
          <w:p w14:paraId="12BF81F8" w14:textId="77777777" w:rsidR="00CE75D4" w:rsidRPr="002029AF" w:rsidRDefault="00CE75D4" w:rsidP="008340C1">
            <w:pPr>
              <w:pStyle w:val="ARfintablebodyrightbold"/>
              <w:spacing w:before="30" w:line="240" w:lineRule="auto"/>
            </w:pPr>
            <w:r w:rsidRPr="00755D16">
              <w:t>906.0</w:t>
            </w:r>
          </w:p>
        </w:tc>
        <w:tc>
          <w:tcPr>
            <w:tcW w:w="1077" w:type="dxa"/>
            <w:noWrap/>
            <w:hideMark/>
          </w:tcPr>
          <w:p w14:paraId="57E9C283" w14:textId="77777777" w:rsidR="00CE75D4" w:rsidRPr="002029AF" w:rsidRDefault="00CE75D4" w:rsidP="008340C1">
            <w:pPr>
              <w:pStyle w:val="ARfintablebodyrightbold"/>
              <w:spacing w:before="30" w:line="240" w:lineRule="auto"/>
            </w:pPr>
            <w:r w:rsidRPr="00755D16">
              <w:t>33,764.5</w:t>
            </w:r>
          </w:p>
        </w:tc>
      </w:tr>
    </w:tbl>
    <w:p w14:paraId="212BABEB" w14:textId="77777777" w:rsidR="00CE75D4" w:rsidRDefault="00CE75D4" w:rsidP="008340C1">
      <w:pPr>
        <w:pStyle w:val="ARfintablefootnote"/>
      </w:pPr>
      <w:bookmarkStart w:id="583" w:name="_Ref52454856"/>
      <w:bookmarkStart w:id="584" w:name="_Toc85121440"/>
      <w:r>
        <w:rPr>
          <w:lang w:eastAsia="en-AU"/>
        </w:rPr>
        <w:t>Note:</w:t>
      </w:r>
    </w:p>
    <w:p w14:paraId="236F25F2" w14:textId="44018E3E" w:rsidR="00CE75D4" w:rsidRDefault="00CE75D4" w:rsidP="008340C1">
      <w:pPr>
        <w:pStyle w:val="ARfintablefootnoteindent"/>
      </w:pPr>
      <w:r>
        <w:t>(i)</w:t>
      </w:r>
      <w:r>
        <w:tab/>
        <w:t xml:space="preserve">Removes the 30 June 2021 closing balances of the DFFH, the Victorian Disability Worker Commission and the Director of Housing, which were included in the department’s 2020–21 financial statements under s. 53(1)(b) of the FMA. The transactions which relate to these entities are reported in the DFFH’s 2021–22 financial statements. Majority of these balances relate to social housing </w:t>
      </w:r>
      <w:r w:rsidDel="00FF436A">
        <w:t xml:space="preserve">in </w:t>
      </w:r>
      <w:r>
        <w:t>the Director of Housing.</w:t>
      </w:r>
    </w:p>
    <w:p w14:paraId="7A0F8B01" w14:textId="77777777" w:rsidR="00CE75D4" w:rsidRPr="0040433B" w:rsidRDefault="00CE75D4" w:rsidP="008340C1">
      <w:pPr>
        <w:pStyle w:val="ARfinbody"/>
      </w:pPr>
      <w:r w:rsidRPr="0040433B">
        <w:br w:type="page"/>
      </w:r>
    </w:p>
    <w:p w14:paraId="41549A40" w14:textId="77777777" w:rsidR="00CE75D4" w:rsidRPr="002029AF" w:rsidRDefault="00CE75D4" w:rsidP="00087B91">
      <w:pPr>
        <w:pStyle w:val="Heading4"/>
      </w:pPr>
      <w:r w:rsidRPr="002029AF">
        <w:t>5.2 Intangible assets</w:t>
      </w:r>
      <w:bookmarkEnd w:id="583"/>
      <w:bookmarkEnd w:id="584"/>
    </w:p>
    <w:tbl>
      <w:tblPr>
        <w:tblStyle w:val="TableGrid"/>
        <w:tblW w:w="9637" w:type="dxa"/>
        <w:tblLayout w:type="fixed"/>
        <w:tblLook w:val="06A0" w:firstRow="1" w:lastRow="0" w:firstColumn="1" w:lastColumn="0" w:noHBand="1" w:noVBand="1"/>
      </w:tblPr>
      <w:tblGrid>
        <w:gridCol w:w="7371"/>
        <w:gridCol w:w="1133"/>
        <w:gridCol w:w="1133"/>
      </w:tblGrid>
      <w:tr w:rsidR="00CE75D4" w:rsidRPr="002029AF" w14:paraId="38FB15F9"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65AE70E0" w14:textId="77777777" w:rsidR="00CE75D4" w:rsidRPr="002029AF" w:rsidRDefault="00CE75D4" w:rsidP="008340C1">
            <w:pPr>
              <w:pStyle w:val="ARfintablecolhead"/>
            </w:pPr>
          </w:p>
        </w:tc>
        <w:tc>
          <w:tcPr>
            <w:tcW w:w="1133" w:type="dxa"/>
            <w:tcBorders>
              <w:bottom w:val="single" w:sz="4" w:space="0" w:color="auto"/>
            </w:tcBorders>
            <w:shd w:val="clear" w:color="auto" w:fill="E7E6E6"/>
            <w:hideMark/>
          </w:tcPr>
          <w:p w14:paraId="702D233B" w14:textId="77777777" w:rsidR="00CE75D4" w:rsidRPr="002029AF" w:rsidRDefault="00CE75D4" w:rsidP="008340C1">
            <w:pPr>
              <w:pStyle w:val="ARfintablecolheadright"/>
            </w:pPr>
            <w:r w:rsidRPr="002029AF">
              <w:t>202</w:t>
            </w:r>
            <w:r>
              <w:t>2</w:t>
            </w:r>
          </w:p>
          <w:p w14:paraId="0EAD70D1" w14:textId="77777777" w:rsidR="00CE75D4" w:rsidRPr="002029AF" w:rsidRDefault="00CE75D4" w:rsidP="008340C1">
            <w:pPr>
              <w:pStyle w:val="ARfintablecolheadright"/>
            </w:pPr>
            <w:r w:rsidRPr="002029AF">
              <w:t>$M</w:t>
            </w:r>
          </w:p>
        </w:tc>
        <w:tc>
          <w:tcPr>
            <w:tcW w:w="1133" w:type="dxa"/>
            <w:tcBorders>
              <w:bottom w:val="single" w:sz="4" w:space="0" w:color="auto"/>
            </w:tcBorders>
            <w:hideMark/>
          </w:tcPr>
          <w:p w14:paraId="2ECDC86F" w14:textId="77777777" w:rsidR="00CE75D4" w:rsidRPr="002029AF" w:rsidRDefault="00CE75D4" w:rsidP="008340C1">
            <w:pPr>
              <w:pStyle w:val="ARfintablecolheadright"/>
            </w:pPr>
            <w:r>
              <w:t>2021</w:t>
            </w:r>
          </w:p>
          <w:p w14:paraId="278F213E" w14:textId="77777777" w:rsidR="00CE75D4" w:rsidRPr="002029AF" w:rsidRDefault="00CE75D4" w:rsidP="008340C1">
            <w:pPr>
              <w:pStyle w:val="ARfintablecolheadright"/>
            </w:pPr>
            <w:r w:rsidRPr="002029AF">
              <w:t>$M</w:t>
            </w:r>
          </w:p>
        </w:tc>
      </w:tr>
      <w:tr w:rsidR="00CE75D4" w:rsidRPr="002029AF" w14:paraId="36378883" w14:textId="77777777" w:rsidTr="00860E95">
        <w:tc>
          <w:tcPr>
            <w:tcW w:w="9637" w:type="dxa"/>
            <w:gridSpan w:val="3"/>
            <w:tcBorders>
              <w:top w:val="single" w:sz="4" w:space="0" w:color="auto"/>
              <w:bottom w:val="single" w:sz="4" w:space="0" w:color="A6A6A6"/>
            </w:tcBorders>
            <w:hideMark/>
          </w:tcPr>
          <w:p w14:paraId="1386D21E" w14:textId="77777777" w:rsidR="00CE75D4" w:rsidRPr="002029AF" w:rsidRDefault="00CE75D4" w:rsidP="008340C1">
            <w:pPr>
              <w:pStyle w:val="ARfintablebodybold"/>
            </w:pPr>
            <w:r w:rsidRPr="00F5691A">
              <w:t>Gross carrying amount</w:t>
            </w:r>
          </w:p>
        </w:tc>
      </w:tr>
      <w:tr w:rsidR="00CE75D4" w:rsidRPr="002029AF" w14:paraId="2473C2DA" w14:textId="77777777" w:rsidTr="00860E95">
        <w:tc>
          <w:tcPr>
            <w:tcW w:w="7371" w:type="dxa"/>
            <w:tcBorders>
              <w:top w:val="single" w:sz="4" w:space="0" w:color="A6A6A6"/>
              <w:bottom w:val="single" w:sz="4" w:space="0" w:color="A6A6A6"/>
            </w:tcBorders>
            <w:hideMark/>
          </w:tcPr>
          <w:p w14:paraId="0B7CEB99" w14:textId="77777777" w:rsidR="00CE75D4" w:rsidRPr="002029AF" w:rsidRDefault="00CE75D4" w:rsidP="008340C1">
            <w:pPr>
              <w:pStyle w:val="ARfintablebodybold"/>
            </w:pPr>
            <w:r w:rsidRPr="00F5691A">
              <w:t>Opening balance</w:t>
            </w:r>
          </w:p>
        </w:tc>
        <w:tc>
          <w:tcPr>
            <w:tcW w:w="1133" w:type="dxa"/>
            <w:tcBorders>
              <w:top w:val="single" w:sz="4" w:space="0" w:color="A6A6A6"/>
              <w:bottom w:val="single" w:sz="4" w:space="0" w:color="A6A6A6"/>
            </w:tcBorders>
            <w:shd w:val="clear" w:color="auto" w:fill="E7E6E6"/>
            <w:noWrap/>
            <w:hideMark/>
          </w:tcPr>
          <w:p w14:paraId="52671689" w14:textId="77777777" w:rsidR="00CE75D4" w:rsidRPr="002029AF" w:rsidRDefault="00CE75D4" w:rsidP="008340C1">
            <w:pPr>
              <w:pStyle w:val="ARfintablebodyrightbold"/>
            </w:pPr>
            <w:r w:rsidRPr="00F5691A">
              <w:t>351.1</w:t>
            </w:r>
          </w:p>
        </w:tc>
        <w:tc>
          <w:tcPr>
            <w:tcW w:w="1133" w:type="dxa"/>
            <w:tcBorders>
              <w:top w:val="single" w:sz="4" w:space="0" w:color="A6A6A6"/>
              <w:bottom w:val="single" w:sz="4" w:space="0" w:color="A6A6A6"/>
            </w:tcBorders>
            <w:noWrap/>
            <w:hideMark/>
          </w:tcPr>
          <w:p w14:paraId="57D86A52" w14:textId="77777777" w:rsidR="00CE75D4" w:rsidRPr="002029AF" w:rsidRDefault="00CE75D4" w:rsidP="008340C1">
            <w:pPr>
              <w:pStyle w:val="ARfintablebodyrightbold"/>
            </w:pPr>
            <w:r w:rsidRPr="00F5691A">
              <w:t>265.2</w:t>
            </w:r>
          </w:p>
        </w:tc>
      </w:tr>
      <w:tr w:rsidR="00CE75D4" w:rsidRPr="002029AF" w14:paraId="200A680D" w14:textId="77777777" w:rsidTr="00860E95">
        <w:tc>
          <w:tcPr>
            <w:tcW w:w="7371" w:type="dxa"/>
            <w:tcBorders>
              <w:top w:val="single" w:sz="4" w:space="0" w:color="A6A6A6"/>
              <w:bottom w:val="single" w:sz="4" w:space="0" w:color="A6A6A6"/>
            </w:tcBorders>
            <w:hideMark/>
          </w:tcPr>
          <w:p w14:paraId="0806F0BA" w14:textId="77777777" w:rsidR="00CE75D4" w:rsidRPr="002029AF" w:rsidRDefault="00CE75D4" w:rsidP="008340C1">
            <w:pPr>
              <w:pStyle w:val="ARfintablebody"/>
            </w:pPr>
            <w:r w:rsidRPr="00F5691A">
              <w:t xml:space="preserve">Removal of DFFH-related June 2021 closing balance </w:t>
            </w:r>
            <w:r w:rsidRPr="00610E72">
              <w:rPr>
                <w:rStyle w:val="Superscript"/>
              </w:rPr>
              <w:t>(i)</w:t>
            </w:r>
          </w:p>
        </w:tc>
        <w:tc>
          <w:tcPr>
            <w:tcW w:w="1133" w:type="dxa"/>
            <w:tcBorders>
              <w:top w:val="single" w:sz="4" w:space="0" w:color="A6A6A6"/>
              <w:bottom w:val="single" w:sz="4" w:space="0" w:color="A6A6A6"/>
            </w:tcBorders>
            <w:shd w:val="clear" w:color="auto" w:fill="E7E6E6"/>
            <w:noWrap/>
            <w:hideMark/>
          </w:tcPr>
          <w:p w14:paraId="0D4DC6A5" w14:textId="77777777" w:rsidR="00CE75D4" w:rsidRPr="002029AF" w:rsidRDefault="00CE75D4" w:rsidP="008340C1">
            <w:pPr>
              <w:pStyle w:val="ARfintablebodyright"/>
            </w:pPr>
            <w:r w:rsidRPr="00F5691A">
              <w:t>(181.1)</w:t>
            </w:r>
          </w:p>
        </w:tc>
        <w:tc>
          <w:tcPr>
            <w:tcW w:w="1133" w:type="dxa"/>
            <w:tcBorders>
              <w:top w:val="single" w:sz="4" w:space="0" w:color="A6A6A6"/>
              <w:bottom w:val="single" w:sz="4" w:space="0" w:color="A6A6A6"/>
            </w:tcBorders>
            <w:noWrap/>
            <w:hideMark/>
          </w:tcPr>
          <w:p w14:paraId="7BCA6ED2" w14:textId="77777777" w:rsidR="00CE75D4" w:rsidRPr="002029AF" w:rsidRDefault="00CE75D4" w:rsidP="008340C1">
            <w:pPr>
              <w:pStyle w:val="ARfintablebodyright"/>
            </w:pPr>
            <w:r>
              <w:t>–</w:t>
            </w:r>
          </w:p>
        </w:tc>
      </w:tr>
      <w:tr w:rsidR="00CE75D4" w:rsidRPr="002029AF" w14:paraId="23512C09" w14:textId="77777777" w:rsidTr="008340C1">
        <w:tc>
          <w:tcPr>
            <w:tcW w:w="7371" w:type="dxa"/>
            <w:tcBorders>
              <w:top w:val="single" w:sz="4" w:space="0" w:color="A6A6A6"/>
              <w:bottom w:val="single" w:sz="4" w:space="0" w:color="A6A6A6"/>
            </w:tcBorders>
            <w:hideMark/>
          </w:tcPr>
          <w:p w14:paraId="4A4674A4" w14:textId="77777777" w:rsidR="00CE75D4" w:rsidRPr="002029AF" w:rsidRDefault="00CE75D4" w:rsidP="008340C1">
            <w:pPr>
              <w:pStyle w:val="ARfintablebody"/>
            </w:pPr>
            <w:r w:rsidRPr="00F5691A">
              <w:t xml:space="preserve">Write off </w:t>
            </w:r>
            <w:r w:rsidRPr="00610E72">
              <w:rPr>
                <w:rStyle w:val="Superscript"/>
              </w:rPr>
              <w:t>(ii)</w:t>
            </w:r>
          </w:p>
        </w:tc>
        <w:tc>
          <w:tcPr>
            <w:tcW w:w="1133" w:type="dxa"/>
            <w:tcBorders>
              <w:top w:val="single" w:sz="4" w:space="0" w:color="A6A6A6"/>
              <w:bottom w:val="single" w:sz="4" w:space="0" w:color="A6A6A6"/>
            </w:tcBorders>
            <w:shd w:val="clear" w:color="auto" w:fill="E7E6E6"/>
            <w:noWrap/>
            <w:hideMark/>
          </w:tcPr>
          <w:p w14:paraId="0BF5A115" w14:textId="77777777" w:rsidR="00CE75D4" w:rsidRPr="002029AF" w:rsidRDefault="00CE75D4" w:rsidP="008340C1">
            <w:pPr>
              <w:pStyle w:val="ARfintablebodyright"/>
            </w:pPr>
            <w:r w:rsidRPr="00F5691A">
              <w:t>(7</w:t>
            </w:r>
            <w:r>
              <w:t>2.9</w:t>
            </w:r>
            <w:r w:rsidRPr="00F5691A">
              <w:t>)</w:t>
            </w:r>
          </w:p>
        </w:tc>
        <w:tc>
          <w:tcPr>
            <w:tcW w:w="1133" w:type="dxa"/>
            <w:tcBorders>
              <w:top w:val="single" w:sz="4" w:space="0" w:color="A6A6A6"/>
              <w:bottom w:val="single" w:sz="4" w:space="0" w:color="A6A6A6"/>
            </w:tcBorders>
            <w:noWrap/>
            <w:hideMark/>
          </w:tcPr>
          <w:p w14:paraId="69314C83" w14:textId="77777777" w:rsidR="00CE75D4" w:rsidRPr="002029AF" w:rsidRDefault="00CE75D4" w:rsidP="008340C1">
            <w:pPr>
              <w:pStyle w:val="ARfintablebodyright"/>
            </w:pPr>
            <w:r>
              <w:t>–</w:t>
            </w:r>
          </w:p>
        </w:tc>
      </w:tr>
      <w:tr w:rsidR="00CE75D4" w:rsidRPr="002029AF" w14:paraId="297D0BFA" w14:textId="77777777" w:rsidTr="008340C1">
        <w:tc>
          <w:tcPr>
            <w:tcW w:w="7371" w:type="dxa"/>
            <w:tcBorders>
              <w:top w:val="single" w:sz="4" w:space="0" w:color="A6A6A6"/>
              <w:bottom w:val="single" w:sz="4" w:space="0" w:color="A6A6A6"/>
            </w:tcBorders>
            <w:hideMark/>
          </w:tcPr>
          <w:p w14:paraId="7C132511" w14:textId="77777777" w:rsidR="00CE75D4" w:rsidRPr="002029AF" w:rsidRDefault="00CE75D4" w:rsidP="008340C1">
            <w:pPr>
              <w:pStyle w:val="ARfintablebodybold"/>
            </w:pPr>
            <w:r w:rsidRPr="00F5691A">
              <w:t>Adjusted balance at 1 July 2021</w:t>
            </w:r>
          </w:p>
        </w:tc>
        <w:tc>
          <w:tcPr>
            <w:tcW w:w="1133" w:type="dxa"/>
            <w:tcBorders>
              <w:top w:val="single" w:sz="4" w:space="0" w:color="A6A6A6"/>
              <w:bottom w:val="single" w:sz="4" w:space="0" w:color="A6A6A6"/>
            </w:tcBorders>
            <w:shd w:val="clear" w:color="auto" w:fill="E7E6E6"/>
            <w:noWrap/>
            <w:hideMark/>
          </w:tcPr>
          <w:p w14:paraId="0581E82D" w14:textId="77777777" w:rsidR="00CE75D4" w:rsidRPr="002029AF" w:rsidRDefault="00CE75D4" w:rsidP="008340C1">
            <w:pPr>
              <w:pStyle w:val="ARfintablebodyrightbold"/>
            </w:pPr>
            <w:r w:rsidRPr="00F5691A">
              <w:t>9</w:t>
            </w:r>
            <w:r>
              <w:t>7.1</w:t>
            </w:r>
          </w:p>
        </w:tc>
        <w:tc>
          <w:tcPr>
            <w:tcW w:w="1133" w:type="dxa"/>
            <w:tcBorders>
              <w:top w:val="single" w:sz="4" w:space="0" w:color="A6A6A6"/>
              <w:bottom w:val="single" w:sz="4" w:space="0" w:color="A6A6A6"/>
            </w:tcBorders>
            <w:noWrap/>
            <w:hideMark/>
          </w:tcPr>
          <w:p w14:paraId="63B4C882" w14:textId="77777777" w:rsidR="00CE75D4" w:rsidRPr="002029AF" w:rsidRDefault="00CE75D4" w:rsidP="008340C1">
            <w:pPr>
              <w:pStyle w:val="ARfintablebodyrightbold"/>
            </w:pPr>
            <w:r w:rsidRPr="00F5691A">
              <w:t>265.2</w:t>
            </w:r>
          </w:p>
        </w:tc>
      </w:tr>
      <w:tr w:rsidR="00CE75D4" w:rsidRPr="002029AF" w14:paraId="32D82B02" w14:textId="77777777" w:rsidTr="008340C1">
        <w:tc>
          <w:tcPr>
            <w:tcW w:w="7371" w:type="dxa"/>
            <w:tcBorders>
              <w:top w:val="single" w:sz="4" w:space="0" w:color="A6A6A6"/>
              <w:bottom w:val="single" w:sz="4" w:space="0" w:color="A6A6A6"/>
            </w:tcBorders>
            <w:hideMark/>
          </w:tcPr>
          <w:p w14:paraId="3D414D1D" w14:textId="77777777" w:rsidR="00CE75D4" w:rsidRPr="002029AF" w:rsidRDefault="00CE75D4" w:rsidP="008340C1">
            <w:pPr>
              <w:pStyle w:val="ARfintablebody"/>
            </w:pPr>
            <w:r w:rsidRPr="00F5691A">
              <w:t>Administrative instrument transfers</w:t>
            </w:r>
          </w:p>
        </w:tc>
        <w:tc>
          <w:tcPr>
            <w:tcW w:w="1133" w:type="dxa"/>
            <w:tcBorders>
              <w:top w:val="single" w:sz="4" w:space="0" w:color="A6A6A6"/>
              <w:bottom w:val="single" w:sz="4" w:space="0" w:color="A6A6A6"/>
            </w:tcBorders>
            <w:shd w:val="clear" w:color="auto" w:fill="E7E6E6"/>
            <w:noWrap/>
            <w:hideMark/>
          </w:tcPr>
          <w:p w14:paraId="0D381C78"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hideMark/>
          </w:tcPr>
          <w:p w14:paraId="3CA8CD49" w14:textId="77777777" w:rsidR="00CE75D4" w:rsidRPr="002029AF" w:rsidRDefault="00CE75D4" w:rsidP="008340C1">
            <w:pPr>
              <w:pStyle w:val="ARfintablebodyright"/>
            </w:pPr>
            <w:r w:rsidRPr="00F5691A">
              <w:t>(2.2)</w:t>
            </w:r>
          </w:p>
        </w:tc>
      </w:tr>
      <w:tr w:rsidR="00CE75D4" w:rsidRPr="002029AF" w14:paraId="754BE5F5" w14:textId="77777777" w:rsidTr="008340C1">
        <w:tc>
          <w:tcPr>
            <w:tcW w:w="7371" w:type="dxa"/>
            <w:tcBorders>
              <w:top w:val="single" w:sz="4" w:space="0" w:color="A6A6A6"/>
              <w:bottom w:val="single" w:sz="4" w:space="0" w:color="A6A6A6"/>
            </w:tcBorders>
            <w:hideMark/>
          </w:tcPr>
          <w:p w14:paraId="29F6BC20" w14:textId="77777777" w:rsidR="00CE75D4" w:rsidRPr="002029AF" w:rsidRDefault="00CE75D4" w:rsidP="008340C1">
            <w:pPr>
              <w:pStyle w:val="ARfintablebody"/>
            </w:pPr>
            <w:r w:rsidRPr="00F5691A">
              <w:t>Additions from internal development</w:t>
            </w:r>
          </w:p>
        </w:tc>
        <w:tc>
          <w:tcPr>
            <w:tcW w:w="1133" w:type="dxa"/>
            <w:tcBorders>
              <w:top w:val="single" w:sz="4" w:space="0" w:color="A6A6A6"/>
              <w:bottom w:val="single" w:sz="4" w:space="0" w:color="A6A6A6"/>
            </w:tcBorders>
            <w:shd w:val="clear" w:color="auto" w:fill="E7E6E6"/>
            <w:noWrap/>
            <w:hideMark/>
          </w:tcPr>
          <w:p w14:paraId="799BEDA4" w14:textId="77777777" w:rsidR="00CE75D4" w:rsidRPr="002029AF" w:rsidRDefault="00CE75D4" w:rsidP="008340C1">
            <w:pPr>
              <w:pStyle w:val="ARfintablebodyright"/>
            </w:pPr>
            <w:r w:rsidRPr="00F5691A">
              <w:t>17.4</w:t>
            </w:r>
          </w:p>
        </w:tc>
        <w:tc>
          <w:tcPr>
            <w:tcW w:w="1133" w:type="dxa"/>
            <w:tcBorders>
              <w:top w:val="single" w:sz="4" w:space="0" w:color="A6A6A6"/>
              <w:bottom w:val="single" w:sz="4" w:space="0" w:color="A6A6A6"/>
            </w:tcBorders>
            <w:noWrap/>
            <w:hideMark/>
          </w:tcPr>
          <w:p w14:paraId="6DF89A7F" w14:textId="77777777" w:rsidR="00CE75D4" w:rsidRPr="002029AF" w:rsidRDefault="00CE75D4" w:rsidP="008340C1">
            <w:pPr>
              <w:pStyle w:val="ARfintablebodyright"/>
            </w:pPr>
            <w:r w:rsidRPr="00F5691A">
              <w:t>88.1</w:t>
            </w:r>
          </w:p>
        </w:tc>
      </w:tr>
      <w:tr w:rsidR="00CE75D4" w:rsidRPr="002029AF" w14:paraId="7A257652" w14:textId="77777777" w:rsidTr="008340C1">
        <w:tc>
          <w:tcPr>
            <w:tcW w:w="7371" w:type="dxa"/>
            <w:tcBorders>
              <w:top w:val="single" w:sz="4" w:space="0" w:color="A6A6A6"/>
              <w:bottom w:val="single" w:sz="4" w:space="0" w:color="A6A6A6"/>
            </w:tcBorders>
          </w:tcPr>
          <w:p w14:paraId="7BC1D087" w14:textId="77777777" w:rsidR="00CE75D4" w:rsidRPr="00F5691A" w:rsidRDefault="00CE75D4" w:rsidP="008340C1">
            <w:pPr>
              <w:pStyle w:val="ARfintablebody"/>
            </w:pPr>
            <w:r>
              <w:t>Disposals or classified as held for sale</w:t>
            </w:r>
          </w:p>
        </w:tc>
        <w:tc>
          <w:tcPr>
            <w:tcW w:w="1133" w:type="dxa"/>
            <w:tcBorders>
              <w:top w:val="single" w:sz="4" w:space="0" w:color="A6A6A6"/>
              <w:bottom w:val="single" w:sz="4" w:space="0" w:color="A6A6A6"/>
            </w:tcBorders>
            <w:shd w:val="clear" w:color="auto" w:fill="E7E6E6"/>
            <w:noWrap/>
          </w:tcPr>
          <w:p w14:paraId="5569B3DE" w14:textId="77777777" w:rsidR="00CE75D4" w:rsidRPr="00F5691A" w:rsidRDefault="00CE75D4" w:rsidP="008340C1">
            <w:pPr>
              <w:pStyle w:val="ARfintablebodyright"/>
            </w:pPr>
            <w:r>
              <w:t>(1.2)</w:t>
            </w:r>
          </w:p>
        </w:tc>
        <w:tc>
          <w:tcPr>
            <w:tcW w:w="1133" w:type="dxa"/>
            <w:tcBorders>
              <w:top w:val="single" w:sz="4" w:space="0" w:color="A6A6A6"/>
              <w:bottom w:val="single" w:sz="4" w:space="0" w:color="A6A6A6"/>
            </w:tcBorders>
            <w:noWrap/>
          </w:tcPr>
          <w:p w14:paraId="532629FB" w14:textId="77777777" w:rsidR="00CE75D4" w:rsidRPr="00F5691A" w:rsidRDefault="00CE75D4" w:rsidP="008340C1">
            <w:pPr>
              <w:pStyle w:val="ARfintablebodyright"/>
            </w:pPr>
            <w:r>
              <w:t>–</w:t>
            </w:r>
          </w:p>
        </w:tc>
      </w:tr>
      <w:tr w:rsidR="00CE75D4" w:rsidRPr="002029AF" w14:paraId="79688E00" w14:textId="77777777" w:rsidTr="008340C1">
        <w:tc>
          <w:tcPr>
            <w:tcW w:w="7371" w:type="dxa"/>
            <w:tcBorders>
              <w:top w:val="single" w:sz="4" w:space="0" w:color="A6A6A6"/>
              <w:bottom w:val="single" w:sz="4" w:space="0" w:color="A6A6A6"/>
            </w:tcBorders>
            <w:hideMark/>
          </w:tcPr>
          <w:p w14:paraId="0A391676" w14:textId="77777777" w:rsidR="00CE75D4" w:rsidRPr="002029AF" w:rsidRDefault="00CE75D4" w:rsidP="008340C1">
            <w:pPr>
              <w:pStyle w:val="ARfintablebodybold"/>
            </w:pPr>
            <w:r w:rsidRPr="00F5691A">
              <w:t>Closing balance</w:t>
            </w:r>
          </w:p>
        </w:tc>
        <w:tc>
          <w:tcPr>
            <w:tcW w:w="1133" w:type="dxa"/>
            <w:tcBorders>
              <w:top w:val="single" w:sz="4" w:space="0" w:color="A6A6A6"/>
              <w:bottom w:val="single" w:sz="4" w:space="0" w:color="A6A6A6"/>
            </w:tcBorders>
            <w:shd w:val="clear" w:color="auto" w:fill="E7E6E6"/>
            <w:noWrap/>
            <w:hideMark/>
          </w:tcPr>
          <w:p w14:paraId="4B1F6B48" w14:textId="77777777" w:rsidR="00CE75D4" w:rsidRPr="002029AF" w:rsidRDefault="00CE75D4" w:rsidP="008340C1">
            <w:pPr>
              <w:pStyle w:val="ARfintablebodyrightbold"/>
            </w:pPr>
            <w:r w:rsidRPr="00F5691A">
              <w:t>113.3</w:t>
            </w:r>
          </w:p>
        </w:tc>
        <w:tc>
          <w:tcPr>
            <w:tcW w:w="1133" w:type="dxa"/>
            <w:tcBorders>
              <w:top w:val="single" w:sz="4" w:space="0" w:color="A6A6A6"/>
              <w:bottom w:val="single" w:sz="4" w:space="0" w:color="A6A6A6"/>
            </w:tcBorders>
            <w:noWrap/>
            <w:hideMark/>
          </w:tcPr>
          <w:p w14:paraId="0F638EC3" w14:textId="77777777" w:rsidR="00CE75D4" w:rsidRPr="002029AF" w:rsidRDefault="00CE75D4" w:rsidP="008340C1">
            <w:pPr>
              <w:pStyle w:val="ARfintablebodyrightbold"/>
            </w:pPr>
            <w:r w:rsidRPr="00F5691A">
              <w:t>351.1</w:t>
            </w:r>
          </w:p>
        </w:tc>
      </w:tr>
      <w:tr w:rsidR="00CE75D4" w:rsidRPr="002029AF" w14:paraId="5370326A" w14:textId="77777777" w:rsidTr="008340C1">
        <w:tc>
          <w:tcPr>
            <w:tcW w:w="9637" w:type="dxa"/>
            <w:gridSpan w:val="3"/>
            <w:tcBorders>
              <w:top w:val="single" w:sz="4" w:space="0" w:color="A6A6A6"/>
              <w:bottom w:val="single" w:sz="4" w:space="0" w:color="A6A6A6"/>
            </w:tcBorders>
            <w:hideMark/>
          </w:tcPr>
          <w:p w14:paraId="3B1C9AEC" w14:textId="77777777" w:rsidR="00CE75D4" w:rsidRPr="002029AF" w:rsidRDefault="00CE75D4" w:rsidP="008340C1">
            <w:pPr>
              <w:pStyle w:val="ARfintablebodybold"/>
            </w:pPr>
            <w:r w:rsidRPr="00F5691A">
              <w:t>Accumulated amortisation and impairment</w:t>
            </w:r>
          </w:p>
        </w:tc>
      </w:tr>
      <w:tr w:rsidR="00CE75D4" w:rsidRPr="002029AF" w14:paraId="31A3AA41" w14:textId="77777777" w:rsidTr="00860E95">
        <w:tc>
          <w:tcPr>
            <w:tcW w:w="7371" w:type="dxa"/>
            <w:tcBorders>
              <w:top w:val="single" w:sz="4" w:space="0" w:color="A6A6A6"/>
              <w:bottom w:val="single" w:sz="4" w:space="0" w:color="A6A6A6"/>
            </w:tcBorders>
            <w:hideMark/>
          </w:tcPr>
          <w:p w14:paraId="124AEED1" w14:textId="77777777" w:rsidR="00CE75D4" w:rsidRPr="002029AF" w:rsidRDefault="00CE75D4" w:rsidP="008340C1">
            <w:pPr>
              <w:pStyle w:val="ARfintablebodybold"/>
            </w:pPr>
            <w:r w:rsidRPr="00F5691A">
              <w:t>Opening balance</w:t>
            </w:r>
          </w:p>
        </w:tc>
        <w:tc>
          <w:tcPr>
            <w:tcW w:w="1133" w:type="dxa"/>
            <w:tcBorders>
              <w:top w:val="single" w:sz="4" w:space="0" w:color="A6A6A6"/>
              <w:bottom w:val="single" w:sz="4" w:space="0" w:color="A6A6A6"/>
            </w:tcBorders>
            <w:shd w:val="clear" w:color="auto" w:fill="E7E6E6"/>
            <w:noWrap/>
            <w:hideMark/>
          </w:tcPr>
          <w:p w14:paraId="5FB88763" w14:textId="77777777" w:rsidR="00CE75D4" w:rsidRPr="002029AF" w:rsidRDefault="00CE75D4" w:rsidP="008340C1">
            <w:pPr>
              <w:pStyle w:val="ARfintablebodyrightbold"/>
            </w:pPr>
            <w:r w:rsidRPr="00F5691A">
              <w:t>(175.2)</w:t>
            </w:r>
          </w:p>
        </w:tc>
        <w:tc>
          <w:tcPr>
            <w:tcW w:w="1133" w:type="dxa"/>
            <w:tcBorders>
              <w:top w:val="single" w:sz="4" w:space="0" w:color="A6A6A6"/>
              <w:bottom w:val="single" w:sz="4" w:space="0" w:color="A6A6A6"/>
            </w:tcBorders>
            <w:noWrap/>
            <w:hideMark/>
          </w:tcPr>
          <w:p w14:paraId="452EDB66" w14:textId="77777777" w:rsidR="00CE75D4" w:rsidRPr="002029AF" w:rsidRDefault="00CE75D4" w:rsidP="008340C1">
            <w:pPr>
              <w:pStyle w:val="ARfintablebodyrightbold"/>
            </w:pPr>
            <w:r w:rsidRPr="00F5691A">
              <w:t>(130.8)</w:t>
            </w:r>
          </w:p>
        </w:tc>
      </w:tr>
      <w:tr w:rsidR="00CE75D4" w:rsidRPr="002029AF" w14:paraId="0698BDF7" w14:textId="77777777" w:rsidTr="008340C1">
        <w:tc>
          <w:tcPr>
            <w:tcW w:w="7371" w:type="dxa"/>
            <w:tcBorders>
              <w:top w:val="single" w:sz="4" w:space="0" w:color="A6A6A6"/>
              <w:bottom w:val="single" w:sz="4" w:space="0" w:color="A6A6A6"/>
            </w:tcBorders>
            <w:hideMark/>
          </w:tcPr>
          <w:p w14:paraId="6EC73D0D" w14:textId="77777777" w:rsidR="00CE75D4" w:rsidRPr="002029AF" w:rsidRDefault="00CE75D4" w:rsidP="008340C1">
            <w:pPr>
              <w:pStyle w:val="ARfintablebody"/>
            </w:pPr>
            <w:r w:rsidRPr="00F5691A">
              <w:t xml:space="preserve">Removal of DFFH-related June 2021 closing balance </w:t>
            </w:r>
            <w:r w:rsidRPr="00610E72">
              <w:rPr>
                <w:rStyle w:val="Superscript"/>
              </w:rPr>
              <w:t>(i)</w:t>
            </w:r>
          </w:p>
        </w:tc>
        <w:tc>
          <w:tcPr>
            <w:tcW w:w="1133" w:type="dxa"/>
            <w:tcBorders>
              <w:top w:val="single" w:sz="4" w:space="0" w:color="A6A6A6"/>
              <w:bottom w:val="single" w:sz="4" w:space="0" w:color="A6A6A6"/>
            </w:tcBorders>
            <w:shd w:val="clear" w:color="auto" w:fill="E7E6E6"/>
            <w:noWrap/>
            <w:hideMark/>
          </w:tcPr>
          <w:p w14:paraId="6C7E19D3" w14:textId="77777777" w:rsidR="00CE75D4" w:rsidRPr="002029AF" w:rsidRDefault="00CE75D4" w:rsidP="008340C1">
            <w:pPr>
              <w:pStyle w:val="ARfintablebodyright"/>
            </w:pPr>
            <w:r w:rsidRPr="00F5691A">
              <w:t>93.6</w:t>
            </w:r>
          </w:p>
        </w:tc>
        <w:tc>
          <w:tcPr>
            <w:tcW w:w="1133" w:type="dxa"/>
            <w:tcBorders>
              <w:top w:val="single" w:sz="4" w:space="0" w:color="A6A6A6"/>
              <w:bottom w:val="single" w:sz="4" w:space="0" w:color="A6A6A6"/>
            </w:tcBorders>
            <w:noWrap/>
            <w:hideMark/>
          </w:tcPr>
          <w:p w14:paraId="3CB1A877" w14:textId="77777777" w:rsidR="00CE75D4" w:rsidRPr="002029AF" w:rsidRDefault="00CE75D4" w:rsidP="008340C1">
            <w:pPr>
              <w:pStyle w:val="ARfintablebodyright"/>
            </w:pPr>
            <w:r>
              <w:t>–</w:t>
            </w:r>
          </w:p>
        </w:tc>
      </w:tr>
      <w:tr w:rsidR="00CE75D4" w:rsidRPr="002029AF" w14:paraId="71B76857" w14:textId="77777777" w:rsidTr="008340C1">
        <w:tc>
          <w:tcPr>
            <w:tcW w:w="7371" w:type="dxa"/>
            <w:tcBorders>
              <w:top w:val="single" w:sz="4" w:space="0" w:color="A6A6A6"/>
              <w:bottom w:val="single" w:sz="4" w:space="0" w:color="A6A6A6"/>
            </w:tcBorders>
          </w:tcPr>
          <w:p w14:paraId="2CBC7350" w14:textId="77777777" w:rsidR="00CE75D4" w:rsidRPr="00FC7200" w:rsidRDefault="00CE75D4" w:rsidP="008340C1">
            <w:pPr>
              <w:pStyle w:val="ARfintablebody"/>
            </w:pPr>
            <w:r w:rsidRPr="00F5691A">
              <w:t xml:space="preserve">Write off </w:t>
            </w:r>
            <w:r w:rsidRPr="00610E72">
              <w:rPr>
                <w:rStyle w:val="Superscript"/>
              </w:rPr>
              <w:t>(ii)</w:t>
            </w:r>
          </w:p>
        </w:tc>
        <w:tc>
          <w:tcPr>
            <w:tcW w:w="1133" w:type="dxa"/>
            <w:tcBorders>
              <w:top w:val="single" w:sz="4" w:space="0" w:color="A6A6A6"/>
              <w:bottom w:val="single" w:sz="4" w:space="0" w:color="A6A6A6"/>
            </w:tcBorders>
            <w:shd w:val="clear" w:color="auto" w:fill="E7E6E6"/>
            <w:noWrap/>
          </w:tcPr>
          <w:p w14:paraId="54A0A1F2" w14:textId="77777777" w:rsidR="00CE75D4" w:rsidRPr="00FC7200" w:rsidRDefault="00CE75D4" w:rsidP="008340C1">
            <w:pPr>
              <w:pStyle w:val="ARfintablebodyright"/>
            </w:pPr>
            <w:r w:rsidRPr="00F5691A">
              <w:t>12.3</w:t>
            </w:r>
          </w:p>
        </w:tc>
        <w:tc>
          <w:tcPr>
            <w:tcW w:w="1133" w:type="dxa"/>
            <w:tcBorders>
              <w:top w:val="single" w:sz="4" w:space="0" w:color="A6A6A6"/>
              <w:bottom w:val="single" w:sz="4" w:space="0" w:color="A6A6A6"/>
            </w:tcBorders>
            <w:noWrap/>
          </w:tcPr>
          <w:p w14:paraId="3171B19C" w14:textId="77777777" w:rsidR="00CE75D4" w:rsidRPr="00FC7200" w:rsidRDefault="00CE75D4" w:rsidP="008340C1">
            <w:pPr>
              <w:pStyle w:val="ARfintablebodyright"/>
            </w:pPr>
            <w:r>
              <w:t>–</w:t>
            </w:r>
          </w:p>
        </w:tc>
      </w:tr>
      <w:tr w:rsidR="00CE75D4" w:rsidRPr="002029AF" w14:paraId="0331AC26" w14:textId="77777777" w:rsidTr="008340C1">
        <w:tc>
          <w:tcPr>
            <w:tcW w:w="7371" w:type="dxa"/>
            <w:tcBorders>
              <w:top w:val="single" w:sz="4" w:space="0" w:color="A6A6A6"/>
              <w:bottom w:val="single" w:sz="4" w:space="0" w:color="A6A6A6"/>
            </w:tcBorders>
            <w:hideMark/>
          </w:tcPr>
          <w:p w14:paraId="242AB410" w14:textId="77777777" w:rsidR="00CE75D4" w:rsidRPr="002029AF" w:rsidRDefault="00CE75D4" w:rsidP="008340C1">
            <w:pPr>
              <w:pStyle w:val="ARfintablebodybold"/>
            </w:pPr>
            <w:r w:rsidRPr="00F5691A">
              <w:t>Adjusted balance at 1 July 2021</w:t>
            </w:r>
          </w:p>
        </w:tc>
        <w:tc>
          <w:tcPr>
            <w:tcW w:w="1133" w:type="dxa"/>
            <w:tcBorders>
              <w:top w:val="single" w:sz="4" w:space="0" w:color="A6A6A6"/>
              <w:bottom w:val="single" w:sz="4" w:space="0" w:color="A6A6A6"/>
            </w:tcBorders>
            <w:shd w:val="clear" w:color="auto" w:fill="E7E6E6"/>
            <w:noWrap/>
            <w:hideMark/>
          </w:tcPr>
          <w:p w14:paraId="154A9737" w14:textId="77777777" w:rsidR="00CE75D4" w:rsidRPr="002029AF" w:rsidRDefault="00CE75D4" w:rsidP="008340C1">
            <w:pPr>
              <w:pStyle w:val="ARfintablebodyrightbold"/>
            </w:pPr>
            <w:r w:rsidRPr="00F5691A">
              <w:t>(69.3)</w:t>
            </w:r>
          </w:p>
        </w:tc>
        <w:tc>
          <w:tcPr>
            <w:tcW w:w="1133" w:type="dxa"/>
            <w:tcBorders>
              <w:top w:val="single" w:sz="4" w:space="0" w:color="A6A6A6"/>
              <w:bottom w:val="single" w:sz="4" w:space="0" w:color="A6A6A6"/>
            </w:tcBorders>
            <w:noWrap/>
            <w:hideMark/>
          </w:tcPr>
          <w:p w14:paraId="6997E4CE" w14:textId="77777777" w:rsidR="00CE75D4" w:rsidRPr="002029AF" w:rsidRDefault="00CE75D4" w:rsidP="008340C1">
            <w:pPr>
              <w:pStyle w:val="ARfintablebodyrightbold"/>
            </w:pPr>
            <w:r>
              <w:t>–</w:t>
            </w:r>
          </w:p>
        </w:tc>
      </w:tr>
      <w:tr w:rsidR="00CE75D4" w:rsidRPr="002029AF" w14:paraId="32D59236" w14:textId="77777777" w:rsidTr="008340C1">
        <w:tc>
          <w:tcPr>
            <w:tcW w:w="7371" w:type="dxa"/>
            <w:tcBorders>
              <w:top w:val="single" w:sz="4" w:space="0" w:color="A6A6A6"/>
              <w:bottom w:val="single" w:sz="4" w:space="0" w:color="A6A6A6"/>
            </w:tcBorders>
            <w:hideMark/>
          </w:tcPr>
          <w:p w14:paraId="23A5E434" w14:textId="77777777" w:rsidR="00CE75D4" w:rsidRPr="002029AF" w:rsidRDefault="00CE75D4" w:rsidP="008340C1">
            <w:pPr>
              <w:pStyle w:val="ARfintablebody"/>
            </w:pPr>
            <w:r w:rsidRPr="00F5691A">
              <w:t>Amortisation of intangible produced assets</w:t>
            </w:r>
          </w:p>
        </w:tc>
        <w:tc>
          <w:tcPr>
            <w:tcW w:w="1133" w:type="dxa"/>
            <w:tcBorders>
              <w:top w:val="single" w:sz="4" w:space="0" w:color="A6A6A6"/>
              <w:bottom w:val="single" w:sz="4" w:space="0" w:color="A6A6A6"/>
            </w:tcBorders>
            <w:shd w:val="clear" w:color="auto" w:fill="E7E6E6"/>
            <w:noWrap/>
            <w:hideMark/>
          </w:tcPr>
          <w:p w14:paraId="2E3073CA" w14:textId="77777777" w:rsidR="00CE75D4" w:rsidRPr="002029AF" w:rsidRDefault="00CE75D4" w:rsidP="008340C1">
            <w:pPr>
              <w:pStyle w:val="ARfintablebodyright"/>
            </w:pPr>
            <w:r w:rsidRPr="00F5691A">
              <w:t>(8.4)</w:t>
            </w:r>
          </w:p>
        </w:tc>
        <w:tc>
          <w:tcPr>
            <w:tcW w:w="1133" w:type="dxa"/>
            <w:tcBorders>
              <w:top w:val="single" w:sz="4" w:space="0" w:color="A6A6A6"/>
              <w:bottom w:val="single" w:sz="4" w:space="0" w:color="A6A6A6"/>
            </w:tcBorders>
            <w:noWrap/>
            <w:hideMark/>
          </w:tcPr>
          <w:p w14:paraId="13D6CF26" w14:textId="77777777" w:rsidR="00CE75D4" w:rsidRPr="002029AF" w:rsidRDefault="00CE75D4" w:rsidP="008340C1">
            <w:pPr>
              <w:pStyle w:val="ARfintablebodyright"/>
            </w:pPr>
            <w:r w:rsidRPr="00F5691A">
              <w:t>(44.4)</w:t>
            </w:r>
          </w:p>
        </w:tc>
      </w:tr>
      <w:tr w:rsidR="00CE75D4" w:rsidRPr="002029AF" w14:paraId="65167497" w14:textId="77777777" w:rsidTr="008340C1">
        <w:tc>
          <w:tcPr>
            <w:tcW w:w="7371" w:type="dxa"/>
            <w:tcBorders>
              <w:top w:val="single" w:sz="4" w:space="0" w:color="A6A6A6"/>
            </w:tcBorders>
            <w:hideMark/>
          </w:tcPr>
          <w:p w14:paraId="4656FE4E" w14:textId="77777777" w:rsidR="00CE75D4" w:rsidRPr="002029AF" w:rsidRDefault="00CE75D4" w:rsidP="008340C1">
            <w:pPr>
              <w:pStyle w:val="ARfintablebodybold"/>
            </w:pPr>
            <w:r w:rsidRPr="00F5691A">
              <w:t>Closing balance</w:t>
            </w:r>
          </w:p>
        </w:tc>
        <w:tc>
          <w:tcPr>
            <w:tcW w:w="1133" w:type="dxa"/>
            <w:tcBorders>
              <w:top w:val="single" w:sz="4" w:space="0" w:color="A6A6A6"/>
            </w:tcBorders>
            <w:shd w:val="clear" w:color="auto" w:fill="E7E6E6"/>
            <w:noWrap/>
            <w:hideMark/>
          </w:tcPr>
          <w:p w14:paraId="1266C444" w14:textId="77777777" w:rsidR="00CE75D4" w:rsidRPr="002029AF" w:rsidRDefault="00CE75D4" w:rsidP="008340C1">
            <w:pPr>
              <w:pStyle w:val="ARfintablebodyrightbold"/>
            </w:pPr>
            <w:r w:rsidRPr="00F5691A">
              <w:t>(77.8)</w:t>
            </w:r>
          </w:p>
        </w:tc>
        <w:tc>
          <w:tcPr>
            <w:tcW w:w="1133" w:type="dxa"/>
            <w:tcBorders>
              <w:top w:val="single" w:sz="4" w:space="0" w:color="A6A6A6"/>
            </w:tcBorders>
            <w:noWrap/>
            <w:hideMark/>
          </w:tcPr>
          <w:p w14:paraId="0B841496" w14:textId="77777777" w:rsidR="00CE75D4" w:rsidRPr="002029AF" w:rsidRDefault="00CE75D4" w:rsidP="008340C1">
            <w:pPr>
              <w:pStyle w:val="ARfintablebodyrightbold"/>
            </w:pPr>
            <w:r w:rsidRPr="00F5691A">
              <w:t>(175.2)</w:t>
            </w:r>
          </w:p>
        </w:tc>
      </w:tr>
      <w:tr w:rsidR="00CE75D4" w:rsidRPr="002029AF" w14:paraId="127F9416" w14:textId="77777777" w:rsidTr="00860E95">
        <w:tc>
          <w:tcPr>
            <w:tcW w:w="7371" w:type="dxa"/>
            <w:hideMark/>
          </w:tcPr>
          <w:p w14:paraId="2983A43E" w14:textId="77777777" w:rsidR="00CE75D4" w:rsidRPr="002029AF" w:rsidRDefault="00CE75D4" w:rsidP="008340C1">
            <w:pPr>
              <w:pStyle w:val="ARfintablebodybold"/>
            </w:pPr>
            <w:r w:rsidRPr="00F5691A">
              <w:t>Net book value at end of financial year</w:t>
            </w:r>
          </w:p>
        </w:tc>
        <w:tc>
          <w:tcPr>
            <w:tcW w:w="1133" w:type="dxa"/>
            <w:shd w:val="clear" w:color="auto" w:fill="E7E6E6"/>
            <w:noWrap/>
            <w:hideMark/>
          </w:tcPr>
          <w:p w14:paraId="3A409AC4" w14:textId="77777777" w:rsidR="00CE75D4" w:rsidRPr="002029AF" w:rsidRDefault="00CE75D4" w:rsidP="008340C1">
            <w:pPr>
              <w:pStyle w:val="ARfintablebodyrightbold"/>
            </w:pPr>
            <w:r w:rsidRPr="00F5691A">
              <w:t>35.5</w:t>
            </w:r>
          </w:p>
        </w:tc>
        <w:tc>
          <w:tcPr>
            <w:tcW w:w="1133" w:type="dxa"/>
            <w:noWrap/>
            <w:hideMark/>
          </w:tcPr>
          <w:p w14:paraId="5B7E2C8A" w14:textId="77777777" w:rsidR="00CE75D4" w:rsidRPr="002029AF" w:rsidRDefault="00CE75D4" w:rsidP="008340C1">
            <w:pPr>
              <w:pStyle w:val="ARfintablebodyrightbold"/>
            </w:pPr>
            <w:r w:rsidRPr="00F5691A">
              <w:t>175.9</w:t>
            </w:r>
          </w:p>
        </w:tc>
      </w:tr>
    </w:tbl>
    <w:p w14:paraId="4360BD53" w14:textId="77777777" w:rsidR="00CE75D4" w:rsidRDefault="00CE75D4" w:rsidP="008340C1">
      <w:pPr>
        <w:pStyle w:val="ARfintablefootnote"/>
      </w:pPr>
      <w:r>
        <w:rPr>
          <w:lang w:eastAsia="en-AU"/>
        </w:rPr>
        <w:t>Notes:</w:t>
      </w:r>
    </w:p>
    <w:p w14:paraId="714BEEDE" w14:textId="509C9259" w:rsidR="00CE75D4" w:rsidRDefault="00CE75D4" w:rsidP="008340C1">
      <w:pPr>
        <w:pStyle w:val="ARfintablefootnoteindent"/>
      </w:pPr>
      <w:r>
        <w:t>(i)</w:t>
      </w:r>
      <w:r>
        <w:tab/>
        <w:t>Removes the 30 June 2021 closing balances of the DFFH, the Victorian Disability Worker Commission and the Director of Housing, which were included in the department’s 2020–21 financial statements under s. 53(1)(b) of the FMA. These balances are reported in the DFFH’s 2021–22 financial statements.</w:t>
      </w:r>
      <w:r w:rsidRPr="003869B6">
        <w:t xml:space="preserve"> The transactions which relate to these entities are reported in the DFFH</w:t>
      </w:r>
      <w:r>
        <w:t>-</w:t>
      </w:r>
      <w:r w:rsidRPr="003869B6">
        <w:t>s 2021</w:t>
      </w:r>
      <w:r>
        <w:t>–</w:t>
      </w:r>
      <w:r w:rsidRPr="003869B6">
        <w:t>22 financial statements.</w:t>
      </w:r>
    </w:p>
    <w:p w14:paraId="0917B310" w14:textId="6489C867" w:rsidR="00CE75D4" w:rsidRDefault="00CE75D4" w:rsidP="008340C1">
      <w:pPr>
        <w:pStyle w:val="ARfintablefootnoteindent"/>
      </w:pPr>
      <w:r>
        <w:t>(ii)</w:t>
      </w:r>
      <w:r>
        <w:tab/>
      </w:r>
      <w:r w:rsidRPr="00E2671C">
        <w:t>During 2021</w:t>
      </w:r>
      <w:r>
        <w:t>–</w:t>
      </w:r>
      <w:r w:rsidRPr="00E2671C">
        <w:t>22, the department revised its accounting policy in relation to</w:t>
      </w:r>
      <w:r w:rsidR="00FF436A">
        <w:t xml:space="preserve"> the</w:t>
      </w:r>
      <w:r w:rsidRPr="00E2671C">
        <w:t xml:space="preserve"> treatment of upfront configuration and customisation costs incurred in implementing Software-as-a-Service (SaaS) arrangements in response to the </w:t>
      </w:r>
      <w:r w:rsidRPr="008C1BDA">
        <w:t>International Financial Reporting Interpretations Committee</w:t>
      </w:r>
      <w:r>
        <w:t xml:space="preserve"> (</w:t>
      </w:r>
      <w:r w:rsidRPr="00E2671C">
        <w:t>IFRIC</w:t>
      </w:r>
      <w:r>
        <w:t>)</w:t>
      </w:r>
      <w:r w:rsidRPr="00E2671C">
        <w:t xml:space="preserve"> agenda decision clarifying its interpretation of how current accounting standards apply to these types of arrangements. </w:t>
      </w:r>
      <w:r>
        <w:t>As a result, a net amount of $60.5</w:t>
      </w:r>
      <w:r w:rsidR="000D12EB">
        <w:t xml:space="preserve"> </w:t>
      </w:r>
      <w:r>
        <w:t xml:space="preserve">million was written off, comprising the total </w:t>
      </w:r>
      <w:r w:rsidRPr="00226830">
        <w:t>gross carrying amount of $72.9 million and the total accumulated amortisation of $12.3 million.</w:t>
      </w:r>
    </w:p>
    <w:p w14:paraId="6D3D1C64" w14:textId="77777777" w:rsidR="00CE75D4" w:rsidRDefault="00CE75D4" w:rsidP="008340C1">
      <w:pPr>
        <w:pStyle w:val="Heading5"/>
        <w:spacing w:before="160" w:after="60"/>
        <w:rPr>
          <w:lang w:eastAsia="en-AU"/>
        </w:rPr>
      </w:pPr>
      <w:r>
        <w:rPr>
          <w:lang w:eastAsia="en-AU"/>
        </w:rPr>
        <w:t>Initial recognition</w:t>
      </w:r>
    </w:p>
    <w:p w14:paraId="5C770F47" w14:textId="77777777" w:rsidR="00CE75D4" w:rsidRDefault="00CE75D4" w:rsidP="008340C1">
      <w:pPr>
        <w:pStyle w:val="ARfinbody"/>
      </w:pPr>
      <w:r>
        <w:t xml:space="preserve">An </w:t>
      </w:r>
      <w:r>
        <w:rPr>
          <w:rStyle w:val="Strong"/>
        </w:rPr>
        <w:t>internally generated intangible asset</w:t>
      </w:r>
      <w:r>
        <w:t xml:space="preserve"> arising from development (or from the development phase of an internal project) is recognised if, and only if, all of the following are demonstrated:</w:t>
      </w:r>
    </w:p>
    <w:p w14:paraId="5E9206A9" w14:textId="77777777" w:rsidR="00CE75D4" w:rsidRPr="00E06A3B" w:rsidRDefault="00CE75D4" w:rsidP="00817CFB">
      <w:pPr>
        <w:pStyle w:val="ARfinbullet1"/>
        <w:numPr>
          <w:ilvl w:val="0"/>
          <w:numId w:val="29"/>
        </w:numPr>
        <w:textAlignment w:val="auto"/>
        <w:rPr>
          <w:szCs w:val="18"/>
        </w:rPr>
      </w:pPr>
      <w:r w:rsidRPr="00E06A3B">
        <w:rPr>
          <w:szCs w:val="18"/>
        </w:rPr>
        <w:t>the technical feasibility of completing the intangible asset so that it will be available for use or sale</w:t>
      </w:r>
    </w:p>
    <w:p w14:paraId="23166281" w14:textId="77777777" w:rsidR="00CE75D4" w:rsidRPr="00E06A3B" w:rsidRDefault="00CE75D4" w:rsidP="00817CFB">
      <w:pPr>
        <w:pStyle w:val="ARfinbullet1"/>
        <w:numPr>
          <w:ilvl w:val="0"/>
          <w:numId w:val="29"/>
        </w:numPr>
        <w:textAlignment w:val="auto"/>
        <w:rPr>
          <w:szCs w:val="18"/>
        </w:rPr>
      </w:pPr>
      <w:r w:rsidRPr="00E06A3B">
        <w:rPr>
          <w:szCs w:val="18"/>
        </w:rPr>
        <w:t>an intention to complete the intangible asset and use or sell it</w:t>
      </w:r>
    </w:p>
    <w:p w14:paraId="2CCDB1ED" w14:textId="77777777" w:rsidR="00CE75D4" w:rsidRPr="00E06A3B" w:rsidRDefault="00CE75D4" w:rsidP="00817CFB">
      <w:pPr>
        <w:pStyle w:val="ARfinbullet1"/>
        <w:numPr>
          <w:ilvl w:val="0"/>
          <w:numId w:val="29"/>
        </w:numPr>
        <w:textAlignment w:val="auto"/>
        <w:rPr>
          <w:szCs w:val="18"/>
        </w:rPr>
      </w:pPr>
      <w:r w:rsidRPr="00E06A3B">
        <w:rPr>
          <w:szCs w:val="18"/>
        </w:rPr>
        <w:t>the ability to use or sell the intangible asset</w:t>
      </w:r>
    </w:p>
    <w:p w14:paraId="6A2F9A60" w14:textId="77777777" w:rsidR="00CE75D4" w:rsidRPr="00E06A3B" w:rsidRDefault="00CE75D4" w:rsidP="00817CFB">
      <w:pPr>
        <w:pStyle w:val="ARfinbullet1"/>
        <w:numPr>
          <w:ilvl w:val="0"/>
          <w:numId w:val="29"/>
        </w:numPr>
        <w:textAlignment w:val="auto"/>
        <w:rPr>
          <w:szCs w:val="18"/>
        </w:rPr>
      </w:pPr>
      <w:r w:rsidRPr="00E06A3B">
        <w:rPr>
          <w:szCs w:val="18"/>
        </w:rPr>
        <w:t>the intangible asset will generate probable future economic benefits</w:t>
      </w:r>
    </w:p>
    <w:p w14:paraId="3F424771" w14:textId="77777777" w:rsidR="00CE75D4" w:rsidRPr="00E06A3B" w:rsidRDefault="00CE75D4" w:rsidP="00817CFB">
      <w:pPr>
        <w:pStyle w:val="ARfinbullet1"/>
        <w:numPr>
          <w:ilvl w:val="0"/>
          <w:numId w:val="29"/>
        </w:numPr>
        <w:textAlignment w:val="auto"/>
        <w:rPr>
          <w:szCs w:val="18"/>
        </w:rPr>
      </w:pPr>
      <w:r w:rsidRPr="00E06A3B">
        <w:rPr>
          <w:szCs w:val="18"/>
        </w:rPr>
        <w:t>the availability of adequate technical, financial and other resources to complete the development and to use or sell the intangible asset</w:t>
      </w:r>
    </w:p>
    <w:p w14:paraId="6CBB8979" w14:textId="77777777" w:rsidR="00CE75D4" w:rsidRPr="00E06A3B" w:rsidRDefault="00CE75D4" w:rsidP="00817CFB">
      <w:pPr>
        <w:pStyle w:val="ARfinbullet1"/>
        <w:numPr>
          <w:ilvl w:val="0"/>
          <w:numId w:val="29"/>
        </w:numPr>
        <w:textAlignment w:val="auto"/>
        <w:rPr>
          <w:szCs w:val="18"/>
        </w:rPr>
      </w:pPr>
      <w:r w:rsidRPr="00E06A3B">
        <w:rPr>
          <w:szCs w:val="18"/>
        </w:rPr>
        <w:t>the ability to measure reliably the expenditure attributable to the intangible asset during its development.</w:t>
      </w:r>
    </w:p>
    <w:p w14:paraId="7195D579" w14:textId="77777777" w:rsidR="00CE75D4" w:rsidRDefault="00CE75D4" w:rsidP="008340C1">
      <w:pPr>
        <w:pStyle w:val="Heading5"/>
        <w:spacing w:before="160" w:after="60"/>
        <w:rPr>
          <w:lang w:eastAsia="en-AU"/>
        </w:rPr>
      </w:pPr>
      <w:r>
        <w:rPr>
          <w:lang w:eastAsia="en-AU"/>
        </w:rPr>
        <w:t>Service concession intangible asset</w:t>
      </w:r>
    </w:p>
    <w:p w14:paraId="1C2B802A" w14:textId="77777777" w:rsidR="00CE75D4" w:rsidRDefault="00CE75D4" w:rsidP="008340C1">
      <w:pPr>
        <w:pStyle w:val="ARfinbody"/>
      </w:pPr>
      <w:r>
        <w:t>The service concession intangible asset has an indefinite useful life because its value does not diminish with use and it can be used multiple times over an extended period of time with no foreseeable limit. As a result, a finite life cannot be determined.</w:t>
      </w:r>
    </w:p>
    <w:p w14:paraId="4BE092D0" w14:textId="77777777" w:rsidR="00CE75D4" w:rsidRDefault="00CE75D4" w:rsidP="008340C1">
      <w:pPr>
        <w:pStyle w:val="Heading5"/>
        <w:spacing w:before="160" w:after="60"/>
        <w:rPr>
          <w:lang w:eastAsia="en-AU"/>
        </w:rPr>
      </w:pPr>
      <w:r>
        <w:rPr>
          <w:lang w:eastAsia="en-AU"/>
        </w:rPr>
        <w:t>Subsequent measurement</w:t>
      </w:r>
    </w:p>
    <w:p w14:paraId="016D2150" w14:textId="77777777" w:rsidR="00CE75D4" w:rsidRDefault="00CE75D4" w:rsidP="008340C1">
      <w:pPr>
        <w:pStyle w:val="ARfinbody"/>
      </w:pPr>
      <w:r>
        <w:t>Intangible produced assets with finite useful lives, are amortised as an ‘expense from transactions’ on a straight-line basis over their useful lives. Produced intangible assets have useful lives of between 3 and 20 years.</w:t>
      </w:r>
    </w:p>
    <w:p w14:paraId="52A3B52E" w14:textId="77777777" w:rsidR="00CE75D4" w:rsidRDefault="00CE75D4" w:rsidP="008340C1">
      <w:pPr>
        <w:pStyle w:val="ARfinbody"/>
      </w:pPr>
      <w:r>
        <w:t>Service concession intangible assets recognised by applying AASB 1059</w:t>
      </w:r>
      <w:r w:rsidRPr="008B07DA">
        <w:rPr>
          <w:rStyle w:val="Emphasis"/>
        </w:rPr>
        <w:t xml:space="preserve"> Service Concession Arrangements: Grantors</w:t>
      </w:r>
      <w:r w:rsidRPr="008B07DA">
        <w:t xml:space="preserve"> </w:t>
      </w:r>
      <w:r>
        <w:t>are subsequently measured at fair value (current replacement cost).</w:t>
      </w:r>
    </w:p>
    <w:p w14:paraId="6D6A8B9D" w14:textId="77777777" w:rsidR="00CE75D4" w:rsidRDefault="00CE75D4" w:rsidP="008340C1">
      <w:pPr>
        <w:pStyle w:val="Heading5"/>
        <w:spacing w:before="160" w:after="60"/>
        <w:rPr>
          <w:lang w:eastAsia="en-AU"/>
        </w:rPr>
      </w:pPr>
      <w:r>
        <w:rPr>
          <w:lang w:eastAsia="en-AU"/>
        </w:rPr>
        <w:t>Impairment of intangible assets</w:t>
      </w:r>
    </w:p>
    <w:p w14:paraId="2B7AEC8A" w14:textId="77777777" w:rsidR="00CE75D4" w:rsidRPr="0040433B" w:rsidRDefault="00CE75D4" w:rsidP="008340C1">
      <w:pPr>
        <w:pStyle w:val="ARfinbody"/>
      </w:pPr>
      <w:r>
        <w:t>Intangible assets with finite useful lives are tested annually for impairment whenever an indication of impairment is identified.</w:t>
      </w:r>
      <w:bookmarkStart w:id="585" w:name="_Toc82947316"/>
      <w:bookmarkStart w:id="586" w:name="_Toc85121446"/>
      <w:r w:rsidRPr="0040433B">
        <w:br w:type="page"/>
      </w:r>
    </w:p>
    <w:p w14:paraId="25D13031" w14:textId="77777777" w:rsidR="00CE75D4" w:rsidRDefault="00CE75D4" w:rsidP="008340C1">
      <w:pPr>
        <w:pStyle w:val="Heading3"/>
      </w:pPr>
      <w:bookmarkStart w:id="587" w:name="_Toc113702964"/>
      <w:bookmarkEnd w:id="585"/>
      <w:bookmarkEnd w:id="586"/>
      <w:r>
        <w:t>6. Other assets and liabilities</w:t>
      </w:r>
      <w:bookmarkEnd w:id="587"/>
    </w:p>
    <w:p w14:paraId="65329B45" w14:textId="77777777" w:rsidR="00CE75D4" w:rsidRDefault="00CE75D4" w:rsidP="008340C1">
      <w:pPr>
        <w:pStyle w:val="Heading4"/>
        <w:rPr>
          <w:lang w:eastAsia="en-AU"/>
        </w:rPr>
      </w:pPr>
      <w:r>
        <w:rPr>
          <w:lang w:eastAsia="en-AU"/>
        </w:rPr>
        <w:t>Introduction</w:t>
      </w:r>
    </w:p>
    <w:p w14:paraId="617B8D3E" w14:textId="77777777" w:rsidR="00CE75D4" w:rsidRDefault="00CE75D4" w:rsidP="008340C1">
      <w:pPr>
        <w:pStyle w:val="ARfinbody"/>
      </w:pPr>
      <w:r>
        <w:t>This section sets out those assets and liabilities that arose from the department’s controlled operations.</w:t>
      </w:r>
    </w:p>
    <w:p w14:paraId="5BE661EF" w14:textId="77777777" w:rsidR="00CE75D4" w:rsidRDefault="00CE75D4" w:rsidP="008340C1">
      <w:pPr>
        <w:pStyle w:val="Heading4"/>
        <w:rPr>
          <w:lang w:eastAsia="en-AU"/>
        </w:rPr>
      </w:pPr>
      <w:r>
        <w:rPr>
          <w:lang w:eastAsia="en-AU"/>
        </w:rPr>
        <w:t>Structure</w:t>
      </w:r>
    </w:p>
    <w:p w14:paraId="3047E292" w14:textId="77777777" w:rsidR="00CE75D4" w:rsidRDefault="00CE75D4" w:rsidP="008340C1">
      <w:pPr>
        <w:pStyle w:val="ARfinstructure1"/>
      </w:pPr>
      <w:r>
        <w:t>6.1</w:t>
      </w:r>
      <w:r>
        <w:tab/>
        <w:t>Receivables</w:t>
      </w:r>
    </w:p>
    <w:p w14:paraId="50CBBF39" w14:textId="77777777" w:rsidR="00CE75D4" w:rsidRDefault="00CE75D4" w:rsidP="008340C1">
      <w:pPr>
        <w:pStyle w:val="ARfinstructure1"/>
      </w:pPr>
      <w:r>
        <w:t>6.2</w:t>
      </w:r>
      <w:r>
        <w:tab/>
        <w:t>Loans</w:t>
      </w:r>
    </w:p>
    <w:p w14:paraId="3373D2C9" w14:textId="77777777" w:rsidR="00CE75D4" w:rsidRDefault="00CE75D4" w:rsidP="008340C1">
      <w:pPr>
        <w:pStyle w:val="ARfinstructure2"/>
      </w:pPr>
      <w:r>
        <w:t>6.2.1</w:t>
      </w:r>
      <w:r>
        <w:tab/>
        <w:t>Ageing analysis of contractual loans</w:t>
      </w:r>
    </w:p>
    <w:p w14:paraId="7D6A4421" w14:textId="77777777" w:rsidR="00CE75D4" w:rsidRDefault="00CE75D4" w:rsidP="008340C1">
      <w:pPr>
        <w:pStyle w:val="ARfinstructure1"/>
      </w:pPr>
      <w:r>
        <w:t>6.3</w:t>
      </w:r>
      <w:r>
        <w:tab/>
        <w:t>Other non-financial assets</w:t>
      </w:r>
    </w:p>
    <w:p w14:paraId="70C4A164" w14:textId="77777777" w:rsidR="00CE75D4" w:rsidRDefault="00CE75D4" w:rsidP="008340C1">
      <w:pPr>
        <w:pStyle w:val="ARfinstructure1"/>
      </w:pPr>
      <w:r>
        <w:t>6.4</w:t>
      </w:r>
      <w:r>
        <w:tab/>
        <w:t>Payables</w:t>
      </w:r>
    </w:p>
    <w:p w14:paraId="42707FD3" w14:textId="77777777" w:rsidR="00CE75D4" w:rsidRDefault="00CE75D4" w:rsidP="008340C1">
      <w:pPr>
        <w:pStyle w:val="ARfinstructure2"/>
      </w:pPr>
      <w:r>
        <w:t>6.4.1</w:t>
      </w:r>
      <w:r>
        <w:tab/>
        <w:t>Maturity analysis of contractual payables</w:t>
      </w:r>
    </w:p>
    <w:p w14:paraId="70E49D49" w14:textId="77777777" w:rsidR="00CE75D4" w:rsidRDefault="00CE75D4" w:rsidP="008340C1">
      <w:pPr>
        <w:pStyle w:val="ARfinstructure1"/>
      </w:pPr>
      <w:r>
        <w:t>6.5</w:t>
      </w:r>
      <w:r>
        <w:tab/>
        <w:t>Other provisions</w:t>
      </w:r>
    </w:p>
    <w:p w14:paraId="0D72FF58" w14:textId="77777777" w:rsidR="00CE75D4" w:rsidRDefault="00CE75D4" w:rsidP="008340C1">
      <w:pPr>
        <w:pStyle w:val="ARfinstructure2"/>
        <w:rPr>
          <w:b/>
          <w:bCs/>
        </w:rPr>
      </w:pPr>
      <w:r>
        <w:t>6.5.1</w:t>
      </w:r>
      <w:r>
        <w:tab/>
        <w:t>Reconciliation of movements in other provisions</w:t>
      </w:r>
    </w:p>
    <w:p w14:paraId="0FBA962F" w14:textId="77777777" w:rsidR="00CE75D4" w:rsidRDefault="00CE75D4" w:rsidP="008340C1">
      <w:pPr>
        <w:pStyle w:val="ARfinstructure1"/>
      </w:pPr>
      <w:r>
        <w:t>6.6</w:t>
      </w:r>
      <w:r>
        <w:tab/>
        <w:t>Inventories</w:t>
      </w:r>
    </w:p>
    <w:p w14:paraId="042039EE" w14:textId="77777777" w:rsidR="00CE75D4" w:rsidRDefault="00CE75D4" w:rsidP="008340C1">
      <w:pPr>
        <w:pStyle w:val="ARfinstructure1"/>
      </w:pPr>
      <w:r>
        <w:t>6.7</w:t>
      </w:r>
      <w:r>
        <w:tab/>
        <w:t>Other non-financial liabilities</w:t>
      </w:r>
    </w:p>
    <w:p w14:paraId="635B236B" w14:textId="77777777" w:rsidR="00CE75D4" w:rsidRDefault="00CE75D4" w:rsidP="00130D1C">
      <w:pPr>
        <w:pStyle w:val="Heading4"/>
        <w:rPr>
          <w:lang w:eastAsia="en-AU"/>
        </w:rPr>
      </w:pPr>
      <w:bookmarkStart w:id="588" w:name="_Toc39242150"/>
      <w:bookmarkStart w:id="589" w:name="_Toc85121449"/>
      <w:r>
        <w:rPr>
          <w:lang w:eastAsia="en-AU"/>
        </w:rPr>
        <w:t>6.1 Receivables</w:t>
      </w:r>
      <w:bookmarkEnd w:id="588"/>
      <w:bookmarkEnd w:id="589"/>
    </w:p>
    <w:tbl>
      <w:tblPr>
        <w:tblStyle w:val="TableGrid"/>
        <w:tblW w:w="9637" w:type="dxa"/>
        <w:tblLayout w:type="fixed"/>
        <w:tblLook w:val="06A0" w:firstRow="1" w:lastRow="0" w:firstColumn="1" w:lastColumn="0" w:noHBand="1" w:noVBand="1"/>
      </w:tblPr>
      <w:tblGrid>
        <w:gridCol w:w="7369"/>
        <w:gridCol w:w="1134"/>
        <w:gridCol w:w="1134"/>
      </w:tblGrid>
      <w:tr w:rsidR="00CE75D4" w:rsidRPr="002029AF" w14:paraId="3BA003AA"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3A6AB669" w14:textId="77777777" w:rsidR="00CE75D4" w:rsidRPr="002029AF" w:rsidRDefault="00CE75D4" w:rsidP="008340C1">
            <w:pPr>
              <w:pStyle w:val="ARfintablecolhead"/>
            </w:pPr>
          </w:p>
        </w:tc>
        <w:tc>
          <w:tcPr>
            <w:tcW w:w="1134" w:type="dxa"/>
            <w:tcBorders>
              <w:bottom w:val="single" w:sz="4" w:space="0" w:color="auto"/>
            </w:tcBorders>
            <w:shd w:val="clear" w:color="auto" w:fill="E7E6E6"/>
            <w:hideMark/>
          </w:tcPr>
          <w:p w14:paraId="2AE49B42" w14:textId="77777777" w:rsidR="00CE75D4" w:rsidRPr="002029AF" w:rsidRDefault="00CE75D4" w:rsidP="008340C1">
            <w:pPr>
              <w:pStyle w:val="ARfintablecolheadright"/>
            </w:pPr>
            <w:r w:rsidRPr="002029AF">
              <w:t>202</w:t>
            </w:r>
            <w:r>
              <w:t>2</w:t>
            </w:r>
          </w:p>
          <w:p w14:paraId="1F2506E6" w14:textId="77777777" w:rsidR="00CE75D4" w:rsidRPr="002029AF" w:rsidRDefault="00CE75D4" w:rsidP="008340C1">
            <w:pPr>
              <w:pStyle w:val="ARfintablecolheadright"/>
            </w:pPr>
            <w:r w:rsidRPr="002029AF">
              <w:t>$M</w:t>
            </w:r>
          </w:p>
        </w:tc>
        <w:tc>
          <w:tcPr>
            <w:tcW w:w="1134" w:type="dxa"/>
            <w:tcBorders>
              <w:bottom w:val="single" w:sz="4" w:space="0" w:color="auto"/>
            </w:tcBorders>
            <w:hideMark/>
          </w:tcPr>
          <w:p w14:paraId="6A8669D0" w14:textId="77777777" w:rsidR="00CE75D4" w:rsidRPr="002029AF" w:rsidRDefault="00CE75D4" w:rsidP="008340C1">
            <w:pPr>
              <w:pStyle w:val="ARfintablecolheadright"/>
            </w:pPr>
            <w:r>
              <w:t>2021</w:t>
            </w:r>
          </w:p>
          <w:p w14:paraId="41963C9C" w14:textId="77777777" w:rsidR="00CE75D4" w:rsidRPr="002029AF" w:rsidRDefault="00CE75D4" w:rsidP="008340C1">
            <w:pPr>
              <w:pStyle w:val="ARfintablecolheadright"/>
            </w:pPr>
            <w:r w:rsidRPr="002029AF">
              <w:t>$M</w:t>
            </w:r>
          </w:p>
        </w:tc>
      </w:tr>
      <w:tr w:rsidR="00CE75D4" w:rsidRPr="002029AF" w14:paraId="5791A8E2" w14:textId="77777777" w:rsidTr="00860E95">
        <w:tc>
          <w:tcPr>
            <w:tcW w:w="9637" w:type="dxa"/>
            <w:gridSpan w:val="3"/>
            <w:tcBorders>
              <w:top w:val="single" w:sz="4" w:space="0" w:color="auto"/>
              <w:bottom w:val="single" w:sz="4" w:space="0" w:color="A6A6A6"/>
            </w:tcBorders>
            <w:hideMark/>
          </w:tcPr>
          <w:p w14:paraId="04B9662E" w14:textId="77777777" w:rsidR="00CE75D4" w:rsidRPr="002029AF" w:rsidRDefault="00CE75D4" w:rsidP="008340C1">
            <w:pPr>
              <w:pStyle w:val="ARfintablebodybold"/>
            </w:pPr>
            <w:r w:rsidRPr="00946D5E">
              <w:t>Current receivables</w:t>
            </w:r>
          </w:p>
        </w:tc>
      </w:tr>
      <w:tr w:rsidR="00CE75D4" w:rsidRPr="002029AF" w14:paraId="0E985CA1" w14:textId="77777777" w:rsidTr="00860E95">
        <w:tc>
          <w:tcPr>
            <w:tcW w:w="9637" w:type="dxa"/>
            <w:gridSpan w:val="3"/>
            <w:tcBorders>
              <w:top w:val="single" w:sz="4" w:space="0" w:color="A6A6A6"/>
              <w:bottom w:val="single" w:sz="4" w:space="0" w:color="A6A6A6"/>
            </w:tcBorders>
            <w:hideMark/>
          </w:tcPr>
          <w:p w14:paraId="0A08CC75" w14:textId="77777777" w:rsidR="00CE75D4" w:rsidRPr="00D944AA" w:rsidRDefault="00CE75D4" w:rsidP="008340C1">
            <w:pPr>
              <w:pStyle w:val="ARfintablebody"/>
              <w:rPr>
                <w:rStyle w:val="Emphasis"/>
              </w:rPr>
            </w:pPr>
            <w:r w:rsidRPr="00D944AA">
              <w:rPr>
                <w:rStyle w:val="Emphasis"/>
              </w:rPr>
              <w:t>Contractual</w:t>
            </w:r>
          </w:p>
        </w:tc>
      </w:tr>
      <w:tr w:rsidR="00CE75D4" w:rsidRPr="002029AF" w14:paraId="75EE487E" w14:textId="77777777" w:rsidTr="00860E95">
        <w:tc>
          <w:tcPr>
            <w:tcW w:w="7369" w:type="dxa"/>
            <w:tcBorders>
              <w:top w:val="single" w:sz="4" w:space="0" w:color="A6A6A6"/>
              <w:bottom w:val="single" w:sz="4" w:space="0" w:color="A6A6A6"/>
            </w:tcBorders>
            <w:hideMark/>
          </w:tcPr>
          <w:p w14:paraId="062641D7" w14:textId="77777777" w:rsidR="00CE75D4" w:rsidRPr="002029AF" w:rsidRDefault="00CE75D4" w:rsidP="008340C1">
            <w:pPr>
              <w:pStyle w:val="ARfintablebody"/>
            </w:pPr>
            <w:r w:rsidRPr="00946D5E">
              <w:t>Tenants in arrears</w:t>
            </w:r>
          </w:p>
        </w:tc>
        <w:tc>
          <w:tcPr>
            <w:tcW w:w="1134" w:type="dxa"/>
            <w:tcBorders>
              <w:top w:val="single" w:sz="4" w:space="0" w:color="A6A6A6"/>
              <w:bottom w:val="single" w:sz="4" w:space="0" w:color="A6A6A6"/>
            </w:tcBorders>
            <w:shd w:val="clear" w:color="auto" w:fill="E7E6E6"/>
            <w:noWrap/>
            <w:hideMark/>
          </w:tcPr>
          <w:p w14:paraId="04B8952C"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383F7813" w14:textId="77777777" w:rsidR="00CE75D4" w:rsidRPr="002029AF" w:rsidRDefault="00CE75D4" w:rsidP="008340C1">
            <w:pPr>
              <w:pStyle w:val="ARfintablebodyright"/>
            </w:pPr>
            <w:r w:rsidRPr="00946D5E">
              <w:t>12.3</w:t>
            </w:r>
          </w:p>
        </w:tc>
      </w:tr>
      <w:tr w:rsidR="00CE75D4" w:rsidRPr="002029AF" w14:paraId="07D888C0" w14:textId="77777777" w:rsidTr="00860E95">
        <w:tc>
          <w:tcPr>
            <w:tcW w:w="7369" w:type="dxa"/>
            <w:tcBorders>
              <w:top w:val="single" w:sz="4" w:space="0" w:color="A6A6A6"/>
              <w:bottom w:val="single" w:sz="4" w:space="0" w:color="A6A6A6"/>
            </w:tcBorders>
            <w:hideMark/>
          </w:tcPr>
          <w:p w14:paraId="515FF093" w14:textId="77777777" w:rsidR="00CE75D4" w:rsidRPr="002029AF" w:rsidRDefault="00CE75D4" w:rsidP="008340C1">
            <w:pPr>
              <w:pStyle w:val="ARfintablebody"/>
            </w:pPr>
            <w:r w:rsidRPr="00946D5E">
              <w:t xml:space="preserve">Other receivables </w:t>
            </w:r>
            <w:r w:rsidRPr="00614F04">
              <w:rPr>
                <w:rStyle w:val="Superscript"/>
              </w:rPr>
              <w:t>(i)</w:t>
            </w:r>
          </w:p>
        </w:tc>
        <w:tc>
          <w:tcPr>
            <w:tcW w:w="1134" w:type="dxa"/>
            <w:tcBorders>
              <w:top w:val="single" w:sz="4" w:space="0" w:color="A6A6A6"/>
              <w:bottom w:val="single" w:sz="4" w:space="0" w:color="A6A6A6"/>
            </w:tcBorders>
            <w:shd w:val="clear" w:color="auto" w:fill="E7E6E6"/>
            <w:noWrap/>
            <w:hideMark/>
          </w:tcPr>
          <w:p w14:paraId="689D1955" w14:textId="77777777" w:rsidR="00CE75D4" w:rsidRPr="002029AF" w:rsidRDefault="00CE75D4" w:rsidP="008340C1">
            <w:pPr>
              <w:pStyle w:val="ARfintablebodyright"/>
            </w:pPr>
            <w:r w:rsidRPr="00946D5E">
              <w:t>1,147.5</w:t>
            </w:r>
          </w:p>
        </w:tc>
        <w:tc>
          <w:tcPr>
            <w:tcW w:w="1134" w:type="dxa"/>
            <w:tcBorders>
              <w:top w:val="single" w:sz="4" w:space="0" w:color="A6A6A6"/>
              <w:bottom w:val="single" w:sz="4" w:space="0" w:color="A6A6A6"/>
            </w:tcBorders>
            <w:noWrap/>
            <w:hideMark/>
          </w:tcPr>
          <w:p w14:paraId="6DE1BB3A" w14:textId="77777777" w:rsidR="00CE75D4" w:rsidRPr="002029AF" w:rsidRDefault="00CE75D4" w:rsidP="008340C1">
            <w:pPr>
              <w:pStyle w:val="ARfintablebodyright"/>
            </w:pPr>
            <w:r w:rsidRPr="00946D5E">
              <w:t>357.3</w:t>
            </w:r>
          </w:p>
        </w:tc>
      </w:tr>
      <w:tr w:rsidR="00CE75D4" w:rsidRPr="002029AF" w14:paraId="4E6F782F" w14:textId="77777777" w:rsidTr="00860E95">
        <w:tc>
          <w:tcPr>
            <w:tcW w:w="7369" w:type="dxa"/>
            <w:tcBorders>
              <w:top w:val="single" w:sz="4" w:space="0" w:color="A6A6A6"/>
              <w:bottom w:val="single" w:sz="4" w:space="0" w:color="auto"/>
            </w:tcBorders>
            <w:hideMark/>
          </w:tcPr>
          <w:p w14:paraId="1902D7CA" w14:textId="77777777" w:rsidR="00CE75D4" w:rsidRPr="00D944AA" w:rsidRDefault="00CE75D4" w:rsidP="008340C1">
            <w:pPr>
              <w:pStyle w:val="ARfintablebody"/>
              <w:rPr>
                <w:rStyle w:val="Emphasis"/>
              </w:rPr>
            </w:pPr>
            <w:r w:rsidRPr="00D944AA">
              <w:rPr>
                <w:rStyle w:val="Emphasis"/>
              </w:rPr>
              <w:t>Less allowance for impairment losses of contractual receivables</w:t>
            </w:r>
          </w:p>
        </w:tc>
        <w:tc>
          <w:tcPr>
            <w:tcW w:w="1134" w:type="dxa"/>
            <w:tcBorders>
              <w:top w:val="single" w:sz="4" w:space="0" w:color="A6A6A6"/>
              <w:bottom w:val="single" w:sz="4" w:space="0" w:color="auto"/>
            </w:tcBorders>
            <w:shd w:val="clear" w:color="auto" w:fill="E7E6E6"/>
            <w:noWrap/>
            <w:hideMark/>
          </w:tcPr>
          <w:p w14:paraId="1D1D100A" w14:textId="77777777" w:rsidR="00CE75D4" w:rsidRPr="002029AF" w:rsidRDefault="00CE75D4" w:rsidP="008340C1">
            <w:pPr>
              <w:pStyle w:val="ARfintablebodyright"/>
            </w:pPr>
            <w:r w:rsidRPr="00946D5E">
              <w:t>(20.1)</w:t>
            </w:r>
          </w:p>
        </w:tc>
        <w:tc>
          <w:tcPr>
            <w:tcW w:w="1134" w:type="dxa"/>
            <w:tcBorders>
              <w:top w:val="single" w:sz="4" w:space="0" w:color="A6A6A6"/>
              <w:bottom w:val="single" w:sz="4" w:space="0" w:color="auto"/>
            </w:tcBorders>
            <w:noWrap/>
            <w:hideMark/>
          </w:tcPr>
          <w:p w14:paraId="7EFD1730" w14:textId="77777777" w:rsidR="00CE75D4" w:rsidRPr="002029AF" w:rsidRDefault="00CE75D4" w:rsidP="008340C1">
            <w:pPr>
              <w:pStyle w:val="ARfintablebodyright"/>
            </w:pPr>
            <w:r w:rsidRPr="00946D5E">
              <w:t>(27.7)</w:t>
            </w:r>
          </w:p>
        </w:tc>
      </w:tr>
      <w:tr w:rsidR="00CE75D4" w:rsidRPr="002029AF" w14:paraId="3FF670DA" w14:textId="77777777" w:rsidTr="00860E95">
        <w:tc>
          <w:tcPr>
            <w:tcW w:w="7369" w:type="dxa"/>
            <w:tcBorders>
              <w:top w:val="single" w:sz="4" w:space="0" w:color="auto"/>
              <w:bottom w:val="single" w:sz="4" w:space="0" w:color="A6A6A6"/>
            </w:tcBorders>
            <w:hideMark/>
          </w:tcPr>
          <w:p w14:paraId="2562848F" w14:textId="77777777" w:rsidR="00CE75D4" w:rsidRPr="002029AF" w:rsidRDefault="00CE75D4" w:rsidP="008340C1">
            <w:pPr>
              <w:pStyle w:val="ARfintablebody"/>
            </w:pPr>
          </w:p>
        </w:tc>
        <w:tc>
          <w:tcPr>
            <w:tcW w:w="1134" w:type="dxa"/>
            <w:tcBorders>
              <w:top w:val="single" w:sz="4" w:space="0" w:color="auto"/>
              <w:bottom w:val="single" w:sz="4" w:space="0" w:color="A6A6A6"/>
            </w:tcBorders>
            <w:shd w:val="clear" w:color="auto" w:fill="E7E6E6"/>
            <w:noWrap/>
            <w:hideMark/>
          </w:tcPr>
          <w:p w14:paraId="4F84217D" w14:textId="77777777" w:rsidR="00CE75D4" w:rsidRPr="002029AF" w:rsidRDefault="00CE75D4" w:rsidP="008340C1">
            <w:pPr>
              <w:pStyle w:val="ARfintablebodyrightbold"/>
            </w:pPr>
            <w:r w:rsidRPr="00946D5E">
              <w:t>1,127.4</w:t>
            </w:r>
          </w:p>
        </w:tc>
        <w:tc>
          <w:tcPr>
            <w:tcW w:w="1134" w:type="dxa"/>
            <w:tcBorders>
              <w:top w:val="single" w:sz="4" w:space="0" w:color="auto"/>
              <w:bottom w:val="single" w:sz="4" w:space="0" w:color="A6A6A6"/>
            </w:tcBorders>
            <w:noWrap/>
            <w:hideMark/>
          </w:tcPr>
          <w:p w14:paraId="1B059373" w14:textId="77777777" w:rsidR="00CE75D4" w:rsidRPr="002029AF" w:rsidRDefault="00CE75D4" w:rsidP="008340C1">
            <w:pPr>
              <w:pStyle w:val="ARfintablebodyrightbold"/>
            </w:pPr>
            <w:r w:rsidRPr="00946D5E">
              <w:t>341.9</w:t>
            </w:r>
          </w:p>
        </w:tc>
      </w:tr>
      <w:tr w:rsidR="00CE75D4" w:rsidRPr="002029AF" w14:paraId="77101A17" w14:textId="77777777" w:rsidTr="00860E95">
        <w:tc>
          <w:tcPr>
            <w:tcW w:w="9637" w:type="dxa"/>
            <w:gridSpan w:val="3"/>
            <w:tcBorders>
              <w:top w:val="single" w:sz="4" w:space="0" w:color="A6A6A6"/>
              <w:bottom w:val="single" w:sz="4" w:space="0" w:color="A6A6A6"/>
            </w:tcBorders>
            <w:hideMark/>
          </w:tcPr>
          <w:p w14:paraId="6C543F5F" w14:textId="77777777" w:rsidR="00CE75D4" w:rsidRPr="00D944AA" w:rsidRDefault="00CE75D4" w:rsidP="008340C1">
            <w:pPr>
              <w:pStyle w:val="ARfintablebody"/>
              <w:rPr>
                <w:rStyle w:val="Emphasis"/>
              </w:rPr>
            </w:pPr>
            <w:r w:rsidRPr="00D944AA">
              <w:rPr>
                <w:rStyle w:val="Emphasis"/>
              </w:rPr>
              <w:t>Statutory</w:t>
            </w:r>
          </w:p>
        </w:tc>
      </w:tr>
      <w:tr w:rsidR="00CE75D4" w:rsidRPr="002029AF" w14:paraId="48C82551" w14:textId="77777777" w:rsidTr="00860E95">
        <w:tc>
          <w:tcPr>
            <w:tcW w:w="7369" w:type="dxa"/>
            <w:tcBorders>
              <w:top w:val="single" w:sz="4" w:space="0" w:color="A6A6A6"/>
              <w:bottom w:val="single" w:sz="4" w:space="0" w:color="A6A6A6"/>
            </w:tcBorders>
            <w:hideMark/>
          </w:tcPr>
          <w:p w14:paraId="3FC5EADA" w14:textId="77777777" w:rsidR="00CE75D4" w:rsidRPr="002029AF" w:rsidRDefault="00CE75D4" w:rsidP="008340C1">
            <w:pPr>
              <w:pStyle w:val="ARfintablebody"/>
            </w:pPr>
            <w:r w:rsidRPr="00946D5E">
              <w:t>Amounts owing from Victorian Government</w:t>
            </w:r>
          </w:p>
        </w:tc>
        <w:tc>
          <w:tcPr>
            <w:tcW w:w="1134" w:type="dxa"/>
            <w:tcBorders>
              <w:top w:val="single" w:sz="4" w:space="0" w:color="A6A6A6"/>
              <w:bottom w:val="single" w:sz="4" w:space="0" w:color="A6A6A6"/>
            </w:tcBorders>
            <w:shd w:val="clear" w:color="auto" w:fill="E7E6E6"/>
            <w:noWrap/>
            <w:hideMark/>
          </w:tcPr>
          <w:p w14:paraId="26CF88D6" w14:textId="77777777" w:rsidR="00CE75D4" w:rsidRPr="002029AF" w:rsidRDefault="00CE75D4" w:rsidP="008340C1">
            <w:pPr>
              <w:pStyle w:val="ARfintablebodyright"/>
            </w:pPr>
            <w:r>
              <w:t>823.2</w:t>
            </w:r>
          </w:p>
        </w:tc>
        <w:tc>
          <w:tcPr>
            <w:tcW w:w="1134" w:type="dxa"/>
            <w:tcBorders>
              <w:top w:val="single" w:sz="4" w:space="0" w:color="A6A6A6"/>
              <w:bottom w:val="single" w:sz="4" w:space="0" w:color="A6A6A6"/>
            </w:tcBorders>
            <w:noWrap/>
            <w:hideMark/>
          </w:tcPr>
          <w:p w14:paraId="02C132D7" w14:textId="77777777" w:rsidR="00CE75D4" w:rsidRPr="002029AF" w:rsidRDefault="00CE75D4" w:rsidP="008340C1">
            <w:pPr>
              <w:pStyle w:val="ARfintablebodyright"/>
            </w:pPr>
            <w:r w:rsidRPr="00946D5E">
              <w:t>1,634.4</w:t>
            </w:r>
          </w:p>
        </w:tc>
      </w:tr>
      <w:tr w:rsidR="00CE75D4" w:rsidRPr="002029AF" w14:paraId="2FDE8844" w14:textId="77777777" w:rsidTr="00860E95">
        <w:tc>
          <w:tcPr>
            <w:tcW w:w="7369" w:type="dxa"/>
            <w:tcBorders>
              <w:top w:val="single" w:sz="4" w:space="0" w:color="A6A6A6"/>
            </w:tcBorders>
            <w:hideMark/>
          </w:tcPr>
          <w:p w14:paraId="414C6BA5" w14:textId="77777777" w:rsidR="00CE75D4" w:rsidRPr="002029AF" w:rsidRDefault="00CE75D4" w:rsidP="008340C1">
            <w:pPr>
              <w:pStyle w:val="ARfintablebody"/>
            </w:pPr>
            <w:r w:rsidRPr="00946D5E">
              <w:t>GST input tax credit recoverable</w:t>
            </w:r>
          </w:p>
        </w:tc>
        <w:tc>
          <w:tcPr>
            <w:tcW w:w="1134" w:type="dxa"/>
            <w:tcBorders>
              <w:top w:val="single" w:sz="4" w:space="0" w:color="A6A6A6"/>
            </w:tcBorders>
            <w:shd w:val="clear" w:color="auto" w:fill="E7E6E6"/>
            <w:noWrap/>
            <w:hideMark/>
          </w:tcPr>
          <w:p w14:paraId="2BCA73E8" w14:textId="77777777" w:rsidR="00CE75D4" w:rsidRPr="002029AF" w:rsidRDefault="00CE75D4" w:rsidP="008340C1">
            <w:pPr>
              <w:pStyle w:val="ARfintablebodyright"/>
            </w:pPr>
            <w:r w:rsidRPr="00946D5E">
              <w:t>26.7</w:t>
            </w:r>
          </w:p>
        </w:tc>
        <w:tc>
          <w:tcPr>
            <w:tcW w:w="1134" w:type="dxa"/>
            <w:tcBorders>
              <w:top w:val="single" w:sz="4" w:space="0" w:color="A6A6A6"/>
            </w:tcBorders>
            <w:noWrap/>
            <w:hideMark/>
          </w:tcPr>
          <w:p w14:paraId="10CD5264" w14:textId="77777777" w:rsidR="00CE75D4" w:rsidRPr="002029AF" w:rsidRDefault="00CE75D4" w:rsidP="008340C1">
            <w:pPr>
              <w:pStyle w:val="ARfintablebodyright"/>
            </w:pPr>
            <w:r w:rsidRPr="00946D5E">
              <w:t>50.4</w:t>
            </w:r>
          </w:p>
        </w:tc>
      </w:tr>
      <w:tr w:rsidR="00CE75D4" w:rsidRPr="002029AF" w14:paraId="27FA0018" w14:textId="77777777" w:rsidTr="00860E95">
        <w:tc>
          <w:tcPr>
            <w:tcW w:w="7369" w:type="dxa"/>
            <w:hideMark/>
          </w:tcPr>
          <w:p w14:paraId="071E6C8D" w14:textId="77777777" w:rsidR="00CE75D4" w:rsidRPr="002029AF" w:rsidRDefault="00CE75D4" w:rsidP="008340C1">
            <w:pPr>
              <w:pStyle w:val="ARfintablebody"/>
            </w:pPr>
          </w:p>
        </w:tc>
        <w:tc>
          <w:tcPr>
            <w:tcW w:w="1134" w:type="dxa"/>
            <w:shd w:val="clear" w:color="auto" w:fill="E7E6E6"/>
            <w:noWrap/>
            <w:hideMark/>
          </w:tcPr>
          <w:p w14:paraId="35371A84" w14:textId="77777777" w:rsidR="00CE75D4" w:rsidRPr="002029AF" w:rsidRDefault="00CE75D4" w:rsidP="008340C1">
            <w:pPr>
              <w:pStyle w:val="ARfintablebodyrightbold"/>
            </w:pPr>
            <w:r>
              <w:t>849.9</w:t>
            </w:r>
          </w:p>
        </w:tc>
        <w:tc>
          <w:tcPr>
            <w:tcW w:w="1134" w:type="dxa"/>
            <w:noWrap/>
            <w:hideMark/>
          </w:tcPr>
          <w:p w14:paraId="1E0103C3" w14:textId="77777777" w:rsidR="00CE75D4" w:rsidRPr="002029AF" w:rsidRDefault="00CE75D4" w:rsidP="008340C1">
            <w:pPr>
              <w:pStyle w:val="ARfintablebodyrightbold"/>
            </w:pPr>
            <w:r w:rsidRPr="00946D5E">
              <w:t>1,684.8</w:t>
            </w:r>
          </w:p>
        </w:tc>
      </w:tr>
      <w:tr w:rsidR="00CE75D4" w:rsidRPr="002029AF" w14:paraId="68626DF5" w14:textId="77777777" w:rsidTr="00860E95">
        <w:tc>
          <w:tcPr>
            <w:tcW w:w="7369" w:type="dxa"/>
            <w:tcBorders>
              <w:bottom w:val="single" w:sz="4" w:space="0" w:color="auto"/>
            </w:tcBorders>
            <w:hideMark/>
          </w:tcPr>
          <w:p w14:paraId="3CE271A9" w14:textId="77777777" w:rsidR="00CE75D4" w:rsidRPr="002029AF" w:rsidRDefault="00CE75D4" w:rsidP="008340C1">
            <w:pPr>
              <w:pStyle w:val="ARfintablebodybold"/>
            </w:pPr>
            <w:r w:rsidRPr="00946D5E">
              <w:t>Total current receivables</w:t>
            </w:r>
          </w:p>
        </w:tc>
        <w:tc>
          <w:tcPr>
            <w:tcW w:w="1134" w:type="dxa"/>
            <w:tcBorders>
              <w:bottom w:val="single" w:sz="4" w:space="0" w:color="auto"/>
            </w:tcBorders>
            <w:shd w:val="clear" w:color="auto" w:fill="E7E6E6"/>
            <w:noWrap/>
            <w:hideMark/>
          </w:tcPr>
          <w:p w14:paraId="562F2B2C" w14:textId="77777777" w:rsidR="00CE75D4" w:rsidRPr="002029AF" w:rsidRDefault="00CE75D4" w:rsidP="008340C1">
            <w:pPr>
              <w:pStyle w:val="ARfintablebodyrightbold"/>
            </w:pPr>
            <w:r>
              <w:t>1,977.3</w:t>
            </w:r>
          </w:p>
        </w:tc>
        <w:tc>
          <w:tcPr>
            <w:tcW w:w="1134" w:type="dxa"/>
            <w:tcBorders>
              <w:bottom w:val="single" w:sz="4" w:space="0" w:color="auto"/>
            </w:tcBorders>
            <w:noWrap/>
            <w:hideMark/>
          </w:tcPr>
          <w:p w14:paraId="6A981B76" w14:textId="77777777" w:rsidR="00CE75D4" w:rsidRPr="002029AF" w:rsidRDefault="00CE75D4" w:rsidP="008340C1">
            <w:pPr>
              <w:pStyle w:val="ARfintablebodyrightbold"/>
            </w:pPr>
            <w:r w:rsidRPr="00946D5E">
              <w:t>2,026.7</w:t>
            </w:r>
          </w:p>
        </w:tc>
      </w:tr>
      <w:tr w:rsidR="00CE75D4" w:rsidRPr="002029AF" w14:paraId="4E87E483" w14:textId="77777777" w:rsidTr="00860E95">
        <w:tc>
          <w:tcPr>
            <w:tcW w:w="9637" w:type="dxa"/>
            <w:gridSpan w:val="3"/>
            <w:tcBorders>
              <w:top w:val="single" w:sz="4" w:space="0" w:color="auto"/>
              <w:bottom w:val="single" w:sz="4" w:space="0" w:color="A6A6A6"/>
            </w:tcBorders>
            <w:hideMark/>
          </w:tcPr>
          <w:p w14:paraId="23214605" w14:textId="77777777" w:rsidR="00CE75D4" w:rsidRPr="002029AF" w:rsidRDefault="00CE75D4" w:rsidP="008340C1">
            <w:pPr>
              <w:pStyle w:val="ARfintablebodybold"/>
            </w:pPr>
            <w:r w:rsidRPr="00946D5E">
              <w:t>Non-current receivables</w:t>
            </w:r>
          </w:p>
        </w:tc>
      </w:tr>
      <w:tr w:rsidR="00CE75D4" w:rsidRPr="002029AF" w14:paraId="63A1990F" w14:textId="77777777" w:rsidTr="00860E95">
        <w:tc>
          <w:tcPr>
            <w:tcW w:w="9637" w:type="dxa"/>
            <w:gridSpan w:val="3"/>
            <w:tcBorders>
              <w:top w:val="single" w:sz="4" w:space="0" w:color="A6A6A6"/>
              <w:bottom w:val="single" w:sz="4" w:space="0" w:color="A6A6A6"/>
            </w:tcBorders>
            <w:hideMark/>
          </w:tcPr>
          <w:p w14:paraId="4E56665B" w14:textId="77777777" w:rsidR="00CE75D4" w:rsidRPr="00D944AA" w:rsidRDefault="00CE75D4" w:rsidP="008340C1">
            <w:pPr>
              <w:pStyle w:val="ARfintablebody"/>
              <w:rPr>
                <w:rStyle w:val="Emphasis"/>
              </w:rPr>
            </w:pPr>
            <w:r w:rsidRPr="00D944AA">
              <w:rPr>
                <w:rStyle w:val="Emphasis"/>
              </w:rPr>
              <w:t>Statutory</w:t>
            </w:r>
          </w:p>
        </w:tc>
      </w:tr>
      <w:tr w:rsidR="00CE75D4" w:rsidRPr="002029AF" w14:paraId="3A983F36" w14:textId="77777777" w:rsidTr="00860E95">
        <w:tc>
          <w:tcPr>
            <w:tcW w:w="7369" w:type="dxa"/>
            <w:tcBorders>
              <w:top w:val="single" w:sz="4" w:space="0" w:color="A6A6A6"/>
            </w:tcBorders>
            <w:hideMark/>
          </w:tcPr>
          <w:p w14:paraId="4979B2C9" w14:textId="77777777" w:rsidR="00CE75D4" w:rsidRPr="002029AF" w:rsidRDefault="00CE75D4" w:rsidP="008340C1">
            <w:pPr>
              <w:pStyle w:val="ARfintablebody"/>
            </w:pPr>
            <w:r w:rsidRPr="00946D5E">
              <w:t>Amounts owing from Victorian Government</w:t>
            </w:r>
          </w:p>
        </w:tc>
        <w:tc>
          <w:tcPr>
            <w:tcW w:w="1134" w:type="dxa"/>
            <w:tcBorders>
              <w:top w:val="single" w:sz="4" w:space="0" w:color="A6A6A6"/>
            </w:tcBorders>
            <w:shd w:val="clear" w:color="auto" w:fill="E7E6E6"/>
            <w:noWrap/>
            <w:hideMark/>
          </w:tcPr>
          <w:p w14:paraId="5CCC96CB" w14:textId="77777777" w:rsidR="00CE75D4" w:rsidRPr="002029AF" w:rsidRDefault="00CE75D4" w:rsidP="008340C1">
            <w:pPr>
              <w:pStyle w:val="ARfintablebodyright"/>
            </w:pPr>
            <w:r w:rsidRPr="00946D5E">
              <w:t>2,</w:t>
            </w:r>
            <w:r>
              <w:t>438.9</w:t>
            </w:r>
          </w:p>
        </w:tc>
        <w:tc>
          <w:tcPr>
            <w:tcW w:w="1134" w:type="dxa"/>
            <w:tcBorders>
              <w:top w:val="single" w:sz="4" w:space="0" w:color="A6A6A6"/>
            </w:tcBorders>
            <w:noWrap/>
            <w:hideMark/>
          </w:tcPr>
          <w:p w14:paraId="2FC1D86B" w14:textId="77777777" w:rsidR="00CE75D4" w:rsidRPr="002029AF" w:rsidRDefault="00CE75D4" w:rsidP="008340C1">
            <w:pPr>
              <w:pStyle w:val="ARfintablebodyright"/>
            </w:pPr>
            <w:r w:rsidRPr="00946D5E">
              <w:t>2,627.5</w:t>
            </w:r>
          </w:p>
        </w:tc>
      </w:tr>
      <w:tr w:rsidR="00CE75D4" w:rsidRPr="002029AF" w14:paraId="0460D6F1" w14:textId="77777777" w:rsidTr="00860E95">
        <w:tc>
          <w:tcPr>
            <w:tcW w:w="7369" w:type="dxa"/>
            <w:hideMark/>
          </w:tcPr>
          <w:p w14:paraId="7DBDD940" w14:textId="77777777" w:rsidR="00CE75D4" w:rsidRPr="002029AF" w:rsidRDefault="00CE75D4" w:rsidP="008340C1">
            <w:pPr>
              <w:pStyle w:val="ARfintablebody"/>
            </w:pPr>
          </w:p>
        </w:tc>
        <w:tc>
          <w:tcPr>
            <w:tcW w:w="1134" w:type="dxa"/>
            <w:shd w:val="clear" w:color="auto" w:fill="E7E6E6"/>
            <w:noWrap/>
            <w:hideMark/>
          </w:tcPr>
          <w:p w14:paraId="774455E5" w14:textId="77777777" w:rsidR="00CE75D4" w:rsidRPr="002029AF" w:rsidRDefault="00CE75D4" w:rsidP="008340C1">
            <w:pPr>
              <w:pStyle w:val="ARfintablebodyrightbold"/>
            </w:pPr>
            <w:r w:rsidRPr="00946D5E">
              <w:t>2,</w:t>
            </w:r>
            <w:r>
              <w:t>438.9</w:t>
            </w:r>
          </w:p>
        </w:tc>
        <w:tc>
          <w:tcPr>
            <w:tcW w:w="1134" w:type="dxa"/>
            <w:noWrap/>
            <w:hideMark/>
          </w:tcPr>
          <w:p w14:paraId="13A036BE" w14:textId="77777777" w:rsidR="00CE75D4" w:rsidRPr="002029AF" w:rsidRDefault="00CE75D4" w:rsidP="008340C1">
            <w:pPr>
              <w:pStyle w:val="ARfintablebodyrightbold"/>
            </w:pPr>
            <w:r w:rsidRPr="00946D5E">
              <w:t>2,627.5</w:t>
            </w:r>
          </w:p>
        </w:tc>
      </w:tr>
      <w:tr w:rsidR="00CE75D4" w:rsidRPr="002029AF" w14:paraId="011EC875" w14:textId="77777777" w:rsidTr="00860E95">
        <w:tc>
          <w:tcPr>
            <w:tcW w:w="7369" w:type="dxa"/>
            <w:hideMark/>
          </w:tcPr>
          <w:p w14:paraId="12228CB5" w14:textId="77777777" w:rsidR="00CE75D4" w:rsidRPr="002029AF" w:rsidRDefault="00CE75D4" w:rsidP="008340C1">
            <w:pPr>
              <w:pStyle w:val="ARfintablebodybold"/>
            </w:pPr>
            <w:r w:rsidRPr="00946D5E">
              <w:t>Total non-current receivables</w:t>
            </w:r>
          </w:p>
        </w:tc>
        <w:tc>
          <w:tcPr>
            <w:tcW w:w="1134" w:type="dxa"/>
            <w:shd w:val="clear" w:color="auto" w:fill="E7E6E6"/>
            <w:noWrap/>
            <w:hideMark/>
          </w:tcPr>
          <w:p w14:paraId="527CB539" w14:textId="77777777" w:rsidR="00CE75D4" w:rsidRPr="002029AF" w:rsidRDefault="00CE75D4" w:rsidP="008340C1">
            <w:pPr>
              <w:pStyle w:val="ARfintablebodyrightbold"/>
            </w:pPr>
            <w:r w:rsidRPr="00946D5E">
              <w:t>2,</w:t>
            </w:r>
            <w:r>
              <w:t>438.9</w:t>
            </w:r>
          </w:p>
        </w:tc>
        <w:tc>
          <w:tcPr>
            <w:tcW w:w="1134" w:type="dxa"/>
            <w:noWrap/>
            <w:hideMark/>
          </w:tcPr>
          <w:p w14:paraId="154131C3" w14:textId="77777777" w:rsidR="00CE75D4" w:rsidRPr="002029AF" w:rsidRDefault="00CE75D4" w:rsidP="008340C1">
            <w:pPr>
              <w:pStyle w:val="ARfintablebodyrightbold"/>
            </w:pPr>
            <w:r w:rsidRPr="00946D5E">
              <w:t>2,627.5</w:t>
            </w:r>
          </w:p>
        </w:tc>
      </w:tr>
      <w:tr w:rsidR="00CE75D4" w:rsidRPr="002029AF" w14:paraId="0E3C5D8E" w14:textId="77777777" w:rsidTr="00860E95">
        <w:tc>
          <w:tcPr>
            <w:tcW w:w="7369" w:type="dxa"/>
            <w:hideMark/>
          </w:tcPr>
          <w:p w14:paraId="14FCCFFA" w14:textId="77777777" w:rsidR="00CE75D4" w:rsidRPr="002029AF" w:rsidRDefault="00CE75D4" w:rsidP="008340C1">
            <w:pPr>
              <w:pStyle w:val="ARfintablebodybold"/>
            </w:pPr>
            <w:r w:rsidRPr="00946D5E">
              <w:t>Total receivables</w:t>
            </w:r>
          </w:p>
        </w:tc>
        <w:tc>
          <w:tcPr>
            <w:tcW w:w="1134" w:type="dxa"/>
            <w:shd w:val="clear" w:color="auto" w:fill="E7E6E6"/>
            <w:noWrap/>
            <w:hideMark/>
          </w:tcPr>
          <w:p w14:paraId="41C36863" w14:textId="77777777" w:rsidR="00CE75D4" w:rsidRPr="002029AF" w:rsidRDefault="00CE75D4" w:rsidP="008340C1">
            <w:pPr>
              <w:pStyle w:val="ARfintablebodyrightbold"/>
            </w:pPr>
            <w:r w:rsidRPr="00946D5E">
              <w:t>4,416.2</w:t>
            </w:r>
          </w:p>
        </w:tc>
        <w:tc>
          <w:tcPr>
            <w:tcW w:w="1134" w:type="dxa"/>
            <w:noWrap/>
            <w:hideMark/>
          </w:tcPr>
          <w:p w14:paraId="008876A6" w14:textId="77777777" w:rsidR="00CE75D4" w:rsidRPr="002029AF" w:rsidRDefault="00CE75D4" w:rsidP="008340C1">
            <w:pPr>
              <w:pStyle w:val="ARfintablebodyrightbold"/>
            </w:pPr>
            <w:r w:rsidRPr="00946D5E">
              <w:t>4,654.2</w:t>
            </w:r>
          </w:p>
        </w:tc>
      </w:tr>
    </w:tbl>
    <w:p w14:paraId="3CDDBA3F" w14:textId="77777777" w:rsidR="00CE75D4" w:rsidRDefault="00CE75D4" w:rsidP="008340C1">
      <w:pPr>
        <w:pStyle w:val="ARfintablefootnote"/>
      </w:pPr>
      <w:r>
        <w:rPr>
          <w:lang w:eastAsia="en-AU"/>
        </w:rPr>
        <w:t>Note:</w:t>
      </w:r>
    </w:p>
    <w:p w14:paraId="213EE7EE" w14:textId="58DF0455" w:rsidR="00CE75D4" w:rsidRDefault="00CE75D4" w:rsidP="008340C1">
      <w:pPr>
        <w:pStyle w:val="ARfintablefootnoteindent"/>
      </w:pPr>
      <w:r>
        <w:t>(i)</w:t>
      </w:r>
      <w:r>
        <w:tab/>
        <w:t xml:space="preserve">The increase in 2022 is due to the </w:t>
      </w:r>
      <w:r w:rsidRPr="005005A8">
        <w:t xml:space="preserve">funding receivable from the Victorian State Pool Account to the state for services </w:t>
      </w:r>
      <w:r w:rsidR="00D62AAC">
        <w:t xml:space="preserve">relating to the </w:t>
      </w:r>
      <w:r w:rsidRPr="005005A8">
        <w:t>COVID-19 response</w:t>
      </w:r>
      <w:r w:rsidRPr="007A5D76">
        <w:t xml:space="preserve">, reimbursement of shared service costs from the DFFH, recall of mental health </w:t>
      </w:r>
      <w:r>
        <w:t xml:space="preserve">service </w:t>
      </w:r>
      <w:r w:rsidRPr="007A5D76">
        <w:t>payments, and payments for</w:t>
      </w:r>
      <w:r>
        <w:t xml:space="preserve"> personal</w:t>
      </w:r>
      <w:r w:rsidRPr="007A5D76">
        <w:t xml:space="preserve"> protective equipment and rapid antigen test kits for distribution by Monash</w:t>
      </w:r>
      <w:r>
        <w:t xml:space="preserve"> Health.</w:t>
      </w:r>
    </w:p>
    <w:p w14:paraId="055459F3" w14:textId="3E8F22EC" w:rsidR="00CE75D4" w:rsidRDefault="00CE75D4" w:rsidP="008340C1">
      <w:pPr>
        <w:pStyle w:val="ARfinbodyaftertable"/>
      </w:pPr>
      <w:r>
        <w:rPr>
          <w:rStyle w:val="Strong"/>
        </w:rPr>
        <w:t>Contractual receivables</w:t>
      </w:r>
      <w:r>
        <w:t xml:space="preserve"> are classified as financial instruments and categorised as ‘financial assets at amortised costs’. They are initially recognised at fair value plus any directly attributable transaction costs. The department holds the contractual receivables with the objective to collect the contractual cash flows and therefore subsequent to initial measurement they are measured at amortised cost using the effective interest method, less any impairment.</w:t>
      </w:r>
    </w:p>
    <w:p w14:paraId="100B7381" w14:textId="77777777" w:rsidR="00CE75D4" w:rsidRDefault="00CE75D4" w:rsidP="008340C1">
      <w:pPr>
        <w:pStyle w:val="ARfinbody"/>
      </w:pPr>
      <w:r>
        <w:rPr>
          <w:rStyle w:val="Strong"/>
        </w:rPr>
        <w:t>Statutory receivables</w:t>
      </w:r>
      <w:r>
        <w:t xml:space="preserve"> do not arise from contracts and are recognised and measured similarly to contractual receivables (except for impairment), but are not classified as financial instruments for disclosure purposes. The department applies AASB 9 </w:t>
      </w:r>
      <w:r w:rsidRPr="000B7FFA">
        <w:rPr>
          <w:rStyle w:val="Emphasis"/>
        </w:rPr>
        <w:t>Financial Instruments</w:t>
      </w:r>
      <w:r>
        <w:t xml:space="preserve"> for initial measurement of the statutory receivables and, as a result, statutory receivables are initially recognised at fair value plus any directly attributable transaction costs. Amounts recognised from the Victorian Government represent funding for all commitments incurred and are drawn from the consolidated fund as the commitments fall due.</w:t>
      </w:r>
    </w:p>
    <w:p w14:paraId="225AE67E" w14:textId="77777777" w:rsidR="00CE75D4" w:rsidRDefault="00CE75D4" w:rsidP="008340C1">
      <w:pPr>
        <w:pStyle w:val="ARfinbody"/>
      </w:pPr>
      <w:r>
        <w:t>Details about the department’s impairment policies, the department’s exposure to credit risks and the calculation of the loss allowance are set out in Note 8.1.3.</w:t>
      </w:r>
    </w:p>
    <w:p w14:paraId="14494652" w14:textId="77777777" w:rsidR="00CE75D4" w:rsidRPr="002029AF" w:rsidRDefault="00CE75D4" w:rsidP="00087B91">
      <w:pPr>
        <w:pStyle w:val="Heading4"/>
      </w:pPr>
      <w:bookmarkStart w:id="590" w:name="_Toc39242151"/>
      <w:bookmarkStart w:id="591" w:name="_Toc85121450"/>
      <w:r w:rsidRPr="002029AF">
        <w:t>6.2 Loans</w:t>
      </w:r>
      <w:bookmarkEnd w:id="590"/>
      <w:bookmarkEnd w:id="591"/>
    </w:p>
    <w:tbl>
      <w:tblPr>
        <w:tblStyle w:val="TableGrid"/>
        <w:tblW w:w="9637" w:type="dxa"/>
        <w:tblLayout w:type="fixed"/>
        <w:tblLook w:val="06A0" w:firstRow="1" w:lastRow="0" w:firstColumn="1" w:lastColumn="0" w:noHBand="1" w:noVBand="1"/>
      </w:tblPr>
      <w:tblGrid>
        <w:gridCol w:w="7369"/>
        <w:gridCol w:w="1134"/>
        <w:gridCol w:w="1134"/>
      </w:tblGrid>
      <w:tr w:rsidR="00CE75D4" w:rsidRPr="002029AF" w14:paraId="65CDA1A6"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5A1B6365" w14:textId="77777777" w:rsidR="00CE75D4" w:rsidRPr="002029AF" w:rsidRDefault="00CE75D4" w:rsidP="008340C1">
            <w:pPr>
              <w:pStyle w:val="ARfintablecolhead"/>
            </w:pPr>
          </w:p>
        </w:tc>
        <w:tc>
          <w:tcPr>
            <w:tcW w:w="1134" w:type="dxa"/>
            <w:tcBorders>
              <w:bottom w:val="single" w:sz="4" w:space="0" w:color="auto"/>
            </w:tcBorders>
            <w:shd w:val="clear" w:color="auto" w:fill="E7E6E6"/>
            <w:hideMark/>
          </w:tcPr>
          <w:p w14:paraId="67C10EF4" w14:textId="77777777" w:rsidR="00CE75D4" w:rsidRPr="002029AF" w:rsidRDefault="00CE75D4" w:rsidP="008340C1">
            <w:pPr>
              <w:pStyle w:val="ARfintablecolheadright"/>
            </w:pPr>
            <w:r w:rsidRPr="002029AF">
              <w:t>202</w:t>
            </w:r>
            <w:r>
              <w:t>2</w:t>
            </w:r>
          </w:p>
          <w:p w14:paraId="74678ABE" w14:textId="77777777" w:rsidR="00CE75D4" w:rsidRPr="002029AF" w:rsidRDefault="00CE75D4" w:rsidP="008340C1">
            <w:pPr>
              <w:pStyle w:val="ARfintablecolheadright"/>
            </w:pPr>
            <w:r w:rsidRPr="002029AF">
              <w:t>$M</w:t>
            </w:r>
          </w:p>
        </w:tc>
        <w:tc>
          <w:tcPr>
            <w:tcW w:w="1134" w:type="dxa"/>
            <w:tcBorders>
              <w:bottom w:val="single" w:sz="4" w:space="0" w:color="auto"/>
            </w:tcBorders>
            <w:hideMark/>
          </w:tcPr>
          <w:p w14:paraId="43428EA3" w14:textId="77777777" w:rsidR="00CE75D4" w:rsidRPr="002029AF" w:rsidRDefault="00CE75D4" w:rsidP="008340C1">
            <w:pPr>
              <w:pStyle w:val="ARfintablecolheadright"/>
            </w:pPr>
            <w:r>
              <w:t>2021</w:t>
            </w:r>
          </w:p>
          <w:p w14:paraId="6B66E78B" w14:textId="77777777" w:rsidR="00CE75D4" w:rsidRPr="002029AF" w:rsidRDefault="00CE75D4" w:rsidP="008340C1">
            <w:pPr>
              <w:pStyle w:val="ARfintablecolheadright"/>
            </w:pPr>
            <w:r w:rsidRPr="002029AF">
              <w:t>$M</w:t>
            </w:r>
          </w:p>
        </w:tc>
      </w:tr>
      <w:tr w:rsidR="00CE75D4" w:rsidRPr="002029AF" w14:paraId="74285942" w14:textId="77777777" w:rsidTr="00860E95">
        <w:tc>
          <w:tcPr>
            <w:tcW w:w="9637" w:type="dxa"/>
            <w:gridSpan w:val="3"/>
            <w:tcBorders>
              <w:top w:val="single" w:sz="4" w:space="0" w:color="auto"/>
              <w:bottom w:val="single" w:sz="4" w:space="0" w:color="A6A6A6"/>
            </w:tcBorders>
            <w:hideMark/>
          </w:tcPr>
          <w:p w14:paraId="1CBF5B90" w14:textId="77777777" w:rsidR="00CE75D4" w:rsidRPr="002029AF" w:rsidRDefault="00CE75D4" w:rsidP="008340C1">
            <w:pPr>
              <w:pStyle w:val="ARfintablebodybold"/>
            </w:pPr>
            <w:r w:rsidRPr="00A10B04">
              <w:t>Current loans</w:t>
            </w:r>
          </w:p>
        </w:tc>
      </w:tr>
      <w:tr w:rsidR="00CE75D4" w:rsidRPr="002029AF" w14:paraId="3B5D79F1" w14:textId="77777777" w:rsidTr="00860E95">
        <w:tc>
          <w:tcPr>
            <w:tcW w:w="9637" w:type="dxa"/>
            <w:gridSpan w:val="3"/>
            <w:tcBorders>
              <w:top w:val="single" w:sz="4" w:space="0" w:color="A6A6A6"/>
              <w:bottom w:val="single" w:sz="4" w:space="0" w:color="A6A6A6"/>
            </w:tcBorders>
            <w:hideMark/>
          </w:tcPr>
          <w:p w14:paraId="4AF530C9" w14:textId="77777777" w:rsidR="00CE75D4" w:rsidRPr="00345247" w:rsidRDefault="00CE75D4" w:rsidP="008340C1">
            <w:pPr>
              <w:pStyle w:val="ARfintablebody"/>
              <w:rPr>
                <w:rStyle w:val="Emphasis"/>
              </w:rPr>
            </w:pPr>
            <w:r w:rsidRPr="00345247">
              <w:rPr>
                <w:rStyle w:val="Emphasis"/>
              </w:rPr>
              <w:t>Contractual</w:t>
            </w:r>
          </w:p>
        </w:tc>
      </w:tr>
      <w:tr w:rsidR="00CE75D4" w:rsidRPr="002029AF" w14:paraId="3D873E70" w14:textId="77777777" w:rsidTr="00860E95">
        <w:tc>
          <w:tcPr>
            <w:tcW w:w="7369" w:type="dxa"/>
            <w:tcBorders>
              <w:top w:val="single" w:sz="4" w:space="0" w:color="A6A6A6"/>
              <w:bottom w:val="single" w:sz="4" w:space="0" w:color="A6A6A6"/>
            </w:tcBorders>
            <w:hideMark/>
          </w:tcPr>
          <w:p w14:paraId="0C1BF41C" w14:textId="77777777" w:rsidR="00CE75D4" w:rsidRPr="002029AF" w:rsidRDefault="00CE75D4" w:rsidP="008340C1">
            <w:pPr>
              <w:pStyle w:val="ARfintablebody"/>
            </w:pPr>
            <w:r w:rsidRPr="00A10B04">
              <w:t>Fixed interest home loans</w:t>
            </w:r>
          </w:p>
        </w:tc>
        <w:tc>
          <w:tcPr>
            <w:tcW w:w="1134" w:type="dxa"/>
            <w:tcBorders>
              <w:top w:val="single" w:sz="4" w:space="0" w:color="A6A6A6"/>
              <w:bottom w:val="single" w:sz="4" w:space="0" w:color="A6A6A6"/>
            </w:tcBorders>
            <w:shd w:val="clear" w:color="auto" w:fill="E7E6E6"/>
            <w:noWrap/>
            <w:hideMark/>
          </w:tcPr>
          <w:p w14:paraId="27709CAE"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26379621" w14:textId="77777777" w:rsidR="00CE75D4" w:rsidRPr="002029AF" w:rsidRDefault="00CE75D4" w:rsidP="008340C1">
            <w:pPr>
              <w:pStyle w:val="ARfintablebodyright"/>
            </w:pPr>
            <w:r w:rsidRPr="00A10B04">
              <w:t>0.6</w:t>
            </w:r>
          </w:p>
        </w:tc>
      </w:tr>
      <w:tr w:rsidR="00CE75D4" w:rsidRPr="002029AF" w14:paraId="5F7C00B0" w14:textId="77777777" w:rsidTr="00860E95">
        <w:tc>
          <w:tcPr>
            <w:tcW w:w="7369" w:type="dxa"/>
            <w:tcBorders>
              <w:top w:val="single" w:sz="4" w:space="0" w:color="A6A6A6"/>
              <w:bottom w:val="single" w:sz="4" w:space="0" w:color="A6A6A6"/>
            </w:tcBorders>
            <w:hideMark/>
          </w:tcPr>
          <w:p w14:paraId="08732F59" w14:textId="77777777" w:rsidR="00CE75D4" w:rsidRPr="002029AF" w:rsidRDefault="00CE75D4" w:rsidP="008340C1">
            <w:pPr>
              <w:pStyle w:val="ARfintablebody"/>
            </w:pPr>
            <w:r w:rsidRPr="00A10B04">
              <w:t>Indexed interest home loans</w:t>
            </w:r>
          </w:p>
        </w:tc>
        <w:tc>
          <w:tcPr>
            <w:tcW w:w="1134" w:type="dxa"/>
            <w:tcBorders>
              <w:top w:val="single" w:sz="4" w:space="0" w:color="A6A6A6"/>
              <w:bottom w:val="single" w:sz="4" w:space="0" w:color="A6A6A6"/>
            </w:tcBorders>
            <w:shd w:val="clear" w:color="auto" w:fill="E7E6E6"/>
            <w:noWrap/>
            <w:hideMark/>
          </w:tcPr>
          <w:p w14:paraId="45EC28F2"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0FEBADEC" w14:textId="77777777" w:rsidR="00CE75D4" w:rsidRPr="002029AF" w:rsidRDefault="00CE75D4" w:rsidP="008340C1">
            <w:pPr>
              <w:pStyle w:val="ARfintablebodyright"/>
            </w:pPr>
            <w:r w:rsidRPr="00A10B04">
              <w:t>8.0</w:t>
            </w:r>
          </w:p>
        </w:tc>
      </w:tr>
      <w:tr w:rsidR="00CE75D4" w:rsidRPr="002029AF" w14:paraId="25F6A17C" w14:textId="77777777" w:rsidTr="00860E95">
        <w:tc>
          <w:tcPr>
            <w:tcW w:w="7369" w:type="dxa"/>
            <w:tcBorders>
              <w:top w:val="single" w:sz="4" w:space="0" w:color="A6A6A6"/>
            </w:tcBorders>
            <w:hideMark/>
          </w:tcPr>
          <w:p w14:paraId="3333447E" w14:textId="77777777" w:rsidR="00CE75D4" w:rsidRPr="002029AF" w:rsidRDefault="00CE75D4" w:rsidP="008340C1">
            <w:pPr>
              <w:pStyle w:val="ARfintablebody"/>
            </w:pPr>
            <w:r w:rsidRPr="00A10B04">
              <w:t>Other loans</w:t>
            </w:r>
          </w:p>
        </w:tc>
        <w:tc>
          <w:tcPr>
            <w:tcW w:w="1134" w:type="dxa"/>
            <w:tcBorders>
              <w:top w:val="single" w:sz="4" w:space="0" w:color="A6A6A6"/>
            </w:tcBorders>
            <w:shd w:val="clear" w:color="auto" w:fill="E7E6E6"/>
            <w:noWrap/>
            <w:hideMark/>
          </w:tcPr>
          <w:p w14:paraId="50D76678" w14:textId="77777777" w:rsidR="00CE75D4" w:rsidRPr="002029AF" w:rsidRDefault="00CE75D4" w:rsidP="008340C1">
            <w:pPr>
              <w:pStyle w:val="ARfintablebodyright"/>
            </w:pPr>
            <w:r w:rsidRPr="00A10B04">
              <w:t>11.8</w:t>
            </w:r>
          </w:p>
        </w:tc>
        <w:tc>
          <w:tcPr>
            <w:tcW w:w="1134" w:type="dxa"/>
            <w:tcBorders>
              <w:top w:val="single" w:sz="4" w:space="0" w:color="A6A6A6"/>
            </w:tcBorders>
            <w:noWrap/>
            <w:hideMark/>
          </w:tcPr>
          <w:p w14:paraId="7282FB7B" w14:textId="77777777" w:rsidR="00CE75D4" w:rsidRPr="002029AF" w:rsidRDefault="00CE75D4" w:rsidP="008340C1">
            <w:pPr>
              <w:pStyle w:val="ARfintablebodyright"/>
            </w:pPr>
            <w:r w:rsidRPr="00A10B04">
              <w:t>13.5</w:t>
            </w:r>
          </w:p>
        </w:tc>
      </w:tr>
      <w:tr w:rsidR="00CE75D4" w:rsidRPr="002029AF" w14:paraId="0F864771" w14:textId="77777777" w:rsidTr="00860E95">
        <w:tc>
          <w:tcPr>
            <w:tcW w:w="7369" w:type="dxa"/>
            <w:tcBorders>
              <w:bottom w:val="single" w:sz="4" w:space="0" w:color="auto"/>
            </w:tcBorders>
            <w:hideMark/>
          </w:tcPr>
          <w:p w14:paraId="019DD902" w14:textId="77777777" w:rsidR="00CE75D4" w:rsidRPr="002029AF" w:rsidRDefault="00CE75D4" w:rsidP="008340C1">
            <w:pPr>
              <w:pStyle w:val="ARfintablebodybold"/>
            </w:pPr>
            <w:r w:rsidRPr="00A10B04">
              <w:t>Total current loans</w:t>
            </w:r>
          </w:p>
        </w:tc>
        <w:tc>
          <w:tcPr>
            <w:tcW w:w="1134" w:type="dxa"/>
            <w:tcBorders>
              <w:bottom w:val="single" w:sz="4" w:space="0" w:color="auto"/>
            </w:tcBorders>
            <w:shd w:val="clear" w:color="auto" w:fill="E7E6E6"/>
            <w:noWrap/>
            <w:hideMark/>
          </w:tcPr>
          <w:p w14:paraId="1F9AD5BB" w14:textId="77777777" w:rsidR="00CE75D4" w:rsidRPr="002029AF" w:rsidRDefault="00CE75D4" w:rsidP="008340C1">
            <w:pPr>
              <w:pStyle w:val="ARfintablebodyrightbold"/>
            </w:pPr>
            <w:r w:rsidRPr="00A10B04">
              <w:t>11.8</w:t>
            </w:r>
          </w:p>
        </w:tc>
        <w:tc>
          <w:tcPr>
            <w:tcW w:w="1134" w:type="dxa"/>
            <w:tcBorders>
              <w:bottom w:val="single" w:sz="4" w:space="0" w:color="auto"/>
            </w:tcBorders>
            <w:noWrap/>
            <w:hideMark/>
          </w:tcPr>
          <w:p w14:paraId="12061CA9" w14:textId="77777777" w:rsidR="00CE75D4" w:rsidRPr="002029AF" w:rsidRDefault="00CE75D4" w:rsidP="008340C1">
            <w:pPr>
              <w:pStyle w:val="ARfintablebodyrightbold"/>
            </w:pPr>
            <w:r w:rsidRPr="00A10B04">
              <w:t>22.1</w:t>
            </w:r>
          </w:p>
        </w:tc>
      </w:tr>
      <w:tr w:rsidR="00CE75D4" w:rsidRPr="002029AF" w14:paraId="27A2ABF4" w14:textId="77777777" w:rsidTr="00860E95">
        <w:tc>
          <w:tcPr>
            <w:tcW w:w="9637" w:type="dxa"/>
            <w:gridSpan w:val="3"/>
            <w:tcBorders>
              <w:top w:val="single" w:sz="4" w:space="0" w:color="auto"/>
              <w:bottom w:val="single" w:sz="4" w:space="0" w:color="A6A6A6"/>
            </w:tcBorders>
            <w:hideMark/>
          </w:tcPr>
          <w:p w14:paraId="2D6F732F" w14:textId="77777777" w:rsidR="00CE75D4" w:rsidRPr="002029AF" w:rsidRDefault="00CE75D4" w:rsidP="008340C1">
            <w:pPr>
              <w:pStyle w:val="ARfintablebodybold"/>
            </w:pPr>
            <w:r w:rsidRPr="00A10B04">
              <w:t>Non-current loans</w:t>
            </w:r>
          </w:p>
        </w:tc>
      </w:tr>
      <w:tr w:rsidR="00CE75D4" w:rsidRPr="002029AF" w14:paraId="1A327E8C" w14:textId="77777777" w:rsidTr="00860E95">
        <w:tc>
          <w:tcPr>
            <w:tcW w:w="9637" w:type="dxa"/>
            <w:gridSpan w:val="3"/>
            <w:tcBorders>
              <w:top w:val="single" w:sz="4" w:space="0" w:color="A6A6A6"/>
              <w:bottom w:val="single" w:sz="4" w:space="0" w:color="A6A6A6"/>
            </w:tcBorders>
            <w:hideMark/>
          </w:tcPr>
          <w:p w14:paraId="26AB719E" w14:textId="77777777" w:rsidR="00CE75D4" w:rsidRPr="00345247" w:rsidRDefault="00CE75D4" w:rsidP="008340C1">
            <w:pPr>
              <w:pStyle w:val="ARfintablebody"/>
              <w:rPr>
                <w:rStyle w:val="Emphasis"/>
              </w:rPr>
            </w:pPr>
            <w:r w:rsidRPr="00345247">
              <w:rPr>
                <w:rStyle w:val="Emphasis"/>
              </w:rPr>
              <w:t>Contractual</w:t>
            </w:r>
          </w:p>
        </w:tc>
      </w:tr>
      <w:tr w:rsidR="00CE75D4" w:rsidRPr="002029AF" w14:paraId="3C805236" w14:textId="77777777" w:rsidTr="00860E95">
        <w:tc>
          <w:tcPr>
            <w:tcW w:w="7369" w:type="dxa"/>
            <w:tcBorders>
              <w:top w:val="single" w:sz="4" w:space="0" w:color="A6A6A6"/>
              <w:bottom w:val="single" w:sz="4" w:space="0" w:color="A6A6A6"/>
            </w:tcBorders>
            <w:hideMark/>
          </w:tcPr>
          <w:p w14:paraId="1E2D8F46" w14:textId="77777777" w:rsidR="00CE75D4" w:rsidRPr="002029AF" w:rsidRDefault="00CE75D4" w:rsidP="008340C1">
            <w:pPr>
              <w:pStyle w:val="ARfintablebody"/>
            </w:pPr>
            <w:r w:rsidRPr="00A10B04">
              <w:t>Fixed interest home loans</w:t>
            </w:r>
          </w:p>
        </w:tc>
        <w:tc>
          <w:tcPr>
            <w:tcW w:w="1134" w:type="dxa"/>
            <w:tcBorders>
              <w:top w:val="single" w:sz="4" w:space="0" w:color="A6A6A6"/>
              <w:bottom w:val="single" w:sz="4" w:space="0" w:color="A6A6A6"/>
            </w:tcBorders>
            <w:shd w:val="clear" w:color="auto" w:fill="E7E6E6"/>
            <w:noWrap/>
            <w:hideMark/>
          </w:tcPr>
          <w:p w14:paraId="54DE3A6C"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6C741617" w14:textId="77777777" w:rsidR="00CE75D4" w:rsidRPr="002029AF" w:rsidRDefault="00CE75D4" w:rsidP="008340C1">
            <w:pPr>
              <w:pStyle w:val="ARfintablebodyright"/>
            </w:pPr>
            <w:r w:rsidRPr="00A10B04">
              <w:t>1.0</w:t>
            </w:r>
          </w:p>
        </w:tc>
      </w:tr>
      <w:tr w:rsidR="00CE75D4" w:rsidRPr="002029AF" w14:paraId="77650413" w14:textId="77777777" w:rsidTr="00860E95">
        <w:tc>
          <w:tcPr>
            <w:tcW w:w="7369" w:type="dxa"/>
            <w:tcBorders>
              <w:top w:val="single" w:sz="4" w:space="0" w:color="A6A6A6"/>
              <w:bottom w:val="single" w:sz="4" w:space="0" w:color="A6A6A6"/>
            </w:tcBorders>
            <w:hideMark/>
          </w:tcPr>
          <w:p w14:paraId="21DEC400" w14:textId="77777777" w:rsidR="00CE75D4" w:rsidRPr="002029AF" w:rsidRDefault="00CE75D4" w:rsidP="008340C1">
            <w:pPr>
              <w:pStyle w:val="ARfintablebody"/>
            </w:pPr>
            <w:r w:rsidRPr="00A10B04">
              <w:t>Indexed interest home loans</w:t>
            </w:r>
          </w:p>
        </w:tc>
        <w:tc>
          <w:tcPr>
            <w:tcW w:w="1134" w:type="dxa"/>
            <w:tcBorders>
              <w:top w:val="single" w:sz="4" w:space="0" w:color="A6A6A6"/>
              <w:bottom w:val="single" w:sz="4" w:space="0" w:color="A6A6A6"/>
            </w:tcBorders>
            <w:shd w:val="clear" w:color="auto" w:fill="E7E6E6"/>
            <w:noWrap/>
            <w:hideMark/>
          </w:tcPr>
          <w:p w14:paraId="7A11FA6E"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1EC14446" w14:textId="77777777" w:rsidR="00CE75D4" w:rsidRPr="002029AF" w:rsidRDefault="00CE75D4" w:rsidP="008340C1">
            <w:pPr>
              <w:pStyle w:val="ARfintablebodyright"/>
            </w:pPr>
            <w:r w:rsidRPr="00A10B04">
              <w:t>1.8</w:t>
            </w:r>
          </w:p>
        </w:tc>
      </w:tr>
      <w:tr w:rsidR="00CE75D4" w:rsidRPr="002029AF" w14:paraId="482D617A" w14:textId="77777777" w:rsidTr="00860E95">
        <w:tc>
          <w:tcPr>
            <w:tcW w:w="7369" w:type="dxa"/>
            <w:tcBorders>
              <w:top w:val="single" w:sz="4" w:space="0" w:color="A6A6A6"/>
              <w:bottom w:val="single" w:sz="4" w:space="0" w:color="A6A6A6"/>
            </w:tcBorders>
            <w:hideMark/>
          </w:tcPr>
          <w:p w14:paraId="795A3426" w14:textId="77777777" w:rsidR="00CE75D4" w:rsidRPr="002029AF" w:rsidRDefault="00CE75D4" w:rsidP="008340C1">
            <w:pPr>
              <w:pStyle w:val="ARfintablebody"/>
            </w:pPr>
            <w:r w:rsidRPr="00A10B04">
              <w:t>Community housing loans</w:t>
            </w:r>
          </w:p>
        </w:tc>
        <w:tc>
          <w:tcPr>
            <w:tcW w:w="1134" w:type="dxa"/>
            <w:tcBorders>
              <w:top w:val="single" w:sz="4" w:space="0" w:color="A6A6A6"/>
              <w:bottom w:val="single" w:sz="4" w:space="0" w:color="A6A6A6"/>
            </w:tcBorders>
            <w:shd w:val="clear" w:color="auto" w:fill="E7E6E6"/>
            <w:noWrap/>
            <w:hideMark/>
          </w:tcPr>
          <w:p w14:paraId="148FA18D"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6535488E" w14:textId="77777777" w:rsidR="00CE75D4" w:rsidRPr="002029AF" w:rsidRDefault="00CE75D4" w:rsidP="008340C1">
            <w:pPr>
              <w:pStyle w:val="ARfintablebodyright"/>
            </w:pPr>
            <w:r w:rsidRPr="00A10B04">
              <w:t>20.2</w:t>
            </w:r>
          </w:p>
        </w:tc>
      </w:tr>
      <w:tr w:rsidR="00CE75D4" w:rsidRPr="002029AF" w14:paraId="31A62923" w14:textId="77777777" w:rsidTr="00860E95">
        <w:tc>
          <w:tcPr>
            <w:tcW w:w="7369" w:type="dxa"/>
            <w:tcBorders>
              <w:top w:val="single" w:sz="4" w:space="0" w:color="A6A6A6"/>
            </w:tcBorders>
            <w:hideMark/>
          </w:tcPr>
          <w:p w14:paraId="100162C2" w14:textId="77777777" w:rsidR="00CE75D4" w:rsidRPr="002029AF" w:rsidRDefault="00CE75D4" w:rsidP="008340C1">
            <w:pPr>
              <w:pStyle w:val="ARfintablebody"/>
            </w:pPr>
            <w:r w:rsidRPr="00A10B04">
              <w:t>Other loans</w:t>
            </w:r>
          </w:p>
        </w:tc>
        <w:tc>
          <w:tcPr>
            <w:tcW w:w="1134" w:type="dxa"/>
            <w:tcBorders>
              <w:top w:val="single" w:sz="4" w:space="0" w:color="A6A6A6"/>
            </w:tcBorders>
            <w:shd w:val="clear" w:color="auto" w:fill="E7E6E6"/>
            <w:noWrap/>
            <w:hideMark/>
          </w:tcPr>
          <w:p w14:paraId="2036735C" w14:textId="77777777" w:rsidR="00CE75D4" w:rsidRPr="002029AF" w:rsidRDefault="00CE75D4" w:rsidP="008340C1">
            <w:pPr>
              <w:pStyle w:val="ARfintablebodyright"/>
            </w:pPr>
            <w:r w:rsidRPr="00A10B04">
              <w:t>63.4</w:t>
            </w:r>
          </w:p>
        </w:tc>
        <w:tc>
          <w:tcPr>
            <w:tcW w:w="1134" w:type="dxa"/>
            <w:tcBorders>
              <w:top w:val="single" w:sz="4" w:space="0" w:color="A6A6A6"/>
            </w:tcBorders>
            <w:noWrap/>
            <w:hideMark/>
          </w:tcPr>
          <w:p w14:paraId="63F463D1" w14:textId="77777777" w:rsidR="00CE75D4" w:rsidRPr="002029AF" w:rsidRDefault="00CE75D4" w:rsidP="008340C1">
            <w:pPr>
              <w:pStyle w:val="ARfintablebodyright"/>
            </w:pPr>
            <w:r w:rsidRPr="00A10B04">
              <w:t>74.1</w:t>
            </w:r>
          </w:p>
        </w:tc>
      </w:tr>
      <w:tr w:rsidR="00CE75D4" w:rsidRPr="002029AF" w14:paraId="4EDB0F14" w14:textId="77777777" w:rsidTr="00860E95">
        <w:tc>
          <w:tcPr>
            <w:tcW w:w="7369" w:type="dxa"/>
            <w:tcBorders>
              <w:bottom w:val="single" w:sz="4" w:space="0" w:color="auto"/>
            </w:tcBorders>
            <w:hideMark/>
          </w:tcPr>
          <w:p w14:paraId="4E84DFE2" w14:textId="77777777" w:rsidR="00CE75D4" w:rsidRPr="002029AF" w:rsidRDefault="00CE75D4" w:rsidP="008340C1">
            <w:pPr>
              <w:pStyle w:val="ARfintablebodybold"/>
            </w:pPr>
            <w:r w:rsidRPr="00A10B04">
              <w:t>Total non-current loans</w:t>
            </w:r>
          </w:p>
        </w:tc>
        <w:tc>
          <w:tcPr>
            <w:tcW w:w="1134" w:type="dxa"/>
            <w:tcBorders>
              <w:bottom w:val="single" w:sz="4" w:space="0" w:color="auto"/>
            </w:tcBorders>
            <w:shd w:val="clear" w:color="auto" w:fill="E7E6E6"/>
            <w:noWrap/>
            <w:hideMark/>
          </w:tcPr>
          <w:p w14:paraId="5A8DB578" w14:textId="77777777" w:rsidR="00CE75D4" w:rsidRPr="002029AF" w:rsidRDefault="00CE75D4" w:rsidP="008340C1">
            <w:pPr>
              <w:pStyle w:val="ARfintablebodyrightbold"/>
            </w:pPr>
            <w:r w:rsidRPr="00A10B04">
              <w:t>63.4</w:t>
            </w:r>
          </w:p>
        </w:tc>
        <w:tc>
          <w:tcPr>
            <w:tcW w:w="1134" w:type="dxa"/>
            <w:tcBorders>
              <w:bottom w:val="single" w:sz="4" w:space="0" w:color="auto"/>
            </w:tcBorders>
            <w:noWrap/>
            <w:hideMark/>
          </w:tcPr>
          <w:p w14:paraId="0977AAAB" w14:textId="77777777" w:rsidR="00CE75D4" w:rsidRPr="002029AF" w:rsidRDefault="00CE75D4" w:rsidP="008340C1">
            <w:pPr>
              <w:pStyle w:val="ARfintablebodyrightbold"/>
            </w:pPr>
            <w:r w:rsidRPr="00A10B04">
              <w:t>97.1</w:t>
            </w:r>
          </w:p>
        </w:tc>
      </w:tr>
      <w:tr w:rsidR="00CE75D4" w:rsidRPr="002029AF" w14:paraId="1F037A84" w14:textId="77777777" w:rsidTr="00860E95">
        <w:tc>
          <w:tcPr>
            <w:tcW w:w="9637" w:type="dxa"/>
            <w:gridSpan w:val="3"/>
            <w:tcBorders>
              <w:top w:val="single" w:sz="4" w:space="0" w:color="auto"/>
              <w:bottom w:val="single" w:sz="4" w:space="0" w:color="A6A6A6"/>
            </w:tcBorders>
            <w:hideMark/>
          </w:tcPr>
          <w:p w14:paraId="44DE4B81" w14:textId="77777777" w:rsidR="00CE75D4" w:rsidRPr="002029AF" w:rsidRDefault="00CE75D4" w:rsidP="008340C1">
            <w:pPr>
              <w:pStyle w:val="ARfintablebodybold"/>
            </w:pPr>
            <w:r w:rsidRPr="00A10B04">
              <w:t>Less allowance for impairment losses of contractual loans</w:t>
            </w:r>
          </w:p>
        </w:tc>
      </w:tr>
      <w:tr w:rsidR="00CE75D4" w:rsidRPr="002029AF" w14:paraId="313426C0" w14:textId="77777777" w:rsidTr="00860E95">
        <w:tc>
          <w:tcPr>
            <w:tcW w:w="7369" w:type="dxa"/>
            <w:tcBorders>
              <w:top w:val="single" w:sz="4" w:space="0" w:color="A6A6A6"/>
              <w:bottom w:val="single" w:sz="4" w:space="0" w:color="A6A6A6"/>
            </w:tcBorders>
            <w:hideMark/>
          </w:tcPr>
          <w:p w14:paraId="637FEDF2" w14:textId="77777777" w:rsidR="00CE75D4" w:rsidRPr="002029AF" w:rsidRDefault="00CE75D4" w:rsidP="008340C1">
            <w:pPr>
              <w:pStyle w:val="ARfintablebody"/>
            </w:pPr>
            <w:r w:rsidRPr="00A10B04">
              <w:t>Fixed interest home loans</w:t>
            </w:r>
          </w:p>
        </w:tc>
        <w:tc>
          <w:tcPr>
            <w:tcW w:w="1134" w:type="dxa"/>
            <w:tcBorders>
              <w:top w:val="single" w:sz="4" w:space="0" w:color="A6A6A6"/>
              <w:bottom w:val="single" w:sz="4" w:space="0" w:color="A6A6A6"/>
            </w:tcBorders>
            <w:shd w:val="clear" w:color="auto" w:fill="E7E6E6"/>
            <w:noWrap/>
            <w:hideMark/>
          </w:tcPr>
          <w:p w14:paraId="3DD84E81"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2E4892CA" w14:textId="77777777" w:rsidR="00CE75D4" w:rsidRPr="002029AF" w:rsidRDefault="00CE75D4" w:rsidP="008340C1">
            <w:pPr>
              <w:pStyle w:val="ARfintablebodyright"/>
            </w:pPr>
            <w:r w:rsidRPr="00A10B04">
              <w:t>(0.1)</w:t>
            </w:r>
          </w:p>
        </w:tc>
      </w:tr>
      <w:tr w:rsidR="00CE75D4" w:rsidRPr="002029AF" w14:paraId="0964220F" w14:textId="77777777" w:rsidTr="00860E95">
        <w:tc>
          <w:tcPr>
            <w:tcW w:w="7369" w:type="dxa"/>
            <w:tcBorders>
              <w:top w:val="single" w:sz="4" w:space="0" w:color="A6A6A6"/>
            </w:tcBorders>
            <w:hideMark/>
          </w:tcPr>
          <w:p w14:paraId="38BF65A6" w14:textId="77777777" w:rsidR="00CE75D4" w:rsidRPr="002029AF" w:rsidRDefault="00CE75D4" w:rsidP="008340C1">
            <w:pPr>
              <w:pStyle w:val="ARfintablebody"/>
            </w:pPr>
            <w:r w:rsidRPr="00A10B04">
              <w:t>Indexed interest home loans</w:t>
            </w:r>
          </w:p>
        </w:tc>
        <w:tc>
          <w:tcPr>
            <w:tcW w:w="1134" w:type="dxa"/>
            <w:tcBorders>
              <w:top w:val="single" w:sz="4" w:space="0" w:color="A6A6A6"/>
            </w:tcBorders>
            <w:shd w:val="clear" w:color="auto" w:fill="E7E6E6"/>
            <w:noWrap/>
            <w:hideMark/>
          </w:tcPr>
          <w:p w14:paraId="21AB593D" w14:textId="77777777" w:rsidR="00CE75D4" w:rsidRPr="002029AF" w:rsidRDefault="00CE75D4" w:rsidP="008340C1">
            <w:pPr>
              <w:pStyle w:val="ARfintablebodyright"/>
            </w:pPr>
            <w:r>
              <w:t>–</w:t>
            </w:r>
          </w:p>
        </w:tc>
        <w:tc>
          <w:tcPr>
            <w:tcW w:w="1134" w:type="dxa"/>
            <w:tcBorders>
              <w:top w:val="single" w:sz="4" w:space="0" w:color="A6A6A6"/>
            </w:tcBorders>
            <w:noWrap/>
            <w:hideMark/>
          </w:tcPr>
          <w:p w14:paraId="458B3B06" w14:textId="77777777" w:rsidR="00CE75D4" w:rsidRPr="002029AF" w:rsidRDefault="00CE75D4" w:rsidP="008340C1">
            <w:pPr>
              <w:pStyle w:val="ARfintablebodyright"/>
            </w:pPr>
            <w:r w:rsidRPr="00A10B04">
              <w:t>(0.3)</w:t>
            </w:r>
          </w:p>
        </w:tc>
      </w:tr>
      <w:tr w:rsidR="00CE75D4" w:rsidRPr="002029AF" w14:paraId="7A7829F1" w14:textId="77777777" w:rsidTr="00860E95">
        <w:tc>
          <w:tcPr>
            <w:tcW w:w="7369" w:type="dxa"/>
            <w:hideMark/>
          </w:tcPr>
          <w:p w14:paraId="617B5ADC" w14:textId="77777777" w:rsidR="00CE75D4" w:rsidRPr="002029AF" w:rsidRDefault="00CE75D4" w:rsidP="008340C1">
            <w:pPr>
              <w:pStyle w:val="ARfintablebodybold"/>
            </w:pPr>
            <w:r w:rsidRPr="00A10B04">
              <w:t>Total allowance for impairment losses of contractual loans</w:t>
            </w:r>
          </w:p>
        </w:tc>
        <w:tc>
          <w:tcPr>
            <w:tcW w:w="1134" w:type="dxa"/>
            <w:shd w:val="clear" w:color="auto" w:fill="E7E6E6"/>
            <w:noWrap/>
            <w:hideMark/>
          </w:tcPr>
          <w:p w14:paraId="545999B7" w14:textId="77777777" w:rsidR="00CE75D4" w:rsidRPr="002029AF" w:rsidRDefault="00CE75D4" w:rsidP="008340C1">
            <w:pPr>
              <w:pStyle w:val="ARfintablebodyrightbold"/>
            </w:pPr>
            <w:r>
              <w:t>–</w:t>
            </w:r>
          </w:p>
        </w:tc>
        <w:tc>
          <w:tcPr>
            <w:tcW w:w="1134" w:type="dxa"/>
            <w:noWrap/>
            <w:hideMark/>
          </w:tcPr>
          <w:p w14:paraId="0C6ADB9F" w14:textId="77777777" w:rsidR="00CE75D4" w:rsidRPr="002029AF" w:rsidRDefault="00CE75D4" w:rsidP="008340C1">
            <w:pPr>
              <w:pStyle w:val="ARfintablebodyrightbold"/>
            </w:pPr>
            <w:r w:rsidRPr="00A10B04">
              <w:t>(0.4)</w:t>
            </w:r>
          </w:p>
        </w:tc>
      </w:tr>
      <w:tr w:rsidR="00CE75D4" w:rsidRPr="002029AF" w14:paraId="48F78D4E" w14:textId="77777777" w:rsidTr="00860E95">
        <w:tc>
          <w:tcPr>
            <w:tcW w:w="7369" w:type="dxa"/>
            <w:hideMark/>
          </w:tcPr>
          <w:p w14:paraId="6EEDF1D1" w14:textId="77777777" w:rsidR="00CE75D4" w:rsidRPr="002029AF" w:rsidRDefault="00CE75D4" w:rsidP="008340C1">
            <w:pPr>
              <w:pStyle w:val="ARfintablebodybold"/>
            </w:pPr>
            <w:r w:rsidRPr="00A10B04">
              <w:t>Total loan</w:t>
            </w:r>
          </w:p>
        </w:tc>
        <w:tc>
          <w:tcPr>
            <w:tcW w:w="1134" w:type="dxa"/>
            <w:shd w:val="clear" w:color="auto" w:fill="E7E6E6"/>
            <w:noWrap/>
            <w:hideMark/>
          </w:tcPr>
          <w:p w14:paraId="3962D517" w14:textId="77777777" w:rsidR="00CE75D4" w:rsidRPr="002029AF" w:rsidRDefault="00CE75D4" w:rsidP="008340C1">
            <w:pPr>
              <w:pStyle w:val="ARfintablebodyrightbold"/>
            </w:pPr>
            <w:r w:rsidRPr="00A10B04">
              <w:t>75.2</w:t>
            </w:r>
          </w:p>
        </w:tc>
        <w:tc>
          <w:tcPr>
            <w:tcW w:w="1134" w:type="dxa"/>
            <w:noWrap/>
            <w:hideMark/>
          </w:tcPr>
          <w:p w14:paraId="1F959811" w14:textId="77777777" w:rsidR="00CE75D4" w:rsidRPr="002029AF" w:rsidRDefault="00CE75D4" w:rsidP="008340C1">
            <w:pPr>
              <w:pStyle w:val="ARfintablebodyrightbold"/>
            </w:pPr>
            <w:r w:rsidRPr="00A10B04">
              <w:t>118.8</w:t>
            </w:r>
          </w:p>
        </w:tc>
      </w:tr>
    </w:tbl>
    <w:p w14:paraId="5BF4CDF7" w14:textId="77777777" w:rsidR="00CE75D4" w:rsidRDefault="00CE75D4" w:rsidP="008340C1">
      <w:pPr>
        <w:pStyle w:val="ARfinbodyaftertable"/>
      </w:pPr>
      <w:r>
        <w:t>The department has loans and advances to health agencies. Loans are initially recognised at fair value plus any directly attributable transaction costs. Subsequent to initial measurement they are measured at amortised cost using the effective interest method, less any impairment.</w:t>
      </w:r>
    </w:p>
    <w:p w14:paraId="598E5465" w14:textId="77777777" w:rsidR="00CE75D4" w:rsidRDefault="00CE75D4" w:rsidP="008340C1">
      <w:pPr>
        <w:pStyle w:val="ARfinbody"/>
      </w:pPr>
      <w:r>
        <w:t>The housing-related loans disclosed in 2020–21 related to loan programs that had ceased. The majority of housing loans were secured by a registered mortgage. However, there were a small number of loans that were on terms in contracts of sale. The title remained in the name of the vendor, Director of Housing as successor in title to the Housing Commission, until the amount owing under the contract of sale was paid in full. Some mortgage relief and home renovation loans were subject to an unregistered mortgage with a caveat on the title noting the Director of Housing as having an interest in the property. The Home Renovation Service loan program did not require security for loans of $10,000 or less.</w:t>
      </w:r>
    </w:p>
    <w:p w14:paraId="44489476" w14:textId="11D83809" w:rsidR="00CE75D4" w:rsidRDefault="00CE75D4" w:rsidP="008340C1">
      <w:pPr>
        <w:pStyle w:val="ARfinbody"/>
      </w:pPr>
      <w:r>
        <w:t xml:space="preserve">The Director of Housing was transferred to </w:t>
      </w:r>
      <w:r w:rsidR="00321FE3">
        <w:t xml:space="preserve">the </w:t>
      </w:r>
      <w:r>
        <w:t>DFFH as part of the machinery of government changes effective 1 February 2021. Its numbers were included in the department’s 2020–21 financial statements under s. 53(1)(b) of the FMA.</w:t>
      </w:r>
    </w:p>
    <w:p w14:paraId="2F7450AE" w14:textId="77777777" w:rsidR="00CE75D4" w:rsidRDefault="00CE75D4" w:rsidP="008340C1">
      <w:pPr>
        <w:pStyle w:val="ARfinbody"/>
      </w:pPr>
      <w:r>
        <w:rPr>
          <w:rStyle w:val="Strong"/>
        </w:rPr>
        <w:t>Defaults and breaches:</w:t>
      </w:r>
      <w:r>
        <w:t xml:space="preserve"> The department has had no defaults or breaches on any of its loans during 2021–22.</w:t>
      </w:r>
    </w:p>
    <w:p w14:paraId="1C47E693" w14:textId="77777777" w:rsidR="00CE75D4" w:rsidRPr="002029AF" w:rsidRDefault="00CE75D4" w:rsidP="00087B91">
      <w:pPr>
        <w:pStyle w:val="Heading5"/>
      </w:pPr>
      <w:bookmarkStart w:id="592" w:name="_Toc85121451"/>
      <w:r>
        <w:rPr>
          <w:lang w:eastAsia="en-AU"/>
        </w:rPr>
        <w:t>6.2.1 Ageing analysis of contractual loans</w:t>
      </w:r>
      <w:bookmarkEnd w:id="592"/>
    </w:p>
    <w:tbl>
      <w:tblPr>
        <w:tblStyle w:val="TableGrid"/>
        <w:tblW w:w="9637" w:type="dxa"/>
        <w:tblLayout w:type="fixed"/>
        <w:tblLook w:val="06A0" w:firstRow="1" w:lastRow="0" w:firstColumn="1" w:lastColumn="0" w:noHBand="1" w:noVBand="1"/>
      </w:tblPr>
      <w:tblGrid>
        <w:gridCol w:w="2833"/>
        <w:gridCol w:w="1134"/>
        <w:gridCol w:w="1134"/>
        <w:gridCol w:w="1134"/>
        <w:gridCol w:w="1134"/>
        <w:gridCol w:w="1134"/>
        <w:gridCol w:w="1134"/>
      </w:tblGrid>
      <w:tr w:rsidR="00CE75D4" w:rsidRPr="002029AF" w14:paraId="7656B76E"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2833" w:type="dxa"/>
            <w:vMerge w:val="restart"/>
            <w:noWrap/>
            <w:hideMark/>
          </w:tcPr>
          <w:p w14:paraId="0D655432" w14:textId="77777777" w:rsidR="00CE75D4" w:rsidRPr="002029AF" w:rsidRDefault="00CE75D4" w:rsidP="00860E95">
            <w:pPr>
              <w:pStyle w:val="ARfintablecolhead"/>
            </w:pPr>
          </w:p>
        </w:tc>
        <w:tc>
          <w:tcPr>
            <w:tcW w:w="1134" w:type="dxa"/>
            <w:vMerge w:val="restart"/>
            <w:noWrap/>
            <w:hideMark/>
          </w:tcPr>
          <w:p w14:paraId="035BBDE3" w14:textId="77777777" w:rsidR="00CE75D4" w:rsidRPr="002029AF" w:rsidRDefault="00CE75D4" w:rsidP="00860E95">
            <w:pPr>
              <w:pStyle w:val="ARfintablecolheadright"/>
            </w:pPr>
            <w:r w:rsidRPr="002029AF">
              <w:t>Carrying amount</w:t>
            </w:r>
          </w:p>
          <w:p w14:paraId="71905805" w14:textId="77777777" w:rsidR="00CE75D4" w:rsidRPr="002029AF" w:rsidRDefault="00CE75D4" w:rsidP="00860E95">
            <w:pPr>
              <w:pStyle w:val="ARfintablecolheadright"/>
            </w:pPr>
            <w:r w:rsidRPr="002029AF">
              <w:t>$M</w:t>
            </w:r>
          </w:p>
        </w:tc>
        <w:tc>
          <w:tcPr>
            <w:tcW w:w="1134" w:type="dxa"/>
            <w:vMerge w:val="restart"/>
            <w:noWrap/>
            <w:hideMark/>
          </w:tcPr>
          <w:p w14:paraId="498DBE9D" w14:textId="77777777" w:rsidR="00CE75D4" w:rsidRPr="002029AF" w:rsidRDefault="00CE75D4" w:rsidP="00860E95">
            <w:pPr>
              <w:pStyle w:val="ARfintablecolheadright"/>
            </w:pPr>
            <w:r w:rsidRPr="002029AF">
              <w:t>Not past due</w:t>
            </w:r>
          </w:p>
          <w:p w14:paraId="5DD65E2E" w14:textId="77777777" w:rsidR="00CE75D4" w:rsidRPr="002029AF" w:rsidRDefault="00CE75D4" w:rsidP="00860E95">
            <w:pPr>
              <w:pStyle w:val="ARfintablecolheadright"/>
            </w:pPr>
            <w:r w:rsidRPr="002029AF">
              <w:t>$M</w:t>
            </w:r>
          </w:p>
        </w:tc>
        <w:tc>
          <w:tcPr>
            <w:tcW w:w="4536" w:type="dxa"/>
            <w:gridSpan w:val="4"/>
            <w:hideMark/>
          </w:tcPr>
          <w:p w14:paraId="03E8000D" w14:textId="77777777" w:rsidR="00CE75D4" w:rsidRPr="002029AF" w:rsidRDefault="00CE75D4" w:rsidP="00860E95">
            <w:pPr>
              <w:pStyle w:val="ARfintablecolheadcentre"/>
            </w:pPr>
            <w:r w:rsidRPr="002029AF">
              <w:t>Past due</w:t>
            </w:r>
          </w:p>
        </w:tc>
      </w:tr>
      <w:tr w:rsidR="00CE75D4" w:rsidRPr="002029AF" w14:paraId="7D554124"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2833" w:type="dxa"/>
            <w:vMerge/>
            <w:tcBorders>
              <w:bottom w:val="single" w:sz="4" w:space="0" w:color="auto"/>
            </w:tcBorders>
            <w:hideMark/>
          </w:tcPr>
          <w:p w14:paraId="77C7E673" w14:textId="77777777" w:rsidR="00CE75D4" w:rsidRPr="002029AF" w:rsidRDefault="00CE75D4" w:rsidP="00860E95">
            <w:pPr>
              <w:pStyle w:val="ARfintablecolhead"/>
            </w:pPr>
          </w:p>
        </w:tc>
        <w:tc>
          <w:tcPr>
            <w:tcW w:w="1134" w:type="dxa"/>
            <w:vMerge/>
            <w:tcBorders>
              <w:bottom w:val="single" w:sz="4" w:space="0" w:color="auto"/>
            </w:tcBorders>
            <w:hideMark/>
          </w:tcPr>
          <w:p w14:paraId="4AE0D4C5" w14:textId="77777777" w:rsidR="00CE75D4" w:rsidRPr="002029AF" w:rsidRDefault="00CE75D4" w:rsidP="00860E95">
            <w:pPr>
              <w:pStyle w:val="ARfintablecolheadright"/>
            </w:pPr>
          </w:p>
        </w:tc>
        <w:tc>
          <w:tcPr>
            <w:tcW w:w="1134" w:type="dxa"/>
            <w:vMerge/>
            <w:tcBorders>
              <w:bottom w:val="single" w:sz="4" w:space="0" w:color="auto"/>
            </w:tcBorders>
            <w:hideMark/>
          </w:tcPr>
          <w:p w14:paraId="2E4F614F" w14:textId="77777777" w:rsidR="00CE75D4" w:rsidRPr="002029AF" w:rsidRDefault="00CE75D4" w:rsidP="00860E95">
            <w:pPr>
              <w:pStyle w:val="ARfintablecolheadright"/>
            </w:pPr>
          </w:p>
        </w:tc>
        <w:tc>
          <w:tcPr>
            <w:tcW w:w="1134" w:type="dxa"/>
            <w:tcBorders>
              <w:bottom w:val="single" w:sz="4" w:space="0" w:color="auto"/>
            </w:tcBorders>
            <w:hideMark/>
          </w:tcPr>
          <w:p w14:paraId="3654E213" w14:textId="77777777" w:rsidR="00CE75D4" w:rsidRPr="002029AF" w:rsidRDefault="00CE75D4" w:rsidP="00860E95">
            <w:pPr>
              <w:pStyle w:val="ARfintablecolheadright"/>
            </w:pPr>
            <w:r w:rsidRPr="002029AF">
              <w:t>Less than 1 month</w:t>
            </w:r>
          </w:p>
          <w:p w14:paraId="7171CC97" w14:textId="77777777" w:rsidR="00CE75D4" w:rsidRPr="002029AF" w:rsidRDefault="00CE75D4" w:rsidP="00860E95">
            <w:pPr>
              <w:pStyle w:val="ARfintablecolheadright"/>
            </w:pPr>
            <w:r w:rsidRPr="002029AF">
              <w:t>$M</w:t>
            </w:r>
          </w:p>
        </w:tc>
        <w:tc>
          <w:tcPr>
            <w:tcW w:w="1134" w:type="dxa"/>
            <w:tcBorders>
              <w:bottom w:val="single" w:sz="4" w:space="0" w:color="auto"/>
            </w:tcBorders>
            <w:hideMark/>
          </w:tcPr>
          <w:p w14:paraId="35C2A6F4" w14:textId="77777777" w:rsidR="00CE75D4" w:rsidRPr="002029AF" w:rsidRDefault="00CE75D4" w:rsidP="00860E95">
            <w:pPr>
              <w:pStyle w:val="ARfintablecolheadright"/>
            </w:pPr>
            <w:r w:rsidRPr="002029AF">
              <w:t>1–3 months</w:t>
            </w:r>
          </w:p>
          <w:p w14:paraId="078BC047" w14:textId="77777777" w:rsidR="00CE75D4" w:rsidRPr="002029AF" w:rsidRDefault="00CE75D4" w:rsidP="00860E95">
            <w:pPr>
              <w:pStyle w:val="ARfintablecolheadright"/>
            </w:pPr>
            <w:r w:rsidRPr="002029AF">
              <w:t>$M</w:t>
            </w:r>
          </w:p>
        </w:tc>
        <w:tc>
          <w:tcPr>
            <w:tcW w:w="1134" w:type="dxa"/>
            <w:tcBorders>
              <w:bottom w:val="single" w:sz="4" w:space="0" w:color="auto"/>
            </w:tcBorders>
            <w:hideMark/>
          </w:tcPr>
          <w:p w14:paraId="175C0AE9" w14:textId="77777777" w:rsidR="00CE75D4" w:rsidRPr="002029AF" w:rsidRDefault="00CE75D4" w:rsidP="00860E95">
            <w:pPr>
              <w:pStyle w:val="ARfintablecolheadright"/>
            </w:pPr>
            <w:r w:rsidRPr="002029AF">
              <w:t>3 months – 1 year</w:t>
            </w:r>
          </w:p>
          <w:p w14:paraId="411B3914" w14:textId="77777777" w:rsidR="00CE75D4" w:rsidRPr="002029AF" w:rsidRDefault="00CE75D4" w:rsidP="00860E95">
            <w:pPr>
              <w:pStyle w:val="ARfintablecolheadright"/>
            </w:pPr>
            <w:r w:rsidRPr="002029AF">
              <w:t>$M</w:t>
            </w:r>
          </w:p>
        </w:tc>
        <w:tc>
          <w:tcPr>
            <w:tcW w:w="1134" w:type="dxa"/>
            <w:tcBorders>
              <w:bottom w:val="single" w:sz="4" w:space="0" w:color="auto"/>
            </w:tcBorders>
            <w:hideMark/>
          </w:tcPr>
          <w:p w14:paraId="4C698317" w14:textId="77777777" w:rsidR="00CE75D4" w:rsidRPr="002029AF" w:rsidRDefault="00CE75D4" w:rsidP="00860E95">
            <w:pPr>
              <w:pStyle w:val="ARfintablecolheadright"/>
            </w:pPr>
            <w:r w:rsidRPr="002029AF">
              <w:t>1–5 years</w:t>
            </w:r>
          </w:p>
          <w:p w14:paraId="06D6E67F" w14:textId="77777777" w:rsidR="00CE75D4" w:rsidRPr="002029AF" w:rsidRDefault="00CE75D4" w:rsidP="00860E95">
            <w:pPr>
              <w:pStyle w:val="ARfintablecolheadright"/>
            </w:pPr>
            <w:r w:rsidRPr="002029AF">
              <w:t>$M</w:t>
            </w:r>
          </w:p>
        </w:tc>
      </w:tr>
      <w:tr w:rsidR="00CE75D4" w:rsidRPr="002029AF" w14:paraId="05328494" w14:textId="77777777" w:rsidTr="00860E95">
        <w:tc>
          <w:tcPr>
            <w:tcW w:w="9637" w:type="dxa"/>
            <w:gridSpan w:val="7"/>
            <w:tcBorders>
              <w:top w:val="single" w:sz="4" w:space="0" w:color="auto"/>
              <w:bottom w:val="single" w:sz="4" w:space="0" w:color="A6A6A6"/>
            </w:tcBorders>
            <w:hideMark/>
          </w:tcPr>
          <w:p w14:paraId="4AB10C52" w14:textId="77777777" w:rsidR="00CE75D4" w:rsidRPr="002029AF" w:rsidRDefault="00CE75D4" w:rsidP="00130D1C">
            <w:pPr>
              <w:pStyle w:val="ARfintablebodybold"/>
            </w:pPr>
            <w:r w:rsidRPr="00956E52">
              <w:t>202</w:t>
            </w:r>
            <w:r>
              <w:t>2</w:t>
            </w:r>
          </w:p>
        </w:tc>
      </w:tr>
      <w:tr w:rsidR="00CE75D4" w:rsidRPr="002029AF" w14:paraId="46BC89E3" w14:textId="77777777" w:rsidTr="00860E95">
        <w:tc>
          <w:tcPr>
            <w:tcW w:w="2833" w:type="dxa"/>
            <w:tcBorders>
              <w:top w:val="single" w:sz="4" w:space="0" w:color="A6A6A6"/>
            </w:tcBorders>
            <w:hideMark/>
          </w:tcPr>
          <w:p w14:paraId="7E14CC9F" w14:textId="77777777" w:rsidR="00CE75D4" w:rsidRPr="002029AF" w:rsidRDefault="00CE75D4" w:rsidP="008340C1">
            <w:pPr>
              <w:pStyle w:val="ARfintablebody"/>
            </w:pPr>
            <w:r w:rsidRPr="00686418">
              <w:t>Loans</w:t>
            </w:r>
          </w:p>
        </w:tc>
        <w:tc>
          <w:tcPr>
            <w:tcW w:w="1134" w:type="dxa"/>
            <w:tcBorders>
              <w:top w:val="single" w:sz="4" w:space="0" w:color="A6A6A6"/>
            </w:tcBorders>
            <w:noWrap/>
            <w:hideMark/>
          </w:tcPr>
          <w:p w14:paraId="7EFAEC10" w14:textId="77777777" w:rsidR="00CE75D4" w:rsidRPr="002029AF" w:rsidRDefault="00CE75D4" w:rsidP="008340C1">
            <w:pPr>
              <w:pStyle w:val="ARfintablebodyright"/>
            </w:pPr>
            <w:r w:rsidRPr="00686418">
              <w:t>75.2</w:t>
            </w:r>
          </w:p>
        </w:tc>
        <w:tc>
          <w:tcPr>
            <w:tcW w:w="1134" w:type="dxa"/>
            <w:tcBorders>
              <w:top w:val="single" w:sz="4" w:space="0" w:color="A6A6A6"/>
            </w:tcBorders>
            <w:noWrap/>
            <w:hideMark/>
          </w:tcPr>
          <w:p w14:paraId="7B3F2F33" w14:textId="77777777" w:rsidR="00CE75D4" w:rsidRPr="002029AF" w:rsidRDefault="00CE75D4" w:rsidP="008340C1">
            <w:pPr>
              <w:pStyle w:val="ARfintablebodyright"/>
            </w:pPr>
            <w:r w:rsidRPr="00686418">
              <w:t>75.2</w:t>
            </w:r>
          </w:p>
        </w:tc>
        <w:tc>
          <w:tcPr>
            <w:tcW w:w="1134" w:type="dxa"/>
            <w:tcBorders>
              <w:top w:val="single" w:sz="4" w:space="0" w:color="A6A6A6"/>
            </w:tcBorders>
            <w:noWrap/>
            <w:hideMark/>
          </w:tcPr>
          <w:p w14:paraId="4202AE70" w14:textId="77777777" w:rsidR="00CE75D4" w:rsidRPr="002029AF" w:rsidRDefault="00CE75D4" w:rsidP="008340C1">
            <w:pPr>
              <w:pStyle w:val="ARfintablebodyright"/>
            </w:pPr>
            <w:r>
              <w:t>–</w:t>
            </w:r>
          </w:p>
        </w:tc>
        <w:tc>
          <w:tcPr>
            <w:tcW w:w="1134" w:type="dxa"/>
            <w:tcBorders>
              <w:top w:val="single" w:sz="4" w:space="0" w:color="A6A6A6"/>
            </w:tcBorders>
            <w:noWrap/>
            <w:hideMark/>
          </w:tcPr>
          <w:p w14:paraId="7BEAE2B7" w14:textId="77777777" w:rsidR="00CE75D4" w:rsidRPr="002029AF" w:rsidRDefault="00CE75D4" w:rsidP="008340C1">
            <w:pPr>
              <w:pStyle w:val="ARfintablebodyright"/>
            </w:pPr>
            <w:r>
              <w:t>–</w:t>
            </w:r>
          </w:p>
        </w:tc>
        <w:tc>
          <w:tcPr>
            <w:tcW w:w="1134" w:type="dxa"/>
            <w:tcBorders>
              <w:top w:val="single" w:sz="4" w:space="0" w:color="A6A6A6"/>
            </w:tcBorders>
            <w:noWrap/>
            <w:hideMark/>
          </w:tcPr>
          <w:p w14:paraId="7D087320" w14:textId="77777777" w:rsidR="00CE75D4" w:rsidRPr="002029AF" w:rsidRDefault="00CE75D4" w:rsidP="008340C1">
            <w:pPr>
              <w:pStyle w:val="ARfintablebodyright"/>
            </w:pPr>
            <w:r>
              <w:t>–</w:t>
            </w:r>
          </w:p>
        </w:tc>
        <w:tc>
          <w:tcPr>
            <w:tcW w:w="1134" w:type="dxa"/>
            <w:tcBorders>
              <w:top w:val="single" w:sz="4" w:space="0" w:color="A6A6A6"/>
            </w:tcBorders>
            <w:noWrap/>
            <w:hideMark/>
          </w:tcPr>
          <w:p w14:paraId="48357B00" w14:textId="77777777" w:rsidR="00CE75D4" w:rsidRPr="002029AF" w:rsidRDefault="00CE75D4" w:rsidP="008340C1">
            <w:pPr>
              <w:pStyle w:val="ARfintablebodyright"/>
            </w:pPr>
            <w:r>
              <w:t>–</w:t>
            </w:r>
          </w:p>
        </w:tc>
      </w:tr>
      <w:tr w:rsidR="00CE75D4" w:rsidRPr="002029AF" w14:paraId="6EE5CCCE" w14:textId="77777777" w:rsidTr="00860E95">
        <w:tc>
          <w:tcPr>
            <w:tcW w:w="2833" w:type="dxa"/>
            <w:tcBorders>
              <w:bottom w:val="single" w:sz="4" w:space="0" w:color="auto"/>
            </w:tcBorders>
            <w:hideMark/>
          </w:tcPr>
          <w:p w14:paraId="4A02AFF7" w14:textId="77777777" w:rsidR="00CE75D4" w:rsidRPr="002029AF" w:rsidRDefault="00CE75D4" w:rsidP="008340C1">
            <w:pPr>
              <w:pStyle w:val="ARfintablebodybold"/>
            </w:pPr>
            <w:r w:rsidRPr="00686418">
              <w:t>Total</w:t>
            </w:r>
          </w:p>
        </w:tc>
        <w:tc>
          <w:tcPr>
            <w:tcW w:w="1134" w:type="dxa"/>
            <w:tcBorders>
              <w:bottom w:val="single" w:sz="4" w:space="0" w:color="auto"/>
            </w:tcBorders>
            <w:noWrap/>
            <w:hideMark/>
          </w:tcPr>
          <w:p w14:paraId="64258326" w14:textId="77777777" w:rsidR="00CE75D4" w:rsidRPr="002029AF" w:rsidRDefault="00CE75D4" w:rsidP="008340C1">
            <w:pPr>
              <w:pStyle w:val="ARfintablebodyrightbold"/>
            </w:pPr>
            <w:r w:rsidRPr="00686418">
              <w:t>75.2</w:t>
            </w:r>
          </w:p>
        </w:tc>
        <w:tc>
          <w:tcPr>
            <w:tcW w:w="1134" w:type="dxa"/>
            <w:tcBorders>
              <w:bottom w:val="single" w:sz="4" w:space="0" w:color="auto"/>
            </w:tcBorders>
            <w:noWrap/>
            <w:hideMark/>
          </w:tcPr>
          <w:p w14:paraId="0E2542A4" w14:textId="77777777" w:rsidR="00CE75D4" w:rsidRPr="002029AF" w:rsidRDefault="00CE75D4" w:rsidP="008340C1">
            <w:pPr>
              <w:pStyle w:val="ARfintablebodyrightbold"/>
            </w:pPr>
            <w:r w:rsidRPr="00686418">
              <w:t>75.2</w:t>
            </w:r>
          </w:p>
        </w:tc>
        <w:tc>
          <w:tcPr>
            <w:tcW w:w="1134" w:type="dxa"/>
            <w:tcBorders>
              <w:bottom w:val="single" w:sz="4" w:space="0" w:color="auto"/>
            </w:tcBorders>
            <w:noWrap/>
            <w:hideMark/>
          </w:tcPr>
          <w:p w14:paraId="467A4E64" w14:textId="77777777" w:rsidR="00CE75D4" w:rsidRPr="002029AF" w:rsidRDefault="00CE75D4" w:rsidP="008340C1">
            <w:pPr>
              <w:pStyle w:val="ARfintablebodyrightbold"/>
            </w:pPr>
            <w:r>
              <w:t>–</w:t>
            </w:r>
          </w:p>
        </w:tc>
        <w:tc>
          <w:tcPr>
            <w:tcW w:w="1134" w:type="dxa"/>
            <w:tcBorders>
              <w:bottom w:val="single" w:sz="4" w:space="0" w:color="auto"/>
            </w:tcBorders>
            <w:noWrap/>
            <w:hideMark/>
          </w:tcPr>
          <w:p w14:paraId="5D1E30BC" w14:textId="77777777" w:rsidR="00CE75D4" w:rsidRPr="002029AF" w:rsidRDefault="00CE75D4" w:rsidP="008340C1">
            <w:pPr>
              <w:pStyle w:val="ARfintablebodyrightbold"/>
            </w:pPr>
            <w:r>
              <w:t>–</w:t>
            </w:r>
          </w:p>
        </w:tc>
        <w:tc>
          <w:tcPr>
            <w:tcW w:w="1134" w:type="dxa"/>
            <w:tcBorders>
              <w:bottom w:val="single" w:sz="4" w:space="0" w:color="auto"/>
            </w:tcBorders>
            <w:noWrap/>
            <w:hideMark/>
          </w:tcPr>
          <w:p w14:paraId="6A409767" w14:textId="77777777" w:rsidR="00CE75D4" w:rsidRPr="002029AF" w:rsidRDefault="00CE75D4" w:rsidP="008340C1">
            <w:pPr>
              <w:pStyle w:val="ARfintablebodyrightbold"/>
            </w:pPr>
            <w:r>
              <w:t>–</w:t>
            </w:r>
          </w:p>
        </w:tc>
        <w:tc>
          <w:tcPr>
            <w:tcW w:w="1134" w:type="dxa"/>
            <w:tcBorders>
              <w:bottom w:val="single" w:sz="4" w:space="0" w:color="auto"/>
            </w:tcBorders>
            <w:noWrap/>
            <w:hideMark/>
          </w:tcPr>
          <w:p w14:paraId="4AFD34F7" w14:textId="77777777" w:rsidR="00CE75D4" w:rsidRPr="002029AF" w:rsidRDefault="00CE75D4" w:rsidP="008340C1">
            <w:pPr>
              <w:pStyle w:val="ARfintablebodyrightbold"/>
            </w:pPr>
            <w:r>
              <w:t>–</w:t>
            </w:r>
          </w:p>
        </w:tc>
      </w:tr>
      <w:tr w:rsidR="00CE75D4" w:rsidRPr="002029AF" w14:paraId="6B525E1B" w14:textId="77777777" w:rsidTr="00860E95">
        <w:tc>
          <w:tcPr>
            <w:tcW w:w="9637" w:type="dxa"/>
            <w:gridSpan w:val="7"/>
            <w:tcBorders>
              <w:top w:val="single" w:sz="4" w:space="0" w:color="auto"/>
              <w:bottom w:val="single" w:sz="4" w:space="0" w:color="A6A6A6"/>
            </w:tcBorders>
            <w:hideMark/>
          </w:tcPr>
          <w:p w14:paraId="00EEFC51" w14:textId="77777777" w:rsidR="00CE75D4" w:rsidRPr="002029AF" w:rsidRDefault="00CE75D4" w:rsidP="008340C1">
            <w:pPr>
              <w:pStyle w:val="ARfintablebodybold"/>
            </w:pPr>
            <w:r w:rsidRPr="00686418">
              <w:t>2021</w:t>
            </w:r>
          </w:p>
        </w:tc>
      </w:tr>
      <w:tr w:rsidR="00CE75D4" w:rsidRPr="002029AF" w14:paraId="3EE1E44C" w14:textId="77777777" w:rsidTr="00860E95">
        <w:tc>
          <w:tcPr>
            <w:tcW w:w="2833" w:type="dxa"/>
            <w:tcBorders>
              <w:top w:val="single" w:sz="4" w:space="0" w:color="A6A6A6"/>
            </w:tcBorders>
            <w:hideMark/>
          </w:tcPr>
          <w:p w14:paraId="51F111DE" w14:textId="77777777" w:rsidR="00CE75D4" w:rsidRPr="002029AF" w:rsidRDefault="00CE75D4" w:rsidP="008340C1">
            <w:pPr>
              <w:pStyle w:val="ARfintablebody"/>
            </w:pPr>
            <w:r w:rsidRPr="00686418">
              <w:t>Loans</w:t>
            </w:r>
          </w:p>
        </w:tc>
        <w:tc>
          <w:tcPr>
            <w:tcW w:w="1134" w:type="dxa"/>
            <w:tcBorders>
              <w:top w:val="single" w:sz="4" w:space="0" w:color="A6A6A6"/>
            </w:tcBorders>
            <w:noWrap/>
            <w:hideMark/>
          </w:tcPr>
          <w:p w14:paraId="284751C9" w14:textId="77777777" w:rsidR="00CE75D4" w:rsidRPr="002029AF" w:rsidRDefault="00CE75D4" w:rsidP="008340C1">
            <w:pPr>
              <w:pStyle w:val="ARfintablebodyright"/>
            </w:pPr>
            <w:r w:rsidRPr="00686418">
              <w:t>118.8</w:t>
            </w:r>
          </w:p>
        </w:tc>
        <w:tc>
          <w:tcPr>
            <w:tcW w:w="1134" w:type="dxa"/>
            <w:tcBorders>
              <w:top w:val="single" w:sz="4" w:space="0" w:color="A6A6A6"/>
            </w:tcBorders>
            <w:noWrap/>
            <w:hideMark/>
          </w:tcPr>
          <w:p w14:paraId="53194138" w14:textId="77777777" w:rsidR="00CE75D4" w:rsidRPr="002029AF" w:rsidRDefault="00CE75D4" w:rsidP="008340C1">
            <w:pPr>
              <w:pStyle w:val="ARfintablebodyright"/>
            </w:pPr>
            <w:r w:rsidRPr="00686418">
              <w:t>118.8</w:t>
            </w:r>
          </w:p>
        </w:tc>
        <w:tc>
          <w:tcPr>
            <w:tcW w:w="1134" w:type="dxa"/>
            <w:tcBorders>
              <w:top w:val="single" w:sz="4" w:space="0" w:color="A6A6A6"/>
            </w:tcBorders>
            <w:noWrap/>
            <w:hideMark/>
          </w:tcPr>
          <w:p w14:paraId="0AE7D9D6" w14:textId="77777777" w:rsidR="00CE75D4" w:rsidRPr="002029AF" w:rsidRDefault="00CE75D4" w:rsidP="008340C1">
            <w:pPr>
              <w:pStyle w:val="ARfintablebodyright"/>
            </w:pPr>
            <w:r>
              <w:t>–</w:t>
            </w:r>
          </w:p>
        </w:tc>
        <w:tc>
          <w:tcPr>
            <w:tcW w:w="1134" w:type="dxa"/>
            <w:tcBorders>
              <w:top w:val="single" w:sz="4" w:space="0" w:color="A6A6A6"/>
            </w:tcBorders>
            <w:noWrap/>
            <w:hideMark/>
          </w:tcPr>
          <w:p w14:paraId="7B9CAE12" w14:textId="77777777" w:rsidR="00CE75D4" w:rsidRPr="002029AF" w:rsidRDefault="00CE75D4" w:rsidP="008340C1">
            <w:pPr>
              <w:pStyle w:val="ARfintablebodyright"/>
            </w:pPr>
            <w:r>
              <w:t>–</w:t>
            </w:r>
          </w:p>
        </w:tc>
        <w:tc>
          <w:tcPr>
            <w:tcW w:w="1134" w:type="dxa"/>
            <w:tcBorders>
              <w:top w:val="single" w:sz="4" w:space="0" w:color="A6A6A6"/>
            </w:tcBorders>
            <w:noWrap/>
            <w:hideMark/>
          </w:tcPr>
          <w:p w14:paraId="44CEE5BF" w14:textId="77777777" w:rsidR="00CE75D4" w:rsidRPr="002029AF" w:rsidRDefault="00CE75D4" w:rsidP="008340C1">
            <w:pPr>
              <w:pStyle w:val="ARfintablebodyright"/>
            </w:pPr>
            <w:r>
              <w:t>–</w:t>
            </w:r>
          </w:p>
        </w:tc>
        <w:tc>
          <w:tcPr>
            <w:tcW w:w="1134" w:type="dxa"/>
            <w:tcBorders>
              <w:top w:val="single" w:sz="4" w:space="0" w:color="A6A6A6"/>
            </w:tcBorders>
            <w:noWrap/>
            <w:hideMark/>
          </w:tcPr>
          <w:p w14:paraId="505097F1" w14:textId="77777777" w:rsidR="00CE75D4" w:rsidRPr="002029AF" w:rsidRDefault="00CE75D4" w:rsidP="008340C1">
            <w:pPr>
              <w:pStyle w:val="ARfintablebodyright"/>
            </w:pPr>
            <w:r>
              <w:t>–</w:t>
            </w:r>
          </w:p>
        </w:tc>
      </w:tr>
      <w:tr w:rsidR="00CE75D4" w:rsidRPr="002029AF" w14:paraId="0312FF00" w14:textId="77777777" w:rsidTr="00860E95">
        <w:tc>
          <w:tcPr>
            <w:tcW w:w="2833" w:type="dxa"/>
            <w:hideMark/>
          </w:tcPr>
          <w:p w14:paraId="7B001916" w14:textId="77777777" w:rsidR="00CE75D4" w:rsidRPr="002029AF" w:rsidRDefault="00CE75D4" w:rsidP="008340C1">
            <w:pPr>
              <w:pStyle w:val="ARfintablebodybold"/>
            </w:pPr>
            <w:r w:rsidRPr="00686418">
              <w:t>Total</w:t>
            </w:r>
          </w:p>
        </w:tc>
        <w:tc>
          <w:tcPr>
            <w:tcW w:w="1134" w:type="dxa"/>
            <w:noWrap/>
            <w:hideMark/>
          </w:tcPr>
          <w:p w14:paraId="4DCF6D42" w14:textId="77777777" w:rsidR="00CE75D4" w:rsidRPr="002029AF" w:rsidRDefault="00CE75D4" w:rsidP="008340C1">
            <w:pPr>
              <w:pStyle w:val="ARfintablebodyrightbold"/>
            </w:pPr>
            <w:r w:rsidRPr="00686418">
              <w:t>118.8</w:t>
            </w:r>
          </w:p>
        </w:tc>
        <w:tc>
          <w:tcPr>
            <w:tcW w:w="1134" w:type="dxa"/>
            <w:noWrap/>
            <w:hideMark/>
          </w:tcPr>
          <w:p w14:paraId="299F5804" w14:textId="77777777" w:rsidR="00CE75D4" w:rsidRPr="002029AF" w:rsidRDefault="00CE75D4" w:rsidP="008340C1">
            <w:pPr>
              <w:pStyle w:val="ARfintablebodyrightbold"/>
            </w:pPr>
            <w:r w:rsidRPr="00686418">
              <w:t>118.8</w:t>
            </w:r>
          </w:p>
        </w:tc>
        <w:tc>
          <w:tcPr>
            <w:tcW w:w="1134" w:type="dxa"/>
            <w:noWrap/>
            <w:hideMark/>
          </w:tcPr>
          <w:p w14:paraId="61005F87" w14:textId="77777777" w:rsidR="00CE75D4" w:rsidRPr="002029AF" w:rsidRDefault="00CE75D4" w:rsidP="008340C1">
            <w:pPr>
              <w:pStyle w:val="ARfintablebodyrightbold"/>
            </w:pPr>
            <w:r>
              <w:t>–</w:t>
            </w:r>
          </w:p>
        </w:tc>
        <w:tc>
          <w:tcPr>
            <w:tcW w:w="1134" w:type="dxa"/>
            <w:noWrap/>
            <w:hideMark/>
          </w:tcPr>
          <w:p w14:paraId="665DA238" w14:textId="77777777" w:rsidR="00CE75D4" w:rsidRPr="002029AF" w:rsidRDefault="00CE75D4" w:rsidP="008340C1">
            <w:pPr>
              <w:pStyle w:val="ARfintablebodyrightbold"/>
            </w:pPr>
            <w:r>
              <w:t>–</w:t>
            </w:r>
          </w:p>
        </w:tc>
        <w:tc>
          <w:tcPr>
            <w:tcW w:w="1134" w:type="dxa"/>
            <w:noWrap/>
            <w:hideMark/>
          </w:tcPr>
          <w:p w14:paraId="312538ED" w14:textId="77777777" w:rsidR="00CE75D4" w:rsidRPr="002029AF" w:rsidRDefault="00CE75D4" w:rsidP="008340C1">
            <w:pPr>
              <w:pStyle w:val="ARfintablebodyrightbold"/>
            </w:pPr>
            <w:r>
              <w:t>–</w:t>
            </w:r>
          </w:p>
        </w:tc>
        <w:tc>
          <w:tcPr>
            <w:tcW w:w="1134" w:type="dxa"/>
            <w:noWrap/>
            <w:hideMark/>
          </w:tcPr>
          <w:p w14:paraId="7C05BC3A" w14:textId="77777777" w:rsidR="00CE75D4" w:rsidRPr="002029AF" w:rsidRDefault="00CE75D4" w:rsidP="008340C1">
            <w:pPr>
              <w:pStyle w:val="ARfintablebodyrightbold"/>
            </w:pPr>
            <w:r>
              <w:t>–</w:t>
            </w:r>
          </w:p>
        </w:tc>
      </w:tr>
    </w:tbl>
    <w:p w14:paraId="0ACD5521" w14:textId="77777777" w:rsidR="00CE75D4" w:rsidRPr="0040433B" w:rsidRDefault="00CE75D4" w:rsidP="00130D1C">
      <w:pPr>
        <w:pStyle w:val="ARfinbody"/>
      </w:pPr>
      <w:bookmarkStart w:id="593" w:name="_Toc39242152"/>
      <w:r w:rsidRPr="0040433B">
        <w:br w:type="page"/>
      </w:r>
    </w:p>
    <w:p w14:paraId="02479A54" w14:textId="77777777" w:rsidR="00CE75D4" w:rsidRPr="002029AF" w:rsidRDefault="00CE75D4" w:rsidP="00087B91">
      <w:pPr>
        <w:pStyle w:val="Heading4"/>
      </w:pPr>
      <w:bookmarkStart w:id="594" w:name="_Toc85121452"/>
      <w:r w:rsidRPr="002029AF">
        <w:t>6.3 Other non-financial assets</w:t>
      </w:r>
      <w:bookmarkEnd w:id="593"/>
      <w:bookmarkEnd w:id="594"/>
    </w:p>
    <w:tbl>
      <w:tblPr>
        <w:tblStyle w:val="TableGrid"/>
        <w:tblW w:w="9637" w:type="dxa"/>
        <w:tblLayout w:type="fixed"/>
        <w:tblLook w:val="06A0" w:firstRow="1" w:lastRow="0" w:firstColumn="1" w:lastColumn="0" w:noHBand="1" w:noVBand="1"/>
      </w:tblPr>
      <w:tblGrid>
        <w:gridCol w:w="7371"/>
        <w:gridCol w:w="1133"/>
        <w:gridCol w:w="1133"/>
      </w:tblGrid>
      <w:tr w:rsidR="00CE75D4" w:rsidRPr="002029AF" w14:paraId="039F757D" w14:textId="77777777" w:rsidTr="0061333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0FF829A1" w14:textId="77777777" w:rsidR="00CE75D4" w:rsidRPr="002029AF" w:rsidRDefault="00CE75D4" w:rsidP="008340C1">
            <w:pPr>
              <w:pStyle w:val="ARfintablecolhead"/>
            </w:pPr>
          </w:p>
        </w:tc>
        <w:tc>
          <w:tcPr>
            <w:tcW w:w="1133" w:type="dxa"/>
            <w:tcBorders>
              <w:bottom w:val="single" w:sz="4" w:space="0" w:color="auto"/>
            </w:tcBorders>
            <w:shd w:val="clear" w:color="auto" w:fill="E7E6E6"/>
            <w:hideMark/>
          </w:tcPr>
          <w:p w14:paraId="3E61B4A6" w14:textId="77777777" w:rsidR="00CE75D4" w:rsidRPr="002029AF" w:rsidRDefault="00CE75D4" w:rsidP="008340C1">
            <w:pPr>
              <w:pStyle w:val="ARfintablecolheadright"/>
            </w:pPr>
            <w:r w:rsidRPr="002029AF">
              <w:t>202</w:t>
            </w:r>
            <w:r>
              <w:t>2</w:t>
            </w:r>
          </w:p>
          <w:p w14:paraId="455C1FD9" w14:textId="77777777" w:rsidR="00CE75D4" w:rsidRPr="002029AF" w:rsidRDefault="00CE75D4" w:rsidP="008340C1">
            <w:pPr>
              <w:pStyle w:val="ARfintablecolheadright"/>
            </w:pPr>
            <w:r w:rsidRPr="002029AF">
              <w:t>$M</w:t>
            </w:r>
          </w:p>
        </w:tc>
        <w:tc>
          <w:tcPr>
            <w:tcW w:w="1133" w:type="dxa"/>
            <w:tcBorders>
              <w:bottom w:val="single" w:sz="4" w:space="0" w:color="auto"/>
            </w:tcBorders>
            <w:hideMark/>
          </w:tcPr>
          <w:p w14:paraId="7A3EA830" w14:textId="77777777" w:rsidR="00CE75D4" w:rsidRPr="002029AF" w:rsidRDefault="00CE75D4" w:rsidP="008340C1">
            <w:pPr>
              <w:pStyle w:val="ARfintablecolheadright"/>
            </w:pPr>
            <w:r>
              <w:t>2021</w:t>
            </w:r>
          </w:p>
          <w:p w14:paraId="50C729E7" w14:textId="77777777" w:rsidR="00CE75D4" w:rsidRPr="002029AF" w:rsidRDefault="00CE75D4" w:rsidP="008340C1">
            <w:pPr>
              <w:pStyle w:val="ARfintablecolheadright"/>
            </w:pPr>
            <w:r w:rsidRPr="002029AF">
              <w:t>$M</w:t>
            </w:r>
          </w:p>
        </w:tc>
      </w:tr>
      <w:tr w:rsidR="00CE75D4" w:rsidRPr="002029AF" w14:paraId="6856B6D9" w14:textId="77777777" w:rsidTr="00860E95">
        <w:tc>
          <w:tcPr>
            <w:tcW w:w="7371" w:type="dxa"/>
            <w:tcBorders>
              <w:top w:val="single" w:sz="4" w:space="0" w:color="A6A6A6"/>
            </w:tcBorders>
            <w:hideMark/>
          </w:tcPr>
          <w:p w14:paraId="176AE579" w14:textId="77777777" w:rsidR="00CE75D4" w:rsidRPr="002029AF" w:rsidRDefault="00CE75D4" w:rsidP="008340C1">
            <w:pPr>
              <w:pStyle w:val="ARfintablebody"/>
            </w:pPr>
            <w:r w:rsidRPr="0092097D">
              <w:t>Prepayments</w:t>
            </w:r>
          </w:p>
        </w:tc>
        <w:tc>
          <w:tcPr>
            <w:tcW w:w="1133" w:type="dxa"/>
            <w:tcBorders>
              <w:top w:val="single" w:sz="4" w:space="0" w:color="A6A6A6"/>
            </w:tcBorders>
            <w:shd w:val="clear" w:color="auto" w:fill="E7E6E6"/>
            <w:noWrap/>
            <w:hideMark/>
          </w:tcPr>
          <w:p w14:paraId="7AF21B1C" w14:textId="77777777" w:rsidR="00CE75D4" w:rsidRPr="002029AF" w:rsidRDefault="00CE75D4" w:rsidP="008340C1">
            <w:pPr>
              <w:pStyle w:val="ARfintablebodyright"/>
            </w:pPr>
            <w:r w:rsidRPr="0092097D">
              <w:t>143.1</w:t>
            </w:r>
          </w:p>
        </w:tc>
        <w:tc>
          <w:tcPr>
            <w:tcW w:w="1133" w:type="dxa"/>
            <w:tcBorders>
              <w:top w:val="single" w:sz="4" w:space="0" w:color="A6A6A6"/>
            </w:tcBorders>
            <w:noWrap/>
            <w:hideMark/>
          </w:tcPr>
          <w:p w14:paraId="3506FE4E" w14:textId="77777777" w:rsidR="00CE75D4" w:rsidRPr="002029AF" w:rsidRDefault="00CE75D4" w:rsidP="008340C1">
            <w:pPr>
              <w:pStyle w:val="ARfintablebodyright"/>
            </w:pPr>
            <w:r w:rsidRPr="0092097D">
              <w:t>162.9</w:t>
            </w:r>
          </w:p>
        </w:tc>
      </w:tr>
      <w:tr w:rsidR="00CE75D4" w:rsidRPr="002029AF" w14:paraId="50BA03B7" w14:textId="77777777" w:rsidTr="00860E95">
        <w:tc>
          <w:tcPr>
            <w:tcW w:w="7371" w:type="dxa"/>
            <w:hideMark/>
          </w:tcPr>
          <w:p w14:paraId="61B18BBB" w14:textId="77777777" w:rsidR="00CE75D4" w:rsidRPr="002029AF" w:rsidRDefault="00CE75D4" w:rsidP="008340C1">
            <w:pPr>
              <w:pStyle w:val="ARfintablebodybold"/>
            </w:pPr>
            <w:r w:rsidRPr="0092097D">
              <w:t>Total other non-financial assets</w:t>
            </w:r>
          </w:p>
        </w:tc>
        <w:tc>
          <w:tcPr>
            <w:tcW w:w="1133" w:type="dxa"/>
            <w:shd w:val="clear" w:color="auto" w:fill="E7E6E6"/>
            <w:noWrap/>
            <w:hideMark/>
          </w:tcPr>
          <w:p w14:paraId="734A6A29" w14:textId="77777777" w:rsidR="00CE75D4" w:rsidRPr="002029AF" w:rsidRDefault="00CE75D4" w:rsidP="008340C1">
            <w:pPr>
              <w:pStyle w:val="ARfintablebodyrightbold"/>
            </w:pPr>
            <w:r w:rsidRPr="0092097D">
              <w:t>143.1</w:t>
            </w:r>
          </w:p>
        </w:tc>
        <w:tc>
          <w:tcPr>
            <w:tcW w:w="1133" w:type="dxa"/>
            <w:noWrap/>
            <w:hideMark/>
          </w:tcPr>
          <w:p w14:paraId="08D78FF3" w14:textId="77777777" w:rsidR="00CE75D4" w:rsidRPr="002029AF" w:rsidRDefault="00CE75D4" w:rsidP="008340C1">
            <w:pPr>
              <w:pStyle w:val="ARfintablebodyrightbold"/>
            </w:pPr>
            <w:r w:rsidRPr="0092097D">
              <w:t>162.9</w:t>
            </w:r>
          </w:p>
        </w:tc>
      </w:tr>
    </w:tbl>
    <w:p w14:paraId="0B2D644B" w14:textId="77777777" w:rsidR="00CE75D4" w:rsidRDefault="00CE75D4" w:rsidP="008340C1">
      <w:pPr>
        <w:pStyle w:val="ARfinbodyaftertable"/>
      </w:pPr>
      <w:bookmarkStart w:id="595" w:name="_Toc39242153"/>
      <w:r>
        <w:t>Prepayments represent payments in advance of receipt of goods and services or that part of expenditure made in one accounting period covering a term extending beyond that period.</w:t>
      </w:r>
    </w:p>
    <w:p w14:paraId="676D386E" w14:textId="77777777" w:rsidR="00CE75D4" w:rsidRPr="002029AF" w:rsidRDefault="00CE75D4" w:rsidP="00087B91">
      <w:pPr>
        <w:pStyle w:val="Heading4"/>
      </w:pPr>
      <w:bookmarkStart w:id="596" w:name="_Toc85121453"/>
      <w:r w:rsidRPr="002029AF">
        <w:t>6.4 Payables</w:t>
      </w:r>
      <w:bookmarkEnd w:id="595"/>
      <w:bookmarkEnd w:id="596"/>
    </w:p>
    <w:tbl>
      <w:tblPr>
        <w:tblStyle w:val="TableGrid"/>
        <w:tblW w:w="9637" w:type="dxa"/>
        <w:tblLayout w:type="fixed"/>
        <w:tblLook w:val="06A0" w:firstRow="1" w:lastRow="0" w:firstColumn="1" w:lastColumn="0" w:noHBand="1" w:noVBand="1"/>
      </w:tblPr>
      <w:tblGrid>
        <w:gridCol w:w="7371"/>
        <w:gridCol w:w="1133"/>
        <w:gridCol w:w="1133"/>
      </w:tblGrid>
      <w:tr w:rsidR="00CE75D4" w:rsidRPr="002029AF" w14:paraId="5429D4DA"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641AD416" w14:textId="77777777" w:rsidR="00CE75D4" w:rsidRPr="002029AF" w:rsidRDefault="00CE75D4" w:rsidP="008340C1">
            <w:pPr>
              <w:pStyle w:val="ARfintablecolhead"/>
            </w:pPr>
          </w:p>
        </w:tc>
        <w:tc>
          <w:tcPr>
            <w:tcW w:w="1133" w:type="dxa"/>
            <w:tcBorders>
              <w:bottom w:val="single" w:sz="4" w:space="0" w:color="auto"/>
            </w:tcBorders>
            <w:shd w:val="clear" w:color="auto" w:fill="E7E6E6"/>
            <w:hideMark/>
          </w:tcPr>
          <w:p w14:paraId="7447410E" w14:textId="77777777" w:rsidR="00CE75D4" w:rsidRPr="002029AF" w:rsidRDefault="00CE75D4" w:rsidP="008340C1">
            <w:pPr>
              <w:pStyle w:val="ARfintablecolheadright"/>
            </w:pPr>
            <w:r w:rsidRPr="002029AF">
              <w:t>202</w:t>
            </w:r>
            <w:r>
              <w:t>2</w:t>
            </w:r>
          </w:p>
          <w:p w14:paraId="6C97B9F5" w14:textId="77777777" w:rsidR="00CE75D4" w:rsidRPr="002029AF" w:rsidRDefault="00CE75D4" w:rsidP="008340C1">
            <w:pPr>
              <w:pStyle w:val="ARfintablecolheadright"/>
            </w:pPr>
            <w:r w:rsidRPr="002029AF">
              <w:t>$M</w:t>
            </w:r>
          </w:p>
        </w:tc>
        <w:tc>
          <w:tcPr>
            <w:tcW w:w="1133" w:type="dxa"/>
            <w:tcBorders>
              <w:bottom w:val="single" w:sz="4" w:space="0" w:color="auto"/>
            </w:tcBorders>
            <w:hideMark/>
          </w:tcPr>
          <w:p w14:paraId="13C5E039" w14:textId="77777777" w:rsidR="00CE75D4" w:rsidRPr="002029AF" w:rsidRDefault="00CE75D4" w:rsidP="008340C1">
            <w:pPr>
              <w:pStyle w:val="ARfintablecolheadright"/>
            </w:pPr>
            <w:r>
              <w:t>2021</w:t>
            </w:r>
          </w:p>
          <w:p w14:paraId="293793B2" w14:textId="77777777" w:rsidR="00CE75D4" w:rsidRPr="002029AF" w:rsidRDefault="00CE75D4" w:rsidP="008340C1">
            <w:pPr>
              <w:pStyle w:val="ARfintablecolheadright"/>
            </w:pPr>
            <w:r w:rsidRPr="002029AF">
              <w:t>$M</w:t>
            </w:r>
          </w:p>
        </w:tc>
      </w:tr>
      <w:tr w:rsidR="00CE75D4" w:rsidRPr="002029AF" w14:paraId="5ED92E21" w14:textId="77777777" w:rsidTr="00860E95">
        <w:tc>
          <w:tcPr>
            <w:tcW w:w="9637" w:type="dxa"/>
            <w:gridSpan w:val="3"/>
            <w:tcBorders>
              <w:top w:val="single" w:sz="4" w:space="0" w:color="auto"/>
              <w:bottom w:val="single" w:sz="4" w:space="0" w:color="A6A6A6"/>
            </w:tcBorders>
            <w:hideMark/>
          </w:tcPr>
          <w:p w14:paraId="63D78A15" w14:textId="77777777" w:rsidR="00CE75D4" w:rsidRPr="002029AF" w:rsidRDefault="00CE75D4" w:rsidP="008340C1">
            <w:pPr>
              <w:pStyle w:val="ARfintablebodybold"/>
            </w:pPr>
            <w:r w:rsidRPr="00EA7D4A">
              <w:t>Current payables</w:t>
            </w:r>
          </w:p>
        </w:tc>
      </w:tr>
      <w:tr w:rsidR="00CE75D4" w:rsidRPr="002029AF" w14:paraId="773E1706" w14:textId="77777777" w:rsidTr="00860E95">
        <w:tc>
          <w:tcPr>
            <w:tcW w:w="7371" w:type="dxa"/>
            <w:tcBorders>
              <w:top w:val="single" w:sz="4" w:space="0" w:color="A6A6A6"/>
              <w:bottom w:val="single" w:sz="4" w:space="0" w:color="A6A6A6"/>
            </w:tcBorders>
            <w:hideMark/>
          </w:tcPr>
          <w:p w14:paraId="4CCB9469" w14:textId="77777777" w:rsidR="00CE75D4" w:rsidRPr="008D50D3" w:rsidRDefault="00CE75D4" w:rsidP="008340C1">
            <w:pPr>
              <w:pStyle w:val="ARfintablebody"/>
              <w:rPr>
                <w:rStyle w:val="Emphasis"/>
              </w:rPr>
            </w:pPr>
            <w:r w:rsidRPr="008D50D3">
              <w:rPr>
                <w:rStyle w:val="Emphasis"/>
              </w:rPr>
              <w:t>Contractual</w:t>
            </w:r>
          </w:p>
        </w:tc>
        <w:tc>
          <w:tcPr>
            <w:tcW w:w="1133" w:type="dxa"/>
            <w:tcBorders>
              <w:top w:val="single" w:sz="4" w:space="0" w:color="A6A6A6"/>
              <w:bottom w:val="single" w:sz="4" w:space="0" w:color="A6A6A6"/>
            </w:tcBorders>
            <w:shd w:val="clear" w:color="auto" w:fill="E7E6E6"/>
            <w:noWrap/>
            <w:hideMark/>
          </w:tcPr>
          <w:p w14:paraId="3909539E" w14:textId="77777777" w:rsidR="00CE75D4" w:rsidRPr="002029AF" w:rsidRDefault="00CE75D4" w:rsidP="008340C1">
            <w:pPr>
              <w:pStyle w:val="ARfintablebodyright"/>
            </w:pPr>
          </w:p>
        </w:tc>
        <w:tc>
          <w:tcPr>
            <w:tcW w:w="1133" w:type="dxa"/>
            <w:tcBorders>
              <w:top w:val="single" w:sz="4" w:space="0" w:color="A6A6A6"/>
              <w:bottom w:val="single" w:sz="4" w:space="0" w:color="A6A6A6"/>
            </w:tcBorders>
            <w:noWrap/>
            <w:hideMark/>
          </w:tcPr>
          <w:p w14:paraId="35D99536" w14:textId="77777777" w:rsidR="00CE75D4" w:rsidRPr="002029AF" w:rsidRDefault="00CE75D4" w:rsidP="008340C1">
            <w:pPr>
              <w:pStyle w:val="ARfintablebodyright"/>
            </w:pPr>
          </w:p>
        </w:tc>
      </w:tr>
      <w:tr w:rsidR="00CE75D4" w:rsidRPr="002029AF" w14:paraId="77282E9D" w14:textId="77777777" w:rsidTr="00860E95">
        <w:tc>
          <w:tcPr>
            <w:tcW w:w="7371" w:type="dxa"/>
            <w:tcBorders>
              <w:top w:val="single" w:sz="4" w:space="0" w:color="A6A6A6"/>
              <w:bottom w:val="single" w:sz="4" w:space="0" w:color="A6A6A6"/>
            </w:tcBorders>
            <w:hideMark/>
          </w:tcPr>
          <w:p w14:paraId="24063C4A" w14:textId="77777777" w:rsidR="00CE75D4" w:rsidRPr="002029AF" w:rsidRDefault="00CE75D4" w:rsidP="008340C1">
            <w:pPr>
              <w:pStyle w:val="ARfintablebody"/>
            </w:pPr>
            <w:r w:rsidRPr="00EA7D4A">
              <w:t>Employee benefits payable</w:t>
            </w:r>
          </w:p>
        </w:tc>
        <w:tc>
          <w:tcPr>
            <w:tcW w:w="1133" w:type="dxa"/>
            <w:tcBorders>
              <w:top w:val="single" w:sz="4" w:space="0" w:color="A6A6A6"/>
              <w:bottom w:val="single" w:sz="4" w:space="0" w:color="A6A6A6"/>
            </w:tcBorders>
            <w:shd w:val="clear" w:color="auto" w:fill="E7E6E6"/>
            <w:noWrap/>
            <w:hideMark/>
          </w:tcPr>
          <w:p w14:paraId="1E43A725" w14:textId="77777777" w:rsidR="00CE75D4" w:rsidRPr="002029AF" w:rsidRDefault="00CE75D4" w:rsidP="008340C1">
            <w:pPr>
              <w:pStyle w:val="ARfintablebodyright"/>
            </w:pPr>
            <w:r w:rsidRPr="00EA7D4A">
              <w:t>27.7</w:t>
            </w:r>
          </w:p>
        </w:tc>
        <w:tc>
          <w:tcPr>
            <w:tcW w:w="1133" w:type="dxa"/>
            <w:tcBorders>
              <w:top w:val="single" w:sz="4" w:space="0" w:color="A6A6A6"/>
              <w:bottom w:val="single" w:sz="4" w:space="0" w:color="A6A6A6"/>
            </w:tcBorders>
            <w:noWrap/>
            <w:hideMark/>
          </w:tcPr>
          <w:p w14:paraId="246FFC20" w14:textId="77777777" w:rsidR="00CE75D4" w:rsidRPr="002029AF" w:rsidRDefault="00CE75D4" w:rsidP="008340C1">
            <w:pPr>
              <w:pStyle w:val="ARfintablebodyright"/>
            </w:pPr>
            <w:r w:rsidRPr="00EA7D4A">
              <w:t>59.0</w:t>
            </w:r>
          </w:p>
        </w:tc>
      </w:tr>
      <w:tr w:rsidR="00CE75D4" w:rsidRPr="002029AF" w14:paraId="2A8B99D4" w14:textId="77777777" w:rsidTr="00860E95">
        <w:tc>
          <w:tcPr>
            <w:tcW w:w="7371" w:type="dxa"/>
            <w:tcBorders>
              <w:top w:val="single" w:sz="4" w:space="0" w:color="A6A6A6"/>
              <w:bottom w:val="single" w:sz="4" w:space="0" w:color="A6A6A6"/>
            </w:tcBorders>
            <w:hideMark/>
          </w:tcPr>
          <w:p w14:paraId="5B9138D1" w14:textId="77777777" w:rsidR="00CE75D4" w:rsidRPr="002029AF" w:rsidRDefault="00CE75D4" w:rsidP="008340C1">
            <w:pPr>
              <w:pStyle w:val="ARfintablebody"/>
            </w:pPr>
            <w:r w:rsidRPr="00EA7D4A">
              <w:t>Supplies and services</w:t>
            </w:r>
          </w:p>
        </w:tc>
        <w:tc>
          <w:tcPr>
            <w:tcW w:w="1133" w:type="dxa"/>
            <w:tcBorders>
              <w:top w:val="single" w:sz="4" w:space="0" w:color="A6A6A6"/>
              <w:bottom w:val="single" w:sz="4" w:space="0" w:color="A6A6A6"/>
            </w:tcBorders>
            <w:shd w:val="clear" w:color="auto" w:fill="E7E6E6"/>
            <w:noWrap/>
            <w:hideMark/>
          </w:tcPr>
          <w:p w14:paraId="6D3D8676" w14:textId="77777777" w:rsidR="00CE75D4" w:rsidRPr="002029AF" w:rsidRDefault="00CE75D4" w:rsidP="008340C1">
            <w:pPr>
              <w:pStyle w:val="ARfintablebodyright"/>
            </w:pPr>
            <w:r w:rsidRPr="00EA7D4A">
              <w:t>122.2</w:t>
            </w:r>
          </w:p>
        </w:tc>
        <w:tc>
          <w:tcPr>
            <w:tcW w:w="1133" w:type="dxa"/>
            <w:tcBorders>
              <w:top w:val="single" w:sz="4" w:space="0" w:color="A6A6A6"/>
              <w:bottom w:val="single" w:sz="4" w:space="0" w:color="A6A6A6"/>
            </w:tcBorders>
            <w:noWrap/>
            <w:hideMark/>
          </w:tcPr>
          <w:p w14:paraId="6C5C4338" w14:textId="77777777" w:rsidR="00CE75D4" w:rsidRPr="002029AF" w:rsidRDefault="00CE75D4" w:rsidP="008340C1">
            <w:pPr>
              <w:pStyle w:val="ARfintablebodyright"/>
            </w:pPr>
            <w:r w:rsidRPr="00EA7D4A">
              <w:t>287.8</w:t>
            </w:r>
          </w:p>
        </w:tc>
      </w:tr>
      <w:tr w:rsidR="00CE75D4" w:rsidRPr="002029AF" w14:paraId="48EF7C26" w14:textId="77777777" w:rsidTr="00860E95">
        <w:tc>
          <w:tcPr>
            <w:tcW w:w="7371" w:type="dxa"/>
            <w:tcBorders>
              <w:top w:val="single" w:sz="4" w:space="0" w:color="A6A6A6"/>
              <w:bottom w:val="single" w:sz="4" w:space="0" w:color="A6A6A6"/>
            </w:tcBorders>
            <w:hideMark/>
          </w:tcPr>
          <w:p w14:paraId="489935CD" w14:textId="77777777" w:rsidR="00CE75D4" w:rsidRPr="002029AF" w:rsidRDefault="00CE75D4" w:rsidP="008340C1">
            <w:pPr>
              <w:pStyle w:val="ARfintablebody"/>
            </w:pPr>
            <w:r w:rsidRPr="00EA7D4A">
              <w:t>Amounts payable to government agencies</w:t>
            </w:r>
          </w:p>
        </w:tc>
        <w:tc>
          <w:tcPr>
            <w:tcW w:w="1133" w:type="dxa"/>
            <w:tcBorders>
              <w:top w:val="single" w:sz="4" w:space="0" w:color="A6A6A6"/>
              <w:bottom w:val="single" w:sz="4" w:space="0" w:color="A6A6A6"/>
            </w:tcBorders>
            <w:shd w:val="clear" w:color="auto" w:fill="E7E6E6"/>
            <w:noWrap/>
            <w:hideMark/>
          </w:tcPr>
          <w:p w14:paraId="38B1E6DE" w14:textId="77777777" w:rsidR="00CE75D4" w:rsidRPr="002029AF" w:rsidRDefault="00CE75D4" w:rsidP="008340C1">
            <w:pPr>
              <w:pStyle w:val="ARfintablebodyright"/>
            </w:pPr>
            <w:r w:rsidRPr="00EA7D4A">
              <w:t>647.0</w:t>
            </w:r>
          </w:p>
        </w:tc>
        <w:tc>
          <w:tcPr>
            <w:tcW w:w="1133" w:type="dxa"/>
            <w:tcBorders>
              <w:top w:val="single" w:sz="4" w:space="0" w:color="A6A6A6"/>
              <w:bottom w:val="single" w:sz="4" w:space="0" w:color="A6A6A6"/>
            </w:tcBorders>
            <w:noWrap/>
            <w:hideMark/>
          </w:tcPr>
          <w:p w14:paraId="1BF2B3FC" w14:textId="77777777" w:rsidR="00CE75D4" w:rsidRPr="002029AF" w:rsidRDefault="00CE75D4" w:rsidP="008340C1">
            <w:pPr>
              <w:pStyle w:val="ARfintablebodyright"/>
            </w:pPr>
            <w:r w:rsidRPr="00EA7D4A">
              <w:t>681.2</w:t>
            </w:r>
          </w:p>
        </w:tc>
      </w:tr>
      <w:tr w:rsidR="00CE75D4" w:rsidRPr="002029AF" w14:paraId="3599935F" w14:textId="77777777" w:rsidTr="00860E95">
        <w:tc>
          <w:tcPr>
            <w:tcW w:w="7371" w:type="dxa"/>
            <w:tcBorders>
              <w:top w:val="single" w:sz="4" w:space="0" w:color="A6A6A6"/>
              <w:bottom w:val="single" w:sz="4" w:space="0" w:color="A6A6A6"/>
            </w:tcBorders>
            <w:hideMark/>
          </w:tcPr>
          <w:p w14:paraId="267AA116" w14:textId="77777777" w:rsidR="00CE75D4" w:rsidRPr="002029AF" w:rsidRDefault="00CE75D4" w:rsidP="008340C1">
            <w:pPr>
              <w:pStyle w:val="ARfintablebody"/>
            </w:pPr>
            <w:r w:rsidRPr="00EA7D4A">
              <w:t xml:space="preserve">Concession payments to pensioners </w:t>
            </w:r>
            <w:r w:rsidRPr="00350C16">
              <w:rPr>
                <w:rStyle w:val="Superscript"/>
              </w:rPr>
              <w:t>(i)</w:t>
            </w:r>
          </w:p>
        </w:tc>
        <w:tc>
          <w:tcPr>
            <w:tcW w:w="1133" w:type="dxa"/>
            <w:tcBorders>
              <w:top w:val="single" w:sz="4" w:space="0" w:color="A6A6A6"/>
              <w:bottom w:val="single" w:sz="4" w:space="0" w:color="A6A6A6"/>
            </w:tcBorders>
            <w:shd w:val="clear" w:color="auto" w:fill="E7E6E6"/>
            <w:noWrap/>
            <w:hideMark/>
          </w:tcPr>
          <w:p w14:paraId="49829651"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hideMark/>
          </w:tcPr>
          <w:p w14:paraId="31CD8CA6" w14:textId="77777777" w:rsidR="00CE75D4" w:rsidRPr="002029AF" w:rsidRDefault="00CE75D4" w:rsidP="008340C1">
            <w:pPr>
              <w:pStyle w:val="ARfintablebodyright"/>
            </w:pPr>
            <w:r w:rsidRPr="00EA7D4A">
              <w:t>111.4</w:t>
            </w:r>
          </w:p>
        </w:tc>
      </w:tr>
      <w:tr w:rsidR="00CE75D4" w:rsidRPr="002029AF" w14:paraId="0801A541" w14:textId="77777777" w:rsidTr="00860E95">
        <w:tc>
          <w:tcPr>
            <w:tcW w:w="7371" w:type="dxa"/>
            <w:tcBorders>
              <w:top w:val="single" w:sz="4" w:space="0" w:color="A6A6A6"/>
              <w:bottom w:val="single" w:sz="4" w:space="0" w:color="A6A6A6"/>
            </w:tcBorders>
            <w:hideMark/>
          </w:tcPr>
          <w:p w14:paraId="5FB77FE6" w14:textId="77777777" w:rsidR="00CE75D4" w:rsidRPr="002029AF" w:rsidRDefault="00CE75D4" w:rsidP="008340C1">
            <w:pPr>
              <w:pStyle w:val="ARfintablebody"/>
            </w:pPr>
            <w:r w:rsidRPr="00EA7D4A">
              <w:t xml:space="preserve">Tenants in advance </w:t>
            </w:r>
            <w:r w:rsidRPr="00350C16">
              <w:rPr>
                <w:rStyle w:val="Superscript"/>
              </w:rPr>
              <w:t>(i)</w:t>
            </w:r>
          </w:p>
        </w:tc>
        <w:tc>
          <w:tcPr>
            <w:tcW w:w="1133" w:type="dxa"/>
            <w:tcBorders>
              <w:top w:val="single" w:sz="4" w:space="0" w:color="A6A6A6"/>
              <w:bottom w:val="single" w:sz="4" w:space="0" w:color="A6A6A6"/>
            </w:tcBorders>
            <w:shd w:val="clear" w:color="auto" w:fill="E7E6E6"/>
            <w:noWrap/>
            <w:hideMark/>
          </w:tcPr>
          <w:p w14:paraId="1DB272F9" w14:textId="77777777" w:rsidR="00CE75D4" w:rsidRPr="002029AF" w:rsidRDefault="00CE75D4" w:rsidP="008340C1">
            <w:pPr>
              <w:pStyle w:val="ARfintablebodyright"/>
            </w:pPr>
            <w:r>
              <w:t>–</w:t>
            </w:r>
          </w:p>
        </w:tc>
        <w:tc>
          <w:tcPr>
            <w:tcW w:w="1133" w:type="dxa"/>
            <w:tcBorders>
              <w:top w:val="single" w:sz="4" w:space="0" w:color="A6A6A6"/>
              <w:bottom w:val="single" w:sz="4" w:space="0" w:color="A6A6A6"/>
            </w:tcBorders>
            <w:noWrap/>
            <w:hideMark/>
          </w:tcPr>
          <w:p w14:paraId="61F17AD2" w14:textId="77777777" w:rsidR="00CE75D4" w:rsidRPr="002029AF" w:rsidRDefault="00CE75D4" w:rsidP="008340C1">
            <w:pPr>
              <w:pStyle w:val="ARfintablebodyright"/>
            </w:pPr>
            <w:r w:rsidRPr="00EA7D4A">
              <w:t>26.7</w:t>
            </w:r>
          </w:p>
        </w:tc>
      </w:tr>
      <w:tr w:rsidR="00CE75D4" w:rsidRPr="002029AF" w14:paraId="62C1332C" w14:textId="77777777" w:rsidTr="00860E95">
        <w:tc>
          <w:tcPr>
            <w:tcW w:w="7371" w:type="dxa"/>
            <w:tcBorders>
              <w:top w:val="single" w:sz="4" w:space="0" w:color="A6A6A6"/>
              <w:bottom w:val="single" w:sz="4" w:space="0" w:color="A6A6A6"/>
            </w:tcBorders>
          </w:tcPr>
          <w:p w14:paraId="422D75B8" w14:textId="77777777" w:rsidR="00CE75D4" w:rsidRPr="0059605E" w:rsidRDefault="00CE75D4" w:rsidP="008340C1">
            <w:pPr>
              <w:pStyle w:val="ARfintablebody"/>
            </w:pPr>
            <w:r w:rsidRPr="00EA7D4A">
              <w:t>Capital works</w:t>
            </w:r>
          </w:p>
        </w:tc>
        <w:tc>
          <w:tcPr>
            <w:tcW w:w="1133" w:type="dxa"/>
            <w:tcBorders>
              <w:top w:val="single" w:sz="4" w:space="0" w:color="A6A6A6"/>
              <w:bottom w:val="single" w:sz="4" w:space="0" w:color="A6A6A6"/>
            </w:tcBorders>
            <w:shd w:val="clear" w:color="auto" w:fill="E7E6E6"/>
            <w:noWrap/>
          </w:tcPr>
          <w:p w14:paraId="6509FC24" w14:textId="77777777" w:rsidR="00CE75D4" w:rsidRPr="0059605E" w:rsidRDefault="00CE75D4" w:rsidP="008340C1">
            <w:pPr>
              <w:pStyle w:val="ARfintablebodyright"/>
            </w:pPr>
            <w:r w:rsidRPr="00EA7D4A">
              <w:t>0.9</w:t>
            </w:r>
          </w:p>
        </w:tc>
        <w:tc>
          <w:tcPr>
            <w:tcW w:w="1133" w:type="dxa"/>
            <w:tcBorders>
              <w:top w:val="single" w:sz="4" w:space="0" w:color="A6A6A6"/>
              <w:bottom w:val="single" w:sz="4" w:space="0" w:color="A6A6A6"/>
            </w:tcBorders>
            <w:noWrap/>
          </w:tcPr>
          <w:p w14:paraId="4B1AEB49" w14:textId="77777777" w:rsidR="00CE75D4" w:rsidRPr="0059605E" w:rsidRDefault="00CE75D4" w:rsidP="008340C1">
            <w:pPr>
              <w:pStyle w:val="ARfintablebodyright"/>
            </w:pPr>
            <w:r w:rsidRPr="00EA7D4A">
              <w:t>4.2</w:t>
            </w:r>
          </w:p>
        </w:tc>
      </w:tr>
      <w:tr w:rsidR="00CE75D4" w:rsidRPr="002029AF" w14:paraId="55794C25" w14:textId="77777777" w:rsidTr="00860E95">
        <w:tc>
          <w:tcPr>
            <w:tcW w:w="7371" w:type="dxa"/>
            <w:tcBorders>
              <w:top w:val="single" w:sz="4" w:space="0" w:color="A6A6A6"/>
            </w:tcBorders>
            <w:hideMark/>
          </w:tcPr>
          <w:p w14:paraId="28D50F27" w14:textId="77777777" w:rsidR="00CE75D4" w:rsidRPr="002029AF" w:rsidRDefault="00CE75D4" w:rsidP="008340C1">
            <w:pPr>
              <w:pStyle w:val="ARfintablebody"/>
            </w:pPr>
            <w:r w:rsidRPr="00EA7D4A">
              <w:t>Other</w:t>
            </w:r>
          </w:p>
        </w:tc>
        <w:tc>
          <w:tcPr>
            <w:tcW w:w="1133" w:type="dxa"/>
            <w:tcBorders>
              <w:top w:val="single" w:sz="4" w:space="0" w:color="A6A6A6"/>
            </w:tcBorders>
            <w:shd w:val="clear" w:color="auto" w:fill="E7E6E6"/>
            <w:noWrap/>
            <w:hideMark/>
          </w:tcPr>
          <w:p w14:paraId="10B321CA" w14:textId="77777777" w:rsidR="00CE75D4" w:rsidRPr="002029AF" w:rsidRDefault="00CE75D4" w:rsidP="008340C1">
            <w:pPr>
              <w:pStyle w:val="ARfintablebodyright"/>
            </w:pPr>
            <w:r w:rsidRPr="00EA7D4A">
              <w:t>19.6</w:t>
            </w:r>
          </w:p>
        </w:tc>
        <w:tc>
          <w:tcPr>
            <w:tcW w:w="1133" w:type="dxa"/>
            <w:tcBorders>
              <w:top w:val="single" w:sz="4" w:space="0" w:color="A6A6A6"/>
            </w:tcBorders>
            <w:noWrap/>
            <w:hideMark/>
          </w:tcPr>
          <w:p w14:paraId="4323F4F6" w14:textId="77777777" w:rsidR="00CE75D4" w:rsidRPr="002029AF" w:rsidRDefault="00CE75D4" w:rsidP="008340C1">
            <w:pPr>
              <w:pStyle w:val="ARfintablebodyright"/>
            </w:pPr>
            <w:r w:rsidRPr="00EA7D4A">
              <w:t>(3.9)</w:t>
            </w:r>
          </w:p>
        </w:tc>
      </w:tr>
      <w:tr w:rsidR="00CE75D4" w:rsidRPr="002029AF" w14:paraId="00F0FECE" w14:textId="77777777" w:rsidTr="00860E95">
        <w:tc>
          <w:tcPr>
            <w:tcW w:w="7371" w:type="dxa"/>
            <w:tcBorders>
              <w:bottom w:val="single" w:sz="4" w:space="0" w:color="auto"/>
            </w:tcBorders>
            <w:hideMark/>
          </w:tcPr>
          <w:p w14:paraId="296B0BEC" w14:textId="77777777" w:rsidR="00CE75D4" w:rsidRPr="002029AF" w:rsidRDefault="00CE75D4" w:rsidP="008340C1">
            <w:pPr>
              <w:pStyle w:val="ARfintablebodybold"/>
            </w:pPr>
            <w:r w:rsidRPr="00EA7D4A">
              <w:t>Total current payables</w:t>
            </w:r>
          </w:p>
        </w:tc>
        <w:tc>
          <w:tcPr>
            <w:tcW w:w="1133" w:type="dxa"/>
            <w:tcBorders>
              <w:bottom w:val="single" w:sz="4" w:space="0" w:color="auto"/>
            </w:tcBorders>
            <w:shd w:val="clear" w:color="auto" w:fill="E7E6E6"/>
            <w:noWrap/>
            <w:hideMark/>
          </w:tcPr>
          <w:p w14:paraId="0AB52678" w14:textId="77777777" w:rsidR="00CE75D4" w:rsidRPr="002029AF" w:rsidRDefault="00CE75D4" w:rsidP="008340C1">
            <w:pPr>
              <w:pStyle w:val="ARfintablebodyrightbold"/>
            </w:pPr>
            <w:r w:rsidRPr="00EA7D4A">
              <w:t>817.5</w:t>
            </w:r>
          </w:p>
        </w:tc>
        <w:tc>
          <w:tcPr>
            <w:tcW w:w="1133" w:type="dxa"/>
            <w:tcBorders>
              <w:bottom w:val="single" w:sz="4" w:space="0" w:color="auto"/>
            </w:tcBorders>
            <w:noWrap/>
            <w:hideMark/>
          </w:tcPr>
          <w:p w14:paraId="629172E1" w14:textId="77777777" w:rsidR="00CE75D4" w:rsidRPr="002029AF" w:rsidRDefault="00CE75D4" w:rsidP="008340C1">
            <w:pPr>
              <w:pStyle w:val="ARfintablebodyrightbold"/>
            </w:pPr>
            <w:r w:rsidRPr="00EA7D4A">
              <w:t>1,166.4</w:t>
            </w:r>
          </w:p>
        </w:tc>
      </w:tr>
      <w:tr w:rsidR="00CE75D4" w:rsidRPr="002029AF" w14:paraId="1A062161" w14:textId="77777777" w:rsidTr="00860E95">
        <w:tc>
          <w:tcPr>
            <w:tcW w:w="9637" w:type="dxa"/>
            <w:gridSpan w:val="3"/>
            <w:tcBorders>
              <w:top w:val="single" w:sz="4" w:space="0" w:color="auto"/>
              <w:bottom w:val="single" w:sz="4" w:space="0" w:color="A6A6A6"/>
            </w:tcBorders>
            <w:hideMark/>
          </w:tcPr>
          <w:p w14:paraId="386BC8E1" w14:textId="77777777" w:rsidR="00CE75D4" w:rsidRPr="002029AF" w:rsidRDefault="00CE75D4" w:rsidP="008340C1">
            <w:pPr>
              <w:pStyle w:val="ARfintablebodybold"/>
            </w:pPr>
            <w:r w:rsidRPr="00EA7D4A">
              <w:t>Non-current payables</w:t>
            </w:r>
          </w:p>
        </w:tc>
      </w:tr>
      <w:tr w:rsidR="00CE75D4" w:rsidRPr="002029AF" w14:paraId="1586379C" w14:textId="77777777" w:rsidTr="00860E95">
        <w:tc>
          <w:tcPr>
            <w:tcW w:w="9637" w:type="dxa"/>
            <w:gridSpan w:val="3"/>
            <w:tcBorders>
              <w:top w:val="single" w:sz="4" w:space="0" w:color="A6A6A6"/>
              <w:bottom w:val="single" w:sz="4" w:space="0" w:color="A6A6A6"/>
            </w:tcBorders>
            <w:hideMark/>
          </w:tcPr>
          <w:p w14:paraId="783B49AC" w14:textId="77777777" w:rsidR="00CE75D4" w:rsidRPr="008D50D3" w:rsidRDefault="00CE75D4" w:rsidP="008340C1">
            <w:pPr>
              <w:pStyle w:val="ARfintablebody"/>
              <w:rPr>
                <w:rStyle w:val="Emphasis"/>
              </w:rPr>
            </w:pPr>
            <w:r w:rsidRPr="008D50D3">
              <w:rPr>
                <w:rStyle w:val="Emphasis"/>
              </w:rPr>
              <w:t>Contractual</w:t>
            </w:r>
          </w:p>
        </w:tc>
      </w:tr>
      <w:tr w:rsidR="00CE75D4" w:rsidRPr="002029AF" w14:paraId="1C56C2B3" w14:textId="77777777" w:rsidTr="00860E95">
        <w:tc>
          <w:tcPr>
            <w:tcW w:w="7371" w:type="dxa"/>
            <w:tcBorders>
              <w:top w:val="single" w:sz="4" w:space="0" w:color="A6A6A6"/>
              <w:bottom w:val="single" w:sz="4" w:space="0" w:color="A6A6A6"/>
            </w:tcBorders>
            <w:hideMark/>
          </w:tcPr>
          <w:p w14:paraId="59101358" w14:textId="77777777" w:rsidR="00CE75D4" w:rsidRPr="002029AF" w:rsidRDefault="00CE75D4" w:rsidP="008340C1">
            <w:pPr>
              <w:pStyle w:val="ARfintablebody"/>
            </w:pPr>
            <w:r w:rsidRPr="00EA7D4A">
              <w:t>Amounts payable to government agencies</w:t>
            </w:r>
          </w:p>
        </w:tc>
        <w:tc>
          <w:tcPr>
            <w:tcW w:w="1133" w:type="dxa"/>
            <w:tcBorders>
              <w:top w:val="single" w:sz="4" w:space="0" w:color="A6A6A6"/>
              <w:bottom w:val="single" w:sz="4" w:space="0" w:color="A6A6A6"/>
            </w:tcBorders>
            <w:shd w:val="clear" w:color="auto" w:fill="E7E6E6"/>
            <w:noWrap/>
            <w:hideMark/>
          </w:tcPr>
          <w:p w14:paraId="58C2EF3C" w14:textId="77777777" w:rsidR="00CE75D4" w:rsidRPr="002029AF" w:rsidRDefault="00CE75D4" w:rsidP="008340C1">
            <w:pPr>
              <w:pStyle w:val="ARfintablebodyright"/>
            </w:pPr>
            <w:r w:rsidRPr="00EA7D4A">
              <w:t>1,078.2</w:t>
            </w:r>
          </w:p>
        </w:tc>
        <w:tc>
          <w:tcPr>
            <w:tcW w:w="1133" w:type="dxa"/>
            <w:tcBorders>
              <w:top w:val="single" w:sz="4" w:space="0" w:color="A6A6A6"/>
              <w:bottom w:val="single" w:sz="4" w:space="0" w:color="A6A6A6"/>
            </w:tcBorders>
            <w:noWrap/>
            <w:hideMark/>
          </w:tcPr>
          <w:p w14:paraId="4960A996" w14:textId="77777777" w:rsidR="00CE75D4" w:rsidRPr="002029AF" w:rsidRDefault="00CE75D4" w:rsidP="008340C1">
            <w:pPr>
              <w:pStyle w:val="ARfintablebodyright"/>
            </w:pPr>
            <w:r w:rsidRPr="00EA7D4A">
              <w:t>962.9</w:t>
            </w:r>
          </w:p>
        </w:tc>
      </w:tr>
      <w:tr w:rsidR="00CE75D4" w:rsidRPr="002029AF" w14:paraId="315BF938" w14:textId="77777777" w:rsidTr="00860E95">
        <w:tc>
          <w:tcPr>
            <w:tcW w:w="7371" w:type="dxa"/>
            <w:tcBorders>
              <w:top w:val="single" w:sz="4" w:space="0" w:color="A6A6A6"/>
            </w:tcBorders>
            <w:hideMark/>
          </w:tcPr>
          <w:p w14:paraId="47781363" w14:textId="77777777" w:rsidR="00CE75D4" w:rsidRPr="002029AF" w:rsidRDefault="00CE75D4" w:rsidP="008340C1">
            <w:pPr>
              <w:pStyle w:val="ARfintablebody"/>
            </w:pPr>
            <w:r w:rsidRPr="00EA7D4A">
              <w:t>Other</w:t>
            </w:r>
          </w:p>
        </w:tc>
        <w:tc>
          <w:tcPr>
            <w:tcW w:w="1133" w:type="dxa"/>
            <w:tcBorders>
              <w:top w:val="single" w:sz="4" w:space="0" w:color="A6A6A6"/>
            </w:tcBorders>
            <w:shd w:val="clear" w:color="auto" w:fill="E7E6E6"/>
            <w:noWrap/>
            <w:hideMark/>
          </w:tcPr>
          <w:p w14:paraId="648C85F1" w14:textId="77777777" w:rsidR="00CE75D4" w:rsidRPr="002029AF" w:rsidRDefault="00CE75D4" w:rsidP="008340C1">
            <w:pPr>
              <w:pStyle w:val="ARfintablebodyright"/>
            </w:pPr>
            <w:r>
              <w:t>–</w:t>
            </w:r>
          </w:p>
        </w:tc>
        <w:tc>
          <w:tcPr>
            <w:tcW w:w="1133" w:type="dxa"/>
            <w:tcBorders>
              <w:top w:val="single" w:sz="4" w:space="0" w:color="A6A6A6"/>
            </w:tcBorders>
            <w:noWrap/>
            <w:hideMark/>
          </w:tcPr>
          <w:p w14:paraId="7DFB6B9A" w14:textId="77777777" w:rsidR="00CE75D4" w:rsidRPr="002029AF" w:rsidRDefault="00CE75D4" w:rsidP="008340C1">
            <w:pPr>
              <w:pStyle w:val="ARfintablebodyright"/>
            </w:pPr>
            <w:r w:rsidRPr="00EA7D4A">
              <w:t>0.8</w:t>
            </w:r>
          </w:p>
        </w:tc>
      </w:tr>
      <w:tr w:rsidR="00CE75D4" w:rsidRPr="002029AF" w14:paraId="0BDE3F9D" w14:textId="77777777" w:rsidTr="00860E95">
        <w:tc>
          <w:tcPr>
            <w:tcW w:w="7371" w:type="dxa"/>
            <w:hideMark/>
          </w:tcPr>
          <w:p w14:paraId="3074A001" w14:textId="77777777" w:rsidR="00CE75D4" w:rsidRPr="002029AF" w:rsidRDefault="00CE75D4" w:rsidP="008340C1">
            <w:pPr>
              <w:pStyle w:val="ARfintablebodybold"/>
            </w:pPr>
            <w:r w:rsidRPr="00EA7D4A">
              <w:t>Total non-current payables</w:t>
            </w:r>
          </w:p>
        </w:tc>
        <w:tc>
          <w:tcPr>
            <w:tcW w:w="1133" w:type="dxa"/>
            <w:shd w:val="clear" w:color="auto" w:fill="E7E6E6"/>
            <w:noWrap/>
            <w:hideMark/>
          </w:tcPr>
          <w:p w14:paraId="052B04DB" w14:textId="77777777" w:rsidR="00CE75D4" w:rsidRPr="002029AF" w:rsidRDefault="00CE75D4" w:rsidP="008340C1">
            <w:pPr>
              <w:pStyle w:val="ARfintablebodyrightbold"/>
            </w:pPr>
            <w:r w:rsidRPr="00EA7D4A">
              <w:t>1,078.2</w:t>
            </w:r>
          </w:p>
        </w:tc>
        <w:tc>
          <w:tcPr>
            <w:tcW w:w="1133" w:type="dxa"/>
            <w:noWrap/>
            <w:hideMark/>
          </w:tcPr>
          <w:p w14:paraId="5E660BC4" w14:textId="77777777" w:rsidR="00CE75D4" w:rsidRPr="002029AF" w:rsidRDefault="00CE75D4" w:rsidP="008340C1">
            <w:pPr>
              <w:pStyle w:val="ARfintablebodyrightbold"/>
            </w:pPr>
            <w:r w:rsidRPr="00EA7D4A">
              <w:t>963.7</w:t>
            </w:r>
          </w:p>
        </w:tc>
      </w:tr>
      <w:tr w:rsidR="00CE75D4" w:rsidRPr="002029AF" w14:paraId="65A174F2" w14:textId="77777777" w:rsidTr="00860E95">
        <w:tc>
          <w:tcPr>
            <w:tcW w:w="7371" w:type="dxa"/>
            <w:hideMark/>
          </w:tcPr>
          <w:p w14:paraId="683B229B" w14:textId="77777777" w:rsidR="00CE75D4" w:rsidRPr="002029AF" w:rsidRDefault="00CE75D4" w:rsidP="008340C1">
            <w:pPr>
              <w:pStyle w:val="ARfintablebodybold"/>
            </w:pPr>
            <w:r w:rsidRPr="00EA7D4A">
              <w:t>Total payables</w:t>
            </w:r>
          </w:p>
        </w:tc>
        <w:tc>
          <w:tcPr>
            <w:tcW w:w="1133" w:type="dxa"/>
            <w:shd w:val="clear" w:color="auto" w:fill="E7E6E6"/>
            <w:noWrap/>
            <w:hideMark/>
          </w:tcPr>
          <w:p w14:paraId="3FAB7378" w14:textId="77777777" w:rsidR="00CE75D4" w:rsidRPr="002029AF" w:rsidRDefault="00CE75D4" w:rsidP="008340C1">
            <w:pPr>
              <w:pStyle w:val="ARfintablebodyrightbold"/>
            </w:pPr>
            <w:r w:rsidRPr="00EA7D4A">
              <w:t>1,895.7</w:t>
            </w:r>
          </w:p>
        </w:tc>
        <w:tc>
          <w:tcPr>
            <w:tcW w:w="1133" w:type="dxa"/>
            <w:noWrap/>
            <w:hideMark/>
          </w:tcPr>
          <w:p w14:paraId="2F79904C" w14:textId="77777777" w:rsidR="00CE75D4" w:rsidRPr="002029AF" w:rsidRDefault="00CE75D4" w:rsidP="008340C1">
            <w:pPr>
              <w:pStyle w:val="ARfintablebodyrightbold"/>
            </w:pPr>
            <w:r w:rsidRPr="00EA7D4A">
              <w:t>2,130.1</w:t>
            </w:r>
          </w:p>
        </w:tc>
      </w:tr>
    </w:tbl>
    <w:p w14:paraId="7E1050BC" w14:textId="77777777" w:rsidR="00CE75D4" w:rsidRDefault="00CE75D4" w:rsidP="008340C1">
      <w:pPr>
        <w:pStyle w:val="ARfintablefootnote"/>
      </w:pPr>
      <w:r>
        <w:rPr>
          <w:lang w:eastAsia="en-AU"/>
        </w:rPr>
        <w:t>Note:</w:t>
      </w:r>
    </w:p>
    <w:p w14:paraId="52F640EB" w14:textId="77777777" w:rsidR="00CE75D4" w:rsidRDefault="00CE75D4" w:rsidP="008340C1">
      <w:pPr>
        <w:pStyle w:val="ARfintablefootnoteindent"/>
      </w:pPr>
      <w:r>
        <w:t>(i)</w:t>
      </w:r>
      <w:r>
        <w:tab/>
        <w:t>2021 numbers relate to the 30 June 2021 closing balances of the DFFH, the Victorian Disability Worker Commission and the Director of Housing.</w:t>
      </w:r>
      <w:r w:rsidRPr="00226830">
        <w:t xml:space="preserve"> The transactions which relate to these entities are reported in the DFFH</w:t>
      </w:r>
      <w:r>
        <w:t>’</w:t>
      </w:r>
      <w:r w:rsidRPr="00226830">
        <w:t>s 2021</w:t>
      </w:r>
      <w:r>
        <w:t>–</w:t>
      </w:r>
      <w:r w:rsidRPr="00226830">
        <w:t>22 financial statements.</w:t>
      </w:r>
    </w:p>
    <w:p w14:paraId="4C25648B" w14:textId="77777777" w:rsidR="00CE75D4" w:rsidRDefault="00CE75D4" w:rsidP="008340C1">
      <w:pPr>
        <w:pStyle w:val="ARfinbodyaftertable"/>
      </w:pPr>
      <w:r>
        <w:t>Payables consist of:</w:t>
      </w:r>
    </w:p>
    <w:p w14:paraId="518EF4EC" w14:textId="77777777" w:rsidR="00CE75D4" w:rsidRPr="00C87F26" w:rsidRDefault="00CE75D4" w:rsidP="00817CFB">
      <w:pPr>
        <w:pStyle w:val="ARfinbullet1"/>
        <w:numPr>
          <w:ilvl w:val="0"/>
          <w:numId w:val="29"/>
        </w:numPr>
        <w:textAlignment w:val="auto"/>
        <w:rPr>
          <w:szCs w:val="18"/>
        </w:rPr>
      </w:pPr>
      <w:r w:rsidRPr="00C87F26">
        <w:rPr>
          <w:rStyle w:val="Strong"/>
          <w:szCs w:val="18"/>
        </w:rPr>
        <w:t>contractual payables</w:t>
      </w:r>
      <w:r w:rsidRPr="00C87F26">
        <w:rPr>
          <w:szCs w:val="18"/>
        </w:rPr>
        <w:t>, classified as financial instruments and measured at amortised cost. Accounts payable represent liabilities for goods and services provided to the department prior to the end of the reporting period that are unpaid, and</w:t>
      </w:r>
    </w:p>
    <w:p w14:paraId="7456E60F" w14:textId="77777777" w:rsidR="00CE75D4" w:rsidRPr="00C87F26" w:rsidRDefault="00CE75D4" w:rsidP="00817CFB">
      <w:pPr>
        <w:pStyle w:val="ARfinbullet1"/>
        <w:numPr>
          <w:ilvl w:val="0"/>
          <w:numId w:val="29"/>
        </w:numPr>
        <w:textAlignment w:val="auto"/>
        <w:rPr>
          <w:szCs w:val="18"/>
        </w:rPr>
      </w:pPr>
      <w:r w:rsidRPr="00C87F26">
        <w:rPr>
          <w:rStyle w:val="Strong"/>
          <w:szCs w:val="18"/>
        </w:rPr>
        <w:t>statutory payables</w:t>
      </w:r>
      <w:r w:rsidRPr="00C87F26">
        <w:rPr>
          <w:szCs w:val="18"/>
        </w:rPr>
        <w:t>, that are recognised and measured similarly to contractual payables, but are not classified as financial instruments and are not included in financial liabilities at amortised cost, because they do not arise from a contract.</w:t>
      </w:r>
    </w:p>
    <w:p w14:paraId="44C4D5F8" w14:textId="77777777" w:rsidR="00CE75D4" w:rsidRDefault="00CE75D4" w:rsidP="008340C1">
      <w:pPr>
        <w:pStyle w:val="ARfinbody"/>
      </w:pPr>
      <w:r>
        <w:t>Payables for supplies and services have an average credit period of 30 days.</w:t>
      </w:r>
    </w:p>
    <w:p w14:paraId="4E5162FC" w14:textId="77777777" w:rsidR="00CE75D4" w:rsidRDefault="00CE75D4" w:rsidP="008340C1">
      <w:pPr>
        <w:pStyle w:val="ARfinbody"/>
      </w:pPr>
      <w:r>
        <w:t>The terms and conditions of amounts payable to the government and agencies vary according to the particular agreements and as they are not legislative payables, they are not classified as financial instruments.</w:t>
      </w:r>
    </w:p>
    <w:p w14:paraId="234F39DC" w14:textId="77777777" w:rsidR="00CE75D4" w:rsidRDefault="00CE75D4" w:rsidP="008340C1">
      <w:pPr>
        <w:pStyle w:val="ARfinbody"/>
      </w:pPr>
      <w:r>
        <w:t>The value of loans and other amounts guaranteed by the Treasurer is disclosed as contingent liabilities.</w:t>
      </w:r>
    </w:p>
    <w:p w14:paraId="316B7E5F" w14:textId="77777777" w:rsidR="00CE75D4" w:rsidRPr="0040433B" w:rsidRDefault="00CE75D4" w:rsidP="00130D1C">
      <w:pPr>
        <w:pStyle w:val="ARfinbody"/>
      </w:pPr>
      <w:r w:rsidRPr="0040433B">
        <w:br w:type="page"/>
      </w:r>
    </w:p>
    <w:p w14:paraId="03DBC700" w14:textId="77777777" w:rsidR="00CE75D4" w:rsidRPr="002029AF" w:rsidRDefault="00CE75D4" w:rsidP="00087B91">
      <w:pPr>
        <w:pStyle w:val="Heading5"/>
      </w:pPr>
      <w:bookmarkStart w:id="597" w:name="_Toc85121454"/>
      <w:r w:rsidRPr="002029AF">
        <w:t xml:space="preserve">6.4.1 Maturity analysis of contractual payables </w:t>
      </w:r>
      <w:r w:rsidRPr="002029AF">
        <w:rPr>
          <w:rStyle w:val="Superscript"/>
          <w:rFonts w:eastAsiaTheme="minorEastAsia"/>
        </w:rPr>
        <w:t>(i)</w:t>
      </w:r>
      <w:bookmarkEnd w:id="597"/>
    </w:p>
    <w:tbl>
      <w:tblPr>
        <w:tblStyle w:val="TableGrid"/>
        <w:tblW w:w="9637" w:type="dxa"/>
        <w:tblLayout w:type="fixed"/>
        <w:tblLook w:val="06A0" w:firstRow="1" w:lastRow="0" w:firstColumn="1" w:lastColumn="0" w:noHBand="1" w:noVBand="1"/>
      </w:tblPr>
      <w:tblGrid>
        <w:gridCol w:w="1700"/>
        <w:gridCol w:w="1133"/>
        <w:gridCol w:w="1134"/>
        <w:gridCol w:w="1134"/>
        <w:gridCol w:w="1134"/>
        <w:gridCol w:w="1134"/>
        <w:gridCol w:w="1134"/>
        <w:gridCol w:w="1134"/>
      </w:tblGrid>
      <w:tr w:rsidR="00CE75D4" w:rsidRPr="002029AF" w14:paraId="0A8583B5"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val="restart"/>
            <w:noWrap/>
            <w:hideMark/>
          </w:tcPr>
          <w:p w14:paraId="216DFF3A" w14:textId="77777777" w:rsidR="00CE75D4" w:rsidRPr="002029AF" w:rsidRDefault="00CE75D4" w:rsidP="00860E95">
            <w:pPr>
              <w:pStyle w:val="ARfintablecolhead"/>
            </w:pPr>
          </w:p>
        </w:tc>
        <w:tc>
          <w:tcPr>
            <w:tcW w:w="1133" w:type="dxa"/>
            <w:vMerge w:val="restart"/>
            <w:noWrap/>
            <w:hideMark/>
          </w:tcPr>
          <w:p w14:paraId="13E51EB4" w14:textId="77777777" w:rsidR="00CE75D4" w:rsidRPr="002029AF" w:rsidRDefault="00CE75D4" w:rsidP="00860E95">
            <w:pPr>
              <w:pStyle w:val="ARfintablecolheadright"/>
            </w:pPr>
            <w:r w:rsidRPr="002029AF">
              <w:t>Carrying amount</w:t>
            </w:r>
          </w:p>
          <w:p w14:paraId="57D78F92" w14:textId="77777777" w:rsidR="00CE75D4" w:rsidRPr="002029AF" w:rsidRDefault="00CE75D4" w:rsidP="00860E95">
            <w:pPr>
              <w:pStyle w:val="ARfintablecolheadright"/>
            </w:pPr>
            <w:r w:rsidRPr="002029AF">
              <w:t>$M</w:t>
            </w:r>
          </w:p>
        </w:tc>
        <w:tc>
          <w:tcPr>
            <w:tcW w:w="1134" w:type="dxa"/>
            <w:vMerge w:val="restart"/>
            <w:noWrap/>
            <w:hideMark/>
          </w:tcPr>
          <w:p w14:paraId="03ABA604" w14:textId="77777777" w:rsidR="00CE75D4" w:rsidRPr="002029AF" w:rsidRDefault="00CE75D4" w:rsidP="00860E95">
            <w:pPr>
              <w:pStyle w:val="ARfintablecolheadright"/>
            </w:pPr>
            <w:r w:rsidRPr="002029AF">
              <w:t>Nominal amount</w:t>
            </w:r>
          </w:p>
          <w:p w14:paraId="6B0C8FFD" w14:textId="77777777" w:rsidR="00CE75D4" w:rsidRPr="002029AF" w:rsidRDefault="00CE75D4" w:rsidP="00860E95">
            <w:pPr>
              <w:pStyle w:val="ARfintablecolheadright"/>
            </w:pPr>
            <w:r w:rsidRPr="002029AF">
              <w:t>$M</w:t>
            </w:r>
          </w:p>
        </w:tc>
        <w:tc>
          <w:tcPr>
            <w:tcW w:w="5670" w:type="dxa"/>
            <w:gridSpan w:val="5"/>
            <w:noWrap/>
            <w:hideMark/>
          </w:tcPr>
          <w:p w14:paraId="5BFCC103" w14:textId="77777777" w:rsidR="00CE75D4" w:rsidRPr="002029AF" w:rsidRDefault="00CE75D4" w:rsidP="00860E95">
            <w:pPr>
              <w:pStyle w:val="ARfintablecolheadcentre"/>
            </w:pPr>
            <w:r w:rsidRPr="002029AF">
              <w:t>Maturity dates</w:t>
            </w:r>
          </w:p>
        </w:tc>
      </w:tr>
      <w:tr w:rsidR="00CE75D4" w:rsidRPr="002029AF" w14:paraId="103EE432"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tcBorders>
              <w:bottom w:val="single" w:sz="4" w:space="0" w:color="auto"/>
            </w:tcBorders>
            <w:hideMark/>
          </w:tcPr>
          <w:p w14:paraId="3F1A74A5" w14:textId="77777777" w:rsidR="00CE75D4" w:rsidRPr="002029AF" w:rsidRDefault="00CE75D4" w:rsidP="00860E95">
            <w:pPr>
              <w:pStyle w:val="ARfintablecolhead"/>
            </w:pPr>
          </w:p>
        </w:tc>
        <w:tc>
          <w:tcPr>
            <w:tcW w:w="1133" w:type="dxa"/>
            <w:vMerge/>
            <w:tcBorders>
              <w:bottom w:val="single" w:sz="4" w:space="0" w:color="auto"/>
            </w:tcBorders>
            <w:hideMark/>
          </w:tcPr>
          <w:p w14:paraId="74F9B920" w14:textId="77777777" w:rsidR="00CE75D4" w:rsidRPr="002029AF" w:rsidRDefault="00CE75D4" w:rsidP="00860E95">
            <w:pPr>
              <w:pStyle w:val="ARfintablecolheadright"/>
            </w:pPr>
          </w:p>
        </w:tc>
        <w:tc>
          <w:tcPr>
            <w:tcW w:w="1134" w:type="dxa"/>
            <w:vMerge/>
            <w:tcBorders>
              <w:bottom w:val="single" w:sz="4" w:space="0" w:color="auto"/>
            </w:tcBorders>
            <w:hideMark/>
          </w:tcPr>
          <w:p w14:paraId="2B400300" w14:textId="77777777" w:rsidR="00CE75D4" w:rsidRPr="002029AF" w:rsidRDefault="00CE75D4" w:rsidP="00860E95">
            <w:pPr>
              <w:pStyle w:val="ARfintablecolheadright"/>
            </w:pPr>
          </w:p>
        </w:tc>
        <w:tc>
          <w:tcPr>
            <w:tcW w:w="1134" w:type="dxa"/>
            <w:tcBorders>
              <w:bottom w:val="single" w:sz="4" w:space="0" w:color="auto"/>
            </w:tcBorders>
            <w:hideMark/>
          </w:tcPr>
          <w:p w14:paraId="51BFF2F0" w14:textId="77777777" w:rsidR="00CE75D4" w:rsidRPr="002029AF" w:rsidRDefault="00CE75D4" w:rsidP="00860E95">
            <w:pPr>
              <w:pStyle w:val="ARfintablecolheadright"/>
            </w:pPr>
            <w:r w:rsidRPr="002029AF">
              <w:t>Less than 1 month</w:t>
            </w:r>
          </w:p>
          <w:p w14:paraId="4BD7B628" w14:textId="77777777" w:rsidR="00CE75D4" w:rsidRPr="002029AF" w:rsidRDefault="00CE75D4" w:rsidP="00860E95">
            <w:pPr>
              <w:pStyle w:val="ARfintablecolheadright"/>
            </w:pPr>
            <w:r w:rsidRPr="002029AF">
              <w:t>$M</w:t>
            </w:r>
          </w:p>
        </w:tc>
        <w:tc>
          <w:tcPr>
            <w:tcW w:w="1134" w:type="dxa"/>
            <w:tcBorders>
              <w:bottom w:val="single" w:sz="4" w:space="0" w:color="auto"/>
            </w:tcBorders>
            <w:hideMark/>
          </w:tcPr>
          <w:p w14:paraId="2D73F59F" w14:textId="77777777" w:rsidR="00CE75D4" w:rsidRPr="002029AF" w:rsidRDefault="00CE75D4" w:rsidP="00860E95">
            <w:pPr>
              <w:pStyle w:val="ARfintablecolheadright"/>
            </w:pPr>
            <w:r w:rsidRPr="002029AF">
              <w:t>1–3 months</w:t>
            </w:r>
          </w:p>
          <w:p w14:paraId="54A2AD7A" w14:textId="77777777" w:rsidR="00CE75D4" w:rsidRPr="002029AF" w:rsidRDefault="00CE75D4" w:rsidP="00860E95">
            <w:pPr>
              <w:pStyle w:val="ARfintablecolheadright"/>
            </w:pPr>
            <w:r w:rsidRPr="002029AF">
              <w:t>$M</w:t>
            </w:r>
          </w:p>
        </w:tc>
        <w:tc>
          <w:tcPr>
            <w:tcW w:w="1134" w:type="dxa"/>
            <w:tcBorders>
              <w:bottom w:val="single" w:sz="4" w:space="0" w:color="auto"/>
            </w:tcBorders>
            <w:hideMark/>
          </w:tcPr>
          <w:p w14:paraId="7FE5FD8E" w14:textId="77777777" w:rsidR="00CE75D4" w:rsidRPr="002029AF" w:rsidRDefault="00CE75D4" w:rsidP="00860E95">
            <w:pPr>
              <w:pStyle w:val="ARfintablecolheadright"/>
            </w:pPr>
            <w:r w:rsidRPr="002029AF">
              <w:t>3 months – 1 year</w:t>
            </w:r>
          </w:p>
          <w:p w14:paraId="353D216E" w14:textId="77777777" w:rsidR="00CE75D4" w:rsidRPr="002029AF" w:rsidRDefault="00CE75D4" w:rsidP="00860E95">
            <w:pPr>
              <w:pStyle w:val="ARfintablecolheadright"/>
            </w:pPr>
            <w:r w:rsidRPr="002029AF">
              <w:t>$M</w:t>
            </w:r>
          </w:p>
        </w:tc>
        <w:tc>
          <w:tcPr>
            <w:tcW w:w="1134" w:type="dxa"/>
            <w:tcBorders>
              <w:bottom w:val="single" w:sz="4" w:space="0" w:color="auto"/>
            </w:tcBorders>
            <w:hideMark/>
          </w:tcPr>
          <w:p w14:paraId="05384192" w14:textId="77777777" w:rsidR="00CE75D4" w:rsidRPr="002029AF" w:rsidRDefault="00CE75D4" w:rsidP="00860E95">
            <w:pPr>
              <w:pStyle w:val="ARfintablecolheadright"/>
            </w:pPr>
            <w:r w:rsidRPr="002029AF">
              <w:t>1–5 years</w:t>
            </w:r>
          </w:p>
          <w:p w14:paraId="5A3831E3" w14:textId="77777777" w:rsidR="00CE75D4" w:rsidRPr="002029AF" w:rsidRDefault="00CE75D4" w:rsidP="00860E95">
            <w:pPr>
              <w:pStyle w:val="ARfintablecolheadright"/>
            </w:pPr>
            <w:r w:rsidRPr="002029AF">
              <w:t>$M</w:t>
            </w:r>
          </w:p>
        </w:tc>
        <w:tc>
          <w:tcPr>
            <w:tcW w:w="1134" w:type="dxa"/>
            <w:tcBorders>
              <w:bottom w:val="single" w:sz="4" w:space="0" w:color="auto"/>
            </w:tcBorders>
            <w:hideMark/>
          </w:tcPr>
          <w:p w14:paraId="38DEC5FB" w14:textId="77777777" w:rsidR="00CE75D4" w:rsidRPr="002029AF" w:rsidRDefault="00CE75D4" w:rsidP="00860E95">
            <w:pPr>
              <w:pStyle w:val="ARfintablecolheadright"/>
            </w:pPr>
            <w:r w:rsidRPr="002029AF">
              <w:t>5+ years</w:t>
            </w:r>
          </w:p>
          <w:p w14:paraId="555DF2F7" w14:textId="77777777" w:rsidR="00CE75D4" w:rsidRPr="002029AF" w:rsidRDefault="00CE75D4" w:rsidP="00860E95">
            <w:pPr>
              <w:pStyle w:val="ARfintablecolheadright"/>
            </w:pPr>
            <w:r w:rsidRPr="002029AF">
              <w:t>$M</w:t>
            </w:r>
          </w:p>
        </w:tc>
      </w:tr>
      <w:tr w:rsidR="00CE75D4" w:rsidRPr="002029AF" w14:paraId="3D760ABE" w14:textId="77777777" w:rsidTr="00130D1C">
        <w:trPr>
          <w:trHeight w:val="255"/>
        </w:trPr>
        <w:tc>
          <w:tcPr>
            <w:tcW w:w="9637" w:type="dxa"/>
            <w:gridSpan w:val="8"/>
            <w:tcBorders>
              <w:top w:val="single" w:sz="4" w:space="0" w:color="auto"/>
              <w:bottom w:val="single" w:sz="4" w:space="0" w:color="A6A6A6"/>
            </w:tcBorders>
            <w:hideMark/>
          </w:tcPr>
          <w:p w14:paraId="57C50C4F" w14:textId="77777777" w:rsidR="00CE75D4" w:rsidRPr="002029AF" w:rsidRDefault="00CE75D4" w:rsidP="00130D1C">
            <w:pPr>
              <w:pStyle w:val="ARfintablebodybold"/>
            </w:pPr>
            <w:r w:rsidRPr="00E36AD5">
              <w:t>202</w:t>
            </w:r>
            <w:r>
              <w:t>2</w:t>
            </w:r>
          </w:p>
        </w:tc>
      </w:tr>
      <w:tr w:rsidR="00CE75D4" w:rsidRPr="002029AF" w14:paraId="5A823BB5" w14:textId="77777777" w:rsidTr="00130D1C">
        <w:trPr>
          <w:trHeight w:val="255"/>
        </w:trPr>
        <w:tc>
          <w:tcPr>
            <w:tcW w:w="1700" w:type="dxa"/>
            <w:tcBorders>
              <w:top w:val="single" w:sz="4" w:space="0" w:color="A6A6A6"/>
            </w:tcBorders>
            <w:hideMark/>
          </w:tcPr>
          <w:p w14:paraId="7486DEE8" w14:textId="77777777" w:rsidR="00CE75D4" w:rsidRPr="002029AF" w:rsidRDefault="00CE75D4" w:rsidP="008340C1">
            <w:pPr>
              <w:pStyle w:val="ARfintablebody"/>
            </w:pPr>
            <w:r w:rsidRPr="00BD29A4">
              <w:t>Payables</w:t>
            </w:r>
          </w:p>
        </w:tc>
        <w:tc>
          <w:tcPr>
            <w:tcW w:w="1133" w:type="dxa"/>
            <w:tcBorders>
              <w:top w:val="single" w:sz="4" w:space="0" w:color="A6A6A6"/>
            </w:tcBorders>
            <w:noWrap/>
            <w:hideMark/>
          </w:tcPr>
          <w:p w14:paraId="752259D9" w14:textId="77777777" w:rsidR="00CE75D4" w:rsidRPr="002029AF" w:rsidRDefault="00CE75D4" w:rsidP="008340C1">
            <w:pPr>
              <w:pStyle w:val="ARfintablebodyright"/>
            </w:pPr>
            <w:r w:rsidRPr="00BD29A4">
              <w:t>1,895.7</w:t>
            </w:r>
          </w:p>
        </w:tc>
        <w:tc>
          <w:tcPr>
            <w:tcW w:w="1134" w:type="dxa"/>
            <w:tcBorders>
              <w:top w:val="single" w:sz="4" w:space="0" w:color="A6A6A6"/>
            </w:tcBorders>
            <w:noWrap/>
            <w:hideMark/>
          </w:tcPr>
          <w:p w14:paraId="41DDC581" w14:textId="77777777" w:rsidR="00CE75D4" w:rsidRPr="002029AF" w:rsidRDefault="00CE75D4" w:rsidP="008340C1">
            <w:pPr>
              <w:pStyle w:val="ARfintablebodyright"/>
            </w:pPr>
            <w:r w:rsidRPr="00BD29A4">
              <w:t>1,895.7</w:t>
            </w:r>
          </w:p>
        </w:tc>
        <w:tc>
          <w:tcPr>
            <w:tcW w:w="1134" w:type="dxa"/>
            <w:tcBorders>
              <w:top w:val="single" w:sz="4" w:space="0" w:color="A6A6A6"/>
            </w:tcBorders>
            <w:noWrap/>
            <w:hideMark/>
          </w:tcPr>
          <w:p w14:paraId="73EEC073" w14:textId="77777777" w:rsidR="00CE75D4" w:rsidRPr="002029AF" w:rsidRDefault="00CE75D4" w:rsidP="008340C1">
            <w:pPr>
              <w:pStyle w:val="ARfintablebodyright"/>
            </w:pPr>
            <w:r w:rsidRPr="00BD29A4">
              <w:t>254.6</w:t>
            </w:r>
          </w:p>
        </w:tc>
        <w:tc>
          <w:tcPr>
            <w:tcW w:w="1134" w:type="dxa"/>
            <w:tcBorders>
              <w:top w:val="single" w:sz="4" w:space="0" w:color="A6A6A6"/>
            </w:tcBorders>
            <w:noWrap/>
            <w:hideMark/>
          </w:tcPr>
          <w:p w14:paraId="2959ECC5" w14:textId="77777777" w:rsidR="00CE75D4" w:rsidRPr="002029AF" w:rsidRDefault="00CE75D4" w:rsidP="008340C1">
            <w:pPr>
              <w:pStyle w:val="ARfintablebodyright"/>
            </w:pPr>
            <w:r w:rsidRPr="00BD29A4">
              <w:t>150.7</w:t>
            </w:r>
          </w:p>
        </w:tc>
        <w:tc>
          <w:tcPr>
            <w:tcW w:w="1134" w:type="dxa"/>
            <w:tcBorders>
              <w:top w:val="single" w:sz="4" w:space="0" w:color="A6A6A6"/>
            </w:tcBorders>
            <w:noWrap/>
            <w:hideMark/>
          </w:tcPr>
          <w:p w14:paraId="79DD181B" w14:textId="77777777" w:rsidR="00CE75D4" w:rsidRPr="002029AF" w:rsidRDefault="00CE75D4" w:rsidP="008340C1">
            <w:pPr>
              <w:pStyle w:val="ARfintablebodyright"/>
            </w:pPr>
            <w:r w:rsidRPr="00BD29A4">
              <w:t>412.2</w:t>
            </w:r>
          </w:p>
        </w:tc>
        <w:tc>
          <w:tcPr>
            <w:tcW w:w="1134" w:type="dxa"/>
            <w:tcBorders>
              <w:top w:val="single" w:sz="4" w:space="0" w:color="A6A6A6"/>
            </w:tcBorders>
            <w:noWrap/>
            <w:hideMark/>
          </w:tcPr>
          <w:p w14:paraId="31F2BC25" w14:textId="77777777" w:rsidR="00CE75D4" w:rsidRPr="002029AF" w:rsidRDefault="00CE75D4" w:rsidP="008340C1">
            <w:pPr>
              <w:pStyle w:val="ARfintablebodyright"/>
            </w:pPr>
            <w:r>
              <w:t>–</w:t>
            </w:r>
          </w:p>
        </w:tc>
        <w:tc>
          <w:tcPr>
            <w:tcW w:w="1134" w:type="dxa"/>
            <w:tcBorders>
              <w:top w:val="single" w:sz="4" w:space="0" w:color="A6A6A6"/>
            </w:tcBorders>
            <w:noWrap/>
            <w:hideMark/>
          </w:tcPr>
          <w:p w14:paraId="4828A657" w14:textId="77777777" w:rsidR="00CE75D4" w:rsidRPr="002029AF" w:rsidRDefault="00CE75D4" w:rsidP="008340C1">
            <w:pPr>
              <w:pStyle w:val="ARfintablebodyright"/>
            </w:pPr>
            <w:r w:rsidRPr="00BD29A4">
              <w:t>1,078.2</w:t>
            </w:r>
          </w:p>
        </w:tc>
      </w:tr>
      <w:tr w:rsidR="00CE75D4" w:rsidRPr="002029AF" w14:paraId="75129678" w14:textId="77777777" w:rsidTr="00130D1C">
        <w:trPr>
          <w:trHeight w:val="255"/>
        </w:trPr>
        <w:tc>
          <w:tcPr>
            <w:tcW w:w="1700" w:type="dxa"/>
            <w:tcBorders>
              <w:bottom w:val="single" w:sz="4" w:space="0" w:color="auto"/>
            </w:tcBorders>
            <w:hideMark/>
          </w:tcPr>
          <w:p w14:paraId="5139825E" w14:textId="77777777" w:rsidR="00CE75D4" w:rsidRPr="002029AF" w:rsidRDefault="00CE75D4" w:rsidP="008340C1">
            <w:pPr>
              <w:pStyle w:val="ARfintablebodybold"/>
            </w:pPr>
            <w:r w:rsidRPr="00BD29A4">
              <w:t>Total</w:t>
            </w:r>
          </w:p>
        </w:tc>
        <w:tc>
          <w:tcPr>
            <w:tcW w:w="1133" w:type="dxa"/>
            <w:tcBorders>
              <w:bottom w:val="single" w:sz="4" w:space="0" w:color="auto"/>
            </w:tcBorders>
            <w:noWrap/>
            <w:hideMark/>
          </w:tcPr>
          <w:p w14:paraId="264B3468" w14:textId="77777777" w:rsidR="00CE75D4" w:rsidRPr="002029AF" w:rsidRDefault="00CE75D4" w:rsidP="008340C1">
            <w:pPr>
              <w:pStyle w:val="ARfintablebodyrightbold"/>
            </w:pPr>
            <w:r w:rsidRPr="00BD29A4">
              <w:t>1,895.7</w:t>
            </w:r>
          </w:p>
        </w:tc>
        <w:tc>
          <w:tcPr>
            <w:tcW w:w="1134" w:type="dxa"/>
            <w:tcBorders>
              <w:bottom w:val="single" w:sz="4" w:space="0" w:color="auto"/>
            </w:tcBorders>
            <w:noWrap/>
            <w:hideMark/>
          </w:tcPr>
          <w:p w14:paraId="2E262E9B" w14:textId="77777777" w:rsidR="00CE75D4" w:rsidRPr="002029AF" w:rsidRDefault="00CE75D4" w:rsidP="008340C1">
            <w:pPr>
              <w:pStyle w:val="ARfintablebodyrightbold"/>
            </w:pPr>
            <w:r w:rsidRPr="00BD29A4">
              <w:t>1,895.7</w:t>
            </w:r>
          </w:p>
        </w:tc>
        <w:tc>
          <w:tcPr>
            <w:tcW w:w="1134" w:type="dxa"/>
            <w:tcBorders>
              <w:bottom w:val="single" w:sz="4" w:space="0" w:color="auto"/>
            </w:tcBorders>
            <w:noWrap/>
            <w:hideMark/>
          </w:tcPr>
          <w:p w14:paraId="09D6CC53" w14:textId="77777777" w:rsidR="00CE75D4" w:rsidRPr="002029AF" w:rsidRDefault="00CE75D4" w:rsidP="008340C1">
            <w:pPr>
              <w:pStyle w:val="ARfintablebodyrightbold"/>
            </w:pPr>
            <w:r w:rsidRPr="00BD29A4">
              <w:t>254.6</w:t>
            </w:r>
          </w:p>
        </w:tc>
        <w:tc>
          <w:tcPr>
            <w:tcW w:w="1134" w:type="dxa"/>
            <w:tcBorders>
              <w:bottom w:val="single" w:sz="4" w:space="0" w:color="auto"/>
            </w:tcBorders>
            <w:noWrap/>
            <w:hideMark/>
          </w:tcPr>
          <w:p w14:paraId="106941BB" w14:textId="77777777" w:rsidR="00CE75D4" w:rsidRPr="002029AF" w:rsidRDefault="00CE75D4" w:rsidP="008340C1">
            <w:pPr>
              <w:pStyle w:val="ARfintablebodyrightbold"/>
            </w:pPr>
            <w:r w:rsidRPr="00BD29A4">
              <w:t>150.7</w:t>
            </w:r>
          </w:p>
        </w:tc>
        <w:tc>
          <w:tcPr>
            <w:tcW w:w="1134" w:type="dxa"/>
            <w:tcBorders>
              <w:bottom w:val="single" w:sz="4" w:space="0" w:color="auto"/>
            </w:tcBorders>
            <w:noWrap/>
            <w:hideMark/>
          </w:tcPr>
          <w:p w14:paraId="310B518A" w14:textId="77777777" w:rsidR="00CE75D4" w:rsidRPr="002029AF" w:rsidRDefault="00CE75D4" w:rsidP="008340C1">
            <w:pPr>
              <w:pStyle w:val="ARfintablebodyrightbold"/>
            </w:pPr>
            <w:r w:rsidRPr="00BD29A4">
              <w:t>412.2</w:t>
            </w:r>
          </w:p>
        </w:tc>
        <w:tc>
          <w:tcPr>
            <w:tcW w:w="1134" w:type="dxa"/>
            <w:tcBorders>
              <w:bottom w:val="single" w:sz="4" w:space="0" w:color="auto"/>
            </w:tcBorders>
            <w:noWrap/>
            <w:hideMark/>
          </w:tcPr>
          <w:p w14:paraId="1A43F43A" w14:textId="77777777" w:rsidR="00CE75D4" w:rsidRPr="002029AF" w:rsidRDefault="00CE75D4" w:rsidP="008340C1">
            <w:pPr>
              <w:pStyle w:val="ARfintablebodyrightbold"/>
            </w:pPr>
            <w:r>
              <w:t>–</w:t>
            </w:r>
          </w:p>
        </w:tc>
        <w:tc>
          <w:tcPr>
            <w:tcW w:w="1134" w:type="dxa"/>
            <w:tcBorders>
              <w:bottom w:val="single" w:sz="4" w:space="0" w:color="auto"/>
            </w:tcBorders>
            <w:noWrap/>
            <w:hideMark/>
          </w:tcPr>
          <w:p w14:paraId="3BFD076C" w14:textId="77777777" w:rsidR="00CE75D4" w:rsidRPr="002029AF" w:rsidRDefault="00CE75D4" w:rsidP="008340C1">
            <w:pPr>
              <w:pStyle w:val="ARfintablebodyrightbold"/>
            </w:pPr>
            <w:r w:rsidRPr="00BD29A4">
              <w:t>1,078.2</w:t>
            </w:r>
          </w:p>
        </w:tc>
      </w:tr>
      <w:tr w:rsidR="00CE75D4" w:rsidRPr="002029AF" w14:paraId="1AB7134C" w14:textId="77777777" w:rsidTr="00130D1C">
        <w:trPr>
          <w:trHeight w:val="255"/>
        </w:trPr>
        <w:tc>
          <w:tcPr>
            <w:tcW w:w="9637" w:type="dxa"/>
            <w:gridSpan w:val="8"/>
            <w:tcBorders>
              <w:top w:val="single" w:sz="4" w:space="0" w:color="auto"/>
              <w:bottom w:val="single" w:sz="4" w:space="0" w:color="A6A6A6"/>
            </w:tcBorders>
            <w:hideMark/>
          </w:tcPr>
          <w:p w14:paraId="65236A6F" w14:textId="77777777" w:rsidR="00CE75D4" w:rsidRPr="002029AF" w:rsidRDefault="00CE75D4" w:rsidP="008340C1">
            <w:pPr>
              <w:pStyle w:val="ARfintablebodybold"/>
            </w:pPr>
            <w:r w:rsidRPr="00BD29A4">
              <w:t>2021</w:t>
            </w:r>
          </w:p>
        </w:tc>
      </w:tr>
      <w:tr w:rsidR="00CE75D4" w:rsidRPr="002029AF" w14:paraId="40E35D67" w14:textId="77777777" w:rsidTr="00130D1C">
        <w:trPr>
          <w:trHeight w:val="255"/>
        </w:trPr>
        <w:tc>
          <w:tcPr>
            <w:tcW w:w="1700" w:type="dxa"/>
            <w:tcBorders>
              <w:top w:val="single" w:sz="4" w:space="0" w:color="A6A6A6"/>
            </w:tcBorders>
            <w:hideMark/>
          </w:tcPr>
          <w:p w14:paraId="7C6BFE75" w14:textId="77777777" w:rsidR="00CE75D4" w:rsidRPr="002029AF" w:rsidRDefault="00CE75D4" w:rsidP="008340C1">
            <w:pPr>
              <w:pStyle w:val="ARfintablebody"/>
            </w:pPr>
            <w:r w:rsidRPr="00BD29A4">
              <w:t>Payables</w:t>
            </w:r>
          </w:p>
        </w:tc>
        <w:tc>
          <w:tcPr>
            <w:tcW w:w="1133" w:type="dxa"/>
            <w:tcBorders>
              <w:top w:val="single" w:sz="4" w:space="0" w:color="A6A6A6"/>
            </w:tcBorders>
            <w:noWrap/>
            <w:hideMark/>
          </w:tcPr>
          <w:p w14:paraId="560DC304" w14:textId="77777777" w:rsidR="00CE75D4" w:rsidRPr="002029AF" w:rsidRDefault="00CE75D4" w:rsidP="008340C1">
            <w:pPr>
              <w:pStyle w:val="ARfintablebodyright"/>
            </w:pPr>
            <w:r w:rsidRPr="00BD29A4">
              <w:t>2,130.1</w:t>
            </w:r>
          </w:p>
        </w:tc>
        <w:tc>
          <w:tcPr>
            <w:tcW w:w="1134" w:type="dxa"/>
            <w:tcBorders>
              <w:top w:val="single" w:sz="4" w:space="0" w:color="A6A6A6"/>
            </w:tcBorders>
            <w:noWrap/>
            <w:hideMark/>
          </w:tcPr>
          <w:p w14:paraId="68FF5BAC" w14:textId="77777777" w:rsidR="00CE75D4" w:rsidRPr="002029AF" w:rsidRDefault="00CE75D4" w:rsidP="008340C1">
            <w:pPr>
              <w:pStyle w:val="ARfintablebodyright"/>
            </w:pPr>
            <w:r w:rsidRPr="00BD29A4">
              <w:t>2,130.1</w:t>
            </w:r>
          </w:p>
        </w:tc>
        <w:tc>
          <w:tcPr>
            <w:tcW w:w="1134" w:type="dxa"/>
            <w:tcBorders>
              <w:top w:val="single" w:sz="4" w:space="0" w:color="A6A6A6"/>
            </w:tcBorders>
            <w:noWrap/>
            <w:hideMark/>
          </w:tcPr>
          <w:p w14:paraId="276CD2EB" w14:textId="77777777" w:rsidR="00CE75D4" w:rsidRPr="002029AF" w:rsidRDefault="00CE75D4" w:rsidP="008340C1">
            <w:pPr>
              <w:pStyle w:val="ARfintablebodyright"/>
            </w:pPr>
            <w:r w:rsidRPr="00BD29A4">
              <w:t>767.8</w:t>
            </w:r>
          </w:p>
        </w:tc>
        <w:tc>
          <w:tcPr>
            <w:tcW w:w="1134" w:type="dxa"/>
            <w:tcBorders>
              <w:top w:val="single" w:sz="4" w:space="0" w:color="A6A6A6"/>
            </w:tcBorders>
            <w:noWrap/>
            <w:hideMark/>
          </w:tcPr>
          <w:p w14:paraId="14E43766" w14:textId="77777777" w:rsidR="00CE75D4" w:rsidRPr="002029AF" w:rsidRDefault="00CE75D4" w:rsidP="008340C1">
            <w:pPr>
              <w:pStyle w:val="ARfintablebodyright"/>
            </w:pPr>
            <w:r w:rsidRPr="00BD29A4">
              <w:t>103.4</w:t>
            </w:r>
          </w:p>
        </w:tc>
        <w:tc>
          <w:tcPr>
            <w:tcW w:w="1134" w:type="dxa"/>
            <w:tcBorders>
              <w:top w:val="single" w:sz="4" w:space="0" w:color="A6A6A6"/>
            </w:tcBorders>
            <w:noWrap/>
            <w:hideMark/>
          </w:tcPr>
          <w:p w14:paraId="122DF61C" w14:textId="77777777" w:rsidR="00CE75D4" w:rsidRPr="002029AF" w:rsidRDefault="00CE75D4" w:rsidP="008340C1">
            <w:pPr>
              <w:pStyle w:val="ARfintablebodyright"/>
            </w:pPr>
            <w:r w:rsidRPr="00BD29A4">
              <w:t>295.2</w:t>
            </w:r>
          </w:p>
        </w:tc>
        <w:tc>
          <w:tcPr>
            <w:tcW w:w="1134" w:type="dxa"/>
            <w:tcBorders>
              <w:top w:val="single" w:sz="4" w:space="0" w:color="A6A6A6"/>
            </w:tcBorders>
            <w:noWrap/>
            <w:hideMark/>
          </w:tcPr>
          <w:p w14:paraId="0847508A" w14:textId="77777777" w:rsidR="00CE75D4" w:rsidRPr="002029AF" w:rsidRDefault="00CE75D4" w:rsidP="008340C1">
            <w:pPr>
              <w:pStyle w:val="ARfintablebodyright"/>
            </w:pPr>
            <w:r w:rsidRPr="00BD29A4">
              <w:t>0.9</w:t>
            </w:r>
          </w:p>
        </w:tc>
        <w:tc>
          <w:tcPr>
            <w:tcW w:w="1134" w:type="dxa"/>
            <w:tcBorders>
              <w:top w:val="single" w:sz="4" w:space="0" w:color="A6A6A6"/>
            </w:tcBorders>
            <w:noWrap/>
            <w:hideMark/>
          </w:tcPr>
          <w:p w14:paraId="32E972BC" w14:textId="77777777" w:rsidR="00CE75D4" w:rsidRPr="002029AF" w:rsidRDefault="00CE75D4" w:rsidP="008340C1">
            <w:pPr>
              <w:pStyle w:val="ARfintablebodyright"/>
            </w:pPr>
            <w:r w:rsidRPr="00BD29A4">
              <w:t>962.8</w:t>
            </w:r>
          </w:p>
        </w:tc>
      </w:tr>
      <w:tr w:rsidR="00CE75D4" w:rsidRPr="002029AF" w14:paraId="7D063856" w14:textId="77777777" w:rsidTr="00130D1C">
        <w:trPr>
          <w:trHeight w:val="255"/>
        </w:trPr>
        <w:tc>
          <w:tcPr>
            <w:tcW w:w="1700" w:type="dxa"/>
            <w:hideMark/>
          </w:tcPr>
          <w:p w14:paraId="6D8320B7" w14:textId="77777777" w:rsidR="00CE75D4" w:rsidRPr="002029AF" w:rsidRDefault="00CE75D4" w:rsidP="008340C1">
            <w:pPr>
              <w:pStyle w:val="ARfintablebodybold"/>
            </w:pPr>
            <w:r w:rsidRPr="00BD29A4">
              <w:t>Total</w:t>
            </w:r>
          </w:p>
        </w:tc>
        <w:tc>
          <w:tcPr>
            <w:tcW w:w="1133" w:type="dxa"/>
            <w:noWrap/>
            <w:hideMark/>
          </w:tcPr>
          <w:p w14:paraId="5A8B06B0" w14:textId="77777777" w:rsidR="00CE75D4" w:rsidRPr="002029AF" w:rsidRDefault="00CE75D4" w:rsidP="008340C1">
            <w:pPr>
              <w:pStyle w:val="ARfintablebodyrightbold"/>
            </w:pPr>
            <w:r w:rsidRPr="00BD29A4">
              <w:t>2,130.1</w:t>
            </w:r>
          </w:p>
        </w:tc>
        <w:tc>
          <w:tcPr>
            <w:tcW w:w="1134" w:type="dxa"/>
            <w:noWrap/>
            <w:hideMark/>
          </w:tcPr>
          <w:p w14:paraId="228C71AB" w14:textId="77777777" w:rsidR="00CE75D4" w:rsidRPr="002029AF" w:rsidRDefault="00CE75D4" w:rsidP="008340C1">
            <w:pPr>
              <w:pStyle w:val="ARfintablebodyrightbold"/>
            </w:pPr>
            <w:r w:rsidRPr="00BD29A4">
              <w:t>2,130.1</w:t>
            </w:r>
          </w:p>
        </w:tc>
        <w:tc>
          <w:tcPr>
            <w:tcW w:w="1134" w:type="dxa"/>
            <w:noWrap/>
            <w:hideMark/>
          </w:tcPr>
          <w:p w14:paraId="00F17DE6" w14:textId="77777777" w:rsidR="00CE75D4" w:rsidRPr="002029AF" w:rsidRDefault="00CE75D4" w:rsidP="008340C1">
            <w:pPr>
              <w:pStyle w:val="ARfintablebodyrightbold"/>
            </w:pPr>
            <w:r w:rsidRPr="00BD29A4">
              <w:t>767.8</w:t>
            </w:r>
          </w:p>
        </w:tc>
        <w:tc>
          <w:tcPr>
            <w:tcW w:w="1134" w:type="dxa"/>
            <w:noWrap/>
            <w:hideMark/>
          </w:tcPr>
          <w:p w14:paraId="4B778CB0" w14:textId="77777777" w:rsidR="00CE75D4" w:rsidRPr="002029AF" w:rsidRDefault="00CE75D4" w:rsidP="008340C1">
            <w:pPr>
              <w:pStyle w:val="ARfintablebodyrightbold"/>
            </w:pPr>
            <w:r w:rsidRPr="00BD29A4">
              <w:t>103.4</w:t>
            </w:r>
          </w:p>
        </w:tc>
        <w:tc>
          <w:tcPr>
            <w:tcW w:w="1134" w:type="dxa"/>
            <w:noWrap/>
            <w:hideMark/>
          </w:tcPr>
          <w:p w14:paraId="445D1541" w14:textId="77777777" w:rsidR="00CE75D4" w:rsidRPr="002029AF" w:rsidRDefault="00CE75D4" w:rsidP="008340C1">
            <w:pPr>
              <w:pStyle w:val="ARfintablebodyrightbold"/>
            </w:pPr>
            <w:r w:rsidRPr="00BD29A4">
              <w:t>295.2</w:t>
            </w:r>
          </w:p>
        </w:tc>
        <w:tc>
          <w:tcPr>
            <w:tcW w:w="1134" w:type="dxa"/>
            <w:noWrap/>
            <w:hideMark/>
          </w:tcPr>
          <w:p w14:paraId="42053156" w14:textId="77777777" w:rsidR="00CE75D4" w:rsidRPr="002029AF" w:rsidRDefault="00CE75D4" w:rsidP="008340C1">
            <w:pPr>
              <w:pStyle w:val="ARfintablebodyrightbold"/>
            </w:pPr>
            <w:r w:rsidRPr="00BD29A4">
              <w:t>0.9</w:t>
            </w:r>
          </w:p>
        </w:tc>
        <w:tc>
          <w:tcPr>
            <w:tcW w:w="1134" w:type="dxa"/>
            <w:noWrap/>
            <w:hideMark/>
          </w:tcPr>
          <w:p w14:paraId="5C427819" w14:textId="77777777" w:rsidR="00CE75D4" w:rsidRPr="002029AF" w:rsidRDefault="00CE75D4" w:rsidP="008340C1">
            <w:pPr>
              <w:pStyle w:val="ARfintablebodyrightbold"/>
            </w:pPr>
            <w:r w:rsidRPr="00BD29A4">
              <w:t>962.8</w:t>
            </w:r>
          </w:p>
        </w:tc>
      </w:tr>
    </w:tbl>
    <w:p w14:paraId="72AC329A" w14:textId="77777777" w:rsidR="00CE75D4" w:rsidRDefault="00CE75D4" w:rsidP="008340C1">
      <w:pPr>
        <w:pStyle w:val="ARfintablefootnote"/>
        <w:rPr>
          <w:lang w:eastAsia="en-AU"/>
        </w:rPr>
      </w:pPr>
      <w:bookmarkStart w:id="598" w:name="_Toc39242155"/>
      <w:r>
        <w:rPr>
          <w:lang w:eastAsia="en-AU"/>
        </w:rPr>
        <w:t>Note:</w:t>
      </w:r>
    </w:p>
    <w:p w14:paraId="531E256C" w14:textId="77777777" w:rsidR="00CE75D4" w:rsidRDefault="00CE75D4" w:rsidP="008340C1">
      <w:pPr>
        <w:pStyle w:val="ARfintablefootnoteindent"/>
      </w:pPr>
      <w:r>
        <w:t>(i)</w:t>
      </w:r>
      <w:r>
        <w:tab/>
        <w:t>Maturity analysis is presented using the contractual undiscounted cash flows.</w:t>
      </w:r>
    </w:p>
    <w:p w14:paraId="468E743B" w14:textId="77777777" w:rsidR="00CE75D4" w:rsidRPr="002029AF" w:rsidRDefault="00CE75D4" w:rsidP="00087B91">
      <w:pPr>
        <w:pStyle w:val="Heading4"/>
      </w:pPr>
      <w:bookmarkStart w:id="599" w:name="_Toc85121455"/>
      <w:r w:rsidRPr="002029AF">
        <w:t>6.5 Other provisions</w:t>
      </w:r>
      <w:bookmarkEnd w:id="598"/>
      <w:bookmarkEnd w:id="599"/>
    </w:p>
    <w:tbl>
      <w:tblPr>
        <w:tblStyle w:val="TableGrid"/>
        <w:tblW w:w="9637" w:type="dxa"/>
        <w:tblLayout w:type="fixed"/>
        <w:tblLook w:val="06A0" w:firstRow="1" w:lastRow="0" w:firstColumn="1" w:lastColumn="0" w:noHBand="1" w:noVBand="1"/>
      </w:tblPr>
      <w:tblGrid>
        <w:gridCol w:w="7371"/>
        <w:gridCol w:w="1133"/>
        <w:gridCol w:w="1133"/>
      </w:tblGrid>
      <w:tr w:rsidR="00CE75D4" w:rsidRPr="002029AF" w14:paraId="6278D80D"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620DC6A9" w14:textId="77777777" w:rsidR="00CE75D4" w:rsidRPr="002029AF" w:rsidRDefault="00CE75D4" w:rsidP="008340C1">
            <w:pPr>
              <w:pStyle w:val="ARfintablecolhead"/>
            </w:pPr>
          </w:p>
        </w:tc>
        <w:tc>
          <w:tcPr>
            <w:tcW w:w="1133" w:type="dxa"/>
            <w:tcBorders>
              <w:bottom w:val="single" w:sz="4" w:space="0" w:color="auto"/>
            </w:tcBorders>
            <w:shd w:val="clear" w:color="auto" w:fill="E7E6E6"/>
            <w:hideMark/>
          </w:tcPr>
          <w:p w14:paraId="458B2952" w14:textId="77777777" w:rsidR="00CE75D4" w:rsidRPr="002029AF" w:rsidRDefault="00CE75D4" w:rsidP="008340C1">
            <w:pPr>
              <w:pStyle w:val="ARfintablecolheadright"/>
            </w:pPr>
            <w:r w:rsidRPr="002029AF">
              <w:t>202</w:t>
            </w:r>
            <w:r>
              <w:t>2</w:t>
            </w:r>
          </w:p>
          <w:p w14:paraId="06BD0629" w14:textId="77777777" w:rsidR="00CE75D4" w:rsidRPr="002029AF" w:rsidRDefault="00CE75D4" w:rsidP="008340C1">
            <w:pPr>
              <w:pStyle w:val="ARfintablecolheadright"/>
            </w:pPr>
            <w:r w:rsidRPr="002029AF">
              <w:t>$M</w:t>
            </w:r>
          </w:p>
        </w:tc>
        <w:tc>
          <w:tcPr>
            <w:tcW w:w="1133" w:type="dxa"/>
            <w:tcBorders>
              <w:bottom w:val="single" w:sz="4" w:space="0" w:color="auto"/>
            </w:tcBorders>
            <w:hideMark/>
          </w:tcPr>
          <w:p w14:paraId="1CA1FE6E" w14:textId="77777777" w:rsidR="00CE75D4" w:rsidRPr="002029AF" w:rsidRDefault="00CE75D4" w:rsidP="008340C1">
            <w:pPr>
              <w:pStyle w:val="ARfintablecolheadright"/>
            </w:pPr>
            <w:r>
              <w:t>2021</w:t>
            </w:r>
          </w:p>
          <w:p w14:paraId="0DAA89E5" w14:textId="77777777" w:rsidR="00CE75D4" w:rsidRPr="002029AF" w:rsidRDefault="00CE75D4" w:rsidP="008340C1">
            <w:pPr>
              <w:pStyle w:val="ARfintablecolheadright"/>
            </w:pPr>
            <w:r w:rsidRPr="002029AF">
              <w:t>$M</w:t>
            </w:r>
          </w:p>
        </w:tc>
      </w:tr>
      <w:tr w:rsidR="00CE75D4" w:rsidRPr="002029AF" w14:paraId="55F28E24" w14:textId="77777777" w:rsidTr="00860E95">
        <w:tc>
          <w:tcPr>
            <w:tcW w:w="9637" w:type="dxa"/>
            <w:gridSpan w:val="3"/>
            <w:tcBorders>
              <w:top w:val="single" w:sz="4" w:space="0" w:color="auto"/>
              <w:bottom w:val="single" w:sz="4" w:space="0" w:color="A6A6A6"/>
            </w:tcBorders>
            <w:hideMark/>
          </w:tcPr>
          <w:p w14:paraId="51055DF6" w14:textId="77777777" w:rsidR="00CE75D4" w:rsidRPr="002029AF" w:rsidRDefault="00CE75D4" w:rsidP="008340C1">
            <w:pPr>
              <w:pStyle w:val="ARfintablebodybold"/>
            </w:pPr>
            <w:r w:rsidRPr="00D57F0F">
              <w:t>Current provisions</w:t>
            </w:r>
          </w:p>
        </w:tc>
      </w:tr>
      <w:tr w:rsidR="00CE75D4" w:rsidRPr="002029AF" w14:paraId="46E0C79A" w14:textId="77777777" w:rsidTr="00860E95">
        <w:tc>
          <w:tcPr>
            <w:tcW w:w="7371" w:type="dxa"/>
            <w:tcBorders>
              <w:top w:val="single" w:sz="4" w:space="0" w:color="A6A6A6"/>
              <w:bottom w:val="single" w:sz="4" w:space="0" w:color="A6A6A6"/>
            </w:tcBorders>
            <w:hideMark/>
          </w:tcPr>
          <w:p w14:paraId="5543EADF" w14:textId="77777777" w:rsidR="00CE75D4" w:rsidRPr="002029AF" w:rsidRDefault="00CE75D4" w:rsidP="008340C1">
            <w:pPr>
              <w:pStyle w:val="ARfintablebody"/>
            </w:pPr>
            <w:r w:rsidRPr="00D57F0F">
              <w:t>Make-good provision</w:t>
            </w:r>
          </w:p>
        </w:tc>
        <w:tc>
          <w:tcPr>
            <w:tcW w:w="1133" w:type="dxa"/>
            <w:tcBorders>
              <w:top w:val="single" w:sz="4" w:space="0" w:color="A6A6A6"/>
              <w:bottom w:val="single" w:sz="4" w:space="0" w:color="A6A6A6"/>
            </w:tcBorders>
            <w:shd w:val="clear" w:color="auto" w:fill="E7E6E6"/>
            <w:noWrap/>
            <w:hideMark/>
          </w:tcPr>
          <w:p w14:paraId="29964727" w14:textId="77777777" w:rsidR="00CE75D4" w:rsidRPr="002029AF" w:rsidRDefault="00CE75D4" w:rsidP="008340C1">
            <w:pPr>
              <w:pStyle w:val="ARfintablebodyright"/>
            </w:pPr>
            <w:r w:rsidRPr="00D57F0F">
              <w:t>1.2</w:t>
            </w:r>
          </w:p>
        </w:tc>
        <w:tc>
          <w:tcPr>
            <w:tcW w:w="1133" w:type="dxa"/>
            <w:tcBorders>
              <w:top w:val="single" w:sz="4" w:space="0" w:color="A6A6A6"/>
              <w:bottom w:val="single" w:sz="4" w:space="0" w:color="A6A6A6"/>
            </w:tcBorders>
            <w:noWrap/>
            <w:hideMark/>
          </w:tcPr>
          <w:p w14:paraId="05346A5B" w14:textId="77777777" w:rsidR="00CE75D4" w:rsidRPr="002029AF" w:rsidRDefault="00CE75D4" w:rsidP="008340C1">
            <w:pPr>
              <w:pStyle w:val="ARfintablebodyright"/>
            </w:pPr>
            <w:r w:rsidRPr="00D57F0F">
              <w:t>1.2</w:t>
            </w:r>
          </w:p>
        </w:tc>
      </w:tr>
      <w:tr w:rsidR="00CE75D4" w:rsidRPr="002029AF" w14:paraId="48A61427" w14:textId="77777777" w:rsidTr="00860E95">
        <w:tc>
          <w:tcPr>
            <w:tcW w:w="7371" w:type="dxa"/>
            <w:tcBorders>
              <w:top w:val="single" w:sz="4" w:space="0" w:color="A6A6A6"/>
              <w:bottom w:val="single" w:sz="4" w:space="0" w:color="A6A6A6"/>
            </w:tcBorders>
          </w:tcPr>
          <w:p w14:paraId="38562EAB" w14:textId="77777777" w:rsidR="00CE75D4" w:rsidRPr="002029AF" w:rsidRDefault="00CE75D4" w:rsidP="008340C1">
            <w:pPr>
              <w:pStyle w:val="ARfintablebody"/>
            </w:pPr>
            <w:r w:rsidRPr="00D57F0F">
              <w:t>Insurance claims</w:t>
            </w:r>
          </w:p>
        </w:tc>
        <w:tc>
          <w:tcPr>
            <w:tcW w:w="1133" w:type="dxa"/>
            <w:tcBorders>
              <w:top w:val="single" w:sz="4" w:space="0" w:color="A6A6A6"/>
              <w:bottom w:val="single" w:sz="4" w:space="0" w:color="A6A6A6"/>
            </w:tcBorders>
            <w:shd w:val="clear" w:color="auto" w:fill="E7E6E6"/>
            <w:noWrap/>
          </w:tcPr>
          <w:p w14:paraId="5D493A26" w14:textId="77777777" w:rsidR="00CE75D4" w:rsidRPr="002029AF" w:rsidRDefault="00CE75D4" w:rsidP="008340C1">
            <w:pPr>
              <w:pStyle w:val="ARfintablebodyright"/>
            </w:pPr>
            <w:r w:rsidRPr="00D57F0F">
              <w:t>11.7</w:t>
            </w:r>
          </w:p>
        </w:tc>
        <w:tc>
          <w:tcPr>
            <w:tcW w:w="1133" w:type="dxa"/>
            <w:tcBorders>
              <w:top w:val="single" w:sz="4" w:space="0" w:color="A6A6A6"/>
              <w:bottom w:val="single" w:sz="4" w:space="0" w:color="A6A6A6"/>
            </w:tcBorders>
            <w:noWrap/>
          </w:tcPr>
          <w:p w14:paraId="5D48B073" w14:textId="77777777" w:rsidR="00CE75D4" w:rsidRPr="002029AF" w:rsidRDefault="00CE75D4" w:rsidP="008340C1">
            <w:pPr>
              <w:pStyle w:val="ARfintablebodyright"/>
            </w:pPr>
            <w:r w:rsidRPr="00D57F0F">
              <w:t>46.6</w:t>
            </w:r>
          </w:p>
        </w:tc>
      </w:tr>
      <w:tr w:rsidR="00CE75D4" w:rsidRPr="002029AF" w14:paraId="14C4AC47" w14:textId="77777777" w:rsidTr="00860E95">
        <w:tc>
          <w:tcPr>
            <w:tcW w:w="7371" w:type="dxa"/>
            <w:tcBorders>
              <w:top w:val="single" w:sz="4" w:space="0" w:color="A6A6A6"/>
              <w:bottom w:val="single" w:sz="4" w:space="0" w:color="A6A6A6"/>
            </w:tcBorders>
          </w:tcPr>
          <w:p w14:paraId="265FF6FC" w14:textId="77777777" w:rsidR="00CE75D4" w:rsidRPr="004061D8" w:rsidRDefault="00CE75D4" w:rsidP="008340C1">
            <w:pPr>
              <w:pStyle w:val="ARfintablebody"/>
            </w:pPr>
            <w:r w:rsidRPr="00D57F0F">
              <w:t>NDIS service providers</w:t>
            </w:r>
            <w:r>
              <w:t>’</w:t>
            </w:r>
            <w:r w:rsidRPr="00D57F0F">
              <w:t xml:space="preserve"> leave</w:t>
            </w:r>
          </w:p>
        </w:tc>
        <w:tc>
          <w:tcPr>
            <w:tcW w:w="1133" w:type="dxa"/>
            <w:tcBorders>
              <w:top w:val="single" w:sz="4" w:space="0" w:color="A6A6A6"/>
              <w:bottom w:val="single" w:sz="4" w:space="0" w:color="A6A6A6"/>
            </w:tcBorders>
            <w:shd w:val="clear" w:color="auto" w:fill="E7E6E6"/>
            <w:noWrap/>
          </w:tcPr>
          <w:p w14:paraId="4A92DAB8" w14:textId="77777777" w:rsidR="00CE75D4" w:rsidRPr="004061D8" w:rsidRDefault="00CE75D4" w:rsidP="008340C1">
            <w:pPr>
              <w:pStyle w:val="ARfintablebodyright"/>
            </w:pPr>
            <w:r>
              <w:t>–</w:t>
            </w:r>
          </w:p>
        </w:tc>
        <w:tc>
          <w:tcPr>
            <w:tcW w:w="1133" w:type="dxa"/>
            <w:tcBorders>
              <w:top w:val="single" w:sz="4" w:space="0" w:color="A6A6A6"/>
              <w:bottom w:val="single" w:sz="4" w:space="0" w:color="A6A6A6"/>
            </w:tcBorders>
            <w:noWrap/>
          </w:tcPr>
          <w:p w14:paraId="7EDD8F05" w14:textId="77777777" w:rsidR="00CE75D4" w:rsidRPr="004061D8" w:rsidRDefault="00CE75D4" w:rsidP="008340C1">
            <w:pPr>
              <w:pStyle w:val="ARfintablebodyright"/>
            </w:pPr>
            <w:r w:rsidRPr="00D57F0F">
              <w:t>79.3</w:t>
            </w:r>
          </w:p>
        </w:tc>
      </w:tr>
      <w:tr w:rsidR="00CE75D4" w:rsidRPr="002029AF" w14:paraId="42D211C6" w14:textId="77777777" w:rsidTr="00860E95">
        <w:tc>
          <w:tcPr>
            <w:tcW w:w="7371" w:type="dxa"/>
            <w:tcBorders>
              <w:top w:val="single" w:sz="4" w:space="0" w:color="A6A6A6"/>
            </w:tcBorders>
            <w:hideMark/>
          </w:tcPr>
          <w:p w14:paraId="5811E434" w14:textId="77777777" w:rsidR="00CE75D4" w:rsidRPr="002029AF" w:rsidRDefault="00CE75D4" w:rsidP="008340C1">
            <w:pPr>
              <w:pStyle w:val="ARfintablebody"/>
            </w:pPr>
            <w:r w:rsidRPr="00D57F0F">
              <w:t>Early retirement package</w:t>
            </w:r>
          </w:p>
        </w:tc>
        <w:tc>
          <w:tcPr>
            <w:tcW w:w="1133" w:type="dxa"/>
            <w:tcBorders>
              <w:top w:val="single" w:sz="4" w:space="0" w:color="A6A6A6"/>
            </w:tcBorders>
            <w:shd w:val="clear" w:color="auto" w:fill="E7E6E6"/>
            <w:noWrap/>
            <w:hideMark/>
          </w:tcPr>
          <w:p w14:paraId="416C7283" w14:textId="77777777" w:rsidR="00CE75D4" w:rsidRPr="002029AF" w:rsidRDefault="00CE75D4" w:rsidP="008340C1">
            <w:pPr>
              <w:pStyle w:val="ARfintablebodyright"/>
            </w:pPr>
            <w:r w:rsidRPr="00D57F0F">
              <w:t>18.9</w:t>
            </w:r>
          </w:p>
        </w:tc>
        <w:tc>
          <w:tcPr>
            <w:tcW w:w="1133" w:type="dxa"/>
            <w:tcBorders>
              <w:top w:val="single" w:sz="4" w:space="0" w:color="A6A6A6"/>
            </w:tcBorders>
            <w:noWrap/>
            <w:hideMark/>
          </w:tcPr>
          <w:p w14:paraId="7871DA56" w14:textId="77777777" w:rsidR="00CE75D4" w:rsidRPr="002029AF" w:rsidRDefault="00CE75D4" w:rsidP="008340C1">
            <w:pPr>
              <w:pStyle w:val="ARfintablebodyright"/>
            </w:pPr>
            <w:r>
              <w:t>–</w:t>
            </w:r>
          </w:p>
        </w:tc>
      </w:tr>
      <w:tr w:rsidR="00CE75D4" w:rsidRPr="002029AF" w14:paraId="06EF75B1" w14:textId="77777777" w:rsidTr="00860E95">
        <w:tc>
          <w:tcPr>
            <w:tcW w:w="7371" w:type="dxa"/>
            <w:tcBorders>
              <w:bottom w:val="single" w:sz="4" w:space="0" w:color="auto"/>
            </w:tcBorders>
            <w:hideMark/>
          </w:tcPr>
          <w:p w14:paraId="1000AE6D" w14:textId="77777777" w:rsidR="00CE75D4" w:rsidRPr="002029AF" w:rsidRDefault="00CE75D4" w:rsidP="008340C1">
            <w:pPr>
              <w:pStyle w:val="ARfintablebodybold"/>
            </w:pPr>
            <w:r w:rsidRPr="00D57F0F">
              <w:t>Total current provisions</w:t>
            </w:r>
          </w:p>
        </w:tc>
        <w:tc>
          <w:tcPr>
            <w:tcW w:w="1133" w:type="dxa"/>
            <w:tcBorders>
              <w:bottom w:val="single" w:sz="4" w:space="0" w:color="auto"/>
            </w:tcBorders>
            <w:shd w:val="clear" w:color="auto" w:fill="E7E6E6"/>
            <w:noWrap/>
            <w:hideMark/>
          </w:tcPr>
          <w:p w14:paraId="053048BE" w14:textId="77777777" w:rsidR="00CE75D4" w:rsidRPr="002029AF" w:rsidRDefault="00CE75D4" w:rsidP="008340C1">
            <w:pPr>
              <w:pStyle w:val="ARfintablebodyrightbold"/>
            </w:pPr>
            <w:r w:rsidRPr="00D57F0F">
              <w:t>31.8</w:t>
            </w:r>
          </w:p>
        </w:tc>
        <w:tc>
          <w:tcPr>
            <w:tcW w:w="1133" w:type="dxa"/>
            <w:tcBorders>
              <w:bottom w:val="single" w:sz="4" w:space="0" w:color="auto"/>
            </w:tcBorders>
            <w:noWrap/>
            <w:hideMark/>
          </w:tcPr>
          <w:p w14:paraId="28635CE5" w14:textId="77777777" w:rsidR="00CE75D4" w:rsidRPr="002029AF" w:rsidRDefault="00CE75D4" w:rsidP="008340C1">
            <w:pPr>
              <w:pStyle w:val="ARfintablebodyrightbold"/>
            </w:pPr>
            <w:r w:rsidRPr="00D57F0F">
              <w:t>127.1</w:t>
            </w:r>
          </w:p>
        </w:tc>
      </w:tr>
      <w:tr w:rsidR="00CE75D4" w:rsidRPr="002029AF" w14:paraId="5104F8CF" w14:textId="77777777" w:rsidTr="00860E95">
        <w:tc>
          <w:tcPr>
            <w:tcW w:w="9637" w:type="dxa"/>
            <w:gridSpan w:val="3"/>
            <w:tcBorders>
              <w:top w:val="single" w:sz="4" w:space="0" w:color="auto"/>
              <w:bottom w:val="single" w:sz="4" w:space="0" w:color="A6A6A6"/>
            </w:tcBorders>
            <w:hideMark/>
          </w:tcPr>
          <w:p w14:paraId="2B82B921" w14:textId="77777777" w:rsidR="00CE75D4" w:rsidRPr="002029AF" w:rsidRDefault="00CE75D4" w:rsidP="008340C1">
            <w:pPr>
              <w:pStyle w:val="ARfintablebodybold"/>
            </w:pPr>
            <w:r w:rsidRPr="00D57F0F">
              <w:t>Non-current provisions</w:t>
            </w:r>
          </w:p>
        </w:tc>
      </w:tr>
      <w:tr w:rsidR="00CE75D4" w:rsidRPr="002029AF" w14:paraId="6805434B" w14:textId="77777777" w:rsidTr="00860E95">
        <w:tc>
          <w:tcPr>
            <w:tcW w:w="7371" w:type="dxa"/>
            <w:tcBorders>
              <w:top w:val="single" w:sz="4" w:space="0" w:color="A6A6A6"/>
              <w:bottom w:val="single" w:sz="4" w:space="0" w:color="A6A6A6"/>
            </w:tcBorders>
            <w:hideMark/>
          </w:tcPr>
          <w:p w14:paraId="46CA0486" w14:textId="77777777" w:rsidR="00CE75D4" w:rsidRPr="002029AF" w:rsidRDefault="00CE75D4" w:rsidP="008340C1">
            <w:pPr>
              <w:pStyle w:val="ARfintablebody"/>
            </w:pPr>
            <w:r w:rsidRPr="00D57F0F">
              <w:t>Make-good provision</w:t>
            </w:r>
          </w:p>
        </w:tc>
        <w:tc>
          <w:tcPr>
            <w:tcW w:w="1133" w:type="dxa"/>
            <w:tcBorders>
              <w:top w:val="single" w:sz="4" w:space="0" w:color="A6A6A6"/>
              <w:bottom w:val="single" w:sz="4" w:space="0" w:color="A6A6A6"/>
            </w:tcBorders>
            <w:shd w:val="clear" w:color="auto" w:fill="E7E6E6"/>
            <w:noWrap/>
            <w:hideMark/>
          </w:tcPr>
          <w:p w14:paraId="4F1C7507" w14:textId="77777777" w:rsidR="00CE75D4" w:rsidRPr="002029AF" w:rsidRDefault="00CE75D4" w:rsidP="008340C1">
            <w:pPr>
              <w:pStyle w:val="ARfintablebodyright"/>
            </w:pPr>
            <w:r w:rsidRPr="00D57F0F">
              <w:t>2.0</w:t>
            </w:r>
          </w:p>
        </w:tc>
        <w:tc>
          <w:tcPr>
            <w:tcW w:w="1133" w:type="dxa"/>
            <w:tcBorders>
              <w:top w:val="single" w:sz="4" w:space="0" w:color="A6A6A6"/>
              <w:bottom w:val="single" w:sz="4" w:space="0" w:color="A6A6A6"/>
            </w:tcBorders>
            <w:noWrap/>
            <w:hideMark/>
          </w:tcPr>
          <w:p w14:paraId="11C25A0C" w14:textId="77777777" w:rsidR="00CE75D4" w:rsidRPr="002029AF" w:rsidRDefault="00CE75D4" w:rsidP="008340C1">
            <w:pPr>
              <w:pStyle w:val="ARfintablebodyright"/>
            </w:pPr>
            <w:r w:rsidRPr="00D57F0F">
              <w:t>6.4</w:t>
            </w:r>
          </w:p>
        </w:tc>
      </w:tr>
      <w:tr w:rsidR="00CE75D4" w:rsidRPr="002029AF" w14:paraId="61C31D62" w14:textId="77777777" w:rsidTr="00860E95">
        <w:tc>
          <w:tcPr>
            <w:tcW w:w="7371" w:type="dxa"/>
            <w:tcBorders>
              <w:top w:val="single" w:sz="4" w:space="0" w:color="A6A6A6"/>
              <w:bottom w:val="single" w:sz="4" w:space="0" w:color="A6A6A6"/>
            </w:tcBorders>
          </w:tcPr>
          <w:p w14:paraId="2CF37248" w14:textId="77777777" w:rsidR="00CE75D4" w:rsidRPr="002029AF" w:rsidRDefault="00CE75D4" w:rsidP="008340C1">
            <w:pPr>
              <w:pStyle w:val="ARfintablebody"/>
            </w:pPr>
            <w:r w:rsidRPr="00D57F0F">
              <w:t>Insurance claims</w:t>
            </w:r>
          </w:p>
        </w:tc>
        <w:tc>
          <w:tcPr>
            <w:tcW w:w="1133" w:type="dxa"/>
            <w:tcBorders>
              <w:top w:val="single" w:sz="4" w:space="0" w:color="A6A6A6"/>
              <w:bottom w:val="single" w:sz="4" w:space="0" w:color="A6A6A6"/>
            </w:tcBorders>
            <w:shd w:val="clear" w:color="auto" w:fill="E7E6E6"/>
            <w:noWrap/>
          </w:tcPr>
          <w:p w14:paraId="12740C6D" w14:textId="77777777" w:rsidR="00CE75D4" w:rsidRPr="002029AF" w:rsidRDefault="00CE75D4" w:rsidP="008340C1">
            <w:pPr>
              <w:pStyle w:val="ARfintablebodyright"/>
            </w:pPr>
            <w:r w:rsidRPr="00D57F0F">
              <w:t>27.2</w:t>
            </w:r>
          </w:p>
        </w:tc>
        <w:tc>
          <w:tcPr>
            <w:tcW w:w="1133" w:type="dxa"/>
            <w:tcBorders>
              <w:top w:val="single" w:sz="4" w:space="0" w:color="A6A6A6"/>
              <w:bottom w:val="single" w:sz="4" w:space="0" w:color="A6A6A6"/>
            </w:tcBorders>
            <w:noWrap/>
          </w:tcPr>
          <w:p w14:paraId="090D6407" w14:textId="77777777" w:rsidR="00CE75D4" w:rsidRPr="002029AF" w:rsidRDefault="00CE75D4" w:rsidP="008340C1">
            <w:pPr>
              <w:pStyle w:val="ARfintablebodyright"/>
            </w:pPr>
            <w:r w:rsidRPr="00D57F0F">
              <w:t>75.2</w:t>
            </w:r>
          </w:p>
        </w:tc>
      </w:tr>
      <w:tr w:rsidR="00CE75D4" w:rsidRPr="002029AF" w14:paraId="254ED2FB" w14:textId="77777777" w:rsidTr="00860E95">
        <w:tc>
          <w:tcPr>
            <w:tcW w:w="7371" w:type="dxa"/>
            <w:tcBorders>
              <w:top w:val="single" w:sz="4" w:space="0" w:color="A6A6A6"/>
            </w:tcBorders>
            <w:hideMark/>
          </w:tcPr>
          <w:p w14:paraId="154B2553" w14:textId="77777777" w:rsidR="00CE75D4" w:rsidRPr="002029AF" w:rsidRDefault="00CE75D4" w:rsidP="008340C1">
            <w:pPr>
              <w:pStyle w:val="ARfintablebody"/>
            </w:pPr>
            <w:r w:rsidRPr="00D57F0F">
              <w:t>NDIS service providers</w:t>
            </w:r>
            <w:r>
              <w:t>’</w:t>
            </w:r>
            <w:r w:rsidRPr="00D57F0F">
              <w:t xml:space="preserve"> leave</w:t>
            </w:r>
          </w:p>
        </w:tc>
        <w:tc>
          <w:tcPr>
            <w:tcW w:w="1133" w:type="dxa"/>
            <w:tcBorders>
              <w:top w:val="single" w:sz="4" w:space="0" w:color="A6A6A6"/>
            </w:tcBorders>
            <w:shd w:val="clear" w:color="auto" w:fill="E7E6E6"/>
            <w:noWrap/>
            <w:hideMark/>
          </w:tcPr>
          <w:p w14:paraId="7EE3AA21" w14:textId="77777777" w:rsidR="00CE75D4" w:rsidRPr="002029AF" w:rsidRDefault="00CE75D4" w:rsidP="008340C1">
            <w:pPr>
              <w:pStyle w:val="ARfintablebodyright"/>
            </w:pPr>
            <w:r>
              <w:t>–</w:t>
            </w:r>
          </w:p>
        </w:tc>
        <w:tc>
          <w:tcPr>
            <w:tcW w:w="1133" w:type="dxa"/>
            <w:tcBorders>
              <w:top w:val="single" w:sz="4" w:space="0" w:color="A6A6A6"/>
            </w:tcBorders>
            <w:noWrap/>
            <w:hideMark/>
          </w:tcPr>
          <w:p w14:paraId="7F02B10A" w14:textId="77777777" w:rsidR="00CE75D4" w:rsidRPr="002029AF" w:rsidRDefault="00CE75D4" w:rsidP="008340C1">
            <w:pPr>
              <w:pStyle w:val="ARfintablebodyright"/>
            </w:pPr>
            <w:r w:rsidRPr="00D57F0F">
              <w:t>33.1</w:t>
            </w:r>
          </w:p>
        </w:tc>
      </w:tr>
      <w:tr w:rsidR="00CE75D4" w:rsidRPr="002029AF" w14:paraId="02A4EFE0" w14:textId="77777777" w:rsidTr="00860E95">
        <w:tc>
          <w:tcPr>
            <w:tcW w:w="7371" w:type="dxa"/>
            <w:hideMark/>
          </w:tcPr>
          <w:p w14:paraId="5C00B4E2" w14:textId="77777777" w:rsidR="00CE75D4" w:rsidRPr="002029AF" w:rsidRDefault="00CE75D4" w:rsidP="008340C1">
            <w:pPr>
              <w:pStyle w:val="ARfintablebodybold"/>
            </w:pPr>
            <w:r w:rsidRPr="00D57F0F">
              <w:t>Total non-current provisions</w:t>
            </w:r>
          </w:p>
        </w:tc>
        <w:tc>
          <w:tcPr>
            <w:tcW w:w="1133" w:type="dxa"/>
            <w:shd w:val="clear" w:color="auto" w:fill="E7E6E6"/>
            <w:noWrap/>
            <w:hideMark/>
          </w:tcPr>
          <w:p w14:paraId="222829CE" w14:textId="77777777" w:rsidR="00CE75D4" w:rsidRPr="002029AF" w:rsidRDefault="00CE75D4" w:rsidP="008340C1">
            <w:pPr>
              <w:pStyle w:val="ARfintablebodyrightbold"/>
            </w:pPr>
            <w:r w:rsidRPr="00D57F0F">
              <w:t>29.2</w:t>
            </w:r>
          </w:p>
        </w:tc>
        <w:tc>
          <w:tcPr>
            <w:tcW w:w="1133" w:type="dxa"/>
            <w:noWrap/>
            <w:hideMark/>
          </w:tcPr>
          <w:p w14:paraId="79D8864B" w14:textId="77777777" w:rsidR="00CE75D4" w:rsidRPr="002029AF" w:rsidRDefault="00CE75D4" w:rsidP="008340C1">
            <w:pPr>
              <w:pStyle w:val="ARfintablebodyrightbold"/>
            </w:pPr>
            <w:r w:rsidRPr="00D57F0F">
              <w:t>114.7</w:t>
            </w:r>
          </w:p>
        </w:tc>
      </w:tr>
      <w:tr w:rsidR="00CE75D4" w:rsidRPr="002029AF" w14:paraId="1E178BA5" w14:textId="77777777" w:rsidTr="00860E95">
        <w:tc>
          <w:tcPr>
            <w:tcW w:w="7371" w:type="dxa"/>
            <w:hideMark/>
          </w:tcPr>
          <w:p w14:paraId="0C9304D3" w14:textId="77777777" w:rsidR="00CE75D4" w:rsidRPr="002029AF" w:rsidRDefault="00CE75D4" w:rsidP="008340C1">
            <w:pPr>
              <w:pStyle w:val="ARfintablebodybold"/>
            </w:pPr>
            <w:r w:rsidRPr="00D57F0F">
              <w:t>Total other provisions</w:t>
            </w:r>
          </w:p>
        </w:tc>
        <w:tc>
          <w:tcPr>
            <w:tcW w:w="1133" w:type="dxa"/>
            <w:shd w:val="clear" w:color="auto" w:fill="E7E6E6"/>
            <w:noWrap/>
            <w:hideMark/>
          </w:tcPr>
          <w:p w14:paraId="7F2CB8B7" w14:textId="77777777" w:rsidR="00CE75D4" w:rsidRPr="002029AF" w:rsidRDefault="00CE75D4" w:rsidP="008340C1">
            <w:pPr>
              <w:pStyle w:val="ARfintablebodyrightbold"/>
            </w:pPr>
            <w:r w:rsidRPr="00D57F0F">
              <w:t>61.1</w:t>
            </w:r>
          </w:p>
        </w:tc>
        <w:tc>
          <w:tcPr>
            <w:tcW w:w="1133" w:type="dxa"/>
            <w:noWrap/>
            <w:hideMark/>
          </w:tcPr>
          <w:p w14:paraId="71B73FCD" w14:textId="77777777" w:rsidR="00CE75D4" w:rsidRPr="002029AF" w:rsidRDefault="00CE75D4" w:rsidP="008340C1">
            <w:pPr>
              <w:pStyle w:val="ARfintablebodyrightbold"/>
            </w:pPr>
            <w:r w:rsidRPr="00D57F0F">
              <w:t>241.8</w:t>
            </w:r>
          </w:p>
        </w:tc>
      </w:tr>
    </w:tbl>
    <w:p w14:paraId="0854E946" w14:textId="4DCC4188" w:rsidR="00CE75D4" w:rsidRDefault="00CE75D4" w:rsidP="008340C1">
      <w:pPr>
        <w:pStyle w:val="ARfinbodyaftertable"/>
      </w:pPr>
      <w:r>
        <w:t>Other 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3C85DBFA" w14:textId="77777777" w:rsidR="00CE75D4" w:rsidRDefault="00CE75D4" w:rsidP="008340C1">
      <w:pPr>
        <w:pStyle w:val="ARfinbody"/>
      </w:pPr>
      <w:r>
        <w:t>Where a provision is measured using the cash flows estimated to settle the present obligation, its carrying amount is the present value of those cash flows, using a discount rate that reflects the time value of money and risks specific to the provision.</w:t>
      </w:r>
    </w:p>
    <w:p w14:paraId="7654CC7A" w14:textId="77777777" w:rsidR="00CE75D4" w:rsidRPr="0040433B" w:rsidRDefault="00CE75D4" w:rsidP="008340C1">
      <w:pPr>
        <w:pStyle w:val="ARfinbody"/>
      </w:pPr>
      <w:bookmarkStart w:id="600" w:name="_Toc85121456"/>
      <w:r w:rsidRPr="0040433B">
        <w:br w:type="page"/>
      </w:r>
    </w:p>
    <w:p w14:paraId="2E35492D" w14:textId="77777777" w:rsidR="00CE75D4" w:rsidRDefault="00CE75D4" w:rsidP="00130D1C">
      <w:pPr>
        <w:pStyle w:val="Heading5"/>
        <w:rPr>
          <w:lang w:eastAsia="en-AU"/>
        </w:rPr>
      </w:pPr>
      <w:r>
        <w:rPr>
          <w:lang w:eastAsia="en-AU"/>
        </w:rPr>
        <w:t>6.5.1 Reconciliation of movements in other provisions</w:t>
      </w:r>
      <w:bookmarkEnd w:id="600"/>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CE75D4" w:rsidRPr="002029AF" w14:paraId="3CE94704" w14:textId="77777777" w:rsidTr="008340C1">
        <w:trPr>
          <w:cnfStyle w:val="100000000000" w:firstRow="1" w:lastRow="0" w:firstColumn="0" w:lastColumn="0" w:oddVBand="0" w:evenVBand="0" w:oddHBand="0" w:evenHBand="0" w:firstRowFirstColumn="0" w:firstRowLastColumn="0" w:lastRowFirstColumn="0" w:lastRowLastColumn="0"/>
          <w:trHeight w:val="255"/>
          <w:tblHeader/>
        </w:trPr>
        <w:tc>
          <w:tcPr>
            <w:tcW w:w="3969" w:type="dxa"/>
            <w:tcBorders>
              <w:bottom w:val="single" w:sz="4" w:space="0" w:color="auto"/>
            </w:tcBorders>
            <w:hideMark/>
          </w:tcPr>
          <w:p w14:paraId="4D45098E" w14:textId="77777777" w:rsidR="00CE75D4" w:rsidRPr="002029AF" w:rsidRDefault="00CE75D4" w:rsidP="00860E95">
            <w:pPr>
              <w:pStyle w:val="ARfintablecolhead"/>
            </w:pPr>
          </w:p>
        </w:tc>
        <w:tc>
          <w:tcPr>
            <w:tcW w:w="1134" w:type="dxa"/>
            <w:tcBorders>
              <w:bottom w:val="single" w:sz="4" w:space="0" w:color="auto"/>
            </w:tcBorders>
            <w:hideMark/>
          </w:tcPr>
          <w:p w14:paraId="6C8C6DFE" w14:textId="77777777" w:rsidR="00CE75D4" w:rsidRPr="002029AF" w:rsidRDefault="00CE75D4" w:rsidP="00860E95">
            <w:pPr>
              <w:pStyle w:val="ARfintablecolheadright"/>
            </w:pPr>
            <w:r w:rsidRPr="002029AF">
              <w:t xml:space="preserve">Make-good </w:t>
            </w:r>
            <w:r w:rsidRPr="002029AF">
              <w:br/>
            </w:r>
            <w:r>
              <w:t>2022</w:t>
            </w:r>
          </w:p>
          <w:p w14:paraId="62648835" w14:textId="77777777" w:rsidR="00CE75D4" w:rsidRPr="002029AF" w:rsidRDefault="00CE75D4" w:rsidP="00860E95">
            <w:pPr>
              <w:pStyle w:val="ARfintablecolheadright"/>
            </w:pPr>
            <w:r w:rsidRPr="002029AF">
              <w:t>$M</w:t>
            </w:r>
          </w:p>
        </w:tc>
        <w:tc>
          <w:tcPr>
            <w:tcW w:w="1134" w:type="dxa"/>
            <w:tcBorders>
              <w:bottom w:val="single" w:sz="4" w:space="0" w:color="auto"/>
            </w:tcBorders>
            <w:hideMark/>
          </w:tcPr>
          <w:p w14:paraId="45CA387D" w14:textId="77777777" w:rsidR="00CE75D4" w:rsidRPr="002029AF" w:rsidRDefault="00CE75D4" w:rsidP="00860E95">
            <w:pPr>
              <w:pStyle w:val="ARfintablecolheadright"/>
            </w:pPr>
            <w:r w:rsidRPr="002029AF">
              <w:t>Insurance claims</w:t>
            </w:r>
            <w:r w:rsidRPr="002029AF">
              <w:br/>
            </w:r>
            <w:r>
              <w:t>2022</w:t>
            </w:r>
          </w:p>
          <w:p w14:paraId="79E5E813" w14:textId="77777777" w:rsidR="00CE75D4" w:rsidRPr="002029AF" w:rsidRDefault="00CE75D4" w:rsidP="00860E95">
            <w:pPr>
              <w:pStyle w:val="ARfintablecolheadright"/>
            </w:pPr>
            <w:r w:rsidRPr="002029AF">
              <w:t>$M</w:t>
            </w:r>
          </w:p>
        </w:tc>
        <w:tc>
          <w:tcPr>
            <w:tcW w:w="1134" w:type="dxa"/>
            <w:tcBorders>
              <w:bottom w:val="single" w:sz="4" w:space="0" w:color="auto"/>
            </w:tcBorders>
          </w:tcPr>
          <w:p w14:paraId="04052AD9" w14:textId="77777777" w:rsidR="00CE75D4" w:rsidRDefault="00CE75D4" w:rsidP="00130D1C">
            <w:pPr>
              <w:pStyle w:val="ARfintablecolheadright"/>
            </w:pPr>
            <w:r>
              <w:t xml:space="preserve">NDIS providers’ leave </w:t>
            </w:r>
            <w:r>
              <w:br/>
              <w:t>2022</w:t>
            </w:r>
          </w:p>
          <w:p w14:paraId="554989BE" w14:textId="77777777" w:rsidR="00CE75D4" w:rsidRPr="002029AF" w:rsidRDefault="00CE75D4" w:rsidP="00130D1C">
            <w:pPr>
              <w:pStyle w:val="ARfintablecolheadright"/>
            </w:pPr>
            <w:r>
              <w:t>$M</w:t>
            </w:r>
          </w:p>
        </w:tc>
        <w:tc>
          <w:tcPr>
            <w:tcW w:w="1134" w:type="dxa"/>
            <w:tcBorders>
              <w:bottom w:val="single" w:sz="4" w:space="0" w:color="auto"/>
            </w:tcBorders>
          </w:tcPr>
          <w:p w14:paraId="01361FBC" w14:textId="77777777" w:rsidR="00CE75D4" w:rsidRDefault="00CE75D4" w:rsidP="008340C1">
            <w:pPr>
              <w:pStyle w:val="ARfintablecolheadright"/>
            </w:pPr>
            <w:r w:rsidRPr="00DF69E5">
              <w:t>Early retirement package</w:t>
            </w:r>
            <w:r>
              <w:t xml:space="preserve"> </w:t>
            </w:r>
            <w:r>
              <w:br/>
              <w:t>2022</w:t>
            </w:r>
          </w:p>
          <w:p w14:paraId="146C1D61" w14:textId="77777777" w:rsidR="00CE75D4" w:rsidRPr="002029AF" w:rsidRDefault="00CE75D4" w:rsidP="008340C1">
            <w:pPr>
              <w:pStyle w:val="ARfintablecolheadright"/>
            </w:pPr>
            <w:r>
              <w:t>$M</w:t>
            </w:r>
          </w:p>
        </w:tc>
        <w:tc>
          <w:tcPr>
            <w:tcW w:w="1134" w:type="dxa"/>
            <w:tcBorders>
              <w:bottom w:val="single" w:sz="4" w:space="0" w:color="auto"/>
            </w:tcBorders>
            <w:hideMark/>
          </w:tcPr>
          <w:p w14:paraId="12AFE0EB" w14:textId="77777777" w:rsidR="00CE75D4" w:rsidRPr="002029AF" w:rsidRDefault="00CE75D4" w:rsidP="00860E95">
            <w:pPr>
              <w:pStyle w:val="ARfintablecolheadright"/>
            </w:pPr>
            <w:r w:rsidRPr="002029AF">
              <w:t xml:space="preserve">Total </w:t>
            </w:r>
            <w:r w:rsidRPr="002029AF">
              <w:br/>
            </w:r>
            <w:r>
              <w:t>2022</w:t>
            </w:r>
          </w:p>
          <w:p w14:paraId="00544BB6" w14:textId="77777777" w:rsidR="00CE75D4" w:rsidRPr="002029AF" w:rsidRDefault="00CE75D4" w:rsidP="00860E95">
            <w:pPr>
              <w:pStyle w:val="ARfintablecolheadright"/>
            </w:pPr>
            <w:r w:rsidRPr="002029AF">
              <w:t>$M</w:t>
            </w:r>
          </w:p>
        </w:tc>
      </w:tr>
      <w:tr w:rsidR="00CE75D4" w:rsidRPr="002029AF" w14:paraId="4F514E28" w14:textId="77777777" w:rsidTr="008340C1">
        <w:trPr>
          <w:cantSplit w:val="0"/>
          <w:trHeight w:val="255"/>
        </w:trPr>
        <w:tc>
          <w:tcPr>
            <w:tcW w:w="3969" w:type="dxa"/>
            <w:tcBorders>
              <w:top w:val="single" w:sz="4" w:space="0" w:color="auto"/>
              <w:bottom w:val="single" w:sz="4" w:space="0" w:color="A6A6A6"/>
            </w:tcBorders>
            <w:hideMark/>
          </w:tcPr>
          <w:p w14:paraId="5C5647FF" w14:textId="77777777" w:rsidR="00CE75D4" w:rsidRPr="002029AF" w:rsidRDefault="00CE75D4" w:rsidP="008340C1">
            <w:pPr>
              <w:pStyle w:val="ARfintablebodybold"/>
            </w:pPr>
            <w:r w:rsidRPr="002C4A6C">
              <w:t xml:space="preserve">Opening balance </w:t>
            </w:r>
            <w:r w:rsidRPr="00DF69E5">
              <w:rPr>
                <w:rStyle w:val="Superscript"/>
              </w:rPr>
              <w:t>(i)</w:t>
            </w:r>
          </w:p>
        </w:tc>
        <w:tc>
          <w:tcPr>
            <w:tcW w:w="1134" w:type="dxa"/>
            <w:tcBorders>
              <w:top w:val="single" w:sz="4" w:space="0" w:color="auto"/>
              <w:bottom w:val="single" w:sz="4" w:space="0" w:color="A6A6A6"/>
            </w:tcBorders>
            <w:noWrap/>
            <w:hideMark/>
          </w:tcPr>
          <w:p w14:paraId="7514E284" w14:textId="77777777" w:rsidR="00CE75D4" w:rsidRPr="002029AF" w:rsidRDefault="00CE75D4" w:rsidP="008340C1">
            <w:pPr>
              <w:pStyle w:val="ARfintablebodyrightbold"/>
            </w:pPr>
            <w:r w:rsidRPr="002C4A6C">
              <w:t>7.6</w:t>
            </w:r>
          </w:p>
        </w:tc>
        <w:tc>
          <w:tcPr>
            <w:tcW w:w="1134" w:type="dxa"/>
            <w:tcBorders>
              <w:top w:val="single" w:sz="4" w:space="0" w:color="auto"/>
              <w:bottom w:val="single" w:sz="4" w:space="0" w:color="A6A6A6"/>
            </w:tcBorders>
            <w:noWrap/>
            <w:hideMark/>
          </w:tcPr>
          <w:p w14:paraId="3D42DCD6" w14:textId="77777777" w:rsidR="00CE75D4" w:rsidRPr="002029AF" w:rsidRDefault="00CE75D4" w:rsidP="008340C1">
            <w:pPr>
              <w:pStyle w:val="ARfintablebodyrightbold"/>
            </w:pPr>
            <w:r w:rsidRPr="002C4A6C">
              <w:t>121.8</w:t>
            </w:r>
          </w:p>
        </w:tc>
        <w:tc>
          <w:tcPr>
            <w:tcW w:w="1134" w:type="dxa"/>
            <w:tcBorders>
              <w:top w:val="single" w:sz="4" w:space="0" w:color="auto"/>
              <w:bottom w:val="single" w:sz="4" w:space="0" w:color="A6A6A6"/>
            </w:tcBorders>
          </w:tcPr>
          <w:p w14:paraId="491ED363" w14:textId="77777777" w:rsidR="00CE75D4" w:rsidRPr="002029AF" w:rsidRDefault="00CE75D4" w:rsidP="008340C1">
            <w:pPr>
              <w:pStyle w:val="ARfintablebodyrightbold"/>
            </w:pPr>
            <w:r w:rsidRPr="002C4A6C">
              <w:t>112.4</w:t>
            </w:r>
          </w:p>
        </w:tc>
        <w:tc>
          <w:tcPr>
            <w:tcW w:w="1134" w:type="dxa"/>
            <w:tcBorders>
              <w:top w:val="single" w:sz="4" w:space="0" w:color="auto"/>
              <w:bottom w:val="single" w:sz="4" w:space="0" w:color="A6A6A6"/>
            </w:tcBorders>
          </w:tcPr>
          <w:p w14:paraId="3EA0480B" w14:textId="77777777" w:rsidR="00CE75D4" w:rsidRPr="00FA6B3F" w:rsidRDefault="00CE75D4" w:rsidP="008340C1">
            <w:pPr>
              <w:pStyle w:val="ARfintablebodyrightbold"/>
            </w:pPr>
            <w:r>
              <w:t>–</w:t>
            </w:r>
          </w:p>
        </w:tc>
        <w:tc>
          <w:tcPr>
            <w:tcW w:w="1134" w:type="dxa"/>
            <w:tcBorders>
              <w:top w:val="single" w:sz="4" w:space="0" w:color="auto"/>
              <w:bottom w:val="single" w:sz="4" w:space="0" w:color="A6A6A6"/>
            </w:tcBorders>
            <w:noWrap/>
            <w:hideMark/>
          </w:tcPr>
          <w:p w14:paraId="25F8A7FD" w14:textId="77777777" w:rsidR="00CE75D4" w:rsidRPr="002029AF" w:rsidRDefault="00CE75D4" w:rsidP="008340C1">
            <w:pPr>
              <w:pStyle w:val="ARfintablebodyrightbold"/>
            </w:pPr>
            <w:r w:rsidRPr="002C4A6C">
              <w:t>241.8</w:t>
            </w:r>
          </w:p>
        </w:tc>
      </w:tr>
      <w:tr w:rsidR="00CE75D4" w:rsidRPr="002029AF" w14:paraId="1128AD9C" w14:textId="77777777" w:rsidTr="008340C1">
        <w:trPr>
          <w:cantSplit w:val="0"/>
          <w:trHeight w:val="255"/>
        </w:trPr>
        <w:tc>
          <w:tcPr>
            <w:tcW w:w="3969" w:type="dxa"/>
            <w:tcBorders>
              <w:top w:val="single" w:sz="4" w:space="0" w:color="A6A6A6"/>
              <w:bottom w:val="single" w:sz="4" w:space="0" w:color="A6A6A6"/>
            </w:tcBorders>
            <w:hideMark/>
          </w:tcPr>
          <w:p w14:paraId="7D3025AD" w14:textId="77777777" w:rsidR="00CE75D4" w:rsidRPr="002029AF" w:rsidRDefault="00CE75D4" w:rsidP="008340C1">
            <w:pPr>
              <w:pStyle w:val="ARfintablebody"/>
            </w:pPr>
            <w:r w:rsidRPr="002C4A6C">
              <w:t>Removal of DFFH-related June 2021 closing</w:t>
            </w:r>
            <w:r>
              <w:t> </w:t>
            </w:r>
            <w:r w:rsidRPr="002C4A6C">
              <w:t xml:space="preserve">balance </w:t>
            </w:r>
            <w:r w:rsidRPr="00DF69E5">
              <w:rPr>
                <w:rStyle w:val="Superscript"/>
              </w:rPr>
              <w:t>(i)</w:t>
            </w:r>
          </w:p>
        </w:tc>
        <w:tc>
          <w:tcPr>
            <w:tcW w:w="1134" w:type="dxa"/>
            <w:tcBorders>
              <w:top w:val="single" w:sz="4" w:space="0" w:color="A6A6A6"/>
              <w:bottom w:val="single" w:sz="4" w:space="0" w:color="A6A6A6"/>
            </w:tcBorders>
            <w:noWrap/>
            <w:hideMark/>
          </w:tcPr>
          <w:p w14:paraId="3B225330" w14:textId="77777777" w:rsidR="00CE75D4" w:rsidRPr="002029AF" w:rsidRDefault="00CE75D4" w:rsidP="008340C1">
            <w:pPr>
              <w:pStyle w:val="ARfintablebodyright"/>
            </w:pPr>
            <w:r w:rsidRPr="002C4A6C">
              <w:t>(4.2)</w:t>
            </w:r>
          </w:p>
        </w:tc>
        <w:tc>
          <w:tcPr>
            <w:tcW w:w="1134" w:type="dxa"/>
            <w:tcBorders>
              <w:top w:val="single" w:sz="4" w:space="0" w:color="A6A6A6"/>
              <w:bottom w:val="single" w:sz="4" w:space="0" w:color="A6A6A6"/>
            </w:tcBorders>
            <w:noWrap/>
            <w:hideMark/>
          </w:tcPr>
          <w:p w14:paraId="2EDE1D26" w14:textId="77777777" w:rsidR="00CE75D4" w:rsidRPr="002029AF" w:rsidRDefault="00CE75D4" w:rsidP="008340C1">
            <w:pPr>
              <w:pStyle w:val="ARfintablebodyright"/>
            </w:pPr>
            <w:r w:rsidRPr="002C4A6C">
              <w:t>(82.4)</w:t>
            </w:r>
          </w:p>
        </w:tc>
        <w:tc>
          <w:tcPr>
            <w:tcW w:w="1134" w:type="dxa"/>
            <w:tcBorders>
              <w:top w:val="single" w:sz="4" w:space="0" w:color="A6A6A6"/>
              <w:bottom w:val="single" w:sz="4" w:space="0" w:color="A6A6A6"/>
            </w:tcBorders>
          </w:tcPr>
          <w:p w14:paraId="1A1103F0" w14:textId="77777777" w:rsidR="00CE75D4" w:rsidRPr="002029AF" w:rsidRDefault="00CE75D4" w:rsidP="008340C1">
            <w:pPr>
              <w:pStyle w:val="ARfintablebodyright"/>
            </w:pPr>
            <w:r w:rsidRPr="002C4A6C">
              <w:t>(112.4)</w:t>
            </w:r>
          </w:p>
        </w:tc>
        <w:tc>
          <w:tcPr>
            <w:tcW w:w="1134" w:type="dxa"/>
            <w:tcBorders>
              <w:top w:val="single" w:sz="4" w:space="0" w:color="A6A6A6"/>
              <w:bottom w:val="single" w:sz="4" w:space="0" w:color="A6A6A6"/>
            </w:tcBorders>
          </w:tcPr>
          <w:p w14:paraId="19D0CC75" w14:textId="77777777" w:rsidR="00CE75D4" w:rsidRPr="00FA6B3F" w:rsidRDefault="00CE75D4" w:rsidP="008340C1">
            <w:pPr>
              <w:pStyle w:val="ARfintablebodyright"/>
            </w:pPr>
            <w:r>
              <w:t>–</w:t>
            </w:r>
          </w:p>
        </w:tc>
        <w:tc>
          <w:tcPr>
            <w:tcW w:w="1134" w:type="dxa"/>
            <w:tcBorders>
              <w:top w:val="single" w:sz="4" w:space="0" w:color="A6A6A6"/>
              <w:bottom w:val="single" w:sz="4" w:space="0" w:color="A6A6A6"/>
            </w:tcBorders>
            <w:noWrap/>
            <w:hideMark/>
          </w:tcPr>
          <w:p w14:paraId="7A4055CE" w14:textId="77777777" w:rsidR="00CE75D4" w:rsidRPr="002029AF" w:rsidRDefault="00CE75D4" w:rsidP="008340C1">
            <w:pPr>
              <w:pStyle w:val="ARfintablebodyright"/>
            </w:pPr>
            <w:r w:rsidRPr="002C4A6C">
              <w:t>(199.0)</w:t>
            </w:r>
          </w:p>
        </w:tc>
      </w:tr>
      <w:tr w:rsidR="00CE75D4" w:rsidRPr="002029AF" w14:paraId="4E8F994C" w14:textId="77777777" w:rsidTr="008340C1">
        <w:trPr>
          <w:cantSplit w:val="0"/>
          <w:trHeight w:val="255"/>
        </w:trPr>
        <w:tc>
          <w:tcPr>
            <w:tcW w:w="3969" w:type="dxa"/>
            <w:tcBorders>
              <w:top w:val="single" w:sz="4" w:space="0" w:color="A6A6A6"/>
              <w:bottom w:val="single" w:sz="4" w:space="0" w:color="A6A6A6"/>
            </w:tcBorders>
            <w:hideMark/>
          </w:tcPr>
          <w:p w14:paraId="6098F131" w14:textId="77777777" w:rsidR="00CE75D4" w:rsidRPr="002029AF" w:rsidRDefault="00CE75D4" w:rsidP="008340C1">
            <w:pPr>
              <w:pStyle w:val="ARfintablebodybold"/>
            </w:pPr>
            <w:r w:rsidRPr="002C4A6C">
              <w:t>Adjusted balance at 1 July 2021</w:t>
            </w:r>
          </w:p>
        </w:tc>
        <w:tc>
          <w:tcPr>
            <w:tcW w:w="1134" w:type="dxa"/>
            <w:tcBorders>
              <w:top w:val="single" w:sz="4" w:space="0" w:color="A6A6A6"/>
              <w:bottom w:val="single" w:sz="4" w:space="0" w:color="A6A6A6"/>
            </w:tcBorders>
            <w:noWrap/>
            <w:hideMark/>
          </w:tcPr>
          <w:p w14:paraId="6669D57E" w14:textId="77777777" w:rsidR="00CE75D4" w:rsidRPr="002029AF" w:rsidRDefault="00CE75D4" w:rsidP="008340C1">
            <w:pPr>
              <w:pStyle w:val="ARfintablebodyrightbold"/>
            </w:pPr>
            <w:r w:rsidRPr="002C4A6C">
              <w:t>3.4</w:t>
            </w:r>
          </w:p>
        </w:tc>
        <w:tc>
          <w:tcPr>
            <w:tcW w:w="1134" w:type="dxa"/>
            <w:tcBorders>
              <w:top w:val="single" w:sz="4" w:space="0" w:color="A6A6A6"/>
              <w:bottom w:val="single" w:sz="4" w:space="0" w:color="A6A6A6"/>
            </w:tcBorders>
            <w:noWrap/>
            <w:hideMark/>
          </w:tcPr>
          <w:p w14:paraId="053023CF" w14:textId="77777777" w:rsidR="00CE75D4" w:rsidRPr="002029AF" w:rsidRDefault="00CE75D4" w:rsidP="008340C1">
            <w:pPr>
              <w:pStyle w:val="ARfintablebodyrightbold"/>
            </w:pPr>
            <w:r w:rsidRPr="002C4A6C">
              <w:t>39.5</w:t>
            </w:r>
          </w:p>
        </w:tc>
        <w:tc>
          <w:tcPr>
            <w:tcW w:w="1134" w:type="dxa"/>
            <w:tcBorders>
              <w:top w:val="single" w:sz="4" w:space="0" w:color="A6A6A6"/>
              <w:bottom w:val="single" w:sz="4" w:space="0" w:color="A6A6A6"/>
            </w:tcBorders>
          </w:tcPr>
          <w:p w14:paraId="22DA784B" w14:textId="77777777" w:rsidR="00CE75D4" w:rsidRPr="002029AF" w:rsidRDefault="00CE75D4" w:rsidP="008340C1">
            <w:pPr>
              <w:pStyle w:val="ARfintablebodyrightbold"/>
            </w:pPr>
            <w:r>
              <w:t>–</w:t>
            </w:r>
          </w:p>
        </w:tc>
        <w:tc>
          <w:tcPr>
            <w:tcW w:w="1134" w:type="dxa"/>
            <w:tcBorders>
              <w:top w:val="single" w:sz="4" w:space="0" w:color="A6A6A6"/>
              <w:bottom w:val="single" w:sz="4" w:space="0" w:color="A6A6A6"/>
            </w:tcBorders>
          </w:tcPr>
          <w:p w14:paraId="3245A2A6" w14:textId="77777777" w:rsidR="00CE75D4" w:rsidRPr="00FA6B3F" w:rsidRDefault="00CE75D4" w:rsidP="008340C1">
            <w:pPr>
              <w:pStyle w:val="ARfintablebodyrightbold"/>
            </w:pPr>
            <w:r>
              <w:t>–</w:t>
            </w:r>
          </w:p>
        </w:tc>
        <w:tc>
          <w:tcPr>
            <w:tcW w:w="1134" w:type="dxa"/>
            <w:tcBorders>
              <w:top w:val="single" w:sz="4" w:space="0" w:color="A6A6A6"/>
              <w:bottom w:val="single" w:sz="4" w:space="0" w:color="A6A6A6"/>
            </w:tcBorders>
            <w:noWrap/>
            <w:hideMark/>
          </w:tcPr>
          <w:p w14:paraId="347D8622" w14:textId="77777777" w:rsidR="00CE75D4" w:rsidRPr="002029AF" w:rsidRDefault="00CE75D4" w:rsidP="008340C1">
            <w:pPr>
              <w:pStyle w:val="ARfintablebodyrightbold"/>
            </w:pPr>
            <w:r w:rsidRPr="002C4A6C">
              <w:t>42.9</w:t>
            </w:r>
          </w:p>
        </w:tc>
      </w:tr>
      <w:tr w:rsidR="00CE75D4" w:rsidRPr="002029AF" w14:paraId="1CA622DF" w14:textId="77777777" w:rsidTr="008340C1">
        <w:trPr>
          <w:cantSplit w:val="0"/>
          <w:trHeight w:val="255"/>
        </w:trPr>
        <w:tc>
          <w:tcPr>
            <w:tcW w:w="3969" w:type="dxa"/>
            <w:tcBorders>
              <w:top w:val="single" w:sz="4" w:space="0" w:color="A6A6A6"/>
              <w:bottom w:val="single" w:sz="4" w:space="0" w:color="A6A6A6"/>
            </w:tcBorders>
            <w:hideMark/>
          </w:tcPr>
          <w:p w14:paraId="75F8D55E" w14:textId="77777777" w:rsidR="00CE75D4" w:rsidRPr="002029AF" w:rsidRDefault="00CE75D4" w:rsidP="008340C1">
            <w:pPr>
              <w:pStyle w:val="ARfintablebody"/>
            </w:pPr>
            <w:r w:rsidRPr="002C4A6C">
              <w:t>Additional/(reduced) provisions recognised</w:t>
            </w:r>
          </w:p>
        </w:tc>
        <w:tc>
          <w:tcPr>
            <w:tcW w:w="1134" w:type="dxa"/>
            <w:tcBorders>
              <w:top w:val="single" w:sz="4" w:space="0" w:color="A6A6A6"/>
              <w:bottom w:val="single" w:sz="4" w:space="0" w:color="A6A6A6"/>
            </w:tcBorders>
            <w:noWrap/>
            <w:hideMark/>
          </w:tcPr>
          <w:p w14:paraId="661E7267" w14:textId="77777777" w:rsidR="00CE75D4" w:rsidRPr="002029AF" w:rsidRDefault="00CE75D4" w:rsidP="008340C1">
            <w:pPr>
              <w:pStyle w:val="ARfintablebodyright"/>
            </w:pPr>
            <w:r w:rsidRPr="002C4A6C">
              <w:t>(0.2)</w:t>
            </w:r>
          </w:p>
        </w:tc>
        <w:tc>
          <w:tcPr>
            <w:tcW w:w="1134" w:type="dxa"/>
            <w:tcBorders>
              <w:top w:val="single" w:sz="4" w:space="0" w:color="A6A6A6"/>
              <w:bottom w:val="single" w:sz="4" w:space="0" w:color="A6A6A6"/>
            </w:tcBorders>
            <w:noWrap/>
            <w:hideMark/>
          </w:tcPr>
          <w:p w14:paraId="3917D1FA"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tcPr>
          <w:p w14:paraId="61DF47A0"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tcPr>
          <w:p w14:paraId="4DCB9CDE" w14:textId="77777777" w:rsidR="00CE75D4" w:rsidRPr="00FA6B3F" w:rsidRDefault="00CE75D4" w:rsidP="008340C1">
            <w:pPr>
              <w:pStyle w:val="ARfintablebodyright"/>
            </w:pPr>
            <w:r w:rsidRPr="002C4A6C">
              <w:t>18.9</w:t>
            </w:r>
          </w:p>
        </w:tc>
        <w:tc>
          <w:tcPr>
            <w:tcW w:w="1134" w:type="dxa"/>
            <w:tcBorders>
              <w:top w:val="single" w:sz="4" w:space="0" w:color="A6A6A6"/>
              <w:bottom w:val="single" w:sz="4" w:space="0" w:color="A6A6A6"/>
            </w:tcBorders>
            <w:noWrap/>
            <w:hideMark/>
          </w:tcPr>
          <w:p w14:paraId="174DBF07" w14:textId="77777777" w:rsidR="00CE75D4" w:rsidRPr="002029AF" w:rsidRDefault="00CE75D4" w:rsidP="008340C1">
            <w:pPr>
              <w:pStyle w:val="ARfintablebodyright"/>
            </w:pPr>
            <w:r w:rsidRPr="002C4A6C">
              <w:t>18.7</w:t>
            </w:r>
          </w:p>
        </w:tc>
      </w:tr>
      <w:tr w:rsidR="00CE75D4" w:rsidRPr="002029AF" w14:paraId="31C03DF9" w14:textId="77777777" w:rsidTr="008340C1">
        <w:trPr>
          <w:cantSplit w:val="0"/>
          <w:trHeight w:val="255"/>
        </w:trPr>
        <w:tc>
          <w:tcPr>
            <w:tcW w:w="3969" w:type="dxa"/>
            <w:tcBorders>
              <w:top w:val="single" w:sz="4" w:space="0" w:color="A6A6A6"/>
              <w:bottom w:val="single" w:sz="4" w:space="0" w:color="A6A6A6"/>
            </w:tcBorders>
            <w:hideMark/>
          </w:tcPr>
          <w:p w14:paraId="2C9488C0" w14:textId="77777777" w:rsidR="00CE75D4" w:rsidRPr="002029AF" w:rsidRDefault="00CE75D4" w:rsidP="008340C1">
            <w:pPr>
              <w:pStyle w:val="ARfintablebody"/>
            </w:pPr>
            <w:r w:rsidRPr="002C4A6C">
              <w:t>Reductions arising from payments/claims handling expenses/other sacrifices of future economic benefits</w:t>
            </w:r>
          </w:p>
        </w:tc>
        <w:tc>
          <w:tcPr>
            <w:tcW w:w="1134" w:type="dxa"/>
            <w:tcBorders>
              <w:top w:val="single" w:sz="4" w:space="0" w:color="A6A6A6"/>
              <w:bottom w:val="single" w:sz="4" w:space="0" w:color="A6A6A6"/>
            </w:tcBorders>
            <w:noWrap/>
            <w:hideMark/>
          </w:tcPr>
          <w:p w14:paraId="594EE904"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434E324B" w14:textId="77777777" w:rsidR="00CE75D4" w:rsidRPr="002029AF" w:rsidRDefault="00CE75D4" w:rsidP="008340C1">
            <w:pPr>
              <w:pStyle w:val="ARfintablebodyright"/>
            </w:pPr>
            <w:r w:rsidRPr="002C4A6C">
              <w:t>(9.2)</w:t>
            </w:r>
          </w:p>
        </w:tc>
        <w:tc>
          <w:tcPr>
            <w:tcW w:w="1134" w:type="dxa"/>
            <w:tcBorders>
              <w:top w:val="single" w:sz="4" w:space="0" w:color="A6A6A6"/>
              <w:bottom w:val="single" w:sz="4" w:space="0" w:color="A6A6A6"/>
            </w:tcBorders>
          </w:tcPr>
          <w:p w14:paraId="29EC3A0B"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tcPr>
          <w:p w14:paraId="667B86D2" w14:textId="77777777" w:rsidR="00CE75D4" w:rsidRPr="00FA6B3F" w:rsidRDefault="00CE75D4" w:rsidP="008340C1">
            <w:pPr>
              <w:pStyle w:val="ARfintablebodyright"/>
            </w:pPr>
            <w:r>
              <w:t>–</w:t>
            </w:r>
          </w:p>
        </w:tc>
        <w:tc>
          <w:tcPr>
            <w:tcW w:w="1134" w:type="dxa"/>
            <w:tcBorders>
              <w:top w:val="single" w:sz="4" w:space="0" w:color="A6A6A6"/>
              <w:bottom w:val="single" w:sz="4" w:space="0" w:color="A6A6A6"/>
            </w:tcBorders>
            <w:noWrap/>
            <w:hideMark/>
          </w:tcPr>
          <w:p w14:paraId="2BF0036D" w14:textId="77777777" w:rsidR="00CE75D4" w:rsidRPr="002029AF" w:rsidRDefault="00CE75D4" w:rsidP="008340C1">
            <w:pPr>
              <w:pStyle w:val="ARfintablebodyright"/>
            </w:pPr>
            <w:r w:rsidRPr="002C4A6C">
              <w:t>(9.2)</w:t>
            </w:r>
          </w:p>
        </w:tc>
      </w:tr>
      <w:tr w:rsidR="00CE75D4" w:rsidRPr="002029AF" w14:paraId="4A873048" w14:textId="77777777" w:rsidTr="008340C1">
        <w:trPr>
          <w:cantSplit w:val="0"/>
          <w:trHeight w:val="255"/>
        </w:trPr>
        <w:tc>
          <w:tcPr>
            <w:tcW w:w="3969" w:type="dxa"/>
            <w:tcBorders>
              <w:top w:val="single" w:sz="4" w:space="0" w:color="A6A6A6"/>
              <w:bottom w:val="single" w:sz="4" w:space="0" w:color="A6A6A6"/>
            </w:tcBorders>
            <w:hideMark/>
          </w:tcPr>
          <w:p w14:paraId="371636F9" w14:textId="77777777" w:rsidR="00CE75D4" w:rsidRPr="002029AF" w:rsidRDefault="00CE75D4" w:rsidP="008340C1">
            <w:pPr>
              <w:pStyle w:val="ARfintablebody"/>
            </w:pPr>
            <w:r w:rsidRPr="002C4A6C">
              <w:t>Actuarial revaluations of insurance claims liability inclusive of risk margin</w:t>
            </w:r>
          </w:p>
        </w:tc>
        <w:tc>
          <w:tcPr>
            <w:tcW w:w="1134" w:type="dxa"/>
            <w:tcBorders>
              <w:top w:val="single" w:sz="4" w:space="0" w:color="A6A6A6"/>
              <w:bottom w:val="single" w:sz="4" w:space="0" w:color="A6A6A6"/>
            </w:tcBorders>
            <w:noWrap/>
            <w:hideMark/>
          </w:tcPr>
          <w:p w14:paraId="6A47CD2A"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5F96B4E0" w14:textId="77777777" w:rsidR="00CE75D4" w:rsidRPr="002029AF" w:rsidRDefault="00CE75D4" w:rsidP="008340C1">
            <w:pPr>
              <w:pStyle w:val="ARfintablebodyright"/>
            </w:pPr>
            <w:r w:rsidRPr="002C4A6C">
              <w:t>8.6</w:t>
            </w:r>
          </w:p>
        </w:tc>
        <w:tc>
          <w:tcPr>
            <w:tcW w:w="1134" w:type="dxa"/>
            <w:tcBorders>
              <w:top w:val="single" w:sz="4" w:space="0" w:color="A6A6A6"/>
              <w:bottom w:val="single" w:sz="4" w:space="0" w:color="A6A6A6"/>
            </w:tcBorders>
          </w:tcPr>
          <w:p w14:paraId="33A5CF71"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tcPr>
          <w:p w14:paraId="7B13E243" w14:textId="77777777" w:rsidR="00CE75D4" w:rsidRPr="00FA6B3F" w:rsidRDefault="00CE75D4" w:rsidP="008340C1">
            <w:pPr>
              <w:pStyle w:val="ARfintablebodyright"/>
            </w:pPr>
            <w:r>
              <w:t>–</w:t>
            </w:r>
          </w:p>
        </w:tc>
        <w:tc>
          <w:tcPr>
            <w:tcW w:w="1134" w:type="dxa"/>
            <w:tcBorders>
              <w:top w:val="single" w:sz="4" w:space="0" w:color="A6A6A6"/>
              <w:bottom w:val="single" w:sz="4" w:space="0" w:color="A6A6A6"/>
            </w:tcBorders>
            <w:noWrap/>
            <w:hideMark/>
          </w:tcPr>
          <w:p w14:paraId="44DC17BB" w14:textId="77777777" w:rsidR="00CE75D4" w:rsidRPr="002029AF" w:rsidRDefault="00CE75D4" w:rsidP="008340C1">
            <w:pPr>
              <w:pStyle w:val="ARfintablebodyright"/>
            </w:pPr>
            <w:r w:rsidRPr="002C4A6C">
              <w:t>8.6</w:t>
            </w:r>
          </w:p>
        </w:tc>
      </w:tr>
      <w:tr w:rsidR="00CE75D4" w:rsidRPr="002029AF" w14:paraId="3E98886A" w14:textId="77777777" w:rsidTr="008340C1">
        <w:trPr>
          <w:cantSplit w:val="0"/>
          <w:trHeight w:val="255"/>
        </w:trPr>
        <w:tc>
          <w:tcPr>
            <w:tcW w:w="3969" w:type="dxa"/>
            <w:tcBorders>
              <w:top w:val="single" w:sz="4" w:space="0" w:color="A6A6A6"/>
            </w:tcBorders>
            <w:hideMark/>
          </w:tcPr>
          <w:p w14:paraId="3F5421B5" w14:textId="77777777" w:rsidR="00CE75D4" w:rsidRPr="002029AF" w:rsidRDefault="00CE75D4" w:rsidP="008340C1">
            <w:pPr>
              <w:pStyle w:val="ARfintablebody"/>
            </w:pPr>
            <w:r w:rsidRPr="002C4A6C">
              <w:t>Unwind of discount and effect of changes in</w:t>
            </w:r>
            <w:r>
              <w:t> </w:t>
            </w:r>
            <w:r w:rsidRPr="002C4A6C">
              <w:t>the discount rate</w:t>
            </w:r>
          </w:p>
        </w:tc>
        <w:tc>
          <w:tcPr>
            <w:tcW w:w="1134" w:type="dxa"/>
            <w:tcBorders>
              <w:top w:val="single" w:sz="4" w:space="0" w:color="A6A6A6"/>
            </w:tcBorders>
            <w:noWrap/>
            <w:hideMark/>
          </w:tcPr>
          <w:p w14:paraId="199DF7A5" w14:textId="77777777" w:rsidR="00CE75D4" w:rsidRPr="002029AF" w:rsidRDefault="00CE75D4" w:rsidP="008340C1">
            <w:pPr>
              <w:pStyle w:val="ARfintablebodyright"/>
            </w:pPr>
            <w:r>
              <w:t>–</w:t>
            </w:r>
          </w:p>
        </w:tc>
        <w:tc>
          <w:tcPr>
            <w:tcW w:w="1134" w:type="dxa"/>
            <w:tcBorders>
              <w:top w:val="single" w:sz="4" w:space="0" w:color="A6A6A6"/>
            </w:tcBorders>
            <w:noWrap/>
            <w:hideMark/>
          </w:tcPr>
          <w:p w14:paraId="5C323514" w14:textId="77777777" w:rsidR="00CE75D4" w:rsidRPr="002029AF" w:rsidRDefault="00CE75D4" w:rsidP="008340C1">
            <w:pPr>
              <w:pStyle w:val="ARfintablebodyright"/>
            </w:pPr>
            <w:r w:rsidRPr="002C4A6C">
              <w:t>0.1</w:t>
            </w:r>
          </w:p>
        </w:tc>
        <w:tc>
          <w:tcPr>
            <w:tcW w:w="1134" w:type="dxa"/>
            <w:tcBorders>
              <w:top w:val="single" w:sz="4" w:space="0" w:color="A6A6A6"/>
            </w:tcBorders>
          </w:tcPr>
          <w:p w14:paraId="0D2B2CB1" w14:textId="77777777" w:rsidR="00CE75D4" w:rsidRPr="002029AF" w:rsidRDefault="00CE75D4" w:rsidP="008340C1">
            <w:pPr>
              <w:pStyle w:val="ARfintablebodyright"/>
            </w:pPr>
            <w:r>
              <w:t>–</w:t>
            </w:r>
          </w:p>
        </w:tc>
        <w:tc>
          <w:tcPr>
            <w:tcW w:w="1134" w:type="dxa"/>
            <w:tcBorders>
              <w:top w:val="single" w:sz="4" w:space="0" w:color="A6A6A6"/>
            </w:tcBorders>
          </w:tcPr>
          <w:p w14:paraId="4C5E2F68" w14:textId="77777777" w:rsidR="00CE75D4" w:rsidRPr="00FA6B3F" w:rsidRDefault="00CE75D4" w:rsidP="008340C1">
            <w:pPr>
              <w:pStyle w:val="ARfintablebodyright"/>
            </w:pPr>
            <w:r>
              <w:t>–</w:t>
            </w:r>
          </w:p>
        </w:tc>
        <w:tc>
          <w:tcPr>
            <w:tcW w:w="1134" w:type="dxa"/>
            <w:tcBorders>
              <w:top w:val="single" w:sz="4" w:space="0" w:color="A6A6A6"/>
            </w:tcBorders>
            <w:noWrap/>
            <w:hideMark/>
          </w:tcPr>
          <w:p w14:paraId="544D8FF5" w14:textId="77777777" w:rsidR="00CE75D4" w:rsidRPr="002029AF" w:rsidRDefault="00CE75D4" w:rsidP="008340C1">
            <w:pPr>
              <w:pStyle w:val="ARfintablebodyright"/>
            </w:pPr>
            <w:r w:rsidRPr="002C4A6C">
              <w:t>0.1</w:t>
            </w:r>
          </w:p>
        </w:tc>
      </w:tr>
      <w:tr w:rsidR="00CE75D4" w:rsidRPr="002029AF" w14:paraId="772B2AA2" w14:textId="77777777" w:rsidTr="008340C1">
        <w:trPr>
          <w:cantSplit w:val="0"/>
          <w:trHeight w:val="255"/>
        </w:trPr>
        <w:tc>
          <w:tcPr>
            <w:tcW w:w="3969" w:type="dxa"/>
            <w:hideMark/>
          </w:tcPr>
          <w:p w14:paraId="7CB61F40" w14:textId="77777777" w:rsidR="00CE75D4" w:rsidRPr="002029AF" w:rsidRDefault="00CE75D4" w:rsidP="008340C1">
            <w:pPr>
              <w:pStyle w:val="ARfintablebodybold"/>
            </w:pPr>
            <w:r w:rsidRPr="002C4A6C">
              <w:t>Closing balance</w:t>
            </w:r>
          </w:p>
        </w:tc>
        <w:tc>
          <w:tcPr>
            <w:tcW w:w="1134" w:type="dxa"/>
            <w:noWrap/>
            <w:hideMark/>
          </w:tcPr>
          <w:p w14:paraId="71D9C4CC" w14:textId="77777777" w:rsidR="00CE75D4" w:rsidRPr="002029AF" w:rsidRDefault="00CE75D4" w:rsidP="008340C1">
            <w:pPr>
              <w:pStyle w:val="ARfintablebodyrightbold"/>
            </w:pPr>
            <w:r w:rsidRPr="002C4A6C">
              <w:t>3.2</w:t>
            </w:r>
          </w:p>
        </w:tc>
        <w:tc>
          <w:tcPr>
            <w:tcW w:w="1134" w:type="dxa"/>
            <w:noWrap/>
            <w:hideMark/>
          </w:tcPr>
          <w:p w14:paraId="4A5FAB30" w14:textId="77777777" w:rsidR="00CE75D4" w:rsidRPr="002029AF" w:rsidRDefault="00CE75D4" w:rsidP="008340C1">
            <w:pPr>
              <w:pStyle w:val="ARfintablebodyrightbold"/>
            </w:pPr>
            <w:r w:rsidRPr="002C4A6C">
              <w:t>38.9</w:t>
            </w:r>
          </w:p>
        </w:tc>
        <w:tc>
          <w:tcPr>
            <w:tcW w:w="1134" w:type="dxa"/>
          </w:tcPr>
          <w:p w14:paraId="53372BA0" w14:textId="77777777" w:rsidR="00CE75D4" w:rsidRPr="002029AF" w:rsidRDefault="00CE75D4" w:rsidP="008340C1">
            <w:pPr>
              <w:pStyle w:val="ARfintablebodyrightbold"/>
            </w:pPr>
            <w:r>
              <w:t>–</w:t>
            </w:r>
          </w:p>
        </w:tc>
        <w:tc>
          <w:tcPr>
            <w:tcW w:w="1134" w:type="dxa"/>
          </w:tcPr>
          <w:p w14:paraId="06917524" w14:textId="77777777" w:rsidR="00CE75D4" w:rsidRPr="00FA6B3F" w:rsidRDefault="00CE75D4" w:rsidP="008340C1">
            <w:pPr>
              <w:pStyle w:val="ARfintablebodyrightbold"/>
            </w:pPr>
            <w:r w:rsidRPr="002C4A6C">
              <w:t>18.9</w:t>
            </w:r>
          </w:p>
        </w:tc>
        <w:tc>
          <w:tcPr>
            <w:tcW w:w="1134" w:type="dxa"/>
            <w:noWrap/>
            <w:hideMark/>
          </w:tcPr>
          <w:p w14:paraId="15479BA8" w14:textId="77777777" w:rsidR="00CE75D4" w:rsidRPr="002029AF" w:rsidRDefault="00CE75D4" w:rsidP="008340C1">
            <w:pPr>
              <w:pStyle w:val="ARfintablebodyrightbold"/>
            </w:pPr>
            <w:r w:rsidRPr="002C4A6C">
              <w:t>61.1</w:t>
            </w:r>
          </w:p>
        </w:tc>
      </w:tr>
    </w:tbl>
    <w:p w14:paraId="4E0F884E" w14:textId="77777777" w:rsidR="00CE75D4" w:rsidRDefault="00CE75D4" w:rsidP="008340C1">
      <w:pPr>
        <w:pStyle w:val="ARfintablefootnote"/>
      </w:pPr>
      <w:r>
        <w:rPr>
          <w:lang w:eastAsia="en-AU"/>
        </w:rPr>
        <w:t>Note:</w:t>
      </w:r>
    </w:p>
    <w:p w14:paraId="44ECF120" w14:textId="77777777" w:rsidR="00CE75D4" w:rsidRDefault="00CE75D4" w:rsidP="008340C1">
      <w:pPr>
        <w:pStyle w:val="ARfintablefootnoteindent"/>
      </w:pPr>
      <w:r>
        <w:t>(i)</w:t>
      </w:r>
      <w:r>
        <w:tab/>
        <w:t>Removes the 30 June 2021 closing balances of the DFFH, the Victorian Disability Worker Commission and the Director of Housing, which were included in the department’s 2020–21 financial statements under s. 53(1)(b) of the FMA.</w:t>
      </w:r>
      <w:r w:rsidRPr="00226830">
        <w:t xml:space="preserve"> The transactions which relate to these entities are reported in the DFFH</w:t>
      </w:r>
      <w:r>
        <w:t>’</w:t>
      </w:r>
      <w:r w:rsidRPr="00226830">
        <w:t>s 2021</w:t>
      </w:r>
      <w:r>
        <w:t>–</w:t>
      </w:r>
      <w:r w:rsidRPr="00226830">
        <w:t>22 financial statements.</w:t>
      </w:r>
    </w:p>
    <w:p w14:paraId="50EB3BD4" w14:textId="77777777" w:rsidR="00CE75D4" w:rsidRDefault="00CE75D4" w:rsidP="008340C1">
      <w:pPr>
        <w:pStyle w:val="ARfinbodyaftertable"/>
      </w:pPr>
      <w:r>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14:paraId="6B6320BC" w14:textId="67425C8B" w:rsidR="00CE75D4" w:rsidRDefault="00CE75D4" w:rsidP="008340C1">
      <w:pPr>
        <w:pStyle w:val="ARfinbody"/>
      </w:pPr>
      <w:r>
        <w:t xml:space="preserve">The </w:t>
      </w:r>
      <w:r>
        <w:rPr>
          <w:rStyle w:val="Strong"/>
        </w:rPr>
        <w:t>make-good</w:t>
      </w:r>
      <w:r>
        <w:t xml:space="preserve"> provision is recognised in accordance with the lease agreement over the building facilities. The department must remove any leasehold improvements from the leased building and restore the premises to </w:t>
      </w:r>
      <w:r w:rsidDel="00093613">
        <w:t xml:space="preserve">its </w:t>
      </w:r>
      <w:r>
        <w:t>original condition at the end of the lease term.</w:t>
      </w:r>
    </w:p>
    <w:p w14:paraId="54EBBBA4" w14:textId="03B08EDE" w:rsidR="00CE75D4" w:rsidRDefault="00CE75D4" w:rsidP="008340C1">
      <w:pPr>
        <w:pStyle w:val="ARfinbody"/>
      </w:pPr>
      <w:r>
        <w:rPr>
          <w:rStyle w:val="Strong"/>
        </w:rPr>
        <w:t>Insurance claims:</w:t>
      </w:r>
      <w:r>
        <w:t xml:space="preserve"> The department engaged the Victorian Managed Insurance Authority (VMIA) under a claims administration agreement to manage non-medical indemnity claims resulting from public healthcare incidents occurring on or after 1 July 2005. These claims are managed by VMIA on behalf of the department under a service level agreement. VMIA has engaged an independent actuary to determine these liability provisions in accordance with the Institute of Actuaries of Australia’s professional standard PS300. The estimation of outstanding claims liabilities is based on actuarial modelling including analysis of claims experience, loss trends, risk exposure data and industry data.</w:t>
      </w:r>
    </w:p>
    <w:p w14:paraId="728A5944" w14:textId="385E93B8" w:rsidR="00CE75D4" w:rsidRDefault="00CE75D4" w:rsidP="008340C1">
      <w:pPr>
        <w:pStyle w:val="ARfinbody"/>
      </w:pPr>
      <w:r>
        <w:t xml:space="preserve">The </w:t>
      </w:r>
      <w:r>
        <w:rPr>
          <w:rStyle w:val="Strong"/>
        </w:rPr>
        <w:t>NDIS service providers’ leave provision</w:t>
      </w:r>
      <w:r>
        <w:t xml:space="preserve"> was a recognition of the outstanding amount of employee leave benefits owed to the five non-government NDIS service providers from the direct employment transfer of former departmental staff to these providers as part of the transfer of government disability services. The department’s obligation and schedule to pay the new non-government NDIS service providers for transferred employee leave benefit balances was agreed in the transfer commercial contracts signed with these providers. The direct employment transfer of the former departmental disability staff occurred on 31 December 2020. The NDIS function was transferred to </w:t>
      </w:r>
      <w:r w:rsidR="00321FE3">
        <w:t xml:space="preserve">the </w:t>
      </w:r>
      <w:r>
        <w:t>DFFH effective 1 February 2021. Its numbers were included in the department’s 2020–21 financial statements under s. 53(1)(b) of the FMA.</w:t>
      </w:r>
    </w:p>
    <w:p w14:paraId="408F8BFA" w14:textId="77777777" w:rsidR="00CE75D4" w:rsidRDefault="00CE75D4" w:rsidP="008340C1">
      <w:pPr>
        <w:pStyle w:val="ARfinbody"/>
      </w:pPr>
      <w:r>
        <w:t xml:space="preserve">In April 2022, the department offered an expression of interest to staff who wished to nominate for an Early Retirement Package (ERP) as part of the Early Retirement Scheme. The </w:t>
      </w:r>
      <w:r>
        <w:rPr>
          <w:rStyle w:val="Strong"/>
        </w:rPr>
        <w:t>early retirement package provision</w:t>
      </w:r>
      <w:r>
        <w:t xml:space="preserve"> recognises the estimated payout to the staff who have accepted the ERP offers as of June 2022.</w:t>
      </w:r>
    </w:p>
    <w:p w14:paraId="5DF9BC7A" w14:textId="77777777" w:rsidR="00CE75D4" w:rsidRPr="0040433B" w:rsidRDefault="00CE75D4" w:rsidP="008340C1">
      <w:pPr>
        <w:pStyle w:val="ARfinbody"/>
      </w:pPr>
      <w:bookmarkStart w:id="601" w:name="_Toc85121457"/>
      <w:r w:rsidRPr="0040433B">
        <w:br w:type="page"/>
      </w:r>
    </w:p>
    <w:p w14:paraId="50C0792C" w14:textId="77777777" w:rsidR="00CE75D4" w:rsidRPr="002029AF" w:rsidRDefault="00CE75D4" w:rsidP="00087B91">
      <w:pPr>
        <w:pStyle w:val="Heading4"/>
      </w:pPr>
      <w:r w:rsidRPr="002029AF">
        <w:t>6.6 Inventories</w:t>
      </w:r>
      <w:bookmarkEnd w:id="601"/>
    </w:p>
    <w:tbl>
      <w:tblPr>
        <w:tblStyle w:val="TableGrid"/>
        <w:tblW w:w="9637" w:type="dxa"/>
        <w:tblLayout w:type="fixed"/>
        <w:tblLook w:val="06A0" w:firstRow="1" w:lastRow="0" w:firstColumn="1" w:lastColumn="0" w:noHBand="1" w:noVBand="1"/>
      </w:tblPr>
      <w:tblGrid>
        <w:gridCol w:w="7369"/>
        <w:gridCol w:w="1134"/>
        <w:gridCol w:w="1134"/>
      </w:tblGrid>
      <w:tr w:rsidR="00CE75D4" w:rsidRPr="002029AF" w14:paraId="3AC76D64"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02F5798F" w14:textId="77777777" w:rsidR="00CE75D4" w:rsidRPr="002029AF" w:rsidRDefault="00CE75D4" w:rsidP="008340C1">
            <w:pPr>
              <w:pStyle w:val="ARfintablecolhead"/>
            </w:pPr>
          </w:p>
        </w:tc>
        <w:tc>
          <w:tcPr>
            <w:tcW w:w="1134" w:type="dxa"/>
            <w:tcBorders>
              <w:bottom w:val="single" w:sz="4" w:space="0" w:color="auto"/>
            </w:tcBorders>
            <w:shd w:val="clear" w:color="auto" w:fill="E7E6E6"/>
            <w:hideMark/>
          </w:tcPr>
          <w:p w14:paraId="1E451DFF" w14:textId="77777777" w:rsidR="00CE75D4" w:rsidRPr="002029AF" w:rsidRDefault="00CE75D4" w:rsidP="008340C1">
            <w:pPr>
              <w:pStyle w:val="ARfintablecolheadright"/>
            </w:pPr>
            <w:r w:rsidRPr="002029AF">
              <w:t>202</w:t>
            </w:r>
            <w:r>
              <w:t>2</w:t>
            </w:r>
          </w:p>
          <w:p w14:paraId="5C9C7835" w14:textId="77777777" w:rsidR="00CE75D4" w:rsidRPr="002029AF" w:rsidRDefault="00CE75D4" w:rsidP="008340C1">
            <w:pPr>
              <w:pStyle w:val="ARfintablecolheadright"/>
            </w:pPr>
            <w:r w:rsidRPr="002029AF">
              <w:t>$M</w:t>
            </w:r>
          </w:p>
        </w:tc>
        <w:tc>
          <w:tcPr>
            <w:tcW w:w="1134" w:type="dxa"/>
            <w:tcBorders>
              <w:bottom w:val="single" w:sz="4" w:space="0" w:color="auto"/>
            </w:tcBorders>
            <w:hideMark/>
          </w:tcPr>
          <w:p w14:paraId="79BC7F6A" w14:textId="77777777" w:rsidR="00CE75D4" w:rsidRPr="002029AF" w:rsidRDefault="00CE75D4" w:rsidP="008340C1">
            <w:pPr>
              <w:pStyle w:val="ARfintablecolheadright"/>
            </w:pPr>
            <w:r>
              <w:t>2021</w:t>
            </w:r>
          </w:p>
          <w:p w14:paraId="4F70F081" w14:textId="77777777" w:rsidR="00CE75D4" w:rsidRPr="002029AF" w:rsidRDefault="00CE75D4" w:rsidP="008340C1">
            <w:pPr>
              <w:pStyle w:val="ARfintablecolheadright"/>
            </w:pPr>
            <w:r w:rsidRPr="002029AF">
              <w:t>$M</w:t>
            </w:r>
          </w:p>
        </w:tc>
      </w:tr>
      <w:tr w:rsidR="00CE75D4" w:rsidRPr="002029AF" w14:paraId="477DDEC6" w14:textId="77777777" w:rsidTr="00860E95">
        <w:tc>
          <w:tcPr>
            <w:tcW w:w="9637" w:type="dxa"/>
            <w:gridSpan w:val="3"/>
            <w:tcBorders>
              <w:top w:val="single" w:sz="4" w:space="0" w:color="auto"/>
              <w:bottom w:val="single" w:sz="4" w:space="0" w:color="A6A6A6"/>
            </w:tcBorders>
            <w:hideMark/>
          </w:tcPr>
          <w:p w14:paraId="0FBC57B8" w14:textId="77777777" w:rsidR="00CE75D4" w:rsidRPr="002029AF" w:rsidRDefault="00CE75D4" w:rsidP="008340C1">
            <w:pPr>
              <w:pStyle w:val="ARfintablebodybold"/>
            </w:pPr>
            <w:r w:rsidRPr="00D91281">
              <w:t>Inventories held for distribution:</w:t>
            </w:r>
          </w:p>
        </w:tc>
      </w:tr>
      <w:tr w:rsidR="00CE75D4" w:rsidRPr="002029AF" w14:paraId="45A4A619" w14:textId="77777777" w:rsidTr="008340C1">
        <w:tc>
          <w:tcPr>
            <w:tcW w:w="7369" w:type="dxa"/>
            <w:tcBorders>
              <w:top w:val="single" w:sz="4" w:space="0" w:color="A6A6A6"/>
              <w:bottom w:val="single" w:sz="4" w:space="0" w:color="A6A6A6"/>
            </w:tcBorders>
            <w:hideMark/>
          </w:tcPr>
          <w:p w14:paraId="42D81CDC" w14:textId="77777777" w:rsidR="00CE75D4" w:rsidRPr="002029AF" w:rsidRDefault="00CE75D4" w:rsidP="008340C1">
            <w:pPr>
              <w:pStyle w:val="ARfintablebody"/>
            </w:pPr>
            <w:r w:rsidRPr="00D91281">
              <w:t>Opening balance – at cost</w:t>
            </w:r>
          </w:p>
        </w:tc>
        <w:tc>
          <w:tcPr>
            <w:tcW w:w="1134" w:type="dxa"/>
            <w:tcBorders>
              <w:top w:val="single" w:sz="4" w:space="0" w:color="A6A6A6"/>
              <w:bottom w:val="single" w:sz="4" w:space="0" w:color="A6A6A6"/>
            </w:tcBorders>
            <w:shd w:val="clear" w:color="auto" w:fill="E7E6E6"/>
            <w:noWrap/>
            <w:hideMark/>
          </w:tcPr>
          <w:p w14:paraId="77D7EFF9" w14:textId="77777777" w:rsidR="00CE75D4" w:rsidRPr="002029AF" w:rsidRDefault="00CE75D4" w:rsidP="008340C1">
            <w:pPr>
              <w:pStyle w:val="ARfintablebodyright"/>
            </w:pPr>
            <w:r w:rsidRPr="00D91281">
              <w:t>638.4</w:t>
            </w:r>
          </w:p>
        </w:tc>
        <w:tc>
          <w:tcPr>
            <w:tcW w:w="1134" w:type="dxa"/>
            <w:tcBorders>
              <w:top w:val="single" w:sz="4" w:space="0" w:color="A6A6A6"/>
              <w:bottom w:val="single" w:sz="4" w:space="0" w:color="A6A6A6"/>
            </w:tcBorders>
            <w:noWrap/>
            <w:hideMark/>
          </w:tcPr>
          <w:p w14:paraId="321E0B4F" w14:textId="77777777" w:rsidR="00CE75D4" w:rsidRPr="002029AF" w:rsidRDefault="00CE75D4" w:rsidP="008340C1">
            <w:pPr>
              <w:pStyle w:val="ARfintablebodyright"/>
            </w:pPr>
            <w:r w:rsidRPr="00D91281">
              <w:t>411.8</w:t>
            </w:r>
          </w:p>
        </w:tc>
      </w:tr>
      <w:tr w:rsidR="00CE75D4" w:rsidRPr="002029AF" w14:paraId="217E23DF" w14:textId="77777777" w:rsidTr="008340C1">
        <w:tc>
          <w:tcPr>
            <w:tcW w:w="7369" w:type="dxa"/>
            <w:tcBorders>
              <w:top w:val="single" w:sz="4" w:space="0" w:color="A6A6A6"/>
              <w:bottom w:val="single" w:sz="4" w:space="0" w:color="A6A6A6"/>
            </w:tcBorders>
          </w:tcPr>
          <w:p w14:paraId="5884E319" w14:textId="77777777" w:rsidR="00CE75D4" w:rsidRPr="00FB0685" w:rsidRDefault="00CE75D4" w:rsidP="008340C1">
            <w:pPr>
              <w:pStyle w:val="ARfintablebody"/>
            </w:pPr>
            <w:r w:rsidRPr="00D91281">
              <w:t>Additions</w:t>
            </w:r>
          </w:p>
        </w:tc>
        <w:tc>
          <w:tcPr>
            <w:tcW w:w="1134" w:type="dxa"/>
            <w:tcBorders>
              <w:top w:val="single" w:sz="4" w:space="0" w:color="A6A6A6"/>
              <w:bottom w:val="single" w:sz="4" w:space="0" w:color="A6A6A6"/>
            </w:tcBorders>
            <w:shd w:val="clear" w:color="auto" w:fill="E7E6E6"/>
            <w:noWrap/>
          </w:tcPr>
          <w:p w14:paraId="7D092400" w14:textId="77777777" w:rsidR="00CE75D4" w:rsidRPr="00FB0685" w:rsidRDefault="00CE75D4" w:rsidP="008340C1">
            <w:pPr>
              <w:pStyle w:val="ARfintablebodyright"/>
            </w:pPr>
            <w:r w:rsidRPr="00D91281">
              <w:t>1,093.0</w:t>
            </w:r>
          </w:p>
        </w:tc>
        <w:tc>
          <w:tcPr>
            <w:tcW w:w="1134" w:type="dxa"/>
            <w:tcBorders>
              <w:top w:val="single" w:sz="4" w:space="0" w:color="A6A6A6"/>
              <w:bottom w:val="single" w:sz="4" w:space="0" w:color="A6A6A6"/>
            </w:tcBorders>
            <w:noWrap/>
          </w:tcPr>
          <w:p w14:paraId="62B6FFBF" w14:textId="77777777" w:rsidR="00CE75D4" w:rsidRPr="00FB0685" w:rsidRDefault="00CE75D4" w:rsidP="008340C1">
            <w:pPr>
              <w:pStyle w:val="ARfintablebodyright"/>
            </w:pPr>
            <w:r w:rsidRPr="00D91281">
              <w:t>521.2</w:t>
            </w:r>
          </w:p>
        </w:tc>
      </w:tr>
      <w:tr w:rsidR="00CE75D4" w:rsidRPr="002029AF" w14:paraId="6DFD5F8E" w14:textId="77777777" w:rsidTr="008340C1">
        <w:tc>
          <w:tcPr>
            <w:tcW w:w="7369" w:type="dxa"/>
            <w:tcBorders>
              <w:top w:val="single" w:sz="4" w:space="0" w:color="A6A6A6"/>
              <w:bottom w:val="single" w:sz="4" w:space="0" w:color="A6A6A6"/>
            </w:tcBorders>
          </w:tcPr>
          <w:p w14:paraId="7F32E18C" w14:textId="77777777" w:rsidR="00CE75D4" w:rsidRPr="00FB0685" w:rsidRDefault="00CE75D4" w:rsidP="008340C1">
            <w:pPr>
              <w:pStyle w:val="ARfintablebody"/>
            </w:pPr>
            <w:r w:rsidRPr="00D91281">
              <w:t>Distributed as resources given free of charge</w:t>
            </w:r>
          </w:p>
        </w:tc>
        <w:tc>
          <w:tcPr>
            <w:tcW w:w="1134" w:type="dxa"/>
            <w:tcBorders>
              <w:top w:val="single" w:sz="4" w:space="0" w:color="A6A6A6"/>
              <w:bottom w:val="single" w:sz="4" w:space="0" w:color="A6A6A6"/>
            </w:tcBorders>
            <w:shd w:val="clear" w:color="auto" w:fill="E7E6E6"/>
            <w:noWrap/>
          </w:tcPr>
          <w:p w14:paraId="5E03B942" w14:textId="77777777" w:rsidR="00CE75D4" w:rsidRPr="00FB0685" w:rsidRDefault="00CE75D4" w:rsidP="008340C1">
            <w:pPr>
              <w:pStyle w:val="ARfintablebodyright"/>
            </w:pPr>
            <w:r w:rsidRPr="00D91281">
              <w:t>(705.5)</w:t>
            </w:r>
          </w:p>
        </w:tc>
        <w:tc>
          <w:tcPr>
            <w:tcW w:w="1134" w:type="dxa"/>
            <w:tcBorders>
              <w:top w:val="single" w:sz="4" w:space="0" w:color="A6A6A6"/>
              <w:bottom w:val="single" w:sz="4" w:space="0" w:color="A6A6A6"/>
            </w:tcBorders>
            <w:noWrap/>
          </w:tcPr>
          <w:p w14:paraId="4FE70D7D" w14:textId="77777777" w:rsidR="00CE75D4" w:rsidRPr="00FB0685" w:rsidRDefault="00CE75D4" w:rsidP="008340C1">
            <w:pPr>
              <w:pStyle w:val="ARfintablebodyright"/>
            </w:pPr>
            <w:r w:rsidRPr="00D91281">
              <w:t>(294.6)</w:t>
            </w:r>
          </w:p>
        </w:tc>
      </w:tr>
      <w:tr w:rsidR="00CE75D4" w:rsidRPr="002029AF" w14:paraId="2805B114" w14:textId="77777777" w:rsidTr="00860E95">
        <w:tc>
          <w:tcPr>
            <w:tcW w:w="7369" w:type="dxa"/>
            <w:tcBorders>
              <w:top w:val="single" w:sz="4" w:space="0" w:color="A6A6A6"/>
            </w:tcBorders>
          </w:tcPr>
          <w:p w14:paraId="2C47C10D" w14:textId="77777777" w:rsidR="00CE75D4" w:rsidRPr="00FB0685" w:rsidRDefault="00CE75D4" w:rsidP="008340C1">
            <w:pPr>
              <w:pStyle w:val="ARfintablebody"/>
            </w:pPr>
            <w:r w:rsidRPr="00D91281">
              <w:t>Loss of service potential</w:t>
            </w:r>
          </w:p>
        </w:tc>
        <w:tc>
          <w:tcPr>
            <w:tcW w:w="1134" w:type="dxa"/>
            <w:tcBorders>
              <w:top w:val="single" w:sz="4" w:space="0" w:color="A6A6A6"/>
            </w:tcBorders>
            <w:shd w:val="clear" w:color="auto" w:fill="E7E6E6"/>
            <w:noWrap/>
          </w:tcPr>
          <w:p w14:paraId="57C5C9F1" w14:textId="77777777" w:rsidR="00CE75D4" w:rsidRPr="00FB0685" w:rsidRDefault="00CE75D4" w:rsidP="008340C1">
            <w:pPr>
              <w:pStyle w:val="ARfintablebodyright"/>
            </w:pPr>
            <w:r w:rsidRPr="00D91281">
              <w:t>(5.7)</w:t>
            </w:r>
          </w:p>
        </w:tc>
        <w:tc>
          <w:tcPr>
            <w:tcW w:w="1134" w:type="dxa"/>
            <w:tcBorders>
              <w:top w:val="single" w:sz="4" w:space="0" w:color="A6A6A6"/>
            </w:tcBorders>
            <w:noWrap/>
          </w:tcPr>
          <w:p w14:paraId="59E1018F" w14:textId="77777777" w:rsidR="00CE75D4" w:rsidRPr="00FB0685" w:rsidRDefault="00CE75D4" w:rsidP="008340C1">
            <w:pPr>
              <w:pStyle w:val="ARfintablebodyright"/>
            </w:pPr>
            <w:r>
              <w:t>–</w:t>
            </w:r>
          </w:p>
        </w:tc>
      </w:tr>
      <w:tr w:rsidR="00CE75D4" w:rsidRPr="002029AF" w14:paraId="3F89F613" w14:textId="77777777" w:rsidTr="00860E95">
        <w:tc>
          <w:tcPr>
            <w:tcW w:w="7369" w:type="dxa"/>
            <w:hideMark/>
          </w:tcPr>
          <w:p w14:paraId="7D6715D7" w14:textId="77777777" w:rsidR="00CE75D4" w:rsidRPr="002029AF" w:rsidRDefault="00CE75D4" w:rsidP="008340C1">
            <w:pPr>
              <w:pStyle w:val="ARfintablebodybold"/>
            </w:pPr>
            <w:r w:rsidRPr="00D91281">
              <w:t>Total inventories</w:t>
            </w:r>
          </w:p>
        </w:tc>
        <w:tc>
          <w:tcPr>
            <w:tcW w:w="1134" w:type="dxa"/>
            <w:shd w:val="clear" w:color="auto" w:fill="E7E6E6"/>
            <w:noWrap/>
            <w:hideMark/>
          </w:tcPr>
          <w:p w14:paraId="76BDE78B" w14:textId="77777777" w:rsidR="00CE75D4" w:rsidRPr="002029AF" w:rsidRDefault="00CE75D4" w:rsidP="008340C1">
            <w:pPr>
              <w:pStyle w:val="ARfintablebodyrightbold"/>
            </w:pPr>
            <w:r w:rsidRPr="00D91281">
              <w:t>1,020.2</w:t>
            </w:r>
          </w:p>
        </w:tc>
        <w:tc>
          <w:tcPr>
            <w:tcW w:w="1134" w:type="dxa"/>
            <w:noWrap/>
            <w:hideMark/>
          </w:tcPr>
          <w:p w14:paraId="6E68A4DF" w14:textId="77777777" w:rsidR="00CE75D4" w:rsidRPr="002029AF" w:rsidRDefault="00CE75D4" w:rsidP="008340C1">
            <w:pPr>
              <w:pStyle w:val="ARfintablebodyrightbold"/>
            </w:pPr>
            <w:r w:rsidRPr="00D91281">
              <w:t>638.4</w:t>
            </w:r>
          </w:p>
        </w:tc>
      </w:tr>
    </w:tbl>
    <w:p w14:paraId="2AB20282" w14:textId="154C4D3A" w:rsidR="00CE75D4" w:rsidRDefault="00CE75D4" w:rsidP="008340C1">
      <w:pPr>
        <w:pStyle w:val="ARfinbodyaftertable"/>
      </w:pPr>
      <w:r>
        <w:t xml:space="preserve">Inventories held for distribution to public health agencies, other </w:t>
      </w:r>
      <w:r w:rsidDel="00515570">
        <w:t xml:space="preserve">State </w:t>
      </w:r>
      <w:r>
        <w:t>Government departments and not-for-profit organisations include personal protective equipment and rapid antigen test kits to assist in</w:t>
      </w:r>
      <w:r w:rsidR="00093613">
        <w:t xml:space="preserve"> </w:t>
      </w:r>
      <w:r>
        <w:t>response to the COVID-19 pandemic.</w:t>
      </w:r>
    </w:p>
    <w:p w14:paraId="0A16F345" w14:textId="3632A783" w:rsidR="00CE75D4" w:rsidRDefault="00CE75D4" w:rsidP="008340C1">
      <w:pPr>
        <w:pStyle w:val="ARfinbody"/>
      </w:pPr>
      <w:r>
        <w:t>The inventories are initially recognised at purchase cost, distributed as resources given free of charge</w:t>
      </w:r>
      <w:r w:rsidR="2E484291">
        <w:t xml:space="preserve"> using the weighted average cost formula</w:t>
      </w:r>
      <w:r>
        <w:t>, and adjusted for any loss of service potential due to expired stock.</w:t>
      </w:r>
    </w:p>
    <w:p w14:paraId="2D7F60D4" w14:textId="77777777" w:rsidR="00CE75D4" w:rsidRDefault="00CE75D4" w:rsidP="00130D1C">
      <w:pPr>
        <w:pStyle w:val="Heading4"/>
        <w:rPr>
          <w:lang w:eastAsia="en-AU"/>
        </w:rPr>
      </w:pPr>
      <w:bookmarkStart w:id="602" w:name="_Toc85121458"/>
      <w:r>
        <w:rPr>
          <w:lang w:eastAsia="en-AU"/>
        </w:rPr>
        <w:t>6.7 Other non-financial liabilities</w:t>
      </w:r>
      <w:bookmarkEnd w:id="602"/>
    </w:p>
    <w:tbl>
      <w:tblPr>
        <w:tblStyle w:val="TableGrid"/>
        <w:tblW w:w="9637" w:type="dxa"/>
        <w:tblLayout w:type="fixed"/>
        <w:tblLook w:val="06A0" w:firstRow="1" w:lastRow="0" w:firstColumn="1" w:lastColumn="0" w:noHBand="1" w:noVBand="1"/>
      </w:tblPr>
      <w:tblGrid>
        <w:gridCol w:w="7369"/>
        <w:gridCol w:w="1134"/>
        <w:gridCol w:w="1134"/>
      </w:tblGrid>
      <w:tr w:rsidR="00CE75D4" w:rsidRPr="002029AF" w14:paraId="45430E54"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0AB278CA" w14:textId="77777777" w:rsidR="00CE75D4" w:rsidRPr="002029AF" w:rsidRDefault="00CE75D4" w:rsidP="008340C1">
            <w:pPr>
              <w:pStyle w:val="ARfintablecolhead"/>
            </w:pPr>
          </w:p>
        </w:tc>
        <w:tc>
          <w:tcPr>
            <w:tcW w:w="1134" w:type="dxa"/>
            <w:tcBorders>
              <w:bottom w:val="single" w:sz="4" w:space="0" w:color="auto"/>
            </w:tcBorders>
            <w:shd w:val="clear" w:color="auto" w:fill="E7E6E6"/>
            <w:hideMark/>
          </w:tcPr>
          <w:p w14:paraId="7BD093B4" w14:textId="77777777" w:rsidR="00CE75D4" w:rsidRPr="002029AF" w:rsidRDefault="00CE75D4" w:rsidP="008340C1">
            <w:pPr>
              <w:pStyle w:val="ARfintablecolheadright"/>
            </w:pPr>
            <w:r w:rsidRPr="002029AF">
              <w:t>202</w:t>
            </w:r>
            <w:r>
              <w:t>2</w:t>
            </w:r>
          </w:p>
          <w:p w14:paraId="0BBF54AF" w14:textId="77777777" w:rsidR="00CE75D4" w:rsidRPr="002029AF" w:rsidRDefault="00CE75D4" w:rsidP="008340C1">
            <w:pPr>
              <w:pStyle w:val="ARfintablecolheadright"/>
            </w:pPr>
            <w:r w:rsidRPr="002029AF">
              <w:t>$M</w:t>
            </w:r>
          </w:p>
        </w:tc>
        <w:tc>
          <w:tcPr>
            <w:tcW w:w="1134" w:type="dxa"/>
            <w:tcBorders>
              <w:bottom w:val="single" w:sz="4" w:space="0" w:color="auto"/>
            </w:tcBorders>
            <w:hideMark/>
          </w:tcPr>
          <w:p w14:paraId="46206D74" w14:textId="77777777" w:rsidR="00CE75D4" w:rsidRPr="002029AF" w:rsidRDefault="00CE75D4" w:rsidP="008340C1">
            <w:pPr>
              <w:pStyle w:val="ARfintablecolheadright"/>
            </w:pPr>
            <w:r>
              <w:t>2021</w:t>
            </w:r>
          </w:p>
          <w:p w14:paraId="6513D79A" w14:textId="77777777" w:rsidR="00CE75D4" w:rsidRPr="002029AF" w:rsidRDefault="00CE75D4" w:rsidP="008340C1">
            <w:pPr>
              <w:pStyle w:val="ARfintablecolheadright"/>
            </w:pPr>
            <w:r w:rsidRPr="002029AF">
              <w:t>$M</w:t>
            </w:r>
          </w:p>
        </w:tc>
      </w:tr>
      <w:tr w:rsidR="00CE75D4" w:rsidRPr="002029AF" w14:paraId="64B59B19" w14:textId="77777777" w:rsidTr="00130D1C">
        <w:tc>
          <w:tcPr>
            <w:tcW w:w="7369" w:type="dxa"/>
            <w:tcBorders>
              <w:top w:val="single" w:sz="4" w:space="0" w:color="A6A6A6"/>
            </w:tcBorders>
            <w:hideMark/>
          </w:tcPr>
          <w:p w14:paraId="38898F1F" w14:textId="77777777" w:rsidR="00CE75D4" w:rsidRPr="007E799B" w:rsidRDefault="00CE75D4" w:rsidP="008340C1">
            <w:pPr>
              <w:pStyle w:val="ARfintablebody"/>
            </w:pPr>
            <w:r w:rsidRPr="004A242F">
              <w:t>PPP-related non-financial liabilities</w:t>
            </w:r>
          </w:p>
        </w:tc>
        <w:tc>
          <w:tcPr>
            <w:tcW w:w="1134" w:type="dxa"/>
            <w:tcBorders>
              <w:top w:val="single" w:sz="4" w:space="0" w:color="A6A6A6"/>
            </w:tcBorders>
            <w:shd w:val="clear" w:color="auto" w:fill="E7E6E6"/>
            <w:noWrap/>
            <w:hideMark/>
          </w:tcPr>
          <w:p w14:paraId="1044739A" w14:textId="77777777" w:rsidR="00CE75D4" w:rsidRPr="00196A87" w:rsidRDefault="00CE75D4" w:rsidP="008340C1">
            <w:pPr>
              <w:pStyle w:val="ARfintablebodyright"/>
            </w:pPr>
            <w:r w:rsidRPr="004A242F">
              <w:t>8.1</w:t>
            </w:r>
          </w:p>
        </w:tc>
        <w:tc>
          <w:tcPr>
            <w:tcW w:w="1134" w:type="dxa"/>
            <w:tcBorders>
              <w:top w:val="single" w:sz="4" w:space="0" w:color="A6A6A6"/>
            </w:tcBorders>
            <w:noWrap/>
            <w:hideMark/>
          </w:tcPr>
          <w:p w14:paraId="2D139E88" w14:textId="77777777" w:rsidR="00CE75D4" w:rsidRPr="002029AF" w:rsidRDefault="00CE75D4" w:rsidP="008340C1">
            <w:pPr>
              <w:pStyle w:val="ARfintablebodyright"/>
            </w:pPr>
            <w:r w:rsidRPr="004A242F">
              <w:t>2.6</w:t>
            </w:r>
          </w:p>
        </w:tc>
      </w:tr>
      <w:tr w:rsidR="00CE75D4" w:rsidRPr="002029AF" w14:paraId="7C584FDF" w14:textId="77777777" w:rsidTr="00130D1C">
        <w:tc>
          <w:tcPr>
            <w:tcW w:w="7369" w:type="dxa"/>
            <w:hideMark/>
          </w:tcPr>
          <w:p w14:paraId="260C0A2A" w14:textId="77777777" w:rsidR="00CE75D4" w:rsidRPr="002029AF" w:rsidRDefault="00CE75D4" w:rsidP="008340C1">
            <w:pPr>
              <w:pStyle w:val="ARfintablebodybold"/>
            </w:pPr>
            <w:r w:rsidRPr="004A242F">
              <w:t>Total other non-financial liabilities</w:t>
            </w:r>
          </w:p>
        </w:tc>
        <w:tc>
          <w:tcPr>
            <w:tcW w:w="1134" w:type="dxa"/>
            <w:shd w:val="clear" w:color="auto" w:fill="E7E6E6"/>
            <w:noWrap/>
            <w:hideMark/>
          </w:tcPr>
          <w:p w14:paraId="36EEBF4E" w14:textId="77777777" w:rsidR="00CE75D4" w:rsidRPr="002029AF" w:rsidRDefault="00CE75D4" w:rsidP="008340C1">
            <w:pPr>
              <w:pStyle w:val="ARfintablebodyrightbold"/>
            </w:pPr>
            <w:r w:rsidRPr="004A242F">
              <w:t>8.1</w:t>
            </w:r>
          </w:p>
        </w:tc>
        <w:tc>
          <w:tcPr>
            <w:tcW w:w="1134" w:type="dxa"/>
            <w:noWrap/>
            <w:hideMark/>
          </w:tcPr>
          <w:p w14:paraId="002DE935" w14:textId="77777777" w:rsidR="00CE75D4" w:rsidRPr="002029AF" w:rsidRDefault="00CE75D4" w:rsidP="008340C1">
            <w:pPr>
              <w:pStyle w:val="ARfintablebodyrightbold"/>
            </w:pPr>
            <w:r w:rsidRPr="004A242F">
              <w:t>2.6</w:t>
            </w:r>
          </w:p>
        </w:tc>
      </w:tr>
    </w:tbl>
    <w:p w14:paraId="62FD1200" w14:textId="77777777" w:rsidR="00CE75D4" w:rsidRDefault="00CE75D4" w:rsidP="008340C1">
      <w:pPr>
        <w:pStyle w:val="ARfinbodyaftertable"/>
      </w:pPr>
      <w:r>
        <w:t>The non-financial liabilities relate to the New Footscray Hospital Project.</w:t>
      </w:r>
    </w:p>
    <w:p w14:paraId="21A8791F" w14:textId="77777777" w:rsidR="00CE75D4" w:rsidRPr="0040433B" w:rsidRDefault="00CE75D4" w:rsidP="00087B91">
      <w:pPr>
        <w:pStyle w:val="ARfinbody"/>
      </w:pPr>
      <w:r w:rsidRPr="0040433B">
        <w:br w:type="page"/>
      </w:r>
    </w:p>
    <w:p w14:paraId="573B5C0C" w14:textId="77777777" w:rsidR="00CE75D4" w:rsidRDefault="00CE75D4" w:rsidP="008340C1">
      <w:pPr>
        <w:pStyle w:val="Heading3"/>
      </w:pPr>
      <w:bookmarkStart w:id="603" w:name="_Toc113702965"/>
      <w:r>
        <w:t>7. How we financed our operations</w:t>
      </w:r>
      <w:bookmarkEnd w:id="603"/>
    </w:p>
    <w:p w14:paraId="1B4724A2" w14:textId="77777777" w:rsidR="00CE75D4" w:rsidRDefault="00CE75D4" w:rsidP="008340C1">
      <w:pPr>
        <w:pStyle w:val="Heading4"/>
        <w:rPr>
          <w:lang w:eastAsia="en-AU"/>
        </w:rPr>
      </w:pPr>
      <w:r>
        <w:rPr>
          <w:lang w:eastAsia="en-AU"/>
        </w:rPr>
        <w:t>Introduction</w:t>
      </w:r>
    </w:p>
    <w:p w14:paraId="13552063" w14:textId="77777777" w:rsidR="00CE75D4" w:rsidRDefault="00CE75D4" w:rsidP="008340C1">
      <w:pPr>
        <w:pStyle w:val="ARfinbody"/>
      </w:pPr>
      <w:r>
        <w:t>This section provides information on the sources of finance utilised by the department during its operations, along with interest expenses (the cost of borrowings) and other information related to financing activities of the department.</w:t>
      </w:r>
    </w:p>
    <w:p w14:paraId="43C83F05" w14:textId="77777777" w:rsidR="00CE75D4" w:rsidRDefault="00CE75D4" w:rsidP="008340C1">
      <w:pPr>
        <w:pStyle w:val="ARfinbody"/>
      </w:pPr>
      <w:r>
        <w:t>This section includes disclosures of balances that are financial instruments (such as borrowings and cash balances). Notes 8.1 and 8.3 provide additional, specific financial instrument disclosures.</w:t>
      </w:r>
    </w:p>
    <w:p w14:paraId="74268079" w14:textId="77777777" w:rsidR="00CE75D4" w:rsidRDefault="00CE75D4" w:rsidP="008340C1">
      <w:pPr>
        <w:pStyle w:val="Heading4"/>
      </w:pPr>
      <w:r>
        <w:t>Structure</w:t>
      </w:r>
    </w:p>
    <w:p w14:paraId="041BA41D" w14:textId="77777777" w:rsidR="00CE75D4" w:rsidRDefault="00CE75D4" w:rsidP="008340C1">
      <w:pPr>
        <w:pStyle w:val="ARfinstructure1"/>
      </w:pPr>
      <w:r>
        <w:t>7.1</w:t>
      </w:r>
      <w:r>
        <w:tab/>
        <w:t>Borrowings</w:t>
      </w:r>
    </w:p>
    <w:p w14:paraId="33738D48" w14:textId="77777777" w:rsidR="00CE75D4" w:rsidRDefault="00CE75D4" w:rsidP="008340C1">
      <w:pPr>
        <w:pStyle w:val="ARfinstructure2"/>
      </w:pPr>
      <w:r>
        <w:t>7.1.1</w:t>
      </w:r>
      <w:r>
        <w:tab/>
        <w:t>Maturity analysis of borrowings</w:t>
      </w:r>
    </w:p>
    <w:p w14:paraId="72FFC517" w14:textId="77777777" w:rsidR="00CE75D4" w:rsidRDefault="00CE75D4" w:rsidP="008340C1">
      <w:pPr>
        <w:pStyle w:val="ARfinstructure2"/>
      </w:pPr>
      <w:r>
        <w:t>7.1.2</w:t>
      </w:r>
      <w:r>
        <w:tab/>
        <w:t>Interest expense</w:t>
      </w:r>
    </w:p>
    <w:p w14:paraId="5938FD90" w14:textId="77777777" w:rsidR="00CE75D4" w:rsidRDefault="00CE75D4" w:rsidP="008340C1">
      <w:pPr>
        <w:pStyle w:val="ARfinstructure1"/>
      </w:pPr>
      <w:r>
        <w:t>7.2</w:t>
      </w:r>
      <w:r>
        <w:tab/>
        <w:t>Leases</w:t>
      </w:r>
    </w:p>
    <w:p w14:paraId="7A64610A" w14:textId="77777777" w:rsidR="00CE75D4" w:rsidRDefault="00CE75D4" w:rsidP="008340C1">
      <w:pPr>
        <w:pStyle w:val="ARfinstructure2"/>
      </w:pPr>
      <w:r>
        <w:t>7.2.1 Leases</w:t>
      </w:r>
    </w:p>
    <w:p w14:paraId="77EBB3C4" w14:textId="77777777" w:rsidR="00CE75D4" w:rsidRDefault="00CE75D4" w:rsidP="008340C1">
      <w:pPr>
        <w:pStyle w:val="ARfinstructure1"/>
      </w:pPr>
      <w:r>
        <w:t>7.3</w:t>
      </w:r>
      <w:r>
        <w:tab/>
        <w:t>Cash flow information and balances</w:t>
      </w:r>
    </w:p>
    <w:p w14:paraId="285C5F10" w14:textId="77777777" w:rsidR="00CE75D4" w:rsidRDefault="00CE75D4" w:rsidP="008340C1">
      <w:pPr>
        <w:pStyle w:val="ARfinstructure2"/>
      </w:pPr>
      <w:r>
        <w:t>7.3.1</w:t>
      </w:r>
      <w:r>
        <w:tab/>
        <w:t>Reconciliation of net result for the period to net cash flow from operating activities</w:t>
      </w:r>
    </w:p>
    <w:p w14:paraId="7AB7C233" w14:textId="77777777" w:rsidR="00CE75D4" w:rsidRDefault="00CE75D4" w:rsidP="008340C1">
      <w:pPr>
        <w:pStyle w:val="ARfinstructure1"/>
      </w:pPr>
      <w:r>
        <w:t>7.4</w:t>
      </w:r>
      <w:r>
        <w:tab/>
        <w:t>Trust account</w:t>
      </w:r>
    </w:p>
    <w:p w14:paraId="76A2131D" w14:textId="77777777" w:rsidR="00CE75D4" w:rsidRDefault="00CE75D4" w:rsidP="008340C1">
      <w:pPr>
        <w:pStyle w:val="ARfinstructure2"/>
      </w:pPr>
      <w:r>
        <w:t>7.4.1</w:t>
      </w:r>
      <w:r>
        <w:tab/>
        <w:t>Trust account balances</w:t>
      </w:r>
    </w:p>
    <w:p w14:paraId="42C431A7" w14:textId="77777777" w:rsidR="00CE75D4" w:rsidRDefault="00CE75D4" w:rsidP="008340C1">
      <w:pPr>
        <w:pStyle w:val="ARfinstructure2"/>
      </w:pPr>
      <w:r>
        <w:t>7.4.2</w:t>
      </w:r>
      <w:r>
        <w:tab/>
        <w:t>Trust account – Legislative references and nature</w:t>
      </w:r>
    </w:p>
    <w:p w14:paraId="7BB19FB8" w14:textId="77777777" w:rsidR="00CE75D4" w:rsidRDefault="00CE75D4" w:rsidP="008340C1">
      <w:pPr>
        <w:pStyle w:val="ARfinstructure1"/>
      </w:pPr>
      <w:r>
        <w:t>7.5</w:t>
      </w:r>
      <w:r>
        <w:tab/>
        <w:t>Commitments for expenditure</w:t>
      </w:r>
    </w:p>
    <w:p w14:paraId="68493DB1" w14:textId="77777777" w:rsidR="00CE75D4" w:rsidRDefault="00CE75D4" w:rsidP="008340C1">
      <w:pPr>
        <w:pStyle w:val="ARfinstructure2"/>
      </w:pPr>
      <w:r>
        <w:t>7.5.1</w:t>
      </w:r>
      <w:r>
        <w:tab/>
        <w:t>Total commitments payable</w:t>
      </w:r>
    </w:p>
    <w:p w14:paraId="5CD0A610" w14:textId="77777777" w:rsidR="00CE75D4" w:rsidRDefault="00CE75D4" w:rsidP="008340C1">
      <w:pPr>
        <w:pStyle w:val="ARfinstructure2"/>
      </w:pPr>
      <w:r>
        <w:t>7.5.2</w:t>
      </w:r>
      <w:r>
        <w:tab/>
        <w:t>Public private partnership commitments</w:t>
      </w:r>
    </w:p>
    <w:p w14:paraId="4B7F89D4" w14:textId="77777777" w:rsidR="00CE75D4" w:rsidRDefault="00CE75D4" w:rsidP="008340C1">
      <w:pPr>
        <w:pStyle w:val="ARfinstructure2"/>
      </w:pPr>
      <w:r>
        <w:t>7.5.3</w:t>
      </w:r>
      <w:r>
        <w:tab/>
        <w:t xml:space="preserve">AASB 1059 </w:t>
      </w:r>
      <w:r>
        <w:rPr>
          <w:rStyle w:val="Emphasis"/>
        </w:rPr>
        <w:t>Service Concession Arrangements: Grantors</w:t>
      </w:r>
    </w:p>
    <w:p w14:paraId="76D777EF" w14:textId="77777777" w:rsidR="00CE75D4" w:rsidRDefault="00CE75D4" w:rsidP="00130D1C">
      <w:pPr>
        <w:pStyle w:val="Heading4"/>
        <w:rPr>
          <w:lang w:eastAsia="en-AU"/>
        </w:rPr>
      </w:pPr>
      <w:bookmarkStart w:id="604" w:name="_Toc39242157"/>
      <w:bookmarkStart w:id="605" w:name="_Toc85121462"/>
      <w:r>
        <w:rPr>
          <w:lang w:eastAsia="en-AU"/>
        </w:rPr>
        <w:t>7.1 Borrowings</w:t>
      </w:r>
      <w:bookmarkEnd w:id="604"/>
      <w:bookmarkEnd w:id="605"/>
    </w:p>
    <w:tbl>
      <w:tblPr>
        <w:tblStyle w:val="TableGrid"/>
        <w:tblW w:w="9637" w:type="dxa"/>
        <w:tblLayout w:type="fixed"/>
        <w:tblLook w:val="06A0" w:firstRow="1" w:lastRow="0" w:firstColumn="1" w:lastColumn="0" w:noHBand="1" w:noVBand="1"/>
      </w:tblPr>
      <w:tblGrid>
        <w:gridCol w:w="7369"/>
        <w:gridCol w:w="1134"/>
        <w:gridCol w:w="1134"/>
      </w:tblGrid>
      <w:tr w:rsidR="00CE75D4" w:rsidRPr="002029AF" w14:paraId="0680C1E7"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4320F792" w14:textId="77777777" w:rsidR="00CE75D4" w:rsidRPr="002029AF" w:rsidRDefault="00CE75D4" w:rsidP="008340C1">
            <w:pPr>
              <w:pStyle w:val="ARfintablecolhead"/>
            </w:pPr>
          </w:p>
        </w:tc>
        <w:tc>
          <w:tcPr>
            <w:tcW w:w="1134" w:type="dxa"/>
            <w:tcBorders>
              <w:bottom w:val="single" w:sz="4" w:space="0" w:color="auto"/>
            </w:tcBorders>
            <w:shd w:val="clear" w:color="auto" w:fill="E7E6E6"/>
            <w:hideMark/>
          </w:tcPr>
          <w:p w14:paraId="62C67D85" w14:textId="77777777" w:rsidR="00CE75D4" w:rsidRPr="002029AF" w:rsidRDefault="00CE75D4" w:rsidP="008340C1">
            <w:pPr>
              <w:pStyle w:val="ARfintablecolheadright"/>
            </w:pPr>
            <w:r w:rsidRPr="002029AF">
              <w:t>202</w:t>
            </w:r>
            <w:r>
              <w:t>2</w:t>
            </w:r>
          </w:p>
          <w:p w14:paraId="73CA3D37" w14:textId="77777777" w:rsidR="00CE75D4" w:rsidRPr="002029AF" w:rsidRDefault="00CE75D4" w:rsidP="008340C1">
            <w:pPr>
              <w:pStyle w:val="ARfintablecolheadright"/>
            </w:pPr>
            <w:r w:rsidRPr="002029AF">
              <w:t>$M</w:t>
            </w:r>
          </w:p>
        </w:tc>
        <w:tc>
          <w:tcPr>
            <w:tcW w:w="1134" w:type="dxa"/>
            <w:tcBorders>
              <w:bottom w:val="single" w:sz="4" w:space="0" w:color="auto"/>
            </w:tcBorders>
            <w:hideMark/>
          </w:tcPr>
          <w:p w14:paraId="309B6862" w14:textId="77777777" w:rsidR="00CE75D4" w:rsidRPr="002029AF" w:rsidRDefault="00CE75D4" w:rsidP="008340C1">
            <w:pPr>
              <w:pStyle w:val="ARfintablecolheadright"/>
            </w:pPr>
            <w:r>
              <w:t>2021</w:t>
            </w:r>
          </w:p>
          <w:p w14:paraId="550045C0" w14:textId="77777777" w:rsidR="00CE75D4" w:rsidRPr="002029AF" w:rsidRDefault="00CE75D4" w:rsidP="008340C1">
            <w:pPr>
              <w:pStyle w:val="ARfintablecolheadright"/>
            </w:pPr>
            <w:r w:rsidRPr="002029AF">
              <w:t>$M</w:t>
            </w:r>
          </w:p>
        </w:tc>
      </w:tr>
      <w:tr w:rsidR="00CE75D4" w:rsidRPr="002029AF" w14:paraId="28713B2D" w14:textId="77777777" w:rsidTr="00860E95">
        <w:tc>
          <w:tcPr>
            <w:tcW w:w="9637" w:type="dxa"/>
            <w:gridSpan w:val="3"/>
            <w:tcBorders>
              <w:top w:val="single" w:sz="4" w:space="0" w:color="auto"/>
              <w:bottom w:val="single" w:sz="4" w:space="0" w:color="A6A6A6"/>
            </w:tcBorders>
            <w:hideMark/>
          </w:tcPr>
          <w:p w14:paraId="149B64A8" w14:textId="77777777" w:rsidR="00CE75D4" w:rsidRPr="002029AF" w:rsidRDefault="00CE75D4" w:rsidP="008340C1">
            <w:pPr>
              <w:pStyle w:val="ARfintablebodybold"/>
            </w:pPr>
            <w:r w:rsidRPr="00B547B1">
              <w:t>Current borrowings</w:t>
            </w:r>
          </w:p>
        </w:tc>
      </w:tr>
      <w:tr w:rsidR="00CE75D4" w:rsidRPr="002029AF" w14:paraId="000B5AAD" w14:textId="77777777" w:rsidTr="00860E95">
        <w:tc>
          <w:tcPr>
            <w:tcW w:w="7369" w:type="dxa"/>
            <w:tcBorders>
              <w:top w:val="single" w:sz="4" w:space="0" w:color="A6A6A6"/>
              <w:bottom w:val="single" w:sz="4" w:space="0" w:color="A6A6A6"/>
            </w:tcBorders>
            <w:hideMark/>
          </w:tcPr>
          <w:p w14:paraId="1AF80564" w14:textId="77777777" w:rsidR="00CE75D4" w:rsidRPr="002029AF" w:rsidRDefault="00CE75D4" w:rsidP="008340C1">
            <w:pPr>
              <w:pStyle w:val="ARfintablebody"/>
            </w:pPr>
            <w:r w:rsidRPr="00B547B1">
              <w:t>Advances from Victorian Government</w:t>
            </w:r>
          </w:p>
        </w:tc>
        <w:tc>
          <w:tcPr>
            <w:tcW w:w="1134" w:type="dxa"/>
            <w:tcBorders>
              <w:top w:val="single" w:sz="4" w:space="0" w:color="A6A6A6"/>
              <w:bottom w:val="single" w:sz="4" w:space="0" w:color="A6A6A6"/>
            </w:tcBorders>
            <w:shd w:val="clear" w:color="auto" w:fill="E7E6E6"/>
            <w:noWrap/>
            <w:hideMark/>
          </w:tcPr>
          <w:p w14:paraId="37F39137" w14:textId="77777777" w:rsidR="00CE75D4" w:rsidRPr="002029AF" w:rsidRDefault="00CE75D4" w:rsidP="008340C1">
            <w:pPr>
              <w:pStyle w:val="ARfintablebodyright"/>
            </w:pPr>
            <w:r w:rsidRPr="00B547B1">
              <w:t>68.2</w:t>
            </w:r>
          </w:p>
        </w:tc>
        <w:tc>
          <w:tcPr>
            <w:tcW w:w="1134" w:type="dxa"/>
            <w:tcBorders>
              <w:top w:val="single" w:sz="4" w:space="0" w:color="A6A6A6"/>
              <w:bottom w:val="single" w:sz="4" w:space="0" w:color="A6A6A6"/>
            </w:tcBorders>
            <w:noWrap/>
            <w:hideMark/>
          </w:tcPr>
          <w:p w14:paraId="1616B430" w14:textId="77777777" w:rsidR="00CE75D4" w:rsidRPr="002029AF" w:rsidRDefault="00CE75D4" w:rsidP="008340C1">
            <w:pPr>
              <w:pStyle w:val="ARfintablebodyright"/>
            </w:pPr>
            <w:r w:rsidRPr="00B547B1">
              <w:t>46.9</w:t>
            </w:r>
          </w:p>
        </w:tc>
      </w:tr>
      <w:tr w:rsidR="00CE75D4" w:rsidRPr="002029AF" w14:paraId="5B1386A6" w14:textId="77777777" w:rsidTr="00860E95">
        <w:tc>
          <w:tcPr>
            <w:tcW w:w="7369" w:type="dxa"/>
            <w:tcBorders>
              <w:top w:val="single" w:sz="4" w:space="0" w:color="A6A6A6"/>
            </w:tcBorders>
            <w:hideMark/>
          </w:tcPr>
          <w:p w14:paraId="4EA24C07" w14:textId="77777777" w:rsidR="00CE75D4" w:rsidRPr="002029AF" w:rsidRDefault="00CE75D4" w:rsidP="008340C1">
            <w:pPr>
              <w:pStyle w:val="ARfintablebody"/>
            </w:pPr>
            <w:r w:rsidRPr="00B547B1">
              <w:t>Lease liabilities</w:t>
            </w:r>
          </w:p>
        </w:tc>
        <w:tc>
          <w:tcPr>
            <w:tcW w:w="1134" w:type="dxa"/>
            <w:tcBorders>
              <w:top w:val="single" w:sz="4" w:space="0" w:color="A6A6A6"/>
            </w:tcBorders>
            <w:shd w:val="clear" w:color="auto" w:fill="E7E6E6"/>
            <w:noWrap/>
            <w:hideMark/>
          </w:tcPr>
          <w:p w14:paraId="434B96B0" w14:textId="77777777" w:rsidR="00CE75D4" w:rsidRPr="002029AF" w:rsidRDefault="00CE75D4" w:rsidP="008340C1">
            <w:pPr>
              <w:pStyle w:val="ARfintablebodyright"/>
            </w:pPr>
            <w:r w:rsidRPr="00B547B1">
              <w:t>3.3</w:t>
            </w:r>
          </w:p>
        </w:tc>
        <w:tc>
          <w:tcPr>
            <w:tcW w:w="1134" w:type="dxa"/>
            <w:tcBorders>
              <w:top w:val="single" w:sz="4" w:space="0" w:color="A6A6A6"/>
            </w:tcBorders>
            <w:noWrap/>
            <w:hideMark/>
          </w:tcPr>
          <w:p w14:paraId="45E0C5DD" w14:textId="77777777" w:rsidR="00CE75D4" w:rsidRPr="002029AF" w:rsidRDefault="00CE75D4" w:rsidP="008340C1">
            <w:pPr>
              <w:pStyle w:val="ARfintablebodyright"/>
            </w:pPr>
            <w:r w:rsidRPr="00B547B1">
              <w:t>38.4</w:t>
            </w:r>
          </w:p>
        </w:tc>
      </w:tr>
      <w:tr w:rsidR="00CE75D4" w:rsidRPr="002029AF" w14:paraId="30B75EB9" w14:textId="77777777" w:rsidTr="00860E95">
        <w:tc>
          <w:tcPr>
            <w:tcW w:w="7369" w:type="dxa"/>
            <w:tcBorders>
              <w:bottom w:val="single" w:sz="4" w:space="0" w:color="auto"/>
            </w:tcBorders>
            <w:hideMark/>
          </w:tcPr>
          <w:p w14:paraId="17218691" w14:textId="77777777" w:rsidR="00CE75D4" w:rsidRPr="002029AF" w:rsidRDefault="00CE75D4" w:rsidP="008340C1">
            <w:pPr>
              <w:pStyle w:val="ARfintablebodybold"/>
            </w:pPr>
            <w:r w:rsidRPr="00B547B1">
              <w:t>Total current borrowings</w:t>
            </w:r>
          </w:p>
        </w:tc>
        <w:tc>
          <w:tcPr>
            <w:tcW w:w="1134" w:type="dxa"/>
            <w:tcBorders>
              <w:bottom w:val="single" w:sz="4" w:space="0" w:color="auto"/>
            </w:tcBorders>
            <w:shd w:val="clear" w:color="auto" w:fill="E7E6E6"/>
            <w:noWrap/>
            <w:hideMark/>
          </w:tcPr>
          <w:p w14:paraId="7C34309B" w14:textId="77777777" w:rsidR="00CE75D4" w:rsidRPr="002029AF" w:rsidRDefault="00CE75D4" w:rsidP="008340C1">
            <w:pPr>
              <w:pStyle w:val="ARfintablebodyrightbold"/>
            </w:pPr>
            <w:r w:rsidRPr="00B547B1">
              <w:t>71.5</w:t>
            </w:r>
          </w:p>
        </w:tc>
        <w:tc>
          <w:tcPr>
            <w:tcW w:w="1134" w:type="dxa"/>
            <w:tcBorders>
              <w:bottom w:val="single" w:sz="4" w:space="0" w:color="auto"/>
            </w:tcBorders>
            <w:noWrap/>
            <w:hideMark/>
          </w:tcPr>
          <w:p w14:paraId="79399288" w14:textId="77777777" w:rsidR="00CE75D4" w:rsidRPr="002029AF" w:rsidRDefault="00CE75D4" w:rsidP="008340C1">
            <w:pPr>
              <w:pStyle w:val="ARfintablebodyrightbold"/>
            </w:pPr>
            <w:r w:rsidRPr="00B547B1">
              <w:t>85.3</w:t>
            </w:r>
          </w:p>
        </w:tc>
      </w:tr>
      <w:tr w:rsidR="00CE75D4" w:rsidRPr="002029AF" w14:paraId="3E61F109" w14:textId="77777777" w:rsidTr="00860E95">
        <w:tc>
          <w:tcPr>
            <w:tcW w:w="9637" w:type="dxa"/>
            <w:gridSpan w:val="3"/>
            <w:tcBorders>
              <w:top w:val="single" w:sz="4" w:space="0" w:color="auto"/>
              <w:bottom w:val="single" w:sz="4" w:space="0" w:color="A6A6A6"/>
            </w:tcBorders>
            <w:hideMark/>
          </w:tcPr>
          <w:p w14:paraId="05B9A7AB" w14:textId="77777777" w:rsidR="00CE75D4" w:rsidRPr="002029AF" w:rsidRDefault="00CE75D4" w:rsidP="008340C1">
            <w:pPr>
              <w:pStyle w:val="ARfintablebodybold"/>
            </w:pPr>
            <w:r w:rsidRPr="00B547B1">
              <w:t>Non-current borrowings</w:t>
            </w:r>
          </w:p>
        </w:tc>
      </w:tr>
      <w:tr w:rsidR="00CE75D4" w:rsidRPr="002029AF" w14:paraId="43AC72D2" w14:textId="77777777" w:rsidTr="00860E95">
        <w:tc>
          <w:tcPr>
            <w:tcW w:w="7369" w:type="dxa"/>
            <w:tcBorders>
              <w:top w:val="single" w:sz="4" w:space="0" w:color="A6A6A6"/>
              <w:bottom w:val="single" w:sz="4" w:space="0" w:color="A6A6A6"/>
            </w:tcBorders>
            <w:hideMark/>
          </w:tcPr>
          <w:p w14:paraId="4E68BCA9" w14:textId="77777777" w:rsidR="00CE75D4" w:rsidRPr="002029AF" w:rsidRDefault="00CE75D4" w:rsidP="008340C1">
            <w:pPr>
              <w:pStyle w:val="ARfintablebody"/>
            </w:pPr>
            <w:r w:rsidRPr="00B547B1">
              <w:t>Advances from Victorian Government</w:t>
            </w:r>
          </w:p>
        </w:tc>
        <w:tc>
          <w:tcPr>
            <w:tcW w:w="1134" w:type="dxa"/>
            <w:tcBorders>
              <w:top w:val="single" w:sz="4" w:space="0" w:color="A6A6A6"/>
              <w:bottom w:val="single" w:sz="4" w:space="0" w:color="A6A6A6"/>
            </w:tcBorders>
            <w:shd w:val="clear" w:color="auto" w:fill="E7E6E6"/>
            <w:noWrap/>
            <w:hideMark/>
          </w:tcPr>
          <w:p w14:paraId="231A89CB" w14:textId="77777777" w:rsidR="00CE75D4" w:rsidRPr="002029AF" w:rsidRDefault="00CE75D4" w:rsidP="008340C1">
            <w:pPr>
              <w:pStyle w:val="ARfintablebodyright"/>
            </w:pPr>
            <w:r w:rsidRPr="00B547B1">
              <w:t>9.1</w:t>
            </w:r>
          </w:p>
        </w:tc>
        <w:tc>
          <w:tcPr>
            <w:tcW w:w="1134" w:type="dxa"/>
            <w:tcBorders>
              <w:top w:val="single" w:sz="4" w:space="0" w:color="A6A6A6"/>
              <w:bottom w:val="single" w:sz="4" w:space="0" w:color="A6A6A6"/>
            </w:tcBorders>
            <w:noWrap/>
            <w:hideMark/>
          </w:tcPr>
          <w:p w14:paraId="4C2507E3" w14:textId="77777777" w:rsidR="00CE75D4" w:rsidRPr="002029AF" w:rsidRDefault="00CE75D4" w:rsidP="008340C1">
            <w:pPr>
              <w:pStyle w:val="ARfintablebodyright"/>
            </w:pPr>
            <w:r w:rsidRPr="00B547B1">
              <w:t>57.1</w:t>
            </w:r>
          </w:p>
        </w:tc>
      </w:tr>
      <w:tr w:rsidR="00CE75D4" w:rsidRPr="002029AF" w14:paraId="28FF813E" w14:textId="77777777" w:rsidTr="00860E95">
        <w:tc>
          <w:tcPr>
            <w:tcW w:w="7369" w:type="dxa"/>
            <w:tcBorders>
              <w:top w:val="single" w:sz="4" w:space="0" w:color="A6A6A6"/>
              <w:bottom w:val="single" w:sz="4" w:space="0" w:color="A6A6A6"/>
            </w:tcBorders>
          </w:tcPr>
          <w:p w14:paraId="49BDB695" w14:textId="77777777" w:rsidR="00CE75D4" w:rsidRPr="002029AF" w:rsidRDefault="00CE75D4" w:rsidP="008340C1">
            <w:pPr>
              <w:pStyle w:val="ARfintablebody"/>
            </w:pPr>
            <w:r w:rsidRPr="00B547B1">
              <w:t>PPP-related financial liabilities</w:t>
            </w:r>
          </w:p>
        </w:tc>
        <w:tc>
          <w:tcPr>
            <w:tcW w:w="1134" w:type="dxa"/>
            <w:tcBorders>
              <w:top w:val="single" w:sz="4" w:space="0" w:color="A6A6A6"/>
              <w:bottom w:val="single" w:sz="4" w:space="0" w:color="A6A6A6"/>
            </w:tcBorders>
            <w:shd w:val="clear" w:color="auto" w:fill="E7E6E6"/>
            <w:noWrap/>
          </w:tcPr>
          <w:p w14:paraId="0E12593C" w14:textId="77777777" w:rsidR="00CE75D4" w:rsidRPr="002029AF" w:rsidRDefault="00CE75D4" w:rsidP="008340C1">
            <w:pPr>
              <w:pStyle w:val="ARfintablebodyright"/>
            </w:pPr>
            <w:r w:rsidRPr="00B547B1">
              <w:t>490.1</w:t>
            </w:r>
          </w:p>
        </w:tc>
        <w:tc>
          <w:tcPr>
            <w:tcW w:w="1134" w:type="dxa"/>
            <w:tcBorders>
              <w:top w:val="single" w:sz="4" w:space="0" w:color="A6A6A6"/>
              <w:bottom w:val="single" w:sz="4" w:space="0" w:color="A6A6A6"/>
            </w:tcBorders>
            <w:noWrap/>
          </w:tcPr>
          <w:p w14:paraId="70F603DF" w14:textId="77777777" w:rsidR="00CE75D4" w:rsidRPr="002029AF" w:rsidRDefault="00CE75D4" w:rsidP="008340C1">
            <w:pPr>
              <w:pStyle w:val="ARfintablebodyright"/>
            </w:pPr>
            <w:r w:rsidRPr="00B547B1">
              <w:t>175.4</w:t>
            </w:r>
          </w:p>
        </w:tc>
      </w:tr>
      <w:tr w:rsidR="00CE75D4" w:rsidRPr="002029AF" w14:paraId="1A86CECE" w14:textId="77777777" w:rsidTr="00860E95">
        <w:tc>
          <w:tcPr>
            <w:tcW w:w="7369" w:type="dxa"/>
            <w:tcBorders>
              <w:top w:val="single" w:sz="4" w:space="0" w:color="A6A6A6"/>
            </w:tcBorders>
            <w:hideMark/>
          </w:tcPr>
          <w:p w14:paraId="6D0DEB55" w14:textId="77777777" w:rsidR="00CE75D4" w:rsidRPr="002029AF" w:rsidRDefault="00CE75D4" w:rsidP="008340C1">
            <w:pPr>
              <w:pStyle w:val="ARfintablebody"/>
            </w:pPr>
            <w:r w:rsidRPr="00B547B1">
              <w:t>Lease liabilities</w:t>
            </w:r>
          </w:p>
        </w:tc>
        <w:tc>
          <w:tcPr>
            <w:tcW w:w="1134" w:type="dxa"/>
            <w:tcBorders>
              <w:top w:val="single" w:sz="4" w:space="0" w:color="A6A6A6"/>
            </w:tcBorders>
            <w:shd w:val="clear" w:color="auto" w:fill="E7E6E6"/>
            <w:noWrap/>
            <w:hideMark/>
          </w:tcPr>
          <w:p w14:paraId="4A0A047A" w14:textId="77777777" w:rsidR="00CE75D4" w:rsidRPr="002029AF" w:rsidRDefault="00CE75D4" w:rsidP="008340C1">
            <w:pPr>
              <w:pStyle w:val="ARfintablebodyright"/>
            </w:pPr>
            <w:r w:rsidRPr="00B547B1">
              <w:t>5.8</w:t>
            </w:r>
          </w:p>
        </w:tc>
        <w:tc>
          <w:tcPr>
            <w:tcW w:w="1134" w:type="dxa"/>
            <w:tcBorders>
              <w:top w:val="single" w:sz="4" w:space="0" w:color="A6A6A6"/>
            </w:tcBorders>
            <w:noWrap/>
            <w:hideMark/>
          </w:tcPr>
          <w:p w14:paraId="7D5AAC09" w14:textId="77777777" w:rsidR="00CE75D4" w:rsidRPr="002029AF" w:rsidRDefault="00CE75D4" w:rsidP="008340C1">
            <w:pPr>
              <w:pStyle w:val="ARfintablebodyright"/>
            </w:pPr>
            <w:r w:rsidRPr="00B547B1">
              <w:t>52.8</w:t>
            </w:r>
          </w:p>
        </w:tc>
      </w:tr>
      <w:tr w:rsidR="00CE75D4" w:rsidRPr="002029AF" w14:paraId="7E0165A4" w14:textId="77777777" w:rsidTr="00860E95">
        <w:tc>
          <w:tcPr>
            <w:tcW w:w="7369" w:type="dxa"/>
            <w:hideMark/>
          </w:tcPr>
          <w:p w14:paraId="40B88024" w14:textId="77777777" w:rsidR="00CE75D4" w:rsidRPr="002029AF" w:rsidRDefault="00CE75D4" w:rsidP="008340C1">
            <w:pPr>
              <w:pStyle w:val="ARfintablebodybold"/>
            </w:pPr>
            <w:r w:rsidRPr="00B547B1">
              <w:t>Total non-current borrowings</w:t>
            </w:r>
          </w:p>
        </w:tc>
        <w:tc>
          <w:tcPr>
            <w:tcW w:w="1134" w:type="dxa"/>
            <w:shd w:val="clear" w:color="auto" w:fill="E7E6E6"/>
            <w:noWrap/>
            <w:hideMark/>
          </w:tcPr>
          <w:p w14:paraId="0118AD9D" w14:textId="77777777" w:rsidR="00CE75D4" w:rsidRPr="002029AF" w:rsidRDefault="00CE75D4" w:rsidP="008340C1">
            <w:pPr>
              <w:pStyle w:val="ARfintablebodyrightbold"/>
            </w:pPr>
            <w:r w:rsidRPr="00B547B1">
              <w:t>505.0</w:t>
            </w:r>
          </w:p>
        </w:tc>
        <w:tc>
          <w:tcPr>
            <w:tcW w:w="1134" w:type="dxa"/>
            <w:noWrap/>
            <w:hideMark/>
          </w:tcPr>
          <w:p w14:paraId="2AC90CEB" w14:textId="77777777" w:rsidR="00CE75D4" w:rsidRPr="002029AF" w:rsidRDefault="00CE75D4" w:rsidP="008340C1">
            <w:pPr>
              <w:pStyle w:val="ARfintablebodyrightbold"/>
            </w:pPr>
            <w:r w:rsidRPr="00B547B1">
              <w:t>285.3</w:t>
            </w:r>
          </w:p>
        </w:tc>
      </w:tr>
      <w:tr w:rsidR="00CE75D4" w:rsidRPr="002029AF" w14:paraId="49D91BB2" w14:textId="77777777" w:rsidTr="00860E95">
        <w:tc>
          <w:tcPr>
            <w:tcW w:w="7369" w:type="dxa"/>
            <w:hideMark/>
          </w:tcPr>
          <w:p w14:paraId="16A53ADB" w14:textId="77777777" w:rsidR="00CE75D4" w:rsidRPr="002029AF" w:rsidRDefault="00CE75D4" w:rsidP="008340C1">
            <w:pPr>
              <w:pStyle w:val="ARfintablebodybold"/>
            </w:pPr>
            <w:r w:rsidRPr="00B547B1">
              <w:t>Total borrowings</w:t>
            </w:r>
          </w:p>
        </w:tc>
        <w:tc>
          <w:tcPr>
            <w:tcW w:w="1134" w:type="dxa"/>
            <w:shd w:val="clear" w:color="auto" w:fill="E7E6E6"/>
            <w:noWrap/>
            <w:hideMark/>
          </w:tcPr>
          <w:p w14:paraId="5BCF9F6D" w14:textId="77777777" w:rsidR="00CE75D4" w:rsidRPr="002029AF" w:rsidRDefault="00CE75D4" w:rsidP="008340C1">
            <w:pPr>
              <w:pStyle w:val="ARfintablebodyrightbold"/>
            </w:pPr>
            <w:r w:rsidRPr="00B547B1">
              <w:t>576.5</w:t>
            </w:r>
          </w:p>
        </w:tc>
        <w:tc>
          <w:tcPr>
            <w:tcW w:w="1134" w:type="dxa"/>
            <w:noWrap/>
            <w:hideMark/>
          </w:tcPr>
          <w:p w14:paraId="4723F775" w14:textId="77777777" w:rsidR="00CE75D4" w:rsidRPr="002029AF" w:rsidRDefault="00CE75D4" w:rsidP="008340C1">
            <w:pPr>
              <w:pStyle w:val="ARfintablebodyrightbold"/>
            </w:pPr>
            <w:r w:rsidRPr="00B547B1">
              <w:t>370.6</w:t>
            </w:r>
          </w:p>
        </w:tc>
      </w:tr>
    </w:tbl>
    <w:p w14:paraId="29084D7D" w14:textId="77777777" w:rsidR="00CE75D4" w:rsidRDefault="00CE75D4" w:rsidP="008340C1">
      <w:pPr>
        <w:pStyle w:val="ARfinbodyaftertable"/>
      </w:pPr>
      <w:r>
        <w:t>Borrowings are classified as financial instruments. All interest-bearing liabilities are initially recognised at the fair value of the consideration received, less directly attributable transaction costs. The measurement basis subsequent to initial recognition depends on whether the department has categorised its interest-bearing liabilities as either ‘financial liabilities designated at fair value through profit or loss’, or financial liabilities at ‘amortised cost’. The classification depends on the nature and purpose of the interest-bearing liabilities. The department determines the classification of interest-bearing liabilities at initial recognition.</w:t>
      </w:r>
    </w:p>
    <w:p w14:paraId="3E917560" w14:textId="77777777" w:rsidR="00CE75D4" w:rsidRDefault="00CE75D4" w:rsidP="008340C1">
      <w:pPr>
        <w:pStyle w:val="ARfinbody"/>
      </w:pPr>
      <w:r>
        <w:rPr>
          <w:rStyle w:val="Strong"/>
        </w:rPr>
        <w:t>Defaults and breaches:</w:t>
      </w:r>
      <w:r>
        <w:t xml:space="preserve"> During the current and previous financial year, there were no defaults or breaches of required conditions in relation to any of the borrowings.</w:t>
      </w:r>
    </w:p>
    <w:p w14:paraId="6D50A9DB" w14:textId="77777777" w:rsidR="00CE75D4" w:rsidRDefault="00CE75D4" w:rsidP="008340C1">
      <w:pPr>
        <w:pStyle w:val="ARfinbody"/>
      </w:pPr>
      <w:r>
        <w:rPr>
          <w:rStyle w:val="Strong"/>
        </w:rPr>
        <w:t>Advances from Victorian Government</w:t>
      </w:r>
      <w:r>
        <w:t xml:space="preserve"> are advances from the Department of Treasury and Finance. These advances are non-interest bearing.</w:t>
      </w:r>
    </w:p>
    <w:p w14:paraId="4A91296C" w14:textId="77777777" w:rsidR="00CE75D4" w:rsidRDefault="00CE75D4" w:rsidP="008340C1">
      <w:pPr>
        <w:pStyle w:val="ARfinbody"/>
      </w:pPr>
      <w:r>
        <w:rPr>
          <w:rStyle w:val="Strong"/>
        </w:rPr>
        <w:t>Lease liabilities</w:t>
      </w:r>
      <w:r>
        <w:t xml:space="preserve"> are secured by the assets leased. Leases are effectively secured as the rights to the leased assets revert to the lessor in the event of default.</w:t>
      </w:r>
    </w:p>
    <w:p w14:paraId="3DEEFF9B" w14:textId="77777777" w:rsidR="00CE75D4" w:rsidRDefault="00CE75D4" w:rsidP="008340C1">
      <w:pPr>
        <w:pStyle w:val="ARfinbody"/>
      </w:pPr>
      <w:r>
        <w:rPr>
          <w:rStyle w:val="Strong"/>
        </w:rPr>
        <w:t>PPP-related financial liabilities</w:t>
      </w:r>
      <w:r>
        <w:t xml:space="preserve"> arise on uncommissioned PPPs where either a service concession asset or an item of property, plant and equipment is in construction.</w:t>
      </w:r>
    </w:p>
    <w:p w14:paraId="14D0C251" w14:textId="77777777" w:rsidR="00CE75D4" w:rsidRPr="0040433B" w:rsidRDefault="00CE75D4" w:rsidP="00087B91">
      <w:pPr>
        <w:pStyle w:val="ARfinbody"/>
      </w:pPr>
      <w:r w:rsidRPr="0040433B">
        <w:br w:type="page"/>
      </w:r>
    </w:p>
    <w:p w14:paraId="27BB4B35" w14:textId="77777777" w:rsidR="00CE75D4" w:rsidRPr="002029AF" w:rsidRDefault="00CE75D4" w:rsidP="00087B91">
      <w:pPr>
        <w:pStyle w:val="Heading5"/>
      </w:pPr>
      <w:bookmarkStart w:id="606" w:name="_Toc85121463"/>
      <w:r w:rsidRPr="002029AF">
        <w:t>7.1.1 Maturity analysis of borrowings</w:t>
      </w:r>
      <w:bookmarkEnd w:id="606"/>
    </w:p>
    <w:tbl>
      <w:tblPr>
        <w:tblStyle w:val="TableGrid"/>
        <w:tblW w:w="9637" w:type="dxa"/>
        <w:tblLayout w:type="fixed"/>
        <w:tblLook w:val="06A0" w:firstRow="1" w:lastRow="0" w:firstColumn="1" w:lastColumn="0" w:noHBand="1" w:noVBand="1"/>
      </w:tblPr>
      <w:tblGrid>
        <w:gridCol w:w="2495"/>
        <w:gridCol w:w="1021"/>
        <w:gridCol w:w="1021"/>
        <w:gridCol w:w="1020"/>
        <w:gridCol w:w="1020"/>
        <w:gridCol w:w="1020"/>
        <w:gridCol w:w="1020"/>
        <w:gridCol w:w="1020"/>
      </w:tblGrid>
      <w:tr w:rsidR="00CE75D4" w:rsidRPr="002029AF" w14:paraId="02642D18" w14:textId="77777777" w:rsidTr="00ED163A">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val="restart"/>
            <w:noWrap/>
            <w:hideMark/>
          </w:tcPr>
          <w:p w14:paraId="5741096B" w14:textId="77777777" w:rsidR="00CE75D4" w:rsidRPr="002029AF" w:rsidRDefault="00CE75D4" w:rsidP="00860E95">
            <w:pPr>
              <w:pStyle w:val="ARfintablecolhead"/>
            </w:pPr>
          </w:p>
        </w:tc>
        <w:tc>
          <w:tcPr>
            <w:tcW w:w="1021" w:type="dxa"/>
            <w:vMerge w:val="restart"/>
            <w:noWrap/>
            <w:hideMark/>
          </w:tcPr>
          <w:p w14:paraId="75132D8D" w14:textId="77777777" w:rsidR="00CE75D4" w:rsidRPr="002029AF" w:rsidRDefault="00CE75D4" w:rsidP="00130D1C">
            <w:pPr>
              <w:pStyle w:val="ARfintablecolheadright"/>
              <w:ind w:right="0"/>
            </w:pPr>
            <w:r w:rsidRPr="002029AF">
              <w:t>Carrying amount</w:t>
            </w:r>
          </w:p>
          <w:p w14:paraId="7BC778B3" w14:textId="77777777" w:rsidR="00CE75D4" w:rsidRPr="002029AF" w:rsidRDefault="00CE75D4" w:rsidP="00130D1C">
            <w:pPr>
              <w:pStyle w:val="ARfintablecolheadright"/>
              <w:ind w:right="0"/>
            </w:pPr>
            <w:r w:rsidRPr="002029AF">
              <w:t>$M</w:t>
            </w:r>
          </w:p>
        </w:tc>
        <w:tc>
          <w:tcPr>
            <w:tcW w:w="1021" w:type="dxa"/>
            <w:vMerge w:val="restart"/>
            <w:noWrap/>
            <w:hideMark/>
          </w:tcPr>
          <w:p w14:paraId="2E6E5C3F" w14:textId="77777777" w:rsidR="00CE75D4" w:rsidRPr="002029AF" w:rsidRDefault="00CE75D4" w:rsidP="00130D1C">
            <w:pPr>
              <w:pStyle w:val="ARfintablecolheadright"/>
              <w:ind w:right="0"/>
            </w:pPr>
            <w:r w:rsidRPr="002029AF">
              <w:t>Nominal amount</w:t>
            </w:r>
          </w:p>
          <w:p w14:paraId="5AD5A20B" w14:textId="77777777" w:rsidR="00CE75D4" w:rsidRPr="002029AF" w:rsidRDefault="00CE75D4" w:rsidP="00130D1C">
            <w:pPr>
              <w:pStyle w:val="ARfintablecolheadright"/>
              <w:ind w:right="0"/>
            </w:pPr>
            <w:r w:rsidRPr="002029AF">
              <w:t>$M</w:t>
            </w:r>
          </w:p>
        </w:tc>
        <w:tc>
          <w:tcPr>
            <w:tcW w:w="5100" w:type="dxa"/>
            <w:gridSpan w:val="5"/>
            <w:noWrap/>
            <w:hideMark/>
          </w:tcPr>
          <w:p w14:paraId="50B672EF" w14:textId="77777777" w:rsidR="00CE75D4" w:rsidRPr="002029AF" w:rsidRDefault="00CE75D4" w:rsidP="00130D1C">
            <w:pPr>
              <w:pStyle w:val="ARfintablecolheadcentre"/>
            </w:pPr>
            <w:r w:rsidRPr="002029AF">
              <w:t>Maturity dates</w:t>
            </w:r>
          </w:p>
        </w:tc>
      </w:tr>
      <w:tr w:rsidR="00CE75D4" w:rsidRPr="002029AF" w14:paraId="64B249BC" w14:textId="77777777" w:rsidTr="00ED163A">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tcBorders>
              <w:bottom w:val="single" w:sz="4" w:space="0" w:color="auto"/>
            </w:tcBorders>
            <w:hideMark/>
          </w:tcPr>
          <w:p w14:paraId="5822A545" w14:textId="77777777" w:rsidR="00CE75D4" w:rsidRPr="002029AF" w:rsidRDefault="00CE75D4" w:rsidP="00860E95">
            <w:pPr>
              <w:pStyle w:val="ARfintablecolhead"/>
            </w:pPr>
          </w:p>
        </w:tc>
        <w:tc>
          <w:tcPr>
            <w:tcW w:w="1021" w:type="dxa"/>
            <w:vMerge/>
            <w:tcBorders>
              <w:bottom w:val="single" w:sz="4" w:space="0" w:color="auto"/>
            </w:tcBorders>
            <w:hideMark/>
          </w:tcPr>
          <w:p w14:paraId="442B20B6" w14:textId="77777777" w:rsidR="00CE75D4" w:rsidRPr="002029AF" w:rsidRDefault="00CE75D4" w:rsidP="00130D1C">
            <w:pPr>
              <w:pStyle w:val="ARfintablecolheadright"/>
              <w:ind w:right="0"/>
            </w:pPr>
          </w:p>
        </w:tc>
        <w:tc>
          <w:tcPr>
            <w:tcW w:w="1021" w:type="dxa"/>
            <w:vMerge/>
            <w:tcBorders>
              <w:bottom w:val="single" w:sz="4" w:space="0" w:color="auto"/>
            </w:tcBorders>
            <w:hideMark/>
          </w:tcPr>
          <w:p w14:paraId="4592AC06" w14:textId="77777777" w:rsidR="00CE75D4" w:rsidRPr="002029AF" w:rsidRDefault="00CE75D4" w:rsidP="00130D1C">
            <w:pPr>
              <w:pStyle w:val="ARfintablecolheadright"/>
              <w:ind w:right="0"/>
            </w:pPr>
          </w:p>
        </w:tc>
        <w:tc>
          <w:tcPr>
            <w:tcW w:w="1020" w:type="dxa"/>
            <w:tcBorders>
              <w:bottom w:val="single" w:sz="4" w:space="0" w:color="auto"/>
            </w:tcBorders>
            <w:hideMark/>
          </w:tcPr>
          <w:p w14:paraId="26DE4E14" w14:textId="77777777" w:rsidR="00CE75D4" w:rsidRPr="002029AF" w:rsidRDefault="00CE75D4" w:rsidP="00130D1C">
            <w:pPr>
              <w:pStyle w:val="ARfintablecolheadright"/>
              <w:ind w:right="0"/>
            </w:pPr>
            <w:r w:rsidRPr="002029AF">
              <w:t>Less than 1 month</w:t>
            </w:r>
          </w:p>
          <w:p w14:paraId="39661E52" w14:textId="77777777" w:rsidR="00CE75D4" w:rsidRPr="002029AF" w:rsidRDefault="00CE75D4" w:rsidP="00130D1C">
            <w:pPr>
              <w:pStyle w:val="ARfintablecolheadright"/>
              <w:ind w:right="0"/>
            </w:pPr>
            <w:r w:rsidRPr="002029AF">
              <w:t>$M</w:t>
            </w:r>
          </w:p>
        </w:tc>
        <w:tc>
          <w:tcPr>
            <w:tcW w:w="1020" w:type="dxa"/>
            <w:tcBorders>
              <w:bottom w:val="single" w:sz="4" w:space="0" w:color="auto"/>
            </w:tcBorders>
            <w:hideMark/>
          </w:tcPr>
          <w:p w14:paraId="1DA60D74" w14:textId="77777777" w:rsidR="00CE75D4" w:rsidRPr="002029AF" w:rsidRDefault="00CE75D4" w:rsidP="00130D1C">
            <w:pPr>
              <w:pStyle w:val="ARfintablecolheadright"/>
              <w:ind w:right="0"/>
            </w:pPr>
            <w:r w:rsidRPr="002029AF">
              <w:t>1–3 months</w:t>
            </w:r>
          </w:p>
          <w:p w14:paraId="065ED091" w14:textId="77777777" w:rsidR="00CE75D4" w:rsidRPr="002029AF" w:rsidRDefault="00CE75D4" w:rsidP="00130D1C">
            <w:pPr>
              <w:pStyle w:val="ARfintablecolheadright"/>
              <w:ind w:right="0"/>
            </w:pPr>
            <w:r w:rsidRPr="002029AF">
              <w:t>$M</w:t>
            </w:r>
          </w:p>
        </w:tc>
        <w:tc>
          <w:tcPr>
            <w:tcW w:w="1020" w:type="dxa"/>
            <w:tcBorders>
              <w:bottom w:val="single" w:sz="4" w:space="0" w:color="auto"/>
            </w:tcBorders>
            <w:hideMark/>
          </w:tcPr>
          <w:p w14:paraId="7E7411B4" w14:textId="77777777" w:rsidR="00CE75D4" w:rsidRPr="002029AF" w:rsidRDefault="00CE75D4" w:rsidP="00130D1C">
            <w:pPr>
              <w:pStyle w:val="ARfintablecolheadright"/>
              <w:ind w:right="0"/>
            </w:pPr>
            <w:r w:rsidRPr="002029AF">
              <w:t>3 months – 1 year</w:t>
            </w:r>
          </w:p>
          <w:p w14:paraId="45D82E16" w14:textId="77777777" w:rsidR="00CE75D4" w:rsidRPr="002029AF" w:rsidRDefault="00CE75D4" w:rsidP="00130D1C">
            <w:pPr>
              <w:pStyle w:val="ARfintablecolheadright"/>
              <w:ind w:right="0"/>
            </w:pPr>
            <w:r w:rsidRPr="002029AF">
              <w:t>$M</w:t>
            </w:r>
          </w:p>
        </w:tc>
        <w:tc>
          <w:tcPr>
            <w:tcW w:w="1020" w:type="dxa"/>
            <w:tcBorders>
              <w:bottom w:val="single" w:sz="4" w:space="0" w:color="auto"/>
            </w:tcBorders>
            <w:hideMark/>
          </w:tcPr>
          <w:p w14:paraId="116CDA09" w14:textId="77777777" w:rsidR="00CE75D4" w:rsidRPr="002029AF" w:rsidRDefault="00CE75D4" w:rsidP="00130D1C">
            <w:pPr>
              <w:pStyle w:val="ARfintablecolheadright"/>
              <w:ind w:right="0"/>
            </w:pPr>
            <w:r w:rsidRPr="002029AF">
              <w:t>1–5 years</w:t>
            </w:r>
          </w:p>
          <w:p w14:paraId="17F54F28" w14:textId="77777777" w:rsidR="00CE75D4" w:rsidRPr="002029AF" w:rsidRDefault="00CE75D4" w:rsidP="00130D1C">
            <w:pPr>
              <w:pStyle w:val="ARfintablecolheadright"/>
              <w:ind w:right="0"/>
            </w:pPr>
            <w:r w:rsidRPr="002029AF">
              <w:t>$M</w:t>
            </w:r>
          </w:p>
        </w:tc>
        <w:tc>
          <w:tcPr>
            <w:tcW w:w="1020" w:type="dxa"/>
            <w:tcBorders>
              <w:bottom w:val="single" w:sz="4" w:space="0" w:color="auto"/>
            </w:tcBorders>
            <w:hideMark/>
          </w:tcPr>
          <w:p w14:paraId="38EA7ABD" w14:textId="77777777" w:rsidR="00CE75D4" w:rsidRPr="002029AF" w:rsidRDefault="00CE75D4" w:rsidP="00130D1C">
            <w:pPr>
              <w:pStyle w:val="ARfintablecolheadright"/>
              <w:ind w:right="0"/>
            </w:pPr>
            <w:r w:rsidRPr="002029AF">
              <w:t>5+ years</w:t>
            </w:r>
          </w:p>
          <w:p w14:paraId="167369E6" w14:textId="77777777" w:rsidR="00CE75D4" w:rsidRPr="002029AF" w:rsidRDefault="00CE75D4" w:rsidP="00130D1C">
            <w:pPr>
              <w:pStyle w:val="ARfintablecolheadright"/>
              <w:ind w:right="0"/>
            </w:pPr>
            <w:r w:rsidRPr="002029AF">
              <w:t>$M</w:t>
            </w:r>
          </w:p>
        </w:tc>
      </w:tr>
      <w:tr w:rsidR="00CE75D4" w:rsidRPr="002029AF" w14:paraId="39C88C57" w14:textId="77777777" w:rsidTr="00860E95">
        <w:trPr>
          <w:trHeight w:val="255"/>
        </w:trPr>
        <w:tc>
          <w:tcPr>
            <w:tcW w:w="9637" w:type="dxa"/>
            <w:gridSpan w:val="8"/>
            <w:tcBorders>
              <w:top w:val="single" w:sz="4" w:space="0" w:color="auto"/>
              <w:bottom w:val="single" w:sz="4" w:space="0" w:color="A6A6A6"/>
            </w:tcBorders>
            <w:hideMark/>
          </w:tcPr>
          <w:p w14:paraId="26C39F71" w14:textId="77777777" w:rsidR="00CE75D4" w:rsidRPr="002029AF" w:rsidRDefault="00CE75D4" w:rsidP="00130D1C">
            <w:pPr>
              <w:pStyle w:val="ARfintablebodybold"/>
            </w:pPr>
            <w:r w:rsidRPr="002F3D14">
              <w:t>202</w:t>
            </w:r>
            <w:r>
              <w:t>2</w:t>
            </w:r>
          </w:p>
        </w:tc>
      </w:tr>
      <w:tr w:rsidR="00CE75D4" w:rsidRPr="002029AF" w14:paraId="010CE4DD" w14:textId="77777777" w:rsidTr="00860E95">
        <w:trPr>
          <w:trHeight w:val="255"/>
        </w:trPr>
        <w:tc>
          <w:tcPr>
            <w:tcW w:w="2495" w:type="dxa"/>
            <w:tcBorders>
              <w:top w:val="single" w:sz="4" w:space="0" w:color="A6A6A6"/>
              <w:bottom w:val="single" w:sz="4" w:space="0" w:color="A6A6A6"/>
            </w:tcBorders>
            <w:hideMark/>
          </w:tcPr>
          <w:p w14:paraId="5DBCBAB9" w14:textId="77777777" w:rsidR="00CE75D4" w:rsidRPr="002029AF" w:rsidRDefault="00CE75D4" w:rsidP="008340C1">
            <w:pPr>
              <w:pStyle w:val="ARfintablebody"/>
            </w:pPr>
            <w:r w:rsidRPr="00451D05">
              <w:t>Advances from Victorian Government</w:t>
            </w:r>
          </w:p>
        </w:tc>
        <w:tc>
          <w:tcPr>
            <w:tcW w:w="1021" w:type="dxa"/>
            <w:tcBorders>
              <w:top w:val="single" w:sz="4" w:space="0" w:color="A6A6A6"/>
              <w:bottom w:val="single" w:sz="4" w:space="0" w:color="A6A6A6"/>
            </w:tcBorders>
            <w:noWrap/>
            <w:hideMark/>
          </w:tcPr>
          <w:p w14:paraId="2C54323C" w14:textId="77777777" w:rsidR="00CE75D4" w:rsidRPr="002029AF" w:rsidRDefault="00CE75D4" w:rsidP="008340C1">
            <w:pPr>
              <w:pStyle w:val="ARfintablebodyright"/>
              <w:ind w:right="0"/>
            </w:pPr>
            <w:r w:rsidRPr="00451D05">
              <w:t>77.2</w:t>
            </w:r>
          </w:p>
        </w:tc>
        <w:tc>
          <w:tcPr>
            <w:tcW w:w="1021" w:type="dxa"/>
            <w:tcBorders>
              <w:top w:val="single" w:sz="4" w:space="0" w:color="A6A6A6"/>
              <w:bottom w:val="single" w:sz="4" w:space="0" w:color="A6A6A6"/>
            </w:tcBorders>
            <w:noWrap/>
            <w:hideMark/>
          </w:tcPr>
          <w:p w14:paraId="3517F845" w14:textId="77777777" w:rsidR="00CE75D4" w:rsidRPr="002029AF" w:rsidRDefault="00CE75D4" w:rsidP="008340C1">
            <w:pPr>
              <w:pStyle w:val="ARfintablebodyright"/>
              <w:ind w:right="0"/>
            </w:pPr>
            <w:r w:rsidRPr="00451D05">
              <w:t>77.2</w:t>
            </w:r>
          </w:p>
        </w:tc>
        <w:tc>
          <w:tcPr>
            <w:tcW w:w="1020" w:type="dxa"/>
            <w:tcBorders>
              <w:top w:val="single" w:sz="4" w:space="0" w:color="A6A6A6"/>
              <w:bottom w:val="single" w:sz="4" w:space="0" w:color="A6A6A6"/>
            </w:tcBorders>
            <w:noWrap/>
            <w:hideMark/>
          </w:tcPr>
          <w:p w14:paraId="739C4C0D" w14:textId="77777777" w:rsidR="00CE75D4" w:rsidRPr="002029AF" w:rsidRDefault="00CE75D4" w:rsidP="008340C1">
            <w:pPr>
              <w:pStyle w:val="ARfintablebodyright"/>
              <w:ind w:right="0"/>
            </w:pPr>
            <w:r w:rsidRPr="00451D05">
              <w:t>24.3</w:t>
            </w:r>
          </w:p>
        </w:tc>
        <w:tc>
          <w:tcPr>
            <w:tcW w:w="1020" w:type="dxa"/>
            <w:tcBorders>
              <w:top w:val="single" w:sz="4" w:space="0" w:color="A6A6A6"/>
              <w:bottom w:val="single" w:sz="4" w:space="0" w:color="A6A6A6"/>
            </w:tcBorders>
            <w:noWrap/>
            <w:hideMark/>
          </w:tcPr>
          <w:p w14:paraId="4E1E7885" w14:textId="77777777" w:rsidR="00CE75D4" w:rsidRPr="002029AF" w:rsidRDefault="00CE75D4" w:rsidP="008340C1">
            <w:pPr>
              <w:pStyle w:val="ARfintablebodyright"/>
              <w:ind w:right="0"/>
            </w:pPr>
            <w:r>
              <w:t>–</w:t>
            </w:r>
          </w:p>
        </w:tc>
        <w:tc>
          <w:tcPr>
            <w:tcW w:w="1020" w:type="dxa"/>
            <w:tcBorders>
              <w:top w:val="single" w:sz="4" w:space="0" w:color="A6A6A6"/>
              <w:bottom w:val="single" w:sz="4" w:space="0" w:color="A6A6A6"/>
            </w:tcBorders>
            <w:noWrap/>
            <w:hideMark/>
          </w:tcPr>
          <w:p w14:paraId="02027271" w14:textId="77777777" w:rsidR="00CE75D4" w:rsidRPr="002029AF" w:rsidRDefault="00CE75D4" w:rsidP="008340C1">
            <w:pPr>
              <w:pStyle w:val="ARfintablebodyright"/>
              <w:ind w:right="0"/>
            </w:pPr>
            <w:r w:rsidRPr="00451D05">
              <w:t>43.9</w:t>
            </w:r>
          </w:p>
        </w:tc>
        <w:tc>
          <w:tcPr>
            <w:tcW w:w="1020" w:type="dxa"/>
            <w:tcBorders>
              <w:top w:val="single" w:sz="4" w:space="0" w:color="A6A6A6"/>
              <w:bottom w:val="single" w:sz="4" w:space="0" w:color="A6A6A6"/>
            </w:tcBorders>
            <w:noWrap/>
            <w:hideMark/>
          </w:tcPr>
          <w:p w14:paraId="32ED10A6" w14:textId="77777777" w:rsidR="00CE75D4" w:rsidRPr="002029AF" w:rsidRDefault="00CE75D4" w:rsidP="008340C1">
            <w:pPr>
              <w:pStyle w:val="ARfintablebodyright"/>
              <w:ind w:right="0"/>
            </w:pPr>
            <w:r w:rsidRPr="00451D05">
              <w:t>9.1</w:t>
            </w:r>
          </w:p>
        </w:tc>
        <w:tc>
          <w:tcPr>
            <w:tcW w:w="1020" w:type="dxa"/>
            <w:tcBorders>
              <w:top w:val="single" w:sz="4" w:space="0" w:color="A6A6A6"/>
              <w:bottom w:val="single" w:sz="4" w:space="0" w:color="A6A6A6"/>
            </w:tcBorders>
            <w:noWrap/>
            <w:hideMark/>
          </w:tcPr>
          <w:p w14:paraId="4BA4819B" w14:textId="77777777" w:rsidR="00CE75D4" w:rsidRPr="002029AF" w:rsidRDefault="00CE75D4" w:rsidP="008340C1">
            <w:pPr>
              <w:pStyle w:val="ARfintablebodyright"/>
              <w:ind w:right="0"/>
            </w:pPr>
            <w:r>
              <w:t>–</w:t>
            </w:r>
          </w:p>
        </w:tc>
      </w:tr>
      <w:tr w:rsidR="00CE75D4" w:rsidRPr="002029AF" w14:paraId="265B5DD8" w14:textId="77777777" w:rsidTr="00860E95">
        <w:trPr>
          <w:trHeight w:val="255"/>
        </w:trPr>
        <w:tc>
          <w:tcPr>
            <w:tcW w:w="2495" w:type="dxa"/>
            <w:tcBorders>
              <w:top w:val="single" w:sz="4" w:space="0" w:color="A6A6A6"/>
              <w:bottom w:val="single" w:sz="4" w:space="0" w:color="A6A6A6"/>
            </w:tcBorders>
          </w:tcPr>
          <w:p w14:paraId="66B4A5AF" w14:textId="77777777" w:rsidR="00CE75D4" w:rsidRPr="002029AF" w:rsidRDefault="00CE75D4" w:rsidP="008340C1">
            <w:pPr>
              <w:pStyle w:val="ARfintablebody"/>
            </w:pPr>
            <w:r w:rsidRPr="00451D05">
              <w:t>PPP-related financial liabilities</w:t>
            </w:r>
          </w:p>
        </w:tc>
        <w:tc>
          <w:tcPr>
            <w:tcW w:w="1021" w:type="dxa"/>
            <w:tcBorders>
              <w:top w:val="single" w:sz="4" w:space="0" w:color="A6A6A6"/>
              <w:bottom w:val="single" w:sz="4" w:space="0" w:color="A6A6A6"/>
            </w:tcBorders>
            <w:noWrap/>
          </w:tcPr>
          <w:p w14:paraId="3B451BA5" w14:textId="77777777" w:rsidR="00CE75D4" w:rsidRPr="002029AF" w:rsidRDefault="00CE75D4" w:rsidP="008340C1">
            <w:pPr>
              <w:pStyle w:val="ARfintablebodyright"/>
              <w:ind w:right="0"/>
            </w:pPr>
            <w:r w:rsidRPr="00451D05">
              <w:t>490.1</w:t>
            </w:r>
          </w:p>
        </w:tc>
        <w:tc>
          <w:tcPr>
            <w:tcW w:w="1021" w:type="dxa"/>
            <w:tcBorders>
              <w:top w:val="single" w:sz="4" w:space="0" w:color="A6A6A6"/>
              <w:bottom w:val="single" w:sz="4" w:space="0" w:color="A6A6A6"/>
            </w:tcBorders>
            <w:noWrap/>
          </w:tcPr>
          <w:p w14:paraId="65424B8D" w14:textId="77777777" w:rsidR="00CE75D4" w:rsidRPr="002029AF" w:rsidRDefault="00CE75D4" w:rsidP="008340C1">
            <w:pPr>
              <w:pStyle w:val="ARfintablebodyright"/>
              <w:ind w:right="0"/>
            </w:pPr>
            <w:r w:rsidRPr="00451D05">
              <w:t>824.5</w:t>
            </w:r>
          </w:p>
        </w:tc>
        <w:tc>
          <w:tcPr>
            <w:tcW w:w="1020" w:type="dxa"/>
            <w:tcBorders>
              <w:top w:val="single" w:sz="4" w:space="0" w:color="A6A6A6"/>
              <w:bottom w:val="single" w:sz="4" w:space="0" w:color="A6A6A6"/>
            </w:tcBorders>
            <w:noWrap/>
          </w:tcPr>
          <w:p w14:paraId="3B594C6B" w14:textId="77777777" w:rsidR="00CE75D4" w:rsidRPr="002029AF" w:rsidRDefault="00CE75D4" w:rsidP="008340C1">
            <w:pPr>
              <w:pStyle w:val="ARfintablebodyright"/>
              <w:ind w:right="0"/>
            </w:pPr>
            <w:r>
              <w:t>–</w:t>
            </w:r>
          </w:p>
        </w:tc>
        <w:tc>
          <w:tcPr>
            <w:tcW w:w="1020" w:type="dxa"/>
            <w:tcBorders>
              <w:top w:val="single" w:sz="4" w:space="0" w:color="A6A6A6"/>
              <w:bottom w:val="single" w:sz="4" w:space="0" w:color="A6A6A6"/>
            </w:tcBorders>
            <w:noWrap/>
          </w:tcPr>
          <w:p w14:paraId="6BD589CC" w14:textId="77777777" w:rsidR="00CE75D4" w:rsidRPr="002029AF" w:rsidRDefault="00CE75D4" w:rsidP="008340C1">
            <w:pPr>
              <w:pStyle w:val="ARfintablebodyright"/>
              <w:ind w:right="0"/>
            </w:pPr>
            <w:r>
              <w:t>–</w:t>
            </w:r>
          </w:p>
        </w:tc>
        <w:tc>
          <w:tcPr>
            <w:tcW w:w="1020" w:type="dxa"/>
            <w:tcBorders>
              <w:top w:val="single" w:sz="4" w:space="0" w:color="A6A6A6"/>
              <w:bottom w:val="single" w:sz="4" w:space="0" w:color="A6A6A6"/>
            </w:tcBorders>
            <w:noWrap/>
          </w:tcPr>
          <w:p w14:paraId="7A144AA5" w14:textId="77777777" w:rsidR="00CE75D4" w:rsidRPr="002029AF" w:rsidRDefault="00CE75D4" w:rsidP="008340C1">
            <w:pPr>
              <w:pStyle w:val="ARfintablebodyright"/>
              <w:ind w:right="0"/>
            </w:pPr>
            <w:r>
              <w:t>–</w:t>
            </w:r>
          </w:p>
        </w:tc>
        <w:tc>
          <w:tcPr>
            <w:tcW w:w="1020" w:type="dxa"/>
            <w:tcBorders>
              <w:top w:val="single" w:sz="4" w:space="0" w:color="A6A6A6"/>
              <w:bottom w:val="single" w:sz="4" w:space="0" w:color="A6A6A6"/>
            </w:tcBorders>
            <w:noWrap/>
          </w:tcPr>
          <w:p w14:paraId="77809F96" w14:textId="77777777" w:rsidR="00CE75D4" w:rsidRPr="002029AF" w:rsidRDefault="00CE75D4" w:rsidP="008340C1">
            <w:pPr>
              <w:pStyle w:val="ARfintablebodyright"/>
              <w:ind w:right="0"/>
            </w:pPr>
            <w:r w:rsidRPr="00451D05">
              <w:t>2</w:t>
            </w:r>
            <w:r>
              <w:t>71.6</w:t>
            </w:r>
          </w:p>
        </w:tc>
        <w:tc>
          <w:tcPr>
            <w:tcW w:w="1020" w:type="dxa"/>
            <w:tcBorders>
              <w:top w:val="single" w:sz="4" w:space="0" w:color="A6A6A6"/>
              <w:bottom w:val="single" w:sz="4" w:space="0" w:color="A6A6A6"/>
            </w:tcBorders>
            <w:noWrap/>
          </w:tcPr>
          <w:p w14:paraId="1C77433E" w14:textId="77777777" w:rsidR="00CE75D4" w:rsidRPr="002029AF" w:rsidRDefault="00CE75D4" w:rsidP="008340C1">
            <w:pPr>
              <w:pStyle w:val="ARfintablebodyright"/>
              <w:ind w:right="0"/>
            </w:pPr>
            <w:r w:rsidRPr="00451D05">
              <w:t>552.8</w:t>
            </w:r>
          </w:p>
        </w:tc>
      </w:tr>
      <w:tr w:rsidR="00CE75D4" w:rsidRPr="002029AF" w14:paraId="117F15C7" w14:textId="77777777" w:rsidTr="00860E95">
        <w:trPr>
          <w:trHeight w:val="255"/>
        </w:trPr>
        <w:tc>
          <w:tcPr>
            <w:tcW w:w="2495" w:type="dxa"/>
            <w:tcBorders>
              <w:top w:val="single" w:sz="4" w:space="0" w:color="A6A6A6"/>
            </w:tcBorders>
            <w:hideMark/>
          </w:tcPr>
          <w:p w14:paraId="1A2BE36A" w14:textId="77777777" w:rsidR="00CE75D4" w:rsidRPr="002029AF" w:rsidRDefault="00CE75D4" w:rsidP="008340C1">
            <w:pPr>
              <w:pStyle w:val="ARfintablebody"/>
            </w:pPr>
            <w:r w:rsidRPr="00451D05">
              <w:t>Lease liabilities</w:t>
            </w:r>
          </w:p>
        </w:tc>
        <w:tc>
          <w:tcPr>
            <w:tcW w:w="1021" w:type="dxa"/>
            <w:tcBorders>
              <w:top w:val="single" w:sz="4" w:space="0" w:color="A6A6A6"/>
            </w:tcBorders>
            <w:noWrap/>
            <w:hideMark/>
          </w:tcPr>
          <w:p w14:paraId="20C018F9" w14:textId="77777777" w:rsidR="00CE75D4" w:rsidRPr="002029AF" w:rsidRDefault="00CE75D4" w:rsidP="008340C1">
            <w:pPr>
              <w:pStyle w:val="ARfintablebodyright"/>
              <w:ind w:right="0"/>
            </w:pPr>
            <w:r w:rsidRPr="00451D05">
              <w:t>9.1</w:t>
            </w:r>
          </w:p>
        </w:tc>
        <w:tc>
          <w:tcPr>
            <w:tcW w:w="1021" w:type="dxa"/>
            <w:tcBorders>
              <w:top w:val="single" w:sz="4" w:space="0" w:color="A6A6A6"/>
            </w:tcBorders>
            <w:noWrap/>
            <w:hideMark/>
          </w:tcPr>
          <w:p w14:paraId="048ADC88" w14:textId="77777777" w:rsidR="00CE75D4" w:rsidRPr="002029AF" w:rsidRDefault="00CE75D4" w:rsidP="008340C1">
            <w:pPr>
              <w:pStyle w:val="ARfintablebodyright"/>
              <w:ind w:right="0"/>
            </w:pPr>
            <w:r w:rsidRPr="00451D05">
              <w:t>9.6</w:t>
            </w:r>
          </w:p>
        </w:tc>
        <w:tc>
          <w:tcPr>
            <w:tcW w:w="1020" w:type="dxa"/>
            <w:tcBorders>
              <w:top w:val="single" w:sz="4" w:space="0" w:color="A6A6A6"/>
            </w:tcBorders>
            <w:noWrap/>
            <w:hideMark/>
          </w:tcPr>
          <w:p w14:paraId="5E3AF93D" w14:textId="77777777" w:rsidR="00CE75D4" w:rsidRPr="002029AF" w:rsidRDefault="00CE75D4" w:rsidP="008340C1">
            <w:pPr>
              <w:pStyle w:val="ARfintablebodyright"/>
              <w:ind w:right="0"/>
            </w:pPr>
            <w:r w:rsidRPr="00451D05">
              <w:t>0.7</w:t>
            </w:r>
          </w:p>
        </w:tc>
        <w:tc>
          <w:tcPr>
            <w:tcW w:w="1020" w:type="dxa"/>
            <w:tcBorders>
              <w:top w:val="single" w:sz="4" w:space="0" w:color="A6A6A6"/>
            </w:tcBorders>
            <w:noWrap/>
            <w:hideMark/>
          </w:tcPr>
          <w:p w14:paraId="17787CF8" w14:textId="77777777" w:rsidR="00CE75D4" w:rsidRPr="002029AF" w:rsidRDefault="00CE75D4" w:rsidP="008340C1">
            <w:pPr>
              <w:pStyle w:val="ARfintablebodyright"/>
              <w:ind w:right="0"/>
            </w:pPr>
            <w:r w:rsidRPr="00451D05">
              <w:t>0.6</w:t>
            </w:r>
          </w:p>
        </w:tc>
        <w:tc>
          <w:tcPr>
            <w:tcW w:w="1020" w:type="dxa"/>
            <w:tcBorders>
              <w:top w:val="single" w:sz="4" w:space="0" w:color="A6A6A6"/>
            </w:tcBorders>
            <w:noWrap/>
            <w:hideMark/>
          </w:tcPr>
          <w:p w14:paraId="045EE77A" w14:textId="77777777" w:rsidR="00CE75D4" w:rsidRPr="002029AF" w:rsidRDefault="00CE75D4" w:rsidP="008340C1">
            <w:pPr>
              <w:pStyle w:val="ARfintablebodyright"/>
              <w:ind w:right="0"/>
            </w:pPr>
            <w:r w:rsidRPr="00451D05">
              <w:t>3.0</w:t>
            </w:r>
          </w:p>
        </w:tc>
        <w:tc>
          <w:tcPr>
            <w:tcW w:w="1020" w:type="dxa"/>
            <w:tcBorders>
              <w:top w:val="single" w:sz="4" w:space="0" w:color="A6A6A6"/>
            </w:tcBorders>
            <w:noWrap/>
            <w:hideMark/>
          </w:tcPr>
          <w:p w14:paraId="47E2DB55" w14:textId="77777777" w:rsidR="00CE75D4" w:rsidRPr="002029AF" w:rsidRDefault="00CE75D4" w:rsidP="008340C1">
            <w:pPr>
              <w:pStyle w:val="ARfintablebodyright"/>
              <w:ind w:right="0"/>
            </w:pPr>
            <w:r w:rsidRPr="00451D05">
              <w:t>5.3</w:t>
            </w:r>
          </w:p>
        </w:tc>
        <w:tc>
          <w:tcPr>
            <w:tcW w:w="1020" w:type="dxa"/>
            <w:tcBorders>
              <w:top w:val="single" w:sz="4" w:space="0" w:color="A6A6A6"/>
            </w:tcBorders>
            <w:noWrap/>
            <w:hideMark/>
          </w:tcPr>
          <w:p w14:paraId="65052591" w14:textId="77777777" w:rsidR="00CE75D4" w:rsidRPr="002029AF" w:rsidRDefault="00CE75D4" w:rsidP="008340C1">
            <w:pPr>
              <w:pStyle w:val="ARfintablebodyright"/>
              <w:ind w:right="0"/>
            </w:pPr>
            <w:r>
              <w:t>–</w:t>
            </w:r>
          </w:p>
        </w:tc>
      </w:tr>
      <w:tr w:rsidR="00CE75D4" w:rsidRPr="002029AF" w14:paraId="3EFC5343" w14:textId="77777777" w:rsidTr="00860E95">
        <w:trPr>
          <w:trHeight w:val="255"/>
        </w:trPr>
        <w:tc>
          <w:tcPr>
            <w:tcW w:w="2495" w:type="dxa"/>
            <w:tcBorders>
              <w:bottom w:val="single" w:sz="4" w:space="0" w:color="auto"/>
            </w:tcBorders>
            <w:hideMark/>
          </w:tcPr>
          <w:p w14:paraId="53732E8F" w14:textId="77777777" w:rsidR="00CE75D4" w:rsidRPr="002029AF" w:rsidRDefault="00CE75D4" w:rsidP="008340C1">
            <w:pPr>
              <w:pStyle w:val="ARfintablebodybold"/>
            </w:pPr>
            <w:r w:rsidRPr="00451D05">
              <w:t>Total</w:t>
            </w:r>
          </w:p>
        </w:tc>
        <w:tc>
          <w:tcPr>
            <w:tcW w:w="1021" w:type="dxa"/>
            <w:tcBorders>
              <w:bottom w:val="single" w:sz="4" w:space="0" w:color="auto"/>
            </w:tcBorders>
            <w:noWrap/>
            <w:hideMark/>
          </w:tcPr>
          <w:p w14:paraId="04CE17CB" w14:textId="77777777" w:rsidR="00CE75D4" w:rsidRPr="002029AF" w:rsidRDefault="00CE75D4" w:rsidP="008340C1">
            <w:pPr>
              <w:pStyle w:val="ARfintablebodyrightbold"/>
              <w:ind w:right="0"/>
            </w:pPr>
            <w:r w:rsidRPr="00451D05">
              <w:t>576.5</w:t>
            </w:r>
          </w:p>
        </w:tc>
        <w:tc>
          <w:tcPr>
            <w:tcW w:w="1021" w:type="dxa"/>
            <w:tcBorders>
              <w:bottom w:val="single" w:sz="4" w:space="0" w:color="auto"/>
            </w:tcBorders>
            <w:noWrap/>
            <w:hideMark/>
          </w:tcPr>
          <w:p w14:paraId="7173732D" w14:textId="77777777" w:rsidR="00CE75D4" w:rsidRPr="002029AF" w:rsidRDefault="00CE75D4" w:rsidP="008340C1">
            <w:pPr>
              <w:pStyle w:val="ARfintablebodyrightbold"/>
              <w:ind w:right="0"/>
            </w:pPr>
            <w:r w:rsidRPr="00451D05">
              <w:t>911.3</w:t>
            </w:r>
          </w:p>
        </w:tc>
        <w:tc>
          <w:tcPr>
            <w:tcW w:w="1020" w:type="dxa"/>
            <w:tcBorders>
              <w:bottom w:val="single" w:sz="4" w:space="0" w:color="auto"/>
            </w:tcBorders>
            <w:noWrap/>
            <w:hideMark/>
          </w:tcPr>
          <w:p w14:paraId="75167A88" w14:textId="77777777" w:rsidR="00CE75D4" w:rsidRPr="002029AF" w:rsidRDefault="00CE75D4" w:rsidP="008340C1">
            <w:pPr>
              <w:pStyle w:val="ARfintablebodyrightbold"/>
              <w:ind w:right="0"/>
            </w:pPr>
            <w:r w:rsidRPr="00451D05">
              <w:t>25.</w:t>
            </w:r>
            <w:r>
              <w:t>0</w:t>
            </w:r>
          </w:p>
        </w:tc>
        <w:tc>
          <w:tcPr>
            <w:tcW w:w="1020" w:type="dxa"/>
            <w:tcBorders>
              <w:bottom w:val="single" w:sz="4" w:space="0" w:color="auto"/>
            </w:tcBorders>
            <w:noWrap/>
            <w:hideMark/>
          </w:tcPr>
          <w:p w14:paraId="7A67B6E7" w14:textId="77777777" w:rsidR="00CE75D4" w:rsidRPr="002029AF" w:rsidRDefault="00CE75D4" w:rsidP="008340C1">
            <w:pPr>
              <w:pStyle w:val="ARfintablebodyrightbold"/>
              <w:ind w:right="0"/>
            </w:pPr>
            <w:r w:rsidRPr="00451D05">
              <w:t>0.6</w:t>
            </w:r>
          </w:p>
        </w:tc>
        <w:tc>
          <w:tcPr>
            <w:tcW w:w="1020" w:type="dxa"/>
            <w:tcBorders>
              <w:bottom w:val="single" w:sz="4" w:space="0" w:color="auto"/>
            </w:tcBorders>
            <w:noWrap/>
            <w:hideMark/>
          </w:tcPr>
          <w:p w14:paraId="77E0B3BA" w14:textId="77777777" w:rsidR="00CE75D4" w:rsidRPr="002029AF" w:rsidRDefault="00CE75D4" w:rsidP="008340C1">
            <w:pPr>
              <w:pStyle w:val="ARfintablebodyrightbold"/>
              <w:ind w:right="0"/>
            </w:pPr>
            <w:r w:rsidRPr="00451D05">
              <w:t>4</w:t>
            </w:r>
            <w:r>
              <w:t>6.9</w:t>
            </w:r>
          </w:p>
        </w:tc>
        <w:tc>
          <w:tcPr>
            <w:tcW w:w="1020" w:type="dxa"/>
            <w:tcBorders>
              <w:bottom w:val="single" w:sz="4" w:space="0" w:color="auto"/>
            </w:tcBorders>
            <w:noWrap/>
            <w:hideMark/>
          </w:tcPr>
          <w:p w14:paraId="025BD17F" w14:textId="77777777" w:rsidR="00CE75D4" w:rsidRPr="002029AF" w:rsidRDefault="00CE75D4" w:rsidP="008340C1">
            <w:pPr>
              <w:pStyle w:val="ARfintablebodyrightbold"/>
              <w:ind w:right="0"/>
            </w:pPr>
            <w:r w:rsidRPr="00451D05">
              <w:t>28</w:t>
            </w:r>
            <w:r>
              <w:t>6.0</w:t>
            </w:r>
          </w:p>
        </w:tc>
        <w:tc>
          <w:tcPr>
            <w:tcW w:w="1020" w:type="dxa"/>
            <w:tcBorders>
              <w:bottom w:val="single" w:sz="4" w:space="0" w:color="auto"/>
            </w:tcBorders>
            <w:noWrap/>
            <w:hideMark/>
          </w:tcPr>
          <w:p w14:paraId="1780B068" w14:textId="77777777" w:rsidR="00CE75D4" w:rsidRPr="002029AF" w:rsidRDefault="00CE75D4" w:rsidP="008340C1">
            <w:pPr>
              <w:pStyle w:val="ARfintablebodyrightbold"/>
              <w:ind w:right="0"/>
            </w:pPr>
            <w:r w:rsidRPr="00451D05">
              <w:t>552.8</w:t>
            </w:r>
          </w:p>
        </w:tc>
      </w:tr>
      <w:tr w:rsidR="00CE75D4" w:rsidRPr="002029AF" w14:paraId="7F453C0C" w14:textId="77777777" w:rsidTr="00860E95">
        <w:trPr>
          <w:trHeight w:val="255"/>
        </w:trPr>
        <w:tc>
          <w:tcPr>
            <w:tcW w:w="9637" w:type="dxa"/>
            <w:gridSpan w:val="8"/>
            <w:tcBorders>
              <w:top w:val="single" w:sz="4" w:space="0" w:color="auto"/>
              <w:bottom w:val="single" w:sz="4" w:space="0" w:color="A6A6A6"/>
            </w:tcBorders>
            <w:hideMark/>
          </w:tcPr>
          <w:p w14:paraId="7112F4C6" w14:textId="77777777" w:rsidR="00CE75D4" w:rsidRPr="002029AF" w:rsidRDefault="00CE75D4" w:rsidP="008340C1">
            <w:pPr>
              <w:pStyle w:val="ARfintablebodybold"/>
            </w:pPr>
            <w:r w:rsidRPr="00451D05">
              <w:t>2021</w:t>
            </w:r>
          </w:p>
        </w:tc>
      </w:tr>
      <w:tr w:rsidR="00CE75D4" w:rsidRPr="002029AF" w14:paraId="5F19927A" w14:textId="77777777" w:rsidTr="00860E95">
        <w:trPr>
          <w:trHeight w:val="255"/>
        </w:trPr>
        <w:tc>
          <w:tcPr>
            <w:tcW w:w="2495" w:type="dxa"/>
            <w:tcBorders>
              <w:top w:val="single" w:sz="4" w:space="0" w:color="A6A6A6"/>
              <w:bottom w:val="single" w:sz="4" w:space="0" w:color="A6A6A6"/>
            </w:tcBorders>
            <w:hideMark/>
          </w:tcPr>
          <w:p w14:paraId="1E1D9CC3" w14:textId="77777777" w:rsidR="00CE75D4" w:rsidRPr="002029AF" w:rsidRDefault="00CE75D4" w:rsidP="008340C1">
            <w:pPr>
              <w:pStyle w:val="ARfintablebody"/>
            </w:pPr>
            <w:r w:rsidRPr="00451D05">
              <w:t>Advances from Victorian Government</w:t>
            </w:r>
          </w:p>
        </w:tc>
        <w:tc>
          <w:tcPr>
            <w:tcW w:w="1021" w:type="dxa"/>
            <w:tcBorders>
              <w:top w:val="single" w:sz="4" w:space="0" w:color="A6A6A6"/>
              <w:bottom w:val="single" w:sz="4" w:space="0" w:color="A6A6A6"/>
            </w:tcBorders>
            <w:noWrap/>
            <w:hideMark/>
          </w:tcPr>
          <w:p w14:paraId="711396D0" w14:textId="77777777" w:rsidR="00CE75D4" w:rsidRPr="002029AF" w:rsidRDefault="00CE75D4" w:rsidP="008340C1">
            <w:pPr>
              <w:pStyle w:val="ARfintablebodyright"/>
              <w:ind w:right="0"/>
            </w:pPr>
            <w:r w:rsidRPr="00451D05">
              <w:t>104.0</w:t>
            </w:r>
          </w:p>
        </w:tc>
        <w:tc>
          <w:tcPr>
            <w:tcW w:w="1021" w:type="dxa"/>
            <w:tcBorders>
              <w:top w:val="single" w:sz="4" w:space="0" w:color="A6A6A6"/>
              <w:bottom w:val="single" w:sz="4" w:space="0" w:color="A6A6A6"/>
            </w:tcBorders>
            <w:noWrap/>
            <w:hideMark/>
          </w:tcPr>
          <w:p w14:paraId="178DAFB0" w14:textId="77777777" w:rsidR="00CE75D4" w:rsidRPr="002029AF" w:rsidRDefault="00CE75D4" w:rsidP="008340C1">
            <w:pPr>
              <w:pStyle w:val="ARfintablebodyright"/>
              <w:ind w:right="0"/>
            </w:pPr>
            <w:r w:rsidRPr="00451D05">
              <w:t>104.0</w:t>
            </w:r>
          </w:p>
        </w:tc>
        <w:tc>
          <w:tcPr>
            <w:tcW w:w="1020" w:type="dxa"/>
            <w:tcBorders>
              <w:top w:val="single" w:sz="4" w:space="0" w:color="A6A6A6"/>
              <w:bottom w:val="single" w:sz="4" w:space="0" w:color="A6A6A6"/>
            </w:tcBorders>
            <w:noWrap/>
            <w:hideMark/>
          </w:tcPr>
          <w:p w14:paraId="3199ABA9" w14:textId="77777777" w:rsidR="00CE75D4" w:rsidRPr="002029AF" w:rsidRDefault="00CE75D4" w:rsidP="008340C1">
            <w:pPr>
              <w:pStyle w:val="ARfintablebodyright"/>
              <w:ind w:right="0"/>
            </w:pPr>
            <w:r w:rsidRPr="00451D05">
              <w:t>41.2</w:t>
            </w:r>
          </w:p>
        </w:tc>
        <w:tc>
          <w:tcPr>
            <w:tcW w:w="1020" w:type="dxa"/>
            <w:tcBorders>
              <w:top w:val="single" w:sz="4" w:space="0" w:color="A6A6A6"/>
              <w:bottom w:val="single" w:sz="4" w:space="0" w:color="A6A6A6"/>
            </w:tcBorders>
            <w:noWrap/>
            <w:hideMark/>
          </w:tcPr>
          <w:p w14:paraId="6F5B3920" w14:textId="77777777" w:rsidR="00CE75D4" w:rsidRPr="002029AF" w:rsidRDefault="00CE75D4" w:rsidP="008340C1">
            <w:pPr>
              <w:pStyle w:val="ARfintablebodyright"/>
              <w:ind w:right="0"/>
            </w:pPr>
            <w:r>
              <w:t>–</w:t>
            </w:r>
          </w:p>
        </w:tc>
        <w:tc>
          <w:tcPr>
            <w:tcW w:w="1020" w:type="dxa"/>
            <w:tcBorders>
              <w:top w:val="single" w:sz="4" w:space="0" w:color="A6A6A6"/>
              <w:bottom w:val="single" w:sz="4" w:space="0" w:color="A6A6A6"/>
            </w:tcBorders>
            <w:noWrap/>
            <w:hideMark/>
          </w:tcPr>
          <w:p w14:paraId="19AB6C73" w14:textId="77777777" w:rsidR="00CE75D4" w:rsidRPr="002029AF" w:rsidRDefault="00CE75D4" w:rsidP="008340C1">
            <w:pPr>
              <w:pStyle w:val="ARfintablebodyright"/>
              <w:ind w:right="0"/>
            </w:pPr>
            <w:r w:rsidRPr="00451D05">
              <w:t>5.7</w:t>
            </w:r>
          </w:p>
        </w:tc>
        <w:tc>
          <w:tcPr>
            <w:tcW w:w="1020" w:type="dxa"/>
            <w:tcBorders>
              <w:top w:val="single" w:sz="4" w:space="0" w:color="A6A6A6"/>
              <w:bottom w:val="single" w:sz="4" w:space="0" w:color="A6A6A6"/>
            </w:tcBorders>
            <w:noWrap/>
            <w:hideMark/>
          </w:tcPr>
          <w:p w14:paraId="606C39F0" w14:textId="77777777" w:rsidR="00CE75D4" w:rsidRPr="002029AF" w:rsidRDefault="00CE75D4" w:rsidP="008340C1">
            <w:pPr>
              <w:pStyle w:val="ARfintablebodyright"/>
              <w:ind w:right="0"/>
            </w:pPr>
            <w:r w:rsidRPr="00451D05">
              <w:t>57.1</w:t>
            </w:r>
          </w:p>
        </w:tc>
        <w:tc>
          <w:tcPr>
            <w:tcW w:w="1020" w:type="dxa"/>
            <w:tcBorders>
              <w:top w:val="single" w:sz="4" w:space="0" w:color="A6A6A6"/>
              <w:bottom w:val="single" w:sz="4" w:space="0" w:color="A6A6A6"/>
            </w:tcBorders>
            <w:noWrap/>
            <w:hideMark/>
          </w:tcPr>
          <w:p w14:paraId="32F794F0" w14:textId="77777777" w:rsidR="00CE75D4" w:rsidRPr="002029AF" w:rsidRDefault="00CE75D4" w:rsidP="008340C1">
            <w:pPr>
              <w:pStyle w:val="ARfintablebodyright"/>
              <w:ind w:right="0"/>
            </w:pPr>
            <w:r>
              <w:t>–</w:t>
            </w:r>
          </w:p>
        </w:tc>
      </w:tr>
      <w:tr w:rsidR="00CE75D4" w:rsidRPr="002029AF" w14:paraId="44D52949" w14:textId="77777777" w:rsidTr="00860E95">
        <w:trPr>
          <w:trHeight w:val="255"/>
        </w:trPr>
        <w:tc>
          <w:tcPr>
            <w:tcW w:w="2495" w:type="dxa"/>
            <w:tcBorders>
              <w:top w:val="single" w:sz="4" w:space="0" w:color="A6A6A6"/>
              <w:bottom w:val="single" w:sz="4" w:space="0" w:color="A6A6A6"/>
            </w:tcBorders>
          </w:tcPr>
          <w:p w14:paraId="7315439C" w14:textId="77777777" w:rsidR="00CE75D4" w:rsidRPr="002F3D14" w:rsidRDefault="00CE75D4" w:rsidP="008340C1">
            <w:pPr>
              <w:pStyle w:val="ARfintablebody"/>
            </w:pPr>
            <w:r w:rsidRPr="00451D05">
              <w:t>PPP-related financial liabilities</w:t>
            </w:r>
          </w:p>
        </w:tc>
        <w:tc>
          <w:tcPr>
            <w:tcW w:w="1021" w:type="dxa"/>
            <w:tcBorders>
              <w:top w:val="single" w:sz="4" w:space="0" w:color="A6A6A6"/>
              <w:bottom w:val="single" w:sz="4" w:space="0" w:color="A6A6A6"/>
            </w:tcBorders>
            <w:noWrap/>
          </w:tcPr>
          <w:p w14:paraId="11CFAA17" w14:textId="77777777" w:rsidR="00CE75D4" w:rsidRPr="002F3D14" w:rsidRDefault="00CE75D4" w:rsidP="008340C1">
            <w:pPr>
              <w:pStyle w:val="ARfintablebodyright"/>
              <w:ind w:right="0"/>
            </w:pPr>
            <w:r w:rsidRPr="00451D05">
              <w:t>175.4</w:t>
            </w:r>
          </w:p>
        </w:tc>
        <w:tc>
          <w:tcPr>
            <w:tcW w:w="1021" w:type="dxa"/>
            <w:tcBorders>
              <w:top w:val="single" w:sz="4" w:space="0" w:color="A6A6A6"/>
              <w:bottom w:val="single" w:sz="4" w:space="0" w:color="A6A6A6"/>
            </w:tcBorders>
            <w:noWrap/>
          </w:tcPr>
          <w:p w14:paraId="66BCF5EA" w14:textId="77777777" w:rsidR="00CE75D4" w:rsidRPr="002F3D14" w:rsidRDefault="00CE75D4" w:rsidP="008340C1">
            <w:pPr>
              <w:pStyle w:val="ARfintablebodyright"/>
              <w:ind w:right="0"/>
            </w:pPr>
            <w:r w:rsidRPr="00451D05">
              <w:t>322.6</w:t>
            </w:r>
          </w:p>
        </w:tc>
        <w:tc>
          <w:tcPr>
            <w:tcW w:w="1020" w:type="dxa"/>
            <w:tcBorders>
              <w:top w:val="single" w:sz="4" w:space="0" w:color="A6A6A6"/>
              <w:bottom w:val="single" w:sz="4" w:space="0" w:color="A6A6A6"/>
            </w:tcBorders>
            <w:noWrap/>
          </w:tcPr>
          <w:p w14:paraId="7A330FBC" w14:textId="77777777" w:rsidR="00CE75D4" w:rsidRPr="002F3D14" w:rsidRDefault="00CE75D4" w:rsidP="008340C1">
            <w:pPr>
              <w:pStyle w:val="ARfintablebodyright"/>
              <w:ind w:right="0"/>
            </w:pPr>
            <w:r w:rsidRPr="00451D05">
              <w:t>0.3</w:t>
            </w:r>
          </w:p>
        </w:tc>
        <w:tc>
          <w:tcPr>
            <w:tcW w:w="1020" w:type="dxa"/>
            <w:tcBorders>
              <w:top w:val="single" w:sz="4" w:space="0" w:color="A6A6A6"/>
              <w:bottom w:val="single" w:sz="4" w:space="0" w:color="A6A6A6"/>
            </w:tcBorders>
            <w:noWrap/>
          </w:tcPr>
          <w:p w14:paraId="13EF978F" w14:textId="77777777" w:rsidR="00CE75D4" w:rsidRPr="002F3D14" w:rsidRDefault="00CE75D4" w:rsidP="008340C1">
            <w:pPr>
              <w:pStyle w:val="ARfintablebodyright"/>
              <w:ind w:right="0"/>
            </w:pPr>
            <w:r>
              <w:t>–</w:t>
            </w:r>
          </w:p>
        </w:tc>
        <w:tc>
          <w:tcPr>
            <w:tcW w:w="1020" w:type="dxa"/>
            <w:tcBorders>
              <w:top w:val="single" w:sz="4" w:space="0" w:color="A6A6A6"/>
              <w:bottom w:val="single" w:sz="4" w:space="0" w:color="A6A6A6"/>
            </w:tcBorders>
            <w:noWrap/>
          </w:tcPr>
          <w:p w14:paraId="699610F4" w14:textId="77777777" w:rsidR="00CE75D4" w:rsidRPr="002F3D14" w:rsidRDefault="00CE75D4" w:rsidP="008340C1">
            <w:pPr>
              <w:pStyle w:val="ARfintablebodyright"/>
              <w:ind w:right="0"/>
            </w:pPr>
            <w:r>
              <w:t>–</w:t>
            </w:r>
          </w:p>
        </w:tc>
        <w:tc>
          <w:tcPr>
            <w:tcW w:w="1020" w:type="dxa"/>
            <w:tcBorders>
              <w:top w:val="single" w:sz="4" w:space="0" w:color="A6A6A6"/>
              <w:bottom w:val="single" w:sz="4" w:space="0" w:color="A6A6A6"/>
            </w:tcBorders>
            <w:noWrap/>
          </w:tcPr>
          <w:p w14:paraId="3D154FD6" w14:textId="77777777" w:rsidR="00CE75D4" w:rsidRPr="002F3D14" w:rsidRDefault="00CE75D4" w:rsidP="008340C1">
            <w:pPr>
              <w:pStyle w:val="ARfintablebodyright"/>
              <w:ind w:right="0"/>
            </w:pPr>
            <w:r w:rsidRPr="00451D05">
              <w:t>0.4</w:t>
            </w:r>
          </w:p>
        </w:tc>
        <w:tc>
          <w:tcPr>
            <w:tcW w:w="1020" w:type="dxa"/>
            <w:tcBorders>
              <w:top w:val="single" w:sz="4" w:space="0" w:color="A6A6A6"/>
              <w:bottom w:val="single" w:sz="4" w:space="0" w:color="A6A6A6"/>
            </w:tcBorders>
            <w:noWrap/>
          </w:tcPr>
          <w:p w14:paraId="75A48D7F" w14:textId="77777777" w:rsidR="00CE75D4" w:rsidRPr="002F3D14" w:rsidRDefault="00CE75D4" w:rsidP="008340C1">
            <w:pPr>
              <w:pStyle w:val="ARfintablebodyright"/>
              <w:ind w:right="0"/>
            </w:pPr>
            <w:r w:rsidRPr="00451D05">
              <w:t>321.9</w:t>
            </w:r>
          </w:p>
        </w:tc>
      </w:tr>
      <w:tr w:rsidR="00CE75D4" w:rsidRPr="002029AF" w14:paraId="69D2C274" w14:textId="77777777" w:rsidTr="00860E95">
        <w:trPr>
          <w:trHeight w:val="255"/>
        </w:trPr>
        <w:tc>
          <w:tcPr>
            <w:tcW w:w="2495" w:type="dxa"/>
            <w:tcBorders>
              <w:top w:val="single" w:sz="4" w:space="0" w:color="A6A6A6"/>
            </w:tcBorders>
            <w:noWrap/>
            <w:hideMark/>
          </w:tcPr>
          <w:p w14:paraId="409DC1CB" w14:textId="77777777" w:rsidR="00CE75D4" w:rsidRPr="002029AF" w:rsidRDefault="00CE75D4" w:rsidP="008340C1">
            <w:pPr>
              <w:pStyle w:val="ARfintablebody"/>
            </w:pPr>
            <w:r w:rsidRPr="00451D05">
              <w:t>Lease liabilities</w:t>
            </w:r>
          </w:p>
        </w:tc>
        <w:tc>
          <w:tcPr>
            <w:tcW w:w="1021" w:type="dxa"/>
            <w:tcBorders>
              <w:top w:val="single" w:sz="4" w:space="0" w:color="A6A6A6"/>
            </w:tcBorders>
            <w:noWrap/>
            <w:hideMark/>
          </w:tcPr>
          <w:p w14:paraId="7F204E47" w14:textId="77777777" w:rsidR="00CE75D4" w:rsidRPr="002029AF" w:rsidRDefault="00CE75D4" w:rsidP="008340C1">
            <w:pPr>
              <w:pStyle w:val="ARfintablebodyright"/>
              <w:ind w:right="0"/>
            </w:pPr>
            <w:r w:rsidRPr="00451D05">
              <w:t>91.2</w:t>
            </w:r>
          </w:p>
        </w:tc>
        <w:tc>
          <w:tcPr>
            <w:tcW w:w="1021" w:type="dxa"/>
            <w:tcBorders>
              <w:top w:val="single" w:sz="4" w:space="0" w:color="A6A6A6"/>
            </w:tcBorders>
            <w:noWrap/>
            <w:hideMark/>
          </w:tcPr>
          <w:p w14:paraId="1567E937" w14:textId="77777777" w:rsidR="00CE75D4" w:rsidRPr="002029AF" w:rsidRDefault="00CE75D4" w:rsidP="008340C1">
            <w:pPr>
              <w:pStyle w:val="ARfintablebodyright"/>
              <w:ind w:right="0"/>
            </w:pPr>
            <w:r w:rsidRPr="00451D05">
              <w:t>96.3</w:t>
            </w:r>
          </w:p>
        </w:tc>
        <w:tc>
          <w:tcPr>
            <w:tcW w:w="1020" w:type="dxa"/>
            <w:tcBorders>
              <w:top w:val="single" w:sz="4" w:space="0" w:color="A6A6A6"/>
            </w:tcBorders>
            <w:noWrap/>
            <w:hideMark/>
          </w:tcPr>
          <w:p w14:paraId="4E6A9A5A" w14:textId="77777777" w:rsidR="00CE75D4" w:rsidRPr="002029AF" w:rsidRDefault="00CE75D4" w:rsidP="008340C1">
            <w:pPr>
              <w:pStyle w:val="ARfintablebodyright"/>
              <w:ind w:right="0"/>
            </w:pPr>
            <w:r w:rsidRPr="00451D05">
              <w:t>8.8</w:t>
            </w:r>
          </w:p>
        </w:tc>
        <w:tc>
          <w:tcPr>
            <w:tcW w:w="1020" w:type="dxa"/>
            <w:tcBorders>
              <w:top w:val="single" w:sz="4" w:space="0" w:color="A6A6A6"/>
            </w:tcBorders>
            <w:noWrap/>
            <w:hideMark/>
          </w:tcPr>
          <w:p w14:paraId="6AB05173" w14:textId="77777777" w:rsidR="00CE75D4" w:rsidRPr="002029AF" w:rsidRDefault="00CE75D4" w:rsidP="008340C1">
            <w:pPr>
              <w:pStyle w:val="ARfintablebodyright"/>
              <w:ind w:right="0"/>
            </w:pPr>
            <w:r w:rsidRPr="00451D05">
              <w:t>5.6</w:t>
            </w:r>
          </w:p>
        </w:tc>
        <w:tc>
          <w:tcPr>
            <w:tcW w:w="1020" w:type="dxa"/>
            <w:tcBorders>
              <w:top w:val="single" w:sz="4" w:space="0" w:color="A6A6A6"/>
            </w:tcBorders>
            <w:noWrap/>
            <w:hideMark/>
          </w:tcPr>
          <w:p w14:paraId="0931920E" w14:textId="77777777" w:rsidR="00CE75D4" w:rsidRPr="002029AF" w:rsidRDefault="00CE75D4" w:rsidP="008340C1">
            <w:pPr>
              <w:pStyle w:val="ARfintablebodyright"/>
              <w:ind w:right="0"/>
            </w:pPr>
            <w:r w:rsidRPr="00451D05">
              <w:t>25.3</w:t>
            </w:r>
          </w:p>
        </w:tc>
        <w:tc>
          <w:tcPr>
            <w:tcW w:w="1020" w:type="dxa"/>
            <w:tcBorders>
              <w:top w:val="single" w:sz="4" w:space="0" w:color="A6A6A6"/>
            </w:tcBorders>
            <w:noWrap/>
            <w:hideMark/>
          </w:tcPr>
          <w:p w14:paraId="4DBCDE6E" w14:textId="77777777" w:rsidR="00CE75D4" w:rsidRPr="002029AF" w:rsidRDefault="00CE75D4" w:rsidP="008340C1">
            <w:pPr>
              <w:pStyle w:val="ARfintablebodyright"/>
              <w:ind w:right="0"/>
            </w:pPr>
            <w:r w:rsidRPr="00451D05">
              <w:t>48.9</w:t>
            </w:r>
          </w:p>
        </w:tc>
        <w:tc>
          <w:tcPr>
            <w:tcW w:w="1020" w:type="dxa"/>
            <w:tcBorders>
              <w:top w:val="single" w:sz="4" w:space="0" w:color="A6A6A6"/>
            </w:tcBorders>
            <w:noWrap/>
            <w:hideMark/>
          </w:tcPr>
          <w:p w14:paraId="61ADF667" w14:textId="77777777" w:rsidR="00CE75D4" w:rsidRPr="002029AF" w:rsidRDefault="00CE75D4" w:rsidP="008340C1">
            <w:pPr>
              <w:pStyle w:val="ARfintablebodyright"/>
              <w:ind w:right="0"/>
            </w:pPr>
            <w:r w:rsidRPr="00451D05">
              <w:t>7.7</w:t>
            </w:r>
          </w:p>
        </w:tc>
      </w:tr>
      <w:tr w:rsidR="00CE75D4" w:rsidRPr="002029AF" w14:paraId="194A207B" w14:textId="77777777" w:rsidTr="00860E95">
        <w:trPr>
          <w:trHeight w:val="255"/>
        </w:trPr>
        <w:tc>
          <w:tcPr>
            <w:tcW w:w="2495" w:type="dxa"/>
            <w:hideMark/>
          </w:tcPr>
          <w:p w14:paraId="557AD1B4" w14:textId="77777777" w:rsidR="00CE75D4" w:rsidRPr="002029AF" w:rsidRDefault="00CE75D4" w:rsidP="008340C1">
            <w:pPr>
              <w:pStyle w:val="ARfintablebodybold"/>
            </w:pPr>
            <w:r w:rsidRPr="00451D05">
              <w:t>Total</w:t>
            </w:r>
          </w:p>
        </w:tc>
        <w:tc>
          <w:tcPr>
            <w:tcW w:w="1021" w:type="dxa"/>
            <w:noWrap/>
            <w:hideMark/>
          </w:tcPr>
          <w:p w14:paraId="63CBC001" w14:textId="77777777" w:rsidR="00CE75D4" w:rsidRPr="002029AF" w:rsidRDefault="00CE75D4" w:rsidP="008340C1">
            <w:pPr>
              <w:pStyle w:val="ARfintablebodyrightbold"/>
              <w:ind w:right="0"/>
            </w:pPr>
            <w:r w:rsidRPr="00451D05">
              <w:t>370.6</w:t>
            </w:r>
          </w:p>
        </w:tc>
        <w:tc>
          <w:tcPr>
            <w:tcW w:w="1021" w:type="dxa"/>
            <w:noWrap/>
            <w:hideMark/>
          </w:tcPr>
          <w:p w14:paraId="1A91C97F" w14:textId="77777777" w:rsidR="00CE75D4" w:rsidRPr="002029AF" w:rsidRDefault="00CE75D4" w:rsidP="008340C1">
            <w:pPr>
              <w:pStyle w:val="ARfintablebodyrightbold"/>
              <w:ind w:right="0"/>
            </w:pPr>
            <w:r w:rsidRPr="00451D05">
              <w:t>522.9</w:t>
            </w:r>
          </w:p>
        </w:tc>
        <w:tc>
          <w:tcPr>
            <w:tcW w:w="1020" w:type="dxa"/>
            <w:noWrap/>
            <w:hideMark/>
          </w:tcPr>
          <w:p w14:paraId="65EBCC86" w14:textId="77777777" w:rsidR="00CE75D4" w:rsidRPr="002029AF" w:rsidRDefault="00CE75D4" w:rsidP="008340C1">
            <w:pPr>
              <w:pStyle w:val="ARfintablebodyrightbold"/>
              <w:ind w:right="0"/>
            </w:pPr>
            <w:r w:rsidRPr="00451D05">
              <w:t>50.3</w:t>
            </w:r>
          </w:p>
        </w:tc>
        <w:tc>
          <w:tcPr>
            <w:tcW w:w="1020" w:type="dxa"/>
            <w:noWrap/>
            <w:hideMark/>
          </w:tcPr>
          <w:p w14:paraId="22122425" w14:textId="77777777" w:rsidR="00CE75D4" w:rsidRPr="002029AF" w:rsidRDefault="00CE75D4" w:rsidP="008340C1">
            <w:pPr>
              <w:pStyle w:val="ARfintablebodyrightbold"/>
              <w:ind w:right="0"/>
            </w:pPr>
            <w:r w:rsidRPr="00451D05">
              <w:t>5.6</w:t>
            </w:r>
          </w:p>
        </w:tc>
        <w:tc>
          <w:tcPr>
            <w:tcW w:w="1020" w:type="dxa"/>
            <w:noWrap/>
            <w:hideMark/>
          </w:tcPr>
          <w:p w14:paraId="2D0175C3" w14:textId="77777777" w:rsidR="00CE75D4" w:rsidRPr="002029AF" w:rsidRDefault="00CE75D4" w:rsidP="008340C1">
            <w:pPr>
              <w:pStyle w:val="ARfintablebodyrightbold"/>
              <w:ind w:right="0"/>
            </w:pPr>
            <w:r w:rsidRPr="00451D05">
              <w:t>31.0</w:t>
            </w:r>
          </w:p>
        </w:tc>
        <w:tc>
          <w:tcPr>
            <w:tcW w:w="1020" w:type="dxa"/>
            <w:noWrap/>
            <w:hideMark/>
          </w:tcPr>
          <w:p w14:paraId="2C0F76E8" w14:textId="77777777" w:rsidR="00CE75D4" w:rsidRPr="002029AF" w:rsidRDefault="00CE75D4" w:rsidP="008340C1">
            <w:pPr>
              <w:pStyle w:val="ARfintablebodyrightbold"/>
              <w:ind w:right="0"/>
            </w:pPr>
            <w:r w:rsidRPr="00451D05">
              <w:t>106.4</w:t>
            </w:r>
          </w:p>
        </w:tc>
        <w:tc>
          <w:tcPr>
            <w:tcW w:w="1020" w:type="dxa"/>
            <w:noWrap/>
            <w:hideMark/>
          </w:tcPr>
          <w:p w14:paraId="68517D8B" w14:textId="77777777" w:rsidR="00CE75D4" w:rsidRPr="002029AF" w:rsidRDefault="00CE75D4" w:rsidP="008340C1">
            <w:pPr>
              <w:pStyle w:val="ARfintablebodyrightbold"/>
              <w:ind w:right="0"/>
            </w:pPr>
            <w:r w:rsidRPr="00451D05">
              <w:t>329.6</w:t>
            </w:r>
          </w:p>
        </w:tc>
      </w:tr>
    </w:tbl>
    <w:p w14:paraId="4BCCC023" w14:textId="77777777" w:rsidR="00CE75D4" w:rsidRPr="002029AF" w:rsidRDefault="00CE75D4" w:rsidP="00087B91">
      <w:pPr>
        <w:pStyle w:val="Heading5"/>
      </w:pPr>
      <w:bookmarkStart w:id="607" w:name="_Toc85121464"/>
      <w:r w:rsidRPr="002029AF">
        <w:t>7.1.2 Interest expense</w:t>
      </w:r>
      <w:bookmarkEnd w:id="607"/>
    </w:p>
    <w:tbl>
      <w:tblPr>
        <w:tblStyle w:val="TableGrid"/>
        <w:tblW w:w="9637" w:type="dxa"/>
        <w:tblLayout w:type="fixed"/>
        <w:tblLook w:val="06A0" w:firstRow="1" w:lastRow="0" w:firstColumn="1" w:lastColumn="0" w:noHBand="1" w:noVBand="1"/>
      </w:tblPr>
      <w:tblGrid>
        <w:gridCol w:w="7371"/>
        <w:gridCol w:w="1133"/>
        <w:gridCol w:w="1133"/>
      </w:tblGrid>
      <w:tr w:rsidR="00CE75D4" w:rsidRPr="002029AF" w14:paraId="00B00A15"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08F3D410" w14:textId="77777777" w:rsidR="00CE75D4" w:rsidRPr="002029AF" w:rsidRDefault="00CE75D4" w:rsidP="008340C1">
            <w:pPr>
              <w:pStyle w:val="ARfintablecolhead"/>
            </w:pPr>
          </w:p>
        </w:tc>
        <w:tc>
          <w:tcPr>
            <w:tcW w:w="1133" w:type="dxa"/>
            <w:tcBorders>
              <w:bottom w:val="single" w:sz="4" w:space="0" w:color="auto"/>
            </w:tcBorders>
            <w:shd w:val="clear" w:color="auto" w:fill="E7E6E6"/>
            <w:hideMark/>
          </w:tcPr>
          <w:p w14:paraId="0D1B1905" w14:textId="77777777" w:rsidR="00CE75D4" w:rsidRPr="002029AF" w:rsidRDefault="00CE75D4" w:rsidP="008340C1">
            <w:pPr>
              <w:pStyle w:val="ARfintablecolheadright"/>
            </w:pPr>
            <w:r w:rsidRPr="002029AF">
              <w:t>202</w:t>
            </w:r>
            <w:r>
              <w:t>2</w:t>
            </w:r>
          </w:p>
          <w:p w14:paraId="639B98ED" w14:textId="77777777" w:rsidR="00CE75D4" w:rsidRPr="002029AF" w:rsidRDefault="00CE75D4" w:rsidP="008340C1">
            <w:pPr>
              <w:pStyle w:val="ARfintablecolheadright"/>
            </w:pPr>
            <w:r w:rsidRPr="002029AF">
              <w:t>$M</w:t>
            </w:r>
          </w:p>
        </w:tc>
        <w:tc>
          <w:tcPr>
            <w:tcW w:w="1133" w:type="dxa"/>
            <w:tcBorders>
              <w:bottom w:val="single" w:sz="4" w:space="0" w:color="auto"/>
            </w:tcBorders>
            <w:hideMark/>
          </w:tcPr>
          <w:p w14:paraId="63469A35" w14:textId="77777777" w:rsidR="00CE75D4" w:rsidRPr="002029AF" w:rsidRDefault="00CE75D4" w:rsidP="008340C1">
            <w:pPr>
              <w:pStyle w:val="ARfintablecolheadright"/>
            </w:pPr>
            <w:r>
              <w:t>2021</w:t>
            </w:r>
          </w:p>
          <w:p w14:paraId="2696C27D" w14:textId="77777777" w:rsidR="00CE75D4" w:rsidRPr="002029AF" w:rsidRDefault="00CE75D4" w:rsidP="008340C1">
            <w:pPr>
              <w:pStyle w:val="ARfintablecolheadright"/>
            </w:pPr>
            <w:r w:rsidRPr="002029AF">
              <w:t>$M</w:t>
            </w:r>
          </w:p>
        </w:tc>
      </w:tr>
      <w:tr w:rsidR="00CE75D4" w:rsidRPr="002029AF" w14:paraId="46942192" w14:textId="77777777" w:rsidTr="00130D1C">
        <w:tc>
          <w:tcPr>
            <w:tcW w:w="7371" w:type="dxa"/>
            <w:tcBorders>
              <w:top w:val="single" w:sz="4" w:space="0" w:color="auto"/>
              <w:bottom w:val="single" w:sz="4" w:space="0" w:color="A6A6A6"/>
            </w:tcBorders>
          </w:tcPr>
          <w:p w14:paraId="7C7F84D8" w14:textId="77777777" w:rsidR="00CE75D4" w:rsidRPr="002029AF" w:rsidRDefault="00CE75D4" w:rsidP="008340C1">
            <w:pPr>
              <w:pStyle w:val="ARfintablebody"/>
            </w:pPr>
            <w:r w:rsidRPr="00D86B61">
              <w:t>Interest on lease liabilities</w:t>
            </w:r>
          </w:p>
        </w:tc>
        <w:tc>
          <w:tcPr>
            <w:tcW w:w="1133" w:type="dxa"/>
            <w:tcBorders>
              <w:top w:val="single" w:sz="4" w:space="0" w:color="auto"/>
              <w:bottom w:val="single" w:sz="4" w:space="0" w:color="A6A6A6"/>
            </w:tcBorders>
            <w:shd w:val="clear" w:color="auto" w:fill="E7E6E6"/>
            <w:noWrap/>
          </w:tcPr>
          <w:p w14:paraId="43183BAB" w14:textId="77777777" w:rsidR="00CE75D4" w:rsidRPr="002029AF" w:rsidRDefault="00CE75D4" w:rsidP="008340C1">
            <w:pPr>
              <w:pStyle w:val="ARfintablebodyright"/>
            </w:pPr>
            <w:r w:rsidRPr="00D86B61">
              <w:t>0.2</w:t>
            </w:r>
          </w:p>
        </w:tc>
        <w:tc>
          <w:tcPr>
            <w:tcW w:w="1133" w:type="dxa"/>
            <w:tcBorders>
              <w:top w:val="single" w:sz="4" w:space="0" w:color="auto"/>
              <w:bottom w:val="single" w:sz="4" w:space="0" w:color="A6A6A6"/>
            </w:tcBorders>
            <w:noWrap/>
          </w:tcPr>
          <w:p w14:paraId="13B5F567" w14:textId="77777777" w:rsidR="00CE75D4" w:rsidRPr="002029AF" w:rsidRDefault="00CE75D4" w:rsidP="008340C1">
            <w:pPr>
              <w:pStyle w:val="ARfintablebodyright"/>
            </w:pPr>
            <w:r w:rsidRPr="00D86B61">
              <w:t>1.5</w:t>
            </w:r>
          </w:p>
        </w:tc>
      </w:tr>
      <w:tr w:rsidR="00CE75D4" w:rsidRPr="002029AF" w14:paraId="735CAB37" w14:textId="77777777" w:rsidTr="00130D1C">
        <w:tc>
          <w:tcPr>
            <w:tcW w:w="7371" w:type="dxa"/>
            <w:tcBorders>
              <w:top w:val="single" w:sz="4" w:space="0" w:color="A6A6A6"/>
            </w:tcBorders>
            <w:hideMark/>
          </w:tcPr>
          <w:p w14:paraId="3BD8BDDF" w14:textId="77777777" w:rsidR="00CE75D4" w:rsidRPr="002029AF" w:rsidRDefault="00CE75D4" w:rsidP="008340C1">
            <w:pPr>
              <w:pStyle w:val="ARfintablebody"/>
            </w:pPr>
            <w:r w:rsidRPr="00D86B61">
              <w:t>Interest on PPP-related financial liabilities</w:t>
            </w:r>
          </w:p>
        </w:tc>
        <w:tc>
          <w:tcPr>
            <w:tcW w:w="1133" w:type="dxa"/>
            <w:tcBorders>
              <w:top w:val="single" w:sz="4" w:space="0" w:color="A6A6A6"/>
            </w:tcBorders>
            <w:shd w:val="clear" w:color="auto" w:fill="E7E6E6"/>
            <w:noWrap/>
            <w:hideMark/>
          </w:tcPr>
          <w:p w14:paraId="04F8FA11" w14:textId="77777777" w:rsidR="00CE75D4" w:rsidRPr="002029AF" w:rsidRDefault="00CE75D4" w:rsidP="008340C1">
            <w:pPr>
              <w:pStyle w:val="ARfintablebodyright"/>
            </w:pPr>
            <w:r w:rsidRPr="00D86B61">
              <w:t>14.2</w:t>
            </w:r>
          </w:p>
        </w:tc>
        <w:tc>
          <w:tcPr>
            <w:tcW w:w="1133" w:type="dxa"/>
            <w:tcBorders>
              <w:top w:val="single" w:sz="4" w:space="0" w:color="A6A6A6"/>
            </w:tcBorders>
            <w:noWrap/>
            <w:hideMark/>
          </w:tcPr>
          <w:p w14:paraId="5E9E20C9" w14:textId="77777777" w:rsidR="00CE75D4" w:rsidRPr="002029AF" w:rsidRDefault="00CE75D4" w:rsidP="008340C1">
            <w:pPr>
              <w:pStyle w:val="ARfintablebodyright"/>
            </w:pPr>
            <w:r w:rsidRPr="00D86B61">
              <w:t>2.5</w:t>
            </w:r>
          </w:p>
        </w:tc>
      </w:tr>
      <w:tr w:rsidR="00CE75D4" w:rsidRPr="002029AF" w14:paraId="0022259B" w14:textId="77777777" w:rsidTr="00860E95">
        <w:tc>
          <w:tcPr>
            <w:tcW w:w="7371" w:type="dxa"/>
            <w:hideMark/>
          </w:tcPr>
          <w:p w14:paraId="452141E9" w14:textId="77777777" w:rsidR="00CE75D4" w:rsidRPr="002029AF" w:rsidRDefault="00CE75D4" w:rsidP="008340C1">
            <w:pPr>
              <w:pStyle w:val="ARfintablebodybold"/>
            </w:pPr>
            <w:r w:rsidRPr="00D86B61">
              <w:t>Total interest expense</w:t>
            </w:r>
          </w:p>
        </w:tc>
        <w:tc>
          <w:tcPr>
            <w:tcW w:w="1133" w:type="dxa"/>
            <w:shd w:val="clear" w:color="auto" w:fill="E7E6E6"/>
            <w:noWrap/>
            <w:hideMark/>
          </w:tcPr>
          <w:p w14:paraId="27EA54E6" w14:textId="77777777" w:rsidR="00CE75D4" w:rsidRPr="002029AF" w:rsidRDefault="00CE75D4" w:rsidP="008340C1">
            <w:pPr>
              <w:pStyle w:val="ARfintablebodyrightbold"/>
            </w:pPr>
            <w:r w:rsidRPr="00D86B61">
              <w:t>14.4</w:t>
            </w:r>
          </w:p>
        </w:tc>
        <w:tc>
          <w:tcPr>
            <w:tcW w:w="1133" w:type="dxa"/>
            <w:noWrap/>
            <w:hideMark/>
          </w:tcPr>
          <w:p w14:paraId="63C7B972" w14:textId="77777777" w:rsidR="00CE75D4" w:rsidRPr="002029AF" w:rsidRDefault="00CE75D4" w:rsidP="008340C1">
            <w:pPr>
              <w:pStyle w:val="ARfintablebodyrightbold"/>
            </w:pPr>
            <w:r w:rsidRPr="00D86B61">
              <w:t>4.0</w:t>
            </w:r>
          </w:p>
        </w:tc>
      </w:tr>
    </w:tbl>
    <w:p w14:paraId="390960F5" w14:textId="77777777" w:rsidR="00CE75D4" w:rsidRDefault="00CE75D4" w:rsidP="008340C1">
      <w:pPr>
        <w:pStyle w:val="ARfinbodyaftertable"/>
      </w:pPr>
      <w:r>
        <w:t>‘Interest expense’ includes costs incurred in connection with the borrowing of funds and includes interest on bank overdrafts and short-term and long-term borrowings, amortisation of discounts or premiums relating to borrowings and interest components of finance lease repayments.</w:t>
      </w:r>
    </w:p>
    <w:p w14:paraId="37D972F1" w14:textId="77777777" w:rsidR="00CE75D4" w:rsidRDefault="00CE75D4" w:rsidP="008340C1">
      <w:pPr>
        <w:pStyle w:val="ARfinbody"/>
      </w:pPr>
      <w:r>
        <w:t>Interest expense is recognised in the period in which it is incurred.</w:t>
      </w:r>
    </w:p>
    <w:p w14:paraId="2C1B6AE8" w14:textId="77777777" w:rsidR="00CE75D4" w:rsidRDefault="00CE75D4" w:rsidP="008340C1">
      <w:pPr>
        <w:pStyle w:val="ARfinbody"/>
      </w:pPr>
      <w:r>
        <w:t>The department recognises borrowing costs immediately as an expense, even where they are directly attributable to the acquisition, construction or production of a qualifying asset.</w:t>
      </w:r>
    </w:p>
    <w:p w14:paraId="32E11A94" w14:textId="77777777" w:rsidR="00CE75D4" w:rsidRDefault="00CE75D4" w:rsidP="008340C1">
      <w:pPr>
        <w:pStyle w:val="Heading4"/>
      </w:pPr>
      <w:r>
        <w:rPr>
          <w:lang w:eastAsia="en-AU"/>
        </w:rPr>
        <w:t>7.2 Leases</w:t>
      </w:r>
    </w:p>
    <w:p w14:paraId="00C56082" w14:textId="77777777" w:rsidR="00CE75D4" w:rsidRDefault="00CE75D4" w:rsidP="008340C1">
      <w:pPr>
        <w:pStyle w:val="Heading5"/>
        <w:spacing w:before="160"/>
      </w:pPr>
      <w:r>
        <w:rPr>
          <w:lang w:eastAsia="en-AU"/>
        </w:rPr>
        <w:t>7.2.1 Leases</w:t>
      </w:r>
    </w:p>
    <w:p w14:paraId="2F140C4E" w14:textId="77777777" w:rsidR="00CE75D4" w:rsidRDefault="00CE75D4" w:rsidP="008340C1">
      <w:pPr>
        <w:pStyle w:val="ARfinbody"/>
      </w:pPr>
      <w:r>
        <w:t>Information about leases for which the department is a lessee is presented below.</w:t>
      </w:r>
    </w:p>
    <w:p w14:paraId="2F28E534" w14:textId="77777777" w:rsidR="00CE75D4" w:rsidRDefault="00CE75D4" w:rsidP="008340C1">
      <w:pPr>
        <w:pStyle w:val="Heading6"/>
      </w:pPr>
      <w:r>
        <w:rPr>
          <w:lang w:eastAsia="en-AU"/>
        </w:rPr>
        <w:t>The department’s leasing activities</w:t>
      </w:r>
    </w:p>
    <w:p w14:paraId="4EEDCB34" w14:textId="049A0A97" w:rsidR="00CE75D4" w:rsidRDefault="00CE75D4" w:rsidP="008340C1">
      <w:pPr>
        <w:pStyle w:val="ARfinbody"/>
      </w:pPr>
      <w:r>
        <w:t>The department leases various IT data centres, equipment and motor vehicles. The lease contracts are typically made for fixed periods of 1 to 5 years. The department leases some office accommodation which are short-term leases of 12 months or less. The department has elected not to recognise right-of-use assets and lease liabilities for these leases.</w:t>
      </w:r>
    </w:p>
    <w:p w14:paraId="13995AC7" w14:textId="77777777" w:rsidR="00CE75D4" w:rsidRDefault="00CE75D4" w:rsidP="008340C1">
      <w:pPr>
        <w:pStyle w:val="ARfinbody"/>
      </w:pPr>
      <w:r>
        <w:t>The department entered into various printing contracts. The payments are based on consumption. The department considers these printing payments as variable lease payments.</w:t>
      </w:r>
    </w:p>
    <w:p w14:paraId="7D3C4E18" w14:textId="72250BAB" w:rsidR="00CE75D4" w:rsidRDefault="00CE75D4" w:rsidP="008340C1">
      <w:pPr>
        <w:pStyle w:val="ARfinbody"/>
      </w:pPr>
      <w:r>
        <w:t xml:space="preserve">Leasing activities in 2021 included the Director of Housing lease of various properties for the social housing program. These lease contracts were typically made for a fixed period of </w:t>
      </w:r>
      <w:r w:rsidDel="000876D1">
        <w:t>2</w:t>
      </w:r>
      <w:r>
        <w:t xml:space="preserve"> to </w:t>
      </w:r>
      <w:r w:rsidDel="000876D1">
        <w:t>5</w:t>
      </w:r>
      <w:r>
        <w:t xml:space="preserve"> years. The Director of Housing was transferred to </w:t>
      </w:r>
      <w:r w:rsidR="00321FE3">
        <w:t xml:space="preserve">the </w:t>
      </w:r>
      <w:r>
        <w:t>DFFH in 2020–21 as part of the machinery of government changes.</w:t>
      </w:r>
    </w:p>
    <w:p w14:paraId="0D8CEBB4" w14:textId="77777777" w:rsidR="00CE75D4" w:rsidRDefault="00CE75D4" w:rsidP="008340C1">
      <w:pPr>
        <w:pStyle w:val="Heading6"/>
      </w:pPr>
      <w:r>
        <w:rPr>
          <w:lang w:eastAsia="en-AU"/>
        </w:rPr>
        <w:t>Leases at significantly below-market terms and conditions</w:t>
      </w:r>
    </w:p>
    <w:p w14:paraId="723B0AF7" w14:textId="5A97E91D" w:rsidR="00CE75D4" w:rsidRDefault="00CE75D4" w:rsidP="008340C1">
      <w:pPr>
        <w:pStyle w:val="ARfinbody"/>
      </w:pPr>
      <w:r>
        <w:t>The Director of Housing entered into a number of land leases with lease term</w:t>
      </w:r>
      <w:r w:rsidR="000876D1">
        <w:t>s</w:t>
      </w:r>
      <w:r>
        <w:t xml:space="preserve"> ranging from </w:t>
      </w:r>
      <w:r w:rsidDel="000876D1">
        <w:t>5</w:t>
      </w:r>
      <w:r>
        <w:t xml:space="preserve"> years to indefinite. These lease contracts specified lease payments of $1 per annum. In accordance with FRD 103 </w:t>
      </w:r>
      <w:r>
        <w:rPr>
          <w:rStyle w:val="Emphasis"/>
        </w:rPr>
        <w:t>Non-financial physical assets</w:t>
      </w:r>
      <w:r>
        <w:t>, the below-market leases were recognised at cost.</w:t>
      </w:r>
    </w:p>
    <w:p w14:paraId="5E2096DF" w14:textId="77777777" w:rsidR="00CE75D4" w:rsidRDefault="00CE75D4" w:rsidP="008340C1">
      <w:pPr>
        <w:pStyle w:val="Heading6"/>
      </w:pPr>
      <w:r>
        <w:rPr>
          <w:lang w:eastAsia="en-AU"/>
        </w:rPr>
        <w:t>7.2.1(a) Right-of-use assets</w:t>
      </w:r>
    </w:p>
    <w:p w14:paraId="2348CD7E" w14:textId="77777777" w:rsidR="00CE75D4" w:rsidRDefault="00CE75D4" w:rsidP="008340C1">
      <w:pPr>
        <w:pStyle w:val="ARfinbody"/>
      </w:pPr>
      <w:r>
        <w:t>Right-of-use assets are presented in Note 5.1(a).</w:t>
      </w:r>
    </w:p>
    <w:p w14:paraId="3B002481" w14:textId="77777777" w:rsidR="00CE75D4" w:rsidRDefault="00CE75D4" w:rsidP="008340C1">
      <w:pPr>
        <w:pStyle w:val="Heading6"/>
      </w:pPr>
      <w:r>
        <w:rPr>
          <w:lang w:eastAsia="en-AU"/>
        </w:rPr>
        <w:t>7.2.1(b) Amounts recognised in the comprehensive operating statement</w:t>
      </w:r>
    </w:p>
    <w:p w14:paraId="0F853884" w14:textId="77777777" w:rsidR="00CE75D4" w:rsidRDefault="00CE75D4" w:rsidP="008340C1">
      <w:pPr>
        <w:pStyle w:val="ARfinbodylargespace"/>
      </w:pPr>
      <w:r>
        <w:t>The following amounts relating to leases are recognised in the comprehensive operating statement:</w:t>
      </w:r>
    </w:p>
    <w:tbl>
      <w:tblPr>
        <w:tblStyle w:val="TableGrid"/>
        <w:tblW w:w="9639" w:type="dxa"/>
        <w:tblLayout w:type="fixed"/>
        <w:tblLook w:val="06A0" w:firstRow="1" w:lastRow="0" w:firstColumn="1" w:lastColumn="0" w:noHBand="1" w:noVBand="1"/>
      </w:tblPr>
      <w:tblGrid>
        <w:gridCol w:w="7371"/>
        <w:gridCol w:w="1134"/>
        <w:gridCol w:w="1134"/>
      </w:tblGrid>
      <w:tr w:rsidR="00CE75D4" w:rsidRPr="002029AF" w14:paraId="2A86B6D2"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04D5D6A8" w14:textId="77777777" w:rsidR="00CE75D4" w:rsidRPr="002029AF" w:rsidRDefault="00CE75D4" w:rsidP="008340C1">
            <w:pPr>
              <w:pStyle w:val="ARfintablecolhead"/>
            </w:pPr>
          </w:p>
        </w:tc>
        <w:tc>
          <w:tcPr>
            <w:tcW w:w="1134" w:type="dxa"/>
            <w:tcBorders>
              <w:bottom w:val="single" w:sz="4" w:space="0" w:color="auto"/>
            </w:tcBorders>
            <w:shd w:val="clear" w:color="auto" w:fill="E7E6E6"/>
            <w:hideMark/>
          </w:tcPr>
          <w:p w14:paraId="1A988F13" w14:textId="77777777" w:rsidR="00CE75D4" w:rsidRPr="002029AF" w:rsidRDefault="00CE75D4" w:rsidP="008340C1">
            <w:pPr>
              <w:pStyle w:val="ARfintablecolheadright"/>
            </w:pPr>
            <w:r w:rsidRPr="002029AF">
              <w:t>202</w:t>
            </w:r>
            <w:r>
              <w:t>2</w:t>
            </w:r>
          </w:p>
          <w:p w14:paraId="69B58D8A" w14:textId="77777777" w:rsidR="00CE75D4" w:rsidRPr="002029AF" w:rsidRDefault="00CE75D4" w:rsidP="008340C1">
            <w:pPr>
              <w:pStyle w:val="ARfintablecolheadright"/>
            </w:pPr>
            <w:r w:rsidRPr="002029AF">
              <w:t>$M</w:t>
            </w:r>
          </w:p>
        </w:tc>
        <w:tc>
          <w:tcPr>
            <w:tcW w:w="1134" w:type="dxa"/>
            <w:tcBorders>
              <w:bottom w:val="single" w:sz="4" w:space="0" w:color="auto"/>
            </w:tcBorders>
          </w:tcPr>
          <w:p w14:paraId="7503C577" w14:textId="77777777" w:rsidR="00CE75D4" w:rsidRPr="002029AF" w:rsidRDefault="00CE75D4" w:rsidP="008340C1">
            <w:pPr>
              <w:pStyle w:val="ARfintablecolheadright"/>
            </w:pPr>
            <w:r>
              <w:t>2021</w:t>
            </w:r>
          </w:p>
          <w:p w14:paraId="2CBB5A5F" w14:textId="77777777" w:rsidR="00CE75D4" w:rsidRPr="002029AF" w:rsidRDefault="00CE75D4" w:rsidP="008340C1">
            <w:pPr>
              <w:pStyle w:val="ARfintablecolheadright"/>
            </w:pPr>
            <w:r w:rsidRPr="002029AF">
              <w:t>$M</w:t>
            </w:r>
          </w:p>
        </w:tc>
      </w:tr>
      <w:tr w:rsidR="00CE75D4" w:rsidRPr="002029AF" w14:paraId="4DC225E9" w14:textId="77777777" w:rsidTr="00130D1C">
        <w:tc>
          <w:tcPr>
            <w:tcW w:w="8505" w:type="dxa"/>
            <w:gridSpan w:val="2"/>
            <w:tcBorders>
              <w:top w:val="single" w:sz="4" w:space="0" w:color="auto"/>
              <w:bottom w:val="single" w:sz="4" w:space="0" w:color="A6A6A6"/>
            </w:tcBorders>
            <w:hideMark/>
          </w:tcPr>
          <w:p w14:paraId="0D2054A2" w14:textId="77777777" w:rsidR="00CE75D4" w:rsidRPr="002029AF" w:rsidRDefault="00CE75D4" w:rsidP="008340C1">
            <w:pPr>
              <w:pStyle w:val="ARfintablebodybold"/>
            </w:pPr>
            <w:r w:rsidRPr="00A04907">
              <w:t>Amounts recognised in the comprehensive operating statement</w:t>
            </w:r>
          </w:p>
        </w:tc>
        <w:tc>
          <w:tcPr>
            <w:tcW w:w="1134" w:type="dxa"/>
            <w:tcBorders>
              <w:top w:val="single" w:sz="4" w:space="0" w:color="auto"/>
              <w:bottom w:val="single" w:sz="4" w:space="0" w:color="A6A6A6"/>
            </w:tcBorders>
          </w:tcPr>
          <w:p w14:paraId="2C5B8320" w14:textId="77777777" w:rsidR="00CE75D4" w:rsidRPr="002029AF" w:rsidRDefault="00CE75D4" w:rsidP="008340C1">
            <w:pPr>
              <w:pStyle w:val="ARfintablebodybold"/>
            </w:pPr>
          </w:p>
        </w:tc>
      </w:tr>
      <w:tr w:rsidR="00CE75D4" w:rsidRPr="002029AF" w14:paraId="697E52C8" w14:textId="77777777" w:rsidTr="00130D1C">
        <w:tc>
          <w:tcPr>
            <w:tcW w:w="7371" w:type="dxa"/>
            <w:tcBorders>
              <w:top w:val="single" w:sz="4" w:space="0" w:color="A6A6A6"/>
              <w:bottom w:val="single" w:sz="4" w:space="0" w:color="A6A6A6"/>
            </w:tcBorders>
            <w:hideMark/>
          </w:tcPr>
          <w:p w14:paraId="2C3539D5" w14:textId="77777777" w:rsidR="00CE75D4" w:rsidRPr="002029AF" w:rsidRDefault="00CE75D4" w:rsidP="008340C1">
            <w:pPr>
              <w:pStyle w:val="ARfintablebody"/>
            </w:pPr>
            <w:r w:rsidRPr="00A04907">
              <w:t>Interest expense on lease liabilities</w:t>
            </w:r>
          </w:p>
        </w:tc>
        <w:tc>
          <w:tcPr>
            <w:tcW w:w="1134" w:type="dxa"/>
            <w:tcBorders>
              <w:top w:val="single" w:sz="4" w:space="0" w:color="A6A6A6"/>
              <w:bottom w:val="single" w:sz="4" w:space="0" w:color="A6A6A6"/>
            </w:tcBorders>
            <w:shd w:val="clear" w:color="auto" w:fill="E7E6E6"/>
            <w:noWrap/>
            <w:hideMark/>
          </w:tcPr>
          <w:p w14:paraId="10F86039" w14:textId="77777777" w:rsidR="00CE75D4" w:rsidRPr="002029AF" w:rsidRDefault="00CE75D4" w:rsidP="008340C1">
            <w:pPr>
              <w:pStyle w:val="ARfintablebodyright"/>
            </w:pPr>
            <w:r w:rsidRPr="00A04907">
              <w:t>0.2</w:t>
            </w:r>
          </w:p>
        </w:tc>
        <w:tc>
          <w:tcPr>
            <w:tcW w:w="1134" w:type="dxa"/>
            <w:tcBorders>
              <w:top w:val="single" w:sz="4" w:space="0" w:color="A6A6A6"/>
              <w:bottom w:val="single" w:sz="4" w:space="0" w:color="A6A6A6"/>
            </w:tcBorders>
          </w:tcPr>
          <w:p w14:paraId="239014E5" w14:textId="77777777" w:rsidR="00CE75D4" w:rsidRPr="002029AF" w:rsidRDefault="00CE75D4" w:rsidP="008340C1">
            <w:pPr>
              <w:pStyle w:val="ARfintablebodyright"/>
            </w:pPr>
            <w:r w:rsidRPr="00A04907">
              <w:t>1.5</w:t>
            </w:r>
          </w:p>
        </w:tc>
      </w:tr>
      <w:tr w:rsidR="00CE75D4" w:rsidRPr="002029AF" w14:paraId="015C021F" w14:textId="77777777" w:rsidTr="00130D1C">
        <w:tc>
          <w:tcPr>
            <w:tcW w:w="7371" w:type="dxa"/>
            <w:tcBorders>
              <w:top w:val="single" w:sz="4" w:space="0" w:color="A6A6A6"/>
              <w:bottom w:val="single" w:sz="4" w:space="0" w:color="A6A6A6"/>
            </w:tcBorders>
            <w:hideMark/>
          </w:tcPr>
          <w:p w14:paraId="2E3AA856" w14:textId="77777777" w:rsidR="00CE75D4" w:rsidRPr="002029AF" w:rsidRDefault="00CE75D4" w:rsidP="008340C1">
            <w:pPr>
              <w:pStyle w:val="ARfintablebody"/>
            </w:pPr>
            <w:r w:rsidRPr="00A04907">
              <w:t>Expenses relating to short-term leases</w:t>
            </w:r>
          </w:p>
        </w:tc>
        <w:tc>
          <w:tcPr>
            <w:tcW w:w="1134" w:type="dxa"/>
            <w:tcBorders>
              <w:top w:val="single" w:sz="4" w:space="0" w:color="A6A6A6"/>
              <w:bottom w:val="single" w:sz="4" w:space="0" w:color="A6A6A6"/>
            </w:tcBorders>
            <w:shd w:val="clear" w:color="auto" w:fill="E7E6E6"/>
            <w:noWrap/>
            <w:hideMark/>
          </w:tcPr>
          <w:p w14:paraId="1B58B161" w14:textId="77777777" w:rsidR="00CE75D4" w:rsidRPr="002029AF" w:rsidRDefault="00CE75D4" w:rsidP="008340C1">
            <w:pPr>
              <w:pStyle w:val="ARfintablebodyright"/>
            </w:pPr>
            <w:r w:rsidRPr="00A04907">
              <w:t>0.1</w:t>
            </w:r>
          </w:p>
        </w:tc>
        <w:tc>
          <w:tcPr>
            <w:tcW w:w="1134" w:type="dxa"/>
            <w:tcBorders>
              <w:top w:val="single" w:sz="4" w:space="0" w:color="A6A6A6"/>
              <w:bottom w:val="single" w:sz="4" w:space="0" w:color="A6A6A6"/>
            </w:tcBorders>
          </w:tcPr>
          <w:p w14:paraId="34998A51" w14:textId="77777777" w:rsidR="00CE75D4" w:rsidRPr="002029AF" w:rsidRDefault="00CE75D4" w:rsidP="008340C1">
            <w:pPr>
              <w:pStyle w:val="ARfintablebodyright"/>
            </w:pPr>
            <w:r w:rsidRPr="00A04907">
              <w:t>13.4</w:t>
            </w:r>
          </w:p>
        </w:tc>
      </w:tr>
      <w:tr w:rsidR="00CE75D4" w:rsidRPr="002029AF" w14:paraId="26EEBAE4" w14:textId="77777777" w:rsidTr="00130D1C">
        <w:tc>
          <w:tcPr>
            <w:tcW w:w="7371" w:type="dxa"/>
            <w:tcBorders>
              <w:top w:val="single" w:sz="4" w:space="0" w:color="A6A6A6"/>
            </w:tcBorders>
            <w:hideMark/>
          </w:tcPr>
          <w:p w14:paraId="41CA17AF" w14:textId="77777777" w:rsidR="00CE75D4" w:rsidRPr="002029AF" w:rsidRDefault="00CE75D4" w:rsidP="008340C1">
            <w:pPr>
              <w:pStyle w:val="ARfintablebody"/>
            </w:pPr>
            <w:r w:rsidRPr="00A04907">
              <w:t>Variable lease payments, not included in the measurement of lease liabilities</w:t>
            </w:r>
          </w:p>
        </w:tc>
        <w:tc>
          <w:tcPr>
            <w:tcW w:w="1134" w:type="dxa"/>
            <w:tcBorders>
              <w:top w:val="single" w:sz="4" w:space="0" w:color="A6A6A6"/>
            </w:tcBorders>
            <w:shd w:val="clear" w:color="auto" w:fill="E7E6E6"/>
            <w:noWrap/>
            <w:hideMark/>
          </w:tcPr>
          <w:p w14:paraId="00FB65CD" w14:textId="77777777" w:rsidR="00CE75D4" w:rsidRPr="002029AF" w:rsidRDefault="00CE75D4" w:rsidP="008340C1">
            <w:pPr>
              <w:pStyle w:val="ARfintablebodyright"/>
            </w:pPr>
            <w:r w:rsidRPr="00A04907">
              <w:t>0.4</w:t>
            </w:r>
          </w:p>
        </w:tc>
        <w:tc>
          <w:tcPr>
            <w:tcW w:w="1134" w:type="dxa"/>
            <w:tcBorders>
              <w:top w:val="single" w:sz="4" w:space="0" w:color="A6A6A6"/>
            </w:tcBorders>
          </w:tcPr>
          <w:p w14:paraId="477D2484" w14:textId="77777777" w:rsidR="00CE75D4" w:rsidRPr="002029AF" w:rsidRDefault="00CE75D4" w:rsidP="008340C1">
            <w:pPr>
              <w:pStyle w:val="ARfintablebodyright"/>
            </w:pPr>
            <w:r w:rsidRPr="00A04907">
              <w:t>0.4</w:t>
            </w:r>
          </w:p>
        </w:tc>
      </w:tr>
      <w:tr w:rsidR="00CE75D4" w:rsidRPr="002029AF" w14:paraId="56908A8B" w14:textId="77777777" w:rsidTr="00130D1C">
        <w:tc>
          <w:tcPr>
            <w:tcW w:w="7371" w:type="dxa"/>
            <w:hideMark/>
          </w:tcPr>
          <w:p w14:paraId="2F848117" w14:textId="77777777" w:rsidR="00CE75D4" w:rsidRPr="002029AF" w:rsidRDefault="00CE75D4" w:rsidP="008340C1">
            <w:pPr>
              <w:pStyle w:val="ARfintablebodybold"/>
            </w:pPr>
            <w:r w:rsidRPr="00A04907">
              <w:t>Total amount recognised in the comprehensive operating statement</w:t>
            </w:r>
          </w:p>
        </w:tc>
        <w:tc>
          <w:tcPr>
            <w:tcW w:w="1134" w:type="dxa"/>
            <w:shd w:val="clear" w:color="auto" w:fill="E7E6E6"/>
            <w:noWrap/>
            <w:hideMark/>
          </w:tcPr>
          <w:p w14:paraId="0959150B" w14:textId="77777777" w:rsidR="00CE75D4" w:rsidRPr="002029AF" w:rsidRDefault="00CE75D4" w:rsidP="008340C1">
            <w:pPr>
              <w:pStyle w:val="ARfintablebodyrightbold"/>
            </w:pPr>
            <w:r w:rsidRPr="00A04907">
              <w:t>0.7</w:t>
            </w:r>
          </w:p>
        </w:tc>
        <w:tc>
          <w:tcPr>
            <w:tcW w:w="1134" w:type="dxa"/>
          </w:tcPr>
          <w:p w14:paraId="3988F7A0" w14:textId="77777777" w:rsidR="00CE75D4" w:rsidRPr="002029AF" w:rsidRDefault="00CE75D4" w:rsidP="008340C1">
            <w:pPr>
              <w:pStyle w:val="ARfintablebodyrightbold"/>
            </w:pPr>
            <w:r w:rsidRPr="00A04907">
              <w:t>15.3</w:t>
            </w:r>
          </w:p>
        </w:tc>
      </w:tr>
    </w:tbl>
    <w:p w14:paraId="021FD309" w14:textId="77777777" w:rsidR="00CE75D4" w:rsidRDefault="00CE75D4" w:rsidP="00130D1C">
      <w:pPr>
        <w:pStyle w:val="Heading6"/>
      </w:pPr>
      <w:bookmarkStart w:id="608" w:name="_Toc85121471"/>
      <w:r>
        <w:t>7.2.1(c) Amounts recognised in the cash flow statement</w:t>
      </w:r>
      <w:bookmarkEnd w:id="608"/>
    </w:p>
    <w:p w14:paraId="19EFC043" w14:textId="77777777" w:rsidR="00CE75D4" w:rsidRDefault="00CE75D4" w:rsidP="00130D1C">
      <w:pPr>
        <w:pStyle w:val="ARfinbodylargespace"/>
      </w:pPr>
      <w:r>
        <w:t>The following amounts relating to leases are recognised in the cash flow statement:</w:t>
      </w:r>
    </w:p>
    <w:tbl>
      <w:tblPr>
        <w:tblStyle w:val="TableGrid"/>
        <w:tblW w:w="9639" w:type="dxa"/>
        <w:tblLayout w:type="fixed"/>
        <w:tblLook w:val="06A0" w:firstRow="1" w:lastRow="0" w:firstColumn="1" w:lastColumn="0" w:noHBand="1" w:noVBand="1"/>
      </w:tblPr>
      <w:tblGrid>
        <w:gridCol w:w="7371"/>
        <w:gridCol w:w="1134"/>
        <w:gridCol w:w="1134"/>
      </w:tblGrid>
      <w:tr w:rsidR="00CE75D4" w:rsidRPr="002029AF" w14:paraId="49ED65F9"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1DAF8277" w14:textId="77777777" w:rsidR="00CE75D4" w:rsidRPr="002029AF" w:rsidRDefault="00CE75D4" w:rsidP="008340C1">
            <w:pPr>
              <w:pStyle w:val="ARfintablecolhead"/>
            </w:pPr>
          </w:p>
        </w:tc>
        <w:tc>
          <w:tcPr>
            <w:tcW w:w="1134" w:type="dxa"/>
            <w:tcBorders>
              <w:bottom w:val="single" w:sz="4" w:space="0" w:color="auto"/>
            </w:tcBorders>
            <w:shd w:val="clear" w:color="auto" w:fill="E7E6E6"/>
            <w:hideMark/>
          </w:tcPr>
          <w:p w14:paraId="712CDB94" w14:textId="77777777" w:rsidR="00CE75D4" w:rsidRPr="002029AF" w:rsidRDefault="00CE75D4" w:rsidP="008340C1">
            <w:pPr>
              <w:pStyle w:val="ARfintablecolheadright"/>
            </w:pPr>
            <w:r w:rsidRPr="002029AF">
              <w:t>202</w:t>
            </w:r>
            <w:r>
              <w:t>2</w:t>
            </w:r>
          </w:p>
          <w:p w14:paraId="60F0C07D" w14:textId="77777777" w:rsidR="00CE75D4" w:rsidRPr="002029AF" w:rsidRDefault="00CE75D4" w:rsidP="008340C1">
            <w:pPr>
              <w:pStyle w:val="ARfintablecolheadright"/>
            </w:pPr>
            <w:r w:rsidRPr="002029AF">
              <w:t>$M</w:t>
            </w:r>
          </w:p>
        </w:tc>
        <w:tc>
          <w:tcPr>
            <w:tcW w:w="1134" w:type="dxa"/>
            <w:tcBorders>
              <w:bottom w:val="single" w:sz="4" w:space="0" w:color="auto"/>
            </w:tcBorders>
          </w:tcPr>
          <w:p w14:paraId="0F1561B1" w14:textId="77777777" w:rsidR="00CE75D4" w:rsidRPr="002029AF" w:rsidRDefault="00CE75D4" w:rsidP="008340C1">
            <w:pPr>
              <w:pStyle w:val="ARfintablecolheadright"/>
            </w:pPr>
            <w:r>
              <w:t>2021</w:t>
            </w:r>
          </w:p>
          <w:p w14:paraId="42517474" w14:textId="77777777" w:rsidR="00CE75D4" w:rsidRPr="002029AF" w:rsidRDefault="00CE75D4" w:rsidP="008340C1">
            <w:pPr>
              <w:pStyle w:val="ARfintablecolheadright"/>
            </w:pPr>
            <w:r w:rsidRPr="002029AF">
              <w:t>$M</w:t>
            </w:r>
          </w:p>
        </w:tc>
      </w:tr>
      <w:tr w:rsidR="00CE75D4" w:rsidRPr="002029AF" w14:paraId="13E0F523" w14:textId="77777777" w:rsidTr="00130D1C">
        <w:tc>
          <w:tcPr>
            <w:tcW w:w="7371" w:type="dxa"/>
            <w:hideMark/>
          </w:tcPr>
          <w:p w14:paraId="336DE783" w14:textId="77777777" w:rsidR="00CE75D4" w:rsidRPr="002029AF" w:rsidRDefault="00CE75D4" w:rsidP="008340C1">
            <w:pPr>
              <w:pStyle w:val="ARfintablebodybold"/>
            </w:pPr>
            <w:r w:rsidRPr="00F46F9A">
              <w:t>Total cash outflow for leases</w:t>
            </w:r>
          </w:p>
        </w:tc>
        <w:tc>
          <w:tcPr>
            <w:tcW w:w="1134" w:type="dxa"/>
            <w:shd w:val="clear" w:color="auto" w:fill="E7E6E6"/>
            <w:noWrap/>
            <w:hideMark/>
          </w:tcPr>
          <w:p w14:paraId="1A574F34" w14:textId="77777777" w:rsidR="00CE75D4" w:rsidRPr="002029AF" w:rsidRDefault="00CE75D4" w:rsidP="008340C1">
            <w:pPr>
              <w:pStyle w:val="ARfintablebodyrightbold"/>
            </w:pPr>
            <w:r w:rsidRPr="00F46F9A">
              <w:t>3.9</w:t>
            </w:r>
          </w:p>
        </w:tc>
        <w:tc>
          <w:tcPr>
            <w:tcW w:w="1134" w:type="dxa"/>
          </w:tcPr>
          <w:p w14:paraId="228643BA" w14:textId="77777777" w:rsidR="00CE75D4" w:rsidRPr="002029AF" w:rsidRDefault="00CE75D4" w:rsidP="008340C1">
            <w:pPr>
              <w:pStyle w:val="ARfintablebodyrightbold"/>
            </w:pPr>
            <w:r w:rsidRPr="00F46F9A">
              <w:t>49.9</w:t>
            </w:r>
          </w:p>
        </w:tc>
      </w:tr>
    </w:tbl>
    <w:p w14:paraId="38290CE4" w14:textId="77777777" w:rsidR="00CE75D4" w:rsidRDefault="00CE75D4" w:rsidP="008340C1">
      <w:pPr>
        <w:pStyle w:val="ARfinbodyaftertable"/>
      </w:pPr>
      <w:r>
        <w:t>For any new contracts entered into, the department considers whether a contract is or contains a lease. A lease is defined as ‘a contract, or part of a contract, that conveys the right to use an asset (the underlying asset) for a period of time in exchange for consideration’. To apply this definition, the department assesses whether the contract meets three key evaluations:</w:t>
      </w:r>
    </w:p>
    <w:p w14:paraId="19E0641E" w14:textId="77777777" w:rsidR="00CE75D4" w:rsidRPr="00C87F26" w:rsidRDefault="00CE75D4" w:rsidP="00817CFB">
      <w:pPr>
        <w:pStyle w:val="ARfinbullet1"/>
        <w:numPr>
          <w:ilvl w:val="0"/>
          <w:numId w:val="29"/>
        </w:numPr>
        <w:textAlignment w:val="auto"/>
        <w:rPr>
          <w:szCs w:val="18"/>
        </w:rPr>
      </w:pPr>
      <w:r w:rsidRPr="00C87F26">
        <w:rPr>
          <w:szCs w:val="18"/>
        </w:rPr>
        <w:t>whether the contract contains an identified asset, which is either explicitly identified in the contract or implicitly specified by being identified at the time the asset is made available to the department and for which the supplier does not have substantive substitution rights</w:t>
      </w:r>
    </w:p>
    <w:p w14:paraId="506D8BD8" w14:textId="77777777" w:rsidR="00CE75D4" w:rsidRPr="00C87F26" w:rsidRDefault="00CE75D4" w:rsidP="00817CFB">
      <w:pPr>
        <w:pStyle w:val="ARfinbullet1"/>
        <w:numPr>
          <w:ilvl w:val="0"/>
          <w:numId w:val="29"/>
        </w:numPr>
        <w:textAlignment w:val="auto"/>
        <w:rPr>
          <w:szCs w:val="18"/>
        </w:rPr>
      </w:pPr>
      <w:r w:rsidRPr="00C87F26">
        <w:rPr>
          <w:szCs w:val="18"/>
        </w:rPr>
        <w:t>whether the department has the right to obtain substantially all of the economic benefits from use of the identified asset throughout the period of use, considering its rights within the defined scope of the contract, and the department has the right to direct the use of the identified asset throughout the period of use, and</w:t>
      </w:r>
    </w:p>
    <w:p w14:paraId="159AB91C" w14:textId="77777777" w:rsidR="00CE75D4" w:rsidRPr="00C87F26" w:rsidRDefault="00CE75D4" w:rsidP="00817CFB">
      <w:pPr>
        <w:pStyle w:val="ARfinbullet1"/>
        <w:numPr>
          <w:ilvl w:val="0"/>
          <w:numId w:val="29"/>
        </w:numPr>
        <w:textAlignment w:val="auto"/>
        <w:rPr>
          <w:szCs w:val="18"/>
        </w:rPr>
      </w:pPr>
      <w:r w:rsidRPr="00C87F26">
        <w:rPr>
          <w:szCs w:val="18"/>
        </w:rPr>
        <w:t>whether the department has the right to make decisions in respect of ‘how and for what purpose’ the asset is used throughout the period of use.</w:t>
      </w:r>
    </w:p>
    <w:p w14:paraId="6BBC2044" w14:textId="77777777" w:rsidR="00CE75D4" w:rsidRDefault="00CE75D4" w:rsidP="008340C1">
      <w:pPr>
        <w:pStyle w:val="ARfinbody"/>
      </w:pPr>
      <w:r>
        <w:t>This policy is applied to contracts entered into, or changed, on or after 1 July 2019.</w:t>
      </w:r>
    </w:p>
    <w:p w14:paraId="2B2EBA47" w14:textId="77777777" w:rsidR="00CE75D4" w:rsidRDefault="00CE75D4" w:rsidP="008340C1">
      <w:pPr>
        <w:pStyle w:val="Heading6"/>
        <w:rPr>
          <w:lang w:eastAsia="en-AU"/>
        </w:rPr>
      </w:pPr>
      <w:r>
        <w:rPr>
          <w:lang w:eastAsia="en-AU"/>
        </w:rPr>
        <w:t>Separation of lease and non-lease components</w:t>
      </w:r>
    </w:p>
    <w:p w14:paraId="3AAD0D16" w14:textId="77777777" w:rsidR="00CE75D4" w:rsidRDefault="00CE75D4" w:rsidP="008340C1">
      <w:pPr>
        <w:pStyle w:val="ARfinbody"/>
      </w:pPr>
      <w: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1BDBCFEC" w14:textId="77777777" w:rsidR="00CE75D4" w:rsidRDefault="00CE75D4" w:rsidP="008340C1">
      <w:pPr>
        <w:pStyle w:val="Heading6"/>
      </w:pPr>
      <w:r>
        <w:rPr>
          <w:lang w:eastAsia="en-AU"/>
        </w:rPr>
        <w:t>Recognition and measurement of leases as a lessee</w:t>
      </w:r>
    </w:p>
    <w:p w14:paraId="5AC45CC9" w14:textId="77777777" w:rsidR="00CE75D4" w:rsidRDefault="00CE75D4" w:rsidP="008340C1">
      <w:pPr>
        <w:pStyle w:val="Heading7"/>
      </w:pPr>
      <w:r>
        <w:t>Lease liability – initial measurement</w:t>
      </w:r>
    </w:p>
    <w:p w14:paraId="3A2872DF" w14:textId="77777777" w:rsidR="00CE75D4" w:rsidRDefault="00CE75D4" w:rsidP="008340C1">
      <w:pPr>
        <w:pStyle w:val="ARfinbody"/>
      </w:pPr>
      <w:r>
        <w:t>Lease liability is initially measured at the present value of the lease payments unpaid at the commencement date, discounted using the interest rate implicit in the lease if that rate is readily determinable or the department’s incremental borrowing rate.</w:t>
      </w:r>
    </w:p>
    <w:p w14:paraId="3CCBA569" w14:textId="77777777" w:rsidR="00CE75D4" w:rsidRDefault="00CE75D4" w:rsidP="008340C1">
      <w:pPr>
        <w:pStyle w:val="ARfinbody"/>
      </w:pPr>
      <w:r>
        <w:t>Lease payments included in the measurement of the lease liability comprise the following:</w:t>
      </w:r>
    </w:p>
    <w:p w14:paraId="6B958329" w14:textId="77777777" w:rsidR="00CE75D4" w:rsidRPr="00C87F26" w:rsidRDefault="00CE75D4" w:rsidP="00817CFB">
      <w:pPr>
        <w:pStyle w:val="ARfinbullet1"/>
        <w:numPr>
          <w:ilvl w:val="0"/>
          <w:numId w:val="29"/>
        </w:numPr>
        <w:textAlignment w:val="auto"/>
        <w:rPr>
          <w:szCs w:val="18"/>
        </w:rPr>
      </w:pPr>
      <w:r w:rsidRPr="00C87F26">
        <w:rPr>
          <w:szCs w:val="18"/>
        </w:rPr>
        <w:t>fixed payments (including in-substance fixed payments)</w:t>
      </w:r>
    </w:p>
    <w:p w14:paraId="61D5A9D0" w14:textId="77777777" w:rsidR="00CE75D4" w:rsidRPr="00C87F26" w:rsidRDefault="00CE75D4" w:rsidP="00817CFB">
      <w:pPr>
        <w:pStyle w:val="ARfinbullet1"/>
        <w:numPr>
          <w:ilvl w:val="0"/>
          <w:numId w:val="29"/>
        </w:numPr>
        <w:textAlignment w:val="auto"/>
        <w:rPr>
          <w:szCs w:val="18"/>
        </w:rPr>
      </w:pPr>
      <w:r w:rsidRPr="00C87F26">
        <w:rPr>
          <w:szCs w:val="18"/>
        </w:rPr>
        <w:t>variable payments based on an index or rate, initially measured using the index or rate as at the commencement date</w:t>
      </w:r>
    </w:p>
    <w:p w14:paraId="5CE07C62" w14:textId="77777777" w:rsidR="00CE75D4" w:rsidRPr="00C87F26" w:rsidRDefault="00CE75D4" w:rsidP="00817CFB">
      <w:pPr>
        <w:pStyle w:val="ARfinbullet1"/>
        <w:numPr>
          <w:ilvl w:val="0"/>
          <w:numId w:val="29"/>
        </w:numPr>
        <w:textAlignment w:val="auto"/>
        <w:rPr>
          <w:szCs w:val="18"/>
        </w:rPr>
      </w:pPr>
      <w:r w:rsidRPr="00C87F26">
        <w:rPr>
          <w:szCs w:val="18"/>
        </w:rPr>
        <w:t>amounts expected to be payable under a residual value guarantee, and</w:t>
      </w:r>
    </w:p>
    <w:p w14:paraId="2B10A40E" w14:textId="77777777" w:rsidR="00CE75D4" w:rsidRPr="00C87F26" w:rsidRDefault="00CE75D4" w:rsidP="00817CFB">
      <w:pPr>
        <w:pStyle w:val="ARfinbullet1"/>
        <w:numPr>
          <w:ilvl w:val="0"/>
          <w:numId w:val="29"/>
        </w:numPr>
        <w:textAlignment w:val="auto"/>
        <w:rPr>
          <w:szCs w:val="18"/>
        </w:rPr>
      </w:pPr>
      <w:r w:rsidRPr="00C87F26">
        <w:rPr>
          <w:szCs w:val="18"/>
        </w:rPr>
        <w:t>payments arising from purchase and termination options reasonably certain to be exercised.</w:t>
      </w:r>
    </w:p>
    <w:p w14:paraId="38726881" w14:textId="77777777" w:rsidR="00CE75D4" w:rsidRDefault="00CE75D4" w:rsidP="008340C1">
      <w:pPr>
        <w:pStyle w:val="Heading7"/>
      </w:pPr>
      <w:r>
        <w:t>Lease liability – subsequent measurement</w:t>
      </w:r>
    </w:p>
    <w:p w14:paraId="181FF847" w14:textId="77777777" w:rsidR="00CE75D4" w:rsidRDefault="00CE75D4" w:rsidP="008340C1">
      <w:pPr>
        <w:pStyle w:val="ARfinbody"/>
      </w:pPr>
      <w:r>
        <w:t>Subsequent to initial measurement, the lease liability will be reduced for payments made and increased for interest. It is remeasured to reflect any reassessment or modification, or if there are changes in in-substance fixed payments. When the lease liability is remeasured, the corresponding adjustment is reflected in the right-of-use asset, or profit and loss if the right-of-use asset is already reduced to zero.</w:t>
      </w:r>
    </w:p>
    <w:p w14:paraId="1D848659" w14:textId="77777777" w:rsidR="00CE75D4" w:rsidRDefault="00CE75D4" w:rsidP="008340C1">
      <w:pPr>
        <w:pStyle w:val="Heading7"/>
      </w:pPr>
      <w:r>
        <w:t>Short-term leases and leases of low-value assets</w:t>
      </w:r>
    </w:p>
    <w:p w14:paraId="0022D3E9" w14:textId="77777777" w:rsidR="00CE75D4" w:rsidRDefault="00CE75D4" w:rsidP="008340C1">
      <w:pPr>
        <w:pStyle w:val="ARfinbody"/>
      </w:pPr>
      <w:r>
        <w:t>The department has elected to account for short-term leases and leases of low-value assets using practical expedients. Instead of recognising a right-of-use asset and lease liability, the payments in relation to these types of leases are recognised as an expense in the comprehensive operating statement on a straight-line basis over the lease term.</w:t>
      </w:r>
    </w:p>
    <w:p w14:paraId="5328415F" w14:textId="77777777" w:rsidR="00CE75D4" w:rsidRDefault="00CE75D4" w:rsidP="008340C1">
      <w:pPr>
        <w:pStyle w:val="Heading7"/>
      </w:pPr>
      <w:r>
        <w:t>Below-market/peppercorn leases</w:t>
      </w:r>
    </w:p>
    <w:p w14:paraId="4A60CE67" w14:textId="30483230" w:rsidR="00CE75D4" w:rsidRDefault="00CE75D4" w:rsidP="008340C1">
      <w:pPr>
        <w:pStyle w:val="ARfinbody"/>
      </w:pPr>
      <w:r>
        <w:t xml:space="preserve">Right-of-use assets under leases at significantly below-market terms and conditions that are entered into principally to enable the department to further its objectives, are initially and subsequently measured at cost. These right-of-use assets are depreciated on a straight-line basis over the shorter of the lease term </w:t>
      </w:r>
      <w:r w:rsidR="002D091E">
        <w:t xml:space="preserve">or </w:t>
      </w:r>
      <w:r>
        <w:t>the estimated useful lives of the assets.</w:t>
      </w:r>
    </w:p>
    <w:p w14:paraId="7EDB1510" w14:textId="77777777" w:rsidR="00CE75D4" w:rsidRDefault="00CE75D4" w:rsidP="008340C1">
      <w:pPr>
        <w:pStyle w:val="Heading7"/>
      </w:pPr>
      <w:r>
        <w:t>Presentation of right-of-use assets and lease liabilities</w:t>
      </w:r>
    </w:p>
    <w:p w14:paraId="35C40A3D" w14:textId="77777777" w:rsidR="00CE75D4" w:rsidRDefault="00CE75D4" w:rsidP="008340C1">
      <w:pPr>
        <w:pStyle w:val="ARfinbody"/>
      </w:pPr>
      <w:r>
        <w:t>The department presents right-of-use assets as ‘property, plant and equipment’ unless they meet the definition of investment property, in which case they are disclosed as ‘investment property’ in the balance sheet. Lease liabilities are presented as ‘borrowings’ in the balance sheet.</w:t>
      </w:r>
    </w:p>
    <w:p w14:paraId="3CC99091" w14:textId="77777777" w:rsidR="00CE75D4" w:rsidRPr="00655F83" w:rsidRDefault="00CE75D4" w:rsidP="00130D1C">
      <w:pPr>
        <w:pStyle w:val="Heading4"/>
        <w:rPr>
          <w:lang w:eastAsia="en-AU"/>
        </w:rPr>
      </w:pPr>
      <w:bookmarkStart w:id="609" w:name="_Toc39242158"/>
      <w:bookmarkStart w:id="610" w:name="_Toc85121479"/>
      <w:r w:rsidRPr="00655F83">
        <w:rPr>
          <w:lang w:eastAsia="en-AU"/>
        </w:rPr>
        <w:t>7.3 Cash flow information and balances</w:t>
      </w:r>
      <w:bookmarkEnd w:id="609"/>
      <w:bookmarkEnd w:id="610"/>
    </w:p>
    <w:p w14:paraId="1BBBCC51" w14:textId="77777777" w:rsidR="00CE75D4" w:rsidRPr="00655F83" w:rsidRDefault="00CE75D4" w:rsidP="00130D1C">
      <w:pPr>
        <w:pStyle w:val="ARfinbody"/>
      </w:pPr>
      <w:r>
        <w:t>Cash and deposits, including cash equivalents, comprise cash on hand and cash at bank, deposits at call and highly liquid investments with an original maturity of three months or less, which are held for the purpose of meeting short-term cash commitments rather than for investment purposes and are readily convertible to known amounts of cash with an insignificant risk of changes in value.</w:t>
      </w:r>
    </w:p>
    <w:tbl>
      <w:tblPr>
        <w:tblStyle w:val="TableGrid"/>
        <w:tblW w:w="9637" w:type="dxa"/>
        <w:tblLayout w:type="fixed"/>
        <w:tblLook w:val="06A0" w:firstRow="1" w:lastRow="0" w:firstColumn="1" w:lastColumn="0" w:noHBand="1" w:noVBand="1"/>
      </w:tblPr>
      <w:tblGrid>
        <w:gridCol w:w="7369"/>
        <w:gridCol w:w="1134"/>
        <w:gridCol w:w="1134"/>
      </w:tblGrid>
      <w:tr w:rsidR="00CE75D4" w:rsidRPr="00655F83" w14:paraId="283D2740"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hideMark/>
          </w:tcPr>
          <w:p w14:paraId="0E99F767" w14:textId="77777777" w:rsidR="00CE75D4" w:rsidRPr="00655F83" w:rsidRDefault="00CE75D4" w:rsidP="008340C1">
            <w:pPr>
              <w:pStyle w:val="ARfintablecolhead"/>
            </w:pPr>
            <w:r w:rsidRPr="00655F83">
              <w:t>Total cash and deposits disclosed in the balance sheet</w:t>
            </w:r>
          </w:p>
        </w:tc>
        <w:tc>
          <w:tcPr>
            <w:tcW w:w="1134" w:type="dxa"/>
            <w:tcBorders>
              <w:bottom w:val="single" w:sz="4" w:space="0" w:color="auto"/>
            </w:tcBorders>
            <w:shd w:val="clear" w:color="auto" w:fill="E7E6E6"/>
            <w:hideMark/>
          </w:tcPr>
          <w:p w14:paraId="43B4D1D5" w14:textId="77777777" w:rsidR="00CE75D4" w:rsidRPr="00655F83" w:rsidRDefault="00CE75D4" w:rsidP="008340C1">
            <w:pPr>
              <w:pStyle w:val="ARfintablecolheadright"/>
            </w:pPr>
            <w:r w:rsidRPr="00655F83">
              <w:t>2022</w:t>
            </w:r>
          </w:p>
          <w:p w14:paraId="0AE2A0B0" w14:textId="77777777" w:rsidR="00CE75D4" w:rsidRPr="00655F83" w:rsidRDefault="00CE75D4" w:rsidP="008340C1">
            <w:pPr>
              <w:pStyle w:val="ARfintablecolheadright"/>
            </w:pPr>
            <w:r w:rsidRPr="00655F83">
              <w:t>$M</w:t>
            </w:r>
          </w:p>
        </w:tc>
        <w:tc>
          <w:tcPr>
            <w:tcW w:w="1134" w:type="dxa"/>
            <w:tcBorders>
              <w:bottom w:val="single" w:sz="4" w:space="0" w:color="auto"/>
            </w:tcBorders>
            <w:hideMark/>
          </w:tcPr>
          <w:p w14:paraId="333B3E47" w14:textId="77777777" w:rsidR="00CE75D4" w:rsidRPr="00655F83" w:rsidRDefault="00CE75D4" w:rsidP="008340C1">
            <w:pPr>
              <w:pStyle w:val="ARfintablecolheadright"/>
            </w:pPr>
            <w:r w:rsidRPr="00655F83">
              <w:t>2021</w:t>
            </w:r>
          </w:p>
          <w:p w14:paraId="02D1086E" w14:textId="77777777" w:rsidR="00CE75D4" w:rsidRPr="00655F83" w:rsidRDefault="00CE75D4" w:rsidP="008340C1">
            <w:pPr>
              <w:pStyle w:val="ARfintablecolheadright"/>
            </w:pPr>
            <w:r w:rsidRPr="00655F83">
              <w:t>$M</w:t>
            </w:r>
          </w:p>
        </w:tc>
      </w:tr>
      <w:tr w:rsidR="00CE75D4" w:rsidRPr="00655F83" w14:paraId="69A5006D" w14:textId="77777777" w:rsidTr="00130D1C">
        <w:tc>
          <w:tcPr>
            <w:tcW w:w="7369" w:type="dxa"/>
            <w:tcBorders>
              <w:top w:val="single" w:sz="4" w:space="0" w:color="auto"/>
              <w:bottom w:val="single" w:sz="4" w:space="0" w:color="A6A6A6"/>
            </w:tcBorders>
            <w:hideMark/>
          </w:tcPr>
          <w:p w14:paraId="4D177A13" w14:textId="77777777" w:rsidR="00CE75D4" w:rsidRPr="00655F83" w:rsidRDefault="00CE75D4" w:rsidP="008340C1">
            <w:pPr>
              <w:pStyle w:val="ARfintablebody"/>
            </w:pPr>
            <w:r w:rsidRPr="00C73D23">
              <w:t xml:space="preserve">Short-term deposits </w:t>
            </w:r>
            <w:r w:rsidRPr="00655F83">
              <w:rPr>
                <w:rStyle w:val="Superscript"/>
              </w:rPr>
              <w:t>(i)</w:t>
            </w:r>
          </w:p>
        </w:tc>
        <w:tc>
          <w:tcPr>
            <w:tcW w:w="1134" w:type="dxa"/>
            <w:tcBorders>
              <w:top w:val="single" w:sz="4" w:space="0" w:color="auto"/>
              <w:bottom w:val="single" w:sz="4" w:space="0" w:color="A6A6A6"/>
            </w:tcBorders>
            <w:shd w:val="clear" w:color="auto" w:fill="E7E6E6"/>
            <w:noWrap/>
            <w:hideMark/>
          </w:tcPr>
          <w:p w14:paraId="18B301BF" w14:textId="77777777" w:rsidR="00CE75D4" w:rsidRPr="00655F83" w:rsidRDefault="00CE75D4" w:rsidP="008340C1">
            <w:pPr>
              <w:pStyle w:val="ARfintablebodyright"/>
            </w:pPr>
            <w:r>
              <w:t>–</w:t>
            </w:r>
          </w:p>
        </w:tc>
        <w:tc>
          <w:tcPr>
            <w:tcW w:w="1134" w:type="dxa"/>
            <w:tcBorders>
              <w:top w:val="single" w:sz="4" w:space="0" w:color="auto"/>
              <w:bottom w:val="single" w:sz="4" w:space="0" w:color="A6A6A6"/>
            </w:tcBorders>
            <w:noWrap/>
            <w:hideMark/>
          </w:tcPr>
          <w:p w14:paraId="2656C3DF" w14:textId="77777777" w:rsidR="00CE75D4" w:rsidRPr="00655F83" w:rsidRDefault="00CE75D4" w:rsidP="008340C1">
            <w:pPr>
              <w:pStyle w:val="ARfintablebodyright"/>
            </w:pPr>
            <w:r w:rsidRPr="00C73D23">
              <w:t>705.7</w:t>
            </w:r>
          </w:p>
        </w:tc>
      </w:tr>
      <w:tr w:rsidR="00CE75D4" w:rsidRPr="00655F83" w14:paraId="2CA3B87F" w14:textId="77777777" w:rsidTr="00130D1C">
        <w:tc>
          <w:tcPr>
            <w:tcW w:w="7369" w:type="dxa"/>
            <w:tcBorders>
              <w:top w:val="single" w:sz="4" w:space="0" w:color="A6A6A6"/>
              <w:bottom w:val="single" w:sz="4" w:space="0" w:color="A6A6A6"/>
            </w:tcBorders>
            <w:hideMark/>
          </w:tcPr>
          <w:p w14:paraId="7A0E3B32" w14:textId="77777777" w:rsidR="00CE75D4" w:rsidRPr="00655F83" w:rsidRDefault="00CE75D4" w:rsidP="008340C1">
            <w:pPr>
              <w:pStyle w:val="ARfintablebody"/>
            </w:pPr>
            <w:r w:rsidRPr="00C73D23">
              <w:t xml:space="preserve">Cash at bank </w:t>
            </w:r>
            <w:r w:rsidRPr="00655F83">
              <w:rPr>
                <w:rStyle w:val="Superscript"/>
              </w:rPr>
              <w:t>(i)(ii)</w:t>
            </w:r>
          </w:p>
        </w:tc>
        <w:tc>
          <w:tcPr>
            <w:tcW w:w="1134" w:type="dxa"/>
            <w:tcBorders>
              <w:top w:val="single" w:sz="4" w:space="0" w:color="A6A6A6"/>
              <w:bottom w:val="single" w:sz="4" w:space="0" w:color="A6A6A6"/>
            </w:tcBorders>
            <w:shd w:val="clear" w:color="auto" w:fill="E7E6E6"/>
            <w:noWrap/>
            <w:hideMark/>
          </w:tcPr>
          <w:p w14:paraId="0F01F90F" w14:textId="77777777" w:rsidR="00CE75D4" w:rsidRPr="00655F83" w:rsidRDefault="00CE75D4" w:rsidP="008340C1">
            <w:pPr>
              <w:pStyle w:val="ARfintablebodyright"/>
            </w:pPr>
            <w:r w:rsidRPr="00C73D23">
              <w:t>14.2</w:t>
            </w:r>
          </w:p>
        </w:tc>
        <w:tc>
          <w:tcPr>
            <w:tcW w:w="1134" w:type="dxa"/>
            <w:tcBorders>
              <w:top w:val="single" w:sz="4" w:space="0" w:color="A6A6A6"/>
              <w:bottom w:val="single" w:sz="4" w:space="0" w:color="A6A6A6"/>
            </w:tcBorders>
            <w:noWrap/>
            <w:hideMark/>
          </w:tcPr>
          <w:p w14:paraId="59BC6CB8" w14:textId="77777777" w:rsidR="00CE75D4" w:rsidRPr="00655F83" w:rsidRDefault="00CE75D4" w:rsidP="008340C1">
            <w:pPr>
              <w:pStyle w:val="ARfintablebodyright"/>
            </w:pPr>
            <w:r w:rsidRPr="00C73D23">
              <w:t>38.4</w:t>
            </w:r>
          </w:p>
        </w:tc>
      </w:tr>
      <w:tr w:rsidR="00CE75D4" w:rsidRPr="00655F83" w14:paraId="36C0F16E" w14:textId="77777777" w:rsidTr="00130D1C">
        <w:tc>
          <w:tcPr>
            <w:tcW w:w="7369" w:type="dxa"/>
            <w:tcBorders>
              <w:top w:val="single" w:sz="4" w:space="0" w:color="A6A6A6"/>
              <w:bottom w:val="single" w:sz="4" w:space="0" w:color="A6A6A6"/>
            </w:tcBorders>
            <w:hideMark/>
          </w:tcPr>
          <w:p w14:paraId="1FE997F6" w14:textId="77777777" w:rsidR="00CE75D4" w:rsidRPr="00655F83" w:rsidRDefault="00CE75D4" w:rsidP="008340C1">
            <w:pPr>
              <w:pStyle w:val="ARfintablebody"/>
            </w:pPr>
            <w:r w:rsidRPr="00C73D23">
              <w:t xml:space="preserve">Funds held in trust </w:t>
            </w:r>
            <w:r w:rsidRPr="00655F83">
              <w:rPr>
                <w:rStyle w:val="Superscript"/>
              </w:rPr>
              <w:t>(iii)</w:t>
            </w:r>
          </w:p>
        </w:tc>
        <w:tc>
          <w:tcPr>
            <w:tcW w:w="1134" w:type="dxa"/>
            <w:tcBorders>
              <w:top w:val="single" w:sz="4" w:space="0" w:color="A6A6A6"/>
              <w:bottom w:val="single" w:sz="4" w:space="0" w:color="A6A6A6"/>
            </w:tcBorders>
            <w:shd w:val="clear" w:color="auto" w:fill="E7E6E6"/>
            <w:noWrap/>
            <w:hideMark/>
          </w:tcPr>
          <w:p w14:paraId="5F777834" w14:textId="77777777" w:rsidR="00CE75D4" w:rsidRPr="00655F83" w:rsidRDefault="00CE75D4" w:rsidP="008340C1">
            <w:pPr>
              <w:pStyle w:val="ARfintablebodyright"/>
            </w:pPr>
            <w:r w:rsidRPr="00C73D23">
              <w:t>92.1</w:t>
            </w:r>
          </w:p>
        </w:tc>
        <w:tc>
          <w:tcPr>
            <w:tcW w:w="1134" w:type="dxa"/>
            <w:tcBorders>
              <w:top w:val="single" w:sz="4" w:space="0" w:color="A6A6A6"/>
              <w:bottom w:val="single" w:sz="4" w:space="0" w:color="A6A6A6"/>
            </w:tcBorders>
            <w:noWrap/>
            <w:hideMark/>
          </w:tcPr>
          <w:p w14:paraId="054B59CE" w14:textId="77777777" w:rsidR="00CE75D4" w:rsidRPr="00655F83" w:rsidRDefault="00CE75D4" w:rsidP="008340C1">
            <w:pPr>
              <w:pStyle w:val="ARfintablebodyright"/>
            </w:pPr>
            <w:r w:rsidRPr="00C73D23">
              <w:t>169.7</w:t>
            </w:r>
          </w:p>
        </w:tc>
      </w:tr>
      <w:tr w:rsidR="00CE75D4" w:rsidRPr="00655F83" w14:paraId="01B3E9D4" w14:textId="77777777" w:rsidTr="00130D1C">
        <w:tc>
          <w:tcPr>
            <w:tcW w:w="7369" w:type="dxa"/>
            <w:tcBorders>
              <w:top w:val="single" w:sz="4" w:space="0" w:color="A6A6A6"/>
            </w:tcBorders>
            <w:hideMark/>
          </w:tcPr>
          <w:p w14:paraId="22FAC847" w14:textId="77777777" w:rsidR="00CE75D4" w:rsidRPr="00655F83" w:rsidRDefault="00CE75D4" w:rsidP="008340C1">
            <w:pPr>
              <w:pStyle w:val="ARfintablebody"/>
            </w:pPr>
            <w:r w:rsidRPr="00C73D23">
              <w:t>Cash advances</w:t>
            </w:r>
          </w:p>
        </w:tc>
        <w:tc>
          <w:tcPr>
            <w:tcW w:w="1134" w:type="dxa"/>
            <w:tcBorders>
              <w:top w:val="single" w:sz="4" w:space="0" w:color="A6A6A6"/>
            </w:tcBorders>
            <w:shd w:val="clear" w:color="auto" w:fill="E7E6E6"/>
            <w:noWrap/>
            <w:hideMark/>
          </w:tcPr>
          <w:p w14:paraId="09E211EE" w14:textId="77777777" w:rsidR="00CE75D4" w:rsidRPr="00655F83" w:rsidRDefault="00CE75D4" w:rsidP="008340C1">
            <w:pPr>
              <w:pStyle w:val="ARfintablebodyright"/>
            </w:pPr>
            <w:r>
              <w:t>–</w:t>
            </w:r>
          </w:p>
        </w:tc>
        <w:tc>
          <w:tcPr>
            <w:tcW w:w="1134" w:type="dxa"/>
            <w:tcBorders>
              <w:top w:val="single" w:sz="4" w:space="0" w:color="A6A6A6"/>
            </w:tcBorders>
            <w:noWrap/>
            <w:hideMark/>
          </w:tcPr>
          <w:p w14:paraId="40D68B89" w14:textId="77777777" w:rsidR="00CE75D4" w:rsidRPr="00655F83" w:rsidRDefault="00CE75D4" w:rsidP="008340C1">
            <w:pPr>
              <w:pStyle w:val="ARfintablebodyright"/>
            </w:pPr>
            <w:r w:rsidRPr="00C73D23">
              <w:t>0.1</w:t>
            </w:r>
          </w:p>
        </w:tc>
      </w:tr>
      <w:tr w:rsidR="00CE75D4" w:rsidRPr="00655F83" w14:paraId="17C484DF" w14:textId="77777777" w:rsidTr="00130D1C">
        <w:tc>
          <w:tcPr>
            <w:tcW w:w="7369" w:type="dxa"/>
            <w:hideMark/>
          </w:tcPr>
          <w:p w14:paraId="6E1E226F" w14:textId="77777777" w:rsidR="00CE75D4" w:rsidRPr="00655F83" w:rsidRDefault="00CE75D4" w:rsidP="008340C1">
            <w:pPr>
              <w:pStyle w:val="ARfintablebodybold"/>
            </w:pPr>
            <w:r w:rsidRPr="00C73D23">
              <w:t>Balance as per cash flow statement</w:t>
            </w:r>
          </w:p>
        </w:tc>
        <w:tc>
          <w:tcPr>
            <w:tcW w:w="1134" w:type="dxa"/>
            <w:shd w:val="clear" w:color="auto" w:fill="E7E6E6"/>
            <w:noWrap/>
            <w:hideMark/>
          </w:tcPr>
          <w:p w14:paraId="151BF3EA" w14:textId="77777777" w:rsidR="00CE75D4" w:rsidRPr="00655F83" w:rsidRDefault="00CE75D4" w:rsidP="008340C1">
            <w:pPr>
              <w:pStyle w:val="ARfintablebodyrightbold"/>
            </w:pPr>
            <w:r w:rsidRPr="00C73D23">
              <w:t>106.3</w:t>
            </w:r>
          </w:p>
        </w:tc>
        <w:tc>
          <w:tcPr>
            <w:tcW w:w="1134" w:type="dxa"/>
            <w:noWrap/>
            <w:hideMark/>
          </w:tcPr>
          <w:p w14:paraId="6C691E83" w14:textId="77777777" w:rsidR="00CE75D4" w:rsidRPr="00655F83" w:rsidRDefault="00CE75D4" w:rsidP="008340C1">
            <w:pPr>
              <w:pStyle w:val="ARfintablebodyrightbold"/>
            </w:pPr>
            <w:r w:rsidRPr="00C73D23">
              <w:t>913.9</w:t>
            </w:r>
          </w:p>
        </w:tc>
      </w:tr>
    </w:tbl>
    <w:p w14:paraId="692A2D76" w14:textId="77777777" w:rsidR="00CE75D4" w:rsidRDefault="00CE75D4" w:rsidP="008340C1">
      <w:pPr>
        <w:pStyle w:val="ARfintablefootnote"/>
      </w:pPr>
      <w:r>
        <w:rPr>
          <w:lang w:eastAsia="en-AU"/>
        </w:rPr>
        <w:t>Notes:</w:t>
      </w:r>
    </w:p>
    <w:p w14:paraId="121EE887" w14:textId="5DB63AC8" w:rsidR="00CE75D4" w:rsidRDefault="00CE75D4" w:rsidP="008340C1">
      <w:pPr>
        <w:pStyle w:val="ARfintablefootnoteindent"/>
      </w:pPr>
      <w:r>
        <w:t>(i)</w:t>
      </w:r>
      <w:r>
        <w:tab/>
        <w:t xml:space="preserve">Cash and short-term deposits in 2021 included funds that were held by the Director of Housing in the Central Banking System as well as funds that had been committed to a number of significant housing projects and were expected to be expensed in 2021–22 (as disclosed in Note 7.5). The Director of Housing was transferred to </w:t>
      </w:r>
      <w:r w:rsidR="00321FE3">
        <w:t xml:space="preserve">the </w:t>
      </w:r>
      <w:r>
        <w:t>DFFH in 2020–21 as part of the machinery of government changes.</w:t>
      </w:r>
    </w:p>
    <w:p w14:paraId="46CB42A8" w14:textId="332EB1A3" w:rsidR="00CE75D4" w:rsidRDefault="00CE75D4" w:rsidP="008340C1">
      <w:pPr>
        <w:pStyle w:val="ARfintablefootnoteindent"/>
      </w:pPr>
      <w:r>
        <w:t>(ii)</w:t>
      </w:r>
      <w:r>
        <w:tab/>
        <w:t xml:space="preserve">Cash balance in 2022 includes the Casey Hospital escrow bank accounts used to facilitate </w:t>
      </w:r>
      <w:r w:rsidDel="00515570">
        <w:t xml:space="preserve">State </w:t>
      </w:r>
      <w:r>
        <w:t>Government funding and payments to the project company for the Casey Hospital Project and Expansion Project, and the timing of payments.</w:t>
      </w:r>
    </w:p>
    <w:p w14:paraId="7EC90909" w14:textId="671674F8" w:rsidR="00CE75D4" w:rsidRDefault="00CE75D4" w:rsidP="3D493511">
      <w:pPr>
        <w:pStyle w:val="ARfintablefootnoteindent"/>
      </w:pPr>
      <w:r w:rsidDel="008922B5">
        <w:t>(iii)</w:t>
      </w:r>
      <w:r w:rsidR="00F37111">
        <w:tab/>
      </w:r>
      <w:r>
        <w:t>Refer to Note 7.4.1 for the trust account balances.</w:t>
      </w:r>
    </w:p>
    <w:p w14:paraId="016C8E97" w14:textId="482DBE78" w:rsidR="00CE75D4" w:rsidRDefault="00CE75D4" w:rsidP="008340C1">
      <w:pPr>
        <w:pStyle w:val="ARfinbodyaftertable"/>
      </w:pPr>
      <w:r>
        <w:t>Due to the state’s investment policy and funding arrangements, the department does not hold a large cash reserve in its bank accounts. Cash received from generation of income is generally paid into the state’s bank account (</w:t>
      </w:r>
      <w:r w:rsidDel="008114B3">
        <w:t>‘</w:t>
      </w:r>
      <w:r>
        <w:t>public account</w:t>
      </w:r>
      <w:r w:rsidDel="008114B3">
        <w:t>’</w:t>
      </w:r>
      <w:r>
        <w:t>). Similarly, departmental expenditure, including in the form of cheques drawn for payments to its suppliers and creditors, are made via the public account. The public account remits to the department the cash required upon presentation of cheques by the department’s suppliers or creditors.</w:t>
      </w:r>
    </w:p>
    <w:p w14:paraId="3CA6F51F" w14:textId="77777777" w:rsidR="00CE75D4" w:rsidRPr="0040433B" w:rsidRDefault="00CE75D4" w:rsidP="00130D1C">
      <w:pPr>
        <w:pStyle w:val="ARfinbody"/>
      </w:pPr>
      <w:r w:rsidRPr="0040433B">
        <w:br w:type="page"/>
      </w:r>
    </w:p>
    <w:p w14:paraId="6C167DED" w14:textId="77777777" w:rsidR="00CE75D4" w:rsidRDefault="00CE75D4" w:rsidP="00130D1C">
      <w:pPr>
        <w:pStyle w:val="Heading5"/>
        <w:spacing w:after="160"/>
      </w:pPr>
      <w:r w:rsidRPr="00D246C3">
        <w:rPr>
          <w:lang w:eastAsia="en-AU"/>
        </w:rPr>
        <w:t>7.3.1 Reconciliation of net result for the period to net cash flow from operating activities</w:t>
      </w:r>
    </w:p>
    <w:tbl>
      <w:tblPr>
        <w:tblStyle w:val="TableGrid"/>
        <w:tblW w:w="9637" w:type="dxa"/>
        <w:tblLayout w:type="fixed"/>
        <w:tblLook w:val="06A0" w:firstRow="1" w:lastRow="0" w:firstColumn="1" w:lastColumn="0" w:noHBand="1" w:noVBand="1"/>
      </w:tblPr>
      <w:tblGrid>
        <w:gridCol w:w="7369"/>
        <w:gridCol w:w="1134"/>
        <w:gridCol w:w="1134"/>
      </w:tblGrid>
      <w:tr w:rsidR="00CE75D4" w:rsidRPr="002029AF" w14:paraId="1B60E2FE"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hideMark/>
          </w:tcPr>
          <w:p w14:paraId="35E9E655" w14:textId="77777777" w:rsidR="00CE75D4" w:rsidRPr="002029AF" w:rsidRDefault="00CE75D4" w:rsidP="008340C1">
            <w:pPr>
              <w:pStyle w:val="ARfintablecolhead"/>
            </w:pPr>
          </w:p>
        </w:tc>
        <w:tc>
          <w:tcPr>
            <w:tcW w:w="1134" w:type="dxa"/>
            <w:shd w:val="clear" w:color="auto" w:fill="E7E6E6"/>
            <w:hideMark/>
          </w:tcPr>
          <w:p w14:paraId="693620AB" w14:textId="77777777" w:rsidR="00CE75D4" w:rsidRPr="002029AF" w:rsidRDefault="00CE75D4" w:rsidP="008340C1">
            <w:pPr>
              <w:pStyle w:val="ARfintablecolheadright"/>
            </w:pPr>
            <w:r w:rsidRPr="002029AF">
              <w:t>202</w:t>
            </w:r>
            <w:r>
              <w:t>2</w:t>
            </w:r>
          </w:p>
          <w:p w14:paraId="5C903F7F" w14:textId="77777777" w:rsidR="00CE75D4" w:rsidRPr="002029AF" w:rsidRDefault="00CE75D4" w:rsidP="008340C1">
            <w:pPr>
              <w:pStyle w:val="ARfintablecolheadright"/>
            </w:pPr>
            <w:r w:rsidRPr="002029AF">
              <w:t>$M</w:t>
            </w:r>
          </w:p>
        </w:tc>
        <w:tc>
          <w:tcPr>
            <w:tcW w:w="1134" w:type="dxa"/>
            <w:hideMark/>
          </w:tcPr>
          <w:p w14:paraId="24E0E340" w14:textId="77777777" w:rsidR="00CE75D4" w:rsidRPr="002029AF" w:rsidRDefault="00CE75D4" w:rsidP="008340C1">
            <w:pPr>
              <w:pStyle w:val="ARfintablecolheadright"/>
            </w:pPr>
            <w:r>
              <w:t>2021</w:t>
            </w:r>
          </w:p>
          <w:p w14:paraId="627AC83E" w14:textId="77777777" w:rsidR="00CE75D4" w:rsidRPr="002029AF" w:rsidRDefault="00CE75D4" w:rsidP="008340C1">
            <w:pPr>
              <w:pStyle w:val="ARfintablecolheadright"/>
            </w:pPr>
            <w:r w:rsidRPr="002029AF">
              <w:t>$M</w:t>
            </w:r>
          </w:p>
        </w:tc>
      </w:tr>
      <w:tr w:rsidR="00CE75D4" w:rsidRPr="002029AF" w14:paraId="307582EF" w14:textId="77777777" w:rsidTr="00860E95">
        <w:tc>
          <w:tcPr>
            <w:tcW w:w="7369" w:type="dxa"/>
            <w:tcBorders>
              <w:bottom w:val="single" w:sz="4" w:space="0" w:color="auto"/>
            </w:tcBorders>
            <w:hideMark/>
          </w:tcPr>
          <w:p w14:paraId="6EF0F666" w14:textId="77777777" w:rsidR="00CE75D4" w:rsidRPr="002029AF" w:rsidRDefault="00CE75D4" w:rsidP="008340C1">
            <w:pPr>
              <w:pStyle w:val="ARfintablebodybold"/>
            </w:pPr>
            <w:r w:rsidRPr="00FB6FD1">
              <w:t>Net result for the period</w:t>
            </w:r>
          </w:p>
        </w:tc>
        <w:tc>
          <w:tcPr>
            <w:tcW w:w="1134" w:type="dxa"/>
            <w:tcBorders>
              <w:bottom w:val="single" w:sz="4" w:space="0" w:color="auto"/>
            </w:tcBorders>
            <w:shd w:val="clear" w:color="auto" w:fill="E7E6E6"/>
            <w:noWrap/>
            <w:hideMark/>
          </w:tcPr>
          <w:p w14:paraId="2D2995E0" w14:textId="77777777" w:rsidR="00CE75D4" w:rsidRPr="002029AF" w:rsidRDefault="00CE75D4" w:rsidP="008340C1">
            <w:pPr>
              <w:pStyle w:val="ARfintablebodyright"/>
            </w:pPr>
            <w:r w:rsidRPr="00FB6FD1">
              <w:t>721.8</w:t>
            </w:r>
          </w:p>
        </w:tc>
        <w:tc>
          <w:tcPr>
            <w:tcW w:w="1134" w:type="dxa"/>
            <w:tcBorders>
              <w:bottom w:val="single" w:sz="4" w:space="0" w:color="auto"/>
            </w:tcBorders>
            <w:noWrap/>
            <w:hideMark/>
          </w:tcPr>
          <w:p w14:paraId="2F677EBA" w14:textId="77777777" w:rsidR="00CE75D4" w:rsidRPr="002029AF" w:rsidRDefault="00CE75D4" w:rsidP="008340C1">
            <w:pPr>
              <w:pStyle w:val="ARfintablebodyright"/>
            </w:pPr>
            <w:r w:rsidRPr="00FB6FD1">
              <w:t>513.9</w:t>
            </w:r>
          </w:p>
        </w:tc>
      </w:tr>
      <w:tr w:rsidR="00CE75D4" w:rsidRPr="002029AF" w14:paraId="7C6A8C2C" w14:textId="77777777" w:rsidTr="00860E95">
        <w:tc>
          <w:tcPr>
            <w:tcW w:w="9637" w:type="dxa"/>
            <w:gridSpan w:val="3"/>
            <w:tcBorders>
              <w:top w:val="single" w:sz="4" w:space="0" w:color="auto"/>
              <w:bottom w:val="single" w:sz="4" w:space="0" w:color="A6A6A6"/>
            </w:tcBorders>
            <w:hideMark/>
          </w:tcPr>
          <w:p w14:paraId="272CCABD" w14:textId="77777777" w:rsidR="00CE75D4" w:rsidRPr="002029AF" w:rsidRDefault="00CE75D4" w:rsidP="008340C1">
            <w:pPr>
              <w:pStyle w:val="ARfintablebodybold"/>
            </w:pPr>
            <w:r w:rsidRPr="00FB6FD1">
              <w:t>Non-cash movements</w:t>
            </w:r>
          </w:p>
        </w:tc>
      </w:tr>
      <w:tr w:rsidR="00CE75D4" w:rsidRPr="002029AF" w14:paraId="43747AA6" w14:textId="77777777" w:rsidTr="00860E95">
        <w:tc>
          <w:tcPr>
            <w:tcW w:w="7369" w:type="dxa"/>
            <w:tcBorders>
              <w:top w:val="single" w:sz="4" w:space="0" w:color="A6A6A6"/>
              <w:bottom w:val="single" w:sz="4" w:space="0" w:color="A6A6A6"/>
            </w:tcBorders>
            <w:hideMark/>
          </w:tcPr>
          <w:p w14:paraId="1E907A2F" w14:textId="77777777" w:rsidR="00CE75D4" w:rsidRPr="002029AF" w:rsidRDefault="00CE75D4" w:rsidP="008340C1">
            <w:pPr>
              <w:pStyle w:val="ARfintablebody"/>
            </w:pPr>
            <w:r w:rsidRPr="00FB6FD1">
              <w:t>(Gain)/loss on sale of non-financial assets</w:t>
            </w:r>
          </w:p>
        </w:tc>
        <w:tc>
          <w:tcPr>
            <w:tcW w:w="1134" w:type="dxa"/>
            <w:tcBorders>
              <w:top w:val="single" w:sz="4" w:space="0" w:color="A6A6A6"/>
              <w:bottom w:val="single" w:sz="4" w:space="0" w:color="A6A6A6"/>
            </w:tcBorders>
            <w:shd w:val="clear" w:color="auto" w:fill="E7E6E6"/>
            <w:noWrap/>
            <w:hideMark/>
          </w:tcPr>
          <w:p w14:paraId="27AC1CD7" w14:textId="77777777" w:rsidR="00CE75D4" w:rsidRPr="002029AF" w:rsidRDefault="00CE75D4" w:rsidP="008340C1">
            <w:pPr>
              <w:pStyle w:val="ARfintablebodyright"/>
            </w:pPr>
            <w:r w:rsidRPr="00FB6FD1">
              <w:t>(0.3)</w:t>
            </w:r>
          </w:p>
        </w:tc>
        <w:tc>
          <w:tcPr>
            <w:tcW w:w="1134" w:type="dxa"/>
            <w:tcBorders>
              <w:top w:val="single" w:sz="4" w:space="0" w:color="A6A6A6"/>
              <w:bottom w:val="single" w:sz="4" w:space="0" w:color="A6A6A6"/>
            </w:tcBorders>
            <w:noWrap/>
            <w:hideMark/>
          </w:tcPr>
          <w:p w14:paraId="10DB2DB0" w14:textId="77777777" w:rsidR="00CE75D4" w:rsidRPr="002029AF" w:rsidRDefault="00CE75D4" w:rsidP="008340C1">
            <w:pPr>
              <w:pStyle w:val="ARfintablebodyright"/>
            </w:pPr>
            <w:r w:rsidRPr="00FB6FD1">
              <w:t>3.0</w:t>
            </w:r>
          </w:p>
        </w:tc>
      </w:tr>
      <w:tr w:rsidR="00CE75D4" w:rsidRPr="002029AF" w14:paraId="279F4F59" w14:textId="77777777" w:rsidTr="00860E95">
        <w:tc>
          <w:tcPr>
            <w:tcW w:w="7369" w:type="dxa"/>
            <w:tcBorders>
              <w:top w:val="single" w:sz="4" w:space="0" w:color="A6A6A6"/>
              <w:bottom w:val="single" w:sz="4" w:space="0" w:color="A6A6A6"/>
            </w:tcBorders>
            <w:hideMark/>
          </w:tcPr>
          <w:p w14:paraId="6692179B" w14:textId="77777777" w:rsidR="00CE75D4" w:rsidRPr="002029AF" w:rsidRDefault="00CE75D4" w:rsidP="008340C1">
            <w:pPr>
              <w:pStyle w:val="ARfintablebody"/>
            </w:pPr>
            <w:r w:rsidRPr="00FB6FD1">
              <w:t>Depreciation and amortisation</w:t>
            </w:r>
          </w:p>
        </w:tc>
        <w:tc>
          <w:tcPr>
            <w:tcW w:w="1134" w:type="dxa"/>
            <w:tcBorders>
              <w:top w:val="single" w:sz="4" w:space="0" w:color="A6A6A6"/>
              <w:bottom w:val="single" w:sz="4" w:space="0" w:color="A6A6A6"/>
            </w:tcBorders>
            <w:shd w:val="clear" w:color="auto" w:fill="E7E6E6"/>
            <w:noWrap/>
            <w:hideMark/>
          </w:tcPr>
          <w:p w14:paraId="0DA08554" w14:textId="77777777" w:rsidR="00CE75D4" w:rsidRPr="002029AF" w:rsidRDefault="00CE75D4" w:rsidP="008340C1">
            <w:pPr>
              <w:pStyle w:val="ARfintablebodyright"/>
            </w:pPr>
            <w:r w:rsidRPr="00FB6FD1">
              <w:t>38.5</w:t>
            </w:r>
          </w:p>
        </w:tc>
        <w:tc>
          <w:tcPr>
            <w:tcW w:w="1134" w:type="dxa"/>
            <w:tcBorders>
              <w:top w:val="single" w:sz="4" w:space="0" w:color="A6A6A6"/>
              <w:bottom w:val="single" w:sz="4" w:space="0" w:color="A6A6A6"/>
            </w:tcBorders>
            <w:noWrap/>
            <w:hideMark/>
          </w:tcPr>
          <w:p w14:paraId="6227B032" w14:textId="77777777" w:rsidR="00CE75D4" w:rsidRPr="002029AF" w:rsidRDefault="00CE75D4" w:rsidP="008340C1">
            <w:pPr>
              <w:pStyle w:val="ARfintablebodyright"/>
            </w:pPr>
            <w:r w:rsidRPr="00FB6FD1">
              <w:t>345.1</w:t>
            </w:r>
          </w:p>
        </w:tc>
      </w:tr>
      <w:tr w:rsidR="00CE75D4" w:rsidRPr="002029AF" w14:paraId="3188F0AD" w14:textId="77777777" w:rsidTr="00860E95">
        <w:tc>
          <w:tcPr>
            <w:tcW w:w="7369" w:type="dxa"/>
            <w:tcBorders>
              <w:top w:val="single" w:sz="4" w:space="0" w:color="A6A6A6"/>
              <w:bottom w:val="single" w:sz="4" w:space="0" w:color="A6A6A6"/>
            </w:tcBorders>
            <w:hideMark/>
          </w:tcPr>
          <w:p w14:paraId="25B3D35D" w14:textId="77777777" w:rsidR="00CE75D4" w:rsidRPr="002029AF" w:rsidRDefault="00CE75D4" w:rsidP="008340C1">
            <w:pPr>
              <w:pStyle w:val="ARfintablebody"/>
            </w:pPr>
            <w:r w:rsidRPr="00FB6FD1">
              <w:t>Change in net market values of VMIA liability</w:t>
            </w:r>
          </w:p>
        </w:tc>
        <w:tc>
          <w:tcPr>
            <w:tcW w:w="1134" w:type="dxa"/>
            <w:tcBorders>
              <w:top w:val="single" w:sz="4" w:space="0" w:color="A6A6A6"/>
              <w:bottom w:val="single" w:sz="4" w:space="0" w:color="A6A6A6"/>
            </w:tcBorders>
            <w:shd w:val="clear" w:color="auto" w:fill="E7E6E6"/>
            <w:noWrap/>
            <w:hideMark/>
          </w:tcPr>
          <w:p w14:paraId="7EC05BF1" w14:textId="77777777" w:rsidR="00CE75D4" w:rsidRPr="002029AF" w:rsidRDefault="00CE75D4" w:rsidP="008340C1">
            <w:pPr>
              <w:pStyle w:val="ARfintablebodyright"/>
            </w:pPr>
            <w:r w:rsidRPr="00FB6FD1">
              <w:t>(0.7)</w:t>
            </w:r>
          </w:p>
        </w:tc>
        <w:tc>
          <w:tcPr>
            <w:tcW w:w="1134" w:type="dxa"/>
            <w:tcBorders>
              <w:top w:val="single" w:sz="4" w:space="0" w:color="A6A6A6"/>
              <w:bottom w:val="single" w:sz="4" w:space="0" w:color="A6A6A6"/>
            </w:tcBorders>
            <w:noWrap/>
            <w:hideMark/>
          </w:tcPr>
          <w:p w14:paraId="34941F7E" w14:textId="77777777" w:rsidR="00CE75D4" w:rsidRPr="002029AF" w:rsidRDefault="00CE75D4" w:rsidP="008340C1">
            <w:pPr>
              <w:pStyle w:val="ARfintablebodyright"/>
            </w:pPr>
            <w:r w:rsidRPr="00FB6FD1">
              <w:t>47.4</w:t>
            </w:r>
          </w:p>
        </w:tc>
      </w:tr>
      <w:tr w:rsidR="00CE75D4" w:rsidRPr="002029AF" w14:paraId="38E3BD1D" w14:textId="77777777" w:rsidTr="00860E95">
        <w:tc>
          <w:tcPr>
            <w:tcW w:w="7369" w:type="dxa"/>
            <w:tcBorders>
              <w:top w:val="single" w:sz="4" w:space="0" w:color="A6A6A6"/>
              <w:bottom w:val="single" w:sz="4" w:space="0" w:color="A6A6A6"/>
            </w:tcBorders>
            <w:hideMark/>
          </w:tcPr>
          <w:p w14:paraId="6D85F6C2" w14:textId="77777777" w:rsidR="00CE75D4" w:rsidRPr="002029AF" w:rsidRDefault="00CE75D4" w:rsidP="008340C1">
            <w:pPr>
              <w:pStyle w:val="ARfintablebody"/>
            </w:pPr>
            <w:r w:rsidRPr="00FB6FD1">
              <w:t>Other income from investing activities</w:t>
            </w:r>
          </w:p>
        </w:tc>
        <w:tc>
          <w:tcPr>
            <w:tcW w:w="1134" w:type="dxa"/>
            <w:tcBorders>
              <w:top w:val="single" w:sz="4" w:space="0" w:color="A6A6A6"/>
              <w:bottom w:val="single" w:sz="4" w:space="0" w:color="A6A6A6"/>
            </w:tcBorders>
            <w:shd w:val="clear" w:color="auto" w:fill="E7E6E6"/>
            <w:noWrap/>
            <w:hideMark/>
          </w:tcPr>
          <w:p w14:paraId="47586F7B" w14:textId="77777777" w:rsidR="00CE75D4" w:rsidRPr="002029AF" w:rsidRDefault="00CE75D4" w:rsidP="008340C1">
            <w:pPr>
              <w:pStyle w:val="ARfintablebodyright"/>
            </w:pPr>
            <w:r w:rsidRPr="00FB6FD1">
              <w:t>1.5</w:t>
            </w:r>
          </w:p>
        </w:tc>
        <w:tc>
          <w:tcPr>
            <w:tcW w:w="1134" w:type="dxa"/>
            <w:tcBorders>
              <w:top w:val="single" w:sz="4" w:space="0" w:color="A6A6A6"/>
              <w:bottom w:val="single" w:sz="4" w:space="0" w:color="A6A6A6"/>
            </w:tcBorders>
            <w:noWrap/>
            <w:hideMark/>
          </w:tcPr>
          <w:p w14:paraId="26B99707" w14:textId="77777777" w:rsidR="00CE75D4" w:rsidRPr="002029AF" w:rsidRDefault="00CE75D4" w:rsidP="008340C1">
            <w:pPr>
              <w:pStyle w:val="ARfintablebodyright"/>
            </w:pPr>
            <w:r>
              <w:t>–</w:t>
            </w:r>
          </w:p>
        </w:tc>
      </w:tr>
      <w:tr w:rsidR="00CE75D4" w:rsidRPr="002029AF" w14:paraId="4883A9AC" w14:textId="77777777" w:rsidTr="00860E95">
        <w:tc>
          <w:tcPr>
            <w:tcW w:w="7369" w:type="dxa"/>
            <w:tcBorders>
              <w:top w:val="single" w:sz="4" w:space="0" w:color="A6A6A6"/>
              <w:bottom w:val="single" w:sz="4" w:space="0" w:color="A6A6A6"/>
            </w:tcBorders>
            <w:hideMark/>
          </w:tcPr>
          <w:p w14:paraId="13DAC5A6" w14:textId="77777777" w:rsidR="00CE75D4" w:rsidRPr="002029AF" w:rsidRDefault="00CE75D4" w:rsidP="008340C1">
            <w:pPr>
              <w:pStyle w:val="ARfintablebody"/>
            </w:pPr>
            <w:r w:rsidRPr="00FB6FD1">
              <w:t>Net gain/(loss) on financial instruments</w:t>
            </w:r>
          </w:p>
        </w:tc>
        <w:tc>
          <w:tcPr>
            <w:tcW w:w="1134" w:type="dxa"/>
            <w:tcBorders>
              <w:top w:val="single" w:sz="4" w:space="0" w:color="A6A6A6"/>
              <w:bottom w:val="single" w:sz="4" w:space="0" w:color="A6A6A6"/>
            </w:tcBorders>
            <w:shd w:val="clear" w:color="auto" w:fill="E7E6E6"/>
            <w:noWrap/>
            <w:hideMark/>
          </w:tcPr>
          <w:p w14:paraId="4ADD290D" w14:textId="77777777" w:rsidR="00CE75D4" w:rsidRPr="002029AF" w:rsidRDefault="00CE75D4" w:rsidP="008340C1">
            <w:pPr>
              <w:pStyle w:val="ARfintablebodyright"/>
            </w:pPr>
            <w:r w:rsidRPr="00FB6FD1">
              <w:t>0.2</w:t>
            </w:r>
          </w:p>
        </w:tc>
        <w:tc>
          <w:tcPr>
            <w:tcW w:w="1134" w:type="dxa"/>
            <w:tcBorders>
              <w:top w:val="single" w:sz="4" w:space="0" w:color="A6A6A6"/>
              <w:bottom w:val="single" w:sz="4" w:space="0" w:color="A6A6A6"/>
            </w:tcBorders>
            <w:noWrap/>
            <w:hideMark/>
          </w:tcPr>
          <w:p w14:paraId="217CB6F5" w14:textId="77777777" w:rsidR="00CE75D4" w:rsidRPr="002029AF" w:rsidRDefault="00CE75D4" w:rsidP="008340C1">
            <w:pPr>
              <w:pStyle w:val="ARfintablebodyright"/>
            </w:pPr>
            <w:r w:rsidRPr="00FB6FD1">
              <w:t>(1.6)</w:t>
            </w:r>
          </w:p>
        </w:tc>
      </w:tr>
      <w:tr w:rsidR="00CE75D4" w:rsidRPr="002029AF" w14:paraId="0CD4E8A9" w14:textId="77777777" w:rsidTr="00860E95">
        <w:tc>
          <w:tcPr>
            <w:tcW w:w="7369" w:type="dxa"/>
            <w:tcBorders>
              <w:top w:val="single" w:sz="4" w:space="0" w:color="A6A6A6"/>
              <w:bottom w:val="single" w:sz="4" w:space="0" w:color="A6A6A6"/>
            </w:tcBorders>
            <w:hideMark/>
          </w:tcPr>
          <w:p w14:paraId="7E110F10" w14:textId="77777777" w:rsidR="00CE75D4" w:rsidRPr="002029AF" w:rsidRDefault="00CE75D4" w:rsidP="008340C1">
            <w:pPr>
              <w:pStyle w:val="ARfintablebody"/>
            </w:pPr>
            <w:r w:rsidRPr="00FB6FD1">
              <w:t>Other gains or losses from other economic flows</w:t>
            </w:r>
          </w:p>
        </w:tc>
        <w:tc>
          <w:tcPr>
            <w:tcW w:w="1134" w:type="dxa"/>
            <w:tcBorders>
              <w:top w:val="single" w:sz="4" w:space="0" w:color="A6A6A6"/>
              <w:bottom w:val="single" w:sz="4" w:space="0" w:color="A6A6A6"/>
            </w:tcBorders>
            <w:shd w:val="clear" w:color="auto" w:fill="E7E6E6"/>
            <w:noWrap/>
            <w:hideMark/>
          </w:tcPr>
          <w:p w14:paraId="6F7BC202" w14:textId="77777777" w:rsidR="00CE75D4" w:rsidRPr="002029AF" w:rsidRDefault="00CE75D4" w:rsidP="008340C1">
            <w:pPr>
              <w:pStyle w:val="ARfintablebodyright"/>
            </w:pPr>
            <w:r w:rsidRPr="00FB6FD1">
              <w:t>(2.9)</w:t>
            </w:r>
          </w:p>
        </w:tc>
        <w:tc>
          <w:tcPr>
            <w:tcW w:w="1134" w:type="dxa"/>
            <w:tcBorders>
              <w:top w:val="single" w:sz="4" w:space="0" w:color="A6A6A6"/>
              <w:bottom w:val="single" w:sz="4" w:space="0" w:color="A6A6A6"/>
            </w:tcBorders>
            <w:noWrap/>
            <w:hideMark/>
          </w:tcPr>
          <w:p w14:paraId="79CEC7D3" w14:textId="77777777" w:rsidR="00CE75D4" w:rsidRPr="002029AF" w:rsidRDefault="00CE75D4" w:rsidP="008340C1">
            <w:pPr>
              <w:pStyle w:val="ARfintablebodyright"/>
            </w:pPr>
            <w:r w:rsidRPr="00FB6FD1">
              <w:t>12.4</w:t>
            </w:r>
          </w:p>
        </w:tc>
      </w:tr>
      <w:tr w:rsidR="00CE75D4" w:rsidRPr="002029AF" w14:paraId="0E5D31DE" w14:textId="77777777" w:rsidTr="00860E95">
        <w:tc>
          <w:tcPr>
            <w:tcW w:w="7369" w:type="dxa"/>
            <w:tcBorders>
              <w:top w:val="single" w:sz="4" w:space="0" w:color="A6A6A6"/>
              <w:bottom w:val="single" w:sz="4" w:space="0" w:color="auto"/>
            </w:tcBorders>
            <w:hideMark/>
          </w:tcPr>
          <w:p w14:paraId="5EEE4A5F" w14:textId="77777777" w:rsidR="00CE75D4" w:rsidRPr="002029AF" w:rsidRDefault="00CE75D4" w:rsidP="008340C1">
            <w:pPr>
              <w:pStyle w:val="ARfintablebody"/>
            </w:pPr>
            <w:r w:rsidRPr="00FB6FD1">
              <w:t>Resources (received)/provided free of charge</w:t>
            </w:r>
          </w:p>
        </w:tc>
        <w:tc>
          <w:tcPr>
            <w:tcW w:w="1134" w:type="dxa"/>
            <w:tcBorders>
              <w:top w:val="single" w:sz="4" w:space="0" w:color="A6A6A6"/>
              <w:bottom w:val="single" w:sz="4" w:space="0" w:color="auto"/>
            </w:tcBorders>
            <w:shd w:val="clear" w:color="auto" w:fill="E7E6E6"/>
            <w:noWrap/>
            <w:hideMark/>
          </w:tcPr>
          <w:p w14:paraId="76A81A71" w14:textId="77777777" w:rsidR="00CE75D4" w:rsidRPr="002029AF" w:rsidRDefault="00CE75D4" w:rsidP="008340C1">
            <w:pPr>
              <w:pStyle w:val="ARfintablebodyright"/>
            </w:pPr>
            <w:r w:rsidRPr="00FB6FD1">
              <w:t>653.7</w:t>
            </w:r>
          </w:p>
        </w:tc>
        <w:tc>
          <w:tcPr>
            <w:tcW w:w="1134" w:type="dxa"/>
            <w:tcBorders>
              <w:top w:val="single" w:sz="4" w:space="0" w:color="A6A6A6"/>
              <w:bottom w:val="single" w:sz="4" w:space="0" w:color="auto"/>
            </w:tcBorders>
            <w:noWrap/>
            <w:hideMark/>
          </w:tcPr>
          <w:p w14:paraId="2A0B4B87" w14:textId="77777777" w:rsidR="00CE75D4" w:rsidRPr="002029AF" w:rsidRDefault="00CE75D4" w:rsidP="008340C1">
            <w:pPr>
              <w:pStyle w:val="ARfintablebodyright"/>
            </w:pPr>
            <w:r w:rsidRPr="00FB6FD1">
              <w:t>296.6</w:t>
            </w:r>
          </w:p>
        </w:tc>
      </w:tr>
      <w:tr w:rsidR="00CE75D4" w:rsidRPr="002029AF" w14:paraId="72C778F5" w14:textId="77777777" w:rsidTr="00860E95">
        <w:tc>
          <w:tcPr>
            <w:tcW w:w="9637" w:type="dxa"/>
            <w:gridSpan w:val="3"/>
            <w:tcBorders>
              <w:top w:val="single" w:sz="4" w:space="0" w:color="auto"/>
              <w:bottom w:val="single" w:sz="4" w:space="0" w:color="A6A6A6"/>
            </w:tcBorders>
            <w:hideMark/>
          </w:tcPr>
          <w:p w14:paraId="284ED17D" w14:textId="77777777" w:rsidR="00CE75D4" w:rsidRPr="002029AF" w:rsidRDefault="00CE75D4" w:rsidP="008340C1">
            <w:pPr>
              <w:pStyle w:val="ARfintablebodybold"/>
            </w:pPr>
            <w:r w:rsidRPr="00FB6FD1">
              <w:t>Movements in assets and liabilities</w:t>
            </w:r>
          </w:p>
        </w:tc>
      </w:tr>
      <w:tr w:rsidR="00CE75D4" w:rsidRPr="002029AF" w14:paraId="4CB51331" w14:textId="77777777" w:rsidTr="00860E95">
        <w:tc>
          <w:tcPr>
            <w:tcW w:w="7369" w:type="dxa"/>
            <w:tcBorders>
              <w:top w:val="single" w:sz="4" w:space="0" w:color="A6A6A6"/>
              <w:bottom w:val="single" w:sz="4" w:space="0" w:color="A6A6A6"/>
            </w:tcBorders>
            <w:hideMark/>
          </w:tcPr>
          <w:p w14:paraId="697832F5" w14:textId="77777777" w:rsidR="00CE75D4" w:rsidRPr="002029AF" w:rsidRDefault="00CE75D4" w:rsidP="008340C1">
            <w:pPr>
              <w:pStyle w:val="ARfintablebody"/>
            </w:pPr>
            <w:r w:rsidRPr="00FB6FD1">
              <w:t>(Increase)/decrease in receivables</w:t>
            </w:r>
          </w:p>
        </w:tc>
        <w:tc>
          <w:tcPr>
            <w:tcW w:w="1134" w:type="dxa"/>
            <w:tcBorders>
              <w:top w:val="single" w:sz="4" w:space="0" w:color="A6A6A6"/>
              <w:bottom w:val="single" w:sz="4" w:space="0" w:color="A6A6A6"/>
            </w:tcBorders>
            <w:shd w:val="clear" w:color="auto" w:fill="E7E6E6"/>
            <w:noWrap/>
            <w:hideMark/>
          </w:tcPr>
          <w:p w14:paraId="4347C6AF" w14:textId="77777777" w:rsidR="00CE75D4" w:rsidRPr="002029AF" w:rsidRDefault="00CE75D4" w:rsidP="008340C1">
            <w:pPr>
              <w:pStyle w:val="ARfintablebodyright"/>
            </w:pPr>
            <w:r w:rsidRPr="00FB6FD1">
              <w:t>(475.1)</w:t>
            </w:r>
          </w:p>
        </w:tc>
        <w:tc>
          <w:tcPr>
            <w:tcW w:w="1134" w:type="dxa"/>
            <w:tcBorders>
              <w:top w:val="single" w:sz="4" w:space="0" w:color="A6A6A6"/>
              <w:bottom w:val="single" w:sz="4" w:space="0" w:color="A6A6A6"/>
            </w:tcBorders>
            <w:noWrap/>
            <w:hideMark/>
          </w:tcPr>
          <w:p w14:paraId="339DEDB5" w14:textId="77777777" w:rsidR="00CE75D4" w:rsidRPr="002029AF" w:rsidRDefault="00CE75D4" w:rsidP="008340C1">
            <w:pPr>
              <w:pStyle w:val="ARfintablebodyright"/>
            </w:pPr>
            <w:r w:rsidRPr="00FB6FD1">
              <w:t>(440.0)</w:t>
            </w:r>
          </w:p>
        </w:tc>
      </w:tr>
      <w:tr w:rsidR="00CE75D4" w:rsidRPr="002029AF" w14:paraId="2EAA5FBF" w14:textId="77777777" w:rsidTr="00860E95">
        <w:tc>
          <w:tcPr>
            <w:tcW w:w="7369" w:type="dxa"/>
            <w:tcBorders>
              <w:top w:val="single" w:sz="4" w:space="0" w:color="A6A6A6"/>
              <w:bottom w:val="single" w:sz="4" w:space="0" w:color="A6A6A6"/>
            </w:tcBorders>
            <w:hideMark/>
          </w:tcPr>
          <w:p w14:paraId="59AE21DB" w14:textId="77777777" w:rsidR="00CE75D4" w:rsidRPr="002029AF" w:rsidRDefault="00CE75D4" w:rsidP="008340C1">
            <w:pPr>
              <w:pStyle w:val="ARfintablebody"/>
            </w:pPr>
            <w:r w:rsidRPr="00FB6FD1">
              <w:t>(Increase)/decrease in prepayments</w:t>
            </w:r>
          </w:p>
        </w:tc>
        <w:tc>
          <w:tcPr>
            <w:tcW w:w="1134" w:type="dxa"/>
            <w:tcBorders>
              <w:top w:val="single" w:sz="4" w:space="0" w:color="A6A6A6"/>
              <w:bottom w:val="single" w:sz="4" w:space="0" w:color="A6A6A6"/>
            </w:tcBorders>
            <w:shd w:val="clear" w:color="auto" w:fill="E7E6E6"/>
            <w:noWrap/>
            <w:hideMark/>
          </w:tcPr>
          <w:p w14:paraId="0855AD59" w14:textId="77777777" w:rsidR="00CE75D4" w:rsidRPr="002029AF" w:rsidRDefault="00CE75D4" w:rsidP="008340C1">
            <w:pPr>
              <w:pStyle w:val="ARfintablebodyright"/>
            </w:pPr>
            <w:r w:rsidRPr="00FB6FD1">
              <w:t>(12.1)</w:t>
            </w:r>
          </w:p>
        </w:tc>
        <w:tc>
          <w:tcPr>
            <w:tcW w:w="1134" w:type="dxa"/>
            <w:tcBorders>
              <w:top w:val="single" w:sz="4" w:space="0" w:color="A6A6A6"/>
              <w:bottom w:val="single" w:sz="4" w:space="0" w:color="A6A6A6"/>
            </w:tcBorders>
            <w:noWrap/>
            <w:hideMark/>
          </w:tcPr>
          <w:p w14:paraId="59E7DA31" w14:textId="77777777" w:rsidR="00CE75D4" w:rsidRPr="002029AF" w:rsidRDefault="00CE75D4" w:rsidP="008340C1">
            <w:pPr>
              <w:pStyle w:val="ARfintablebodyright"/>
            </w:pPr>
            <w:r w:rsidRPr="00FB6FD1">
              <w:t>122.8</w:t>
            </w:r>
          </w:p>
        </w:tc>
      </w:tr>
      <w:tr w:rsidR="00CE75D4" w:rsidRPr="002029AF" w14:paraId="155AE467" w14:textId="77777777" w:rsidTr="00860E95">
        <w:tc>
          <w:tcPr>
            <w:tcW w:w="7369" w:type="dxa"/>
            <w:tcBorders>
              <w:top w:val="single" w:sz="4" w:space="0" w:color="A6A6A6"/>
              <w:bottom w:val="single" w:sz="4" w:space="0" w:color="A6A6A6"/>
            </w:tcBorders>
            <w:hideMark/>
          </w:tcPr>
          <w:p w14:paraId="5927E2F9" w14:textId="77777777" w:rsidR="00CE75D4" w:rsidRPr="002029AF" w:rsidRDefault="00CE75D4" w:rsidP="008340C1">
            <w:pPr>
              <w:pStyle w:val="ARfintablebody"/>
            </w:pPr>
            <w:r w:rsidRPr="00FB6FD1">
              <w:t>Increase/(decrease) in payables</w:t>
            </w:r>
          </w:p>
        </w:tc>
        <w:tc>
          <w:tcPr>
            <w:tcW w:w="1134" w:type="dxa"/>
            <w:tcBorders>
              <w:top w:val="single" w:sz="4" w:space="0" w:color="A6A6A6"/>
              <w:bottom w:val="single" w:sz="4" w:space="0" w:color="A6A6A6"/>
            </w:tcBorders>
            <w:shd w:val="clear" w:color="auto" w:fill="E7E6E6"/>
            <w:noWrap/>
            <w:hideMark/>
          </w:tcPr>
          <w:p w14:paraId="6A3B5A53" w14:textId="77777777" w:rsidR="00CE75D4" w:rsidRPr="002029AF" w:rsidRDefault="00CE75D4" w:rsidP="008340C1">
            <w:pPr>
              <w:pStyle w:val="ARfintablebodyright"/>
            </w:pPr>
            <w:r w:rsidRPr="00FB6FD1">
              <w:t>126.1</w:t>
            </w:r>
          </w:p>
        </w:tc>
        <w:tc>
          <w:tcPr>
            <w:tcW w:w="1134" w:type="dxa"/>
            <w:tcBorders>
              <w:top w:val="single" w:sz="4" w:space="0" w:color="A6A6A6"/>
              <w:bottom w:val="single" w:sz="4" w:space="0" w:color="A6A6A6"/>
            </w:tcBorders>
            <w:noWrap/>
            <w:hideMark/>
          </w:tcPr>
          <w:p w14:paraId="02050343" w14:textId="77777777" w:rsidR="00CE75D4" w:rsidRPr="002029AF" w:rsidRDefault="00CE75D4" w:rsidP="008340C1">
            <w:pPr>
              <w:pStyle w:val="ARfintablebodyright"/>
            </w:pPr>
            <w:r w:rsidRPr="00FB6FD1">
              <w:t>325.3</w:t>
            </w:r>
          </w:p>
        </w:tc>
      </w:tr>
      <w:tr w:rsidR="00CE75D4" w:rsidRPr="002029AF" w14:paraId="56DC1D83" w14:textId="77777777" w:rsidTr="00860E95">
        <w:tc>
          <w:tcPr>
            <w:tcW w:w="7369" w:type="dxa"/>
            <w:tcBorders>
              <w:top w:val="single" w:sz="4" w:space="0" w:color="A6A6A6"/>
              <w:bottom w:val="single" w:sz="4" w:space="0" w:color="A6A6A6"/>
            </w:tcBorders>
            <w:hideMark/>
          </w:tcPr>
          <w:p w14:paraId="5AF90CB3" w14:textId="77777777" w:rsidR="00CE75D4" w:rsidRPr="002029AF" w:rsidRDefault="00CE75D4" w:rsidP="008340C1">
            <w:pPr>
              <w:pStyle w:val="ARfintablebody"/>
            </w:pPr>
            <w:r w:rsidRPr="00FB6FD1">
              <w:t>Increase/(decrease) in provisions</w:t>
            </w:r>
          </w:p>
        </w:tc>
        <w:tc>
          <w:tcPr>
            <w:tcW w:w="1134" w:type="dxa"/>
            <w:tcBorders>
              <w:top w:val="single" w:sz="4" w:space="0" w:color="A6A6A6"/>
              <w:bottom w:val="single" w:sz="4" w:space="0" w:color="A6A6A6"/>
            </w:tcBorders>
            <w:shd w:val="clear" w:color="auto" w:fill="E7E6E6"/>
            <w:noWrap/>
            <w:hideMark/>
          </w:tcPr>
          <w:p w14:paraId="1F69123C" w14:textId="77777777" w:rsidR="00CE75D4" w:rsidRPr="002029AF" w:rsidRDefault="00CE75D4" w:rsidP="008340C1">
            <w:pPr>
              <w:pStyle w:val="ARfintablebodyright"/>
            </w:pPr>
            <w:r w:rsidRPr="00FB6FD1">
              <w:t>44.8</w:t>
            </w:r>
          </w:p>
        </w:tc>
        <w:tc>
          <w:tcPr>
            <w:tcW w:w="1134" w:type="dxa"/>
            <w:tcBorders>
              <w:top w:val="single" w:sz="4" w:space="0" w:color="A6A6A6"/>
              <w:bottom w:val="single" w:sz="4" w:space="0" w:color="A6A6A6"/>
            </w:tcBorders>
            <w:noWrap/>
            <w:hideMark/>
          </w:tcPr>
          <w:p w14:paraId="1CED4E28" w14:textId="77777777" w:rsidR="00CE75D4" w:rsidRPr="002029AF" w:rsidRDefault="00CE75D4" w:rsidP="008340C1">
            <w:pPr>
              <w:pStyle w:val="ARfintablebodyright"/>
            </w:pPr>
            <w:r w:rsidRPr="00FB6FD1">
              <w:t>(8.8)</w:t>
            </w:r>
          </w:p>
        </w:tc>
      </w:tr>
      <w:tr w:rsidR="00CE75D4" w:rsidRPr="002029AF" w14:paraId="30C1193C" w14:textId="77777777" w:rsidTr="00860E95">
        <w:tc>
          <w:tcPr>
            <w:tcW w:w="7369" w:type="dxa"/>
            <w:tcBorders>
              <w:top w:val="single" w:sz="4" w:space="0" w:color="A6A6A6"/>
            </w:tcBorders>
            <w:hideMark/>
          </w:tcPr>
          <w:p w14:paraId="55650148" w14:textId="77777777" w:rsidR="00CE75D4" w:rsidRPr="002029AF" w:rsidRDefault="00CE75D4" w:rsidP="008340C1">
            <w:pPr>
              <w:pStyle w:val="ARfintablebody"/>
            </w:pPr>
            <w:r w:rsidRPr="00FB6FD1">
              <w:t>(Increase)/decrease in inventories</w:t>
            </w:r>
          </w:p>
        </w:tc>
        <w:tc>
          <w:tcPr>
            <w:tcW w:w="1134" w:type="dxa"/>
            <w:tcBorders>
              <w:top w:val="single" w:sz="4" w:space="0" w:color="A6A6A6"/>
            </w:tcBorders>
            <w:shd w:val="clear" w:color="auto" w:fill="E7E6E6"/>
            <w:noWrap/>
            <w:hideMark/>
          </w:tcPr>
          <w:p w14:paraId="1EEF0711" w14:textId="77777777" w:rsidR="00CE75D4" w:rsidRPr="002029AF" w:rsidRDefault="00CE75D4" w:rsidP="008340C1">
            <w:pPr>
              <w:pStyle w:val="ARfintablebodyright"/>
            </w:pPr>
            <w:r w:rsidRPr="00FB6FD1">
              <w:t>(1,035.5)</w:t>
            </w:r>
          </w:p>
        </w:tc>
        <w:tc>
          <w:tcPr>
            <w:tcW w:w="1134" w:type="dxa"/>
            <w:tcBorders>
              <w:top w:val="single" w:sz="4" w:space="0" w:color="A6A6A6"/>
            </w:tcBorders>
            <w:noWrap/>
            <w:hideMark/>
          </w:tcPr>
          <w:p w14:paraId="52EEDDD5" w14:textId="77777777" w:rsidR="00CE75D4" w:rsidRPr="002029AF" w:rsidRDefault="00CE75D4" w:rsidP="008340C1">
            <w:pPr>
              <w:pStyle w:val="ARfintablebodyright"/>
            </w:pPr>
            <w:r w:rsidRPr="00FB6FD1">
              <w:t>(226.6)</w:t>
            </w:r>
          </w:p>
        </w:tc>
      </w:tr>
      <w:tr w:rsidR="00CE75D4" w:rsidRPr="002029AF" w14:paraId="0C051DAA" w14:textId="77777777" w:rsidTr="00860E95">
        <w:tc>
          <w:tcPr>
            <w:tcW w:w="7369" w:type="dxa"/>
            <w:hideMark/>
          </w:tcPr>
          <w:p w14:paraId="7AF1D900" w14:textId="77777777" w:rsidR="00CE75D4" w:rsidRPr="002029AF" w:rsidRDefault="00CE75D4" w:rsidP="008340C1">
            <w:pPr>
              <w:pStyle w:val="ARfintablebodybold"/>
            </w:pPr>
            <w:r w:rsidRPr="00FB6FD1">
              <w:t>Net cash flows from/(used in) operating activities</w:t>
            </w:r>
          </w:p>
        </w:tc>
        <w:tc>
          <w:tcPr>
            <w:tcW w:w="1134" w:type="dxa"/>
            <w:shd w:val="clear" w:color="auto" w:fill="E7E6E6"/>
            <w:noWrap/>
            <w:hideMark/>
          </w:tcPr>
          <w:p w14:paraId="2B1EDCC6" w14:textId="77777777" w:rsidR="00CE75D4" w:rsidRPr="002029AF" w:rsidRDefault="00CE75D4" w:rsidP="008340C1">
            <w:pPr>
              <w:pStyle w:val="ARfintablebodyrightbold"/>
            </w:pPr>
            <w:r w:rsidRPr="00FB6FD1">
              <w:t>60.1</w:t>
            </w:r>
          </w:p>
        </w:tc>
        <w:tc>
          <w:tcPr>
            <w:tcW w:w="1134" w:type="dxa"/>
            <w:noWrap/>
            <w:hideMark/>
          </w:tcPr>
          <w:p w14:paraId="5A085080" w14:textId="77777777" w:rsidR="00CE75D4" w:rsidRPr="002029AF" w:rsidRDefault="00CE75D4" w:rsidP="008340C1">
            <w:pPr>
              <w:pStyle w:val="ARfintablebodyrightbold"/>
            </w:pPr>
            <w:r w:rsidRPr="00FB6FD1">
              <w:t>989.6</w:t>
            </w:r>
          </w:p>
        </w:tc>
      </w:tr>
    </w:tbl>
    <w:p w14:paraId="3B4FAA19" w14:textId="77777777" w:rsidR="00CE75D4" w:rsidRDefault="00CE75D4" w:rsidP="008340C1">
      <w:pPr>
        <w:pStyle w:val="ARfinbody"/>
      </w:pPr>
    </w:p>
    <w:p w14:paraId="7A3D426B" w14:textId="77777777" w:rsidR="00CE75D4" w:rsidRPr="002029AF" w:rsidRDefault="00CE75D4" w:rsidP="008340C1">
      <w:pPr>
        <w:pStyle w:val="ARfinbody"/>
        <w:sectPr w:rsidR="00CE75D4" w:rsidRPr="002029AF" w:rsidSect="00130D1C">
          <w:footnotePr>
            <w:numFmt w:val="lowerLetter"/>
            <w:numRestart w:val="eachPage"/>
          </w:footnotePr>
          <w:pgSz w:w="11906" w:h="16838" w:code="9"/>
          <w:pgMar w:top="1531" w:right="1134" w:bottom="851" w:left="1134" w:header="510" w:footer="340" w:gutter="0"/>
          <w:cols w:space="708"/>
          <w:docGrid w:linePitch="360"/>
        </w:sectPr>
      </w:pPr>
    </w:p>
    <w:p w14:paraId="1B29EBB3" w14:textId="77777777" w:rsidR="00CE75D4" w:rsidRPr="002029AF" w:rsidRDefault="00CE75D4" w:rsidP="00087B91">
      <w:pPr>
        <w:pStyle w:val="Heading4"/>
        <w:spacing w:before="0"/>
      </w:pPr>
      <w:bookmarkStart w:id="611" w:name="_Toc39242159"/>
      <w:bookmarkStart w:id="612" w:name="_Toc85121481"/>
      <w:r w:rsidRPr="002029AF">
        <w:t>7.4 Trust account</w:t>
      </w:r>
      <w:bookmarkEnd w:id="611"/>
      <w:bookmarkEnd w:id="612"/>
    </w:p>
    <w:p w14:paraId="3243EA00" w14:textId="77777777" w:rsidR="00CE75D4" w:rsidRPr="002029AF" w:rsidRDefault="00CE75D4" w:rsidP="008340C1">
      <w:pPr>
        <w:pStyle w:val="Heading5"/>
        <w:spacing w:before="160"/>
      </w:pPr>
      <w:bookmarkStart w:id="613" w:name="_Toc85121482"/>
      <w:r w:rsidRPr="002029AF">
        <w:t>7.4.1 Trust account balance</w:t>
      </w:r>
      <w:bookmarkEnd w:id="613"/>
      <w:r>
        <w:t>s</w:t>
      </w:r>
    </w:p>
    <w:p w14:paraId="7274CFC6" w14:textId="13BFCEF0" w:rsidR="00CE75D4" w:rsidRDefault="00CE75D4" w:rsidP="008340C1">
      <w:pPr>
        <w:pStyle w:val="ARfinbody"/>
      </w:pPr>
      <w:r>
        <w:t>The department has responsibility for transactions and balances relating to trust funds held on behalf of third parties external to the department. Funds managed on behalf of third parties are not recognised in these financial statements as they are managed on a fiduciary and custodial basis</w:t>
      </w:r>
      <w:r w:rsidDel="00BE6546">
        <w:t>,</w:t>
      </w:r>
      <w:r>
        <w:t xml:space="preserve"> and therefore are not controlled by the department.</w:t>
      </w:r>
    </w:p>
    <w:p w14:paraId="0653CD9A" w14:textId="77777777" w:rsidR="00CE75D4" w:rsidRDefault="00CE75D4" w:rsidP="008340C1">
      <w:pPr>
        <w:pStyle w:val="ARfinbody"/>
      </w:pPr>
      <w:r>
        <w:t>Any earnings on the funds held pending distribution are also applied to the trust funds under management as appropriate.</w:t>
      </w:r>
    </w:p>
    <w:p w14:paraId="58034B5C" w14:textId="77777777" w:rsidR="00CE75D4" w:rsidRDefault="00CE75D4" w:rsidP="00130D1C">
      <w:pPr>
        <w:pStyle w:val="ARfinbodylargespace"/>
      </w:pPr>
      <w:r>
        <w:t>The following is a listing of trust account balances relating to trust accounts controlled and administered by the department. No trust accounts were closed during 2021–22.</w:t>
      </w:r>
    </w:p>
    <w:tbl>
      <w:tblPr>
        <w:tblStyle w:val="TableGrid"/>
        <w:tblW w:w="14459" w:type="dxa"/>
        <w:tblLayout w:type="fixed"/>
        <w:tblLook w:val="06A0" w:firstRow="1" w:lastRow="0" w:firstColumn="1" w:lastColumn="0" w:noHBand="1" w:noVBand="1"/>
      </w:tblPr>
      <w:tblGrid>
        <w:gridCol w:w="3179"/>
        <w:gridCol w:w="867"/>
        <w:gridCol w:w="867"/>
        <w:gridCol w:w="867"/>
        <w:gridCol w:w="867"/>
        <w:gridCol w:w="868"/>
        <w:gridCol w:w="868"/>
        <w:gridCol w:w="868"/>
        <w:gridCol w:w="868"/>
        <w:gridCol w:w="868"/>
        <w:gridCol w:w="868"/>
        <w:gridCol w:w="868"/>
        <w:gridCol w:w="868"/>
        <w:gridCol w:w="868"/>
      </w:tblGrid>
      <w:tr w:rsidR="00CE75D4" w:rsidRPr="002029AF" w14:paraId="75222EBD"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3119" w:type="dxa"/>
            <w:vMerge w:val="restart"/>
            <w:hideMark/>
          </w:tcPr>
          <w:p w14:paraId="116EEE07" w14:textId="77777777" w:rsidR="00CE75D4" w:rsidRPr="002029AF" w:rsidRDefault="00CE75D4" w:rsidP="00860E95">
            <w:pPr>
              <w:pStyle w:val="ARfintablecolhead"/>
            </w:pPr>
          </w:p>
        </w:tc>
        <w:tc>
          <w:tcPr>
            <w:tcW w:w="851" w:type="dxa"/>
            <w:gridSpan w:val="7"/>
            <w:shd w:val="clear" w:color="auto" w:fill="E7E6E6"/>
          </w:tcPr>
          <w:p w14:paraId="67AE41B5" w14:textId="77777777" w:rsidR="00CE75D4" w:rsidRPr="002029AF" w:rsidRDefault="00CE75D4" w:rsidP="00860E95">
            <w:pPr>
              <w:pStyle w:val="ARfintablecolheadcentre"/>
            </w:pPr>
            <w:r>
              <w:t>2022</w:t>
            </w:r>
          </w:p>
        </w:tc>
        <w:tc>
          <w:tcPr>
            <w:tcW w:w="851" w:type="dxa"/>
            <w:gridSpan w:val="6"/>
            <w:hideMark/>
          </w:tcPr>
          <w:p w14:paraId="231B9B51" w14:textId="77777777" w:rsidR="00CE75D4" w:rsidRPr="002029AF" w:rsidRDefault="00CE75D4" w:rsidP="00860E95">
            <w:pPr>
              <w:pStyle w:val="ARfintablecolheadcentre"/>
            </w:pPr>
            <w:r>
              <w:t>2021</w:t>
            </w:r>
          </w:p>
        </w:tc>
      </w:tr>
      <w:tr w:rsidR="00CE75D4" w:rsidRPr="002029AF" w14:paraId="3CDC97D8"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3119" w:type="dxa"/>
            <w:vMerge/>
            <w:tcBorders>
              <w:bottom w:val="single" w:sz="4" w:space="0" w:color="auto"/>
            </w:tcBorders>
            <w:hideMark/>
          </w:tcPr>
          <w:p w14:paraId="3B681154" w14:textId="77777777" w:rsidR="00CE75D4" w:rsidRPr="002029AF" w:rsidRDefault="00CE75D4" w:rsidP="00860E95">
            <w:pPr>
              <w:pStyle w:val="ARfintablecolhead"/>
            </w:pPr>
          </w:p>
        </w:tc>
        <w:tc>
          <w:tcPr>
            <w:tcW w:w="851" w:type="dxa"/>
            <w:tcBorders>
              <w:top w:val="single" w:sz="4" w:space="0" w:color="auto"/>
              <w:bottom w:val="single" w:sz="4" w:space="0" w:color="auto"/>
              <w:right w:val="nil"/>
            </w:tcBorders>
            <w:shd w:val="clear" w:color="auto" w:fill="E7E6E6"/>
            <w:hideMark/>
          </w:tcPr>
          <w:p w14:paraId="226DA958" w14:textId="77777777" w:rsidR="00CE75D4" w:rsidRPr="002029AF" w:rsidRDefault="00CE75D4" w:rsidP="008340C1">
            <w:pPr>
              <w:pStyle w:val="ARfintablecolheadright"/>
              <w:ind w:right="10"/>
            </w:pPr>
            <w:r w:rsidRPr="002029AF">
              <w:t xml:space="preserve">Opening balance as at </w:t>
            </w:r>
            <w:r w:rsidRPr="002029AF">
              <w:br/>
              <w:t xml:space="preserve">1 July </w:t>
            </w:r>
            <w:r>
              <w:t>2021</w:t>
            </w:r>
          </w:p>
          <w:p w14:paraId="64066909" w14:textId="77777777" w:rsidR="00CE75D4" w:rsidRPr="002029AF" w:rsidRDefault="00CE75D4" w:rsidP="008340C1">
            <w:pPr>
              <w:pStyle w:val="ARfintablecolheadright"/>
              <w:ind w:right="10"/>
            </w:pPr>
            <w:r w:rsidRPr="002029AF">
              <w:t>$M</w:t>
            </w:r>
          </w:p>
        </w:tc>
        <w:tc>
          <w:tcPr>
            <w:tcW w:w="851" w:type="dxa"/>
            <w:tcBorders>
              <w:top w:val="single" w:sz="4" w:space="0" w:color="auto"/>
              <w:left w:val="nil"/>
              <w:bottom w:val="single" w:sz="4" w:space="0" w:color="auto"/>
              <w:right w:val="nil"/>
            </w:tcBorders>
            <w:shd w:val="clear" w:color="auto" w:fill="E7E6E6"/>
          </w:tcPr>
          <w:p w14:paraId="64F876D4" w14:textId="77777777" w:rsidR="00CE75D4" w:rsidRPr="002029AF" w:rsidRDefault="00CE75D4" w:rsidP="008340C1">
            <w:pPr>
              <w:pStyle w:val="ARfintablecolheadright"/>
              <w:ind w:right="10"/>
            </w:pPr>
            <w:r w:rsidRPr="00E124CB">
              <w:t>Rem</w:t>
            </w:r>
            <w:r>
              <w:t>o</w:t>
            </w:r>
            <w:r w:rsidRPr="00E124CB">
              <w:t>v</w:t>
            </w:r>
            <w:r>
              <w:t>-</w:t>
            </w:r>
            <w:r w:rsidRPr="00E124CB">
              <w:t xml:space="preserve">al of DFFH-related June 2021 closing balance </w:t>
            </w:r>
            <w:r w:rsidRPr="00E124CB">
              <w:rPr>
                <w:rStyle w:val="Superscript"/>
              </w:rPr>
              <w:t>(i)</w:t>
            </w:r>
          </w:p>
        </w:tc>
        <w:tc>
          <w:tcPr>
            <w:tcW w:w="851" w:type="dxa"/>
            <w:tcBorders>
              <w:top w:val="single" w:sz="4" w:space="0" w:color="auto"/>
              <w:left w:val="nil"/>
              <w:bottom w:val="single" w:sz="4" w:space="0" w:color="auto"/>
              <w:right w:val="nil"/>
            </w:tcBorders>
            <w:shd w:val="clear" w:color="auto" w:fill="E7E6E6"/>
            <w:hideMark/>
          </w:tcPr>
          <w:p w14:paraId="2AF386D2" w14:textId="77777777" w:rsidR="00CE75D4" w:rsidRPr="002029AF" w:rsidRDefault="00CE75D4" w:rsidP="008340C1">
            <w:pPr>
              <w:pStyle w:val="ARfintablecolheadright"/>
              <w:ind w:right="10"/>
            </w:pPr>
            <w:r w:rsidRPr="002029AF">
              <w:t>Machin-</w:t>
            </w:r>
            <w:r w:rsidRPr="002029AF">
              <w:br/>
              <w:t xml:space="preserve">ery of </w:t>
            </w:r>
            <w:r w:rsidRPr="002029AF">
              <w:br/>
              <w:t>govern-</w:t>
            </w:r>
            <w:r w:rsidRPr="002029AF">
              <w:br/>
              <w:t xml:space="preserve">ment </w:t>
            </w:r>
            <w:r w:rsidRPr="002029AF">
              <w:br/>
              <w:t xml:space="preserve">transfer </w:t>
            </w:r>
            <w:r w:rsidRPr="002029AF">
              <w:br/>
              <w:t>in/(out)</w:t>
            </w:r>
          </w:p>
          <w:p w14:paraId="5B87FE07" w14:textId="77777777" w:rsidR="00CE75D4" w:rsidRPr="002029AF" w:rsidRDefault="00CE75D4" w:rsidP="008340C1">
            <w:pPr>
              <w:pStyle w:val="ARfintablecolheadright"/>
              <w:ind w:right="10"/>
            </w:pPr>
            <w:r w:rsidRPr="002029AF">
              <w:t>$M</w:t>
            </w:r>
          </w:p>
        </w:tc>
        <w:tc>
          <w:tcPr>
            <w:tcW w:w="851" w:type="dxa"/>
            <w:tcBorders>
              <w:top w:val="single" w:sz="4" w:space="0" w:color="auto"/>
              <w:left w:val="nil"/>
              <w:bottom w:val="single" w:sz="4" w:space="0" w:color="auto"/>
              <w:right w:val="nil"/>
            </w:tcBorders>
            <w:shd w:val="clear" w:color="auto" w:fill="E7E6E6"/>
            <w:hideMark/>
          </w:tcPr>
          <w:p w14:paraId="0B294749" w14:textId="77777777" w:rsidR="00CE75D4" w:rsidRPr="002029AF" w:rsidRDefault="00CE75D4" w:rsidP="008340C1">
            <w:pPr>
              <w:pStyle w:val="ARfintablecolheadright"/>
              <w:ind w:right="10"/>
            </w:pPr>
            <w:r w:rsidRPr="002029AF">
              <w:t>Total receipts</w:t>
            </w:r>
          </w:p>
          <w:p w14:paraId="49A06ED8" w14:textId="77777777" w:rsidR="00CE75D4" w:rsidRPr="002029AF" w:rsidRDefault="00CE75D4" w:rsidP="008340C1">
            <w:pPr>
              <w:pStyle w:val="ARfintablecolheadright"/>
              <w:ind w:right="10"/>
            </w:pPr>
            <w:r w:rsidRPr="002029AF">
              <w:t>$M</w:t>
            </w:r>
          </w:p>
        </w:tc>
        <w:tc>
          <w:tcPr>
            <w:tcW w:w="851" w:type="dxa"/>
            <w:tcBorders>
              <w:top w:val="single" w:sz="4" w:space="0" w:color="auto"/>
              <w:left w:val="nil"/>
              <w:bottom w:val="single" w:sz="4" w:space="0" w:color="auto"/>
              <w:right w:val="nil"/>
            </w:tcBorders>
            <w:shd w:val="clear" w:color="auto" w:fill="E7E6E6"/>
            <w:hideMark/>
          </w:tcPr>
          <w:p w14:paraId="2AC93E92" w14:textId="77777777" w:rsidR="00CE75D4" w:rsidRPr="002029AF" w:rsidRDefault="00CE75D4" w:rsidP="008340C1">
            <w:pPr>
              <w:pStyle w:val="ARfintablecolheadright"/>
              <w:ind w:right="10"/>
            </w:pPr>
            <w:r w:rsidRPr="002029AF">
              <w:t>Total pay-</w:t>
            </w:r>
            <w:r w:rsidRPr="002029AF">
              <w:br/>
              <w:t>ments</w:t>
            </w:r>
          </w:p>
          <w:p w14:paraId="05722250" w14:textId="77777777" w:rsidR="00CE75D4" w:rsidRPr="002029AF" w:rsidRDefault="00CE75D4" w:rsidP="008340C1">
            <w:pPr>
              <w:pStyle w:val="ARfintablecolheadright"/>
              <w:ind w:right="10"/>
            </w:pPr>
            <w:r w:rsidRPr="002029AF">
              <w:t>$M</w:t>
            </w:r>
          </w:p>
        </w:tc>
        <w:tc>
          <w:tcPr>
            <w:tcW w:w="851" w:type="dxa"/>
            <w:tcBorders>
              <w:top w:val="single" w:sz="4" w:space="0" w:color="auto"/>
              <w:left w:val="nil"/>
              <w:bottom w:val="single" w:sz="4" w:space="0" w:color="auto"/>
              <w:right w:val="nil"/>
            </w:tcBorders>
            <w:shd w:val="clear" w:color="auto" w:fill="E7E6E6"/>
            <w:hideMark/>
          </w:tcPr>
          <w:p w14:paraId="069AFE2E" w14:textId="77777777" w:rsidR="00CE75D4" w:rsidRPr="002029AF" w:rsidRDefault="00CE75D4" w:rsidP="008340C1">
            <w:pPr>
              <w:pStyle w:val="ARfintablecolheadright"/>
              <w:ind w:right="10"/>
            </w:pPr>
            <w:r w:rsidRPr="002029AF">
              <w:t>Non</w:t>
            </w:r>
            <w:r>
              <w:t>-</w:t>
            </w:r>
            <w:r w:rsidRPr="002029AF">
              <w:t>cash move-</w:t>
            </w:r>
            <w:r w:rsidRPr="002029AF">
              <w:br/>
              <w:t>ment</w:t>
            </w:r>
          </w:p>
          <w:p w14:paraId="0315D726" w14:textId="77777777" w:rsidR="00CE75D4" w:rsidRPr="002029AF" w:rsidRDefault="00CE75D4" w:rsidP="008340C1">
            <w:pPr>
              <w:pStyle w:val="ARfintablecolheadright"/>
              <w:ind w:right="10"/>
            </w:pPr>
            <w:r w:rsidRPr="002029AF">
              <w:t>$M</w:t>
            </w:r>
          </w:p>
        </w:tc>
        <w:tc>
          <w:tcPr>
            <w:tcW w:w="851" w:type="dxa"/>
            <w:tcBorders>
              <w:top w:val="single" w:sz="4" w:space="0" w:color="auto"/>
              <w:left w:val="nil"/>
              <w:bottom w:val="single" w:sz="4" w:space="0" w:color="auto"/>
            </w:tcBorders>
            <w:shd w:val="clear" w:color="auto" w:fill="E7E6E6"/>
            <w:hideMark/>
          </w:tcPr>
          <w:p w14:paraId="77EB7543" w14:textId="77777777" w:rsidR="00CE75D4" w:rsidRPr="002029AF" w:rsidRDefault="00CE75D4" w:rsidP="008340C1">
            <w:pPr>
              <w:pStyle w:val="ARfintablecolheadright"/>
              <w:ind w:right="10"/>
            </w:pPr>
            <w:r w:rsidRPr="002029AF">
              <w:t xml:space="preserve">Closing balance as at </w:t>
            </w:r>
            <w:r w:rsidRPr="002029AF">
              <w:br/>
              <w:t xml:space="preserve">30 June </w:t>
            </w:r>
            <w:r>
              <w:t>2022</w:t>
            </w:r>
          </w:p>
          <w:p w14:paraId="1EFE8ED8" w14:textId="77777777" w:rsidR="00CE75D4" w:rsidRPr="002029AF" w:rsidRDefault="00CE75D4" w:rsidP="008340C1">
            <w:pPr>
              <w:pStyle w:val="ARfintablecolheadright"/>
              <w:ind w:right="10"/>
            </w:pPr>
            <w:r w:rsidRPr="002029AF">
              <w:t>$M</w:t>
            </w:r>
          </w:p>
        </w:tc>
        <w:tc>
          <w:tcPr>
            <w:tcW w:w="851" w:type="dxa"/>
            <w:tcBorders>
              <w:bottom w:val="single" w:sz="4" w:space="0" w:color="auto"/>
            </w:tcBorders>
            <w:hideMark/>
          </w:tcPr>
          <w:p w14:paraId="26BAB67C" w14:textId="77777777" w:rsidR="00CE75D4" w:rsidRPr="002029AF" w:rsidRDefault="00CE75D4" w:rsidP="008340C1">
            <w:pPr>
              <w:pStyle w:val="ARfintablecolheadright"/>
              <w:ind w:right="10"/>
            </w:pPr>
            <w:r w:rsidRPr="002029AF">
              <w:t xml:space="preserve">Opening balance as at </w:t>
            </w:r>
            <w:r w:rsidRPr="002029AF">
              <w:br/>
              <w:t xml:space="preserve">1 July </w:t>
            </w:r>
            <w:r>
              <w:t>2020</w:t>
            </w:r>
          </w:p>
          <w:p w14:paraId="63F7677F" w14:textId="77777777" w:rsidR="00CE75D4" w:rsidRPr="002029AF" w:rsidRDefault="00CE75D4" w:rsidP="008340C1">
            <w:pPr>
              <w:pStyle w:val="ARfintablecolheadright"/>
              <w:ind w:right="10"/>
            </w:pPr>
            <w:r w:rsidRPr="002029AF">
              <w:t>$M</w:t>
            </w:r>
          </w:p>
        </w:tc>
        <w:tc>
          <w:tcPr>
            <w:tcW w:w="851" w:type="dxa"/>
            <w:tcBorders>
              <w:bottom w:val="single" w:sz="4" w:space="0" w:color="auto"/>
            </w:tcBorders>
            <w:hideMark/>
          </w:tcPr>
          <w:p w14:paraId="254A52AC" w14:textId="77777777" w:rsidR="00CE75D4" w:rsidRPr="002029AF" w:rsidRDefault="00CE75D4" w:rsidP="008340C1">
            <w:pPr>
              <w:pStyle w:val="ARfintablecolheadright"/>
              <w:ind w:right="10"/>
            </w:pPr>
            <w:r w:rsidRPr="002029AF">
              <w:t>Machin-</w:t>
            </w:r>
            <w:r w:rsidRPr="002029AF">
              <w:br/>
              <w:t xml:space="preserve">ery of </w:t>
            </w:r>
            <w:r w:rsidRPr="002029AF">
              <w:br/>
              <w:t>govern-</w:t>
            </w:r>
            <w:r w:rsidRPr="002029AF">
              <w:br/>
              <w:t xml:space="preserve">ment </w:t>
            </w:r>
            <w:r w:rsidRPr="002029AF">
              <w:br/>
              <w:t xml:space="preserve">transfer </w:t>
            </w:r>
            <w:r w:rsidRPr="002029AF">
              <w:br/>
              <w:t>in/(out)</w:t>
            </w:r>
          </w:p>
          <w:p w14:paraId="2F525AAA" w14:textId="77777777" w:rsidR="00CE75D4" w:rsidRPr="002029AF" w:rsidRDefault="00CE75D4" w:rsidP="008340C1">
            <w:pPr>
              <w:pStyle w:val="ARfintablecolheadright"/>
              <w:ind w:right="10"/>
            </w:pPr>
            <w:r w:rsidRPr="002029AF">
              <w:t>$M</w:t>
            </w:r>
          </w:p>
        </w:tc>
        <w:tc>
          <w:tcPr>
            <w:tcW w:w="851" w:type="dxa"/>
            <w:tcBorders>
              <w:bottom w:val="single" w:sz="4" w:space="0" w:color="auto"/>
            </w:tcBorders>
            <w:hideMark/>
          </w:tcPr>
          <w:p w14:paraId="056CFEDB" w14:textId="77777777" w:rsidR="00CE75D4" w:rsidRPr="002029AF" w:rsidRDefault="00CE75D4" w:rsidP="008340C1">
            <w:pPr>
              <w:pStyle w:val="ARfintablecolheadright"/>
              <w:ind w:right="10"/>
            </w:pPr>
            <w:r w:rsidRPr="002029AF">
              <w:t>Total receipts</w:t>
            </w:r>
          </w:p>
          <w:p w14:paraId="4179DBE5" w14:textId="77777777" w:rsidR="00CE75D4" w:rsidRPr="002029AF" w:rsidRDefault="00CE75D4" w:rsidP="008340C1">
            <w:pPr>
              <w:pStyle w:val="ARfintablecolheadright"/>
              <w:ind w:right="10"/>
            </w:pPr>
            <w:r w:rsidRPr="002029AF">
              <w:t>$M</w:t>
            </w:r>
          </w:p>
        </w:tc>
        <w:tc>
          <w:tcPr>
            <w:tcW w:w="851" w:type="dxa"/>
            <w:tcBorders>
              <w:bottom w:val="single" w:sz="4" w:space="0" w:color="auto"/>
            </w:tcBorders>
            <w:hideMark/>
          </w:tcPr>
          <w:p w14:paraId="7AF5ACD7" w14:textId="77777777" w:rsidR="00CE75D4" w:rsidRPr="002029AF" w:rsidRDefault="00CE75D4" w:rsidP="008340C1">
            <w:pPr>
              <w:pStyle w:val="ARfintablecolheadright"/>
              <w:ind w:right="10"/>
            </w:pPr>
            <w:r w:rsidRPr="002029AF">
              <w:t>Total pay-</w:t>
            </w:r>
            <w:r w:rsidRPr="002029AF">
              <w:br/>
              <w:t>ments</w:t>
            </w:r>
          </w:p>
          <w:p w14:paraId="3DF4AD57" w14:textId="77777777" w:rsidR="00CE75D4" w:rsidRPr="002029AF" w:rsidRDefault="00CE75D4" w:rsidP="008340C1">
            <w:pPr>
              <w:pStyle w:val="ARfintablecolheadright"/>
              <w:ind w:right="10"/>
            </w:pPr>
            <w:r w:rsidRPr="002029AF">
              <w:t>$M</w:t>
            </w:r>
          </w:p>
        </w:tc>
        <w:tc>
          <w:tcPr>
            <w:tcW w:w="851" w:type="dxa"/>
            <w:tcBorders>
              <w:bottom w:val="single" w:sz="4" w:space="0" w:color="auto"/>
            </w:tcBorders>
            <w:hideMark/>
          </w:tcPr>
          <w:p w14:paraId="6EAAB865" w14:textId="77777777" w:rsidR="00CE75D4" w:rsidRPr="002029AF" w:rsidRDefault="00CE75D4" w:rsidP="008340C1">
            <w:pPr>
              <w:pStyle w:val="ARfintablecolheadright"/>
              <w:ind w:right="10"/>
            </w:pPr>
            <w:r w:rsidRPr="002029AF">
              <w:t>Non</w:t>
            </w:r>
            <w:r>
              <w:t>-</w:t>
            </w:r>
            <w:r w:rsidRPr="002029AF">
              <w:t>cash move-</w:t>
            </w:r>
            <w:r w:rsidRPr="002029AF">
              <w:br/>
              <w:t>ment</w:t>
            </w:r>
          </w:p>
          <w:p w14:paraId="2670FA12" w14:textId="77777777" w:rsidR="00CE75D4" w:rsidRPr="002029AF" w:rsidRDefault="00CE75D4" w:rsidP="008340C1">
            <w:pPr>
              <w:pStyle w:val="ARfintablecolheadright"/>
              <w:ind w:right="10"/>
            </w:pPr>
            <w:r w:rsidRPr="002029AF">
              <w:t>$M</w:t>
            </w:r>
          </w:p>
        </w:tc>
        <w:tc>
          <w:tcPr>
            <w:tcW w:w="851" w:type="dxa"/>
            <w:tcBorders>
              <w:bottom w:val="single" w:sz="4" w:space="0" w:color="auto"/>
            </w:tcBorders>
            <w:hideMark/>
          </w:tcPr>
          <w:p w14:paraId="57365649" w14:textId="77777777" w:rsidR="00CE75D4" w:rsidRPr="002029AF" w:rsidRDefault="00CE75D4" w:rsidP="008340C1">
            <w:pPr>
              <w:pStyle w:val="ARfintablecolheadright"/>
              <w:ind w:right="10"/>
            </w:pPr>
            <w:r w:rsidRPr="002029AF">
              <w:t xml:space="preserve">Closing balance as at </w:t>
            </w:r>
            <w:r w:rsidRPr="002029AF">
              <w:br/>
              <w:t xml:space="preserve">30 June </w:t>
            </w:r>
            <w:r>
              <w:t>2021</w:t>
            </w:r>
          </w:p>
          <w:p w14:paraId="5A990EE0" w14:textId="77777777" w:rsidR="00CE75D4" w:rsidRPr="002029AF" w:rsidRDefault="00CE75D4" w:rsidP="008340C1">
            <w:pPr>
              <w:pStyle w:val="ARfintablecolheadright"/>
              <w:ind w:right="10"/>
            </w:pPr>
            <w:r w:rsidRPr="002029AF">
              <w:t>$M</w:t>
            </w:r>
          </w:p>
        </w:tc>
      </w:tr>
      <w:tr w:rsidR="00CE75D4" w:rsidRPr="002029AF" w14:paraId="7C758709" w14:textId="77777777" w:rsidTr="008340C1">
        <w:trPr>
          <w:cantSplit w:val="0"/>
        </w:trPr>
        <w:tc>
          <w:tcPr>
            <w:tcW w:w="3119" w:type="dxa"/>
            <w:gridSpan w:val="14"/>
            <w:tcBorders>
              <w:top w:val="single" w:sz="4" w:space="0" w:color="auto"/>
              <w:bottom w:val="single" w:sz="4" w:space="0" w:color="A6A6A6"/>
            </w:tcBorders>
          </w:tcPr>
          <w:p w14:paraId="75BA0598" w14:textId="77777777" w:rsidR="00CE75D4" w:rsidRPr="002029AF" w:rsidRDefault="00CE75D4" w:rsidP="008340C1">
            <w:pPr>
              <w:pStyle w:val="ARfintablebodybold"/>
            </w:pPr>
            <w:r w:rsidRPr="00BB2A54">
              <w:t>Controlled trusts</w:t>
            </w:r>
          </w:p>
        </w:tc>
      </w:tr>
      <w:tr w:rsidR="00CE75D4" w:rsidRPr="002029AF" w14:paraId="504E77FE" w14:textId="77777777" w:rsidTr="008340C1">
        <w:trPr>
          <w:cantSplit w:val="0"/>
        </w:trPr>
        <w:tc>
          <w:tcPr>
            <w:tcW w:w="3119" w:type="dxa"/>
            <w:tcBorders>
              <w:top w:val="single" w:sz="4" w:space="0" w:color="A6A6A6"/>
              <w:bottom w:val="single" w:sz="4" w:space="0" w:color="A6A6A6"/>
            </w:tcBorders>
            <w:noWrap/>
            <w:hideMark/>
          </w:tcPr>
          <w:p w14:paraId="43CA56FC" w14:textId="77777777" w:rsidR="00CE75D4" w:rsidRPr="002029AF" w:rsidRDefault="00CE75D4" w:rsidP="008340C1">
            <w:pPr>
              <w:pStyle w:val="ARfintablebody"/>
            </w:pPr>
            <w:r w:rsidRPr="00BB2A54">
              <w:t>Casey Hospital Escrow Account</w:t>
            </w:r>
          </w:p>
        </w:tc>
        <w:tc>
          <w:tcPr>
            <w:tcW w:w="851" w:type="dxa"/>
            <w:tcBorders>
              <w:top w:val="single" w:sz="4" w:space="0" w:color="A6A6A6"/>
              <w:bottom w:val="single" w:sz="4" w:space="0" w:color="A6A6A6"/>
              <w:right w:val="nil"/>
            </w:tcBorders>
            <w:shd w:val="clear" w:color="auto" w:fill="E7E6E6"/>
            <w:noWrap/>
            <w:hideMark/>
          </w:tcPr>
          <w:p w14:paraId="4477DEFC" w14:textId="77777777" w:rsidR="00CE75D4" w:rsidRPr="002029AF" w:rsidRDefault="00CE75D4" w:rsidP="008340C1">
            <w:pPr>
              <w:pStyle w:val="ARfintablebodyright"/>
              <w:ind w:right="10"/>
            </w:pPr>
            <w:r w:rsidRPr="00BB2A54">
              <w:t>5.3</w:t>
            </w:r>
          </w:p>
        </w:tc>
        <w:tc>
          <w:tcPr>
            <w:tcW w:w="851" w:type="dxa"/>
            <w:tcBorders>
              <w:top w:val="single" w:sz="4" w:space="0" w:color="A6A6A6"/>
              <w:left w:val="nil"/>
              <w:bottom w:val="single" w:sz="4" w:space="0" w:color="A6A6A6"/>
              <w:right w:val="nil"/>
            </w:tcBorders>
            <w:shd w:val="clear" w:color="auto" w:fill="E7E6E6"/>
          </w:tcPr>
          <w:p w14:paraId="45B2306E" w14:textId="77777777" w:rsidR="00CE75D4" w:rsidRPr="008B06F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5FF8BF5B"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64D1E644"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637BA13B"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18E54F2B" w14:textId="77777777" w:rsidR="00CE75D4" w:rsidRPr="002029AF" w:rsidRDefault="00CE75D4" w:rsidP="008340C1">
            <w:pPr>
              <w:pStyle w:val="ARfintablebodyright"/>
              <w:ind w:right="10"/>
            </w:pPr>
            <w:r w:rsidRPr="00BB2A54">
              <w:t>(1.3)</w:t>
            </w:r>
          </w:p>
        </w:tc>
        <w:tc>
          <w:tcPr>
            <w:tcW w:w="851" w:type="dxa"/>
            <w:tcBorders>
              <w:top w:val="single" w:sz="4" w:space="0" w:color="A6A6A6"/>
              <w:left w:val="nil"/>
              <w:bottom w:val="single" w:sz="4" w:space="0" w:color="A6A6A6"/>
            </w:tcBorders>
            <w:shd w:val="clear" w:color="auto" w:fill="E7E6E6"/>
            <w:noWrap/>
            <w:hideMark/>
          </w:tcPr>
          <w:p w14:paraId="301AEC54" w14:textId="77777777" w:rsidR="00CE75D4" w:rsidRPr="002029AF" w:rsidRDefault="00CE75D4" w:rsidP="008340C1">
            <w:pPr>
              <w:pStyle w:val="ARfintablebodyright"/>
              <w:ind w:right="10"/>
            </w:pPr>
            <w:r w:rsidRPr="00BB2A54">
              <w:t>4.0</w:t>
            </w:r>
          </w:p>
        </w:tc>
        <w:tc>
          <w:tcPr>
            <w:tcW w:w="851" w:type="dxa"/>
            <w:tcBorders>
              <w:top w:val="single" w:sz="4" w:space="0" w:color="A6A6A6"/>
              <w:bottom w:val="single" w:sz="4" w:space="0" w:color="A6A6A6"/>
            </w:tcBorders>
            <w:noWrap/>
            <w:hideMark/>
          </w:tcPr>
          <w:p w14:paraId="13E925D7" w14:textId="77777777" w:rsidR="00CE75D4" w:rsidRPr="002029AF" w:rsidRDefault="00CE75D4" w:rsidP="008340C1">
            <w:pPr>
              <w:pStyle w:val="ARfintablebodyright"/>
              <w:ind w:right="10"/>
            </w:pPr>
            <w:r w:rsidRPr="00BB2A54">
              <w:t>6.8</w:t>
            </w:r>
          </w:p>
        </w:tc>
        <w:tc>
          <w:tcPr>
            <w:tcW w:w="851" w:type="dxa"/>
            <w:tcBorders>
              <w:top w:val="single" w:sz="4" w:space="0" w:color="A6A6A6"/>
              <w:bottom w:val="single" w:sz="4" w:space="0" w:color="A6A6A6"/>
            </w:tcBorders>
            <w:noWrap/>
            <w:hideMark/>
          </w:tcPr>
          <w:p w14:paraId="725D5BFB"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029E92D7"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1873EFBD"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32C0F0E4" w14:textId="77777777" w:rsidR="00CE75D4" w:rsidRPr="002029AF" w:rsidRDefault="00CE75D4" w:rsidP="008340C1">
            <w:pPr>
              <w:pStyle w:val="ARfintablebodyright"/>
              <w:ind w:right="10"/>
            </w:pPr>
            <w:r w:rsidRPr="00BB2A54">
              <w:t>(1.5)</w:t>
            </w:r>
          </w:p>
        </w:tc>
        <w:tc>
          <w:tcPr>
            <w:tcW w:w="851" w:type="dxa"/>
            <w:tcBorders>
              <w:top w:val="single" w:sz="4" w:space="0" w:color="A6A6A6"/>
              <w:bottom w:val="single" w:sz="4" w:space="0" w:color="A6A6A6"/>
            </w:tcBorders>
            <w:noWrap/>
            <w:hideMark/>
          </w:tcPr>
          <w:p w14:paraId="2EE63365" w14:textId="77777777" w:rsidR="00CE75D4" w:rsidRPr="002029AF" w:rsidRDefault="00CE75D4" w:rsidP="008340C1">
            <w:pPr>
              <w:pStyle w:val="ARfintablebodyright"/>
              <w:ind w:right="10"/>
            </w:pPr>
            <w:r w:rsidRPr="00BB2A54">
              <w:t>5.3</w:t>
            </w:r>
          </w:p>
        </w:tc>
      </w:tr>
      <w:tr w:rsidR="00CE75D4" w:rsidRPr="002029AF" w14:paraId="1BCD44E8" w14:textId="77777777" w:rsidTr="008340C1">
        <w:trPr>
          <w:cantSplit w:val="0"/>
        </w:trPr>
        <w:tc>
          <w:tcPr>
            <w:tcW w:w="3119" w:type="dxa"/>
            <w:tcBorders>
              <w:top w:val="single" w:sz="4" w:space="0" w:color="A6A6A6"/>
              <w:bottom w:val="single" w:sz="4" w:space="0" w:color="A6A6A6"/>
            </w:tcBorders>
            <w:hideMark/>
          </w:tcPr>
          <w:p w14:paraId="6D5E1DFE" w14:textId="77777777" w:rsidR="00CE75D4" w:rsidRPr="002029AF" w:rsidRDefault="00CE75D4" w:rsidP="008340C1">
            <w:pPr>
              <w:pStyle w:val="ARfintablebody"/>
            </w:pPr>
            <w:r w:rsidRPr="00BB2A54">
              <w:t>Health State Managed Fund</w:t>
            </w:r>
          </w:p>
        </w:tc>
        <w:tc>
          <w:tcPr>
            <w:tcW w:w="851" w:type="dxa"/>
            <w:tcBorders>
              <w:top w:val="single" w:sz="4" w:space="0" w:color="A6A6A6"/>
              <w:bottom w:val="single" w:sz="4" w:space="0" w:color="A6A6A6"/>
              <w:right w:val="nil"/>
            </w:tcBorders>
            <w:shd w:val="clear" w:color="auto" w:fill="E7E6E6"/>
            <w:noWrap/>
            <w:hideMark/>
          </w:tcPr>
          <w:p w14:paraId="4EB1877E" w14:textId="77777777" w:rsidR="00CE75D4" w:rsidRPr="002029AF" w:rsidRDefault="00CE75D4" w:rsidP="008340C1">
            <w:pPr>
              <w:pStyle w:val="ARfintablebodyright"/>
              <w:ind w:right="10"/>
            </w:pPr>
            <w:r w:rsidRPr="00BB2A54">
              <w:t>2.2</w:t>
            </w:r>
          </w:p>
        </w:tc>
        <w:tc>
          <w:tcPr>
            <w:tcW w:w="851" w:type="dxa"/>
            <w:tcBorders>
              <w:top w:val="single" w:sz="4" w:space="0" w:color="A6A6A6"/>
              <w:left w:val="nil"/>
              <w:bottom w:val="single" w:sz="4" w:space="0" w:color="A6A6A6"/>
              <w:right w:val="nil"/>
            </w:tcBorders>
            <w:shd w:val="clear" w:color="auto" w:fill="E7E6E6"/>
          </w:tcPr>
          <w:p w14:paraId="0BA7CE1C" w14:textId="77777777" w:rsidR="00CE75D4" w:rsidRPr="008B06F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3F9AB9C6"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2DD5C436" w14:textId="77777777" w:rsidR="00CE75D4" w:rsidRPr="002029AF" w:rsidRDefault="00CE75D4" w:rsidP="008340C1">
            <w:pPr>
              <w:pStyle w:val="ARfintablebodyright"/>
              <w:ind w:right="10"/>
            </w:pPr>
            <w:r w:rsidRPr="00BB2A54">
              <w:t>2,077.3</w:t>
            </w:r>
          </w:p>
        </w:tc>
        <w:tc>
          <w:tcPr>
            <w:tcW w:w="851" w:type="dxa"/>
            <w:tcBorders>
              <w:top w:val="single" w:sz="4" w:space="0" w:color="A6A6A6"/>
              <w:left w:val="nil"/>
              <w:bottom w:val="single" w:sz="4" w:space="0" w:color="A6A6A6"/>
              <w:right w:val="nil"/>
            </w:tcBorders>
            <w:shd w:val="clear" w:color="auto" w:fill="E7E6E6"/>
            <w:noWrap/>
            <w:hideMark/>
          </w:tcPr>
          <w:p w14:paraId="7CD518F1" w14:textId="77777777" w:rsidR="00CE75D4" w:rsidRPr="002029AF" w:rsidRDefault="00CE75D4" w:rsidP="008340C1">
            <w:pPr>
              <w:pStyle w:val="ARfintablebodyright"/>
              <w:ind w:right="10"/>
            </w:pPr>
            <w:r w:rsidRPr="00BB2A54">
              <w:t>2,077.3</w:t>
            </w:r>
          </w:p>
        </w:tc>
        <w:tc>
          <w:tcPr>
            <w:tcW w:w="851" w:type="dxa"/>
            <w:tcBorders>
              <w:top w:val="single" w:sz="4" w:space="0" w:color="A6A6A6"/>
              <w:left w:val="nil"/>
              <w:bottom w:val="single" w:sz="4" w:space="0" w:color="A6A6A6"/>
              <w:right w:val="nil"/>
            </w:tcBorders>
            <w:shd w:val="clear" w:color="auto" w:fill="E7E6E6"/>
            <w:noWrap/>
            <w:hideMark/>
          </w:tcPr>
          <w:p w14:paraId="162AC0C7"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tcBorders>
            <w:shd w:val="clear" w:color="auto" w:fill="E7E6E6"/>
            <w:noWrap/>
            <w:hideMark/>
          </w:tcPr>
          <w:p w14:paraId="01324313" w14:textId="77777777" w:rsidR="00CE75D4" w:rsidRPr="002029AF" w:rsidRDefault="00CE75D4" w:rsidP="008340C1">
            <w:pPr>
              <w:pStyle w:val="ARfintablebodyright"/>
              <w:ind w:right="10"/>
            </w:pPr>
            <w:r w:rsidRPr="00BB2A54">
              <w:t>2.2</w:t>
            </w:r>
          </w:p>
        </w:tc>
        <w:tc>
          <w:tcPr>
            <w:tcW w:w="851" w:type="dxa"/>
            <w:tcBorders>
              <w:top w:val="single" w:sz="4" w:space="0" w:color="A6A6A6"/>
              <w:bottom w:val="single" w:sz="4" w:space="0" w:color="A6A6A6"/>
            </w:tcBorders>
            <w:noWrap/>
            <w:hideMark/>
          </w:tcPr>
          <w:p w14:paraId="0043ECE6" w14:textId="77777777" w:rsidR="00CE75D4" w:rsidRPr="002029AF" w:rsidRDefault="00CE75D4" w:rsidP="008340C1">
            <w:pPr>
              <w:pStyle w:val="ARfintablebodyright"/>
              <w:ind w:right="10"/>
            </w:pPr>
            <w:r w:rsidRPr="00BB2A54">
              <w:t>2.2</w:t>
            </w:r>
          </w:p>
        </w:tc>
        <w:tc>
          <w:tcPr>
            <w:tcW w:w="851" w:type="dxa"/>
            <w:tcBorders>
              <w:top w:val="single" w:sz="4" w:space="0" w:color="A6A6A6"/>
              <w:bottom w:val="single" w:sz="4" w:space="0" w:color="A6A6A6"/>
            </w:tcBorders>
            <w:noWrap/>
            <w:hideMark/>
          </w:tcPr>
          <w:p w14:paraId="48E3E17D"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694E44A5" w14:textId="77777777" w:rsidR="00CE75D4" w:rsidRPr="002029AF" w:rsidRDefault="00CE75D4" w:rsidP="008340C1">
            <w:pPr>
              <w:pStyle w:val="ARfintablebodyright"/>
              <w:ind w:right="10"/>
            </w:pPr>
            <w:r w:rsidRPr="00BB2A54">
              <w:t>1,908.5</w:t>
            </w:r>
          </w:p>
        </w:tc>
        <w:tc>
          <w:tcPr>
            <w:tcW w:w="851" w:type="dxa"/>
            <w:tcBorders>
              <w:top w:val="single" w:sz="4" w:space="0" w:color="A6A6A6"/>
              <w:bottom w:val="single" w:sz="4" w:space="0" w:color="A6A6A6"/>
            </w:tcBorders>
            <w:noWrap/>
            <w:hideMark/>
          </w:tcPr>
          <w:p w14:paraId="7AAC6646" w14:textId="77777777" w:rsidR="00CE75D4" w:rsidRPr="002029AF" w:rsidRDefault="00CE75D4" w:rsidP="008340C1">
            <w:pPr>
              <w:pStyle w:val="ARfintablebodyright"/>
              <w:ind w:right="10"/>
            </w:pPr>
            <w:r w:rsidRPr="00BB2A54">
              <w:t>1,908.5</w:t>
            </w:r>
          </w:p>
        </w:tc>
        <w:tc>
          <w:tcPr>
            <w:tcW w:w="851" w:type="dxa"/>
            <w:tcBorders>
              <w:top w:val="single" w:sz="4" w:space="0" w:color="A6A6A6"/>
              <w:bottom w:val="single" w:sz="4" w:space="0" w:color="A6A6A6"/>
            </w:tcBorders>
            <w:noWrap/>
            <w:hideMark/>
          </w:tcPr>
          <w:p w14:paraId="42DC80B1"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2041EA7B" w14:textId="77777777" w:rsidR="00CE75D4" w:rsidRPr="002029AF" w:rsidRDefault="00CE75D4" w:rsidP="008340C1">
            <w:pPr>
              <w:pStyle w:val="ARfintablebodyright"/>
              <w:ind w:right="10"/>
            </w:pPr>
            <w:r w:rsidRPr="00BB2A54">
              <w:t>2.2</w:t>
            </w:r>
          </w:p>
        </w:tc>
      </w:tr>
      <w:tr w:rsidR="00CE75D4" w:rsidRPr="002029AF" w14:paraId="78DF6541" w14:textId="77777777" w:rsidTr="008340C1">
        <w:trPr>
          <w:cantSplit w:val="0"/>
        </w:trPr>
        <w:tc>
          <w:tcPr>
            <w:tcW w:w="3119" w:type="dxa"/>
            <w:tcBorders>
              <w:top w:val="single" w:sz="4" w:space="0" w:color="A6A6A6"/>
              <w:bottom w:val="single" w:sz="4" w:space="0" w:color="A6A6A6"/>
            </w:tcBorders>
            <w:noWrap/>
            <w:hideMark/>
          </w:tcPr>
          <w:p w14:paraId="2CD9320D" w14:textId="77777777" w:rsidR="00CE75D4" w:rsidRPr="002029AF" w:rsidRDefault="00CE75D4" w:rsidP="008340C1">
            <w:pPr>
              <w:pStyle w:val="ARfintablebody"/>
            </w:pPr>
            <w:r w:rsidRPr="00BB2A54">
              <w:t>Hospitals and Charities Fund</w:t>
            </w:r>
          </w:p>
        </w:tc>
        <w:tc>
          <w:tcPr>
            <w:tcW w:w="851" w:type="dxa"/>
            <w:tcBorders>
              <w:top w:val="single" w:sz="4" w:space="0" w:color="A6A6A6"/>
              <w:bottom w:val="single" w:sz="4" w:space="0" w:color="A6A6A6"/>
              <w:right w:val="nil"/>
            </w:tcBorders>
            <w:shd w:val="clear" w:color="auto" w:fill="E7E6E6"/>
            <w:noWrap/>
            <w:hideMark/>
          </w:tcPr>
          <w:p w14:paraId="2361F849" w14:textId="77777777" w:rsidR="00CE75D4" w:rsidRPr="002029AF" w:rsidRDefault="00CE75D4" w:rsidP="008340C1">
            <w:pPr>
              <w:pStyle w:val="ARfintablebodyright"/>
              <w:ind w:right="10"/>
            </w:pPr>
            <w:r w:rsidRPr="00BB2A54">
              <w:t>1.8</w:t>
            </w:r>
          </w:p>
        </w:tc>
        <w:tc>
          <w:tcPr>
            <w:tcW w:w="851" w:type="dxa"/>
            <w:tcBorders>
              <w:top w:val="single" w:sz="4" w:space="0" w:color="A6A6A6"/>
              <w:left w:val="nil"/>
              <w:bottom w:val="single" w:sz="4" w:space="0" w:color="A6A6A6"/>
              <w:right w:val="nil"/>
            </w:tcBorders>
            <w:shd w:val="clear" w:color="auto" w:fill="E7E6E6"/>
          </w:tcPr>
          <w:p w14:paraId="007EE104" w14:textId="77777777" w:rsidR="00CE75D4" w:rsidRPr="008B06F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1E8AF76D"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5442C114" w14:textId="77777777" w:rsidR="00CE75D4" w:rsidRPr="002029AF" w:rsidRDefault="00CE75D4" w:rsidP="008340C1">
            <w:pPr>
              <w:pStyle w:val="ARfintablebodyright"/>
              <w:ind w:right="10"/>
            </w:pPr>
            <w:r w:rsidRPr="00BB2A54">
              <w:t>1,602.0</w:t>
            </w:r>
          </w:p>
        </w:tc>
        <w:tc>
          <w:tcPr>
            <w:tcW w:w="851" w:type="dxa"/>
            <w:tcBorders>
              <w:top w:val="single" w:sz="4" w:space="0" w:color="A6A6A6"/>
              <w:left w:val="nil"/>
              <w:bottom w:val="single" w:sz="4" w:space="0" w:color="A6A6A6"/>
              <w:right w:val="nil"/>
            </w:tcBorders>
            <w:shd w:val="clear" w:color="auto" w:fill="E7E6E6"/>
            <w:noWrap/>
            <w:hideMark/>
          </w:tcPr>
          <w:p w14:paraId="1FF5EF40" w14:textId="77777777" w:rsidR="00CE75D4" w:rsidRPr="002029AF" w:rsidRDefault="00CE75D4" w:rsidP="008340C1">
            <w:pPr>
              <w:pStyle w:val="ARfintablebodyright"/>
              <w:ind w:right="10"/>
            </w:pPr>
            <w:r w:rsidRPr="00BB2A54">
              <w:t>1,597.9</w:t>
            </w:r>
          </w:p>
        </w:tc>
        <w:tc>
          <w:tcPr>
            <w:tcW w:w="851" w:type="dxa"/>
            <w:tcBorders>
              <w:top w:val="single" w:sz="4" w:space="0" w:color="A6A6A6"/>
              <w:left w:val="nil"/>
              <w:bottom w:val="single" w:sz="4" w:space="0" w:color="A6A6A6"/>
              <w:right w:val="nil"/>
            </w:tcBorders>
            <w:shd w:val="clear" w:color="auto" w:fill="E7E6E6"/>
            <w:noWrap/>
            <w:hideMark/>
          </w:tcPr>
          <w:p w14:paraId="38E8375A" w14:textId="77777777" w:rsidR="00CE75D4" w:rsidRPr="002029AF" w:rsidRDefault="00CE75D4" w:rsidP="008340C1">
            <w:pPr>
              <w:pStyle w:val="ARfintablebodyright"/>
              <w:ind w:right="10"/>
            </w:pPr>
            <w:r w:rsidRPr="00BB2A54">
              <w:t>5.2</w:t>
            </w:r>
          </w:p>
        </w:tc>
        <w:tc>
          <w:tcPr>
            <w:tcW w:w="851" w:type="dxa"/>
            <w:tcBorders>
              <w:top w:val="single" w:sz="4" w:space="0" w:color="A6A6A6"/>
              <w:left w:val="nil"/>
              <w:bottom w:val="single" w:sz="4" w:space="0" w:color="A6A6A6"/>
            </w:tcBorders>
            <w:shd w:val="clear" w:color="auto" w:fill="E7E6E6"/>
            <w:noWrap/>
            <w:hideMark/>
          </w:tcPr>
          <w:p w14:paraId="3FA04E03" w14:textId="77777777" w:rsidR="00CE75D4" w:rsidRPr="002029AF" w:rsidRDefault="00CE75D4" w:rsidP="008340C1">
            <w:pPr>
              <w:pStyle w:val="ARfintablebodyright"/>
              <w:ind w:right="10"/>
            </w:pPr>
            <w:r w:rsidRPr="00BB2A54">
              <w:t>11.0</w:t>
            </w:r>
          </w:p>
        </w:tc>
        <w:tc>
          <w:tcPr>
            <w:tcW w:w="851" w:type="dxa"/>
            <w:tcBorders>
              <w:top w:val="single" w:sz="4" w:space="0" w:color="A6A6A6"/>
              <w:bottom w:val="single" w:sz="4" w:space="0" w:color="A6A6A6"/>
            </w:tcBorders>
            <w:noWrap/>
            <w:hideMark/>
          </w:tcPr>
          <w:p w14:paraId="03DDAC86"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6A304594"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58EA21BF" w14:textId="77777777" w:rsidR="00CE75D4" w:rsidRPr="002029AF" w:rsidRDefault="00CE75D4" w:rsidP="008340C1">
            <w:pPr>
              <w:pStyle w:val="ARfintablebodyright"/>
              <w:ind w:right="10"/>
            </w:pPr>
            <w:r w:rsidRPr="00BB2A54">
              <w:t>1,481.3</w:t>
            </w:r>
          </w:p>
        </w:tc>
        <w:tc>
          <w:tcPr>
            <w:tcW w:w="851" w:type="dxa"/>
            <w:tcBorders>
              <w:top w:val="single" w:sz="4" w:space="0" w:color="A6A6A6"/>
              <w:bottom w:val="single" w:sz="4" w:space="0" w:color="A6A6A6"/>
            </w:tcBorders>
            <w:noWrap/>
            <w:hideMark/>
          </w:tcPr>
          <w:p w14:paraId="291D7434" w14:textId="77777777" w:rsidR="00CE75D4" w:rsidRPr="002029AF" w:rsidRDefault="00CE75D4" w:rsidP="008340C1">
            <w:pPr>
              <w:pStyle w:val="ARfintablebodyright"/>
              <w:ind w:right="10"/>
            </w:pPr>
            <w:r w:rsidRPr="00BB2A54">
              <w:t>1,465.0</w:t>
            </w:r>
          </w:p>
        </w:tc>
        <w:tc>
          <w:tcPr>
            <w:tcW w:w="851" w:type="dxa"/>
            <w:tcBorders>
              <w:top w:val="single" w:sz="4" w:space="0" w:color="A6A6A6"/>
              <w:bottom w:val="single" w:sz="4" w:space="0" w:color="A6A6A6"/>
            </w:tcBorders>
            <w:noWrap/>
            <w:hideMark/>
          </w:tcPr>
          <w:p w14:paraId="69FFC43B" w14:textId="77777777" w:rsidR="00CE75D4" w:rsidRPr="002029AF" w:rsidRDefault="00CE75D4" w:rsidP="008340C1">
            <w:pPr>
              <w:pStyle w:val="ARfintablebodyright"/>
              <w:ind w:right="10"/>
            </w:pPr>
            <w:r w:rsidRPr="00BB2A54">
              <w:t>(14.5)</w:t>
            </w:r>
          </w:p>
        </w:tc>
        <w:tc>
          <w:tcPr>
            <w:tcW w:w="851" w:type="dxa"/>
            <w:tcBorders>
              <w:top w:val="single" w:sz="4" w:space="0" w:color="A6A6A6"/>
              <w:bottom w:val="single" w:sz="4" w:space="0" w:color="A6A6A6"/>
            </w:tcBorders>
            <w:noWrap/>
            <w:hideMark/>
          </w:tcPr>
          <w:p w14:paraId="1418075E" w14:textId="77777777" w:rsidR="00CE75D4" w:rsidRPr="002029AF" w:rsidRDefault="00CE75D4" w:rsidP="008340C1">
            <w:pPr>
              <w:pStyle w:val="ARfintablebodyright"/>
              <w:ind w:right="10"/>
            </w:pPr>
            <w:r w:rsidRPr="00BB2A54">
              <w:t>1.8</w:t>
            </w:r>
          </w:p>
        </w:tc>
      </w:tr>
      <w:tr w:rsidR="00CE75D4" w:rsidRPr="002029AF" w14:paraId="07EE48FC" w14:textId="77777777" w:rsidTr="008340C1">
        <w:trPr>
          <w:cantSplit w:val="0"/>
        </w:trPr>
        <w:tc>
          <w:tcPr>
            <w:tcW w:w="3119" w:type="dxa"/>
            <w:tcBorders>
              <w:top w:val="single" w:sz="4" w:space="0" w:color="A6A6A6"/>
              <w:bottom w:val="single" w:sz="4" w:space="0" w:color="A6A6A6"/>
            </w:tcBorders>
            <w:hideMark/>
          </w:tcPr>
          <w:p w14:paraId="2D3C7317" w14:textId="77777777" w:rsidR="00CE75D4" w:rsidRPr="002029AF" w:rsidRDefault="00CE75D4" w:rsidP="008340C1">
            <w:pPr>
              <w:pStyle w:val="ARfintablebody"/>
            </w:pPr>
            <w:r w:rsidRPr="00BB2A54">
              <w:t>Intellectually Handicapped Children</w:t>
            </w:r>
            <w:r>
              <w:t>’</w:t>
            </w:r>
            <w:r w:rsidRPr="00BB2A54">
              <w:t>s Amenities Fund</w:t>
            </w:r>
          </w:p>
        </w:tc>
        <w:tc>
          <w:tcPr>
            <w:tcW w:w="851" w:type="dxa"/>
            <w:tcBorders>
              <w:top w:val="single" w:sz="4" w:space="0" w:color="A6A6A6"/>
              <w:bottom w:val="single" w:sz="4" w:space="0" w:color="A6A6A6"/>
              <w:right w:val="nil"/>
            </w:tcBorders>
            <w:shd w:val="clear" w:color="auto" w:fill="E7E6E6"/>
            <w:noWrap/>
            <w:hideMark/>
          </w:tcPr>
          <w:p w14:paraId="0317F23B" w14:textId="77777777" w:rsidR="00CE75D4" w:rsidRPr="002029AF" w:rsidRDefault="00CE75D4" w:rsidP="008340C1">
            <w:pPr>
              <w:pStyle w:val="ARfintablebodyright"/>
              <w:ind w:right="10"/>
            </w:pPr>
            <w:r w:rsidRPr="00BB2A54">
              <w:t>0.1</w:t>
            </w:r>
          </w:p>
        </w:tc>
        <w:tc>
          <w:tcPr>
            <w:tcW w:w="851" w:type="dxa"/>
            <w:tcBorders>
              <w:top w:val="single" w:sz="4" w:space="0" w:color="A6A6A6"/>
              <w:left w:val="nil"/>
              <w:bottom w:val="single" w:sz="4" w:space="0" w:color="A6A6A6"/>
              <w:right w:val="nil"/>
            </w:tcBorders>
            <w:shd w:val="clear" w:color="auto" w:fill="E7E6E6"/>
          </w:tcPr>
          <w:p w14:paraId="48B46FBD" w14:textId="77777777" w:rsidR="00CE75D4" w:rsidRPr="008B06FF" w:rsidRDefault="00CE75D4" w:rsidP="008340C1">
            <w:pPr>
              <w:pStyle w:val="ARfintablebodyright"/>
              <w:ind w:right="10"/>
            </w:pPr>
            <w:r w:rsidRPr="00BB2A54">
              <w:t>(0.1)</w:t>
            </w:r>
          </w:p>
        </w:tc>
        <w:tc>
          <w:tcPr>
            <w:tcW w:w="851" w:type="dxa"/>
            <w:tcBorders>
              <w:top w:val="single" w:sz="4" w:space="0" w:color="A6A6A6"/>
              <w:left w:val="nil"/>
              <w:bottom w:val="single" w:sz="4" w:space="0" w:color="A6A6A6"/>
              <w:right w:val="nil"/>
            </w:tcBorders>
            <w:shd w:val="clear" w:color="auto" w:fill="E7E6E6"/>
            <w:noWrap/>
            <w:hideMark/>
          </w:tcPr>
          <w:p w14:paraId="4D2F893E"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33B0E95D"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24F56675"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75686FE4"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tcBorders>
            <w:shd w:val="clear" w:color="auto" w:fill="E7E6E6"/>
            <w:noWrap/>
            <w:hideMark/>
          </w:tcPr>
          <w:p w14:paraId="4299726B"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13C73EA0" w14:textId="77777777" w:rsidR="00CE75D4" w:rsidRPr="002029AF" w:rsidRDefault="00CE75D4" w:rsidP="008340C1">
            <w:pPr>
              <w:pStyle w:val="ARfintablebodyright"/>
              <w:ind w:right="10"/>
            </w:pPr>
            <w:r w:rsidRPr="00BB2A54">
              <w:t>0.1</w:t>
            </w:r>
          </w:p>
        </w:tc>
        <w:tc>
          <w:tcPr>
            <w:tcW w:w="851" w:type="dxa"/>
            <w:tcBorders>
              <w:top w:val="single" w:sz="4" w:space="0" w:color="A6A6A6"/>
              <w:bottom w:val="single" w:sz="4" w:space="0" w:color="A6A6A6"/>
            </w:tcBorders>
            <w:noWrap/>
            <w:hideMark/>
          </w:tcPr>
          <w:p w14:paraId="5DBA4C1A"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4F066254"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42F70509"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1988FFEA"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37CE7F16" w14:textId="77777777" w:rsidR="00CE75D4" w:rsidRPr="002029AF" w:rsidRDefault="00CE75D4" w:rsidP="008340C1">
            <w:pPr>
              <w:pStyle w:val="ARfintablebodyright"/>
              <w:ind w:right="10"/>
            </w:pPr>
            <w:r w:rsidRPr="00BB2A54">
              <w:t>0.1</w:t>
            </w:r>
          </w:p>
        </w:tc>
      </w:tr>
      <w:tr w:rsidR="00CE75D4" w:rsidRPr="002029AF" w14:paraId="4134712D" w14:textId="77777777" w:rsidTr="008340C1">
        <w:trPr>
          <w:cantSplit w:val="0"/>
        </w:trPr>
        <w:tc>
          <w:tcPr>
            <w:tcW w:w="3119" w:type="dxa"/>
            <w:tcBorders>
              <w:top w:val="single" w:sz="4" w:space="0" w:color="A6A6A6"/>
              <w:bottom w:val="single" w:sz="4" w:space="0" w:color="A6A6A6"/>
            </w:tcBorders>
            <w:noWrap/>
            <w:hideMark/>
          </w:tcPr>
          <w:p w14:paraId="5B72A4CA" w14:textId="77777777" w:rsidR="00CE75D4" w:rsidRPr="002029AF" w:rsidRDefault="00CE75D4" w:rsidP="008340C1">
            <w:pPr>
              <w:pStyle w:val="ARfintablebody"/>
            </w:pPr>
            <w:r w:rsidRPr="00BB2A54">
              <w:t>Mental Health Fund</w:t>
            </w:r>
          </w:p>
        </w:tc>
        <w:tc>
          <w:tcPr>
            <w:tcW w:w="851" w:type="dxa"/>
            <w:tcBorders>
              <w:top w:val="single" w:sz="4" w:space="0" w:color="A6A6A6"/>
              <w:bottom w:val="single" w:sz="4" w:space="0" w:color="A6A6A6"/>
              <w:right w:val="nil"/>
            </w:tcBorders>
            <w:shd w:val="clear" w:color="auto" w:fill="E7E6E6"/>
            <w:noWrap/>
            <w:hideMark/>
          </w:tcPr>
          <w:p w14:paraId="5828D0E4" w14:textId="77777777" w:rsidR="00CE75D4" w:rsidRPr="002029AF" w:rsidRDefault="00CE75D4" w:rsidP="008340C1">
            <w:pPr>
              <w:pStyle w:val="ARfintablebodyright"/>
              <w:ind w:right="10"/>
            </w:pPr>
            <w:r w:rsidRPr="00BB2A54">
              <w:t>2.1</w:t>
            </w:r>
          </w:p>
        </w:tc>
        <w:tc>
          <w:tcPr>
            <w:tcW w:w="851" w:type="dxa"/>
            <w:tcBorders>
              <w:top w:val="single" w:sz="4" w:space="0" w:color="A6A6A6"/>
              <w:left w:val="nil"/>
              <w:bottom w:val="single" w:sz="4" w:space="0" w:color="A6A6A6"/>
              <w:right w:val="nil"/>
            </w:tcBorders>
            <w:shd w:val="clear" w:color="auto" w:fill="E7E6E6"/>
          </w:tcPr>
          <w:p w14:paraId="30E2B02B" w14:textId="77777777" w:rsidR="00CE75D4" w:rsidRPr="008B06FF" w:rsidRDefault="00CE75D4" w:rsidP="008340C1">
            <w:pPr>
              <w:pStyle w:val="ARfintablebodyright"/>
              <w:ind w:right="10"/>
            </w:pPr>
            <w:r w:rsidRPr="00BB2A54">
              <w:t>(2.1)</w:t>
            </w:r>
          </w:p>
        </w:tc>
        <w:tc>
          <w:tcPr>
            <w:tcW w:w="851" w:type="dxa"/>
            <w:tcBorders>
              <w:top w:val="single" w:sz="4" w:space="0" w:color="A6A6A6"/>
              <w:left w:val="nil"/>
              <w:bottom w:val="single" w:sz="4" w:space="0" w:color="A6A6A6"/>
              <w:right w:val="nil"/>
            </w:tcBorders>
            <w:shd w:val="clear" w:color="auto" w:fill="E7E6E6"/>
            <w:noWrap/>
            <w:hideMark/>
          </w:tcPr>
          <w:p w14:paraId="038D2656"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59045402"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1617B55C"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26953BBA"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tcBorders>
            <w:shd w:val="clear" w:color="auto" w:fill="E7E6E6"/>
            <w:noWrap/>
            <w:hideMark/>
          </w:tcPr>
          <w:p w14:paraId="462115FA"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7E54F5A1" w14:textId="77777777" w:rsidR="00CE75D4" w:rsidRPr="002029AF" w:rsidRDefault="00CE75D4" w:rsidP="008340C1">
            <w:pPr>
              <w:pStyle w:val="ARfintablebodyright"/>
              <w:ind w:right="10"/>
            </w:pPr>
            <w:r w:rsidRPr="00BB2A54">
              <w:t>2.1</w:t>
            </w:r>
          </w:p>
        </w:tc>
        <w:tc>
          <w:tcPr>
            <w:tcW w:w="851" w:type="dxa"/>
            <w:tcBorders>
              <w:top w:val="single" w:sz="4" w:space="0" w:color="A6A6A6"/>
              <w:bottom w:val="single" w:sz="4" w:space="0" w:color="A6A6A6"/>
            </w:tcBorders>
            <w:noWrap/>
            <w:hideMark/>
          </w:tcPr>
          <w:p w14:paraId="1C600B37"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2B9AFBD9" w14:textId="77777777" w:rsidR="00CE75D4" w:rsidRPr="002029AF" w:rsidRDefault="00CE75D4" w:rsidP="008340C1">
            <w:pPr>
              <w:pStyle w:val="ARfintablebodyright"/>
              <w:ind w:right="10"/>
            </w:pPr>
            <w:r w:rsidRPr="00BB2A54">
              <w:t>63.9</w:t>
            </w:r>
          </w:p>
        </w:tc>
        <w:tc>
          <w:tcPr>
            <w:tcW w:w="851" w:type="dxa"/>
            <w:tcBorders>
              <w:top w:val="single" w:sz="4" w:space="0" w:color="A6A6A6"/>
              <w:bottom w:val="single" w:sz="4" w:space="0" w:color="A6A6A6"/>
            </w:tcBorders>
            <w:noWrap/>
            <w:hideMark/>
          </w:tcPr>
          <w:p w14:paraId="73BC7684" w14:textId="77777777" w:rsidR="00CE75D4" w:rsidRPr="002029AF" w:rsidRDefault="00CE75D4" w:rsidP="008340C1">
            <w:pPr>
              <w:pStyle w:val="ARfintablebodyright"/>
              <w:ind w:right="10"/>
            </w:pPr>
            <w:r w:rsidRPr="00BB2A54">
              <w:t>63.9</w:t>
            </w:r>
          </w:p>
        </w:tc>
        <w:tc>
          <w:tcPr>
            <w:tcW w:w="851" w:type="dxa"/>
            <w:tcBorders>
              <w:top w:val="single" w:sz="4" w:space="0" w:color="A6A6A6"/>
              <w:bottom w:val="single" w:sz="4" w:space="0" w:color="A6A6A6"/>
            </w:tcBorders>
            <w:noWrap/>
            <w:hideMark/>
          </w:tcPr>
          <w:p w14:paraId="201B991F"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5DCDF4C7" w14:textId="77777777" w:rsidR="00CE75D4" w:rsidRPr="002029AF" w:rsidRDefault="00CE75D4" w:rsidP="008340C1">
            <w:pPr>
              <w:pStyle w:val="ARfintablebodyright"/>
              <w:ind w:right="10"/>
            </w:pPr>
            <w:r w:rsidRPr="00BB2A54">
              <w:t>2.1</w:t>
            </w:r>
          </w:p>
        </w:tc>
      </w:tr>
      <w:tr w:rsidR="00CE75D4" w:rsidRPr="002029AF" w14:paraId="59514A19" w14:textId="77777777" w:rsidTr="008340C1">
        <w:trPr>
          <w:cantSplit w:val="0"/>
        </w:trPr>
        <w:tc>
          <w:tcPr>
            <w:tcW w:w="3119" w:type="dxa"/>
            <w:tcBorders>
              <w:top w:val="single" w:sz="4" w:space="0" w:color="A6A6A6"/>
              <w:bottom w:val="single" w:sz="4" w:space="0" w:color="A6A6A6"/>
            </w:tcBorders>
            <w:noWrap/>
            <w:hideMark/>
          </w:tcPr>
          <w:p w14:paraId="13E6A0FE" w14:textId="77777777" w:rsidR="00CE75D4" w:rsidRPr="002029AF" w:rsidRDefault="00CE75D4" w:rsidP="008340C1">
            <w:pPr>
              <w:pStyle w:val="ARfintablebody"/>
            </w:pPr>
            <w:r w:rsidRPr="00BB2A54">
              <w:t>Public Health Fund</w:t>
            </w:r>
          </w:p>
        </w:tc>
        <w:tc>
          <w:tcPr>
            <w:tcW w:w="851" w:type="dxa"/>
            <w:tcBorders>
              <w:top w:val="single" w:sz="4" w:space="0" w:color="A6A6A6"/>
              <w:bottom w:val="single" w:sz="4" w:space="0" w:color="A6A6A6"/>
              <w:right w:val="nil"/>
            </w:tcBorders>
            <w:shd w:val="clear" w:color="auto" w:fill="E7E6E6"/>
            <w:noWrap/>
            <w:hideMark/>
          </w:tcPr>
          <w:p w14:paraId="11BAFB5B" w14:textId="77777777" w:rsidR="00CE75D4" w:rsidRPr="002029AF" w:rsidRDefault="00CE75D4" w:rsidP="008340C1">
            <w:pPr>
              <w:pStyle w:val="ARfintablebodyright"/>
              <w:ind w:right="10"/>
            </w:pPr>
            <w:r w:rsidRPr="00BB2A54">
              <w:t>63.1</w:t>
            </w:r>
          </w:p>
        </w:tc>
        <w:tc>
          <w:tcPr>
            <w:tcW w:w="851" w:type="dxa"/>
            <w:tcBorders>
              <w:top w:val="single" w:sz="4" w:space="0" w:color="A6A6A6"/>
              <w:left w:val="nil"/>
              <w:bottom w:val="single" w:sz="4" w:space="0" w:color="A6A6A6"/>
              <w:right w:val="nil"/>
            </w:tcBorders>
            <w:shd w:val="clear" w:color="auto" w:fill="E7E6E6"/>
          </w:tcPr>
          <w:p w14:paraId="4D4985AF" w14:textId="77777777" w:rsidR="00CE75D4" w:rsidRPr="008B06F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189A6A2F"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76E85E38" w14:textId="77777777" w:rsidR="00CE75D4" w:rsidRPr="002029AF" w:rsidRDefault="00CE75D4" w:rsidP="008340C1">
            <w:pPr>
              <w:pStyle w:val="ARfintablebodyright"/>
              <w:ind w:right="10"/>
            </w:pPr>
            <w:r w:rsidRPr="00BB2A54">
              <w:t>5,173.8</w:t>
            </w:r>
          </w:p>
        </w:tc>
        <w:tc>
          <w:tcPr>
            <w:tcW w:w="851" w:type="dxa"/>
            <w:tcBorders>
              <w:top w:val="single" w:sz="4" w:space="0" w:color="A6A6A6"/>
              <w:left w:val="nil"/>
              <w:bottom w:val="single" w:sz="4" w:space="0" w:color="A6A6A6"/>
              <w:right w:val="nil"/>
            </w:tcBorders>
            <w:shd w:val="clear" w:color="auto" w:fill="E7E6E6"/>
            <w:noWrap/>
            <w:hideMark/>
          </w:tcPr>
          <w:p w14:paraId="4B737FAE" w14:textId="77777777" w:rsidR="00CE75D4" w:rsidRPr="002029AF" w:rsidRDefault="00CE75D4" w:rsidP="008340C1">
            <w:pPr>
              <w:pStyle w:val="ARfintablebodyright"/>
              <w:ind w:right="10"/>
            </w:pPr>
            <w:r w:rsidRPr="00BB2A54">
              <w:t>4,351.8</w:t>
            </w:r>
          </w:p>
        </w:tc>
        <w:tc>
          <w:tcPr>
            <w:tcW w:w="851" w:type="dxa"/>
            <w:tcBorders>
              <w:top w:val="single" w:sz="4" w:space="0" w:color="A6A6A6"/>
              <w:left w:val="nil"/>
              <w:bottom w:val="single" w:sz="4" w:space="0" w:color="A6A6A6"/>
              <w:right w:val="nil"/>
            </w:tcBorders>
            <w:shd w:val="clear" w:color="auto" w:fill="E7E6E6"/>
            <w:noWrap/>
            <w:hideMark/>
          </w:tcPr>
          <w:p w14:paraId="28F62149" w14:textId="77777777" w:rsidR="00CE75D4" w:rsidRPr="002029AF" w:rsidRDefault="00CE75D4" w:rsidP="008340C1">
            <w:pPr>
              <w:pStyle w:val="ARfintablebodyright"/>
              <w:ind w:right="10"/>
            </w:pPr>
            <w:r w:rsidRPr="00BB2A54">
              <w:t>(884.9)</w:t>
            </w:r>
          </w:p>
        </w:tc>
        <w:tc>
          <w:tcPr>
            <w:tcW w:w="851" w:type="dxa"/>
            <w:tcBorders>
              <w:top w:val="single" w:sz="4" w:space="0" w:color="A6A6A6"/>
              <w:left w:val="nil"/>
              <w:bottom w:val="single" w:sz="4" w:space="0" w:color="A6A6A6"/>
            </w:tcBorders>
            <w:shd w:val="clear" w:color="auto" w:fill="E7E6E6"/>
            <w:noWrap/>
            <w:hideMark/>
          </w:tcPr>
          <w:p w14:paraId="0567B6A7" w14:textId="77777777" w:rsidR="00CE75D4" w:rsidRPr="002029AF" w:rsidRDefault="00CE75D4" w:rsidP="008340C1">
            <w:pPr>
              <w:pStyle w:val="ARfintablebodyright"/>
              <w:ind w:right="10"/>
            </w:pPr>
            <w:r w:rsidRPr="00BB2A54">
              <w:t>0.2</w:t>
            </w:r>
          </w:p>
        </w:tc>
        <w:tc>
          <w:tcPr>
            <w:tcW w:w="851" w:type="dxa"/>
            <w:tcBorders>
              <w:top w:val="single" w:sz="4" w:space="0" w:color="A6A6A6"/>
              <w:bottom w:val="single" w:sz="4" w:space="0" w:color="A6A6A6"/>
            </w:tcBorders>
            <w:noWrap/>
            <w:hideMark/>
          </w:tcPr>
          <w:p w14:paraId="76D6E2EE" w14:textId="77777777" w:rsidR="00CE75D4" w:rsidRPr="002029AF" w:rsidRDefault="00CE75D4" w:rsidP="008340C1">
            <w:pPr>
              <w:pStyle w:val="ARfintablebodyright"/>
              <w:ind w:right="10"/>
            </w:pPr>
            <w:r w:rsidRPr="00BB2A54">
              <w:t>0.2</w:t>
            </w:r>
          </w:p>
        </w:tc>
        <w:tc>
          <w:tcPr>
            <w:tcW w:w="851" w:type="dxa"/>
            <w:tcBorders>
              <w:top w:val="single" w:sz="4" w:space="0" w:color="A6A6A6"/>
              <w:bottom w:val="single" w:sz="4" w:space="0" w:color="A6A6A6"/>
            </w:tcBorders>
            <w:noWrap/>
            <w:hideMark/>
          </w:tcPr>
          <w:p w14:paraId="2CCCC27E"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464E232E" w14:textId="77777777" w:rsidR="00CE75D4" w:rsidRPr="002029AF" w:rsidRDefault="00CE75D4" w:rsidP="008340C1">
            <w:pPr>
              <w:pStyle w:val="ARfintablebodyright"/>
              <w:ind w:right="10"/>
            </w:pPr>
            <w:r w:rsidRPr="00BB2A54">
              <w:t>2,698.1</w:t>
            </w:r>
          </w:p>
        </w:tc>
        <w:tc>
          <w:tcPr>
            <w:tcW w:w="851" w:type="dxa"/>
            <w:tcBorders>
              <w:top w:val="single" w:sz="4" w:space="0" w:color="A6A6A6"/>
              <w:bottom w:val="single" w:sz="4" w:space="0" w:color="A6A6A6"/>
            </w:tcBorders>
            <w:noWrap/>
            <w:hideMark/>
          </w:tcPr>
          <w:p w14:paraId="3EA87986" w14:textId="77777777" w:rsidR="00CE75D4" w:rsidRPr="002029AF" w:rsidRDefault="00CE75D4" w:rsidP="008340C1">
            <w:pPr>
              <w:pStyle w:val="ARfintablebodyright"/>
              <w:ind w:right="10"/>
            </w:pPr>
            <w:r w:rsidRPr="00BB2A54">
              <w:t>2,511.8</w:t>
            </w:r>
          </w:p>
        </w:tc>
        <w:tc>
          <w:tcPr>
            <w:tcW w:w="851" w:type="dxa"/>
            <w:tcBorders>
              <w:top w:val="single" w:sz="4" w:space="0" w:color="A6A6A6"/>
              <w:bottom w:val="single" w:sz="4" w:space="0" w:color="A6A6A6"/>
            </w:tcBorders>
            <w:noWrap/>
            <w:hideMark/>
          </w:tcPr>
          <w:p w14:paraId="604ACD0A" w14:textId="77777777" w:rsidR="00CE75D4" w:rsidRPr="002029AF" w:rsidRDefault="00CE75D4" w:rsidP="008340C1">
            <w:pPr>
              <w:pStyle w:val="ARfintablebodyright"/>
              <w:ind w:right="10"/>
            </w:pPr>
            <w:r w:rsidRPr="00BB2A54">
              <w:t>(123.4)</w:t>
            </w:r>
          </w:p>
        </w:tc>
        <w:tc>
          <w:tcPr>
            <w:tcW w:w="851" w:type="dxa"/>
            <w:tcBorders>
              <w:top w:val="single" w:sz="4" w:space="0" w:color="A6A6A6"/>
              <w:bottom w:val="single" w:sz="4" w:space="0" w:color="A6A6A6"/>
            </w:tcBorders>
            <w:noWrap/>
            <w:hideMark/>
          </w:tcPr>
          <w:p w14:paraId="30A8DDCA" w14:textId="77777777" w:rsidR="00CE75D4" w:rsidRPr="002029AF" w:rsidRDefault="00CE75D4" w:rsidP="008340C1">
            <w:pPr>
              <w:pStyle w:val="ARfintablebodyright"/>
              <w:ind w:right="10"/>
            </w:pPr>
            <w:r w:rsidRPr="00BB2A54">
              <w:t>63.1</w:t>
            </w:r>
          </w:p>
        </w:tc>
      </w:tr>
      <w:tr w:rsidR="00CE75D4" w:rsidRPr="002029AF" w14:paraId="6946562A" w14:textId="77777777" w:rsidTr="008340C1">
        <w:trPr>
          <w:cantSplit w:val="0"/>
        </w:trPr>
        <w:tc>
          <w:tcPr>
            <w:tcW w:w="3119" w:type="dxa"/>
            <w:tcBorders>
              <w:top w:val="single" w:sz="4" w:space="0" w:color="A6A6A6"/>
              <w:bottom w:val="single" w:sz="4" w:space="0" w:color="A6A6A6"/>
            </w:tcBorders>
            <w:noWrap/>
            <w:hideMark/>
          </w:tcPr>
          <w:p w14:paraId="1E94985F" w14:textId="77777777" w:rsidR="00CE75D4" w:rsidRPr="002029AF" w:rsidRDefault="00CE75D4" w:rsidP="008340C1">
            <w:pPr>
              <w:pStyle w:val="ARfintablebody"/>
            </w:pPr>
            <w:r w:rsidRPr="00BB2A54">
              <w:t>Treasury Trust</w:t>
            </w:r>
          </w:p>
        </w:tc>
        <w:tc>
          <w:tcPr>
            <w:tcW w:w="851" w:type="dxa"/>
            <w:tcBorders>
              <w:top w:val="single" w:sz="4" w:space="0" w:color="A6A6A6"/>
              <w:bottom w:val="single" w:sz="4" w:space="0" w:color="A6A6A6"/>
              <w:right w:val="nil"/>
            </w:tcBorders>
            <w:shd w:val="clear" w:color="auto" w:fill="E7E6E6"/>
            <w:noWrap/>
            <w:hideMark/>
          </w:tcPr>
          <w:p w14:paraId="45A62E95" w14:textId="77777777" w:rsidR="00CE75D4" w:rsidRPr="002029AF" w:rsidRDefault="00CE75D4" w:rsidP="008340C1">
            <w:pPr>
              <w:pStyle w:val="ARfintablebodyright"/>
              <w:ind w:right="10"/>
            </w:pPr>
            <w:r w:rsidRPr="00BB2A54">
              <w:t>86.6</w:t>
            </w:r>
          </w:p>
        </w:tc>
        <w:tc>
          <w:tcPr>
            <w:tcW w:w="851" w:type="dxa"/>
            <w:tcBorders>
              <w:top w:val="single" w:sz="4" w:space="0" w:color="A6A6A6"/>
              <w:left w:val="nil"/>
              <w:bottom w:val="single" w:sz="4" w:space="0" w:color="A6A6A6"/>
              <w:right w:val="nil"/>
            </w:tcBorders>
            <w:shd w:val="clear" w:color="auto" w:fill="E7E6E6"/>
          </w:tcPr>
          <w:p w14:paraId="1355DB34" w14:textId="77777777" w:rsidR="00CE75D4" w:rsidRPr="008B06FF" w:rsidRDefault="00CE75D4" w:rsidP="008340C1">
            <w:pPr>
              <w:pStyle w:val="ARfintablebodyright"/>
              <w:ind w:right="10"/>
            </w:pPr>
            <w:r w:rsidRPr="00BB2A54">
              <w:t>(21.9)</w:t>
            </w:r>
          </w:p>
        </w:tc>
        <w:tc>
          <w:tcPr>
            <w:tcW w:w="851" w:type="dxa"/>
            <w:tcBorders>
              <w:top w:val="single" w:sz="4" w:space="0" w:color="A6A6A6"/>
              <w:left w:val="nil"/>
              <w:bottom w:val="single" w:sz="4" w:space="0" w:color="A6A6A6"/>
              <w:right w:val="nil"/>
            </w:tcBorders>
            <w:shd w:val="clear" w:color="auto" w:fill="E7E6E6"/>
            <w:noWrap/>
            <w:hideMark/>
          </w:tcPr>
          <w:p w14:paraId="5FC721E5"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756C3D62" w14:textId="77777777" w:rsidR="00CE75D4" w:rsidRPr="002029AF" w:rsidRDefault="00CE75D4" w:rsidP="008340C1">
            <w:pPr>
              <w:pStyle w:val="ARfintablebodyright"/>
              <w:ind w:right="10"/>
            </w:pPr>
            <w:r w:rsidRPr="00BB2A54">
              <w:t>62.3</w:t>
            </w:r>
          </w:p>
        </w:tc>
        <w:tc>
          <w:tcPr>
            <w:tcW w:w="851" w:type="dxa"/>
            <w:tcBorders>
              <w:top w:val="single" w:sz="4" w:space="0" w:color="A6A6A6"/>
              <w:left w:val="nil"/>
              <w:bottom w:val="single" w:sz="4" w:space="0" w:color="A6A6A6"/>
              <w:right w:val="nil"/>
            </w:tcBorders>
            <w:shd w:val="clear" w:color="auto" w:fill="E7E6E6"/>
            <w:noWrap/>
            <w:hideMark/>
          </w:tcPr>
          <w:p w14:paraId="547BC7B8" w14:textId="77777777" w:rsidR="00CE75D4" w:rsidRPr="002029AF" w:rsidRDefault="00CE75D4" w:rsidP="008340C1">
            <w:pPr>
              <w:pStyle w:val="ARfintablebodyright"/>
              <w:ind w:right="10"/>
            </w:pPr>
            <w:r w:rsidRPr="00BB2A54">
              <w:t>44.2</w:t>
            </w:r>
          </w:p>
        </w:tc>
        <w:tc>
          <w:tcPr>
            <w:tcW w:w="851" w:type="dxa"/>
            <w:tcBorders>
              <w:top w:val="single" w:sz="4" w:space="0" w:color="A6A6A6"/>
              <w:left w:val="nil"/>
              <w:bottom w:val="single" w:sz="4" w:space="0" w:color="A6A6A6"/>
              <w:right w:val="nil"/>
            </w:tcBorders>
            <w:shd w:val="clear" w:color="auto" w:fill="E7E6E6"/>
            <w:noWrap/>
            <w:hideMark/>
          </w:tcPr>
          <w:p w14:paraId="2BA9C612" w14:textId="77777777" w:rsidR="00CE75D4" w:rsidRPr="002029AF" w:rsidRDefault="00CE75D4" w:rsidP="008340C1">
            <w:pPr>
              <w:pStyle w:val="ARfintablebodyright"/>
              <w:ind w:right="10"/>
            </w:pPr>
            <w:r w:rsidRPr="00BB2A54">
              <w:t>(16.8)</w:t>
            </w:r>
          </w:p>
        </w:tc>
        <w:tc>
          <w:tcPr>
            <w:tcW w:w="851" w:type="dxa"/>
            <w:tcBorders>
              <w:top w:val="single" w:sz="4" w:space="0" w:color="A6A6A6"/>
              <w:left w:val="nil"/>
              <w:bottom w:val="single" w:sz="4" w:space="0" w:color="A6A6A6"/>
            </w:tcBorders>
            <w:shd w:val="clear" w:color="auto" w:fill="E7E6E6"/>
            <w:noWrap/>
            <w:hideMark/>
          </w:tcPr>
          <w:p w14:paraId="2B206D6B" w14:textId="77777777" w:rsidR="00CE75D4" w:rsidRPr="002029AF" w:rsidRDefault="00CE75D4" w:rsidP="008340C1">
            <w:pPr>
              <w:pStyle w:val="ARfintablebodyright"/>
              <w:ind w:right="10"/>
            </w:pPr>
            <w:r w:rsidRPr="00BB2A54">
              <w:t>66.0</w:t>
            </w:r>
          </w:p>
        </w:tc>
        <w:tc>
          <w:tcPr>
            <w:tcW w:w="851" w:type="dxa"/>
            <w:tcBorders>
              <w:top w:val="single" w:sz="4" w:space="0" w:color="A6A6A6"/>
              <w:bottom w:val="single" w:sz="4" w:space="0" w:color="A6A6A6"/>
            </w:tcBorders>
            <w:noWrap/>
            <w:hideMark/>
          </w:tcPr>
          <w:p w14:paraId="16126349" w14:textId="77777777" w:rsidR="00CE75D4" w:rsidRPr="002029AF" w:rsidRDefault="00CE75D4" w:rsidP="008340C1">
            <w:pPr>
              <w:pStyle w:val="ARfintablebodyright"/>
              <w:ind w:right="10"/>
            </w:pPr>
            <w:r w:rsidRPr="00BB2A54">
              <w:t>64.4</w:t>
            </w:r>
          </w:p>
        </w:tc>
        <w:tc>
          <w:tcPr>
            <w:tcW w:w="851" w:type="dxa"/>
            <w:tcBorders>
              <w:top w:val="single" w:sz="4" w:space="0" w:color="A6A6A6"/>
              <w:bottom w:val="single" w:sz="4" w:space="0" w:color="A6A6A6"/>
            </w:tcBorders>
            <w:noWrap/>
            <w:hideMark/>
          </w:tcPr>
          <w:p w14:paraId="5A77B0F3" w14:textId="77777777" w:rsidR="00CE75D4" w:rsidRPr="002029AF" w:rsidRDefault="00CE75D4" w:rsidP="008340C1">
            <w:pPr>
              <w:pStyle w:val="ARfintablebodyright"/>
              <w:ind w:right="10"/>
            </w:pPr>
            <w:r w:rsidRPr="00BB2A54">
              <w:t>0.6</w:t>
            </w:r>
          </w:p>
        </w:tc>
        <w:tc>
          <w:tcPr>
            <w:tcW w:w="851" w:type="dxa"/>
            <w:tcBorders>
              <w:top w:val="single" w:sz="4" w:space="0" w:color="A6A6A6"/>
              <w:bottom w:val="single" w:sz="4" w:space="0" w:color="A6A6A6"/>
            </w:tcBorders>
            <w:noWrap/>
            <w:hideMark/>
          </w:tcPr>
          <w:p w14:paraId="3CCC346B" w14:textId="77777777" w:rsidR="00CE75D4" w:rsidRPr="002029AF" w:rsidRDefault="00CE75D4" w:rsidP="008340C1">
            <w:pPr>
              <w:pStyle w:val="ARfintablebodyright"/>
              <w:ind w:right="10"/>
            </w:pPr>
            <w:r w:rsidRPr="00BB2A54">
              <w:t>65.1</w:t>
            </w:r>
          </w:p>
        </w:tc>
        <w:tc>
          <w:tcPr>
            <w:tcW w:w="851" w:type="dxa"/>
            <w:tcBorders>
              <w:top w:val="single" w:sz="4" w:space="0" w:color="A6A6A6"/>
              <w:bottom w:val="single" w:sz="4" w:space="0" w:color="A6A6A6"/>
            </w:tcBorders>
            <w:noWrap/>
            <w:hideMark/>
          </w:tcPr>
          <w:p w14:paraId="0103B40F" w14:textId="77777777" w:rsidR="00CE75D4" w:rsidRPr="002029AF" w:rsidRDefault="00CE75D4" w:rsidP="008340C1">
            <w:pPr>
              <w:pStyle w:val="ARfintablebodyright"/>
              <w:ind w:right="10"/>
            </w:pPr>
            <w:r w:rsidRPr="00BB2A54">
              <w:t>42.8</w:t>
            </w:r>
          </w:p>
        </w:tc>
        <w:tc>
          <w:tcPr>
            <w:tcW w:w="851" w:type="dxa"/>
            <w:tcBorders>
              <w:top w:val="single" w:sz="4" w:space="0" w:color="A6A6A6"/>
              <w:bottom w:val="single" w:sz="4" w:space="0" w:color="A6A6A6"/>
            </w:tcBorders>
            <w:noWrap/>
            <w:hideMark/>
          </w:tcPr>
          <w:p w14:paraId="061F45FF" w14:textId="77777777" w:rsidR="00CE75D4" w:rsidRPr="002029AF" w:rsidRDefault="00CE75D4" w:rsidP="008340C1">
            <w:pPr>
              <w:pStyle w:val="ARfintablebodyright"/>
              <w:ind w:right="10"/>
            </w:pPr>
            <w:r w:rsidRPr="00BB2A54">
              <w:t>(0.7)</w:t>
            </w:r>
          </w:p>
        </w:tc>
        <w:tc>
          <w:tcPr>
            <w:tcW w:w="851" w:type="dxa"/>
            <w:tcBorders>
              <w:top w:val="single" w:sz="4" w:space="0" w:color="A6A6A6"/>
              <w:bottom w:val="single" w:sz="4" w:space="0" w:color="A6A6A6"/>
            </w:tcBorders>
            <w:noWrap/>
            <w:hideMark/>
          </w:tcPr>
          <w:p w14:paraId="78CCF0FF" w14:textId="77777777" w:rsidR="00CE75D4" w:rsidRPr="002029AF" w:rsidRDefault="00CE75D4" w:rsidP="008340C1">
            <w:pPr>
              <w:pStyle w:val="ARfintablebodyright"/>
              <w:ind w:right="10"/>
            </w:pPr>
            <w:r w:rsidRPr="00BB2A54">
              <w:t>86.6</w:t>
            </w:r>
          </w:p>
        </w:tc>
      </w:tr>
      <w:tr w:rsidR="00CE75D4" w:rsidRPr="002029AF" w14:paraId="765C306A" w14:textId="77777777" w:rsidTr="008340C1">
        <w:trPr>
          <w:cantSplit w:val="0"/>
        </w:trPr>
        <w:tc>
          <w:tcPr>
            <w:tcW w:w="3119" w:type="dxa"/>
            <w:tcBorders>
              <w:top w:val="single" w:sz="4" w:space="0" w:color="A6A6A6"/>
              <w:bottom w:val="single" w:sz="4" w:space="0" w:color="A6A6A6"/>
            </w:tcBorders>
            <w:noWrap/>
          </w:tcPr>
          <w:p w14:paraId="4A648484" w14:textId="77777777" w:rsidR="00CE75D4" w:rsidRPr="002029AF" w:rsidRDefault="00CE75D4" w:rsidP="008340C1">
            <w:pPr>
              <w:pStyle w:val="ARfintablebody"/>
            </w:pPr>
            <w:r w:rsidRPr="00BB2A54">
              <w:t>Inter-</w:t>
            </w:r>
            <w:r>
              <w:t>D</w:t>
            </w:r>
            <w:r w:rsidRPr="00BB2A54">
              <w:t>epartmental Transfer Trust</w:t>
            </w:r>
          </w:p>
        </w:tc>
        <w:tc>
          <w:tcPr>
            <w:tcW w:w="851" w:type="dxa"/>
            <w:tcBorders>
              <w:top w:val="single" w:sz="4" w:space="0" w:color="A6A6A6"/>
              <w:bottom w:val="single" w:sz="4" w:space="0" w:color="A6A6A6"/>
              <w:right w:val="nil"/>
            </w:tcBorders>
            <w:shd w:val="clear" w:color="auto" w:fill="E7E6E6"/>
            <w:noWrap/>
          </w:tcPr>
          <w:p w14:paraId="0D3C8E14" w14:textId="77777777" w:rsidR="00CE75D4" w:rsidRPr="002029AF" w:rsidRDefault="00CE75D4" w:rsidP="008340C1">
            <w:pPr>
              <w:pStyle w:val="ARfintablebodyright"/>
              <w:ind w:right="10"/>
            </w:pPr>
            <w:r w:rsidRPr="00BB2A54">
              <w:t>(0.3)</w:t>
            </w:r>
          </w:p>
        </w:tc>
        <w:tc>
          <w:tcPr>
            <w:tcW w:w="851" w:type="dxa"/>
            <w:tcBorders>
              <w:top w:val="single" w:sz="4" w:space="0" w:color="A6A6A6"/>
              <w:left w:val="nil"/>
              <w:bottom w:val="single" w:sz="4" w:space="0" w:color="A6A6A6"/>
              <w:right w:val="nil"/>
            </w:tcBorders>
            <w:shd w:val="clear" w:color="auto" w:fill="E7E6E6"/>
          </w:tcPr>
          <w:p w14:paraId="67234BBD" w14:textId="77777777" w:rsidR="00CE75D4" w:rsidRPr="008B06FF" w:rsidRDefault="00CE75D4" w:rsidP="008340C1">
            <w:pPr>
              <w:pStyle w:val="ARfintablebodyright"/>
              <w:ind w:right="10"/>
            </w:pPr>
            <w:r w:rsidRPr="00BB2A54">
              <w:t>(37.1)</w:t>
            </w:r>
          </w:p>
        </w:tc>
        <w:tc>
          <w:tcPr>
            <w:tcW w:w="851" w:type="dxa"/>
            <w:tcBorders>
              <w:top w:val="single" w:sz="4" w:space="0" w:color="A6A6A6"/>
              <w:left w:val="nil"/>
              <w:bottom w:val="single" w:sz="4" w:space="0" w:color="A6A6A6"/>
              <w:right w:val="nil"/>
            </w:tcBorders>
            <w:shd w:val="clear" w:color="auto" w:fill="E7E6E6"/>
            <w:noWrap/>
          </w:tcPr>
          <w:p w14:paraId="501D6D86"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tcPr>
          <w:p w14:paraId="13FF7BAF" w14:textId="77777777" w:rsidR="00CE75D4" w:rsidRPr="002029AF" w:rsidRDefault="00CE75D4" w:rsidP="008340C1">
            <w:pPr>
              <w:pStyle w:val="ARfintablebodyright"/>
              <w:ind w:right="10"/>
            </w:pPr>
            <w:r w:rsidRPr="00BB2A54">
              <w:t>260.4</w:t>
            </w:r>
          </w:p>
        </w:tc>
        <w:tc>
          <w:tcPr>
            <w:tcW w:w="851" w:type="dxa"/>
            <w:tcBorders>
              <w:top w:val="single" w:sz="4" w:space="0" w:color="A6A6A6"/>
              <w:left w:val="nil"/>
              <w:bottom w:val="single" w:sz="4" w:space="0" w:color="A6A6A6"/>
              <w:right w:val="nil"/>
            </w:tcBorders>
            <w:shd w:val="clear" w:color="auto" w:fill="E7E6E6"/>
            <w:noWrap/>
          </w:tcPr>
          <w:p w14:paraId="4B389F6C" w14:textId="77777777" w:rsidR="00CE75D4" w:rsidRPr="002029AF" w:rsidRDefault="00CE75D4" w:rsidP="008340C1">
            <w:pPr>
              <w:pStyle w:val="ARfintablebodyright"/>
              <w:ind w:right="10"/>
            </w:pPr>
            <w:r w:rsidRPr="00BB2A54">
              <w:t>267.2</w:t>
            </w:r>
          </w:p>
        </w:tc>
        <w:tc>
          <w:tcPr>
            <w:tcW w:w="851" w:type="dxa"/>
            <w:tcBorders>
              <w:top w:val="single" w:sz="4" w:space="0" w:color="A6A6A6"/>
              <w:left w:val="nil"/>
              <w:bottom w:val="single" w:sz="4" w:space="0" w:color="A6A6A6"/>
              <w:right w:val="nil"/>
            </w:tcBorders>
            <w:shd w:val="clear" w:color="auto" w:fill="E7E6E6"/>
            <w:noWrap/>
          </w:tcPr>
          <w:p w14:paraId="5648CA93" w14:textId="77777777" w:rsidR="00CE75D4" w:rsidRPr="002029AF" w:rsidRDefault="00CE75D4" w:rsidP="008340C1">
            <w:pPr>
              <w:pStyle w:val="ARfintablebodyright"/>
              <w:ind w:right="10"/>
            </w:pPr>
            <w:r w:rsidRPr="00BB2A54">
              <w:t>55.8</w:t>
            </w:r>
          </w:p>
        </w:tc>
        <w:tc>
          <w:tcPr>
            <w:tcW w:w="851" w:type="dxa"/>
            <w:tcBorders>
              <w:top w:val="single" w:sz="4" w:space="0" w:color="A6A6A6"/>
              <w:left w:val="nil"/>
              <w:bottom w:val="single" w:sz="4" w:space="0" w:color="A6A6A6"/>
            </w:tcBorders>
            <w:shd w:val="clear" w:color="auto" w:fill="E7E6E6"/>
            <w:noWrap/>
          </w:tcPr>
          <w:p w14:paraId="41904929" w14:textId="77777777" w:rsidR="00CE75D4" w:rsidRPr="002029AF" w:rsidRDefault="00CE75D4" w:rsidP="008340C1">
            <w:pPr>
              <w:pStyle w:val="ARfintablebodyright"/>
              <w:ind w:right="10"/>
            </w:pPr>
            <w:r w:rsidRPr="00BB2A54">
              <w:t>11.6</w:t>
            </w:r>
          </w:p>
        </w:tc>
        <w:tc>
          <w:tcPr>
            <w:tcW w:w="851" w:type="dxa"/>
            <w:tcBorders>
              <w:top w:val="single" w:sz="4" w:space="0" w:color="A6A6A6"/>
              <w:bottom w:val="single" w:sz="4" w:space="0" w:color="A6A6A6"/>
            </w:tcBorders>
            <w:noWrap/>
          </w:tcPr>
          <w:p w14:paraId="575388FA" w14:textId="77777777" w:rsidR="00CE75D4" w:rsidRPr="002029AF" w:rsidRDefault="00CE75D4" w:rsidP="008340C1">
            <w:pPr>
              <w:pStyle w:val="ARfintablebodyright"/>
              <w:ind w:right="10"/>
            </w:pPr>
            <w:r w:rsidRPr="00BB2A54">
              <w:t>65.8</w:t>
            </w:r>
          </w:p>
        </w:tc>
        <w:tc>
          <w:tcPr>
            <w:tcW w:w="851" w:type="dxa"/>
            <w:tcBorders>
              <w:top w:val="single" w:sz="4" w:space="0" w:color="A6A6A6"/>
              <w:bottom w:val="single" w:sz="4" w:space="0" w:color="A6A6A6"/>
            </w:tcBorders>
            <w:noWrap/>
          </w:tcPr>
          <w:p w14:paraId="3ABACBEB" w14:textId="77777777" w:rsidR="00CE75D4" w:rsidRPr="002029AF" w:rsidRDefault="00CE75D4" w:rsidP="008340C1">
            <w:pPr>
              <w:pStyle w:val="ARfintablebodyright"/>
              <w:ind w:right="10"/>
            </w:pPr>
            <w:r w:rsidRPr="00BB2A54">
              <w:t>(2.0)</w:t>
            </w:r>
          </w:p>
        </w:tc>
        <w:tc>
          <w:tcPr>
            <w:tcW w:w="851" w:type="dxa"/>
            <w:tcBorders>
              <w:top w:val="single" w:sz="4" w:space="0" w:color="A6A6A6"/>
              <w:bottom w:val="single" w:sz="4" w:space="0" w:color="A6A6A6"/>
            </w:tcBorders>
            <w:noWrap/>
          </w:tcPr>
          <w:p w14:paraId="2B2DBBD5" w14:textId="77777777" w:rsidR="00CE75D4" w:rsidRPr="002029AF" w:rsidRDefault="00CE75D4" w:rsidP="008340C1">
            <w:pPr>
              <w:pStyle w:val="ARfintablebodyright"/>
              <w:ind w:right="10"/>
            </w:pPr>
            <w:r w:rsidRPr="00BB2A54">
              <w:t>360.2</w:t>
            </w:r>
          </w:p>
        </w:tc>
        <w:tc>
          <w:tcPr>
            <w:tcW w:w="851" w:type="dxa"/>
            <w:tcBorders>
              <w:top w:val="single" w:sz="4" w:space="0" w:color="A6A6A6"/>
              <w:bottom w:val="single" w:sz="4" w:space="0" w:color="A6A6A6"/>
            </w:tcBorders>
            <w:noWrap/>
          </w:tcPr>
          <w:p w14:paraId="148B9C78" w14:textId="77777777" w:rsidR="00CE75D4" w:rsidRPr="002029AF" w:rsidRDefault="00CE75D4" w:rsidP="008340C1">
            <w:pPr>
              <w:pStyle w:val="ARfintablebodyright"/>
              <w:ind w:right="10"/>
            </w:pPr>
            <w:r w:rsidRPr="00BB2A54">
              <w:t>349.7</w:t>
            </w:r>
          </w:p>
        </w:tc>
        <w:tc>
          <w:tcPr>
            <w:tcW w:w="851" w:type="dxa"/>
            <w:tcBorders>
              <w:top w:val="single" w:sz="4" w:space="0" w:color="A6A6A6"/>
              <w:bottom w:val="single" w:sz="4" w:space="0" w:color="A6A6A6"/>
            </w:tcBorders>
            <w:noWrap/>
          </w:tcPr>
          <w:p w14:paraId="4AFE6303" w14:textId="77777777" w:rsidR="00CE75D4" w:rsidRPr="002029AF" w:rsidRDefault="00CE75D4" w:rsidP="008340C1">
            <w:pPr>
              <w:pStyle w:val="ARfintablebodyright"/>
              <w:ind w:right="10"/>
            </w:pPr>
            <w:r w:rsidRPr="00BB2A54">
              <w:t>(74.6)</w:t>
            </w:r>
          </w:p>
        </w:tc>
        <w:tc>
          <w:tcPr>
            <w:tcW w:w="851" w:type="dxa"/>
            <w:tcBorders>
              <w:top w:val="single" w:sz="4" w:space="0" w:color="A6A6A6"/>
              <w:bottom w:val="single" w:sz="4" w:space="0" w:color="A6A6A6"/>
            </w:tcBorders>
            <w:noWrap/>
          </w:tcPr>
          <w:p w14:paraId="1C294581" w14:textId="77777777" w:rsidR="00CE75D4" w:rsidRPr="002029AF" w:rsidRDefault="00CE75D4" w:rsidP="008340C1">
            <w:pPr>
              <w:pStyle w:val="ARfintablebodyright"/>
              <w:ind w:right="10"/>
            </w:pPr>
            <w:r w:rsidRPr="00BB2A54">
              <w:t>(0.3)</w:t>
            </w:r>
          </w:p>
        </w:tc>
      </w:tr>
      <w:tr w:rsidR="00CE75D4" w:rsidRPr="002029AF" w14:paraId="7F8C1138" w14:textId="77777777" w:rsidTr="008340C1">
        <w:trPr>
          <w:cantSplit w:val="0"/>
        </w:trPr>
        <w:tc>
          <w:tcPr>
            <w:tcW w:w="3119" w:type="dxa"/>
            <w:tcBorders>
              <w:top w:val="single" w:sz="4" w:space="0" w:color="A6A6A6"/>
              <w:bottom w:val="single" w:sz="4" w:space="0" w:color="A6A6A6"/>
            </w:tcBorders>
            <w:noWrap/>
          </w:tcPr>
          <w:p w14:paraId="49BA4872" w14:textId="77777777" w:rsidR="00CE75D4" w:rsidRPr="002029AF" w:rsidRDefault="00CE75D4" w:rsidP="008340C1">
            <w:pPr>
              <w:pStyle w:val="ARfintablebody"/>
            </w:pPr>
            <w:r w:rsidRPr="00BB2A54">
              <w:t>Vehicle Lease Trust Account</w:t>
            </w:r>
          </w:p>
        </w:tc>
        <w:tc>
          <w:tcPr>
            <w:tcW w:w="851" w:type="dxa"/>
            <w:tcBorders>
              <w:top w:val="single" w:sz="4" w:space="0" w:color="A6A6A6"/>
              <w:bottom w:val="single" w:sz="4" w:space="0" w:color="A6A6A6"/>
              <w:right w:val="nil"/>
            </w:tcBorders>
            <w:shd w:val="clear" w:color="auto" w:fill="E7E6E6"/>
            <w:noWrap/>
          </w:tcPr>
          <w:p w14:paraId="0A7A1383" w14:textId="77777777" w:rsidR="00CE75D4" w:rsidRPr="002029AF" w:rsidRDefault="00CE75D4" w:rsidP="008340C1">
            <w:pPr>
              <w:pStyle w:val="ARfintablebodyright"/>
              <w:ind w:right="10"/>
            </w:pPr>
            <w:r w:rsidRPr="00BB2A54">
              <w:t>11.7</w:t>
            </w:r>
          </w:p>
        </w:tc>
        <w:tc>
          <w:tcPr>
            <w:tcW w:w="851" w:type="dxa"/>
            <w:tcBorders>
              <w:top w:val="single" w:sz="4" w:space="0" w:color="A6A6A6"/>
              <w:left w:val="nil"/>
              <w:bottom w:val="single" w:sz="4" w:space="0" w:color="A6A6A6"/>
              <w:right w:val="nil"/>
            </w:tcBorders>
            <w:shd w:val="clear" w:color="auto" w:fill="E7E6E6"/>
          </w:tcPr>
          <w:p w14:paraId="084B30C1" w14:textId="77777777" w:rsidR="00CE75D4" w:rsidRPr="008B06FF" w:rsidRDefault="00CE75D4" w:rsidP="008340C1">
            <w:pPr>
              <w:pStyle w:val="ARfintablebodyright"/>
              <w:ind w:right="10"/>
            </w:pPr>
            <w:r w:rsidRPr="00BB2A54">
              <w:t>(10.6)</w:t>
            </w:r>
          </w:p>
        </w:tc>
        <w:tc>
          <w:tcPr>
            <w:tcW w:w="851" w:type="dxa"/>
            <w:tcBorders>
              <w:top w:val="single" w:sz="4" w:space="0" w:color="A6A6A6"/>
              <w:left w:val="nil"/>
              <w:bottom w:val="single" w:sz="4" w:space="0" w:color="A6A6A6"/>
              <w:right w:val="nil"/>
            </w:tcBorders>
            <w:shd w:val="clear" w:color="auto" w:fill="E7E6E6"/>
            <w:noWrap/>
          </w:tcPr>
          <w:p w14:paraId="479A1D60"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tcPr>
          <w:p w14:paraId="7E65CDBA" w14:textId="77777777" w:rsidR="00CE75D4" w:rsidRPr="002029AF" w:rsidRDefault="00CE75D4" w:rsidP="008340C1">
            <w:pPr>
              <w:pStyle w:val="ARfintablebodyright"/>
              <w:ind w:right="10"/>
            </w:pPr>
            <w:r w:rsidRPr="00BB2A54">
              <w:t>0.3</w:t>
            </w:r>
          </w:p>
        </w:tc>
        <w:tc>
          <w:tcPr>
            <w:tcW w:w="851" w:type="dxa"/>
            <w:tcBorders>
              <w:top w:val="single" w:sz="4" w:space="0" w:color="A6A6A6"/>
              <w:left w:val="nil"/>
              <w:bottom w:val="single" w:sz="4" w:space="0" w:color="A6A6A6"/>
              <w:right w:val="nil"/>
            </w:tcBorders>
            <w:shd w:val="clear" w:color="auto" w:fill="E7E6E6"/>
            <w:noWrap/>
          </w:tcPr>
          <w:p w14:paraId="22926151" w14:textId="77777777" w:rsidR="00CE75D4" w:rsidRPr="002029AF" w:rsidRDefault="00CE75D4" w:rsidP="008340C1">
            <w:pPr>
              <w:pStyle w:val="ARfintablebodyright"/>
              <w:ind w:right="10"/>
            </w:pPr>
            <w:r w:rsidRPr="00BB2A54">
              <w:t>0.3</w:t>
            </w:r>
          </w:p>
        </w:tc>
        <w:tc>
          <w:tcPr>
            <w:tcW w:w="851" w:type="dxa"/>
            <w:tcBorders>
              <w:top w:val="single" w:sz="4" w:space="0" w:color="A6A6A6"/>
              <w:left w:val="nil"/>
              <w:bottom w:val="single" w:sz="4" w:space="0" w:color="A6A6A6"/>
              <w:right w:val="nil"/>
            </w:tcBorders>
            <w:shd w:val="clear" w:color="auto" w:fill="E7E6E6"/>
            <w:noWrap/>
          </w:tcPr>
          <w:p w14:paraId="64AC26EE"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tcBorders>
            <w:shd w:val="clear" w:color="auto" w:fill="E7E6E6"/>
            <w:noWrap/>
          </w:tcPr>
          <w:p w14:paraId="3B5E75BE" w14:textId="77777777" w:rsidR="00CE75D4" w:rsidRPr="002029AF" w:rsidRDefault="00CE75D4" w:rsidP="008340C1">
            <w:pPr>
              <w:pStyle w:val="ARfintablebodyright"/>
              <w:ind w:right="10"/>
            </w:pPr>
            <w:r w:rsidRPr="00BB2A54">
              <w:t>1.0</w:t>
            </w:r>
          </w:p>
        </w:tc>
        <w:tc>
          <w:tcPr>
            <w:tcW w:w="851" w:type="dxa"/>
            <w:tcBorders>
              <w:top w:val="single" w:sz="4" w:space="0" w:color="A6A6A6"/>
              <w:bottom w:val="single" w:sz="4" w:space="0" w:color="A6A6A6"/>
            </w:tcBorders>
            <w:noWrap/>
          </w:tcPr>
          <w:p w14:paraId="31D7C879" w14:textId="77777777" w:rsidR="00CE75D4" w:rsidRPr="002029AF" w:rsidRDefault="00CE75D4" w:rsidP="008340C1">
            <w:pPr>
              <w:pStyle w:val="ARfintablebodyright"/>
              <w:ind w:right="10"/>
            </w:pPr>
            <w:r w:rsidRPr="00BB2A54">
              <w:t>10.3</w:t>
            </w:r>
          </w:p>
        </w:tc>
        <w:tc>
          <w:tcPr>
            <w:tcW w:w="851" w:type="dxa"/>
            <w:tcBorders>
              <w:top w:val="single" w:sz="4" w:space="0" w:color="A6A6A6"/>
              <w:bottom w:val="single" w:sz="4" w:space="0" w:color="A6A6A6"/>
            </w:tcBorders>
            <w:noWrap/>
          </w:tcPr>
          <w:p w14:paraId="3E32AA9D"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tcPr>
          <w:p w14:paraId="38C82F03" w14:textId="77777777" w:rsidR="00CE75D4" w:rsidRPr="002029AF" w:rsidRDefault="00CE75D4" w:rsidP="008340C1">
            <w:pPr>
              <w:pStyle w:val="ARfintablebodyright"/>
              <w:ind w:right="10"/>
            </w:pPr>
            <w:r w:rsidRPr="00BB2A54">
              <w:t>1.5</w:t>
            </w:r>
          </w:p>
        </w:tc>
        <w:tc>
          <w:tcPr>
            <w:tcW w:w="851" w:type="dxa"/>
            <w:tcBorders>
              <w:top w:val="single" w:sz="4" w:space="0" w:color="A6A6A6"/>
              <w:bottom w:val="single" w:sz="4" w:space="0" w:color="A6A6A6"/>
            </w:tcBorders>
            <w:noWrap/>
          </w:tcPr>
          <w:p w14:paraId="72C06818" w14:textId="77777777" w:rsidR="00CE75D4" w:rsidRPr="002029AF" w:rsidRDefault="00CE75D4" w:rsidP="008340C1">
            <w:pPr>
              <w:pStyle w:val="ARfintablebodyright"/>
              <w:ind w:right="10"/>
            </w:pPr>
            <w:r w:rsidRPr="00BB2A54">
              <w:t>0.1</w:t>
            </w:r>
          </w:p>
        </w:tc>
        <w:tc>
          <w:tcPr>
            <w:tcW w:w="851" w:type="dxa"/>
            <w:tcBorders>
              <w:top w:val="single" w:sz="4" w:space="0" w:color="A6A6A6"/>
              <w:bottom w:val="single" w:sz="4" w:space="0" w:color="A6A6A6"/>
            </w:tcBorders>
            <w:noWrap/>
          </w:tcPr>
          <w:p w14:paraId="5A665109"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tcPr>
          <w:p w14:paraId="223FAAE6" w14:textId="77777777" w:rsidR="00CE75D4" w:rsidRPr="002029AF" w:rsidRDefault="00CE75D4" w:rsidP="008340C1">
            <w:pPr>
              <w:pStyle w:val="ARfintablebodyright"/>
              <w:ind w:right="10"/>
            </w:pPr>
            <w:r w:rsidRPr="00BB2A54">
              <w:t>11.7</w:t>
            </w:r>
          </w:p>
        </w:tc>
      </w:tr>
      <w:tr w:rsidR="00CE75D4" w:rsidRPr="002029AF" w14:paraId="1E2C063F" w14:textId="77777777" w:rsidTr="008340C1">
        <w:trPr>
          <w:cantSplit w:val="0"/>
        </w:trPr>
        <w:tc>
          <w:tcPr>
            <w:tcW w:w="3119" w:type="dxa"/>
            <w:tcBorders>
              <w:top w:val="single" w:sz="4" w:space="0" w:color="A6A6A6"/>
              <w:bottom w:val="single" w:sz="4" w:space="0" w:color="A6A6A6"/>
            </w:tcBorders>
            <w:noWrap/>
            <w:hideMark/>
          </w:tcPr>
          <w:p w14:paraId="3B7D7F1D" w14:textId="77777777" w:rsidR="00CE75D4" w:rsidRPr="002029AF" w:rsidRDefault="00CE75D4" w:rsidP="008340C1">
            <w:pPr>
              <w:pStyle w:val="ARfintablebody"/>
            </w:pPr>
            <w:r w:rsidRPr="00BB2A54">
              <w:t>Victorian Health Promotion Fund</w:t>
            </w:r>
          </w:p>
        </w:tc>
        <w:tc>
          <w:tcPr>
            <w:tcW w:w="851" w:type="dxa"/>
            <w:tcBorders>
              <w:top w:val="single" w:sz="4" w:space="0" w:color="A6A6A6"/>
              <w:bottom w:val="single" w:sz="4" w:space="0" w:color="A6A6A6"/>
              <w:right w:val="nil"/>
            </w:tcBorders>
            <w:shd w:val="clear" w:color="auto" w:fill="E7E6E6"/>
            <w:noWrap/>
            <w:hideMark/>
          </w:tcPr>
          <w:p w14:paraId="5882596B"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tcPr>
          <w:p w14:paraId="1BAD4E91" w14:textId="77777777" w:rsidR="00CE75D4" w:rsidRPr="008B06F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62ABCB58"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73A4D16C" w14:textId="77777777" w:rsidR="00CE75D4" w:rsidRPr="002029AF" w:rsidRDefault="00CE75D4" w:rsidP="008340C1">
            <w:pPr>
              <w:pStyle w:val="ARfintablebodyright"/>
              <w:ind w:right="10"/>
            </w:pPr>
            <w:r w:rsidRPr="00BB2A54">
              <w:t>42.1</w:t>
            </w:r>
          </w:p>
        </w:tc>
        <w:tc>
          <w:tcPr>
            <w:tcW w:w="851" w:type="dxa"/>
            <w:tcBorders>
              <w:top w:val="single" w:sz="4" w:space="0" w:color="A6A6A6"/>
              <w:left w:val="nil"/>
              <w:bottom w:val="single" w:sz="4" w:space="0" w:color="A6A6A6"/>
              <w:right w:val="nil"/>
            </w:tcBorders>
            <w:shd w:val="clear" w:color="auto" w:fill="E7E6E6"/>
            <w:noWrap/>
            <w:hideMark/>
          </w:tcPr>
          <w:p w14:paraId="15031000" w14:textId="77777777" w:rsidR="00CE75D4" w:rsidRPr="002029AF" w:rsidRDefault="00CE75D4" w:rsidP="008340C1">
            <w:pPr>
              <w:pStyle w:val="ARfintablebodyright"/>
              <w:ind w:right="10"/>
            </w:pPr>
            <w:r w:rsidRPr="00BB2A54">
              <w:t>42.1</w:t>
            </w:r>
          </w:p>
        </w:tc>
        <w:tc>
          <w:tcPr>
            <w:tcW w:w="851" w:type="dxa"/>
            <w:tcBorders>
              <w:top w:val="single" w:sz="4" w:space="0" w:color="A6A6A6"/>
              <w:left w:val="nil"/>
              <w:bottom w:val="single" w:sz="4" w:space="0" w:color="A6A6A6"/>
              <w:right w:val="nil"/>
            </w:tcBorders>
            <w:shd w:val="clear" w:color="auto" w:fill="E7E6E6"/>
            <w:noWrap/>
            <w:hideMark/>
          </w:tcPr>
          <w:p w14:paraId="31899BE7"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tcBorders>
            <w:shd w:val="clear" w:color="auto" w:fill="E7E6E6"/>
            <w:noWrap/>
            <w:hideMark/>
          </w:tcPr>
          <w:p w14:paraId="072EC6D6"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288EB205"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05503F17"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7290FD97" w14:textId="77777777" w:rsidR="00CE75D4" w:rsidRPr="002029AF" w:rsidRDefault="00CE75D4" w:rsidP="008340C1">
            <w:pPr>
              <w:pStyle w:val="ARfintablebodyright"/>
              <w:ind w:right="10"/>
            </w:pPr>
            <w:r w:rsidRPr="00BB2A54">
              <w:t>41.3</w:t>
            </w:r>
          </w:p>
        </w:tc>
        <w:tc>
          <w:tcPr>
            <w:tcW w:w="851" w:type="dxa"/>
            <w:tcBorders>
              <w:top w:val="single" w:sz="4" w:space="0" w:color="A6A6A6"/>
              <w:bottom w:val="single" w:sz="4" w:space="0" w:color="A6A6A6"/>
            </w:tcBorders>
            <w:noWrap/>
            <w:hideMark/>
          </w:tcPr>
          <w:p w14:paraId="3F5D7873" w14:textId="77777777" w:rsidR="00CE75D4" w:rsidRPr="002029AF" w:rsidRDefault="00CE75D4" w:rsidP="008340C1">
            <w:pPr>
              <w:pStyle w:val="ARfintablebodyright"/>
              <w:ind w:right="10"/>
            </w:pPr>
            <w:r w:rsidRPr="00BB2A54">
              <w:t>41.3</w:t>
            </w:r>
          </w:p>
        </w:tc>
        <w:tc>
          <w:tcPr>
            <w:tcW w:w="851" w:type="dxa"/>
            <w:tcBorders>
              <w:top w:val="single" w:sz="4" w:space="0" w:color="A6A6A6"/>
              <w:bottom w:val="single" w:sz="4" w:space="0" w:color="A6A6A6"/>
            </w:tcBorders>
            <w:noWrap/>
            <w:hideMark/>
          </w:tcPr>
          <w:p w14:paraId="7FE2B182"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36C0D159" w14:textId="77777777" w:rsidR="00CE75D4" w:rsidRPr="002029AF" w:rsidRDefault="00CE75D4" w:rsidP="008340C1">
            <w:pPr>
              <w:pStyle w:val="ARfintablebodyright"/>
              <w:ind w:right="10"/>
            </w:pPr>
            <w:r>
              <w:t>–</w:t>
            </w:r>
          </w:p>
        </w:tc>
      </w:tr>
      <w:tr w:rsidR="00CE75D4" w:rsidRPr="002029AF" w14:paraId="39D35B2A" w14:textId="77777777" w:rsidTr="008340C1">
        <w:trPr>
          <w:cantSplit w:val="0"/>
        </w:trPr>
        <w:tc>
          <w:tcPr>
            <w:tcW w:w="3119" w:type="dxa"/>
            <w:tcBorders>
              <w:top w:val="single" w:sz="4" w:space="0" w:color="A6A6A6"/>
              <w:bottom w:val="single" w:sz="4" w:space="0" w:color="A6A6A6"/>
            </w:tcBorders>
            <w:noWrap/>
            <w:hideMark/>
          </w:tcPr>
          <w:p w14:paraId="19F85A3C" w14:textId="77777777" w:rsidR="00CE75D4" w:rsidRPr="002029AF" w:rsidRDefault="00CE75D4" w:rsidP="008340C1">
            <w:pPr>
              <w:pStyle w:val="ARfintablebody"/>
            </w:pPr>
            <w:r w:rsidRPr="00BB2A54">
              <w:t>Departmental Suspense Account</w:t>
            </w:r>
          </w:p>
        </w:tc>
        <w:tc>
          <w:tcPr>
            <w:tcW w:w="851" w:type="dxa"/>
            <w:tcBorders>
              <w:top w:val="single" w:sz="4" w:space="0" w:color="A6A6A6"/>
              <w:bottom w:val="single" w:sz="4" w:space="0" w:color="A6A6A6"/>
              <w:right w:val="nil"/>
            </w:tcBorders>
            <w:shd w:val="clear" w:color="auto" w:fill="E7E6E6"/>
            <w:noWrap/>
            <w:hideMark/>
          </w:tcPr>
          <w:p w14:paraId="67AA5DE0" w14:textId="77777777" w:rsidR="00CE75D4" w:rsidRPr="002029AF" w:rsidRDefault="00CE75D4" w:rsidP="008340C1">
            <w:pPr>
              <w:pStyle w:val="ARfintablebodyright"/>
              <w:ind w:right="10"/>
            </w:pPr>
            <w:r w:rsidRPr="00BB2A54">
              <w:t>1.6</w:t>
            </w:r>
          </w:p>
        </w:tc>
        <w:tc>
          <w:tcPr>
            <w:tcW w:w="851" w:type="dxa"/>
            <w:tcBorders>
              <w:top w:val="single" w:sz="4" w:space="0" w:color="A6A6A6"/>
              <w:left w:val="nil"/>
              <w:bottom w:val="single" w:sz="4" w:space="0" w:color="A6A6A6"/>
              <w:right w:val="nil"/>
            </w:tcBorders>
            <w:shd w:val="clear" w:color="auto" w:fill="E7E6E6"/>
          </w:tcPr>
          <w:p w14:paraId="0DE04F6B" w14:textId="77777777" w:rsidR="00CE75D4" w:rsidRPr="008B06FF" w:rsidRDefault="00CE75D4" w:rsidP="008340C1">
            <w:pPr>
              <w:pStyle w:val="ARfintablebodyright"/>
              <w:ind w:right="10"/>
            </w:pPr>
            <w:r w:rsidRPr="00BB2A54">
              <w:t>(1.6)</w:t>
            </w:r>
          </w:p>
        </w:tc>
        <w:tc>
          <w:tcPr>
            <w:tcW w:w="851" w:type="dxa"/>
            <w:tcBorders>
              <w:top w:val="single" w:sz="4" w:space="0" w:color="A6A6A6"/>
              <w:left w:val="nil"/>
              <w:bottom w:val="single" w:sz="4" w:space="0" w:color="A6A6A6"/>
              <w:right w:val="nil"/>
            </w:tcBorders>
            <w:shd w:val="clear" w:color="auto" w:fill="E7E6E6"/>
            <w:noWrap/>
            <w:hideMark/>
          </w:tcPr>
          <w:p w14:paraId="715364B4"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274B4D5F"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0EE3F248"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59D2738B"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tcBorders>
            <w:shd w:val="clear" w:color="auto" w:fill="E7E6E6"/>
            <w:noWrap/>
            <w:hideMark/>
          </w:tcPr>
          <w:p w14:paraId="79A78EF5"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2C2449B0"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072BA202" w14:textId="77777777" w:rsidR="00CE75D4" w:rsidRPr="002029AF" w:rsidRDefault="00CE75D4" w:rsidP="008340C1">
            <w:pPr>
              <w:pStyle w:val="ARfintablebodyright"/>
              <w:ind w:right="10"/>
            </w:pPr>
            <w:r w:rsidRPr="00BB2A54">
              <w:t>2.4</w:t>
            </w:r>
          </w:p>
        </w:tc>
        <w:tc>
          <w:tcPr>
            <w:tcW w:w="851" w:type="dxa"/>
            <w:tcBorders>
              <w:top w:val="single" w:sz="4" w:space="0" w:color="A6A6A6"/>
              <w:bottom w:val="single" w:sz="4" w:space="0" w:color="A6A6A6"/>
            </w:tcBorders>
            <w:noWrap/>
            <w:hideMark/>
          </w:tcPr>
          <w:p w14:paraId="2FF2DBA1" w14:textId="77777777" w:rsidR="00CE75D4" w:rsidRPr="002029AF" w:rsidRDefault="00CE75D4" w:rsidP="008340C1">
            <w:pPr>
              <w:pStyle w:val="ARfintablebodyright"/>
              <w:ind w:right="10"/>
            </w:pPr>
            <w:r w:rsidRPr="00BB2A54">
              <w:t>(0.4)</w:t>
            </w:r>
          </w:p>
        </w:tc>
        <w:tc>
          <w:tcPr>
            <w:tcW w:w="851" w:type="dxa"/>
            <w:tcBorders>
              <w:top w:val="single" w:sz="4" w:space="0" w:color="A6A6A6"/>
              <w:bottom w:val="single" w:sz="4" w:space="0" w:color="A6A6A6"/>
            </w:tcBorders>
            <w:noWrap/>
            <w:hideMark/>
          </w:tcPr>
          <w:p w14:paraId="12E06C1C" w14:textId="77777777" w:rsidR="00CE75D4" w:rsidRPr="002029AF" w:rsidRDefault="00CE75D4" w:rsidP="008340C1">
            <w:pPr>
              <w:pStyle w:val="ARfintablebodyright"/>
              <w:ind w:right="10"/>
            </w:pPr>
            <w:r w:rsidRPr="00BB2A54">
              <w:t>0.4</w:t>
            </w:r>
          </w:p>
        </w:tc>
        <w:tc>
          <w:tcPr>
            <w:tcW w:w="851" w:type="dxa"/>
            <w:tcBorders>
              <w:top w:val="single" w:sz="4" w:space="0" w:color="A6A6A6"/>
              <w:bottom w:val="single" w:sz="4" w:space="0" w:color="A6A6A6"/>
            </w:tcBorders>
            <w:noWrap/>
            <w:hideMark/>
          </w:tcPr>
          <w:p w14:paraId="46A01FA0"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07EA1279" w14:textId="77777777" w:rsidR="00CE75D4" w:rsidRPr="002029AF" w:rsidRDefault="00CE75D4" w:rsidP="008340C1">
            <w:pPr>
              <w:pStyle w:val="ARfintablebodyright"/>
              <w:ind w:right="10"/>
            </w:pPr>
            <w:r w:rsidRPr="00BB2A54">
              <w:t>1.6</w:t>
            </w:r>
          </w:p>
        </w:tc>
      </w:tr>
      <w:tr w:rsidR="00CE75D4" w:rsidRPr="002029AF" w14:paraId="4374DED8" w14:textId="77777777" w:rsidTr="008340C1">
        <w:trPr>
          <w:cantSplit w:val="0"/>
        </w:trPr>
        <w:tc>
          <w:tcPr>
            <w:tcW w:w="3119" w:type="dxa"/>
            <w:tcBorders>
              <w:top w:val="single" w:sz="4" w:space="0" w:color="A6A6A6"/>
              <w:bottom w:val="single" w:sz="4" w:space="0" w:color="A6A6A6"/>
            </w:tcBorders>
            <w:noWrap/>
            <w:hideMark/>
          </w:tcPr>
          <w:p w14:paraId="7C5D1E5D" w14:textId="77777777" w:rsidR="00CE75D4" w:rsidRPr="002029AF" w:rsidRDefault="00CE75D4" w:rsidP="008340C1">
            <w:pPr>
              <w:pStyle w:val="ARfintablebody"/>
            </w:pPr>
            <w:r w:rsidRPr="00BB2A54">
              <w:t>Victorian Veterans Fund</w:t>
            </w:r>
          </w:p>
        </w:tc>
        <w:tc>
          <w:tcPr>
            <w:tcW w:w="851" w:type="dxa"/>
            <w:tcBorders>
              <w:top w:val="single" w:sz="4" w:space="0" w:color="A6A6A6"/>
              <w:bottom w:val="single" w:sz="4" w:space="0" w:color="A6A6A6"/>
              <w:right w:val="nil"/>
            </w:tcBorders>
            <w:shd w:val="clear" w:color="auto" w:fill="E7E6E6"/>
            <w:noWrap/>
            <w:hideMark/>
          </w:tcPr>
          <w:p w14:paraId="1B62DA43" w14:textId="77777777" w:rsidR="00CE75D4" w:rsidRPr="002029AF" w:rsidRDefault="00CE75D4" w:rsidP="008340C1">
            <w:pPr>
              <w:pStyle w:val="ARfintablebodyright"/>
              <w:ind w:right="10"/>
            </w:pPr>
            <w:r w:rsidRPr="00BB2A54">
              <w:t>0.4</w:t>
            </w:r>
          </w:p>
        </w:tc>
        <w:tc>
          <w:tcPr>
            <w:tcW w:w="851" w:type="dxa"/>
            <w:tcBorders>
              <w:top w:val="single" w:sz="4" w:space="0" w:color="A6A6A6"/>
              <w:left w:val="nil"/>
              <w:bottom w:val="single" w:sz="4" w:space="0" w:color="A6A6A6"/>
              <w:right w:val="nil"/>
            </w:tcBorders>
            <w:shd w:val="clear" w:color="auto" w:fill="E7E6E6"/>
          </w:tcPr>
          <w:p w14:paraId="3A5BF536" w14:textId="77777777" w:rsidR="00CE75D4" w:rsidRPr="008B06FF" w:rsidRDefault="00CE75D4" w:rsidP="008340C1">
            <w:pPr>
              <w:pStyle w:val="ARfintablebodyright"/>
              <w:ind w:right="10"/>
            </w:pPr>
            <w:r w:rsidRPr="00BB2A54">
              <w:t>(0.4)</w:t>
            </w:r>
          </w:p>
        </w:tc>
        <w:tc>
          <w:tcPr>
            <w:tcW w:w="851" w:type="dxa"/>
            <w:tcBorders>
              <w:top w:val="single" w:sz="4" w:space="0" w:color="A6A6A6"/>
              <w:left w:val="nil"/>
              <w:bottom w:val="single" w:sz="4" w:space="0" w:color="A6A6A6"/>
              <w:right w:val="nil"/>
            </w:tcBorders>
            <w:shd w:val="clear" w:color="auto" w:fill="E7E6E6"/>
            <w:noWrap/>
            <w:hideMark/>
          </w:tcPr>
          <w:p w14:paraId="74DAED49"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0DCDED1A"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300DC15C"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right w:val="nil"/>
            </w:tcBorders>
            <w:shd w:val="clear" w:color="auto" w:fill="E7E6E6"/>
            <w:noWrap/>
            <w:hideMark/>
          </w:tcPr>
          <w:p w14:paraId="1ABFA1C5" w14:textId="77777777" w:rsidR="00CE75D4" w:rsidRPr="002029AF" w:rsidRDefault="00CE75D4" w:rsidP="008340C1">
            <w:pPr>
              <w:pStyle w:val="ARfintablebodyright"/>
              <w:ind w:right="10"/>
            </w:pPr>
            <w:r>
              <w:t>–</w:t>
            </w:r>
          </w:p>
        </w:tc>
        <w:tc>
          <w:tcPr>
            <w:tcW w:w="851" w:type="dxa"/>
            <w:tcBorders>
              <w:top w:val="single" w:sz="4" w:space="0" w:color="A6A6A6"/>
              <w:left w:val="nil"/>
              <w:bottom w:val="single" w:sz="4" w:space="0" w:color="A6A6A6"/>
            </w:tcBorders>
            <w:shd w:val="clear" w:color="auto" w:fill="E7E6E6"/>
            <w:noWrap/>
            <w:hideMark/>
          </w:tcPr>
          <w:p w14:paraId="44ADB0A6"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565E9EFA"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0705D263" w14:textId="77777777" w:rsidR="00CE75D4" w:rsidRPr="002029AF" w:rsidRDefault="00CE75D4" w:rsidP="008340C1">
            <w:pPr>
              <w:pStyle w:val="ARfintablebodyright"/>
              <w:ind w:right="10"/>
            </w:pPr>
            <w:r w:rsidRPr="00BB2A54">
              <w:t>0.5</w:t>
            </w:r>
          </w:p>
        </w:tc>
        <w:tc>
          <w:tcPr>
            <w:tcW w:w="851" w:type="dxa"/>
            <w:tcBorders>
              <w:top w:val="single" w:sz="4" w:space="0" w:color="A6A6A6"/>
              <w:bottom w:val="single" w:sz="4" w:space="0" w:color="A6A6A6"/>
            </w:tcBorders>
            <w:noWrap/>
            <w:hideMark/>
          </w:tcPr>
          <w:p w14:paraId="0564D338"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0807C81D" w14:textId="77777777" w:rsidR="00CE75D4" w:rsidRPr="002029AF" w:rsidRDefault="00CE75D4" w:rsidP="008340C1">
            <w:pPr>
              <w:pStyle w:val="ARfintablebodyright"/>
              <w:ind w:right="10"/>
            </w:pPr>
            <w:r w:rsidRPr="00BB2A54">
              <w:t>0.1</w:t>
            </w:r>
          </w:p>
        </w:tc>
        <w:tc>
          <w:tcPr>
            <w:tcW w:w="851" w:type="dxa"/>
            <w:tcBorders>
              <w:top w:val="single" w:sz="4" w:space="0" w:color="A6A6A6"/>
              <w:bottom w:val="single" w:sz="4" w:space="0" w:color="A6A6A6"/>
            </w:tcBorders>
            <w:noWrap/>
            <w:hideMark/>
          </w:tcPr>
          <w:p w14:paraId="2D94BFED" w14:textId="77777777" w:rsidR="00CE75D4" w:rsidRPr="002029AF" w:rsidRDefault="00CE75D4" w:rsidP="008340C1">
            <w:pPr>
              <w:pStyle w:val="ARfintablebodyright"/>
              <w:ind w:right="10"/>
            </w:pPr>
            <w:r>
              <w:t>–</w:t>
            </w:r>
          </w:p>
        </w:tc>
        <w:tc>
          <w:tcPr>
            <w:tcW w:w="851" w:type="dxa"/>
            <w:tcBorders>
              <w:top w:val="single" w:sz="4" w:space="0" w:color="A6A6A6"/>
              <w:bottom w:val="single" w:sz="4" w:space="0" w:color="A6A6A6"/>
            </w:tcBorders>
            <w:noWrap/>
            <w:hideMark/>
          </w:tcPr>
          <w:p w14:paraId="3E93B433" w14:textId="77777777" w:rsidR="00CE75D4" w:rsidRPr="002029AF" w:rsidRDefault="00CE75D4" w:rsidP="008340C1">
            <w:pPr>
              <w:pStyle w:val="ARfintablebodyright"/>
              <w:ind w:right="10"/>
            </w:pPr>
            <w:r w:rsidRPr="00BB2A54">
              <w:t>0.4</w:t>
            </w:r>
          </w:p>
        </w:tc>
      </w:tr>
      <w:tr w:rsidR="00CE75D4" w:rsidRPr="002029AF" w14:paraId="0CCFC445" w14:textId="77777777" w:rsidTr="008340C1">
        <w:trPr>
          <w:cantSplit w:val="0"/>
        </w:trPr>
        <w:tc>
          <w:tcPr>
            <w:tcW w:w="3119" w:type="dxa"/>
            <w:tcBorders>
              <w:top w:val="single" w:sz="4" w:space="0" w:color="A6A6A6"/>
            </w:tcBorders>
            <w:noWrap/>
            <w:hideMark/>
          </w:tcPr>
          <w:p w14:paraId="7595E7E5" w14:textId="77777777" w:rsidR="00CE75D4" w:rsidRPr="002029AF" w:rsidRDefault="00CE75D4" w:rsidP="008340C1">
            <w:pPr>
              <w:pStyle w:val="ARfintablebody"/>
            </w:pPr>
            <w:r w:rsidRPr="00BB2A54">
              <w:t>Anzac Day Proceeds Fund</w:t>
            </w:r>
          </w:p>
        </w:tc>
        <w:tc>
          <w:tcPr>
            <w:tcW w:w="851" w:type="dxa"/>
            <w:tcBorders>
              <w:top w:val="single" w:sz="4" w:space="0" w:color="A6A6A6"/>
              <w:right w:val="nil"/>
            </w:tcBorders>
            <w:shd w:val="clear" w:color="auto" w:fill="E7E6E6"/>
            <w:noWrap/>
            <w:hideMark/>
          </w:tcPr>
          <w:p w14:paraId="12EE3DD2" w14:textId="77777777" w:rsidR="00CE75D4" w:rsidRPr="002029AF" w:rsidRDefault="00CE75D4" w:rsidP="008340C1">
            <w:pPr>
              <w:pStyle w:val="ARfintablebodyright"/>
              <w:ind w:right="10"/>
            </w:pPr>
            <w:r w:rsidRPr="00BB2A54">
              <w:t>0.3</w:t>
            </w:r>
          </w:p>
        </w:tc>
        <w:tc>
          <w:tcPr>
            <w:tcW w:w="851" w:type="dxa"/>
            <w:tcBorders>
              <w:top w:val="single" w:sz="4" w:space="0" w:color="A6A6A6"/>
              <w:left w:val="nil"/>
              <w:right w:val="nil"/>
            </w:tcBorders>
            <w:shd w:val="clear" w:color="auto" w:fill="E7E6E6"/>
          </w:tcPr>
          <w:p w14:paraId="58C65DE8" w14:textId="77777777" w:rsidR="00CE75D4" w:rsidRPr="008B06FF" w:rsidRDefault="00CE75D4" w:rsidP="008340C1">
            <w:pPr>
              <w:pStyle w:val="ARfintablebodyright"/>
              <w:ind w:right="10"/>
            </w:pPr>
            <w:r w:rsidRPr="00BB2A54">
              <w:t>(0.3)</w:t>
            </w:r>
          </w:p>
        </w:tc>
        <w:tc>
          <w:tcPr>
            <w:tcW w:w="851" w:type="dxa"/>
            <w:tcBorders>
              <w:top w:val="single" w:sz="4" w:space="0" w:color="A6A6A6"/>
              <w:left w:val="nil"/>
              <w:right w:val="nil"/>
            </w:tcBorders>
            <w:shd w:val="clear" w:color="auto" w:fill="E7E6E6"/>
            <w:noWrap/>
            <w:hideMark/>
          </w:tcPr>
          <w:p w14:paraId="4D0D6519" w14:textId="77777777" w:rsidR="00CE75D4" w:rsidRPr="002029AF" w:rsidRDefault="00CE75D4" w:rsidP="008340C1">
            <w:pPr>
              <w:pStyle w:val="ARfintablebodyright"/>
              <w:ind w:right="10"/>
            </w:pPr>
            <w:r>
              <w:t>–</w:t>
            </w:r>
          </w:p>
        </w:tc>
        <w:tc>
          <w:tcPr>
            <w:tcW w:w="851" w:type="dxa"/>
            <w:tcBorders>
              <w:top w:val="single" w:sz="4" w:space="0" w:color="A6A6A6"/>
              <w:left w:val="nil"/>
              <w:right w:val="nil"/>
            </w:tcBorders>
            <w:shd w:val="clear" w:color="auto" w:fill="E7E6E6"/>
            <w:noWrap/>
            <w:hideMark/>
          </w:tcPr>
          <w:p w14:paraId="15EC456E" w14:textId="77777777" w:rsidR="00CE75D4" w:rsidRPr="002029AF" w:rsidRDefault="00CE75D4" w:rsidP="008340C1">
            <w:pPr>
              <w:pStyle w:val="ARfintablebodyright"/>
              <w:ind w:right="10"/>
            </w:pPr>
            <w:r>
              <w:t>–</w:t>
            </w:r>
          </w:p>
        </w:tc>
        <w:tc>
          <w:tcPr>
            <w:tcW w:w="851" w:type="dxa"/>
            <w:tcBorders>
              <w:top w:val="single" w:sz="4" w:space="0" w:color="A6A6A6"/>
              <w:left w:val="nil"/>
              <w:right w:val="nil"/>
            </w:tcBorders>
            <w:shd w:val="clear" w:color="auto" w:fill="E7E6E6"/>
            <w:noWrap/>
            <w:hideMark/>
          </w:tcPr>
          <w:p w14:paraId="24303C2B" w14:textId="77777777" w:rsidR="00CE75D4" w:rsidRPr="002029AF" w:rsidRDefault="00CE75D4" w:rsidP="008340C1">
            <w:pPr>
              <w:pStyle w:val="ARfintablebodyright"/>
              <w:ind w:right="10"/>
            </w:pPr>
            <w:r>
              <w:t>–</w:t>
            </w:r>
          </w:p>
        </w:tc>
        <w:tc>
          <w:tcPr>
            <w:tcW w:w="851" w:type="dxa"/>
            <w:tcBorders>
              <w:top w:val="single" w:sz="4" w:space="0" w:color="A6A6A6"/>
              <w:left w:val="nil"/>
              <w:right w:val="nil"/>
            </w:tcBorders>
            <w:shd w:val="clear" w:color="auto" w:fill="E7E6E6"/>
            <w:noWrap/>
            <w:hideMark/>
          </w:tcPr>
          <w:p w14:paraId="698101BB" w14:textId="77777777" w:rsidR="00CE75D4" w:rsidRPr="002029AF" w:rsidRDefault="00CE75D4" w:rsidP="008340C1">
            <w:pPr>
              <w:pStyle w:val="ARfintablebodyright"/>
              <w:ind w:right="10"/>
            </w:pPr>
            <w:r>
              <w:t>–</w:t>
            </w:r>
          </w:p>
        </w:tc>
        <w:tc>
          <w:tcPr>
            <w:tcW w:w="851" w:type="dxa"/>
            <w:tcBorders>
              <w:top w:val="single" w:sz="4" w:space="0" w:color="A6A6A6"/>
              <w:left w:val="nil"/>
            </w:tcBorders>
            <w:shd w:val="clear" w:color="auto" w:fill="E7E6E6"/>
            <w:noWrap/>
            <w:hideMark/>
          </w:tcPr>
          <w:p w14:paraId="152C410C" w14:textId="77777777" w:rsidR="00CE75D4" w:rsidRPr="002029AF" w:rsidRDefault="00CE75D4" w:rsidP="008340C1">
            <w:pPr>
              <w:pStyle w:val="ARfintablebodyright"/>
              <w:ind w:right="10"/>
            </w:pPr>
            <w:r>
              <w:t>–</w:t>
            </w:r>
          </w:p>
        </w:tc>
        <w:tc>
          <w:tcPr>
            <w:tcW w:w="851" w:type="dxa"/>
            <w:tcBorders>
              <w:top w:val="single" w:sz="4" w:space="0" w:color="A6A6A6"/>
            </w:tcBorders>
            <w:noWrap/>
            <w:hideMark/>
          </w:tcPr>
          <w:p w14:paraId="5DC8223A" w14:textId="77777777" w:rsidR="00CE75D4" w:rsidRPr="002029AF" w:rsidRDefault="00CE75D4" w:rsidP="008340C1">
            <w:pPr>
              <w:pStyle w:val="ARfintablebodyright"/>
              <w:ind w:right="10"/>
            </w:pPr>
            <w:r>
              <w:t>–</w:t>
            </w:r>
          </w:p>
        </w:tc>
        <w:tc>
          <w:tcPr>
            <w:tcW w:w="851" w:type="dxa"/>
            <w:tcBorders>
              <w:top w:val="single" w:sz="4" w:space="0" w:color="A6A6A6"/>
            </w:tcBorders>
            <w:noWrap/>
            <w:hideMark/>
          </w:tcPr>
          <w:p w14:paraId="61D6061A" w14:textId="77777777" w:rsidR="00CE75D4" w:rsidRPr="002029AF" w:rsidRDefault="00CE75D4" w:rsidP="008340C1">
            <w:pPr>
              <w:pStyle w:val="ARfintablebodyright"/>
              <w:ind w:right="10"/>
            </w:pPr>
            <w:r>
              <w:t>–</w:t>
            </w:r>
          </w:p>
        </w:tc>
        <w:tc>
          <w:tcPr>
            <w:tcW w:w="851" w:type="dxa"/>
            <w:tcBorders>
              <w:top w:val="single" w:sz="4" w:space="0" w:color="A6A6A6"/>
            </w:tcBorders>
            <w:noWrap/>
            <w:hideMark/>
          </w:tcPr>
          <w:p w14:paraId="6AB4F706" w14:textId="77777777" w:rsidR="00CE75D4" w:rsidRPr="002029AF" w:rsidRDefault="00CE75D4" w:rsidP="008340C1">
            <w:pPr>
              <w:pStyle w:val="ARfintablebodyright"/>
              <w:ind w:right="10"/>
            </w:pPr>
            <w:r w:rsidRPr="00BB2A54">
              <w:t>0.5</w:t>
            </w:r>
          </w:p>
        </w:tc>
        <w:tc>
          <w:tcPr>
            <w:tcW w:w="851" w:type="dxa"/>
            <w:tcBorders>
              <w:top w:val="single" w:sz="4" w:space="0" w:color="A6A6A6"/>
            </w:tcBorders>
            <w:noWrap/>
            <w:hideMark/>
          </w:tcPr>
          <w:p w14:paraId="3B758A61" w14:textId="77777777" w:rsidR="00CE75D4" w:rsidRPr="002029AF" w:rsidRDefault="00CE75D4" w:rsidP="008340C1">
            <w:pPr>
              <w:pStyle w:val="ARfintablebodyright"/>
              <w:ind w:right="10"/>
            </w:pPr>
            <w:r w:rsidRPr="00BB2A54">
              <w:t>0.2</w:t>
            </w:r>
          </w:p>
        </w:tc>
        <w:tc>
          <w:tcPr>
            <w:tcW w:w="851" w:type="dxa"/>
            <w:tcBorders>
              <w:top w:val="single" w:sz="4" w:space="0" w:color="A6A6A6"/>
            </w:tcBorders>
            <w:noWrap/>
            <w:hideMark/>
          </w:tcPr>
          <w:p w14:paraId="274A85FA" w14:textId="77777777" w:rsidR="00CE75D4" w:rsidRPr="002029AF" w:rsidRDefault="00CE75D4" w:rsidP="008340C1">
            <w:pPr>
              <w:pStyle w:val="ARfintablebodyright"/>
              <w:ind w:right="10"/>
            </w:pPr>
            <w:r>
              <w:t>–</w:t>
            </w:r>
          </w:p>
        </w:tc>
        <w:tc>
          <w:tcPr>
            <w:tcW w:w="851" w:type="dxa"/>
            <w:tcBorders>
              <w:top w:val="single" w:sz="4" w:space="0" w:color="A6A6A6"/>
            </w:tcBorders>
            <w:noWrap/>
            <w:hideMark/>
          </w:tcPr>
          <w:p w14:paraId="7102A062" w14:textId="77777777" w:rsidR="00CE75D4" w:rsidRPr="002029AF" w:rsidRDefault="00CE75D4" w:rsidP="008340C1">
            <w:pPr>
              <w:pStyle w:val="ARfintablebodyright"/>
              <w:ind w:right="10"/>
            </w:pPr>
            <w:r w:rsidRPr="00BB2A54">
              <w:t>0.3</w:t>
            </w:r>
          </w:p>
        </w:tc>
      </w:tr>
      <w:tr w:rsidR="00CE75D4" w:rsidRPr="002029AF" w14:paraId="231E191C" w14:textId="77777777" w:rsidTr="008340C1">
        <w:trPr>
          <w:cantSplit w:val="0"/>
        </w:trPr>
        <w:tc>
          <w:tcPr>
            <w:tcW w:w="3119" w:type="dxa"/>
            <w:hideMark/>
          </w:tcPr>
          <w:p w14:paraId="19A93780" w14:textId="77777777" w:rsidR="00CE75D4" w:rsidRPr="002029AF" w:rsidRDefault="00CE75D4" w:rsidP="008340C1">
            <w:pPr>
              <w:pStyle w:val="ARfintablebodybold"/>
            </w:pPr>
            <w:r w:rsidRPr="00BB2A54">
              <w:t>Total controlled trusts</w:t>
            </w:r>
          </w:p>
        </w:tc>
        <w:tc>
          <w:tcPr>
            <w:tcW w:w="851" w:type="dxa"/>
            <w:tcBorders>
              <w:right w:val="nil"/>
            </w:tcBorders>
            <w:shd w:val="clear" w:color="auto" w:fill="E7E6E6"/>
            <w:noWrap/>
            <w:hideMark/>
          </w:tcPr>
          <w:p w14:paraId="0BC2F854" w14:textId="77777777" w:rsidR="00CE75D4" w:rsidRPr="002029AF" w:rsidRDefault="00CE75D4" w:rsidP="008340C1">
            <w:pPr>
              <w:pStyle w:val="ARfintablebodyrightbold"/>
              <w:ind w:right="10"/>
            </w:pPr>
            <w:r w:rsidRPr="00BB2A54">
              <w:t>174.9</w:t>
            </w:r>
          </w:p>
        </w:tc>
        <w:tc>
          <w:tcPr>
            <w:tcW w:w="851" w:type="dxa"/>
            <w:tcBorders>
              <w:left w:val="nil"/>
              <w:right w:val="nil"/>
            </w:tcBorders>
            <w:shd w:val="clear" w:color="auto" w:fill="E7E6E6"/>
          </w:tcPr>
          <w:p w14:paraId="51BD654A" w14:textId="77777777" w:rsidR="00CE75D4" w:rsidRPr="008B06FF" w:rsidRDefault="00CE75D4" w:rsidP="008340C1">
            <w:pPr>
              <w:pStyle w:val="ARfintablebodyrightbold"/>
              <w:ind w:right="10"/>
            </w:pPr>
            <w:r w:rsidRPr="00BB2A54">
              <w:t>(74.1)</w:t>
            </w:r>
          </w:p>
        </w:tc>
        <w:tc>
          <w:tcPr>
            <w:tcW w:w="851" w:type="dxa"/>
            <w:tcBorders>
              <w:left w:val="nil"/>
              <w:right w:val="nil"/>
            </w:tcBorders>
            <w:shd w:val="clear" w:color="auto" w:fill="E7E6E6"/>
            <w:noWrap/>
            <w:hideMark/>
          </w:tcPr>
          <w:p w14:paraId="69E39941" w14:textId="77777777" w:rsidR="00CE75D4" w:rsidRPr="002029AF" w:rsidRDefault="00CE75D4" w:rsidP="008340C1">
            <w:pPr>
              <w:pStyle w:val="ARfintablebodyrightbold"/>
              <w:ind w:right="10"/>
            </w:pPr>
            <w:r>
              <w:t>–</w:t>
            </w:r>
          </w:p>
        </w:tc>
        <w:tc>
          <w:tcPr>
            <w:tcW w:w="851" w:type="dxa"/>
            <w:tcBorders>
              <w:left w:val="nil"/>
              <w:right w:val="nil"/>
            </w:tcBorders>
            <w:shd w:val="clear" w:color="auto" w:fill="E7E6E6"/>
            <w:noWrap/>
            <w:hideMark/>
          </w:tcPr>
          <w:p w14:paraId="5B7B367E" w14:textId="77777777" w:rsidR="00CE75D4" w:rsidRPr="002029AF" w:rsidRDefault="00CE75D4" w:rsidP="008340C1">
            <w:pPr>
              <w:pStyle w:val="ARfintablebodyrightbold"/>
              <w:ind w:right="10"/>
            </w:pPr>
            <w:r w:rsidRPr="00BB2A54">
              <w:t>9,218.2</w:t>
            </w:r>
          </w:p>
        </w:tc>
        <w:tc>
          <w:tcPr>
            <w:tcW w:w="851" w:type="dxa"/>
            <w:tcBorders>
              <w:left w:val="nil"/>
              <w:right w:val="nil"/>
            </w:tcBorders>
            <w:shd w:val="clear" w:color="auto" w:fill="E7E6E6"/>
            <w:noWrap/>
            <w:hideMark/>
          </w:tcPr>
          <w:p w14:paraId="20E65E7C" w14:textId="77777777" w:rsidR="00CE75D4" w:rsidRPr="002029AF" w:rsidRDefault="00CE75D4" w:rsidP="008340C1">
            <w:pPr>
              <w:pStyle w:val="ARfintablebodyrightbold"/>
              <w:ind w:right="10"/>
            </w:pPr>
            <w:r w:rsidRPr="00BB2A54">
              <w:t>8,380.8</w:t>
            </w:r>
          </w:p>
        </w:tc>
        <w:tc>
          <w:tcPr>
            <w:tcW w:w="851" w:type="dxa"/>
            <w:tcBorders>
              <w:left w:val="nil"/>
              <w:right w:val="nil"/>
            </w:tcBorders>
            <w:shd w:val="clear" w:color="auto" w:fill="E7E6E6"/>
            <w:noWrap/>
            <w:hideMark/>
          </w:tcPr>
          <w:p w14:paraId="40C3854D" w14:textId="77777777" w:rsidR="00CE75D4" w:rsidRPr="002029AF" w:rsidRDefault="00CE75D4" w:rsidP="008340C1">
            <w:pPr>
              <w:pStyle w:val="ARfintablebodyrightbold"/>
              <w:ind w:right="10"/>
            </w:pPr>
            <w:r w:rsidRPr="00BB2A54">
              <w:t>(842.0)</w:t>
            </w:r>
          </w:p>
        </w:tc>
        <w:tc>
          <w:tcPr>
            <w:tcW w:w="851" w:type="dxa"/>
            <w:tcBorders>
              <w:left w:val="nil"/>
            </w:tcBorders>
            <w:shd w:val="clear" w:color="auto" w:fill="E7E6E6"/>
            <w:noWrap/>
            <w:hideMark/>
          </w:tcPr>
          <w:p w14:paraId="27DDB50A" w14:textId="77777777" w:rsidR="00CE75D4" w:rsidRPr="002029AF" w:rsidRDefault="00CE75D4" w:rsidP="008340C1">
            <w:pPr>
              <w:pStyle w:val="ARfintablebodyrightbold"/>
              <w:ind w:right="10"/>
            </w:pPr>
            <w:r w:rsidRPr="00BB2A54">
              <w:t>96.1</w:t>
            </w:r>
          </w:p>
        </w:tc>
        <w:tc>
          <w:tcPr>
            <w:tcW w:w="851" w:type="dxa"/>
            <w:noWrap/>
            <w:hideMark/>
          </w:tcPr>
          <w:p w14:paraId="7F7700D8" w14:textId="77777777" w:rsidR="00CE75D4" w:rsidRPr="002029AF" w:rsidRDefault="00CE75D4" w:rsidP="008340C1">
            <w:pPr>
              <w:pStyle w:val="ARfintablebodyrightbold"/>
              <w:ind w:right="10"/>
            </w:pPr>
            <w:r w:rsidRPr="00BB2A54">
              <w:t>151.9</w:t>
            </w:r>
          </w:p>
        </w:tc>
        <w:tc>
          <w:tcPr>
            <w:tcW w:w="851" w:type="dxa"/>
            <w:noWrap/>
            <w:hideMark/>
          </w:tcPr>
          <w:p w14:paraId="136851DD" w14:textId="77777777" w:rsidR="00CE75D4" w:rsidRPr="002029AF" w:rsidRDefault="00CE75D4" w:rsidP="008340C1">
            <w:pPr>
              <w:pStyle w:val="ARfintablebodyrightbold"/>
              <w:ind w:right="10"/>
            </w:pPr>
            <w:r w:rsidRPr="00BB2A54">
              <w:t>1.5</w:t>
            </w:r>
          </w:p>
        </w:tc>
        <w:tc>
          <w:tcPr>
            <w:tcW w:w="851" w:type="dxa"/>
            <w:noWrap/>
            <w:hideMark/>
          </w:tcPr>
          <w:p w14:paraId="24193446" w14:textId="77777777" w:rsidR="00CE75D4" w:rsidRPr="002029AF" w:rsidRDefault="00CE75D4" w:rsidP="008340C1">
            <w:pPr>
              <w:pStyle w:val="ARfintablebodyrightbold"/>
              <w:ind w:right="10"/>
            </w:pPr>
            <w:r w:rsidRPr="00BB2A54">
              <w:t>6,620.0</w:t>
            </w:r>
          </w:p>
        </w:tc>
        <w:tc>
          <w:tcPr>
            <w:tcW w:w="851" w:type="dxa"/>
            <w:noWrap/>
            <w:hideMark/>
          </w:tcPr>
          <w:p w14:paraId="75F7229D" w14:textId="77777777" w:rsidR="00CE75D4" w:rsidRPr="002029AF" w:rsidRDefault="00CE75D4" w:rsidP="008340C1">
            <w:pPr>
              <w:pStyle w:val="ARfintablebodyrightbold"/>
              <w:ind w:right="10"/>
            </w:pPr>
            <w:r w:rsidRPr="00BB2A54">
              <w:t>6,383.8</w:t>
            </w:r>
          </w:p>
        </w:tc>
        <w:tc>
          <w:tcPr>
            <w:tcW w:w="851" w:type="dxa"/>
            <w:noWrap/>
            <w:hideMark/>
          </w:tcPr>
          <w:p w14:paraId="24F7E24A" w14:textId="77777777" w:rsidR="00CE75D4" w:rsidRPr="002029AF" w:rsidRDefault="00CE75D4" w:rsidP="008340C1">
            <w:pPr>
              <w:pStyle w:val="ARfintablebodyrightbold"/>
              <w:ind w:right="10"/>
            </w:pPr>
            <w:r w:rsidRPr="00BB2A54">
              <w:t>(214.8)</w:t>
            </w:r>
          </w:p>
        </w:tc>
        <w:tc>
          <w:tcPr>
            <w:tcW w:w="851" w:type="dxa"/>
            <w:noWrap/>
            <w:hideMark/>
          </w:tcPr>
          <w:p w14:paraId="54B0F118" w14:textId="77777777" w:rsidR="00CE75D4" w:rsidRPr="002029AF" w:rsidRDefault="00CE75D4" w:rsidP="008340C1">
            <w:pPr>
              <w:pStyle w:val="ARfintablebodyrightbold"/>
              <w:ind w:right="10"/>
            </w:pPr>
            <w:r w:rsidRPr="00BB2A54">
              <w:t>174.9</w:t>
            </w:r>
          </w:p>
        </w:tc>
      </w:tr>
      <w:tr w:rsidR="00CE75D4" w:rsidRPr="002029AF" w14:paraId="688AD3DD" w14:textId="77777777" w:rsidTr="008340C1">
        <w:trPr>
          <w:cantSplit w:val="0"/>
        </w:trPr>
        <w:tc>
          <w:tcPr>
            <w:tcW w:w="3119" w:type="dxa"/>
            <w:gridSpan w:val="14"/>
          </w:tcPr>
          <w:p w14:paraId="54B61685" w14:textId="77777777" w:rsidR="00CE75D4" w:rsidRPr="002029AF" w:rsidRDefault="00CE75D4" w:rsidP="008340C1">
            <w:pPr>
              <w:pStyle w:val="ARfintablebodybold"/>
              <w:pageBreakBefore/>
              <w:ind w:right="0"/>
            </w:pPr>
            <w:r w:rsidRPr="000E7174">
              <w:t>Administered trusts</w:t>
            </w:r>
          </w:p>
        </w:tc>
      </w:tr>
      <w:tr w:rsidR="00CE75D4" w:rsidRPr="002029AF" w14:paraId="531BD1A1" w14:textId="77777777" w:rsidTr="008340C1">
        <w:trPr>
          <w:cantSplit w:val="0"/>
        </w:trPr>
        <w:tc>
          <w:tcPr>
            <w:tcW w:w="3119" w:type="dxa"/>
          </w:tcPr>
          <w:p w14:paraId="30EEC68A" w14:textId="77777777" w:rsidR="00CE75D4" w:rsidRPr="002029AF" w:rsidRDefault="00CE75D4" w:rsidP="008340C1">
            <w:pPr>
              <w:pStyle w:val="ARfintablebody"/>
            </w:pPr>
            <w:r w:rsidRPr="000E7174">
              <w:t>National Disability Insurance Scheme Trust Account</w:t>
            </w:r>
          </w:p>
        </w:tc>
        <w:tc>
          <w:tcPr>
            <w:tcW w:w="851" w:type="dxa"/>
            <w:tcBorders>
              <w:top w:val="single" w:sz="4" w:space="0" w:color="auto"/>
              <w:right w:val="nil"/>
            </w:tcBorders>
            <w:shd w:val="clear" w:color="auto" w:fill="E7E6E6"/>
            <w:noWrap/>
          </w:tcPr>
          <w:p w14:paraId="53435C45" w14:textId="77777777" w:rsidR="00CE75D4" w:rsidRPr="002029AF" w:rsidRDefault="00CE75D4" w:rsidP="008340C1">
            <w:pPr>
              <w:pStyle w:val="ARfintablebodyright"/>
              <w:ind w:right="10"/>
            </w:pPr>
            <w:r>
              <w:t>–</w:t>
            </w:r>
          </w:p>
        </w:tc>
        <w:tc>
          <w:tcPr>
            <w:tcW w:w="851" w:type="dxa"/>
            <w:tcBorders>
              <w:top w:val="single" w:sz="4" w:space="0" w:color="auto"/>
              <w:left w:val="nil"/>
              <w:right w:val="nil"/>
            </w:tcBorders>
            <w:shd w:val="clear" w:color="auto" w:fill="E7E6E6"/>
          </w:tcPr>
          <w:p w14:paraId="5A37AF7D" w14:textId="77777777" w:rsidR="00CE75D4" w:rsidRPr="008B06FF" w:rsidRDefault="00CE75D4" w:rsidP="008340C1">
            <w:pPr>
              <w:pStyle w:val="ARfintablebodyright"/>
              <w:ind w:right="10"/>
            </w:pPr>
            <w:r>
              <w:t>–</w:t>
            </w:r>
          </w:p>
        </w:tc>
        <w:tc>
          <w:tcPr>
            <w:tcW w:w="851" w:type="dxa"/>
            <w:tcBorders>
              <w:left w:val="nil"/>
              <w:right w:val="nil"/>
            </w:tcBorders>
            <w:shd w:val="clear" w:color="auto" w:fill="E7E6E6"/>
            <w:noWrap/>
          </w:tcPr>
          <w:p w14:paraId="255421E2" w14:textId="77777777" w:rsidR="00CE75D4" w:rsidRPr="002029AF" w:rsidRDefault="00CE75D4" w:rsidP="008340C1">
            <w:pPr>
              <w:pStyle w:val="ARfintablebodyright"/>
              <w:ind w:right="10"/>
            </w:pPr>
            <w:r>
              <w:t>–</w:t>
            </w:r>
          </w:p>
        </w:tc>
        <w:tc>
          <w:tcPr>
            <w:tcW w:w="851" w:type="dxa"/>
            <w:tcBorders>
              <w:left w:val="nil"/>
              <w:right w:val="nil"/>
            </w:tcBorders>
            <w:shd w:val="clear" w:color="auto" w:fill="E7E6E6"/>
            <w:noWrap/>
          </w:tcPr>
          <w:p w14:paraId="27A49BEB" w14:textId="77777777" w:rsidR="00CE75D4" w:rsidRPr="002029AF" w:rsidRDefault="00CE75D4" w:rsidP="008340C1">
            <w:pPr>
              <w:pStyle w:val="ARfintablebodyright"/>
              <w:ind w:right="10"/>
            </w:pPr>
            <w:r>
              <w:t>–</w:t>
            </w:r>
          </w:p>
        </w:tc>
        <w:tc>
          <w:tcPr>
            <w:tcW w:w="851" w:type="dxa"/>
            <w:tcBorders>
              <w:left w:val="nil"/>
              <w:right w:val="nil"/>
            </w:tcBorders>
            <w:shd w:val="clear" w:color="auto" w:fill="E7E6E6"/>
            <w:noWrap/>
          </w:tcPr>
          <w:p w14:paraId="70FE3E6A" w14:textId="77777777" w:rsidR="00CE75D4" w:rsidRPr="002029AF" w:rsidRDefault="00CE75D4" w:rsidP="008340C1">
            <w:pPr>
              <w:pStyle w:val="ARfintablebodyright"/>
              <w:ind w:right="10"/>
            </w:pPr>
            <w:r>
              <w:t>–</w:t>
            </w:r>
          </w:p>
        </w:tc>
        <w:tc>
          <w:tcPr>
            <w:tcW w:w="851" w:type="dxa"/>
            <w:tcBorders>
              <w:left w:val="nil"/>
              <w:right w:val="nil"/>
            </w:tcBorders>
            <w:shd w:val="clear" w:color="auto" w:fill="E7E6E6"/>
            <w:noWrap/>
          </w:tcPr>
          <w:p w14:paraId="64AD639D" w14:textId="77777777" w:rsidR="00CE75D4" w:rsidRPr="002029AF" w:rsidRDefault="00CE75D4" w:rsidP="008340C1">
            <w:pPr>
              <w:pStyle w:val="ARfintablebodyright"/>
              <w:ind w:right="10"/>
            </w:pPr>
            <w:r>
              <w:t>–</w:t>
            </w:r>
          </w:p>
        </w:tc>
        <w:tc>
          <w:tcPr>
            <w:tcW w:w="851" w:type="dxa"/>
            <w:tcBorders>
              <w:left w:val="nil"/>
            </w:tcBorders>
            <w:shd w:val="clear" w:color="auto" w:fill="E7E6E6"/>
            <w:noWrap/>
          </w:tcPr>
          <w:p w14:paraId="6AD368A8" w14:textId="77777777" w:rsidR="00CE75D4" w:rsidRPr="002029AF" w:rsidRDefault="00CE75D4" w:rsidP="008340C1">
            <w:pPr>
              <w:pStyle w:val="ARfintablebodyright"/>
              <w:ind w:right="10"/>
            </w:pPr>
            <w:r>
              <w:t>–</w:t>
            </w:r>
          </w:p>
        </w:tc>
        <w:tc>
          <w:tcPr>
            <w:tcW w:w="851" w:type="dxa"/>
            <w:noWrap/>
          </w:tcPr>
          <w:p w14:paraId="4B62E114" w14:textId="77777777" w:rsidR="00CE75D4" w:rsidRPr="002029AF" w:rsidRDefault="00CE75D4" w:rsidP="008340C1">
            <w:pPr>
              <w:pStyle w:val="ARfintablebodyright"/>
              <w:ind w:right="10"/>
            </w:pPr>
            <w:r>
              <w:t>–</w:t>
            </w:r>
          </w:p>
        </w:tc>
        <w:tc>
          <w:tcPr>
            <w:tcW w:w="851" w:type="dxa"/>
            <w:noWrap/>
          </w:tcPr>
          <w:p w14:paraId="2B619342" w14:textId="77777777" w:rsidR="00CE75D4" w:rsidRPr="002029AF" w:rsidRDefault="00CE75D4" w:rsidP="008340C1">
            <w:pPr>
              <w:pStyle w:val="ARfintablebodyright"/>
              <w:ind w:right="10"/>
            </w:pPr>
            <w:r>
              <w:t>–</w:t>
            </w:r>
          </w:p>
        </w:tc>
        <w:tc>
          <w:tcPr>
            <w:tcW w:w="851" w:type="dxa"/>
            <w:noWrap/>
          </w:tcPr>
          <w:p w14:paraId="595B2065" w14:textId="77777777" w:rsidR="00CE75D4" w:rsidRPr="002029AF" w:rsidRDefault="00CE75D4" w:rsidP="008340C1">
            <w:pPr>
              <w:pStyle w:val="ARfintablebodyright"/>
              <w:ind w:right="10"/>
            </w:pPr>
            <w:r w:rsidRPr="000E7174">
              <w:t>1,871.2</w:t>
            </w:r>
          </w:p>
        </w:tc>
        <w:tc>
          <w:tcPr>
            <w:tcW w:w="851" w:type="dxa"/>
            <w:noWrap/>
          </w:tcPr>
          <w:p w14:paraId="17F69F3B" w14:textId="77777777" w:rsidR="00CE75D4" w:rsidRPr="002029AF" w:rsidRDefault="00CE75D4" w:rsidP="008340C1">
            <w:pPr>
              <w:pStyle w:val="ARfintablebodyright"/>
              <w:ind w:right="10"/>
            </w:pPr>
            <w:r w:rsidRPr="000E7174">
              <w:t>2,016.2</w:t>
            </w:r>
          </w:p>
        </w:tc>
        <w:tc>
          <w:tcPr>
            <w:tcW w:w="851" w:type="dxa"/>
            <w:noWrap/>
          </w:tcPr>
          <w:p w14:paraId="6B475A6C" w14:textId="77777777" w:rsidR="00CE75D4" w:rsidRPr="002029AF" w:rsidRDefault="00CE75D4" w:rsidP="008340C1">
            <w:pPr>
              <w:pStyle w:val="ARfintablebodyright"/>
              <w:ind w:right="10"/>
            </w:pPr>
            <w:r w:rsidRPr="000E7174">
              <w:t>145.0</w:t>
            </w:r>
          </w:p>
        </w:tc>
        <w:tc>
          <w:tcPr>
            <w:tcW w:w="851" w:type="dxa"/>
            <w:noWrap/>
          </w:tcPr>
          <w:p w14:paraId="2B64BFB8" w14:textId="77777777" w:rsidR="00CE75D4" w:rsidRPr="002029AF" w:rsidRDefault="00CE75D4" w:rsidP="008340C1">
            <w:pPr>
              <w:pStyle w:val="ARfintablebodyright"/>
              <w:ind w:right="10"/>
            </w:pPr>
            <w:r>
              <w:t>–</w:t>
            </w:r>
          </w:p>
        </w:tc>
      </w:tr>
      <w:tr w:rsidR="00CE75D4" w:rsidRPr="002029AF" w14:paraId="02D75EF6" w14:textId="77777777" w:rsidTr="008340C1">
        <w:trPr>
          <w:cantSplit w:val="0"/>
        </w:trPr>
        <w:tc>
          <w:tcPr>
            <w:tcW w:w="3119" w:type="dxa"/>
          </w:tcPr>
          <w:p w14:paraId="6D45FAE2" w14:textId="77777777" w:rsidR="00CE75D4" w:rsidRPr="002029AF" w:rsidRDefault="00CE75D4" w:rsidP="008340C1">
            <w:pPr>
              <w:pStyle w:val="ARfintablebody"/>
            </w:pPr>
            <w:r w:rsidRPr="000E7174">
              <w:t>National Health Funding Pool – Victoria</w:t>
            </w:r>
            <w:r>
              <w:t>n</w:t>
            </w:r>
            <w:r w:rsidRPr="000E7174">
              <w:t xml:space="preserve"> State Pool Account</w:t>
            </w:r>
          </w:p>
        </w:tc>
        <w:tc>
          <w:tcPr>
            <w:tcW w:w="851" w:type="dxa"/>
            <w:tcBorders>
              <w:top w:val="single" w:sz="4" w:space="0" w:color="auto"/>
              <w:right w:val="nil"/>
            </w:tcBorders>
            <w:shd w:val="clear" w:color="auto" w:fill="E7E6E6"/>
            <w:noWrap/>
          </w:tcPr>
          <w:p w14:paraId="30B6916F" w14:textId="77777777" w:rsidR="00CE75D4" w:rsidRPr="002029AF" w:rsidRDefault="00CE75D4" w:rsidP="008340C1">
            <w:pPr>
              <w:pStyle w:val="ARfintablebodyright"/>
              <w:ind w:right="10"/>
            </w:pPr>
            <w:r>
              <w:t>–</w:t>
            </w:r>
          </w:p>
        </w:tc>
        <w:tc>
          <w:tcPr>
            <w:tcW w:w="851" w:type="dxa"/>
            <w:tcBorders>
              <w:top w:val="single" w:sz="4" w:space="0" w:color="auto"/>
              <w:left w:val="nil"/>
              <w:right w:val="nil"/>
            </w:tcBorders>
            <w:shd w:val="clear" w:color="auto" w:fill="E7E6E6"/>
          </w:tcPr>
          <w:p w14:paraId="66F6275D" w14:textId="77777777" w:rsidR="00CE75D4" w:rsidRPr="008B06FF" w:rsidRDefault="00CE75D4" w:rsidP="008340C1">
            <w:pPr>
              <w:pStyle w:val="ARfintablebodyright"/>
              <w:ind w:right="10"/>
            </w:pPr>
            <w:r>
              <w:t>–</w:t>
            </w:r>
          </w:p>
        </w:tc>
        <w:tc>
          <w:tcPr>
            <w:tcW w:w="851" w:type="dxa"/>
            <w:tcBorders>
              <w:left w:val="nil"/>
              <w:right w:val="nil"/>
            </w:tcBorders>
            <w:shd w:val="clear" w:color="auto" w:fill="E7E6E6"/>
            <w:noWrap/>
          </w:tcPr>
          <w:p w14:paraId="0C510509" w14:textId="77777777" w:rsidR="00CE75D4" w:rsidRPr="002029AF" w:rsidRDefault="00CE75D4" w:rsidP="008340C1">
            <w:pPr>
              <w:pStyle w:val="ARfintablebodyright"/>
              <w:ind w:right="10"/>
            </w:pPr>
            <w:r>
              <w:t>–</w:t>
            </w:r>
          </w:p>
        </w:tc>
        <w:tc>
          <w:tcPr>
            <w:tcW w:w="851" w:type="dxa"/>
            <w:tcBorders>
              <w:left w:val="nil"/>
              <w:right w:val="nil"/>
            </w:tcBorders>
            <w:shd w:val="clear" w:color="auto" w:fill="E7E6E6"/>
            <w:noWrap/>
          </w:tcPr>
          <w:p w14:paraId="1B3AF37A" w14:textId="77777777" w:rsidR="00CE75D4" w:rsidRPr="002029AF" w:rsidRDefault="00CE75D4" w:rsidP="008340C1">
            <w:pPr>
              <w:pStyle w:val="ARfintablebodyright"/>
              <w:ind w:right="10"/>
            </w:pPr>
            <w:r w:rsidRPr="000E7174">
              <w:t>15,611.1</w:t>
            </w:r>
          </w:p>
        </w:tc>
        <w:tc>
          <w:tcPr>
            <w:tcW w:w="851" w:type="dxa"/>
            <w:tcBorders>
              <w:left w:val="nil"/>
              <w:right w:val="nil"/>
            </w:tcBorders>
            <w:shd w:val="clear" w:color="auto" w:fill="E7E6E6"/>
            <w:noWrap/>
          </w:tcPr>
          <w:p w14:paraId="3F9B548E" w14:textId="77777777" w:rsidR="00CE75D4" w:rsidRPr="002029AF" w:rsidRDefault="00CE75D4" w:rsidP="008340C1">
            <w:pPr>
              <w:pStyle w:val="ARfintablebodyright"/>
              <w:ind w:right="10"/>
            </w:pPr>
            <w:r w:rsidRPr="000E7174">
              <w:t>15,544.9</w:t>
            </w:r>
          </w:p>
        </w:tc>
        <w:tc>
          <w:tcPr>
            <w:tcW w:w="851" w:type="dxa"/>
            <w:tcBorders>
              <w:left w:val="nil"/>
              <w:right w:val="nil"/>
            </w:tcBorders>
            <w:shd w:val="clear" w:color="auto" w:fill="E7E6E6"/>
            <w:noWrap/>
          </w:tcPr>
          <w:p w14:paraId="45079F22" w14:textId="77777777" w:rsidR="00CE75D4" w:rsidRPr="002029AF" w:rsidRDefault="00CE75D4" w:rsidP="008340C1">
            <w:pPr>
              <w:pStyle w:val="ARfintablebodyright"/>
              <w:ind w:right="10"/>
            </w:pPr>
            <w:r w:rsidRPr="000E7174">
              <w:t>(66.3)</w:t>
            </w:r>
          </w:p>
        </w:tc>
        <w:tc>
          <w:tcPr>
            <w:tcW w:w="851" w:type="dxa"/>
            <w:tcBorders>
              <w:left w:val="nil"/>
            </w:tcBorders>
            <w:shd w:val="clear" w:color="auto" w:fill="E7E6E6"/>
            <w:noWrap/>
          </w:tcPr>
          <w:p w14:paraId="5070A322" w14:textId="77777777" w:rsidR="00CE75D4" w:rsidRPr="002029AF" w:rsidRDefault="00CE75D4" w:rsidP="008340C1">
            <w:pPr>
              <w:pStyle w:val="ARfintablebodyright"/>
              <w:ind w:right="10"/>
            </w:pPr>
            <w:r>
              <w:t>–</w:t>
            </w:r>
          </w:p>
        </w:tc>
        <w:tc>
          <w:tcPr>
            <w:tcW w:w="851" w:type="dxa"/>
            <w:noWrap/>
          </w:tcPr>
          <w:p w14:paraId="0C2F29A5" w14:textId="77777777" w:rsidR="00CE75D4" w:rsidRPr="002029AF" w:rsidRDefault="00CE75D4" w:rsidP="008340C1">
            <w:pPr>
              <w:pStyle w:val="ARfintablebodyright"/>
              <w:ind w:right="10"/>
            </w:pPr>
            <w:r>
              <w:t>–</w:t>
            </w:r>
          </w:p>
        </w:tc>
        <w:tc>
          <w:tcPr>
            <w:tcW w:w="851" w:type="dxa"/>
            <w:noWrap/>
          </w:tcPr>
          <w:p w14:paraId="085D4DB3" w14:textId="77777777" w:rsidR="00CE75D4" w:rsidRPr="002029AF" w:rsidRDefault="00CE75D4" w:rsidP="008340C1">
            <w:pPr>
              <w:pStyle w:val="ARfintablebodyright"/>
              <w:ind w:right="10"/>
            </w:pPr>
            <w:r>
              <w:t>–</w:t>
            </w:r>
          </w:p>
        </w:tc>
        <w:tc>
          <w:tcPr>
            <w:tcW w:w="851" w:type="dxa"/>
            <w:noWrap/>
          </w:tcPr>
          <w:p w14:paraId="7E7A8CB0" w14:textId="77777777" w:rsidR="00CE75D4" w:rsidRPr="002029AF" w:rsidRDefault="00CE75D4" w:rsidP="008340C1">
            <w:pPr>
              <w:pStyle w:val="ARfintablebodyright"/>
              <w:ind w:right="10"/>
            </w:pPr>
            <w:r w:rsidRPr="000E7174">
              <w:t>12,506.0</w:t>
            </w:r>
          </w:p>
        </w:tc>
        <w:tc>
          <w:tcPr>
            <w:tcW w:w="851" w:type="dxa"/>
            <w:noWrap/>
          </w:tcPr>
          <w:p w14:paraId="3E7432C6" w14:textId="77777777" w:rsidR="00CE75D4" w:rsidRPr="002029AF" w:rsidRDefault="00CE75D4" w:rsidP="008340C1">
            <w:pPr>
              <w:pStyle w:val="ARfintablebodyright"/>
              <w:ind w:right="10"/>
            </w:pPr>
            <w:r w:rsidRPr="000E7174">
              <w:t>12,506.1</w:t>
            </w:r>
          </w:p>
        </w:tc>
        <w:tc>
          <w:tcPr>
            <w:tcW w:w="851" w:type="dxa"/>
            <w:noWrap/>
          </w:tcPr>
          <w:p w14:paraId="0ACCB2EB" w14:textId="77777777" w:rsidR="00CE75D4" w:rsidRPr="002029AF" w:rsidRDefault="00CE75D4" w:rsidP="008340C1">
            <w:pPr>
              <w:pStyle w:val="ARfintablebodyright"/>
              <w:ind w:right="10"/>
            </w:pPr>
            <w:r w:rsidRPr="000E7174">
              <w:t>0.1</w:t>
            </w:r>
          </w:p>
        </w:tc>
        <w:tc>
          <w:tcPr>
            <w:tcW w:w="851" w:type="dxa"/>
            <w:noWrap/>
          </w:tcPr>
          <w:p w14:paraId="69F8A4CE" w14:textId="77777777" w:rsidR="00CE75D4" w:rsidRPr="002029AF" w:rsidRDefault="00CE75D4" w:rsidP="008340C1">
            <w:pPr>
              <w:pStyle w:val="ARfintablebodyright"/>
              <w:ind w:right="10"/>
            </w:pPr>
            <w:r>
              <w:t>–</w:t>
            </w:r>
          </w:p>
        </w:tc>
      </w:tr>
      <w:tr w:rsidR="00CE75D4" w:rsidRPr="002029AF" w14:paraId="2209927C" w14:textId="77777777" w:rsidTr="008340C1">
        <w:trPr>
          <w:cantSplit w:val="0"/>
        </w:trPr>
        <w:tc>
          <w:tcPr>
            <w:tcW w:w="3119" w:type="dxa"/>
          </w:tcPr>
          <w:p w14:paraId="1B62BAF7" w14:textId="77777777" w:rsidR="00CE75D4" w:rsidRPr="002029AF" w:rsidRDefault="00CE75D4" w:rsidP="008340C1">
            <w:pPr>
              <w:pStyle w:val="ARfintablebody"/>
            </w:pPr>
            <w:r w:rsidRPr="000E7174">
              <w:t>Public Service Commuter Club</w:t>
            </w:r>
          </w:p>
        </w:tc>
        <w:tc>
          <w:tcPr>
            <w:tcW w:w="851" w:type="dxa"/>
            <w:tcBorders>
              <w:top w:val="single" w:sz="4" w:space="0" w:color="auto"/>
              <w:right w:val="nil"/>
            </w:tcBorders>
            <w:shd w:val="clear" w:color="auto" w:fill="E7E6E6"/>
            <w:noWrap/>
          </w:tcPr>
          <w:p w14:paraId="35AB6708" w14:textId="77777777" w:rsidR="00CE75D4" w:rsidRPr="002029AF" w:rsidRDefault="00CE75D4" w:rsidP="008340C1">
            <w:pPr>
              <w:pStyle w:val="ARfintablebodyright"/>
              <w:ind w:right="10"/>
            </w:pPr>
            <w:r w:rsidRPr="000E7174">
              <w:t>(0.1)</w:t>
            </w:r>
          </w:p>
        </w:tc>
        <w:tc>
          <w:tcPr>
            <w:tcW w:w="851" w:type="dxa"/>
            <w:tcBorders>
              <w:top w:val="single" w:sz="4" w:space="0" w:color="auto"/>
              <w:left w:val="nil"/>
              <w:right w:val="nil"/>
            </w:tcBorders>
            <w:shd w:val="clear" w:color="auto" w:fill="E7E6E6"/>
          </w:tcPr>
          <w:p w14:paraId="0B9C6B76" w14:textId="77777777" w:rsidR="00CE75D4" w:rsidRPr="008B06FF" w:rsidRDefault="00CE75D4" w:rsidP="008340C1">
            <w:pPr>
              <w:pStyle w:val="ARfintablebodyright"/>
              <w:ind w:right="10"/>
            </w:pPr>
            <w:r w:rsidRPr="000E7174">
              <w:t>0.1</w:t>
            </w:r>
          </w:p>
        </w:tc>
        <w:tc>
          <w:tcPr>
            <w:tcW w:w="851" w:type="dxa"/>
            <w:tcBorders>
              <w:left w:val="nil"/>
              <w:right w:val="nil"/>
            </w:tcBorders>
            <w:shd w:val="clear" w:color="auto" w:fill="E7E6E6"/>
            <w:noWrap/>
          </w:tcPr>
          <w:p w14:paraId="0AD34146" w14:textId="77777777" w:rsidR="00CE75D4" w:rsidRPr="002029AF" w:rsidRDefault="00CE75D4" w:rsidP="008340C1">
            <w:pPr>
              <w:pStyle w:val="ARfintablebodyright"/>
              <w:ind w:right="10"/>
            </w:pPr>
            <w:r>
              <w:t>–</w:t>
            </w:r>
          </w:p>
        </w:tc>
        <w:tc>
          <w:tcPr>
            <w:tcW w:w="851" w:type="dxa"/>
            <w:tcBorders>
              <w:left w:val="nil"/>
              <w:right w:val="nil"/>
            </w:tcBorders>
            <w:shd w:val="clear" w:color="auto" w:fill="E7E6E6"/>
            <w:noWrap/>
          </w:tcPr>
          <w:p w14:paraId="657BBEC5" w14:textId="77777777" w:rsidR="00CE75D4" w:rsidRPr="002029AF" w:rsidRDefault="00CE75D4" w:rsidP="008340C1">
            <w:pPr>
              <w:pStyle w:val="ARfintablebodyright"/>
              <w:ind w:right="10"/>
            </w:pPr>
            <w:r w:rsidRPr="000E7174">
              <w:t>0.1</w:t>
            </w:r>
          </w:p>
        </w:tc>
        <w:tc>
          <w:tcPr>
            <w:tcW w:w="851" w:type="dxa"/>
            <w:tcBorders>
              <w:left w:val="nil"/>
              <w:right w:val="nil"/>
            </w:tcBorders>
            <w:shd w:val="clear" w:color="auto" w:fill="E7E6E6"/>
            <w:noWrap/>
          </w:tcPr>
          <w:p w14:paraId="57526913" w14:textId="77777777" w:rsidR="00CE75D4" w:rsidRPr="002029AF" w:rsidRDefault="00CE75D4" w:rsidP="008340C1">
            <w:pPr>
              <w:pStyle w:val="ARfintablebodyright"/>
              <w:ind w:right="10"/>
            </w:pPr>
            <w:r w:rsidRPr="000E7174">
              <w:t>0.1</w:t>
            </w:r>
          </w:p>
        </w:tc>
        <w:tc>
          <w:tcPr>
            <w:tcW w:w="851" w:type="dxa"/>
            <w:tcBorders>
              <w:left w:val="nil"/>
              <w:right w:val="nil"/>
            </w:tcBorders>
            <w:shd w:val="clear" w:color="auto" w:fill="E7E6E6"/>
            <w:noWrap/>
          </w:tcPr>
          <w:p w14:paraId="0F95F21F" w14:textId="77777777" w:rsidR="00CE75D4" w:rsidRPr="002029AF" w:rsidRDefault="00CE75D4" w:rsidP="008340C1">
            <w:pPr>
              <w:pStyle w:val="ARfintablebodyright"/>
              <w:ind w:right="10"/>
            </w:pPr>
            <w:r>
              <w:t>–</w:t>
            </w:r>
          </w:p>
        </w:tc>
        <w:tc>
          <w:tcPr>
            <w:tcW w:w="851" w:type="dxa"/>
            <w:tcBorders>
              <w:left w:val="nil"/>
            </w:tcBorders>
            <w:shd w:val="clear" w:color="auto" w:fill="E7E6E6"/>
            <w:noWrap/>
          </w:tcPr>
          <w:p w14:paraId="0676382D" w14:textId="77777777" w:rsidR="00CE75D4" w:rsidRPr="002029AF" w:rsidRDefault="00CE75D4" w:rsidP="008340C1">
            <w:pPr>
              <w:pStyle w:val="ARfintablebodyright"/>
              <w:ind w:right="10"/>
            </w:pPr>
            <w:r w:rsidRPr="000E7174">
              <w:t>(0.1)</w:t>
            </w:r>
          </w:p>
        </w:tc>
        <w:tc>
          <w:tcPr>
            <w:tcW w:w="851" w:type="dxa"/>
            <w:noWrap/>
          </w:tcPr>
          <w:p w14:paraId="0055D092" w14:textId="77777777" w:rsidR="00CE75D4" w:rsidRPr="002029AF" w:rsidRDefault="00CE75D4" w:rsidP="008340C1">
            <w:pPr>
              <w:pStyle w:val="ARfintablebodyright"/>
              <w:ind w:right="10"/>
            </w:pPr>
            <w:r w:rsidRPr="000E7174">
              <w:t>(0.7)</w:t>
            </w:r>
          </w:p>
        </w:tc>
        <w:tc>
          <w:tcPr>
            <w:tcW w:w="851" w:type="dxa"/>
            <w:noWrap/>
          </w:tcPr>
          <w:p w14:paraId="772F29AF" w14:textId="77777777" w:rsidR="00CE75D4" w:rsidRPr="002029AF" w:rsidRDefault="00CE75D4" w:rsidP="008340C1">
            <w:pPr>
              <w:pStyle w:val="ARfintablebodyright"/>
              <w:ind w:right="10"/>
            </w:pPr>
            <w:r>
              <w:t>–</w:t>
            </w:r>
          </w:p>
        </w:tc>
        <w:tc>
          <w:tcPr>
            <w:tcW w:w="851" w:type="dxa"/>
            <w:noWrap/>
          </w:tcPr>
          <w:p w14:paraId="675F04B3" w14:textId="77777777" w:rsidR="00CE75D4" w:rsidRPr="002029AF" w:rsidRDefault="00CE75D4" w:rsidP="008340C1">
            <w:pPr>
              <w:pStyle w:val="ARfintablebodyright"/>
              <w:ind w:right="10"/>
            </w:pPr>
            <w:r w:rsidRPr="000E7174">
              <w:t>0.7</w:t>
            </w:r>
          </w:p>
        </w:tc>
        <w:tc>
          <w:tcPr>
            <w:tcW w:w="851" w:type="dxa"/>
            <w:noWrap/>
          </w:tcPr>
          <w:p w14:paraId="43444548" w14:textId="77777777" w:rsidR="00CE75D4" w:rsidRPr="002029AF" w:rsidRDefault="00CE75D4" w:rsidP="008340C1">
            <w:pPr>
              <w:pStyle w:val="ARfintablebodyright"/>
              <w:ind w:right="10"/>
            </w:pPr>
            <w:r w:rsidRPr="000E7174">
              <w:t>0.1</w:t>
            </w:r>
          </w:p>
        </w:tc>
        <w:tc>
          <w:tcPr>
            <w:tcW w:w="851" w:type="dxa"/>
            <w:noWrap/>
          </w:tcPr>
          <w:p w14:paraId="2D22B778" w14:textId="77777777" w:rsidR="00CE75D4" w:rsidRPr="002029AF" w:rsidRDefault="00CE75D4" w:rsidP="008340C1">
            <w:pPr>
              <w:pStyle w:val="ARfintablebodyright"/>
              <w:ind w:right="10"/>
            </w:pPr>
            <w:r>
              <w:t>–</w:t>
            </w:r>
          </w:p>
        </w:tc>
        <w:tc>
          <w:tcPr>
            <w:tcW w:w="851" w:type="dxa"/>
            <w:noWrap/>
          </w:tcPr>
          <w:p w14:paraId="27E5480B" w14:textId="77777777" w:rsidR="00CE75D4" w:rsidRPr="002029AF" w:rsidRDefault="00CE75D4" w:rsidP="008340C1">
            <w:pPr>
              <w:pStyle w:val="ARfintablebodyright"/>
              <w:ind w:right="10"/>
            </w:pPr>
            <w:r w:rsidRPr="000E7174">
              <w:t>(0.1)</w:t>
            </w:r>
          </w:p>
        </w:tc>
      </w:tr>
      <w:tr w:rsidR="00CE75D4" w:rsidRPr="002029AF" w14:paraId="30019E6F" w14:textId="77777777" w:rsidTr="008340C1">
        <w:trPr>
          <w:cantSplit w:val="0"/>
        </w:trPr>
        <w:tc>
          <w:tcPr>
            <w:tcW w:w="3119" w:type="dxa"/>
          </w:tcPr>
          <w:p w14:paraId="64455345" w14:textId="77777777" w:rsidR="00CE75D4" w:rsidRPr="002029AF" w:rsidRDefault="00CE75D4" w:rsidP="008340C1">
            <w:pPr>
              <w:pStyle w:val="ARfintablebody"/>
            </w:pPr>
            <w:r w:rsidRPr="000E7174">
              <w:t>Revenue Suspense Account</w:t>
            </w:r>
          </w:p>
        </w:tc>
        <w:tc>
          <w:tcPr>
            <w:tcW w:w="851" w:type="dxa"/>
            <w:tcBorders>
              <w:top w:val="single" w:sz="4" w:space="0" w:color="auto"/>
              <w:right w:val="nil"/>
            </w:tcBorders>
            <w:shd w:val="clear" w:color="auto" w:fill="E7E6E6"/>
            <w:noWrap/>
          </w:tcPr>
          <w:p w14:paraId="52986F0F" w14:textId="77777777" w:rsidR="00CE75D4" w:rsidRPr="002029AF" w:rsidRDefault="00CE75D4" w:rsidP="008340C1">
            <w:pPr>
              <w:pStyle w:val="ARfintablebodyright"/>
              <w:ind w:right="10"/>
            </w:pPr>
            <w:r w:rsidRPr="000E7174">
              <w:t>4.0</w:t>
            </w:r>
          </w:p>
        </w:tc>
        <w:tc>
          <w:tcPr>
            <w:tcW w:w="851" w:type="dxa"/>
            <w:tcBorders>
              <w:top w:val="single" w:sz="4" w:space="0" w:color="auto"/>
              <w:left w:val="nil"/>
              <w:right w:val="nil"/>
            </w:tcBorders>
            <w:shd w:val="clear" w:color="auto" w:fill="E7E6E6"/>
          </w:tcPr>
          <w:p w14:paraId="3CE968FE" w14:textId="77777777" w:rsidR="00CE75D4" w:rsidRPr="008B06FF" w:rsidRDefault="00CE75D4" w:rsidP="008340C1">
            <w:pPr>
              <w:pStyle w:val="ARfintablebodyright"/>
              <w:ind w:right="10"/>
            </w:pPr>
            <w:r>
              <w:t>–</w:t>
            </w:r>
          </w:p>
        </w:tc>
        <w:tc>
          <w:tcPr>
            <w:tcW w:w="851" w:type="dxa"/>
            <w:tcBorders>
              <w:left w:val="nil"/>
              <w:right w:val="nil"/>
            </w:tcBorders>
            <w:shd w:val="clear" w:color="auto" w:fill="E7E6E6"/>
            <w:noWrap/>
          </w:tcPr>
          <w:p w14:paraId="616DAA3E" w14:textId="77777777" w:rsidR="00CE75D4" w:rsidRPr="002029AF" w:rsidRDefault="00CE75D4" w:rsidP="008340C1">
            <w:pPr>
              <w:pStyle w:val="ARfintablebodyright"/>
              <w:ind w:right="10"/>
            </w:pPr>
            <w:r>
              <w:t>–</w:t>
            </w:r>
          </w:p>
        </w:tc>
        <w:tc>
          <w:tcPr>
            <w:tcW w:w="851" w:type="dxa"/>
            <w:tcBorders>
              <w:left w:val="nil"/>
              <w:right w:val="nil"/>
            </w:tcBorders>
            <w:shd w:val="clear" w:color="auto" w:fill="E7E6E6"/>
            <w:noWrap/>
          </w:tcPr>
          <w:p w14:paraId="472901C9" w14:textId="77777777" w:rsidR="00CE75D4" w:rsidRPr="002029AF" w:rsidRDefault="00CE75D4" w:rsidP="008340C1">
            <w:pPr>
              <w:pStyle w:val="ARfintablebodyright"/>
              <w:ind w:right="10"/>
            </w:pPr>
            <w:r w:rsidRPr="000E7174">
              <w:t>0.2</w:t>
            </w:r>
          </w:p>
        </w:tc>
        <w:tc>
          <w:tcPr>
            <w:tcW w:w="851" w:type="dxa"/>
            <w:tcBorders>
              <w:left w:val="nil"/>
              <w:right w:val="nil"/>
            </w:tcBorders>
            <w:shd w:val="clear" w:color="auto" w:fill="E7E6E6"/>
            <w:noWrap/>
          </w:tcPr>
          <w:p w14:paraId="0B366021" w14:textId="77777777" w:rsidR="00CE75D4" w:rsidRPr="002029AF" w:rsidRDefault="00CE75D4" w:rsidP="008340C1">
            <w:pPr>
              <w:pStyle w:val="ARfintablebodyright"/>
              <w:ind w:right="10"/>
            </w:pPr>
            <w:r>
              <w:t>–</w:t>
            </w:r>
          </w:p>
        </w:tc>
        <w:tc>
          <w:tcPr>
            <w:tcW w:w="851" w:type="dxa"/>
            <w:tcBorders>
              <w:left w:val="nil"/>
              <w:right w:val="nil"/>
            </w:tcBorders>
            <w:shd w:val="clear" w:color="auto" w:fill="E7E6E6"/>
            <w:noWrap/>
          </w:tcPr>
          <w:p w14:paraId="401278E0" w14:textId="77777777" w:rsidR="00CE75D4" w:rsidRPr="002029AF" w:rsidRDefault="00CE75D4" w:rsidP="008340C1">
            <w:pPr>
              <w:pStyle w:val="ARfintablebodyright"/>
              <w:ind w:right="10"/>
            </w:pPr>
            <w:r w:rsidRPr="000E7174">
              <w:t>0.1</w:t>
            </w:r>
          </w:p>
        </w:tc>
        <w:tc>
          <w:tcPr>
            <w:tcW w:w="851" w:type="dxa"/>
            <w:tcBorders>
              <w:left w:val="nil"/>
            </w:tcBorders>
            <w:shd w:val="clear" w:color="auto" w:fill="E7E6E6"/>
            <w:noWrap/>
          </w:tcPr>
          <w:p w14:paraId="1FB40DA2" w14:textId="77777777" w:rsidR="00CE75D4" w:rsidRPr="002029AF" w:rsidRDefault="00CE75D4" w:rsidP="008340C1">
            <w:pPr>
              <w:pStyle w:val="ARfintablebodyright"/>
              <w:ind w:right="10"/>
            </w:pPr>
            <w:r w:rsidRPr="000E7174">
              <w:t>4.2</w:t>
            </w:r>
          </w:p>
        </w:tc>
        <w:tc>
          <w:tcPr>
            <w:tcW w:w="851" w:type="dxa"/>
            <w:noWrap/>
          </w:tcPr>
          <w:p w14:paraId="597BB4AD" w14:textId="77777777" w:rsidR="00CE75D4" w:rsidRPr="002029AF" w:rsidRDefault="00CE75D4" w:rsidP="008340C1">
            <w:pPr>
              <w:pStyle w:val="ARfintablebodyright"/>
              <w:ind w:right="10"/>
            </w:pPr>
            <w:r w:rsidRPr="000E7174">
              <w:t>3.8</w:t>
            </w:r>
          </w:p>
        </w:tc>
        <w:tc>
          <w:tcPr>
            <w:tcW w:w="851" w:type="dxa"/>
            <w:noWrap/>
          </w:tcPr>
          <w:p w14:paraId="79CF2CDB" w14:textId="77777777" w:rsidR="00CE75D4" w:rsidRPr="002029AF" w:rsidRDefault="00CE75D4" w:rsidP="008340C1">
            <w:pPr>
              <w:pStyle w:val="ARfintablebodyright"/>
              <w:ind w:right="10"/>
            </w:pPr>
            <w:r>
              <w:t>–</w:t>
            </w:r>
          </w:p>
        </w:tc>
        <w:tc>
          <w:tcPr>
            <w:tcW w:w="851" w:type="dxa"/>
            <w:noWrap/>
          </w:tcPr>
          <w:p w14:paraId="1BF8CFDD" w14:textId="77777777" w:rsidR="00CE75D4" w:rsidRPr="002029AF" w:rsidRDefault="00CE75D4" w:rsidP="008340C1">
            <w:pPr>
              <w:pStyle w:val="ARfintablebodyright"/>
              <w:ind w:right="10"/>
            </w:pPr>
            <w:r w:rsidRPr="000E7174">
              <w:t>0.2</w:t>
            </w:r>
          </w:p>
        </w:tc>
        <w:tc>
          <w:tcPr>
            <w:tcW w:w="851" w:type="dxa"/>
            <w:noWrap/>
          </w:tcPr>
          <w:p w14:paraId="334AFFF7" w14:textId="77777777" w:rsidR="00CE75D4" w:rsidRPr="002029AF" w:rsidRDefault="00CE75D4" w:rsidP="008340C1">
            <w:pPr>
              <w:pStyle w:val="ARfintablebodyright"/>
              <w:ind w:right="10"/>
            </w:pPr>
            <w:r>
              <w:t>–</w:t>
            </w:r>
          </w:p>
        </w:tc>
        <w:tc>
          <w:tcPr>
            <w:tcW w:w="851" w:type="dxa"/>
            <w:noWrap/>
          </w:tcPr>
          <w:p w14:paraId="5F4A86C9" w14:textId="77777777" w:rsidR="00CE75D4" w:rsidRPr="002029AF" w:rsidRDefault="00CE75D4" w:rsidP="008340C1">
            <w:pPr>
              <w:pStyle w:val="ARfintablebodyright"/>
              <w:ind w:right="10"/>
            </w:pPr>
            <w:r>
              <w:t>–</w:t>
            </w:r>
          </w:p>
        </w:tc>
        <w:tc>
          <w:tcPr>
            <w:tcW w:w="851" w:type="dxa"/>
            <w:noWrap/>
          </w:tcPr>
          <w:p w14:paraId="4921C7FA" w14:textId="77777777" w:rsidR="00CE75D4" w:rsidRPr="002029AF" w:rsidRDefault="00CE75D4" w:rsidP="008340C1">
            <w:pPr>
              <w:pStyle w:val="ARfintablebodyright"/>
              <w:ind w:right="10"/>
            </w:pPr>
            <w:r w:rsidRPr="000E7174">
              <w:t>4.0</w:t>
            </w:r>
          </w:p>
        </w:tc>
      </w:tr>
      <w:tr w:rsidR="00CE75D4" w:rsidRPr="002029AF" w14:paraId="64230B17" w14:textId="77777777" w:rsidTr="008340C1">
        <w:trPr>
          <w:cantSplit w:val="0"/>
        </w:trPr>
        <w:tc>
          <w:tcPr>
            <w:tcW w:w="3119" w:type="dxa"/>
          </w:tcPr>
          <w:p w14:paraId="4927CF48" w14:textId="77777777" w:rsidR="00CE75D4" w:rsidRPr="002029AF" w:rsidRDefault="00CE75D4" w:rsidP="008340C1">
            <w:pPr>
              <w:pStyle w:val="ARfintablebody"/>
            </w:pPr>
            <w:r w:rsidRPr="000E7174">
              <w:t>Victorian Natural Disasters Relief Fund</w:t>
            </w:r>
          </w:p>
        </w:tc>
        <w:tc>
          <w:tcPr>
            <w:tcW w:w="851" w:type="dxa"/>
            <w:tcBorders>
              <w:top w:val="single" w:sz="4" w:space="0" w:color="auto"/>
              <w:right w:val="nil"/>
            </w:tcBorders>
            <w:shd w:val="clear" w:color="auto" w:fill="E7E6E6"/>
            <w:noWrap/>
          </w:tcPr>
          <w:p w14:paraId="1747D786" w14:textId="77777777" w:rsidR="00CE75D4" w:rsidRPr="002029AF" w:rsidRDefault="00CE75D4" w:rsidP="008340C1">
            <w:pPr>
              <w:pStyle w:val="ARfintablebodyright"/>
              <w:ind w:right="10"/>
            </w:pPr>
            <w:r w:rsidRPr="000E7174">
              <w:t>(0.6)</w:t>
            </w:r>
          </w:p>
        </w:tc>
        <w:tc>
          <w:tcPr>
            <w:tcW w:w="851" w:type="dxa"/>
            <w:tcBorders>
              <w:top w:val="single" w:sz="4" w:space="0" w:color="auto"/>
              <w:left w:val="nil"/>
              <w:right w:val="nil"/>
            </w:tcBorders>
            <w:shd w:val="clear" w:color="auto" w:fill="E7E6E6"/>
          </w:tcPr>
          <w:p w14:paraId="3A23E567" w14:textId="77777777" w:rsidR="00CE75D4" w:rsidRPr="008B06FF" w:rsidRDefault="00CE75D4" w:rsidP="008340C1">
            <w:pPr>
              <w:pStyle w:val="ARfintablebodyright"/>
              <w:ind w:right="10"/>
            </w:pPr>
            <w:r w:rsidRPr="000E7174">
              <w:t>0.6</w:t>
            </w:r>
          </w:p>
        </w:tc>
        <w:tc>
          <w:tcPr>
            <w:tcW w:w="851" w:type="dxa"/>
            <w:tcBorders>
              <w:left w:val="nil"/>
              <w:right w:val="nil"/>
            </w:tcBorders>
            <w:shd w:val="clear" w:color="auto" w:fill="E7E6E6"/>
            <w:noWrap/>
          </w:tcPr>
          <w:p w14:paraId="0E248354" w14:textId="77777777" w:rsidR="00CE75D4" w:rsidRPr="002029AF" w:rsidRDefault="00CE75D4" w:rsidP="008340C1">
            <w:pPr>
              <w:pStyle w:val="ARfintablebodyright"/>
              <w:ind w:right="10"/>
            </w:pPr>
            <w:r>
              <w:t>–</w:t>
            </w:r>
          </w:p>
        </w:tc>
        <w:tc>
          <w:tcPr>
            <w:tcW w:w="851" w:type="dxa"/>
            <w:tcBorders>
              <w:left w:val="nil"/>
              <w:right w:val="nil"/>
            </w:tcBorders>
            <w:shd w:val="clear" w:color="auto" w:fill="E7E6E6"/>
            <w:noWrap/>
          </w:tcPr>
          <w:p w14:paraId="29CED800" w14:textId="77777777" w:rsidR="00CE75D4" w:rsidRPr="002029AF" w:rsidRDefault="00CE75D4" w:rsidP="008340C1">
            <w:pPr>
              <w:pStyle w:val="ARfintablebodyright"/>
              <w:ind w:right="10"/>
            </w:pPr>
            <w:r>
              <w:t>–</w:t>
            </w:r>
          </w:p>
        </w:tc>
        <w:tc>
          <w:tcPr>
            <w:tcW w:w="851" w:type="dxa"/>
            <w:tcBorders>
              <w:left w:val="nil"/>
              <w:right w:val="nil"/>
            </w:tcBorders>
            <w:shd w:val="clear" w:color="auto" w:fill="E7E6E6"/>
            <w:noWrap/>
          </w:tcPr>
          <w:p w14:paraId="7F415176" w14:textId="77777777" w:rsidR="00CE75D4" w:rsidRPr="002029AF" w:rsidRDefault="00CE75D4" w:rsidP="008340C1">
            <w:pPr>
              <w:pStyle w:val="ARfintablebodyright"/>
              <w:ind w:right="10"/>
            </w:pPr>
            <w:r>
              <w:t>–</w:t>
            </w:r>
          </w:p>
        </w:tc>
        <w:tc>
          <w:tcPr>
            <w:tcW w:w="851" w:type="dxa"/>
            <w:tcBorders>
              <w:left w:val="nil"/>
              <w:right w:val="nil"/>
            </w:tcBorders>
            <w:shd w:val="clear" w:color="auto" w:fill="E7E6E6"/>
            <w:noWrap/>
          </w:tcPr>
          <w:p w14:paraId="07DF176D" w14:textId="77777777" w:rsidR="00CE75D4" w:rsidRPr="002029AF" w:rsidRDefault="00CE75D4" w:rsidP="008340C1">
            <w:pPr>
              <w:pStyle w:val="ARfintablebodyright"/>
              <w:ind w:right="10"/>
            </w:pPr>
            <w:r>
              <w:t>–</w:t>
            </w:r>
          </w:p>
        </w:tc>
        <w:tc>
          <w:tcPr>
            <w:tcW w:w="851" w:type="dxa"/>
            <w:tcBorders>
              <w:left w:val="nil"/>
            </w:tcBorders>
            <w:shd w:val="clear" w:color="auto" w:fill="E7E6E6"/>
            <w:noWrap/>
          </w:tcPr>
          <w:p w14:paraId="1492784F" w14:textId="77777777" w:rsidR="00CE75D4" w:rsidRPr="002029AF" w:rsidRDefault="00CE75D4" w:rsidP="008340C1">
            <w:pPr>
              <w:pStyle w:val="ARfintablebodyright"/>
              <w:ind w:right="10"/>
            </w:pPr>
            <w:r>
              <w:t>–</w:t>
            </w:r>
          </w:p>
        </w:tc>
        <w:tc>
          <w:tcPr>
            <w:tcW w:w="851" w:type="dxa"/>
            <w:noWrap/>
          </w:tcPr>
          <w:p w14:paraId="521E1BA8" w14:textId="77777777" w:rsidR="00CE75D4" w:rsidRPr="002029AF" w:rsidRDefault="00CE75D4" w:rsidP="008340C1">
            <w:pPr>
              <w:pStyle w:val="ARfintablebodyright"/>
              <w:ind w:right="10"/>
            </w:pPr>
            <w:r>
              <w:t>–</w:t>
            </w:r>
          </w:p>
        </w:tc>
        <w:tc>
          <w:tcPr>
            <w:tcW w:w="851" w:type="dxa"/>
            <w:noWrap/>
          </w:tcPr>
          <w:p w14:paraId="6817D545" w14:textId="77777777" w:rsidR="00CE75D4" w:rsidRPr="002029AF" w:rsidRDefault="00CE75D4" w:rsidP="008340C1">
            <w:pPr>
              <w:pStyle w:val="ARfintablebodyright"/>
              <w:ind w:right="10"/>
            </w:pPr>
            <w:r>
              <w:t>–</w:t>
            </w:r>
          </w:p>
        </w:tc>
        <w:tc>
          <w:tcPr>
            <w:tcW w:w="851" w:type="dxa"/>
            <w:noWrap/>
          </w:tcPr>
          <w:p w14:paraId="755D9EB7" w14:textId="77777777" w:rsidR="00CE75D4" w:rsidRPr="002029AF" w:rsidRDefault="00CE75D4" w:rsidP="008340C1">
            <w:pPr>
              <w:pStyle w:val="ARfintablebodyright"/>
              <w:ind w:right="10"/>
            </w:pPr>
            <w:r w:rsidRPr="000E7174">
              <w:t>7.4</w:t>
            </w:r>
          </w:p>
        </w:tc>
        <w:tc>
          <w:tcPr>
            <w:tcW w:w="851" w:type="dxa"/>
            <w:noWrap/>
          </w:tcPr>
          <w:p w14:paraId="239ECCD7" w14:textId="77777777" w:rsidR="00CE75D4" w:rsidRPr="002029AF" w:rsidRDefault="00CE75D4" w:rsidP="008340C1">
            <w:pPr>
              <w:pStyle w:val="ARfintablebodyright"/>
              <w:ind w:right="10"/>
            </w:pPr>
            <w:r w:rsidRPr="000E7174">
              <w:t>8.0</w:t>
            </w:r>
          </w:p>
        </w:tc>
        <w:tc>
          <w:tcPr>
            <w:tcW w:w="851" w:type="dxa"/>
            <w:noWrap/>
          </w:tcPr>
          <w:p w14:paraId="1E251F69" w14:textId="77777777" w:rsidR="00CE75D4" w:rsidRPr="002029AF" w:rsidRDefault="00CE75D4" w:rsidP="008340C1">
            <w:pPr>
              <w:pStyle w:val="ARfintablebodyright"/>
              <w:ind w:right="10"/>
            </w:pPr>
            <w:r>
              <w:t>–</w:t>
            </w:r>
          </w:p>
        </w:tc>
        <w:tc>
          <w:tcPr>
            <w:tcW w:w="851" w:type="dxa"/>
            <w:noWrap/>
          </w:tcPr>
          <w:p w14:paraId="1132C7AE" w14:textId="77777777" w:rsidR="00CE75D4" w:rsidRPr="002029AF" w:rsidRDefault="00CE75D4" w:rsidP="008340C1">
            <w:pPr>
              <w:pStyle w:val="ARfintablebodyright"/>
              <w:ind w:right="10"/>
            </w:pPr>
            <w:r w:rsidRPr="000E7174">
              <w:t>(0.6)</w:t>
            </w:r>
          </w:p>
        </w:tc>
      </w:tr>
      <w:tr w:rsidR="00CE75D4" w:rsidRPr="002029AF" w14:paraId="62ECED8A" w14:textId="77777777" w:rsidTr="008340C1">
        <w:trPr>
          <w:cantSplit w:val="0"/>
        </w:trPr>
        <w:tc>
          <w:tcPr>
            <w:tcW w:w="3119" w:type="dxa"/>
          </w:tcPr>
          <w:p w14:paraId="2F6D69FE" w14:textId="77777777" w:rsidR="00CE75D4" w:rsidRPr="002029AF" w:rsidRDefault="00CE75D4" w:rsidP="008340C1">
            <w:pPr>
              <w:pStyle w:val="ARfintablebodybold"/>
            </w:pPr>
            <w:r w:rsidRPr="000E7174">
              <w:t>Total administered trusts</w:t>
            </w:r>
          </w:p>
        </w:tc>
        <w:tc>
          <w:tcPr>
            <w:tcW w:w="851" w:type="dxa"/>
            <w:tcBorders>
              <w:top w:val="single" w:sz="4" w:space="0" w:color="auto"/>
              <w:right w:val="nil"/>
            </w:tcBorders>
            <w:shd w:val="clear" w:color="auto" w:fill="E7E6E6"/>
            <w:noWrap/>
          </w:tcPr>
          <w:p w14:paraId="1387F9B0" w14:textId="77777777" w:rsidR="00CE75D4" w:rsidRPr="002029AF" w:rsidRDefault="00CE75D4" w:rsidP="008340C1">
            <w:pPr>
              <w:pStyle w:val="ARfintablebodyrightbold"/>
              <w:ind w:right="10"/>
            </w:pPr>
            <w:r w:rsidRPr="000E7174">
              <w:t>3.3</w:t>
            </w:r>
          </w:p>
        </w:tc>
        <w:tc>
          <w:tcPr>
            <w:tcW w:w="851" w:type="dxa"/>
            <w:tcBorders>
              <w:top w:val="single" w:sz="4" w:space="0" w:color="auto"/>
              <w:left w:val="nil"/>
              <w:right w:val="nil"/>
            </w:tcBorders>
            <w:shd w:val="clear" w:color="auto" w:fill="E7E6E6"/>
          </w:tcPr>
          <w:p w14:paraId="62828231" w14:textId="77777777" w:rsidR="00CE75D4" w:rsidRPr="008B06FF" w:rsidRDefault="00CE75D4" w:rsidP="008340C1">
            <w:pPr>
              <w:pStyle w:val="ARfintablebodyrightbold"/>
              <w:ind w:right="10"/>
            </w:pPr>
            <w:r w:rsidRPr="000E7174">
              <w:t>0.7</w:t>
            </w:r>
          </w:p>
        </w:tc>
        <w:tc>
          <w:tcPr>
            <w:tcW w:w="851" w:type="dxa"/>
            <w:tcBorders>
              <w:left w:val="nil"/>
              <w:right w:val="nil"/>
            </w:tcBorders>
            <w:shd w:val="clear" w:color="auto" w:fill="E7E6E6"/>
            <w:noWrap/>
          </w:tcPr>
          <w:p w14:paraId="43C986EA" w14:textId="77777777" w:rsidR="00CE75D4" w:rsidRPr="002029AF" w:rsidRDefault="00CE75D4" w:rsidP="008340C1">
            <w:pPr>
              <w:pStyle w:val="ARfintablebodyrightbold"/>
              <w:ind w:right="10"/>
            </w:pPr>
            <w:r>
              <w:t>–</w:t>
            </w:r>
          </w:p>
        </w:tc>
        <w:tc>
          <w:tcPr>
            <w:tcW w:w="851" w:type="dxa"/>
            <w:tcBorders>
              <w:left w:val="nil"/>
              <w:right w:val="nil"/>
            </w:tcBorders>
            <w:shd w:val="clear" w:color="auto" w:fill="E7E6E6"/>
            <w:noWrap/>
          </w:tcPr>
          <w:p w14:paraId="2549952D" w14:textId="77777777" w:rsidR="00CE75D4" w:rsidRPr="002029AF" w:rsidRDefault="00CE75D4" w:rsidP="008340C1">
            <w:pPr>
              <w:pStyle w:val="ARfintablebodyrightbold"/>
              <w:ind w:right="10"/>
            </w:pPr>
            <w:r w:rsidRPr="000E7174">
              <w:t>15,611.4</w:t>
            </w:r>
          </w:p>
        </w:tc>
        <w:tc>
          <w:tcPr>
            <w:tcW w:w="851" w:type="dxa"/>
            <w:tcBorders>
              <w:left w:val="nil"/>
              <w:right w:val="nil"/>
            </w:tcBorders>
            <w:shd w:val="clear" w:color="auto" w:fill="E7E6E6"/>
            <w:noWrap/>
          </w:tcPr>
          <w:p w14:paraId="12ECB4D8" w14:textId="77777777" w:rsidR="00CE75D4" w:rsidRPr="002029AF" w:rsidRDefault="00CE75D4" w:rsidP="008340C1">
            <w:pPr>
              <w:pStyle w:val="ARfintablebodyrightbold"/>
              <w:ind w:right="10"/>
            </w:pPr>
            <w:r w:rsidRPr="000E7174">
              <w:t>15,545.0</w:t>
            </w:r>
          </w:p>
        </w:tc>
        <w:tc>
          <w:tcPr>
            <w:tcW w:w="851" w:type="dxa"/>
            <w:tcBorders>
              <w:left w:val="nil"/>
              <w:right w:val="nil"/>
            </w:tcBorders>
            <w:shd w:val="clear" w:color="auto" w:fill="E7E6E6"/>
            <w:noWrap/>
          </w:tcPr>
          <w:p w14:paraId="1DE27F9D" w14:textId="77777777" w:rsidR="00CE75D4" w:rsidRPr="002029AF" w:rsidRDefault="00CE75D4" w:rsidP="008340C1">
            <w:pPr>
              <w:pStyle w:val="ARfintablebodyrightbold"/>
              <w:ind w:right="10"/>
            </w:pPr>
            <w:r w:rsidRPr="000E7174">
              <w:t>(66.2)</w:t>
            </w:r>
          </w:p>
        </w:tc>
        <w:tc>
          <w:tcPr>
            <w:tcW w:w="851" w:type="dxa"/>
            <w:tcBorders>
              <w:left w:val="nil"/>
            </w:tcBorders>
            <w:shd w:val="clear" w:color="auto" w:fill="E7E6E6"/>
            <w:noWrap/>
          </w:tcPr>
          <w:p w14:paraId="154665E8" w14:textId="77777777" w:rsidR="00CE75D4" w:rsidRPr="002029AF" w:rsidRDefault="00CE75D4" w:rsidP="008340C1">
            <w:pPr>
              <w:pStyle w:val="ARfintablebodyrightbold"/>
              <w:ind w:right="10"/>
            </w:pPr>
            <w:r w:rsidRPr="000E7174">
              <w:t>4.1</w:t>
            </w:r>
          </w:p>
        </w:tc>
        <w:tc>
          <w:tcPr>
            <w:tcW w:w="851" w:type="dxa"/>
            <w:noWrap/>
          </w:tcPr>
          <w:p w14:paraId="48C02DC7" w14:textId="77777777" w:rsidR="00CE75D4" w:rsidRPr="002029AF" w:rsidRDefault="00CE75D4" w:rsidP="008340C1">
            <w:pPr>
              <w:pStyle w:val="ARfintablebodyrightbold"/>
              <w:ind w:right="10"/>
            </w:pPr>
            <w:r w:rsidRPr="000E7174">
              <w:t>3.1</w:t>
            </w:r>
          </w:p>
        </w:tc>
        <w:tc>
          <w:tcPr>
            <w:tcW w:w="851" w:type="dxa"/>
            <w:noWrap/>
          </w:tcPr>
          <w:p w14:paraId="0FA9037D" w14:textId="77777777" w:rsidR="00CE75D4" w:rsidRPr="002029AF" w:rsidRDefault="00CE75D4" w:rsidP="008340C1">
            <w:pPr>
              <w:pStyle w:val="ARfintablebodyrightbold"/>
              <w:ind w:right="10"/>
            </w:pPr>
            <w:r>
              <w:t>–</w:t>
            </w:r>
          </w:p>
        </w:tc>
        <w:tc>
          <w:tcPr>
            <w:tcW w:w="851" w:type="dxa"/>
            <w:noWrap/>
          </w:tcPr>
          <w:p w14:paraId="61F77DDE" w14:textId="77777777" w:rsidR="00CE75D4" w:rsidRPr="002029AF" w:rsidRDefault="00CE75D4" w:rsidP="008340C1">
            <w:pPr>
              <w:pStyle w:val="ARfintablebodyrightbold"/>
              <w:ind w:right="10"/>
            </w:pPr>
            <w:r w:rsidRPr="000E7174">
              <w:t>14,385.5</w:t>
            </w:r>
          </w:p>
        </w:tc>
        <w:tc>
          <w:tcPr>
            <w:tcW w:w="851" w:type="dxa"/>
            <w:noWrap/>
          </w:tcPr>
          <w:p w14:paraId="6EA494F9" w14:textId="77777777" w:rsidR="00CE75D4" w:rsidRPr="002029AF" w:rsidRDefault="00CE75D4" w:rsidP="008340C1">
            <w:pPr>
              <w:pStyle w:val="ARfintablebodyrightbold"/>
              <w:ind w:right="10"/>
            </w:pPr>
            <w:r w:rsidRPr="000E7174">
              <w:t>14,530.4</w:t>
            </w:r>
          </w:p>
        </w:tc>
        <w:tc>
          <w:tcPr>
            <w:tcW w:w="851" w:type="dxa"/>
            <w:noWrap/>
          </w:tcPr>
          <w:p w14:paraId="3AF400CE" w14:textId="77777777" w:rsidR="00CE75D4" w:rsidRPr="002029AF" w:rsidRDefault="00CE75D4" w:rsidP="008340C1">
            <w:pPr>
              <w:pStyle w:val="ARfintablebodyrightbold"/>
              <w:ind w:right="10"/>
            </w:pPr>
            <w:r w:rsidRPr="000E7174">
              <w:t>145.1</w:t>
            </w:r>
          </w:p>
        </w:tc>
        <w:tc>
          <w:tcPr>
            <w:tcW w:w="851" w:type="dxa"/>
            <w:noWrap/>
          </w:tcPr>
          <w:p w14:paraId="3DCFAB57" w14:textId="77777777" w:rsidR="00CE75D4" w:rsidRPr="002029AF" w:rsidRDefault="00CE75D4" w:rsidP="008340C1">
            <w:pPr>
              <w:pStyle w:val="ARfintablebodyrightbold"/>
              <w:ind w:right="10"/>
            </w:pPr>
            <w:r w:rsidRPr="000E7174">
              <w:t>3.3</w:t>
            </w:r>
          </w:p>
        </w:tc>
      </w:tr>
    </w:tbl>
    <w:p w14:paraId="3661A52B" w14:textId="77777777" w:rsidR="00CE75D4" w:rsidRDefault="00CE75D4" w:rsidP="008340C1">
      <w:pPr>
        <w:pStyle w:val="ARfintablefootnote"/>
      </w:pPr>
      <w:r>
        <w:rPr>
          <w:lang w:eastAsia="en-AU"/>
        </w:rPr>
        <w:t>Note:</w:t>
      </w:r>
    </w:p>
    <w:p w14:paraId="5B0A3AE3" w14:textId="586AA469" w:rsidR="00CE75D4" w:rsidRDefault="00CE75D4" w:rsidP="00F37111">
      <w:pPr>
        <w:pStyle w:val="ARfintablefootnoteindent"/>
      </w:pPr>
      <w:r w:rsidRPr="3D493511" w:rsidDel="008922B5">
        <w:t>(i)</w:t>
      </w:r>
      <w:r w:rsidDel="008922B5">
        <w:tab/>
      </w:r>
      <w:r w:rsidRPr="3D493511">
        <w:t>Removes the 30 June 2021 closing balances of the DFFH, the Victorian Disability Worker Commission and the Director of Housing, which were included in the department’s 2020–21 financial statements under s. 53(1)(b) of the FMA. The transactions which relate to these entities are reported in the DFFH’s 2021–22 financial statements.</w:t>
      </w:r>
    </w:p>
    <w:p w14:paraId="3281EF42" w14:textId="77777777" w:rsidR="00CE75D4" w:rsidRPr="002029AF" w:rsidRDefault="00CE75D4" w:rsidP="00087B91">
      <w:pPr>
        <w:pStyle w:val="ARfinbody"/>
      </w:pPr>
    </w:p>
    <w:p w14:paraId="3DC473D2" w14:textId="77777777" w:rsidR="00CE75D4" w:rsidRPr="002029AF" w:rsidRDefault="00CE75D4" w:rsidP="00087B91">
      <w:pPr>
        <w:pStyle w:val="ARfinbody"/>
        <w:sectPr w:rsidR="00CE75D4" w:rsidRPr="002029AF" w:rsidSect="00130D1C">
          <w:footnotePr>
            <w:numFmt w:val="lowerLetter"/>
            <w:numRestart w:val="eachPage"/>
          </w:footnotePr>
          <w:pgSz w:w="16838" w:h="11906" w:orient="landscape" w:code="9"/>
          <w:pgMar w:top="1134" w:right="1531" w:bottom="1134" w:left="851" w:header="510" w:footer="340" w:gutter="0"/>
          <w:cols w:space="708"/>
          <w:docGrid w:linePitch="360"/>
        </w:sectPr>
      </w:pPr>
    </w:p>
    <w:p w14:paraId="349C05A6" w14:textId="77777777" w:rsidR="00CE75D4" w:rsidRDefault="00CE75D4" w:rsidP="008340C1">
      <w:pPr>
        <w:pStyle w:val="Heading5"/>
        <w:spacing w:before="0"/>
      </w:pPr>
      <w:r>
        <w:rPr>
          <w:lang w:eastAsia="en-AU"/>
        </w:rPr>
        <w:t>7.4.2 Trust account – Legislative references and nature</w:t>
      </w:r>
    </w:p>
    <w:p w14:paraId="60917A48" w14:textId="77777777" w:rsidR="00CE75D4" w:rsidRDefault="00CE75D4" w:rsidP="008340C1">
      <w:pPr>
        <w:pStyle w:val="Heading6"/>
        <w:spacing w:before="160"/>
      </w:pPr>
      <w:r>
        <w:rPr>
          <w:lang w:eastAsia="en-AU"/>
        </w:rPr>
        <w:t>Controlled trusts</w:t>
      </w:r>
    </w:p>
    <w:p w14:paraId="480D1936" w14:textId="77777777" w:rsidR="00CE75D4" w:rsidRDefault="00CE75D4" w:rsidP="008340C1">
      <w:pPr>
        <w:pStyle w:val="Heading7"/>
        <w:spacing w:before="140"/>
      </w:pPr>
      <w:r>
        <w:t>Casey Hospital Escrow Account</w:t>
      </w:r>
    </w:p>
    <w:p w14:paraId="398D0C87" w14:textId="77777777" w:rsidR="00CE75D4" w:rsidRDefault="00CE75D4" w:rsidP="008340C1">
      <w:pPr>
        <w:pStyle w:val="ARfinbody"/>
      </w:pPr>
      <w:r>
        <w:t>Established to manage and control payments to the contractor for the completion of the Casey Hospital refurbishment.</w:t>
      </w:r>
    </w:p>
    <w:p w14:paraId="73265DB3" w14:textId="77777777" w:rsidR="00CE75D4" w:rsidRDefault="00CE75D4" w:rsidP="008340C1">
      <w:pPr>
        <w:pStyle w:val="Heading7"/>
      </w:pPr>
      <w:r>
        <w:t>Health State Managed Fund</w:t>
      </w:r>
    </w:p>
    <w:p w14:paraId="21E580E2" w14:textId="77777777" w:rsidR="00CE75D4" w:rsidRDefault="00CE75D4" w:rsidP="008340C1">
      <w:pPr>
        <w:pStyle w:val="ARfinbody"/>
        <w:rPr>
          <w:b/>
          <w:bCs/>
        </w:rPr>
      </w:pPr>
      <w:r>
        <w:t xml:space="preserve">Established under the </w:t>
      </w:r>
      <w:r>
        <w:rPr>
          <w:rStyle w:val="Emphasis"/>
        </w:rPr>
        <w:t>Health (Commonwealth State Funding Arrangements) Act 2012</w:t>
      </w:r>
      <w:r>
        <w:t xml:space="preserve"> for the purpose of receiving funding for block grants, teaching, training and research.</w:t>
      </w:r>
    </w:p>
    <w:p w14:paraId="7C8E244E" w14:textId="77777777" w:rsidR="00CE75D4" w:rsidRDefault="00CE75D4" w:rsidP="008340C1">
      <w:pPr>
        <w:pStyle w:val="Heading7"/>
      </w:pPr>
      <w:r>
        <w:t>Hospitals and Charities Fund</w:t>
      </w:r>
    </w:p>
    <w:p w14:paraId="7413CC1A" w14:textId="77777777" w:rsidR="00CE75D4" w:rsidRDefault="00CE75D4" w:rsidP="008340C1">
      <w:pPr>
        <w:pStyle w:val="ARfinbody"/>
      </w:pPr>
      <w:r>
        <w:t xml:space="preserve">Established under the </w:t>
      </w:r>
      <w:r w:rsidRPr="0030001A">
        <w:rPr>
          <w:rStyle w:val="Emphasis"/>
        </w:rPr>
        <w:t>Health Services Act 1988</w:t>
      </w:r>
      <w:r>
        <w:t xml:space="preserve"> to record funding for health service agencies. Monies are paid into the fund from the </w:t>
      </w:r>
      <w:r>
        <w:rPr>
          <w:rStyle w:val="Emphasis"/>
        </w:rPr>
        <w:t>Gambling Regulation Act 2003</w:t>
      </w:r>
      <w:r>
        <w:t xml:space="preserve">, </w:t>
      </w:r>
      <w:r>
        <w:rPr>
          <w:rStyle w:val="Emphasis"/>
        </w:rPr>
        <w:t>Casino Control Act 1991</w:t>
      </w:r>
      <w:r>
        <w:t xml:space="preserve"> and s. 10 of the FMA.</w:t>
      </w:r>
    </w:p>
    <w:p w14:paraId="368A06BE" w14:textId="77777777" w:rsidR="00CE75D4" w:rsidRDefault="00CE75D4" w:rsidP="008340C1">
      <w:pPr>
        <w:pStyle w:val="Heading7"/>
      </w:pPr>
      <w:r>
        <w:t>Intellectually Handicapped Children’s Amenities Fund</w:t>
      </w:r>
    </w:p>
    <w:p w14:paraId="68318641" w14:textId="32177E88" w:rsidR="00CE75D4" w:rsidRDefault="00CE75D4" w:rsidP="008340C1">
      <w:pPr>
        <w:pStyle w:val="ARfinbody"/>
      </w:pPr>
      <w:r>
        <w:t xml:space="preserve">Established under the </w:t>
      </w:r>
      <w:r w:rsidRPr="00F444D9">
        <w:rPr>
          <w:rStyle w:val="Emphasis"/>
        </w:rPr>
        <w:t>Intellectually Disabled Persons Act 1986</w:t>
      </w:r>
      <w:r>
        <w:t xml:space="preserve"> which was then repealed by the </w:t>
      </w:r>
      <w:r>
        <w:rPr>
          <w:rStyle w:val="Emphasis"/>
        </w:rPr>
        <w:t>Disability Act 2006</w:t>
      </w:r>
      <w:r>
        <w:t>. The trust was established to meet the cost of the provision of amenities for children under the age of 16 years in the care of the department. This trust</w:t>
      </w:r>
      <w:r w:rsidDel="007C3509">
        <w:t xml:space="preserve"> </w:t>
      </w:r>
      <w:r w:rsidR="007C3509">
        <w:t xml:space="preserve">was </w:t>
      </w:r>
      <w:r>
        <w:t>transferred to the Department of Families, Fairness and Housing as part of the machinery of government changes in 2020–21.</w:t>
      </w:r>
    </w:p>
    <w:p w14:paraId="4EF866A5" w14:textId="77777777" w:rsidR="00CE75D4" w:rsidRDefault="00CE75D4" w:rsidP="008340C1">
      <w:pPr>
        <w:pStyle w:val="Heading7"/>
      </w:pPr>
      <w:r>
        <w:t>Mental Health Fund</w:t>
      </w:r>
    </w:p>
    <w:p w14:paraId="2A86AB86" w14:textId="3ED93685" w:rsidR="00CE75D4" w:rsidRDefault="00CE75D4" w:rsidP="008340C1">
      <w:pPr>
        <w:pStyle w:val="ARfinbody"/>
      </w:pPr>
      <w:r>
        <w:t xml:space="preserve">Established under the </w:t>
      </w:r>
      <w:r>
        <w:rPr>
          <w:rStyle w:val="Emphasis"/>
        </w:rPr>
        <w:t>Gaming Regulation Act 2003</w:t>
      </w:r>
      <w:r>
        <w:t xml:space="preserve"> for the establishment and maintenance of mental health services and residential institutions and facilities, for the administration of the </w:t>
      </w:r>
      <w:r>
        <w:rPr>
          <w:rStyle w:val="Emphasis"/>
        </w:rPr>
        <w:t>Mental Health Act 1986</w:t>
      </w:r>
      <w:r>
        <w:t xml:space="preserve"> and for the administration of the </w:t>
      </w:r>
      <w:r>
        <w:rPr>
          <w:rStyle w:val="Emphasis"/>
        </w:rPr>
        <w:t>Disability Act 2006</w:t>
      </w:r>
      <w:r>
        <w:t xml:space="preserve">. This trust </w:t>
      </w:r>
      <w:r w:rsidR="007C3509">
        <w:t>was</w:t>
      </w:r>
      <w:r>
        <w:t xml:space="preserve"> transferred to the Department of Families, Fairness and Housing as part of the machinery of government changes in 2020–21.</w:t>
      </w:r>
    </w:p>
    <w:p w14:paraId="0B6EF685" w14:textId="77777777" w:rsidR="00CE75D4" w:rsidRDefault="00CE75D4" w:rsidP="008340C1">
      <w:pPr>
        <w:pStyle w:val="Heading7"/>
      </w:pPr>
      <w:r>
        <w:t>Public Health Fund</w:t>
      </w:r>
    </w:p>
    <w:p w14:paraId="3AF400B1" w14:textId="3CD620C5" w:rsidR="00CE75D4" w:rsidRDefault="00CE75D4" w:rsidP="008340C1">
      <w:pPr>
        <w:pStyle w:val="ARfinbody"/>
      </w:pPr>
      <w:r>
        <w:t>Established by the Assistant Treasurer in accordance with the National Health Reform Agreement to allow the Department of Health and Human Services</w:t>
      </w:r>
      <w:r w:rsidR="007C3509">
        <w:t xml:space="preserve"> </w:t>
      </w:r>
      <w:r>
        <w:t>to access public health funding contributions paid by the Commonwealth through the Victorian State Pool Account and apply the funding to deliver public health activities managed by the state.</w:t>
      </w:r>
    </w:p>
    <w:p w14:paraId="3DCB5EDE" w14:textId="77777777" w:rsidR="00CE75D4" w:rsidRDefault="00CE75D4" w:rsidP="008340C1">
      <w:pPr>
        <w:pStyle w:val="Heading7"/>
      </w:pPr>
      <w:r>
        <w:t>Treasury Trust</w:t>
      </w:r>
    </w:p>
    <w:p w14:paraId="3E0338F3" w14:textId="77777777" w:rsidR="00CE75D4" w:rsidRDefault="00CE75D4" w:rsidP="008340C1">
      <w:pPr>
        <w:pStyle w:val="ARfinbody"/>
      </w:pPr>
      <w:r>
        <w:t xml:space="preserve">Established to record the receipt and disbursement of unclaimed monies and other funds held in trust. </w:t>
      </w:r>
      <w:r w:rsidRPr="00792CFC">
        <w:t>Utilisation of the trust balance or any material variations to budgeted expenditure in subsequent years requires formal approval from the relevant Cabinet committee or the Treasurer.</w:t>
      </w:r>
    </w:p>
    <w:p w14:paraId="1CAC9500" w14:textId="77777777" w:rsidR="00CE75D4" w:rsidRDefault="00CE75D4" w:rsidP="008340C1">
      <w:pPr>
        <w:pStyle w:val="Heading7"/>
      </w:pPr>
      <w:r>
        <w:t>Inter-Departmental Transfer Trust</w:t>
      </w:r>
    </w:p>
    <w:p w14:paraId="23DCE8DC" w14:textId="77777777" w:rsidR="00CE75D4" w:rsidRDefault="00CE75D4" w:rsidP="008340C1">
      <w:pPr>
        <w:pStyle w:val="ARfinbody"/>
      </w:pPr>
      <w:r>
        <w:t xml:space="preserve">Established under s. 19 of the FMA by the Assistant Treasurer to record inter-departmental transfers when no other trust arrangement exists. </w:t>
      </w:r>
      <w:r w:rsidRPr="00792CFC">
        <w:t>Utilisation of the trust balance or any material variations to budgeted expenditure in subsequent years requires formal approval from the relevant Cabinet committee or the Treasurer.</w:t>
      </w:r>
    </w:p>
    <w:p w14:paraId="6CDDFAD0" w14:textId="77777777" w:rsidR="00CE75D4" w:rsidRDefault="00CE75D4" w:rsidP="008340C1">
      <w:pPr>
        <w:pStyle w:val="Heading7"/>
      </w:pPr>
      <w:r>
        <w:t>Vehicle Lease Trust Account</w:t>
      </w:r>
    </w:p>
    <w:p w14:paraId="1AEBF4ED" w14:textId="77777777" w:rsidR="00CE75D4" w:rsidRDefault="00CE75D4" w:rsidP="008340C1">
      <w:pPr>
        <w:pStyle w:val="ARfinbody"/>
      </w:pPr>
      <w:r>
        <w:t>Established to record transactions relating to the government’s vehicle pool and fleet management business.</w:t>
      </w:r>
    </w:p>
    <w:p w14:paraId="691FE935" w14:textId="77777777" w:rsidR="00CE75D4" w:rsidRDefault="00CE75D4" w:rsidP="008340C1">
      <w:pPr>
        <w:pStyle w:val="Heading7"/>
      </w:pPr>
      <w:r>
        <w:t>Victorian Health Promotion Fund</w:t>
      </w:r>
    </w:p>
    <w:p w14:paraId="0842908A" w14:textId="77777777" w:rsidR="00CE75D4" w:rsidRDefault="00CE75D4" w:rsidP="008340C1">
      <w:pPr>
        <w:pStyle w:val="ARfinbody"/>
      </w:pPr>
      <w:r>
        <w:t xml:space="preserve">Established under s. 32 of the </w:t>
      </w:r>
      <w:r>
        <w:rPr>
          <w:rStyle w:val="Emphasis"/>
        </w:rPr>
        <w:t>Tobacco Act 1987</w:t>
      </w:r>
      <w:r>
        <w:t>, prior to the abolition by the High Court in July 1997 of taxes on tobacco products. Following the High Court decision, the Act was amended and the source of funding was specified by the Treasurer under s. 32(3a).</w:t>
      </w:r>
    </w:p>
    <w:p w14:paraId="7CAFC264" w14:textId="77777777" w:rsidR="00CE75D4" w:rsidRDefault="00CE75D4" w:rsidP="008340C1">
      <w:pPr>
        <w:pStyle w:val="Heading7"/>
      </w:pPr>
      <w:r>
        <w:t>Departmental Suspense Account</w:t>
      </w:r>
    </w:p>
    <w:p w14:paraId="7DC1625F" w14:textId="77777777" w:rsidR="00CE75D4" w:rsidRDefault="00CE75D4" w:rsidP="008340C1">
      <w:pPr>
        <w:pStyle w:val="ARfinbody"/>
      </w:pPr>
      <w:r>
        <w:t>Short-term clearing account pending correct identification of payments.</w:t>
      </w:r>
    </w:p>
    <w:p w14:paraId="7EE7D3DD" w14:textId="77777777" w:rsidR="00CE75D4" w:rsidRDefault="00CE75D4" w:rsidP="008340C1">
      <w:pPr>
        <w:pStyle w:val="Heading7"/>
      </w:pPr>
      <w:r>
        <w:t>Victorian Veterans Fund</w:t>
      </w:r>
    </w:p>
    <w:p w14:paraId="1EB7C125" w14:textId="0B44E0CF" w:rsidR="00CE75D4" w:rsidRDefault="00CE75D4" w:rsidP="008340C1">
      <w:pPr>
        <w:pStyle w:val="ARfinbody"/>
        <w:rPr>
          <w:b/>
          <w:bCs/>
        </w:rPr>
      </w:pPr>
      <w:r>
        <w:t xml:space="preserve">Established under s. 20 of the </w:t>
      </w:r>
      <w:r>
        <w:rPr>
          <w:rStyle w:val="Emphasis"/>
        </w:rPr>
        <w:t>Veterans Act 2005</w:t>
      </w:r>
      <w:r>
        <w:t xml:space="preserve"> to educate Victorians about Victoria’s involvement in Australia’s war and service history, to honour or commemorate the service or sacrifice of veterans, to assist the education of veterans’ dependants and any other purpose agreed in writing by the Minister for Veterans. The Victorian Veterans Council may invest any part of the Victorian Veterans Fund not immediately required for the purposes of the Victorian Veterans Fund in any manner approved by the Treasurer.</w:t>
      </w:r>
      <w:r>
        <w:rPr>
          <w:b/>
          <w:bCs/>
        </w:rPr>
        <w:t xml:space="preserve"> </w:t>
      </w:r>
      <w:r>
        <w:t xml:space="preserve">This trust </w:t>
      </w:r>
      <w:r w:rsidR="007C3509">
        <w:t>was</w:t>
      </w:r>
      <w:r>
        <w:t xml:space="preserve"> transferred to the Department of Families, Fairness and Housing as part of the machinery of government changes in 2020–21.</w:t>
      </w:r>
    </w:p>
    <w:p w14:paraId="0A7965A9" w14:textId="77777777" w:rsidR="00CE75D4" w:rsidRDefault="00CE75D4" w:rsidP="008340C1">
      <w:pPr>
        <w:pStyle w:val="Heading7"/>
      </w:pPr>
      <w:r>
        <w:t>Anzac Day Proceeds Fund</w:t>
      </w:r>
    </w:p>
    <w:p w14:paraId="6E3DC73A" w14:textId="73418978" w:rsidR="00CE75D4" w:rsidRDefault="00CE75D4" w:rsidP="008340C1">
      <w:pPr>
        <w:pStyle w:val="ARfinbody"/>
      </w:pPr>
      <w:r>
        <w:t xml:space="preserve">Established under s. 4A of the </w:t>
      </w:r>
      <w:r>
        <w:rPr>
          <w:rStyle w:val="Emphasis"/>
        </w:rPr>
        <w:t>ANZAC Day Act 1958</w:t>
      </w:r>
      <w:r>
        <w:t xml:space="preserve"> to receive funds as required to be paid by the </w:t>
      </w:r>
      <w:r>
        <w:rPr>
          <w:rStyle w:val="Emphasis"/>
        </w:rPr>
        <w:t>ANZAC Day Act 1958</w:t>
      </w:r>
      <w:r>
        <w:t xml:space="preserve"> and the </w:t>
      </w:r>
      <w:r>
        <w:rPr>
          <w:rStyle w:val="Emphasis"/>
        </w:rPr>
        <w:t>Racing Act 1958</w:t>
      </w:r>
      <w:r>
        <w:t xml:space="preserve"> and to be credited to the Victorian Veterans Fund. This trust</w:t>
      </w:r>
      <w:r w:rsidDel="007C3509">
        <w:t xml:space="preserve"> </w:t>
      </w:r>
      <w:r w:rsidR="007C3509">
        <w:t xml:space="preserve">was </w:t>
      </w:r>
      <w:r>
        <w:t>transferred to the Department of Families, Fairness and Housing as part of the machinery of government changes in 2020–21.</w:t>
      </w:r>
    </w:p>
    <w:p w14:paraId="5310FD2C" w14:textId="77777777" w:rsidR="00CE75D4" w:rsidRDefault="00CE75D4" w:rsidP="008340C1">
      <w:pPr>
        <w:pStyle w:val="Heading6"/>
      </w:pPr>
      <w:r>
        <w:rPr>
          <w:lang w:eastAsia="en-AU"/>
        </w:rPr>
        <w:t>Administered trusts</w:t>
      </w:r>
    </w:p>
    <w:p w14:paraId="4DCD59A0" w14:textId="77777777" w:rsidR="00CE75D4" w:rsidRDefault="00CE75D4" w:rsidP="008340C1">
      <w:pPr>
        <w:pStyle w:val="Heading7"/>
      </w:pPr>
      <w:r>
        <w:t>National Disability Insurance Scheme Trust Account</w:t>
      </w:r>
    </w:p>
    <w:p w14:paraId="59F42464" w14:textId="2AA414E2" w:rsidR="00CE75D4" w:rsidRDefault="00CE75D4" w:rsidP="008340C1">
      <w:pPr>
        <w:pStyle w:val="ARfinbody"/>
      </w:pPr>
      <w:r>
        <w:t>Established in accordance with a memorandum of understanding between the then Department of Health and Human Services, Department of Education and Training, Taxi Services Commission, and Department of Treasury and Finance. The trust is used solely to manage the state’s payments to the National Disability Insurance Agency, as required under the bilateral agreement between the Commonwealth and Victoria that outlines the transition to the National Disability Insurance Scheme. This trust</w:t>
      </w:r>
      <w:r w:rsidDel="00F342B0">
        <w:t xml:space="preserve"> </w:t>
      </w:r>
      <w:r w:rsidR="00F342B0">
        <w:t xml:space="preserve">was </w:t>
      </w:r>
      <w:r>
        <w:t>transferred to the Department of Families, Fairness and Housing as part of the machinery of government changes in 2020–21.</w:t>
      </w:r>
    </w:p>
    <w:p w14:paraId="0625054C" w14:textId="77777777" w:rsidR="00CE75D4" w:rsidRDefault="00CE75D4" w:rsidP="008340C1">
      <w:pPr>
        <w:pStyle w:val="Heading7"/>
      </w:pPr>
      <w:r>
        <w:t>National Health Funding Pool – Victorian State Pool Account</w:t>
      </w:r>
    </w:p>
    <w:p w14:paraId="5548D67A" w14:textId="77777777" w:rsidR="00CE75D4" w:rsidRDefault="00CE75D4" w:rsidP="008340C1">
      <w:pPr>
        <w:pStyle w:val="ARfinbody"/>
      </w:pPr>
      <w:r>
        <w:t xml:space="preserve">Established under the </w:t>
      </w:r>
      <w:r>
        <w:rPr>
          <w:rStyle w:val="Emphasis"/>
        </w:rPr>
        <w:t>Health (Commonwealth State Funding Arrangements) Act 2012</w:t>
      </w:r>
      <w:r>
        <w:t xml:space="preserve"> to record funding made available by the Commonwealth and the state under the National Health Reform Agreement.</w:t>
      </w:r>
    </w:p>
    <w:p w14:paraId="6658E40E" w14:textId="77777777" w:rsidR="00CE75D4" w:rsidRDefault="00CE75D4" w:rsidP="008340C1">
      <w:pPr>
        <w:pStyle w:val="Heading7"/>
      </w:pPr>
      <w:r>
        <w:t>Public Service Commuter Club</w:t>
      </w:r>
    </w:p>
    <w:p w14:paraId="7B31CFD7" w14:textId="77777777" w:rsidR="00CE75D4" w:rsidRDefault="00CE75D4" w:rsidP="008340C1">
      <w:pPr>
        <w:pStyle w:val="ARfinbody"/>
      </w:pPr>
      <w:r>
        <w:t>Established to record the receipt of amounts associated with the Public Service Commuter Club Scheme and deductions from club members’ salaries as well as to record payment to the Public Transport Corporation.</w:t>
      </w:r>
    </w:p>
    <w:p w14:paraId="40FF5461" w14:textId="77777777" w:rsidR="00CE75D4" w:rsidRDefault="00CE75D4" w:rsidP="008340C1">
      <w:pPr>
        <w:pStyle w:val="Heading7"/>
      </w:pPr>
      <w:r>
        <w:t>Revenue Suspense Account</w:t>
      </w:r>
    </w:p>
    <w:p w14:paraId="1E54EF06" w14:textId="77777777" w:rsidR="00CE75D4" w:rsidRDefault="00CE75D4" w:rsidP="008340C1">
      <w:pPr>
        <w:pStyle w:val="ARfinbody"/>
      </w:pPr>
      <w:r>
        <w:t>Short-term clearing account pending correct identification of receipts.</w:t>
      </w:r>
    </w:p>
    <w:p w14:paraId="3B626E3B" w14:textId="77777777" w:rsidR="00CE75D4" w:rsidRDefault="00CE75D4" w:rsidP="008340C1">
      <w:pPr>
        <w:pStyle w:val="Heading7"/>
      </w:pPr>
      <w:r>
        <w:t>Victorian Natural Disasters Relief Fund</w:t>
      </w:r>
    </w:p>
    <w:p w14:paraId="4A2B97FD" w14:textId="41267A01" w:rsidR="00CE75D4" w:rsidRDefault="00CE75D4" w:rsidP="008340C1">
      <w:pPr>
        <w:pStyle w:val="ARfinbody"/>
      </w:pPr>
      <w:r>
        <w:t xml:space="preserve">Established for the purpose of granting assistance to persons who suffer losses as a result of flood, bushfires and other natural disasters. This trust </w:t>
      </w:r>
      <w:r w:rsidR="00F342B0">
        <w:t>was</w:t>
      </w:r>
      <w:r>
        <w:t xml:space="preserve"> transferred to the Department of Families, Fairness and Housing as part of the machinery of government changes in 2020–21.</w:t>
      </w:r>
    </w:p>
    <w:p w14:paraId="0572947D" w14:textId="77777777" w:rsidR="00CE75D4" w:rsidRPr="002029AF" w:rsidRDefault="00CE75D4" w:rsidP="00087B91">
      <w:pPr>
        <w:pStyle w:val="Heading4"/>
      </w:pPr>
      <w:bookmarkStart w:id="614" w:name="_Toc39242160"/>
      <w:bookmarkStart w:id="615" w:name="_Toc85121504"/>
      <w:r w:rsidRPr="002029AF">
        <w:t>7.5 Commitments for expenditure</w:t>
      </w:r>
      <w:bookmarkEnd w:id="614"/>
      <w:bookmarkEnd w:id="615"/>
    </w:p>
    <w:p w14:paraId="17B72F24" w14:textId="77777777" w:rsidR="00CE75D4" w:rsidRDefault="00CE75D4" w:rsidP="008340C1">
      <w:pPr>
        <w:pStyle w:val="ARfinbody"/>
      </w:pPr>
      <w:bookmarkStart w:id="616" w:name="_Toc85121505"/>
      <w:r>
        <w:t>Commitments for future expenditure include operating and capital commitments arising from contracts. These commitments are recorded below at their nominal value and inclusive of GST. These future expenditures cease to be disclosed as commitments once the related liabilities are recognised in the balance sheet. The following commitments have not been recognised as liabilities in the financial statements.</w:t>
      </w:r>
    </w:p>
    <w:p w14:paraId="6998469A" w14:textId="77777777" w:rsidR="00CE75D4" w:rsidRPr="002029AF" w:rsidRDefault="00CE75D4" w:rsidP="00087B91">
      <w:pPr>
        <w:pStyle w:val="Heading5"/>
      </w:pPr>
      <w:r w:rsidRPr="002029AF">
        <w:t xml:space="preserve">7.5.1 Total commitments payable </w:t>
      </w:r>
      <w:r w:rsidRPr="002029AF">
        <w:rPr>
          <w:rStyle w:val="Superscript"/>
          <w:rFonts w:eastAsiaTheme="minorEastAsia"/>
        </w:rPr>
        <w:t>(i)</w:t>
      </w:r>
      <w:bookmarkEnd w:id="616"/>
    </w:p>
    <w:tbl>
      <w:tblPr>
        <w:tblStyle w:val="TableGrid"/>
        <w:tblW w:w="9637" w:type="dxa"/>
        <w:tblLayout w:type="fixed"/>
        <w:tblLook w:val="06A0" w:firstRow="1" w:lastRow="0" w:firstColumn="1" w:lastColumn="0" w:noHBand="1" w:noVBand="1"/>
      </w:tblPr>
      <w:tblGrid>
        <w:gridCol w:w="7371"/>
        <w:gridCol w:w="1133"/>
        <w:gridCol w:w="1133"/>
      </w:tblGrid>
      <w:tr w:rsidR="00CE75D4" w:rsidRPr="002029AF" w14:paraId="781BA0F2" w14:textId="77777777" w:rsidTr="3D493511">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11D96993" w14:textId="77777777" w:rsidR="00CE75D4" w:rsidRPr="002029AF" w:rsidRDefault="00CE75D4" w:rsidP="008340C1">
            <w:pPr>
              <w:pStyle w:val="ARfintablecolhead"/>
            </w:pPr>
          </w:p>
        </w:tc>
        <w:tc>
          <w:tcPr>
            <w:tcW w:w="1133" w:type="dxa"/>
            <w:shd w:val="clear" w:color="auto" w:fill="E7E6E6" w:themeFill="background2"/>
            <w:hideMark/>
          </w:tcPr>
          <w:p w14:paraId="5CB3E7E5" w14:textId="77777777" w:rsidR="00CE75D4" w:rsidRPr="002029AF" w:rsidRDefault="00CE75D4" w:rsidP="008340C1">
            <w:pPr>
              <w:pStyle w:val="ARfintablecolheadright"/>
            </w:pPr>
            <w:r w:rsidRPr="002029AF">
              <w:t>202</w:t>
            </w:r>
            <w:r>
              <w:t>2</w:t>
            </w:r>
          </w:p>
          <w:p w14:paraId="7CD41E92" w14:textId="77777777" w:rsidR="00CE75D4" w:rsidRPr="002029AF" w:rsidRDefault="00CE75D4" w:rsidP="008340C1">
            <w:pPr>
              <w:pStyle w:val="ARfintablecolheadright"/>
            </w:pPr>
            <w:r w:rsidRPr="002029AF">
              <w:t>$M</w:t>
            </w:r>
          </w:p>
        </w:tc>
        <w:tc>
          <w:tcPr>
            <w:tcW w:w="1133" w:type="dxa"/>
            <w:hideMark/>
          </w:tcPr>
          <w:p w14:paraId="70A5B3D5" w14:textId="77777777" w:rsidR="00CE75D4" w:rsidRPr="002029AF" w:rsidRDefault="00CE75D4" w:rsidP="008340C1">
            <w:pPr>
              <w:pStyle w:val="ARfintablecolheadright"/>
            </w:pPr>
            <w:r>
              <w:t>2021</w:t>
            </w:r>
          </w:p>
          <w:p w14:paraId="1FF0E8B1" w14:textId="77777777" w:rsidR="00CE75D4" w:rsidRPr="002029AF" w:rsidRDefault="00CE75D4" w:rsidP="008340C1">
            <w:pPr>
              <w:pStyle w:val="ARfintablecolheadright"/>
            </w:pPr>
            <w:r w:rsidRPr="002029AF">
              <w:t>$M</w:t>
            </w:r>
          </w:p>
        </w:tc>
      </w:tr>
      <w:tr w:rsidR="00CE75D4" w:rsidRPr="002029AF" w14:paraId="5B226FA2" w14:textId="77777777" w:rsidTr="3D493511">
        <w:tc>
          <w:tcPr>
            <w:tcW w:w="9637" w:type="dxa"/>
            <w:gridSpan w:val="3"/>
            <w:tcBorders>
              <w:top w:val="single" w:sz="4" w:space="0" w:color="auto"/>
              <w:bottom w:val="single" w:sz="4" w:space="0" w:color="A6A6A6" w:themeColor="background1" w:themeShade="A6"/>
            </w:tcBorders>
            <w:hideMark/>
          </w:tcPr>
          <w:p w14:paraId="56FA4B2A" w14:textId="77777777" w:rsidR="00CE75D4" w:rsidRPr="002029AF" w:rsidRDefault="00CE75D4" w:rsidP="008340C1">
            <w:pPr>
              <w:pStyle w:val="ARfintablebodybold"/>
            </w:pPr>
            <w:r w:rsidRPr="000147FA">
              <w:t xml:space="preserve">(a) Capital expenditure commitments </w:t>
            </w:r>
            <w:r w:rsidRPr="000B6970">
              <w:rPr>
                <w:rStyle w:val="Superscript"/>
              </w:rPr>
              <w:t>(ii)</w:t>
            </w:r>
          </w:p>
        </w:tc>
      </w:tr>
      <w:tr w:rsidR="00CE75D4" w:rsidRPr="002029AF" w14:paraId="420FA4EF" w14:textId="77777777" w:rsidTr="3D493511">
        <w:tc>
          <w:tcPr>
            <w:tcW w:w="7371" w:type="dxa"/>
            <w:tcBorders>
              <w:top w:val="single" w:sz="4" w:space="0" w:color="A6A6A6" w:themeColor="background1" w:themeShade="A6"/>
              <w:bottom w:val="single" w:sz="4" w:space="0" w:color="A6A6A6" w:themeColor="background1" w:themeShade="A6"/>
            </w:tcBorders>
            <w:hideMark/>
          </w:tcPr>
          <w:p w14:paraId="532190D6" w14:textId="77777777" w:rsidR="00CE75D4" w:rsidRPr="002029AF" w:rsidRDefault="00CE75D4" w:rsidP="008340C1">
            <w:pPr>
              <w:pStyle w:val="ARfintablebody"/>
            </w:pPr>
            <w:r w:rsidRPr="000147FA">
              <w:t>Less than 1 year</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9BE4CAA" w14:textId="77777777" w:rsidR="00CE75D4" w:rsidRPr="002029AF" w:rsidRDefault="00CE75D4" w:rsidP="008340C1">
            <w:pPr>
              <w:pStyle w:val="ARfintablebodyright"/>
            </w:pPr>
            <w:r w:rsidRPr="000147FA">
              <w:t>1,043.6</w:t>
            </w:r>
          </w:p>
        </w:tc>
        <w:tc>
          <w:tcPr>
            <w:tcW w:w="1133" w:type="dxa"/>
            <w:tcBorders>
              <w:top w:val="single" w:sz="4" w:space="0" w:color="A6A6A6" w:themeColor="background1" w:themeShade="A6"/>
              <w:bottom w:val="single" w:sz="4" w:space="0" w:color="A6A6A6" w:themeColor="background1" w:themeShade="A6"/>
            </w:tcBorders>
            <w:noWrap/>
            <w:hideMark/>
          </w:tcPr>
          <w:p w14:paraId="248FF751" w14:textId="77777777" w:rsidR="00CE75D4" w:rsidRPr="002029AF" w:rsidRDefault="00CE75D4" w:rsidP="008340C1">
            <w:pPr>
              <w:pStyle w:val="ARfintablebodyright"/>
            </w:pPr>
            <w:r w:rsidRPr="000147FA">
              <w:t>837.3</w:t>
            </w:r>
          </w:p>
        </w:tc>
      </w:tr>
      <w:tr w:rsidR="00CE75D4" w:rsidRPr="002029AF" w14:paraId="3EB6ECF5" w14:textId="77777777" w:rsidTr="3D493511">
        <w:tc>
          <w:tcPr>
            <w:tcW w:w="7371" w:type="dxa"/>
            <w:tcBorders>
              <w:top w:val="single" w:sz="4" w:space="0" w:color="A6A6A6" w:themeColor="background1" w:themeShade="A6"/>
              <w:bottom w:val="single" w:sz="4" w:space="0" w:color="A6A6A6" w:themeColor="background1" w:themeShade="A6"/>
            </w:tcBorders>
            <w:hideMark/>
          </w:tcPr>
          <w:p w14:paraId="6D373BBD" w14:textId="77777777" w:rsidR="00CE75D4" w:rsidRPr="002029AF" w:rsidRDefault="00CE75D4" w:rsidP="008340C1">
            <w:pPr>
              <w:pStyle w:val="ARfintablebody"/>
            </w:pPr>
            <w:r w:rsidRPr="000147F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AFBB678" w14:textId="77777777" w:rsidR="00CE75D4" w:rsidRPr="002029AF" w:rsidRDefault="00CE75D4" w:rsidP="008340C1">
            <w:pPr>
              <w:pStyle w:val="ARfintablebodyright"/>
            </w:pPr>
            <w:r w:rsidRPr="000147FA">
              <w:t>846.1</w:t>
            </w:r>
          </w:p>
        </w:tc>
        <w:tc>
          <w:tcPr>
            <w:tcW w:w="1133" w:type="dxa"/>
            <w:tcBorders>
              <w:top w:val="single" w:sz="4" w:space="0" w:color="A6A6A6" w:themeColor="background1" w:themeShade="A6"/>
              <w:bottom w:val="single" w:sz="4" w:space="0" w:color="A6A6A6" w:themeColor="background1" w:themeShade="A6"/>
            </w:tcBorders>
            <w:noWrap/>
            <w:hideMark/>
          </w:tcPr>
          <w:p w14:paraId="259420B1" w14:textId="77777777" w:rsidR="00CE75D4" w:rsidRPr="002029AF" w:rsidRDefault="00CE75D4" w:rsidP="008340C1">
            <w:pPr>
              <w:pStyle w:val="ARfintablebodyright"/>
            </w:pPr>
            <w:r w:rsidRPr="000147FA">
              <w:t>214.8</w:t>
            </w:r>
          </w:p>
        </w:tc>
      </w:tr>
      <w:tr w:rsidR="00CE75D4" w:rsidRPr="002029AF" w14:paraId="4A7289A0" w14:textId="77777777" w:rsidTr="3D493511">
        <w:tc>
          <w:tcPr>
            <w:tcW w:w="7371" w:type="dxa"/>
            <w:tcBorders>
              <w:top w:val="single" w:sz="4" w:space="0" w:color="A6A6A6" w:themeColor="background1" w:themeShade="A6"/>
            </w:tcBorders>
            <w:hideMark/>
          </w:tcPr>
          <w:p w14:paraId="0AAD57DC" w14:textId="77777777" w:rsidR="00CE75D4" w:rsidRPr="002029AF" w:rsidRDefault="00CE75D4" w:rsidP="008340C1">
            <w:pPr>
              <w:pStyle w:val="ARfintablebody"/>
            </w:pPr>
            <w:r w:rsidRPr="000147FA">
              <w:t>Longer than 5 years</w:t>
            </w:r>
          </w:p>
        </w:tc>
        <w:tc>
          <w:tcPr>
            <w:tcW w:w="1133" w:type="dxa"/>
            <w:tcBorders>
              <w:top w:val="single" w:sz="4" w:space="0" w:color="A6A6A6" w:themeColor="background1" w:themeShade="A6"/>
            </w:tcBorders>
            <w:shd w:val="clear" w:color="auto" w:fill="E7E6E6" w:themeFill="background2"/>
            <w:noWrap/>
            <w:hideMark/>
          </w:tcPr>
          <w:p w14:paraId="37105921" w14:textId="77777777" w:rsidR="00CE75D4" w:rsidRPr="002029AF" w:rsidRDefault="00CE75D4" w:rsidP="008340C1">
            <w:pPr>
              <w:pStyle w:val="ARfintablebodyright"/>
            </w:pPr>
            <w:r w:rsidRPr="000147FA">
              <w:t>57.6</w:t>
            </w:r>
          </w:p>
        </w:tc>
        <w:tc>
          <w:tcPr>
            <w:tcW w:w="1133" w:type="dxa"/>
            <w:tcBorders>
              <w:top w:val="single" w:sz="4" w:space="0" w:color="A6A6A6" w:themeColor="background1" w:themeShade="A6"/>
            </w:tcBorders>
            <w:noWrap/>
            <w:hideMark/>
          </w:tcPr>
          <w:p w14:paraId="09382866" w14:textId="77777777" w:rsidR="00CE75D4" w:rsidRPr="002029AF" w:rsidRDefault="00CE75D4" w:rsidP="008340C1">
            <w:pPr>
              <w:pStyle w:val="ARfintablebodyright"/>
            </w:pPr>
            <w:r>
              <w:t>–</w:t>
            </w:r>
          </w:p>
        </w:tc>
      </w:tr>
      <w:tr w:rsidR="00CE75D4" w:rsidRPr="002029AF" w14:paraId="52DE6ED2" w14:textId="77777777" w:rsidTr="3D493511">
        <w:tc>
          <w:tcPr>
            <w:tcW w:w="7371" w:type="dxa"/>
            <w:tcBorders>
              <w:bottom w:val="single" w:sz="4" w:space="0" w:color="auto"/>
            </w:tcBorders>
            <w:hideMark/>
          </w:tcPr>
          <w:p w14:paraId="27169E49" w14:textId="77777777" w:rsidR="00CE75D4" w:rsidRPr="002029AF" w:rsidRDefault="00CE75D4" w:rsidP="008340C1">
            <w:pPr>
              <w:pStyle w:val="ARfintablebodybold"/>
            </w:pPr>
            <w:r w:rsidRPr="000147FA">
              <w:t>Total capital commitments</w:t>
            </w:r>
          </w:p>
        </w:tc>
        <w:tc>
          <w:tcPr>
            <w:tcW w:w="1133" w:type="dxa"/>
            <w:tcBorders>
              <w:bottom w:val="single" w:sz="4" w:space="0" w:color="auto"/>
            </w:tcBorders>
            <w:shd w:val="clear" w:color="auto" w:fill="E7E6E6" w:themeFill="background2"/>
            <w:noWrap/>
            <w:hideMark/>
          </w:tcPr>
          <w:p w14:paraId="29C32439" w14:textId="77777777" w:rsidR="00CE75D4" w:rsidRPr="002029AF" w:rsidRDefault="00CE75D4" w:rsidP="008340C1">
            <w:pPr>
              <w:pStyle w:val="ARfintablebodyrightbold"/>
            </w:pPr>
            <w:r w:rsidRPr="000147FA">
              <w:t>1,947.3</w:t>
            </w:r>
          </w:p>
        </w:tc>
        <w:tc>
          <w:tcPr>
            <w:tcW w:w="1133" w:type="dxa"/>
            <w:tcBorders>
              <w:bottom w:val="single" w:sz="4" w:space="0" w:color="auto"/>
            </w:tcBorders>
            <w:noWrap/>
            <w:hideMark/>
          </w:tcPr>
          <w:p w14:paraId="3E51600C" w14:textId="77777777" w:rsidR="00CE75D4" w:rsidRPr="002029AF" w:rsidRDefault="00CE75D4" w:rsidP="008340C1">
            <w:pPr>
              <w:pStyle w:val="ARfintablebodyrightbold"/>
            </w:pPr>
            <w:r w:rsidRPr="000147FA">
              <w:t>1,052.1</w:t>
            </w:r>
          </w:p>
        </w:tc>
      </w:tr>
      <w:tr w:rsidR="00CE75D4" w:rsidRPr="002029AF" w14:paraId="68DB8407" w14:textId="77777777" w:rsidTr="3D493511">
        <w:tc>
          <w:tcPr>
            <w:tcW w:w="9637" w:type="dxa"/>
            <w:gridSpan w:val="3"/>
            <w:tcBorders>
              <w:top w:val="single" w:sz="4" w:space="0" w:color="auto"/>
              <w:bottom w:val="single" w:sz="4" w:space="0" w:color="A6A6A6" w:themeColor="background1" w:themeShade="A6"/>
            </w:tcBorders>
            <w:hideMark/>
          </w:tcPr>
          <w:p w14:paraId="3A4E4C8D" w14:textId="77777777" w:rsidR="00CE75D4" w:rsidRPr="002029AF" w:rsidRDefault="00CE75D4" w:rsidP="008340C1">
            <w:pPr>
              <w:pStyle w:val="ARfintablebodybold"/>
            </w:pPr>
            <w:r w:rsidRPr="000147FA">
              <w:t xml:space="preserve">(b) Accommodation expenses payable </w:t>
            </w:r>
            <w:r w:rsidRPr="000B6970">
              <w:rPr>
                <w:rStyle w:val="Superscript"/>
              </w:rPr>
              <w:t>(ii)(iii)</w:t>
            </w:r>
          </w:p>
        </w:tc>
      </w:tr>
      <w:tr w:rsidR="00CE75D4" w:rsidRPr="002029AF" w14:paraId="6BCC6308" w14:textId="77777777" w:rsidTr="3D493511">
        <w:tc>
          <w:tcPr>
            <w:tcW w:w="7371" w:type="dxa"/>
            <w:tcBorders>
              <w:top w:val="single" w:sz="4" w:space="0" w:color="A6A6A6" w:themeColor="background1" w:themeShade="A6"/>
              <w:bottom w:val="single" w:sz="4" w:space="0" w:color="A6A6A6" w:themeColor="background1" w:themeShade="A6"/>
            </w:tcBorders>
            <w:hideMark/>
          </w:tcPr>
          <w:p w14:paraId="4864F355" w14:textId="77777777" w:rsidR="00CE75D4" w:rsidRPr="002029AF" w:rsidRDefault="00CE75D4" w:rsidP="008340C1">
            <w:pPr>
              <w:pStyle w:val="ARfintablebody"/>
            </w:pPr>
            <w:r w:rsidRPr="000147FA">
              <w:t>Less than 1 year</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3D7E835" w14:textId="77777777" w:rsidR="00CE75D4" w:rsidRPr="002029AF" w:rsidRDefault="00CE75D4" w:rsidP="008340C1">
            <w:pPr>
              <w:pStyle w:val="ARfintablebodyright"/>
            </w:pPr>
            <w:r w:rsidRPr="000147FA">
              <w:t>46.3</w:t>
            </w:r>
          </w:p>
        </w:tc>
        <w:tc>
          <w:tcPr>
            <w:tcW w:w="1133" w:type="dxa"/>
            <w:tcBorders>
              <w:top w:val="single" w:sz="4" w:space="0" w:color="A6A6A6" w:themeColor="background1" w:themeShade="A6"/>
              <w:bottom w:val="single" w:sz="4" w:space="0" w:color="A6A6A6" w:themeColor="background1" w:themeShade="A6"/>
            </w:tcBorders>
            <w:noWrap/>
            <w:hideMark/>
          </w:tcPr>
          <w:p w14:paraId="6CF41B68" w14:textId="77777777" w:rsidR="00CE75D4" w:rsidRPr="002029AF" w:rsidRDefault="00CE75D4" w:rsidP="008340C1">
            <w:pPr>
              <w:pStyle w:val="ARfintablebodyright"/>
            </w:pPr>
            <w:r w:rsidRPr="000147FA">
              <w:t>32.5</w:t>
            </w:r>
          </w:p>
        </w:tc>
      </w:tr>
      <w:tr w:rsidR="00CE75D4" w:rsidRPr="002029AF" w14:paraId="6190FEEE" w14:textId="77777777" w:rsidTr="3D493511">
        <w:tc>
          <w:tcPr>
            <w:tcW w:w="7371" w:type="dxa"/>
            <w:tcBorders>
              <w:top w:val="single" w:sz="4" w:space="0" w:color="A6A6A6" w:themeColor="background1" w:themeShade="A6"/>
              <w:bottom w:val="single" w:sz="4" w:space="0" w:color="A6A6A6" w:themeColor="background1" w:themeShade="A6"/>
            </w:tcBorders>
            <w:hideMark/>
          </w:tcPr>
          <w:p w14:paraId="1B002CA9" w14:textId="77777777" w:rsidR="00CE75D4" w:rsidRPr="002029AF" w:rsidRDefault="00CE75D4" w:rsidP="008340C1">
            <w:pPr>
              <w:pStyle w:val="ARfintablebody"/>
            </w:pPr>
            <w:r w:rsidRPr="000147F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0BE0185" w14:textId="77777777" w:rsidR="00CE75D4" w:rsidRPr="002029AF" w:rsidRDefault="00CE75D4" w:rsidP="008340C1">
            <w:pPr>
              <w:pStyle w:val="ARfintablebodyright"/>
            </w:pPr>
            <w:r>
              <w:t>–</w:t>
            </w:r>
          </w:p>
        </w:tc>
        <w:tc>
          <w:tcPr>
            <w:tcW w:w="1133" w:type="dxa"/>
            <w:tcBorders>
              <w:top w:val="single" w:sz="4" w:space="0" w:color="A6A6A6" w:themeColor="background1" w:themeShade="A6"/>
              <w:bottom w:val="single" w:sz="4" w:space="0" w:color="A6A6A6" w:themeColor="background1" w:themeShade="A6"/>
            </w:tcBorders>
            <w:noWrap/>
            <w:hideMark/>
          </w:tcPr>
          <w:p w14:paraId="444D3903" w14:textId="77777777" w:rsidR="00CE75D4" w:rsidRPr="002029AF" w:rsidRDefault="00CE75D4" w:rsidP="008340C1">
            <w:pPr>
              <w:pStyle w:val="ARfintablebodyright"/>
            </w:pPr>
            <w:r>
              <w:t>–</w:t>
            </w:r>
          </w:p>
        </w:tc>
      </w:tr>
      <w:tr w:rsidR="00CE75D4" w:rsidRPr="002029AF" w14:paraId="1B1BFD3F" w14:textId="77777777" w:rsidTr="3D493511">
        <w:tc>
          <w:tcPr>
            <w:tcW w:w="7371" w:type="dxa"/>
            <w:tcBorders>
              <w:top w:val="single" w:sz="4" w:space="0" w:color="A6A6A6" w:themeColor="background1" w:themeShade="A6"/>
            </w:tcBorders>
            <w:hideMark/>
          </w:tcPr>
          <w:p w14:paraId="1290DE4F" w14:textId="77777777" w:rsidR="00CE75D4" w:rsidRPr="002029AF" w:rsidRDefault="00CE75D4" w:rsidP="008340C1">
            <w:pPr>
              <w:pStyle w:val="ARfintablebody"/>
            </w:pPr>
            <w:r w:rsidRPr="000147FA">
              <w:t>Longer than 5 years</w:t>
            </w:r>
          </w:p>
        </w:tc>
        <w:tc>
          <w:tcPr>
            <w:tcW w:w="1133" w:type="dxa"/>
            <w:tcBorders>
              <w:top w:val="single" w:sz="4" w:space="0" w:color="A6A6A6" w:themeColor="background1" w:themeShade="A6"/>
            </w:tcBorders>
            <w:shd w:val="clear" w:color="auto" w:fill="E7E6E6" w:themeFill="background2"/>
            <w:noWrap/>
            <w:hideMark/>
          </w:tcPr>
          <w:p w14:paraId="5AAD3B1D" w14:textId="77777777" w:rsidR="00CE75D4" w:rsidRPr="002029AF" w:rsidRDefault="00CE75D4" w:rsidP="008340C1">
            <w:pPr>
              <w:pStyle w:val="ARfintablebodyright"/>
            </w:pPr>
            <w:r>
              <w:t>–</w:t>
            </w:r>
          </w:p>
        </w:tc>
        <w:tc>
          <w:tcPr>
            <w:tcW w:w="1133" w:type="dxa"/>
            <w:tcBorders>
              <w:top w:val="single" w:sz="4" w:space="0" w:color="A6A6A6" w:themeColor="background1" w:themeShade="A6"/>
            </w:tcBorders>
            <w:noWrap/>
            <w:hideMark/>
          </w:tcPr>
          <w:p w14:paraId="42C1AD23" w14:textId="77777777" w:rsidR="00CE75D4" w:rsidRPr="002029AF" w:rsidRDefault="00CE75D4" w:rsidP="008340C1">
            <w:pPr>
              <w:pStyle w:val="ARfintablebodyright"/>
            </w:pPr>
            <w:r>
              <w:t>–</w:t>
            </w:r>
          </w:p>
        </w:tc>
      </w:tr>
      <w:tr w:rsidR="00CE75D4" w:rsidRPr="002029AF" w14:paraId="5317E331" w14:textId="77777777" w:rsidTr="3D493511">
        <w:tc>
          <w:tcPr>
            <w:tcW w:w="7371" w:type="dxa"/>
            <w:tcBorders>
              <w:bottom w:val="single" w:sz="4" w:space="0" w:color="auto"/>
            </w:tcBorders>
            <w:hideMark/>
          </w:tcPr>
          <w:p w14:paraId="1BCF1216" w14:textId="77777777" w:rsidR="00CE75D4" w:rsidRPr="002029AF" w:rsidRDefault="00CE75D4" w:rsidP="008340C1">
            <w:pPr>
              <w:pStyle w:val="ARfintablebodybold"/>
            </w:pPr>
            <w:r w:rsidRPr="000147FA">
              <w:t>Total accommodation expenses payable</w:t>
            </w:r>
          </w:p>
        </w:tc>
        <w:tc>
          <w:tcPr>
            <w:tcW w:w="1133" w:type="dxa"/>
            <w:tcBorders>
              <w:bottom w:val="single" w:sz="4" w:space="0" w:color="auto"/>
            </w:tcBorders>
            <w:shd w:val="clear" w:color="auto" w:fill="E7E6E6" w:themeFill="background2"/>
            <w:noWrap/>
            <w:hideMark/>
          </w:tcPr>
          <w:p w14:paraId="71F5924F" w14:textId="77777777" w:rsidR="00CE75D4" w:rsidRPr="002029AF" w:rsidRDefault="00CE75D4" w:rsidP="008340C1">
            <w:pPr>
              <w:pStyle w:val="ARfintablebodyrightbold"/>
            </w:pPr>
            <w:r w:rsidRPr="000147FA">
              <w:t>46.3</w:t>
            </w:r>
          </w:p>
        </w:tc>
        <w:tc>
          <w:tcPr>
            <w:tcW w:w="1133" w:type="dxa"/>
            <w:tcBorders>
              <w:bottom w:val="single" w:sz="4" w:space="0" w:color="auto"/>
            </w:tcBorders>
            <w:noWrap/>
            <w:hideMark/>
          </w:tcPr>
          <w:p w14:paraId="74FAC301" w14:textId="77777777" w:rsidR="00CE75D4" w:rsidRPr="002029AF" w:rsidRDefault="00CE75D4" w:rsidP="008340C1">
            <w:pPr>
              <w:pStyle w:val="ARfintablebodyrightbold"/>
            </w:pPr>
            <w:r w:rsidRPr="000147FA">
              <w:t>32.5</w:t>
            </w:r>
          </w:p>
        </w:tc>
      </w:tr>
      <w:tr w:rsidR="00CE75D4" w:rsidRPr="002029AF" w14:paraId="2D3EF715" w14:textId="77777777" w:rsidTr="3D493511">
        <w:tc>
          <w:tcPr>
            <w:tcW w:w="9637" w:type="dxa"/>
            <w:gridSpan w:val="3"/>
            <w:tcBorders>
              <w:top w:val="single" w:sz="4" w:space="0" w:color="auto"/>
              <w:bottom w:val="single" w:sz="4" w:space="0" w:color="A6A6A6" w:themeColor="background1" w:themeShade="A6"/>
            </w:tcBorders>
            <w:hideMark/>
          </w:tcPr>
          <w:p w14:paraId="5673A2F2" w14:textId="3FB6ACCF" w:rsidR="00CE75D4" w:rsidRPr="002029AF" w:rsidRDefault="00CE75D4" w:rsidP="008340C1">
            <w:pPr>
              <w:pStyle w:val="ARfintablebodybold"/>
              <w:rPr>
                <w:rFonts w:ascii="Calibri Light" w:hAnsi="Calibri Light"/>
              </w:rPr>
            </w:pPr>
            <w:r w:rsidRPr="000147FA" w:rsidDel="008922B5">
              <w:t>(c)</w:t>
            </w:r>
            <w:r w:rsidRPr="000147FA">
              <w:t xml:space="preserve"> Other expenditure commitments </w:t>
            </w:r>
            <w:r w:rsidRPr="000B6970">
              <w:rPr>
                <w:rStyle w:val="Superscript"/>
              </w:rPr>
              <w:t>(ii)</w:t>
            </w:r>
          </w:p>
        </w:tc>
      </w:tr>
      <w:tr w:rsidR="00CE75D4" w:rsidRPr="002029AF" w14:paraId="1B63A7F2" w14:textId="77777777" w:rsidTr="3D493511">
        <w:tc>
          <w:tcPr>
            <w:tcW w:w="7371" w:type="dxa"/>
            <w:tcBorders>
              <w:top w:val="single" w:sz="4" w:space="0" w:color="A6A6A6" w:themeColor="background1" w:themeShade="A6"/>
              <w:bottom w:val="single" w:sz="4" w:space="0" w:color="A6A6A6" w:themeColor="background1" w:themeShade="A6"/>
            </w:tcBorders>
            <w:hideMark/>
          </w:tcPr>
          <w:p w14:paraId="639999F2" w14:textId="77777777" w:rsidR="00CE75D4" w:rsidRPr="002029AF" w:rsidRDefault="00CE75D4" w:rsidP="008340C1">
            <w:pPr>
              <w:pStyle w:val="ARfintablebody"/>
            </w:pPr>
            <w:r w:rsidRPr="000147FA">
              <w:t>Less than 1 year</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6B3D765" w14:textId="77777777" w:rsidR="00CE75D4" w:rsidRPr="002029AF" w:rsidRDefault="00CE75D4" w:rsidP="008340C1">
            <w:pPr>
              <w:pStyle w:val="ARfintablebodyright"/>
            </w:pPr>
            <w:r w:rsidRPr="000147FA">
              <w:t>466.5</w:t>
            </w:r>
          </w:p>
        </w:tc>
        <w:tc>
          <w:tcPr>
            <w:tcW w:w="1133" w:type="dxa"/>
            <w:tcBorders>
              <w:top w:val="single" w:sz="4" w:space="0" w:color="A6A6A6" w:themeColor="background1" w:themeShade="A6"/>
              <w:bottom w:val="single" w:sz="4" w:space="0" w:color="A6A6A6" w:themeColor="background1" w:themeShade="A6"/>
            </w:tcBorders>
            <w:noWrap/>
            <w:hideMark/>
          </w:tcPr>
          <w:p w14:paraId="0C5B088C" w14:textId="77777777" w:rsidR="00CE75D4" w:rsidRPr="002029AF" w:rsidRDefault="00CE75D4" w:rsidP="008340C1">
            <w:pPr>
              <w:pStyle w:val="ARfintablebodyright"/>
            </w:pPr>
            <w:r w:rsidRPr="000147FA">
              <w:t>570.8</w:t>
            </w:r>
          </w:p>
        </w:tc>
      </w:tr>
      <w:tr w:rsidR="00CE75D4" w:rsidRPr="002029AF" w14:paraId="298458B3" w14:textId="77777777" w:rsidTr="3D493511">
        <w:tc>
          <w:tcPr>
            <w:tcW w:w="7371" w:type="dxa"/>
            <w:tcBorders>
              <w:top w:val="single" w:sz="4" w:space="0" w:color="A6A6A6" w:themeColor="background1" w:themeShade="A6"/>
              <w:bottom w:val="single" w:sz="4" w:space="0" w:color="A6A6A6" w:themeColor="background1" w:themeShade="A6"/>
            </w:tcBorders>
            <w:hideMark/>
          </w:tcPr>
          <w:p w14:paraId="592EB485" w14:textId="77777777" w:rsidR="00CE75D4" w:rsidRPr="002029AF" w:rsidRDefault="00CE75D4" w:rsidP="008340C1">
            <w:pPr>
              <w:pStyle w:val="ARfintablebody"/>
            </w:pPr>
            <w:r w:rsidRPr="000147F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FD048B3" w14:textId="77777777" w:rsidR="00CE75D4" w:rsidRPr="002029AF" w:rsidRDefault="00CE75D4" w:rsidP="008340C1">
            <w:pPr>
              <w:pStyle w:val="ARfintablebodyright"/>
            </w:pPr>
            <w:r w:rsidRPr="000147FA">
              <w:t>169.5</w:t>
            </w:r>
          </w:p>
        </w:tc>
        <w:tc>
          <w:tcPr>
            <w:tcW w:w="1133" w:type="dxa"/>
            <w:tcBorders>
              <w:top w:val="single" w:sz="4" w:space="0" w:color="A6A6A6" w:themeColor="background1" w:themeShade="A6"/>
              <w:bottom w:val="single" w:sz="4" w:space="0" w:color="A6A6A6" w:themeColor="background1" w:themeShade="A6"/>
            </w:tcBorders>
            <w:noWrap/>
            <w:hideMark/>
          </w:tcPr>
          <w:p w14:paraId="2481FAEF" w14:textId="77777777" w:rsidR="00CE75D4" w:rsidRPr="002029AF" w:rsidRDefault="00CE75D4" w:rsidP="008340C1">
            <w:pPr>
              <w:pStyle w:val="ARfintablebodyright"/>
            </w:pPr>
            <w:r w:rsidRPr="000147FA">
              <w:t>198.8</w:t>
            </w:r>
          </w:p>
        </w:tc>
      </w:tr>
      <w:tr w:rsidR="00CE75D4" w:rsidRPr="002029AF" w14:paraId="4052AA5F" w14:textId="77777777" w:rsidTr="3D493511">
        <w:tc>
          <w:tcPr>
            <w:tcW w:w="7371" w:type="dxa"/>
            <w:tcBorders>
              <w:top w:val="single" w:sz="4" w:space="0" w:color="A6A6A6" w:themeColor="background1" w:themeShade="A6"/>
            </w:tcBorders>
            <w:hideMark/>
          </w:tcPr>
          <w:p w14:paraId="554B9581" w14:textId="77777777" w:rsidR="00CE75D4" w:rsidRPr="002029AF" w:rsidRDefault="00CE75D4" w:rsidP="008340C1">
            <w:pPr>
              <w:pStyle w:val="ARfintablebody"/>
            </w:pPr>
            <w:r w:rsidRPr="000147FA">
              <w:t>Longer than 5 years</w:t>
            </w:r>
          </w:p>
        </w:tc>
        <w:tc>
          <w:tcPr>
            <w:tcW w:w="1133" w:type="dxa"/>
            <w:tcBorders>
              <w:top w:val="single" w:sz="4" w:space="0" w:color="A6A6A6" w:themeColor="background1" w:themeShade="A6"/>
            </w:tcBorders>
            <w:shd w:val="clear" w:color="auto" w:fill="E7E6E6" w:themeFill="background2"/>
            <w:noWrap/>
            <w:hideMark/>
          </w:tcPr>
          <w:p w14:paraId="4FB364D5" w14:textId="77777777" w:rsidR="00CE75D4" w:rsidRPr="002029AF" w:rsidRDefault="00CE75D4" w:rsidP="008340C1">
            <w:pPr>
              <w:pStyle w:val="ARfintablebodyright"/>
            </w:pPr>
            <w:r w:rsidRPr="000147FA">
              <w:t>38.4</w:t>
            </w:r>
          </w:p>
        </w:tc>
        <w:tc>
          <w:tcPr>
            <w:tcW w:w="1133" w:type="dxa"/>
            <w:tcBorders>
              <w:top w:val="single" w:sz="4" w:space="0" w:color="A6A6A6" w:themeColor="background1" w:themeShade="A6"/>
            </w:tcBorders>
            <w:noWrap/>
            <w:hideMark/>
          </w:tcPr>
          <w:p w14:paraId="30301998" w14:textId="77777777" w:rsidR="00CE75D4" w:rsidRPr="002029AF" w:rsidRDefault="00CE75D4" w:rsidP="008340C1">
            <w:pPr>
              <w:pStyle w:val="ARfintablebodyright"/>
            </w:pPr>
            <w:r w:rsidRPr="000147FA">
              <w:t>11.2</w:t>
            </w:r>
          </w:p>
        </w:tc>
      </w:tr>
      <w:tr w:rsidR="00CE75D4" w:rsidRPr="002029AF" w14:paraId="1277BC62" w14:textId="77777777" w:rsidTr="3D493511">
        <w:tc>
          <w:tcPr>
            <w:tcW w:w="7371" w:type="dxa"/>
            <w:tcBorders>
              <w:bottom w:val="single" w:sz="4" w:space="0" w:color="auto"/>
            </w:tcBorders>
            <w:hideMark/>
          </w:tcPr>
          <w:p w14:paraId="3E5EC34C" w14:textId="77777777" w:rsidR="00CE75D4" w:rsidRPr="002029AF" w:rsidRDefault="00CE75D4" w:rsidP="008340C1">
            <w:pPr>
              <w:pStyle w:val="ARfintablebodybold"/>
            </w:pPr>
            <w:r w:rsidRPr="000147FA">
              <w:t>Total other expenditure commitments</w:t>
            </w:r>
          </w:p>
        </w:tc>
        <w:tc>
          <w:tcPr>
            <w:tcW w:w="1133" w:type="dxa"/>
            <w:tcBorders>
              <w:bottom w:val="single" w:sz="4" w:space="0" w:color="auto"/>
            </w:tcBorders>
            <w:shd w:val="clear" w:color="auto" w:fill="E7E6E6" w:themeFill="background2"/>
            <w:noWrap/>
            <w:hideMark/>
          </w:tcPr>
          <w:p w14:paraId="54770AB5" w14:textId="77777777" w:rsidR="00CE75D4" w:rsidRPr="002029AF" w:rsidRDefault="00CE75D4" w:rsidP="008340C1">
            <w:pPr>
              <w:pStyle w:val="ARfintablebodyrightbold"/>
            </w:pPr>
            <w:r w:rsidRPr="000147FA">
              <w:t>674.3</w:t>
            </w:r>
          </w:p>
        </w:tc>
        <w:tc>
          <w:tcPr>
            <w:tcW w:w="1133" w:type="dxa"/>
            <w:tcBorders>
              <w:bottom w:val="single" w:sz="4" w:space="0" w:color="auto"/>
            </w:tcBorders>
            <w:noWrap/>
            <w:hideMark/>
          </w:tcPr>
          <w:p w14:paraId="75E2A242" w14:textId="77777777" w:rsidR="00CE75D4" w:rsidRPr="002029AF" w:rsidRDefault="00CE75D4" w:rsidP="008340C1">
            <w:pPr>
              <w:pStyle w:val="ARfintablebodyrightbold"/>
            </w:pPr>
            <w:r w:rsidRPr="000147FA">
              <w:t>780.8</w:t>
            </w:r>
          </w:p>
        </w:tc>
      </w:tr>
      <w:tr w:rsidR="00CE75D4" w:rsidRPr="002029AF" w14:paraId="72933399" w14:textId="77777777" w:rsidTr="3D493511">
        <w:tc>
          <w:tcPr>
            <w:tcW w:w="7371" w:type="dxa"/>
            <w:hideMark/>
          </w:tcPr>
          <w:p w14:paraId="1682BF90" w14:textId="77777777" w:rsidR="00CE75D4" w:rsidRPr="002029AF" w:rsidRDefault="00CE75D4" w:rsidP="008340C1">
            <w:pPr>
              <w:pStyle w:val="ARfintablebodybold"/>
            </w:pPr>
            <w:r w:rsidRPr="000147FA">
              <w:t>Total commitments other than PPP</w:t>
            </w:r>
          </w:p>
        </w:tc>
        <w:tc>
          <w:tcPr>
            <w:tcW w:w="1133" w:type="dxa"/>
            <w:shd w:val="clear" w:color="auto" w:fill="E7E6E6" w:themeFill="background2"/>
            <w:noWrap/>
            <w:hideMark/>
          </w:tcPr>
          <w:p w14:paraId="30FBC77D" w14:textId="77777777" w:rsidR="00CE75D4" w:rsidRPr="002029AF" w:rsidRDefault="00CE75D4" w:rsidP="008340C1">
            <w:pPr>
              <w:pStyle w:val="ARfintablebodyrightbold"/>
            </w:pPr>
            <w:r w:rsidRPr="000147FA">
              <w:t>2,668.0</w:t>
            </w:r>
          </w:p>
        </w:tc>
        <w:tc>
          <w:tcPr>
            <w:tcW w:w="1133" w:type="dxa"/>
            <w:noWrap/>
            <w:hideMark/>
          </w:tcPr>
          <w:p w14:paraId="4620C786" w14:textId="77777777" w:rsidR="00CE75D4" w:rsidRPr="002029AF" w:rsidRDefault="00CE75D4" w:rsidP="008340C1">
            <w:pPr>
              <w:pStyle w:val="ARfintablebodyrightbold"/>
            </w:pPr>
            <w:r w:rsidRPr="000147FA">
              <w:t>1,865.4</w:t>
            </w:r>
          </w:p>
        </w:tc>
      </w:tr>
      <w:tr w:rsidR="00CE75D4" w:rsidRPr="002029AF" w14:paraId="78643A02" w14:textId="77777777" w:rsidTr="00860E95">
        <w:tc>
          <w:tcPr>
            <w:tcW w:w="9637" w:type="dxa"/>
            <w:gridSpan w:val="3"/>
            <w:tcBorders>
              <w:bottom w:val="single" w:sz="4" w:space="0" w:color="auto"/>
            </w:tcBorders>
            <w:hideMark/>
          </w:tcPr>
          <w:p w14:paraId="142F5F35" w14:textId="77777777" w:rsidR="00CE75D4" w:rsidRPr="002029AF" w:rsidRDefault="00CE75D4" w:rsidP="000F7378">
            <w:pPr>
              <w:pStyle w:val="ARfintablebodybold"/>
              <w:pageBreakBefore/>
              <w:spacing w:before="30" w:after="10" w:line="252" w:lineRule="auto"/>
            </w:pPr>
            <w:r w:rsidRPr="000147FA">
              <w:t xml:space="preserve">(d) </w:t>
            </w:r>
            <w:r>
              <w:t xml:space="preserve">Commissioned </w:t>
            </w:r>
            <w:r w:rsidRPr="000147FA">
              <w:t>PPP funding commitments</w:t>
            </w:r>
          </w:p>
        </w:tc>
      </w:tr>
      <w:tr w:rsidR="00CE75D4" w:rsidRPr="002029AF" w14:paraId="346EBB05" w14:textId="77777777" w:rsidTr="3D493511">
        <w:tc>
          <w:tcPr>
            <w:tcW w:w="9637" w:type="dxa"/>
            <w:gridSpan w:val="3"/>
            <w:tcBorders>
              <w:top w:val="single" w:sz="4" w:space="0" w:color="auto"/>
              <w:bottom w:val="single" w:sz="4" w:space="0" w:color="A6A6A6" w:themeColor="background1" w:themeShade="A6"/>
            </w:tcBorders>
            <w:hideMark/>
          </w:tcPr>
          <w:p w14:paraId="3812630D" w14:textId="77777777" w:rsidR="00CE75D4" w:rsidRPr="002029AF" w:rsidRDefault="00CE75D4" w:rsidP="000F7378">
            <w:pPr>
              <w:pStyle w:val="ARfintablebodybold"/>
              <w:spacing w:before="30" w:after="10" w:line="252" w:lineRule="auto"/>
            </w:pPr>
            <w:r w:rsidRPr="000147FA">
              <w:t>1. The Royal Women</w:t>
            </w:r>
            <w:r>
              <w:t>’</w:t>
            </w:r>
            <w:r w:rsidRPr="000147FA">
              <w:t>s Hospital</w:t>
            </w:r>
          </w:p>
        </w:tc>
      </w:tr>
      <w:tr w:rsidR="00CE75D4" w:rsidRPr="002029AF" w14:paraId="45D0FF32" w14:textId="77777777" w:rsidTr="3D493511">
        <w:tc>
          <w:tcPr>
            <w:tcW w:w="7371" w:type="dxa"/>
            <w:tcBorders>
              <w:top w:val="single" w:sz="4" w:space="0" w:color="A6A6A6" w:themeColor="background1" w:themeShade="A6"/>
              <w:bottom w:val="single" w:sz="4" w:space="0" w:color="A6A6A6" w:themeColor="background1" w:themeShade="A6"/>
            </w:tcBorders>
            <w:hideMark/>
          </w:tcPr>
          <w:p w14:paraId="17098BBB" w14:textId="77777777" w:rsidR="00CE75D4" w:rsidRPr="002029AF" w:rsidRDefault="00CE75D4" w:rsidP="000F7378">
            <w:pPr>
              <w:pStyle w:val="ARfintablebody"/>
              <w:spacing w:before="30" w:after="10" w:line="252" w:lineRule="auto"/>
            </w:pPr>
            <w:r w:rsidRPr="000147FA">
              <w:t>Less than 1 year</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4424166" w14:textId="77777777" w:rsidR="00CE75D4" w:rsidRPr="002029AF" w:rsidRDefault="00CE75D4" w:rsidP="000F7378">
            <w:pPr>
              <w:pStyle w:val="ARfintablebodyright"/>
              <w:spacing w:before="30" w:after="10" w:line="252" w:lineRule="auto"/>
            </w:pPr>
            <w:r w:rsidRPr="000147FA">
              <w:t>49.4</w:t>
            </w:r>
          </w:p>
        </w:tc>
        <w:tc>
          <w:tcPr>
            <w:tcW w:w="1133" w:type="dxa"/>
            <w:tcBorders>
              <w:top w:val="single" w:sz="4" w:space="0" w:color="A6A6A6" w:themeColor="background1" w:themeShade="A6"/>
              <w:bottom w:val="single" w:sz="4" w:space="0" w:color="A6A6A6" w:themeColor="background1" w:themeShade="A6"/>
            </w:tcBorders>
            <w:noWrap/>
            <w:hideMark/>
          </w:tcPr>
          <w:p w14:paraId="5CD3D64C" w14:textId="77777777" w:rsidR="00CE75D4" w:rsidRPr="002029AF" w:rsidRDefault="00CE75D4" w:rsidP="000F7378">
            <w:pPr>
              <w:pStyle w:val="ARfintablebodyright"/>
              <w:spacing w:before="30" w:after="10" w:line="252" w:lineRule="auto"/>
            </w:pPr>
            <w:r w:rsidRPr="000147FA">
              <w:t>50.4</w:t>
            </w:r>
          </w:p>
        </w:tc>
      </w:tr>
      <w:tr w:rsidR="00CE75D4" w:rsidRPr="002029AF" w14:paraId="7069CCE7" w14:textId="77777777" w:rsidTr="3D493511">
        <w:tc>
          <w:tcPr>
            <w:tcW w:w="7371" w:type="dxa"/>
            <w:tcBorders>
              <w:top w:val="single" w:sz="4" w:space="0" w:color="A6A6A6" w:themeColor="background1" w:themeShade="A6"/>
              <w:bottom w:val="single" w:sz="4" w:space="0" w:color="A6A6A6" w:themeColor="background1" w:themeShade="A6"/>
            </w:tcBorders>
            <w:hideMark/>
          </w:tcPr>
          <w:p w14:paraId="7DDAF5FB" w14:textId="77777777" w:rsidR="00CE75D4" w:rsidRPr="002029AF" w:rsidRDefault="00CE75D4" w:rsidP="000F7378">
            <w:pPr>
              <w:pStyle w:val="ARfintablebody"/>
              <w:spacing w:before="30" w:after="10" w:line="252" w:lineRule="auto"/>
            </w:pPr>
            <w:r w:rsidRPr="000147F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41B8FB3" w14:textId="77777777" w:rsidR="00CE75D4" w:rsidRPr="002029AF" w:rsidRDefault="00CE75D4" w:rsidP="000F7378">
            <w:pPr>
              <w:pStyle w:val="ARfintablebodyright"/>
              <w:spacing w:before="30" w:after="10" w:line="252" w:lineRule="auto"/>
            </w:pPr>
            <w:r w:rsidRPr="000147FA">
              <w:t>227.3</w:t>
            </w:r>
          </w:p>
        </w:tc>
        <w:tc>
          <w:tcPr>
            <w:tcW w:w="1133" w:type="dxa"/>
            <w:tcBorders>
              <w:top w:val="single" w:sz="4" w:space="0" w:color="A6A6A6" w:themeColor="background1" w:themeShade="A6"/>
              <w:bottom w:val="single" w:sz="4" w:space="0" w:color="A6A6A6" w:themeColor="background1" w:themeShade="A6"/>
            </w:tcBorders>
            <w:noWrap/>
            <w:hideMark/>
          </w:tcPr>
          <w:p w14:paraId="4064A70F" w14:textId="77777777" w:rsidR="00CE75D4" w:rsidRPr="002029AF" w:rsidRDefault="00CE75D4" w:rsidP="000F7378">
            <w:pPr>
              <w:pStyle w:val="ARfintablebodyright"/>
              <w:spacing w:before="30" w:after="10" w:line="252" w:lineRule="auto"/>
            </w:pPr>
            <w:r w:rsidRPr="000147FA">
              <w:t>211.0</w:t>
            </w:r>
          </w:p>
        </w:tc>
      </w:tr>
      <w:tr w:rsidR="00CE75D4" w:rsidRPr="002029AF" w14:paraId="7B6E7E6F" w14:textId="77777777" w:rsidTr="3D493511">
        <w:tc>
          <w:tcPr>
            <w:tcW w:w="7371" w:type="dxa"/>
            <w:tcBorders>
              <w:top w:val="single" w:sz="4" w:space="0" w:color="A6A6A6" w:themeColor="background1" w:themeShade="A6"/>
            </w:tcBorders>
            <w:hideMark/>
          </w:tcPr>
          <w:p w14:paraId="25E6ADAF" w14:textId="77777777" w:rsidR="00CE75D4" w:rsidRPr="002029AF" w:rsidRDefault="00CE75D4" w:rsidP="000F7378">
            <w:pPr>
              <w:pStyle w:val="ARfintablebody"/>
              <w:spacing w:before="30" w:after="10" w:line="252" w:lineRule="auto"/>
            </w:pPr>
            <w:r w:rsidRPr="000147FA">
              <w:t>Longer than 5 years</w:t>
            </w:r>
          </w:p>
        </w:tc>
        <w:tc>
          <w:tcPr>
            <w:tcW w:w="1133" w:type="dxa"/>
            <w:tcBorders>
              <w:top w:val="single" w:sz="4" w:space="0" w:color="A6A6A6" w:themeColor="background1" w:themeShade="A6"/>
            </w:tcBorders>
            <w:shd w:val="clear" w:color="auto" w:fill="E7E6E6" w:themeFill="background2"/>
            <w:noWrap/>
            <w:hideMark/>
          </w:tcPr>
          <w:p w14:paraId="1DA1DE7B" w14:textId="77777777" w:rsidR="00CE75D4" w:rsidRPr="002029AF" w:rsidRDefault="00CE75D4" w:rsidP="000F7378">
            <w:pPr>
              <w:pStyle w:val="ARfintablebodyright"/>
              <w:spacing w:before="30" w:after="10" w:line="252" w:lineRule="auto"/>
            </w:pPr>
            <w:r w:rsidRPr="000147FA">
              <w:t>342.9</w:t>
            </w:r>
          </w:p>
        </w:tc>
        <w:tc>
          <w:tcPr>
            <w:tcW w:w="1133" w:type="dxa"/>
            <w:tcBorders>
              <w:top w:val="single" w:sz="4" w:space="0" w:color="A6A6A6" w:themeColor="background1" w:themeShade="A6"/>
            </w:tcBorders>
            <w:noWrap/>
            <w:hideMark/>
          </w:tcPr>
          <w:p w14:paraId="65E0C83B" w14:textId="77777777" w:rsidR="00CE75D4" w:rsidRPr="002029AF" w:rsidRDefault="00CE75D4" w:rsidP="000F7378">
            <w:pPr>
              <w:pStyle w:val="ARfintablebodyright"/>
              <w:spacing w:before="30" w:after="10" w:line="252" w:lineRule="auto"/>
            </w:pPr>
            <w:r w:rsidRPr="000147FA">
              <w:t>397.3</w:t>
            </w:r>
          </w:p>
        </w:tc>
      </w:tr>
      <w:tr w:rsidR="00CE75D4" w:rsidRPr="002029AF" w14:paraId="7EB7A1DD" w14:textId="77777777" w:rsidTr="3D493511">
        <w:tc>
          <w:tcPr>
            <w:tcW w:w="7371" w:type="dxa"/>
            <w:tcBorders>
              <w:bottom w:val="single" w:sz="4" w:space="0" w:color="auto"/>
            </w:tcBorders>
            <w:hideMark/>
          </w:tcPr>
          <w:p w14:paraId="58F563F4" w14:textId="77777777" w:rsidR="00CE75D4" w:rsidRPr="002029AF" w:rsidRDefault="00CE75D4" w:rsidP="000F7378">
            <w:pPr>
              <w:pStyle w:val="ARfintablebodybold"/>
              <w:spacing w:before="30" w:after="10" w:line="252" w:lineRule="auto"/>
            </w:pPr>
            <w:r w:rsidRPr="000147FA">
              <w:t>Total The Royal Women</w:t>
            </w:r>
            <w:r>
              <w:t>’</w:t>
            </w:r>
            <w:r w:rsidRPr="000147FA">
              <w:t>s Hospital commitments</w:t>
            </w:r>
          </w:p>
        </w:tc>
        <w:tc>
          <w:tcPr>
            <w:tcW w:w="1133" w:type="dxa"/>
            <w:tcBorders>
              <w:bottom w:val="single" w:sz="4" w:space="0" w:color="auto"/>
            </w:tcBorders>
            <w:shd w:val="clear" w:color="auto" w:fill="E7E6E6" w:themeFill="background2"/>
            <w:noWrap/>
            <w:hideMark/>
          </w:tcPr>
          <w:p w14:paraId="59087C9A" w14:textId="77777777" w:rsidR="00CE75D4" w:rsidRPr="002029AF" w:rsidRDefault="00CE75D4" w:rsidP="000F7378">
            <w:pPr>
              <w:pStyle w:val="ARfintablebodyrightbold"/>
              <w:spacing w:before="30" w:after="10" w:line="252" w:lineRule="auto"/>
            </w:pPr>
            <w:r w:rsidRPr="000147FA">
              <w:t>619.5</w:t>
            </w:r>
          </w:p>
        </w:tc>
        <w:tc>
          <w:tcPr>
            <w:tcW w:w="1133" w:type="dxa"/>
            <w:tcBorders>
              <w:bottom w:val="single" w:sz="4" w:space="0" w:color="auto"/>
            </w:tcBorders>
            <w:noWrap/>
            <w:hideMark/>
          </w:tcPr>
          <w:p w14:paraId="35A10E8A" w14:textId="77777777" w:rsidR="00CE75D4" w:rsidRPr="002029AF" w:rsidRDefault="00CE75D4" w:rsidP="000F7378">
            <w:pPr>
              <w:pStyle w:val="ARfintablebodyrightbold"/>
              <w:spacing w:before="30" w:after="10" w:line="252" w:lineRule="auto"/>
            </w:pPr>
            <w:r w:rsidRPr="000147FA">
              <w:t>658.7</w:t>
            </w:r>
          </w:p>
        </w:tc>
      </w:tr>
      <w:tr w:rsidR="00CE75D4" w:rsidRPr="002029AF" w14:paraId="03B4ECB2" w14:textId="77777777" w:rsidTr="3D493511">
        <w:tc>
          <w:tcPr>
            <w:tcW w:w="9637" w:type="dxa"/>
            <w:gridSpan w:val="3"/>
            <w:tcBorders>
              <w:top w:val="single" w:sz="4" w:space="0" w:color="auto"/>
              <w:bottom w:val="single" w:sz="4" w:space="0" w:color="A6A6A6" w:themeColor="background1" w:themeShade="A6"/>
            </w:tcBorders>
            <w:hideMark/>
          </w:tcPr>
          <w:p w14:paraId="65C9A467" w14:textId="77777777" w:rsidR="00CE75D4" w:rsidRPr="002029AF" w:rsidRDefault="00CE75D4" w:rsidP="000F7378">
            <w:pPr>
              <w:pStyle w:val="ARfintablebodybold"/>
              <w:spacing w:before="30" w:after="10" w:line="252" w:lineRule="auto"/>
            </w:pPr>
            <w:r w:rsidRPr="000147FA">
              <w:t>2. Monash Health</w:t>
            </w:r>
          </w:p>
        </w:tc>
      </w:tr>
      <w:tr w:rsidR="00CE75D4" w:rsidRPr="002029AF" w14:paraId="3AAFCD98" w14:textId="77777777" w:rsidTr="3D493511">
        <w:tc>
          <w:tcPr>
            <w:tcW w:w="7371" w:type="dxa"/>
            <w:tcBorders>
              <w:top w:val="single" w:sz="4" w:space="0" w:color="A6A6A6" w:themeColor="background1" w:themeShade="A6"/>
              <w:bottom w:val="single" w:sz="4" w:space="0" w:color="A6A6A6" w:themeColor="background1" w:themeShade="A6"/>
            </w:tcBorders>
            <w:hideMark/>
          </w:tcPr>
          <w:p w14:paraId="4EE92402" w14:textId="77777777" w:rsidR="00CE75D4" w:rsidRPr="002029AF" w:rsidRDefault="00CE75D4" w:rsidP="000F7378">
            <w:pPr>
              <w:pStyle w:val="ARfintablebody"/>
              <w:spacing w:before="30" w:after="10" w:line="252" w:lineRule="auto"/>
            </w:pPr>
            <w:r w:rsidRPr="000147FA">
              <w:t>Less than 1 year</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117352B" w14:textId="77777777" w:rsidR="00CE75D4" w:rsidRPr="002029AF" w:rsidRDefault="00CE75D4" w:rsidP="000F7378">
            <w:pPr>
              <w:pStyle w:val="ARfintablebodyright"/>
              <w:spacing w:before="30" w:after="10" w:line="252" w:lineRule="auto"/>
            </w:pPr>
            <w:r w:rsidRPr="000147FA">
              <w:t>25.9</w:t>
            </w:r>
          </w:p>
        </w:tc>
        <w:tc>
          <w:tcPr>
            <w:tcW w:w="1133" w:type="dxa"/>
            <w:tcBorders>
              <w:top w:val="single" w:sz="4" w:space="0" w:color="A6A6A6" w:themeColor="background1" w:themeShade="A6"/>
              <w:bottom w:val="single" w:sz="4" w:space="0" w:color="A6A6A6" w:themeColor="background1" w:themeShade="A6"/>
            </w:tcBorders>
            <w:noWrap/>
            <w:hideMark/>
          </w:tcPr>
          <w:p w14:paraId="525FA7A9" w14:textId="77777777" w:rsidR="00CE75D4" w:rsidRPr="002029AF" w:rsidRDefault="00CE75D4" w:rsidP="000F7378">
            <w:pPr>
              <w:pStyle w:val="ARfintablebodyright"/>
              <w:spacing w:before="30" w:after="10" w:line="252" w:lineRule="auto"/>
            </w:pPr>
            <w:r w:rsidRPr="000147FA">
              <w:t>24.7</w:t>
            </w:r>
          </w:p>
        </w:tc>
      </w:tr>
      <w:tr w:rsidR="00CE75D4" w:rsidRPr="002029AF" w14:paraId="622C8548" w14:textId="77777777" w:rsidTr="3D493511">
        <w:tc>
          <w:tcPr>
            <w:tcW w:w="7371" w:type="dxa"/>
            <w:tcBorders>
              <w:top w:val="single" w:sz="4" w:space="0" w:color="A6A6A6" w:themeColor="background1" w:themeShade="A6"/>
              <w:bottom w:val="single" w:sz="4" w:space="0" w:color="A6A6A6" w:themeColor="background1" w:themeShade="A6"/>
            </w:tcBorders>
            <w:hideMark/>
          </w:tcPr>
          <w:p w14:paraId="056F19D6" w14:textId="77777777" w:rsidR="00CE75D4" w:rsidRPr="002029AF" w:rsidRDefault="00CE75D4" w:rsidP="000F7378">
            <w:pPr>
              <w:pStyle w:val="ARfintablebody"/>
              <w:spacing w:before="30" w:after="10" w:line="252" w:lineRule="auto"/>
            </w:pPr>
            <w:r w:rsidRPr="000147F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23EE383" w14:textId="77777777" w:rsidR="00CE75D4" w:rsidRPr="002029AF" w:rsidRDefault="00CE75D4" w:rsidP="000F7378">
            <w:pPr>
              <w:pStyle w:val="ARfintablebodyright"/>
              <w:spacing w:before="30" w:after="10" w:line="252" w:lineRule="auto"/>
            </w:pPr>
            <w:r w:rsidRPr="000147FA">
              <w:t>137.3</w:t>
            </w:r>
          </w:p>
        </w:tc>
        <w:tc>
          <w:tcPr>
            <w:tcW w:w="1133" w:type="dxa"/>
            <w:tcBorders>
              <w:top w:val="single" w:sz="4" w:space="0" w:color="A6A6A6" w:themeColor="background1" w:themeShade="A6"/>
              <w:bottom w:val="single" w:sz="4" w:space="0" w:color="A6A6A6" w:themeColor="background1" w:themeShade="A6"/>
            </w:tcBorders>
            <w:noWrap/>
            <w:hideMark/>
          </w:tcPr>
          <w:p w14:paraId="11AAD7FB" w14:textId="77777777" w:rsidR="00CE75D4" w:rsidRPr="002029AF" w:rsidRDefault="00CE75D4" w:rsidP="000F7378">
            <w:pPr>
              <w:pStyle w:val="ARfintablebodyright"/>
              <w:spacing w:before="30" w:after="10" w:line="252" w:lineRule="auto"/>
            </w:pPr>
            <w:r w:rsidRPr="000147FA">
              <w:t>128.4</w:t>
            </w:r>
          </w:p>
        </w:tc>
      </w:tr>
      <w:tr w:rsidR="00CE75D4" w:rsidRPr="002029AF" w14:paraId="2268EADE" w14:textId="77777777" w:rsidTr="3D493511">
        <w:tc>
          <w:tcPr>
            <w:tcW w:w="7371" w:type="dxa"/>
            <w:tcBorders>
              <w:top w:val="single" w:sz="4" w:space="0" w:color="A6A6A6" w:themeColor="background1" w:themeShade="A6"/>
            </w:tcBorders>
            <w:hideMark/>
          </w:tcPr>
          <w:p w14:paraId="610217D6" w14:textId="77777777" w:rsidR="00CE75D4" w:rsidRPr="002029AF" w:rsidRDefault="00CE75D4" w:rsidP="000F7378">
            <w:pPr>
              <w:pStyle w:val="ARfintablebody"/>
              <w:spacing w:before="30" w:after="10" w:line="252" w:lineRule="auto"/>
            </w:pPr>
            <w:r w:rsidRPr="000147FA">
              <w:t>Longer than 5 years</w:t>
            </w:r>
          </w:p>
        </w:tc>
        <w:tc>
          <w:tcPr>
            <w:tcW w:w="1133" w:type="dxa"/>
            <w:tcBorders>
              <w:top w:val="single" w:sz="4" w:space="0" w:color="A6A6A6" w:themeColor="background1" w:themeShade="A6"/>
            </w:tcBorders>
            <w:shd w:val="clear" w:color="auto" w:fill="E7E6E6" w:themeFill="background2"/>
            <w:noWrap/>
            <w:hideMark/>
          </w:tcPr>
          <w:p w14:paraId="2859502C" w14:textId="77777777" w:rsidR="00CE75D4" w:rsidRPr="002029AF" w:rsidRDefault="00CE75D4" w:rsidP="000F7378">
            <w:pPr>
              <w:pStyle w:val="ARfintablebodyright"/>
              <w:spacing w:before="30" w:after="10" w:line="252" w:lineRule="auto"/>
            </w:pPr>
            <w:r w:rsidRPr="000147FA">
              <w:t>77.7</w:t>
            </w:r>
          </w:p>
        </w:tc>
        <w:tc>
          <w:tcPr>
            <w:tcW w:w="1133" w:type="dxa"/>
            <w:tcBorders>
              <w:top w:val="single" w:sz="4" w:space="0" w:color="A6A6A6" w:themeColor="background1" w:themeShade="A6"/>
            </w:tcBorders>
            <w:noWrap/>
            <w:hideMark/>
          </w:tcPr>
          <w:p w14:paraId="05658340" w14:textId="77777777" w:rsidR="00CE75D4" w:rsidRPr="002029AF" w:rsidRDefault="00CE75D4" w:rsidP="000F7378">
            <w:pPr>
              <w:pStyle w:val="ARfintablebodyright"/>
              <w:spacing w:before="30" w:after="10" w:line="252" w:lineRule="auto"/>
            </w:pPr>
            <w:r w:rsidRPr="000147FA">
              <w:t>106.5</w:t>
            </w:r>
          </w:p>
        </w:tc>
      </w:tr>
      <w:tr w:rsidR="00CE75D4" w:rsidRPr="002029AF" w14:paraId="17AD1092" w14:textId="77777777" w:rsidTr="3D493511">
        <w:tc>
          <w:tcPr>
            <w:tcW w:w="7371" w:type="dxa"/>
            <w:tcBorders>
              <w:bottom w:val="single" w:sz="4" w:space="0" w:color="auto"/>
            </w:tcBorders>
            <w:hideMark/>
          </w:tcPr>
          <w:p w14:paraId="2E071E77" w14:textId="77777777" w:rsidR="00CE75D4" w:rsidRPr="002029AF" w:rsidRDefault="00CE75D4" w:rsidP="000F7378">
            <w:pPr>
              <w:pStyle w:val="ARfintablebodybold"/>
              <w:spacing w:before="30" w:after="10" w:line="252" w:lineRule="auto"/>
            </w:pPr>
            <w:r w:rsidRPr="000147FA">
              <w:t>Total Monash Health commitments</w:t>
            </w:r>
          </w:p>
        </w:tc>
        <w:tc>
          <w:tcPr>
            <w:tcW w:w="1133" w:type="dxa"/>
            <w:tcBorders>
              <w:bottom w:val="single" w:sz="4" w:space="0" w:color="auto"/>
            </w:tcBorders>
            <w:shd w:val="clear" w:color="auto" w:fill="E7E6E6" w:themeFill="background2"/>
            <w:noWrap/>
            <w:hideMark/>
          </w:tcPr>
          <w:p w14:paraId="62289092" w14:textId="77777777" w:rsidR="00CE75D4" w:rsidRPr="002029AF" w:rsidRDefault="00CE75D4" w:rsidP="000F7378">
            <w:pPr>
              <w:pStyle w:val="ARfintablebodyrightbold"/>
              <w:spacing w:before="30" w:after="10" w:line="252" w:lineRule="auto"/>
            </w:pPr>
            <w:r w:rsidRPr="000147FA">
              <w:t>240.9</w:t>
            </w:r>
          </w:p>
        </w:tc>
        <w:tc>
          <w:tcPr>
            <w:tcW w:w="1133" w:type="dxa"/>
            <w:tcBorders>
              <w:bottom w:val="single" w:sz="4" w:space="0" w:color="auto"/>
            </w:tcBorders>
            <w:noWrap/>
            <w:hideMark/>
          </w:tcPr>
          <w:p w14:paraId="493F2CF8" w14:textId="77777777" w:rsidR="00CE75D4" w:rsidRPr="002029AF" w:rsidRDefault="00CE75D4" w:rsidP="000F7378">
            <w:pPr>
              <w:pStyle w:val="ARfintablebodyrightbold"/>
              <w:spacing w:before="30" w:after="10" w:line="252" w:lineRule="auto"/>
            </w:pPr>
            <w:r w:rsidRPr="000147FA">
              <w:t>259.6</w:t>
            </w:r>
          </w:p>
        </w:tc>
      </w:tr>
      <w:tr w:rsidR="00CE75D4" w:rsidRPr="002029AF" w14:paraId="64FDC640" w14:textId="77777777" w:rsidTr="3D493511">
        <w:tc>
          <w:tcPr>
            <w:tcW w:w="9637" w:type="dxa"/>
            <w:gridSpan w:val="3"/>
            <w:tcBorders>
              <w:top w:val="single" w:sz="4" w:space="0" w:color="auto"/>
              <w:bottom w:val="single" w:sz="4" w:space="0" w:color="A6A6A6" w:themeColor="background1" w:themeShade="A6"/>
            </w:tcBorders>
            <w:hideMark/>
          </w:tcPr>
          <w:p w14:paraId="656168C9" w14:textId="77777777" w:rsidR="00CE75D4" w:rsidRPr="002029AF" w:rsidRDefault="00CE75D4" w:rsidP="000F7378">
            <w:pPr>
              <w:pStyle w:val="ARfintablebodybold"/>
              <w:spacing w:before="30" w:after="10" w:line="252" w:lineRule="auto"/>
            </w:pPr>
            <w:r w:rsidRPr="000147FA">
              <w:t>3. The Royal Children</w:t>
            </w:r>
            <w:r>
              <w:t>’</w:t>
            </w:r>
            <w:r w:rsidRPr="000147FA">
              <w:t>s Hospital</w:t>
            </w:r>
          </w:p>
        </w:tc>
      </w:tr>
      <w:tr w:rsidR="00CE75D4" w:rsidRPr="002029AF" w14:paraId="32D6B8BF" w14:textId="77777777" w:rsidTr="3D493511">
        <w:tc>
          <w:tcPr>
            <w:tcW w:w="7371" w:type="dxa"/>
            <w:tcBorders>
              <w:top w:val="single" w:sz="4" w:space="0" w:color="A6A6A6" w:themeColor="background1" w:themeShade="A6"/>
              <w:bottom w:val="single" w:sz="4" w:space="0" w:color="A6A6A6" w:themeColor="background1" w:themeShade="A6"/>
            </w:tcBorders>
            <w:hideMark/>
          </w:tcPr>
          <w:p w14:paraId="76AB8047" w14:textId="77777777" w:rsidR="00CE75D4" w:rsidRPr="002029AF" w:rsidRDefault="00CE75D4" w:rsidP="000F7378">
            <w:pPr>
              <w:pStyle w:val="ARfintablebody"/>
              <w:spacing w:before="30" w:after="10" w:line="252" w:lineRule="auto"/>
            </w:pPr>
            <w:r w:rsidRPr="000147FA">
              <w:t>Less than 1 year</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C652DBD" w14:textId="77777777" w:rsidR="00CE75D4" w:rsidRPr="002029AF" w:rsidRDefault="00CE75D4" w:rsidP="000F7378">
            <w:pPr>
              <w:pStyle w:val="ARfintablebodyright"/>
              <w:spacing w:before="30" w:after="10" w:line="252" w:lineRule="auto"/>
            </w:pPr>
            <w:r w:rsidRPr="000147FA">
              <w:t>164.2</w:t>
            </w:r>
          </w:p>
        </w:tc>
        <w:tc>
          <w:tcPr>
            <w:tcW w:w="1133" w:type="dxa"/>
            <w:tcBorders>
              <w:top w:val="single" w:sz="4" w:space="0" w:color="A6A6A6" w:themeColor="background1" w:themeShade="A6"/>
              <w:bottom w:val="single" w:sz="4" w:space="0" w:color="A6A6A6" w:themeColor="background1" w:themeShade="A6"/>
            </w:tcBorders>
            <w:noWrap/>
            <w:hideMark/>
          </w:tcPr>
          <w:p w14:paraId="40986E92" w14:textId="77777777" w:rsidR="00CE75D4" w:rsidRPr="002029AF" w:rsidRDefault="00CE75D4" w:rsidP="000F7378">
            <w:pPr>
              <w:pStyle w:val="ARfintablebodyright"/>
              <w:spacing w:before="30" w:after="10" w:line="252" w:lineRule="auto"/>
            </w:pPr>
            <w:r w:rsidRPr="000147FA">
              <w:t>165.0</w:t>
            </w:r>
          </w:p>
        </w:tc>
      </w:tr>
      <w:tr w:rsidR="00CE75D4" w:rsidRPr="002029AF" w14:paraId="5F5D9322" w14:textId="77777777" w:rsidTr="3D493511">
        <w:tc>
          <w:tcPr>
            <w:tcW w:w="7371" w:type="dxa"/>
            <w:tcBorders>
              <w:top w:val="single" w:sz="4" w:space="0" w:color="A6A6A6" w:themeColor="background1" w:themeShade="A6"/>
              <w:bottom w:val="single" w:sz="4" w:space="0" w:color="A6A6A6" w:themeColor="background1" w:themeShade="A6"/>
            </w:tcBorders>
            <w:hideMark/>
          </w:tcPr>
          <w:p w14:paraId="727A4BD4" w14:textId="77777777" w:rsidR="00CE75D4" w:rsidRPr="002029AF" w:rsidRDefault="00CE75D4" w:rsidP="000F7378">
            <w:pPr>
              <w:pStyle w:val="ARfintablebody"/>
              <w:spacing w:before="30" w:after="10" w:line="252" w:lineRule="auto"/>
            </w:pPr>
            <w:r w:rsidRPr="000147F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8BBF90D" w14:textId="77777777" w:rsidR="00CE75D4" w:rsidRPr="002029AF" w:rsidRDefault="00CE75D4" w:rsidP="000F7378">
            <w:pPr>
              <w:pStyle w:val="ARfintablebodyright"/>
              <w:spacing w:before="30" w:after="10" w:line="252" w:lineRule="auto"/>
            </w:pPr>
            <w:r w:rsidRPr="000147FA">
              <w:t>676.0</w:t>
            </w:r>
          </w:p>
        </w:tc>
        <w:tc>
          <w:tcPr>
            <w:tcW w:w="1133" w:type="dxa"/>
            <w:tcBorders>
              <w:top w:val="single" w:sz="4" w:space="0" w:color="A6A6A6" w:themeColor="background1" w:themeShade="A6"/>
              <w:bottom w:val="single" w:sz="4" w:space="0" w:color="A6A6A6" w:themeColor="background1" w:themeShade="A6"/>
            </w:tcBorders>
            <w:noWrap/>
            <w:hideMark/>
          </w:tcPr>
          <w:p w14:paraId="3E4E5D49" w14:textId="77777777" w:rsidR="00CE75D4" w:rsidRPr="002029AF" w:rsidRDefault="00CE75D4" w:rsidP="000F7378">
            <w:pPr>
              <w:pStyle w:val="ARfintablebodyright"/>
              <w:spacing w:before="30" w:after="10" w:line="252" w:lineRule="auto"/>
            </w:pPr>
            <w:r w:rsidRPr="000147FA">
              <w:t>650.7</w:t>
            </w:r>
          </w:p>
        </w:tc>
      </w:tr>
      <w:tr w:rsidR="00CE75D4" w:rsidRPr="002029AF" w14:paraId="47A11AB3" w14:textId="77777777" w:rsidTr="3D493511">
        <w:tc>
          <w:tcPr>
            <w:tcW w:w="7371" w:type="dxa"/>
            <w:tcBorders>
              <w:top w:val="single" w:sz="4" w:space="0" w:color="A6A6A6" w:themeColor="background1" w:themeShade="A6"/>
            </w:tcBorders>
            <w:hideMark/>
          </w:tcPr>
          <w:p w14:paraId="23E2627C" w14:textId="77777777" w:rsidR="00CE75D4" w:rsidRPr="002029AF" w:rsidRDefault="00CE75D4" w:rsidP="000F7378">
            <w:pPr>
              <w:pStyle w:val="ARfintablebody"/>
              <w:spacing w:before="30" w:after="10" w:line="252" w:lineRule="auto"/>
            </w:pPr>
            <w:r w:rsidRPr="000147FA">
              <w:t>Longer than 5 years</w:t>
            </w:r>
          </w:p>
        </w:tc>
        <w:tc>
          <w:tcPr>
            <w:tcW w:w="1133" w:type="dxa"/>
            <w:tcBorders>
              <w:top w:val="single" w:sz="4" w:space="0" w:color="A6A6A6" w:themeColor="background1" w:themeShade="A6"/>
            </w:tcBorders>
            <w:shd w:val="clear" w:color="auto" w:fill="E7E6E6" w:themeFill="background2"/>
            <w:noWrap/>
            <w:hideMark/>
          </w:tcPr>
          <w:p w14:paraId="3EE8EE70" w14:textId="77777777" w:rsidR="00CE75D4" w:rsidRPr="002029AF" w:rsidRDefault="00CE75D4" w:rsidP="000F7378">
            <w:pPr>
              <w:pStyle w:val="ARfintablebodyright"/>
              <w:spacing w:before="30" w:after="10" w:line="252" w:lineRule="auto"/>
            </w:pPr>
            <w:r w:rsidRPr="000147FA">
              <w:t>1,934.1</w:t>
            </w:r>
          </w:p>
        </w:tc>
        <w:tc>
          <w:tcPr>
            <w:tcW w:w="1133" w:type="dxa"/>
            <w:tcBorders>
              <w:top w:val="single" w:sz="4" w:space="0" w:color="A6A6A6" w:themeColor="background1" w:themeShade="A6"/>
            </w:tcBorders>
            <w:noWrap/>
            <w:hideMark/>
          </w:tcPr>
          <w:p w14:paraId="09100BCB" w14:textId="77777777" w:rsidR="00CE75D4" w:rsidRPr="002029AF" w:rsidRDefault="00CE75D4" w:rsidP="000F7378">
            <w:pPr>
              <w:pStyle w:val="ARfintablebodyright"/>
              <w:spacing w:before="30" w:after="10" w:line="252" w:lineRule="auto"/>
            </w:pPr>
            <w:r w:rsidRPr="000147FA">
              <w:t>2,088.3</w:t>
            </w:r>
          </w:p>
        </w:tc>
      </w:tr>
      <w:tr w:rsidR="00CE75D4" w:rsidRPr="002029AF" w14:paraId="721F5FF6" w14:textId="77777777" w:rsidTr="3D493511">
        <w:tc>
          <w:tcPr>
            <w:tcW w:w="7371" w:type="dxa"/>
            <w:tcBorders>
              <w:bottom w:val="single" w:sz="4" w:space="0" w:color="auto"/>
            </w:tcBorders>
            <w:hideMark/>
          </w:tcPr>
          <w:p w14:paraId="0A8A2876" w14:textId="77777777" w:rsidR="00CE75D4" w:rsidRPr="002029AF" w:rsidRDefault="00CE75D4" w:rsidP="000F7378">
            <w:pPr>
              <w:pStyle w:val="ARfintablebodybold"/>
              <w:spacing w:before="30" w:after="10" w:line="252" w:lineRule="auto"/>
            </w:pPr>
            <w:r w:rsidRPr="000147FA">
              <w:t>Total The Royal Children</w:t>
            </w:r>
            <w:r>
              <w:t>’</w:t>
            </w:r>
            <w:r w:rsidRPr="000147FA">
              <w:t>s Hospital commitments</w:t>
            </w:r>
          </w:p>
        </w:tc>
        <w:tc>
          <w:tcPr>
            <w:tcW w:w="1133" w:type="dxa"/>
            <w:tcBorders>
              <w:bottom w:val="single" w:sz="4" w:space="0" w:color="auto"/>
            </w:tcBorders>
            <w:shd w:val="clear" w:color="auto" w:fill="E7E6E6" w:themeFill="background2"/>
            <w:noWrap/>
            <w:hideMark/>
          </w:tcPr>
          <w:p w14:paraId="713EEBC4" w14:textId="77777777" w:rsidR="00CE75D4" w:rsidRPr="002029AF" w:rsidRDefault="00CE75D4" w:rsidP="000F7378">
            <w:pPr>
              <w:pStyle w:val="ARfintablebodyrightbold"/>
              <w:spacing w:before="30" w:after="10" w:line="252" w:lineRule="auto"/>
            </w:pPr>
            <w:r w:rsidRPr="000147FA">
              <w:t>2,774.3</w:t>
            </w:r>
          </w:p>
        </w:tc>
        <w:tc>
          <w:tcPr>
            <w:tcW w:w="1133" w:type="dxa"/>
            <w:tcBorders>
              <w:bottom w:val="single" w:sz="4" w:space="0" w:color="auto"/>
            </w:tcBorders>
            <w:noWrap/>
            <w:hideMark/>
          </w:tcPr>
          <w:p w14:paraId="15E7A130" w14:textId="77777777" w:rsidR="00CE75D4" w:rsidRPr="002029AF" w:rsidRDefault="00CE75D4" w:rsidP="000F7378">
            <w:pPr>
              <w:pStyle w:val="ARfintablebodyrightbold"/>
              <w:spacing w:before="30" w:after="10" w:line="252" w:lineRule="auto"/>
            </w:pPr>
            <w:r w:rsidRPr="000147FA">
              <w:t>2,904.0</w:t>
            </w:r>
          </w:p>
        </w:tc>
      </w:tr>
      <w:tr w:rsidR="00CE75D4" w:rsidRPr="002029AF" w14:paraId="08316E72" w14:textId="77777777" w:rsidTr="3D493511">
        <w:tc>
          <w:tcPr>
            <w:tcW w:w="9637" w:type="dxa"/>
            <w:gridSpan w:val="3"/>
            <w:tcBorders>
              <w:top w:val="single" w:sz="4" w:space="0" w:color="auto"/>
              <w:bottom w:val="single" w:sz="4" w:space="0" w:color="A6A6A6" w:themeColor="background1" w:themeShade="A6"/>
            </w:tcBorders>
            <w:hideMark/>
          </w:tcPr>
          <w:p w14:paraId="38B1630B" w14:textId="77777777" w:rsidR="00CE75D4" w:rsidRPr="002029AF" w:rsidRDefault="00CE75D4" w:rsidP="000F7378">
            <w:pPr>
              <w:pStyle w:val="ARfintablebodybold"/>
              <w:spacing w:before="30" w:after="10" w:line="252" w:lineRule="auto"/>
            </w:pPr>
            <w:r w:rsidRPr="000147FA">
              <w:t>4. Peter MacCallum Cancer Centre</w:t>
            </w:r>
          </w:p>
        </w:tc>
      </w:tr>
      <w:tr w:rsidR="00CE75D4" w:rsidRPr="002029AF" w14:paraId="26EB13F4" w14:textId="77777777" w:rsidTr="3D493511">
        <w:tc>
          <w:tcPr>
            <w:tcW w:w="7371" w:type="dxa"/>
            <w:tcBorders>
              <w:top w:val="single" w:sz="4" w:space="0" w:color="A6A6A6" w:themeColor="background1" w:themeShade="A6"/>
              <w:bottom w:val="single" w:sz="4" w:space="0" w:color="A6A6A6" w:themeColor="background1" w:themeShade="A6"/>
            </w:tcBorders>
            <w:hideMark/>
          </w:tcPr>
          <w:p w14:paraId="6B66CFE5" w14:textId="77777777" w:rsidR="00CE75D4" w:rsidRPr="002029AF" w:rsidRDefault="00CE75D4" w:rsidP="000F7378">
            <w:pPr>
              <w:pStyle w:val="ARfintablebody"/>
              <w:spacing w:before="30" w:after="10" w:line="252" w:lineRule="auto"/>
            </w:pPr>
            <w:r w:rsidRPr="000147FA">
              <w:t>Less than 1 year</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2428524" w14:textId="77777777" w:rsidR="00CE75D4" w:rsidRPr="002029AF" w:rsidRDefault="00CE75D4" w:rsidP="000F7378">
            <w:pPr>
              <w:pStyle w:val="ARfintablebodyright"/>
              <w:spacing w:before="30" w:after="10" w:line="252" w:lineRule="auto"/>
            </w:pPr>
            <w:r w:rsidRPr="000147FA">
              <w:t>152.4</w:t>
            </w:r>
          </w:p>
        </w:tc>
        <w:tc>
          <w:tcPr>
            <w:tcW w:w="1133" w:type="dxa"/>
            <w:tcBorders>
              <w:top w:val="single" w:sz="4" w:space="0" w:color="A6A6A6" w:themeColor="background1" w:themeShade="A6"/>
              <w:bottom w:val="single" w:sz="4" w:space="0" w:color="A6A6A6" w:themeColor="background1" w:themeShade="A6"/>
            </w:tcBorders>
            <w:noWrap/>
            <w:hideMark/>
          </w:tcPr>
          <w:p w14:paraId="2CFAA725" w14:textId="77777777" w:rsidR="00CE75D4" w:rsidRPr="002029AF" w:rsidRDefault="00CE75D4" w:rsidP="000F7378">
            <w:pPr>
              <w:pStyle w:val="ARfintablebodyright"/>
              <w:spacing w:before="30" w:after="10" w:line="252" w:lineRule="auto"/>
            </w:pPr>
            <w:r w:rsidRPr="000147FA">
              <w:t>136.4</w:t>
            </w:r>
          </w:p>
        </w:tc>
      </w:tr>
      <w:tr w:rsidR="00CE75D4" w:rsidRPr="002029AF" w14:paraId="2B92CA90" w14:textId="77777777" w:rsidTr="3D493511">
        <w:tc>
          <w:tcPr>
            <w:tcW w:w="7371" w:type="dxa"/>
            <w:tcBorders>
              <w:top w:val="single" w:sz="4" w:space="0" w:color="A6A6A6" w:themeColor="background1" w:themeShade="A6"/>
              <w:bottom w:val="single" w:sz="4" w:space="0" w:color="A6A6A6" w:themeColor="background1" w:themeShade="A6"/>
            </w:tcBorders>
            <w:hideMark/>
          </w:tcPr>
          <w:p w14:paraId="2369457E" w14:textId="77777777" w:rsidR="00CE75D4" w:rsidRPr="002029AF" w:rsidRDefault="00CE75D4" w:rsidP="000F7378">
            <w:pPr>
              <w:pStyle w:val="ARfintablebody"/>
              <w:spacing w:before="30" w:after="10" w:line="252" w:lineRule="auto"/>
            </w:pPr>
            <w:r w:rsidRPr="000147F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89BC20D" w14:textId="77777777" w:rsidR="00CE75D4" w:rsidRPr="002029AF" w:rsidRDefault="00CE75D4" w:rsidP="000F7378">
            <w:pPr>
              <w:pStyle w:val="ARfintablebodyright"/>
              <w:spacing w:before="30" w:after="10" w:line="252" w:lineRule="auto"/>
            </w:pPr>
            <w:r w:rsidRPr="000147FA">
              <w:t>687.0</w:t>
            </w:r>
          </w:p>
        </w:tc>
        <w:tc>
          <w:tcPr>
            <w:tcW w:w="1133" w:type="dxa"/>
            <w:tcBorders>
              <w:top w:val="single" w:sz="4" w:space="0" w:color="A6A6A6" w:themeColor="background1" w:themeShade="A6"/>
              <w:bottom w:val="single" w:sz="4" w:space="0" w:color="A6A6A6" w:themeColor="background1" w:themeShade="A6"/>
            </w:tcBorders>
            <w:noWrap/>
            <w:hideMark/>
          </w:tcPr>
          <w:p w14:paraId="2A7026F2" w14:textId="77777777" w:rsidR="00CE75D4" w:rsidRPr="002029AF" w:rsidRDefault="00CE75D4" w:rsidP="000F7378">
            <w:pPr>
              <w:pStyle w:val="ARfintablebodyright"/>
              <w:spacing w:before="30" w:after="10" w:line="252" w:lineRule="auto"/>
            </w:pPr>
            <w:r w:rsidRPr="000147FA">
              <w:t>604.0</w:t>
            </w:r>
          </w:p>
        </w:tc>
      </w:tr>
      <w:tr w:rsidR="00CE75D4" w:rsidRPr="002029AF" w14:paraId="486CBDCD" w14:textId="77777777" w:rsidTr="3D493511">
        <w:tc>
          <w:tcPr>
            <w:tcW w:w="7371" w:type="dxa"/>
            <w:tcBorders>
              <w:top w:val="single" w:sz="4" w:space="0" w:color="A6A6A6" w:themeColor="background1" w:themeShade="A6"/>
            </w:tcBorders>
            <w:hideMark/>
          </w:tcPr>
          <w:p w14:paraId="3971B614" w14:textId="77777777" w:rsidR="00CE75D4" w:rsidRPr="002029AF" w:rsidRDefault="00CE75D4" w:rsidP="000F7378">
            <w:pPr>
              <w:pStyle w:val="ARfintablebody"/>
              <w:spacing w:before="30" w:after="10" w:line="252" w:lineRule="auto"/>
            </w:pPr>
            <w:r w:rsidRPr="000147FA">
              <w:t>Longer than 5 years</w:t>
            </w:r>
          </w:p>
        </w:tc>
        <w:tc>
          <w:tcPr>
            <w:tcW w:w="1133" w:type="dxa"/>
            <w:tcBorders>
              <w:top w:val="single" w:sz="4" w:space="0" w:color="A6A6A6" w:themeColor="background1" w:themeShade="A6"/>
            </w:tcBorders>
            <w:shd w:val="clear" w:color="auto" w:fill="E7E6E6" w:themeFill="background2"/>
            <w:noWrap/>
            <w:hideMark/>
          </w:tcPr>
          <w:p w14:paraId="5A62E6D8" w14:textId="77777777" w:rsidR="00CE75D4" w:rsidRPr="002029AF" w:rsidRDefault="00CE75D4" w:rsidP="000F7378">
            <w:pPr>
              <w:pStyle w:val="ARfintablebodyright"/>
              <w:spacing w:before="30" w:after="10" w:line="252" w:lineRule="auto"/>
            </w:pPr>
            <w:r w:rsidRPr="000147FA">
              <w:t>1,429.8</w:t>
            </w:r>
          </w:p>
        </w:tc>
        <w:tc>
          <w:tcPr>
            <w:tcW w:w="1133" w:type="dxa"/>
            <w:tcBorders>
              <w:top w:val="single" w:sz="4" w:space="0" w:color="A6A6A6" w:themeColor="background1" w:themeShade="A6"/>
            </w:tcBorders>
            <w:noWrap/>
            <w:hideMark/>
          </w:tcPr>
          <w:p w14:paraId="1F3ED48C" w14:textId="77777777" w:rsidR="00CE75D4" w:rsidRPr="002029AF" w:rsidRDefault="00CE75D4" w:rsidP="000F7378">
            <w:pPr>
              <w:pStyle w:val="ARfintablebodyright"/>
              <w:spacing w:before="30" w:after="10" w:line="252" w:lineRule="auto"/>
            </w:pPr>
            <w:r w:rsidRPr="000147FA">
              <w:t>1,537.9</w:t>
            </w:r>
          </w:p>
        </w:tc>
      </w:tr>
      <w:tr w:rsidR="00CE75D4" w:rsidRPr="002029AF" w14:paraId="78B3385D" w14:textId="77777777" w:rsidTr="3D493511">
        <w:tc>
          <w:tcPr>
            <w:tcW w:w="7371" w:type="dxa"/>
            <w:tcBorders>
              <w:bottom w:val="single" w:sz="4" w:space="0" w:color="auto"/>
            </w:tcBorders>
            <w:hideMark/>
          </w:tcPr>
          <w:p w14:paraId="0EBA2B21" w14:textId="77777777" w:rsidR="00CE75D4" w:rsidRPr="002029AF" w:rsidRDefault="00CE75D4" w:rsidP="000F7378">
            <w:pPr>
              <w:pStyle w:val="ARfintablebodybold"/>
              <w:spacing w:before="30" w:after="10" w:line="252" w:lineRule="auto"/>
            </w:pPr>
            <w:r w:rsidRPr="000147FA">
              <w:t>Total Peter MacCallum Cancer Centre commitments</w:t>
            </w:r>
          </w:p>
        </w:tc>
        <w:tc>
          <w:tcPr>
            <w:tcW w:w="1133" w:type="dxa"/>
            <w:tcBorders>
              <w:bottom w:val="single" w:sz="4" w:space="0" w:color="auto"/>
            </w:tcBorders>
            <w:shd w:val="clear" w:color="auto" w:fill="E7E6E6" w:themeFill="background2"/>
            <w:noWrap/>
            <w:hideMark/>
          </w:tcPr>
          <w:p w14:paraId="171559AC" w14:textId="77777777" w:rsidR="00CE75D4" w:rsidRPr="002029AF" w:rsidRDefault="00CE75D4" w:rsidP="000F7378">
            <w:pPr>
              <w:pStyle w:val="ARfintablebodyrightbold"/>
              <w:spacing w:before="30" w:after="10" w:line="252" w:lineRule="auto"/>
            </w:pPr>
            <w:r w:rsidRPr="000147FA">
              <w:t>2,269.2</w:t>
            </w:r>
          </w:p>
        </w:tc>
        <w:tc>
          <w:tcPr>
            <w:tcW w:w="1133" w:type="dxa"/>
            <w:tcBorders>
              <w:bottom w:val="single" w:sz="4" w:space="0" w:color="auto"/>
            </w:tcBorders>
            <w:noWrap/>
            <w:hideMark/>
          </w:tcPr>
          <w:p w14:paraId="291DD64E" w14:textId="77777777" w:rsidR="00CE75D4" w:rsidRPr="002029AF" w:rsidRDefault="00CE75D4" w:rsidP="000F7378">
            <w:pPr>
              <w:pStyle w:val="ARfintablebodyrightbold"/>
              <w:spacing w:before="30" w:after="10" w:line="252" w:lineRule="auto"/>
            </w:pPr>
            <w:r w:rsidRPr="000147FA">
              <w:t>2,278.3</w:t>
            </w:r>
          </w:p>
        </w:tc>
      </w:tr>
      <w:tr w:rsidR="00CE75D4" w:rsidRPr="002029AF" w14:paraId="4D6B2A5A" w14:textId="77777777" w:rsidTr="3D493511">
        <w:tc>
          <w:tcPr>
            <w:tcW w:w="9637" w:type="dxa"/>
            <w:gridSpan w:val="3"/>
            <w:tcBorders>
              <w:top w:val="single" w:sz="4" w:space="0" w:color="auto"/>
              <w:bottom w:val="single" w:sz="4" w:space="0" w:color="A6A6A6" w:themeColor="background1" w:themeShade="A6"/>
            </w:tcBorders>
            <w:hideMark/>
          </w:tcPr>
          <w:p w14:paraId="0E863350" w14:textId="77777777" w:rsidR="00CE75D4" w:rsidRPr="002029AF" w:rsidRDefault="00CE75D4" w:rsidP="000F7378">
            <w:pPr>
              <w:pStyle w:val="ARfintablebodybold"/>
              <w:spacing w:before="30" w:after="10" w:line="252" w:lineRule="auto"/>
            </w:pPr>
            <w:r w:rsidRPr="000147FA">
              <w:t>5. Bendigo Health</w:t>
            </w:r>
          </w:p>
        </w:tc>
      </w:tr>
      <w:tr w:rsidR="00CE75D4" w:rsidRPr="002029AF" w14:paraId="0FE11B6C" w14:textId="77777777" w:rsidTr="3D493511">
        <w:tc>
          <w:tcPr>
            <w:tcW w:w="7371" w:type="dxa"/>
            <w:tcBorders>
              <w:top w:val="single" w:sz="4" w:space="0" w:color="A6A6A6" w:themeColor="background1" w:themeShade="A6"/>
              <w:bottom w:val="single" w:sz="4" w:space="0" w:color="A6A6A6" w:themeColor="background1" w:themeShade="A6"/>
            </w:tcBorders>
            <w:hideMark/>
          </w:tcPr>
          <w:p w14:paraId="23449191" w14:textId="77777777" w:rsidR="00CE75D4" w:rsidRPr="002029AF" w:rsidRDefault="00CE75D4" w:rsidP="000F7378">
            <w:pPr>
              <w:pStyle w:val="ARfintablebody"/>
              <w:spacing w:before="30" w:after="10" w:line="252" w:lineRule="auto"/>
            </w:pPr>
            <w:r w:rsidRPr="000147FA">
              <w:t>Less than 1 year</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8913D79" w14:textId="77777777" w:rsidR="00CE75D4" w:rsidRPr="002029AF" w:rsidRDefault="00CE75D4" w:rsidP="000F7378">
            <w:pPr>
              <w:pStyle w:val="ARfintablebodyright"/>
              <w:spacing w:before="30" w:after="10" w:line="252" w:lineRule="auto"/>
            </w:pPr>
            <w:r w:rsidRPr="000147FA">
              <w:t>82.0</w:t>
            </w:r>
          </w:p>
        </w:tc>
        <w:tc>
          <w:tcPr>
            <w:tcW w:w="1133" w:type="dxa"/>
            <w:tcBorders>
              <w:top w:val="single" w:sz="4" w:space="0" w:color="A6A6A6" w:themeColor="background1" w:themeShade="A6"/>
              <w:bottom w:val="single" w:sz="4" w:space="0" w:color="A6A6A6" w:themeColor="background1" w:themeShade="A6"/>
            </w:tcBorders>
            <w:noWrap/>
            <w:hideMark/>
          </w:tcPr>
          <w:p w14:paraId="16EFFD9D" w14:textId="77777777" w:rsidR="00CE75D4" w:rsidRPr="002029AF" w:rsidRDefault="00CE75D4" w:rsidP="000F7378">
            <w:pPr>
              <w:pStyle w:val="ARfintablebodyright"/>
              <w:spacing w:before="30" w:after="10" w:line="252" w:lineRule="auto"/>
            </w:pPr>
            <w:r w:rsidRPr="000147FA">
              <w:t>68.4</w:t>
            </w:r>
          </w:p>
        </w:tc>
      </w:tr>
      <w:tr w:rsidR="00CE75D4" w:rsidRPr="002029AF" w14:paraId="5A7125CB" w14:textId="77777777" w:rsidTr="3D493511">
        <w:tc>
          <w:tcPr>
            <w:tcW w:w="7371" w:type="dxa"/>
            <w:tcBorders>
              <w:top w:val="single" w:sz="4" w:space="0" w:color="A6A6A6" w:themeColor="background1" w:themeShade="A6"/>
              <w:bottom w:val="single" w:sz="4" w:space="0" w:color="A6A6A6" w:themeColor="background1" w:themeShade="A6"/>
            </w:tcBorders>
            <w:hideMark/>
          </w:tcPr>
          <w:p w14:paraId="49E5B83B" w14:textId="77777777" w:rsidR="00CE75D4" w:rsidRPr="002029AF" w:rsidRDefault="00CE75D4" w:rsidP="000F7378">
            <w:pPr>
              <w:pStyle w:val="ARfintablebody"/>
              <w:spacing w:before="30" w:after="10" w:line="252" w:lineRule="auto"/>
            </w:pPr>
            <w:r w:rsidRPr="000147F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CD9798B" w14:textId="77777777" w:rsidR="00CE75D4" w:rsidRPr="002029AF" w:rsidRDefault="00CE75D4" w:rsidP="000F7378">
            <w:pPr>
              <w:pStyle w:val="ARfintablebodyright"/>
              <w:spacing w:before="30" w:after="10" w:line="252" w:lineRule="auto"/>
            </w:pPr>
            <w:r w:rsidRPr="000147FA">
              <w:t>373.4</w:t>
            </w:r>
          </w:p>
        </w:tc>
        <w:tc>
          <w:tcPr>
            <w:tcW w:w="1133" w:type="dxa"/>
            <w:tcBorders>
              <w:top w:val="single" w:sz="4" w:space="0" w:color="A6A6A6" w:themeColor="background1" w:themeShade="A6"/>
              <w:bottom w:val="single" w:sz="4" w:space="0" w:color="A6A6A6" w:themeColor="background1" w:themeShade="A6"/>
            </w:tcBorders>
            <w:noWrap/>
            <w:hideMark/>
          </w:tcPr>
          <w:p w14:paraId="0E186F43" w14:textId="77777777" w:rsidR="00CE75D4" w:rsidRPr="002029AF" w:rsidRDefault="00CE75D4" w:rsidP="000F7378">
            <w:pPr>
              <w:pStyle w:val="ARfintablebodyright"/>
              <w:spacing w:before="30" w:after="10" w:line="252" w:lineRule="auto"/>
            </w:pPr>
            <w:r w:rsidRPr="000147FA">
              <w:t>306.3</w:t>
            </w:r>
          </w:p>
        </w:tc>
      </w:tr>
      <w:tr w:rsidR="00CE75D4" w:rsidRPr="002029AF" w14:paraId="4EF2AFA5" w14:textId="77777777" w:rsidTr="3D493511">
        <w:tc>
          <w:tcPr>
            <w:tcW w:w="7371" w:type="dxa"/>
            <w:tcBorders>
              <w:top w:val="single" w:sz="4" w:space="0" w:color="A6A6A6" w:themeColor="background1" w:themeShade="A6"/>
            </w:tcBorders>
            <w:hideMark/>
          </w:tcPr>
          <w:p w14:paraId="41C3CF63" w14:textId="77777777" w:rsidR="00CE75D4" w:rsidRPr="002029AF" w:rsidRDefault="00CE75D4" w:rsidP="000F7378">
            <w:pPr>
              <w:pStyle w:val="ARfintablebody"/>
              <w:spacing w:before="30" w:after="10" w:line="252" w:lineRule="auto"/>
            </w:pPr>
            <w:r w:rsidRPr="000147FA">
              <w:t>Longer than 5 years</w:t>
            </w:r>
          </w:p>
        </w:tc>
        <w:tc>
          <w:tcPr>
            <w:tcW w:w="1133" w:type="dxa"/>
            <w:tcBorders>
              <w:top w:val="single" w:sz="4" w:space="0" w:color="A6A6A6" w:themeColor="background1" w:themeShade="A6"/>
            </w:tcBorders>
            <w:shd w:val="clear" w:color="auto" w:fill="E7E6E6" w:themeFill="background2"/>
            <w:noWrap/>
            <w:hideMark/>
          </w:tcPr>
          <w:p w14:paraId="0FF7DF5C" w14:textId="77777777" w:rsidR="00CE75D4" w:rsidRPr="002029AF" w:rsidRDefault="00CE75D4" w:rsidP="000F7378">
            <w:pPr>
              <w:pStyle w:val="ARfintablebodyright"/>
              <w:spacing w:before="30" w:after="10" w:line="252" w:lineRule="auto"/>
            </w:pPr>
            <w:r w:rsidRPr="000147FA">
              <w:t>1,593.6</w:t>
            </w:r>
          </w:p>
        </w:tc>
        <w:tc>
          <w:tcPr>
            <w:tcW w:w="1133" w:type="dxa"/>
            <w:tcBorders>
              <w:top w:val="single" w:sz="4" w:space="0" w:color="A6A6A6" w:themeColor="background1" w:themeShade="A6"/>
            </w:tcBorders>
            <w:noWrap/>
            <w:hideMark/>
          </w:tcPr>
          <w:p w14:paraId="33409075" w14:textId="77777777" w:rsidR="00CE75D4" w:rsidRPr="002029AF" w:rsidRDefault="00CE75D4" w:rsidP="000F7378">
            <w:pPr>
              <w:pStyle w:val="ARfintablebodyright"/>
              <w:spacing w:before="30" w:after="10" w:line="252" w:lineRule="auto"/>
            </w:pPr>
            <w:r w:rsidRPr="000147FA">
              <w:t>1,452.2</w:t>
            </w:r>
          </w:p>
        </w:tc>
      </w:tr>
      <w:tr w:rsidR="00CE75D4" w:rsidRPr="002029AF" w14:paraId="029B0743" w14:textId="77777777" w:rsidTr="3D493511">
        <w:tc>
          <w:tcPr>
            <w:tcW w:w="7371" w:type="dxa"/>
            <w:tcBorders>
              <w:bottom w:val="single" w:sz="4" w:space="0" w:color="auto"/>
            </w:tcBorders>
            <w:hideMark/>
          </w:tcPr>
          <w:p w14:paraId="4F49304C" w14:textId="77777777" w:rsidR="00CE75D4" w:rsidRPr="002029AF" w:rsidRDefault="00CE75D4" w:rsidP="000F7378">
            <w:pPr>
              <w:pStyle w:val="ARfintablebodybold"/>
              <w:spacing w:before="30" w:after="10" w:line="252" w:lineRule="auto"/>
            </w:pPr>
            <w:r w:rsidRPr="000147FA">
              <w:t>Total Bendigo Health commitments</w:t>
            </w:r>
          </w:p>
        </w:tc>
        <w:tc>
          <w:tcPr>
            <w:tcW w:w="1133" w:type="dxa"/>
            <w:tcBorders>
              <w:bottom w:val="single" w:sz="4" w:space="0" w:color="auto"/>
            </w:tcBorders>
            <w:shd w:val="clear" w:color="auto" w:fill="E7E6E6" w:themeFill="background2"/>
            <w:noWrap/>
            <w:hideMark/>
          </w:tcPr>
          <w:p w14:paraId="45CEA7E7" w14:textId="77777777" w:rsidR="00CE75D4" w:rsidRPr="002029AF" w:rsidRDefault="00CE75D4" w:rsidP="000F7378">
            <w:pPr>
              <w:pStyle w:val="ARfintablebodyrightbold"/>
              <w:spacing w:before="30" w:after="10" w:line="252" w:lineRule="auto"/>
            </w:pPr>
            <w:r w:rsidRPr="000147FA">
              <w:t>2,049.0</w:t>
            </w:r>
          </w:p>
        </w:tc>
        <w:tc>
          <w:tcPr>
            <w:tcW w:w="1133" w:type="dxa"/>
            <w:tcBorders>
              <w:bottom w:val="single" w:sz="4" w:space="0" w:color="auto"/>
            </w:tcBorders>
            <w:noWrap/>
            <w:hideMark/>
          </w:tcPr>
          <w:p w14:paraId="240C3005" w14:textId="77777777" w:rsidR="00CE75D4" w:rsidRPr="002029AF" w:rsidRDefault="00CE75D4" w:rsidP="000F7378">
            <w:pPr>
              <w:pStyle w:val="ARfintablebodyrightbold"/>
              <w:spacing w:before="30" w:after="10" w:line="252" w:lineRule="auto"/>
            </w:pPr>
            <w:r w:rsidRPr="000147FA">
              <w:t>1,826.9</w:t>
            </w:r>
          </w:p>
        </w:tc>
      </w:tr>
      <w:tr w:rsidR="00CE75D4" w:rsidRPr="002029AF" w14:paraId="1A215559" w14:textId="77777777" w:rsidTr="3D493511">
        <w:tc>
          <w:tcPr>
            <w:tcW w:w="7371" w:type="dxa"/>
            <w:tcBorders>
              <w:top w:val="single" w:sz="4" w:space="0" w:color="auto"/>
              <w:bottom w:val="single" w:sz="4" w:space="0" w:color="A6A6A6" w:themeColor="background1" w:themeShade="A6"/>
            </w:tcBorders>
            <w:hideMark/>
          </w:tcPr>
          <w:p w14:paraId="107247D8" w14:textId="77777777" w:rsidR="00CE75D4" w:rsidRPr="002029AF" w:rsidRDefault="00CE75D4" w:rsidP="000F7378">
            <w:pPr>
              <w:pStyle w:val="ARfintablebodybold"/>
              <w:spacing w:before="30" w:after="10" w:line="252" w:lineRule="auto"/>
            </w:pPr>
            <w:r w:rsidRPr="000147FA">
              <w:t xml:space="preserve">Total </w:t>
            </w:r>
            <w:r>
              <w:t xml:space="preserve">commissioned </w:t>
            </w:r>
            <w:r w:rsidRPr="000147FA">
              <w:t>PPP funding commitments</w:t>
            </w:r>
          </w:p>
        </w:tc>
        <w:tc>
          <w:tcPr>
            <w:tcW w:w="1133" w:type="dxa"/>
            <w:tcBorders>
              <w:top w:val="single" w:sz="4" w:space="0" w:color="auto"/>
              <w:bottom w:val="single" w:sz="4" w:space="0" w:color="A6A6A6" w:themeColor="background1" w:themeShade="A6"/>
            </w:tcBorders>
            <w:shd w:val="clear" w:color="auto" w:fill="E7E6E6" w:themeFill="background2"/>
            <w:noWrap/>
            <w:hideMark/>
          </w:tcPr>
          <w:p w14:paraId="0B3AED49" w14:textId="77777777" w:rsidR="00CE75D4" w:rsidRPr="002029AF" w:rsidRDefault="00CE75D4" w:rsidP="000F7378">
            <w:pPr>
              <w:pStyle w:val="ARfintablebodyrightbold"/>
              <w:spacing w:before="30" w:after="10" w:line="252" w:lineRule="auto"/>
            </w:pPr>
            <w:r w:rsidRPr="000147FA">
              <w:t>7,952.8</w:t>
            </w:r>
          </w:p>
        </w:tc>
        <w:tc>
          <w:tcPr>
            <w:tcW w:w="1133" w:type="dxa"/>
            <w:tcBorders>
              <w:top w:val="single" w:sz="4" w:space="0" w:color="auto"/>
              <w:bottom w:val="single" w:sz="4" w:space="0" w:color="A6A6A6" w:themeColor="background1" w:themeShade="A6"/>
            </w:tcBorders>
            <w:noWrap/>
            <w:hideMark/>
          </w:tcPr>
          <w:p w14:paraId="6EADBC65" w14:textId="77777777" w:rsidR="00CE75D4" w:rsidRPr="002029AF" w:rsidRDefault="00CE75D4" w:rsidP="000F7378">
            <w:pPr>
              <w:pStyle w:val="ARfintablebodyrightbold"/>
              <w:spacing w:before="30" w:after="10" w:line="252" w:lineRule="auto"/>
            </w:pPr>
            <w:r w:rsidRPr="000147FA">
              <w:t>7,927.5</w:t>
            </w:r>
          </w:p>
        </w:tc>
      </w:tr>
      <w:tr w:rsidR="00CE75D4" w:rsidRPr="002029AF" w14:paraId="5B03A2F5" w14:textId="77777777" w:rsidTr="00130D1C">
        <w:tc>
          <w:tcPr>
            <w:tcW w:w="9637" w:type="dxa"/>
            <w:gridSpan w:val="3"/>
            <w:tcBorders>
              <w:bottom w:val="single" w:sz="4" w:space="0" w:color="auto"/>
            </w:tcBorders>
            <w:hideMark/>
          </w:tcPr>
          <w:p w14:paraId="0BD3E4F8" w14:textId="77777777" w:rsidR="00CE75D4" w:rsidRPr="002029AF" w:rsidRDefault="00CE75D4" w:rsidP="000F7378">
            <w:pPr>
              <w:pStyle w:val="ARfintablebodybold"/>
              <w:spacing w:before="30" w:after="10" w:line="252" w:lineRule="auto"/>
            </w:pPr>
            <w:r w:rsidRPr="000147FA">
              <w:t>(e) Uncommissioned PPP commitments</w:t>
            </w:r>
          </w:p>
        </w:tc>
      </w:tr>
      <w:tr w:rsidR="00CE75D4" w:rsidRPr="002029AF" w14:paraId="5C1F19D3" w14:textId="77777777" w:rsidTr="3D493511">
        <w:tc>
          <w:tcPr>
            <w:tcW w:w="9637" w:type="dxa"/>
            <w:gridSpan w:val="3"/>
            <w:tcBorders>
              <w:top w:val="single" w:sz="4" w:space="0" w:color="auto"/>
              <w:bottom w:val="single" w:sz="4" w:space="0" w:color="A6A6A6" w:themeColor="background1" w:themeShade="A6"/>
            </w:tcBorders>
            <w:hideMark/>
          </w:tcPr>
          <w:p w14:paraId="358F78EE" w14:textId="77777777" w:rsidR="00CE75D4" w:rsidRPr="002029AF" w:rsidRDefault="00CE75D4" w:rsidP="000F7378">
            <w:pPr>
              <w:pStyle w:val="ARfintablebodybold"/>
              <w:spacing w:before="30" w:after="10" w:line="252" w:lineRule="auto"/>
            </w:pPr>
            <w:r w:rsidRPr="000147FA">
              <w:t>1. New Footscray Hospital</w:t>
            </w:r>
          </w:p>
        </w:tc>
      </w:tr>
      <w:tr w:rsidR="00CE75D4" w:rsidRPr="002029AF" w14:paraId="6781A162" w14:textId="77777777" w:rsidTr="3D493511">
        <w:tc>
          <w:tcPr>
            <w:tcW w:w="7371" w:type="dxa"/>
            <w:tcBorders>
              <w:top w:val="single" w:sz="4" w:space="0" w:color="A6A6A6" w:themeColor="background1" w:themeShade="A6"/>
              <w:bottom w:val="single" w:sz="4" w:space="0" w:color="A6A6A6" w:themeColor="background1" w:themeShade="A6"/>
            </w:tcBorders>
            <w:hideMark/>
          </w:tcPr>
          <w:p w14:paraId="302EABEA" w14:textId="77777777" w:rsidR="00CE75D4" w:rsidRPr="002029AF" w:rsidRDefault="00CE75D4" w:rsidP="000F7378">
            <w:pPr>
              <w:pStyle w:val="ARfintablebody"/>
              <w:spacing w:before="30" w:after="10" w:line="252" w:lineRule="auto"/>
            </w:pPr>
            <w:r w:rsidRPr="000147FA">
              <w:t>Less than 1 year</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0985F7F1" w14:textId="77777777" w:rsidR="00CE75D4" w:rsidRPr="002029AF" w:rsidRDefault="00CE75D4" w:rsidP="000F7378">
            <w:pPr>
              <w:pStyle w:val="ARfintablebodyright"/>
              <w:spacing w:before="30" w:after="10" w:line="252" w:lineRule="auto"/>
            </w:pPr>
            <w:r>
              <w:t>–</w:t>
            </w:r>
          </w:p>
        </w:tc>
        <w:tc>
          <w:tcPr>
            <w:tcW w:w="1133" w:type="dxa"/>
            <w:tcBorders>
              <w:top w:val="single" w:sz="4" w:space="0" w:color="A6A6A6" w:themeColor="background1" w:themeShade="A6"/>
              <w:bottom w:val="single" w:sz="4" w:space="0" w:color="A6A6A6" w:themeColor="background1" w:themeShade="A6"/>
            </w:tcBorders>
            <w:noWrap/>
            <w:hideMark/>
          </w:tcPr>
          <w:p w14:paraId="73859A69" w14:textId="77777777" w:rsidR="00CE75D4" w:rsidRPr="002029AF" w:rsidRDefault="00CE75D4" w:rsidP="000F7378">
            <w:pPr>
              <w:pStyle w:val="ARfintablebodyright"/>
              <w:spacing w:before="30" w:after="10" w:line="252" w:lineRule="auto"/>
            </w:pPr>
            <w:r>
              <w:t>–</w:t>
            </w:r>
          </w:p>
        </w:tc>
      </w:tr>
      <w:tr w:rsidR="00CE75D4" w:rsidRPr="002029AF" w14:paraId="2347E986" w14:textId="77777777" w:rsidTr="3D493511">
        <w:tc>
          <w:tcPr>
            <w:tcW w:w="7371" w:type="dxa"/>
            <w:tcBorders>
              <w:top w:val="single" w:sz="4" w:space="0" w:color="A6A6A6" w:themeColor="background1" w:themeShade="A6"/>
              <w:bottom w:val="single" w:sz="4" w:space="0" w:color="A6A6A6" w:themeColor="background1" w:themeShade="A6"/>
            </w:tcBorders>
            <w:hideMark/>
          </w:tcPr>
          <w:p w14:paraId="73191460" w14:textId="77777777" w:rsidR="00CE75D4" w:rsidRPr="002029AF" w:rsidRDefault="00CE75D4" w:rsidP="000F7378">
            <w:pPr>
              <w:pStyle w:val="ARfintablebody"/>
              <w:spacing w:before="30" w:after="10" w:line="252" w:lineRule="auto"/>
            </w:pPr>
            <w:r w:rsidRPr="000147F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42F96AC" w14:textId="77777777" w:rsidR="00CE75D4" w:rsidRPr="002029AF" w:rsidRDefault="00CE75D4" w:rsidP="000F7378">
            <w:pPr>
              <w:pStyle w:val="ARfintablebodyright"/>
              <w:spacing w:before="30" w:after="10" w:line="252" w:lineRule="auto"/>
            </w:pPr>
            <w:r w:rsidRPr="000147FA">
              <w:t>694.2</w:t>
            </w:r>
          </w:p>
        </w:tc>
        <w:tc>
          <w:tcPr>
            <w:tcW w:w="1133" w:type="dxa"/>
            <w:tcBorders>
              <w:top w:val="single" w:sz="4" w:space="0" w:color="A6A6A6" w:themeColor="background1" w:themeShade="A6"/>
              <w:bottom w:val="single" w:sz="4" w:space="0" w:color="A6A6A6" w:themeColor="background1" w:themeShade="A6"/>
            </w:tcBorders>
            <w:noWrap/>
            <w:hideMark/>
          </w:tcPr>
          <w:p w14:paraId="50B3F842" w14:textId="77777777" w:rsidR="00CE75D4" w:rsidRPr="002029AF" w:rsidRDefault="00CE75D4" w:rsidP="000F7378">
            <w:pPr>
              <w:pStyle w:val="ARfintablebodyright"/>
              <w:spacing w:before="30" w:after="10" w:line="252" w:lineRule="auto"/>
            </w:pPr>
            <w:r w:rsidRPr="000147FA">
              <w:t>639.3</w:t>
            </w:r>
          </w:p>
        </w:tc>
      </w:tr>
      <w:tr w:rsidR="00CE75D4" w:rsidRPr="002029AF" w14:paraId="5EDE3772" w14:textId="77777777" w:rsidTr="3D493511">
        <w:tc>
          <w:tcPr>
            <w:tcW w:w="7371" w:type="dxa"/>
            <w:tcBorders>
              <w:top w:val="single" w:sz="4" w:space="0" w:color="A6A6A6" w:themeColor="background1" w:themeShade="A6"/>
            </w:tcBorders>
            <w:hideMark/>
          </w:tcPr>
          <w:p w14:paraId="18D68296" w14:textId="77777777" w:rsidR="00CE75D4" w:rsidRPr="002029AF" w:rsidRDefault="00CE75D4" w:rsidP="000F7378">
            <w:pPr>
              <w:pStyle w:val="ARfintablebody"/>
              <w:spacing w:before="30" w:after="10" w:line="252" w:lineRule="auto"/>
            </w:pPr>
            <w:r w:rsidRPr="000147FA">
              <w:t>Longer than 5 years</w:t>
            </w:r>
          </w:p>
        </w:tc>
        <w:tc>
          <w:tcPr>
            <w:tcW w:w="1133" w:type="dxa"/>
            <w:tcBorders>
              <w:top w:val="single" w:sz="4" w:space="0" w:color="A6A6A6" w:themeColor="background1" w:themeShade="A6"/>
            </w:tcBorders>
            <w:shd w:val="clear" w:color="auto" w:fill="E7E6E6" w:themeFill="background2"/>
            <w:noWrap/>
            <w:hideMark/>
          </w:tcPr>
          <w:p w14:paraId="785C8436" w14:textId="77777777" w:rsidR="00CE75D4" w:rsidRPr="002029AF" w:rsidRDefault="00CE75D4" w:rsidP="000F7378">
            <w:pPr>
              <w:pStyle w:val="ARfintablebodyright"/>
              <w:spacing w:before="30" w:after="10" w:line="252" w:lineRule="auto"/>
            </w:pPr>
            <w:r w:rsidRPr="000147FA">
              <w:t>5,014.9</w:t>
            </w:r>
          </w:p>
        </w:tc>
        <w:tc>
          <w:tcPr>
            <w:tcW w:w="1133" w:type="dxa"/>
            <w:tcBorders>
              <w:top w:val="single" w:sz="4" w:space="0" w:color="A6A6A6" w:themeColor="background1" w:themeShade="A6"/>
            </w:tcBorders>
            <w:noWrap/>
            <w:hideMark/>
          </w:tcPr>
          <w:p w14:paraId="10491603" w14:textId="77777777" w:rsidR="00CE75D4" w:rsidRPr="002029AF" w:rsidRDefault="00CE75D4" w:rsidP="000F7378">
            <w:pPr>
              <w:pStyle w:val="ARfintablebodyright"/>
              <w:spacing w:before="30" w:after="10" w:line="252" w:lineRule="auto"/>
            </w:pPr>
            <w:r w:rsidRPr="000147FA">
              <w:t>5,733.2</w:t>
            </w:r>
          </w:p>
        </w:tc>
      </w:tr>
      <w:tr w:rsidR="00CE75D4" w:rsidRPr="002029AF" w14:paraId="6D5A8110" w14:textId="77777777" w:rsidTr="3D493511">
        <w:tc>
          <w:tcPr>
            <w:tcW w:w="7371" w:type="dxa"/>
            <w:tcBorders>
              <w:bottom w:val="single" w:sz="4" w:space="0" w:color="auto"/>
            </w:tcBorders>
            <w:hideMark/>
          </w:tcPr>
          <w:p w14:paraId="0E01FFC3" w14:textId="77777777" w:rsidR="00CE75D4" w:rsidRPr="002029AF" w:rsidRDefault="00CE75D4" w:rsidP="000F7378">
            <w:pPr>
              <w:pStyle w:val="ARfintablebodybold"/>
              <w:spacing w:before="30" w:after="10" w:line="252" w:lineRule="auto"/>
            </w:pPr>
            <w:r w:rsidRPr="000147FA">
              <w:t>Total New Footscray Hospital commitments</w:t>
            </w:r>
          </w:p>
        </w:tc>
        <w:tc>
          <w:tcPr>
            <w:tcW w:w="1133" w:type="dxa"/>
            <w:tcBorders>
              <w:bottom w:val="single" w:sz="4" w:space="0" w:color="auto"/>
            </w:tcBorders>
            <w:shd w:val="clear" w:color="auto" w:fill="E7E6E6" w:themeFill="background2"/>
            <w:noWrap/>
            <w:hideMark/>
          </w:tcPr>
          <w:p w14:paraId="7DBD8C2A" w14:textId="77777777" w:rsidR="00CE75D4" w:rsidRPr="002029AF" w:rsidRDefault="00CE75D4" w:rsidP="000F7378">
            <w:pPr>
              <w:pStyle w:val="ARfintablebodyrightbold"/>
              <w:spacing w:before="30" w:after="10" w:line="252" w:lineRule="auto"/>
            </w:pPr>
            <w:r w:rsidRPr="000147FA">
              <w:t>5,709.1</w:t>
            </w:r>
          </w:p>
        </w:tc>
        <w:tc>
          <w:tcPr>
            <w:tcW w:w="1133" w:type="dxa"/>
            <w:tcBorders>
              <w:bottom w:val="single" w:sz="4" w:space="0" w:color="auto"/>
            </w:tcBorders>
            <w:noWrap/>
            <w:hideMark/>
          </w:tcPr>
          <w:p w14:paraId="6BB72D87" w14:textId="77777777" w:rsidR="00CE75D4" w:rsidRPr="002029AF" w:rsidRDefault="00CE75D4" w:rsidP="000F7378">
            <w:pPr>
              <w:pStyle w:val="ARfintablebodyrightbold"/>
              <w:spacing w:before="30" w:after="10" w:line="252" w:lineRule="auto"/>
            </w:pPr>
            <w:r w:rsidRPr="000147FA">
              <w:t>6,372.5</w:t>
            </w:r>
          </w:p>
        </w:tc>
      </w:tr>
      <w:tr w:rsidR="00CE75D4" w:rsidRPr="002029AF" w14:paraId="20FF7147" w14:textId="77777777" w:rsidTr="3D493511">
        <w:tc>
          <w:tcPr>
            <w:tcW w:w="9637" w:type="dxa"/>
            <w:gridSpan w:val="3"/>
            <w:tcBorders>
              <w:top w:val="single" w:sz="4" w:space="0" w:color="auto"/>
              <w:bottom w:val="single" w:sz="4" w:space="0" w:color="A6A6A6" w:themeColor="background1" w:themeShade="A6"/>
            </w:tcBorders>
            <w:hideMark/>
          </w:tcPr>
          <w:p w14:paraId="441627BE" w14:textId="77777777" w:rsidR="00CE75D4" w:rsidRPr="002029AF" w:rsidRDefault="00CE75D4" w:rsidP="000F7378">
            <w:pPr>
              <w:pStyle w:val="ARfintablebodybold"/>
              <w:spacing w:before="30" w:after="10" w:line="252" w:lineRule="auto"/>
            </w:pPr>
            <w:r w:rsidRPr="000147FA">
              <w:t>2. Frankston Hospital Redevelopment</w:t>
            </w:r>
          </w:p>
        </w:tc>
      </w:tr>
      <w:tr w:rsidR="00CE75D4" w:rsidRPr="002029AF" w14:paraId="6520BC22" w14:textId="77777777" w:rsidTr="3D493511">
        <w:tc>
          <w:tcPr>
            <w:tcW w:w="7371" w:type="dxa"/>
            <w:tcBorders>
              <w:top w:val="single" w:sz="4" w:space="0" w:color="A6A6A6" w:themeColor="background1" w:themeShade="A6"/>
              <w:bottom w:val="single" w:sz="4" w:space="0" w:color="A6A6A6" w:themeColor="background1" w:themeShade="A6"/>
            </w:tcBorders>
            <w:hideMark/>
          </w:tcPr>
          <w:p w14:paraId="02A96EB0" w14:textId="77777777" w:rsidR="00CE75D4" w:rsidRPr="002029AF" w:rsidRDefault="00CE75D4" w:rsidP="000F7378">
            <w:pPr>
              <w:pStyle w:val="ARfintablebody"/>
              <w:spacing w:before="30" w:after="10" w:line="252" w:lineRule="auto"/>
            </w:pPr>
            <w:r w:rsidRPr="000147FA">
              <w:t>Less than 1 year</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9080AC3" w14:textId="77777777" w:rsidR="00CE75D4" w:rsidRPr="002029AF" w:rsidRDefault="00CE75D4" w:rsidP="000F7378">
            <w:pPr>
              <w:pStyle w:val="ARfintablebodyright"/>
              <w:spacing w:before="30" w:after="10" w:line="252" w:lineRule="auto"/>
            </w:pPr>
            <w:r>
              <w:t>–</w:t>
            </w:r>
          </w:p>
        </w:tc>
        <w:tc>
          <w:tcPr>
            <w:tcW w:w="1133" w:type="dxa"/>
            <w:tcBorders>
              <w:top w:val="single" w:sz="4" w:space="0" w:color="A6A6A6" w:themeColor="background1" w:themeShade="A6"/>
              <w:bottom w:val="single" w:sz="4" w:space="0" w:color="A6A6A6" w:themeColor="background1" w:themeShade="A6"/>
            </w:tcBorders>
            <w:noWrap/>
            <w:hideMark/>
          </w:tcPr>
          <w:p w14:paraId="0491B6DC" w14:textId="77777777" w:rsidR="00CE75D4" w:rsidRPr="002029AF" w:rsidRDefault="00CE75D4" w:rsidP="000F7378">
            <w:pPr>
              <w:pStyle w:val="ARfintablebodyright"/>
              <w:spacing w:before="30" w:after="10" w:line="252" w:lineRule="auto"/>
            </w:pPr>
            <w:r>
              <w:t>–</w:t>
            </w:r>
          </w:p>
        </w:tc>
      </w:tr>
      <w:tr w:rsidR="00CE75D4" w:rsidRPr="002029AF" w14:paraId="3BABDCBC" w14:textId="77777777" w:rsidTr="3D493511">
        <w:tc>
          <w:tcPr>
            <w:tcW w:w="7371" w:type="dxa"/>
            <w:tcBorders>
              <w:top w:val="single" w:sz="4" w:space="0" w:color="A6A6A6" w:themeColor="background1" w:themeShade="A6"/>
              <w:bottom w:val="single" w:sz="4" w:space="0" w:color="A6A6A6" w:themeColor="background1" w:themeShade="A6"/>
            </w:tcBorders>
            <w:hideMark/>
          </w:tcPr>
          <w:p w14:paraId="33DE569E" w14:textId="77777777" w:rsidR="00CE75D4" w:rsidRPr="002029AF" w:rsidRDefault="00CE75D4" w:rsidP="000F7378">
            <w:pPr>
              <w:pStyle w:val="ARfintablebody"/>
              <w:spacing w:before="30" w:after="10" w:line="252" w:lineRule="auto"/>
            </w:pPr>
            <w:r w:rsidRPr="000147F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3ADC54F" w14:textId="77777777" w:rsidR="00CE75D4" w:rsidRPr="002029AF" w:rsidRDefault="00CE75D4" w:rsidP="000F7378">
            <w:pPr>
              <w:pStyle w:val="ARfintablebodyright"/>
              <w:spacing w:before="30" w:after="10" w:line="252" w:lineRule="auto"/>
            </w:pPr>
            <w:r w:rsidRPr="000147FA">
              <w:t>102.4</w:t>
            </w:r>
          </w:p>
        </w:tc>
        <w:tc>
          <w:tcPr>
            <w:tcW w:w="1133" w:type="dxa"/>
            <w:tcBorders>
              <w:top w:val="single" w:sz="4" w:space="0" w:color="A6A6A6" w:themeColor="background1" w:themeShade="A6"/>
              <w:bottom w:val="single" w:sz="4" w:space="0" w:color="A6A6A6" w:themeColor="background1" w:themeShade="A6"/>
            </w:tcBorders>
            <w:noWrap/>
            <w:hideMark/>
          </w:tcPr>
          <w:p w14:paraId="6C7766B3" w14:textId="77777777" w:rsidR="00CE75D4" w:rsidRPr="002029AF" w:rsidRDefault="00CE75D4" w:rsidP="000F7378">
            <w:pPr>
              <w:pStyle w:val="ARfintablebodyright"/>
              <w:spacing w:before="30" w:after="10" w:line="252" w:lineRule="auto"/>
            </w:pPr>
            <w:r>
              <w:t>–</w:t>
            </w:r>
          </w:p>
        </w:tc>
      </w:tr>
      <w:tr w:rsidR="00CE75D4" w:rsidRPr="002029AF" w14:paraId="41BFC301" w14:textId="77777777" w:rsidTr="3D493511">
        <w:tc>
          <w:tcPr>
            <w:tcW w:w="7371" w:type="dxa"/>
            <w:tcBorders>
              <w:top w:val="single" w:sz="4" w:space="0" w:color="A6A6A6" w:themeColor="background1" w:themeShade="A6"/>
            </w:tcBorders>
            <w:hideMark/>
          </w:tcPr>
          <w:p w14:paraId="4B3FEDF1" w14:textId="77777777" w:rsidR="00CE75D4" w:rsidRPr="002029AF" w:rsidRDefault="00CE75D4" w:rsidP="000F7378">
            <w:pPr>
              <w:pStyle w:val="ARfintablebody"/>
              <w:spacing w:before="30" w:after="10" w:line="252" w:lineRule="auto"/>
            </w:pPr>
            <w:r w:rsidRPr="000147FA">
              <w:t>Longer than 5 years</w:t>
            </w:r>
          </w:p>
        </w:tc>
        <w:tc>
          <w:tcPr>
            <w:tcW w:w="1133" w:type="dxa"/>
            <w:tcBorders>
              <w:top w:val="single" w:sz="4" w:space="0" w:color="A6A6A6" w:themeColor="background1" w:themeShade="A6"/>
            </w:tcBorders>
            <w:shd w:val="clear" w:color="auto" w:fill="E7E6E6" w:themeFill="background2"/>
            <w:noWrap/>
            <w:hideMark/>
          </w:tcPr>
          <w:p w14:paraId="6E9801A0" w14:textId="77777777" w:rsidR="00CE75D4" w:rsidRPr="002029AF" w:rsidRDefault="00CE75D4" w:rsidP="000F7378">
            <w:pPr>
              <w:pStyle w:val="ARfintablebodyright"/>
              <w:spacing w:before="30" w:after="10" w:line="252" w:lineRule="auto"/>
            </w:pPr>
            <w:r w:rsidRPr="000147FA">
              <w:t>4,565.4</w:t>
            </w:r>
          </w:p>
        </w:tc>
        <w:tc>
          <w:tcPr>
            <w:tcW w:w="1133" w:type="dxa"/>
            <w:tcBorders>
              <w:top w:val="single" w:sz="4" w:space="0" w:color="A6A6A6" w:themeColor="background1" w:themeShade="A6"/>
            </w:tcBorders>
            <w:noWrap/>
            <w:hideMark/>
          </w:tcPr>
          <w:p w14:paraId="5883577A" w14:textId="77777777" w:rsidR="00CE75D4" w:rsidRPr="002029AF" w:rsidRDefault="00CE75D4" w:rsidP="000F7378">
            <w:pPr>
              <w:pStyle w:val="ARfintablebodyright"/>
              <w:spacing w:before="30" w:after="10" w:line="252" w:lineRule="auto"/>
            </w:pPr>
            <w:r>
              <w:t>–</w:t>
            </w:r>
          </w:p>
        </w:tc>
      </w:tr>
      <w:tr w:rsidR="00CE75D4" w:rsidRPr="002029AF" w14:paraId="099DBAD4" w14:textId="77777777" w:rsidTr="3D493511">
        <w:tc>
          <w:tcPr>
            <w:tcW w:w="7371" w:type="dxa"/>
            <w:tcBorders>
              <w:bottom w:val="single" w:sz="4" w:space="0" w:color="auto"/>
            </w:tcBorders>
            <w:hideMark/>
          </w:tcPr>
          <w:p w14:paraId="74A8D57A" w14:textId="77777777" w:rsidR="00CE75D4" w:rsidRPr="002029AF" w:rsidRDefault="00CE75D4" w:rsidP="000F7378">
            <w:pPr>
              <w:pStyle w:val="ARfintablebodybold"/>
              <w:spacing w:before="30" w:after="10" w:line="252" w:lineRule="auto"/>
            </w:pPr>
            <w:r w:rsidRPr="000147FA">
              <w:t>Total Frankston Hospital Redevelopment commitments</w:t>
            </w:r>
          </w:p>
        </w:tc>
        <w:tc>
          <w:tcPr>
            <w:tcW w:w="1133" w:type="dxa"/>
            <w:tcBorders>
              <w:bottom w:val="single" w:sz="4" w:space="0" w:color="auto"/>
            </w:tcBorders>
            <w:shd w:val="clear" w:color="auto" w:fill="E7E6E6" w:themeFill="background2"/>
            <w:noWrap/>
            <w:hideMark/>
          </w:tcPr>
          <w:p w14:paraId="0C129A8A" w14:textId="77777777" w:rsidR="00CE75D4" w:rsidRPr="002029AF" w:rsidRDefault="00CE75D4" w:rsidP="000F7378">
            <w:pPr>
              <w:pStyle w:val="ARfintablebodyrightbold"/>
              <w:spacing w:before="30" w:after="10" w:line="252" w:lineRule="auto"/>
            </w:pPr>
            <w:r w:rsidRPr="000147FA">
              <w:t>4,667.8</w:t>
            </w:r>
          </w:p>
        </w:tc>
        <w:tc>
          <w:tcPr>
            <w:tcW w:w="1133" w:type="dxa"/>
            <w:tcBorders>
              <w:bottom w:val="single" w:sz="4" w:space="0" w:color="auto"/>
            </w:tcBorders>
            <w:noWrap/>
            <w:hideMark/>
          </w:tcPr>
          <w:p w14:paraId="40BF654B" w14:textId="77777777" w:rsidR="00CE75D4" w:rsidRPr="002029AF" w:rsidRDefault="00CE75D4" w:rsidP="000F7378">
            <w:pPr>
              <w:pStyle w:val="ARfintablebodyrightbold"/>
              <w:spacing w:before="30" w:after="10" w:line="252" w:lineRule="auto"/>
            </w:pPr>
            <w:r>
              <w:t>–</w:t>
            </w:r>
          </w:p>
        </w:tc>
      </w:tr>
      <w:tr w:rsidR="00CE75D4" w:rsidRPr="002029AF" w14:paraId="5729AD80" w14:textId="77777777" w:rsidTr="3D493511">
        <w:tc>
          <w:tcPr>
            <w:tcW w:w="9637" w:type="dxa"/>
            <w:gridSpan w:val="3"/>
            <w:tcBorders>
              <w:top w:val="single" w:sz="4" w:space="0" w:color="auto"/>
              <w:bottom w:val="single" w:sz="4" w:space="0" w:color="A6A6A6" w:themeColor="background1" w:themeShade="A6"/>
            </w:tcBorders>
            <w:hideMark/>
          </w:tcPr>
          <w:p w14:paraId="0314FC8F" w14:textId="77777777" w:rsidR="00CE75D4" w:rsidRPr="002029AF" w:rsidRDefault="00CE75D4" w:rsidP="000F7378">
            <w:pPr>
              <w:pStyle w:val="ARfintablebodybold"/>
              <w:spacing w:before="30" w:after="10" w:line="252" w:lineRule="auto"/>
            </w:pPr>
            <w:r w:rsidRPr="000147FA">
              <w:t xml:space="preserve">3. New social, affordable, specialist disability and private housing </w:t>
            </w:r>
            <w:r>
              <w:br/>
            </w:r>
            <w:r w:rsidRPr="000147FA">
              <w:t xml:space="preserve">in Flemington, Brighton and Prahran </w:t>
            </w:r>
            <w:r w:rsidRPr="000B6970">
              <w:rPr>
                <w:rStyle w:val="Superscript"/>
              </w:rPr>
              <w:t>(iv)</w:t>
            </w:r>
          </w:p>
        </w:tc>
      </w:tr>
      <w:tr w:rsidR="00CE75D4" w:rsidRPr="002029AF" w14:paraId="6F56736F" w14:textId="77777777" w:rsidTr="3D493511">
        <w:tc>
          <w:tcPr>
            <w:tcW w:w="7371" w:type="dxa"/>
            <w:tcBorders>
              <w:top w:val="single" w:sz="4" w:space="0" w:color="A6A6A6" w:themeColor="background1" w:themeShade="A6"/>
              <w:bottom w:val="single" w:sz="4" w:space="0" w:color="A6A6A6" w:themeColor="background1" w:themeShade="A6"/>
            </w:tcBorders>
            <w:hideMark/>
          </w:tcPr>
          <w:p w14:paraId="74F1E024" w14:textId="77777777" w:rsidR="00CE75D4" w:rsidRPr="002029AF" w:rsidRDefault="00CE75D4" w:rsidP="000F7378">
            <w:pPr>
              <w:pStyle w:val="ARfintablebody"/>
              <w:spacing w:before="30" w:after="10" w:line="252" w:lineRule="auto"/>
            </w:pPr>
            <w:r w:rsidRPr="000147FA">
              <w:t>Less than 1 year</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E30B159" w14:textId="77777777" w:rsidR="00CE75D4" w:rsidRPr="002029AF" w:rsidRDefault="00CE75D4" w:rsidP="000F7378">
            <w:pPr>
              <w:pStyle w:val="ARfintablebodyright"/>
              <w:spacing w:before="30" w:after="10" w:line="252" w:lineRule="auto"/>
            </w:pPr>
            <w:r>
              <w:t>–</w:t>
            </w:r>
          </w:p>
        </w:tc>
        <w:tc>
          <w:tcPr>
            <w:tcW w:w="1133" w:type="dxa"/>
            <w:tcBorders>
              <w:top w:val="single" w:sz="4" w:space="0" w:color="A6A6A6" w:themeColor="background1" w:themeShade="A6"/>
              <w:bottom w:val="single" w:sz="4" w:space="0" w:color="A6A6A6" w:themeColor="background1" w:themeShade="A6"/>
            </w:tcBorders>
            <w:noWrap/>
            <w:hideMark/>
          </w:tcPr>
          <w:p w14:paraId="2D108F4E" w14:textId="77777777" w:rsidR="00CE75D4" w:rsidRPr="002029AF" w:rsidRDefault="00CE75D4" w:rsidP="000F7378">
            <w:pPr>
              <w:pStyle w:val="ARfintablebodyright"/>
              <w:spacing w:before="30" w:after="10" w:line="252" w:lineRule="auto"/>
            </w:pPr>
            <w:r w:rsidRPr="000147FA">
              <w:t>13.5</w:t>
            </w:r>
          </w:p>
        </w:tc>
      </w:tr>
      <w:tr w:rsidR="00CE75D4" w:rsidRPr="002029AF" w14:paraId="68C03D77" w14:textId="77777777" w:rsidTr="3D493511">
        <w:tc>
          <w:tcPr>
            <w:tcW w:w="7371" w:type="dxa"/>
            <w:tcBorders>
              <w:top w:val="single" w:sz="4" w:space="0" w:color="A6A6A6" w:themeColor="background1" w:themeShade="A6"/>
              <w:bottom w:val="single" w:sz="4" w:space="0" w:color="A6A6A6" w:themeColor="background1" w:themeShade="A6"/>
            </w:tcBorders>
            <w:hideMark/>
          </w:tcPr>
          <w:p w14:paraId="629749D4" w14:textId="77777777" w:rsidR="00CE75D4" w:rsidRPr="002029AF" w:rsidRDefault="00CE75D4" w:rsidP="000F7378">
            <w:pPr>
              <w:pStyle w:val="ARfintablebody"/>
              <w:spacing w:before="30" w:after="10" w:line="252" w:lineRule="auto"/>
            </w:pPr>
            <w:r w:rsidRPr="000147FA">
              <w:t>Longer than 1 year and not longer than 5 years</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0F8486B" w14:textId="77777777" w:rsidR="00CE75D4" w:rsidRPr="002029AF" w:rsidRDefault="00CE75D4" w:rsidP="000F7378">
            <w:pPr>
              <w:pStyle w:val="ARfintablebodyright"/>
              <w:spacing w:before="30" w:after="10" w:line="252" w:lineRule="auto"/>
            </w:pPr>
            <w:r>
              <w:t>–</w:t>
            </w:r>
          </w:p>
        </w:tc>
        <w:tc>
          <w:tcPr>
            <w:tcW w:w="1133" w:type="dxa"/>
            <w:tcBorders>
              <w:top w:val="single" w:sz="4" w:space="0" w:color="A6A6A6" w:themeColor="background1" w:themeShade="A6"/>
              <w:bottom w:val="single" w:sz="4" w:space="0" w:color="A6A6A6" w:themeColor="background1" w:themeShade="A6"/>
            </w:tcBorders>
            <w:noWrap/>
            <w:hideMark/>
          </w:tcPr>
          <w:p w14:paraId="2FFF1B1F" w14:textId="77777777" w:rsidR="00CE75D4" w:rsidRPr="002029AF" w:rsidRDefault="00CE75D4" w:rsidP="000F7378">
            <w:pPr>
              <w:pStyle w:val="ARfintablebodyright"/>
              <w:spacing w:before="30" w:after="10" w:line="252" w:lineRule="auto"/>
            </w:pPr>
            <w:r w:rsidRPr="000147FA">
              <w:t>73.7</w:t>
            </w:r>
          </w:p>
        </w:tc>
      </w:tr>
      <w:tr w:rsidR="00CE75D4" w:rsidRPr="002029AF" w14:paraId="0585C403" w14:textId="77777777" w:rsidTr="3D493511">
        <w:tc>
          <w:tcPr>
            <w:tcW w:w="7371" w:type="dxa"/>
            <w:tcBorders>
              <w:top w:val="single" w:sz="4" w:space="0" w:color="A6A6A6" w:themeColor="background1" w:themeShade="A6"/>
            </w:tcBorders>
            <w:hideMark/>
          </w:tcPr>
          <w:p w14:paraId="3202E9D4" w14:textId="77777777" w:rsidR="00CE75D4" w:rsidRPr="002029AF" w:rsidRDefault="00CE75D4" w:rsidP="000F7378">
            <w:pPr>
              <w:pStyle w:val="ARfintablebody"/>
              <w:spacing w:before="30" w:after="10" w:line="252" w:lineRule="auto"/>
            </w:pPr>
            <w:r w:rsidRPr="000147FA">
              <w:t>Longer than 5 years</w:t>
            </w:r>
          </w:p>
        </w:tc>
        <w:tc>
          <w:tcPr>
            <w:tcW w:w="1133" w:type="dxa"/>
            <w:tcBorders>
              <w:top w:val="single" w:sz="4" w:space="0" w:color="A6A6A6" w:themeColor="background1" w:themeShade="A6"/>
            </w:tcBorders>
            <w:shd w:val="clear" w:color="auto" w:fill="E7E6E6" w:themeFill="background2"/>
            <w:noWrap/>
            <w:hideMark/>
          </w:tcPr>
          <w:p w14:paraId="34D13D90" w14:textId="77777777" w:rsidR="00CE75D4" w:rsidRPr="002029AF" w:rsidRDefault="00CE75D4" w:rsidP="000F7378">
            <w:pPr>
              <w:pStyle w:val="ARfintablebodyright"/>
              <w:spacing w:before="30" w:after="10" w:line="252" w:lineRule="auto"/>
            </w:pPr>
            <w:r>
              <w:t>–</w:t>
            </w:r>
          </w:p>
        </w:tc>
        <w:tc>
          <w:tcPr>
            <w:tcW w:w="1133" w:type="dxa"/>
            <w:tcBorders>
              <w:top w:val="single" w:sz="4" w:space="0" w:color="A6A6A6" w:themeColor="background1" w:themeShade="A6"/>
            </w:tcBorders>
            <w:noWrap/>
            <w:hideMark/>
          </w:tcPr>
          <w:p w14:paraId="5A338518" w14:textId="77777777" w:rsidR="00CE75D4" w:rsidRPr="002029AF" w:rsidRDefault="00CE75D4" w:rsidP="000F7378">
            <w:pPr>
              <w:pStyle w:val="ARfintablebodyright"/>
              <w:spacing w:before="30" w:after="10" w:line="252" w:lineRule="auto"/>
            </w:pPr>
            <w:r w:rsidRPr="000147FA">
              <w:t>665.0</w:t>
            </w:r>
          </w:p>
        </w:tc>
      </w:tr>
      <w:tr w:rsidR="00CE75D4" w:rsidRPr="002029AF" w14:paraId="3D5F6B87" w14:textId="77777777" w:rsidTr="3D493511">
        <w:tc>
          <w:tcPr>
            <w:tcW w:w="7371" w:type="dxa"/>
            <w:tcBorders>
              <w:bottom w:val="single" w:sz="4" w:space="0" w:color="auto"/>
            </w:tcBorders>
            <w:hideMark/>
          </w:tcPr>
          <w:p w14:paraId="77BD55D8" w14:textId="77777777" w:rsidR="00CE75D4" w:rsidRPr="002029AF" w:rsidRDefault="00CE75D4" w:rsidP="000F7378">
            <w:pPr>
              <w:pStyle w:val="ARfintablebodybold"/>
              <w:spacing w:before="30" w:after="10" w:line="252" w:lineRule="auto"/>
            </w:pPr>
            <w:r w:rsidRPr="000147FA">
              <w:t>Total New social, affordable, specialist disability and private housing in</w:t>
            </w:r>
            <w:r>
              <w:t> </w:t>
            </w:r>
            <w:r w:rsidRPr="000147FA">
              <w:t>Flemington, Brighton and Prahran commitments</w:t>
            </w:r>
          </w:p>
        </w:tc>
        <w:tc>
          <w:tcPr>
            <w:tcW w:w="1133" w:type="dxa"/>
            <w:tcBorders>
              <w:bottom w:val="single" w:sz="4" w:space="0" w:color="auto"/>
            </w:tcBorders>
            <w:shd w:val="clear" w:color="auto" w:fill="E7E6E6" w:themeFill="background2"/>
            <w:noWrap/>
            <w:hideMark/>
          </w:tcPr>
          <w:p w14:paraId="3593267F" w14:textId="77777777" w:rsidR="00CE75D4" w:rsidRPr="002029AF" w:rsidRDefault="00CE75D4" w:rsidP="000F7378">
            <w:pPr>
              <w:pStyle w:val="ARfintablebodyrightbold"/>
              <w:spacing w:before="30" w:after="10" w:line="252" w:lineRule="auto"/>
            </w:pPr>
            <w:r>
              <w:t>–</w:t>
            </w:r>
          </w:p>
        </w:tc>
        <w:tc>
          <w:tcPr>
            <w:tcW w:w="1133" w:type="dxa"/>
            <w:tcBorders>
              <w:bottom w:val="single" w:sz="4" w:space="0" w:color="auto"/>
            </w:tcBorders>
            <w:noWrap/>
            <w:hideMark/>
          </w:tcPr>
          <w:p w14:paraId="6938A6AF" w14:textId="77777777" w:rsidR="00CE75D4" w:rsidRPr="002029AF" w:rsidRDefault="00CE75D4" w:rsidP="000F7378">
            <w:pPr>
              <w:pStyle w:val="ARfintablebodyrightbold"/>
              <w:spacing w:before="30" w:after="10" w:line="252" w:lineRule="auto"/>
            </w:pPr>
            <w:r w:rsidRPr="000147FA">
              <w:t>752.2</w:t>
            </w:r>
          </w:p>
        </w:tc>
      </w:tr>
      <w:tr w:rsidR="00CE75D4" w:rsidRPr="002029AF" w14:paraId="6C760F0D" w14:textId="77777777" w:rsidTr="3D493511">
        <w:tc>
          <w:tcPr>
            <w:tcW w:w="7371" w:type="dxa"/>
            <w:tcBorders>
              <w:top w:val="single" w:sz="4" w:space="0" w:color="auto"/>
              <w:bottom w:val="single" w:sz="4" w:space="0" w:color="A6A6A6" w:themeColor="background1" w:themeShade="A6"/>
            </w:tcBorders>
            <w:hideMark/>
          </w:tcPr>
          <w:p w14:paraId="10ACFFB9" w14:textId="77777777" w:rsidR="00CE75D4" w:rsidRPr="002029AF" w:rsidRDefault="00CE75D4" w:rsidP="000F7378">
            <w:pPr>
              <w:pStyle w:val="ARfintablebodybold"/>
              <w:spacing w:before="30" w:after="10" w:line="252" w:lineRule="auto"/>
            </w:pPr>
            <w:r w:rsidRPr="000147FA">
              <w:t>Total uncommissioned PPP commitments</w:t>
            </w:r>
          </w:p>
        </w:tc>
        <w:tc>
          <w:tcPr>
            <w:tcW w:w="1133" w:type="dxa"/>
            <w:tcBorders>
              <w:top w:val="single" w:sz="4" w:space="0" w:color="auto"/>
              <w:bottom w:val="single" w:sz="4" w:space="0" w:color="A6A6A6" w:themeColor="background1" w:themeShade="A6"/>
            </w:tcBorders>
            <w:shd w:val="clear" w:color="auto" w:fill="E7E6E6" w:themeFill="background2"/>
            <w:noWrap/>
            <w:hideMark/>
          </w:tcPr>
          <w:p w14:paraId="57DB2257" w14:textId="77777777" w:rsidR="00CE75D4" w:rsidRPr="002029AF" w:rsidRDefault="00CE75D4" w:rsidP="000F7378">
            <w:pPr>
              <w:pStyle w:val="ARfintablebodyrightbold"/>
              <w:spacing w:before="30" w:after="10" w:line="252" w:lineRule="auto"/>
            </w:pPr>
            <w:r w:rsidRPr="000147FA">
              <w:t>10,376.9</w:t>
            </w:r>
          </w:p>
        </w:tc>
        <w:tc>
          <w:tcPr>
            <w:tcW w:w="1133" w:type="dxa"/>
            <w:tcBorders>
              <w:top w:val="single" w:sz="4" w:space="0" w:color="auto"/>
              <w:bottom w:val="single" w:sz="4" w:space="0" w:color="A6A6A6" w:themeColor="background1" w:themeShade="A6"/>
            </w:tcBorders>
            <w:noWrap/>
            <w:hideMark/>
          </w:tcPr>
          <w:p w14:paraId="0CC13E0C" w14:textId="77777777" w:rsidR="00CE75D4" w:rsidRPr="002029AF" w:rsidRDefault="00CE75D4" w:rsidP="000F7378">
            <w:pPr>
              <w:pStyle w:val="ARfintablebodyrightbold"/>
              <w:spacing w:before="30" w:after="10" w:line="252" w:lineRule="auto"/>
            </w:pPr>
            <w:r w:rsidRPr="000147FA">
              <w:t>7,124.7</w:t>
            </w:r>
          </w:p>
        </w:tc>
      </w:tr>
      <w:tr w:rsidR="00CE75D4" w:rsidRPr="002029AF" w14:paraId="7C5610AF" w14:textId="77777777" w:rsidTr="3D493511">
        <w:tc>
          <w:tcPr>
            <w:tcW w:w="7371" w:type="dxa"/>
            <w:tcBorders>
              <w:top w:val="single" w:sz="4" w:space="0" w:color="A6A6A6" w:themeColor="background1" w:themeShade="A6"/>
              <w:bottom w:val="single" w:sz="4" w:space="0" w:color="A6A6A6" w:themeColor="background1" w:themeShade="A6"/>
            </w:tcBorders>
            <w:hideMark/>
          </w:tcPr>
          <w:p w14:paraId="082C4483" w14:textId="77777777" w:rsidR="00CE75D4" w:rsidRPr="002029AF" w:rsidRDefault="00CE75D4" w:rsidP="000F7378">
            <w:pPr>
              <w:pStyle w:val="ARfintablebodybold"/>
              <w:spacing w:before="30" w:after="10" w:line="252" w:lineRule="auto"/>
            </w:pPr>
            <w:r w:rsidRPr="000147FA">
              <w:t>Total commitments for expenditure (inclusive of GST)</w:t>
            </w:r>
          </w:p>
        </w:tc>
        <w:tc>
          <w:tcPr>
            <w:tcW w:w="1133"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54D0087" w14:textId="77777777" w:rsidR="00CE75D4" w:rsidRPr="002029AF" w:rsidRDefault="00CE75D4" w:rsidP="000F7378">
            <w:pPr>
              <w:pStyle w:val="ARfintablebodyrightbold"/>
              <w:spacing w:before="30" w:after="10" w:line="252" w:lineRule="auto"/>
            </w:pPr>
            <w:r w:rsidRPr="000147FA">
              <w:t>20,997.7</w:t>
            </w:r>
          </w:p>
        </w:tc>
        <w:tc>
          <w:tcPr>
            <w:tcW w:w="1133" w:type="dxa"/>
            <w:tcBorders>
              <w:top w:val="single" w:sz="4" w:space="0" w:color="A6A6A6" w:themeColor="background1" w:themeShade="A6"/>
              <w:bottom w:val="single" w:sz="4" w:space="0" w:color="A6A6A6" w:themeColor="background1" w:themeShade="A6"/>
            </w:tcBorders>
            <w:noWrap/>
            <w:hideMark/>
          </w:tcPr>
          <w:p w14:paraId="1619F198" w14:textId="77777777" w:rsidR="00CE75D4" w:rsidRPr="002029AF" w:rsidRDefault="00CE75D4" w:rsidP="000F7378">
            <w:pPr>
              <w:pStyle w:val="ARfintablebodyrightbold"/>
              <w:spacing w:before="30" w:after="10" w:line="252" w:lineRule="auto"/>
            </w:pPr>
            <w:r w:rsidRPr="000147FA">
              <w:t>16,917.6</w:t>
            </w:r>
          </w:p>
        </w:tc>
      </w:tr>
      <w:tr w:rsidR="00CE75D4" w:rsidRPr="002029AF" w14:paraId="5A4E294C" w14:textId="77777777" w:rsidTr="3D493511">
        <w:tc>
          <w:tcPr>
            <w:tcW w:w="7371" w:type="dxa"/>
            <w:tcBorders>
              <w:top w:val="single" w:sz="4" w:space="0" w:color="A6A6A6" w:themeColor="background1" w:themeShade="A6"/>
            </w:tcBorders>
            <w:hideMark/>
          </w:tcPr>
          <w:p w14:paraId="0CCAF9D2" w14:textId="77777777" w:rsidR="00CE75D4" w:rsidRPr="002029AF" w:rsidRDefault="00CE75D4" w:rsidP="000F7378">
            <w:pPr>
              <w:pStyle w:val="ARfintablebody"/>
              <w:spacing w:before="30" w:after="10" w:line="252" w:lineRule="auto"/>
            </w:pPr>
            <w:r w:rsidRPr="000147FA">
              <w:t>Less GST recoverable from the ATO</w:t>
            </w:r>
          </w:p>
        </w:tc>
        <w:tc>
          <w:tcPr>
            <w:tcW w:w="1133" w:type="dxa"/>
            <w:tcBorders>
              <w:top w:val="single" w:sz="4" w:space="0" w:color="A6A6A6" w:themeColor="background1" w:themeShade="A6"/>
            </w:tcBorders>
            <w:shd w:val="clear" w:color="auto" w:fill="E7E6E6" w:themeFill="background2"/>
            <w:noWrap/>
            <w:hideMark/>
          </w:tcPr>
          <w:p w14:paraId="61DEA482" w14:textId="77777777" w:rsidR="00CE75D4" w:rsidRPr="002029AF" w:rsidRDefault="00CE75D4" w:rsidP="000F7378">
            <w:pPr>
              <w:pStyle w:val="ARfintablebodyright"/>
              <w:spacing w:before="30" w:after="10" w:line="252" w:lineRule="auto"/>
            </w:pPr>
            <w:r w:rsidRPr="000147FA">
              <w:t>1,722.2</w:t>
            </w:r>
          </w:p>
        </w:tc>
        <w:tc>
          <w:tcPr>
            <w:tcW w:w="1133" w:type="dxa"/>
            <w:tcBorders>
              <w:top w:val="single" w:sz="4" w:space="0" w:color="A6A6A6" w:themeColor="background1" w:themeShade="A6"/>
            </w:tcBorders>
            <w:noWrap/>
            <w:hideMark/>
          </w:tcPr>
          <w:p w14:paraId="355A0A69" w14:textId="77777777" w:rsidR="00CE75D4" w:rsidRPr="002029AF" w:rsidRDefault="00CE75D4" w:rsidP="000F7378">
            <w:pPr>
              <w:pStyle w:val="ARfintablebodyright"/>
              <w:spacing w:before="30" w:after="10" w:line="252" w:lineRule="auto"/>
            </w:pPr>
            <w:r w:rsidRPr="000147FA">
              <w:t>1,364.9</w:t>
            </w:r>
          </w:p>
        </w:tc>
      </w:tr>
      <w:tr w:rsidR="00CE75D4" w:rsidRPr="002029AF" w14:paraId="5D11831C" w14:textId="77777777" w:rsidTr="3D493511">
        <w:tc>
          <w:tcPr>
            <w:tcW w:w="7371" w:type="dxa"/>
            <w:hideMark/>
          </w:tcPr>
          <w:p w14:paraId="03932992" w14:textId="77777777" w:rsidR="00CE75D4" w:rsidRPr="002029AF" w:rsidRDefault="00CE75D4" w:rsidP="000F7378">
            <w:pPr>
              <w:pStyle w:val="ARfintablebodybold"/>
              <w:spacing w:before="30" w:after="10" w:line="252" w:lineRule="auto"/>
            </w:pPr>
            <w:r w:rsidRPr="000147FA">
              <w:t>Total commitments for expenditure (exclusive of GST)</w:t>
            </w:r>
          </w:p>
        </w:tc>
        <w:tc>
          <w:tcPr>
            <w:tcW w:w="1133" w:type="dxa"/>
            <w:shd w:val="clear" w:color="auto" w:fill="E7E6E6" w:themeFill="background2"/>
            <w:noWrap/>
            <w:hideMark/>
          </w:tcPr>
          <w:p w14:paraId="3FAE7B2A" w14:textId="77777777" w:rsidR="00CE75D4" w:rsidRPr="002029AF" w:rsidRDefault="00CE75D4" w:rsidP="000F7378">
            <w:pPr>
              <w:pStyle w:val="ARfintablebodyrightbold"/>
              <w:spacing w:before="30" w:after="10" w:line="252" w:lineRule="auto"/>
            </w:pPr>
            <w:r w:rsidRPr="000147FA">
              <w:t>19,275.5</w:t>
            </w:r>
          </w:p>
        </w:tc>
        <w:tc>
          <w:tcPr>
            <w:tcW w:w="1133" w:type="dxa"/>
            <w:noWrap/>
            <w:hideMark/>
          </w:tcPr>
          <w:p w14:paraId="23B7CBC8" w14:textId="77777777" w:rsidR="00CE75D4" w:rsidRPr="002029AF" w:rsidRDefault="00CE75D4" w:rsidP="000F7378">
            <w:pPr>
              <w:pStyle w:val="ARfintablebodyrightbold"/>
              <w:spacing w:before="30" w:after="10" w:line="252" w:lineRule="auto"/>
            </w:pPr>
            <w:r w:rsidRPr="000147FA">
              <w:t>15,552.7</w:t>
            </w:r>
          </w:p>
        </w:tc>
      </w:tr>
    </w:tbl>
    <w:p w14:paraId="03DF9FA5" w14:textId="02A4703D" w:rsidR="00CE75D4" w:rsidRPr="00E92881" w:rsidDel="008922B5" w:rsidRDefault="00CE75D4" w:rsidP="00E92881">
      <w:pPr>
        <w:pStyle w:val="ARfintablefootnote"/>
        <w:spacing w:before="30" w:after="30"/>
        <w:rPr>
          <w:rFonts w:cs="Arial"/>
          <w:szCs w:val="16"/>
        </w:rPr>
      </w:pPr>
      <w:r w:rsidRPr="00E92881">
        <w:rPr>
          <w:rFonts w:cs="Arial"/>
          <w:szCs w:val="16"/>
          <w:lang w:eastAsia="en-AU"/>
        </w:rPr>
        <w:t>Note</w:t>
      </w:r>
      <w:r w:rsidRPr="00E92881" w:rsidDel="008922B5">
        <w:rPr>
          <w:rFonts w:cs="Arial"/>
          <w:szCs w:val="16"/>
          <w:lang w:eastAsia="en-AU"/>
        </w:rPr>
        <w:t>s:</w:t>
      </w:r>
    </w:p>
    <w:p w14:paraId="34FC2195" w14:textId="50B8D006" w:rsidR="00CE75D4" w:rsidRPr="00216CCB" w:rsidRDefault="00CE75D4" w:rsidP="00216CCB">
      <w:pPr>
        <w:pStyle w:val="ARfintablefootnoteindent"/>
      </w:pPr>
      <w:r w:rsidRPr="00216CCB" w:rsidDel="00CE75D4">
        <w:t>(</w:t>
      </w:r>
      <w:r w:rsidRPr="00216CCB">
        <w:t>i)</w:t>
      </w:r>
      <w:r w:rsidRPr="00216CCB">
        <w:tab/>
        <w:t>For future finance lease and non-cancellable operating lease payments that are recognised on the balance sheet, refer to Note 7.2.</w:t>
      </w:r>
    </w:p>
    <w:p w14:paraId="47A12426" w14:textId="573C80C6" w:rsidR="00CE75D4" w:rsidRPr="00216CCB" w:rsidDel="008922B5" w:rsidRDefault="00CE75D4" w:rsidP="00E92881">
      <w:pPr>
        <w:pStyle w:val="ARfintablefootnoteindent"/>
      </w:pPr>
      <w:r w:rsidRPr="00216CCB">
        <w:t>(ii)</w:t>
      </w:r>
      <w:r w:rsidRPr="00216CCB">
        <w:tab/>
        <w:t>GST is not included in some of the above commitments as they relate to either input taxed or exempt goods and service</w:t>
      </w:r>
      <w:r w:rsidRPr="00216CCB" w:rsidDel="008922B5">
        <w:t>s.</w:t>
      </w:r>
    </w:p>
    <w:p w14:paraId="0BF4A98A" w14:textId="50B8D006" w:rsidR="00CE75D4" w:rsidRPr="00216CCB" w:rsidDel="008922B5" w:rsidRDefault="00CE75D4" w:rsidP="00216CCB">
      <w:pPr>
        <w:pStyle w:val="ARfintablefootnoteindent"/>
      </w:pPr>
      <w:r w:rsidRPr="00216CCB" w:rsidDel="00CE75D4">
        <w:t>(ii</w:t>
      </w:r>
      <w:r w:rsidRPr="00216CCB">
        <w:t>i)</w:t>
      </w:r>
      <w:r w:rsidRPr="00216CCB">
        <w:tab/>
        <w:t xml:space="preserve">The department has an occupancy agreement (ending in June 2023) with the Department of Treasury and Finance Shared Service Provider for office accommodation at various locations across Victoria and other related services, including management fee, repairs and maintenance, cleaning, security, utilities, etc. A significant judgement was made that the occupancy agreement is a service contract (rather than a ‘lease’ as defined in AASB 16 </w:t>
      </w:r>
      <w:r w:rsidRPr="00216CCB">
        <w:rPr>
          <w:i/>
          <w:iCs/>
        </w:rPr>
        <w:t>Leases</w:t>
      </w:r>
      <w:r w:rsidRPr="00216CCB">
        <w:t>). The cost for the accommodation and other related services is expensed (refer to Note 3.1.5) based on the agreed payments as per the occupancy agreemen</w:t>
      </w:r>
      <w:r w:rsidRPr="00216CCB" w:rsidDel="00CE75D4">
        <w:t>t.</w:t>
      </w:r>
    </w:p>
    <w:p w14:paraId="4418BD8B" w14:textId="0DA0A467" w:rsidR="00CE75D4" w:rsidRPr="00216CCB" w:rsidRDefault="00CE75D4" w:rsidP="00216CCB">
      <w:pPr>
        <w:pStyle w:val="ARfintablefootnoteindent"/>
      </w:pPr>
      <w:r w:rsidRPr="00216CCB" w:rsidDel="00CE75D4">
        <w:t>(i</w:t>
      </w:r>
      <w:r w:rsidRPr="00216CCB">
        <w:t>v)</w:t>
      </w:r>
      <w:r w:rsidRPr="00216CCB">
        <w:tab/>
        <w:t>No disclosure in 2021–22 as the PPP is part of the Director of Housing</w:t>
      </w:r>
      <w:r w:rsidR="00C6089A" w:rsidRPr="00216CCB">
        <w:t>,</w:t>
      </w:r>
      <w:r w:rsidRPr="00216CCB">
        <w:t xml:space="preserve"> which was included in the department’s 2020–21 financial statements under s. 53(1)(b) of the FMA.</w:t>
      </w:r>
    </w:p>
    <w:p w14:paraId="042C4FFF" w14:textId="5F2FE0C3" w:rsidR="00CE75D4" w:rsidRDefault="00CE75D4" w:rsidP="008340C1">
      <w:pPr>
        <w:pStyle w:val="Heading6"/>
        <w:spacing w:before="160" w:after="60"/>
      </w:pPr>
      <w:r>
        <w:rPr>
          <w:lang w:eastAsia="en-AU"/>
        </w:rPr>
        <w:t xml:space="preserve">Commissioned </w:t>
      </w:r>
      <w:r w:rsidR="00C6089A" w:rsidRPr="3D493511">
        <w:rPr>
          <w:lang w:eastAsia="en-AU"/>
        </w:rPr>
        <w:t>p</w:t>
      </w:r>
      <w:r w:rsidRPr="3D493511">
        <w:rPr>
          <w:lang w:eastAsia="en-AU"/>
        </w:rPr>
        <w:t>ublic</w:t>
      </w:r>
      <w:r>
        <w:rPr>
          <w:lang w:eastAsia="en-AU"/>
        </w:rPr>
        <w:t xml:space="preserve"> private partnership funding commitments</w:t>
      </w:r>
    </w:p>
    <w:p w14:paraId="33059C97" w14:textId="77777777" w:rsidR="00CE75D4" w:rsidRDefault="00CE75D4" w:rsidP="008340C1">
      <w:pPr>
        <w:pStyle w:val="ARfinbody"/>
      </w:pPr>
      <w:r>
        <w:t>The Minister for Health entered into six long-term contracts with various private sector consortiums for the design, construction, maintenance and financing of hospital infrastructure assets, one for the Royal Women’s Hospital, the Royal Children’s Hospital, the Victorian Comprehensive Cancer Centre (Peter MacCallum Cancer Centre), and Bendigo Hospital (Bendigo Health), and two for Casey Hospital (Monash Health). These arrangements are referred to as public private partnerships (PPPs).</w:t>
      </w:r>
    </w:p>
    <w:p w14:paraId="7955141C" w14:textId="77777777" w:rsidR="00CE75D4" w:rsidRDefault="00CE75D4" w:rsidP="008340C1">
      <w:pPr>
        <w:pStyle w:val="ARfinbody"/>
      </w:pPr>
      <w:r>
        <w:t>The respective health agency is the operator of the PPP infrastructure assets and consequently recognises the associated assets, finance lease liabilities, transactions and commitments to the private sector provider in their own financial statements. For additional information relating to these balances, transactions and commitments (including present value information) refer to the relevant health agencies’ financial reports.</w:t>
      </w:r>
    </w:p>
    <w:p w14:paraId="4FF16C68" w14:textId="77777777" w:rsidR="00CE75D4" w:rsidRDefault="00CE75D4" w:rsidP="008340C1">
      <w:pPr>
        <w:pStyle w:val="ARfinbody"/>
      </w:pPr>
      <w:r>
        <w:t>In the table above, the department has disclosed the total nominal amounts due to the private sector consortiums, as the department has agreed to fund these amounts on behalf of the relevant health sector agencies to satisfy the terms of the PPP arrangements. These amounts include the principal, interest, maintenance and ancillary services payments required over the remaining terms of the contracts. These payments will be funded via appropriation revenue and will be recognised as a grant expense to the health agency.</w:t>
      </w:r>
    </w:p>
    <w:p w14:paraId="7BD8C3BE" w14:textId="77777777" w:rsidR="00CE75D4" w:rsidRPr="000B6970" w:rsidRDefault="00CE75D4" w:rsidP="00130D1C">
      <w:pPr>
        <w:pStyle w:val="Heading5"/>
        <w:rPr>
          <w:lang w:eastAsia="en-AU"/>
        </w:rPr>
      </w:pPr>
      <w:bookmarkStart w:id="617" w:name="_Toc85121507"/>
      <w:r w:rsidRPr="000B6970">
        <w:rPr>
          <w:lang w:eastAsia="en-AU"/>
        </w:rPr>
        <w:t>7.5.2 Public private partnership commitments</w:t>
      </w:r>
      <w:bookmarkEnd w:id="617"/>
    </w:p>
    <w:p w14:paraId="45DA5ACA" w14:textId="77777777" w:rsidR="00CE75D4" w:rsidRDefault="00CE75D4" w:rsidP="008340C1">
      <w:pPr>
        <w:pStyle w:val="ARfinbody"/>
      </w:pPr>
      <w:r>
        <w:t>The department sometimes enters into arrangements with private sector participants to design and construct or upgrade assets used to provide public services. These arrangements usually include the provision of operational and maintenance services for a specified period of time. These arrangements are often referred to as public private partnerships (PPP).</w:t>
      </w:r>
    </w:p>
    <w:p w14:paraId="64D9E081" w14:textId="77777777" w:rsidR="00CE75D4" w:rsidRDefault="00CE75D4" w:rsidP="008340C1">
      <w:pPr>
        <w:pStyle w:val="ARfinbody"/>
      </w:pPr>
      <w:r>
        <w:t>A PPP usually takes one of two main forms. In the more common form, the department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either a lease, a service concession arrangement or construction of an item of property, plant and equipment. The remaining components are accounted for as commitments for operating costs, which are expensed in the comprehensive operating statement as they are incurred. The other, less common form of PPP is one in which the department grants to an operator, for a specified period of time, the right to collect fees from users of the PPP asset, in return for which the operator constructs the asset and has the obligation to supply agreed-upon services, including maintenance of the asset for the period of the concession. These private sector entities typically lease land, and sometimes state works, from the department and construct infrastructure. At the end of the concession period, the land and state works, together with the constructed facilities, will be returned to the department.</w:t>
      </w:r>
    </w:p>
    <w:p w14:paraId="1586AF00" w14:textId="77777777" w:rsidR="00CE75D4" w:rsidRDefault="00CE75D4" w:rsidP="008340C1">
      <w:pPr>
        <w:pStyle w:val="ARfinbody"/>
      </w:pPr>
      <w:r w:rsidRPr="003E10BC">
        <w:t xml:space="preserve">AASB 1059 </w:t>
      </w:r>
      <w:r w:rsidRPr="003E10BC">
        <w:rPr>
          <w:rStyle w:val="Emphasis"/>
        </w:rPr>
        <w:t>Service Concession Arrangements: Grantors</w:t>
      </w:r>
      <w:r>
        <w:t xml:space="preserve"> applies to arrangements where an operator provides public services, using a service concession asset, on behalf of the state and importantly, the operator manages at least some of the public service at its own discretion. The state must also control the asset for AASB 1059 to apply. This means that certain PPP arrangements will not be within the scope of AASB 1059 and will continue to be accounted for as either leases or assets being constructed by the state and conversely, certain arrangements that are not PPP (such as certain external service arrangements) could be captured within the scope of AASB 1059. The department has determined which arrangements should be accounted for under AASB 1059 and details of these are included in Note 7.5.3 below.</w:t>
      </w:r>
    </w:p>
    <w:p w14:paraId="6AF44952" w14:textId="77777777" w:rsidR="00CE75D4" w:rsidRDefault="00CE75D4" w:rsidP="008340C1">
      <w:pPr>
        <w:pStyle w:val="ARfinbody"/>
      </w:pPr>
    </w:p>
    <w:p w14:paraId="38ADC314" w14:textId="77777777" w:rsidR="00CE75D4" w:rsidRDefault="00CE75D4" w:rsidP="008340C1">
      <w:pPr>
        <w:pStyle w:val="Heading6"/>
        <w:sectPr w:rsidR="00CE75D4" w:rsidSect="00130D1C">
          <w:footnotePr>
            <w:numFmt w:val="lowerLetter"/>
            <w:numRestart w:val="eachPage"/>
          </w:footnotePr>
          <w:pgSz w:w="11906" w:h="16838" w:code="9"/>
          <w:pgMar w:top="1531" w:right="1134" w:bottom="851" w:left="1134" w:header="510" w:footer="340" w:gutter="0"/>
          <w:cols w:space="708"/>
          <w:docGrid w:linePitch="360"/>
        </w:sectPr>
      </w:pPr>
    </w:p>
    <w:p w14:paraId="7D21AC81" w14:textId="77777777" w:rsidR="00CE75D4" w:rsidRDefault="00CE75D4" w:rsidP="008340C1">
      <w:pPr>
        <w:pStyle w:val="Heading6"/>
        <w:spacing w:before="0"/>
      </w:pPr>
      <w:r>
        <w:t xml:space="preserve">PPP commitments </w:t>
      </w:r>
      <w:r>
        <w:rPr>
          <w:rStyle w:val="Superscript"/>
          <w:rFonts w:eastAsiaTheme="minorEastAsia"/>
        </w:rPr>
        <w:t>(i)</w:t>
      </w:r>
    </w:p>
    <w:tbl>
      <w:tblPr>
        <w:tblStyle w:val="TableGrid"/>
        <w:tblW w:w="14459" w:type="dxa"/>
        <w:tblLayout w:type="fixed"/>
        <w:tblLook w:val="06A0" w:firstRow="1" w:lastRow="0" w:firstColumn="1" w:lastColumn="0" w:noHBand="1" w:noVBand="1"/>
      </w:tblPr>
      <w:tblGrid>
        <w:gridCol w:w="3103"/>
        <w:gridCol w:w="1411"/>
        <w:gridCol w:w="1412"/>
        <w:gridCol w:w="1413"/>
        <w:gridCol w:w="1413"/>
        <w:gridCol w:w="1413"/>
        <w:gridCol w:w="1413"/>
        <w:gridCol w:w="1413"/>
        <w:gridCol w:w="1468"/>
      </w:tblGrid>
      <w:tr w:rsidR="00CE75D4" w:rsidRPr="004F2124" w14:paraId="31679008" w14:textId="77777777" w:rsidTr="008340C1">
        <w:trPr>
          <w:cnfStyle w:val="100000000000" w:firstRow="1" w:lastRow="0" w:firstColumn="0" w:lastColumn="0" w:oddVBand="0" w:evenVBand="0" w:oddHBand="0" w:evenHBand="0" w:firstRowFirstColumn="0" w:firstRowLastColumn="0" w:lastRowFirstColumn="0" w:lastRowLastColumn="0"/>
          <w:trHeight w:val="255"/>
          <w:tblHeader/>
        </w:trPr>
        <w:tc>
          <w:tcPr>
            <w:tcW w:w="3117" w:type="dxa"/>
            <w:vMerge w:val="restart"/>
          </w:tcPr>
          <w:p w14:paraId="0FE3D3B1" w14:textId="77777777" w:rsidR="00CE75D4" w:rsidRPr="004F2124" w:rsidRDefault="00CE75D4" w:rsidP="008340C1">
            <w:pPr>
              <w:pStyle w:val="ARfintablebodybold"/>
              <w:rPr>
                <w:sz w:val="16"/>
              </w:rPr>
            </w:pPr>
          </w:p>
        </w:tc>
        <w:tc>
          <w:tcPr>
            <w:tcW w:w="5670" w:type="dxa"/>
            <w:gridSpan w:val="4"/>
            <w:tcBorders>
              <w:top w:val="nil"/>
            </w:tcBorders>
            <w:shd w:val="clear" w:color="auto" w:fill="E7E6E6"/>
            <w:noWrap/>
          </w:tcPr>
          <w:p w14:paraId="323CE653" w14:textId="77777777" w:rsidR="00CE75D4" w:rsidRPr="004F2124" w:rsidRDefault="00CE75D4" w:rsidP="008340C1">
            <w:pPr>
              <w:pStyle w:val="ARfintablecolheadcentre"/>
            </w:pPr>
            <w:r>
              <w:t>2022</w:t>
            </w:r>
          </w:p>
        </w:tc>
        <w:tc>
          <w:tcPr>
            <w:tcW w:w="1474" w:type="dxa"/>
            <w:gridSpan w:val="4"/>
          </w:tcPr>
          <w:p w14:paraId="655CBA65" w14:textId="77777777" w:rsidR="00CE75D4" w:rsidRPr="004F2124" w:rsidRDefault="00CE75D4" w:rsidP="008340C1">
            <w:pPr>
              <w:pStyle w:val="ARfintablecolheadcentre"/>
            </w:pPr>
            <w:r>
              <w:t>2021</w:t>
            </w:r>
          </w:p>
        </w:tc>
      </w:tr>
      <w:tr w:rsidR="00CE75D4" w:rsidRPr="004F2124" w14:paraId="26DB5109" w14:textId="77777777" w:rsidTr="008340C1">
        <w:trPr>
          <w:cnfStyle w:val="100000000000" w:firstRow="1" w:lastRow="0" w:firstColumn="0" w:lastColumn="0" w:oddVBand="0" w:evenVBand="0" w:oddHBand="0" w:evenHBand="0" w:firstRowFirstColumn="0" w:firstRowLastColumn="0" w:lastRowFirstColumn="0" w:lastRowLastColumn="0"/>
          <w:trHeight w:val="255"/>
          <w:tblHeader/>
        </w:trPr>
        <w:tc>
          <w:tcPr>
            <w:tcW w:w="3117" w:type="dxa"/>
            <w:vMerge/>
          </w:tcPr>
          <w:p w14:paraId="6D0D467D" w14:textId="77777777" w:rsidR="00CE75D4" w:rsidRPr="004F2124" w:rsidRDefault="00CE75D4" w:rsidP="008340C1">
            <w:pPr>
              <w:pStyle w:val="ARfintablebody"/>
              <w:rPr>
                <w:sz w:val="16"/>
              </w:rPr>
            </w:pPr>
          </w:p>
        </w:tc>
        <w:tc>
          <w:tcPr>
            <w:tcW w:w="1417" w:type="dxa"/>
            <w:tcBorders>
              <w:top w:val="single" w:sz="4" w:space="0" w:color="auto"/>
              <w:right w:val="nil"/>
            </w:tcBorders>
            <w:shd w:val="clear" w:color="auto" w:fill="E7E6E6"/>
            <w:noWrap/>
          </w:tcPr>
          <w:p w14:paraId="31562378" w14:textId="77777777" w:rsidR="00CE75D4" w:rsidRPr="004F2124" w:rsidRDefault="00CE75D4" w:rsidP="008340C1">
            <w:pPr>
              <w:pStyle w:val="ARfintablebodyrightbold"/>
              <w:rPr>
                <w:sz w:val="16"/>
              </w:rPr>
            </w:pPr>
            <w:r>
              <w:t>Liability</w:t>
            </w:r>
          </w:p>
        </w:tc>
        <w:tc>
          <w:tcPr>
            <w:tcW w:w="1417" w:type="dxa"/>
            <w:tcBorders>
              <w:top w:val="single" w:sz="4" w:space="0" w:color="auto"/>
              <w:left w:val="nil"/>
              <w:right w:val="nil"/>
            </w:tcBorders>
            <w:shd w:val="clear" w:color="auto" w:fill="E7E6E6"/>
            <w:noWrap/>
          </w:tcPr>
          <w:p w14:paraId="509B8863" w14:textId="77777777" w:rsidR="00CE75D4" w:rsidRPr="004F2124" w:rsidRDefault="00CE75D4" w:rsidP="008340C1">
            <w:pPr>
              <w:pStyle w:val="ARfintablebodyrightbold"/>
              <w:rPr>
                <w:sz w:val="16"/>
              </w:rPr>
            </w:pPr>
            <w:r>
              <w:t>Capital contribution</w:t>
            </w:r>
          </w:p>
        </w:tc>
        <w:tc>
          <w:tcPr>
            <w:tcW w:w="1418" w:type="dxa"/>
            <w:tcBorders>
              <w:top w:val="single" w:sz="4" w:space="0" w:color="auto"/>
              <w:left w:val="nil"/>
              <w:right w:val="nil"/>
            </w:tcBorders>
            <w:shd w:val="clear" w:color="auto" w:fill="E7E6E6"/>
            <w:noWrap/>
          </w:tcPr>
          <w:p w14:paraId="79CC16FA" w14:textId="77777777" w:rsidR="00CE75D4" w:rsidRPr="004F2124" w:rsidRDefault="00CE75D4" w:rsidP="008340C1">
            <w:pPr>
              <w:pStyle w:val="ARfintablebodyrightbold"/>
              <w:rPr>
                <w:sz w:val="16"/>
              </w:rPr>
            </w:pPr>
            <w:r>
              <w:t>Other commitments</w:t>
            </w:r>
          </w:p>
        </w:tc>
        <w:tc>
          <w:tcPr>
            <w:tcW w:w="1418" w:type="dxa"/>
            <w:tcBorders>
              <w:top w:val="single" w:sz="4" w:space="0" w:color="auto"/>
              <w:left w:val="nil"/>
            </w:tcBorders>
            <w:shd w:val="clear" w:color="auto" w:fill="E7E6E6"/>
            <w:noWrap/>
          </w:tcPr>
          <w:p w14:paraId="259A6CEF" w14:textId="77777777" w:rsidR="00CE75D4" w:rsidRPr="004F2124" w:rsidRDefault="00CE75D4" w:rsidP="008340C1">
            <w:pPr>
              <w:pStyle w:val="ARfintablebodyrightbold"/>
              <w:rPr>
                <w:sz w:val="16"/>
              </w:rPr>
            </w:pPr>
            <w:r>
              <w:t>Total commitments</w:t>
            </w:r>
          </w:p>
        </w:tc>
        <w:tc>
          <w:tcPr>
            <w:tcW w:w="1418" w:type="dxa"/>
          </w:tcPr>
          <w:p w14:paraId="3051C6E5" w14:textId="77777777" w:rsidR="00CE75D4" w:rsidRPr="004F2124" w:rsidRDefault="00CE75D4" w:rsidP="008340C1">
            <w:pPr>
              <w:pStyle w:val="ARfintablebodyrightbold"/>
            </w:pPr>
            <w:r>
              <w:t>Liability</w:t>
            </w:r>
          </w:p>
        </w:tc>
        <w:tc>
          <w:tcPr>
            <w:tcW w:w="1418" w:type="dxa"/>
          </w:tcPr>
          <w:p w14:paraId="4C481043" w14:textId="77777777" w:rsidR="00CE75D4" w:rsidRPr="004F2124" w:rsidRDefault="00CE75D4" w:rsidP="008340C1">
            <w:pPr>
              <w:pStyle w:val="ARfintablebodyrightbold"/>
            </w:pPr>
            <w:r>
              <w:t>Capital contribution</w:t>
            </w:r>
          </w:p>
        </w:tc>
        <w:tc>
          <w:tcPr>
            <w:tcW w:w="1418" w:type="dxa"/>
          </w:tcPr>
          <w:p w14:paraId="03A4C8B7" w14:textId="77777777" w:rsidR="00CE75D4" w:rsidRPr="004F2124" w:rsidRDefault="00CE75D4" w:rsidP="008340C1">
            <w:pPr>
              <w:pStyle w:val="ARfintablebodyrightbold"/>
            </w:pPr>
            <w:r>
              <w:t>Other commitments</w:t>
            </w:r>
          </w:p>
        </w:tc>
        <w:tc>
          <w:tcPr>
            <w:tcW w:w="1474" w:type="dxa"/>
          </w:tcPr>
          <w:p w14:paraId="63B4B6F2" w14:textId="77777777" w:rsidR="00CE75D4" w:rsidRPr="004F2124" w:rsidRDefault="00CE75D4" w:rsidP="008340C1">
            <w:pPr>
              <w:pStyle w:val="ARfintablebodyrightbold"/>
            </w:pPr>
            <w:r>
              <w:t>Total commitments</w:t>
            </w:r>
          </w:p>
        </w:tc>
      </w:tr>
      <w:tr w:rsidR="00CE75D4" w:rsidRPr="004F2124" w14:paraId="631FE85F" w14:textId="77777777" w:rsidTr="008340C1">
        <w:trPr>
          <w:cnfStyle w:val="100000000000" w:firstRow="1" w:lastRow="0" w:firstColumn="0" w:lastColumn="0" w:oddVBand="0" w:evenVBand="0" w:oddHBand="0" w:evenHBand="0" w:firstRowFirstColumn="0" w:firstRowLastColumn="0" w:lastRowFirstColumn="0" w:lastRowLastColumn="0"/>
          <w:trHeight w:val="255"/>
          <w:tblHeader/>
        </w:trPr>
        <w:tc>
          <w:tcPr>
            <w:tcW w:w="3117" w:type="dxa"/>
            <w:vMerge/>
            <w:tcBorders>
              <w:bottom w:val="single" w:sz="4" w:space="0" w:color="auto"/>
            </w:tcBorders>
          </w:tcPr>
          <w:p w14:paraId="46C0880E" w14:textId="77777777" w:rsidR="00CE75D4" w:rsidRPr="004F2124" w:rsidRDefault="00CE75D4" w:rsidP="008340C1">
            <w:pPr>
              <w:pStyle w:val="ARfintablebody"/>
              <w:rPr>
                <w:sz w:val="16"/>
              </w:rPr>
            </w:pPr>
          </w:p>
        </w:tc>
        <w:tc>
          <w:tcPr>
            <w:tcW w:w="1417" w:type="dxa"/>
            <w:tcBorders>
              <w:top w:val="single" w:sz="4" w:space="0" w:color="auto"/>
              <w:bottom w:val="single" w:sz="4" w:space="0" w:color="auto"/>
              <w:right w:val="nil"/>
            </w:tcBorders>
            <w:shd w:val="clear" w:color="auto" w:fill="E7E6E6"/>
            <w:noWrap/>
          </w:tcPr>
          <w:p w14:paraId="63306D5B" w14:textId="77777777" w:rsidR="00CE75D4" w:rsidRDefault="00CE75D4" w:rsidP="008340C1">
            <w:pPr>
              <w:pStyle w:val="ARfintablebodyrightbold"/>
            </w:pPr>
            <w:r>
              <w:t>Discounted value</w:t>
            </w:r>
          </w:p>
          <w:p w14:paraId="53E027F4" w14:textId="77777777" w:rsidR="00CE75D4" w:rsidRPr="004F2124" w:rsidRDefault="00CE75D4" w:rsidP="008340C1">
            <w:pPr>
              <w:pStyle w:val="ARfintablebodyrightbold"/>
              <w:rPr>
                <w:sz w:val="16"/>
              </w:rPr>
            </w:pPr>
            <w:r>
              <w:t>$M</w:t>
            </w:r>
          </w:p>
        </w:tc>
        <w:tc>
          <w:tcPr>
            <w:tcW w:w="1417" w:type="dxa"/>
            <w:tcBorders>
              <w:top w:val="single" w:sz="4" w:space="0" w:color="auto"/>
              <w:left w:val="nil"/>
              <w:bottom w:val="single" w:sz="4" w:space="0" w:color="auto"/>
              <w:right w:val="nil"/>
            </w:tcBorders>
            <w:shd w:val="clear" w:color="auto" w:fill="E7E6E6"/>
            <w:noWrap/>
          </w:tcPr>
          <w:p w14:paraId="5969AB0F" w14:textId="77777777" w:rsidR="00CE75D4" w:rsidRDefault="00CE75D4" w:rsidP="008340C1">
            <w:pPr>
              <w:pStyle w:val="ARfintablebodyrightbold"/>
            </w:pPr>
            <w:r>
              <w:t>Nominal value</w:t>
            </w:r>
          </w:p>
          <w:p w14:paraId="45D43C1C" w14:textId="77777777" w:rsidR="00CE75D4" w:rsidRPr="004F2124" w:rsidRDefault="00CE75D4" w:rsidP="008340C1">
            <w:pPr>
              <w:pStyle w:val="ARfintablebodyrightbold"/>
              <w:rPr>
                <w:sz w:val="16"/>
              </w:rPr>
            </w:pPr>
            <w:r>
              <w:t>$M</w:t>
            </w:r>
          </w:p>
        </w:tc>
        <w:tc>
          <w:tcPr>
            <w:tcW w:w="1418" w:type="dxa"/>
            <w:tcBorders>
              <w:top w:val="single" w:sz="4" w:space="0" w:color="auto"/>
              <w:left w:val="nil"/>
              <w:bottom w:val="single" w:sz="4" w:space="0" w:color="auto"/>
              <w:right w:val="nil"/>
            </w:tcBorders>
            <w:shd w:val="clear" w:color="auto" w:fill="E7E6E6"/>
            <w:noWrap/>
          </w:tcPr>
          <w:p w14:paraId="7A12D9F5" w14:textId="77777777" w:rsidR="00CE75D4" w:rsidRDefault="00CE75D4" w:rsidP="008340C1">
            <w:pPr>
              <w:pStyle w:val="ARfintablebodyrightbold"/>
            </w:pPr>
            <w:r>
              <w:t xml:space="preserve">Present </w:t>
            </w:r>
            <w:r>
              <w:br/>
              <w:t>value</w:t>
            </w:r>
          </w:p>
          <w:p w14:paraId="40407966" w14:textId="77777777" w:rsidR="00CE75D4" w:rsidRPr="004F2124" w:rsidRDefault="00CE75D4" w:rsidP="008340C1">
            <w:pPr>
              <w:pStyle w:val="ARfintablebodyrightbold"/>
              <w:rPr>
                <w:sz w:val="16"/>
              </w:rPr>
            </w:pPr>
            <w:r>
              <w:t>$M</w:t>
            </w:r>
          </w:p>
        </w:tc>
        <w:tc>
          <w:tcPr>
            <w:tcW w:w="1418" w:type="dxa"/>
            <w:tcBorders>
              <w:top w:val="single" w:sz="4" w:space="0" w:color="auto"/>
              <w:left w:val="nil"/>
              <w:bottom w:val="single" w:sz="4" w:space="0" w:color="auto"/>
            </w:tcBorders>
            <w:shd w:val="clear" w:color="auto" w:fill="E7E6E6"/>
            <w:noWrap/>
          </w:tcPr>
          <w:p w14:paraId="047E1F64" w14:textId="77777777" w:rsidR="00CE75D4" w:rsidRDefault="00CE75D4" w:rsidP="008340C1">
            <w:pPr>
              <w:pStyle w:val="ARfintablebodyrightbold"/>
            </w:pPr>
            <w:r>
              <w:t>Nominal value</w:t>
            </w:r>
          </w:p>
          <w:p w14:paraId="7586F0ED" w14:textId="77777777" w:rsidR="00CE75D4" w:rsidRPr="004F2124" w:rsidRDefault="00CE75D4" w:rsidP="008340C1">
            <w:pPr>
              <w:pStyle w:val="ARfintablebodyrightbold"/>
              <w:rPr>
                <w:sz w:val="16"/>
              </w:rPr>
            </w:pPr>
            <w:r>
              <w:t>$M</w:t>
            </w:r>
          </w:p>
        </w:tc>
        <w:tc>
          <w:tcPr>
            <w:tcW w:w="1418" w:type="dxa"/>
            <w:tcBorders>
              <w:bottom w:val="single" w:sz="4" w:space="0" w:color="auto"/>
            </w:tcBorders>
          </w:tcPr>
          <w:p w14:paraId="54D5BDBD" w14:textId="77777777" w:rsidR="00CE75D4" w:rsidRDefault="00CE75D4" w:rsidP="008340C1">
            <w:pPr>
              <w:pStyle w:val="ARfintablebodyrightbold"/>
            </w:pPr>
            <w:r>
              <w:t>Discounted value</w:t>
            </w:r>
          </w:p>
          <w:p w14:paraId="26DCEF6D" w14:textId="77777777" w:rsidR="00CE75D4" w:rsidRPr="004F2124" w:rsidRDefault="00CE75D4" w:rsidP="008340C1">
            <w:pPr>
              <w:pStyle w:val="ARfintablebodyrightbold"/>
            </w:pPr>
            <w:r>
              <w:t>$M</w:t>
            </w:r>
          </w:p>
        </w:tc>
        <w:tc>
          <w:tcPr>
            <w:tcW w:w="1418" w:type="dxa"/>
            <w:tcBorders>
              <w:bottom w:val="single" w:sz="4" w:space="0" w:color="auto"/>
            </w:tcBorders>
          </w:tcPr>
          <w:p w14:paraId="04D9F46E" w14:textId="77777777" w:rsidR="00CE75D4" w:rsidRDefault="00CE75D4" w:rsidP="008340C1">
            <w:pPr>
              <w:pStyle w:val="ARfintablebodyrightbold"/>
            </w:pPr>
            <w:r>
              <w:t>Nominal value</w:t>
            </w:r>
          </w:p>
          <w:p w14:paraId="3882CC8B" w14:textId="77777777" w:rsidR="00CE75D4" w:rsidRPr="004F2124" w:rsidRDefault="00CE75D4" w:rsidP="008340C1">
            <w:pPr>
              <w:pStyle w:val="ARfintablebodyrightbold"/>
            </w:pPr>
            <w:r>
              <w:t>$M</w:t>
            </w:r>
          </w:p>
        </w:tc>
        <w:tc>
          <w:tcPr>
            <w:tcW w:w="1418" w:type="dxa"/>
            <w:tcBorders>
              <w:bottom w:val="single" w:sz="4" w:space="0" w:color="auto"/>
            </w:tcBorders>
          </w:tcPr>
          <w:p w14:paraId="0CEDCD43" w14:textId="77777777" w:rsidR="00CE75D4" w:rsidRDefault="00CE75D4" w:rsidP="008340C1">
            <w:pPr>
              <w:pStyle w:val="ARfintablebodyrightbold"/>
            </w:pPr>
            <w:r>
              <w:t xml:space="preserve">Present </w:t>
            </w:r>
            <w:r>
              <w:br/>
              <w:t>value</w:t>
            </w:r>
          </w:p>
          <w:p w14:paraId="19E831DF" w14:textId="77777777" w:rsidR="00CE75D4" w:rsidRPr="004F2124" w:rsidRDefault="00CE75D4" w:rsidP="008340C1">
            <w:pPr>
              <w:pStyle w:val="ARfintablebodyrightbold"/>
            </w:pPr>
            <w:r>
              <w:t>$M</w:t>
            </w:r>
          </w:p>
        </w:tc>
        <w:tc>
          <w:tcPr>
            <w:tcW w:w="1474" w:type="dxa"/>
            <w:tcBorders>
              <w:bottom w:val="single" w:sz="4" w:space="0" w:color="auto"/>
            </w:tcBorders>
          </w:tcPr>
          <w:p w14:paraId="7BCE0A21" w14:textId="77777777" w:rsidR="00CE75D4" w:rsidRDefault="00CE75D4" w:rsidP="008340C1">
            <w:pPr>
              <w:pStyle w:val="ARfintablebodyrightbold"/>
            </w:pPr>
            <w:r>
              <w:t xml:space="preserve">Nominal </w:t>
            </w:r>
            <w:r>
              <w:br/>
              <w:t>value</w:t>
            </w:r>
          </w:p>
          <w:p w14:paraId="2A679730" w14:textId="77777777" w:rsidR="00CE75D4" w:rsidRPr="004F2124" w:rsidRDefault="00CE75D4" w:rsidP="008340C1">
            <w:pPr>
              <w:pStyle w:val="ARfintablebodyrightbold"/>
            </w:pPr>
            <w:r>
              <w:t>$M</w:t>
            </w:r>
          </w:p>
        </w:tc>
      </w:tr>
      <w:tr w:rsidR="00CE75D4" w:rsidRPr="004F2124" w14:paraId="788F5A8E" w14:textId="77777777" w:rsidTr="008340C1">
        <w:trPr>
          <w:cantSplit w:val="0"/>
          <w:trHeight w:val="255"/>
        </w:trPr>
        <w:tc>
          <w:tcPr>
            <w:tcW w:w="1474" w:type="dxa"/>
            <w:gridSpan w:val="9"/>
            <w:tcBorders>
              <w:top w:val="single" w:sz="4" w:space="0" w:color="auto"/>
              <w:bottom w:val="single" w:sz="4" w:space="0" w:color="A6A6A6"/>
            </w:tcBorders>
          </w:tcPr>
          <w:p w14:paraId="5A227FD8" w14:textId="77777777" w:rsidR="00CE75D4" w:rsidRPr="00851604" w:rsidRDefault="00CE75D4" w:rsidP="008340C1">
            <w:pPr>
              <w:pStyle w:val="ARfintablebodybold"/>
              <w:rPr>
                <w:szCs w:val="18"/>
              </w:rPr>
            </w:pPr>
            <w:r w:rsidRPr="00FA47EA">
              <w:t>Uncommissioned PPP</w:t>
            </w:r>
            <w:r>
              <w:t>s</w:t>
            </w:r>
            <w:r w:rsidRPr="00FA47EA">
              <w:t xml:space="preserve"> </w:t>
            </w:r>
            <w:r w:rsidRPr="00851604">
              <w:rPr>
                <w:rStyle w:val="Superscript"/>
              </w:rPr>
              <w:t>(ii)(iii)(iv)</w:t>
            </w:r>
          </w:p>
        </w:tc>
      </w:tr>
      <w:tr w:rsidR="00CE75D4" w:rsidRPr="004F2124" w14:paraId="0CBA0D65" w14:textId="77777777" w:rsidTr="008340C1">
        <w:trPr>
          <w:cantSplit w:val="0"/>
          <w:trHeight w:val="255"/>
        </w:trPr>
        <w:tc>
          <w:tcPr>
            <w:tcW w:w="3117" w:type="dxa"/>
            <w:tcBorders>
              <w:top w:val="single" w:sz="4" w:space="0" w:color="A6A6A6"/>
              <w:bottom w:val="single" w:sz="4" w:space="0" w:color="A6A6A6"/>
            </w:tcBorders>
            <w:hideMark/>
          </w:tcPr>
          <w:p w14:paraId="2E91F8AA" w14:textId="77777777" w:rsidR="00CE75D4" w:rsidRPr="00851604" w:rsidRDefault="00CE75D4" w:rsidP="008340C1">
            <w:pPr>
              <w:pStyle w:val="ARfintablebody"/>
              <w:rPr>
                <w:szCs w:val="18"/>
                <w:lang w:eastAsia="en-US"/>
              </w:rPr>
            </w:pPr>
            <w:r w:rsidRPr="00FA47EA">
              <w:t xml:space="preserve">New Footscray Hospital </w:t>
            </w:r>
            <w:r w:rsidRPr="00851604">
              <w:rPr>
                <w:rStyle w:val="Superscript"/>
              </w:rPr>
              <w:t>(v)(vi)</w:t>
            </w:r>
          </w:p>
        </w:tc>
        <w:tc>
          <w:tcPr>
            <w:tcW w:w="1417" w:type="dxa"/>
            <w:tcBorders>
              <w:top w:val="single" w:sz="4" w:space="0" w:color="A6A6A6"/>
              <w:bottom w:val="single" w:sz="4" w:space="0" w:color="A6A6A6"/>
              <w:right w:val="nil"/>
            </w:tcBorders>
            <w:shd w:val="clear" w:color="auto" w:fill="E7E6E6"/>
            <w:noWrap/>
            <w:hideMark/>
          </w:tcPr>
          <w:p w14:paraId="30FD6DFF" w14:textId="77777777" w:rsidR="00CE75D4" w:rsidRPr="00851604" w:rsidRDefault="00CE75D4" w:rsidP="008340C1">
            <w:pPr>
              <w:pStyle w:val="ARfintablebodyright"/>
              <w:rPr>
                <w:szCs w:val="18"/>
              </w:rPr>
            </w:pPr>
            <w:r w:rsidRPr="00FA47EA">
              <w:t>1,343.1</w:t>
            </w:r>
          </w:p>
        </w:tc>
        <w:tc>
          <w:tcPr>
            <w:tcW w:w="1417" w:type="dxa"/>
            <w:tcBorders>
              <w:top w:val="single" w:sz="4" w:space="0" w:color="A6A6A6"/>
              <w:left w:val="nil"/>
              <w:bottom w:val="single" w:sz="4" w:space="0" w:color="A6A6A6"/>
              <w:right w:val="nil"/>
            </w:tcBorders>
            <w:shd w:val="clear" w:color="auto" w:fill="E7E6E6"/>
            <w:noWrap/>
            <w:hideMark/>
          </w:tcPr>
          <w:p w14:paraId="05719A1F" w14:textId="77777777" w:rsidR="00CE75D4" w:rsidRPr="00851604" w:rsidRDefault="00CE75D4" w:rsidP="008340C1">
            <w:pPr>
              <w:pStyle w:val="ARfintablebodyright"/>
              <w:rPr>
                <w:szCs w:val="18"/>
              </w:rPr>
            </w:pPr>
            <w:r w:rsidRPr="00FA47EA">
              <w:t>573.0</w:t>
            </w:r>
          </w:p>
        </w:tc>
        <w:tc>
          <w:tcPr>
            <w:tcW w:w="1418" w:type="dxa"/>
            <w:tcBorders>
              <w:top w:val="single" w:sz="4" w:space="0" w:color="A6A6A6"/>
              <w:left w:val="nil"/>
              <w:bottom w:val="single" w:sz="4" w:space="0" w:color="A6A6A6"/>
              <w:right w:val="nil"/>
            </w:tcBorders>
            <w:shd w:val="clear" w:color="auto" w:fill="E7E6E6"/>
            <w:noWrap/>
            <w:hideMark/>
          </w:tcPr>
          <w:p w14:paraId="72323980" w14:textId="77777777" w:rsidR="00CE75D4" w:rsidRPr="00851604" w:rsidRDefault="00CE75D4" w:rsidP="008340C1">
            <w:pPr>
              <w:pStyle w:val="ARfintablebodyright"/>
              <w:rPr>
                <w:szCs w:val="18"/>
              </w:rPr>
            </w:pPr>
            <w:r w:rsidRPr="00FA47EA">
              <w:t>1,055.6</w:t>
            </w:r>
          </w:p>
        </w:tc>
        <w:tc>
          <w:tcPr>
            <w:tcW w:w="1418" w:type="dxa"/>
            <w:tcBorders>
              <w:top w:val="single" w:sz="4" w:space="0" w:color="A6A6A6"/>
              <w:left w:val="nil"/>
              <w:bottom w:val="single" w:sz="4" w:space="0" w:color="A6A6A6"/>
            </w:tcBorders>
            <w:shd w:val="clear" w:color="auto" w:fill="E7E6E6"/>
            <w:noWrap/>
            <w:hideMark/>
          </w:tcPr>
          <w:p w14:paraId="0BD4E415" w14:textId="77777777" w:rsidR="00CE75D4" w:rsidRPr="00851604" w:rsidRDefault="00CE75D4" w:rsidP="008340C1">
            <w:pPr>
              <w:pStyle w:val="ARfintablebodyright"/>
              <w:rPr>
                <w:szCs w:val="18"/>
              </w:rPr>
            </w:pPr>
            <w:r w:rsidRPr="00FA47EA">
              <w:t>5,709.1</w:t>
            </w:r>
          </w:p>
        </w:tc>
        <w:tc>
          <w:tcPr>
            <w:tcW w:w="1418" w:type="dxa"/>
            <w:tcBorders>
              <w:top w:val="single" w:sz="4" w:space="0" w:color="A6A6A6"/>
              <w:bottom w:val="single" w:sz="4" w:space="0" w:color="A6A6A6"/>
            </w:tcBorders>
          </w:tcPr>
          <w:p w14:paraId="013EA16C" w14:textId="77777777" w:rsidR="00CE75D4" w:rsidRPr="00851604" w:rsidRDefault="00CE75D4" w:rsidP="008340C1">
            <w:pPr>
              <w:pStyle w:val="ARfintablebodyright"/>
              <w:rPr>
                <w:szCs w:val="18"/>
              </w:rPr>
            </w:pPr>
            <w:r w:rsidRPr="00FA47EA">
              <w:t>1,646.1</w:t>
            </w:r>
          </w:p>
        </w:tc>
        <w:tc>
          <w:tcPr>
            <w:tcW w:w="1418" w:type="dxa"/>
            <w:tcBorders>
              <w:top w:val="single" w:sz="4" w:space="0" w:color="A6A6A6"/>
              <w:bottom w:val="single" w:sz="4" w:space="0" w:color="A6A6A6"/>
            </w:tcBorders>
          </w:tcPr>
          <w:p w14:paraId="5AC34AA7" w14:textId="77777777" w:rsidR="00CE75D4" w:rsidRPr="00851604" w:rsidRDefault="00CE75D4" w:rsidP="008340C1">
            <w:pPr>
              <w:pStyle w:val="ARfintablebodyright"/>
              <w:rPr>
                <w:szCs w:val="18"/>
              </w:rPr>
            </w:pPr>
            <w:r w:rsidRPr="00FA47EA">
              <w:t>573.0</w:t>
            </w:r>
          </w:p>
        </w:tc>
        <w:tc>
          <w:tcPr>
            <w:tcW w:w="1418" w:type="dxa"/>
            <w:tcBorders>
              <w:top w:val="single" w:sz="4" w:space="0" w:color="A6A6A6"/>
              <w:bottom w:val="single" w:sz="4" w:space="0" w:color="A6A6A6"/>
            </w:tcBorders>
          </w:tcPr>
          <w:p w14:paraId="1113DF22" w14:textId="77777777" w:rsidR="00CE75D4" w:rsidRPr="00851604" w:rsidRDefault="00CE75D4" w:rsidP="008340C1">
            <w:pPr>
              <w:pStyle w:val="ARfintablebodyright"/>
              <w:rPr>
                <w:szCs w:val="18"/>
              </w:rPr>
            </w:pPr>
            <w:r w:rsidRPr="00FA47EA">
              <w:t>1,335.0</w:t>
            </w:r>
          </w:p>
        </w:tc>
        <w:tc>
          <w:tcPr>
            <w:tcW w:w="1474" w:type="dxa"/>
            <w:tcBorders>
              <w:top w:val="single" w:sz="4" w:space="0" w:color="A6A6A6"/>
              <w:bottom w:val="single" w:sz="4" w:space="0" w:color="A6A6A6"/>
            </w:tcBorders>
          </w:tcPr>
          <w:p w14:paraId="4263E0F6" w14:textId="77777777" w:rsidR="00CE75D4" w:rsidRPr="00851604" w:rsidRDefault="00CE75D4" w:rsidP="008340C1">
            <w:pPr>
              <w:pStyle w:val="ARfintablebodyright"/>
              <w:rPr>
                <w:szCs w:val="18"/>
              </w:rPr>
            </w:pPr>
            <w:r w:rsidRPr="00FA47EA">
              <w:t>6,372.5</w:t>
            </w:r>
          </w:p>
        </w:tc>
      </w:tr>
      <w:tr w:rsidR="00CE75D4" w:rsidRPr="004F2124" w14:paraId="4C632FB2" w14:textId="77777777" w:rsidTr="008340C1">
        <w:trPr>
          <w:cantSplit w:val="0"/>
          <w:trHeight w:val="255"/>
        </w:trPr>
        <w:tc>
          <w:tcPr>
            <w:tcW w:w="3117" w:type="dxa"/>
            <w:tcBorders>
              <w:top w:val="single" w:sz="4" w:space="0" w:color="A6A6A6"/>
              <w:bottom w:val="single" w:sz="4" w:space="0" w:color="A6A6A6"/>
            </w:tcBorders>
            <w:hideMark/>
          </w:tcPr>
          <w:p w14:paraId="58A08EDE" w14:textId="77777777" w:rsidR="00CE75D4" w:rsidRPr="00851604" w:rsidRDefault="00CE75D4" w:rsidP="008340C1">
            <w:pPr>
              <w:pStyle w:val="ARfintablebody"/>
              <w:rPr>
                <w:szCs w:val="18"/>
              </w:rPr>
            </w:pPr>
            <w:r w:rsidRPr="00FA47EA">
              <w:t>Frankston Hospital Redevelopment</w:t>
            </w:r>
            <w:r>
              <w:t> </w:t>
            </w:r>
            <w:r w:rsidRPr="00851604">
              <w:rPr>
                <w:rStyle w:val="Superscript"/>
              </w:rPr>
              <w:t>(vii)</w:t>
            </w:r>
          </w:p>
        </w:tc>
        <w:tc>
          <w:tcPr>
            <w:tcW w:w="1417" w:type="dxa"/>
            <w:tcBorders>
              <w:top w:val="single" w:sz="4" w:space="0" w:color="A6A6A6"/>
              <w:bottom w:val="single" w:sz="4" w:space="0" w:color="A6A6A6"/>
              <w:right w:val="nil"/>
            </w:tcBorders>
            <w:shd w:val="clear" w:color="auto" w:fill="E7E6E6"/>
            <w:noWrap/>
            <w:hideMark/>
          </w:tcPr>
          <w:p w14:paraId="2295B6D0" w14:textId="77777777" w:rsidR="00CE75D4" w:rsidRPr="00851604" w:rsidRDefault="00CE75D4" w:rsidP="008340C1">
            <w:pPr>
              <w:pStyle w:val="ARfintablebodyright"/>
              <w:rPr>
                <w:szCs w:val="18"/>
              </w:rPr>
            </w:pPr>
            <w:r w:rsidRPr="00FA47EA">
              <w:t>1,125.2</w:t>
            </w:r>
          </w:p>
        </w:tc>
        <w:tc>
          <w:tcPr>
            <w:tcW w:w="1417" w:type="dxa"/>
            <w:tcBorders>
              <w:top w:val="single" w:sz="4" w:space="0" w:color="A6A6A6"/>
              <w:left w:val="nil"/>
              <w:bottom w:val="single" w:sz="4" w:space="0" w:color="A6A6A6"/>
              <w:right w:val="nil"/>
            </w:tcBorders>
            <w:shd w:val="clear" w:color="auto" w:fill="E7E6E6"/>
            <w:noWrap/>
            <w:hideMark/>
          </w:tcPr>
          <w:p w14:paraId="64930D12" w14:textId="77777777" w:rsidR="00CE75D4" w:rsidRPr="00851604" w:rsidRDefault="00CE75D4" w:rsidP="008340C1">
            <w:pPr>
              <w:pStyle w:val="ARfintablebodyright"/>
              <w:rPr>
                <w:szCs w:val="18"/>
              </w:rPr>
            </w:pPr>
            <w:r>
              <w:t>–</w:t>
            </w:r>
          </w:p>
        </w:tc>
        <w:tc>
          <w:tcPr>
            <w:tcW w:w="1418" w:type="dxa"/>
            <w:tcBorders>
              <w:top w:val="single" w:sz="4" w:space="0" w:color="A6A6A6"/>
              <w:left w:val="nil"/>
              <w:bottom w:val="single" w:sz="4" w:space="0" w:color="A6A6A6"/>
              <w:right w:val="nil"/>
            </w:tcBorders>
            <w:shd w:val="clear" w:color="auto" w:fill="E7E6E6"/>
            <w:noWrap/>
            <w:hideMark/>
          </w:tcPr>
          <w:p w14:paraId="78695EA0" w14:textId="77777777" w:rsidR="00CE75D4" w:rsidRPr="00851604" w:rsidRDefault="00CE75D4" w:rsidP="008340C1">
            <w:pPr>
              <w:pStyle w:val="ARfintablebodyright"/>
              <w:rPr>
                <w:szCs w:val="18"/>
              </w:rPr>
            </w:pPr>
            <w:r w:rsidRPr="00FA47EA">
              <w:t>937.3</w:t>
            </w:r>
          </w:p>
        </w:tc>
        <w:tc>
          <w:tcPr>
            <w:tcW w:w="1418" w:type="dxa"/>
            <w:tcBorders>
              <w:top w:val="single" w:sz="4" w:space="0" w:color="A6A6A6"/>
              <w:left w:val="nil"/>
              <w:bottom w:val="single" w:sz="4" w:space="0" w:color="A6A6A6"/>
            </w:tcBorders>
            <w:shd w:val="clear" w:color="auto" w:fill="E7E6E6"/>
            <w:noWrap/>
            <w:hideMark/>
          </w:tcPr>
          <w:p w14:paraId="7D602053" w14:textId="77777777" w:rsidR="00CE75D4" w:rsidRPr="00851604" w:rsidRDefault="00CE75D4" w:rsidP="008340C1">
            <w:pPr>
              <w:pStyle w:val="ARfintablebodyright"/>
              <w:rPr>
                <w:szCs w:val="18"/>
              </w:rPr>
            </w:pPr>
            <w:r w:rsidRPr="00FA47EA">
              <w:t>4,667.8</w:t>
            </w:r>
          </w:p>
        </w:tc>
        <w:tc>
          <w:tcPr>
            <w:tcW w:w="1418" w:type="dxa"/>
            <w:tcBorders>
              <w:top w:val="single" w:sz="4" w:space="0" w:color="A6A6A6"/>
              <w:bottom w:val="single" w:sz="4" w:space="0" w:color="A6A6A6"/>
            </w:tcBorders>
          </w:tcPr>
          <w:p w14:paraId="6BC50843" w14:textId="77777777" w:rsidR="00CE75D4" w:rsidRPr="00851604" w:rsidRDefault="00CE75D4" w:rsidP="008340C1">
            <w:pPr>
              <w:pStyle w:val="ARfintablebodyright"/>
              <w:rPr>
                <w:szCs w:val="18"/>
              </w:rPr>
            </w:pPr>
            <w:r>
              <w:t>–</w:t>
            </w:r>
          </w:p>
        </w:tc>
        <w:tc>
          <w:tcPr>
            <w:tcW w:w="1418" w:type="dxa"/>
            <w:tcBorders>
              <w:top w:val="single" w:sz="4" w:space="0" w:color="A6A6A6"/>
              <w:bottom w:val="single" w:sz="4" w:space="0" w:color="A6A6A6"/>
            </w:tcBorders>
          </w:tcPr>
          <w:p w14:paraId="00DAD2C7" w14:textId="77777777" w:rsidR="00CE75D4" w:rsidRPr="00851604" w:rsidRDefault="00CE75D4" w:rsidP="008340C1">
            <w:pPr>
              <w:pStyle w:val="ARfintablebodyright"/>
              <w:rPr>
                <w:szCs w:val="18"/>
              </w:rPr>
            </w:pPr>
            <w:r>
              <w:t>–</w:t>
            </w:r>
          </w:p>
        </w:tc>
        <w:tc>
          <w:tcPr>
            <w:tcW w:w="1418" w:type="dxa"/>
            <w:tcBorders>
              <w:top w:val="single" w:sz="4" w:space="0" w:color="A6A6A6"/>
              <w:bottom w:val="single" w:sz="4" w:space="0" w:color="A6A6A6"/>
            </w:tcBorders>
          </w:tcPr>
          <w:p w14:paraId="65D4C713" w14:textId="77777777" w:rsidR="00CE75D4" w:rsidRPr="00851604" w:rsidRDefault="00CE75D4" w:rsidP="008340C1">
            <w:pPr>
              <w:pStyle w:val="ARfintablebodyright"/>
              <w:rPr>
                <w:szCs w:val="18"/>
              </w:rPr>
            </w:pPr>
            <w:r>
              <w:t>–</w:t>
            </w:r>
          </w:p>
        </w:tc>
        <w:tc>
          <w:tcPr>
            <w:tcW w:w="1474" w:type="dxa"/>
            <w:tcBorders>
              <w:top w:val="single" w:sz="4" w:space="0" w:color="A6A6A6"/>
              <w:bottom w:val="single" w:sz="4" w:space="0" w:color="A6A6A6"/>
            </w:tcBorders>
          </w:tcPr>
          <w:p w14:paraId="2EE6193E" w14:textId="77777777" w:rsidR="00CE75D4" w:rsidRPr="00851604" w:rsidRDefault="00CE75D4" w:rsidP="008340C1">
            <w:pPr>
              <w:pStyle w:val="ARfintablebodyright"/>
              <w:rPr>
                <w:szCs w:val="18"/>
              </w:rPr>
            </w:pPr>
            <w:r>
              <w:t>–</w:t>
            </w:r>
          </w:p>
        </w:tc>
      </w:tr>
      <w:tr w:rsidR="00CE75D4" w:rsidRPr="004F2124" w14:paraId="2A213F31" w14:textId="77777777" w:rsidTr="008340C1">
        <w:trPr>
          <w:cantSplit w:val="0"/>
          <w:trHeight w:val="255"/>
        </w:trPr>
        <w:tc>
          <w:tcPr>
            <w:tcW w:w="3117" w:type="dxa"/>
            <w:tcBorders>
              <w:top w:val="single" w:sz="4" w:space="0" w:color="A6A6A6"/>
            </w:tcBorders>
          </w:tcPr>
          <w:p w14:paraId="1429A725" w14:textId="77777777" w:rsidR="00CE75D4" w:rsidRPr="00851604" w:rsidRDefault="00CE75D4" w:rsidP="008340C1">
            <w:pPr>
              <w:pStyle w:val="ARfintablebody"/>
              <w:rPr>
                <w:szCs w:val="18"/>
              </w:rPr>
            </w:pPr>
            <w:r w:rsidRPr="00FA47EA">
              <w:t>New social, affordable, specialist disability and private housing in Flemington, Brighton and Prahran</w:t>
            </w:r>
            <w:r>
              <w:t> </w:t>
            </w:r>
            <w:r w:rsidRPr="00851604">
              <w:rPr>
                <w:rStyle w:val="Superscript"/>
              </w:rPr>
              <w:t>(viii)</w:t>
            </w:r>
          </w:p>
        </w:tc>
        <w:tc>
          <w:tcPr>
            <w:tcW w:w="1417" w:type="dxa"/>
            <w:tcBorders>
              <w:top w:val="single" w:sz="4" w:space="0" w:color="A6A6A6"/>
              <w:right w:val="nil"/>
            </w:tcBorders>
            <w:shd w:val="clear" w:color="auto" w:fill="E7E6E6"/>
            <w:noWrap/>
          </w:tcPr>
          <w:p w14:paraId="1CFDE400" w14:textId="77777777" w:rsidR="00CE75D4" w:rsidRPr="00851604" w:rsidRDefault="00CE75D4" w:rsidP="008340C1">
            <w:pPr>
              <w:pStyle w:val="ARfintablebodyright"/>
              <w:rPr>
                <w:szCs w:val="18"/>
              </w:rPr>
            </w:pPr>
            <w:r>
              <w:t>–</w:t>
            </w:r>
          </w:p>
        </w:tc>
        <w:tc>
          <w:tcPr>
            <w:tcW w:w="1417" w:type="dxa"/>
            <w:tcBorders>
              <w:top w:val="single" w:sz="4" w:space="0" w:color="A6A6A6"/>
              <w:left w:val="nil"/>
              <w:right w:val="nil"/>
            </w:tcBorders>
            <w:shd w:val="clear" w:color="auto" w:fill="E7E6E6"/>
            <w:noWrap/>
          </w:tcPr>
          <w:p w14:paraId="53209842" w14:textId="77777777" w:rsidR="00CE75D4" w:rsidRPr="00851604" w:rsidRDefault="00CE75D4" w:rsidP="008340C1">
            <w:pPr>
              <w:pStyle w:val="ARfintablebodyright"/>
              <w:rPr>
                <w:szCs w:val="18"/>
              </w:rPr>
            </w:pPr>
            <w:r>
              <w:t>–</w:t>
            </w:r>
          </w:p>
        </w:tc>
        <w:tc>
          <w:tcPr>
            <w:tcW w:w="1418" w:type="dxa"/>
            <w:tcBorders>
              <w:top w:val="single" w:sz="4" w:space="0" w:color="A6A6A6"/>
              <w:left w:val="nil"/>
              <w:right w:val="nil"/>
            </w:tcBorders>
            <w:shd w:val="clear" w:color="auto" w:fill="E7E6E6"/>
            <w:noWrap/>
          </w:tcPr>
          <w:p w14:paraId="247E0806" w14:textId="77777777" w:rsidR="00CE75D4" w:rsidRPr="00851604" w:rsidRDefault="00CE75D4" w:rsidP="008340C1">
            <w:pPr>
              <w:pStyle w:val="ARfintablebodyright"/>
              <w:rPr>
                <w:szCs w:val="18"/>
              </w:rPr>
            </w:pPr>
            <w:r>
              <w:t>–</w:t>
            </w:r>
          </w:p>
        </w:tc>
        <w:tc>
          <w:tcPr>
            <w:tcW w:w="1418" w:type="dxa"/>
            <w:tcBorders>
              <w:top w:val="single" w:sz="4" w:space="0" w:color="A6A6A6"/>
              <w:left w:val="nil"/>
            </w:tcBorders>
            <w:shd w:val="clear" w:color="auto" w:fill="E7E6E6"/>
            <w:noWrap/>
          </w:tcPr>
          <w:p w14:paraId="1206A52D" w14:textId="77777777" w:rsidR="00CE75D4" w:rsidRPr="00851604" w:rsidRDefault="00CE75D4" w:rsidP="008340C1">
            <w:pPr>
              <w:pStyle w:val="ARfintablebodyright"/>
              <w:rPr>
                <w:szCs w:val="18"/>
              </w:rPr>
            </w:pPr>
            <w:r>
              <w:t>–</w:t>
            </w:r>
          </w:p>
        </w:tc>
        <w:tc>
          <w:tcPr>
            <w:tcW w:w="1418" w:type="dxa"/>
            <w:tcBorders>
              <w:top w:val="single" w:sz="4" w:space="0" w:color="A6A6A6"/>
            </w:tcBorders>
          </w:tcPr>
          <w:p w14:paraId="23FB5E68" w14:textId="77777777" w:rsidR="00CE75D4" w:rsidRPr="00851604" w:rsidRDefault="00CE75D4" w:rsidP="008340C1">
            <w:pPr>
              <w:pStyle w:val="ARfintablebodyright"/>
              <w:rPr>
                <w:szCs w:val="18"/>
              </w:rPr>
            </w:pPr>
            <w:r w:rsidRPr="00FA47EA">
              <w:t>223.3</w:t>
            </w:r>
          </w:p>
        </w:tc>
        <w:tc>
          <w:tcPr>
            <w:tcW w:w="1418" w:type="dxa"/>
            <w:tcBorders>
              <w:top w:val="single" w:sz="4" w:space="0" w:color="A6A6A6"/>
            </w:tcBorders>
          </w:tcPr>
          <w:p w14:paraId="7D6171F3" w14:textId="77777777" w:rsidR="00CE75D4" w:rsidRPr="00851604" w:rsidRDefault="00CE75D4" w:rsidP="008340C1">
            <w:pPr>
              <w:pStyle w:val="ARfintablebodyright"/>
              <w:rPr>
                <w:szCs w:val="18"/>
              </w:rPr>
            </w:pPr>
            <w:r w:rsidRPr="00FA47EA">
              <w:t>50.0</w:t>
            </w:r>
          </w:p>
        </w:tc>
        <w:tc>
          <w:tcPr>
            <w:tcW w:w="1418" w:type="dxa"/>
            <w:tcBorders>
              <w:top w:val="single" w:sz="4" w:space="0" w:color="A6A6A6"/>
            </w:tcBorders>
          </w:tcPr>
          <w:p w14:paraId="1E5D83FF" w14:textId="77777777" w:rsidR="00CE75D4" w:rsidRPr="00851604" w:rsidRDefault="00CE75D4" w:rsidP="008340C1">
            <w:pPr>
              <w:pStyle w:val="ARfintablebodyright"/>
              <w:rPr>
                <w:szCs w:val="18"/>
              </w:rPr>
            </w:pPr>
            <w:r w:rsidRPr="00FA47EA">
              <w:t>38.0</w:t>
            </w:r>
          </w:p>
        </w:tc>
        <w:tc>
          <w:tcPr>
            <w:tcW w:w="1474" w:type="dxa"/>
            <w:tcBorders>
              <w:top w:val="single" w:sz="4" w:space="0" w:color="A6A6A6"/>
            </w:tcBorders>
          </w:tcPr>
          <w:p w14:paraId="049D85C3" w14:textId="77777777" w:rsidR="00CE75D4" w:rsidRPr="00851604" w:rsidRDefault="00CE75D4" w:rsidP="008340C1">
            <w:pPr>
              <w:pStyle w:val="ARfintablebodyright"/>
              <w:rPr>
                <w:szCs w:val="18"/>
              </w:rPr>
            </w:pPr>
            <w:r w:rsidRPr="00FA47EA">
              <w:t>752.2</w:t>
            </w:r>
          </w:p>
        </w:tc>
      </w:tr>
      <w:tr w:rsidR="00CE75D4" w:rsidRPr="004F2124" w14:paraId="5B35DC95" w14:textId="77777777" w:rsidTr="008340C1">
        <w:trPr>
          <w:cantSplit w:val="0"/>
          <w:trHeight w:val="255"/>
        </w:trPr>
        <w:tc>
          <w:tcPr>
            <w:tcW w:w="3117" w:type="dxa"/>
            <w:hideMark/>
          </w:tcPr>
          <w:p w14:paraId="5881FADD" w14:textId="77777777" w:rsidR="00CE75D4" w:rsidRPr="00851604" w:rsidRDefault="00CE75D4" w:rsidP="008340C1">
            <w:pPr>
              <w:pStyle w:val="ARfintablebodybold"/>
              <w:rPr>
                <w:szCs w:val="18"/>
              </w:rPr>
            </w:pPr>
            <w:r w:rsidRPr="00FA47EA">
              <w:t>Subtotal</w:t>
            </w:r>
          </w:p>
        </w:tc>
        <w:tc>
          <w:tcPr>
            <w:tcW w:w="1417" w:type="dxa"/>
            <w:tcBorders>
              <w:top w:val="single" w:sz="4" w:space="0" w:color="auto"/>
              <w:right w:val="nil"/>
            </w:tcBorders>
            <w:shd w:val="clear" w:color="auto" w:fill="E7E6E6"/>
            <w:noWrap/>
            <w:hideMark/>
          </w:tcPr>
          <w:p w14:paraId="0D81D5BE" w14:textId="77777777" w:rsidR="00CE75D4" w:rsidRPr="00851604" w:rsidRDefault="00CE75D4" w:rsidP="008340C1">
            <w:pPr>
              <w:pStyle w:val="ARfintablebodyrightbold"/>
              <w:rPr>
                <w:szCs w:val="18"/>
              </w:rPr>
            </w:pPr>
            <w:r w:rsidRPr="00FA47EA">
              <w:t>2,468.2</w:t>
            </w:r>
          </w:p>
        </w:tc>
        <w:tc>
          <w:tcPr>
            <w:tcW w:w="1417" w:type="dxa"/>
            <w:tcBorders>
              <w:top w:val="single" w:sz="4" w:space="0" w:color="auto"/>
              <w:left w:val="nil"/>
              <w:right w:val="nil"/>
            </w:tcBorders>
            <w:shd w:val="clear" w:color="auto" w:fill="E7E6E6"/>
            <w:noWrap/>
            <w:hideMark/>
          </w:tcPr>
          <w:p w14:paraId="48F18B40" w14:textId="77777777" w:rsidR="00CE75D4" w:rsidRPr="00851604" w:rsidRDefault="00CE75D4" w:rsidP="008340C1">
            <w:pPr>
              <w:pStyle w:val="ARfintablebodyrightbold"/>
              <w:rPr>
                <w:szCs w:val="18"/>
              </w:rPr>
            </w:pPr>
            <w:r w:rsidRPr="00FA47EA">
              <w:t>573.0</w:t>
            </w:r>
          </w:p>
        </w:tc>
        <w:tc>
          <w:tcPr>
            <w:tcW w:w="1418" w:type="dxa"/>
            <w:tcBorders>
              <w:top w:val="single" w:sz="4" w:space="0" w:color="auto"/>
              <w:left w:val="nil"/>
              <w:right w:val="nil"/>
            </w:tcBorders>
            <w:shd w:val="clear" w:color="auto" w:fill="E7E6E6"/>
            <w:noWrap/>
            <w:hideMark/>
          </w:tcPr>
          <w:p w14:paraId="7577FD0C" w14:textId="77777777" w:rsidR="00CE75D4" w:rsidRPr="00851604" w:rsidRDefault="00CE75D4" w:rsidP="008340C1">
            <w:pPr>
              <w:pStyle w:val="ARfintablebodyrightbold"/>
              <w:rPr>
                <w:szCs w:val="18"/>
              </w:rPr>
            </w:pPr>
            <w:r w:rsidRPr="00FA47EA">
              <w:t>1,992.9</w:t>
            </w:r>
          </w:p>
        </w:tc>
        <w:tc>
          <w:tcPr>
            <w:tcW w:w="1418" w:type="dxa"/>
            <w:tcBorders>
              <w:top w:val="single" w:sz="4" w:space="0" w:color="auto"/>
              <w:left w:val="nil"/>
            </w:tcBorders>
            <w:shd w:val="clear" w:color="auto" w:fill="E7E6E6"/>
            <w:noWrap/>
            <w:hideMark/>
          </w:tcPr>
          <w:p w14:paraId="1733BDA8" w14:textId="77777777" w:rsidR="00CE75D4" w:rsidRPr="00851604" w:rsidRDefault="00CE75D4" w:rsidP="008340C1">
            <w:pPr>
              <w:pStyle w:val="ARfintablebodyrightbold"/>
              <w:rPr>
                <w:szCs w:val="18"/>
              </w:rPr>
            </w:pPr>
            <w:r w:rsidRPr="00FA47EA">
              <w:t>10,376.9</w:t>
            </w:r>
          </w:p>
        </w:tc>
        <w:tc>
          <w:tcPr>
            <w:tcW w:w="1418" w:type="dxa"/>
          </w:tcPr>
          <w:p w14:paraId="36FF9918" w14:textId="77777777" w:rsidR="00CE75D4" w:rsidRPr="00851604" w:rsidRDefault="00CE75D4" w:rsidP="008340C1">
            <w:pPr>
              <w:pStyle w:val="ARfintablebodyrightbold"/>
              <w:rPr>
                <w:szCs w:val="18"/>
              </w:rPr>
            </w:pPr>
            <w:r w:rsidRPr="00FA47EA">
              <w:t>1,869.4</w:t>
            </w:r>
          </w:p>
        </w:tc>
        <w:tc>
          <w:tcPr>
            <w:tcW w:w="1418" w:type="dxa"/>
          </w:tcPr>
          <w:p w14:paraId="06A0F701" w14:textId="77777777" w:rsidR="00CE75D4" w:rsidRPr="00851604" w:rsidRDefault="00CE75D4" w:rsidP="008340C1">
            <w:pPr>
              <w:pStyle w:val="ARfintablebodyrightbold"/>
              <w:rPr>
                <w:szCs w:val="18"/>
              </w:rPr>
            </w:pPr>
            <w:r w:rsidRPr="00FA47EA">
              <w:t>623.0</w:t>
            </w:r>
          </w:p>
        </w:tc>
        <w:tc>
          <w:tcPr>
            <w:tcW w:w="1418" w:type="dxa"/>
          </w:tcPr>
          <w:p w14:paraId="68308733" w14:textId="77777777" w:rsidR="00CE75D4" w:rsidRPr="00851604" w:rsidRDefault="00CE75D4" w:rsidP="008340C1">
            <w:pPr>
              <w:pStyle w:val="ARfintablebodyrightbold"/>
              <w:rPr>
                <w:szCs w:val="18"/>
              </w:rPr>
            </w:pPr>
            <w:r w:rsidRPr="00FA47EA">
              <w:t>1,373.0</w:t>
            </w:r>
          </w:p>
        </w:tc>
        <w:tc>
          <w:tcPr>
            <w:tcW w:w="1474" w:type="dxa"/>
          </w:tcPr>
          <w:p w14:paraId="28BFA551" w14:textId="77777777" w:rsidR="00CE75D4" w:rsidRPr="00851604" w:rsidRDefault="00CE75D4" w:rsidP="008340C1">
            <w:pPr>
              <w:pStyle w:val="ARfintablebodyrightbold"/>
              <w:rPr>
                <w:szCs w:val="18"/>
              </w:rPr>
            </w:pPr>
            <w:r w:rsidRPr="00FA47EA">
              <w:t>7,124.7</w:t>
            </w:r>
          </w:p>
        </w:tc>
      </w:tr>
      <w:tr w:rsidR="00CE75D4" w:rsidRPr="004F2124" w14:paraId="67F68347" w14:textId="77777777" w:rsidTr="008340C1">
        <w:trPr>
          <w:cantSplit w:val="0"/>
          <w:trHeight w:val="255"/>
        </w:trPr>
        <w:tc>
          <w:tcPr>
            <w:tcW w:w="3117" w:type="dxa"/>
            <w:hideMark/>
          </w:tcPr>
          <w:p w14:paraId="3C5C16E5" w14:textId="77777777" w:rsidR="00CE75D4" w:rsidRPr="00851604" w:rsidRDefault="00CE75D4" w:rsidP="008340C1">
            <w:pPr>
              <w:pStyle w:val="ARfintablebodybold"/>
              <w:rPr>
                <w:szCs w:val="18"/>
              </w:rPr>
            </w:pPr>
            <w:r w:rsidRPr="00FA47EA">
              <w:t>Total commitments for PPP</w:t>
            </w:r>
            <w:r>
              <w:t>s</w:t>
            </w:r>
          </w:p>
        </w:tc>
        <w:tc>
          <w:tcPr>
            <w:tcW w:w="1417" w:type="dxa"/>
            <w:tcBorders>
              <w:top w:val="single" w:sz="4" w:space="0" w:color="auto"/>
              <w:right w:val="nil"/>
            </w:tcBorders>
            <w:shd w:val="clear" w:color="auto" w:fill="E7E6E6"/>
            <w:noWrap/>
            <w:hideMark/>
          </w:tcPr>
          <w:p w14:paraId="33E73612" w14:textId="77777777" w:rsidR="00CE75D4" w:rsidRPr="00851604" w:rsidRDefault="00CE75D4" w:rsidP="008340C1">
            <w:pPr>
              <w:pStyle w:val="ARfintablebodyrightbold"/>
              <w:rPr>
                <w:szCs w:val="18"/>
              </w:rPr>
            </w:pPr>
            <w:r w:rsidRPr="00FA47EA">
              <w:t>2,468.2</w:t>
            </w:r>
          </w:p>
        </w:tc>
        <w:tc>
          <w:tcPr>
            <w:tcW w:w="1417" w:type="dxa"/>
            <w:tcBorders>
              <w:top w:val="single" w:sz="4" w:space="0" w:color="auto"/>
              <w:left w:val="nil"/>
              <w:right w:val="nil"/>
            </w:tcBorders>
            <w:shd w:val="clear" w:color="auto" w:fill="E7E6E6"/>
            <w:noWrap/>
            <w:hideMark/>
          </w:tcPr>
          <w:p w14:paraId="48121313" w14:textId="77777777" w:rsidR="00CE75D4" w:rsidRPr="00851604" w:rsidRDefault="00CE75D4" w:rsidP="008340C1">
            <w:pPr>
              <w:pStyle w:val="ARfintablebodyrightbold"/>
              <w:rPr>
                <w:szCs w:val="18"/>
              </w:rPr>
            </w:pPr>
            <w:r w:rsidRPr="00FA47EA">
              <w:t>573.0</w:t>
            </w:r>
          </w:p>
        </w:tc>
        <w:tc>
          <w:tcPr>
            <w:tcW w:w="1418" w:type="dxa"/>
            <w:tcBorders>
              <w:top w:val="single" w:sz="4" w:space="0" w:color="auto"/>
              <w:left w:val="nil"/>
              <w:right w:val="nil"/>
            </w:tcBorders>
            <w:shd w:val="clear" w:color="auto" w:fill="E7E6E6"/>
            <w:noWrap/>
            <w:hideMark/>
          </w:tcPr>
          <w:p w14:paraId="7872A521" w14:textId="77777777" w:rsidR="00CE75D4" w:rsidRPr="00851604" w:rsidRDefault="00CE75D4" w:rsidP="008340C1">
            <w:pPr>
              <w:pStyle w:val="ARfintablebodyrightbold"/>
              <w:rPr>
                <w:szCs w:val="18"/>
              </w:rPr>
            </w:pPr>
            <w:r w:rsidRPr="00FA47EA">
              <w:t>1,992.9</w:t>
            </w:r>
          </w:p>
        </w:tc>
        <w:tc>
          <w:tcPr>
            <w:tcW w:w="1418" w:type="dxa"/>
            <w:tcBorders>
              <w:top w:val="single" w:sz="4" w:space="0" w:color="auto"/>
              <w:left w:val="nil"/>
            </w:tcBorders>
            <w:shd w:val="clear" w:color="auto" w:fill="E7E6E6"/>
            <w:noWrap/>
            <w:hideMark/>
          </w:tcPr>
          <w:p w14:paraId="6135CC09" w14:textId="77777777" w:rsidR="00CE75D4" w:rsidRPr="00851604" w:rsidRDefault="00CE75D4" w:rsidP="008340C1">
            <w:pPr>
              <w:pStyle w:val="ARfintablebodyrightbold"/>
              <w:rPr>
                <w:szCs w:val="18"/>
              </w:rPr>
            </w:pPr>
            <w:r w:rsidRPr="00FA47EA">
              <w:t>10,376.9</w:t>
            </w:r>
          </w:p>
        </w:tc>
        <w:tc>
          <w:tcPr>
            <w:tcW w:w="1418" w:type="dxa"/>
          </w:tcPr>
          <w:p w14:paraId="67E1686F" w14:textId="77777777" w:rsidR="00CE75D4" w:rsidRPr="00851604" w:rsidRDefault="00CE75D4" w:rsidP="008340C1">
            <w:pPr>
              <w:pStyle w:val="ARfintablebodyrightbold"/>
              <w:rPr>
                <w:szCs w:val="18"/>
              </w:rPr>
            </w:pPr>
            <w:r w:rsidRPr="00FA47EA">
              <w:t>1,869.4</w:t>
            </w:r>
          </w:p>
        </w:tc>
        <w:tc>
          <w:tcPr>
            <w:tcW w:w="1418" w:type="dxa"/>
          </w:tcPr>
          <w:p w14:paraId="4D704B22" w14:textId="77777777" w:rsidR="00CE75D4" w:rsidRPr="00851604" w:rsidRDefault="00CE75D4" w:rsidP="008340C1">
            <w:pPr>
              <w:pStyle w:val="ARfintablebodyrightbold"/>
              <w:rPr>
                <w:szCs w:val="18"/>
              </w:rPr>
            </w:pPr>
            <w:r w:rsidRPr="00FA47EA">
              <w:t>623.0</w:t>
            </w:r>
          </w:p>
        </w:tc>
        <w:tc>
          <w:tcPr>
            <w:tcW w:w="1418" w:type="dxa"/>
          </w:tcPr>
          <w:p w14:paraId="67FF24E6" w14:textId="77777777" w:rsidR="00CE75D4" w:rsidRPr="00851604" w:rsidRDefault="00CE75D4" w:rsidP="008340C1">
            <w:pPr>
              <w:pStyle w:val="ARfintablebodyrightbold"/>
              <w:rPr>
                <w:szCs w:val="18"/>
              </w:rPr>
            </w:pPr>
            <w:r w:rsidRPr="00FA47EA">
              <w:t>1,373.0</w:t>
            </w:r>
          </w:p>
        </w:tc>
        <w:tc>
          <w:tcPr>
            <w:tcW w:w="1474" w:type="dxa"/>
          </w:tcPr>
          <w:p w14:paraId="42378BAF" w14:textId="77777777" w:rsidR="00CE75D4" w:rsidRPr="00851604" w:rsidRDefault="00CE75D4" w:rsidP="008340C1">
            <w:pPr>
              <w:pStyle w:val="ARfintablebodyrightbold"/>
              <w:rPr>
                <w:szCs w:val="18"/>
              </w:rPr>
            </w:pPr>
            <w:r w:rsidRPr="00FA47EA">
              <w:t>7,124.7</w:t>
            </w:r>
          </w:p>
        </w:tc>
      </w:tr>
    </w:tbl>
    <w:p w14:paraId="7717184D" w14:textId="10EEA871" w:rsidR="00CE75D4" w:rsidDel="008922B5" w:rsidRDefault="00CE75D4" w:rsidP="008340C1">
      <w:pPr>
        <w:pStyle w:val="ARfintablefootnote"/>
        <w:rPr>
          <w:lang w:eastAsia="en-AU"/>
        </w:rPr>
      </w:pPr>
      <w:r>
        <w:rPr>
          <w:lang w:eastAsia="en-AU"/>
        </w:rPr>
        <w:t>Note</w:t>
      </w:r>
      <w:r w:rsidDel="008922B5">
        <w:rPr>
          <w:lang w:eastAsia="en-AU"/>
        </w:rPr>
        <w:t>s:</w:t>
      </w:r>
    </w:p>
    <w:p w14:paraId="4C0C3630" w14:textId="50B8D006" w:rsidR="00CE75D4" w:rsidRPr="003029B9" w:rsidRDefault="00CE75D4" w:rsidP="00AA06DD">
      <w:pPr>
        <w:pStyle w:val="ARfintablefootnoteindent"/>
        <w:ind w:left="397" w:hanging="397"/>
      </w:pPr>
      <w:r w:rsidRPr="003029B9" w:rsidDel="00CE75D4">
        <w:t>(</w:t>
      </w:r>
      <w:r w:rsidRPr="003029B9">
        <w:t>i)</w:t>
      </w:r>
      <w:r w:rsidRPr="003029B9">
        <w:tab/>
        <w:t>The discounted values of the minimum lease payments for uncommissioned PPPs have been discounted to the projects’ expected dates of commissioning, and the present values of other commitments have been discounted to 30 June of the respective financial years. After adjusting for GST, the discounted values of minimum lease payments reflect the expected impact on the balance sheet when the PPPs are commissioned.</w:t>
      </w:r>
    </w:p>
    <w:p w14:paraId="0B879ECA" w14:textId="23AE0408" w:rsidR="00CE75D4" w:rsidDel="008922B5" w:rsidRDefault="00CE75D4" w:rsidP="00AA06DD">
      <w:pPr>
        <w:pStyle w:val="ARfintablefootnoteindent"/>
        <w:ind w:left="397" w:hanging="397"/>
      </w:pPr>
      <w:r>
        <w:t>(ii)</w:t>
      </w:r>
      <w:r>
        <w:tab/>
        <w:t>The discounted values of the minimum lease payments have not been totalled for the uncommissioned PPPs due to individual PPP</w:t>
      </w:r>
      <w:r w:rsidR="006576E8">
        <w:t>s</w:t>
      </w:r>
      <w:r>
        <w:t xml:space="preserve"> having different expected dates of commissionin</w:t>
      </w:r>
      <w:r w:rsidDel="008922B5">
        <w:t>g.</w:t>
      </w:r>
    </w:p>
    <w:p w14:paraId="6CE36C91" w14:textId="50B8D006" w:rsidR="00CE75D4" w:rsidRPr="003029B9" w:rsidRDefault="00CE75D4" w:rsidP="00AA06DD">
      <w:pPr>
        <w:pStyle w:val="ARfintablefootnoteindent"/>
        <w:ind w:left="397" w:hanging="397"/>
      </w:pPr>
      <w:r w:rsidRPr="003029B9" w:rsidDel="00CE75D4">
        <w:t>(ii</w:t>
      </w:r>
      <w:r w:rsidRPr="003029B9">
        <w:t>i)</w:t>
      </w:r>
      <w:r w:rsidRPr="003029B9">
        <w:tab/>
        <w:t>The total commitments will not equal the sum of the PPP-related liabilities and other commitments because they are discounted, whereas total commitments are at nominal value.</w:t>
      </w:r>
    </w:p>
    <w:p w14:paraId="6BC8F7ED" w14:textId="77777777" w:rsidR="00CE75D4" w:rsidRDefault="00CE75D4" w:rsidP="00AA06DD">
      <w:pPr>
        <w:pStyle w:val="ARfintablefootnoteindent"/>
        <w:ind w:left="397" w:hanging="397"/>
      </w:pPr>
      <w:r>
        <w:t>(iv)</w:t>
      </w:r>
      <w:r>
        <w:tab/>
        <w:t xml:space="preserve">For uncommissioned PPPs relating to service concessions or recognised as assets under construction under </w:t>
      </w:r>
      <w:r w:rsidRPr="008F0EDC">
        <w:t>AASB 116</w:t>
      </w:r>
      <w:r w:rsidRPr="008F0EDC">
        <w:rPr>
          <w:rStyle w:val="Emphasis"/>
        </w:rPr>
        <w:t xml:space="preserve"> Property, Plant and Equipment</w:t>
      </w:r>
      <w:r w:rsidRPr="008F0EDC">
        <w:t>,</w:t>
      </w:r>
      <w:r>
        <w:t xml:space="preserve"> the asset and liability are recognised progressively during the construction term and therefore not recognised in the table above.</w:t>
      </w:r>
    </w:p>
    <w:p w14:paraId="17DC25AD" w14:textId="60D0A8F5" w:rsidR="00CE75D4" w:rsidRDefault="00CE75D4" w:rsidP="00AA06DD">
      <w:pPr>
        <w:pStyle w:val="ARfintablefootnoteindent"/>
        <w:ind w:left="397" w:hanging="397"/>
      </w:pPr>
      <w:r>
        <w:t>(v)</w:t>
      </w:r>
      <w:r>
        <w:tab/>
        <w:t>On 10 March 2021, the State Government of Victoria entered into a PPP contract with Plenary Health to deliver the New Footscray Hospital Project. The contract expires on 9 September 2050. The</w:t>
      </w:r>
      <w:r w:rsidR="00AA06DD">
        <w:t> </w:t>
      </w:r>
      <w:r>
        <w:t>department will be reimbursed by Victoria University for the state contribution relating to the construction of the Victoria University project components. It has been determined that this arrangement represents the construction of an item of property, plant and equipment in the scope of AASB 116.</w:t>
      </w:r>
    </w:p>
    <w:p w14:paraId="739E2AF2" w14:textId="77777777" w:rsidR="00CE75D4" w:rsidRDefault="00CE75D4" w:rsidP="00AA06DD">
      <w:pPr>
        <w:pStyle w:val="ARfintablefootnoteindent"/>
        <w:ind w:left="397" w:hanging="397"/>
      </w:pPr>
      <w:r>
        <w:t>(vi)</w:t>
      </w:r>
      <w:r>
        <w:tab/>
        <w:t>The liability discounted value for the year ending 30 June 2022 is the total discounted capital commitments in relation to hospital assets, less amounts recorded in the balance sheet as liability as at 30 June 2022.</w:t>
      </w:r>
    </w:p>
    <w:p w14:paraId="15E28299" w14:textId="6504A6F3" w:rsidR="00CE75D4" w:rsidRDefault="00CE75D4" w:rsidP="00AA06DD">
      <w:pPr>
        <w:pStyle w:val="ARfintablefootnoteindent"/>
        <w:ind w:left="397" w:hanging="397"/>
      </w:pPr>
      <w:r>
        <w:t>(vii)</w:t>
      </w:r>
      <w:r>
        <w:tab/>
        <w:t xml:space="preserve">On 13 April 2022, the </w:t>
      </w:r>
      <w:r w:rsidDel="00903704">
        <w:t xml:space="preserve">State </w:t>
      </w:r>
      <w:r>
        <w:t xml:space="preserve">Government </w:t>
      </w:r>
      <w:r w:rsidDel="00903704">
        <w:t xml:space="preserve">of Victoria </w:t>
      </w:r>
      <w:r>
        <w:t>entered into a PPP contract with Exemplar Health to deliver the Frankston Hospital Redevelopment Project. The contract expires on 16 January 2051. It has been determined that this arrangement represents the construction of an item of property, plant and equipment in the scope of AASB 116.</w:t>
      </w:r>
    </w:p>
    <w:p w14:paraId="2DB8E4A6" w14:textId="6DD8E3A9" w:rsidR="00CE75D4" w:rsidRDefault="00CE75D4" w:rsidP="00AA06DD">
      <w:pPr>
        <w:pStyle w:val="ARfintablefootnoteindent"/>
        <w:ind w:left="397" w:hanging="397"/>
      </w:pPr>
      <w:r>
        <w:t>(viii)</w:t>
      </w:r>
      <w:r w:rsidR="00AA06DD">
        <w:tab/>
      </w:r>
      <w:r>
        <w:t>On 18 May 2021, the Director of Housing entered into an arrangement with Building Communities (Vic) Limited to deliver new social, affordable, specialist disability accommodation and private housing at sites in Flemington, Brighton and Prahran through a Ground Lease Model. The term of the arrangement was 40 years. The project was procured and</w:t>
      </w:r>
      <w:r w:rsidDel="00FC70DC">
        <w:t xml:space="preserve"> </w:t>
      </w:r>
      <w:r w:rsidR="00FC70DC">
        <w:t xml:space="preserve">will </w:t>
      </w:r>
      <w:r>
        <w:t>be delivered</w:t>
      </w:r>
      <w:r w:rsidR="00FC70DC">
        <w:t xml:space="preserve"> </w:t>
      </w:r>
      <w:r>
        <w:t>as a PPP under the</w:t>
      </w:r>
      <w:r w:rsidR="00AA06DD">
        <w:t> </w:t>
      </w:r>
      <w:r>
        <w:t xml:space="preserve">Partnerships Victoria Framework. Under this model, Building Communities (Vic) Limited </w:t>
      </w:r>
      <w:r w:rsidR="00FC70DC">
        <w:t xml:space="preserve">is </w:t>
      </w:r>
      <w:r>
        <w:t xml:space="preserve">responsible for the design, construction, financing and management of social, affordable and private dwellings at each site. No disclosure in 2021–22 </w:t>
      </w:r>
      <w:r w:rsidR="00FC70DC">
        <w:t xml:space="preserve">is required </w:t>
      </w:r>
      <w:r>
        <w:t>as the PPP is part of the Director of Housing</w:t>
      </w:r>
      <w:r w:rsidR="00FC70DC">
        <w:t>,</w:t>
      </w:r>
      <w:r>
        <w:t xml:space="preserve"> which was included in the department’s 2020–21 financial statements under s. 53(1)(b) of</w:t>
      </w:r>
      <w:r w:rsidR="00AA06DD">
        <w:t> </w:t>
      </w:r>
      <w:r>
        <w:t>the FMA.</w:t>
      </w:r>
      <w:r w:rsidRPr="004F378A">
        <w:t xml:space="preserve"> This</w:t>
      </w:r>
      <w:r>
        <w:t> </w:t>
      </w:r>
      <w:r w:rsidRPr="004F378A">
        <w:t>PPP is reported in the DFFH</w:t>
      </w:r>
      <w:r>
        <w:t>’</w:t>
      </w:r>
      <w:r w:rsidRPr="004F378A">
        <w:t>s 2021</w:t>
      </w:r>
      <w:r>
        <w:t>–</w:t>
      </w:r>
      <w:r w:rsidRPr="004F378A">
        <w:t>22 financial statements.</w:t>
      </w:r>
    </w:p>
    <w:p w14:paraId="29288F92" w14:textId="77777777" w:rsidR="00CE75D4" w:rsidRPr="00851604" w:rsidRDefault="00CE75D4" w:rsidP="008340C1">
      <w:pPr>
        <w:pStyle w:val="ARfinbody"/>
      </w:pPr>
    </w:p>
    <w:p w14:paraId="141890A9" w14:textId="77777777" w:rsidR="00CE75D4" w:rsidRPr="00851604" w:rsidRDefault="00CE75D4" w:rsidP="008340C1">
      <w:pPr>
        <w:pStyle w:val="ARfinbody"/>
        <w:sectPr w:rsidR="00CE75D4" w:rsidRPr="00851604" w:rsidSect="008340C1">
          <w:footnotePr>
            <w:numFmt w:val="lowerLetter"/>
            <w:numRestart w:val="eachPage"/>
          </w:footnotePr>
          <w:pgSz w:w="16838" w:h="11906" w:orient="landscape" w:code="9"/>
          <w:pgMar w:top="1134" w:right="1531" w:bottom="1134" w:left="851" w:header="510" w:footer="340" w:gutter="0"/>
          <w:cols w:space="708"/>
          <w:docGrid w:linePitch="360"/>
        </w:sectPr>
      </w:pPr>
      <w:bookmarkStart w:id="618" w:name="_Toc85121508"/>
    </w:p>
    <w:bookmarkEnd w:id="618"/>
    <w:p w14:paraId="0D7254DA" w14:textId="77777777" w:rsidR="00CE75D4" w:rsidRPr="00B662EA" w:rsidRDefault="00CE75D4" w:rsidP="008340C1">
      <w:pPr>
        <w:pStyle w:val="Heading5"/>
        <w:spacing w:before="0"/>
      </w:pPr>
      <w:r w:rsidRPr="00B662EA">
        <w:t xml:space="preserve">7.5.3 AASB 1059 </w:t>
      </w:r>
      <w:r w:rsidRPr="00B662EA">
        <w:rPr>
          <w:rStyle w:val="Emphasis"/>
        </w:rPr>
        <w:t xml:space="preserve">Service Concession Arrangements: </w:t>
      </w:r>
      <w:r w:rsidRPr="003E10BC">
        <w:rPr>
          <w:rStyle w:val="Emphasis"/>
        </w:rPr>
        <w:t>Grantors</w:t>
      </w:r>
    </w:p>
    <w:p w14:paraId="762DDE2C" w14:textId="77777777" w:rsidR="00CE75D4" w:rsidRDefault="00CE75D4" w:rsidP="008340C1">
      <w:pPr>
        <w:pStyle w:val="ARfinbody"/>
      </w:pPr>
      <w:r>
        <w:t xml:space="preserve">For arrangements within the scope of AASB 1059, at initial recognition the department records a service concession asset (SCA) at current replacement cost in accordance with the cost approach to fair value under </w:t>
      </w:r>
      <w:r w:rsidRPr="00C62C8A">
        <w:t xml:space="preserve">AASB 13 </w:t>
      </w:r>
      <w:r w:rsidRPr="00C62C8A">
        <w:rPr>
          <w:rStyle w:val="Emphasis"/>
        </w:rPr>
        <w:t>Fair Value Measurement</w:t>
      </w:r>
      <w:r w:rsidRPr="00C62C8A">
        <w:t>,</w:t>
      </w:r>
      <w:r>
        <w:t xml:space="preserve"> with a related liability, which could be a financial liability, an accrued revenue liability (referred to as the ‘Grant of a Right to the Operator’ or GORTO liability) or a combination of both.</w:t>
      </w:r>
    </w:p>
    <w:p w14:paraId="58B139EA" w14:textId="77777777" w:rsidR="00CE75D4" w:rsidRDefault="00CE75D4" w:rsidP="008340C1">
      <w:pPr>
        <w:pStyle w:val="ARfinbody"/>
      </w:pPr>
      <w:r>
        <w:t>The nature of the liability and subsequent accounting depends on the consideration exchanged in the arrangement between the department and the operator.</w:t>
      </w:r>
    </w:p>
    <w:p w14:paraId="2207B07C" w14:textId="77777777" w:rsidR="00CE75D4" w:rsidRDefault="00CE75D4" w:rsidP="008340C1">
      <w:pPr>
        <w:pStyle w:val="ARfinbody"/>
      </w:pPr>
      <w:r>
        <w:t>The department initially recognised the liability at the same amount as the SCA, adjusted by the amount of any consideration from the department to the operator, or from the operator to the department.</w:t>
      </w:r>
    </w:p>
    <w:p w14:paraId="1C0A3CCC" w14:textId="4FA3BA29" w:rsidR="00CE75D4" w:rsidRDefault="00CE75D4" w:rsidP="008340C1">
      <w:pPr>
        <w:pStyle w:val="ARfinbody"/>
      </w:pPr>
      <w:r>
        <w:t>Exception to this occurs when the department reclassifies an existing asset to an SCA. When this occurs, no liability is recognised unless additional consideration is provided to the operator. Instead, the department recognises an SCA and a corresponding liability for the amounts spent on the upgrade/expansion work.</w:t>
      </w:r>
    </w:p>
    <w:p w14:paraId="4FCB16FB" w14:textId="77777777" w:rsidR="00CE75D4" w:rsidRDefault="00CE75D4" w:rsidP="008340C1">
      <w:pPr>
        <w:pStyle w:val="ARfinbody"/>
      </w:pPr>
      <w:r>
        <w:t xml:space="preserve">A </w:t>
      </w:r>
      <w:r>
        <w:rPr>
          <w:rStyle w:val="Strong"/>
        </w:rPr>
        <w:t>financial liability</w:t>
      </w:r>
      <w:r>
        <w:t xml:space="preserve"> is recognised where the department has a contractual obligation to pay the operator for providing the SCA. It is measured in accordance with </w:t>
      </w:r>
      <w:r w:rsidRPr="00CC001E">
        <w:t xml:space="preserve">AASB 9 </w:t>
      </w:r>
      <w:r w:rsidRPr="00CC001E">
        <w:rPr>
          <w:rStyle w:val="Emphasis"/>
        </w:rPr>
        <w:t>Financial Instruments</w:t>
      </w:r>
      <w:r>
        <w:t xml:space="preserve"> and is recognised as a borrowing (Note 7.1). The liability is increased by interest charges (Note 7.1.2), based on the interest rate implicit in the arrangement. Where the interest rate is not specified in the arrangement, the prevailing market rate of interest for a similar instrument with similar credit ratings is used. The liability is reduced by any payments made by the department to the operator as required by the contract.</w:t>
      </w:r>
    </w:p>
    <w:p w14:paraId="3D3D6FDA" w14:textId="77777777" w:rsidR="00CE75D4" w:rsidRDefault="00CE75D4" w:rsidP="008340C1">
      <w:pPr>
        <w:pStyle w:val="ARfinbody"/>
      </w:pPr>
      <w:r>
        <w:t>The department has arrangements in place with two private hospitals and other non-public entities, where the private hospitals and non-public entities operate the department-owned assets, including land, buildings and equipment, to deliver health services to the general public. The department maintains the ownership and control of the assets throughout the arrangements and does not incur any related liability.</w:t>
      </w:r>
    </w:p>
    <w:p w14:paraId="78F8E1C6" w14:textId="77777777" w:rsidR="00CE75D4" w:rsidRPr="0040433B" w:rsidRDefault="00CE75D4" w:rsidP="00130D1C">
      <w:pPr>
        <w:pStyle w:val="ARfinbody"/>
      </w:pPr>
      <w:r w:rsidRPr="0040433B">
        <w:br w:type="page"/>
      </w:r>
    </w:p>
    <w:p w14:paraId="7EFA5220" w14:textId="77777777" w:rsidR="00CE75D4" w:rsidRDefault="00CE75D4" w:rsidP="008340C1">
      <w:pPr>
        <w:pStyle w:val="Heading3"/>
      </w:pPr>
      <w:bookmarkStart w:id="619" w:name="_Toc113702966"/>
      <w:r>
        <w:t>8. Risks, contingencies and valuation judgements</w:t>
      </w:r>
      <w:bookmarkEnd w:id="619"/>
    </w:p>
    <w:p w14:paraId="642D96B9" w14:textId="77777777" w:rsidR="00CE75D4" w:rsidRDefault="00CE75D4" w:rsidP="008340C1">
      <w:pPr>
        <w:pStyle w:val="Heading4"/>
        <w:rPr>
          <w:lang w:eastAsia="en-AU"/>
        </w:rPr>
      </w:pPr>
      <w:r>
        <w:rPr>
          <w:lang w:eastAsia="en-AU"/>
        </w:rPr>
        <w:t>Introduction</w:t>
      </w:r>
    </w:p>
    <w:p w14:paraId="43FC3636" w14:textId="77777777" w:rsidR="00CE75D4" w:rsidRDefault="00CE75D4" w:rsidP="008340C1">
      <w:pPr>
        <w:pStyle w:val="ARfinbody"/>
      </w:pPr>
      <w:r>
        <w:t>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related mainly to fair value determination.</w:t>
      </w:r>
    </w:p>
    <w:p w14:paraId="3DB88AE3" w14:textId="77777777" w:rsidR="00CE75D4" w:rsidRDefault="00CE75D4" w:rsidP="008340C1">
      <w:pPr>
        <w:pStyle w:val="Heading4"/>
        <w:rPr>
          <w:lang w:eastAsia="en-AU"/>
        </w:rPr>
      </w:pPr>
      <w:r>
        <w:rPr>
          <w:lang w:eastAsia="en-AU"/>
        </w:rPr>
        <w:t>Structure</w:t>
      </w:r>
    </w:p>
    <w:p w14:paraId="6BB4F510" w14:textId="77777777" w:rsidR="00CE75D4" w:rsidRDefault="00CE75D4" w:rsidP="008340C1">
      <w:pPr>
        <w:pStyle w:val="ARfinstructure1"/>
      </w:pPr>
      <w:r>
        <w:t>8.1</w:t>
      </w:r>
      <w:r>
        <w:tab/>
        <w:t>Financial instruments specific disclosures</w:t>
      </w:r>
    </w:p>
    <w:p w14:paraId="182A5569" w14:textId="77777777" w:rsidR="00CE75D4" w:rsidRDefault="00CE75D4" w:rsidP="008340C1">
      <w:pPr>
        <w:pStyle w:val="ARfinstructure2"/>
      </w:pPr>
      <w:r>
        <w:t>8.1.1</w:t>
      </w:r>
      <w:r>
        <w:tab/>
        <w:t>Financial instruments: Categorisation</w:t>
      </w:r>
    </w:p>
    <w:p w14:paraId="2B1B5485" w14:textId="77777777" w:rsidR="00CE75D4" w:rsidRDefault="00CE75D4" w:rsidP="008340C1">
      <w:pPr>
        <w:pStyle w:val="ARfinstructure2"/>
      </w:pPr>
      <w:r>
        <w:t>8.1.2</w:t>
      </w:r>
      <w:r>
        <w:tab/>
        <w:t>Financial instruments: Net holding gain/(loss) on financial instruments by category</w:t>
      </w:r>
    </w:p>
    <w:p w14:paraId="52862EB5" w14:textId="77777777" w:rsidR="00CE75D4" w:rsidRDefault="00CE75D4" w:rsidP="008340C1">
      <w:pPr>
        <w:pStyle w:val="ARfinstructure2"/>
      </w:pPr>
      <w:r>
        <w:t>8.1.3</w:t>
      </w:r>
      <w:r>
        <w:tab/>
        <w:t>Financial risk management objectives and policies</w:t>
      </w:r>
    </w:p>
    <w:p w14:paraId="00BABF08" w14:textId="77777777" w:rsidR="00CE75D4" w:rsidRDefault="00CE75D4" w:rsidP="008340C1">
      <w:pPr>
        <w:pStyle w:val="ARfinstructure1"/>
      </w:pPr>
      <w:r>
        <w:t>8.2</w:t>
      </w:r>
      <w:r>
        <w:tab/>
        <w:t>Contingent assets and contingent liabilities</w:t>
      </w:r>
    </w:p>
    <w:p w14:paraId="173F5141" w14:textId="77777777" w:rsidR="00CE75D4" w:rsidRDefault="00CE75D4" w:rsidP="008340C1">
      <w:pPr>
        <w:pStyle w:val="ARfinstructure1"/>
      </w:pPr>
      <w:r>
        <w:t>8.3</w:t>
      </w:r>
      <w:r>
        <w:tab/>
        <w:t>Fair value determination</w:t>
      </w:r>
    </w:p>
    <w:p w14:paraId="731CD8B1" w14:textId="77777777" w:rsidR="00CE75D4" w:rsidRDefault="00CE75D4" w:rsidP="008340C1">
      <w:pPr>
        <w:pStyle w:val="ARfinstructure2"/>
      </w:pPr>
      <w:r>
        <w:t>8.3.1</w:t>
      </w:r>
      <w:r>
        <w:tab/>
        <w:t>Fair value determination of financial assets and liabilities</w:t>
      </w:r>
    </w:p>
    <w:p w14:paraId="34B1FED7" w14:textId="77777777" w:rsidR="00CE75D4" w:rsidRDefault="00CE75D4" w:rsidP="008340C1">
      <w:pPr>
        <w:pStyle w:val="ARfinstructure2"/>
        <w:rPr>
          <w:b/>
          <w:bCs/>
        </w:rPr>
      </w:pPr>
      <w:r>
        <w:t>8.3.2</w:t>
      </w:r>
      <w:r>
        <w:tab/>
        <w:t>Fair value determination of non-financial physical assets</w:t>
      </w:r>
    </w:p>
    <w:p w14:paraId="2B8A5BFE" w14:textId="77777777" w:rsidR="00CE75D4" w:rsidRDefault="00CE75D4" w:rsidP="008340C1">
      <w:pPr>
        <w:pStyle w:val="Heading4"/>
      </w:pPr>
      <w:bookmarkStart w:id="620" w:name="_Ref112963685"/>
      <w:r>
        <w:rPr>
          <w:lang w:eastAsia="en-AU"/>
        </w:rPr>
        <w:t>8.1 Financial instruments specific disclosures</w:t>
      </w:r>
      <w:bookmarkEnd w:id="620"/>
    </w:p>
    <w:p w14:paraId="75F7E999" w14:textId="77777777" w:rsidR="00CE75D4" w:rsidRDefault="00CE75D4" w:rsidP="008340C1">
      <w:pPr>
        <w:pStyle w:val="Heading5"/>
        <w:spacing w:before="120" w:after="60"/>
        <w:rPr>
          <w:lang w:eastAsia="en-AU"/>
        </w:rPr>
      </w:pPr>
      <w:r>
        <w:rPr>
          <w:lang w:eastAsia="en-AU"/>
        </w:rPr>
        <w:t>Introduction</w:t>
      </w:r>
    </w:p>
    <w:p w14:paraId="42C999FA" w14:textId="77777777" w:rsidR="00CE75D4" w:rsidRDefault="00CE75D4" w:rsidP="008340C1">
      <w:pPr>
        <w:pStyle w:val="ARfinbody"/>
      </w:pPr>
      <w:r>
        <w:t>Financial instruments arise out of contractual agreements that give rise to a financial asset of one entity and a financial liability or equity instrument of another entity. Due to the nature of the department’s activities, certain financial assets and financial liabilities arise under statute rather than a contract (for example taxes, fines and penalties). Such assets and liabilities do not meet the definition of financial instruments in AASB 132</w:t>
      </w:r>
      <w:r>
        <w:rPr>
          <w:rStyle w:val="Emphasis"/>
        </w:rPr>
        <w:t xml:space="preserve"> Financial Instruments: Presentation</w:t>
      </w:r>
      <w:r>
        <w:t>.</w:t>
      </w:r>
    </w:p>
    <w:p w14:paraId="4B24EE5A" w14:textId="77777777" w:rsidR="00CE75D4" w:rsidRDefault="00CE75D4" w:rsidP="008340C1">
      <w:pPr>
        <w:pStyle w:val="ARfinbody"/>
      </w:pPr>
      <w:r>
        <w:t>Guarantees issued on behalf of the department are financial instruments because, although authorised under statute, terms and conditions for each financial guarantee may vary and are subject to an agreement.</w:t>
      </w:r>
    </w:p>
    <w:p w14:paraId="62D8C710" w14:textId="77777777" w:rsidR="00CE75D4" w:rsidRDefault="00CE75D4" w:rsidP="008340C1">
      <w:pPr>
        <w:pStyle w:val="Heading5"/>
        <w:spacing w:before="160" w:after="60"/>
      </w:pPr>
      <w:r>
        <w:t>Categories of financial assets</w:t>
      </w:r>
    </w:p>
    <w:p w14:paraId="31599EE2" w14:textId="77777777" w:rsidR="00CE75D4" w:rsidRDefault="00CE75D4" w:rsidP="008340C1">
      <w:pPr>
        <w:pStyle w:val="ARfinbody"/>
      </w:pPr>
      <w:r>
        <w:rPr>
          <w:rStyle w:val="Strong"/>
        </w:rPr>
        <w:t>Financial assets at amortised costs</w:t>
      </w:r>
      <w:r>
        <w:t xml:space="preserve"> are recognised if both of the following criteria are met and the assets are not designated as fair value through net result:</w:t>
      </w:r>
    </w:p>
    <w:p w14:paraId="5631176C" w14:textId="77777777" w:rsidR="00CE75D4" w:rsidRDefault="00CE75D4" w:rsidP="00817CFB">
      <w:pPr>
        <w:pStyle w:val="ARfinbullet1"/>
        <w:numPr>
          <w:ilvl w:val="0"/>
          <w:numId w:val="30"/>
        </w:numPr>
        <w:textAlignment w:val="auto"/>
      </w:pPr>
      <w:r>
        <w:t>the assets are held by the department to collect the contractual cash flows, and</w:t>
      </w:r>
    </w:p>
    <w:p w14:paraId="345C637A" w14:textId="77777777" w:rsidR="00CE75D4" w:rsidRDefault="00CE75D4" w:rsidP="00817CFB">
      <w:pPr>
        <w:pStyle w:val="ARfinbullet1"/>
        <w:numPr>
          <w:ilvl w:val="0"/>
          <w:numId w:val="30"/>
        </w:numPr>
        <w:textAlignment w:val="auto"/>
      </w:pPr>
      <w:r>
        <w:t>the assets’ contractual terms give rise to cash flows that are solely payments of principal and interest.</w:t>
      </w:r>
    </w:p>
    <w:p w14:paraId="5760FF9C" w14:textId="77777777" w:rsidR="00CE75D4" w:rsidRDefault="00CE75D4" w:rsidP="008340C1">
      <w:pPr>
        <w:pStyle w:val="ARfinbody"/>
      </w:pPr>
      <w:r>
        <w:t>These assets are initially recognised at fair value plus any directly attributable transaction costs and subsequently measured at amortised cost using the effective interest method less any impairment.</w:t>
      </w:r>
    </w:p>
    <w:p w14:paraId="3F3AD7AB" w14:textId="77777777" w:rsidR="00CE75D4" w:rsidRDefault="00CE75D4" w:rsidP="008340C1">
      <w:pPr>
        <w:pStyle w:val="ARfinbody"/>
      </w:pPr>
      <w:r>
        <w:t>The department recognises the following assets in this category:</w:t>
      </w:r>
    </w:p>
    <w:p w14:paraId="4F708659" w14:textId="77777777" w:rsidR="00CE75D4" w:rsidRDefault="00CE75D4" w:rsidP="00817CFB">
      <w:pPr>
        <w:pStyle w:val="ARfinbullet1"/>
        <w:numPr>
          <w:ilvl w:val="0"/>
          <w:numId w:val="30"/>
        </w:numPr>
        <w:textAlignment w:val="auto"/>
      </w:pPr>
      <w:r>
        <w:t>cash and deposits</w:t>
      </w:r>
    </w:p>
    <w:p w14:paraId="2ADEEC42" w14:textId="77777777" w:rsidR="00CE75D4" w:rsidRDefault="00CE75D4" w:rsidP="00817CFB">
      <w:pPr>
        <w:pStyle w:val="ARfinbullet1"/>
        <w:numPr>
          <w:ilvl w:val="0"/>
          <w:numId w:val="30"/>
        </w:numPr>
        <w:textAlignment w:val="auto"/>
      </w:pPr>
      <w:r>
        <w:t>receivables (excluding statutory receivables)</w:t>
      </w:r>
    </w:p>
    <w:p w14:paraId="451A7758" w14:textId="77777777" w:rsidR="00CE75D4" w:rsidRDefault="00CE75D4" w:rsidP="00817CFB">
      <w:pPr>
        <w:pStyle w:val="ARfinbullet1"/>
        <w:numPr>
          <w:ilvl w:val="0"/>
          <w:numId w:val="30"/>
        </w:numPr>
        <w:textAlignment w:val="auto"/>
      </w:pPr>
      <w:r>
        <w:t>term deposits</w:t>
      </w:r>
    </w:p>
    <w:p w14:paraId="23613CDE" w14:textId="77777777" w:rsidR="00CE75D4" w:rsidRDefault="00CE75D4" w:rsidP="00817CFB">
      <w:pPr>
        <w:pStyle w:val="ARfinbullet1"/>
        <w:numPr>
          <w:ilvl w:val="0"/>
          <w:numId w:val="30"/>
        </w:numPr>
        <w:textAlignment w:val="auto"/>
      </w:pPr>
      <w:r>
        <w:t>loan receivables.</w:t>
      </w:r>
    </w:p>
    <w:p w14:paraId="6468D894" w14:textId="77777777" w:rsidR="00CE75D4" w:rsidRDefault="00CE75D4" w:rsidP="008340C1">
      <w:pPr>
        <w:pStyle w:val="Heading5"/>
        <w:spacing w:before="160" w:after="60"/>
        <w:rPr>
          <w:lang w:eastAsia="en-AU"/>
        </w:rPr>
      </w:pPr>
      <w:r>
        <w:rPr>
          <w:lang w:eastAsia="en-AU"/>
        </w:rPr>
        <w:t>Categories of financial liabilities</w:t>
      </w:r>
    </w:p>
    <w:p w14:paraId="25498DFE" w14:textId="77777777" w:rsidR="00CE75D4" w:rsidRDefault="00CE75D4" w:rsidP="008340C1">
      <w:pPr>
        <w:pStyle w:val="ARfinbody"/>
      </w:pPr>
      <w:r>
        <w:rPr>
          <w:rStyle w:val="Strong"/>
        </w:rPr>
        <w:t>Financial liabilities at amortised cost</w:t>
      </w:r>
      <w: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initially recognised amount and the redemption value being recognised in profit and loss over the period of the interest-bearing liability, using the effective interest rate method. The department recognises the following liabilities in this category:</w:t>
      </w:r>
    </w:p>
    <w:p w14:paraId="11D91627" w14:textId="77777777" w:rsidR="00CE75D4" w:rsidRDefault="00CE75D4" w:rsidP="00817CFB">
      <w:pPr>
        <w:pStyle w:val="ARfinbullet1"/>
        <w:numPr>
          <w:ilvl w:val="0"/>
          <w:numId w:val="30"/>
        </w:numPr>
        <w:textAlignment w:val="auto"/>
      </w:pPr>
      <w:r>
        <w:t>payables (excluding statutory payables)</w:t>
      </w:r>
    </w:p>
    <w:p w14:paraId="50339794" w14:textId="77777777" w:rsidR="00CE75D4" w:rsidRDefault="00CE75D4" w:rsidP="00817CFB">
      <w:pPr>
        <w:pStyle w:val="ARfinbullet1"/>
        <w:numPr>
          <w:ilvl w:val="0"/>
          <w:numId w:val="30"/>
        </w:numPr>
        <w:textAlignment w:val="auto"/>
      </w:pPr>
      <w:r>
        <w:t>borrowings (including lease liabilities).</w:t>
      </w:r>
    </w:p>
    <w:p w14:paraId="664AF88E" w14:textId="77777777" w:rsidR="00CE75D4" w:rsidRDefault="00CE75D4" w:rsidP="008340C1">
      <w:pPr>
        <w:pStyle w:val="ARfinbody"/>
      </w:pPr>
      <w:r>
        <w:rPr>
          <w:rStyle w:val="Strong"/>
        </w:rPr>
        <w:t>Offsetting financial instruments:</w:t>
      </w:r>
      <w:r>
        <w:t xml:space="preserve"> Financial instrument assets and liabilities are offset and the net amount presented in the balance sheet when, and only when, the department has a legal right to offset the amounts and intends either to settle on a net basis or to realise the asset and settle the liability simultaneously.</w:t>
      </w:r>
    </w:p>
    <w:p w14:paraId="652E6016" w14:textId="602129FA" w:rsidR="00CE75D4" w:rsidRDefault="00CE75D4" w:rsidP="008340C1">
      <w:pPr>
        <w:pStyle w:val="ARfinbody"/>
      </w:pPr>
      <w:r>
        <w:t>Some master netting arrangements do not result in an offset of balance sheet assets and liabilities. Where the department does not have a legally enforceable right to offset recognised amounts, because the right to offset is enforceable only on the occurrence of future events such as default, insolvency or bankruptcy, they are reported on a gross basis.</w:t>
      </w:r>
    </w:p>
    <w:p w14:paraId="3F29198A" w14:textId="77777777" w:rsidR="00CE75D4" w:rsidRDefault="00CE75D4" w:rsidP="008340C1">
      <w:pPr>
        <w:pStyle w:val="ARfinbody"/>
      </w:pPr>
      <w:r>
        <w:rPr>
          <w:rStyle w:val="Strong"/>
        </w:rPr>
        <w:t>Derecognition of financial assets:</w:t>
      </w:r>
      <w:r>
        <w:rPr>
          <w:b/>
          <w:bCs/>
        </w:rPr>
        <w:t xml:space="preserve"> </w:t>
      </w:r>
      <w:r>
        <w:t>A financial asset (or, where applicable, a part of a financial asset or part of a group of similar financial assets) is derecognised when:</w:t>
      </w:r>
    </w:p>
    <w:p w14:paraId="26C58C0A" w14:textId="77777777" w:rsidR="00CE75D4" w:rsidRDefault="00CE75D4" w:rsidP="00817CFB">
      <w:pPr>
        <w:pStyle w:val="ARfinbullet1"/>
        <w:numPr>
          <w:ilvl w:val="0"/>
          <w:numId w:val="30"/>
        </w:numPr>
        <w:textAlignment w:val="auto"/>
      </w:pPr>
      <w:r>
        <w:t>the rights to receive cash flows from the asset have expired, or</w:t>
      </w:r>
    </w:p>
    <w:p w14:paraId="039A2B5C" w14:textId="77777777" w:rsidR="00CE75D4" w:rsidRDefault="00CE75D4" w:rsidP="00817CFB">
      <w:pPr>
        <w:pStyle w:val="ARfinbullet1"/>
        <w:numPr>
          <w:ilvl w:val="0"/>
          <w:numId w:val="30"/>
        </w:numPr>
        <w:textAlignment w:val="auto"/>
      </w:pPr>
      <w:r>
        <w:t>the department retains the right to receive cash flows from the asset, but has assumed an obligation to pay them in full without material delay to a third party under a ‘pass through’ arrangement, or</w:t>
      </w:r>
    </w:p>
    <w:p w14:paraId="4C7E2616" w14:textId="77777777" w:rsidR="00CE75D4" w:rsidRDefault="00CE75D4" w:rsidP="00817CFB">
      <w:pPr>
        <w:pStyle w:val="ARfinbullet1"/>
        <w:numPr>
          <w:ilvl w:val="0"/>
          <w:numId w:val="30"/>
        </w:numPr>
        <w:textAlignment w:val="auto"/>
      </w:pPr>
      <w:r>
        <w:t>the department has transferred its rights to receive cash flows from the asset and either:</w:t>
      </w:r>
    </w:p>
    <w:p w14:paraId="1E8806A4" w14:textId="77777777" w:rsidR="00CE75D4" w:rsidRDefault="00CE75D4" w:rsidP="00817CFB">
      <w:pPr>
        <w:pStyle w:val="ARfinbullet2"/>
        <w:numPr>
          <w:ilvl w:val="1"/>
          <w:numId w:val="30"/>
        </w:numPr>
        <w:textAlignment w:val="auto"/>
      </w:pPr>
      <w:r>
        <w:t>has transferred substantially all the risks and rewards of the asset, or</w:t>
      </w:r>
    </w:p>
    <w:p w14:paraId="63738397" w14:textId="77777777" w:rsidR="00CE75D4" w:rsidRDefault="00CE75D4" w:rsidP="00817CFB">
      <w:pPr>
        <w:pStyle w:val="ARfinbullet2"/>
        <w:numPr>
          <w:ilvl w:val="1"/>
          <w:numId w:val="30"/>
        </w:numPr>
        <w:textAlignment w:val="auto"/>
      </w:pPr>
      <w:r>
        <w:t>has neither transferred nor retained substantially all the risks and rewards of the asset, but has transferred control of the asset.</w:t>
      </w:r>
    </w:p>
    <w:p w14:paraId="618C12AB" w14:textId="77777777" w:rsidR="00CE75D4" w:rsidRDefault="00CE75D4" w:rsidP="008340C1">
      <w:pPr>
        <w:pStyle w:val="ARfinbody"/>
      </w:pPr>
      <w:r>
        <w:t>Where the department has neither transferred nor retained substantially all the risks and rewards or transferred control, the asset is recognised to the extent of the department’s continuing involvement in the asset.</w:t>
      </w:r>
    </w:p>
    <w:p w14:paraId="55B509A7" w14:textId="77777777" w:rsidR="00CE75D4" w:rsidRDefault="00CE75D4" w:rsidP="008340C1">
      <w:pPr>
        <w:pStyle w:val="ARfinbody"/>
      </w:pPr>
      <w:r>
        <w:rPr>
          <w:rStyle w:val="Strong"/>
        </w:rPr>
        <w:t>Derecognition of financial liabilities:</w:t>
      </w:r>
      <w:r>
        <w:t xml:space="preserve"> A financial liability is derecognised when the obligation under the liability is discharged, cancelled or expires.</w:t>
      </w:r>
    </w:p>
    <w:p w14:paraId="1D403C36" w14:textId="77777777" w:rsidR="00CE75D4" w:rsidRDefault="00CE75D4" w:rsidP="008340C1">
      <w:pPr>
        <w:pStyle w:val="ARfinbody"/>
      </w:pPr>
      <w:r>
        <w:t>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‘other economic flow’ in the comprehensive operating statement.</w:t>
      </w:r>
    </w:p>
    <w:p w14:paraId="4452B6B6" w14:textId="77777777" w:rsidR="00CE75D4" w:rsidRPr="004903CE" w:rsidRDefault="00CE75D4" w:rsidP="008340C1">
      <w:pPr>
        <w:pStyle w:val="Heading5"/>
      </w:pPr>
      <w:r>
        <w:rPr>
          <w:lang w:eastAsia="en-AU"/>
        </w:rPr>
        <w:t>8.1.1 Financial instruments: Categorisation</w:t>
      </w:r>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CE75D4" w:rsidRPr="002029AF" w14:paraId="44D3C446" w14:textId="77777777" w:rsidTr="7651A878">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34384ED1" w14:textId="77777777" w:rsidR="00CE75D4" w:rsidRPr="002029AF" w:rsidRDefault="00CE75D4" w:rsidP="00860E95">
            <w:pPr>
              <w:pStyle w:val="ARfintablecolhead"/>
            </w:pPr>
            <w:r>
              <w:t>2022</w:t>
            </w:r>
          </w:p>
        </w:tc>
        <w:tc>
          <w:tcPr>
            <w:tcW w:w="1418" w:type="dxa"/>
            <w:tcBorders>
              <w:bottom w:val="single" w:sz="4" w:space="0" w:color="auto"/>
            </w:tcBorders>
            <w:hideMark/>
          </w:tcPr>
          <w:p w14:paraId="6F347493" w14:textId="77777777" w:rsidR="00CE75D4" w:rsidRPr="002029AF" w:rsidRDefault="00CE75D4" w:rsidP="00860E95">
            <w:pPr>
              <w:pStyle w:val="ARfintablecolheadright"/>
            </w:pPr>
            <w:r w:rsidRPr="002029AF">
              <w:t>Cash and deposits</w:t>
            </w:r>
          </w:p>
          <w:p w14:paraId="4A6924A3" w14:textId="77777777" w:rsidR="00CE75D4" w:rsidRPr="002029AF" w:rsidRDefault="00CE75D4" w:rsidP="00860E95">
            <w:pPr>
              <w:pStyle w:val="ARfintablecolheadright"/>
            </w:pPr>
            <w:r w:rsidRPr="002029AF">
              <w:t>$M</w:t>
            </w:r>
          </w:p>
        </w:tc>
        <w:tc>
          <w:tcPr>
            <w:tcW w:w="1417" w:type="dxa"/>
            <w:tcBorders>
              <w:bottom w:val="single" w:sz="4" w:space="0" w:color="auto"/>
            </w:tcBorders>
            <w:hideMark/>
          </w:tcPr>
          <w:p w14:paraId="3EAF5702" w14:textId="0971D8A4" w:rsidR="00CE75D4" w:rsidRPr="002029AF" w:rsidRDefault="00CE75D4" w:rsidP="00860E95">
            <w:pPr>
              <w:pStyle w:val="ARfintablecolheadright"/>
            </w:pPr>
            <w:r>
              <w:t xml:space="preserve">Financial </w:t>
            </w:r>
            <w:r>
              <w:br/>
              <w:t>assets at amortised cost</w:t>
            </w:r>
          </w:p>
          <w:p w14:paraId="67A9C0BD" w14:textId="77777777" w:rsidR="00CE75D4" w:rsidRPr="002029AF" w:rsidRDefault="00CE75D4" w:rsidP="00860E95">
            <w:pPr>
              <w:pStyle w:val="ARfintablecolheadright"/>
            </w:pPr>
            <w:r w:rsidRPr="002029AF">
              <w:t>$M</w:t>
            </w:r>
          </w:p>
        </w:tc>
        <w:tc>
          <w:tcPr>
            <w:tcW w:w="1417" w:type="dxa"/>
            <w:tcBorders>
              <w:bottom w:val="single" w:sz="4" w:space="0" w:color="auto"/>
            </w:tcBorders>
            <w:hideMark/>
          </w:tcPr>
          <w:p w14:paraId="76540AC4" w14:textId="56BEC55C" w:rsidR="00CE75D4" w:rsidRPr="002029AF" w:rsidRDefault="00CE75D4" w:rsidP="00860E95">
            <w:pPr>
              <w:pStyle w:val="ARfintablecolheadright"/>
            </w:pPr>
            <w:r>
              <w:t>Financial liabilities at amortised cost</w:t>
            </w:r>
          </w:p>
          <w:p w14:paraId="112E07ED" w14:textId="77777777" w:rsidR="00CE75D4" w:rsidRPr="002029AF" w:rsidRDefault="00CE75D4" w:rsidP="00860E95">
            <w:pPr>
              <w:pStyle w:val="ARfintablecolheadright"/>
            </w:pPr>
            <w:r w:rsidRPr="002029AF">
              <w:t>$M</w:t>
            </w:r>
          </w:p>
        </w:tc>
        <w:tc>
          <w:tcPr>
            <w:tcW w:w="1417" w:type="dxa"/>
            <w:tcBorders>
              <w:bottom w:val="single" w:sz="4" w:space="0" w:color="auto"/>
            </w:tcBorders>
            <w:hideMark/>
          </w:tcPr>
          <w:p w14:paraId="2DF2D934" w14:textId="77777777" w:rsidR="00CE75D4" w:rsidRPr="002029AF" w:rsidRDefault="00CE75D4" w:rsidP="00860E95">
            <w:pPr>
              <w:pStyle w:val="ARfintablecolheadright"/>
            </w:pPr>
            <w:r w:rsidRPr="002029AF">
              <w:t>Total</w:t>
            </w:r>
          </w:p>
          <w:p w14:paraId="58836C04" w14:textId="77777777" w:rsidR="00CE75D4" w:rsidRPr="002029AF" w:rsidRDefault="00CE75D4" w:rsidP="00860E95">
            <w:pPr>
              <w:pStyle w:val="ARfintablecolheadright"/>
            </w:pPr>
            <w:r w:rsidRPr="002029AF">
              <w:t>$M</w:t>
            </w:r>
          </w:p>
        </w:tc>
      </w:tr>
      <w:tr w:rsidR="00CE75D4" w:rsidRPr="002029AF" w14:paraId="056C5F26" w14:textId="77777777" w:rsidTr="7651A878">
        <w:tc>
          <w:tcPr>
            <w:tcW w:w="9637" w:type="dxa"/>
            <w:gridSpan w:val="5"/>
            <w:tcBorders>
              <w:top w:val="single" w:sz="4" w:space="0" w:color="auto"/>
              <w:bottom w:val="single" w:sz="4" w:space="0" w:color="A6A6A6" w:themeColor="background1" w:themeShade="A6"/>
            </w:tcBorders>
            <w:hideMark/>
          </w:tcPr>
          <w:p w14:paraId="0B1D7DB6" w14:textId="77777777" w:rsidR="00CE75D4" w:rsidRPr="002029AF" w:rsidRDefault="00CE75D4" w:rsidP="008340C1">
            <w:pPr>
              <w:pStyle w:val="ARfintablebodybold"/>
            </w:pPr>
            <w:r w:rsidRPr="001710B9">
              <w:t>Contractual financial assets</w:t>
            </w:r>
          </w:p>
        </w:tc>
      </w:tr>
      <w:tr w:rsidR="00CE75D4" w:rsidRPr="002029AF" w14:paraId="7EC1A1FB" w14:textId="77777777" w:rsidTr="7651A878">
        <w:tc>
          <w:tcPr>
            <w:tcW w:w="3968" w:type="dxa"/>
            <w:tcBorders>
              <w:top w:val="single" w:sz="4" w:space="0" w:color="A6A6A6" w:themeColor="background1" w:themeShade="A6"/>
              <w:bottom w:val="single" w:sz="4" w:space="0" w:color="A6A6A6" w:themeColor="background1" w:themeShade="A6"/>
            </w:tcBorders>
            <w:hideMark/>
          </w:tcPr>
          <w:p w14:paraId="298AF8D7" w14:textId="77777777" w:rsidR="00CE75D4" w:rsidRPr="002029AF" w:rsidRDefault="00CE75D4" w:rsidP="008340C1">
            <w:pPr>
              <w:pStyle w:val="ARfintablebody"/>
            </w:pPr>
            <w:r w:rsidRPr="001710B9">
              <w:t>Cash and deposits</w:t>
            </w:r>
          </w:p>
        </w:tc>
        <w:tc>
          <w:tcPr>
            <w:tcW w:w="1418" w:type="dxa"/>
            <w:tcBorders>
              <w:top w:val="single" w:sz="4" w:space="0" w:color="A6A6A6" w:themeColor="background1" w:themeShade="A6"/>
              <w:bottom w:val="single" w:sz="4" w:space="0" w:color="A6A6A6" w:themeColor="background1" w:themeShade="A6"/>
            </w:tcBorders>
            <w:noWrap/>
            <w:hideMark/>
          </w:tcPr>
          <w:p w14:paraId="5379273F" w14:textId="77777777" w:rsidR="00CE75D4" w:rsidRPr="002029AF" w:rsidRDefault="00CE75D4" w:rsidP="008340C1">
            <w:pPr>
              <w:pStyle w:val="ARfintablebodyright"/>
            </w:pPr>
            <w:r w:rsidRPr="001710B9">
              <w:t>106.3</w:t>
            </w:r>
          </w:p>
        </w:tc>
        <w:tc>
          <w:tcPr>
            <w:tcW w:w="1417" w:type="dxa"/>
            <w:tcBorders>
              <w:top w:val="single" w:sz="4" w:space="0" w:color="A6A6A6" w:themeColor="background1" w:themeShade="A6"/>
              <w:bottom w:val="single" w:sz="4" w:space="0" w:color="A6A6A6" w:themeColor="background1" w:themeShade="A6"/>
            </w:tcBorders>
            <w:noWrap/>
            <w:hideMark/>
          </w:tcPr>
          <w:p w14:paraId="69E37F3D" w14:textId="77777777" w:rsidR="00CE75D4" w:rsidRPr="002029AF" w:rsidRDefault="00CE75D4" w:rsidP="008340C1">
            <w:pPr>
              <w:pStyle w:val="ARfintablebodyright"/>
            </w:pPr>
            <w:r>
              <w:t>–</w:t>
            </w:r>
          </w:p>
        </w:tc>
        <w:tc>
          <w:tcPr>
            <w:tcW w:w="1417" w:type="dxa"/>
            <w:tcBorders>
              <w:top w:val="single" w:sz="4" w:space="0" w:color="A6A6A6" w:themeColor="background1" w:themeShade="A6"/>
              <w:bottom w:val="single" w:sz="4" w:space="0" w:color="A6A6A6" w:themeColor="background1" w:themeShade="A6"/>
            </w:tcBorders>
            <w:noWrap/>
            <w:hideMark/>
          </w:tcPr>
          <w:p w14:paraId="579541D1" w14:textId="77777777" w:rsidR="00CE75D4" w:rsidRPr="002029AF" w:rsidRDefault="00CE75D4" w:rsidP="008340C1">
            <w:pPr>
              <w:pStyle w:val="ARfintablebodyright"/>
            </w:pPr>
            <w:r>
              <w:t>–</w:t>
            </w:r>
          </w:p>
        </w:tc>
        <w:tc>
          <w:tcPr>
            <w:tcW w:w="1417" w:type="dxa"/>
            <w:tcBorders>
              <w:top w:val="single" w:sz="4" w:space="0" w:color="A6A6A6" w:themeColor="background1" w:themeShade="A6"/>
              <w:bottom w:val="single" w:sz="4" w:space="0" w:color="A6A6A6" w:themeColor="background1" w:themeShade="A6"/>
            </w:tcBorders>
            <w:noWrap/>
            <w:hideMark/>
          </w:tcPr>
          <w:p w14:paraId="140AD608" w14:textId="77777777" w:rsidR="00CE75D4" w:rsidRPr="002029AF" w:rsidRDefault="00CE75D4" w:rsidP="008340C1">
            <w:pPr>
              <w:pStyle w:val="ARfintablebodyright"/>
            </w:pPr>
            <w:r w:rsidRPr="001710B9">
              <w:t>106.3</w:t>
            </w:r>
          </w:p>
        </w:tc>
      </w:tr>
      <w:tr w:rsidR="00CE75D4" w:rsidRPr="002029AF" w14:paraId="7E9DB0DF" w14:textId="77777777" w:rsidTr="7651A878">
        <w:tc>
          <w:tcPr>
            <w:tcW w:w="3968" w:type="dxa"/>
            <w:tcBorders>
              <w:top w:val="single" w:sz="4" w:space="0" w:color="A6A6A6" w:themeColor="background1" w:themeShade="A6"/>
              <w:bottom w:val="single" w:sz="4" w:space="0" w:color="A6A6A6" w:themeColor="background1" w:themeShade="A6"/>
            </w:tcBorders>
            <w:hideMark/>
          </w:tcPr>
          <w:p w14:paraId="65701969" w14:textId="77777777" w:rsidR="00CE75D4" w:rsidRPr="002029AF" w:rsidRDefault="00CE75D4" w:rsidP="008340C1">
            <w:pPr>
              <w:pStyle w:val="ARfintablebody"/>
            </w:pPr>
            <w:r w:rsidRPr="001710B9">
              <w:t xml:space="preserve">Receivables </w:t>
            </w:r>
            <w:r w:rsidRPr="00F66746">
              <w:rPr>
                <w:rStyle w:val="Superscript"/>
              </w:rPr>
              <w:t>(i)</w:t>
            </w:r>
          </w:p>
        </w:tc>
        <w:tc>
          <w:tcPr>
            <w:tcW w:w="1418" w:type="dxa"/>
            <w:tcBorders>
              <w:top w:val="single" w:sz="4" w:space="0" w:color="A6A6A6" w:themeColor="background1" w:themeShade="A6"/>
              <w:bottom w:val="single" w:sz="4" w:space="0" w:color="A6A6A6" w:themeColor="background1" w:themeShade="A6"/>
            </w:tcBorders>
            <w:noWrap/>
            <w:hideMark/>
          </w:tcPr>
          <w:p w14:paraId="188BBB52" w14:textId="77777777" w:rsidR="00CE75D4" w:rsidRPr="002029AF" w:rsidRDefault="00CE75D4" w:rsidP="008340C1">
            <w:pPr>
              <w:pStyle w:val="ARfintablebodyright"/>
            </w:pPr>
            <w:r>
              <w:t>–</w:t>
            </w:r>
          </w:p>
        </w:tc>
        <w:tc>
          <w:tcPr>
            <w:tcW w:w="1417" w:type="dxa"/>
            <w:tcBorders>
              <w:top w:val="single" w:sz="4" w:space="0" w:color="A6A6A6" w:themeColor="background1" w:themeShade="A6"/>
              <w:bottom w:val="single" w:sz="4" w:space="0" w:color="A6A6A6" w:themeColor="background1" w:themeShade="A6"/>
            </w:tcBorders>
            <w:noWrap/>
            <w:hideMark/>
          </w:tcPr>
          <w:p w14:paraId="439DFB07" w14:textId="77777777" w:rsidR="00CE75D4" w:rsidRPr="002029AF" w:rsidRDefault="00CE75D4" w:rsidP="008340C1">
            <w:pPr>
              <w:pStyle w:val="ARfintablebodyright"/>
            </w:pPr>
            <w:r w:rsidRPr="001710B9">
              <w:t>1,127.3</w:t>
            </w:r>
          </w:p>
        </w:tc>
        <w:tc>
          <w:tcPr>
            <w:tcW w:w="1417" w:type="dxa"/>
            <w:tcBorders>
              <w:top w:val="single" w:sz="4" w:space="0" w:color="A6A6A6" w:themeColor="background1" w:themeShade="A6"/>
              <w:bottom w:val="single" w:sz="4" w:space="0" w:color="A6A6A6" w:themeColor="background1" w:themeShade="A6"/>
            </w:tcBorders>
            <w:noWrap/>
            <w:hideMark/>
          </w:tcPr>
          <w:p w14:paraId="1EB404E6" w14:textId="77777777" w:rsidR="00CE75D4" w:rsidRPr="002029AF" w:rsidRDefault="00CE75D4" w:rsidP="008340C1">
            <w:pPr>
              <w:pStyle w:val="ARfintablebodyright"/>
            </w:pPr>
            <w:r>
              <w:t>–</w:t>
            </w:r>
          </w:p>
        </w:tc>
        <w:tc>
          <w:tcPr>
            <w:tcW w:w="1417" w:type="dxa"/>
            <w:tcBorders>
              <w:top w:val="single" w:sz="4" w:space="0" w:color="A6A6A6" w:themeColor="background1" w:themeShade="A6"/>
              <w:bottom w:val="single" w:sz="4" w:space="0" w:color="A6A6A6" w:themeColor="background1" w:themeShade="A6"/>
            </w:tcBorders>
            <w:noWrap/>
            <w:hideMark/>
          </w:tcPr>
          <w:p w14:paraId="7B2CBEB9" w14:textId="77777777" w:rsidR="00CE75D4" w:rsidRPr="002029AF" w:rsidRDefault="00CE75D4" w:rsidP="008340C1">
            <w:pPr>
              <w:pStyle w:val="ARfintablebodyright"/>
            </w:pPr>
            <w:r w:rsidRPr="001710B9">
              <w:t>1,127.3</w:t>
            </w:r>
          </w:p>
        </w:tc>
      </w:tr>
      <w:tr w:rsidR="00CE75D4" w:rsidRPr="002029AF" w14:paraId="116EC571" w14:textId="77777777" w:rsidTr="7651A878">
        <w:tc>
          <w:tcPr>
            <w:tcW w:w="3968" w:type="dxa"/>
            <w:tcBorders>
              <w:top w:val="single" w:sz="4" w:space="0" w:color="A6A6A6" w:themeColor="background1" w:themeShade="A6"/>
            </w:tcBorders>
            <w:hideMark/>
          </w:tcPr>
          <w:p w14:paraId="029749FC" w14:textId="77777777" w:rsidR="00CE75D4" w:rsidRPr="002029AF" w:rsidRDefault="00CE75D4" w:rsidP="008340C1">
            <w:pPr>
              <w:pStyle w:val="ARfintablebody"/>
            </w:pPr>
            <w:r w:rsidRPr="001710B9">
              <w:t xml:space="preserve">Loans </w:t>
            </w:r>
          </w:p>
        </w:tc>
        <w:tc>
          <w:tcPr>
            <w:tcW w:w="1418" w:type="dxa"/>
            <w:tcBorders>
              <w:top w:val="single" w:sz="4" w:space="0" w:color="A6A6A6" w:themeColor="background1" w:themeShade="A6"/>
            </w:tcBorders>
            <w:noWrap/>
            <w:hideMark/>
          </w:tcPr>
          <w:p w14:paraId="00FDFC7A" w14:textId="77777777" w:rsidR="00CE75D4" w:rsidRPr="002029AF" w:rsidRDefault="00CE75D4" w:rsidP="008340C1">
            <w:pPr>
              <w:pStyle w:val="ARfintablebodyright"/>
            </w:pPr>
            <w:r>
              <w:t>–</w:t>
            </w:r>
          </w:p>
        </w:tc>
        <w:tc>
          <w:tcPr>
            <w:tcW w:w="1417" w:type="dxa"/>
            <w:tcBorders>
              <w:top w:val="single" w:sz="4" w:space="0" w:color="A6A6A6" w:themeColor="background1" w:themeShade="A6"/>
            </w:tcBorders>
            <w:noWrap/>
            <w:hideMark/>
          </w:tcPr>
          <w:p w14:paraId="2ACB8314" w14:textId="77777777" w:rsidR="00CE75D4" w:rsidRPr="002029AF" w:rsidRDefault="00CE75D4" w:rsidP="008340C1">
            <w:pPr>
              <w:pStyle w:val="ARfintablebodyright"/>
            </w:pPr>
            <w:r w:rsidRPr="001710B9">
              <w:t>75.2</w:t>
            </w:r>
          </w:p>
        </w:tc>
        <w:tc>
          <w:tcPr>
            <w:tcW w:w="1417" w:type="dxa"/>
            <w:tcBorders>
              <w:top w:val="single" w:sz="4" w:space="0" w:color="A6A6A6" w:themeColor="background1" w:themeShade="A6"/>
            </w:tcBorders>
            <w:noWrap/>
            <w:hideMark/>
          </w:tcPr>
          <w:p w14:paraId="5C706DED" w14:textId="77777777" w:rsidR="00CE75D4" w:rsidRPr="002029AF" w:rsidRDefault="00CE75D4" w:rsidP="008340C1">
            <w:pPr>
              <w:pStyle w:val="ARfintablebodyright"/>
            </w:pPr>
            <w:r>
              <w:t>–</w:t>
            </w:r>
          </w:p>
        </w:tc>
        <w:tc>
          <w:tcPr>
            <w:tcW w:w="1417" w:type="dxa"/>
            <w:tcBorders>
              <w:top w:val="single" w:sz="4" w:space="0" w:color="A6A6A6" w:themeColor="background1" w:themeShade="A6"/>
            </w:tcBorders>
            <w:noWrap/>
            <w:hideMark/>
          </w:tcPr>
          <w:p w14:paraId="6035F7C2" w14:textId="77777777" w:rsidR="00CE75D4" w:rsidRPr="002029AF" w:rsidRDefault="00CE75D4" w:rsidP="008340C1">
            <w:pPr>
              <w:pStyle w:val="ARfintablebodyright"/>
            </w:pPr>
            <w:r w:rsidRPr="001710B9">
              <w:t>75.2</w:t>
            </w:r>
          </w:p>
        </w:tc>
      </w:tr>
      <w:tr w:rsidR="00CE75D4" w:rsidRPr="002029AF" w14:paraId="073DF8CA" w14:textId="77777777" w:rsidTr="7651A878">
        <w:tc>
          <w:tcPr>
            <w:tcW w:w="3968" w:type="dxa"/>
            <w:tcBorders>
              <w:bottom w:val="single" w:sz="4" w:space="0" w:color="auto"/>
            </w:tcBorders>
            <w:hideMark/>
          </w:tcPr>
          <w:p w14:paraId="61992C1B" w14:textId="77777777" w:rsidR="00CE75D4" w:rsidRPr="002029AF" w:rsidRDefault="00CE75D4" w:rsidP="008340C1">
            <w:pPr>
              <w:pStyle w:val="ARfintablebodybold"/>
            </w:pPr>
            <w:r w:rsidRPr="001710B9">
              <w:t>Total contractual financial assets</w:t>
            </w:r>
          </w:p>
        </w:tc>
        <w:tc>
          <w:tcPr>
            <w:tcW w:w="1418" w:type="dxa"/>
            <w:tcBorders>
              <w:bottom w:val="single" w:sz="4" w:space="0" w:color="auto"/>
            </w:tcBorders>
            <w:noWrap/>
            <w:hideMark/>
          </w:tcPr>
          <w:p w14:paraId="4C3E0085" w14:textId="77777777" w:rsidR="00CE75D4" w:rsidRPr="002029AF" w:rsidRDefault="00CE75D4" w:rsidP="008340C1">
            <w:pPr>
              <w:pStyle w:val="ARfintablebodyrightbold"/>
            </w:pPr>
            <w:r w:rsidRPr="001710B9">
              <w:t>106.3</w:t>
            </w:r>
          </w:p>
        </w:tc>
        <w:tc>
          <w:tcPr>
            <w:tcW w:w="1417" w:type="dxa"/>
            <w:tcBorders>
              <w:bottom w:val="single" w:sz="4" w:space="0" w:color="auto"/>
            </w:tcBorders>
            <w:noWrap/>
            <w:hideMark/>
          </w:tcPr>
          <w:p w14:paraId="01A6B9B3" w14:textId="77777777" w:rsidR="00CE75D4" w:rsidRPr="002029AF" w:rsidRDefault="00CE75D4" w:rsidP="008340C1">
            <w:pPr>
              <w:pStyle w:val="ARfintablebodyrightbold"/>
            </w:pPr>
            <w:r w:rsidRPr="001710B9">
              <w:t>1,202.5</w:t>
            </w:r>
          </w:p>
        </w:tc>
        <w:tc>
          <w:tcPr>
            <w:tcW w:w="1417" w:type="dxa"/>
            <w:tcBorders>
              <w:bottom w:val="single" w:sz="4" w:space="0" w:color="auto"/>
            </w:tcBorders>
            <w:noWrap/>
            <w:hideMark/>
          </w:tcPr>
          <w:p w14:paraId="742EB129" w14:textId="77777777" w:rsidR="00CE75D4" w:rsidRPr="002029AF" w:rsidRDefault="00CE75D4" w:rsidP="008340C1">
            <w:pPr>
              <w:pStyle w:val="ARfintablebodyrightbold"/>
            </w:pPr>
            <w:r>
              <w:t>–</w:t>
            </w:r>
          </w:p>
        </w:tc>
        <w:tc>
          <w:tcPr>
            <w:tcW w:w="1417" w:type="dxa"/>
            <w:tcBorders>
              <w:bottom w:val="single" w:sz="4" w:space="0" w:color="auto"/>
            </w:tcBorders>
            <w:noWrap/>
            <w:hideMark/>
          </w:tcPr>
          <w:p w14:paraId="3E4F6762" w14:textId="77777777" w:rsidR="00CE75D4" w:rsidRPr="002029AF" w:rsidRDefault="00CE75D4" w:rsidP="008340C1">
            <w:pPr>
              <w:pStyle w:val="ARfintablebodyrightbold"/>
            </w:pPr>
            <w:r w:rsidRPr="001710B9">
              <w:t>1,308.8</w:t>
            </w:r>
          </w:p>
        </w:tc>
      </w:tr>
      <w:tr w:rsidR="00CE75D4" w:rsidRPr="002029AF" w14:paraId="5433E441" w14:textId="77777777" w:rsidTr="7651A878">
        <w:tc>
          <w:tcPr>
            <w:tcW w:w="9637" w:type="dxa"/>
            <w:gridSpan w:val="5"/>
            <w:tcBorders>
              <w:top w:val="single" w:sz="4" w:space="0" w:color="auto"/>
              <w:bottom w:val="single" w:sz="4" w:space="0" w:color="A6A6A6" w:themeColor="background1" w:themeShade="A6"/>
            </w:tcBorders>
            <w:hideMark/>
          </w:tcPr>
          <w:p w14:paraId="6F7E1D38" w14:textId="77777777" w:rsidR="00CE75D4" w:rsidRPr="002029AF" w:rsidRDefault="00CE75D4" w:rsidP="008340C1">
            <w:pPr>
              <w:pStyle w:val="ARfintablebodybold"/>
            </w:pPr>
            <w:r w:rsidRPr="001710B9">
              <w:t>Contractual financial liabilities</w:t>
            </w:r>
          </w:p>
        </w:tc>
      </w:tr>
      <w:tr w:rsidR="00CE75D4" w:rsidRPr="002029AF" w14:paraId="39FC2AAC" w14:textId="77777777" w:rsidTr="7651A878">
        <w:tc>
          <w:tcPr>
            <w:tcW w:w="3968" w:type="dxa"/>
            <w:tcBorders>
              <w:top w:val="single" w:sz="4" w:space="0" w:color="A6A6A6" w:themeColor="background1" w:themeShade="A6"/>
              <w:bottom w:val="single" w:sz="4" w:space="0" w:color="A6A6A6" w:themeColor="background1" w:themeShade="A6"/>
            </w:tcBorders>
            <w:hideMark/>
          </w:tcPr>
          <w:p w14:paraId="65C875A4" w14:textId="77777777" w:rsidR="00CE75D4" w:rsidRPr="002029AF" w:rsidRDefault="00CE75D4" w:rsidP="008340C1">
            <w:pPr>
              <w:pStyle w:val="ARfintablebody"/>
            </w:pPr>
            <w:r w:rsidRPr="001710B9">
              <w:t xml:space="preserve">Payables </w:t>
            </w:r>
            <w:r w:rsidRPr="00F66746">
              <w:rPr>
                <w:rStyle w:val="Superscript"/>
              </w:rPr>
              <w:t>(i)</w:t>
            </w:r>
          </w:p>
        </w:tc>
        <w:tc>
          <w:tcPr>
            <w:tcW w:w="1418" w:type="dxa"/>
            <w:tcBorders>
              <w:top w:val="single" w:sz="4" w:space="0" w:color="A6A6A6" w:themeColor="background1" w:themeShade="A6"/>
              <w:bottom w:val="single" w:sz="4" w:space="0" w:color="A6A6A6" w:themeColor="background1" w:themeShade="A6"/>
            </w:tcBorders>
            <w:noWrap/>
            <w:hideMark/>
          </w:tcPr>
          <w:p w14:paraId="56560139" w14:textId="77777777" w:rsidR="00CE75D4" w:rsidRPr="002029AF" w:rsidRDefault="00CE75D4" w:rsidP="008340C1">
            <w:pPr>
              <w:pStyle w:val="ARfintablebodyright"/>
            </w:pPr>
            <w:r>
              <w:t>–</w:t>
            </w:r>
          </w:p>
        </w:tc>
        <w:tc>
          <w:tcPr>
            <w:tcW w:w="1417" w:type="dxa"/>
            <w:tcBorders>
              <w:top w:val="single" w:sz="4" w:space="0" w:color="A6A6A6" w:themeColor="background1" w:themeShade="A6"/>
              <w:bottom w:val="single" w:sz="4" w:space="0" w:color="A6A6A6" w:themeColor="background1" w:themeShade="A6"/>
            </w:tcBorders>
            <w:noWrap/>
            <w:hideMark/>
          </w:tcPr>
          <w:p w14:paraId="3C79D015" w14:textId="77777777" w:rsidR="00CE75D4" w:rsidRPr="002029AF" w:rsidRDefault="00CE75D4" w:rsidP="008340C1">
            <w:pPr>
              <w:pStyle w:val="ARfintablebodyright"/>
            </w:pPr>
            <w:r>
              <w:t>–</w:t>
            </w:r>
          </w:p>
        </w:tc>
        <w:tc>
          <w:tcPr>
            <w:tcW w:w="1417" w:type="dxa"/>
            <w:tcBorders>
              <w:top w:val="single" w:sz="4" w:space="0" w:color="A6A6A6" w:themeColor="background1" w:themeShade="A6"/>
              <w:bottom w:val="single" w:sz="4" w:space="0" w:color="A6A6A6" w:themeColor="background1" w:themeShade="A6"/>
            </w:tcBorders>
            <w:noWrap/>
            <w:hideMark/>
          </w:tcPr>
          <w:p w14:paraId="28309072" w14:textId="77777777" w:rsidR="00CE75D4" w:rsidRPr="002029AF" w:rsidRDefault="00CE75D4" w:rsidP="008340C1">
            <w:pPr>
              <w:pStyle w:val="ARfintablebodyright"/>
            </w:pPr>
            <w:r w:rsidRPr="001710B9">
              <w:t>1,895.7</w:t>
            </w:r>
          </w:p>
        </w:tc>
        <w:tc>
          <w:tcPr>
            <w:tcW w:w="1417" w:type="dxa"/>
            <w:tcBorders>
              <w:top w:val="single" w:sz="4" w:space="0" w:color="A6A6A6" w:themeColor="background1" w:themeShade="A6"/>
              <w:bottom w:val="single" w:sz="4" w:space="0" w:color="A6A6A6" w:themeColor="background1" w:themeShade="A6"/>
            </w:tcBorders>
            <w:noWrap/>
            <w:hideMark/>
          </w:tcPr>
          <w:p w14:paraId="6A221E95" w14:textId="77777777" w:rsidR="00CE75D4" w:rsidRPr="002029AF" w:rsidRDefault="00CE75D4" w:rsidP="008340C1">
            <w:pPr>
              <w:pStyle w:val="ARfintablebodyright"/>
            </w:pPr>
            <w:r w:rsidRPr="001710B9">
              <w:t>1,895.7</w:t>
            </w:r>
          </w:p>
        </w:tc>
      </w:tr>
      <w:tr w:rsidR="00CE75D4" w:rsidRPr="002029AF" w14:paraId="5311EA57" w14:textId="77777777" w:rsidTr="7651A878">
        <w:tc>
          <w:tcPr>
            <w:tcW w:w="3968" w:type="dxa"/>
            <w:tcBorders>
              <w:top w:val="single" w:sz="4" w:space="0" w:color="A6A6A6" w:themeColor="background1" w:themeShade="A6"/>
            </w:tcBorders>
            <w:hideMark/>
          </w:tcPr>
          <w:p w14:paraId="19FDDB95" w14:textId="77777777" w:rsidR="00CE75D4" w:rsidRPr="002029AF" w:rsidRDefault="00CE75D4" w:rsidP="008340C1">
            <w:pPr>
              <w:pStyle w:val="ARfintablebody"/>
            </w:pPr>
            <w:r w:rsidRPr="001710B9">
              <w:t xml:space="preserve">Borrowings </w:t>
            </w:r>
            <w:r w:rsidRPr="00F66746">
              <w:rPr>
                <w:rStyle w:val="Superscript"/>
              </w:rPr>
              <w:t>(i)</w:t>
            </w:r>
          </w:p>
        </w:tc>
        <w:tc>
          <w:tcPr>
            <w:tcW w:w="1418" w:type="dxa"/>
            <w:tcBorders>
              <w:top w:val="single" w:sz="4" w:space="0" w:color="A6A6A6" w:themeColor="background1" w:themeShade="A6"/>
            </w:tcBorders>
            <w:noWrap/>
            <w:hideMark/>
          </w:tcPr>
          <w:p w14:paraId="3ADDA777" w14:textId="77777777" w:rsidR="00CE75D4" w:rsidRPr="002029AF" w:rsidRDefault="00CE75D4" w:rsidP="008340C1">
            <w:pPr>
              <w:pStyle w:val="ARfintablebodyright"/>
            </w:pPr>
            <w:r>
              <w:t>–</w:t>
            </w:r>
          </w:p>
        </w:tc>
        <w:tc>
          <w:tcPr>
            <w:tcW w:w="1417" w:type="dxa"/>
            <w:tcBorders>
              <w:top w:val="single" w:sz="4" w:space="0" w:color="A6A6A6" w:themeColor="background1" w:themeShade="A6"/>
            </w:tcBorders>
            <w:noWrap/>
            <w:hideMark/>
          </w:tcPr>
          <w:p w14:paraId="646E4CE1" w14:textId="77777777" w:rsidR="00CE75D4" w:rsidRPr="002029AF" w:rsidRDefault="00CE75D4" w:rsidP="008340C1">
            <w:pPr>
              <w:pStyle w:val="ARfintablebodyright"/>
            </w:pPr>
            <w:r>
              <w:t>–</w:t>
            </w:r>
          </w:p>
        </w:tc>
        <w:tc>
          <w:tcPr>
            <w:tcW w:w="1417" w:type="dxa"/>
            <w:tcBorders>
              <w:top w:val="single" w:sz="4" w:space="0" w:color="A6A6A6" w:themeColor="background1" w:themeShade="A6"/>
            </w:tcBorders>
            <w:noWrap/>
            <w:hideMark/>
          </w:tcPr>
          <w:p w14:paraId="76884CF8" w14:textId="77777777" w:rsidR="00CE75D4" w:rsidRPr="002029AF" w:rsidRDefault="00CE75D4" w:rsidP="008340C1">
            <w:pPr>
              <w:pStyle w:val="ARfintablebodyright"/>
            </w:pPr>
            <w:r w:rsidRPr="001710B9">
              <w:t>552.2</w:t>
            </w:r>
          </w:p>
        </w:tc>
        <w:tc>
          <w:tcPr>
            <w:tcW w:w="1417" w:type="dxa"/>
            <w:tcBorders>
              <w:top w:val="single" w:sz="4" w:space="0" w:color="A6A6A6" w:themeColor="background1" w:themeShade="A6"/>
            </w:tcBorders>
            <w:noWrap/>
            <w:hideMark/>
          </w:tcPr>
          <w:p w14:paraId="65FDC23F" w14:textId="77777777" w:rsidR="00CE75D4" w:rsidRPr="002029AF" w:rsidRDefault="00CE75D4" w:rsidP="008340C1">
            <w:pPr>
              <w:pStyle w:val="ARfintablebodyright"/>
            </w:pPr>
            <w:r w:rsidRPr="001710B9">
              <w:t>552.2</w:t>
            </w:r>
          </w:p>
        </w:tc>
      </w:tr>
      <w:tr w:rsidR="00CE75D4" w:rsidRPr="002029AF" w14:paraId="03057C3B" w14:textId="77777777" w:rsidTr="7651A878">
        <w:tc>
          <w:tcPr>
            <w:tcW w:w="3968" w:type="dxa"/>
            <w:hideMark/>
          </w:tcPr>
          <w:p w14:paraId="7157E451" w14:textId="77777777" w:rsidR="00CE75D4" w:rsidRPr="002029AF" w:rsidRDefault="00CE75D4" w:rsidP="008340C1">
            <w:pPr>
              <w:pStyle w:val="ARfintablebodybold"/>
            </w:pPr>
            <w:r w:rsidRPr="001710B9">
              <w:t>Total contractual financial liabilities</w:t>
            </w:r>
          </w:p>
        </w:tc>
        <w:tc>
          <w:tcPr>
            <w:tcW w:w="1418" w:type="dxa"/>
            <w:noWrap/>
            <w:hideMark/>
          </w:tcPr>
          <w:p w14:paraId="53DEFA06" w14:textId="77777777" w:rsidR="00CE75D4" w:rsidRPr="002029AF" w:rsidRDefault="00CE75D4" w:rsidP="008340C1">
            <w:pPr>
              <w:pStyle w:val="ARfintablebodyrightbold"/>
            </w:pPr>
            <w:r>
              <w:t>–</w:t>
            </w:r>
          </w:p>
        </w:tc>
        <w:tc>
          <w:tcPr>
            <w:tcW w:w="1417" w:type="dxa"/>
            <w:noWrap/>
            <w:hideMark/>
          </w:tcPr>
          <w:p w14:paraId="2C2AA919" w14:textId="77777777" w:rsidR="00CE75D4" w:rsidRPr="002029AF" w:rsidRDefault="00CE75D4" w:rsidP="008340C1">
            <w:pPr>
              <w:pStyle w:val="ARfintablebodyrightbold"/>
            </w:pPr>
            <w:r>
              <w:t>–</w:t>
            </w:r>
          </w:p>
        </w:tc>
        <w:tc>
          <w:tcPr>
            <w:tcW w:w="1417" w:type="dxa"/>
            <w:noWrap/>
            <w:hideMark/>
          </w:tcPr>
          <w:p w14:paraId="7BA5F3A7" w14:textId="77777777" w:rsidR="00CE75D4" w:rsidRPr="002029AF" w:rsidRDefault="00CE75D4" w:rsidP="008340C1">
            <w:pPr>
              <w:pStyle w:val="ARfintablebodyrightbold"/>
            </w:pPr>
            <w:r w:rsidRPr="001710B9">
              <w:t>2,447.9</w:t>
            </w:r>
          </w:p>
        </w:tc>
        <w:tc>
          <w:tcPr>
            <w:tcW w:w="1417" w:type="dxa"/>
            <w:noWrap/>
            <w:hideMark/>
          </w:tcPr>
          <w:p w14:paraId="28814A20" w14:textId="77777777" w:rsidR="00CE75D4" w:rsidRPr="002029AF" w:rsidRDefault="00CE75D4" w:rsidP="008340C1">
            <w:pPr>
              <w:pStyle w:val="ARfintablebodyrightbold"/>
            </w:pPr>
            <w:r w:rsidRPr="001710B9">
              <w:t>2,447.9</w:t>
            </w:r>
          </w:p>
        </w:tc>
      </w:tr>
    </w:tbl>
    <w:p w14:paraId="047B854E" w14:textId="77777777" w:rsidR="00CE75D4" w:rsidRPr="002029AF" w:rsidRDefault="00CE75D4" w:rsidP="00087B91">
      <w:pPr>
        <w:pStyle w:val="ARfinbody"/>
      </w:pPr>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CE75D4" w:rsidRPr="002029AF" w14:paraId="0141D69E" w14:textId="77777777" w:rsidTr="7651A878">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11B5B8B7" w14:textId="77777777" w:rsidR="00CE75D4" w:rsidRPr="002029AF" w:rsidRDefault="00CE75D4" w:rsidP="00860E95">
            <w:pPr>
              <w:pStyle w:val="ARfintablecolhead"/>
            </w:pPr>
            <w:r>
              <w:t>2021</w:t>
            </w:r>
          </w:p>
        </w:tc>
        <w:tc>
          <w:tcPr>
            <w:tcW w:w="1418" w:type="dxa"/>
            <w:tcBorders>
              <w:bottom w:val="single" w:sz="4" w:space="0" w:color="auto"/>
            </w:tcBorders>
            <w:hideMark/>
          </w:tcPr>
          <w:p w14:paraId="037BF183" w14:textId="77777777" w:rsidR="00CE75D4" w:rsidRPr="002029AF" w:rsidRDefault="00CE75D4" w:rsidP="00860E95">
            <w:pPr>
              <w:pStyle w:val="ARfintablecolheadright"/>
            </w:pPr>
            <w:r w:rsidRPr="002029AF">
              <w:t>Cash and deposits</w:t>
            </w:r>
          </w:p>
          <w:p w14:paraId="44ECE0D0" w14:textId="77777777" w:rsidR="00CE75D4" w:rsidRPr="002029AF" w:rsidRDefault="00CE75D4" w:rsidP="00860E95">
            <w:pPr>
              <w:pStyle w:val="ARfintablecolheadright"/>
            </w:pPr>
            <w:r w:rsidRPr="002029AF">
              <w:t>$M</w:t>
            </w:r>
          </w:p>
        </w:tc>
        <w:tc>
          <w:tcPr>
            <w:tcW w:w="1417" w:type="dxa"/>
            <w:tcBorders>
              <w:bottom w:val="single" w:sz="4" w:space="0" w:color="auto"/>
            </w:tcBorders>
            <w:hideMark/>
          </w:tcPr>
          <w:p w14:paraId="4E795203" w14:textId="684EA7A8" w:rsidR="00CE75D4" w:rsidRPr="002029AF" w:rsidRDefault="00CE75D4" w:rsidP="00860E95">
            <w:pPr>
              <w:pStyle w:val="ARfintablecolheadright"/>
            </w:pPr>
            <w:r>
              <w:t>Financial assets at amortised cost</w:t>
            </w:r>
          </w:p>
          <w:p w14:paraId="1F4C2B89" w14:textId="77777777" w:rsidR="00CE75D4" w:rsidRPr="002029AF" w:rsidRDefault="00CE75D4" w:rsidP="00860E95">
            <w:pPr>
              <w:pStyle w:val="ARfintablecolheadright"/>
            </w:pPr>
            <w:r w:rsidRPr="002029AF">
              <w:t>$M</w:t>
            </w:r>
          </w:p>
        </w:tc>
        <w:tc>
          <w:tcPr>
            <w:tcW w:w="1417" w:type="dxa"/>
            <w:tcBorders>
              <w:bottom w:val="single" w:sz="4" w:space="0" w:color="auto"/>
            </w:tcBorders>
            <w:hideMark/>
          </w:tcPr>
          <w:p w14:paraId="482EF691" w14:textId="3D081135" w:rsidR="00CE75D4" w:rsidRPr="002029AF" w:rsidRDefault="00CE75D4" w:rsidP="00860E95">
            <w:pPr>
              <w:pStyle w:val="ARfintablecolheadright"/>
            </w:pPr>
            <w:r>
              <w:t>Financial liabilities at amortised cost</w:t>
            </w:r>
          </w:p>
          <w:p w14:paraId="4CB603AC" w14:textId="77777777" w:rsidR="00CE75D4" w:rsidRPr="002029AF" w:rsidRDefault="00CE75D4" w:rsidP="00860E95">
            <w:pPr>
              <w:pStyle w:val="ARfintablecolheadright"/>
            </w:pPr>
            <w:r w:rsidRPr="002029AF">
              <w:t>$M</w:t>
            </w:r>
          </w:p>
        </w:tc>
        <w:tc>
          <w:tcPr>
            <w:tcW w:w="1417" w:type="dxa"/>
            <w:tcBorders>
              <w:bottom w:val="single" w:sz="4" w:space="0" w:color="auto"/>
            </w:tcBorders>
            <w:hideMark/>
          </w:tcPr>
          <w:p w14:paraId="7DB7C602" w14:textId="77777777" w:rsidR="00CE75D4" w:rsidRPr="002029AF" w:rsidRDefault="00CE75D4" w:rsidP="00860E95">
            <w:pPr>
              <w:pStyle w:val="ARfintablecolheadright"/>
            </w:pPr>
            <w:r w:rsidRPr="002029AF">
              <w:t>Total</w:t>
            </w:r>
          </w:p>
          <w:p w14:paraId="0E34237B" w14:textId="77777777" w:rsidR="00CE75D4" w:rsidRPr="002029AF" w:rsidRDefault="00CE75D4" w:rsidP="00860E95">
            <w:pPr>
              <w:pStyle w:val="ARfintablecolheadright"/>
            </w:pPr>
            <w:r w:rsidRPr="002029AF">
              <w:t>$M</w:t>
            </w:r>
          </w:p>
        </w:tc>
      </w:tr>
      <w:tr w:rsidR="00CE75D4" w:rsidRPr="002029AF" w14:paraId="1D1842C9" w14:textId="77777777" w:rsidTr="7651A878">
        <w:trPr>
          <w:trHeight w:val="255"/>
        </w:trPr>
        <w:tc>
          <w:tcPr>
            <w:tcW w:w="9637" w:type="dxa"/>
            <w:gridSpan w:val="5"/>
            <w:tcBorders>
              <w:top w:val="single" w:sz="4" w:space="0" w:color="auto"/>
              <w:bottom w:val="single" w:sz="4" w:space="0" w:color="A6A6A6" w:themeColor="background1" w:themeShade="A6"/>
            </w:tcBorders>
            <w:hideMark/>
          </w:tcPr>
          <w:p w14:paraId="55D30FF6" w14:textId="77777777" w:rsidR="00CE75D4" w:rsidRPr="002029AF" w:rsidRDefault="00CE75D4" w:rsidP="008340C1">
            <w:pPr>
              <w:pStyle w:val="ARfintablebodybold"/>
            </w:pPr>
            <w:r w:rsidRPr="0014589C">
              <w:t>Contractual financial assets</w:t>
            </w:r>
          </w:p>
        </w:tc>
      </w:tr>
      <w:tr w:rsidR="00CE75D4" w:rsidRPr="002029AF" w14:paraId="46B766C5" w14:textId="77777777" w:rsidTr="7651A878">
        <w:trPr>
          <w:trHeight w:val="255"/>
        </w:trPr>
        <w:tc>
          <w:tcPr>
            <w:tcW w:w="3968" w:type="dxa"/>
            <w:tcBorders>
              <w:top w:val="single" w:sz="4" w:space="0" w:color="A6A6A6" w:themeColor="background1" w:themeShade="A6"/>
              <w:bottom w:val="single" w:sz="4" w:space="0" w:color="A6A6A6" w:themeColor="background1" w:themeShade="A6"/>
            </w:tcBorders>
            <w:hideMark/>
          </w:tcPr>
          <w:p w14:paraId="46C6E5F9" w14:textId="77777777" w:rsidR="00CE75D4" w:rsidRPr="002029AF" w:rsidRDefault="00CE75D4" w:rsidP="008340C1">
            <w:pPr>
              <w:pStyle w:val="ARfintablebody"/>
            </w:pPr>
            <w:r w:rsidRPr="0014589C">
              <w:t>Cash and deposits</w:t>
            </w:r>
          </w:p>
        </w:tc>
        <w:tc>
          <w:tcPr>
            <w:tcW w:w="1418" w:type="dxa"/>
            <w:tcBorders>
              <w:top w:val="single" w:sz="4" w:space="0" w:color="A6A6A6" w:themeColor="background1" w:themeShade="A6"/>
              <w:bottom w:val="single" w:sz="4" w:space="0" w:color="A6A6A6" w:themeColor="background1" w:themeShade="A6"/>
            </w:tcBorders>
            <w:noWrap/>
            <w:hideMark/>
          </w:tcPr>
          <w:p w14:paraId="577149D6" w14:textId="77777777" w:rsidR="00CE75D4" w:rsidRPr="002029AF" w:rsidRDefault="00CE75D4" w:rsidP="008340C1">
            <w:pPr>
              <w:pStyle w:val="ARfintablebodyright"/>
            </w:pPr>
            <w:r w:rsidRPr="0014589C">
              <w:t>913.9</w:t>
            </w:r>
          </w:p>
        </w:tc>
        <w:tc>
          <w:tcPr>
            <w:tcW w:w="1417" w:type="dxa"/>
            <w:tcBorders>
              <w:top w:val="single" w:sz="4" w:space="0" w:color="A6A6A6" w:themeColor="background1" w:themeShade="A6"/>
              <w:bottom w:val="single" w:sz="4" w:space="0" w:color="A6A6A6" w:themeColor="background1" w:themeShade="A6"/>
            </w:tcBorders>
            <w:noWrap/>
            <w:hideMark/>
          </w:tcPr>
          <w:p w14:paraId="302A826A" w14:textId="77777777" w:rsidR="00CE75D4" w:rsidRPr="002029AF" w:rsidRDefault="00CE75D4" w:rsidP="008340C1">
            <w:pPr>
              <w:pStyle w:val="ARfintablebodyright"/>
            </w:pPr>
            <w:r>
              <w:t>–</w:t>
            </w:r>
          </w:p>
        </w:tc>
        <w:tc>
          <w:tcPr>
            <w:tcW w:w="1417" w:type="dxa"/>
            <w:tcBorders>
              <w:top w:val="single" w:sz="4" w:space="0" w:color="A6A6A6" w:themeColor="background1" w:themeShade="A6"/>
              <w:bottom w:val="single" w:sz="4" w:space="0" w:color="A6A6A6" w:themeColor="background1" w:themeShade="A6"/>
            </w:tcBorders>
            <w:noWrap/>
            <w:hideMark/>
          </w:tcPr>
          <w:p w14:paraId="69D9F705" w14:textId="77777777" w:rsidR="00CE75D4" w:rsidRPr="002029AF" w:rsidRDefault="00CE75D4" w:rsidP="008340C1">
            <w:pPr>
              <w:pStyle w:val="ARfintablebodyright"/>
            </w:pPr>
            <w:r>
              <w:t>–</w:t>
            </w:r>
          </w:p>
        </w:tc>
        <w:tc>
          <w:tcPr>
            <w:tcW w:w="1417" w:type="dxa"/>
            <w:tcBorders>
              <w:top w:val="single" w:sz="4" w:space="0" w:color="A6A6A6" w:themeColor="background1" w:themeShade="A6"/>
              <w:bottom w:val="single" w:sz="4" w:space="0" w:color="A6A6A6" w:themeColor="background1" w:themeShade="A6"/>
            </w:tcBorders>
            <w:noWrap/>
            <w:hideMark/>
          </w:tcPr>
          <w:p w14:paraId="69E664D6" w14:textId="77777777" w:rsidR="00CE75D4" w:rsidRPr="002029AF" w:rsidRDefault="00CE75D4" w:rsidP="008340C1">
            <w:pPr>
              <w:pStyle w:val="ARfintablebodyright"/>
            </w:pPr>
            <w:r w:rsidRPr="0014589C">
              <w:t>913.9</w:t>
            </w:r>
          </w:p>
        </w:tc>
      </w:tr>
      <w:tr w:rsidR="00CE75D4" w:rsidRPr="002029AF" w14:paraId="2F2EF595" w14:textId="77777777" w:rsidTr="7651A878">
        <w:trPr>
          <w:trHeight w:val="255"/>
        </w:trPr>
        <w:tc>
          <w:tcPr>
            <w:tcW w:w="3968" w:type="dxa"/>
            <w:tcBorders>
              <w:top w:val="single" w:sz="4" w:space="0" w:color="A6A6A6" w:themeColor="background1" w:themeShade="A6"/>
              <w:bottom w:val="single" w:sz="4" w:space="0" w:color="A6A6A6" w:themeColor="background1" w:themeShade="A6"/>
            </w:tcBorders>
            <w:hideMark/>
          </w:tcPr>
          <w:p w14:paraId="04EE652B" w14:textId="77777777" w:rsidR="00CE75D4" w:rsidRPr="002029AF" w:rsidRDefault="00CE75D4" w:rsidP="008340C1">
            <w:pPr>
              <w:pStyle w:val="ARfintablebody"/>
            </w:pPr>
            <w:r w:rsidRPr="0014589C">
              <w:t xml:space="preserve">Receivables </w:t>
            </w:r>
            <w:r w:rsidRPr="00F66746">
              <w:rPr>
                <w:rStyle w:val="Superscript"/>
              </w:rPr>
              <w:t>(i)</w:t>
            </w:r>
          </w:p>
        </w:tc>
        <w:tc>
          <w:tcPr>
            <w:tcW w:w="1418" w:type="dxa"/>
            <w:tcBorders>
              <w:top w:val="single" w:sz="4" w:space="0" w:color="A6A6A6" w:themeColor="background1" w:themeShade="A6"/>
              <w:bottom w:val="single" w:sz="4" w:space="0" w:color="A6A6A6" w:themeColor="background1" w:themeShade="A6"/>
            </w:tcBorders>
            <w:noWrap/>
            <w:hideMark/>
          </w:tcPr>
          <w:p w14:paraId="48ABCEAE" w14:textId="77777777" w:rsidR="00CE75D4" w:rsidRPr="002029AF" w:rsidRDefault="00CE75D4" w:rsidP="008340C1">
            <w:pPr>
              <w:pStyle w:val="ARfintablebodyright"/>
            </w:pPr>
            <w:r>
              <w:t>–</w:t>
            </w:r>
          </w:p>
        </w:tc>
        <w:tc>
          <w:tcPr>
            <w:tcW w:w="1417" w:type="dxa"/>
            <w:tcBorders>
              <w:top w:val="single" w:sz="4" w:space="0" w:color="A6A6A6" w:themeColor="background1" w:themeShade="A6"/>
              <w:bottom w:val="single" w:sz="4" w:space="0" w:color="A6A6A6" w:themeColor="background1" w:themeShade="A6"/>
            </w:tcBorders>
            <w:noWrap/>
            <w:hideMark/>
          </w:tcPr>
          <w:p w14:paraId="0224BB90" w14:textId="77777777" w:rsidR="00CE75D4" w:rsidRPr="002029AF" w:rsidRDefault="00CE75D4" w:rsidP="008340C1">
            <w:pPr>
              <w:pStyle w:val="ARfintablebodyright"/>
            </w:pPr>
            <w:r w:rsidRPr="0014589C">
              <w:t>341.9</w:t>
            </w:r>
          </w:p>
        </w:tc>
        <w:tc>
          <w:tcPr>
            <w:tcW w:w="1417" w:type="dxa"/>
            <w:tcBorders>
              <w:top w:val="single" w:sz="4" w:space="0" w:color="A6A6A6" w:themeColor="background1" w:themeShade="A6"/>
              <w:bottom w:val="single" w:sz="4" w:space="0" w:color="A6A6A6" w:themeColor="background1" w:themeShade="A6"/>
            </w:tcBorders>
            <w:noWrap/>
            <w:hideMark/>
          </w:tcPr>
          <w:p w14:paraId="563C2853" w14:textId="77777777" w:rsidR="00CE75D4" w:rsidRPr="002029AF" w:rsidRDefault="00CE75D4" w:rsidP="008340C1">
            <w:pPr>
              <w:pStyle w:val="ARfintablebodyright"/>
            </w:pPr>
            <w:r>
              <w:t>–</w:t>
            </w:r>
          </w:p>
        </w:tc>
        <w:tc>
          <w:tcPr>
            <w:tcW w:w="1417" w:type="dxa"/>
            <w:tcBorders>
              <w:top w:val="single" w:sz="4" w:space="0" w:color="A6A6A6" w:themeColor="background1" w:themeShade="A6"/>
              <w:bottom w:val="single" w:sz="4" w:space="0" w:color="A6A6A6" w:themeColor="background1" w:themeShade="A6"/>
            </w:tcBorders>
            <w:noWrap/>
            <w:hideMark/>
          </w:tcPr>
          <w:p w14:paraId="5CE3EE04" w14:textId="77777777" w:rsidR="00CE75D4" w:rsidRPr="002029AF" w:rsidRDefault="00CE75D4" w:rsidP="008340C1">
            <w:pPr>
              <w:pStyle w:val="ARfintablebodyright"/>
            </w:pPr>
            <w:r w:rsidRPr="0014589C">
              <w:t>341.9</w:t>
            </w:r>
          </w:p>
        </w:tc>
      </w:tr>
      <w:tr w:rsidR="00CE75D4" w:rsidRPr="002029AF" w14:paraId="3636D9E7" w14:textId="77777777" w:rsidTr="7651A878">
        <w:trPr>
          <w:trHeight w:val="255"/>
        </w:trPr>
        <w:tc>
          <w:tcPr>
            <w:tcW w:w="3968" w:type="dxa"/>
            <w:tcBorders>
              <w:top w:val="single" w:sz="4" w:space="0" w:color="A6A6A6" w:themeColor="background1" w:themeShade="A6"/>
            </w:tcBorders>
            <w:hideMark/>
          </w:tcPr>
          <w:p w14:paraId="37901EB6" w14:textId="77777777" w:rsidR="00CE75D4" w:rsidRPr="002029AF" w:rsidRDefault="00CE75D4" w:rsidP="008340C1">
            <w:pPr>
              <w:pStyle w:val="ARfintablebody"/>
            </w:pPr>
            <w:r w:rsidRPr="0014589C">
              <w:t xml:space="preserve">Loans </w:t>
            </w:r>
          </w:p>
        </w:tc>
        <w:tc>
          <w:tcPr>
            <w:tcW w:w="1418" w:type="dxa"/>
            <w:tcBorders>
              <w:top w:val="single" w:sz="4" w:space="0" w:color="A6A6A6" w:themeColor="background1" w:themeShade="A6"/>
            </w:tcBorders>
            <w:noWrap/>
            <w:hideMark/>
          </w:tcPr>
          <w:p w14:paraId="2EF6EDD5" w14:textId="77777777" w:rsidR="00CE75D4" w:rsidRPr="002029AF" w:rsidRDefault="00CE75D4" w:rsidP="008340C1">
            <w:pPr>
              <w:pStyle w:val="ARfintablebodyright"/>
            </w:pPr>
            <w:r>
              <w:t>–</w:t>
            </w:r>
          </w:p>
        </w:tc>
        <w:tc>
          <w:tcPr>
            <w:tcW w:w="1417" w:type="dxa"/>
            <w:tcBorders>
              <w:top w:val="single" w:sz="4" w:space="0" w:color="A6A6A6" w:themeColor="background1" w:themeShade="A6"/>
            </w:tcBorders>
            <w:noWrap/>
            <w:hideMark/>
          </w:tcPr>
          <w:p w14:paraId="520EC351" w14:textId="77777777" w:rsidR="00CE75D4" w:rsidRPr="002029AF" w:rsidRDefault="00CE75D4" w:rsidP="008340C1">
            <w:pPr>
              <w:pStyle w:val="ARfintablebodyright"/>
            </w:pPr>
            <w:r w:rsidRPr="0014589C">
              <w:t>118.8</w:t>
            </w:r>
          </w:p>
        </w:tc>
        <w:tc>
          <w:tcPr>
            <w:tcW w:w="1417" w:type="dxa"/>
            <w:tcBorders>
              <w:top w:val="single" w:sz="4" w:space="0" w:color="A6A6A6" w:themeColor="background1" w:themeShade="A6"/>
            </w:tcBorders>
            <w:noWrap/>
            <w:hideMark/>
          </w:tcPr>
          <w:p w14:paraId="1B67EA72" w14:textId="77777777" w:rsidR="00CE75D4" w:rsidRPr="002029AF" w:rsidRDefault="00CE75D4" w:rsidP="008340C1">
            <w:pPr>
              <w:pStyle w:val="ARfintablebodyright"/>
            </w:pPr>
            <w:r>
              <w:t>–</w:t>
            </w:r>
          </w:p>
        </w:tc>
        <w:tc>
          <w:tcPr>
            <w:tcW w:w="1417" w:type="dxa"/>
            <w:tcBorders>
              <w:top w:val="single" w:sz="4" w:space="0" w:color="A6A6A6" w:themeColor="background1" w:themeShade="A6"/>
            </w:tcBorders>
            <w:noWrap/>
            <w:hideMark/>
          </w:tcPr>
          <w:p w14:paraId="7C99E017" w14:textId="77777777" w:rsidR="00CE75D4" w:rsidRPr="002029AF" w:rsidRDefault="00CE75D4" w:rsidP="008340C1">
            <w:pPr>
              <w:pStyle w:val="ARfintablebodyright"/>
            </w:pPr>
            <w:r w:rsidRPr="0014589C">
              <w:t>118.8</w:t>
            </w:r>
          </w:p>
        </w:tc>
      </w:tr>
      <w:tr w:rsidR="00CE75D4" w:rsidRPr="002029AF" w14:paraId="2F2B0426" w14:textId="77777777" w:rsidTr="7651A878">
        <w:trPr>
          <w:trHeight w:val="255"/>
        </w:trPr>
        <w:tc>
          <w:tcPr>
            <w:tcW w:w="3968" w:type="dxa"/>
            <w:tcBorders>
              <w:bottom w:val="single" w:sz="4" w:space="0" w:color="auto"/>
            </w:tcBorders>
            <w:hideMark/>
          </w:tcPr>
          <w:p w14:paraId="71523D05" w14:textId="77777777" w:rsidR="00CE75D4" w:rsidRPr="002029AF" w:rsidRDefault="00CE75D4" w:rsidP="008340C1">
            <w:pPr>
              <w:pStyle w:val="ARfintablebodybold"/>
            </w:pPr>
            <w:r w:rsidRPr="0014589C">
              <w:t>Total contractual financial assets</w:t>
            </w:r>
          </w:p>
        </w:tc>
        <w:tc>
          <w:tcPr>
            <w:tcW w:w="1418" w:type="dxa"/>
            <w:tcBorders>
              <w:bottom w:val="single" w:sz="4" w:space="0" w:color="auto"/>
            </w:tcBorders>
            <w:noWrap/>
            <w:hideMark/>
          </w:tcPr>
          <w:p w14:paraId="7AFBDB4E" w14:textId="77777777" w:rsidR="00CE75D4" w:rsidRPr="002029AF" w:rsidRDefault="00CE75D4" w:rsidP="008340C1">
            <w:pPr>
              <w:pStyle w:val="ARfintablebodyrightbold"/>
            </w:pPr>
            <w:r w:rsidRPr="0014589C">
              <w:t>913.9</w:t>
            </w:r>
          </w:p>
        </w:tc>
        <w:tc>
          <w:tcPr>
            <w:tcW w:w="1417" w:type="dxa"/>
            <w:tcBorders>
              <w:bottom w:val="single" w:sz="4" w:space="0" w:color="auto"/>
            </w:tcBorders>
            <w:noWrap/>
            <w:hideMark/>
          </w:tcPr>
          <w:p w14:paraId="2B192E28" w14:textId="77777777" w:rsidR="00CE75D4" w:rsidRPr="002029AF" w:rsidRDefault="00CE75D4" w:rsidP="008340C1">
            <w:pPr>
              <w:pStyle w:val="ARfintablebodyrightbold"/>
            </w:pPr>
            <w:r w:rsidRPr="0014589C">
              <w:t>460.7</w:t>
            </w:r>
          </w:p>
        </w:tc>
        <w:tc>
          <w:tcPr>
            <w:tcW w:w="1417" w:type="dxa"/>
            <w:tcBorders>
              <w:bottom w:val="single" w:sz="4" w:space="0" w:color="auto"/>
            </w:tcBorders>
            <w:noWrap/>
            <w:hideMark/>
          </w:tcPr>
          <w:p w14:paraId="000C80E3" w14:textId="77777777" w:rsidR="00CE75D4" w:rsidRPr="002029AF" w:rsidRDefault="00CE75D4" w:rsidP="008340C1">
            <w:pPr>
              <w:pStyle w:val="ARfintablebodyrightbold"/>
            </w:pPr>
            <w:r>
              <w:t>–</w:t>
            </w:r>
          </w:p>
        </w:tc>
        <w:tc>
          <w:tcPr>
            <w:tcW w:w="1417" w:type="dxa"/>
            <w:tcBorders>
              <w:bottom w:val="single" w:sz="4" w:space="0" w:color="auto"/>
            </w:tcBorders>
            <w:noWrap/>
            <w:hideMark/>
          </w:tcPr>
          <w:p w14:paraId="7AB93B75" w14:textId="77777777" w:rsidR="00CE75D4" w:rsidRPr="002029AF" w:rsidRDefault="00CE75D4" w:rsidP="008340C1">
            <w:pPr>
              <w:pStyle w:val="ARfintablebodyrightbold"/>
            </w:pPr>
            <w:r w:rsidRPr="0014589C">
              <w:t>1,374.6</w:t>
            </w:r>
          </w:p>
        </w:tc>
      </w:tr>
      <w:tr w:rsidR="00CE75D4" w:rsidRPr="002029AF" w14:paraId="74335D2B" w14:textId="77777777" w:rsidTr="7651A878">
        <w:trPr>
          <w:trHeight w:val="255"/>
        </w:trPr>
        <w:tc>
          <w:tcPr>
            <w:tcW w:w="9637" w:type="dxa"/>
            <w:gridSpan w:val="5"/>
            <w:tcBorders>
              <w:top w:val="single" w:sz="4" w:space="0" w:color="auto"/>
              <w:bottom w:val="single" w:sz="4" w:space="0" w:color="A6A6A6" w:themeColor="background1" w:themeShade="A6"/>
            </w:tcBorders>
            <w:hideMark/>
          </w:tcPr>
          <w:p w14:paraId="204AE4AC" w14:textId="77777777" w:rsidR="00CE75D4" w:rsidRPr="002029AF" w:rsidRDefault="00CE75D4" w:rsidP="008340C1">
            <w:pPr>
              <w:pStyle w:val="ARfintablebodybold"/>
            </w:pPr>
            <w:r w:rsidRPr="0014589C">
              <w:t>Contractual financial liabilities</w:t>
            </w:r>
          </w:p>
        </w:tc>
      </w:tr>
      <w:tr w:rsidR="00CE75D4" w:rsidRPr="002029AF" w14:paraId="605D0C32" w14:textId="77777777" w:rsidTr="7651A878">
        <w:trPr>
          <w:trHeight w:val="255"/>
        </w:trPr>
        <w:tc>
          <w:tcPr>
            <w:tcW w:w="3968" w:type="dxa"/>
            <w:tcBorders>
              <w:top w:val="single" w:sz="4" w:space="0" w:color="A6A6A6" w:themeColor="background1" w:themeShade="A6"/>
              <w:bottom w:val="single" w:sz="4" w:space="0" w:color="A6A6A6" w:themeColor="background1" w:themeShade="A6"/>
            </w:tcBorders>
            <w:hideMark/>
          </w:tcPr>
          <w:p w14:paraId="718A2DC8" w14:textId="77777777" w:rsidR="00CE75D4" w:rsidRPr="002029AF" w:rsidRDefault="00CE75D4" w:rsidP="008340C1">
            <w:pPr>
              <w:pStyle w:val="ARfintablebody"/>
            </w:pPr>
            <w:r w:rsidRPr="0014589C">
              <w:t xml:space="preserve">Payables </w:t>
            </w:r>
            <w:r w:rsidRPr="00F66746">
              <w:rPr>
                <w:rStyle w:val="Superscript"/>
              </w:rPr>
              <w:t>(i)</w:t>
            </w:r>
          </w:p>
        </w:tc>
        <w:tc>
          <w:tcPr>
            <w:tcW w:w="1418" w:type="dxa"/>
            <w:tcBorders>
              <w:top w:val="single" w:sz="4" w:space="0" w:color="A6A6A6" w:themeColor="background1" w:themeShade="A6"/>
              <w:bottom w:val="single" w:sz="4" w:space="0" w:color="A6A6A6" w:themeColor="background1" w:themeShade="A6"/>
            </w:tcBorders>
            <w:noWrap/>
            <w:hideMark/>
          </w:tcPr>
          <w:p w14:paraId="5D0B58E6" w14:textId="77777777" w:rsidR="00CE75D4" w:rsidRPr="002029AF" w:rsidRDefault="00CE75D4" w:rsidP="008340C1">
            <w:pPr>
              <w:pStyle w:val="ARfintablebodyright"/>
            </w:pPr>
            <w:r>
              <w:t>–</w:t>
            </w:r>
          </w:p>
        </w:tc>
        <w:tc>
          <w:tcPr>
            <w:tcW w:w="1417" w:type="dxa"/>
            <w:tcBorders>
              <w:top w:val="single" w:sz="4" w:space="0" w:color="A6A6A6" w:themeColor="background1" w:themeShade="A6"/>
              <w:bottom w:val="single" w:sz="4" w:space="0" w:color="A6A6A6" w:themeColor="background1" w:themeShade="A6"/>
            </w:tcBorders>
            <w:noWrap/>
            <w:hideMark/>
          </w:tcPr>
          <w:p w14:paraId="175E6A84" w14:textId="77777777" w:rsidR="00CE75D4" w:rsidRPr="002029AF" w:rsidRDefault="00CE75D4" w:rsidP="008340C1">
            <w:pPr>
              <w:pStyle w:val="ARfintablebodyright"/>
            </w:pPr>
            <w:r>
              <w:t>–</w:t>
            </w:r>
          </w:p>
        </w:tc>
        <w:tc>
          <w:tcPr>
            <w:tcW w:w="1417" w:type="dxa"/>
            <w:tcBorders>
              <w:top w:val="single" w:sz="4" w:space="0" w:color="A6A6A6" w:themeColor="background1" w:themeShade="A6"/>
              <w:bottom w:val="single" w:sz="4" w:space="0" w:color="A6A6A6" w:themeColor="background1" w:themeShade="A6"/>
            </w:tcBorders>
            <w:noWrap/>
            <w:hideMark/>
          </w:tcPr>
          <w:p w14:paraId="1C290034" w14:textId="77777777" w:rsidR="00CE75D4" w:rsidRPr="002029AF" w:rsidRDefault="00CE75D4" w:rsidP="008340C1">
            <w:pPr>
              <w:pStyle w:val="ARfintablebodyright"/>
            </w:pPr>
            <w:r w:rsidRPr="0014589C">
              <w:t>2,130.1</w:t>
            </w:r>
          </w:p>
        </w:tc>
        <w:tc>
          <w:tcPr>
            <w:tcW w:w="1417" w:type="dxa"/>
            <w:tcBorders>
              <w:top w:val="single" w:sz="4" w:space="0" w:color="A6A6A6" w:themeColor="background1" w:themeShade="A6"/>
              <w:bottom w:val="single" w:sz="4" w:space="0" w:color="A6A6A6" w:themeColor="background1" w:themeShade="A6"/>
            </w:tcBorders>
            <w:noWrap/>
            <w:hideMark/>
          </w:tcPr>
          <w:p w14:paraId="6BF991D8" w14:textId="77777777" w:rsidR="00CE75D4" w:rsidRPr="002029AF" w:rsidRDefault="00CE75D4" w:rsidP="008340C1">
            <w:pPr>
              <w:pStyle w:val="ARfintablebodyright"/>
            </w:pPr>
            <w:r w:rsidRPr="0014589C">
              <w:t>2,130.1</w:t>
            </w:r>
          </w:p>
        </w:tc>
      </w:tr>
      <w:tr w:rsidR="00CE75D4" w:rsidRPr="002029AF" w14:paraId="2C522D20" w14:textId="77777777" w:rsidTr="7651A878">
        <w:trPr>
          <w:trHeight w:val="255"/>
        </w:trPr>
        <w:tc>
          <w:tcPr>
            <w:tcW w:w="3968" w:type="dxa"/>
            <w:tcBorders>
              <w:top w:val="single" w:sz="4" w:space="0" w:color="A6A6A6" w:themeColor="background1" w:themeShade="A6"/>
            </w:tcBorders>
            <w:hideMark/>
          </w:tcPr>
          <w:p w14:paraId="6CA9B640" w14:textId="77777777" w:rsidR="00CE75D4" w:rsidRPr="002029AF" w:rsidRDefault="00CE75D4" w:rsidP="008340C1">
            <w:pPr>
              <w:pStyle w:val="ARfintablebody"/>
            </w:pPr>
            <w:r w:rsidRPr="0014589C">
              <w:t xml:space="preserve">Borrowings </w:t>
            </w:r>
            <w:r w:rsidRPr="00F66746">
              <w:rPr>
                <w:rStyle w:val="Superscript"/>
              </w:rPr>
              <w:t>(i)</w:t>
            </w:r>
          </w:p>
        </w:tc>
        <w:tc>
          <w:tcPr>
            <w:tcW w:w="1418" w:type="dxa"/>
            <w:tcBorders>
              <w:top w:val="single" w:sz="4" w:space="0" w:color="A6A6A6" w:themeColor="background1" w:themeShade="A6"/>
            </w:tcBorders>
            <w:noWrap/>
            <w:hideMark/>
          </w:tcPr>
          <w:p w14:paraId="45C19828" w14:textId="77777777" w:rsidR="00CE75D4" w:rsidRPr="002029AF" w:rsidRDefault="00CE75D4" w:rsidP="008340C1">
            <w:pPr>
              <w:pStyle w:val="ARfintablebodyright"/>
            </w:pPr>
            <w:r>
              <w:t>–</w:t>
            </w:r>
          </w:p>
        </w:tc>
        <w:tc>
          <w:tcPr>
            <w:tcW w:w="1417" w:type="dxa"/>
            <w:tcBorders>
              <w:top w:val="single" w:sz="4" w:space="0" w:color="A6A6A6" w:themeColor="background1" w:themeShade="A6"/>
            </w:tcBorders>
            <w:noWrap/>
            <w:hideMark/>
          </w:tcPr>
          <w:p w14:paraId="2EF70761" w14:textId="77777777" w:rsidR="00CE75D4" w:rsidRPr="002029AF" w:rsidRDefault="00CE75D4" w:rsidP="008340C1">
            <w:pPr>
              <w:pStyle w:val="ARfintablebodyright"/>
            </w:pPr>
            <w:r>
              <w:t>–</w:t>
            </w:r>
          </w:p>
        </w:tc>
        <w:tc>
          <w:tcPr>
            <w:tcW w:w="1417" w:type="dxa"/>
            <w:tcBorders>
              <w:top w:val="single" w:sz="4" w:space="0" w:color="A6A6A6" w:themeColor="background1" w:themeShade="A6"/>
            </w:tcBorders>
            <w:noWrap/>
            <w:hideMark/>
          </w:tcPr>
          <w:p w14:paraId="55E2EDB4" w14:textId="77777777" w:rsidR="00CE75D4" w:rsidRPr="002029AF" w:rsidRDefault="00CE75D4" w:rsidP="008340C1">
            <w:pPr>
              <w:pStyle w:val="ARfintablebodyright"/>
            </w:pPr>
            <w:r w:rsidRPr="0014589C">
              <w:t>329.4</w:t>
            </w:r>
          </w:p>
        </w:tc>
        <w:tc>
          <w:tcPr>
            <w:tcW w:w="1417" w:type="dxa"/>
            <w:tcBorders>
              <w:top w:val="single" w:sz="4" w:space="0" w:color="A6A6A6" w:themeColor="background1" w:themeShade="A6"/>
            </w:tcBorders>
            <w:noWrap/>
            <w:hideMark/>
          </w:tcPr>
          <w:p w14:paraId="7DC5E795" w14:textId="77777777" w:rsidR="00CE75D4" w:rsidRPr="002029AF" w:rsidRDefault="00CE75D4" w:rsidP="008340C1">
            <w:pPr>
              <w:pStyle w:val="ARfintablebodyright"/>
            </w:pPr>
            <w:r w:rsidRPr="0014589C">
              <w:t>329.4</w:t>
            </w:r>
          </w:p>
        </w:tc>
      </w:tr>
      <w:tr w:rsidR="00CE75D4" w:rsidRPr="002029AF" w14:paraId="21C6F905" w14:textId="77777777" w:rsidTr="7651A878">
        <w:trPr>
          <w:trHeight w:val="255"/>
        </w:trPr>
        <w:tc>
          <w:tcPr>
            <w:tcW w:w="3968" w:type="dxa"/>
            <w:hideMark/>
          </w:tcPr>
          <w:p w14:paraId="6799F0FA" w14:textId="77777777" w:rsidR="00CE75D4" w:rsidRPr="002029AF" w:rsidRDefault="00CE75D4" w:rsidP="008340C1">
            <w:pPr>
              <w:pStyle w:val="ARfintablebodybold"/>
            </w:pPr>
            <w:r w:rsidRPr="0014589C">
              <w:t>Total contractual financial liabilities</w:t>
            </w:r>
          </w:p>
        </w:tc>
        <w:tc>
          <w:tcPr>
            <w:tcW w:w="1418" w:type="dxa"/>
            <w:noWrap/>
            <w:hideMark/>
          </w:tcPr>
          <w:p w14:paraId="17BE842F" w14:textId="77777777" w:rsidR="00CE75D4" w:rsidRPr="002029AF" w:rsidRDefault="00CE75D4" w:rsidP="008340C1">
            <w:pPr>
              <w:pStyle w:val="ARfintablebodyrightbold"/>
            </w:pPr>
            <w:r>
              <w:t>–</w:t>
            </w:r>
          </w:p>
        </w:tc>
        <w:tc>
          <w:tcPr>
            <w:tcW w:w="1417" w:type="dxa"/>
            <w:noWrap/>
            <w:hideMark/>
          </w:tcPr>
          <w:p w14:paraId="02E1BEFE" w14:textId="77777777" w:rsidR="00CE75D4" w:rsidRPr="002029AF" w:rsidRDefault="00CE75D4" w:rsidP="008340C1">
            <w:pPr>
              <w:pStyle w:val="ARfintablebodyrightbold"/>
            </w:pPr>
            <w:r>
              <w:t>–</w:t>
            </w:r>
          </w:p>
        </w:tc>
        <w:tc>
          <w:tcPr>
            <w:tcW w:w="1417" w:type="dxa"/>
            <w:noWrap/>
            <w:hideMark/>
          </w:tcPr>
          <w:p w14:paraId="2968C76E" w14:textId="77777777" w:rsidR="00CE75D4" w:rsidRPr="002029AF" w:rsidRDefault="00CE75D4" w:rsidP="008340C1">
            <w:pPr>
              <w:pStyle w:val="ARfintablebodyrightbold"/>
            </w:pPr>
            <w:r w:rsidRPr="0014589C">
              <w:t>2,459.5</w:t>
            </w:r>
          </w:p>
        </w:tc>
        <w:tc>
          <w:tcPr>
            <w:tcW w:w="1417" w:type="dxa"/>
            <w:noWrap/>
            <w:hideMark/>
          </w:tcPr>
          <w:p w14:paraId="33B7806F" w14:textId="77777777" w:rsidR="00CE75D4" w:rsidRPr="002029AF" w:rsidRDefault="00CE75D4" w:rsidP="008340C1">
            <w:pPr>
              <w:pStyle w:val="ARfintablebodyrightbold"/>
            </w:pPr>
            <w:r w:rsidRPr="0014589C">
              <w:t>2,459.5</w:t>
            </w:r>
          </w:p>
        </w:tc>
      </w:tr>
    </w:tbl>
    <w:p w14:paraId="694BEE5C" w14:textId="77777777" w:rsidR="00CE75D4" w:rsidRDefault="00CE75D4" w:rsidP="008340C1">
      <w:pPr>
        <w:pStyle w:val="ARfintablefootnote"/>
      </w:pPr>
      <w:r>
        <w:rPr>
          <w:lang w:eastAsia="en-AU"/>
        </w:rPr>
        <w:t>Note:</w:t>
      </w:r>
    </w:p>
    <w:p w14:paraId="21042C72" w14:textId="7F4249A6" w:rsidR="00CE75D4" w:rsidRDefault="00CE75D4" w:rsidP="008340C1">
      <w:pPr>
        <w:pStyle w:val="ARfintablefootnoteindent"/>
      </w:pPr>
      <w:r>
        <w:t>(i)</w:t>
      </w:r>
      <w:r>
        <w:tab/>
        <w:t>The total amounts disclosed here exclude statutory amounts e.g. amounts owing to/from Victorian Government and GST input tax credit recoverable and taxes payable. Refer to Note 6.1 for the breakdown of contractual and statutory receivables, Note 6.4 for the breakdown of contractual and statutory payables, and Note 7.1 for the breakdown of borrowings.</w:t>
      </w:r>
    </w:p>
    <w:p w14:paraId="3829CFE8" w14:textId="77777777" w:rsidR="00CE75D4" w:rsidRPr="002029AF" w:rsidRDefault="00CE75D4" w:rsidP="00087B91">
      <w:pPr>
        <w:pStyle w:val="Heading5"/>
      </w:pPr>
      <w:r w:rsidRPr="00153394">
        <w:rPr>
          <w:lang w:eastAsia="en-AU"/>
        </w:rPr>
        <w:t>8.1.2 Financial instruments: Net holding gain/(loss) on financial instruments by category</w:t>
      </w:r>
    </w:p>
    <w:tbl>
      <w:tblPr>
        <w:tblStyle w:val="TableGrid"/>
        <w:tblW w:w="9639" w:type="dxa"/>
        <w:tblLayout w:type="fixed"/>
        <w:tblLook w:val="06A0" w:firstRow="1" w:lastRow="0" w:firstColumn="1" w:lastColumn="0" w:noHBand="1" w:noVBand="1"/>
      </w:tblPr>
      <w:tblGrid>
        <w:gridCol w:w="6804"/>
        <w:gridCol w:w="1701"/>
        <w:gridCol w:w="1134"/>
      </w:tblGrid>
      <w:tr w:rsidR="00CE75D4" w:rsidRPr="002029AF" w14:paraId="2D8822FB"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6804" w:type="dxa"/>
            <w:hideMark/>
          </w:tcPr>
          <w:p w14:paraId="3719BD7D" w14:textId="77777777" w:rsidR="00CE75D4" w:rsidRPr="002029AF" w:rsidRDefault="00CE75D4" w:rsidP="00860E95">
            <w:pPr>
              <w:pStyle w:val="ARfintablecolhead"/>
            </w:pPr>
          </w:p>
        </w:tc>
        <w:tc>
          <w:tcPr>
            <w:tcW w:w="1701" w:type="dxa"/>
            <w:hideMark/>
          </w:tcPr>
          <w:p w14:paraId="718745D0" w14:textId="77777777" w:rsidR="00CE75D4" w:rsidRPr="002029AF" w:rsidRDefault="00CE75D4" w:rsidP="00860E95">
            <w:pPr>
              <w:pStyle w:val="ARfintablecolheadright"/>
            </w:pPr>
            <w:r w:rsidRPr="002029AF">
              <w:t>Total interest income/</w:t>
            </w:r>
            <w:r>
              <w:br/>
            </w:r>
            <w:r w:rsidRPr="002029AF">
              <w:t>(expense)</w:t>
            </w:r>
          </w:p>
          <w:p w14:paraId="6D8E41DC" w14:textId="77777777" w:rsidR="00CE75D4" w:rsidRPr="002029AF" w:rsidRDefault="00CE75D4" w:rsidP="00860E95">
            <w:pPr>
              <w:pStyle w:val="ARfintablecolheadright"/>
            </w:pPr>
            <w:r w:rsidRPr="002029AF">
              <w:t>$M</w:t>
            </w:r>
          </w:p>
        </w:tc>
        <w:tc>
          <w:tcPr>
            <w:tcW w:w="1134" w:type="dxa"/>
            <w:hideMark/>
          </w:tcPr>
          <w:p w14:paraId="05817429" w14:textId="77777777" w:rsidR="00CE75D4" w:rsidRPr="002029AF" w:rsidRDefault="00CE75D4" w:rsidP="00860E95">
            <w:pPr>
              <w:pStyle w:val="ARfintablecolheadright"/>
            </w:pPr>
            <w:r w:rsidRPr="002029AF">
              <w:t>Total</w:t>
            </w:r>
          </w:p>
          <w:p w14:paraId="5251F746" w14:textId="77777777" w:rsidR="00CE75D4" w:rsidRPr="002029AF" w:rsidRDefault="00CE75D4" w:rsidP="00860E95">
            <w:pPr>
              <w:pStyle w:val="ARfintablecolheadright"/>
            </w:pPr>
            <w:r w:rsidRPr="002029AF">
              <w:t>$M</w:t>
            </w:r>
          </w:p>
        </w:tc>
      </w:tr>
      <w:tr w:rsidR="00CE75D4" w:rsidRPr="002029AF" w14:paraId="14F913AC" w14:textId="77777777" w:rsidTr="00860E95">
        <w:tc>
          <w:tcPr>
            <w:tcW w:w="9639" w:type="dxa"/>
            <w:gridSpan w:val="3"/>
            <w:tcBorders>
              <w:bottom w:val="single" w:sz="4" w:space="0" w:color="auto"/>
            </w:tcBorders>
            <w:hideMark/>
          </w:tcPr>
          <w:p w14:paraId="5AB2B5E6" w14:textId="77777777" w:rsidR="00CE75D4" w:rsidRPr="002029AF" w:rsidRDefault="00CE75D4" w:rsidP="00130D1C">
            <w:pPr>
              <w:pStyle w:val="ARfintablebodybold"/>
            </w:pPr>
            <w:r w:rsidRPr="00445879">
              <w:t>202</w:t>
            </w:r>
            <w:r>
              <w:t>2</w:t>
            </w:r>
          </w:p>
        </w:tc>
      </w:tr>
      <w:tr w:rsidR="00CE75D4" w:rsidRPr="002029AF" w14:paraId="35009751" w14:textId="77777777" w:rsidTr="00860E95">
        <w:tc>
          <w:tcPr>
            <w:tcW w:w="9639" w:type="dxa"/>
            <w:gridSpan w:val="3"/>
            <w:tcBorders>
              <w:top w:val="single" w:sz="4" w:space="0" w:color="auto"/>
              <w:bottom w:val="single" w:sz="4" w:space="0" w:color="A6A6A6"/>
            </w:tcBorders>
            <w:hideMark/>
          </w:tcPr>
          <w:p w14:paraId="32745C2A" w14:textId="77777777" w:rsidR="00CE75D4" w:rsidRPr="002029AF" w:rsidRDefault="00CE75D4" w:rsidP="008340C1">
            <w:pPr>
              <w:pStyle w:val="ARfintablebodybold"/>
            </w:pPr>
            <w:r w:rsidRPr="00F21B41">
              <w:t>Contractual financial assets</w:t>
            </w:r>
          </w:p>
        </w:tc>
      </w:tr>
      <w:tr w:rsidR="00CE75D4" w:rsidRPr="002029AF" w14:paraId="4DF1A6BC" w14:textId="77777777" w:rsidTr="00860E95">
        <w:tc>
          <w:tcPr>
            <w:tcW w:w="6804" w:type="dxa"/>
            <w:tcBorders>
              <w:top w:val="single" w:sz="4" w:space="0" w:color="A6A6A6"/>
              <w:bottom w:val="single" w:sz="4" w:space="0" w:color="A6A6A6"/>
            </w:tcBorders>
            <w:hideMark/>
          </w:tcPr>
          <w:p w14:paraId="72B9D304" w14:textId="77777777" w:rsidR="00CE75D4" w:rsidRPr="002029AF" w:rsidRDefault="00CE75D4" w:rsidP="008340C1">
            <w:pPr>
              <w:pStyle w:val="ARfintablebody"/>
            </w:pPr>
            <w:r w:rsidRPr="00F21B41">
              <w:t>Cash and deposits</w:t>
            </w:r>
          </w:p>
        </w:tc>
        <w:tc>
          <w:tcPr>
            <w:tcW w:w="1701" w:type="dxa"/>
            <w:tcBorders>
              <w:top w:val="single" w:sz="4" w:space="0" w:color="A6A6A6"/>
              <w:bottom w:val="single" w:sz="4" w:space="0" w:color="A6A6A6"/>
            </w:tcBorders>
            <w:noWrap/>
            <w:hideMark/>
          </w:tcPr>
          <w:p w14:paraId="5DE1436D"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25E499EC" w14:textId="77777777" w:rsidR="00CE75D4" w:rsidRPr="002029AF" w:rsidRDefault="00CE75D4" w:rsidP="008340C1">
            <w:pPr>
              <w:pStyle w:val="ARfintablebodyright"/>
            </w:pPr>
            <w:r>
              <w:t>–</w:t>
            </w:r>
          </w:p>
        </w:tc>
      </w:tr>
      <w:tr w:rsidR="00CE75D4" w:rsidRPr="002029AF" w14:paraId="1CA29E5F" w14:textId="77777777" w:rsidTr="00860E95">
        <w:tc>
          <w:tcPr>
            <w:tcW w:w="6804" w:type="dxa"/>
            <w:tcBorders>
              <w:top w:val="single" w:sz="4" w:space="0" w:color="A6A6A6"/>
              <w:bottom w:val="single" w:sz="4" w:space="0" w:color="A6A6A6"/>
            </w:tcBorders>
            <w:hideMark/>
          </w:tcPr>
          <w:p w14:paraId="4A965662" w14:textId="77777777" w:rsidR="00CE75D4" w:rsidRPr="002029AF" w:rsidRDefault="00CE75D4" w:rsidP="008340C1">
            <w:pPr>
              <w:pStyle w:val="ARfintablebody"/>
            </w:pPr>
            <w:r w:rsidRPr="00F21B41">
              <w:t xml:space="preserve">Receivables </w:t>
            </w:r>
            <w:r w:rsidRPr="00DE75B5">
              <w:rPr>
                <w:rStyle w:val="Superscript"/>
              </w:rPr>
              <w:t>(i)</w:t>
            </w:r>
          </w:p>
        </w:tc>
        <w:tc>
          <w:tcPr>
            <w:tcW w:w="1701" w:type="dxa"/>
            <w:tcBorders>
              <w:top w:val="single" w:sz="4" w:space="0" w:color="A6A6A6"/>
              <w:bottom w:val="single" w:sz="4" w:space="0" w:color="A6A6A6"/>
            </w:tcBorders>
            <w:noWrap/>
            <w:hideMark/>
          </w:tcPr>
          <w:p w14:paraId="047CD083"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4357DC13" w14:textId="77777777" w:rsidR="00CE75D4" w:rsidRPr="002029AF" w:rsidRDefault="00CE75D4" w:rsidP="008340C1">
            <w:pPr>
              <w:pStyle w:val="ARfintablebodyright"/>
            </w:pPr>
            <w:r>
              <w:t>–</w:t>
            </w:r>
          </w:p>
        </w:tc>
      </w:tr>
      <w:tr w:rsidR="00CE75D4" w:rsidRPr="002029AF" w14:paraId="549224F8" w14:textId="77777777" w:rsidTr="00860E95">
        <w:tc>
          <w:tcPr>
            <w:tcW w:w="6804" w:type="dxa"/>
            <w:tcBorders>
              <w:top w:val="single" w:sz="4" w:space="0" w:color="A6A6A6"/>
              <w:bottom w:val="single" w:sz="4" w:space="0" w:color="A6A6A6"/>
            </w:tcBorders>
            <w:hideMark/>
          </w:tcPr>
          <w:p w14:paraId="25A25158" w14:textId="77777777" w:rsidR="00CE75D4" w:rsidRPr="002029AF" w:rsidRDefault="00CE75D4" w:rsidP="008340C1">
            <w:pPr>
              <w:pStyle w:val="ARfintablebody"/>
            </w:pPr>
            <w:r w:rsidRPr="00F21B41">
              <w:t>Loans</w:t>
            </w:r>
          </w:p>
        </w:tc>
        <w:tc>
          <w:tcPr>
            <w:tcW w:w="1701" w:type="dxa"/>
            <w:tcBorders>
              <w:top w:val="single" w:sz="4" w:space="0" w:color="A6A6A6"/>
              <w:bottom w:val="single" w:sz="4" w:space="0" w:color="A6A6A6"/>
            </w:tcBorders>
            <w:noWrap/>
            <w:hideMark/>
          </w:tcPr>
          <w:p w14:paraId="5F176499"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1F7B344D" w14:textId="77777777" w:rsidR="00CE75D4" w:rsidRPr="002029AF" w:rsidRDefault="00CE75D4" w:rsidP="008340C1">
            <w:pPr>
              <w:pStyle w:val="ARfintablebodyright"/>
            </w:pPr>
            <w:r>
              <w:t>–</w:t>
            </w:r>
          </w:p>
        </w:tc>
      </w:tr>
      <w:tr w:rsidR="00CE75D4" w:rsidRPr="002029AF" w14:paraId="5E7E6CED" w14:textId="77777777" w:rsidTr="00860E95">
        <w:tc>
          <w:tcPr>
            <w:tcW w:w="6804" w:type="dxa"/>
            <w:tcBorders>
              <w:top w:val="single" w:sz="4" w:space="0" w:color="A6A6A6"/>
            </w:tcBorders>
            <w:hideMark/>
          </w:tcPr>
          <w:p w14:paraId="05A12460" w14:textId="77777777" w:rsidR="00CE75D4" w:rsidRPr="002029AF" w:rsidRDefault="00CE75D4" w:rsidP="008340C1">
            <w:pPr>
              <w:pStyle w:val="ARfintablebody"/>
            </w:pPr>
            <w:r w:rsidRPr="00F21B41">
              <w:t>Short-term investments – term deposits</w:t>
            </w:r>
          </w:p>
        </w:tc>
        <w:tc>
          <w:tcPr>
            <w:tcW w:w="1701" w:type="dxa"/>
            <w:tcBorders>
              <w:top w:val="single" w:sz="4" w:space="0" w:color="A6A6A6"/>
            </w:tcBorders>
            <w:noWrap/>
            <w:hideMark/>
          </w:tcPr>
          <w:p w14:paraId="11FD2808" w14:textId="77777777" w:rsidR="00CE75D4" w:rsidRPr="002029AF" w:rsidRDefault="00CE75D4" w:rsidP="008340C1">
            <w:pPr>
              <w:pStyle w:val="ARfintablebodyright"/>
            </w:pPr>
            <w:r>
              <w:t>–</w:t>
            </w:r>
          </w:p>
        </w:tc>
        <w:tc>
          <w:tcPr>
            <w:tcW w:w="1134" w:type="dxa"/>
            <w:tcBorders>
              <w:top w:val="single" w:sz="4" w:space="0" w:color="A6A6A6"/>
            </w:tcBorders>
            <w:noWrap/>
            <w:hideMark/>
          </w:tcPr>
          <w:p w14:paraId="37F57461" w14:textId="77777777" w:rsidR="00CE75D4" w:rsidRPr="002029AF" w:rsidRDefault="00CE75D4" w:rsidP="008340C1">
            <w:pPr>
              <w:pStyle w:val="ARfintablebodyright"/>
            </w:pPr>
            <w:r>
              <w:t>–</w:t>
            </w:r>
          </w:p>
        </w:tc>
      </w:tr>
      <w:tr w:rsidR="00CE75D4" w:rsidRPr="002029AF" w14:paraId="7134063E" w14:textId="77777777" w:rsidTr="00860E95">
        <w:tc>
          <w:tcPr>
            <w:tcW w:w="6804" w:type="dxa"/>
            <w:tcBorders>
              <w:bottom w:val="single" w:sz="4" w:space="0" w:color="auto"/>
            </w:tcBorders>
            <w:hideMark/>
          </w:tcPr>
          <w:p w14:paraId="3325A913" w14:textId="77777777" w:rsidR="00CE75D4" w:rsidRPr="002029AF" w:rsidRDefault="00CE75D4" w:rsidP="008340C1">
            <w:pPr>
              <w:pStyle w:val="ARfintablebodybold"/>
            </w:pPr>
            <w:r w:rsidRPr="00F21B41">
              <w:t>Total contractual financial assets</w:t>
            </w:r>
          </w:p>
        </w:tc>
        <w:tc>
          <w:tcPr>
            <w:tcW w:w="1701" w:type="dxa"/>
            <w:tcBorders>
              <w:bottom w:val="single" w:sz="4" w:space="0" w:color="auto"/>
            </w:tcBorders>
            <w:noWrap/>
            <w:hideMark/>
          </w:tcPr>
          <w:p w14:paraId="46D403BC" w14:textId="77777777" w:rsidR="00CE75D4" w:rsidRPr="002029AF" w:rsidRDefault="00CE75D4" w:rsidP="008340C1">
            <w:pPr>
              <w:pStyle w:val="ARfintablebodyrightbold"/>
            </w:pPr>
            <w:r>
              <w:t>–</w:t>
            </w:r>
          </w:p>
        </w:tc>
        <w:tc>
          <w:tcPr>
            <w:tcW w:w="1134" w:type="dxa"/>
            <w:tcBorders>
              <w:bottom w:val="single" w:sz="4" w:space="0" w:color="auto"/>
            </w:tcBorders>
            <w:noWrap/>
            <w:hideMark/>
          </w:tcPr>
          <w:p w14:paraId="4EA0283A" w14:textId="77777777" w:rsidR="00CE75D4" w:rsidRPr="002029AF" w:rsidRDefault="00CE75D4" w:rsidP="008340C1">
            <w:pPr>
              <w:pStyle w:val="ARfintablebodyrightbold"/>
            </w:pPr>
            <w:r>
              <w:t>–</w:t>
            </w:r>
          </w:p>
        </w:tc>
      </w:tr>
      <w:tr w:rsidR="00CE75D4" w:rsidRPr="002029AF" w14:paraId="0608835F" w14:textId="77777777" w:rsidTr="00860E95">
        <w:tc>
          <w:tcPr>
            <w:tcW w:w="9639" w:type="dxa"/>
            <w:gridSpan w:val="3"/>
            <w:tcBorders>
              <w:top w:val="single" w:sz="4" w:space="0" w:color="auto"/>
              <w:bottom w:val="single" w:sz="4" w:space="0" w:color="A6A6A6"/>
            </w:tcBorders>
            <w:hideMark/>
          </w:tcPr>
          <w:p w14:paraId="73E07C2B" w14:textId="77777777" w:rsidR="00CE75D4" w:rsidRPr="002029AF" w:rsidRDefault="00CE75D4" w:rsidP="008340C1">
            <w:pPr>
              <w:pStyle w:val="ARfintablebodybold"/>
            </w:pPr>
            <w:r w:rsidRPr="00F21B41">
              <w:t>Contractual financial liabilities</w:t>
            </w:r>
          </w:p>
        </w:tc>
      </w:tr>
      <w:tr w:rsidR="00CE75D4" w:rsidRPr="002029AF" w14:paraId="518D7E78" w14:textId="77777777" w:rsidTr="00860E95">
        <w:tc>
          <w:tcPr>
            <w:tcW w:w="6804" w:type="dxa"/>
            <w:tcBorders>
              <w:top w:val="single" w:sz="4" w:space="0" w:color="A6A6A6"/>
              <w:bottom w:val="single" w:sz="4" w:space="0" w:color="A6A6A6"/>
            </w:tcBorders>
            <w:hideMark/>
          </w:tcPr>
          <w:p w14:paraId="0FA48FD5" w14:textId="77777777" w:rsidR="00CE75D4" w:rsidRPr="002029AF" w:rsidRDefault="00CE75D4" w:rsidP="008340C1">
            <w:pPr>
              <w:pStyle w:val="ARfintablebody"/>
            </w:pPr>
            <w:r w:rsidRPr="00F21B41">
              <w:t xml:space="preserve">Payables </w:t>
            </w:r>
            <w:r w:rsidRPr="00DE75B5">
              <w:rPr>
                <w:rStyle w:val="Superscript"/>
              </w:rPr>
              <w:t>(i)</w:t>
            </w:r>
          </w:p>
        </w:tc>
        <w:tc>
          <w:tcPr>
            <w:tcW w:w="1701" w:type="dxa"/>
            <w:tcBorders>
              <w:top w:val="single" w:sz="4" w:space="0" w:color="A6A6A6"/>
              <w:bottom w:val="single" w:sz="4" w:space="0" w:color="A6A6A6"/>
            </w:tcBorders>
            <w:noWrap/>
            <w:hideMark/>
          </w:tcPr>
          <w:p w14:paraId="372E9A53"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11E3219F" w14:textId="77777777" w:rsidR="00CE75D4" w:rsidRPr="002029AF" w:rsidRDefault="00CE75D4" w:rsidP="008340C1">
            <w:pPr>
              <w:pStyle w:val="ARfintablebodyright"/>
            </w:pPr>
            <w:r>
              <w:t>–</w:t>
            </w:r>
          </w:p>
        </w:tc>
      </w:tr>
      <w:tr w:rsidR="00CE75D4" w:rsidRPr="002029AF" w14:paraId="04D10817" w14:textId="77777777" w:rsidTr="00860E95">
        <w:tc>
          <w:tcPr>
            <w:tcW w:w="6804" w:type="dxa"/>
            <w:tcBorders>
              <w:top w:val="single" w:sz="4" w:space="0" w:color="A6A6A6"/>
            </w:tcBorders>
            <w:hideMark/>
          </w:tcPr>
          <w:p w14:paraId="3C3993CA" w14:textId="77777777" w:rsidR="00CE75D4" w:rsidRPr="002029AF" w:rsidRDefault="00CE75D4" w:rsidP="008340C1">
            <w:pPr>
              <w:pStyle w:val="ARfintablebody"/>
            </w:pPr>
            <w:r w:rsidRPr="00F21B41">
              <w:t>Borrowings</w:t>
            </w:r>
          </w:p>
        </w:tc>
        <w:tc>
          <w:tcPr>
            <w:tcW w:w="1701" w:type="dxa"/>
            <w:tcBorders>
              <w:top w:val="single" w:sz="4" w:space="0" w:color="A6A6A6"/>
            </w:tcBorders>
            <w:noWrap/>
            <w:hideMark/>
          </w:tcPr>
          <w:p w14:paraId="07E79031" w14:textId="77777777" w:rsidR="00CE75D4" w:rsidRPr="002029AF" w:rsidRDefault="00CE75D4" w:rsidP="008340C1">
            <w:pPr>
              <w:pStyle w:val="ARfintablebodyright"/>
            </w:pPr>
            <w:r w:rsidRPr="00F21B41">
              <w:t>(14.4)</w:t>
            </w:r>
          </w:p>
        </w:tc>
        <w:tc>
          <w:tcPr>
            <w:tcW w:w="1134" w:type="dxa"/>
            <w:tcBorders>
              <w:top w:val="single" w:sz="4" w:space="0" w:color="A6A6A6"/>
            </w:tcBorders>
            <w:noWrap/>
            <w:hideMark/>
          </w:tcPr>
          <w:p w14:paraId="5993592D" w14:textId="77777777" w:rsidR="00CE75D4" w:rsidRPr="002029AF" w:rsidRDefault="00CE75D4" w:rsidP="008340C1">
            <w:pPr>
              <w:pStyle w:val="ARfintablebodyright"/>
            </w:pPr>
            <w:r w:rsidRPr="00F21B41">
              <w:t>(14.4)</w:t>
            </w:r>
          </w:p>
        </w:tc>
      </w:tr>
      <w:tr w:rsidR="00CE75D4" w:rsidRPr="002029AF" w14:paraId="27E2485B" w14:textId="77777777" w:rsidTr="00860E95">
        <w:tc>
          <w:tcPr>
            <w:tcW w:w="6804" w:type="dxa"/>
            <w:hideMark/>
          </w:tcPr>
          <w:p w14:paraId="62300DAE" w14:textId="77777777" w:rsidR="00CE75D4" w:rsidRPr="002029AF" w:rsidRDefault="00CE75D4" w:rsidP="008340C1">
            <w:pPr>
              <w:pStyle w:val="ARfintablebodybold"/>
            </w:pPr>
            <w:r w:rsidRPr="00F21B41">
              <w:t>Total contractual financial liabilities</w:t>
            </w:r>
          </w:p>
        </w:tc>
        <w:tc>
          <w:tcPr>
            <w:tcW w:w="1701" w:type="dxa"/>
            <w:noWrap/>
            <w:hideMark/>
          </w:tcPr>
          <w:p w14:paraId="6889B64F" w14:textId="77777777" w:rsidR="00CE75D4" w:rsidRPr="002029AF" w:rsidRDefault="00CE75D4" w:rsidP="008340C1">
            <w:pPr>
              <w:pStyle w:val="ARfintablebodyrightbold"/>
            </w:pPr>
            <w:r w:rsidRPr="00F21B41">
              <w:t>(14.4)</w:t>
            </w:r>
          </w:p>
        </w:tc>
        <w:tc>
          <w:tcPr>
            <w:tcW w:w="1134" w:type="dxa"/>
            <w:noWrap/>
            <w:hideMark/>
          </w:tcPr>
          <w:p w14:paraId="0623D656" w14:textId="77777777" w:rsidR="00CE75D4" w:rsidRPr="002029AF" w:rsidRDefault="00CE75D4" w:rsidP="008340C1">
            <w:pPr>
              <w:pStyle w:val="ARfintablebodyrightbold"/>
            </w:pPr>
            <w:r w:rsidRPr="00F21B41">
              <w:t>(14.4)</w:t>
            </w:r>
          </w:p>
        </w:tc>
      </w:tr>
      <w:tr w:rsidR="00CE75D4" w:rsidRPr="002029AF" w14:paraId="78FAA961" w14:textId="77777777" w:rsidTr="00860E95">
        <w:tc>
          <w:tcPr>
            <w:tcW w:w="9639" w:type="dxa"/>
            <w:gridSpan w:val="3"/>
            <w:tcBorders>
              <w:bottom w:val="single" w:sz="4" w:space="0" w:color="auto"/>
            </w:tcBorders>
            <w:hideMark/>
          </w:tcPr>
          <w:p w14:paraId="2EFE9DDB" w14:textId="77777777" w:rsidR="00CE75D4" w:rsidRPr="002029AF" w:rsidRDefault="00CE75D4" w:rsidP="008340C1">
            <w:pPr>
              <w:pStyle w:val="ARfintablebodybold"/>
            </w:pPr>
            <w:r w:rsidRPr="00F21B41">
              <w:t>2021</w:t>
            </w:r>
          </w:p>
        </w:tc>
      </w:tr>
      <w:tr w:rsidR="00CE75D4" w:rsidRPr="002029AF" w14:paraId="2D86B11C" w14:textId="77777777" w:rsidTr="00860E95">
        <w:tc>
          <w:tcPr>
            <w:tcW w:w="9639" w:type="dxa"/>
            <w:gridSpan w:val="3"/>
            <w:tcBorders>
              <w:top w:val="single" w:sz="4" w:space="0" w:color="auto"/>
              <w:bottom w:val="single" w:sz="4" w:space="0" w:color="A6A6A6"/>
            </w:tcBorders>
            <w:hideMark/>
          </w:tcPr>
          <w:p w14:paraId="4340F1BD" w14:textId="77777777" w:rsidR="00CE75D4" w:rsidRPr="002029AF" w:rsidRDefault="00CE75D4" w:rsidP="008340C1">
            <w:pPr>
              <w:pStyle w:val="ARfintablebodybold"/>
            </w:pPr>
            <w:r w:rsidRPr="00F21B41">
              <w:t>Contractual financial assets</w:t>
            </w:r>
          </w:p>
        </w:tc>
      </w:tr>
      <w:tr w:rsidR="00CE75D4" w:rsidRPr="002029AF" w14:paraId="099606E0" w14:textId="77777777" w:rsidTr="00860E95">
        <w:tc>
          <w:tcPr>
            <w:tcW w:w="6804" w:type="dxa"/>
            <w:tcBorders>
              <w:top w:val="single" w:sz="4" w:space="0" w:color="A6A6A6"/>
              <w:bottom w:val="single" w:sz="4" w:space="0" w:color="A6A6A6"/>
            </w:tcBorders>
            <w:hideMark/>
          </w:tcPr>
          <w:p w14:paraId="234543A9" w14:textId="77777777" w:rsidR="00CE75D4" w:rsidRPr="002029AF" w:rsidRDefault="00CE75D4" w:rsidP="008340C1">
            <w:pPr>
              <w:pStyle w:val="ARfintablebody"/>
            </w:pPr>
            <w:r w:rsidRPr="00F21B41">
              <w:t>Cash and deposits</w:t>
            </w:r>
          </w:p>
        </w:tc>
        <w:tc>
          <w:tcPr>
            <w:tcW w:w="1701" w:type="dxa"/>
            <w:tcBorders>
              <w:top w:val="single" w:sz="4" w:space="0" w:color="A6A6A6"/>
              <w:bottom w:val="single" w:sz="4" w:space="0" w:color="A6A6A6"/>
            </w:tcBorders>
            <w:noWrap/>
            <w:hideMark/>
          </w:tcPr>
          <w:p w14:paraId="33415E9F"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6DD7C463" w14:textId="77777777" w:rsidR="00CE75D4" w:rsidRPr="002029AF" w:rsidRDefault="00CE75D4" w:rsidP="008340C1">
            <w:pPr>
              <w:pStyle w:val="ARfintablebodyright"/>
            </w:pPr>
            <w:r>
              <w:t>–</w:t>
            </w:r>
          </w:p>
        </w:tc>
      </w:tr>
      <w:tr w:rsidR="00CE75D4" w:rsidRPr="002029AF" w14:paraId="147134C6" w14:textId="77777777" w:rsidTr="00860E95">
        <w:tc>
          <w:tcPr>
            <w:tcW w:w="6804" w:type="dxa"/>
            <w:tcBorders>
              <w:top w:val="single" w:sz="4" w:space="0" w:color="A6A6A6"/>
              <w:bottom w:val="single" w:sz="4" w:space="0" w:color="A6A6A6"/>
            </w:tcBorders>
            <w:hideMark/>
          </w:tcPr>
          <w:p w14:paraId="5B926B0F" w14:textId="77777777" w:rsidR="00CE75D4" w:rsidRPr="002029AF" w:rsidRDefault="00CE75D4" w:rsidP="008340C1">
            <w:pPr>
              <w:pStyle w:val="ARfintablebody"/>
            </w:pPr>
            <w:r w:rsidRPr="00F21B41">
              <w:t xml:space="preserve">Receivables </w:t>
            </w:r>
            <w:r w:rsidRPr="00DE75B5">
              <w:rPr>
                <w:rStyle w:val="Superscript"/>
              </w:rPr>
              <w:t>(i)</w:t>
            </w:r>
          </w:p>
        </w:tc>
        <w:tc>
          <w:tcPr>
            <w:tcW w:w="1701" w:type="dxa"/>
            <w:tcBorders>
              <w:top w:val="single" w:sz="4" w:space="0" w:color="A6A6A6"/>
              <w:bottom w:val="single" w:sz="4" w:space="0" w:color="A6A6A6"/>
            </w:tcBorders>
            <w:noWrap/>
            <w:hideMark/>
          </w:tcPr>
          <w:p w14:paraId="1B21F452"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00A6A76A" w14:textId="77777777" w:rsidR="00CE75D4" w:rsidRPr="002029AF" w:rsidRDefault="00CE75D4" w:rsidP="008340C1">
            <w:pPr>
              <w:pStyle w:val="ARfintablebodyright"/>
            </w:pPr>
            <w:r>
              <w:t>–</w:t>
            </w:r>
          </w:p>
        </w:tc>
      </w:tr>
      <w:tr w:rsidR="00CE75D4" w:rsidRPr="002029AF" w14:paraId="06408D71" w14:textId="77777777" w:rsidTr="00860E95">
        <w:tc>
          <w:tcPr>
            <w:tcW w:w="6804" w:type="dxa"/>
            <w:tcBorders>
              <w:top w:val="single" w:sz="4" w:space="0" w:color="A6A6A6"/>
              <w:bottom w:val="single" w:sz="4" w:space="0" w:color="A6A6A6"/>
            </w:tcBorders>
            <w:hideMark/>
          </w:tcPr>
          <w:p w14:paraId="56024A4D" w14:textId="77777777" w:rsidR="00CE75D4" w:rsidRPr="002029AF" w:rsidRDefault="00CE75D4" w:rsidP="008340C1">
            <w:pPr>
              <w:pStyle w:val="ARfintablebody"/>
            </w:pPr>
            <w:r w:rsidRPr="00F21B41">
              <w:t>Loans</w:t>
            </w:r>
          </w:p>
        </w:tc>
        <w:tc>
          <w:tcPr>
            <w:tcW w:w="1701" w:type="dxa"/>
            <w:tcBorders>
              <w:top w:val="single" w:sz="4" w:space="0" w:color="A6A6A6"/>
              <w:bottom w:val="single" w:sz="4" w:space="0" w:color="A6A6A6"/>
            </w:tcBorders>
            <w:noWrap/>
            <w:hideMark/>
          </w:tcPr>
          <w:p w14:paraId="30E93E0F" w14:textId="77777777" w:rsidR="00CE75D4" w:rsidRPr="002029AF" w:rsidRDefault="00CE75D4" w:rsidP="008340C1">
            <w:pPr>
              <w:pStyle w:val="ARfintablebodyright"/>
            </w:pPr>
            <w:r w:rsidRPr="00F21B41">
              <w:t>0.4</w:t>
            </w:r>
          </w:p>
        </w:tc>
        <w:tc>
          <w:tcPr>
            <w:tcW w:w="1134" w:type="dxa"/>
            <w:tcBorders>
              <w:top w:val="single" w:sz="4" w:space="0" w:color="A6A6A6"/>
              <w:bottom w:val="single" w:sz="4" w:space="0" w:color="A6A6A6"/>
            </w:tcBorders>
            <w:noWrap/>
            <w:hideMark/>
          </w:tcPr>
          <w:p w14:paraId="7EFE8BA7" w14:textId="77777777" w:rsidR="00CE75D4" w:rsidRPr="002029AF" w:rsidRDefault="00CE75D4" w:rsidP="008340C1">
            <w:pPr>
              <w:pStyle w:val="ARfintablebodyright"/>
            </w:pPr>
            <w:r w:rsidRPr="00F21B41">
              <w:t>0.4</w:t>
            </w:r>
          </w:p>
        </w:tc>
      </w:tr>
      <w:tr w:rsidR="00CE75D4" w:rsidRPr="002029AF" w14:paraId="61B34B06" w14:textId="77777777" w:rsidTr="00860E95">
        <w:tc>
          <w:tcPr>
            <w:tcW w:w="6804" w:type="dxa"/>
            <w:tcBorders>
              <w:top w:val="single" w:sz="4" w:space="0" w:color="A6A6A6"/>
            </w:tcBorders>
            <w:hideMark/>
          </w:tcPr>
          <w:p w14:paraId="757EE09E" w14:textId="77777777" w:rsidR="00CE75D4" w:rsidRPr="002029AF" w:rsidRDefault="00CE75D4" w:rsidP="008340C1">
            <w:pPr>
              <w:pStyle w:val="ARfintablebody"/>
            </w:pPr>
            <w:r w:rsidRPr="00F21B41">
              <w:t>Short-term investments – term deposits</w:t>
            </w:r>
          </w:p>
        </w:tc>
        <w:tc>
          <w:tcPr>
            <w:tcW w:w="1701" w:type="dxa"/>
            <w:tcBorders>
              <w:top w:val="single" w:sz="4" w:space="0" w:color="A6A6A6"/>
            </w:tcBorders>
            <w:noWrap/>
            <w:hideMark/>
          </w:tcPr>
          <w:p w14:paraId="1F7C12EC" w14:textId="77777777" w:rsidR="00CE75D4" w:rsidRPr="002029AF" w:rsidRDefault="00CE75D4" w:rsidP="008340C1">
            <w:pPr>
              <w:pStyle w:val="ARfintablebodyright"/>
            </w:pPr>
            <w:r w:rsidRPr="00F21B41">
              <w:t>2.1</w:t>
            </w:r>
          </w:p>
        </w:tc>
        <w:tc>
          <w:tcPr>
            <w:tcW w:w="1134" w:type="dxa"/>
            <w:tcBorders>
              <w:top w:val="single" w:sz="4" w:space="0" w:color="A6A6A6"/>
            </w:tcBorders>
            <w:noWrap/>
            <w:hideMark/>
          </w:tcPr>
          <w:p w14:paraId="75EEB56F" w14:textId="77777777" w:rsidR="00CE75D4" w:rsidRPr="002029AF" w:rsidRDefault="00CE75D4" w:rsidP="008340C1">
            <w:pPr>
              <w:pStyle w:val="ARfintablebodyright"/>
            </w:pPr>
            <w:r w:rsidRPr="00F21B41">
              <w:t>2.1</w:t>
            </w:r>
          </w:p>
        </w:tc>
      </w:tr>
      <w:tr w:rsidR="00CE75D4" w:rsidRPr="002029AF" w14:paraId="75C0C740" w14:textId="77777777" w:rsidTr="00860E95">
        <w:tc>
          <w:tcPr>
            <w:tcW w:w="6804" w:type="dxa"/>
            <w:tcBorders>
              <w:bottom w:val="single" w:sz="4" w:space="0" w:color="auto"/>
            </w:tcBorders>
            <w:hideMark/>
          </w:tcPr>
          <w:p w14:paraId="36520E01" w14:textId="77777777" w:rsidR="00CE75D4" w:rsidRPr="002029AF" w:rsidRDefault="00CE75D4" w:rsidP="008340C1">
            <w:pPr>
              <w:pStyle w:val="ARfintablebodybold"/>
            </w:pPr>
            <w:r w:rsidRPr="00F21B41">
              <w:t>Total contractual financial assets</w:t>
            </w:r>
          </w:p>
        </w:tc>
        <w:tc>
          <w:tcPr>
            <w:tcW w:w="1701" w:type="dxa"/>
            <w:tcBorders>
              <w:bottom w:val="single" w:sz="4" w:space="0" w:color="auto"/>
            </w:tcBorders>
            <w:noWrap/>
            <w:hideMark/>
          </w:tcPr>
          <w:p w14:paraId="04F01AA1" w14:textId="77777777" w:rsidR="00CE75D4" w:rsidRPr="002029AF" w:rsidRDefault="00CE75D4" w:rsidP="008340C1">
            <w:pPr>
              <w:pStyle w:val="ARfintablebodyrightbold"/>
            </w:pPr>
            <w:r w:rsidRPr="00F21B41">
              <w:t>2.5</w:t>
            </w:r>
          </w:p>
        </w:tc>
        <w:tc>
          <w:tcPr>
            <w:tcW w:w="1134" w:type="dxa"/>
            <w:tcBorders>
              <w:bottom w:val="single" w:sz="4" w:space="0" w:color="auto"/>
            </w:tcBorders>
            <w:noWrap/>
            <w:hideMark/>
          </w:tcPr>
          <w:p w14:paraId="0A3A32F0" w14:textId="77777777" w:rsidR="00CE75D4" w:rsidRPr="002029AF" w:rsidRDefault="00CE75D4" w:rsidP="008340C1">
            <w:pPr>
              <w:pStyle w:val="ARfintablebodyrightbold"/>
            </w:pPr>
            <w:r w:rsidRPr="00F21B41">
              <w:t>2.5</w:t>
            </w:r>
          </w:p>
        </w:tc>
      </w:tr>
      <w:tr w:rsidR="00CE75D4" w:rsidRPr="002029AF" w14:paraId="08D6FE00" w14:textId="77777777" w:rsidTr="00860E95">
        <w:tc>
          <w:tcPr>
            <w:tcW w:w="9639" w:type="dxa"/>
            <w:gridSpan w:val="3"/>
            <w:tcBorders>
              <w:top w:val="single" w:sz="4" w:space="0" w:color="auto"/>
              <w:bottom w:val="single" w:sz="4" w:space="0" w:color="A6A6A6"/>
            </w:tcBorders>
            <w:hideMark/>
          </w:tcPr>
          <w:p w14:paraId="7FA8C693" w14:textId="77777777" w:rsidR="00CE75D4" w:rsidRPr="002029AF" w:rsidRDefault="00CE75D4" w:rsidP="008340C1">
            <w:pPr>
              <w:pStyle w:val="ARfintablebodybold"/>
            </w:pPr>
            <w:r w:rsidRPr="00F21B41">
              <w:t>Contractual financial liabilities</w:t>
            </w:r>
          </w:p>
        </w:tc>
      </w:tr>
      <w:tr w:rsidR="00CE75D4" w:rsidRPr="002029AF" w14:paraId="472EB8D9" w14:textId="77777777" w:rsidTr="00860E95">
        <w:tc>
          <w:tcPr>
            <w:tcW w:w="6804" w:type="dxa"/>
            <w:tcBorders>
              <w:top w:val="single" w:sz="4" w:space="0" w:color="A6A6A6"/>
              <w:bottom w:val="single" w:sz="4" w:space="0" w:color="A6A6A6"/>
            </w:tcBorders>
            <w:hideMark/>
          </w:tcPr>
          <w:p w14:paraId="3ADAFE92" w14:textId="77777777" w:rsidR="00CE75D4" w:rsidRPr="002029AF" w:rsidRDefault="00CE75D4" w:rsidP="008340C1">
            <w:pPr>
              <w:pStyle w:val="ARfintablebody"/>
            </w:pPr>
            <w:r w:rsidRPr="00F21B41">
              <w:t xml:space="preserve">Payables </w:t>
            </w:r>
            <w:r w:rsidRPr="00DE75B5">
              <w:rPr>
                <w:rStyle w:val="Superscript"/>
              </w:rPr>
              <w:t>(i)</w:t>
            </w:r>
          </w:p>
        </w:tc>
        <w:tc>
          <w:tcPr>
            <w:tcW w:w="1701" w:type="dxa"/>
            <w:tcBorders>
              <w:top w:val="single" w:sz="4" w:space="0" w:color="A6A6A6"/>
              <w:bottom w:val="single" w:sz="4" w:space="0" w:color="A6A6A6"/>
            </w:tcBorders>
            <w:noWrap/>
            <w:hideMark/>
          </w:tcPr>
          <w:p w14:paraId="7E650632"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04ABA03B" w14:textId="77777777" w:rsidR="00CE75D4" w:rsidRPr="002029AF" w:rsidRDefault="00CE75D4" w:rsidP="008340C1">
            <w:pPr>
              <w:pStyle w:val="ARfintablebodyright"/>
            </w:pPr>
            <w:r>
              <w:t>–</w:t>
            </w:r>
          </w:p>
        </w:tc>
      </w:tr>
      <w:tr w:rsidR="00CE75D4" w:rsidRPr="002029AF" w14:paraId="7EAE108D" w14:textId="77777777" w:rsidTr="00860E95">
        <w:tc>
          <w:tcPr>
            <w:tcW w:w="6804" w:type="dxa"/>
            <w:tcBorders>
              <w:top w:val="single" w:sz="4" w:space="0" w:color="A6A6A6"/>
            </w:tcBorders>
            <w:hideMark/>
          </w:tcPr>
          <w:p w14:paraId="66762642" w14:textId="77777777" w:rsidR="00CE75D4" w:rsidRPr="002029AF" w:rsidRDefault="00CE75D4" w:rsidP="008340C1">
            <w:pPr>
              <w:pStyle w:val="ARfintablebody"/>
            </w:pPr>
            <w:r w:rsidRPr="00F21B41">
              <w:t>Borrowings</w:t>
            </w:r>
          </w:p>
        </w:tc>
        <w:tc>
          <w:tcPr>
            <w:tcW w:w="1701" w:type="dxa"/>
            <w:tcBorders>
              <w:top w:val="single" w:sz="4" w:space="0" w:color="A6A6A6"/>
            </w:tcBorders>
            <w:noWrap/>
            <w:hideMark/>
          </w:tcPr>
          <w:p w14:paraId="5DA6B27A" w14:textId="77777777" w:rsidR="00CE75D4" w:rsidRPr="002029AF" w:rsidRDefault="00CE75D4" w:rsidP="008340C1">
            <w:pPr>
              <w:pStyle w:val="ARfintablebodyright"/>
            </w:pPr>
            <w:r w:rsidRPr="00F21B41">
              <w:t>(4.0)</w:t>
            </w:r>
          </w:p>
        </w:tc>
        <w:tc>
          <w:tcPr>
            <w:tcW w:w="1134" w:type="dxa"/>
            <w:tcBorders>
              <w:top w:val="single" w:sz="4" w:space="0" w:color="A6A6A6"/>
            </w:tcBorders>
            <w:noWrap/>
            <w:hideMark/>
          </w:tcPr>
          <w:p w14:paraId="5F19DFDD" w14:textId="77777777" w:rsidR="00CE75D4" w:rsidRPr="002029AF" w:rsidRDefault="00CE75D4" w:rsidP="008340C1">
            <w:pPr>
              <w:pStyle w:val="ARfintablebodyright"/>
            </w:pPr>
            <w:r w:rsidRPr="00F21B41">
              <w:t>(4.0)</w:t>
            </w:r>
          </w:p>
        </w:tc>
      </w:tr>
      <w:tr w:rsidR="00CE75D4" w:rsidRPr="002029AF" w14:paraId="681BAF4D" w14:textId="77777777" w:rsidTr="00860E95">
        <w:tc>
          <w:tcPr>
            <w:tcW w:w="6804" w:type="dxa"/>
            <w:hideMark/>
          </w:tcPr>
          <w:p w14:paraId="76BDE74E" w14:textId="77777777" w:rsidR="00CE75D4" w:rsidRPr="002029AF" w:rsidRDefault="00CE75D4" w:rsidP="008340C1">
            <w:pPr>
              <w:pStyle w:val="ARfintablebodybold"/>
            </w:pPr>
            <w:r w:rsidRPr="00F21B41">
              <w:t>Total contractual financial liabilities</w:t>
            </w:r>
          </w:p>
        </w:tc>
        <w:tc>
          <w:tcPr>
            <w:tcW w:w="1701" w:type="dxa"/>
            <w:noWrap/>
            <w:hideMark/>
          </w:tcPr>
          <w:p w14:paraId="6E5FA5BA" w14:textId="77777777" w:rsidR="00CE75D4" w:rsidRPr="002029AF" w:rsidRDefault="00CE75D4" w:rsidP="008340C1">
            <w:pPr>
              <w:pStyle w:val="ARfintablebodyrightbold"/>
            </w:pPr>
            <w:r w:rsidRPr="00F21B41">
              <w:t>(4.0)</w:t>
            </w:r>
          </w:p>
        </w:tc>
        <w:tc>
          <w:tcPr>
            <w:tcW w:w="1134" w:type="dxa"/>
            <w:noWrap/>
            <w:hideMark/>
          </w:tcPr>
          <w:p w14:paraId="6665BD4A" w14:textId="77777777" w:rsidR="00CE75D4" w:rsidRPr="002029AF" w:rsidRDefault="00CE75D4" w:rsidP="008340C1">
            <w:pPr>
              <w:pStyle w:val="ARfintablebodyrightbold"/>
            </w:pPr>
            <w:r w:rsidRPr="00F21B41">
              <w:t>(4.0)</w:t>
            </w:r>
          </w:p>
        </w:tc>
      </w:tr>
    </w:tbl>
    <w:p w14:paraId="0920FAA3" w14:textId="77777777" w:rsidR="00CE75D4" w:rsidRDefault="00CE75D4" w:rsidP="008340C1">
      <w:pPr>
        <w:pStyle w:val="ARfintablefootnote"/>
      </w:pPr>
      <w:r>
        <w:rPr>
          <w:lang w:eastAsia="en-AU"/>
        </w:rPr>
        <w:t>Note:</w:t>
      </w:r>
    </w:p>
    <w:p w14:paraId="513BF4A3" w14:textId="2B22214E" w:rsidR="00CE75D4" w:rsidRDefault="00CE75D4" w:rsidP="008340C1">
      <w:pPr>
        <w:pStyle w:val="ARfintablefootnoteindent"/>
      </w:pPr>
      <w:r>
        <w:t>(i)</w:t>
      </w:r>
      <w:r>
        <w:tab/>
        <w:t>The total amounts disclosed here exclude statutory amounts, for example, amounts owing to/from</w:t>
      </w:r>
      <w:r w:rsidR="00B572CD">
        <w:t xml:space="preserve"> </w:t>
      </w:r>
      <w:r>
        <w:t>Victorian Government and GST input tax credit recoverable and taxes payable.</w:t>
      </w:r>
    </w:p>
    <w:p w14:paraId="0424FE9D" w14:textId="77777777" w:rsidR="00CE75D4" w:rsidRDefault="00CE75D4" w:rsidP="008340C1">
      <w:pPr>
        <w:pStyle w:val="ARfinbodyaftertable"/>
      </w:pPr>
      <w:r>
        <w:t>The net holding gains or losses disclosed above are determined as follows:</w:t>
      </w:r>
    </w:p>
    <w:p w14:paraId="1A488802" w14:textId="42B7D07B" w:rsidR="00CE75D4" w:rsidRDefault="00CE75D4" w:rsidP="00817CFB">
      <w:pPr>
        <w:pStyle w:val="ARfinbullet1"/>
        <w:numPr>
          <w:ilvl w:val="0"/>
          <w:numId w:val="30"/>
        </w:numPr>
        <w:textAlignment w:val="auto"/>
      </w:pPr>
      <w:r>
        <w:t>for cash and cash equivalents, loans and receivables, the net gain or loss is calculated by taking the movement in the fair value of the asset, the interest income, and minus any impairment recognised in the net result</w:t>
      </w:r>
    </w:p>
    <w:p w14:paraId="6B966654" w14:textId="77777777" w:rsidR="00CE75D4" w:rsidRDefault="00CE75D4" w:rsidP="00817CFB">
      <w:pPr>
        <w:pStyle w:val="ARfinbullet1"/>
        <w:numPr>
          <w:ilvl w:val="0"/>
          <w:numId w:val="30"/>
        </w:numPr>
        <w:textAlignment w:val="auto"/>
      </w:pPr>
      <w:r>
        <w:t>for financial liabilities measured at amortised cost, the net gain or loss is the interest expense.</w:t>
      </w:r>
    </w:p>
    <w:p w14:paraId="03E087CD" w14:textId="77777777" w:rsidR="00CE75D4" w:rsidRDefault="00CE75D4" w:rsidP="008340C1">
      <w:pPr>
        <w:pStyle w:val="Heading5"/>
      </w:pPr>
      <w:r>
        <w:rPr>
          <w:lang w:eastAsia="en-AU"/>
        </w:rPr>
        <w:t>8.1.3 Financial risk management objectives and policies</w:t>
      </w:r>
    </w:p>
    <w:p w14:paraId="57C66A82" w14:textId="77777777" w:rsidR="00CE75D4" w:rsidRDefault="00CE75D4" w:rsidP="008340C1">
      <w:pPr>
        <w:pStyle w:val="ARfinbody"/>
      </w:pPr>
      <w:r>
        <w:t>The department is exposed to a number of financial risks, including:</w:t>
      </w:r>
    </w:p>
    <w:p w14:paraId="71F0EF6A" w14:textId="77777777" w:rsidR="00CE75D4" w:rsidRPr="002029AF" w:rsidRDefault="00CE75D4" w:rsidP="00130D1C">
      <w:pPr>
        <w:pStyle w:val="ARfinbodyaftertable"/>
      </w:pPr>
      <w:r>
        <w:rPr>
          <w:noProof/>
          <w:lang w:bidi="as-IN"/>
        </w:rPr>
        <w:drawing>
          <wp:inline distT="0" distB="0" distL="0" distR="0" wp14:anchorId="12039269" wp14:editId="2E149126">
            <wp:extent cx="3641172" cy="1297719"/>
            <wp:effectExtent l="0" t="0" r="0" b="0"/>
            <wp:docPr id="90" name="Picture 90" descr="Financial risks comprise credit risk, liquidity risk and market risk (which includes interest rate 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nancial risks comprise credit risk, liquidity risk and market risk (which includes interest rate risk). "/>
                    <pic:cNvPicPr/>
                  </pic:nvPicPr>
                  <pic:blipFill>
                    <a:blip r:embed="rId90">
                      <a:extLst>
                        <a:ext uri="{28A0092B-C50C-407E-A947-70E740481C1C}">
                          <a14:useLocalDpi xmlns:a14="http://schemas.microsoft.com/office/drawing/2010/main" val="0"/>
                        </a:ext>
                        <a:ext uri="{96DAC541-7B7A-43D3-8B79-37D633B846F1}">
                          <asvg:svgBlip xmlns:asvg="http://schemas.microsoft.com/office/drawing/2016/SVG/main" r:embed="rId91"/>
                        </a:ext>
                      </a:extLst>
                    </a:blip>
                    <a:stretch>
                      <a:fillRect/>
                    </a:stretch>
                  </pic:blipFill>
                  <pic:spPr>
                    <a:xfrm>
                      <a:off x="0" y="0"/>
                      <a:ext cx="3641172" cy="1297719"/>
                    </a:xfrm>
                    <a:prstGeom prst="rect">
                      <a:avLst/>
                    </a:prstGeom>
                  </pic:spPr>
                </pic:pic>
              </a:graphicData>
            </a:graphic>
          </wp:inline>
        </w:drawing>
      </w:r>
    </w:p>
    <w:p w14:paraId="431DAED1" w14:textId="77777777" w:rsidR="00CE75D4" w:rsidRDefault="00CE75D4" w:rsidP="008340C1">
      <w:pPr>
        <w:pStyle w:val="ARfinbodyaftertable"/>
      </w:pPr>
      <w:bookmarkStart w:id="621" w:name="_Toc85121519"/>
      <w:r>
        <w:t>As a whole, the department’s financial risk management program seeks to manage these risks and the associated volatility of its financial performance.</w:t>
      </w:r>
    </w:p>
    <w:p w14:paraId="64C864C3" w14:textId="77777777" w:rsidR="00CE75D4" w:rsidRDefault="00CE75D4" w:rsidP="008340C1">
      <w:pPr>
        <w:pStyle w:val="ARfinbody"/>
      </w:pPr>
      <w:r>
        <w:t>Details of the significant accounting policies and methods adopted, including the criteria for recognition, the basis of measurement and the basis on which income and expenses are recognised, with respect to each class of financial asset and financial liability, are disclosed in Note 8.3.1.</w:t>
      </w:r>
    </w:p>
    <w:p w14:paraId="76CE68B3" w14:textId="77777777" w:rsidR="00CE75D4" w:rsidRDefault="00CE75D4" w:rsidP="008340C1">
      <w:pPr>
        <w:pStyle w:val="ARfinbody"/>
      </w:pPr>
      <w:r>
        <w:t>The main purpose in holding financial instruments is to prudentially manage the department’s financial risks within the government policy parameters.</w:t>
      </w:r>
    </w:p>
    <w:p w14:paraId="67938F64" w14:textId="77777777" w:rsidR="00CE75D4" w:rsidRDefault="00CE75D4" w:rsidP="008340C1">
      <w:pPr>
        <w:pStyle w:val="ARfinbody"/>
      </w:pPr>
      <w:r>
        <w:t>The department’s main financial risks include credit risk, liquidity risk and interest rate risk. The department manages these financial risks in accordance with its financial risk management policy.</w:t>
      </w:r>
    </w:p>
    <w:p w14:paraId="22F0CC9E" w14:textId="77777777" w:rsidR="00CE75D4" w:rsidRDefault="00CE75D4" w:rsidP="008340C1">
      <w:pPr>
        <w:pStyle w:val="ARfinbody"/>
      </w:pPr>
      <w:r>
        <w:t>The department uses different methods to measure and manage the different risks to which it is exposed. Primary responsibility for the identification and management of financial risks rests with the accountable officer of the department.</w:t>
      </w:r>
    </w:p>
    <w:p w14:paraId="0AE68259" w14:textId="77777777" w:rsidR="00CE75D4" w:rsidRDefault="00CE75D4" w:rsidP="008340C1">
      <w:pPr>
        <w:pStyle w:val="Heading6"/>
      </w:pPr>
      <w:bookmarkStart w:id="622" w:name="_Toc85121520"/>
      <w:bookmarkEnd w:id="621"/>
      <w:r>
        <w:rPr>
          <w:lang w:eastAsia="en-AU"/>
        </w:rPr>
        <w:t>8.1.3.1 Financial instruments: credit risk</w:t>
      </w:r>
    </w:p>
    <w:p w14:paraId="4823459B" w14:textId="77777777" w:rsidR="00CE75D4" w:rsidRDefault="00CE75D4" w:rsidP="008340C1">
      <w:pPr>
        <w:pStyle w:val="ARfinbody"/>
      </w:pPr>
      <w:r>
        <w:t>Credit risk refers to the possibility that a borrower will default on their financial obligations as and when they fall due. The department’s exposure to credit risk arises from the potential default of a counter party on their contractual obligations resulting in financial loss to the department. Credit risk is measured at fair value and is monitored on a regular basis.</w:t>
      </w:r>
    </w:p>
    <w:p w14:paraId="0C322AC5" w14:textId="77777777" w:rsidR="00CE75D4" w:rsidRDefault="00CE75D4" w:rsidP="008340C1">
      <w:pPr>
        <w:pStyle w:val="ARfinbody"/>
      </w:pPr>
      <w:r>
        <w:t>Credit risk associated with the department’s contractual financial assets is minimal because the main debtor is the Victorian Government. For debtors other than the Victorian Government, it is the department’s policy to only deal with entities with high credit ratings of a minimum triple-B rating and to obtain sufficient collateral or credit enhancements, where appropriate.</w:t>
      </w:r>
    </w:p>
    <w:p w14:paraId="7B9F8AC6" w14:textId="77777777" w:rsidR="00CE75D4" w:rsidRDefault="00CE75D4" w:rsidP="008340C1">
      <w:pPr>
        <w:pStyle w:val="ARfinbody"/>
      </w:pPr>
      <w:r>
        <w:t>In addition, the department does not engage in hedging for its contractual financial assets and mainly obtains contractual financial assets that are on fixed interest, except for cash and deposits, which are mainly cash at bank. As with the policy for debtors, the department’s policy is to only deal with banks with high credit ratings.</w:t>
      </w:r>
    </w:p>
    <w:p w14:paraId="329BCB83" w14:textId="77777777" w:rsidR="00CE75D4" w:rsidRDefault="00CE75D4" w:rsidP="008340C1">
      <w:pPr>
        <w:pStyle w:val="ARfinbody"/>
      </w:pPr>
      <w:r>
        <w:t>Provision of impairment for financial assets is calculated based on past experience and current and expected changes in client credit ratings, or based on the assumptions about risk of default and expected credit loss rates.</w:t>
      </w:r>
    </w:p>
    <w:p w14:paraId="1DDB248D" w14:textId="77777777" w:rsidR="00CE75D4" w:rsidRDefault="00CE75D4" w:rsidP="008340C1">
      <w:pPr>
        <w:pStyle w:val="ARfinbody"/>
      </w:pPr>
      <w:r>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7B160565" w14:textId="77777777" w:rsidR="00CE75D4" w:rsidRDefault="00CE75D4" w:rsidP="008340C1">
      <w:pPr>
        <w:pStyle w:val="ARfinbody"/>
      </w:pPr>
      <w:r>
        <w:t>Except as otherwise detailed in the following table, the carrying amount of contractual financial assets recorded in the financial report statements, net of any allowances for losses, represents the department’s maximum exposure to credit risk without taking account of the value of any collateral obtained.</w:t>
      </w:r>
    </w:p>
    <w:p w14:paraId="16D9DB2C" w14:textId="77777777" w:rsidR="00CE75D4" w:rsidRDefault="00CE75D4" w:rsidP="008340C1">
      <w:pPr>
        <w:pStyle w:val="ARfinbody"/>
      </w:pPr>
      <w:r>
        <w:t>There has been no material change to the department’s credit risk profile in 2021–22.</w:t>
      </w:r>
    </w:p>
    <w:p w14:paraId="3EB9D49E" w14:textId="77777777" w:rsidR="00CE75D4" w:rsidRDefault="00CE75D4" w:rsidP="00130D1C">
      <w:pPr>
        <w:pStyle w:val="Heading7"/>
      </w:pPr>
      <w:r>
        <w:t>Credit quality of contractual financial assets</w:t>
      </w:r>
      <w:bookmarkEnd w:id="622"/>
    </w:p>
    <w:tbl>
      <w:tblPr>
        <w:tblStyle w:val="TableGrid"/>
        <w:tblW w:w="9639" w:type="dxa"/>
        <w:tblLayout w:type="fixed"/>
        <w:tblLook w:val="06A0" w:firstRow="1" w:lastRow="0" w:firstColumn="1" w:lastColumn="0" w:noHBand="1" w:noVBand="1"/>
      </w:tblPr>
      <w:tblGrid>
        <w:gridCol w:w="3968"/>
        <w:gridCol w:w="1417"/>
        <w:gridCol w:w="1418"/>
        <w:gridCol w:w="1418"/>
        <w:gridCol w:w="1418"/>
      </w:tblGrid>
      <w:tr w:rsidR="00CE75D4" w:rsidRPr="002029AF" w14:paraId="1F63B70A"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7A1E7CA0" w14:textId="77777777" w:rsidR="00CE75D4" w:rsidRPr="002029AF" w:rsidRDefault="00CE75D4" w:rsidP="00130D1C">
            <w:pPr>
              <w:pStyle w:val="ARfintablecolhead"/>
              <w:spacing w:before="30"/>
            </w:pPr>
          </w:p>
        </w:tc>
        <w:tc>
          <w:tcPr>
            <w:tcW w:w="1417" w:type="dxa"/>
            <w:tcBorders>
              <w:bottom w:val="single" w:sz="4" w:space="0" w:color="auto"/>
            </w:tcBorders>
            <w:hideMark/>
          </w:tcPr>
          <w:p w14:paraId="7E9FEE0C" w14:textId="77777777" w:rsidR="00CE75D4" w:rsidRDefault="00CE75D4" w:rsidP="00130D1C">
            <w:pPr>
              <w:pStyle w:val="ARfintablecolheadright"/>
              <w:spacing w:before="30"/>
            </w:pPr>
            <w:r w:rsidRPr="002029AF">
              <w:t>Financial institutions double-A credit rating</w:t>
            </w:r>
          </w:p>
          <w:p w14:paraId="587C402A" w14:textId="77777777" w:rsidR="00CE75D4" w:rsidRPr="002029AF" w:rsidRDefault="00CE75D4" w:rsidP="00130D1C">
            <w:pPr>
              <w:pStyle w:val="ARfintablecolheadright"/>
              <w:spacing w:before="30"/>
            </w:pPr>
            <w:r w:rsidRPr="002029AF">
              <w:t>Total</w:t>
            </w:r>
          </w:p>
          <w:p w14:paraId="31B66433" w14:textId="77777777" w:rsidR="00CE75D4" w:rsidRPr="002029AF" w:rsidRDefault="00CE75D4" w:rsidP="00130D1C">
            <w:pPr>
              <w:pStyle w:val="ARfintablecolheadright"/>
              <w:spacing w:before="30"/>
            </w:pPr>
            <w:r w:rsidRPr="002029AF">
              <w:t>$M</w:t>
            </w:r>
          </w:p>
        </w:tc>
        <w:tc>
          <w:tcPr>
            <w:tcW w:w="1418" w:type="dxa"/>
            <w:tcBorders>
              <w:bottom w:val="single" w:sz="4" w:space="0" w:color="auto"/>
            </w:tcBorders>
            <w:hideMark/>
          </w:tcPr>
          <w:p w14:paraId="3D2EC34E" w14:textId="77777777" w:rsidR="00CE75D4" w:rsidRDefault="00CE75D4" w:rsidP="00130D1C">
            <w:pPr>
              <w:pStyle w:val="ARfintablecolheadright"/>
              <w:spacing w:before="30"/>
            </w:pPr>
            <w:r w:rsidRPr="002029AF">
              <w:t xml:space="preserve">Government agencies </w:t>
            </w:r>
            <w:r>
              <w:t>double</w:t>
            </w:r>
            <w:r w:rsidRPr="002029AF">
              <w:t xml:space="preserve">-A </w:t>
            </w:r>
            <w:r>
              <w:br/>
            </w:r>
            <w:r w:rsidRPr="002029AF">
              <w:t>credit rating</w:t>
            </w:r>
          </w:p>
          <w:p w14:paraId="46076BD1" w14:textId="77777777" w:rsidR="00CE75D4" w:rsidRPr="002029AF" w:rsidRDefault="00CE75D4" w:rsidP="00130D1C">
            <w:pPr>
              <w:pStyle w:val="ARfintablecolheadright"/>
              <w:spacing w:before="30"/>
            </w:pPr>
            <w:r w:rsidRPr="002029AF">
              <w:t>Total</w:t>
            </w:r>
          </w:p>
          <w:p w14:paraId="25BFFAA8" w14:textId="77777777" w:rsidR="00CE75D4" w:rsidRPr="002029AF" w:rsidRDefault="00CE75D4" w:rsidP="00130D1C">
            <w:pPr>
              <w:pStyle w:val="ARfintablecolheadright"/>
              <w:spacing w:before="30"/>
            </w:pPr>
            <w:r w:rsidRPr="002029AF">
              <w:t>$M</w:t>
            </w:r>
          </w:p>
        </w:tc>
        <w:tc>
          <w:tcPr>
            <w:tcW w:w="1418" w:type="dxa"/>
            <w:tcBorders>
              <w:bottom w:val="single" w:sz="4" w:space="0" w:color="auto"/>
            </w:tcBorders>
            <w:hideMark/>
          </w:tcPr>
          <w:p w14:paraId="50FFCEAE" w14:textId="77777777" w:rsidR="00CE75D4" w:rsidRPr="002029AF" w:rsidRDefault="00CE75D4" w:rsidP="00130D1C">
            <w:pPr>
              <w:pStyle w:val="ARfintablecolheadright"/>
              <w:spacing w:before="30"/>
            </w:pPr>
            <w:r w:rsidRPr="002029AF">
              <w:t>Credit ratings not disclosed</w:t>
            </w:r>
          </w:p>
          <w:p w14:paraId="00A8C647" w14:textId="77777777" w:rsidR="00CE75D4" w:rsidRPr="002029AF" w:rsidRDefault="00CE75D4" w:rsidP="00130D1C">
            <w:pPr>
              <w:pStyle w:val="ARfintablecolheadright"/>
              <w:spacing w:before="30"/>
            </w:pPr>
            <w:r w:rsidRPr="002029AF">
              <w:t>$M</w:t>
            </w:r>
          </w:p>
        </w:tc>
        <w:tc>
          <w:tcPr>
            <w:tcW w:w="1418" w:type="dxa"/>
            <w:tcBorders>
              <w:bottom w:val="single" w:sz="4" w:space="0" w:color="auto"/>
            </w:tcBorders>
            <w:hideMark/>
          </w:tcPr>
          <w:p w14:paraId="65CB35D5" w14:textId="77777777" w:rsidR="00CE75D4" w:rsidRPr="002029AF" w:rsidRDefault="00CE75D4" w:rsidP="00130D1C">
            <w:pPr>
              <w:pStyle w:val="ARfintablecolheadright"/>
              <w:spacing w:before="30"/>
            </w:pPr>
            <w:r w:rsidRPr="002029AF">
              <w:t>Total</w:t>
            </w:r>
          </w:p>
          <w:p w14:paraId="3FDD1462" w14:textId="77777777" w:rsidR="00CE75D4" w:rsidRPr="002029AF" w:rsidRDefault="00CE75D4" w:rsidP="00130D1C">
            <w:pPr>
              <w:pStyle w:val="ARfintablecolheadright"/>
              <w:spacing w:before="30"/>
            </w:pPr>
            <w:r w:rsidRPr="002029AF">
              <w:t>$M</w:t>
            </w:r>
          </w:p>
        </w:tc>
      </w:tr>
      <w:tr w:rsidR="00CE75D4" w:rsidRPr="002029AF" w14:paraId="59EE9A49" w14:textId="77777777" w:rsidTr="008340C1">
        <w:trPr>
          <w:cantSplit w:val="0"/>
        </w:trPr>
        <w:tc>
          <w:tcPr>
            <w:tcW w:w="9639" w:type="dxa"/>
            <w:gridSpan w:val="5"/>
            <w:tcBorders>
              <w:top w:val="single" w:sz="4" w:space="0" w:color="auto"/>
              <w:bottom w:val="single" w:sz="4" w:space="0" w:color="auto"/>
            </w:tcBorders>
          </w:tcPr>
          <w:p w14:paraId="4F71C064" w14:textId="77777777" w:rsidR="00CE75D4" w:rsidRPr="005B00A5" w:rsidRDefault="00CE75D4" w:rsidP="008340C1">
            <w:pPr>
              <w:pStyle w:val="ARfintablebodybold"/>
            </w:pPr>
            <w:r>
              <w:t>2022</w:t>
            </w:r>
          </w:p>
        </w:tc>
      </w:tr>
      <w:tr w:rsidR="00CE75D4" w:rsidRPr="002029AF" w14:paraId="07EEEAF2" w14:textId="77777777" w:rsidTr="008340C1">
        <w:trPr>
          <w:cantSplit w:val="0"/>
        </w:trPr>
        <w:tc>
          <w:tcPr>
            <w:tcW w:w="3968" w:type="dxa"/>
            <w:tcBorders>
              <w:top w:val="single" w:sz="4" w:space="0" w:color="auto"/>
              <w:bottom w:val="single" w:sz="4" w:space="0" w:color="A6A6A6"/>
            </w:tcBorders>
            <w:hideMark/>
          </w:tcPr>
          <w:p w14:paraId="31A1DA2E" w14:textId="77777777" w:rsidR="00CE75D4" w:rsidRPr="002029AF" w:rsidRDefault="00CE75D4" w:rsidP="008340C1">
            <w:pPr>
              <w:pStyle w:val="ARfintablebody"/>
              <w:spacing w:before="30" w:line="240" w:lineRule="auto"/>
            </w:pPr>
            <w:r w:rsidRPr="003106E9">
              <w:t>Cash and deposits (not assessed for</w:t>
            </w:r>
            <w:r>
              <w:t> </w:t>
            </w:r>
            <w:r w:rsidRPr="003106E9">
              <w:t>impairment due to materiality)</w:t>
            </w:r>
          </w:p>
        </w:tc>
        <w:tc>
          <w:tcPr>
            <w:tcW w:w="1417" w:type="dxa"/>
            <w:tcBorders>
              <w:top w:val="single" w:sz="4" w:space="0" w:color="auto"/>
              <w:bottom w:val="single" w:sz="4" w:space="0" w:color="A6A6A6"/>
            </w:tcBorders>
            <w:noWrap/>
            <w:hideMark/>
          </w:tcPr>
          <w:p w14:paraId="293BF3A0" w14:textId="77777777" w:rsidR="00CE75D4" w:rsidRPr="002029AF" w:rsidRDefault="00CE75D4" w:rsidP="008340C1">
            <w:pPr>
              <w:pStyle w:val="ARfintablebodyright"/>
              <w:spacing w:before="30" w:line="240" w:lineRule="auto"/>
            </w:pPr>
            <w:r w:rsidRPr="003106E9">
              <w:t>14.2</w:t>
            </w:r>
          </w:p>
        </w:tc>
        <w:tc>
          <w:tcPr>
            <w:tcW w:w="1418" w:type="dxa"/>
            <w:tcBorders>
              <w:top w:val="single" w:sz="4" w:space="0" w:color="auto"/>
              <w:bottom w:val="single" w:sz="4" w:space="0" w:color="A6A6A6"/>
            </w:tcBorders>
            <w:noWrap/>
            <w:hideMark/>
          </w:tcPr>
          <w:p w14:paraId="7BFDFD97" w14:textId="77777777" w:rsidR="00CE75D4" w:rsidRPr="002029AF" w:rsidRDefault="00CE75D4" w:rsidP="008340C1">
            <w:pPr>
              <w:pStyle w:val="ARfintablebodyright"/>
              <w:spacing w:before="30" w:line="240" w:lineRule="auto"/>
            </w:pPr>
            <w:r w:rsidRPr="003106E9">
              <w:t>92.1</w:t>
            </w:r>
          </w:p>
        </w:tc>
        <w:tc>
          <w:tcPr>
            <w:tcW w:w="1418" w:type="dxa"/>
            <w:tcBorders>
              <w:top w:val="single" w:sz="4" w:space="0" w:color="auto"/>
              <w:bottom w:val="single" w:sz="4" w:space="0" w:color="A6A6A6"/>
            </w:tcBorders>
            <w:noWrap/>
            <w:hideMark/>
          </w:tcPr>
          <w:p w14:paraId="59F67A19" w14:textId="77777777" w:rsidR="00CE75D4" w:rsidRPr="002029AF" w:rsidRDefault="00CE75D4" w:rsidP="008340C1">
            <w:pPr>
              <w:pStyle w:val="ARfintablebodyright"/>
              <w:spacing w:before="30" w:line="240" w:lineRule="auto"/>
            </w:pPr>
            <w:r>
              <w:t>–</w:t>
            </w:r>
          </w:p>
        </w:tc>
        <w:tc>
          <w:tcPr>
            <w:tcW w:w="1418" w:type="dxa"/>
            <w:tcBorders>
              <w:top w:val="single" w:sz="4" w:space="0" w:color="auto"/>
              <w:bottom w:val="single" w:sz="4" w:space="0" w:color="A6A6A6"/>
            </w:tcBorders>
            <w:noWrap/>
            <w:hideMark/>
          </w:tcPr>
          <w:p w14:paraId="5FB6EEAA" w14:textId="77777777" w:rsidR="00CE75D4" w:rsidRPr="002029AF" w:rsidRDefault="00CE75D4" w:rsidP="008340C1">
            <w:pPr>
              <w:pStyle w:val="ARfintablebodyright"/>
              <w:spacing w:before="30" w:line="240" w:lineRule="auto"/>
            </w:pPr>
            <w:r w:rsidRPr="003106E9">
              <w:t>106.3</w:t>
            </w:r>
          </w:p>
        </w:tc>
      </w:tr>
      <w:tr w:rsidR="00CE75D4" w:rsidRPr="002029AF" w14:paraId="7FC676CF" w14:textId="77777777" w:rsidTr="008340C1">
        <w:trPr>
          <w:cantSplit w:val="0"/>
        </w:trPr>
        <w:tc>
          <w:tcPr>
            <w:tcW w:w="3968" w:type="dxa"/>
            <w:tcBorders>
              <w:top w:val="single" w:sz="4" w:space="0" w:color="A6A6A6"/>
              <w:bottom w:val="single" w:sz="4" w:space="0" w:color="A6A6A6"/>
            </w:tcBorders>
            <w:hideMark/>
          </w:tcPr>
          <w:p w14:paraId="73B7EAB3" w14:textId="77777777" w:rsidR="00CE75D4" w:rsidRPr="002029AF" w:rsidRDefault="00CE75D4" w:rsidP="008340C1">
            <w:pPr>
              <w:pStyle w:val="ARfintablebody"/>
              <w:spacing w:before="30" w:line="240" w:lineRule="auto"/>
            </w:pPr>
            <w:r w:rsidRPr="003106E9">
              <w:t xml:space="preserve">Contractual receivables applying the simplified approach for impairment </w:t>
            </w:r>
            <w:r w:rsidRPr="000A0B19">
              <w:rPr>
                <w:rStyle w:val="Superscript"/>
              </w:rPr>
              <w:t>(i)(ii)</w:t>
            </w:r>
          </w:p>
        </w:tc>
        <w:tc>
          <w:tcPr>
            <w:tcW w:w="1417" w:type="dxa"/>
            <w:tcBorders>
              <w:top w:val="single" w:sz="4" w:space="0" w:color="A6A6A6"/>
              <w:bottom w:val="single" w:sz="4" w:space="0" w:color="A6A6A6"/>
            </w:tcBorders>
            <w:noWrap/>
            <w:hideMark/>
          </w:tcPr>
          <w:p w14:paraId="71B3DC58" w14:textId="77777777" w:rsidR="00CE75D4" w:rsidRPr="002029AF" w:rsidRDefault="00CE75D4" w:rsidP="008340C1">
            <w:pPr>
              <w:pStyle w:val="ARfintablebodyright"/>
              <w:spacing w:before="30" w:line="240" w:lineRule="auto"/>
            </w:pPr>
            <w:r>
              <w:t>–</w:t>
            </w:r>
          </w:p>
        </w:tc>
        <w:tc>
          <w:tcPr>
            <w:tcW w:w="1418" w:type="dxa"/>
            <w:tcBorders>
              <w:top w:val="single" w:sz="4" w:space="0" w:color="A6A6A6"/>
              <w:bottom w:val="single" w:sz="4" w:space="0" w:color="A6A6A6"/>
            </w:tcBorders>
            <w:noWrap/>
            <w:hideMark/>
          </w:tcPr>
          <w:p w14:paraId="1C191DD2" w14:textId="77777777" w:rsidR="00CE75D4" w:rsidRPr="002029AF" w:rsidRDefault="00CE75D4" w:rsidP="008340C1">
            <w:pPr>
              <w:pStyle w:val="ARfintablebodyright"/>
              <w:spacing w:before="30" w:line="240" w:lineRule="auto"/>
            </w:pPr>
            <w:r w:rsidRPr="003106E9">
              <w:t>1,116.8</w:t>
            </w:r>
          </w:p>
        </w:tc>
        <w:tc>
          <w:tcPr>
            <w:tcW w:w="1418" w:type="dxa"/>
            <w:tcBorders>
              <w:top w:val="single" w:sz="4" w:space="0" w:color="A6A6A6"/>
              <w:bottom w:val="single" w:sz="4" w:space="0" w:color="A6A6A6"/>
            </w:tcBorders>
            <w:noWrap/>
            <w:hideMark/>
          </w:tcPr>
          <w:p w14:paraId="0A99D2E4" w14:textId="77777777" w:rsidR="00CE75D4" w:rsidRPr="002029AF" w:rsidRDefault="00CE75D4" w:rsidP="008340C1">
            <w:pPr>
              <w:pStyle w:val="ARfintablebodyright"/>
              <w:spacing w:before="30" w:line="240" w:lineRule="auto"/>
            </w:pPr>
            <w:r w:rsidRPr="003106E9">
              <w:t>10.6</w:t>
            </w:r>
          </w:p>
        </w:tc>
        <w:tc>
          <w:tcPr>
            <w:tcW w:w="1418" w:type="dxa"/>
            <w:tcBorders>
              <w:top w:val="single" w:sz="4" w:space="0" w:color="A6A6A6"/>
              <w:bottom w:val="single" w:sz="4" w:space="0" w:color="A6A6A6"/>
            </w:tcBorders>
            <w:noWrap/>
            <w:hideMark/>
          </w:tcPr>
          <w:p w14:paraId="4A3C20E3" w14:textId="77777777" w:rsidR="00CE75D4" w:rsidRPr="002029AF" w:rsidRDefault="00CE75D4" w:rsidP="008340C1">
            <w:pPr>
              <w:pStyle w:val="ARfintablebodyright"/>
              <w:spacing w:before="30" w:line="240" w:lineRule="auto"/>
            </w:pPr>
            <w:r w:rsidRPr="003106E9">
              <w:t>1,127.4</w:t>
            </w:r>
          </w:p>
        </w:tc>
      </w:tr>
      <w:tr w:rsidR="00CE75D4" w:rsidRPr="002029AF" w14:paraId="228BFEB2" w14:textId="77777777" w:rsidTr="008340C1">
        <w:trPr>
          <w:cantSplit w:val="0"/>
        </w:trPr>
        <w:tc>
          <w:tcPr>
            <w:tcW w:w="3968" w:type="dxa"/>
            <w:tcBorders>
              <w:top w:val="single" w:sz="4" w:space="0" w:color="A6A6A6"/>
              <w:bottom w:val="single" w:sz="4" w:space="0" w:color="A6A6A6"/>
            </w:tcBorders>
            <w:hideMark/>
          </w:tcPr>
          <w:p w14:paraId="7BC8D4F0" w14:textId="77777777" w:rsidR="00CE75D4" w:rsidRPr="002029AF" w:rsidRDefault="00CE75D4" w:rsidP="008340C1">
            <w:pPr>
              <w:pStyle w:val="ARfintablebody"/>
              <w:spacing w:before="30" w:line="240" w:lineRule="auto"/>
            </w:pPr>
            <w:r w:rsidRPr="003106E9">
              <w:t>Loans</w:t>
            </w:r>
          </w:p>
        </w:tc>
        <w:tc>
          <w:tcPr>
            <w:tcW w:w="1417" w:type="dxa"/>
            <w:tcBorders>
              <w:top w:val="single" w:sz="4" w:space="0" w:color="A6A6A6"/>
              <w:bottom w:val="single" w:sz="4" w:space="0" w:color="A6A6A6"/>
            </w:tcBorders>
            <w:noWrap/>
            <w:hideMark/>
          </w:tcPr>
          <w:p w14:paraId="629DF10C" w14:textId="77777777" w:rsidR="00CE75D4" w:rsidRPr="002029AF" w:rsidRDefault="00CE75D4" w:rsidP="008340C1">
            <w:pPr>
              <w:pStyle w:val="ARfintablebodyright"/>
              <w:spacing w:before="30" w:line="240" w:lineRule="auto"/>
            </w:pPr>
            <w:r>
              <w:t>–</w:t>
            </w:r>
          </w:p>
        </w:tc>
        <w:tc>
          <w:tcPr>
            <w:tcW w:w="1418" w:type="dxa"/>
            <w:tcBorders>
              <w:top w:val="single" w:sz="4" w:space="0" w:color="A6A6A6"/>
              <w:bottom w:val="single" w:sz="4" w:space="0" w:color="A6A6A6"/>
            </w:tcBorders>
            <w:noWrap/>
            <w:hideMark/>
          </w:tcPr>
          <w:p w14:paraId="60354EEC" w14:textId="77777777" w:rsidR="00CE75D4" w:rsidRPr="002029AF" w:rsidRDefault="00CE75D4" w:rsidP="008340C1">
            <w:pPr>
              <w:pStyle w:val="ARfintablebodyright"/>
              <w:spacing w:before="30" w:line="240" w:lineRule="auto"/>
            </w:pPr>
            <w:r w:rsidRPr="003106E9">
              <w:t>75.2</w:t>
            </w:r>
          </w:p>
        </w:tc>
        <w:tc>
          <w:tcPr>
            <w:tcW w:w="1418" w:type="dxa"/>
            <w:tcBorders>
              <w:top w:val="single" w:sz="4" w:space="0" w:color="A6A6A6"/>
              <w:bottom w:val="single" w:sz="4" w:space="0" w:color="A6A6A6"/>
            </w:tcBorders>
            <w:noWrap/>
            <w:hideMark/>
          </w:tcPr>
          <w:p w14:paraId="78218D58" w14:textId="77777777" w:rsidR="00CE75D4" w:rsidRPr="002029AF" w:rsidRDefault="00CE75D4" w:rsidP="008340C1">
            <w:pPr>
              <w:pStyle w:val="ARfintablebodyright"/>
              <w:spacing w:before="30" w:line="240" w:lineRule="auto"/>
            </w:pPr>
            <w:r>
              <w:t>–</w:t>
            </w:r>
          </w:p>
        </w:tc>
        <w:tc>
          <w:tcPr>
            <w:tcW w:w="1418" w:type="dxa"/>
            <w:tcBorders>
              <w:top w:val="single" w:sz="4" w:space="0" w:color="A6A6A6"/>
              <w:bottom w:val="single" w:sz="4" w:space="0" w:color="A6A6A6"/>
            </w:tcBorders>
            <w:noWrap/>
            <w:hideMark/>
          </w:tcPr>
          <w:p w14:paraId="3A387276" w14:textId="77777777" w:rsidR="00CE75D4" w:rsidRPr="002029AF" w:rsidRDefault="00CE75D4" w:rsidP="008340C1">
            <w:pPr>
              <w:pStyle w:val="ARfintablebodyright"/>
              <w:spacing w:before="30" w:line="240" w:lineRule="auto"/>
            </w:pPr>
            <w:r w:rsidRPr="003106E9">
              <w:t>75.2</w:t>
            </w:r>
          </w:p>
        </w:tc>
      </w:tr>
      <w:tr w:rsidR="00CE75D4" w:rsidRPr="002029AF" w14:paraId="04FE34EB" w14:textId="77777777" w:rsidTr="008340C1">
        <w:trPr>
          <w:cantSplit w:val="0"/>
        </w:trPr>
        <w:tc>
          <w:tcPr>
            <w:tcW w:w="3968" w:type="dxa"/>
            <w:tcBorders>
              <w:top w:val="single" w:sz="4" w:space="0" w:color="A6A6A6"/>
            </w:tcBorders>
            <w:hideMark/>
          </w:tcPr>
          <w:p w14:paraId="6FB6C6BB" w14:textId="77777777" w:rsidR="00CE75D4" w:rsidRPr="002029AF" w:rsidRDefault="00CE75D4" w:rsidP="008340C1">
            <w:pPr>
              <w:pStyle w:val="ARfintablebody"/>
              <w:spacing w:before="30" w:line="240" w:lineRule="auto"/>
            </w:pPr>
            <w:r w:rsidRPr="003106E9">
              <w:t xml:space="preserve">Statutory receivables </w:t>
            </w:r>
            <w:r>
              <w:br/>
            </w:r>
            <w:r w:rsidRPr="003106E9">
              <w:t>(with no impairment loss recognised)</w:t>
            </w:r>
          </w:p>
        </w:tc>
        <w:tc>
          <w:tcPr>
            <w:tcW w:w="1417" w:type="dxa"/>
            <w:tcBorders>
              <w:top w:val="single" w:sz="4" w:space="0" w:color="A6A6A6"/>
            </w:tcBorders>
            <w:noWrap/>
            <w:hideMark/>
          </w:tcPr>
          <w:p w14:paraId="51F2EC7E" w14:textId="77777777" w:rsidR="00CE75D4" w:rsidRPr="002029AF" w:rsidRDefault="00CE75D4" w:rsidP="008340C1">
            <w:pPr>
              <w:pStyle w:val="ARfintablebodyright"/>
              <w:spacing w:before="30" w:line="240" w:lineRule="auto"/>
            </w:pPr>
            <w:r w:rsidRPr="003106E9">
              <w:t>26.7</w:t>
            </w:r>
          </w:p>
        </w:tc>
        <w:tc>
          <w:tcPr>
            <w:tcW w:w="1418" w:type="dxa"/>
            <w:tcBorders>
              <w:top w:val="single" w:sz="4" w:space="0" w:color="A6A6A6"/>
            </w:tcBorders>
            <w:noWrap/>
            <w:hideMark/>
          </w:tcPr>
          <w:p w14:paraId="6F6781A6" w14:textId="77777777" w:rsidR="00CE75D4" w:rsidRPr="002029AF" w:rsidRDefault="00CE75D4" w:rsidP="008340C1">
            <w:pPr>
              <w:pStyle w:val="ARfintablebodyright"/>
              <w:spacing w:before="30" w:line="240" w:lineRule="auto"/>
            </w:pPr>
            <w:r w:rsidRPr="003106E9">
              <w:t>3,262.2</w:t>
            </w:r>
          </w:p>
        </w:tc>
        <w:tc>
          <w:tcPr>
            <w:tcW w:w="1418" w:type="dxa"/>
            <w:tcBorders>
              <w:top w:val="single" w:sz="4" w:space="0" w:color="A6A6A6"/>
            </w:tcBorders>
            <w:noWrap/>
            <w:hideMark/>
          </w:tcPr>
          <w:p w14:paraId="70E5C260" w14:textId="77777777" w:rsidR="00CE75D4" w:rsidRPr="002029AF" w:rsidRDefault="00CE75D4" w:rsidP="008340C1">
            <w:pPr>
              <w:pStyle w:val="ARfintablebodyright"/>
              <w:spacing w:before="30" w:line="240" w:lineRule="auto"/>
            </w:pPr>
            <w:r>
              <w:t>–</w:t>
            </w:r>
          </w:p>
        </w:tc>
        <w:tc>
          <w:tcPr>
            <w:tcW w:w="1418" w:type="dxa"/>
            <w:tcBorders>
              <w:top w:val="single" w:sz="4" w:space="0" w:color="A6A6A6"/>
            </w:tcBorders>
            <w:noWrap/>
            <w:hideMark/>
          </w:tcPr>
          <w:p w14:paraId="395ECD7E" w14:textId="77777777" w:rsidR="00CE75D4" w:rsidRPr="002029AF" w:rsidRDefault="00CE75D4" w:rsidP="008340C1">
            <w:pPr>
              <w:pStyle w:val="ARfintablebodyright"/>
              <w:spacing w:before="30" w:line="240" w:lineRule="auto"/>
            </w:pPr>
            <w:r w:rsidRPr="003106E9">
              <w:t>3,288.9</w:t>
            </w:r>
          </w:p>
        </w:tc>
      </w:tr>
      <w:tr w:rsidR="00CE75D4" w:rsidRPr="002029AF" w14:paraId="1149BC33" w14:textId="77777777" w:rsidTr="008340C1">
        <w:trPr>
          <w:cantSplit w:val="0"/>
        </w:trPr>
        <w:tc>
          <w:tcPr>
            <w:tcW w:w="3968" w:type="dxa"/>
            <w:tcBorders>
              <w:bottom w:val="single" w:sz="4" w:space="0" w:color="auto"/>
            </w:tcBorders>
            <w:hideMark/>
          </w:tcPr>
          <w:p w14:paraId="2740BC31" w14:textId="77777777" w:rsidR="00CE75D4" w:rsidRPr="002029AF" w:rsidRDefault="00CE75D4" w:rsidP="008340C1">
            <w:pPr>
              <w:pStyle w:val="ARfintablebodybold"/>
              <w:spacing w:before="30" w:line="240" w:lineRule="auto"/>
            </w:pPr>
            <w:r w:rsidRPr="003106E9">
              <w:t>Total financial assets</w:t>
            </w:r>
          </w:p>
        </w:tc>
        <w:tc>
          <w:tcPr>
            <w:tcW w:w="1417" w:type="dxa"/>
            <w:tcBorders>
              <w:bottom w:val="single" w:sz="4" w:space="0" w:color="auto"/>
            </w:tcBorders>
            <w:noWrap/>
            <w:hideMark/>
          </w:tcPr>
          <w:p w14:paraId="79806CB4" w14:textId="77777777" w:rsidR="00CE75D4" w:rsidRPr="002029AF" w:rsidRDefault="00CE75D4" w:rsidP="008340C1">
            <w:pPr>
              <w:pStyle w:val="ARfintablebodyrightbold"/>
              <w:spacing w:before="30" w:line="240" w:lineRule="auto"/>
            </w:pPr>
            <w:r w:rsidRPr="003106E9">
              <w:t>40.9</w:t>
            </w:r>
          </w:p>
        </w:tc>
        <w:tc>
          <w:tcPr>
            <w:tcW w:w="1418" w:type="dxa"/>
            <w:tcBorders>
              <w:bottom w:val="single" w:sz="4" w:space="0" w:color="auto"/>
            </w:tcBorders>
            <w:noWrap/>
            <w:hideMark/>
          </w:tcPr>
          <w:p w14:paraId="4ED72B7A" w14:textId="77777777" w:rsidR="00CE75D4" w:rsidRPr="002029AF" w:rsidRDefault="00CE75D4" w:rsidP="008340C1">
            <w:pPr>
              <w:pStyle w:val="ARfintablebodyrightbold"/>
              <w:spacing w:before="30" w:line="240" w:lineRule="auto"/>
            </w:pPr>
            <w:r w:rsidRPr="003106E9">
              <w:t>4,546.3</w:t>
            </w:r>
          </w:p>
        </w:tc>
        <w:tc>
          <w:tcPr>
            <w:tcW w:w="1418" w:type="dxa"/>
            <w:tcBorders>
              <w:bottom w:val="single" w:sz="4" w:space="0" w:color="auto"/>
            </w:tcBorders>
            <w:noWrap/>
            <w:hideMark/>
          </w:tcPr>
          <w:p w14:paraId="2FABCB5A" w14:textId="77777777" w:rsidR="00CE75D4" w:rsidRPr="002029AF" w:rsidRDefault="00CE75D4" w:rsidP="008340C1">
            <w:pPr>
              <w:pStyle w:val="ARfintablebodyrightbold"/>
              <w:spacing w:before="30" w:line="240" w:lineRule="auto"/>
            </w:pPr>
            <w:r w:rsidRPr="003106E9">
              <w:t>10.6</w:t>
            </w:r>
          </w:p>
        </w:tc>
        <w:tc>
          <w:tcPr>
            <w:tcW w:w="1418" w:type="dxa"/>
            <w:tcBorders>
              <w:bottom w:val="single" w:sz="4" w:space="0" w:color="auto"/>
            </w:tcBorders>
            <w:noWrap/>
            <w:hideMark/>
          </w:tcPr>
          <w:p w14:paraId="6CA501FA" w14:textId="77777777" w:rsidR="00CE75D4" w:rsidRPr="002029AF" w:rsidRDefault="00CE75D4" w:rsidP="008340C1">
            <w:pPr>
              <w:pStyle w:val="ARfintablebodyrightbold"/>
              <w:spacing w:before="30" w:line="240" w:lineRule="auto"/>
            </w:pPr>
            <w:r w:rsidRPr="003106E9">
              <w:t>4,597.8</w:t>
            </w:r>
          </w:p>
        </w:tc>
      </w:tr>
      <w:tr w:rsidR="00CE75D4" w:rsidRPr="002029AF" w14:paraId="3D59CA3A" w14:textId="77777777" w:rsidTr="008340C1">
        <w:trPr>
          <w:cantSplit w:val="0"/>
        </w:trPr>
        <w:tc>
          <w:tcPr>
            <w:tcW w:w="9639" w:type="dxa"/>
            <w:gridSpan w:val="5"/>
            <w:tcBorders>
              <w:top w:val="single" w:sz="4" w:space="0" w:color="auto"/>
              <w:bottom w:val="single" w:sz="4" w:space="0" w:color="auto"/>
            </w:tcBorders>
          </w:tcPr>
          <w:p w14:paraId="54C5A50D" w14:textId="77777777" w:rsidR="00CE75D4" w:rsidRPr="005B00A5" w:rsidRDefault="00CE75D4" w:rsidP="008340C1">
            <w:pPr>
              <w:pStyle w:val="ARfintablebodybold"/>
            </w:pPr>
            <w:r w:rsidRPr="003106E9">
              <w:t>2021</w:t>
            </w:r>
          </w:p>
        </w:tc>
      </w:tr>
      <w:tr w:rsidR="00CE75D4" w:rsidRPr="002029AF" w14:paraId="101E656A" w14:textId="77777777" w:rsidTr="008340C1">
        <w:trPr>
          <w:cantSplit w:val="0"/>
        </w:trPr>
        <w:tc>
          <w:tcPr>
            <w:tcW w:w="3968" w:type="dxa"/>
            <w:tcBorders>
              <w:top w:val="single" w:sz="4" w:space="0" w:color="auto"/>
              <w:bottom w:val="single" w:sz="4" w:space="0" w:color="A6A6A6"/>
            </w:tcBorders>
            <w:hideMark/>
          </w:tcPr>
          <w:p w14:paraId="38AFD921" w14:textId="77777777" w:rsidR="00CE75D4" w:rsidRPr="002029AF" w:rsidRDefault="00CE75D4" w:rsidP="008340C1">
            <w:pPr>
              <w:pStyle w:val="ARfintablebody"/>
              <w:spacing w:before="30" w:line="240" w:lineRule="auto"/>
            </w:pPr>
            <w:r w:rsidRPr="003106E9">
              <w:t>Cash and deposits (not assessed for</w:t>
            </w:r>
            <w:r>
              <w:t> </w:t>
            </w:r>
            <w:r w:rsidRPr="003106E9">
              <w:t>impairment due to materiality)</w:t>
            </w:r>
          </w:p>
        </w:tc>
        <w:tc>
          <w:tcPr>
            <w:tcW w:w="1417" w:type="dxa"/>
            <w:tcBorders>
              <w:top w:val="single" w:sz="4" w:space="0" w:color="auto"/>
              <w:bottom w:val="single" w:sz="4" w:space="0" w:color="A6A6A6"/>
            </w:tcBorders>
            <w:noWrap/>
            <w:hideMark/>
          </w:tcPr>
          <w:p w14:paraId="4D299A75" w14:textId="77777777" w:rsidR="00CE75D4" w:rsidRPr="002029AF" w:rsidRDefault="00CE75D4" w:rsidP="008340C1">
            <w:pPr>
              <w:pStyle w:val="ARfintablebodyright"/>
              <w:spacing w:before="30" w:line="240" w:lineRule="auto"/>
            </w:pPr>
            <w:r w:rsidRPr="003106E9">
              <w:t>743.0</w:t>
            </w:r>
          </w:p>
        </w:tc>
        <w:tc>
          <w:tcPr>
            <w:tcW w:w="1418" w:type="dxa"/>
            <w:tcBorders>
              <w:top w:val="single" w:sz="4" w:space="0" w:color="auto"/>
              <w:bottom w:val="single" w:sz="4" w:space="0" w:color="A6A6A6"/>
            </w:tcBorders>
            <w:noWrap/>
            <w:hideMark/>
          </w:tcPr>
          <w:p w14:paraId="501761AE" w14:textId="77777777" w:rsidR="00CE75D4" w:rsidRPr="002029AF" w:rsidRDefault="00CE75D4" w:rsidP="008340C1">
            <w:pPr>
              <w:pStyle w:val="ARfintablebodyright"/>
              <w:spacing w:before="30" w:line="240" w:lineRule="auto"/>
            </w:pPr>
            <w:r w:rsidRPr="003106E9">
              <w:t>170.9</w:t>
            </w:r>
          </w:p>
        </w:tc>
        <w:tc>
          <w:tcPr>
            <w:tcW w:w="1418" w:type="dxa"/>
            <w:tcBorders>
              <w:top w:val="single" w:sz="4" w:space="0" w:color="auto"/>
              <w:bottom w:val="single" w:sz="4" w:space="0" w:color="A6A6A6"/>
            </w:tcBorders>
            <w:noWrap/>
            <w:hideMark/>
          </w:tcPr>
          <w:p w14:paraId="2C0B2E9F" w14:textId="77777777" w:rsidR="00CE75D4" w:rsidRPr="002029AF" w:rsidRDefault="00CE75D4" w:rsidP="008340C1">
            <w:pPr>
              <w:pStyle w:val="ARfintablebodyright"/>
              <w:spacing w:before="30" w:line="240" w:lineRule="auto"/>
            </w:pPr>
            <w:r>
              <w:t>–</w:t>
            </w:r>
          </w:p>
        </w:tc>
        <w:tc>
          <w:tcPr>
            <w:tcW w:w="1418" w:type="dxa"/>
            <w:tcBorders>
              <w:top w:val="single" w:sz="4" w:space="0" w:color="auto"/>
              <w:bottom w:val="single" w:sz="4" w:space="0" w:color="A6A6A6"/>
            </w:tcBorders>
            <w:noWrap/>
            <w:hideMark/>
          </w:tcPr>
          <w:p w14:paraId="44085E81" w14:textId="77777777" w:rsidR="00CE75D4" w:rsidRPr="002029AF" w:rsidRDefault="00CE75D4" w:rsidP="008340C1">
            <w:pPr>
              <w:pStyle w:val="ARfintablebodyright"/>
              <w:spacing w:before="30" w:line="240" w:lineRule="auto"/>
            </w:pPr>
            <w:r w:rsidRPr="003106E9">
              <w:t>913.9</w:t>
            </w:r>
          </w:p>
        </w:tc>
      </w:tr>
      <w:tr w:rsidR="00CE75D4" w:rsidRPr="002029AF" w14:paraId="0C32F045" w14:textId="77777777" w:rsidTr="008340C1">
        <w:trPr>
          <w:cantSplit w:val="0"/>
        </w:trPr>
        <w:tc>
          <w:tcPr>
            <w:tcW w:w="3968" w:type="dxa"/>
            <w:tcBorders>
              <w:top w:val="single" w:sz="4" w:space="0" w:color="A6A6A6"/>
              <w:bottom w:val="single" w:sz="4" w:space="0" w:color="A6A6A6"/>
            </w:tcBorders>
            <w:hideMark/>
          </w:tcPr>
          <w:p w14:paraId="79255238" w14:textId="77777777" w:rsidR="00CE75D4" w:rsidRPr="002029AF" w:rsidRDefault="00CE75D4" w:rsidP="008340C1">
            <w:pPr>
              <w:pStyle w:val="ARfintablebody"/>
              <w:spacing w:before="30" w:line="240" w:lineRule="auto"/>
            </w:pPr>
            <w:r w:rsidRPr="003106E9">
              <w:t>Contractual receivables applying the simplified</w:t>
            </w:r>
            <w:r>
              <w:t> </w:t>
            </w:r>
            <w:r w:rsidRPr="003106E9">
              <w:t xml:space="preserve">approach for impairment </w:t>
            </w:r>
            <w:r w:rsidRPr="000A0B19">
              <w:rPr>
                <w:rStyle w:val="Superscript"/>
              </w:rPr>
              <w:t>(i)(ii)</w:t>
            </w:r>
          </w:p>
        </w:tc>
        <w:tc>
          <w:tcPr>
            <w:tcW w:w="1417" w:type="dxa"/>
            <w:tcBorders>
              <w:top w:val="single" w:sz="4" w:space="0" w:color="A6A6A6"/>
              <w:bottom w:val="single" w:sz="4" w:space="0" w:color="A6A6A6"/>
            </w:tcBorders>
            <w:noWrap/>
            <w:hideMark/>
          </w:tcPr>
          <w:p w14:paraId="27D02FD2" w14:textId="77777777" w:rsidR="00CE75D4" w:rsidRPr="002029AF" w:rsidRDefault="00CE75D4" w:rsidP="008340C1">
            <w:pPr>
              <w:pStyle w:val="ARfintablebodyright"/>
              <w:spacing w:before="30" w:line="240" w:lineRule="auto"/>
            </w:pPr>
            <w:r>
              <w:t>–</w:t>
            </w:r>
          </w:p>
        </w:tc>
        <w:tc>
          <w:tcPr>
            <w:tcW w:w="1418" w:type="dxa"/>
            <w:tcBorders>
              <w:top w:val="single" w:sz="4" w:space="0" w:color="A6A6A6"/>
              <w:bottom w:val="single" w:sz="4" w:space="0" w:color="A6A6A6"/>
            </w:tcBorders>
            <w:noWrap/>
            <w:hideMark/>
          </w:tcPr>
          <w:p w14:paraId="78C76054" w14:textId="77777777" w:rsidR="00CE75D4" w:rsidRPr="002029AF" w:rsidRDefault="00CE75D4" w:rsidP="008340C1">
            <w:pPr>
              <w:pStyle w:val="ARfintablebodyright"/>
              <w:spacing w:before="30" w:line="240" w:lineRule="auto"/>
            </w:pPr>
            <w:r w:rsidRPr="003106E9">
              <w:t>251.8</w:t>
            </w:r>
          </w:p>
        </w:tc>
        <w:tc>
          <w:tcPr>
            <w:tcW w:w="1418" w:type="dxa"/>
            <w:tcBorders>
              <w:top w:val="single" w:sz="4" w:space="0" w:color="A6A6A6"/>
              <w:bottom w:val="single" w:sz="4" w:space="0" w:color="A6A6A6"/>
            </w:tcBorders>
            <w:noWrap/>
            <w:hideMark/>
          </w:tcPr>
          <w:p w14:paraId="13C77CF1" w14:textId="77777777" w:rsidR="00CE75D4" w:rsidRPr="002029AF" w:rsidRDefault="00CE75D4" w:rsidP="008340C1">
            <w:pPr>
              <w:pStyle w:val="ARfintablebodyright"/>
              <w:spacing w:before="30" w:line="240" w:lineRule="auto"/>
            </w:pPr>
            <w:r w:rsidRPr="003106E9">
              <w:t>90.1</w:t>
            </w:r>
          </w:p>
        </w:tc>
        <w:tc>
          <w:tcPr>
            <w:tcW w:w="1418" w:type="dxa"/>
            <w:tcBorders>
              <w:top w:val="single" w:sz="4" w:space="0" w:color="A6A6A6"/>
              <w:bottom w:val="single" w:sz="4" w:space="0" w:color="A6A6A6"/>
            </w:tcBorders>
            <w:noWrap/>
            <w:hideMark/>
          </w:tcPr>
          <w:p w14:paraId="6710D7C8" w14:textId="77777777" w:rsidR="00CE75D4" w:rsidRPr="002029AF" w:rsidRDefault="00CE75D4" w:rsidP="008340C1">
            <w:pPr>
              <w:pStyle w:val="ARfintablebodyright"/>
              <w:spacing w:before="30" w:line="240" w:lineRule="auto"/>
            </w:pPr>
            <w:r w:rsidRPr="003106E9">
              <w:t>341.9</w:t>
            </w:r>
          </w:p>
        </w:tc>
      </w:tr>
      <w:tr w:rsidR="00CE75D4" w:rsidRPr="002029AF" w14:paraId="1EBE2F5D" w14:textId="77777777" w:rsidTr="008340C1">
        <w:trPr>
          <w:cantSplit w:val="0"/>
        </w:trPr>
        <w:tc>
          <w:tcPr>
            <w:tcW w:w="3968" w:type="dxa"/>
            <w:tcBorders>
              <w:top w:val="single" w:sz="4" w:space="0" w:color="A6A6A6"/>
              <w:bottom w:val="single" w:sz="4" w:space="0" w:color="A6A6A6"/>
            </w:tcBorders>
            <w:hideMark/>
          </w:tcPr>
          <w:p w14:paraId="19384E07" w14:textId="77777777" w:rsidR="00CE75D4" w:rsidRPr="002029AF" w:rsidRDefault="00CE75D4" w:rsidP="008340C1">
            <w:pPr>
              <w:pStyle w:val="ARfintablebody"/>
              <w:spacing w:before="30" w:line="240" w:lineRule="auto"/>
            </w:pPr>
            <w:r w:rsidRPr="003106E9">
              <w:t xml:space="preserve">Loans </w:t>
            </w:r>
            <w:r w:rsidRPr="00D840D2">
              <w:rPr>
                <w:rStyle w:val="Superscript"/>
              </w:rPr>
              <w:t>(ii)</w:t>
            </w:r>
          </w:p>
        </w:tc>
        <w:tc>
          <w:tcPr>
            <w:tcW w:w="1417" w:type="dxa"/>
            <w:tcBorders>
              <w:top w:val="single" w:sz="4" w:space="0" w:color="A6A6A6"/>
              <w:bottom w:val="single" w:sz="4" w:space="0" w:color="A6A6A6"/>
            </w:tcBorders>
            <w:noWrap/>
            <w:hideMark/>
          </w:tcPr>
          <w:p w14:paraId="2016168C" w14:textId="77777777" w:rsidR="00CE75D4" w:rsidRPr="002029AF" w:rsidRDefault="00CE75D4" w:rsidP="008340C1">
            <w:pPr>
              <w:pStyle w:val="ARfintablebodyright"/>
              <w:spacing w:before="30" w:line="240" w:lineRule="auto"/>
            </w:pPr>
            <w:r>
              <w:t>–</w:t>
            </w:r>
          </w:p>
        </w:tc>
        <w:tc>
          <w:tcPr>
            <w:tcW w:w="1418" w:type="dxa"/>
            <w:tcBorders>
              <w:top w:val="single" w:sz="4" w:space="0" w:color="A6A6A6"/>
              <w:bottom w:val="single" w:sz="4" w:space="0" w:color="A6A6A6"/>
            </w:tcBorders>
            <w:noWrap/>
            <w:hideMark/>
          </w:tcPr>
          <w:p w14:paraId="0A6BAE96" w14:textId="77777777" w:rsidR="00CE75D4" w:rsidRPr="002029AF" w:rsidRDefault="00CE75D4" w:rsidP="008340C1">
            <w:pPr>
              <w:pStyle w:val="ARfintablebodyright"/>
              <w:spacing w:before="30" w:line="240" w:lineRule="auto"/>
            </w:pPr>
            <w:r w:rsidRPr="003106E9">
              <w:t>87.5</w:t>
            </w:r>
          </w:p>
        </w:tc>
        <w:tc>
          <w:tcPr>
            <w:tcW w:w="1418" w:type="dxa"/>
            <w:tcBorders>
              <w:top w:val="single" w:sz="4" w:space="0" w:color="A6A6A6"/>
              <w:bottom w:val="single" w:sz="4" w:space="0" w:color="A6A6A6"/>
            </w:tcBorders>
            <w:noWrap/>
            <w:hideMark/>
          </w:tcPr>
          <w:p w14:paraId="60156D08" w14:textId="77777777" w:rsidR="00CE75D4" w:rsidRPr="002029AF" w:rsidRDefault="00CE75D4" w:rsidP="008340C1">
            <w:pPr>
              <w:pStyle w:val="ARfintablebodyright"/>
              <w:spacing w:before="30" w:line="240" w:lineRule="auto"/>
            </w:pPr>
            <w:r w:rsidRPr="003106E9">
              <w:t>31.3</w:t>
            </w:r>
          </w:p>
        </w:tc>
        <w:tc>
          <w:tcPr>
            <w:tcW w:w="1418" w:type="dxa"/>
            <w:tcBorders>
              <w:top w:val="single" w:sz="4" w:space="0" w:color="A6A6A6"/>
              <w:bottom w:val="single" w:sz="4" w:space="0" w:color="A6A6A6"/>
            </w:tcBorders>
            <w:noWrap/>
            <w:hideMark/>
          </w:tcPr>
          <w:p w14:paraId="3104C31E" w14:textId="77777777" w:rsidR="00CE75D4" w:rsidRPr="002029AF" w:rsidRDefault="00CE75D4" w:rsidP="008340C1">
            <w:pPr>
              <w:pStyle w:val="ARfintablebodyright"/>
              <w:spacing w:before="30" w:line="240" w:lineRule="auto"/>
            </w:pPr>
            <w:r w:rsidRPr="003106E9">
              <w:t>118.8</w:t>
            </w:r>
          </w:p>
        </w:tc>
      </w:tr>
      <w:tr w:rsidR="00CE75D4" w:rsidRPr="002029AF" w14:paraId="5430FF25" w14:textId="77777777" w:rsidTr="008340C1">
        <w:trPr>
          <w:cantSplit w:val="0"/>
        </w:trPr>
        <w:tc>
          <w:tcPr>
            <w:tcW w:w="3968" w:type="dxa"/>
            <w:tcBorders>
              <w:top w:val="single" w:sz="4" w:space="0" w:color="A6A6A6"/>
            </w:tcBorders>
            <w:hideMark/>
          </w:tcPr>
          <w:p w14:paraId="012BD7FC" w14:textId="77777777" w:rsidR="00CE75D4" w:rsidRPr="002029AF" w:rsidRDefault="00CE75D4" w:rsidP="008340C1">
            <w:pPr>
              <w:pStyle w:val="ARfintablebody"/>
              <w:spacing w:before="30" w:line="240" w:lineRule="auto"/>
            </w:pPr>
            <w:r w:rsidRPr="003106E9">
              <w:t xml:space="preserve">Statutory receivables </w:t>
            </w:r>
            <w:r>
              <w:br/>
            </w:r>
            <w:r w:rsidRPr="003106E9">
              <w:t>(with no impairment loss recognised)</w:t>
            </w:r>
          </w:p>
        </w:tc>
        <w:tc>
          <w:tcPr>
            <w:tcW w:w="1417" w:type="dxa"/>
            <w:tcBorders>
              <w:top w:val="single" w:sz="4" w:space="0" w:color="A6A6A6"/>
            </w:tcBorders>
            <w:noWrap/>
            <w:hideMark/>
          </w:tcPr>
          <w:p w14:paraId="0A097FD2" w14:textId="77777777" w:rsidR="00CE75D4" w:rsidRPr="002029AF" w:rsidRDefault="00CE75D4" w:rsidP="008340C1">
            <w:pPr>
              <w:pStyle w:val="ARfintablebodyright"/>
              <w:spacing w:before="30" w:line="240" w:lineRule="auto"/>
            </w:pPr>
            <w:r w:rsidRPr="003106E9">
              <w:t>50.4</w:t>
            </w:r>
          </w:p>
        </w:tc>
        <w:tc>
          <w:tcPr>
            <w:tcW w:w="1418" w:type="dxa"/>
            <w:tcBorders>
              <w:top w:val="single" w:sz="4" w:space="0" w:color="A6A6A6"/>
            </w:tcBorders>
            <w:noWrap/>
            <w:hideMark/>
          </w:tcPr>
          <w:p w14:paraId="29794148" w14:textId="77777777" w:rsidR="00CE75D4" w:rsidRPr="002029AF" w:rsidRDefault="00CE75D4" w:rsidP="008340C1">
            <w:pPr>
              <w:pStyle w:val="ARfintablebodyright"/>
              <w:spacing w:before="30" w:line="240" w:lineRule="auto"/>
            </w:pPr>
            <w:r w:rsidRPr="003106E9">
              <w:t>4,261.9</w:t>
            </w:r>
          </w:p>
        </w:tc>
        <w:tc>
          <w:tcPr>
            <w:tcW w:w="1418" w:type="dxa"/>
            <w:tcBorders>
              <w:top w:val="single" w:sz="4" w:space="0" w:color="A6A6A6"/>
            </w:tcBorders>
            <w:noWrap/>
            <w:hideMark/>
          </w:tcPr>
          <w:p w14:paraId="2BCA29A8" w14:textId="77777777" w:rsidR="00CE75D4" w:rsidRPr="002029AF" w:rsidRDefault="00CE75D4" w:rsidP="008340C1">
            <w:pPr>
              <w:pStyle w:val="ARfintablebodyright"/>
              <w:spacing w:before="30" w:line="240" w:lineRule="auto"/>
            </w:pPr>
            <w:r>
              <w:t>–</w:t>
            </w:r>
          </w:p>
        </w:tc>
        <w:tc>
          <w:tcPr>
            <w:tcW w:w="1418" w:type="dxa"/>
            <w:tcBorders>
              <w:top w:val="single" w:sz="4" w:space="0" w:color="A6A6A6"/>
            </w:tcBorders>
            <w:noWrap/>
            <w:hideMark/>
          </w:tcPr>
          <w:p w14:paraId="05ACE099" w14:textId="77777777" w:rsidR="00CE75D4" w:rsidRPr="002029AF" w:rsidRDefault="00CE75D4" w:rsidP="008340C1">
            <w:pPr>
              <w:pStyle w:val="ARfintablebodyright"/>
              <w:spacing w:before="30" w:line="240" w:lineRule="auto"/>
            </w:pPr>
            <w:r w:rsidRPr="003106E9">
              <w:t>4,312.3</w:t>
            </w:r>
          </w:p>
        </w:tc>
      </w:tr>
      <w:tr w:rsidR="00CE75D4" w:rsidRPr="002029AF" w14:paraId="77029A74" w14:textId="77777777" w:rsidTr="008340C1">
        <w:trPr>
          <w:cantSplit w:val="0"/>
        </w:trPr>
        <w:tc>
          <w:tcPr>
            <w:tcW w:w="3968" w:type="dxa"/>
            <w:hideMark/>
          </w:tcPr>
          <w:p w14:paraId="76B9216A" w14:textId="77777777" w:rsidR="00CE75D4" w:rsidRPr="002029AF" w:rsidRDefault="00CE75D4" w:rsidP="008340C1">
            <w:pPr>
              <w:pStyle w:val="ARfintablebodybold"/>
              <w:spacing w:before="30" w:line="240" w:lineRule="auto"/>
            </w:pPr>
            <w:r w:rsidRPr="003106E9">
              <w:t>Total financial assets</w:t>
            </w:r>
          </w:p>
        </w:tc>
        <w:tc>
          <w:tcPr>
            <w:tcW w:w="1417" w:type="dxa"/>
            <w:noWrap/>
            <w:hideMark/>
          </w:tcPr>
          <w:p w14:paraId="3743E87A" w14:textId="77777777" w:rsidR="00CE75D4" w:rsidRPr="002029AF" w:rsidRDefault="00CE75D4" w:rsidP="008340C1">
            <w:pPr>
              <w:pStyle w:val="ARfintablebodyrightbold"/>
              <w:spacing w:before="30" w:line="240" w:lineRule="auto"/>
            </w:pPr>
            <w:r w:rsidRPr="003106E9">
              <w:t>793.4</w:t>
            </w:r>
          </w:p>
        </w:tc>
        <w:tc>
          <w:tcPr>
            <w:tcW w:w="1418" w:type="dxa"/>
            <w:noWrap/>
            <w:hideMark/>
          </w:tcPr>
          <w:p w14:paraId="433A6BA8" w14:textId="77777777" w:rsidR="00CE75D4" w:rsidRPr="002029AF" w:rsidRDefault="00CE75D4" w:rsidP="008340C1">
            <w:pPr>
              <w:pStyle w:val="ARfintablebodyrightbold"/>
              <w:spacing w:before="30" w:line="240" w:lineRule="auto"/>
            </w:pPr>
            <w:r w:rsidRPr="003106E9">
              <w:t>4,772.1</w:t>
            </w:r>
          </w:p>
        </w:tc>
        <w:tc>
          <w:tcPr>
            <w:tcW w:w="1418" w:type="dxa"/>
            <w:noWrap/>
            <w:hideMark/>
          </w:tcPr>
          <w:p w14:paraId="3340F5FB" w14:textId="77777777" w:rsidR="00CE75D4" w:rsidRPr="002029AF" w:rsidRDefault="00CE75D4" w:rsidP="008340C1">
            <w:pPr>
              <w:pStyle w:val="ARfintablebodyrightbold"/>
              <w:spacing w:before="30" w:line="240" w:lineRule="auto"/>
            </w:pPr>
            <w:r w:rsidRPr="003106E9">
              <w:t>121.4</w:t>
            </w:r>
          </w:p>
        </w:tc>
        <w:tc>
          <w:tcPr>
            <w:tcW w:w="1418" w:type="dxa"/>
            <w:noWrap/>
            <w:hideMark/>
          </w:tcPr>
          <w:p w14:paraId="5E2971E1" w14:textId="77777777" w:rsidR="00CE75D4" w:rsidRPr="002029AF" w:rsidRDefault="00CE75D4" w:rsidP="008340C1">
            <w:pPr>
              <w:pStyle w:val="ARfintablebodyrightbold"/>
              <w:spacing w:before="30" w:line="240" w:lineRule="auto"/>
            </w:pPr>
            <w:r w:rsidRPr="003106E9">
              <w:t>5,686.9</w:t>
            </w:r>
          </w:p>
        </w:tc>
      </w:tr>
    </w:tbl>
    <w:p w14:paraId="39EC4C8D" w14:textId="77777777" w:rsidR="00CE75D4" w:rsidRDefault="00CE75D4" w:rsidP="008340C1">
      <w:pPr>
        <w:pStyle w:val="ARfintablefootnote"/>
        <w:rPr>
          <w:lang w:eastAsia="en-AU"/>
        </w:rPr>
      </w:pPr>
      <w:r>
        <w:rPr>
          <w:lang w:eastAsia="en-AU"/>
        </w:rPr>
        <w:t>Notes:</w:t>
      </w:r>
    </w:p>
    <w:p w14:paraId="3941932B" w14:textId="1135895F" w:rsidR="00CE75D4" w:rsidRDefault="00CE75D4" w:rsidP="008340C1">
      <w:pPr>
        <w:pStyle w:val="ARfintablefootnoteindent"/>
      </w:pPr>
      <w:r>
        <w:t>(i)</w:t>
      </w:r>
      <w:r>
        <w:tab/>
        <w:t>The total amounts disclosed here exclude statutory amounts, for example, amounts owing from Victorian Government, GST input tax credit recoverable and other taxes payable.</w:t>
      </w:r>
    </w:p>
    <w:p w14:paraId="23B79936" w14:textId="77777777" w:rsidR="00CE75D4" w:rsidRDefault="00CE75D4" w:rsidP="008340C1">
      <w:pPr>
        <w:pStyle w:val="ARfintablefootnoteindent"/>
      </w:pPr>
      <w:r>
        <w:t>(ii)</w:t>
      </w:r>
      <w:r>
        <w:tab/>
        <w:t>The carrying amounts consisted of the Director of Housing-related amounts due from numerous counter parties for which no credit ratings had been disclosed due to impracticability.</w:t>
      </w:r>
    </w:p>
    <w:p w14:paraId="557D761F" w14:textId="77777777" w:rsidR="00CE75D4" w:rsidRPr="006F712E" w:rsidRDefault="00CE75D4" w:rsidP="008340C1">
      <w:pPr>
        <w:pStyle w:val="Heading7"/>
      </w:pPr>
      <w:r>
        <w:t xml:space="preserve">Impairment of financial assets </w:t>
      </w:r>
      <w:r w:rsidRPr="00CC001E">
        <w:t>under AASB 9</w:t>
      </w:r>
      <w:r>
        <w:t xml:space="preserve"> </w:t>
      </w:r>
      <w:r w:rsidRPr="006F712E">
        <w:rPr>
          <w:rStyle w:val="Emphasis"/>
        </w:rPr>
        <w:t>Financial Instruments</w:t>
      </w:r>
    </w:p>
    <w:p w14:paraId="4929645E" w14:textId="77777777" w:rsidR="00CE75D4" w:rsidRDefault="00CE75D4" w:rsidP="008340C1">
      <w:pPr>
        <w:pStyle w:val="ARfinbody"/>
      </w:pPr>
      <w:r>
        <w:t>The department records the allowance for expected credit loss for the relevant financial instruments applying AASB 9’s Expected Credit Loss approach. Subject to AASB 9, impairment assessment includes the department’s contractual receivables and statutory receivables.</w:t>
      </w:r>
    </w:p>
    <w:p w14:paraId="53FC5392" w14:textId="77777777" w:rsidR="00CE75D4" w:rsidRDefault="00CE75D4" w:rsidP="008340C1">
      <w:pPr>
        <w:pStyle w:val="ARfinbody"/>
      </w:pPr>
      <w:r>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121EF7AF" w14:textId="77777777" w:rsidR="00CE75D4" w:rsidRDefault="00CE75D4" w:rsidP="008340C1">
      <w:pPr>
        <w:pStyle w:val="Heading7"/>
      </w:pPr>
      <w:r>
        <w:t>Contractual receivables at amortised cost</w:t>
      </w:r>
    </w:p>
    <w:p w14:paraId="4910C0C7" w14:textId="62018D34" w:rsidR="00CE75D4" w:rsidRDefault="00CE75D4" w:rsidP="008340C1">
      <w:pPr>
        <w:pStyle w:val="ARfinbody"/>
      </w:pPr>
      <w:r>
        <w:t>The department applies the AASB 9 simplified approach for all contractual receivables to measure expected credit losses using a lifetime expected loss allowance based on the assumptions about risk of default and expected loss rates. The department has grouped contractual receivables on shared credit risk characteristics and days past due and selected the expected credit loss rate based on the department’s past history</w:t>
      </w:r>
      <w:r w:rsidDel="006576E8">
        <w:t>,</w:t>
      </w:r>
      <w:r w:rsidR="006576E8">
        <w:t xml:space="preserve"> </w:t>
      </w:r>
      <w:r>
        <w:t>existing market conditions, as well as forward-looking estimates at the end of financial year.</w:t>
      </w:r>
    </w:p>
    <w:p w14:paraId="22C061B8" w14:textId="77777777" w:rsidR="00CE75D4" w:rsidRDefault="00CE75D4" w:rsidP="008340C1">
      <w:pPr>
        <w:pStyle w:val="ARfinbodylargespace"/>
      </w:pPr>
      <w:r>
        <w:t>On this basis, the department determines the loss allowance at the end of the financial year as follows:</w:t>
      </w:r>
    </w:p>
    <w:tbl>
      <w:tblPr>
        <w:tblStyle w:val="TableGrid"/>
        <w:tblW w:w="9639" w:type="dxa"/>
        <w:tblLayout w:type="fixed"/>
        <w:tblCellMar>
          <w:right w:w="0" w:type="dxa"/>
        </w:tblCellMar>
        <w:tblLook w:val="06A0" w:firstRow="1" w:lastRow="0" w:firstColumn="1" w:lastColumn="0" w:noHBand="1" w:noVBand="1"/>
      </w:tblPr>
      <w:tblGrid>
        <w:gridCol w:w="2493"/>
        <w:gridCol w:w="1020"/>
        <w:gridCol w:w="1021"/>
        <w:gridCol w:w="1021"/>
        <w:gridCol w:w="1021"/>
        <w:gridCol w:w="1021"/>
        <w:gridCol w:w="1021"/>
        <w:gridCol w:w="1021"/>
      </w:tblGrid>
      <w:tr w:rsidR="00CE75D4" w:rsidRPr="002029AF" w14:paraId="3EE54B32"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2493" w:type="dxa"/>
            <w:vMerge w:val="restart"/>
            <w:tcBorders>
              <w:top w:val="nil"/>
              <w:right w:val="nil"/>
            </w:tcBorders>
            <w:noWrap/>
            <w:hideMark/>
          </w:tcPr>
          <w:p w14:paraId="49719800" w14:textId="77777777" w:rsidR="00CE75D4" w:rsidRPr="002029AF" w:rsidRDefault="00CE75D4" w:rsidP="00860E95">
            <w:pPr>
              <w:pStyle w:val="ARfintablecolhead"/>
            </w:pPr>
          </w:p>
        </w:tc>
        <w:tc>
          <w:tcPr>
            <w:tcW w:w="1020" w:type="dxa"/>
            <w:vMerge w:val="restart"/>
            <w:tcBorders>
              <w:top w:val="nil"/>
              <w:left w:val="nil"/>
              <w:right w:val="nil"/>
            </w:tcBorders>
            <w:hideMark/>
          </w:tcPr>
          <w:p w14:paraId="25E10EC5" w14:textId="77777777" w:rsidR="00CE75D4" w:rsidRPr="002029AF" w:rsidRDefault="00CE75D4" w:rsidP="00860E95">
            <w:pPr>
              <w:pStyle w:val="ARfintablecolheadright"/>
            </w:pPr>
            <w:r w:rsidRPr="002029AF">
              <w:t>Gross amount</w:t>
            </w:r>
          </w:p>
          <w:p w14:paraId="46005C14" w14:textId="77777777" w:rsidR="00CE75D4" w:rsidRPr="002029AF" w:rsidRDefault="00CE75D4" w:rsidP="00860E95">
            <w:pPr>
              <w:pStyle w:val="ARfintablecolheadright"/>
            </w:pPr>
            <w:r w:rsidRPr="002029AF">
              <w:t>$M</w:t>
            </w:r>
          </w:p>
        </w:tc>
        <w:tc>
          <w:tcPr>
            <w:tcW w:w="1021" w:type="dxa"/>
            <w:vMerge w:val="restart"/>
            <w:tcBorders>
              <w:top w:val="nil"/>
              <w:left w:val="nil"/>
              <w:right w:val="nil"/>
            </w:tcBorders>
          </w:tcPr>
          <w:p w14:paraId="16D9542B" w14:textId="77777777" w:rsidR="00CE75D4" w:rsidRPr="002029AF" w:rsidRDefault="00CE75D4" w:rsidP="00860E95">
            <w:pPr>
              <w:pStyle w:val="ARfintablecolheadright"/>
            </w:pPr>
            <w:r w:rsidRPr="002029AF">
              <w:t xml:space="preserve">Not past due and not impaired </w:t>
            </w:r>
            <w:r w:rsidRPr="002029AF">
              <w:rPr>
                <w:rFonts w:cs="Arial"/>
                <w:vertAlign w:val="superscript"/>
              </w:rPr>
              <w:t>(i)</w:t>
            </w:r>
          </w:p>
          <w:p w14:paraId="2A7EB47D" w14:textId="77777777" w:rsidR="00CE75D4" w:rsidRPr="002029AF" w:rsidRDefault="00CE75D4" w:rsidP="00860E95">
            <w:pPr>
              <w:pStyle w:val="ARfintablecolheadright"/>
            </w:pPr>
            <w:r w:rsidRPr="002029AF">
              <w:t>$M</w:t>
            </w:r>
          </w:p>
        </w:tc>
        <w:tc>
          <w:tcPr>
            <w:tcW w:w="4084" w:type="dxa"/>
            <w:gridSpan w:val="4"/>
            <w:tcBorders>
              <w:top w:val="nil"/>
              <w:left w:val="nil"/>
            </w:tcBorders>
            <w:hideMark/>
          </w:tcPr>
          <w:p w14:paraId="59DEE218" w14:textId="77777777" w:rsidR="00CE75D4" w:rsidRPr="002029AF" w:rsidRDefault="00CE75D4" w:rsidP="00860E95">
            <w:pPr>
              <w:pStyle w:val="ARfintablecolheadcentre"/>
            </w:pPr>
            <w:r w:rsidRPr="002029AF">
              <w:t>Past due</w:t>
            </w:r>
          </w:p>
        </w:tc>
        <w:tc>
          <w:tcPr>
            <w:tcW w:w="1021" w:type="dxa"/>
            <w:vMerge w:val="restart"/>
            <w:tcBorders>
              <w:top w:val="nil"/>
              <w:left w:val="nil"/>
            </w:tcBorders>
          </w:tcPr>
          <w:p w14:paraId="5694A5E2" w14:textId="77777777" w:rsidR="00CE75D4" w:rsidRPr="002029AF" w:rsidRDefault="00CE75D4" w:rsidP="00860E95">
            <w:pPr>
              <w:pStyle w:val="ARfintablecolheadright"/>
            </w:pPr>
            <w:r w:rsidRPr="002029AF">
              <w:t>Total</w:t>
            </w:r>
          </w:p>
          <w:p w14:paraId="1FACAFE9" w14:textId="77777777" w:rsidR="00CE75D4" w:rsidRPr="002029AF" w:rsidRDefault="00CE75D4" w:rsidP="00860E95">
            <w:pPr>
              <w:pStyle w:val="ARfintablecolheadright"/>
            </w:pPr>
            <w:r w:rsidRPr="002029AF">
              <w:t>$M</w:t>
            </w:r>
          </w:p>
        </w:tc>
      </w:tr>
      <w:tr w:rsidR="00CE75D4" w:rsidRPr="002029AF" w14:paraId="5325FAAD"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2493" w:type="dxa"/>
            <w:vMerge/>
            <w:tcBorders>
              <w:right w:val="nil"/>
            </w:tcBorders>
            <w:hideMark/>
          </w:tcPr>
          <w:p w14:paraId="7D8296ED" w14:textId="77777777" w:rsidR="00CE75D4" w:rsidRPr="002029AF" w:rsidRDefault="00CE75D4" w:rsidP="00860E95">
            <w:pPr>
              <w:pStyle w:val="ARfintablecolhead"/>
            </w:pPr>
          </w:p>
        </w:tc>
        <w:tc>
          <w:tcPr>
            <w:tcW w:w="1020" w:type="dxa"/>
            <w:vMerge/>
            <w:tcBorders>
              <w:left w:val="nil"/>
              <w:right w:val="nil"/>
            </w:tcBorders>
            <w:hideMark/>
          </w:tcPr>
          <w:p w14:paraId="15E4F32B" w14:textId="77777777" w:rsidR="00CE75D4" w:rsidRPr="002029AF" w:rsidRDefault="00CE75D4" w:rsidP="00860E95">
            <w:pPr>
              <w:pStyle w:val="ARfintablecolheadright"/>
            </w:pPr>
          </w:p>
        </w:tc>
        <w:tc>
          <w:tcPr>
            <w:tcW w:w="1021" w:type="dxa"/>
            <w:vMerge/>
            <w:tcBorders>
              <w:left w:val="nil"/>
              <w:right w:val="nil"/>
            </w:tcBorders>
            <w:hideMark/>
          </w:tcPr>
          <w:p w14:paraId="0B516FD9" w14:textId="77777777" w:rsidR="00CE75D4" w:rsidRPr="002029AF" w:rsidRDefault="00CE75D4" w:rsidP="00860E95">
            <w:pPr>
              <w:pStyle w:val="ARfintablecolheadright"/>
            </w:pPr>
          </w:p>
        </w:tc>
        <w:tc>
          <w:tcPr>
            <w:tcW w:w="1021" w:type="dxa"/>
            <w:tcBorders>
              <w:left w:val="nil"/>
              <w:right w:val="nil"/>
            </w:tcBorders>
            <w:hideMark/>
          </w:tcPr>
          <w:p w14:paraId="4E3C8649" w14:textId="77777777" w:rsidR="00CE75D4" w:rsidRPr="002029AF" w:rsidRDefault="00CE75D4" w:rsidP="00860E95">
            <w:pPr>
              <w:pStyle w:val="ARfintablecolheadright"/>
            </w:pPr>
            <w:r w:rsidRPr="002029AF">
              <w:t>Less than 1 month</w:t>
            </w:r>
          </w:p>
          <w:p w14:paraId="02F8900A" w14:textId="77777777" w:rsidR="00CE75D4" w:rsidRPr="002029AF" w:rsidRDefault="00CE75D4" w:rsidP="00860E95">
            <w:pPr>
              <w:pStyle w:val="ARfintablecolheadright"/>
            </w:pPr>
            <w:r w:rsidRPr="002029AF">
              <w:t>$M</w:t>
            </w:r>
          </w:p>
        </w:tc>
        <w:tc>
          <w:tcPr>
            <w:tcW w:w="1021" w:type="dxa"/>
            <w:tcBorders>
              <w:left w:val="nil"/>
              <w:right w:val="nil"/>
            </w:tcBorders>
            <w:hideMark/>
          </w:tcPr>
          <w:p w14:paraId="14BA8A3B" w14:textId="77777777" w:rsidR="00CE75D4" w:rsidRPr="002029AF" w:rsidRDefault="00CE75D4" w:rsidP="00860E95">
            <w:pPr>
              <w:pStyle w:val="ARfintablecolheadright"/>
            </w:pPr>
            <w:r w:rsidRPr="002029AF">
              <w:t>1–3 months</w:t>
            </w:r>
          </w:p>
          <w:p w14:paraId="5355AE8F" w14:textId="77777777" w:rsidR="00CE75D4" w:rsidRPr="002029AF" w:rsidRDefault="00CE75D4" w:rsidP="00860E95">
            <w:pPr>
              <w:pStyle w:val="ARfintablecolheadright"/>
            </w:pPr>
            <w:r w:rsidRPr="002029AF">
              <w:t>$M</w:t>
            </w:r>
          </w:p>
        </w:tc>
        <w:tc>
          <w:tcPr>
            <w:tcW w:w="1021" w:type="dxa"/>
            <w:tcBorders>
              <w:left w:val="nil"/>
              <w:right w:val="nil"/>
            </w:tcBorders>
            <w:hideMark/>
          </w:tcPr>
          <w:p w14:paraId="19168C7A" w14:textId="77777777" w:rsidR="00CE75D4" w:rsidRPr="002029AF" w:rsidRDefault="00CE75D4" w:rsidP="00860E95">
            <w:pPr>
              <w:pStyle w:val="ARfintablecolheadright"/>
            </w:pPr>
            <w:r w:rsidRPr="002029AF">
              <w:t>3</w:t>
            </w:r>
            <w:r>
              <w:t xml:space="preserve"> </w:t>
            </w:r>
            <w:r w:rsidRPr="002029AF">
              <w:t>months – 1 year</w:t>
            </w:r>
          </w:p>
          <w:p w14:paraId="1117E6B6" w14:textId="77777777" w:rsidR="00CE75D4" w:rsidRPr="002029AF" w:rsidRDefault="00CE75D4" w:rsidP="00860E95">
            <w:pPr>
              <w:pStyle w:val="ARfintablecolheadright"/>
            </w:pPr>
            <w:r w:rsidRPr="002029AF">
              <w:t>$M</w:t>
            </w:r>
          </w:p>
        </w:tc>
        <w:tc>
          <w:tcPr>
            <w:tcW w:w="1021" w:type="dxa"/>
            <w:tcBorders>
              <w:left w:val="nil"/>
              <w:right w:val="nil"/>
            </w:tcBorders>
            <w:hideMark/>
          </w:tcPr>
          <w:p w14:paraId="5CFA850B" w14:textId="77777777" w:rsidR="00CE75D4" w:rsidRPr="002029AF" w:rsidRDefault="00CE75D4" w:rsidP="00860E95">
            <w:pPr>
              <w:pStyle w:val="ARfintablecolheadright"/>
            </w:pPr>
            <w:r w:rsidRPr="002029AF">
              <w:t>1–5 years</w:t>
            </w:r>
          </w:p>
          <w:p w14:paraId="11CEE84A" w14:textId="77777777" w:rsidR="00CE75D4" w:rsidRPr="002029AF" w:rsidRDefault="00CE75D4" w:rsidP="00860E95">
            <w:pPr>
              <w:pStyle w:val="ARfintablecolheadright"/>
            </w:pPr>
            <w:r w:rsidRPr="002029AF">
              <w:t>$M</w:t>
            </w:r>
          </w:p>
        </w:tc>
        <w:tc>
          <w:tcPr>
            <w:tcW w:w="1021" w:type="dxa"/>
            <w:vMerge/>
            <w:tcBorders>
              <w:left w:val="nil"/>
            </w:tcBorders>
            <w:hideMark/>
          </w:tcPr>
          <w:p w14:paraId="49B22AEF" w14:textId="77777777" w:rsidR="00CE75D4" w:rsidRPr="002029AF" w:rsidRDefault="00CE75D4" w:rsidP="00860E95">
            <w:pPr>
              <w:pStyle w:val="ARfintablecolheadright"/>
            </w:pPr>
          </w:p>
        </w:tc>
      </w:tr>
      <w:tr w:rsidR="00CE75D4" w:rsidRPr="002029AF" w14:paraId="109A39E8" w14:textId="77777777" w:rsidTr="008340C1">
        <w:trPr>
          <w:cantSplit w:val="0"/>
        </w:trPr>
        <w:tc>
          <w:tcPr>
            <w:tcW w:w="9639" w:type="dxa"/>
            <w:gridSpan w:val="8"/>
            <w:tcBorders>
              <w:bottom w:val="single" w:sz="4" w:space="0" w:color="auto"/>
            </w:tcBorders>
            <w:hideMark/>
          </w:tcPr>
          <w:p w14:paraId="730E8F3E" w14:textId="77777777" w:rsidR="00CE75D4" w:rsidRPr="002029AF" w:rsidRDefault="00CE75D4" w:rsidP="00130D1C">
            <w:pPr>
              <w:pStyle w:val="ARfintablebodybold"/>
            </w:pPr>
            <w:r w:rsidRPr="00832F26">
              <w:t>202</w:t>
            </w:r>
            <w:r>
              <w:t>2</w:t>
            </w:r>
          </w:p>
        </w:tc>
      </w:tr>
      <w:tr w:rsidR="00CE75D4" w:rsidRPr="002029AF" w14:paraId="5E2F6F28" w14:textId="77777777" w:rsidTr="008340C1">
        <w:trPr>
          <w:cantSplit w:val="0"/>
        </w:trPr>
        <w:tc>
          <w:tcPr>
            <w:tcW w:w="2493" w:type="dxa"/>
            <w:tcBorders>
              <w:top w:val="single" w:sz="4" w:space="0" w:color="auto"/>
              <w:bottom w:val="single" w:sz="4" w:space="0" w:color="A6A6A6"/>
              <w:right w:val="nil"/>
            </w:tcBorders>
            <w:hideMark/>
          </w:tcPr>
          <w:p w14:paraId="07AC40D7" w14:textId="77777777" w:rsidR="00CE75D4" w:rsidRPr="002029AF" w:rsidRDefault="00CE75D4" w:rsidP="008340C1">
            <w:pPr>
              <w:pStyle w:val="ARfintablebodybold"/>
            </w:pPr>
            <w:r w:rsidRPr="000C0C21">
              <w:t>Expected loss rate</w:t>
            </w:r>
          </w:p>
        </w:tc>
        <w:tc>
          <w:tcPr>
            <w:tcW w:w="1020" w:type="dxa"/>
            <w:tcBorders>
              <w:top w:val="single" w:sz="4" w:space="0" w:color="auto"/>
              <w:left w:val="nil"/>
              <w:bottom w:val="single" w:sz="4" w:space="0" w:color="A6A6A6"/>
              <w:right w:val="nil"/>
            </w:tcBorders>
            <w:noWrap/>
            <w:hideMark/>
          </w:tcPr>
          <w:p w14:paraId="76403D7C" w14:textId="77777777" w:rsidR="00CE75D4" w:rsidRPr="002029AF" w:rsidRDefault="00CE75D4" w:rsidP="008340C1">
            <w:pPr>
              <w:pStyle w:val="ARfintablebodyright"/>
            </w:pPr>
          </w:p>
        </w:tc>
        <w:tc>
          <w:tcPr>
            <w:tcW w:w="1021" w:type="dxa"/>
            <w:tcBorders>
              <w:top w:val="single" w:sz="4" w:space="0" w:color="auto"/>
              <w:left w:val="nil"/>
              <w:bottom w:val="single" w:sz="4" w:space="0" w:color="A6A6A6"/>
              <w:right w:val="nil"/>
            </w:tcBorders>
            <w:noWrap/>
            <w:hideMark/>
          </w:tcPr>
          <w:p w14:paraId="1983C5E5" w14:textId="77777777" w:rsidR="00CE75D4" w:rsidRPr="002029AF" w:rsidRDefault="00CE75D4" w:rsidP="008340C1">
            <w:pPr>
              <w:pStyle w:val="ARfintablebodyright"/>
            </w:pPr>
            <w:r w:rsidRPr="000C0C21">
              <w:t>0%</w:t>
            </w:r>
          </w:p>
        </w:tc>
        <w:tc>
          <w:tcPr>
            <w:tcW w:w="1021" w:type="dxa"/>
            <w:tcBorders>
              <w:top w:val="single" w:sz="4" w:space="0" w:color="auto"/>
              <w:left w:val="nil"/>
              <w:bottom w:val="single" w:sz="4" w:space="0" w:color="A6A6A6"/>
              <w:right w:val="nil"/>
            </w:tcBorders>
            <w:noWrap/>
            <w:hideMark/>
          </w:tcPr>
          <w:p w14:paraId="6F4BA1CE" w14:textId="77777777" w:rsidR="00CE75D4" w:rsidRPr="002029AF" w:rsidRDefault="00CE75D4" w:rsidP="008340C1">
            <w:pPr>
              <w:pStyle w:val="ARfintablebodyright"/>
            </w:pPr>
            <w:r w:rsidRPr="000C0C21">
              <w:t>0%</w:t>
            </w:r>
          </w:p>
        </w:tc>
        <w:tc>
          <w:tcPr>
            <w:tcW w:w="1021" w:type="dxa"/>
            <w:tcBorders>
              <w:top w:val="single" w:sz="4" w:space="0" w:color="auto"/>
              <w:left w:val="nil"/>
              <w:bottom w:val="single" w:sz="4" w:space="0" w:color="A6A6A6"/>
              <w:right w:val="nil"/>
            </w:tcBorders>
            <w:noWrap/>
            <w:hideMark/>
          </w:tcPr>
          <w:p w14:paraId="438B3DD8" w14:textId="77777777" w:rsidR="00CE75D4" w:rsidRPr="002029AF" w:rsidRDefault="00CE75D4" w:rsidP="008340C1">
            <w:pPr>
              <w:pStyle w:val="ARfintablebodyright"/>
            </w:pPr>
            <w:r w:rsidRPr="000C0C21">
              <w:t>0%</w:t>
            </w:r>
          </w:p>
        </w:tc>
        <w:tc>
          <w:tcPr>
            <w:tcW w:w="1021" w:type="dxa"/>
            <w:tcBorders>
              <w:top w:val="single" w:sz="4" w:space="0" w:color="auto"/>
              <w:left w:val="nil"/>
              <w:bottom w:val="single" w:sz="4" w:space="0" w:color="A6A6A6"/>
              <w:right w:val="nil"/>
            </w:tcBorders>
            <w:noWrap/>
            <w:hideMark/>
          </w:tcPr>
          <w:p w14:paraId="4FD0516C" w14:textId="77777777" w:rsidR="00CE75D4" w:rsidRPr="002029AF" w:rsidRDefault="00CE75D4" w:rsidP="008340C1">
            <w:pPr>
              <w:pStyle w:val="ARfintablebodyright"/>
            </w:pPr>
            <w:r w:rsidRPr="000C0C21">
              <w:t>5%</w:t>
            </w:r>
          </w:p>
        </w:tc>
        <w:tc>
          <w:tcPr>
            <w:tcW w:w="1021" w:type="dxa"/>
            <w:tcBorders>
              <w:top w:val="single" w:sz="4" w:space="0" w:color="auto"/>
              <w:left w:val="nil"/>
              <w:bottom w:val="single" w:sz="4" w:space="0" w:color="A6A6A6"/>
              <w:right w:val="nil"/>
            </w:tcBorders>
            <w:noWrap/>
            <w:hideMark/>
          </w:tcPr>
          <w:p w14:paraId="05D080CB" w14:textId="77777777" w:rsidR="00CE75D4" w:rsidRPr="002029AF" w:rsidRDefault="00CE75D4" w:rsidP="008340C1">
            <w:pPr>
              <w:pStyle w:val="ARfintablebodyright"/>
            </w:pPr>
            <w:r w:rsidRPr="000C0C21">
              <w:t>91%</w:t>
            </w:r>
          </w:p>
        </w:tc>
        <w:tc>
          <w:tcPr>
            <w:tcW w:w="1021" w:type="dxa"/>
            <w:tcBorders>
              <w:top w:val="single" w:sz="4" w:space="0" w:color="auto"/>
              <w:left w:val="nil"/>
              <w:bottom w:val="single" w:sz="4" w:space="0" w:color="A6A6A6"/>
            </w:tcBorders>
            <w:noWrap/>
            <w:hideMark/>
          </w:tcPr>
          <w:p w14:paraId="2AE99615" w14:textId="77777777" w:rsidR="00CE75D4" w:rsidRPr="002029AF" w:rsidRDefault="00CE75D4" w:rsidP="008340C1">
            <w:pPr>
              <w:pStyle w:val="ARfintablebodyright"/>
            </w:pPr>
          </w:p>
        </w:tc>
      </w:tr>
      <w:tr w:rsidR="00CE75D4" w:rsidRPr="002029AF" w14:paraId="52FB2956" w14:textId="77777777" w:rsidTr="008340C1">
        <w:trPr>
          <w:cantSplit w:val="0"/>
        </w:trPr>
        <w:tc>
          <w:tcPr>
            <w:tcW w:w="2493" w:type="dxa"/>
            <w:tcBorders>
              <w:top w:val="single" w:sz="4" w:space="0" w:color="A6A6A6"/>
              <w:right w:val="nil"/>
            </w:tcBorders>
            <w:hideMark/>
          </w:tcPr>
          <w:p w14:paraId="5CC82EF7" w14:textId="77777777" w:rsidR="00CE75D4" w:rsidRPr="002029AF" w:rsidRDefault="00CE75D4" w:rsidP="008340C1">
            <w:pPr>
              <w:pStyle w:val="ARfintablebody"/>
            </w:pPr>
            <w:r w:rsidRPr="000C0C21">
              <w:t>Gross carrying amount of contractual receivables</w:t>
            </w:r>
          </w:p>
        </w:tc>
        <w:tc>
          <w:tcPr>
            <w:tcW w:w="1020" w:type="dxa"/>
            <w:tcBorders>
              <w:top w:val="single" w:sz="4" w:space="0" w:color="A6A6A6"/>
              <w:left w:val="nil"/>
              <w:right w:val="nil"/>
            </w:tcBorders>
            <w:noWrap/>
            <w:hideMark/>
          </w:tcPr>
          <w:p w14:paraId="06BEA6FB" w14:textId="77777777" w:rsidR="00CE75D4" w:rsidRPr="002029AF" w:rsidRDefault="00CE75D4" w:rsidP="008340C1">
            <w:pPr>
              <w:pStyle w:val="ARfintablebodyright"/>
            </w:pPr>
            <w:r w:rsidRPr="000C0C21">
              <w:t>1,147.5</w:t>
            </w:r>
          </w:p>
        </w:tc>
        <w:tc>
          <w:tcPr>
            <w:tcW w:w="1021" w:type="dxa"/>
            <w:tcBorders>
              <w:top w:val="single" w:sz="4" w:space="0" w:color="A6A6A6"/>
              <w:left w:val="nil"/>
              <w:right w:val="nil"/>
            </w:tcBorders>
            <w:noWrap/>
            <w:hideMark/>
          </w:tcPr>
          <w:p w14:paraId="5B189837" w14:textId="77777777" w:rsidR="00CE75D4" w:rsidRPr="002029AF" w:rsidRDefault="00CE75D4" w:rsidP="008340C1">
            <w:pPr>
              <w:pStyle w:val="ARfintablebodyright"/>
            </w:pPr>
            <w:r w:rsidRPr="000C0C21">
              <w:t>1,095.6</w:t>
            </w:r>
          </w:p>
        </w:tc>
        <w:tc>
          <w:tcPr>
            <w:tcW w:w="1021" w:type="dxa"/>
            <w:tcBorders>
              <w:top w:val="single" w:sz="4" w:space="0" w:color="A6A6A6"/>
              <w:left w:val="nil"/>
              <w:right w:val="nil"/>
            </w:tcBorders>
            <w:noWrap/>
            <w:hideMark/>
          </w:tcPr>
          <w:p w14:paraId="59945630" w14:textId="77777777" w:rsidR="00CE75D4" w:rsidRPr="002029AF" w:rsidRDefault="00CE75D4" w:rsidP="008340C1">
            <w:pPr>
              <w:pStyle w:val="ARfintablebodyright"/>
            </w:pPr>
            <w:r w:rsidRPr="000C0C21">
              <w:t>1.3</w:t>
            </w:r>
          </w:p>
        </w:tc>
        <w:tc>
          <w:tcPr>
            <w:tcW w:w="1021" w:type="dxa"/>
            <w:tcBorders>
              <w:top w:val="single" w:sz="4" w:space="0" w:color="A6A6A6"/>
              <w:left w:val="nil"/>
              <w:right w:val="nil"/>
            </w:tcBorders>
            <w:noWrap/>
            <w:hideMark/>
          </w:tcPr>
          <w:p w14:paraId="2ABB51F8" w14:textId="77777777" w:rsidR="00CE75D4" w:rsidRPr="002029AF" w:rsidRDefault="00CE75D4" w:rsidP="008340C1">
            <w:pPr>
              <w:pStyle w:val="ARfintablebodyright"/>
            </w:pPr>
            <w:r w:rsidRPr="000C0C21">
              <w:t>1.2</w:t>
            </w:r>
          </w:p>
        </w:tc>
        <w:tc>
          <w:tcPr>
            <w:tcW w:w="1021" w:type="dxa"/>
            <w:tcBorders>
              <w:top w:val="single" w:sz="4" w:space="0" w:color="A6A6A6"/>
              <w:left w:val="nil"/>
              <w:right w:val="nil"/>
            </w:tcBorders>
            <w:noWrap/>
            <w:hideMark/>
          </w:tcPr>
          <w:p w14:paraId="6F446B76" w14:textId="77777777" w:rsidR="00CE75D4" w:rsidRPr="002029AF" w:rsidRDefault="00CE75D4" w:rsidP="008340C1">
            <w:pPr>
              <w:pStyle w:val="ARfintablebodyright"/>
            </w:pPr>
            <w:r w:rsidRPr="000C0C21">
              <w:t>28.9</w:t>
            </w:r>
          </w:p>
        </w:tc>
        <w:tc>
          <w:tcPr>
            <w:tcW w:w="1021" w:type="dxa"/>
            <w:tcBorders>
              <w:top w:val="single" w:sz="4" w:space="0" w:color="A6A6A6"/>
              <w:left w:val="nil"/>
              <w:right w:val="nil"/>
            </w:tcBorders>
            <w:noWrap/>
            <w:hideMark/>
          </w:tcPr>
          <w:p w14:paraId="2EDB7BF0" w14:textId="77777777" w:rsidR="00CE75D4" w:rsidRPr="002029AF" w:rsidRDefault="00CE75D4" w:rsidP="008340C1">
            <w:pPr>
              <w:pStyle w:val="ARfintablebodyright"/>
            </w:pPr>
            <w:r w:rsidRPr="000C0C21">
              <w:t>20.5</w:t>
            </w:r>
          </w:p>
        </w:tc>
        <w:tc>
          <w:tcPr>
            <w:tcW w:w="1021" w:type="dxa"/>
            <w:tcBorders>
              <w:top w:val="single" w:sz="4" w:space="0" w:color="A6A6A6"/>
              <w:left w:val="nil"/>
            </w:tcBorders>
            <w:noWrap/>
            <w:hideMark/>
          </w:tcPr>
          <w:p w14:paraId="352E7995" w14:textId="77777777" w:rsidR="00CE75D4" w:rsidRPr="002029AF" w:rsidRDefault="00CE75D4" w:rsidP="008340C1">
            <w:pPr>
              <w:pStyle w:val="ARfintablebodyright"/>
            </w:pPr>
          </w:p>
        </w:tc>
      </w:tr>
      <w:tr w:rsidR="00CE75D4" w:rsidRPr="002029AF" w14:paraId="5237583B" w14:textId="77777777" w:rsidTr="008340C1">
        <w:trPr>
          <w:cantSplit w:val="0"/>
        </w:trPr>
        <w:tc>
          <w:tcPr>
            <w:tcW w:w="2493" w:type="dxa"/>
            <w:tcBorders>
              <w:right w:val="nil"/>
            </w:tcBorders>
            <w:hideMark/>
          </w:tcPr>
          <w:p w14:paraId="086DAAC7" w14:textId="77777777" w:rsidR="00CE75D4" w:rsidRPr="002029AF" w:rsidRDefault="00CE75D4" w:rsidP="008340C1">
            <w:pPr>
              <w:pStyle w:val="ARfintablebodybold"/>
            </w:pPr>
            <w:r w:rsidRPr="000C0C21">
              <w:t>Loss allowance</w:t>
            </w:r>
          </w:p>
        </w:tc>
        <w:tc>
          <w:tcPr>
            <w:tcW w:w="1020" w:type="dxa"/>
            <w:tcBorders>
              <w:left w:val="nil"/>
              <w:right w:val="nil"/>
            </w:tcBorders>
            <w:noWrap/>
            <w:hideMark/>
          </w:tcPr>
          <w:p w14:paraId="723D424C" w14:textId="77777777" w:rsidR="00CE75D4" w:rsidRPr="002029AF" w:rsidRDefault="00CE75D4" w:rsidP="008340C1">
            <w:pPr>
              <w:pStyle w:val="ARfintablebodyrightbold"/>
            </w:pPr>
          </w:p>
        </w:tc>
        <w:tc>
          <w:tcPr>
            <w:tcW w:w="1021" w:type="dxa"/>
            <w:tcBorders>
              <w:left w:val="nil"/>
              <w:right w:val="nil"/>
            </w:tcBorders>
            <w:noWrap/>
            <w:hideMark/>
          </w:tcPr>
          <w:p w14:paraId="33254BAE" w14:textId="77777777" w:rsidR="00CE75D4" w:rsidRPr="002029AF" w:rsidRDefault="00CE75D4" w:rsidP="008340C1">
            <w:pPr>
              <w:pStyle w:val="ARfintablebodyrightbold"/>
            </w:pPr>
            <w:r>
              <w:t>–</w:t>
            </w:r>
          </w:p>
        </w:tc>
        <w:tc>
          <w:tcPr>
            <w:tcW w:w="1021" w:type="dxa"/>
            <w:tcBorders>
              <w:left w:val="nil"/>
              <w:right w:val="nil"/>
            </w:tcBorders>
            <w:noWrap/>
            <w:hideMark/>
          </w:tcPr>
          <w:p w14:paraId="38D5259B" w14:textId="77777777" w:rsidR="00CE75D4" w:rsidRPr="002029AF" w:rsidRDefault="00CE75D4" w:rsidP="008340C1">
            <w:pPr>
              <w:pStyle w:val="ARfintablebodyrightbold"/>
            </w:pPr>
            <w:r>
              <w:t>–</w:t>
            </w:r>
          </w:p>
        </w:tc>
        <w:tc>
          <w:tcPr>
            <w:tcW w:w="1021" w:type="dxa"/>
            <w:tcBorders>
              <w:left w:val="nil"/>
              <w:right w:val="nil"/>
            </w:tcBorders>
            <w:noWrap/>
            <w:hideMark/>
          </w:tcPr>
          <w:p w14:paraId="64108B84" w14:textId="77777777" w:rsidR="00CE75D4" w:rsidRPr="002029AF" w:rsidRDefault="00CE75D4" w:rsidP="008340C1">
            <w:pPr>
              <w:pStyle w:val="ARfintablebodyrightbold"/>
            </w:pPr>
            <w:r>
              <w:t>–</w:t>
            </w:r>
          </w:p>
        </w:tc>
        <w:tc>
          <w:tcPr>
            <w:tcW w:w="1021" w:type="dxa"/>
            <w:tcBorders>
              <w:left w:val="nil"/>
              <w:right w:val="nil"/>
            </w:tcBorders>
            <w:noWrap/>
            <w:hideMark/>
          </w:tcPr>
          <w:p w14:paraId="4BD54E6A" w14:textId="77777777" w:rsidR="00CE75D4" w:rsidRPr="002029AF" w:rsidRDefault="00CE75D4" w:rsidP="008340C1">
            <w:pPr>
              <w:pStyle w:val="ARfintablebodyrightbold"/>
            </w:pPr>
            <w:r w:rsidRPr="000C0C21">
              <w:t>1.5</w:t>
            </w:r>
          </w:p>
        </w:tc>
        <w:tc>
          <w:tcPr>
            <w:tcW w:w="1021" w:type="dxa"/>
            <w:tcBorders>
              <w:left w:val="nil"/>
              <w:right w:val="nil"/>
            </w:tcBorders>
            <w:noWrap/>
            <w:hideMark/>
          </w:tcPr>
          <w:p w14:paraId="512E2694" w14:textId="77777777" w:rsidR="00CE75D4" w:rsidRPr="002029AF" w:rsidRDefault="00CE75D4" w:rsidP="008340C1">
            <w:pPr>
              <w:pStyle w:val="ARfintablebodyrightbold"/>
            </w:pPr>
            <w:r w:rsidRPr="000C0C21">
              <w:t>18.6</w:t>
            </w:r>
          </w:p>
        </w:tc>
        <w:tc>
          <w:tcPr>
            <w:tcW w:w="1021" w:type="dxa"/>
            <w:tcBorders>
              <w:left w:val="nil"/>
            </w:tcBorders>
            <w:noWrap/>
            <w:hideMark/>
          </w:tcPr>
          <w:p w14:paraId="728ACF15" w14:textId="77777777" w:rsidR="00CE75D4" w:rsidRPr="002029AF" w:rsidRDefault="00CE75D4" w:rsidP="008340C1">
            <w:pPr>
              <w:pStyle w:val="ARfintablebodyrightbold"/>
            </w:pPr>
            <w:r w:rsidRPr="000C0C21">
              <w:t>20.1</w:t>
            </w:r>
          </w:p>
        </w:tc>
      </w:tr>
      <w:tr w:rsidR="00CE75D4" w:rsidRPr="002029AF" w14:paraId="3D991DDC" w14:textId="77777777" w:rsidTr="008340C1">
        <w:trPr>
          <w:cantSplit w:val="0"/>
        </w:trPr>
        <w:tc>
          <w:tcPr>
            <w:tcW w:w="9639" w:type="dxa"/>
            <w:gridSpan w:val="8"/>
            <w:tcBorders>
              <w:bottom w:val="single" w:sz="4" w:space="0" w:color="auto"/>
            </w:tcBorders>
            <w:hideMark/>
          </w:tcPr>
          <w:p w14:paraId="3040B629" w14:textId="77777777" w:rsidR="00CE75D4" w:rsidRPr="002029AF" w:rsidRDefault="00CE75D4" w:rsidP="008340C1">
            <w:pPr>
              <w:pStyle w:val="ARfintablebodybold"/>
            </w:pPr>
            <w:r w:rsidRPr="000C0C21">
              <w:t>2021</w:t>
            </w:r>
          </w:p>
        </w:tc>
      </w:tr>
      <w:tr w:rsidR="00CE75D4" w:rsidRPr="002029AF" w14:paraId="6D3247CE" w14:textId="77777777" w:rsidTr="008340C1">
        <w:trPr>
          <w:cantSplit w:val="0"/>
        </w:trPr>
        <w:tc>
          <w:tcPr>
            <w:tcW w:w="2493" w:type="dxa"/>
            <w:tcBorders>
              <w:top w:val="single" w:sz="4" w:space="0" w:color="auto"/>
              <w:bottom w:val="single" w:sz="4" w:space="0" w:color="A6A6A6"/>
              <w:right w:val="nil"/>
            </w:tcBorders>
            <w:hideMark/>
          </w:tcPr>
          <w:p w14:paraId="361B4808" w14:textId="77777777" w:rsidR="00CE75D4" w:rsidRPr="002029AF" w:rsidRDefault="00CE75D4" w:rsidP="008340C1">
            <w:pPr>
              <w:pStyle w:val="ARfintablebodybold"/>
            </w:pPr>
            <w:r w:rsidRPr="000C0C21">
              <w:t>Expected loss rate</w:t>
            </w:r>
          </w:p>
        </w:tc>
        <w:tc>
          <w:tcPr>
            <w:tcW w:w="1020" w:type="dxa"/>
            <w:tcBorders>
              <w:top w:val="single" w:sz="4" w:space="0" w:color="auto"/>
              <w:left w:val="nil"/>
              <w:bottom w:val="single" w:sz="4" w:space="0" w:color="A6A6A6"/>
              <w:right w:val="nil"/>
            </w:tcBorders>
            <w:noWrap/>
            <w:hideMark/>
          </w:tcPr>
          <w:p w14:paraId="4FA71CD8" w14:textId="77777777" w:rsidR="00CE75D4" w:rsidRPr="002029AF" w:rsidRDefault="00CE75D4" w:rsidP="008340C1">
            <w:pPr>
              <w:pStyle w:val="ARfintablebodyright"/>
            </w:pPr>
          </w:p>
        </w:tc>
        <w:tc>
          <w:tcPr>
            <w:tcW w:w="1021" w:type="dxa"/>
            <w:tcBorders>
              <w:top w:val="single" w:sz="4" w:space="0" w:color="auto"/>
              <w:left w:val="nil"/>
              <w:bottom w:val="single" w:sz="4" w:space="0" w:color="A6A6A6"/>
              <w:right w:val="nil"/>
            </w:tcBorders>
            <w:noWrap/>
            <w:hideMark/>
          </w:tcPr>
          <w:p w14:paraId="590A5E50" w14:textId="77777777" w:rsidR="00CE75D4" w:rsidRPr="002029AF" w:rsidRDefault="00CE75D4" w:rsidP="008340C1">
            <w:pPr>
              <w:pStyle w:val="ARfintablebodyright"/>
            </w:pPr>
            <w:r w:rsidRPr="000C0C21">
              <w:t>0%</w:t>
            </w:r>
          </w:p>
        </w:tc>
        <w:tc>
          <w:tcPr>
            <w:tcW w:w="1021" w:type="dxa"/>
            <w:tcBorders>
              <w:top w:val="single" w:sz="4" w:space="0" w:color="auto"/>
              <w:left w:val="nil"/>
              <w:bottom w:val="single" w:sz="4" w:space="0" w:color="A6A6A6"/>
              <w:right w:val="nil"/>
            </w:tcBorders>
            <w:noWrap/>
            <w:hideMark/>
          </w:tcPr>
          <w:p w14:paraId="7DD106B7" w14:textId="77777777" w:rsidR="00CE75D4" w:rsidRPr="002029AF" w:rsidRDefault="00CE75D4" w:rsidP="008340C1">
            <w:pPr>
              <w:pStyle w:val="ARfintablebodyright"/>
            </w:pPr>
            <w:r w:rsidRPr="000C0C21">
              <w:t>19%</w:t>
            </w:r>
          </w:p>
        </w:tc>
        <w:tc>
          <w:tcPr>
            <w:tcW w:w="1021" w:type="dxa"/>
            <w:tcBorders>
              <w:top w:val="single" w:sz="4" w:space="0" w:color="auto"/>
              <w:left w:val="nil"/>
              <w:bottom w:val="single" w:sz="4" w:space="0" w:color="A6A6A6"/>
              <w:right w:val="nil"/>
            </w:tcBorders>
            <w:noWrap/>
            <w:hideMark/>
          </w:tcPr>
          <w:p w14:paraId="56FB8AA6" w14:textId="77777777" w:rsidR="00CE75D4" w:rsidRPr="002029AF" w:rsidRDefault="00CE75D4" w:rsidP="008340C1">
            <w:pPr>
              <w:pStyle w:val="ARfintablebodyright"/>
            </w:pPr>
            <w:r w:rsidRPr="000C0C21">
              <w:t>34%</w:t>
            </w:r>
          </w:p>
        </w:tc>
        <w:tc>
          <w:tcPr>
            <w:tcW w:w="1021" w:type="dxa"/>
            <w:tcBorders>
              <w:top w:val="single" w:sz="4" w:space="0" w:color="auto"/>
              <w:left w:val="nil"/>
              <w:bottom w:val="single" w:sz="4" w:space="0" w:color="A6A6A6"/>
              <w:right w:val="nil"/>
            </w:tcBorders>
            <w:noWrap/>
            <w:hideMark/>
          </w:tcPr>
          <w:p w14:paraId="0B02D900" w14:textId="77777777" w:rsidR="00CE75D4" w:rsidRPr="002029AF" w:rsidRDefault="00CE75D4" w:rsidP="008340C1">
            <w:pPr>
              <w:pStyle w:val="ARfintablebodyright"/>
            </w:pPr>
            <w:r w:rsidRPr="000C0C21">
              <w:t>52%</w:t>
            </w:r>
          </w:p>
        </w:tc>
        <w:tc>
          <w:tcPr>
            <w:tcW w:w="1021" w:type="dxa"/>
            <w:tcBorders>
              <w:top w:val="single" w:sz="4" w:space="0" w:color="auto"/>
              <w:left w:val="nil"/>
              <w:bottom w:val="single" w:sz="4" w:space="0" w:color="A6A6A6"/>
              <w:right w:val="nil"/>
            </w:tcBorders>
            <w:noWrap/>
            <w:hideMark/>
          </w:tcPr>
          <w:p w14:paraId="074B8E8C" w14:textId="77777777" w:rsidR="00CE75D4" w:rsidRPr="002029AF" w:rsidRDefault="00CE75D4" w:rsidP="008340C1">
            <w:pPr>
              <w:pStyle w:val="ARfintablebodyright"/>
            </w:pPr>
            <w:r w:rsidRPr="000C0C21">
              <w:t>76%</w:t>
            </w:r>
          </w:p>
        </w:tc>
        <w:tc>
          <w:tcPr>
            <w:tcW w:w="1021" w:type="dxa"/>
            <w:tcBorders>
              <w:top w:val="single" w:sz="4" w:space="0" w:color="auto"/>
              <w:left w:val="nil"/>
              <w:bottom w:val="single" w:sz="4" w:space="0" w:color="A6A6A6"/>
            </w:tcBorders>
            <w:noWrap/>
            <w:hideMark/>
          </w:tcPr>
          <w:p w14:paraId="78A85783" w14:textId="77777777" w:rsidR="00CE75D4" w:rsidRPr="002029AF" w:rsidRDefault="00CE75D4" w:rsidP="008340C1">
            <w:pPr>
              <w:pStyle w:val="ARfintablebodyright"/>
            </w:pPr>
          </w:p>
        </w:tc>
      </w:tr>
      <w:tr w:rsidR="00CE75D4" w:rsidRPr="002029AF" w14:paraId="1DFDA29C" w14:textId="77777777" w:rsidTr="008340C1">
        <w:trPr>
          <w:cantSplit w:val="0"/>
        </w:trPr>
        <w:tc>
          <w:tcPr>
            <w:tcW w:w="2493" w:type="dxa"/>
            <w:tcBorders>
              <w:top w:val="single" w:sz="4" w:space="0" w:color="A6A6A6"/>
              <w:right w:val="nil"/>
            </w:tcBorders>
            <w:hideMark/>
          </w:tcPr>
          <w:p w14:paraId="3CF99668" w14:textId="77777777" w:rsidR="00CE75D4" w:rsidRPr="002029AF" w:rsidRDefault="00CE75D4" w:rsidP="008340C1">
            <w:pPr>
              <w:pStyle w:val="ARfintablebody"/>
            </w:pPr>
            <w:r w:rsidRPr="000C0C21">
              <w:t>Gross carrying amount of contractual receivables</w:t>
            </w:r>
          </w:p>
        </w:tc>
        <w:tc>
          <w:tcPr>
            <w:tcW w:w="1020" w:type="dxa"/>
            <w:tcBorders>
              <w:top w:val="single" w:sz="4" w:space="0" w:color="A6A6A6"/>
              <w:left w:val="nil"/>
              <w:right w:val="nil"/>
            </w:tcBorders>
            <w:noWrap/>
            <w:hideMark/>
          </w:tcPr>
          <w:p w14:paraId="4E0BF543" w14:textId="77777777" w:rsidR="00CE75D4" w:rsidRPr="002029AF" w:rsidRDefault="00CE75D4" w:rsidP="008340C1">
            <w:pPr>
              <w:pStyle w:val="ARfintablebodyright"/>
            </w:pPr>
            <w:r w:rsidRPr="000C0C21">
              <w:t>369.6</w:t>
            </w:r>
          </w:p>
        </w:tc>
        <w:tc>
          <w:tcPr>
            <w:tcW w:w="1021" w:type="dxa"/>
            <w:tcBorders>
              <w:top w:val="single" w:sz="4" w:space="0" w:color="A6A6A6"/>
              <w:left w:val="nil"/>
              <w:right w:val="nil"/>
            </w:tcBorders>
            <w:noWrap/>
            <w:hideMark/>
          </w:tcPr>
          <w:p w14:paraId="3BCCF13E" w14:textId="77777777" w:rsidR="00CE75D4" w:rsidRPr="002029AF" w:rsidRDefault="00CE75D4" w:rsidP="008340C1">
            <w:pPr>
              <w:pStyle w:val="ARfintablebodyright"/>
            </w:pPr>
            <w:r w:rsidRPr="000C0C21">
              <w:t>299.1</w:t>
            </w:r>
          </w:p>
        </w:tc>
        <w:tc>
          <w:tcPr>
            <w:tcW w:w="1021" w:type="dxa"/>
            <w:tcBorders>
              <w:top w:val="single" w:sz="4" w:space="0" w:color="A6A6A6"/>
              <w:left w:val="nil"/>
              <w:right w:val="nil"/>
            </w:tcBorders>
            <w:noWrap/>
            <w:hideMark/>
          </w:tcPr>
          <w:p w14:paraId="404FB290" w14:textId="77777777" w:rsidR="00CE75D4" w:rsidRPr="002029AF" w:rsidRDefault="00CE75D4" w:rsidP="008340C1">
            <w:pPr>
              <w:pStyle w:val="ARfintablebodyright"/>
            </w:pPr>
            <w:r w:rsidRPr="000C0C21">
              <w:t>26.1</w:t>
            </w:r>
          </w:p>
        </w:tc>
        <w:tc>
          <w:tcPr>
            <w:tcW w:w="1021" w:type="dxa"/>
            <w:tcBorders>
              <w:top w:val="single" w:sz="4" w:space="0" w:color="A6A6A6"/>
              <w:left w:val="nil"/>
              <w:right w:val="nil"/>
            </w:tcBorders>
            <w:noWrap/>
            <w:hideMark/>
          </w:tcPr>
          <w:p w14:paraId="4C820C63" w14:textId="77777777" w:rsidR="00CE75D4" w:rsidRPr="002029AF" w:rsidRDefault="00CE75D4" w:rsidP="008340C1">
            <w:pPr>
              <w:pStyle w:val="ARfintablebodyright"/>
            </w:pPr>
            <w:r w:rsidRPr="000C0C21">
              <w:t>18.3</w:t>
            </w:r>
          </w:p>
        </w:tc>
        <w:tc>
          <w:tcPr>
            <w:tcW w:w="1021" w:type="dxa"/>
            <w:tcBorders>
              <w:top w:val="single" w:sz="4" w:space="0" w:color="A6A6A6"/>
              <w:left w:val="nil"/>
              <w:right w:val="nil"/>
            </w:tcBorders>
            <w:noWrap/>
            <w:hideMark/>
          </w:tcPr>
          <w:p w14:paraId="34221625" w14:textId="77777777" w:rsidR="00CE75D4" w:rsidRPr="002029AF" w:rsidRDefault="00CE75D4" w:rsidP="008340C1">
            <w:pPr>
              <w:pStyle w:val="ARfintablebodyright"/>
            </w:pPr>
            <w:r w:rsidRPr="000C0C21">
              <w:t>14.1</w:t>
            </w:r>
          </w:p>
        </w:tc>
        <w:tc>
          <w:tcPr>
            <w:tcW w:w="1021" w:type="dxa"/>
            <w:tcBorders>
              <w:top w:val="single" w:sz="4" w:space="0" w:color="A6A6A6"/>
              <w:left w:val="nil"/>
              <w:right w:val="nil"/>
            </w:tcBorders>
            <w:noWrap/>
            <w:hideMark/>
          </w:tcPr>
          <w:p w14:paraId="1AB85DAA" w14:textId="77777777" w:rsidR="00CE75D4" w:rsidRPr="002029AF" w:rsidRDefault="00CE75D4" w:rsidP="008340C1">
            <w:pPr>
              <w:pStyle w:val="ARfintablebodyright"/>
            </w:pPr>
            <w:r w:rsidRPr="000C0C21">
              <w:t>12.0</w:t>
            </w:r>
          </w:p>
        </w:tc>
        <w:tc>
          <w:tcPr>
            <w:tcW w:w="1021" w:type="dxa"/>
            <w:tcBorders>
              <w:top w:val="single" w:sz="4" w:space="0" w:color="A6A6A6"/>
              <w:left w:val="nil"/>
            </w:tcBorders>
            <w:noWrap/>
            <w:hideMark/>
          </w:tcPr>
          <w:p w14:paraId="2DEDFC87" w14:textId="77777777" w:rsidR="00CE75D4" w:rsidRPr="002029AF" w:rsidRDefault="00CE75D4" w:rsidP="008340C1">
            <w:pPr>
              <w:pStyle w:val="ARfintablebodyright"/>
            </w:pPr>
          </w:p>
        </w:tc>
      </w:tr>
      <w:tr w:rsidR="00CE75D4" w:rsidRPr="002029AF" w14:paraId="50D7B4F1" w14:textId="77777777" w:rsidTr="008340C1">
        <w:trPr>
          <w:cantSplit w:val="0"/>
        </w:trPr>
        <w:tc>
          <w:tcPr>
            <w:tcW w:w="2493" w:type="dxa"/>
            <w:tcBorders>
              <w:right w:val="nil"/>
            </w:tcBorders>
            <w:hideMark/>
          </w:tcPr>
          <w:p w14:paraId="2653ECCD" w14:textId="77777777" w:rsidR="00CE75D4" w:rsidRPr="002029AF" w:rsidRDefault="00CE75D4" w:rsidP="008340C1">
            <w:pPr>
              <w:pStyle w:val="ARfintablebodybold"/>
            </w:pPr>
            <w:r w:rsidRPr="000C0C21">
              <w:t>Loss allowance</w:t>
            </w:r>
          </w:p>
        </w:tc>
        <w:tc>
          <w:tcPr>
            <w:tcW w:w="1020" w:type="dxa"/>
            <w:tcBorders>
              <w:left w:val="nil"/>
              <w:right w:val="nil"/>
            </w:tcBorders>
            <w:noWrap/>
            <w:hideMark/>
          </w:tcPr>
          <w:p w14:paraId="7CB03BCD" w14:textId="77777777" w:rsidR="00CE75D4" w:rsidRPr="002029AF" w:rsidRDefault="00CE75D4" w:rsidP="008340C1">
            <w:pPr>
              <w:pStyle w:val="ARfintablebodyrightbold"/>
            </w:pPr>
          </w:p>
        </w:tc>
        <w:tc>
          <w:tcPr>
            <w:tcW w:w="1021" w:type="dxa"/>
            <w:tcBorders>
              <w:left w:val="nil"/>
              <w:right w:val="nil"/>
            </w:tcBorders>
            <w:noWrap/>
            <w:hideMark/>
          </w:tcPr>
          <w:p w14:paraId="0FF324AE" w14:textId="77777777" w:rsidR="00CE75D4" w:rsidRPr="002029AF" w:rsidRDefault="00CE75D4" w:rsidP="008340C1">
            <w:pPr>
              <w:pStyle w:val="ARfintablebodyrightbold"/>
            </w:pPr>
            <w:r>
              <w:t>–</w:t>
            </w:r>
          </w:p>
        </w:tc>
        <w:tc>
          <w:tcPr>
            <w:tcW w:w="1021" w:type="dxa"/>
            <w:tcBorders>
              <w:left w:val="nil"/>
              <w:right w:val="nil"/>
            </w:tcBorders>
            <w:noWrap/>
            <w:hideMark/>
          </w:tcPr>
          <w:p w14:paraId="7DD2EEC4" w14:textId="77777777" w:rsidR="00CE75D4" w:rsidRPr="002029AF" w:rsidRDefault="00CE75D4" w:rsidP="008340C1">
            <w:pPr>
              <w:pStyle w:val="ARfintablebodyrightbold"/>
            </w:pPr>
            <w:r w:rsidRPr="000C0C21">
              <w:t>5.0</w:t>
            </w:r>
          </w:p>
        </w:tc>
        <w:tc>
          <w:tcPr>
            <w:tcW w:w="1021" w:type="dxa"/>
            <w:tcBorders>
              <w:left w:val="nil"/>
              <w:right w:val="nil"/>
            </w:tcBorders>
            <w:noWrap/>
            <w:hideMark/>
          </w:tcPr>
          <w:p w14:paraId="201EC0F4" w14:textId="77777777" w:rsidR="00CE75D4" w:rsidRPr="002029AF" w:rsidRDefault="00CE75D4" w:rsidP="008340C1">
            <w:pPr>
              <w:pStyle w:val="ARfintablebodyrightbold"/>
            </w:pPr>
            <w:r w:rsidRPr="000C0C21">
              <w:t>6.3</w:t>
            </w:r>
          </w:p>
        </w:tc>
        <w:tc>
          <w:tcPr>
            <w:tcW w:w="1021" w:type="dxa"/>
            <w:tcBorders>
              <w:left w:val="nil"/>
              <w:right w:val="nil"/>
            </w:tcBorders>
            <w:noWrap/>
            <w:hideMark/>
          </w:tcPr>
          <w:p w14:paraId="56DD0BC2" w14:textId="77777777" w:rsidR="00CE75D4" w:rsidRPr="002029AF" w:rsidRDefault="00CE75D4" w:rsidP="008340C1">
            <w:pPr>
              <w:pStyle w:val="ARfintablebodyrightbold"/>
            </w:pPr>
            <w:r w:rsidRPr="000C0C21">
              <w:t>7.3</w:t>
            </w:r>
          </w:p>
        </w:tc>
        <w:tc>
          <w:tcPr>
            <w:tcW w:w="1021" w:type="dxa"/>
            <w:tcBorders>
              <w:left w:val="nil"/>
              <w:right w:val="nil"/>
            </w:tcBorders>
            <w:noWrap/>
            <w:hideMark/>
          </w:tcPr>
          <w:p w14:paraId="7918F760" w14:textId="77777777" w:rsidR="00CE75D4" w:rsidRPr="002029AF" w:rsidRDefault="00CE75D4" w:rsidP="008340C1">
            <w:pPr>
              <w:pStyle w:val="ARfintablebodyrightbold"/>
            </w:pPr>
            <w:r w:rsidRPr="000C0C21">
              <w:t>9.1</w:t>
            </w:r>
          </w:p>
        </w:tc>
        <w:tc>
          <w:tcPr>
            <w:tcW w:w="1021" w:type="dxa"/>
            <w:tcBorders>
              <w:left w:val="nil"/>
            </w:tcBorders>
            <w:noWrap/>
            <w:hideMark/>
          </w:tcPr>
          <w:p w14:paraId="4DD71F47" w14:textId="77777777" w:rsidR="00CE75D4" w:rsidRPr="002029AF" w:rsidRDefault="00CE75D4" w:rsidP="008340C1">
            <w:pPr>
              <w:pStyle w:val="ARfintablebodyrightbold"/>
            </w:pPr>
            <w:r w:rsidRPr="000C0C21">
              <w:t>27.7</w:t>
            </w:r>
          </w:p>
        </w:tc>
      </w:tr>
    </w:tbl>
    <w:p w14:paraId="7E456CB2" w14:textId="77777777" w:rsidR="00CE75D4" w:rsidRDefault="00CE75D4" w:rsidP="008340C1">
      <w:pPr>
        <w:pStyle w:val="ARfintablefootnote"/>
        <w:rPr>
          <w:sz w:val="22"/>
          <w:szCs w:val="22"/>
        </w:rPr>
      </w:pPr>
      <w:r>
        <w:rPr>
          <w:lang w:eastAsia="en-AU"/>
        </w:rPr>
        <w:t>Note:</w:t>
      </w:r>
    </w:p>
    <w:p w14:paraId="4867DF20" w14:textId="77777777" w:rsidR="00CE75D4" w:rsidRDefault="00CE75D4" w:rsidP="008340C1">
      <w:pPr>
        <w:pStyle w:val="ARfintablefootnoteindent"/>
      </w:pPr>
      <w:r>
        <w:t>(i)</w:t>
      </w:r>
      <w:r>
        <w:tab/>
        <w:t>The amounts disclosed here include repayments of borrowings that are not scheduled to be repaid in the next 12 months.</w:t>
      </w:r>
    </w:p>
    <w:p w14:paraId="53E7AF35" w14:textId="77777777" w:rsidR="00CE75D4" w:rsidRDefault="00CE75D4" w:rsidP="008340C1">
      <w:pPr>
        <w:pStyle w:val="ARfinbodyaftertable"/>
      </w:pPr>
      <w:r>
        <w:t>The average credit period for receivables is 30 days.</w:t>
      </w:r>
    </w:p>
    <w:p w14:paraId="7A396342" w14:textId="77777777" w:rsidR="00CE75D4" w:rsidRDefault="00CE75D4" w:rsidP="008340C1">
      <w:pPr>
        <w:pStyle w:val="ARfinbodylargespace"/>
      </w:pPr>
      <w:r>
        <w:t>Reconciliation of movement in the loss allowance for contractual receivables is shown as follows:</w:t>
      </w:r>
    </w:p>
    <w:tbl>
      <w:tblPr>
        <w:tblStyle w:val="TableGrid"/>
        <w:tblW w:w="9637" w:type="dxa"/>
        <w:tblLayout w:type="fixed"/>
        <w:tblLook w:val="06A0" w:firstRow="1" w:lastRow="0" w:firstColumn="1" w:lastColumn="0" w:noHBand="1" w:noVBand="1"/>
      </w:tblPr>
      <w:tblGrid>
        <w:gridCol w:w="7595"/>
        <w:gridCol w:w="1021"/>
        <w:gridCol w:w="1021"/>
      </w:tblGrid>
      <w:tr w:rsidR="00CE75D4" w:rsidRPr="002029AF" w14:paraId="6D915A9D"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7595" w:type="dxa"/>
            <w:tcBorders>
              <w:bottom w:val="single" w:sz="4" w:space="0" w:color="auto"/>
            </w:tcBorders>
            <w:noWrap/>
            <w:hideMark/>
          </w:tcPr>
          <w:p w14:paraId="06A1E779" w14:textId="77777777" w:rsidR="00CE75D4" w:rsidRPr="002029AF" w:rsidRDefault="00CE75D4" w:rsidP="00860E95">
            <w:pPr>
              <w:pStyle w:val="ARfintablecolhead"/>
            </w:pPr>
          </w:p>
        </w:tc>
        <w:tc>
          <w:tcPr>
            <w:tcW w:w="1021" w:type="dxa"/>
            <w:tcBorders>
              <w:bottom w:val="single" w:sz="4" w:space="0" w:color="auto"/>
            </w:tcBorders>
            <w:shd w:val="clear" w:color="auto" w:fill="E7E6E6"/>
            <w:hideMark/>
          </w:tcPr>
          <w:p w14:paraId="0C39B040" w14:textId="77777777" w:rsidR="00CE75D4" w:rsidRPr="002029AF" w:rsidRDefault="00CE75D4" w:rsidP="00860E95">
            <w:pPr>
              <w:pStyle w:val="ARfintablecolheadright"/>
            </w:pPr>
            <w:r>
              <w:t>2022</w:t>
            </w:r>
          </w:p>
          <w:p w14:paraId="1C2B4FEF" w14:textId="77777777" w:rsidR="00CE75D4" w:rsidRPr="002029AF" w:rsidRDefault="00CE75D4" w:rsidP="00860E95">
            <w:pPr>
              <w:pStyle w:val="ARfintablecolheadright"/>
            </w:pPr>
            <w:r w:rsidRPr="002029AF">
              <w:t>$M</w:t>
            </w:r>
          </w:p>
        </w:tc>
        <w:tc>
          <w:tcPr>
            <w:tcW w:w="1021" w:type="dxa"/>
            <w:tcBorders>
              <w:bottom w:val="single" w:sz="4" w:space="0" w:color="auto"/>
            </w:tcBorders>
            <w:hideMark/>
          </w:tcPr>
          <w:p w14:paraId="44A63EA5" w14:textId="77777777" w:rsidR="00CE75D4" w:rsidRPr="002029AF" w:rsidRDefault="00CE75D4" w:rsidP="00860E95">
            <w:pPr>
              <w:pStyle w:val="ARfintablecolheadright"/>
            </w:pPr>
            <w:r>
              <w:t>2021</w:t>
            </w:r>
          </w:p>
          <w:p w14:paraId="38BE09F9" w14:textId="77777777" w:rsidR="00CE75D4" w:rsidRPr="002029AF" w:rsidRDefault="00CE75D4" w:rsidP="00860E95">
            <w:pPr>
              <w:pStyle w:val="ARfintablecolheadright"/>
            </w:pPr>
            <w:r w:rsidRPr="002029AF">
              <w:t>$M</w:t>
            </w:r>
          </w:p>
        </w:tc>
      </w:tr>
      <w:tr w:rsidR="00CE75D4" w:rsidRPr="002029AF" w14:paraId="21F26DC6" w14:textId="77777777" w:rsidTr="008340C1">
        <w:tc>
          <w:tcPr>
            <w:tcW w:w="7595" w:type="dxa"/>
            <w:tcBorders>
              <w:top w:val="single" w:sz="4" w:space="0" w:color="auto"/>
              <w:bottom w:val="single" w:sz="4" w:space="0" w:color="A6A6A6"/>
            </w:tcBorders>
            <w:hideMark/>
          </w:tcPr>
          <w:p w14:paraId="7C4E2BF9" w14:textId="77777777" w:rsidR="00CE75D4" w:rsidRPr="002029AF" w:rsidRDefault="00CE75D4" w:rsidP="008340C1">
            <w:pPr>
              <w:pStyle w:val="ARfintablebodybold"/>
            </w:pPr>
            <w:r w:rsidRPr="00C7553E">
              <w:t>Balance at beginning of the year</w:t>
            </w:r>
          </w:p>
        </w:tc>
        <w:tc>
          <w:tcPr>
            <w:tcW w:w="1021" w:type="dxa"/>
            <w:tcBorders>
              <w:top w:val="single" w:sz="4" w:space="0" w:color="auto"/>
              <w:bottom w:val="single" w:sz="4" w:space="0" w:color="A6A6A6"/>
            </w:tcBorders>
            <w:shd w:val="clear" w:color="auto" w:fill="E7E6E6"/>
            <w:noWrap/>
            <w:hideMark/>
          </w:tcPr>
          <w:p w14:paraId="5DF9E1B9" w14:textId="77777777" w:rsidR="00CE75D4" w:rsidRPr="002029AF" w:rsidRDefault="00CE75D4" w:rsidP="008340C1">
            <w:pPr>
              <w:pStyle w:val="ARfintablebodyrightbold"/>
            </w:pPr>
            <w:r w:rsidRPr="00C7553E">
              <w:t>(27.7)</w:t>
            </w:r>
          </w:p>
        </w:tc>
        <w:tc>
          <w:tcPr>
            <w:tcW w:w="1021" w:type="dxa"/>
            <w:tcBorders>
              <w:top w:val="single" w:sz="4" w:space="0" w:color="auto"/>
              <w:bottom w:val="single" w:sz="4" w:space="0" w:color="A6A6A6"/>
            </w:tcBorders>
            <w:noWrap/>
            <w:hideMark/>
          </w:tcPr>
          <w:p w14:paraId="56555032" w14:textId="77777777" w:rsidR="00CE75D4" w:rsidRPr="002029AF" w:rsidRDefault="00CE75D4" w:rsidP="008340C1">
            <w:pPr>
              <w:pStyle w:val="ARfintablebodyrightbold"/>
            </w:pPr>
            <w:r w:rsidRPr="00C7553E">
              <w:t>(10.8)</w:t>
            </w:r>
          </w:p>
        </w:tc>
      </w:tr>
      <w:tr w:rsidR="00CE75D4" w:rsidRPr="002029AF" w14:paraId="761465ED" w14:textId="77777777" w:rsidTr="008340C1">
        <w:tc>
          <w:tcPr>
            <w:tcW w:w="7595" w:type="dxa"/>
            <w:tcBorders>
              <w:top w:val="single" w:sz="4" w:space="0" w:color="A6A6A6"/>
              <w:bottom w:val="single" w:sz="4" w:space="0" w:color="A6A6A6"/>
            </w:tcBorders>
            <w:hideMark/>
          </w:tcPr>
          <w:p w14:paraId="6C6A1613" w14:textId="77777777" w:rsidR="00CE75D4" w:rsidRPr="002029AF" w:rsidRDefault="00CE75D4" w:rsidP="008340C1">
            <w:pPr>
              <w:pStyle w:val="ARfintablebody"/>
            </w:pPr>
            <w:r w:rsidRPr="00C7553E">
              <w:t>Increase in provision recognised in the net result</w:t>
            </w:r>
          </w:p>
        </w:tc>
        <w:tc>
          <w:tcPr>
            <w:tcW w:w="1021" w:type="dxa"/>
            <w:tcBorders>
              <w:top w:val="single" w:sz="4" w:space="0" w:color="A6A6A6"/>
              <w:bottom w:val="single" w:sz="4" w:space="0" w:color="A6A6A6"/>
            </w:tcBorders>
            <w:shd w:val="clear" w:color="auto" w:fill="E7E6E6"/>
            <w:noWrap/>
            <w:hideMark/>
          </w:tcPr>
          <w:p w14:paraId="3CDDCC3E" w14:textId="77777777" w:rsidR="00CE75D4" w:rsidRPr="002029AF" w:rsidRDefault="00CE75D4" w:rsidP="008340C1">
            <w:pPr>
              <w:pStyle w:val="ARfintablebodyright"/>
            </w:pPr>
            <w:r w:rsidRPr="00C7553E">
              <w:t>7.6</w:t>
            </w:r>
          </w:p>
        </w:tc>
        <w:tc>
          <w:tcPr>
            <w:tcW w:w="1021" w:type="dxa"/>
            <w:tcBorders>
              <w:top w:val="single" w:sz="4" w:space="0" w:color="A6A6A6"/>
              <w:bottom w:val="single" w:sz="4" w:space="0" w:color="A6A6A6"/>
            </w:tcBorders>
            <w:noWrap/>
            <w:hideMark/>
          </w:tcPr>
          <w:p w14:paraId="23F12B3C" w14:textId="77777777" w:rsidR="00CE75D4" w:rsidRPr="002029AF" w:rsidRDefault="00CE75D4" w:rsidP="008340C1">
            <w:pPr>
              <w:pStyle w:val="ARfintablebodyright"/>
            </w:pPr>
            <w:r w:rsidRPr="00C7553E">
              <w:t>(20.3)</w:t>
            </w:r>
          </w:p>
        </w:tc>
      </w:tr>
      <w:tr w:rsidR="00CE75D4" w:rsidRPr="002029AF" w14:paraId="58CF8D60" w14:textId="77777777" w:rsidTr="00130D1C">
        <w:tc>
          <w:tcPr>
            <w:tcW w:w="7595" w:type="dxa"/>
            <w:tcBorders>
              <w:top w:val="single" w:sz="4" w:space="0" w:color="A6A6A6"/>
            </w:tcBorders>
            <w:hideMark/>
          </w:tcPr>
          <w:p w14:paraId="079719BB" w14:textId="77777777" w:rsidR="00CE75D4" w:rsidRPr="002029AF" w:rsidRDefault="00CE75D4" w:rsidP="008340C1">
            <w:pPr>
              <w:pStyle w:val="ARfintablebody"/>
            </w:pPr>
            <w:r w:rsidRPr="00C7553E">
              <w:t>Reversal of provision of receivables written off during the year as uncollectible</w:t>
            </w:r>
          </w:p>
        </w:tc>
        <w:tc>
          <w:tcPr>
            <w:tcW w:w="1021" w:type="dxa"/>
            <w:tcBorders>
              <w:top w:val="single" w:sz="4" w:space="0" w:color="A6A6A6"/>
            </w:tcBorders>
            <w:shd w:val="clear" w:color="auto" w:fill="E7E6E6"/>
            <w:noWrap/>
            <w:hideMark/>
          </w:tcPr>
          <w:p w14:paraId="4AC2CC50" w14:textId="77777777" w:rsidR="00CE75D4" w:rsidRPr="002029AF" w:rsidRDefault="00CE75D4" w:rsidP="008340C1">
            <w:pPr>
              <w:pStyle w:val="ARfintablebodyright"/>
            </w:pPr>
            <w:r>
              <w:t>–</w:t>
            </w:r>
          </w:p>
        </w:tc>
        <w:tc>
          <w:tcPr>
            <w:tcW w:w="1021" w:type="dxa"/>
            <w:tcBorders>
              <w:top w:val="single" w:sz="4" w:space="0" w:color="A6A6A6"/>
            </w:tcBorders>
            <w:noWrap/>
            <w:hideMark/>
          </w:tcPr>
          <w:p w14:paraId="2E24E770" w14:textId="77777777" w:rsidR="00CE75D4" w:rsidRPr="002029AF" w:rsidRDefault="00CE75D4" w:rsidP="008340C1">
            <w:pPr>
              <w:pStyle w:val="ARfintablebodyright"/>
            </w:pPr>
            <w:r w:rsidRPr="00C7553E">
              <w:t>3.4</w:t>
            </w:r>
          </w:p>
        </w:tc>
      </w:tr>
      <w:tr w:rsidR="00CE75D4" w:rsidRPr="002029AF" w14:paraId="32D67C2D" w14:textId="77777777" w:rsidTr="00130D1C">
        <w:tc>
          <w:tcPr>
            <w:tcW w:w="7595" w:type="dxa"/>
            <w:hideMark/>
          </w:tcPr>
          <w:p w14:paraId="2D6F85FA" w14:textId="77777777" w:rsidR="00CE75D4" w:rsidRPr="002029AF" w:rsidRDefault="00CE75D4" w:rsidP="008340C1">
            <w:pPr>
              <w:pStyle w:val="ARfintablebodybold"/>
            </w:pPr>
            <w:r w:rsidRPr="00C7553E">
              <w:t>Balance at the end of the year</w:t>
            </w:r>
          </w:p>
        </w:tc>
        <w:tc>
          <w:tcPr>
            <w:tcW w:w="1021" w:type="dxa"/>
            <w:shd w:val="clear" w:color="auto" w:fill="E7E6E6"/>
            <w:noWrap/>
            <w:hideMark/>
          </w:tcPr>
          <w:p w14:paraId="2A738317" w14:textId="77777777" w:rsidR="00CE75D4" w:rsidRPr="002029AF" w:rsidRDefault="00CE75D4" w:rsidP="008340C1">
            <w:pPr>
              <w:pStyle w:val="ARfintablebodyrightbold"/>
            </w:pPr>
            <w:r w:rsidRPr="00C7553E">
              <w:t>(20.1)</w:t>
            </w:r>
          </w:p>
        </w:tc>
        <w:tc>
          <w:tcPr>
            <w:tcW w:w="1021" w:type="dxa"/>
            <w:noWrap/>
            <w:hideMark/>
          </w:tcPr>
          <w:p w14:paraId="2C78D6D5" w14:textId="77777777" w:rsidR="00CE75D4" w:rsidRPr="002029AF" w:rsidRDefault="00CE75D4" w:rsidP="008340C1">
            <w:pPr>
              <w:pStyle w:val="ARfintablebodyrightbold"/>
            </w:pPr>
            <w:r w:rsidRPr="00C7553E">
              <w:t>(27.7)</w:t>
            </w:r>
          </w:p>
        </w:tc>
      </w:tr>
    </w:tbl>
    <w:p w14:paraId="6966992C" w14:textId="77777777" w:rsidR="00CE75D4" w:rsidRDefault="00CE75D4" w:rsidP="008340C1">
      <w:pPr>
        <w:pStyle w:val="ARfinbodyaftertable"/>
      </w:pPr>
      <w: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200F0A1F" w14:textId="77777777" w:rsidR="00CE75D4" w:rsidRDefault="00CE75D4" w:rsidP="008340C1">
      <w:pPr>
        <w:pStyle w:val="Heading7"/>
      </w:pPr>
      <w:r>
        <w:t>Statutory receivables at amortised cost</w:t>
      </w:r>
    </w:p>
    <w:p w14:paraId="7C0418A1" w14:textId="77777777" w:rsidR="00CE75D4" w:rsidRDefault="00CE75D4" w:rsidP="008340C1">
      <w:pPr>
        <w:pStyle w:val="ARfinbody"/>
      </w:pPr>
      <w:r>
        <w:t>The department’s non-contractual receivables arising from statutory requirements are not financial instruments. However, they are nevertheless recognised and measured in accordance with AASB 9 requirements as if those receivables are financial instruments.</w:t>
      </w:r>
    </w:p>
    <w:p w14:paraId="4431E2BB" w14:textId="77777777" w:rsidR="00CE75D4" w:rsidRDefault="00CE75D4" w:rsidP="008340C1">
      <w:pPr>
        <w:pStyle w:val="ARfinbody"/>
      </w:pPr>
      <w:r>
        <w:t>Both statutory receivables and investments in debt instruments are considered to have low credit risk, taking into account the counter party’s credit rating, risk of default and capacity to meet contractual cash flow obligations in the near term. As a result, the loss allowance recognised for these financial assets during the period was limited to 12 months expected losses. No loss allowance has been recognised.</w:t>
      </w:r>
    </w:p>
    <w:p w14:paraId="48D3FEB8" w14:textId="77777777" w:rsidR="00CE75D4" w:rsidRDefault="00CE75D4" w:rsidP="008340C1">
      <w:pPr>
        <w:pStyle w:val="Heading6"/>
      </w:pPr>
      <w:r>
        <w:rPr>
          <w:lang w:eastAsia="en-AU"/>
        </w:rPr>
        <w:t>8.1.3.2 Financial instruments: liquidity risk</w:t>
      </w:r>
    </w:p>
    <w:p w14:paraId="07DFAA12" w14:textId="77777777" w:rsidR="00CE75D4" w:rsidRDefault="00CE75D4" w:rsidP="008340C1">
      <w:pPr>
        <w:pStyle w:val="ARfinbody"/>
      </w:pPr>
      <w:r>
        <w:t>Liquidity risk arises from being unable to meet financial obligations as they fall due. The department operates under the government’s fair payments policy of settling financial obligations within 30 days and, in the event of a dispute, of making payments within 30 days from the date of resolution.</w:t>
      </w:r>
    </w:p>
    <w:p w14:paraId="2A8C241F" w14:textId="77777777" w:rsidR="00CE75D4" w:rsidRDefault="00CE75D4" w:rsidP="008340C1">
      <w:pPr>
        <w:pStyle w:val="ARfinbody"/>
      </w:pPr>
      <w:r>
        <w:t>The department is exposed to liquidity risk mainly through the financial liabilities as disclosed in the face of the balance sheet and the amounts related to financial guarantees. The department manages its liquidity risk by:</w:t>
      </w:r>
    </w:p>
    <w:p w14:paraId="5D5279D9" w14:textId="77777777" w:rsidR="00CE75D4" w:rsidRDefault="00CE75D4" w:rsidP="00817CFB">
      <w:pPr>
        <w:pStyle w:val="ARfinbullet1"/>
        <w:numPr>
          <w:ilvl w:val="0"/>
          <w:numId w:val="30"/>
        </w:numPr>
        <w:textAlignment w:val="auto"/>
      </w:pPr>
      <w:r>
        <w:t>close monitoring of its short-term and long-term borrowings by senior management, including monthly reviews on current and future borrowing levels and requirements</w:t>
      </w:r>
    </w:p>
    <w:p w14:paraId="401969B3" w14:textId="77777777" w:rsidR="00CE75D4" w:rsidRDefault="00CE75D4" w:rsidP="00817CFB">
      <w:pPr>
        <w:pStyle w:val="ARfinbullet1"/>
        <w:numPr>
          <w:ilvl w:val="0"/>
          <w:numId w:val="30"/>
        </w:numPr>
        <w:textAlignment w:val="auto"/>
      </w:pPr>
      <w:r>
        <w:t>maintaining an adequate level of uncommitted funds that can be drawn at short notice to meet its short-term obligations</w:t>
      </w:r>
    </w:p>
    <w:p w14:paraId="29F8D923" w14:textId="77777777" w:rsidR="00CE75D4" w:rsidRDefault="00CE75D4" w:rsidP="00817CFB">
      <w:pPr>
        <w:pStyle w:val="ARfinbullet1"/>
        <w:numPr>
          <w:ilvl w:val="0"/>
          <w:numId w:val="30"/>
        </w:numPr>
        <w:textAlignment w:val="auto"/>
      </w:pPr>
      <w:r>
        <w:t>holding investments and other contractual financial assets that are readily tradeable in the financial markets</w:t>
      </w:r>
    </w:p>
    <w:p w14:paraId="4AAED6C6" w14:textId="77777777" w:rsidR="00CE75D4" w:rsidRDefault="00CE75D4" w:rsidP="00817CFB">
      <w:pPr>
        <w:pStyle w:val="ARfinbullet1"/>
        <w:numPr>
          <w:ilvl w:val="0"/>
          <w:numId w:val="30"/>
        </w:numPr>
        <w:textAlignment w:val="auto"/>
      </w:pPr>
      <w:r>
        <w:t>careful maturity planning of its financial obligations based on forecasts of future cash flows</w:t>
      </w:r>
    </w:p>
    <w:p w14:paraId="30725993" w14:textId="30761CEC" w:rsidR="00CE75D4" w:rsidRDefault="00CE75D4" w:rsidP="00817CFB">
      <w:pPr>
        <w:pStyle w:val="ARfinbullet1"/>
        <w:numPr>
          <w:ilvl w:val="0"/>
          <w:numId w:val="30"/>
        </w:numPr>
        <w:textAlignment w:val="auto"/>
      </w:pPr>
      <w:r>
        <w:t>a high credit rating for the State of Victoria (Moody’s Investor Services, Standard &amp; Poor’s double-A, which assists in accessing debt market at a lower interest rate).</w:t>
      </w:r>
    </w:p>
    <w:p w14:paraId="2DE3289B" w14:textId="77777777" w:rsidR="00CE75D4" w:rsidRDefault="00CE75D4" w:rsidP="008340C1">
      <w:pPr>
        <w:pStyle w:val="ARfinbody"/>
      </w:pPr>
      <w:r>
        <w:t>The department’s exposure to liquidity risk is deemed insignificant based on prior periods’ data and current assessment of risk.</w:t>
      </w:r>
    </w:p>
    <w:p w14:paraId="7E9991BB" w14:textId="77777777" w:rsidR="00CE75D4" w:rsidRDefault="00CE75D4" w:rsidP="008340C1">
      <w:pPr>
        <w:pStyle w:val="ARfinbody"/>
      </w:pPr>
      <w:r>
        <w:t>The carrying amount detailed in Notes 6.4.1 and 7.1.1, of contractual financial liabilities recorded in the financial statements, represents the department’s maximum exposure to liquidity risk.</w:t>
      </w:r>
    </w:p>
    <w:p w14:paraId="6478A173" w14:textId="77777777" w:rsidR="00CE75D4" w:rsidRDefault="00CE75D4" w:rsidP="008340C1">
      <w:pPr>
        <w:pStyle w:val="Heading6"/>
      </w:pPr>
      <w:r>
        <w:rPr>
          <w:lang w:eastAsia="en-AU"/>
        </w:rPr>
        <w:t>8.1.3.3 Financial instruments: market risk</w:t>
      </w:r>
    </w:p>
    <w:p w14:paraId="02D6B5FD" w14:textId="77777777" w:rsidR="00CE75D4" w:rsidRDefault="00CE75D4" w:rsidP="008340C1">
      <w:pPr>
        <w:pStyle w:val="ARfinbody"/>
      </w:pPr>
      <w:r>
        <w:t>The department’s exposure to market risk is primarily through interest rate risk. The department’s exposure to other price risks is insignificant. Objectives, policies and processes used to manage the risk are disclosed below.</w:t>
      </w:r>
    </w:p>
    <w:p w14:paraId="02104C08" w14:textId="77777777" w:rsidR="00CE75D4" w:rsidRDefault="00CE75D4" w:rsidP="008340C1">
      <w:pPr>
        <w:pStyle w:val="Heading7"/>
      </w:pPr>
      <w:r>
        <w:t>Sensitivity disclosure analysis and assumptions</w:t>
      </w:r>
    </w:p>
    <w:p w14:paraId="46418D53" w14:textId="77777777" w:rsidR="00CE75D4" w:rsidRDefault="00CE75D4" w:rsidP="008340C1">
      <w:pPr>
        <w:pStyle w:val="ARfinbody"/>
      </w:pPr>
      <w:r>
        <w:t>Taking into account past performance, future expectations, economic forecasts, and management’s knowledge and experience of the financial markets, the department believes the following movements are ‘reasonably possible’ over the next 12 months:</w:t>
      </w:r>
    </w:p>
    <w:p w14:paraId="5BD77F64" w14:textId="77777777" w:rsidR="00CE75D4" w:rsidRDefault="00CE75D4" w:rsidP="00817CFB">
      <w:pPr>
        <w:pStyle w:val="ARfinbullet1"/>
        <w:numPr>
          <w:ilvl w:val="0"/>
          <w:numId w:val="30"/>
        </w:numPr>
        <w:textAlignment w:val="auto"/>
      </w:pPr>
      <w:r>
        <w:t>A shift of +1% and –1% (2021: +0.5% and –0.5%) in market interest rates (AUD) from year-end cash deposits.</w:t>
      </w:r>
    </w:p>
    <w:p w14:paraId="753EF425" w14:textId="62DEFF6E" w:rsidR="00CE75D4" w:rsidRDefault="00CE75D4" w:rsidP="008340C1">
      <w:pPr>
        <w:pStyle w:val="ARfinbody"/>
      </w:pPr>
      <w:r>
        <w:t xml:space="preserve">The loan programs in 2021 included the Director of Housing-related loans with interest rates linked to movement in the consumer price index (CPI). The Director of Housing was transferred to </w:t>
      </w:r>
      <w:r w:rsidR="00321FE3">
        <w:t xml:space="preserve">the </w:t>
      </w:r>
      <w:r>
        <w:t xml:space="preserve">DFFH in 2020–21 as part of the machinery of government changes. The loan balance in 2022 </w:t>
      </w:r>
      <w:r w:rsidR="00750F7D">
        <w:t xml:space="preserve">is </w:t>
      </w:r>
      <w:r>
        <w:t>loans and advances provided to the health services. These loans are not subject to CPI, therefore, CPI sensitivity analysis is not required.</w:t>
      </w:r>
    </w:p>
    <w:p w14:paraId="0B2920F6" w14:textId="77777777" w:rsidR="00CE75D4" w:rsidRDefault="00CE75D4" w:rsidP="008340C1">
      <w:pPr>
        <w:pStyle w:val="ARfinbody"/>
      </w:pPr>
      <w:r>
        <w:t>The tables that follow show the impact on the department’s net result and equity for each category of financial instrument held by the department at the end of the reporting period, if the above movements were to occur.</w:t>
      </w:r>
    </w:p>
    <w:p w14:paraId="43E23809" w14:textId="77777777" w:rsidR="00CE75D4" w:rsidRDefault="00CE75D4" w:rsidP="008340C1">
      <w:pPr>
        <w:pStyle w:val="Heading7"/>
      </w:pPr>
      <w:r>
        <w:t>Interest rate risk</w:t>
      </w:r>
    </w:p>
    <w:p w14:paraId="588C93B9" w14:textId="4A8AAD07" w:rsidR="00CE75D4" w:rsidRDefault="00CE75D4" w:rsidP="008340C1">
      <w:pPr>
        <w:pStyle w:val="ARfinbody"/>
      </w:pPr>
      <w:r>
        <w:t>Fair value interest rate risk is the risk that the fair value of a financial instrument will fluctuate because of changes in market interest rates. The department does not hold any interest-bearing financial instruments that are measured at fair value</w:t>
      </w:r>
      <w:r w:rsidDel="00BE6546">
        <w:t>,</w:t>
      </w:r>
      <w:r>
        <w:t xml:space="preserve"> and therefore has no exposure to fair value interest rate risk.</w:t>
      </w:r>
    </w:p>
    <w:p w14:paraId="240C13F9" w14:textId="77777777" w:rsidR="00CE75D4" w:rsidRDefault="00CE75D4" w:rsidP="008340C1">
      <w:pPr>
        <w:pStyle w:val="ARfinbody"/>
      </w:pPr>
      <w:r>
        <w:t>Cash flow interest rate risk is the risk that the future cash flows of a financial instrument will fluctuate because of changes in market interest rates. The department has minimal exposure to cash flow interest rate risks through cash and deposits and term deposits.</w:t>
      </w:r>
    </w:p>
    <w:p w14:paraId="7E670348" w14:textId="77777777" w:rsidR="00CE75D4" w:rsidRDefault="00CE75D4" w:rsidP="008340C1">
      <w:pPr>
        <w:pStyle w:val="ARfinbody"/>
      </w:pPr>
      <w:r>
        <w:t>Exposure to interest rate risk is insignificant and might arise primarily through the department’s interest-bearing assets. Minimisation of risk is achieved by mainly undertaking fixed rate or non-interest-bearing financial instruments. For financial liabilities, the department mainly incurs financial liabilities with relatively even maturity profiles.</w:t>
      </w:r>
    </w:p>
    <w:p w14:paraId="50F5DA77" w14:textId="77777777" w:rsidR="00CE75D4" w:rsidRDefault="00CE75D4" w:rsidP="008340C1">
      <w:pPr>
        <w:pStyle w:val="ARfinbody"/>
      </w:pPr>
      <w:r>
        <w:t>The carrying amounts of financial assets and financial liabilities that are exposed to interest rates and the department’s sensitivity to interest rate risk are set out in the table that follows.</w:t>
      </w:r>
    </w:p>
    <w:p w14:paraId="02CAE412" w14:textId="77777777" w:rsidR="00CE75D4" w:rsidRPr="0040433B" w:rsidRDefault="00CE75D4" w:rsidP="008340C1">
      <w:pPr>
        <w:pStyle w:val="ARfinbody"/>
        <w:rPr>
          <w:rFonts w:eastAsiaTheme="majorEastAsia" w:cstheme="majorBidi"/>
          <w:color w:val="53565A"/>
          <w:szCs w:val="21"/>
        </w:rPr>
      </w:pPr>
      <w:r w:rsidRPr="0040433B">
        <w:br w:type="page"/>
      </w:r>
    </w:p>
    <w:p w14:paraId="3C9C3C0A" w14:textId="77777777" w:rsidR="00CE75D4" w:rsidRDefault="00CE75D4" w:rsidP="008340C1">
      <w:pPr>
        <w:pStyle w:val="Heading7"/>
      </w:pPr>
      <w:r>
        <w:t>Interest rate exposure of financial instruments</w:t>
      </w:r>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CE75D4" w:rsidRPr="002029AF" w14:paraId="5A380ED3"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50B819A3" w14:textId="77777777" w:rsidR="00CE75D4" w:rsidRPr="002029AF" w:rsidRDefault="00CE75D4" w:rsidP="00860E95">
            <w:pPr>
              <w:pStyle w:val="ARfintablecolhead"/>
            </w:pPr>
          </w:p>
        </w:tc>
        <w:tc>
          <w:tcPr>
            <w:tcW w:w="1134" w:type="dxa"/>
            <w:vMerge w:val="restart"/>
            <w:hideMark/>
          </w:tcPr>
          <w:p w14:paraId="41BC5011" w14:textId="77777777" w:rsidR="00CE75D4" w:rsidRDefault="00CE75D4" w:rsidP="00860E95">
            <w:pPr>
              <w:pStyle w:val="ARfintablecolheadright"/>
            </w:pPr>
            <w:r w:rsidRPr="002029AF">
              <w:t>Weighted average effective interest rate</w:t>
            </w:r>
          </w:p>
          <w:p w14:paraId="70586B73" w14:textId="77777777" w:rsidR="00CE75D4" w:rsidRPr="002029AF" w:rsidRDefault="00CE75D4" w:rsidP="00860E95">
            <w:pPr>
              <w:pStyle w:val="ARfintablecolheadright"/>
            </w:pPr>
            <w:r w:rsidRPr="002029AF">
              <w:t>%</w:t>
            </w:r>
          </w:p>
        </w:tc>
        <w:tc>
          <w:tcPr>
            <w:tcW w:w="1134" w:type="dxa"/>
            <w:vMerge w:val="restart"/>
            <w:hideMark/>
          </w:tcPr>
          <w:p w14:paraId="0B1EFB5D" w14:textId="77777777" w:rsidR="00CE75D4" w:rsidRPr="002029AF" w:rsidRDefault="00CE75D4" w:rsidP="00860E95">
            <w:pPr>
              <w:pStyle w:val="ARfintablecolheadright"/>
            </w:pPr>
            <w:r w:rsidRPr="002029AF">
              <w:t>Carrying amount</w:t>
            </w:r>
          </w:p>
          <w:p w14:paraId="3E9DD782" w14:textId="77777777" w:rsidR="00CE75D4" w:rsidRPr="002029AF" w:rsidRDefault="00CE75D4" w:rsidP="00860E95">
            <w:pPr>
              <w:pStyle w:val="ARfintablecolheadright"/>
            </w:pPr>
            <w:r w:rsidRPr="002029AF">
              <w:t>$M</w:t>
            </w:r>
          </w:p>
        </w:tc>
        <w:tc>
          <w:tcPr>
            <w:tcW w:w="3402" w:type="dxa"/>
            <w:gridSpan w:val="3"/>
            <w:hideMark/>
          </w:tcPr>
          <w:p w14:paraId="48615CF5" w14:textId="77777777" w:rsidR="00CE75D4" w:rsidRPr="002029AF" w:rsidRDefault="00CE75D4" w:rsidP="00E64696">
            <w:pPr>
              <w:pStyle w:val="ARfintablecolheadright"/>
              <w:jc w:val="center"/>
            </w:pPr>
            <w:r w:rsidRPr="002029AF">
              <w:t>Interest rate exposure</w:t>
            </w:r>
          </w:p>
        </w:tc>
      </w:tr>
      <w:tr w:rsidR="00CE75D4" w:rsidRPr="002029AF" w14:paraId="1364BBD0"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339D9D1A" w14:textId="77777777" w:rsidR="00CE75D4" w:rsidRPr="002029AF" w:rsidRDefault="00CE75D4" w:rsidP="00860E95">
            <w:pPr>
              <w:pStyle w:val="ARfintablecolhead"/>
            </w:pPr>
          </w:p>
        </w:tc>
        <w:tc>
          <w:tcPr>
            <w:tcW w:w="1134" w:type="dxa"/>
            <w:vMerge/>
            <w:hideMark/>
          </w:tcPr>
          <w:p w14:paraId="40A0D03A" w14:textId="77777777" w:rsidR="00CE75D4" w:rsidRPr="002029AF" w:rsidRDefault="00CE75D4" w:rsidP="00860E95">
            <w:pPr>
              <w:pStyle w:val="ARfintablecolheadright"/>
            </w:pPr>
          </w:p>
        </w:tc>
        <w:tc>
          <w:tcPr>
            <w:tcW w:w="1134" w:type="dxa"/>
            <w:vMerge/>
            <w:hideMark/>
          </w:tcPr>
          <w:p w14:paraId="74611C7B" w14:textId="77777777" w:rsidR="00CE75D4" w:rsidRPr="002029AF" w:rsidRDefault="00CE75D4" w:rsidP="00860E95">
            <w:pPr>
              <w:pStyle w:val="ARfintablecolheadright"/>
            </w:pPr>
          </w:p>
        </w:tc>
        <w:tc>
          <w:tcPr>
            <w:tcW w:w="1134" w:type="dxa"/>
            <w:hideMark/>
          </w:tcPr>
          <w:p w14:paraId="4C8E8B9A" w14:textId="77777777" w:rsidR="00CE75D4" w:rsidRPr="002029AF" w:rsidRDefault="00CE75D4" w:rsidP="00860E95">
            <w:pPr>
              <w:pStyle w:val="ARfintablecolheadright"/>
            </w:pPr>
            <w:r w:rsidRPr="002029AF">
              <w:t>Fixed interest rate</w:t>
            </w:r>
          </w:p>
          <w:p w14:paraId="138E6299" w14:textId="77777777" w:rsidR="00CE75D4" w:rsidRPr="002029AF" w:rsidRDefault="00CE75D4" w:rsidP="00860E95">
            <w:pPr>
              <w:pStyle w:val="ARfintablecolheadright"/>
            </w:pPr>
            <w:r w:rsidRPr="002029AF">
              <w:t>$M</w:t>
            </w:r>
          </w:p>
        </w:tc>
        <w:tc>
          <w:tcPr>
            <w:tcW w:w="1134" w:type="dxa"/>
            <w:hideMark/>
          </w:tcPr>
          <w:p w14:paraId="58693E47" w14:textId="77777777" w:rsidR="00CE75D4" w:rsidRPr="002029AF" w:rsidRDefault="00CE75D4" w:rsidP="00860E95">
            <w:pPr>
              <w:pStyle w:val="ARfintablecolheadright"/>
            </w:pPr>
            <w:r w:rsidRPr="002029AF">
              <w:t>Variable interest rate</w:t>
            </w:r>
          </w:p>
          <w:p w14:paraId="58871A8F" w14:textId="77777777" w:rsidR="00CE75D4" w:rsidRPr="002029AF" w:rsidRDefault="00CE75D4" w:rsidP="00860E95">
            <w:pPr>
              <w:pStyle w:val="ARfintablecolheadright"/>
            </w:pPr>
            <w:r w:rsidRPr="002029AF">
              <w:t>$M</w:t>
            </w:r>
          </w:p>
        </w:tc>
        <w:tc>
          <w:tcPr>
            <w:tcW w:w="1134" w:type="dxa"/>
            <w:hideMark/>
          </w:tcPr>
          <w:p w14:paraId="5212C7F3" w14:textId="77777777" w:rsidR="00CE75D4" w:rsidRPr="002029AF" w:rsidRDefault="00CE75D4" w:rsidP="00860E95">
            <w:pPr>
              <w:pStyle w:val="ARfintablecolheadright"/>
            </w:pPr>
            <w:r w:rsidRPr="002029AF">
              <w:t>Non-interest bearing</w:t>
            </w:r>
          </w:p>
          <w:p w14:paraId="358D939D" w14:textId="77777777" w:rsidR="00CE75D4" w:rsidRPr="002029AF" w:rsidRDefault="00CE75D4" w:rsidP="00860E95">
            <w:pPr>
              <w:pStyle w:val="ARfintablecolheadright"/>
            </w:pPr>
            <w:r w:rsidRPr="002029AF">
              <w:t>$M</w:t>
            </w:r>
          </w:p>
        </w:tc>
      </w:tr>
      <w:tr w:rsidR="00CE75D4" w:rsidRPr="002029AF" w14:paraId="1D5D435B" w14:textId="77777777" w:rsidTr="00860E95">
        <w:tc>
          <w:tcPr>
            <w:tcW w:w="9639" w:type="dxa"/>
            <w:gridSpan w:val="6"/>
            <w:tcBorders>
              <w:bottom w:val="single" w:sz="4" w:space="0" w:color="auto"/>
            </w:tcBorders>
            <w:hideMark/>
          </w:tcPr>
          <w:p w14:paraId="1A85E2DF" w14:textId="77777777" w:rsidR="00CE75D4" w:rsidRPr="002029AF" w:rsidRDefault="00CE75D4" w:rsidP="00130D1C">
            <w:pPr>
              <w:pStyle w:val="ARfintablebodybold"/>
            </w:pPr>
            <w:r w:rsidRPr="003A544C">
              <w:t>202</w:t>
            </w:r>
            <w:r>
              <w:t>2</w:t>
            </w:r>
          </w:p>
        </w:tc>
      </w:tr>
      <w:tr w:rsidR="00CE75D4" w:rsidRPr="002029AF" w14:paraId="42DF2A2A" w14:textId="77777777" w:rsidTr="00860E95">
        <w:tc>
          <w:tcPr>
            <w:tcW w:w="9639" w:type="dxa"/>
            <w:gridSpan w:val="6"/>
            <w:tcBorders>
              <w:top w:val="single" w:sz="4" w:space="0" w:color="auto"/>
              <w:bottom w:val="single" w:sz="4" w:space="0" w:color="A6A6A6"/>
            </w:tcBorders>
            <w:hideMark/>
          </w:tcPr>
          <w:p w14:paraId="1DEDB255" w14:textId="77777777" w:rsidR="00CE75D4" w:rsidRPr="002029AF" w:rsidRDefault="00CE75D4" w:rsidP="008340C1">
            <w:pPr>
              <w:pStyle w:val="ARfintablebodybold"/>
            </w:pPr>
            <w:r w:rsidRPr="00516342">
              <w:t>Financial assets</w:t>
            </w:r>
          </w:p>
        </w:tc>
      </w:tr>
      <w:tr w:rsidR="00CE75D4" w:rsidRPr="002029AF" w14:paraId="4DCDD284" w14:textId="77777777" w:rsidTr="00860E95">
        <w:tc>
          <w:tcPr>
            <w:tcW w:w="3969" w:type="dxa"/>
            <w:tcBorders>
              <w:top w:val="single" w:sz="4" w:space="0" w:color="A6A6A6"/>
              <w:bottom w:val="single" w:sz="4" w:space="0" w:color="A6A6A6"/>
            </w:tcBorders>
            <w:hideMark/>
          </w:tcPr>
          <w:p w14:paraId="06616B72" w14:textId="77777777" w:rsidR="00CE75D4" w:rsidRPr="002029AF" w:rsidRDefault="00CE75D4" w:rsidP="008340C1">
            <w:pPr>
              <w:pStyle w:val="ARfintablebody"/>
            </w:pPr>
            <w:r w:rsidRPr="00516342">
              <w:t>Cash and deposits</w:t>
            </w:r>
          </w:p>
        </w:tc>
        <w:tc>
          <w:tcPr>
            <w:tcW w:w="1134" w:type="dxa"/>
            <w:tcBorders>
              <w:top w:val="single" w:sz="4" w:space="0" w:color="A6A6A6"/>
              <w:bottom w:val="single" w:sz="4" w:space="0" w:color="A6A6A6"/>
            </w:tcBorders>
            <w:noWrap/>
            <w:hideMark/>
          </w:tcPr>
          <w:p w14:paraId="6263B440" w14:textId="77777777" w:rsidR="00CE75D4" w:rsidRPr="002029AF" w:rsidRDefault="00CE75D4" w:rsidP="008340C1">
            <w:pPr>
              <w:pStyle w:val="ARfintablebodyright"/>
            </w:pPr>
            <w:r w:rsidRPr="00516342">
              <w:t>0.3%</w:t>
            </w:r>
          </w:p>
        </w:tc>
        <w:tc>
          <w:tcPr>
            <w:tcW w:w="1134" w:type="dxa"/>
            <w:tcBorders>
              <w:top w:val="single" w:sz="4" w:space="0" w:color="A6A6A6"/>
              <w:bottom w:val="single" w:sz="4" w:space="0" w:color="A6A6A6"/>
            </w:tcBorders>
            <w:noWrap/>
            <w:hideMark/>
          </w:tcPr>
          <w:p w14:paraId="2606F22A" w14:textId="77777777" w:rsidR="00CE75D4" w:rsidRPr="002029AF" w:rsidRDefault="00CE75D4" w:rsidP="008340C1">
            <w:pPr>
              <w:pStyle w:val="ARfintablebodyright"/>
            </w:pPr>
            <w:r w:rsidRPr="00516342">
              <w:t>106.3</w:t>
            </w:r>
          </w:p>
        </w:tc>
        <w:tc>
          <w:tcPr>
            <w:tcW w:w="1134" w:type="dxa"/>
            <w:tcBorders>
              <w:top w:val="single" w:sz="4" w:space="0" w:color="A6A6A6"/>
              <w:bottom w:val="single" w:sz="4" w:space="0" w:color="A6A6A6"/>
            </w:tcBorders>
            <w:noWrap/>
            <w:hideMark/>
          </w:tcPr>
          <w:p w14:paraId="7384F2D9"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4E655482" w14:textId="77777777" w:rsidR="00CE75D4" w:rsidRPr="002029AF" w:rsidRDefault="00CE75D4" w:rsidP="008340C1">
            <w:pPr>
              <w:pStyle w:val="ARfintablebodyright"/>
            </w:pPr>
            <w:r w:rsidRPr="00516342">
              <w:t>4.0</w:t>
            </w:r>
          </w:p>
        </w:tc>
        <w:tc>
          <w:tcPr>
            <w:tcW w:w="1134" w:type="dxa"/>
            <w:tcBorders>
              <w:top w:val="single" w:sz="4" w:space="0" w:color="A6A6A6"/>
              <w:bottom w:val="single" w:sz="4" w:space="0" w:color="A6A6A6"/>
            </w:tcBorders>
            <w:noWrap/>
            <w:hideMark/>
          </w:tcPr>
          <w:p w14:paraId="2067EBCD" w14:textId="77777777" w:rsidR="00CE75D4" w:rsidRPr="002029AF" w:rsidRDefault="00CE75D4" w:rsidP="008340C1">
            <w:pPr>
              <w:pStyle w:val="ARfintablebodyright"/>
            </w:pPr>
            <w:r w:rsidRPr="00516342">
              <w:t>102.3</w:t>
            </w:r>
          </w:p>
        </w:tc>
      </w:tr>
      <w:tr w:rsidR="00CE75D4" w:rsidRPr="002029AF" w14:paraId="3F220993" w14:textId="77777777" w:rsidTr="00860E95">
        <w:tc>
          <w:tcPr>
            <w:tcW w:w="3969" w:type="dxa"/>
            <w:tcBorders>
              <w:top w:val="single" w:sz="4" w:space="0" w:color="A6A6A6"/>
              <w:bottom w:val="single" w:sz="4" w:space="0" w:color="A6A6A6"/>
            </w:tcBorders>
            <w:hideMark/>
          </w:tcPr>
          <w:p w14:paraId="6C11F0E3" w14:textId="77777777" w:rsidR="00CE75D4" w:rsidRPr="002029AF" w:rsidRDefault="00CE75D4" w:rsidP="008340C1">
            <w:pPr>
              <w:pStyle w:val="ARfintablebody"/>
            </w:pPr>
            <w:r w:rsidRPr="00516342">
              <w:t xml:space="preserve">Receivables </w:t>
            </w:r>
            <w:r w:rsidRPr="0078487E">
              <w:rPr>
                <w:rStyle w:val="Superscript"/>
              </w:rPr>
              <w:t>(i)</w:t>
            </w:r>
          </w:p>
        </w:tc>
        <w:tc>
          <w:tcPr>
            <w:tcW w:w="1134" w:type="dxa"/>
            <w:tcBorders>
              <w:top w:val="single" w:sz="4" w:space="0" w:color="A6A6A6"/>
              <w:bottom w:val="single" w:sz="4" w:space="0" w:color="A6A6A6"/>
            </w:tcBorders>
            <w:noWrap/>
            <w:hideMark/>
          </w:tcPr>
          <w:p w14:paraId="075313A1" w14:textId="77777777" w:rsidR="00CE75D4" w:rsidRPr="002029AF" w:rsidRDefault="00CE75D4" w:rsidP="008340C1">
            <w:pPr>
              <w:pStyle w:val="ARfintablebodyright"/>
            </w:pPr>
          </w:p>
        </w:tc>
        <w:tc>
          <w:tcPr>
            <w:tcW w:w="1134" w:type="dxa"/>
            <w:tcBorders>
              <w:top w:val="single" w:sz="4" w:space="0" w:color="A6A6A6"/>
              <w:bottom w:val="single" w:sz="4" w:space="0" w:color="A6A6A6"/>
            </w:tcBorders>
            <w:noWrap/>
            <w:hideMark/>
          </w:tcPr>
          <w:p w14:paraId="1924AED4" w14:textId="77777777" w:rsidR="00CE75D4" w:rsidRPr="002029AF" w:rsidRDefault="00CE75D4" w:rsidP="008340C1">
            <w:pPr>
              <w:pStyle w:val="ARfintablebodyright"/>
            </w:pPr>
            <w:r w:rsidRPr="00516342">
              <w:t>1,127.3</w:t>
            </w:r>
          </w:p>
        </w:tc>
        <w:tc>
          <w:tcPr>
            <w:tcW w:w="1134" w:type="dxa"/>
            <w:tcBorders>
              <w:top w:val="single" w:sz="4" w:space="0" w:color="A6A6A6"/>
              <w:bottom w:val="single" w:sz="4" w:space="0" w:color="A6A6A6"/>
            </w:tcBorders>
            <w:noWrap/>
            <w:hideMark/>
          </w:tcPr>
          <w:p w14:paraId="2F53BC5B"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3A6DB185"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1D401994" w14:textId="77777777" w:rsidR="00CE75D4" w:rsidRPr="002029AF" w:rsidRDefault="00CE75D4" w:rsidP="008340C1">
            <w:pPr>
              <w:pStyle w:val="ARfintablebodyright"/>
            </w:pPr>
            <w:r w:rsidRPr="00516342">
              <w:t>1,127.3</w:t>
            </w:r>
          </w:p>
        </w:tc>
      </w:tr>
      <w:tr w:rsidR="00CE75D4" w:rsidRPr="002029AF" w14:paraId="3582C8A7" w14:textId="77777777" w:rsidTr="00860E95">
        <w:tc>
          <w:tcPr>
            <w:tcW w:w="3969" w:type="dxa"/>
            <w:tcBorders>
              <w:top w:val="single" w:sz="4" w:space="0" w:color="A6A6A6"/>
            </w:tcBorders>
            <w:hideMark/>
          </w:tcPr>
          <w:p w14:paraId="17D618D5" w14:textId="77777777" w:rsidR="00CE75D4" w:rsidRPr="002029AF" w:rsidRDefault="00CE75D4" w:rsidP="008340C1">
            <w:pPr>
              <w:pStyle w:val="ARfintablebody"/>
            </w:pPr>
            <w:r w:rsidRPr="00516342">
              <w:t>Loans</w:t>
            </w:r>
          </w:p>
        </w:tc>
        <w:tc>
          <w:tcPr>
            <w:tcW w:w="1134" w:type="dxa"/>
            <w:tcBorders>
              <w:top w:val="single" w:sz="4" w:space="0" w:color="A6A6A6"/>
            </w:tcBorders>
            <w:noWrap/>
            <w:hideMark/>
          </w:tcPr>
          <w:p w14:paraId="0B836159" w14:textId="77777777" w:rsidR="00CE75D4" w:rsidRPr="002029AF" w:rsidRDefault="00CE75D4" w:rsidP="008340C1">
            <w:pPr>
              <w:pStyle w:val="ARfintablebodyright"/>
            </w:pPr>
            <w:r w:rsidRPr="00516342">
              <w:t>0.0%</w:t>
            </w:r>
          </w:p>
        </w:tc>
        <w:tc>
          <w:tcPr>
            <w:tcW w:w="1134" w:type="dxa"/>
            <w:tcBorders>
              <w:top w:val="single" w:sz="4" w:space="0" w:color="A6A6A6"/>
            </w:tcBorders>
            <w:noWrap/>
            <w:hideMark/>
          </w:tcPr>
          <w:p w14:paraId="4A3A4F20" w14:textId="77777777" w:rsidR="00CE75D4" w:rsidRPr="002029AF" w:rsidRDefault="00CE75D4" w:rsidP="008340C1">
            <w:pPr>
              <w:pStyle w:val="ARfintablebodyright"/>
            </w:pPr>
            <w:r w:rsidRPr="00516342">
              <w:t>75.2</w:t>
            </w:r>
          </w:p>
        </w:tc>
        <w:tc>
          <w:tcPr>
            <w:tcW w:w="1134" w:type="dxa"/>
            <w:tcBorders>
              <w:top w:val="single" w:sz="4" w:space="0" w:color="A6A6A6"/>
            </w:tcBorders>
            <w:noWrap/>
            <w:hideMark/>
          </w:tcPr>
          <w:p w14:paraId="39FA5684" w14:textId="77777777" w:rsidR="00CE75D4" w:rsidRPr="002029AF" w:rsidRDefault="00CE75D4" w:rsidP="008340C1">
            <w:pPr>
              <w:pStyle w:val="ARfintablebodyright"/>
            </w:pPr>
            <w:r>
              <w:t>–</w:t>
            </w:r>
          </w:p>
        </w:tc>
        <w:tc>
          <w:tcPr>
            <w:tcW w:w="1134" w:type="dxa"/>
            <w:tcBorders>
              <w:top w:val="single" w:sz="4" w:space="0" w:color="A6A6A6"/>
            </w:tcBorders>
            <w:noWrap/>
            <w:hideMark/>
          </w:tcPr>
          <w:p w14:paraId="53D5E244" w14:textId="77777777" w:rsidR="00CE75D4" w:rsidRPr="002029AF" w:rsidRDefault="00CE75D4" w:rsidP="008340C1">
            <w:pPr>
              <w:pStyle w:val="ARfintablebodyright"/>
            </w:pPr>
            <w:r>
              <w:t>–</w:t>
            </w:r>
          </w:p>
        </w:tc>
        <w:tc>
          <w:tcPr>
            <w:tcW w:w="1134" w:type="dxa"/>
            <w:tcBorders>
              <w:top w:val="single" w:sz="4" w:space="0" w:color="A6A6A6"/>
            </w:tcBorders>
            <w:noWrap/>
            <w:hideMark/>
          </w:tcPr>
          <w:p w14:paraId="4F561C26" w14:textId="77777777" w:rsidR="00CE75D4" w:rsidRPr="002029AF" w:rsidRDefault="00CE75D4" w:rsidP="008340C1">
            <w:pPr>
              <w:pStyle w:val="ARfintablebodyright"/>
            </w:pPr>
            <w:r w:rsidRPr="00516342">
              <w:t>75.2</w:t>
            </w:r>
          </w:p>
        </w:tc>
      </w:tr>
      <w:tr w:rsidR="00CE75D4" w:rsidRPr="002029AF" w14:paraId="62BB7E7C" w14:textId="77777777" w:rsidTr="00860E95">
        <w:tc>
          <w:tcPr>
            <w:tcW w:w="3969" w:type="dxa"/>
            <w:tcBorders>
              <w:bottom w:val="single" w:sz="4" w:space="0" w:color="auto"/>
            </w:tcBorders>
            <w:hideMark/>
          </w:tcPr>
          <w:p w14:paraId="75588941" w14:textId="77777777" w:rsidR="00CE75D4" w:rsidRPr="002029AF" w:rsidRDefault="00CE75D4" w:rsidP="008340C1">
            <w:pPr>
              <w:pStyle w:val="ARfintablebodybold"/>
            </w:pPr>
            <w:r w:rsidRPr="00516342">
              <w:t>Total financial assets</w:t>
            </w:r>
          </w:p>
        </w:tc>
        <w:tc>
          <w:tcPr>
            <w:tcW w:w="1134" w:type="dxa"/>
            <w:tcBorders>
              <w:bottom w:val="single" w:sz="4" w:space="0" w:color="auto"/>
            </w:tcBorders>
            <w:noWrap/>
            <w:hideMark/>
          </w:tcPr>
          <w:p w14:paraId="6096739A" w14:textId="77777777" w:rsidR="00CE75D4" w:rsidRPr="002029AF" w:rsidRDefault="00CE75D4" w:rsidP="008340C1">
            <w:pPr>
              <w:pStyle w:val="ARfintablebodyrightbold"/>
            </w:pPr>
          </w:p>
        </w:tc>
        <w:tc>
          <w:tcPr>
            <w:tcW w:w="1134" w:type="dxa"/>
            <w:tcBorders>
              <w:bottom w:val="single" w:sz="4" w:space="0" w:color="auto"/>
            </w:tcBorders>
            <w:noWrap/>
            <w:hideMark/>
          </w:tcPr>
          <w:p w14:paraId="06DDD7DB" w14:textId="77777777" w:rsidR="00CE75D4" w:rsidRPr="002029AF" w:rsidRDefault="00CE75D4" w:rsidP="008340C1">
            <w:pPr>
              <w:pStyle w:val="ARfintablebodyrightbold"/>
            </w:pPr>
            <w:r w:rsidRPr="00516342">
              <w:t>1,308.8</w:t>
            </w:r>
          </w:p>
        </w:tc>
        <w:tc>
          <w:tcPr>
            <w:tcW w:w="1134" w:type="dxa"/>
            <w:tcBorders>
              <w:bottom w:val="single" w:sz="4" w:space="0" w:color="auto"/>
            </w:tcBorders>
            <w:noWrap/>
            <w:hideMark/>
          </w:tcPr>
          <w:p w14:paraId="07AE982C" w14:textId="77777777" w:rsidR="00CE75D4" w:rsidRPr="002029AF" w:rsidRDefault="00CE75D4" w:rsidP="008340C1">
            <w:pPr>
              <w:pStyle w:val="ARfintablebodyrightbold"/>
            </w:pPr>
            <w:r>
              <w:t>–</w:t>
            </w:r>
          </w:p>
        </w:tc>
        <w:tc>
          <w:tcPr>
            <w:tcW w:w="1134" w:type="dxa"/>
            <w:tcBorders>
              <w:bottom w:val="single" w:sz="4" w:space="0" w:color="auto"/>
            </w:tcBorders>
            <w:noWrap/>
            <w:hideMark/>
          </w:tcPr>
          <w:p w14:paraId="50107885" w14:textId="77777777" w:rsidR="00CE75D4" w:rsidRPr="002029AF" w:rsidRDefault="00CE75D4" w:rsidP="008340C1">
            <w:pPr>
              <w:pStyle w:val="ARfintablebodyrightbold"/>
            </w:pPr>
            <w:r w:rsidRPr="00516342">
              <w:t>4.0</w:t>
            </w:r>
          </w:p>
        </w:tc>
        <w:tc>
          <w:tcPr>
            <w:tcW w:w="1134" w:type="dxa"/>
            <w:tcBorders>
              <w:bottom w:val="single" w:sz="4" w:space="0" w:color="auto"/>
            </w:tcBorders>
            <w:noWrap/>
            <w:hideMark/>
          </w:tcPr>
          <w:p w14:paraId="22EC6A6C" w14:textId="77777777" w:rsidR="00CE75D4" w:rsidRPr="002029AF" w:rsidRDefault="00CE75D4" w:rsidP="008340C1">
            <w:pPr>
              <w:pStyle w:val="ARfintablebodyrightbold"/>
            </w:pPr>
            <w:r w:rsidRPr="00516342">
              <w:t>1,304.8</w:t>
            </w:r>
          </w:p>
        </w:tc>
      </w:tr>
      <w:tr w:rsidR="00CE75D4" w:rsidRPr="002029AF" w14:paraId="14B9482A" w14:textId="77777777" w:rsidTr="00860E95">
        <w:tc>
          <w:tcPr>
            <w:tcW w:w="9639" w:type="dxa"/>
            <w:gridSpan w:val="6"/>
            <w:tcBorders>
              <w:top w:val="single" w:sz="4" w:space="0" w:color="auto"/>
              <w:bottom w:val="single" w:sz="4" w:space="0" w:color="A6A6A6"/>
            </w:tcBorders>
            <w:hideMark/>
          </w:tcPr>
          <w:p w14:paraId="4DF03F4D" w14:textId="77777777" w:rsidR="00CE75D4" w:rsidRPr="002029AF" w:rsidRDefault="00CE75D4" w:rsidP="008340C1">
            <w:pPr>
              <w:pStyle w:val="ARfintablebodybold"/>
            </w:pPr>
            <w:r w:rsidRPr="00516342">
              <w:t>Financial liabilities</w:t>
            </w:r>
          </w:p>
        </w:tc>
      </w:tr>
      <w:tr w:rsidR="00CE75D4" w:rsidRPr="002029AF" w14:paraId="39175516" w14:textId="77777777" w:rsidTr="00860E95">
        <w:tc>
          <w:tcPr>
            <w:tcW w:w="3969" w:type="dxa"/>
            <w:tcBorders>
              <w:top w:val="single" w:sz="4" w:space="0" w:color="A6A6A6"/>
              <w:bottom w:val="single" w:sz="4" w:space="0" w:color="A6A6A6"/>
            </w:tcBorders>
            <w:hideMark/>
          </w:tcPr>
          <w:p w14:paraId="231228E9" w14:textId="77777777" w:rsidR="00CE75D4" w:rsidRPr="002029AF" w:rsidRDefault="00CE75D4" w:rsidP="008340C1">
            <w:pPr>
              <w:pStyle w:val="ARfintablebody"/>
            </w:pPr>
            <w:r w:rsidRPr="00516342">
              <w:t xml:space="preserve">Payables </w:t>
            </w:r>
            <w:r w:rsidRPr="0078487E">
              <w:rPr>
                <w:rStyle w:val="Superscript"/>
              </w:rPr>
              <w:t>(i)</w:t>
            </w:r>
          </w:p>
        </w:tc>
        <w:tc>
          <w:tcPr>
            <w:tcW w:w="1134" w:type="dxa"/>
            <w:tcBorders>
              <w:top w:val="single" w:sz="4" w:space="0" w:color="A6A6A6"/>
              <w:bottom w:val="single" w:sz="4" w:space="0" w:color="A6A6A6"/>
            </w:tcBorders>
            <w:noWrap/>
            <w:hideMark/>
          </w:tcPr>
          <w:p w14:paraId="0AB82839" w14:textId="77777777" w:rsidR="00CE75D4" w:rsidRPr="002029AF" w:rsidRDefault="00CE75D4" w:rsidP="008340C1">
            <w:pPr>
              <w:pStyle w:val="ARfintablebodyright"/>
            </w:pPr>
          </w:p>
        </w:tc>
        <w:tc>
          <w:tcPr>
            <w:tcW w:w="1134" w:type="dxa"/>
            <w:tcBorders>
              <w:top w:val="single" w:sz="4" w:space="0" w:color="A6A6A6"/>
              <w:bottom w:val="single" w:sz="4" w:space="0" w:color="A6A6A6"/>
            </w:tcBorders>
            <w:noWrap/>
            <w:hideMark/>
          </w:tcPr>
          <w:p w14:paraId="55EBC150" w14:textId="77777777" w:rsidR="00CE75D4" w:rsidRPr="002029AF" w:rsidRDefault="00CE75D4" w:rsidP="008340C1">
            <w:pPr>
              <w:pStyle w:val="ARfintablebodyright"/>
            </w:pPr>
            <w:r w:rsidRPr="00516342">
              <w:t>1,895.7</w:t>
            </w:r>
          </w:p>
        </w:tc>
        <w:tc>
          <w:tcPr>
            <w:tcW w:w="1134" w:type="dxa"/>
            <w:tcBorders>
              <w:top w:val="single" w:sz="4" w:space="0" w:color="A6A6A6"/>
              <w:bottom w:val="single" w:sz="4" w:space="0" w:color="A6A6A6"/>
            </w:tcBorders>
            <w:noWrap/>
            <w:hideMark/>
          </w:tcPr>
          <w:p w14:paraId="5063F327"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2573F7E3"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6CF97556" w14:textId="77777777" w:rsidR="00CE75D4" w:rsidRPr="002029AF" w:rsidRDefault="00CE75D4" w:rsidP="008340C1">
            <w:pPr>
              <w:pStyle w:val="ARfintablebodyright"/>
            </w:pPr>
            <w:r w:rsidRPr="00516342">
              <w:t>1,895.7</w:t>
            </w:r>
          </w:p>
        </w:tc>
      </w:tr>
      <w:tr w:rsidR="00CE75D4" w:rsidRPr="002029AF" w14:paraId="204D1F86" w14:textId="77777777" w:rsidTr="00860E95">
        <w:tc>
          <w:tcPr>
            <w:tcW w:w="3969" w:type="dxa"/>
            <w:tcBorders>
              <w:top w:val="single" w:sz="4" w:space="0" w:color="A6A6A6"/>
            </w:tcBorders>
            <w:hideMark/>
          </w:tcPr>
          <w:p w14:paraId="4F27F599" w14:textId="77777777" w:rsidR="00CE75D4" w:rsidRPr="002029AF" w:rsidRDefault="00CE75D4" w:rsidP="008340C1">
            <w:pPr>
              <w:pStyle w:val="ARfintablebody"/>
            </w:pPr>
            <w:r w:rsidRPr="00516342">
              <w:t xml:space="preserve">Borrowings </w:t>
            </w:r>
            <w:r w:rsidRPr="0078487E">
              <w:rPr>
                <w:rStyle w:val="Superscript"/>
              </w:rPr>
              <w:t>(i)</w:t>
            </w:r>
          </w:p>
        </w:tc>
        <w:tc>
          <w:tcPr>
            <w:tcW w:w="1134" w:type="dxa"/>
            <w:tcBorders>
              <w:top w:val="single" w:sz="4" w:space="0" w:color="A6A6A6"/>
            </w:tcBorders>
            <w:noWrap/>
            <w:hideMark/>
          </w:tcPr>
          <w:p w14:paraId="4B05C8CC" w14:textId="77777777" w:rsidR="00CE75D4" w:rsidRPr="002029AF" w:rsidRDefault="00CE75D4" w:rsidP="008340C1">
            <w:pPr>
              <w:pStyle w:val="ARfintablebodyright"/>
            </w:pPr>
            <w:r w:rsidRPr="00516342">
              <w:t>3.0%</w:t>
            </w:r>
          </w:p>
        </w:tc>
        <w:tc>
          <w:tcPr>
            <w:tcW w:w="1134" w:type="dxa"/>
            <w:tcBorders>
              <w:top w:val="single" w:sz="4" w:space="0" w:color="A6A6A6"/>
            </w:tcBorders>
            <w:noWrap/>
            <w:hideMark/>
          </w:tcPr>
          <w:p w14:paraId="37F50843" w14:textId="77777777" w:rsidR="00CE75D4" w:rsidRPr="002029AF" w:rsidRDefault="00CE75D4" w:rsidP="008340C1">
            <w:pPr>
              <w:pStyle w:val="ARfintablebodyright"/>
            </w:pPr>
            <w:r w:rsidRPr="00516342">
              <w:t>552.2</w:t>
            </w:r>
          </w:p>
        </w:tc>
        <w:tc>
          <w:tcPr>
            <w:tcW w:w="1134" w:type="dxa"/>
            <w:tcBorders>
              <w:top w:val="single" w:sz="4" w:space="0" w:color="A6A6A6"/>
            </w:tcBorders>
            <w:noWrap/>
            <w:hideMark/>
          </w:tcPr>
          <w:p w14:paraId="4E4AB720" w14:textId="77777777" w:rsidR="00CE75D4" w:rsidRPr="002029AF" w:rsidRDefault="00CE75D4" w:rsidP="008340C1">
            <w:pPr>
              <w:pStyle w:val="ARfintablebodyright"/>
            </w:pPr>
            <w:r>
              <w:t>428.9</w:t>
            </w:r>
          </w:p>
        </w:tc>
        <w:tc>
          <w:tcPr>
            <w:tcW w:w="1134" w:type="dxa"/>
            <w:tcBorders>
              <w:top w:val="single" w:sz="4" w:space="0" w:color="A6A6A6"/>
            </w:tcBorders>
            <w:noWrap/>
            <w:hideMark/>
          </w:tcPr>
          <w:p w14:paraId="236016BA" w14:textId="77777777" w:rsidR="00CE75D4" w:rsidRPr="002029AF" w:rsidRDefault="00CE75D4" w:rsidP="008340C1">
            <w:pPr>
              <w:pStyle w:val="ARfintablebodyright"/>
            </w:pPr>
            <w:r>
              <w:t>70.3</w:t>
            </w:r>
          </w:p>
        </w:tc>
        <w:tc>
          <w:tcPr>
            <w:tcW w:w="1134" w:type="dxa"/>
            <w:tcBorders>
              <w:top w:val="single" w:sz="4" w:space="0" w:color="A6A6A6"/>
            </w:tcBorders>
            <w:noWrap/>
            <w:hideMark/>
          </w:tcPr>
          <w:p w14:paraId="385497B7" w14:textId="77777777" w:rsidR="00CE75D4" w:rsidRPr="002029AF" w:rsidRDefault="00CE75D4" w:rsidP="008340C1">
            <w:pPr>
              <w:pStyle w:val="ARfintablebodyright"/>
            </w:pPr>
            <w:r w:rsidRPr="00516342">
              <w:t>53.0</w:t>
            </w:r>
          </w:p>
        </w:tc>
      </w:tr>
      <w:tr w:rsidR="00CE75D4" w:rsidRPr="002029AF" w14:paraId="0F1400FB" w14:textId="77777777" w:rsidTr="00860E95">
        <w:tc>
          <w:tcPr>
            <w:tcW w:w="3969" w:type="dxa"/>
            <w:hideMark/>
          </w:tcPr>
          <w:p w14:paraId="49BF1B91" w14:textId="77777777" w:rsidR="00CE75D4" w:rsidRPr="002029AF" w:rsidRDefault="00CE75D4" w:rsidP="008340C1">
            <w:pPr>
              <w:pStyle w:val="ARfintablebodybold"/>
            </w:pPr>
            <w:r w:rsidRPr="00516342">
              <w:t>Total financial liabilities</w:t>
            </w:r>
          </w:p>
        </w:tc>
        <w:tc>
          <w:tcPr>
            <w:tcW w:w="1134" w:type="dxa"/>
            <w:noWrap/>
            <w:hideMark/>
          </w:tcPr>
          <w:p w14:paraId="439152E1" w14:textId="77777777" w:rsidR="00CE75D4" w:rsidRPr="002029AF" w:rsidRDefault="00CE75D4" w:rsidP="008340C1">
            <w:pPr>
              <w:pStyle w:val="ARfintablebodyrightbold"/>
            </w:pPr>
          </w:p>
        </w:tc>
        <w:tc>
          <w:tcPr>
            <w:tcW w:w="1134" w:type="dxa"/>
            <w:noWrap/>
            <w:hideMark/>
          </w:tcPr>
          <w:p w14:paraId="39256D56" w14:textId="77777777" w:rsidR="00CE75D4" w:rsidRPr="002029AF" w:rsidRDefault="00CE75D4" w:rsidP="008340C1">
            <w:pPr>
              <w:pStyle w:val="ARfintablebodyrightbold"/>
            </w:pPr>
            <w:r w:rsidRPr="00516342">
              <w:t>2,447.9</w:t>
            </w:r>
          </w:p>
        </w:tc>
        <w:tc>
          <w:tcPr>
            <w:tcW w:w="1134" w:type="dxa"/>
            <w:noWrap/>
            <w:hideMark/>
          </w:tcPr>
          <w:p w14:paraId="6BE04FC9" w14:textId="77777777" w:rsidR="00CE75D4" w:rsidRPr="002029AF" w:rsidRDefault="00CE75D4" w:rsidP="008340C1">
            <w:pPr>
              <w:pStyle w:val="ARfintablebodyrightbold"/>
            </w:pPr>
            <w:r>
              <w:t>428.9</w:t>
            </w:r>
          </w:p>
        </w:tc>
        <w:tc>
          <w:tcPr>
            <w:tcW w:w="1134" w:type="dxa"/>
            <w:noWrap/>
            <w:hideMark/>
          </w:tcPr>
          <w:p w14:paraId="1761C02B" w14:textId="77777777" w:rsidR="00CE75D4" w:rsidRPr="002029AF" w:rsidRDefault="00CE75D4" w:rsidP="008340C1">
            <w:pPr>
              <w:pStyle w:val="ARfintablebodyrightbold"/>
            </w:pPr>
            <w:r>
              <w:t>70.3</w:t>
            </w:r>
          </w:p>
        </w:tc>
        <w:tc>
          <w:tcPr>
            <w:tcW w:w="1134" w:type="dxa"/>
            <w:noWrap/>
            <w:hideMark/>
          </w:tcPr>
          <w:p w14:paraId="1C15E58D" w14:textId="77777777" w:rsidR="00CE75D4" w:rsidRPr="002029AF" w:rsidRDefault="00CE75D4" w:rsidP="008340C1">
            <w:pPr>
              <w:pStyle w:val="ARfintablebodyrightbold"/>
            </w:pPr>
            <w:r w:rsidRPr="00516342">
              <w:t>1,948.7</w:t>
            </w:r>
          </w:p>
        </w:tc>
      </w:tr>
      <w:tr w:rsidR="00CE75D4" w:rsidRPr="002029AF" w14:paraId="10FB1E4F" w14:textId="77777777" w:rsidTr="00860E95">
        <w:tc>
          <w:tcPr>
            <w:tcW w:w="9639" w:type="dxa"/>
            <w:gridSpan w:val="6"/>
            <w:tcBorders>
              <w:bottom w:val="single" w:sz="4" w:space="0" w:color="auto"/>
            </w:tcBorders>
            <w:hideMark/>
          </w:tcPr>
          <w:p w14:paraId="0D765DDA" w14:textId="77777777" w:rsidR="00CE75D4" w:rsidRPr="002029AF" w:rsidRDefault="00CE75D4" w:rsidP="008340C1">
            <w:pPr>
              <w:pStyle w:val="ARfintablebodybold"/>
            </w:pPr>
            <w:r w:rsidRPr="00516342">
              <w:t>2021</w:t>
            </w:r>
          </w:p>
        </w:tc>
      </w:tr>
      <w:tr w:rsidR="00CE75D4" w:rsidRPr="002029AF" w14:paraId="3442FA97" w14:textId="77777777" w:rsidTr="00860E95">
        <w:tc>
          <w:tcPr>
            <w:tcW w:w="9639" w:type="dxa"/>
            <w:gridSpan w:val="6"/>
            <w:tcBorders>
              <w:top w:val="single" w:sz="4" w:space="0" w:color="auto"/>
              <w:bottom w:val="single" w:sz="4" w:space="0" w:color="A6A6A6"/>
            </w:tcBorders>
            <w:hideMark/>
          </w:tcPr>
          <w:p w14:paraId="0CC67353" w14:textId="77777777" w:rsidR="00CE75D4" w:rsidRPr="002029AF" w:rsidRDefault="00CE75D4" w:rsidP="008340C1">
            <w:pPr>
              <w:pStyle w:val="ARfintablebodybold"/>
            </w:pPr>
            <w:r w:rsidRPr="00516342">
              <w:t>Financial assets</w:t>
            </w:r>
          </w:p>
        </w:tc>
      </w:tr>
      <w:tr w:rsidR="00CE75D4" w:rsidRPr="002029AF" w14:paraId="5762DC2E" w14:textId="77777777" w:rsidTr="00860E95">
        <w:tc>
          <w:tcPr>
            <w:tcW w:w="3969" w:type="dxa"/>
            <w:tcBorders>
              <w:top w:val="single" w:sz="4" w:space="0" w:color="A6A6A6"/>
              <w:bottom w:val="single" w:sz="4" w:space="0" w:color="A6A6A6"/>
            </w:tcBorders>
            <w:hideMark/>
          </w:tcPr>
          <w:p w14:paraId="0894389E" w14:textId="77777777" w:rsidR="00CE75D4" w:rsidRPr="002029AF" w:rsidRDefault="00CE75D4" w:rsidP="008340C1">
            <w:pPr>
              <w:pStyle w:val="ARfintablebody"/>
            </w:pPr>
            <w:r w:rsidRPr="00516342">
              <w:t>Cash and deposits</w:t>
            </w:r>
          </w:p>
        </w:tc>
        <w:tc>
          <w:tcPr>
            <w:tcW w:w="1134" w:type="dxa"/>
            <w:tcBorders>
              <w:top w:val="single" w:sz="4" w:space="0" w:color="A6A6A6"/>
              <w:bottom w:val="single" w:sz="4" w:space="0" w:color="A6A6A6"/>
            </w:tcBorders>
            <w:noWrap/>
            <w:hideMark/>
          </w:tcPr>
          <w:p w14:paraId="394CBCFF" w14:textId="77777777" w:rsidR="00CE75D4" w:rsidRPr="002029AF" w:rsidRDefault="00CE75D4" w:rsidP="008340C1">
            <w:pPr>
              <w:pStyle w:val="ARfintablebodyright"/>
            </w:pPr>
            <w:r w:rsidRPr="00516342">
              <w:t>0.1%</w:t>
            </w:r>
          </w:p>
        </w:tc>
        <w:tc>
          <w:tcPr>
            <w:tcW w:w="1134" w:type="dxa"/>
            <w:tcBorders>
              <w:top w:val="single" w:sz="4" w:space="0" w:color="A6A6A6"/>
              <w:bottom w:val="single" w:sz="4" w:space="0" w:color="A6A6A6"/>
            </w:tcBorders>
            <w:noWrap/>
            <w:hideMark/>
          </w:tcPr>
          <w:p w14:paraId="4FFB53EF" w14:textId="77777777" w:rsidR="00CE75D4" w:rsidRPr="002029AF" w:rsidRDefault="00CE75D4" w:rsidP="008340C1">
            <w:pPr>
              <w:pStyle w:val="ARfintablebodyright"/>
            </w:pPr>
            <w:r w:rsidRPr="00516342">
              <w:t>913.9</w:t>
            </w:r>
          </w:p>
        </w:tc>
        <w:tc>
          <w:tcPr>
            <w:tcW w:w="1134" w:type="dxa"/>
            <w:tcBorders>
              <w:top w:val="single" w:sz="4" w:space="0" w:color="A6A6A6"/>
              <w:bottom w:val="single" w:sz="4" w:space="0" w:color="A6A6A6"/>
            </w:tcBorders>
            <w:noWrap/>
            <w:hideMark/>
          </w:tcPr>
          <w:p w14:paraId="77CFD4BB"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7B211320" w14:textId="77777777" w:rsidR="00CE75D4" w:rsidRPr="002029AF" w:rsidRDefault="00CE75D4" w:rsidP="008340C1">
            <w:pPr>
              <w:pStyle w:val="ARfintablebodyright"/>
            </w:pPr>
            <w:r w:rsidRPr="00516342">
              <w:t>775.0</w:t>
            </w:r>
          </w:p>
        </w:tc>
        <w:tc>
          <w:tcPr>
            <w:tcW w:w="1134" w:type="dxa"/>
            <w:tcBorders>
              <w:top w:val="single" w:sz="4" w:space="0" w:color="A6A6A6"/>
              <w:bottom w:val="single" w:sz="4" w:space="0" w:color="A6A6A6"/>
            </w:tcBorders>
            <w:noWrap/>
            <w:hideMark/>
          </w:tcPr>
          <w:p w14:paraId="3EE7A2F1" w14:textId="77777777" w:rsidR="00CE75D4" w:rsidRPr="002029AF" w:rsidRDefault="00CE75D4" w:rsidP="008340C1">
            <w:pPr>
              <w:pStyle w:val="ARfintablebodyright"/>
            </w:pPr>
            <w:r w:rsidRPr="00516342">
              <w:t>138.9</w:t>
            </w:r>
          </w:p>
        </w:tc>
      </w:tr>
      <w:tr w:rsidR="00CE75D4" w:rsidRPr="002029AF" w14:paraId="727A7B88" w14:textId="77777777" w:rsidTr="00860E95">
        <w:tc>
          <w:tcPr>
            <w:tcW w:w="3969" w:type="dxa"/>
            <w:tcBorders>
              <w:top w:val="single" w:sz="4" w:space="0" w:color="A6A6A6"/>
              <w:bottom w:val="single" w:sz="4" w:space="0" w:color="A6A6A6"/>
            </w:tcBorders>
            <w:hideMark/>
          </w:tcPr>
          <w:p w14:paraId="06A5A862" w14:textId="77777777" w:rsidR="00CE75D4" w:rsidRPr="002029AF" w:rsidRDefault="00CE75D4" w:rsidP="008340C1">
            <w:pPr>
              <w:pStyle w:val="ARfintablebody"/>
            </w:pPr>
            <w:r w:rsidRPr="00516342">
              <w:t xml:space="preserve">Receivables </w:t>
            </w:r>
            <w:r w:rsidRPr="0078487E">
              <w:rPr>
                <w:rStyle w:val="Superscript"/>
              </w:rPr>
              <w:t>(i)</w:t>
            </w:r>
          </w:p>
        </w:tc>
        <w:tc>
          <w:tcPr>
            <w:tcW w:w="1134" w:type="dxa"/>
            <w:tcBorders>
              <w:top w:val="single" w:sz="4" w:space="0" w:color="A6A6A6"/>
              <w:bottom w:val="single" w:sz="4" w:space="0" w:color="A6A6A6"/>
            </w:tcBorders>
            <w:noWrap/>
            <w:hideMark/>
          </w:tcPr>
          <w:p w14:paraId="1C3958A6" w14:textId="77777777" w:rsidR="00CE75D4" w:rsidRPr="002029AF" w:rsidRDefault="00CE75D4" w:rsidP="008340C1">
            <w:pPr>
              <w:pStyle w:val="ARfintablebodyright"/>
            </w:pPr>
          </w:p>
        </w:tc>
        <w:tc>
          <w:tcPr>
            <w:tcW w:w="1134" w:type="dxa"/>
            <w:tcBorders>
              <w:top w:val="single" w:sz="4" w:space="0" w:color="A6A6A6"/>
              <w:bottom w:val="single" w:sz="4" w:space="0" w:color="A6A6A6"/>
            </w:tcBorders>
            <w:noWrap/>
            <w:hideMark/>
          </w:tcPr>
          <w:p w14:paraId="5F0A8FC0" w14:textId="77777777" w:rsidR="00CE75D4" w:rsidRPr="002029AF" w:rsidRDefault="00CE75D4" w:rsidP="008340C1">
            <w:pPr>
              <w:pStyle w:val="ARfintablebodyright"/>
            </w:pPr>
            <w:r w:rsidRPr="00516342">
              <w:t>341.9</w:t>
            </w:r>
          </w:p>
        </w:tc>
        <w:tc>
          <w:tcPr>
            <w:tcW w:w="1134" w:type="dxa"/>
            <w:tcBorders>
              <w:top w:val="single" w:sz="4" w:space="0" w:color="A6A6A6"/>
              <w:bottom w:val="single" w:sz="4" w:space="0" w:color="A6A6A6"/>
            </w:tcBorders>
            <w:noWrap/>
            <w:hideMark/>
          </w:tcPr>
          <w:p w14:paraId="3339A27A"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451AE11C"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333AD141" w14:textId="77777777" w:rsidR="00CE75D4" w:rsidRPr="002029AF" w:rsidRDefault="00CE75D4" w:rsidP="008340C1">
            <w:pPr>
              <w:pStyle w:val="ARfintablebodyright"/>
            </w:pPr>
            <w:r w:rsidRPr="00516342">
              <w:t>341.9</w:t>
            </w:r>
          </w:p>
        </w:tc>
      </w:tr>
      <w:tr w:rsidR="00CE75D4" w:rsidRPr="002029AF" w14:paraId="3EF9B7FB" w14:textId="77777777" w:rsidTr="00860E95">
        <w:tc>
          <w:tcPr>
            <w:tcW w:w="3969" w:type="dxa"/>
            <w:tcBorders>
              <w:top w:val="single" w:sz="4" w:space="0" w:color="A6A6A6"/>
            </w:tcBorders>
            <w:hideMark/>
          </w:tcPr>
          <w:p w14:paraId="5FE21733" w14:textId="77777777" w:rsidR="00CE75D4" w:rsidRPr="002029AF" w:rsidRDefault="00CE75D4" w:rsidP="008340C1">
            <w:pPr>
              <w:pStyle w:val="ARfintablebody"/>
            </w:pPr>
            <w:r w:rsidRPr="00516342">
              <w:t>Loans</w:t>
            </w:r>
          </w:p>
        </w:tc>
        <w:tc>
          <w:tcPr>
            <w:tcW w:w="1134" w:type="dxa"/>
            <w:tcBorders>
              <w:top w:val="single" w:sz="4" w:space="0" w:color="A6A6A6"/>
            </w:tcBorders>
            <w:noWrap/>
            <w:hideMark/>
          </w:tcPr>
          <w:p w14:paraId="7FA0F709" w14:textId="77777777" w:rsidR="00CE75D4" w:rsidRPr="002029AF" w:rsidRDefault="00CE75D4" w:rsidP="008340C1">
            <w:pPr>
              <w:pStyle w:val="ARfintablebodyright"/>
            </w:pPr>
            <w:r w:rsidRPr="00516342">
              <w:t>3.8%</w:t>
            </w:r>
          </w:p>
        </w:tc>
        <w:tc>
          <w:tcPr>
            <w:tcW w:w="1134" w:type="dxa"/>
            <w:tcBorders>
              <w:top w:val="single" w:sz="4" w:space="0" w:color="A6A6A6"/>
            </w:tcBorders>
            <w:noWrap/>
            <w:hideMark/>
          </w:tcPr>
          <w:p w14:paraId="5D32099B" w14:textId="77777777" w:rsidR="00CE75D4" w:rsidRPr="002029AF" w:rsidRDefault="00CE75D4" w:rsidP="008340C1">
            <w:pPr>
              <w:pStyle w:val="ARfintablebodyright"/>
            </w:pPr>
            <w:r w:rsidRPr="00516342">
              <w:t>118.8</w:t>
            </w:r>
          </w:p>
        </w:tc>
        <w:tc>
          <w:tcPr>
            <w:tcW w:w="1134" w:type="dxa"/>
            <w:tcBorders>
              <w:top w:val="single" w:sz="4" w:space="0" w:color="A6A6A6"/>
            </w:tcBorders>
            <w:noWrap/>
            <w:hideMark/>
          </w:tcPr>
          <w:p w14:paraId="63A76A61" w14:textId="77777777" w:rsidR="00CE75D4" w:rsidRPr="002029AF" w:rsidRDefault="00CE75D4" w:rsidP="008340C1">
            <w:pPr>
              <w:pStyle w:val="ARfintablebodyright"/>
            </w:pPr>
            <w:r w:rsidRPr="00516342">
              <w:t>1.7</w:t>
            </w:r>
          </w:p>
        </w:tc>
        <w:tc>
          <w:tcPr>
            <w:tcW w:w="1134" w:type="dxa"/>
            <w:tcBorders>
              <w:top w:val="single" w:sz="4" w:space="0" w:color="A6A6A6"/>
            </w:tcBorders>
            <w:noWrap/>
            <w:hideMark/>
          </w:tcPr>
          <w:p w14:paraId="28A8FABC" w14:textId="77777777" w:rsidR="00CE75D4" w:rsidRPr="002029AF" w:rsidRDefault="00CE75D4" w:rsidP="008340C1">
            <w:pPr>
              <w:pStyle w:val="ARfintablebodyright"/>
            </w:pPr>
            <w:r w:rsidRPr="00516342">
              <w:t>9.4</w:t>
            </w:r>
          </w:p>
        </w:tc>
        <w:tc>
          <w:tcPr>
            <w:tcW w:w="1134" w:type="dxa"/>
            <w:tcBorders>
              <w:top w:val="single" w:sz="4" w:space="0" w:color="A6A6A6"/>
            </w:tcBorders>
            <w:noWrap/>
            <w:hideMark/>
          </w:tcPr>
          <w:p w14:paraId="75A7BC8F" w14:textId="77777777" w:rsidR="00CE75D4" w:rsidRPr="002029AF" w:rsidRDefault="00CE75D4" w:rsidP="008340C1">
            <w:pPr>
              <w:pStyle w:val="ARfintablebodyright"/>
            </w:pPr>
            <w:r w:rsidRPr="00516342">
              <w:t>107.7</w:t>
            </w:r>
          </w:p>
        </w:tc>
      </w:tr>
      <w:tr w:rsidR="00CE75D4" w:rsidRPr="002029AF" w14:paraId="6697E4D5" w14:textId="77777777" w:rsidTr="00860E95">
        <w:tc>
          <w:tcPr>
            <w:tcW w:w="3969" w:type="dxa"/>
            <w:tcBorders>
              <w:bottom w:val="single" w:sz="4" w:space="0" w:color="auto"/>
            </w:tcBorders>
            <w:hideMark/>
          </w:tcPr>
          <w:p w14:paraId="0D13DF98" w14:textId="77777777" w:rsidR="00CE75D4" w:rsidRPr="002029AF" w:rsidRDefault="00CE75D4" w:rsidP="008340C1">
            <w:pPr>
              <w:pStyle w:val="ARfintablebodybold"/>
            </w:pPr>
            <w:r w:rsidRPr="00516342">
              <w:t>Total financial assets</w:t>
            </w:r>
          </w:p>
        </w:tc>
        <w:tc>
          <w:tcPr>
            <w:tcW w:w="1134" w:type="dxa"/>
            <w:tcBorders>
              <w:bottom w:val="single" w:sz="4" w:space="0" w:color="auto"/>
            </w:tcBorders>
            <w:noWrap/>
            <w:hideMark/>
          </w:tcPr>
          <w:p w14:paraId="4E7581AA" w14:textId="77777777" w:rsidR="00CE75D4" w:rsidRPr="002029AF" w:rsidRDefault="00CE75D4" w:rsidP="008340C1">
            <w:pPr>
              <w:pStyle w:val="ARfintablebodyrightbold"/>
            </w:pPr>
          </w:p>
        </w:tc>
        <w:tc>
          <w:tcPr>
            <w:tcW w:w="1134" w:type="dxa"/>
            <w:tcBorders>
              <w:bottom w:val="single" w:sz="4" w:space="0" w:color="auto"/>
            </w:tcBorders>
            <w:noWrap/>
            <w:hideMark/>
          </w:tcPr>
          <w:p w14:paraId="0CFC407C" w14:textId="77777777" w:rsidR="00CE75D4" w:rsidRPr="002029AF" w:rsidRDefault="00CE75D4" w:rsidP="008340C1">
            <w:pPr>
              <w:pStyle w:val="ARfintablebodyrightbold"/>
            </w:pPr>
            <w:r w:rsidRPr="00516342">
              <w:t>1,374.6</w:t>
            </w:r>
          </w:p>
        </w:tc>
        <w:tc>
          <w:tcPr>
            <w:tcW w:w="1134" w:type="dxa"/>
            <w:tcBorders>
              <w:bottom w:val="single" w:sz="4" w:space="0" w:color="auto"/>
            </w:tcBorders>
            <w:noWrap/>
            <w:hideMark/>
          </w:tcPr>
          <w:p w14:paraId="444293D6" w14:textId="77777777" w:rsidR="00CE75D4" w:rsidRPr="002029AF" w:rsidRDefault="00CE75D4" w:rsidP="008340C1">
            <w:pPr>
              <w:pStyle w:val="ARfintablebodyrightbold"/>
            </w:pPr>
            <w:r w:rsidRPr="00516342">
              <w:t>1.7</w:t>
            </w:r>
          </w:p>
        </w:tc>
        <w:tc>
          <w:tcPr>
            <w:tcW w:w="1134" w:type="dxa"/>
            <w:tcBorders>
              <w:bottom w:val="single" w:sz="4" w:space="0" w:color="auto"/>
            </w:tcBorders>
            <w:noWrap/>
            <w:hideMark/>
          </w:tcPr>
          <w:p w14:paraId="492E5AD3" w14:textId="77777777" w:rsidR="00CE75D4" w:rsidRPr="002029AF" w:rsidRDefault="00CE75D4" w:rsidP="008340C1">
            <w:pPr>
              <w:pStyle w:val="ARfintablebodyrightbold"/>
            </w:pPr>
            <w:r w:rsidRPr="00516342">
              <w:t>784.4</w:t>
            </w:r>
          </w:p>
        </w:tc>
        <w:tc>
          <w:tcPr>
            <w:tcW w:w="1134" w:type="dxa"/>
            <w:tcBorders>
              <w:bottom w:val="single" w:sz="4" w:space="0" w:color="auto"/>
            </w:tcBorders>
            <w:noWrap/>
            <w:hideMark/>
          </w:tcPr>
          <w:p w14:paraId="125F2194" w14:textId="77777777" w:rsidR="00CE75D4" w:rsidRPr="002029AF" w:rsidRDefault="00CE75D4" w:rsidP="008340C1">
            <w:pPr>
              <w:pStyle w:val="ARfintablebodyrightbold"/>
            </w:pPr>
            <w:r w:rsidRPr="00516342">
              <w:t>588.5</w:t>
            </w:r>
          </w:p>
        </w:tc>
      </w:tr>
      <w:tr w:rsidR="00CE75D4" w:rsidRPr="002029AF" w14:paraId="709C37EE" w14:textId="77777777" w:rsidTr="00860E95">
        <w:tc>
          <w:tcPr>
            <w:tcW w:w="9639" w:type="dxa"/>
            <w:gridSpan w:val="6"/>
            <w:tcBorders>
              <w:top w:val="single" w:sz="4" w:space="0" w:color="auto"/>
              <w:bottom w:val="single" w:sz="4" w:space="0" w:color="A6A6A6"/>
            </w:tcBorders>
            <w:hideMark/>
          </w:tcPr>
          <w:p w14:paraId="6C32B6D0" w14:textId="77777777" w:rsidR="00CE75D4" w:rsidRPr="002029AF" w:rsidRDefault="00CE75D4" w:rsidP="008340C1">
            <w:pPr>
              <w:pStyle w:val="ARfintablebodybold"/>
            </w:pPr>
            <w:r w:rsidRPr="00516342">
              <w:t>Financial liabilities</w:t>
            </w:r>
          </w:p>
        </w:tc>
      </w:tr>
      <w:tr w:rsidR="00CE75D4" w:rsidRPr="002029AF" w14:paraId="00B45FBE" w14:textId="77777777" w:rsidTr="00860E95">
        <w:tc>
          <w:tcPr>
            <w:tcW w:w="3969" w:type="dxa"/>
            <w:tcBorders>
              <w:top w:val="single" w:sz="4" w:space="0" w:color="A6A6A6"/>
              <w:bottom w:val="single" w:sz="4" w:space="0" w:color="A6A6A6"/>
            </w:tcBorders>
            <w:hideMark/>
          </w:tcPr>
          <w:p w14:paraId="341A94BB" w14:textId="77777777" w:rsidR="00CE75D4" w:rsidRPr="002029AF" w:rsidRDefault="00CE75D4" w:rsidP="008340C1">
            <w:pPr>
              <w:pStyle w:val="ARfintablebody"/>
            </w:pPr>
            <w:r w:rsidRPr="00516342">
              <w:t xml:space="preserve">Payables </w:t>
            </w:r>
            <w:r w:rsidRPr="0078487E">
              <w:rPr>
                <w:rStyle w:val="Superscript"/>
              </w:rPr>
              <w:t>(i)</w:t>
            </w:r>
          </w:p>
        </w:tc>
        <w:tc>
          <w:tcPr>
            <w:tcW w:w="1134" w:type="dxa"/>
            <w:tcBorders>
              <w:top w:val="single" w:sz="4" w:space="0" w:color="A6A6A6"/>
              <w:bottom w:val="single" w:sz="4" w:space="0" w:color="A6A6A6"/>
            </w:tcBorders>
            <w:noWrap/>
            <w:hideMark/>
          </w:tcPr>
          <w:p w14:paraId="7AC899BB" w14:textId="77777777" w:rsidR="00CE75D4" w:rsidRPr="002029AF" w:rsidRDefault="00CE75D4" w:rsidP="008340C1">
            <w:pPr>
              <w:pStyle w:val="ARfintablebodyright"/>
            </w:pPr>
          </w:p>
        </w:tc>
        <w:tc>
          <w:tcPr>
            <w:tcW w:w="1134" w:type="dxa"/>
            <w:tcBorders>
              <w:top w:val="single" w:sz="4" w:space="0" w:color="A6A6A6"/>
              <w:bottom w:val="single" w:sz="4" w:space="0" w:color="A6A6A6"/>
            </w:tcBorders>
            <w:noWrap/>
            <w:hideMark/>
          </w:tcPr>
          <w:p w14:paraId="7CBE85EE" w14:textId="77777777" w:rsidR="00CE75D4" w:rsidRPr="002029AF" w:rsidRDefault="00CE75D4" w:rsidP="008340C1">
            <w:pPr>
              <w:pStyle w:val="ARfintablebodyright"/>
            </w:pPr>
            <w:r w:rsidRPr="00516342">
              <w:t>2,130.1</w:t>
            </w:r>
          </w:p>
        </w:tc>
        <w:tc>
          <w:tcPr>
            <w:tcW w:w="1134" w:type="dxa"/>
            <w:tcBorders>
              <w:top w:val="single" w:sz="4" w:space="0" w:color="A6A6A6"/>
              <w:bottom w:val="single" w:sz="4" w:space="0" w:color="A6A6A6"/>
            </w:tcBorders>
            <w:noWrap/>
            <w:hideMark/>
          </w:tcPr>
          <w:p w14:paraId="3424E3FD"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064B2360"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0B98D1C6" w14:textId="77777777" w:rsidR="00CE75D4" w:rsidRPr="002029AF" w:rsidRDefault="00CE75D4" w:rsidP="008340C1">
            <w:pPr>
              <w:pStyle w:val="ARfintablebodyright"/>
            </w:pPr>
            <w:r w:rsidRPr="00516342">
              <w:t>2,130.1</w:t>
            </w:r>
          </w:p>
        </w:tc>
      </w:tr>
      <w:tr w:rsidR="00CE75D4" w:rsidRPr="002029AF" w14:paraId="3EAF282F" w14:textId="77777777" w:rsidTr="00860E95">
        <w:tc>
          <w:tcPr>
            <w:tcW w:w="3969" w:type="dxa"/>
            <w:tcBorders>
              <w:top w:val="single" w:sz="4" w:space="0" w:color="A6A6A6"/>
            </w:tcBorders>
            <w:hideMark/>
          </w:tcPr>
          <w:p w14:paraId="22C9A217" w14:textId="77777777" w:rsidR="00CE75D4" w:rsidRPr="002029AF" w:rsidRDefault="00CE75D4" w:rsidP="008340C1">
            <w:pPr>
              <w:pStyle w:val="ARfintablebody"/>
            </w:pPr>
            <w:r w:rsidRPr="00516342">
              <w:t xml:space="preserve">Borrowings </w:t>
            </w:r>
            <w:r w:rsidRPr="0078487E">
              <w:rPr>
                <w:rStyle w:val="Superscript"/>
              </w:rPr>
              <w:t>(i)</w:t>
            </w:r>
          </w:p>
        </w:tc>
        <w:tc>
          <w:tcPr>
            <w:tcW w:w="1134" w:type="dxa"/>
            <w:tcBorders>
              <w:top w:val="single" w:sz="4" w:space="0" w:color="A6A6A6"/>
            </w:tcBorders>
            <w:noWrap/>
            <w:hideMark/>
          </w:tcPr>
          <w:p w14:paraId="2C5C0A53" w14:textId="77777777" w:rsidR="00CE75D4" w:rsidRPr="002029AF" w:rsidRDefault="00CE75D4" w:rsidP="008340C1">
            <w:pPr>
              <w:pStyle w:val="ARfintablebodyright"/>
            </w:pPr>
            <w:r w:rsidRPr="00516342">
              <w:t>2.3%</w:t>
            </w:r>
          </w:p>
        </w:tc>
        <w:tc>
          <w:tcPr>
            <w:tcW w:w="1134" w:type="dxa"/>
            <w:tcBorders>
              <w:top w:val="single" w:sz="4" w:space="0" w:color="A6A6A6"/>
            </w:tcBorders>
            <w:noWrap/>
            <w:hideMark/>
          </w:tcPr>
          <w:p w14:paraId="6204D972" w14:textId="77777777" w:rsidR="00CE75D4" w:rsidRPr="002029AF" w:rsidRDefault="00CE75D4" w:rsidP="008340C1">
            <w:pPr>
              <w:pStyle w:val="ARfintablebodyright"/>
            </w:pPr>
            <w:r w:rsidRPr="00516342">
              <w:t>329.4</w:t>
            </w:r>
          </w:p>
        </w:tc>
        <w:tc>
          <w:tcPr>
            <w:tcW w:w="1134" w:type="dxa"/>
            <w:tcBorders>
              <w:top w:val="single" w:sz="4" w:space="0" w:color="A6A6A6"/>
            </w:tcBorders>
            <w:noWrap/>
            <w:hideMark/>
          </w:tcPr>
          <w:p w14:paraId="6F16D0F3" w14:textId="77777777" w:rsidR="00CE75D4" w:rsidRPr="002029AF" w:rsidRDefault="00CE75D4" w:rsidP="008340C1">
            <w:pPr>
              <w:pStyle w:val="ARfintablebodyright"/>
            </w:pPr>
            <w:r w:rsidRPr="00516342">
              <w:t>266.4</w:t>
            </w:r>
          </w:p>
        </w:tc>
        <w:tc>
          <w:tcPr>
            <w:tcW w:w="1134" w:type="dxa"/>
            <w:tcBorders>
              <w:top w:val="single" w:sz="4" w:space="0" w:color="A6A6A6"/>
            </w:tcBorders>
            <w:noWrap/>
            <w:hideMark/>
          </w:tcPr>
          <w:p w14:paraId="595AFD67" w14:textId="77777777" w:rsidR="00CE75D4" w:rsidRPr="002029AF" w:rsidRDefault="00CE75D4" w:rsidP="008340C1">
            <w:pPr>
              <w:pStyle w:val="ARfintablebodyright"/>
            </w:pPr>
            <w:r>
              <w:t>–</w:t>
            </w:r>
          </w:p>
        </w:tc>
        <w:tc>
          <w:tcPr>
            <w:tcW w:w="1134" w:type="dxa"/>
            <w:tcBorders>
              <w:top w:val="single" w:sz="4" w:space="0" w:color="A6A6A6"/>
            </w:tcBorders>
            <w:noWrap/>
            <w:hideMark/>
          </w:tcPr>
          <w:p w14:paraId="12B82D51" w14:textId="77777777" w:rsidR="00CE75D4" w:rsidRPr="002029AF" w:rsidRDefault="00CE75D4" w:rsidP="008340C1">
            <w:pPr>
              <w:pStyle w:val="ARfintablebodyright"/>
            </w:pPr>
            <w:r w:rsidRPr="00516342">
              <w:t>63.0</w:t>
            </w:r>
          </w:p>
        </w:tc>
      </w:tr>
      <w:tr w:rsidR="00CE75D4" w:rsidRPr="002029AF" w14:paraId="4D48D146" w14:textId="77777777" w:rsidTr="00860E95">
        <w:tc>
          <w:tcPr>
            <w:tcW w:w="3969" w:type="dxa"/>
            <w:hideMark/>
          </w:tcPr>
          <w:p w14:paraId="60A56FE9" w14:textId="77777777" w:rsidR="00CE75D4" w:rsidRPr="002029AF" w:rsidRDefault="00CE75D4" w:rsidP="008340C1">
            <w:pPr>
              <w:pStyle w:val="ARfintablebodybold"/>
            </w:pPr>
            <w:r w:rsidRPr="00516342">
              <w:t>Total financial liabilities</w:t>
            </w:r>
          </w:p>
        </w:tc>
        <w:tc>
          <w:tcPr>
            <w:tcW w:w="1134" w:type="dxa"/>
            <w:noWrap/>
            <w:hideMark/>
          </w:tcPr>
          <w:p w14:paraId="45C31982" w14:textId="77777777" w:rsidR="00CE75D4" w:rsidRPr="002029AF" w:rsidRDefault="00CE75D4" w:rsidP="008340C1">
            <w:pPr>
              <w:pStyle w:val="ARfintablebodyrightbold"/>
            </w:pPr>
          </w:p>
        </w:tc>
        <w:tc>
          <w:tcPr>
            <w:tcW w:w="1134" w:type="dxa"/>
            <w:noWrap/>
            <w:hideMark/>
          </w:tcPr>
          <w:p w14:paraId="68B65E3A" w14:textId="77777777" w:rsidR="00CE75D4" w:rsidRPr="002029AF" w:rsidRDefault="00CE75D4" w:rsidP="008340C1">
            <w:pPr>
              <w:pStyle w:val="ARfintablebodyrightbold"/>
            </w:pPr>
            <w:r w:rsidRPr="00516342">
              <w:t>2,459.5</w:t>
            </w:r>
          </w:p>
        </w:tc>
        <w:tc>
          <w:tcPr>
            <w:tcW w:w="1134" w:type="dxa"/>
            <w:noWrap/>
            <w:hideMark/>
          </w:tcPr>
          <w:p w14:paraId="3749B448" w14:textId="77777777" w:rsidR="00CE75D4" w:rsidRPr="002029AF" w:rsidRDefault="00CE75D4" w:rsidP="008340C1">
            <w:pPr>
              <w:pStyle w:val="ARfintablebodyrightbold"/>
            </w:pPr>
            <w:r w:rsidRPr="00516342">
              <w:t>266.4</w:t>
            </w:r>
          </w:p>
        </w:tc>
        <w:tc>
          <w:tcPr>
            <w:tcW w:w="1134" w:type="dxa"/>
            <w:noWrap/>
            <w:hideMark/>
          </w:tcPr>
          <w:p w14:paraId="21960680" w14:textId="77777777" w:rsidR="00CE75D4" w:rsidRPr="002029AF" w:rsidRDefault="00CE75D4" w:rsidP="008340C1">
            <w:pPr>
              <w:pStyle w:val="ARfintablebodyrightbold"/>
            </w:pPr>
            <w:r>
              <w:t>–</w:t>
            </w:r>
          </w:p>
        </w:tc>
        <w:tc>
          <w:tcPr>
            <w:tcW w:w="1134" w:type="dxa"/>
            <w:noWrap/>
            <w:hideMark/>
          </w:tcPr>
          <w:p w14:paraId="138415E6" w14:textId="77777777" w:rsidR="00CE75D4" w:rsidRPr="002029AF" w:rsidRDefault="00CE75D4" w:rsidP="008340C1">
            <w:pPr>
              <w:pStyle w:val="ARfintablebodyrightbold"/>
            </w:pPr>
            <w:r w:rsidRPr="00516342">
              <w:t>2,193.1</w:t>
            </w:r>
          </w:p>
        </w:tc>
      </w:tr>
    </w:tbl>
    <w:p w14:paraId="7D915786" w14:textId="77777777" w:rsidR="00CE75D4" w:rsidRDefault="00CE75D4" w:rsidP="008340C1">
      <w:pPr>
        <w:pStyle w:val="ARfintablefootnote"/>
        <w:rPr>
          <w:lang w:eastAsia="en-AU"/>
        </w:rPr>
      </w:pPr>
      <w:r>
        <w:rPr>
          <w:lang w:eastAsia="en-AU"/>
        </w:rPr>
        <w:t>Note:</w:t>
      </w:r>
    </w:p>
    <w:p w14:paraId="4BD79B80" w14:textId="5295DD14" w:rsidR="00CE75D4" w:rsidRDefault="00CE75D4" w:rsidP="00913F4A">
      <w:pPr>
        <w:pStyle w:val="ARfintablefootnoteindent"/>
      </w:pPr>
      <w:r>
        <w:t>(i)</w:t>
      </w:r>
      <w:r>
        <w:tab/>
        <w:t>The carrying amounts disclosed here exclude statutory amounts, for example, amounts owing to/from Victorian Government and GST input tax credit recoverable and taxes payable.</w:t>
      </w:r>
    </w:p>
    <w:p w14:paraId="29756607" w14:textId="77777777" w:rsidR="00CE75D4" w:rsidRPr="002029AF" w:rsidRDefault="00CE75D4" w:rsidP="00087B91">
      <w:pPr>
        <w:pStyle w:val="ARfintablefootnoteindent"/>
      </w:pPr>
      <w:r w:rsidRPr="002029AF">
        <w:br w:type="page"/>
      </w:r>
    </w:p>
    <w:p w14:paraId="17D7DCEF" w14:textId="77777777" w:rsidR="00CE75D4" w:rsidRPr="002029AF" w:rsidRDefault="00CE75D4" w:rsidP="00087B91">
      <w:pPr>
        <w:pStyle w:val="Heading7"/>
      </w:pPr>
      <w:bookmarkStart w:id="623" w:name="_Ref52455366"/>
      <w:bookmarkStart w:id="624" w:name="_Toc85121529"/>
      <w:r w:rsidRPr="002029AF">
        <w:t>Interest rate risk sensitivity analysis</w:t>
      </w:r>
      <w:bookmarkEnd w:id="623"/>
      <w:bookmarkEnd w:id="624"/>
    </w:p>
    <w:tbl>
      <w:tblPr>
        <w:tblStyle w:val="TableGrid"/>
        <w:tblW w:w="7371" w:type="dxa"/>
        <w:tblLayout w:type="fixed"/>
        <w:tblLook w:val="06A0" w:firstRow="1" w:lastRow="0" w:firstColumn="1" w:lastColumn="0" w:noHBand="1" w:noVBand="1"/>
      </w:tblPr>
      <w:tblGrid>
        <w:gridCol w:w="3969"/>
        <w:gridCol w:w="1134"/>
        <w:gridCol w:w="1134"/>
        <w:gridCol w:w="1134"/>
      </w:tblGrid>
      <w:tr w:rsidR="00CE75D4" w:rsidRPr="002029AF" w14:paraId="7F555E03"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tcPr>
          <w:p w14:paraId="4F436DC0" w14:textId="77777777" w:rsidR="00CE75D4" w:rsidRPr="001056E9" w:rsidRDefault="00CE75D4" w:rsidP="008340C1">
            <w:pPr>
              <w:pStyle w:val="ARfintablecolhead"/>
            </w:pPr>
          </w:p>
        </w:tc>
        <w:tc>
          <w:tcPr>
            <w:tcW w:w="1134" w:type="dxa"/>
            <w:vMerge w:val="restart"/>
            <w:noWrap/>
          </w:tcPr>
          <w:p w14:paraId="68D6500A" w14:textId="77777777" w:rsidR="00CE75D4" w:rsidRPr="002029AF" w:rsidRDefault="00CE75D4" w:rsidP="008340C1">
            <w:pPr>
              <w:pStyle w:val="ARfintablecolheadright"/>
            </w:pPr>
            <w:r w:rsidRPr="002029AF">
              <w:t>Carrying amount</w:t>
            </w:r>
          </w:p>
          <w:p w14:paraId="00C9820D" w14:textId="77777777" w:rsidR="00CE75D4" w:rsidRPr="001056E9" w:rsidRDefault="00CE75D4" w:rsidP="008340C1">
            <w:pPr>
              <w:pStyle w:val="ARfintablecolheadright"/>
            </w:pPr>
            <w:r w:rsidRPr="002029AF">
              <w:t>$M</w:t>
            </w:r>
          </w:p>
        </w:tc>
        <w:tc>
          <w:tcPr>
            <w:tcW w:w="2268" w:type="dxa"/>
            <w:gridSpan w:val="2"/>
            <w:noWrap/>
          </w:tcPr>
          <w:p w14:paraId="4D8EEE36" w14:textId="77777777" w:rsidR="00CE75D4" w:rsidRPr="001056E9" w:rsidRDefault="00CE75D4" w:rsidP="008340C1">
            <w:pPr>
              <w:pStyle w:val="ARfintablecolheadcentre"/>
            </w:pPr>
            <w:r w:rsidRPr="002029AF">
              <w:t>Interest rate risk</w:t>
            </w:r>
          </w:p>
        </w:tc>
      </w:tr>
      <w:tr w:rsidR="00CE75D4" w:rsidRPr="002029AF" w14:paraId="0474C33C"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3969" w:type="dxa"/>
            <w:vMerge/>
            <w:tcBorders>
              <w:bottom w:val="single" w:sz="4" w:space="0" w:color="auto"/>
            </w:tcBorders>
          </w:tcPr>
          <w:p w14:paraId="0904A0F0" w14:textId="77777777" w:rsidR="00CE75D4" w:rsidRPr="001056E9" w:rsidRDefault="00CE75D4" w:rsidP="008340C1">
            <w:pPr>
              <w:pStyle w:val="ARfintablecolhead"/>
            </w:pPr>
          </w:p>
        </w:tc>
        <w:tc>
          <w:tcPr>
            <w:tcW w:w="1134" w:type="dxa"/>
            <w:vMerge/>
            <w:tcBorders>
              <w:bottom w:val="single" w:sz="4" w:space="0" w:color="auto"/>
            </w:tcBorders>
            <w:noWrap/>
          </w:tcPr>
          <w:p w14:paraId="119ED6CE" w14:textId="77777777" w:rsidR="00CE75D4" w:rsidRPr="001056E9" w:rsidRDefault="00CE75D4" w:rsidP="008340C1">
            <w:pPr>
              <w:pStyle w:val="ARfintablecolheadright"/>
            </w:pPr>
          </w:p>
        </w:tc>
        <w:tc>
          <w:tcPr>
            <w:tcW w:w="1134" w:type="dxa"/>
            <w:tcBorders>
              <w:bottom w:val="single" w:sz="4" w:space="0" w:color="auto"/>
            </w:tcBorders>
            <w:noWrap/>
          </w:tcPr>
          <w:p w14:paraId="15A3587B" w14:textId="77777777" w:rsidR="00CE75D4" w:rsidRPr="002029AF" w:rsidRDefault="00CE75D4" w:rsidP="008340C1">
            <w:pPr>
              <w:pStyle w:val="ARfintablecolheadright"/>
            </w:pPr>
            <w:r w:rsidRPr="002029AF">
              <w:t>–</w:t>
            </w:r>
            <w:r>
              <w:t>1</w:t>
            </w:r>
            <w:r w:rsidRPr="002029AF">
              <w:t>%</w:t>
            </w:r>
            <w:r w:rsidRPr="002029AF">
              <w:br/>
              <w:t>Net result</w:t>
            </w:r>
          </w:p>
          <w:p w14:paraId="368630A4" w14:textId="77777777" w:rsidR="00CE75D4" w:rsidRPr="001056E9" w:rsidRDefault="00CE75D4" w:rsidP="008340C1">
            <w:pPr>
              <w:pStyle w:val="ARfintablecolheadright"/>
            </w:pPr>
            <w:r w:rsidRPr="002029AF">
              <w:t>$M</w:t>
            </w:r>
          </w:p>
        </w:tc>
        <w:tc>
          <w:tcPr>
            <w:tcW w:w="1134" w:type="dxa"/>
            <w:tcBorders>
              <w:bottom w:val="single" w:sz="4" w:space="0" w:color="auto"/>
            </w:tcBorders>
            <w:noWrap/>
          </w:tcPr>
          <w:p w14:paraId="5504C1C5" w14:textId="77777777" w:rsidR="00CE75D4" w:rsidRPr="002029AF" w:rsidRDefault="00CE75D4" w:rsidP="008340C1">
            <w:pPr>
              <w:pStyle w:val="ARfintablecolheadright"/>
            </w:pPr>
            <w:r>
              <w:t>+1</w:t>
            </w:r>
            <w:r w:rsidRPr="002029AF">
              <w:t>%</w:t>
            </w:r>
            <w:r w:rsidRPr="002029AF">
              <w:br/>
              <w:t>Net result</w:t>
            </w:r>
          </w:p>
          <w:p w14:paraId="328A7344" w14:textId="77777777" w:rsidR="00CE75D4" w:rsidRPr="001056E9" w:rsidRDefault="00CE75D4" w:rsidP="008340C1">
            <w:pPr>
              <w:pStyle w:val="ARfintablecolheadright"/>
            </w:pPr>
            <w:r w:rsidRPr="002029AF">
              <w:t>$M</w:t>
            </w:r>
          </w:p>
        </w:tc>
      </w:tr>
      <w:tr w:rsidR="00CE75D4" w:rsidRPr="002029AF" w14:paraId="5B6CB0E4" w14:textId="77777777" w:rsidTr="008340C1">
        <w:trPr>
          <w:cantSplit w:val="0"/>
        </w:trPr>
        <w:tc>
          <w:tcPr>
            <w:tcW w:w="7371" w:type="dxa"/>
            <w:gridSpan w:val="4"/>
            <w:tcBorders>
              <w:top w:val="single" w:sz="4" w:space="0" w:color="auto"/>
              <w:bottom w:val="single" w:sz="4" w:space="0" w:color="auto"/>
            </w:tcBorders>
          </w:tcPr>
          <w:p w14:paraId="0E728BDF" w14:textId="77777777" w:rsidR="00CE75D4" w:rsidRPr="001056E9" w:rsidRDefault="00CE75D4" w:rsidP="008340C1">
            <w:pPr>
              <w:pStyle w:val="ARfintablebodybold"/>
            </w:pPr>
            <w:r w:rsidRPr="00F02AFC">
              <w:t>202</w:t>
            </w:r>
            <w:r>
              <w:t>2</w:t>
            </w:r>
          </w:p>
        </w:tc>
      </w:tr>
      <w:tr w:rsidR="00CE75D4" w:rsidRPr="002029AF" w14:paraId="50E19EB3" w14:textId="77777777" w:rsidTr="008340C1">
        <w:trPr>
          <w:cantSplit w:val="0"/>
        </w:trPr>
        <w:tc>
          <w:tcPr>
            <w:tcW w:w="7371" w:type="dxa"/>
            <w:gridSpan w:val="4"/>
            <w:tcBorders>
              <w:top w:val="single" w:sz="4" w:space="0" w:color="auto"/>
              <w:bottom w:val="single" w:sz="4" w:space="0" w:color="A6A6A6"/>
            </w:tcBorders>
          </w:tcPr>
          <w:p w14:paraId="73CB1495" w14:textId="77777777" w:rsidR="00CE75D4" w:rsidRPr="001056E9" w:rsidRDefault="00CE75D4" w:rsidP="008340C1">
            <w:pPr>
              <w:pStyle w:val="ARfintablebodybold"/>
            </w:pPr>
            <w:r w:rsidRPr="00690590">
              <w:t>Contractual financial assets</w:t>
            </w:r>
          </w:p>
        </w:tc>
      </w:tr>
      <w:tr w:rsidR="00CE75D4" w:rsidRPr="002029AF" w14:paraId="12CE9EBF" w14:textId="77777777" w:rsidTr="008340C1">
        <w:trPr>
          <w:cantSplit w:val="0"/>
        </w:trPr>
        <w:tc>
          <w:tcPr>
            <w:tcW w:w="3969" w:type="dxa"/>
            <w:tcBorders>
              <w:top w:val="single" w:sz="4" w:space="0" w:color="A6A6A6"/>
              <w:bottom w:val="single" w:sz="4" w:space="0" w:color="A6A6A6"/>
            </w:tcBorders>
          </w:tcPr>
          <w:p w14:paraId="7A921B8E" w14:textId="77777777" w:rsidR="00CE75D4" w:rsidRPr="009E1A97" w:rsidRDefault="00CE75D4" w:rsidP="008340C1">
            <w:pPr>
              <w:pStyle w:val="ARfintablebody"/>
            </w:pPr>
            <w:r w:rsidRPr="00690590">
              <w:t xml:space="preserve">Cash and deposits </w:t>
            </w:r>
            <w:r w:rsidRPr="00E16BAD">
              <w:rPr>
                <w:rStyle w:val="Superscript"/>
              </w:rPr>
              <w:t>(i</w:t>
            </w:r>
            <w:r>
              <w:rPr>
                <w:rStyle w:val="Superscript"/>
              </w:rPr>
              <w:t>)(ii</w:t>
            </w:r>
            <w:r w:rsidRPr="00E16BAD">
              <w:rPr>
                <w:rStyle w:val="Superscript"/>
              </w:rPr>
              <w:t>)</w:t>
            </w:r>
          </w:p>
        </w:tc>
        <w:tc>
          <w:tcPr>
            <w:tcW w:w="1134" w:type="dxa"/>
            <w:tcBorders>
              <w:top w:val="single" w:sz="4" w:space="0" w:color="A6A6A6"/>
              <w:bottom w:val="single" w:sz="4" w:space="0" w:color="A6A6A6"/>
            </w:tcBorders>
            <w:noWrap/>
          </w:tcPr>
          <w:p w14:paraId="52381151" w14:textId="77777777" w:rsidR="00CE75D4" w:rsidRPr="009E1A97" w:rsidRDefault="00CE75D4" w:rsidP="008340C1">
            <w:pPr>
              <w:pStyle w:val="ARfintablebodyright"/>
            </w:pPr>
            <w:r w:rsidRPr="00690590">
              <w:t>106.3</w:t>
            </w:r>
          </w:p>
        </w:tc>
        <w:tc>
          <w:tcPr>
            <w:tcW w:w="1134" w:type="dxa"/>
            <w:tcBorders>
              <w:top w:val="single" w:sz="4" w:space="0" w:color="A6A6A6"/>
              <w:bottom w:val="single" w:sz="4" w:space="0" w:color="A6A6A6"/>
            </w:tcBorders>
            <w:noWrap/>
          </w:tcPr>
          <w:p w14:paraId="4BFD3E7F" w14:textId="77777777" w:rsidR="00CE75D4" w:rsidRPr="009E1A97" w:rsidRDefault="00CE75D4" w:rsidP="008340C1">
            <w:pPr>
              <w:pStyle w:val="ARfintablebodyright"/>
            </w:pPr>
            <w:r>
              <w:t>–</w:t>
            </w:r>
          </w:p>
        </w:tc>
        <w:tc>
          <w:tcPr>
            <w:tcW w:w="1134" w:type="dxa"/>
            <w:tcBorders>
              <w:top w:val="single" w:sz="4" w:space="0" w:color="A6A6A6"/>
              <w:bottom w:val="single" w:sz="4" w:space="0" w:color="A6A6A6"/>
            </w:tcBorders>
            <w:noWrap/>
          </w:tcPr>
          <w:p w14:paraId="4D536175" w14:textId="77777777" w:rsidR="00CE75D4" w:rsidRPr="009E1A97" w:rsidRDefault="00CE75D4" w:rsidP="008340C1">
            <w:pPr>
              <w:pStyle w:val="ARfintablebodyright"/>
            </w:pPr>
            <w:r>
              <w:t>–</w:t>
            </w:r>
          </w:p>
        </w:tc>
      </w:tr>
      <w:tr w:rsidR="00CE75D4" w:rsidRPr="002029AF" w14:paraId="6648024B" w14:textId="77777777" w:rsidTr="008340C1">
        <w:trPr>
          <w:cantSplit w:val="0"/>
        </w:trPr>
        <w:tc>
          <w:tcPr>
            <w:tcW w:w="3969" w:type="dxa"/>
            <w:tcBorders>
              <w:top w:val="single" w:sz="4" w:space="0" w:color="A6A6A6"/>
              <w:bottom w:val="single" w:sz="4" w:space="0" w:color="A6A6A6"/>
            </w:tcBorders>
          </w:tcPr>
          <w:p w14:paraId="1BACC5AE" w14:textId="77777777" w:rsidR="00CE75D4" w:rsidRPr="001056E9" w:rsidRDefault="00CE75D4" w:rsidP="008340C1">
            <w:pPr>
              <w:pStyle w:val="ARfintablebody"/>
            </w:pPr>
            <w:r w:rsidRPr="00690590">
              <w:t xml:space="preserve">Receivables </w:t>
            </w:r>
            <w:r w:rsidRPr="00E16BAD">
              <w:rPr>
                <w:rStyle w:val="Superscript"/>
              </w:rPr>
              <w:t>(ii</w:t>
            </w:r>
            <w:r>
              <w:rPr>
                <w:rStyle w:val="Superscript"/>
              </w:rPr>
              <w:t>i</w:t>
            </w:r>
            <w:r w:rsidRPr="00E16BAD">
              <w:rPr>
                <w:rStyle w:val="Superscript"/>
              </w:rPr>
              <w:t>)(i</w:t>
            </w:r>
            <w:r>
              <w:rPr>
                <w:rStyle w:val="Superscript"/>
              </w:rPr>
              <w:t>v</w:t>
            </w:r>
            <w:r w:rsidRPr="00E16BAD">
              <w:rPr>
                <w:rStyle w:val="Superscript"/>
              </w:rPr>
              <w:t>)</w:t>
            </w:r>
          </w:p>
        </w:tc>
        <w:tc>
          <w:tcPr>
            <w:tcW w:w="1134" w:type="dxa"/>
            <w:tcBorders>
              <w:top w:val="single" w:sz="4" w:space="0" w:color="A6A6A6"/>
              <w:bottom w:val="single" w:sz="4" w:space="0" w:color="A6A6A6"/>
            </w:tcBorders>
            <w:noWrap/>
          </w:tcPr>
          <w:p w14:paraId="4E2851D7" w14:textId="77777777" w:rsidR="00CE75D4" w:rsidRPr="001056E9" w:rsidRDefault="00CE75D4" w:rsidP="008340C1">
            <w:pPr>
              <w:pStyle w:val="ARfintablebodyright"/>
            </w:pPr>
            <w:r w:rsidRPr="00690590">
              <w:t>1,127.3</w:t>
            </w:r>
          </w:p>
        </w:tc>
        <w:tc>
          <w:tcPr>
            <w:tcW w:w="1134" w:type="dxa"/>
            <w:tcBorders>
              <w:top w:val="single" w:sz="4" w:space="0" w:color="A6A6A6"/>
              <w:bottom w:val="single" w:sz="4" w:space="0" w:color="A6A6A6"/>
            </w:tcBorders>
            <w:noWrap/>
          </w:tcPr>
          <w:p w14:paraId="7BD896B2" w14:textId="77777777" w:rsidR="00CE75D4" w:rsidRPr="001056E9" w:rsidRDefault="00CE75D4" w:rsidP="008340C1">
            <w:pPr>
              <w:pStyle w:val="ARfintablebodyright"/>
            </w:pPr>
            <w:r>
              <w:t>–</w:t>
            </w:r>
          </w:p>
        </w:tc>
        <w:tc>
          <w:tcPr>
            <w:tcW w:w="1134" w:type="dxa"/>
            <w:tcBorders>
              <w:top w:val="single" w:sz="4" w:space="0" w:color="A6A6A6"/>
              <w:bottom w:val="single" w:sz="4" w:space="0" w:color="A6A6A6"/>
            </w:tcBorders>
            <w:noWrap/>
          </w:tcPr>
          <w:p w14:paraId="3F1A1297" w14:textId="77777777" w:rsidR="00CE75D4" w:rsidRPr="001056E9" w:rsidRDefault="00CE75D4" w:rsidP="008340C1">
            <w:pPr>
              <w:pStyle w:val="ARfintablebodyright"/>
            </w:pPr>
            <w:r>
              <w:t>–</w:t>
            </w:r>
          </w:p>
        </w:tc>
      </w:tr>
      <w:tr w:rsidR="00CE75D4" w:rsidRPr="002029AF" w14:paraId="35F529AF" w14:textId="77777777" w:rsidTr="008340C1">
        <w:trPr>
          <w:cantSplit w:val="0"/>
        </w:trPr>
        <w:tc>
          <w:tcPr>
            <w:tcW w:w="3969" w:type="dxa"/>
            <w:tcBorders>
              <w:top w:val="single" w:sz="4" w:space="0" w:color="A6A6A6"/>
            </w:tcBorders>
          </w:tcPr>
          <w:p w14:paraId="738CF679" w14:textId="77777777" w:rsidR="00CE75D4" w:rsidRPr="001056E9" w:rsidRDefault="00CE75D4" w:rsidP="008340C1">
            <w:pPr>
              <w:pStyle w:val="ARfintablebody"/>
            </w:pPr>
            <w:r w:rsidRPr="00690590">
              <w:t xml:space="preserve">Loans </w:t>
            </w:r>
            <w:r w:rsidRPr="00E16BAD">
              <w:rPr>
                <w:rStyle w:val="Superscript"/>
              </w:rPr>
              <w:t>(i</w:t>
            </w:r>
            <w:r>
              <w:rPr>
                <w:rStyle w:val="Superscript"/>
              </w:rPr>
              <w:t>v</w:t>
            </w:r>
            <w:r w:rsidRPr="00E16BAD">
              <w:rPr>
                <w:rStyle w:val="Superscript"/>
              </w:rPr>
              <w:t>)(v)</w:t>
            </w:r>
          </w:p>
        </w:tc>
        <w:tc>
          <w:tcPr>
            <w:tcW w:w="1134" w:type="dxa"/>
            <w:tcBorders>
              <w:top w:val="single" w:sz="4" w:space="0" w:color="A6A6A6"/>
            </w:tcBorders>
            <w:noWrap/>
          </w:tcPr>
          <w:p w14:paraId="01D86A22" w14:textId="77777777" w:rsidR="00CE75D4" w:rsidRPr="001056E9" w:rsidRDefault="00CE75D4" w:rsidP="008340C1">
            <w:pPr>
              <w:pStyle w:val="ARfintablebodyright"/>
            </w:pPr>
            <w:r w:rsidRPr="00690590">
              <w:t>75.2</w:t>
            </w:r>
          </w:p>
        </w:tc>
        <w:tc>
          <w:tcPr>
            <w:tcW w:w="1134" w:type="dxa"/>
            <w:tcBorders>
              <w:top w:val="single" w:sz="4" w:space="0" w:color="A6A6A6"/>
            </w:tcBorders>
            <w:noWrap/>
          </w:tcPr>
          <w:p w14:paraId="666C5CA9" w14:textId="77777777" w:rsidR="00CE75D4" w:rsidRPr="001056E9" w:rsidRDefault="00CE75D4" w:rsidP="008340C1">
            <w:pPr>
              <w:pStyle w:val="ARfintablebodyright"/>
            </w:pPr>
            <w:r>
              <w:t>–</w:t>
            </w:r>
          </w:p>
        </w:tc>
        <w:tc>
          <w:tcPr>
            <w:tcW w:w="1134" w:type="dxa"/>
            <w:tcBorders>
              <w:top w:val="single" w:sz="4" w:space="0" w:color="A6A6A6"/>
            </w:tcBorders>
            <w:noWrap/>
          </w:tcPr>
          <w:p w14:paraId="662BB615" w14:textId="77777777" w:rsidR="00CE75D4" w:rsidRPr="001056E9" w:rsidRDefault="00CE75D4" w:rsidP="008340C1">
            <w:pPr>
              <w:pStyle w:val="ARfintablebodyright"/>
            </w:pPr>
            <w:r>
              <w:t>–</w:t>
            </w:r>
          </w:p>
        </w:tc>
      </w:tr>
      <w:tr w:rsidR="00CE75D4" w:rsidRPr="002029AF" w14:paraId="6B98F6D9" w14:textId="77777777" w:rsidTr="008340C1">
        <w:trPr>
          <w:cantSplit w:val="0"/>
        </w:trPr>
        <w:tc>
          <w:tcPr>
            <w:tcW w:w="3969" w:type="dxa"/>
            <w:tcBorders>
              <w:bottom w:val="single" w:sz="4" w:space="0" w:color="auto"/>
            </w:tcBorders>
          </w:tcPr>
          <w:p w14:paraId="194CE130" w14:textId="77777777" w:rsidR="00CE75D4" w:rsidRPr="001056E9" w:rsidRDefault="00CE75D4" w:rsidP="008340C1">
            <w:pPr>
              <w:pStyle w:val="ARfintablebodybold"/>
            </w:pPr>
            <w:r w:rsidRPr="00690590">
              <w:t>Total impact</w:t>
            </w:r>
          </w:p>
        </w:tc>
        <w:tc>
          <w:tcPr>
            <w:tcW w:w="1134" w:type="dxa"/>
            <w:tcBorders>
              <w:bottom w:val="single" w:sz="4" w:space="0" w:color="auto"/>
            </w:tcBorders>
            <w:noWrap/>
          </w:tcPr>
          <w:p w14:paraId="3567B446" w14:textId="77777777" w:rsidR="00CE75D4" w:rsidRPr="001056E9" w:rsidRDefault="00CE75D4" w:rsidP="008340C1">
            <w:pPr>
              <w:pStyle w:val="ARfintablebodyrightbold"/>
            </w:pPr>
            <w:r w:rsidRPr="00690590">
              <w:t>1,308.8</w:t>
            </w:r>
          </w:p>
        </w:tc>
        <w:tc>
          <w:tcPr>
            <w:tcW w:w="1134" w:type="dxa"/>
            <w:tcBorders>
              <w:bottom w:val="single" w:sz="4" w:space="0" w:color="auto"/>
            </w:tcBorders>
            <w:noWrap/>
          </w:tcPr>
          <w:p w14:paraId="667B9FFE" w14:textId="77777777" w:rsidR="00CE75D4" w:rsidRPr="001056E9" w:rsidRDefault="00CE75D4" w:rsidP="008340C1">
            <w:pPr>
              <w:pStyle w:val="ARfintablebodyrightbold"/>
            </w:pPr>
            <w:r>
              <w:t>–</w:t>
            </w:r>
          </w:p>
        </w:tc>
        <w:tc>
          <w:tcPr>
            <w:tcW w:w="1134" w:type="dxa"/>
            <w:tcBorders>
              <w:bottom w:val="single" w:sz="4" w:space="0" w:color="auto"/>
            </w:tcBorders>
            <w:noWrap/>
          </w:tcPr>
          <w:p w14:paraId="2FB5C6D0" w14:textId="77777777" w:rsidR="00CE75D4" w:rsidRPr="001056E9" w:rsidRDefault="00CE75D4" w:rsidP="008340C1">
            <w:pPr>
              <w:pStyle w:val="ARfintablebodyrightbold"/>
            </w:pPr>
            <w:r>
              <w:t>–</w:t>
            </w:r>
          </w:p>
        </w:tc>
      </w:tr>
      <w:tr w:rsidR="00CE75D4" w:rsidRPr="002029AF" w14:paraId="2A1EBAB8" w14:textId="77777777" w:rsidTr="008340C1">
        <w:trPr>
          <w:cantSplit w:val="0"/>
        </w:trPr>
        <w:tc>
          <w:tcPr>
            <w:tcW w:w="7371" w:type="dxa"/>
            <w:gridSpan w:val="4"/>
            <w:tcBorders>
              <w:top w:val="single" w:sz="4" w:space="0" w:color="auto"/>
              <w:bottom w:val="single" w:sz="4" w:space="0" w:color="A6A6A6"/>
            </w:tcBorders>
          </w:tcPr>
          <w:p w14:paraId="6642C224" w14:textId="77777777" w:rsidR="00CE75D4" w:rsidRPr="001056E9" w:rsidRDefault="00CE75D4" w:rsidP="008340C1">
            <w:pPr>
              <w:pStyle w:val="ARfintablebodybold"/>
            </w:pPr>
            <w:r w:rsidRPr="00690590">
              <w:t>Contractual financial liabilities</w:t>
            </w:r>
          </w:p>
        </w:tc>
      </w:tr>
      <w:tr w:rsidR="00CE75D4" w:rsidRPr="002029AF" w14:paraId="7E334A13" w14:textId="77777777" w:rsidTr="008340C1">
        <w:trPr>
          <w:cantSplit w:val="0"/>
        </w:trPr>
        <w:tc>
          <w:tcPr>
            <w:tcW w:w="3969" w:type="dxa"/>
            <w:tcBorders>
              <w:top w:val="single" w:sz="4" w:space="0" w:color="A6A6A6"/>
              <w:bottom w:val="single" w:sz="4" w:space="0" w:color="A6A6A6"/>
            </w:tcBorders>
          </w:tcPr>
          <w:p w14:paraId="77EDDDF0" w14:textId="77777777" w:rsidR="00CE75D4" w:rsidRPr="009E1A97" w:rsidRDefault="00CE75D4" w:rsidP="008340C1">
            <w:pPr>
              <w:pStyle w:val="ARfintablebody"/>
            </w:pPr>
            <w:r w:rsidRPr="00690590">
              <w:t xml:space="preserve">Payables </w:t>
            </w:r>
            <w:r w:rsidRPr="00E16BAD">
              <w:rPr>
                <w:rStyle w:val="Superscript"/>
              </w:rPr>
              <w:t>(i</w:t>
            </w:r>
            <w:r>
              <w:rPr>
                <w:rStyle w:val="Superscript"/>
              </w:rPr>
              <w:t>v</w:t>
            </w:r>
            <w:r w:rsidRPr="00E16BAD">
              <w:rPr>
                <w:rStyle w:val="Superscript"/>
              </w:rPr>
              <w:t>)</w:t>
            </w:r>
          </w:p>
        </w:tc>
        <w:tc>
          <w:tcPr>
            <w:tcW w:w="1134" w:type="dxa"/>
            <w:tcBorders>
              <w:top w:val="single" w:sz="4" w:space="0" w:color="A6A6A6"/>
              <w:bottom w:val="single" w:sz="4" w:space="0" w:color="A6A6A6"/>
            </w:tcBorders>
            <w:noWrap/>
          </w:tcPr>
          <w:p w14:paraId="7B6829C2" w14:textId="77777777" w:rsidR="00CE75D4" w:rsidRPr="009E1A97" w:rsidRDefault="00CE75D4" w:rsidP="008340C1">
            <w:pPr>
              <w:pStyle w:val="ARfintablebodyright"/>
            </w:pPr>
            <w:r w:rsidRPr="00690590">
              <w:t>1,895.7</w:t>
            </w:r>
          </w:p>
        </w:tc>
        <w:tc>
          <w:tcPr>
            <w:tcW w:w="1134" w:type="dxa"/>
            <w:tcBorders>
              <w:top w:val="single" w:sz="4" w:space="0" w:color="A6A6A6"/>
              <w:bottom w:val="single" w:sz="4" w:space="0" w:color="A6A6A6"/>
            </w:tcBorders>
            <w:noWrap/>
          </w:tcPr>
          <w:p w14:paraId="6616F521" w14:textId="77777777" w:rsidR="00CE75D4" w:rsidRPr="009E1A97" w:rsidRDefault="00CE75D4" w:rsidP="008340C1">
            <w:pPr>
              <w:pStyle w:val="ARfintablebodyright"/>
            </w:pPr>
            <w:r>
              <w:t>–</w:t>
            </w:r>
          </w:p>
        </w:tc>
        <w:tc>
          <w:tcPr>
            <w:tcW w:w="1134" w:type="dxa"/>
            <w:tcBorders>
              <w:top w:val="single" w:sz="4" w:space="0" w:color="A6A6A6"/>
              <w:bottom w:val="single" w:sz="4" w:space="0" w:color="A6A6A6"/>
            </w:tcBorders>
            <w:noWrap/>
          </w:tcPr>
          <w:p w14:paraId="19C6E45C" w14:textId="77777777" w:rsidR="00CE75D4" w:rsidRPr="009E1A97" w:rsidRDefault="00CE75D4" w:rsidP="008340C1">
            <w:pPr>
              <w:pStyle w:val="ARfintablebodyright"/>
            </w:pPr>
            <w:r>
              <w:t>–</w:t>
            </w:r>
          </w:p>
        </w:tc>
      </w:tr>
      <w:tr w:rsidR="00CE75D4" w:rsidRPr="002029AF" w14:paraId="0B8D49A8" w14:textId="77777777" w:rsidTr="008340C1">
        <w:trPr>
          <w:cantSplit w:val="0"/>
        </w:trPr>
        <w:tc>
          <w:tcPr>
            <w:tcW w:w="3969" w:type="dxa"/>
            <w:tcBorders>
              <w:top w:val="single" w:sz="4" w:space="0" w:color="A6A6A6"/>
            </w:tcBorders>
            <w:hideMark/>
          </w:tcPr>
          <w:p w14:paraId="10ADC500" w14:textId="77777777" w:rsidR="00CE75D4" w:rsidRPr="002029AF" w:rsidRDefault="00CE75D4" w:rsidP="008340C1">
            <w:pPr>
              <w:pStyle w:val="ARfintablebody"/>
            </w:pPr>
            <w:r w:rsidRPr="00690590">
              <w:t xml:space="preserve">Borrowings </w:t>
            </w:r>
            <w:r w:rsidRPr="00E16BAD">
              <w:rPr>
                <w:rStyle w:val="Superscript"/>
              </w:rPr>
              <w:t>(v</w:t>
            </w:r>
            <w:r>
              <w:rPr>
                <w:rStyle w:val="Superscript"/>
              </w:rPr>
              <w:t>i</w:t>
            </w:r>
            <w:r w:rsidRPr="00E16BAD">
              <w:rPr>
                <w:rStyle w:val="Superscript"/>
              </w:rPr>
              <w:t>)</w:t>
            </w:r>
          </w:p>
        </w:tc>
        <w:tc>
          <w:tcPr>
            <w:tcW w:w="1134" w:type="dxa"/>
            <w:tcBorders>
              <w:top w:val="single" w:sz="4" w:space="0" w:color="A6A6A6"/>
            </w:tcBorders>
            <w:noWrap/>
            <w:hideMark/>
          </w:tcPr>
          <w:p w14:paraId="756B3B7B" w14:textId="77777777" w:rsidR="00CE75D4" w:rsidRPr="002029AF" w:rsidRDefault="00CE75D4" w:rsidP="008340C1">
            <w:pPr>
              <w:pStyle w:val="ARfintablebodyright"/>
            </w:pPr>
            <w:r w:rsidRPr="00690590">
              <w:t>552.2</w:t>
            </w:r>
          </w:p>
        </w:tc>
        <w:tc>
          <w:tcPr>
            <w:tcW w:w="1134" w:type="dxa"/>
            <w:tcBorders>
              <w:top w:val="single" w:sz="4" w:space="0" w:color="A6A6A6"/>
            </w:tcBorders>
            <w:noWrap/>
            <w:hideMark/>
          </w:tcPr>
          <w:p w14:paraId="2DD5DD83" w14:textId="77777777" w:rsidR="00CE75D4" w:rsidRPr="002029AF" w:rsidRDefault="00CE75D4" w:rsidP="008340C1">
            <w:pPr>
              <w:pStyle w:val="ARfintablebodyright"/>
            </w:pPr>
            <w:r>
              <w:t>(0.7)</w:t>
            </w:r>
          </w:p>
        </w:tc>
        <w:tc>
          <w:tcPr>
            <w:tcW w:w="1134" w:type="dxa"/>
            <w:tcBorders>
              <w:top w:val="single" w:sz="4" w:space="0" w:color="A6A6A6"/>
            </w:tcBorders>
            <w:noWrap/>
            <w:hideMark/>
          </w:tcPr>
          <w:p w14:paraId="009FBFCA" w14:textId="77777777" w:rsidR="00CE75D4" w:rsidRPr="002029AF" w:rsidRDefault="00CE75D4" w:rsidP="008340C1">
            <w:pPr>
              <w:pStyle w:val="ARfintablebodyright"/>
            </w:pPr>
            <w:r>
              <w:t>0.7</w:t>
            </w:r>
          </w:p>
        </w:tc>
      </w:tr>
      <w:tr w:rsidR="00CE75D4" w:rsidRPr="002029AF" w14:paraId="628E395A" w14:textId="77777777" w:rsidTr="008340C1">
        <w:trPr>
          <w:cantSplit w:val="0"/>
        </w:trPr>
        <w:tc>
          <w:tcPr>
            <w:tcW w:w="3969" w:type="dxa"/>
            <w:hideMark/>
          </w:tcPr>
          <w:p w14:paraId="464F5805" w14:textId="77777777" w:rsidR="00CE75D4" w:rsidRPr="002029AF" w:rsidRDefault="00CE75D4" w:rsidP="008340C1">
            <w:pPr>
              <w:pStyle w:val="ARfintablebodybold"/>
            </w:pPr>
            <w:r w:rsidRPr="00690590">
              <w:t>Total impact</w:t>
            </w:r>
          </w:p>
        </w:tc>
        <w:tc>
          <w:tcPr>
            <w:tcW w:w="1134" w:type="dxa"/>
            <w:noWrap/>
            <w:hideMark/>
          </w:tcPr>
          <w:p w14:paraId="6CF0A0AD" w14:textId="77777777" w:rsidR="00CE75D4" w:rsidRPr="002029AF" w:rsidRDefault="00CE75D4" w:rsidP="008340C1">
            <w:pPr>
              <w:pStyle w:val="ARfintablebodyrightbold"/>
            </w:pPr>
            <w:r w:rsidRPr="00690590">
              <w:t>2,447.9</w:t>
            </w:r>
          </w:p>
        </w:tc>
        <w:tc>
          <w:tcPr>
            <w:tcW w:w="1134" w:type="dxa"/>
            <w:noWrap/>
            <w:hideMark/>
          </w:tcPr>
          <w:p w14:paraId="665101CF" w14:textId="77777777" w:rsidR="00CE75D4" w:rsidRPr="002029AF" w:rsidRDefault="00CE75D4" w:rsidP="008340C1">
            <w:pPr>
              <w:pStyle w:val="ARfintablebodyrightbold"/>
            </w:pPr>
            <w:r>
              <w:t>(0.7)</w:t>
            </w:r>
          </w:p>
        </w:tc>
        <w:tc>
          <w:tcPr>
            <w:tcW w:w="1134" w:type="dxa"/>
            <w:noWrap/>
            <w:hideMark/>
          </w:tcPr>
          <w:p w14:paraId="4CBF50DE" w14:textId="77777777" w:rsidR="00CE75D4" w:rsidRPr="002029AF" w:rsidRDefault="00CE75D4" w:rsidP="008340C1">
            <w:pPr>
              <w:pStyle w:val="ARfintablebodyrightbold"/>
            </w:pPr>
            <w:r>
              <w:t>0.7</w:t>
            </w:r>
          </w:p>
        </w:tc>
      </w:tr>
    </w:tbl>
    <w:p w14:paraId="053B1055" w14:textId="77777777" w:rsidR="00CE75D4" w:rsidRDefault="00CE75D4" w:rsidP="00087B91">
      <w:pPr>
        <w:pStyle w:val="ARfinbody"/>
      </w:pPr>
    </w:p>
    <w:tbl>
      <w:tblPr>
        <w:tblStyle w:val="TableGrid"/>
        <w:tblW w:w="9628" w:type="dxa"/>
        <w:tblLayout w:type="fixed"/>
        <w:tblLook w:val="06A0" w:firstRow="1" w:lastRow="0" w:firstColumn="1" w:lastColumn="0" w:noHBand="1" w:noVBand="1"/>
      </w:tblPr>
      <w:tblGrid>
        <w:gridCol w:w="3963"/>
        <w:gridCol w:w="1133"/>
        <w:gridCol w:w="1133"/>
        <w:gridCol w:w="1133"/>
        <w:gridCol w:w="1133"/>
        <w:gridCol w:w="1133"/>
      </w:tblGrid>
      <w:tr w:rsidR="00CE75D4" w:rsidRPr="002029AF" w14:paraId="17538283"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3963" w:type="dxa"/>
            <w:vMerge w:val="restart"/>
          </w:tcPr>
          <w:p w14:paraId="45EE502A" w14:textId="77777777" w:rsidR="00CE75D4" w:rsidRPr="001056E9" w:rsidRDefault="00CE75D4" w:rsidP="008340C1">
            <w:pPr>
              <w:pStyle w:val="ARfintablecolhead"/>
            </w:pPr>
          </w:p>
        </w:tc>
        <w:tc>
          <w:tcPr>
            <w:tcW w:w="1133" w:type="dxa"/>
            <w:vMerge w:val="restart"/>
            <w:noWrap/>
          </w:tcPr>
          <w:p w14:paraId="62863971" w14:textId="77777777" w:rsidR="00CE75D4" w:rsidRPr="002029AF" w:rsidRDefault="00CE75D4" w:rsidP="008340C1">
            <w:pPr>
              <w:pStyle w:val="ARfintablecolheadright"/>
            </w:pPr>
            <w:r w:rsidRPr="002029AF">
              <w:t>Carrying amount</w:t>
            </w:r>
          </w:p>
          <w:p w14:paraId="52568A41" w14:textId="77777777" w:rsidR="00CE75D4" w:rsidRPr="001056E9" w:rsidRDefault="00CE75D4" w:rsidP="008340C1">
            <w:pPr>
              <w:pStyle w:val="ARfintablecolheadright"/>
            </w:pPr>
            <w:r w:rsidRPr="002029AF">
              <w:t>$M</w:t>
            </w:r>
          </w:p>
        </w:tc>
        <w:tc>
          <w:tcPr>
            <w:tcW w:w="2266" w:type="dxa"/>
            <w:gridSpan w:val="2"/>
            <w:noWrap/>
          </w:tcPr>
          <w:p w14:paraId="5D02B029" w14:textId="77777777" w:rsidR="00CE75D4" w:rsidRPr="001056E9" w:rsidRDefault="00CE75D4" w:rsidP="008340C1">
            <w:pPr>
              <w:pStyle w:val="ARfintablecolheadcentre"/>
            </w:pPr>
            <w:r w:rsidRPr="002029AF">
              <w:t>Interest rate risk</w:t>
            </w:r>
          </w:p>
        </w:tc>
        <w:tc>
          <w:tcPr>
            <w:tcW w:w="2266" w:type="dxa"/>
            <w:gridSpan w:val="2"/>
          </w:tcPr>
          <w:p w14:paraId="4B2CF8D9" w14:textId="77777777" w:rsidR="00CE75D4" w:rsidRPr="002029AF" w:rsidRDefault="00CE75D4" w:rsidP="008340C1">
            <w:pPr>
              <w:pStyle w:val="ARfintablecolheadcentre"/>
            </w:pPr>
            <w:r w:rsidRPr="006F6E20">
              <w:t>Consumer Price Index</w:t>
            </w:r>
            <w:r>
              <w:t> </w:t>
            </w:r>
            <w:r w:rsidRPr="006F6E20">
              <w:t>(CPI)</w:t>
            </w:r>
          </w:p>
        </w:tc>
      </w:tr>
      <w:tr w:rsidR="00CE75D4" w:rsidRPr="002029AF" w14:paraId="50EFE457"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3963" w:type="dxa"/>
            <w:vMerge/>
            <w:tcBorders>
              <w:bottom w:val="single" w:sz="4" w:space="0" w:color="auto"/>
            </w:tcBorders>
          </w:tcPr>
          <w:p w14:paraId="79C2A1B8" w14:textId="77777777" w:rsidR="00CE75D4" w:rsidRPr="001056E9" w:rsidRDefault="00CE75D4" w:rsidP="008340C1">
            <w:pPr>
              <w:pStyle w:val="ARfintablecolhead"/>
            </w:pPr>
          </w:p>
        </w:tc>
        <w:tc>
          <w:tcPr>
            <w:tcW w:w="1133" w:type="dxa"/>
            <w:vMerge/>
            <w:tcBorders>
              <w:bottom w:val="single" w:sz="4" w:space="0" w:color="auto"/>
            </w:tcBorders>
            <w:noWrap/>
          </w:tcPr>
          <w:p w14:paraId="3AC310A5" w14:textId="77777777" w:rsidR="00CE75D4" w:rsidRPr="001056E9" w:rsidRDefault="00CE75D4" w:rsidP="008340C1">
            <w:pPr>
              <w:pStyle w:val="ARfintablecolheadright"/>
            </w:pPr>
          </w:p>
        </w:tc>
        <w:tc>
          <w:tcPr>
            <w:tcW w:w="1133" w:type="dxa"/>
            <w:tcBorders>
              <w:bottom w:val="single" w:sz="4" w:space="0" w:color="auto"/>
            </w:tcBorders>
            <w:noWrap/>
          </w:tcPr>
          <w:p w14:paraId="68626D12" w14:textId="77777777" w:rsidR="00CE75D4" w:rsidRPr="002029AF" w:rsidRDefault="00CE75D4" w:rsidP="008340C1">
            <w:pPr>
              <w:pStyle w:val="ARfintablecolheadright"/>
            </w:pPr>
            <w:r w:rsidRPr="002029AF">
              <w:t>–</w:t>
            </w:r>
            <w:r>
              <w:t>0.50</w:t>
            </w:r>
            <w:r w:rsidRPr="002029AF">
              <w:t>%</w:t>
            </w:r>
            <w:r w:rsidRPr="002029AF">
              <w:br/>
              <w:t>Net result</w:t>
            </w:r>
          </w:p>
          <w:p w14:paraId="22FF314B" w14:textId="77777777" w:rsidR="00CE75D4" w:rsidRPr="001056E9" w:rsidRDefault="00CE75D4" w:rsidP="008340C1">
            <w:pPr>
              <w:pStyle w:val="ARfintablecolheadright"/>
            </w:pPr>
            <w:r w:rsidRPr="002029AF">
              <w:t>$M</w:t>
            </w:r>
          </w:p>
        </w:tc>
        <w:tc>
          <w:tcPr>
            <w:tcW w:w="1133" w:type="dxa"/>
            <w:tcBorders>
              <w:bottom w:val="single" w:sz="4" w:space="0" w:color="auto"/>
            </w:tcBorders>
            <w:noWrap/>
          </w:tcPr>
          <w:p w14:paraId="3312D759" w14:textId="77777777" w:rsidR="00CE75D4" w:rsidRPr="002029AF" w:rsidRDefault="00CE75D4" w:rsidP="008340C1">
            <w:pPr>
              <w:pStyle w:val="ARfintablecolheadright"/>
            </w:pPr>
            <w:r>
              <w:t>+0.50</w:t>
            </w:r>
            <w:r w:rsidRPr="002029AF">
              <w:t>%</w:t>
            </w:r>
            <w:r w:rsidRPr="002029AF">
              <w:br/>
              <w:t>Net result</w:t>
            </w:r>
          </w:p>
          <w:p w14:paraId="74DC47A6" w14:textId="77777777" w:rsidR="00CE75D4" w:rsidRPr="001056E9" w:rsidRDefault="00CE75D4" w:rsidP="008340C1">
            <w:pPr>
              <w:pStyle w:val="ARfintablecolheadright"/>
            </w:pPr>
            <w:r w:rsidRPr="002029AF">
              <w:t>$M</w:t>
            </w:r>
          </w:p>
        </w:tc>
        <w:tc>
          <w:tcPr>
            <w:tcW w:w="1133" w:type="dxa"/>
            <w:tcBorders>
              <w:bottom w:val="single" w:sz="4" w:space="0" w:color="auto"/>
            </w:tcBorders>
          </w:tcPr>
          <w:p w14:paraId="41B58EBC" w14:textId="77777777" w:rsidR="00CE75D4" w:rsidRPr="002029AF" w:rsidRDefault="00CE75D4" w:rsidP="008340C1">
            <w:pPr>
              <w:pStyle w:val="ARfintablecolheadright"/>
            </w:pPr>
            <w:r w:rsidRPr="002029AF">
              <w:t>–</w:t>
            </w:r>
            <w:r>
              <w:t>0.25</w:t>
            </w:r>
            <w:r w:rsidRPr="002029AF">
              <w:t>%</w:t>
            </w:r>
            <w:r w:rsidRPr="002029AF">
              <w:br/>
              <w:t>Net result</w:t>
            </w:r>
          </w:p>
          <w:p w14:paraId="6D319DA2" w14:textId="77777777" w:rsidR="00CE75D4" w:rsidRDefault="00CE75D4" w:rsidP="008340C1">
            <w:pPr>
              <w:pStyle w:val="ARfintablecolheadright"/>
            </w:pPr>
            <w:r w:rsidRPr="002029AF">
              <w:t>$M</w:t>
            </w:r>
          </w:p>
        </w:tc>
        <w:tc>
          <w:tcPr>
            <w:tcW w:w="1133" w:type="dxa"/>
            <w:tcBorders>
              <w:bottom w:val="single" w:sz="4" w:space="0" w:color="auto"/>
            </w:tcBorders>
          </w:tcPr>
          <w:p w14:paraId="237939CD" w14:textId="77777777" w:rsidR="00CE75D4" w:rsidRPr="002029AF" w:rsidRDefault="00CE75D4" w:rsidP="008340C1">
            <w:pPr>
              <w:pStyle w:val="ARfintablecolheadright"/>
            </w:pPr>
            <w:r>
              <w:t>1.50</w:t>
            </w:r>
            <w:r w:rsidRPr="002029AF">
              <w:t>%</w:t>
            </w:r>
            <w:r w:rsidRPr="002029AF">
              <w:br/>
              <w:t>Net result</w:t>
            </w:r>
          </w:p>
          <w:p w14:paraId="7CAB412A" w14:textId="77777777" w:rsidR="00CE75D4" w:rsidRDefault="00CE75D4" w:rsidP="008340C1">
            <w:pPr>
              <w:pStyle w:val="ARfintablecolheadright"/>
            </w:pPr>
            <w:r w:rsidRPr="002029AF">
              <w:t>$M</w:t>
            </w:r>
          </w:p>
        </w:tc>
      </w:tr>
      <w:tr w:rsidR="00CE75D4" w:rsidRPr="002029AF" w14:paraId="0DBA6F8A" w14:textId="77777777" w:rsidTr="008340C1">
        <w:trPr>
          <w:cantSplit w:val="0"/>
        </w:trPr>
        <w:tc>
          <w:tcPr>
            <w:tcW w:w="9628" w:type="dxa"/>
            <w:gridSpan w:val="6"/>
            <w:tcBorders>
              <w:top w:val="single" w:sz="4" w:space="0" w:color="auto"/>
              <w:bottom w:val="single" w:sz="4" w:space="0" w:color="auto"/>
            </w:tcBorders>
          </w:tcPr>
          <w:p w14:paraId="1E17AFA8" w14:textId="77777777" w:rsidR="00CE75D4" w:rsidRPr="00F02AFC" w:rsidRDefault="00CE75D4" w:rsidP="008340C1">
            <w:pPr>
              <w:pStyle w:val="ARfintablebodybold"/>
            </w:pPr>
            <w:r w:rsidRPr="00F02AFC">
              <w:t>202</w:t>
            </w:r>
            <w:r>
              <w:t>1</w:t>
            </w:r>
          </w:p>
        </w:tc>
      </w:tr>
      <w:tr w:rsidR="00CE75D4" w:rsidRPr="002029AF" w14:paraId="27EA4BBE" w14:textId="77777777" w:rsidTr="008340C1">
        <w:trPr>
          <w:cantSplit w:val="0"/>
        </w:trPr>
        <w:tc>
          <w:tcPr>
            <w:tcW w:w="9628" w:type="dxa"/>
            <w:gridSpan w:val="6"/>
            <w:tcBorders>
              <w:top w:val="single" w:sz="4" w:space="0" w:color="auto"/>
              <w:bottom w:val="single" w:sz="4" w:space="0" w:color="A6A6A6"/>
            </w:tcBorders>
          </w:tcPr>
          <w:p w14:paraId="4455BAC1" w14:textId="77777777" w:rsidR="00CE75D4" w:rsidRPr="00F02AFC" w:rsidRDefault="00CE75D4" w:rsidP="008340C1">
            <w:pPr>
              <w:pStyle w:val="ARfintablebodybold"/>
            </w:pPr>
            <w:r w:rsidRPr="001A71B9">
              <w:t>Contractual financial assets</w:t>
            </w:r>
          </w:p>
        </w:tc>
      </w:tr>
      <w:tr w:rsidR="00CE75D4" w:rsidRPr="002029AF" w14:paraId="345295F5" w14:textId="77777777" w:rsidTr="008340C1">
        <w:trPr>
          <w:cantSplit w:val="0"/>
        </w:trPr>
        <w:tc>
          <w:tcPr>
            <w:tcW w:w="3963" w:type="dxa"/>
            <w:tcBorders>
              <w:top w:val="single" w:sz="4" w:space="0" w:color="A6A6A6"/>
              <w:bottom w:val="single" w:sz="4" w:space="0" w:color="A6A6A6"/>
            </w:tcBorders>
          </w:tcPr>
          <w:p w14:paraId="62687264" w14:textId="77777777" w:rsidR="00CE75D4" w:rsidRPr="009E1A97" w:rsidRDefault="00CE75D4" w:rsidP="008340C1">
            <w:pPr>
              <w:pStyle w:val="ARfintablebody"/>
            </w:pPr>
            <w:r w:rsidRPr="001A71B9">
              <w:t xml:space="preserve">Cash and deposits </w:t>
            </w:r>
            <w:r w:rsidRPr="006F6E20">
              <w:rPr>
                <w:rStyle w:val="Superscript"/>
              </w:rPr>
              <w:t>(i</w:t>
            </w:r>
            <w:r>
              <w:rPr>
                <w:rStyle w:val="Superscript"/>
              </w:rPr>
              <w:t>)(ii</w:t>
            </w:r>
            <w:r w:rsidRPr="006F6E20">
              <w:rPr>
                <w:rStyle w:val="Superscript"/>
              </w:rPr>
              <w:t>)</w:t>
            </w:r>
          </w:p>
        </w:tc>
        <w:tc>
          <w:tcPr>
            <w:tcW w:w="1133" w:type="dxa"/>
            <w:tcBorders>
              <w:top w:val="single" w:sz="4" w:space="0" w:color="A6A6A6"/>
              <w:bottom w:val="single" w:sz="4" w:space="0" w:color="A6A6A6"/>
            </w:tcBorders>
            <w:noWrap/>
          </w:tcPr>
          <w:p w14:paraId="5BF95346" w14:textId="77777777" w:rsidR="00CE75D4" w:rsidRPr="009E1A97" w:rsidRDefault="00CE75D4" w:rsidP="008340C1">
            <w:pPr>
              <w:pStyle w:val="ARfintablebodyright"/>
            </w:pPr>
            <w:r w:rsidRPr="001A71B9">
              <w:t>913.9</w:t>
            </w:r>
          </w:p>
        </w:tc>
        <w:tc>
          <w:tcPr>
            <w:tcW w:w="1133" w:type="dxa"/>
            <w:tcBorders>
              <w:top w:val="single" w:sz="4" w:space="0" w:color="A6A6A6"/>
              <w:bottom w:val="single" w:sz="4" w:space="0" w:color="A6A6A6"/>
            </w:tcBorders>
            <w:noWrap/>
          </w:tcPr>
          <w:p w14:paraId="06FC8252" w14:textId="77777777" w:rsidR="00CE75D4" w:rsidRPr="009E1A97" w:rsidRDefault="00CE75D4" w:rsidP="008340C1">
            <w:pPr>
              <w:pStyle w:val="ARfintablebodyright"/>
            </w:pPr>
            <w:r w:rsidRPr="001A71B9">
              <w:t>(3.9)</w:t>
            </w:r>
          </w:p>
        </w:tc>
        <w:tc>
          <w:tcPr>
            <w:tcW w:w="1133" w:type="dxa"/>
            <w:tcBorders>
              <w:top w:val="single" w:sz="4" w:space="0" w:color="A6A6A6"/>
              <w:bottom w:val="single" w:sz="4" w:space="0" w:color="A6A6A6"/>
            </w:tcBorders>
            <w:noWrap/>
          </w:tcPr>
          <w:p w14:paraId="202027C2" w14:textId="77777777" w:rsidR="00CE75D4" w:rsidRPr="009E1A97" w:rsidRDefault="00CE75D4" w:rsidP="008340C1">
            <w:pPr>
              <w:pStyle w:val="ARfintablebodyright"/>
            </w:pPr>
            <w:r w:rsidRPr="001A71B9">
              <w:t>3.9</w:t>
            </w:r>
          </w:p>
        </w:tc>
        <w:tc>
          <w:tcPr>
            <w:tcW w:w="1133" w:type="dxa"/>
            <w:tcBorders>
              <w:top w:val="single" w:sz="4" w:space="0" w:color="A6A6A6"/>
              <w:bottom w:val="single" w:sz="4" w:space="0" w:color="A6A6A6"/>
            </w:tcBorders>
          </w:tcPr>
          <w:p w14:paraId="0CA1F826" w14:textId="77777777" w:rsidR="00CE75D4" w:rsidRPr="00F02AFC" w:rsidRDefault="00CE75D4" w:rsidP="008340C1">
            <w:pPr>
              <w:pStyle w:val="ARfintablebodyright"/>
            </w:pPr>
            <w:r>
              <w:t>–</w:t>
            </w:r>
          </w:p>
        </w:tc>
        <w:tc>
          <w:tcPr>
            <w:tcW w:w="1133" w:type="dxa"/>
            <w:tcBorders>
              <w:top w:val="single" w:sz="4" w:space="0" w:color="A6A6A6"/>
              <w:bottom w:val="single" w:sz="4" w:space="0" w:color="A6A6A6"/>
            </w:tcBorders>
          </w:tcPr>
          <w:p w14:paraId="3CB985E6" w14:textId="77777777" w:rsidR="00CE75D4" w:rsidRPr="00F02AFC" w:rsidRDefault="00CE75D4" w:rsidP="008340C1">
            <w:pPr>
              <w:pStyle w:val="ARfintablebodyright"/>
            </w:pPr>
            <w:r>
              <w:t>–</w:t>
            </w:r>
          </w:p>
        </w:tc>
      </w:tr>
      <w:tr w:rsidR="00CE75D4" w:rsidRPr="002029AF" w14:paraId="582A8974" w14:textId="77777777" w:rsidTr="008340C1">
        <w:trPr>
          <w:cantSplit w:val="0"/>
        </w:trPr>
        <w:tc>
          <w:tcPr>
            <w:tcW w:w="3963" w:type="dxa"/>
            <w:tcBorders>
              <w:top w:val="single" w:sz="4" w:space="0" w:color="A6A6A6"/>
              <w:bottom w:val="single" w:sz="4" w:space="0" w:color="A6A6A6"/>
            </w:tcBorders>
          </w:tcPr>
          <w:p w14:paraId="5F4FA3D4" w14:textId="77777777" w:rsidR="00CE75D4" w:rsidRPr="001056E9" w:rsidRDefault="00CE75D4" w:rsidP="008340C1">
            <w:pPr>
              <w:pStyle w:val="ARfintablebody"/>
            </w:pPr>
            <w:r w:rsidRPr="001A71B9">
              <w:t xml:space="preserve">Receivables </w:t>
            </w:r>
            <w:r w:rsidRPr="006F6E20">
              <w:rPr>
                <w:rStyle w:val="Superscript"/>
              </w:rPr>
              <w:t>(ii</w:t>
            </w:r>
            <w:r>
              <w:rPr>
                <w:rStyle w:val="Superscript"/>
              </w:rPr>
              <w:t>i</w:t>
            </w:r>
            <w:r w:rsidRPr="006F6E20">
              <w:rPr>
                <w:rStyle w:val="Superscript"/>
              </w:rPr>
              <w:t>)(i</w:t>
            </w:r>
            <w:r>
              <w:rPr>
                <w:rStyle w:val="Superscript"/>
              </w:rPr>
              <w:t>v</w:t>
            </w:r>
            <w:r w:rsidRPr="006F6E20">
              <w:rPr>
                <w:rStyle w:val="Superscript"/>
              </w:rPr>
              <w:t>)</w:t>
            </w:r>
          </w:p>
        </w:tc>
        <w:tc>
          <w:tcPr>
            <w:tcW w:w="1133" w:type="dxa"/>
            <w:tcBorders>
              <w:top w:val="single" w:sz="4" w:space="0" w:color="A6A6A6"/>
              <w:bottom w:val="single" w:sz="4" w:space="0" w:color="A6A6A6"/>
            </w:tcBorders>
            <w:noWrap/>
          </w:tcPr>
          <w:p w14:paraId="0D4CF554" w14:textId="77777777" w:rsidR="00CE75D4" w:rsidRPr="001056E9" w:rsidRDefault="00CE75D4" w:rsidP="008340C1">
            <w:pPr>
              <w:pStyle w:val="ARfintablebodyright"/>
            </w:pPr>
            <w:r w:rsidRPr="001A71B9">
              <w:t>341.9</w:t>
            </w:r>
          </w:p>
        </w:tc>
        <w:tc>
          <w:tcPr>
            <w:tcW w:w="1133" w:type="dxa"/>
            <w:tcBorders>
              <w:top w:val="single" w:sz="4" w:space="0" w:color="A6A6A6"/>
              <w:bottom w:val="single" w:sz="4" w:space="0" w:color="A6A6A6"/>
            </w:tcBorders>
            <w:noWrap/>
          </w:tcPr>
          <w:p w14:paraId="5C6C4DEA" w14:textId="77777777" w:rsidR="00CE75D4" w:rsidRPr="001056E9" w:rsidRDefault="00CE75D4" w:rsidP="008340C1">
            <w:pPr>
              <w:pStyle w:val="ARfintablebodyright"/>
            </w:pPr>
            <w:r>
              <w:t>–</w:t>
            </w:r>
          </w:p>
        </w:tc>
        <w:tc>
          <w:tcPr>
            <w:tcW w:w="1133" w:type="dxa"/>
            <w:tcBorders>
              <w:top w:val="single" w:sz="4" w:space="0" w:color="A6A6A6"/>
              <w:bottom w:val="single" w:sz="4" w:space="0" w:color="A6A6A6"/>
            </w:tcBorders>
            <w:noWrap/>
          </w:tcPr>
          <w:p w14:paraId="41F5DEE7" w14:textId="77777777" w:rsidR="00CE75D4" w:rsidRPr="001056E9" w:rsidRDefault="00CE75D4" w:rsidP="008340C1">
            <w:pPr>
              <w:pStyle w:val="ARfintablebodyright"/>
            </w:pPr>
            <w:r>
              <w:t>–</w:t>
            </w:r>
          </w:p>
        </w:tc>
        <w:tc>
          <w:tcPr>
            <w:tcW w:w="1133" w:type="dxa"/>
            <w:tcBorders>
              <w:top w:val="single" w:sz="4" w:space="0" w:color="A6A6A6"/>
              <w:bottom w:val="single" w:sz="4" w:space="0" w:color="A6A6A6"/>
            </w:tcBorders>
          </w:tcPr>
          <w:p w14:paraId="1075160B" w14:textId="77777777" w:rsidR="00CE75D4" w:rsidRPr="00F02AFC" w:rsidRDefault="00CE75D4" w:rsidP="008340C1">
            <w:pPr>
              <w:pStyle w:val="ARfintablebodyright"/>
            </w:pPr>
            <w:r>
              <w:t>–</w:t>
            </w:r>
          </w:p>
        </w:tc>
        <w:tc>
          <w:tcPr>
            <w:tcW w:w="1133" w:type="dxa"/>
            <w:tcBorders>
              <w:top w:val="single" w:sz="4" w:space="0" w:color="A6A6A6"/>
              <w:bottom w:val="single" w:sz="4" w:space="0" w:color="A6A6A6"/>
            </w:tcBorders>
          </w:tcPr>
          <w:p w14:paraId="76DB5A77" w14:textId="77777777" w:rsidR="00CE75D4" w:rsidRPr="00F02AFC" w:rsidRDefault="00CE75D4" w:rsidP="008340C1">
            <w:pPr>
              <w:pStyle w:val="ARfintablebodyright"/>
            </w:pPr>
            <w:r>
              <w:t>–</w:t>
            </w:r>
          </w:p>
        </w:tc>
      </w:tr>
      <w:tr w:rsidR="00CE75D4" w:rsidRPr="002029AF" w14:paraId="1E62A74F" w14:textId="77777777" w:rsidTr="008340C1">
        <w:trPr>
          <w:cantSplit w:val="0"/>
        </w:trPr>
        <w:tc>
          <w:tcPr>
            <w:tcW w:w="3963" w:type="dxa"/>
            <w:tcBorders>
              <w:top w:val="single" w:sz="4" w:space="0" w:color="A6A6A6"/>
            </w:tcBorders>
          </w:tcPr>
          <w:p w14:paraId="72E81B80" w14:textId="77777777" w:rsidR="00CE75D4" w:rsidRPr="001056E9" w:rsidRDefault="00CE75D4" w:rsidP="008340C1">
            <w:pPr>
              <w:pStyle w:val="ARfintablebody"/>
            </w:pPr>
            <w:r w:rsidRPr="001A71B9">
              <w:t xml:space="preserve">Loans </w:t>
            </w:r>
            <w:r w:rsidRPr="006F6E20">
              <w:rPr>
                <w:rStyle w:val="Superscript"/>
              </w:rPr>
              <w:t>(i</w:t>
            </w:r>
            <w:r>
              <w:rPr>
                <w:rStyle w:val="Superscript"/>
              </w:rPr>
              <w:t>v</w:t>
            </w:r>
            <w:r w:rsidRPr="006F6E20">
              <w:rPr>
                <w:rStyle w:val="Superscript"/>
              </w:rPr>
              <w:t>)(v)</w:t>
            </w:r>
          </w:p>
        </w:tc>
        <w:tc>
          <w:tcPr>
            <w:tcW w:w="1133" w:type="dxa"/>
            <w:tcBorders>
              <w:top w:val="single" w:sz="4" w:space="0" w:color="A6A6A6"/>
            </w:tcBorders>
            <w:noWrap/>
          </w:tcPr>
          <w:p w14:paraId="4D740113" w14:textId="77777777" w:rsidR="00CE75D4" w:rsidRPr="001056E9" w:rsidRDefault="00CE75D4" w:rsidP="008340C1">
            <w:pPr>
              <w:pStyle w:val="ARfintablebodyright"/>
            </w:pPr>
            <w:r w:rsidRPr="001A71B9">
              <w:t>118.8</w:t>
            </w:r>
          </w:p>
        </w:tc>
        <w:tc>
          <w:tcPr>
            <w:tcW w:w="1133" w:type="dxa"/>
            <w:tcBorders>
              <w:top w:val="single" w:sz="4" w:space="0" w:color="A6A6A6"/>
            </w:tcBorders>
            <w:noWrap/>
          </w:tcPr>
          <w:p w14:paraId="765A0E3D" w14:textId="77777777" w:rsidR="00CE75D4" w:rsidRPr="001056E9" w:rsidRDefault="00CE75D4" w:rsidP="008340C1">
            <w:pPr>
              <w:pStyle w:val="ARfintablebodyright"/>
            </w:pPr>
            <w:r>
              <w:t>–</w:t>
            </w:r>
          </w:p>
        </w:tc>
        <w:tc>
          <w:tcPr>
            <w:tcW w:w="1133" w:type="dxa"/>
            <w:tcBorders>
              <w:top w:val="single" w:sz="4" w:space="0" w:color="A6A6A6"/>
            </w:tcBorders>
            <w:noWrap/>
          </w:tcPr>
          <w:p w14:paraId="77E14047" w14:textId="77777777" w:rsidR="00CE75D4" w:rsidRPr="001056E9" w:rsidRDefault="00CE75D4" w:rsidP="008340C1">
            <w:pPr>
              <w:pStyle w:val="ARfintablebodyright"/>
            </w:pPr>
            <w:r>
              <w:t>–</w:t>
            </w:r>
          </w:p>
        </w:tc>
        <w:tc>
          <w:tcPr>
            <w:tcW w:w="1133" w:type="dxa"/>
            <w:tcBorders>
              <w:top w:val="single" w:sz="4" w:space="0" w:color="A6A6A6"/>
            </w:tcBorders>
          </w:tcPr>
          <w:p w14:paraId="176BE93E" w14:textId="77777777" w:rsidR="00CE75D4" w:rsidRPr="00F02AFC" w:rsidRDefault="00CE75D4" w:rsidP="008340C1">
            <w:pPr>
              <w:pStyle w:val="ARfintablebodyright"/>
            </w:pPr>
            <w:r>
              <w:t>–</w:t>
            </w:r>
          </w:p>
        </w:tc>
        <w:tc>
          <w:tcPr>
            <w:tcW w:w="1133" w:type="dxa"/>
            <w:tcBorders>
              <w:top w:val="single" w:sz="4" w:space="0" w:color="A6A6A6"/>
            </w:tcBorders>
          </w:tcPr>
          <w:p w14:paraId="21DFB655" w14:textId="77777777" w:rsidR="00CE75D4" w:rsidRPr="00F02AFC" w:rsidRDefault="00CE75D4" w:rsidP="008340C1">
            <w:pPr>
              <w:pStyle w:val="ARfintablebodyright"/>
            </w:pPr>
            <w:r>
              <w:t>0.1</w:t>
            </w:r>
          </w:p>
        </w:tc>
      </w:tr>
      <w:tr w:rsidR="00CE75D4" w:rsidRPr="002029AF" w14:paraId="25D7DF44" w14:textId="77777777" w:rsidTr="008340C1">
        <w:trPr>
          <w:cantSplit w:val="0"/>
        </w:trPr>
        <w:tc>
          <w:tcPr>
            <w:tcW w:w="3963" w:type="dxa"/>
            <w:tcBorders>
              <w:bottom w:val="single" w:sz="4" w:space="0" w:color="auto"/>
            </w:tcBorders>
          </w:tcPr>
          <w:p w14:paraId="49B93FAA" w14:textId="77777777" w:rsidR="00CE75D4" w:rsidRPr="001056E9" w:rsidRDefault="00CE75D4" w:rsidP="008340C1">
            <w:pPr>
              <w:pStyle w:val="ARfintablebodybold"/>
            </w:pPr>
            <w:r w:rsidRPr="001A71B9">
              <w:t>Total impact</w:t>
            </w:r>
          </w:p>
        </w:tc>
        <w:tc>
          <w:tcPr>
            <w:tcW w:w="1133" w:type="dxa"/>
            <w:tcBorders>
              <w:bottom w:val="single" w:sz="4" w:space="0" w:color="auto"/>
            </w:tcBorders>
            <w:noWrap/>
          </w:tcPr>
          <w:p w14:paraId="62CC3EE9" w14:textId="77777777" w:rsidR="00CE75D4" w:rsidRPr="001056E9" w:rsidRDefault="00CE75D4" w:rsidP="008340C1">
            <w:pPr>
              <w:pStyle w:val="ARfintablebodyrightbold"/>
            </w:pPr>
            <w:r w:rsidRPr="001A71B9">
              <w:t>1,374.6</w:t>
            </w:r>
          </w:p>
        </w:tc>
        <w:tc>
          <w:tcPr>
            <w:tcW w:w="1133" w:type="dxa"/>
            <w:tcBorders>
              <w:bottom w:val="single" w:sz="4" w:space="0" w:color="auto"/>
            </w:tcBorders>
            <w:noWrap/>
          </w:tcPr>
          <w:p w14:paraId="50966EE6" w14:textId="77777777" w:rsidR="00CE75D4" w:rsidRPr="001056E9" w:rsidRDefault="00CE75D4" w:rsidP="008340C1">
            <w:pPr>
              <w:pStyle w:val="ARfintablebodyrightbold"/>
            </w:pPr>
            <w:r w:rsidRPr="001A71B9">
              <w:t>(3.9)</w:t>
            </w:r>
          </w:p>
        </w:tc>
        <w:tc>
          <w:tcPr>
            <w:tcW w:w="1133" w:type="dxa"/>
            <w:tcBorders>
              <w:bottom w:val="single" w:sz="4" w:space="0" w:color="auto"/>
            </w:tcBorders>
            <w:noWrap/>
          </w:tcPr>
          <w:p w14:paraId="362949DE" w14:textId="77777777" w:rsidR="00CE75D4" w:rsidRPr="001056E9" w:rsidRDefault="00CE75D4" w:rsidP="008340C1">
            <w:pPr>
              <w:pStyle w:val="ARfintablebodyrightbold"/>
            </w:pPr>
            <w:r w:rsidRPr="001A71B9">
              <w:t>3.9</w:t>
            </w:r>
          </w:p>
        </w:tc>
        <w:tc>
          <w:tcPr>
            <w:tcW w:w="1133" w:type="dxa"/>
            <w:tcBorders>
              <w:bottom w:val="single" w:sz="4" w:space="0" w:color="auto"/>
            </w:tcBorders>
          </w:tcPr>
          <w:p w14:paraId="69039B18" w14:textId="77777777" w:rsidR="00CE75D4" w:rsidRPr="00F02AFC" w:rsidRDefault="00CE75D4" w:rsidP="008340C1">
            <w:pPr>
              <w:pStyle w:val="ARfintablebodyrightbold"/>
            </w:pPr>
            <w:r>
              <w:t>–</w:t>
            </w:r>
          </w:p>
        </w:tc>
        <w:tc>
          <w:tcPr>
            <w:tcW w:w="1133" w:type="dxa"/>
            <w:tcBorders>
              <w:bottom w:val="single" w:sz="4" w:space="0" w:color="auto"/>
            </w:tcBorders>
          </w:tcPr>
          <w:p w14:paraId="4A61D291" w14:textId="77777777" w:rsidR="00CE75D4" w:rsidRPr="00F02AFC" w:rsidRDefault="00CE75D4" w:rsidP="008340C1">
            <w:pPr>
              <w:pStyle w:val="ARfintablebodyrightbold"/>
            </w:pPr>
            <w:r>
              <w:t>0.1</w:t>
            </w:r>
          </w:p>
        </w:tc>
      </w:tr>
      <w:tr w:rsidR="00CE75D4" w:rsidRPr="002029AF" w14:paraId="52D5D96C" w14:textId="77777777" w:rsidTr="008340C1">
        <w:trPr>
          <w:cantSplit w:val="0"/>
        </w:trPr>
        <w:tc>
          <w:tcPr>
            <w:tcW w:w="9628" w:type="dxa"/>
            <w:gridSpan w:val="6"/>
            <w:tcBorders>
              <w:top w:val="single" w:sz="4" w:space="0" w:color="auto"/>
              <w:bottom w:val="single" w:sz="4" w:space="0" w:color="A6A6A6"/>
            </w:tcBorders>
          </w:tcPr>
          <w:p w14:paraId="659CFE54" w14:textId="77777777" w:rsidR="00CE75D4" w:rsidRPr="00F02AFC" w:rsidRDefault="00CE75D4" w:rsidP="008340C1">
            <w:pPr>
              <w:pStyle w:val="ARfintablebodybold"/>
            </w:pPr>
            <w:r w:rsidRPr="001A71B9">
              <w:t>Contractual financial liabilities</w:t>
            </w:r>
          </w:p>
        </w:tc>
      </w:tr>
      <w:tr w:rsidR="00CE75D4" w:rsidRPr="002029AF" w14:paraId="1BF9A78D" w14:textId="77777777" w:rsidTr="008340C1">
        <w:trPr>
          <w:cantSplit w:val="0"/>
        </w:trPr>
        <w:tc>
          <w:tcPr>
            <w:tcW w:w="3963" w:type="dxa"/>
            <w:tcBorders>
              <w:top w:val="single" w:sz="4" w:space="0" w:color="A6A6A6"/>
              <w:bottom w:val="single" w:sz="4" w:space="0" w:color="A6A6A6"/>
            </w:tcBorders>
          </w:tcPr>
          <w:p w14:paraId="7102D634" w14:textId="77777777" w:rsidR="00CE75D4" w:rsidRPr="009E1A97" w:rsidRDefault="00CE75D4" w:rsidP="008340C1">
            <w:pPr>
              <w:pStyle w:val="ARfintablebody"/>
            </w:pPr>
            <w:r w:rsidRPr="001A71B9">
              <w:t xml:space="preserve">Payables </w:t>
            </w:r>
            <w:r w:rsidRPr="006F6E20">
              <w:rPr>
                <w:rStyle w:val="Superscript"/>
              </w:rPr>
              <w:t>(i</w:t>
            </w:r>
            <w:r>
              <w:rPr>
                <w:rStyle w:val="Superscript"/>
              </w:rPr>
              <w:t>v</w:t>
            </w:r>
            <w:r w:rsidRPr="006F6E20">
              <w:rPr>
                <w:rStyle w:val="Superscript"/>
              </w:rPr>
              <w:t>)</w:t>
            </w:r>
          </w:p>
        </w:tc>
        <w:tc>
          <w:tcPr>
            <w:tcW w:w="1133" w:type="dxa"/>
            <w:tcBorders>
              <w:top w:val="single" w:sz="4" w:space="0" w:color="A6A6A6"/>
              <w:bottom w:val="single" w:sz="4" w:space="0" w:color="A6A6A6"/>
            </w:tcBorders>
            <w:noWrap/>
          </w:tcPr>
          <w:p w14:paraId="14E07E28" w14:textId="77777777" w:rsidR="00CE75D4" w:rsidRPr="009E1A97" w:rsidRDefault="00CE75D4" w:rsidP="008340C1">
            <w:pPr>
              <w:pStyle w:val="ARfintablebodyright"/>
            </w:pPr>
            <w:r w:rsidRPr="001A71B9">
              <w:t>2,130.1</w:t>
            </w:r>
          </w:p>
        </w:tc>
        <w:tc>
          <w:tcPr>
            <w:tcW w:w="1133" w:type="dxa"/>
            <w:tcBorders>
              <w:top w:val="single" w:sz="4" w:space="0" w:color="A6A6A6"/>
              <w:bottom w:val="single" w:sz="4" w:space="0" w:color="A6A6A6"/>
            </w:tcBorders>
            <w:noWrap/>
          </w:tcPr>
          <w:p w14:paraId="0354825A" w14:textId="77777777" w:rsidR="00CE75D4" w:rsidRPr="009E1A97" w:rsidRDefault="00CE75D4" w:rsidP="008340C1">
            <w:pPr>
              <w:pStyle w:val="ARfintablebodyright"/>
            </w:pPr>
            <w:r>
              <w:t>–</w:t>
            </w:r>
          </w:p>
        </w:tc>
        <w:tc>
          <w:tcPr>
            <w:tcW w:w="1133" w:type="dxa"/>
            <w:tcBorders>
              <w:top w:val="single" w:sz="4" w:space="0" w:color="A6A6A6"/>
              <w:bottom w:val="single" w:sz="4" w:space="0" w:color="A6A6A6"/>
            </w:tcBorders>
            <w:noWrap/>
          </w:tcPr>
          <w:p w14:paraId="5C19648D" w14:textId="77777777" w:rsidR="00CE75D4" w:rsidRPr="009E1A97" w:rsidRDefault="00CE75D4" w:rsidP="008340C1">
            <w:pPr>
              <w:pStyle w:val="ARfintablebodyright"/>
            </w:pPr>
            <w:r>
              <w:t>–</w:t>
            </w:r>
          </w:p>
        </w:tc>
        <w:tc>
          <w:tcPr>
            <w:tcW w:w="1133" w:type="dxa"/>
            <w:tcBorders>
              <w:top w:val="single" w:sz="4" w:space="0" w:color="A6A6A6"/>
              <w:bottom w:val="single" w:sz="4" w:space="0" w:color="A6A6A6"/>
            </w:tcBorders>
          </w:tcPr>
          <w:p w14:paraId="5533555B" w14:textId="77777777" w:rsidR="00CE75D4" w:rsidRPr="00F02AFC" w:rsidRDefault="00CE75D4" w:rsidP="008340C1">
            <w:pPr>
              <w:pStyle w:val="ARfintablebodyright"/>
            </w:pPr>
            <w:r>
              <w:t>–</w:t>
            </w:r>
          </w:p>
        </w:tc>
        <w:tc>
          <w:tcPr>
            <w:tcW w:w="1133" w:type="dxa"/>
            <w:tcBorders>
              <w:top w:val="single" w:sz="4" w:space="0" w:color="A6A6A6"/>
              <w:bottom w:val="single" w:sz="4" w:space="0" w:color="A6A6A6"/>
            </w:tcBorders>
          </w:tcPr>
          <w:p w14:paraId="2D5E76A0" w14:textId="77777777" w:rsidR="00CE75D4" w:rsidRPr="00F02AFC" w:rsidRDefault="00CE75D4" w:rsidP="008340C1">
            <w:pPr>
              <w:pStyle w:val="ARfintablebodyright"/>
            </w:pPr>
            <w:r>
              <w:t>–</w:t>
            </w:r>
          </w:p>
        </w:tc>
      </w:tr>
      <w:tr w:rsidR="00CE75D4" w:rsidRPr="002029AF" w14:paraId="7C541B5A" w14:textId="77777777" w:rsidTr="008340C1">
        <w:trPr>
          <w:cantSplit w:val="0"/>
        </w:trPr>
        <w:tc>
          <w:tcPr>
            <w:tcW w:w="3963" w:type="dxa"/>
            <w:tcBorders>
              <w:top w:val="single" w:sz="4" w:space="0" w:color="A6A6A6"/>
            </w:tcBorders>
            <w:hideMark/>
          </w:tcPr>
          <w:p w14:paraId="539D9461" w14:textId="77777777" w:rsidR="00CE75D4" w:rsidRPr="002029AF" w:rsidRDefault="00CE75D4" w:rsidP="008340C1">
            <w:pPr>
              <w:pStyle w:val="ARfintablebody"/>
            </w:pPr>
            <w:r w:rsidRPr="001A71B9">
              <w:t xml:space="preserve">Borrowings </w:t>
            </w:r>
            <w:r w:rsidRPr="006F6E20">
              <w:rPr>
                <w:rStyle w:val="Superscript"/>
              </w:rPr>
              <w:t>(v</w:t>
            </w:r>
            <w:r>
              <w:rPr>
                <w:rStyle w:val="Superscript"/>
              </w:rPr>
              <w:t>i</w:t>
            </w:r>
            <w:r w:rsidRPr="006F6E20">
              <w:rPr>
                <w:rStyle w:val="Superscript"/>
              </w:rPr>
              <w:t>)</w:t>
            </w:r>
          </w:p>
        </w:tc>
        <w:tc>
          <w:tcPr>
            <w:tcW w:w="1133" w:type="dxa"/>
            <w:tcBorders>
              <w:top w:val="single" w:sz="4" w:space="0" w:color="A6A6A6"/>
            </w:tcBorders>
            <w:noWrap/>
            <w:hideMark/>
          </w:tcPr>
          <w:p w14:paraId="5F522401" w14:textId="77777777" w:rsidR="00CE75D4" w:rsidRPr="002029AF" w:rsidRDefault="00CE75D4" w:rsidP="008340C1">
            <w:pPr>
              <w:pStyle w:val="ARfintablebodyright"/>
            </w:pPr>
            <w:r w:rsidRPr="001A71B9">
              <w:t>329.4</w:t>
            </w:r>
          </w:p>
        </w:tc>
        <w:tc>
          <w:tcPr>
            <w:tcW w:w="1133" w:type="dxa"/>
            <w:tcBorders>
              <w:top w:val="single" w:sz="4" w:space="0" w:color="A6A6A6"/>
            </w:tcBorders>
            <w:noWrap/>
            <w:hideMark/>
          </w:tcPr>
          <w:p w14:paraId="6D3C213D" w14:textId="77777777" w:rsidR="00CE75D4" w:rsidRPr="002029AF" w:rsidRDefault="00CE75D4" w:rsidP="008340C1">
            <w:pPr>
              <w:pStyle w:val="ARfintablebodyright"/>
            </w:pPr>
            <w:r>
              <w:t>–</w:t>
            </w:r>
          </w:p>
        </w:tc>
        <w:tc>
          <w:tcPr>
            <w:tcW w:w="1133" w:type="dxa"/>
            <w:tcBorders>
              <w:top w:val="single" w:sz="4" w:space="0" w:color="A6A6A6"/>
            </w:tcBorders>
            <w:noWrap/>
            <w:hideMark/>
          </w:tcPr>
          <w:p w14:paraId="36D40A10" w14:textId="77777777" w:rsidR="00CE75D4" w:rsidRPr="002029AF" w:rsidRDefault="00CE75D4" w:rsidP="008340C1">
            <w:pPr>
              <w:pStyle w:val="ARfintablebodyright"/>
            </w:pPr>
            <w:r>
              <w:t>–</w:t>
            </w:r>
          </w:p>
        </w:tc>
        <w:tc>
          <w:tcPr>
            <w:tcW w:w="1133" w:type="dxa"/>
            <w:tcBorders>
              <w:top w:val="single" w:sz="4" w:space="0" w:color="A6A6A6"/>
            </w:tcBorders>
          </w:tcPr>
          <w:p w14:paraId="7F92C6AC" w14:textId="77777777" w:rsidR="00CE75D4" w:rsidRPr="00F02AFC" w:rsidRDefault="00CE75D4" w:rsidP="008340C1">
            <w:pPr>
              <w:pStyle w:val="ARfintablebodyright"/>
            </w:pPr>
            <w:r>
              <w:t>–</w:t>
            </w:r>
          </w:p>
        </w:tc>
        <w:tc>
          <w:tcPr>
            <w:tcW w:w="1133" w:type="dxa"/>
            <w:tcBorders>
              <w:top w:val="single" w:sz="4" w:space="0" w:color="A6A6A6"/>
            </w:tcBorders>
          </w:tcPr>
          <w:p w14:paraId="3CDCC3E6" w14:textId="77777777" w:rsidR="00CE75D4" w:rsidRPr="00F02AFC" w:rsidRDefault="00CE75D4" w:rsidP="008340C1">
            <w:pPr>
              <w:pStyle w:val="ARfintablebodyright"/>
            </w:pPr>
            <w:r>
              <w:t>–</w:t>
            </w:r>
          </w:p>
        </w:tc>
      </w:tr>
      <w:tr w:rsidR="00CE75D4" w:rsidRPr="002029AF" w14:paraId="60272012" w14:textId="77777777" w:rsidTr="008340C1">
        <w:trPr>
          <w:cantSplit w:val="0"/>
        </w:trPr>
        <w:tc>
          <w:tcPr>
            <w:tcW w:w="3963" w:type="dxa"/>
            <w:hideMark/>
          </w:tcPr>
          <w:p w14:paraId="41AA52DE" w14:textId="77777777" w:rsidR="00CE75D4" w:rsidRPr="002029AF" w:rsidRDefault="00CE75D4" w:rsidP="008340C1">
            <w:pPr>
              <w:pStyle w:val="ARfintablebodybold"/>
            </w:pPr>
            <w:r w:rsidRPr="001A71B9">
              <w:t>Total impact</w:t>
            </w:r>
          </w:p>
        </w:tc>
        <w:tc>
          <w:tcPr>
            <w:tcW w:w="1133" w:type="dxa"/>
            <w:noWrap/>
            <w:hideMark/>
          </w:tcPr>
          <w:p w14:paraId="3E39DC33" w14:textId="77777777" w:rsidR="00CE75D4" w:rsidRPr="002029AF" w:rsidRDefault="00CE75D4" w:rsidP="008340C1">
            <w:pPr>
              <w:pStyle w:val="ARfintablebodyrightbold"/>
            </w:pPr>
            <w:r w:rsidRPr="001A71B9">
              <w:t>2,459.5</w:t>
            </w:r>
          </w:p>
        </w:tc>
        <w:tc>
          <w:tcPr>
            <w:tcW w:w="1133" w:type="dxa"/>
            <w:noWrap/>
            <w:hideMark/>
          </w:tcPr>
          <w:p w14:paraId="4CC16A4A" w14:textId="77777777" w:rsidR="00CE75D4" w:rsidRPr="002029AF" w:rsidRDefault="00CE75D4" w:rsidP="008340C1">
            <w:pPr>
              <w:pStyle w:val="ARfintablebodyrightbold"/>
            </w:pPr>
            <w:r>
              <w:t>–</w:t>
            </w:r>
          </w:p>
        </w:tc>
        <w:tc>
          <w:tcPr>
            <w:tcW w:w="1133" w:type="dxa"/>
            <w:noWrap/>
            <w:hideMark/>
          </w:tcPr>
          <w:p w14:paraId="331789F3" w14:textId="77777777" w:rsidR="00CE75D4" w:rsidRPr="002029AF" w:rsidRDefault="00CE75D4" w:rsidP="008340C1">
            <w:pPr>
              <w:pStyle w:val="ARfintablebodyrightbold"/>
            </w:pPr>
            <w:r>
              <w:t>–</w:t>
            </w:r>
          </w:p>
        </w:tc>
        <w:tc>
          <w:tcPr>
            <w:tcW w:w="1133" w:type="dxa"/>
          </w:tcPr>
          <w:p w14:paraId="29140CCA" w14:textId="77777777" w:rsidR="00CE75D4" w:rsidRPr="00F02AFC" w:rsidRDefault="00CE75D4" w:rsidP="008340C1">
            <w:pPr>
              <w:pStyle w:val="ARfintablebodyrightbold"/>
            </w:pPr>
            <w:r>
              <w:t>–</w:t>
            </w:r>
          </w:p>
        </w:tc>
        <w:tc>
          <w:tcPr>
            <w:tcW w:w="1133" w:type="dxa"/>
          </w:tcPr>
          <w:p w14:paraId="013B6F3D" w14:textId="77777777" w:rsidR="00CE75D4" w:rsidRPr="00F02AFC" w:rsidRDefault="00CE75D4" w:rsidP="008340C1">
            <w:pPr>
              <w:pStyle w:val="ARfintablebodyrightbold"/>
            </w:pPr>
            <w:r>
              <w:t>–</w:t>
            </w:r>
          </w:p>
        </w:tc>
      </w:tr>
    </w:tbl>
    <w:p w14:paraId="5806331F" w14:textId="77777777" w:rsidR="00CE75D4" w:rsidRDefault="00CE75D4" w:rsidP="008340C1">
      <w:pPr>
        <w:pStyle w:val="ARfintablefootnote"/>
        <w:rPr>
          <w:lang w:eastAsia="en-AU"/>
        </w:rPr>
      </w:pPr>
      <w:r>
        <w:rPr>
          <w:lang w:eastAsia="en-AU"/>
        </w:rPr>
        <w:t>Notes:</w:t>
      </w:r>
    </w:p>
    <w:p w14:paraId="00E416BD" w14:textId="5125D2EA" w:rsidR="00CE75D4" w:rsidRDefault="00CE75D4" w:rsidP="00C55D7D">
      <w:pPr>
        <w:pStyle w:val="ARfintablefootnoteindent"/>
      </w:pPr>
      <w:r>
        <w:t>(i)</w:t>
      </w:r>
      <w:r>
        <w:tab/>
        <w:t>All cash and deposits are held in Australian dollars and were held on deposits at fixed and variable interest rates. This item is not subject to any other identified risk sensitivities.</w:t>
      </w:r>
    </w:p>
    <w:p w14:paraId="49490868" w14:textId="21D3A77F" w:rsidR="00CE75D4" w:rsidRDefault="00CE75D4" w:rsidP="008340C1">
      <w:pPr>
        <w:pStyle w:val="ARfintablefootnoteindent"/>
      </w:pPr>
      <w:r>
        <w:t>(ii)</w:t>
      </w:r>
      <w:r>
        <w:tab/>
        <w:t xml:space="preserve">Majority </w:t>
      </w:r>
      <w:r w:rsidRPr="004F378A">
        <w:t>of cash and deposits are funds held in trust, which are not subject to the interest rate risk.</w:t>
      </w:r>
    </w:p>
    <w:p w14:paraId="11D45D05" w14:textId="21F06982" w:rsidR="00CE75D4" w:rsidRDefault="00CE75D4" w:rsidP="004E63CD">
      <w:pPr>
        <w:pStyle w:val="ARfintablefootnoteindent"/>
      </w:pPr>
      <w:r>
        <w:t>(iii)</w:t>
      </w:r>
      <w:r>
        <w:tab/>
        <w:t>The carrying amount is denominated in Australian dollars and is non-interest bearing. This item is not subject to the identified risk sensitivities.</w:t>
      </w:r>
    </w:p>
    <w:p w14:paraId="1B014297" w14:textId="2046ED6B" w:rsidR="00CE75D4" w:rsidRDefault="00CE75D4" w:rsidP="008340C1">
      <w:pPr>
        <w:pStyle w:val="ARfintablefootnoteindent"/>
      </w:pPr>
      <w:r>
        <w:t>(iv)</w:t>
      </w:r>
      <w:r>
        <w:tab/>
        <w:t>The total amounts disclosed here exclude statutory amounts, for example, amounts owing to/from Victorian Government and GST input tax credit recoverable and taxes payable.</w:t>
      </w:r>
    </w:p>
    <w:p w14:paraId="1A64500F" w14:textId="5FF76893" w:rsidR="00CE75D4" w:rsidRDefault="00CE75D4" w:rsidP="008340C1">
      <w:pPr>
        <w:pStyle w:val="ARfintablefootnoteindent"/>
      </w:pPr>
      <w:r>
        <w:t>(v)</w:t>
      </w:r>
      <w:r>
        <w:tab/>
        <w:t xml:space="preserve">The loans in 2022 relate to the loans and advances provided to the health services. These loans are not subject to CPI. The loans in 2021 include the loans and advances provided to the health services (not subject to CPI) and the Director of Housing-related loans (subject to CPI). The Director of Housing was transferred to </w:t>
      </w:r>
      <w:r w:rsidR="00321FE3">
        <w:t xml:space="preserve">the </w:t>
      </w:r>
      <w:r>
        <w:t>DFFH in 2020–21 as part of the machinery of government changes.</w:t>
      </w:r>
    </w:p>
    <w:p w14:paraId="15600194" w14:textId="77777777" w:rsidR="00CE75D4" w:rsidRDefault="00CE75D4" w:rsidP="008340C1">
      <w:pPr>
        <w:pStyle w:val="ARfintablefootnoteindent"/>
      </w:pPr>
      <w:r>
        <w:t>(vi)</w:t>
      </w:r>
      <w:r>
        <w:tab/>
        <w:t>Borrowings are denominated in Australian dollars. $9.2 million (2021: $91.4 million) relates to lease liabilities and $490.2 million (2021: $175.4 million) relates to PPP financial liabilities.</w:t>
      </w:r>
    </w:p>
    <w:p w14:paraId="1F29521A" w14:textId="77777777" w:rsidR="00CE75D4" w:rsidRPr="0040433B" w:rsidRDefault="00CE75D4" w:rsidP="00087B91">
      <w:pPr>
        <w:pStyle w:val="ARfinbody"/>
      </w:pPr>
      <w:r w:rsidRPr="0040433B">
        <w:br w:type="page"/>
      </w:r>
    </w:p>
    <w:p w14:paraId="0F3F5FED" w14:textId="77777777" w:rsidR="00CE75D4" w:rsidRDefault="00CE75D4" w:rsidP="008340C1">
      <w:pPr>
        <w:pStyle w:val="Heading4"/>
      </w:pPr>
      <w:r>
        <w:rPr>
          <w:lang w:eastAsia="en-AU"/>
        </w:rPr>
        <w:t>8.2 Contingent assets and contingent liabilities</w:t>
      </w:r>
    </w:p>
    <w:p w14:paraId="0D4FCE95" w14:textId="77777777" w:rsidR="00CE75D4" w:rsidRDefault="00CE75D4" w:rsidP="008340C1">
      <w:pPr>
        <w:pStyle w:val="ARfinbody"/>
      </w:pPr>
      <w:r>
        <w:t>Contingent assets and contingent liabilities are not recognised in the balance sheet, but are disclosed by way of a disclosure and, if quantifiable, are stated at nominal value. Contingent assets and liabilities are presented inclusive of GST receivable or payable respectively.</w:t>
      </w:r>
    </w:p>
    <w:p w14:paraId="49B4E88B" w14:textId="77777777" w:rsidR="00CE75D4" w:rsidRDefault="00CE75D4" w:rsidP="008340C1">
      <w:pPr>
        <w:pStyle w:val="Heading5"/>
        <w:rPr>
          <w:lang w:eastAsia="en-AU"/>
        </w:rPr>
      </w:pPr>
      <w:r>
        <w:rPr>
          <w:lang w:eastAsia="en-AU"/>
        </w:rPr>
        <w:t>Contingent assets</w:t>
      </w:r>
    </w:p>
    <w:p w14:paraId="3C4A0219" w14:textId="77777777" w:rsidR="00CE75D4" w:rsidRDefault="00CE75D4" w:rsidP="008340C1">
      <w:pPr>
        <w:pStyle w:val="ARfinbody"/>
      </w:pPr>
      <w:r>
        <w:t>Contingent assets are possible assets that arise from past events, whose existence will be confirmed only by the occurrence or non-occurrence of one or more uncertain future events not wholly within the control of the entity.</w:t>
      </w:r>
    </w:p>
    <w:p w14:paraId="7E3F5E9B" w14:textId="77777777" w:rsidR="00CE75D4" w:rsidRDefault="00CE75D4" w:rsidP="008340C1">
      <w:pPr>
        <w:pStyle w:val="ARfinbodylargespace"/>
      </w:pPr>
      <w:r>
        <w:t>These are classified as either quantifiable, where the potential economic benefit is known, or non-quantifiable.</w:t>
      </w:r>
    </w:p>
    <w:tbl>
      <w:tblPr>
        <w:tblStyle w:val="TableGrid"/>
        <w:tblW w:w="9637" w:type="dxa"/>
        <w:tblLayout w:type="fixed"/>
        <w:tblLook w:val="06A0" w:firstRow="1" w:lastRow="0" w:firstColumn="1" w:lastColumn="0" w:noHBand="1" w:noVBand="1"/>
      </w:tblPr>
      <w:tblGrid>
        <w:gridCol w:w="7365"/>
        <w:gridCol w:w="1136"/>
        <w:gridCol w:w="1136"/>
      </w:tblGrid>
      <w:tr w:rsidR="00CE75D4" w:rsidRPr="002029AF" w14:paraId="18A2F964"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7365" w:type="dxa"/>
            <w:tcBorders>
              <w:bottom w:val="single" w:sz="4" w:space="0" w:color="auto"/>
            </w:tcBorders>
            <w:hideMark/>
          </w:tcPr>
          <w:p w14:paraId="601D653B" w14:textId="77777777" w:rsidR="00CE75D4" w:rsidRPr="00261DC2" w:rsidRDefault="00CE75D4" w:rsidP="008340C1">
            <w:pPr>
              <w:pStyle w:val="ARfintablecolhead"/>
            </w:pPr>
          </w:p>
        </w:tc>
        <w:tc>
          <w:tcPr>
            <w:tcW w:w="1136" w:type="dxa"/>
            <w:tcBorders>
              <w:bottom w:val="single" w:sz="4" w:space="0" w:color="auto"/>
            </w:tcBorders>
            <w:shd w:val="clear" w:color="auto" w:fill="E7E6E6"/>
            <w:hideMark/>
          </w:tcPr>
          <w:p w14:paraId="62C16B1D" w14:textId="77777777" w:rsidR="00CE75D4" w:rsidRPr="002029AF" w:rsidRDefault="00CE75D4" w:rsidP="008340C1">
            <w:pPr>
              <w:pStyle w:val="ARfintablecolheadright"/>
            </w:pPr>
            <w:r w:rsidRPr="002029AF">
              <w:t>202</w:t>
            </w:r>
            <w:r>
              <w:t>2</w:t>
            </w:r>
          </w:p>
          <w:p w14:paraId="313719D8" w14:textId="77777777" w:rsidR="00CE75D4" w:rsidRPr="002029AF" w:rsidRDefault="00CE75D4" w:rsidP="008340C1">
            <w:pPr>
              <w:pStyle w:val="ARfintablecolheadright"/>
            </w:pPr>
            <w:r w:rsidRPr="002029AF">
              <w:t>$M</w:t>
            </w:r>
          </w:p>
        </w:tc>
        <w:tc>
          <w:tcPr>
            <w:tcW w:w="1136" w:type="dxa"/>
            <w:tcBorders>
              <w:bottom w:val="single" w:sz="4" w:space="0" w:color="auto"/>
            </w:tcBorders>
            <w:hideMark/>
          </w:tcPr>
          <w:p w14:paraId="29E732EF" w14:textId="77777777" w:rsidR="00CE75D4" w:rsidRPr="002029AF" w:rsidRDefault="00CE75D4" w:rsidP="008340C1">
            <w:pPr>
              <w:pStyle w:val="ARfintablecolheadright"/>
            </w:pPr>
            <w:r>
              <w:t>2021</w:t>
            </w:r>
          </w:p>
          <w:p w14:paraId="2599CEE5" w14:textId="77777777" w:rsidR="00CE75D4" w:rsidRPr="002029AF" w:rsidRDefault="00CE75D4" w:rsidP="008340C1">
            <w:pPr>
              <w:pStyle w:val="ARfintablecolheadright"/>
            </w:pPr>
            <w:r w:rsidRPr="002029AF">
              <w:t>$M</w:t>
            </w:r>
          </w:p>
        </w:tc>
      </w:tr>
      <w:tr w:rsidR="00CE75D4" w:rsidRPr="002029AF" w14:paraId="027D1350" w14:textId="77777777" w:rsidTr="00130D1C">
        <w:trPr>
          <w:trHeight w:val="255"/>
        </w:trPr>
        <w:tc>
          <w:tcPr>
            <w:tcW w:w="9637" w:type="dxa"/>
            <w:gridSpan w:val="3"/>
            <w:tcBorders>
              <w:top w:val="single" w:sz="4" w:space="0" w:color="auto"/>
              <w:bottom w:val="single" w:sz="4" w:space="0" w:color="A6A6A6"/>
            </w:tcBorders>
            <w:hideMark/>
          </w:tcPr>
          <w:p w14:paraId="3F462EC5" w14:textId="77777777" w:rsidR="00CE75D4" w:rsidRPr="002029AF" w:rsidRDefault="00CE75D4" w:rsidP="008340C1">
            <w:pPr>
              <w:pStyle w:val="ARfintablebodybold"/>
            </w:pPr>
            <w:r w:rsidRPr="00BA76DF">
              <w:t xml:space="preserve">Quantifiable contingent assets </w:t>
            </w:r>
            <w:r w:rsidRPr="002A31BA">
              <w:rPr>
                <w:rStyle w:val="Superscript"/>
              </w:rPr>
              <w:t>(i)</w:t>
            </w:r>
          </w:p>
        </w:tc>
      </w:tr>
      <w:tr w:rsidR="00CE75D4" w:rsidRPr="002029AF" w14:paraId="66EA8A91" w14:textId="77777777" w:rsidTr="008340C1">
        <w:trPr>
          <w:trHeight w:val="255"/>
        </w:trPr>
        <w:tc>
          <w:tcPr>
            <w:tcW w:w="7365" w:type="dxa"/>
            <w:tcBorders>
              <w:top w:val="single" w:sz="4" w:space="0" w:color="A6A6A6"/>
              <w:bottom w:val="single" w:sz="4" w:space="0" w:color="A6A6A6"/>
            </w:tcBorders>
            <w:hideMark/>
          </w:tcPr>
          <w:p w14:paraId="135A8C14" w14:textId="77777777" w:rsidR="00CE75D4" w:rsidRPr="002029AF" w:rsidRDefault="00CE75D4" w:rsidP="008340C1">
            <w:pPr>
              <w:pStyle w:val="ARfintablebody"/>
            </w:pPr>
            <w:r w:rsidRPr="00BA76DF">
              <w:t>Bank guarantee held for building contracts</w:t>
            </w:r>
          </w:p>
        </w:tc>
        <w:tc>
          <w:tcPr>
            <w:tcW w:w="1136" w:type="dxa"/>
            <w:tcBorders>
              <w:top w:val="single" w:sz="4" w:space="0" w:color="A6A6A6"/>
              <w:bottom w:val="single" w:sz="4" w:space="0" w:color="A6A6A6"/>
            </w:tcBorders>
            <w:shd w:val="clear" w:color="auto" w:fill="E7E6E6"/>
            <w:noWrap/>
            <w:hideMark/>
          </w:tcPr>
          <w:p w14:paraId="13BC8E99" w14:textId="77777777" w:rsidR="00CE75D4" w:rsidRPr="002029AF" w:rsidRDefault="00CE75D4" w:rsidP="008340C1">
            <w:pPr>
              <w:pStyle w:val="ARfintablebodyright"/>
            </w:pPr>
            <w:r w:rsidRPr="00BA76DF">
              <w:t>–</w:t>
            </w:r>
          </w:p>
        </w:tc>
        <w:tc>
          <w:tcPr>
            <w:tcW w:w="1136" w:type="dxa"/>
            <w:tcBorders>
              <w:top w:val="single" w:sz="4" w:space="0" w:color="A6A6A6"/>
              <w:bottom w:val="single" w:sz="4" w:space="0" w:color="A6A6A6"/>
            </w:tcBorders>
            <w:noWrap/>
            <w:hideMark/>
          </w:tcPr>
          <w:p w14:paraId="43B737F5" w14:textId="77777777" w:rsidR="00CE75D4" w:rsidRPr="002029AF" w:rsidRDefault="00CE75D4" w:rsidP="008340C1">
            <w:pPr>
              <w:pStyle w:val="ARfintablebodyright"/>
            </w:pPr>
            <w:r w:rsidRPr="00BA76DF">
              <w:t>22.5</w:t>
            </w:r>
          </w:p>
        </w:tc>
      </w:tr>
      <w:tr w:rsidR="00CE75D4" w:rsidRPr="002029AF" w14:paraId="3A6614C5" w14:textId="77777777" w:rsidTr="008340C1">
        <w:trPr>
          <w:trHeight w:val="255"/>
        </w:trPr>
        <w:tc>
          <w:tcPr>
            <w:tcW w:w="7365" w:type="dxa"/>
            <w:tcBorders>
              <w:top w:val="single" w:sz="4" w:space="0" w:color="A6A6A6"/>
              <w:bottom w:val="single" w:sz="4" w:space="0" w:color="A6A6A6"/>
            </w:tcBorders>
            <w:hideMark/>
          </w:tcPr>
          <w:p w14:paraId="4ED2D157" w14:textId="77777777" w:rsidR="00CE75D4" w:rsidRPr="002029AF" w:rsidRDefault="00CE75D4" w:rsidP="008340C1">
            <w:pPr>
              <w:pStyle w:val="ARfintablebody"/>
            </w:pPr>
            <w:r w:rsidRPr="00BA76DF">
              <w:t>Reimbursement claim for the work undertaken by the landlord to Orange Door site</w:t>
            </w:r>
          </w:p>
        </w:tc>
        <w:tc>
          <w:tcPr>
            <w:tcW w:w="1136" w:type="dxa"/>
            <w:tcBorders>
              <w:top w:val="single" w:sz="4" w:space="0" w:color="A6A6A6"/>
              <w:bottom w:val="single" w:sz="4" w:space="0" w:color="A6A6A6"/>
            </w:tcBorders>
            <w:shd w:val="clear" w:color="auto" w:fill="E7E6E6"/>
            <w:noWrap/>
            <w:hideMark/>
          </w:tcPr>
          <w:p w14:paraId="08B5C954" w14:textId="77777777" w:rsidR="00CE75D4" w:rsidRPr="002029AF" w:rsidRDefault="00CE75D4" w:rsidP="008340C1">
            <w:pPr>
              <w:pStyle w:val="ARfintablebodyright"/>
            </w:pPr>
            <w:r w:rsidRPr="00BA76DF">
              <w:t>–</w:t>
            </w:r>
          </w:p>
        </w:tc>
        <w:tc>
          <w:tcPr>
            <w:tcW w:w="1136" w:type="dxa"/>
            <w:tcBorders>
              <w:top w:val="single" w:sz="4" w:space="0" w:color="A6A6A6"/>
              <w:bottom w:val="single" w:sz="4" w:space="0" w:color="A6A6A6"/>
            </w:tcBorders>
            <w:noWrap/>
            <w:hideMark/>
          </w:tcPr>
          <w:p w14:paraId="40F9635F" w14:textId="77777777" w:rsidR="00CE75D4" w:rsidRPr="002029AF" w:rsidRDefault="00CE75D4" w:rsidP="008340C1">
            <w:pPr>
              <w:pStyle w:val="ARfintablebodyright"/>
            </w:pPr>
            <w:r w:rsidRPr="00BA76DF">
              <w:t>1.0</w:t>
            </w:r>
          </w:p>
        </w:tc>
      </w:tr>
      <w:tr w:rsidR="00CE75D4" w:rsidRPr="002029AF" w14:paraId="3577B4B5" w14:textId="77777777" w:rsidTr="00130D1C">
        <w:trPr>
          <w:trHeight w:val="255"/>
        </w:trPr>
        <w:tc>
          <w:tcPr>
            <w:tcW w:w="7365" w:type="dxa"/>
            <w:hideMark/>
          </w:tcPr>
          <w:p w14:paraId="79379A90" w14:textId="77777777" w:rsidR="00CE75D4" w:rsidRPr="002029AF" w:rsidRDefault="00CE75D4" w:rsidP="008340C1">
            <w:pPr>
              <w:pStyle w:val="ARfintablebodybold"/>
            </w:pPr>
            <w:r w:rsidRPr="00BA76DF">
              <w:t>Total</w:t>
            </w:r>
          </w:p>
        </w:tc>
        <w:tc>
          <w:tcPr>
            <w:tcW w:w="1136" w:type="dxa"/>
            <w:shd w:val="clear" w:color="auto" w:fill="E7E6E6"/>
            <w:noWrap/>
            <w:hideMark/>
          </w:tcPr>
          <w:p w14:paraId="65316DB6" w14:textId="77777777" w:rsidR="00CE75D4" w:rsidRPr="002029AF" w:rsidRDefault="00CE75D4" w:rsidP="008340C1">
            <w:pPr>
              <w:pStyle w:val="ARfintablebodyrightbold"/>
            </w:pPr>
            <w:r>
              <w:t>–</w:t>
            </w:r>
          </w:p>
        </w:tc>
        <w:tc>
          <w:tcPr>
            <w:tcW w:w="1136" w:type="dxa"/>
            <w:noWrap/>
            <w:hideMark/>
          </w:tcPr>
          <w:p w14:paraId="344AD26F" w14:textId="77777777" w:rsidR="00CE75D4" w:rsidRPr="002029AF" w:rsidRDefault="00CE75D4" w:rsidP="008340C1">
            <w:pPr>
              <w:pStyle w:val="ARfintablebodyrightbold"/>
            </w:pPr>
            <w:r w:rsidRPr="00BA76DF">
              <w:t>23.5</w:t>
            </w:r>
          </w:p>
        </w:tc>
      </w:tr>
    </w:tbl>
    <w:p w14:paraId="4C5C4910" w14:textId="77777777" w:rsidR="00CE75D4" w:rsidRDefault="00CE75D4" w:rsidP="008340C1">
      <w:pPr>
        <w:pStyle w:val="ARfintablefootnote"/>
      </w:pPr>
      <w:bookmarkStart w:id="625" w:name="_Toc85121532"/>
      <w:r>
        <w:rPr>
          <w:lang w:eastAsia="en-AU"/>
        </w:rPr>
        <w:t>Note:</w:t>
      </w:r>
    </w:p>
    <w:p w14:paraId="0B6BC554" w14:textId="4660F4D5" w:rsidR="00CE75D4" w:rsidRDefault="00CE75D4" w:rsidP="004E63CD">
      <w:pPr>
        <w:pStyle w:val="ARfintablefootnoteindent"/>
      </w:pPr>
      <w:r>
        <w:t>(i)</w:t>
      </w:r>
      <w:r>
        <w:tab/>
        <w:t>2021 numbers belong to the DFFH and the Director of Housing.</w:t>
      </w:r>
    </w:p>
    <w:bookmarkEnd w:id="625"/>
    <w:p w14:paraId="407DEB2D" w14:textId="77777777" w:rsidR="00CE75D4" w:rsidRDefault="00CE75D4" w:rsidP="008340C1">
      <w:pPr>
        <w:pStyle w:val="Heading5"/>
        <w:rPr>
          <w:lang w:eastAsia="en-AU"/>
        </w:rPr>
      </w:pPr>
      <w:r>
        <w:rPr>
          <w:lang w:eastAsia="en-AU"/>
        </w:rPr>
        <w:t>Contingent liabilities</w:t>
      </w:r>
    </w:p>
    <w:p w14:paraId="39B3F803" w14:textId="77777777" w:rsidR="00CE75D4" w:rsidRDefault="00CE75D4" w:rsidP="008340C1">
      <w:pPr>
        <w:pStyle w:val="ARfinbody"/>
      </w:pPr>
      <w:r>
        <w:t>Contingent liabilities are:</w:t>
      </w:r>
    </w:p>
    <w:p w14:paraId="483E5CB0" w14:textId="77777777" w:rsidR="00CE75D4" w:rsidRPr="00C87F26" w:rsidRDefault="00CE75D4" w:rsidP="00817CFB">
      <w:pPr>
        <w:pStyle w:val="ARfinbullet1"/>
        <w:numPr>
          <w:ilvl w:val="0"/>
          <w:numId w:val="30"/>
        </w:numPr>
        <w:textAlignment w:val="auto"/>
        <w:rPr>
          <w:szCs w:val="18"/>
        </w:rPr>
      </w:pPr>
      <w:r w:rsidRPr="00C87F26">
        <w:rPr>
          <w:szCs w:val="18"/>
        </w:rPr>
        <w:t xml:space="preserve">possible obligations that arise from past events, whose existence will be confirmed only by the occurrence or </w:t>
      </w:r>
      <w:r w:rsidRPr="00C87F26">
        <w:rPr>
          <w:szCs w:val="18"/>
        </w:rPr>
        <w:br/>
        <w:t>non-occurrence of one or more uncertain future events not wholly within the control of the entity, or</w:t>
      </w:r>
    </w:p>
    <w:p w14:paraId="1B769E5C" w14:textId="77777777" w:rsidR="00CE75D4" w:rsidRDefault="00CE75D4" w:rsidP="00817CFB">
      <w:pPr>
        <w:pStyle w:val="ARfinbullet1"/>
        <w:numPr>
          <w:ilvl w:val="0"/>
          <w:numId w:val="30"/>
        </w:numPr>
        <w:textAlignment w:val="auto"/>
      </w:pPr>
      <w:r w:rsidRPr="00C87F26">
        <w:rPr>
          <w:szCs w:val="18"/>
        </w:rPr>
        <w:t>present obligations that arise from past events but are not recognised because</w:t>
      </w:r>
      <w:r>
        <w:t>:</w:t>
      </w:r>
    </w:p>
    <w:p w14:paraId="30A601C5" w14:textId="77777777" w:rsidR="00CE75D4" w:rsidRDefault="00CE75D4" w:rsidP="00817CFB">
      <w:pPr>
        <w:pStyle w:val="ARfinbullet2"/>
        <w:numPr>
          <w:ilvl w:val="1"/>
          <w:numId w:val="30"/>
        </w:numPr>
        <w:textAlignment w:val="auto"/>
      </w:pPr>
      <w:r>
        <w:t>it is not probable that an outflow of resources embodying economic benefits will be required to settle the obligations, or</w:t>
      </w:r>
    </w:p>
    <w:p w14:paraId="6B9EADF1" w14:textId="77777777" w:rsidR="00CE75D4" w:rsidRDefault="00CE75D4" w:rsidP="00817CFB">
      <w:pPr>
        <w:pStyle w:val="ARfinbullet2"/>
        <w:numPr>
          <w:ilvl w:val="1"/>
          <w:numId w:val="30"/>
        </w:numPr>
        <w:textAlignment w:val="auto"/>
      </w:pPr>
      <w:r>
        <w:t>the amount of the obligations cannot be measured with sufficient reliability.</w:t>
      </w:r>
    </w:p>
    <w:p w14:paraId="4183EC6A" w14:textId="77777777" w:rsidR="00CE75D4" w:rsidRDefault="00CE75D4" w:rsidP="008340C1">
      <w:pPr>
        <w:pStyle w:val="ARfinbodylargespace"/>
      </w:pPr>
      <w:r>
        <w:t>Contingent liabilities are also classified as either quantifiable or non-quantifiable.</w:t>
      </w:r>
    </w:p>
    <w:tbl>
      <w:tblPr>
        <w:tblStyle w:val="TableGrid"/>
        <w:tblW w:w="9637" w:type="dxa"/>
        <w:tblLayout w:type="fixed"/>
        <w:tblLook w:val="06A0" w:firstRow="1" w:lastRow="0" w:firstColumn="1" w:lastColumn="0" w:noHBand="1" w:noVBand="1"/>
      </w:tblPr>
      <w:tblGrid>
        <w:gridCol w:w="7371"/>
        <w:gridCol w:w="1133"/>
        <w:gridCol w:w="1133"/>
      </w:tblGrid>
      <w:tr w:rsidR="00CE75D4" w:rsidRPr="002029AF" w14:paraId="37AE9EC3" w14:textId="77777777" w:rsidTr="008340C1">
        <w:trPr>
          <w:cnfStyle w:val="100000000000" w:firstRow="1" w:lastRow="0" w:firstColumn="0" w:lastColumn="0" w:oddVBand="0" w:evenVBand="0" w:oddHBand="0" w:evenHBand="0" w:firstRowFirstColumn="0" w:firstRowLastColumn="0" w:lastRowFirstColumn="0" w:lastRowLastColumn="0"/>
          <w:trHeight w:val="255"/>
          <w:tblHeader/>
        </w:trPr>
        <w:tc>
          <w:tcPr>
            <w:tcW w:w="7371" w:type="dxa"/>
            <w:tcBorders>
              <w:bottom w:val="single" w:sz="4" w:space="0" w:color="auto"/>
            </w:tcBorders>
            <w:hideMark/>
          </w:tcPr>
          <w:p w14:paraId="7D116DB4" w14:textId="77777777" w:rsidR="00CE75D4" w:rsidRPr="00261DC2" w:rsidRDefault="00CE75D4" w:rsidP="008340C1">
            <w:pPr>
              <w:pStyle w:val="ARfintablecolhead"/>
            </w:pPr>
          </w:p>
        </w:tc>
        <w:tc>
          <w:tcPr>
            <w:tcW w:w="1133" w:type="dxa"/>
            <w:tcBorders>
              <w:bottom w:val="single" w:sz="4" w:space="0" w:color="auto"/>
            </w:tcBorders>
            <w:shd w:val="clear" w:color="auto" w:fill="E7E6E6"/>
            <w:hideMark/>
          </w:tcPr>
          <w:p w14:paraId="20AA925F" w14:textId="77777777" w:rsidR="00CE75D4" w:rsidRPr="002029AF" w:rsidRDefault="00CE75D4" w:rsidP="008340C1">
            <w:pPr>
              <w:pStyle w:val="ARfintablecolheadright"/>
            </w:pPr>
            <w:r w:rsidRPr="002029AF">
              <w:t>202</w:t>
            </w:r>
            <w:r>
              <w:t>2</w:t>
            </w:r>
          </w:p>
          <w:p w14:paraId="4ABE0347" w14:textId="77777777" w:rsidR="00CE75D4" w:rsidRPr="002029AF" w:rsidRDefault="00CE75D4" w:rsidP="008340C1">
            <w:pPr>
              <w:pStyle w:val="ARfintablecolheadright"/>
            </w:pPr>
            <w:r w:rsidRPr="002029AF">
              <w:t>$M</w:t>
            </w:r>
          </w:p>
        </w:tc>
        <w:tc>
          <w:tcPr>
            <w:tcW w:w="1133" w:type="dxa"/>
            <w:tcBorders>
              <w:bottom w:val="single" w:sz="4" w:space="0" w:color="auto"/>
            </w:tcBorders>
            <w:hideMark/>
          </w:tcPr>
          <w:p w14:paraId="7690A08B" w14:textId="77777777" w:rsidR="00CE75D4" w:rsidRPr="002029AF" w:rsidRDefault="00CE75D4" w:rsidP="008340C1">
            <w:pPr>
              <w:pStyle w:val="ARfintablecolheadright"/>
            </w:pPr>
            <w:r>
              <w:t>2021</w:t>
            </w:r>
          </w:p>
          <w:p w14:paraId="256BE7F6" w14:textId="77777777" w:rsidR="00CE75D4" w:rsidRPr="002029AF" w:rsidRDefault="00CE75D4" w:rsidP="008340C1">
            <w:pPr>
              <w:pStyle w:val="ARfintablecolheadright"/>
            </w:pPr>
            <w:r w:rsidRPr="002029AF">
              <w:t>$M</w:t>
            </w:r>
          </w:p>
        </w:tc>
      </w:tr>
      <w:tr w:rsidR="00CE75D4" w:rsidRPr="002029AF" w14:paraId="39970284" w14:textId="77777777" w:rsidTr="00130D1C">
        <w:tc>
          <w:tcPr>
            <w:tcW w:w="9637" w:type="dxa"/>
            <w:gridSpan w:val="3"/>
            <w:tcBorders>
              <w:top w:val="single" w:sz="4" w:space="0" w:color="auto"/>
              <w:bottom w:val="single" w:sz="4" w:space="0" w:color="A6A6A6"/>
            </w:tcBorders>
            <w:hideMark/>
          </w:tcPr>
          <w:p w14:paraId="410D62E0" w14:textId="77777777" w:rsidR="00CE75D4" w:rsidRPr="002029AF" w:rsidRDefault="00CE75D4" w:rsidP="008340C1">
            <w:pPr>
              <w:pStyle w:val="ARfintablebodybold"/>
            </w:pPr>
            <w:r w:rsidRPr="000023FF">
              <w:t>Quantifiable contingent liabilities</w:t>
            </w:r>
          </w:p>
        </w:tc>
      </w:tr>
      <w:tr w:rsidR="00CE75D4" w:rsidRPr="002029AF" w14:paraId="637D4830" w14:textId="77777777" w:rsidTr="008340C1">
        <w:trPr>
          <w:trHeight w:val="255"/>
        </w:trPr>
        <w:tc>
          <w:tcPr>
            <w:tcW w:w="7371" w:type="dxa"/>
            <w:tcBorders>
              <w:top w:val="single" w:sz="4" w:space="0" w:color="A6A6A6"/>
            </w:tcBorders>
            <w:hideMark/>
          </w:tcPr>
          <w:p w14:paraId="7148654E" w14:textId="77777777" w:rsidR="00CE75D4" w:rsidRPr="002029AF" w:rsidRDefault="00CE75D4" w:rsidP="008340C1">
            <w:pPr>
              <w:pStyle w:val="ARfintablebody"/>
            </w:pPr>
            <w:r w:rsidRPr="000023FF">
              <w:t>The department has estimated that potential liability exists in respect of a number of legal actions instigated by clients and their representatives, employees and others, and other contractual liabilities.</w:t>
            </w:r>
          </w:p>
        </w:tc>
        <w:tc>
          <w:tcPr>
            <w:tcW w:w="1133" w:type="dxa"/>
            <w:tcBorders>
              <w:top w:val="single" w:sz="4" w:space="0" w:color="A6A6A6"/>
            </w:tcBorders>
            <w:shd w:val="clear" w:color="auto" w:fill="E7E6E6"/>
            <w:noWrap/>
            <w:hideMark/>
          </w:tcPr>
          <w:p w14:paraId="01635BFF" w14:textId="77777777" w:rsidR="00CE75D4" w:rsidRPr="002029AF" w:rsidRDefault="00CE75D4" w:rsidP="008340C1">
            <w:pPr>
              <w:pStyle w:val="ARfintablebodyright"/>
            </w:pPr>
            <w:r w:rsidRPr="000023FF">
              <w:t>61.5</w:t>
            </w:r>
          </w:p>
        </w:tc>
        <w:tc>
          <w:tcPr>
            <w:tcW w:w="1133" w:type="dxa"/>
            <w:tcBorders>
              <w:top w:val="single" w:sz="4" w:space="0" w:color="A6A6A6"/>
            </w:tcBorders>
            <w:noWrap/>
            <w:hideMark/>
          </w:tcPr>
          <w:p w14:paraId="5BCD0673" w14:textId="77777777" w:rsidR="00CE75D4" w:rsidRPr="002029AF" w:rsidRDefault="00CE75D4" w:rsidP="008340C1">
            <w:pPr>
              <w:pStyle w:val="ARfintablebodyright"/>
            </w:pPr>
            <w:r w:rsidRPr="000023FF">
              <w:t>43.6</w:t>
            </w:r>
          </w:p>
        </w:tc>
      </w:tr>
      <w:tr w:rsidR="00CE75D4" w:rsidRPr="002029AF" w14:paraId="5F7C5538" w14:textId="77777777" w:rsidTr="00130D1C">
        <w:trPr>
          <w:trHeight w:val="255"/>
        </w:trPr>
        <w:tc>
          <w:tcPr>
            <w:tcW w:w="7371" w:type="dxa"/>
            <w:hideMark/>
          </w:tcPr>
          <w:p w14:paraId="584739A5" w14:textId="77777777" w:rsidR="00CE75D4" w:rsidRPr="002029AF" w:rsidRDefault="00CE75D4" w:rsidP="008340C1">
            <w:pPr>
              <w:pStyle w:val="ARfintablebodybold"/>
            </w:pPr>
            <w:r w:rsidRPr="000023FF">
              <w:t>Total</w:t>
            </w:r>
          </w:p>
        </w:tc>
        <w:tc>
          <w:tcPr>
            <w:tcW w:w="1133" w:type="dxa"/>
            <w:shd w:val="clear" w:color="auto" w:fill="E7E6E6"/>
            <w:noWrap/>
            <w:hideMark/>
          </w:tcPr>
          <w:p w14:paraId="3F7B5179" w14:textId="77777777" w:rsidR="00CE75D4" w:rsidRPr="002029AF" w:rsidRDefault="00CE75D4" w:rsidP="008340C1">
            <w:pPr>
              <w:pStyle w:val="ARfintablebodyrightbold"/>
            </w:pPr>
            <w:r w:rsidRPr="000023FF">
              <w:t>61.5</w:t>
            </w:r>
          </w:p>
        </w:tc>
        <w:tc>
          <w:tcPr>
            <w:tcW w:w="1133" w:type="dxa"/>
            <w:noWrap/>
            <w:hideMark/>
          </w:tcPr>
          <w:p w14:paraId="78F16353" w14:textId="77777777" w:rsidR="00CE75D4" w:rsidRPr="002029AF" w:rsidRDefault="00CE75D4" w:rsidP="008340C1">
            <w:pPr>
              <w:pStyle w:val="ARfintablebodyrightbold"/>
            </w:pPr>
            <w:r w:rsidRPr="000023FF">
              <w:t>43.6</w:t>
            </w:r>
          </w:p>
        </w:tc>
      </w:tr>
    </w:tbl>
    <w:p w14:paraId="3FDE3F1A" w14:textId="77777777" w:rsidR="00CE75D4" w:rsidRDefault="00CE75D4" w:rsidP="008340C1">
      <w:pPr>
        <w:pStyle w:val="Heading6"/>
        <w:rPr>
          <w:sz w:val="22"/>
          <w:lang w:eastAsia="en-AU"/>
        </w:rPr>
      </w:pPr>
      <w:bookmarkStart w:id="626" w:name="_Toc39242164"/>
      <w:r>
        <w:rPr>
          <w:lang w:eastAsia="en-AU"/>
        </w:rPr>
        <w:t>Non-quantifiable contingent liabilities</w:t>
      </w:r>
    </w:p>
    <w:p w14:paraId="4C27A8A7" w14:textId="77777777" w:rsidR="00CE75D4" w:rsidRDefault="00CE75D4" w:rsidP="008340C1">
      <w:pPr>
        <w:pStyle w:val="ARfinbody"/>
      </w:pPr>
      <w:r>
        <w:t>In response to the concerns of some health services, the department has undertaken to provide certain health services adequate cash flow support to enable these health services to meet their current and future obligations as and when they fall due in the 2022–23 financial year, should this be required. In line with processes already established by the department, it is expected that each health service that has been pledged this support will:</w:t>
      </w:r>
    </w:p>
    <w:p w14:paraId="287DF133" w14:textId="77777777" w:rsidR="00CE75D4" w:rsidRDefault="00CE75D4" w:rsidP="00817CFB">
      <w:pPr>
        <w:pStyle w:val="ARfinbullet1"/>
        <w:numPr>
          <w:ilvl w:val="0"/>
          <w:numId w:val="30"/>
        </w:numPr>
        <w:textAlignment w:val="auto"/>
      </w:pPr>
      <w:r>
        <w:t>continue to provide monthly advice on its financial position, including the likelihood of any short-term liquidity issues</w:t>
      </w:r>
    </w:p>
    <w:p w14:paraId="029B05E7" w14:textId="77777777" w:rsidR="00CE75D4" w:rsidRDefault="00CE75D4" w:rsidP="00817CFB">
      <w:pPr>
        <w:pStyle w:val="ARfinbullet1"/>
        <w:numPr>
          <w:ilvl w:val="0"/>
          <w:numId w:val="30"/>
        </w:numPr>
        <w:textAlignment w:val="auto"/>
      </w:pPr>
      <w:r>
        <w:t>commit to achieve the agreed budget targets, and all other requirements of their service agreements or statement of priorities in 2022–23.</w:t>
      </w:r>
    </w:p>
    <w:p w14:paraId="103E1044" w14:textId="6739D000" w:rsidR="00CE75D4" w:rsidRDefault="00CE75D4" w:rsidP="008340C1">
      <w:pPr>
        <w:pStyle w:val="ARfinbody"/>
      </w:pPr>
      <w:r>
        <w:t xml:space="preserve">The department has other potential obligations which arise from legal actions and </w:t>
      </w:r>
      <w:r w:rsidDel="004E5E54">
        <w:t xml:space="preserve">that </w:t>
      </w:r>
      <w:r>
        <w:t>are non-quantifiable at this time.</w:t>
      </w:r>
    </w:p>
    <w:p w14:paraId="3802ADAA" w14:textId="77777777" w:rsidR="00CE75D4" w:rsidRPr="0040433B" w:rsidRDefault="00CE75D4" w:rsidP="00130D1C">
      <w:pPr>
        <w:pStyle w:val="ARfinbody"/>
      </w:pPr>
      <w:r w:rsidRPr="0040433B">
        <w:br w:type="page"/>
      </w:r>
    </w:p>
    <w:bookmarkEnd w:id="626"/>
    <w:p w14:paraId="59CD1CA3" w14:textId="77777777" w:rsidR="00CE75D4" w:rsidRDefault="00CE75D4" w:rsidP="008340C1">
      <w:pPr>
        <w:pStyle w:val="Heading4"/>
      </w:pPr>
      <w:r>
        <w:rPr>
          <w:lang w:eastAsia="en-AU"/>
        </w:rPr>
        <w:t>8.3 Fair value determination</w:t>
      </w:r>
    </w:p>
    <w:p w14:paraId="2CD076CD" w14:textId="77777777" w:rsidR="00CE75D4" w:rsidRDefault="00CE75D4" w:rsidP="008340C1">
      <w:pPr>
        <w:pStyle w:val="Heading5"/>
        <w:spacing w:before="160"/>
        <w:rPr>
          <w:lang w:eastAsia="en-AU"/>
        </w:rPr>
      </w:pPr>
      <w:r>
        <w:rPr>
          <w:lang w:eastAsia="en-AU"/>
        </w:rPr>
        <w:t>Significant judgement: Fair value measurements of assets and liabilities</w:t>
      </w:r>
    </w:p>
    <w:p w14:paraId="546A6B4A" w14:textId="77777777" w:rsidR="00CE75D4" w:rsidRDefault="00CE75D4" w:rsidP="008340C1">
      <w:pPr>
        <w:pStyle w:val="ARfinbody"/>
      </w:pPr>
      <w:r>
        <w:t>Fair value determination requires judgement and the use of assumptions. This section discloses the most significant assumptions used in determining fair values. Changes to assumptions could have a material impact on the results and financial position of the department.</w:t>
      </w:r>
    </w:p>
    <w:p w14:paraId="11A2E767" w14:textId="77777777" w:rsidR="00CE75D4" w:rsidRDefault="00CE75D4" w:rsidP="008340C1">
      <w:pPr>
        <w:pStyle w:val="ARfinbody"/>
      </w:pPr>
      <w:r>
        <w:t>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w:t>
      </w:r>
    </w:p>
    <w:p w14:paraId="31941503" w14:textId="77777777" w:rsidR="00CE75D4" w:rsidRDefault="00CE75D4" w:rsidP="008340C1">
      <w:pPr>
        <w:pStyle w:val="ARfinbody"/>
      </w:pPr>
      <w:r>
        <w:t>The following assets and liabilities are carried at fair value:</w:t>
      </w:r>
    </w:p>
    <w:p w14:paraId="18F6EF94" w14:textId="77777777" w:rsidR="00CE75D4" w:rsidRDefault="00CE75D4" w:rsidP="00817CFB">
      <w:pPr>
        <w:pStyle w:val="ARfinbullet1"/>
        <w:numPr>
          <w:ilvl w:val="0"/>
          <w:numId w:val="30"/>
        </w:numPr>
        <w:textAlignment w:val="auto"/>
      </w:pPr>
      <w:r>
        <w:t>financial assets and liabilities at fair value through ‘other comprehensive income’</w:t>
      </w:r>
    </w:p>
    <w:p w14:paraId="5451D249" w14:textId="77777777" w:rsidR="00CE75D4" w:rsidRDefault="00CE75D4" w:rsidP="00817CFB">
      <w:pPr>
        <w:pStyle w:val="ARfinbullet1"/>
        <w:numPr>
          <w:ilvl w:val="0"/>
          <w:numId w:val="30"/>
        </w:numPr>
        <w:textAlignment w:val="auto"/>
      </w:pPr>
      <w:r>
        <w:t>land, buildings, plant and equipment.</w:t>
      </w:r>
    </w:p>
    <w:p w14:paraId="61FD2C55" w14:textId="63B90D00" w:rsidR="00CE75D4" w:rsidRDefault="00CE75D4" w:rsidP="008340C1">
      <w:pPr>
        <w:pStyle w:val="ARfinbody"/>
      </w:pPr>
      <w:r>
        <w:t>In addition, the fair values of other assets and liabilities which are carried at amortised cost</w:t>
      </w:r>
      <w:r w:rsidDel="004F15D3">
        <w:t>,</w:t>
      </w:r>
      <w:r>
        <w:t xml:space="preserve"> also need to be determined for disclosure purposes.</w:t>
      </w:r>
    </w:p>
    <w:p w14:paraId="489AB5B6" w14:textId="77777777" w:rsidR="00CE75D4" w:rsidRDefault="00CE75D4" w:rsidP="008340C1">
      <w:pPr>
        <w:pStyle w:val="ARfinbody"/>
      </w:pPr>
      <w:r>
        <w:t>The department determines the policies and procedures for determining fair values for both financial and non-financial assets and liabilities as required.</w:t>
      </w:r>
    </w:p>
    <w:p w14:paraId="7239D21E" w14:textId="77777777" w:rsidR="00CE75D4" w:rsidRDefault="00CE75D4" w:rsidP="008340C1">
      <w:pPr>
        <w:pStyle w:val="Heading5"/>
        <w:rPr>
          <w:lang w:eastAsia="en-AU"/>
        </w:rPr>
      </w:pPr>
      <w:r>
        <w:rPr>
          <w:lang w:eastAsia="en-AU"/>
        </w:rPr>
        <w:t>Fair value hierarchy</w:t>
      </w:r>
    </w:p>
    <w:p w14:paraId="2F3EC249" w14:textId="77777777" w:rsidR="00CE75D4" w:rsidRDefault="00CE75D4" w:rsidP="008340C1">
      <w:pPr>
        <w:pStyle w:val="ARfinbody"/>
      </w:pPr>
      <w:r>
        <w:t>In determining fair values, a number of inputs are used. To increase consistency and comparability in the financial statements, these inputs are categorised into three levels, also known as the fair value hierarchy. The levels are as follows:</w:t>
      </w:r>
    </w:p>
    <w:p w14:paraId="15B027E4" w14:textId="77777777" w:rsidR="00CE75D4" w:rsidRDefault="00CE75D4" w:rsidP="00817CFB">
      <w:pPr>
        <w:pStyle w:val="ARfinbullet1"/>
        <w:numPr>
          <w:ilvl w:val="0"/>
          <w:numId w:val="30"/>
        </w:numPr>
        <w:textAlignment w:val="auto"/>
      </w:pPr>
      <w:r>
        <w:t>Level 1 – Quoted (unadjusted) market prices in active markets for identical assets or liabilities</w:t>
      </w:r>
    </w:p>
    <w:p w14:paraId="21F7003D" w14:textId="77777777" w:rsidR="00CE75D4" w:rsidRDefault="00CE75D4" w:rsidP="00817CFB">
      <w:pPr>
        <w:pStyle w:val="ARfinbullet1"/>
        <w:numPr>
          <w:ilvl w:val="0"/>
          <w:numId w:val="30"/>
        </w:numPr>
        <w:textAlignment w:val="auto"/>
      </w:pPr>
      <w:r>
        <w:t>Level 2 – Valuation techniques for which the lowest level input that is significant to the fair value measurement is directly or indirectly observable</w:t>
      </w:r>
    </w:p>
    <w:p w14:paraId="1BD0F6A9" w14:textId="77777777" w:rsidR="00CE75D4" w:rsidRDefault="00CE75D4" w:rsidP="00817CFB">
      <w:pPr>
        <w:pStyle w:val="ARfinbullet1"/>
        <w:numPr>
          <w:ilvl w:val="0"/>
          <w:numId w:val="30"/>
        </w:numPr>
        <w:textAlignment w:val="auto"/>
      </w:pPr>
      <w:r>
        <w:t>Level 3 – Valuation techniques for which the lowest level input that is significant to the fair value measurement is unobservable</w:t>
      </w:r>
    </w:p>
    <w:p w14:paraId="3A936459" w14:textId="77777777" w:rsidR="00CE75D4" w:rsidRDefault="00CE75D4" w:rsidP="008340C1">
      <w:pPr>
        <w:pStyle w:val="ARfinbody"/>
      </w:pPr>
      <w:r>
        <w:t>The department determines whether transfers have occurred between levels in the hierarchy by reassessing categorisation (based on the lowest level input that is significant to the fair value measurement as a whole) at the end of each reporting period.</w:t>
      </w:r>
    </w:p>
    <w:p w14:paraId="437D7197" w14:textId="77777777" w:rsidR="00CE75D4" w:rsidRDefault="00CE75D4" w:rsidP="008340C1">
      <w:pPr>
        <w:pStyle w:val="ARfinbody"/>
      </w:pPr>
      <w:r>
        <w:t>The Valuer-General Victoria (VGV) is the department’s independent valuation agency. The department, in conjunction with VGV, monitors changes in the fair value of each asset and liability through relevant data sources to determine whether revaluation is required.</w:t>
      </w:r>
    </w:p>
    <w:p w14:paraId="3E7B7DBB" w14:textId="77777777" w:rsidR="00CE75D4" w:rsidRDefault="00CE75D4" w:rsidP="008340C1">
      <w:pPr>
        <w:pStyle w:val="Heading5"/>
        <w:rPr>
          <w:lang w:eastAsia="en-AU"/>
        </w:rPr>
      </w:pPr>
      <w:r>
        <w:rPr>
          <w:lang w:eastAsia="en-AU"/>
        </w:rPr>
        <w:t>How this section is structured</w:t>
      </w:r>
    </w:p>
    <w:p w14:paraId="22933A8A" w14:textId="77777777" w:rsidR="00CE75D4" w:rsidRDefault="00CE75D4" w:rsidP="008340C1">
      <w:pPr>
        <w:pStyle w:val="ARfinbody"/>
      </w:pPr>
      <w:r>
        <w:t>For those assets and liabilities for which fair values are determined, the following disclosures are provided:</w:t>
      </w:r>
    </w:p>
    <w:p w14:paraId="05397E2D" w14:textId="77777777" w:rsidR="00CE75D4" w:rsidRDefault="00CE75D4" w:rsidP="00817CFB">
      <w:pPr>
        <w:pStyle w:val="ARfinbullet1"/>
        <w:numPr>
          <w:ilvl w:val="0"/>
          <w:numId w:val="30"/>
        </w:numPr>
        <w:textAlignment w:val="auto"/>
      </w:pPr>
      <w:r>
        <w:t>carrying amount and the fair value (which would be the same for those assets measured at fair value)</w:t>
      </w:r>
    </w:p>
    <w:p w14:paraId="09AA471D" w14:textId="77777777" w:rsidR="00CE75D4" w:rsidRDefault="00CE75D4" w:rsidP="00817CFB">
      <w:pPr>
        <w:pStyle w:val="ARfinbullet1"/>
        <w:numPr>
          <w:ilvl w:val="0"/>
          <w:numId w:val="30"/>
        </w:numPr>
        <w:textAlignment w:val="auto"/>
      </w:pPr>
      <w:r>
        <w:t>which level of the fair value hierarchy was used to determine the fair value</w:t>
      </w:r>
    </w:p>
    <w:p w14:paraId="6476D0F1" w14:textId="77777777" w:rsidR="00CE75D4" w:rsidRDefault="00CE75D4" w:rsidP="00817CFB">
      <w:pPr>
        <w:pStyle w:val="ARfinbullet1"/>
        <w:numPr>
          <w:ilvl w:val="0"/>
          <w:numId w:val="30"/>
        </w:numPr>
        <w:textAlignment w:val="auto"/>
      </w:pPr>
      <w:r>
        <w:t>in respect of those assets and liabilities subject to fair value determination using Level 3 inputs:</w:t>
      </w:r>
    </w:p>
    <w:p w14:paraId="3D3A8A3D" w14:textId="77777777" w:rsidR="00CE75D4" w:rsidRDefault="00CE75D4" w:rsidP="00817CFB">
      <w:pPr>
        <w:pStyle w:val="ARfinbullet2"/>
        <w:numPr>
          <w:ilvl w:val="1"/>
          <w:numId w:val="30"/>
        </w:numPr>
        <w:textAlignment w:val="auto"/>
      </w:pPr>
      <w:r>
        <w:t>a reconciliation of the movements in fair values from the beginning of the year to the end</w:t>
      </w:r>
    </w:p>
    <w:p w14:paraId="09D61417" w14:textId="77777777" w:rsidR="00CE75D4" w:rsidRDefault="00CE75D4" w:rsidP="00817CFB">
      <w:pPr>
        <w:pStyle w:val="ARfinbullet2"/>
        <w:numPr>
          <w:ilvl w:val="1"/>
          <w:numId w:val="30"/>
        </w:numPr>
        <w:textAlignment w:val="auto"/>
      </w:pPr>
      <w:r>
        <w:t>details of significant unobservable inputs used in the fair value determination.</w:t>
      </w:r>
    </w:p>
    <w:p w14:paraId="74CD663B" w14:textId="77777777" w:rsidR="00CE75D4" w:rsidRDefault="00CE75D4" w:rsidP="008340C1">
      <w:pPr>
        <w:pStyle w:val="ARfinbody"/>
      </w:pPr>
      <w:r>
        <w:t>This section is divided between disclosures in connection with fair value determination for financial instruments (refer to Note 8.3.1) and non-financial physical assets (refer to Note 8.3.2).</w:t>
      </w:r>
    </w:p>
    <w:p w14:paraId="06D7E843" w14:textId="77777777" w:rsidR="00CE75D4" w:rsidRDefault="00CE75D4" w:rsidP="008340C1">
      <w:pPr>
        <w:pStyle w:val="Heading5"/>
        <w:rPr>
          <w:lang w:eastAsia="en-AU"/>
        </w:rPr>
      </w:pPr>
      <w:r>
        <w:rPr>
          <w:lang w:eastAsia="en-AU"/>
        </w:rPr>
        <w:t>8.3.1 Fair value determination of financial assets and liabilities</w:t>
      </w:r>
    </w:p>
    <w:p w14:paraId="23F60B5D" w14:textId="77777777" w:rsidR="00CE75D4" w:rsidRDefault="00CE75D4" w:rsidP="008340C1">
      <w:pPr>
        <w:pStyle w:val="ARfinbody"/>
      </w:pPr>
      <w:r>
        <w:t>The fair values and net fair values of financial assets and liabilities are determined as follows:</w:t>
      </w:r>
    </w:p>
    <w:p w14:paraId="311EAB07" w14:textId="77777777" w:rsidR="00CE75D4" w:rsidRDefault="00CE75D4" w:rsidP="00817CFB">
      <w:pPr>
        <w:pStyle w:val="ARfinbullet1"/>
        <w:numPr>
          <w:ilvl w:val="0"/>
          <w:numId w:val="30"/>
        </w:numPr>
        <w:textAlignment w:val="auto"/>
      </w:pPr>
      <w:r>
        <w:t>Level 1 – the fair value of financial instruments with standard terms and conditions and traded in active markets are determined with reference to quoted market prices</w:t>
      </w:r>
    </w:p>
    <w:p w14:paraId="009406E2" w14:textId="77777777" w:rsidR="00CE75D4" w:rsidRDefault="00CE75D4" w:rsidP="00817CFB">
      <w:pPr>
        <w:pStyle w:val="ARfinbullet1"/>
        <w:numPr>
          <w:ilvl w:val="0"/>
          <w:numId w:val="30"/>
        </w:numPr>
        <w:textAlignment w:val="auto"/>
      </w:pPr>
      <w:r>
        <w:t>Level 2 – the fair value is determined using inputs other than quoted prices that are observable for the financial asset or liability, either directly or indirectly</w:t>
      </w:r>
    </w:p>
    <w:p w14:paraId="49D8CFB0" w14:textId="77777777" w:rsidR="00CE75D4" w:rsidRDefault="00CE75D4" w:rsidP="00817CFB">
      <w:pPr>
        <w:pStyle w:val="ARfinbullet1"/>
        <w:numPr>
          <w:ilvl w:val="0"/>
          <w:numId w:val="30"/>
        </w:numPr>
        <w:textAlignment w:val="auto"/>
      </w:pPr>
      <w:r>
        <w:t>Level 3 – the fair value is determined in accordance with generally accepted pricing models based on discounted cash flow analysis using unobservable market inputs.</w:t>
      </w:r>
    </w:p>
    <w:p w14:paraId="1DA466A3" w14:textId="77777777" w:rsidR="00CE75D4" w:rsidRDefault="00CE75D4" w:rsidP="008340C1">
      <w:pPr>
        <w:pStyle w:val="ARfinbody"/>
      </w:pPr>
      <w:r>
        <w:t>The department currently holds a range of financial instruments that are recorded in the financial statements where the carrying amounts are a reasonable approximation of fair values, either due to their short-term nature or with the expectation that they will be paid in full by the end of the 2021–22 reporting period.</w:t>
      </w:r>
    </w:p>
    <w:p w14:paraId="47023609" w14:textId="77777777" w:rsidR="00CE75D4" w:rsidRDefault="00CE75D4" w:rsidP="008340C1">
      <w:pPr>
        <w:pStyle w:val="ARfinbody"/>
      </w:pPr>
      <w:r>
        <w:t>The fair value of the financial instruments is the same as the carrying amounts.</w:t>
      </w:r>
    </w:p>
    <w:p w14:paraId="3ADFC14D" w14:textId="77777777" w:rsidR="00CE75D4" w:rsidRDefault="00CE75D4" w:rsidP="008340C1">
      <w:pPr>
        <w:pStyle w:val="Heading5"/>
      </w:pPr>
      <w:bookmarkStart w:id="627" w:name="_Ref113703009"/>
      <w:r>
        <w:rPr>
          <w:lang w:eastAsia="en-AU"/>
        </w:rPr>
        <w:t>8.3.2 Fair value determination of non-financial physical assets</w:t>
      </w:r>
      <w:bookmarkEnd w:id="627"/>
    </w:p>
    <w:p w14:paraId="35076C22" w14:textId="77777777" w:rsidR="00CE75D4" w:rsidRDefault="00CE75D4" w:rsidP="008340C1">
      <w:pPr>
        <w:pStyle w:val="Heading6"/>
      </w:pPr>
      <w:r>
        <w:rPr>
          <w:lang w:eastAsia="en-AU"/>
        </w:rPr>
        <w:t>Fair value measurement hierarchy</w:t>
      </w:r>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CE75D4" w:rsidRPr="002029AF" w14:paraId="354D3D48"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hideMark/>
          </w:tcPr>
          <w:p w14:paraId="78CC20ED" w14:textId="77777777" w:rsidR="00CE75D4" w:rsidRPr="002029AF" w:rsidRDefault="00CE75D4" w:rsidP="00860E95">
            <w:pPr>
              <w:pStyle w:val="ARfintablecolhead"/>
            </w:pPr>
            <w:r>
              <w:t>2022</w:t>
            </w:r>
          </w:p>
        </w:tc>
        <w:tc>
          <w:tcPr>
            <w:tcW w:w="1134" w:type="dxa"/>
            <w:vMerge w:val="restart"/>
            <w:hideMark/>
          </w:tcPr>
          <w:p w14:paraId="4A18165D" w14:textId="77777777" w:rsidR="00CE75D4" w:rsidRPr="002029AF" w:rsidRDefault="00CE75D4" w:rsidP="00860E95">
            <w:pPr>
              <w:pStyle w:val="ARfintablecolheadright"/>
            </w:pPr>
            <w:r w:rsidRPr="002029AF">
              <w:t>Carrying amount</w:t>
            </w:r>
          </w:p>
          <w:p w14:paraId="191EC7C7" w14:textId="77777777" w:rsidR="00CE75D4" w:rsidRPr="002029AF" w:rsidRDefault="00CE75D4" w:rsidP="00860E95">
            <w:pPr>
              <w:pStyle w:val="ARfintablecolheadright"/>
            </w:pPr>
            <w:r w:rsidRPr="002029AF">
              <w:t>$M</w:t>
            </w:r>
          </w:p>
        </w:tc>
        <w:tc>
          <w:tcPr>
            <w:tcW w:w="3402" w:type="dxa"/>
            <w:gridSpan w:val="3"/>
            <w:hideMark/>
          </w:tcPr>
          <w:p w14:paraId="4CE2D68A" w14:textId="77777777" w:rsidR="00CE75D4" w:rsidRPr="002029AF" w:rsidRDefault="00CE75D4" w:rsidP="00860E95">
            <w:pPr>
              <w:pStyle w:val="ARfintablecolheadcentre"/>
            </w:pPr>
            <w:r w:rsidRPr="002029AF">
              <w:t xml:space="preserve">Fair value measurement at the end </w:t>
            </w:r>
            <w:r>
              <w:br/>
            </w:r>
            <w:r w:rsidRPr="002029AF">
              <w:t>of reporting period using:</w:t>
            </w:r>
          </w:p>
        </w:tc>
      </w:tr>
      <w:tr w:rsidR="00CE75D4" w:rsidRPr="002029AF" w14:paraId="3F547044"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101" w:type="dxa"/>
            <w:vMerge/>
            <w:tcBorders>
              <w:bottom w:val="single" w:sz="4" w:space="0" w:color="auto"/>
            </w:tcBorders>
            <w:hideMark/>
          </w:tcPr>
          <w:p w14:paraId="6F34C221" w14:textId="77777777" w:rsidR="00CE75D4" w:rsidRPr="002029AF" w:rsidRDefault="00CE75D4" w:rsidP="00860E95">
            <w:pPr>
              <w:pStyle w:val="ARfintablecolhead"/>
            </w:pPr>
          </w:p>
        </w:tc>
        <w:tc>
          <w:tcPr>
            <w:tcW w:w="1134" w:type="dxa"/>
            <w:vMerge/>
            <w:tcBorders>
              <w:bottom w:val="single" w:sz="4" w:space="0" w:color="auto"/>
            </w:tcBorders>
            <w:hideMark/>
          </w:tcPr>
          <w:p w14:paraId="5608570F" w14:textId="77777777" w:rsidR="00CE75D4" w:rsidRPr="002029AF" w:rsidRDefault="00CE75D4" w:rsidP="00860E95">
            <w:pPr>
              <w:pStyle w:val="ARfintablecolheadright"/>
            </w:pPr>
          </w:p>
        </w:tc>
        <w:tc>
          <w:tcPr>
            <w:tcW w:w="1134" w:type="dxa"/>
            <w:tcBorders>
              <w:bottom w:val="single" w:sz="4" w:space="0" w:color="auto"/>
            </w:tcBorders>
            <w:hideMark/>
          </w:tcPr>
          <w:p w14:paraId="1900CA05" w14:textId="77777777" w:rsidR="00CE75D4" w:rsidRPr="002029AF" w:rsidRDefault="00CE75D4" w:rsidP="00860E95">
            <w:pPr>
              <w:pStyle w:val="ARfintablecolheadright"/>
            </w:pPr>
            <w:r w:rsidRPr="002029AF">
              <w:t xml:space="preserve">Level 1 </w:t>
            </w:r>
            <w:r w:rsidRPr="002029AF">
              <w:rPr>
                <w:rStyle w:val="Superscript"/>
              </w:rPr>
              <w:t>(i)</w:t>
            </w:r>
          </w:p>
          <w:p w14:paraId="4E52E70D" w14:textId="77777777" w:rsidR="00CE75D4" w:rsidRPr="002029AF" w:rsidRDefault="00CE75D4" w:rsidP="00860E95">
            <w:pPr>
              <w:pStyle w:val="ARfintablecolheadright"/>
            </w:pPr>
            <w:r w:rsidRPr="002029AF">
              <w:t>$M</w:t>
            </w:r>
          </w:p>
        </w:tc>
        <w:tc>
          <w:tcPr>
            <w:tcW w:w="1134" w:type="dxa"/>
            <w:tcBorders>
              <w:bottom w:val="single" w:sz="4" w:space="0" w:color="auto"/>
            </w:tcBorders>
            <w:hideMark/>
          </w:tcPr>
          <w:p w14:paraId="5D76B144" w14:textId="77777777" w:rsidR="00CE75D4" w:rsidRPr="002029AF" w:rsidRDefault="00CE75D4" w:rsidP="00860E95">
            <w:pPr>
              <w:pStyle w:val="ARfintablecolheadright"/>
            </w:pPr>
            <w:r w:rsidRPr="002029AF">
              <w:t xml:space="preserve">Level 2 </w:t>
            </w:r>
            <w:r w:rsidRPr="002029AF">
              <w:rPr>
                <w:rStyle w:val="Superscript"/>
              </w:rPr>
              <w:t>(i)</w:t>
            </w:r>
          </w:p>
          <w:p w14:paraId="2D7B6BD9" w14:textId="77777777" w:rsidR="00CE75D4" w:rsidRPr="002029AF" w:rsidRDefault="00CE75D4" w:rsidP="00860E95">
            <w:pPr>
              <w:pStyle w:val="ARfintablecolheadright"/>
            </w:pPr>
            <w:r w:rsidRPr="002029AF">
              <w:t>$M</w:t>
            </w:r>
          </w:p>
        </w:tc>
        <w:tc>
          <w:tcPr>
            <w:tcW w:w="1134" w:type="dxa"/>
            <w:tcBorders>
              <w:bottom w:val="single" w:sz="4" w:space="0" w:color="auto"/>
            </w:tcBorders>
            <w:hideMark/>
          </w:tcPr>
          <w:p w14:paraId="72E53E1E" w14:textId="77777777" w:rsidR="00CE75D4" w:rsidRPr="002029AF" w:rsidRDefault="00CE75D4" w:rsidP="00860E95">
            <w:pPr>
              <w:pStyle w:val="ARfintablecolheadright"/>
            </w:pPr>
            <w:r w:rsidRPr="002029AF">
              <w:t xml:space="preserve">Level 3 </w:t>
            </w:r>
            <w:r w:rsidRPr="002029AF">
              <w:rPr>
                <w:rStyle w:val="Superscript"/>
              </w:rPr>
              <w:t>(i)</w:t>
            </w:r>
          </w:p>
          <w:p w14:paraId="5F8D0061" w14:textId="77777777" w:rsidR="00CE75D4" w:rsidRPr="002029AF" w:rsidRDefault="00CE75D4" w:rsidP="00860E95">
            <w:pPr>
              <w:pStyle w:val="ARfintablecolheadright"/>
            </w:pPr>
            <w:r w:rsidRPr="002029AF">
              <w:t>$M</w:t>
            </w:r>
          </w:p>
        </w:tc>
      </w:tr>
      <w:tr w:rsidR="00CE75D4" w:rsidRPr="002029AF" w14:paraId="7C90E855" w14:textId="77777777" w:rsidTr="00860E95">
        <w:tc>
          <w:tcPr>
            <w:tcW w:w="9637" w:type="dxa"/>
            <w:gridSpan w:val="5"/>
            <w:tcBorders>
              <w:top w:val="single" w:sz="4" w:space="0" w:color="auto"/>
              <w:bottom w:val="single" w:sz="4" w:space="0" w:color="A6A6A6"/>
            </w:tcBorders>
            <w:hideMark/>
          </w:tcPr>
          <w:p w14:paraId="2563B12E" w14:textId="77777777" w:rsidR="00CE75D4" w:rsidRPr="002029AF" w:rsidRDefault="00CE75D4" w:rsidP="008340C1">
            <w:pPr>
              <w:pStyle w:val="ARfintablebodybold"/>
            </w:pPr>
            <w:r w:rsidRPr="004F6C85">
              <w:t>Land at fair value</w:t>
            </w:r>
          </w:p>
        </w:tc>
      </w:tr>
      <w:tr w:rsidR="00CE75D4" w:rsidRPr="002029AF" w14:paraId="1387F06C" w14:textId="77777777" w:rsidTr="00860E95">
        <w:tc>
          <w:tcPr>
            <w:tcW w:w="5101" w:type="dxa"/>
            <w:tcBorders>
              <w:top w:val="single" w:sz="4" w:space="0" w:color="A6A6A6"/>
              <w:bottom w:val="single" w:sz="4" w:space="0" w:color="A6A6A6"/>
            </w:tcBorders>
            <w:hideMark/>
          </w:tcPr>
          <w:p w14:paraId="5E2DEEAD" w14:textId="77777777" w:rsidR="00CE75D4" w:rsidRPr="002029AF" w:rsidRDefault="00CE75D4" w:rsidP="008340C1">
            <w:pPr>
              <w:pStyle w:val="ARfintablebody"/>
            </w:pPr>
            <w:r w:rsidRPr="004F6C85">
              <w:t>Non-specialised land</w:t>
            </w:r>
          </w:p>
        </w:tc>
        <w:tc>
          <w:tcPr>
            <w:tcW w:w="1134" w:type="dxa"/>
            <w:tcBorders>
              <w:top w:val="single" w:sz="4" w:space="0" w:color="A6A6A6"/>
              <w:bottom w:val="single" w:sz="4" w:space="0" w:color="A6A6A6"/>
            </w:tcBorders>
            <w:noWrap/>
            <w:hideMark/>
          </w:tcPr>
          <w:p w14:paraId="232A4EF9" w14:textId="77777777" w:rsidR="00CE75D4" w:rsidRPr="002029AF" w:rsidRDefault="00CE75D4" w:rsidP="008340C1">
            <w:pPr>
              <w:pStyle w:val="ARfintablebodyright"/>
            </w:pPr>
            <w:r w:rsidRPr="004F6C85">
              <w:t>19.4</w:t>
            </w:r>
          </w:p>
        </w:tc>
        <w:tc>
          <w:tcPr>
            <w:tcW w:w="1134" w:type="dxa"/>
            <w:tcBorders>
              <w:top w:val="single" w:sz="4" w:space="0" w:color="A6A6A6"/>
              <w:bottom w:val="single" w:sz="4" w:space="0" w:color="A6A6A6"/>
            </w:tcBorders>
            <w:noWrap/>
            <w:hideMark/>
          </w:tcPr>
          <w:p w14:paraId="29245E0E"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73391061" w14:textId="77777777" w:rsidR="00CE75D4" w:rsidRPr="002029AF" w:rsidRDefault="00CE75D4" w:rsidP="008340C1">
            <w:pPr>
              <w:pStyle w:val="ARfintablebodyright"/>
            </w:pPr>
            <w:r w:rsidRPr="004F6C85">
              <w:t>19.4</w:t>
            </w:r>
          </w:p>
        </w:tc>
        <w:tc>
          <w:tcPr>
            <w:tcW w:w="1134" w:type="dxa"/>
            <w:tcBorders>
              <w:top w:val="single" w:sz="4" w:space="0" w:color="A6A6A6"/>
              <w:bottom w:val="single" w:sz="4" w:space="0" w:color="A6A6A6"/>
            </w:tcBorders>
            <w:noWrap/>
            <w:hideMark/>
          </w:tcPr>
          <w:p w14:paraId="6F365C83" w14:textId="77777777" w:rsidR="00CE75D4" w:rsidRPr="002029AF" w:rsidRDefault="00CE75D4" w:rsidP="008340C1">
            <w:pPr>
              <w:pStyle w:val="ARfintablebodyright"/>
            </w:pPr>
            <w:r>
              <w:t>–</w:t>
            </w:r>
          </w:p>
        </w:tc>
      </w:tr>
      <w:tr w:rsidR="00CE75D4" w:rsidRPr="002029AF" w14:paraId="5E68576D" w14:textId="77777777" w:rsidTr="00860E95">
        <w:tc>
          <w:tcPr>
            <w:tcW w:w="5101" w:type="dxa"/>
            <w:tcBorders>
              <w:top w:val="single" w:sz="4" w:space="0" w:color="A6A6A6"/>
            </w:tcBorders>
            <w:hideMark/>
          </w:tcPr>
          <w:p w14:paraId="611F2930" w14:textId="77777777" w:rsidR="00CE75D4" w:rsidRPr="002029AF" w:rsidRDefault="00CE75D4" w:rsidP="008340C1">
            <w:pPr>
              <w:pStyle w:val="ARfintablebody"/>
            </w:pPr>
            <w:r w:rsidRPr="004F6C85">
              <w:t>Specialised land</w:t>
            </w:r>
          </w:p>
        </w:tc>
        <w:tc>
          <w:tcPr>
            <w:tcW w:w="1134" w:type="dxa"/>
            <w:tcBorders>
              <w:top w:val="single" w:sz="4" w:space="0" w:color="A6A6A6"/>
            </w:tcBorders>
            <w:noWrap/>
            <w:hideMark/>
          </w:tcPr>
          <w:p w14:paraId="037BFAFF" w14:textId="77777777" w:rsidR="00CE75D4" w:rsidRPr="002029AF" w:rsidRDefault="00CE75D4" w:rsidP="008340C1">
            <w:pPr>
              <w:pStyle w:val="ARfintablebodyright"/>
            </w:pPr>
            <w:r w:rsidRPr="004F6C85">
              <w:t>641.4</w:t>
            </w:r>
          </w:p>
        </w:tc>
        <w:tc>
          <w:tcPr>
            <w:tcW w:w="1134" w:type="dxa"/>
            <w:tcBorders>
              <w:top w:val="single" w:sz="4" w:space="0" w:color="A6A6A6"/>
            </w:tcBorders>
            <w:noWrap/>
            <w:hideMark/>
          </w:tcPr>
          <w:p w14:paraId="4658B2F9" w14:textId="77777777" w:rsidR="00CE75D4" w:rsidRPr="002029AF" w:rsidRDefault="00CE75D4" w:rsidP="008340C1">
            <w:pPr>
              <w:pStyle w:val="ARfintablebodyright"/>
            </w:pPr>
            <w:r>
              <w:t>–</w:t>
            </w:r>
          </w:p>
        </w:tc>
        <w:tc>
          <w:tcPr>
            <w:tcW w:w="1134" w:type="dxa"/>
            <w:tcBorders>
              <w:top w:val="single" w:sz="4" w:space="0" w:color="A6A6A6"/>
            </w:tcBorders>
            <w:noWrap/>
            <w:hideMark/>
          </w:tcPr>
          <w:p w14:paraId="53D6C5FC" w14:textId="77777777" w:rsidR="00CE75D4" w:rsidRPr="002029AF" w:rsidRDefault="00CE75D4" w:rsidP="008340C1">
            <w:pPr>
              <w:pStyle w:val="ARfintablebodyright"/>
            </w:pPr>
            <w:r w:rsidRPr="004F6C85">
              <w:t>90.6</w:t>
            </w:r>
          </w:p>
        </w:tc>
        <w:tc>
          <w:tcPr>
            <w:tcW w:w="1134" w:type="dxa"/>
            <w:tcBorders>
              <w:top w:val="single" w:sz="4" w:space="0" w:color="A6A6A6"/>
            </w:tcBorders>
            <w:noWrap/>
            <w:hideMark/>
          </w:tcPr>
          <w:p w14:paraId="717631FB" w14:textId="77777777" w:rsidR="00CE75D4" w:rsidRPr="002029AF" w:rsidRDefault="00CE75D4" w:rsidP="008340C1">
            <w:pPr>
              <w:pStyle w:val="ARfintablebodyright"/>
            </w:pPr>
            <w:r w:rsidRPr="004F6C85">
              <w:t>550.7</w:t>
            </w:r>
          </w:p>
        </w:tc>
      </w:tr>
      <w:tr w:rsidR="00CE75D4" w:rsidRPr="002029AF" w14:paraId="4062F4E9" w14:textId="77777777" w:rsidTr="00860E95">
        <w:tc>
          <w:tcPr>
            <w:tcW w:w="5101" w:type="dxa"/>
            <w:tcBorders>
              <w:bottom w:val="single" w:sz="4" w:space="0" w:color="auto"/>
            </w:tcBorders>
            <w:hideMark/>
          </w:tcPr>
          <w:p w14:paraId="63EEEA5B" w14:textId="77777777" w:rsidR="00CE75D4" w:rsidRPr="002029AF" w:rsidRDefault="00CE75D4" w:rsidP="008340C1">
            <w:pPr>
              <w:pStyle w:val="ARfintablebodybold"/>
            </w:pPr>
            <w:r w:rsidRPr="004F6C85">
              <w:t>Total land at fair value</w:t>
            </w:r>
          </w:p>
        </w:tc>
        <w:tc>
          <w:tcPr>
            <w:tcW w:w="1134" w:type="dxa"/>
            <w:tcBorders>
              <w:bottom w:val="single" w:sz="4" w:space="0" w:color="auto"/>
            </w:tcBorders>
            <w:noWrap/>
            <w:hideMark/>
          </w:tcPr>
          <w:p w14:paraId="5FA18544" w14:textId="77777777" w:rsidR="00CE75D4" w:rsidRPr="002029AF" w:rsidRDefault="00CE75D4" w:rsidP="008340C1">
            <w:pPr>
              <w:pStyle w:val="ARfintablebodyrightbold"/>
            </w:pPr>
            <w:r w:rsidRPr="004F6C85">
              <w:t>660.8</w:t>
            </w:r>
          </w:p>
        </w:tc>
        <w:tc>
          <w:tcPr>
            <w:tcW w:w="1134" w:type="dxa"/>
            <w:tcBorders>
              <w:bottom w:val="single" w:sz="4" w:space="0" w:color="auto"/>
            </w:tcBorders>
            <w:noWrap/>
            <w:hideMark/>
          </w:tcPr>
          <w:p w14:paraId="5282643C" w14:textId="77777777" w:rsidR="00CE75D4" w:rsidRPr="002029AF" w:rsidRDefault="00CE75D4" w:rsidP="008340C1">
            <w:pPr>
              <w:pStyle w:val="ARfintablebodyrightbold"/>
            </w:pPr>
            <w:r>
              <w:t>–</w:t>
            </w:r>
          </w:p>
        </w:tc>
        <w:tc>
          <w:tcPr>
            <w:tcW w:w="1134" w:type="dxa"/>
            <w:tcBorders>
              <w:bottom w:val="single" w:sz="4" w:space="0" w:color="auto"/>
            </w:tcBorders>
            <w:noWrap/>
            <w:hideMark/>
          </w:tcPr>
          <w:p w14:paraId="6F4C262A" w14:textId="77777777" w:rsidR="00CE75D4" w:rsidRPr="002029AF" w:rsidRDefault="00CE75D4" w:rsidP="008340C1">
            <w:pPr>
              <w:pStyle w:val="ARfintablebodyrightbold"/>
            </w:pPr>
            <w:r w:rsidRPr="004F6C85">
              <w:t>110.0</w:t>
            </w:r>
          </w:p>
        </w:tc>
        <w:tc>
          <w:tcPr>
            <w:tcW w:w="1134" w:type="dxa"/>
            <w:tcBorders>
              <w:bottom w:val="single" w:sz="4" w:space="0" w:color="auto"/>
            </w:tcBorders>
            <w:noWrap/>
            <w:hideMark/>
          </w:tcPr>
          <w:p w14:paraId="57610754" w14:textId="77777777" w:rsidR="00CE75D4" w:rsidRPr="002029AF" w:rsidRDefault="00CE75D4" w:rsidP="008340C1">
            <w:pPr>
              <w:pStyle w:val="ARfintablebodyrightbold"/>
            </w:pPr>
            <w:r w:rsidRPr="004F6C85">
              <w:t>550.7</w:t>
            </w:r>
          </w:p>
        </w:tc>
      </w:tr>
      <w:tr w:rsidR="00CE75D4" w:rsidRPr="002029AF" w14:paraId="3B5B83BA" w14:textId="77777777" w:rsidTr="00860E95">
        <w:tc>
          <w:tcPr>
            <w:tcW w:w="9637" w:type="dxa"/>
            <w:gridSpan w:val="5"/>
            <w:tcBorders>
              <w:top w:val="single" w:sz="4" w:space="0" w:color="auto"/>
              <w:bottom w:val="single" w:sz="4" w:space="0" w:color="A6A6A6"/>
            </w:tcBorders>
            <w:hideMark/>
          </w:tcPr>
          <w:p w14:paraId="2F5A6EDB" w14:textId="77777777" w:rsidR="00CE75D4" w:rsidRPr="002029AF" w:rsidRDefault="00CE75D4" w:rsidP="008340C1">
            <w:pPr>
              <w:pStyle w:val="ARfintablebodybold"/>
            </w:pPr>
            <w:r w:rsidRPr="004F6C85">
              <w:t>Buildings at fair value</w:t>
            </w:r>
          </w:p>
        </w:tc>
      </w:tr>
      <w:tr w:rsidR="00CE75D4" w:rsidRPr="002029AF" w14:paraId="28CD6E0B" w14:textId="77777777" w:rsidTr="00860E95">
        <w:tc>
          <w:tcPr>
            <w:tcW w:w="5101" w:type="dxa"/>
            <w:tcBorders>
              <w:top w:val="single" w:sz="4" w:space="0" w:color="A6A6A6"/>
              <w:bottom w:val="single" w:sz="4" w:space="0" w:color="A6A6A6"/>
            </w:tcBorders>
            <w:hideMark/>
          </w:tcPr>
          <w:p w14:paraId="40D94AF1" w14:textId="77777777" w:rsidR="00CE75D4" w:rsidRPr="002029AF" w:rsidRDefault="00CE75D4" w:rsidP="008340C1">
            <w:pPr>
              <w:pStyle w:val="ARfintablebody"/>
            </w:pPr>
            <w:r w:rsidRPr="004F6C85">
              <w:t>Non-specialised buildings</w:t>
            </w:r>
          </w:p>
        </w:tc>
        <w:tc>
          <w:tcPr>
            <w:tcW w:w="1134" w:type="dxa"/>
            <w:tcBorders>
              <w:top w:val="single" w:sz="4" w:space="0" w:color="A6A6A6"/>
              <w:bottom w:val="single" w:sz="4" w:space="0" w:color="A6A6A6"/>
            </w:tcBorders>
            <w:noWrap/>
            <w:hideMark/>
          </w:tcPr>
          <w:p w14:paraId="6B1CC741" w14:textId="77777777" w:rsidR="00CE75D4" w:rsidRPr="002029AF" w:rsidRDefault="00CE75D4" w:rsidP="008340C1">
            <w:pPr>
              <w:pStyle w:val="ARfintablebodyright"/>
            </w:pPr>
            <w:r w:rsidRPr="004F6C85">
              <w:t>15.6</w:t>
            </w:r>
          </w:p>
        </w:tc>
        <w:tc>
          <w:tcPr>
            <w:tcW w:w="1134" w:type="dxa"/>
            <w:tcBorders>
              <w:top w:val="single" w:sz="4" w:space="0" w:color="A6A6A6"/>
              <w:bottom w:val="single" w:sz="4" w:space="0" w:color="A6A6A6"/>
            </w:tcBorders>
            <w:noWrap/>
            <w:hideMark/>
          </w:tcPr>
          <w:p w14:paraId="4A15024C"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2305F6DA" w14:textId="77777777" w:rsidR="00CE75D4" w:rsidRPr="002029AF" w:rsidRDefault="00CE75D4" w:rsidP="008340C1">
            <w:pPr>
              <w:pStyle w:val="ARfintablebodyright"/>
            </w:pPr>
            <w:r w:rsidRPr="004F6C85">
              <w:t>7.9</w:t>
            </w:r>
          </w:p>
        </w:tc>
        <w:tc>
          <w:tcPr>
            <w:tcW w:w="1134" w:type="dxa"/>
            <w:tcBorders>
              <w:top w:val="single" w:sz="4" w:space="0" w:color="A6A6A6"/>
              <w:bottom w:val="single" w:sz="4" w:space="0" w:color="A6A6A6"/>
            </w:tcBorders>
            <w:noWrap/>
            <w:hideMark/>
          </w:tcPr>
          <w:p w14:paraId="36DBC97C" w14:textId="77777777" w:rsidR="00CE75D4" w:rsidRPr="002029AF" w:rsidRDefault="00CE75D4" w:rsidP="008340C1">
            <w:pPr>
              <w:pStyle w:val="ARfintablebodyright"/>
            </w:pPr>
            <w:r w:rsidRPr="004F6C85">
              <w:t>7.7</w:t>
            </w:r>
          </w:p>
        </w:tc>
      </w:tr>
      <w:tr w:rsidR="00CE75D4" w:rsidRPr="002029AF" w14:paraId="31F48D92" w14:textId="77777777" w:rsidTr="00860E95">
        <w:tc>
          <w:tcPr>
            <w:tcW w:w="5101" w:type="dxa"/>
            <w:tcBorders>
              <w:top w:val="single" w:sz="4" w:space="0" w:color="A6A6A6"/>
            </w:tcBorders>
            <w:hideMark/>
          </w:tcPr>
          <w:p w14:paraId="6C036739" w14:textId="77777777" w:rsidR="00CE75D4" w:rsidRPr="002029AF" w:rsidRDefault="00CE75D4" w:rsidP="008340C1">
            <w:pPr>
              <w:pStyle w:val="ARfintablebody"/>
            </w:pPr>
            <w:r w:rsidRPr="004F6C85">
              <w:t>Specialised buildings</w:t>
            </w:r>
          </w:p>
        </w:tc>
        <w:tc>
          <w:tcPr>
            <w:tcW w:w="1134" w:type="dxa"/>
            <w:tcBorders>
              <w:top w:val="single" w:sz="4" w:space="0" w:color="A6A6A6"/>
            </w:tcBorders>
            <w:noWrap/>
            <w:hideMark/>
          </w:tcPr>
          <w:p w14:paraId="599BDDA2" w14:textId="77777777" w:rsidR="00CE75D4" w:rsidRPr="002029AF" w:rsidRDefault="00CE75D4" w:rsidP="008340C1">
            <w:pPr>
              <w:pStyle w:val="ARfintablebodyright"/>
            </w:pPr>
            <w:r w:rsidRPr="004F6C85">
              <w:t>492.0</w:t>
            </w:r>
          </w:p>
        </w:tc>
        <w:tc>
          <w:tcPr>
            <w:tcW w:w="1134" w:type="dxa"/>
            <w:tcBorders>
              <w:top w:val="single" w:sz="4" w:space="0" w:color="A6A6A6"/>
            </w:tcBorders>
            <w:noWrap/>
            <w:hideMark/>
          </w:tcPr>
          <w:p w14:paraId="4B92674B" w14:textId="77777777" w:rsidR="00CE75D4" w:rsidRPr="002029AF" w:rsidRDefault="00CE75D4" w:rsidP="008340C1">
            <w:pPr>
              <w:pStyle w:val="ARfintablebodyright"/>
            </w:pPr>
            <w:r>
              <w:t>–</w:t>
            </w:r>
          </w:p>
        </w:tc>
        <w:tc>
          <w:tcPr>
            <w:tcW w:w="1134" w:type="dxa"/>
            <w:tcBorders>
              <w:top w:val="single" w:sz="4" w:space="0" w:color="A6A6A6"/>
            </w:tcBorders>
            <w:noWrap/>
            <w:hideMark/>
          </w:tcPr>
          <w:p w14:paraId="4A91811C" w14:textId="77777777" w:rsidR="00CE75D4" w:rsidRPr="002029AF" w:rsidRDefault="00CE75D4" w:rsidP="008340C1">
            <w:pPr>
              <w:pStyle w:val="ARfintablebodyright"/>
            </w:pPr>
            <w:r w:rsidRPr="004F6C85">
              <w:t>0.9</w:t>
            </w:r>
          </w:p>
        </w:tc>
        <w:tc>
          <w:tcPr>
            <w:tcW w:w="1134" w:type="dxa"/>
            <w:tcBorders>
              <w:top w:val="single" w:sz="4" w:space="0" w:color="A6A6A6"/>
            </w:tcBorders>
            <w:noWrap/>
            <w:hideMark/>
          </w:tcPr>
          <w:p w14:paraId="4B12F958" w14:textId="77777777" w:rsidR="00CE75D4" w:rsidRPr="002029AF" w:rsidRDefault="00CE75D4" w:rsidP="008340C1">
            <w:pPr>
              <w:pStyle w:val="ARfintablebodyright"/>
            </w:pPr>
            <w:r w:rsidRPr="004F6C85">
              <w:t>491.1</w:t>
            </w:r>
          </w:p>
        </w:tc>
      </w:tr>
      <w:tr w:rsidR="00CE75D4" w:rsidRPr="002029AF" w14:paraId="403E78E4" w14:textId="77777777" w:rsidTr="00860E95">
        <w:tc>
          <w:tcPr>
            <w:tcW w:w="5101" w:type="dxa"/>
            <w:tcBorders>
              <w:bottom w:val="single" w:sz="4" w:space="0" w:color="auto"/>
            </w:tcBorders>
            <w:hideMark/>
          </w:tcPr>
          <w:p w14:paraId="0DE7E366" w14:textId="77777777" w:rsidR="00CE75D4" w:rsidRPr="002029AF" w:rsidRDefault="00CE75D4" w:rsidP="008340C1">
            <w:pPr>
              <w:pStyle w:val="ARfintablebodybold"/>
            </w:pPr>
            <w:r w:rsidRPr="004F6C85">
              <w:t>Total buildings at fair value</w:t>
            </w:r>
          </w:p>
        </w:tc>
        <w:tc>
          <w:tcPr>
            <w:tcW w:w="1134" w:type="dxa"/>
            <w:tcBorders>
              <w:bottom w:val="single" w:sz="4" w:space="0" w:color="auto"/>
            </w:tcBorders>
            <w:noWrap/>
            <w:hideMark/>
          </w:tcPr>
          <w:p w14:paraId="140B6CDD" w14:textId="77777777" w:rsidR="00CE75D4" w:rsidRPr="002029AF" w:rsidRDefault="00CE75D4" w:rsidP="008340C1">
            <w:pPr>
              <w:pStyle w:val="ARfintablebodyrightbold"/>
            </w:pPr>
            <w:r w:rsidRPr="004F6C85">
              <w:t>507.6</w:t>
            </w:r>
          </w:p>
        </w:tc>
        <w:tc>
          <w:tcPr>
            <w:tcW w:w="1134" w:type="dxa"/>
            <w:tcBorders>
              <w:bottom w:val="single" w:sz="4" w:space="0" w:color="auto"/>
            </w:tcBorders>
            <w:noWrap/>
            <w:hideMark/>
          </w:tcPr>
          <w:p w14:paraId="155C2597" w14:textId="77777777" w:rsidR="00CE75D4" w:rsidRPr="002029AF" w:rsidRDefault="00CE75D4" w:rsidP="008340C1">
            <w:pPr>
              <w:pStyle w:val="ARfintablebodyrightbold"/>
            </w:pPr>
            <w:r>
              <w:t>–</w:t>
            </w:r>
          </w:p>
        </w:tc>
        <w:tc>
          <w:tcPr>
            <w:tcW w:w="1134" w:type="dxa"/>
            <w:tcBorders>
              <w:bottom w:val="single" w:sz="4" w:space="0" w:color="auto"/>
            </w:tcBorders>
            <w:noWrap/>
            <w:hideMark/>
          </w:tcPr>
          <w:p w14:paraId="0B1ADA64" w14:textId="77777777" w:rsidR="00CE75D4" w:rsidRPr="002029AF" w:rsidRDefault="00CE75D4" w:rsidP="008340C1">
            <w:pPr>
              <w:pStyle w:val="ARfintablebodyrightbold"/>
            </w:pPr>
            <w:r w:rsidRPr="004F6C85">
              <w:t>8.8</w:t>
            </w:r>
          </w:p>
        </w:tc>
        <w:tc>
          <w:tcPr>
            <w:tcW w:w="1134" w:type="dxa"/>
            <w:tcBorders>
              <w:bottom w:val="single" w:sz="4" w:space="0" w:color="auto"/>
            </w:tcBorders>
            <w:noWrap/>
            <w:hideMark/>
          </w:tcPr>
          <w:p w14:paraId="2038DB36" w14:textId="77777777" w:rsidR="00CE75D4" w:rsidRPr="002029AF" w:rsidRDefault="00CE75D4" w:rsidP="008340C1">
            <w:pPr>
              <w:pStyle w:val="ARfintablebodyrightbold"/>
            </w:pPr>
            <w:r w:rsidRPr="004F6C85">
              <w:t>498.9</w:t>
            </w:r>
          </w:p>
        </w:tc>
      </w:tr>
      <w:tr w:rsidR="00CE75D4" w:rsidRPr="002029AF" w14:paraId="0A4102C9" w14:textId="77777777" w:rsidTr="00860E95">
        <w:tc>
          <w:tcPr>
            <w:tcW w:w="9637" w:type="dxa"/>
            <w:gridSpan w:val="5"/>
            <w:tcBorders>
              <w:top w:val="single" w:sz="4" w:space="0" w:color="auto"/>
              <w:bottom w:val="single" w:sz="4" w:space="0" w:color="A6A6A6"/>
            </w:tcBorders>
            <w:hideMark/>
          </w:tcPr>
          <w:p w14:paraId="37B0873D" w14:textId="77777777" w:rsidR="00CE75D4" w:rsidRPr="002029AF" w:rsidRDefault="00CE75D4" w:rsidP="008340C1">
            <w:pPr>
              <w:pStyle w:val="ARfintablebodybold"/>
            </w:pPr>
            <w:r w:rsidRPr="004F6C85">
              <w:t>Plant, equipment and vehicles at fair value</w:t>
            </w:r>
          </w:p>
        </w:tc>
      </w:tr>
      <w:tr w:rsidR="00CE75D4" w:rsidRPr="002029AF" w14:paraId="48C29C6D" w14:textId="77777777" w:rsidTr="00860E95">
        <w:tc>
          <w:tcPr>
            <w:tcW w:w="5101" w:type="dxa"/>
            <w:tcBorders>
              <w:top w:val="single" w:sz="4" w:space="0" w:color="A6A6A6"/>
              <w:bottom w:val="single" w:sz="4" w:space="0" w:color="A6A6A6"/>
            </w:tcBorders>
            <w:hideMark/>
          </w:tcPr>
          <w:p w14:paraId="7B148167" w14:textId="77777777" w:rsidR="00CE75D4" w:rsidRPr="002029AF" w:rsidRDefault="00CE75D4" w:rsidP="008340C1">
            <w:pPr>
              <w:pStyle w:val="ARfintablebody"/>
            </w:pPr>
            <w:r w:rsidRPr="004F6C85">
              <w:t>Plant and equipment</w:t>
            </w:r>
          </w:p>
        </w:tc>
        <w:tc>
          <w:tcPr>
            <w:tcW w:w="1134" w:type="dxa"/>
            <w:tcBorders>
              <w:top w:val="single" w:sz="4" w:space="0" w:color="A6A6A6"/>
              <w:bottom w:val="single" w:sz="4" w:space="0" w:color="A6A6A6"/>
            </w:tcBorders>
            <w:noWrap/>
            <w:hideMark/>
          </w:tcPr>
          <w:p w14:paraId="5CB548F3" w14:textId="77777777" w:rsidR="00CE75D4" w:rsidRPr="002029AF" w:rsidRDefault="00CE75D4" w:rsidP="008340C1">
            <w:pPr>
              <w:pStyle w:val="ARfintablebodyright"/>
            </w:pPr>
            <w:r w:rsidRPr="004F6C85">
              <w:t>4.2</w:t>
            </w:r>
          </w:p>
        </w:tc>
        <w:tc>
          <w:tcPr>
            <w:tcW w:w="1134" w:type="dxa"/>
            <w:tcBorders>
              <w:top w:val="single" w:sz="4" w:space="0" w:color="A6A6A6"/>
              <w:bottom w:val="single" w:sz="4" w:space="0" w:color="A6A6A6"/>
            </w:tcBorders>
            <w:noWrap/>
            <w:hideMark/>
          </w:tcPr>
          <w:p w14:paraId="31BC67C6"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23E5D413"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430598C5" w14:textId="77777777" w:rsidR="00CE75D4" w:rsidRPr="002029AF" w:rsidRDefault="00CE75D4" w:rsidP="008340C1">
            <w:pPr>
              <w:pStyle w:val="ARfintablebodyright"/>
            </w:pPr>
            <w:r w:rsidRPr="004F6C85">
              <w:t>4.2</w:t>
            </w:r>
          </w:p>
        </w:tc>
      </w:tr>
      <w:tr w:rsidR="00CE75D4" w:rsidRPr="002029AF" w14:paraId="0F9505A5" w14:textId="77777777" w:rsidTr="00860E95">
        <w:tc>
          <w:tcPr>
            <w:tcW w:w="5101" w:type="dxa"/>
            <w:hideMark/>
          </w:tcPr>
          <w:p w14:paraId="6CF7D9C9" w14:textId="77777777" w:rsidR="00CE75D4" w:rsidRPr="002029AF" w:rsidRDefault="00CE75D4" w:rsidP="008340C1">
            <w:pPr>
              <w:pStyle w:val="ARfintablebodybold"/>
            </w:pPr>
            <w:r w:rsidRPr="004F6C85">
              <w:t>Total plant, equipment and vehicles at fair value</w:t>
            </w:r>
          </w:p>
        </w:tc>
        <w:tc>
          <w:tcPr>
            <w:tcW w:w="1134" w:type="dxa"/>
            <w:noWrap/>
            <w:hideMark/>
          </w:tcPr>
          <w:p w14:paraId="7B6AEC34" w14:textId="77777777" w:rsidR="00CE75D4" w:rsidRPr="002029AF" w:rsidRDefault="00CE75D4" w:rsidP="008340C1">
            <w:pPr>
              <w:pStyle w:val="ARfintablebodyrightbold"/>
            </w:pPr>
            <w:r w:rsidRPr="004F6C85">
              <w:t>4.2</w:t>
            </w:r>
          </w:p>
        </w:tc>
        <w:tc>
          <w:tcPr>
            <w:tcW w:w="1134" w:type="dxa"/>
            <w:noWrap/>
            <w:hideMark/>
          </w:tcPr>
          <w:p w14:paraId="4FF46E37" w14:textId="77777777" w:rsidR="00CE75D4" w:rsidRPr="002029AF" w:rsidRDefault="00CE75D4" w:rsidP="008340C1">
            <w:pPr>
              <w:pStyle w:val="ARfintablebodyrightbold"/>
            </w:pPr>
            <w:r>
              <w:t>–</w:t>
            </w:r>
          </w:p>
        </w:tc>
        <w:tc>
          <w:tcPr>
            <w:tcW w:w="1134" w:type="dxa"/>
            <w:noWrap/>
            <w:hideMark/>
          </w:tcPr>
          <w:p w14:paraId="6F352066" w14:textId="77777777" w:rsidR="00CE75D4" w:rsidRPr="002029AF" w:rsidRDefault="00CE75D4" w:rsidP="008340C1">
            <w:pPr>
              <w:pStyle w:val="ARfintablebodyrightbold"/>
            </w:pPr>
            <w:r>
              <w:t>–</w:t>
            </w:r>
          </w:p>
        </w:tc>
        <w:tc>
          <w:tcPr>
            <w:tcW w:w="1134" w:type="dxa"/>
            <w:noWrap/>
            <w:hideMark/>
          </w:tcPr>
          <w:p w14:paraId="6428E2E3" w14:textId="77777777" w:rsidR="00CE75D4" w:rsidRPr="002029AF" w:rsidRDefault="00CE75D4" w:rsidP="008340C1">
            <w:pPr>
              <w:pStyle w:val="ARfintablebodyrightbold"/>
            </w:pPr>
            <w:r w:rsidRPr="004F6C85">
              <w:t>4.2</w:t>
            </w:r>
          </w:p>
        </w:tc>
      </w:tr>
    </w:tbl>
    <w:p w14:paraId="630642FC" w14:textId="77777777" w:rsidR="00CE75D4" w:rsidRPr="002029AF" w:rsidRDefault="00CE75D4" w:rsidP="00087B91">
      <w:pPr>
        <w:pStyle w:val="ARfinbody"/>
      </w:pPr>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CE75D4" w:rsidRPr="002029AF" w14:paraId="7B84BBA6"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hideMark/>
          </w:tcPr>
          <w:p w14:paraId="0244B8A8" w14:textId="77777777" w:rsidR="00CE75D4" w:rsidRPr="002029AF" w:rsidRDefault="00CE75D4" w:rsidP="00860E95">
            <w:pPr>
              <w:pStyle w:val="ARfintablecolhead"/>
            </w:pPr>
            <w:r>
              <w:t>2021</w:t>
            </w:r>
          </w:p>
        </w:tc>
        <w:tc>
          <w:tcPr>
            <w:tcW w:w="1134" w:type="dxa"/>
            <w:vMerge w:val="restart"/>
            <w:hideMark/>
          </w:tcPr>
          <w:p w14:paraId="216CC938" w14:textId="77777777" w:rsidR="00CE75D4" w:rsidRPr="002029AF" w:rsidRDefault="00CE75D4" w:rsidP="00860E95">
            <w:pPr>
              <w:pStyle w:val="ARfintablecolheadright"/>
            </w:pPr>
            <w:r w:rsidRPr="002029AF">
              <w:t>Carrying amount</w:t>
            </w:r>
          </w:p>
          <w:p w14:paraId="6570280F" w14:textId="77777777" w:rsidR="00CE75D4" w:rsidRPr="002029AF" w:rsidRDefault="00CE75D4" w:rsidP="00860E95">
            <w:pPr>
              <w:pStyle w:val="ARfintablecolheadright"/>
            </w:pPr>
            <w:r w:rsidRPr="002029AF">
              <w:t>$M</w:t>
            </w:r>
          </w:p>
        </w:tc>
        <w:tc>
          <w:tcPr>
            <w:tcW w:w="3402" w:type="dxa"/>
            <w:gridSpan w:val="3"/>
            <w:hideMark/>
          </w:tcPr>
          <w:p w14:paraId="1ABDB991" w14:textId="77777777" w:rsidR="00CE75D4" w:rsidRPr="002029AF" w:rsidRDefault="00CE75D4" w:rsidP="00860E95">
            <w:pPr>
              <w:pStyle w:val="ARfintablecolheadcentre"/>
            </w:pPr>
            <w:r w:rsidRPr="002029AF">
              <w:t xml:space="preserve">Fair value measurement at the end </w:t>
            </w:r>
            <w:r>
              <w:br/>
            </w:r>
            <w:r w:rsidRPr="002029AF">
              <w:t>of reporting period using:</w:t>
            </w:r>
          </w:p>
        </w:tc>
      </w:tr>
      <w:tr w:rsidR="00CE75D4" w:rsidRPr="002029AF" w14:paraId="66800319"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5101" w:type="dxa"/>
            <w:vMerge/>
            <w:tcBorders>
              <w:bottom w:val="single" w:sz="4" w:space="0" w:color="auto"/>
            </w:tcBorders>
            <w:hideMark/>
          </w:tcPr>
          <w:p w14:paraId="2E1FD68D" w14:textId="77777777" w:rsidR="00CE75D4" w:rsidRPr="002029AF" w:rsidRDefault="00CE75D4" w:rsidP="00860E95">
            <w:pPr>
              <w:pStyle w:val="ARfintablecolhead"/>
            </w:pPr>
          </w:p>
        </w:tc>
        <w:tc>
          <w:tcPr>
            <w:tcW w:w="1134" w:type="dxa"/>
            <w:vMerge/>
            <w:tcBorders>
              <w:bottom w:val="single" w:sz="4" w:space="0" w:color="auto"/>
            </w:tcBorders>
            <w:hideMark/>
          </w:tcPr>
          <w:p w14:paraId="1676B3D2" w14:textId="77777777" w:rsidR="00CE75D4" w:rsidRPr="002029AF" w:rsidRDefault="00CE75D4" w:rsidP="00860E95">
            <w:pPr>
              <w:pStyle w:val="ARfintablecolheadright"/>
            </w:pPr>
          </w:p>
        </w:tc>
        <w:tc>
          <w:tcPr>
            <w:tcW w:w="1134" w:type="dxa"/>
            <w:tcBorders>
              <w:bottom w:val="single" w:sz="4" w:space="0" w:color="auto"/>
            </w:tcBorders>
            <w:hideMark/>
          </w:tcPr>
          <w:p w14:paraId="62DD3589" w14:textId="77777777" w:rsidR="00CE75D4" w:rsidRPr="002029AF" w:rsidRDefault="00CE75D4" w:rsidP="00860E95">
            <w:pPr>
              <w:pStyle w:val="ARfintablecolheadright"/>
            </w:pPr>
            <w:r w:rsidRPr="002029AF">
              <w:t xml:space="preserve">Level 1 </w:t>
            </w:r>
            <w:r w:rsidRPr="002029AF">
              <w:rPr>
                <w:rStyle w:val="Superscript"/>
              </w:rPr>
              <w:t>(i)</w:t>
            </w:r>
          </w:p>
          <w:p w14:paraId="5B5BB617" w14:textId="77777777" w:rsidR="00CE75D4" w:rsidRPr="002029AF" w:rsidRDefault="00CE75D4" w:rsidP="00860E95">
            <w:pPr>
              <w:pStyle w:val="ARfintablecolheadright"/>
            </w:pPr>
            <w:r w:rsidRPr="002029AF">
              <w:t>$M</w:t>
            </w:r>
          </w:p>
        </w:tc>
        <w:tc>
          <w:tcPr>
            <w:tcW w:w="1134" w:type="dxa"/>
            <w:tcBorders>
              <w:bottom w:val="single" w:sz="4" w:space="0" w:color="auto"/>
            </w:tcBorders>
            <w:hideMark/>
          </w:tcPr>
          <w:p w14:paraId="68656AB8" w14:textId="77777777" w:rsidR="00CE75D4" w:rsidRPr="002029AF" w:rsidRDefault="00CE75D4" w:rsidP="00860E95">
            <w:pPr>
              <w:pStyle w:val="ARfintablecolheadright"/>
            </w:pPr>
            <w:r w:rsidRPr="002029AF">
              <w:t xml:space="preserve">Level 2 </w:t>
            </w:r>
            <w:r w:rsidRPr="002029AF">
              <w:rPr>
                <w:rStyle w:val="Superscript"/>
              </w:rPr>
              <w:t>(i)</w:t>
            </w:r>
          </w:p>
          <w:p w14:paraId="15BBF0EF" w14:textId="77777777" w:rsidR="00CE75D4" w:rsidRPr="002029AF" w:rsidRDefault="00CE75D4" w:rsidP="00860E95">
            <w:pPr>
              <w:pStyle w:val="ARfintablecolheadright"/>
            </w:pPr>
            <w:r w:rsidRPr="002029AF">
              <w:t>$M</w:t>
            </w:r>
          </w:p>
        </w:tc>
        <w:tc>
          <w:tcPr>
            <w:tcW w:w="1134" w:type="dxa"/>
            <w:tcBorders>
              <w:bottom w:val="single" w:sz="4" w:space="0" w:color="auto"/>
            </w:tcBorders>
            <w:hideMark/>
          </w:tcPr>
          <w:p w14:paraId="6616BD5D" w14:textId="77777777" w:rsidR="00CE75D4" w:rsidRPr="002029AF" w:rsidRDefault="00CE75D4" w:rsidP="00860E95">
            <w:pPr>
              <w:pStyle w:val="ARfintablecolheadright"/>
            </w:pPr>
            <w:r w:rsidRPr="002029AF">
              <w:t xml:space="preserve">Level 3 </w:t>
            </w:r>
            <w:r w:rsidRPr="002029AF">
              <w:rPr>
                <w:rStyle w:val="Superscript"/>
              </w:rPr>
              <w:t>(i)</w:t>
            </w:r>
          </w:p>
          <w:p w14:paraId="116B9000" w14:textId="77777777" w:rsidR="00CE75D4" w:rsidRPr="002029AF" w:rsidRDefault="00CE75D4" w:rsidP="00860E95">
            <w:pPr>
              <w:pStyle w:val="ARfintablecolheadright"/>
            </w:pPr>
            <w:r w:rsidRPr="002029AF">
              <w:t>$M</w:t>
            </w:r>
          </w:p>
        </w:tc>
      </w:tr>
      <w:tr w:rsidR="00CE75D4" w:rsidRPr="002029AF" w14:paraId="258E4836" w14:textId="77777777" w:rsidTr="00860E95">
        <w:trPr>
          <w:trHeight w:val="255"/>
        </w:trPr>
        <w:tc>
          <w:tcPr>
            <w:tcW w:w="9637" w:type="dxa"/>
            <w:gridSpan w:val="5"/>
            <w:tcBorders>
              <w:top w:val="single" w:sz="4" w:space="0" w:color="auto"/>
              <w:bottom w:val="single" w:sz="4" w:space="0" w:color="A6A6A6"/>
            </w:tcBorders>
            <w:hideMark/>
          </w:tcPr>
          <w:p w14:paraId="5803D1A3" w14:textId="77777777" w:rsidR="00CE75D4" w:rsidRPr="002029AF" w:rsidRDefault="00CE75D4" w:rsidP="008340C1">
            <w:pPr>
              <w:pStyle w:val="ARfintablebodybold"/>
            </w:pPr>
            <w:r w:rsidRPr="00FF426F">
              <w:t>Land at fair value</w:t>
            </w:r>
          </w:p>
        </w:tc>
      </w:tr>
      <w:tr w:rsidR="00CE75D4" w:rsidRPr="002029AF" w14:paraId="69156729" w14:textId="77777777" w:rsidTr="00860E95">
        <w:trPr>
          <w:trHeight w:val="255"/>
        </w:trPr>
        <w:tc>
          <w:tcPr>
            <w:tcW w:w="5101" w:type="dxa"/>
            <w:tcBorders>
              <w:top w:val="single" w:sz="4" w:space="0" w:color="A6A6A6"/>
              <w:bottom w:val="single" w:sz="4" w:space="0" w:color="A6A6A6"/>
            </w:tcBorders>
            <w:hideMark/>
          </w:tcPr>
          <w:p w14:paraId="5E750BF8" w14:textId="77777777" w:rsidR="00CE75D4" w:rsidRPr="002029AF" w:rsidRDefault="00CE75D4" w:rsidP="008340C1">
            <w:pPr>
              <w:pStyle w:val="ARfintablebody"/>
            </w:pPr>
            <w:r w:rsidRPr="00FF426F">
              <w:t>Non-specialised land</w:t>
            </w:r>
          </w:p>
        </w:tc>
        <w:tc>
          <w:tcPr>
            <w:tcW w:w="1134" w:type="dxa"/>
            <w:tcBorders>
              <w:top w:val="single" w:sz="4" w:space="0" w:color="A6A6A6"/>
              <w:bottom w:val="single" w:sz="4" w:space="0" w:color="A6A6A6"/>
            </w:tcBorders>
            <w:noWrap/>
            <w:hideMark/>
          </w:tcPr>
          <w:p w14:paraId="4B590674" w14:textId="77777777" w:rsidR="00CE75D4" w:rsidRPr="002029AF" w:rsidRDefault="00CE75D4" w:rsidP="008340C1">
            <w:pPr>
              <w:pStyle w:val="ARfintablebodyright"/>
            </w:pPr>
            <w:r w:rsidRPr="00FF426F">
              <w:t>22,346.5</w:t>
            </w:r>
          </w:p>
        </w:tc>
        <w:tc>
          <w:tcPr>
            <w:tcW w:w="1134" w:type="dxa"/>
            <w:tcBorders>
              <w:top w:val="single" w:sz="4" w:space="0" w:color="A6A6A6"/>
              <w:bottom w:val="single" w:sz="4" w:space="0" w:color="A6A6A6"/>
            </w:tcBorders>
            <w:noWrap/>
            <w:hideMark/>
          </w:tcPr>
          <w:p w14:paraId="3159766B"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5020BE63" w14:textId="77777777" w:rsidR="00CE75D4" w:rsidRPr="002029AF" w:rsidRDefault="00CE75D4" w:rsidP="008340C1">
            <w:pPr>
              <w:pStyle w:val="ARfintablebodyright"/>
            </w:pPr>
            <w:r w:rsidRPr="00FF426F">
              <w:t>22,346.5</w:t>
            </w:r>
          </w:p>
        </w:tc>
        <w:tc>
          <w:tcPr>
            <w:tcW w:w="1134" w:type="dxa"/>
            <w:tcBorders>
              <w:top w:val="single" w:sz="4" w:space="0" w:color="A6A6A6"/>
              <w:bottom w:val="single" w:sz="4" w:space="0" w:color="A6A6A6"/>
            </w:tcBorders>
            <w:noWrap/>
            <w:hideMark/>
          </w:tcPr>
          <w:p w14:paraId="1334BBCD" w14:textId="77777777" w:rsidR="00CE75D4" w:rsidRPr="002029AF" w:rsidRDefault="00CE75D4" w:rsidP="008340C1">
            <w:pPr>
              <w:pStyle w:val="ARfintablebodyright"/>
            </w:pPr>
            <w:r>
              <w:t>–</w:t>
            </w:r>
          </w:p>
        </w:tc>
      </w:tr>
      <w:tr w:rsidR="00CE75D4" w:rsidRPr="002029AF" w14:paraId="798A1D0A" w14:textId="77777777" w:rsidTr="00860E95">
        <w:trPr>
          <w:trHeight w:val="255"/>
        </w:trPr>
        <w:tc>
          <w:tcPr>
            <w:tcW w:w="5101" w:type="dxa"/>
            <w:tcBorders>
              <w:top w:val="single" w:sz="4" w:space="0" w:color="A6A6A6"/>
            </w:tcBorders>
            <w:hideMark/>
          </w:tcPr>
          <w:p w14:paraId="752378DE" w14:textId="77777777" w:rsidR="00CE75D4" w:rsidRPr="002029AF" w:rsidRDefault="00CE75D4" w:rsidP="008340C1">
            <w:pPr>
              <w:pStyle w:val="ARfintablebody"/>
            </w:pPr>
            <w:r w:rsidRPr="00FF426F">
              <w:t>Specialised land</w:t>
            </w:r>
          </w:p>
        </w:tc>
        <w:tc>
          <w:tcPr>
            <w:tcW w:w="1134" w:type="dxa"/>
            <w:tcBorders>
              <w:top w:val="single" w:sz="4" w:space="0" w:color="A6A6A6"/>
            </w:tcBorders>
            <w:noWrap/>
            <w:hideMark/>
          </w:tcPr>
          <w:p w14:paraId="6CE0C8D8" w14:textId="77777777" w:rsidR="00CE75D4" w:rsidRPr="002029AF" w:rsidRDefault="00CE75D4" w:rsidP="008340C1">
            <w:pPr>
              <w:pStyle w:val="ARfintablebodyright"/>
            </w:pPr>
            <w:r w:rsidRPr="00FF426F">
              <w:t>723.7</w:t>
            </w:r>
          </w:p>
        </w:tc>
        <w:tc>
          <w:tcPr>
            <w:tcW w:w="1134" w:type="dxa"/>
            <w:tcBorders>
              <w:top w:val="single" w:sz="4" w:space="0" w:color="A6A6A6"/>
            </w:tcBorders>
            <w:noWrap/>
            <w:hideMark/>
          </w:tcPr>
          <w:p w14:paraId="0685EB67" w14:textId="77777777" w:rsidR="00CE75D4" w:rsidRPr="002029AF" w:rsidRDefault="00CE75D4" w:rsidP="008340C1">
            <w:pPr>
              <w:pStyle w:val="ARfintablebodyright"/>
            </w:pPr>
            <w:r>
              <w:t>–</w:t>
            </w:r>
          </w:p>
        </w:tc>
        <w:tc>
          <w:tcPr>
            <w:tcW w:w="1134" w:type="dxa"/>
            <w:tcBorders>
              <w:top w:val="single" w:sz="4" w:space="0" w:color="A6A6A6"/>
            </w:tcBorders>
            <w:noWrap/>
            <w:hideMark/>
          </w:tcPr>
          <w:p w14:paraId="5AA4754E" w14:textId="77777777" w:rsidR="00CE75D4" w:rsidRPr="002029AF" w:rsidRDefault="00CE75D4" w:rsidP="008340C1">
            <w:pPr>
              <w:pStyle w:val="ARfintablebodyright"/>
            </w:pPr>
            <w:r w:rsidRPr="00FF426F">
              <w:t>77.2</w:t>
            </w:r>
          </w:p>
        </w:tc>
        <w:tc>
          <w:tcPr>
            <w:tcW w:w="1134" w:type="dxa"/>
            <w:tcBorders>
              <w:top w:val="single" w:sz="4" w:space="0" w:color="A6A6A6"/>
            </w:tcBorders>
            <w:noWrap/>
            <w:hideMark/>
          </w:tcPr>
          <w:p w14:paraId="72351596" w14:textId="77777777" w:rsidR="00CE75D4" w:rsidRPr="002029AF" w:rsidRDefault="00CE75D4" w:rsidP="008340C1">
            <w:pPr>
              <w:pStyle w:val="ARfintablebodyright"/>
            </w:pPr>
            <w:r w:rsidRPr="00FF426F">
              <w:t>646.5</w:t>
            </w:r>
          </w:p>
        </w:tc>
      </w:tr>
      <w:tr w:rsidR="00CE75D4" w:rsidRPr="002029AF" w14:paraId="72C9D98D" w14:textId="77777777" w:rsidTr="00860E95">
        <w:trPr>
          <w:trHeight w:val="255"/>
        </w:trPr>
        <w:tc>
          <w:tcPr>
            <w:tcW w:w="5101" w:type="dxa"/>
            <w:tcBorders>
              <w:bottom w:val="single" w:sz="4" w:space="0" w:color="auto"/>
            </w:tcBorders>
            <w:hideMark/>
          </w:tcPr>
          <w:p w14:paraId="42890B15" w14:textId="77777777" w:rsidR="00CE75D4" w:rsidRPr="002029AF" w:rsidRDefault="00CE75D4" w:rsidP="008340C1">
            <w:pPr>
              <w:pStyle w:val="ARfintablebodybold"/>
            </w:pPr>
            <w:r w:rsidRPr="00FF426F">
              <w:t>Total land at fair value</w:t>
            </w:r>
          </w:p>
        </w:tc>
        <w:tc>
          <w:tcPr>
            <w:tcW w:w="1134" w:type="dxa"/>
            <w:tcBorders>
              <w:bottom w:val="single" w:sz="4" w:space="0" w:color="auto"/>
            </w:tcBorders>
            <w:noWrap/>
            <w:hideMark/>
          </w:tcPr>
          <w:p w14:paraId="1E7B079D" w14:textId="77777777" w:rsidR="00CE75D4" w:rsidRPr="002029AF" w:rsidRDefault="00CE75D4" w:rsidP="008340C1">
            <w:pPr>
              <w:pStyle w:val="ARfintablebodyrightbold"/>
            </w:pPr>
            <w:r w:rsidRPr="00FF426F">
              <w:t>23,070.2</w:t>
            </w:r>
          </w:p>
        </w:tc>
        <w:tc>
          <w:tcPr>
            <w:tcW w:w="1134" w:type="dxa"/>
            <w:tcBorders>
              <w:bottom w:val="single" w:sz="4" w:space="0" w:color="auto"/>
            </w:tcBorders>
            <w:noWrap/>
            <w:hideMark/>
          </w:tcPr>
          <w:p w14:paraId="70DFC37C" w14:textId="77777777" w:rsidR="00CE75D4" w:rsidRPr="002029AF" w:rsidRDefault="00CE75D4" w:rsidP="008340C1">
            <w:pPr>
              <w:pStyle w:val="ARfintablebodyrightbold"/>
            </w:pPr>
            <w:r>
              <w:t>–</w:t>
            </w:r>
          </w:p>
        </w:tc>
        <w:tc>
          <w:tcPr>
            <w:tcW w:w="1134" w:type="dxa"/>
            <w:tcBorders>
              <w:bottom w:val="single" w:sz="4" w:space="0" w:color="auto"/>
            </w:tcBorders>
            <w:noWrap/>
            <w:hideMark/>
          </w:tcPr>
          <w:p w14:paraId="535B67C1" w14:textId="77777777" w:rsidR="00CE75D4" w:rsidRPr="002029AF" w:rsidRDefault="00CE75D4" w:rsidP="008340C1">
            <w:pPr>
              <w:pStyle w:val="ARfintablebodyrightbold"/>
            </w:pPr>
            <w:r w:rsidRPr="00FF426F">
              <w:t>22,423.7</w:t>
            </w:r>
          </w:p>
        </w:tc>
        <w:tc>
          <w:tcPr>
            <w:tcW w:w="1134" w:type="dxa"/>
            <w:tcBorders>
              <w:bottom w:val="single" w:sz="4" w:space="0" w:color="auto"/>
            </w:tcBorders>
            <w:noWrap/>
            <w:hideMark/>
          </w:tcPr>
          <w:p w14:paraId="74A82CC1" w14:textId="77777777" w:rsidR="00CE75D4" w:rsidRPr="002029AF" w:rsidRDefault="00CE75D4" w:rsidP="008340C1">
            <w:pPr>
              <w:pStyle w:val="ARfintablebodyrightbold"/>
            </w:pPr>
            <w:r w:rsidRPr="00FF426F">
              <w:t>646.5</w:t>
            </w:r>
          </w:p>
        </w:tc>
      </w:tr>
      <w:tr w:rsidR="00CE75D4" w:rsidRPr="002029AF" w14:paraId="141F4517" w14:textId="77777777" w:rsidTr="00860E95">
        <w:trPr>
          <w:trHeight w:val="255"/>
        </w:trPr>
        <w:tc>
          <w:tcPr>
            <w:tcW w:w="9637" w:type="dxa"/>
            <w:gridSpan w:val="5"/>
            <w:tcBorders>
              <w:top w:val="single" w:sz="4" w:space="0" w:color="auto"/>
              <w:bottom w:val="single" w:sz="4" w:space="0" w:color="A6A6A6"/>
            </w:tcBorders>
            <w:hideMark/>
          </w:tcPr>
          <w:p w14:paraId="44ABF693" w14:textId="77777777" w:rsidR="00CE75D4" w:rsidRPr="002029AF" w:rsidRDefault="00CE75D4" w:rsidP="008340C1">
            <w:pPr>
              <w:pStyle w:val="ARfintablebodybold"/>
            </w:pPr>
            <w:r w:rsidRPr="00FF426F">
              <w:t>Buildings at fair value</w:t>
            </w:r>
          </w:p>
        </w:tc>
      </w:tr>
      <w:tr w:rsidR="00CE75D4" w:rsidRPr="002029AF" w14:paraId="49CB2159" w14:textId="77777777" w:rsidTr="00860E95">
        <w:trPr>
          <w:trHeight w:val="255"/>
        </w:trPr>
        <w:tc>
          <w:tcPr>
            <w:tcW w:w="5101" w:type="dxa"/>
            <w:tcBorders>
              <w:top w:val="single" w:sz="4" w:space="0" w:color="A6A6A6"/>
              <w:bottom w:val="single" w:sz="4" w:space="0" w:color="A6A6A6"/>
            </w:tcBorders>
            <w:hideMark/>
          </w:tcPr>
          <w:p w14:paraId="0EAA351C" w14:textId="77777777" w:rsidR="00CE75D4" w:rsidRPr="002029AF" w:rsidRDefault="00CE75D4" w:rsidP="008340C1">
            <w:pPr>
              <w:pStyle w:val="ARfintablebody"/>
            </w:pPr>
            <w:r w:rsidRPr="00FF426F">
              <w:t>Non-specialised buildings</w:t>
            </w:r>
          </w:p>
        </w:tc>
        <w:tc>
          <w:tcPr>
            <w:tcW w:w="1134" w:type="dxa"/>
            <w:tcBorders>
              <w:top w:val="single" w:sz="4" w:space="0" w:color="A6A6A6"/>
              <w:bottom w:val="single" w:sz="4" w:space="0" w:color="A6A6A6"/>
            </w:tcBorders>
            <w:noWrap/>
            <w:hideMark/>
          </w:tcPr>
          <w:p w14:paraId="32C43E07" w14:textId="77777777" w:rsidR="00CE75D4" w:rsidRPr="002029AF" w:rsidRDefault="00CE75D4" w:rsidP="008340C1">
            <w:pPr>
              <w:pStyle w:val="ARfintablebodyright"/>
            </w:pPr>
            <w:r w:rsidRPr="00FF426F">
              <w:t>8,995.5</w:t>
            </w:r>
          </w:p>
        </w:tc>
        <w:tc>
          <w:tcPr>
            <w:tcW w:w="1134" w:type="dxa"/>
            <w:tcBorders>
              <w:top w:val="single" w:sz="4" w:space="0" w:color="A6A6A6"/>
              <w:bottom w:val="single" w:sz="4" w:space="0" w:color="A6A6A6"/>
            </w:tcBorders>
            <w:noWrap/>
            <w:hideMark/>
          </w:tcPr>
          <w:p w14:paraId="2D8C57A1"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7C0A8118" w14:textId="77777777" w:rsidR="00CE75D4" w:rsidRPr="002029AF" w:rsidRDefault="00CE75D4" w:rsidP="008340C1">
            <w:pPr>
              <w:pStyle w:val="ARfintablebodyright"/>
            </w:pPr>
            <w:r w:rsidRPr="00FF426F">
              <w:t>8,995.5</w:t>
            </w:r>
          </w:p>
        </w:tc>
        <w:tc>
          <w:tcPr>
            <w:tcW w:w="1134" w:type="dxa"/>
            <w:tcBorders>
              <w:top w:val="single" w:sz="4" w:space="0" w:color="A6A6A6"/>
              <w:bottom w:val="single" w:sz="4" w:space="0" w:color="A6A6A6"/>
            </w:tcBorders>
            <w:noWrap/>
            <w:hideMark/>
          </w:tcPr>
          <w:p w14:paraId="3A076C1B" w14:textId="77777777" w:rsidR="00CE75D4" w:rsidRPr="002029AF" w:rsidRDefault="00CE75D4" w:rsidP="008340C1">
            <w:pPr>
              <w:pStyle w:val="ARfintablebodyright"/>
            </w:pPr>
            <w:r>
              <w:t>–</w:t>
            </w:r>
          </w:p>
        </w:tc>
      </w:tr>
      <w:tr w:rsidR="00CE75D4" w:rsidRPr="002029AF" w14:paraId="42EE10B6" w14:textId="77777777" w:rsidTr="00860E95">
        <w:trPr>
          <w:trHeight w:val="255"/>
        </w:trPr>
        <w:tc>
          <w:tcPr>
            <w:tcW w:w="5101" w:type="dxa"/>
            <w:tcBorders>
              <w:top w:val="single" w:sz="4" w:space="0" w:color="A6A6A6"/>
            </w:tcBorders>
            <w:hideMark/>
          </w:tcPr>
          <w:p w14:paraId="10CB2F7F" w14:textId="77777777" w:rsidR="00CE75D4" w:rsidRPr="002029AF" w:rsidRDefault="00CE75D4" w:rsidP="008340C1">
            <w:pPr>
              <w:pStyle w:val="ARfintablebody"/>
            </w:pPr>
            <w:r w:rsidRPr="00FF426F">
              <w:t>Specialised buildings</w:t>
            </w:r>
          </w:p>
        </w:tc>
        <w:tc>
          <w:tcPr>
            <w:tcW w:w="1134" w:type="dxa"/>
            <w:tcBorders>
              <w:top w:val="single" w:sz="4" w:space="0" w:color="A6A6A6"/>
            </w:tcBorders>
            <w:noWrap/>
            <w:hideMark/>
          </w:tcPr>
          <w:p w14:paraId="5DE9DEA5" w14:textId="77777777" w:rsidR="00CE75D4" w:rsidRPr="002029AF" w:rsidRDefault="00CE75D4" w:rsidP="008340C1">
            <w:pPr>
              <w:pStyle w:val="ARfintablebodyright"/>
            </w:pPr>
            <w:r w:rsidRPr="00FF426F">
              <w:t>645.1</w:t>
            </w:r>
          </w:p>
        </w:tc>
        <w:tc>
          <w:tcPr>
            <w:tcW w:w="1134" w:type="dxa"/>
            <w:tcBorders>
              <w:top w:val="single" w:sz="4" w:space="0" w:color="A6A6A6"/>
            </w:tcBorders>
            <w:noWrap/>
            <w:hideMark/>
          </w:tcPr>
          <w:p w14:paraId="700F5307" w14:textId="77777777" w:rsidR="00CE75D4" w:rsidRPr="002029AF" w:rsidRDefault="00CE75D4" w:rsidP="008340C1">
            <w:pPr>
              <w:pStyle w:val="ARfintablebodyright"/>
            </w:pPr>
            <w:r>
              <w:t>–</w:t>
            </w:r>
          </w:p>
        </w:tc>
        <w:tc>
          <w:tcPr>
            <w:tcW w:w="1134" w:type="dxa"/>
            <w:tcBorders>
              <w:top w:val="single" w:sz="4" w:space="0" w:color="A6A6A6"/>
            </w:tcBorders>
            <w:noWrap/>
            <w:hideMark/>
          </w:tcPr>
          <w:p w14:paraId="16F133C0" w14:textId="77777777" w:rsidR="00CE75D4" w:rsidRPr="002029AF" w:rsidRDefault="00CE75D4" w:rsidP="008340C1">
            <w:pPr>
              <w:pStyle w:val="ARfintablebodyright"/>
            </w:pPr>
            <w:r w:rsidRPr="00FF426F">
              <w:t>0.9</w:t>
            </w:r>
          </w:p>
        </w:tc>
        <w:tc>
          <w:tcPr>
            <w:tcW w:w="1134" w:type="dxa"/>
            <w:tcBorders>
              <w:top w:val="single" w:sz="4" w:space="0" w:color="A6A6A6"/>
            </w:tcBorders>
            <w:noWrap/>
            <w:hideMark/>
          </w:tcPr>
          <w:p w14:paraId="3E5AF822" w14:textId="77777777" w:rsidR="00CE75D4" w:rsidRPr="002029AF" w:rsidRDefault="00CE75D4" w:rsidP="008340C1">
            <w:pPr>
              <w:pStyle w:val="ARfintablebodyright"/>
            </w:pPr>
            <w:r w:rsidRPr="00FF426F">
              <w:t>644.2</w:t>
            </w:r>
          </w:p>
        </w:tc>
      </w:tr>
      <w:tr w:rsidR="00CE75D4" w:rsidRPr="002029AF" w14:paraId="48DC2478" w14:textId="77777777" w:rsidTr="00860E95">
        <w:trPr>
          <w:trHeight w:val="255"/>
        </w:trPr>
        <w:tc>
          <w:tcPr>
            <w:tcW w:w="5101" w:type="dxa"/>
            <w:tcBorders>
              <w:bottom w:val="single" w:sz="4" w:space="0" w:color="auto"/>
            </w:tcBorders>
            <w:hideMark/>
          </w:tcPr>
          <w:p w14:paraId="4203E039" w14:textId="77777777" w:rsidR="00CE75D4" w:rsidRPr="002029AF" w:rsidRDefault="00CE75D4" w:rsidP="008340C1">
            <w:pPr>
              <w:pStyle w:val="ARfintablebodybold"/>
            </w:pPr>
            <w:r w:rsidRPr="00FF426F">
              <w:t>Total buildings at fair value</w:t>
            </w:r>
          </w:p>
        </w:tc>
        <w:tc>
          <w:tcPr>
            <w:tcW w:w="1134" w:type="dxa"/>
            <w:tcBorders>
              <w:bottom w:val="single" w:sz="4" w:space="0" w:color="auto"/>
            </w:tcBorders>
            <w:noWrap/>
            <w:hideMark/>
          </w:tcPr>
          <w:p w14:paraId="29BDB6D6" w14:textId="77777777" w:rsidR="00CE75D4" w:rsidRPr="002029AF" w:rsidRDefault="00CE75D4" w:rsidP="008340C1">
            <w:pPr>
              <w:pStyle w:val="ARfintablebodyrightbold"/>
            </w:pPr>
            <w:r w:rsidRPr="00FF426F">
              <w:t>9,640.6</w:t>
            </w:r>
          </w:p>
        </w:tc>
        <w:tc>
          <w:tcPr>
            <w:tcW w:w="1134" w:type="dxa"/>
            <w:tcBorders>
              <w:bottom w:val="single" w:sz="4" w:space="0" w:color="auto"/>
            </w:tcBorders>
            <w:noWrap/>
            <w:hideMark/>
          </w:tcPr>
          <w:p w14:paraId="6E1BF832" w14:textId="77777777" w:rsidR="00CE75D4" w:rsidRPr="002029AF" w:rsidRDefault="00CE75D4" w:rsidP="008340C1">
            <w:pPr>
              <w:pStyle w:val="ARfintablebodyrightbold"/>
            </w:pPr>
            <w:r>
              <w:t>–</w:t>
            </w:r>
          </w:p>
        </w:tc>
        <w:tc>
          <w:tcPr>
            <w:tcW w:w="1134" w:type="dxa"/>
            <w:tcBorders>
              <w:bottom w:val="single" w:sz="4" w:space="0" w:color="auto"/>
            </w:tcBorders>
            <w:noWrap/>
            <w:hideMark/>
          </w:tcPr>
          <w:p w14:paraId="420D88CE" w14:textId="77777777" w:rsidR="00CE75D4" w:rsidRPr="002029AF" w:rsidRDefault="00CE75D4" w:rsidP="008340C1">
            <w:pPr>
              <w:pStyle w:val="ARfintablebodyrightbold"/>
            </w:pPr>
            <w:r w:rsidRPr="00FF426F">
              <w:t>8,996.4</w:t>
            </w:r>
          </w:p>
        </w:tc>
        <w:tc>
          <w:tcPr>
            <w:tcW w:w="1134" w:type="dxa"/>
            <w:tcBorders>
              <w:bottom w:val="single" w:sz="4" w:space="0" w:color="auto"/>
            </w:tcBorders>
            <w:noWrap/>
            <w:hideMark/>
          </w:tcPr>
          <w:p w14:paraId="1C461D3B" w14:textId="77777777" w:rsidR="00CE75D4" w:rsidRPr="002029AF" w:rsidRDefault="00CE75D4" w:rsidP="008340C1">
            <w:pPr>
              <w:pStyle w:val="ARfintablebodyrightbold"/>
            </w:pPr>
            <w:r w:rsidRPr="00FF426F">
              <w:t>644.2</w:t>
            </w:r>
          </w:p>
        </w:tc>
      </w:tr>
      <w:tr w:rsidR="00CE75D4" w:rsidRPr="002029AF" w14:paraId="1FF39DA7" w14:textId="77777777" w:rsidTr="00860E95">
        <w:trPr>
          <w:trHeight w:val="255"/>
        </w:trPr>
        <w:tc>
          <w:tcPr>
            <w:tcW w:w="9637" w:type="dxa"/>
            <w:gridSpan w:val="5"/>
            <w:tcBorders>
              <w:top w:val="single" w:sz="4" w:space="0" w:color="auto"/>
              <w:bottom w:val="single" w:sz="4" w:space="0" w:color="A6A6A6"/>
            </w:tcBorders>
            <w:hideMark/>
          </w:tcPr>
          <w:p w14:paraId="406FE6BC" w14:textId="77777777" w:rsidR="00CE75D4" w:rsidRPr="002029AF" w:rsidRDefault="00CE75D4" w:rsidP="008340C1">
            <w:pPr>
              <w:pStyle w:val="ARfintablebodybold"/>
            </w:pPr>
            <w:r w:rsidRPr="00FF426F">
              <w:t>Plant, equipment and vehicles at fair value</w:t>
            </w:r>
          </w:p>
        </w:tc>
      </w:tr>
      <w:tr w:rsidR="00CE75D4" w:rsidRPr="002029AF" w14:paraId="1C734348" w14:textId="77777777" w:rsidTr="00860E95">
        <w:trPr>
          <w:trHeight w:val="255"/>
        </w:trPr>
        <w:tc>
          <w:tcPr>
            <w:tcW w:w="5101" w:type="dxa"/>
            <w:tcBorders>
              <w:top w:val="single" w:sz="4" w:space="0" w:color="A6A6A6"/>
              <w:bottom w:val="single" w:sz="4" w:space="0" w:color="A6A6A6"/>
            </w:tcBorders>
          </w:tcPr>
          <w:p w14:paraId="5FF3E3F6" w14:textId="77777777" w:rsidR="00CE75D4" w:rsidRPr="005E24B9" w:rsidRDefault="00CE75D4" w:rsidP="008340C1">
            <w:pPr>
              <w:pStyle w:val="ARfintablebody"/>
            </w:pPr>
            <w:r w:rsidRPr="00FF426F">
              <w:t>Plant and equipment</w:t>
            </w:r>
          </w:p>
        </w:tc>
        <w:tc>
          <w:tcPr>
            <w:tcW w:w="1134" w:type="dxa"/>
            <w:tcBorders>
              <w:top w:val="single" w:sz="4" w:space="0" w:color="A6A6A6"/>
              <w:bottom w:val="single" w:sz="4" w:space="0" w:color="A6A6A6"/>
            </w:tcBorders>
            <w:noWrap/>
          </w:tcPr>
          <w:p w14:paraId="2A7D3B78" w14:textId="77777777" w:rsidR="00CE75D4" w:rsidRPr="005E24B9" w:rsidRDefault="00CE75D4" w:rsidP="008340C1">
            <w:pPr>
              <w:pStyle w:val="ARfintablebodyright"/>
            </w:pPr>
            <w:r w:rsidRPr="00FF426F">
              <w:t>2.7</w:t>
            </w:r>
          </w:p>
        </w:tc>
        <w:tc>
          <w:tcPr>
            <w:tcW w:w="1134" w:type="dxa"/>
            <w:tcBorders>
              <w:top w:val="single" w:sz="4" w:space="0" w:color="A6A6A6"/>
              <w:bottom w:val="single" w:sz="4" w:space="0" w:color="A6A6A6"/>
            </w:tcBorders>
            <w:noWrap/>
          </w:tcPr>
          <w:p w14:paraId="215F420A" w14:textId="77777777" w:rsidR="00CE75D4" w:rsidRPr="005E24B9" w:rsidRDefault="00CE75D4" w:rsidP="008340C1">
            <w:pPr>
              <w:pStyle w:val="ARfintablebodyright"/>
            </w:pPr>
            <w:r>
              <w:t>–</w:t>
            </w:r>
          </w:p>
        </w:tc>
        <w:tc>
          <w:tcPr>
            <w:tcW w:w="1134" w:type="dxa"/>
            <w:tcBorders>
              <w:top w:val="single" w:sz="4" w:space="0" w:color="A6A6A6"/>
              <w:bottom w:val="single" w:sz="4" w:space="0" w:color="A6A6A6"/>
            </w:tcBorders>
            <w:noWrap/>
          </w:tcPr>
          <w:p w14:paraId="5E752C22" w14:textId="77777777" w:rsidR="00CE75D4" w:rsidRPr="005E24B9" w:rsidRDefault="00CE75D4" w:rsidP="008340C1">
            <w:pPr>
              <w:pStyle w:val="ARfintablebodyright"/>
            </w:pPr>
            <w:r>
              <w:t>–</w:t>
            </w:r>
          </w:p>
        </w:tc>
        <w:tc>
          <w:tcPr>
            <w:tcW w:w="1134" w:type="dxa"/>
            <w:tcBorders>
              <w:top w:val="single" w:sz="4" w:space="0" w:color="A6A6A6"/>
              <w:bottom w:val="single" w:sz="4" w:space="0" w:color="A6A6A6"/>
            </w:tcBorders>
            <w:noWrap/>
          </w:tcPr>
          <w:p w14:paraId="502AFE86" w14:textId="77777777" w:rsidR="00CE75D4" w:rsidRPr="005E24B9" w:rsidRDefault="00CE75D4" w:rsidP="008340C1">
            <w:pPr>
              <w:pStyle w:val="ARfintablebodyright"/>
            </w:pPr>
            <w:r w:rsidRPr="00FF426F">
              <w:t>2.7</w:t>
            </w:r>
          </w:p>
        </w:tc>
      </w:tr>
      <w:tr w:rsidR="00CE75D4" w:rsidRPr="002029AF" w14:paraId="09D017AA" w14:textId="77777777" w:rsidTr="00860E95">
        <w:trPr>
          <w:trHeight w:val="255"/>
        </w:trPr>
        <w:tc>
          <w:tcPr>
            <w:tcW w:w="5101" w:type="dxa"/>
            <w:tcBorders>
              <w:top w:val="single" w:sz="4" w:space="0" w:color="A6A6A6"/>
              <w:bottom w:val="single" w:sz="4" w:space="0" w:color="A6A6A6"/>
            </w:tcBorders>
            <w:hideMark/>
          </w:tcPr>
          <w:p w14:paraId="0CE8EA84" w14:textId="77777777" w:rsidR="00CE75D4" w:rsidRPr="002029AF" w:rsidRDefault="00CE75D4" w:rsidP="008340C1">
            <w:pPr>
              <w:pStyle w:val="ARfintablebody"/>
            </w:pPr>
            <w:r w:rsidRPr="00FF426F">
              <w:t>Motor vehicles</w:t>
            </w:r>
          </w:p>
        </w:tc>
        <w:tc>
          <w:tcPr>
            <w:tcW w:w="1134" w:type="dxa"/>
            <w:tcBorders>
              <w:top w:val="single" w:sz="4" w:space="0" w:color="A6A6A6"/>
              <w:bottom w:val="single" w:sz="4" w:space="0" w:color="A6A6A6"/>
            </w:tcBorders>
            <w:noWrap/>
            <w:hideMark/>
          </w:tcPr>
          <w:p w14:paraId="5E7976C2" w14:textId="77777777" w:rsidR="00CE75D4" w:rsidRPr="002029AF" w:rsidRDefault="00CE75D4" w:rsidP="008340C1">
            <w:pPr>
              <w:pStyle w:val="ARfintablebodyright"/>
            </w:pPr>
            <w:r w:rsidRPr="00FF426F">
              <w:t>0.3</w:t>
            </w:r>
          </w:p>
        </w:tc>
        <w:tc>
          <w:tcPr>
            <w:tcW w:w="1134" w:type="dxa"/>
            <w:tcBorders>
              <w:top w:val="single" w:sz="4" w:space="0" w:color="A6A6A6"/>
              <w:bottom w:val="single" w:sz="4" w:space="0" w:color="A6A6A6"/>
            </w:tcBorders>
            <w:noWrap/>
            <w:hideMark/>
          </w:tcPr>
          <w:p w14:paraId="74CDE224"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19696DFA" w14:textId="77777777" w:rsidR="00CE75D4" w:rsidRPr="002029AF" w:rsidRDefault="00CE75D4" w:rsidP="008340C1">
            <w:pPr>
              <w:pStyle w:val="ARfintablebodyright"/>
            </w:pPr>
            <w:r>
              <w:t>–</w:t>
            </w:r>
          </w:p>
        </w:tc>
        <w:tc>
          <w:tcPr>
            <w:tcW w:w="1134" w:type="dxa"/>
            <w:tcBorders>
              <w:top w:val="single" w:sz="4" w:space="0" w:color="A6A6A6"/>
              <w:bottom w:val="single" w:sz="4" w:space="0" w:color="A6A6A6"/>
            </w:tcBorders>
            <w:noWrap/>
            <w:hideMark/>
          </w:tcPr>
          <w:p w14:paraId="7CACBCB3" w14:textId="77777777" w:rsidR="00CE75D4" w:rsidRPr="002029AF" w:rsidRDefault="00CE75D4" w:rsidP="008340C1">
            <w:pPr>
              <w:pStyle w:val="ARfintablebodyright"/>
            </w:pPr>
            <w:r w:rsidRPr="00FF426F">
              <w:t>0.3</w:t>
            </w:r>
          </w:p>
        </w:tc>
      </w:tr>
      <w:tr w:rsidR="00CE75D4" w:rsidRPr="002029AF" w14:paraId="68FD3568" w14:textId="77777777" w:rsidTr="00860E95">
        <w:trPr>
          <w:trHeight w:val="255"/>
        </w:trPr>
        <w:tc>
          <w:tcPr>
            <w:tcW w:w="5101" w:type="dxa"/>
            <w:hideMark/>
          </w:tcPr>
          <w:p w14:paraId="0F28992C" w14:textId="77777777" w:rsidR="00CE75D4" w:rsidRPr="002029AF" w:rsidRDefault="00CE75D4" w:rsidP="008340C1">
            <w:pPr>
              <w:pStyle w:val="ARfintablebodybold"/>
            </w:pPr>
            <w:r w:rsidRPr="00FF426F">
              <w:t>Total plant, equipment and vehicles at fair value</w:t>
            </w:r>
          </w:p>
        </w:tc>
        <w:tc>
          <w:tcPr>
            <w:tcW w:w="1134" w:type="dxa"/>
            <w:noWrap/>
            <w:hideMark/>
          </w:tcPr>
          <w:p w14:paraId="2388DA3E" w14:textId="77777777" w:rsidR="00CE75D4" w:rsidRPr="002029AF" w:rsidRDefault="00CE75D4" w:rsidP="008340C1">
            <w:pPr>
              <w:pStyle w:val="ARfintablebodyrightbold"/>
            </w:pPr>
            <w:r w:rsidRPr="00FF426F">
              <w:t>3.1</w:t>
            </w:r>
          </w:p>
        </w:tc>
        <w:tc>
          <w:tcPr>
            <w:tcW w:w="1134" w:type="dxa"/>
            <w:noWrap/>
            <w:hideMark/>
          </w:tcPr>
          <w:p w14:paraId="54294B46" w14:textId="77777777" w:rsidR="00CE75D4" w:rsidRPr="002029AF" w:rsidRDefault="00CE75D4" w:rsidP="008340C1">
            <w:pPr>
              <w:pStyle w:val="ARfintablebodyrightbold"/>
            </w:pPr>
            <w:r>
              <w:t>–</w:t>
            </w:r>
          </w:p>
        </w:tc>
        <w:tc>
          <w:tcPr>
            <w:tcW w:w="1134" w:type="dxa"/>
            <w:noWrap/>
            <w:hideMark/>
          </w:tcPr>
          <w:p w14:paraId="4F399299" w14:textId="77777777" w:rsidR="00CE75D4" w:rsidRPr="002029AF" w:rsidRDefault="00CE75D4" w:rsidP="008340C1">
            <w:pPr>
              <w:pStyle w:val="ARfintablebodyrightbold"/>
            </w:pPr>
            <w:r>
              <w:t>–</w:t>
            </w:r>
          </w:p>
        </w:tc>
        <w:tc>
          <w:tcPr>
            <w:tcW w:w="1134" w:type="dxa"/>
            <w:noWrap/>
            <w:hideMark/>
          </w:tcPr>
          <w:p w14:paraId="6EB9CD13" w14:textId="77777777" w:rsidR="00CE75D4" w:rsidRPr="002029AF" w:rsidRDefault="00CE75D4" w:rsidP="008340C1">
            <w:pPr>
              <w:pStyle w:val="ARfintablebodyrightbold"/>
            </w:pPr>
            <w:r w:rsidRPr="00FF426F">
              <w:t>3.1</w:t>
            </w:r>
          </w:p>
        </w:tc>
      </w:tr>
    </w:tbl>
    <w:p w14:paraId="54F6B903" w14:textId="77777777" w:rsidR="00CE75D4" w:rsidRDefault="00CE75D4" w:rsidP="008340C1">
      <w:pPr>
        <w:pStyle w:val="ARfintablefootnote"/>
      </w:pPr>
      <w:r>
        <w:rPr>
          <w:lang w:eastAsia="en-AU"/>
        </w:rPr>
        <w:t>Note:</w:t>
      </w:r>
    </w:p>
    <w:p w14:paraId="182486F4" w14:textId="4CCC0547" w:rsidR="00CE75D4" w:rsidRDefault="00CE75D4" w:rsidP="00C55D7D">
      <w:pPr>
        <w:pStyle w:val="ARfintablefootnoteindent"/>
      </w:pPr>
      <w:r>
        <w:t>(i)</w:t>
      </w:r>
      <w:r>
        <w:tab/>
        <w:t>Classified in accordance with the fair value hierarchy. The department, in conjunction with the VGV, monitors the changes in the fair value of each asset and liability through relevant data sources to determine whether revaluation is required.</w:t>
      </w:r>
    </w:p>
    <w:p w14:paraId="4C59F078" w14:textId="77777777" w:rsidR="00CE75D4" w:rsidRDefault="00CE75D4" w:rsidP="008340C1">
      <w:pPr>
        <w:pStyle w:val="ARfinbodyaftertable"/>
      </w:pPr>
      <w:r>
        <w:rPr>
          <w:rStyle w:val="Strong"/>
        </w:rPr>
        <w:t>Non-specialised land and non-specialised buildings</w:t>
      </w:r>
      <w:r>
        <w:t xml:space="preserve"> are valued using the market approach, whereby assets are compared to recent comparable sales or sales of comparable assets that are considered to have nominal value.</w:t>
      </w:r>
    </w:p>
    <w:p w14:paraId="316AFD6B" w14:textId="77777777" w:rsidR="00CE75D4" w:rsidRDefault="00CE75D4" w:rsidP="008340C1">
      <w:pPr>
        <w:pStyle w:val="ARfinbody"/>
      </w:pPr>
      <w:r>
        <w:rPr>
          <w:rStyle w:val="Strong"/>
        </w:rPr>
        <w:t>Specialised land and specialised buildings:</w:t>
      </w:r>
      <w:r>
        <w:t xml:space="preserve"> The market approach is used for specialised land, although this may be adjusted for a community service obligation (CSO) to reflect the specialised nature of the land being valued.</w:t>
      </w:r>
    </w:p>
    <w:p w14:paraId="7088B2D5" w14:textId="77777777" w:rsidR="00CE75D4" w:rsidRDefault="00CE75D4" w:rsidP="008340C1">
      <w:pPr>
        <w:pStyle w:val="ARfinbody"/>
      </w:pPr>
      <w:r>
        <w:t>The CSO adjustment is a reflection of the valuer’s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legally permissible and financially feasible. As adjustments of CSO are considered as significant unobservable inputs, specialised land with a CSO adjustment would primarily be classified as Level 3 assets.</w:t>
      </w:r>
    </w:p>
    <w:p w14:paraId="474181BA" w14:textId="77777777" w:rsidR="00CE75D4" w:rsidRDefault="00CE75D4" w:rsidP="008340C1">
      <w:pPr>
        <w:pStyle w:val="ARfinbody"/>
      </w:pPr>
      <w:r>
        <w:t>For the majority of the department’s specialised buildings, the current replacement cost method is used, adjusting for the associated depreciations. As depreciation adjustments are considered as significant, unobservable inputs in nature, specialised buildings are primarily classified as Level 3 fair value measurements.</w:t>
      </w:r>
    </w:p>
    <w:p w14:paraId="371A8913" w14:textId="288A0CB3" w:rsidR="00CE75D4" w:rsidRDefault="00CE75D4" w:rsidP="008340C1">
      <w:pPr>
        <w:pStyle w:val="ARfinbody"/>
        <w:keepLines/>
      </w:pPr>
      <w:r>
        <w:t xml:space="preserve">A managerial revaluation of the department’s property asset class was undertaken in 2021–22 in accordance with FRD103 </w:t>
      </w:r>
      <w:r w:rsidRPr="69AF2822">
        <w:rPr>
          <w:rStyle w:val="Emphasis"/>
        </w:rPr>
        <w:t>Non-financial physical assets,</w:t>
      </w:r>
      <w:r>
        <w:t xml:space="preserve"> which specifies that ‘… a managerial revaluation will be performed in non-scheduled years, where the cumulative movement in indexed valuations is material (greater than 10% but not greater than 40%)’. The cumulative movement for the department’s land asset class since the last scheduled revaluation was an increase of 12.37%. The revaluation was performed using the VGV-issued indices. The effective date of the valuation was 30 June 2022. The cumulative movement in the department’s building asset class was under 10%, therefore a managerial revaluation was not required.</w:t>
      </w:r>
    </w:p>
    <w:p w14:paraId="100962D7" w14:textId="77777777" w:rsidR="00CE75D4" w:rsidRDefault="00CE75D4" w:rsidP="008340C1">
      <w:pPr>
        <w:pStyle w:val="ARfinbody"/>
      </w:pPr>
      <w:r>
        <w:rPr>
          <w:rStyle w:val="Strong"/>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532189C7" w14:textId="77777777" w:rsidR="00CE75D4" w:rsidRDefault="00CE75D4" w:rsidP="008340C1">
      <w:pPr>
        <w:pStyle w:val="ARfinbody"/>
      </w:pPr>
      <w:r>
        <w:rPr>
          <w:rStyle w:val="Strong"/>
        </w:rPr>
        <w:t>Plant and equipment</w:t>
      </w:r>
      <w:r>
        <w:t xml:space="preserve"> is held at fair value. When plant and equipment is specialised in use, such that it is rarely sold other than as part of a going concern, fair value is determined using the current replacement cost method.</w:t>
      </w:r>
    </w:p>
    <w:p w14:paraId="48AF6F8F" w14:textId="77777777" w:rsidR="00CE75D4" w:rsidRDefault="00CE75D4" w:rsidP="008340C1">
      <w:pPr>
        <w:pStyle w:val="ARfinbody"/>
      </w:pPr>
      <w:r>
        <w:t>There were no changes in valuation techniques throughout the period to 30 June 2022.</w:t>
      </w:r>
    </w:p>
    <w:p w14:paraId="0D5799BE" w14:textId="77777777" w:rsidR="00CE75D4" w:rsidRDefault="00CE75D4" w:rsidP="008340C1">
      <w:pPr>
        <w:pStyle w:val="ARfinbody"/>
      </w:pPr>
      <w:r>
        <w:t>For all assets measured at fair value, the current use is considered the highest and best use.</w:t>
      </w:r>
    </w:p>
    <w:p w14:paraId="74B1CADD" w14:textId="77777777" w:rsidR="00CE75D4" w:rsidRPr="002029AF" w:rsidRDefault="00CE75D4" w:rsidP="00087B91">
      <w:pPr>
        <w:pStyle w:val="ARfinbody"/>
      </w:pPr>
    </w:p>
    <w:p w14:paraId="63C06D01" w14:textId="77777777" w:rsidR="00CE75D4" w:rsidRPr="002029AF" w:rsidRDefault="00CE75D4" w:rsidP="00087B91">
      <w:pPr>
        <w:pStyle w:val="ARfinbody"/>
        <w:sectPr w:rsidR="00CE75D4" w:rsidRPr="002029AF" w:rsidSect="00130D1C">
          <w:footnotePr>
            <w:numFmt w:val="lowerLetter"/>
            <w:numRestart w:val="eachPage"/>
          </w:footnotePr>
          <w:pgSz w:w="11906" w:h="16838" w:code="9"/>
          <w:pgMar w:top="1531" w:right="1134" w:bottom="851" w:left="1134" w:header="510" w:footer="340" w:gutter="0"/>
          <w:cols w:space="708"/>
          <w:docGrid w:linePitch="360"/>
        </w:sectPr>
      </w:pPr>
    </w:p>
    <w:p w14:paraId="6822AEC8" w14:textId="77777777" w:rsidR="00CE75D4" w:rsidRPr="002029AF" w:rsidRDefault="00CE75D4" w:rsidP="008340C1">
      <w:pPr>
        <w:pStyle w:val="Heading6"/>
        <w:spacing w:before="0" w:after="0"/>
      </w:pPr>
      <w:r w:rsidRPr="00511221">
        <w:t>Reconciliation of Level 3 fair value movements</w:t>
      </w:r>
    </w:p>
    <w:tbl>
      <w:tblPr>
        <w:tblStyle w:val="TableGrid"/>
        <w:tblW w:w="14459" w:type="dxa"/>
        <w:tblLayout w:type="fixed"/>
        <w:tblLook w:val="06A0" w:firstRow="1" w:lastRow="0" w:firstColumn="1" w:lastColumn="0" w:noHBand="1" w:noVBand="1"/>
      </w:tblPr>
      <w:tblGrid>
        <w:gridCol w:w="5952"/>
        <w:gridCol w:w="1417"/>
        <w:gridCol w:w="1418"/>
        <w:gridCol w:w="1418"/>
        <w:gridCol w:w="1418"/>
        <w:gridCol w:w="1418"/>
        <w:gridCol w:w="1418"/>
      </w:tblGrid>
      <w:tr w:rsidR="00CE75D4" w:rsidRPr="002029AF" w14:paraId="51AB1B0D"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5952" w:type="dxa"/>
            <w:tcBorders>
              <w:bottom w:val="single" w:sz="4" w:space="0" w:color="auto"/>
            </w:tcBorders>
            <w:hideMark/>
          </w:tcPr>
          <w:p w14:paraId="15980C52" w14:textId="77777777" w:rsidR="00CE75D4" w:rsidRPr="002029AF" w:rsidRDefault="00CE75D4" w:rsidP="008340C1">
            <w:pPr>
              <w:pStyle w:val="ARfintablecolhead"/>
              <w:spacing w:before="10" w:after="10" w:line="228" w:lineRule="auto"/>
            </w:pPr>
            <w:r>
              <w:t>2022</w:t>
            </w:r>
          </w:p>
        </w:tc>
        <w:tc>
          <w:tcPr>
            <w:tcW w:w="1417" w:type="dxa"/>
            <w:tcBorders>
              <w:bottom w:val="single" w:sz="4" w:space="0" w:color="auto"/>
            </w:tcBorders>
            <w:hideMark/>
          </w:tcPr>
          <w:p w14:paraId="051D5B38" w14:textId="77777777" w:rsidR="00CE75D4" w:rsidRPr="002029AF" w:rsidRDefault="00CE75D4" w:rsidP="008340C1">
            <w:pPr>
              <w:pStyle w:val="ARfintablecolheadright"/>
              <w:spacing w:before="10" w:after="10" w:line="228" w:lineRule="auto"/>
            </w:pPr>
            <w:r w:rsidRPr="002029AF">
              <w:t>Specialised land</w:t>
            </w:r>
          </w:p>
          <w:p w14:paraId="52411403" w14:textId="77777777" w:rsidR="00CE75D4" w:rsidRPr="002029AF" w:rsidRDefault="00CE75D4" w:rsidP="008340C1">
            <w:pPr>
              <w:pStyle w:val="ARfintablecolheadright"/>
              <w:spacing w:before="10" w:after="10" w:line="228" w:lineRule="auto"/>
            </w:pPr>
            <w:r w:rsidRPr="002029AF">
              <w:t>$M</w:t>
            </w:r>
          </w:p>
        </w:tc>
        <w:tc>
          <w:tcPr>
            <w:tcW w:w="1418" w:type="dxa"/>
            <w:tcBorders>
              <w:bottom w:val="single" w:sz="4" w:space="0" w:color="auto"/>
            </w:tcBorders>
            <w:hideMark/>
          </w:tcPr>
          <w:p w14:paraId="25A9986C" w14:textId="77777777" w:rsidR="00CE75D4" w:rsidRPr="002029AF" w:rsidRDefault="00CE75D4" w:rsidP="008340C1">
            <w:pPr>
              <w:pStyle w:val="ARfintablecolheadright"/>
              <w:spacing w:before="10" w:after="10" w:line="228" w:lineRule="auto"/>
            </w:pPr>
            <w:r>
              <w:t>Non-s</w:t>
            </w:r>
            <w:r w:rsidRPr="002029AF">
              <w:t xml:space="preserve">pecialised </w:t>
            </w:r>
            <w:r w:rsidRPr="002029AF">
              <w:br/>
              <w:t>buildings</w:t>
            </w:r>
          </w:p>
          <w:p w14:paraId="76493F32" w14:textId="77777777" w:rsidR="00CE75D4" w:rsidRPr="002029AF" w:rsidRDefault="00CE75D4" w:rsidP="008340C1">
            <w:pPr>
              <w:pStyle w:val="ARfintablecolheadright"/>
              <w:spacing w:before="10" w:after="10" w:line="228" w:lineRule="auto"/>
            </w:pPr>
            <w:r w:rsidRPr="002029AF">
              <w:t>$M</w:t>
            </w:r>
          </w:p>
        </w:tc>
        <w:tc>
          <w:tcPr>
            <w:tcW w:w="1418" w:type="dxa"/>
            <w:tcBorders>
              <w:bottom w:val="single" w:sz="4" w:space="0" w:color="auto"/>
            </w:tcBorders>
          </w:tcPr>
          <w:p w14:paraId="730A6ACE" w14:textId="77777777" w:rsidR="00CE75D4" w:rsidRPr="002029AF" w:rsidRDefault="00CE75D4" w:rsidP="008340C1">
            <w:pPr>
              <w:pStyle w:val="ARfintablecolheadright"/>
              <w:spacing w:before="10" w:after="10" w:line="228" w:lineRule="auto"/>
            </w:pPr>
            <w:r>
              <w:t>S</w:t>
            </w:r>
            <w:r w:rsidRPr="002029AF">
              <w:t xml:space="preserve">pecialised </w:t>
            </w:r>
            <w:r w:rsidRPr="002029AF">
              <w:br/>
              <w:t>buildings</w:t>
            </w:r>
          </w:p>
          <w:p w14:paraId="71B05499" w14:textId="77777777" w:rsidR="00CE75D4" w:rsidRPr="002029AF" w:rsidRDefault="00CE75D4" w:rsidP="008340C1">
            <w:pPr>
              <w:pStyle w:val="ARfintablecolheadright"/>
              <w:spacing w:before="10" w:after="10" w:line="228" w:lineRule="auto"/>
            </w:pPr>
            <w:r w:rsidRPr="002029AF">
              <w:t>$M</w:t>
            </w:r>
          </w:p>
        </w:tc>
        <w:tc>
          <w:tcPr>
            <w:tcW w:w="1418" w:type="dxa"/>
            <w:tcBorders>
              <w:bottom w:val="single" w:sz="4" w:space="0" w:color="auto"/>
            </w:tcBorders>
            <w:hideMark/>
          </w:tcPr>
          <w:p w14:paraId="14AA63DA" w14:textId="77777777" w:rsidR="00CE75D4" w:rsidRPr="002029AF" w:rsidRDefault="00CE75D4" w:rsidP="008340C1">
            <w:pPr>
              <w:pStyle w:val="ARfintablecolheadright"/>
              <w:spacing w:before="10" w:after="10" w:line="228" w:lineRule="auto"/>
            </w:pPr>
            <w:r w:rsidRPr="002029AF">
              <w:t>Plant and equipment</w:t>
            </w:r>
          </w:p>
          <w:p w14:paraId="67C555D2" w14:textId="77777777" w:rsidR="00CE75D4" w:rsidRPr="002029AF" w:rsidRDefault="00CE75D4" w:rsidP="008340C1">
            <w:pPr>
              <w:pStyle w:val="ARfintablecolheadright"/>
              <w:spacing w:before="10" w:after="10" w:line="228" w:lineRule="auto"/>
            </w:pPr>
            <w:r w:rsidRPr="002029AF">
              <w:t>$M</w:t>
            </w:r>
          </w:p>
        </w:tc>
        <w:tc>
          <w:tcPr>
            <w:tcW w:w="1418" w:type="dxa"/>
            <w:tcBorders>
              <w:bottom w:val="single" w:sz="4" w:space="0" w:color="auto"/>
            </w:tcBorders>
            <w:hideMark/>
          </w:tcPr>
          <w:p w14:paraId="187A38E6" w14:textId="77777777" w:rsidR="00CE75D4" w:rsidRPr="002029AF" w:rsidRDefault="00CE75D4" w:rsidP="008340C1">
            <w:pPr>
              <w:pStyle w:val="ARfintablecolheadright"/>
              <w:spacing w:before="10" w:after="10" w:line="228" w:lineRule="auto"/>
            </w:pPr>
            <w:r w:rsidRPr="002029AF">
              <w:t>Motor vehicles</w:t>
            </w:r>
          </w:p>
          <w:p w14:paraId="23E5A0B4" w14:textId="77777777" w:rsidR="00CE75D4" w:rsidRPr="002029AF" w:rsidRDefault="00CE75D4" w:rsidP="008340C1">
            <w:pPr>
              <w:pStyle w:val="ARfintablecolheadright"/>
              <w:spacing w:before="10" w:after="10" w:line="228" w:lineRule="auto"/>
            </w:pPr>
            <w:r w:rsidRPr="002029AF">
              <w:t>$M</w:t>
            </w:r>
          </w:p>
        </w:tc>
        <w:tc>
          <w:tcPr>
            <w:tcW w:w="1418" w:type="dxa"/>
            <w:tcBorders>
              <w:bottom w:val="single" w:sz="4" w:space="0" w:color="auto"/>
            </w:tcBorders>
            <w:hideMark/>
          </w:tcPr>
          <w:p w14:paraId="3B52E85E" w14:textId="77777777" w:rsidR="00CE75D4" w:rsidRPr="002029AF" w:rsidRDefault="00CE75D4" w:rsidP="008340C1">
            <w:pPr>
              <w:pStyle w:val="ARfintablecolheadright"/>
              <w:spacing w:before="10" w:after="10" w:line="228" w:lineRule="auto"/>
            </w:pPr>
            <w:r w:rsidRPr="002029AF">
              <w:t>Total</w:t>
            </w:r>
          </w:p>
          <w:p w14:paraId="76A922DB" w14:textId="77777777" w:rsidR="00CE75D4" w:rsidRPr="002029AF" w:rsidRDefault="00CE75D4" w:rsidP="008340C1">
            <w:pPr>
              <w:pStyle w:val="ARfintablecolheadright"/>
              <w:spacing w:before="10" w:after="10" w:line="228" w:lineRule="auto"/>
            </w:pPr>
            <w:r w:rsidRPr="002029AF">
              <w:t>$M</w:t>
            </w:r>
          </w:p>
        </w:tc>
      </w:tr>
      <w:tr w:rsidR="00CE75D4" w:rsidRPr="002029AF" w14:paraId="527CA525" w14:textId="77777777" w:rsidTr="6133E834">
        <w:trPr>
          <w:cantSplit w:val="0"/>
        </w:trPr>
        <w:tc>
          <w:tcPr>
            <w:tcW w:w="5952" w:type="dxa"/>
            <w:tcBorders>
              <w:top w:val="single" w:sz="4" w:space="0" w:color="auto"/>
              <w:bottom w:val="single" w:sz="4" w:space="0" w:color="A6A6A6" w:themeColor="background1" w:themeShade="A6"/>
            </w:tcBorders>
            <w:hideMark/>
          </w:tcPr>
          <w:p w14:paraId="2C39A65A" w14:textId="77777777" w:rsidR="00CE75D4" w:rsidRPr="002029AF" w:rsidRDefault="00CE75D4" w:rsidP="008340C1">
            <w:pPr>
              <w:pStyle w:val="ARfintablebodybold"/>
              <w:spacing w:before="10" w:after="10" w:line="228" w:lineRule="auto"/>
            </w:pPr>
            <w:r w:rsidRPr="00BF6E91">
              <w:t>Opening balance</w:t>
            </w:r>
          </w:p>
        </w:tc>
        <w:tc>
          <w:tcPr>
            <w:tcW w:w="1417" w:type="dxa"/>
            <w:tcBorders>
              <w:top w:val="single" w:sz="4" w:space="0" w:color="auto"/>
              <w:bottom w:val="single" w:sz="4" w:space="0" w:color="A6A6A6" w:themeColor="background1" w:themeShade="A6"/>
            </w:tcBorders>
            <w:noWrap/>
            <w:hideMark/>
          </w:tcPr>
          <w:p w14:paraId="3AAFA25D" w14:textId="77777777" w:rsidR="00CE75D4" w:rsidRPr="002029AF" w:rsidRDefault="00CE75D4" w:rsidP="008340C1">
            <w:pPr>
              <w:pStyle w:val="ARfintablebodyrightbold"/>
              <w:spacing w:before="10" w:after="10" w:line="228" w:lineRule="auto"/>
            </w:pPr>
            <w:r w:rsidRPr="00BF6E91">
              <w:t>646.5</w:t>
            </w:r>
          </w:p>
        </w:tc>
        <w:tc>
          <w:tcPr>
            <w:tcW w:w="1418" w:type="dxa"/>
            <w:tcBorders>
              <w:top w:val="single" w:sz="4" w:space="0" w:color="auto"/>
              <w:bottom w:val="single" w:sz="4" w:space="0" w:color="A6A6A6" w:themeColor="background1" w:themeShade="A6"/>
            </w:tcBorders>
            <w:noWrap/>
            <w:hideMark/>
          </w:tcPr>
          <w:p w14:paraId="7EF49130" w14:textId="77777777" w:rsidR="00CE75D4" w:rsidRPr="002029AF" w:rsidRDefault="00CE75D4" w:rsidP="008340C1">
            <w:pPr>
              <w:pStyle w:val="ARfintablebodyrightbold"/>
              <w:spacing w:before="10" w:after="10" w:line="228" w:lineRule="auto"/>
            </w:pPr>
            <w:r>
              <w:t>–</w:t>
            </w:r>
          </w:p>
        </w:tc>
        <w:tc>
          <w:tcPr>
            <w:tcW w:w="1418" w:type="dxa"/>
            <w:tcBorders>
              <w:top w:val="single" w:sz="4" w:space="0" w:color="auto"/>
              <w:bottom w:val="single" w:sz="4" w:space="0" w:color="A6A6A6" w:themeColor="background1" w:themeShade="A6"/>
            </w:tcBorders>
          </w:tcPr>
          <w:p w14:paraId="0772E29D" w14:textId="77777777" w:rsidR="00CE75D4" w:rsidRPr="003A0F44" w:rsidRDefault="00CE75D4" w:rsidP="008340C1">
            <w:pPr>
              <w:pStyle w:val="ARfintablebodyrightbold"/>
              <w:spacing w:before="10" w:after="10" w:line="228" w:lineRule="auto"/>
            </w:pPr>
            <w:r w:rsidRPr="00BF6E91">
              <w:t>644.2</w:t>
            </w:r>
          </w:p>
        </w:tc>
        <w:tc>
          <w:tcPr>
            <w:tcW w:w="1418" w:type="dxa"/>
            <w:tcBorders>
              <w:top w:val="single" w:sz="4" w:space="0" w:color="auto"/>
              <w:bottom w:val="single" w:sz="4" w:space="0" w:color="A6A6A6" w:themeColor="background1" w:themeShade="A6"/>
            </w:tcBorders>
            <w:noWrap/>
            <w:hideMark/>
          </w:tcPr>
          <w:p w14:paraId="5D6C6465" w14:textId="77777777" w:rsidR="00CE75D4" w:rsidRPr="002029AF" w:rsidRDefault="00CE75D4" w:rsidP="008340C1">
            <w:pPr>
              <w:pStyle w:val="ARfintablebodyrightbold"/>
              <w:spacing w:before="10" w:after="10" w:line="228" w:lineRule="auto"/>
            </w:pPr>
            <w:r w:rsidRPr="00BF6E91">
              <w:t>2.7</w:t>
            </w:r>
          </w:p>
        </w:tc>
        <w:tc>
          <w:tcPr>
            <w:tcW w:w="1418" w:type="dxa"/>
            <w:tcBorders>
              <w:top w:val="single" w:sz="4" w:space="0" w:color="auto"/>
              <w:bottom w:val="single" w:sz="4" w:space="0" w:color="A6A6A6" w:themeColor="background1" w:themeShade="A6"/>
            </w:tcBorders>
            <w:noWrap/>
            <w:hideMark/>
          </w:tcPr>
          <w:p w14:paraId="22545BD9" w14:textId="77777777" w:rsidR="00CE75D4" w:rsidRPr="002029AF" w:rsidRDefault="00CE75D4" w:rsidP="008340C1">
            <w:pPr>
              <w:pStyle w:val="ARfintablebodyrightbold"/>
              <w:spacing w:before="10" w:after="10" w:line="228" w:lineRule="auto"/>
            </w:pPr>
            <w:r w:rsidRPr="00BF6E91">
              <w:t>0.3</w:t>
            </w:r>
          </w:p>
        </w:tc>
        <w:tc>
          <w:tcPr>
            <w:tcW w:w="1418" w:type="dxa"/>
            <w:tcBorders>
              <w:top w:val="single" w:sz="4" w:space="0" w:color="auto"/>
              <w:bottom w:val="single" w:sz="4" w:space="0" w:color="A6A6A6" w:themeColor="background1" w:themeShade="A6"/>
            </w:tcBorders>
            <w:noWrap/>
            <w:hideMark/>
          </w:tcPr>
          <w:p w14:paraId="19544F8D" w14:textId="77777777" w:rsidR="00CE75D4" w:rsidRPr="002029AF" w:rsidRDefault="00CE75D4" w:rsidP="008340C1">
            <w:pPr>
              <w:pStyle w:val="ARfintablebodyrightbold"/>
              <w:spacing w:before="10" w:after="10" w:line="228" w:lineRule="auto"/>
            </w:pPr>
            <w:r w:rsidRPr="00BF6E91">
              <w:t>1,293.8</w:t>
            </w:r>
          </w:p>
        </w:tc>
      </w:tr>
      <w:tr w:rsidR="00CE75D4" w:rsidRPr="002029AF" w14:paraId="21B3018D" w14:textId="77777777" w:rsidTr="6133E834">
        <w:trPr>
          <w:cantSplit w:val="0"/>
        </w:trPr>
        <w:tc>
          <w:tcPr>
            <w:tcW w:w="5952" w:type="dxa"/>
            <w:tcBorders>
              <w:top w:val="single" w:sz="4" w:space="0" w:color="A6A6A6" w:themeColor="background1" w:themeShade="A6"/>
              <w:bottom w:val="single" w:sz="4" w:space="0" w:color="A6A6A6" w:themeColor="background1" w:themeShade="A6"/>
            </w:tcBorders>
            <w:hideMark/>
          </w:tcPr>
          <w:p w14:paraId="12D85CE1" w14:textId="77777777" w:rsidR="00CE75D4" w:rsidRPr="002029AF" w:rsidRDefault="00CE75D4" w:rsidP="008340C1">
            <w:pPr>
              <w:pStyle w:val="ARfintablebody"/>
              <w:spacing w:before="10" w:after="10" w:line="228" w:lineRule="auto"/>
            </w:pPr>
            <w:r w:rsidRPr="00BF6E91">
              <w:t xml:space="preserve">Removal of DFFH-related June 2021 closing balance </w:t>
            </w:r>
            <w:r w:rsidRPr="00954259">
              <w:rPr>
                <w:rStyle w:val="Superscript"/>
              </w:rPr>
              <w:t>(i)</w:t>
            </w:r>
          </w:p>
        </w:tc>
        <w:tc>
          <w:tcPr>
            <w:tcW w:w="1417" w:type="dxa"/>
            <w:tcBorders>
              <w:top w:val="single" w:sz="4" w:space="0" w:color="A6A6A6" w:themeColor="background1" w:themeShade="A6"/>
              <w:bottom w:val="single" w:sz="4" w:space="0" w:color="A6A6A6" w:themeColor="background1" w:themeShade="A6"/>
            </w:tcBorders>
            <w:noWrap/>
            <w:hideMark/>
          </w:tcPr>
          <w:p w14:paraId="116FCE73" w14:textId="77777777" w:rsidR="00CE75D4" w:rsidRPr="002029AF" w:rsidRDefault="00CE75D4" w:rsidP="008340C1">
            <w:pPr>
              <w:pStyle w:val="ARfintablebodyright"/>
              <w:spacing w:before="10" w:after="10" w:line="228" w:lineRule="auto"/>
            </w:pPr>
            <w:r w:rsidRPr="00BF6E91">
              <w:t>(167.2)</w:t>
            </w:r>
          </w:p>
        </w:tc>
        <w:tc>
          <w:tcPr>
            <w:tcW w:w="1418" w:type="dxa"/>
            <w:tcBorders>
              <w:top w:val="single" w:sz="4" w:space="0" w:color="A6A6A6" w:themeColor="background1" w:themeShade="A6"/>
              <w:bottom w:val="single" w:sz="4" w:space="0" w:color="A6A6A6" w:themeColor="background1" w:themeShade="A6"/>
            </w:tcBorders>
            <w:noWrap/>
            <w:hideMark/>
          </w:tcPr>
          <w:p w14:paraId="094FD9C9"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tcPr>
          <w:p w14:paraId="5762BCD9" w14:textId="77777777" w:rsidR="00CE75D4" w:rsidRPr="003A0F44" w:rsidRDefault="00CE75D4" w:rsidP="008340C1">
            <w:pPr>
              <w:pStyle w:val="ARfintablebodyright"/>
              <w:spacing w:before="10" w:after="10" w:line="228" w:lineRule="auto"/>
            </w:pPr>
            <w:r w:rsidRPr="00BF6E91">
              <w:t>(130.7)</w:t>
            </w:r>
          </w:p>
        </w:tc>
        <w:tc>
          <w:tcPr>
            <w:tcW w:w="1418" w:type="dxa"/>
            <w:tcBorders>
              <w:top w:val="single" w:sz="4" w:space="0" w:color="A6A6A6" w:themeColor="background1" w:themeShade="A6"/>
              <w:bottom w:val="single" w:sz="4" w:space="0" w:color="A6A6A6" w:themeColor="background1" w:themeShade="A6"/>
            </w:tcBorders>
            <w:noWrap/>
            <w:hideMark/>
          </w:tcPr>
          <w:p w14:paraId="01F3BFF4" w14:textId="77777777" w:rsidR="00CE75D4" w:rsidRPr="002029AF" w:rsidRDefault="00CE75D4" w:rsidP="008340C1">
            <w:pPr>
              <w:pStyle w:val="ARfintablebodyright"/>
              <w:spacing w:before="10" w:after="10" w:line="228" w:lineRule="auto"/>
            </w:pPr>
            <w:r w:rsidRPr="00BF6E91">
              <w:t>(0.5)</w:t>
            </w:r>
          </w:p>
        </w:tc>
        <w:tc>
          <w:tcPr>
            <w:tcW w:w="1418" w:type="dxa"/>
            <w:tcBorders>
              <w:top w:val="single" w:sz="4" w:space="0" w:color="A6A6A6" w:themeColor="background1" w:themeShade="A6"/>
              <w:bottom w:val="single" w:sz="4" w:space="0" w:color="A6A6A6" w:themeColor="background1" w:themeShade="A6"/>
            </w:tcBorders>
            <w:noWrap/>
            <w:hideMark/>
          </w:tcPr>
          <w:p w14:paraId="7F17B56D"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hideMark/>
          </w:tcPr>
          <w:p w14:paraId="4B9802DF" w14:textId="77777777" w:rsidR="00CE75D4" w:rsidRPr="002029AF" w:rsidRDefault="00CE75D4" w:rsidP="008340C1">
            <w:pPr>
              <w:pStyle w:val="ARfintablebodyright"/>
              <w:spacing w:before="10" w:after="10" w:line="228" w:lineRule="auto"/>
            </w:pPr>
            <w:r w:rsidRPr="00BF6E91">
              <w:t>(298.4)</w:t>
            </w:r>
          </w:p>
        </w:tc>
      </w:tr>
      <w:tr w:rsidR="00CE75D4" w:rsidRPr="002029AF" w14:paraId="5BE58F27" w14:textId="77777777" w:rsidTr="6133E834">
        <w:trPr>
          <w:cantSplit w:val="0"/>
        </w:trPr>
        <w:tc>
          <w:tcPr>
            <w:tcW w:w="5952" w:type="dxa"/>
            <w:tcBorders>
              <w:top w:val="single" w:sz="4" w:space="0" w:color="A6A6A6" w:themeColor="background1" w:themeShade="A6"/>
              <w:bottom w:val="single" w:sz="4" w:space="0" w:color="A6A6A6" w:themeColor="background1" w:themeShade="A6"/>
            </w:tcBorders>
            <w:hideMark/>
          </w:tcPr>
          <w:p w14:paraId="6B4F3E36" w14:textId="43169CD9" w:rsidR="00CE75D4" w:rsidRPr="002029AF" w:rsidRDefault="00CE75D4" w:rsidP="008340C1">
            <w:pPr>
              <w:pStyle w:val="ARfintablebody"/>
              <w:spacing w:before="10" w:after="10" w:line="228" w:lineRule="auto"/>
            </w:pPr>
            <w:r w:rsidRPr="002E22DE">
              <w:t>R</w:t>
            </w:r>
            <w:r>
              <w:t>ight</w:t>
            </w:r>
            <w:r w:rsidDel="00C21D92">
              <w:t xml:space="preserve"> </w:t>
            </w:r>
            <w:r w:rsidRPr="002E22DE">
              <w:t>o</w:t>
            </w:r>
            <w:r>
              <w:t>f</w:t>
            </w:r>
            <w:r w:rsidDel="00C21D92">
              <w:t xml:space="preserve"> </w:t>
            </w:r>
            <w:r>
              <w:t>use</w:t>
            </w:r>
            <w:r w:rsidRPr="00BF6E91">
              <w:t xml:space="preserve"> opening balance</w:t>
            </w:r>
          </w:p>
        </w:tc>
        <w:tc>
          <w:tcPr>
            <w:tcW w:w="1417" w:type="dxa"/>
            <w:tcBorders>
              <w:top w:val="single" w:sz="4" w:space="0" w:color="A6A6A6" w:themeColor="background1" w:themeShade="A6"/>
              <w:bottom w:val="single" w:sz="4" w:space="0" w:color="A6A6A6" w:themeColor="background1" w:themeShade="A6"/>
            </w:tcBorders>
            <w:noWrap/>
            <w:hideMark/>
          </w:tcPr>
          <w:p w14:paraId="5A127C1A"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hideMark/>
          </w:tcPr>
          <w:p w14:paraId="122FCD3C" w14:textId="77777777" w:rsidR="00CE75D4" w:rsidRPr="002029AF" w:rsidRDefault="00CE75D4" w:rsidP="008340C1">
            <w:pPr>
              <w:pStyle w:val="ARfintablebodyright"/>
              <w:spacing w:before="10" w:after="10" w:line="228" w:lineRule="auto"/>
            </w:pPr>
            <w:r w:rsidRPr="00BF6E91">
              <w:t>9.6</w:t>
            </w:r>
          </w:p>
        </w:tc>
        <w:tc>
          <w:tcPr>
            <w:tcW w:w="1418" w:type="dxa"/>
            <w:tcBorders>
              <w:top w:val="single" w:sz="4" w:space="0" w:color="A6A6A6" w:themeColor="background1" w:themeShade="A6"/>
              <w:bottom w:val="single" w:sz="4" w:space="0" w:color="A6A6A6" w:themeColor="background1" w:themeShade="A6"/>
            </w:tcBorders>
          </w:tcPr>
          <w:p w14:paraId="4EE13DD4" w14:textId="77777777" w:rsidR="00CE75D4" w:rsidRPr="003A0F44"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hideMark/>
          </w:tcPr>
          <w:p w14:paraId="320DCF59" w14:textId="77777777" w:rsidR="00CE75D4" w:rsidRPr="002029AF" w:rsidRDefault="00CE75D4" w:rsidP="008340C1">
            <w:pPr>
              <w:pStyle w:val="ARfintablebodyright"/>
              <w:spacing w:before="10" w:after="10" w:line="228" w:lineRule="auto"/>
            </w:pPr>
            <w:r w:rsidRPr="00BF6E91">
              <w:t>3.1</w:t>
            </w:r>
          </w:p>
        </w:tc>
        <w:tc>
          <w:tcPr>
            <w:tcW w:w="1418" w:type="dxa"/>
            <w:tcBorders>
              <w:top w:val="single" w:sz="4" w:space="0" w:color="A6A6A6" w:themeColor="background1" w:themeShade="A6"/>
              <w:bottom w:val="single" w:sz="4" w:space="0" w:color="A6A6A6" w:themeColor="background1" w:themeShade="A6"/>
            </w:tcBorders>
            <w:noWrap/>
            <w:hideMark/>
          </w:tcPr>
          <w:p w14:paraId="56D8614C"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hideMark/>
          </w:tcPr>
          <w:p w14:paraId="461983E4" w14:textId="77777777" w:rsidR="00CE75D4" w:rsidRPr="002029AF" w:rsidRDefault="00CE75D4" w:rsidP="008340C1">
            <w:pPr>
              <w:pStyle w:val="ARfintablebodyright"/>
              <w:spacing w:before="10" w:after="10" w:line="228" w:lineRule="auto"/>
            </w:pPr>
            <w:r w:rsidRPr="00BF6E91">
              <w:t>12.7</w:t>
            </w:r>
          </w:p>
        </w:tc>
      </w:tr>
      <w:tr w:rsidR="00CE75D4" w:rsidRPr="002029AF" w14:paraId="63A30ABA" w14:textId="77777777" w:rsidTr="6133E834">
        <w:trPr>
          <w:cantSplit w:val="0"/>
        </w:trPr>
        <w:tc>
          <w:tcPr>
            <w:tcW w:w="5952" w:type="dxa"/>
            <w:tcBorders>
              <w:top w:val="single" w:sz="4" w:space="0" w:color="A6A6A6" w:themeColor="background1" w:themeShade="A6"/>
              <w:bottom w:val="single" w:sz="4" w:space="0" w:color="A6A6A6" w:themeColor="background1" w:themeShade="A6"/>
            </w:tcBorders>
            <w:hideMark/>
          </w:tcPr>
          <w:p w14:paraId="10B1B665" w14:textId="77777777" w:rsidR="00CE75D4" w:rsidRPr="002029AF" w:rsidRDefault="00CE75D4" w:rsidP="008340C1">
            <w:pPr>
              <w:pStyle w:val="ARfintablebodybold"/>
              <w:spacing w:before="10" w:after="10" w:line="228" w:lineRule="auto"/>
            </w:pPr>
            <w:r w:rsidRPr="00BF6E91">
              <w:t>Adjusted balance at 1 July 2021</w:t>
            </w:r>
          </w:p>
        </w:tc>
        <w:tc>
          <w:tcPr>
            <w:tcW w:w="1417" w:type="dxa"/>
            <w:tcBorders>
              <w:top w:val="single" w:sz="4" w:space="0" w:color="A6A6A6" w:themeColor="background1" w:themeShade="A6"/>
              <w:bottom w:val="single" w:sz="4" w:space="0" w:color="A6A6A6" w:themeColor="background1" w:themeShade="A6"/>
            </w:tcBorders>
            <w:noWrap/>
            <w:hideMark/>
          </w:tcPr>
          <w:p w14:paraId="0CAEF166" w14:textId="77777777" w:rsidR="00CE75D4" w:rsidRPr="002029AF" w:rsidRDefault="00CE75D4" w:rsidP="008340C1">
            <w:pPr>
              <w:pStyle w:val="ARfintablebodyrightbold"/>
              <w:spacing w:before="10" w:after="10" w:line="228" w:lineRule="auto"/>
            </w:pPr>
            <w:r w:rsidRPr="00BF6E91">
              <w:t>479.</w:t>
            </w:r>
            <w:r>
              <w:t>3</w:t>
            </w:r>
          </w:p>
        </w:tc>
        <w:tc>
          <w:tcPr>
            <w:tcW w:w="1418" w:type="dxa"/>
            <w:tcBorders>
              <w:top w:val="single" w:sz="4" w:space="0" w:color="A6A6A6" w:themeColor="background1" w:themeShade="A6"/>
              <w:bottom w:val="single" w:sz="4" w:space="0" w:color="A6A6A6" w:themeColor="background1" w:themeShade="A6"/>
            </w:tcBorders>
            <w:noWrap/>
            <w:hideMark/>
          </w:tcPr>
          <w:p w14:paraId="2E6F8C14" w14:textId="77777777" w:rsidR="00CE75D4" w:rsidRPr="002029AF" w:rsidRDefault="00CE75D4" w:rsidP="008340C1">
            <w:pPr>
              <w:pStyle w:val="ARfintablebodyrightbold"/>
              <w:spacing w:before="10" w:after="10" w:line="228" w:lineRule="auto"/>
            </w:pPr>
            <w:r w:rsidRPr="00BF6E91">
              <w:t>9.6</w:t>
            </w:r>
          </w:p>
        </w:tc>
        <w:tc>
          <w:tcPr>
            <w:tcW w:w="1418" w:type="dxa"/>
            <w:tcBorders>
              <w:top w:val="single" w:sz="4" w:space="0" w:color="A6A6A6" w:themeColor="background1" w:themeShade="A6"/>
              <w:bottom w:val="single" w:sz="4" w:space="0" w:color="A6A6A6" w:themeColor="background1" w:themeShade="A6"/>
            </w:tcBorders>
          </w:tcPr>
          <w:p w14:paraId="085DB3AF" w14:textId="77777777" w:rsidR="00CE75D4" w:rsidRPr="003A0F44" w:rsidRDefault="00CE75D4" w:rsidP="008340C1">
            <w:pPr>
              <w:pStyle w:val="ARfintablebodyrightbold"/>
              <w:spacing w:before="10" w:after="10" w:line="228" w:lineRule="auto"/>
            </w:pPr>
            <w:r w:rsidRPr="00BF6E91">
              <w:t>513.5</w:t>
            </w:r>
          </w:p>
        </w:tc>
        <w:tc>
          <w:tcPr>
            <w:tcW w:w="1418" w:type="dxa"/>
            <w:tcBorders>
              <w:top w:val="single" w:sz="4" w:space="0" w:color="A6A6A6" w:themeColor="background1" w:themeShade="A6"/>
              <w:bottom w:val="single" w:sz="4" w:space="0" w:color="A6A6A6" w:themeColor="background1" w:themeShade="A6"/>
            </w:tcBorders>
            <w:noWrap/>
            <w:hideMark/>
          </w:tcPr>
          <w:p w14:paraId="0DC300F1" w14:textId="77777777" w:rsidR="00CE75D4" w:rsidRPr="002029AF" w:rsidRDefault="00CE75D4" w:rsidP="008340C1">
            <w:pPr>
              <w:pStyle w:val="ARfintablebodyrightbold"/>
              <w:spacing w:before="10" w:after="10" w:line="228" w:lineRule="auto"/>
            </w:pPr>
            <w:r w:rsidRPr="00BF6E91">
              <w:t>5.3</w:t>
            </w:r>
          </w:p>
        </w:tc>
        <w:tc>
          <w:tcPr>
            <w:tcW w:w="1418" w:type="dxa"/>
            <w:tcBorders>
              <w:top w:val="single" w:sz="4" w:space="0" w:color="A6A6A6" w:themeColor="background1" w:themeShade="A6"/>
              <w:bottom w:val="single" w:sz="4" w:space="0" w:color="A6A6A6" w:themeColor="background1" w:themeShade="A6"/>
            </w:tcBorders>
            <w:noWrap/>
            <w:hideMark/>
          </w:tcPr>
          <w:p w14:paraId="0D07D227" w14:textId="77777777" w:rsidR="00CE75D4" w:rsidRPr="002029AF" w:rsidRDefault="00CE75D4" w:rsidP="008340C1">
            <w:pPr>
              <w:pStyle w:val="ARfintablebodyrightbold"/>
              <w:spacing w:before="10" w:after="10" w:line="228" w:lineRule="auto"/>
            </w:pPr>
            <w:r w:rsidRPr="00BF6E91">
              <w:t>0.3</w:t>
            </w:r>
          </w:p>
        </w:tc>
        <w:tc>
          <w:tcPr>
            <w:tcW w:w="1418" w:type="dxa"/>
            <w:tcBorders>
              <w:top w:val="single" w:sz="4" w:space="0" w:color="A6A6A6" w:themeColor="background1" w:themeShade="A6"/>
              <w:bottom w:val="single" w:sz="4" w:space="0" w:color="A6A6A6" w:themeColor="background1" w:themeShade="A6"/>
            </w:tcBorders>
            <w:noWrap/>
            <w:hideMark/>
          </w:tcPr>
          <w:p w14:paraId="0015E947" w14:textId="77777777" w:rsidR="00CE75D4" w:rsidRPr="002029AF" w:rsidRDefault="00CE75D4" w:rsidP="008340C1">
            <w:pPr>
              <w:pStyle w:val="ARfintablebodyrightbold"/>
              <w:spacing w:before="10" w:after="10" w:line="228" w:lineRule="auto"/>
            </w:pPr>
            <w:r w:rsidRPr="00BF6E91">
              <w:t>1,008.0</w:t>
            </w:r>
          </w:p>
        </w:tc>
      </w:tr>
      <w:tr w:rsidR="00CE75D4" w:rsidRPr="002029AF" w14:paraId="4543CA3A" w14:textId="77777777" w:rsidTr="6133E834">
        <w:trPr>
          <w:cantSplit w:val="0"/>
        </w:trPr>
        <w:tc>
          <w:tcPr>
            <w:tcW w:w="5952" w:type="dxa"/>
            <w:tcBorders>
              <w:top w:val="single" w:sz="4" w:space="0" w:color="A6A6A6" w:themeColor="background1" w:themeShade="A6"/>
              <w:bottom w:val="single" w:sz="4" w:space="0" w:color="A6A6A6" w:themeColor="background1" w:themeShade="A6"/>
            </w:tcBorders>
            <w:hideMark/>
          </w:tcPr>
          <w:p w14:paraId="00DF7BC9" w14:textId="77777777" w:rsidR="00CE75D4" w:rsidRPr="002029AF" w:rsidRDefault="00CE75D4" w:rsidP="008340C1">
            <w:pPr>
              <w:pStyle w:val="ARfintablebody"/>
              <w:spacing w:before="10" w:after="10" w:line="228" w:lineRule="auto"/>
            </w:pPr>
            <w:r w:rsidRPr="00BF6E91">
              <w:t>Additions</w:t>
            </w:r>
          </w:p>
        </w:tc>
        <w:tc>
          <w:tcPr>
            <w:tcW w:w="1417" w:type="dxa"/>
            <w:tcBorders>
              <w:top w:val="single" w:sz="4" w:space="0" w:color="A6A6A6" w:themeColor="background1" w:themeShade="A6"/>
              <w:bottom w:val="single" w:sz="4" w:space="0" w:color="A6A6A6" w:themeColor="background1" w:themeShade="A6"/>
            </w:tcBorders>
            <w:noWrap/>
            <w:hideMark/>
          </w:tcPr>
          <w:p w14:paraId="189C7296" w14:textId="77777777" w:rsidR="00CE75D4" w:rsidRPr="002029AF" w:rsidRDefault="00CE75D4" w:rsidP="008340C1">
            <w:pPr>
              <w:pStyle w:val="ARfintablebodyright"/>
              <w:spacing w:before="10" w:after="10" w:line="228" w:lineRule="auto"/>
            </w:pPr>
            <w:r w:rsidRPr="00BF6E91">
              <w:t>15.3</w:t>
            </w:r>
          </w:p>
        </w:tc>
        <w:tc>
          <w:tcPr>
            <w:tcW w:w="1418" w:type="dxa"/>
            <w:tcBorders>
              <w:top w:val="single" w:sz="4" w:space="0" w:color="A6A6A6" w:themeColor="background1" w:themeShade="A6"/>
              <w:bottom w:val="single" w:sz="4" w:space="0" w:color="A6A6A6" w:themeColor="background1" w:themeShade="A6"/>
            </w:tcBorders>
            <w:noWrap/>
            <w:hideMark/>
          </w:tcPr>
          <w:p w14:paraId="44E4B08C" w14:textId="77777777" w:rsidR="00CE75D4" w:rsidRPr="002029AF" w:rsidRDefault="00CE75D4" w:rsidP="008340C1">
            <w:pPr>
              <w:pStyle w:val="ARfintablebodyright"/>
              <w:spacing w:before="10" w:after="10" w:line="228" w:lineRule="auto"/>
            </w:pPr>
            <w:r w:rsidRPr="00BF6E91">
              <w:t>(0.2)</w:t>
            </w:r>
          </w:p>
        </w:tc>
        <w:tc>
          <w:tcPr>
            <w:tcW w:w="1418" w:type="dxa"/>
            <w:tcBorders>
              <w:top w:val="single" w:sz="4" w:space="0" w:color="A6A6A6" w:themeColor="background1" w:themeShade="A6"/>
              <w:bottom w:val="single" w:sz="4" w:space="0" w:color="A6A6A6" w:themeColor="background1" w:themeShade="A6"/>
            </w:tcBorders>
          </w:tcPr>
          <w:p w14:paraId="1455B7DA" w14:textId="77777777" w:rsidR="00CE75D4" w:rsidRPr="003A0F44"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hideMark/>
          </w:tcPr>
          <w:p w14:paraId="377ADEEB" w14:textId="77777777" w:rsidR="00CE75D4" w:rsidRPr="002029AF" w:rsidRDefault="00CE75D4" w:rsidP="008340C1">
            <w:pPr>
              <w:pStyle w:val="ARfintablebodyright"/>
              <w:spacing w:before="10" w:after="10" w:line="228" w:lineRule="auto"/>
            </w:pPr>
            <w:r w:rsidRPr="00BF6E91">
              <w:t>1.4</w:t>
            </w:r>
          </w:p>
        </w:tc>
        <w:tc>
          <w:tcPr>
            <w:tcW w:w="1418" w:type="dxa"/>
            <w:tcBorders>
              <w:top w:val="single" w:sz="4" w:space="0" w:color="A6A6A6" w:themeColor="background1" w:themeShade="A6"/>
              <w:bottom w:val="single" w:sz="4" w:space="0" w:color="A6A6A6" w:themeColor="background1" w:themeShade="A6"/>
            </w:tcBorders>
            <w:noWrap/>
            <w:hideMark/>
          </w:tcPr>
          <w:p w14:paraId="7FC6A41A"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hideMark/>
          </w:tcPr>
          <w:p w14:paraId="02926545" w14:textId="77777777" w:rsidR="00CE75D4" w:rsidRPr="002029AF" w:rsidRDefault="00CE75D4" w:rsidP="008340C1">
            <w:pPr>
              <w:pStyle w:val="ARfintablebodyright"/>
              <w:spacing w:before="10" w:after="10" w:line="228" w:lineRule="auto"/>
            </w:pPr>
            <w:r w:rsidRPr="00BF6E91">
              <w:t>16.5</w:t>
            </w:r>
          </w:p>
        </w:tc>
      </w:tr>
      <w:tr w:rsidR="00CE75D4" w:rsidRPr="002029AF" w14:paraId="5B7CC886" w14:textId="77777777" w:rsidTr="6133E834">
        <w:trPr>
          <w:cantSplit w:val="0"/>
        </w:trPr>
        <w:tc>
          <w:tcPr>
            <w:tcW w:w="5952" w:type="dxa"/>
            <w:tcBorders>
              <w:top w:val="single" w:sz="4" w:space="0" w:color="A6A6A6" w:themeColor="background1" w:themeShade="A6"/>
              <w:bottom w:val="single" w:sz="4" w:space="0" w:color="A6A6A6" w:themeColor="background1" w:themeShade="A6"/>
            </w:tcBorders>
            <w:hideMark/>
          </w:tcPr>
          <w:p w14:paraId="54B1FBD2" w14:textId="77777777" w:rsidR="00CE75D4" w:rsidRPr="002029AF" w:rsidRDefault="00CE75D4" w:rsidP="008340C1">
            <w:pPr>
              <w:pStyle w:val="ARfintablebody"/>
              <w:spacing w:before="10" w:after="10" w:line="228" w:lineRule="auto"/>
            </w:pPr>
            <w:r w:rsidRPr="00BF6E91">
              <w:t>Capitalisation of work in progress</w:t>
            </w:r>
          </w:p>
        </w:tc>
        <w:tc>
          <w:tcPr>
            <w:tcW w:w="1417" w:type="dxa"/>
            <w:tcBorders>
              <w:top w:val="single" w:sz="4" w:space="0" w:color="A6A6A6" w:themeColor="background1" w:themeShade="A6"/>
              <w:bottom w:val="single" w:sz="4" w:space="0" w:color="A6A6A6" w:themeColor="background1" w:themeShade="A6"/>
            </w:tcBorders>
            <w:noWrap/>
            <w:hideMark/>
          </w:tcPr>
          <w:p w14:paraId="4B169595"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hideMark/>
          </w:tcPr>
          <w:p w14:paraId="3C755D5B"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tcPr>
          <w:p w14:paraId="7D8B38EE" w14:textId="77777777" w:rsidR="00CE75D4" w:rsidRPr="003A0F44" w:rsidRDefault="00CE75D4" w:rsidP="008340C1">
            <w:pPr>
              <w:pStyle w:val="ARfintablebodyright"/>
              <w:spacing w:before="10" w:after="10" w:line="228" w:lineRule="auto"/>
            </w:pPr>
            <w:r w:rsidRPr="00BF6E91">
              <w:t>1.6</w:t>
            </w:r>
          </w:p>
        </w:tc>
        <w:tc>
          <w:tcPr>
            <w:tcW w:w="1418" w:type="dxa"/>
            <w:tcBorders>
              <w:top w:val="single" w:sz="4" w:space="0" w:color="A6A6A6" w:themeColor="background1" w:themeShade="A6"/>
              <w:bottom w:val="single" w:sz="4" w:space="0" w:color="A6A6A6" w:themeColor="background1" w:themeShade="A6"/>
            </w:tcBorders>
            <w:noWrap/>
            <w:hideMark/>
          </w:tcPr>
          <w:p w14:paraId="61141099"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hideMark/>
          </w:tcPr>
          <w:p w14:paraId="59CDAD73"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hideMark/>
          </w:tcPr>
          <w:p w14:paraId="4283F5E2" w14:textId="77777777" w:rsidR="00CE75D4" w:rsidRPr="002029AF" w:rsidRDefault="00CE75D4" w:rsidP="008340C1">
            <w:pPr>
              <w:pStyle w:val="ARfintablebodyright"/>
              <w:spacing w:before="10" w:after="10" w:line="228" w:lineRule="auto"/>
            </w:pPr>
            <w:r w:rsidRPr="00BF6E91">
              <w:t>1.6</w:t>
            </w:r>
          </w:p>
        </w:tc>
      </w:tr>
      <w:tr w:rsidR="00CE75D4" w:rsidRPr="002029AF" w14:paraId="7D167223" w14:textId="77777777" w:rsidTr="6133E834">
        <w:trPr>
          <w:cantSplit w:val="0"/>
        </w:trPr>
        <w:tc>
          <w:tcPr>
            <w:tcW w:w="5952" w:type="dxa"/>
            <w:tcBorders>
              <w:top w:val="single" w:sz="4" w:space="0" w:color="A6A6A6" w:themeColor="background1" w:themeShade="A6"/>
              <w:bottom w:val="single" w:sz="4" w:space="0" w:color="A6A6A6" w:themeColor="background1" w:themeShade="A6"/>
            </w:tcBorders>
          </w:tcPr>
          <w:p w14:paraId="5D25AC52" w14:textId="77777777" w:rsidR="00CE75D4" w:rsidRPr="002029AF" w:rsidRDefault="00CE75D4" w:rsidP="008340C1">
            <w:pPr>
              <w:pStyle w:val="ARfintablebody"/>
              <w:spacing w:before="10" w:after="10" w:line="228" w:lineRule="auto"/>
            </w:pPr>
            <w:r w:rsidRPr="00BF6E91">
              <w:t>Disposals</w:t>
            </w:r>
          </w:p>
        </w:tc>
        <w:tc>
          <w:tcPr>
            <w:tcW w:w="1417" w:type="dxa"/>
            <w:tcBorders>
              <w:top w:val="single" w:sz="4" w:space="0" w:color="A6A6A6" w:themeColor="background1" w:themeShade="A6"/>
              <w:bottom w:val="single" w:sz="4" w:space="0" w:color="A6A6A6" w:themeColor="background1" w:themeShade="A6"/>
            </w:tcBorders>
            <w:noWrap/>
          </w:tcPr>
          <w:p w14:paraId="0950B85C"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tcPr>
          <w:p w14:paraId="78BD4A7B"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tcPr>
          <w:p w14:paraId="10DF3F35" w14:textId="77777777" w:rsidR="00CE75D4" w:rsidRPr="003A0F44"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tcPr>
          <w:p w14:paraId="5F8884BB"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tcPr>
          <w:p w14:paraId="1358E7C8" w14:textId="77777777" w:rsidR="00CE75D4" w:rsidRPr="002029AF" w:rsidRDefault="00CE75D4" w:rsidP="008340C1">
            <w:pPr>
              <w:pStyle w:val="ARfintablebodyright"/>
              <w:spacing w:before="10" w:after="10" w:line="228" w:lineRule="auto"/>
            </w:pPr>
            <w:r w:rsidRPr="00BF6E91">
              <w:t>(0.3)</w:t>
            </w:r>
          </w:p>
        </w:tc>
        <w:tc>
          <w:tcPr>
            <w:tcW w:w="1418" w:type="dxa"/>
            <w:tcBorders>
              <w:top w:val="single" w:sz="4" w:space="0" w:color="A6A6A6" w:themeColor="background1" w:themeShade="A6"/>
              <w:bottom w:val="single" w:sz="4" w:space="0" w:color="A6A6A6" w:themeColor="background1" w:themeShade="A6"/>
            </w:tcBorders>
            <w:noWrap/>
          </w:tcPr>
          <w:p w14:paraId="54C0A212" w14:textId="77777777" w:rsidR="00CE75D4" w:rsidRPr="002029AF" w:rsidRDefault="00CE75D4" w:rsidP="008340C1">
            <w:pPr>
              <w:pStyle w:val="ARfintablebodyright"/>
              <w:spacing w:before="10" w:after="10" w:line="228" w:lineRule="auto"/>
            </w:pPr>
            <w:r w:rsidRPr="00BF6E91">
              <w:t>(0.3)</w:t>
            </w:r>
          </w:p>
        </w:tc>
      </w:tr>
      <w:tr w:rsidR="00CE75D4" w:rsidRPr="002029AF" w14:paraId="7E8E7CF1" w14:textId="77777777" w:rsidTr="6133E834">
        <w:trPr>
          <w:cantSplit w:val="0"/>
        </w:trPr>
        <w:tc>
          <w:tcPr>
            <w:tcW w:w="14459" w:type="dxa"/>
            <w:gridSpan w:val="7"/>
            <w:tcBorders>
              <w:top w:val="single" w:sz="4" w:space="0" w:color="A6A6A6" w:themeColor="background1" w:themeShade="A6"/>
              <w:bottom w:val="single" w:sz="4" w:space="0" w:color="A6A6A6" w:themeColor="background1" w:themeShade="A6"/>
            </w:tcBorders>
          </w:tcPr>
          <w:p w14:paraId="6125B49B" w14:textId="77777777" w:rsidR="00CE75D4" w:rsidRPr="002029AF" w:rsidRDefault="00CE75D4" w:rsidP="008340C1">
            <w:pPr>
              <w:pStyle w:val="ARfintablebodybold"/>
              <w:spacing w:before="10" w:after="10" w:line="228" w:lineRule="auto"/>
            </w:pPr>
            <w:r w:rsidRPr="00BF6E91">
              <w:t>Gains or losses recognised in net result</w:t>
            </w:r>
          </w:p>
        </w:tc>
      </w:tr>
      <w:tr w:rsidR="00CE75D4" w:rsidRPr="002029AF" w14:paraId="3173D763" w14:textId="77777777" w:rsidTr="6133E834">
        <w:trPr>
          <w:cantSplit w:val="0"/>
        </w:trPr>
        <w:tc>
          <w:tcPr>
            <w:tcW w:w="5952" w:type="dxa"/>
            <w:tcBorders>
              <w:top w:val="single" w:sz="4" w:space="0" w:color="A6A6A6" w:themeColor="background1" w:themeShade="A6"/>
              <w:bottom w:val="single" w:sz="4" w:space="0" w:color="A6A6A6" w:themeColor="background1" w:themeShade="A6"/>
            </w:tcBorders>
            <w:hideMark/>
          </w:tcPr>
          <w:p w14:paraId="3B5C1333" w14:textId="77777777" w:rsidR="00CE75D4" w:rsidRPr="002029AF" w:rsidRDefault="00CE75D4" w:rsidP="008340C1">
            <w:pPr>
              <w:pStyle w:val="ARfintablebody"/>
              <w:spacing w:before="10" w:after="10" w:line="228" w:lineRule="auto"/>
            </w:pPr>
            <w:r w:rsidRPr="00BF6E91">
              <w:t>Depreciation</w:t>
            </w:r>
          </w:p>
        </w:tc>
        <w:tc>
          <w:tcPr>
            <w:tcW w:w="1417" w:type="dxa"/>
            <w:tcBorders>
              <w:top w:val="single" w:sz="4" w:space="0" w:color="A6A6A6" w:themeColor="background1" w:themeShade="A6"/>
              <w:bottom w:val="single" w:sz="4" w:space="0" w:color="A6A6A6" w:themeColor="background1" w:themeShade="A6"/>
            </w:tcBorders>
            <w:noWrap/>
            <w:hideMark/>
          </w:tcPr>
          <w:p w14:paraId="565969B6"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hideMark/>
          </w:tcPr>
          <w:p w14:paraId="3F395152" w14:textId="77777777" w:rsidR="00CE75D4" w:rsidRPr="002029AF" w:rsidRDefault="00CE75D4" w:rsidP="008340C1">
            <w:pPr>
              <w:pStyle w:val="ARfintablebodyright"/>
              <w:spacing w:before="10" w:after="10" w:line="228" w:lineRule="auto"/>
            </w:pPr>
            <w:r w:rsidRPr="00BF6E91">
              <w:t>(1.</w:t>
            </w:r>
            <w:r>
              <w:t>7</w:t>
            </w:r>
            <w:r w:rsidRPr="00BF6E91">
              <w:t>)</w:t>
            </w:r>
          </w:p>
        </w:tc>
        <w:tc>
          <w:tcPr>
            <w:tcW w:w="1418" w:type="dxa"/>
            <w:tcBorders>
              <w:top w:val="single" w:sz="4" w:space="0" w:color="A6A6A6" w:themeColor="background1" w:themeShade="A6"/>
              <w:bottom w:val="single" w:sz="4" w:space="0" w:color="A6A6A6" w:themeColor="background1" w:themeShade="A6"/>
            </w:tcBorders>
          </w:tcPr>
          <w:p w14:paraId="14F18757" w14:textId="77777777" w:rsidR="00CE75D4" w:rsidRPr="003A0F44" w:rsidRDefault="00CE75D4" w:rsidP="008340C1">
            <w:pPr>
              <w:pStyle w:val="ARfintablebodyright"/>
              <w:spacing w:before="10" w:after="10" w:line="228" w:lineRule="auto"/>
            </w:pPr>
            <w:r w:rsidRPr="00BF6E91">
              <w:t>(24.0)</w:t>
            </w:r>
          </w:p>
        </w:tc>
        <w:tc>
          <w:tcPr>
            <w:tcW w:w="1418" w:type="dxa"/>
            <w:tcBorders>
              <w:top w:val="single" w:sz="4" w:space="0" w:color="A6A6A6" w:themeColor="background1" w:themeShade="A6"/>
              <w:bottom w:val="single" w:sz="4" w:space="0" w:color="A6A6A6" w:themeColor="background1" w:themeShade="A6"/>
            </w:tcBorders>
            <w:noWrap/>
            <w:hideMark/>
          </w:tcPr>
          <w:p w14:paraId="10E1D233" w14:textId="77777777" w:rsidR="00CE75D4" w:rsidRPr="002029AF" w:rsidRDefault="00CE75D4" w:rsidP="008340C1">
            <w:pPr>
              <w:pStyle w:val="ARfintablebodyright"/>
              <w:spacing w:before="10" w:after="10" w:line="228" w:lineRule="auto"/>
            </w:pPr>
            <w:r w:rsidRPr="00BF6E91">
              <w:t>(2.5)</w:t>
            </w:r>
          </w:p>
        </w:tc>
        <w:tc>
          <w:tcPr>
            <w:tcW w:w="1418" w:type="dxa"/>
            <w:tcBorders>
              <w:top w:val="single" w:sz="4" w:space="0" w:color="A6A6A6" w:themeColor="background1" w:themeShade="A6"/>
              <w:bottom w:val="single" w:sz="4" w:space="0" w:color="A6A6A6" w:themeColor="background1" w:themeShade="A6"/>
            </w:tcBorders>
            <w:noWrap/>
            <w:hideMark/>
          </w:tcPr>
          <w:p w14:paraId="4249ADD8"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hideMark/>
          </w:tcPr>
          <w:p w14:paraId="1F9EFD9B" w14:textId="77777777" w:rsidR="00CE75D4" w:rsidRPr="002029AF" w:rsidRDefault="00CE75D4" w:rsidP="008340C1">
            <w:pPr>
              <w:pStyle w:val="ARfintablebodyright"/>
              <w:spacing w:before="10" w:after="10" w:line="228" w:lineRule="auto"/>
            </w:pPr>
            <w:r w:rsidRPr="00BF6E91">
              <w:t>(28.</w:t>
            </w:r>
            <w:r>
              <w:t>2</w:t>
            </w:r>
            <w:r w:rsidRPr="00BF6E91">
              <w:t>)</w:t>
            </w:r>
          </w:p>
        </w:tc>
      </w:tr>
      <w:tr w:rsidR="00CE75D4" w:rsidRPr="002029AF" w14:paraId="0AE6AD9B" w14:textId="77777777" w:rsidTr="008340C1">
        <w:trPr>
          <w:cantSplit w:val="0"/>
        </w:trPr>
        <w:tc>
          <w:tcPr>
            <w:tcW w:w="5952" w:type="dxa"/>
            <w:tcBorders>
              <w:bottom w:val="single" w:sz="4" w:space="0" w:color="auto"/>
            </w:tcBorders>
            <w:hideMark/>
          </w:tcPr>
          <w:p w14:paraId="441AADA8" w14:textId="77777777" w:rsidR="00CE75D4" w:rsidRPr="002029AF" w:rsidRDefault="00CE75D4" w:rsidP="008340C1">
            <w:pPr>
              <w:pStyle w:val="ARfintablebodybold"/>
              <w:spacing w:before="10" w:after="10" w:line="228" w:lineRule="auto"/>
            </w:pPr>
            <w:r w:rsidRPr="00BF6E91">
              <w:t>Subtotal of gains or losses recognised in net result</w:t>
            </w:r>
          </w:p>
        </w:tc>
        <w:tc>
          <w:tcPr>
            <w:tcW w:w="1417" w:type="dxa"/>
            <w:tcBorders>
              <w:bottom w:val="single" w:sz="4" w:space="0" w:color="auto"/>
            </w:tcBorders>
            <w:noWrap/>
            <w:hideMark/>
          </w:tcPr>
          <w:p w14:paraId="4E84E4D1" w14:textId="77777777" w:rsidR="00CE75D4" w:rsidRPr="002029AF" w:rsidRDefault="00CE75D4" w:rsidP="008340C1">
            <w:pPr>
              <w:pStyle w:val="ARfintablebodyrightbold"/>
              <w:spacing w:before="10" w:after="10" w:line="228" w:lineRule="auto"/>
            </w:pPr>
            <w:r>
              <w:t>–</w:t>
            </w:r>
          </w:p>
        </w:tc>
        <w:tc>
          <w:tcPr>
            <w:tcW w:w="1418" w:type="dxa"/>
            <w:tcBorders>
              <w:bottom w:val="single" w:sz="4" w:space="0" w:color="auto"/>
            </w:tcBorders>
            <w:noWrap/>
            <w:hideMark/>
          </w:tcPr>
          <w:p w14:paraId="5B4AF726" w14:textId="77777777" w:rsidR="00CE75D4" w:rsidRPr="002029AF" w:rsidRDefault="00CE75D4" w:rsidP="008340C1">
            <w:pPr>
              <w:pStyle w:val="ARfintablebodyrightbold"/>
              <w:spacing w:before="10" w:after="10" w:line="228" w:lineRule="auto"/>
            </w:pPr>
            <w:r w:rsidRPr="00BF6E91">
              <w:t>(1.7)</w:t>
            </w:r>
          </w:p>
        </w:tc>
        <w:tc>
          <w:tcPr>
            <w:tcW w:w="1418" w:type="dxa"/>
            <w:tcBorders>
              <w:bottom w:val="single" w:sz="4" w:space="0" w:color="auto"/>
            </w:tcBorders>
          </w:tcPr>
          <w:p w14:paraId="65F842BF" w14:textId="77777777" w:rsidR="00CE75D4" w:rsidRPr="003A0F44" w:rsidRDefault="00CE75D4" w:rsidP="008340C1">
            <w:pPr>
              <w:pStyle w:val="ARfintablebodyrightbold"/>
              <w:spacing w:before="10" w:after="10" w:line="228" w:lineRule="auto"/>
            </w:pPr>
            <w:r w:rsidRPr="00BF6E91">
              <w:t>(24.0)</w:t>
            </w:r>
          </w:p>
        </w:tc>
        <w:tc>
          <w:tcPr>
            <w:tcW w:w="1418" w:type="dxa"/>
            <w:tcBorders>
              <w:bottom w:val="single" w:sz="4" w:space="0" w:color="auto"/>
            </w:tcBorders>
            <w:noWrap/>
            <w:hideMark/>
          </w:tcPr>
          <w:p w14:paraId="00258058" w14:textId="77777777" w:rsidR="00CE75D4" w:rsidRPr="002029AF" w:rsidRDefault="00CE75D4" w:rsidP="008340C1">
            <w:pPr>
              <w:pStyle w:val="ARfintablebodyrightbold"/>
              <w:spacing w:before="10" w:after="10" w:line="228" w:lineRule="auto"/>
            </w:pPr>
            <w:r w:rsidRPr="00BF6E91">
              <w:t>(2.5)</w:t>
            </w:r>
          </w:p>
        </w:tc>
        <w:tc>
          <w:tcPr>
            <w:tcW w:w="1418" w:type="dxa"/>
            <w:tcBorders>
              <w:bottom w:val="single" w:sz="4" w:space="0" w:color="auto"/>
            </w:tcBorders>
            <w:noWrap/>
            <w:hideMark/>
          </w:tcPr>
          <w:p w14:paraId="39B9531C" w14:textId="77777777" w:rsidR="00CE75D4" w:rsidRPr="002029AF" w:rsidRDefault="00CE75D4" w:rsidP="008340C1">
            <w:pPr>
              <w:pStyle w:val="ARfintablebodyrightbold"/>
              <w:spacing w:before="10" w:after="10" w:line="228" w:lineRule="auto"/>
            </w:pPr>
            <w:r>
              <w:t>–</w:t>
            </w:r>
          </w:p>
        </w:tc>
        <w:tc>
          <w:tcPr>
            <w:tcW w:w="1418" w:type="dxa"/>
            <w:tcBorders>
              <w:bottom w:val="single" w:sz="4" w:space="0" w:color="auto"/>
            </w:tcBorders>
            <w:noWrap/>
            <w:hideMark/>
          </w:tcPr>
          <w:p w14:paraId="15B63A49" w14:textId="77777777" w:rsidR="00CE75D4" w:rsidRPr="002029AF" w:rsidRDefault="00CE75D4" w:rsidP="008340C1">
            <w:pPr>
              <w:pStyle w:val="ARfintablebodyrightbold"/>
              <w:spacing w:before="10" w:after="10" w:line="228" w:lineRule="auto"/>
            </w:pPr>
            <w:r w:rsidRPr="00BF6E91">
              <w:t>(28.2)</w:t>
            </w:r>
          </w:p>
        </w:tc>
      </w:tr>
      <w:tr w:rsidR="00CE75D4" w:rsidRPr="002029AF" w14:paraId="3EC96156" w14:textId="77777777" w:rsidTr="6133E834">
        <w:trPr>
          <w:cantSplit w:val="0"/>
        </w:trPr>
        <w:tc>
          <w:tcPr>
            <w:tcW w:w="14459" w:type="dxa"/>
            <w:gridSpan w:val="7"/>
            <w:tcBorders>
              <w:top w:val="single" w:sz="4" w:space="0" w:color="auto"/>
              <w:bottom w:val="single" w:sz="4" w:space="0" w:color="A6A6A6" w:themeColor="background1" w:themeShade="A6"/>
            </w:tcBorders>
          </w:tcPr>
          <w:p w14:paraId="4E9ED7CB" w14:textId="77777777" w:rsidR="00CE75D4" w:rsidRPr="002029AF" w:rsidRDefault="00CE75D4" w:rsidP="008340C1">
            <w:pPr>
              <w:pStyle w:val="ARfintablebodybold"/>
              <w:spacing w:before="10" w:after="10" w:line="228" w:lineRule="auto"/>
            </w:pPr>
            <w:r w:rsidRPr="00BF6E91">
              <w:t xml:space="preserve">Gains or losses recognised in other economic flows </w:t>
            </w:r>
            <w:r>
              <w:br/>
              <w:t>–</w:t>
            </w:r>
            <w:r w:rsidRPr="00BF6E91">
              <w:t xml:space="preserve"> other comprehensive income</w:t>
            </w:r>
          </w:p>
        </w:tc>
      </w:tr>
      <w:tr w:rsidR="00CE75D4" w:rsidRPr="002029AF" w14:paraId="05F8ECB0" w14:textId="77777777" w:rsidTr="6133E834">
        <w:trPr>
          <w:cantSplit w:val="0"/>
        </w:trPr>
        <w:tc>
          <w:tcPr>
            <w:tcW w:w="5952" w:type="dxa"/>
            <w:tcBorders>
              <w:top w:val="single" w:sz="4" w:space="0" w:color="A6A6A6" w:themeColor="background1" w:themeShade="A6"/>
            </w:tcBorders>
            <w:hideMark/>
          </w:tcPr>
          <w:p w14:paraId="4EA7EADF" w14:textId="77777777" w:rsidR="00CE75D4" w:rsidRPr="002029AF" w:rsidRDefault="00CE75D4" w:rsidP="008340C1">
            <w:pPr>
              <w:pStyle w:val="ARfintablebody"/>
              <w:spacing w:before="10" w:after="10" w:line="228" w:lineRule="auto"/>
            </w:pPr>
            <w:r w:rsidRPr="00BF6E91">
              <w:t>Net revaluation increments/(decrements)</w:t>
            </w:r>
          </w:p>
        </w:tc>
        <w:tc>
          <w:tcPr>
            <w:tcW w:w="1417" w:type="dxa"/>
            <w:tcBorders>
              <w:top w:val="single" w:sz="4" w:space="0" w:color="A6A6A6" w:themeColor="background1" w:themeShade="A6"/>
            </w:tcBorders>
            <w:noWrap/>
            <w:hideMark/>
          </w:tcPr>
          <w:p w14:paraId="1AEA438E" w14:textId="77777777" w:rsidR="00CE75D4" w:rsidRPr="002029AF" w:rsidRDefault="00CE75D4" w:rsidP="008340C1">
            <w:pPr>
              <w:pStyle w:val="ARfintablebodyright"/>
              <w:spacing w:before="10" w:after="10" w:line="228" w:lineRule="auto"/>
            </w:pPr>
            <w:r w:rsidRPr="00BF6E91">
              <w:t>56.2</w:t>
            </w:r>
          </w:p>
        </w:tc>
        <w:tc>
          <w:tcPr>
            <w:tcW w:w="1418" w:type="dxa"/>
            <w:tcBorders>
              <w:top w:val="single" w:sz="4" w:space="0" w:color="A6A6A6" w:themeColor="background1" w:themeShade="A6"/>
            </w:tcBorders>
            <w:noWrap/>
            <w:hideMark/>
          </w:tcPr>
          <w:p w14:paraId="282E708F"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tcBorders>
          </w:tcPr>
          <w:p w14:paraId="18A0ECDA" w14:textId="77777777" w:rsidR="00CE75D4" w:rsidRPr="003A0F44" w:rsidRDefault="00CE75D4" w:rsidP="008340C1">
            <w:pPr>
              <w:pStyle w:val="ARfintablebodyright"/>
              <w:spacing w:before="10" w:after="10" w:line="228" w:lineRule="auto"/>
            </w:pPr>
            <w:r>
              <w:t>–</w:t>
            </w:r>
          </w:p>
        </w:tc>
        <w:tc>
          <w:tcPr>
            <w:tcW w:w="1418" w:type="dxa"/>
            <w:tcBorders>
              <w:top w:val="single" w:sz="4" w:space="0" w:color="A6A6A6" w:themeColor="background1" w:themeShade="A6"/>
            </w:tcBorders>
            <w:noWrap/>
            <w:hideMark/>
          </w:tcPr>
          <w:p w14:paraId="70AB24EF"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tcBorders>
            <w:noWrap/>
            <w:hideMark/>
          </w:tcPr>
          <w:p w14:paraId="70B4D870"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tcBorders>
            <w:noWrap/>
            <w:hideMark/>
          </w:tcPr>
          <w:p w14:paraId="64E02504" w14:textId="77777777" w:rsidR="00CE75D4" w:rsidRPr="002029AF" w:rsidRDefault="00CE75D4" w:rsidP="008340C1">
            <w:pPr>
              <w:pStyle w:val="ARfintablebodyright"/>
              <w:spacing w:before="10" w:after="10" w:line="228" w:lineRule="auto"/>
            </w:pPr>
            <w:r w:rsidRPr="00BF6E91">
              <w:t>56.2</w:t>
            </w:r>
          </w:p>
        </w:tc>
      </w:tr>
      <w:tr w:rsidR="00CE75D4" w:rsidRPr="002029AF" w14:paraId="4BE928F3" w14:textId="77777777" w:rsidTr="008340C1">
        <w:trPr>
          <w:cantSplit w:val="0"/>
        </w:trPr>
        <w:tc>
          <w:tcPr>
            <w:tcW w:w="5952" w:type="dxa"/>
            <w:hideMark/>
          </w:tcPr>
          <w:p w14:paraId="399CD46F" w14:textId="77777777" w:rsidR="00CE75D4" w:rsidRPr="002029AF" w:rsidRDefault="00CE75D4" w:rsidP="008340C1">
            <w:pPr>
              <w:pStyle w:val="ARfintablebodybold"/>
              <w:spacing w:before="10" w:after="10" w:line="228" w:lineRule="auto"/>
            </w:pPr>
            <w:r w:rsidRPr="00BF6E91">
              <w:t>Subtotal of gains or losses recognised in other economic flows</w:t>
            </w:r>
          </w:p>
        </w:tc>
        <w:tc>
          <w:tcPr>
            <w:tcW w:w="1417" w:type="dxa"/>
            <w:noWrap/>
            <w:hideMark/>
          </w:tcPr>
          <w:p w14:paraId="508E7E84" w14:textId="77777777" w:rsidR="00CE75D4" w:rsidRPr="002029AF" w:rsidRDefault="00CE75D4" w:rsidP="008340C1">
            <w:pPr>
              <w:pStyle w:val="ARfintablebodyrightbold"/>
              <w:spacing w:before="10" w:after="10" w:line="228" w:lineRule="auto"/>
            </w:pPr>
            <w:r w:rsidRPr="00BF6E91">
              <w:t>56.2</w:t>
            </w:r>
          </w:p>
        </w:tc>
        <w:tc>
          <w:tcPr>
            <w:tcW w:w="1418" w:type="dxa"/>
            <w:noWrap/>
            <w:hideMark/>
          </w:tcPr>
          <w:p w14:paraId="05985FC7" w14:textId="77777777" w:rsidR="00CE75D4" w:rsidRPr="002029AF" w:rsidRDefault="00CE75D4" w:rsidP="008340C1">
            <w:pPr>
              <w:pStyle w:val="ARfintablebodyrightbold"/>
              <w:spacing w:before="10" w:after="10" w:line="228" w:lineRule="auto"/>
            </w:pPr>
            <w:r>
              <w:t>–</w:t>
            </w:r>
          </w:p>
        </w:tc>
        <w:tc>
          <w:tcPr>
            <w:tcW w:w="1418" w:type="dxa"/>
          </w:tcPr>
          <w:p w14:paraId="419F1642" w14:textId="77777777" w:rsidR="00CE75D4" w:rsidRPr="003A0F44" w:rsidRDefault="00CE75D4" w:rsidP="008340C1">
            <w:pPr>
              <w:pStyle w:val="ARfintablebodyrightbold"/>
              <w:spacing w:before="10" w:after="10" w:line="228" w:lineRule="auto"/>
            </w:pPr>
            <w:r>
              <w:t>–</w:t>
            </w:r>
          </w:p>
        </w:tc>
        <w:tc>
          <w:tcPr>
            <w:tcW w:w="1418" w:type="dxa"/>
            <w:noWrap/>
            <w:hideMark/>
          </w:tcPr>
          <w:p w14:paraId="0F25A7F7" w14:textId="77777777" w:rsidR="00CE75D4" w:rsidRPr="002029AF" w:rsidRDefault="00CE75D4" w:rsidP="008340C1">
            <w:pPr>
              <w:pStyle w:val="ARfintablebodyrightbold"/>
              <w:spacing w:before="10" w:after="10" w:line="228" w:lineRule="auto"/>
            </w:pPr>
            <w:r>
              <w:t>–</w:t>
            </w:r>
          </w:p>
        </w:tc>
        <w:tc>
          <w:tcPr>
            <w:tcW w:w="1418" w:type="dxa"/>
            <w:noWrap/>
            <w:hideMark/>
          </w:tcPr>
          <w:p w14:paraId="32A954DF" w14:textId="77777777" w:rsidR="00CE75D4" w:rsidRPr="002029AF" w:rsidRDefault="00CE75D4" w:rsidP="008340C1">
            <w:pPr>
              <w:pStyle w:val="ARfintablebodyrightbold"/>
              <w:spacing w:before="10" w:after="10" w:line="228" w:lineRule="auto"/>
            </w:pPr>
            <w:r>
              <w:t>–</w:t>
            </w:r>
          </w:p>
        </w:tc>
        <w:tc>
          <w:tcPr>
            <w:tcW w:w="1418" w:type="dxa"/>
            <w:noWrap/>
            <w:hideMark/>
          </w:tcPr>
          <w:p w14:paraId="2529B3F3" w14:textId="77777777" w:rsidR="00CE75D4" w:rsidRPr="002029AF" w:rsidRDefault="00CE75D4" w:rsidP="008340C1">
            <w:pPr>
              <w:pStyle w:val="ARfintablebodyrightbold"/>
              <w:spacing w:before="10" w:after="10" w:line="228" w:lineRule="auto"/>
            </w:pPr>
            <w:r w:rsidRPr="00BF6E91">
              <w:t>56.2</w:t>
            </w:r>
          </w:p>
        </w:tc>
      </w:tr>
      <w:tr w:rsidR="00CE75D4" w:rsidRPr="002029AF" w14:paraId="5D18FE7B" w14:textId="77777777" w:rsidTr="008340C1">
        <w:trPr>
          <w:cantSplit w:val="0"/>
        </w:trPr>
        <w:tc>
          <w:tcPr>
            <w:tcW w:w="5952" w:type="dxa"/>
            <w:hideMark/>
          </w:tcPr>
          <w:p w14:paraId="4AD4CA8B" w14:textId="77777777" w:rsidR="00CE75D4" w:rsidRPr="002029AF" w:rsidRDefault="00CE75D4" w:rsidP="008340C1">
            <w:pPr>
              <w:pStyle w:val="ARfintablebodybold"/>
              <w:spacing w:before="10" w:after="10" w:line="228" w:lineRule="auto"/>
            </w:pPr>
            <w:r w:rsidRPr="00BF6E91">
              <w:t>Closing balance</w:t>
            </w:r>
          </w:p>
        </w:tc>
        <w:tc>
          <w:tcPr>
            <w:tcW w:w="1417" w:type="dxa"/>
            <w:noWrap/>
            <w:hideMark/>
          </w:tcPr>
          <w:p w14:paraId="606B0F49" w14:textId="77777777" w:rsidR="00CE75D4" w:rsidRPr="002029AF" w:rsidRDefault="00CE75D4" w:rsidP="008340C1">
            <w:pPr>
              <w:pStyle w:val="ARfintablebodyrightbold"/>
              <w:spacing w:before="10" w:after="10" w:line="228" w:lineRule="auto"/>
            </w:pPr>
            <w:r w:rsidRPr="00BF6E91">
              <w:t>550.7</w:t>
            </w:r>
          </w:p>
        </w:tc>
        <w:tc>
          <w:tcPr>
            <w:tcW w:w="1418" w:type="dxa"/>
            <w:noWrap/>
            <w:hideMark/>
          </w:tcPr>
          <w:p w14:paraId="063646BA" w14:textId="77777777" w:rsidR="00CE75D4" w:rsidRPr="002029AF" w:rsidRDefault="00CE75D4" w:rsidP="008340C1">
            <w:pPr>
              <w:pStyle w:val="ARfintablebodyrightbold"/>
              <w:spacing w:before="10" w:after="10" w:line="228" w:lineRule="auto"/>
            </w:pPr>
            <w:r w:rsidRPr="00BF6E91">
              <w:t>7.7</w:t>
            </w:r>
          </w:p>
        </w:tc>
        <w:tc>
          <w:tcPr>
            <w:tcW w:w="1418" w:type="dxa"/>
          </w:tcPr>
          <w:p w14:paraId="6B4413ED" w14:textId="77777777" w:rsidR="00CE75D4" w:rsidRPr="003A0F44" w:rsidRDefault="00CE75D4" w:rsidP="008340C1">
            <w:pPr>
              <w:pStyle w:val="ARfintablebodyrightbold"/>
              <w:spacing w:before="10" w:after="10" w:line="228" w:lineRule="auto"/>
            </w:pPr>
            <w:r w:rsidRPr="00BF6E91">
              <w:t>491.1</w:t>
            </w:r>
          </w:p>
        </w:tc>
        <w:tc>
          <w:tcPr>
            <w:tcW w:w="1418" w:type="dxa"/>
            <w:noWrap/>
            <w:hideMark/>
          </w:tcPr>
          <w:p w14:paraId="2DBD5A71" w14:textId="77777777" w:rsidR="00CE75D4" w:rsidRPr="002029AF" w:rsidRDefault="00CE75D4" w:rsidP="008340C1">
            <w:pPr>
              <w:pStyle w:val="ARfintablebodyrightbold"/>
              <w:spacing w:before="10" w:after="10" w:line="228" w:lineRule="auto"/>
            </w:pPr>
            <w:r w:rsidRPr="00BF6E91">
              <w:t>4.2</w:t>
            </w:r>
          </w:p>
        </w:tc>
        <w:tc>
          <w:tcPr>
            <w:tcW w:w="1418" w:type="dxa"/>
            <w:noWrap/>
            <w:hideMark/>
          </w:tcPr>
          <w:p w14:paraId="544377BE" w14:textId="77777777" w:rsidR="00CE75D4" w:rsidRPr="002029AF" w:rsidRDefault="00CE75D4" w:rsidP="008340C1">
            <w:pPr>
              <w:pStyle w:val="ARfintablebodyrightbold"/>
              <w:spacing w:before="10" w:after="10" w:line="228" w:lineRule="auto"/>
            </w:pPr>
            <w:r>
              <w:t>–</w:t>
            </w:r>
          </w:p>
        </w:tc>
        <w:tc>
          <w:tcPr>
            <w:tcW w:w="1418" w:type="dxa"/>
            <w:noWrap/>
            <w:hideMark/>
          </w:tcPr>
          <w:p w14:paraId="3B5593EF" w14:textId="77777777" w:rsidR="00CE75D4" w:rsidRPr="002029AF" w:rsidRDefault="00CE75D4" w:rsidP="008340C1">
            <w:pPr>
              <w:pStyle w:val="ARfintablebodyrightbold"/>
              <w:spacing w:before="10" w:after="10" w:line="228" w:lineRule="auto"/>
            </w:pPr>
            <w:r w:rsidRPr="00BF6E91">
              <w:t>1,053.8</w:t>
            </w:r>
          </w:p>
        </w:tc>
      </w:tr>
    </w:tbl>
    <w:p w14:paraId="22E7998A" w14:textId="77777777" w:rsidR="00CE75D4" w:rsidRPr="00696AB0" w:rsidRDefault="00CE75D4" w:rsidP="008340C1">
      <w:pPr>
        <w:pStyle w:val="ARfinbody"/>
      </w:pPr>
    </w:p>
    <w:tbl>
      <w:tblPr>
        <w:tblStyle w:val="TableGrid"/>
        <w:tblW w:w="14459" w:type="dxa"/>
        <w:tblLayout w:type="fixed"/>
        <w:tblLook w:val="06A0" w:firstRow="1" w:lastRow="0" w:firstColumn="1" w:lastColumn="0" w:noHBand="1" w:noVBand="1"/>
      </w:tblPr>
      <w:tblGrid>
        <w:gridCol w:w="5952"/>
        <w:gridCol w:w="1417"/>
        <w:gridCol w:w="1418"/>
        <w:gridCol w:w="1418"/>
        <w:gridCol w:w="1418"/>
        <w:gridCol w:w="1418"/>
        <w:gridCol w:w="1418"/>
      </w:tblGrid>
      <w:tr w:rsidR="00CE75D4" w:rsidRPr="002029AF" w14:paraId="13936B9E"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5952" w:type="dxa"/>
            <w:tcBorders>
              <w:bottom w:val="single" w:sz="4" w:space="0" w:color="auto"/>
            </w:tcBorders>
            <w:hideMark/>
          </w:tcPr>
          <w:p w14:paraId="29FA0958" w14:textId="77777777" w:rsidR="00CE75D4" w:rsidRPr="002029AF" w:rsidRDefault="00CE75D4" w:rsidP="008340C1">
            <w:pPr>
              <w:pStyle w:val="ARfintablecolhead"/>
              <w:spacing w:before="10" w:after="10" w:line="228" w:lineRule="auto"/>
            </w:pPr>
            <w:r>
              <w:t>2021</w:t>
            </w:r>
          </w:p>
        </w:tc>
        <w:tc>
          <w:tcPr>
            <w:tcW w:w="1417" w:type="dxa"/>
            <w:tcBorders>
              <w:bottom w:val="single" w:sz="4" w:space="0" w:color="auto"/>
            </w:tcBorders>
            <w:hideMark/>
          </w:tcPr>
          <w:p w14:paraId="78453002" w14:textId="77777777" w:rsidR="00CE75D4" w:rsidRPr="002029AF" w:rsidRDefault="00CE75D4" w:rsidP="008340C1">
            <w:pPr>
              <w:pStyle w:val="ARfintablecolheadright"/>
              <w:spacing w:before="10" w:after="10" w:line="228" w:lineRule="auto"/>
            </w:pPr>
            <w:r w:rsidRPr="002029AF">
              <w:t>Specialised land</w:t>
            </w:r>
          </w:p>
          <w:p w14:paraId="114FC207" w14:textId="77777777" w:rsidR="00CE75D4" w:rsidRPr="002029AF" w:rsidRDefault="00CE75D4" w:rsidP="008340C1">
            <w:pPr>
              <w:pStyle w:val="ARfintablecolheadright"/>
              <w:spacing w:before="10" w:after="10" w:line="228" w:lineRule="auto"/>
            </w:pPr>
            <w:r w:rsidRPr="002029AF">
              <w:t>$M</w:t>
            </w:r>
          </w:p>
        </w:tc>
        <w:tc>
          <w:tcPr>
            <w:tcW w:w="1418" w:type="dxa"/>
            <w:tcBorders>
              <w:bottom w:val="single" w:sz="4" w:space="0" w:color="auto"/>
            </w:tcBorders>
            <w:hideMark/>
          </w:tcPr>
          <w:p w14:paraId="3BD33F6A" w14:textId="77777777" w:rsidR="00CE75D4" w:rsidRPr="002029AF" w:rsidRDefault="00CE75D4" w:rsidP="008340C1">
            <w:pPr>
              <w:pStyle w:val="ARfintablecolheadright"/>
              <w:spacing w:before="10" w:after="10" w:line="228" w:lineRule="auto"/>
            </w:pPr>
            <w:r>
              <w:t>Non-s</w:t>
            </w:r>
            <w:r w:rsidRPr="002029AF">
              <w:t xml:space="preserve">pecialised </w:t>
            </w:r>
            <w:r w:rsidRPr="002029AF">
              <w:br/>
              <w:t>buildings</w:t>
            </w:r>
          </w:p>
          <w:p w14:paraId="32349A2E" w14:textId="77777777" w:rsidR="00CE75D4" w:rsidRPr="002029AF" w:rsidRDefault="00CE75D4" w:rsidP="008340C1">
            <w:pPr>
              <w:pStyle w:val="ARfintablecolheadright"/>
              <w:spacing w:before="10" w:after="10" w:line="228" w:lineRule="auto"/>
            </w:pPr>
            <w:r w:rsidRPr="002029AF">
              <w:t>$M</w:t>
            </w:r>
          </w:p>
        </w:tc>
        <w:tc>
          <w:tcPr>
            <w:tcW w:w="1418" w:type="dxa"/>
            <w:tcBorders>
              <w:bottom w:val="single" w:sz="4" w:space="0" w:color="auto"/>
            </w:tcBorders>
          </w:tcPr>
          <w:p w14:paraId="270B93EE" w14:textId="77777777" w:rsidR="00CE75D4" w:rsidRPr="002029AF" w:rsidRDefault="00CE75D4" w:rsidP="008340C1">
            <w:pPr>
              <w:pStyle w:val="ARfintablecolheadright"/>
              <w:spacing w:before="10" w:after="10" w:line="228" w:lineRule="auto"/>
            </w:pPr>
            <w:r>
              <w:t>S</w:t>
            </w:r>
            <w:r w:rsidRPr="002029AF">
              <w:t xml:space="preserve">pecialised </w:t>
            </w:r>
            <w:r w:rsidRPr="002029AF">
              <w:br/>
              <w:t>buildings</w:t>
            </w:r>
          </w:p>
          <w:p w14:paraId="0236D44D" w14:textId="77777777" w:rsidR="00CE75D4" w:rsidRPr="002029AF" w:rsidRDefault="00CE75D4" w:rsidP="008340C1">
            <w:pPr>
              <w:pStyle w:val="ARfintablecolheadright"/>
              <w:spacing w:before="10" w:after="10" w:line="228" w:lineRule="auto"/>
            </w:pPr>
            <w:r w:rsidRPr="002029AF">
              <w:t>$M</w:t>
            </w:r>
          </w:p>
        </w:tc>
        <w:tc>
          <w:tcPr>
            <w:tcW w:w="1418" w:type="dxa"/>
            <w:tcBorders>
              <w:bottom w:val="single" w:sz="4" w:space="0" w:color="auto"/>
            </w:tcBorders>
            <w:hideMark/>
          </w:tcPr>
          <w:p w14:paraId="0C7B425A" w14:textId="77777777" w:rsidR="00CE75D4" w:rsidRPr="002029AF" w:rsidRDefault="00CE75D4" w:rsidP="008340C1">
            <w:pPr>
              <w:pStyle w:val="ARfintablecolheadright"/>
              <w:spacing w:before="10" w:after="10" w:line="228" w:lineRule="auto"/>
            </w:pPr>
            <w:r w:rsidRPr="002029AF">
              <w:t>Plant and equipment</w:t>
            </w:r>
          </w:p>
          <w:p w14:paraId="6FAD28E6" w14:textId="77777777" w:rsidR="00CE75D4" w:rsidRPr="002029AF" w:rsidRDefault="00CE75D4" w:rsidP="008340C1">
            <w:pPr>
              <w:pStyle w:val="ARfintablecolheadright"/>
              <w:spacing w:before="10" w:after="10" w:line="228" w:lineRule="auto"/>
            </w:pPr>
            <w:r w:rsidRPr="002029AF">
              <w:t>$M</w:t>
            </w:r>
          </w:p>
        </w:tc>
        <w:tc>
          <w:tcPr>
            <w:tcW w:w="1418" w:type="dxa"/>
            <w:tcBorders>
              <w:bottom w:val="single" w:sz="4" w:space="0" w:color="auto"/>
            </w:tcBorders>
            <w:hideMark/>
          </w:tcPr>
          <w:p w14:paraId="6106E4D9" w14:textId="77777777" w:rsidR="00CE75D4" w:rsidRPr="002029AF" w:rsidRDefault="00CE75D4" w:rsidP="008340C1">
            <w:pPr>
              <w:pStyle w:val="ARfintablecolheadright"/>
              <w:spacing w:before="10" w:after="10" w:line="228" w:lineRule="auto"/>
            </w:pPr>
            <w:r w:rsidRPr="002029AF">
              <w:t>Motor vehicles</w:t>
            </w:r>
          </w:p>
          <w:p w14:paraId="60863990" w14:textId="77777777" w:rsidR="00CE75D4" w:rsidRPr="002029AF" w:rsidRDefault="00CE75D4" w:rsidP="008340C1">
            <w:pPr>
              <w:pStyle w:val="ARfintablecolheadright"/>
              <w:spacing w:before="10" w:after="10" w:line="228" w:lineRule="auto"/>
            </w:pPr>
            <w:r w:rsidRPr="002029AF">
              <w:t>$M</w:t>
            </w:r>
          </w:p>
        </w:tc>
        <w:tc>
          <w:tcPr>
            <w:tcW w:w="1418" w:type="dxa"/>
            <w:tcBorders>
              <w:bottom w:val="single" w:sz="4" w:space="0" w:color="auto"/>
            </w:tcBorders>
            <w:hideMark/>
          </w:tcPr>
          <w:p w14:paraId="185B3643" w14:textId="77777777" w:rsidR="00CE75D4" w:rsidRPr="002029AF" w:rsidRDefault="00CE75D4" w:rsidP="008340C1">
            <w:pPr>
              <w:pStyle w:val="ARfintablecolheadright"/>
              <w:spacing w:before="10" w:after="10" w:line="228" w:lineRule="auto"/>
            </w:pPr>
            <w:r w:rsidRPr="002029AF">
              <w:t>Total</w:t>
            </w:r>
          </w:p>
          <w:p w14:paraId="7E3D5FDC" w14:textId="77777777" w:rsidR="00CE75D4" w:rsidRPr="002029AF" w:rsidRDefault="00CE75D4" w:rsidP="008340C1">
            <w:pPr>
              <w:pStyle w:val="ARfintablecolheadright"/>
              <w:spacing w:before="10" w:after="10" w:line="228" w:lineRule="auto"/>
            </w:pPr>
            <w:r w:rsidRPr="002029AF">
              <w:t>$M</w:t>
            </w:r>
          </w:p>
        </w:tc>
      </w:tr>
      <w:tr w:rsidR="00CE75D4" w:rsidRPr="002029AF" w14:paraId="28B06367" w14:textId="77777777" w:rsidTr="3D493511">
        <w:trPr>
          <w:cantSplit w:val="0"/>
        </w:trPr>
        <w:tc>
          <w:tcPr>
            <w:tcW w:w="5952" w:type="dxa"/>
            <w:tcBorders>
              <w:top w:val="single" w:sz="4" w:space="0" w:color="auto"/>
              <w:bottom w:val="single" w:sz="4" w:space="0" w:color="A6A6A6" w:themeColor="background1" w:themeShade="A6"/>
            </w:tcBorders>
            <w:hideMark/>
          </w:tcPr>
          <w:p w14:paraId="19944712" w14:textId="77777777" w:rsidR="00CE75D4" w:rsidRPr="002029AF" w:rsidRDefault="00CE75D4" w:rsidP="008340C1">
            <w:pPr>
              <w:pStyle w:val="ARfintablebodybold"/>
              <w:spacing w:before="10" w:after="10" w:line="228" w:lineRule="auto"/>
            </w:pPr>
            <w:r w:rsidRPr="00B756C1">
              <w:t>Opening balance</w:t>
            </w:r>
          </w:p>
        </w:tc>
        <w:tc>
          <w:tcPr>
            <w:tcW w:w="1417" w:type="dxa"/>
            <w:tcBorders>
              <w:top w:val="single" w:sz="4" w:space="0" w:color="auto"/>
              <w:bottom w:val="single" w:sz="4" w:space="0" w:color="A6A6A6" w:themeColor="background1" w:themeShade="A6"/>
            </w:tcBorders>
            <w:noWrap/>
            <w:hideMark/>
          </w:tcPr>
          <w:p w14:paraId="687739A1" w14:textId="77777777" w:rsidR="00CE75D4" w:rsidRPr="002029AF" w:rsidRDefault="00CE75D4" w:rsidP="008340C1">
            <w:pPr>
              <w:pStyle w:val="ARfintablebodyrightbold"/>
              <w:spacing w:before="10" w:after="10" w:line="228" w:lineRule="auto"/>
            </w:pPr>
            <w:r w:rsidRPr="00B756C1">
              <w:t>515.5</w:t>
            </w:r>
          </w:p>
        </w:tc>
        <w:tc>
          <w:tcPr>
            <w:tcW w:w="1418" w:type="dxa"/>
            <w:tcBorders>
              <w:top w:val="single" w:sz="4" w:space="0" w:color="auto"/>
              <w:bottom w:val="single" w:sz="4" w:space="0" w:color="A6A6A6" w:themeColor="background1" w:themeShade="A6"/>
            </w:tcBorders>
            <w:noWrap/>
            <w:hideMark/>
          </w:tcPr>
          <w:p w14:paraId="40EAC941" w14:textId="0E59EE9D" w:rsidR="00CE75D4" w:rsidRPr="002029AF" w:rsidRDefault="239255D7" w:rsidP="008340C1">
            <w:pPr>
              <w:pStyle w:val="ARfintablebodyrightbold"/>
              <w:spacing w:before="10" w:after="10" w:line="228" w:lineRule="auto"/>
            </w:pPr>
            <w:r>
              <w:t>–</w:t>
            </w:r>
          </w:p>
        </w:tc>
        <w:tc>
          <w:tcPr>
            <w:tcW w:w="1418" w:type="dxa"/>
            <w:tcBorders>
              <w:top w:val="single" w:sz="4" w:space="0" w:color="auto"/>
              <w:bottom w:val="single" w:sz="4" w:space="0" w:color="A6A6A6" w:themeColor="background1" w:themeShade="A6"/>
            </w:tcBorders>
          </w:tcPr>
          <w:p w14:paraId="0A378E72" w14:textId="77777777" w:rsidR="00CE75D4" w:rsidRPr="003A0F44" w:rsidRDefault="00CE75D4" w:rsidP="008340C1">
            <w:pPr>
              <w:pStyle w:val="ARfintablebodyrightbold"/>
              <w:spacing w:before="10" w:after="10" w:line="228" w:lineRule="auto"/>
            </w:pPr>
            <w:r w:rsidRPr="00B756C1">
              <w:t>703.6</w:t>
            </w:r>
          </w:p>
        </w:tc>
        <w:tc>
          <w:tcPr>
            <w:tcW w:w="1418" w:type="dxa"/>
            <w:tcBorders>
              <w:top w:val="single" w:sz="4" w:space="0" w:color="auto"/>
              <w:bottom w:val="single" w:sz="4" w:space="0" w:color="A6A6A6" w:themeColor="background1" w:themeShade="A6"/>
            </w:tcBorders>
            <w:noWrap/>
            <w:hideMark/>
          </w:tcPr>
          <w:p w14:paraId="10605800" w14:textId="77777777" w:rsidR="00CE75D4" w:rsidRPr="002029AF" w:rsidRDefault="00CE75D4" w:rsidP="008340C1">
            <w:pPr>
              <w:pStyle w:val="ARfintablebodyrightbold"/>
              <w:spacing w:before="10" w:after="10" w:line="228" w:lineRule="auto"/>
            </w:pPr>
            <w:r w:rsidRPr="00B756C1">
              <w:t>7.6</w:t>
            </w:r>
          </w:p>
        </w:tc>
        <w:tc>
          <w:tcPr>
            <w:tcW w:w="1418" w:type="dxa"/>
            <w:tcBorders>
              <w:top w:val="single" w:sz="4" w:space="0" w:color="auto"/>
              <w:bottom w:val="single" w:sz="4" w:space="0" w:color="A6A6A6" w:themeColor="background1" w:themeShade="A6"/>
            </w:tcBorders>
            <w:noWrap/>
            <w:hideMark/>
          </w:tcPr>
          <w:p w14:paraId="5B1CAE66" w14:textId="77777777" w:rsidR="00CE75D4" w:rsidRPr="002029AF" w:rsidRDefault="00CE75D4" w:rsidP="008340C1">
            <w:pPr>
              <w:pStyle w:val="ARfintablebodyrightbold"/>
              <w:spacing w:before="10" w:after="10" w:line="228" w:lineRule="auto"/>
            </w:pPr>
            <w:r w:rsidRPr="00B756C1">
              <w:t>0.4</w:t>
            </w:r>
          </w:p>
        </w:tc>
        <w:tc>
          <w:tcPr>
            <w:tcW w:w="1418" w:type="dxa"/>
            <w:tcBorders>
              <w:top w:val="single" w:sz="4" w:space="0" w:color="auto"/>
              <w:bottom w:val="single" w:sz="4" w:space="0" w:color="A6A6A6" w:themeColor="background1" w:themeShade="A6"/>
            </w:tcBorders>
            <w:noWrap/>
            <w:hideMark/>
          </w:tcPr>
          <w:p w14:paraId="765B53F2" w14:textId="77777777" w:rsidR="00CE75D4" w:rsidRPr="002029AF" w:rsidRDefault="00CE75D4" w:rsidP="008340C1">
            <w:pPr>
              <w:pStyle w:val="ARfintablebodyrightbold"/>
              <w:spacing w:before="10" w:after="10" w:line="228" w:lineRule="auto"/>
            </w:pPr>
            <w:r w:rsidRPr="00B756C1">
              <w:t>1,227.2</w:t>
            </w:r>
          </w:p>
        </w:tc>
      </w:tr>
      <w:tr w:rsidR="00CE75D4" w:rsidRPr="002029AF" w14:paraId="5FB36701" w14:textId="77777777" w:rsidTr="3D493511">
        <w:trPr>
          <w:cantSplit w:val="0"/>
        </w:trPr>
        <w:tc>
          <w:tcPr>
            <w:tcW w:w="5952" w:type="dxa"/>
            <w:tcBorders>
              <w:top w:val="single" w:sz="4" w:space="0" w:color="A6A6A6" w:themeColor="background1" w:themeShade="A6"/>
              <w:bottom w:val="single" w:sz="4" w:space="0" w:color="A6A6A6" w:themeColor="background1" w:themeShade="A6"/>
            </w:tcBorders>
            <w:hideMark/>
          </w:tcPr>
          <w:p w14:paraId="11E21CE5" w14:textId="77777777" w:rsidR="00CE75D4" w:rsidRPr="002029AF" w:rsidRDefault="00CE75D4" w:rsidP="008340C1">
            <w:pPr>
              <w:pStyle w:val="ARfintablebody"/>
              <w:spacing w:before="10" w:after="10" w:line="228" w:lineRule="auto"/>
            </w:pPr>
            <w:r w:rsidRPr="00B756C1">
              <w:t>Additions</w:t>
            </w:r>
          </w:p>
        </w:tc>
        <w:tc>
          <w:tcPr>
            <w:tcW w:w="1417" w:type="dxa"/>
            <w:tcBorders>
              <w:top w:val="single" w:sz="4" w:space="0" w:color="A6A6A6" w:themeColor="background1" w:themeShade="A6"/>
              <w:bottom w:val="single" w:sz="4" w:space="0" w:color="A6A6A6" w:themeColor="background1" w:themeShade="A6"/>
            </w:tcBorders>
            <w:noWrap/>
            <w:hideMark/>
          </w:tcPr>
          <w:p w14:paraId="2A7B32B1" w14:textId="77777777" w:rsidR="00CE75D4" w:rsidRPr="002029AF" w:rsidRDefault="00CE75D4" w:rsidP="008340C1">
            <w:pPr>
              <w:pStyle w:val="ARfintablebodyright"/>
              <w:spacing w:before="10" w:after="10" w:line="228" w:lineRule="auto"/>
            </w:pPr>
            <w:r w:rsidRPr="00B756C1">
              <w:t>93.6</w:t>
            </w:r>
          </w:p>
        </w:tc>
        <w:tc>
          <w:tcPr>
            <w:tcW w:w="1418" w:type="dxa"/>
            <w:tcBorders>
              <w:top w:val="single" w:sz="4" w:space="0" w:color="A6A6A6" w:themeColor="background1" w:themeShade="A6"/>
              <w:bottom w:val="single" w:sz="4" w:space="0" w:color="A6A6A6" w:themeColor="background1" w:themeShade="A6"/>
            </w:tcBorders>
            <w:noWrap/>
            <w:hideMark/>
          </w:tcPr>
          <w:p w14:paraId="53547E4D"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tcPr>
          <w:p w14:paraId="6B7E2D2E" w14:textId="77777777" w:rsidR="00CE75D4" w:rsidRPr="003A0F44"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hideMark/>
          </w:tcPr>
          <w:p w14:paraId="62983C6A"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hideMark/>
          </w:tcPr>
          <w:p w14:paraId="05528E58"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hideMark/>
          </w:tcPr>
          <w:p w14:paraId="4B2B85A8" w14:textId="77777777" w:rsidR="00CE75D4" w:rsidRPr="002029AF" w:rsidRDefault="00CE75D4" w:rsidP="008340C1">
            <w:pPr>
              <w:pStyle w:val="ARfintablebodyright"/>
              <w:spacing w:before="10" w:after="10" w:line="228" w:lineRule="auto"/>
            </w:pPr>
            <w:r w:rsidRPr="00B756C1">
              <w:t>93.6</w:t>
            </w:r>
          </w:p>
        </w:tc>
      </w:tr>
      <w:tr w:rsidR="00CE75D4" w:rsidRPr="002029AF" w14:paraId="1B34A42E" w14:textId="77777777" w:rsidTr="3D493511">
        <w:trPr>
          <w:cantSplit w:val="0"/>
        </w:trPr>
        <w:tc>
          <w:tcPr>
            <w:tcW w:w="5952" w:type="dxa"/>
            <w:tcBorders>
              <w:top w:val="single" w:sz="4" w:space="0" w:color="A6A6A6" w:themeColor="background1" w:themeShade="A6"/>
              <w:bottom w:val="single" w:sz="4" w:space="0" w:color="A6A6A6" w:themeColor="background1" w:themeShade="A6"/>
            </w:tcBorders>
          </w:tcPr>
          <w:p w14:paraId="00837D90" w14:textId="77777777" w:rsidR="00CE75D4" w:rsidRPr="00BF6E91" w:rsidRDefault="00CE75D4" w:rsidP="008340C1">
            <w:pPr>
              <w:pStyle w:val="ARfintablebody"/>
              <w:spacing w:before="10" w:after="10" w:line="228" w:lineRule="auto"/>
            </w:pPr>
            <w:r w:rsidRPr="00B756C1">
              <w:t>Capitalisation of work in progress</w:t>
            </w:r>
          </w:p>
        </w:tc>
        <w:tc>
          <w:tcPr>
            <w:tcW w:w="1417" w:type="dxa"/>
            <w:tcBorders>
              <w:top w:val="single" w:sz="4" w:space="0" w:color="A6A6A6" w:themeColor="background1" w:themeShade="A6"/>
              <w:bottom w:val="single" w:sz="4" w:space="0" w:color="A6A6A6" w:themeColor="background1" w:themeShade="A6"/>
            </w:tcBorders>
            <w:noWrap/>
          </w:tcPr>
          <w:p w14:paraId="4F74BBE1" w14:textId="77777777" w:rsidR="00CE75D4" w:rsidRPr="00BF6E91" w:rsidRDefault="00CE75D4" w:rsidP="008340C1">
            <w:pPr>
              <w:pStyle w:val="ARfintablebodyright"/>
              <w:spacing w:before="10" w:after="10" w:line="228" w:lineRule="auto"/>
            </w:pPr>
            <w:r w:rsidRPr="00B756C1">
              <w:t>2.9</w:t>
            </w:r>
          </w:p>
        </w:tc>
        <w:tc>
          <w:tcPr>
            <w:tcW w:w="1418" w:type="dxa"/>
            <w:tcBorders>
              <w:top w:val="single" w:sz="4" w:space="0" w:color="A6A6A6" w:themeColor="background1" w:themeShade="A6"/>
              <w:bottom w:val="single" w:sz="4" w:space="0" w:color="A6A6A6" w:themeColor="background1" w:themeShade="A6"/>
            </w:tcBorders>
            <w:noWrap/>
          </w:tcPr>
          <w:p w14:paraId="4C5873EA" w14:textId="77777777" w:rsidR="00CE75D4" w:rsidRPr="00BF6E91"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tcPr>
          <w:p w14:paraId="7863C0C1" w14:textId="77777777" w:rsidR="00CE75D4" w:rsidRPr="00BF6E91" w:rsidRDefault="00CE75D4" w:rsidP="008340C1">
            <w:pPr>
              <w:pStyle w:val="ARfintablebodyright"/>
              <w:spacing w:before="10" w:after="10" w:line="228" w:lineRule="auto"/>
            </w:pPr>
            <w:r w:rsidRPr="00B756C1">
              <w:t>58.6</w:t>
            </w:r>
          </w:p>
        </w:tc>
        <w:tc>
          <w:tcPr>
            <w:tcW w:w="1418" w:type="dxa"/>
            <w:tcBorders>
              <w:top w:val="single" w:sz="4" w:space="0" w:color="A6A6A6" w:themeColor="background1" w:themeShade="A6"/>
              <w:bottom w:val="single" w:sz="4" w:space="0" w:color="A6A6A6" w:themeColor="background1" w:themeShade="A6"/>
            </w:tcBorders>
            <w:noWrap/>
          </w:tcPr>
          <w:p w14:paraId="25E6A9C5" w14:textId="77777777" w:rsidR="00CE75D4" w:rsidRPr="00BF6E91" w:rsidRDefault="00CE75D4" w:rsidP="008340C1">
            <w:pPr>
              <w:pStyle w:val="ARfintablebodyright"/>
              <w:spacing w:before="10" w:after="10" w:line="228" w:lineRule="auto"/>
            </w:pPr>
            <w:r w:rsidRPr="00B756C1">
              <w:t>0.7</w:t>
            </w:r>
          </w:p>
        </w:tc>
        <w:tc>
          <w:tcPr>
            <w:tcW w:w="1418" w:type="dxa"/>
            <w:tcBorders>
              <w:top w:val="single" w:sz="4" w:space="0" w:color="A6A6A6" w:themeColor="background1" w:themeShade="A6"/>
              <w:bottom w:val="single" w:sz="4" w:space="0" w:color="A6A6A6" w:themeColor="background1" w:themeShade="A6"/>
            </w:tcBorders>
            <w:noWrap/>
          </w:tcPr>
          <w:p w14:paraId="1D0BB592" w14:textId="77777777" w:rsidR="00CE75D4" w:rsidRPr="00BF6E91"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tcPr>
          <w:p w14:paraId="6541750F" w14:textId="77777777" w:rsidR="00CE75D4" w:rsidRPr="00BF6E91" w:rsidRDefault="00CE75D4" w:rsidP="008340C1">
            <w:pPr>
              <w:pStyle w:val="ARfintablebodyright"/>
              <w:spacing w:before="10" w:after="10" w:line="228" w:lineRule="auto"/>
            </w:pPr>
            <w:r w:rsidRPr="00B756C1">
              <w:t>62.2</w:t>
            </w:r>
          </w:p>
        </w:tc>
      </w:tr>
      <w:tr w:rsidR="00CE75D4" w:rsidRPr="002029AF" w14:paraId="15EEBA48" w14:textId="77777777" w:rsidTr="3D493511">
        <w:trPr>
          <w:cantSplit w:val="0"/>
        </w:trPr>
        <w:tc>
          <w:tcPr>
            <w:tcW w:w="5952" w:type="dxa"/>
            <w:tcBorders>
              <w:top w:val="single" w:sz="4" w:space="0" w:color="A6A6A6" w:themeColor="background1" w:themeShade="A6"/>
              <w:bottom w:val="single" w:sz="4" w:space="0" w:color="A6A6A6" w:themeColor="background1" w:themeShade="A6"/>
            </w:tcBorders>
            <w:hideMark/>
          </w:tcPr>
          <w:p w14:paraId="4D8B497C" w14:textId="77777777" w:rsidR="00CE75D4" w:rsidRPr="002029AF" w:rsidRDefault="00CE75D4" w:rsidP="008340C1">
            <w:pPr>
              <w:pStyle w:val="ARfintablebody"/>
              <w:spacing w:before="10" w:after="10" w:line="228" w:lineRule="auto"/>
            </w:pPr>
            <w:r w:rsidRPr="00B756C1">
              <w:t>Disposals</w:t>
            </w:r>
          </w:p>
        </w:tc>
        <w:tc>
          <w:tcPr>
            <w:tcW w:w="1417" w:type="dxa"/>
            <w:tcBorders>
              <w:top w:val="single" w:sz="4" w:space="0" w:color="A6A6A6" w:themeColor="background1" w:themeShade="A6"/>
              <w:bottom w:val="single" w:sz="4" w:space="0" w:color="A6A6A6" w:themeColor="background1" w:themeShade="A6"/>
            </w:tcBorders>
            <w:noWrap/>
            <w:hideMark/>
          </w:tcPr>
          <w:p w14:paraId="738EEC8A" w14:textId="77777777" w:rsidR="00CE75D4" w:rsidRPr="002029AF" w:rsidRDefault="00CE75D4" w:rsidP="008340C1">
            <w:pPr>
              <w:pStyle w:val="ARfintablebodyright"/>
              <w:spacing w:before="10" w:after="10" w:line="228" w:lineRule="auto"/>
            </w:pPr>
            <w:r w:rsidRPr="00B756C1">
              <w:t>(0.4)</w:t>
            </w:r>
          </w:p>
        </w:tc>
        <w:tc>
          <w:tcPr>
            <w:tcW w:w="1418" w:type="dxa"/>
            <w:tcBorders>
              <w:top w:val="single" w:sz="4" w:space="0" w:color="A6A6A6" w:themeColor="background1" w:themeShade="A6"/>
              <w:bottom w:val="single" w:sz="4" w:space="0" w:color="A6A6A6" w:themeColor="background1" w:themeShade="A6"/>
            </w:tcBorders>
            <w:noWrap/>
            <w:hideMark/>
          </w:tcPr>
          <w:p w14:paraId="4D1569CF"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tcPr>
          <w:p w14:paraId="498917D2" w14:textId="77777777" w:rsidR="00CE75D4" w:rsidRPr="003A0F44" w:rsidRDefault="00CE75D4" w:rsidP="008340C1">
            <w:pPr>
              <w:pStyle w:val="ARfintablebodyright"/>
              <w:spacing w:before="10" w:after="10" w:line="228" w:lineRule="auto"/>
            </w:pPr>
            <w:r w:rsidRPr="00B756C1">
              <w:t>(0.1)</w:t>
            </w:r>
          </w:p>
        </w:tc>
        <w:tc>
          <w:tcPr>
            <w:tcW w:w="1418" w:type="dxa"/>
            <w:tcBorders>
              <w:top w:val="single" w:sz="4" w:space="0" w:color="A6A6A6" w:themeColor="background1" w:themeShade="A6"/>
              <w:bottom w:val="single" w:sz="4" w:space="0" w:color="A6A6A6" w:themeColor="background1" w:themeShade="A6"/>
            </w:tcBorders>
            <w:noWrap/>
            <w:hideMark/>
          </w:tcPr>
          <w:p w14:paraId="2B63A32A"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hideMark/>
          </w:tcPr>
          <w:p w14:paraId="28774DDD"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hideMark/>
          </w:tcPr>
          <w:p w14:paraId="03F2D554" w14:textId="77777777" w:rsidR="00CE75D4" w:rsidRPr="002029AF" w:rsidRDefault="00CE75D4" w:rsidP="008340C1">
            <w:pPr>
              <w:pStyle w:val="ARfintablebodyright"/>
              <w:spacing w:before="10" w:after="10" w:line="228" w:lineRule="auto"/>
            </w:pPr>
            <w:r w:rsidRPr="00B756C1">
              <w:t>(0.4)</w:t>
            </w:r>
          </w:p>
        </w:tc>
      </w:tr>
      <w:tr w:rsidR="00CE75D4" w:rsidRPr="002029AF" w14:paraId="2AA20335" w14:textId="77777777" w:rsidTr="3D493511">
        <w:trPr>
          <w:cantSplit w:val="0"/>
        </w:trPr>
        <w:tc>
          <w:tcPr>
            <w:tcW w:w="5952" w:type="dxa"/>
            <w:tcBorders>
              <w:top w:val="single" w:sz="4" w:space="0" w:color="A6A6A6" w:themeColor="background1" w:themeShade="A6"/>
              <w:bottom w:val="single" w:sz="4" w:space="0" w:color="A6A6A6" w:themeColor="background1" w:themeShade="A6"/>
            </w:tcBorders>
            <w:hideMark/>
          </w:tcPr>
          <w:p w14:paraId="026D0991" w14:textId="77777777" w:rsidR="00CE75D4" w:rsidRPr="002029AF" w:rsidRDefault="00CE75D4" w:rsidP="008340C1">
            <w:pPr>
              <w:pStyle w:val="ARfintablebody"/>
              <w:spacing w:before="10" w:after="10" w:line="228" w:lineRule="auto"/>
            </w:pPr>
            <w:r w:rsidRPr="00B756C1">
              <w:t>Administrative instrument transfers</w:t>
            </w:r>
          </w:p>
        </w:tc>
        <w:tc>
          <w:tcPr>
            <w:tcW w:w="1417" w:type="dxa"/>
            <w:tcBorders>
              <w:top w:val="single" w:sz="4" w:space="0" w:color="A6A6A6" w:themeColor="background1" w:themeShade="A6"/>
              <w:bottom w:val="single" w:sz="4" w:space="0" w:color="A6A6A6" w:themeColor="background1" w:themeShade="A6"/>
            </w:tcBorders>
            <w:noWrap/>
            <w:hideMark/>
          </w:tcPr>
          <w:p w14:paraId="2C14B600" w14:textId="77777777" w:rsidR="00CE75D4" w:rsidRPr="002029AF" w:rsidRDefault="00CE75D4" w:rsidP="008340C1">
            <w:pPr>
              <w:pStyle w:val="ARfintablebodyright"/>
              <w:spacing w:before="10" w:after="10" w:line="228" w:lineRule="auto"/>
            </w:pPr>
            <w:r w:rsidRPr="00B756C1">
              <w:t>(1.3)</w:t>
            </w:r>
          </w:p>
        </w:tc>
        <w:tc>
          <w:tcPr>
            <w:tcW w:w="1418" w:type="dxa"/>
            <w:tcBorders>
              <w:top w:val="single" w:sz="4" w:space="0" w:color="A6A6A6" w:themeColor="background1" w:themeShade="A6"/>
              <w:bottom w:val="single" w:sz="4" w:space="0" w:color="A6A6A6" w:themeColor="background1" w:themeShade="A6"/>
            </w:tcBorders>
            <w:noWrap/>
            <w:hideMark/>
          </w:tcPr>
          <w:p w14:paraId="3196EBEE"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tcPr>
          <w:p w14:paraId="05E5D059" w14:textId="77777777" w:rsidR="00CE75D4" w:rsidRPr="003A0F44" w:rsidRDefault="00CE75D4" w:rsidP="008340C1">
            <w:pPr>
              <w:pStyle w:val="ARfintablebodyright"/>
              <w:spacing w:before="10" w:after="10" w:line="228" w:lineRule="auto"/>
            </w:pPr>
            <w:r w:rsidRPr="00B756C1">
              <w:t>(78.4)</w:t>
            </w:r>
          </w:p>
        </w:tc>
        <w:tc>
          <w:tcPr>
            <w:tcW w:w="1418" w:type="dxa"/>
            <w:tcBorders>
              <w:top w:val="single" w:sz="4" w:space="0" w:color="A6A6A6" w:themeColor="background1" w:themeShade="A6"/>
              <w:bottom w:val="single" w:sz="4" w:space="0" w:color="A6A6A6" w:themeColor="background1" w:themeShade="A6"/>
            </w:tcBorders>
            <w:noWrap/>
            <w:hideMark/>
          </w:tcPr>
          <w:p w14:paraId="5C76935D" w14:textId="77777777" w:rsidR="00CE75D4" w:rsidRPr="002029AF" w:rsidRDefault="00CE75D4" w:rsidP="008340C1">
            <w:pPr>
              <w:pStyle w:val="ARfintablebodyright"/>
              <w:spacing w:before="10" w:after="10" w:line="228" w:lineRule="auto"/>
            </w:pPr>
            <w:r w:rsidRPr="00B756C1">
              <w:t>(3.1)</w:t>
            </w:r>
          </w:p>
        </w:tc>
        <w:tc>
          <w:tcPr>
            <w:tcW w:w="1418" w:type="dxa"/>
            <w:tcBorders>
              <w:top w:val="single" w:sz="4" w:space="0" w:color="A6A6A6" w:themeColor="background1" w:themeShade="A6"/>
              <w:bottom w:val="single" w:sz="4" w:space="0" w:color="A6A6A6" w:themeColor="background1" w:themeShade="A6"/>
            </w:tcBorders>
            <w:noWrap/>
            <w:hideMark/>
          </w:tcPr>
          <w:p w14:paraId="4C0036FE"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hideMark/>
          </w:tcPr>
          <w:p w14:paraId="3F4A90CE" w14:textId="77777777" w:rsidR="00CE75D4" w:rsidRPr="002029AF" w:rsidRDefault="00CE75D4" w:rsidP="008340C1">
            <w:pPr>
              <w:pStyle w:val="ARfintablebodyright"/>
              <w:spacing w:before="10" w:after="10" w:line="228" w:lineRule="auto"/>
            </w:pPr>
            <w:r w:rsidRPr="00B756C1">
              <w:t>(82.7)</w:t>
            </w:r>
          </w:p>
        </w:tc>
      </w:tr>
      <w:tr w:rsidR="00CE75D4" w:rsidRPr="002029AF" w14:paraId="79EBB572" w14:textId="77777777" w:rsidTr="3D493511">
        <w:trPr>
          <w:cantSplit w:val="0"/>
        </w:trPr>
        <w:tc>
          <w:tcPr>
            <w:tcW w:w="5952" w:type="dxa"/>
            <w:tcBorders>
              <w:top w:val="single" w:sz="4" w:space="0" w:color="A6A6A6" w:themeColor="background1" w:themeShade="A6"/>
              <w:bottom w:val="single" w:sz="4" w:space="0" w:color="A6A6A6" w:themeColor="background1" w:themeShade="A6"/>
            </w:tcBorders>
          </w:tcPr>
          <w:p w14:paraId="2461CFF6" w14:textId="77777777" w:rsidR="00CE75D4" w:rsidRPr="002029AF" w:rsidRDefault="00CE75D4" w:rsidP="008340C1">
            <w:pPr>
              <w:pStyle w:val="ARfintablebody"/>
              <w:spacing w:before="10" w:after="10" w:line="228" w:lineRule="auto"/>
            </w:pPr>
            <w:r w:rsidRPr="00B756C1">
              <w:t>Transfers in/(out) of Level 3</w:t>
            </w:r>
          </w:p>
        </w:tc>
        <w:tc>
          <w:tcPr>
            <w:tcW w:w="1417" w:type="dxa"/>
            <w:tcBorders>
              <w:top w:val="single" w:sz="4" w:space="0" w:color="A6A6A6" w:themeColor="background1" w:themeShade="A6"/>
              <w:bottom w:val="single" w:sz="4" w:space="0" w:color="A6A6A6" w:themeColor="background1" w:themeShade="A6"/>
            </w:tcBorders>
            <w:noWrap/>
          </w:tcPr>
          <w:p w14:paraId="5773E3B0"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tcPr>
          <w:p w14:paraId="13F2B02E"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tcPr>
          <w:p w14:paraId="605D94FF" w14:textId="77777777" w:rsidR="00CE75D4" w:rsidRPr="003A0F44" w:rsidRDefault="00CE75D4" w:rsidP="008340C1">
            <w:pPr>
              <w:pStyle w:val="ARfintablebodyright"/>
              <w:spacing w:before="10" w:after="10" w:line="228" w:lineRule="auto"/>
            </w:pPr>
            <w:r w:rsidRPr="00B756C1">
              <w:t>(2.8)</w:t>
            </w:r>
          </w:p>
        </w:tc>
        <w:tc>
          <w:tcPr>
            <w:tcW w:w="1418" w:type="dxa"/>
            <w:tcBorders>
              <w:top w:val="single" w:sz="4" w:space="0" w:color="A6A6A6" w:themeColor="background1" w:themeShade="A6"/>
              <w:bottom w:val="single" w:sz="4" w:space="0" w:color="A6A6A6" w:themeColor="background1" w:themeShade="A6"/>
            </w:tcBorders>
            <w:noWrap/>
          </w:tcPr>
          <w:p w14:paraId="0129F500"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tcPr>
          <w:p w14:paraId="41A8A5DD"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tcPr>
          <w:p w14:paraId="7DEFF735" w14:textId="77777777" w:rsidR="00CE75D4" w:rsidRPr="002029AF" w:rsidRDefault="00CE75D4" w:rsidP="008340C1">
            <w:pPr>
              <w:pStyle w:val="ARfintablebodyright"/>
              <w:spacing w:before="10" w:after="10" w:line="228" w:lineRule="auto"/>
            </w:pPr>
            <w:r w:rsidRPr="00B756C1">
              <w:t>(2.8)</w:t>
            </w:r>
          </w:p>
        </w:tc>
      </w:tr>
      <w:tr w:rsidR="00CE75D4" w:rsidRPr="002029AF" w14:paraId="3380D890" w14:textId="77777777" w:rsidTr="3D493511">
        <w:trPr>
          <w:cantSplit w:val="0"/>
        </w:trPr>
        <w:tc>
          <w:tcPr>
            <w:tcW w:w="14459" w:type="dxa"/>
            <w:gridSpan w:val="7"/>
            <w:tcBorders>
              <w:top w:val="single" w:sz="4" w:space="0" w:color="A6A6A6" w:themeColor="background1" w:themeShade="A6"/>
              <w:bottom w:val="single" w:sz="4" w:space="0" w:color="A6A6A6" w:themeColor="background1" w:themeShade="A6"/>
            </w:tcBorders>
          </w:tcPr>
          <w:p w14:paraId="629CC6BB" w14:textId="77777777" w:rsidR="00CE75D4" w:rsidRPr="002029AF" w:rsidRDefault="00CE75D4" w:rsidP="008340C1">
            <w:pPr>
              <w:pStyle w:val="ARfintablebodybold"/>
              <w:spacing w:before="10" w:after="10" w:line="228" w:lineRule="auto"/>
            </w:pPr>
            <w:r w:rsidRPr="00B756C1">
              <w:t>Gains or losses recognised in net result</w:t>
            </w:r>
          </w:p>
        </w:tc>
      </w:tr>
      <w:tr w:rsidR="00CE75D4" w:rsidRPr="002029AF" w14:paraId="0028C3BF" w14:textId="77777777" w:rsidTr="3D493511">
        <w:trPr>
          <w:cantSplit w:val="0"/>
        </w:trPr>
        <w:tc>
          <w:tcPr>
            <w:tcW w:w="5952" w:type="dxa"/>
            <w:tcBorders>
              <w:top w:val="single" w:sz="4" w:space="0" w:color="A6A6A6" w:themeColor="background1" w:themeShade="A6"/>
              <w:bottom w:val="single" w:sz="4" w:space="0" w:color="A6A6A6" w:themeColor="background1" w:themeShade="A6"/>
            </w:tcBorders>
            <w:hideMark/>
          </w:tcPr>
          <w:p w14:paraId="7100E3FA" w14:textId="77777777" w:rsidR="00CE75D4" w:rsidRPr="002029AF" w:rsidRDefault="00CE75D4" w:rsidP="008340C1">
            <w:pPr>
              <w:pStyle w:val="ARfintablebody"/>
              <w:spacing w:before="10" w:after="10" w:line="228" w:lineRule="auto"/>
            </w:pPr>
            <w:r w:rsidRPr="00B756C1">
              <w:t>Depreciation</w:t>
            </w:r>
          </w:p>
        </w:tc>
        <w:tc>
          <w:tcPr>
            <w:tcW w:w="1417" w:type="dxa"/>
            <w:tcBorders>
              <w:top w:val="single" w:sz="4" w:space="0" w:color="A6A6A6" w:themeColor="background1" w:themeShade="A6"/>
              <w:bottom w:val="single" w:sz="4" w:space="0" w:color="A6A6A6" w:themeColor="background1" w:themeShade="A6"/>
            </w:tcBorders>
            <w:noWrap/>
            <w:hideMark/>
          </w:tcPr>
          <w:p w14:paraId="4A36DB97"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noWrap/>
            <w:hideMark/>
          </w:tcPr>
          <w:p w14:paraId="35930DBE"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bottom w:val="single" w:sz="4" w:space="0" w:color="A6A6A6" w:themeColor="background1" w:themeShade="A6"/>
            </w:tcBorders>
          </w:tcPr>
          <w:p w14:paraId="6582FC5A" w14:textId="77777777" w:rsidR="00CE75D4" w:rsidRPr="003A0F44" w:rsidRDefault="00CE75D4" w:rsidP="008340C1">
            <w:pPr>
              <w:pStyle w:val="ARfintablebodyright"/>
              <w:spacing w:before="10" w:after="10" w:line="228" w:lineRule="auto"/>
            </w:pPr>
            <w:r w:rsidRPr="00B756C1">
              <w:t>(35.1)</w:t>
            </w:r>
          </w:p>
        </w:tc>
        <w:tc>
          <w:tcPr>
            <w:tcW w:w="1418" w:type="dxa"/>
            <w:tcBorders>
              <w:top w:val="single" w:sz="4" w:space="0" w:color="A6A6A6" w:themeColor="background1" w:themeShade="A6"/>
              <w:bottom w:val="single" w:sz="4" w:space="0" w:color="A6A6A6" w:themeColor="background1" w:themeShade="A6"/>
            </w:tcBorders>
            <w:noWrap/>
            <w:hideMark/>
          </w:tcPr>
          <w:p w14:paraId="6D17E9BA" w14:textId="77777777" w:rsidR="00CE75D4" w:rsidRPr="002029AF" w:rsidRDefault="00CE75D4" w:rsidP="008340C1">
            <w:pPr>
              <w:pStyle w:val="ARfintablebodyright"/>
              <w:spacing w:before="10" w:after="10" w:line="228" w:lineRule="auto"/>
            </w:pPr>
            <w:r w:rsidRPr="00B756C1">
              <w:t>(2.5)</w:t>
            </w:r>
          </w:p>
        </w:tc>
        <w:tc>
          <w:tcPr>
            <w:tcW w:w="1418" w:type="dxa"/>
            <w:tcBorders>
              <w:top w:val="single" w:sz="4" w:space="0" w:color="A6A6A6" w:themeColor="background1" w:themeShade="A6"/>
              <w:bottom w:val="single" w:sz="4" w:space="0" w:color="A6A6A6" w:themeColor="background1" w:themeShade="A6"/>
            </w:tcBorders>
            <w:noWrap/>
            <w:hideMark/>
          </w:tcPr>
          <w:p w14:paraId="496E6707" w14:textId="77777777" w:rsidR="00CE75D4" w:rsidRPr="002029AF" w:rsidRDefault="00CE75D4" w:rsidP="008340C1">
            <w:pPr>
              <w:pStyle w:val="ARfintablebodyright"/>
              <w:spacing w:before="10" w:after="10" w:line="228" w:lineRule="auto"/>
            </w:pPr>
            <w:r w:rsidRPr="00B756C1">
              <w:t>(0.1)</w:t>
            </w:r>
          </w:p>
        </w:tc>
        <w:tc>
          <w:tcPr>
            <w:tcW w:w="1418" w:type="dxa"/>
            <w:tcBorders>
              <w:top w:val="single" w:sz="4" w:space="0" w:color="A6A6A6" w:themeColor="background1" w:themeShade="A6"/>
              <w:bottom w:val="single" w:sz="4" w:space="0" w:color="A6A6A6" w:themeColor="background1" w:themeShade="A6"/>
            </w:tcBorders>
            <w:noWrap/>
            <w:hideMark/>
          </w:tcPr>
          <w:p w14:paraId="2B7344F2" w14:textId="77777777" w:rsidR="00CE75D4" w:rsidRPr="002029AF" w:rsidRDefault="00CE75D4" w:rsidP="008340C1">
            <w:pPr>
              <w:pStyle w:val="ARfintablebodyright"/>
              <w:spacing w:before="10" w:after="10" w:line="228" w:lineRule="auto"/>
            </w:pPr>
            <w:r w:rsidRPr="00B756C1">
              <w:t>(37.7)</w:t>
            </w:r>
          </w:p>
        </w:tc>
      </w:tr>
      <w:tr w:rsidR="00CE75D4" w:rsidRPr="002029AF" w14:paraId="44A0D8A5" w14:textId="77777777" w:rsidTr="008340C1">
        <w:trPr>
          <w:cantSplit w:val="0"/>
        </w:trPr>
        <w:tc>
          <w:tcPr>
            <w:tcW w:w="5952" w:type="dxa"/>
            <w:tcBorders>
              <w:bottom w:val="single" w:sz="4" w:space="0" w:color="auto"/>
            </w:tcBorders>
            <w:hideMark/>
          </w:tcPr>
          <w:p w14:paraId="36EA22F8" w14:textId="77777777" w:rsidR="00CE75D4" w:rsidRPr="002029AF" w:rsidRDefault="00CE75D4" w:rsidP="008340C1">
            <w:pPr>
              <w:pStyle w:val="ARfintablebodybold"/>
              <w:spacing w:before="10" w:after="10" w:line="228" w:lineRule="auto"/>
            </w:pPr>
            <w:r w:rsidRPr="00B756C1">
              <w:t>Subtotal of gains or losses recognised in net result</w:t>
            </w:r>
          </w:p>
        </w:tc>
        <w:tc>
          <w:tcPr>
            <w:tcW w:w="1417" w:type="dxa"/>
            <w:tcBorders>
              <w:bottom w:val="single" w:sz="4" w:space="0" w:color="auto"/>
            </w:tcBorders>
            <w:noWrap/>
            <w:hideMark/>
          </w:tcPr>
          <w:p w14:paraId="4F4C60DB" w14:textId="77777777" w:rsidR="00CE75D4" w:rsidRPr="002029AF" w:rsidRDefault="00CE75D4" w:rsidP="008340C1">
            <w:pPr>
              <w:pStyle w:val="ARfintablebodyrightbold"/>
              <w:spacing w:before="10" w:after="10" w:line="228" w:lineRule="auto"/>
            </w:pPr>
            <w:r>
              <w:t>–</w:t>
            </w:r>
          </w:p>
        </w:tc>
        <w:tc>
          <w:tcPr>
            <w:tcW w:w="1418" w:type="dxa"/>
            <w:tcBorders>
              <w:bottom w:val="single" w:sz="4" w:space="0" w:color="auto"/>
            </w:tcBorders>
            <w:noWrap/>
            <w:hideMark/>
          </w:tcPr>
          <w:p w14:paraId="402C94D7" w14:textId="77777777" w:rsidR="00CE75D4" w:rsidRPr="002029AF" w:rsidRDefault="00CE75D4" w:rsidP="008340C1">
            <w:pPr>
              <w:pStyle w:val="ARfintablebodyrightbold"/>
              <w:spacing w:before="10" w:after="10" w:line="228" w:lineRule="auto"/>
            </w:pPr>
            <w:r>
              <w:t>–</w:t>
            </w:r>
          </w:p>
        </w:tc>
        <w:tc>
          <w:tcPr>
            <w:tcW w:w="1418" w:type="dxa"/>
            <w:tcBorders>
              <w:bottom w:val="single" w:sz="4" w:space="0" w:color="auto"/>
            </w:tcBorders>
          </w:tcPr>
          <w:p w14:paraId="0956C96F" w14:textId="77777777" w:rsidR="00CE75D4" w:rsidRPr="003A0F44" w:rsidRDefault="00CE75D4" w:rsidP="008340C1">
            <w:pPr>
              <w:pStyle w:val="ARfintablebodyrightbold"/>
              <w:spacing w:before="10" w:after="10" w:line="228" w:lineRule="auto"/>
            </w:pPr>
            <w:r w:rsidRPr="00B756C1">
              <w:t>(35.1)</w:t>
            </w:r>
          </w:p>
        </w:tc>
        <w:tc>
          <w:tcPr>
            <w:tcW w:w="1418" w:type="dxa"/>
            <w:tcBorders>
              <w:bottom w:val="single" w:sz="4" w:space="0" w:color="auto"/>
            </w:tcBorders>
            <w:noWrap/>
            <w:hideMark/>
          </w:tcPr>
          <w:p w14:paraId="617A6C2E" w14:textId="77777777" w:rsidR="00CE75D4" w:rsidRPr="002029AF" w:rsidRDefault="00CE75D4" w:rsidP="008340C1">
            <w:pPr>
              <w:pStyle w:val="ARfintablebodyrightbold"/>
              <w:spacing w:before="10" w:after="10" w:line="228" w:lineRule="auto"/>
            </w:pPr>
            <w:r w:rsidRPr="00B756C1">
              <w:t>(2.5)</w:t>
            </w:r>
          </w:p>
        </w:tc>
        <w:tc>
          <w:tcPr>
            <w:tcW w:w="1418" w:type="dxa"/>
            <w:tcBorders>
              <w:bottom w:val="single" w:sz="4" w:space="0" w:color="auto"/>
            </w:tcBorders>
            <w:noWrap/>
            <w:hideMark/>
          </w:tcPr>
          <w:p w14:paraId="30951E24" w14:textId="77777777" w:rsidR="00CE75D4" w:rsidRPr="002029AF" w:rsidRDefault="00CE75D4" w:rsidP="008340C1">
            <w:pPr>
              <w:pStyle w:val="ARfintablebodyrightbold"/>
              <w:spacing w:before="10" w:after="10" w:line="228" w:lineRule="auto"/>
            </w:pPr>
            <w:r w:rsidRPr="00B756C1">
              <w:t>(0.1)</w:t>
            </w:r>
          </w:p>
        </w:tc>
        <w:tc>
          <w:tcPr>
            <w:tcW w:w="1418" w:type="dxa"/>
            <w:tcBorders>
              <w:bottom w:val="single" w:sz="4" w:space="0" w:color="auto"/>
            </w:tcBorders>
            <w:noWrap/>
            <w:hideMark/>
          </w:tcPr>
          <w:p w14:paraId="63B22776" w14:textId="77777777" w:rsidR="00CE75D4" w:rsidRPr="002029AF" w:rsidRDefault="00CE75D4" w:rsidP="008340C1">
            <w:pPr>
              <w:pStyle w:val="ARfintablebodyrightbold"/>
              <w:spacing w:before="10" w:after="10" w:line="228" w:lineRule="auto"/>
            </w:pPr>
            <w:r w:rsidRPr="00B756C1">
              <w:t>(37.7)</w:t>
            </w:r>
          </w:p>
        </w:tc>
      </w:tr>
      <w:tr w:rsidR="00CE75D4" w:rsidRPr="002029AF" w14:paraId="57533315" w14:textId="77777777" w:rsidTr="3D493511">
        <w:trPr>
          <w:cantSplit w:val="0"/>
        </w:trPr>
        <w:tc>
          <w:tcPr>
            <w:tcW w:w="14459" w:type="dxa"/>
            <w:gridSpan w:val="7"/>
            <w:tcBorders>
              <w:top w:val="single" w:sz="4" w:space="0" w:color="auto"/>
              <w:bottom w:val="single" w:sz="4" w:space="0" w:color="A6A6A6" w:themeColor="background1" w:themeShade="A6"/>
            </w:tcBorders>
          </w:tcPr>
          <w:p w14:paraId="69A418AA" w14:textId="77777777" w:rsidR="00CE75D4" w:rsidRPr="002029AF" w:rsidRDefault="00CE75D4" w:rsidP="008340C1">
            <w:pPr>
              <w:pStyle w:val="ARfintablebodybold"/>
              <w:spacing w:before="10" w:after="10" w:line="228" w:lineRule="auto"/>
            </w:pPr>
            <w:r w:rsidRPr="00B756C1">
              <w:t xml:space="preserve">Gains or losses recognised in other economic flows </w:t>
            </w:r>
            <w:r>
              <w:br/>
            </w:r>
            <w:r w:rsidRPr="00B756C1">
              <w:t>– other comprehensive income</w:t>
            </w:r>
          </w:p>
        </w:tc>
      </w:tr>
      <w:tr w:rsidR="00CE75D4" w:rsidRPr="002029AF" w14:paraId="217C372E" w14:textId="77777777" w:rsidTr="3D493511">
        <w:trPr>
          <w:cantSplit w:val="0"/>
        </w:trPr>
        <w:tc>
          <w:tcPr>
            <w:tcW w:w="5952" w:type="dxa"/>
            <w:tcBorders>
              <w:top w:val="single" w:sz="4" w:space="0" w:color="A6A6A6" w:themeColor="background1" w:themeShade="A6"/>
            </w:tcBorders>
            <w:hideMark/>
          </w:tcPr>
          <w:p w14:paraId="2DDB9A1A" w14:textId="77777777" w:rsidR="00CE75D4" w:rsidRPr="002029AF" w:rsidRDefault="00CE75D4" w:rsidP="008340C1">
            <w:pPr>
              <w:pStyle w:val="ARfintablebody"/>
              <w:spacing w:before="10" w:after="10" w:line="228" w:lineRule="auto"/>
            </w:pPr>
            <w:r w:rsidRPr="00B756C1">
              <w:t>Net revaluation increments/(decrements)</w:t>
            </w:r>
          </w:p>
        </w:tc>
        <w:tc>
          <w:tcPr>
            <w:tcW w:w="1417" w:type="dxa"/>
            <w:tcBorders>
              <w:top w:val="single" w:sz="4" w:space="0" w:color="A6A6A6" w:themeColor="background1" w:themeShade="A6"/>
            </w:tcBorders>
            <w:noWrap/>
            <w:hideMark/>
          </w:tcPr>
          <w:p w14:paraId="5CB39961" w14:textId="77777777" w:rsidR="00CE75D4" w:rsidRPr="002029AF" w:rsidRDefault="00CE75D4" w:rsidP="008340C1">
            <w:pPr>
              <w:pStyle w:val="ARfintablebodyright"/>
              <w:spacing w:before="10" w:after="10" w:line="228" w:lineRule="auto"/>
            </w:pPr>
            <w:r w:rsidRPr="00B756C1">
              <w:t>36.1</w:t>
            </w:r>
          </w:p>
        </w:tc>
        <w:tc>
          <w:tcPr>
            <w:tcW w:w="1418" w:type="dxa"/>
            <w:tcBorders>
              <w:top w:val="single" w:sz="4" w:space="0" w:color="A6A6A6" w:themeColor="background1" w:themeShade="A6"/>
            </w:tcBorders>
            <w:noWrap/>
            <w:hideMark/>
          </w:tcPr>
          <w:p w14:paraId="71101872"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tcBorders>
          </w:tcPr>
          <w:p w14:paraId="1186B112" w14:textId="77777777" w:rsidR="00CE75D4" w:rsidRPr="003A0F44" w:rsidRDefault="00CE75D4" w:rsidP="008340C1">
            <w:pPr>
              <w:pStyle w:val="ARfintablebodyright"/>
              <w:spacing w:before="10" w:after="10" w:line="228" w:lineRule="auto"/>
            </w:pPr>
            <w:r w:rsidRPr="00B756C1">
              <w:t>(1.7)</w:t>
            </w:r>
          </w:p>
        </w:tc>
        <w:tc>
          <w:tcPr>
            <w:tcW w:w="1418" w:type="dxa"/>
            <w:tcBorders>
              <w:top w:val="single" w:sz="4" w:space="0" w:color="A6A6A6" w:themeColor="background1" w:themeShade="A6"/>
            </w:tcBorders>
            <w:noWrap/>
            <w:hideMark/>
          </w:tcPr>
          <w:p w14:paraId="7743C957"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tcBorders>
            <w:noWrap/>
            <w:hideMark/>
          </w:tcPr>
          <w:p w14:paraId="7E900B95" w14:textId="77777777" w:rsidR="00CE75D4" w:rsidRPr="002029AF" w:rsidRDefault="00CE75D4" w:rsidP="008340C1">
            <w:pPr>
              <w:pStyle w:val="ARfintablebodyright"/>
              <w:spacing w:before="10" w:after="10" w:line="228" w:lineRule="auto"/>
            </w:pPr>
            <w:r>
              <w:t>–</w:t>
            </w:r>
          </w:p>
        </w:tc>
        <w:tc>
          <w:tcPr>
            <w:tcW w:w="1418" w:type="dxa"/>
            <w:tcBorders>
              <w:top w:val="single" w:sz="4" w:space="0" w:color="A6A6A6" w:themeColor="background1" w:themeShade="A6"/>
            </w:tcBorders>
            <w:noWrap/>
            <w:hideMark/>
          </w:tcPr>
          <w:p w14:paraId="7719526E" w14:textId="77777777" w:rsidR="00CE75D4" w:rsidRPr="002029AF" w:rsidRDefault="00CE75D4" w:rsidP="008340C1">
            <w:pPr>
              <w:pStyle w:val="ARfintablebodyright"/>
              <w:spacing w:before="10" w:after="10" w:line="228" w:lineRule="auto"/>
            </w:pPr>
            <w:r w:rsidRPr="00B756C1">
              <w:t>34.5</w:t>
            </w:r>
          </w:p>
        </w:tc>
      </w:tr>
      <w:tr w:rsidR="00CE75D4" w:rsidRPr="002029AF" w14:paraId="157C7A46" w14:textId="77777777" w:rsidTr="008340C1">
        <w:trPr>
          <w:cantSplit w:val="0"/>
        </w:trPr>
        <w:tc>
          <w:tcPr>
            <w:tcW w:w="5952" w:type="dxa"/>
            <w:hideMark/>
          </w:tcPr>
          <w:p w14:paraId="355DA4DF" w14:textId="77777777" w:rsidR="00CE75D4" w:rsidRPr="002029AF" w:rsidRDefault="00CE75D4" w:rsidP="008340C1">
            <w:pPr>
              <w:pStyle w:val="ARfintablebodybold"/>
              <w:spacing w:before="10" w:after="10" w:line="228" w:lineRule="auto"/>
            </w:pPr>
            <w:r w:rsidRPr="00B756C1">
              <w:t>Subtotal of gains or losses recognised in other economic flows</w:t>
            </w:r>
          </w:p>
        </w:tc>
        <w:tc>
          <w:tcPr>
            <w:tcW w:w="1417" w:type="dxa"/>
            <w:noWrap/>
            <w:hideMark/>
          </w:tcPr>
          <w:p w14:paraId="648ACB96" w14:textId="77777777" w:rsidR="00CE75D4" w:rsidRPr="002029AF" w:rsidRDefault="00CE75D4" w:rsidP="008340C1">
            <w:pPr>
              <w:pStyle w:val="ARfintablebodyrightbold"/>
              <w:spacing w:before="10" w:after="10" w:line="228" w:lineRule="auto"/>
            </w:pPr>
            <w:r w:rsidRPr="00B756C1">
              <w:t>36.1</w:t>
            </w:r>
          </w:p>
        </w:tc>
        <w:tc>
          <w:tcPr>
            <w:tcW w:w="1418" w:type="dxa"/>
            <w:noWrap/>
            <w:hideMark/>
          </w:tcPr>
          <w:p w14:paraId="3BB12BC2" w14:textId="77777777" w:rsidR="00CE75D4" w:rsidRPr="002029AF" w:rsidRDefault="00CE75D4" w:rsidP="008340C1">
            <w:pPr>
              <w:pStyle w:val="ARfintablebodyrightbold"/>
              <w:spacing w:before="10" w:after="10" w:line="228" w:lineRule="auto"/>
            </w:pPr>
            <w:r>
              <w:t>–</w:t>
            </w:r>
          </w:p>
        </w:tc>
        <w:tc>
          <w:tcPr>
            <w:tcW w:w="1418" w:type="dxa"/>
          </w:tcPr>
          <w:p w14:paraId="16E88B65" w14:textId="77777777" w:rsidR="00CE75D4" w:rsidRPr="003A0F44" w:rsidRDefault="00CE75D4" w:rsidP="008340C1">
            <w:pPr>
              <w:pStyle w:val="ARfintablebodyrightbold"/>
              <w:spacing w:before="10" w:after="10" w:line="228" w:lineRule="auto"/>
            </w:pPr>
            <w:r w:rsidRPr="00B756C1">
              <w:t>(1.7)</w:t>
            </w:r>
          </w:p>
        </w:tc>
        <w:tc>
          <w:tcPr>
            <w:tcW w:w="1418" w:type="dxa"/>
            <w:noWrap/>
            <w:hideMark/>
          </w:tcPr>
          <w:p w14:paraId="723853F7" w14:textId="77777777" w:rsidR="00CE75D4" w:rsidRPr="002029AF" w:rsidRDefault="00CE75D4" w:rsidP="008340C1">
            <w:pPr>
              <w:pStyle w:val="ARfintablebodyrightbold"/>
              <w:spacing w:before="10" w:after="10" w:line="228" w:lineRule="auto"/>
            </w:pPr>
            <w:r>
              <w:t>–</w:t>
            </w:r>
          </w:p>
        </w:tc>
        <w:tc>
          <w:tcPr>
            <w:tcW w:w="1418" w:type="dxa"/>
            <w:noWrap/>
            <w:hideMark/>
          </w:tcPr>
          <w:p w14:paraId="75FA265C" w14:textId="77777777" w:rsidR="00CE75D4" w:rsidRPr="002029AF" w:rsidRDefault="00CE75D4" w:rsidP="008340C1">
            <w:pPr>
              <w:pStyle w:val="ARfintablebodyrightbold"/>
              <w:spacing w:before="10" w:after="10" w:line="228" w:lineRule="auto"/>
            </w:pPr>
            <w:r>
              <w:t>–</w:t>
            </w:r>
          </w:p>
        </w:tc>
        <w:tc>
          <w:tcPr>
            <w:tcW w:w="1418" w:type="dxa"/>
            <w:noWrap/>
            <w:hideMark/>
          </w:tcPr>
          <w:p w14:paraId="189E8C63" w14:textId="77777777" w:rsidR="00CE75D4" w:rsidRPr="002029AF" w:rsidRDefault="00CE75D4" w:rsidP="008340C1">
            <w:pPr>
              <w:pStyle w:val="ARfintablebodyrightbold"/>
              <w:spacing w:before="10" w:after="10" w:line="228" w:lineRule="auto"/>
            </w:pPr>
            <w:r w:rsidRPr="00B756C1">
              <w:t>34.5</w:t>
            </w:r>
          </w:p>
        </w:tc>
      </w:tr>
      <w:tr w:rsidR="00CE75D4" w:rsidRPr="002029AF" w14:paraId="5254C47D" w14:textId="77777777" w:rsidTr="008340C1">
        <w:trPr>
          <w:cantSplit w:val="0"/>
        </w:trPr>
        <w:tc>
          <w:tcPr>
            <w:tcW w:w="5952" w:type="dxa"/>
            <w:hideMark/>
          </w:tcPr>
          <w:p w14:paraId="636B8DC5" w14:textId="77777777" w:rsidR="00CE75D4" w:rsidRPr="002029AF" w:rsidRDefault="00CE75D4" w:rsidP="008340C1">
            <w:pPr>
              <w:pStyle w:val="ARfintablebodybold"/>
              <w:spacing w:before="10" w:after="10" w:line="228" w:lineRule="auto"/>
            </w:pPr>
            <w:r w:rsidRPr="00B756C1">
              <w:t>Closing balance</w:t>
            </w:r>
          </w:p>
        </w:tc>
        <w:tc>
          <w:tcPr>
            <w:tcW w:w="1417" w:type="dxa"/>
            <w:noWrap/>
            <w:hideMark/>
          </w:tcPr>
          <w:p w14:paraId="302A9D34" w14:textId="77777777" w:rsidR="00CE75D4" w:rsidRPr="002029AF" w:rsidRDefault="00CE75D4" w:rsidP="008340C1">
            <w:pPr>
              <w:pStyle w:val="ARfintablebodyrightbold"/>
              <w:spacing w:before="10" w:after="10" w:line="228" w:lineRule="auto"/>
            </w:pPr>
            <w:r w:rsidRPr="00B756C1">
              <w:t>646.5</w:t>
            </w:r>
          </w:p>
        </w:tc>
        <w:tc>
          <w:tcPr>
            <w:tcW w:w="1418" w:type="dxa"/>
            <w:noWrap/>
            <w:hideMark/>
          </w:tcPr>
          <w:p w14:paraId="6DDD972C" w14:textId="77777777" w:rsidR="00CE75D4" w:rsidRPr="002029AF" w:rsidRDefault="00CE75D4" w:rsidP="008340C1">
            <w:pPr>
              <w:pStyle w:val="ARfintablebodyrightbold"/>
              <w:spacing w:before="10" w:after="10" w:line="228" w:lineRule="auto"/>
            </w:pPr>
            <w:r>
              <w:t>–</w:t>
            </w:r>
          </w:p>
        </w:tc>
        <w:tc>
          <w:tcPr>
            <w:tcW w:w="1418" w:type="dxa"/>
          </w:tcPr>
          <w:p w14:paraId="68FD7788" w14:textId="77777777" w:rsidR="00CE75D4" w:rsidRPr="003A0F44" w:rsidRDefault="00CE75D4" w:rsidP="008340C1">
            <w:pPr>
              <w:pStyle w:val="ARfintablebodyrightbold"/>
              <w:spacing w:before="10" w:after="10" w:line="228" w:lineRule="auto"/>
            </w:pPr>
            <w:r w:rsidRPr="00B756C1">
              <w:t>644.2</w:t>
            </w:r>
          </w:p>
        </w:tc>
        <w:tc>
          <w:tcPr>
            <w:tcW w:w="1418" w:type="dxa"/>
            <w:noWrap/>
            <w:hideMark/>
          </w:tcPr>
          <w:p w14:paraId="5EDF82AF" w14:textId="77777777" w:rsidR="00CE75D4" w:rsidRPr="002029AF" w:rsidRDefault="00CE75D4" w:rsidP="008340C1">
            <w:pPr>
              <w:pStyle w:val="ARfintablebodyrightbold"/>
              <w:spacing w:before="10" w:after="10" w:line="228" w:lineRule="auto"/>
            </w:pPr>
            <w:r w:rsidRPr="00B756C1">
              <w:t>2.7</w:t>
            </w:r>
          </w:p>
        </w:tc>
        <w:tc>
          <w:tcPr>
            <w:tcW w:w="1418" w:type="dxa"/>
            <w:noWrap/>
            <w:hideMark/>
          </w:tcPr>
          <w:p w14:paraId="3FA54B17" w14:textId="77777777" w:rsidR="00CE75D4" w:rsidRPr="002029AF" w:rsidRDefault="00CE75D4" w:rsidP="008340C1">
            <w:pPr>
              <w:pStyle w:val="ARfintablebodyrightbold"/>
              <w:spacing w:before="10" w:after="10" w:line="228" w:lineRule="auto"/>
            </w:pPr>
            <w:r w:rsidRPr="00B756C1">
              <w:t>0.3</w:t>
            </w:r>
          </w:p>
        </w:tc>
        <w:tc>
          <w:tcPr>
            <w:tcW w:w="1418" w:type="dxa"/>
            <w:noWrap/>
            <w:hideMark/>
          </w:tcPr>
          <w:p w14:paraId="433E9130" w14:textId="77777777" w:rsidR="00CE75D4" w:rsidRPr="002029AF" w:rsidRDefault="00CE75D4" w:rsidP="008340C1">
            <w:pPr>
              <w:pStyle w:val="ARfintablebodyrightbold"/>
              <w:spacing w:before="10" w:after="10" w:line="228" w:lineRule="auto"/>
            </w:pPr>
            <w:r w:rsidRPr="00B756C1">
              <w:t>1,293.8</w:t>
            </w:r>
          </w:p>
        </w:tc>
      </w:tr>
    </w:tbl>
    <w:p w14:paraId="1902D863" w14:textId="77777777" w:rsidR="00CE75D4" w:rsidRPr="00791CC4" w:rsidRDefault="00CE75D4" w:rsidP="008340C1">
      <w:pPr>
        <w:pStyle w:val="ARfintablefootnote"/>
        <w:rPr>
          <w:rFonts w:ascii="Times New Roman" w:hAnsi="Times New Roman"/>
          <w:lang w:eastAsia="en-AU"/>
        </w:rPr>
      </w:pPr>
      <w:r w:rsidRPr="00791CC4">
        <w:rPr>
          <w:lang w:eastAsia="en-AU"/>
        </w:rPr>
        <w:t>Note:</w:t>
      </w:r>
    </w:p>
    <w:p w14:paraId="1D3413CD" w14:textId="21D95293" w:rsidR="00CE75D4" w:rsidRPr="00791CC4" w:rsidRDefault="00CE75D4" w:rsidP="004E63CD">
      <w:pPr>
        <w:pStyle w:val="ARfintablefootnoteindent"/>
        <w:rPr>
          <w:rFonts w:ascii="Times New Roman" w:hAnsi="Times New Roman" w:cs="Times New Roman"/>
        </w:rPr>
      </w:pPr>
      <w:r w:rsidRPr="00791CC4">
        <w:t>(i)</w:t>
      </w:r>
      <w:r>
        <w:tab/>
      </w:r>
      <w:r w:rsidRPr="00791CC4">
        <w:t>Removes the 30 June 2021 closing balances of the DFFH, the Victorian Disability Worker Commission and the Director of Housing</w:t>
      </w:r>
      <w:r>
        <w:t>,</w:t>
      </w:r>
      <w:r w:rsidRPr="00791CC4">
        <w:t xml:space="preserve"> which were included in the department</w:t>
      </w:r>
      <w:r>
        <w:t>’</w:t>
      </w:r>
      <w:r w:rsidRPr="00791CC4">
        <w:t>s 2020</w:t>
      </w:r>
      <w:r>
        <w:t>–</w:t>
      </w:r>
      <w:r w:rsidRPr="00791CC4">
        <w:t xml:space="preserve">21 financial statements under s. 53(1)(b) of the FMA. </w:t>
      </w:r>
      <w:r>
        <w:t xml:space="preserve">The transactions which relate to these entities </w:t>
      </w:r>
      <w:r w:rsidRPr="00791CC4">
        <w:t>are reported in the DFFH</w:t>
      </w:r>
      <w:r>
        <w:t>’</w:t>
      </w:r>
      <w:r w:rsidRPr="00791CC4">
        <w:t>s 2021</w:t>
      </w:r>
      <w:r>
        <w:t>–</w:t>
      </w:r>
      <w:r w:rsidRPr="00791CC4">
        <w:t>22 financial statements.</w:t>
      </w:r>
    </w:p>
    <w:p w14:paraId="71E85E09" w14:textId="77777777" w:rsidR="00CE75D4" w:rsidRPr="002029AF" w:rsidRDefault="00CE75D4" w:rsidP="00087B91">
      <w:pPr>
        <w:pStyle w:val="ARfinbody"/>
      </w:pPr>
    </w:p>
    <w:p w14:paraId="7A6C72CE" w14:textId="77777777" w:rsidR="00CE75D4" w:rsidRPr="002029AF" w:rsidRDefault="00CE75D4" w:rsidP="00087B91">
      <w:pPr>
        <w:pStyle w:val="ARfinbody"/>
        <w:sectPr w:rsidR="00CE75D4" w:rsidRPr="002029AF" w:rsidSect="00130D1C">
          <w:footnotePr>
            <w:numFmt w:val="lowerLetter"/>
            <w:numRestart w:val="eachPage"/>
          </w:footnotePr>
          <w:pgSz w:w="16838" w:h="11906" w:orient="landscape" w:code="9"/>
          <w:pgMar w:top="1134" w:right="1531" w:bottom="1134" w:left="851" w:header="510" w:footer="340" w:gutter="0"/>
          <w:cols w:space="708"/>
          <w:docGrid w:linePitch="360"/>
        </w:sectPr>
      </w:pPr>
    </w:p>
    <w:p w14:paraId="2D7D4C7D" w14:textId="77777777" w:rsidR="00CE75D4" w:rsidRPr="002029AF" w:rsidRDefault="00CE75D4" w:rsidP="008340C1">
      <w:pPr>
        <w:pStyle w:val="Heading6"/>
        <w:spacing w:before="0" w:after="160"/>
      </w:pPr>
      <w:bookmarkStart w:id="628" w:name="_Toc85121542"/>
      <w:r>
        <w:t>Description of significant unobservable inputs to Level 3 valuations</w:t>
      </w:r>
      <w:bookmarkEnd w:id="628"/>
    </w:p>
    <w:tbl>
      <w:tblPr>
        <w:tblStyle w:val="TableGrid"/>
        <w:tblW w:w="9639" w:type="dxa"/>
        <w:tblLayout w:type="fixed"/>
        <w:tblLook w:val="06A0" w:firstRow="1" w:lastRow="0" w:firstColumn="1" w:lastColumn="0" w:noHBand="1" w:noVBand="1"/>
      </w:tblPr>
      <w:tblGrid>
        <w:gridCol w:w="2495"/>
        <w:gridCol w:w="2948"/>
        <w:gridCol w:w="4196"/>
      </w:tblGrid>
      <w:tr w:rsidR="00CE75D4" w:rsidRPr="002029AF" w14:paraId="7672F909"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2495" w:type="dxa"/>
            <w:tcBorders>
              <w:bottom w:val="single" w:sz="4" w:space="0" w:color="auto"/>
            </w:tcBorders>
          </w:tcPr>
          <w:p w14:paraId="3AEC106E" w14:textId="77777777" w:rsidR="00CE75D4" w:rsidRPr="002029AF" w:rsidRDefault="00CE75D4" w:rsidP="00860E95">
            <w:pPr>
              <w:pStyle w:val="ARfintablecolhead"/>
            </w:pPr>
          </w:p>
        </w:tc>
        <w:tc>
          <w:tcPr>
            <w:tcW w:w="2948" w:type="dxa"/>
            <w:tcBorders>
              <w:bottom w:val="single" w:sz="4" w:space="0" w:color="auto"/>
            </w:tcBorders>
          </w:tcPr>
          <w:p w14:paraId="0D3F2E92" w14:textId="77777777" w:rsidR="00CE75D4" w:rsidRPr="002029AF" w:rsidRDefault="00CE75D4" w:rsidP="00860E95">
            <w:pPr>
              <w:pStyle w:val="ARfintablecolhead"/>
            </w:pPr>
            <w:r w:rsidRPr="002029AF">
              <w:t>Valuation technique</w:t>
            </w:r>
          </w:p>
        </w:tc>
        <w:tc>
          <w:tcPr>
            <w:tcW w:w="4196" w:type="dxa"/>
            <w:tcBorders>
              <w:bottom w:val="single" w:sz="4" w:space="0" w:color="auto"/>
            </w:tcBorders>
          </w:tcPr>
          <w:p w14:paraId="4BEA4C03" w14:textId="77777777" w:rsidR="00CE75D4" w:rsidRPr="002029AF" w:rsidRDefault="00CE75D4" w:rsidP="00860E95">
            <w:pPr>
              <w:pStyle w:val="ARfintablecolhead"/>
            </w:pPr>
            <w:r w:rsidRPr="002029AF">
              <w:t>Significant unobservable inputs</w:t>
            </w:r>
          </w:p>
        </w:tc>
      </w:tr>
      <w:tr w:rsidR="00CE75D4" w:rsidRPr="002029AF" w14:paraId="73F78539" w14:textId="77777777" w:rsidTr="3D493511">
        <w:tc>
          <w:tcPr>
            <w:tcW w:w="2495" w:type="dxa"/>
            <w:tcBorders>
              <w:top w:val="single" w:sz="4" w:space="0" w:color="auto"/>
              <w:bottom w:val="single" w:sz="4" w:space="0" w:color="A6A6A6" w:themeColor="background1" w:themeShade="A6"/>
            </w:tcBorders>
          </w:tcPr>
          <w:p w14:paraId="33C8C854" w14:textId="77777777" w:rsidR="00CE75D4" w:rsidRPr="002029AF" w:rsidRDefault="00CE75D4" w:rsidP="008340C1">
            <w:pPr>
              <w:pStyle w:val="ARfintablebodybold"/>
              <w:rPr>
                <w:rStyle w:val="Strong"/>
                <w:bCs/>
              </w:rPr>
            </w:pPr>
            <w:r w:rsidRPr="0051215D">
              <w:t>Non-specialised land</w:t>
            </w:r>
          </w:p>
        </w:tc>
        <w:tc>
          <w:tcPr>
            <w:tcW w:w="2948" w:type="dxa"/>
            <w:tcBorders>
              <w:top w:val="single" w:sz="4" w:space="0" w:color="auto"/>
              <w:bottom w:val="single" w:sz="4" w:space="0" w:color="A6A6A6" w:themeColor="background1" w:themeShade="A6"/>
            </w:tcBorders>
          </w:tcPr>
          <w:p w14:paraId="38BA144F" w14:textId="77777777" w:rsidR="00CE75D4" w:rsidRPr="002029AF" w:rsidRDefault="00CE75D4" w:rsidP="008340C1">
            <w:pPr>
              <w:pStyle w:val="ARfintablebody"/>
            </w:pPr>
            <w:r w:rsidRPr="0051215D">
              <w:t>Market approach</w:t>
            </w:r>
          </w:p>
        </w:tc>
        <w:tc>
          <w:tcPr>
            <w:tcW w:w="4196" w:type="dxa"/>
            <w:tcBorders>
              <w:top w:val="single" w:sz="4" w:space="0" w:color="auto"/>
              <w:bottom w:val="single" w:sz="4" w:space="0" w:color="A6A6A6" w:themeColor="background1" w:themeShade="A6"/>
            </w:tcBorders>
          </w:tcPr>
          <w:p w14:paraId="55A9F3B7" w14:textId="77777777" w:rsidR="00CE75D4" w:rsidRPr="002029AF" w:rsidRDefault="00CE75D4" w:rsidP="008340C1">
            <w:pPr>
              <w:pStyle w:val="ARfintablebody"/>
            </w:pPr>
            <w:r w:rsidRPr="0051215D">
              <w:t>Not applicable</w:t>
            </w:r>
          </w:p>
        </w:tc>
      </w:tr>
      <w:tr w:rsidR="00CE75D4" w:rsidRPr="002029AF" w14:paraId="1EB2B0AA" w14:textId="77777777" w:rsidTr="3D493511">
        <w:tc>
          <w:tcPr>
            <w:tcW w:w="2495" w:type="dxa"/>
            <w:tcBorders>
              <w:top w:val="single" w:sz="4" w:space="0" w:color="A6A6A6" w:themeColor="background1" w:themeShade="A6"/>
              <w:bottom w:val="single" w:sz="4" w:space="0" w:color="A6A6A6" w:themeColor="background1" w:themeShade="A6"/>
            </w:tcBorders>
          </w:tcPr>
          <w:p w14:paraId="79BEE26D" w14:textId="77777777" w:rsidR="00CE75D4" w:rsidRPr="002029AF" w:rsidRDefault="00CE75D4" w:rsidP="008340C1">
            <w:pPr>
              <w:pStyle w:val="ARfintablebodybold"/>
              <w:rPr>
                <w:rStyle w:val="Strong"/>
                <w:bCs/>
              </w:rPr>
            </w:pPr>
            <w:r w:rsidRPr="0051215D">
              <w:t>Specialised land</w:t>
            </w:r>
          </w:p>
        </w:tc>
        <w:tc>
          <w:tcPr>
            <w:tcW w:w="2948" w:type="dxa"/>
            <w:tcBorders>
              <w:top w:val="single" w:sz="4" w:space="0" w:color="A6A6A6" w:themeColor="background1" w:themeShade="A6"/>
              <w:bottom w:val="single" w:sz="4" w:space="0" w:color="A6A6A6" w:themeColor="background1" w:themeShade="A6"/>
            </w:tcBorders>
          </w:tcPr>
          <w:p w14:paraId="2B016011" w14:textId="77777777" w:rsidR="00CE75D4" w:rsidRPr="002029AF" w:rsidRDefault="00CE75D4" w:rsidP="008340C1">
            <w:pPr>
              <w:pStyle w:val="ARfintablebody"/>
            </w:pPr>
            <w:r w:rsidRPr="0051215D">
              <w:t>Market approach</w:t>
            </w:r>
          </w:p>
        </w:tc>
        <w:tc>
          <w:tcPr>
            <w:tcW w:w="4196" w:type="dxa"/>
            <w:tcBorders>
              <w:top w:val="single" w:sz="4" w:space="0" w:color="A6A6A6" w:themeColor="background1" w:themeShade="A6"/>
              <w:bottom w:val="single" w:sz="4" w:space="0" w:color="A6A6A6" w:themeColor="background1" w:themeShade="A6"/>
            </w:tcBorders>
          </w:tcPr>
          <w:p w14:paraId="6ECF3860" w14:textId="1C2F5B27" w:rsidR="00CE75D4" w:rsidRPr="002029AF" w:rsidRDefault="00CE75D4" w:rsidP="008340C1">
            <w:pPr>
              <w:pStyle w:val="ARfintablebody"/>
            </w:pPr>
            <w:r w:rsidRPr="0051215D">
              <w:t xml:space="preserve">Community Service Obligation </w:t>
            </w:r>
            <w:r w:rsidRPr="0051215D" w:rsidDel="00AE1627">
              <w:t xml:space="preserve">(CSO) </w:t>
            </w:r>
            <w:r w:rsidRPr="0051215D">
              <w:t>adjustment (rate 10–40%)</w:t>
            </w:r>
          </w:p>
        </w:tc>
      </w:tr>
      <w:tr w:rsidR="00CE75D4" w:rsidRPr="002029AF" w14:paraId="4CAF25CF" w14:textId="77777777" w:rsidTr="3D493511">
        <w:tc>
          <w:tcPr>
            <w:tcW w:w="2495" w:type="dxa"/>
            <w:tcBorders>
              <w:top w:val="single" w:sz="4" w:space="0" w:color="A6A6A6" w:themeColor="background1" w:themeShade="A6"/>
              <w:bottom w:val="single" w:sz="4" w:space="0" w:color="A6A6A6" w:themeColor="background1" w:themeShade="A6"/>
            </w:tcBorders>
          </w:tcPr>
          <w:p w14:paraId="483031EA" w14:textId="77777777" w:rsidR="00CE75D4" w:rsidRPr="002029AF" w:rsidRDefault="00CE75D4" w:rsidP="008340C1">
            <w:pPr>
              <w:pStyle w:val="ARfintablebodybold"/>
              <w:rPr>
                <w:rStyle w:val="Strong"/>
                <w:bCs/>
              </w:rPr>
            </w:pPr>
            <w:r w:rsidRPr="0051215D">
              <w:t>Non-specialised buildings</w:t>
            </w:r>
          </w:p>
        </w:tc>
        <w:tc>
          <w:tcPr>
            <w:tcW w:w="2948" w:type="dxa"/>
            <w:tcBorders>
              <w:top w:val="single" w:sz="4" w:space="0" w:color="A6A6A6" w:themeColor="background1" w:themeShade="A6"/>
              <w:bottom w:val="single" w:sz="4" w:space="0" w:color="A6A6A6" w:themeColor="background1" w:themeShade="A6"/>
            </w:tcBorders>
          </w:tcPr>
          <w:p w14:paraId="7BF7B4C5" w14:textId="77777777" w:rsidR="00CE75D4" w:rsidRPr="002029AF" w:rsidRDefault="00CE75D4" w:rsidP="008340C1">
            <w:pPr>
              <w:pStyle w:val="ARfintablebody"/>
            </w:pPr>
            <w:r w:rsidRPr="0051215D">
              <w:t>Market approach</w:t>
            </w:r>
          </w:p>
        </w:tc>
        <w:tc>
          <w:tcPr>
            <w:tcW w:w="4196" w:type="dxa"/>
            <w:tcBorders>
              <w:top w:val="single" w:sz="4" w:space="0" w:color="A6A6A6" w:themeColor="background1" w:themeShade="A6"/>
              <w:bottom w:val="single" w:sz="4" w:space="0" w:color="A6A6A6" w:themeColor="background1" w:themeShade="A6"/>
            </w:tcBorders>
          </w:tcPr>
          <w:p w14:paraId="68DEF6CE" w14:textId="77777777" w:rsidR="00CE75D4" w:rsidRPr="002029AF" w:rsidRDefault="00CE75D4" w:rsidP="008340C1">
            <w:pPr>
              <w:pStyle w:val="ARfintablebody"/>
            </w:pPr>
            <w:r w:rsidRPr="0051215D">
              <w:t>Not applicable</w:t>
            </w:r>
          </w:p>
        </w:tc>
      </w:tr>
      <w:tr w:rsidR="00CE75D4" w:rsidRPr="002029AF" w14:paraId="55A83428" w14:textId="77777777" w:rsidTr="3D493511">
        <w:tc>
          <w:tcPr>
            <w:tcW w:w="2495" w:type="dxa"/>
            <w:tcBorders>
              <w:top w:val="single" w:sz="4" w:space="0" w:color="A6A6A6" w:themeColor="background1" w:themeShade="A6"/>
              <w:bottom w:val="single" w:sz="4" w:space="0" w:color="A6A6A6" w:themeColor="background1" w:themeShade="A6"/>
            </w:tcBorders>
          </w:tcPr>
          <w:p w14:paraId="764A6265" w14:textId="77777777" w:rsidR="00CE75D4" w:rsidRPr="002029AF" w:rsidRDefault="00CE75D4" w:rsidP="008340C1">
            <w:pPr>
              <w:pStyle w:val="ARfintablebodybold"/>
              <w:rPr>
                <w:rStyle w:val="Strong"/>
                <w:bCs/>
              </w:rPr>
            </w:pPr>
            <w:r w:rsidRPr="0051215D">
              <w:t>Specialised buildings</w:t>
            </w:r>
          </w:p>
        </w:tc>
        <w:tc>
          <w:tcPr>
            <w:tcW w:w="2948" w:type="dxa"/>
            <w:tcBorders>
              <w:top w:val="single" w:sz="4" w:space="0" w:color="A6A6A6" w:themeColor="background1" w:themeShade="A6"/>
              <w:bottom w:val="single" w:sz="4" w:space="0" w:color="A6A6A6" w:themeColor="background1" w:themeShade="A6"/>
            </w:tcBorders>
          </w:tcPr>
          <w:p w14:paraId="1EADA19F" w14:textId="77777777" w:rsidR="00CE75D4" w:rsidRPr="002029AF" w:rsidRDefault="00CE75D4" w:rsidP="008340C1">
            <w:pPr>
              <w:pStyle w:val="ARfintablebody"/>
            </w:pPr>
            <w:r w:rsidRPr="0051215D">
              <w:t>Current replacement cost</w:t>
            </w:r>
          </w:p>
        </w:tc>
        <w:tc>
          <w:tcPr>
            <w:tcW w:w="4196" w:type="dxa"/>
            <w:tcBorders>
              <w:top w:val="single" w:sz="4" w:space="0" w:color="A6A6A6" w:themeColor="background1" w:themeShade="A6"/>
              <w:bottom w:val="single" w:sz="4" w:space="0" w:color="A6A6A6" w:themeColor="background1" w:themeShade="A6"/>
            </w:tcBorders>
          </w:tcPr>
          <w:p w14:paraId="061E1E04" w14:textId="77777777" w:rsidR="00CE75D4" w:rsidRDefault="00CE75D4" w:rsidP="008340C1">
            <w:pPr>
              <w:pStyle w:val="ARfintablebody"/>
            </w:pPr>
            <w:r w:rsidRPr="0051215D">
              <w:t>Direct cost per square metre</w:t>
            </w:r>
          </w:p>
          <w:p w14:paraId="4C723D58" w14:textId="77777777" w:rsidR="00CE75D4" w:rsidRPr="002029AF" w:rsidRDefault="00CE75D4" w:rsidP="008340C1">
            <w:pPr>
              <w:pStyle w:val="ARfintablebody"/>
            </w:pPr>
            <w:r w:rsidRPr="0051215D">
              <w:t>Useful life of specialised buildings</w:t>
            </w:r>
          </w:p>
        </w:tc>
      </w:tr>
      <w:tr w:rsidR="00CE75D4" w:rsidRPr="002029AF" w14:paraId="5BC63756" w14:textId="77777777" w:rsidTr="3D493511">
        <w:tc>
          <w:tcPr>
            <w:tcW w:w="2495" w:type="dxa"/>
            <w:tcBorders>
              <w:top w:val="single" w:sz="4" w:space="0" w:color="A6A6A6" w:themeColor="background1" w:themeShade="A6"/>
              <w:bottom w:val="single" w:sz="4" w:space="0" w:color="A6A6A6" w:themeColor="background1" w:themeShade="A6"/>
            </w:tcBorders>
          </w:tcPr>
          <w:p w14:paraId="30E5BE8B" w14:textId="77777777" w:rsidR="00CE75D4" w:rsidRPr="002029AF" w:rsidRDefault="00CE75D4" w:rsidP="008340C1">
            <w:pPr>
              <w:pStyle w:val="ARfintablebodybold"/>
              <w:rPr>
                <w:rStyle w:val="Strong"/>
                <w:bCs/>
              </w:rPr>
            </w:pPr>
            <w:r w:rsidRPr="0051215D">
              <w:t>Plant and equipment</w:t>
            </w:r>
          </w:p>
        </w:tc>
        <w:tc>
          <w:tcPr>
            <w:tcW w:w="2948" w:type="dxa"/>
            <w:tcBorders>
              <w:top w:val="single" w:sz="4" w:space="0" w:color="A6A6A6" w:themeColor="background1" w:themeShade="A6"/>
              <w:bottom w:val="single" w:sz="4" w:space="0" w:color="A6A6A6" w:themeColor="background1" w:themeShade="A6"/>
            </w:tcBorders>
          </w:tcPr>
          <w:p w14:paraId="78CBB66E" w14:textId="77777777" w:rsidR="00CE75D4" w:rsidRPr="002029AF" w:rsidRDefault="00CE75D4" w:rsidP="008340C1">
            <w:pPr>
              <w:pStyle w:val="ARfintablebody"/>
            </w:pPr>
            <w:r w:rsidRPr="0051215D">
              <w:t>Current replacement cost</w:t>
            </w:r>
          </w:p>
        </w:tc>
        <w:tc>
          <w:tcPr>
            <w:tcW w:w="4196" w:type="dxa"/>
            <w:tcBorders>
              <w:top w:val="single" w:sz="4" w:space="0" w:color="A6A6A6" w:themeColor="background1" w:themeShade="A6"/>
              <w:bottom w:val="single" w:sz="4" w:space="0" w:color="A6A6A6" w:themeColor="background1" w:themeShade="A6"/>
            </w:tcBorders>
          </w:tcPr>
          <w:p w14:paraId="3A22954B" w14:textId="77777777" w:rsidR="00CE75D4" w:rsidRPr="002029AF" w:rsidRDefault="00CE75D4" w:rsidP="008340C1">
            <w:pPr>
              <w:pStyle w:val="ARfintablebody"/>
            </w:pPr>
            <w:r w:rsidRPr="0051215D">
              <w:t>Useful life of equipment</w:t>
            </w:r>
          </w:p>
        </w:tc>
      </w:tr>
      <w:tr w:rsidR="00CE75D4" w:rsidRPr="002029AF" w14:paraId="293088F8" w14:textId="77777777" w:rsidTr="3D493511">
        <w:tc>
          <w:tcPr>
            <w:tcW w:w="2495" w:type="dxa"/>
            <w:tcBorders>
              <w:top w:val="single" w:sz="4" w:space="0" w:color="A6A6A6" w:themeColor="background1" w:themeShade="A6"/>
            </w:tcBorders>
          </w:tcPr>
          <w:p w14:paraId="5E45B6F5" w14:textId="77777777" w:rsidR="00CE75D4" w:rsidRPr="002029AF" w:rsidRDefault="00CE75D4" w:rsidP="008340C1">
            <w:pPr>
              <w:pStyle w:val="ARfintablebodybold"/>
              <w:rPr>
                <w:rStyle w:val="Strong"/>
                <w:bCs/>
              </w:rPr>
            </w:pPr>
            <w:r w:rsidRPr="0051215D">
              <w:t>Vehicles</w:t>
            </w:r>
          </w:p>
        </w:tc>
        <w:tc>
          <w:tcPr>
            <w:tcW w:w="2948" w:type="dxa"/>
            <w:tcBorders>
              <w:top w:val="single" w:sz="4" w:space="0" w:color="A6A6A6" w:themeColor="background1" w:themeShade="A6"/>
            </w:tcBorders>
          </w:tcPr>
          <w:p w14:paraId="3388B13E" w14:textId="77777777" w:rsidR="00CE75D4" w:rsidRPr="002029AF" w:rsidRDefault="00CE75D4" w:rsidP="008340C1">
            <w:pPr>
              <w:pStyle w:val="ARfintablebody"/>
            </w:pPr>
            <w:r w:rsidRPr="0051215D">
              <w:t>Current replacement cost</w:t>
            </w:r>
          </w:p>
        </w:tc>
        <w:tc>
          <w:tcPr>
            <w:tcW w:w="4196" w:type="dxa"/>
            <w:tcBorders>
              <w:top w:val="single" w:sz="4" w:space="0" w:color="A6A6A6" w:themeColor="background1" w:themeShade="A6"/>
            </w:tcBorders>
          </w:tcPr>
          <w:p w14:paraId="1E046201" w14:textId="77777777" w:rsidR="00CE75D4" w:rsidRPr="002029AF" w:rsidRDefault="00CE75D4" w:rsidP="008340C1">
            <w:pPr>
              <w:pStyle w:val="ARfintablebody"/>
            </w:pPr>
            <w:r w:rsidRPr="0051215D">
              <w:t>Useful life of vehicles</w:t>
            </w:r>
          </w:p>
        </w:tc>
      </w:tr>
    </w:tbl>
    <w:p w14:paraId="46036C4F" w14:textId="77777777" w:rsidR="00CE75D4" w:rsidRDefault="00CE75D4" w:rsidP="008340C1">
      <w:pPr>
        <w:pStyle w:val="ARfinbodyaftertable"/>
      </w:pPr>
      <w:r w:rsidRPr="00627FD1">
        <w:t>Significant unobservable inputs have remained unchanged since June 2021.</w:t>
      </w:r>
    </w:p>
    <w:p w14:paraId="0C5EE0DA" w14:textId="77777777" w:rsidR="00CE75D4" w:rsidRDefault="00CE75D4" w:rsidP="00130D1C">
      <w:pPr>
        <w:pStyle w:val="Heading6"/>
      </w:pPr>
      <w:r w:rsidRPr="00627FD1">
        <w:rPr>
          <w:lang w:eastAsia="en-AU"/>
        </w:rPr>
        <w:t>Non-financial physical assets classified as held for sale</w:t>
      </w:r>
    </w:p>
    <w:p w14:paraId="2EE4CFFB" w14:textId="77777777" w:rsidR="00CE75D4" w:rsidRDefault="00CE75D4" w:rsidP="00130D1C">
      <w:pPr>
        <w:pStyle w:val="ARfinbodylargespace"/>
        <w:rPr>
          <w:b/>
          <w:bCs/>
        </w:rPr>
      </w:pPr>
      <w:r w:rsidRPr="00627FD1">
        <w:t>The following table provides the fair value measurement hierarchy of the department</w:t>
      </w:r>
      <w:r>
        <w:t>’</w:t>
      </w:r>
      <w:r w:rsidRPr="00627FD1">
        <w:t>s non-financial physical assets held for sale.</w:t>
      </w:r>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CE75D4" w:rsidRPr="002029AF" w14:paraId="5C5529A0"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8" w:type="dxa"/>
            <w:vMerge w:val="restart"/>
            <w:hideMark/>
          </w:tcPr>
          <w:p w14:paraId="1B0BA049" w14:textId="77777777" w:rsidR="00CE75D4" w:rsidRPr="002029AF" w:rsidRDefault="00CE75D4" w:rsidP="00860E95">
            <w:pPr>
              <w:pStyle w:val="ARfintablecolhead"/>
            </w:pPr>
            <w:r>
              <w:t>2022</w:t>
            </w:r>
          </w:p>
        </w:tc>
        <w:tc>
          <w:tcPr>
            <w:tcW w:w="1418" w:type="dxa"/>
            <w:vMerge w:val="restart"/>
            <w:hideMark/>
          </w:tcPr>
          <w:p w14:paraId="2810CAAA" w14:textId="77777777" w:rsidR="00CE75D4" w:rsidRPr="002029AF" w:rsidRDefault="00CE75D4" w:rsidP="00860E95">
            <w:pPr>
              <w:pStyle w:val="ARfintablecolheadright"/>
            </w:pPr>
            <w:r w:rsidRPr="002029AF">
              <w:t>Carrying amount</w:t>
            </w:r>
          </w:p>
          <w:p w14:paraId="273BB3CD" w14:textId="77777777" w:rsidR="00CE75D4" w:rsidRPr="002029AF" w:rsidRDefault="00CE75D4" w:rsidP="00860E95">
            <w:pPr>
              <w:pStyle w:val="ARfintablecolheadright"/>
            </w:pPr>
            <w:r w:rsidRPr="002029AF">
              <w:t>$M</w:t>
            </w:r>
          </w:p>
        </w:tc>
        <w:tc>
          <w:tcPr>
            <w:tcW w:w="4251" w:type="dxa"/>
            <w:gridSpan w:val="3"/>
            <w:hideMark/>
          </w:tcPr>
          <w:p w14:paraId="386D835C" w14:textId="77777777" w:rsidR="00CE75D4" w:rsidRPr="002029AF" w:rsidRDefault="00CE75D4" w:rsidP="00860E95">
            <w:pPr>
              <w:pStyle w:val="ARfintablecolheadcentre"/>
            </w:pPr>
            <w:r w:rsidRPr="002029AF">
              <w:t xml:space="preserve">Fair value measurement at the end </w:t>
            </w:r>
            <w:r w:rsidRPr="002029AF">
              <w:br/>
              <w:t>of reporting period using:</w:t>
            </w:r>
          </w:p>
        </w:tc>
      </w:tr>
      <w:tr w:rsidR="00CE75D4" w:rsidRPr="002029AF" w14:paraId="63D93DEC"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3968" w:type="dxa"/>
            <w:vMerge/>
            <w:tcBorders>
              <w:bottom w:val="single" w:sz="4" w:space="0" w:color="auto"/>
            </w:tcBorders>
            <w:hideMark/>
          </w:tcPr>
          <w:p w14:paraId="4A2ACAB9" w14:textId="77777777" w:rsidR="00CE75D4" w:rsidRPr="002029AF" w:rsidRDefault="00CE75D4" w:rsidP="00860E95">
            <w:pPr>
              <w:pStyle w:val="ARfintablecolhead"/>
            </w:pPr>
          </w:p>
        </w:tc>
        <w:tc>
          <w:tcPr>
            <w:tcW w:w="1418" w:type="dxa"/>
            <w:vMerge/>
            <w:tcBorders>
              <w:bottom w:val="single" w:sz="4" w:space="0" w:color="auto"/>
            </w:tcBorders>
            <w:hideMark/>
          </w:tcPr>
          <w:p w14:paraId="66AFEEC0" w14:textId="77777777" w:rsidR="00CE75D4" w:rsidRPr="002029AF" w:rsidRDefault="00CE75D4" w:rsidP="00860E95">
            <w:pPr>
              <w:pStyle w:val="ARfintablecolheadright"/>
            </w:pPr>
          </w:p>
        </w:tc>
        <w:tc>
          <w:tcPr>
            <w:tcW w:w="1417" w:type="dxa"/>
            <w:tcBorders>
              <w:bottom w:val="single" w:sz="4" w:space="0" w:color="auto"/>
            </w:tcBorders>
            <w:hideMark/>
          </w:tcPr>
          <w:p w14:paraId="066729E6" w14:textId="77777777" w:rsidR="00CE75D4" w:rsidRPr="002029AF" w:rsidRDefault="00CE75D4" w:rsidP="00860E95">
            <w:pPr>
              <w:pStyle w:val="ARfintablecolheadright"/>
            </w:pPr>
            <w:r w:rsidRPr="002029AF">
              <w:t xml:space="preserve">Level 1 </w:t>
            </w:r>
            <w:r w:rsidRPr="002029AF">
              <w:rPr>
                <w:rStyle w:val="Superscript"/>
              </w:rPr>
              <w:t>(i)</w:t>
            </w:r>
          </w:p>
          <w:p w14:paraId="3EBF107B" w14:textId="77777777" w:rsidR="00CE75D4" w:rsidRPr="002029AF" w:rsidRDefault="00CE75D4" w:rsidP="00860E95">
            <w:pPr>
              <w:pStyle w:val="ARfintablecolheadright"/>
            </w:pPr>
            <w:r w:rsidRPr="002029AF">
              <w:t>$M</w:t>
            </w:r>
          </w:p>
        </w:tc>
        <w:tc>
          <w:tcPr>
            <w:tcW w:w="1417" w:type="dxa"/>
            <w:tcBorders>
              <w:bottom w:val="single" w:sz="4" w:space="0" w:color="auto"/>
            </w:tcBorders>
            <w:hideMark/>
          </w:tcPr>
          <w:p w14:paraId="42E813CD" w14:textId="77777777" w:rsidR="00CE75D4" w:rsidRPr="002029AF" w:rsidRDefault="00CE75D4" w:rsidP="00860E95">
            <w:pPr>
              <w:pStyle w:val="ARfintablecolheadright"/>
            </w:pPr>
            <w:r w:rsidRPr="002029AF">
              <w:t xml:space="preserve">Level 2 </w:t>
            </w:r>
            <w:r w:rsidRPr="002029AF">
              <w:rPr>
                <w:rStyle w:val="Superscript"/>
              </w:rPr>
              <w:t>(i)</w:t>
            </w:r>
          </w:p>
          <w:p w14:paraId="5C4C867F" w14:textId="77777777" w:rsidR="00CE75D4" w:rsidRPr="002029AF" w:rsidRDefault="00CE75D4" w:rsidP="00860E95">
            <w:pPr>
              <w:pStyle w:val="ARfintablecolheadright"/>
            </w:pPr>
            <w:r w:rsidRPr="002029AF">
              <w:t>$M</w:t>
            </w:r>
          </w:p>
        </w:tc>
        <w:tc>
          <w:tcPr>
            <w:tcW w:w="1417" w:type="dxa"/>
            <w:tcBorders>
              <w:bottom w:val="single" w:sz="4" w:space="0" w:color="auto"/>
            </w:tcBorders>
            <w:hideMark/>
          </w:tcPr>
          <w:p w14:paraId="7ED0ACF8" w14:textId="77777777" w:rsidR="00CE75D4" w:rsidRPr="002029AF" w:rsidRDefault="00CE75D4" w:rsidP="00860E95">
            <w:pPr>
              <w:pStyle w:val="ARfintablecolheadright"/>
            </w:pPr>
            <w:r w:rsidRPr="002029AF">
              <w:t xml:space="preserve">Level 3 </w:t>
            </w:r>
            <w:r w:rsidRPr="002029AF">
              <w:rPr>
                <w:rStyle w:val="Superscript"/>
              </w:rPr>
              <w:t>(i)</w:t>
            </w:r>
          </w:p>
          <w:p w14:paraId="2688A972" w14:textId="77777777" w:rsidR="00CE75D4" w:rsidRPr="002029AF" w:rsidRDefault="00CE75D4" w:rsidP="00860E95">
            <w:pPr>
              <w:pStyle w:val="ARfintablecolheadright"/>
            </w:pPr>
            <w:r w:rsidRPr="002029AF">
              <w:t>$M</w:t>
            </w:r>
          </w:p>
        </w:tc>
      </w:tr>
      <w:tr w:rsidR="00CE75D4" w:rsidRPr="002029AF" w14:paraId="72336D7D" w14:textId="77777777" w:rsidTr="00860E95">
        <w:trPr>
          <w:trHeight w:val="255"/>
        </w:trPr>
        <w:tc>
          <w:tcPr>
            <w:tcW w:w="9637" w:type="dxa"/>
            <w:gridSpan w:val="5"/>
            <w:tcBorders>
              <w:top w:val="single" w:sz="4" w:space="0" w:color="auto"/>
              <w:bottom w:val="single" w:sz="4" w:space="0" w:color="A6A6A6"/>
            </w:tcBorders>
            <w:hideMark/>
          </w:tcPr>
          <w:p w14:paraId="202979D4" w14:textId="77777777" w:rsidR="00CE75D4" w:rsidRPr="002029AF" w:rsidRDefault="00CE75D4" w:rsidP="008340C1">
            <w:pPr>
              <w:pStyle w:val="ARfintablebodybold"/>
            </w:pPr>
            <w:r w:rsidRPr="00167B5B">
              <w:t>Land held for sale</w:t>
            </w:r>
          </w:p>
        </w:tc>
      </w:tr>
      <w:tr w:rsidR="00CE75D4" w:rsidRPr="002029AF" w14:paraId="6645198C" w14:textId="77777777" w:rsidTr="00860E95">
        <w:trPr>
          <w:trHeight w:val="255"/>
        </w:trPr>
        <w:tc>
          <w:tcPr>
            <w:tcW w:w="3968" w:type="dxa"/>
            <w:tcBorders>
              <w:top w:val="single" w:sz="4" w:space="0" w:color="A6A6A6"/>
            </w:tcBorders>
            <w:hideMark/>
          </w:tcPr>
          <w:p w14:paraId="39FC4C72" w14:textId="77777777" w:rsidR="00CE75D4" w:rsidRPr="002029AF" w:rsidRDefault="00CE75D4" w:rsidP="008340C1">
            <w:pPr>
              <w:pStyle w:val="ARfintablebody"/>
            </w:pPr>
            <w:r w:rsidRPr="00167B5B">
              <w:t>Specialised land</w:t>
            </w:r>
          </w:p>
        </w:tc>
        <w:tc>
          <w:tcPr>
            <w:tcW w:w="1418" w:type="dxa"/>
            <w:tcBorders>
              <w:top w:val="single" w:sz="4" w:space="0" w:color="A6A6A6"/>
            </w:tcBorders>
            <w:noWrap/>
            <w:hideMark/>
          </w:tcPr>
          <w:p w14:paraId="1F0D8ACE" w14:textId="77777777" w:rsidR="00CE75D4" w:rsidRPr="002029AF" w:rsidRDefault="00CE75D4" w:rsidP="008340C1">
            <w:pPr>
              <w:pStyle w:val="ARfintablebodyright"/>
            </w:pPr>
            <w:r>
              <w:t>–</w:t>
            </w:r>
          </w:p>
        </w:tc>
        <w:tc>
          <w:tcPr>
            <w:tcW w:w="1417" w:type="dxa"/>
            <w:tcBorders>
              <w:top w:val="single" w:sz="4" w:space="0" w:color="A6A6A6"/>
            </w:tcBorders>
            <w:noWrap/>
            <w:hideMark/>
          </w:tcPr>
          <w:p w14:paraId="6592CF0F" w14:textId="77777777" w:rsidR="00CE75D4" w:rsidRPr="002029AF" w:rsidRDefault="00CE75D4" w:rsidP="008340C1">
            <w:pPr>
              <w:pStyle w:val="ARfintablebodyright"/>
            </w:pPr>
            <w:r>
              <w:t>–</w:t>
            </w:r>
          </w:p>
        </w:tc>
        <w:tc>
          <w:tcPr>
            <w:tcW w:w="1417" w:type="dxa"/>
            <w:tcBorders>
              <w:top w:val="single" w:sz="4" w:space="0" w:color="A6A6A6"/>
            </w:tcBorders>
            <w:noWrap/>
            <w:hideMark/>
          </w:tcPr>
          <w:p w14:paraId="4C1E6491" w14:textId="77777777" w:rsidR="00CE75D4" w:rsidRPr="002029AF" w:rsidRDefault="00CE75D4" w:rsidP="008340C1">
            <w:pPr>
              <w:pStyle w:val="ARfintablebodyright"/>
            </w:pPr>
            <w:r>
              <w:t>–</w:t>
            </w:r>
          </w:p>
        </w:tc>
        <w:tc>
          <w:tcPr>
            <w:tcW w:w="1417" w:type="dxa"/>
            <w:tcBorders>
              <w:top w:val="single" w:sz="4" w:space="0" w:color="A6A6A6"/>
            </w:tcBorders>
            <w:noWrap/>
            <w:hideMark/>
          </w:tcPr>
          <w:p w14:paraId="4504DAA7" w14:textId="77777777" w:rsidR="00CE75D4" w:rsidRPr="002029AF" w:rsidRDefault="00CE75D4" w:rsidP="008340C1">
            <w:pPr>
              <w:pStyle w:val="ARfintablebodyright"/>
            </w:pPr>
            <w:r>
              <w:t>–</w:t>
            </w:r>
          </w:p>
        </w:tc>
      </w:tr>
      <w:tr w:rsidR="00CE75D4" w:rsidRPr="002029AF" w14:paraId="2EC40576" w14:textId="77777777" w:rsidTr="00860E95">
        <w:trPr>
          <w:trHeight w:val="255"/>
        </w:trPr>
        <w:tc>
          <w:tcPr>
            <w:tcW w:w="3968" w:type="dxa"/>
            <w:tcBorders>
              <w:bottom w:val="single" w:sz="4" w:space="0" w:color="auto"/>
            </w:tcBorders>
            <w:hideMark/>
          </w:tcPr>
          <w:p w14:paraId="03F20ABF" w14:textId="77777777" w:rsidR="00CE75D4" w:rsidRPr="002029AF" w:rsidRDefault="00CE75D4" w:rsidP="008340C1">
            <w:pPr>
              <w:pStyle w:val="ARfintablebodybold"/>
            </w:pPr>
            <w:r w:rsidRPr="00167B5B">
              <w:t>Total land held for sale</w:t>
            </w:r>
          </w:p>
        </w:tc>
        <w:tc>
          <w:tcPr>
            <w:tcW w:w="1418" w:type="dxa"/>
            <w:tcBorders>
              <w:bottom w:val="single" w:sz="4" w:space="0" w:color="auto"/>
            </w:tcBorders>
            <w:noWrap/>
            <w:hideMark/>
          </w:tcPr>
          <w:p w14:paraId="7792F0AA" w14:textId="77777777" w:rsidR="00CE75D4" w:rsidRPr="002029AF" w:rsidRDefault="00CE75D4" w:rsidP="008340C1">
            <w:pPr>
              <w:pStyle w:val="ARfintablebodyrightbold"/>
            </w:pPr>
            <w:r>
              <w:t>–</w:t>
            </w:r>
          </w:p>
        </w:tc>
        <w:tc>
          <w:tcPr>
            <w:tcW w:w="1417" w:type="dxa"/>
            <w:tcBorders>
              <w:bottom w:val="single" w:sz="4" w:space="0" w:color="auto"/>
            </w:tcBorders>
            <w:noWrap/>
            <w:hideMark/>
          </w:tcPr>
          <w:p w14:paraId="5B279B33" w14:textId="77777777" w:rsidR="00CE75D4" w:rsidRPr="002029AF" w:rsidRDefault="00CE75D4" w:rsidP="008340C1">
            <w:pPr>
              <w:pStyle w:val="ARfintablebodyrightbold"/>
            </w:pPr>
            <w:r>
              <w:t>–</w:t>
            </w:r>
          </w:p>
        </w:tc>
        <w:tc>
          <w:tcPr>
            <w:tcW w:w="1417" w:type="dxa"/>
            <w:tcBorders>
              <w:bottom w:val="single" w:sz="4" w:space="0" w:color="auto"/>
            </w:tcBorders>
            <w:noWrap/>
            <w:hideMark/>
          </w:tcPr>
          <w:p w14:paraId="1979CD85" w14:textId="77777777" w:rsidR="00CE75D4" w:rsidRPr="002029AF" w:rsidRDefault="00CE75D4" w:rsidP="008340C1">
            <w:pPr>
              <w:pStyle w:val="ARfintablebodyrightbold"/>
            </w:pPr>
            <w:r>
              <w:t>–</w:t>
            </w:r>
          </w:p>
        </w:tc>
        <w:tc>
          <w:tcPr>
            <w:tcW w:w="1417" w:type="dxa"/>
            <w:tcBorders>
              <w:bottom w:val="single" w:sz="4" w:space="0" w:color="auto"/>
            </w:tcBorders>
            <w:noWrap/>
            <w:hideMark/>
          </w:tcPr>
          <w:p w14:paraId="70CE208F" w14:textId="77777777" w:rsidR="00CE75D4" w:rsidRPr="002029AF" w:rsidRDefault="00CE75D4" w:rsidP="008340C1">
            <w:pPr>
              <w:pStyle w:val="ARfintablebodyrightbold"/>
            </w:pPr>
            <w:r>
              <w:t>–</w:t>
            </w:r>
          </w:p>
        </w:tc>
      </w:tr>
      <w:tr w:rsidR="00CE75D4" w:rsidRPr="002029AF" w14:paraId="266A590D" w14:textId="77777777" w:rsidTr="00860E95">
        <w:trPr>
          <w:trHeight w:val="255"/>
        </w:trPr>
        <w:tc>
          <w:tcPr>
            <w:tcW w:w="9637" w:type="dxa"/>
            <w:gridSpan w:val="5"/>
            <w:tcBorders>
              <w:top w:val="single" w:sz="4" w:space="0" w:color="auto"/>
              <w:bottom w:val="single" w:sz="4" w:space="0" w:color="A6A6A6"/>
            </w:tcBorders>
            <w:hideMark/>
          </w:tcPr>
          <w:p w14:paraId="31124EEB" w14:textId="77777777" w:rsidR="00CE75D4" w:rsidRPr="002029AF" w:rsidRDefault="00CE75D4" w:rsidP="008340C1">
            <w:pPr>
              <w:pStyle w:val="ARfintablebodybold"/>
            </w:pPr>
            <w:r w:rsidRPr="00167B5B">
              <w:t>Buildings held for sale</w:t>
            </w:r>
          </w:p>
        </w:tc>
      </w:tr>
      <w:tr w:rsidR="00CE75D4" w:rsidRPr="002029AF" w14:paraId="28CF1F67" w14:textId="77777777" w:rsidTr="00860E95">
        <w:trPr>
          <w:trHeight w:val="255"/>
        </w:trPr>
        <w:tc>
          <w:tcPr>
            <w:tcW w:w="3968" w:type="dxa"/>
            <w:tcBorders>
              <w:top w:val="single" w:sz="4" w:space="0" w:color="A6A6A6"/>
            </w:tcBorders>
            <w:hideMark/>
          </w:tcPr>
          <w:p w14:paraId="58E70CBB" w14:textId="77777777" w:rsidR="00CE75D4" w:rsidRPr="002029AF" w:rsidRDefault="00CE75D4" w:rsidP="008340C1">
            <w:pPr>
              <w:pStyle w:val="ARfintablebody"/>
            </w:pPr>
            <w:r w:rsidRPr="00167B5B">
              <w:t>Specialised buildings</w:t>
            </w:r>
          </w:p>
        </w:tc>
        <w:tc>
          <w:tcPr>
            <w:tcW w:w="1418" w:type="dxa"/>
            <w:tcBorders>
              <w:top w:val="single" w:sz="4" w:space="0" w:color="A6A6A6"/>
            </w:tcBorders>
            <w:noWrap/>
            <w:hideMark/>
          </w:tcPr>
          <w:p w14:paraId="32E046F0" w14:textId="77777777" w:rsidR="00CE75D4" w:rsidRPr="002029AF" w:rsidRDefault="00CE75D4" w:rsidP="008340C1">
            <w:pPr>
              <w:pStyle w:val="ARfintablebodyright"/>
            </w:pPr>
            <w:r>
              <w:t>–</w:t>
            </w:r>
          </w:p>
        </w:tc>
        <w:tc>
          <w:tcPr>
            <w:tcW w:w="1417" w:type="dxa"/>
            <w:tcBorders>
              <w:top w:val="single" w:sz="4" w:space="0" w:color="A6A6A6"/>
            </w:tcBorders>
            <w:noWrap/>
            <w:hideMark/>
          </w:tcPr>
          <w:p w14:paraId="610E3955" w14:textId="77777777" w:rsidR="00CE75D4" w:rsidRPr="002029AF" w:rsidRDefault="00CE75D4" w:rsidP="008340C1">
            <w:pPr>
              <w:pStyle w:val="ARfintablebodyright"/>
            </w:pPr>
            <w:r>
              <w:t>–</w:t>
            </w:r>
          </w:p>
        </w:tc>
        <w:tc>
          <w:tcPr>
            <w:tcW w:w="1417" w:type="dxa"/>
            <w:tcBorders>
              <w:top w:val="single" w:sz="4" w:space="0" w:color="A6A6A6"/>
            </w:tcBorders>
            <w:noWrap/>
            <w:hideMark/>
          </w:tcPr>
          <w:p w14:paraId="79BA4B0A" w14:textId="77777777" w:rsidR="00CE75D4" w:rsidRPr="002029AF" w:rsidRDefault="00CE75D4" w:rsidP="008340C1">
            <w:pPr>
              <w:pStyle w:val="ARfintablebodyright"/>
            </w:pPr>
            <w:r>
              <w:t>–</w:t>
            </w:r>
          </w:p>
        </w:tc>
        <w:tc>
          <w:tcPr>
            <w:tcW w:w="1417" w:type="dxa"/>
            <w:tcBorders>
              <w:top w:val="single" w:sz="4" w:space="0" w:color="A6A6A6"/>
            </w:tcBorders>
            <w:noWrap/>
            <w:hideMark/>
          </w:tcPr>
          <w:p w14:paraId="7ADDC4AD" w14:textId="77777777" w:rsidR="00CE75D4" w:rsidRPr="002029AF" w:rsidRDefault="00CE75D4" w:rsidP="008340C1">
            <w:pPr>
              <w:pStyle w:val="ARfintablebodyright"/>
            </w:pPr>
            <w:r>
              <w:t>–</w:t>
            </w:r>
          </w:p>
        </w:tc>
      </w:tr>
      <w:tr w:rsidR="00CE75D4" w:rsidRPr="002029AF" w14:paraId="2F469206" w14:textId="77777777" w:rsidTr="00860E95">
        <w:trPr>
          <w:trHeight w:val="255"/>
        </w:trPr>
        <w:tc>
          <w:tcPr>
            <w:tcW w:w="3968" w:type="dxa"/>
            <w:hideMark/>
          </w:tcPr>
          <w:p w14:paraId="2CF48451" w14:textId="77777777" w:rsidR="00CE75D4" w:rsidRPr="002029AF" w:rsidRDefault="00CE75D4" w:rsidP="008340C1">
            <w:pPr>
              <w:pStyle w:val="ARfintablebodybold"/>
            </w:pPr>
            <w:r w:rsidRPr="00167B5B">
              <w:t>Total buildings held for sale</w:t>
            </w:r>
          </w:p>
        </w:tc>
        <w:tc>
          <w:tcPr>
            <w:tcW w:w="1418" w:type="dxa"/>
            <w:noWrap/>
            <w:hideMark/>
          </w:tcPr>
          <w:p w14:paraId="3B84DF5C" w14:textId="77777777" w:rsidR="00CE75D4" w:rsidRPr="002029AF" w:rsidRDefault="00CE75D4" w:rsidP="008340C1">
            <w:pPr>
              <w:pStyle w:val="ARfintablebodyrightbold"/>
            </w:pPr>
            <w:r>
              <w:t>–</w:t>
            </w:r>
          </w:p>
        </w:tc>
        <w:tc>
          <w:tcPr>
            <w:tcW w:w="1417" w:type="dxa"/>
            <w:noWrap/>
            <w:hideMark/>
          </w:tcPr>
          <w:p w14:paraId="73798E48" w14:textId="77777777" w:rsidR="00CE75D4" w:rsidRPr="002029AF" w:rsidRDefault="00CE75D4" w:rsidP="008340C1">
            <w:pPr>
              <w:pStyle w:val="ARfintablebodyrightbold"/>
            </w:pPr>
            <w:r>
              <w:t>–</w:t>
            </w:r>
          </w:p>
        </w:tc>
        <w:tc>
          <w:tcPr>
            <w:tcW w:w="1417" w:type="dxa"/>
            <w:noWrap/>
            <w:hideMark/>
          </w:tcPr>
          <w:p w14:paraId="19545366" w14:textId="77777777" w:rsidR="00CE75D4" w:rsidRPr="002029AF" w:rsidRDefault="00CE75D4" w:rsidP="008340C1">
            <w:pPr>
              <w:pStyle w:val="ARfintablebodyrightbold"/>
            </w:pPr>
            <w:r>
              <w:t>–</w:t>
            </w:r>
          </w:p>
        </w:tc>
        <w:tc>
          <w:tcPr>
            <w:tcW w:w="1417" w:type="dxa"/>
            <w:noWrap/>
            <w:hideMark/>
          </w:tcPr>
          <w:p w14:paraId="53103177" w14:textId="77777777" w:rsidR="00CE75D4" w:rsidRPr="002029AF" w:rsidRDefault="00CE75D4" w:rsidP="008340C1">
            <w:pPr>
              <w:pStyle w:val="ARfintablebodyrightbold"/>
            </w:pPr>
            <w:r>
              <w:t>–</w:t>
            </w:r>
          </w:p>
        </w:tc>
      </w:tr>
    </w:tbl>
    <w:p w14:paraId="415CCA52" w14:textId="77777777" w:rsidR="00CE75D4" w:rsidRPr="002029AF" w:rsidRDefault="00CE75D4" w:rsidP="00087B91">
      <w:pPr>
        <w:pStyle w:val="ARfinbody"/>
      </w:pPr>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CE75D4" w:rsidRPr="002029AF" w14:paraId="3A9DB343"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3968" w:type="dxa"/>
            <w:vMerge w:val="restart"/>
            <w:hideMark/>
          </w:tcPr>
          <w:p w14:paraId="1FCA72F9" w14:textId="77777777" w:rsidR="00CE75D4" w:rsidRPr="002029AF" w:rsidRDefault="00CE75D4" w:rsidP="00860E95">
            <w:pPr>
              <w:pStyle w:val="ARfintablecolhead"/>
            </w:pPr>
            <w:r>
              <w:t>2021</w:t>
            </w:r>
          </w:p>
        </w:tc>
        <w:tc>
          <w:tcPr>
            <w:tcW w:w="1418" w:type="dxa"/>
            <w:vMerge w:val="restart"/>
            <w:hideMark/>
          </w:tcPr>
          <w:p w14:paraId="34A9835D" w14:textId="77777777" w:rsidR="00CE75D4" w:rsidRPr="002029AF" w:rsidRDefault="00CE75D4" w:rsidP="00860E95">
            <w:pPr>
              <w:pStyle w:val="ARfintablecolheadright"/>
            </w:pPr>
            <w:r w:rsidRPr="002029AF">
              <w:t>Carrying amount</w:t>
            </w:r>
          </w:p>
          <w:p w14:paraId="66215682" w14:textId="77777777" w:rsidR="00CE75D4" w:rsidRPr="002029AF" w:rsidRDefault="00CE75D4" w:rsidP="00860E95">
            <w:pPr>
              <w:pStyle w:val="ARfintablecolheadright"/>
            </w:pPr>
            <w:r w:rsidRPr="002029AF">
              <w:t>$M</w:t>
            </w:r>
          </w:p>
        </w:tc>
        <w:tc>
          <w:tcPr>
            <w:tcW w:w="4251" w:type="dxa"/>
            <w:gridSpan w:val="3"/>
            <w:hideMark/>
          </w:tcPr>
          <w:p w14:paraId="28009D42" w14:textId="77777777" w:rsidR="00CE75D4" w:rsidRPr="002029AF" w:rsidRDefault="00CE75D4" w:rsidP="00860E95">
            <w:pPr>
              <w:pStyle w:val="ARfintablecolheadcentre"/>
            </w:pPr>
            <w:r w:rsidRPr="002029AF">
              <w:t xml:space="preserve">Fair value measurement at the end </w:t>
            </w:r>
            <w:r w:rsidRPr="002029AF">
              <w:br/>
              <w:t>of reporting period using:</w:t>
            </w:r>
          </w:p>
        </w:tc>
      </w:tr>
      <w:tr w:rsidR="00CE75D4" w:rsidRPr="002029AF" w14:paraId="1CDAE885"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8" w:type="dxa"/>
            <w:vMerge/>
            <w:tcBorders>
              <w:bottom w:val="single" w:sz="4" w:space="0" w:color="auto"/>
            </w:tcBorders>
            <w:hideMark/>
          </w:tcPr>
          <w:p w14:paraId="4EF2D35A" w14:textId="77777777" w:rsidR="00CE75D4" w:rsidRPr="002029AF" w:rsidRDefault="00CE75D4" w:rsidP="00860E95">
            <w:pPr>
              <w:pStyle w:val="ARfintablecolhead"/>
            </w:pPr>
          </w:p>
        </w:tc>
        <w:tc>
          <w:tcPr>
            <w:tcW w:w="1418" w:type="dxa"/>
            <w:vMerge/>
            <w:tcBorders>
              <w:bottom w:val="single" w:sz="4" w:space="0" w:color="auto"/>
            </w:tcBorders>
            <w:hideMark/>
          </w:tcPr>
          <w:p w14:paraId="54A2FE82" w14:textId="77777777" w:rsidR="00CE75D4" w:rsidRPr="002029AF" w:rsidRDefault="00CE75D4" w:rsidP="00860E95">
            <w:pPr>
              <w:pStyle w:val="ARfintablecolheadright"/>
            </w:pPr>
          </w:p>
        </w:tc>
        <w:tc>
          <w:tcPr>
            <w:tcW w:w="1417" w:type="dxa"/>
            <w:tcBorders>
              <w:bottom w:val="single" w:sz="4" w:space="0" w:color="auto"/>
            </w:tcBorders>
            <w:hideMark/>
          </w:tcPr>
          <w:p w14:paraId="0C0AA0C3" w14:textId="77777777" w:rsidR="00CE75D4" w:rsidRPr="002029AF" w:rsidRDefault="00CE75D4" w:rsidP="00860E95">
            <w:pPr>
              <w:pStyle w:val="ARfintablecolheadright"/>
            </w:pPr>
            <w:r w:rsidRPr="002029AF">
              <w:t xml:space="preserve">Level 1 </w:t>
            </w:r>
            <w:r w:rsidRPr="002029AF">
              <w:rPr>
                <w:rStyle w:val="Superscript"/>
              </w:rPr>
              <w:t>(i)</w:t>
            </w:r>
          </w:p>
          <w:p w14:paraId="0EC62306" w14:textId="77777777" w:rsidR="00CE75D4" w:rsidRPr="002029AF" w:rsidRDefault="00CE75D4" w:rsidP="00860E95">
            <w:pPr>
              <w:pStyle w:val="ARfintablecolheadright"/>
            </w:pPr>
            <w:r w:rsidRPr="002029AF">
              <w:t>$M</w:t>
            </w:r>
          </w:p>
        </w:tc>
        <w:tc>
          <w:tcPr>
            <w:tcW w:w="1417" w:type="dxa"/>
            <w:tcBorders>
              <w:bottom w:val="single" w:sz="4" w:space="0" w:color="auto"/>
            </w:tcBorders>
            <w:hideMark/>
          </w:tcPr>
          <w:p w14:paraId="623A49E9" w14:textId="77777777" w:rsidR="00CE75D4" w:rsidRPr="002029AF" w:rsidRDefault="00CE75D4" w:rsidP="00860E95">
            <w:pPr>
              <w:pStyle w:val="ARfintablecolheadright"/>
            </w:pPr>
            <w:r w:rsidRPr="002029AF">
              <w:t xml:space="preserve">Level 2 </w:t>
            </w:r>
            <w:r w:rsidRPr="002029AF">
              <w:rPr>
                <w:rStyle w:val="Superscript"/>
              </w:rPr>
              <w:t>(i)</w:t>
            </w:r>
          </w:p>
          <w:p w14:paraId="71325A57" w14:textId="77777777" w:rsidR="00CE75D4" w:rsidRPr="002029AF" w:rsidRDefault="00CE75D4" w:rsidP="00860E95">
            <w:pPr>
              <w:pStyle w:val="ARfintablecolheadright"/>
            </w:pPr>
            <w:r w:rsidRPr="002029AF">
              <w:t>$M</w:t>
            </w:r>
          </w:p>
        </w:tc>
        <w:tc>
          <w:tcPr>
            <w:tcW w:w="1417" w:type="dxa"/>
            <w:tcBorders>
              <w:bottom w:val="single" w:sz="4" w:space="0" w:color="auto"/>
            </w:tcBorders>
            <w:hideMark/>
          </w:tcPr>
          <w:p w14:paraId="33C0AE9F" w14:textId="77777777" w:rsidR="00CE75D4" w:rsidRPr="002029AF" w:rsidRDefault="00CE75D4" w:rsidP="00860E95">
            <w:pPr>
              <w:pStyle w:val="ARfintablecolheadright"/>
            </w:pPr>
            <w:r w:rsidRPr="002029AF">
              <w:t xml:space="preserve">Level 3 </w:t>
            </w:r>
            <w:r w:rsidRPr="002029AF">
              <w:rPr>
                <w:rStyle w:val="Superscript"/>
              </w:rPr>
              <w:t>(i)</w:t>
            </w:r>
          </w:p>
          <w:p w14:paraId="01F7DCB6" w14:textId="77777777" w:rsidR="00CE75D4" w:rsidRPr="002029AF" w:rsidRDefault="00CE75D4" w:rsidP="00860E95">
            <w:pPr>
              <w:pStyle w:val="ARfintablecolheadright"/>
            </w:pPr>
            <w:r w:rsidRPr="002029AF">
              <w:t>$M</w:t>
            </w:r>
          </w:p>
        </w:tc>
      </w:tr>
      <w:tr w:rsidR="00CE75D4" w:rsidRPr="002029AF" w14:paraId="2A5641F5" w14:textId="77777777" w:rsidTr="00860E95">
        <w:trPr>
          <w:trHeight w:val="255"/>
        </w:trPr>
        <w:tc>
          <w:tcPr>
            <w:tcW w:w="9637" w:type="dxa"/>
            <w:gridSpan w:val="5"/>
            <w:tcBorders>
              <w:top w:val="single" w:sz="4" w:space="0" w:color="auto"/>
              <w:bottom w:val="single" w:sz="4" w:space="0" w:color="A6A6A6"/>
            </w:tcBorders>
            <w:hideMark/>
          </w:tcPr>
          <w:p w14:paraId="1516E4DA" w14:textId="77777777" w:rsidR="00CE75D4" w:rsidRPr="002029AF" w:rsidRDefault="00CE75D4" w:rsidP="008340C1">
            <w:pPr>
              <w:pStyle w:val="ARfintablebodybold"/>
            </w:pPr>
            <w:r w:rsidRPr="00514CCC">
              <w:t>Land held for sale</w:t>
            </w:r>
          </w:p>
        </w:tc>
      </w:tr>
      <w:tr w:rsidR="00CE75D4" w:rsidRPr="002029AF" w14:paraId="4F51BA7F" w14:textId="77777777" w:rsidTr="00860E95">
        <w:trPr>
          <w:trHeight w:val="255"/>
        </w:trPr>
        <w:tc>
          <w:tcPr>
            <w:tcW w:w="3968" w:type="dxa"/>
            <w:tcBorders>
              <w:top w:val="single" w:sz="4" w:space="0" w:color="A6A6A6"/>
            </w:tcBorders>
            <w:hideMark/>
          </w:tcPr>
          <w:p w14:paraId="4A2D27C6" w14:textId="77777777" w:rsidR="00CE75D4" w:rsidRPr="002029AF" w:rsidRDefault="00CE75D4" w:rsidP="008340C1">
            <w:pPr>
              <w:pStyle w:val="ARfintablebody"/>
            </w:pPr>
            <w:r w:rsidRPr="00514CCC">
              <w:t>Specialised land</w:t>
            </w:r>
          </w:p>
        </w:tc>
        <w:tc>
          <w:tcPr>
            <w:tcW w:w="1418" w:type="dxa"/>
            <w:tcBorders>
              <w:top w:val="single" w:sz="4" w:space="0" w:color="A6A6A6"/>
            </w:tcBorders>
            <w:noWrap/>
            <w:hideMark/>
          </w:tcPr>
          <w:p w14:paraId="415BB39E" w14:textId="77777777" w:rsidR="00CE75D4" w:rsidRPr="002029AF" w:rsidRDefault="00CE75D4" w:rsidP="008340C1">
            <w:pPr>
              <w:pStyle w:val="ARfintablebodyright"/>
            </w:pPr>
            <w:r w:rsidRPr="00514CCC">
              <w:t>1.5</w:t>
            </w:r>
          </w:p>
        </w:tc>
        <w:tc>
          <w:tcPr>
            <w:tcW w:w="1417" w:type="dxa"/>
            <w:tcBorders>
              <w:top w:val="single" w:sz="4" w:space="0" w:color="A6A6A6"/>
            </w:tcBorders>
            <w:noWrap/>
            <w:hideMark/>
          </w:tcPr>
          <w:p w14:paraId="76068252" w14:textId="77777777" w:rsidR="00CE75D4" w:rsidRPr="002029AF" w:rsidRDefault="00CE75D4" w:rsidP="008340C1">
            <w:pPr>
              <w:pStyle w:val="ARfintablebodyright"/>
            </w:pPr>
            <w:r>
              <w:t>–</w:t>
            </w:r>
          </w:p>
        </w:tc>
        <w:tc>
          <w:tcPr>
            <w:tcW w:w="1417" w:type="dxa"/>
            <w:tcBorders>
              <w:top w:val="single" w:sz="4" w:space="0" w:color="A6A6A6"/>
            </w:tcBorders>
            <w:noWrap/>
            <w:hideMark/>
          </w:tcPr>
          <w:p w14:paraId="72C28064" w14:textId="77777777" w:rsidR="00CE75D4" w:rsidRPr="002029AF" w:rsidRDefault="00CE75D4" w:rsidP="008340C1">
            <w:pPr>
              <w:pStyle w:val="ARfintablebodyright"/>
            </w:pPr>
            <w:r w:rsidRPr="00514CCC">
              <w:t>1.5</w:t>
            </w:r>
          </w:p>
        </w:tc>
        <w:tc>
          <w:tcPr>
            <w:tcW w:w="1417" w:type="dxa"/>
            <w:tcBorders>
              <w:top w:val="single" w:sz="4" w:space="0" w:color="A6A6A6"/>
            </w:tcBorders>
            <w:noWrap/>
            <w:hideMark/>
          </w:tcPr>
          <w:p w14:paraId="2AC47F3B" w14:textId="77777777" w:rsidR="00CE75D4" w:rsidRPr="002029AF" w:rsidRDefault="00CE75D4" w:rsidP="008340C1">
            <w:pPr>
              <w:pStyle w:val="ARfintablebodyright"/>
            </w:pPr>
            <w:r>
              <w:t>–</w:t>
            </w:r>
          </w:p>
        </w:tc>
      </w:tr>
      <w:tr w:rsidR="00CE75D4" w:rsidRPr="002029AF" w14:paraId="13C56DF4" w14:textId="77777777" w:rsidTr="00860E95">
        <w:trPr>
          <w:trHeight w:val="255"/>
        </w:trPr>
        <w:tc>
          <w:tcPr>
            <w:tcW w:w="3968" w:type="dxa"/>
            <w:tcBorders>
              <w:bottom w:val="single" w:sz="4" w:space="0" w:color="auto"/>
            </w:tcBorders>
            <w:hideMark/>
          </w:tcPr>
          <w:p w14:paraId="0D6C7F98" w14:textId="77777777" w:rsidR="00CE75D4" w:rsidRPr="002029AF" w:rsidRDefault="00CE75D4" w:rsidP="008340C1">
            <w:pPr>
              <w:pStyle w:val="ARfintablebodybold"/>
            </w:pPr>
            <w:r w:rsidRPr="00514CCC">
              <w:t>Total land held for sale</w:t>
            </w:r>
          </w:p>
        </w:tc>
        <w:tc>
          <w:tcPr>
            <w:tcW w:w="1418" w:type="dxa"/>
            <w:tcBorders>
              <w:bottom w:val="single" w:sz="4" w:space="0" w:color="auto"/>
            </w:tcBorders>
            <w:noWrap/>
            <w:hideMark/>
          </w:tcPr>
          <w:p w14:paraId="16679B73" w14:textId="77777777" w:rsidR="00CE75D4" w:rsidRPr="002029AF" w:rsidRDefault="00CE75D4" w:rsidP="008340C1">
            <w:pPr>
              <w:pStyle w:val="ARfintablebodyrightbold"/>
            </w:pPr>
            <w:r w:rsidRPr="00514CCC">
              <w:t>1.5</w:t>
            </w:r>
          </w:p>
        </w:tc>
        <w:tc>
          <w:tcPr>
            <w:tcW w:w="1417" w:type="dxa"/>
            <w:tcBorders>
              <w:bottom w:val="single" w:sz="4" w:space="0" w:color="auto"/>
            </w:tcBorders>
            <w:noWrap/>
            <w:hideMark/>
          </w:tcPr>
          <w:p w14:paraId="1FC34B38" w14:textId="77777777" w:rsidR="00CE75D4" w:rsidRPr="002029AF" w:rsidRDefault="00CE75D4" w:rsidP="008340C1">
            <w:pPr>
              <w:pStyle w:val="ARfintablebodyrightbold"/>
            </w:pPr>
            <w:r>
              <w:t>–</w:t>
            </w:r>
          </w:p>
        </w:tc>
        <w:tc>
          <w:tcPr>
            <w:tcW w:w="1417" w:type="dxa"/>
            <w:tcBorders>
              <w:bottom w:val="single" w:sz="4" w:space="0" w:color="auto"/>
            </w:tcBorders>
            <w:noWrap/>
            <w:hideMark/>
          </w:tcPr>
          <w:p w14:paraId="22295EEA" w14:textId="77777777" w:rsidR="00CE75D4" w:rsidRPr="002029AF" w:rsidRDefault="00CE75D4" w:rsidP="008340C1">
            <w:pPr>
              <w:pStyle w:val="ARfintablebodyrightbold"/>
            </w:pPr>
            <w:r w:rsidRPr="00514CCC">
              <w:t>1.5</w:t>
            </w:r>
          </w:p>
        </w:tc>
        <w:tc>
          <w:tcPr>
            <w:tcW w:w="1417" w:type="dxa"/>
            <w:tcBorders>
              <w:bottom w:val="single" w:sz="4" w:space="0" w:color="auto"/>
            </w:tcBorders>
            <w:noWrap/>
            <w:hideMark/>
          </w:tcPr>
          <w:p w14:paraId="282AF9FF" w14:textId="77777777" w:rsidR="00CE75D4" w:rsidRPr="002029AF" w:rsidRDefault="00CE75D4" w:rsidP="008340C1">
            <w:pPr>
              <w:pStyle w:val="ARfintablebodyrightbold"/>
            </w:pPr>
            <w:r>
              <w:t>–</w:t>
            </w:r>
          </w:p>
        </w:tc>
      </w:tr>
      <w:tr w:rsidR="00CE75D4" w:rsidRPr="002029AF" w14:paraId="651D89FE" w14:textId="77777777" w:rsidTr="00860E95">
        <w:trPr>
          <w:trHeight w:val="255"/>
        </w:trPr>
        <w:tc>
          <w:tcPr>
            <w:tcW w:w="9637" w:type="dxa"/>
            <w:gridSpan w:val="5"/>
            <w:tcBorders>
              <w:top w:val="single" w:sz="4" w:space="0" w:color="auto"/>
              <w:bottom w:val="single" w:sz="4" w:space="0" w:color="A6A6A6"/>
            </w:tcBorders>
            <w:hideMark/>
          </w:tcPr>
          <w:p w14:paraId="1817D39A" w14:textId="77777777" w:rsidR="00CE75D4" w:rsidRPr="002029AF" w:rsidRDefault="00CE75D4" w:rsidP="008340C1">
            <w:pPr>
              <w:pStyle w:val="ARfintablebodybold"/>
            </w:pPr>
            <w:r w:rsidRPr="00514CCC">
              <w:t>Buildings held for sale</w:t>
            </w:r>
          </w:p>
        </w:tc>
      </w:tr>
      <w:tr w:rsidR="00CE75D4" w:rsidRPr="002029AF" w14:paraId="515AC9A2" w14:textId="77777777" w:rsidTr="00860E95">
        <w:trPr>
          <w:trHeight w:val="255"/>
        </w:trPr>
        <w:tc>
          <w:tcPr>
            <w:tcW w:w="3968" w:type="dxa"/>
            <w:tcBorders>
              <w:top w:val="single" w:sz="4" w:space="0" w:color="A6A6A6"/>
            </w:tcBorders>
            <w:hideMark/>
          </w:tcPr>
          <w:p w14:paraId="3943C751" w14:textId="77777777" w:rsidR="00CE75D4" w:rsidRPr="002029AF" w:rsidRDefault="00CE75D4" w:rsidP="008340C1">
            <w:pPr>
              <w:pStyle w:val="ARfintablebody"/>
            </w:pPr>
            <w:r w:rsidRPr="00514CCC">
              <w:t>Specialised buildings</w:t>
            </w:r>
          </w:p>
        </w:tc>
        <w:tc>
          <w:tcPr>
            <w:tcW w:w="1418" w:type="dxa"/>
            <w:tcBorders>
              <w:top w:val="single" w:sz="4" w:space="0" w:color="A6A6A6"/>
            </w:tcBorders>
            <w:noWrap/>
            <w:hideMark/>
          </w:tcPr>
          <w:p w14:paraId="7842336E" w14:textId="77777777" w:rsidR="00CE75D4" w:rsidRPr="002029AF" w:rsidRDefault="00CE75D4" w:rsidP="008340C1">
            <w:pPr>
              <w:pStyle w:val="ARfintablebodyright"/>
            </w:pPr>
            <w:r w:rsidRPr="00514CCC">
              <w:t>3.1</w:t>
            </w:r>
          </w:p>
        </w:tc>
        <w:tc>
          <w:tcPr>
            <w:tcW w:w="1417" w:type="dxa"/>
            <w:tcBorders>
              <w:top w:val="single" w:sz="4" w:space="0" w:color="A6A6A6"/>
            </w:tcBorders>
            <w:noWrap/>
            <w:hideMark/>
          </w:tcPr>
          <w:p w14:paraId="1EBC0E54" w14:textId="77777777" w:rsidR="00CE75D4" w:rsidRPr="002029AF" w:rsidRDefault="00CE75D4" w:rsidP="008340C1">
            <w:pPr>
              <w:pStyle w:val="ARfintablebodyright"/>
            </w:pPr>
            <w:r>
              <w:t>–</w:t>
            </w:r>
          </w:p>
        </w:tc>
        <w:tc>
          <w:tcPr>
            <w:tcW w:w="1417" w:type="dxa"/>
            <w:tcBorders>
              <w:top w:val="single" w:sz="4" w:space="0" w:color="A6A6A6"/>
            </w:tcBorders>
            <w:noWrap/>
            <w:hideMark/>
          </w:tcPr>
          <w:p w14:paraId="2F7E80A9" w14:textId="77777777" w:rsidR="00CE75D4" w:rsidRPr="002029AF" w:rsidRDefault="00CE75D4" w:rsidP="008340C1">
            <w:pPr>
              <w:pStyle w:val="ARfintablebodyright"/>
            </w:pPr>
            <w:r w:rsidRPr="00514CCC">
              <w:t>3.1</w:t>
            </w:r>
          </w:p>
        </w:tc>
        <w:tc>
          <w:tcPr>
            <w:tcW w:w="1417" w:type="dxa"/>
            <w:tcBorders>
              <w:top w:val="single" w:sz="4" w:space="0" w:color="A6A6A6"/>
            </w:tcBorders>
            <w:noWrap/>
            <w:hideMark/>
          </w:tcPr>
          <w:p w14:paraId="231AAC90" w14:textId="77777777" w:rsidR="00CE75D4" w:rsidRPr="002029AF" w:rsidRDefault="00CE75D4" w:rsidP="008340C1">
            <w:pPr>
              <w:pStyle w:val="ARfintablebodyright"/>
            </w:pPr>
            <w:r>
              <w:t>–</w:t>
            </w:r>
          </w:p>
        </w:tc>
      </w:tr>
      <w:tr w:rsidR="00CE75D4" w:rsidRPr="002029AF" w14:paraId="0D08D306" w14:textId="77777777" w:rsidTr="00860E95">
        <w:trPr>
          <w:trHeight w:val="255"/>
        </w:trPr>
        <w:tc>
          <w:tcPr>
            <w:tcW w:w="3968" w:type="dxa"/>
            <w:hideMark/>
          </w:tcPr>
          <w:p w14:paraId="22F623F8" w14:textId="77777777" w:rsidR="00CE75D4" w:rsidRPr="002029AF" w:rsidRDefault="00CE75D4" w:rsidP="008340C1">
            <w:pPr>
              <w:pStyle w:val="ARfintablebodybold"/>
            </w:pPr>
            <w:r w:rsidRPr="00514CCC">
              <w:t>Total buildings held for sale</w:t>
            </w:r>
          </w:p>
        </w:tc>
        <w:tc>
          <w:tcPr>
            <w:tcW w:w="1418" w:type="dxa"/>
            <w:noWrap/>
            <w:hideMark/>
          </w:tcPr>
          <w:p w14:paraId="57CEABF2" w14:textId="77777777" w:rsidR="00CE75D4" w:rsidRPr="002029AF" w:rsidRDefault="00CE75D4" w:rsidP="008340C1">
            <w:pPr>
              <w:pStyle w:val="ARfintablebodyrightbold"/>
            </w:pPr>
            <w:r w:rsidRPr="00514CCC">
              <w:t>3.1</w:t>
            </w:r>
          </w:p>
        </w:tc>
        <w:tc>
          <w:tcPr>
            <w:tcW w:w="1417" w:type="dxa"/>
            <w:noWrap/>
            <w:hideMark/>
          </w:tcPr>
          <w:p w14:paraId="2EA74E5D" w14:textId="77777777" w:rsidR="00CE75D4" w:rsidRPr="002029AF" w:rsidRDefault="00CE75D4" w:rsidP="008340C1">
            <w:pPr>
              <w:pStyle w:val="ARfintablebodyrightbold"/>
            </w:pPr>
            <w:r>
              <w:t>–</w:t>
            </w:r>
          </w:p>
        </w:tc>
        <w:tc>
          <w:tcPr>
            <w:tcW w:w="1417" w:type="dxa"/>
            <w:noWrap/>
            <w:hideMark/>
          </w:tcPr>
          <w:p w14:paraId="63760B64" w14:textId="77777777" w:rsidR="00CE75D4" w:rsidRPr="002029AF" w:rsidRDefault="00CE75D4" w:rsidP="008340C1">
            <w:pPr>
              <w:pStyle w:val="ARfintablebodyrightbold"/>
            </w:pPr>
            <w:r w:rsidRPr="00514CCC">
              <w:t>3.1</w:t>
            </w:r>
          </w:p>
        </w:tc>
        <w:tc>
          <w:tcPr>
            <w:tcW w:w="1417" w:type="dxa"/>
            <w:noWrap/>
            <w:hideMark/>
          </w:tcPr>
          <w:p w14:paraId="429FF1B7" w14:textId="77777777" w:rsidR="00CE75D4" w:rsidRPr="002029AF" w:rsidRDefault="00CE75D4" w:rsidP="008340C1">
            <w:pPr>
              <w:pStyle w:val="ARfintablebodyrightbold"/>
            </w:pPr>
            <w:r>
              <w:t>–</w:t>
            </w:r>
          </w:p>
        </w:tc>
      </w:tr>
    </w:tbl>
    <w:p w14:paraId="269442FB" w14:textId="77777777" w:rsidR="00CE75D4" w:rsidRDefault="00CE75D4" w:rsidP="008340C1">
      <w:pPr>
        <w:pStyle w:val="ARfintablefootnote"/>
      </w:pPr>
      <w:r w:rsidRPr="00627FD1">
        <w:rPr>
          <w:lang w:eastAsia="en-AU"/>
        </w:rPr>
        <w:t>Note:</w:t>
      </w:r>
    </w:p>
    <w:p w14:paraId="20DA5AB2" w14:textId="6B413A05" w:rsidR="00CE75D4" w:rsidRDefault="00CE75D4" w:rsidP="005C34DC">
      <w:pPr>
        <w:pStyle w:val="ARfintablefootnoteindent"/>
      </w:pPr>
      <w:r w:rsidRPr="00627FD1">
        <w:t>(i)</w:t>
      </w:r>
      <w:r>
        <w:tab/>
      </w:r>
      <w:r w:rsidRPr="00627FD1">
        <w:t>Classified in accordance with the fair value hierarchy.</w:t>
      </w:r>
    </w:p>
    <w:p w14:paraId="73D62B63" w14:textId="02A07759" w:rsidR="00CE75D4" w:rsidRDefault="00CE75D4" w:rsidP="008340C1">
      <w:pPr>
        <w:pStyle w:val="ARfinbodyaftertable"/>
      </w:pPr>
      <w:r w:rsidRPr="00627FD1">
        <w:t xml:space="preserve">There </w:t>
      </w:r>
      <w:r w:rsidR="00AE1627">
        <w:t xml:space="preserve">were </w:t>
      </w:r>
      <w:r w:rsidRPr="00627FD1">
        <w:t xml:space="preserve">no transfers between levels during </w:t>
      </w:r>
      <w:r>
        <w:t>2021–22</w:t>
      </w:r>
      <w:r w:rsidRPr="00627FD1">
        <w:t>.</w:t>
      </w:r>
    </w:p>
    <w:p w14:paraId="7A4B752A" w14:textId="77777777" w:rsidR="00CE75D4" w:rsidRPr="0040433B" w:rsidRDefault="00CE75D4" w:rsidP="00087B91">
      <w:pPr>
        <w:pStyle w:val="ARfinbody"/>
      </w:pPr>
      <w:r w:rsidRPr="0040433B">
        <w:br w:type="page"/>
      </w:r>
    </w:p>
    <w:p w14:paraId="3BDAC45E" w14:textId="77777777" w:rsidR="00CE75D4" w:rsidRDefault="00CE75D4" w:rsidP="008340C1">
      <w:pPr>
        <w:pStyle w:val="Heading3"/>
      </w:pPr>
      <w:bookmarkStart w:id="629" w:name="_Toc113702967"/>
      <w:r w:rsidRPr="00627FD1">
        <w:t>9. Other disclosures</w:t>
      </w:r>
      <w:bookmarkEnd w:id="629"/>
    </w:p>
    <w:p w14:paraId="52AC2A95" w14:textId="77777777" w:rsidR="00CE75D4" w:rsidRDefault="00CE75D4" w:rsidP="008340C1">
      <w:pPr>
        <w:pStyle w:val="Heading4"/>
        <w:rPr>
          <w:lang w:eastAsia="en-AU"/>
        </w:rPr>
      </w:pPr>
      <w:r w:rsidRPr="00627FD1">
        <w:rPr>
          <w:lang w:eastAsia="en-AU"/>
        </w:rPr>
        <w:t>Introduction</w:t>
      </w:r>
    </w:p>
    <w:p w14:paraId="31EA6734" w14:textId="77777777" w:rsidR="00CE75D4" w:rsidRDefault="00CE75D4" w:rsidP="008340C1">
      <w:pPr>
        <w:pStyle w:val="ARfinbody"/>
      </w:pPr>
      <w:r w:rsidRPr="00627FD1">
        <w:t>This section includes additional material disclosures required by accounting standards or otherwise for the understanding of this financial report.</w:t>
      </w:r>
    </w:p>
    <w:p w14:paraId="0885FDE7" w14:textId="77777777" w:rsidR="00CE75D4" w:rsidRDefault="00CE75D4" w:rsidP="008340C1">
      <w:pPr>
        <w:pStyle w:val="Heading4"/>
        <w:rPr>
          <w:lang w:eastAsia="en-AU"/>
        </w:rPr>
      </w:pPr>
      <w:r w:rsidRPr="00627FD1">
        <w:rPr>
          <w:lang w:eastAsia="en-AU"/>
        </w:rPr>
        <w:t>Structure</w:t>
      </w:r>
    </w:p>
    <w:p w14:paraId="176A2963" w14:textId="77777777" w:rsidR="00CE75D4" w:rsidRDefault="00CE75D4" w:rsidP="008340C1">
      <w:pPr>
        <w:pStyle w:val="ARfinstructure1"/>
      </w:pPr>
      <w:r w:rsidRPr="00627FD1">
        <w:t>9.1</w:t>
      </w:r>
      <w:r>
        <w:tab/>
      </w:r>
      <w:r w:rsidRPr="00627FD1">
        <w:t>Ex-gratia expenses</w:t>
      </w:r>
    </w:p>
    <w:p w14:paraId="5EC283B8" w14:textId="77777777" w:rsidR="00CE75D4" w:rsidRDefault="00CE75D4" w:rsidP="008340C1">
      <w:pPr>
        <w:pStyle w:val="ARfinstructure1"/>
      </w:pPr>
      <w:r w:rsidRPr="00627FD1">
        <w:t>9.2</w:t>
      </w:r>
      <w:r>
        <w:tab/>
      </w:r>
      <w:r w:rsidRPr="00627FD1">
        <w:t>Other economic flows included in net result</w:t>
      </w:r>
    </w:p>
    <w:p w14:paraId="674411FE" w14:textId="77777777" w:rsidR="00CE75D4" w:rsidRDefault="00CE75D4" w:rsidP="008340C1">
      <w:pPr>
        <w:pStyle w:val="ARfinstructure1"/>
      </w:pPr>
      <w:r w:rsidRPr="00627FD1">
        <w:t>9.3</w:t>
      </w:r>
      <w:r>
        <w:tab/>
      </w:r>
      <w:r w:rsidRPr="00627FD1">
        <w:t>Non-financial assets held for sale</w:t>
      </w:r>
    </w:p>
    <w:p w14:paraId="3973298C" w14:textId="77777777" w:rsidR="00CE75D4" w:rsidRDefault="00CE75D4" w:rsidP="008340C1">
      <w:pPr>
        <w:pStyle w:val="ARfinstructure1"/>
      </w:pPr>
      <w:r w:rsidRPr="00627FD1">
        <w:t>9.4</w:t>
      </w:r>
      <w:r>
        <w:tab/>
      </w:r>
      <w:r w:rsidRPr="00627FD1">
        <w:t>Reserves</w:t>
      </w:r>
    </w:p>
    <w:p w14:paraId="120DA565" w14:textId="77777777" w:rsidR="00CE75D4" w:rsidRDefault="00CE75D4" w:rsidP="008340C1">
      <w:pPr>
        <w:pStyle w:val="ARfinstructure1"/>
      </w:pPr>
      <w:r w:rsidRPr="00627FD1">
        <w:t>9.5</w:t>
      </w:r>
      <w:r>
        <w:tab/>
      </w:r>
      <w:r w:rsidRPr="00627FD1">
        <w:t>Entities consolidated pursuant to s. 53(1)(b) of the FMA</w:t>
      </w:r>
    </w:p>
    <w:p w14:paraId="308EDCBF" w14:textId="77777777" w:rsidR="00CE75D4" w:rsidRDefault="00CE75D4" w:rsidP="008340C1">
      <w:pPr>
        <w:pStyle w:val="ARfinstructure1"/>
      </w:pPr>
      <w:r w:rsidRPr="00627FD1">
        <w:t>9.6</w:t>
      </w:r>
      <w:r>
        <w:tab/>
      </w:r>
      <w:r w:rsidRPr="00627FD1">
        <w:t>Responsible persons</w:t>
      </w:r>
    </w:p>
    <w:p w14:paraId="73B7690B" w14:textId="77777777" w:rsidR="00CE75D4" w:rsidRDefault="00CE75D4" w:rsidP="008340C1">
      <w:pPr>
        <w:pStyle w:val="ARfinstructure1"/>
      </w:pPr>
      <w:r w:rsidRPr="00627FD1">
        <w:t>9.7</w:t>
      </w:r>
      <w:r>
        <w:tab/>
      </w:r>
      <w:r w:rsidRPr="00627FD1">
        <w:t>Remuneration of executives</w:t>
      </w:r>
    </w:p>
    <w:p w14:paraId="5E45CD25" w14:textId="77777777" w:rsidR="00CE75D4" w:rsidRDefault="00CE75D4" w:rsidP="008340C1">
      <w:pPr>
        <w:pStyle w:val="ARfinstructure1"/>
      </w:pPr>
      <w:r w:rsidRPr="00627FD1">
        <w:t>9.8</w:t>
      </w:r>
      <w:r>
        <w:tab/>
      </w:r>
      <w:r w:rsidRPr="00627FD1">
        <w:t>Related parties</w:t>
      </w:r>
    </w:p>
    <w:p w14:paraId="36DBF1EA" w14:textId="77777777" w:rsidR="00CE75D4" w:rsidRDefault="00CE75D4" w:rsidP="008340C1">
      <w:pPr>
        <w:pStyle w:val="ARfinstructure1"/>
      </w:pPr>
      <w:r w:rsidRPr="00627FD1">
        <w:t>9.9</w:t>
      </w:r>
      <w:r>
        <w:tab/>
      </w:r>
      <w:r w:rsidRPr="00627FD1">
        <w:t>Remuneration of auditors</w:t>
      </w:r>
    </w:p>
    <w:p w14:paraId="2EDC5FF2" w14:textId="77777777" w:rsidR="00CE75D4" w:rsidRDefault="00CE75D4" w:rsidP="008340C1">
      <w:pPr>
        <w:pStyle w:val="ARfinstructure1"/>
      </w:pPr>
      <w:r w:rsidRPr="00627FD1">
        <w:t>9.10</w:t>
      </w:r>
      <w:r>
        <w:tab/>
      </w:r>
      <w:r w:rsidRPr="00627FD1">
        <w:t>Subsequent events</w:t>
      </w:r>
    </w:p>
    <w:p w14:paraId="57599AC2" w14:textId="77777777" w:rsidR="00CE75D4" w:rsidRDefault="00CE75D4" w:rsidP="008340C1">
      <w:pPr>
        <w:pStyle w:val="ARfinstructure1"/>
      </w:pPr>
      <w:r w:rsidRPr="00627FD1">
        <w:t>9.11</w:t>
      </w:r>
      <w:r>
        <w:tab/>
      </w:r>
      <w:r w:rsidRPr="00627FD1">
        <w:t>Other accounting policies</w:t>
      </w:r>
    </w:p>
    <w:p w14:paraId="2392E822" w14:textId="77777777" w:rsidR="00CE75D4" w:rsidRDefault="00CE75D4" w:rsidP="008340C1">
      <w:pPr>
        <w:pStyle w:val="ARfinstructure1"/>
      </w:pPr>
      <w:r w:rsidRPr="00627FD1">
        <w:t>9.12</w:t>
      </w:r>
      <w:r>
        <w:tab/>
      </w:r>
      <w:r w:rsidRPr="00627FD1">
        <w:t>Australian Accounting Standards issued that are not yet effective</w:t>
      </w:r>
    </w:p>
    <w:p w14:paraId="55E02A28" w14:textId="77777777" w:rsidR="00CE75D4" w:rsidRDefault="00CE75D4" w:rsidP="008340C1">
      <w:pPr>
        <w:pStyle w:val="ARfinstructure1"/>
      </w:pPr>
      <w:r w:rsidRPr="00627FD1">
        <w:t>9.13</w:t>
      </w:r>
      <w:r>
        <w:tab/>
      </w:r>
      <w:r w:rsidRPr="00627FD1">
        <w:t>Glossary of technical terms</w:t>
      </w:r>
    </w:p>
    <w:p w14:paraId="13BE1727" w14:textId="77777777" w:rsidR="00CE75D4" w:rsidRDefault="00CE75D4" w:rsidP="008340C1">
      <w:pPr>
        <w:pStyle w:val="ARfinstructure1"/>
      </w:pPr>
      <w:r w:rsidRPr="00627FD1">
        <w:t>9.14</w:t>
      </w:r>
      <w:r>
        <w:tab/>
      </w:r>
      <w:r w:rsidRPr="00627FD1">
        <w:t>Style conventions</w:t>
      </w:r>
    </w:p>
    <w:p w14:paraId="7E8AE5BE" w14:textId="77777777" w:rsidR="00CE75D4" w:rsidRPr="00F951BA" w:rsidRDefault="00CE75D4" w:rsidP="008340C1">
      <w:pPr>
        <w:pStyle w:val="Heading4"/>
      </w:pPr>
      <w:bookmarkStart w:id="630" w:name="_Ref112963385"/>
      <w:r w:rsidRPr="00F951BA">
        <w:rPr>
          <w:lang w:eastAsia="en-AU"/>
        </w:rPr>
        <w:t>9.1 Ex-gratia expenses</w:t>
      </w:r>
      <w:bookmarkEnd w:id="630"/>
    </w:p>
    <w:p w14:paraId="319C9B2B" w14:textId="77777777" w:rsidR="00CE75D4" w:rsidRDefault="00CE75D4" w:rsidP="008340C1">
      <w:pPr>
        <w:pStyle w:val="ARfinbody"/>
      </w:pPr>
      <w:r w:rsidRPr="00627FD1">
        <w:t>Ex-gratia expenses are the voluntary payments of money or other non-monetary benefit (for example a write off) that is not made either to acquire goods, services or other benefits for the entity or to meet a legal liability, or to settle or resolve a possible legal liability of or claim against the entity.</w:t>
      </w:r>
    </w:p>
    <w:p w14:paraId="5FF97EBC" w14:textId="77777777" w:rsidR="00CE75D4" w:rsidRDefault="00CE75D4" w:rsidP="008340C1">
      <w:pPr>
        <w:pStyle w:val="ARfinbody"/>
      </w:pPr>
      <w:r w:rsidRPr="00627FD1">
        <w:t>There were no ex-gratia expense items greater than or equal to $5,000 in the current and previous year.</w:t>
      </w:r>
    </w:p>
    <w:p w14:paraId="017FE265" w14:textId="77777777" w:rsidR="00CE75D4" w:rsidRPr="0040433B" w:rsidRDefault="00CE75D4" w:rsidP="00130D1C">
      <w:pPr>
        <w:pStyle w:val="ARfinbody"/>
      </w:pPr>
      <w:r w:rsidRPr="0040433B">
        <w:br w:type="page"/>
      </w:r>
    </w:p>
    <w:p w14:paraId="221CE5FB" w14:textId="77777777" w:rsidR="00CE75D4" w:rsidRDefault="00CE75D4" w:rsidP="00130D1C">
      <w:pPr>
        <w:pStyle w:val="Heading4"/>
        <w:rPr>
          <w:lang w:eastAsia="en-AU"/>
        </w:rPr>
      </w:pPr>
      <w:bookmarkStart w:id="631" w:name="_Toc39242167"/>
      <w:bookmarkStart w:id="632" w:name="_Toc85121548"/>
      <w:r>
        <w:rPr>
          <w:lang w:eastAsia="en-AU"/>
        </w:rPr>
        <w:t>9.2 Other economic flows included in net result</w:t>
      </w:r>
      <w:bookmarkEnd w:id="631"/>
      <w:bookmarkEnd w:id="632"/>
    </w:p>
    <w:p w14:paraId="49AF84E2" w14:textId="77777777" w:rsidR="00CE75D4" w:rsidRDefault="00CE75D4" w:rsidP="008340C1">
      <w:pPr>
        <w:pStyle w:val="ARfinbody"/>
        <w:spacing w:after="30"/>
      </w:pPr>
      <w:r>
        <w:t>Other economic flows are changes in the volume or value of an asset or liability that do not result from transactions. Other gains/(losses) from other economic flows include the gains or losses from:</w:t>
      </w:r>
    </w:p>
    <w:p w14:paraId="6D89A801" w14:textId="77777777" w:rsidR="00CE75D4" w:rsidRDefault="00CE75D4" w:rsidP="008340C1">
      <w:pPr>
        <w:pStyle w:val="ARfinbullet1"/>
        <w:spacing w:after="30"/>
      </w:pPr>
      <w:r>
        <w:t>the revaluation of the present value of the long service leave liability due to changes in the bond interest rates and the effects of changes in actuarial assumptions</w:t>
      </w:r>
    </w:p>
    <w:p w14:paraId="54FF250C" w14:textId="77777777" w:rsidR="00CE75D4" w:rsidRDefault="00CE75D4" w:rsidP="008340C1">
      <w:pPr>
        <w:pStyle w:val="ARfinbullet1"/>
        <w:spacing w:after="30"/>
      </w:pPr>
      <w:r>
        <w:t>other revaluations on the value of outstanding insurance claims and liabilities</w:t>
      </w:r>
    </w:p>
    <w:p w14:paraId="5B3D32C5" w14:textId="77777777" w:rsidR="00CE75D4" w:rsidRPr="002029AF" w:rsidRDefault="00CE75D4" w:rsidP="008340C1">
      <w:pPr>
        <w:pStyle w:val="ARfinbullet1"/>
        <w:spacing w:after="30"/>
      </w:pPr>
      <w:r>
        <w:t>bad debt expenses.</w:t>
      </w:r>
    </w:p>
    <w:tbl>
      <w:tblPr>
        <w:tblStyle w:val="TableGrid"/>
        <w:tblW w:w="9637" w:type="dxa"/>
        <w:tblLayout w:type="fixed"/>
        <w:tblLook w:val="06A0" w:firstRow="1" w:lastRow="0" w:firstColumn="1" w:lastColumn="0" w:noHBand="1" w:noVBand="1"/>
      </w:tblPr>
      <w:tblGrid>
        <w:gridCol w:w="7369"/>
        <w:gridCol w:w="1134"/>
        <w:gridCol w:w="1134"/>
      </w:tblGrid>
      <w:tr w:rsidR="00CE75D4" w:rsidRPr="002029AF" w14:paraId="56F6F511"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55D1A19B" w14:textId="77777777" w:rsidR="00CE75D4" w:rsidRPr="002029AF" w:rsidRDefault="00CE75D4" w:rsidP="008340C1">
            <w:pPr>
              <w:pStyle w:val="ARfintablecolhead"/>
              <w:spacing w:before="30" w:after="10"/>
            </w:pPr>
          </w:p>
        </w:tc>
        <w:tc>
          <w:tcPr>
            <w:tcW w:w="1134" w:type="dxa"/>
            <w:tcBorders>
              <w:bottom w:val="single" w:sz="4" w:space="0" w:color="auto"/>
            </w:tcBorders>
            <w:shd w:val="clear" w:color="auto" w:fill="E7E6E6"/>
            <w:hideMark/>
          </w:tcPr>
          <w:p w14:paraId="6631A2AE" w14:textId="77777777" w:rsidR="00CE75D4" w:rsidRPr="002029AF" w:rsidRDefault="00CE75D4" w:rsidP="008340C1">
            <w:pPr>
              <w:pStyle w:val="ARfintablecolheadright"/>
              <w:spacing w:before="30" w:after="10"/>
            </w:pPr>
            <w:r w:rsidRPr="002029AF">
              <w:t>202</w:t>
            </w:r>
            <w:r>
              <w:t>2</w:t>
            </w:r>
          </w:p>
          <w:p w14:paraId="193AD238" w14:textId="77777777" w:rsidR="00CE75D4" w:rsidRPr="002029AF" w:rsidRDefault="00CE75D4" w:rsidP="008340C1">
            <w:pPr>
              <w:pStyle w:val="ARfintablecolheadright"/>
              <w:spacing w:before="30" w:after="10"/>
            </w:pPr>
            <w:r w:rsidRPr="002029AF">
              <w:t>$M</w:t>
            </w:r>
          </w:p>
        </w:tc>
        <w:tc>
          <w:tcPr>
            <w:tcW w:w="1134" w:type="dxa"/>
            <w:tcBorders>
              <w:bottom w:val="single" w:sz="4" w:space="0" w:color="auto"/>
            </w:tcBorders>
            <w:hideMark/>
          </w:tcPr>
          <w:p w14:paraId="009F5C21" w14:textId="77777777" w:rsidR="00CE75D4" w:rsidRPr="002029AF" w:rsidRDefault="00CE75D4" w:rsidP="008340C1">
            <w:pPr>
              <w:pStyle w:val="ARfintablecolheadright"/>
              <w:spacing w:before="30" w:after="10"/>
            </w:pPr>
            <w:r>
              <w:t>2021</w:t>
            </w:r>
          </w:p>
          <w:p w14:paraId="7C9E10C9" w14:textId="77777777" w:rsidR="00CE75D4" w:rsidRPr="002029AF" w:rsidRDefault="00CE75D4" w:rsidP="008340C1">
            <w:pPr>
              <w:pStyle w:val="ARfintablecolheadright"/>
              <w:spacing w:before="30" w:after="10"/>
            </w:pPr>
            <w:r w:rsidRPr="002029AF">
              <w:t>$M</w:t>
            </w:r>
          </w:p>
        </w:tc>
      </w:tr>
      <w:tr w:rsidR="00CE75D4" w:rsidRPr="002029AF" w14:paraId="20068551" w14:textId="77777777" w:rsidTr="00860E95">
        <w:tc>
          <w:tcPr>
            <w:tcW w:w="9637" w:type="dxa"/>
            <w:gridSpan w:val="3"/>
            <w:tcBorders>
              <w:top w:val="single" w:sz="4" w:space="0" w:color="auto"/>
              <w:bottom w:val="single" w:sz="4" w:space="0" w:color="A6A6A6"/>
            </w:tcBorders>
            <w:hideMark/>
          </w:tcPr>
          <w:p w14:paraId="5B2470C1" w14:textId="77777777" w:rsidR="00CE75D4" w:rsidRPr="002029AF" w:rsidRDefault="00CE75D4" w:rsidP="008340C1">
            <w:pPr>
              <w:pStyle w:val="ARfintablebodybold"/>
              <w:spacing w:before="30" w:after="10"/>
            </w:pPr>
            <w:r w:rsidRPr="00420207">
              <w:t>(a) Net gain/(loss) on non-financial assets</w:t>
            </w:r>
          </w:p>
        </w:tc>
      </w:tr>
      <w:tr w:rsidR="00CE75D4" w:rsidRPr="002029AF" w14:paraId="536B1909" w14:textId="77777777" w:rsidTr="00860E95">
        <w:tc>
          <w:tcPr>
            <w:tcW w:w="9637" w:type="dxa"/>
            <w:gridSpan w:val="3"/>
            <w:tcBorders>
              <w:top w:val="single" w:sz="4" w:space="0" w:color="A6A6A6"/>
              <w:bottom w:val="single" w:sz="4" w:space="0" w:color="A6A6A6"/>
            </w:tcBorders>
            <w:hideMark/>
          </w:tcPr>
          <w:p w14:paraId="353528CD" w14:textId="77777777" w:rsidR="00CE75D4" w:rsidRPr="002029AF" w:rsidRDefault="00CE75D4" w:rsidP="008340C1">
            <w:pPr>
              <w:pStyle w:val="ARfintablebodybold"/>
              <w:spacing w:before="30" w:after="10"/>
            </w:pPr>
            <w:r w:rsidRPr="00420207">
              <w:t>Revenue from disposal of non-financial physical assets</w:t>
            </w:r>
          </w:p>
        </w:tc>
      </w:tr>
      <w:tr w:rsidR="00CE75D4" w:rsidRPr="002029AF" w14:paraId="53ACACBD" w14:textId="77777777" w:rsidTr="00860E95">
        <w:tc>
          <w:tcPr>
            <w:tcW w:w="7369" w:type="dxa"/>
            <w:tcBorders>
              <w:top w:val="single" w:sz="4" w:space="0" w:color="A6A6A6"/>
              <w:bottom w:val="single" w:sz="4" w:space="0" w:color="A6A6A6"/>
            </w:tcBorders>
            <w:hideMark/>
          </w:tcPr>
          <w:p w14:paraId="4EAC62EF" w14:textId="77777777" w:rsidR="00CE75D4" w:rsidRPr="002029AF" w:rsidRDefault="00CE75D4" w:rsidP="008340C1">
            <w:pPr>
              <w:pStyle w:val="ARfintablebody"/>
              <w:spacing w:before="30" w:after="10"/>
            </w:pPr>
            <w:r w:rsidRPr="00420207">
              <w:t>Land</w:t>
            </w:r>
          </w:p>
        </w:tc>
        <w:tc>
          <w:tcPr>
            <w:tcW w:w="1134" w:type="dxa"/>
            <w:tcBorders>
              <w:top w:val="single" w:sz="4" w:space="0" w:color="A6A6A6"/>
              <w:bottom w:val="single" w:sz="4" w:space="0" w:color="A6A6A6"/>
            </w:tcBorders>
            <w:shd w:val="clear" w:color="auto" w:fill="E7E6E6"/>
            <w:noWrap/>
            <w:hideMark/>
          </w:tcPr>
          <w:p w14:paraId="465C3D8C" w14:textId="77777777" w:rsidR="00CE75D4" w:rsidRPr="002029AF" w:rsidRDefault="00CE75D4" w:rsidP="008340C1">
            <w:pPr>
              <w:pStyle w:val="ARfintablebodyright"/>
              <w:spacing w:before="30" w:after="10"/>
            </w:pPr>
            <w:r>
              <w:t>–</w:t>
            </w:r>
          </w:p>
        </w:tc>
        <w:tc>
          <w:tcPr>
            <w:tcW w:w="1134" w:type="dxa"/>
            <w:tcBorders>
              <w:top w:val="single" w:sz="4" w:space="0" w:color="A6A6A6"/>
              <w:bottom w:val="single" w:sz="4" w:space="0" w:color="A6A6A6"/>
            </w:tcBorders>
            <w:noWrap/>
            <w:hideMark/>
          </w:tcPr>
          <w:p w14:paraId="5BB1EBB7" w14:textId="77777777" w:rsidR="00CE75D4" w:rsidRPr="002029AF" w:rsidRDefault="00CE75D4" w:rsidP="008340C1">
            <w:pPr>
              <w:pStyle w:val="ARfintablebodyright"/>
              <w:spacing w:before="30" w:after="10"/>
            </w:pPr>
            <w:r w:rsidRPr="00420207">
              <w:t>38.3</w:t>
            </w:r>
          </w:p>
        </w:tc>
      </w:tr>
      <w:tr w:rsidR="00CE75D4" w:rsidRPr="002029AF" w14:paraId="7A3E8E2C" w14:textId="77777777" w:rsidTr="00860E95">
        <w:tc>
          <w:tcPr>
            <w:tcW w:w="7369" w:type="dxa"/>
            <w:tcBorders>
              <w:top w:val="single" w:sz="4" w:space="0" w:color="A6A6A6"/>
              <w:bottom w:val="single" w:sz="4" w:space="0" w:color="A6A6A6"/>
            </w:tcBorders>
            <w:hideMark/>
          </w:tcPr>
          <w:p w14:paraId="226B9FA9" w14:textId="77777777" w:rsidR="00CE75D4" w:rsidRPr="002029AF" w:rsidRDefault="00CE75D4" w:rsidP="008340C1">
            <w:pPr>
              <w:pStyle w:val="ARfintablebody"/>
              <w:spacing w:before="30" w:after="10"/>
            </w:pPr>
            <w:r w:rsidRPr="00420207">
              <w:t>Buildings</w:t>
            </w:r>
          </w:p>
        </w:tc>
        <w:tc>
          <w:tcPr>
            <w:tcW w:w="1134" w:type="dxa"/>
            <w:tcBorders>
              <w:top w:val="single" w:sz="4" w:space="0" w:color="A6A6A6"/>
              <w:bottom w:val="single" w:sz="4" w:space="0" w:color="A6A6A6"/>
            </w:tcBorders>
            <w:shd w:val="clear" w:color="auto" w:fill="E7E6E6"/>
            <w:noWrap/>
            <w:hideMark/>
          </w:tcPr>
          <w:p w14:paraId="15D8D76F" w14:textId="77777777" w:rsidR="00CE75D4" w:rsidRPr="002029AF" w:rsidRDefault="00CE75D4" w:rsidP="008340C1">
            <w:pPr>
              <w:pStyle w:val="ARfintablebodyright"/>
              <w:spacing w:before="30" w:after="10"/>
            </w:pPr>
            <w:r>
              <w:t>–</w:t>
            </w:r>
          </w:p>
        </w:tc>
        <w:tc>
          <w:tcPr>
            <w:tcW w:w="1134" w:type="dxa"/>
            <w:tcBorders>
              <w:top w:val="single" w:sz="4" w:space="0" w:color="A6A6A6"/>
              <w:bottom w:val="single" w:sz="4" w:space="0" w:color="A6A6A6"/>
            </w:tcBorders>
            <w:noWrap/>
            <w:hideMark/>
          </w:tcPr>
          <w:p w14:paraId="3ACD8A47" w14:textId="77777777" w:rsidR="00CE75D4" w:rsidRPr="002029AF" w:rsidRDefault="00CE75D4" w:rsidP="008340C1">
            <w:pPr>
              <w:pStyle w:val="ARfintablebodyright"/>
              <w:spacing w:before="30" w:after="10"/>
            </w:pPr>
            <w:r w:rsidRPr="00420207">
              <w:t>22.4</w:t>
            </w:r>
          </w:p>
        </w:tc>
      </w:tr>
      <w:tr w:rsidR="00CE75D4" w:rsidRPr="002029AF" w14:paraId="7AD134DE" w14:textId="77777777" w:rsidTr="00860E95">
        <w:tc>
          <w:tcPr>
            <w:tcW w:w="7369" w:type="dxa"/>
            <w:tcBorders>
              <w:top w:val="single" w:sz="4" w:space="0" w:color="A6A6A6"/>
              <w:bottom w:val="single" w:sz="4" w:space="0" w:color="A6A6A6"/>
            </w:tcBorders>
            <w:hideMark/>
          </w:tcPr>
          <w:p w14:paraId="4CE119A8" w14:textId="77777777" w:rsidR="00CE75D4" w:rsidRPr="002029AF" w:rsidRDefault="00CE75D4" w:rsidP="008340C1">
            <w:pPr>
              <w:pStyle w:val="ARfintablebody"/>
              <w:spacing w:before="30" w:after="10"/>
            </w:pPr>
            <w:r w:rsidRPr="00420207">
              <w:t>Shared home ownership scheme</w:t>
            </w:r>
          </w:p>
        </w:tc>
        <w:tc>
          <w:tcPr>
            <w:tcW w:w="1134" w:type="dxa"/>
            <w:tcBorders>
              <w:top w:val="single" w:sz="4" w:space="0" w:color="A6A6A6"/>
              <w:bottom w:val="single" w:sz="4" w:space="0" w:color="A6A6A6"/>
            </w:tcBorders>
            <w:shd w:val="clear" w:color="auto" w:fill="E7E6E6"/>
            <w:noWrap/>
            <w:hideMark/>
          </w:tcPr>
          <w:p w14:paraId="72A21C9E" w14:textId="77777777" w:rsidR="00CE75D4" w:rsidRPr="002029AF" w:rsidRDefault="00CE75D4" w:rsidP="008340C1">
            <w:pPr>
              <w:pStyle w:val="ARfintablebodyright"/>
              <w:spacing w:before="30" w:after="10"/>
            </w:pPr>
            <w:r>
              <w:t>–</w:t>
            </w:r>
          </w:p>
        </w:tc>
        <w:tc>
          <w:tcPr>
            <w:tcW w:w="1134" w:type="dxa"/>
            <w:tcBorders>
              <w:top w:val="single" w:sz="4" w:space="0" w:color="A6A6A6"/>
              <w:bottom w:val="single" w:sz="4" w:space="0" w:color="A6A6A6"/>
            </w:tcBorders>
            <w:noWrap/>
            <w:hideMark/>
          </w:tcPr>
          <w:p w14:paraId="5030CA64" w14:textId="77777777" w:rsidR="00CE75D4" w:rsidRPr="002029AF" w:rsidRDefault="00CE75D4" w:rsidP="008340C1">
            <w:pPr>
              <w:pStyle w:val="ARfintablebodyright"/>
              <w:spacing w:before="30" w:after="10"/>
            </w:pPr>
            <w:r w:rsidRPr="00420207">
              <w:t>1.7</w:t>
            </w:r>
          </w:p>
        </w:tc>
      </w:tr>
      <w:tr w:rsidR="00CE75D4" w:rsidRPr="002029AF" w14:paraId="11F77292" w14:textId="77777777" w:rsidTr="00860E95">
        <w:tc>
          <w:tcPr>
            <w:tcW w:w="7369" w:type="dxa"/>
            <w:tcBorders>
              <w:top w:val="single" w:sz="4" w:space="0" w:color="A6A6A6"/>
            </w:tcBorders>
            <w:hideMark/>
          </w:tcPr>
          <w:p w14:paraId="46E620FC" w14:textId="77777777" w:rsidR="00CE75D4" w:rsidRPr="002029AF" w:rsidRDefault="00CE75D4" w:rsidP="008340C1">
            <w:pPr>
              <w:pStyle w:val="ARfintablebody"/>
              <w:spacing w:before="30" w:after="10"/>
            </w:pPr>
            <w:r w:rsidRPr="00420207">
              <w:t>Motor vehicles</w:t>
            </w:r>
          </w:p>
        </w:tc>
        <w:tc>
          <w:tcPr>
            <w:tcW w:w="1134" w:type="dxa"/>
            <w:tcBorders>
              <w:top w:val="single" w:sz="4" w:space="0" w:color="A6A6A6"/>
            </w:tcBorders>
            <w:shd w:val="clear" w:color="auto" w:fill="E7E6E6"/>
            <w:noWrap/>
            <w:hideMark/>
          </w:tcPr>
          <w:p w14:paraId="058C3273" w14:textId="77777777" w:rsidR="00CE75D4" w:rsidRPr="002029AF" w:rsidRDefault="00CE75D4" w:rsidP="008340C1">
            <w:pPr>
              <w:pStyle w:val="ARfintablebodyright"/>
              <w:spacing w:before="30" w:after="10"/>
            </w:pPr>
            <w:r w:rsidRPr="00420207">
              <w:t>0.6</w:t>
            </w:r>
          </w:p>
        </w:tc>
        <w:tc>
          <w:tcPr>
            <w:tcW w:w="1134" w:type="dxa"/>
            <w:tcBorders>
              <w:top w:val="single" w:sz="4" w:space="0" w:color="A6A6A6"/>
            </w:tcBorders>
            <w:noWrap/>
            <w:hideMark/>
          </w:tcPr>
          <w:p w14:paraId="6E782384" w14:textId="77777777" w:rsidR="00CE75D4" w:rsidRPr="002029AF" w:rsidRDefault="00CE75D4" w:rsidP="008340C1">
            <w:pPr>
              <w:pStyle w:val="ARfintablebodyright"/>
              <w:spacing w:before="30" w:after="10"/>
            </w:pPr>
            <w:r w:rsidRPr="00420207">
              <w:t>4.9</w:t>
            </w:r>
          </w:p>
        </w:tc>
      </w:tr>
      <w:tr w:rsidR="00CE75D4" w:rsidRPr="002029AF" w14:paraId="424B30A4" w14:textId="77777777" w:rsidTr="00860E95">
        <w:tc>
          <w:tcPr>
            <w:tcW w:w="7369" w:type="dxa"/>
            <w:tcBorders>
              <w:bottom w:val="single" w:sz="4" w:space="0" w:color="auto"/>
            </w:tcBorders>
            <w:hideMark/>
          </w:tcPr>
          <w:p w14:paraId="5CF30901" w14:textId="77777777" w:rsidR="00CE75D4" w:rsidRPr="002029AF" w:rsidRDefault="00CE75D4" w:rsidP="008340C1">
            <w:pPr>
              <w:pStyle w:val="ARfintablebodybold"/>
              <w:spacing w:before="30" w:after="10"/>
            </w:pPr>
            <w:r w:rsidRPr="00420207">
              <w:t>Total revenue from disposal of non-financial physical assets</w:t>
            </w:r>
          </w:p>
        </w:tc>
        <w:tc>
          <w:tcPr>
            <w:tcW w:w="1134" w:type="dxa"/>
            <w:tcBorders>
              <w:bottom w:val="single" w:sz="4" w:space="0" w:color="auto"/>
            </w:tcBorders>
            <w:shd w:val="clear" w:color="auto" w:fill="E7E6E6"/>
            <w:noWrap/>
            <w:hideMark/>
          </w:tcPr>
          <w:p w14:paraId="72AD4D84" w14:textId="77777777" w:rsidR="00CE75D4" w:rsidRPr="002029AF" w:rsidRDefault="00CE75D4" w:rsidP="008340C1">
            <w:pPr>
              <w:pStyle w:val="ARfintablebodyrightbold"/>
              <w:spacing w:before="30" w:after="10"/>
            </w:pPr>
            <w:r w:rsidRPr="00420207">
              <w:t>0.6</w:t>
            </w:r>
          </w:p>
        </w:tc>
        <w:tc>
          <w:tcPr>
            <w:tcW w:w="1134" w:type="dxa"/>
            <w:tcBorders>
              <w:bottom w:val="single" w:sz="4" w:space="0" w:color="auto"/>
            </w:tcBorders>
            <w:noWrap/>
            <w:hideMark/>
          </w:tcPr>
          <w:p w14:paraId="7D83BF34" w14:textId="77777777" w:rsidR="00CE75D4" w:rsidRPr="002029AF" w:rsidRDefault="00CE75D4" w:rsidP="008340C1">
            <w:pPr>
              <w:pStyle w:val="ARfintablebodyrightbold"/>
              <w:spacing w:before="30" w:after="10"/>
            </w:pPr>
            <w:r w:rsidRPr="00420207">
              <w:t>67.3</w:t>
            </w:r>
          </w:p>
        </w:tc>
      </w:tr>
      <w:tr w:rsidR="00CE75D4" w:rsidRPr="002029AF" w14:paraId="652865DE" w14:textId="77777777" w:rsidTr="00860E95">
        <w:tc>
          <w:tcPr>
            <w:tcW w:w="9637" w:type="dxa"/>
            <w:gridSpan w:val="3"/>
            <w:tcBorders>
              <w:top w:val="single" w:sz="4" w:space="0" w:color="auto"/>
              <w:bottom w:val="single" w:sz="4" w:space="0" w:color="A6A6A6"/>
            </w:tcBorders>
            <w:hideMark/>
          </w:tcPr>
          <w:p w14:paraId="5995DC11" w14:textId="77777777" w:rsidR="00CE75D4" w:rsidRPr="002029AF" w:rsidRDefault="00CE75D4" w:rsidP="008340C1">
            <w:pPr>
              <w:pStyle w:val="ARfintablebodybold"/>
              <w:spacing w:before="30" w:after="10"/>
            </w:pPr>
            <w:r w:rsidRPr="00420207">
              <w:t>Costs on disposal of non-financial physical assets</w:t>
            </w:r>
          </w:p>
        </w:tc>
      </w:tr>
      <w:tr w:rsidR="00CE75D4" w:rsidRPr="002029AF" w14:paraId="6E3DD0D2" w14:textId="77777777" w:rsidTr="00860E95">
        <w:tc>
          <w:tcPr>
            <w:tcW w:w="7369" w:type="dxa"/>
            <w:tcBorders>
              <w:top w:val="single" w:sz="4" w:space="0" w:color="A6A6A6"/>
              <w:bottom w:val="single" w:sz="4" w:space="0" w:color="A6A6A6"/>
            </w:tcBorders>
            <w:hideMark/>
          </w:tcPr>
          <w:p w14:paraId="59D8F2DA" w14:textId="77777777" w:rsidR="00CE75D4" w:rsidRPr="002029AF" w:rsidRDefault="00CE75D4" w:rsidP="008340C1">
            <w:pPr>
              <w:pStyle w:val="ARfintablebody"/>
              <w:spacing w:before="30" w:after="10"/>
            </w:pPr>
            <w:r w:rsidRPr="00420207">
              <w:t>Land</w:t>
            </w:r>
          </w:p>
        </w:tc>
        <w:tc>
          <w:tcPr>
            <w:tcW w:w="1134" w:type="dxa"/>
            <w:tcBorders>
              <w:top w:val="single" w:sz="4" w:space="0" w:color="A6A6A6"/>
              <w:bottom w:val="single" w:sz="4" w:space="0" w:color="A6A6A6"/>
            </w:tcBorders>
            <w:shd w:val="clear" w:color="auto" w:fill="E7E6E6"/>
            <w:noWrap/>
            <w:hideMark/>
          </w:tcPr>
          <w:p w14:paraId="72E9830A" w14:textId="77777777" w:rsidR="00CE75D4" w:rsidRPr="002029AF" w:rsidRDefault="00CE75D4" w:rsidP="008340C1">
            <w:pPr>
              <w:pStyle w:val="ARfintablebodyright"/>
              <w:spacing w:before="30" w:after="10"/>
            </w:pPr>
            <w:r>
              <w:t>–</w:t>
            </w:r>
          </w:p>
        </w:tc>
        <w:tc>
          <w:tcPr>
            <w:tcW w:w="1134" w:type="dxa"/>
            <w:tcBorders>
              <w:top w:val="single" w:sz="4" w:space="0" w:color="A6A6A6"/>
              <w:bottom w:val="single" w:sz="4" w:space="0" w:color="A6A6A6"/>
            </w:tcBorders>
            <w:noWrap/>
            <w:hideMark/>
          </w:tcPr>
          <w:p w14:paraId="0354FB6A" w14:textId="77777777" w:rsidR="00CE75D4" w:rsidRPr="002029AF" w:rsidRDefault="00CE75D4" w:rsidP="008340C1">
            <w:pPr>
              <w:pStyle w:val="ARfintablebodyright"/>
              <w:spacing w:before="30" w:after="10"/>
            </w:pPr>
            <w:r w:rsidRPr="00420207">
              <w:t>40.0</w:t>
            </w:r>
          </w:p>
        </w:tc>
      </w:tr>
      <w:tr w:rsidR="00CE75D4" w:rsidRPr="002029AF" w14:paraId="1FF30347" w14:textId="77777777" w:rsidTr="00860E95">
        <w:tc>
          <w:tcPr>
            <w:tcW w:w="7369" w:type="dxa"/>
            <w:tcBorders>
              <w:top w:val="single" w:sz="4" w:space="0" w:color="A6A6A6"/>
              <w:bottom w:val="single" w:sz="4" w:space="0" w:color="A6A6A6"/>
            </w:tcBorders>
            <w:hideMark/>
          </w:tcPr>
          <w:p w14:paraId="5480F4C9" w14:textId="77777777" w:rsidR="00CE75D4" w:rsidRPr="002029AF" w:rsidRDefault="00CE75D4" w:rsidP="008340C1">
            <w:pPr>
              <w:pStyle w:val="ARfintablebody"/>
              <w:spacing w:before="30" w:after="10"/>
            </w:pPr>
            <w:r w:rsidRPr="00420207">
              <w:t>Buildings</w:t>
            </w:r>
          </w:p>
        </w:tc>
        <w:tc>
          <w:tcPr>
            <w:tcW w:w="1134" w:type="dxa"/>
            <w:tcBorders>
              <w:top w:val="single" w:sz="4" w:space="0" w:color="A6A6A6"/>
              <w:bottom w:val="single" w:sz="4" w:space="0" w:color="A6A6A6"/>
            </w:tcBorders>
            <w:shd w:val="clear" w:color="auto" w:fill="E7E6E6"/>
            <w:noWrap/>
            <w:hideMark/>
          </w:tcPr>
          <w:p w14:paraId="723BB462" w14:textId="77777777" w:rsidR="00CE75D4" w:rsidRPr="002029AF" w:rsidRDefault="00CE75D4" w:rsidP="008340C1">
            <w:pPr>
              <w:pStyle w:val="ARfintablebodyright"/>
              <w:spacing w:before="30" w:after="10"/>
            </w:pPr>
            <w:r>
              <w:t>–</w:t>
            </w:r>
          </w:p>
        </w:tc>
        <w:tc>
          <w:tcPr>
            <w:tcW w:w="1134" w:type="dxa"/>
            <w:tcBorders>
              <w:top w:val="single" w:sz="4" w:space="0" w:color="A6A6A6"/>
              <w:bottom w:val="single" w:sz="4" w:space="0" w:color="A6A6A6"/>
            </w:tcBorders>
            <w:noWrap/>
            <w:hideMark/>
          </w:tcPr>
          <w:p w14:paraId="77840CFB" w14:textId="77777777" w:rsidR="00CE75D4" w:rsidRPr="002029AF" w:rsidRDefault="00CE75D4" w:rsidP="008340C1">
            <w:pPr>
              <w:pStyle w:val="ARfintablebodyright"/>
              <w:spacing w:before="30" w:after="10"/>
            </w:pPr>
            <w:r w:rsidRPr="00420207">
              <w:t>24.3</w:t>
            </w:r>
          </w:p>
        </w:tc>
      </w:tr>
      <w:tr w:rsidR="00CE75D4" w:rsidRPr="002029AF" w14:paraId="0C241A70" w14:textId="77777777" w:rsidTr="00860E95">
        <w:tc>
          <w:tcPr>
            <w:tcW w:w="7369" w:type="dxa"/>
            <w:tcBorders>
              <w:top w:val="single" w:sz="4" w:space="0" w:color="A6A6A6"/>
              <w:bottom w:val="single" w:sz="4" w:space="0" w:color="A6A6A6"/>
            </w:tcBorders>
            <w:hideMark/>
          </w:tcPr>
          <w:p w14:paraId="48D18BA4" w14:textId="77777777" w:rsidR="00CE75D4" w:rsidRPr="002029AF" w:rsidRDefault="00CE75D4" w:rsidP="008340C1">
            <w:pPr>
              <w:pStyle w:val="ARfintablebody"/>
              <w:spacing w:before="30" w:after="10"/>
            </w:pPr>
            <w:r w:rsidRPr="00420207">
              <w:t xml:space="preserve">Shared home ownership scheme </w:t>
            </w:r>
          </w:p>
        </w:tc>
        <w:tc>
          <w:tcPr>
            <w:tcW w:w="1134" w:type="dxa"/>
            <w:tcBorders>
              <w:top w:val="single" w:sz="4" w:space="0" w:color="A6A6A6"/>
              <w:bottom w:val="single" w:sz="4" w:space="0" w:color="A6A6A6"/>
            </w:tcBorders>
            <w:shd w:val="clear" w:color="auto" w:fill="E7E6E6"/>
            <w:noWrap/>
            <w:hideMark/>
          </w:tcPr>
          <w:p w14:paraId="29E6EC0B" w14:textId="77777777" w:rsidR="00CE75D4" w:rsidRPr="002029AF" w:rsidRDefault="00CE75D4" w:rsidP="008340C1">
            <w:pPr>
              <w:pStyle w:val="ARfintablebodyright"/>
              <w:spacing w:before="30" w:after="10"/>
            </w:pPr>
            <w:r>
              <w:t>–</w:t>
            </w:r>
          </w:p>
        </w:tc>
        <w:tc>
          <w:tcPr>
            <w:tcW w:w="1134" w:type="dxa"/>
            <w:tcBorders>
              <w:top w:val="single" w:sz="4" w:space="0" w:color="A6A6A6"/>
              <w:bottom w:val="single" w:sz="4" w:space="0" w:color="A6A6A6"/>
            </w:tcBorders>
            <w:noWrap/>
            <w:hideMark/>
          </w:tcPr>
          <w:p w14:paraId="1AFA3731" w14:textId="77777777" w:rsidR="00CE75D4" w:rsidRPr="002029AF" w:rsidRDefault="00CE75D4" w:rsidP="008340C1">
            <w:pPr>
              <w:pStyle w:val="ARfintablebodyright"/>
              <w:spacing w:before="30" w:after="10"/>
            </w:pPr>
            <w:r w:rsidRPr="00420207">
              <w:t>1.7</w:t>
            </w:r>
          </w:p>
        </w:tc>
      </w:tr>
      <w:tr w:rsidR="00CE75D4" w:rsidRPr="002029AF" w14:paraId="13A64DED" w14:textId="77777777" w:rsidTr="00860E95">
        <w:tc>
          <w:tcPr>
            <w:tcW w:w="7369" w:type="dxa"/>
            <w:tcBorders>
              <w:top w:val="single" w:sz="4" w:space="0" w:color="A6A6A6"/>
              <w:bottom w:val="single" w:sz="4" w:space="0" w:color="A6A6A6"/>
            </w:tcBorders>
            <w:hideMark/>
          </w:tcPr>
          <w:p w14:paraId="6016E0AD" w14:textId="77777777" w:rsidR="00CE75D4" w:rsidRPr="002029AF" w:rsidRDefault="00CE75D4" w:rsidP="008340C1">
            <w:pPr>
              <w:pStyle w:val="ARfintablebody"/>
              <w:spacing w:before="30" w:after="10"/>
            </w:pPr>
            <w:r w:rsidRPr="00420207">
              <w:t>Community services properties</w:t>
            </w:r>
          </w:p>
        </w:tc>
        <w:tc>
          <w:tcPr>
            <w:tcW w:w="1134" w:type="dxa"/>
            <w:tcBorders>
              <w:top w:val="single" w:sz="4" w:space="0" w:color="A6A6A6"/>
              <w:bottom w:val="single" w:sz="4" w:space="0" w:color="A6A6A6"/>
            </w:tcBorders>
            <w:shd w:val="clear" w:color="auto" w:fill="E7E6E6"/>
            <w:noWrap/>
            <w:hideMark/>
          </w:tcPr>
          <w:p w14:paraId="68B62A35" w14:textId="77777777" w:rsidR="00CE75D4" w:rsidRPr="002029AF" w:rsidRDefault="00CE75D4" w:rsidP="008340C1">
            <w:pPr>
              <w:pStyle w:val="ARfintablebodyright"/>
              <w:spacing w:before="30" w:after="10"/>
            </w:pPr>
            <w:r>
              <w:t>–</w:t>
            </w:r>
          </w:p>
        </w:tc>
        <w:tc>
          <w:tcPr>
            <w:tcW w:w="1134" w:type="dxa"/>
            <w:tcBorders>
              <w:top w:val="single" w:sz="4" w:space="0" w:color="A6A6A6"/>
              <w:bottom w:val="single" w:sz="4" w:space="0" w:color="A6A6A6"/>
            </w:tcBorders>
            <w:noWrap/>
            <w:hideMark/>
          </w:tcPr>
          <w:p w14:paraId="2F7E1988" w14:textId="77777777" w:rsidR="00CE75D4" w:rsidRPr="002029AF" w:rsidRDefault="00CE75D4" w:rsidP="008340C1">
            <w:pPr>
              <w:pStyle w:val="ARfintablebodyright"/>
              <w:spacing w:before="30" w:after="10"/>
            </w:pPr>
            <w:r w:rsidRPr="00420207">
              <w:t>0.5</w:t>
            </w:r>
          </w:p>
        </w:tc>
      </w:tr>
      <w:tr w:rsidR="00CE75D4" w:rsidRPr="002029AF" w14:paraId="574B16B1" w14:textId="77777777" w:rsidTr="00860E95">
        <w:tc>
          <w:tcPr>
            <w:tcW w:w="7369" w:type="dxa"/>
            <w:tcBorders>
              <w:top w:val="single" w:sz="4" w:space="0" w:color="A6A6A6"/>
            </w:tcBorders>
            <w:hideMark/>
          </w:tcPr>
          <w:p w14:paraId="6E083691" w14:textId="77777777" w:rsidR="00CE75D4" w:rsidRPr="002029AF" w:rsidRDefault="00CE75D4" w:rsidP="008340C1">
            <w:pPr>
              <w:pStyle w:val="ARfintablebody"/>
              <w:spacing w:before="30" w:after="10"/>
            </w:pPr>
            <w:r w:rsidRPr="00420207">
              <w:t>Motor vehicles</w:t>
            </w:r>
          </w:p>
        </w:tc>
        <w:tc>
          <w:tcPr>
            <w:tcW w:w="1134" w:type="dxa"/>
            <w:tcBorders>
              <w:top w:val="single" w:sz="4" w:space="0" w:color="A6A6A6"/>
            </w:tcBorders>
            <w:shd w:val="clear" w:color="auto" w:fill="E7E6E6"/>
            <w:noWrap/>
            <w:hideMark/>
          </w:tcPr>
          <w:p w14:paraId="4C223EBA" w14:textId="77777777" w:rsidR="00CE75D4" w:rsidRPr="002029AF" w:rsidRDefault="00CE75D4" w:rsidP="008340C1">
            <w:pPr>
              <w:pStyle w:val="ARfintablebodyright"/>
              <w:spacing w:before="30" w:after="10"/>
            </w:pPr>
            <w:r w:rsidRPr="00420207">
              <w:t>0.3</w:t>
            </w:r>
          </w:p>
        </w:tc>
        <w:tc>
          <w:tcPr>
            <w:tcW w:w="1134" w:type="dxa"/>
            <w:tcBorders>
              <w:top w:val="single" w:sz="4" w:space="0" w:color="A6A6A6"/>
            </w:tcBorders>
            <w:noWrap/>
            <w:hideMark/>
          </w:tcPr>
          <w:p w14:paraId="58CD4E8B" w14:textId="77777777" w:rsidR="00CE75D4" w:rsidRPr="002029AF" w:rsidRDefault="00CE75D4" w:rsidP="008340C1">
            <w:pPr>
              <w:pStyle w:val="ARfintablebodyright"/>
              <w:spacing w:before="30" w:after="10"/>
            </w:pPr>
            <w:r w:rsidRPr="00420207">
              <w:t>3.7</w:t>
            </w:r>
          </w:p>
        </w:tc>
      </w:tr>
      <w:tr w:rsidR="00CE75D4" w:rsidRPr="002029AF" w14:paraId="30FF9050" w14:textId="77777777" w:rsidTr="00860E95">
        <w:tc>
          <w:tcPr>
            <w:tcW w:w="7369" w:type="dxa"/>
            <w:hideMark/>
          </w:tcPr>
          <w:p w14:paraId="76B2693A" w14:textId="77777777" w:rsidR="00CE75D4" w:rsidRPr="002029AF" w:rsidRDefault="00CE75D4" w:rsidP="008340C1">
            <w:pPr>
              <w:pStyle w:val="ARfintablebodybold"/>
              <w:spacing w:before="30" w:after="10"/>
            </w:pPr>
            <w:r w:rsidRPr="00420207">
              <w:t>Total costs on disposal of non-financial physical assets</w:t>
            </w:r>
          </w:p>
        </w:tc>
        <w:tc>
          <w:tcPr>
            <w:tcW w:w="1134" w:type="dxa"/>
            <w:shd w:val="clear" w:color="auto" w:fill="E7E6E6"/>
            <w:noWrap/>
            <w:hideMark/>
          </w:tcPr>
          <w:p w14:paraId="357BC99C" w14:textId="77777777" w:rsidR="00CE75D4" w:rsidRPr="002029AF" w:rsidRDefault="00CE75D4" w:rsidP="008340C1">
            <w:pPr>
              <w:pStyle w:val="ARfintablebodyrightbold"/>
              <w:spacing w:before="30" w:after="10"/>
            </w:pPr>
            <w:r w:rsidRPr="00420207">
              <w:t>0.3</w:t>
            </w:r>
          </w:p>
        </w:tc>
        <w:tc>
          <w:tcPr>
            <w:tcW w:w="1134" w:type="dxa"/>
            <w:noWrap/>
            <w:hideMark/>
          </w:tcPr>
          <w:p w14:paraId="68F242F5" w14:textId="77777777" w:rsidR="00CE75D4" w:rsidRPr="002029AF" w:rsidRDefault="00CE75D4" w:rsidP="008340C1">
            <w:pPr>
              <w:pStyle w:val="ARfintablebodyrightbold"/>
              <w:spacing w:before="30" w:after="10"/>
            </w:pPr>
            <w:r w:rsidRPr="00420207">
              <w:t>70.2</w:t>
            </w:r>
          </w:p>
        </w:tc>
      </w:tr>
      <w:tr w:rsidR="00CE75D4" w:rsidRPr="002029AF" w14:paraId="5CAEFAFA" w14:textId="77777777" w:rsidTr="00860E95">
        <w:tc>
          <w:tcPr>
            <w:tcW w:w="7369" w:type="dxa"/>
            <w:tcBorders>
              <w:bottom w:val="single" w:sz="4" w:space="0" w:color="auto"/>
            </w:tcBorders>
            <w:hideMark/>
          </w:tcPr>
          <w:p w14:paraId="575028B3" w14:textId="77777777" w:rsidR="00CE75D4" w:rsidRPr="002029AF" w:rsidRDefault="00CE75D4" w:rsidP="008340C1">
            <w:pPr>
              <w:pStyle w:val="ARfintablebodybold"/>
              <w:spacing w:before="30" w:after="10"/>
            </w:pPr>
            <w:r w:rsidRPr="00420207">
              <w:t>Net gain/(loss) on non-financial assets</w:t>
            </w:r>
          </w:p>
        </w:tc>
        <w:tc>
          <w:tcPr>
            <w:tcW w:w="1134" w:type="dxa"/>
            <w:tcBorders>
              <w:bottom w:val="single" w:sz="4" w:space="0" w:color="auto"/>
            </w:tcBorders>
            <w:shd w:val="clear" w:color="auto" w:fill="E7E6E6"/>
            <w:noWrap/>
            <w:hideMark/>
          </w:tcPr>
          <w:p w14:paraId="39363A7D" w14:textId="77777777" w:rsidR="00CE75D4" w:rsidRPr="002029AF" w:rsidRDefault="00CE75D4" w:rsidP="008340C1">
            <w:pPr>
              <w:pStyle w:val="ARfintablebodyrightbold"/>
              <w:spacing w:before="30" w:after="10"/>
            </w:pPr>
            <w:r w:rsidRPr="00420207">
              <w:t>0.3</w:t>
            </w:r>
          </w:p>
        </w:tc>
        <w:tc>
          <w:tcPr>
            <w:tcW w:w="1134" w:type="dxa"/>
            <w:tcBorders>
              <w:bottom w:val="single" w:sz="4" w:space="0" w:color="auto"/>
            </w:tcBorders>
            <w:noWrap/>
            <w:hideMark/>
          </w:tcPr>
          <w:p w14:paraId="706E909E" w14:textId="77777777" w:rsidR="00CE75D4" w:rsidRPr="002029AF" w:rsidRDefault="00CE75D4" w:rsidP="008340C1">
            <w:pPr>
              <w:pStyle w:val="ARfintablebodyrightbold"/>
              <w:spacing w:before="30" w:after="10"/>
            </w:pPr>
            <w:r w:rsidRPr="00420207">
              <w:t>(2.9)</w:t>
            </w:r>
          </w:p>
        </w:tc>
      </w:tr>
      <w:tr w:rsidR="00CE75D4" w:rsidRPr="002029AF" w14:paraId="70B9E29D" w14:textId="77777777" w:rsidTr="00860E95">
        <w:tc>
          <w:tcPr>
            <w:tcW w:w="9637" w:type="dxa"/>
            <w:gridSpan w:val="3"/>
            <w:tcBorders>
              <w:top w:val="single" w:sz="4" w:space="0" w:color="auto"/>
              <w:bottom w:val="single" w:sz="4" w:space="0" w:color="A6A6A6"/>
            </w:tcBorders>
            <w:hideMark/>
          </w:tcPr>
          <w:p w14:paraId="3FDF3325" w14:textId="77777777" w:rsidR="00CE75D4" w:rsidRPr="002029AF" w:rsidRDefault="00CE75D4" w:rsidP="008340C1">
            <w:pPr>
              <w:pStyle w:val="ARfintablebodybold"/>
              <w:spacing w:before="30" w:after="10"/>
            </w:pPr>
            <w:r w:rsidRPr="00420207">
              <w:t>(b) Net gain/(loss) on financial instruments</w:t>
            </w:r>
          </w:p>
        </w:tc>
      </w:tr>
      <w:tr w:rsidR="00CE75D4" w:rsidRPr="002029AF" w14:paraId="7A6910C4" w14:textId="77777777" w:rsidTr="00860E95">
        <w:tc>
          <w:tcPr>
            <w:tcW w:w="7369" w:type="dxa"/>
            <w:tcBorders>
              <w:top w:val="single" w:sz="4" w:space="0" w:color="A6A6A6"/>
            </w:tcBorders>
            <w:hideMark/>
          </w:tcPr>
          <w:p w14:paraId="26378883" w14:textId="77777777" w:rsidR="00CE75D4" w:rsidRPr="002029AF" w:rsidRDefault="00CE75D4" w:rsidP="008340C1">
            <w:pPr>
              <w:pStyle w:val="ARfintablebody"/>
              <w:spacing w:before="30" w:after="10"/>
            </w:pPr>
            <w:r w:rsidRPr="00420207">
              <w:t>Net gain/(loss) on financial instruments and statutory receivables/payables</w:t>
            </w:r>
          </w:p>
        </w:tc>
        <w:tc>
          <w:tcPr>
            <w:tcW w:w="1134" w:type="dxa"/>
            <w:tcBorders>
              <w:top w:val="single" w:sz="4" w:space="0" w:color="A6A6A6"/>
            </w:tcBorders>
            <w:shd w:val="clear" w:color="auto" w:fill="E7E6E6"/>
            <w:noWrap/>
            <w:hideMark/>
          </w:tcPr>
          <w:p w14:paraId="3B7CDD96" w14:textId="77777777" w:rsidR="00CE75D4" w:rsidRPr="002029AF" w:rsidRDefault="00CE75D4" w:rsidP="008340C1">
            <w:pPr>
              <w:pStyle w:val="ARfintablebodyright"/>
              <w:spacing w:before="30" w:after="10"/>
            </w:pPr>
            <w:r w:rsidRPr="00420207">
              <w:t>(0.2)</w:t>
            </w:r>
          </w:p>
        </w:tc>
        <w:tc>
          <w:tcPr>
            <w:tcW w:w="1134" w:type="dxa"/>
            <w:tcBorders>
              <w:top w:val="single" w:sz="4" w:space="0" w:color="A6A6A6"/>
            </w:tcBorders>
            <w:noWrap/>
            <w:hideMark/>
          </w:tcPr>
          <w:p w14:paraId="404D8EB8" w14:textId="77777777" w:rsidR="00CE75D4" w:rsidRPr="002029AF" w:rsidRDefault="00CE75D4" w:rsidP="008340C1">
            <w:pPr>
              <w:pStyle w:val="ARfintablebodyright"/>
              <w:spacing w:before="30" w:after="10"/>
            </w:pPr>
            <w:r w:rsidRPr="00420207">
              <w:t>1.6</w:t>
            </w:r>
          </w:p>
        </w:tc>
      </w:tr>
      <w:tr w:rsidR="00CE75D4" w:rsidRPr="002029AF" w14:paraId="43A211F1" w14:textId="77777777" w:rsidTr="00860E95">
        <w:tc>
          <w:tcPr>
            <w:tcW w:w="7369" w:type="dxa"/>
            <w:tcBorders>
              <w:bottom w:val="single" w:sz="4" w:space="0" w:color="auto"/>
            </w:tcBorders>
            <w:hideMark/>
          </w:tcPr>
          <w:p w14:paraId="2BB52CEF" w14:textId="77777777" w:rsidR="00CE75D4" w:rsidRPr="002029AF" w:rsidRDefault="00CE75D4" w:rsidP="008340C1">
            <w:pPr>
              <w:pStyle w:val="ARfintablebodybold"/>
              <w:spacing w:before="30" w:after="10"/>
            </w:pPr>
            <w:r w:rsidRPr="00420207">
              <w:t>Total net gain/(loss) on financial instruments</w:t>
            </w:r>
          </w:p>
        </w:tc>
        <w:tc>
          <w:tcPr>
            <w:tcW w:w="1134" w:type="dxa"/>
            <w:tcBorders>
              <w:bottom w:val="single" w:sz="4" w:space="0" w:color="auto"/>
            </w:tcBorders>
            <w:shd w:val="clear" w:color="auto" w:fill="E7E6E6"/>
            <w:noWrap/>
            <w:hideMark/>
          </w:tcPr>
          <w:p w14:paraId="60899EB8" w14:textId="77777777" w:rsidR="00CE75D4" w:rsidRPr="002029AF" w:rsidRDefault="00CE75D4" w:rsidP="008340C1">
            <w:pPr>
              <w:pStyle w:val="ARfintablebodyrightbold"/>
              <w:spacing w:before="30" w:after="10"/>
            </w:pPr>
            <w:r w:rsidRPr="00420207">
              <w:t>(0.2)</w:t>
            </w:r>
          </w:p>
        </w:tc>
        <w:tc>
          <w:tcPr>
            <w:tcW w:w="1134" w:type="dxa"/>
            <w:tcBorders>
              <w:bottom w:val="single" w:sz="4" w:space="0" w:color="auto"/>
            </w:tcBorders>
            <w:noWrap/>
            <w:hideMark/>
          </w:tcPr>
          <w:p w14:paraId="1A9AE724" w14:textId="77777777" w:rsidR="00CE75D4" w:rsidRPr="002029AF" w:rsidRDefault="00CE75D4" w:rsidP="008340C1">
            <w:pPr>
              <w:pStyle w:val="ARfintablebodyrightbold"/>
              <w:spacing w:before="30" w:after="10"/>
            </w:pPr>
            <w:r w:rsidRPr="00420207">
              <w:t>1.6</w:t>
            </w:r>
          </w:p>
        </w:tc>
      </w:tr>
      <w:tr w:rsidR="00CE75D4" w:rsidRPr="002029AF" w14:paraId="2E6A9860" w14:textId="77777777" w:rsidTr="00860E95">
        <w:tc>
          <w:tcPr>
            <w:tcW w:w="9637" w:type="dxa"/>
            <w:gridSpan w:val="3"/>
            <w:tcBorders>
              <w:top w:val="single" w:sz="4" w:space="0" w:color="auto"/>
              <w:bottom w:val="single" w:sz="4" w:space="0" w:color="A6A6A6"/>
            </w:tcBorders>
            <w:hideMark/>
          </w:tcPr>
          <w:p w14:paraId="3B97176E" w14:textId="5788D13E" w:rsidR="00CE75D4" w:rsidRPr="002029AF" w:rsidRDefault="00CE75D4" w:rsidP="008340C1">
            <w:pPr>
              <w:pStyle w:val="ARfintablebodybold"/>
              <w:spacing w:before="30" w:after="10"/>
            </w:pPr>
            <w:r w:rsidRPr="00420207">
              <w:t>(c) Other gains/(losses) from other economic flows</w:t>
            </w:r>
          </w:p>
        </w:tc>
      </w:tr>
      <w:tr w:rsidR="00CE75D4" w:rsidRPr="002029AF" w14:paraId="39DEDEC5" w14:textId="77777777" w:rsidTr="00860E95">
        <w:tc>
          <w:tcPr>
            <w:tcW w:w="7369" w:type="dxa"/>
            <w:tcBorders>
              <w:top w:val="single" w:sz="4" w:space="0" w:color="A6A6A6"/>
              <w:bottom w:val="single" w:sz="4" w:space="0" w:color="A6A6A6"/>
            </w:tcBorders>
            <w:hideMark/>
          </w:tcPr>
          <w:p w14:paraId="4A64644E" w14:textId="77777777" w:rsidR="00CE75D4" w:rsidRPr="002029AF" w:rsidRDefault="00CE75D4" w:rsidP="008340C1">
            <w:pPr>
              <w:pStyle w:val="ARfintablebody"/>
              <w:spacing w:before="30" w:after="10"/>
            </w:pPr>
            <w:r w:rsidRPr="00420207">
              <w:t>Net gain/(loss) arising from revaluation of long service leave liability</w:t>
            </w:r>
          </w:p>
        </w:tc>
        <w:tc>
          <w:tcPr>
            <w:tcW w:w="1134" w:type="dxa"/>
            <w:tcBorders>
              <w:top w:val="single" w:sz="4" w:space="0" w:color="A6A6A6"/>
              <w:bottom w:val="single" w:sz="4" w:space="0" w:color="A6A6A6"/>
            </w:tcBorders>
            <w:shd w:val="clear" w:color="auto" w:fill="E7E6E6"/>
            <w:noWrap/>
            <w:hideMark/>
          </w:tcPr>
          <w:p w14:paraId="0868DE7A" w14:textId="77777777" w:rsidR="00CE75D4" w:rsidRPr="002029AF" w:rsidRDefault="00CE75D4" w:rsidP="008340C1">
            <w:pPr>
              <w:pStyle w:val="ARfintablebodyright"/>
              <w:spacing w:before="30" w:after="10"/>
            </w:pPr>
            <w:r w:rsidRPr="00420207">
              <w:t>11.4</w:t>
            </w:r>
          </w:p>
        </w:tc>
        <w:tc>
          <w:tcPr>
            <w:tcW w:w="1134" w:type="dxa"/>
            <w:tcBorders>
              <w:top w:val="single" w:sz="4" w:space="0" w:color="A6A6A6"/>
              <w:bottom w:val="single" w:sz="4" w:space="0" w:color="A6A6A6"/>
            </w:tcBorders>
            <w:noWrap/>
            <w:hideMark/>
          </w:tcPr>
          <w:p w14:paraId="3A2BB581" w14:textId="77777777" w:rsidR="00CE75D4" w:rsidRPr="002029AF" w:rsidRDefault="00CE75D4" w:rsidP="008340C1">
            <w:pPr>
              <w:pStyle w:val="ARfintablebodyright"/>
              <w:spacing w:before="30" w:after="10"/>
            </w:pPr>
            <w:r w:rsidRPr="00420207">
              <w:t>8.0</w:t>
            </w:r>
          </w:p>
        </w:tc>
      </w:tr>
      <w:tr w:rsidR="00CE75D4" w:rsidRPr="002029AF" w14:paraId="68494B41" w14:textId="77777777" w:rsidTr="00860E95">
        <w:tc>
          <w:tcPr>
            <w:tcW w:w="7369" w:type="dxa"/>
            <w:tcBorders>
              <w:top w:val="single" w:sz="4" w:space="0" w:color="A6A6A6"/>
              <w:bottom w:val="single" w:sz="4" w:space="0" w:color="A6A6A6"/>
            </w:tcBorders>
            <w:hideMark/>
          </w:tcPr>
          <w:p w14:paraId="3614FB4B" w14:textId="77777777" w:rsidR="00CE75D4" w:rsidRPr="002029AF" w:rsidRDefault="00CE75D4" w:rsidP="008340C1">
            <w:pPr>
              <w:pStyle w:val="ARfintablebody"/>
              <w:spacing w:before="30" w:after="10"/>
            </w:pPr>
            <w:r w:rsidRPr="00420207">
              <w:t>Revaluation and adjustments of insurance claims</w:t>
            </w:r>
          </w:p>
        </w:tc>
        <w:tc>
          <w:tcPr>
            <w:tcW w:w="1134" w:type="dxa"/>
            <w:tcBorders>
              <w:top w:val="single" w:sz="4" w:space="0" w:color="A6A6A6"/>
              <w:bottom w:val="single" w:sz="4" w:space="0" w:color="A6A6A6"/>
            </w:tcBorders>
            <w:shd w:val="clear" w:color="auto" w:fill="E7E6E6"/>
            <w:noWrap/>
            <w:hideMark/>
          </w:tcPr>
          <w:p w14:paraId="5DF929E9" w14:textId="77777777" w:rsidR="00CE75D4" w:rsidRPr="002029AF" w:rsidRDefault="00CE75D4" w:rsidP="008340C1">
            <w:pPr>
              <w:pStyle w:val="ARfintablebodyright"/>
              <w:spacing w:before="30" w:after="10"/>
            </w:pPr>
            <w:r w:rsidRPr="00420207">
              <w:t>(9.6)</w:t>
            </w:r>
          </w:p>
        </w:tc>
        <w:tc>
          <w:tcPr>
            <w:tcW w:w="1134" w:type="dxa"/>
            <w:tcBorders>
              <w:top w:val="single" w:sz="4" w:space="0" w:color="A6A6A6"/>
              <w:bottom w:val="single" w:sz="4" w:space="0" w:color="A6A6A6"/>
            </w:tcBorders>
            <w:noWrap/>
            <w:hideMark/>
          </w:tcPr>
          <w:p w14:paraId="3AC9BC4B" w14:textId="77777777" w:rsidR="00CE75D4" w:rsidRPr="002029AF" w:rsidRDefault="00CE75D4" w:rsidP="008340C1">
            <w:pPr>
              <w:pStyle w:val="ARfintablebodyright"/>
              <w:spacing w:before="30" w:after="10"/>
            </w:pPr>
            <w:r w:rsidRPr="00420207">
              <w:t>(0.5)</w:t>
            </w:r>
          </w:p>
        </w:tc>
      </w:tr>
      <w:tr w:rsidR="00CE75D4" w:rsidRPr="002029AF" w14:paraId="0D108652" w14:textId="77777777" w:rsidTr="00860E95">
        <w:tc>
          <w:tcPr>
            <w:tcW w:w="7369" w:type="dxa"/>
            <w:tcBorders>
              <w:top w:val="single" w:sz="4" w:space="0" w:color="A6A6A6"/>
            </w:tcBorders>
            <w:hideMark/>
          </w:tcPr>
          <w:p w14:paraId="5ED8FDCA" w14:textId="77777777" w:rsidR="00CE75D4" w:rsidRPr="002029AF" w:rsidRDefault="00CE75D4" w:rsidP="008340C1">
            <w:pPr>
              <w:pStyle w:val="ARfintablebody"/>
              <w:spacing w:before="30" w:after="10"/>
            </w:pPr>
            <w:r w:rsidRPr="00420207">
              <w:t>Net (increase)/decrease in provision for doubtful debts and bad debts</w:t>
            </w:r>
          </w:p>
        </w:tc>
        <w:tc>
          <w:tcPr>
            <w:tcW w:w="1134" w:type="dxa"/>
            <w:tcBorders>
              <w:top w:val="single" w:sz="4" w:space="0" w:color="A6A6A6"/>
            </w:tcBorders>
            <w:shd w:val="clear" w:color="auto" w:fill="E7E6E6"/>
            <w:noWrap/>
            <w:hideMark/>
          </w:tcPr>
          <w:p w14:paraId="458D0DEB" w14:textId="77777777" w:rsidR="00CE75D4" w:rsidRPr="002029AF" w:rsidRDefault="00CE75D4" w:rsidP="008340C1">
            <w:pPr>
              <w:pStyle w:val="ARfintablebodyright"/>
              <w:spacing w:before="30" w:after="10"/>
            </w:pPr>
            <w:r w:rsidRPr="00420207">
              <w:t>1.2</w:t>
            </w:r>
          </w:p>
        </w:tc>
        <w:tc>
          <w:tcPr>
            <w:tcW w:w="1134" w:type="dxa"/>
            <w:tcBorders>
              <w:top w:val="single" w:sz="4" w:space="0" w:color="A6A6A6"/>
            </w:tcBorders>
            <w:noWrap/>
            <w:hideMark/>
          </w:tcPr>
          <w:p w14:paraId="4F5BBA8D" w14:textId="77777777" w:rsidR="00CE75D4" w:rsidRPr="002029AF" w:rsidRDefault="00CE75D4" w:rsidP="008340C1">
            <w:pPr>
              <w:pStyle w:val="ARfintablebodyright"/>
              <w:spacing w:before="30" w:after="10"/>
            </w:pPr>
            <w:r w:rsidRPr="00420207">
              <w:t>(19.8)</w:t>
            </w:r>
          </w:p>
        </w:tc>
      </w:tr>
      <w:tr w:rsidR="00CE75D4" w:rsidRPr="002029AF" w14:paraId="490D318D" w14:textId="77777777" w:rsidTr="00860E95">
        <w:tc>
          <w:tcPr>
            <w:tcW w:w="7369" w:type="dxa"/>
            <w:hideMark/>
          </w:tcPr>
          <w:p w14:paraId="4DFDBC20" w14:textId="77777777" w:rsidR="00CE75D4" w:rsidRPr="002029AF" w:rsidRDefault="00CE75D4" w:rsidP="008340C1">
            <w:pPr>
              <w:pStyle w:val="ARfintablebodybold"/>
              <w:spacing w:before="30" w:after="10"/>
            </w:pPr>
            <w:r w:rsidRPr="00420207">
              <w:t>Total other gains/(losses) from other economic flows</w:t>
            </w:r>
          </w:p>
        </w:tc>
        <w:tc>
          <w:tcPr>
            <w:tcW w:w="1134" w:type="dxa"/>
            <w:shd w:val="clear" w:color="auto" w:fill="E7E6E6"/>
            <w:noWrap/>
            <w:hideMark/>
          </w:tcPr>
          <w:p w14:paraId="1A26E447" w14:textId="77777777" w:rsidR="00CE75D4" w:rsidRPr="002029AF" w:rsidRDefault="00CE75D4" w:rsidP="008340C1">
            <w:pPr>
              <w:pStyle w:val="ARfintablebodyrightbold"/>
              <w:spacing w:before="30" w:after="10"/>
            </w:pPr>
            <w:r w:rsidRPr="00420207">
              <w:t>2.9</w:t>
            </w:r>
          </w:p>
        </w:tc>
        <w:tc>
          <w:tcPr>
            <w:tcW w:w="1134" w:type="dxa"/>
            <w:noWrap/>
            <w:hideMark/>
          </w:tcPr>
          <w:p w14:paraId="61104AA9" w14:textId="77777777" w:rsidR="00CE75D4" w:rsidRPr="002029AF" w:rsidRDefault="00CE75D4" w:rsidP="008340C1">
            <w:pPr>
              <w:pStyle w:val="ARfintablebodyrightbold"/>
              <w:spacing w:before="30" w:after="10"/>
            </w:pPr>
            <w:r w:rsidRPr="00420207">
              <w:t>(12.3)</w:t>
            </w:r>
          </w:p>
        </w:tc>
      </w:tr>
    </w:tbl>
    <w:p w14:paraId="1A32C73D" w14:textId="77777777" w:rsidR="00CE75D4" w:rsidRDefault="00CE75D4" w:rsidP="008340C1">
      <w:pPr>
        <w:pStyle w:val="Heading4"/>
        <w:spacing w:before="160" w:after="60"/>
        <w:rPr>
          <w:lang w:eastAsia="en-AU"/>
        </w:rPr>
      </w:pPr>
      <w:r w:rsidRPr="006453EA">
        <w:rPr>
          <w:lang w:eastAsia="en-AU"/>
        </w:rPr>
        <w:t>9.3 Non-financial physical assets held for sale</w:t>
      </w:r>
    </w:p>
    <w:p w14:paraId="291240E9" w14:textId="77777777" w:rsidR="00CE75D4" w:rsidRDefault="00CE75D4" w:rsidP="008340C1">
      <w:pPr>
        <w:pStyle w:val="ARfinbody"/>
      </w:pPr>
      <w:r>
        <w:t>In addition to the assets and liabilities disclosed above, the following non-financial physical assets held for sale exist at the reporting date:</w:t>
      </w:r>
    </w:p>
    <w:tbl>
      <w:tblPr>
        <w:tblStyle w:val="TableGrid"/>
        <w:tblW w:w="9637" w:type="dxa"/>
        <w:tblLayout w:type="fixed"/>
        <w:tblLook w:val="06A0" w:firstRow="1" w:lastRow="0" w:firstColumn="1" w:lastColumn="0" w:noHBand="1" w:noVBand="1"/>
      </w:tblPr>
      <w:tblGrid>
        <w:gridCol w:w="7369"/>
        <w:gridCol w:w="1134"/>
        <w:gridCol w:w="1134"/>
      </w:tblGrid>
      <w:tr w:rsidR="00CE75D4" w:rsidRPr="002029AF" w14:paraId="0A2B1891"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3C50E4A4" w14:textId="77777777" w:rsidR="00CE75D4" w:rsidRPr="002029AF" w:rsidRDefault="00CE75D4" w:rsidP="008340C1">
            <w:pPr>
              <w:pStyle w:val="ARfintablecolhead"/>
              <w:spacing w:before="30" w:after="10"/>
            </w:pPr>
          </w:p>
        </w:tc>
        <w:tc>
          <w:tcPr>
            <w:tcW w:w="1134" w:type="dxa"/>
            <w:tcBorders>
              <w:bottom w:val="single" w:sz="4" w:space="0" w:color="auto"/>
            </w:tcBorders>
            <w:shd w:val="clear" w:color="auto" w:fill="E7E6E6"/>
            <w:hideMark/>
          </w:tcPr>
          <w:p w14:paraId="066031B0" w14:textId="77777777" w:rsidR="00CE75D4" w:rsidRPr="002029AF" w:rsidRDefault="00CE75D4" w:rsidP="008340C1">
            <w:pPr>
              <w:pStyle w:val="ARfintablecolheadright"/>
              <w:spacing w:before="30" w:after="10"/>
            </w:pPr>
            <w:r w:rsidRPr="002029AF">
              <w:t>202</w:t>
            </w:r>
            <w:r>
              <w:t>2</w:t>
            </w:r>
          </w:p>
          <w:p w14:paraId="335ED2B4" w14:textId="77777777" w:rsidR="00CE75D4" w:rsidRPr="002029AF" w:rsidRDefault="00CE75D4" w:rsidP="008340C1">
            <w:pPr>
              <w:pStyle w:val="ARfintablecolheadright"/>
              <w:spacing w:before="30" w:after="10"/>
            </w:pPr>
            <w:r w:rsidRPr="002029AF">
              <w:t>$M</w:t>
            </w:r>
          </w:p>
        </w:tc>
        <w:tc>
          <w:tcPr>
            <w:tcW w:w="1134" w:type="dxa"/>
            <w:tcBorders>
              <w:bottom w:val="single" w:sz="4" w:space="0" w:color="auto"/>
            </w:tcBorders>
            <w:hideMark/>
          </w:tcPr>
          <w:p w14:paraId="57C60BD8" w14:textId="77777777" w:rsidR="00CE75D4" w:rsidRPr="002029AF" w:rsidRDefault="00CE75D4" w:rsidP="008340C1">
            <w:pPr>
              <w:pStyle w:val="ARfintablecolheadright"/>
              <w:spacing w:before="30" w:after="10"/>
            </w:pPr>
            <w:r>
              <w:t>2021</w:t>
            </w:r>
          </w:p>
          <w:p w14:paraId="63C1501B" w14:textId="77777777" w:rsidR="00CE75D4" w:rsidRPr="002029AF" w:rsidRDefault="00CE75D4" w:rsidP="008340C1">
            <w:pPr>
              <w:pStyle w:val="ARfintablecolheadright"/>
              <w:spacing w:before="30" w:after="10"/>
            </w:pPr>
            <w:r w:rsidRPr="002029AF">
              <w:t>$M</w:t>
            </w:r>
          </w:p>
        </w:tc>
      </w:tr>
      <w:tr w:rsidR="00CE75D4" w:rsidRPr="002029AF" w14:paraId="49F1BB42" w14:textId="77777777" w:rsidTr="00860E95">
        <w:tc>
          <w:tcPr>
            <w:tcW w:w="9637" w:type="dxa"/>
            <w:gridSpan w:val="3"/>
            <w:tcBorders>
              <w:top w:val="single" w:sz="4" w:space="0" w:color="auto"/>
              <w:bottom w:val="single" w:sz="4" w:space="0" w:color="A6A6A6"/>
            </w:tcBorders>
            <w:hideMark/>
          </w:tcPr>
          <w:p w14:paraId="325A36B6" w14:textId="77777777" w:rsidR="00CE75D4" w:rsidRPr="002029AF" w:rsidRDefault="00CE75D4" w:rsidP="008340C1">
            <w:pPr>
              <w:pStyle w:val="ARfintablebodybold"/>
              <w:spacing w:before="30" w:after="10"/>
            </w:pPr>
            <w:r w:rsidRPr="00B513A8">
              <w:t>Non-financial physical assets classified as held for sale</w:t>
            </w:r>
          </w:p>
        </w:tc>
      </w:tr>
      <w:tr w:rsidR="00CE75D4" w:rsidRPr="002029AF" w14:paraId="049FAD70" w14:textId="77777777" w:rsidTr="00860E95">
        <w:tc>
          <w:tcPr>
            <w:tcW w:w="7369" w:type="dxa"/>
            <w:tcBorders>
              <w:top w:val="single" w:sz="4" w:space="0" w:color="A6A6A6"/>
              <w:bottom w:val="single" w:sz="4" w:space="0" w:color="A6A6A6"/>
            </w:tcBorders>
            <w:hideMark/>
          </w:tcPr>
          <w:p w14:paraId="59A9B655" w14:textId="77777777" w:rsidR="00CE75D4" w:rsidRPr="002029AF" w:rsidRDefault="00CE75D4" w:rsidP="008340C1">
            <w:pPr>
              <w:pStyle w:val="ARfintablebody"/>
              <w:spacing w:before="30" w:after="10"/>
            </w:pPr>
            <w:r w:rsidRPr="00B513A8">
              <w:t>Buildings held for sale</w:t>
            </w:r>
          </w:p>
        </w:tc>
        <w:tc>
          <w:tcPr>
            <w:tcW w:w="1134" w:type="dxa"/>
            <w:tcBorders>
              <w:top w:val="single" w:sz="4" w:space="0" w:color="A6A6A6"/>
              <w:bottom w:val="single" w:sz="4" w:space="0" w:color="A6A6A6"/>
            </w:tcBorders>
            <w:shd w:val="clear" w:color="auto" w:fill="E7E6E6"/>
            <w:noWrap/>
            <w:hideMark/>
          </w:tcPr>
          <w:p w14:paraId="5EC4AF2C" w14:textId="77777777" w:rsidR="00CE75D4" w:rsidRPr="002029AF" w:rsidRDefault="00CE75D4" w:rsidP="008340C1">
            <w:pPr>
              <w:pStyle w:val="ARfintablebodyright"/>
              <w:spacing w:before="30" w:after="10"/>
            </w:pPr>
            <w:r>
              <w:t>–</w:t>
            </w:r>
          </w:p>
        </w:tc>
        <w:tc>
          <w:tcPr>
            <w:tcW w:w="1134" w:type="dxa"/>
            <w:tcBorders>
              <w:top w:val="single" w:sz="4" w:space="0" w:color="A6A6A6"/>
              <w:bottom w:val="single" w:sz="4" w:space="0" w:color="A6A6A6"/>
            </w:tcBorders>
            <w:noWrap/>
            <w:hideMark/>
          </w:tcPr>
          <w:p w14:paraId="3A811216" w14:textId="77777777" w:rsidR="00CE75D4" w:rsidRPr="002029AF" w:rsidRDefault="00CE75D4" w:rsidP="008340C1">
            <w:pPr>
              <w:pStyle w:val="ARfintablebodyright"/>
              <w:spacing w:before="30" w:after="10"/>
            </w:pPr>
            <w:r w:rsidRPr="00B513A8">
              <w:t>3.1</w:t>
            </w:r>
          </w:p>
        </w:tc>
      </w:tr>
      <w:tr w:rsidR="00CE75D4" w:rsidRPr="002029AF" w14:paraId="2F7982BB" w14:textId="77777777" w:rsidTr="00860E95">
        <w:tc>
          <w:tcPr>
            <w:tcW w:w="7369" w:type="dxa"/>
            <w:tcBorders>
              <w:top w:val="single" w:sz="4" w:space="0" w:color="A6A6A6"/>
              <w:bottom w:val="single" w:sz="4" w:space="0" w:color="A6A6A6"/>
            </w:tcBorders>
            <w:hideMark/>
          </w:tcPr>
          <w:p w14:paraId="7CCD5430" w14:textId="77777777" w:rsidR="00CE75D4" w:rsidRPr="002029AF" w:rsidRDefault="00CE75D4" w:rsidP="008340C1">
            <w:pPr>
              <w:pStyle w:val="ARfintablebody"/>
              <w:spacing w:before="30" w:after="10"/>
            </w:pPr>
            <w:r w:rsidRPr="00B513A8">
              <w:t>Land held for sale</w:t>
            </w:r>
          </w:p>
        </w:tc>
        <w:tc>
          <w:tcPr>
            <w:tcW w:w="1134" w:type="dxa"/>
            <w:tcBorders>
              <w:top w:val="single" w:sz="4" w:space="0" w:color="A6A6A6"/>
              <w:bottom w:val="single" w:sz="4" w:space="0" w:color="A6A6A6"/>
            </w:tcBorders>
            <w:shd w:val="clear" w:color="auto" w:fill="E7E6E6"/>
            <w:noWrap/>
            <w:hideMark/>
          </w:tcPr>
          <w:p w14:paraId="6C239F9C" w14:textId="77777777" w:rsidR="00CE75D4" w:rsidRPr="002029AF" w:rsidRDefault="00CE75D4" w:rsidP="008340C1">
            <w:pPr>
              <w:pStyle w:val="ARfintablebodyright"/>
              <w:spacing w:before="30" w:after="10"/>
            </w:pPr>
            <w:r>
              <w:t>–</w:t>
            </w:r>
          </w:p>
        </w:tc>
        <w:tc>
          <w:tcPr>
            <w:tcW w:w="1134" w:type="dxa"/>
            <w:tcBorders>
              <w:top w:val="single" w:sz="4" w:space="0" w:color="A6A6A6"/>
              <w:bottom w:val="single" w:sz="4" w:space="0" w:color="A6A6A6"/>
            </w:tcBorders>
            <w:noWrap/>
            <w:hideMark/>
          </w:tcPr>
          <w:p w14:paraId="2DAF0C59" w14:textId="77777777" w:rsidR="00CE75D4" w:rsidRPr="002029AF" w:rsidRDefault="00CE75D4" w:rsidP="008340C1">
            <w:pPr>
              <w:pStyle w:val="ARfintablebodyright"/>
              <w:spacing w:before="30" w:after="10"/>
            </w:pPr>
            <w:r w:rsidRPr="00B513A8">
              <w:t>1.5</w:t>
            </w:r>
          </w:p>
        </w:tc>
      </w:tr>
      <w:tr w:rsidR="00CE75D4" w:rsidRPr="002029AF" w14:paraId="424B7221" w14:textId="77777777" w:rsidTr="00860E95">
        <w:tc>
          <w:tcPr>
            <w:tcW w:w="7369" w:type="dxa"/>
            <w:tcBorders>
              <w:top w:val="single" w:sz="4" w:space="0" w:color="A6A6A6"/>
            </w:tcBorders>
            <w:hideMark/>
          </w:tcPr>
          <w:p w14:paraId="639915F3" w14:textId="77777777" w:rsidR="00CE75D4" w:rsidRPr="002029AF" w:rsidRDefault="00CE75D4" w:rsidP="008340C1">
            <w:pPr>
              <w:pStyle w:val="ARfintablebody"/>
              <w:spacing w:before="30" w:after="10"/>
            </w:pPr>
            <w:r w:rsidRPr="00B513A8">
              <w:t>Plant, equipment and vehicles</w:t>
            </w:r>
          </w:p>
        </w:tc>
        <w:tc>
          <w:tcPr>
            <w:tcW w:w="1134" w:type="dxa"/>
            <w:tcBorders>
              <w:top w:val="single" w:sz="4" w:space="0" w:color="A6A6A6"/>
            </w:tcBorders>
            <w:shd w:val="clear" w:color="auto" w:fill="E7E6E6"/>
            <w:noWrap/>
            <w:hideMark/>
          </w:tcPr>
          <w:p w14:paraId="02EBF934" w14:textId="77777777" w:rsidR="00CE75D4" w:rsidRPr="002029AF" w:rsidRDefault="00CE75D4" w:rsidP="008340C1">
            <w:pPr>
              <w:pStyle w:val="ARfintablebodyright"/>
              <w:spacing w:before="30" w:after="10"/>
            </w:pPr>
            <w:r w:rsidRPr="00B513A8">
              <w:t>0.1</w:t>
            </w:r>
          </w:p>
        </w:tc>
        <w:tc>
          <w:tcPr>
            <w:tcW w:w="1134" w:type="dxa"/>
            <w:tcBorders>
              <w:top w:val="single" w:sz="4" w:space="0" w:color="A6A6A6"/>
            </w:tcBorders>
            <w:noWrap/>
            <w:hideMark/>
          </w:tcPr>
          <w:p w14:paraId="31C3DEEA" w14:textId="77777777" w:rsidR="00CE75D4" w:rsidRPr="002029AF" w:rsidRDefault="00CE75D4" w:rsidP="008340C1">
            <w:pPr>
              <w:pStyle w:val="ARfintablebodyright"/>
              <w:spacing w:before="30" w:after="10"/>
            </w:pPr>
            <w:r w:rsidRPr="00B513A8">
              <w:t>0.4</w:t>
            </w:r>
          </w:p>
        </w:tc>
      </w:tr>
      <w:tr w:rsidR="00CE75D4" w:rsidRPr="002029AF" w14:paraId="5DD81FD1" w14:textId="77777777" w:rsidTr="00860E95">
        <w:tc>
          <w:tcPr>
            <w:tcW w:w="7369" w:type="dxa"/>
            <w:hideMark/>
          </w:tcPr>
          <w:p w14:paraId="63663287" w14:textId="77777777" w:rsidR="00CE75D4" w:rsidRPr="002029AF" w:rsidRDefault="00CE75D4" w:rsidP="008340C1">
            <w:pPr>
              <w:pStyle w:val="ARfintablebodybold"/>
              <w:spacing w:before="30" w:after="10"/>
            </w:pPr>
            <w:r w:rsidRPr="00B513A8">
              <w:t>Total non-financial physical assets classified as held for sale</w:t>
            </w:r>
          </w:p>
        </w:tc>
        <w:tc>
          <w:tcPr>
            <w:tcW w:w="1134" w:type="dxa"/>
            <w:shd w:val="clear" w:color="auto" w:fill="E7E6E6"/>
            <w:noWrap/>
            <w:hideMark/>
          </w:tcPr>
          <w:p w14:paraId="62AD5D60" w14:textId="77777777" w:rsidR="00CE75D4" w:rsidRPr="002029AF" w:rsidRDefault="00CE75D4" w:rsidP="008340C1">
            <w:pPr>
              <w:pStyle w:val="ARfintablebodyrightbold"/>
              <w:spacing w:before="30" w:after="10"/>
            </w:pPr>
            <w:r w:rsidRPr="00B513A8">
              <w:t>0.1</w:t>
            </w:r>
          </w:p>
        </w:tc>
        <w:tc>
          <w:tcPr>
            <w:tcW w:w="1134" w:type="dxa"/>
            <w:noWrap/>
            <w:hideMark/>
          </w:tcPr>
          <w:p w14:paraId="2FE42124" w14:textId="77777777" w:rsidR="00CE75D4" w:rsidRPr="002029AF" w:rsidRDefault="00CE75D4" w:rsidP="008340C1">
            <w:pPr>
              <w:pStyle w:val="ARfintablebodyrightbold"/>
              <w:spacing w:before="30" w:after="10"/>
            </w:pPr>
            <w:r w:rsidRPr="00B513A8">
              <w:t>5.0</w:t>
            </w:r>
          </w:p>
        </w:tc>
      </w:tr>
    </w:tbl>
    <w:p w14:paraId="4749888A" w14:textId="77777777" w:rsidR="00CE75D4" w:rsidRDefault="00CE75D4" w:rsidP="008340C1">
      <w:pPr>
        <w:pStyle w:val="Heading5"/>
        <w:spacing w:before="160" w:after="60"/>
        <w:rPr>
          <w:lang w:eastAsia="en-AU"/>
        </w:rPr>
      </w:pPr>
      <w:r>
        <w:rPr>
          <w:lang w:eastAsia="en-AU"/>
        </w:rPr>
        <w:t>Measurement of non-financial physical assets</w:t>
      </w:r>
    </w:p>
    <w:p w14:paraId="6B07FA62" w14:textId="77777777" w:rsidR="00CE75D4" w:rsidRDefault="00CE75D4" w:rsidP="008340C1">
      <w:pPr>
        <w:pStyle w:val="ARfinbody"/>
      </w:pPr>
      <w:r>
        <w:t>Non-financial physical assets are treated as current and classified as held for sale if their carrying amount will be recovered through a sale transaction rather than through continuing use.</w:t>
      </w:r>
    </w:p>
    <w:p w14:paraId="2C1D8327" w14:textId="77777777" w:rsidR="00CE75D4" w:rsidRDefault="00CE75D4" w:rsidP="008340C1">
      <w:pPr>
        <w:pStyle w:val="ARfinbody"/>
      </w:pPr>
      <w:r>
        <w:t>This condition is regarded as met only when:</w:t>
      </w:r>
    </w:p>
    <w:p w14:paraId="033D4B42" w14:textId="77777777" w:rsidR="00CE75D4" w:rsidRDefault="00CE75D4" w:rsidP="00817CFB">
      <w:pPr>
        <w:pStyle w:val="ARfinbullet1"/>
        <w:numPr>
          <w:ilvl w:val="0"/>
          <w:numId w:val="31"/>
        </w:numPr>
        <w:textAlignment w:val="auto"/>
      </w:pPr>
      <w:r>
        <w:t>the asset is available for immediate sale in the current condition</w:t>
      </w:r>
    </w:p>
    <w:p w14:paraId="617CDF84" w14:textId="77777777" w:rsidR="00CE75D4" w:rsidRDefault="00CE75D4" w:rsidP="00817CFB">
      <w:pPr>
        <w:pStyle w:val="ARfinbullet1"/>
        <w:numPr>
          <w:ilvl w:val="0"/>
          <w:numId w:val="31"/>
        </w:numPr>
        <w:textAlignment w:val="auto"/>
      </w:pPr>
      <w:r>
        <w:t>the sale is highly probable and the asset sale is expected to be completed within 12 months from the date of classification.</w:t>
      </w:r>
    </w:p>
    <w:p w14:paraId="0E97C22B" w14:textId="77777777" w:rsidR="00CE75D4" w:rsidRDefault="00CE75D4" w:rsidP="008340C1">
      <w:pPr>
        <w:pStyle w:val="ARfinbody"/>
      </w:pPr>
      <w:r>
        <w:t>These non-financial physical assets, related liabilities and financial assets are measured at the lower of carrying amount and fair value less costs to sell, and are not subject to depreciation or amortisation.</w:t>
      </w:r>
    </w:p>
    <w:p w14:paraId="6F00B5B9" w14:textId="77777777" w:rsidR="00CE75D4" w:rsidRPr="00326BD1" w:rsidRDefault="00CE75D4" w:rsidP="00130D1C">
      <w:pPr>
        <w:pStyle w:val="Heading4"/>
        <w:rPr>
          <w:lang w:eastAsia="en-AU"/>
        </w:rPr>
      </w:pPr>
      <w:bookmarkStart w:id="633" w:name="_Toc39242169"/>
      <w:bookmarkStart w:id="634" w:name="_Toc85121551"/>
      <w:r w:rsidRPr="00326BD1">
        <w:rPr>
          <w:lang w:eastAsia="en-AU"/>
        </w:rPr>
        <w:t>9.4 Reserves</w:t>
      </w:r>
      <w:bookmarkEnd w:id="633"/>
      <w:bookmarkEnd w:id="634"/>
    </w:p>
    <w:tbl>
      <w:tblPr>
        <w:tblStyle w:val="TableGrid"/>
        <w:tblW w:w="9639" w:type="dxa"/>
        <w:tblLayout w:type="fixed"/>
        <w:tblLook w:val="06A0" w:firstRow="1" w:lastRow="0" w:firstColumn="1" w:lastColumn="0" w:noHBand="1" w:noVBand="1"/>
      </w:tblPr>
      <w:tblGrid>
        <w:gridCol w:w="7371"/>
        <w:gridCol w:w="1134"/>
        <w:gridCol w:w="1134"/>
      </w:tblGrid>
      <w:tr w:rsidR="00CE75D4" w:rsidRPr="00326BD1" w14:paraId="4A9E9055" w14:textId="77777777" w:rsidTr="3D493511">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09486CB3" w14:textId="77777777" w:rsidR="00CE75D4" w:rsidRPr="00326BD1" w:rsidRDefault="00CE75D4" w:rsidP="008340C1">
            <w:pPr>
              <w:pStyle w:val="ARfintablecolhead"/>
            </w:pPr>
          </w:p>
        </w:tc>
        <w:tc>
          <w:tcPr>
            <w:tcW w:w="1134" w:type="dxa"/>
            <w:tcBorders>
              <w:bottom w:val="single" w:sz="4" w:space="0" w:color="auto"/>
            </w:tcBorders>
            <w:shd w:val="clear" w:color="auto" w:fill="E7E6E6" w:themeFill="background2"/>
            <w:hideMark/>
          </w:tcPr>
          <w:p w14:paraId="3A7ED77C" w14:textId="77777777" w:rsidR="00CE75D4" w:rsidRPr="00326BD1" w:rsidRDefault="00CE75D4" w:rsidP="008340C1">
            <w:pPr>
              <w:pStyle w:val="ARfintablecolheadright"/>
            </w:pPr>
            <w:r w:rsidRPr="00326BD1">
              <w:t>2022</w:t>
            </w:r>
          </w:p>
          <w:p w14:paraId="2F1D7C53" w14:textId="77777777" w:rsidR="00CE75D4" w:rsidRPr="00326BD1" w:rsidRDefault="00CE75D4" w:rsidP="008340C1">
            <w:pPr>
              <w:pStyle w:val="ARfintablecolheadright"/>
              <w:rPr>
                <w:lang w:eastAsia="en-US"/>
              </w:rPr>
            </w:pPr>
            <w:r w:rsidRPr="00326BD1">
              <w:t>$M</w:t>
            </w:r>
          </w:p>
        </w:tc>
        <w:tc>
          <w:tcPr>
            <w:tcW w:w="1134" w:type="dxa"/>
            <w:tcBorders>
              <w:bottom w:val="single" w:sz="4" w:space="0" w:color="auto"/>
            </w:tcBorders>
            <w:hideMark/>
          </w:tcPr>
          <w:p w14:paraId="1937528C" w14:textId="77777777" w:rsidR="00CE75D4" w:rsidRPr="00326BD1" w:rsidRDefault="00CE75D4" w:rsidP="008340C1">
            <w:pPr>
              <w:pStyle w:val="ARfintablecolheadright"/>
            </w:pPr>
            <w:r w:rsidRPr="00326BD1">
              <w:t>2021</w:t>
            </w:r>
          </w:p>
          <w:p w14:paraId="7A6688E4" w14:textId="77777777" w:rsidR="00CE75D4" w:rsidRPr="00326BD1" w:rsidRDefault="00CE75D4" w:rsidP="008340C1">
            <w:pPr>
              <w:pStyle w:val="ARfintablecolheadright"/>
            </w:pPr>
            <w:r w:rsidRPr="00326BD1">
              <w:t>$M</w:t>
            </w:r>
          </w:p>
        </w:tc>
      </w:tr>
      <w:tr w:rsidR="00CE75D4" w:rsidRPr="00326BD1" w14:paraId="57F6E1F6" w14:textId="77777777" w:rsidTr="3D493511">
        <w:trPr>
          <w:cantSplit w:val="0"/>
        </w:trPr>
        <w:tc>
          <w:tcPr>
            <w:tcW w:w="9639" w:type="dxa"/>
            <w:gridSpan w:val="3"/>
            <w:tcBorders>
              <w:top w:val="single" w:sz="4" w:space="0" w:color="auto"/>
              <w:bottom w:val="single" w:sz="4" w:space="0" w:color="A6A6A6" w:themeColor="background1" w:themeShade="A6"/>
            </w:tcBorders>
            <w:hideMark/>
          </w:tcPr>
          <w:p w14:paraId="4013F04F" w14:textId="77777777" w:rsidR="00CE75D4" w:rsidRPr="00326BD1" w:rsidRDefault="00CE75D4" w:rsidP="008340C1">
            <w:pPr>
              <w:pStyle w:val="ARfintablebodybold"/>
              <w:rPr>
                <w:sz w:val="20"/>
                <w:szCs w:val="20"/>
              </w:rPr>
            </w:pPr>
            <w:r w:rsidRPr="00F8248C">
              <w:t>(a) Accumulated surplus/(deficit)</w:t>
            </w:r>
          </w:p>
        </w:tc>
      </w:tr>
      <w:tr w:rsidR="00CE75D4" w:rsidRPr="00326BD1" w14:paraId="09692160"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35477D59" w14:textId="77777777" w:rsidR="00CE75D4" w:rsidRPr="00326BD1" w:rsidRDefault="00CE75D4" w:rsidP="008340C1">
            <w:pPr>
              <w:pStyle w:val="ARfintablebody"/>
              <w:rPr>
                <w:lang w:eastAsia="en-US"/>
              </w:rPr>
            </w:pPr>
            <w:r w:rsidRPr="00F8248C">
              <w:t>Balance at beginning of financial year</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2A09727" w14:textId="77777777" w:rsidR="00CE75D4" w:rsidRPr="00326BD1" w:rsidRDefault="00CE75D4" w:rsidP="008340C1">
            <w:pPr>
              <w:pStyle w:val="ARfintablebodyright"/>
            </w:pPr>
            <w:r w:rsidRPr="00F8248C">
              <w:t>3,714.0</w:t>
            </w:r>
          </w:p>
        </w:tc>
        <w:tc>
          <w:tcPr>
            <w:tcW w:w="1134" w:type="dxa"/>
            <w:tcBorders>
              <w:top w:val="single" w:sz="4" w:space="0" w:color="A6A6A6" w:themeColor="background1" w:themeShade="A6"/>
              <w:bottom w:val="single" w:sz="4" w:space="0" w:color="A6A6A6" w:themeColor="background1" w:themeShade="A6"/>
            </w:tcBorders>
            <w:noWrap/>
            <w:hideMark/>
          </w:tcPr>
          <w:p w14:paraId="35D36226" w14:textId="77777777" w:rsidR="00CE75D4" w:rsidRPr="00326BD1" w:rsidRDefault="00CE75D4" w:rsidP="008340C1">
            <w:pPr>
              <w:pStyle w:val="ARfintablebodyright"/>
            </w:pPr>
            <w:r w:rsidRPr="00F8248C">
              <w:t>2,145.0</w:t>
            </w:r>
          </w:p>
        </w:tc>
      </w:tr>
      <w:tr w:rsidR="00CE75D4" w:rsidRPr="00326BD1" w14:paraId="22A17960"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213223FD" w14:textId="77777777" w:rsidR="00CE75D4" w:rsidRPr="00326BD1" w:rsidRDefault="00CE75D4" w:rsidP="008340C1">
            <w:pPr>
              <w:pStyle w:val="ARfintablebody"/>
            </w:pPr>
            <w:r w:rsidRPr="00F8248C">
              <w:t xml:space="preserve">Removal of DFFH-related June 2021 closing balance </w:t>
            </w:r>
            <w:r w:rsidRPr="001C1DE8">
              <w:rPr>
                <w:rStyle w:val="Superscript"/>
              </w:rPr>
              <w:t>(i)</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B9B58A9" w14:textId="77777777" w:rsidR="00CE75D4" w:rsidRPr="00326BD1" w:rsidRDefault="00CE75D4" w:rsidP="008340C1">
            <w:pPr>
              <w:pStyle w:val="ARfintablebodyright"/>
            </w:pPr>
            <w:r w:rsidRPr="00F8248C">
              <w:t>(106.</w:t>
            </w:r>
            <w:r>
              <w:t>7</w:t>
            </w:r>
            <w:r w:rsidRPr="00F8248C">
              <w:t>)</w:t>
            </w:r>
          </w:p>
        </w:tc>
        <w:tc>
          <w:tcPr>
            <w:tcW w:w="1134" w:type="dxa"/>
            <w:tcBorders>
              <w:top w:val="single" w:sz="4" w:space="0" w:color="A6A6A6" w:themeColor="background1" w:themeShade="A6"/>
              <w:bottom w:val="single" w:sz="4" w:space="0" w:color="A6A6A6" w:themeColor="background1" w:themeShade="A6"/>
            </w:tcBorders>
            <w:noWrap/>
            <w:hideMark/>
          </w:tcPr>
          <w:p w14:paraId="31A50444" w14:textId="77777777" w:rsidR="00CE75D4" w:rsidRPr="00326BD1" w:rsidRDefault="00CE75D4" w:rsidP="008340C1">
            <w:pPr>
              <w:pStyle w:val="ARfintablebodyright"/>
            </w:pPr>
            <w:r>
              <w:t>–</w:t>
            </w:r>
          </w:p>
        </w:tc>
      </w:tr>
      <w:tr w:rsidR="00CE75D4" w:rsidRPr="00326BD1" w14:paraId="359C7EB8"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27BA1518" w14:textId="77777777" w:rsidR="00CE75D4" w:rsidRPr="00326BD1" w:rsidRDefault="00CE75D4" w:rsidP="008340C1">
            <w:pPr>
              <w:pStyle w:val="ARfintablebodybold"/>
            </w:pPr>
            <w:r w:rsidRPr="00F8248C">
              <w:t>Adjusted balance at 1 July 2021</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8C7FC8E" w14:textId="77777777" w:rsidR="00CE75D4" w:rsidRPr="00326BD1" w:rsidRDefault="00CE75D4" w:rsidP="008340C1">
            <w:pPr>
              <w:pStyle w:val="ARfintablebodyrightbold"/>
            </w:pPr>
            <w:r w:rsidRPr="00F8248C">
              <w:t>3,607.</w:t>
            </w:r>
            <w:r>
              <w:t>3</w:t>
            </w:r>
          </w:p>
        </w:tc>
        <w:tc>
          <w:tcPr>
            <w:tcW w:w="1134" w:type="dxa"/>
            <w:tcBorders>
              <w:top w:val="single" w:sz="4" w:space="0" w:color="A6A6A6" w:themeColor="background1" w:themeShade="A6"/>
              <w:bottom w:val="single" w:sz="4" w:space="0" w:color="A6A6A6" w:themeColor="background1" w:themeShade="A6"/>
            </w:tcBorders>
            <w:noWrap/>
            <w:hideMark/>
          </w:tcPr>
          <w:p w14:paraId="1B30AE54" w14:textId="77777777" w:rsidR="00CE75D4" w:rsidRPr="00326BD1" w:rsidRDefault="00CE75D4" w:rsidP="008340C1">
            <w:pPr>
              <w:pStyle w:val="ARfintablebodyrightbold"/>
            </w:pPr>
            <w:r w:rsidRPr="00F8248C">
              <w:t>2,145.0</w:t>
            </w:r>
          </w:p>
        </w:tc>
      </w:tr>
      <w:tr w:rsidR="00CE75D4" w:rsidRPr="00326BD1" w14:paraId="3AA9B1CB"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4FB62725" w14:textId="77777777" w:rsidR="00CE75D4" w:rsidRPr="00326BD1" w:rsidRDefault="00CE75D4" w:rsidP="008340C1">
            <w:pPr>
              <w:pStyle w:val="ARfintablebody"/>
              <w:rPr>
                <w:lang w:eastAsia="en-US"/>
              </w:rPr>
            </w:pPr>
            <w:r w:rsidRPr="00F8248C">
              <w:t xml:space="preserve">Prior period </w:t>
            </w:r>
            <w:r>
              <w:t>adjustments</w:t>
            </w:r>
            <w:r w:rsidRPr="00F8248C">
              <w:t xml:space="preserve"> </w:t>
            </w:r>
            <w:r w:rsidRPr="001C1DE8">
              <w:rPr>
                <w:rStyle w:val="Superscript"/>
              </w:rPr>
              <w:t>(ii)(iii)</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A08892A" w14:textId="77777777" w:rsidR="00CE75D4" w:rsidRPr="00326BD1" w:rsidRDefault="00CE75D4" w:rsidP="008340C1">
            <w:pPr>
              <w:pStyle w:val="ARfintablebodyright"/>
            </w:pPr>
            <w:r w:rsidRPr="00F8248C">
              <w:t>(59.3)</w:t>
            </w:r>
          </w:p>
        </w:tc>
        <w:tc>
          <w:tcPr>
            <w:tcW w:w="1134" w:type="dxa"/>
            <w:tcBorders>
              <w:top w:val="single" w:sz="4" w:space="0" w:color="A6A6A6" w:themeColor="background1" w:themeShade="A6"/>
              <w:bottom w:val="single" w:sz="4" w:space="0" w:color="A6A6A6" w:themeColor="background1" w:themeShade="A6"/>
            </w:tcBorders>
            <w:noWrap/>
            <w:hideMark/>
          </w:tcPr>
          <w:p w14:paraId="5482D81D" w14:textId="77777777" w:rsidR="00CE75D4" w:rsidRPr="00326BD1" w:rsidRDefault="00CE75D4" w:rsidP="008340C1">
            <w:pPr>
              <w:pStyle w:val="ARfintablebodyright"/>
            </w:pPr>
            <w:r w:rsidRPr="00F8248C">
              <w:t>55.7</w:t>
            </w:r>
          </w:p>
        </w:tc>
      </w:tr>
      <w:tr w:rsidR="00CE75D4" w:rsidRPr="00326BD1" w14:paraId="5498509A"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1B1689BF" w14:textId="77777777" w:rsidR="00CE75D4" w:rsidRPr="00326BD1" w:rsidRDefault="00CE75D4" w:rsidP="008340C1">
            <w:pPr>
              <w:pStyle w:val="ARfintablebodybold"/>
            </w:pPr>
            <w:r w:rsidRPr="00F8248C">
              <w:t>Restated balance at beginning of financial year</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4AAF256D" w14:textId="77777777" w:rsidR="00CE75D4" w:rsidRPr="00326BD1" w:rsidRDefault="00CE75D4" w:rsidP="008340C1">
            <w:pPr>
              <w:pStyle w:val="ARfintablebodyrightbold"/>
            </w:pPr>
            <w:r w:rsidRPr="00F8248C">
              <w:t>3,548.</w:t>
            </w:r>
            <w:r>
              <w:t>0</w:t>
            </w:r>
          </w:p>
        </w:tc>
        <w:tc>
          <w:tcPr>
            <w:tcW w:w="1134" w:type="dxa"/>
            <w:tcBorders>
              <w:top w:val="single" w:sz="4" w:space="0" w:color="A6A6A6" w:themeColor="background1" w:themeShade="A6"/>
              <w:bottom w:val="single" w:sz="4" w:space="0" w:color="A6A6A6" w:themeColor="background1" w:themeShade="A6"/>
            </w:tcBorders>
            <w:noWrap/>
            <w:hideMark/>
          </w:tcPr>
          <w:p w14:paraId="3C3B938D" w14:textId="77777777" w:rsidR="00CE75D4" w:rsidRPr="00326BD1" w:rsidRDefault="00CE75D4" w:rsidP="008340C1">
            <w:pPr>
              <w:pStyle w:val="ARfintablebodyrightbold"/>
            </w:pPr>
            <w:r w:rsidRPr="00F8248C">
              <w:t>2,200.7</w:t>
            </w:r>
          </w:p>
        </w:tc>
      </w:tr>
      <w:tr w:rsidR="00CE75D4" w:rsidRPr="00326BD1" w14:paraId="41CCC8C9"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72590F9D" w14:textId="77777777" w:rsidR="00CE75D4" w:rsidRPr="00326BD1" w:rsidRDefault="00CE75D4" w:rsidP="008340C1">
            <w:pPr>
              <w:pStyle w:val="ARfintablebody"/>
            </w:pPr>
            <w:r w:rsidRPr="00F8248C">
              <w:t>Net result for the year</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DB8FAE9" w14:textId="77777777" w:rsidR="00CE75D4" w:rsidRPr="00326BD1" w:rsidRDefault="00CE75D4" w:rsidP="008340C1">
            <w:pPr>
              <w:pStyle w:val="ARfintablebodyright"/>
            </w:pPr>
            <w:r w:rsidRPr="00F8248C">
              <w:t>721.8</w:t>
            </w:r>
          </w:p>
        </w:tc>
        <w:tc>
          <w:tcPr>
            <w:tcW w:w="1134" w:type="dxa"/>
            <w:tcBorders>
              <w:top w:val="single" w:sz="4" w:space="0" w:color="A6A6A6" w:themeColor="background1" w:themeShade="A6"/>
              <w:bottom w:val="single" w:sz="4" w:space="0" w:color="A6A6A6" w:themeColor="background1" w:themeShade="A6"/>
            </w:tcBorders>
            <w:noWrap/>
            <w:hideMark/>
          </w:tcPr>
          <w:p w14:paraId="1C7EA6AC" w14:textId="77777777" w:rsidR="00CE75D4" w:rsidRPr="00326BD1" w:rsidRDefault="00CE75D4" w:rsidP="008340C1">
            <w:pPr>
              <w:pStyle w:val="ARfintablebodyright"/>
            </w:pPr>
            <w:r w:rsidRPr="00F8248C">
              <w:t>513.9</w:t>
            </w:r>
          </w:p>
        </w:tc>
      </w:tr>
      <w:tr w:rsidR="00CE75D4" w:rsidRPr="00326BD1" w14:paraId="0FA0C9AC"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683F989D" w14:textId="77777777" w:rsidR="00CE75D4" w:rsidRPr="00326BD1" w:rsidRDefault="00CE75D4" w:rsidP="008340C1">
            <w:pPr>
              <w:pStyle w:val="ARfintablebody"/>
            </w:pPr>
            <w:r w:rsidRPr="00F8248C">
              <w:t>Remeasurement of superannuation defined benefit plans</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ACEB7D1" w14:textId="77777777" w:rsidR="00CE75D4" w:rsidRPr="00326BD1" w:rsidRDefault="00CE75D4" w:rsidP="008340C1">
            <w:pPr>
              <w:pStyle w:val="ARfintablebodyright"/>
            </w:pPr>
            <w:r>
              <w:t>–</w:t>
            </w:r>
          </w:p>
        </w:tc>
        <w:tc>
          <w:tcPr>
            <w:tcW w:w="1134" w:type="dxa"/>
            <w:tcBorders>
              <w:top w:val="single" w:sz="4" w:space="0" w:color="A6A6A6" w:themeColor="background1" w:themeShade="A6"/>
              <w:bottom w:val="single" w:sz="4" w:space="0" w:color="A6A6A6" w:themeColor="background1" w:themeShade="A6"/>
            </w:tcBorders>
            <w:noWrap/>
            <w:hideMark/>
          </w:tcPr>
          <w:p w14:paraId="176EC5A3" w14:textId="77777777" w:rsidR="00CE75D4" w:rsidRPr="00326BD1" w:rsidRDefault="00CE75D4" w:rsidP="008340C1">
            <w:pPr>
              <w:pStyle w:val="ARfintablebodyright"/>
            </w:pPr>
            <w:r w:rsidRPr="00F8248C">
              <w:t>(1.5)</w:t>
            </w:r>
          </w:p>
        </w:tc>
      </w:tr>
      <w:tr w:rsidR="00CE75D4" w:rsidRPr="00326BD1" w14:paraId="79B0CD47"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26657B97" w14:textId="520B0899" w:rsidR="00CE75D4" w:rsidRPr="00326BD1" w:rsidRDefault="00CE75D4" w:rsidP="008340C1">
            <w:pPr>
              <w:pStyle w:val="ARfintablebody"/>
            </w:pPr>
            <w:r w:rsidRPr="00F8248C">
              <w:t>Transfer to contributed capital related to machinery of government</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E431ADC" w14:textId="77777777" w:rsidR="00CE75D4" w:rsidRPr="00326BD1" w:rsidRDefault="00CE75D4" w:rsidP="008340C1">
            <w:pPr>
              <w:pStyle w:val="ARfintablebodyright"/>
            </w:pPr>
            <w:r>
              <w:t>–</w:t>
            </w:r>
          </w:p>
        </w:tc>
        <w:tc>
          <w:tcPr>
            <w:tcW w:w="1134" w:type="dxa"/>
            <w:tcBorders>
              <w:top w:val="single" w:sz="4" w:space="0" w:color="A6A6A6" w:themeColor="background1" w:themeShade="A6"/>
              <w:bottom w:val="single" w:sz="4" w:space="0" w:color="A6A6A6" w:themeColor="background1" w:themeShade="A6"/>
            </w:tcBorders>
            <w:noWrap/>
            <w:hideMark/>
          </w:tcPr>
          <w:p w14:paraId="0F6A3CF2" w14:textId="77777777" w:rsidR="00CE75D4" w:rsidRPr="00326BD1" w:rsidRDefault="00CE75D4" w:rsidP="008340C1">
            <w:pPr>
              <w:pStyle w:val="ARfintablebodyright"/>
            </w:pPr>
            <w:r w:rsidRPr="00F8248C">
              <w:t>(5,937.6)</w:t>
            </w:r>
          </w:p>
        </w:tc>
      </w:tr>
      <w:tr w:rsidR="00CE75D4" w:rsidRPr="00326BD1" w14:paraId="01B01C0D" w14:textId="77777777" w:rsidTr="3D493511">
        <w:trPr>
          <w:cantSplit w:val="0"/>
        </w:trPr>
        <w:tc>
          <w:tcPr>
            <w:tcW w:w="7371" w:type="dxa"/>
            <w:tcBorders>
              <w:top w:val="single" w:sz="4" w:space="0" w:color="A6A6A6" w:themeColor="background1" w:themeShade="A6"/>
            </w:tcBorders>
            <w:hideMark/>
          </w:tcPr>
          <w:p w14:paraId="0EC013EF" w14:textId="397F9F6E" w:rsidR="00CE75D4" w:rsidRPr="00326BD1" w:rsidRDefault="00CE75D4" w:rsidP="008340C1">
            <w:pPr>
              <w:pStyle w:val="ARfintablebody"/>
            </w:pPr>
            <w:r w:rsidRPr="00F8248C">
              <w:t>Transfer from physical asset revaluation surplus related to machinery of government</w:t>
            </w:r>
          </w:p>
        </w:tc>
        <w:tc>
          <w:tcPr>
            <w:tcW w:w="1134" w:type="dxa"/>
            <w:tcBorders>
              <w:top w:val="single" w:sz="4" w:space="0" w:color="A6A6A6" w:themeColor="background1" w:themeShade="A6"/>
            </w:tcBorders>
            <w:shd w:val="clear" w:color="auto" w:fill="E7E6E6" w:themeFill="background2"/>
            <w:noWrap/>
            <w:hideMark/>
          </w:tcPr>
          <w:p w14:paraId="79C963F4" w14:textId="77777777" w:rsidR="00CE75D4" w:rsidRPr="00326BD1" w:rsidRDefault="00CE75D4" w:rsidP="008340C1">
            <w:pPr>
              <w:pStyle w:val="ARfintablebodyright"/>
            </w:pPr>
            <w:r>
              <w:t>–</w:t>
            </w:r>
          </w:p>
        </w:tc>
        <w:tc>
          <w:tcPr>
            <w:tcW w:w="1134" w:type="dxa"/>
            <w:tcBorders>
              <w:top w:val="single" w:sz="4" w:space="0" w:color="A6A6A6" w:themeColor="background1" w:themeShade="A6"/>
            </w:tcBorders>
            <w:noWrap/>
            <w:hideMark/>
          </w:tcPr>
          <w:p w14:paraId="3E0C8752" w14:textId="77777777" w:rsidR="00CE75D4" w:rsidRPr="00326BD1" w:rsidRDefault="00CE75D4" w:rsidP="008340C1">
            <w:pPr>
              <w:pStyle w:val="ARfintablebodyright"/>
            </w:pPr>
            <w:r w:rsidRPr="00F8248C">
              <w:t>6,938.4</w:t>
            </w:r>
          </w:p>
        </w:tc>
      </w:tr>
      <w:tr w:rsidR="00CE75D4" w:rsidRPr="00326BD1" w14:paraId="382EFBED" w14:textId="77777777" w:rsidTr="3D493511">
        <w:trPr>
          <w:cantSplit w:val="0"/>
        </w:trPr>
        <w:tc>
          <w:tcPr>
            <w:tcW w:w="7371" w:type="dxa"/>
            <w:tcBorders>
              <w:bottom w:val="single" w:sz="4" w:space="0" w:color="auto"/>
            </w:tcBorders>
            <w:hideMark/>
          </w:tcPr>
          <w:p w14:paraId="5C30C83B" w14:textId="77777777" w:rsidR="00CE75D4" w:rsidRPr="00326BD1" w:rsidRDefault="00CE75D4" w:rsidP="008340C1">
            <w:pPr>
              <w:pStyle w:val="ARfintablebodybold"/>
            </w:pPr>
            <w:r w:rsidRPr="00F8248C">
              <w:t>Balance at the end of financial year</w:t>
            </w:r>
          </w:p>
        </w:tc>
        <w:tc>
          <w:tcPr>
            <w:tcW w:w="1134" w:type="dxa"/>
            <w:tcBorders>
              <w:bottom w:val="single" w:sz="4" w:space="0" w:color="auto"/>
            </w:tcBorders>
            <w:shd w:val="clear" w:color="auto" w:fill="E7E6E6" w:themeFill="background2"/>
            <w:noWrap/>
            <w:hideMark/>
          </w:tcPr>
          <w:p w14:paraId="567E7167" w14:textId="77777777" w:rsidR="00CE75D4" w:rsidRPr="00326BD1" w:rsidRDefault="00CE75D4" w:rsidP="008340C1">
            <w:pPr>
              <w:pStyle w:val="ARfintablebodyrightbold"/>
            </w:pPr>
            <w:r w:rsidRPr="00F8248C">
              <w:t>4,2</w:t>
            </w:r>
            <w:r>
              <w:t>69.8</w:t>
            </w:r>
          </w:p>
        </w:tc>
        <w:tc>
          <w:tcPr>
            <w:tcW w:w="1134" w:type="dxa"/>
            <w:tcBorders>
              <w:bottom w:val="single" w:sz="4" w:space="0" w:color="auto"/>
            </w:tcBorders>
            <w:noWrap/>
            <w:hideMark/>
          </w:tcPr>
          <w:p w14:paraId="4BD15176" w14:textId="77777777" w:rsidR="00CE75D4" w:rsidRPr="00326BD1" w:rsidRDefault="00CE75D4" w:rsidP="008340C1">
            <w:pPr>
              <w:pStyle w:val="ARfintablebodyrightbold"/>
            </w:pPr>
            <w:r w:rsidRPr="00F8248C">
              <w:t>3,714.0</w:t>
            </w:r>
          </w:p>
        </w:tc>
      </w:tr>
      <w:tr w:rsidR="00CE75D4" w:rsidRPr="00326BD1" w14:paraId="39F96DEA" w14:textId="77777777" w:rsidTr="3D493511">
        <w:trPr>
          <w:cantSplit w:val="0"/>
        </w:trPr>
        <w:tc>
          <w:tcPr>
            <w:tcW w:w="9639" w:type="dxa"/>
            <w:gridSpan w:val="3"/>
            <w:tcBorders>
              <w:top w:val="single" w:sz="4" w:space="0" w:color="auto"/>
              <w:bottom w:val="single" w:sz="4" w:space="0" w:color="A6A6A6" w:themeColor="background1" w:themeShade="A6"/>
            </w:tcBorders>
            <w:hideMark/>
          </w:tcPr>
          <w:p w14:paraId="7D8387B0" w14:textId="77777777" w:rsidR="00CE75D4" w:rsidRPr="00326BD1" w:rsidRDefault="00CE75D4" w:rsidP="008340C1">
            <w:pPr>
              <w:pStyle w:val="ARfintablebodybold"/>
              <w:rPr>
                <w:sz w:val="20"/>
                <w:szCs w:val="20"/>
              </w:rPr>
            </w:pPr>
            <w:r w:rsidRPr="00F8248C">
              <w:t>(b) Physical asset revaluation surplus</w:t>
            </w:r>
          </w:p>
        </w:tc>
      </w:tr>
      <w:tr w:rsidR="00CE75D4" w:rsidRPr="00326BD1" w14:paraId="1ACF63BE"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30FA70F7" w14:textId="77777777" w:rsidR="00CE75D4" w:rsidRPr="00326BD1" w:rsidRDefault="00CE75D4" w:rsidP="008340C1">
            <w:pPr>
              <w:pStyle w:val="ARfintablebody"/>
              <w:rPr>
                <w:lang w:eastAsia="en-US"/>
              </w:rPr>
            </w:pPr>
            <w:r w:rsidRPr="00F8248C">
              <w:t>Balance at beginning of financial year</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2CC8E19" w14:textId="77777777" w:rsidR="00CE75D4" w:rsidRPr="00326BD1" w:rsidRDefault="00CE75D4" w:rsidP="008340C1">
            <w:pPr>
              <w:pStyle w:val="ARfintablebodyright"/>
            </w:pPr>
            <w:r w:rsidRPr="00F8248C">
              <w:t>4,877.9</w:t>
            </w:r>
          </w:p>
        </w:tc>
        <w:tc>
          <w:tcPr>
            <w:tcW w:w="1134" w:type="dxa"/>
            <w:tcBorders>
              <w:top w:val="single" w:sz="4" w:space="0" w:color="A6A6A6" w:themeColor="background1" w:themeShade="A6"/>
              <w:bottom w:val="single" w:sz="4" w:space="0" w:color="A6A6A6" w:themeColor="background1" w:themeShade="A6"/>
            </w:tcBorders>
            <w:noWrap/>
            <w:hideMark/>
          </w:tcPr>
          <w:p w14:paraId="4C740ACE" w14:textId="77777777" w:rsidR="00CE75D4" w:rsidRPr="00326BD1" w:rsidRDefault="00CE75D4" w:rsidP="008340C1">
            <w:pPr>
              <w:pStyle w:val="ARfintablebodyright"/>
            </w:pPr>
            <w:r w:rsidRPr="00F8248C">
              <w:t>7,377.2</w:t>
            </w:r>
          </w:p>
        </w:tc>
      </w:tr>
      <w:tr w:rsidR="00CE75D4" w:rsidRPr="00326BD1" w14:paraId="773EBC95"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213240E0" w14:textId="77777777" w:rsidR="00CE75D4" w:rsidRPr="00326BD1" w:rsidRDefault="00CE75D4" w:rsidP="008340C1">
            <w:pPr>
              <w:pStyle w:val="ARfintablebody"/>
            </w:pPr>
            <w:r w:rsidRPr="00F8248C">
              <w:t xml:space="preserve">Removal of DFFH-related June 2021 closing balance </w:t>
            </w:r>
            <w:r w:rsidRPr="001C1DE8">
              <w:rPr>
                <w:rStyle w:val="Superscript"/>
              </w:rPr>
              <w:t>(i)</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FEF847A" w14:textId="77777777" w:rsidR="00CE75D4" w:rsidRPr="00326BD1" w:rsidRDefault="00CE75D4" w:rsidP="008340C1">
            <w:pPr>
              <w:pStyle w:val="ARfintablebodyright"/>
            </w:pPr>
            <w:r w:rsidRPr="00F8248C">
              <w:t>(4,466.</w:t>
            </w:r>
            <w:r>
              <w:t>3</w:t>
            </w:r>
            <w:r w:rsidRPr="00F8248C">
              <w:t>)</w:t>
            </w:r>
          </w:p>
        </w:tc>
        <w:tc>
          <w:tcPr>
            <w:tcW w:w="1134" w:type="dxa"/>
            <w:tcBorders>
              <w:top w:val="single" w:sz="4" w:space="0" w:color="A6A6A6" w:themeColor="background1" w:themeShade="A6"/>
              <w:bottom w:val="single" w:sz="4" w:space="0" w:color="A6A6A6" w:themeColor="background1" w:themeShade="A6"/>
            </w:tcBorders>
            <w:noWrap/>
            <w:hideMark/>
          </w:tcPr>
          <w:p w14:paraId="42BA1184" w14:textId="77777777" w:rsidR="00CE75D4" w:rsidRPr="00326BD1" w:rsidRDefault="00CE75D4" w:rsidP="008340C1">
            <w:pPr>
              <w:pStyle w:val="ARfintablebodyright"/>
            </w:pPr>
            <w:r>
              <w:t>–</w:t>
            </w:r>
          </w:p>
        </w:tc>
      </w:tr>
      <w:tr w:rsidR="00CE75D4" w:rsidRPr="00326BD1" w14:paraId="2A48CAA8"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3CD592D8" w14:textId="77777777" w:rsidR="00CE75D4" w:rsidRPr="00326BD1" w:rsidRDefault="00CE75D4" w:rsidP="008340C1">
            <w:pPr>
              <w:pStyle w:val="ARfintablebodybold"/>
            </w:pPr>
            <w:r w:rsidRPr="00F8248C">
              <w:t>Adjusted balance at 1 July 2021</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86F45E7" w14:textId="77777777" w:rsidR="00CE75D4" w:rsidRPr="00326BD1" w:rsidRDefault="00CE75D4" w:rsidP="008340C1">
            <w:pPr>
              <w:pStyle w:val="ARfintablebodyrightbold"/>
            </w:pPr>
            <w:r w:rsidRPr="00F8248C">
              <w:t>411.</w:t>
            </w:r>
            <w:r>
              <w:t>6</w:t>
            </w:r>
          </w:p>
        </w:tc>
        <w:tc>
          <w:tcPr>
            <w:tcW w:w="1134" w:type="dxa"/>
            <w:tcBorders>
              <w:top w:val="single" w:sz="4" w:space="0" w:color="A6A6A6" w:themeColor="background1" w:themeShade="A6"/>
              <w:bottom w:val="single" w:sz="4" w:space="0" w:color="A6A6A6" w:themeColor="background1" w:themeShade="A6"/>
            </w:tcBorders>
            <w:noWrap/>
            <w:hideMark/>
          </w:tcPr>
          <w:p w14:paraId="0FD99C2B" w14:textId="77777777" w:rsidR="00CE75D4" w:rsidRPr="00326BD1" w:rsidRDefault="00CE75D4" w:rsidP="008340C1">
            <w:pPr>
              <w:pStyle w:val="ARfintablebodyrightbold"/>
            </w:pPr>
            <w:r w:rsidRPr="00F8248C">
              <w:t>7,377.2</w:t>
            </w:r>
          </w:p>
        </w:tc>
      </w:tr>
      <w:tr w:rsidR="00CE75D4" w:rsidRPr="00326BD1" w14:paraId="3F7FB960"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459348E0" w14:textId="77777777" w:rsidR="00CE75D4" w:rsidRPr="00326BD1" w:rsidRDefault="00CE75D4" w:rsidP="008340C1">
            <w:pPr>
              <w:pStyle w:val="ARfintablebody"/>
              <w:rPr>
                <w:lang w:eastAsia="en-US"/>
              </w:rPr>
            </w:pPr>
            <w:r w:rsidRPr="00F8248C">
              <w:t xml:space="preserve">Revaluation increments/(decrements) of land and buildings </w:t>
            </w:r>
            <w:r w:rsidRPr="001C1DE8">
              <w:rPr>
                <w:rStyle w:val="Superscript"/>
              </w:rPr>
              <w:t>(iv)</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3E5F9BE8" w14:textId="77777777" w:rsidR="00CE75D4" w:rsidRPr="00326BD1" w:rsidRDefault="00CE75D4" w:rsidP="008340C1">
            <w:pPr>
              <w:pStyle w:val="ARfintablebodyright"/>
            </w:pPr>
            <w:r w:rsidRPr="00F8248C">
              <w:t>85.6</w:t>
            </w:r>
          </w:p>
        </w:tc>
        <w:tc>
          <w:tcPr>
            <w:tcW w:w="1134" w:type="dxa"/>
            <w:tcBorders>
              <w:top w:val="single" w:sz="4" w:space="0" w:color="A6A6A6" w:themeColor="background1" w:themeShade="A6"/>
              <w:bottom w:val="single" w:sz="4" w:space="0" w:color="A6A6A6" w:themeColor="background1" w:themeShade="A6"/>
            </w:tcBorders>
            <w:noWrap/>
            <w:hideMark/>
          </w:tcPr>
          <w:p w14:paraId="74ECE7A6" w14:textId="77777777" w:rsidR="00CE75D4" w:rsidRPr="00326BD1" w:rsidRDefault="00CE75D4" w:rsidP="008340C1">
            <w:pPr>
              <w:pStyle w:val="ARfintablebodyright"/>
            </w:pPr>
            <w:r w:rsidRPr="00F8248C">
              <w:t>4,439.1</w:t>
            </w:r>
          </w:p>
        </w:tc>
      </w:tr>
      <w:tr w:rsidR="00CE75D4" w:rsidRPr="00326BD1" w14:paraId="030B7ABE" w14:textId="77777777" w:rsidTr="3D493511">
        <w:trPr>
          <w:cantSplit w:val="0"/>
        </w:trPr>
        <w:tc>
          <w:tcPr>
            <w:tcW w:w="7371" w:type="dxa"/>
            <w:tcBorders>
              <w:top w:val="single" w:sz="4" w:space="0" w:color="A6A6A6" w:themeColor="background1" w:themeShade="A6"/>
            </w:tcBorders>
            <w:hideMark/>
          </w:tcPr>
          <w:p w14:paraId="21F76B46" w14:textId="296BF8F4" w:rsidR="00CE75D4" w:rsidRPr="00326BD1" w:rsidRDefault="00CE75D4" w:rsidP="008340C1">
            <w:pPr>
              <w:pStyle w:val="ARfintablebody"/>
            </w:pPr>
            <w:r w:rsidRPr="00F8248C">
              <w:t>Transfer to accumulated surplus/(deficit) related to machinery of government</w:t>
            </w:r>
          </w:p>
        </w:tc>
        <w:tc>
          <w:tcPr>
            <w:tcW w:w="1134" w:type="dxa"/>
            <w:tcBorders>
              <w:top w:val="single" w:sz="4" w:space="0" w:color="A6A6A6" w:themeColor="background1" w:themeShade="A6"/>
            </w:tcBorders>
            <w:shd w:val="clear" w:color="auto" w:fill="E7E6E6" w:themeFill="background2"/>
            <w:noWrap/>
            <w:hideMark/>
          </w:tcPr>
          <w:p w14:paraId="2BDB1647" w14:textId="77777777" w:rsidR="00CE75D4" w:rsidRPr="00326BD1" w:rsidRDefault="00CE75D4" w:rsidP="008340C1">
            <w:pPr>
              <w:pStyle w:val="ARfintablebodyright"/>
            </w:pPr>
            <w:r>
              <w:t>–</w:t>
            </w:r>
          </w:p>
        </w:tc>
        <w:tc>
          <w:tcPr>
            <w:tcW w:w="1134" w:type="dxa"/>
            <w:tcBorders>
              <w:top w:val="single" w:sz="4" w:space="0" w:color="A6A6A6" w:themeColor="background1" w:themeShade="A6"/>
            </w:tcBorders>
            <w:noWrap/>
            <w:hideMark/>
          </w:tcPr>
          <w:p w14:paraId="0EF25DF7" w14:textId="77777777" w:rsidR="00CE75D4" w:rsidRPr="00326BD1" w:rsidRDefault="00CE75D4" w:rsidP="008340C1">
            <w:pPr>
              <w:pStyle w:val="ARfintablebodyright"/>
            </w:pPr>
            <w:r w:rsidRPr="00F8248C">
              <w:t>(6,938.4)</w:t>
            </w:r>
          </w:p>
        </w:tc>
      </w:tr>
      <w:tr w:rsidR="00CE75D4" w:rsidRPr="00326BD1" w14:paraId="76025B53" w14:textId="77777777" w:rsidTr="3D493511">
        <w:trPr>
          <w:cantSplit w:val="0"/>
        </w:trPr>
        <w:tc>
          <w:tcPr>
            <w:tcW w:w="7371" w:type="dxa"/>
            <w:tcBorders>
              <w:bottom w:val="single" w:sz="4" w:space="0" w:color="auto"/>
            </w:tcBorders>
            <w:hideMark/>
          </w:tcPr>
          <w:p w14:paraId="6A706C5D" w14:textId="77777777" w:rsidR="00CE75D4" w:rsidRPr="00326BD1" w:rsidRDefault="00CE75D4" w:rsidP="008340C1">
            <w:pPr>
              <w:pStyle w:val="ARfintablebodybold"/>
            </w:pPr>
            <w:r w:rsidRPr="00F8248C">
              <w:t>Balance at the end of financial year</w:t>
            </w:r>
          </w:p>
        </w:tc>
        <w:tc>
          <w:tcPr>
            <w:tcW w:w="1134" w:type="dxa"/>
            <w:tcBorders>
              <w:bottom w:val="single" w:sz="4" w:space="0" w:color="auto"/>
            </w:tcBorders>
            <w:shd w:val="clear" w:color="auto" w:fill="E7E6E6" w:themeFill="background2"/>
            <w:noWrap/>
            <w:hideMark/>
          </w:tcPr>
          <w:p w14:paraId="75FA2578" w14:textId="77777777" w:rsidR="00CE75D4" w:rsidRPr="00326BD1" w:rsidRDefault="00CE75D4" w:rsidP="008340C1">
            <w:pPr>
              <w:pStyle w:val="ARfintablebodyrightbold"/>
            </w:pPr>
            <w:r w:rsidRPr="00F8248C">
              <w:t>497.</w:t>
            </w:r>
            <w:r>
              <w:t>2</w:t>
            </w:r>
          </w:p>
        </w:tc>
        <w:tc>
          <w:tcPr>
            <w:tcW w:w="1134" w:type="dxa"/>
            <w:tcBorders>
              <w:bottom w:val="single" w:sz="4" w:space="0" w:color="auto"/>
            </w:tcBorders>
            <w:noWrap/>
            <w:hideMark/>
          </w:tcPr>
          <w:p w14:paraId="187C5CD7" w14:textId="77777777" w:rsidR="00CE75D4" w:rsidRPr="00326BD1" w:rsidRDefault="00CE75D4" w:rsidP="008340C1">
            <w:pPr>
              <w:pStyle w:val="ARfintablebodyrightbold"/>
            </w:pPr>
            <w:r w:rsidRPr="00F8248C">
              <w:t>4,877.9</w:t>
            </w:r>
          </w:p>
        </w:tc>
      </w:tr>
      <w:tr w:rsidR="00CE75D4" w:rsidRPr="00326BD1" w14:paraId="03400066" w14:textId="77777777" w:rsidTr="3D493511">
        <w:trPr>
          <w:cantSplit w:val="0"/>
        </w:trPr>
        <w:tc>
          <w:tcPr>
            <w:tcW w:w="9639" w:type="dxa"/>
            <w:gridSpan w:val="3"/>
            <w:tcBorders>
              <w:top w:val="single" w:sz="4" w:space="0" w:color="auto"/>
              <w:bottom w:val="single" w:sz="4" w:space="0" w:color="A6A6A6" w:themeColor="background1" w:themeShade="A6"/>
            </w:tcBorders>
            <w:hideMark/>
          </w:tcPr>
          <w:p w14:paraId="53767A55" w14:textId="77777777" w:rsidR="00CE75D4" w:rsidRPr="00326BD1" w:rsidRDefault="00CE75D4" w:rsidP="008340C1">
            <w:pPr>
              <w:pStyle w:val="ARfintablebodybold"/>
              <w:rPr>
                <w:sz w:val="20"/>
                <w:szCs w:val="20"/>
              </w:rPr>
            </w:pPr>
            <w:r w:rsidRPr="00F8248C">
              <w:t>(c) Contributed capital</w:t>
            </w:r>
          </w:p>
        </w:tc>
      </w:tr>
      <w:tr w:rsidR="00CE75D4" w:rsidRPr="00326BD1" w14:paraId="631FA5D0"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495C03A6" w14:textId="77777777" w:rsidR="00CE75D4" w:rsidRPr="00326BD1" w:rsidRDefault="00CE75D4" w:rsidP="008340C1">
            <w:pPr>
              <w:pStyle w:val="ARfintablebody"/>
              <w:rPr>
                <w:lang w:eastAsia="en-US"/>
              </w:rPr>
            </w:pPr>
            <w:r w:rsidRPr="00F8248C">
              <w:t>Balance at beginning of financial year</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A04D2CB" w14:textId="77777777" w:rsidR="00CE75D4" w:rsidRPr="00326BD1" w:rsidRDefault="00CE75D4" w:rsidP="008340C1">
            <w:pPr>
              <w:pStyle w:val="ARfintablebodyright"/>
            </w:pPr>
            <w:r w:rsidRPr="00F8248C">
              <w:t>28,684.1</w:t>
            </w:r>
          </w:p>
        </w:tc>
        <w:tc>
          <w:tcPr>
            <w:tcW w:w="1134" w:type="dxa"/>
            <w:tcBorders>
              <w:top w:val="single" w:sz="4" w:space="0" w:color="A6A6A6" w:themeColor="background1" w:themeShade="A6"/>
              <w:bottom w:val="single" w:sz="4" w:space="0" w:color="A6A6A6" w:themeColor="background1" w:themeShade="A6"/>
            </w:tcBorders>
            <w:noWrap/>
            <w:hideMark/>
          </w:tcPr>
          <w:p w14:paraId="56179E45" w14:textId="77777777" w:rsidR="00CE75D4" w:rsidRPr="00326BD1" w:rsidRDefault="00CE75D4" w:rsidP="008340C1">
            <w:pPr>
              <w:pStyle w:val="ARfintablebodyright"/>
            </w:pPr>
            <w:r w:rsidRPr="00F8248C">
              <w:t>22,415.0</w:t>
            </w:r>
          </w:p>
        </w:tc>
      </w:tr>
      <w:tr w:rsidR="00CE75D4" w:rsidRPr="00326BD1" w14:paraId="7ADD4488"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50291A37" w14:textId="77777777" w:rsidR="00CE75D4" w:rsidRPr="00326BD1" w:rsidRDefault="00CE75D4" w:rsidP="008340C1">
            <w:pPr>
              <w:pStyle w:val="ARfintablebody"/>
            </w:pPr>
            <w:r w:rsidRPr="00F8248C">
              <w:t xml:space="preserve">Removal of DFFH-related June 2021 closing balance </w:t>
            </w:r>
            <w:r w:rsidRPr="001C1DE8">
              <w:rPr>
                <w:rStyle w:val="Superscript"/>
              </w:rPr>
              <w:t>(i)</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53DFA145" w14:textId="77777777" w:rsidR="00CE75D4" w:rsidRPr="00326BD1" w:rsidRDefault="00CE75D4" w:rsidP="008340C1">
            <w:pPr>
              <w:pStyle w:val="ARfintablebodyright"/>
            </w:pPr>
            <w:r w:rsidRPr="00F8248C">
              <w:t>(28,586.</w:t>
            </w:r>
            <w:r>
              <w:t>4</w:t>
            </w:r>
            <w:r w:rsidRPr="00F8248C">
              <w:t>)</w:t>
            </w:r>
          </w:p>
        </w:tc>
        <w:tc>
          <w:tcPr>
            <w:tcW w:w="1134" w:type="dxa"/>
            <w:tcBorders>
              <w:top w:val="single" w:sz="4" w:space="0" w:color="A6A6A6" w:themeColor="background1" w:themeShade="A6"/>
              <w:bottom w:val="single" w:sz="4" w:space="0" w:color="A6A6A6" w:themeColor="background1" w:themeShade="A6"/>
            </w:tcBorders>
            <w:noWrap/>
            <w:hideMark/>
          </w:tcPr>
          <w:p w14:paraId="453AC67B" w14:textId="77777777" w:rsidR="00CE75D4" w:rsidRPr="00326BD1" w:rsidRDefault="00CE75D4" w:rsidP="008340C1">
            <w:pPr>
              <w:pStyle w:val="ARfintablebodyright"/>
            </w:pPr>
            <w:r>
              <w:t>–</w:t>
            </w:r>
          </w:p>
        </w:tc>
      </w:tr>
      <w:tr w:rsidR="00CE75D4" w:rsidRPr="00326BD1" w14:paraId="596177FD"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159B0C2C" w14:textId="77777777" w:rsidR="00CE75D4" w:rsidRPr="00326BD1" w:rsidRDefault="00CE75D4" w:rsidP="008340C1">
            <w:pPr>
              <w:pStyle w:val="ARfintablebodybold"/>
            </w:pPr>
            <w:r w:rsidRPr="00F8248C">
              <w:t>Adjusted balance at 1 July 2021</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82EA3B6" w14:textId="77777777" w:rsidR="00CE75D4" w:rsidRPr="00326BD1" w:rsidRDefault="00CE75D4" w:rsidP="008340C1">
            <w:pPr>
              <w:pStyle w:val="ARfintablebodyrightbold"/>
            </w:pPr>
            <w:r w:rsidRPr="00F8248C">
              <w:t>97.</w:t>
            </w:r>
            <w:r>
              <w:t>7</w:t>
            </w:r>
          </w:p>
        </w:tc>
        <w:tc>
          <w:tcPr>
            <w:tcW w:w="1134" w:type="dxa"/>
            <w:tcBorders>
              <w:top w:val="single" w:sz="4" w:space="0" w:color="A6A6A6" w:themeColor="background1" w:themeShade="A6"/>
              <w:bottom w:val="single" w:sz="4" w:space="0" w:color="A6A6A6" w:themeColor="background1" w:themeShade="A6"/>
            </w:tcBorders>
            <w:noWrap/>
            <w:hideMark/>
          </w:tcPr>
          <w:p w14:paraId="304B7202" w14:textId="77777777" w:rsidR="00CE75D4" w:rsidRPr="00326BD1" w:rsidRDefault="00CE75D4" w:rsidP="008340C1">
            <w:pPr>
              <w:pStyle w:val="ARfintablebodyrightbold"/>
            </w:pPr>
            <w:r w:rsidRPr="00F8248C">
              <w:t>22,415.0</w:t>
            </w:r>
          </w:p>
        </w:tc>
      </w:tr>
      <w:tr w:rsidR="00CE75D4" w:rsidRPr="00326BD1" w14:paraId="4EB1BB0C"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0B4506C5" w14:textId="413A4251" w:rsidR="00CE75D4" w:rsidRPr="00326BD1" w:rsidRDefault="00CE75D4" w:rsidP="008340C1">
            <w:pPr>
              <w:pStyle w:val="ARfintablebody"/>
              <w:rPr>
                <w:lang w:eastAsia="en-US"/>
              </w:rPr>
            </w:pPr>
            <w:r w:rsidRPr="00F8248C">
              <w:t>Machinery of government</w:t>
            </w:r>
            <w:r w:rsidR="003C6BCC">
              <w:t xml:space="preserve"> </w:t>
            </w:r>
            <w:r w:rsidRPr="00F8248C">
              <w:t>transfer in/out</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72216F95" w14:textId="77777777" w:rsidR="00CE75D4" w:rsidRPr="00326BD1" w:rsidRDefault="00CE75D4" w:rsidP="008340C1">
            <w:pPr>
              <w:pStyle w:val="ARfintablebodyright"/>
            </w:pPr>
            <w:r>
              <w:t>–</w:t>
            </w:r>
          </w:p>
        </w:tc>
        <w:tc>
          <w:tcPr>
            <w:tcW w:w="1134" w:type="dxa"/>
            <w:tcBorders>
              <w:top w:val="single" w:sz="4" w:space="0" w:color="A6A6A6" w:themeColor="background1" w:themeShade="A6"/>
              <w:bottom w:val="single" w:sz="4" w:space="0" w:color="A6A6A6" w:themeColor="background1" w:themeShade="A6"/>
            </w:tcBorders>
            <w:noWrap/>
            <w:hideMark/>
          </w:tcPr>
          <w:p w14:paraId="07C293EE" w14:textId="77777777" w:rsidR="00CE75D4" w:rsidRPr="00326BD1" w:rsidRDefault="00CE75D4" w:rsidP="008340C1">
            <w:pPr>
              <w:pStyle w:val="ARfintablebodyright"/>
            </w:pPr>
            <w:r w:rsidRPr="00F8248C">
              <w:t>4.1</w:t>
            </w:r>
          </w:p>
        </w:tc>
      </w:tr>
      <w:tr w:rsidR="00CE75D4" w:rsidRPr="00326BD1" w14:paraId="10C399EE"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13618DEF" w14:textId="5F6500F7" w:rsidR="00CE75D4" w:rsidRPr="00326BD1" w:rsidRDefault="00CE75D4" w:rsidP="008340C1">
            <w:pPr>
              <w:pStyle w:val="ARfintablebody"/>
            </w:pPr>
            <w:r w:rsidRPr="00F8248C">
              <w:t>Transfer from accumulated surplus/(deficit) related to machinery of government</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08EC3BF" w14:textId="77777777" w:rsidR="00CE75D4" w:rsidRPr="00326BD1" w:rsidRDefault="00CE75D4" w:rsidP="008340C1">
            <w:pPr>
              <w:pStyle w:val="ARfintablebodyright"/>
            </w:pPr>
            <w:r>
              <w:t>–</w:t>
            </w:r>
          </w:p>
        </w:tc>
        <w:tc>
          <w:tcPr>
            <w:tcW w:w="1134" w:type="dxa"/>
            <w:tcBorders>
              <w:top w:val="single" w:sz="4" w:space="0" w:color="A6A6A6" w:themeColor="background1" w:themeShade="A6"/>
              <w:bottom w:val="single" w:sz="4" w:space="0" w:color="A6A6A6" w:themeColor="background1" w:themeShade="A6"/>
            </w:tcBorders>
            <w:noWrap/>
            <w:hideMark/>
          </w:tcPr>
          <w:p w14:paraId="1FF83986" w14:textId="77777777" w:rsidR="00CE75D4" w:rsidRPr="00326BD1" w:rsidRDefault="00CE75D4" w:rsidP="008340C1">
            <w:pPr>
              <w:pStyle w:val="ARfintablebodyright"/>
            </w:pPr>
            <w:r w:rsidRPr="00F8248C">
              <w:t>5,937.6</w:t>
            </w:r>
          </w:p>
        </w:tc>
      </w:tr>
      <w:tr w:rsidR="00CE75D4" w:rsidRPr="00326BD1" w14:paraId="618BA20C"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3AF5078B" w14:textId="77777777" w:rsidR="00CE75D4" w:rsidRPr="00326BD1" w:rsidRDefault="00CE75D4" w:rsidP="008340C1">
            <w:pPr>
              <w:pStyle w:val="ARfintablebody"/>
            </w:pPr>
            <w:r w:rsidRPr="00F8248C">
              <w:t>Capital contributions to health agencies</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652F2F4B" w14:textId="77777777" w:rsidR="00CE75D4" w:rsidRPr="00326BD1" w:rsidRDefault="00CE75D4" w:rsidP="008340C1">
            <w:pPr>
              <w:pStyle w:val="ARfintablebodyright"/>
            </w:pPr>
            <w:r w:rsidRPr="00F8248C">
              <w:t>(11.3)</w:t>
            </w:r>
          </w:p>
        </w:tc>
        <w:tc>
          <w:tcPr>
            <w:tcW w:w="1134" w:type="dxa"/>
            <w:tcBorders>
              <w:top w:val="single" w:sz="4" w:space="0" w:color="A6A6A6" w:themeColor="background1" w:themeShade="A6"/>
              <w:bottom w:val="single" w:sz="4" w:space="0" w:color="A6A6A6" w:themeColor="background1" w:themeShade="A6"/>
            </w:tcBorders>
            <w:noWrap/>
            <w:hideMark/>
          </w:tcPr>
          <w:p w14:paraId="5E363B3E" w14:textId="77777777" w:rsidR="00CE75D4" w:rsidRPr="00326BD1" w:rsidRDefault="00CE75D4" w:rsidP="008340C1">
            <w:pPr>
              <w:pStyle w:val="ARfintablebodyright"/>
            </w:pPr>
            <w:r w:rsidRPr="00F8248C">
              <w:t>(9.6)</w:t>
            </w:r>
          </w:p>
        </w:tc>
      </w:tr>
      <w:tr w:rsidR="00CE75D4" w:rsidRPr="00326BD1" w14:paraId="50D6ECF2"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44D48F1C" w14:textId="178F92BA" w:rsidR="00CE75D4" w:rsidRPr="00326BD1" w:rsidRDefault="00CE75D4" w:rsidP="008340C1">
            <w:pPr>
              <w:pStyle w:val="ARfintablebody"/>
            </w:pPr>
            <w:r w:rsidRPr="00F8248C">
              <w:t>Capital contributions by Victorian State Government</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2982FC77" w14:textId="77777777" w:rsidR="00CE75D4" w:rsidRPr="00326BD1" w:rsidRDefault="00CE75D4" w:rsidP="008340C1">
            <w:pPr>
              <w:pStyle w:val="ARfintablebodyright"/>
            </w:pPr>
            <w:r w:rsidRPr="00F8248C">
              <w:t>11.3</w:t>
            </w:r>
          </w:p>
        </w:tc>
        <w:tc>
          <w:tcPr>
            <w:tcW w:w="1134" w:type="dxa"/>
            <w:tcBorders>
              <w:top w:val="single" w:sz="4" w:space="0" w:color="A6A6A6" w:themeColor="background1" w:themeShade="A6"/>
              <w:bottom w:val="single" w:sz="4" w:space="0" w:color="A6A6A6" w:themeColor="background1" w:themeShade="A6"/>
            </w:tcBorders>
            <w:noWrap/>
            <w:hideMark/>
          </w:tcPr>
          <w:p w14:paraId="211C2C29" w14:textId="77777777" w:rsidR="00CE75D4" w:rsidRPr="00326BD1" w:rsidRDefault="00CE75D4" w:rsidP="008340C1">
            <w:pPr>
              <w:pStyle w:val="ARfintablebodyright"/>
            </w:pPr>
            <w:r w:rsidRPr="00F8248C">
              <w:t>427.5</w:t>
            </w:r>
          </w:p>
        </w:tc>
      </w:tr>
      <w:tr w:rsidR="00CE75D4" w:rsidRPr="00326BD1" w14:paraId="309DDA4A" w14:textId="77777777" w:rsidTr="3D493511">
        <w:trPr>
          <w:cantSplit w:val="0"/>
        </w:trPr>
        <w:tc>
          <w:tcPr>
            <w:tcW w:w="7371" w:type="dxa"/>
            <w:tcBorders>
              <w:top w:val="single" w:sz="4" w:space="0" w:color="A6A6A6" w:themeColor="background1" w:themeShade="A6"/>
            </w:tcBorders>
            <w:hideMark/>
          </w:tcPr>
          <w:p w14:paraId="604CE7C3" w14:textId="77777777" w:rsidR="00CE75D4" w:rsidRPr="00326BD1" w:rsidRDefault="00CE75D4" w:rsidP="008340C1">
            <w:pPr>
              <w:pStyle w:val="ARfintablebody"/>
            </w:pPr>
            <w:r w:rsidRPr="00F8248C">
              <w:t>Capital transferred to administered entity</w:t>
            </w:r>
          </w:p>
        </w:tc>
        <w:tc>
          <w:tcPr>
            <w:tcW w:w="1134" w:type="dxa"/>
            <w:tcBorders>
              <w:top w:val="single" w:sz="4" w:space="0" w:color="A6A6A6" w:themeColor="background1" w:themeShade="A6"/>
            </w:tcBorders>
            <w:shd w:val="clear" w:color="auto" w:fill="E7E6E6" w:themeFill="background2"/>
            <w:noWrap/>
            <w:hideMark/>
          </w:tcPr>
          <w:p w14:paraId="01641A9B" w14:textId="77777777" w:rsidR="00CE75D4" w:rsidRPr="00326BD1" w:rsidRDefault="00CE75D4" w:rsidP="008340C1">
            <w:pPr>
              <w:pStyle w:val="ARfintablebodyright"/>
            </w:pPr>
            <w:r w:rsidRPr="00F8248C">
              <w:t>(1.5)</w:t>
            </w:r>
          </w:p>
        </w:tc>
        <w:tc>
          <w:tcPr>
            <w:tcW w:w="1134" w:type="dxa"/>
            <w:tcBorders>
              <w:top w:val="single" w:sz="4" w:space="0" w:color="A6A6A6" w:themeColor="background1" w:themeShade="A6"/>
            </w:tcBorders>
            <w:noWrap/>
            <w:hideMark/>
          </w:tcPr>
          <w:p w14:paraId="785D5BF6" w14:textId="77777777" w:rsidR="00CE75D4" w:rsidRPr="00326BD1" w:rsidRDefault="00CE75D4" w:rsidP="008340C1">
            <w:pPr>
              <w:pStyle w:val="ARfintablebodyright"/>
            </w:pPr>
            <w:r w:rsidRPr="00F8248C">
              <w:t>(90.4)</w:t>
            </w:r>
          </w:p>
        </w:tc>
      </w:tr>
      <w:tr w:rsidR="00CE75D4" w:rsidRPr="00326BD1" w14:paraId="0DFFD8E3" w14:textId="77777777" w:rsidTr="3D493511">
        <w:trPr>
          <w:cantSplit w:val="0"/>
        </w:trPr>
        <w:tc>
          <w:tcPr>
            <w:tcW w:w="7371" w:type="dxa"/>
            <w:hideMark/>
          </w:tcPr>
          <w:p w14:paraId="32CC19BB" w14:textId="77777777" w:rsidR="00CE75D4" w:rsidRPr="00326BD1" w:rsidRDefault="00CE75D4" w:rsidP="008340C1">
            <w:pPr>
              <w:pStyle w:val="ARfintablebodybold"/>
            </w:pPr>
            <w:r w:rsidRPr="00F8248C">
              <w:t>Balance at the end of financial year</w:t>
            </w:r>
          </w:p>
        </w:tc>
        <w:tc>
          <w:tcPr>
            <w:tcW w:w="1134" w:type="dxa"/>
            <w:shd w:val="clear" w:color="auto" w:fill="E7E6E6" w:themeFill="background2"/>
            <w:noWrap/>
            <w:hideMark/>
          </w:tcPr>
          <w:p w14:paraId="5B03F466" w14:textId="77777777" w:rsidR="00CE75D4" w:rsidRPr="00326BD1" w:rsidRDefault="00CE75D4" w:rsidP="008340C1">
            <w:pPr>
              <w:pStyle w:val="ARfintablebodyrightbold"/>
            </w:pPr>
            <w:r w:rsidRPr="00F8248C">
              <w:t>96.</w:t>
            </w:r>
            <w:r>
              <w:t>2</w:t>
            </w:r>
          </w:p>
        </w:tc>
        <w:tc>
          <w:tcPr>
            <w:tcW w:w="1134" w:type="dxa"/>
            <w:noWrap/>
            <w:hideMark/>
          </w:tcPr>
          <w:p w14:paraId="41C3C240" w14:textId="77777777" w:rsidR="00CE75D4" w:rsidRPr="00326BD1" w:rsidRDefault="00CE75D4" w:rsidP="008340C1">
            <w:pPr>
              <w:pStyle w:val="ARfintablebodyrightbold"/>
            </w:pPr>
            <w:r w:rsidRPr="00F8248C">
              <w:t>28,684.1</w:t>
            </w:r>
          </w:p>
        </w:tc>
      </w:tr>
      <w:tr w:rsidR="00CE75D4" w:rsidRPr="00326BD1" w14:paraId="518D0EE2" w14:textId="77777777" w:rsidTr="3D493511">
        <w:trPr>
          <w:cantSplit w:val="0"/>
        </w:trPr>
        <w:tc>
          <w:tcPr>
            <w:tcW w:w="7371" w:type="dxa"/>
            <w:tcBorders>
              <w:bottom w:val="single" w:sz="4" w:space="0" w:color="auto"/>
            </w:tcBorders>
            <w:hideMark/>
          </w:tcPr>
          <w:p w14:paraId="2B302275" w14:textId="77777777" w:rsidR="00CE75D4" w:rsidRPr="00326BD1" w:rsidRDefault="00CE75D4" w:rsidP="008340C1">
            <w:pPr>
              <w:pStyle w:val="ARfintablebodybold"/>
            </w:pPr>
            <w:r w:rsidRPr="00F8248C">
              <w:t>Total equity</w:t>
            </w:r>
          </w:p>
        </w:tc>
        <w:tc>
          <w:tcPr>
            <w:tcW w:w="1134" w:type="dxa"/>
            <w:tcBorders>
              <w:bottom w:val="single" w:sz="4" w:space="0" w:color="auto"/>
            </w:tcBorders>
            <w:shd w:val="clear" w:color="auto" w:fill="E7E6E6" w:themeFill="background2"/>
            <w:noWrap/>
            <w:hideMark/>
          </w:tcPr>
          <w:p w14:paraId="70A69980" w14:textId="77777777" w:rsidR="00CE75D4" w:rsidRPr="00326BD1" w:rsidRDefault="00CE75D4" w:rsidP="008340C1">
            <w:pPr>
              <w:pStyle w:val="ARfintablebodyrightbold"/>
            </w:pPr>
            <w:r w:rsidRPr="00F8248C">
              <w:t>4,863.</w:t>
            </w:r>
            <w:r>
              <w:t>2</w:t>
            </w:r>
          </w:p>
        </w:tc>
        <w:tc>
          <w:tcPr>
            <w:tcW w:w="1134" w:type="dxa"/>
            <w:tcBorders>
              <w:bottom w:val="single" w:sz="4" w:space="0" w:color="auto"/>
            </w:tcBorders>
            <w:noWrap/>
            <w:hideMark/>
          </w:tcPr>
          <w:p w14:paraId="425BA9C7" w14:textId="77777777" w:rsidR="00CE75D4" w:rsidRPr="00326BD1" w:rsidRDefault="00CE75D4" w:rsidP="008340C1">
            <w:pPr>
              <w:pStyle w:val="ARfintablebodyrightbold"/>
            </w:pPr>
            <w:r w:rsidRPr="00F8248C">
              <w:t>37,275.9</w:t>
            </w:r>
          </w:p>
        </w:tc>
      </w:tr>
      <w:tr w:rsidR="00CE75D4" w:rsidRPr="00326BD1" w14:paraId="095AB1DA" w14:textId="77777777" w:rsidTr="3D493511">
        <w:trPr>
          <w:cantSplit w:val="0"/>
        </w:trPr>
        <w:tc>
          <w:tcPr>
            <w:tcW w:w="9639" w:type="dxa"/>
            <w:gridSpan w:val="3"/>
            <w:tcBorders>
              <w:top w:val="single" w:sz="4" w:space="0" w:color="auto"/>
              <w:bottom w:val="single" w:sz="4" w:space="0" w:color="A6A6A6" w:themeColor="background1" w:themeShade="A6"/>
            </w:tcBorders>
            <w:hideMark/>
          </w:tcPr>
          <w:p w14:paraId="2B80DAE8" w14:textId="7A0EA20F" w:rsidR="00CE75D4" w:rsidRPr="00326BD1" w:rsidRDefault="00CE75D4" w:rsidP="008340C1">
            <w:pPr>
              <w:pStyle w:val="ARfintablebodybold"/>
              <w:rPr>
                <w:sz w:val="20"/>
                <w:szCs w:val="20"/>
              </w:rPr>
            </w:pPr>
            <w:r w:rsidRPr="00F8248C">
              <w:t xml:space="preserve">Physical asset revaluation </w:t>
            </w:r>
            <w:r>
              <w:t>surplus</w:t>
            </w:r>
            <w:r w:rsidRPr="00F8248C">
              <w:t xml:space="preserve"> </w:t>
            </w:r>
            <w:r w:rsidR="00EF3183">
              <w:t xml:space="preserve">– </w:t>
            </w:r>
            <w:r w:rsidRPr="00F8248C">
              <w:t>represented by:</w:t>
            </w:r>
          </w:p>
        </w:tc>
      </w:tr>
      <w:tr w:rsidR="00CE75D4" w:rsidRPr="00326BD1" w14:paraId="52C3AFCD" w14:textId="77777777" w:rsidTr="3D493511">
        <w:trPr>
          <w:cantSplit w:val="0"/>
        </w:trPr>
        <w:tc>
          <w:tcPr>
            <w:tcW w:w="7371" w:type="dxa"/>
            <w:tcBorders>
              <w:top w:val="single" w:sz="4" w:space="0" w:color="A6A6A6" w:themeColor="background1" w:themeShade="A6"/>
              <w:bottom w:val="single" w:sz="4" w:space="0" w:color="A6A6A6" w:themeColor="background1" w:themeShade="A6"/>
            </w:tcBorders>
            <w:hideMark/>
          </w:tcPr>
          <w:p w14:paraId="7765BB2E" w14:textId="77777777" w:rsidR="00CE75D4" w:rsidRPr="00326BD1" w:rsidRDefault="00CE75D4" w:rsidP="008340C1">
            <w:pPr>
              <w:pStyle w:val="ARfintablebody"/>
              <w:rPr>
                <w:lang w:eastAsia="en-US"/>
              </w:rPr>
            </w:pPr>
            <w:r>
              <w:t>–</w:t>
            </w:r>
            <w:r w:rsidRPr="00F8248C">
              <w:t xml:space="preserve"> Land</w:t>
            </w:r>
          </w:p>
        </w:tc>
        <w:tc>
          <w:tcPr>
            <w:tcW w:w="1134" w:type="dxa"/>
            <w:tcBorders>
              <w:top w:val="single" w:sz="4" w:space="0" w:color="A6A6A6" w:themeColor="background1" w:themeShade="A6"/>
              <w:bottom w:val="single" w:sz="4" w:space="0" w:color="A6A6A6" w:themeColor="background1" w:themeShade="A6"/>
            </w:tcBorders>
            <w:shd w:val="clear" w:color="auto" w:fill="E7E6E6" w:themeFill="background2"/>
            <w:noWrap/>
            <w:hideMark/>
          </w:tcPr>
          <w:p w14:paraId="14CABC64" w14:textId="77777777" w:rsidR="00CE75D4" w:rsidRPr="00326BD1" w:rsidRDefault="00CE75D4" w:rsidP="008340C1">
            <w:pPr>
              <w:pStyle w:val="ARfintablebodyright"/>
            </w:pPr>
            <w:r w:rsidRPr="00F8248C">
              <w:t>266.7</w:t>
            </w:r>
          </w:p>
        </w:tc>
        <w:tc>
          <w:tcPr>
            <w:tcW w:w="1134" w:type="dxa"/>
            <w:tcBorders>
              <w:top w:val="single" w:sz="4" w:space="0" w:color="A6A6A6" w:themeColor="background1" w:themeShade="A6"/>
              <w:bottom w:val="single" w:sz="4" w:space="0" w:color="A6A6A6" w:themeColor="background1" w:themeShade="A6"/>
            </w:tcBorders>
            <w:noWrap/>
            <w:hideMark/>
          </w:tcPr>
          <w:p w14:paraId="40A9F25D" w14:textId="77777777" w:rsidR="00CE75D4" w:rsidRPr="00326BD1" w:rsidRDefault="00CE75D4" w:rsidP="008340C1">
            <w:pPr>
              <w:pStyle w:val="ARfintablebodyright"/>
            </w:pPr>
            <w:r w:rsidRPr="00F8248C">
              <w:t>4,283.8</w:t>
            </w:r>
          </w:p>
        </w:tc>
      </w:tr>
      <w:tr w:rsidR="00CE75D4" w:rsidRPr="00326BD1" w14:paraId="61546C94" w14:textId="77777777" w:rsidTr="3D493511">
        <w:trPr>
          <w:cantSplit w:val="0"/>
        </w:trPr>
        <w:tc>
          <w:tcPr>
            <w:tcW w:w="7371" w:type="dxa"/>
            <w:tcBorders>
              <w:top w:val="single" w:sz="4" w:space="0" w:color="A6A6A6" w:themeColor="background1" w:themeShade="A6"/>
            </w:tcBorders>
            <w:hideMark/>
          </w:tcPr>
          <w:p w14:paraId="383C3965" w14:textId="77777777" w:rsidR="00CE75D4" w:rsidRPr="00326BD1" w:rsidRDefault="00CE75D4" w:rsidP="008340C1">
            <w:pPr>
              <w:pStyle w:val="ARfintablebody"/>
            </w:pPr>
            <w:r>
              <w:t>–</w:t>
            </w:r>
            <w:r w:rsidRPr="00F8248C">
              <w:t xml:space="preserve"> Buildings</w:t>
            </w:r>
          </w:p>
        </w:tc>
        <w:tc>
          <w:tcPr>
            <w:tcW w:w="1134" w:type="dxa"/>
            <w:tcBorders>
              <w:top w:val="single" w:sz="4" w:space="0" w:color="A6A6A6" w:themeColor="background1" w:themeShade="A6"/>
            </w:tcBorders>
            <w:shd w:val="clear" w:color="auto" w:fill="E7E6E6" w:themeFill="background2"/>
            <w:noWrap/>
            <w:hideMark/>
          </w:tcPr>
          <w:p w14:paraId="79729D12" w14:textId="77777777" w:rsidR="00CE75D4" w:rsidRPr="00326BD1" w:rsidRDefault="00CE75D4" w:rsidP="008340C1">
            <w:pPr>
              <w:pStyle w:val="ARfintablebodyright"/>
            </w:pPr>
            <w:r w:rsidRPr="00F8248C">
              <w:t>230.7</w:t>
            </w:r>
          </w:p>
        </w:tc>
        <w:tc>
          <w:tcPr>
            <w:tcW w:w="1134" w:type="dxa"/>
            <w:tcBorders>
              <w:top w:val="single" w:sz="4" w:space="0" w:color="A6A6A6" w:themeColor="background1" w:themeShade="A6"/>
            </w:tcBorders>
            <w:noWrap/>
            <w:hideMark/>
          </w:tcPr>
          <w:p w14:paraId="3D00C362" w14:textId="77777777" w:rsidR="00CE75D4" w:rsidRPr="00326BD1" w:rsidRDefault="00CE75D4" w:rsidP="008340C1">
            <w:pPr>
              <w:pStyle w:val="ARfintablebodyright"/>
            </w:pPr>
            <w:r w:rsidRPr="00F8248C">
              <w:t>594.2</w:t>
            </w:r>
          </w:p>
        </w:tc>
      </w:tr>
      <w:tr w:rsidR="00CE75D4" w:rsidRPr="00326BD1" w14:paraId="196FABAD" w14:textId="77777777" w:rsidTr="3D493511">
        <w:trPr>
          <w:cantSplit w:val="0"/>
        </w:trPr>
        <w:tc>
          <w:tcPr>
            <w:tcW w:w="7371" w:type="dxa"/>
            <w:hideMark/>
          </w:tcPr>
          <w:p w14:paraId="7ED64BC5" w14:textId="77777777" w:rsidR="00CE75D4" w:rsidRPr="00326BD1" w:rsidRDefault="00CE75D4" w:rsidP="008340C1">
            <w:pPr>
              <w:pStyle w:val="ARfintablebodybold"/>
            </w:pPr>
            <w:r w:rsidRPr="00F8248C">
              <w:t>Total physical assets revaluation surplus</w:t>
            </w:r>
          </w:p>
        </w:tc>
        <w:tc>
          <w:tcPr>
            <w:tcW w:w="1134" w:type="dxa"/>
            <w:shd w:val="clear" w:color="auto" w:fill="E7E6E6" w:themeFill="background2"/>
            <w:noWrap/>
            <w:hideMark/>
          </w:tcPr>
          <w:p w14:paraId="7E25B4E1" w14:textId="77777777" w:rsidR="00CE75D4" w:rsidRPr="00326BD1" w:rsidRDefault="00CE75D4" w:rsidP="008340C1">
            <w:pPr>
              <w:pStyle w:val="ARfintablebodyrightbold"/>
            </w:pPr>
            <w:r w:rsidRPr="00F8248C">
              <w:t>497.</w:t>
            </w:r>
            <w:r>
              <w:t>2</w:t>
            </w:r>
          </w:p>
        </w:tc>
        <w:tc>
          <w:tcPr>
            <w:tcW w:w="1134" w:type="dxa"/>
            <w:noWrap/>
            <w:hideMark/>
          </w:tcPr>
          <w:p w14:paraId="079926BC" w14:textId="77777777" w:rsidR="00CE75D4" w:rsidRPr="00326BD1" w:rsidRDefault="00CE75D4" w:rsidP="008340C1">
            <w:pPr>
              <w:pStyle w:val="ARfintablebodyrightbold"/>
            </w:pPr>
            <w:r w:rsidRPr="00F8248C">
              <w:t>4,877.9</w:t>
            </w:r>
          </w:p>
        </w:tc>
      </w:tr>
    </w:tbl>
    <w:p w14:paraId="6C19DA38" w14:textId="4E96702D" w:rsidR="00CE75D4" w:rsidRPr="00203E24" w:rsidRDefault="00CE75D4" w:rsidP="008340C1">
      <w:pPr>
        <w:pStyle w:val="ARfintablefootnote"/>
        <w:rPr>
          <w:lang w:eastAsia="en-AU"/>
        </w:rPr>
      </w:pPr>
      <w:bookmarkStart w:id="635" w:name="_Toc39242170"/>
      <w:r w:rsidRPr="00203E24">
        <w:rPr>
          <w:lang w:eastAsia="en-AU"/>
        </w:rPr>
        <w:t>Notes:</w:t>
      </w:r>
    </w:p>
    <w:p w14:paraId="36D59666" w14:textId="7C5A43EA" w:rsidR="00CE75D4" w:rsidRPr="00203E24" w:rsidRDefault="00CE75D4" w:rsidP="004E63CD">
      <w:pPr>
        <w:pStyle w:val="ARfintablefootnoteindent"/>
      </w:pPr>
      <w:r w:rsidRPr="00203E24">
        <w:t>(i)</w:t>
      </w:r>
      <w:r>
        <w:tab/>
      </w:r>
      <w:r w:rsidRPr="00203E24">
        <w:t>Removes the 30 June 2021 closing balances of the DFFH, the Victorian Disability Worker Commission and the Director of Housing</w:t>
      </w:r>
      <w:r>
        <w:t>,</w:t>
      </w:r>
      <w:r w:rsidRPr="00203E24">
        <w:t xml:space="preserve"> which were included in the department</w:t>
      </w:r>
      <w:r>
        <w:t>’</w:t>
      </w:r>
      <w:r w:rsidRPr="00203E24">
        <w:t>s 2020</w:t>
      </w:r>
      <w:r>
        <w:t>–</w:t>
      </w:r>
      <w:r w:rsidRPr="00203E24">
        <w:t xml:space="preserve">21 financial statements under s. 53(1)(b) of the FMA. </w:t>
      </w:r>
      <w:r>
        <w:t xml:space="preserve">The transactions which relate to these entities </w:t>
      </w:r>
      <w:r w:rsidRPr="00203E24">
        <w:t>are reported in the DFFH</w:t>
      </w:r>
      <w:r>
        <w:t>’</w:t>
      </w:r>
      <w:r w:rsidRPr="00203E24">
        <w:t>s 2021</w:t>
      </w:r>
      <w:r>
        <w:t>–</w:t>
      </w:r>
      <w:r w:rsidRPr="00203E24">
        <w:t>22 financial statements.</w:t>
      </w:r>
    </w:p>
    <w:p w14:paraId="3AF78ADE" w14:textId="77777777" w:rsidR="00CE75D4" w:rsidRDefault="00CE75D4" w:rsidP="008340C1">
      <w:pPr>
        <w:pStyle w:val="ARfintablefootnoteindent"/>
      </w:pPr>
      <w:r w:rsidRPr="00203E24">
        <w:t>(ii)</w:t>
      </w:r>
      <w:r>
        <w:tab/>
      </w:r>
      <w:r w:rsidRPr="00203E24">
        <w:t xml:space="preserve">The prior period </w:t>
      </w:r>
      <w:r>
        <w:t>adjustments</w:t>
      </w:r>
      <w:r w:rsidRPr="00203E24">
        <w:t xml:space="preserve"> in 2022 relate to:</w:t>
      </w:r>
    </w:p>
    <w:p w14:paraId="459728E3" w14:textId="56315C33" w:rsidR="00CE75D4" w:rsidRPr="001C1DE8" w:rsidRDefault="00CE75D4" w:rsidP="008340C1">
      <w:pPr>
        <w:pStyle w:val="ARfintablefootnotebulletindent"/>
      </w:pPr>
      <w:r>
        <w:t>t</w:t>
      </w:r>
      <w:r w:rsidRPr="001C1DE8">
        <w:t>he intangible assets write off of $60.5 million</w:t>
      </w:r>
      <w:r>
        <w:t>,</w:t>
      </w:r>
      <w:r w:rsidRPr="001C1DE8">
        <w:t xml:space="preserve"> </w:t>
      </w:r>
      <w:r w:rsidRPr="001A557A">
        <w:t xml:space="preserve">due to change in policy in relation to the accounting treatment on the </w:t>
      </w:r>
      <w:r w:rsidRPr="00A55BCA">
        <w:t xml:space="preserve">upfront configuration and customisation costs incurred in implementing the </w:t>
      </w:r>
      <w:r w:rsidRPr="001A557A">
        <w:t>Software</w:t>
      </w:r>
      <w:r>
        <w:t>-</w:t>
      </w:r>
      <w:r w:rsidRPr="001A557A">
        <w:t>as</w:t>
      </w:r>
      <w:r>
        <w:t>-</w:t>
      </w:r>
      <w:r w:rsidRPr="001A557A">
        <w:t>a</w:t>
      </w:r>
      <w:r>
        <w:t>-</w:t>
      </w:r>
      <w:r w:rsidRPr="001A557A">
        <w:t>Service (SaaS) arrangements by applying the</w:t>
      </w:r>
      <w:r>
        <w:t> </w:t>
      </w:r>
      <w:r w:rsidRPr="001A557A">
        <w:t>agenda decision issued by the International Financial Reporting Interpretations Committee (IFRIC)</w:t>
      </w:r>
    </w:p>
    <w:p w14:paraId="530855D2" w14:textId="083E017A" w:rsidR="00CE75D4" w:rsidRPr="001C1DE8" w:rsidRDefault="00CE75D4" w:rsidP="008340C1">
      <w:pPr>
        <w:pStyle w:val="ARfintablefootnotebulletindent"/>
      </w:pPr>
      <w:r>
        <w:t>t</w:t>
      </w:r>
      <w:r w:rsidRPr="001C1DE8">
        <w:t xml:space="preserve">he capitalisation of </w:t>
      </w:r>
      <w:r>
        <w:t>land purchases</w:t>
      </w:r>
      <w:r w:rsidRPr="001C1DE8">
        <w:t xml:space="preserve"> that had been previously expensed</w:t>
      </w:r>
      <w:r>
        <w:t>,</w:t>
      </w:r>
      <w:r w:rsidRPr="001C1DE8">
        <w:t xml:space="preserve"> which results in a</w:t>
      </w:r>
      <w:r>
        <w:t>n</w:t>
      </w:r>
      <w:r w:rsidRPr="001C1DE8">
        <w:t xml:space="preserve"> increase to land of $1.2 million.</w:t>
      </w:r>
    </w:p>
    <w:p w14:paraId="01D12C77" w14:textId="4DCB5127" w:rsidR="00CE75D4" w:rsidRPr="001C1DE8" w:rsidRDefault="00CE75D4" w:rsidP="004E63CD">
      <w:pPr>
        <w:pStyle w:val="ARfintablefootnoteindent"/>
        <w:rPr>
          <w:szCs w:val="16"/>
        </w:rPr>
      </w:pPr>
      <w:r w:rsidRPr="001C1DE8">
        <w:rPr>
          <w:szCs w:val="16"/>
        </w:rPr>
        <w:t>(iii)</w:t>
      </w:r>
      <w:r w:rsidRPr="001C1DE8">
        <w:rPr>
          <w:szCs w:val="16"/>
        </w:rPr>
        <w:tab/>
        <w:t xml:space="preserve">The prior period </w:t>
      </w:r>
      <w:r>
        <w:rPr>
          <w:szCs w:val="16"/>
        </w:rPr>
        <w:t>adjustments</w:t>
      </w:r>
      <w:r w:rsidRPr="001C1DE8">
        <w:rPr>
          <w:szCs w:val="16"/>
        </w:rPr>
        <w:t xml:space="preserve"> in 2021 relate to:</w:t>
      </w:r>
    </w:p>
    <w:p w14:paraId="50A3762B" w14:textId="77777777" w:rsidR="00CE75D4" w:rsidRPr="001C1DE8" w:rsidRDefault="00CE75D4" w:rsidP="008340C1">
      <w:pPr>
        <w:pStyle w:val="ARfintablefootnotebulletindent"/>
      </w:pPr>
      <w:r>
        <w:t>t</w:t>
      </w:r>
      <w:r w:rsidRPr="001C1DE8">
        <w:t>he capitalisation of land amounting to $54.3 million which was purchased for the New Footscray Hospital Project and had been incorrectly expensed as capital grants</w:t>
      </w:r>
    </w:p>
    <w:p w14:paraId="29F93E85" w14:textId="1620C2FB" w:rsidR="00CE75D4" w:rsidRPr="001C1DE8" w:rsidRDefault="00CE75D4" w:rsidP="008340C1">
      <w:pPr>
        <w:pStyle w:val="ARfintablefootnotebulletindent"/>
      </w:pPr>
      <w:r>
        <w:t>t</w:t>
      </w:r>
      <w:r w:rsidRPr="001C1DE8">
        <w:t>he capitalisation of payments that had been previously expensed less capitalised items that should have been expensed</w:t>
      </w:r>
      <w:r>
        <w:t>,</w:t>
      </w:r>
      <w:r w:rsidRPr="001C1DE8">
        <w:t xml:space="preserve"> which results in a net increase to intangible assets of $3.07 million.</w:t>
      </w:r>
    </w:p>
    <w:p w14:paraId="59E03833" w14:textId="01E4E32A" w:rsidR="00CE75D4" w:rsidRPr="00AE077D" w:rsidRDefault="00CE75D4" w:rsidP="004E63CD">
      <w:pPr>
        <w:pStyle w:val="ARfintablefootnoteindent"/>
      </w:pPr>
      <w:r w:rsidRPr="00203E24">
        <w:t>(iv)</w:t>
      </w:r>
      <w:r>
        <w:tab/>
      </w:r>
      <w:r w:rsidRPr="00203E24">
        <w:t>Movements in the physical asset revaluation reserve arise from the revaluation of land and buildings and the impairment of land and buildings that were previously revalued.</w:t>
      </w:r>
    </w:p>
    <w:p w14:paraId="09D8EC19" w14:textId="77777777" w:rsidR="00CE75D4" w:rsidRPr="0040433B" w:rsidRDefault="00CE75D4" w:rsidP="00130D1C">
      <w:pPr>
        <w:pStyle w:val="ARfinbody"/>
      </w:pPr>
      <w:r w:rsidRPr="0040433B">
        <w:br w:type="page"/>
      </w:r>
    </w:p>
    <w:bookmarkEnd w:id="635"/>
    <w:p w14:paraId="61E64050" w14:textId="77777777" w:rsidR="00CE75D4" w:rsidRPr="00326BD1" w:rsidRDefault="00CE75D4" w:rsidP="00130D1C">
      <w:pPr>
        <w:pStyle w:val="Heading4"/>
        <w:rPr>
          <w:lang w:eastAsia="en-AU"/>
        </w:rPr>
      </w:pPr>
      <w:r w:rsidRPr="00230FFD">
        <w:rPr>
          <w:lang w:eastAsia="en-AU"/>
        </w:rPr>
        <w:t>9.5 Entities consolidated pursuant to section 53(1)(b) of the FMA</w:t>
      </w:r>
    </w:p>
    <w:p w14:paraId="593E36F8" w14:textId="77777777" w:rsidR="00CE75D4" w:rsidRDefault="00CE75D4" w:rsidP="008340C1">
      <w:pPr>
        <w:pStyle w:val="ARfinbody"/>
      </w:pPr>
      <w:r w:rsidRPr="00203E24">
        <w:t>The financial information of the following entity has been consolidated into the department</w:t>
      </w:r>
      <w:r>
        <w:t>’</w:t>
      </w:r>
      <w:r w:rsidRPr="00203E24">
        <w:t>s 2021</w:t>
      </w:r>
      <w:r>
        <w:t>–</w:t>
      </w:r>
      <w:r w:rsidRPr="00203E24">
        <w:t>22 financial statements pursuant to a determination made by the Assistant Treasurer under s. 53(1)(b) of the FMA:</w:t>
      </w:r>
    </w:p>
    <w:p w14:paraId="42CFB63D" w14:textId="77777777" w:rsidR="00CE75D4" w:rsidRPr="00203E24" w:rsidRDefault="00CE75D4" w:rsidP="008340C1">
      <w:pPr>
        <w:pStyle w:val="ARfinbullet1"/>
      </w:pPr>
      <w:r w:rsidRPr="00203E24">
        <w:t>Mental Health Tribunal.</w:t>
      </w:r>
    </w:p>
    <w:p w14:paraId="358F1C73" w14:textId="77777777" w:rsidR="00CE75D4" w:rsidRPr="00203E24" w:rsidRDefault="00CE75D4" w:rsidP="008340C1">
      <w:pPr>
        <w:pStyle w:val="ARfinbody"/>
      </w:pPr>
      <w:r w:rsidRPr="00203E24">
        <w:t xml:space="preserve">The financial effects of </w:t>
      </w:r>
      <w:r>
        <w:t>this</w:t>
      </w:r>
      <w:r w:rsidRPr="00203E24">
        <w:t xml:space="preserve"> entity </w:t>
      </w:r>
      <w:r>
        <w:t>were</w:t>
      </w:r>
      <w:r w:rsidRPr="00203E24">
        <w:t xml:space="preserve"> trivial to the financial statements. Therefore, the entity is reported in aggregate, together with the Department of Health</w:t>
      </w:r>
      <w:r>
        <w:t>,</w:t>
      </w:r>
      <w:r w:rsidRPr="00203E24">
        <w:t xml:space="preserve"> in the table below.</w:t>
      </w:r>
    </w:p>
    <w:p w14:paraId="4E433CE5" w14:textId="7B09E535" w:rsidR="00CE75D4" w:rsidRDefault="00CE75D4" w:rsidP="008340C1">
      <w:pPr>
        <w:pStyle w:val="ARfinbody"/>
      </w:pPr>
      <w:r w:rsidRPr="00203E24">
        <w:t xml:space="preserve">The financial information of the following entities </w:t>
      </w:r>
      <w:r w:rsidR="000C63E0">
        <w:t xml:space="preserve">was </w:t>
      </w:r>
      <w:r w:rsidRPr="00203E24">
        <w:t>included in the department</w:t>
      </w:r>
      <w:r>
        <w:t>’</w:t>
      </w:r>
      <w:r w:rsidRPr="00203E24">
        <w:t>s 2020</w:t>
      </w:r>
      <w:r>
        <w:t>–</w:t>
      </w:r>
      <w:r w:rsidRPr="00203E24">
        <w:t xml:space="preserve">21 financial statements pursuant to a determination made by the Assistant Treasurer under s. 53(1)(b) of the FMA. The financial effects of each of those entities, except </w:t>
      </w:r>
      <w:r w:rsidR="00321FE3">
        <w:t xml:space="preserve">the </w:t>
      </w:r>
      <w:r w:rsidRPr="00203E24">
        <w:t>DFFH and the Director of Housing, were trivial to the financial statements, both individually and in aggregate. Therefore, those entities were reported in aggregate, together with the Department of Health</w:t>
      </w:r>
      <w:r>
        <w:t>,</w:t>
      </w:r>
      <w:r w:rsidRPr="00203E24">
        <w:t xml:space="preserve"> in the table below.</w:t>
      </w:r>
    </w:p>
    <w:p w14:paraId="04840439" w14:textId="77777777" w:rsidR="00CE75D4" w:rsidRDefault="00CE75D4" w:rsidP="008340C1">
      <w:pPr>
        <w:pStyle w:val="ARfinbullet1"/>
      </w:pPr>
      <w:r w:rsidRPr="00203E24">
        <w:t>Mental Health Tribunal (from 1 July 2014)</w:t>
      </w:r>
    </w:p>
    <w:p w14:paraId="57A2A8D1" w14:textId="63950036" w:rsidR="00CE75D4" w:rsidRDefault="00CE75D4" w:rsidP="008340C1">
      <w:pPr>
        <w:pStyle w:val="ARfinbullet1"/>
      </w:pPr>
      <w:r w:rsidRPr="00203E24">
        <w:t>Director of Housing (from 1 July 2006)</w:t>
      </w:r>
    </w:p>
    <w:p w14:paraId="163336EA" w14:textId="77777777" w:rsidR="00CE75D4" w:rsidRDefault="00CE75D4" w:rsidP="008340C1">
      <w:pPr>
        <w:pStyle w:val="ARfinbullet1"/>
      </w:pPr>
      <w:r w:rsidRPr="00203E24">
        <w:t>Commission for Children and Young People (from 1 July 2015)</w:t>
      </w:r>
    </w:p>
    <w:p w14:paraId="45CE7271" w14:textId="77777777" w:rsidR="00CE75D4" w:rsidRDefault="00CE75D4" w:rsidP="008340C1">
      <w:pPr>
        <w:pStyle w:val="ARfinbullet1"/>
      </w:pPr>
      <w:r w:rsidRPr="00203E24">
        <w:t>Disability Worker Registration Board (from 1 June 2020)</w:t>
      </w:r>
    </w:p>
    <w:p w14:paraId="1C09452D" w14:textId="77777777" w:rsidR="00CE75D4" w:rsidRDefault="00CE75D4" w:rsidP="008340C1">
      <w:pPr>
        <w:pStyle w:val="ARfinbullet1"/>
      </w:pPr>
      <w:r w:rsidRPr="00203E24">
        <w:t>Victorian Disability Worker Commission (from 1 June 2020)</w:t>
      </w:r>
    </w:p>
    <w:p w14:paraId="2AAF86F2" w14:textId="77777777" w:rsidR="00CE75D4" w:rsidRDefault="00CE75D4" w:rsidP="008340C1">
      <w:pPr>
        <w:pStyle w:val="ARfinbullet1"/>
      </w:pPr>
      <w:r w:rsidRPr="00203E24">
        <w:t>Department of Families, Fairness and Housing (from 1 February 2021)</w:t>
      </w:r>
    </w:p>
    <w:p w14:paraId="2AD8C336" w14:textId="77777777" w:rsidR="00CE75D4" w:rsidRDefault="00CE75D4" w:rsidP="008340C1">
      <w:pPr>
        <w:pStyle w:val="ARfinbullet1"/>
      </w:pPr>
      <w:r w:rsidRPr="00203E24">
        <w:t>Respect Victoria (from 1 February 2021)</w:t>
      </w:r>
    </w:p>
    <w:p w14:paraId="58C5CB87" w14:textId="77777777" w:rsidR="00CE75D4" w:rsidRDefault="00CE75D4" w:rsidP="008340C1">
      <w:pPr>
        <w:pStyle w:val="ARfinbullet1"/>
      </w:pPr>
      <w:r w:rsidRPr="00203E24">
        <w:t>Victorian Multicultural Commission (from 1 February 2021)</w:t>
      </w:r>
    </w:p>
    <w:p w14:paraId="371DDCE0" w14:textId="77777777" w:rsidR="00CE75D4" w:rsidRPr="00326BD1" w:rsidRDefault="00CE75D4" w:rsidP="008340C1">
      <w:pPr>
        <w:pStyle w:val="ARfinbullet1"/>
        <w:spacing w:after="160"/>
      </w:pPr>
      <w:r w:rsidRPr="00203E24">
        <w:t>Victorian Veterans Council (from 1 February 2021).</w:t>
      </w:r>
    </w:p>
    <w:tbl>
      <w:tblPr>
        <w:tblStyle w:val="TableGrid"/>
        <w:tblW w:w="9639" w:type="dxa"/>
        <w:tblLayout w:type="fixed"/>
        <w:tblCellMar>
          <w:right w:w="57" w:type="dxa"/>
        </w:tblCellMar>
        <w:tblLook w:val="06A0" w:firstRow="1" w:lastRow="0" w:firstColumn="1" w:lastColumn="0" w:noHBand="1" w:noVBand="1"/>
      </w:tblPr>
      <w:tblGrid>
        <w:gridCol w:w="1700"/>
        <w:gridCol w:w="793"/>
        <w:gridCol w:w="794"/>
        <w:gridCol w:w="794"/>
        <w:gridCol w:w="794"/>
        <w:gridCol w:w="794"/>
        <w:gridCol w:w="794"/>
        <w:gridCol w:w="794"/>
        <w:gridCol w:w="794"/>
        <w:gridCol w:w="794"/>
        <w:gridCol w:w="794"/>
      </w:tblGrid>
      <w:tr w:rsidR="00CE75D4" w:rsidRPr="00326BD1" w14:paraId="5464C59B"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val="restart"/>
            <w:tcBorders>
              <w:top w:val="nil"/>
            </w:tcBorders>
          </w:tcPr>
          <w:p w14:paraId="0FAF4742" w14:textId="77777777" w:rsidR="00CE75D4" w:rsidRPr="00326BD1" w:rsidRDefault="00CE75D4" w:rsidP="00130D1C">
            <w:pPr>
              <w:pStyle w:val="ARfintablebody"/>
            </w:pPr>
          </w:p>
        </w:tc>
        <w:tc>
          <w:tcPr>
            <w:tcW w:w="1587" w:type="dxa"/>
            <w:gridSpan w:val="2"/>
            <w:tcBorders>
              <w:top w:val="nil"/>
              <w:bottom w:val="single" w:sz="4" w:space="0" w:color="auto"/>
            </w:tcBorders>
            <w:shd w:val="clear" w:color="auto" w:fill="auto"/>
            <w:noWrap/>
          </w:tcPr>
          <w:p w14:paraId="524D6633" w14:textId="77777777" w:rsidR="00CE75D4" w:rsidRPr="00326BD1" w:rsidRDefault="00CE75D4" w:rsidP="00130D1C">
            <w:pPr>
              <w:pStyle w:val="ARfintablecolheadcentre"/>
            </w:pPr>
            <w:r w:rsidRPr="00326BD1">
              <w:t>Department of Health and other s</w:t>
            </w:r>
            <w:r>
              <w:t>.</w:t>
            </w:r>
            <w:r w:rsidRPr="00326BD1">
              <w:t xml:space="preserve"> 53(1)(b) entities</w:t>
            </w:r>
          </w:p>
        </w:tc>
        <w:tc>
          <w:tcPr>
            <w:tcW w:w="1588" w:type="dxa"/>
            <w:gridSpan w:val="2"/>
            <w:tcBorders>
              <w:top w:val="nil"/>
              <w:bottom w:val="single" w:sz="4" w:space="0" w:color="auto"/>
            </w:tcBorders>
            <w:shd w:val="clear" w:color="auto" w:fill="auto"/>
          </w:tcPr>
          <w:p w14:paraId="7E568758" w14:textId="77777777" w:rsidR="00CE75D4" w:rsidRPr="00326BD1" w:rsidRDefault="00CE75D4" w:rsidP="00130D1C">
            <w:pPr>
              <w:pStyle w:val="ARfintablecolheadcentre"/>
            </w:pPr>
            <w:r w:rsidRPr="00326BD1">
              <w:t>Department of Families, Fairness and Housing</w:t>
            </w:r>
          </w:p>
        </w:tc>
        <w:tc>
          <w:tcPr>
            <w:tcW w:w="1588" w:type="dxa"/>
            <w:gridSpan w:val="2"/>
            <w:tcBorders>
              <w:top w:val="nil"/>
              <w:bottom w:val="single" w:sz="4" w:space="0" w:color="auto"/>
            </w:tcBorders>
            <w:shd w:val="clear" w:color="auto" w:fill="auto"/>
            <w:noWrap/>
          </w:tcPr>
          <w:p w14:paraId="58932C7C" w14:textId="77777777" w:rsidR="00CE75D4" w:rsidRPr="00326BD1" w:rsidRDefault="00CE75D4" w:rsidP="00130D1C">
            <w:pPr>
              <w:pStyle w:val="ARfintablecolheadcentre"/>
            </w:pPr>
            <w:r w:rsidRPr="00326BD1">
              <w:t>Director of Housing</w:t>
            </w:r>
          </w:p>
        </w:tc>
        <w:tc>
          <w:tcPr>
            <w:tcW w:w="1588" w:type="dxa"/>
            <w:gridSpan w:val="2"/>
            <w:tcBorders>
              <w:top w:val="nil"/>
              <w:bottom w:val="single" w:sz="4" w:space="0" w:color="auto"/>
            </w:tcBorders>
            <w:shd w:val="clear" w:color="auto" w:fill="auto"/>
            <w:noWrap/>
          </w:tcPr>
          <w:p w14:paraId="211E7215" w14:textId="77777777" w:rsidR="00CE75D4" w:rsidRPr="00326BD1" w:rsidRDefault="00CE75D4" w:rsidP="00130D1C">
            <w:pPr>
              <w:pStyle w:val="ARfintablecolheadcentre"/>
            </w:pPr>
            <w:r w:rsidRPr="00326BD1">
              <w:t>Eliminations and adjustments</w:t>
            </w:r>
          </w:p>
        </w:tc>
        <w:tc>
          <w:tcPr>
            <w:tcW w:w="1588" w:type="dxa"/>
            <w:gridSpan w:val="2"/>
            <w:tcBorders>
              <w:top w:val="nil"/>
              <w:bottom w:val="single" w:sz="4" w:space="0" w:color="auto"/>
            </w:tcBorders>
            <w:shd w:val="clear" w:color="auto" w:fill="auto"/>
            <w:noWrap/>
          </w:tcPr>
          <w:p w14:paraId="280B4BB9" w14:textId="77777777" w:rsidR="00CE75D4" w:rsidRPr="00326BD1" w:rsidRDefault="00CE75D4" w:rsidP="00130D1C">
            <w:pPr>
              <w:pStyle w:val="ARfintablecolheadcentre"/>
            </w:pPr>
            <w:r w:rsidRPr="00326BD1">
              <w:t>Total</w:t>
            </w:r>
          </w:p>
        </w:tc>
      </w:tr>
      <w:tr w:rsidR="00CE75D4" w:rsidRPr="00326BD1" w14:paraId="4DBBA464"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tcBorders>
              <w:top w:val="single" w:sz="4" w:space="0" w:color="auto"/>
              <w:bottom w:val="single" w:sz="4" w:space="0" w:color="auto"/>
            </w:tcBorders>
          </w:tcPr>
          <w:p w14:paraId="38FDBD80" w14:textId="77777777" w:rsidR="00CE75D4" w:rsidRPr="00326BD1" w:rsidRDefault="00CE75D4" w:rsidP="008340C1">
            <w:pPr>
              <w:pStyle w:val="ARfintablebody"/>
            </w:pPr>
          </w:p>
        </w:tc>
        <w:tc>
          <w:tcPr>
            <w:tcW w:w="793" w:type="dxa"/>
            <w:tcBorders>
              <w:top w:val="single" w:sz="4" w:space="0" w:color="auto"/>
              <w:bottom w:val="single" w:sz="4" w:space="0" w:color="A6A6A6"/>
            </w:tcBorders>
            <w:shd w:val="clear" w:color="auto" w:fill="E7E6E6"/>
            <w:noWrap/>
          </w:tcPr>
          <w:p w14:paraId="795BAA71" w14:textId="77777777" w:rsidR="00CE75D4" w:rsidRPr="00326BD1" w:rsidRDefault="00CE75D4" w:rsidP="008340C1">
            <w:pPr>
              <w:pStyle w:val="ARfintablecolheadright"/>
              <w:ind w:right="0"/>
            </w:pPr>
            <w:r w:rsidRPr="00326BD1">
              <w:t>2022</w:t>
            </w:r>
          </w:p>
          <w:p w14:paraId="4CA6B42D" w14:textId="77777777" w:rsidR="00CE75D4" w:rsidRPr="00326BD1" w:rsidRDefault="00CE75D4" w:rsidP="008340C1">
            <w:pPr>
              <w:pStyle w:val="ARfintablecolheadright"/>
              <w:ind w:right="0"/>
            </w:pPr>
            <w:r w:rsidRPr="00326BD1">
              <w:t>$M</w:t>
            </w:r>
          </w:p>
        </w:tc>
        <w:tc>
          <w:tcPr>
            <w:tcW w:w="794" w:type="dxa"/>
            <w:tcBorders>
              <w:top w:val="single" w:sz="4" w:space="0" w:color="auto"/>
              <w:bottom w:val="single" w:sz="4" w:space="0" w:color="A6A6A6"/>
            </w:tcBorders>
            <w:noWrap/>
          </w:tcPr>
          <w:p w14:paraId="325AF73E" w14:textId="77777777" w:rsidR="00CE75D4" w:rsidRPr="00326BD1" w:rsidRDefault="00CE75D4" w:rsidP="008340C1">
            <w:pPr>
              <w:pStyle w:val="ARfintablecolheadright"/>
              <w:ind w:right="0"/>
            </w:pPr>
            <w:r w:rsidRPr="00326BD1">
              <w:t>2021</w:t>
            </w:r>
          </w:p>
          <w:p w14:paraId="66CBD7A5" w14:textId="77777777" w:rsidR="00CE75D4" w:rsidRPr="00326BD1" w:rsidRDefault="00CE75D4" w:rsidP="008340C1">
            <w:pPr>
              <w:pStyle w:val="ARfintablecolheadright"/>
              <w:ind w:right="0"/>
            </w:pPr>
            <w:r w:rsidRPr="00326BD1">
              <w:t>$M</w:t>
            </w:r>
          </w:p>
        </w:tc>
        <w:tc>
          <w:tcPr>
            <w:tcW w:w="794" w:type="dxa"/>
            <w:tcBorders>
              <w:top w:val="single" w:sz="4" w:space="0" w:color="auto"/>
              <w:bottom w:val="single" w:sz="4" w:space="0" w:color="A6A6A6"/>
            </w:tcBorders>
            <w:shd w:val="clear" w:color="auto" w:fill="E7E6E6"/>
          </w:tcPr>
          <w:p w14:paraId="351CB1C7" w14:textId="77777777" w:rsidR="00CE75D4" w:rsidRPr="00326BD1" w:rsidRDefault="00CE75D4" w:rsidP="008340C1">
            <w:pPr>
              <w:pStyle w:val="ARfintablecolheadright"/>
              <w:ind w:right="0"/>
            </w:pPr>
            <w:r w:rsidRPr="00326BD1">
              <w:t>2022</w:t>
            </w:r>
          </w:p>
          <w:p w14:paraId="28DCFB28" w14:textId="77777777" w:rsidR="00CE75D4" w:rsidRPr="00326BD1" w:rsidRDefault="00CE75D4" w:rsidP="008340C1">
            <w:pPr>
              <w:pStyle w:val="ARfintablecolheadright"/>
              <w:ind w:right="0"/>
            </w:pPr>
            <w:r w:rsidRPr="00326BD1">
              <w:t>$M</w:t>
            </w:r>
          </w:p>
        </w:tc>
        <w:tc>
          <w:tcPr>
            <w:tcW w:w="794" w:type="dxa"/>
            <w:tcBorders>
              <w:top w:val="single" w:sz="4" w:space="0" w:color="auto"/>
              <w:bottom w:val="single" w:sz="4" w:space="0" w:color="A6A6A6"/>
            </w:tcBorders>
            <w:shd w:val="clear" w:color="auto" w:fill="auto"/>
          </w:tcPr>
          <w:p w14:paraId="409BFB88" w14:textId="77777777" w:rsidR="00CE75D4" w:rsidRPr="00326BD1" w:rsidRDefault="00CE75D4" w:rsidP="008340C1">
            <w:pPr>
              <w:pStyle w:val="ARfintablecolheadright"/>
              <w:ind w:right="0"/>
            </w:pPr>
            <w:r w:rsidRPr="00326BD1">
              <w:t>2021</w:t>
            </w:r>
          </w:p>
          <w:p w14:paraId="3B0D6D9E" w14:textId="77777777" w:rsidR="00CE75D4" w:rsidRPr="00326BD1" w:rsidRDefault="00CE75D4" w:rsidP="008340C1">
            <w:pPr>
              <w:pStyle w:val="ARfintablecolheadright"/>
              <w:ind w:right="0"/>
            </w:pPr>
            <w:r w:rsidRPr="00326BD1">
              <w:t>$M</w:t>
            </w:r>
          </w:p>
        </w:tc>
        <w:tc>
          <w:tcPr>
            <w:tcW w:w="794" w:type="dxa"/>
            <w:tcBorders>
              <w:top w:val="single" w:sz="4" w:space="0" w:color="auto"/>
              <w:bottom w:val="single" w:sz="4" w:space="0" w:color="A6A6A6"/>
            </w:tcBorders>
            <w:shd w:val="clear" w:color="auto" w:fill="E7E6E6"/>
            <w:noWrap/>
          </w:tcPr>
          <w:p w14:paraId="0D331EBE" w14:textId="77777777" w:rsidR="00CE75D4" w:rsidRPr="00326BD1" w:rsidRDefault="00CE75D4" w:rsidP="008340C1">
            <w:pPr>
              <w:pStyle w:val="ARfintablecolheadright"/>
              <w:ind w:right="0"/>
            </w:pPr>
            <w:r w:rsidRPr="00326BD1">
              <w:t>2022</w:t>
            </w:r>
          </w:p>
          <w:p w14:paraId="7D2F186A" w14:textId="77777777" w:rsidR="00CE75D4" w:rsidRPr="00326BD1" w:rsidRDefault="00CE75D4" w:rsidP="008340C1">
            <w:pPr>
              <w:pStyle w:val="ARfintablecolheadright"/>
              <w:ind w:right="0"/>
            </w:pPr>
            <w:r w:rsidRPr="00326BD1">
              <w:t>$M</w:t>
            </w:r>
          </w:p>
        </w:tc>
        <w:tc>
          <w:tcPr>
            <w:tcW w:w="794" w:type="dxa"/>
            <w:tcBorders>
              <w:top w:val="single" w:sz="4" w:space="0" w:color="auto"/>
              <w:bottom w:val="single" w:sz="4" w:space="0" w:color="A6A6A6"/>
            </w:tcBorders>
            <w:noWrap/>
          </w:tcPr>
          <w:p w14:paraId="12C89FF5" w14:textId="77777777" w:rsidR="00CE75D4" w:rsidRPr="00326BD1" w:rsidRDefault="00CE75D4" w:rsidP="008340C1">
            <w:pPr>
              <w:pStyle w:val="ARfintablecolheadright"/>
              <w:ind w:right="0"/>
            </w:pPr>
            <w:r w:rsidRPr="00326BD1">
              <w:t>2021</w:t>
            </w:r>
          </w:p>
          <w:p w14:paraId="35AD40D0" w14:textId="77777777" w:rsidR="00CE75D4" w:rsidRPr="00326BD1" w:rsidRDefault="00CE75D4" w:rsidP="008340C1">
            <w:pPr>
              <w:pStyle w:val="ARfintablecolheadright"/>
              <w:ind w:right="0"/>
            </w:pPr>
            <w:r w:rsidRPr="00326BD1">
              <w:t>$M</w:t>
            </w:r>
          </w:p>
        </w:tc>
        <w:tc>
          <w:tcPr>
            <w:tcW w:w="794" w:type="dxa"/>
            <w:tcBorders>
              <w:top w:val="single" w:sz="4" w:space="0" w:color="auto"/>
              <w:bottom w:val="single" w:sz="4" w:space="0" w:color="A6A6A6"/>
            </w:tcBorders>
            <w:shd w:val="clear" w:color="auto" w:fill="E7E6E6"/>
            <w:noWrap/>
          </w:tcPr>
          <w:p w14:paraId="529C37FD" w14:textId="77777777" w:rsidR="00CE75D4" w:rsidRPr="00326BD1" w:rsidRDefault="00CE75D4" w:rsidP="008340C1">
            <w:pPr>
              <w:pStyle w:val="ARfintablecolheadright"/>
              <w:ind w:right="0"/>
            </w:pPr>
            <w:r w:rsidRPr="00326BD1">
              <w:t>2022</w:t>
            </w:r>
          </w:p>
          <w:p w14:paraId="4E1CC93D" w14:textId="77777777" w:rsidR="00CE75D4" w:rsidRPr="00326BD1" w:rsidRDefault="00CE75D4" w:rsidP="008340C1">
            <w:pPr>
              <w:pStyle w:val="ARfintablecolheadright"/>
              <w:ind w:right="0"/>
            </w:pPr>
            <w:r w:rsidRPr="00326BD1">
              <w:t>$M</w:t>
            </w:r>
          </w:p>
        </w:tc>
        <w:tc>
          <w:tcPr>
            <w:tcW w:w="794" w:type="dxa"/>
            <w:tcBorders>
              <w:top w:val="single" w:sz="4" w:space="0" w:color="auto"/>
              <w:bottom w:val="single" w:sz="4" w:space="0" w:color="A6A6A6"/>
            </w:tcBorders>
            <w:noWrap/>
          </w:tcPr>
          <w:p w14:paraId="41610B51" w14:textId="77777777" w:rsidR="00CE75D4" w:rsidRPr="00326BD1" w:rsidRDefault="00CE75D4" w:rsidP="008340C1">
            <w:pPr>
              <w:pStyle w:val="ARfintablecolheadright"/>
              <w:ind w:right="0"/>
            </w:pPr>
            <w:r w:rsidRPr="00326BD1">
              <w:t>2021</w:t>
            </w:r>
          </w:p>
          <w:p w14:paraId="42FBFA51" w14:textId="77777777" w:rsidR="00CE75D4" w:rsidRPr="00326BD1" w:rsidRDefault="00CE75D4" w:rsidP="008340C1">
            <w:pPr>
              <w:pStyle w:val="ARfintablecolheadright"/>
              <w:ind w:right="0"/>
            </w:pPr>
            <w:r w:rsidRPr="00326BD1">
              <w:t>$M</w:t>
            </w:r>
          </w:p>
        </w:tc>
        <w:tc>
          <w:tcPr>
            <w:tcW w:w="794" w:type="dxa"/>
            <w:tcBorders>
              <w:top w:val="single" w:sz="4" w:space="0" w:color="auto"/>
              <w:bottom w:val="single" w:sz="4" w:space="0" w:color="A6A6A6"/>
            </w:tcBorders>
            <w:shd w:val="clear" w:color="auto" w:fill="E7E6E6"/>
            <w:noWrap/>
          </w:tcPr>
          <w:p w14:paraId="57BED1BC" w14:textId="77777777" w:rsidR="00CE75D4" w:rsidRPr="00326BD1" w:rsidRDefault="00CE75D4" w:rsidP="008340C1">
            <w:pPr>
              <w:pStyle w:val="ARfintablecolheadright"/>
              <w:ind w:right="0"/>
            </w:pPr>
            <w:r w:rsidRPr="00326BD1">
              <w:t>2022</w:t>
            </w:r>
          </w:p>
          <w:p w14:paraId="4E81111B" w14:textId="77777777" w:rsidR="00CE75D4" w:rsidRPr="00326BD1" w:rsidRDefault="00CE75D4" w:rsidP="008340C1">
            <w:pPr>
              <w:pStyle w:val="ARfintablecolheadright"/>
              <w:ind w:right="0"/>
            </w:pPr>
            <w:r w:rsidRPr="00326BD1">
              <w:t>$M</w:t>
            </w:r>
          </w:p>
        </w:tc>
        <w:tc>
          <w:tcPr>
            <w:tcW w:w="794" w:type="dxa"/>
            <w:tcBorders>
              <w:top w:val="single" w:sz="4" w:space="0" w:color="auto"/>
              <w:bottom w:val="single" w:sz="4" w:space="0" w:color="A6A6A6"/>
            </w:tcBorders>
            <w:noWrap/>
          </w:tcPr>
          <w:p w14:paraId="487A23A8" w14:textId="77777777" w:rsidR="00CE75D4" w:rsidRPr="00326BD1" w:rsidRDefault="00CE75D4" w:rsidP="008340C1">
            <w:pPr>
              <w:pStyle w:val="ARfintablecolheadright"/>
              <w:ind w:right="0"/>
            </w:pPr>
            <w:r w:rsidRPr="00326BD1">
              <w:t>2021</w:t>
            </w:r>
          </w:p>
          <w:p w14:paraId="10B6BE9F" w14:textId="77777777" w:rsidR="00CE75D4" w:rsidRPr="00326BD1" w:rsidRDefault="00CE75D4" w:rsidP="008340C1">
            <w:pPr>
              <w:pStyle w:val="ARfintablecolheadright"/>
              <w:ind w:right="0"/>
            </w:pPr>
            <w:r w:rsidRPr="00326BD1">
              <w:t>$M</w:t>
            </w:r>
          </w:p>
        </w:tc>
      </w:tr>
      <w:tr w:rsidR="00CE75D4" w:rsidRPr="00326BD1" w14:paraId="75A254E7" w14:textId="77777777" w:rsidTr="00130D1C">
        <w:trPr>
          <w:cantSplit w:val="0"/>
          <w:trHeight w:val="255"/>
        </w:trPr>
        <w:tc>
          <w:tcPr>
            <w:tcW w:w="1700" w:type="dxa"/>
            <w:tcBorders>
              <w:top w:val="single" w:sz="4" w:space="0" w:color="auto"/>
              <w:bottom w:val="single" w:sz="4" w:space="0" w:color="A6A6A6"/>
            </w:tcBorders>
            <w:hideMark/>
          </w:tcPr>
          <w:p w14:paraId="329E66DF" w14:textId="77777777" w:rsidR="00CE75D4" w:rsidRPr="00326BD1" w:rsidRDefault="00CE75D4" w:rsidP="008340C1">
            <w:pPr>
              <w:pStyle w:val="ARfintablebody"/>
              <w:rPr>
                <w:sz w:val="17"/>
                <w:szCs w:val="17"/>
              </w:rPr>
            </w:pPr>
            <w:r w:rsidRPr="0054600D">
              <w:t>Total revenue and income from transactions</w:t>
            </w:r>
          </w:p>
        </w:tc>
        <w:tc>
          <w:tcPr>
            <w:tcW w:w="793" w:type="dxa"/>
            <w:tcBorders>
              <w:top w:val="single" w:sz="4" w:space="0" w:color="auto"/>
              <w:bottom w:val="single" w:sz="4" w:space="0" w:color="A6A6A6"/>
            </w:tcBorders>
            <w:shd w:val="clear" w:color="auto" w:fill="E7E6E6"/>
            <w:noWrap/>
            <w:hideMark/>
          </w:tcPr>
          <w:p w14:paraId="01DD4AFD" w14:textId="77777777" w:rsidR="00CE75D4" w:rsidRPr="00326BD1" w:rsidRDefault="00CE75D4" w:rsidP="008340C1">
            <w:pPr>
              <w:pStyle w:val="ARfintablebodyright"/>
              <w:ind w:right="0"/>
              <w:rPr>
                <w:sz w:val="17"/>
                <w:szCs w:val="17"/>
              </w:rPr>
            </w:pPr>
            <w:r w:rsidRPr="0054600D">
              <w:t>21,813.1</w:t>
            </w:r>
          </w:p>
        </w:tc>
        <w:tc>
          <w:tcPr>
            <w:tcW w:w="794" w:type="dxa"/>
            <w:tcBorders>
              <w:top w:val="single" w:sz="4" w:space="0" w:color="auto"/>
              <w:bottom w:val="single" w:sz="4" w:space="0" w:color="A6A6A6"/>
            </w:tcBorders>
            <w:noWrap/>
            <w:hideMark/>
          </w:tcPr>
          <w:p w14:paraId="21927473" w14:textId="77777777" w:rsidR="00CE75D4" w:rsidRPr="00326BD1" w:rsidRDefault="00CE75D4" w:rsidP="008340C1">
            <w:pPr>
              <w:pStyle w:val="ARfintablebodyright"/>
              <w:ind w:right="0"/>
              <w:rPr>
                <w:sz w:val="17"/>
                <w:szCs w:val="17"/>
              </w:rPr>
            </w:pPr>
            <w:r w:rsidRPr="0054600D">
              <w:t>21,918.4</w:t>
            </w:r>
          </w:p>
        </w:tc>
        <w:tc>
          <w:tcPr>
            <w:tcW w:w="794" w:type="dxa"/>
            <w:tcBorders>
              <w:top w:val="single" w:sz="4" w:space="0" w:color="auto"/>
              <w:bottom w:val="single" w:sz="4" w:space="0" w:color="A6A6A6"/>
            </w:tcBorders>
            <w:shd w:val="clear" w:color="auto" w:fill="E7E6E6"/>
          </w:tcPr>
          <w:p w14:paraId="0A8A1D86" w14:textId="77777777" w:rsidR="00CE75D4" w:rsidRPr="00326BD1" w:rsidRDefault="00CE75D4" w:rsidP="008340C1">
            <w:pPr>
              <w:pStyle w:val="ARfintablebodyright"/>
              <w:ind w:right="0"/>
              <w:rPr>
                <w:sz w:val="17"/>
                <w:szCs w:val="17"/>
              </w:rPr>
            </w:pPr>
            <w:r>
              <w:t>–</w:t>
            </w:r>
          </w:p>
        </w:tc>
        <w:tc>
          <w:tcPr>
            <w:tcW w:w="794" w:type="dxa"/>
            <w:tcBorders>
              <w:top w:val="single" w:sz="4" w:space="0" w:color="auto"/>
              <w:bottom w:val="single" w:sz="4" w:space="0" w:color="A6A6A6"/>
            </w:tcBorders>
            <w:shd w:val="clear" w:color="auto" w:fill="auto"/>
          </w:tcPr>
          <w:p w14:paraId="6F9B5B91" w14:textId="77777777" w:rsidR="00CE75D4" w:rsidRPr="00326BD1" w:rsidRDefault="00CE75D4" w:rsidP="008340C1">
            <w:pPr>
              <w:pStyle w:val="ARfintablebodyright"/>
              <w:ind w:right="0"/>
              <w:rPr>
                <w:sz w:val="17"/>
                <w:szCs w:val="17"/>
              </w:rPr>
            </w:pPr>
            <w:r w:rsidRPr="0054600D">
              <w:t>2,005.4</w:t>
            </w:r>
          </w:p>
        </w:tc>
        <w:tc>
          <w:tcPr>
            <w:tcW w:w="794" w:type="dxa"/>
            <w:tcBorders>
              <w:top w:val="single" w:sz="4" w:space="0" w:color="auto"/>
              <w:bottom w:val="single" w:sz="4" w:space="0" w:color="A6A6A6"/>
            </w:tcBorders>
            <w:shd w:val="clear" w:color="auto" w:fill="E7E6E6"/>
            <w:noWrap/>
            <w:hideMark/>
          </w:tcPr>
          <w:p w14:paraId="3614CB3A" w14:textId="77777777" w:rsidR="00CE75D4" w:rsidRPr="00326BD1" w:rsidRDefault="00CE75D4" w:rsidP="008340C1">
            <w:pPr>
              <w:pStyle w:val="ARfintablebodyright"/>
              <w:ind w:right="0"/>
              <w:rPr>
                <w:sz w:val="17"/>
                <w:szCs w:val="17"/>
              </w:rPr>
            </w:pPr>
            <w:r>
              <w:t>–</w:t>
            </w:r>
          </w:p>
        </w:tc>
        <w:tc>
          <w:tcPr>
            <w:tcW w:w="794" w:type="dxa"/>
            <w:tcBorders>
              <w:top w:val="single" w:sz="4" w:space="0" w:color="auto"/>
              <w:bottom w:val="single" w:sz="4" w:space="0" w:color="A6A6A6"/>
            </w:tcBorders>
            <w:noWrap/>
            <w:hideMark/>
          </w:tcPr>
          <w:p w14:paraId="56C54C28" w14:textId="77777777" w:rsidR="00CE75D4" w:rsidRPr="00326BD1" w:rsidRDefault="00CE75D4" w:rsidP="008340C1">
            <w:pPr>
              <w:pStyle w:val="ARfintablebodyright"/>
              <w:ind w:right="0"/>
              <w:rPr>
                <w:sz w:val="17"/>
                <w:szCs w:val="17"/>
              </w:rPr>
            </w:pPr>
            <w:r w:rsidRPr="0054600D">
              <w:t>1,871.9</w:t>
            </w:r>
          </w:p>
        </w:tc>
        <w:tc>
          <w:tcPr>
            <w:tcW w:w="794" w:type="dxa"/>
            <w:tcBorders>
              <w:top w:val="single" w:sz="4" w:space="0" w:color="auto"/>
              <w:bottom w:val="single" w:sz="4" w:space="0" w:color="A6A6A6"/>
            </w:tcBorders>
            <w:shd w:val="clear" w:color="auto" w:fill="E7E6E6"/>
            <w:noWrap/>
            <w:hideMark/>
          </w:tcPr>
          <w:p w14:paraId="6A077D6F" w14:textId="77777777" w:rsidR="00CE75D4" w:rsidRPr="00326BD1" w:rsidRDefault="00CE75D4" w:rsidP="008340C1">
            <w:pPr>
              <w:pStyle w:val="ARfintablebodyright"/>
              <w:ind w:right="0"/>
              <w:rPr>
                <w:sz w:val="17"/>
                <w:szCs w:val="17"/>
              </w:rPr>
            </w:pPr>
            <w:r>
              <w:t>–</w:t>
            </w:r>
          </w:p>
        </w:tc>
        <w:tc>
          <w:tcPr>
            <w:tcW w:w="794" w:type="dxa"/>
            <w:tcBorders>
              <w:top w:val="single" w:sz="4" w:space="0" w:color="auto"/>
              <w:bottom w:val="single" w:sz="4" w:space="0" w:color="A6A6A6"/>
            </w:tcBorders>
            <w:noWrap/>
            <w:hideMark/>
          </w:tcPr>
          <w:p w14:paraId="3C640289" w14:textId="77777777" w:rsidR="00CE75D4" w:rsidRPr="00326BD1" w:rsidRDefault="00CE75D4" w:rsidP="008340C1">
            <w:pPr>
              <w:pStyle w:val="ARfintablebodyright"/>
              <w:ind w:right="0"/>
              <w:rPr>
                <w:sz w:val="17"/>
                <w:szCs w:val="17"/>
              </w:rPr>
            </w:pPr>
            <w:r w:rsidRPr="0054600D">
              <w:t>(97.3)</w:t>
            </w:r>
          </w:p>
        </w:tc>
        <w:tc>
          <w:tcPr>
            <w:tcW w:w="794" w:type="dxa"/>
            <w:tcBorders>
              <w:top w:val="single" w:sz="4" w:space="0" w:color="auto"/>
              <w:bottom w:val="single" w:sz="4" w:space="0" w:color="A6A6A6"/>
            </w:tcBorders>
            <w:shd w:val="clear" w:color="auto" w:fill="E7E6E6"/>
            <w:noWrap/>
            <w:hideMark/>
          </w:tcPr>
          <w:p w14:paraId="63C21B3B" w14:textId="77777777" w:rsidR="00CE75D4" w:rsidRPr="00326BD1" w:rsidRDefault="00CE75D4" w:rsidP="008340C1">
            <w:pPr>
              <w:pStyle w:val="ARfintablebodyright"/>
              <w:ind w:right="0"/>
              <w:rPr>
                <w:sz w:val="17"/>
                <w:szCs w:val="17"/>
              </w:rPr>
            </w:pPr>
            <w:r w:rsidRPr="0054600D">
              <w:t>21,813.1</w:t>
            </w:r>
          </w:p>
        </w:tc>
        <w:tc>
          <w:tcPr>
            <w:tcW w:w="794" w:type="dxa"/>
            <w:tcBorders>
              <w:top w:val="single" w:sz="4" w:space="0" w:color="auto"/>
              <w:bottom w:val="single" w:sz="4" w:space="0" w:color="A6A6A6"/>
            </w:tcBorders>
            <w:noWrap/>
            <w:hideMark/>
          </w:tcPr>
          <w:p w14:paraId="289BA1FE" w14:textId="77777777" w:rsidR="00CE75D4" w:rsidRPr="00326BD1" w:rsidRDefault="00CE75D4" w:rsidP="008340C1">
            <w:pPr>
              <w:pStyle w:val="ARfintablebodyright"/>
              <w:ind w:right="0"/>
              <w:rPr>
                <w:sz w:val="17"/>
                <w:szCs w:val="17"/>
              </w:rPr>
            </w:pPr>
            <w:r w:rsidRPr="0054600D">
              <w:t>25,698.4</w:t>
            </w:r>
          </w:p>
        </w:tc>
      </w:tr>
      <w:tr w:rsidR="00CE75D4" w:rsidRPr="00326BD1" w14:paraId="2D35FD01" w14:textId="77777777" w:rsidTr="00130D1C">
        <w:trPr>
          <w:cantSplit w:val="0"/>
          <w:trHeight w:val="255"/>
        </w:trPr>
        <w:tc>
          <w:tcPr>
            <w:tcW w:w="1700" w:type="dxa"/>
            <w:tcBorders>
              <w:top w:val="single" w:sz="4" w:space="0" w:color="A6A6A6"/>
              <w:bottom w:val="single" w:sz="4" w:space="0" w:color="A6A6A6"/>
            </w:tcBorders>
            <w:hideMark/>
          </w:tcPr>
          <w:p w14:paraId="6FA014A1" w14:textId="77777777" w:rsidR="00CE75D4" w:rsidRPr="00326BD1" w:rsidRDefault="00CE75D4" w:rsidP="008340C1">
            <w:pPr>
              <w:pStyle w:val="ARfintablebody"/>
              <w:rPr>
                <w:sz w:val="17"/>
                <w:szCs w:val="17"/>
              </w:rPr>
            </w:pPr>
            <w:r w:rsidRPr="0054600D">
              <w:t>Total expenses from transactions</w:t>
            </w:r>
          </w:p>
        </w:tc>
        <w:tc>
          <w:tcPr>
            <w:tcW w:w="793" w:type="dxa"/>
            <w:tcBorders>
              <w:top w:val="single" w:sz="4" w:space="0" w:color="A6A6A6"/>
              <w:bottom w:val="single" w:sz="4" w:space="0" w:color="A6A6A6"/>
            </w:tcBorders>
            <w:shd w:val="clear" w:color="auto" w:fill="E7E6E6"/>
            <w:noWrap/>
            <w:hideMark/>
          </w:tcPr>
          <w:p w14:paraId="6B446849" w14:textId="77777777" w:rsidR="00CE75D4" w:rsidRPr="00326BD1" w:rsidRDefault="00CE75D4" w:rsidP="008340C1">
            <w:pPr>
              <w:pStyle w:val="ARfintablebodyright"/>
              <w:ind w:right="0"/>
              <w:rPr>
                <w:sz w:val="17"/>
                <w:szCs w:val="17"/>
              </w:rPr>
            </w:pPr>
            <w:r w:rsidRPr="0054600D">
              <w:t>21,094.3</w:t>
            </w:r>
          </w:p>
        </w:tc>
        <w:tc>
          <w:tcPr>
            <w:tcW w:w="794" w:type="dxa"/>
            <w:tcBorders>
              <w:top w:val="single" w:sz="4" w:space="0" w:color="A6A6A6"/>
              <w:bottom w:val="single" w:sz="4" w:space="0" w:color="A6A6A6"/>
            </w:tcBorders>
            <w:noWrap/>
            <w:hideMark/>
          </w:tcPr>
          <w:p w14:paraId="3A61A5D7" w14:textId="77777777" w:rsidR="00CE75D4" w:rsidRPr="00326BD1" w:rsidRDefault="00CE75D4" w:rsidP="008340C1">
            <w:pPr>
              <w:pStyle w:val="ARfintablebodyright"/>
              <w:ind w:right="0"/>
              <w:rPr>
                <w:sz w:val="17"/>
                <w:szCs w:val="17"/>
              </w:rPr>
            </w:pPr>
            <w:r w:rsidRPr="0054600D">
              <w:t>21,550.8</w:t>
            </w:r>
          </w:p>
        </w:tc>
        <w:tc>
          <w:tcPr>
            <w:tcW w:w="794" w:type="dxa"/>
            <w:tcBorders>
              <w:top w:val="single" w:sz="4" w:space="0" w:color="A6A6A6"/>
              <w:bottom w:val="single" w:sz="4" w:space="0" w:color="A6A6A6"/>
            </w:tcBorders>
            <w:shd w:val="clear" w:color="auto" w:fill="E7E6E6"/>
          </w:tcPr>
          <w:p w14:paraId="4F24038B" w14:textId="77777777" w:rsidR="00CE75D4" w:rsidRPr="00326BD1" w:rsidRDefault="00CE75D4" w:rsidP="008340C1">
            <w:pPr>
              <w:pStyle w:val="ARfintablebodyright"/>
              <w:ind w:right="0"/>
              <w:rPr>
                <w:sz w:val="17"/>
                <w:szCs w:val="17"/>
              </w:rPr>
            </w:pPr>
            <w:r>
              <w:t>–</w:t>
            </w:r>
          </w:p>
        </w:tc>
        <w:tc>
          <w:tcPr>
            <w:tcW w:w="794" w:type="dxa"/>
            <w:tcBorders>
              <w:top w:val="single" w:sz="4" w:space="0" w:color="A6A6A6"/>
              <w:bottom w:val="single" w:sz="4" w:space="0" w:color="A6A6A6"/>
            </w:tcBorders>
            <w:shd w:val="clear" w:color="auto" w:fill="auto"/>
          </w:tcPr>
          <w:p w14:paraId="33A8CE8D" w14:textId="77777777" w:rsidR="00CE75D4" w:rsidRPr="00326BD1" w:rsidRDefault="00CE75D4" w:rsidP="008340C1">
            <w:pPr>
              <w:pStyle w:val="ARfintablebodyright"/>
              <w:ind w:right="0"/>
              <w:rPr>
                <w:sz w:val="17"/>
                <w:szCs w:val="17"/>
              </w:rPr>
            </w:pPr>
            <w:r w:rsidRPr="0054600D">
              <w:t>1,992.5</w:t>
            </w:r>
          </w:p>
        </w:tc>
        <w:tc>
          <w:tcPr>
            <w:tcW w:w="794" w:type="dxa"/>
            <w:tcBorders>
              <w:top w:val="single" w:sz="4" w:space="0" w:color="A6A6A6"/>
              <w:bottom w:val="single" w:sz="4" w:space="0" w:color="A6A6A6"/>
            </w:tcBorders>
            <w:shd w:val="clear" w:color="auto" w:fill="E7E6E6"/>
            <w:noWrap/>
            <w:hideMark/>
          </w:tcPr>
          <w:p w14:paraId="6E08D601" w14:textId="77777777" w:rsidR="00CE75D4" w:rsidRPr="00326BD1" w:rsidRDefault="00CE75D4" w:rsidP="008340C1">
            <w:pPr>
              <w:pStyle w:val="ARfintablebodyright"/>
              <w:ind w:right="0"/>
              <w:rPr>
                <w:sz w:val="17"/>
                <w:szCs w:val="17"/>
              </w:rPr>
            </w:pPr>
            <w:r>
              <w:t>–</w:t>
            </w:r>
          </w:p>
        </w:tc>
        <w:tc>
          <w:tcPr>
            <w:tcW w:w="794" w:type="dxa"/>
            <w:tcBorders>
              <w:top w:val="single" w:sz="4" w:space="0" w:color="A6A6A6"/>
              <w:bottom w:val="single" w:sz="4" w:space="0" w:color="A6A6A6"/>
            </w:tcBorders>
            <w:noWrap/>
            <w:hideMark/>
          </w:tcPr>
          <w:p w14:paraId="6406DBF2" w14:textId="77777777" w:rsidR="00CE75D4" w:rsidRPr="00326BD1" w:rsidRDefault="00CE75D4" w:rsidP="008340C1">
            <w:pPr>
              <w:pStyle w:val="ARfintablebodyright"/>
              <w:ind w:right="0"/>
              <w:rPr>
                <w:sz w:val="17"/>
                <w:szCs w:val="17"/>
              </w:rPr>
            </w:pPr>
            <w:r w:rsidRPr="0054600D">
              <w:t>1,724.6</w:t>
            </w:r>
          </w:p>
        </w:tc>
        <w:tc>
          <w:tcPr>
            <w:tcW w:w="794" w:type="dxa"/>
            <w:tcBorders>
              <w:top w:val="single" w:sz="4" w:space="0" w:color="A6A6A6"/>
              <w:bottom w:val="single" w:sz="4" w:space="0" w:color="A6A6A6"/>
            </w:tcBorders>
            <w:shd w:val="clear" w:color="auto" w:fill="E7E6E6"/>
            <w:noWrap/>
            <w:hideMark/>
          </w:tcPr>
          <w:p w14:paraId="7630CF38" w14:textId="77777777" w:rsidR="00CE75D4" w:rsidRPr="00326BD1" w:rsidRDefault="00CE75D4" w:rsidP="008340C1">
            <w:pPr>
              <w:pStyle w:val="ARfintablebodyright"/>
              <w:ind w:right="0"/>
              <w:rPr>
                <w:sz w:val="17"/>
                <w:szCs w:val="17"/>
              </w:rPr>
            </w:pPr>
            <w:r>
              <w:t>–</w:t>
            </w:r>
          </w:p>
        </w:tc>
        <w:tc>
          <w:tcPr>
            <w:tcW w:w="794" w:type="dxa"/>
            <w:tcBorders>
              <w:top w:val="single" w:sz="4" w:space="0" w:color="A6A6A6"/>
              <w:bottom w:val="single" w:sz="4" w:space="0" w:color="A6A6A6"/>
            </w:tcBorders>
            <w:noWrap/>
            <w:hideMark/>
          </w:tcPr>
          <w:p w14:paraId="498A7E4C" w14:textId="77777777" w:rsidR="00CE75D4" w:rsidRPr="00326BD1" w:rsidRDefault="00CE75D4" w:rsidP="008340C1">
            <w:pPr>
              <w:pStyle w:val="ARfintablebodyright"/>
              <w:ind w:right="0"/>
              <w:rPr>
                <w:sz w:val="17"/>
                <w:szCs w:val="17"/>
              </w:rPr>
            </w:pPr>
            <w:r w:rsidRPr="0054600D">
              <w:t>(97.3)</w:t>
            </w:r>
          </w:p>
        </w:tc>
        <w:tc>
          <w:tcPr>
            <w:tcW w:w="794" w:type="dxa"/>
            <w:tcBorders>
              <w:top w:val="single" w:sz="4" w:space="0" w:color="A6A6A6"/>
              <w:bottom w:val="single" w:sz="4" w:space="0" w:color="A6A6A6"/>
            </w:tcBorders>
            <w:shd w:val="clear" w:color="auto" w:fill="E7E6E6"/>
            <w:noWrap/>
            <w:hideMark/>
          </w:tcPr>
          <w:p w14:paraId="611BF31D" w14:textId="77777777" w:rsidR="00CE75D4" w:rsidRPr="00326BD1" w:rsidRDefault="00CE75D4" w:rsidP="008340C1">
            <w:pPr>
              <w:pStyle w:val="ARfintablebodyright"/>
              <w:ind w:right="0"/>
              <w:rPr>
                <w:sz w:val="17"/>
                <w:szCs w:val="17"/>
              </w:rPr>
            </w:pPr>
            <w:r w:rsidRPr="0054600D">
              <w:t>21,094.3</w:t>
            </w:r>
          </w:p>
        </w:tc>
        <w:tc>
          <w:tcPr>
            <w:tcW w:w="794" w:type="dxa"/>
            <w:tcBorders>
              <w:top w:val="single" w:sz="4" w:space="0" w:color="A6A6A6"/>
              <w:bottom w:val="single" w:sz="4" w:space="0" w:color="A6A6A6"/>
            </w:tcBorders>
            <w:noWrap/>
            <w:hideMark/>
          </w:tcPr>
          <w:p w14:paraId="084A80A5" w14:textId="77777777" w:rsidR="00CE75D4" w:rsidRPr="00326BD1" w:rsidRDefault="00CE75D4" w:rsidP="008340C1">
            <w:pPr>
              <w:pStyle w:val="ARfintablebodyright"/>
              <w:ind w:right="0"/>
              <w:rPr>
                <w:sz w:val="17"/>
                <w:szCs w:val="17"/>
              </w:rPr>
            </w:pPr>
            <w:r w:rsidRPr="0054600D">
              <w:t>25,170.7</w:t>
            </w:r>
          </w:p>
        </w:tc>
      </w:tr>
      <w:tr w:rsidR="00CE75D4" w:rsidRPr="00326BD1" w14:paraId="792F909E" w14:textId="77777777" w:rsidTr="00130D1C">
        <w:trPr>
          <w:cantSplit w:val="0"/>
          <w:trHeight w:val="255"/>
        </w:trPr>
        <w:tc>
          <w:tcPr>
            <w:tcW w:w="1700" w:type="dxa"/>
            <w:tcBorders>
              <w:top w:val="single" w:sz="4" w:space="0" w:color="A6A6A6"/>
              <w:bottom w:val="single" w:sz="4" w:space="0" w:color="A6A6A6"/>
            </w:tcBorders>
            <w:hideMark/>
          </w:tcPr>
          <w:p w14:paraId="0B37D8A6" w14:textId="77777777" w:rsidR="00CE75D4" w:rsidRPr="00326BD1" w:rsidRDefault="00CE75D4" w:rsidP="008340C1">
            <w:pPr>
              <w:pStyle w:val="ARfintablebody"/>
              <w:rPr>
                <w:sz w:val="17"/>
                <w:szCs w:val="17"/>
              </w:rPr>
            </w:pPr>
            <w:r w:rsidRPr="0054600D">
              <w:t>Net result from transactions</w:t>
            </w:r>
          </w:p>
        </w:tc>
        <w:tc>
          <w:tcPr>
            <w:tcW w:w="793" w:type="dxa"/>
            <w:tcBorders>
              <w:top w:val="single" w:sz="4" w:space="0" w:color="A6A6A6"/>
              <w:bottom w:val="single" w:sz="4" w:space="0" w:color="A6A6A6"/>
            </w:tcBorders>
            <w:shd w:val="clear" w:color="auto" w:fill="E7E6E6"/>
            <w:noWrap/>
            <w:hideMark/>
          </w:tcPr>
          <w:p w14:paraId="787EFE24" w14:textId="77777777" w:rsidR="00CE75D4" w:rsidRPr="00326BD1" w:rsidRDefault="00CE75D4" w:rsidP="008340C1">
            <w:pPr>
              <w:pStyle w:val="ARfintablebodyright"/>
              <w:ind w:right="0"/>
              <w:rPr>
                <w:sz w:val="17"/>
                <w:szCs w:val="17"/>
              </w:rPr>
            </w:pPr>
            <w:r w:rsidRPr="0054600D">
              <w:t>718.8</w:t>
            </w:r>
          </w:p>
        </w:tc>
        <w:tc>
          <w:tcPr>
            <w:tcW w:w="794" w:type="dxa"/>
            <w:tcBorders>
              <w:top w:val="single" w:sz="4" w:space="0" w:color="A6A6A6"/>
              <w:bottom w:val="single" w:sz="4" w:space="0" w:color="A6A6A6"/>
            </w:tcBorders>
            <w:noWrap/>
            <w:hideMark/>
          </w:tcPr>
          <w:p w14:paraId="3AE8A0DE" w14:textId="77777777" w:rsidR="00CE75D4" w:rsidRPr="00326BD1" w:rsidRDefault="00CE75D4" w:rsidP="008340C1">
            <w:pPr>
              <w:pStyle w:val="ARfintablebodyright"/>
              <w:ind w:right="0"/>
              <w:rPr>
                <w:sz w:val="17"/>
                <w:szCs w:val="17"/>
              </w:rPr>
            </w:pPr>
            <w:r w:rsidRPr="0054600D">
              <w:t>367.6</w:t>
            </w:r>
          </w:p>
        </w:tc>
        <w:tc>
          <w:tcPr>
            <w:tcW w:w="794" w:type="dxa"/>
            <w:tcBorders>
              <w:top w:val="single" w:sz="4" w:space="0" w:color="A6A6A6"/>
              <w:bottom w:val="single" w:sz="4" w:space="0" w:color="A6A6A6"/>
            </w:tcBorders>
            <w:shd w:val="clear" w:color="auto" w:fill="E7E6E6"/>
          </w:tcPr>
          <w:p w14:paraId="09702CCF" w14:textId="77777777" w:rsidR="00CE75D4" w:rsidRPr="00326BD1" w:rsidRDefault="00CE75D4" w:rsidP="008340C1">
            <w:pPr>
              <w:pStyle w:val="ARfintablebodyright"/>
              <w:ind w:right="0"/>
              <w:rPr>
                <w:sz w:val="17"/>
                <w:szCs w:val="17"/>
              </w:rPr>
            </w:pPr>
            <w:r>
              <w:t>–</w:t>
            </w:r>
          </w:p>
        </w:tc>
        <w:tc>
          <w:tcPr>
            <w:tcW w:w="794" w:type="dxa"/>
            <w:tcBorders>
              <w:top w:val="single" w:sz="4" w:space="0" w:color="A6A6A6"/>
              <w:bottom w:val="single" w:sz="4" w:space="0" w:color="A6A6A6"/>
            </w:tcBorders>
            <w:shd w:val="clear" w:color="auto" w:fill="auto"/>
          </w:tcPr>
          <w:p w14:paraId="2F73B19B" w14:textId="77777777" w:rsidR="00CE75D4" w:rsidRPr="00326BD1" w:rsidRDefault="00CE75D4" w:rsidP="008340C1">
            <w:pPr>
              <w:pStyle w:val="ARfintablebodyright"/>
              <w:ind w:right="0"/>
              <w:rPr>
                <w:sz w:val="17"/>
                <w:szCs w:val="17"/>
              </w:rPr>
            </w:pPr>
            <w:r w:rsidRPr="0054600D">
              <w:t>12.9</w:t>
            </w:r>
          </w:p>
        </w:tc>
        <w:tc>
          <w:tcPr>
            <w:tcW w:w="794" w:type="dxa"/>
            <w:tcBorders>
              <w:top w:val="single" w:sz="4" w:space="0" w:color="A6A6A6"/>
              <w:bottom w:val="single" w:sz="4" w:space="0" w:color="A6A6A6"/>
            </w:tcBorders>
            <w:shd w:val="clear" w:color="auto" w:fill="E7E6E6"/>
            <w:noWrap/>
            <w:hideMark/>
          </w:tcPr>
          <w:p w14:paraId="047147D3" w14:textId="77777777" w:rsidR="00CE75D4" w:rsidRPr="00326BD1" w:rsidRDefault="00CE75D4" w:rsidP="008340C1">
            <w:pPr>
              <w:pStyle w:val="ARfintablebodyright"/>
              <w:ind w:right="0"/>
              <w:rPr>
                <w:sz w:val="17"/>
                <w:szCs w:val="17"/>
              </w:rPr>
            </w:pPr>
            <w:r>
              <w:t>–</w:t>
            </w:r>
          </w:p>
        </w:tc>
        <w:tc>
          <w:tcPr>
            <w:tcW w:w="794" w:type="dxa"/>
            <w:tcBorders>
              <w:top w:val="single" w:sz="4" w:space="0" w:color="A6A6A6"/>
              <w:bottom w:val="single" w:sz="4" w:space="0" w:color="A6A6A6"/>
            </w:tcBorders>
            <w:noWrap/>
            <w:hideMark/>
          </w:tcPr>
          <w:p w14:paraId="08DD2C31" w14:textId="77777777" w:rsidR="00CE75D4" w:rsidRPr="00326BD1" w:rsidRDefault="00CE75D4" w:rsidP="008340C1">
            <w:pPr>
              <w:pStyle w:val="ARfintablebodyright"/>
              <w:ind w:right="0"/>
              <w:rPr>
                <w:sz w:val="17"/>
                <w:szCs w:val="17"/>
              </w:rPr>
            </w:pPr>
            <w:r w:rsidRPr="0054600D">
              <w:t>147.3</w:t>
            </w:r>
          </w:p>
        </w:tc>
        <w:tc>
          <w:tcPr>
            <w:tcW w:w="794" w:type="dxa"/>
            <w:tcBorders>
              <w:top w:val="single" w:sz="4" w:space="0" w:color="A6A6A6"/>
              <w:bottom w:val="single" w:sz="4" w:space="0" w:color="A6A6A6"/>
            </w:tcBorders>
            <w:shd w:val="clear" w:color="auto" w:fill="E7E6E6"/>
            <w:noWrap/>
            <w:hideMark/>
          </w:tcPr>
          <w:p w14:paraId="27F512AB" w14:textId="77777777" w:rsidR="00CE75D4" w:rsidRPr="00326BD1" w:rsidRDefault="00CE75D4" w:rsidP="008340C1">
            <w:pPr>
              <w:pStyle w:val="ARfintablebodyright"/>
              <w:ind w:right="0"/>
              <w:rPr>
                <w:sz w:val="17"/>
                <w:szCs w:val="17"/>
              </w:rPr>
            </w:pPr>
            <w:r>
              <w:t>–</w:t>
            </w:r>
          </w:p>
        </w:tc>
        <w:tc>
          <w:tcPr>
            <w:tcW w:w="794" w:type="dxa"/>
            <w:tcBorders>
              <w:top w:val="single" w:sz="4" w:space="0" w:color="A6A6A6"/>
              <w:bottom w:val="single" w:sz="4" w:space="0" w:color="A6A6A6"/>
            </w:tcBorders>
            <w:noWrap/>
            <w:hideMark/>
          </w:tcPr>
          <w:p w14:paraId="7FD9ECCE" w14:textId="77777777" w:rsidR="00CE75D4" w:rsidRPr="00326BD1" w:rsidRDefault="00CE75D4" w:rsidP="008340C1">
            <w:pPr>
              <w:pStyle w:val="ARfintablebodyright"/>
              <w:ind w:right="0"/>
              <w:rPr>
                <w:sz w:val="17"/>
                <w:szCs w:val="17"/>
              </w:rPr>
            </w:pPr>
            <w:r>
              <w:t>–</w:t>
            </w:r>
          </w:p>
        </w:tc>
        <w:tc>
          <w:tcPr>
            <w:tcW w:w="794" w:type="dxa"/>
            <w:tcBorders>
              <w:top w:val="single" w:sz="4" w:space="0" w:color="A6A6A6"/>
              <w:bottom w:val="single" w:sz="4" w:space="0" w:color="A6A6A6"/>
            </w:tcBorders>
            <w:shd w:val="clear" w:color="auto" w:fill="E7E6E6"/>
            <w:noWrap/>
            <w:hideMark/>
          </w:tcPr>
          <w:p w14:paraId="665E8E00" w14:textId="77777777" w:rsidR="00CE75D4" w:rsidRPr="00326BD1" w:rsidRDefault="00CE75D4" w:rsidP="008340C1">
            <w:pPr>
              <w:pStyle w:val="ARfintablebodyright"/>
              <w:ind w:right="0"/>
              <w:rPr>
                <w:sz w:val="17"/>
                <w:szCs w:val="17"/>
              </w:rPr>
            </w:pPr>
            <w:r w:rsidRPr="0054600D">
              <w:t>718.8</w:t>
            </w:r>
          </w:p>
        </w:tc>
        <w:tc>
          <w:tcPr>
            <w:tcW w:w="794" w:type="dxa"/>
            <w:tcBorders>
              <w:top w:val="single" w:sz="4" w:space="0" w:color="A6A6A6"/>
              <w:bottom w:val="single" w:sz="4" w:space="0" w:color="A6A6A6"/>
            </w:tcBorders>
            <w:noWrap/>
            <w:hideMark/>
          </w:tcPr>
          <w:p w14:paraId="547A76E2" w14:textId="77777777" w:rsidR="00CE75D4" w:rsidRPr="00326BD1" w:rsidRDefault="00CE75D4" w:rsidP="008340C1">
            <w:pPr>
              <w:pStyle w:val="ARfintablebodyright"/>
              <w:ind w:right="0"/>
              <w:rPr>
                <w:sz w:val="17"/>
                <w:szCs w:val="17"/>
              </w:rPr>
            </w:pPr>
            <w:r w:rsidRPr="0054600D">
              <w:t>527.7</w:t>
            </w:r>
          </w:p>
        </w:tc>
      </w:tr>
      <w:tr w:rsidR="00CE75D4" w:rsidRPr="00326BD1" w14:paraId="2BB3277C" w14:textId="77777777" w:rsidTr="00130D1C">
        <w:trPr>
          <w:cantSplit w:val="0"/>
          <w:trHeight w:val="255"/>
        </w:trPr>
        <w:tc>
          <w:tcPr>
            <w:tcW w:w="1700" w:type="dxa"/>
            <w:tcBorders>
              <w:top w:val="single" w:sz="4" w:space="0" w:color="A6A6A6"/>
              <w:bottom w:val="single" w:sz="4" w:space="0" w:color="A6A6A6"/>
            </w:tcBorders>
            <w:hideMark/>
          </w:tcPr>
          <w:p w14:paraId="30CBF968" w14:textId="77777777" w:rsidR="00CE75D4" w:rsidRPr="00326BD1" w:rsidRDefault="00CE75D4" w:rsidP="008340C1">
            <w:pPr>
              <w:pStyle w:val="ARfintablebody"/>
              <w:rPr>
                <w:sz w:val="17"/>
                <w:szCs w:val="17"/>
              </w:rPr>
            </w:pPr>
            <w:r w:rsidRPr="0054600D">
              <w:t>Total assets</w:t>
            </w:r>
          </w:p>
        </w:tc>
        <w:tc>
          <w:tcPr>
            <w:tcW w:w="793" w:type="dxa"/>
            <w:tcBorders>
              <w:top w:val="single" w:sz="4" w:space="0" w:color="A6A6A6"/>
              <w:bottom w:val="single" w:sz="4" w:space="0" w:color="A6A6A6"/>
            </w:tcBorders>
            <w:shd w:val="clear" w:color="auto" w:fill="E7E6E6"/>
            <w:noWrap/>
            <w:hideMark/>
          </w:tcPr>
          <w:p w14:paraId="1C2BD5F0" w14:textId="77777777" w:rsidR="00CE75D4" w:rsidRPr="00326BD1" w:rsidRDefault="00CE75D4" w:rsidP="008340C1">
            <w:pPr>
              <w:pStyle w:val="ARfintablebodyright"/>
              <w:ind w:right="0"/>
              <w:rPr>
                <w:sz w:val="17"/>
                <w:szCs w:val="17"/>
              </w:rPr>
            </w:pPr>
            <w:r w:rsidRPr="0054600D">
              <w:t>7,554.8</w:t>
            </w:r>
          </w:p>
        </w:tc>
        <w:tc>
          <w:tcPr>
            <w:tcW w:w="794" w:type="dxa"/>
            <w:tcBorders>
              <w:top w:val="single" w:sz="4" w:space="0" w:color="A6A6A6"/>
              <w:bottom w:val="single" w:sz="4" w:space="0" w:color="A6A6A6"/>
            </w:tcBorders>
            <w:noWrap/>
            <w:hideMark/>
          </w:tcPr>
          <w:p w14:paraId="58BB12C8" w14:textId="77777777" w:rsidR="00CE75D4" w:rsidRPr="00326BD1" w:rsidRDefault="00CE75D4" w:rsidP="008340C1">
            <w:pPr>
              <w:pStyle w:val="ARfintablebodyright"/>
              <w:ind w:right="0"/>
              <w:rPr>
                <w:sz w:val="17"/>
                <w:szCs w:val="17"/>
              </w:rPr>
            </w:pPr>
            <w:r w:rsidRPr="0054600D">
              <w:t>6,336.8</w:t>
            </w:r>
          </w:p>
        </w:tc>
        <w:tc>
          <w:tcPr>
            <w:tcW w:w="794" w:type="dxa"/>
            <w:tcBorders>
              <w:top w:val="single" w:sz="4" w:space="0" w:color="A6A6A6"/>
              <w:bottom w:val="single" w:sz="4" w:space="0" w:color="A6A6A6"/>
            </w:tcBorders>
            <w:shd w:val="clear" w:color="auto" w:fill="E7E6E6"/>
          </w:tcPr>
          <w:p w14:paraId="1BCC5E25" w14:textId="77777777" w:rsidR="00CE75D4" w:rsidRPr="00326BD1" w:rsidRDefault="00CE75D4" w:rsidP="008340C1">
            <w:pPr>
              <w:pStyle w:val="ARfintablebodyright"/>
              <w:ind w:right="0"/>
              <w:rPr>
                <w:sz w:val="17"/>
                <w:szCs w:val="17"/>
              </w:rPr>
            </w:pPr>
            <w:r>
              <w:t>–</w:t>
            </w:r>
          </w:p>
        </w:tc>
        <w:tc>
          <w:tcPr>
            <w:tcW w:w="794" w:type="dxa"/>
            <w:tcBorders>
              <w:top w:val="single" w:sz="4" w:space="0" w:color="A6A6A6"/>
              <w:bottom w:val="single" w:sz="4" w:space="0" w:color="A6A6A6"/>
            </w:tcBorders>
            <w:shd w:val="clear" w:color="auto" w:fill="auto"/>
          </w:tcPr>
          <w:p w14:paraId="0A4482F8" w14:textId="77777777" w:rsidR="00CE75D4" w:rsidRPr="00326BD1" w:rsidRDefault="00CE75D4" w:rsidP="008340C1">
            <w:pPr>
              <w:pStyle w:val="ARfintablebodyright"/>
              <w:ind w:right="0"/>
              <w:rPr>
                <w:sz w:val="17"/>
                <w:szCs w:val="17"/>
              </w:rPr>
            </w:pPr>
            <w:r w:rsidRPr="0054600D">
              <w:t>2,354.6</w:t>
            </w:r>
          </w:p>
        </w:tc>
        <w:tc>
          <w:tcPr>
            <w:tcW w:w="794" w:type="dxa"/>
            <w:tcBorders>
              <w:top w:val="single" w:sz="4" w:space="0" w:color="A6A6A6"/>
              <w:bottom w:val="single" w:sz="4" w:space="0" w:color="A6A6A6"/>
            </w:tcBorders>
            <w:shd w:val="clear" w:color="auto" w:fill="E7E6E6"/>
            <w:noWrap/>
            <w:hideMark/>
          </w:tcPr>
          <w:p w14:paraId="01610930" w14:textId="77777777" w:rsidR="00CE75D4" w:rsidRPr="00326BD1" w:rsidRDefault="00CE75D4" w:rsidP="008340C1">
            <w:pPr>
              <w:pStyle w:val="ARfintablebodyright"/>
              <w:ind w:right="0"/>
              <w:rPr>
                <w:sz w:val="17"/>
                <w:szCs w:val="17"/>
              </w:rPr>
            </w:pPr>
            <w:r>
              <w:t>–</w:t>
            </w:r>
          </w:p>
        </w:tc>
        <w:tc>
          <w:tcPr>
            <w:tcW w:w="794" w:type="dxa"/>
            <w:tcBorders>
              <w:top w:val="single" w:sz="4" w:space="0" w:color="A6A6A6"/>
              <w:bottom w:val="single" w:sz="4" w:space="0" w:color="A6A6A6"/>
            </w:tcBorders>
            <w:noWrap/>
            <w:hideMark/>
          </w:tcPr>
          <w:p w14:paraId="02AA268C" w14:textId="77777777" w:rsidR="00CE75D4" w:rsidRPr="00326BD1" w:rsidRDefault="00CE75D4" w:rsidP="008340C1">
            <w:pPr>
              <w:pStyle w:val="ARfintablebodyright"/>
              <w:ind w:right="0"/>
              <w:rPr>
                <w:sz w:val="17"/>
                <w:szCs w:val="17"/>
              </w:rPr>
            </w:pPr>
            <w:r w:rsidRPr="0054600D">
              <w:t>31,889.9</w:t>
            </w:r>
          </w:p>
        </w:tc>
        <w:tc>
          <w:tcPr>
            <w:tcW w:w="794" w:type="dxa"/>
            <w:tcBorders>
              <w:top w:val="single" w:sz="4" w:space="0" w:color="A6A6A6"/>
              <w:bottom w:val="single" w:sz="4" w:space="0" w:color="A6A6A6"/>
            </w:tcBorders>
            <w:shd w:val="clear" w:color="auto" w:fill="E7E6E6"/>
            <w:noWrap/>
            <w:hideMark/>
          </w:tcPr>
          <w:p w14:paraId="54956D80" w14:textId="77777777" w:rsidR="00CE75D4" w:rsidRPr="00326BD1" w:rsidRDefault="00CE75D4" w:rsidP="008340C1">
            <w:pPr>
              <w:pStyle w:val="ARfintablebodyright"/>
              <w:ind w:right="0"/>
              <w:rPr>
                <w:sz w:val="17"/>
                <w:szCs w:val="17"/>
              </w:rPr>
            </w:pPr>
            <w:r>
              <w:t>–</w:t>
            </w:r>
          </w:p>
        </w:tc>
        <w:tc>
          <w:tcPr>
            <w:tcW w:w="794" w:type="dxa"/>
            <w:tcBorders>
              <w:top w:val="single" w:sz="4" w:space="0" w:color="A6A6A6"/>
              <w:bottom w:val="single" w:sz="4" w:space="0" w:color="A6A6A6"/>
            </w:tcBorders>
            <w:noWrap/>
            <w:hideMark/>
          </w:tcPr>
          <w:p w14:paraId="0396A606" w14:textId="77777777" w:rsidR="00CE75D4" w:rsidRPr="00326BD1" w:rsidRDefault="00CE75D4" w:rsidP="008340C1">
            <w:pPr>
              <w:pStyle w:val="ARfintablebodyright"/>
              <w:ind w:right="0"/>
              <w:rPr>
                <w:sz w:val="17"/>
                <w:szCs w:val="17"/>
              </w:rPr>
            </w:pPr>
            <w:r w:rsidRPr="0054600D">
              <w:t>(147.7)</w:t>
            </w:r>
          </w:p>
        </w:tc>
        <w:tc>
          <w:tcPr>
            <w:tcW w:w="794" w:type="dxa"/>
            <w:tcBorders>
              <w:top w:val="single" w:sz="4" w:space="0" w:color="A6A6A6"/>
              <w:bottom w:val="single" w:sz="4" w:space="0" w:color="A6A6A6"/>
            </w:tcBorders>
            <w:shd w:val="clear" w:color="auto" w:fill="E7E6E6"/>
            <w:noWrap/>
            <w:hideMark/>
          </w:tcPr>
          <w:p w14:paraId="456BE93B" w14:textId="77777777" w:rsidR="00CE75D4" w:rsidRPr="00326BD1" w:rsidRDefault="00CE75D4" w:rsidP="008340C1">
            <w:pPr>
              <w:pStyle w:val="ARfintablebodyright"/>
              <w:ind w:right="0"/>
              <w:rPr>
                <w:sz w:val="17"/>
                <w:szCs w:val="17"/>
              </w:rPr>
            </w:pPr>
            <w:r w:rsidRPr="0054600D">
              <w:t>7,554.8</w:t>
            </w:r>
          </w:p>
        </w:tc>
        <w:tc>
          <w:tcPr>
            <w:tcW w:w="794" w:type="dxa"/>
            <w:tcBorders>
              <w:top w:val="single" w:sz="4" w:space="0" w:color="A6A6A6"/>
              <w:bottom w:val="single" w:sz="4" w:space="0" w:color="A6A6A6"/>
            </w:tcBorders>
            <w:noWrap/>
            <w:hideMark/>
          </w:tcPr>
          <w:p w14:paraId="57DF46FC" w14:textId="77777777" w:rsidR="00CE75D4" w:rsidRPr="00326BD1" w:rsidRDefault="00CE75D4" w:rsidP="008340C1">
            <w:pPr>
              <w:pStyle w:val="ARfintablebodyright"/>
              <w:ind w:right="0"/>
              <w:rPr>
                <w:sz w:val="17"/>
                <w:szCs w:val="17"/>
              </w:rPr>
            </w:pPr>
            <w:r w:rsidRPr="0054600D">
              <w:t>40,433.6</w:t>
            </w:r>
          </w:p>
        </w:tc>
      </w:tr>
      <w:tr w:rsidR="00CE75D4" w:rsidRPr="002029AF" w14:paraId="03BBF853" w14:textId="77777777" w:rsidTr="008340C1">
        <w:trPr>
          <w:cantSplit w:val="0"/>
          <w:trHeight w:val="255"/>
        </w:trPr>
        <w:tc>
          <w:tcPr>
            <w:tcW w:w="1700" w:type="dxa"/>
            <w:tcBorders>
              <w:top w:val="single" w:sz="4" w:space="0" w:color="A6A6A6"/>
              <w:bottom w:val="single" w:sz="4" w:space="0" w:color="A6A6A6"/>
            </w:tcBorders>
            <w:hideMark/>
          </w:tcPr>
          <w:p w14:paraId="12FE9624" w14:textId="77777777" w:rsidR="00CE75D4" w:rsidRPr="00326BD1" w:rsidRDefault="00CE75D4" w:rsidP="008340C1">
            <w:pPr>
              <w:pStyle w:val="ARfintablebody"/>
              <w:rPr>
                <w:sz w:val="17"/>
                <w:szCs w:val="17"/>
              </w:rPr>
            </w:pPr>
            <w:r w:rsidRPr="0054600D">
              <w:t>Total liabilities</w:t>
            </w:r>
          </w:p>
        </w:tc>
        <w:tc>
          <w:tcPr>
            <w:tcW w:w="793" w:type="dxa"/>
            <w:tcBorders>
              <w:top w:val="single" w:sz="4" w:space="0" w:color="A6A6A6"/>
              <w:bottom w:val="single" w:sz="4" w:space="0" w:color="A6A6A6"/>
            </w:tcBorders>
            <w:shd w:val="clear" w:color="auto" w:fill="E7E6E6"/>
            <w:noWrap/>
            <w:hideMark/>
          </w:tcPr>
          <w:p w14:paraId="4BD2B19A" w14:textId="77777777" w:rsidR="00CE75D4" w:rsidRPr="00326BD1" w:rsidRDefault="00CE75D4" w:rsidP="008340C1">
            <w:pPr>
              <w:pStyle w:val="ARfintablebodyright"/>
              <w:ind w:right="0"/>
              <w:rPr>
                <w:sz w:val="17"/>
                <w:szCs w:val="17"/>
              </w:rPr>
            </w:pPr>
            <w:r w:rsidRPr="0054600D">
              <w:t>2,691.6</w:t>
            </w:r>
          </w:p>
        </w:tc>
        <w:tc>
          <w:tcPr>
            <w:tcW w:w="794" w:type="dxa"/>
            <w:tcBorders>
              <w:top w:val="single" w:sz="4" w:space="0" w:color="A6A6A6"/>
              <w:bottom w:val="single" w:sz="4" w:space="0" w:color="A6A6A6"/>
            </w:tcBorders>
            <w:noWrap/>
            <w:hideMark/>
          </w:tcPr>
          <w:p w14:paraId="6CF44892" w14:textId="77777777" w:rsidR="00CE75D4" w:rsidRPr="00326BD1" w:rsidRDefault="00CE75D4" w:rsidP="008340C1">
            <w:pPr>
              <w:pStyle w:val="ARfintablebodyright"/>
              <w:ind w:right="0"/>
              <w:rPr>
                <w:sz w:val="17"/>
                <w:szCs w:val="17"/>
              </w:rPr>
            </w:pPr>
            <w:r w:rsidRPr="0054600D">
              <w:t>2,220.1</w:t>
            </w:r>
          </w:p>
        </w:tc>
        <w:tc>
          <w:tcPr>
            <w:tcW w:w="794" w:type="dxa"/>
            <w:tcBorders>
              <w:top w:val="single" w:sz="4" w:space="0" w:color="A6A6A6"/>
              <w:bottom w:val="single" w:sz="4" w:space="0" w:color="A6A6A6"/>
            </w:tcBorders>
            <w:shd w:val="clear" w:color="auto" w:fill="E7E6E6"/>
          </w:tcPr>
          <w:p w14:paraId="7290EAE5" w14:textId="77777777" w:rsidR="00CE75D4" w:rsidRPr="00326BD1" w:rsidRDefault="00CE75D4" w:rsidP="008340C1">
            <w:pPr>
              <w:pStyle w:val="ARfintablebodyright"/>
              <w:ind w:right="0"/>
              <w:rPr>
                <w:sz w:val="17"/>
                <w:szCs w:val="17"/>
              </w:rPr>
            </w:pPr>
            <w:r>
              <w:t>–</w:t>
            </w:r>
          </w:p>
        </w:tc>
        <w:tc>
          <w:tcPr>
            <w:tcW w:w="794" w:type="dxa"/>
            <w:tcBorders>
              <w:top w:val="single" w:sz="4" w:space="0" w:color="A6A6A6"/>
              <w:bottom w:val="single" w:sz="4" w:space="0" w:color="A6A6A6"/>
            </w:tcBorders>
            <w:shd w:val="clear" w:color="auto" w:fill="auto"/>
          </w:tcPr>
          <w:p w14:paraId="3C903593" w14:textId="77777777" w:rsidR="00CE75D4" w:rsidRPr="00326BD1" w:rsidRDefault="00CE75D4" w:rsidP="008340C1">
            <w:pPr>
              <w:pStyle w:val="ARfintablebodyright"/>
              <w:ind w:right="0"/>
              <w:rPr>
                <w:sz w:val="17"/>
                <w:szCs w:val="17"/>
              </w:rPr>
            </w:pPr>
            <w:r w:rsidRPr="0054600D">
              <w:t>861.7</w:t>
            </w:r>
          </w:p>
        </w:tc>
        <w:tc>
          <w:tcPr>
            <w:tcW w:w="794" w:type="dxa"/>
            <w:tcBorders>
              <w:top w:val="single" w:sz="4" w:space="0" w:color="A6A6A6"/>
              <w:bottom w:val="single" w:sz="4" w:space="0" w:color="A6A6A6"/>
            </w:tcBorders>
            <w:shd w:val="clear" w:color="auto" w:fill="E7E6E6"/>
            <w:noWrap/>
            <w:hideMark/>
          </w:tcPr>
          <w:p w14:paraId="03640EEA" w14:textId="77777777" w:rsidR="00CE75D4" w:rsidRPr="00326BD1" w:rsidRDefault="00CE75D4" w:rsidP="008340C1">
            <w:pPr>
              <w:pStyle w:val="ARfintablebodyright"/>
              <w:ind w:right="0"/>
              <w:rPr>
                <w:sz w:val="17"/>
                <w:szCs w:val="17"/>
              </w:rPr>
            </w:pPr>
            <w:r>
              <w:t>–</w:t>
            </w:r>
          </w:p>
        </w:tc>
        <w:tc>
          <w:tcPr>
            <w:tcW w:w="794" w:type="dxa"/>
            <w:tcBorders>
              <w:top w:val="single" w:sz="4" w:space="0" w:color="A6A6A6"/>
              <w:bottom w:val="single" w:sz="4" w:space="0" w:color="A6A6A6"/>
            </w:tcBorders>
            <w:noWrap/>
            <w:hideMark/>
          </w:tcPr>
          <w:p w14:paraId="309CD790" w14:textId="77777777" w:rsidR="00CE75D4" w:rsidRPr="00326BD1" w:rsidRDefault="00CE75D4" w:rsidP="008340C1">
            <w:pPr>
              <w:pStyle w:val="ARfintablebodyright"/>
              <w:ind w:right="0"/>
              <w:rPr>
                <w:sz w:val="17"/>
                <w:szCs w:val="17"/>
              </w:rPr>
            </w:pPr>
            <w:r w:rsidRPr="0054600D">
              <w:t>223.5</w:t>
            </w:r>
          </w:p>
        </w:tc>
        <w:tc>
          <w:tcPr>
            <w:tcW w:w="794" w:type="dxa"/>
            <w:tcBorders>
              <w:top w:val="single" w:sz="4" w:space="0" w:color="A6A6A6"/>
              <w:bottom w:val="single" w:sz="4" w:space="0" w:color="A6A6A6"/>
            </w:tcBorders>
            <w:shd w:val="clear" w:color="auto" w:fill="E7E6E6"/>
            <w:noWrap/>
            <w:hideMark/>
          </w:tcPr>
          <w:p w14:paraId="0C067DC4" w14:textId="77777777" w:rsidR="00CE75D4" w:rsidRPr="00326BD1" w:rsidRDefault="00CE75D4" w:rsidP="008340C1">
            <w:pPr>
              <w:pStyle w:val="ARfintablebodyright"/>
              <w:ind w:right="0"/>
              <w:rPr>
                <w:sz w:val="17"/>
                <w:szCs w:val="17"/>
              </w:rPr>
            </w:pPr>
            <w:r>
              <w:t>–</w:t>
            </w:r>
          </w:p>
        </w:tc>
        <w:tc>
          <w:tcPr>
            <w:tcW w:w="794" w:type="dxa"/>
            <w:tcBorders>
              <w:top w:val="single" w:sz="4" w:space="0" w:color="A6A6A6"/>
              <w:bottom w:val="single" w:sz="4" w:space="0" w:color="A6A6A6"/>
            </w:tcBorders>
            <w:noWrap/>
            <w:hideMark/>
          </w:tcPr>
          <w:p w14:paraId="7013827F" w14:textId="77777777" w:rsidR="00CE75D4" w:rsidRPr="00326BD1" w:rsidRDefault="00CE75D4" w:rsidP="008340C1">
            <w:pPr>
              <w:pStyle w:val="ARfintablebodyright"/>
              <w:ind w:right="0"/>
              <w:rPr>
                <w:sz w:val="17"/>
                <w:szCs w:val="17"/>
              </w:rPr>
            </w:pPr>
            <w:r w:rsidRPr="0054600D">
              <w:t>(147.7)</w:t>
            </w:r>
          </w:p>
        </w:tc>
        <w:tc>
          <w:tcPr>
            <w:tcW w:w="794" w:type="dxa"/>
            <w:tcBorders>
              <w:top w:val="single" w:sz="4" w:space="0" w:color="A6A6A6"/>
              <w:bottom w:val="single" w:sz="4" w:space="0" w:color="A6A6A6"/>
            </w:tcBorders>
            <w:shd w:val="clear" w:color="auto" w:fill="E7E6E6"/>
            <w:noWrap/>
            <w:hideMark/>
          </w:tcPr>
          <w:p w14:paraId="3782281D" w14:textId="77777777" w:rsidR="00CE75D4" w:rsidRPr="00326BD1" w:rsidRDefault="00CE75D4" w:rsidP="008340C1">
            <w:pPr>
              <w:pStyle w:val="ARfintablebodyright"/>
              <w:ind w:right="0"/>
              <w:rPr>
                <w:sz w:val="17"/>
                <w:szCs w:val="17"/>
              </w:rPr>
            </w:pPr>
            <w:r w:rsidRPr="0054600D">
              <w:t>2,691.6</w:t>
            </w:r>
          </w:p>
        </w:tc>
        <w:tc>
          <w:tcPr>
            <w:tcW w:w="794" w:type="dxa"/>
            <w:tcBorders>
              <w:top w:val="single" w:sz="4" w:space="0" w:color="A6A6A6"/>
              <w:bottom w:val="single" w:sz="4" w:space="0" w:color="A6A6A6"/>
            </w:tcBorders>
            <w:noWrap/>
            <w:hideMark/>
          </w:tcPr>
          <w:p w14:paraId="1749C29E" w14:textId="77777777" w:rsidR="00CE75D4" w:rsidRPr="00C75BB8" w:rsidRDefault="00CE75D4" w:rsidP="008340C1">
            <w:pPr>
              <w:pStyle w:val="ARfintablebodyright"/>
              <w:ind w:right="0"/>
              <w:rPr>
                <w:sz w:val="17"/>
                <w:szCs w:val="17"/>
              </w:rPr>
            </w:pPr>
            <w:r w:rsidRPr="0054600D">
              <w:t>3,157.7</w:t>
            </w:r>
          </w:p>
        </w:tc>
      </w:tr>
    </w:tbl>
    <w:p w14:paraId="5D324238" w14:textId="77777777" w:rsidR="00CE75D4" w:rsidRPr="0040433B" w:rsidRDefault="00CE75D4" w:rsidP="00087B91">
      <w:pPr>
        <w:pStyle w:val="ARfinbody"/>
      </w:pPr>
      <w:r w:rsidRPr="0040433B">
        <w:br w:type="page"/>
      </w:r>
    </w:p>
    <w:p w14:paraId="6C2355C7" w14:textId="77777777" w:rsidR="00CE75D4" w:rsidRDefault="00CE75D4" w:rsidP="00130D1C">
      <w:pPr>
        <w:pStyle w:val="Heading4"/>
        <w:rPr>
          <w:lang w:eastAsia="en-AU"/>
        </w:rPr>
      </w:pPr>
      <w:bookmarkStart w:id="636" w:name="_Toc39242171"/>
      <w:bookmarkStart w:id="637" w:name="_Ref84598319"/>
      <w:bookmarkStart w:id="638" w:name="_Toc85121553"/>
      <w:bookmarkStart w:id="639" w:name="_Ref112963485"/>
      <w:r>
        <w:rPr>
          <w:lang w:eastAsia="en-AU"/>
        </w:rPr>
        <w:t>9.6 Responsible persons</w:t>
      </w:r>
      <w:bookmarkEnd w:id="636"/>
      <w:bookmarkEnd w:id="637"/>
      <w:bookmarkEnd w:id="638"/>
      <w:bookmarkEnd w:id="639"/>
    </w:p>
    <w:p w14:paraId="229EA1AA" w14:textId="5F14C4DF" w:rsidR="00CE75D4" w:rsidRDefault="00CE75D4" w:rsidP="008340C1">
      <w:pPr>
        <w:pStyle w:val="ARfinbody"/>
      </w:pPr>
      <w:r>
        <w:t xml:space="preserve">In </w:t>
      </w:r>
      <w:r w:rsidRPr="0093773A">
        <w:t>accordance with the Directions of the Assistant Treasurer under the</w:t>
      </w:r>
      <w:r>
        <w:t xml:space="preserve"> FMA, the following disclosures are made for the responsible persons for the reporting period.</w:t>
      </w:r>
    </w:p>
    <w:p w14:paraId="3AACBFAA" w14:textId="77777777" w:rsidR="00CE75D4" w:rsidRDefault="00CE75D4" w:rsidP="008340C1">
      <w:pPr>
        <w:pStyle w:val="Heading5"/>
        <w:spacing w:before="160" w:after="60"/>
      </w:pPr>
      <w:r>
        <w:rPr>
          <w:lang w:eastAsia="en-AU"/>
        </w:rPr>
        <w:t>Names</w:t>
      </w:r>
    </w:p>
    <w:p w14:paraId="1041AC7C" w14:textId="77777777" w:rsidR="00CE75D4" w:rsidRDefault="00CE75D4" w:rsidP="008340C1">
      <w:pPr>
        <w:pStyle w:val="ARfinbody"/>
      </w:pPr>
      <w:r>
        <w:t>The persons who held the positions of ministers and accountable officers in the department were as follows:</w:t>
      </w:r>
    </w:p>
    <w:tbl>
      <w:tblPr>
        <w:tblStyle w:val="TableGrid"/>
        <w:tblW w:w="9639" w:type="dxa"/>
        <w:tblLayout w:type="fixed"/>
        <w:tblLook w:val="06A0" w:firstRow="1" w:lastRow="0" w:firstColumn="1" w:lastColumn="0" w:noHBand="1" w:noVBand="1"/>
      </w:tblPr>
      <w:tblGrid>
        <w:gridCol w:w="3401"/>
        <w:gridCol w:w="3402"/>
        <w:gridCol w:w="1418"/>
        <w:gridCol w:w="1418"/>
      </w:tblGrid>
      <w:tr w:rsidR="00CE75D4" w14:paraId="735B1447"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3401" w:type="dxa"/>
            <w:tcBorders>
              <w:bottom w:val="single" w:sz="4" w:space="0" w:color="auto"/>
            </w:tcBorders>
            <w:hideMark/>
          </w:tcPr>
          <w:p w14:paraId="4282CEB7" w14:textId="77777777" w:rsidR="00CE75D4" w:rsidRDefault="00CE75D4" w:rsidP="008340C1">
            <w:pPr>
              <w:pStyle w:val="ARfintablecolhead"/>
              <w:spacing w:before="30" w:after="10"/>
              <w:rPr>
                <w:lang w:eastAsia="en-US"/>
              </w:rPr>
            </w:pPr>
            <w:r>
              <w:rPr>
                <w:lang w:eastAsia="en-US"/>
              </w:rPr>
              <w:t>Relevant office</w:t>
            </w:r>
          </w:p>
        </w:tc>
        <w:tc>
          <w:tcPr>
            <w:tcW w:w="3402" w:type="dxa"/>
            <w:tcBorders>
              <w:bottom w:val="single" w:sz="4" w:space="0" w:color="auto"/>
            </w:tcBorders>
            <w:hideMark/>
          </w:tcPr>
          <w:p w14:paraId="2F4108C4" w14:textId="77777777" w:rsidR="00CE75D4" w:rsidRDefault="00CE75D4" w:rsidP="008340C1">
            <w:pPr>
              <w:pStyle w:val="ARfintablecolhead"/>
              <w:spacing w:before="30" w:after="10"/>
              <w:rPr>
                <w:lang w:eastAsia="en-US"/>
              </w:rPr>
            </w:pPr>
            <w:r>
              <w:rPr>
                <w:lang w:eastAsia="en-US"/>
              </w:rPr>
              <w:t>Minister or accountable officer</w:t>
            </w:r>
          </w:p>
        </w:tc>
        <w:tc>
          <w:tcPr>
            <w:tcW w:w="1418" w:type="dxa"/>
            <w:tcBorders>
              <w:bottom w:val="single" w:sz="4" w:space="0" w:color="auto"/>
            </w:tcBorders>
            <w:hideMark/>
          </w:tcPr>
          <w:p w14:paraId="6CFA0936" w14:textId="77777777" w:rsidR="00CE75D4" w:rsidRDefault="00CE75D4" w:rsidP="008340C1">
            <w:pPr>
              <w:pStyle w:val="ARfintablecolheadright"/>
              <w:spacing w:before="30" w:after="10"/>
            </w:pPr>
            <w:r>
              <w:t>From</w:t>
            </w:r>
          </w:p>
        </w:tc>
        <w:tc>
          <w:tcPr>
            <w:tcW w:w="1418" w:type="dxa"/>
            <w:tcBorders>
              <w:bottom w:val="single" w:sz="4" w:space="0" w:color="auto"/>
            </w:tcBorders>
          </w:tcPr>
          <w:p w14:paraId="4F405DCB" w14:textId="77777777" w:rsidR="00CE75D4" w:rsidRDefault="00CE75D4" w:rsidP="008340C1">
            <w:pPr>
              <w:pStyle w:val="ARfintablecolheadright"/>
              <w:spacing w:before="30" w:after="10"/>
            </w:pPr>
            <w:r>
              <w:t>To</w:t>
            </w:r>
          </w:p>
        </w:tc>
      </w:tr>
      <w:tr w:rsidR="00CE75D4" w14:paraId="05AE7AC4" w14:textId="77777777" w:rsidTr="008340C1">
        <w:trPr>
          <w:cantSplit w:val="0"/>
        </w:trPr>
        <w:tc>
          <w:tcPr>
            <w:tcW w:w="3401" w:type="dxa"/>
            <w:vMerge w:val="restart"/>
            <w:tcBorders>
              <w:top w:val="single" w:sz="4" w:space="0" w:color="A6A6A6"/>
            </w:tcBorders>
            <w:hideMark/>
          </w:tcPr>
          <w:p w14:paraId="0825D857" w14:textId="77777777" w:rsidR="00CE75D4" w:rsidRDefault="00CE75D4" w:rsidP="008340C1">
            <w:pPr>
              <w:pStyle w:val="ARfintablebody"/>
              <w:spacing w:before="30" w:after="10"/>
            </w:pPr>
            <w:r w:rsidRPr="00341DA7">
              <w:t>Minister for Health</w:t>
            </w:r>
          </w:p>
        </w:tc>
        <w:tc>
          <w:tcPr>
            <w:tcW w:w="3402" w:type="dxa"/>
            <w:tcBorders>
              <w:top w:val="single" w:sz="4" w:space="0" w:color="A6A6A6"/>
              <w:bottom w:val="single" w:sz="4" w:space="0" w:color="A6A6A6"/>
            </w:tcBorders>
            <w:hideMark/>
          </w:tcPr>
          <w:p w14:paraId="2EE92E57" w14:textId="77777777" w:rsidR="00CE75D4" w:rsidRDefault="00CE75D4" w:rsidP="008340C1">
            <w:pPr>
              <w:pStyle w:val="ARfintablebody"/>
              <w:spacing w:before="30" w:after="10"/>
            </w:pPr>
            <w:r w:rsidRPr="00341DA7">
              <w:t>The Hon Martin Foley MP</w:t>
            </w:r>
          </w:p>
        </w:tc>
        <w:tc>
          <w:tcPr>
            <w:tcW w:w="1418" w:type="dxa"/>
            <w:tcBorders>
              <w:top w:val="single" w:sz="4" w:space="0" w:color="A6A6A6"/>
              <w:bottom w:val="single" w:sz="4" w:space="0" w:color="A6A6A6"/>
            </w:tcBorders>
            <w:hideMark/>
          </w:tcPr>
          <w:p w14:paraId="42A383F1" w14:textId="77777777" w:rsidR="00CE75D4" w:rsidRDefault="00CE75D4" w:rsidP="008340C1">
            <w:pPr>
              <w:pStyle w:val="ARfintablebodyright"/>
              <w:spacing w:before="30" w:after="10"/>
            </w:pPr>
            <w:r w:rsidRPr="00341DA7">
              <w:t>1 Jul 2021</w:t>
            </w:r>
          </w:p>
        </w:tc>
        <w:tc>
          <w:tcPr>
            <w:tcW w:w="1418" w:type="dxa"/>
            <w:tcBorders>
              <w:top w:val="single" w:sz="4" w:space="0" w:color="A6A6A6"/>
              <w:bottom w:val="single" w:sz="4" w:space="0" w:color="A6A6A6"/>
            </w:tcBorders>
          </w:tcPr>
          <w:p w14:paraId="16098135" w14:textId="77777777" w:rsidR="00CE75D4" w:rsidRDefault="00CE75D4" w:rsidP="008340C1">
            <w:pPr>
              <w:pStyle w:val="ARfintablebodyright"/>
              <w:spacing w:before="30" w:after="10"/>
            </w:pPr>
            <w:r w:rsidRPr="00341DA7">
              <w:t>27 Jun 2022</w:t>
            </w:r>
          </w:p>
        </w:tc>
      </w:tr>
      <w:tr w:rsidR="00CE75D4" w14:paraId="222314D4" w14:textId="77777777" w:rsidTr="008340C1">
        <w:trPr>
          <w:cantSplit w:val="0"/>
        </w:trPr>
        <w:tc>
          <w:tcPr>
            <w:tcW w:w="3401" w:type="dxa"/>
            <w:vMerge/>
            <w:tcBorders>
              <w:bottom w:val="single" w:sz="4" w:space="0" w:color="A6A6A6"/>
            </w:tcBorders>
            <w:hideMark/>
          </w:tcPr>
          <w:p w14:paraId="11A860A3" w14:textId="77777777" w:rsidR="00CE75D4" w:rsidRDefault="00CE75D4" w:rsidP="008340C1">
            <w:pPr>
              <w:pStyle w:val="ARfintablebody"/>
              <w:spacing w:before="30" w:after="10"/>
            </w:pPr>
          </w:p>
        </w:tc>
        <w:tc>
          <w:tcPr>
            <w:tcW w:w="3402" w:type="dxa"/>
            <w:tcBorders>
              <w:top w:val="single" w:sz="4" w:space="0" w:color="A6A6A6"/>
              <w:bottom w:val="single" w:sz="4" w:space="0" w:color="A6A6A6"/>
            </w:tcBorders>
            <w:hideMark/>
          </w:tcPr>
          <w:p w14:paraId="038FFFDF" w14:textId="77777777" w:rsidR="00CE75D4" w:rsidRPr="009A23DE" w:rsidRDefault="00CE75D4" w:rsidP="008340C1">
            <w:pPr>
              <w:pStyle w:val="ARfintablebody"/>
              <w:spacing w:before="30" w:after="10"/>
            </w:pPr>
            <w:r w:rsidRPr="00341DA7">
              <w:t>The Hon Mary-Anne Thomas MP</w:t>
            </w:r>
          </w:p>
        </w:tc>
        <w:tc>
          <w:tcPr>
            <w:tcW w:w="1418" w:type="dxa"/>
            <w:tcBorders>
              <w:top w:val="single" w:sz="4" w:space="0" w:color="A6A6A6"/>
              <w:bottom w:val="single" w:sz="4" w:space="0" w:color="A6A6A6"/>
            </w:tcBorders>
            <w:hideMark/>
          </w:tcPr>
          <w:p w14:paraId="4657B965" w14:textId="77777777" w:rsidR="00CE75D4" w:rsidRDefault="00CE75D4" w:rsidP="008340C1">
            <w:pPr>
              <w:pStyle w:val="ARfintablebodyright"/>
              <w:spacing w:before="30" w:after="10"/>
            </w:pPr>
            <w:r w:rsidRPr="00341DA7">
              <w:t>27 Jun 2022</w:t>
            </w:r>
          </w:p>
        </w:tc>
        <w:tc>
          <w:tcPr>
            <w:tcW w:w="1418" w:type="dxa"/>
            <w:tcBorders>
              <w:top w:val="single" w:sz="4" w:space="0" w:color="A6A6A6"/>
              <w:bottom w:val="single" w:sz="4" w:space="0" w:color="A6A6A6"/>
            </w:tcBorders>
          </w:tcPr>
          <w:p w14:paraId="2E70380D" w14:textId="77777777" w:rsidR="00CE75D4" w:rsidRDefault="00CE75D4" w:rsidP="008340C1">
            <w:pPr>
              <w:pStyle w:val="ARfintablebodyright"/>
              <w:spacing w:before="30" w:after="10"/>
            </w:pPr>
            <w:r w:rsidRPr="00341DA7">
              <w:t>30 Jun 2022</w:t>
            </w:r>
          </w:p>
        </w:tc>
      </w:tr>
      <w:tr w:rsidR="00CE75D4" w14:paraId="4CBBABF7" w14:textId="77777777" w:rsidTr="008340C1">
        <w:trPr>
          <w:cantSplit w:val="0"/>
        </w:trPr>
        <w:tc>
          <w:tcPr>
            <w:tcW w:w="3401" w:type="dxa"/>
            <w:vMerge w:val="restart"/>
            <w:tcBorders>
              <w:top w:val="single" w:sz="4" w:space="0" w:color="A6A6A6"/>
            </w:tcBorders>
            <w:hideMark/>
          </w:tcPr>
          <w:p w14:paraId="36E2D525" w14:textId="77777777" w:rsidR="00CE75D4" w:rsidRDefault="00CE75D4" w:rsidP="008340C1">
            <w:pPr>
              <w:pStyle w:val="ARfintablebody"/>
              <w:spacing w:before="30" w:after="10"/>
            </w:pPr>
            <w:r w:rsidRPr="00341DA7">
              <w:t>Minister for Ambulance Services</w:t>
            </w:r>
          </w:p>
        </w:tc>
        <w:tc>
          <w:tcPr>
            <w:tcW w:w="3402" w:type="dxa"/>
            <w:tcBorders>
              <w:top w:val="single" w:sz="4" w:space="0" w:color="A6A6A6"/>
              <w:bottom w:val="single" w:sz="4" w:space="0" w:color="A6A6A6"/>
            </w:tcBorders>
            <w:hideMark/>
          </w:tcPr>
          <w:p w14:paraId="3717B4E6" w14:textId="77777777" w:rsidR="00CE75D4" w:rsidRPr="009A23DE" w:rsidRDefault="00CE75D4" w:rsidP="008340C1">
            <w:pPr>
              <w:pStyle w:val="ARfintablebody"/>
              <w:spacing w:before="30" w:after="10"/>
            </w:pPr>
            <w:r w:rsidRPr="00341DA7">
              <w:t>The Hon Martin Foley MP</w:t>
            </w:r>
          </w:p>
        </w:tc>
        <w:tc>
          <w:tcPr>
            <w:tcW w:w="1418" w:type="dxa"/>
            <w:tcBorders>
              <w:top w:val="single" w:sz="4" w:space="0" w:color="A6A6A6"/>
              <w:bottom w:val="single" w:sz="4" w:space="0" w:color="A6A6A6"/>
            </w:tcBorders>
            <w:hideMark/>
          </w:tcPr>
          <w:p w14:paraId="2383A7D5" w14:textId="77777777" w:rsidR="00CE75D4" w:rsidRDefault="00CE75D4" w:rsidP="008340C1">
            <w:pPr>
              <w:pStyle w:val="ARfintablebodyright"/>
              <w:spacing w:before="30" w:after="10"/>
            </w:pPr>
            <w:r w:rsidRPr="00341DA7">
              <w:t>1 Jul 2021</w:t>
            </w:r>
          </w:p>
        </w:tc>
        <w:tc>
          <w:tcPr>
            <w:tcW w:w="1418" w:type="dxa"/>
            <w:tcBorders>
              <w:top w:val="single" w:sz="4" w:space="0" w:color="A6A6A6"/>
              <w:bottom w:val="single" w:sz="4" w:space="0" w:color="A6A6A6"/>
            </w:tcBorders>
          </w:tcPr>
          <w:p w14:paraId="0CCA6CC6" w14:textId="77777777" w:rsidR="00CE75D4" w:rsidRDefault="00CE75D4" w:rsidP="008340C1">
            <w:pPr>
              <w:pStyle w:val="ARfintablebodyright"/>
              <w:spacing w:before="30" w:after="10"/>
            </w:pPr>
            <w:r w:rsidRPr="00341DA7">
              <w:t>27 Jun 2022</w:t>
            </w:r>
          </w:p>
        </w:tc>
      </w:tr>
      <w:tr w:rsidR="00CE75D4" w14:paraId="3622F69C" w14:textId="77777777" w:rsidTr="008340C1">
        <w:trPr>
          <w:cantSplit w:val="0"/>
        </w:trPr>
        <w:tc>
          <w:tcPr>
            <w:tcW w:w="3401" w:type="dxa"/>
            <w:vMerge/>
            <w:tcBorders>
              <w:bottom w:val="single" w:sz="4" w:space="0" w:color="A6A6A6"/>
            </w:tcBorders>
            <w:hideMark/>
          </w:tcPr>
          <w:p w14:paraId="56C0F9DF" w14:textId="77777777" w:rsidR="00CE75D4" w:rsidRDefault="00CE75D4" w:rsidP="008340C1">
            <w:pPr>
              <w:pStyle w:val="ARfintablebody"/>
              <w:spacing w:before="30" w:after="10"/>
            </w:pPr>
          </w:p>
        </w:tc>
        <w:tc>
          <w:tcPr>
            <w:tcW w:w="3402" w:type="dxa"/>
            <w:tcBorders>
              <w:top w:val="single" w:sz="4" w:space="0" w:color="A6A6A6"/>
              <w:bottom w:val="single" w:sz="4" w:space="0" w:color="A6A6A6"/>
            </w:tcBorders>
            <w:hideMark/>
          </w:tcPr>
          <w:p w14:paraId="443EC35E" w14:textId="77777777" w:rsidR="00CE75D4" w:rsidRDefault="00CE75D4" w:rsidP="008340C1">
            <w:pPr>
              <w:pStyle w:val="ARfintablebody"/>
              <w:spacing w:before="30" w:after="10"/>
            </w:pPr>
            <w:r w:rsidRPr="00341DA7">
              <w:t>The Hon Mary-Anne Thomas MP</w:t>
            </w:r>
          </w:p>
        </w:tc>
        <w:tc>
          <w:tcPr>
            <w:tcW w:w="1418" w:type="dxa"/>
            <w:tcBorders>
              <w:top w:val="single" w:sz="4" w:space="0" w:color="A6A6A6"/>
              <w:bottom w:val="single" w:sz="4" w:space="0" w:color="A6A6A6"/>
            </w:tcBorders>
            <w:hideMark/>
          </w:tcPr>
          <w:p w14:paraId="36D9C172" w14:textId="77777777" w:rsidR="00CE75D4" w:rsidRDefault="00CE75D4" w:rsidP="008340C1">
            <w:pPr>
              <w:pStyle w:val="ARfintablebodyright"/>
              <w:spacing w:before="30" w:after="10"/>
            </w:pPr>
            <w:r w:rsidRPr="00341DA7">
              <w:t>27 Jun 2022</w:t>
            </w:r>
          </w:p>
        </w:tc>
        <w:tc>
          <w:tcPr>
            <w:tcW w:w="1418" w:type="dxa"/>
            <w:tcBorders>
              <w:top w:val="single" w:sz="4" w:space="0" w:color="A6A6A6"/>
              <w:bottom w:val="single" w:sz="4" w:space="0" w:color="A6A6A6"/>
            </w:tcBorders>
          </w:tcPr>
          <w:p w14:paraId="5ADEF327" w14:textId="77777777" w:rsidR="00CE75D4" w:rsidRDefault="00CE75D4" w:rsidP="008340C1">
            <w:pPr>
              <w:pStyle w:val="ARfintablebodyright"/>
              <w:spacing w:before="30" w:after="10"/>
            </w:pPr>
            <w:r w:rsidRPr="00341DA7">
              <w:t>30 Jun 2022</w:t>
            </w:r>
          </w:p>
        </w:tc>
      </w:tr>
      <w:tr w:rsidR="00CE75D4" w14:paraId="4D7400BE" w14:textId="77777777" w:rsidTr="008340C1">
        <w:trPr>
          <w:cantSplit w:val="0"/>
        </w:trPr>
        <w:tc>
          <w:tcPr>
            <w:tcW w:w="3401" w:type="dxa"/>
            <w:vMerge w:val="restart"/>
            <w:tcBorders>
              <w:top w:val="single" w:sz="4" w:space="0" w:color="A6A6A6"/>
            </w:tcBorders>
            <w:hideMark/>
          </w:tcPr>
          <w:p w14:paraId="765B9789" w14:textId="77777777" w:rsidR="00CE75D4" w:rsidRDefault="00CE75D4" w:rsidP="008340C1">
            <w:pPr>
              <w:pStyle w:val="ARfintablebody"/>
              <w:spacing w:before="30" w:after="10"/>
            </w:pPr>
            <w:r w:rsidRPr="00341DA7">
              <w:t>Minister for Mental Health</w:t>
            </w:r>
          </w:p>
        </w:tc>
        <w:tc>
          <w:tcPr>
            <w:tcW w:w="3402" w:type="dxa"/>
            <w:tcBorders>
              <w:top w:val="single" w:sz="4" w:space="0" w:color="A6A6A6"/>
              <w:bottom w:val="single" w:sz="4" w:space="0" w:color="A6A6A6"/>
            </w:tcBorders>
            <w:hideMark/>
          </w:tcPr>
          <w:p w14:paraId="32D14CF2" w14:textId="77777777" w:rsidR="00CE75D4" w:rsidRDefault="00CE75D4" w:rsidP="008340C1">
            <w:pPr>
              <w:pStyle w:val="ARfintablebody"/>
              <w:spacing w:before="30" w:after="10"/>
            </w:pPr>
            <w:r w:rsidRPr="00341DA7">
              <w:t>The Hon James Merlino MP</w:t>
            </w:r>
          </w:p>
        </w:tc>
        <w:tc>
          <w:tcPr>
            <w:tcW w:w="1418" w:type="dxa"/>
            <w:tcBorders>
              <w:top w:val="single" w:sz="4" w:space="0" w:color="A6A6A6"/>
              <w:bottom w:val="single" w:sz="4" w:space="0" w:color="A6A6A6"/>
            </w:tcBorders>
            <w:hideMark/>
          </w:tcPr>
          <w:p w14:paraId="2281A23A" w14:textId="77777777" w:rsidR="00CE75D4" w:rsidRDefault="00CE75D4" w:rsidP="008340C1">
            <w:pPr>
              <w:pStyle w:val="ARfintablebodyright"/>
              <w:spacing w:before="30" w:after="10"/>
            </w:pPr>
            <w:r w:rsidRPr="00341DA7">
              <w:t>1 Jul 2021</w:t>
            </w:r>
          </w:p>
        </w:tc>
        <w:tc>
          <w:tcPr>
            <w:tcW w:w="1418" w:type="dxa"/>
            <w:tcBorders>
              <w:top w:val="single" w:sz="4" w:space="0" w:color="A6A6A6"/>
              <w:bottom w:val="single" w:sz="4" w:space="0" w:color="A6A6A6"/>
            </w:tcBorders>
          </w:tcPr>
          <w:p w14:paraId="62395B64" w14:textId="77777777" w:rsidR="00CE75D4" w:rsidRDefault="00CE75D4" w:rsidP="008340C1">
            <w:pPr>
              <w:pStyle w:val="ARfintablebodyright"/>
              <w:spacing w:before="30" w:after="10"/>
            </w:pPr>
            <w:r w:rsidRPr="00341DA7">
              <w:t>27 Jun 2022</w:t>
            </w:r>
          </w:p>
        </w:tc>
      </w:tr>
      <w:tr w:rsidR="00CE75D4" w14:paraId="5D734946" w14:textId="77777777" w:rsidTr="008340C1">
        <w:trPr>
          <w:cantSplit w:val="0"/>
        </w:trPr>
        <w:tc>
          <w:tcPr>
            <w:tcW w:w="3401" w:type="dxa"/>
            <w:vMerge/>
            <w:tcBorders>
              <w:bottom w:val="single" w:sz="4" w:space="0" w:color="A6A6A6"/>
            </w:tcBorders>
            <w:hideMark/>
          </w:tcPr>
          <w:p w14:paraId="764D44B3" w14:textId="77777777" w:rsidR="00CE75D4" w:rsidRDefault="00CE75D4" w:rsidP="008340C1">
            <w:pPr>
              <w:pStyle w:val="ARfintablebody"/>
              <w:spacing w:before="30" w:after="10"/>
            </w:pPr>
          </w:p>
        </w:tc>
        <w:tc>
          <w:tcPr>
            <w:tcW w:w="3402" w:type="dxa"/>
            <w:tcBorders>
              <w:top w:val="single" w:sz="4" w:space="0" w:color="A6A6A6"/>
              <w:bottom w:val="single" w:sz="4" w:space="0" w:color="A6A6A6"/>
            </w:tcBorders>
            <w:hideMark/>
          </w:tcPr>
          <w:p w14:paraId="0D517267" w14:textId="77777777" w:rsidR="00CE75D4" w:rsidRDefault="00CE75D4" w:rsidP="008340C1">
            <w:pPr>
              <w:pStyle w:val="ARfintablebody"/>
              <w:spacing w:before="30" w:after="10"/>
            </w:pPr>
            <w:r w:rsidRPr="00341DA7">
              <w:t>The Hon Gabrielle Williams MP</w:t>
            </w:r>
          </w:p>
        </w:tc>
        <w:tc>
          <w:tcPr>
            <w:tcW w:w="1418" w:type="dxa"/>
            <w:tcBorders>
              <w:top w:val="single" w:sz="4" w:space="0" w:color="A6A6A6"/>
              <w:bottom w:val="single" w:sz="4" w:space="0" w:color="A6A6A6"/>
            </w:tcBorders>
            <w:hideMark/>
          </w:tcPr>
          <w:p w14:paraId="089E9823" w14:textId="77777777" w:rsidR="00CE75D4" w:rsidRDefault="00CE75D4" w:rsidP="008340C1">
            <w:pPr>
              <w:pStyle w:val="ARfintablebodyright"/>
              <w:spacing w:before="30" w:after="10"/>
            </w:pPr>
            <w:r w:rsidRPr="00341DA7">
              <w:t>27 Jun 2022</w:t>
            </w:r>
          </w:p>
        </w:tc>
        <w:tc>
          <w:tcPr>
            <w:tcW w:w="1418" w:type="dxa"/>
            <w:tcBorders>
              <w:top w:val="single" w:sz="4" w:space="0" w:color="A6A6A6"/>
              <w:bottom w:val="single" w:sz="4" w:space="0" w:color="A6A6A6"/>
            </w:tcBorders>
          </w:tcPr>
          <w:p w14:paraId="473F2B77" w14:textId="77777777" w:rsidR="00CE75D4" w:rsidRDefault="00CE75D4" w:rsidP="008340C1">
            <w:pPr>
              <w:pStyle w:val="ARfintablebodyright"/>
              <w:spacing w:before="30" w:after="10"/>
            </w:pPr>
            <w:r w:rsidRPr="00341DA7">
              <w:t>30 Jun 2022</w:t>
            </w:r>
          </w:p>
        </w:tc>
      </w:tr>
      <w:tr w:rsidR="00CE75D4" w14:paraId="171BB9A9" w14:textId="77777777" w:rsidTr="008340C1">
        <w:trPr>
          <w:cantSplit w:val="0"/>
        </w:trPr>
        <w:tc>
          <w:tcPr>
            <w:tcW w:w="3401" w:type="dxa"/>
            <w:vMerge w:val="restart"/>
            <w:tcBorders>
              <w:top w:val="single" w:sz="4" w:space="0" w:color="A6A6A6"/>
            </w:tcBorders>
            <w:hideMark/>
          </w:tcPr>
          <w:p w14:paraId="2ACEE27D" w14:textId="77777777" w:rsidR="00CE75D4" w:rsidRDefault="00CE75D4" w:rsidP="008340C1">
            <w:pPr>
              <w:pStyle w:val="ARfintablebody"/>
              <w:spacing w:before="30" w:after="10"/>
            </w:pPr>
            <w:r w:rsidRPr="00341DA7">
              <w:t>Minister for Disability, Ageing and</w:t>
            </w:r>
            <w:r>
              <w:t> </w:t>
            </w:r>
            <w:r w:rsidRPr="00341DA7">
              <w:t>Carers</w:t>
            </w:r>
          </w:p>
        </w:tc>
        <w:tc>
          <w:tcPr>
            <w:tcW w:w="3402" w:type="dxa"/>
            <w:tcBorders>
              <w:top w:val="single" w:sz="4" w:space="0" w:color="A6A6A6"/>
              <w:bottom w:val="single" w:sz="4" w:space="0" w:color="A6A6A6"/>
            </w:tcBorders>
            <w:hideMark/>
          </w:tcPr>
          <w:p w14:paraId="5DD3AA01" w14:textId="77777777" w:rsidR="00CE75D4" w:rsidRPr="009A23DE" w:rsidRDefault="00CE75D4" w:rsidP="008340C1">
            <w:pPr>
              <w:pStyle w:val="ARfintablebody"/>
              <w:spacing w:before="30" w:after="10"/>
              <w:rPr>
                <w:lang w:val="fr-FR"/>
              </w:rPr>
            </w:pPr>
            <w:r w:rsidRPr="009A23DE">
              <w:rPr>
                <w:lang w:val="fr-FR"/>
              </w:rPr>
              <w:t>The Hon Luke Donnellan MP</w:t>
            </w:r>
          </w:p>
        </w:tc>
        <w:tc>
          <w:tcPr>
            <w:tcW w:w="1418" w:type="dxa"/>
            <w:tcBorders>
              <w:top w:val="single" w:sz="4" w:space="0" w:color="A6A6A6"/>
              <w:bottom w:val="single" w:sz="4" w:space="0" w:color="A6A6A6"/>
            </w:tcBorders>
            <w:hideMark/>
          </w:tcPr>
          <w:p w14:paraId="1C2DC4FA" w14:textId="77777777" w:rsidR="00CE75D4" w:rsidRDefault="00CE75D4" w:rsidP="008340C1">
            <w:pPr>
              <w:pStyle w:val="ARfintablebodyright"/>
              <w:spacing w:before="30" w:after="10"/>
            </w:pPr>
            <w:r w:rsidRPr="00341DA7">
              <w:t>1 Jul 2021</w:t>
            </w:r>
          </w:p>
        </w:tc>
        <w:tc>
          <w:tcPr>
            <w:tcW w:w="1418" w:type="dxa"/>
            <w:tcBorders>
              <w:top w:val="single" w:sz="4" w:space="0" w:color="A6A6A6"/>
              <w:bottom w:val="single" w:sz="4" w:space="0" w:color="A6A6A6"/>
            </w:tcBorders>
          </w:tcPr>
          <w:p w14:paraId="22EA71C8" w14:textId="77777777" w:rsidR="00CE75D4" w:rsidRDefault="00CE75D4" w:rsidP="008340C1">
            <w:pPr>
              <w:pStyle w:val="ARfintablebodyright"/>
              <w:spacing w:before="30" w:after="10"/>
            </w:pPr>
            <w:r w:rsidRPr="00341DA7">
              <w:t>11 Oct 2021</w:t>
            </w:r>
          </w:p>
        </w:tc>
      </w:tr>
      <w:tr w:rsidR="00CE75D4" w14:paraId="0FE325D4" w14:textId="77777777" w:rsidTr="008340C1">
        <w:trPr>
          <w:cantSplit w:val="0"/>
        </w:trPr>
        <w:tc>
          <w:tcPr>
            <w:tcW w:w="3401" w:type="dxa"/>
            <w:vMerge/>
            <w:hideMark/>
          </w:tcPr>
          <w:p w14:paraId="1DAE3E1F" w14:textId="77777777" w:rsidR="00CE75D4" w:rsidRDefault="00CE75D4" w:rsidP="008340C1">
            <w:pPr>
              <w:pStyle w:val="ARfintablebody"/>
              <w:spacing w:before="30" w:after="10"/>
            </w:pPr>
          </w:p>
        </w:tc>
        <w:tc>
          <w:tcPr>
            <w:tcW w:w="3402" w:type="dxa"/>
            <w:tcBorders>
              <w:top w:val="single" w:sz="4" w:space="0" w:color="A6A6A6"/>
              <w:bottom w:val="single" w:sz="4" w:space="0" w:color="A6A6A6"/>
            </w:tcBorders>
            <w:hideMark/>
          </w:tcPr>
          <w:p w14:paraId="4091E7CE" w14:textId="77777777" w:rsidR="00CE75D4" w:rsidRDefault="00CE75D4" w:rsidP="008340C1">
            <w:pPr>
              <w:pStyle w:val="ARfintablebody"/>
              <w:spacing w:before="30" w:after="10"/>
            </w:pPr>
            <w:r w:rsidRPr="00341DA7">
              <w:t>The Hon James Merlino MP</w:t>
            </w:r>
          </w:p>
        </w:tc>
        <w:tc>
          <w:tcPr>
            <w:tcW w:w="1418" w:type="dxa"/>
            <w:tcBorders>
              <w:top w:val="single" w:sz="4" w:space="0" w:color="A6A6A6"/>
              <w:bottom w:val="single" w:sz="4" w:space="0" w:color="A6A6A6"/>
            </w:tcBorders>
            <w:hideMark/>
          </w:tcPr>
          <w:p w14:paraId="38769AAF" w14:textId="77777777" w:rsidR="00CE75D4" w:rsidRDefault="00CE75D4" w:rsidP="008340C1">
            <w:pPr>
              <w:pStyle w:val="ARfintablebodyright"/>
              <w:spacing w:before="30" w:after="10"/>
            </w:pPr>
            <w:r w:rsidRPr="00341DA7">
              <w:t>11 Oct 2021</w:t>
            </w:r>
          </w:p>
        </w:tc>
        <w:tc>
          <w:tcPr>
            <w:tcW w:w="1418" w:type="dxa"/>
            <w:tcBorders>
              <w:top w:val="single" w:sz="4" w:space="0" w:color="A6A6A6"/>
              <w:bottom w:val="single" w:sz="4" w:space="0" w:color="A6A6A6"/>
            </w:tcBorders>
          </w:tcPr>
          <w:p w14:paraId="3919050A" w14:textId="77777777" w:rsidR="00CE75D4" w:rsidRDefault="00CE75D4" w:rsidP="008340C1">
            <w:pPr>
              <w:pStyle w:val="ARfintablebodyright"/>
              <w:spacing w:before="30" w:after="10"/>
            </w:pPr>
            <w:r w:rsidRPr="00341DA7">
              <w:t>6 Dec 2021</w:t>
            </w:r>
          </w:p>
        </w:tc>
      </w:tr>
      <w:tr w:rsidR="00CE75D4" w14:paraId="7454EED3" w14:textId="77777777" w:rsidTr="008340C1">
        <w:trPr>
          <w:cantSplit w:val="0"/>
        </w:trPr>
        <w:tc>
          <w:tcPr>
            <w:tcW w:w="3401" w:type="dxa"/>
            <w:vMerge/>
            <w:hideMark/>
          </w:tcPr>
          <w:p w14:paraId="182EFDA6" w14:textId="77777777" w:rsidR="00CE75D4" w:rsidRDefault="00CE75D4" w:rsidP="008340C1">
            <w:pPr>
              <w:pStyle w:val="ARfintablebody"/>
              <w:spacing w:before="30" w:after="10"/>
            </w:pPr>
          </w:p>
        </w:tc>
        <w:tc>
          <w:tcPr>
            <w:tcW w:w="3402" w:type="dxa"/>
            <w:tcBorders>
              <w:top w:val="single" w:sz="4" w:space="0" w:color="A6A6A6"/>
              <w:bottom w:val="single" w:sz="4" w:space="0" w:color="A6A6A6"/>
            </w:tcBorders>
            <w:hideMark/>
          </w:tcPr>
          <w:p w14:paraId="5DC595A8" w14:textId="77777777" w:rsidR="00CE75D4" w:rsidRDefault="00CE75D4" w:rsidP="008340C1">
            <w:pPr>
              <w:pStyle w:val="ARfintablebody"/>
              <w:spacing w:before="30" w:after="10"/>
              <w:rPr>
                <w:lang w:eastAsia="en-US"/>
              </w:rPr>
            </w:pPr>
            <w:r w:rsidRPr="00341DA7">
              <w:t>The Hon Anthony Carbines MP</w:t>
            </w:r>
          </w:p>
        </w:tc>
        <w:tc>
          <w:tcPr>
            <w:tcW w:w="1418" w:type="dxa"/>
            <w:tcBorders>
              <w:top w:val="single" w:sz="4" w:space="0" w:color="A6A6A6"/>
              <w:bottom w:val="single" w:sz="4" w:space="0" w:color="A6A6A6"/>
            </w:tcBorders>
            <w:hideMark/>
          </w:tcPr>
          <w:p w14:paraId="000B2B65" w14:textId="77777777" w:rsidR="00CE75D4" w:rsidRDefault="00CE75D4" w:rsidP="008340C1">
            <w:pPr>
              <w:pStyle w:val="ARfintablebodyright"/>
              <w:spacing w:before="30" w:after="10"/>
            </w:pPr>
            <w:r w:rsidRPr="00341DA7">
              <w:t>6 Dec 2021</w:t>
            </w:r>
          </w:p>
        </w:tc>
        <w:tc>
          <w:tcPr>
            <w:tcW w:w="1418" w:type="dxa"/>
            <w:tcBorders>
              <w:top w:val="single" w:sz="4" w:space="0" w:color="A6A6A6"/>
              <w:bottom w:val="single" w:sz="4" w:space="0" w:color="A6A6A6"/>
            </w:tcBorders>
          </w:tcPr>
          <w:p w14:paraId="478C819B" w14:textId="77777777" w:rsidR="00CE75D4" w:rsidRDefault="00CE75D4" w:rsidP="008340C1">
            <w:pPr>
              <w:pStyle w:val="ARfintablebodyright"/>
              <w:spacing w:before="30" w:after="10"/>
            </w:pPr>
            <w:r w:rsidRPr="00341DA7">
              <w:t>27 Jun 2022</w:t>
            </w:r>
          </w:p>
        </w:tc>
      </w:tr>
      <w:tr w:rsidR="00CE75D4" w14:paraId="6274DA56" w14:textId="77777777" w:rsidTr="008340C1">
        <w:trPr>
          <w:cantSplit w:val="0"/>
        </w:trPr>
        <w:tc>
          <w:tcPr>
            <w:tcW w:w="3401" w:type="dxa"/>
            <w:vMerge/>
            <w:tcBorders>
              <w:bottom w:val="single" w:sz="4" w:space="0" w:color="A6A6A6"/>
            </w:tcBorders>
          </w:tcPr>
          <w:p w14:paraId="795B021F" w14:textId="77777777" w:rsidR="00CE75D4" w:rsidRDefault="00CE75D4" w:rsidP="008340C1">
            <w:pPr>
              <w:pStyle w:val="ARfintablebody"/>
              <w:spacing w:before="30" w:after="10"/>
            </w:pPr>
          </w:p>
        </w:tc>
        <w:tc>
          <w:tcPr>
            <w:tcW w:w="3402" w:type="dxa"/>
            <w:tcBorders>
              <w:top w:val="single" w:sz="4" w:space="0" w:color="A6A6A6"/>
              <w:bottom w:val="single" w:sz="4" w:space="0" w:color="A6A6A6"/>
            </w:tcBorders>
          </w:tcPr>
          <w:p w14:paraId="336D47A3" w14:textId="77777777" w:rsidR="00CE75D4" w:rsidRDefault="00CE75D4" w:rsidP="008340C1">
            <w:pPr>
              <w:pStyle w:val="ARfintablebody"/>
              <w:spacing w:before="30" w:after="10"/>
            </w:pPr>
            <w:r w:rsidRPr="00341DA7">
              <w:t>The Hon Colin Brooks MP</w:t>
            </w:r>
          </w:p>
        </w:tc>
        <w:tc>
          <w:tcPr>
            <w:tcW w:w="1418" w:type="dxa"/>
            <w:tcBorders>
              <w:top w:val="single" w:sz="4" w:space="0" w:color="A6A6A6"/>
              <w:bottom w:val="single" w:sz="4" w:space="0" w:color="A6A6A6"/>
            </w:tcBorders>
          </w:tcPr>
          <w:p w14:paraId="0262131B" w14:textId="77777777" w:rsidR="00CE75D4" w:rsidRDefault="00CE75D4" w:rsidP="008340C1">
            <w:pPr>
              <w:pStyle w:val="ARfintablebodyright"/>
              <w:spacing w:before="30" w:after="10"/>
            </w:pPr>
            <w:r w:rsidRPr="00341DA7">
              <w:t>27 Jun 2022</w:t>
            </w:r>
          </w:p>
        </w:tc>
        <w:tc>
          <w:tcPr>
            <w:tcW w:w="1418" w:type="dxa"/>
            <w:tcBorders>
              <w:top w:val="single" w:sz="4" w:space="0" w:color="A6A6A6"/>
              <w:bottom w:val="single" w:sz="4" w:space="0" w:color="A6A6A6"/>
            </w:tcBorders>
          </w:tcPr>
          <w:p w14:paraId="0783B2F3" w14:textId="77777777" w:rsidR="00CE75D4" w:rsidRDefault="00CE75D4" w:rsidP="008340C1">
            <w:pPr>
              <w:pStyle w:val="ARfintablebodyright"/>
              <w:spacing w:before="30" w:after="10"/>
            </w:pPr>
            <w:r w:rsidRPr="00341DA7">
              <w:t>30 Jun 2022</w:t>
            </w:r>
          </w:p>
        </w:tc>
      </w:tr>
      <w:tr w:rsidR="00CE75D4" w14:paraId="503B0843" w14:textId="77777777" w:rsidTr="008340C1">
        <w:trPr>
          <w:cantSplit w:val="0"/>
        </w:trPr>
        <w:tc>
          <w:tcPr>
            <w:tcW w:w="3401" w:type="dxa"/>
            <w:tcBorders>
              <w:top w:val="single" w:sz="4" w:space="0" w:color="A6A6A6"/>
              <w:bottom w:val="single" w:sz="4" w:space="0" w:color="auto"/>
            </w:tcBorders>
          </w:tcPr>
          <w:p w14:paraId="37E8FFB5" w14:textId="77777777" w:rsidR="00CE75D4" w:rsidRDefault="00CE75D4" w:rsidP="008340C1">
            <w:pPr>
              <w:pStyle w:val="ARfintablebody"/>
              <w:spacing w:before="30" w:after="10"/>
            </w:pPr>
            <w:r w:rsidRPr="00341DA7">
              <w:t>Secretary, Department of Health</w:t>
            </w:r>
          </w:p>
        </w:tc>
        <w:tc>
          <w:tcPr>
            <w:tcW w:w="3402" w:type="dxa"/>
            <w:tcBorders>
              <w:top w:val="single" w:sz="4" w:space="0" w:color="A6A6A6"/>
              <w:bottom w:val="single" w:sz="4" w:space="0" w:color="auto"/>
            </w:tcBorders>
          </w:tcPr>
          <w:p w14:paraId="00A69195" w14:textId="77777777" w:rsidR="00CE75D4" w:rsidRDefault="00CE75D4" w:rsidP="008340C1">
            <w:pPr>
              <w:pStyle w:val="ARfintablebody"/>
              <w:spacing w:before="30" w:after="10"/>
            </w:pPr>
            <w:r w:rsidRPr="00341DA7">
              <w:t>Euan Wallace</w:t>
            </w:r>
          </w:p>
        </w:tc>
        <w:tc>
          <w:tcPr>
            <w:tcW w:w="1418" w:type="dxa"/>
            <w:tcBorders>
              <w:top w:val="single" w:sz="4" w:space="0" w:color="A6A6A6"/>
              <w:bottom w:val="single" w:sz="4" w:space="0" w:color="auto"/>
            </w:tcBorders>
          </w:tcPr>
          <w:p w14:paraId="112BB7E8" w14:textId="77777777" w:rsidR="00CE75D4" w:rsidRDefault="00CE75D4" w:rsidP="008340C1">
            <w:pPr>
              <w:pStyle w:val="ARfintablebodyright"/>
              <w:spacing w:before="30" w:after="10"/>
            </w:pPr>
            <w:r w:rsidRPr="00341DA7">
              <w:t>1 Jul 2021</w:t>
            </w:r>
          </w:p>
        </w:tc>
        <w:tc>
          <w:tcPr>
            <w:tcW w:w="1418" w:type="dxa"/>
            <w:tcBorders>
              <w:top w:val="single" w:sz="4" w:space="0" w:color="A6A6A6"/>
              <w:bottom w:val="single" w:sz="4" w:space="0" w:color="auto"/>
            </w:tcBorders>
          </w:tcPr>
          <w:p w14:paraId="553AEA4A" w14:textId="77777777" w:rsidR="00CE75D4" w:rsidRDefault="00CE75D4" w:rsidP="008340C1">
            <w:pPr>
              <w:pStyle w:val="ARfintablebodyright"/>
              <w:spacing w:before="30" w:after="10"/>
            </w:pPr>
            <w:r w:rsidRPr="00341DA7">
              <w:t>30 Jun 2022</w:t>
            </w:r>
          </w:p>
        </w:tc>
      </w:tr>
    </w:tbl>
    <w:p w14:paraId="03B8DFBD" w14:textId="77777777" w:rsidR="00CE75D4" w:rsidRDefault="00CE75D4" w:rsidP="008340C1">
      <w:pPr>
        <w:pStyle w:val="ARfinbodyaftertable"/>
      </w:pPr>
      <w:r w:rsidRPr="00C778A4">
        <w:t>The persons who acted in the positions of minister</w:t>
      </w:r>
      <w:r>
        <w:t>s</w:t>
      </w:r>
      <w:r w:rsidRPr="00C778A4">
        <w:t xml:space="preserve"> and of accountable officer</w:t>
      </w:r>
      <w:r>
        <w:t>s</w:t>
      </w:r>
      <w:r w:rsidRPr="00C778A4">
        <w:t xml:space="preserve"> in the department were as follows:</w:t>
      </w:r>
    </w:p>
    <w:tbl>
      <w:tblPr>
        <w:tblStyle w:val="TableGrid"/>
        <w:tblW w:w="9639" w:type="dxa"/>
        <w:tblLayout w:type="fixed"/>
        <w:tblLook w:val="06A0" w:firstRow="1" w:lastRow="0" w:firstColumn="1" w:lastColumn="0" w:noHBand="1" w:noVBand="1"/>
      </w:tblPr>
      <w:tblGrid>
        <w:gridCol w:w="3401"/>
        <w:gridCol w:w="3402"/>
        <w:gridCol w:w="1418"/>
        <w:gridCol w:w="1418"/>
      </w:tblGrid>
      <w:tr w:rsidR="00CE75D4" w14:paraId="4AE8FA2C"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3401" w:type="dxa"/>
            <w:tcBorders>
              <w:bottom w:val="single" w:sz="4" w:space="0" w:color="auto"/>
            </w:tcBorders>
            <w:hideMark/>
          </w:tcPr>
          <w:p w14:paraId="666C10A0" w14:textId="77777777" w:rsidR="00CE75D4" w:rsidRDefault="00CE75D4" w:rsidP="008340C1">
            <w:pPr>
              <w:pStyle w:val="ARfintablecolhead"/>
              <w:spacing w:before="30" w:after="10"/>
              <w:rPr>
                <w:lang w:eastAsia="en-US"/>
              </w:rPr>
            </w:pPr>
            <w:bookmarkStart w:id="640" w:name="_Toc85121555"/>
            <w:r>
              <w:rPr>
                <w:lang w:eastAsia="en-US"/>
              </w:rPr>
              <w:t>Relevant office</w:t>
            </w:r>
          </w:p>
        </w:tc>
        <w:tc>
          <w:tcPr>
            <w:tcW w:w="3402" w:type="dxa"/>
            <w:tcBorders>
              <w:bottom w:val="single" w:sz="4" w:space="0" w:color="auto"/>
            </w:tcBorders>
            <w:hideMark/>
          </w:tcPr>
          <w:p w14:paraId="5AC6C874" w14:textId="77777777" w:rsidR="00CE75D4" w:rsidRDefault="00CE75D4" w:rsidP="008340C1">
            <w:pPr>
              <w:pStyle w:val="ARfintablecolhead"/>
              <w:spacing w:before="30" w:after="10"/>
              <w:rPr>
                <w:lang w:eastAsia="en-US"/>
              </w:rPr>
            </w:pPr>
            <w:r>
              <w:rPr>
                <w:lang w:eastAsia="en-US"/>
              </w:rPr>
              <w:t>Acting minister or accountable officer</w:t>
            </w:r>
          </w:p>
        </w:tc>
        <w:tc>
          <w:tcPr>
            <w:tcW w:w="1418" w:type="dxa"/>
            <w:tcBorders>
              <w:bottom w:val="single" w:sz="4" w:space="0" w:color="auto"/>
            </w:tcBorders>
            <w:hideMark/>
          </w:tcPr>
          <w:p w14:paraId="1704ED6C" w14:textId="77777777" w:rsidR="00CE75D4" w:rsidRDefault="00CE75D4" w:rsidP="008340C1">
            <w:pPr>
              <w:pStyle w:val="ARfintablecolheadright"/>
              <w:spacing w:before="30" w:after="10"/>
            </w:pPr>
            <w:r>
              <w:t>From</w:t>
            </w:r>
          </w:p>
        </w:tc>
        <w:tc>
          <w:tcPr>
            <w:tcW w:w="1418" w:type="dxa"/>
            <w:tcBorders>
              <w:bottom w:val="single" w:sz="4" w:space="0" w:color="auto"/>
            </w:tcBorders>
          </w:tcPr>
          <w:p w14:paraId="33151590" w14:textId="77777777" w:rsidR="00CE75D4" w:rsidRDefault="00CE75D4" w:rsidP="008340C1">
            <w:pPr>
              <w:pStyle w:val="ARfintablecolheadright"/>
              <w:spacing w:before="30" w:after="10"/>
            </w:pPr>
            <w:r>
              <w:t>To</w:t>
            </w:r>
          </w:p>
        </w:tc>
      </w:tr>
      <w:tr w:rsidR="00CE75D4" w14:paraId="61E8724E" w14:textId="77777777" w:rsidTr="008340C1">
        <w:trPr>
          <w:cantSplit w:val="0"/>
        </w:trPr>
        <w:tc>
          <w:tcPr>
            <w:tcW w:w="3401" w:type="dxa"/>
            <w:vMerge w:val="restart"/>
            <w:tcBorders>
              <w:top w:val="single" w:sz="4" w:space="0" w:color="A6A6A6"/>
            </w:tcBorders>
          </w:tcPr>
          <w:p w14:paraId="66D2410D" w14:textId="77777777" w:rsidR="00CE75D4" w:rsidRDefault="00CE75D4" w:rsidP="008340C1">
            <w:pPr>
              <w:pStyle w:val="ARfintablebody"/>
              <w:spacing w:before="30" w:after="10"/>
            </w:pPr>
            <w:r w:rsidRPr="00626ACC">
              <w:t>Minister for Ambulance Services</w:t>
            </w:r>
          </w:p>
        </w:tc>
        <w:tc>
          <w:tcPr>
            <w:tcW w:w="3402" w:type="dxa"/>
            <w:tcBorders>
              <w:top w:val="single" w:sz="4" w:space="0" w:color="A6A6A6"/>
              <w:bottom w:val="single" w:sz="4" w:space="0" w:color="A6A6A6"/>
            </w:tcBorders>
          </w:tcPr>
          <w:p w14:paraId="2B166C1C" w14:textId="77777777" w:rsidR="00CE75D4" w:rsidRPr="009A23DE" w:rsidRDefault="00CE75D4" w:rsidP="008340C1">
            <w:pPr>
              <w:pStyle w:val="ARfintablebody"/>
              <w:spacing w:before="30" w:after="10"/>
              <w:rPr>
                <w:lang w:val="fr-FR"/>
              </w:rPr>
            </w:pPr>
            <w:r w:rsidRPr="009A23DE">
              <w:rPr>
                <w:lang w:val="fr-FR"/>
              </w:rPr>
              <w:t>The Hon Luke Donnellan MP</w:t>
            </w:r>
          </w:p>
        </w:tc>
        <w:tc>
          <w:tcPr>
            <w:tcW w:w="1418" w:type="dxa"/>
            <w:tcBorders>
              <w:top w:val="single" w:sz="4" w:space="0" w:color="A6A6A6"/>
              <w:bottom w:val="single" w:sz="4" w:space="0" w:color="A6A6A6"/>
            </w:tcBorders>
          </w:tcPr>
          <w:p w14:paraId="163E4697" w14:textId="77777777" w:rsidR="00CE75D4" w:rsidRDefault="00CE75D4" w:rsidP="008340C1">
            <w:pPr>
              <w:pStyle w:val="ARfintablebodyright"/>
              <w:spacing w:before="30" w:after="10"/>
            </w:pPr>
            <w:r w:rsidRPr="00626ACC">
              <w:t>13 Jul 2021</w:t>
            </w:r>
          </w:p>
        </w:tc>
        <w:tc>
          <w:tcPr>
            <w:tcW w:w="1418" w:type="dxa"/>
            <w:tcBorders>
              <w:top w:val="single" w:sz="4" w:space="0" w:color="A6A6A6"/>
              <w:bottom w:val="single" w:sz="4" w:space="0" w:color="A6A6A6"/>
            </w:tcBorders>
          </w:tcPr>
          <w:p w14:paraId="6E26CF37" w14:textId="77777777" w:rsidR="00CE75D4" w:rsidRDefault="00CE75D4" w:rsidP="008340C1">
            <w:pPr>
              <w:pStyle w:val="ARfintablebodyright"/>
              <w:spacing w:before="30" w:after="10"/>
            </w:pPr>
            <w:r w:rsidRPr="00626ACC">
              <w:t>16 Jul 2021</w:t>
            </w:r>
          </w:p>
        </w:tc>
      </w:tr>
      <w:tr w:rsidR="00CE75D4" w14:paraId="4F9B2D1D" w14:textId="77777777" w:rsidTr="008340C1">
        <w:trPr>
          <w:cantSplit w:val="0"/>
        </w:trPr>
        <w:tc>
          <w:tcPr>
            <w:tcW w:w="3401" w:type="dxa"/>
            <w:vMerge/>
          </w:tcPr>
          <w:p w14:paraId="2D7607CF" w14:textId="77777777" w:rsidR="00CE75D4" w:rsidRPr="00341DA7" w:rsidRDefault="00CE75D4" w:rsidP="008340C1">
            <w:pPr>
              <w:pStyle w:val="ARfintablebody"/>
              <w:spacing w:before="30" w:after="10"/>
            </w:pPr>
          </w:p>
        </w:tc>
        <w:tc>
          <w:tcPr>
            <w:tcW w:w="3402" w:type="dxa"/>
            <w:tcBorders>
              <w:top w:val="single" w:sz="4" w:space="0" w:color="A6A6A6"/>
              <w:bottom w:val="single" w:sz="4" w:space="0" w:color="A6A6A6"/>
            </w:tcBorders>
          </w:tcPr>
          <w:p w14:paraId="24165223" w14:textId="77777777" w:rsidR="00CE75D4" w:rsidRPr="00341DA7" w:rsidRDefault="00CE75D4" w:rsidP="008340C1">
            <w:pPr>
              <w:pStyle w:val="ARfintablebody"/>
              <w:spacing w:before="30" w:after="10"/>
            </w:pPr>
            <w:r w:rsidRPr="00626ACC">
              <w:t>The Hon James Merlino MP</w:t>
            </w:r>
          </w:p>
        </w:tc>
        <w:tc>
          <w:tcPr>
            <w:tcW w:w="1418" w:type="dxa"/>
            <w:tcBorders>
              <w:top w:val="single" w:sz="4" w:space="0" w:color="A6A6A6"/>
              <w:bottom w:val="single" w:sz="4" w:space="0" w:color="A6A6A6"/>
            </w:tcBorders>
          </w:tcPr>
          <w:p w14:paraId="0759DC90" w14:textId="77777777" w:rsidR="00CE75D4" w:rsidRPr="00341DA7" w:rsidRDefault="00CE75D4" w:rsidP="008340C1">
            <w:pPr>
              <w:pStyle w:val="ARfintablebodyright"/>
              <w:spacing w:before="30" w:after="10"/>
            </w:pPr>
            <w:r w:rsidRPr="00626ACC">
              <w:t>11 Jan 2022</w:t>
            </w:r>
          </w:p>
        </w:tc>
        <w:tc>
          <w:tcPr>
            <w:tcW w:w="1418" w:type="dxa"/>
            <w:tcBorders>
              <w:top w:val="single" w:sz="4" w:space="0" w:color="A6A6A6"/>
              <w:bottom w:val="single" w:sz="4" w:space="0" w:color="A6A6A6"/>
            </w:tcBorders>
          </w:tcPr>
          <w:p w14:paraId="1D6F3D9B" w14:textId="77777777" w:rsidR="00CE75D4" w:rsidRPr="00341DA7" w:rsidRDefault="00CE75D4" w:rsidP="008340C1">
            <w:pPr>
              <w:pStyle w:val="ARfintablebodyright"/>
              <w:spacing w:before="30" w:after="10"/>
            </w:pPr>
            <w:r w:rsidRPr="00626ACC">
              <w:t>23 Jan 2022</w:t>
            </w:r>
          </w:p>
        </w:tc>
      </w:tr>
      <w:tr w:rsidR="00CE75D4" w14:paraId="41538B35" w14:textId="77777777" w:rsidTr="008340C1">
        <w:trPr>
          <w:cantSplit w:val="0"/>
        </w:trPr>
        <w:tc>
          <w:tcPr>
            <w:tcW w:w="3401" w:type="dxa"/>
            <w:vMerge/>
            <w:tcBorders>
              <w:bottom w:val="single" w:sz="4" w:space="0" w:color="A6A6A6"/>
            </w:tcBorders>
          </w:tcPr>
          <w:p w14:paraId="0F1E8828" w14:textId="77777777" w:rsidR="00CE75D4" w:rsidRPr="00341DA7" w:rsidRDefault="00CE75D4" w:rsidP="008340C1">
            <w:pPr>
              <w:pStyle w:val="ARfintablebody"/>
              <w:spacing w:before="30" w:after="10"/>
            </w:pPr>
          </w:p>
        </w:tc>
        <w:tc>
          <w:tcPr>
            <w:tcW w:w="3402" w:type="dxa"/>
            <w:tcBorders>
              <w:top w:val="single" w:sz="4" w:space="0" w:color="A6A6A6"/>
              <w:bottom w:val="single" w:sz="4" w:space="0" w:color="A6A6A6"/>
            </w:tcBorders>
          </w:tcPr>
          <w:p w14:paraId="215A191C" w14:textId="77777777" w:rsidR="00CE75D4" w:rsidRPr="00341DA7" w:rsidRDefault="00CE75D4" w:rsidP="008340C1">
            <w:pPr>
              <w:pStyle w:val="ARfintablebody"/>
              <w:spacing w:before="30" w:after="10"/>
            </w:pPr>
            <w:r w:rsidRPr="00626ACC">
              <w:t>The Hon James Merlino MP</w:t>
            </w:r>
          </w:p>
        </w:tc>
        <w:tc>
          <w:tcPr>
            <w:tcW w:w="1418" w:type="dxa"/>
            <w:tcBorders>
              <w:top w:val="single" w:sz="4" w:space="0" w:color="A6A6A6"/>
              <w:bottom w:val="single" w:sz="4" w:space="0" w:color="A6A6A6"/>
            </w:tcBorders>
          </w:tcPr>
          <w:p w14:paraId="188211F4" w14:textId="77777777" w:rsidR="00CE75D4" w:rsidRPr="00341DA7" w:rsidRDefault="00CE75D4" w:rsidP="008340C1">
            <w:pPr>
              <w:pStyle w:val="ARfintablebodyright"/>
              <w:spacing w:before="30" w:after="10"/>
            </w:pPr>
            <w:r w:rsidRPr="00626ACC">
              <w:t>26 Apr 2022</w:t>
            </w:r>
          </w:p>
        </w:tc>
        <w:tc>
          <w:tcPr>
            <w:tcW w:w="1418" w:type="dxa"/>
            <w:tcBorders>
              <w:top w:val="single" w:sz="4" w:space="0" w:color="A6A6A6"/>
              <w:bottom w:val="single" w:sz="4" w:space="0" w:color="A6A6A6"/>
            </w:tcBorders>
          </w:tcPr>
          <w:p w14:paraId="50F77BC1" w14:textId="77777777" w:rsidR="00CE75D4" w:rsidRPr="00341DA7" w:rsidRDefault="00CE75D4" w:rsidP="008340C1">
            <w:pPr>
              <w:pStyle w:val="ARfintablebodyright"/>
              <w:spacing w:before="30" w:after="10"/>
            </w:pPr>
            <w:r w:rsidRPr="00626ACC">
              <w:t>1 May 2022</w:t>
            </w:r>
          </w:p>
        </w:tc>
      </w:tr>
      <w:tr w:rsidR="00CE75D4" w14:paraId="11FE0A1C" w14:textId="77777777" w:rsidTr="008340C1">
        <w:trPr>
          <w:cantSplit w:val="0"/>
        </w:trPr>
        <w:tc>
          <w:tcPr>
            <w:tcW w:w="3401" w:type="dxa"/>
            <w:vMerge w:val="restart"/>
            <w:tcBorders>
              <w:top w:val="single" w:sz="4" w:space="0" w:color="A6A6A6"/>
            </w:tcBorders>
          </w:tcPr>
          <w:p w14:paraId="3D103FE7" w14:textId="77777777" w:rsidR="00CE75D4" w:rsidRPr="00341DA7" w:rsidRDefault="00CE75D4" w:rsidP="008340C1">
            <w:pPr>
              <w:pStyle w:val="ARfintablebody"/>
              <w:spacing w:before="30" w:after="10"/>
            </w:pPr>
            <w:r w:rsidRPr="00626ACC">
              <w:t>Minister for Health</w:t>
            </w:r>
          </w:p>
        </w:tc>
        <w:tc>
          <w:tcPr>
            <w:tcW w:w="3402" w:type="dxa"/>
            <w:tcBorders>
              <w:top w:val="single" w:sz="4" w:space="0" w:color="A6A6A6"/>
              <w:bottom w:val="single" w:sz="4" w:space="0" w:color="A6A6A6"/>
            </w:tcBorders>
          </w:tcPr>
          <w:p w14:paraId="33705DFB" w14:textId="77777777" w:rsidR="00CE75D4" w:rsidRPr="009A23DE" w:rsidRDefault="00CE75D4" w:rsidP="008340C1">
            <w:pPr>
              <w:pStyle w:val="ARfintablebody"/>
              <w:spacing w:before="30" w:after="10"/>
              <w:rPr>
                <w:lang w:val="fr-FR"/>
              </w:rPr>
            </w:pPr>
            <w:r w:rsidRPr="009A23DE">
              <w:rPr>
                <w:lang w:val="fr-FR"/>
              </w:rPr>
              <w:t>The Hon Luke Donnellan MP</w:t>
            </w:r>
          </w:p>
        </w:tc>
        <w:tc>
          <w:tcPr>
            <w:tcW w:w="1418" w:type="dxa"/>
            <w:tcBorders>
              <w:top w:val="single" w:sz="4" w:space="0" w:color="A6A6A6"/>
              <w:bottom w:val="single" w:sz="4" w:space="0" w:color="A6A6A6"/>
            </w:tcBorders>
          </w:tcPr>
          <w:p w14:paraId="78D23096" w14:textId="77777777" w:rsidR="00CE75D4" w:rsidRPr="00341DA7" w:rsidRDefault="00CE75D4" w:rsidP="008340C1">
            <w:pPr>
              <w:pStyle w:val="ARfintablebodyright"/>
              <w:spacing w:before="30" w:after="10"/>
            </w:pPr>
            <w:r w:rsidRPr="00626ACC">
              <w:t>13 Jul 2021</w:t>
            </w:r>
          </w:p>
        </w:tc>
        <w:tc>
          <w:tcPr>
            <w:tcW w:w="1418" w:type="dxa"/>
            <w:tcBorders>
              <w:top w:val="single" w:sz="4" w:space="0" w:color="A6A6A6"/>
              <w:bottom w:val="single" w:sz="4" w:space="0" w:color="A6A6A6"/>
            </w:tcBorders>
          </w:tcPr>
          <w:p w14:paraId="329ED27E" w14:textId="77777777" w:rsidR="00CE75D4" w:rsidRPr="00341DA7" w:rsidRDefault="00CE75D4" w:rsidP="008340C1">
            <w:pPr>
              <w:pStyle w:val="ARfintablebodyright"/>
              <w:spacing w:before="30" w:after="10"/>
            </w:pPr>
            <w:r w:rsidRPr="00626ACC">
              <w:t>16 Jul 2021</w:t>
            </w:r>
          </w:p>
        </w:tc>
      </w:tr>
      <w:tr w:rsidR="00CE75D4" w14:paraId="375421BD" w14:textId="77777777" w:rsidTr="008340C1">
        <w:trPr>
          <w:cantSplit w:val="0"/>
        </w:trPr>
        <w:tc>
          <w:tcPr>
            <w:tcW w:w="3401" w:type="dxa"/>
            <w:vMerge/>
          </w:tcPr>
          <w:p w14:paraId="59D6A1F2" w14:textId="77777777" w:rsidR="00CE75D4" w:rsidRPr="00341DA7" w:rsidRDefault="00CE75D4" w:rsidP="008340C1">
            <w:pPr>
              <w:pStyle w:val="ARfintablebody"/>
              <w:spacing w:before="30" w:after="10"/>
            </w:pPr>
          </w:p>
        </w:tc>
        <w:tc>
          <w:tcPr>
            <w:tcW w:w="3402" w:type="dxa"/>
            <w:tcBorders>
              <w:top w:val="single" w:sz="4" w:space="0" w:color="A6A6A6"/>
              <w:bottom w:val="single" w:sz="4" w:space="0" w:color="A6A6A6"/>
            </w:tcBorders>
          </w:tcPr>
          <w:p w14:paraId="1A0FAF96" w14:textId="77777777" w:rsidR="00CE75D4" w:rsidRPr="00341DA7" w:rsidRDefault="00CE75D4" w:rsidP="008340C1">
            <w:pPr>
              <w:pStyle w:val="ARfintablebody"/>
              <w:spacing w:before="30" w:after="10"/>
            </w:pPr>
            <w:r w:rsidRPr="00626ACC">
              <w:t>The Hon James Merlino MP</w:t>
            </w:r>
          </w:p>
        </w:tc>
        <w:tc>
          <w:tcPr>
            <w:tcW w:w="1418" w:type="dxa"/>
            <w:tcBorders>
              <w:top w:val="single" w:sz="4" w:space="0" w:color="A6A6A6"/>
              <w:bottom w:val="single" w:sz="4" w:space="0" w:color="A6A6A6"/>
            </w:tcBorders>
          </w:tcPr>
          <w:p w14:paraId="66CFCBD5" w14:textId="77777777" w:rsidR="00CE75D4" w:rsidRPr="00341DA7" w:rsidRDefault="00CE75D4" w:rsidP="008340C1">
            <w:pPr>
              <w:pStyle w:val="ARfintablebodyright"/>
              <w:spacing w:before="30" w:after="10"/>
            </w:pPr>
            <w:r w:rsidRPr="00626ACC">
              <w:t>11 Jan 2022</w:t>
            </w:r>
          </w:p>
        </w:tc>
        <w:tc>
          <w:tcPr>
            <w:tcW w:w="1418" w:type="dxa"/>
            <w:tcBorders>
              <w:top w:val="single" w:sz="4" w:space="0" w:color="A6A6A6"/>
              <w:bottom w:val="single" w:sz="4" w:space="0" w:color="A6A6A6"/>
            </w:tcBorders>
          </w:tcPr>
          <w:p w14:paraId="4CCB8903" w14:textId="77777777" w:rsidR="00CE75D4" w:rsidRPr="00341DA7" w:rsidRDefault="00CE75D4" w:rsidP="008340C1">
            <w:pPr>
              <w:pStyle w:val="ARfintablebodyright"/>
              <w:spacing w:before="30" w:after="10"/>
            </w:pPr>
            <w:r w:rsidRPr="00626ACC">
              <w:t>23 Jan 2022</w:t>
            </w:r>
          </w:p>
        </w:tc>
      </w:tr>
      <w:tr w:rsidR="00CE75D4" w14:paraId="1D687B9A" w14:textId="77777777" w:rsidTr="008340C1">
        <w:trPr>
          <w:cantSplit w:val="0"/>
        </w:trPr>
        <w:tc>
          <w:tcPr>
            <w:tcW w:w="3401" w:type="dxa"/>
            <w:vMerge/>
            <w:tcBorders>
              <w:bottom w:val="single" w:sz="4" w:space="0" w:color="A6A6A6"/>
            </w:tcBorders>
          </w:tcPr>
          <w:p w14:paraId="319F2DD9" w14:textId="77777777" w:rsidR="00CE75D4" w:rsidRPr="00341DA7" w:rsidRDefault="00CE75D4" w:rsidP="008340C1">
            <w:pPr>
              <w:pStyle w:val="ARfintablebody"/>
              <w:spacing w:before="30" w:after="10"/>
            </w:pPr>
          </w:p>
        </w:tc>
        <w:tc>
          <w:tcPr>
            <w:tcW w:w="3402" w:type="dxa"/>
            <w:tcBorders>
              <w:top w:val="single" w:sz="4" w:space="0" w:color="A6A6A6"/>
              <w:bottom w:val="single" w:sz="4" w:space="0" w:color="A6A6A6"/>
            </w:tcBorders>
          </w:tcPr>
          <w:p w14:paraId="42AE9DAC" w14:textId="77777777" w:rsidR="00CE75D4" w:rsidRPr="00341DA7" w:rsidRDefault="00CE75D4" w:rsidP="008340C1">
            <w:pPr>
              <w:pStyle w:val="ARfintablebody"/>
              <w:spacing w:before="30" w:after="10"/>
            </w:pPr>
            <w:r w:rsidRPr="00626ACC">
              <w:t>The Hon James Merlino MP</w:t>
            </w:r>
          </w:p>
        </w:tc>
        <w:tc>
          <w:tcPr>
            <w:tcW w:w="1418" w:type="dxa"/>
            <w:tcBorders>
              <w:top w:val="single" w:sz="4" w:space="0" w:color="A6A6A6"/>
              <w:bottom w:val="single" w:sz="4" w:space="0" w:color="A6A6A6"/>
            </w:tcBorders>
          </w:tcPr>
          <w:p w14:paraId="3FE3A008" w14:textId="77777777" w:rsidR="00CE75D4" w:rsidRPr="00341DA7" w:rsidRDefault="00CE75D4" w:rsidP="008340C1">
            <w:pPr>
              <w:pStyle w:val="ARfintablebodyright"/>
              <w:spacing w:before="30" w:after="10"/>
            </w:pPr>
            <w:r w:rsidRPr="00626ACC">
              <w:t>26 Apr 2022</w:t>
            </w:r>
          </w:p>
        </w:tc>
        <w:tc>
          <w:tcPr>
            <w:tcW w:w="1418" w:type="dxa"/>
            <w:tcBorders>
              <w:top w:val="single" w:sz="4" w:space="0" w:color="A6A6A6"/>
              <w:bottom w:val="single" w:sz="4" w:space="0" w:color="A6A6A6"/>
            </w:tcBorders>
          </w:tcPr>
          <w:p w14:paraId="1A7F36DD" w14:textId="77777777" w:rsidR="00CE75D4" w:rsidRPr="00341DA7" w:rsidRDefault="00CE75D4" w:rsidP="008340C1">
            <w:pPr>
              <w:pStyle w:val="ARfintablebodyright"/>
              <w:spacing w:before="30" w:after="10"/>
            </w:pPr>
            <w:r w:rsidRPr="00626ACC">
              <w:t>1 May 2022</w:t>
            </w:r>
          </w:p>
        </w:tc>
      </w:tr>
      <w:tr w:rsidR="00CE75D4" w14:paraId="71C5EBBF" w14:textId="77777777" w:rsidTr="008340C1">
        <w:trPr>
          <w:cantSplit w:val="0"/>
        </w:trPr>
        <w:tc>
          <w:tcPr>
            <w:tcW w:w="3401" w:type="dxa"/>
            <w:vMerge w:val="restart"/>
            <w:tcBorders>
              <w:top w:val="single" w:sz="4" w:space="0" w:color="A6A6A6"/>
            </w:tcBorders>
          </w:tcPr>
          <w:p w14:paraId="4C5A8914" w14:textId="77777777" w:rsidR="00CE75D4" w:rsidRPr="00341DA7" w:rsidRDefault="00CE75D4" w:rsidP="008340C1">
            <w:pPr>
              <w:pStyle w:val="ARfintablebody"/>
              <w:spacing w:before="30" w:after="10"/>
            </w:pPr>
            <w:r w:rsidRPr="00626ACC">
              <w:t>Minister for Mental Health</w:t>
            </w:r>
          </w:p>
        </w:tc>
        <w:tc>
          <w:tcPr>
            <w:tcW w:w="3402" w:type="dxa"/>
            <w:tcBorders>
              <w:top w:val="single" w:sz="4" w:space="0" w:color="A6A6A6"/>
              <w:bottom w:val="single" w:sz="4" w:space="0" w:color="A6A6A6"/>
            </w:tcBorders>
          </w:tcPr>
          <w:p w14:paraId="48499EB4" w14:textId="77777777" w:rsidR="00CE75D4" w:rsidRPr="00341DA7" w:rsidRDefault="00CE75D4" w:rsidP="008340C1">
            <w:pPr>
              <w:pStyle w:val="ARfintablebody"/>
              <w:spacing w:before="30" w:after="10"/>
            </w:pPr>
            <w:r w:rsidRPr="00626ACC">
              <w:t>The Hon Martin Foley MP</w:t>
            </w:r>
          </w:p>
        </w:tc>
        <w:tc>
          <w:tcPr>
            <w:tcW w:w="1418" w:type="dxa"/>
            <w:tcBorders>
              <w:top w:val="single" w:sz="4" w:space="0" w:color="A6A6A6"/>
              <w:bottom w:val="single" w:sz="4" w:space="0" w:color="A6A6A6"/>
            </w:tcBorders>
          </w:tcPr>
          <w:p w14:paraId="4B5A4272" w14:textId="77777777" w:rsidR="00CE75D4" w:rsidRPr="00341DA7" w:rsidRDefault="00CE75D4" w:rsidP="008340C1">
            <w:pPr>
              <w:pStyle w:val="ARfintablebodyright"/>
              <w:spacing w:before="30" w:after="10"/>
            </w:pPr>
            <w:r w:rsidRPr="00626ACC">
              <w:t>3 Jul 2021</w:t>
            </w:r>
          </w:p>
        </w:tc>
        <w:tc>
          <w:tcPr>
            <w:tcW w:w="1418" w:type="dxa"/>
            <w:tcBorders>
              <w:top w:val="single" w:sz="4" w:space="0" w:color="A6A6A6"/>
              <w:bottom w:val="single" w:sz="4" w:space="0" w:color="A6A6A6"/>
            </w:tcBorders>
          </w:tcPr>
          <w:p w14:paraId="60B3EE32" w14:textId="77777777" w:rsidR="00CE75D4" w:rsidRPr="00341DA7" w:rsidRDefault="00CE75D4" w:rsidP="008340C1">
            <w:pPr>
              <w:pStyle w:val="ARfintablebodyright"/>
              <w:spacing w:before="30" w:after="10"/>
            </w:pPr>
            <w:r w:rsidRPr="00626ACC">
              <w:t>11 Jul 2021</w:t>
            </w:r>
          </w:p>
        </w:tc>
      </w:tr>
      <w:tr w:rsidR="00CE75D4" w14:paraId="045479FE" w14:textId="77777777" w:rsidTr="008340C1">
        <w:trPr>
          <w:cantSplit w:val="0"/>
        </w:trPr>
        <w:tc>
          <w:tcPr>
            <w:tcW w:w="3401" w:type="dxa"/>
            <w:vMerge/>
          </w:tcPr>
          <w:p w14:paraId="50F1FAB1" w14:textId="77777777" w:rsidR="00CE75D4" w:rsidRPr="00341DA7" w:rsidRDefault="00CE75D4" w:rsidP="008340C1">
            <w:pPr>
              <w:pStyle w:val="ARfintablebody"/>
              <w:spacing w:before="30" w:after="10"/>
            </w:pPr>
          </w:p>
        </w:tc>
        <w:tc>
          <w:tcPr>
            <w:tcW w:w="3402" w:type="dxa"/>
            <w:tcBorders>
              <w:top w:val="single" w:sz="4" w:space="0" w:color="A6A6A6"/>
              <w:bottom w:val="single" w:sz="4" w:space="0" w:color="A6A6A6"/>
            </w:tcBorders>
          </w:tcPr>
          <w:p w14:paraId="6E2B3F53" w14:textId="77777777" w:rsidR="00CE75D4" w:rsidRPr="00341DA7" w:rsidRDefault="00CE75D4" w:rsidP="008340C1">
            <w:pPr>
              <w:pStyle w:val="ARfintablebody"/>
              <w:spacing w:before="30" w:after="10"/>
            </w:pPr>
            <w:r w:rsidRPr="00626ACC">
              <w:t>The Hon Martin Foley MP</w:t>
            </w:r>
          </w:p>
        </w:tc>
        <w:tc>
          <w:tcPr>
            <w:tcW w:w="1418" w:type="dxa"/>
            <w:tcBorders>
              <w:top w:val="single" w:sz="4" w:space="0" w:color="A6A6A6"/>
              <w:bottom w:val="single" w:sz="4" w:space="0" w:color="A6A6A6"/>
            </w:tcBorders>
          </w:tcPr>
          <w:p w14:paraId="0C2949FE" w14:textId="77777777" w:rsidR="00CE75D4" w:rsidRPr="00341DA7" w:rsidRDefault="00CE75D4" w:rsidP="008340C1">
            <w:pPr>
              <w:pStyle w:val="ARfintablebodyright"/>
              <w:spacing w:before="30" w:after="10"/>
            </w:pPr>
            <w:r w:rsidRPr="00626ACC">
              <w:t>26 Dec 2021</w:t>
            </w:r>
          </w:p>
        </w:tc>
        <w:tc>
          <w:tcPr>
            <w:tcW w:w="1418" w:type="dxa"/>
            <w:tcBorders>
              <w:top w:val="single" w:sz="4" w:space="0" w:color="A6A6A6"/>
              <w:bottom w:val="single" w:sz="4" w:space="0" w:color="A6A6A6"/>
            </w:tcBorders>
          </w:tcPr>
          <w:p w14:paraId="27084BE6" w14:textId="77777777" w:rsidR="00CE75D4" w:rsidRPr="00341DA7" w:rsidRDefault="00CE75D4" w:rsidP="008340C1">
            <w:pPr>
              <w:pStyle w:val="ARfintablebodyright"/>
              <w:spacing w:before="30" w:after="10"/>
            </w:pPr>
            <w:r w:rsidRPr="00626ACC">
              <w:t>10 Jan 2022</w:t>
            </w:r>
          </w:p>
        </w:tc>
      </w:tr>
      <w:tr w:rsidR="00CE75D4" w14:paraId="33E5A97C" w14:textId="77777777" w:rsidTr="008340C1">
        <w:trPr>
          <w:cantSplit w:val="0"/>
        </w:trPr>
        <w:tc>
          <w:tcPr>
            <w:tcW w:w="3401" w:type="dxa"/>
            <w:vMerge/>
            <w:tcBorders>
              <w:bottom w:val="single" w:sz="4" w:space="0" w:color="A6A6A6"/>
            </w:tcBorders>
          </w:tcPr>
          <w:p w14:paraId="37D8CB08" w14:textId="77777777" w:rsidR="00CE75D4" w:rsidRPr="00341DA7" w:rsidRDefault="00CE75D4" w:rsidP="008340C1">
            <w:pPr>
              <w:pStyle w:val="ARfintablebody"/>
              <w:spacing w:before="30" w:after="10"/>
            </w:pPr>
          </w:p>
        </w:tc>
        <w:tc>
          <w:tcPr>
            <w:tcW w:w="3402" w:type="dxa"/>
            <w:tcBorders>
              <w:top w:val="single" w:sz="4" w:space="0" w:color="A6A6A6"/>
              <w:bottom w:val="single" w:sz="4" w:space="0" w:color="A6A6A6"/>
            </w:tcBorders>
          </w:tcPr>
          <w:p w14:paraId="12F1CFDF" w14:textId="77777777" w:rsidR="00CE75D4" w:rsidRPr="00341DA7" w:rsidRDefault="00CE75D4" w:rsidP="008340C1">
            <w:pPr>
              <w:pStyle w:val="ARfintablebody"/>
              <w:spacing w:before="30" w:after="10"/>
            </w:pPr>
            <w:r w:rsidRPr="00626ACC">
              <w:t>The Hon Martin Foley MP</w:t>
            </w:r>
          </w:p>
        </w:tc>
        <w:tc>
          <w:tcPr>
            <w:tcW w:w="1418" w:type="dxa"/>
            <w:tcBorders>
              <w:top w:val="single" w:sz="4" w:space="0" w:color="A6A6A6"/>
              <w:bottom w:val="single" w:sz="4" w:space="0" w:color="A6A6A6"/>
            </w:tcBorders>
          </w:tcPr>
          <w:p w14:paraId="61C048F2" w14:textId="77777777" w:rsidR="00CE75D4" w:rsidRPr="00341DA7" w:rsidRDefault="00CE75D4" w:rsidP="008340C1">
            <w:pPr>
              <w:pStyle w:val="ARfintablebodyright"/>
              <w:spacing w:before="30" w:after="10"/>
            </w:pPr>
            <w:r w:rsidRPr="00626ACC">
              <w:t>14 Apr 2022</w:t>
            </w:r>
          </w:p>
        </w:tc>
        <w:tc>
          <w:tcPr>
            <w:tcW w:w="1418" w:type="dxa"/>
            <w:tcBorders>
              <w:top w:val="single" w:sz="4" w:space="0" w:color="A6A6A6"/>
              <w:bottom w:val="single" w:sz="4" w:space="0" w:color="A6A6A6"/>
            </w:tcBorders>
          </w:tcPr>
          <w:p w14:paraId="28BB48D4" w14:textId="77777777" w:rsidR="00CE75D4" w:rsidRPr="00341DA7" w:rsidRDefault="00CE75D4" w:rsidP="008340C1">
            <w:pPr>
              <w:pStyle w:val="ARfintablebodyright"/>
              <w:spacing w:before="30" w:after="10"/>
            </w:pPr>
            <w:r w:rsidRPr="00626ACC">
              <w:t>24 Apr 2022</w:t>
            </w:r>
          </w:p>
        </w:tc>
      </w:tr>
      <w:tr w:rsidR="00CE75D4" w14:paraId="0E6179E5" w14:textId="77777777" w:rsidTr="008340C1">
        <w:trPr>
          <w:cantSplit w:val="0"/>
        </w:trPr>
        <w:tc>
          <w:tcPr>
            <w:tcW w:w="3401" w:type="dxa"/>
            <w:vMerge w:val="restart"/>
            <w:tcBorders>
              <w:top w:val="single" w:sz="4" w:space="0" w:color="A6A6A6"/>
            </w:tcBorders>
          </w:tcPr>
          <w:p w14:paraId="0CA3C3EE" w14:textId="77777777" w:rsidR="00CE75D4" w:rsidRPr="00341DA7" w:rsidRDefault="00CE75D4" w:rsidP="008340C1">
            <w:pPr>
              <w:pStyle w:val="ARfintablebody"/>
              <w:spacing w:before="30" w:after="10"/>
            </w:pPr>
            <w:r w:rsidRPr="00626ACC">
              <w:t>Minister for Disability, Ageing and</w:t>
            </w:r>
            <w:r>
              <w:t> </w:t>
            </w:r>
            <w:r w:rsidRPr="00626ACC">
              <w:t>Carers</w:t>
            </w:r>
          </w:p>
        </w:tc>
        <w:tc>
          <w:tcPr>
            <w:tcW w:w="3402" w:type="dxa"/>
            <w:tcBorders>
              <w:top w:val="single" w:sz="4" w:space="0" w:color="A6A6A6"/>
              <w:bottom w:val="single" w:sz="4" w:space="0" w:color="A6A6A6"/>
            </w:tcBorders>
          </w:tcPr>
          <w:p w14:paraId="01A038B0" w14:textId="77777777" w:rsidR="00CE75D4" w:rsidRPr="00341DA7" w:rsidRDefault="00CE75D4" w:rsidP="008340C1">
            <w:pPr>
              <w:pStyle w:val="ARfintablebody"/>
              <w:spacing w:before="30" w:after="10"/>
            </w:pPr>
            <w:r w:rsidRPr="00626ACC">
              <w:t>The Hon Gabrielle Williams MP</w:t>
            </w:r>
          </w:p>
        </w:tc>
        <w:tc>
          <w:tcPr>
            <w:tcW w:w="1418" w:type="dxa"/>
            <w:tcBorders>
              <w:top w:val="single" w:sz="4" w:space="0" w:color="A6A6A6"/>
              <w:bottom w:val="single" w:sz="4" w:space="0" w:color="A6A6A6"/>
            </w:tcBorders>
          </w:tcPr>
          <w:p w14:paraId="7AAB6664" w14:textId="77777777" w:rsidR="00CE75D4" w:rsidRPr="00341DA7" w:rsidRDefault="00CE75D4" w:rsidP="008340C1">
            <w:pPr>
              <w:pStyle w:val="ARfintablebodyright"/>
              <w:spacing w:before="30" w:after="10"/>
            </w:pPr>
            <w:r w:rsidRPr="00626ACC">
              <w:t>1 Jul 2021</w:t>
            </w:r>
          </w:p>
        </w:tc>
        <w:tc>
          <w:tcPr>
            <w:tcW w:w="1418" w:type="dxa"/>
            <w:tcBorders>
              <w:top w:val="single" w:sz="4" w:space="0" w:color="A6A6A6"/>
              <w:bottom w:val="single" w:sz="4" w:space="0" w:color="A6A6A6"/>
            </w:tcBorders>
          </w:tcPr>
          <w:p w14:paraId="1C83FBD9" w14:textId="77777777" w:rsidR="00CE75D4" w:rsidRPr="00341DA7" w:rsidRDefault="00CE75D4" w:rsidP="008340C1">
            <w:pPr>
              <w:pStyle w:val="ARfintablebodyright"/>
              <w:spacing w:before="30" w:after="10"/>
            </w:pPr>
            <w:r w:rsidRPr="00626ACC">
              <w:t>4 Jul 2021</w:t>
            </w:r>
          </w:p>
        </w:tc>
      </w:tr>
      <w:tr w:rsidR="00CE75D4" w14:paraId="1F296DF1" w14:textId="77777777" w:rsidTr="008340C1">
        <w:trPr>
          <w:cantSplit w:val="0"/>
        </w:trPr>
        <w:tc>
          <w:tcPr>
            <w:tcW w:w="3401" w:type="dxa"/>
            <w:vMerge/>
            <w:tcBorders>
              <w:bottom w:val="single" w:sz="4" w:space="0" w:color="A6A6A6"/>
            </w:tcBorders>
          </w:tcPr>
          <w:p w14:paraId="4C8DF34C" w14:textId="77777777" w:rsidR="00CE75D4" w:rsidRPr="00341DA7" w:rsidRDefault="00CE75D4" w:rsidP="008340C1">
            <w:pPr>
              <w:pStyle w:val="ARfintablebody"/>
              <w:spacing w:before="30" w:after="10"/>
            </w:pPr>
          </w:p>
        </w:tc>
        <w:tc>
          <w:tcPr>
            <w:tcW w:w="3402" w:type="dxa"/>
            <w:tcBorders>
              <w:top w:val="single" w:sz="4" w:space="0" w:color="A6A6A6"/>
              <w:bottom w:val="single" w:sz="4" w:space="0" w:color="A6A6A6"/>
            </w:tcBorders>
          </w:tcPr>
          <w:p w14:paraId="7CBB91C8" w14:textId="77777777" w:rsidR="00CE75D4" w:rsidRPr="00341DA7" w:rsidRDefault="00CE75D4" w:rsidP="008340C1">
            <w:pPr>
              <w:pStyle w:val="ARfintablebody"/>
              <w:spacing w:before="30" w:after="10"/>
            </w:pPr>
            <w:r w:rsidRPr="00626ACC">
              <w:t>The Hon Martin Foley MP</w:t>
            </w:r>
          </w:p>
        </w:tc>
        <w:tc>
          <w:tcPr>
            <w:tcW w:w="1418" w:type="dxa"/>
            <w:tcBorders>
              <w:top w:val="single" w:sz="4" w:space="0" w:color="A6A6A6"/>
              <w:bottom w:val="single" w:sz="4" w:space="0" w:color="A6A6A6"/>
            </w:tcBorders>
          </w:tcPr>
          <w:p w14:paraId="42D4AA6E" w14:textId="77777777" w:rsidR="00CE75D4" w:rsidRPr="00341DA7" w:rsidRDefault="00CE75D4" w:rsidP="008340C1">
            <w:pPr>
              <w:pStyle w:val="ARfintablebodyright"/>
              <w:spacing w:before="30" w:after="10"/>
            </w:pPr>
            <w:r w:rsidRPr="00626ACC">
              <w:t>23 Sep 2021</w:t>
            </w:r>
          </w:p>
        </w:tc>
        <w:tc>
          <w:tcPr>
            <w:tcW w:w="1418" w:type="dxa"/>
            <w:tcBorders>
              <w:top w:val="single" w:sz="4" w:space="0" w:color="A6A6A6"/>
              <w:bottom w:val="single" w:sz="4" w:space="0" w:color="A6A6A6"/>
            </w:tcBorders>
          </w:tcPr>
          <w:p w14:paraId="739B12B4" w14:textId="77777777" w:rsidR="00CE75D4" w:rsidRPr="00341DA7" w:rsidRDefault="00CE75D4" w:rsidP="008340C1">
            <w:pPr>
              <w:pStyle w:val="ARfintablebodyright"/>
              <w:spacing w:before="30" w:after="10"/>
            </w:pPr>
            <w:r w:rsidRPr="00626ACC">
              <w:t>26 Sep 2021</w:t>
            </w:r>
          </w:p>
        </w:tc>
      </w:tr>
      <w:tr w:rsidR="00CE75D4" w14:paraId="014CE0C4" w14:textId="77777777" w:rsidTr="008340C1">
        <w:trPr>
          <w:cantSplit w:val="0"/>
        </w:trPr>
        <w:tc>
          <w:tcPr>
            <w:tcW w:w="3401" w:type="dxa"/>
            <w:vMerge w:val="restart"/>
            <w:tcBorders>
              <w:top w:val="single" w:sz="4" w:space="0" w:color="A6A6A6"/>
            </w:tcBorders>
          </w:tcPr>
          <w:p w14:paraId="136B7545" w14:textId="77777777" w:rsidR="00CE75D4" w:rsidRPr="00341DA7" w:rsidRDefault="00CE75D4" w:rsidP="008340C1">
            <w:pPr>
              <w:pStyle w:val="ARfintablebody"/>
              <w:spacing w:before="30" w:after="10"/>
            </w:pPr>
            <w:r w:rsidRPr="00626ACC">
              <w:t>Secretary, Department of Health</w:t>
            </w:r>
          </w:p>
        </w:tc>
        <w:tc>
          <w:tcPr>
            <w:tcW w:w="3402" w:type="dxa"/>
            <w:tcBorders>
              <w:top w:val="single" w:sz="4" w:space="0" w:color="A6A6A6"/>
              <w:bottom w:val="single" w:sz="4" w:space="0" w:color="A6A6A6"/>
            </w:tcBorders>
          </w:tcPr>
          <w:p w14:paraId="1C7E8CD2" w14:textId="77777777" w:rsidR="00CE75D4" w:rsidRPr="00341DA7" w:rsidRDefault="00CE75D4" w:rsidP="008340C1">
            <w:pPr>
              <w:pStyle w:val="ARfintablebody"/>
              <w:spacing w:before="30" w:after="10"/>
            </w:pPr>
            <w:r w:rsidRPr="00626ACC">
              <w:t>Jacinda de Witts</w:t>
            </w:r>
          </w:p>
        </w:tc>
        <w:tc>
          <w:tcPr>
            <w:tcW w:w="1418" w:type="dxa"/>
            <w:tcBorders>
              <w:top w:val="single" w:sz="4" w:space="0" w:color="A6A6A6"/>
              <w:bottom w:val="single" w:sz="4" w:space="0" w:color="A6A6A6"/>
            </w:tcBorders>
          </w:tcPr>
          <w:p w14:paraId="3DED02F8" w14:textId="77777777" w:rsidR="00CE75D4" w:rsidRPr="00341DA7" w:rsidRDefault="00CE75D4" w:rsidP="008340C1">
            <w:pPr>
              <w:pStyle w:val="ARfintablebodyright"/>
              <w:spacing w:before="30" w:after="10"/>
            </w:pPr>
            <w:r w:rsidRPr="00626ACC">
              <w:t>29 Dec 2021</w:t>
            </w:r>
          </w:p>
        </w:tc>
        <w:tc>
          <w:tcPr>
            <w:tcW w:w="1418" w:type="dxa"/>
            <w:tcBorders>
              <w:top w:val="single" w:sz="4" w:space="0" w:color="A6A6A6"/>
              <w:bottom w:val="single" w:sz="4" w:space="0" w:color="A6A6A6"/>
            </w:tcBorders>
          </w:tcPr>
          <w:p w14:paraId="4897C427" w14:textId="77777777" w:rsidR="00CE75D4" w:rsidRPr="00341DA7" w:rsidRDefault="00CE75D4" w:rsidP="008340C1">
            <w:pPr>
              <w:pStyle w:val="ARfintablebodyright"/>
              <w:spacing w:before="30" w:after="10"/>
            </w:pPr>
            <w:r w:rsidRPr="00626ACC">
              <w:t>9 Jan 2022</w:t>
            </w:r>
          </w:p>
        </w:tc>
      </w:tr>
      <w:tr w:rsidR="00CE75D4" w14:paraId="7DF15AAC" w14:textId="77777777" w:rsidTr="008340C1">
        <w:trPr>
          <w:cantSplit w:val="0"/>
        </w:trPr>
        <w:tc>
          <w:tcPr>
            <w:tcW w:w="3401" w:type="dxa"/>
            <w:vMerge/>
            <w:tcBorders>
              <w:bottom w:val="single" w:sz="4" w:space="0" w:color="auto"/>
            </w:tcBorders>
          </w:tcPr>
          <w:p w14:paraId="7D577573" w14:textId="77777777" w:rsidR="00CE75D4" w:rsidRPr="00341DA7" w:rsidRDefault="00CE75D4" w:rsidP="008340C1">
            <w:pPr>
              <w:pStyle w:val="ARfintablebody"/>
              <w:spacing w:before="30" w:after="10"/>
            </w:pPr>
          </w:p>
        </w:tc>
        <w:tc>
          <w:tcPr>
            <w:tcW w:w="3402" w:type="dxa"/>
            <w:tcBorders>
              <w:top w:val="single" w:sz="4" w:space="0" w:color="A6A6A6"/>
              <w:bottom w:val="single" w:sz="4" w:space="0" w:color="auto"/>
            </w:tcBorders>
          </w:tcPr>
          <w:p w14:paraId="1F41AA1A" w14:textId="77777777" w:rsidR="00CE75D4" w:rsidRPr="00341DA7" w:rsidRDefault="00CE75D4" w:rsidP="008340C1">
            <w:pPr>
              <w:pStyle w:val="ARfintablebody"/>
              <w:spacing w:before="30" w:after="10"/>
            </w:pPr>
            <w:r w:rsidRPr="00626ACC">
              <w:t>Jacinda de Witts</w:t>
            </w:r>
          </w:p>
        </w:tc>
        <w:tc>
          <w:tcPr>
            <w:tcW w:w="1418" w:type="dxa"/>
            <w:tcBorders>
              <w:top w:val="single" w:sz="4" w:space="0" w:color="A6A6A6"/>
              <w:bottom w:val="single" w:sz="4" w:space="0" w:color="auto"/>
            </w:tcBorders>
          </w:tcPr>
          <w:p w14:paraId="352766E9" w14:textId="77777777" w:rsidR="00CE75D4" w:rsidRPr="00341DA7" w:rsidRDefault="00CE75D4" w:rsidP="008340C1">
            <w:pPr>
              <w:pStyle w:val="ARfintablebodyright"/>
              <w:spacing w:before="30" w:after="10"/>
            </w:pPr>
            <w:r w:rsidRPr="00626ACC">
              <w:t>20 Jun 2022</w:t>
            </w:r>
          </w:p>
        </w:tc>
        <w:tc>
          <w:tcPr>
            <w:tcW w:w="1418" w:type="dxa"/>
            <w:tcBorders>
              <w:top w:val="single" w:sz="4" w:space="0" w:color="A6A6A6"/>
              <w:bottom w:val="single" w:sz="4" w:space="0" w:color="auto"/>
            </w:tcBorders>
          </w:tcPr>
          <w:p w14:paraId="43A3CCB7" w14:textId="77777777" w:rsidR="00CE75D4" w:rsidRPr="00341DA7" w:rsidRDefault="00CE75D4" w:rsidP="008340C1">
            <w:pPr>
              <w:pStyle w:val="ARfintablebodyright"/>
              <w:spacing w:before="30" w:after="10"/>
            </w:pPr>
            <w:r w:rsidRPr="00626ACC">
              <w:t>30 Jun 2022</w:t>
            </w:r>
          </w:p>
        </w:tc>
      </w:tr>
    </w:tbl>
    <w:bookmarkEnd w:id="640"/>
    <w:p w14:paraId="2F3082A7" w14:textId="77777777" w:rsidR="00CE75D4" w:rsidRDefault="00CE75D4" w:rsidP="008340C1">
      <w:pPr>
        <w:pStyle w:val="Heading5"/>
        <w:spacing w:before="160" w:after="60"/>
        <w:rPr>
          <w:lang w:eastAsia="en-AU"/>
        </w:rPr>
      </w:pPr>
      <w:r>
        <w:rPr>
          <w:lang w:eastAsia="en-AU"/>
        </w:rPr>
        <w:t>Remuneration</w:t>
      </w:r>
    </w:p>
    <w:p w14:paraId="73111868" w14:textId="77777777" w:rsidR="00CE75D4" w:rsidRDefault="00CE75D4" w:rsidP="008340C1">
      <w:pPr>
        <w:pStyle w:val="ARfinbody"/>
      </w:pPr>
      <w:r>
        <w:t>Remuneration received or receivable by the accountable officers in connection with the management of the department during the reporting period was in the range:</w:t>
      </w:r>
    </w:p>
    <w:tbl>
      <w:tblPr>
        <w:tblStyle w:val="TableGrid"/>
        <w:tblW w:w="9629" w:type="dxa"/>
        <w:tblLayout w:type="fixed"/>
        <w:tblLook w:val="06A0" w:firstRow="1" w:lastRow="0" w:firstColumn="1" w:lastColumn="0" w:noHBand="1" w:noVBand="1"/>
      </w:tblPr>
      <w:tblGrid>
        <w:gridCol w:w="3680"/>
        <w:gridCol w:w="1983"/>
        <w:gridCol w:w="1983"/>
        <w:gridCol w:w="1983"/>
      </w:tblGrid>
      <w:tr w:rsidR="00CE75D4" w:rsidRPr="002029AF" w14:paraId="3BE28A83"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3680" w:type="dxa"/>
            <w:tcBorders>
              <w:bottom w:val="single" w:sz="4" w:space="0" w:color="auto"/>
            </w:tcBorders>
            <w:hideMark/>
          </w:tcPr>
          <w:p w14:paraId="71E24284" w14:textId="77777777" w:rsidR="00CE75D4" w:rsidRPr="002029AF" w:rsidRDefault="00CE75D4" w:rsidP="008340C1">
            <w:pPr>
              <w:pStyle w:val="ARfintablecolhead"/>
              <w:spacing w:before="30" w:after="10"/>
            </w:pPr>
            <w:r w:rsidRPr="002029AF">
              <w:t>Income band</w:t>
            </w:r>
          </w:p>
        </w:tc>
        <w:tc>
          <w:tcPr>
            <w:tcW w:w="1983" w:type="dxa"/>
            <w:tcBorders>
              <w:top w:val="nil"/>
              <w:bottom w:val="single" w:sz="4" w:space="0" w:color="auto"/>
              <w:right w:val="nil"/>
            </w:tcBorders>
            <w:shd w:val="clear" w:color="auto" w:fill="E7E6E6"/>
            <w:hideMark/>
          </w:tcPr>
          <w:p w14:paraId="101EC202" w14:textId="77777777" w:rsidR="00CE75D4" w:rsidRDefault="00CE75D4" w:rsidP="008340C1">
            <w:pPr>
              <w:pStyle w:val="ARfintablecolheadright"/>
              <w:spacing w:before="30" w:after="10"/>
              <w:ind w:left="113"/>
            </w:pPr>
            <w:r w:rsidRPr="005174F8">
              <w:t xml:space="preserve">Department </w:t>
            </w:r>
            <w:r>
              <w:br/>
            </w:r>
            <w:r w:rsidRPr="005174F8">
              <w:t>of Health</w:t>
            </w:r>
          </w:p>
          <w:p w14:paraId="07058A8A" w14:textId="77777777" w:rsidR="00CE75D4" w:rsidRPr="002029AF" w:rsidRDefault="00CE75D4" w:rsidP="008340C1">
            <w:pPr>
              <w:pStyle w:val="ARfintablecolheadright"/>
              <w:spacing w:before="30" w:after="10"/>
              <w:ind w:left="113"/>
            </w:pPr>
            <w:r w:rsidRPr="005174F8">
              <w:t>30 June 202</w:t>
            </w:r>
            <w:r>
              <w:t>2</w:t>
            </w:r>
          </w:p>
        </w:tc>
        <w:tc>
          <w:tcPr>
            <w:tcW w:w="1983" w:type="dxa"/>
            <w:tcBorders>
              <w:top w:val="nil"/>
              <w:left w:val="nil"/>
              <w:bottom w:val="single" w:sz="4" w:space="0" w:color="auto"/>
            </w:tcBorders>
            <w:shd w:val="clear" w:color="auto" w:fill="auto"/>
            <w:hideMark/>
          </w:tcPr>
          <w:p w14:paraId="7AA0925E" w14:textId="77777777" w:rsidR="00CE75D4" w:rsidRDefault="00CE75D4" w:rsidP="008340C1">
            <w:pPr>
              <w:pStyle w:val="ARfintablecolheadright"/>
              <w:spacing w:before="30" w:after="10"/>
              <w:ind w:left="113"/>
            </w:pPr>
            <w:r w:rsidRPr="005174F8">
              <w:t xml:space="preserve">Department of </w:t>
            </w:r>
            <w:r>
              <w:t>Health</w:t>
            </w:r>
            <w:r w:rsidRPr="00841888">
              <w:t xml:space="preserve"> </w:t>
            </w:r>
            <w:r w:rsidRPr="00841888">
              <w:rPr>
                <w:rStyle w:val="Superscript"/>
              </w:rPr>
              <w:t>(i)(ii)</w:t>
            </w:r>
          </w:p>
          <w:p w14:paraId="7D1C0FDD" w14:textId="77777777" w:rsidR="00CE75D4" w:rsidRPr="002029AF" w:rsidRDefault="00CE75D4" w:rsidP="008340C1">
            <w:pPr>
              <w:pStyle w:val="ARfintablecolheadright"/>
              <w:spacing w:before="30" w:after="10"/>
              <w:ind w:left="113"/>
            </w:pPr>
            <w:r>
              <w:t>3</w:t>
            </w:r>
            <w:r w:rsidRPr="005174F8">
              <w:t>0 June 2021</w:t>
            </w:r>
          </w:p>
        </w:tc>
        <w:tc>
          <w:tcPr>
            <w:tcW w:w="1983" w:type="dxa"/>
            <w:tcBorders>
              <w:bottom w:val="single" w:sz="4" w:space="0" w:color="auto"/>
            </w:tcBorders>
          </w:tcPr>
          <w:p w14:paraId="38998AE5" w14:textId="77777777" w:rsidR="00CE75D4" w:rsidRDefault="00CE75D4" w:rsidP="008340C1">
            <w:pPr>
              <w:pStyle w:val="ARfintablecolheadright"/>
              <w:spacing w:before="30" w:after="10"/>
              <w:ind w:left="113"/>
            </w:pPr>
            <w:r w:rsidRPr="00841888">
              <w:t xml:space="preserve">Department of Families, Fairness and Housing </w:t>
            </w:r>
            <w:r w:rsidRPr="00841888">
              <w:rPr>
                <w:rStyle w:val="Superscript"/>
              </w:rPr>
              <w:t>(ii)</w:t>
            </w:r>
          </w:p>
          <w:p w14:paraId="75724589" w14:textId="77777777" w:rsidR="00CE75D4" w:rsidRPr="002029AF" w:rsidRDefault="00CE75D4" w:rsidP="008340C1">
            <w:pPr>
              <w:pStyle w:val="ARfintablecolheadright"/>
              <w:spacing w:before="30" w:after="10"/>
              <w:ind w:left="113"/>
            </w:pPr>
            <w:r w:rsidRPr="005174F8">
              <w:t>30 June 202</w:t>
            </w:r>
            <w:r>
              <w:t>1</w:t>
            </w:r>
          </w:p>
        </w:tc>
      </w:tr>
      <w:tr w:rsidR="00CE75D4" w:rsidRPr="002029AF" w14:paraId="53A00A0B" w14:textId="77777777" w:rsidTr="008340C1">
        <w:trPr>
          <w:cantSplit w:val="0"/>
          <w:trHeight w:val="255"/>
        </w:trPr>
        <w:tc>
          <w:tcPr>
            <w:tcW w:w="3680" w:type="dxa"/>
            <w:tcBorders>
              <w:top w:val="single" w:sz="4" w:space="0" w:color="auto"/>
              <w:bottom w:val="single" w:sz="4" w:space="0" w:color="A6A6A6"/>
            </w:tcBorders>
          </w:tcPr>
          <w:p w14:paraId="7CE89316" w14:textId="77777777" w:rsidR="00CE75D4" w:rsidRPr="002029AF" w:rsidRDefault="00CE75D4" w:rsidP="008340C1">
            <w:pPr>
              <w:pStyle w:val="ARfintablebody"/>
              <w:spacing w:before="30" w:after="10"/>
            </w:pPr>
            <w:r w:rsidRPr="00B21379">
              <w:t>$200,000 – $209,999</w:t>
            </w:r>
          </w:p>
        </w:tc>
        <w:tc>
          <w:tcPr>
            <w:tcW w:w="1983" w:type="dxa"/>
            <w:tcBorders>
              <w:top w:val="single" w:sz="4" w:space="0" w:color="auto"/>
              <w:bottom w:val="single" w:sz="4" w:space="0" w:color="A6A6A6"/>
              <w:right w:val="nil"/>
            </w:tcBorders>
            <w:shd w:val="clear" w:color="auto" w:fill="E7E6E6"/>
            <w:noWrap/>
          </w:tcPr>
          <w:p w14:paraId="015FA87C" w14:textId="77777777" w:rsidR="00CE75D4" w:rsidRPr="002029AF" w:rsidRDefault="00CE75D4" w:rsidP="008340C1">
            <w:pPr>
              <w:pStyle w:val="ARfintablebodyright"/>
              <w:spacing w:before="30" w:after="10"/>
              <w:ind w:left="567"/>
            </w:pPr>
            <w:r>
              <w:t>–</w:t>
            </w:r>
          </w:p>
        </w:tc>
        <w:tc>
          <w:tcPr>
            <w:tcW w:w="1983" w:type="dxa"/>
            <w:tcBorders>
              <w:top w:val="single" w:sz="4" w:space="0" w:color="auto"/>
              <w:left w:val="nil"/>
              <w:bottom w:val="single" w:sz="4" w:space="0" w:color="A6A6A6"/>
            </w:tcBorders>
            <w:shd w:val="clear" w:color="auto" w:fill="auto"/>
            <w:noWrap/>
          </w:tcPr>
          <w:p w14:paraId="4DCF4954" w14:textId="77777777" w:rsidR="00CE75D4" w:rsidRPr="002029AF" w:rsidRDefault="00CE75D4" w:rsidP="008340C1">
            <w:pPr>
              <w:pStyle w:val="ARfintablebodyright"/>
              <w:spacing w:before="30" w:after="10"/>
              <w:ind w:left="567"/>
            </w:pPr>
            <w:r>
              <w:t>–</w:t>
            </w:r>
          </w:p>
        </w:tc>
        <w:tc>
          <w:tcPr>
            <w:tcW w:w="1983" w:type="dxa"/>
            <w:tcBorders>
              <w:top w:val="single" w:sz="4" w:space="0" w:color="auto"/>
              <w:bottom w:val="single" w:sz="4" w:space="0" w:color="A6A6A6"/>
            </w:tcBorders>
          </w:tcPr>
          <w:p w14:paraId="243D02C5" w14:textId="77777777" w:rsidR="00CE75D4" w:rsidRPr="002029AF" w:rsidRDefault="00CE75D4" w:rsidP="008340C1">
            <w:pPr>
              <w:pStyle w:val="ARfintablebodyright"/>
              <w:spacing w:before="30" w:after="10"/>
              <w:ind w:left="567"/>
            </w:pPr>
            <w:r w:rsidRPr="00B21379">
              <w:t>1</w:t>
            </w:r>
          </w:p>
        </w:tc>
      </w:tr>
      <w:tr w:rsidR="00CE75D4" w:rsidRPr="002029AF" w14:paraId="0E084678" w14:textId="77777777" w:rsidTr="008340C1">
        <w:trPr>
          <w:cantSplit w:val="0"/>
          <w:trHeight w:val="255"/>
        </w:trPr>
        <w:tc>
          <w:tcPr>
            <w:tcW w:w="3680" w:type="dxa"/>
            <w:tcBorders>
              <w:top w:val="single" w:sz="4" w:space="0" w:color="A6A6A6"/>
              <w:bottom w:val="single" w:sz="4" w:space="0" w:color="A6A6A6"/>
            </w:tcBorders>
          </w:tcPr>
          <w:p w14:paraId="3DAE36F7" w14:textId="77777777" w:rsidR="00CE75D4" w:rsidRPr="002029AF" w:rsidRDefault="00CE75D4" w:rsidP="008340C1">
            <w:pPr>
              <w:pStyle w:val="ARfintablebody"/>
              <w:spacing w:before="30" w:after="10"/>
            </w:pPr>
            <w:r w:rsidRPr="00B21379">
              <w:t>$220,000 – $229,999</w:t>
            </w:r>
          </w:p>
        </w:tc>
        <w:tc>
          <w:tcPr>
            <w:tcW w:w="1983" w:type="dxa"/>
            <w:tcBorders>
              <w:top w:val="single" w:sz="4" w:space="0" w:color="A6A6A6"/>
              <w:bottom w:val="single" w:sz="4" w:space="0" w:color="A6A6A6"/>
              <w:right w:val="nil"/>
            </w:tcBorders>
            <w:shd w:val="clear" w:color="auto" w:fill="E7E6E6"/>
            <w:noWrap/>
          </w:tcPr>
          <w:p w14:paraId="5F7F7BF1" w14:textId="77777777" w:rsidR="00CE75D4" w:rsidRPr="002029AF" w:rsidRDefault="00CE75D4" w:rsidP="008340C1">
            <w:pPr>
              <w:pStyle w:val="ARfintablebodyright"/>
              <w:spacing w:before="30" w:after="10"/>
              <w:ind w:left="567"/>
            </w:pPr>
            <w:r>
              <w:t>–</w:t>
            </w:r>
          </w:p>
        </w:tc>
        <w:tc>
          <w:tcPr>
            <w:tcW w:w="1983" w:type="dxa"/>
            <w:tcBorders>
              <w:top w:val="single" w:sz="4" w:space="0" w:color="A6A6A6"/>
              <w:left w:val="nil"/>
              <w:bottom w:val="single" w:sz="4" w:space="0" w:color="A6A6A6"/>
            </w:tcBorders>
            <w:shd w:val="clear" w:color="auto" w:fill="auto"/>
            <w:noWrap/>
          </w:tcPr>
          <w:p w14:paraId="38C2C111" w14:textId="77777777" w:rsidR="00CE75D4" w:rsidRPr="002029AF" w:rsidRDefault="00CE75D4" w:rsidP="008340C1">
            <w:pPr>
              <w:pStyle w:val="ARfintablebodyright"/>
              <w:spacing w:before="30" w:after="10"/>
              <w:ind w:left="567"/>
            </w:pPr>
            <w:r>
              <w:t>–</w:t>
            </w:r>
          </w:p>
        </w:tc>
        <w:tc>
          <w:tcPr>
            <w:tcW w:w="1983" w:type="dxa"/>
            <w:tcBorders>
              <w:top w:val="single" w:sz="4" w:space="0" w:color="A6A6A6"/>
              <w:bottom w:val="single" w:sz="4" w:space="0" w:color="A6A6A6"/>
            </w:tcBorders>
          </w:tcPr>
          <w:p w14:paraId="22756DF6" w14:textId="77777777" w:rsidR="00CE75D4" w:rsidRPr="002029AF" w:rsidRDefault="00CE75D4" w:rsidP="008340C1">
            <w:pPr>
              <w:pStyle w:val="ARfintablebodyright"/>
              <w:spacing w:before="30" w:after="10"/>
              <w:ind w:left="567"/>
            </w:pPr>
            <w:r w:rsidRPr="00B21379">
              <w:t>1</w:t>
            </w:r>
          </w:p>
        </w:tc>
      </w:tr>
      <w:tr w:rsidR="00CE75D4" w:rsidRPr="002029AF" w14:paraId="19539221" w14:textId="77777777" w:rsidTr="008340C1">
        <w:trPr>
          <w:cantSplit w:val="0"/>
          <w:trHeight w:val="255"/>
        </w:trPr>
        <w:tc>
          <w:tcPr>
            <w:tcW w:w="3680" w:type="dxa"/>
            <w:tcBorders>
              <w:top w:val="single" w:sz="4" w:space="0" w:color="A6A6A6"/>
              <w:bottom w:val="single" w:sz="4" w:space="0" w:color="A6A6A6"/>
            </w:tcBorders>
            <w:hideMark/>
          </w:tcPr>
          <w:p w14:paraId="6E8423BC" w14:textId="77777777" w:rsidR="00CE75D4" w:rsidRPr="002029AF" w:rsidRDefault="00CE75D4" w:rsidP="008340C1">
            <w:pPr>
              <w:pStyle w:val="ARfintablebody"/>
              <w:spacing w:before="30" w:after="10"/>
            </w:pPr>
            <w:r w:rsidRPr="00B21379">
              <w:t>$280,000 – $289,999</w:t>
            </w:r>
          </w:p>
        </w:tc>
        <w:tc>
          <w:tcPr>
            <w:tcW w:w="1983" w:type="dxa"/>
            <w:tcBorders>
              <w:top w:val="single" w:sz="4" w:space="0" w:color="A6A6A6"/>
              <w:bottom w:val="single" w:sz="4" w:space="0" w:color="A6A6A6"/>
              <w:right w:val="nil"/>
            </w:tcBorders>
            <w:shd w:val="clear" w:color="auto" w:fill="E7E6E6"/>
            <w:noWrap/>
            <w:hideMark/>
          </w:tcPr>
          <w:p w14:paraId="5E5BE1B3" w14:textId="77777777" w:rsidR="00CE75D4" w:rsidRPr="002029AF" w:rsidRDefault="00CE75D4" w:rsidP="008340C1">
            <w:pPr>
              <w:pStyle w:val="ARfintablebodyright"/>
              <w:spacing w:before="30" w:after="10"/>
              <w:ind w:left="567"/>
            </w:pPr>
            <w:r>
              <w:t>–</w:t>
            </w:r>
          </w:p>
        </w:tc>
        <w:tc>
          <w:tcPr>
            <w:tcW w:w="1983" w:type="dxa"/>
            <w:tcBorders>
              <w:top w:val="single" w:sz="4" w:space="0" w:color="A6A6A6"/>
              <w:left w:val="nil"/>
              <w:bottom w:val="single" w:sz="4" w:space="0" w:color="A6A6A6"/>
            </w:tcBorders>
            <w:shd w:val="clear" w:color="auto" w:fill="auto"/>
            <w:noWrap/>
            <w:hideMark/>
          </w:tcPr>
          <w:p w14:paraId="05EE7A5B" w14:textId="77777777" w:rsidR="00CE75D4" w:rsidRPr="002029AF" w:rsidRDefault="00CE75D4" w:rsidP="008340C1">
            <w:pPr>
              <w:pStyle w:val="ARfintablebodyright"/>
              <w:spacing w:before="30" w:after="10"/>
              <w:ind w:left="567"/>
            </w:pPr>
            <w:r w:rsidRPr="00B21379">
              <w:t>1</w:t>
            </w:r>
          </w:p>
        </w:tc>
        <w:tc>
          <w:tcPr>
            <w:tcW w:w="1983" w:type="dxa"/>
            <w:tcBorders>
              <w:top w:val="single" w:sz="4" w:space="0" w:color="A6A6A6"/>
              <w:bottom w:val="single" w:sz="4" w:space="0" w:color="A6A6A6"/>
            </w:tcBorders>
          </w:tcPr>
          <w:p w14:paraId="28D89EDF" w14:textId="77777777" w:rsidR="00CE75D4" w:rsidRPr="002029AF" w:rsidRDefault="00CE75D4" w:rsidP="008340C1">
            <w:pPr>
              <w:pStyle w:val="ARfintablebodyright"/>
              <w:spacing w:before="30" w:after="10"/>
              <w:ind w:left="567"/>
            </w:pPr>
            <w:r>
              <w:t>–</w:t>
            </w:r>
          </w:p>
        </w:tc>
      </w:tr>
      <w:tr w:rsidR="00CE75D4" w:rsidRPr="002029AF" w14:paraId="67A2F9C6" w14:textId="77777777" w:rsidTr="008340C1">
        <w:trPr>
          <w:cantSplit w:val="0"/>
          <w:trHeight w:val="255"/>
        </w:trPr>
        <w:tc>
          <w:tcPr>
            <w:tcW w:w="3680" w:type="dxa"/>
            <w:tcBorders>
              <w:top w:val="single" w:sz="4" w:space="0" w:color="A6A6A6"/>
              <w:bottom w:val="single" w:sz="4" w:space="0" w:color="A6A6A6"/>
            </w:tcBorders>
          </w:tcPr>
          <w:p w14:paraId="3619A98C" w14:textId="77777777" w:rsidR="00CE75D4" w:rsidRPr="002029AF" w:rsidRDefault="00CE75D4" w:rsidP="008340C1">
            <w:pPr>
              <w:pStyle w:val="ARfintablebody"/>
              <w:spacing w:before="30" w:after="10"/>
            </w:pPr>
            <w:r w:rsidRPr="00B21379">
              <w:t>$390,000 – $399,999</w:t>
            </w:r>
          </w:p>
        </w:tc>
        <w:tc>
          <w:tcPr>
            <w:tcW w:w="1983" w:type="dxa"/>
            <w:tcBorders>
              <w:top w:val="single" w:sz="4" w:space="0" w:color="A6A6A6"/>
              <w:bottom w:val="single" w:sz="4" w:space="0" w:color="A6A6A6"/>
              <w:right w:val="nil"/>
            </w:tcBorders>
            <w:shd w:val="clear" w:color="auto" w:fill="E7E6E6"/>
            <w:noWrap/>
          </w:tcPr>
          <w:p w14:paraId="118A241F" w14:textId="77777777" w:rsidR="00CE75D4" w:rsidRPr="002029AF" w:rsidRDefault="00CE75D4" w:rsidP="008340C1">
            <w:pPr>
              <w:pStyle w:val="ARfintablebodyright"/>
              <w:spacing w:before="30" w:after="10"/>
              <w:ind w:left="567"/>
            </w:pPr>
            <w:r>
              <w:t>–</w:t>
            </w:r>
          </w:p>
        </w:tc>
        <w:tc>
          <w:tcPr>
            <w:tcW w:w="1983" w:type="dxa"/>
            <w:tcBorders>
              <w:top w:val="single" w:sz="4" w:space="0" w:color="A6A6A6"/>
              <w:left w:val="nil"/>
              <w:bottom w:val="single" w:sz="4" w:space="0" w:color="A6A6A6"/>
            </w:tcBorders>
            <w:shd w:val="clear" w:color="auto" w:fill="auto"/>
            <w:noWrap/>
          </w:tcPr>
          <w:p w14:paraId="7B987EF1" w14:textId="77777777" w:rsidR="00CE75D4" w:rsidRPr="002029AF" w:rsidRDefault="00CE75D4" w:rsidP="008340C1">
            <w:pPr>
              <w:pStyle w:val="ARfintablebodyright"/>
              <w:spacing w:before="30" w:after="10"/>
              <w:ind w:left="567"/>
            </w:pPr>
            <w:r w:rsidRPr="00B21379">
              <w:t>1</w:t>
            </w:r>
          </w:p>
        </w:tc>
        <w:tc>
          <w:tcPr>
            <w:tcW w:w="1983" w:type="dxa"/>
            <w:tcBorders>
              <w:top w:val="single" w:sz="4" w:space="0" w:color="A6A6A6"/>
              <w:bottom w:val="single" w:sz="4" w:space="0" w:color="A6A6A6"/>
            </w:tcBorders>
          </w:tcPr>
          <w:p w14:paraId="244AE0E8" w14:textId="77777777" w:rsidR="00CE75D4" w:rsidRPr="002029AF" w:rsidRDefault="00CE75D4" w:rsidP="008340C1">
            <w:pPr>
              <w:pStyle w:val="ARfintablebodyright"/>
              <w:spacing w:before="30" w:after="10"/>
              <w:ind w:left="567"/>
            </w:pPr>
            <w:r>
              <w:t>–</w:t>
            </w:r>
          </w:p>
        </w:tc>
      </w:tr>
      <w:tr w:rsidR="00CE75D4" w:rsidRPr="002029AF" w14:paraId="210D3D06" w14:textId="77777777" w:rsidTr="008340C1">
        <w:trPr>
          <w:cantSplit w:val="0"/>
          <w:trHeight w:val="255"/>
        </w:trPr>
        <w:tc>
          <w:tcPr>
            <w:tcW w:w="3680" w:type="dxa"/>
            <w:tcBorders>
              <w:top w:val="single" w:sz="4" w:space="0" w:color="A6A6A6"/>
              <w:bottom w:val="single" w:sz="4" w:space="0" w:color="A6A6A6"/>
            </w:tcBorders>
          </w:tcPr>
          <w:p w14:paraId="7255046F" w14:textId="77777777" w:rsidR="00CE75D4" w:rsidRPr="002029AF" w:rsidRDefault="00CE75D4" w:rsidP="008340C1">
            <w:pPr>
              <w:pStyle w:val="ARfintablebody"/>
              <w:spacing w:before="30" w:after="10"/>
            </w:pPr>
            <w:r w:rsidRPr="00B21379">
              <w:t>$640,000 – $649,999</w:t>
            </w:r>
          </w:p>
        </w:tc>
        <w:tc>
          <w:tcPr>
            <w:tcW w:w="1983" w:type="dxa"/>
            <w:tcBorders>
              <w:top w:val="single" w:sz="4" w:space="0" w:color="A6A6A6"/>
              <w:bottom w:val="single" w:sz="4" w:space="0" w:color="A6A6A6"/>
              <w:right w:val="nil"/>
            </w:tcBorders>
            <w:shd w:val="clear" w:color="auto" w:fill="E7E6E6"/>
            <w:noWrap/>
          </w:tcPr>
          <w:p w14:paraId="4297F88E" w14:textId="77777777" w:rsidR="00CE75D4" w:rsidRPr="002029AF" w:rsidRDefault="00CE75D4" w:rsidP="008340C1">
            <w:pPr>
              <w:pStyle w:val="ARfintablebodyright"/>
              <w:spacing w:before="30" w:after="10"/>
              <w:ind w:left="567"/>
            </w:pPr>
            <w:r w:rsidRPr="00B21379">
              <w:t>1</w:t>
            </w:r>
          </w:p>
        </w:tc>
        <w:tc>
          <w:tcPr>
            <w:tcW w:w="1983" w:type="dxa"/>
            <w:tcBorders>
              <w:top w:val="single" w:sz="4" w:space="0" w:color="A6A6A6"/>
              <w:left w:val="nil"/>
              <w:bottom w:val="single" w:sz="4" w:space="0" w:color="A6A6A6"/>
            </w:tcBorders>
            <w:shd w:val="clear" w:color="auto" w:fill="auto"/>
            <w:noWrap/>
          </w:tcPr>
          <w:p w14:paraId="5B273E85" w14:textId="77777777" w:rsidR="00CE75D4" w:rsidRPr="002029AF" w:rsidRDefault="00CE75D4" w:rsidP="008340C1">
            <w:pPr>
              <w:pStyle w:val="ARfintablebodyright"/>
              <w:spacing w:before="30" w:after="10"/>
              <w:ind w:left="567"/>
            </w:pPr>
            <w:r>
              <w:t>–</w:t>
            </w:r>
          </w:p>
        </w:tc>
        <w:tc>
          <w:tcPr>
            <w:tcW w:w="1983" w:type="dxa"/>
            <w:tcBorders>
              <w:top w:val="single" w:sz="4" w:space="0" w:color="A6A6A6"/>
              <w:bottom w:val="single" w:sz="4" w:space="0" w:color="A6A6A6"/>
            </w:tcBorders>
          </w:tcPr>
          <w:p w14:paraId="0B96537B" w14:textId="77777777" w:rsidR="00CE75D4" w:rsidRPr="002029AF" w:rsidRDefault="00CE75D4" w:rsidP="008340C1">
            <w:pPr>
              <w:pStyle w:val="ARfintablebodyright"/>
              <w:spacing w:before="30" w:after="10"/>
              <w:ind w:left="567"/>
            </w:pPr>
            <w:r>
              <w:t>–</w:t>
            </w:r>
          </w:p>
        </w:tc>
      </w:tr>
      <w:tr w:rsidR="00CE75D4" w:rsidRPr="002029AF" w14:paraId="0A8A7532" w14:textId="77777777" w:rsidTr="008340C1">
        <w:trPr>
          <w:cantSplit w:val="0"/>
          <w:trHeight w:val="255"/>
        </w:trPr>
        <w:tc>
          <w:tcPr>
            <w:tcW w:w="3680" w:type="dxa"/>
            <w:tcBorders>
              <w:top w:val="single" w:sz="4" w:space="0" w:color="A6A6A6"/>
              <w:bottom w:val="single" w:sz="4" w:space="0" w:color="A6A6A6"/>
            </w:tcBorders>
            <w:hideMark/>
          </w:tcPr>
          <w:p w14:paraId="13EAD085" w14:textId="77777777" w:rsidR="00CE75D4" w:rsidRPr="002029AF" w:rsidRDefault="00CE75D4" w:rsidP="008340C1">
            <w:pPr>
              <w:pStyle w:val="ARfintablebody"/>
              <w:spacing w:before="30" w:after="10"/>
            </w:pPr>
            <w:r w:rsidRPr="00B21379">
              <w:t>$700,000 – $709,999</w:t>
            </w:r>
          </w:p>
        </w:tc>
        <w:tc>
          <w:tcPr>
            <w:tcW w:w="1983" w:type="dxa"/>
            <w:tcBorders>
              <w:top w:val="single" w:sz="4" w:space="0" w:color="A6A6A6"/>
              <w:bottom w:val="single" w:sz="4" w:space="0" w:color="A6A6A6"/>
              <w:right w:val="nil"/>
            </w:tcBorders>
            <w:shd w:val="clear" w:color="auto" w:fill="E7E6E6"/>
            <w:noWrap/>
            <w:hideMark/>
          </w:tcPr>
          <w:p w14:paraId="324E40C7" w14:textId="77777777" w:rsidR="00CE75D4" w:rsidRPr="002029AF" w:rsidRDefault="00CE75D4" w:rsidP="008340C1">
            <w:pPr>
              <w:pStyle w:val="ARfintablebodyright"/>
              <w:spacing w:before="30" w:after="10"/>
              <w:ind w:left="567"/>
            </w:pPr>
            <w:r>
              <w:t>–</w:t>
            </w:r>
          </w:p>
        </w:tc>
        <w:tc>
          <w:tcPr>
            <w:tcW w:w="1983" w:type="dxa"/>
            <w:tcBorders>
              <w:top w:val="single" w:sz="4" w:space="0" w:color="A6A6A6"/>
              <w:left w:val="nil"/>
              <w:bottom w:val="single" w:sz="4" w:space="0" w:color="A6A6A6"/>
            </w:tcBorders>
            <w:shd w:val="clear" w:color="auto" w:fill="auto"/>
            <w:noWrap/>
            <w:hideMark/>
          </w:tcPr>
          <w:p w14:paraId="7F17F08D" w14:textId="77777777" w:rsidR="00CE75D4" w:rsidRPr="002029AF" w:rsidRDefault="00CE75D4" w:rsidP="008340C1">
            <w:pPr>
              <w:pStyle w:val="ARfintablebodyright"/>
              <w:spacing w:before="30" w:after="10"/>
              <w:ind w:left="567"/>
            </w:pPr>
            <w:r w:rsidRPr="00B21379">
              <w:t>1</w:t>
            </w:r>
          </w:p>
        </w:tc>
        <w:tc>
          <w:tcPr>
            <w:tcW w:w="1983" w:type="dxa"/>
            <w:tcBorders>
              <w:top w:val="single" w:sz="4" w:space="0" w:color="A6A6A6"/>
              <w:bottom w:val="single" w:sz="4" w:space="0" w:color="A6A6A6"/>
            </w:tcBorders>
          </w:tcPr>
          <w:p w14:paraId="54743E64" w14:textId="77777777" w:rsidR="00CE75D4" w:rsidRPr="002029AF" w:rsidRDefault="00CE75D4" w:rsidP="008340C1">
            <w:pPr>
              <w:pStyle w:val="ARfintablebodyright"/>
              <w:spacing w:before="30" w:after="10"/>
              <w:ind w:left="567"/>
            </w:pPr>
            <w:r>
              <w:t>–</w:t>
            </w:r>
          </w:p>
        </w:tc>
      </w:tr>
      <w:tr w:rsidR="00CE75D4" w:rsidRPr="002029AF" w14:paraId="2F0E9175" w14:textId="77777777" w:rsidTr="008340C1">
        <w:trPr>
          <w:cantSplit w:val="0"/>
          <w:trHeight w:val="255"/>
        </w:trPr>
        <w:tc>
          <w:tcPr>
            <w:tcW w:w="3680" w:type="dxa"/>
            <w:hideMark/>
          </w:tcPr>
          <w:p w14:paraId="7CBEC418" w14:textId="77777777" w:rsidR="00CE75D4" w:rsidRPr="002029AF" w:rsidRDefault="00CE75D4" w:rsidP="008340C1">
            <w:pPr>
              <w:pStyle w:val="ARfintablebodybold"/>
              <w:spacing w:before="30" w:after="10"/>
            </w:pPr>
            <w:r w:rsidRPr="00B21379">
              <w:t>Total</w:t>
            </w:r>
          </w:p>
        </w:tc>
        <w:tc>
          <w:tcPr>
            <w:tcW w:w="1983" w:type="dxa"/>
            <w:tcBorders>
              <w:right w:val="nil"/>
            </w:tcBorders>
            <w:shd w:val="clear" w:color="auto" w:fill="E7E6E6"/>
            <w:noWrap/>
            <w:hideMark/>
          </w:tcPr>
          <w:p w14:paraId="3D75D11E" w14:textId="77777777" w:rsidR="00CE75D4" w:rsidRPr="002029AF" w:rsidRDefault="00CE75D4" w:rsidP="008340C1">
            <w:pPr>
              <w:pStyle w:val="ARfintablebodyrightbold"/>
              <w:spacing w:before="30" w:after="10"/>
              <w:ind w:left="567"/>
            </w:pPr>
            <w:r w:rsidRPr="00B21379">
              <w:t>1</w:t>
            </w:r>
          </w:p>
        </w:tc>
        <w:tc>
          <w:tcPr>
            <w:tcW w:w="1983" w:type="dxa"/>
            <w:tcBorders>
              <w:left w:val="nil"/>
            </w:tcBorders>
            <w:shd w:val="clear" w:color="auto" w:fill="auto"/>
            <w:noWrap/>
            <w:hideMark/>
          </w:tcPr>
          <w:p w14:paraId="6BE4443D" w14:textId="77777777" w:rsidR="00CE75D4" w:rsidRPr="002029AF" w:rsidRDefault="00CE75D4" w:rsidP="008340C1">
            <w:pPr>
              <w:pStyle w:val="ARfintablebodyrightbold"/>
              <w:spacing w:before="30" w:after="10"/>
              <w:ind w:left="567"/>
            </w:pPr>
            <w:r w:rsidRPr="00B21379">
              <w:t>3</w:t>
            </w:r>
          </w:p>
        </w:tc>
        <w:tc>
          <w:tcPr>
            <w:tcW w:w="1983" w:type="dxa"/>
          </w:tcPr>
          <w:p w14:paraId="2F1AB7EB" w14:textId="77777777" w:rsidR="00CE75D4" w:rsidRPr="002029AF" w:rsidRDefault="00CE75D4" w:rsidP="008340C1">
            <w:pPr>
              <w:pStyle w:val="ARfintablebodyrightbold"/>
              <w:spacing w:before="30" w:after="10"/>
              <w:ind w:left="567"/>
            </w:pPr>
            <w:r w:rsidRPr="00B21379">
              <w:t>2</w:t>
            </w:r>
          </w:p>
        </w:tc>
      </w:tr>
    </w:tbl>
    <w:p w14:paraId="5CEEFC3C" w14:textId="7AC59841" w:rsidR="00CE75D4" w:rsidRDefault="00CE75D4" w:rsidP="008340C1">
      <w:pPr>
        <w:pStyle w:val="ARfintablefootnote"/>
      </w:pPr>
      <w:r>
        <w:rPr>
          <w:lang w:eastAsia="en-AU"/>
        </w:rPr>
        <w:t>Notes:</w:t>
      </w:r>
    </w:p>
    <w:p w14:paraId="574F759E" w14:textId="096EE5EF" w:rsidR="00CE75D4" w:rsidRDefault="00CE75D4" w:rsidP="004E63CD">
      <w:pPr>
        <w:pStyle w:val="ARfintablefootnoteindent"/>
      </w:pPr>
      <w:r>
        <w:t>(i)</w:t>
      </w:r>
      <w:r>
        <w:tab/>
        <w:t>The figures include the Department of Health and the former Department of Health and Human Services.</w:t>
      </w:r>
    </w:p>
    <w:p w14:paraId="1E6016DA" w14:textId="3511DA91" w:rsidR="00CE75D4" w:rsidRDefault="00CE75D4" w:rsidP="008340C1">
      <w:pPr>
        <w:pStyle w:val="ARfintablefootnoteindent"/>
      </w:pPr>
      <w:r>
        <w:t>(ii)</w:t>
      </w:r>
      <w:r>
        <w:tab/>
        <w:t>The remuneration of the Director of Housing was disclosed in the Department of Health (including the former Department of Health and Human Services) for the period 1 July 2020</w:t>
      </w:r>
      <w:r w:rsidDel="005C34DC">
        <w:t xml:space="preserve"> </w:t>
      </w:r>
      <w:r>
        <w:t>–</w:t>
      </w:r>
      <w:r w:rsidDel="005C34DC">
        <w:t xml:space="preserve"> </w:t>
      </w:r>
      <w:r>
        <w:t>31 January 2021 and in the Department of Families, Fairness and Housing for the period 1 February 2021</w:t>
      </w:r>
      <w:r w:rsidDel="005C34DC">
        <w:t xml:space="preserve"> </w:t>
      </w:r>
      <w:r>
        <w:t>–</w:t>
      </w:r>
      <w:r w:rsidDel="005C34DC">
        <w:t xml:space="preserve"> </w:t>
      </w:r>
      <w:r>
        <w:t>30 June 2021.</w:t>
      </w:r>
    </w:p>
    <w:p w14:paraId="6759649D" w14:textId="77777777" w:rsidR="00CE75D4" w:rsidRDefault="00CE75D4" w:rsidP="008340C1">
      <w:pPr>
        <w:pStyle w:val="Heading4"/>
      </w:pPr>
      <w:r>
        <w:rPr>
          <w:lang w:eastAsia="en-AU"/>
        </w:rPr>
        <w:t>9.7 Remuneration of executives</w:t>
      </w:r>
    </w:p>
    <w:p w14:paraId="6B75B672" w14:textId="77777777" w:rsidR="00CE75D4" w:rsidRDefault="00CE75D4" w:rsidP="008340C1">
      <w:pPr>
        <w:pStyle w:val="ARfinbody"/>
      </w:pPr>
      <w:r>
        <w:t>The numbers of executive officers, other than ministers and accountable officers, and their total remuneration during the reporting period are shown in the table below. Total annualised employee equivalent provides a measure of full-time equivalent executive officers over the reporting period.</w:t>
      </w:r>
    </w:p>
    <w:p w14:paraId="1DE52455" w14:textId="77777777" w:rsidR="00CE75D4" w:rsidRDefault="00CE75D4" w:rsidP="008340C1">
      <w:pPr>
        <w:pStyle w:val="ARfinbody"/>
      </w:pPr>
      <w:r>
        <w:t>Remuneration comprises employee benefits in all forms of consideration paid, payable or provided by the entity, or on behalf of the entity, in exchange for services rendered, and is disclosed in the following categories.</w:t>
      </w:r>
    </w:p>
    <w:p w14:paraId="7AAFA086" w14:textId="77777777" w:rsidR="00CE75D4" w:rsidRDefault="00CE75D4" w:rsidP="008340C1">
      <w:pPr>
        <w:pStyle w:val="ARfinbody"/>
      </w:pPr>
      <w:r>
        <w:rPr>
          <w:rStyle w:val="Strong"/>
        </w:rPr>
        <w:t>Short-term employee benefits</w:t>
      </w:r>
      <w:r>
        <w:t xml:space="preserve"> include amounts such as wages, salaries, annual leave or sick leave that are usually paid or payable on a regular basis, as well as non-monetary benefits such as allowances and free or subsidised goods or services.</w:t>
      </w:r>
    </w:p>
    <w:p w14:paraId="3EAE381B" w14:textId="77777777" w:rsidR="00CE75D4" w:rsidRDefault="00CE75D4" w:rsidP="008340C1">
      <w:pPr>
        <w:pStyle w:val="ARfinbody"/>
      </w:pPr>
      <w:r>
        <w:rPr>
          <w:rStyle w:val="Strong"/>
        </w:rPr>
        <w:t>Post-employment benefits</w:t>
      </w:r>
      <w:r>
        <w:t xml:space="preserve"> include pensions and other retirement benefits paid or payable on a discrete basis when employment has ceased.</w:t>
      </w:r>
    </w:p>
    <w:p w14:paraId="3CAB2E37" w14:textId="77777777" w:rsidR="00CE75D4" w:rsidRDefault="00CE75D4" w:rsidP="008340C1">
      <w:pPr>
        <w:pStyle w:val="ARfinbody"/>
      </w:pPr>
      <w:r>
        <w:rPr>
          <w:rStyle w:val="Strong"/>
        </w:rPr>
        <w:t>Other long-term benefits</w:t>
      </w:r>
      <w:r>
        <w:t xml:space="preserve"> include long service leave, other long service benefit or deferred compensation.</w:t>
      </w:r>
    </w:p>
    <w:p w14:paraId="0E18B59F" w14:textId="77777777" w:rsidR="00CE75D4" w:rsidRDefault="00CE75D4" w:rsidP="008340C1">
      <w:pPr>
        <w:pStyle w:val="ARfinbody"/>
      </w:pPr>
      <w:r>
        <w:rPr>
          <w:rStyle w:val="Strong"/>
        </w:rPr>
        <w:t>Termination benefits</w:t>
      </w:r>
      <w:r>
        <w:t xml:space="preserve"> include termination of employment payments, such as severance packages.</w:t>
      </w:r>
    </w:p>
    <w:p w14:paraId="64FC4CBB" w14:textId="77777777" w:rsidR="00CE75D4" w:rsidRDefault="00CE75D4" w:rsidP="008340C1">
      <w:pPr>
        <w:pStyle w:val="ARfinbodylargespace"/>
      </w:pPr>
      <w:r>
        <w:rPr>
          <w:rStyle w:val="Strong"/>
        </w:rPr>
        <w:t>Share-based payments</w:t>
      </w:r>
      <w:r>
        <w:t xml:space="preserve"> are cash or other assets paid or payable as agreed between the entity and the employee, provided specific vesting conditions, if any, are met.</w:t>
      </w:r>
    </w:p>
    <w:tbl>
      <w:tblPr>
        <w:tblStyle w:val="TableGrid"/>
        <w:tblW w:w="9639" w:type="dxa"/>
        <w:tblLayout w:type="fixed"/>
        <w:tblLook w:val="06A0" w:firstRow="1" w:lastRow="0" w:firstColumn="1" w:lastColumn="0" w:noHBand="1" w:noVBand="1"/>
      </w:tblPr>
      <w:tblGrid>
        <w:gridCol w:w="3684"/>
        <w:gridCol w:w="1985"/>
        <w:gridCol w:w="1985"/>
        <w:gridCol w:w="1985"/>
      </w:tblGrid>
      <w:tr w:rsidR="00CE75D4" w:rsidRPr="002029AF" w14:paraId="13B418F6" w14:textId="77777777" w:rsidTr="008340C1">
        <w:trPr>
          <w:cnfStyle w:val="100000000000" w:firstRow="1" w:lastRow="0" w:firstColumn="0" w:lastColumn="0" w:oddVBand="0" w:evenVBand="0" w:oddHBand="0" w:evenHBand="0" w:firstRowFirstColumn="0" w:firstRowLastColumn="0" w:lastRowFirstColumn="0" w:lastRowLastColumn="0"/>
          <w:trHeight w:val="255"/>
          <w:tblHeader/>
        </w:trPr>
        <w:tc>
          <w:tcPr>
            <w:tcW w:w="3684" w:type="dxa"/>
            <w:vMerge w:val="restart"/>
          </w:tcPr>
          <w:p w14:paraId="3E189613" w14:textId="779DE7F6" w:rsidR="00CE75D4" w:rsidRDefault="00CE75D4" w:rsidP="00130D1C">
            <w:pPr>
              <w:pStyle w:val="ARfintablecolhead"/>
            </w:pPr>
            <w:r>
              <w:t>Remuneration of executive officers</w:t>
            </w:r>
            <w:r>
              <w:br/>
              <w:t>(including key management personnel disclosed in Note 9.8)</w:t>
            </w:r>
          </w:p>
        </w:tc>
        <w:tc>
          <w:tcPr>
            <w:tcW w:w="5955" w:type="dxa"/>
            <w:gridSpan w:val="3"/>
            <w:tcBorders>
              <w:top w:val="nil"/>
              <w:bottom w:val="single" w:sz="4" w:space="0" w:color="auto"/>
            </w:tcBorders>
            <w:shd w:val="clear" w:color="auto" w:fill="auto"/>
          </w:tcPr>
          <w:p w14:paraId="50421F35" w14:textId="77777777" w:rsidR="00CE75D4" w:rsidRPr="00F872BC" w:rsidRDefault="00CE75D4" w:rsidP="008340C1">
            <w:pPr>
              <w:pStyle w:val="ARfintablecolheadcentre"/>
            </w:pPr>
            <w:r>
              <w:t>Total remuneration</w:t>
            </w:r>
          </w:p>
        </w:tc>
      </w:tr>
      <w:tr w:rsidR="00CE75D4" w:rsidRPr="002029AF" w14:paraId="2187209F" w14:textId="77777777" w:rsidTr="008340C1">
        <w:trPr>
          <w:cnfStyle w:val="100000000000" w:firstRow="1" w:lastRow="0" w:firstColumn="0" w:lastColumn="0" w:oddVBand="0" w:evenVBand="0" w:oddHBand="0" w:evenHBand="0" w:firstRowFirstColumn="0" w:firstRowLastColumn="0" w:lastRowFirstColumn="0" w:lastRowLastColumn="0"/>
          <w:trHeight w:val="255"/>
          <w:tblHeader/>
        </w:trPr>
        <w:tc>
          <w:tcPr>
            <w:tcW w:w="3684" w:type="dxa"/>
            <w:vMerge/>
            <w:tcBorders>
              <w:bottom w:val="single" w:sz="4" w:space="0" w:color="auto"/>
            </w:tcBorders>
            <w:hideMark/>
          </w:tcPr>
          <w:p w14:paraId="7F2E4DA3" w14:textId="77777777" w:rsidR="00CE75D4" w:rsidRPr="002029AF" w:rsidRDefault="00CE75D4" w:rsidP="00130D1C">
            <w:pPr>
              <w:pStyle w:val="ARfintablecolhead"/>
            </w:pPr>
          </w:p>
        </w:tc>
        <w:tc>
          <w:tcPr>
            <w:tcW w:w="1985" w:type="dxa"/>
            <w:tcBorders>
              <w:top w:val="nil"/>
              <w:bottom w:val="single" w:sz="4" w:space="0" w:color="auto"/>
              <w:right w:val="nil"/>
            </w:tcBorders>
            <w:shd w:val="clear" w:color="auto" w:fill="E7E6E6"/>
            <w:hideMark/>
          </w:tcPr>
          <w:p w14:paraId="2E654FDD" w14:textId="77777777" w:rsidR="00CE75D4" w:rsidRDefault="00CE75D4" w:rsidP="00860E95">
            <w:pPr>
              <w:pStyle w:val="ARfintablecolheadright"/>
            </w:pPr>
            <w:r w:rsidRPr="00330C64">
              <w:t xml:space="preserve">Department of Health </w:t>
            </w:r>
            <w:r w:rsidRPr="00330C64">
              <w:rPr>
                <w:rStyle w:val="Superscript"/>
              </w:rPr>
              <w:t>(i</w:t>
            </w:r>
            <w:r>
              <w:rPr>
                <w:rStyle w:val="Superscript"/>
              </w:rPr>
              <w:t>)</w:t>
            </w:r>
          </w:p>
          <w:p w14:paraId="7FB5AF77" w14:textId="77777777" w:rsidR="00CE75D4" w:rsidRPr="002029AF" w:rsidRDefault="00CE75D4" w:rsidP="00860E95">
            <w:pPr>
              <w:pStyle w:val="ARfintablecolheadright"/>
            </w:pPr>
            <w:r>
              <w:t>2022</w:t>
            </w:r>
          </w:p>
          <w:p w14:paraId="781974CB" w14:textId="77777777" w:rsidR="00CE75D4" w:rsidRPr="002029AF" w:rsidRDefault="00CE75D4" w:rsidP="00860E95">
            <w:pPr>
              <w:pStyle w:val="ARfintablecolheadright"/>
            </w:pPr>
            <w:r w:rsidRPr="002029AF">
              <w:t>$M</w:t>
            </w:r>
          </w:p>
        </w:tc>
        <w:tc>
          <w:tcPr>
            <w:tcW w:w="1985" w:type="dxa"/>
            <w:tcBorders>
              <w:top w:val="nil"/>
              <w:left w:val="nil"/>
              <w:bottom w:val="single" w:sz="4" w:space="0" w:color="auto"/>
            </w:tcBorders>
            <w:shd w:val="clear" w:color="auto" w:fill="auto"/>
            <w:hideMark/>
          </w:tcPr>
          <w:p w14:paraId="03A286A9" w14:textId="77777777" w:rsidR="00CE75D4" w:rsidRDefault="00CE75D4" w:rsidP="008340C1">
            <w:pPr>
              <w:pStyle w:val="ARfintablecolheadright"/>
            </w:pPr>
            <w:r w:rsidRPr="00330C64">
              <w:t xml:space="preserve">Department of Health </w:t>
            </w:r>
            <w:r w:rsidRPr="00330C64">
              <w:rPr>
                <w:rStyle w:val="Superscript"/>
              </w:rPr>
              <w:t>(i</w:t>
            </w:r>
            <w:r>
              <w:rPr>
                <w:rStyle w:val="Superscript"/>
              </w:rPr>
              <w:t>)(ii)</w:t>
            </w:r>
          </w:p>
          <w:p w14:paraId="0D14BF10" w14:textId="77777777" w:rsidR="00CE75D4" w:rsidRPr="002029AF" w:rsidRDefault="00CE75D4" w:rsidP="008340C1">
            <w:pPr>
              <w:pStyle w:val="ARfintablecolheadright"/>
            </w:pPr>
            <w:r>
              <w:t>2021</w:t>
            </w:r>
          </w:p>
          <w:p w14:paraId="6FF28F18" w14:textId="77777777" w:rsidR="00CE75D4" w:rsidRPr="002029AF" w:rsidRDefault="00CE75D4" w:rsidP="008340C1">
            <w:pPr>
              <w:pStyle w:val="ARfintablecolheadright"/>
            </w:pPr>
            <w:r w:rsidRPr="002029AF">
              <w:t>$M</w:t>
            </w:r>
          </w:p>
        </w:tc>
        <w:tc>
          <w:tcPr>
            <w:tcW w:w="1985" w:type="dxa"/>
            <w:tcBorders>
              <w:bottom w:val="single" w:sz="4" w:space="0" w:color="auto"/>
            </w:tcBorders>
          </w:tcPr>
          <w:p w14:paraId="47687418" w14:textId="77777777" w:rsidR="00CE75D4" w:rsidRDefault="00CE75D4" w:rsidP="00130D1C">
            <w:pPr>
              <w:pStyle w:val="ARfintablecolheadright"/>
            </w:pPr>
            <w:r w:rsidRPr="00F872BC">
              <w:t>Department of Families, Fairness and Housing</w:t>
            </w:r>
          </w:p>
          <w:p w14:paraId="0D3A979C" w14:textId="77777777" w:rsidR="00CE75D4" w:rsidRPr="002029AF" w:rsidRDefault="00CE75D4" w:rsidP="00130D1C">
            <w:pPr>
              <w:pStyle w:val="ARfintablecolheadright"/>
            </w:pPr>
            <w:r>
              <w:t>2021</w:t>
            </w:r>
          </w:p>
          <w:p w14:paraId="1BD6FBD0" w14:textId="77777777" w:rsidR="00CE75D4" w:rsidRPr="002029AF" w:rsidRDefault="00CE75D4" w:rsidP="00130D1C">
            <w:pPr>
              <w:pStyle w:val="ARfintablecolheadright"/>
            </w:pPr>
            <w:r w:rsidRPr="002029AF">
              <w:t>$M</w:t>
            </w:r>
          </w:p>
        </w:tc>
      </w:tr>
      <w:tr w:rsidR="00CE75D4" w:rsidRPr="002029AF" w14:paraId="4D901D0F" w14:textId="77777777" w:rsidTr="008340C1">
        <w:trPr>
          <w:cantSplit w:val="0"/>
          <w:trHeight w:val="255"/>
        </w:trPr>
        <w:tc>
          <w:tcPr>
            <w:tcW w:w="3684" w:type="dxa"/>
            <w:tcBorders>
              <w:top w:val="single" w:sz="4" w:space="0" w:color="auto"/>
              <w:bottom w:val="single" w:sz="4" w:space="0" w:color="A6A6A6"/>
            </w:tcBorders>
            <w:hideMark/>
          </w:tcPr>
          <w:p w14:paraId="57FB473B" w14:textId="77777777" w:rsidR="00CE75D4" w:rsidRPr="002029AF" w:rsidRDefault="00CE75D4" w:rsidP="008340C1">
            <w:pPr>
              <w:pStyle w:val="ARfintablebody"/>
            </w:pPr>
            <w:r w:rsidRPr="00077E8C">
              <w:t>Short-term employee benefits</w:t>
            </w:r>
          </w:p>
        </w:tc>
        <w:tc>
          <w:tcPr>
            <w:tcW w:w="1985" w:type="dxa"/>
            <w:tcBorders>
              <w:top w:val="single" w:sz="4" w:space="0" w:color="auto"/>
              <w:bottom w:val="single" w:sz="4" w:space="0" w:color="A6A6A6"/>
              <w:right w:val="nil"/>
            </w:tcBorders>
            <w:shd w:val="clear" w:color="auto" w:fill="E7E6E6"/>
            <w:noWrap/>
            <w:hideMark/>
          </w:tcPr>
          <w:p w14:paraId="5DE8899C" w14:textId="77777777" w:rsidR="00CE75D4" w:rsidRPr="002029AF" w:rsidRDefault="00CE75D4" w:rsidP="008340C1">
            <w:pPr>
              <w:pStyle w:val="ARfintablebodyright"/>
            </w:pPr>
            <w:r w:rsidRPr="00077E8C">
              <w:t>44.8</w:t>
            </w:r>
          </w:p>
        </w:tc>
        <w:tc>
          <w:tcPr>
            <w:tcW w:w="1985" w:type="dxa"/>
            <w:tcBorders>
              <w:top w:val="single" w:sz="4" w:space="0" w:color="auto"/>
              <w:left w:val="nil"/>
              <w:bottom w:val="single" w:sz="4" w:space="0" w:color="A6A6A6"/>
            </w:tcBorders>
            <w:shd w:val="clear" w:color="auto" w:fill="auto"/>
            <w:noWrap/>
            <w:hideMark/>
          </w:tcPr>
          <w:p w14:paraId="3CF40415" w14:textId="77777777" w:rsidR="00CE75D4" w:rsidRPr="002029AF" w:rsidRDefault="00CE75D4" w:rsidP="008340C1">
            <w:pPr>
              <w:pStyle w:val="ARfintablebodyright"/>
            </w:pPr>
            <w:r w:rsidRPr="00077E8C">
              <w:t>56.0</w:t>
            </w:r>
          </w:p>
        </w:tc>
        <w:tc>
          <w:tcPr>
            <w:tcW w:w="1985" w:type="dxa"/>
            <w:tcBorders>
              <w:top w:val="single" w:sz="4" w:space="0" w:color="auto"/>
              <w:bottom w:val="single" w:sz="4" w:space="0" w:color="A6A6A6"/>
            </w:tcBorders>
          </w:tcPr>
          <w:p w14:paraId="784D6E5F" w14:textId="77777777" w:rsidR="00CE75D4" w:rsidRPr="002029AF" w:rsidRDefault="00CE75D4" w:rsidP="008340C1">
            <w:pPr>
              <w:pStyle w:val="ARfintablebodyright"/>
            </w:pPr>
            <w:r w:rsidRPr="00077E8C">
              <w:t>15.4</w:t>
            </w:r>
          </w:p>
        </w:tc>
      </w:tr>
      <w:tr w:rsidR="00CE75D4" w:rsidRPr="002029AF" w14:paraId="4509C476" w14:textId="77777777" w:rsidTr="008340C1">
        <w:trPr>
          <w:cantSplit w:val="0"/>
          <w:trHeight w:val="255"/>
        </w:trPr>
        <w:tc>
          <w:tcPr>
            <w:tcW w:w="3684" w:type="dxa"/>
            <w:tcBorders>
              <w:top w:val="single" w:sz="4" w:space="0" w:color="A6A6A6"/>
              <w:bottom w:val="single" w:sz="4" w:space="0" w:color="A6A6A6"/>
            </w:tcBorders>
            <w:hideMark/>
          </w:tcPr>
          <w:p w14:paraId="2CB7AD87" w14:textId="77777777" w:rsidR="00CE75D4" w:rsidRPr="002029AF" w:rsidRDefault="00CE75D4" w:rsidP="008340C1">
            <w:pPr>
              <w:pStyle w:val="ARfintablebody"/>
            </w:pPr>
            <w:r w:rsidRPr="00077E8C">
              <w:t>Post-employment benefits</w:t>
            </w:r>
          </w:p>
        </w:tc>
        <w:tc>
          <w:tcPr>
            <w:tcW w:w="1985" w:type="dxa"/>
            <w:tcBorders>
              <w:top w:val="single" w:sz="4" w:space="0" w:color="A6A6A6"/>
              <w:bottom w:val="single" w:sz="4" w:space="0" w:color="A6A6A6"/>
              <w:right w:val="nil"/>
            </w:tcBorders>
            <w:shd w:val="clear" w:color="auto" w:fill="E7E6E6"/>
            <w:noWrap/>
            <w:hideMark/>
          </w:tcPr>
          <w:p w14:paraId="1D88EF28" w14:textId="77777777" w:rsidR="00CE75D4" w:rsidRPr="002029AF" w:rsidRDefault="00CE75D4" w:rsidP="008340C1">
            <w:pPr>
              <w:pStyle w:val="ARfintablebodyright"/>
            </w:pPr>
            <w:r w:rsidRPr="00077E8C">
              <w:t>4.2</w:t>
            </w:r>
          </w:p>
        </w:tc>
        <w:tc>
          <w:tcPr>
            <w:tcW w:w="1985" w:type="dxa"/>
            <w:tcBorders>
              <w:top w:val="single" w:sz="4" w:space="0" w:color="A6A6A6"/>
              <w:left w:val="nil"/>
              <w:bottom w:val="single" w:sz="4" w:space="0" w:color="A6A6A6"/>
            </w:tcBorders>
            <w:shd w:val="clear" w:color="auto" w:fill="auto"/>
            <w:noWrap/>
            <w:hideMark/>
          </w:tcPr>
          <w:p w14:paraId="294BA694" w14:textId="77777777" w:rsidR="00CE75D4" w:rsidRPr="002029AF" w:rsidRDefault="00CE75D4" w:rsidP="008340C1">
            <w:pPr>
              <w:pStyle w:val="ARfintablebodyright"/>
            </w:pPr>
            <w:r w:rsidRPr="00077E8C">
              <w:t>5.0</w:t>
            </w:r>
          </w:p>
        </w:tc>
        <w:tc>
          <w:tcPr>
            <w:tcW w:w="1985" w:type="dxa"/>
            <w:tcBorders>
              <w:top w:val="single" w:sz="4" w:space="0" w:color="A6A6A6"/>
              <w:bottom w:val="single" w:sz="4" w:space="0" w:color="A6A6A6"/>
            </w:tcBorders>
          </w:tcPr>
          <w:p w14:paraId="56423576" w14:textId="77777777" w:rsidR="00CE75D4" w:rsidRPr="002029AF" w:rsidRDefault="00CE75D4" w:rsidP="008340C1">
            <w:pPr>
              <w:pStyle w:val="ARfintablebodyright"/>
            </w:pPr>
            <w:r w:rsidRPr="00077E8C">
              <w:t>1.2</w:t>
            </w:r>
          </w:p>
        </w:tc>
      </w:tr>
      <w:tr w:rsidR="00CE75D4" w:rsidRPr="002029AF" w14:paraId="399C521F" w14:textId="77777777" w:rsidTr="008340C1">
        <w:trPr>
          <w:cantSplit w:val="0"/>
          <w:trHeight w:val="255"/>
        </w:trPr>
        <w:tc>
          <w:tcPr>
            <w:tcW w:w="3684" w:type="dxa"/>
            <w:tcBorders>
              <w:top w:val="single" w:sz="4" w:space="0" w:color="A6A6A6"/>
              <w:bottom w:val="single" w:sz="4" w:space="0" w:color="A6A6A6"/>
            </w:tcBorders>
            <w:hideMark/>
          </w:tcPr>
          <w:p w14:paraId="22C2BF7B" w14:textId="77777777" w:rsidR="00CE75D4" w:rsidRPr="002029AF" w:rsidRDefault="00CE75D4" w:rsidP="008340C1">
            <w:pPr>
              <w:pStyle w:val="ARfintablebody"/>
            </w:pPr>
            <w:r w:rsidRPr="00077E8C">
              <w:t>Other long-term benefits</w:t>
            </w:r>
          </w:p>
        </w:tc>
        <w:tc>
          <w:tcPr>
            <w:tcW w:w="1985" w:type="dxa"/>
            <w:tcBorders>
              <w:top w:val="single" w:sz="4" w:space="0" w:color="A6A6A6"/>
              <w:bottom w:val="single" w:sz="4" w:space="0" w:color="A6A6A6"/>
              <w:right w:val="nil"/>
            </w:tcBorders>
            <w:shd w:val="clear" w:color="auto" w:fill="E7E6E6"/>
            <w:noWrap/>
            <w:hideMark/>
          </w:tcPr>
          <w:p w14:paraId="243898A5" w14:textId="77777777" w:rsidR="00CE75D4" w:rsidRPr="002029AF" w:rsidRDefault="00CE75D4" w:rsidP="008340C1">
            <w:pPr>
              <w:pStyle w:val="ARfintablebodyright"/>
            </w:pPr>
            <w:r w:rsidRPr="00077E8C">
              <w:t>1.1</w:t>
            </w:r>
          </w:p>
        </w:tc>
        <w:tc>
          <w:tcPr>
            <w:tcW w:w="1985" w:type="dxa"/>
            <w:tcBorders>
              <w:top w:val="single" w:sz="4" w:space="0" w:color="A6A6A6"/>
              <w:left w:val="nil"/>
              <w:bottom w:val="single" w:sz="4" w:space="0" w:color="A6A6A6"/>
            </w:tcBorders>
            <w:shd w:val="clear" w:color="auto" w:fill="auto"/>
            <w:noWrap/>
            <w:hideMark/>
          </w:tcPr>
          <w:p w14:paraId="2A44A5F1" w14:textId="77777777" w:rsidR="00CE75D4" w:rsidRPr="002029AF" w:rsidRDefault="00CE75D4" w:rsidP="008340C1">
            <w:pPr>
              <w:pStyle w:val="ARfintablebodyright"/>
            </w:pPr>
            <w:r w:rsidRPr="00077E8C">
              <w:t>1.4</w:t>
            </w:r>
          </w:p>
        </w:tc>
        <w:tc>
          <w:tcPr>
            <w:tcW w:w="1985" w:type="dxa"/>
            <w:tcBorders>
              <w:top w:val="single" w:sz="4" w:space="0" w:color="A6A6A6"/>
              <w:bottom w:val="single" w:sz="4" w:space="0" w:color="A6A6A6"/>
            </w:tcBorders>
          </w:tcPr>
          <w:p w14:paraId="269EEAA4" w14:textId="77777777" w:rsidR="00CE75D4" w:rsidRPr="002029AF" w:rsidRDefault="00CE75D4" w:rsidP="008340C1">
            <w:pPr>
              <w:pStyle w:val="ARfintablebodyright"/>
            </w:pPr>
            <w:r w:rsidRPr="00077E8C">
              <w:t>0.4</w:t>
            </w:r>
          </w:p>
        </w:tc>
      </w:tr>
      <w:tr w:rsidR="00CE75D4" w:rsidRPr="002029AF" w14:paraId="668B7EA5" w14:textId="77777777" w:rsidTr="008340C1">
        <w:trPr>
          <w:cantSplit w:val="0"/>
          <w:trHeight w:val="255"/>
        </w:trPr>
        <w:tc>
          <w:tcPr>
            <w:tcW w:w="3684" w:type="dxa"/>
            <w:tcBorders>
              <w:top w:val="single" w:sz="4" w:space="0" w:color="A6A6A6"/>
              <w:bottom w:val="single" w:sz="4" w:space="0" w:color="A6A6A6"/>
            </w:tcBorders>
            <w:hideMark/>
          </w:tcPr>
          <w:p w14:paraId="3D07401C" w14:textId="77777777" w:rsidR="00CE75D4" w:rsidRPr="002029AF" w:rsidRDefault="00CE75D4" w:rsidP="008340C1">
            <w:pPr>
              <w:pStyle w:val="ARfintablebody"/>
            </w:pPr>
            <w:r w:rsidRPr="00077E8C">
              <w:t>Termination benefits</w:t>
            </w:r>
          </w:p>
        </w:tc>
        <w:tc>
          <w:tcPr>
            <w:tcW w:w="1985" w:type="dxa"/>
            <w:tcBorders>
              <w:top w:val="single" w:sz="4" w:space="0" w:color="A6A6A6"/>
              <w:bottom w:val="single" w:sz="4" w:space="0" w:color="A6A6A6"/>
              <w:right w:val="nil"/>
            </w:tcBorders>
            <w:shd w:val="clear" w:color="auto" w:fill="E7E6E6"/>
            <w:noWrap/>
            <w:hideMark/>
          </w:tcPr>
          <w:p w14:paraId="5A334BA3" w14:textId="77777777" w:rsidR="00CE75D4" w:rsidRPr="002029AF" w:rsidRDefault="00CE75D4" w:rsidP="008340C1">
            <w:pPr>
              <w:pStyle w:val="ARfintablebodyright"/>
            </w:pPr>
            <w:r w:rsidRPr="00077E8C">
              <w:t>0.7</w:t>
            </w:r>
          </w:p>
        </w:tc>
        <w:tc>
          <w:tcPr>
            <w:tcW w:w="1985" w:type="dxa"/>
            <w:tcBorders>
              <w:top w:val="single" w:sz="4" w:space="0" w:color="A6A6A6"/>
              <w:left w:val="nil"/>
              <w:bottom w:val="single" w:sz="4" w:space="0" w:color="A6A6A6"/>
            </w:tcBorders>
            <w:shd w:val="clear" w:color="auto" w:fill="auto"/>
            <w:noWrap/>
            <w:hideMark/>
          </w:tcPr>
          <w:p w14:paraId="7CE98168" w14:textId="77777777" w:rsidR="00CE75D4" w:rsidRPr="002029AF" w:rsidRDefault="00CE75D4" w:rsidP="008340C1">
            <w:pPr>
              <w:pStyle w:val="ARfintablebodyright"/>
            </w:pPr>
            <w:r w:rsidRPr="00077E8C">
              <w:t>0.5</w:t>
            </w:r>
          </w:p>
        </w:tc>
        <w:tc>
          <w:tcPr>
            <w:tcW w:w="1985" w:type="dxa"/>
            <w:tcBorders>
              <w:top w:val="single" w:sz="4" w:space="0" w:color="A6A6A6"/>
              <w:bottom w:val="single" w:sz="4" w:space="0" w:color="A6A6A6"/>
            </w:tcBorders>
          </w:tcPr>
          <w:p w14:paraId="251660C7" w14:textId="77777777" w:rsidR="00CE75D4" w:rsidRPr="002029AF" w:rsidRDefault="00CE75D4" w:rsidP="008340C1">
            <w:pPr>
              <w:pStyle w:val="ARfintablebodyright"/>
            </w:pPr>
            <w:r w:rsidRPr="00077E8C">
              <w:t>0.2</w:t>
            </w:r>
          </w:p>
        </w:tc>
      </w:tr>
      <w:tr w:rsidR="00CE75D4" w:rsidRPr="002029AF" w14:paraId="40AA9D52" w14:textId="77777777" w:rsidTr="008340C1">
        <w:trPr>
          <w:cantSplit w:val="0"/>
          <w:trHeight w:val="255"/>
        </w:trPr>
        <w:tc>
          <w:tcPr>
            <w:tcW w:w="3684" w:type="dxa"/>
            <w:tcBorders>
              <w:top w:val="single" w:sz="4" w:space="0" w:color="A6A6A6"/>
            </w:tcBorders>
            <w:hideMark/>
          </w:tcPr>
          <w:p w14:paraId="10865D4E" w14:textId="77777777" w:rsidR="00CE75D4" w:rsidRPr="002029AF" w:rsidRDefault="00CE75D4" w:rsidP="008340C1">
            <w:pPr>
              <w:pStyle w:val="ARfintablebodybold"/>
            </w:pPr>
            <w:r w:rsidRPr="00077E8C">
              <w:t xml:space="preserve">Total remuneration </w:t>
            </w:r>
            <w:r w:rsidRPr="00F872BC">
              <w:rPr>
                <w:rStyle w:val="Superscript"/>
              </w:rPr>
              <w:t>(iii)</w:t>
            </w:r>
          </w:p>
        </w:tc>
        <w:tc>
          <w:tcPr>
            <w:tcW w:w="1985" w:type="dxa"/>
            <w:tcBorders>
              <w:top w:val="single" w:sz="4" w:space="0" w:color="A6A6A6"/>
              <w:right w:val="nil"/>
            </w:tcBorders>
            <w:shd w:val="clear" w:color="auto" w:fill="E7E6E6"/>
            <w:noWrap/>
            <w:hideMark/>
          </w:tcPr>
          <w:p w14:paraId="0DB63941" w14:textId="77777777" w:rsidR="00CE75D4" w:rsidRPr="002029AF" w:rsidRDefault="00CE75D4" w:rsidP="008340C1">
            <w:pPr>
              <w:pStyle w:val="ARfintablebodyrightbold"/>
            </w:pPr>
            <w:r w:rsidRPr="00077E8C">
              <w:t>50.8</w:t>
            </w:r>
          </w:p>
        </w:tc>
        <w:tc>
          <w:tcPr>
            <w:tcW w:w="1985" w:type="dxa"/>
            <w:tcBorders>
              <w:top w:val="single" w:sz="4" w:space="0" w:color="A6A6A6"/>
              <w:left w:val="nil"/>
            </w:tcBorders>
            <w:shd w:val="clear" w:color="auto" w:fill="auto"/>
            <w:noWrap/>
            <w:hideMark/>
          </w:tcPr>
          <w:p w14:paraId="22BF23C5" w14:textId="77777777" w:rsidR="00CE75D4" w:rsidRPr="002029AF" w:rsidRDefault="00CE75D4" w:rsidP="008340C1">
            <w:pPr>
              <w:pStyle w:val="ARfintablebodyrightbold"/>
            </w:pPr>
            <w:r w:rsidRPr="00077E8C">
              <w:t>62.9</w:t>
            </w:r>
          </w:p>
        </w:tc>
        <w:tc>
          <w:tcPr>
            <w:tcW w:w="1985" w:type="dxa"/>
            <w:tcBorders>
              <w:top w:val="single" w:sz="4" w:space="0" w:color="A6A6A6"/>
            </w:tcBorders>
          </w:tcPr>
          <w:p w14:paraId="19CBF60A" w14:textId="77777777" w:rsidR="00CE75D4" w:rsidRPr="002029AF" w:rsidRDefault="00CE75D4" w:rsidP="008340C1">
            <w:pPr>
              <w:pStyle w:val="ARfintablebodyrightbold"/>
            </w:pPr>
            <w:r w:rsidRPr="00077E8C">
              <w:t>17.1</w:t>
            </w:r>
          </w:p>
        </w:tc>
      </w:tr>
      <w:tr w:rsidR="00CE75D4" w:rsidRPr="002029AF" w14:paraId="53F975AD" w14:textId="77777777" w:rsidTr="008340C1">
        <w:trPr>
          <w:cantSplit w:val="0"/>
          <w:trHeight w:val="255"/>
        </w:trPr>
        <w:tc>
          <w:tcPr>
            <w:tcW w:w="3684" w:type="dxa"/>
            <w:hideMark/>
          </w:tcPr>
          <w:p w14:paraId="6C623BC3" w14:textId="77777777" w:rsidR="00CE75D4" w:rsidRPr="002029AF" w:rsidRDefault="00CE75D4" w:rsidP="008340C1">
            <w:pPr>
              <w:pStyle w:val="ARfintablebodybold"/>
            </w:pPr>
            <w:r w:rsidRPr="00077E8C">
              <w:t xml:space="preserve">Total number of executives </w:t>
            </w:r>
            <w:r w:rsidRPr="00F872BC">
              <w:rPr>
                <w:rStyle w:val="Superscript"/>
              </w:rPr>
              <w:t>(iii)</w:t>
            </w:r>
          </w:p>
        </w:tc>
        <w:tc>
          <w:tcPr>
            <w:tcW w:w="1985" w:type="dxa"/>
            <w:tcBorders>
              <w:right w:val="nil"/>
            </w:tcBorders>
            <w:shd w:val="clear" w:color="auto" w:fill="E7E6E6"/>
            <w:noWrap/>
            <w:hideMark/>
          </w:tcPr>
          <w:p w14:paraId="0F9B940A" w14:textId="77777777" w:rsidR="00CE75D4" w:rsidRPr="002029AF" w:rsidRDefault="00CE75D4" w:rsidP="008340C1">
            <w:pPr>
              <w:pStyle w:val="ARfintablebodyright"/>
            </w:pPr>
            <w:r w:rsidRPr="00077E8C">
              <w:t>28</w:t>
            </w:r>
            <w:r>
              <w:t>5</w:t>
            </w:r>
          </w:p>
        </w:tc>
        <w:tc>
          <w:tcPr>
            <w:tcW w:w="1985" w:type="dxa"/>
            <w:tcBorders>
              <w:left w:val="nil"/>
            </w:tcBorders>
            <w:shd w:val="clear" w:color="auto" w:fill="auto"/>
            <w:noWrap/>
            <w:hideMark/>
          </w:tcPr>
          <w:p w14:paraId="5E8B0232" w14:textId="77777777" w:rsidR="00CE75D4" w:rsidRPr="002029AF" w:rsidRDefault="00CE75D4" w:rsidP="008340C1">
            <w:pPr>
              <w:pStyle w:val="ARfintablebodyright"/>
            </w:pPr>
            <w:r w:rsidRPr="00077E8C">
              <w:t>376</w:t>
            </w:r>
          </w:p>
        </w:tc>
        <w:tc>
          <w:tcPr>
            <w:tcW w:w="1985" w:type="dxa"/>
          </w:tcPr>
          <w:p w14:paraId="15E02BB5" w14:textId="77777777" w:rsidR="00CE75D4" w:rsidRPr="002029AF" w:rsidRDefault="00CE75D4" w:rsidP="008340C1">
            <w:pPr>
              <w:pStyle w:val="ARfintablebodyright"/>
            </w:pPr>
            <w:r w:rsidRPr="00077E8C">
              <w:t>190</w:t>
            </w:r>
          </w:p>
        </w:tc>
      </w:tr>
      <w:tr w:rsidR="00CE75D4" w:rsidRPr="002029AF" w14:paraId="6CA80F52" w14:textId="77777777" w:rsidTr="008340C1">
        <w:trPr>
          <w:cantSplit w:val="0"/>
          <w:trHeight w:val="255"/>
        </w:trPr>
        <w:tc>
          <w:tcPr>
            <w:tcW w:w="3684" w:type="dxa"/>
            <w:hideMark/>
          </w:tcPr>
          <w:p w14:paraId="24244D29" w14:textId="77777777" w:rsidR="00CE75D4" w:rsidRPr="002029AF" w:rsidRDefault="00CE75D4" w:rsidP="008340C1">
            <w:pPr>
              <w:pStyle w:val="ARfintablebodybold"/>
            </w:pPr>
            <w:r w:rsidRPr="00077E8C">
              <w:t>Total annualised employee equivalent</w:t>
            </w:r>
            <w:r>
              <w:t> </w:t>
            </w:r>
            <w:r w:rsidRPr="00F872BC">
              <w:rPr>
                <w:rStyle w:val="Superscript"/>
              </w:rPr>
              <w:t>(iii)(iv)</w:t>
            </w:r>
          </w:p>
        </w:tc>
        <w:tc>
          <w:tcPr>
            <w:tcW w:w="1985" w:type="dxa"/>
            <w:tcBorders>
              <w:right w:val="nil"/>
            </w:tcBorders>
            <w:shd w:val="clear" w:color="auto" w:fill="E7E6E6"/>
            <w:noWrap/>
            <w:hideMark/>
          </w:tcPr>
          <w:p w14:paraId="1FB0D32C" w14:textId="77777777" w:rsidR="00CE75D4" w:rsidRPr="002029AF" w:rsidRDefault="00CE75D4" w:rsidP="008340C1">
            <w:pPr>
              <w:pStyle w:val="ARfintablebodyright"/>
            </w:pPr>
            <w:r w:rsidRPr="00077E8C">
              <w:t>197.</w:t>
            </w:r>
            <w:r>
              <w:t>3</w:t>
            </w:r>
          </w:p>
        </w:tc>
        <w:tc>
          <w:tcPr>
            <w:tcW w:w="1985" w:type="dxa"/>
            <w:tcBorders>
              <w:left w:val="nil"/>
            </w:tcBorders>
            <w:shd w:val="clear" w:color="auto" w:fill="auto"/>
            <w:noWrap/>
            <w:hideMark/>
          </w:tcPr>
          <w:p w14:paraId="5DA1F814" w14:textId="77777777" w:rsidR="00CE75D4" w:rsidRPr="002029AF" w:rsidRDefault="00CE75D4" w:rsidP="008340C1">
            <w:pPr>
              <w:pStyle w:val="ARfintablebodyright"/>
            </w:pPr>
            <w:r w:rsidRPr="00077E8C">
              <w:t>247.2</w:t>
            </w:r>
          </w:p>
        </w:tc>
        <w:tc>
          <w:tcPr>
            <w:tcW w:w="1985" w:type="dxa"/>
          </w:tcPr>
          <w:p w14:paraId="29B700D7" w14:textId="77777777" w:rsidR="00CE75D4" w:rsidRPr="002029AF" w:rsidRDefault="00CE75D4" w:rsidP="008340C1">
            <w:pPr>
              <w:pStyle w:val="ARfintablebodyright"/>
            </w:pPr>
            <w:r w:rsidRPr="00077E8C">
              <w:t>173.1</w:t>
            </w:r>
          </w:p>
        </w:tc>
      </w:tr>
    </w:tbl>
    <w:p w14:paraId="0660A71E" w14:textId="4B42C2F4" w:rsidR="00CE75D4" w:rsidRDefault="00CE75D4" w:rsidP="008340C1">
      <w:pPr>
        <w:pStyle w:val="ARfintablefootnote"/>
      </w:pPr>
      <w:bookmarkStart w:id="641" w:name="_Toc39242173"/>
      <w:r>
        <w:rPr>
          <w:lang w:eastAsia="en-AU"/>
        </w:rPr>
        <w:t>Notes:</w:t>
      </w:r>
    </w:p>
    <w:p w14:paraId="44F7D3C9" w14:textId="5B3DEE38" w:rsidR="00CE75D4" w:rsidRDefault="00CE75D4" w:rsidP="0053626B">
      <w:pPr>
        <w:pStyle w:val="ARfintablefootnoteindent"/>
      </w:pPr>
      <w:r>
        <w:t>(i)</w:t>
      </w:r>
      <w:r>
        <w:tab/>
        <w:t>Remuneration of KMPs seconded from other departments is not included.</w:t>
      </w:r>
    </w:p>
    <w:p w14:paraId="72848E19" w14:textId="4641E5FE" w:rsidR="00CE75D4" w:rsidDel="00BE6546" w:rsidRDefault="00CE75D4" w:rsidP="008340C1">
      <w:pPr>
        <w:pStyle w:val="ARfintablefootnoteindent"/>
      </w:pPr>
      <w:r>
        <w:t>(ii)</w:t>
      </w:r>
      <w:r>
        <w:tab/>
        <w:t>The figures include the Department of Health and the former Department of Health and Human Service</w:t>
      </w:r>
      <w:r w:rsidDel="00BE6546">
        <w:t>s.</w:t>
      </w:r>
    </w:p>
    <w:p w14:paraId="624C4B3E" w14:textId="6921102C" w:rsidR="00CE75D4" w:rsidRDefault="00CE75D4" w:rsidP="0053626B">
      <w:pPr>
        <w:pStyle w:val="ARfintablefootnoteindent"/>
      </w:pPr>
      <w:r>
        <w:t>(iii)</w:t>
      </w:r>
      <w:r>
        <w:tab/>
        <w:t>Total figures include the remuneration of the</w:t>
      </w:r>
      <w:r w:rsidR="00EE4123">
        <w:t xml:space="preserve"> Chief Finance Officer</w:t>
      </w:r>
      <w:r>
        <w:t xml:space="preserve"> </w:t>
      </w:r>
      <w:r w:rsidR="00EE4123">
        <w:t>(</w:t>
      </w:r>
      <w:r>
        <w:t>CFO</w:t>
      </w:r>
      <w:r w:rsidR="00EE4123">
        <w:t>)</w:t>
      </w:r>
      <w:r>
        <w:t>, who delivered services as an executive officer to the department but is employed by the Department of Treasury and Finance.</w:t>
      </w:r>
    </w:p>
    <w:p w14:paraId="23EF7499" w14:textId="77777777" w:rsidR="00CE75D4" w:rsidRDefault="00CE75D4" w:rsidP="008340C1">
      <w:pPr>
        <w:pStyle w:val="ARfintablefootnoteindent"/>
      </w:pPr>
      <w:r>
        <w:t>(iv)</w:t>
      </w:r>
      <w:r>
        <w:tab/>
        <w:t>Annualised employee equivalent is based on the time fraction worked over the reporting period.</w:t>
      </w:r>
    </w:p>
    <w:bookmarkEnd w:id="641"/>
    <w:p w14:paraId="3458DAB7" w14:textId="77777777" w:rsidR="00CE75D4" w:rsidRDefault="00CE75D4" w:rsidP="008340C1">
      <w:pPr>
        <w:pStyle w:val="Heading4"/>
      </w:pPr>
      <w:r>
        <w:rPr>
          <w:lang w:eastAsia="en-AU"/>
        </w:rPr>
        <w:t>9.8 Related parties</w:t>
      </w:r>
    </w:p>
    <w:p w14:paraId="4FCB5CBF" w14:textId="77777777" w:rsidR="00CE75D4" w:rsidRDefault="00CE75D4" w:rsidP="008340C1">
      <w:pPr>
        <w:pStyle w:val="ARfinbody"/>
      </w:pPr>
      <w:r>
        <w:t>The department is a wholly owned and controlled entity of the State of Victoria.</w:t>
      </w:r>
    </w:p>
    <w:p w14:paraId="47B1E30D" w14:textId="77777777" w:rsidR="00CE75D4" w:rsidRDefault="00CE75D4" w:rsidP="008340C1">
      <w:pPr>
        <w:pStyle w:val="ARfinbody"/>
      </w:pPr>
      <w:r>
        <w:t>The following Administrative Office has been consolidated into the department’s financial statements under s. 45(4) of the FMA:</w:t>
      </w:r>
    </w:p>
    <w:p w14:paraId="0E60577F" w14:textId="77777777" w:rsidR="00CE75D4" w:rsidRDefault="00CE75D4" w:rsidP="00817CFB">
      <w:pPr>
        <w:pStyle w:val="ARfinbullet1"/>
        <w:numPr>
          <w:ilvl w:val="0"/>
          <w:numId w:val="31"/>
        </w:numPr>
        <w:textAlignment w:val="auto"/>
      </w:pPr>
      <w:r>
        <w:t>Safer Care Victoria.</w:t>
      </w:r>
    </w:p>
    <w:p w14:paraId="21095A96" w14:textId="77777777" w:rsidR="00CE75D4" w:rsidRDefault="00CE75D4" w:rsidP="008340C1">
      <w:pPr>
        <w:pStyle w:val="ARfinbody"/>
      </w:pPr>
      <w:r>
        <w:t>The following entity has been consolidated into the department’s financial statements pursuant to the determination made by the Assistant Treasurer under s. 53(1)(b) of the FMA:</w:t>
      </w:r>
    </w:p>
    <w:p w14:paraId="7EE4EFD9" w14:textId="77777777" w:rsidR="00CE75D4" w:rsidRDefault="00CE75D4" w:rsidP="00817CFB">
      <w:pPr>
        <w:pStyle w:val="ARfinbullet1"/>
        <w:numPr>
          <w:ilvl w:val="0"/>
          <w:numId w:val="31"/>
        </w:numPr>
        <w:textAlignment w:val="auto"/>
      </w:pPr>
      <w:r>
        <w:t>Mental Health Tribunal.</w:t>
      </w:r>
    </w:p>
    <w:p w14:paraId="2FD2635A" w14:textId="77777777" w:rsidR="00CE75D4" w:rsidRDefault="00CE75D4" w:rsidP="008340C1">
      <w:pPr>
        <w:pStyle w:val="ARfinbody"/>
      </w:pPr>
      <w:r>
        <w:t>Related parties of the department and the abovementioned administrative office and entity include:</w:t>
      </w:r>
    </w:p>
    <w:p w14:paraId="353A2F6A" w14:textId="77777777" w:rsidR="00CE75D4" w:rsidRDefault="00CE75D4" w:rsidP="00817CFB">
      <w:pPr>
        <w:pStyle w:val="ARfinbullet1"/>
        <w:numPr>
          <w:ilvl w:val="0"/>
          <w:numId w:val="31"/>
        </w:numPr>
        <w:textAlignment w:val="auto"/>
      </w:pPr>
      <w:r>
        <w:t>all key management personnel and their close family members and personal business interests (controlled entities, joint ventures and entities they have significant influence over)</w:t>
      </w:r>
    </w:p>
    <w:p w14:paraId="1439C66F" w14:textId="77777777" w:rsidR="00CE75D4" w:rsidRDefault="00CE75D4" w:rsidP="00817CFB">
      <w:pPr>
        <w:pStyle w:val="ARfinbullet1"/>
        <w:numPr>
          <w:ilvl w:val="0"/>
          <w:numId w:val="31"/>
        </w:numPr>
        <w:textAlignment w:val="auto"/>
      </w:pPr>
      <w:r>
        <w:t>all cabinet ministers and their close family members</w:t>
      </w:r>
    </w:p>
    <w:p w14:paraId="077E4A66" w14:textId="77777777" w:rsidR="00CE75D4" w:rsidRDefault="00CE75D4" w:rsidP="00817CFB">
      <w:pPr>
        <w:pStyle w:val="ARfinbullet1"/>
        <w:numPr>
          <w:ilvl w:val="0"/>
          <w:numId w:val="31"/>
        </w:numPr>
        <w:textAlignment w:val="auto"/>
      </w:pPr>
      <w:r>
        <w:t>all departments and public sector entities that are controlled and consolidated into the whole of state consolidated financial statements.</w:t>
      </w:r>
    </w:p>
    <w:p w14:paraId="12F8D5C4" w14:textId="77777777" w:rsidR="00CE75D4" w:rsidRDefault="00CE75D4" w:rsidP="008340C1">
      <w:pPr>
        <w:pStyle w:val="ARfinbody"/>
      </w:pPr>
      <w:r>
        <w:t>All related party transactions have been entered into on an arm’s length basis.</w:t>
      </w:r>
    </w:p>
    <w:p w14:paraId="6F2D8835" w14:textId="77777777" w:rsidR="00CE75D4" w:rsidRPr="008B782D" w:rsidRDefault="00CE75D4" w:rsidP="008340C1">
      <w:pPr>
        <w:pStyle w:val="ARfinbody"/>
      </w:pPr>
      <w:r w:rsidRPr="008B782D">
        <w:br w:type="page"/>
      </w:r>
    </w:p>
    <w:p w14:paraId="40CF4873" w14:textId="77777777" w:rsidR="00CE75D4" w:rsidRDefault="00CE75D4" w:rsidP="008340C1">
      <w:pPr>
        <w:pStyle w:val="Heading5"/>
        <w:spacing w:before="160" w:after="60"/>
        <w:rPr>
          <w:lang w:eastAsia="en-AU"/>
        </w:rPr>
      </w:pPr>
      <w:r>
        <w:rPr>
          <w:lang w:eastAsia="en-AU"/>
        </w:rPr>
        <w:t>Significant transactions with government-related entities</w:t>
      </w:r>
    </w:p>
    <w:p w14:paraId="6B1B2C88" w14:textId="77777777" w:rsidR="00CE75D4" w:rsidRDefault="00CE75D4" w:rsidP="008340C1">
      <w:pPr>
        <w:pStyle w:val="ARfinbody"/>
      </w:pPr>
      <w:r>
        <w:t xml:space="preserve">The department received funding and made payments to the consolidated fund of $17,798.8 million </w:t>
      </w:r>
      <w:r>
        <w:br/>
        <w:t>(2021: $22,650.5 million) and $400.1 million (2021: $539.7 million) respectively.</w:t>
      </w:r>
    </w:p>
    <w:p w14:paraId="0C88458F" w14:textId="77777777" w:rsidR="00CE75D4" w:rsidRDefault="00CE75D4" w:rsidP="008340C1">
      <w:pPr>
        <w:pStyle w:val="ARfinbody"/>
      </w:pPr>
      <w:r>
        <w:t>Refer to Note 3.1.2 for other government-related entity transactions.</w:t>
      </w:r>
    </w:p>
    <w:p w14:paraId="62E144DB" w14:textId="77777777" w:rsidR="00CE75D4" w:rsidRDefault="00CE75D4" w:rsidP="008340C1">
      <w:pPr>
        <w:pStyle w:val="ARfinbodylargespace"/>
      </w:pPr>
      <w:r>
        <w:rPr>
          <w:rStyle w:val="Strong"/>
        </w:rPr>
        <w:t>Key management personnel</w:t>
      </w:r>
      <w:r>
        <w:t xml:space="preserve"> of the department include the Portfolio Ministers, The Hon Mary-Anne Thomas MP, The Hon Gabrielle Williams, The Hon Colin Brooks MP, The Hon Martin Foley MP, The Hon James Merlino MP, The Hon Luke Donnellan MP, and The Hon Anthony Carbines MP; the Secretary, Euan Wallace; and members of the senior executive team, which includes:</w:t>
      </w:r>
    </w:p>
    <w:tbl>
      <w:tblPr>
        <w:tblStyle w:val="TableGrid"/>
        <w:tblW w:w="9639" w:type="dxa"/>
        <w:tblLayout w:type="fixed"/>
        <w:tblLook w:val="06A0" w:firstRow="1" w:lastRow="0" w:firstColumn="1" w:lastColumn="0" w:noHBand="1" w:noVBand="1"/>
      </w:tblPr>
      <w:tblGrid>
        <w:gridCol w:w="1984"/>
        <w:gridCol w:w="1985"/>
        <w:gridCol w:w="2948"/>
        <w:gridCol w:w="1361"/>
        <w:gridCol w:w="1361"/>
      </w:tblGrid>
      <w:tr w:rsidR="00CE75D4" w:rsidRPr="002029AF" w14:paraId="12EDE4FC"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1985" w:type="dxa"/>
            <w:tcBorders>
              <w:bottom w:val="single" w:sz="4" w:space="0" w:color="auto"/>
            </w:tcBorders>
          </w:tcPr>
          <w:p w14:paraId="771B7174" w14:textId="77777777" w:rsidR="00CE75D4" w:rsidRPr="002029AF" w:rsidRDefault="00CE75D4" w:rsidP="00130D1C">
            <w:pPr>
              <w:pStyle w:val="ARfintablecolhead"/>
            </w:pPr>
            <w:r w:rsidRPr="002029AF">
              <w:t>Entity</w:t>
            </w:r>
          </w:p>
        </w:tc>
        <w:tc>
          <w:tcPr>
            <w:tcW w:w="1985" w:type="dxa"/>
            <w:tcBorders>
              <w:bottom w:val="single" w:sz="4" w:space="0" w:color="auto"/>
            </w:tcBorders>
          </w:tcPr>
          <w:p w14:paraId="72DC5E8E" w14:textId="77777777" w:rsidR="00CE75D4" w:rsidRPr="002029AF" w:rsidRDefault="00CE75D4" w:rsidP="00130D1C">
            <w:pPr>
              <w:pStyle w:val="ARfintablecolhead"/>
            </w:pPr>
            <w:r w:rsidRPr="002029AF">
              <w:t xml:space="preserve">Key </w:t>
            </w:r>
            <w:r>
              <w:t>m</w:t>
            </w:r>
            <w:r w:rsidRPr="002029AF">
              <w:t xml:space="preserve">anagement </w:t>
            </w:r>
            <w:r>
              <w:t>p</w:t>
            </w:r>
            <w:r w:rsidRPr="002029AF">
              <w:t>ersonnel</w:t>
            </w:r>
          </w:p>
        </w:tc>
        <w:tc>
          <w:tcPr>
            <w:tcW w:w="2948" w:type="dxa"/>
            <w:tcBorders>
              <w:bottom w:val="single" w:sz="4" w:space="0" w:color="auto"/>
            </w:tcBorders>
          </w:tcPr>
          <w:p w14:paraId="0B2471B0" w14:textId="77777777" w:rsidR="00CE75D4" w:rsidRPr="002029AF" w:rsidRDefault="00CE75D4" w:rsidP="00130D1C">
            <w:pPr>
              <w:pStyle w:val="ARfintablecolhead"/>
            </w:pPr>
            <w:r w:rsidRPr="002029AF">
              <w:t>Position title</w:t>
            </w:r>
          </w:p>
        </w:tc>
        <w:tc>
          <w:tcPr>
            <w:tcW w:w="1361" w:type="dxa"/>
            <w:tcBorders>
              <w:bottom w:val="single" w:sz="4" w:space="0" w:color="auto"/>
            </w:tcBorders>
          </w:tcPr>
          <w:p w14:paraId="102A2968" w14:textId="77777777" w:rsidR="00CE75D4" w:rsidRPr="002029AF" w:rsidRDefault="00CE75D4" w:rsidP="008340C1">
            <w:pPr>
              <w:pStyle w:val="ARfintablecolheadright"/>
            </w:pPr>
            <w:r>
              <w:t>From</w:t>
            </w:r>
          </w:p>
        </w:tc>
        <w:tc>
          <w:tcPr>
            <w:tcW w:w="1361" w:type="dxa"/>
            <w:tcBorders>
              <w:bottom w:val="single" w:sz="4" w:space="0" w:color="auto"/>
            </w:tcBorders>
          </w:tcPr>
          <w:p w14:paraId="3C8344A9" w14:textId="3F9F3A1D" w:rsidR="00CE75D4" w:rsidRPr="002029AF" w:rsidRDefault="00CE75D4" w:rsidP="008340C1">
            <w:pPr>
              <w:pStyle w:val="ARfintablecolheadright"/>
            </w:pPr>
            <w:r>
              <w:t>To</w:t>
            </w:r>
          </w:p>
        </w:tc>
      </w:tr>
      <w:tr w:rsidR="00CE75D4" w:rsidRPr="002029AF" w14:paraId="2A484ED4" w14:textId="77777777" w:rsidTr="3D493511">
        <w:trPr>
          <w:cantSplit w:val="0"/>
        </w:trPr>
        <w:tc>
          <w:tcPr>
            <w:tcW w:w="1985" w:type="dxa"/>
            <w:tcBorders>
              <w:top w:val="single" w:sz="4" w:space="0" w:color="auto"/>
              <w:bottom w:val="single" w:sz="4" w:space="0" w:color="A6A6A6" w:themeColor="background1" w:themeShade="A6"/>
            </w:tcBorders>
          </w:tcPr>
          <w:p w14:paraId="4B764601" w14:textId="77777777" w:rsidR="00CE75D4" w:rsidRPr="002029AF" w:rsidRDefault="00CE75D4" w:rsidP="008340C1">
            <w:pPr>
              <w:pStyle w:val="ARfintablebody"/>
            </w:pPr>
            <w:r w:rsidRPr="002019A7">
              <w:t>Department of Health</w:t>
            </w:r>
          </w:p>
        </w:tc>
        <w:tc>
          <w:tcPr>
            <w:tcW w:w="1985" w:type="dxa"/>
            <w:tcBorders>
              <w:top w:val="single" w:sz="4" w:space="0" w:color="auto"/>
              <w:bottom w:val="single" w:sz="4" w:space="0" w:color="A6A6A6" w:themeColor="background1" w:themeShade="A6"/>
            </w:tcBorders>
          </w:tcPr>
          <w:p w14:paraId="13685F85" w14:textId="77777777" w:rsidR="00CE75D4" w:rsidRPr="002029AF" w:rsidRDefault="00CE75D4" w:rsidP="008340C1">
            <w:pPr>
              <w:pStyle w:val="ARfintablebody"/>
            </w:pPr>
            <w:r w:rsidRPr="002019A7">
              <w:t>Jodie Geissler</w:t>
            </w:r>
          </w:p>
        </w:tc>
        <w:tc>
          <w:tcPr>
            <w:tcW w:w="2948" w:type="dxa"/>
            <w:tcBorders>
              <w:top w:val="single" w:sz="4" w:space="0" w:color="auto"/>
              <w:bottom w:val="single" w:sz="4" w:space="0" w:color="A6A6A6" w:themeColor="background1" w:themeShade="A6"/>
            </w:tcBorders>
          </w:tcPr>
          <w:p w14:paraId="26252BEA" w14:textId="77777777" w:rsidR="00CE75D4" w:rsidRPr="002029AF" w:rsidRDefault="00CE75D4" w:rsidP="008340C1">
            <w:pPr>
              <w:pStyle w:val="ARfintablebody"/>
            </w:pPr>
            <w:r w:rsidRPr="002019A7">
              <w:t>Deputy Secretary, Commissioning and System Improvement</w:t>
            </w:r>
          </w:p>
        </w:tc>
        <w:tc>
          <w:tcPr>
            <w:tcW w:w="1361" w:type="dxa"/>
            <w:tcBorders>
              <w:top w:val="single" w:sz="4" w:space="0" w:color="auto"/>
              <w:bottom w:val="single" w:sz="4" w:space="0" w:color="A6A6A6" w:themeColor="background1" w:themeShade="A6"/>
            </w:tcBorders>
          </w:tcPr>
          <w:p w14:paraId="7B126521" w14:textId="77777777" w:rsidR="00CE75D4" w:rsidRPr="002029AF" w:rsidRDefault="00CE75D4" w:rsidP="008340C1">
            <w:pPr>
              <w:pStyle w:val="ARfintablebodyright"/>
            </w:pPr>
            <w:r w:rsidRPr="002019A7">
              <w:t>1 Jul 2021</w:t>
            </w:r>
          </w:p>
        </w:tc>
        <w:tc>
          <w:tcPr>
            <w:tcW w:w="1361" w:type="dxa"/>
            <w:tcBorders>
              <w:top w:val="single" w:sz="4" w:space="0" w:color="auto"/>
              <w:bottom w:val="single" w:sz="4" w:space="0" w:color="A6A6A6" w:themeColor="background1" w:themeShade="A6"/>
            </w:tcBorders>
          </w:tcPr>
          <w:p w14:paraId="0BBE9AE1" w14:textId="77777777" w:rsidR="00CE75D4" w:rsidRPr="00D72137" w:rsidRDefault="00CE75D4" w:rsidP="008340C1">
            <w:pPr>
              <w:pStyle w:val="ARfintablebodyright"/>
            </w:pPr>
            <w:r w:rsidRPr="002019A7">
              <w:t>30 Jun 2022</w:t>
            </w:r>
          </w:p>
        </w:tc>
      </w:tr>
      <w:tr w:rsidR="00CE75D4" w:rsidRPr="002029AF" w14:paraId="0AA3B4F7" w14:textId="77777777" w:rsidTr="3D493511">
        <w:trPr>
          <w:cantSplit w:val="0"/>
        </w:trPr>
        <w:tc>
          <w:tcPr>
            <w:tcW w:w="1985" w:type="dxa"/>
            <w:tcBorders>
              <w:top w:val="single" w:sz="4" w:space="0" w:color="A6A6A6" w:themeColor="background1" w:themeShade="A6"/>
              <w:bottom w:val="single" w:sz="4" w:space="0" w:color="A6A6A6" w:themeColor="background1" w:themeShade="A6"/>
            </w:tcBorders>
          </w:tcPr>
          <w:p w14:paraId="3304F17C" w14:textId="77777777" w:rsidR="00CE75D4" w:rsidRPr="002029AF" w:rsidRDefault="00CE75D4" w:rsidP="008340C1">
            <w:pPr>
              <w:pStyle w:val="ARfintablebody"/>
            </w:pPr>
            <w:r w:rsidRPr="002019A7">
              <w:t>Department of Health</w:t>
            </w:r>
          </w:p>
        </w:tc>
        <w:tc>
          <w:tcPr>
            <w:tcW w:w="1985" w:type="dxa"/>
            <w:tcBorders>
              <w:top w:val="single" w:sz="4" w:space="0" w:color="A6A6A6" w:themeColor="background1" w:themeShade="A6"/>
              <w:bottom w:val="single" w:sz="4" w:space="0" w:color="A6A6A6" w:themeColor="background1" w:themeShade="A6"/>
            </w:tcBorders>
          </w:tcPr>
          <w:p w14:paraId="5FB0ED0C" w14:textId="77777777" w:rsidR="00CE75D4" w:rsidRPr="002029AF" w:rsidRDefault="00CE75D4" w:rsidP="008340C1">
            <w:pPr>
              <w:pStyle w:val="ARfintablebody"/>
            </w:pPr>
            <w:r w:rsidRPr="002019A7">
              <w:t>Katherine Whetton</w:t>
            </w:r>
          </w:p>
        </w:tc>
        <w:tc>
          <w:tcPr>
            <w:tcW w:w="2948" w:type="dxa"/>
            <w:tcBorders>
              <w:top w:val="single" w:sz="4" w:space="0" w:color="A6A6A6" w:themeColor="background1" w:themeShade="A6"/>
              <w:bottom w:val="single" w:sz="4" w:space="0" w:color="A6A6A6" w:themeColor="background1" w:themeShade="A6"/>
            </w:tcBorders>
          </w:tcPr>
          <w:p w14:paraId="2182DEBF" w14:textId="77777777" w:rsidR="00CE75D4" w:rsidRPr="002029AF" w:rsidRDefault="00CE75D4" w:rsidP="008340C1">
            <w:pPr>
              <w:pStyle w:val="ARfintablebody"/>
            </w:pPr>
            <w:r w:rsidRPr="002019A7">
              <w:t>Deputy Secretary, Mental Health</w:t>
            </w:r>
          </w:p>
        </w:tc>
        <w:tc>
          <w:tcPr>
            <w:tcW w:w="1361" w:type="dxa"/>
            <w:tcBorders>
              <w:top w:val="single" w:sz="4" w:space="0" w:color="A6A6A6" w:themeColor="background1" w:themeShade="A6"/>
              <w:bottom w:val="single" w:sz="4" w:space="0" w:color="A6A6A6" w:themeColor="background1" w:themeShade="A6"/>
            </w:tcBorders>
          </w:tcPr>
          <w:p w14:paraId="34A802C1" w14:textId="77777777" w:rsidR="00CE75D4" w:rsidRPr="002029AF" w:rsidRDefault="00CE75D4" w:rsidP="008340C1">
            <w:pPr>
              <w:pStyle w:val="ARfintablebodyright"/>
            </w:pPr>
            <w:r w:rsidRPr="002019A7">
              <w:t>1 Jul 2021</w:t>
            </w:r>
          </w:p>
        </w:tc>
        <w:tc>
          <w:tcPr>
            <w:tcW w:w="1361" w:type="dxa"/>
            <w:tcBorders>
              <w:top w:val="single" w:sz="4" w:space="0" w:color="A6A6A6" w:themeColor="background1" w:themeShade="A6"/>
              <w:bottom w:val="single" w:sz="4" w:space="0" w:color="A6A6A6" w:themeColor="background1" w:themeShade="A6"/>
            </w:tcBorders>
          </w:tcPr>
          <w:p w14:paraId="2C7E76E3" w14:textId="77777777" w:rsidR="00CE75D4" w:rsidRPr="00B52B3C" w:rsidRDefault="00CE75D4" w:rsidP="008340C1">
            <w:pPr>
              <w:pStyle w:val="ARfintablebodyright"/>
            </w:pPr>
            <w:r w:rsidRPr="002019A7">
              <w:t>30 Jun 2022</w:t>
            </w:r>
          </w:p>
        </w:tc>
      </w:tr>
      <w:tr w:rsidR="00CE75D4" w:rsidRPr="002029AF" w14:paraId="1D643CBA" w14:textId="77777777" w:rsidTr="3D493511">
        <w:trPr>
          <w:cantSplit w:val="0"/>
        </w:trPr>
        <w:tc>
          <w:tcPr>
            <w:tcW w:w="1985" w:type="dxa"/>
            <w:tcBorders>
              <w:top w:val="single" w:sz="4" w:space="0" w:color="A6A6A6" w:themeColor="background1" w:themeShade="A6"/>
              <w:bottom w:val="single" w:sz="4" w:space="0" w:color="A6A6A6" w:themeColor="background1" w:themeShade="A6"/>
            </w:tcBorders>
          </w:tcPr>
          <w:p w14:paraId="45621AAF" w14:textId="77777777" w:rsidR="00CE75D4" w:rsidRPr="002029AF" w:rsidRDefault="00CE75D4" w:rsidP="008340C1">
            <w:pPr>
              <w:pStyle w:val="ARfintablebody"/>
            </w:pPr>
            <w:r w:rsidRPr="002019A7">
              <w:t>Department of Health</w:t>
            </w:r>
          </w:p>
        </w:tc>
        <w:tc>
          <w:tcPr>
            <w:tcW w:w="1985" w:type="dxa"/>
            <w:tcBorders>
              <w:top w:val="single" w:sz="4" w:space="0" w:color="A6A6A6" w:themeColor="background1" w:themeShade="A6"/>
              <w:bottom w:val="single" w:sz="4" w:space="0" w:color="A6A6A6" w:themeColor="background1" w:themeShade="A6"/>
            </w:tcBorders>
          </w:tcPr>
          <w:p w14:paraId="5FA672D4" w14:textId="77777777" w:rsidR="00CE75D4" w:rsidRPr="002029AF" w:rsidRDefault="00CE75D4" w:rsidP="008340C1">
            <w:pPr>
              <w:pStyle w:val="ARfintablebody"/>
            </w:pPr>
            <w:r w:rsidRPr="002019A7">
              <w:t>Zoe Wainer</w:t>
            </w:r>
          </w:p>
        </w:tc>
        <w:tc>
          <w:tcPr>
            <w:tcW w:w="2948" w:type="dxa"/>
            <w:tcBorders>
              <w:top w:val="single" w:sz="4" w:space="0" w:color="A6A6A6" w:themeColor="background1" w:themeShade="A6"/>
              <w:bottom w:val="single" w:sz="4" w:space="0" w:color="A6A6A6" w:themeColor="background1" w:themeShade="A6"/>
            </w:tcBorders>
          </w:tcPr>
          <w:p w14:paraId="0F902541" w14:textId="77777777" w:rsidR="00CE75D4" w:rsidRPr="002029AF" w:rsidRDefault="00CE75D4" w:rsidP="008340C1">
            <w:pPr>
              <w:pStyle w:val="ARfintablebody"/>
            </w:pPr>
            <w:r w:rsidRPr="002019A7">
              <w:t>Deputy Secretary, Public Health</w:t>
            </w:r>
          </w:p>
        </w:tc>
        <w:tc>
          <w:tcPr>
            <w:tcW w:w="1361" w:type="dxa"/>
            <w:tcBorders>
              <w:top w:val="single" w:sz="4" w:space="0" w:color="A6A6A6" w:themeColor="background1" w:themeShade="A6"/>
              <w:bottom w:val="single" w:sz="4" w:space="0" w:color="A6A6A6" w:themeColor="background1" w:themeShade="A6"/>
            </w:tcBorders>
          </w:tcPr>
          <w:p w14:paraId="27F1FA38" w14:textId="77777777" w:rsidR="00CE75D4" w:rsidRPr="002029AF" w:rsidRDefault="00CE75D4" w:rsidP="008340C1">
            <w:pPr>
              <w:pStyle w:val="ARfintablebodyright"/>
            </w:pPr>
            <w:r w:rsidRPr="002019A7">
              <w:t>1 Jul 2021</w:t>
            </w:r>
          </w:p>
        </w:tc>
        <w:tc>
          <w:tcPr>
            <w:tcW w:w="1361" w:type="dxa"/>
            <w:tcBorders>
              <w:top w:val="single" w:sz="4" w:space="0" w:color="A6A6A6" w:themeColor="background1" w:themeShade="A6"/>
              <w:bottom w:val="single" w:sz="4" w:space="0" w:color="A6A6A6" w:themeColor="background1" w:themeShade="A6"/>
            </w:tcBorders>
          </w:tcPr>
          <w:p w14:paraId="0918F463" w14:textId="77777777" w:rsidR="00CE75D4" w:rsidRDefault="00CE75D4" w:rsidP="008340C1">
            <w:pPr>
              <w:pStyle w:val="ARfintablebodyright"/>
            </w:pPr>
            <w:r w:rsidRPr="002019A7">
              <w:t>30 Jun 2022</w:t>
            </w:r>
          </w:p>
        </w:tc>
      </w:tr>
      <w:tr w:rsidR="00CE75D4" w:rsidRPr="002029AF" w14:paraId="2BC567CB" w14:textId="77777777" w:rsidTr="3D493511">
        <w:trPr>
          <w:cantSplit w:val="0"/>
        </w:trPr>
        <w:tc>
          <w:tcPr>
            <w:tcW w:w="1985" w:type="dxa"/>
            <w:tcBorders>
              <w:top w:val="single" w:sz="4" w:space="0" w:color="A6A6A6" w:themeColor="background1" w:themeShade="A6"/>
              <w:bottom w:val="single" w:sz="4" w:space="0" w:color="A6A6A6" w:themeColor="background1" w:themeShade="A6"/>
            </w:tcBorders>
          </w:tcPr>
          <w:p w14:paraId="297A7F58" w14:textId="77777777" w:rsidR="00CE75D4" w:rsidRPr="002029AF" w:rsidRDefault="00CE75D4" w:rsidP="008340C1">
            <w:pPr>
              <w:pStyle w:val="ARfintablebody"/>
            </w:pPr>
            <w:r w:rsidRPr="002019A7">
              <w:t>Department of Health</w:t>
            </w:r>
          </w:p>
        </w:tc>
        <w:tc>
          <w:tcPr>
            <w:tcW w:w="1985" w:type="dxa"/>
            <w:tcBorders>
              <w:top w:val="single" w:sz="4" w:space="0" w:color="A6A6A6" w:themeColor="background1" w:themeShade="A6"/>
              <w:bottom w:val="single" w:sz="4" w:space="0" w:color="A6A6A6" w:themeColor="background1" w:themeShade="A6"/>
            </w:tcBorders>
          </w:tcPr>
          <w:p w14:paraId="5B74094A" w14:textId="77777777" w:rsidR="00CE75D4" w:rsidRPr="002029AF" w:rsidRDefault="00CE75D4" w:rsidP="008340C1">
            <w:pPr>
              <w:pStyle w:val="ARfintablebody"/>
            </w:pPr>
            <w:r w:rsidRPr="002019A7">
              <w:t>Jeroen Weimar</w:t>
            </w:r>
          </w:p>
        </w:tc>
        <w:tc>
          <w:tcPr>
            <w:tcW w:w="2948" w:type="dxa"/>
            <w:tcBorders>
              <w:top w:val="single" w:sz="4" w:space="0" w:color="A6A6A6" w:themeColor="background1" w:themeShade="A6"/>
              <w:bottom w:val="single" w:sz="4" w:space="0" w:color="A6A6A6" w:themeColor="background1" w:themeShade="A6"/>
            </w:tcBorders>
          </w:tcPr>
          <w:p w14:paraId="0D95502D" w14:textId="77777777" w:rsidR="00CE75D4" w:rsidRPr="002029AF" w:rsidRDefault="00CE75D4" w:rsidP="008340C1">
            <w:pPr>
              <w:pStyle w:val="ARfintablebody"/>
            </w:pPr>
            <w:r w:rsidRPr="002019A7">
              <w:t xml:space="preserve">Deputy Secretary, COVID-19 Response </w:t>
            </w:r>
            <w:r w:rsidRPr="00C81999">
              <w:rPr>
                <w:rStyle w:val="Superscript"/>
              </w:rPr>
              <w:t>(i)</w:t>
            </w:r>
          </w:p>
        </w:tc>
        <w:tc>
          <w:tcPr>
            <w:tcW w:w="1361" w:type="dxa"/>
            <w:tcBorders>
              <w:top w:val="single" w:sz="4" w:space="0" w:color="A6A6A6" w:themeColor="background1" w:themeShade="A6"/>
              <w:bottom w:val="single" w:sz="4" w:space="0" w:color="A6A6A6" w:themeColor="background1" w:themeShade="A6"/>
            </w:tcBorders>
          </w:tcPr>
          <w:p w14:paraId="34317E3A" w14:textId="77777777" w:rsidR="00CE75D4" w:rsidRPr="002029AF" w:rsidRDefault="00CE75D4" w:rsidP="008340C1">
            <w:pPr>
              <w:pStyle w:val="ARfintablebodyright"/>
            </w:pPr>
            <w:r w:rsidRPr="002019A7">
              <w:t>1 Jul 2021</w:t>
            </w:r>
          </w:p>
        </w:tc>
        <w:tc>
          <w:tcPr>
            <w:tcW w:w="1361" w:type="dxa"/>
            <w:tcBorders>
              <w:top w:val="single" w:sz="4" w:space="0" w:color="A6A6A6" w:themeColor="background1" w:themeShade="A6"/>
              <w:bottom w:val="single" w:sz="4" w:space="0" w:color="A6A6A6" w:themeColor="background1" w:themeShade="A6"/>
            </w:tcBorders>
          </w:tcPr>
          <w:p w14:paraId="69C45388" w14:textId="77777777" w:rsidR="00CE75D4" w:rsidRDefault="00CE75D4" w:rsidP="008340C1">
            <w:pPr>
              <w:pStyle w:val="ARfintablebodyright"/>
            </w:pPr>
            <w:r w:rsidRPr="002019A7">
              <w:t>30 Apr 2022</w:t>
            </w:r>
          </w:p>
        </w:tc>
      </w:tr>
      <w:tr w:rsidR="00CE75D4" w:rsidRPr="002029AF" w14:paraId="24A75BD5" w14:textId="77777777" w:rsidTr="3D493511">
        <w:trPr>
          <w:cantSplit w:val="0"/>
        </w:trPr>
        <w:tc>
          <w:tcPr>
            <w:tcW w:w="1985" w:type="dxa"/>
            <w:tcBorders>
              <w:top w:val="single" w:sz="4" w:space="0" w:color="A6A6A6" w:themeColor="background1" w:themeShade="A6"/>
              <w:bottom w:val="single" w:sz="4" w:space="0" w:color="A6A6A6" w:themeColor="background1" w:themeShade="A6"/>
            </w:tcBorders>
          </w:tcPr>
          <w:p w14:paraId="4F2B92FD" w14:textId="77777777" w:rsidR="00CE75D4" w:rsidRPr="002029AF" w:rsidRDefault="00CE75D4" w:rsidP="008340C1">
            <w:pPr>
              <w:pStyle w:val="ARfintablebody"/>
            </w:pPr>
            <w:r w:rsidRPr="002019A7">
              <w:t>Department of Health</w:t>
            </w:r>
          </w:p>
        </w:tc>
        <w:tc>
          <w:tcPr>
            <w:tcW w:w="1985" w:type="dxa"/>
            <w:tcBorders>
              <w:top w:val="single" w:sz="4" w:space="0" w:color="A6A6A6" w:themeColor="background1" w:themeShade="A6"/>
              <w:bottom w:val="single" w:sz="4" w:space="0" w:color="A6A6A6" w:themeColor="background1" w:themeShade="A6"/>
            </w:tcBorders>
          </w:tcPr>
          <w:p w14:paraId="55B2CF3F" w14:textId="77777777" w:rsidR="00CE75D4" w:rsidRPr="002029AF" w:rsidRDefault="00CE75D4" w:rsidP="008340C1">
            <w:pPr>
              <w:pStyle w:val="ARfintablebody"/>
            </w:pPr>
            <w:r w:rsidRPr="002019A7">
              <w:t>Emma Catford</w:t>
            </w:r>
          </w:p>
        </w:tc>
        <w:tc>
          <w:tcPr>
            <w:tcW w:w="2948" w:type="dxa"/>
            <w:tcBorders>
              <w:top w:val="single" w:sz="4" w:space="0" w:color="A6A6A6" w:themeColor="background1" w:themeShade="A6"/>
              <w:bottom w:val="single" w:sz="4" w:space="0" w:color="A6A6A6" w:themeColor="background1" w:themeShade="A6"/>
            </w:tcBorders>
          </w:tcPr>
          <w:p w14:paraId="47C58DD6" w14:textId="77777777" w:rsidR="00CE75D4" w:rsidRPr="002029AF" w:rsidRDefault="00CE75D4" w:rsidP="008340C1">
            <w:pPr>
              <w:pStyle w:val="ARfintablebody"/>
            </w:pPr>
            <w:r w:rsidRPr="002019A7">
              <w:t xml:space="preserve">Deputy Secretary, COVID-19 Response </w:t>
            </w:r>
            <w:r w:rsidRPr="00C81999">
              <w:rPr>
                <w:rStyle w:val="Superscript"/>
              </w:rPr>
              <w:t>(ii)</w:t>
            </w:r>
          </w:p>
        </w:tc>
        <w:tc>
          <w:tcPr>
            <w:tcW w:w="1361" w:type="dxa"/>
            <w:tcBorders>
              <w:top w:val="single" w:sz="4" w:space="0" w:color="A6A6A6" w:themeColor="background1" w:themeShade="A6"/>
              <w:bottom w:val="single" w:sz="4" w:space="0" w:color="A6A6A6" w:themeColor="background1" w:themeShade="A6"/>
            </w:tcBorders>
          </w:tcPr>
          <w:p w14:paraId="00DF1E71" w14:textId="77777777" w:rsidR="00CE75D4" w:rsidRPr="00070EE3" w:rsidRDefault="00CE75D4" w:rsidP="008340C1">
            <w:pPr>
              <w:pStyle w:val="ARfintablebodyright"/>
            </w:pPr>
            <w:r>
              <w:t>16 Jul 2021</w:t>
            </w:r>
          </w:p>
        </w:tc>
        <w:tc>
          <w:tcPr>
            <w:tcW w:w="1361" w:type="dxa"/>
            <w:tcBorders>
              <w:top w:val="single" w:sz="4" w:space="0" w:color="A6A6A6" w:themeColor="background1" w:themeShade="A6"/>
              <w:bottom w:val="single" w:sz="4" w:space="0" w:color="A6A6A6" w:themeColor="background1" w:themeShade="A6"/>
            </w:tcBorders>
          </w:tcPr>
          <w:p w14:paraId="0A9F8469" w14:textId="77777777" w:rsidR="00CE75D4" w:rsidRPr="00070EE3" w:rsidRDefault="00CE75D4" w:rsidP="008340C1">
            <w:pPr>
              <w:pStyle w:val="ARfintablebodyright"/>
            </w:pPr>
            <w:r>
              <w:t>31 Oct 2021</w:t>
            </w:r>
          </w:p>
        </w:tc>
      </w:tr>
      <w:tr w:rsidR="00CE75D4" w:rsidRPr="002029AF" w14:paraId="614128F3" w14:textId="77777777" w:rsidTr="3D493511">
        <w:trPr>
          <w:cantSplit w:val="0"/>
        </w:trPr>
        <w:tc>
          <w:tcPr>
            <w:tcW w:w="1985" w:type="dxa"/>
            <w:tcBorders>
              <w:top w:val="single" w:sz="4" w:space="0" w:color="A6A6A6" w:themeColor="background1" w:themeShade="A6"/>
              <w:bottom w:val="single" w:sz="4" w:space="0" w:color="A6A6A6" w:themeColor="background1" w:themeShade="A6"/>
            </w:tcBorders>
          </w:tcPr>
          <w:p w14:paraId="437AB563" w14:textId="77777777" w:rsidR="00CE75D4" w:rsidRPr="002029AF" w:rsidRDefault="00CE75D4" w:rsidP="008340C1">
            <w:pPr>
              <w:pStyle w:val="ARfintablebody"/>
            </w:pPr>
            <w:r w:rsidRPr="002019A7">
              <w:t>Department of Health</w:t>
            </w:r>
          </w:p>
        </w:tc>
        <w:tc>
          <w:tcPr>
            <w:tcW w:w="1985" w:type="dxa"/>
            <w:tcBorders>
              <w:top w:val="single" w:sz="4" w:space="0" w:color="A6A6A6" w:themeColor="background1" w:themeShade="A6"/>
              <w:bottom w:val="single" w:sz="4" w:space="0" w:color="A6A6A6" w:themeColor="background1" w:themeShade="A6"/>
            </w:tcBorders>
          </w:tcPr>
          <w:p w14:paraId="558D5F3B" w14:textId="77777777" w:rsidR="00CE75D4" w:rsidRPr="002029AF" w:rsidRDefault="00CE75D4" w:rsidP="008340C1">
            <w:pPr>
              <w:pStyle w:val="ARfintablebody"/>
            </w:pPr>
            <w:r w:rsidRPr="002019A7">
              <w:t>Chris Hotham</w:t>
            </w:r>
          </w:p>
        </w:tc>
        <w:tc>
          <w:tcPr>
            <w:tcW w:w="2948" w:type="dxa"/>
            <w:tcBorders>
              <w:top w:val="single" w:sz="4" w:space="0" w:color="A6A6A6" w:themeColor="background1" w:themeShade="A6"/>
              <w:bottom w:val="single" w:sz="4" w:space="0" w:color="A6A6A6" w:themeColor="background1" w:themeShade="A6"/>
            </w:tcBorders>
          </w:tcPr>
          <w:p w14:paraId="2B8B4EE0" w14:textId="77777777" w:rsidR="00CE75D4" w:rsidRPr="002029AF" w:rsidRDefault="00CE75D4" w:rsidP="008340C1">
            <w:pPr>
              <w:pStyle w:val="ARfintablebody"/>
            </w:pPr>
            <w:r w:rsidRPr="002019A7">
              <w:t>Deputy Secretary, Health Infrastructure</w:t>
            </w:r>
          </w:p>
        </w:tc>
        <w:tc>
          <w:tcPr>
            <w:tcW w:w="1361" w:type="dxa"/>
            <w:tcBorders>
              <w:top w:val="single" w:sz="4" w:space="0" w:color="A6A6A6" w:themeColor="background1" w:themeShade="A6"/>
              <w:bottom w:val="single" w:sz="4" w:space="0" w:color="A6A6A6" w:themeColor="background1" w:themeShade="A6"/>
            </w:tcBorders>
          </w:tcPr>
          <w:p w14:paraId="1A5DA532" w14:textId="77777777" w:rsidR="00CE75D4" w:rsidRPr="002029AF" w:rsidRDefault="00CE75D4" w:rsidP="008340C1">
            <w:pPr>
              <w:pStyle w:val="ARfintablebodyright"/>
            </w:pPr>
            <w:r w:rsidRPr="002019A7">
              <w:t>1 Jul 2021</w:t>
            </w:r>
          </w:p>
        </w:tc>
        <w:tc>
          <w:tcPr>
            <w:tcW w:w="1361" w:type="dxa"/>
            <w:tcBorders>
              <w:top w:val="single" w:sz="4" w:space="0" w:color="A6A6A6" w:themeColor="background1" w:themeShade="A6"/>
              <w:bottom w:val="single" w:sz="4" w:space="0" w:color="A6A6A6" w:themeColor="background1" w:themeShade="A6"/>
            </w:tcBorders>
          </w:tcPr>
          <w:p w14:paraId="15971D06" w14:textId="77777777" w:rsidR="00CE75D4" w:rsidRPr="00B52B3C" w:rsidRDefault="00CE75D4" w:rsidP="008340C1">
            <w:pPr>
              <w:pStyle w:val="ARfintablebodyright"/>
            </w:pPr>
            <w:r w:rsidRPr="002019A7">
              <w:t>30 Jun 2022</w:t>
            </w:r>
          </w:p>
        </w:tc>
      </w:tr>
      <w:tr w:rsidR="00CE75D4" w:rsidRPr="002029AF" w14:paraId="5B6EF7A0" w14:textId="77777777" w:rsidTr="3D493511">
        <w:trPr>
          <w:cantSplit w:val="0"/>
        </w:trPr>
        <w:tc>
          <w:tcPr>
            <w:tcW w:w="1985" w:type="dxa"/>
            <w:tcBorders>
              <w:top w:val="single" w:sz="4" w:space="0" w:color="A6A6A6" w:themeColor="background1" w:themeShade="A6"/>
              <w:bottom w:val="single" w:sz="4" w:space="0" w:color="A6A6A6" w:themeColor="background1" w:themeShade="A6"/>
            </w:tcBorders>
          </w:tcPr>
          <w:p w14:paraId="1BCCCDD8" w14:textId="77777777" w:rsidR="00CE75D4" w:rsidRPr="002029AF" w:rsidRDefault="00CE75D4" w:rsidP="008340C1">
            <w:pPr>
              <w:pStyle w:val="ARfintablebody"/>
            </w:pPr>
            <w:r w:rsidRPr="002019A7">
              <w:t>Department of Health</w:t>
            </w:r>
          </w:p>
        </w:tc>
        <w:tc>
          <w:tcPr>
            <w:tcW w:w="1985" w:type="dxa"/>
            <w:tcBorders>
              <w:top w:val="single" w:sz="4" w:space="0" w:color="A6A6A6" w:themeColor="background1" w:themeShade="A6"/>
              <w:bottom w:val="single" w:sz="4" w:space="0" w:color="A6A6A6" w:themeColor="background1" w:themeShade="A6"/>
            </w:tcBorders>
          </w:tcPr>
          <w:p w14:paraId="1B018999" w14:textId="77777777" w:rsidR="00CE75D4" w:rsidRPr="002029AF" w:rsidRDefault="00CE75D4" w:rsidP="008340C1">
            <w:pPr>
              <w:pStyle w:val="ARfintablebody"/>
            </w:pPr>
            <w:r w:rsidRPr="002019A7">
              <w:t>Peter Breadon</w:t>
            </w:r>
          </w:p>
        </w:tc>
        <w:tc>
          <w:tcPr>
            <w:tcW w:w="2948" w:type="dxa"/>
            <w:tcBorders>
              <w:top w:val="single" w:sz="4" w:space="0" w:color="A6A6A6" w:themeColor="background1" w:themeShade="A6"/>
              <w:bottom w:val="single" w:sz="4" w:space="0" w:color="A6A6A6" w:themeColor="background1" w:themeShade="A6"/>
            </w:tcBorders>
          </w:tcPr>
          <w:p w14:paraId="250879EA" w14:textId="77777777" w:rsidR="00CE75D4" w:rsidRPr="002029AF" w:rsidRDefault="00CE75D4" w:rsidP="008340C1">
            <w:pPr>
              <w:pStyle w:val="ARfintablebody"/>
            </w:pPr>
            <w:r w:rsidRPr="002019A7">
              <w:t>Deputy Secretary, Reform and</w:t>
            </w:r>
            <w:r>
              <w:t> </w:t>
            </w:r>
            <w:r w:rsidRPr="002019A7">
              <w:t>Planning</w:t>
            </w:r>
          </w:p>
        </w:tc>
        <w:tc>
          <w:tcPr>
            <w:tcW w:w="1361" w:type="dxa"/>
            <w:tcBorders>
              <w:top w:val="single" w:sz="4" w:space="0" w:color="A6A6A6" w:themeColor="background1" w:themeShade="A6"/>
              <w:bottom w:val="single" w:sz="4" w:space="0" w:color="A6A6A6" w:themeColor="background1" w:themeShade="A6"/>
            </w:tcBorders>
          </w:tcPr>
          <w:p w14:paraId="5139DCD9" w14:textId="77777777" w:rsidR="00CE75D4" w:rsidRPr="002029AF" w:rsidRDefault="00CE75D4" w:rsidP="008340C1">
            <w:pPr>
              <w:pStyle w:val="ARfintablebodyright"/>
            </w:pPr>
            <w:r w:rsidRPr="002019A7">
              <w:t>1 Jul 2021</w:t>
            </w:r>
          </w:p>
        </w:tc>
        <w:tc>
          <w:tcPr>
            <w:tcW w:w="1361" w:type="dxa"/>
            <w:tcBorders>
              <w:top w:val="single" w:sz="4" w:space="0" w:color="A6A6A6" w:themeColor="background1" w:themeShade="A6"/>
              <w:bottom w:val="single" w:sz="4" w:space="0" w:color="A6A6A6" w:themeColor="background1" w:themeShade="A6"/>
            </w:tcBorders>
          </w:tcPr>
          <w:p w14:paraId="33DA5EAE" w14:textId="5A8549B1" w:rsidR="00CE75D4" w:rsidRPr="00B52B3C" w:rsidRDefault="00CE75D4" w:rsidP="008340C1">
            <w:pPr>
              <w:pStyle w:val="ARfintablebodyright"/>
            </w:pPr>
            <w:r w:rsidRPr="002019A7">
              <w:t>11 Mar 2022</w:t>
            </w:r>
          </w:p>
        </w:tc>
      </w:tr>
      <w:tr w:rsidR="00CE75D4" w:rsidRPr="002029AF" w14:paraId="233F9BDB" w14:textId="77777777" w:rsidTr="3D493511">
        <w:trPr>
          <w:cantSplit w:val="0"/>
        </w:trPr>
        <w:tc>
          <w:tcPr>
            <w:tcW w:w="1985" w:type="dxa"/>
            <w:tcBorders>
              <w:top w:val="single" w:sz="4" w:space="0" w:color="A6A6A6" w:themeColor="background1" w:themeShade="A6"/>
              <w:bottom w:val="single" w:sz="4" w:space="0" w:color="A6A6A6" w:themeColor="background1" w:themeShade="A6"/>
            </w:tcBorders>
          </w:tcPr>
          <w:p w14:paraId="4B1E9ABA" w14:textId="77777777" w:rsidR="00CE75D4" w:rsidRPr="002029AF" w:rsidRDefault="00CE75D4" w:rsidP="008340C1">
            <w:pPr>
              <w:pStyle w:val="ARfintablebody"/>
            </w:pPr>
            <w:r w:rsidRPr="002019A7">
              <w:t>Department of Health</w:t>
            </w:r>
          </w:p>
        </w:tc>
        <w:tc>
          <w:tcPr>
            <w:tcW w:w="1985" w:type="dxa"/>
            <w:tcBorders>
              <w:top w:val="single" w:sz="4" w:space="0" w:color="A6A6A6" w:themeColor="background1" w:themeShade="A6"/>
              <w:bottom w:val="single" w:sz="4" w:space="0" w:color="A6A6A6" w:themeColor="background1" w:themeShade="A6"/>
            </w:tcBorders>
          </w:tcPr>
          <w:p w14:paraId="7022B718" w14:textId="77777777" w:rsidR="00CE75D4" w:rsidRPr="002029AF" w:rsidRDefault="00CE75D4" w:rsidP="008340C1">
            <w:pPr>
              <w:pStyle w:val="ARfintablebody"/>
            </w:pPr>
            <w:r w:rsidRPr="002019A7">
              <w:t>John King</w:t>
            </w:r>
          </w:p>
        </w:tc>
        <w:tc>
          <w:tcPr>
            <w:tcW w:w="2948" w:type="dxa"/>
            <w:tcBorders>
              <w:top w:val="single" w:sz="4" w:space="0" w:color="A6A6A6" w:themeColor="background1" w:themeShade="A6"/>
              <w:bottom w:val="single" w:sz="4" w:space="0" w:color="A6A6A6" w:themeColor="background1" w:themeShade="A6"/>
            </w:tcBorders>
          </w:tcPr>
          <w:p w14:paraId="7ED718A3" w14:textId="77777777" w:rsidR="00CE75D4" w:rsidRPr="002029AF" w:rsidRDefault="00CE75D4" w:rsidP="008340C1">
            <w:pPr>
              <w:pStyle w:val="ARfintablebody"/>
            </w:pPr>
            <w:r w:rsidRPr="002019A7">
              <w:t>Interim Deputy Secretary, Reform</w:t>
            </w:r>
            <w:r>
              <w:t> </w:t>
            </w:r>
            <w:r w:rsidRPr="002019A7">
              <w:t>and Planning</w:t>
            </w:r>
          </w:p>
        </w:tc>
        <w:tc>
          <w:tcPr>
            <w:tcW w:w="1361" w:type="dxa"/>
            <w:tcBorders>
              <w:top w:val="single" w:sz="4" w:space="0" w:color="A6A6A6" w:themeColor="background1" w:themeShade="A6"/>
              <w:bottom w:val="single" w:sz="4" w:space="0" w:color="A6A6A6" w:themeColor="background1" w:themeShade="A6"/>
            </w:tcBorders>
          </w:tcPr>
          <w:p w14:paraId="1CD92E43" w14:textId="77777777" w:rsidR="00CE75D4" w:rsidRPr="002029AF" w:rsidRDefault="00CE75D4" w:rsidP="008340C1">
            <w:pPr>
              <w:pStyle w:val="ARfintablebodyright"/>
            </w:pPr>
            <w:r w:rsidRPr="002019A7">
              <w:t>13 Mar 2022</w:t>
            </w:r>
          </w:p>
        </w:tc>
        <w:tc>
          <w:tcPr>
            <w:tcW w:w="1361" w:type="dxa"/>
            <w:tcBorders>
              <w:top w:val="single" w:sz="4" w:space="0" w:color="A6A6A6" w:themeColor="background1" w:themeShade="A6"/>
              <w:bottom w:val="single" w:sz="4" w:space="0" w:color="A6A6A6" w:themeColor="background1" w:themeShade="A6"/>
            </w:tcBorders>
          </w:tcPr>
          <w:p w14:paraId="52D07C5B" w14:textId="77777777" w:rsidR="00CE75D4" w:rsidRPr="00B52B3C" w:rsidRDefault="00CE75D4" w:rsidP="008340C1">
            <w:pPr>
              <w:pStyle w:val="ARfintablebodyright"/>
            </w:pPr>
            <w:r w:rsidRPr="002019A7">
              <w:t>20 Mar 2022</w:t>
            </w:r>
          </w:p>
        </w:tc>
      </w:tr>
      <w:tr w:rsidR="00CE75D4" w:rsidRPr="002029AF" w14:paraId="47422DC9" w14:textId="77777777" w:rsidTr="3D493511">
        <w:trPr>
          <w:cantSplit w:val="0"/>
        </w:trPr>
        <w:tc>
          <w:tcPr>
            <w:tcW w:w="1985" w:type="dxa"/>
            <w:tcBorders>
              <w:top w:val="single" w:sz="4" w:space="0" w:color="A6A6A6" w:themeColor="background1" w:themeShade="A6"/>
              <w:bottom w:val="single" w:sz="4" w:space="0" w:color="A6A6A6" w:themeColor="background1" w:themeShade="A6"/>
            </w:tcBorders>
          </w:tcPr>
          <w:p w14:paraId="5A4AF081" w14:textId="77777777" w:rsidR="00CE75D4" w:rsidRPr="002029AF" w:rsidRDefault="00CE75D4" w:rsidP="008340C1">
            <w:pPr>
              <w:pStyle w:val="ARfintablebody"/>
            </w:pPr>
            <w:r w:rsidRPr="002019A7">
              <w:t>Department of Health</w:t>
            </w:r>
          </w:p>
        </w:tc>
        <w:tc>
          <w:tcPr>
            <w:tcW w:w="1985" w:type="dxa"/>
            <w:tcBorders>
              <w:top w:val="single" w:sz="4" w:space="0" w:color="A6A6A6" w:themeColor="background1" w:themeShade="A6"/>
              <w:bottom w:val="single" w:sz="4" w:space="0" w:color="A6A6A6" w:themeColor="background1" w:themeShade="A6"/>
            </w:tcBorders>
          </w:tcPr>
          <w:p w14:paraId="07F97DCD" w14:textId="77777777" w:rsidR="00CE75D4" w:rsidRPr="002029AF" w:rsidRDefault="00CE75D4" w:rsidP="008340C1">
            <w:pPr>
              <w:pStyle w:val="ARfintablebody"/>
            </w:pPr>
            <w:r w:rsidRPr="002019A7">
              <w:t>Nicole Brady</w:t>
            </w:r>
          </w:p>
        </w:tc>
        <w:tc>
          <w:tcPr>
            <w:tcW w:w="2948" w:type="dxa"/>
            <w:tcBorders>
              <w:top w:val="single" w:sz="4" w:space="0" w:color="A6A6A6" w:themeColor="background1" w:themeShade="A6"/>
              <w:bottom w:val="single" w:sz="4" w:space="0" w:color="A6A6A6" w:themeColor="background1" w:themeShade="A6"/>
            </w:tcBorders>
          </w:tcPr>
          <w:p w14:paraId="095BDB65" w14:textId="77777777" w:rsidR="00CE75D4" w:rsidRPr="002029AF" w:rsidRDefault="00CE75D4" w:rsidP="008340C1">
            <w:pPr>
              <w:pStyle w:val="ARfintablebody"/>
            </w:pPr>
            <w:r w:rsidRPr="002019A7">
              <w:t>Deputy Secretary, Reform and</w:t>
            </w:r>
            <w:r>
              <w:t> </w:t>
            </w:r>
            <w:r w:rsidRPr="002019A7">
              <w:t>Planning</w:t>
            </w:r>
          </w:p>
        </w:tc>
        <w:tc>
          <w:tcPr>
            <w:tcW w:w="1361" w:type="dxa"/>
            <w:tcBorders>
              <w:top w:val="single" w:sz="4" w:space="0" w:color="A6A6A6" w:themeColor="background1" w:themeShade="A6"/>
              <w:bottom w:val="single" w:sz="4" w:space="0" w:color="A6A6A6" w:themeColor="background1" w:themeShade="A6"/>
            </w:tcBorders>
          </w:tcPr>
          <w:p w14:paraId="23FC74D4" w14:textId="77777777" w:rsidR="00CE75D4" w:rsidRPr="002029AF" w:rsidRDefault="00CE75D4" w:rsidP="008340C1">
            <w:pPr>
              <w:pStyle w:val="ARfintablebodyright"/>
            </w:pPr>
            <w:r w:rsidRPr="002019A7">
              <w:t>21 Mar 2022</w:t>
            </w:r>
          </w:p>
        </w:tc>
        <w:tc>
          <w:tcPr>
            <w:tcW w:w="1361" w:type="dxa"/>
            <w:tcBorders>
              <w:top w:val="single" w:sz="4" w:space="0" w:color="A6A6A6" w:themeColor="background1" w:themeShade="A6"/>
              <w:bottom w:val="single" w:sz="4" w:space="0" w:color="A6A6A6" w:themeColor="background1" w:themeShade="A6"/>
            </w:tcBorders>
          </w:tcPr>
          <w:p w14:paraId="271AB944" w14:textId="77777777" w:rsidR="00CE75D4" w:rsidRPr="00B52B3C" w:rsidRDefault="00CE75D4" w:rsidP="008340C1">
            <w:pPr>
              <w:pStyle w:val="ARfintablebodyright"/>
            </w:pPr>
            <w:r w:rsidRPr="002019A7">
              <w:t>30 Jun 2022</w:t>
            </w:r>
          </w:p>
        </w:tc>
      </w:tr>
      <w:tr w:rsidR="00CE75D4" w:rsidRPr="002029AF" w14:paraId="49ED4837" w14:textId="77777777" w:rsidTr="3D493511">
        <w:trPr>
          <w:cantSplit w:val="0"/>
        </w:trPr>
        <w:tc>
          <w:tcPr>
            <w:tcW w:w="1985" w:type="dxa"/>
            <w:tcBorders>
              <w:top w:val="single" w:sz="4" w:space="0" w:color="A6A6A6" w:themeColor="background1" w:themeShade="A6"/>
              <w:bottom w:val="single" w:sz="4" w:space="0" w:color="A6A6A6" w:themeColor="background1" w:themeShade="A6"/>
            </w:tcBorders>
          </w:tcPr>
          <w:p w14:paraId="50E347D1" w14:textId="77777777" w:rsidR="00CE75D4" w:rsidRPr="002029AF" w:rsidRDefault="00CE75D4" w:rsidP="008340C1">
            <w:pPr>
              <w:pStyle w:val="ARfintablebody"/>
            </w:pPr>
            <w:r w:rsidRPr="002019A7">
              <w:t>Department of Health</w:t>
            </w:r>
          </w:p>
        </w:tc>
        <w:tc>
          <w:tcPr>
            <w:tcW w:w="1985" w:type="dxa"/>
            <w:tcBorders>
              <w:top w:val="single" w:sz="4" w:space="0" w:color="A6A6A6" w:themeColor="background1" w:themeShade="A6"/>
              <w:bottom w:val="single" w:sz="4" w:space="0" w:color="A6A6A6" w:themeColor="background1" w:themeShade="A6"/>
            </w:tcBorders>
          </w:tcPr>
          <w:p w14:paraId="3A4707ED" w14:textId="77777777" w:rsidR="00CE75D4" w:rsidRPr="002029AF" w:rsidRDefault="00CE75D4" w:rsidP="008340C1">
            <w:pPr>
              <w:pStyle w:val="ARfintablebody"/>
            </w:pPr>
            <w:r w:rsidRPr="002019A7">
              <w:t>Greg Stenton</w:t>
            </w:r>
          </w:p>
        </w:tc>
        <w:tc>
          <w:tcPr>
            <w:tcW w:w="2948" w:type="dxa"/>
            <w:tcBorders>
              <w:top w:val="single" w:sz="4" w:space="0" w:color="A6A6A6" w:themeColor="background1" w:themeShade="A6"/>
              <w:bottom w:val="single" w:sz="4" w:space="0" w:color="A6A6A6" w:themeColor="background1" w:themeShade="A6"/>
            </w:tcBorders>
          </w:tcPr>
          <w:p w14:paraId="5207D142" w14:textId="77777777" w:rsidR="00CE75D4" w:rsidRPr="002029AF" w:rsidRDefault="00CE75D4" w:rsidP="008340C1">
            <w:pPr>
              <w:pStyle w:val="ARfintablebody"/>
            </w:pPr>
            <w:r w:rsidRPr="002019A7">
              <w:t>Deputy Secretary, Corporate Services</w:t>
            </w:r>
          </w:p>
        </w:tc>
        <w:tc>
          <w:tcPr>
            <w:tcW w:w="1361" w:type="dxa"/>
            <w:tcBorders>
              <w:top w:val="single" w:sz="4" w:space="0" w:color="A6A6A6" w:themeColor="background1" w:themeShade="A6"/>
              <w:bottom w:val="single" w:sz="4" w:space="0" w:color="A6A6A6" w:themeColor="background1" w:themeShade="A6"/>
            </w:tcBorders>
          </w:tcPr>
          <w:p w14:paraId="10F3B9BB" w14:textId="77777777" w:rsidR="00CE75D4" w:rsidRPr="002029AF" w:rsidRDefault="00CE75D4" w:rsidP="008340C1">
            <w:pPr>
              <w:pStyle w:val="ARfintablebodyright"/>
            </w:pPr>
            <w:r w:rsidRPr="002019A7">
              <w:t>1 Jul 2021</w:t>
            </w:r>
          </w:p>
        </w:tc>
        <w:tc>
          <w:tcPr>
            <w:tcW w:w="1361" w:type="dxa"/>
            <w:tcBorders>
              <w:top w:val="single" w:sz="4" w:space="0" w:color="A6A6A6" w:themeColor="background1" w:themeShade="A6"/>
              <w:bottom w:val="single" w:sz="4" w:space="0" w:color="A6A6A6" w:themeColor="background1" w:themeShade="A6"/>
            </w:tcBorders>
          </w:tcPr>
          <w:p w14:paraId="7128EBDC" w14:textId="77777777" w:rsidR="00CE75D4" w:rsidRPr="00B52B3C" w:rsidRDefault="00CE75D4" w:rsidP="008340C1">
            <w:pPr>
              <w:pStyle w:val="ARfintablebodyright"/>
            </w:pPr>
            <w:r>
              <w:t>30 Jun 2022</w:t>
            </w:r>
          </w:p>
        </w:tc>
      </w:tr>
      <w:tr w:rsidR="00CE75D4" w:rsidRPr="002029AF" w14:paraId="54B8C40F" w14:textId="77777777" w:rsidTr="3D493511">
        <w:trPr>
          <w:cantSplit w:val="0"/>
        </w:trPr>
        <w:tc>
          <w:tcPr>
            <w:tcW w:w="1985" w:type="dxa"/>
            <w:tcBorders>
              <w:top w:val="single" w:sz="4" w:space="0" w:color="A6A6A6" w:themeColor="background1" w:themeShade="A6"/>
              <w:bottom w:val="single" w:sz="4" w:space="0" w:color="A6A6A6" w:themeColor="background1" w:themeShade="A6"/>
            </w:tcBorders>
          </w:tcPr>
          <w:p w14:paraId="2EF83209" w14:textId="77777777" w:rsidR="00CE75D4" w:rsidRPr="002029AF" w:rsidRDefault="00CE75D4" w:rsidP="008340C1">
            <w:pPr>
              <w:pStyle w:val="ARfintablebody"/>
            </w:pPr>
            <w:r w:rsidRPr="002019A7">
              <w:t>Department of Health</w:t>
            </w:r>
          </w:p>
        </w:tc>
        <w:tc>
          <w:tcPr>
            <w:tcW w:w="1985" w:type="dxa"/>
            <w:tcBorders>
              <w:top w:val="single" w:sz="4" w:space="0" w:color="A6A6A6" w:themeColor="background1" w:themeShade="A6"/>
              <w:bottom w:val="single" w:sz="4" w:space="0" w:color="A6A6A6" w:themeColor="background1" w:themeShade="A6"/>
            </w:tcBorders>
          </w:tcPr>
          <w:p w14:paraId="02A444C3" w14:textId="77777777" w:rsidR="00CE75D4" w:rsidRPr="002029AF" w:rsidRDefault="00CE75D4" w:rsidP="008340C1">
            <w:pPr>
              <w:pStyle w:val="ARfintablebody"/>
            </w:pPr>
            <w:r w:rsidRPr="002019A7">
              <w:t>Beth Gubbins</w:t>
            </w:r>
          </w:p>
        </w:tc>
        <w:tc>
          <w:tcPr>
            <w:tcW w:w="2948" w:type="dxa"/>
            <w:tcBorders>
              <w:top w:val="single" w:sz="4" w:space="0" w:color="A6A6A6" w:themeColor="background1" w:themeShade="A6"/>
              <w:bottom w:val="single" w:sz="4" w:space="0" w:color="A6A6A6" w:themeColor="background1" w:themeShade="A6"/>
            </w:tcBorders>
          </w:tcPr>
          <w:p w14:paraId="72EE96DF" w14:textId="77777777" w:rsidR="00CE75D4" w:rsidRPr="002029AF" w:rsidRDefault="00CE75D4" w:rsidP="008340C1">
            <w:pPr>
              <w:pStyle w:val="ARfintablebody"/>
            </w:pPr>
            <w:r w:rsidRPr="002019A7">
              <w:t>Acting Deputy Secretary, Corporate Services</w:t>
            </w:r>
          </w:p>
        </w:tc>
        <w:tc>
          <w:tcPr>
            <w:tcW w:w="1361" w:type="dxa"/>
            <w:tcBorders>
              <w:top w:val="single" w:sz="4" w:space="0" w:color="A6A6A6" w:themeColor="background1" w:themeShade="A6"/>
              <w:bottom w:val="single" w:sz="4" w:space="0" w:color="A6A6A6" w:themeColor="background1" w:themeShade="A6"/>
            </w:tcBorders>
          </w:tcPr>
          <w:p w14:paraId="461EE565" w14:textId="77777777" w:rsidR="00CE75D4" w:rsidRPr="002029AF" w:rsidRDefault="00CE75D4" w:rsidP="008340C1">
            <w:pPr>
              <w:pStyle w:val="ARfintablebodyright"/>
            </w:pPr>
            <w:r>
              <w:t>18 Apr 2022</w:t>
            </w:r>
          </w:p>
        </w:tc>
        <w:tc>
          <w:tcPr>
            <w:tcW w:w="1361" w:type="dxa"/>
            <w:tcBorders>
              <w:top w:val="single" w:sz="4" w:space="0" w:color="A6A6A6" w:themeColor="background1" w:themeShade="A6"/>
              <w:bottom w:val="single" w:sz="4" w:space="0" w:color="A6A6A6" w:themeColor="background1" w:themeShade="A6"/>
            </w:tcBorders>
          </w:tcPr>
          <w:p w14:paraId="2A53322D" w14:textId="77777777" w:rsidR="00CE75D4" w:rsidRPr="00B52B3C" w:rsidRDefault="00CE75D4" w:rsidP="008340C1">
            <w:pPr>
              <w:pStyle w:val="ARfintablebodyright"/>
            </w:pPr>
            <w:r w:rsidRPr="002019A7">
              <w:t>30 Jun 2022</w:t>
            </w:r>
          </w:p>
        </w:tc>
      </w:tr>
      <w:tr w:rsidR="00CE75D4" w:rsidRPr="002029AF" w14:paraId="379BC2CC" w14:textId="77777777" w:rsidTr="3D493511">
        <w:trPr>
          <w:cantSplit w:val="0"/>
        </w:trPr>
        <w:tc>
          <w:tcPr>
            <w:tcW w:w="1985" w:type="dxa"/>
            <w:tcBorders>
              <w:top w:val="single" w:sz="4" w:space="0" w:color="A6A6A6" w:themeColor="background1" w:themeShade="A6"/>
              <w:bottom w:val="single" w:sz="4" w:space="0" w:color="A6A6A6" w:themeColor="background1" w:themeShade="A6"/>
            </w:tcBorders>
          </w:tcPr>
          <w:p w14:paraId="4F4659E0" w14:textId="77777777" w:rsidR="00CE75D4" w:rsidRPr="002029AF" w:rsidRDefault="00CE75D4" w:rsidP="008340C1">
            <w:pPr>
              <w:pStyle w:val="ARfintablebody"/>
            </w:pPr>
            <w:r w:rsidRPr="002019A7">
              <w:t>Department of Health</w:t>
            </w:r>
          </w:p>
        </w:tc>
        <w:tc>
          <w:tcPr>
            <w:tcW w:w="1985" w:type="dxa"/>
            <w:tcBorders>
              <w:top w:val="single" w:sz="4" w:space="0" w:color="A6A6A6" w:themeColor="background1" w:themeShade="A6"/>
              <w:bottom w:val="single" w:sz="4" w:space="0" w:color="A6A6A6" w:themeColor="background1" w:themeShade="A6"/>
            </w:tcBorders>
          </w:tcPr>
          <w:p w14:paraId="58F2CBD4" w14:textId="77777777" w:rsidR="00CE75D4" w:rsidRPr="002029AF" w:rsidRDefault="00CE75D4" w:rsidP="008340C1">
            <w:pPr>
              <w:pStyle w:val="ARfintablebody"/>
            </w:pPr>
            <w:r w:rsidRPr="002019A7">
              <w:t>Jacinda de Witts</w:t>
            </w:r>
          </w:p>
        </w:tc>
        <w:tc>
          <w:tcPr>
            <w:tcW w:w="2948" w:type="dxa"/>
            <w:tcBorders>
              <w:top w:val="single" w:sz="4" w:space="0" w:color="A6A6A6" w:themeColor="background1" w:themeShade="A6"/>
              <w:bottom w:val="single" w:sz="4" w:space="0" w:color="A6A6A6" w:themeColor="background1" w:themeShade="A6"/>
            </w:tcBorders>
          </w:tcPr>
          <w:p w14:paraId="75825B9B" w14:textId="77777777" w:rsidR="00CE75D4" w:rsidRPr="002029AF" w:rsidRDefault="00CE75D4" w:rsidP="008340C1">
            <w:pPr>
              <w:pStyle w:val="ARfintablebody"/>
            </w:pPr>
            <w:r w:rsidRPr="002019A7">
              <w:t xml:space="preserve">Deputy Secretary, Regulatory, Risk, Integrity and Legal </w:t>
            </w:r>
            <w:r w:rsidRPr="00C81999">
              <w:rPr>
                <w:rStyle w:val="Superscript"/>
              </w:rPr>
              <w:t>(ii)</w:t>
            </w:r>
          </w:p>
        </w:tc>
        <w:tc>
          <w:tcPr>
            <w:tcW w:w="1361" w:type="dxa"/>
            <w:tcBorders>
              <w:top w:val="single" w:sz="4" w:space="0" w:color="A6A6A6" w:themeColor="background1" w:themeShade="A6"/>
              <w:bottom w:val="single" w:sz="4" w:space="0" w:color="A6A6A6" w:themeColor="background1" w:themeShade="A6"/>
            </w:tcBorders>
          </w:tcPr>
          <w:p w14:paraId="2501301D" w14:textId="77777777" w:rsidR="00CE75D4" w:rsidRPr="002029AF" w:rsidRDefault="00CE75D4" w:rsidP="008340C1">
            <w:pPr>
              <w:pStyle w:val="ARfintablebodyright"/>
            </w:pPr>
            <w:r w:rsidRPr="002019A7">
              <w:t>1 Jul 2021</w:t>
            </w:r>
          </w:p>
        </w:tc>
        <w:tc>
          <w:tcPr>
            <w:tcW w:w="1361" w:type="dxa"/>
            <w:tcBorders>
              <w:top w:val="single" w:sz="4" w:space="0" w:color="A6A6A6" w:themeColor="background1" w:themeShade="A6"/>
              <w:bottom w:val="single" w:sz="4" w:space="0" w:color="A6A6A6" w:themeColor="background1" w:themeShade="A6"/>
            </w:tcBorders>
          </w:tcPr>
          <w:p w14:paraId="399F841B" w14:textId="77777777" w:rsidR="00CE75D4" w:rsidRPr="00B52B3C" w:rsidRDefault="00CE75D4" w:rsidP="008340C1">
            <w:pPr>
              <w:pStyle w:val="ARfintablebodyright"/>
            </w:pPr>
            <w:r>
              <w:t>30 Jun 2022</w:t>
            </w:r>
          </w:p>
        </w:tc>
      </w:tr>
      <w:tr w:rsidR="00CE75D4" w:rsidRPr="002029AF" w14:paraId="72673A6B" w14:textId="77777777" w:rsidTr="3D493511">
        <w:trPr>
          <w:cantSplit w:val="0"/>
        </w:trPr>
        <w:tc>
          <w:tcPr>
            <w:tcW w:w="1985" w:type="dxa"/>
            <w:tcBorders>
              <w:top w:val="single" w:sz="4" w:space="0" w:color="A6A6A6" w:themeColor="background1" w:themeShade="A6"/>
              <w:bottom w:val="single" w:sz="4" w:space="0" w:color="A6A6A6" w:themeColor="background1" w:themeShade="A6"/>
            </w:tcBorders>
          </w:tcPr>
          <w:p w14:paraId="6D8CCE6B" w14:textId="77777777" w:rsidR="00CE75D4" w:rsidRPr="002029AF" w:rsidRDefault="00CE75D4" w:rsidP="008340C1">
            <w:pPr>
              <w:pStyle w:val="ARfintablebody"/>
            </w:pPr>
            <w:r w:rsidRPr="002019A7">
              <w:t>Department of Health</w:t>
            </w:r>
          </w:p>
        </w:tc>
        <w:tc>
          <w:tcPr>
            <w:tcW w:w="1985" w:type="dxa"/>
            <w:tcBorders>
              <w:top w:val="single" w:sz="4" w:space="0" w:color="A6A6A6" w:themeColor="background1" w:themeShade="A6"/>
              <w:bottom w:val="single" w:sz="4" w:space="0" w:color="A6A6A6" w:themeColor="background1" w:themeShade="A6"/>
            </w:tcBorders>
          </w:tcPr>
          <w:p w14:paraId="4DD7D58F" w14:textId="77777777" w:rsidR="00CE75D4" w:rsidRPr="002029AF" w:rsidRDefault="00CE75D4" w:rsidP="008340C1">
            <w:pPr>
              <w:pStyle w:val="ARfintablebody"/>
            </w:pPr>
            <w:r w:rsidRPr="002019A7">
              <w:t>Olivia Goodman</w:t>
            </w:r>
          </w:p>
        </w:tc>
        <w:tc>
          <w:tcPr>
            <w:tcW w:w="2948" w:type="dxa"/>
            <w:tcBorders>
              <w:top w:val="single" w:sz="4" w:space="0" w:color="A6A6A6" w:themeColor="background1" w:themeShade="A6"/>
              <w:bottom w:val="single" w:sz="4" w:space="0" w:color="A6A6A6" w:themeColor="background1" w:themeShade="A6"/>
            </w:tcBorders>
          </w:tcPr>
          <w:p w14:paraId="6C289DFF" w14:textId="77777777" w:rsidR="00CE75D4" w:rsidRPr="002029AF" w:rsidRDefault="00CE75D4" w:rsidP="008340C1">
            <w:pPr>
              <w:pStyle w:val="ARfintablebody"/>
            </w:pPr>
            <w:r w:rsidRPr="002019A7">
              <w:t xml:space="preserve">Deputy Secretary, Regulatory, Risk, Integrity and Legal </w:t>
            </w:r>
            <w:r w:rsidRPr="00C81999">
              <w:rPr>
                <w:rStyle w:val="Superscript"/>
              </w:rPr>
              <w:t>(ii)</w:t>
            </w:r>
          </w:p>
        </w:tc>
        <w:tc>
          <w:tcPr>
            <w:tcW w:w="1361" w:type="dxa"/>
            <w:tcBorders>
              <w:top w:val="single" w:sz="4" w:space="0" w:color="A6A6A6" w:themeColor="background1" w:themeShade="A6"/>
              <w:bottom w:val="single" w:sz="4" w:space="0" w:color="A6A6A6" w:themeColor="background1" w:themeShade="A6"/>
            </w:tcBorders>
          </w:tcPr>
          <w:p w14:paraId="6D4231AD" w14:textId="77777777" w:rsidR="00CE75D4" w:rsidRPr="002029AF" w:rsidRDefault="00CE75D4" w:rsidP="008340C1">
            <w:pPr>
              <w:pStyle w:val="ARfintablebodyright"/>
            </w:pPr>
            <w:r>
              <w:t>10 Oct 2021</w:t>
            </w:r>
          </w:p>
        </w:tc>
        <w:tc>
          <w:tcPr>
            <w:tcW w:w="1361" w:type="dxa"/>
            <w:tcBorders>
              <w:top w:val="single" w:sz="4" w:space="0" w:color="A6A6A6" w:themeColor="background1" w:themeShade="A6"/>
              <w:bottom w:val="single" w:sz="4" w:space="0" w:color="A6A6A6" w:themeColor="background1" w:themeShade="A6"/>
            </w:tcBorders>
          </w:tcPr>
          <w:p w14:paraId="1F78A539" w14:textId="77777777" w:rsidR="00CE75D4" w:rsidRPr="00B52B3C" w:rsidRDefault="00CE75D4" w:rsidP="008340C1">
            <w:pPr>
              <w:pStyle w:val="ARfintablebodyright"/>
            </w:pPr>
            <w:r w:rsidRPr="002019A7">
              <w:t>30 Jun 2022</w:t>
            </w:r>
          </w:p>
        </w:tc>
      </w:tr>
      <w:tr w:rsidR="00CE75D4" w:rsidRPr="002029AF" w14:paraId="471CBB35" w14:textId="77777777" w:rsidTr="3D493511">
        <w:trPr>
          <w:cantSplit w:val="0"/>
        </w:trPr>
        <w:tc>
          <w:tcPr>
            <w:tcW w:w="1985" w:type="dxa"/>
            <w:tcBorders>
              <w:top w:val="single" w:sz="4" w:space="0" w:color="A6A6A6" w:themeColor="background1" w:themeShade="A6"/>
              <w:bottom w:val="single" w:sz="4" w:space="0" w:color="A6A6A6" w:themeColor="background1" w:themeShade="A6"/>
            </w:tcBorders>
          </w:tcPr>
          <w:p w14:paraId="7D391C58" w14:textId="77777777" w:rsidR="00CE75D4" w:rsidRDefault="00CE75D4" w:rsidP="008340C1">
            <w:pPr>
              <w:pStyle w:val="ARfintablebody"/>
            </w:pPr>
            <w:r w:rsidRPr="002019A7">
              <w:t>Department of Health</w:t>
            </w:r>
          </w:p>
        </w:tc>
        <w:tc>
          <w:tcPr>
            <w:tcW w:w="1985" w:type="dxa"/>
            <w:tcBorders>
              <w:top w:val="single" w:sz="4" w:space="0" w:color="A6A6A6" w:themeColor="background1" w:themeShade="A6"/>
              <w:bottom w:val="single" w:sz="4" w:space="0" w:color="A6A6A6" w:themeColor="background1" w:themeShade="A6"/>
            </w:tcBorders>
          </w:tcPr>
          <w:p w14:paraId="13015761" w14:textId="77777777" w:rsidR="00CE75D4" w:rsidRDefault="00CE75D4" w:rsidP="008340C1">
            <w:pPr>
              <w:pStyle w:val="ARfintablebody"/>
            </w:pPr>
            <w:r w:rsidRPr="002019A7">
              <w:t>Lance Emerson</w:t>
            </w:r>
          </w:p>
        </w:tc>
        <w:tc>
          <w:tcPr>
            <w:tcW w:w="2948" w:type="dxa"/>
            <w:tcBorders>
              <w:top w:val="single" w:sz="4" w:space="0" w:color="A6A6A6" w:themeColor="background1" w:themeShade="A6"/>
              <w:bottom w:val="single" w:sz="4" w:space="0" w:color="A6A6A6" w:themeColor="background1" w:themeShade="A6"/>
            </w:tcBorders>
          </w:tcPr>
          <w:p w14:paraId="3581DE02" w14:textId="77777777" w:rsidR="00CE75D4" w:rsidRDefault="00CE75D4" w:rsidP="008340C1">
            <w:pPr>
              <w:pStyle w:val="ARfintablebody"/>
            </w:pPr>
            <w:r w:rsidRPr="002019A7">
              <w:t>Chief Executive Officer, Victorian Agency for Health Information</w:t>
            </w:r>
          </w:p>
        </w:tc>
        <w:tc>
          <w:tcPr>
            <w:tcW w:w="1361" w:type="dxa"/>
            <w:tcBorders>
              <w:top w:val="single" w:sz="4" w:space="0" w:color="A6A6A6" w:themeColor="background1" w:themeShade="A6"/>
              <w:bottom w:val="single" w:sz="4" w:space="0" w:color="A6A6A6" w:themeColor="background1" w:themeShade="A6"/>
            </w:tcBorders>
          </w:tcPr>
          <w:p w14:paraId="522ECE4A" w14:textId="77777777" w:rsidR="00CE75D4" w:rsidRPr="00B52B3C" w:rsidRDefault="00CE75D4" w:rsidP="008340C1">
            <w:pPr>
              <w:pStyle w:val="ARfintablebodyright"/>
            </w:pPr>
            <w:r w:rsidRPr="002019A7">
              <w:t>1 Jul 2021</w:t>
            </w:r>
          </w:p>
        </w:tc>
        <w:tc>
          <w:tcPr>
            <w:tcW w:w="1361" w:type="dxa"/>
            <w:tcBorders>
              <w:top w:val="single" w:sz="4" w:space="0" w:color="A6A6A6" w:themeColor="background1" w:themeShade="A6"/>
              <w:bottom w:val="single" w:sz="4" w:space="0" w:color="A6A6A6" w:themeColor="background1" w:themeShade="A6"/>
            </w:tcBorders>
          </w:tcPr>
          <w:p w14:paraId="68ACC55F" w14:textId="77777777" w:rsidR="00CE75D4" w:rsidRPr="00B52B3C" w:rsidRDefault="00CE75D4" w:rsidP="008340C1">
            <w:pPr>
              <w:pStyle w:val="ARfintablebodyright"/>
            </w:pPr>
            <w:r w:rsidRPr="002019A7">
              <w:t>30 Jun 2022</w:t>
            </w:r>
          </w:p>
        </w:tc>
      </w:tr>
      <w:tr w:rsidR="00CE75D4" w:rsidRPr="002029AF" w14:paraId="77D568F6" w14:textId="77777777" w:rsidTr="3D493511">
        <w:trPr>
          <w:cantSplit w:val="0"/>
        </w:trPr>
        <w:tc>
          <w:tcPr>
            <w:tcW w:w="1985" w:type="dxa"/>
            <w:tcBorders>
              <w:top w:val="single" w:sz="4" w:space="0" w:color="A6A6A6" w:themeColor="background1" w:themeShade="A6"/>
              <w:bottom w:val="single" w:sz="4" w:space="0" w:color="A6A6A6" w:themeColor="background1" w:themeShade="A6"/>
            </w:tcBorders>
          </w:tcPr>
          <w:p w14:paraId="3446B719" w14:textId="77777777" w:rsidR="00CE75D4" w:rsidRDefault="00CE75D4" w:rsidP="008340C1">
            <w:pPr>
              <w:pStyle w:val="ARfintablebody"/>
            </w:pPr>
            <w:r w:rsidRPr="002019A7">
              <w:t>Department of Health</w:t>
            </w:r>
          </w:p>
        </w:tc>
        <w:tc>
          <w:tcPr>
            <w:tcW w:w="1985" w:type="dxa"/>
            <w:tcBorders>
              <w:top w:val="single" w:sz="4" w:space="0" w:color="A6A6A6" w:themeColor="background1" w:themeShade="A6"/>
              <w:bottom w:val="single" w:sz="4" w:space="0" w:color="A6A6A6" w:themeColor="background1" w:themeShade="A6"/>
            </w:tcBorders>
          </w:tcPr>
          <w:p w14:paraId="17EB0191" w14:textId="77777777" w:rsidR="00CE75D4" w:rsidRDefault="00CE75D4" w:rsidP="008340C1">
            <w:pPr>
              <w:pStyle w:val="ARfintablebody"/>
            </w:pPr>
            <w:r w:rsidRPr="002019A7">
              <w:t>Nicole McCartney</w:t>
            </w:r>
          </w:p>
        </w:tc>
        <w:tc>
          <w:tcPr>
            <w:tcW w:w="2948" w:type="dxa"/>
            <w:tcBorders>
              <w:top w:val="single" w:sz="4" w:space="0" w:color="A6A6A6" w:themeColor="background1" w:themeShade="A6"/>
              <w:bottom w:val="single" w:sz="4" w:space="0" w:color="A6A6A6" w:themeColor="background1" w:themeShade="A6"/>
            </w:tcBorders>
          </w:tcPr>
          <w:p w14:paraId="2DA7D618" w14:textId="77777777" w:rsidR="00CE75D4" w:rsidRDefault="00CE75D4" w:rsidP="008340C1">
            <w:pPr>
              <w:pStyle w:val="ARfintablebody"/>
            </w:pPr>
            <w:r w:rsidRPr="002019A7">
              <w:t>Chief Aboriginal Health Adviser</w:t>
            </w:r>
          </w:p>
        </w:tc>
        <w:tc>
          <w:tcPr>
            <w:tcW w:w="1361" w:type="dxa"/>
            <w:tcBorders>
              <w:top w:val="single" w:sz="4" w:space="0" w:color="A6A6A6" w:themeColor="background1" w:themeShade="A6"/>
              <w:bottom w:val="single" w:sz="4" w:space="0" w:color="A6A6A6" w:themeColor="background1" w:themeShade="A6"/>
            </w:tcBorders>
          </w:tcPr>
          <w:p w14:paraId="1ACD15F6" w14:textId="77777777" w:rsidR="00CE75D4" w:rsidRPr="00B52B3C" w:rsidRDefault="00CE75D4" w:rsidP="008340C1">
            <w:pPr>
              <w:pStyle w:val="ARfintablebodyright"/>
            </w:pPr>
            <w:r w:rsidRPr="002019A7">
              <w:t>1 Jul 2021</w:t>
            </w:r>
          </w:p>
        </w:tc>
        <w:tc>
          <w:tcPr>
            <w:tcW w:w="1361" w:type="dxa"/>
            <w:tcBorders>
              <w:top w:val="single" w:sz="4" w:space="0" w:color="A6A6A6" w:themeColor="background1" w:themeShade="A6"/>
              <w:bottom w:val="single" w:sz="4" w:space="0" w:color="A6A6A6" w:themeColor="background1" w:themeShade="A6"/>
            </w:tcBorders>
          </w:tcPr>
          <w:p w14:paraId="48D03D88" w14:textId="77777777" w:rsidR="00CE75D4" w:rsidRPr="00B52B3C" w:rsidRDefault="00CE75D4" w:rsidP="008340C1">
            <w:pPr>
              <w:pStyle w:val="ARfintablebodyright"/>
            </w:pPr>
            <w:r w:rsidRPr="002019A7">
              <w:t>30 Jun 2022</w:t>
            </w:r>
          </w:p>
        </w:tc>
      </w:tr>
      <w:tr w:rsidR="00CE75D4" w:rsidRPr="002029AF" w14:paraId="5A94237F" w14:textId="77777777" w:rsidTr="3D493511">
        <w:trPr>
          <w:cantSplit w:val="0"/>
        </w:trPr>
        <w:tc>
          <w:tcPr>
            <w:tcW w:w="1985" w:type="dxa"/>
            <w:tcBorders>
              <w:top w:val="single" w:sz="4" w:space="0" w:color="A6A6A6" w:themeColor="background1" w:themeShade="A6"/>
              <w:bottom w:val="single" w:sz="4" w:space="0" w:color="A6A6A6" w:themeColor="background1" w:themeShade="A6"/>
            </w:tcBorders>
          </w:tcPr>
          <w:p w14:paraId="5128AE69" w14:textId="77777777" w:rsidR="00CE75D4" w:rsidRDefault="00CE75D4" w:rsidP="008340C1">
            <w:pPr>
              <w:pStyle w:val="ARfintablebody"/>
            </w:pPr>
            <w:r w:rsidRPr="002019A7">
              <w:t>Department of Health</w:t>
            </w:r>
          </w:p>
        </w:tc>
        <w:tc>
          <w:tcPr>
            <w:tcW w:w="1985" w:type="dxa"/>
            <w:tcBorders>
              <w:top w:val="single" w:sz="4" w:space="0" w:color="A6A6A6" w:themeColor="background1" w:themeShade="A6"/>
              <w:bottom w:val="single" w:sz="4" w:space="0" w:color="A6A6A6" w:themeColor="background1" w:themeShade="A6"/>
            </w:tcBorders>
          </w:tcPr>
          <w:p w14:paraId="20B7D487" w14:textId="77777777" w:rsidR="00CE75D4" w:rsidRDefault="00CE75D4" w:rsidP="008340C1">
            <w:pPr>
              <w:pStyle w:val="ARfintablebody"/>
            </w:pPr>
            <w:r w:rsidRPr="002019A7">
              <w:t>Simone Williams</w:t>
            </w:r>
          </w:p>
        </w:tc>
        <w:tc>
          <w:tcPr>
            <w:tcW w:w="2948" w:type="dxa"/>
            <w:tcBorders>
              <w:top w:val="single" w:sz="4" w:space="0" w:color="A6A6A6" w:themeColor="background1" w:themeShade="A6"/>
              <w:bottom w:val="single" w:sz="4" w:space="0" w:color="A6A6A6" w:themeColor="background1" w:themeShade="A6"/>
            </w:tcBorders>
          </w:tcPr>
          <w:p w14:paraId="4761057A" w14:textId="77777777" w:rsidR="00CE75D4" w:rsidRDefault="00CE75D4" w:rsidP="008340C1">
            <w:pPr>
              <w:pStyle w:val="ARfintablebody"/>
            </w:pPr>
            <w:r w:rsidRPr="002019A7">
              <w:t>Chief Communications Officer</w:t>
            </w:r>
          </w:p>
        </w:tc>
        <w:tc>
          <w:tcPr>
            <w:tcW w:w="1361" w:type="dxa"/>
            <w:tcBorders>
              <w:top w:val="single" w:sz="4" w:space="0" w:color="A6A6A6" w:themeColor="background1" w:themeShade="A6"/>
              <w:bottom w:val="single" w:sz="4" w:space="0" w:color="A6A6A6" w:themeColor="background1" w:themeShade="A6"/>
            </w:tcBorders>
          </w:tcPr>
          <w:p w14:paraId="701BE944" w14:textId="77777777" w:rsidR="00CE75D4" w:rsidRPr="00B52B3C" w:rsidRDefault="00CE75D4" w:rsidP="008340C1">
            <w:pPr>
              <w:pStyle w:val="ARfintablebodyright"/>
            </w:pPr>
            <w:r w:rsidRPr="002019A7">
              <w:t>1 Jul 2021</w:t>
            </w:r>
          </w:p>
        </w:tc>
        <w:tc>
          <w:tcPr>
            <w:tcW w:w="1361" w:type="dxa"/>
            <w:tcBorders>
              <w:top w:val="single" w:sz="4" w:space="0" w:color="A6A6A6" w:themeColor="background1" w:themeShade="A6"/>
              <w:bottom w:val="single" w:sz="4" w:space="0" w:color="A6A6A6" w:themeColor="background1" w:themeShade="A6"/>
            </w:tcBorders>
          </w:tcPr>
          <w:p w14:paraId="79D0CEA2" w14:textId="77777777" w:rsidR="00CE75D4" w:rsidRPr="00B52B3C" w:rsidRDefault="00CE75D4" w:rsidP="008340C1">
            <w:pPr>
              <w:pStyle w:val="ARfintablebodyright"/>
            </w:pPr>
            <w:r w:rsidRPr="002019A7">
              <w:t>30 Jun 2022</w:t>
            </w:r>
          </w:p>
        </w:tc>
      </w:tr>
      <w:tr w:rsidR="00CE75D4" w:rsidRPr="002029AF" w14:paraId="725979CF" w14:textId="77777777" w:rsidTr="3D493511">
        <w:trPr>
          <w:cantSplit w:val="0"/>
        </w:trPr>
        <w:tc>
          <w:tcPr>
            <w:tcW w:w="1985" w:type="dxa"/>
            <w:tcBorders>
              <w:top w:val="single" w:sz="4" w:space="0" w:color="A6A6A6" w:themeColor="background1" w:themeShade="A6"/>
              <w:bottom w:val="single" w:sz="4" w:space="0" w:color="A6A6A6" w:themeColor="background1" w:themeShade="A6"/>
            </w:tcBorders>
          </w:tcPr>
          <w:p w14:paraId="0022A8B7" w14:textId="77777777" w:rsidR="00CE75D4" w:rsidRDefault="00CE75D4" w:rsidP="008340C1">
            <w:pPr>
              <w:pStyle w:val="ARfintablebody"/>
            </w:pPr>
            <w:r w:rsidRPr="002019A7">
              <w:t>Department of Health</w:t>
            </w:r>
          </w:p>
        </w:tc>
        <w:tc>
          <w:tcPr>
            <w:tcW w:w="1985" w:type="dxa"/>
            <w:tcBorders>
              <w:top w:val="single" w:sz="4" w:space="0" w:color="A6A6A6" w:themeColor="background1" w:themeShade="A6"/>
              <w:bottom w:val="single" w:sz="4" w:space="0" w:color="A6A6A6" w:themeColor="background1" w:themeShade="A6"/>
            </w:tcBorders>
          </w:tcPr>
          <w:p w14:paraId="4CAF2555" w14:textId="77777777" w:rsidR="00CE75D4" w:rsidRDefault="00CE75D4" w:rsidP="008340C1">
            <w:pPr>
              <w:pStyle w:val="ARfintablebody"/>
            </w:pPr>
            <w:r w:rsidRPr="002019A7">
              <w:t>Jenny Zahara</w:t>
            </w:r>
          </w:p>
        </w:tc>
        <w:tc>
          <w:tcPr>
            <w:tcW w:w="2948" w:type="dxa"/>
            <w:tcBorders>
              <w:top w:val="single" w:sz="4" w:space="0" w:color="A6A6A6" w:themeColor="background1" w:themeShade="A6"/>
              <w:bottom w:val="single" w:sz="4" w:space="0" w:color="A6A6A6" w:themeColor="background1" w:themeShade="A6"/>
            </w:tcBorders>
          </w:tcPr>
          <w:p w14:paraId="76381833" w14:textId="77777777" w:rsidR="00CE75D4" w:rsidRDefault="00CE75D4" w:rsidP="008340C1">
            <w:pPr>
              <w:pStyle w:val="ARfintablebody"/>
            </w:pPr>
            <w:r w:rsidRPr="002019A7">
              <w:t>Chief Finance Officer</w:t>
            </w:r>
          </w:p>
        </w:tc>
        <w:tc>
          <w:tcPr>
            <w:tcW w:w="1361" w:type="dxa"/>
            <w:tcBorders>
              <w:top w:val="single" w:sz="4" w:space="0" w:color="A6A6A6" w:themeColor="background1" w:themeShade="A6"/>
              <w:bottom w:val="single" w:sz="4" w:space="0" w:color="A6A6A6" w:themeColor="background1" w:themeShade="A6"/>
            </w:tcBorders>
          </w:tcPr>
          <w:p w14:paraId="61056173" w14:textId="77777777" w:rsidR="00CE75D4" w:rsidRPr="00B52B3C" w:rsidRDefault="00CE75D4" w:rsidP="008340C1">
            <w:pPr>
              <w:pStyle w:val="ARfintablebodyright"/>
            </w:pPr>
            <w:r w:rsidRPr="002019A7">
              <w:t>1 Jul 2021</w:t>
            </w:r>
          </w:p>
        </w:tc>
        <w:tc>
          <w:tcPr>
            <w:tcW w:w="1361" w:type="dxa"/>
            <w:tcBorders>
              <w:top w:val="single" w:sz="4" w:space="0" w:color="A6A6A6" w:themeColor="background1" w:themeShade="A6"/>
              <w:bottom w:val="single" w:sz="4" w:space="0" w:color="A6A6A6" w:themeColor="background1" w:themeShade="A6"/>
            </w:tcBorders>
          </w:tcPr>
          <w:p w14:paraId="26785B76" w14:textId="4668FF5D" w:rsidR="00CE75D4" w:rsidRPr="00B52B3C" w:rsidRDefault="00CE75D4" w:rsidP="008340C1">
            <w:pPr>
              <w:pStyle w:val="ARfintablebodyright"/>
            </w:pPr>
            <w:r w:rsidRPr="002019A7">
              <w:t>3 Dec 2021</w:t>
            </w:r>
          </w:p>
        </w:tc>
      </w:tr>
      <w:tr w:rsidR="00CE75D4" w:rsidRPr="002029AF" w14:paraId="637492DD" w14:textId="77777777" w:rsidTr="3D493511">
        <w:trPr>
          <w:cantSplit w:val="0"/>
        </w:trPr>
        <w:tc>
          <w:tcPr>
            <w:tcW w:w="1985" w:type="dxa"/>
            <w:tcBorders>
              <w:top w:val="single" w:sz="4" w:space="0" w:color="A6A6A6" w:themeColor="background1" w:themeShade="A6"/>
              <w:bottom w:val="single" w:sz="4" w:space="0" w:color="A6A6A6" w:themeColor="background1" w:themeShade="A6"/>
            </w:tcBorders>
          </w:tcPr>
          <w:p w14:paraId="6DA2E006" w14:textId="77777777" w:rsidR="00CE75D4" w:rsidRDefault="00CE75D4" w:rsidP="008340C1">
            <w:pPr>
              <w:pStyle w:val="ARfintablebody"/>
            </w:pPr>
            <w:r w:rsidRPr="002019A7">
              <w:t>Department of Health</w:t>
            </w:r>
          </w:p>
        </w:tc>
        <w:tc>
          <w:tcPr>
            <w:tcW w:w="1985" w:type="dxa"/>
            <w:tcBorders>
              <w:top w:val="single" w:sz="4" w:space="0" w:color="A6A6A6" w:themeColor="background1" w:themeShade="A6"/>
              <w:bottom w:val="single" w:sz="4" w:space="0" w:color="A6A6A6" w:themeColor="background1" w:themeShade="A6"/>
            </w:tcBorders>
          </w:tcPr>
          <w:p w14:paraId="1C7940B1" w14:textId="77777777" w:rsidR="00CE75D4" w:rsidRDefault="00CE75D4" w:rsidP="008340C1">
            <w:pPr>
              <w:pStyle w:val="ARfintablebody"/>
            </w:pPr>
            <w:r w:rsidRPr="002019A7">
              <w:t>Andrew Gay</w:t>
            </w:r>
          </w:p>
        </w:tc>
        <w:tc>
          <w:tcPr>
            <w:tcW w:w="2948" w:type="dxa"/>
            <w:tcBorders>
              <w:top w:val="single" w:sz="4" w:space="0" w:color="A6A6A6" w:themeColor="background1" w:themeShade="A6"/>
              <w:bottom w:val="single" w:sz="4" w:space="0" w:color="A6A6A6" w:themeColor="background1" w:themeShade="A6"/>
            </w:tcBorders>
          </w:tcPr>
          <w:p w14:paraId="72B3792D" w14:textId="77777777" w:rsidR="00CE75D4" w:rsidRDefault="00CE75D4" w:rsidP="008340C1">
            <w:pPr>
              <w:pStyle w:val="ARfintablebody"/>
            </w:pPr>
            <w:r w:rsidRPr="002019A7">
              <w:t>Chief Finance Officer</w:t>
            </w:r>
          </w:p>
        </w:tc>
        <w:tc>
          <w:tcPr>
            <w:tcW w:w="1361" w:type="dxa"/>
            <w:tcBorders>
              <w:top w:val="single" w:sz="4" w:space="0" w:color="A6A6A6" w:themeColor="background1" w:themeShade="A6"/>
              <w:bottom w:val="single" w:sz="4" w:space="0" w:color="A6A6A6" w:themeColor="background1" w:themeShade="A6"/>
            </w:tcBorders>
          </w:tcPr>
          <w:p w14:paraId="6A3C99FF" w14:textId="77777777" w:rsidR="00CE75D4" w:rsidRPr="00B52B3C" w:rsidRDefault="00CE75D4" w:rsidP="008340C1">
            <w:pPr>
              <w:pStyle w:val="ARfintablebodyright"/>
            </w:pPr>
            <w:r w:rsidRPr="002019A7">
              <w:t>31 Jan 2022</w:t>
            </w:r>
          </w:p>
        </w:tc>
        <w:tc>
          <w:tcPr>
            <w:tcW w:w="1361" w:type="dxa"/>
            <w:tcBorders>
              <w:top w:val="single" w:sz="4" w:space="0" w:color="A6A6A6" w:themeColor="background1" w:themeShade="A6"/>
              <w:bottom w:val="single" w:sz="4" w:space="0" w:color="A6A6A6" w:themeColor="background1" w:themeShade="A6"/>
            </w:tcBorders>
          </w:tcPr>
          <w:p w14:paraId="31ECC5FF" w14:textId="45197A7C" w:rsidR="00CE75D4" w:rsidRPr="00B52B3C" w:rsidRDefault="00CE75D4" w:rsidP="008340C1">
            <w:pPr>
              <w:pStyle w:val="ARfintablebodyright"/>
            </w:pPr>
            <w:r w:rsidRPr="002019A7">
              <w:t>13 May 2022</w:t>
            </w:r>
          </w:p>
        </w:tc>
      </w:tr>
      <w:tr w:rsidR="00CE75D4" w:rsidRPr="002029AF" w14:paraId="00FD8F0B" w14:textId="77777777" w:rsidTr="3D493511">
        <w:trPr>
          <w:cantSplit w:val="0"/>
        </w:trPr>
        <w:tc>
          <w:tcPr>
            <w:tcW w:w="1985" w:type="dxa"/>
            <w:tcBorders>
              <w:top w:val="single" w:sz="4" w:space="0" w:color="A6A6A6" w:themeColor="background1" w:themeShade="A6"/>
              <w:bottom w:val="single" w:sz="4" w:space="0" w:color="A6A6A6" w:themeColor="background1" w:themeShade="A6"/>
            </w:tcBorders>
          </w:tcPr>
          <w:p w14:paraId="0A331037" w14:textId="77777777" w:rsidR="00CE75D4" w:rsidRDefault="00CE75D4" w:rsidP="008340C1">
            <w:pPr>
              <w:pStyle w:val="ARfintablebody"/>
            </w:pPr>
            <w:r w:rsidRPr="002019A7">
              <w:t>Department of Health</w:t>
            </w:r>
          </w:p>
        </w:tc>
        <w:tc>
          <w:tcPr>
            <w:tcW w:w="1985" w:type="dxa"/>
            <w:tcBorders>
              <w:top w:val="single" w:sz="4" w:space="0" w:color="A6A6A6" w:themeColor="background1" w:themeShade="A6"/>
              <w:bottom w:val="single" w:sz="4" w:space="0" w:color="A6A6A6" w:themeColor="background1" w:themeShade="A6"/>
            </w:tcBorders>
          </w:tcPr>
          <w:p w14:paraId="6401BEFB" w14:textId="77777777" w:rsidR="00CE75D4" w:rsidRDefault="00CE75D4" w:rsidP="008340C1">
            <w:pPr>
              <w:pStyle w:val="ARfintablebody"/>
            </w:pPr>
            <w:r w:rsidRPr="002019A7">
              <w:t>Beth Gubbins</w:t>
            </w:r>
          </w:p>
        </w:tc>
        <w:tc>
          <w:tcPr>
            <w:tcW w:w="2948" w:type="dxa"/>
            <w:tcBorders>
              <w:top w:val="single" w:sz="4" w:space="0" w:color="A6A6A6" w:themeColor="background1" w:themeShade="A6"/>
              <w:bottom w:val="single" w:sz="4" w:space="0" w:color="A6A6A6" w:themeColor="background1" w:themeShade="A6"/>
            </w:tcBorders>
          </w:tcPr>
          <w:p w14:paraId="32089B72" w14:textId="77777777" w:rsidR="00CE75D4" w:rsidRDefault="00CE75D4" w:rsidP="008340C1">
            <w:pPr>
              <w:pStyle w:val="ARfintablebody"/>
            </w:pPr>
            <w:r w:rsidRPr="002019A7">
              <w:t>Acting Chief Finance Officer</w:t>
            </w:r>
          </w:p>
        </w:tc>
        <w:tc>
          <w:tcPr>
            <w:tcW w:w="1361" w:type="dxa"/>
            <w:tcBorders>
              <w:top w:val="single" w:sz="4" w:space="0" w:color="A6A6A6" w:themeColor="background1" w:themeShade="A6"/>
              <w:bottom w:val="single" w:sz="4" w:space="0" w:color="A6A6A6" w:themeColor="background1" w:themeShade="A6"/>
            </w:tcBorders>
          </w:tcPr>
          <w:p w14:paraId="0F402C59" w14:textId="77777777" w:rsidR="00CE75D4" w:rsidRPr="00B52B3C" w:rsidRDefault="00CE75D4" w:rsidP="008340C1">
            <w:pPr>
              <w:pStyle w:val="ARfintablebodyright"/>
            </w:pPr>
            <w:r w:rsidRPr="002019A7">
              <w:t>16 May 2022</w:t>
            </w:r>
          </w:p>
        </w:tc>
        <w:tc>
          <w:tcPr>
            <w:tcW w:w="1361" w:type="dxa"/>
            <w:tcBorders>
              <w:top w:val="single" w:sz="4" w:space="0" w:color="A6A6A6" w:themeColor="background1" w:themeShade="A6"/>
              <w:bottom w:val="single" w:sz="4" w:space="0" w:color="A6A6A6" w:themeColor="background1" w:themeShade="A6"/>
            </w:tcBorders>
          </w:tcPr>
          <w:p w14:paraId="2BF21432" w14:textId="7D7CCFDE" w:rsidR="00CE75D4" w:rsidRPr="00B52B3C" w:rsidRDefault="00CE75D4" w:rsidP="008340C1">
            <w:pPr>
              <w:pStyle w:val="ARfintablebodyright"/>
            </w:pPr>
            <w:r w:rsidRPr="002019A7">
              <w:t>30 Jun 2022</w:t>
            </w:r>
          </w:p>
        </w:tc>
      </w:tr>
      <w:tr w:rsidR="00CE75D4" w:rsidRPr="002029AF" w14:paraId="703C85B1" w14:textId="77777777" w:rsidTr="3D493511">
        <w:trPr>
          <w:cantSplit w:val="0"/>
        </w:trPr>
        <w:tc>
          <w:tcPr>
            <w:tcW w:w="1985" w:type="dxa"/>
            <w:tcBorders>
              <w:top w:val="single" w:sz="4" w:space="0" w:color="A6A6A6" w:themeColor="background1" w:themeShade="A6"/>
              <w:bottom w:val="single" w:sz="4" w:space="0" w:color="A6A6A6" w:themeColor="background1" w:themeShade="A6"/>
            </w:tcBorders>
          </w:tcPr>
          <w:p w14:paraId="1A655A69" w14:textId="77777777" w:rsidR="00CE75D4" w:rsidRDefault="00CE75D4" w:rsidP="008340C1">
            <w:pPr>
              <w:pStyle w:val="ARfintablebody"/>
            </w:pPr>
            <w:r w:rsidRPr="002019A7">
              <w:t>Department of Health</w:t>
            </w:r>
          </w:p>
        </w:tc>
        <w:tc>
          <w:tcPr>
            <w:tcW w:w="1985" w:type="dxa"/>
            <w:tcBorders>
              <w:top w:val="single" w:sz="4" w:space="0" w:color="A6A6A6" w:themeColor="background1" w:themeShade="A6"/>
              <w:bottom w:val="single" w:sz="4" w:space="0" w:color="A6A6A6" w:themeColor="background1" w:themeShade="A6"/>
            </w:tcBorders>
          </w:tcPr>
          <w:p w14:paraId="3D4A3793" w14:textId="77777777" w:rsidR="00CE75D4" w:rsidRDefault="00CE75D4" w:rsidP="008340C1">
            <w:pPr>
              <w:pStyle w:val="ARfintablebody"/>
            </w:pPr>
            <w:r w:rsidRPr="002019A7">
              <w:t>Beth Gubbins</w:t>
            </w:r>
          </w:p>
        </w:tc>
        <w:tc>
          <w:tcPr>
            <w:tcW w:w="2948" w:type="dxa"/>
            <w:tcBorders>
              <w:top w:val="single" w:sz="4" w:space="0" w:color="A6A6A6" w:themeColor="background1" w:themeShade="A6"/>
              <w:bottom w:val="single" w:sz="4" w:space="0" w:color="A6A6A6" w:themeColor="background1" w:themeShade="A6"/>
            </w:tcBorders>
          </w:tcPr>
          <w:p w14:paraId="6342E80A" w14:textId="77777777" w:rsidR="00CE75D4" w:rsidRDefault="00CE75D4" w:rsidP="008340C1">
            <w:pPr>
              <w:pStyle w:val="ARfintablebody"/>
            </w:pPr>
            <w:r w:rsidRPr="002019A7">
              <w:t>Deputy Chief Finance Officer</w:t>
            </w:r>
          </w:p>
        </w:tc>
        <w:tc>
          <w:tcPr>
            <w:tcW w:w="1361" w:type="dxa"/>
            <w:tcBorders>
              <w:top w:val="single" w:sz="4" w:space="0" w:color="A6A6A6" w:themeColor="background1" w:themeShade="A6"/>
              <w:bottom w:val="single" w:sz="4" w:space="0" w:color="A6A6A6" w:themeColor="background1" w:themeShade="A6"/>
            </w:tcBorders>
          </w:tcPr>
          <w:p w14:paraId="18CCC3DE" w14:textId="77777777" w:rsidR="00CE75D4" w:rsidRPr="00B52B3C" w:rsidRDefault="00CE75D4" w:rsidP="008340C1">
            <w:pPr>
              <w:pStyle w:val="ARfintablebodyright"/>
            </w:pPr>
            <w:r w:rsidRPr="002019A7">
              <w:t>1 Jul 2021</w:t>
            </w:r>
          </w:p>
        </w:tc>
        <w:tc>
          <w:tcPr>
            <w:tcW w:w="1361" w:type="dxa"/>
            <w:tcBorders>
              <w:top w:val="single" w:sz="4" w:space="0" w:color="A6A6A6" w:themeColor="background1" w:themeShade="A6"/>
              <w:bottom w:val="single" w:sz="4" w:space="0" w:color="A6A6A6" w:themeColor="background1" w:themeShade="A6"/>
            </w:tcBorders>
          </w:tcPr>
          <w:p w14:paraId="0282D546" w14:textId="77777777" w:rsidR="00CE75D4" w:rsidRPr="00B52B3C" w:rsidRDefault="00CE75D4" w:rsidP="008340C1">
            <w:pPr>
              <w:pStyle w:val="ARfintablebodyright"/>
            </w:pPr>
            <w:r w:rsidRPr="002019A7">
              <w:t>30 Jun 2022</w:t>
            </w:r>
          </w:p>
        </w:tc>
      </w:tr>
      <w:tr w:rsidR="00CE75D4" w:rsidRPr="002029AF" w14:paraId="1A7DB502" w14:textId="77777777" w:rsidTr="3D493511">
        <w:trPr>
          <w:cantSplit w:val="0"/>
        </w:trPr>
        <w:tc>
          <w:tcPr>
            <w:tcW w:w="1985" w:type="dxa"/>
            <w:tcBorders>
              <w:top w:val="single" w:sz="4" w:space="0" w:color="A6A6A6" w:themeColor="background1" w:themeShade="A6"/>
            </w:tcBorders>
          </w:tcPr>
          <w:p w14:paraId="5CE1B809" w14:textId="77777777" w:rsidR="00CE75D4" w:rsidRDefault="00CE75D4" w:rsidP="008340C1">
            <w:pPr>
              <w:pStyle w:val="ARfintablebody"/>
            </w:pPr>
            <w:r w:rsidRPr="002019A7">
              <w:t>Department of Health</w:t>
            </w:r>
          </w:p>
        </w:tc>
        <w:tc>
          <w:tcPr>
            <w:tcW w:w="1985" w:type="dxa"/>
            <w:tcBorders>
              <w:top w:val="single" w:sz="4" w:space="0" w:color="A6A6A6" w:themeColor="background1" w:themeShade="A6"/>
            </w:tcBorders>
          </w:tcPr>
          <w:p w14:paraId="5A5E0EDB" w14:textId="77777777" w:rsidR="00CE75D4" w:rsidRDefault="00CE75D4" w:rsidP="008340C1">
            <w:pPr>
              <w:pStyle w:val="ARfintablebody"/>
            </w:pPr>
            <w:r w:rsidRPr="002019A7">
              <w:t>Scott O</w:t>
            </w:r>
            <w:r>
              <w:t>’</w:t>
            </w:r>
            <w:r w:rsidRPr="002019A7">
              <w:t>Keeffe</w:t>
            </w:r>
          </w:p>
        </w:tc>
        <w:tc>
          <w:tcPr>
            <w:tcW w:w="2948" w:type="dxa"/>
            <w:tcBorders>
              <w:top w:val="single" w:sz="4" w:space="0" w:color="A6A6A6" w:themeColor="background1" w:themeShade="A6"/>
            </w:tcBorders>
          </w:tcPr>
          <w:p w14:paraId="656CBC60" w14:textId="77777777" w:rsidR="00CE75D4" w:rsidRDefault="00CE75D4" w:rsidP="008340C1">
            <w:pPr>
              <w:pStyle w:val="ARfintablebody"/>
            </w:pPr>
            <w:r w:rsidRPr="002019A7">
              <w:t>Acting Deputy Chief Finance Officer</w:t>
            </w:r>
          </w:p>
        </w:tc>
        <w:tc>
          <w:tcPr>
            <w:tcW w:w="1361" w:type="dxa"/>
            <w:tcBorders>
              <w:top w:val="single" w:sz="4" w:space="0" w:color="A6A6A6" w:themeColor="background1" w:themeShade="A6"/>
            </w:tcBorders>
          </w:tcPr>
          <w:p w14:paraId="1783A065" w14:textId="77777777" w:rsidR="00CE75D4" w:rsidRPr="00B52B3C" w:rsidRDefault="00CE75D4" w:rsidP="008340C1">
            <w:pPr>
              <w:pStyle w:val="ARfintablebodyright"/>
            </w:pPr>
            <w:r w:rsidRPr="002019A7">
              <w:t>16 May 2022</w:t>
            </w:r>
          </w:p>
        </w:tc>
        <w:tc>
          <w:tcPr>
            <w:tcW w:w="1361" w:type="dxa"/>
            <w:tcBorders>
              <w:top w:val="single" w:sz="4" w:space="0" w:color="A6A6A6" w:themeColor="background1" w:themeShade="A6"/>
            </w:tcBorders>
          </w:tcPr>
          <w:p w14:paraId="2FACFD49" w14:textId="77777777" w:rsidR="00CE75D4" w:rsidRPr="00B52B3C" w:rsidRDefault="00CE75D4" w:rsidP="008340C1">
            <w:pPr>
              <w:pStyle w:val="ARfintablebodyright"/>
            </w:pPr>
            <w:r w:rsidRPr="002019A7">
              <w:t>30 Jun 2022</w:t>
            </w:r>
          </w:p>
        </w:tc>
      </w:tr>
    </w:tbl>
    <w:p w14:paraId="6395DF3F" w14:textId="4AC53748" w:rsidR="00CE75D4" w:rsidRDefault="00CE75D4" w:rsidP="008340C1">
      <w:pPr>
        <w:pStyle w:val="ARfintablefootnote"/>
      </w:pPr>
      <w:r>
        <w:rPr>
          <w:lang w:eastAsia="en-AU"/>
        </w:rPr>
        <w:t>Note</w:t>
      </w:r>
      <w:r w:rsidR="005C34DC">
        <w:rPr>
          <w:lang w:eastAsia="en-AU"/>
        </w:rPr>
        <w:t>s</w:t>
      </w:r>
      <w:r>
        <w:rPr>
          <w:lang w:eastAsia="en-AU"/>
        </w:rPr>
        <w:t>:</w:t>
      </w:r>
    </w:p>
    <w:p w14:paraId="07A265B5" w14:textId="58174033" w:rsidR="00CE75D4" w:rsidRDefault="00CE75D4" w:rsidP="0053626B">
      <w:pPr>
        <w:pStyle w:val="ARfintablefootnoteindent"/>
      </w:pPr>
      <w:r>
        <w:t>(i)</w:t>
      </w:r>
      <w:r>
        <w:tab/>
        <w:t>COVID-19 Response division was incorporated as a COVID-19 branch into the Public Health division from 1 May 2022.</w:t>
      </w:r>
    </w:p>
    <w:p w14:paraId="7C2480DB" w14:textId="485052BA" w:rsidR="00CE75D4" w:rsidRDefault="00CE75D4" w:rsidP="008340C1">
      <w:pPr>
        <w:pStyle w:val="ARfintablefootnoteindent"/>
      </w:pPr>
      <w:r>
        <w:t>(ii)</w:t>
      </w:r>
      <w:r>
        <w:tab/>
        <w:t>The deputy secretary roles were shared by multiple</w:t>
      </w:r>
      <w:r w:rsidR="005C34DC">
        <w:t xml:space="preserve"> </w:t>
      </w:r>
      <w:r>
        <w:t>people.</w:t>
      </w:r>
    </w:p>
    <w:p w14:paraId="1F7042ED" w14:textId="77777777" w:rsidR="00CE75D4" w:rsidRPr="0040433B" w:rsidRDefault="00CE75D4" w:rsidP="00130D1C">
      <w:pPr>
        <w:pStyle w:val="ARfinbody"/>
      </w:pPr>
      <w:r w:rsidRPr="0040433B">
        <w:br w:type="page"/>
      </w:r>
    </w:p>
    <w:p w14:paraId="30C45132" w14:textId="77777777" w:rsidR="00CE75D4" w:rsidRDefault="00CE75D4" w:rsidP="00130D1C">
      <w:pPr>
        <w:pStyle w:val="ARfinbodyaftertable"/>
      </w:pPr>
      <w:r>
        <w:t>Key management personnel of the Administrative Office consolidated pursuant to s. 45(4) of the FMA into the department’s financial statements include:</w:t>
      </w:r>
    </w:p>
    <w:tbl>
      <w:tblPr>
        <w:tblStyle w:val="TableGrid"/>
        <w:tblW w:w="9639" w:type="dxa"/>
        <w:tblLayout w:type="fixed"/>
        <w:tblLook w:val="06A0" w:firstRow="1" w:lastRow="0" w:firstColumn="1" w:lastColumn="0" w:noHBand="1" w:noVBand="1"/>
      </w:tblPr>
      <w:tblGrid>
        <w:gridCol w:w="2337"/>
        <w:gridCol w:w="1752"/>
        <w:gridCol w:w="2746"/>
        <w:gridCol w:w="1402"/>
        <w:gridCol w:w="1402"/>
      </w:tblGrid>
      <w:tr w:rsidR="00CE75D4" w:rsidRPr="002029AF" w14:paraId="242360FD"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2268" w:type="dxa"/>
            <w:tcBorders>
              <w:bottom w:val="single" w:sz="4" w:space="0" w:color="auto"/>
            </w:tcBorders>
          </w:tcPr>
          <w:p w14:paraId="766BAF7F" w14:textId="77777777" w:rsidR="00CE75D4" w:rsidRPr="002029AF" w:rsidRDefault="00CE75D4" w:rsidP="008340C1">
            <w:pPr>
              <w:pStyle w:val="ARfintablecolhead"/>
            </w:pPr>
            <w:r w:rsidRPr="002029AF">
              <w:t>Entity</w:t>
            </w:r>
          </w:p>
        </w:tc>
        <w:tc>
          <w:tcPr>
            <w:tcW w:w="1701" w:type="dxa"/>
            <w:tcBorders>
              <w:bottom w:val="single" w:sz="4" w:space="0" w:color="auto"/>
            </w:tcBorders>
          </w:tcPr>
          <w:p w14:paraId="1C388E27" w14:textId="77777777" w:rsidR="00CE75D4" w:rsidRPr="002029AF" w:rsidRDefault="00CE75D4" w:rsidP="008340C1">
            <w:pPr>
              <w:pStyle w:val="ARfintablecolhead"/>
            </w:pPr>
            <w:r w:rsidRPr="002029AF">
              <w:t xml:space="preserve">Key </w:t>
            </w:r>
            <w:r>
              <w:t>m</w:t>
            </w:r>
            <w:r w:rsidRPr="002029AF">
              <w:t xml:space="preserve">anagement </w:t>
            </w:r>
            <w:r>
              <w:t>p</w:t>
            </w:r>
            <w:r w:rsidRPr="002029AF">
              <w:t>ersonnel</w:t>
            </w:r>
          </w:p>
        </w:tc>
        <w:tc>
          <w:tcPr>
            <w:tcW w:w="2665" w:type="dxa"/>
            <w:tcBorders>
              <w:bottom w:val="single" w:sz="4" w:space="0" w:color="auto"/>
            </w:tcBorders>
          </w:tcPr>
          <w:p w14:paraId="40B2411D" w14:textId="77777777" w:rsidR="00CE75D4" w:rsidRPr="002029AF" w:rsidRDefault="00CE75D4" w:rsidP="008340C1">
            <w:pPr>
              <w:pStyle w:val="ARfintablecolhead"/>
            </w:pPr>
            <w:r w:rsidRPr="002029AF">
              <w:t>Position title</w:t>
            </w:r>
          </w:p>
        </w:tc>
        <w:tc>
          <w:tcPr>
            <w:tcW w:w="1361" w:type="dxa"/>
            <w:tcBorders>
              <w:bottom w:val="single" w:sz="4" w:space="0" w:color="auto"/>
            </w:tcBorders>
          </w:tcPr>
          <w:p w14:paraId="1178D24D" w14:textId="77777777" w:rsidR="00CE75D4" w:rsidRPr="002029AF" w:rsidRDefault="00CE75D4" w:rsidP="008340C1">
            <w:pPr>
              <w:pStyle w:val="ARfintablecolheadright"/>
            </w:pPr>
            <w:r>
              <w:t>From</w:t>
            </w:r>
          </w:p>
        </w:tc>
        <w:tc>
          <w:tcPr>
            <w:tcW w:w="1361" w:type="dxa"/>
            <w:tcBorders>
              <w:bottom w:val="single" w:sz="4" w:space="0" w:color="auto"/>
            </w:tcBorders>
          </w:tcPr>
          <w:p w14:paraId="63288280" w14:textId="77777777" w:rsidR="00CE75D4" w:rsidRPr="002029AF" w:rsidRDefault="00CE75D4" w:rsidP="008340C1">
            <w:pPr>
              <w:pStyle w:val="ARfintablecolheadright"/>
            </w:pPr>
            <w:r>
              <w:t>To</w:t>
            </w:r>
          </w:p>
        </w:tc>
      </w:tr>
      <w:tr w:rsidR="00CE75D4" w:rsidRPr="00D72137" w14:paraId="488531EA" w14:textId="77777777" w:rsidTr="3D493511">
        <w:trPr>
          <w:cantSplit w:val="0"/>
        </w:trPr>
        <w:tc>
          <w:tcPr>
            <w:tcW w:w="2268" w:type="dxa"/>
            <w:tcBorders>
              <w:top w:val="single" w:sz="4" w:space="0" w:color="auto"/>
              <w:bottom w:val="single" w:sz="4" w:space="0" w:color="A6A6A6" w:themeColor="background1" w:themeShade="A6"/>
            </w:tcBorders>
          </w:tcPr>
          <w:p w14:paraId="7C4C8061" w14:textId="77777777" w:rsidR="00CE75D4" w:rsidRPr="002029AF" w:rsidRDefault="00CE75D4" w:rsidP="008340C1">
            <w:pPr>
              <w:pStyle w:val="ARfintablebody"/>
            </w:pPr>
            <w:r w:rsidRPr="00B7067F">
              <w:t>Safer Care Victoria</w:t>
            </w:r>
          </w:p>
        </w:tc>
        <w:tc>
          <w:tcPr>
            <w:tcW w:w="1701" w:type="dxa"/>
            <w:tcBorders>
              <w:top w:val="single" w:sz="4" w:space="0" w:color="auto"/>
              <w:bottom w:val="single" w:sz="4" w:space="0" w:color="A6A6A6" w:themeColor="background1" w:themeShade="A6"/>
            </w:tcBorders>
          </w:tcPr>
          <w:p w14:paraId="1DE60B77" w14:textId="77777777" w:rsidR="00CE75D4" w:rsidRPr="002029AF" w:rsidRDefault="00CE75D4" w:rsidP="008340C1">
            <w:pPr>
              <w:pStyle w:val="ARfintablebody"/>
            </w:pPr>
            <w:r w:rsidRPr="00B7067F">
              <w:t>Michael Roberts</w:t>
            </w:r>
          </w:p>
        </w:tc>
        <w:tc>
          <w:tcPr>
            <w:tcW w:w="2665" w:type="dxa"/>
            <w:tcBorders>
              <w:top w:val="single" w:sz="4" w:space="0" w:color="auto"/>
              <w:bottom w:val="single" w:sz="4" w:space="0" w:color="A6A6A6" w:themeColor="background1" w:themeShade="A6"/>
            </w:tcBorders>
          </w:tcPr>
          <w:p w14:paraId="1D52A23C" w14:textId="77777777" w:rsidR="00CE75D4" w:rsidRPr="002029AF" w:rsidRDefault="00CE75D4" w:rsidP="008340C1">
            <w:pPr>
              <w:pStyle w:val="ARfintablebody"/>
            </w:pPr>
            <w:r w:rsidRPr="00B7067F">
              <w:t>Chief Executive Officer</w:t>
            </w:r>
          </w:p>
        </w:tc>
        <w:tc>
          <w:tcPr>
            <w:tcW w:w="1361" w:type="dxa"/>
            <w:tcBorders>
              <w:top w:val="single" w:sz="4" w:space="0" w:color="auto"/>
              <w:bottom w:val="single" w:sz="4" w:space="0" w:color="A6A6A6" w:themeColor="background1" w:themeShade="A6"/>
            </w:tcBorders>
          </w:tcPr>
          <w:p w14:paraId="06268EA6" w14:textId="77777777" w:rsidR="00CE75D4" w:rsidRPr="002029AF" w:rsidRDefault="00CE75D4" w:rsidP="008340C1">
            <w:pPr>
              <w:pStyle w:val="ARfintablebodyright"/>
            </w:pPr>
            <w:r w:rsidRPr="00B7067F">
              <w:t>31 Aug 2021</w:t>
            </w:r>
          </w:p>
        </w:tc>
        <w:tc>
          <w:tcPr>
            <w:tcW w:w="1361" w:type="dxa"/>
            <w:tcBorders>
              <w:top w:val="single" w:sz="4" w:space="0" w:color="auto"/>
              <w:bottom w:val="single" w:sz="4" w:space="0" w:color="A6A6A6" w:themeColor="background1" w:themeShade="A6"/>
            </w:tcBorders>
          </w:tcPr>
          <w:p w14:paraId="103B2849" w14:textId="77777777" w:rsidR="00CE75D4" w:rsidRPr="00D72137" w:rsidRDefault="00CE75D4" w:rsidP="008340C1">
            <w:pPr>
              <w:pStyle w:val="ARfintablebodyright"/>
            </w:pPr>
            <w:r w:rsidRPr="00B7067F">
              <w:t>30 Jun 2022</w:t>
            </w:r>
          </w:p>
        </w:tc>
      </w:tr>
      <w:tr w:rsidR="00CE75D4" w:rsidRPr="00B52B3C" w14:paraId="6DBC3A3D" w14:textId="77777777" w:rsidTr="3D493511">
        <w:trPr>
          <w:cantSplit w:val="0"/>
        </w:trPr>
        <w:tc>
          <w:tcPr>
            <w:tcW w:w="2268" w:type="dxa"/>
            <w:tcBorders>
              <w:top w:val="single" w:sz="4" w:space="0" w:color="A6A6A6" w:themeColor="background1" w:themeShade="A6"/>
              <w:bottom w:val="single" w:sz="4" w:space="0" w:color="auto"/>
            </w:tcBorders>
          </w:tcPr>
          <w:p w14:paraId="38D8BD18" w14:textId="77777777" w:rsidR="00CE75D4" w:rsidRPr="002029AF" w:rsidRDefault="00CE75D4" w:rsidP="008340C1">
            <w:pPr>
              <w:pStyle w:val="ARfintablebody"/>
            </w:pPr>
            <w:r w:rsidRPr="00B7067F">
              <w:t>Safer Care Victoria</w:t>
            </w:r>
          </w:p>
        </w:tc>
        <w:tc>
          <w:tcPr>
            <w:tcW w:w="1701" w:type="dxa"/>
            <w:tcBorders>
              <w:top w:val="single" w:sz="4" w:space="0" w:color="A6A6A6" w:themeColor="background1" w:themeShade="A6"/>
              <w:bottom w:val="single" w:sz="4" w:space="0" w:color="auto"/>
            </w:tcBorders>
          </w:tcPr>
          <w:p w14:paraId="6DDB0873" w14:textId="77777777" w:rsidR="00CE75D4" w:rsidRPr="002029AF" w:rsidRDefault="00CE75D4" w:rsidP="008340C1">
            <w:pPr>
              <w:pStyle w:val="ARfintablebody"/>
            </w:pPr>
            <w:r w:rsidRPr="00B7067F">
              <w:t>Robyn Hudson</w:t>
            </w:r>
          </w:p>
        </w:tc>
        <w:tc>
          <w:tcPr>
            <w:tcW w:w="2665" w:type="dxa"/>
            <w:tcBorders>
              <w:top w:val="single" w:sz="4" w:space="0" w:color="A6A6A6" w:themeColor="background1" w:themeShade="A6"/>
              <w:bottom w:val="single" w:sz="4" w:space="0" w:color="auto"/>
            </w:tcBorders>
          </w:tcPr>
          <w:p w14:paraId="06E00F9A" w14:textId="77777777" w:rsidR="00CE75D4" w:rsidRPr="002029AF" w:rsidRDefault="00CE75D4" w:rsidP="008340C1">
            <w:pPr>
              <w:pStyle w:val="ARfintablebody"/>
            </w:pPr>
            <w:r w:rsidRPr="00B7067F">
              <w:t>Acting Chief Executive Officer</w:t>
            </w:r>
          </w:p>
        </w:tc>
        <w:tc>
          <w:tcPr>
            <w:tcW w:w="1361" w:type="dxa"/>
            <w:tcBorders>
              <w:top w:val="single" w:sz="4" w:space="0" w:color="A6A6A6" w:themeColor="background1" w:themeShade="A6"/>
              <w:bottom w:val="single" w:sz="4" w:space="0" w:color="auto"/>
            </w:tcBorders>
          </w:tcPr>
          <w:p w14:paraId="5CC3491B" w14:textId="77777777" w:rsidR="00CE75D4" w:rsidRPr="002029AF" w:rsidRDefault="00CE75D4" w:rsidP="008340C1">
            <w:pPr>
              <w:pStyle w:val="ARfintablebodyright"/>
            </w:pPr>
            <w:r w:rsidRPr="00B7067F">
              <w:t>1 Jul 2021</w:t>
            </w:r>
          </w:p>
        </w:tc>
        <w:tc>
          <w:tcPr>
            <w:tcW w:w="1361" w:type="dxa"/>
            <w:tcBorders>
              <w:top w:val="single" w:sz="4" w:space="0" w:color="A6A6A6" w:themeColor="background1" w:themeShade="A6"/>
              <w:bottom w:val="single" w:sz="4" w:space="0" w:color="auto"/>
            </w:tcBorders>
          </w:tcPr>
          <w:p w14:paraId="4AD8798F" w14:textId="768F5062" w:rsidR="00CE75D4" w:rsidRPr="00B52B3C" w:rsidRDefault="00CE75D4" w:rsidP="008340C1">
            <w:pPr>
              <w:pStyle w:val="ARfintablebodyright"/>
            </w:pPr>
            <w:r>
              <w:t>3 Sep 2021</w:t>
            </w:r>
          </w:p>
        </w:tc>
      </w:tr>
    </w:tbl>
    <w:p w14:paraId="69132773" w14:textId="77777777" w:rsidR="00CE75D4" w:rsidRPr="004D5F94" w:rsidRDefault="00CE75D4" w:rsidP="008340C1">
      <w:pPr>
        <w:pStyle w:val="ARfinbodyaftertable"/>
        <w:spacing w:after="160"/>
      </w:pPr>
      <w:r>
        <w:t>Key management personnel of the entity consolidated pursuant to s. 53(1)(b) of the FMA into the department’s financial statements include</w:t>
      </w:r>
      <w:r w:rsidRPr="004D5F94">
        <w:t>:</w:t>
      </w:r>
    </w:p>
    <w:tbl>
      <w:tblPr>
        <w:tblStyle w:val="TableGrid"/>
        <w:tblW w:w="9639" w:type="dxa"/>
        <w:tblLayout w:type="fixed"/>
        <w:tblLook w:val="06A0" w:firstRow="1" w:lastRow="0" w:firstColumn="1" w:lastColumn="0" w:noHBand="1" w:noVBand="1"/>
      </w:tblPr>
      <w:tblGrid>
        <w:gridCol w:w="2267"/>
        <w:gridCol w:w="1985"/>
        <w:gridCol w:w="2665"/>
        <w:gridCol w:w="1361"/>
        <w:gridCol w:w="1361"/>
      </w:tblGrid>
      <w:tr w:rsidR="00CE75D4" w:rsidRPr="002029AF" w14:paraId="380E96FA"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2267" w:type="dxa"/>
            <w:tcBorders>
              <w:bottom w:val="single" w:sz="4" w:space="0" w:color="auto"/>
            </w:tcBorders>
          </w:tcPr>
          <w:p w14:paraId="1EDD5932" w14:textId="77777777" w:rsidR="00CE75D4" w:rsidRPr="002029AF" w:rsidRDefault="00CE75D4" w:rsidP="008340C1">
            <w:pPr>
              <w:pStyle w:val="ARfintablecolhead"/>
            </w:pPr>
            <w:r w:rsidRPr="002029AF">
              <w:t>Entity</w:t>
            </w:r>
          </w:p>
        </w:tc>
        <w:tc>
          <w:tcPr>
            <w:tcW w:w="1985" w:type="dxa"/>
            <w:tcBorders>
              <w:bottom w:val="single" w:sz="4" w:space="0" w:color="auto"/>
            </w:tcBorders>
          </w:tcPr>
          <w:p w14:paraId="2CB394A7" w14:textId="77777777" w:rsidR="00CE75D4" w:rsidRPr="002029AF" w:rsidRDefault="00CE75D4" w:rsidP="008340C1">
            <w:pPr>
              <w:pStyle w:val="ARfintablecolhead"/>
            </w:pPr>
            <w:r w:rsidRPr="002029AF">
              <w:t xml:space="preserve">Key </w:t>
            </w:r>
            <w:r>
              <w:t>m</w:t>
            </w:r>
            <w:r w:rsidRPr="002029AF">
              <w:t xml:space="preserve">anagement </w:t>
            </w:r>
            <w:r>
              <w:t>p</w:t>
            </w:r>
            <w:r w:rsidRPr="002029AF">
              <w:t>ersonnel</w:t>
            </w:r>
          </w:p>
        </w:tc>
        <w:tc>
          <w:tcPr>
            <w:tcW w:w="2665" w:type="dxa"/>
            <w:tcBorders>
              <w:bottom w:val="single" w:sz="4" w:space="0" w:color="auto"/>
            </w:tcBorders>
          </w:tcPr>
          <w:p w14:paraId="005A9B12" w14:textId="77777777" w:rsidR="00CE75D4" w:rsidRPr="002029AF" w:rsidRDefault="00CE75D4" w:rsidP="008340C1">
            <w:pPr>
              <w:pStyle w:val="ARfintablecolhead"/>
            </w:pPr>
            <w:r w:rsidRPr="002029AF">
              <w:t>Position title</w:t>
            </w:r>
          </w:p>
        </w:tc>
        <w:tc>
          <w:tcPr>
            <w:tcW w:w="1361" w:type="dxa"/>
            <w:tcBorders>
              <w:bottom w:val="single" w:sz="4" w:space="0" w:color="auto"/>
            </w:tcBorders>
          </w:tcPr>
          <w:p w14:paraId="2EFBB132" w14:textId="77777777" w:rsidR="00CE75D4" w:rsidRPr="002029AF" w:rsidRDefault="00CE75D4" w:rsidP="008340C1">
            <w:pPr>
              <w:pStyle w:val="ARfintablecolhead"/>
              <w:jc w:val="right"/>
            </w:pPr>
            <w:r>
              <w:t>From</w:t>
            </w:r>
          </w:p>
        </w:tc>
        <w:tc>
          <w:tcPr>
            <w:tcW w:w="1361" w:type="dxa"/>
            <w:tcBorders>
              <w:bottom w:val="single" w:sz="4" w:space="0" w:color="auto"/>
            </w:tcBorders>
          </w:tcPr>
          <w:p w14:paraId="08C992BA" w14:textId="77777777" w:rsidR="00CE75D4" w:rsidRPr="002029AF" w:rsidRDefault="00CE75D4" w:rsidP="008340C1">
            <w:pPr>
              <w:pStyle w:val="ARfintablecolhead"/>
              <w:jc w:val="right"/>
            </w:pPr>
            <w:r>
              <w:t>To</w:t>
            </w:r>
          </w:p>
        </w:tc>
      </w:tr>
      <w:tr w:rsidR="00CE75D4" w:rsidRPr="00B52B3C" w14:paraId="3A8551FB" w14:textId="77777777" w:rsidTr="008340C1">
        <w:trPr>
          <w:cantSplit w:val="0"/>
        </w:trPr>
        <w:tc>
          <w:tcPr>
            <w:tcW w:w="2267" w:type="dxa"/>
            <w:tcBorders>
              <w:top w:val="single" w:sz="4" w:space="0" w:color="A6A6A6"/>
              <w:bottom w:val="single" w:sz="4" w:space="0" w:color="auto"/>
            </w:tcBorders>
          </w:tcPr>
          <w:p w14:paraId="22C2D182" w14:textId="77777777" w:rsidR="00CE75D4" w:rsidRPr="002029AF" w:rsidRDefault="00CE75D4" w:rsidP="008340C1">
            <w:pPr>
              <w:pStyle w:val="ARfintablebody"/>
            </w:pPr>
            <w:r w:rsidRPr="00965CF1">
              <w:t>Mental Health Tribunal</w:t>
            </w:r>
          </w:p>
        </w:tc>
        <w:tc>
          <w:tcPr>
            <w:tcW w:w="1985" w:type="dxa"/>
            <w:tcBorders>
              <w:top w:val="single" w:sz="4" w:space="0" w:color="A6A6A6"/>
              <w:bottom w:val="single" w:sz="4" w:space="0" w:color="auto"/>
            </w:tcBorders>
          </w:tcPr>
          <w:p w14:paraId="26EC3627" w14:textId="77777777" w:rsidR="00CE75D4" w:rsidRPr="002029AF" w:rsidRDefault="00CE75D4" w:rsidP="008340C1">
            <w:pPr>
              <w:pStyle w:val="ARfintablebody"/>
            </w:pPr>
            <w:r w:rsidRPr="00965CF1">
              <w:t>Matthew Carroll</w:t>
            </w:r>
          </w:p>
        </w:tc>
        <w:tc>
          <w:tcPr>
            <w:tcW w:w="2665" w:type="dxa"/>
            <w:tcBorders>
              <w:top w:val="single" w:sz="4" w:space="0" w:color="A6A6A6"/>
              <w:bottom w:val="single" w:sz="4" w:space="0" w:color="auto"/>
            </w:tcBorders>
          </w:tcPr>
          <w:p w14:paraId="4EE64C69" w14:textId="77777777" w:rsidR="00CE75D4" w:rsidRPr="002029AF" w:rsidRDefault="00CE75D4" w:rsidP="008340C1">
            <w:pPr>
              <w:pStyle w:val="ARfintablebody"/>
            </w:pPr>
            <w:r w:rsidRPr="00965CF1">
              <w:t>President</w:t>
            </w:r>
          </w:p>
        </w:tc>
        <w:tc>
          <w:tcPr>
            <w:tcW w:w="1361" w:type="dxa"/>
            <w:tcBorders>
              <w:top w:val="single" w:sz="4" w:space="0" w:color="A6A6A6"/>
              <w:bottom w:val="single" w:sz="4" w:space="0" w:color="auto"/>
            </w:tcBorders>
          </w:tcPr>
          <w:p w14:paraId="740E349A" w14:textId="77777777" w:rsidR="00CE75D4" w:rsidRPr="002029AF" w:rsidRDefault="00CE75D4" w:rsidP="008340C1">
            <w:pPr>
              <w:pStyle w:val="ARfintablebody"/>
              <w:jc w:val="right"/>
            </w:pPr>
            <w:r w:rsidRPr="00965CF1">
              <w:t>1 Jul 2021</w:t>
            </w:r>
          </w:p>
        </w:tc>
        <w:tc>
          <w:tcPr>
            <w:tcW w:w="1361" w:type="dxa"/>
            <w:tcBorders>
              <w:top w:val="single" w:sz="4" w:space="0" w:color="A6A6A6"/>
              <w:bottom w:val="single" w:sz="4" w:space="0" w:color="auto"/>
            </w:tcBorders>
          </w:tcPr>
          <w:p w14:paraId="6004FDB1" w14:textId="77777777" w:rsidR="00CE75D4" w:rsidRPr="00B52B3C" w:rsidRDefault="00CE75D4" w:rsidP="008340C1">
            <w:pPr>
              <w:pStyle w:val="ARfintablebody"/>
              <w:jc w:val="right"/>
            </w:pPr>
            <w:r w:rsidRPr="00965CF1">
              <w:t>30 Jun 2022</w:t>
            </w:r>
          </w:p>
        </w:tc>
      </w:tr>
    </w:tbl>
    <w:p w14:paraId="27A6EC7E" w14:textId="77777777" w:rsidR="00CE75D4" w:rsidRDefault="00CE75D4" w:rsidP="008340C1">
      <w:pPr>
        <w:pStyle w:val="Heading5"/>
      </w:pPr>
      <w:r>
        <w:rPr>
          <w:lang w:eastAsia="en-AU"/>
        </w:rPr>
        <w:t>Remuneration of key management personnel</w:t>
      </w:r>
    </w:p>
    <w:p w14:paraId="49CB5D3D" w14:textId="540353F3" w:rsidR="00CE75D4" w:rsidRDefault="00CE75D4" w:rsidP="008340C1">
      <w:pPr>
        <w:pStyle w:val="ARfinbodylargespace"/>
      </w:pPr>
      <w:r>
        <w:t xml:space="preserve">The compensation detailed below excludes the salaries and benefits the Portfolio Ministers received. The Ministers’ remuneration and allowances are set by the </w:t>
      </w:r>
      <w:r>
        <w:rPr>
          <w:rStyle w:val="Emphasis"/>
        </w:rPr>
        <w:t>Parliamentary Salaries and Superannuation Act 1968</w:t>
      </w:r>
      <w:r>
        <w:t xml:space="preserve"> and are reported in</w:t>
      </w:r>
      <w:r w:rsidR="00F47176">
        <w:t> </w:t>
      </w:r>
      <w:r>
        <w:t>the State’s Annual Financial Report.</w:t>
      </w:r>
    </w:p>
    <w:tbl>
      <w:tblPr>
        <w:tblStyle w:val="TableGrid"/>
        <w:tblW w:w="9639" w:type="dxa"/>
        <w:tblLayout w:type="fixed"/>
        <w:tblLook w:val="06A0" w:firstRow="1" w:lastRow="0" w:firstColumn="1" w:lastColumn="0" w:noHBand="1" w:noVBand="1"/>
      </w:tblPr>
      <w:tblGrid>
        <w:gridCol w:w="1927"/>
        <w:gridCol w:w="964"/>
        <w:gridCol w:w="964"/>
        <w:gridCol w:w="964"/>
        <w:gridCol w:w="964"/>
        <w:gridCol w:w="964"/>
        <w:gridCol w:w="964"/>
        <w:gridCol w:w="964"/>
        <w:gridCol w:w="964"/>
      </w:tblGrid>
      <w:tr w:rsidR="00CE75D4" w:rsidRPr="002029AF" w14:paraId="35EA1036"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1927" w:type="dxa"/>
            <w:vMerge w:val="restart"/>
            <w:noWrap/>
            <w:hideMark/>
          </w:tcPr>
          <w:p w14:paraId="19C4C13B" w14:textId="77777777" w:rsidR="00CE75D4" w:rsidRPr="002029AF" w:rsidRDefault="00CE75D4" w:rsidP="00860E95">
            <w:pPr>
              <w:pStyle w:val="ARfintablecolhead"/>
            </w:pPr>
            <w:r w:rsidRPr="002029AF">
              <w:t>Compensation of</w:t>
            </w:r>
            <w:r>
              <w:t> </w:t>
            </w:r>
            <w:r w:rsidRPr="002029AF">
              <w:t>KMPs</w:t>
            </w:r>
          </w:p>
        </w:tc>
        <w:tc>
          <w:tcPr>
            <w:tcW w:w="1928" w:type="dxa"/>
            <w:gridSpan w:val="2"/>
          </w:tcPr>
          <w:p w14:paraId="2C35C6A2" w14:textId="77777777" w:rsidR="00CE75D4" w:rsidRPr="002029AF" w:rsidRDefault="00CE75D4" w:rsidP="00860E95">
            <w:pPr>
              <w:pStyle w:val="ARfintablecolheadcentre"/>
            </w:pPr>
            <w:r w:rsidRPr="002A01F5">
              <w:t>Department of</w:t>
            </w:r>
            <w:r>
              <w:t> </w:t>
            </w:r>
            <w:r w:rsidRPr="002A01F5">
              <w:t xml:space="preserve">Health </w:t>
            </w:r>
            <w:r w:rsidRPr="002A01F5">
              <w:rPr>
                <w:rStyle w:val="Superscript"/>
              </w:rPr>
              <w:t>(i</w:t>
            </w:r>
            <w:r>
              <w:rPr>
                <w:rStyle w:val="Superscript"/>
              </w:rPr>
              <w:t>)(ii</w:t>
            </w:r>
            <w:r w:rsidRPr="002A01F5">
              <w:rPr>
                <w:rStyle w:val="Superscript"/>
              </w:rPr>
              <w:t>)</w:t>
            </w:r>
          </w:p>
        </w:tc>
        <w:tc>
          <w:tcPr>
            <w:tcW w:w="1928" w:type="dxa"/>
            <w:gridSpan w:val="2"/>
            <w:hideMark/>
          </w:tcPr>
          <w:p w14:paraId="2611F24B" w14:textId="77777777" w:rsidR="00CE75D4" w:rsidRPr="002029AF" w:rsidRDefault="00CE75D4" w:rsidP="00860E95">
            <w:pPr>
              <w:pStyle w:val="ARfintablecolheadcentre"/>
            </w:pPr>
            <w:r w:rsidRPr="002A01F5">
              <w:t>Department of Families, Fairness and Housing</w:t>
            </w:r>
          </w:p>
        </w:tc>
        <w:tc>
          <w:tcPr>
            <w:tcW w:w="1928" w:type="dxa"/>
            <w:gridSpan w:val="2"/>
            <w:hideMark/>
          </w:tcPr>
          <w:p w14:paraId="1988FEFD" w14:textId="77777777" w:rsidR="00CE75D4" w:rsidRPr="002029AF" w:rsidRDefault="00CE75D4" w:rsidP="00860E95">
            <w:pPr>
              <w:pStyle w:val="ARfintablecolheadcentre"/>
            </w:pPr>
            <w:r w:rsidRPr="002029AF">
              <w:t xml:space="preserve">Administrative Offices </w:t>
            </w:r>
            <w:r w:rsidRPr="002029AF">
              <w:rPr>
                <w:rStyle w:val="Superscript"/>
              </w:rPr>
              <w:t>(i</w:t>
            </w:r>
            <w:r>
              <w:rPr>
                <w:rStyle w:val="Superscript"/>
              </w:rPr>
              <w:t>i</w:t>
            </w:r>
            <w:r w:rsidRPr="002029AF">
              <w:rPr>
                <w:rStyle w:val="Superscript"/>
              </w:rPr>
              <w:t>i)</w:t>
            </w:r>
          </w:p>
        </w:tc>
        <w:tc>
          <w:tcPr>
            <w:tcW w:w="1928" w:type="dxa"/>
            <w:gridSpan w:val="2"/>
            <w:hideMark/>
          </w:tcPr>
          <w:p w14:paraId="37AAFE49" w14:textId="77777777" w:rsidR="00CE75D4" w:rsidRPr="002029AF" w:rsidRDefault="00CE75D4" w:rsidP="00860E95">
            <w:pPr>
              <w:pStyle w:val="ARfintablecolheadcentre"/>
            </w:pPr>
            <w:r>
              <w:t>Other s</w:t>
            </w:r>
            <w:r w:rsidRPr="002029AF">
              <w:t xml:space="preserve">ection 53 </w:t>
            </w:r>
            <w:r w:rsidRPr="002029AF">
              <w:rPr>
                <w:rStyle w:val="Superscript"/>
              </w:rPr>
              <w:t>(i</w:t>
            </w:r>
            <w:r>
              <w:rPr>
                <w:rStyle w:val="Superscript"/>
              </w:rPr>
              <w:t>v</w:t>
            </w:r>
            <w:r w:rsidRPr="002029AF">
              <w:rPr>
                <w:rStyle w:val="Superscript"/>
              </w:rPr>
              <w:t>)</w:t>
            </w:r>
          </w:p>
        </w:tc>
      </w:tr>
      <w:tr w:rsidR="00CE75D4" w:rsidRPr="002029AF" w14:paraId="509AFDE0"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1927" w:type="dxa"/>
            <w:vMerge/>
            <w:tcBorders>
              <w:bottom w:val="single" w:sz="4" w:space="0" w:color="auto"/>
            </w:tcBorders>
            <w:hideMark/>
          </w:tcPr>
          <w:p w14:paraId="6F7CAB5A" w14:textId="77777777" w:rsidR="00CE75D4" w:rsidRPr="002029AF" w:rsidRDefault="00CE75D4" w:rsidP="008340C1">
            <w:pPr>
              <w:pStyle w:val="ARfintablecolhead"/>
            </w:pPr>
          </w:p>
        </w:tc>
        <w:tc>
          <w:tcPr>
            <w:tcW w:w="964" w:type="dxa"/>
            <w:tcBorders>
              <w:bottom w:val="single" w:sz="4" w:space="0" w:color="auto"/>
            </w:tcBorders>
            <w:shd w:val="clear" w:color="auto" w:fill="E7E6E6"/>
          </w:tcPr>
          <w:p w14:paraId="1CC67D54" w14:textId="77777777" w:rsidR="00CE75D4" w:rsidRPr="002029AF" w:rsidRDefault="00CE75D4" w:rsidP="008340C1">
            <w:pPr>
              <w:pStyle w:val="ARfintablecolheadright"/>
            </w:pPr>
            <w:r w:rsidRPr="002029AF">
              <w:t>202</w:t>
            </w:r>
            <w:r>
              <w:t>2</w:t>
            </w:r>
          </w:p>
          <w:p w14:paraId="05C2CD12" w14:textId="77777777" w:rsidR="00CE75D4" w:rsidRPr="002029AF" w:rsidRDefault="00CE75D4" w:rsidP="008340C1">
            <w:pPr>
              <w:pStyle w:val="ARfintablecolheadright"/>
            </w:pPr>
            <w:r w:rsidRPr="002029AF">
              <w:t>$M</w:t>
            </w:r>
          </w:p>
        </w:tc>
        <w:tc>
          <w:tcPr>
            <w:tcW w:w="964" w:type="dxa"/>
            <w:tcBorders>
              <w:bottom w:val="single" w:sz="4" w:space="0" w:color="auto"/>
            </w:tcBorders>
            <w:shd w:val="clear" w:color="auto" w:fill="auto"/>
          </w:tcPr>
          <w:p w14:paraId="1D41DEF1" w14:textId="77777777" w:rsidR="00CE75D4" w:rsidRPr="002029AF" w:rsidRDefault="00CE75D4" w:rsidP="008340C1">
            <w:pPr>
              <w:pStyle w:val="ARfintablecolheadright"/>
            </w:pPr>
            <w:r>
              <w:t>2021</w:t>
            </w:r>
          </w:p>
          <w:p w14:paraId="03128E42" w14:textId="77777777" w:rsidR="00CE75D4" w:rsidRPr="002029AF" w:rsidRDefault="00CE75D4" w:rsidP="008340C1">
            <w:pPr>
              <w:pStyle w:val="ARfintablecolheadright"/>
            </w:pPr>
            <w:r w:rsidRPr="002029AF">
              <w:t>$M</w:t>
            </w:r>
          </w:p>
        </w:tc>
        <w:tc>
          <w:tcPr>
            <w:tcW w:w="964" w:type="dxa"/>
            <w:tcBorders>
              <w:bottom w:val="single" w:sz="4" w:space="0" w:color="auto"/>
            </w:tcBorders>
            <w:shd w:val="clear" w:color="auto" w:fill="E7E6E6"/>
            <w:hideMark/>
          </w:tcPr>
          <w:p w14:paraId="79E8311F" w14:textId="77777777" w:rsidR="00CE75D4" w:rsidRPr="002029AF" w:rsidRDefault="00CE75D4" w:rsidP="008340C1">
            <w:pPr>
              <w:pStyle w:val="ARfintablecolheadright"/>
            </w:pPr>
            <w:r w:rsidRPr="002029AF">
              <w:t>202</w:t>
            </w:r>
            <w:r>
              <w:t>2</w:t>
            </w:r>
          </w:p>
          <w:p w14:paraId="5BB1667A" w14:textId="77777777" w:rsidR="00CE75D4" w:rsidRPr="002029AF" w:rsidRDefault="00CE75D4" w:rsidP="008340C1">
            <w:pPr>
              <w:pStyle w:val="ARfintablecolheadright"/>
            </w:pPr>
            <w:r w:rsidRPr="002029AF">
              <w:t>$M</w:t>
            </w:r>
          </w:p>
        </w:tc>
        <w:tc>
          <w:tcPr>
            <w:tcW w:w="964" w:type="dxa"/>
            <w:tcBorders>
              <w:bottom w:val="single" w:sz="4" w:space="0" w:color="auto"/>
            </w:tcBorders>
            <w:hideMark/>
          </w:tcPr>
          <w:p w14:paraId="3FB53C99" w14:textId="77777777" w:rsidR="00CE75D4" w:rsidRPr="002029AF" w:rsidRDefault="00CE75D4" w:rsidP="008340C1">
            <w:pPr>
              <w:pStyle w:val="ARfintablecolheadright"/>
            </w:pPr>
            <w:r>
              <w:t>2021</w:t>
            </w:r>
          </w:p>
          <w:p w14:paraId="26E2911A" w14:textId="77777777" w:rsidR="00CE75D4" w:rsidRPr="002029AF" w:rsidRDefault="00CE75D4" w:rsidP="008340C1">
            <w:pPr>
              <w:pStyle w:val="ARfintablecolheadright"/>
            </w:pPr>
            <w:r w:rsidRPr="002029AF">
              <w:t>$M</w:t>
            </w:r>
          </w:p>
        </w:tc>
        <w:tc>
          <w:tcPr>
            <w:tcW w:w="964" w:type="dxa"/>
            <w:tcBorders>
              <w:bottom w:val="single" w:sz="4" w:space="0" w:color="auto"/>
            </w:tcBorders>
            <w:shd w:val="clear" w:color="auto" w:fill="E7E6E6"/>
            <w:hideMark/>
          </w:tcPr>
          <w:p w14:paraId="5CE54BEA" w14:textId="77777777" w:rsidR="00CE75D4" w:rsidRPr="002029AF" w:rsidRDefault="00CE75D4" w:rsidP="008340C1">
            <w:pPr>
              <w:pStyle w:val="ARfintablecolheadright"/>
            </w:pPr>
            <w:r w:rsidRPr="002029AF">
              <w:t>202</w:t>
            </w:r>
            <w:r>
              <w:t>2</w:t>
            </w:r>
          </w:p>
          <w:p w14:paraId="639E360F" w14:textId="77777777" w:rsidR="00CE75D4" w:rsidRPr="002029AF" w:rsidRDefault="00CE75D4" w:rsidP="008340C1">
            <w:pPr>
              <w:pStyle w:val="ARfintablecolheadright"/>
            </w:pPr>
            <w:r w:rsidRPr="002029AF">
              <w:t>$M</w:t>
            </w:r>
          </w:p>
        </w:tc>
        <w:tc>
          <w:tcPr>
            <w:tcW w:w="964" w:type="dxa"/>
            <w:tcBorders>
              <w:bottom w:val="single" w:sz="4" w:space="0" w:color="auto"/>
            </w:tcBorders>
            <w:hideMark/>
          </w:tcPr>
          <w:p w14:paraId="478CC66C" w14:textId="77777777" w:rsidR="00CE75D4" w:rsidRPr="002029AF" w:rsidRDefault="00CE75D4" w:rsidP="008340C1">
            <w:pPr>
              <w:pStyle w:val="ARfintablecolheadright"/>
            </w:pPr>
            <w:r>
              <w:t>2021</w:t>
            </w:r>
          </w:p>
          <w:p w14:paraId="7EA5096D" w14:textId="77777777" w:rsidR="00CE75D4" w:rsidRPr="002029AF" w:rsidRDefault="00CE75D4" w:rsidP="008340C1">
            <w:pPr>
              <w:pStyle w:val="ARfintablecolheadright"/>
            </w:pPr>
            <w:r w:rsidRPr="002029AF">
              <w:t>$M</w:t>
            </w:r>
          </w:p>
        </w:tc>
        <w:tc>
          <w:tcPr>
            <w:tcW w:w="964" w:type="dxa"/>
            <w:tcBorders>
              <w:bottom w:val="single" w:sz="4" w:space="0" w:color="auto"/>
            </w:tcBorders>
            <w:shd w:val="clear" w:color="auto" w:fill="E7E6E6"/>
            <w:hideMark/>
          </w:tcPr>
          <w:p w14:paraId="1C67A5E4" w14:textId="77777777" w:rsidR="00CE75D4" w:rsidRPr="002029AF" w:rsidRDefault="00CE75D4" w:rsidP="008340C1">
            <w:pPr>
              <w:pStyle w:val="ARfintablecolheadright"/>
            </w:pPr>
            <w:r w:rsidRPr="002029AF">
              <w:t>202</w:t>
            </w:r>
            <w:r>
              <w:t>2</w:t>
            </w:r>
          </w:p>
          <w:p w14:paraId="4F53E914" w14:textId="77777777" w:rsidR="00CE75D4" w:rsidRPr="002029AF" w:rsidRDefault="00CE75D4" w:rsidP="008340C1">
            <w:pPr>
              <w:pStyle w:val="ARfintablecolheadright"/>
            </w:pPr>
            <w:r w:rsidRPr="002029AF">
              <w:t>$M</w:t>
            </w:r>
          </w:p>
        </w:tc>
        <w:tc>
          <w:tcPr>
            <w:tcW w:w="964" w:type="dxa"/>
            <w:tcBorders>
              <w:bottom w:val="single" w:sz="4" w:space="0" w:color="auto"/>
            </w:tcBorders>
            <w:hideMark/>
          </w:tcPr>
          <w:p w14:paraId="61218885" w14:textId="77777777" w:rsidR="00CE75D4" w:rsidRPr="002029AF" w:rsidRDefault="00CE75D4" w:rsidP="008340C1">
            <w:pPr>
              <w:pStyle w:val="ARfintablecolheadright"/>
            </w:pPr>
            <w:r>
              <w:t>2021</w:t>
            </w:r>
          </w:p>
          <w:p w14:paraId="5E7F3181" w14:textId="77777777" w:rsidR="00CE75D4" w:rsidRPr="002029AF" w:rsidRDefault="00CE75D4" w:rsidP="008340C1">
            <w:pPr>
              <w:pStyle w:val="ARfintablecolheadright"/>
            </w:pPr>
            <w:r w:rsidRPr="002029AF">
              <w:t>$M</w:t>
            </w:r>
          </w:p>
        </w:tc>
      </w:tr>
      <w:tr w:rsidR="00CE75D4" w:rsidRPr="002029AF" w14:paraId="18D178EC" w14:textId="77777777" w:rsidTr="00130D1C">
        <w:trPr>
          <w:trHeight w:val="255"/>
        </w:trPr>
        <w:tc>
          <w:tcPr>
            <w:tcW w:w="1927" w:type="dxa"/>
            <w:tcBorders>
              <w:top w:val="single" w:sz="4" w:space="0" w:color="auto"/>
              <w:bottom w:val="single" w:sz="4" w:space="0" w:color="A6A6A6"/>
            </w:tcBorders>
            <w:hideMark/>
          </w:tcPr>
          <w:p w14:paraId="650A564F" w14:textId="77777777" w:rsidR="00CE75D4" w:rsidRPr="002029AF" w:rsidRDefault="00CE75D4" w:rsidP="008340C1">
            <w:pPr>
              <w:pStyle w:val="ARfintablebody"/>
            </w:pPr>
            <w:r w:rsidRPr="008A0CF0">
              <w:t>Short-term employee benefits</w:t>
            </w:r>
          </w:p>
        </w:tc>
        <w:tc>
          <w:tcPr>
            <w:tcW w:w="964" w:type="dxa"/>
            <w:tcBorders>
              <w:top w:val="single" w:sz="4" w:space="0" w:color="auto"/>
              <w:bottom w:val="single" w:sz="4" w:space="0" w:color="A6A6A6"/>
            </w:tcBorders>
            <w:shd w:val="clear" w:color="auto" w:fill="E7E6E6"/>
          </w:tcPr>
          <w:p w14:paraId="589E1008" w14:textId="77777777" w:rsidR="00CE75D4" w:rsidRPr="002029AF" w:rsidRDefault="00CE75D4" w:rsidP="008340C1">
            <w:pPr>
              <w:pStyle w:val="ARfintablebodyright"/>
            </w:pPr>
            <w:r w:rsidRPr="008A0CF0">
              <w:t>5.5</w:t>
            </w:r>
          </w:p>
        </w:tc>
        <w:tc>
          <w:tcPr>
            <w:tcW w:w="964" w:type="dxa"/>
            <w:tcBorders>
              <w:top w:val="single" w:sz="4" w:space="0" w:color="auto"/>
              <w:bottom w:val="single" w:sz="4" w:space="0" w:color="A6A6A6"/>
            </w:tcBorders>
            <w:shd w:val="clear" w:color="auto" w:fill="auto"/>
          </w:tcPr>
          <w:p w14:paraId="42D9DBFF" w14:textId="77777777" w:rsidR="00CE75D4" w:rsidRPr="002029AF" w:rsidRDefault="00CE75D4" w:rsidP="008340C1">
            <w:pPr>
              <w:pStyle w:val="ARfintablebodyright"/>
            </w:pPr>
            <w:r w:rsidRPr="008A0CF0">
              <w:t>5.2</w:t>
            </w:r>
          </w:p>
        </w:tc>
        <w:tc>
          <w:tcPr>
            <w:tcW w:w="964" w:type="dxa"/>
            <w:tcBorders>
              <w:top w:val="single" w:sz="4" w:space="0" w:color="auto"/>
              <w:bottom w:val="single" w:sz="4" w:space="0" w:color="A6A6A6"/>
            </w:tcBorders>
            <w:shd w:val="clear" w:color="auto" w:fill="E7E6E6"/>
            <w:noWrap/>
            <w:hideMark/>
          </w:tcPr>
          <w:p w14:paraId="3AD99E5A" w14:textId="77777777" w:rsidR="00CE75D4" w:rsidRPr="002029AF" w:rsidRDefault="00CE75D4" w:rsidP="008340C1">
            <w:pPr>
              <w:pStyle w:val="ARfintablebodyright"/>
            </w:pPr>
            <w:r>
              <w:t>–</w:t>
            </w:r>
          </w:p>
        </w:tc>
        <w:tc>
          <w:tcPr>
            <w:tcW w:w="964" w:type="dxa"/>
            <w:tcBorders>
              <w:top w:val="single" w:sz="4" w:space="0" w:color="auto"/>
              <w:bottom w:val="single" w:sz="4" w:space="0" w:color="A6A6A6"/>
            </w:tcBorders>
            <w:noWrap/>
            <w:hideMark/>
          </w:tcPr>
          <w:p w14:paraId="499CBEEF" w14:textId="77777777" w:rsidR="00CE75D4" w:rsidRPr="002029AF" w:rsidRDefault="00CE75D4" w:rsidP="008340C1">
            <w:pPr>
              <w:pStyle w:val="ARfintablebodyright"/>
            </w:pPr>
            <w:r w:rsidRPr="008A0CF0">
              <w:t>1.5</w:t>
            </w:r>
          </w:p>
        </w:tc>
        <w:tc>
          <w:tcPr>
            <w:tcW w:w="964" w:type="dxa"/>
            <w:tcBorders>
              <w:top w:val="single" w:sz="4" w:space="0" w:color="auto"/>
              <w:bottom w:val="single" w:sz="4" w:space="0" w:color="A6A6A6"/>
            </w:tcBorders>
            <w:shd w:val="clear" w:color="auto" w:fill="E7E6E6"/>
            <w:noWrap/>
            <w:hideMark/>
          </w:tcPr>
          <w:p w14:paraId="1D55A14E" w14:textId="77777777" w:rsidR="00CE75D4" w:rsidRPr="002029AF" w:rsidRDefault="00CE75D4" w:rsidP="008340C1">
            <w:pPr>
              <w:pStyle w:val="ARfintablebodyright"/>
            </w:pPr>
            <w:r w:rsidRPr="008A0CF0">
              <w:t>0.4</w:t>
            </w:r>
          </w:p>
        </w:tc>
        <w:tc>
          <w:tcPr>
            <w:tcW w:w="964" w:type="dxa"/>
            <w:tcBorders>
              <w:top w:val="single" w:sz="4" w:space="0" w:color="auto"/>
              <w:bottom w:val="single" w:sz="4" w:space="0" w:color="A6A6A6"/>
            </w:tcBorders>
            <w:noWrap/>
            <w:hideMark/>
          </w:tcPr>
          <w:p w14:paraId="7919F5F0" w14:textId="77777777" w:rsidR="00CE75D4" w:rsidRPr="002029AF" w:rsidRDefault="00CE75D4" w:rsidP="008340C1">
            <w:pPr>
              <w:pStyle w:val="ARfintablebodyright"/>
            </w:pPr>
            <w:r w:rsidRPr="008A0CF0">
              <w:t>1.1</w:t>
            </w:r>
          </w:p>
        </w:tc>
        <w:tc>
          <w:tcPr>
            <w:tcW w:w="964" w:type="dxa"/>
            <w:tcBorders>
              <w:top w:val="single" w:sz="4" w:space="0" w:color="auto"/>
              <w:bottom w:val="single" w:sz="4" w:space="0" w:color="A6A6A6"/>
            </w:tcBorders>
            <w:shd w:val="clear" w:color="auto" w:fill="E7E6E6"/>
            <w:noWrap/>
            <w:hideMark/>
          </w:tcPr>
          <w:p w14:paraId="73FCF8C3" w14:textId="77777777" w:rsidR="00CE75D4" w:rsidRPr="002029AF" w:rsidRDefault="00CE75D4" w:rsidP="008340C1">
            <w:pPr>
              <w:pStyle w:val="ARfintablebodyright"/>
            </w:pPr>
            <w:r w:rsidRPr="008A0CF0">
              <w:t>0.3</w:t>
            </w:r>
          </w:p>
        </w:tc>
        <w:tc>
          <w:tcPr>
            <w:tcW w:w="964" w:type="dxa"/>
            <w:tcBorders>
              <w:top w:val="single" w:sz="4" w:space="0" w:color="auto"/>
              <w:bottom w:val="single" w:sz="4" w:space="0" w:color="A6A6A6"/>
            </w:tcBorders>
            <w:noWrap/>
            <w:hideMark/>
          </w:tcPr>
          <w:p w14:paraId="4AE0455A" w14:textId="77777777" w:rsidR="00CE75D4" w:rsidRPr="002029AF" w:rsidRDefault="00CE75D4" w:rsidP="008340C1">
            <w:pPr>
              <w:pStyle w:val="ARfintablebodyright"/>
            </w:pPr>
            <w:r w:rsidRPr="008A0CF0">
              <w:t>1.2</w:t>
            </w:r>
          </w:p>
        </w:tc>
      </w:tr>
      <w:tr w:rsidR="00CE75D4" w:rsidRPr="002029AF" w14:paraId="3EAE7674" w14:textId="77777777" w:rsidTr="00130D1C">
        <w:trPr>
          <w:trHeight w:val="255"/>
        </w:trPr>
        <w:tc>
          <w:tcPr>
            <w:tcW w:w="1927" w:type="dxa"/>
            <w:tcBorders>
              <w:top w:val="single" w:sz="4" w:space="0" w:color="A6A6A6"/>
              <w:bottom w:val="single" w:sz="4" w:space="0" w:color="A6A6A6"/>
            </w:tcBorders>
            <w:hideMark/>
          </w:tcPr>
          <w:p w14:paraId="3718A670" w14:textId="77777777" w:rsidR="00CE75D4" w:rsidRPr="002029AF" w:rsidRDefault="00CE75D4" w:rsidP="008340C1">
            <w:pPr>
              <w:pStyle w:val="ARfintablebody"/>
            </w:pPr>
            <w:r w:rsidRPr="008A0CF0">
              <w:t>Post-employment benefits</w:t>
            </w:r>
          </w:p>
        </w:tc>
        <w:tc>
          <w:tcPr>
            <w:tcW w:w="964" w:type="dxa"/>
            <w:tcBorders>
              <w:top w:val="single" w:sz="4" w:space="0" w:color="A6A6A6"/>
              <w:bottom w:val="single" w:sz="4" w:space="0" w:color="A6A6A6"/>
            </w:tcBorders>
            <w:shd w:val="clear" w:color="auto" w:fill="E7E6E6"/>
          </w:tcPr>
          <w:p w14:paraId="47B5F313" w14:textId="77777777" w:rsidR="00CE75D4" w:rsidRPr="002029AF" w:rsidRDefault="00CE75D4" w:rsidP="008340C1">
            <w:pPr>
              <w:pStyle w:val="ARfintablebodyright"/>
            </w:pPr>
            <w:r w:rsidRPr="008A0CF0">
              <w:t>0.4</w:t>
            </w:r>
          </w:p>
        </w:tc>
        <w:tc>
          <w:tcPr>
            <w:tcW w:w="964" w:type="dxa"/>
            <w:tcBorders>
              <w:top w:val="single" w:sz="4" w:space="0" w:color="A6A6A6"/>
              <w:bottom w:val="single" w:sz="4" w:space="0" w:color="A6A6A6"/>
            </w:tcBorders>
            <w:shd w:val="clear" w:color="auto" w:fill="auto"/>
          </w:tcPr>
          <w:p w14:paraId="2A3AF852" w14:textId="77777777" w:rsidR="00CE75D4" w:rsidRPr="002029AF" w:rsidRDefault="00CE75D4" w:rsidP="008340C1">
            <w:pPr>
              <w:pStyle w:val="ARfintablebodyright"/>
            </w:pPr>
            <w:r w:rsidRPr="008A0CF0">
              <w:t>0.3</w:t>
            </w:r>
          </w:p>
        </w:tc>
        <w:tc>
          <w:tcPr>
            <w:tcW w:w="964" w:type="dxa"/>
            <w:tcBorders>
              <w:top w:val="single" w:sz="4" w:space="0" w:color="A6A6A6"/>
              <w:bottom w:val="single" w:sz="4" w:space="0" w:color="A6A6A6"/>
            </w:tcBorders>
            <w:shd w:val="clear" w:color="auto" w:fill="E7E6E6"/>
            <w:noWrap/>
            <w:hideMark/>
          </w:tcPr>
          <w:p w14:paraId="33552227" w14:textId="77777777" w:rsidR="00CE75D4" w:rsidRPr="002029AF" w:rsidRDefault="00CE75D4" w:rsidP="008340C1">
            <w:pPr>
              <w:pStyle w:val="ARfintablebodyright"/>
            </w:pPr>
            <w:r>
              <w:t>–</w:t>
            </w:r>
          </w:p>
        </w:tc>
        <w:tc>
          <w:tcPr>
            <w:tcW w:w="964" w:type="dxa"/>
            <w:tcBorders>
              <w:top w:val="single" w:sz="4" w:space="0" w:color="A6A6A6"/>
              <w:bottom w:val="single" w:sz="4" w:space="0" w:color="A6A6A6"/>
            </w:tcBorders>
            <w:noWrap/>
            <w:hideMark/>
          </w:tcPr>
          <w:p w14:paraId="640C0D21" w14:textId="77777777" w:rsidR="00CE75D4" w:rsidRPr="002029AF" w:rsidRDefault="00CE75D4" w:rsidP="008340C1">
            <w:pPr>
              <w:pStyle w:val="ARfintablebodyright"/>
            </w:pPr>
            <w:r w:rsidRPr="008A0CF0">
              <w:t>0.1</w:t>
            </w:r>
          </w:p>
        </w:tc>
        <w:tc>
          <w:tcPr>
            <w:tcW w:w="964" w:type="dxa"/>
            <w:tcBorders>
              <w:top w:val="single" w:sz="4" w:space="0" w:color="A6A6A6"/>
              <w:bottom w:val="single" w:sz="4" w:space="0" w:color="A6A6A6"/>
            </w:tcBorders>
            <w:shd w:val="clear" w:color="auto" w:fill="E7E6E6"/>
            <w:noWrap/>
            <w:hideMark/>
          </w:tcPr>
          <w:p w14:paraId="3D609876" w14:textId="77777777" w:rsidR="00CE75D4" w:rsidRPr="002029AF" w:rsidRDefault="00CE75D4" w:rsidP="008340C1">
            <w:pPr>
              <w:pStyle w:val="ARfintablebodyright"/>
            </w:pPr>
            <w:r>
              <w:t>–</w:t>
            </w:r>
          </w:p>
        </w:tc>
        <w:tc>
          <w:tcPr>
            <w:tcW w:w="964" w:type="dxa"/>
            <w:tcBorders>
              <w:top w:val="single" w:sz="4" w:space="0" w:color="A6A6A6"/>
              <w:bottom w:val="single" w:sz="4" w:space="0" w:color="A6A6A6"/>
            </w:tcBorders>
            <w:noWrap/>
            <w:hideMark/>
          </w:tcPr>
          <w:p w14:paraId="3DC5A8CE" w14:textId="77777777" w:rsidR="00CE75D4" w:rsidRPr="002029AF" w:rsidRDefault="00CE75D4" w:rsidP="008340C1">
            <w:pPr>
              <w:pStyle w:val="ARfintablebodyright"/>
            </w:pPr>
            <w:r w:rsidRPr="008A0CF0">
              <w:t>0.1</w:t>
            </w:r>
          </w:p>
        </w:tc>
        <w:tc>
          <w:tcPr>
            <w:tcW w:w="964" w:type="dxa"/>
            <w:tcBorders>
              <w:top w:val="single" w:sz="4" w:space="0" w:color="A6A6A6"/>
              <w:bottom w:val="single" w:sz="4" w:space="0" w:color="A6A6A6"/>
            </w:tcBorders>
            <w:shd w:val="clear" w:color="auto" w:fill="E7E6E6"/>
            <w:noWrap/>
            <w:hideMark/>
          </w:tcPr>
          <w:p w14:paraId="62E9BAAE" w14:textId="77777777" w:rsidR="00CE75D4" w:rsidRPr="002029AF" w:rsidRDefault="00CE75D4" w:rsidP="008340C1">
            <w:pPr>
              <w:pStyle w:val="ARfintablebodyright"/>
            </w:pPr>
            <w:r>
              <w:t>–</w:t>
            </w:r>
          </w:p>
        </w:tc>
        <w:tc>
          <w:tcPr>
            <w:tcW w:w="964" w:type="dxa"/>
            <w:tcBorders>
              <w:top w:val="single" w:sz="4" w:space="0" w:color="A6A6A6"/>
              <w:bottom w:val="single" w:sz="4" w:space="0" w:color="A6A6A6"/>
            </w:tcBorders>
            <w:noWrap/>
            <w:hideMark/>
          </w:tcPr>
          <w:p w14:paraId="3BAB88DE" w14:textId="77777777" w:rsidR="00CE75D4" w:rsidRPr="002029AF" w:rsidRDefault="00CE75D4" w:rsidP="008340C1">
            <w:pPr>
              <w:pStyle w:val="ARfintablebodyright"/>
            </w:pPr>
            <w:r w:rsidRPr="008A0CF0">
              <w:t>0.1</w:t>
            </w:r>
          </w:p>
        </w:tc>
      </w:tr>
      <w:tr w:rsidR="00CE75D4" w:rsidRPr="002029AF" w14:paraId="2C2CB3CB" w14:textId="77777777" w:rsidTr="00130D1C">
        <w:trPr>
          <w:trHeight w:val="255"/>
        </w:trPr>
        <w:tc>
          <w:tcPr>
            <w:tcW w:w="1927" w:type="dxa"/>
            <w:tcBorders>
              <w:top w:val="single" w:sz="4" w:space="0" w:color="A6A6A6"/>
              <w:bottom w:val="single" w:sz="4" w:space="0" w:color="A6A6A6"/>
            </w:tcBorders>
            <w:hideMark/>
          </w:tcPr>
          <w:p w14:paraId="460316C2" w14:textId="77777777" w:rsidR="00CE75D4" w:rsidRPr="002029AF" w:rsidRDefault="00CE75D4" w:rsidP="008340C1">
            <w:pPr>
              <w:pStyle w:val="ARfintablebody"/>
            </w:pPr>
            <w:r w:rsidRPr="008A0CF0">
              <w:t>Other long-term benefits</w:t>
            </w:r>
          </w:p>
        </w:tc>
        <w:tc>
          <w:tcPr>
            <w:tcW w:w="964" w:type="dxa"/>
            <w:tcBorders>
              <w:top w:val="single" w:sz="4" w:space="0" w:color="A6A6A6"/>
              <w:bottom w:val="single" w:sz="4" w:space="0" w:color="A6A6A6"/>
            </w:tcBorders>
            <w:shd w:val="clear" w:color="auto" w:fill="E7E6E6"/>
          </w:tcPr>
          <w:p w14:paraId="7F8CE96A" w14:textId="77777777" w:rsidR="00CE75D4" w:rsidRPr="002029AF" w:rsidRDefault="00CE75D4" w:rsidP="008340C1">
            <w:pPr>
              <w:pStyle w:val="ARfintablebodyright"/>
            </w:pPr>
            <w:r w:rsidRPr="008A0CF0">
              <w:t>0.1</w:t>
            </w:r>
          </w:p>
        </w:tc>
        <w:tc>
          <w:tcPr>
            <w:tcW w:w="964" w:type="dxa"/>
            <w:tcBorders>
              <w:top w:val="single" w:sz="4" w:space="0" w:color="A6A6A6"/>
              <w:bottom w:val="single" w:sz="4" w:space="0" w:color="A6A6A6"/>
            </w:tcBorders>
            <w:shd w:val="clear" w:color="auto" w:fill="auto"/>
          </w:tcPr>
          <w:p w14:paraId="5BE378A6" w14:textId="77777777" w:rsidR="00CE75D4" w:rsidRPr="002029AF" w:rsidRDefault="00CE75D4" w:rsidP="008340C1">
            <w:pPr>
              <w:pStyle w:val="ARfintablebodyright"/>
            </w:pPr>
            <w:r w:rsidRPr="008A0CF0">
              <w:t>0.2</w:t>
            </w:r>
          </w:p>
        </w:tc>
        <w:tc>
          <w:tcPr>
            <w:tcW w:w="964" w:type="dxa"/>
            <w:tcBorders>
              <w:top w:val="single" w:sz="4" w:space="0" w:color="A6A6A6"/>
              <w:bottom w:val="single" w:sz="4" w:space="0" w:color="A6A6A6"/>
            </w:tcBorders>
            <w:shd w:val="clear" w:color="auto" w:fill="E7E6E6"/>
            <w:noWrap/>
            <w:hideMark/>
          </w:tcPr>
          <w:p w14:paraId="40985CC9" w14:textId="77777777" w:rsidR="00CE75D4" w:rsidRPr="002029AF" w:rsidRDefault="00CE75D4" w:rsidP="008340C1">
            <w:pPr>
              <w:pStyle w:val="ARfintablebodyright"/>
            </w:pPr>
            <w:r>
              <w:t>–</w:t>
            </w:r>
          </w:p>
        </w:tc>
        <w:tc>
          <w:tcPr>
            <w:tcW w:w="964" w:type="dxa"/>
            <w:tcBorders>
              <w:top w:val="single" w:sz="4" w:space="0" w:color="A6A6A6"/>
              <w:bottom w:val="single" w:sz="4" w:space="0" w:color="A6A6A6"/>
            </w:tcBorders>
            <w:noWrap/>
            <w:hideMark/>
          </w:tcPr>
          <w:p w14:paraId="302C54C0" w14:textId="77777777" w:rsidR="00CE75D4" w:rsidRPr="002029AF" w:rsidRDefault="00CE75D4" w:rsidP="008340C1">
            <w:pPr>
              <w:pStyle w:val="ARfintablebodyright"/>
            </w:pPr>
            <w:r>
              <w:t>–</w:t>
            </w:r>
          </w:p>
        </w:tc>
        <w:tc>
          <w:tcPr>
            <w:tcW w:w="964" w:type="dxa"/>
            <w:tcBorders>
              <w:top w:val="single" w:sz="4" w:space="0" w:color="A6A6A6"/>
              <w:bottom w:val="single" w:sz="4" w:space="0" w:color="A6A6A6"/>
            </w:tcBorders>
            <w:shd w:val="clear" w:color="auto" w:fill="E7E6E6"/>
            <w:noWrap/>
            <w:hideMark/>
          </w:tcPr>
          <w:p w14:paraId="2FBC1966" w14:textId="77777777" w:rsidR="00CE75D4" w:rsidRPr="002029AF" w:rsidRDefault="00CE75D4" w:rsidP="008340C1">
            <w:pPr>
              <w:pStyle w:val="ARfintablebodyright"/>
            </w:pPr>
            <w:r>
              <w:t>–</w:t>
            </w:r>
          </w:p>
        </w:tc>
        <w:tc>
          <w:tcPr>
            <w:tcW w:w="964" w:type="dxa"/>
            <w:tcBorders>
              <w:top w:val="single" w:sz="4" w:space="0" w:color="A6A6A6"/>
              <w:bottom w:val="single" w:sz="4" w:space="0" w:color="A6A6A6"/>
            </w:tcBorders>
            <w:noWrap/>
            <w:hideMark/>
          </w:tcPr>
          <w:p w14:paraId="5E273B1D" w14:textId="77777777" w:rsidR="00CE75D4" w:rsidRPr="002029AF" w:rsidRDefault="00CE75D4" w:rsidP="008340C1">
            <w:pPr>
              <w:pStyle w:val="ARfintablebodyright"/>
            </w:pPr>
            <w:r>
              <w:t>–</w:t>
            </w:r>
          </w:p>
        </w:tc>
        <w:tc>
          <w:tcPr>
            <w:tcW w:w="964" w:type="dxa"/>
            <w:tcBorders>
              <w:top w:val="single" w:sz="4" w:space="0" w:color="A6A6A6"/>
              <w:bottom w:val="single" w:sz="4" w:space="0" w:color="A6A6A6"/>
            </w:tcBorders>
            <w:shd w:val="clear" w:color="auto" w:fill="E7E6E6"/>
            <w:noWrap/>
            <w:hideMark/>
          </w:tcPr>
          <w:p w14:paraId="2213B84E" w14:textId="77777777" w:rsidR="00CE75D4" w:rsidRPr="002029AF" w:rsidRDefault="00CE75D4" w:rsidP="008340C1">
            <w:pPr>
              <w:pStyle w:val="ARfintablebodyright"/>
            </w:pPr>
            <w:r>
              <w:t>–</w:t>
            </w:r>
          </w:p>
        </w:tc>
        <w:tc>
          <w:tcPr>
            <w:tcW w:w="964" w:type="dxa"/>
            <w:tcBorders>
              <w:top w:val="single" w:sz="4" w:space="0" w:color="A6A6A6"/>
              <w:bottom w:val="single" w:sz="4" w:space="0" w:color="A6A6A6"/>
            </w:tcBorders>
            <w:noWrap/>
            <w:hideMark/>
          </w:tcPr>
          <w:p w14:paraId="699249F9" w14:textId="77777777" w:rsidR="00CE75D4" w:rsidRPr="002029AF" w:rsidRDefault="00CE75D4" w:rsidP="008340C1">
            <w:pPr>
              <w:pStyle w:val="ARfintablebodyright"/>
            </w:pPr>
            <w:r>
              <w:t>–</w:t>
            </w:r>
          </w:p>
        </w:tc>
      </w:tr>
      <w:tr w:rsidR="00CE75D4" w:rsidRPr="002029AF" w14:paraId="46EB7449" w14:textId="77777777" w:rsidTr="00130D1C">
        <w:trPr>
          <w:trHeight w:val="255"/>
        </w:trPr>
        <w:tc>
          <w:tcPr>
            <w:tcW w:w="1927" w:type="dxa"/>
            <w:tcBorders>
              <w:top w:val="single" w:sz="4" w:space="0" w:color="A6A6A6"/>
            </w:tcBorders>
            <w:hideMark/>
          </w:tcPr>
          <w:p w14:paraId="49FA4085" w14:textId="77777777" w:rsidR="00CE75D4" w:rsidRPr="002029AF" w:rsidRDefault="00CE75D4" w:rsidP="008340C1">
            <w:pPr>
              <w:pStyle w:val="ARfintablebody"/>
            </w:pPr>
            <w:r w:rsidRPr="008A0CF0">
              <w:t>Termination benefits</w:t>
            </w:r>
          </w:p>
        </w:tc>
        <w:tc>
          <w:tcPr>
            <w:tcW w:w="964" w:type="dxa"/>
            <w:tcBorders>
              <w:top w:val="single" w:sz="4" w:space="0" w:color="A6A6A6"/>
            </w:tcBorders>
            <w:shd w:val="clear" w:color="auto" w:fill="E7E6E6"/>
          </w:tcPr>
          <w:p w14:paraId="208A1CFD" w14:textId="77777777" w:rsidR="00CE75D4" w:rsidRPr="002029AF" w:rsidRDefault="00CE75D4" w:rsidP="008340C1">
            <w:pPr>
              <w:pStyle w:val="ARfintablebodyright"/>
            </w:pPr>
            <w:r>
              <w:t>–</w:t>
            </w:r>
          </w:p>
        </w:tc>
        <w:tc>
          <w:tcPr>
            <w:tcW w:w="964" w:type="dxa"/>
            <w:tcBorders>
              <w:top w:val="single" w:sz="4" w:space="0" w:color="A6A6A6"/>
            </w:tcBorders>
            <w:shd w:val="clear" w:color="auto" w:fill="auto"/>
          </w:tcPr>
          <w:p w14:paraId="6D86D43F" w14:textId="77777777" w:rsidR="00CE75D4" w:rsidRPr="002029AF" w:rsidRDefault="00CE75D4" w:rsidP="008340C1">
            <w:pPr>
              <w:pStyle w:val="ARfintablebodyright"/>
            </w:pPr>
            <w:r w:rsidRPr="008A0CF0">
              <w:t>0.5</w:t>
            </w:r>
          </w:p>
        </w:tc>
        <w:tc>
          <w:tcPr>
            <w:tcW w:w="964" w:type="dxa"/>
            <w:tcBorders>
              <w:top w:val="single" w:sz="4" w:space="0" w:color="A6A6A6"/>
            </w:tcBorders>
            <w:shd w:val="clear" w:color="auto" w:fill="E7E6E6"/>
            <w:noWrap/>
            <w:hideMark/>
          </w:tcPr>
          <w:p w14:paraId="688979E2" w14:textId="77777777" w:rsidR="00CE75D4" w:rsidRPr="002029AF" w:rsidRDefault="00CE75D4" w:rsidP="008340C1">
            <w:pPr>
              <w:pStyle w:val="ARfintablebodyright"/>
            </w:pPr>
            <w:r>
              <w:t>–</w:t>
            </w:r>
          </w:p>
        </w:tc>
        <w:tc>
          <w:tcPr>
            <w:tcW w:w="964" w:type="dxa"/>
            <w:tcBorders>
              <w:top w:val="single" w:sz="4" w:space="0" w:color="A6A6A6"/>
            </w:tcBorders>
            <w:noWrap/>
            <w:hideMark/>
          </w:tcPr>
          <w:p w14:paraId="7D15BCD2" w14:textId="77777777" w:rsidR="00CE75D4" w:rsidRPr="002029AF" w:rsidRDefault="00CE75D4" w:rsidP="008340C1">
            <w:pPr>
              <w:pStyle w:val="ARfintablebodyright"/>
            </w:pPr>
            <w:r>
              <w:t>–</w:t>
            </w:r>
          </w:p>
        </w:tc>
        <w:tc>
          <w:tcPr>
            <w:tcW w:w="964" w:type="dxa"/>
            <w:tcBorders>
              <w:top w:val="single" w:sz="4" w:space="0" w:color="A6A6A6"/>
            </w:tcBorders>
            <w:shd w:val="clear" w:color="auto" w:fill="E7E6E6"/>
            <w:noWrap/>
            <w:hideMark/>
          </w:tcPr>
          <w:p w14:paraId="45F9CFCE" w14:textId="77777777" w:rsidR="00CE75D4" w:rsidRPr="002029AF" w:rsidRDefault="00CE75D4" w:rsidP="008340C1">
            <w:pPr>
              <w:pStyle w:val="ARfintablebodyright"/>
            </w:pPr>
          </w:p>
        </w:tc>
        <w:tc>
          <w:tcPr>
            <w:tcW w:w="964" w:type="dxa"/>
            <w:tcBorders>
              <w:top w:val="single" w:sz="4" w:space="0" w:color="A6A6A6"/>
            </w:tcBorders>
            <w:noWrap/>
            <w:hideMark/>
          </w:tcPr>
          <w:p w14:paraId="1BA5F3EB" w14:textId="77777777" w:rsidR="00CE75D4" w:rsidRPr="002029AF" w:rsidRDefault="00CE75D4" w:rsidP="008340C1">
            <w:pPr>
              <w:pStyle w:val="ARfintablebodyright"/>
            </w:pPr>
            <w:r>
              <w:t>–</w:t>
            </w:r>
          </w:p>
        </w:tc>
        <w:tc>
          <w:tcPr>
            <w:tcW w:w="964" w:type="dxa"/>
            <w:tcBorders>
              <w:top w:val="single" w:sz="4" w:space="0" w:color="A6A6A6"/>
            </w:tcBorders>
            <w:shd w:val="clear" w:color="auto" w:fill="E7E6E6"/>
            <w:noWrap/>
            <w:hideMark/>
          </w:tcPr>
          <w:p w14:paraId="488B4F4B" w14:textId="77777777" w:rsidR="00CE75D4" w:rsidRPr="002029AF" w:rsidRDefault="00CE75D4" w:rsidP="008340C1">
            <w:pPr>
              <w:pStyle w:val="ARfintablebodyright"/>
            </w:pPr>
          </w:p>
        </w:tc>
        <w:tc>
          <w:tcPr>
            <w:tcW w:w="964" w:type="dxa"/>
            <w:tcBorders>
              <w:top w:val="single" w:sz="4" w:space="0" w:color="A6A6A6"/>
            </w:tcBorders>
            <w:noWrap/>
            <w:hideMark/>
          </w:tcPr>
          <w:p w14:paraId="236DD0AE" w14:textId="77777777" w:rsidR="00CE75D4" w:rsidRPr="002029AF" w:rsidRDefault="00CE75D4" w:rsidP="008340C1">
            <w:pPr>
              <w:pStyle w:val="ARfintablebodyright"/>
            </w:pPr>
            <w:r w:rsidRPr="008A0CF0">
              <w:t>0.1</w:t>
            </w:r>
          </w:p>
        </w:tc>
      </w:tr>
      <w:tr w:rsidR="00CE75D4" w:rsidRPr="002029AF" w14:paraId="1E9FB6C0" w14:textId="77777777" w:rsidTr="00130D1C">
        <w:trPr>
          <w:trHeight w:val="255"/>
        </w:trPr>
        <w:tc>
          <w:tcPr>
            <w:tcW w:w="1927" w:type="dxa"/>
            <w:hideMark/>
          </w:tcPr>
          <w:p w14:paraId="51D8DC86" w14:textId="77777777" w:rsidR="00CE75D4" w:rsidRPr="002029AF" w:rsidRDefault="00CE75D4" w:rsidP="008340C1">
            <w:pPr>
              <w:pStyle w:val="ARfintablebodybold"/>
            </w:pPr>
            <w:r w:rsidRPr="008A0CF0">
              <w:t xml:space="preserve">Total </w:t>
            </w:r>
            <w:r w:rsidRPr="00BA3030">
              <w:rPr>
                <w:rStyle w:val="Superscript"/>
              </w:rPr>
              <w:t>(v)(vi)</w:t>
            </w:r>
          </w:p>
        </w:tc>
        <w:tc>
          <w:tcPr>
            <w:tcW w:w="964" w:type="dxa"/>
            <w:shd w:val="clear" w:color="auto" w:fill="E7E6E6"/>
          </w:tcPr>
          <w:p w14:paraId="0790EFE1" w14:textId="77777777" w:rsidR="00CE75D4" w:rsidRPr="002029AF" w:rsidRDefault="00CE75D4" w:rsidP="008340C1">
            <w:pPr>
              <w:pStyle w:val="ARfintablebodyrightbold"/>
            </w:pPr>
            <w:r w:rsidRPr="008A0CF0">
              <w:t>6.0</w:t>
            </w:r>
          </w:p>
        </w:tc>
        <w:tc>
          <w:tcPr>
            <w:tcW w:w="964" w:type="dxa"/>
            <w:shd w:val="clear" w:color="auto" w:fill="auto"/>
          </w:tcPr>
          <w:p w14:paraId="5E4F2D21" w14:textId="77777777" w:rsidR="00CE75D4" w:rsidRPr="002029AF" w:rsidRDefault="00CE75D4" w:rsidP="008340C1">
            <w:pPr>
              <w:pStyle w:val="ARfintablebodyrightbold"/>
            </w:pPr>
            <w:r w:rsidRPr="008A0CF0">
              <w:t>6.2</w:t>
            </w:r>
          </w:p>
        </w:tc>
        <w:tc>
          <w:tcPr>
            <w:tcW w:w="964" w:type="dxa"/>
            <w:shd w:val="clear" w:color="auto" w:fill="E7E6E6"/>
            <w:noWrap/>
            <w:hideMark/>
          </w:tcPr>
          <w:p w14:paraId="1E833324" w14:textId="77777777" w:rsidR="00CE75D4" w:rsidRPr="002029AF" w:rsidRDefault="00CE75D4" w:rsidP="008340C1">
            <w:pPr>
              <w:pStyle w:val="ARfintablebodyrightbold"/>
            </w:pPr>
            <w:r>
              <w:t>–</w:t>
            </w:r>
          </w:p>
        </w:tc>
        <w:tc>
          <w:tcPr>
            <w:tcW w:w="964" w:type="dxa"/>
            <w:noWrap/>
            <w:hideMark/>
          </w:tcPr>
          <w:p w14:paraId="2A4DB1FD" w14:textId="77777777" w:rsidR="00CE75D4" w:rsidRPr="002029AF" w:rsidRDefault="00CE75D4" w:rsidP="008340C1">
            <w:pPr>
              <w:pStyle w:val="ARfintablebodyrightbold"/>
            </w:pPr>
            <w:r w:rsidRPr="008A0CF0">
              <w:t>1.6</w:t>
            </w:r>
          </w:p>
        </w:tc>
        <w:tc>
          <w:tcPr>
            <w:tcW w:w="964" w:type="dxa"/>
            <w:shd w:val="clear" w:color="auto" w:fill="E7E6E6"/>
            <w:noWrap/>
            <w:hideMark/>
          </w:tcPr>
          <w:p w14:paraId="01B1FC73" w14:textId="77777777" w:rsidR="00CE75D4" w:rsidRPr="002029AF" w:rsidRDefault="00CE75D4" w:rsidP="008340C1">
            <w:pPr>
              <w:pStyle w:val="ARfintablebodyrightbold"/>
            </w:pPr>
            <w:r w:rsidRPr="008A0CF0">
              <w:t>0.4</w:t>
            </w:r>
          </w:p>
        </w:tc>
        <w:tc>
          <w:tcPr>
            <w:tcW w:w="964" w:type="dxa"/>
            <w:noWrap/>
            <w:hideMark/>
          </w:tcPr>
          <w:p w14:paraId="242E6A79" w14:textId="77777777" w:rsidR="00CE75D4" w:rsidRPr="002029AF" w:rsidRDefault="00CE75D4" w:rsidP="008340C1">
            <w:pPr>
              <w:pStyle w:val="ARfintablebodyrightbold"/>
            </w:pPr>
            <w:r w:rsidRPr="008A0CF0">
              <w:t>1.2</w:t>
            </w:r>
          </w:p>
        </w:tc>
        <w:tc>
          <w:tcPr>
            <w:tcW w:w="964" w:type="dxa"/>
            <w:shd w:val="clear" w:color="auto" w:fill="E7E6E6"/>
            <w:noWrap/>
            <w:hideMark/>
          </w:tcPr>
          <w:p w14:paraId="23B75B42" w14:textId="77777777" w:rsidR="00CE75D4" w:rsidRPr="002029AF" w:rsidRDefault="00CE75D4" w:rsidP="008340C1">
            <w:pPr>
              <w:pStyle w:val="ARfintablebodyrightbold"/>
            </w:pPr>
            <w:r w:rsidRPr="008A0CF0">
              <w:t>0.3</w:t>
            </w:r>
          </w:p>
        </w:tc>
        <w:tc>
          <w:tcPr>
            <w:tcW w:w="964" w:type="dxa"/>
            <w:noWrap/>
            <w:hideMark/>
          </w:tcPr>
          <w:p w14:paraId="4C34BF67" w14:textId="77777777" w:rsidR="00CE75D4" w:rsidRPr="002029AF" w:rsidRDefault="00CE75D4" w:rsidP="008340C1">
            <w:pPr>
              <w:pStyle w:val="ARfintablebodyrightbold"/>
            </w:pPr>
            <w:r w:rsidRPr="008A0CF0">
              <w:t>1.4</w:t>
            </w:r>
          </w:p>
        </w:tc>
      </w:tr>
    </w:tbl>
    <w:p w14:paraId="70329F8A" w14:textId="15E9C01E" w:rsidR="00CE75D4" w:rsidRDefault="00CE75D4" w:rsidP="008340C1">
      <w:pPr>
        <w:pStyle w:val="ARfintablefootnote"/>
      </w:pPr>
      <w:r>
        <w:rPr>
          <w:lang w:eastAsia="en-AU"/>
        </w:rPr>
        <w:t>Notes:</w:t>
      </w:r>
    </w:p>
    <w:p w14:paraId="611F6F63" w14:textId="437BE915" w:rsidR="00CE75D4" w:rsidRDefault="00CE75D4" w:rsidP="0053626B">
      <w:pPr>
        <w:pStyle w:val="ARfintablefootnoteindent"/>
      </w:pPr>
      <w:r>
        <w:t>(i)</w:t>
      </w:r>
      <w:r>
        <w:tab/>
        <w:t>The 2021 figures include the Department of Health and the former Department of Health and Human Services.</w:t>
      </w:r>
    </w:p>
    <w:p w14:paraId="0E01055B" w14:textId="6750C661" w:rsidR="00CE75D4" w:rsidRDefault="00CE75D4" w:rsidP="008340C1">
      <w:pPr>
        <w:pStyle w:val="ARfintablefootnoteindent"/>
      </w:pPr>
      <w:r>
        <w:t>(ii)</w:t>
      </w:r>
      <w:r>
        <w:tab/>
        <w:t>Remuneration of KMPs seconded from other departments is not included.</w:t>
      </w:r>
    </w:p>
    <w:p w14:paraId="5837261C" w14:textId="353B204D" w:rsidR="00CE75D4" w:rsidRDefault="00CE75D4" w:rsidP="008340C1">
      <w:pPr>
        <w:pStyle w:val="ARfintablefootnoteindent"/>
      </w:pPr>
      <w:r>
        <w:t>(iii)</w:t>
      </w:r>
      <w:r>
        <w:tab/>
        <w:t>The 2021 figures include remuneration of KMPs for Victorian Agency for Health Information, Safer Care Victoria, Family Safety Victoria and Mental Health Reform Victoria.</w:t>
      </w:r>
    </w:p>
    <w:p w14:paraId="56BDE6E6" w14:textId="24127362" w:rsidR="00CE75D4" w:rsidRDefault="00CE75D4" w:rsidP="008340C1">
      <w:pPr>
        <w:pStyle w:val="ARfintablefootnoteindent"/>
      </w:pPr>
      <w:r>
        <w:t>(iv)</w:t>
      </w:r>
      <w:r>
        <w:tab/>
        <w:t>The 2021 figures include remuneration of KMPs for Mental Health Tribunal, Commission for Children and Young People, Victorian Multicultural Commission, Respect Victoria, Victorian Veterans Council, Disability Worker Registration Board, and Victorian Disability Worker Commission. The 2021 remuneration of the Director of Housing was disclosed in the Department of Health (including the former Department of Health and Human Services) for the period 1 July 2020</w:t>
      </w:r>
      <w:r w:rsidDel="000F2903">
        <w:t xml:space="preserve"> </w:t>
      </w:r>
      <w:r>
        <w:t>–</w:t>
      </w:r>
      <w:r w:rsidDel="000F2903">
        <w:t xml:space="preserve"> </w:t>
      </w:r>
      <w:r>
        <w:t>31 January 2021 and in the Department of Families, Fairness and Housing numbers for the period 1 February 2021</w:t>
      </w:r>
      <w:r w:rsidDel="000F2903">
        <w:t xml:space="preserve"> </w:t>
      </w:r>
      <w:r>
        <w:t>–</w:t>
      </w:r>
      <w:r w:rsidDel="000F2903">
        <w:t xml:space="preserve"> </w:t>
      </w:r>
      <w:r>
        <w:t>30 June 2021.</w:t>
      </w:r>
    </w:p>
    <w:p w14:paraId="4E4FE084" w14:textId="77777777" w:rsidR="00CE75D4" w:rsidRDefault="00CE75D4" w:rsidP="008340C1">
      <w:pPr>
        <w:pStyle w:val="ARfintablefootnoteindent"/>
      </w:pPr>
      <w:r>
        <w:t>(v)</w:t>
      </w:r>
      <w:r>
        <w:tab/>
        <w:t>Total figures include the remuneration of the CFO, who delivered services as an executive officer to the department but is employed by the Department of Treasury and Finance.</w:t>
      </w:r>
    </w:p>
    <w:p w14:paraId="6965156C" w14:textId="4B24836D" w:rsidR="00CE75D4" w:rsidRDefault="00CE75D4" w:rsidP="008340C1">
      <w:pPr>
        <w:pStyle w:val="ARfintablefootnoteindent"/>
      </w:pPr>
      <w:r>
        <w:t>(vi)</w:t>
      </w:r>
      <w:r>
        <w:tab/>
        <w:t>Note that KMPs are also reported in the disclosure of remuneration of accountable officers (refer to Note 9.6) and in the disclosure of remuneration of executive officers (refer to Note 9.7).</w:t>
      </w:r>
    </w:p>
    <w:p w14:paraId="65F3B888" w14:textId="77777777" w:rsidR="00CE75D4" w:rsidRDefault="00CE75D4" w:rsidP="008340C1">
      <w:pPr>
        <w:pStyle w:val="Heading5"/>
        <w:rPr>
          <w:lang w:eastAsia="en-AU"/>
        </w:rPr>
      </w:pPr>
      <w:r>
        <w:rPr>
          <w:lang w:eastAsia="en-AU"/>
        </w:rPr>
        <w:t>Transactions and balances with key management personnel and other related parties</w:t>
      </w:r>
    </w:p>
    <w:p w14:paraId="51FB339D" w14:textId="77777777" w:rsidR="00CE75D4" w:rsidRDefault="00CE75D4" w:rsidP="008340C1">
      <w:pPr>
        <w:pStyle w:val="ARfinbody"/>
      </w:pPr>
      <w:r>
        <w:t xml:space="preserve">Given the breadth and depth of state government activities, related parties transact with the Victorian public sector in a manner consistent with other members of the public, for example in paying stamp duty and other government fees and charges. Further employment of processes within the Victorian public sector occurs on terms and conditions consistent with the </w:t>
      </w:r>
      <w:r>
        <w:rPr>
          <w:rStyle w:val="Emphasis"/>
        </w:rPr>
        <w:t>Public Administration Act 2004</w:t>
      </w:r>
      <w:r>
        <w:t xml:space="preserve"> and Codes of Conduct and Standards issued by the Victorian Public Sector Commission. Procurement processes occur on terms and conditions consistent with the Victorian Government Procurement Board requirements.</w:t>
      </w:r>
    </w:p>
    <w:p w14:paraId="2CF7F1B1" w14:textId="77777777" w:rsidR="00CE75D4" w:rsidRDefault="00CE75D4" w:rsidP="008340C1">
      <w:pPr>
        <w:pStyle w:val="ARfinbody"/>
      </w:pPr>
      <w:r>
        <w:t>Outside of normal citizen-type transactions, there were no material related party transactions that involved key management personnel, their close family members and their personal business interests with the department, the Administrative Office or its s. 53(1)(b) entity.</w:t>
      </w:r>
    </w:p>
    <w:p w14:paraId="3EFFDD1B" w14:textId="77777777" w:rsidR="00CE75D4" w:rsidRDefault="00CE75D4" w:rsidP="008340C1">
      <w:pPr>
        <w:pStyle w:val="ARfinbody"/>
      </w:pPr>
      <w:r>
        <w:t>No provision has been required, nor any expense recognised, for impairment of receivables from related parties.</w:t>
      </w:r>
    </w:p>
    <w:p w14:paraId="78D22B6C" w14:textId="77777777" w:rsidR="00CE75D4" w:rsidRPr="002029AF" w:rsidRDefault="00CE75D4" w:rsidP="00087B91">
      <w:pPr>
        <w:pStyle w:val="Heading4"/>
      </w:pPr>
      <w:bookmarkStart w:id="642" w:name="_Toc39242174"/>
      <w:bookmarkStart w:id="643" w:name="_Toc85121561"/>
      <w:r w:rsidRPr="002029AF">
        <w:t>9.9 Remuneration of auditors</w:t>
      </w:r>
      <w:bookmarkEnd w:id="642"/>
      <w:bookmarkEnd w:id="643"/>
    </w:p>
    <w:tbl>
      <w:tblPr>
        <w:tblStyle w:val="TableGrid"/>
        <w:tblW w:w="9637" w:type="dxa"/>
        <w:tblLayout w:type="fixed"/>
        <w:tblLook w:val="06A0" w:firstRow="1" w:lastRow="0" w:firstColumn="1" w:lastColumn="0" w:noHBand="1" w:noVBand="1"/>
      </w:tblPr>
      <w:tblGrid>
        <w:gridCol w:w="7369"/>
        <w:gridCol w:w="1134"/>
        <w:gridCol w:w="1134"/>
      </w:tblGrid>
      <w:tr w:rsidR="00CE75D4" w:rsidRPr="002029AF" w14:paraId="1CA30730"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7369" w:type="dxa"/>
            <w:noWrap/>
            <w:hideMark/>
          </w:tcPr>
          <w:p w14:paraId="31D8CD8A" w14:textId="77777777" w:rsidR="00CE75D4" w:rsidRPr="002029AF" w:rsidRDefault="00CE75D4" w:rsidP="008340C1">
            <w:pPr>
              <w:pStyle w:val="ARfintablecolhead"/>
            </w:pPr>
          </w:p>
        </w:tc>
        <w:tc>
          <w:tcPr>
            <w:tcW w:w="1134" w:type="dxa"/>
            <w:shd w:val="clear" w:color="auto" w:fill="E7E6E6"/>
            <w:hideMark/>
          </w:tcPr>
          <w:p w14:paraId="6551F1FC" w14:textId="77777777" w:rsidR="00CE75D4" w:rsidRPr="002029AF" w:rsidRDefault="00CE75D4" w:rsidP="008340C1">
            <w:pPr>
              <w:pStyle w:val="ARfintablecolheadright"/>
            </w:pPr>
            <w:r w:rsidRPr="002029AF">
              <w:t>202</w:t>
            </w:r>
            <w:r>
              <w:t>2</w:t>
            </w:r>
          </w:p>
          <w:p w14:paraId="13BD3BFF" w14:textId="77777777" w:rsidR="00CE75D4" w:rsidRPr="002029AF" w:rsidRDefault="00CE75D4" w:rsidP="008340C1">
            <w:pPr>
              <w:pStyle w:val="ARfintablecolheadright"/>
            </w:pPr>
            <w:r w:rsidRPr="002029AF">
              <w:t>$</w:t>
            </w:r>
          </w:p>
        </w:tc>
        <w:tc>
          <w:tcPr>
            <w:tcW w:w="1134" w:type="dxa"/>
            <w:hideMark/>
          </w:tcPr>
          <w:p w14:paraId="5DB36B3E" w14:textId="77777777" w:rsidR="00CE75D4" w:rsidRPr="002029AF" w:rsidRDefault="00CE75D4" w:rsidP="008340C1">
            <w:pPr>
              <w:pStyle w:val="ARfintablecolheadright"/>
            </w:pPr>
            <w:r>
              <w:t xml:space="preserve">2021 </w:t>
            </w:r>
            <w:r w:rsidRPr="002A01F5">
              <w:rPr>
                <w:rStyle w:val="Superscript"/>
              </w:rPr>
              <w:t>(i</w:t>
            </w:r>
            <w:r>
              <w:rPr>
                <w:rStyle w:val="Superscript"/>
              </w:rPr>
              <w:t>)</w:t>
            </w:r>
          </w:p>
          <w:p w14:paraId="47261FE9" w14:textId="77777777" w:rsidR="00CE75D4" w:rsidRPr="002029AF" w:rsidRDefault="00CE75D4" w:rsidP="008340C1">
            <w:pPr>
              <w:pStyle w:val="ARfintablecolheadright"/>
            </w:pPr>
            <w:r w:rsidRPr="002029AF">
              <w:t>$</w:t>
            </w:r>
          </w:p>
        </w:tc>
      </w:tr>
      <w:tr w:rsidR="00CE75D4" w:rsidRPr="002029AF" w14:paraId="4C6CF175" w14:textId="77777777" w:rsidTr="00130D1C">
        <w:trPr>
          <w:trHeight w:val="255"/>
        </w:trPr>
        <w:tc>
          <w:tcPr>
            <w:tcW w:w="7369" w:type="dxa"/>
            <w:hideMark/>
          </w:tcPr>
          <w:p w14:paraId="3557723D" w14:textId="77777777" w:rsidR="00CE75D4" w:rsidRPr="002029AF" w:rsidRDefault="00CE75D4" w:rsidP="008340C1">
            <w:pPr>
              <w:pStyle w:val="ARfintablebody"/>
            </w:pPr>
            <w:r w:rsidRPr="00B5160A">
              <w:t>Victorian Auditor-General</w:t>
            </w:r>
            <w:r>
              <w:t>’</w:t>
            </w:r>
            <w:r w:rsidRPr="00B5160A">
              <w:t>s Office – audit of the financial report</w:t>
            </w:r>
          </w:p>
        </w:tc>
        <w:tc>
          <w:tcPr>
            <w:tcW w:w="1134" w:type="dxa"/>
            <w:shd w:val="clear" w:color="auto" w:fill="E7E6E6"/>
            <w:noWrap/>
            <w:hideMark/>
          </w:tcPr>
          <w:p w14:paraId="76C651AB" w14:textId="77777777" w:rsidR="00CE75D4" w:rsidRPr="002029AF" w:rsidRDefault="00CE75D4" w:rsidP="008340C1">
            <w:pPr>
              <w:pStyle w:val="ARfintablebodyright"/>
            </w:pPr>
            <w:r w:rsidRPr="00B5160A">
              <w:t>440,000</w:t>
            </w:r>
          </w:p>
        </w:tc>
        <w:tc>
          <w:tcPr>
            <w:tcW w:w="1134" w:type="dxa"/>
            <w:noWrap/>
            <w:hideMark/>
          </w:tcPr>
          <w:p w14:paraId="31380036" w14:textId="77777777" w:rsidR="00CE75D4" w:rsidRPr="002029AF" w:rsidRDefault="00CE75D4" w:rsidP="008340C1">
            <w:pPr>
              <w:pStyle w:val="ARfintablebodyright"/>
            </w:pPr>
            <w:r w:rsidRPr="00B5160A">
              <w:t>633,500</w:t>
            </w:r>
          </w:p>
        </w:tc>
      </w:tr>
    </w:tbl>
    <w:p w14:paraId="0A77E72E" w14:textId="77777777" w:rsidR="00CE75D4" w:rsidRDefault="00CE75D4" w:rsidP="008340C1">
      <w:pPr>
        <w:pStyle w:val="ARfintablefootnote"/>
        <w:rPr>
          <w:lang w:eastAsia="en-AU"/>
        </w:rPr>
      </w:pPr>
      <w:bookmarkStart w:id="644" w:name="_Toc39242176"/>
      <w:bookmarkStart w:id="645" w:name="_Toc85121563"/>
      <w:r>
        <w:rPr>
          <w:lang w:eastAsia="en-AU"/>
        </w:rPr>
        <w:t>Note:</w:t>
      </w:r>
    </w:p>
    <w:p w14:paraId="34EC82BD" w14:textId="133672DC" w:rsidR="00CE75D4" w:rsidRDefault="00CE75D4" w:rsidP="008340C1">
      <w:pPr>
        <w:pStyle w:val="ARfintablefootnote"/>
        <w:ind w:left="284" w:hanging="284"/>
        <w:rPr>
          <w:lang w:eastAsia="en-AU"/>
        </w:rPr>
      </w:pPr>
      <w:r>
        <w:rPr>
          <w:lang w:eastAsia="en-AU"/>
        </w:rPr>
        <w:t>(i)</w:t>
      </w:r>
      <w:r>
        <w:tab/>
      </w:r>
      <w:r w:rsidRPr="008F08DA">
        <w:rPr>
          <w:lang w:eastAsia="en-AU"/>
        </w:rPr>
        <w:t>2021 number relates to the audit fees for both the Department of Health and the Department of Families, Fairness and Housing (including the Director of Housing).</w:t>
      </w:r>
    </w:p>
    <w:p w14:paraId="70605AE2" w14:textId="77777777" w:rsidR="00CE75D4" w:rsidRDefault="00CE75D4" w:rsidP="008340C1">
      <w:pPr>
        <w:pStyle w:val="Heading4"/>
      </w:pPr>
      <w:bookmarkStart w:id="646" w:name="_Ref112962910"/>
      <w:r>
        <w:rPr>
          <w:lang w:eastAsia="en-AU"/>
        </w:rPr>
        <w:t>9.10 Subsequent events</w:t>
      </w:r>
      <w:bookmarkEnd w:id="646"/>
    </w:p>
    <w:p w14:paraId="3B8B8238" w14:textId="7931618C" w:rsidR="00CE75D4" w:rsidRDefault="00CE75D4" w:rsidP="008340C1">
      <w:pPr>
        <w:pStyle w:val="ARfinbody"/>
      </w:pPr>
      <w:r>
        <w:t>No matters or circumstances have arisen since 30 June 2022 that significantly affect the information disclosed in the 2021–22 financial statements.</w:t>
      </w:r>
    </w:p>
    <w:p w14:paraId="720F6A65" w14:textId="77777777" w:rsidR="00CE75D4" w:rsidRDefault="00CE75D4" w:rsidP="008340C1">
      <w:pPr>
        <w:pStyle w:val="Heading4"/>
      </w:pPr>
      <w:bookmarkStart w:id="647" w:name="_Toc39242178"/>
      <w:bookmarkStart w:id="648" w:name="_Toc85121565"/>
      <w:bookmarkEnd w:id="644"/>
      <w:bookmarkEnd w:id="645"/>
      <w:r>
        <w:rPr>
          <w:lang w:eastAsia="en-AU"/>
        </w:rPr>
        <w:t>9.11 Other accounting policies</w:t>
      </w:r>
    </w:p>
    <w:p w14:paraId="54718C8B" w14:textId="77777777" w:rsidR="00CE75D4" w:rsidRDefault="00CE75D4" w:rsidP="008340C1">
      <w:pPr>
        <w:pStyle w:val="Heading5"/>
        <w:spacing w:before="0"/>
        <w:rPr>
          <w:lang w:eastAsia="en-AU"/>
        </w:rPr>
      </w:pPr>
      <w:r>
        <w:rPr>
          <w:lang w:eastAsia="en-AU"/>
        </w:rPr>
        <w:t>Contributions by owners</w:t>
      </w:r>
    </w:p>
    <w:p w14:paraId="232980E5" w14:textId="77777777" w:rsidR="00CE75D4" w:rsidRDefault="00CE75D4" w:rsidP="008340C1">
      <w:pPr>
        <w:pStyle w:val="ARfinbody"/>
      </w:pPr>
      <w:r>
        <w:t xml:space="preserve">Consistent with the requirements of </w:t>
      </w:r>
      <w:r w:rsidRPr="009411F3">
        <w:t xml:space="preserve">AASB 1004 </w:t>
      </w:r>
      <w:r w:rsidRPr="009411F3">
        <w:rPr>
          <w:rStyle w:val="Emphasis"/>
        </w:rPr>
        <w:t>Contributions</w:t>
      </w:r>
      <w:r w:rsidRPr="009411F3">
        <w:t>,</w:t>
      </w:r>
      <w:r>
        <w:t xml:space="preserve"> contributions by owners (that is, contributed capital and its repayment) are treated as equity transactions and, therefore, do not form part of the income and expenses of the department.</w:t>
      </w:r>
    </w:p>
    <w:p w14:paraId="0A42A736" w14:textId="77777777" w:rsidR="00CE75D4" w:rsidRDefault="00CE75D4" w:rsidP="008340C1">
      <w:pPr>
        <w:pStyle w:val="ARfinbody"/>
      </w:pPr>
      <w:r>
        <w:t>Additions to net assets that have been designated as contributions by owners are recognised as contributed capital. Other transfers that are in the nature of contributions to or distributions by owners have also been designated as contributions by owners.</w:t>
      </w:r>
    </w:p>
    <w:p w14:paraId="3A158A2D" w14:textId="77777777" w:rsidR="00CE75D4" w:rsidRDefault="00CE75D4" w:rsidP="008340C1">
      <w:pPr>
        <w:pStyle w:val="ARfinbody"/>
      </w:pPr>
      <w:r>
        <w:t>Transfers of net assets arising from administrative restructurings are treated as distributions to or contributions by owners. Transfers of net liabilities arising from administrative restructurings are treated as distributions to owners.</w:t>
      </w:r>
    </w:p>
    <w:p w14:paraId="6762A5BB" w14:textId="77777777" w:rsidR="00CE75D4" w:rsidRDefault="00CE75D4" w:rsidP="00493B0C">
      <w:pPr>
        <w:pStyle w:val="Heading4"/>
        <w:spacing w:before="160" w:after="60"/>
      </w:pPr>
      <w:bookmarkStart w:id="649" w:name="_Toc39242179"/>
      <w:bookmarkStart w:id="650" w:name="_Toc85121566"/>
      <w:bookmarkEnd w:id="647"/>
      <w:bookmarkEnd w:id="648"/>
      <w:r>
        <w:rPr>
          <w:lang w:eastAsia="en-AU"/>
        </w:rPr>
        <w:t>9.12 Australian Accounting Standards issued that are not yet effective</w:t>
      </w:r>
    </w:p>
    <w:p w14:paraId="4E7CD86A" w14:textId="77777777" w:rsidR="00CE75D4" w:rsidRDefault="00CE75D4" w:rsidP="008340C1">
      <w:pPr>
        <w:pStyle w:val="ARfinbody"/>
        <w:rPr>
          <w:rFonts w:cs="Arial"/>
        </w:rPr>
      </w:pPr>
      <w:r>
        <w:t>Ce</w:t>
      </w:r>
      <w:r>
        <w:rPr>
          <w:rFonts w:cs="Arial"/>
        </w:rPr>
        <w:t>rtain new and revised accounting standards have been issued but are not effective for the 2021–22 reporting period. These accounting standards have not been applied to the financial statements. The state is reviewing its existing policies and assessing the potential implications of these accounting standards.</w:t>
      </w:r>
    </w:p>
    <w:p w14:paraId="2687406A" w14:textId="77777777" w:rsidR="00CE75D4" w:rsidRDefault="00CE75D4" w:rsidP="00817CFB">
      <w:pPr>
        <w:pStyle w:val="ARfinbullet1"/>
        <w:numPr>
          <w:ilvl w:val="0"/>
          <w:numId w:val="31"/>
        </w:numPr>
        <w:textAlignment w:val="auto"/>
        <w:rPr>
          <w:rFonts w:eastAsia="Times New Roman" w:cs="Arial"/>
          <w:szCs w:val="18"/>
        </w:rPr>
      </w:pPr>
      <w:r>
        <w:rPr>
          <w:rFonts w:eastAsia="Times New Roman" w:cs="Arial"/>
          <w:szCs w:val="18"/>
        </w:rPr>
        <w:t xml:space="preserve">AASB 2020-1 </w:t>
      </w:r>
      <w:r>
        <w:rPr>
          <w:rStyle w:val="Emphasis"/>
          <w:rFonts w:cs="Arial"/>
          <w:szCs w:val="18"/>
        </w:rPr>
        <w:t xml:space="preserve">Amendments to Australian Accounting Standards – Classification of Liabilities as Current or </w:t>
      </w:r>
      <w:r>
        <w:rPr>
          <w:rStyle w:val="Emphasis"/>
          <w:rFonts w:cs="Arial"/>
          <w:szCs w:val="18"/>
        </w:rPr>
        <w:br/>
        <w:t>Non-Current</w:t>
      </w:r>
    </w:p>
    <w:p w14:paraId="2DBED72F" w14:textId="665A6899" w:rsidR="00CE75D4" w:rsidRDefault="00CE75D4" w:rsidP="008340C1">
      <w:pPr>
        <w:pStyle w:val="ARfinbody"/>
        <w:rPr>
          <w:rFonts w:cs="Arial"/>
        </w:rPr>
      </w:pPr>
      <w:r w:rsidRPr="3D493511">
        <w:rPr>
          <w:rFonts w:cs="Arial"/>
        </w:rPr>
        <w:t>This standard amends AASB 101</w:t>
      </w:r>
      <w:r w:rsidRPr="00B449F5">
        <w:t xml:space="preserve"> </w:t>
      </w:r>
      <w:r w:rsidRPr="00B449F5">
        <w:rPr>
          <w:rStyle w:val="Emphasis"/>
        </w:rPr>
        <w:t>Presentation of Financial Statements</w:t>
      </w:r>
      <w:r w:rsidRPr="3D493511">
        <w:rPr>
          <w:rFonts w:cs="Arial"/>
        </w:rPr>
        <w:t xml:space="preserve"> to clarify requirements for the presentation of liabilities in the statement of financial position as current or non-current. It initially applied to annual reporting periods beginning on or after 1 January 2022 with earlier application permitted however the AASB has recently issued AASB 2020-6 </w:t>
      </w:r>
      <w:r w:rsidRPr="3D493511">
        <w:rPr>
          <w:rStyle w:val="Emphasis"/>
          <w:rFonts w:cs="Arial"/>
        </w:rPr>
        <w:t>Amendments to Australian Accounting Standards – Classification of Liabilities as Current or Non-current – Deferral of Effective Date</w:t>
      </w:r>
      <w:r w:rsidRPr="3D493511">
        <w:rPr>
          <w:rFonts w:cs="Arial"/>
        </w:rPr>
        <w:t xml:space="preserve"> to defer the application by one year to periods beginning on or after 1 January 2023. The department will not adopt the standard early.</w:t>
      </w:r>
    </w:p>
    <w:p w14:paraId="0D51F427" w14:textId="77777777" w:rsidR="00CE75D4" w:rsidRDefault="00CE75D4" w:rsidP="008340C1">
      <w:pPr>
        <w:pStyle w:val="ARfinbody"/>
        <w:rPr>
          <w:rFonts w:cs="Arial"/>
          <w:szCs w:val="18"/>
        </w:rPr>
      </w:pPr>
      <w:r>
        <w:rPr>
          <w:rFonts w:cs="Arial"/>
          <w:szCs w:val="18"/>
        </w:rPr>
        <w:t>The department is in the process of analysing the impacts of this standard. However, it is not anticipated to have a material impact.</w:t>
      </w:r>
    </w:p>
    <w:p w14:paraId="1C1039FD" w14:textId="77777777" w:rsidR="00CE75D4" w:rsidRDefault="00CE75D4" w:rsidP="00493B0C">
      <w:pPr>
        <w:pStyle w:val="ARfinbody"/>
        <w:spacing w:after="40"/>
        <w:rPr>
          <w:rFonts w:cs="Arial"/>
          <w:szCs w:val="18"/>
        </w:rPr>
      </w:pPr>
      <w:r>
        <w:rPr>
          <w:rFonts w:cs="Arial"/>
          <w:szCs w:val="18"/>
        </w:rPr>
        <w:t>Several other amending standards and AASB interpretations have been issued that apply to future reporting periods, but are considered to have limited impact on the department’s reporting:</w:t>
      </w:r>
    </w:p>
    <w:p w14:paraId="358D4CC4" w14:textId="77777777" w:rsidR="00CE75D4" w:rsidRDefault="00CE75D4" w:rsidP="00493B0C">
      <w:pPr>
        <w:pStyle w:val="ARfinbullet1"/>
        <w:numPr>
          <w:ilvl w:val="0"/>
          <w:numId w:val="31"/>
        </w:numPr>
        <w:spacing w:after="40"/>
        <w:textAlignment w:val="auto"/>
        <w:rPr>
          <w:rFonts w:eastAsia="Times New Roman" w:cs="Arial"/>
          <w:szCs w:val="18"/>
        </w:rPr>
      </w:pPr>
      <w:r>
        <w:rPr>
          <w:rFonts w:eastAsia="Times New Roman" w:cs="Arial"/>
          <w:szCs w:val="18"/>
        </w:rPr>
        <w:t xml:space="preserve">AASB 2020-3 </w:t>
      </w:r>
      <w:r>
        <w:rPr>
          <w:rStyle w:val="Emphasis"/>
          <w:rFonts w:cs="Arial"/>
          <w:szCs w:val="18"/>
        </w:rPr>
        <w:t>Amendments to Australian Accounting Standards – Annual Improvements 2018–2020 and Other Amendments</w:t>
      </w:r>
    </w:p>
    <w:p w14:paraId="08C6DB57" w14:textId="77777777" w:rsidR="00CE75D4" w:rsidRDefault="00CE75D4" w:rsidP="00493B0C">
      <w:pPr>
        <w:pStyle w:val="ARfinbullet1"/>
        <w:numPr>
          <w:ilvl w:val="0"/>
          <w:numId w:val="31"/>
        </w:numPr>
        <w:spacing w:after="40"/>
        <w:textAlignment w:val="auto"/>
        <w:rPr>
          <w:rFonts w:eastAsia="Times New Roman" w:cs="Arial"/>
          <w:szCs w:val="18"/>
        </w:rPr>
      </w:pPr>
      <w:r>
        <w:rPr>
          <w:rFonts w:eastAsia="Times New Roman" w:cs="Arial"/>
          <w:szCs w:val="18"/>
        </w:rPr>
        <w:t xml:space="preserve">AASB 2021-2 </w:t>
      </w:r>
      <w:r>
        <w:rPr>
          <w:rStyle w:val="Emphasis"/>
          <w:rFonts w:cs="Arial"/>
          <w:szCs w:val="18"/>
        </w:rPr>
        <w:t>Amendments to Australian Accounting Standards – Disclosure of Accounting Policies and Definitions of Accounting Estimates</w:t>
      </w:r>
    </w:p>
    <w:p w14:paraId="4FD94DCE" w14:textId="77777777" w:rsidR="00CE75D4" w:rsidRDefault="00CE75D4" w:rsidP="00493B0C">
      <w:pPr>
        <w:pStyle w:val="ARfinbullet1"/>
        <w:numPr>
          <w:ilvl w:val="0"/>
          <w:numId w:val="31"/>
        </w:numPr>
        <w:spacing w:after="40"/>
        <w:textAlignment w:val="auto"/>
        <w:rPr>
          <w:rFonts w:eastAsia="Times New Roman" w:cs="Arial"/>
          <w:szCs w:val="18"/>
        </w:rPr>
      </w:pPr>
      <w:r>
        <w:rPr>
          <w:rFonts w:eastAsia="Times New Roman" w:cs="Arial"/>
          <w:szCs w:val="18"/>
        </w:rPr>
        <w:t xml:space="preserve">AASB 2021-5 </w:t>
      </w:r>
      <w:r>
        <w:rPr>
          <w:rStyle w:val="Emphasis"/>
          <w:rFonts w:cs="Arial"/>
          <w:szCs w:val="18"/>
        </w:rPr>
        <w:t>Amendments to Australian Accounting Standards – Deferred Tax related to Assets and Liabilities arising from a Single Transaction</w:t>
      </w:r>
    </w:p>
    <w:p w14:paraId="5E8AB053" w14:textId="77777777" w:rsidR="00CE75D4" w:rsidRDefault="00CE75D4" w:rsidP="00493B0C">
      <w:pPr>
        <w:pStyle w:val="ARfinbullet1"/>
        <w:numPr>
          <w:ilvl w:val="0"/>
          <w:numId w:val="31"/>
        </w:numPr>
        <w:spacing w:after="40"/>
        <w:textAlignment w:val="auto"/>
        <w:rPr>
          <w:rFonts w:eastAsia="Times New Roman" w:cs="Arial"/>
          <w:szCs w:val="18"/>
        </w:rPr>
      </w:pPr>
      <w:r>
        <w:rPr>
          <w:rFonts w:eastAsia="Times New Roman" w:cs="Arial"/>
          <w:szCs w:val="18"/>
        </w:rPr>
        <w:t xml:space="preserve">AASB 2021-6 </w:t>
      </w:r>
      <w:r>
        <w:rPr>
          <w:rStyle w:val="Emphasis"/>
          <w:rFonts w:cs="Arial"/>
          <w:szCs w:val="18"/>
        </w:rPr>
        <w:t>Amendments to Australian Accounting Standards – Disclosure of Accounting Policies: Tier 2 and Other Australian Accounting Standards</w:t>
      </w:r>
    </w:p>
    <w:p w14:paraId="099B4DDA" w14:textId="77777777" w:rsidR="00CE75D4" w:rsidRDefault="00CE75D4" w:rsidP="00817CFB">
      <w:pPr>
        <w:pStyle w:val="ARfinbullet1"/>
        <w:numPr>
          <w:ilvl w:val="0"/>
          <w:numId w:val="31"/>
        </w:numPr>
        <w:textAlignment w:val="auto"/>
        <w:rPr>
          <w:rFonts w:eastAsia="Times New Roman" w:cs="Arial"/>
          <w:szCs w:val="18"/>
        </w:rPr>
      </w:pPr>
      <w:r>
        <w:rPr>
          <w:rFonts w:eastAsia="Times New Roman" w:cs="Arial"/>
          <w:szCs w:val="18"/>
        </w:rPr>
        <w:t xml:space="preserve">AASB 2021-7 </w:t>
      </w:r>
      <w:r>
        <w:rPr>
          <w:rStyle w:val="Emphasis"/>
          <w:rFonts w:cs="Arial"/>
          <w:szCs w:val="18"/>
        </w:rPr>
        <w:t>Amendments to Australian Accounting Standards – Effective Date of Amendments to AASB 10 and AASB 128 and Editorial Corrections</w:t>
      </w:r>
      <w:r>
        <w:rPr>
          <w:rFonts w:eastAsia="Times New Roman" w:cs="Arial"/>
          <w:szCs w:val="18"/>
        </w:rPr>
        <w:t>.</w:t>
      </w:r>
    </w:p>
    <w:bookmarkEnd w:id="649"/>
    <w:bookmarkEnd w:id="650"/>
    <w:p w14:paraId="260654AD" w14:textId="77777777" w:rsidR="00CE75D4" w:rsidRDefault="00CE75D4" w:rsidP="00493B0C">
      <w:pPr>
        <w:pStyle w:val="Heading4"/>
        <w:spacing w:before="160" w:after="60"/>
      </w:pPr>
      <w:r>
        <w:rPr>
          <w:lang w:eastAsia="en-AU"/>
        </w:rPr>
        <w:t>9.13 Glossary of technical terms</w:t>
      </w:r>
    </w:p>
    <w:p w14:paraId="5BEB3854" w14:textId="77777777" w:rsidR="00CE75D4" w:rsidRDefault="00CE75D4" w:rsidP="008340C1">
      <w:pPr>
        <w:pStyle w:val="ARfinbody"/>
      </w:pPr>
      <w:r>
        <w:t>The following is a summary of the major technical terms used in this report.</w:t>
      </w:r>
    </w:p>
    <w:p w14:paraId="69DCD34B" w14:textId="77777777" w:rsidR="00CE75D4" w:rsidRDefault="00CE75D4" w:rsidP="008340C1">
      <w:pPr>
        <w:pStyle w:val="ARfinbody"/>
      </w:pPr>
      <w:r>
        <w:rPr>
          <w:rStyle w:val="Strong"/>
        </w:rPr>
        <w:t>Actuarial gains or losses on superannuation defined benefit plans</w:t>
      </w:r>
      <w:r>
        <w:t xml:space="preserve"> are changes in the present value of the superannuation defined benefit liability resulting from:</w:t>
      </w:r>
    </w:p>
    <w:p w14:paraId="57A2C9D9" w14:textId="77777777" w:rsidR="00CE75D4" w:rsidRPr="007A5FA8" w:rsidRDefault="00CE75D4" w:rsidP="00817CFB">
      <w:pPr>
        <w:pStyle w:val="ARfinnumberalpha1"/>
        <w:numPr>
          <w:ilvl w:val="0"/>
          <w:numId w:val="34"/>
        </w:numPr>
      </w:pPr>
      <w:r>
        <w:t>experie</w:t>
      </w:r>
      <w:r w:rsidRPr="007A5FA8">
        <w:t>nce adjustments (the effects of differences between the previous actuarial assumptions and what has actually occurred)</w:t>
      </w:r>
    </w:p>
    <w:p w14:paraId="1B266F5D" w14:textId="77777777" w:rsidR="00CE75D4" w:rsidRDefault="00CE75D4" w:rsidP="00CE75D4">
      <w:pPr>
        <w:pStyle w:val="ARfinnumberalpha1"/>
      </w:pPr>
      <w:r w:rsidRPr="007A5FA8">
        <w:t>the effects of chang</w:t>
      </w:r>
      <w:r>
        <w:t>es in actuarial assumptions.</w:t>
      </w:r>
    </w:p>
    <w:p w14:paraId="2C8AFAFC" w14:textId="77777777" w:rsidR="00CE75D4" w:rsidRDefault="00CE75D4" w:rsidP="008340C1">
      <w:pPr>
        <w:pStyle w:val="ARfinbody"/>
      </w:pPr>
      <w:r>
        <w:rPr>
          <w:rStyle w:val="Strong"/>
        </w:rPr>
        <w:t>Administered item</w:t>
      </w:r>
      <w:r>
        <w:t xml:space="preserve"> generally refers to a department lacking the capacity to benefit from that item in the pursuit of the entity’s objectives and to deny or regulate the access of others to that benefit.</w:t>
      </w:r>
    </w:p>
    <w:p w14:paraId="6ACB51DD" w14:textId="77777777" w:rsidR="00CE75D4" w:rsidRDefault="00CE75D4" w:rsidP="008340C1">
      <w:pPr>
        <w:pStyle w:val="ARfinbody"/>
      </w:pPr>
      <w:r>
        <w:rPr>
          <w:rStyle w:val="Strong"/>
        </w:rPr>
        <w:t>Amortisation</w:t>
      </w:r>
      <w:r>
        <w:t xml:space="preserve"> is the expense that results from the consumption, extraction or use over time of a non-produced physical or intangible asset. This expense is classified as an ‘other economic flow’.</w:t>
      </w:r>
    </w:p>
    <w:p w14:paraId="15106D98" w14:textId="77777777" w:rsidR="00CE75D4" w:rsidRDefault="00CE75D4" w:rsidP="008340C1">
      <w:pPr>
        <w:pStyle w:val="ARfinbody"/>
      </w:pPr>
      <w:r>
        <w:rPr>
          <w:rStyle w:val="Strong"/>
        </w:rPr>
        <w:t>Borrowings</w:t>
      </w:r>
      <w:r>
        <w:t xml:space="preserve"> refers to interest-bearing liabilities mainly raised from public borrowings raised through the Treasury Corporation of Victoria, finance leases and other interest-bearing arrangements. Borrowings also include non-interest-bearing advances from government that are acquired for policy purposes.</w:t>
      </w:r>
    </w:p>
    <w:p w14:paraId="32491FAF" w14:textId="77777777" w:rsidR="00CE75D4" w:rsidRDefault="00CE75D4" w:rsidP="008340C1">
      <w:pPr>
        <w:pStyle w:val="ARfinbody"/>
      </w:pPr>
      <w:r>
        <w:rPr>
          <w:rStyle w:val="Strong"/>
        </w:rPr>
        <w:t>Commitments</w:t>
      </w:r>
      <w:r>
        <w:t xml:space="preserve"> include those operating, capital and other outsourcing commitments arising from non-cancellable contractual or statutory sources.</w:t>
      </w:r>
    </w:p>
    <w:p w14:paraId="3A5150A5" w14:textId="77777777" w:rsidR="00CE75D4" w:rsidRDefault="00CE75D4" w:rsidP="008340C1">
      <w:pPr>
        <w:pStyle w:val="ARfinbody"/>
      </w:pPr>
      <w:r>
        <w:rPr>
          <w:rStyle w:val="Strong"/>
        </w:rPr>
        <w:t>Comprehensive result</w:t>
      </w:r>
      <w:r>
        <w:t xml:space="preserve"> is the amount included in the operating statement representing total change in net worth other than transactions with owners as owners.</w:t>
      </w:r>
    </w:p>
    <w:p w14:paraId="5C8F9C23" w14:textId="585057E6" w:rsidR="00CE75D4" w:rsidRDefault="00CE75D4" w:rsidP="008340C1">
      <w:pPr>
        <w:pStyle w:val="ARfinbody"/>
      </w:pPr>
      <w:r>
        <w:rPr>
          <w:rStyle w:val="Strong"/>
        </w:rPr>
        <w:t>Controlled item</w:t>
      </w:r>
      <w:r>
        <w:t xml:space="preserve"> generally refers to the capacity of a department to benefit from that item in the pursuit of </w:t>
      </w:r>
      <w:r w:rsidDel="00AA5E88">
        <w:t>the entity’s</w:t>
      </w:r>
      <w:r>
        <w:t xml:space="preserve"> objectives and to deny or regulate the access of others to that benefit.</w:t>
      </w:r>
    </w:p>
    <w:p w14:paraId="0C65CE86" w14:textId="77777777" w:rsidR="00CE75D4" w:rsidRDefault="00CE75D4" w:rsidP="008340C1">
      <w:pPr>
        <w:pStyle w:val="ARfinbody"/>
      </w:pPr>
      <w:r>
        <w:rPr>
          <w:rStyle w:val="Strong"/>
        </w:rPr>
        <w:t>Current grants</w:t>
      </w:r>
      <w:r>
        <w:t xml:space="preserve"> are amounts payable or receivable for current purposes for which no economic benefits of equal value are receivable or payable in return.</w:t>
      </w:r>
    </w:p>
    <w:p w14:paraId="38B09C0F" w14:textId="77777777" w:rsidR="00CE75D4" w:rsidRDefault="00CE75D4" w:rsidP="008340C1">
      <w:pPr>
        <w:pStyle w:val="ARfinbody"/>
      </w:pPr>
      <w:r>
        <w:rPr>
          <w:rStyle w:val="Strong"/>
        </w:rPr>
        <w:t>Depreciation</w:t>
      </w:r>
      <w:r>
        <w:t xml:space="preserve"> is an expense that arises from the consumption through wear or time of a produced physical or intangible asset. This expense is classified as a ‘transaction’ and so reduces the ‘net result from transaction’.</w:t>
      </w:r>
    </w:p>
    <w:p w14:paraId="6A5FB9D2" w14:textId="77777777" w:rsidR="00CE75D4" w:rsidRDefault="00CE75D4" w:rsidP="008340C1">
      <w:pPr>
        <w:pStyle w:val="ARfinbody"/>
      </w:pPr>
      <w:r>
        <w:rPr>
          <w:rStyle w:val="Strong"/>
        </w:rPr>
        <w:t>Effective interest method</w:t>
      </w:r>
      <w:r>
        <w:t xml:space="preserve"> is the method used to calculate the amortised cost of a financial asset or liability and of allocating interest over the relevant period. The effective interest rate is the rate that exactly discounts estimated future cash flows through the expected life of the financial instrument or, where appropriate, a shorter period.</w:t>
      </w:r>
    </w:p>
    <w:p w14:paraId="7568AD57" w14:textId="2F09CCA7" w:rsidR="00CE75D4" w:rsidRDefault="00CE75D4" w:rsidP="008340C1">
      <w:pPr>
        <w:pStyle w:val="ARfinbody"/>
      </w:pPr>
      <w:r>
        <w:rPr>
          <w:rStyle w:val="Strong"/>
        </w:rPr>
        <w:t>Employee benefits expenses</w:t>
      </w:r>
      <w:r>
        <w:t xml:space="preserve"> includes all costs related to employment including salaries and wages, leave entitlements, redundancy payments, defined benefits superannuation plans, and defined contribution superannuation plans.</w:t>
      </w:r>
    </w:p>
    <w:p w14:paraId="4BCECCB4" w14:textId="77777777" w:rsidR="00CE75D4" w:rsidRDefault="00CE75D4" w:rsidP="008340C1">
      <w:pPr>
        <w:pStyle w:val="ARfinbody"/>
      </w:pPr>
      <w:r>
        <w:rPr>
          <w:rStyle w:val="Strong"/>
        </w:rPr>
        <w:t>Ex-gratia expenses</w:t>
      </w:r>
      <w:r>
        <w:t xml:space="preserve"> mean the voluntary payment of money or other non-monetary benefit (for example a write off) that is not made either to acquire goods, services or other benefits for the entity or to meet a legal liability, or to settle or resolve a possible legal liability or claim against the entity.</w:t>
      </w:r>
    </w:p>
    <w:p w14:paraId="578FF705" w14:textId="77777777" w:rsidR="00CE75D4" w:rsidRDefault="00CE75D4" w:rsidP="008340C1">
      <w:pPr>
        <w:pStyle w:val="ARfinbody"/>
      </w:pPr>
      <w:r>
        <w:rPr>
          <w:rStyle w:val="Strong"/>
        </w:rPr>
        <w:t>Finance lease</w:t>
      </w:r>
      <w:r>
        <w:t xml:space="preserve"> is a lease that transfers substantially all the risks and rewards incidental to ownership of an underlying asset.</w:t>
      </w:r>
    </w:p>
    <w:p w14:paraId="49046EA8" w14:textId="77777777" w:rsidR="00CE75D4" w:rsidRDefault="00CE75D4" w:rsidP="008340C1">
      <w:pPr>
        <w:pStyle w:val="ARfinbody"/>
      </w:pPr>
      <w:r>
        <w:rPr>
          <w:rStyle w:val="Strong"/>
        </w:rPr>
        <w:t>Financial asset</w:t>
      </w:r>
      <w:r>
        <w:t xml:space="preserve"> is any asset that is:</w:t>
      </w:r>
    </w:p>
    <w:p w14:paraId="4A15F5D4" w14:textId="77777777" w:rsidR="00CE75D4" w:rsidRPr="007A5FA8" w:rsidRDefault="00CE75D4" w:rsidP="00817CFB">
      <w:pPr>
        <w:pStyle w:val="ARfinnumberalpha1"/>
        <w:numPr>
          <w:ilvl w:val="0"/>
          <w:numId w:val="35"/>
        </w:numPr>
      </w:pPr>
      <w:r>
        <w:t>ca</w:t>
      </w:r>
      <w:r w:rsidRPr="007A5FA8">
        <w:t>sh</w:t>
      </w:r>
    </w:p>
    <w:p w14:paraId="478494D7" w14:textId="77777777" w:rsidR="00CE75D4" w:rsidRPr="007A5FA8" w:rsidRDefault="00CE75D4" w:rsidP="00CE75D4">
      <w:pPr>
        <w:pStyle w:val="ARfinnumberalpha1"/>
      </w:pPr>
      <w:r w:rsidRPr="007A5FA8">
        <w:t>an equity instrument of another entity</w:t>
      </w:r>
    </w:p>
    <w:p w14:paraId="444ED93E" w14:textId="77777777" w:rsidR="00CE75D4" w:rsidRDefault="00CE75D4" w:rsidP="00CE75D4">
      <w:pPr>
        <w:pStyle w:val="ARfinnumberalpha1"/>
      </w:pPr>
      <w:r w:rsidRPr="007A5FA8">
        <w:t>a contract</w:t>
      </w:r>
      <w:r>
        <w:t>ual or statutory right:</w:t>
      </w:r>
    </w:p>
    <w:p w14:paraId="1FF0F0E6" w14:textId="77777777" w:rsidR="00CE75D4" w:rsidRDefault="00CE75D4" w:rsidP="00817CFB">
      <w:pPr>
        <w:pStyle w:val="ARfinbullet2"/>
        <w:numPr>
          <w:ilvl w:val="1"/>
          <w:numId w:val="31"/>
        </w:numPr>
        <w:textAlignment w:val="auto"/>
      </w:pPr>
      <w:r>
        <w:t>to receive cash or another financial asset from another entity, or</w:t>
      </w:r>
    </w:p>
    <w:p w14:paraId="79566511" w14:textId="77777777" w:rsidR="00CE75D4" w:rsidRDefault="00CE75D4" w:rsidP="00817CFB">
      <w:pPr>
        <w:pStyle w:val="ARfinbullet2"/>
        <w:numPr>
          <w:ilvl w:val="1"/>
          <w:numId w:val="31"/>
        </w:numPr>
        <w:textAlignment w:val="auto"/>
      </w:pPr>
      <w:r>
        <w:t>to exchange financial assets or financial liabilities with another entity under conditions that are potentially favourable to the entity, or</w:t>
      </w:r>
    </w:p>
    <w:p w14:paraId="02704241" w14:textId="77777777" w:rsidR="00CE75D4" w:rsidRDefault="00CE75D4" w:rsidP="00CE75D4">
      <w:pPr>
        <w:pStyle w:val="ARfinnumberalpha1"/>
      </w:pPr>
      <w:r>
        <w:t>a contract that will or may be settled in the entity’s own equity instruments and is:</w:t>
      </w:r>
    </w:p>
    <w:p w14:paraId="27AA5B81" w14:textId="77777777" w:rsidR="00CE75D4" w:rsidRDefault="00CE75D4" w:rsidP="00817CFB">
      <w:pPr>
        <w:pStyle w:val="ARfinbullet2"/>
        <w:numPr>
          <w:ilvl w:val="1"/>
          <w:numId w:val="31"/>
        </w:numPr>
        <w:textAlignment w:val="auto"/>
      </w:pPr>
      <w:r>
        <w:t>a non-derivative for which the entity is or may be obliged to receive a variable number of the entity’s own equity instruments, or</w:t>
      </w:r>
    </w:p>
    <w:p w14:paraId="4D853DEE" w14:textId="77777777" w:rsidR="00CE75D4" w:rsidRDefault="00CE75D4" w:rsidP="00817CFB">
      <w:pPr>
        <w:pStyle w:val="ARfinbullet2"/>
        <w:numPr>
          <w:ilvl w:val="1"/>
          <w:numId w:val="31"/>
        </w:numPr>
        <w:textAlignment w:val="auto"/>
      </w:pPr>
      <w:r>
        <w:t>a derivative that will or may be settled other than by the exchange of a fixed amount of cash or another financial asset for a fixed number of the entity’s own equity instruments.</w:t>
      </w:r>
    </w:p>
    <w:p w14:paraId="0BA5AAAE" w14:textId="77777777" w:rsidR="00CE75D4" w:rsidRDefault="00CE75D4" w:rsidP="008340C1">
      <w:pPr>
        <w:pStyle w:val="ARfinbody"/>
      </w:pPr>
      <w:r>
        <w:rPr>
          <w:rStyle w:val="Strong"/>
        </w:rPr>
        <w:t>Financial instrument</w:t>
      </w:r>
      <w:r>
        <w:t xml:space="preserve"> is any contract that gives rise to a financial asset of one entity and a financial liability or equity instrument of another entity.</w:t>
      </w:r>
    </w:p>
    <w:p w14:paraId="6D91992B" w14:textId="77777777" w:rsidR="00CE75D4" w:rsidRDefault="00CE75D4" w:rsidP="008340C1">
      <w:pPr>
        <w:pStyle w:val="ARfinbody"/>
      </w:pPr>
      <w:r>
        <w:rPr>
          <w:rStyle w:val="Strong"/>
        </w:rPr>
        <w:t>Financial liability</w:t>
      </w:r>
      <w:r>
        <w:t xml:space="preserve"> is any liability that is:</w:t>
      </w:r>
    </w:p>
    <w:p w14:paraId="05ADFD29" w14:textId="77777777" w:rsidR="00CE75D4" w:rsidRDefault="00CE75D4" w:rsidP="00817CFB">
      <w:pPr>
        <w:pStyle w:val="ARfinnumberalpha1"/>
        <w:numPr>
          <w:ilvl w:val="0"/>
          <w:numId w:val="36"/>
        </w:numPr>
      </w:pPr>
      <w:r>
        <w:t>a contractual or statutory obligation:</w:t>
      </w:r>
    </w:p>
    <w:p w14:paraId="7ED5CF01" w14:textId="77777777" w:rsidR="00CE75D4" w:rsidRPr="007A5FA8" w:rsidRDefault="00CE75D4" w:rsidP="008340C1">
      <w:pPr>
        <w:pStyle w:val="ARfinbullet2"/>
      </w:pPr>
      <w:r>
        <w:t>to de</w:t>
      </w:r>
      <w:r w:rsidRPr="007A5FA8">
        <w:t>liver cash or another financial asset to another entity, or</w:t>
      </w:r>
    </w:p>
    <w:p w14:paraId="6B7353A5" w14:textId="77777777" w:rsidR="00CE75D4" w:rsidRDefault="00CE75D4" w:rsidP="008340C1">
      <w:pPr>
        <w:pStyle w:val="ARfinbullet2"/>
      </w:pPr>
      <w:r w:rsidRPr="007A5FA8">
        <w:t>to exchan</w:t>
      </w:r>
      <w:r>
        <w:t>ge financial assets or financial liabilities with another entity under conditions that are potentially unfavourable to the entity, or</w:t>
      </w:r>
    </w:p>
    <w:p w14:paraId="425CCB91" w14:textId="77777777" w:rsidR="00CE75D4" w:rsidRDefault="00CE75D4" w:rsidP="00CE75D4">
      <w:pPr>
        <w:pStyle w:val="ARfinnumberalpha1"/>
      </w:pPr>
      <w:r>
        <w:t>a contract that will or may be settled in the entity’s own equity instruments and is:</w:t>
      </w:r>
    </w:p>
    <w:p w14:paraId="7CFA3F6E" w14:textId="77777777" w:rsidR="00CE75D4" w:rsidRPr="007A5FA8" w:rsidRDefault="00CE75D4" w:rsidP="008340C1">
      <w:pPr>
        <w:pStyle w:val="ARfinbullet2"/>
      </w:pPr>
      <w:r>
        <w:t>a non-derivative for which the entity is or may be obliged to deliver a variable number of the entity’s own equity instru</w:t>
      </w:r>
      <w:r w:rsidRPr="007A5FA8">
        <w:t>ments, or</w:t>
      </w:r>
    </w:p>
    <w:p w14:paraId="27606349" w14:textId="77777777" w:rsidR="00CE75D4" w:rsidRPr="00B449F5" w:rsidRDefault="00CE75D4" w:rsidP="008340C1">
      <w:pPr>
        <w:pStyle w:val="ARfinbullet2"/>
      </w:pPr>
      <w:r w:rsidRPr="007A5FA8">
        <w:t xml:space="preserve">a derivative that will or may be settled other than by the exchange of a fixed amount of cash or another financial asset for a </w:t>
      </w:r>
      <w:r>
        <w:t>fixed number of the entity’s own equity instruments. For this purpose, the entity’s own equity instruments do not include instruments that are themselves contracts for the future receipt or delivery of the entity’s own equity instruments.</w:t>
      </w:r>
      <w:r w:rsidRPr="00B449F5">
        <w:br w:type="page"/>
      </w:r>
    </w:p>
    <w:p w14:paraId="37CDB8D1" w14:textId="77777777" w:rsidR="00CE75D4" w:rsidRPr="0040433B" w:rsidRDefault="00CE75D4" w:rsidP="008340C1">
      <w:pPr>
        <w:pStyle w:val="ARfinbody"/>
      </w:pPr>
      <w:r>
        <w:rPr>
          <w:rStyle w:val="Strong"/>
        </w:rPr>
        <w:t>Financial statements</w:t>
      </w:r>
      <w:r w:rsidRPr="0040433B">
        <w:t xml:space="preserve"> comprise:</w:t>
      </w:r>
    </w:p>
    <w:p w14:paraId="6A3806D6" w14:textId="77777777" w:rsidR="00CE75D4" w:rsidRPr="007A5FA8" w:rsidRDefault="00CE75D4" w:rsidP="00817CFB">
      <w:pPr>
        <w:pStyle w:val="ARfinnumberalpha1"/>
        <w:numPr>
          <w:ilvl w:val="0"/>
          <w:numId w:val="37"/>
        </w:numPr>
      </w:pPr>
      <w:r>
        <w:t>a ba</w:t>
      </w:r>
      <w:r w:rsidRPr="007A5FA8">
        <w:t>lance sheet as at the end of the year</w:t>
      </w:r>
    </w:p>
    <w:p w14:paraId="026B2294" w14:textId="77777777" w:rsidR="00CE75D4" w:rsidRPr="007A5FA8" w:rsidRDefault="00CE75D4" w:rsidP="00CE75D4">
      <w:pPr>
        <w:pStyle w:val="ARfinnumberalpha1"/>
      </w:pPr>
      <w:r w:rsidRPr="007A5FA8">
        <w:t>a comprehensive operating statement for the year</w:t>
      </w:r>
    </w:p>
    <w:p w14:paraId="631A2B48" w14:textId="77777777" w:rsidR="00CE75D4" w:rsidRPr="007A5FA8" w:rsidRDefault="00CE75D4" w:rsidP="00CE75D4">
      <w:pPr>
        <w:pStyle w:val="ARfinnumberalpha1"/>
      </w:pPr>
      <w:r w:rsidRPr="007A5FA8">
        <w:t>a statement of changes in equity for the year</w:t>
      </w:r>
    </w:p>
    <w:p w14:paraId="7DFB46BE" w14:textId="77777777" w:rsidR="00CE75D4" w:rsidRPr="007A5FA8" w:rsidRDefault="00CE75D4" w:rsidP="00CE75D4">
      <w:pPr>
        <w:pStyle w:val="ARfinnumberalpha1"/>
      </w:pPr>
      <w:r w:rsidRPr="007A5FA8">
        <w:t>a statement of cash flows for the year</w:t>
      </w:r>
    </w:p>
    <w:p w14:paraId="2BD5D2D9" w14:textId="77777777" w:rsidR="00CE75D4" w:rsidRPr="007A5FA8" w:rsidRDefault="00CE75D4" w:rsidP="00CE75D4">
      <w:pPr>
        <w:pStyle w:val="ARfinnumberalpha1"/>
      </w:pPr>
      <w:r w:rsidRPr="007A5FA8">
        <w:t>notes comprising a summary of significant accounting policies and other explanatory information</w:t>
      </w:r>
    </w:p>
    <w:p w14:paraId="450690FE" w14:textId="77777777" w:rsidR="00CE75D4" w:rsidRPr="007A5FA8" w:rsidRDefault="00CE75D4" w:rsidP="00CE75D4">
      <w:pPr>
        <w:pStyle w:val="ARfinnumberalpha1"/>
      </w:pPr>
      <w:r w:rsidRPr="007A5FA8">
        <w:t xml:space="preserve">comparative information in respect of the preceding year as specified in paragraphs 38 of AASB 101 </w:t>
      </w:r>
      <w:r w:rsidRPr="00684E1C">
        <w:rPr>
          <w:rStyle w:val="Emphasis"/>
        </w:rPr>
        <w:t>Presentation of Financial Statements</w:t>
      </w:r>
    </w:p>
    <w:p w14:paraId="27F54906" w14:textId="77777777" w:rsidR="00CE75D4" w:rsidRDefault="00CE75D4" w:rsidP="00CE75D4">
      <w:pPr>
        <w:pStyle w:val="ARfinnumberalpha1"/>
      </w:pPr>
      <w:r w:rsidRPr="007A5FA8">
        <w:t>a balance sheet as at the beginning of the preceding year when an entity applies an accounting policy retrospectively or makes a retrosp</w:t>
      </w:r>
      <w:r>
        <w:t>ective restatement of items in its financial statements, or when it reclassifies items in its financial statements in accordance with paragraph 41 of AASB 101.</w:t>
      </w:r>
    </w:p>
    <w:p w14:paraId="07FF427A" w14:textId="77777777" w:rsidR="00CE75D4" w:rsidRDefault="00CE75D4" w:rsidP="008340C1">
      <w:pPr>
        <w:pStyle w:val="ARfinbody"/>
      </w:pPr>
      <w:r>
        <w:rPr>
          <w:rStyle w:val="Strong"/>
        </w:rPr>
        <w:t>Grants and other expense transfers</w:t>
      </w:r>
      <w:r>
        <w:t xml:space="preserve"> are transactions in which one unit provides goods, services, assets (or extinguishes a liability) or labour to another unit without receiving approximately equal value in return. Grants can either be operating or capital in nature.</w:t>
      </w:r>
    </w:p>
    <w:p w14:paraId="66A5E6E2" w14:textId="77777777" w:rsidR="00CE75D4" w:rsidRDefault="00CE75D4" w:rsidP="008340C1">
      <w:pPr>
        <w:pStyle w:val="ARfinbody"/>
      </w:pPr>
      <w:r>
        <w:t>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w:t>
      </w:r>
    </w:p>
    <w:p w14:paraId="05975E85" w14:textId="77777777" w:rsidR="00CE75D4" w:rsidRDefault="00CE75D4" w:rsidP="008340C1">
      <w:pPr>
        <w:pStyle w:val="ARfinbody"/>
      </w:pPr>
      <w: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1B11D5CE" w14:textId="77777777" w:rsidR="00CE75D4" w:rsidRDefault="00CE75D4" w:rsidP="008340C1">
      <w:pPr>
        <w:pStyle w:val="ARfinbody"/>
      </w:pPr>
      <w:r>
        <w:rPr>
          <w:rStyle w:val="Strong"/>
        </w:rPr>
        <w:t>General government sector</w:t>
      </w:r>
      <w: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1644103D" w14:textId="77777777" w:rsidR="00CE75D4" w:rsidRDefault="00CE75D4" w:rsidP="008340C1">
      <w:pPr>
        <w:pStyle w:val="ARfinbody"/>
      </w:pPr>
      <w:r>
        <w:rPr>
          <w:rStyle w:val="Strong"/>
        </w:rPr>
        <w:t>Grants for on-passing</w:t>
      </w:r>
      <w:r>
        <w:t xml:space="preserve"> are grants paid to one institutional sector (for example a state general government entity) to be passed on to another institutional sector (for example local government or a private non-profit institution).</w:t>
      </w:r>
    </w:p>
    <w:p w14:paraId="4C2FA3D0" w14:textId="77777777" w:rsidR="00CE75D4" w:rsidRDefault="00CE75D4" w:rsidP="008340C1">
      <w:pPr>
        <w:pStyle w:val="ARfinbody"/>
      </w:pPr>
      <w:r>
        <w:rPr>
          <w:rStyle w:val="Strong"/>
        </w:rPr>
        <w:t>Intangible assets</w:t>
      </w:r>
      <w:r>
        <w:t xml:space="preserve"> represent identifiable non-monetary assets without physical substance.</w:t>
      </w:r>
    </w:p>
    <w:p w14:paraId="5AAC507B" w14:textId="77777777" w:rsidR="00CE75D4" w:rsidRDefault="00CE75D4" w:rsidP="008340C1">
      <w:pPr>
        <w:pStyle w:val="ARfinbody"/>
      </w:pPr>
      <w:r>
        <w:rPr>
          <w:rStyle w:val="Strong"/>
        </w:rPr>
        <w:t>Interest expense</w:t>
      </w:r>
      <w:r>
        <w:t xml:space="preserve"> represents costs incurred in connection with borrowings. It includes interest on advances, loans, overdrafts, bonds and bills, deposits, interest components of lease repayments, service concession financial liabilities and amortisation of discounts or premiums in relation to borrowings.</w:t>
      </w:r>
    </w:p>
    <w:p w14:paraId="1F986A6F" w14:textId="77777777" w:rsidR="00CE75D4" w:rsidRDefault="00CE75D4" w:rsidP="008340C1">
      <w:pPr>
        <w:pStyle w:val="ARfinbody"/>
      </w:pPr>
      <w:r>
        <w:rPr>
          <w:rStyle w:val="Strong"/>
        </w:rPr>
        <w:t>Interest income</w:t>
      </w:r>
      <w:r>
        <w:t xml:space="preserve"> includes unwinding over time of discounts on financial assets and interest received on bank term deposits and other investments.</w:t>
      </w:r>
    </w:p>
    <w:p w14:paraId="3537DF72" w14:textId="77777777" w:rsidR="00CE75D4" w:rsidRDefault="00CE75D4" w:rsidP="008340C1">
      <w:pPr>
        <w:pStyle w:val="ARfinbody"/>
      </w:pPr>
      <w:r>
        <w:rPr>
          <w:rStyle w:val="Strong"/>
        </w:rPr>
        <w:t>Investment properties</w:t>
      </w:r>
      <w:r>
        <w:t xml:space="preserve"> are properties held to earn rentals or for capital appreciation or both. Investment properties exclude properties held to meet service delivery objectives of the State of Victoria.</w:t>
      </w:r>
    </w:p>
    <w:p w14:paraId="3B83D7F4" w14:textId="77777777" w:rsidR="00CE75D4" w:rsidRDefault="00CE75D4" w:rsidP="008340C1">
      <w:pPr>
        <w:pStyle w:val="ARfinbody"/>
      </w:pPr>
      <w:r>
        <w:rPr>
          <w:rStyle w:val="Strong"/>
        </w:rPr>
        <w:t>Leases</w:t>
      </w:r>
      <w:r>
        <w:t xml:space="preserve"> are rights conveyed in a contract, or part of a contract, to use an asset (the underlying asset) for a period of time in exchange for consideration.</w:t>
      </w:r>
    </w:p>
    <w:p w14:paraId="4C0086AE" w14:textId="2485DC9B" w:rsidR="00CE75D4" w:rsidRDefault="00CE75D4" w:rsidP="008340C1">
      <w:pPr>
        <w:pStyle w:val="ARfinbody"/>
      </w:pPr>
      <w:r>
        <w:rPr>
          <w:rStyle w:val="Strong"/>
        </w:rPr>
        <w:t>Net acquisition of non-financial assets</w:t>
      </w:r>
      <w:r>
        <w:t xml:space="preserve"> (from transactions) is the purchase (and other acquisition) of non-financial assets less sales (or disposals) of non-financial assets less depreciation plus changes in inventories and other movements in non-financial assets. </w:t>
      </w:r>
      <w:r w:rsidR="004F10F5">
        <w:t>It</w:t>
      </w:r>
      <w:r w:rsidR="0362FA70">
        <w:t xml:space="preserve"> </w:t>
      </w:r>
      <w:r w:rsidR="004F10F5">
        <w:t>i</w:t>
      </w:r>
      <w:r>
        <w:t>ncludes only those increases or decreases in non-financial assets resulting from transactions and therefore excludes write offs, impairment write downs and revaluations.</w:t>
      </w:r>
    </w:p>
    <w:p w14:paraId="4B3B8F49" w14:textId="77777777" w:rsidR="00CE75D4" w:rsidRDefault="00CE75D4" w:rsidP="008340C1">
      <w:pPr>
        <w:pStyle w:val="ARfinbody"/>
      </w:pPr>
      <w:r>
        <w:rPr>
          <w:rStyle w:val="Strong"/>
        </w:rPr>
        <w:t>Net financial liabilities</w:t>
      </w:r>
      <w:r>
        <w:t xml:space="preserve"> are calculated as liabilities less financial assets, other than equity in public non-financial corporations (PNFC) and public financial corporations (PFC). This measure is broader than net debt as it includes significant liabilities, other than borrowings (for example accrued employee liabilities such as superannuation and long service leave entitlements). For the PNFC and PFC sectors, it is equal to negative net financial worth.</w:t>
      </w:r>
    </w:p>
    <w:p w14:paraId="46F4C7B3" w14:textId="77777777" w:rsidR="00CE75D4" w:rsidRDefault="00CE75D4" w:rsidP="008340C1">
      <w:pPr>
        <w:pStyle w:val="ARfinbody"/>
      </w:pPr>
      <w:r>
        <w:rPr>
          <w:rStyle w:val="Strong"/>
        </w:rPr>
        <w:t>Net financial worth</w:t>
      </w:r>
      <w: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14:paraId="379DF23F" w14:textId="77777777" w:rsidR="00CE75D4" w:rsidRDefault="00CE75D4" w:rsidP="008340C1">
      <w:pPr>
        <w:pStyle w:val="ARfinbody"/>
      </w:pPr>
      <w:r>
        <w:rPr>
          <w:rStyle w:val="Strong"/>
        </w:rPr>
        <w:t>Net operating balance</w:t>
      </w:r>
      <w:r>
        <w:t xml:space="preserve"> or </w:t>
      </w:r>
      <w:r>
        <w:rPr>
          <w:rStyle w:val="Strong"/>
        </w:rPr>
        <w:t>net result from transactions</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41633B05" w14:textId="77777777" w:rsidR="00CE75D4" w:rsidRDefault="00CE75D4" w:rsidP="008340C1">
      <w:pPr>
        <w:pStyle w:val="ARfinbody"/>
      </w:pPr>
      <w:r>
        <w:rPr>
          <w:rStyle w:val="Strong"/>
        </w:rPr>
        <w:t>Net result</w:t>
      </w:r>
      <w:r>
        <w:t xml:space="preserve">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16DC0A62" w14:textId="77777777" w:rsidR="00CE75D4" w:rsidRDefault="00CE75D4" w:rsidP="008340C1">
      <w:pPr>
        <w:pStyle w:val="ARfinbody"/>
      </w:pPr>
      <w:r>
        <w:rPr>
          <w:rStyle w:val="Strong"/>
        </w:rPr>
        <w:t>Net worth</w:t>
      </w:r>
      <w:r>
        <w:t xml:space="preserve"> is calculated as assets less liabilities, which is an economic measure of wealth.</w:t>
      </w:r>
    </w:p>
    <w:p w14:paraId="128703BB" w14:textId="77777777" w:rsidR="00CE75D4" w:rsidRDefault="00CE75D4" w:rsidP="008340C1">
      <w:pPr>
        <w:pStyle w:val="ARfinbody"/>
      </w:pPr>
      <w:r>
        <w:rPr>
          <w:rStyle w:val="Strong"/>
        </w:rPr>
        <w:t>Non-financial assets</w:t>
      </w:r>
      <w:r>
        <w:t xml:space="preserve"> are all assets that are not financial assets. It includes inventories, land, buildings, plant and equipment, and intangible assets.</w:t>
      </w:r>
    </w:p>
    <w:p w14:paraId="60A6E443" w14:textId="77777777" w:rsidR="00CE75D4" w:rsidRDefault="00CE75D4" w:rsidP="008340C1">
      <w:pPr>
        <w:pStyle w:val="ARfinbody"/>
      </w:pPr>
      <w:r>
        <w:rPr>
          <w:rStyle w:val="Strong"/>
        </w:rPr>
        <w:t>Non-financial public sector</w:t>
      </w:r>
      <w:r>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7D8FDB8B" w14:textId="77777777" w:rsidR="00CE75D4" w:rsidRDefault="00CE75D4" w:rsidP="008340C1">
      <w:pPr>
        <w:pStyle w:val="ARfinbody"/>
      </w:pPr>
      <w:r>
        <w:rPr>
          <w:rStyle w:val="Strong"/>
        </w:rPr>
        <w:t>Non-produced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p>
    <w:p w14:paraId="12E65158" w14:textId="77777777" w:rsidR="00CE75D4" w:rsidRDefault="00CE75D4" w:rsidP="008340C1">
      <w:pPr>
        <w:pStyle w:val="ARfinbody"/>
      </w:pPr>
      <w:r>
        <w:rPr>
          <w:rStyle w:val="Strong"/>
        </w:rPr>
        <w:t>Operating result</w:t>
      </w:r>
      <w:r>
        <w:t xml:space="preserve"> is a measure of financial performance of the operations for the period. It is the net result of items of revenue, gains and expenses (including losses) recognised for the period, excluding those that are classified as ‘other non-owner movements in equity’. Refer also to ‘net result’.</w:t>
      </w:r>
    </w:p>
    <w:p w14:paraId="28CB5B63" w14:textId="70E8ED51" w:rsidR="00CE75D4" w:rsidRDefault="00CE75D4" w:rsidP="008340C1">
      <w:pPr>
        <w:pStyle w:val="ARfinbody"/>
      </w:pPr>
      <w:r>
        <w:rPr>
          <w:rStyle w:val="Strong"/>
        </w:rPr>
        <w:t>Other economic flows included in net result</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actuarial gains and losses arising from defined benefit superannuation plans; fair value changes of financial instruments.</w:t>
      </w:r>
    </w:p>
    <w:p w14:paraId="1C7DA435" w14:textId="77777777" w:rsidR="00CE75D4" w:rsidRDefault="00CE75D4" w:rsidP="008340C1">
      <w:pPr>
        <w:pStyle w:val="ARfinbody"/>
      </w:pPr>
      <w:r>
        <w:rPr>
          <w:rStyle w:val="Strong"/>
        </w:rPr>
        <w:t>Other economic flows – other comprehensive income</w:t>
      </w:r>
      <w:r>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1B11446C" w14:textId="1BE3CAEF" w:rsidR="00CE75D4" w:rsidRDefault="00CE75D4" w:rsidP="008340C1">
      <w:pPr>
        <w:pStyle w:val="ARfinbody"/>
      </w:pPr>
      <w:r>
        <w:rPr>
          <w:rStyle w:val="Strong"/>
        </w:rPr>
        <w:t>Other operating expenses</w:t>
      </w:r>
      <w:r>
        <w:t xml:space="preserve"> generally represent </w:t>
      </w:r>
      <w:r w:rsidR="00A52023">
        <w:t xml:space="preserve">the </w:t>
      </w:r>
      <w:r>
        <w:t>cost of goods sold and the day-to-day running costs, including maintenance costs, incurred in the normal operations of the department.</w:t>
      </w:r>
    </w:p>
    <w:p w14:paraId="007A9B6F" w14:textId="77777777" w:rsidR="00CE75D4" w:rsidRDefault="00CE75D4" w:rsidP="008340C1">
      <w:pPr>
        <w:pStyle w:val="ARfinbody"/>
      </w:pPr>
      <w:r>
        <w:rPr>
          <w:rStyle w:val="Strong"/>
        </w:rPr>
        <w:t>Payables</w:t>
      </w:r>
      <w:r>
        <w:t xml:space="preserve"> include short and long-term accounts payable, grants, taxes and interest payable.</w:t>
      </w:r>
    </w:p>
    <w:p w14:paraId="7AA9ADA3" w14:textId="77777777" w:rsidR="00CE75D4" w:rsidRDefault="00CE75D4" w:rsidP="008340C1">
      <w:pPr>
        <w:pStyle w:val="ARfinbody"/>
      </w:pPr>
      <w:r>
        <w:rPr>
          <w:rStyle w:val="Strong"/>
        </w:rPr>
        <w:t>Produced</w:t>
      </w:r>
      <w:r>
        <w:t xml:space="preserve"> </w:t>
      </w:r>
      <w:r>
        <w:rPr>
          <w:rStyle w:val="Strong"/>
        </w:rPr>
        <w:t>assets</w:t>
      </w:r>
      <w:r>
        <w:t xml:space="preserve"> include buildings, plant and equipment, inventories, cultivated assets and certain intangible assets. Intangible produced assets may include computer software, motion picture films and research and development costs (which do not include the start-up costs associated with capital projects).</w:t>
      </w:r>
    </w:p>
    <w:p w14:paraId="5A774EE2" w14:textId="77777777" w:rsidR="00CE75D4" w:rsidRDefault="00CE75D4" w:rsidP="008340C1">
      <w:pPr>
        <w:pStyle w:val="ARfinbody"/>
      </w:pPr>
      <w:r>
        <w:rPr>
          <w:rStyle w:val="Strong"/>
        </w:rPr>
        <w:t>Public</w:t>
      </w:r>
      <w:r>
        <w:t xml:space="preserve"> </w:t>
      </w:r>
      <w:r>
        <w:rPr>
          <w:rStyle w:val="Strong"/>
        </w:rPr>
        <w:t>financial</w:t>
      </w:r>
      <w:r>
        <w:t xml:space="preserve"> </w:t>
      </w:r>
      <w:r>
        <w:rPr>
          <w:rStyle w:val="Strong"/>
        </w:rPr>
        <w:t>corporations</w:t>
      </w:r>
      <w:r>
        <w:t xml:space="preserve"> are bodies primarily engaged in the provision of financial intermediation services or auxiliary financial services. They are able to incur financial liabilities on their own account (for example by taking deposits, issuing securities or providing insurance services). Estimates are not published for the public financial corporation sector.</w:t>
      </w:r>
    </w:p>
    <w:p w14:paraId="2E1A2578" w14:textId="77777777" w:rsidR="00CE75D4" w:rsidRDefault="00CE75D4" w:rsidP="008340C1">
      <w:pPr>
        <w:pStyle w:val="ARfinbody"/>
      </w:pPr>
      <w:r>
        <w:rPr>
          <w:rStyle w:val="Strong"/>
        </w:rPr>
        <w:t>Public</w:t>
      </w:r>
      <w:r>
        <w:t xml:space="preserve"> </w:t>
      </w:r>
      <w:r>
        <w:rPr>
          <w:rStyle w:val="Strong"/>
        </w:rPr>
        <w:t>non-financial</w:t>
      </w:r>
      <w:r>
        <w:t xml:space="preserve"> </w:t>
      </w:r>
      <w:r>
        <w:rPr>
          <w:rStyle w:val="Strong"/>
        </w:rPr>
        <w:t>corporation</w:t>
      </w:r>
      <w:r>
        <w:t xml:space="preserve"> sector comprises bodies mainly engaged in the production of goods and services (of a non-financial nature) for sale in the market place at prices that aim to recover most of the costs involved (for example water and port authorities). In general, PNFCs are legally distinguishable from the governments which own them.</w:t>
      </w:r>
    </w:p>
    <w:p w14:paraId="3C1C3F9D" w14:textId="77777777" w:rsidR="00CE75D4" w:rsidRDefault="00CE75D4" w:rsidP="008340C1">
      <w:pPr>
        <w:pStyle w:val="ARfinbody"/>
      </w:pPr>
      <w:r>
        <w:rPr>
          <w:rStyle w:val="Strong"/>
        </w:rPr>
        <w:t>Receivables</w:t>
      </w:r>
      <w:r>
        <w:t xml:space="preserve"> includes amounts owing from government through appropriation receivable, short and long-term accounts receivable, accrued investment income, grants, taxes and interest receivable.</w:t>
      </w:r>
    </w:p>
    <w:p w14:paraId="22C14DC4" w14:textId="77777777" w:rsidR="00CE75D4" w:rsidRDefault="00CE75D4" w:rsidP="008340C1">
      <w:pPr>
        <w:pStyle w:val="ARfinbody"/>
      </w:pPr>
      <w:r>
        <w:rPr>
          <w:rStyle w:val="Strong"/>
        </w:rPr>
        <w:t>Rental income and income from services</w:t>
      </w:r>
      <w:r>
        <w:t xml:space="preserve"> includes rental income under operating leases and income from the provision of services.</w:t>
      </w:r>
    </w:p>
    <w:p w14:paraId="6CD128F9" w14:textId="77777777" w:rsidR="00CE75D4" w:rsidRDefault="00CE75D4" w:rsidP="008340C1">
      <w:pPr>
        <w:pStyle w:val="ARfinbody"/>
      </w:pPr>
      <w:r>
        <w:rPr>
          <w:rStyle w:val="Strong"/>
        </w:rPr>
        <w:t>Service Concession Arrangement</w:t>
      </w:r>
      <w:r>
        <w:t xml:space="preserve"> is a contract effective during the reporting period between a grantor and an operator in which:</w:t>
      </w:r>
    </w:p>
    <w:p w14:paraId="2F1DD151" w14:textId="77777777" w:rsidR="00CE75D4" w:rsidRPr="007A5FA8" w:rsidRDefault="00CE75D4" w:rsidP="00817CFB">
      <w:pPr>
        <w:pStyle w:val="ARfinnumberalpha1"/>
        <w:numPr>
          <w:ilvl w:val="0"/>
          <w:numId w:val="38"/>
        </w:numPr>
      </w:pPr>
      <w:r>
        <w:t>the operat</w:t>
      </w:r>
      <w:r w:rsidRPr="007A5FA8">
        <w:t>or has the right of access to the service concession asset (or assets) to provide public services on behalf of the grantor for a specified period of time</w:t>
      </w:r>
    </w:p>
    <w:p w14:paraId="25F3E9D1" w14:textId="77777777" w:rsidR="00CE75D4" w:rsidRPr="007A5FA8" w:rsidRDefault="00CE75D4" w:rsidP="00CE75D4">
      <w:pPr>
        <w:pStyle w:val="ARfinnumberalpha1"/>
      </w:pPr>
      <w:r w:rsidRPr="007A5FA8">
        <w:t>the operator is responsible for at least some of the management of the public services provided through the asset and does not act merely as an agent on behalf of the grantor, and</w:t>
      </w:r>
    </w:p>
    <w:p w14:paraId="195DC527" w14:textId="77777777" w:rsidR="00CE75D4" w:rsidRDefault="00CE75D4" w:rsidP="00CE75D4">
      <w:pPr>
        <w:pStyle w:val="ARfinnumberalpha1"/>
      </w:pPr>
      <w:r w:rsidRPr="007A5FA8">
        <w:t>the operator is com</w:t>
      </w:r>
      <w:r>
        <w:t>pensated for its services over the period of the service concession arrangement.</w:t>
      </w:r>
    </w:p>
    <w:p w14:paraId="3D6134EC" w14:textId="759DECD9" w:rsidR="00CE75D4" w:rsidRDefault="00CE75D4" w:rsidP="008340C1">
      <w:pPr>
        <w:pStyle w:val="ARfinbody"/>
      </w:pPr>
      <w:r>
        <w:rPr>
          <w:rStyle w:val="Strong"/>
        </w:rPr>
        <w:t>Transactions</w:t>
      </w:r>
      <w:r>
        <w:t xml:space="preserve">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w:t>
      </w:r>
      <w:r w:rsidR="00A52023">
        <w:t xml:space="preserve"> </w:t>
      </w:r>
      <w:r>
        <w:t>between the government and taxpayers. Transactions can be in kind (for example assets provided/given free of charge or for nominal consideration) or where the final consideration is cash. In simple terms, transactions arise from the policy decisions of the government.</w:t>
      </w:r>
    </w:p>
    <w:p w14:paraId="55380DB6" w14:textId="77777777" w:rsidR="00CE75D4" w:rsidRPr="002F1F80" w:rsidRDefault="00CE75D4" w:rsidP="008340C1">
      <w:pPr>
        <w:pStyle w:val="ARfinbody"/>
      </w:pPr>
      <w:r w:rsidRPr="002F1F80">
        <w:br w:type="page"/>
      </w:r>
    </w:p>
    <w:p w14:paraId="6272DFFF" w14:textId="77777777" w:rsidR="00CE75D4" w:rsidRDefault="00CE75D4" w:rsidP="008340C1">
      <w:pPr>
        <w:pStyle w:val="Heading4"/>
      </w:pPr>
      <w:bookmarkStart w:id="651" w:name="_Ref112963212"/>
      <w:r>
        <w:rPr>
          <w:lang w:eastAsia="en-AU"/>
        </w:rPr>
        <w:t>9.14 Style conventions</w:t>
      </w:r>
      <w:bookmarkEnd w:id="651"/>
    </w:p>
    <w:p w14:paraId="6C083484" w14:textId="77777777" w:rsidR="00CE75D4" w:rsidRDefault="00CE75D4" w:rsidP="008340C1">
      <w:pPr>
        <w:pStyle w:val="ARfinbody"/>
      </w:pPr>
      <w:r>
        <w:t>Figures in the tables and in the text have been rounded. Discrepancies in tables between totals and sums of components reflect rounding. Percentage variations in all tables are based on the underlying unrounded amounts.</w:t>
      </w:r>
    </w:p>
    <w:p w14:paraId="11D3A7F6" w14:textId="77777777" w:rsidR="00CE75D4" w:rsidRDefault="00CE75D4" w:rsidP="008340C1">
      <w:pPr>
        <w:pStyle w:val="ARfinbody"/>
      </w:pPr>
      <w:r>
        <w:t>The notation used in the tables is as follows:</w:t>
      </w:r>
    </w:p>
    <w:p w14:paraId="7FDF5384" w14:textId="77777777" w:rsidR="00CE75D4" w:rsidRDefault="00CE75D4" w:rsidP="00817CFB">
      <w:pPr>
        <w:pStyle w:val="ARfinbullet1"/>
        <w:numPr>
          <w:ilvl w:val="0"/>
          <w:numId w:val="31"/>
        </w:numPr>
        <w:tabs>
          <w:tab w:val="left" w:pos="1134"/>
        </w:tabs>
        <w:textAlignment w:val="auto"/>
      </w:pPr>
      <w:r>
        <w:t>–</w:t>
      </w:r>
      <w:r>
        <w:tab/>
        <w:t>zero, or rounded to zero</w:t>
      </w:r>
    </w:p>
    <w:p w14:paraId="3593F646" w14:textId="77777777" w:rsidR="00CE75D4" w:rsidRDefault="00CE75D4" w:rsidP="00817CFB">
      <w:pPr>
        <w:pStyle w:val="ARfinbullet1"/>
        <w:numPr>
          <w:ilvl w:val="0"/>
          <w:numId w:val="31"/>
        </w:numPr>
        <w:tabs>
          <w:tab w:val="left" w:pos="1134"/>
        </w:tabs>
        <w:textAlignment w:val="auto"/>
      </w:pPr>
      <w:r>
        <w:t>(xxx.x)</w:t>
      </w:r>
      <w:r>
        <w:tab/>
        <w:t>negative numbers</w:t>
      </w:r>
    </w:p>
    <w:p w14:paraId="085BB6EC" w14:textId="77777777" w:rsidR="00CE75D4" w:rsidRDefault="00CE75D4" w:rsidP="00817CFB">
      <w:pPr>
        <w:pStyle w:val="ARfinbullet1"/>
        <w:numPr>
          <w:ilvl w:val="0"/>
          <w:numId w:val="31"/>
        </w:numPr>
        <w:tabs>
          <w:tab w:val="left" w:pos="1134"/>
        </w:tabs>
        <w:textAlignment w:val="auto"/>
      </w:pPr>
      <w:r>
        <w:t>20xx</w:t>
      </w:r>
      <w:r>
        <w:tab/>
        <w:t>year end</w:t>
      </w:r>
    </w:p>
    <w:p w14:paraId="418526E5" w14:textId="385FD54E" w:rsidR="00CE75D4" w:rsidRDefault="00CE75D4" w:rsidP="00817CFB">
      <w:pPr>
        <w:pStyle w:val="ARfinbullet1"/>
        <w:numPr>
          <w:ilvl w:val="0"/>
          <w:numId w:val="31"/>
        </w:numPr>
        <w:tabs>
          <w:tab w:val="left" w:pos="1134"/>
        </w:tabs>
        <w:textAlignment w:val="auto"/>
      </w:pPr>
      <w:r>
        <w:t>20xx</w:t>
      </w:r>
      <w:r w:rsidR="001F7A0C">
        <w:t>–</w:t>
      </w:r>
      <w:r>
        <w:t>xx</w:t>
      </w:r>
      <w:r>
        <w:tab/>
        <w:t>year period.</w:t>
      </w:r>
    </w:p>
    <w:p w14:paraId="5559106F" w14:textId="349CC768" w:rsidR="00CE75D4" w:rsidRDefault="00CE75D4" w:rsidP="00CE75D4">
      <w:pPr>
        <w:pStyle w:val="ARfinbody"/>
      </w:pPr>
      <w:r>
        <w:t>The financial statements and notes are presented based on the illustration for a government department in the 2021–22 model report for Victorian Government departments. The presentation of other disclosures is generally consistent with the other disclosures made in earlier publications of the department’s annual reports.</w:t>
      </w:r>
    </w:p>
    <w:bookmarkEnd w:id="484"/>
    <w:p w14:paraId="2D9797BB" w14:textId="77777777" w:rsidR="00EF10EA" w:rsidRDefault="00EF10EA" w:rsidP="00EF6835">
      <w:pPr>
        <w:pStyle w:val="ARbody"/>
        <w:sectPr w:rsidR="00EF10EA" w:rsidSect="00CE75D4">
          <w:footnotePr>
            <w:numFmt w:val="lowerLetter"/>
            <w:numRestart w:val="eachPage"/>
          </w:footnotePr>
          <w:endnotePr>
            <w:numFmt w:val="decimal"/>
          </w:endnotePr>
          <w:pgSz w:w="11900" w:h="16840" w:code="9"/>
          <w:pgMar w:top="1531" w:right="1134" w:bottom="851" w:left="1134" w:header="510" w:footer="340" w:gutter="0"/>
          <w:cols w:space="708"/>
          <w:docGrid w:linePitch="299"/>
          <w15:footnoteColumns w:val="1"/>
        </w:sectPr>
      </w:pPr>
    </w:p>
    <w:p w14:paraId="6BE8EE15" w14:textId="77777777" w:rsidR="00EF10EA" w:rsidRDefault="00EF10EA" w:rsidP="00F64D77">
      <w:pPr>
        <w:pStyle w:val="Heading1"/>
        <w:spacing w:after="600"/>
      </w:pPr>
      <w:bookmarkStart w:id="652" w:name="_Toc85121569"/>
      <w:bookmarkStart w:id="653" w:name="_Toc85121635"/>
      <w:bookmarkStart w:id="654" w:name="_Toc102734856"/>
      <w:bookmarkStart w:id="655" w:name="_Toc113702948"/>
      <w:bookmarkStart w:id="656" w:name="Appendices"/>
      <w:r w:rsidRPr="002029AF">
        <w:t>Appendices</w:t>
      </w:r>
      <w:bookmarkEnd w:id="652"/>
      <w:bookmarkEnd w:id="653"/>
      <w:bookmarkEnd w:id="654"/>
      <w:bookmarkEnd w:id="655"/>
    </w:p>
    <w:p w14:paraId="3CB9D994" w14:textId="76E8678A" w:rsidR="00DF7EA0" w:rsidRDefault="00DF7EA0" w:rsidP="003C2A2D">
      <w:pPr>
        <w:pStyle w:val="Heading2"/>
        <w:spacing w:before="0" w:after="120"/>
      </w:pPr>
      <w:bookmarkStart w:id="657" w:name="_Appendix_1:_2021-22"/>
      <w:bookmarkStart w:id="658" w:name="_Appendix_1:_COVID-19"/>
      <w:bookmarkStart w:id="659" w:name="_Toc113702949"/>
      <w:bookmarkEnd w:id="657"/>
      <w:bookmarkEnd w:id="658"/>
      <w:r w:rsidRPr="004A1615">
        <w:t xml:space="preserve">Appendix 1: COVID-19 </w:t>
      </w:r>
      <w:r w:rsidR="003D2F9F" w:rsidRPr="004A1615">
        <w:t xml:space="preserve">in Victoria </w:t>
      </w:r>
      <w:r w:rsidR="006C15A9">
        <w:t>2021–22</w:t>
      </w:r>
      <w:r w:rsidR="003A1AF5" w:rsidRPr="004A1615">
        <w:t xml:space="preserve"> </w:t>
      </w:r>
      <w:r w:rsidR="00F37812" w:rsidRPr="004A1615">
        <w:t>timeline</w:t>
      </w:r>
      <w:bookmarkEnd w:id="659"/>
    </w:p>
    <w:tbl>
      <w:tblPr>
        <w:tblStyle w:val="TableGrid"/>
        <w:tblW w:w="9640" w:type="dxa"/>
        <w:tblLook w:val="06A0" w:firstRow="1" w:lastRow="0" w:firstColumn="1" w:lastColumn="0" w:noHBand="1" w:noVBand="1"/>
      </w:tblPr>
      <w:tblGrid>
        <w:gridCol w:w="562"/>
        <w:gridCol w:w="9078"/>
      </w:tblGrid>
      <w:tr w:rsidR="007F0B48" w:rsidRPr="00C0683E" w14:paraId="2C5FCB00" w14:textId="77777777" w:rsidTr="007E0F79">
        <w:trPr>
          <w:cnfStyle w:val="100000000000" w:firstRow="1" w:lastRow="0" w:firstColumn="0" w:lastColumn="0" w:oddVBand="0" w:evenVBand="0" w:oddHBand="0" w:evenHBand="0" w:firstRowFirstColumn="0" w:firstRowLastColumn="0" w:lastRowFirstColumn="0" w:lastRowLastColumn="0"/>
          <w:tblHeader/>
        </w:trPr>
        <w:tc>
          <w:tcPr>
            <w:tcW w:w="562" w:type="dxa"/>
            <w:noWrap/>
          </w:tcPr>
          <w:p w14:paraId="6664BE0D" w14:textId="507248BE" w:rsidR="007F0B48" w:rsidRPr="00C0683E" w:rsidRDefault="007F0B48" w:rsidP="002F6BDE">
            <w:pPr>
              <w:pStyle w:val="ARtablecolhead"/>
              <w:spacing w:before="0"/>
            </w:pPr>
            <w:r w:rsidRPr="00C0683E">
              <w:t>Da</w:t>
            </w:r>
            <w:r w:rsidR="00672B08">
              <w:t>te</w:t>
            </w:r>
          </w:p>
        </w:tc>
        <w:tc>
          <w:tcPr>
            <w:tcW w:w="9078" w:type="dxa"/>
            <w:noWrap/>
          </w:tcPr>
          <w:p w14:paraId="41DBE7FE" w14:textId="77777777" w:rsidR="007F0B48" w:rsidRPr="00C0683E" w:rsidRDefault="007F0B48" w:rsidP="004C7BEF">
            <w:pPr>
              <w:pStyle w:val="ARtablecolhead"/>
            </w:pPr>
            <w:r w:rsidRPr="00C0683E">
              <w:t>Event</w:t>
            </w:r>
          </w:p>
        </w:tc>
      </w:tr>
      <w:tr w:rsidR="007F0B48" w:rsidRPr="00C0683E" w14:paraId="57EA7267" w14:textId="77777777" w:rsidTr="004C7BEF">
        <w:tc>
          <w:tcPr>
            <w:tcW w:w="9640" w:type="dxa"/>
            <w:gridSpan w:val="2"/>
            <w:noWrap/>
            <w:hideMark/>
          </w:tcPr>
          <w:p w14:paraId="71FB7CAA" w14:textId="77777777" w:rsidR="007F0B48" w:rsidRPr="00C0683E" w:rsidRDefault="007F0B48" w:rsidP="004C7BEF">
            <w:pPr>
              <w:pStyle w:val="ARtablecolourbold"/>
            </w:pPr>
            <w:r w:rsidRPr="00C0683E">
              <w:t>July 2021</w:t>
            </w:r>
          </w:p>
        </w:tc>
      </w:tr>
      <w:tr w:rsidR="007F0B48" w:rsidRPr="00C0683E" w14:paraId="510EB3A1" w14:textId="77777777" w:rsidTr="007E0F79">
        <w:tc>
          <w:tcPr>
            <w:tcW w:w="562" w:type="dxa"/>
            <w:noWrap/>
            <w:hideMark/>
          </w:tcPr>
          <w:p w14:paraId="5833C1F1" w14:textId="7BBBF15B" w:rsidR="007F0B48" w:rsidRPr="00C0683E" w:rsidRDefault="007F0B48" w:rsidP="004C7BEF">
            <w:pPr>
              <w:pStyle w:val="ARtabletext"/>
            </w:pPr>
            <w:r w:rsidRPr="00C0683E">
              <w:t>1</w:t>
            </w:r>
          </w:p>
        </w:tc>
        <w:tc>
          <w:tcPr>
            <w:tcW w:w="9078" w:type="dxa"/>
            <w:noWrap/>
            <w:hideMark/>
          </w:tcPr>
          <w:p w14:paraId="54A4234D" w14:textId="77777777" w:rsidR="007F0B48" w:rsidRPr="00C0683E" w:rsidRDefault="007F0B48" w:rsidP="004C7BEF">
            <w:pPr>
              <w:pStyle w:val="ARtabletext"/>
            </w:pPr>
            <w:r w:rsidRPr="00C0683E">
              <w:t>State of Emergency extended.</w:t>
            </w:r>
          </w:p>
          <w:p w14:paraId="37EB1844" w14:textId="77777777" w:rsidR="007F0B48" w:rsidRPr="00C0683E" w:rsidRDefault="007F0B48" w:rsidP="004C7BEF">
            <w:pPr>
              <w:pStyle w:val="ARtabletext"/>
            </w:pPr>
            <w:r w:rsidRPr="00C0683E">
              <w:t>QR code check-ins mandatory for businesses.</w:t>
            </w:r>
          </w:p>
        </w:tc>
      </w:tr>
      <w:tr w:rsidR="007F0B48" w:rsidRPr="00C0683E" w14:paraId="3FB247F7" w14:textId="77777777" w:rsidTr="007E0F79">
        <w:tc>
          <w:tcPr>
            <w:tcW w:w="562" w:type="dxa"/>
            <w:noWrap/>
            <w:hideMark/>
          </w:tcPr>
          <w:p w14:paraId="3C0E19E8" w14:textId="51D8B328" w:rsidR="007F0B48" w:rsidRPr="00C0683E" w:rsidRDefault="007F0B48" w:rsidP="004C7BEF">
            <w:pPr>
              <w:pStyle w:val="ARtabletext"/>
            </w:pPr>
            <w:r w:rsidRPr="00C0683E">
              <w:t>6</w:t>
            </w:r>
          </w:p>
        </w:tc>
        <w:tc>
          <w:tcPr>
            <w:tcW w:w="9078" w:type="dxa"/>
            <w:noWrap/>
            <w:hideMark/>
          </w:tcPr>
          <w:p w14:paraId="04049AC6" w14:textId="1E1D3D8A" w:rsidR="007F0B48" w:rsidRPr="00C0683E" w:rsidRDefault="007F0B48" w:rsidP="004C7BEF">
            <w:pPr>
              <w:pStyle w:val="ARtabletext"/>
            </w:pPr>
            <w:r w:rsidRPr="00C0683E">
              <w:t>Australian Grand Prix cancelled. The race had previously been postponed to 21 November</w:t>
            </w:r>
            <w:r w:rsidR="001206AF">
              <w:t xml:space="preserve"> 2021</w:t>
            </w:r>
            <w:r w:rsidRPr="00C0683E">
              <w:t>.</w:t>
            </w:r>
          </w:p>
        </w:tc>
      </w:tr>
      <w:tr w:rsidR="007F0B48" w:rsidRPr="00C0683E" w14:paraId="3D6A9915" w14:textId="77777777" w:rsidTr="007E0F79">
        <w:tc>
          <w:tcPr>
            <w:tcW w:w="562" w:type="dxa"/>
            <w:noWrap/>
            <w:hideMark/>
          </w:tcPr>
          <w:p w14:paraId="357FA4C0" w14:textId="015DDA6E" w:rsidR="007F0B48" w:rsidRPr="00C0683E" w:rsidRDefault="007F0B48" w:rsidP="004C7BEF">
            <w:pPr>
              <w:pStyle w:val="ARtabletext"/>
            </w:pPr>
            <w:r w:rsidRPr="00C0683E">
              <w:t>8</w:t>
            </w:r>
          </w:p>
        </w:tc>
        <w:tc>
          <w:tcPr>
            <w:tcW w:w="9078" w:type="dxa"/>
            <w:noWrap/>
            <w:hideMark/>
          </w:tcPr>
          <w:p w14:paraId="7CE0214E" w14:textId="634CB3E9" w:rsidR="007F0B48" w:rsidRPr="00C0683E" w:rsidRDefault="007F0B48" w:rsidP="004C7BEF">
            <w:pPr>
              <w:pStyle w:val="ARtabletext"/>
            </w:pPr>
            <w:r w:rsidRPr="00C0683E">
              <w:t>Restrictions</w:t>
            </w:r>
            <w:r w:rsidR="00505405" w:rsidRPr="00F81169">
              <w:rPr>
                <w:vertAlign w:val="superscript"/>
              </w:rPr>
              <w:t>(</w:t>
            </w:r>
            <w:r w:rsidR="00505405" w:rsidRPr="00F81169">
              <w:rPr>
                <w:rStyle w:val="FootnoteReference"/>
              </w:rPr>
              <w:footnoteReference w:id="55"/>
            </w:r>
            <w:r w:rsidR="00505405" w:rsidRPr="00F81169">
              <w:rPr>
                <w:vertAlign w:val="superscript"/>
              </w:rPr>
              <w:t>)</w:t>
            </w:r>
            <w:r w:rsidRPr="00C0683E">
              <w:t xml:space="preserve"> in metropolitan Melbourne ease further to align with those in regional Victoria.</w:t>
            </w:r>
          </w:p>
        </w:tc>
      </w:tr>
      <w:tr w:rsidR="007F0B48" w:rsidRPr="00C0683E" w14:paraId="39BFBBB9" w14:textId="77777777" w:rsidTr="007E0F79">
        <w:tc>
          <w:tcPr>
            <w:tcW w:w="562" w:type="dxa"/>
            <w:noWrap/>
            <w:hideMark/>
          </w:tcPr>
          <w:p w14:paraId="3D7F9C43" w14:textId="089159B9" w:rsidR="007F0B48" w:rsidRPr="00C0683E" w:rsidRDefault="007F0B48" w:rsidP="004C7BEF">
            <w:pPr>
              <w:pStyle w:val="ARtabletext"/>
            </w:pPr>
            <w:r w:rsidRPr="00C0683E">
              <w:t>11</w:t>
            </w:r>
          </w:p>
        </w:tc>
        <w:tc>
          <w:tcPr>
            <w:tcW w:w="9078" w:type="dxa"/>
            <w:noWrap/>
            <w:hideMark/>
          </w:tcPr>
          <w:p w14:paraId="639A83D0" w14:textId="77777777" w:rsidR="007F0B48" w:rsidRPr="00C0683E" w:rsidRDefault="007F0B48" w:rsidP="004C7BEF">
            <w:pPr>
              <w:pStyle w:val="ARtabletext"/>
            </w:pPr>
            <w:r w:rsidRPr="00C0683E">
              <w:t>Victoria closes its border to NSW and ACT for the second time.</w:t>
            </w:r>
          </w:p>
        </w:tc>
      </w:tr>
      <w:tr w:rsidR="007F0B48" w:rsidRPr="00C0683E" w14:paraId="489BB65E" w14:textId="77777777" w:rsidTr="007E0F79">
        <w:tc>
          <w:tcPr>
            <w:tcW w:w="562" w:type="dxa"/>
            <w:noWrap/>
            <w:hideMark/>
          </w:tcPr>
          <w:p w14:paraId="0B917709" w14:textId="4B2BC4AE" w:rsidR="007F0B48" w:rsidRPr="00C0683E" w:rsidRDefault="007F0B48" w:rsidP="004C7BEF">
            <w:pPr>
              <w:pStyle w:val="ARtabletext"/>
            </w:pPr>
            <w:r w:rsidRPr="00C0683E">
              <w:t>14</w:t>
            </w:r>
          </w:p>
        </w:tc>
        <w:tc>
          <w:tcPr>
            <w:tcW w:w="9078" w:type="dxa"/>
            <w:noWrap/>
            <w:hideMark/>
          </w:tcPr>
          <w:p w14:paraId="66904B0A" w14:textId="5A7A57C8" w:rsidR="007F0B48" w:rsidRPr="00C0683E" w:rsidRDefault="007F0B48" w:rsidP="004C7BEF">
            <w:pPr>
              <w:pStyle w:val="ARtabletext"/>
            </w:pPr>
            <w:r w:rsidRPr="00C0683E">
              <w:t xml:space="preserve">Face masks mandatory indoors (except in your own home) and outdoors if it is not possible to stay 1.5 metres </w:t>
            </w:r>
            <w:r w:rsidR="00316D2D">
              <w:t xml:space="preserve">away </w:t>
            </w:r>
            <w:r w:rsidRPr="00C0683E">
              <w:t>from other people.</w:t>
            </w:r>
          </w:p>
        </w:tc>
      </w:tr>
      <w:tr w:rsidR="007F0B48" w:rsidRPr="00C0683E" w14:paraId="4C01BEDE" w14:textId="77777777" w:rsidTr="007E0F79">
        <w:tc>
          <w:tcPr>
            <w:tcW w:w="562" w:type="dxa"/>
            <w:noWrap/>
            <w:hideMark/>
          </w:tcPr>
          <w:p w14:paraId="18B01808" w14:textId="69252E93" w:rsidR="007F0B48" w:rsidRPr="00C0683E" w:rsidRDefault="007F0B48" w:rsidP="004C7BEF">
            <w:pPr>
              <w:pStyle w:val="ARtabletext"/>
            </w:pPr>
            <w:r w:rsidRPr="00C0683E">
              <w:t>15</w:t>
            </w:r>
          </w:p>
        </w:tc>
        <w:tc>
          <w:tcPr>
            <w:tcW w:w="9078" w:type="dxa"/>
            <w:noWrap/>
            <w:hideMark/>
          </w:tcPr>
          <w:p w14:paraId="3696A341" w14:textId="77777777" w:rsidR="007F0B48" w:rsidRPr="00C0683E" w:rsidRDefault="007F0B48" w:rsidP="004C7BEF">
            <w:pPr>
              <w:pStyle w:val="ARtabletext"/>
            </w:pPr>
            <w:r w:rsidRPr="00C0683E">
              <w:t>Lockdown 5 starts. Five reasons to leave home reinstated.</w:t>
            </w:r>
          </w:p>
        </w:tc>
      </w:tr>
      <w:tr w:rsidR="007F0B48" w:rsidRPr="00C0683E" w14:paraId="271BB9C4" w14:textId="77777777" w:rsidTr="007E0F79">
        <w:tc>
          <w:tcPr>
            <w:tcW w:w="562" w:type="dxa"/>
            <w:noWrap/>
            <w:hideMark/>
          </w:tcPr>
          <w:p w14:paraId="7A0424B6" w14:textId="52789A03" w:rsidR="007F0B48" w:rsidRPr="00C0683E" w:rsidRDefault="007F0B48" w:rsidP="004C7BEF">
            <w:pPr>
              <w:pStyle w:val="ARtabletext"/>
            </w:pPr>
            <w:r w:rsidRPr="00C0683E">
              <w:t>16</w:t>
            </w:r>
          </w:p>
        </w:tc>
        <w:tc>
          <w:tcPr>
            <w:tcW w:w="9078" w:type="dxa"/>
            <w:noWrap/>
            <w:hideMark/>
          </w:tcPr>
          <w:p w14:paraId="0C0140B3" w14:textId="77777777" w:rsidR="007F0B48" w:rsidRPr="00C0683E" w:rsidRDefault="007F0B48" w:rsidP="004C7BEF">
            <w:pPr>
              <w:pStyle w:val="ARtabletext"/>
            </w:pPr>
            <w:r w:rsidRPr="00C0683E">
              <w:t>Freight drivers required to get PCR tests every three days.</w:t>
            </w:r>
          </w:p>
        </w:tc>
      </w:tr>
      <w:tr w:rsidR="007F0B48" w:rsidRPr="00C0683E" w14:paraId="4472A1B9" w14:textId="77777777" w:rsidTr="007E0F79">
        <w:tc>
          <w:tcPr>
            <w:tcW w:w="562" w:type="dxa"/>
            <w:noWrap/>
            <w:hideMark/>
          </w:tcPr>
          <w:p w14:paraId="6DB26A85" w14:textId="1B9B6083" w:rsidR="007F0B48" w:rsidRPr="00C0683E" w:rsidRDefault="007F0B48" w:rsidP="004C7BEF">
            <w:pPr>
              <w:pStyle w:val="ARtabletext"/>
            </w:pPr>
            <w:r w:rsidRPr="00C0683E">
              <w:t>20</w:t>
            </w:r>
          </w:p>
        </w:tc>
        <w:tc>
          <w:tcPr>
            <w:tcW w:w="9078" w:type="dxa"/>
            <w:noWrap/>
            <w:hideMark/>
          </w:tcPr>
          <w:p w14:paraId="70AD53BE" w14:textId="77777777" w:rsidR="007F0B48" w:rsidRPr="00C0683E" w:rsidRDefault="007F0B48" w:rsidP="004C7BEF">
            <w:pPr>
              <w:pStyle w:val="ARtabletext"/>
            </w:pPr>
            <w:r w:rsidRPr="00C0683E">
              <w:t>Issuing of Red Zone Permits paused for two weeks.</w:t>
            </w:r>
          </w:p>
        </w:tc>
      </w:tr>
      <w:tr w:rsidR="007F0B48" w:rsidRPr="00C0683E" w14:paraId="15BEA7DA" w14:textId="77777777" w:rsidTr="007E0F79">
        <w:tc>
          <w:tcPr>
            <w:tcW w:w="562" w:type="dxa"/>
            <w:noWrap/>
            <w:hideMark/>
          </w:tcPr>
          <w:p w14:paraId="7CB3203A" w14:textId="32D23777" w:rsidR="007F0B48" w:rsidRPr="00C0683E" w:rsidRDefault="007F0B48" w:rsidP="004C7BEF">
            <w:pPr>
              <w:pStyle w:val="ARtabletext"/>
            </w:pPr>
            <w:r w:rsidRPr="00C0683E">
              <w:t>23</w:t>
            </w:r>
          </w:p>
        </w:tc>
        <w:tc>
          <w:tcPr>
            <w:tcW w:w="9078" w:type="dxa"/>
            <w:noWrap/>
            <w:hideMark/>
          </w:tcPr>
          <w:p w14:paraId="7EE85218" w14:textId="77777777" w:rsidR="007F0B48" w:rsidRPr="00C0683E" w:rsidRDefault="007F0B48" w:rsidP="004C7BEF">
            <w:pPr>
              <w:pStyle w:val="ARtabletext"/>
            </w:pPr>
            <w:r w:rsidRPr="00C0683E">
              <w:t>All of NSW designated an Extreme Risk Zone. Declaration backdated to 9 July 2021.</w:t>
            </w:r>
          </w:p>
          <w:p w14:paraId="31A25AD4" w14:textId="02BFDA51" w:rsidR="007F0B48" w:rsidRPr="00C0683E" w:rsidRDefault="00A17BE8" w:rsidP="004C7BEF">
            <w:pPr>
              <w:pStyle w:val="ARtabletext"/>
            </w:pPr>
            <w:r>
              <w:t>Three</w:t>
            </w:r>
            <w:r w:rsidR="007F0B48" w:rsidRPr="00C0683E">
              <w:t xml:space="preserve"> million COVID-19 vaccine doses administered by public health services and primary care providers</w:t>
            </w:r>
            <w:r w:rsidR="00FD3683">
              <w:t xml:space="preserve"> since </w:t>
            </w:r>
            <w:r w:rsidR="00795BDF">
              <w:t>vaccination</w:t>
            </w:r>
            <w:r w:rsidR="00FD3683">
              <w:t xml:space="preserve"> began</w:t>
            </w:r>
            <w:r w:rsidR="00795BDF">
              <w:t>.</w:t>
            </w:r>
          </w:p>
          <w:p w14:paraId="3C835773" w14:textId="77777777" w:rsidR="007F0B48" w:rsidRPr="00C0683E" w:rsidRDefault="007F0B48" w:rsidP="004C7BEF">
            <w:pPr>
              <w:pStyle w:val="ARtabletext"/>
            </w:pPr>
            <w:r w:rsidRPr="00C0683E">
              <w:t>50 open-access vaccination centres now open across Victoria.</w:t>
            </w:r>
          </w:p>
        </w:tc>
      </w:tr>
      <w:tr w:rsidR="007F0B48" w:rsidRPr="00C0683E" w14:paraId="1B40EB3A" w14:textId="77777777" w:rsidTr="007E0F79">
        <w:tc>
          <w:tcPr>
            <w:tcW w:w="562" w:type="dxa"/>
            <w:noWrap/>
            <w:hideMark/>
          </w:tcPr>
          <w:p w14:paraId="4E3A1E33" w14:textId="45A69AB6" w:rsidR="007F0B48" w:rsidRPr="00C0683E" w:rsidRDefault="007F0B48" w:rsidP="004C7BEF">
            <w:pPr>
              <w:pStyle w:val="ARtabletext"/>
            </w:pPr>
            <w:r w:rsidRPr="00C0683E">
              <w:t>27</w:t>
            </w:r>
          </w:p>
        </w:tc>
        <w:tc>
          <w:tcPr>
            <w:tcW w:w="9078" w:type="dxa"/>
            <w:noWrap/>
            <w:hideMark/>
          </w:tcPr>
          <w:p w14:paraId="26A579B9" w14:textId="77777777" w:rsidR="007F0B48" w:rsidRPr="00C0683E" w:rsidRDefault="007F0B48" w:rsidP="004C7BEF">
            <w:pPr>
              <w:pStyle w:val="ARtabletext"/>
            </w:pPr>
            <w:r w:rsidRPr="00C0683E">
              <w:t>Lockdown 5 ends. Strict restrictions remain.</w:t>
            </w:r>
          </w:p>
          <w:p w14:paraId="353B76F7" w14:textId="398288AA" w:rsidR="007F0B48" w:rsidRPr="00C0683E" w:rsidRDefault="007F0B48" w:rsidP="004C7BEF">
            <w:pPr>
              <w:pStyle w:val="ARtabletext"/>
            </w:pPr>
            <w:r w:rsidRPr="00C0683E">
              <w:t xml:space="preserve">Four NSW </w:t>
            </w:r>
            <w:r w:rsidR="001206AF">
              <w:t>local government areas</w:t>
            </w:r>
            <w:r w:rsidR="00A17BE8">
              <w:t xml:space="preserve"> (LGAs)</w:t>
            </w:r>
            <w:r w:rsidR="001206AF" w:rsidRPr="00C0683E">
              <w:t xml:space="preserve"> </w:t>
            </w:r>
            <w:r w:rsidRPr="00C0683E">
              <w:t>no longer included in the cross-border bubble.</w:t>
            </w:r>
          </w:p>
          <w:p w14:paraId="454FA384" w14:textId="77777777" w:rsidR="007F0B48" w:rsidRPr="00C0683E" w:rsidRDefault="007F0B48" w:rsidP="004C7BEF">
            <w:pPr>
              <w:pStyle w:val="ARtabletext"/>
            </w:pPr>
            <w:r w:rsidRPr="00C0683E">
              <w:t>People travelling to Victoria’s alpine ski resorts must provide evidence of a negative PCR test result received within 72 hours of their departure.</w:t>
            </w:r>
          </w:p>
        </w:tc>
      </w:tr>
      <w:tr w:rsidR="007F0B48" w:rsidRPr="00C0683E" w14:paraId="49EB645D" w14:textId="77777777" w:rsidTr="004C7BEF">
        <w:tc>
          <w:tcPr>
            <w:tcW w:w="9640" w:type="dxa"/>
            <w:gridSpan w:val="2"/>
            <w:noWrap/>
            <w:hideMark/>
          </w:tcPr>
          <w:p w14:paraId="248CD59B" w14:textId="77777777" w:rsidR="007F0B48" w:rsidRPr="00C0683E" w:rsidRDefault="007F0B48" w:rsidP="004C7BEF">
            <w:pPr>
              <w:pStyle w:val="ARtablecolourbold"/>
            </w:pPr>
            <w:r w:rsidRPr="00C0683E">
              <w:t>August 2021</w:t>
            </w:r>
          </w:p>
        </w:tc>
      </w:tr>
      <w:tr w:rsidR="007F0B48" w:rsidRPr="00C0683E" w14:paraId="2ED807ED" w14:textId="77777777" w:rsidTr="007E0F79">
        <w:tc>
          <w:tcPr>
            <w:tcW w:w="562" w:type="dxa"/>
            <w:noWrap/>
            <w:hideMark/>
          </w:tcPr>
          <w:p w14:paraId="66762172" w14:textId="004A936D" w:rsidR="007F0B48" w:rsidRPr="00C0683E" w:rsidRDefault="007F0B48" w:rsidP="004C7BEF">
            <w:pPr>
              <w:pStyle w:val="ARtabletext"/>
            </w:pPr>
            <w:r w:rsidRPr="00C0683E">
              <w:t>2</w:t>
            </w:r>
          </w:p>
        </w:tc>
        <w:tc>
          <w:tcPr>
            <w:tcW w:w="9078" w:type="dxa"/>
            <w:noWrap/>
            <w:hideMark/>
          </w:tcPr>
          <w:p w14:paraId="5CEDEE33" w14:textId="77777777" w:rsidR="007F0B48" w:rsidRPr="00C0683E" w:rsidRDefault="007F0B48" w:rsidP="004C7BEF">
            <w:pPr>
              <w:pStyle w:val="ARtabletext"/>
            </w:pPr>
            <w:r w:rsidRPr="00C0683E">
              <w:t>Pfizer COVID-19 vaccine interval extended to 6 weeks at state vaccination centres to allow more people to get their first dose.</w:t>
            </w:r>
          </w:p>
        </w:tc>
      </w:tr>
      <w:tr w:rsidR="007F0B48" w:rsidRPr="00C0683E" w14:paraId="2596365C" w14:textId="77777777" w:rsidTr="007E0F79">
        <w:tc>
          <w:tcPr>
            <w:tcW w:w="562" w:type="dxa"/>
            <w:noWrap/>
            <w:hideMark/>
          </w:tcPr>
          <w:p w14:paraId="30B4CA11" w14:textId="48066462" w:rsidR="007F0B48" w:rsidRPr="00C0683E" w:rsidRDefault="007F0B48" w:rsidP="004C7BEF">
            <w:pPr>
              <w:pStyle w:val="ARtabletext"/>
            </w:pPr>
            <w:r w:rsidRPr="00C0683E">
              <w:t>5</w:t>
            </w:r>
          </w:p>
        </w:tc>
        <w:tc>
          <w:tcPr>
            <w:tcW w:w="9078" w:type="dxa"/>
            <w:noWrap/>
            <w:hideMark/>
          </w:tcPr>
          <w:p w14:paraId="22B8C625" w14:textId="3845EEC0" w:rsidR="007F0B48" w:rsidRPr="00C0683E" w:rsidRDefault="007F0B48" w:rsidP="004C7BEF">
            <w:pPr>
              <w:pStyle w:val="ARtabletext"/>
            </w:pPr>
            <w:r w:rsidRPr="00C0683E">
              <w:t>Lockdown 6 starts, Victoria</w:t>
            </w:r>
            <w:r w:rsidR="001206AF">
              <w:t xml:space="preserve"> </w:t>
            </w:r>
            <w:r w:rsidRPr="00C0683E">
              <w:t>wide.</w:t>
            </w:r>
          </w:p>
        </w:tc>
      </w:tr>
      <w:tr w:rsidR="007F0B48" w:rsidRPr="00C0683E" w14:paraId="0E742DBE" w14:textId="77777777" w:rsidTr="007E0F79">
        <w:tc>
          <w:tcPr>
            <w:tcW w:w="562" w:type="dxa"/>
            <w:noWrap/>
            <w:hideMark/>
          </w:tcPr>
          <w:p w14:paraId="0EB034C0" w14:textId="6DE51A3B" w:rsidR="007F0B48" w:rsidRPr="00C0683E" w:rsidRDefault="007F0B48" w:rsidP="004C7BEF">
            <w:pPr>
              <w:pStyle w:val="ARtabletext"/>
            </w:pPr>
            <w:r w:rsidRPr="00C0683E">
              <w:t>9</w:t>
            </w:r>
          </w:p>
        </w:tc>
        <w:tc>
          <w:tcPr>
            <w:tcW w:w="9078" w:type="dxa"/>
            <w:noWrap/>
            <w:hideMark/>
          </w:tcPr>
          <w:p w14:paraId="18E46E9D" w14:textId="77777777" w:rsidR="007F0B48" w:rsidRPr="00C0683E" w:rsidRDefault="007F0B48" w:rsidP="004C7BEF">
            <w:pPr>
              <w:pStyle w:val="ARtabletext"/>
            </w:pPr>
            <w:r w:rsidRPr="00C0683E">
              <w:t>Lockdown 6 lifts for regional Victoria only.</w:t>
            </w:r>
          </w:p>
        </w:tc>
      </w:tr>
      <w:tr w:rsidR="007F0B48" w:rsidRPr="00C0683E" w14:paraId="0A49EEA9" w14:textId="77777777" w:rsidTr="007E0F79">
        <w:tc>
          <w:tcPr>
            <w:tcW w:w="562" w:type="dxa"/>
            <w:noWrap/>
            <w:hideMark/>
          </w:tcPr>
          <w:p w14:paraId="1A0B880D" w14:textId="092C4B83" w:rsidR="007F0B48" w:rsidRPr="00C0683E" w:rsidRDefault="007F0B48" w:rsidP="004C7BEF">
            <w:pPr>
              <w:pStyle w:val="ARtabletext"/>
            </w:pPr>
            <w:r w:rsidRPr="00C0683E">
              <w:t>13</w:t>
            </w:r>
          </w:p>
        </w:tc>
        <w:tc>
          <w:tcPr>
            <w:tcW w:w="9078" w:type="dxa"/>
            <w:noWrap/>
            <w:hideMark/>
          </w:tcPr>
          <w:p w14:paraId="476F0CC6" w14:textId="58F19D5D" w:rsidR="007F0B48" w:rsidRPr="00C0683E" w:rsidRDefault="007F0B48" w:rsidP="004C7BEF">
            <w:pPr>
              <w:pStyle w:val="ARtabletext"/>
            </w:pPr>
            <w:r w:rsidRPr="00C0683E">
              <w:t>Campaign to administer one million doses</w:t>
            </w:r>
            <w:r w:rsidR="00CA38EB">
              <w:t xml:space="preserve"> of COVID-19 vaccinations</w:t>
            </w:r>
            <w:r w:rsidRPr="00C0683E">
              <w:t xml:space="preserve"> in five weeks begins.</w:t>
            </w:r>
          </w:p>
        </w:tc>
      </w:tr>
      <w:tr w:rsidR="007F0B48" w:rsidRPr="00C0683E" w14:paraId="47AC96FF" w14:textId="77777777" w:rsidTr="007E0F79">
        <w:tc>
          <w:tcPr>
            <w:tcW w:w="562" w:type="dxa"/>
            <w:noWrap/>
            <w:hideMark/>
          </w:tcPr>
          <w:p w14:paraId="51557DFE" w14:textId="0359A0A8" w:rsidR="007F0B48" w:rsidRPr="00C0683E" w:rsidRDefault="007F0B48" w:rsidP="004C7BEF">
            <w:pPr>
              <w:pStyle w:val="ARtabletext"/>
            </w:pPr>
            <w:r w:rsidRPr="00C0683E">
              <w:t>16</w:t>
            </w:r>
          </w:p>
        </w:tc>
        <w:tc>
          <w:tcPr>
            <w:tcW w:w="9078" w:type="dxa"/>
            <w:noWrap/>
            <w:hideMark/>
          </w:tcPr>
          <w:p w14:paraId="57CF66BE" w14:textId="1A2E428E" w:rsidR="007F0B48" w:rsidRPr="00C0683E" w:rsidRDefault="007F0B48" w:rsidP="004C7BEF">
            <w:pPr>
              <w:pStyle w:val="ARtabletext"/>
            </w:pPr>
            <w:r w:rsidRPr="00C0683E">
              <w:t xml:space="preserve">People aged 18 to 39 </w:t>
            </w:r>
            <w:r w:rsidR="001353E2">
              <w:t xml:space="preserve">years </w:t>
            </w:r>
            <w:r w:rsidRPr="00C0683E">
              <w:t>become eligible for the AstraZeneca COVID-19 vaccine.</w:t>
            </w:r>
          </w:p>
          <w:p w14:paraId="4AA56F53" w14:textId="77777777" w:rsidR="007F0B48" w:rsidRPr="00C0683E" w:rsidRDefault="007F0B48" w:rsidP="004C7BEF">
            <w:pPr>
              <w:pStyle w:val="ARtabletext"/>
            </w:pPr>
            <w:r w:rsidRPr="00C0683E">
              <w:t>Restrictions strengthened and extended in metropolitan Melbourne. Curfew introduced. Playgrounds closed.</w:t>
            </w:r>
          </w:p>
        </w:tc>
      </w:tr>
      <w:tr w:rsidR="007F0B48" w:rsidRPr="00C0683E" w14:paraId="5CB3AC57" w14:textId="77777777" w:rsidTr="007E0F79">
        <w:tc>
          <w:tcPr>
            <w:tcW w:w="562" w:type="dxa"/>
            <w:noWrap/>
            <w:hideMark/>
          </w:tcPr>
          <w:p w14:paraId="4329984B" w14:textId="20750C20" w:rsidR="007F0B48" w:rsidRPr="00C0683E" w:rsidRDefault="007F0B48" w:rsidP="004C7BEF">
            <w:pPr>
              <w:pStyle w:val="ARtabletext"/>
            </w:pPr>
            <w:r w:rsidRPr="00C0683E">
              <w:t>18</w:t>
            </w:r>
          </w:p>
        </w:tc>
        <w:tc>
          <w:tcPr>
            <w:tcW w:w="9078" w:type="dxa"/>
            <w:noWrap/>
            <w:hideMark/>
          </w:tcPr>
          <w:p w14:paraId="2DC43F0D" w14:textId="77777777" w:rsidR="007F0B48" w:rsidRPr="00C0683E" w:rsidRDefault="007F0B48" w:rsidP="004C7BEF">
            <w:pPr>
              <w:pStyle w:val="ARtabletext"/>
            </w:pPr>
            <w:r w:rsidRPr="00C0683E">
              <w:t xml:space="preserve">Launch of </w:t>
            </w:r>
            <w:r w:rsidRPr="00C0683E">
              <w:rPr>
                <w:i/>
                <w:iCs/>
              </w:rPr>
              <w:t>Only a test can tell</w:t>
            </w:r>
            <w:r w:rsidRPr="00C0683E">
              <w:t xml:space="preserve"> community awareness campaign.</w:t>
            </w:r>
          </w:p>
        </w:tc>
      </w:tr>
      <w:tr w:rsidR="007F0B48" w:rsidRPr="00C0683E" w14:paraId="6CB6B0D7" w14:textId="77777777" w:rsidTr="007E0F79">
        <w:tc>
          <w:tcPr>
            <w:tcW w:w="562" w:type="dxa"/>
            <w:noWrap/>
            <w:hideMark/>
          </w:tcPr>
          <w:p w14:paraId="73E75E8B" w14:textId="455ED8DA" w:rsidR="007F0B48" w:rsidRPr="00C0683E" w:rsidRDefault="007F0B48" w:rsidP="004C7BEF">
            <w:pPr>
              <w:pStyle w:val="ARtabletext"/>
            </w:pPr>
            <w:r w:rsidRPr="00C0683E">
              <w:t>19</w:t>
            </w:r>
          </w:p>
        </w:tc>
        <w:tc>
          <w:tcPr>
            <w:tcW w:w="9078" w:type="dxa"/>
            <w:noWrap/>
            <w:hideMark/>
          </w:tcPr>
          <w:p w14:paraId="0E22EBA4" w14:textId="77777777" w:rsidR="007F0B48" w:rsidRPr="00C0683E" w:rsidRDefault="007F0B48" w:rsidP="004C7BEF">
            <w:pPr>
              <w:pStyle w:val="ARtabletext"/>
            </w:pPr>
            <w:r w:rsidRPr="00C0683E">
              <w:t>Melbourne marks 200 days of lockdown since the start of the pandemic.</w:t>
            </w:r>
          </w:p>
        </w:tc>
      </w:tr>
      <w:tr w:rsidR="007F0B48" w:rsidRPr="00C0683E" w14:paraId="07F646D1" w14:textId="77777777" w:rsidTr="007E0F79">
        <w:tc>
          <w:tcPr>
            <w:tcW w:w="562" w:type="dxa"/>
            <w:noWrap/>
            <w:hideMark/>
          </w:tcPr>
          <w:p w14:paraId="37AB2623" w14:textId="62B209FF" w:rsidR="007F0B48" w:rsidRPr="00C0683E" w:rsidRDefault="007F0B48" w:rsidP="004C7BEF">
            <w:pPr>
              <w:pStyle w:val="ARtabletext"/>
            </w:pPr>
            <w:r w:rsidRPr="00C0683E">
              <w:t>21</w:t>
            </w:r>
          </w:p>
        </w:tc>
        <w:tc>
          <w:tcPr>
            <w:tcW w:w="9078" w:type="dxa"/>
            <w:noWrap/>
            <w:hideMark/>
          </w:tcPr>
          <w:p w14:paraId="3BE2D446" w14:textId="77777777" w:rsidR="007F0B48" w:rsidRPr="00C0683E" w:rsidRDefault="007F0B48" w:rsidP="004C7BEF">
            <w:pPr>
              <w:pStyle w:val="ARtabletext"/>
            </w:pPr>
            <w:r w:rsidRPr="00C0683E">
              <w:t>Lockdown restrictions re-extended to regional Victoria. Restrictions align with those in Melbourne, with no curfew.</w:t>
            </w:r>
          </w:p>
        </w:tc>
      </w:tr>
      <w:tr w:rsidR="007F0B48" w:rsidRPr="00C0683E" w14:paraId="66C86497" w14:textId="77777777" w:rsidTr="007E0F79">
        <w:tc>
          <w:tcPr>
            <w:tcW w:w="562" w:type="dxa"/>
            <w:noWrap/>
            <w:hideMark/>
          </w:tcPr>
          <w:p w14:paraId="0E077B0C" w14:textId="63365D91" w:rsidR="007F0B48" w:rsidRPr="00C0683E" w:rsidRDefault="007F0B48" w:rsidP="004C7BEF">
            <w:pPr>
              <w:pStyle w:val="ARtabletext"/>
            </w:pPr>
            <w:r w:rsidRPr="00C0683E">
              <w:t>25</w:t>
            </w:r>
          </w:p>
        </w:tc>
        <w:tc>
          <w:tcPr>
            <w:tcW w:w="9078" w:type="dxa"/>
            <w:noWrap/>
            <w:hideMark/>
          </w:tcPr>
          <w:p w14:paraId="50083AE6" w14:textId="16659757" w:rsidR="007F0B48" w:rsidRPr="00C0683E" w:rsidRDefault="007F0B48" w:rsidP="004C7BEF">
            <w:pPr>
              <w:pStyle w:val="ARtabletext"/>
            </w:pPr>
            <w:r w:rsidRPr="00C0683E">
              <w:t xml:space="preserve">Vaccine eligibility expands to anyone aged 16 </w:t>
            </w:r>
            <w:r w:rsidR="00CA38EB">
              <w:t xml:space="preserve">years </w:t>
            </w:r>
            <w:r w:rsidRPr="00C0683E">
              <w:t>and over.</w:t>
            </w:r>
          </w:p>
        </w:tc>
      </w:tr>
      <w:tr w:rsidR="007F0B48" w:rsidRPr="00C0683E" w14:paraId="004DC66E" w14:textId="77777777" w:rsidTr="004C7BEF">
        <w:tc>
          <w:tcPr>
            <w:tcW w:w="9640" w:type="dxa"/>
            <w:gridSpan w:val="2"/>
            <w:noWrap/>
            <w:hideMark/>
          </w:tcPr>
          <w:p w14:paraId="30C7E94C" w14:textId="3C0753B0" w:rsidR="007F0B48" w:rsidRPr="00C0683E" w:rsidRDefault="007F0B48" w:rsidP="00A64849">
            <w:pPr>
              <w:pStyle w:val="ARtablecolourbold"/>
              <w:pageBreakBefore/>
            </w:pPr>
            <w:r w:rsidRPr="00C0683E">
              <w:t>September 2021</w:t>
            </w:r>
          </w:p>
        </w:tc>
      </w:tr>
      <w:tr w:rsidR="007F0B48" w:rsidRPr="00C0683E" w14:paraId="67E86265" w14:textId="77777777" w:rsidTr="007E0F79">
        <w:tc>
          <w:tcPr>
            <w:tcW w:w="562" w:type="dxa"/>
            <w:noWrap/>
            <w:hideMark/>
          </w:tcPr>
          <w:p w14:paraId="42C217D1" w14:textId="37B06D07" w:rsidR="007F0B48" w:rsidRPr="00C0683E" w:rsidRDefault="007F0B48" w:rsidP="004C7BEF">
            <w:pPr>
              <w:pStyle w:val="ARtabletext"/>
            </w:pPr>
            <w:r w:rsidRPr="00C0683E">
              <w:t>1</w:t>
            </w:r>
          </w:p>
        </w:tc>
        <w:tc>
          <w:tcPr>
            <w:tcW w:w="9078" w:type="dxa"/>
            <w:noWrap/>
            <w:hideMark/>
          </w:tcPr>
          <w:p w14:paraId="2B188D10" w14:textId="77777777" w:rsidR="007F0B48" w:rsidRPr="00C0683E" w:rsidRDefault="007F0B48" w:rsidP="004C7BEF">
            <w:pPr>
              <w:pStyle w:val="ARtabletext"/>
            </w:pPr>
            <w:r w:rsidRPr="00C0683E">
              <w:t>Announcement that current lockdown restrictions will remain in place until 70 per cent of eligible Victorians have had at least one dose of a COVID-19 vaccine.</w:t>
            </w:r>
          </w:p>
        </w:tc>
      </w:tr>
      <w:tr w:rsidR="007F0B48" w:rsidRPr="00C0683E" w14:paraId="5D702372" w14:textId="77777777" w:rsidTr="007E0F79">
        <w:tc>
          <w:tcPr>
            <w:tcW w:w="562" w:type="dxa"/>
            <w:noWrap/>
            <w:hideMark/>
          </w:tcPr>
          <w:p w14:paraId="5913B6C0" w14:textId="065367DC" w:rsidR="007F0B48" w:rsidRPr="00C0683E" w:rsidRDefault="007F0B48" w:rsidP="004C7BEF">
            <w:pPr>
              <w:pStyle w:val="ARtabletext"/>
            </w:pPr>
            <w:r w:rsidRPr="00C0683E">
              <w:t>2</w:t>
            </w:r>
          </w:p>
        </w:tc>
        <w:tc>
          <w:tcPr>
            <w:tcW w:w="9078" w:type="dxa"/>
            <w:noWrap/>
            <w:hideMark/>
          </w:tcPr>
          <w:p w14:paraId="6456B977" w14:textId="632E56F0" w:rsidR="007F0B48" w:rsidRPr="00C0683E" w:rsidRDefault="007F0B48" w:rsidP="004C7BEF">
            <w:pPr>
              <w:pStyle w:val="ARtabletext"/>
            </w:pPr>
            <w:r w:rsidRPr="00C0683E">
              <w:t>Six Victorian LGAs and two NSW LGAs no longer defined as cross-border communities.</w:t>
            </w:r>
          </w:p>
          <w:p w14:paraId="6E1602A3" w14:textId="77777777" w:rsidR="007F0B48" w:rsidRPr="00C0683E" w:rsidRDefault="007F0B48" w:rsidP="004C7BEF">
            <w:pPr>
              <w:pStyle w:val="ARtabletext"/>
            </w:pPr>
            <w:r w:rsidRPr="00C0683E">
              <w:t>Tighter restrictions on cross-border travel between NSW and Victoria.</w:t>
            </w:r>
          </w:p>
        </w:tc>
      </w:tr>
      <w:tr w:rsidR="007F0B48" w:rsidRPr="00C0683E" w14:paraId="40F2DBC3" w14:textId="77777777" w:rsidTr="007E0F79">
        <w:tc>
          <w:tcPr>
            <w:tcW w:w="562" w:type="dxa"/>
            <w:noWrap/>
            <w:hideMark/>
          </w:tcPr>
          <w:p w14:paraId="320CAC8C" w14:textId="48C40CE2" w:rsidR="007F0B48" w:rsidRPr="00C0683E" w:rsidRDefault="007F0B48" w:rsidP="004C7BEF">
            <w:pPr>
              <w:pStyle w:val="ARtabletext"/>
            </w:pPr>
            <w:r w:rsidRPr="00C0683E">
              <w:t>3</w:t>
            </w:r>
          </w:p>
        </w:tc>
        <w:tc>
          <w:tcPr>
            <w:tcW w:w="9078" w:type="dxa"/>
            <w:noWrap/>
            <w:hideMark/>
          </w:tcPr>
          <w:p w14:paraId="2B44526C" w14:textId="77777777" w:rsidR="007F0B48" w:rsidRPr="00C0683E" w:rsidRDefault="007F0B48" w:rsidP="004C7BEF">
            <w:pPr>
              <w:pStyle w:val="ARtabletext"/>
            </w:pPr>
            <w:r w:rsidRPr="00C0683E">
              <w:t>Playgrounds reopen with strict rules to keep everyone safe.</w:t>
            </w:r>
          </w:p>
          <w:p w14:paraId="771AD1B9" w14:textId="77777777" w:rsidR="007F0B48" w:rsidRPr="00C0683E" w:rsidRDefault="007F0B48" w:rsidP="004C7BEF">
            <w:pPr>
              <w:pStyle w:val="ARtabletext"/>
            </w:pPr>
            <w:r w:rsidRPr="00C0683E">
              <w:t>Specified Workers List shortened. Increased testing obligations introduced for workers entering Victoria under a Specified Worker Permit.</w:t>
            </w:r>
          </w:p>
          <w:p w14:paraId="5AEC93E7" w14:textId="77777777" w:rsidR="007F0B48" w:rsidRPr="00C0683E" w:rsidRDefault="007F0B48" w:rsidP="004C7BEF">
            <w:pPr>
              <w:pStyle w:val="ARtabletext"/>
            </w:pPr>
            <w:r w:rsidRPr="00C0683E">
              <w:t>AstraZeneca COVID-19 vaccine interval reduced to 6 weeks, down from 12 weeks.</w:t>
            </w:r>
          </w:p>
        </w:tc>
      </w:tr>
      <w:tr w:rsidR="007F0B48" w:rsidRPr="00C0683E" w14:paraId="06EC9D48" w14:textId="77777777" w:rsidTr="007E0F79">
        <w:tc>
          <w:tcPr>
            <w:tcW w:w="562" w:type="dxa"/>
            <w:noWrap/>
            <w:hideMark/>
          </w:tcPr>
          <w:p w14:paraId="3FE58F52" w14:textId="242F0927" w:rsidR="007F0B48" w:rsidRPr="00C0683E" w:rsidRDefault="007F0B48" w:rsidP="004C7BEF">
            <w:pPr>
              <w:pStyle w:val="ARtabletext"/>
            </w:pPr>
            <w:r w:rsidRPr="00C0683E">
              <w:t>7</w:t>
            </w:r>
          </w:p>
        </w:tc>
        <w:tc>
          <w:tcPr>
            <w:tcW w:w="9078" w:type="dxa"/>
            <w:noWrap/>
            <w:hideMark/>
          </w:tcPr>
          <w:p w14:paraId="64B82191" w14:textId="3B7EE8D9" w:rsidR="007F0B48" w:rsidRPr="00C0683E" w:rsidRDefault="00CA38EB" w:rsidP="004C7BEF">
            <w:pPr>
              <w:pStyle w:val="ARtabletext"/>
            </w:pPr>
            <w:r>
              <w:t>V</w:t>
            </w:r>
            <w:r w:rsidR="007F0B48" w:rsidRPr="00C0683E">
              <w:t xml:space="preserve">accination blitz </w:t>
            </w:r>
            <w:r>
              <w:t xml:space="preserve">of VCE students </w:t>
            </w:r>
            <w:r w:rsidR="007F0B48" w:rsidRPr="00C0683E">
              <w:t>begins.</w:t>
            </w:r>
          </w:p>
        </w:tc>
      </w:tr>
      <w:tr w:rsidR="007F0B48" w:rsidRPr="00C0683E" w14:paraId="53AAA485" w14:textId="77777777" w:rsidTr="007E0F79">
        <w:tc>
          <w:tcPr>
            <w:tcW w:w="562" w:type="dxa"/>
            <w:noWrap/>
            <w:hideMark/>
          </w:tcPr>
          <w:p w14:paraId="3E5A9252" w14:textId="0EB791D8" w:rsidR="007F0B48" w:rsidRPr="00C0683E" w:rsidRDefault="007F0B48" w:rsidP="004C7BEF">
            <w:pPr>
              <w:pStyle w:val="ARtabletext"/>
            </w:pPr>
            <w:r w:rsidRPr="00C0683E">
              <w:t>9</w:t>
            </w:r>
          </w:p>
        </w:tc>
        <w:tc>
          <w:tcPr>
            <w:tcW w:w="9078" w:type="dxa"/>
            <w:noWrap/>
            <w:hideMark/>
          </w:tcPr>
          <w:p w14:paraId="33AC325A" w14:textId="77777777" w:rsidR="007F0B48" w:rsidRPr="00C0683E" w:rsidRDefault="007F0B48" w:rsidP="004C7BEF">
            <w:pPr>
              <w:pStyle w:val="ARtabletext"/>
            </w:pPr>
            <w:r w:rsidRPr="00C0683E">
              <w:t>Lockdown restrictions lift in regional Victoria, except for Greater Shepparton.</w:t>
            </w:r>
          </w:p>
          <w:p w14:paraId="70146303" w14:textId="4EA42AEA" w:rsidR="007F0B48" w:rsidRPr="00C0683E" w:rsidRDefault="007F0B48" w:rsidP="004C7BEF">
            <w:pPr>
              <w:pStyle w:val="ARtabletext"/>
            </w:pPr>
            <w:r w:rsidRPr="00C0683E">
              <w:t>10 million PCR tests processed</w:t>
            </w:r>
            <w:r w:rsidR="00CA38EB">
              <w:t xml:space="preserve"> since </w:t>
            </w:r>
            <w:r w:rsidR="00923026">
              <w:t>the pandemic began</w:t>
            </w:r>
            <w:r w:rsidRPr="00C0683E">
              <w:t>.</w:t>
            </w:r>
          </w:p>
          <w:p w14:paraId="59274C65" w14:textId="7A9974BE" w:rsidR="007F0B48" w:rsidRPr="00C0683E" w:rsidRDefault="007F0B48" w:rsidP="004C7BEF">
            <w:pPr>
              <w:pStyle w:val="ARtabletext"/>
            </w:pPr>
            <w:r w:rsidRPr="00C0683E">
              <w:t xml:space="preserve">Entry permits available to Victorians who have been residing in </w:t>
            </w:r>
            <w:r w:rsidR="004E014F">
              <w:t>a</w:t>
            </w:r>
            <w:r w:rsidRPr="00C0683E">
              <w:t xml:space="preserve"> NSW local government border area for at least 14 days.</w:t>
            </w:r>
          </w:p>
        </w:tc>
      </w:tr>
      <w:tr w:rsidR="007F0B48" w:rsidRPr="00C0683E" w14:paraId="4B8028C5" w14:textId="77777777" w:rsidTr="007E0F79">
        <w:tc>
          <w:tcPr>
            <w:tcW w:w="562" w:type="dxa"/>
            <w:noWrap/>
            <w:hideMark/>
          </w:tcPr>
          <w:p w14:paraId="54765663" w14:textId="3362CA1C" w:rsidR="007F0B48" w:rsidRPr="00C0683E" w:rsidRDefault="007F0B48" w:rsidP="004C7BEF">
            <w:pPr>
              <w:pStyle w:val="ARtabletext"/>
            </w:pPr>
            <w:r w:rsidRPr="00C0683E">
              <w:t>12</w:t>
            </w:r>
          </w:p>
        </w:tc>
        <w:tc>
          <w:tcPr>
            <w:tcW w:w="9078" w:type="dxa"/>
            <w:noWrap/>
            <w:hideMark/>
          </w:tcPr>
          <w:p w14:paraId="5ADCE629" w14:textId="338E8B3C" w:rsidR="007F0B48" w:rsidRPr="00C0683E" w:rsidRDefault="007F0B48" w:rsidP="004C7BEF">
            <w:pPr>
              <w:pStyle w:val="ARtabletext"/>
            </w:pPr>
            <w:r w:rsidRPr="00C0683E">
              <w:t>Launch of pop-up vaccination program targeting 100 postcodes</w:t>
            </w:r>
            <w:r w:rsidR="00CA38EB">
              <w:t xml:space="preserve"> throughout Victoria</w:t>
            </w:r>
            <w:r w:rsidRPr="00C0683E">
              <w:t>.</w:t>
            </w:r>
          </w:p>
          <w:p w14:paraId="677696B2" w14:textId="77777777" w:rsidR="007F0B48" w:rsidRPr="00C0683E" w:rsidRDefault="007F0B48" w:rsidP="004C7BEF">
            <w:pPr>
              <w:pStyle w:val="ARtabletext"/>
            </w:pPr>
            <w:r w:rsidRPr="00C0683E">
              <w:t>70 schools to host pop-up vaccination clinics over six weeks.</w:t>
            </w:r>
          </w:p>
        </w:tc>
      </w:tr>
      <w:tr w:rsidR="007F0B48" w:rsidRPr="00C0683E" w14:paraId="51CCBC42" w14:textId="77777777" w:rsidTr="007E0F79">
        <w:tc>
          <w:tcPr>
            <w:tcW w:w="562" w:type="dxa"/>
            <w:noWrap/>
            <w:hideMark/>
          </w:tcPr>
          <w:p w14:paraId="0EA8DBF2" w14:textId="6FF06850" w:rsidR="007F0B48" w:rsidRPr="00C0683E" w:rsidRDefault="007F0B48" w:rsidP="004C7BEF">
            <w:pPr>
              <w:pStyle w:val="ARtabletext"/>
            </w:pPr>
            <w:r w:rsidRPr="00C0683E">
              <w:t>13</w:t>
            </w:r>
          </w:p>
        </w:tc>
        <w:tc>
          <w:tcPr>
            <w:tcW w:w="9078" w:type="dxa"/>
            <w:noWrap/>
            <w:hideMark/>
          </w:tcPr>
          <w:p w14:paraId="7F0A863D" w14:textId="4A195870" w:rsidR="007F0B48" w:rsidRPr="00C0683E" w:rsidRDefault="007F0B48" w:rsidP="004C7BEF">
            <w:pPr>
              <w:pStyle w:val="ARtabletext"/>
            </w:pPr>
            <w:r w:rsidRPr="00C0683E">
              <w:t>Vaccine eligibility expands to include young people aged 12 to 15</w:t>
            </w:r>
            <w:r w:rsidR="001353E2">
              <w:t xml:space="preserve"> years</w:t>
            </w:r>
            <w:r w:rsidRPr="00C0683E">
              <w:t>.</w:t>
            </w:r>
          </w:p>
        </w:tc>
      </w:tr>
      <w:tr w:rsidR="007F0B48" w:rsidRPr="00C0683E" w14:paraId="2CD8C793" w14:textId="77777777" w:rsidTr="007E0F79">
        <w:tc>
          <w:tcPr>
            <w:tcW w:w="562" w:type="dxa"/>
            <w:noWrap/>
            <w:hideMark/>
          </w:tcPr>
          <w:p w14:paraId="365F119C" w14:textId="74DEC496" w:rsidR="007F0B48" w:rsidRPr="00C0683E" w:rsidRDefault="007F0B48" w:rsidP="004C7BEF">
            <w:pPr>
              <w:pStyle w:val="ARtabletext"/>
            </w:pPr>
            <w:r w:rsidRPr="00C0683E">
              <w:t>15</w:t>
            </w:r>
          </w:p>
        </w:tc>
        <w:tc>
          <w:tcPr>
            <w:tcW w:w="9078" w:type="dxa"/>
            <w:noWrap/>
            <w:hideMark/>
          </w:tcPr>
          <w:p w14:paraId="78335B25" w14:textId="77777777" w:rsidR="007F0B48" w:rsidRPr="00C0683E" w:rsidRDefault="007F0B48" w:rsidP="004C7BEF">
            <w:pPr>
              <w:pStyle w:val="ARtabletext"/>
            </w:pPr>
            <w:r w:rsidRPr="00C0683E">
              <w:t>State vaccination centres deliver one million doses in less than five weeks.</w:t>
            </w:r>
          </w:p>
          <w:p w14:paraId="653C9399" w14:textId="77777777" w:rsidR="007F0B48" w:rsidRPr="00C0683E" w:rsidRDefault="007F0B48" w:rsidP="004C7BEF">
            <w:pPr>
              <w:pStyle w:val="ARtabletext"/>
            </w:pPr>
            <w:r w:rsidRPr="00C0683E">
              <w:t>Lockdown restrictions introduced in Ballarat.</w:t>
            </w:r>
          </w:p>
          <w:p w14:paraId="5FF749D8" w14:textId="77777777" w:rsidR="007F0B48" w:rsidRPr="00C0683E" w:rsidRDefault="007F0B48" w:rsidP="004C7BEF">
            <w:pPr>
              <w:pStyle w:val="ARtabletext"/>
            </w:pPr>
            <w:r w:rsidRPr="00C0683E">
              <w:t>Lockdown restrictions lift in Greater Shepparton.</w:t>
            </w:r>
          </w:p>
        </w:tc>
      </w:tr>
      <w:tr w:rsidR="007F0B48" w:rsidRPr="00C0683E" w14:paraId="0A4291ED" w14:textId="77777777" w:rsidTr="007E0F79">
        <w:tc>
          <w:tcPr>
            <w:tcW w:w="562" w:type="dxa"/>
            <w:noWrap/>
            <w:hideMark/>
          </w:tcPr>
          <w:p w14:paraId="136D1FA8" w14:textId="2128B4B1" w:rsidR="007F0B48" w:rsidRPr="00C0683E" w:rsidRDefault="007F0B48" w:rsidP="004C7BEF">
            <w:pPr>
              <w:pStyle w:val="ARtabletext"/>
            </w:pPr>
            <w:r w:rsidRPr="00C0683E">
              <w:t>16</w:t>
            </w:r>
          </w:p>
        </w:tc>
        <w:tc>
          <w:tcPr>
            <w:tcW w:w="9078" w:type="dxa"/>
            <w:noWrap/>
            <w:hideMark/>
          </w:tcPr>
          <w:p w14:paraId="5C642DEC" w14:textId="77777777" w:rsidR="007F0B48" w:rsidRPr="00C0683E" w:rsidRDefault="007F0B48" w:rsidP="004C7BEF">
            <w:pPr>
              <w:pStyle w:val="ARtabletext"/>
            </w:pPr>
            <w:r w:rsidRPr="00C0683E">
              <w:t>Construction workers restricted from travelling between metropolitan Melbourne and regional Victoria for work, due to cases seeding from Melbourne.</w:t>
            </w:r>
          </w:p>
        </w:tc>
      </w:tr>
      <w:tr w:rsidR="007F0B48" w:rsidRPr="00C0683E" w14:paraId="6D427568" w14:textId="77777777" w:rsidTr="007E0F79">
        <w:tc>
          <w:tcPr>
            <w:tcW w:w="562" w:type="dxa"/>
            <w:noWrap/>
            <w:hideMark/>
          </w:tcPr>
          <w:p w14:paraId="36E4E6BF" w14:textId="31A8AA11" w:rsidR="007F0B48" w:rsidRPr="00C0683E" w:rsidRDefault="007F0B48" w:rsidP="004C7BEF">
            <w:pPr>
              <w:pStyle w:val="ARtabletext"/>
            </w:pPr>
            <w:r w:rsidRPr="00C0683E">
              <w:t>17</w:t>
            </w:r>
          </w:p>
        </w:tc>
        <w:tc>
          <w:tcPr>
            <w:tcW w:w="9078" w:type="dxa"/>
            <w:noWrap/>
            <w:hideMark/>
          </w:tcPr>
          <w:p w14:paraId="06750954" w14:textId="1302E1D5" w:rsidR="007F0B48" w:rsidRPr="00C0683E" w:rsidRDefault="007F0B48" w:rsidP="004C7BEF">
            <w:pPr>
              <w:pStyle w:val="ARtabletext"/>
            </w:pPr>
            <w:r w:rsidRPr="00C0683E">
              <w:t xml:space="preserve">70 per cent of Victorians aged 16 </w:t>
            </w:r>
            <w:r w:rsidR="001353E2">
              <w:t xml:space="preserve">years </w:t>
            </w:r>
            <w:r w:rsidRPr="00C0683E">
              <w:t>and over vaccinated with one dose.</w:t>
            </w:r>
          </w:p>
          <w:p w14:paraId="52F38A1F" w14:textId="77777777" w:rsidR="007F0B48" w:rsidRPr="00C0683E" w:rsidRDefault="007F0B48" w:rsidP="004C7BEF">
            <w:pPr>
              <w:pStyle w:val="ARtabletext"/>
            </w:pPr>
            <w:r w:rsidRPr="00C0683E">
              <w:t>Modest easing of restrictions in Melbourne and Ballarat. Broader easing elsewhere in regional Victoria.</w:t>
            </w:r>
          </w:p>
          <w:p w14:paraId="6406A059" w14:textId="77777777" w:rsidR="007F0B48" w:rsidRPr="00C0683E" w:rsidRDefault="007F0B48" w:rsidP="004C7BEF">
            <w:pPr>
              <w:pStyle w:val="ARtabletext"/>
            </w:pPr>
            <w:r w:rsidRPr="00C0683E">
              <w:t>Mandatory vaccination policy announced for construction workers.</w:t>
            </w:r>
          </w:p>
        </w:tc>
      </w:tr>
      <w:tr w:rsidR="007F0B48" w:rsidRPr="00C0683E" w14:paraId="09C1FEE8" w14:textId="77777777" w:rsidTr="007E0F79">
        <w:tc>
          <w:tcPr>
            <w:tcW w:w="562" w:type="dxa"/>
            <w:noWrap/>
            <w:hideMark/>
          </w:tcPr>
          <w:p w14:paraId="299F1962" w14:textId="2E9117C2" w:rsidR="007F0B48" w:rsidRPr="00C0683E" w:rsidRDefault="007F0B48" w:rsidP="004C7BEF">
            <w:pPr>
              <w:pStyle w:val="ARtabletext"/>
            </w:pPr>
            <w:r w:rsidRPr="00C0683E">
              <w:t>19</w:t>
            </w:r>
          </w:p>
        </w:tc>
        <w:tc>
          <w:tcPr>
            <w:tcW w:w="9078" w:type="dxa"/>
            <w:noWrap/>
            <w:hideMark/>
          </w:tcPr>
          <w:p w14:paraId="579D8F27" w14:textId="77777777" w:rsidR="007F0B48" w:rsidRPr="00C0683E" w:rsidRDefault="007F0B48" w:rsidP="004C7BEF">
            <w:pPr>
              <w:pStyle w:val="ARtabletext"/>
            </w:pPr>
            <w:r w:rsidRPr="00C0683E">
              <w:t>Announcement of Victoria’s Roadmap: Delivering the National Plan, a pathway to re-opening.</w:t>
            </w:r>
          </w:p>
          <w:p w14:paraId="5289C11B" w14:textId="77777777" w:rsidR="007F0B48" w:rsidRPr="00C0683E" w:rsidRDefault="007F0B48" w:rsidP="004C7BEF">
            <w:pPr>
              <w:pStyle w:val="ARtabletext"/>
            </w:pPr>
            <w:r w:rsidRPr="00C0683E">
              <w:t>Lockdown restrictions introduced in Greater Geelong, Mitchell Shire and Surf Coast Shire.</w:t>
            </w:r>
          </w:p>
        </w:tc>
      </w:tr>
      <w:tr w:rsidR="007F0B48" w:rsidRPr="00C0683E" w14:paraId="6AF34EC7" w14:textId="77777777" w:rsidTr="007E0F79">
        <w:tc>
          <w:tcPr>
            <w:tcW w:w="562" w:type="dxa"/>
            <w:noWrap/>
            <w:hideMark/>
          </w:tcPr>
          <w:p w14:paraId="725CB271" w14:textId="0F492F31" w:rsidR="007F0B48" w:rsidRPr="00C0683E" w:rsidRDefault="007F0B48" w:rsidP="004C7BEF">
            <w:pPr>
              <w:pStyle w:val="ARtabletext"/>
            </w:pPr>
            <w:r w:rsidRPr="00C0683E">
              <w:t>20</w:t>
            </w:r>
          </w:p>
        </w:tc>
        <w:tc>
          <w:tcPr>
            <w:tcW w:w="9078" w:type="dxa"/>
            <w:noWrap/>
            <w:hideMark/>
          </w:tcPr>
          <w:p w14:paraId="693680AD" w14:textId="77777777" w:rsidR="007F0B48" w:rsidRPr="00C0683E" w:rsidRDefault="007F0B48" w:rsidP="004C7BEF">
            <w:pPr>
              <w:pStyle w:val="ARtabletext"/>
            </w:pPr>
            <w:r w:rsidRPr="00C0683E">
              <w:t>Construction industry shut down in Melbourne and selected regional LGAs due to case numbers, transmission risk and reduced compliance.</w:t>
            </w:r>
          </w:p>
        </w:tc>
      </w:tr>
      <w:tr w:rsidR="007F0B48" w:rsidRPr="00C0683E" w14:paraId="55DA803E" w14:textId="77777777" w:rsidTr="007E0F79">
        <w:tc>
          <w:tcPr>
            <w:tcW w:w="562" w:type="dxa"/>
            <w:noWrap/>
            <w:hideMark/>
          </w:tcPr>
          <w:p w14:paraId="132211A5" w14:textId="05A429BF" w:rsidR="007F0B48" w:rsidRPr="00C0683E" w:rsidRDefault="007F0B48" w:rsidP="004C7BEF">
            <w:pPr>
              <w:pStyle w:val="ARtabletext"/>
            </w:pPr>
            <w:r w:rsidRPr="00C0683E">
              <w:t>22</w:t>
            </w:r>
          </w:p>
        </w:tc>
        <w:tc>
          <w:tcPr>
            <w:tcW w:w="9078" w:type="dxa"/>
            <w:noWrap/>
            <w:hideMark/>
          </w:tcPr>
          <w:p w14:paraId="1D0BA968" w14:textId="774737E4" w:rsidR="007F0B48" w:rsidRPr="00C0683E" w:rsidRDefault="007F0B48" w:rsidP="004C7BEF">
            <w:pPr>
              <w:pStyle w:val="ARtabletext"/>
            </w:pPr>
            <w:r w:rsidRPr="00C0683E">
              <w:t xml:space="preserve">Lockdown restrictions </w:t>
            </w:r>
            <w:r w:rsidR="00AA3DEF">
              <w:t>lift i</w:t>
            </w:r>
            <w:r w:rsidRPr="00C0683E">
              <w:t>n Ballarat. Remaining restrictions align with those in place in regional Victoria.</w:t>
            </w:r>
          </w:p>
          <w:p w14:paraId="636EB2AD" w14:textId="2084819B" w:rsidR="007F0B48" w:rsidRPr="00C0683E" w:rsidRDefault="007F0B48" w:rsidP="004C7BEF">
            <w:pPr>
              <w:pStyle w:val="ARtabletext"/>
            </w:pPr>
            <w:r w:rsidRPr="00C0683E">
              <w:t>Moderna COVID-19 vaccine available to people aged 12 to 59</w:t>
            </w:r>
            <w:r w:rsidR="001353E2">
              <w:t xml:space="preserve"> years</w:t>
            </w:r>
            <w:r w:rsidRPr="00C0683E">
              <w:t>.</w:t>
            </w:r>
          </w:p>
          <w:p w14:paraId="28C98405" w14:textId="77777777" w:rsidR="007F0B48" w:rsidRPr="00C0683E" w:rsidRDefault="007F0B48" w:rsidP="004C7BEF">
            <w:pPr>
              <w:pStyle w:val="ARtabletext"/>
            </w:pPr>
            <w:r w:rsidRPr="00C0683E">
              <w:t>Mandatory vaccination policy announced for the education workforce.</w:t>
            </w:r>
          </w:p>
        </w:tc>
      </w:tr>
      <w:tr w:rsidR="007F0B48" w:rsidRPr="00C0683E" w14:paraId="15392B97" w14:textId="77777777" w:rsidTr="007E0F79">
        <w:tc>
          <w:tcPr>
            <w:tcW w:w="562" w:type="dxa"/>
            <w:noWrap/>
            <w:hideMark/>
          </w:tcPr>
          <w:p w14:paraId="3A76AEDA" w14:textId="05E227AF" w:rsidR="007F0B48" w:rsidRPr="00C0683E" w:rsidRDefault="007F0B48" w:rsidP="004C7BEF">
            <w:pPr>
              <w:pStyle w:val="ARtabletext"/>
            </w:pPr>
            <w:r w:rsidRPr="00C0683E">
              <w:t>23</w:t>
            </w:r>
          </w:p>
        </w:tc>
        <w:tc>
          <w:tcPr>
            <w:tcW w:w="9078" w:type="dxa"/>
            <w:noWrap/>
            <w:hideMark/>
          </w:tcPr>
          <w:p w14:paraId="761EC359" w14:textId="77777777" w:rsidR="007F0B48" w:rsidRPr="00C0683E" w:rsidRDefault="007F0B48" w:rsidP="004C7BEF">
            <w:pPr>
              <w:pStyle w:val="ARtabletext"/>
            </w:pPr>
            <w:r w:rsidRPr="00C0683E">
              <w:t>Freight and healthcare workers entering Victoria under a Specified Worker (Multiple Entry) Permit required to have had at least one dose of a COVID-19 vaccine.</w:t>
            </w:r>
          </w:p>
        </w:tc>
      </w:tr>
      <w:tr w:rsidR="007F0B48" w:rsidRPr="00C0683E" w14:paraId="784F6BE4" w14:textId="77777777" w:rsidTr="007E0F79">
        <w:tc>
          <w:tcPr>
            <w:tcW w:w="562" w:type="dxa"/>
            <w:noWrap/>
            <w:hideMark/>
          </w:tcPr>
          <w:p w14:paraId="4D49F5E1" w14:textId="501906E4" w:rsidR="007F0B48" w:rsidRPr="00C0683E" w:rsidRDefault="007F0B48" w:rsidP="004C7BEF">
            <w:pPr>
              <w:pStyle w:val="ARtabletext"/>
            </w:pPr>
            <w:r w:rsidRPr="00C0683E">
              <w:t>26</w:t>
            </w:r>
          </w:p>
        </w:tc>
        <w:tc>
          <w:tcPr>
            <w:tcW w:w="9078" w:type="dxa"/>
            <w:noWrap/>
            <w:hideMark/>
          </w:tcPr>
          <w:p w14:paraId="296A9128" w14:textId="7CA8185D" w:rsidR="007F0B48" w:rsidRPr="00C0683E" w:rsidRDefault="007F0B48" w:rsidP="004C7BEF">
            <w:pPr>
              <w:pStyle w:val="ARtabletext"/>
            </w:pPr>
            <w:r w:rsidRPr="00C0683E">
              <w:t>Lockdown restrictions</w:t>
            </w:r>
            <w:r w:rsidR="00AA3DEF">
              <w:t xml:space="preserve"> lift</w:t>
            </w:r>
            <w:r w:rsidR="00DC78BD">
              <w:t xml:space="preserve"> </w:t>
            </w:r>
            <w:r w:rsidRPr="00C0683E">
              <w:t>in Greater Geelong and Surf Coast Shire. Remaining restrictions align with those in place in regional Victoria.</w:t>
            </w:r>
          </w:p>
        </w:tc>
      </w:tr>
      <w:tr w:rsidR="007F0B48" w:rsidRPr="00C0683E" w14:paraId="4945F62B" w14:textId="77777777" w:rsidTr="007E0F79">
        <w:tc>
          <w:tcPr>
            <w:tcW w:w="562" w:type="dxa"/>
            <w:noWrap/>
            <w:hideMark/>
          </w:tcPr>
          <w:p w14:paraId="19EB0B28" w14:textId="6B2A3A02" w:rsidR="007F0B48" w:rsidRPr="00C0683E" w:rsidRDefault="007F0B48" w:rsidP="004C7BEF">
            <w:pPr>
              <w:pStyle w:val="ARtabletext"/>
            </w:pPr>
            <w:r w:rsidRPr="00C0683E">
              <w:t>28</w:t>
            </w:r>
          </w:p>
        </w:tc>
        <w:tc>
          <w:tcPr>
            <w:tcW w:w="9078" w:type="dxa"/>
            <w:noWrap/>
            <w:hideMark/>
          </w:tcPr>
          <w:p w14:paraId="6917C4C9" w14:textId="16B6C17C" w:rsidR="007F0B48" w:rsidRPr="00C0683E" w:rsidRDefault="007F0B48" w:rsidP="004C7BEF">
            <w:pPr>
              <w:pStyle w:val="ARtabletext"/>
            </w:pPr>
            <w:r w:rsidRPr="00C0683E">
              <w:t xml:space="preserve">80 per cent of Victorians aged 16 </w:t>
            </w:r>
            <w:r w:rsidR="001353E2">
              <w:t xml:space="preserve">years </w:t>
            </w:r>
            <w:r w:rsidRPr="00C0683E">
              <w:t>and over vaccinated with one dose.</w:t>
            </w:r>
          </w:p>
          <w:p w14:paraId="4FE54941" w14:textId="38B4F6FF" w:rsidR="007F0B48" w:rsidRPr="00C0683E" w:rsidRDefault="007F0B48" w:rsidP="004C7BEF">
            <w:pPr>
              <w:pStyle w:val="ARtabletext"/>
            </w:pPr>
            <w:r w:rsidRPr="00C0683E">
              <w:t>Roadmap Phase A commences. Restrictions ease</w:t>
            </w:r>
            <w:r w:rsidR="0083297F">
              <w:t xml:space="preserve"> across Victoria</w:t>
            </w:r>
            <w:r w:rsidRPr="00C0683E">
              <w:t>. Travel limit extended to 15 kilometres.</w:t>
            </w:r>
          </w:p>
          <w:p w14:paraId="2A383495" w14:textId="2ECBF755" w:rsidR="007F0B48" w:rsidRPr="00C0683E" w:rsidRDefault="007F0B48" w:rsidP="004C7BEF">
            <w:pPr>
              <w:pStyle w:val="ARtabletext"/>
            </w:pPr>
            <w:r w:rsidRPr="00C0683E">
              <w:t>Lockdown restrictions introduced in Latrobe</w:t>
            </w:r>
            <w:r w:rsidR="00DC78BD">
              <w:t xml:space="preserve"> Shire</w:t>
            </w:r>
            <w:r w:rsidRPr="00C0683E">
              <w:t>.</w:t>
            </w:r>
          </w:p>
        </w:tc>
      </w:tr>
      <w:tr w:rsidR="007F0B48" w:rsidRPr="00C0683E" w14:paraId="2A651A38" w14:textId="77777777" w:rsidTr="007E0F79">
        <w:tc>
          <w:tcPr>
            <w:tcW w:w="562" w:type="dxa"/>
            <w:noWrap/>
            <w:hideMark/>
          </w:tcPr>
          <w:p w14:paraId="1C01B8BF" w14:textId="4E004F1E" w:rsidR="007F0B48" w:rsidRPr="00C0683E" w:rsidRDefault="007F0B48" w:rsidP="004C7BEF">
            <w:pPr>
              <w:pStyle w:val="ARtabletext"/>
            </w:pPr>
            <w:r w:rsidRPr="00C0683E">
              <w:t>29</w:t>
            </w:r>
          </w:p>
        </w:tc>
        <w:tc>
          <w:tcPr>
            <w:tcW w:w="9078" w:type="dxa"/>
            <w:noWrap/>
            <w:hideMark/>
          </w:tcPr>
          <w:p w14:paraId="09194B29" w14:textId="77777777" w:rsidR="007F0B48" w:rsidRPr="00C0683E" w:rsidRDefault="007F0B48" w:rsidP="004C7BEF">
            <w:pPr>
              <w:pStyle w:val="ARtabletext"/>
            </w:pPr>
            <w:r w:rsidRPr="00C0683E">
              <w:t>Travel permits available to fully vaccinated Victorians (with two doses) in Extreme Risk Zones.</w:t>
            </w:r>
          </w:p>
        </w:tc>
      </w:tr>
      <w:tr w:rsidR="007F0B48" w:rsidRPr="00C0683E" w14:paraId="6AC9C14E" w14:textId="77777777" w:rsidTr="004C7BEF">
        <w:tc>
          <w:tcPr>
            <w:tcW w:w="9640" w:type="dxa"/>
            <w:gridSpan w:val="2"/>
            <w:noWrap/>
            <w:hideMark/>
          </w:tcPr>
          <w:p w14:paraId="03ABA446" w14:textId="77777777" w:rsidR="007F0B48" w:rsidRPr="00C0683E" w:rsidRDefault="007F0B48" w:rsidP="004C7BEF">
            <w:pPr>
              <w:pStyle w:val="ARtablecolourbold"/>
            </w:pPr>
            <w:r w:rsidRPr="00C0683E">
              <w:t>October 2021</w:t>
            </w:r>
          </w:p>
        </w:tc>
      </w:tr>
      <w:tr w:rsidR="007F0B48" w:rsidRPr="00C0683E" w14:paraId="2F696A3A" w14:textId="77777777" w:rsidTr="007E0F79">
        <w:tc>
          <w:tcPr>
            <w:tcW w:w="562" w:type="dxa"/>
            <w:noWrap/>
            <w:hideMark/>
          </w:tcPr>
          <w:p w14:paraId="5909D029" w14:textId="6FBD84CF" w:rsidR="007F0B48" w:rsidRPr="00C0683E" w:rsidRDefault="007F0B48" w:rsidP="004C7BEF">
            <w:pPr>
              <w:pStyle w:val="ARtabletext"/>
            </w:pPr>
            <w:r w:rsidRPr="00C0683E">
              <w:t>1</w:t>
            </w:r>
          </w:p>
        </w:tc>
        <w:tc>
          <w:tcPr>
            <w:tcW w:w="9078" w:type="dxa"/>
            <w:noWrap/>
            <w:hideMark/>
          </w:tcPr>
          <w:p w14:paraId="6883946D" w14:textId="77777777" w:rsidR="007F0B48" w:rsidRPr="00C0683E" w:rsidRDefault="007F0B48" w:rsidP="004C7BEF">
            <w:pPr>
              <w:pStyle w:val="ARtabletext"/>
            </w:pPr>
            <w:r w:rsidRPr="00C0683E">
              <w:t>Roadmap Phase A – Schools reopen. Tighter restrictions on the construction industry.</w:t>
            </w:r>
          </w:p>
          <w:p w14:paraId="1AE20A24" w14:textId="77777777" w:rsidR="007F0B48" w:rsidRPr="00C0683E" w:rsidRDefault="007F0B48" w:rsidP="004C7BEF">
            <w:pPr>
              <w:pStyle w:val="ARtabletext"/>
            </w:pPr>
            <w:r w:rsidRPr="00C0683E">
              <w:t>Lockdown restrictions introduced in Greater Shepparton and Moorabool Shire.</w:t>
            </w:r>
          </w:p>
          <w:p w14:paraId="6CABDA2C" w14:textId="77777777" w:rsidR="007F0B48" w:rsidRPr="00C0683E" w:rsidRDefault="007F0B48" w:rsidP="004C7BEF">
            <w:pPr>
              <w:pStyle w:val="ARtabletext"/>
            </w:pPr>
            <w:r w:rsidRPr="00C0683E">
              <w:t>Pfizer and Moderna COVID-19 vaccines made available to people aged 60 years and over at GPs and pharmacies.</w:t>
            </w:r>
          </w:p>
          <w:p w14:paraId="17DDB4AF" w14:textId="549CEB9D" w:rsidR="007F0B48" w:rsidRPr="00C0683E" w:rsidRDefault="007F0B48" w:rsidP="004C7BEF">
            <w:pPr>
              <w:pStyle w:val="ARtabletext"/>
            </w:pPr>
            <w:r w:rsidRPr="00F20B38">
              <w:t>Deadline</w:t>
            </w:r>
            <w:r w:rsidRPr="00C0683E">
              <w:t xml:space="preserve"> by which residential aged</w:t>
            </w:r>
            <w:r w:rsidR="00F20B38">
              <w:t xml:space="preserve"> </w:t>
            </w:r>
            <w:r w:rsidRPr="00C0683E">
              <w:t>care workers need to have their first COVID-19 vaccine to be eligible to continue working.</w:t>
            </w:r>
          </w:p>
        </w:tc>
      </w:tr>
      <w:tr w:rsidR="007F0B48" w:rsidRPr="00C0683E" w14:paraId="71B5C47E" w14:textId="77777777" w:rsidTr="007E0F79">
        <w:tc>
          <w:tcPr>
            <w:tcW w:w="562" w:type="dxa"/>
            <w:noWrap/>
            <w:hideMark/>
          </w:tcPr>
          <w:p w14:paraId="7A1D05F0" w14:textId="2307CDF6" w:rsidR="007F0B48" w:rsidRPr="00C0683E" w:rsidRDefault="007F0B48" w:rsidP="004C7BEF">
            <w:pPr>
              <w:pStyle w:val="ARtabletext"/>
            </w:pPr>
            <w:r w:rsidRPr="00C0683E">
              <w:t>2</w:t>
            </w:r>
          </w:p>
        </w:tc>
        <w:tc>
          <w:tcPr>
            <w:tcW w:w="9078" w:type="dxa"/>
            <w:noWrap/>
            <w:hideMark/>
          </w:tcPr>
          <w:p w14:paraId="4679C458" w14:textId="77777777" w:rsidR="007F0B48" w:rsidRPr="00C0683E" w:rsidRDefault="007F0B48" w:rsidP="004C7BEF">
            <w:pPr>
              <w:pStyle w:val="ARtabletext"/>
            </w:pPr>
            <w:r w:rsidRPr="00753B87">
              <w:t>Deadline by which construction workers need to have their first COVID-19 vaccine to be eligible to continue working.</w:t>
            </w:r>
          </w:p>
          <w:p w14:paraId="486E3D0F" w14:textId="77777777" w:rsidR="007F0B48" w:rsidRPr="00C0683E" w:rsidRDefault="007F0B48" w:rsidP="004C7BEF">
            <w:pPr>
              <w:pStyle w:val="ARtabletext"/>
            </w:pPr>
            <w:r w:rsidRPr="00C0683E">
              <w:t>Students living in high-risk postcodes strongly recommended to get a PCR test before sitting the General Achievement Test.</w:t>
            </w:r>
          </w:p>
          <w:p w14:paraId="4829412A" w14:textId="77777777" w:rsidR="007F0B48" w:rsidRPr="00C0683E" w:rsidRDefault="007F0B48" w:rsidP="004C7BEF">
            <w:pPr>
              <w:pStyle w:val="ARtabletext"/>
            </w:pPr>
            <w:r w:rsidRPr="00C0683E">
              <w:t>People who receive a negative result from their Day 13 PCR test able to leave quarantine immediately.</w:t>
            </w:r>
          </w:p>
        </w:tc>
      </w:tr>
      <w:tr w:rsidR="007F0B48" w:rsidRPr="00C0683E" w14:paraId="7689FF8F" w14:textId="77777777" w:rsidTr="007E0F79">
        <w:tc>
          <w:tcPr>
            <w:tcW w:w="562" w:type="dxa"/>
            <w:noWrap/>
            <w:hideMark/>
          </w:tcPr>
          <w:p w14:paraId="6540069D" w14:textId="7D752DBB" w:rsidR="007F0B48" w:rsidRPr="00C0683E" w:rsidRDefault="007F0B48" w:rsidP="004C7BEF">
            <w:pPr>
              <w:pStyle w:val="ARtabletext"/>
            </w:pPr>
            <w:r w:rsidRPr="00C0683E">
              <w:t>4</w:t>
            </w:r>
          </w:p>
        </w:tc>
        <w:tc>
          <w:tcPr>
            <w:tcW w:w="9078" w:type="dxa"/>
            <w:noWrap/>
            <w:hideMark/>
          </w:tcPr>
          <w:p w14:paraId="644AA427" w14:textId="77777777" w:rsidR="007F0B48" w:rsidRPr="00C0683E" w:rsidRDefault="007F0B48" w:rsidP="004C7BEF">
            <w:pPr>
              <w:pStyle w:val="ARtabletext"/>
            </w:pPr>
            <w:r w:rsidRPr="00C0683E">
              <w:t>Melbourne marks 245 days of lockdowns and becomes the city with the longest cumulative time in lockdown in the world.</w:t>
            </w:r>
          </w:p>
          <w:p w14:paraId="1E885452" w14:textId="3F8E4B64" w:rsidR="007F0B48" w:rsidRPr="00C0683E" w:rsidRDefault="007F0B48" w:rsidP="004C7BEF">
            <w:pPr>
              <w:pStyle w:val="ARtabletext"/>
            </w:pPr>
            <w:r w:rsidRPr="00C0683E">
              <w:t xml:space="preserve">Pfizer COVID-19 vaccine interval reduced to </w:t>
            </w:r>
            <w:r w:rsidR="00BB4C5E">
              <w:t>three</w:t>
            </w:r>
            <w:r w:rsidRPr="00C0683E">
              <w:t xml:space="preserve"> weeks at state vaccination centres.</w:t>
            </w:r>
          </w:p>
          <w:p w14:paraId="6F1793B2" w14:textId="08B09BD1" w:rsidR="007F0B48" w:rsidRPr="00C0683E" w:rsidRDefault="007F0B48" w:rsidP="004C7BEF">
            <w:pPr>
              <w:pStyle w:val="ARtabletext"/>
            </w:pPr>
            <w:r w:rsidRPr="00C0683E">
              <w:t xml:space="preserve">Restrictions on the construction industry ease, with vaccination requirements and caps on workers </w:t>
            </w:r>
            <w:r w:rsidR="00753B87">
              <w:t>in place</w:t>
            </w:r>
            <w:r w:rsidRPr="00C0683E">
              <w:t>.</w:t>
            </w:r>
          </w:p>
        </w:tc>
      </w:tr>
      <w:tr w:rsidR="007F0B48" w:rsidRPr="00C0683E" w14:paraId="509907DB" w14:textId="77777777" w:rsidTr="007E0F79">
        <w:tc>
          <w:tcPr>
            <w:tcW w:w="562" w:type="dxa"/>
            <w:noWrap/>
            <w:hideMark/>
          </w:tcPr>
          <w:p w14:paraId="271E005F" w14:textId="13685732" w:rsidR="007F0B48" w:rsidRPr="00C0683E" w:rsidRDefault="007F0B48" w:rsidP="004C7BEF">
            <w:pPr>
              <w:pStyle w:val="ARtabletext"/>
            </w:pPr>
            <w:r w:rsidRPr="00C0683E">
              <w:t>5</w:t>
            </w:r>
          </w:p>
        </w:tc>
        <w:tc>
          <w:tcPr>
            <w:tcW w:w="9078" w:type="dxa"/>
            <w:noWrap/>
            <w:hideMark/>
          </w:tcPr>
          <w:p w14:paraId="4500F3E2" w14:textId="1BF79F3B" w:rsidR="007F0B48" w:rsidRPr="00C0683E" w:rsidRDefault="007F0B48" w:rsidP="004C7BEF">
            <w:pPr>
              <w:pStyle w:val="ARtabletext"/>
            </w:pPr>
            <w:r w:rsidRPr="00C0683E">
              <w:t>Lockdown restrictions lift in Latrobe</w:t>
            </w:r>
            <w:r w:rsidR="00DC78BD">
              <w:t xml:space="preserve"> Shire</w:t>
            </w:r>
            <w:r w:rsidRPr="00C0683E">
              <w:t>. Remaining restrictions align with those in place in regional Victoria.</w:t>
            </w:r>
          </w:p>
        </w:tc>
      </w:tr>
      <w:tr w:rsidR="007F0B48" w:rsidRPr="00C0683E" w14:paraId="6572C66F" w14:textId="77777777" w:rsidTr="007E0F79">
        <w:tc>
          <w:tcPr>
            <w:tcW w:w="562" w:type="dxa"/>
            <w:noWrap/>
            <w:hideMark/>
          </w:tcPr>
          <w:p w14:paraId="19CF45D6" w14:textId="24E5E12C" w:rsidR="007F0B48" w:rsidRPr="00C0683E" w:rsidRDefault="007F0B48" w:rsidP="004C7BEF">
            <w:pPr>
              <w:pStyle w:val="ARtabletext"/>
            </w:pPr>
            <w:r w:rsidRPr="00C0683E">
              <w:t>6</w:t>
            </w:r>
          </w:p>
        </w:tc>
        <w:tc>
          <w:tcPr>
            <w:tcW w:w="9078" w:type="dxa"/>
            <w:noWrap/>
            <w:hideMark/>
          </w:tcPr>
          <w:p w14:paraId="3FB6DE16" w14:textId="1CE3C648" w:rsidR="007F0B48" w:rsidRPr="00C0683E" w:rsidRDefault="007F0B48" w:rsidP="004C7BEF">
            <w:pPr>
              <w:pStyle w:val="ARtabletext"/>
            </w:pPr>
            <w:r w:rsidRPr="00C0683E">
              <w:t xml:space="preserve">Victorian Government purchases almost 2.2 million </w:t>
            </w:r>
            <w:r w:rsidR="00D33A9E">
              <w:t>r</w:t>
            </w:r>
            <w:r w:rsidRPr="00C0683E">
              <w:t xml:space="preserve">apid </w:t>
            </w:r>
            <w:r w:rsidR="00D33A9E">
              <w:t>a</w:t>
            </w:r>
            <w:r w:rsidRPr="00C0683E">
              <w:t xml:space="preserve">ntigen </w:t>
            </w:r>
            <w:r w:rsidR="00D33A9E">
              <w:t>t</w:t>
            </w:r>
            <w:r w:rsidRPr="00C0683E">
              <w:t>est kits for healthcare workers.</w:t>
            </w:r>
          </w:p>
        </w:tc>
      </w:tr>
      <w:tr w:rsidR="007F0B48" w:rsidRPr="00C0683E" w14:paraId="0FC2103D" w14:textId="77777777" w:rsidTr="007E0F79">
        <w:tc>
          <w:tcPr>
            <w:tcW w:w="562" w:type="dxa"/>
            <w:noWrap/>
            <w:hideMark/>
          </w:tcPr>
          <w:p w14:paraId="7F33855C" w14:textId="21FC1DD1" w:rsidR="007F0B48" w:rsidRPr="00C0683E" w:rsidRDefault="007F0B48" w:rsidP="004C7BEF">
            <w:pPr>
              <w:pStyle w:val="ARtabletext"/>
            </w:pPr>
            <w:r w:rsidRPr="00C0683E">
              <w:t>7</w:t>
            </w:r>
          </w:p>
        </w:tc>
        <w:tc>
          <w:tcPr>
            <w:tcW w:w="9078" w:type="dxa"/>
            <w:noWrap/>
            <w:hideMark/>
          </w:tcPr>
          <w:p w14:paraId="76900FFB" w14:textId="77777777" w:rsidR="007F0B48" w:rsidRPr="00C0683E" w:rsidRDefault="007F0B48" w:rsidP="004C7BEF">
            <w:pPr>
              <w:pStyle w:val="ARtabletext"/>
            </w:pPr>
            <w:r w:rsidRPr="00C0683E">
              <w:t>Ten dedicated disability pop-up vaccination clinics open.</w:t>
            </w:r>
          </w:p>
        </w:tc>
      </w:tr>
      <w:tr w:rsidR="007F0B48" w:rsidRPr="00C0683E" w14:paraId="342C2637" w14:textId="77777777" w:rsidTr="007E0F79">
        <w:tc>
          <w:tcPr>
            <w:tcW w:w="562" w:type="dxa"/>
            <w:noWrap/>
            <w:hideMark/>
          </w:tcPr>
          <w:p w14:paraId="22F5B7F9" w14:textId="6010A3AE" w:rsidR="007F0B48" w:rsidRPr="00C0683E" w:rsidRDefault="007F0B48" w:rsidP="004C7BEF">
            <w:pPr>
              <w:pStyle w:val="ARtabletext"/>
            </w:pPr>
            <w:r w:rsidRPr="00C0683E">
              <w:t>8</w:t>
            </w:r>
          </w:p>
        </w:tc>
        <w:tc>
          <w:tcPr>
            <w:tcW w:w="9078" w:type="dxa"/>
            <w:noWrap/>
            <w:hideMark/>
          </w:tcPr>
          <w:p w14:paraId="479F8DB2" w14:textId="77777777" w:rsidR="007F0B48" w:rsidRPr="00C0683E" w:rsidRDefault="007F0B48" w:rsidP="004C7BEF">
            <w:pPr>
              <w:pStyle w:val="ARtabletext"/>
            </w:pPr>
            <w:r w:rsidRPr="00C0683E">
              <w:t>Lockdown restrictions introduced in Mildura.</w:t>
            </w:r>
          </w:p>
          <w:p w14:paraId="4F0BAF05" w14:textId="05A44885" w:rsidR="007F0B48" w:rsidRPr="00C0683E" w:rsidRDefault="007F0B48" w:rsidP="004C7BEF">
            <w:pPr>
              <w:pStyle w:val="ARtabletext"/>
            </w:pPr>
            <w:r w:rsidRPr="00C0683E">
              <w:t xml:space="preserve">Lockdown restrictions lift in Greater Shepparton and Moorabool Shire. Remaining restrictions align with </w:t>
            </w:r>
            <w:r w:rsidRPr="00F45898">
              <w:t>those in place in regional Victoria.</w:t>
            </w:r>
          </w:p>
          <w:p w14:paraId="0E4625FD" w14:textId="77777777" w:rsidR="007F0B48" w:rsidRPr="00C0683E" w:rsidRDefault="007F0B48" w:rsidP="004C7BEF">
            <w:pPr>
              <w:pStyle w:val="ARtabletext"/>
            </w:pPr>
            <w:r w:rsidRPr="00C0683E">
              <w:t>NSW–Victoria cross-border community expands to include several LGAs on either side of the border.</w:t>
            </w:r>
          </w:p>
        </w:tc>
      </w:tr>
      <w:tr w:rsidR="007F0B48" w:rsidRPr="00C0683E" w14:paraId="73C16A02" w14:textId="77777777" w:rsidTr="007E0F79">
        <w:tc>
          <w:tcPr>
            <w:tcW w:w="562" w:type="dxa"/>
            <w:noWrap/>
            <w:hideMark/>
          </w:tcPr>
          <w:p w14:paraId="1CC2D483" w14:textId="7964325C" w:rsidR="007F0B48" w:rsidRPr="00C0683E" w:rsidRDefault="007F0B48" w:rsidP="004C7BEF">
            <w:pPr>
              <w:pStyle w:val="ARtabletext"/>
            </w:pPr>
            <w:r w:rsidRPr="00C0683E">
              <w:t>9</w:t>
            </w:r>
          </w:p>
        </w:tc>
        <w:tc>
          <w:tcPr>
            <w:tcW w:w="9078" w:type="dxa"/>
            <w:noWrap/>
            <w:hideMark/>
          </w:tcPr>
          <w:p w14:paraId="795F78D5" w14:textId="13ECDFB2" w:rsidR="007F0B48" w:rsidRPr="00C0683E" w:rsidRDefault="007F0B48" w:rsidP="004C7BEF">
            <w:pPr>
              <w:pStyle w:val="ARtabletext"/>
            </w:pPr>
            <w:r w:rsidRPr="00C0683E">
              <w:t xml:space="preserve">Casual or secondary close contacts no longer identified, contacted or managed by </w:t>
            </w:r>
            <w:r w:rsidR="00DC78BD">
              <w:t>the department</w:t>
            </w:r>
            <w:r w:rsidRPr="00C0683E">
              <w:t>. Quarantine requirements lifted for this group.</w:t>
            </w:r>
          </w:p>
          <w:p w14:paraId="5EAB7C03" w14:textId="77777777" w:rsidR="007F0B48" w:rsidRPr="00C0683E" w:rsidRDefault="007F0B48" w:rsidP="004C7BEF">
            <w:pPr>
              <w:pStyle w:val="ARtabletext"/>
            </w:pPr>
            <w:r w:rsidRPr="00C0683E">
              <w:t>Tier 2 and Tier 3 exposure sites no longer published online.</w:t>
            </w:r>
          </w:p>
        </w:tc>
      </w:tr>
      <w:tr w:rsidR="007F0B48" w:rsidRPr="00C0683E" w14:paraId="661A486A" w14:textId="77777777" w:rsidTr="007E0F79">
        <w:tc>
          <w:tcPr>
            <w:tcW w:w="562" w:type="dxa"/>
            <w:noWrap/>
            <w:hideMark/>
          </w:tcPr>
          <w:p w14:paraId="5E0CD6A5" w14:textId="014E7547" w:rsidR="007F0B48" w:rsidRPr="00C0683E" w:rsidRDefault="007F0B48" w:rsidP="004C7BEF">
            <w:pPr>
              <w:pStyle w:val="ARtabletext"/>
            </w:pPr>
            <w:r w:rsidRPr="00C0683E">
              <w:t>11</w:t>
            </w:r>
          </w:p>
        </w:tc>
        <w:tc>
          <w:tcPr>
            <w:tcW w:w="9078" w:type="dxa"/>
            <w:noWrap/>
            <w:hideMark/>
          </w:tcPr>
          <w:p w14:paraId="2D9364F7" w14:textId="77777777" w:rsidR="007F0B48" w:rsidRPr="00C0683E" w:rsidRDefault="007F0B48" w:rsidP="004C7BEF">
            <w:pPr>
              <w:pStyle w:val="ARtabletext"/>
            </w:pPr>
            <w:r w:rsidRPr="00C0683E">
              <w:t>Pfizer and Moderna COVID-19 vaccines available to anyone aged 12 years and over at all providers.</w:t>
            </w:r>
          </w:p>
          <w:p w14:paraId="0A951639" w14:textId="19E6CE6F" w:rsidR="007F0B48" w:rsidRPr="00C0683E" w:rsidRDefault="007F0B48" w:rsidP="004C7BEF">
            <w:pPr>
              <w:pStyle w:val="ARtabletext"/>
            </w:pPr>
            <w:r w:rsidRPr="00C0683E">
              <w:t>Third-dose rollout begins for immuno</w:t>
            </w:r>
            <w:r w:rsidR="00DC78BD">
              <w:t>-</w:t>
            </w:r>
            <w:r w:rsidRPr="00C0683E">
              <w:t>compromised people aged 12 years and over.</w:t>
            </w:r>
          </w:p>
          <w:p w14:paraId="14824EEB" w14:textId="1321C9B6" w:rsidR="007F0B48" w:rsidRPr="00C0683E" w:rsidRDefault="007F0B48" w:rsidP="004C7BEF">
            <w:pPr>
              <w:pStyle w:val="ARtabletext"/>
            </w:pPr>
            <w:r w:rsidRPr="00F81169">
              <w:t>Vaccinated economy</w:t>
            </w:r>
            <w:r w:rsidR="00566158" w:rsidRPr="00F81169">
              <w:rPr>
                <w:vertAlign w:val="superscript"/>
              </w:rPr>
              <w:t>(</w:t>
            </w:r>
            <w:r w:rsidR="00E21A19" w:rsidRPr="00F81169">
              <w:rPr>
                <w:rStyle w:val="FootnoteReference"/>
              </w:rPr>
              <w:footnoteReference w:id="56"/>
            </w:r>
            <w:r w:rsidR="00566158" w:rsidRPr="00F81169">
              <w:rPr>
                <w:vertAlign w:val="superscript"/>
              </w:rPr>
              <w:t>)</w:t>
            </w:r>
            <w:r w:rsidRPr="00F81169">
              <w:rPr>
                <w:vertAlign w:val="superscript"/>
              </w:rPr>
              <w:t xml:space="preserve"> </w:t>
            </w:r>
            <w:r w:rsidRPr="00F81169">
              <w:t>trials begin in regional</w:t>
            </w:r>
            <w:r w:rsidRPr="00C0683E">
              <w:t xml:space="preserve"> Victoria.</w:t>
            </w:r>
          </w:p>
        </w:tc>
      </w:tr>
      <w:tr w:rsidR="007F0B48" w:rsidRPr="00C0683E" w14:paraId="08EF8722" w14:textId="77777777" w:rsidTr="007E0F79">
        <w:tc>
          <w:tcPr>
            <w:tcW w:w="562" w:type="dxa"/>
            <w:noWrap/>
            <w:hideMark/>
          </w:tcPr>
          <w:p w14:paraId="1958E972" w14:textId="39F5CE74" w:rsidR="007F0B48" w:rsidRPr="00C0683E" w:rsidRDefault="007F0B48" w:rsidP="004C7BEF">
            <w:pPr>
              <w:pStyle w:val="ARtabletext"/>
            </w:pPr>
            <w:r w:rsidRPr="00C0683E">
              <w:t>13</w:t>
            </w:r>
          </w:p>
        </w:tc>
        <w:tc>
          <w:tcPr>
            <w:tcW w:w="9078" w:type="dxa"/>
            <w:noWrap/>
            <w:hideMark/>
          </w:tcPr>
          <w:p w14:paraId="03007337" w14:textId="0A7EBEA2" w:rsidR="007F0B48" w:rsidRPr="00C0683E" w:rsidRDefault="007F0B48" w:rsidP="004C7BEF">
            <w:pPr>
              <w:pStyle w:val="ARtabletext"/>
            </w:pPr>
            <w:r w:rsidRPr="00C0683E">
              <w:t>Lockdown restrictions lift in Mitchell Shire. Remaining restrictions align with those in place in regional Victoria.</w:t>
            </w:r>
          </w:p>
          <w:p w14:paraId="4350AC51" w14:textId="77777777" w:rsidR="007F0B48" w:rsidRPr="00C0683E" w:rsidRDefault="007F0B48" w:rsidP="004C7BEF">
            <w:pPr>
              <w:pStyle w:val="ARtabletext"/>
            </w:pPr>
            <w:r w:rsidRPr="00C0683E">
              <w:t>Neighbourhood vaccination pop-ups begin.</w:t>
            </w:r>
          </w:p>
        </w:tc>
      </w:tr>
      <w:tr w:rsidR="007F0B48" w:rsidRPr="00C0683E" w14:paraId="5D3AABDF" w14:textId="77777777" w:rsidTr="007E0F79">
        <w:tc>
          <w:tcPr>
            <w:tcW w:w="562" w:type="dxa"/>
            <w:noWrap/>
            <w:hideMark/>
          </w:tcPr>
          <w:p w14:paraId="681FD673" w14:textId="25FE11AF" w:rsidR="007F0B48" w:rsidRPr="00C0683E" w:rsidRDefault="007F0B48" w:rsidP="004C7BEF">
            <w:pPr>
              <w:pStyle w:val="ARtabletext"/>
            </w:pPr>
            <w:r w:rsidRPr="00C0683E">
              <w:t>15</w:t>
            </w:r>
          </w:p>
        </w:tc>
        <w:tc>
          <w:tcPr>
            <w:tcW w:w="9078" w:type="dxa"/>
            <w:noWrap/>
            <w:hideMark/>
          </w:tcPr>
          <w:p w14:paraId="2872F556" w14:textId="77777777" w:rsidR="007F0B48" w:rsidRPr="00C0683E" w:rsidRDefault="007F0B48" w:rsidP="004C7BEF">
            <w:pPr>
              <w:pStyle w:val="ARtabletext"/>
            </w:pPr>
            <w:r w:rsidRPr="00F45898">
              <w:t>Deadline</w:t>
            </w:r>
            <w:r w:rsidRPr="00C0683E">
              <w:t xml:space="preserve"> by which Authorised Workers need to have their first COVID-19 vaccine to be eligible to continue working.</w:t>
            </w:r>
          </w:p>
        </w:tc>
      </w:tr>
      <w:tr w:rsidR="007F0B48" w:rsidRPr="00C0683E" w14:paraId="12B238BE" w14:textId="77777777" w:rsidTr="007E0F79">
        <w:tc>
          <w:tcPr>
            <w:tcW w:w="562" w:type="dxa"/>
            <w:noWrap/>
            <w:hideMark/>
          </w:tcPr>
          <w:p w14:paraId="2EE07CBA" w14:textId="1EF927D7" w:rsidR="007F0B48" w:rsidRPr="00C0683E" w:rsidRDefault="007F0B48" w:rsidP="004C7BEF">
            <w:pPr>
              <w:pStyle w:val="ARtabletext"/>
            </w:pPr>
            <w:r w:rsidRPr="00C0683E">
              <w:t>18</w:t>
            </w:r>
          </w:p>
        </w:tc>
        <w:tc>
          <w:tcPr>
            <w:tcW w:w="9078" w:type="dxa"/>
            <w:noWrap/>
            <w:hideMark/>
          </w:tcPr>
          <w:p w14:paraId="751DC8EE" w14:textId="77777777" w:rsidR="007F0B48" w:rsidRPr="00C0683E" w:rsidRDefault="007F0B48" w:rsidP="004C7BEF">
            <w:pPr>
              <w:pStyle w:val="ARtabletext"/>
            </w:pPr>
            <w:r w:rsidRPr="00C0683E">
              <w:t>School children in Grade 3 and above required to wear masks indoors at school. Masks strongly recommended for children in Prep to Grade 2.</w:t>
            </w:r>
          </w:p>
        </w:tc>
      </w:tr>
      <w:tr w:rsidR="007F0B48" w:rsidRPr="00C0683E" w14:paraId="271DBE21" w14:textId="77777777" w:rsidTr="007E0F79">
        <w:tc>
          <w:tcPr>
            <w:tcW w:w="562" w:type="dxa"/>
            <w:noWrap/>
            <w:hideMark/>
          </w:tcPr>
          <w:p w14:paraId="5A378240" w14:textId="577A1E99" w:rsidR="007F0B48" w:rsidRPr="00C0683E" w:rsidRDefault="007F0B48" w:rsidP="004C7BEF">
            <w:pPr>
              <w:pStyle w:val="ARtabletext"/>
            </w:pPr>
            <w:r w:rsidRPr="00C0683E">
              <w:t>19</w:t>
            </w:r>
          </w:p>
        </w:tc>
        <w:tc>
          <w:tcPr>
            <w:tcW w:w="9078" w:type="dxa"/>
            <w:noWrap/>
            <w:hideMark/>
          </w:tcPr>
          <w:p w14:paraId="1E8CB80E" w14:textId="02F4B5F8" w:rsidR="007F0B48" w:rsidRPr="00C0683E" w:rsidRDefault="007F0B48" w:rsidP="004C7BEF">
            <w:pPr>
              <w:pStyle w:val="ARtabletext"/>
            </w:pPr>
            <w:r w:rsidRPr="00C0683E">
              <w:t>Testing and isolation requirements ease for travel permit</w:t>
            </w:r>
            <w:r w:rsidR="004C4669">
              <w:t xml:space="preserve"> </w:t>
            </w:r>
            <w:r w:rsidRPr="00C0683E">
              <w:t>holders.</w:t>
            </w:r>
          </w:p>
          <w:p w14:paraId="177DACA8" w14:textId="77777777" w:rsidR="007F0B48" w:rsidRPr="00C0683E" w:rsidRDefault="007F0B48" w:rsidP="004C7BEF">
            <w:pPr>
              <w:pStyle w:val="ARtabletext"/>
            </w:pPr>
            <w:r w:rsidRPr="00C0683E">
              <w:t>Travellers from NSW vaccinated with two doses no longer need to quarantine for 14 days.</w:t>
            </w:r>
          </w:p>
          <w:p w14:paraId="4B556C04" w14:textId="77777777" w:rsidR="007F0B48" w:rsidRPr="00C0683E" w:rsidRDefault="007F0B48" w:rsidP="004C7BEF">
            <w:pPr>
              <w:pStyle w:val="ARtabletext"/>
            </w:pPr>
            <w:r w:rsidRPr="00C0683E">
              <w:t>20 new GP respiratory clinics funded for COVID-19 testing and respiratory assessments. Extended operating hours at existing clinics.</w:t>
            </w:r>
          </w:p>
        </w:tc>
      </w:tr>
      <w:tr w:rsidR="007F0B48" w:rsidRPr="00C0683E" w14:paraId="568B4836" w14:textId="77777777" w:rsidTr="007E0F79">
        <w:tc>
          <w:tcPr>
            <w:tcW w:w="562" w:type="dxa"/>
            <w:noWrap/>
            <w:hideMark/>
          </w:tcPr>
          <w:p w14:paraId="3B13C850" w14:textId="00F58B2B" w:rsidR="007F0B48" w:rsidRPr="00C0683E" w:rsidRDefault="007F0B48" w:rsidP="004C7BEF">
            <w:pPr>
              <w:pStyle w:val="ARtabletext"/>
            </w:pPr>
            <w:r w:rsidRPr="00C0683E">
              <w:t>20</w:t>
            </w:r>
          </w:p>
        </w:tc>
        <w:tc>
          <w:tcPr>
            <w:tcW w:w="9078" w:type="dxa"/>
            <w:noWrap/>
            <w:hideMark/>
          </w:tcPr>
          <w:p w14:paraId="00F8741E" w14:textId="003254C5" w:rsidR="007F0B48" w:rsidRPr="00C0683E" w:rsidRDefault="007F0B48" w:rsidP="004C7BEF">
            <w:pPr>
              <w:pStyle w:val="ARtabletext"/>
            </w:pPr>
            <w:r w:rsidRPr="00C0683E">
              <w:t xml:space="preserve">90 per cent of Victorians aged 16 </w:t>
            </w:r>
            <w:r w:rsidR="001353E2">
              <w:t xml:space="preserve">years </w:t>
            </w:r>
            <w:r w:rsidRPr="00C0683E">
              <w:t>and over vaccinated with one dose.</w:t>
            </w:r>
          </w:p>
        </w:tc>
      </w:tr>
      <w:tr w:rsidR="007F0B48" w:rsidRPr="00C0683E" w14:paraId="4D4B51E2" w14:textId="77777777" w:rsidTr="007E0F79">
        <w:tc>
          <w:tcPr>
            <w:tcW w:w="562" w:type="dxa"/>
            <w:noWrap/>
            <w:hideMark/>
          </w:tcPr>
          <w:p w14:paraId="385E2AFE" w14:textId="66E89A35" w:rsidR="007F0B48" w:rsidRPr="00C0683E" w:rsidRDefault="007F0B48" w:rsidP="004C7BEF">
            <w:pPr>
              <w:pStyle w:val="ARtabletext"/>
            </w:pPr>
            <w:r w:rsidRPr="00C0683E">
              <w:t>21</w:t>
            </w:r>
          </w:p>
        </w:tc>
        <w:tc>
          <w:tcPr>
            <w:tcW w:w="9078" w:type="dxa"/>
            <w:noWrap/>
            <w:hideMark/>
          </w:tcPr>
          <w:p w14:paraId="0FA41C61" w14:textId="6757CFD8" w:rsidR="007F0B48" w:rsidRPr="00C0683E" w:rsidRDefault="007F0B48" w:rsidP="004C7BEF">
            <w:pPr>
              <w:pStyle w:val="ARtabletext"/>
            </w:pPr>
            <w:r w:rsidRPr="00C0683E">
              <w:t xml:space="preserve">70 per cent of Victorians aged 16 </w:t>
            </w:r>
            <w:r w:rsidR="001353E2">
              <w:t xml:space="preserve">years </w:t>
            </w:r>
            <w:r w:rsidRPr="00C0683E">
              <w:t>and over vaccinated with two doses.</w:t>
            </w:r>
          </w:p>
          <w:p w14:paraId="25E1815E" w14:textId="77777777" w:rsidR="007F0B48" w:rsidRPr="00C0683E" w:rsidRDefault="007F0B48" w:rsidP="004C7BEF">
            <w:pPr>
              <w:pStyle w:val="ARtabletext"/>
            </w:pPr>
            <w:r w:rsidRPr="00C0683E">
              <w:t>Lockdown 6 ends. Roadmap Phase B commences. Restrictions on leaving home removed. Curfew lifted.</w:t>
            </w:r>
          </w:p>
          <w:p w14:paraId="572CBB9A" w14:textId="77777777" w:rsidR="007F0B48" w:rsidRPr="00C0683E" w:rsidRDefault="007F0B48" w:rsidP="004C7BEF">
            <w:pPr>
              <w:pStyle w:val="ARtabletext"/>
            </w:pPr>
            <w:r w:rsidRPr="00C0683E">
              <w:t>Lockdown restrictions lift in Mildura.</w:t>
            </w:r>
          </w:p>
          <w:p w14:paraId="6A25F595" w14:textId="56AC53CF" w:rsidR="007F0B48" w:rsidRPr="00C0683E" w:rsidRDefault="007F0B48" w:rsidP="004C7BEF">
            <w:pPr>
              <w:pStyle w:val="ARtabletext"/>
            </w:pPr>
            <w:r w:rsidRPr="00C0683E">
              <w:t xml:space="preserve">Isolation period reduced to </w:t>
            </w:r>
            <w:r w:rsidR="00FE6FB8">
              <w:t>seven</w:t>
            </w:r>
            <w:r w:rsidRPr="00C0683E">
              <w:t xml:space="preserve"> days (from 14 days) for non-household primary close contacts vaccinated with two doses.</w:t>
            </w:r>
          </w:p>
        </w:tc>
      </w:tr>
      <w:tr w:rsidR="007F0B48" w:rsidRPr="00C0683E" w14:paraId="6CA8E4EE" w14:textId="77777777" w:rsidTr="007E0F79">
        <w:tc>
          <w:tcPr>
            <w:tcW w:w="562" w:type="dxa"/>
            <w:noWrap/>
            <w:hideMark/>
          </w:tcPr>
          <w:p w14:paraId="5D913580" w14:textId="0470CCD3" w:rsidR="007F0B48" w:rsidRPr="00C0683E" w:rsidRDefault="007F0B48" w:rsidP="004C7BEF">
            <w:pPr>
              <w:pStyle w:val="ARtabletext"/>
            </w:pPr>
            <w:r w:rsidRPr="00C0683E">
              <w:t>25</w:t>
            </w:r>
          </w:p>
        </w:tc>
        <w:tc>
          <w:tcPr>
            <w:tcW w:w="9078" w:type="dxa"/>
            <w:noWrap/>
            <w:hideMark/>
          </w:tcPr>
          <w:p w14:paraId="26BE46A5" w14:textId="18BCD5DC" w:rsidR="007F0B48" w:rsidRPr="00C0683E" w:rsidRDefault="007F0B48" w:rsidP="004C7BEF">
            <w:pPr>
              <w:pStyle w:val="ARtabletext"/>
            </w:pPr>
            <w:r w:rsidRPr="00C0683E">
              <w:t>Deadline by which healthcare workers need to have their first COVID-19 vaccine to be eligible to continue working.</w:t>
            </w:r>
            <w:r w:rsidR="004C4669">
              <w:t xml:space="preserve"> </w:t>
            </w:r>
          </w:p>
        </w:tc>
      </w:tr>
      <w:tr w:rsidR="007F0B48" w:rsidRPr="00C0683E" w14:paraId="531A90AE" w14:textId="77777777" w:rsidTr="007E0F79">
        <w:tc>
          <w:tcPr>
            <w:tcW w:w="562" w:type="dxa"/>
            <w:noWrap/>
            <w:hideMark/>
          </w:tcPr>
          <w:p w14:paraId="2663791F" w14:textId="766E7EC2" w:rsidR="007F0B48" w:rsidRPr="00C0683E" w:rsidRDefault="007F0B48" w:rsidP="004C7BEF">
            <w:pPr>
              <w:pStyle w:val="ARtabletext"/>
            </w:pPr>
            <w:r w:rsidRPr="00C0683E">
              <w:t>29</w:t>
            </w:r>
          </w:p>
        </w:tc>
        <w:tc>
          <w:tcPr>
            <w:tcW w:w="9078" w:type="dxa"/>
            <w:noWrap/>
            <w:hideMark/>
          </w:tcPr>
          <w:p w14:paraId="512A5B13" w14:textId="388A34FA" w:rsidR="007F0B48" w:rsidRPr="00C0683E" w:rsidRDefault="007F0B48" w:rsidP="004C7BEF">
            <w:pPr>
              <w:pStyle w:val="ARtabletext"/>
            </w:pPr>
            <w:r w:rsidRPr="00C0683E">
              <w:t xml:space="preserve">80 per cent of Victorians aged 16 </w:t>
            </w:r>
            <w:r w:rsidR="001353E2">
              <w:t xml:space="preserve">years </w:t>
            </w:r>
            <w:r w:rsidRPr="00C0683E">
              <w:t>and over vaccinated with two doses.</w:t>
            </w:r>
          </w:p>
          <w:p w14:paraId="60F4C64F" w14:textId="77777777" w:rsidR="007F0B48" w:rsidRPr="00C0683E" w:rsidRDefault="007F0B48" w:rsidP="004C7BEF">
            <w:pPr>
              <w:pStyle w:val="ARtabletext"/>
            </w:pPr>
            <w:r w:rsidRPr="00C0683E">
              <w:t>Roadmap Phase C commences. Restrictions ease and align into one system with no metropolitan–regional divide.</w:t>
            </w:r>
          </w:p>
          <w:p w14:paraId="2968BFCF" w14:textId="77777777" w:rsidR="007F0B48" w:rsidRPr="00C0683E" w:rsidRDefault="007F0B48" w:rsidP="004C7BEF">
            <w:pPr>
              <w:pStyle w:val="ARtabletext"/>
            </w:pPr>
            <w:r w:rsidRPr="00C0683E">
              <w:t>Travel allowed between Melbourne and regional areas.</w:t>
            </w:r>
          </w:p>
          <w:p w14:paraId="32932C63" w14:textId="77777777" w:rsidR="007F0B48" w:rsidRPr="00C0683E" w:rsidRDefault="007F0B48" w:rsidP="004C7BEF">
            <w:pPr>
              <w:pStyle w:val="ARtabletext"/>
            </w:pPr>
            <w:r w:rsidRPr="00C0683E">
              <w:t>Deadline by which education workers need to have their first COVID-19 vaccine to be eligible to continue working.</w:t>
            </w:r>
          </w:p>
        </w:tc>
      </w:tr>
      <w:tr w:rsidR="007F0B48" w:rsidRPr="00C0683E" w14:paraId="0589E84E" w14:textId="77777777" w:rsidTr="007E0F79">
        <w:tc>
          <w:tcPr>
            <w:tcW w:w="562" w:type="dxa"/>
            <w:noWrap/>
            <w:hideMark/>
          </w:tcPr>
          <w:p w14:paraId="3D2D3E53" w14:textId="0801DCF4" w:rsidR="007F0B48" w:rsidRPr="00C0683E" w:rsidRDefault="007F0B48" w:rsidP="004C7BEF">
            <w:pPr>
              <w:pStyle w:val="ARtabletext"/>
            </w:pPr>
            <w:r w:rsidRPr="00C0683E">
              <w:t>30</w:t>
            </w:r>
          </w:p>
        </w:tc>
        <w:tc>
          <w:tcPr>
            <w:tcW w:w="9078" w:type="dxa"/>
            <w:noWrap/>
            <w:hideMark/>
          </w:tcPr>
          <w:p w14:paraId="0BBCCB33" w14:textId="77777777" w:rsidR="007F0B48" w:rsidRPr="00C0683E" w:rsidRDefault="007F0B48" w:rsidP="004C7BEF">
            <w:pPr>
              <w:pStyle w:val="ARtabletext"/>
            </w:pPr>
            <w:r w:rsidRPr="00C0683E">
              <w:t>Live music returns: Play on Victoria concert at the Sidney Myer Music Bowl.</w:t>
            </w:r>
          </w:p>
          <w:p w14:paraId="64CC1D38" w14:textId="43A4C164" w:rsidR="007F0B48" w:rsidRPr="00C0683E" w:rsidRDefault="007F0B48" w:rsidP="004C7BEF">
            <w:pPr>
              <w:pStyle w:val="ARtabletext"/>
            </w:pPr>
            <w:r w:rsidRPr="00C0683E">
              <w:t>First vaccinated economy trial</w:t>
            </w:r>
            <w:r w:rsidR="008F2B21">
              <w:t xml:space="preserve"> event</w:t>
            </w:r>
            <w:r w:rsidRPr="00C0683E">
              <w:t>: Derby Day.</w:t>
            </w:r>
          </w:p>
        </w:tc>
      </w:tr>
      <w:tr w:rsidR="007F0B48" w:rsidRPr="00C0683E" w14:paraId="53B37773" w14:textId="77777777" w:rsidTr="004C7BEF">
        <w:tc>
          <w:tcPr>
            <w:tcW w:w="9640" w:type="dxa"/>
            <w:gridSpan w:val="2"/>
            <w:noWrap/>
            <w:hideMark/>
          </w:tcPr>
          <w:p w14:paraId="16A1AE96" w14:textId="77777777" w:rsidR="007F0B48" w:rsidRPr="00C0683E" w:rsidRDefault="007F0B48" w:rsidP="004C7BEF">
            <w:pPr>
              <w:pStyle w:val="ARtablecolourbold"/>
            </w:pPr>
            <w:r w:rsidRPr="00C0683E">
              <w:t>November 2021</w:t>
            </w:r>
          </w:p>
        </w:tc>
      </w:tr>
      <w:tr w:rsidR="007F0B48" w:rsidRPr="00C0683E" w14:paraId="7DB16429" w14:textId="77777777" w:rsidTr="007E0F79">
        <w:tc>
          <w:tcPr>
            <w:tcW w:w="562" w:type="dxa"/>
            <w:noWrap/>
            <w:hideMark/>
          </w:tcPr>
          <w:p w14:paraId="26FA5125" w14:textId="4A863583" w:rsidR="007F0B48" w:rsidRPr="00C0683E" w:rsidRDefault="007F0B48" w:rsidP="004C7BEF">
            <w:pPr>
              <w:pStyle w:val="ARtabletext"/>
            </w:pPr>
            <w:r w:rsidRPr="00C0683E">
              <w:t>1</w:t>
            </w:r>
          </w:p>
        </w:tc>
        <w:tc>
          <w:tcPr>
            <w:tcW w:w="9078" w:type="dxa"/>
            <w:noWrap/>
            <w:hideMark/>
          </w:tcPr>
          <w:p w14:paraId="6C07AE2A" w14:textId="77777777" w:rsidR="007F0B48" w:rsidRPr="00C0683E" w:rsidRDefault="007F0B48" w:rsidP="004C7BEF">
            <w:pPr>
              <w:pStyle w:val="ARtabletext"/>
            </w:pPr>
            <w:r w:rsidRPr="00C0683E">
              <w:t>Quarantine requirements removed for fully vaccinated international travellers (with two doses).</w:t>
            </w:r>
          </w:p>
        </w:tc>
      </w:tr>
      <w:tr w:rsidR="007F0B48" w:rsidRPr="00C0683E" w14:paraId="2A7F537F" w14:textId="77777777" w:rsidTr="007E0F79">
        <w:tc>
          <w:tcPr>
            <w:tcW w:w="562" w:type="dxa"/>
            <w:noWrap/>
            <w:hideMark/>
          </w:tcPr>
          <w:p w14:paraId="195C701C" w14:textId="19BFB743" w:rsidR="007F0B48" w:rsidRPr="00C0683E" w:rsidRDefault="007F0B48" w:rsidP="004C7BEF">
            <w:pPr>
              <w:pStyle w:val="ARtabletext"/>
            </w:pPr>
            <w:r w:rsidRPr="00C0683E">
              <w:t>4</w:t>
            </w:r>
          </w:p>
        </w:tc>
        <w:tc>
          <w:tcPr>
            <w:tcW w:w="9078" w:type="dxa"/>
            <w:noWrap/>
            <w:hideMark/>
          </w:tcPr>
          <w:p w14:paraId="0A45955A" w14:textId="77777777" w:rsidR="007F0B48" w:rsidRPr="00C0683E" w:rsidRDefault="007F0B48" w:rsidP="004C7BEF">
            <w:pPr>
              <w:pStyle w:val="ARtabletext"/>
            </w:pPr>
            <w:r w:rsidRPr="00C0683E">
              <w:t>All LGAs in Australia become ‘green’ zones for the purposes of entering Victoria. NSW–Victoria border reopens.</w:t>
            </w:r>
          </w:p>
        </w:tc>
      </w:tr>
      <w:tr w:rsidR="007F0B48" w:rsidRPr="00C0683E" w14:paraId="7F95E7BE" w14:textId="77777777" w:rsidTr="007E0F79">
        <w:tc>
          <w:tcPr>
            <w:tcW w:w="562" w:type="dxa"/>
            <w:noWrap/>
            <w:hideMark/>
          </w:tcPr>
          <w:p w14:paraId="71B2F2A5" w14:textId="6AE6428E" w:rsidR="007F0B48" w:rsidRPr="00C0683E" w:rsidRDefault="007F0B48" w:rsidP="004C7BEF">
            <w:pPr>
              <w:pStyle w:val="ARtabletext"/>
            </w:pPr>
            <w:r w:rsidRPr="00C0683E">
              <w:t>7</w:t>
            </w:r>
          </w:p>
        </w:tc>
        <w:tc>
          <w:tcPr>
            <w:tcW w:w="9078" w:type="dxa"/>
            <w:noWrap/>
            <w:hideMark/>
          </w:tcPr>
          <w:p w14:paraId="79139707" w14:textId="77777777" w:rsidR="007F0B48" w:rsidRPr="00C0683E" w:rsidRDefault="007F0B48" w:rsidP="004C7BEF">
            <w:pPr>
              <w:pStyle w:val="ARtabletext"/>
            </w:pPr>
            <w:r w:rsidRPr="00C0683E">
              <w:t>More than 580 undergraduate and postgraduate university students join the vaccination workforce.</w:t>
            </w:r>
          </w:p>
        </w:tc>
      </w:tr>
      <w:tr w:rsidR="007F0B48" w:rsidRPr="00C0683E" w14:paraId="4AE714B9" w14:textId="77777777" w:rsidTr="007E0F79">
        <w:tc>
          <w:tcPr>
            <w:tcW w:w="562" w:type="dxa"/>
            <w:noWrap/>
            <w:hideMark/>
          </w:tcPr>
          <w:p w14:paraId="34E85C22" w14:textId="1E942ACA" w:rsidR="007F0B48" w:rsidRPr="00C0683E" w:rsidRDefault="007F0B48" w:rsidP="004C7BEF">
            <w:pPr>
              <w:pStyle w:val="ARtabletext"/>
            </w:pPr>
            <w:r w:rsidRPr="00C0683E">
              <w:t>8</w:t>
            </w:r>
          </w:p>
        </w:tc>
        <w:tc>
          <w:tcPr>
            <w:tcW w:w="9078" w:type="dxa"/>
            <w:noWrap/>
            <w:hideMark/>
          </w:tcPr>
          <w:p w14:paraId="512364C9" w14:textId="353A3BC2" w:rsidR="007F0B48" w:rsidRPr="00C0683E" w:rsidRDefault="007F0B48" w:rsidP="004C7BEF">
            <w:pPr>
              <w:pStyle w:val="ARtabletext"/>
            </w:pPr>
            <w:r w:rsidRPr="00C0683E">
              <w:t xml:space="preserve">Third-dose rollout expands to everyone 18 </w:t>
            </w:r>
            <w:r w:rsidR="00F20B38">
              <w:t xml:space="preserve">years </w:t>
            </w:r>
            <w:r w:rsidRPr="00C0683E">
              <w:t xml:space="preserve">and over who had their second dose six or more months </w:t>
            </w:r>
            <w:r w:rsidR="00F20B38" w:rsidRPr="00F20B38">
              <w:t>previously</w:t>
            </w:r>
            <w:r w:rsidRPr="00C0683E">
              <w:t>.</w:t>
            </w:r>
          </w:p>
          <w:p w14:paraId="55DE4417" w14:textId="77777777" w:rsidR="007F0B48" w:rsidRPr="00C0683E" w:rsidRDefault="007F0B48" w:rsidP="004C7BEF">
            <w:pPr>
              <w:pStyle w:val="ARtabletext"/>
            </w:pPr>
            <w:r w:rsidRPr="00C0683E">
              <w:t>RATs distributed to schools affected by COVID-19 outbreaks.</w:t>
            </w:r>
          </w:p>
        </w:tc>
      </w:tr>
      <w:tr w:rsidR="007F0B48" w:rsidRPr="00C0683E" w14:paraId="4DBB2422" w14:textId="77777777" w:rsidTr="007E0F79">
        <w:tc>
          <w:tcPr>
            <w:tcW w:w="562" w:type="dxa"/>
            <w:noWrap/>
            <w:hideMark/>
          </w:tcPr>
          <w:p w14:paraId="1E12EC67" w14:textId="16135A0B" w:rsidR="007F0B48" w:rsidRPr="00C0683E" w:rsidRDefault="007F0B48" w:rsidP="004C7BEF">
            <w:pPr>
              <w:pStyle w:val="ARtabletext"/>
            </w:pPr>
            <w:r w:rsidRPr="00C0683E">
              <w:t>13</w:t>
            </w:r>
          </w:p>
        </w:tc>
        <w:tc>
          <w:tcPr>
            <w:tcW w:w="9078" w:type="dxa"/>
            <w:noWrap/>
            <w:hideMark/>
          </w:tcPr>
          <w:p w14:paraId="5703F42C" w14:textId="77777777" w:rsidR="007F0B48" w:rsidRPr="00C0683E" w:rsidRDefault="007F0B48" w:rsidP="004C7BEF">
            <w:pPr>
              <w:pStyle w:val="ARtabletext"/>
            </w:pPr>
            <w:r w:rsidRPr="00F20B38">
              <w:t>Deadline</w:t>
            </w:r>
            <w:r w:rsidRPr="00C0683E">
              <w:t xml:space="preserve"> by which construction workers need to have their second COVID-19 vaccine to be eligible to continue working.</w:t>
            </w:r>
          </w:p>
        </w:tc>
      </w:tr>
      <w:tr w:rsidR="007F0B48" w:rsidRPr="00C0683E" w14:paraId="39B9B470" w14:textId="77777777" w:rsidTr="007E0F79">
        <w:tc>
          <w:tcPr>
            <w:tcW w:w="562" w:type="dxa"/>
            <w:noWrap/>
            <w:hideMark/>
          </w:tcPr>
          <w:p w14:paraId="1F6618A0" w14:textId="7F72264B" w:rsidR="007F0B48" w:rsidRPr="00C0683E" w:rsidRDefault="007F0B48" w:rsidP="004C7BEF">
            <w:pPr>
              <w:pStyle w:val="ARtabletext"/>
            </w:pPr>
            <w:r w:rsidRPr="00C0683E">
              <w:t>15</w:t>
            </w:r>
          </w:p>
        </w:tc>
        <w:tc>
          <w:tcPr>
            <w:tcW w:w="9078" w:type="dxa"/>
            <w:noWrap/>
            <w:hideMark/>
          </w:tcPr>
          <w:p w14:paraId="2ACB77A9" w14:textId="59340454" w:rsidR="007F0B48" w:rsidRPr="00572A61" w:rsidRDefault="007F0B48" w:rsidP="004C7BEF">
            <w:pPr>
              <w:pStyle w:val="ARtabletext"/>
            </w:pPr>
            <w:r w:rsidRPr="00572A61">
              <w:t>Deadline by which residential aged</w:t>
            </w:r>
            <w:r w:rsidR="004C4669" w:rsidRPr="00572A61">
              <w:t xml:space="preserve"> </w:t>
            </w:r>
            <w:r w:rsidRPr="00572A61">
              <w:t>care workers need to have their second COVID-19 vaccine to be eligible to continue working.</w:t>
            </w:r>
          </w:p>
          <w:p w14:paraId="5ABA5773" w14:textId="77777777" w:rsidR="007F0B48" w:rsidRPr="00572A61" w:rsidRDefault="007F0B48" w:rsidP="004C7BEF">
            <w:pPr>
              <w:pStyle w:val="ARtabletext"/>
            </w:pPr>
            <w:r w:rsidRPr="00572A61">
              <w:t>Private hospitals in Melbourne and Geelong resume 50 per cent of normal elective surgery lists.</w:t>
            </w:r>
          </w:p>
        </w:tc>
      </w:tr>
      <w:tr w:rsidR="007F0B48" w:rsidRPr="00C0683E" w14:paraId="7BC7F981" w14:textId="77777777" w:rsidTr="007E0F79">
        <w:tc>
          <w:tcPr>
            <w:tcW w:w="562" w:type="dxa"/>
            <w:noWrap/>
            <w:hideMark/>
          </w:tcPr>
          <w:p w14:paraId="244C087A" w14:textId="3B96F8BC" w:rsidR="007F0B48" w:rsidRPr="00C0683E" w:rsidRDefault="007F0B48" w:rsidP="004C7BEF">
            <w:pPr>
              <w:pStyle w:val="ARtabletext"/>
            </w:pPr>
            <w:r w:rsidRPr="00C0683E">
              <w:t>18</w:t>
            </w:r>
          </w:p>
        </w:tc>
        <w:tc>
          <w:tcPr>
            <w:tcW w:w="9078" w:type="dxa"/>
            <w:noWrap/>
            <w:hideMark/>
          </w:tcPr>
          <w:p w14:paraId="13EDF75B" w14:textId="77777777" w:rsidR="007F0B48" w:rsidRPr="008F2B21" w:rsidRDefault="007F0B48" w:rsidP="004C7BEF">
            <w:pPr>
              <w:pStyle w:val="ARtabletext"/>
            </w:pPr>
            <w:r w:rsidRPr="008F2B21">
              <w:t>Roadmap Phase D commences. Masks no longer required indoors (except for high-risk settings).</w:t>
            </w:r>
          </w:p>
          <w:p w14:paraId="2B371907" w14:textId="43E3FA04" w:rsidR="007F0B48" w:rsidRPr="008F2B21" w:rsidRDefault="007F0B48" w:rsidP="004C7BEF">
            <w:pPr>
              <w:pStyle w:val="ARtabletext"/>
            </w:pPr>
            <w:r w:rsidRPr="008F2B21">
              <w:t>Vaccinated economy remains in place</w:t>
            </w:r>
            <w:r w:rsidR="008F2B21" w:rsidRPr="008F2B21">
              <w:t>.</w:t>
            </w:r>
          </w:p>
        </w:tc>
      </w:tr>
      <w:tr w:rsidR="007F0B48" w:rsidRPr="00C0683E" w14:paraId="3A8E595F" w14:textId="77777777" w:rsidTr="007E0F79">
        <w:tc>
          <w:tcPr>
            <w:tcW w:w="562" w:type="dxa"/>
            <w:noWrap/>
            <w:hideMark/>
          </w:tcPr>
          <w:p w14:paraId="41BBD382" w14:textId="29D1258E" w:rsidR="007F0B48" w:rsidRPr="00C0683E" w:rsidRDefault="007F0B48" w:rsidP="004C7BEF">
            <w:pPr>
              <w:pStyle w:val="ARtabletext"/>
            </w:pPr>
            <w:r w:rsidRPr="00C0683E">
              <w:t>25</w:t>
            </w:r>
          </w:p>
        </w:tc>
        <w:tc>
          <w:tcPr>
            <w:tcW w:w="9078" w:type="dxa"/>
            <w:noWrap/>
            <w:hideMark/>
          </w:tcPr>
          <w:p w14:paraId="5DADEFA0" w14:textId="1756EBE1" w:rsidR="007F0B48" w:rsidRPr="008F2B21" w:rsidRDefault="007F0B48" w:rsidP="004C7BEF">
            <w:pPr>
              <w:pStyle w:val="ARtabletext"/>
            </w:pPr>
            <w:r w:rsidRPr="008F2B21">
              <w:t xml:space="preserve">90 per cent of Victorians aged 16 </w:t>
            </w:r>
            <w:r w:rsidR="001353E2" w:rsidRPr="008F2B21">
              <w:t xml:space="preserve">years </w:t>
            </w:r>
            <w:r w:rsidRPr="008F2B21">
              <w:t>and over vaccinated with two doses.</w:t>
            </w:r>
          </w:p>
          <w:p w14:paraId="74CEBF50" w14:textId="77777777" w:rsidR="007F0B48" w:rsidRPr="008F2B21" w:rsidRDefault="007F0B48" w:rsidP="004C7BEF">
            <w:pPr>
              <w:pStyle w:val="ARtabletext"/>
            </w:pPr>
            <w:r w:rsidRPr="008F2B21">
              <w:t>Domestic travel permit system ends.</w:t>
            </w:r>
          </w:p>
        </w:tc>
      </w:tr>
      <w:tr w:rsidR="007F0B48" w:rsidRPr="00C0683E" w14:paraId="7D0FD42A" w14:textId="77777777" w:rsidTr="007E0F79">
        <w:tc>
          <w:tcPr>
            <w:tcW w:w="562" w:type="dxa"/>
            <w:noWrap/>
            <w:hideMark/>
          </w:tcPr>
          <w:p w14:paraId="02076E5A" w14:textId="4EF0B8F4" w:rsidR="007F0B48" w:rsidRPr="00C0683E" w:rsidRDefault="007F0B48" w:rsidP="004C7BEF">
            <w:pPr>
              <w:pStyle w:val="ARtabletext"/>
            </w:pPr>
            <w:r w:rsidRPr="00C0683E">
              <w:t>26</w:t>
            </w:r>
          </w:p>
        </w:tc>
        <w:tc>
          <w:tcPr>
            <w:tcW w:w="9078" w:type="dxa"/>
            <w:noWrap/>
            <w:hideMark/>
          </w:tcPr>
          <w:p w14:paraId="72212831" w14:textId="77777777" w:rsidR="007F0B48" w:rsidRPr="00C0683E" w:rsidRDefault="007F0B48" w:rsidP="004C7BEF">
            <w:pPr>
              <w:pStyle w:val="ARtabletext"/>
            </w:pPr>
            <w:r w:rsidRPr="00F45898">
              <w:t>Deadline</w:t>
            </w:r>
            <w:r w:rsidRPr="00C0683E">
              <w:t xml:space="preserve"> by which Authorised Workers need to have their second COVID-19 vaccine to be eligible to continue working.</w:t>
            </w:r>
          </w:p>
        </w:tc>
      </w:tr>
      <w:tr w:rsidR="007F0B48" w:rsidRPr="00C0683E" w14:paraId="10AABFE4" w14:textId="77777777" w:rsidTr="007E0F79">
        <w:tc>
          <w:tcPr>
            <w:tcW w:w="562" w:type="dxa"/>
            <w:noWrap/>
            <w:hideMark/>
          </w:tcPr>
          <w:p w14:paraId="634B4378" w14:textId="03F452AB" w:rsidR="007F0B48" w:rsidRPr="00C0683E" w:rsidRDefault="007F0B48" w:rsidP="004C7BEF">
            <w:pPr>
              <w:pStyle w:val="ARtabletext"/>
            </w:pPr>
            <w:r w:rsidRPr="00C0683E">
              <w:t>28</w:t>
            </w:r>
          </w:p>
        </w:tc>
        <w:tc>
          <w:tcPr>
            <w:tcW w:w="9078" w:type="dxa"/>
            <w:noWrap/>
            <w:hideMark/>
          </w:tcPr>
          <w:p w14:paraId="5968484E" w14:textId="77777777" w:rsidR="007F0B48" w:rsidRPr="00C0683E" w:rsidRDefault="007F0B48" w:rsidP="004C7BEF">
            <w:pPr>
              <w:pStyle w:val="ARtabletext"/>
            </w:pPr>
            <w:r w:rsidRPr="00C0683E">
              <w:t>Enhanced quarantine requirements for international travellers from countries linked to the Omicron COVID</w:t>
            </w:r>
            <w:r w:rsidRPr="00C0683E">
              <w:noBreakHyphen/>
              <w:t>19 variant.</w:t>
            </w:r>
          </w:p>
        </w:tc>
      </w:tr>
      <w:tr w:rsidR="007F0B48" w:rsidRPr="00C0683E" w14:paraId="575A3396" w14:textId="77777777" w:rsidTr="007E0F79">
        <w:tc>
          <w:tcPr>
            <w:tcW w:w="562" w:type="dxa"/>
            <w:noWrap/>
            <w:hideMark/>
          </w:tcPr>
          <w:p w14:paraId="0190425B" w14:textId="4F141E6C" w:rsidR="007F0B48" w:rsidRPr="00C0683E" w:rsidRDefault="007F0B48" w:rsidP="004C7BEF">
            <w:pPr>
              <w:pStyle w:val="ARtabletext"/>
            </w:pPr>
            <w:r w:rsidRPr="00C0683E">
              <w:t>29</w:t>
            </w:r>
          </w:p>
        </w:tc>
        <w:tc>
          <w:tcPr>
            <w:tcW w:w="9078" w:type="dxa"/>
            <w:noWrap/>
            <w:hideMark/>
          </w:tcPr>
          <w:p w14:paraId="164E5D33" w14:textId="77777777" w:rsidR="007F0B48" w:rsidRPr="00C0683E" w:rsidRDefault="007F0B48" w:rsidP="004C7BEF">
            <w:pPr>
              <w:pStyle w:val="ARtabletext"/>
            </w:pPr>
            <w:r w:rsidRPr="00F20B38">
              <w:t>Deadline</w:t>
            </w:r>
            <w:r w:rsidRPr="00C0683E">
              <w:t xml:space="preserve"> by which education workers need to have their second COVID-19 vaccine to be eligible to continue working.</w:t>
            </w:r>
          </w:p>
        </w:tc>
      </w:tr>
      <w:tr w:rsidR="007F0B48" w:rsidRPr="00C0683E" w14:paraId="70A504A7" w14:textId="77777777" w:rsidTr="004C7BEF">
        <w:tc>
          <w:tcPr>
            <w:tcW w:w="9640" w:type="dxa"/>
            <w:gridSpan w:val="2"/>
            <w:noWrap/>
            <w:hideMark/>
          </w:tcPr>
          <w:p w14:paraId="3A79E077" w14:textId="77777777" w:rsidR="007F0B48" w:rsidRPr="00C0683E" w:rsidRDefault="007F0B48" w:rsidP="00A64849">
            <w:pPr>
              <w:pStyle w:val="ARtablecolourbold"/>
              <w:pageBreakBefore/>
            </w:pPr>
            <w:r w:rsidRPr="00C0683E">
              <w:t>December 2021</w:t>
            </w:r>
          </w:p>
        </w:tc>
      </w:tr>
      <w:tr w:rsidR="007F0B48" w:rsidRPr="00C0683E" w14:paraId="7695EAA3" w14:textId="77777777" w:rsidTr="007E0F79">
        <w:tc>
          <w:tcPr>
            <w:tcW w:w="562" w:type="dxa"/>
            <w:noWrap/>
            <w:hideMark/>
          </w:tcPr>
          <w:p w14:paraId="05B06931" w14:textId="51DFE6D5" w:rsidR="007F0B48" w:rsidRPr="00C0683E" w:rsidRDefault="007F0B48" w:rsidP="004C7BEF">
            <w:pPr>
              <w:pStyle w:val="ARtabletext"/>
            </w:pPr>
            <w:r w:rsidRPr="00C0683E">
              <w:t>2</w:t>
            </w:r>
          </w:p>
        </w:tc>
        <w:tc>
          <w:tcPr>
            <w:tcW w:w="9078" w:type="dxa"/>
            <w:noWrap/>
            <w:hideMark/>
          </w:tcPr>
          <w:p w14:paraId="5BC02D47" w14:textId="36532137" w:rsidR="007F0B48" w:rsidRPr="00C0683E" w:rsidRDefault="007F0B48" w:rsidP="004C7BEF">
            <w:pPr>
              <w:pStyle w:val="ARtabletext"/>
            </w:pPr>
            <w:r w:rsidRPr="00C0683E">
              <w:t xml:space="preserve">Parliament passes the </w:t>
            </w:r>
            <w:r w:rsidRPr="00C0683E">
              <w:rPr>
                <w:i/>
                <w:iCs/>
              </w:rPr>
              <w:t xml:space="preserve">Public Health and Wellbeing Amendment (Pandemic Management) </w:t>
            </w:r>
            <w:r w:rsidR="003513E6">
              <w:rPr>
                <w:i/>
                <w:iCs/>
              </w:rPr>
              <w:t>Act</w:t>
            </w:r>
            <w:r w:rsidR="00006EEB">
              <w:rPr>
                <w:i/>
                <w:iCs/>
              </w:rPr>
              <w:t xml:space="preserve"> 2021</w:t>
            </w:r>
            <w:r w:rsidRPr="00C0683E">
              <w:t>.</w:t>
            </w:r>
          </w:p>
        </w:tc>
      </w:tr>
      <w:tr w:rsidR="007F0B48" w:rsidRPr="00C0683E" w14:paraId="674DA03D" w14:textId="77777777" w:rsidTr="007E0F79">
        <w:tc>
          <w:tcPr>
            <w:tcW w:w="562" w:type="dxa"/>
            <w:noWrap/>
            <w:hideMark/>
          </w:tcPr>
          <w:p w14:paraId="705753FE" w14:textId="4E13C9D1" w:rsidR="007F0B48" w:rsidRPr="00C0683E" w:rsidRDefault="007F0B48" w:rsidP="004C7BEF">
            <w:pPr>
              <w:pStyle w:val="ARtabletext"/>
            </w:pPr>
            <w:r w:rsidRPr="00C0683E">
              <w:t>8</w:t>
            </w:r>
          </w:p>
        </w:tc>
        <w:tc>
          <w:tcPr>
            <w:tcW w:w="9078" w:type="dxa"/>
            <w:noWrap/>
            <w:hideMark/>
          </w:tcPr>
          <w:p w14:paraId="613E1CF3" w14:textId="77777777" w:rsidR="007F0B48" w:rsidRPr="00C0683E" w:rsidRDefault="007F0B48" w:rsidP="004C7BEF">
            <w:pPr>
              <w:pStyle w:val="ARtabletext"/>
            </w:pPr>
            <w:r w:rsidRPr="00C0683E">
              <w:t>First case of Omicron detected in Victoria.</w:t>
            </w:r>
          </w:p>
          <w:p w14:paraId="26E982DA" w14:textId="683248AA" w:rsidR="007F0B48" w:rsidRPr="00C0683E" w:rsidRDefault="007F0B48" w:rsidP="004C7BEF">
            <w:pPr>
              <w:pStyle w:val="ARtabletext"/>
            </w:pPr>
            <w:r w:rsidRPr="00C0683E">
              <w:t>Demand for PCR testing intensifies ahead of the holiday</w:t>
            </w:r>
            <w:r w:rsidR="003513E6">
              <w:t xml:space="preserve"> period</w:t>
            </w:r>
            <w:r w:rsidRPr="00C0683E">
              <w:t xml:space="preserve"> due to interstate travel requirements. Long queues and extended turnaround times continue into January.</w:t>
            </w:r>
          </w:p>
        </w:tc>
      </w:tr>
      <w:tr w:rsidR="007F0B48" w:rsidRPr="00C0683E" w14:paraId="2CD73B71" w14:textId="77777777" w:rsidTr="007E0F79">
        <w:tc>
          <w:tcPr>
            <w:tcW w:w="562" w:type="dxa"/>
            <w:noWrap/>
            <w:hideMark/>
          </w:tcPr>
          <w:p w14:paraId="28092319" w14:textId="6C1A979E" w:rsidR="007F0B48" w:rsidRPr="00C0683E" w:rsidRDefault="007F0B48" w:rsidP="004C7BEF">
            <w:pPr>
              <w:pStyle w:val="ARtabletext"/>
            </w:pPr>
            <w:r w:rsidRPr="00C0683E">
              <w:t>12</w:t>
            </w:r>
          </w:p>
        </w:tc>
        <w:tc>
          <w:tcPr>
            <w:tcW w:w="9078" w:type="dxa"/>
            <w:noWrap/>
            <w:hideMark/>
          </w:tcPr>
          <w:p w14:paraId="01942EE2" w14:textId="2B8C01DE" w:rsidR="007F0B48" w:rsidRPr="00C0683E" w:rsidRDefault="003513E6" w:rsidP="004C7BEF">
            <w:pPr>
              <w:pStyle w:val="ARtabletext"/>
            </w:pPr>
            <w:r>
              <w:t>Australian Technical Advisory Group on Immunisation (</w:t>
            </w:r>
            <w:r w:rsidR="007F0B48" w:rsidRPr="00C0683E">
              <w:t>ATAGI</w:t>
            </w:r>
            <w:r>
              <w:t>)</w:t>
            </w:r>
            <w:r w:rsidR="007F0B48" w:rsidRPr="00C0683E">
              <w:t xml:space="preserve"> reduces </w:t>
            </w:r>
            <w:r w:rsidR="007F0B48" w:rsidRPr="002D0CC3">
              <w:t>third-dose</w:t>
            </w:r>
            <w:r w:rsidR="007F0B48" w:rsidRPr="00C0683E">
              <w:t xml:space="preserve"> interval</w:t>
            </w:r>
            <w:r w:rsidR="002D0CC3">
              <w:t xml:space="preserve"> from six</w:t>
            </w:r>
            <w:r w:rsidR="007F0B48" w:rsidRPr="00C0683E">
              <w:t xml:space="preserve"> to five months.</w:t>
            </w:r>
          </w:p>
        </w:tc>
      </w:tr>
      <w:tr w:rsidR="007F0B48" w:rsidRPr="00C0683E" w14:paraId="40B7BCD4" w14:textId="77777777" w:rsidTr="007E0F79">
        <w:tc>
          <w:tcPr>
            <w:tcW w:w="562" w:type="dxa"/>
            <w:noWrap/>
            <w:hideMark/>
          </w:tcPr>
          <w:p w14:paraId="58101F63" w14:textId="53377DE3" w:rsidR="007F0B48" w:rsidRPr="00C0683E" w:rsidRDefault="007F0B48" w:rsidP="004C7BEF">
            <w:pPr>
              <w:pStyle w:val="ARtabletext"/>
            </w:pPr>
            <w:r w:rsidRPr="00C0683E">
              <w:t>14</w:t>
            </w:r>
          </w:p>
        </w:tc>
        <w:tc>
          <w:tcPr>
            <w:tcW w:w="9078" w:type="dxa"/>
            <w:noWrap/>
            <w:hideMark/>
          </w:tcPr>
          <w:p w14:paraId="7D910D4A" w14:textId="12E5401D" w:rsidR="007F0B48" w:rsidRPr="00C0683E" w:rsidRDefault="007F0B48" w:rsidP="004C7BEF">
            <w:pPr>
              <w:pStyle w:val="ARtabletext"/>
            </w:pPr>
            <w:r w:rsidRPr="00C0683E">
              <w:t xml:space="preserve">Demand for PCR testing varies between 71,000 and 88,000 </w:t>
            </w:r>
            <w:r w:rsidRPr="003513E6">
              <w:t xml:space="preserve">tests </w:t>
            </w:r>
            <w:r w:rsidR="003513E6" w:rsidRPr="003513E6">
              <w:t>a</w:t>
            </w:r>
            <w:r w:rsidR="003513E6">
              <w:t xml:space="preserve"> day </w:t>
            </w:r>
            <w:r w:rsidRPr="00C0683E">
              <w:t>for six days.</w:t>
            </w:r>
          </w:p>
        </w:tc>
      </w:tr>
      <w:tr w:rsidR="007F0B48" w:rsidRPr="00C0683E" w14:paraId="67FE753B" w14:textId="77777777" w:rsidTr="007E0F79">
        <w:tc>
          <w:tcPr>
            <w:tcW w:w="562" w:type="dxa"/>
            <w:noWrap/>
            <w:hideMark/>
          </w:tcPr>
          <w:p w14:paraId="63D3EF0C" w14:textId="7FD9596B" w:rsidR="007F0B48" w:rsidRPr="00C0683E" w:rsidRDefault="007F0B48" w:rsidP="004C7BEF">
            <w:pPr>
              <w:pStyle w:val="ARtabletext"/>
            </w:pPr>
            <w:r w:rsidRPr="00C0683E">
              <w:t>15</w:t>
            </w:r>
          </w:p>
        </w:tc>
        <w:tc>
          <w:tcPr>
            <w:tcW w:w="9078" w:type="dxa"/>
            <w:noWrap/>
            <w:hideMark/>
          </w:tcPr>
          <w:p w14:paraId="54869DFD" w14:textId="77777777" w:rsidR="007F0B48" w:rsidRPr="00C0683E" w:rsidRDefault="007F0B48" w:rsidP="004C7BEF">
            <w:pPr>
              <w:pStyle w:val="ARtabletext"/>
            </w:pPr>
            <w:r w:rsidRPr="00C0683E">
              <w:t>First ministerial pandemic orders issued under new legislation. Public health restrictions updated.</w:t>
            </w:r>
          </w:p>
          <w:p w14:paraId="4B67CBB3" w14:textId="77777777" w:rsidR="007F0B48" w:rsidRPr="00C0683E" w:rsidRDefault="007F0B48" w:rsidP="004C7BEF">
            <w:pPr>
              <w:pStyle w:val="ARtabletext"/>
            </w:pPr>
            <w:r w:rsidRPr="002D0CC3">
              <w:t>Deadline</w:t>
            </w:r>
            <w:r w:rsidRPr="00C0683E">
              <w:t xml:space="preserve"> by which healthcare workers need to have their second COVID-19 vaccine to be eligible to continue working.</w:t>
            </w:r>
          </w:p>
        </w:tc>
      </w:tr>
      <w:tr w:rsidR="007F0B48" w:rsidRPr="00C0683E" w14:paraId="0EA7F049" w14:textId="77777777" w:rsidTr="007E0F79">
        <w:tc>
          <w:tcPr>
            <w:tcW w:w="562" w:type="dxa"/>
            <w:noWrap/>
            <w:hideMark/>
          </w:tcPr>
          <w:p w14:paraId="27E44528" w14:textId="5048699D" w:rsidR="007F0B48" w:rsidRPr="00C0683E" w:rsidRDefault="007F0B48" w:rsidP="004C7BEF">
            <w:pPr>
              <w:pStyle w:val="ARtabletext"/>
            </w:pPr>
            <w:r w:rsidRPr="00C0683E">
              <w:t>17</w:t>
            </w:r>
          </w:p>
        </w:tc>
        <w:tc>
          <w:tcPr>
            <w:tcW w:w="9078" w:type="dxa"/>
            <w:noWrap/>
            <w:hideMark/>
          </w:tcPr>
          <w:p w14:paraId="7B3DD882" w14:textId="77777777" w:rsidR="007F0B48" w:rsidRPr="00C0683E" w:rsidRDefault="007F0B48" w:rsidP="004C7BEF">
            <w:pPr>
              <w:pStyle w:val="ARtabletext"/>
            </w:pPr>
            <w:r w:rsidRPr="00C0683E">
              <w:t>Capacity increased at state-run vaccination clinics for pre-Christmas booster blitz.</w:t>
            </w:r>
          </w:p>
        </w:tc>
      </w:tr>
      <w:tr w:rsidR="007F0B48" w:rsidRPr="00C0683E" w14:paraId="4E3AF723" w14:textId="77777777" w:rsidTr="007E0F79">
        <w:tc>
          <w:tcPr>
            <w:tcW w:w="562" w:type="dxa"/>
            <w:noWrap/>
            <w:hideMark/>
          </w:tcPr>
          <w:p w14:paraId="5BB9DA23" w14:textId="05087CBD" w:rsidR="007F0B48" w:rsidRPr="00C0683E" w:rsidRDefault="007F0B48" w:rsidP="004C7BEF">
            <w:pPr>
              <w:pStyle w:val="ARtabletext"/>
            </w:pPr>
            <w:r w:rsidRPr="00C0683E">
              <w:t>21</w:t>
            </w:r>
          </w:p>
        </w:tc>
        <w:tc>
          <w:tcPr>
            <w:tcW w:w="9078" w:type="dxa"/>
            <w:noWrap/>
            <w:hideMark/>
          </w:tcPr>
          <w:p w14:paraId="03F264B5" w14:textId="77777777" w:rsidR="007F0B48" w:rsidRPr="00C0683E" w:rsidRDefault="007F0B48" w:rsidP="004C7BEF">
            <w:pPr>
              <w:pStyle w:val="ARtabletext"/>
            </w:pPr>
            <w:r w:rsidRPr="00C0683E">
              <w:t>Daily PCR testing peak of 92,262 tests.</w:t>
            </w:r>
          </w:p>
          <w:p w14:paraId="050E2E21" w14:textId="77777777" w:rsidR="007F0B48" w:rsidRPr="00C0683E" w:rsidRDefault="007F0B48" w:rsidP="004C7BEF">
            <w:pPr>
              <w:pStyle w:val="ARtabletext"/>
            </w:pPr>
            <w:r w:rsidRPr="00C0683E">
              <w:t>Public information campaign launched to help manage the testing experience.</w:t>
            </w:r>
          </w:p>
          <w:p w14:paraId="0C0C4836" w14:textId="77777777" w:rsidR="007F0B48" w:rsidRPr="00C0683E" w:rsidRDefault="007F0B48" w:rsidP="004C7BEF">
            <w:pPr>
              <w:pStyle w:val="ARtabletext"/>
            </w:pPr>
            <w:r w:rsidRPr="00C0683E">
              <w:t>Testing requirements ease for fully vaccinated international travellers and flight crew, who only need to isolate until they receive a negative PCR test result.</w:t>
            </w:r>
          </w:p>
        </w:tc>
      </w:tr>
      <w:tr w:rsidR="007F0B48" w:rsidRPr="00C0683E" w14:paraId="1A1FA605" w14:textId="77777777" w:rsidTr="007E0F79">
        <w:tc>
          <w:tcPr>
            <w:tcW w:w="562" w:type="dxa"/>
            <w:noWrap/>
            <w:hideMark/>
          </w:tcPr>
          <w:p w14:paraId="4727EA68" w14:textId="31A603D3" w:rsidR="007F0B48" w:rsidRPr="00C0683E" w:rsidRDefault="007F0B48" w:rsidP="004C7BEF">
            <w:pPr>
              <w:pStyle w:val="ARtabletext"/>
            </w:pPr>
            <w:r w:rsidRPr="00C0683E">
              <w:t>23</w:t>
            </w:r>
          </w:p>
        </w:tc>
        <w:tc>
          <w:tcPr>
            <w:tcW w:w="9078" w:type="dxa"/>
            <w:noWrap/>
            <w:hideMark/>
          </w:tcPr>
          <w:p w14:paraId="615878D0" w14:textId="48ED9316" w:rsidR="007F0B48" w:rsidRPr="00C0683E" w:rsidRDefault="007F0B48" w:rsidP="004C7BEF">
            <w:pPr>
              <w:pStyle w:val="ARtabletext"/>
            </w:pPr>
            <w:r w:rsidRPr="00C0683E">
              <w:t xml:space="preserve">Masks required indoors for </w:t>
            </w:r>
            <w:r w:rsidR="003513E6">
              <w:t>everyone aged</w:t>
            </w:r>
            <w:r w:rsidR="003513E6" w:rsidRPr="00C0683E">
              <w:t xml:space="preserve"> </w:t>
            </w:r>
            <w:r w:rsidRPr="00C0683E">
              <w:t xml:space="preserve">8 </w:t>
            </w:r>
            <w:r w:rsidR="003513E6">
              <w:t xml:space="preserve">years </w:t>
            </w:r>
            <w:r w:rsidRPr="00C0683E">
              <w:t>and over.</w:t>
            </w:r>
          </w:p>
        </w:tc>
      </w:tr>
      <w:tr w:rsidR="007F0B48" w:rsidRPr="00C0683E" w14:paraId="16F0CDEF" w14:textId="77777777" w:rsidTr="007E0F79">
        <w:tc>
          <w:tcPr>
            <w:tcW w:w="562" w:type="dxa"/>
            <w:noWrap/>
            <w:hideMark/>
          </w:tcPr>
          <w:p w14:paraId="4B30DB38" w14:textId="5D30A03C" w:rsidR="007F0B48" w:rsidRPr="00C0683E" w:rsidRDefault="007F0B48" w:rsidP="004C7BEF">
            <w:pPr>
              <w:pStyle w:val="ARtabletext"/>
            </w:pPr>
            <w:r w:rsidRPr="00C0683E">
              <w:t>24</w:t>
            </w:r>
          </w:p>
        </w:tc>
        <w:tc>
          <w:tcPr>
            <w:tcW w:w="9078" w:type="dxa"/>
            <w:noWrap/>
            <w:hideMark/>
          </w:tcPr>
          <w:p w14:paraId="2C56BF2C" w14:textId="2E4C721C" w:rsidR="007F0B48" w:rsidRPr="00C0683E" w:rsidRDefault="007F0B48" w:rsidP="004C7BEF">
            <w:pPr>
              <w:pStyle w:val="ARtabletext"/>
            </w:pPr>
            <w:r w:rsidRPr="00C0683E">
              <w:t xml:space="preserve">ATAGI reduces </w:t>
            </w:r>
            <w:r w:rsidRPr="002D0CC3">
              <w:t>third-dose interval</w:t>
            </w:r>
            <w:r w:rsidRPr="00C0683E">
              <w:t xml:space="preserve"> </w:t>
            </w:r>
            <w:r w:rsidR="002D0CC3">
              <w:t xml:space="preserve">from five </w:t>
            </w:r>
            <w:r w:rsidRPr="00C0683E">
              <w:t>to four months due to prevalence of Omicron.</w:t>
            </w:r>
          </w:p>
        </w:tc>
      </w:tr>
      <w:tr w:rsidR="007F0B48" w:rsidRPr="00C0683E" w14:paraId="0DA26912" w14:textId="77777777" w:rsidTr="007E0F79">
        <w:tc>
          <w:tcPr>
            <w:tcW w:w="562" w:type="dxa"/>
            <w:noWrap/>
            <w:hideMark/>
          </w:tcPr>
          <w:p w14:paraId="2F190039" w14:textId="2D80178F" w:rsidR="007F0B48" w:rsidRPr="00C0683E" w:rsidRDefault="007F0B48" w:rsidP="004C7BEF">
            <w:pPr>
              <w:pStyle w:val="ARtabletext"/>
            </w:pPr>
            <w:r w:rsidRPr="00C0683E">
              <w:t>29</w:t>
            </w:r>
          </w:p>
        </w:tc>
        <w:tc>
          <w:tcPr>
            <w:tcW w:w="9078" w:type="dxa"/>
            <w:noWrap/>
            <w:hideMark/>
          </w:tcPr>
          <w:p w14:paraId="6D2A5F99" w14:textId="77777777" w:rsidR="007F0B48" w:rsidRPr="00C0683E" w:rsidRDefault="007F0B48" w:rsidP="004C7BEF">
            <w:pPr>
              <w:pStyle w:val="ARtabletext"/>
            </w:pPr>
            <w:r w:rsidRPr="00C0683E">
              <w:t>Victorian Government announces order of 34 million RAT kits to be delivered in January 2022.</w:t>
            </w:r>
          </w:p>
        </w:tc>
      </w:tr>
      <w:tr w:rsidR="007F0B48" w:rsidRPr="00C0683E" w14:paraId="483C9ACA" w14:textId="77777777" w:rsidTr="007E0F79">
        <w:tc>
          <w:tcPr>
            <w:tcW w:w="562" w:type="dxa"/>
            <w:noWrap/>
            <w:hideMark/>
          </w:tcPr>
          <w:p w14:paraId="2AA58E03" w14:textId="261482CC" w:rsidR="007F0B48" w:rsidRPr="00C0683E" w:rsidRDefault="007F0B48" w:rsidP="004C7BEF">
            <w:pPr>
              <w:pStyle w:val="ARtabletext"/>
            </w:pPr>
            <w:r w:rsidRPr="00C0683E">
              <w:t>30</w:t>
            </w:r>
          </w:p>
        </w:tc>
        <w:tc>
          <w:tcPr>
            <w:tcW w:w="9078" w:type="dxa"/>
            <w:noWrap/>
            <w:hideMark/>
          </w:tcPr>
          <w:p w14:paraId="2C45E4F4" w14:textId="24AB00DE" w:rsidR="007F0B48" w:rsidRPr="00C0683E" w:rsidRDefault="007F0B48" w:rsidP="004C7BEF">
            <w:pPr>
              <w:pStyle w:val="ARtabletext"/>
            </w:pPr>
            <w:r w:rsidRPr="002D0CC3">
              <w:t>‘</w:t>
            </w:r>
            <w:r w:rsidR="002D0CC3" w:rsidRPr="00AA5349">
              <w:t>C</w:t>
            </w:r>
            <w:r w:rsidRPr="002D0CC3">
              <w:t xml:space="preserve">lose contact’ </w:t>
            </w:r>
            <w:r w:rsidR="002D0CC3" w:rsidRPr="00AA5349">
              <w:t xml:space="preserve">redefined </w:t>
            </w:r>
            <w:r w:rsidRPr="002D0CC3">
              <w:t xml:space="preserve">as </w:t>
            </w:r>
            <w:r w:rsidR="002D0CC3" w:rsidRPr="00AA5349">
              <w:t xml:space="preserve">someone who has spent </w:t>
            </w:r>
            <w:r w:rsidRPr="002D0CC3">
              <w:t>four or more hours in a household setting with a confirmed case.</w:t>
            </w:r>
          </w:p>
          <w:p w14:paraId="106D32A5" w14:textId="77777777" w:rsidR="007F0B48" w:rsidRPr="00C0683E" w:rsidRDefault="007F0B48" w:rsidP="004C7BEF">
            <w:pPr>
              <w:pStyle w:val="ARtabletext"/>
            </w:pPr>
            <w:r w:rsidRPr="00C0683E">
              <w:t>Long queues at testing sites further compounded by heatwave conditions, with many sites forced to suspend operations until 2 January 2022.</w:t>
            </w:r>
          </w:p>
        </w:tc>
      </w:tr>
      <w:tr w:rsidR="007F0B48" w:rsidRPr="00C0683E" w14:paraId="7B42E1D0" w14:textId="77777777" w:rsidTr="007E0F79">
        <w:tc>
          <w:tcPr>
            <w:tcW w:w="562" w:type="dxa"/>
            <w:noWrap/>
            <w:hideMark/>
          </w:tcPr>
          <w:p w14:paraId="580B0FB9" w14:textId="4F4D1C9D" w:rsidR="007F0B48" w:rsidRPr="00C0683E" w:rsidRDefault="007F0B48" w:rsidP="004C7BEF">
            <w:pPr>
              <w:pStyle w:val="ARtabletext"/>
            </w:pPr>
            <w:r w:rsidRPr="00C0683E">
              <w:t>31</w:t>
            </w:r>
          </w:p>
        </w:tc>
        <w:tc>
          <w:tcPr>
            <w:tcW w:w="9078" w:type="dxa"/>
            <w:noWrap/>
            <w:hideMark/>
          </w:tcPr>
          <w:p w14:paraId="3B670BF7" w14:textId="74466EC0" w:rsidR="007F0B48" w:rsidRPr="00C0683E" w:rsidRDefault="007F0B48" w:rsidP="004C7BEF">
            <w:pPr>
              <w:pStyle w:val="ARtabletext"/>
            </w:pPr>
            <w:r w:rsidRPr="00C0683E">
              <w:t>Isolation requirements for positive cases reduced</w:t>
            </w:r>
            <w:r w:rsidR="002D0CC3">
              <w:t xml:space="preserve"> from 10</w:t>
            </w:r>
            <w:r w:rsidRPr="00C0683E">
              <w:t xml:space="preserve"> to </w:t>
            </w:r>
            <w:r w:rsidR="003513E6">
              <w:t>seven</w:t>
            </w:r>
            <w:r w:rsidRPr="00C0683E">
              <w:t xml:space="preserve"> days.</w:t>
            </w:r>
          </w:p>
        </w:tc>
      </w:tr>
      <w:tr w:rsidR="007F0B48" w:rsidRPr="00C0683E" w14:paraId="0C5A79DB" w14:textId="77777777" w:rsidTr="004C7BEF">
        <w:tc>
          <w:tcPr>
            <w:tcW w:w="9640" w:type="dxa"/>
            <w:gridSpan w:val="2"/>
            <w:noWrap/>
            <w:hideMark/>
          </w:tcPr>
          <w:p w14:paraId="4FDDD5A8" w14:textId="77777777" w:rsidR="007F0B48" w:rsidRPr="00C0683E" w:rsidRDefault="007F0B48" w:rsidP="004C7BEF">
            <w:pPr>
              <w:pStyle w:val="ARtablecolourbold"/>
            </w:pPr>
            <w:r w:rsidRPr="00C0683E">
              <w:t>January 2022</w:t>
            </w:r>
          </w:p>
        </w:tc>
      </w:tr>
      <w:tr w:rsidR="007F0B48" w:rsidRPr="00C0683E" w14:paraId="5D6FAB9E" w14:textId="77777777" w:rsidTr="007E0F79">
        <w:tc>
          <w:tcPr>
            <w:tcW w:w="562" w:type="dxa"/>
            <w:noWrap/>
            <w:hideMark/>
          </w:tcPr>
          <w:p w14:paraId="060188A6" w14:textId="4D13A6F9" w:rsidR="007F0B48" w:rsidRPr="00C0683E" w:rsidRDefault="007F0B48" w:rsidP="004C7BEF">
            <w:pPr>
              <w:pStyle w:val="ARtabletext"/>
            </w:pPr>
            <w:r w:rsidRPr="00C0683E">
              <w:t>5</w:t>
            </w:r>
          </w:p>
        </w:tc>
        <w:tc>
          <w:tcPr>
            <w:tcW w:w="9078" w:type="dxa"/>
            <w:noWrap/>
            <w:hideMark/>
          </w:tcPr>
          <w:p w14:paraId="03E403BA" w14:textId="77777777" w:rsidR="007F0B48" w:rsidRPr="00C0683E" w:rsidRDefault="007F0B48" w:rsidP="004C7BEF">
            <w:pPr>
              <w:pStyle w:val="ARtabletext"/>
            </w:pPr>
            <w:r w:rsidRPr="00C0683E">
              <w:t>Distribution of free RAT kits begins at four testing centres under a pilot program.</w:t>
            </w:r>
          </w:p>
        </w:tc>
      </w:tr>
      <w:tr w:rsidR="007F0B48" w:rsidRPr="00C0683E" w14:paraId="489AA13E" w14:textId="77777777" w:rsidTr="007E0F79">
        <w:tc>
          <w:tcPr>
            <w:tcW w:w="562" w:type="dxa"/>
            <w:noWrap/>
            <w:hideMark/>
          </w:tcPr>
          <w:p w14:paraId="2017BD51" w14:textId="05F9759A" w:rsidR="007F0B48" w:rsidRPr="00C0683E" w:rsidRDefault="007F0B48" w:rsidP="004C7BEF">
            <w:pPr>
              <w:pStyle w:val="ARtabletext"/>
            </w:pPr>
            <w:r w:rsidRPr="00C0683E">
              <w:t>6</w:t>
            </w:r>
          </w:p>
        </w:tc>
        <w:tc>
          <w:tcPr>
            <w:tcW w:w="9078" w:type="dxa"/>
            <w:noWrap/>
            <w:hideMark/>
          </w:tcPr>
          <w:p w14:paraId="49C69C00" w14:textId="77777777" w:rsidR="007F0B48" w:rsidRPr="00C0683E" w:rsidRDefault="007F0B48" w:rsidP="004C7BEF">
            <w:pPr>
              <w:pStyle w:val="ARtabletext"/>
            </w:pPr>
            <w:r w:rsidRPr="00C0683E">
              <w:t>Changes to reduce PCR testing queues and ease pressure on pathology labs. Anyone who returns a positive RAT result is considered a ‘probable case’ with the same obligations as someone who returns a positive PCR test.</w:t>
            </w:r>
          </w:p>
          <w:p w14:paraId="635B8217" w14:textId="30115685" w:rsidR="007F0B48" w:rsidRPr="00C0683E" w:rsidRDefault="007F0B48" w:rsidP="004C7BEF">
            <w:pPr>
              <w:pStyle w:val="ARtabletext"/>
            </w:pPr>
            <w:r w:rsidRPr="00C0683E">
              <w:t>Non-urgent elective surgery temporarily reduced.</w:t>
            </w:r>
          </w:p>
        </w:tc>
      </w:tr>
      <w:tr w:rsidR="007F0B48" w:rsidRPr="00C0683E" w14:paraId="13DC03EE" w14:textId="77777777" w:rsidTr="007E0F79">
        <w:tc>
          <w:tcPr>
            <w:tcW w:w="562" w:type="dxa"/>
            <w:noWrap/>
            <w:hideMark/>
          </w:tcPr>
          <w:p w14:paraId="6F28AF26" w14:textId="4E2151F0" w:rsidR="007F0B48" w:rsidRPr="00C0683E" w:rsidRDefault="007F0B48" w:rsidP="004C7BEF">
            <w:pPr>
              <w:pStyle w:val="ARtabletext"/>
            </w:pPr>
            <w:r w:rsidRPr="00C0683E">
              <w:t>7</w:t>
            </w:r>
          </w:p>
        </w:tc>
        <w:tc>
          <w:tcPr>
            <w:tcW w:w="9078" w:type="dxa"/>
            <w:noWrap/>
            <w:hideMark/>
          </w:tcPr>
          <w:p w14:paraId="06D426AA" w14:textId="77777777" w:rsidR="007F0B48" w:rsidRPr="00C0683E" w:rsidRDefault="007F0B48" w:rsidP="004C7BEF">
            <w:pPr>
              <w:pStyle w:val="ARtabletext"/>
            </w:pPr>
            <w:r w:rsidRPr="00C0683E">
              <w:t>Victoria introduces mandatory reporting of positive RAT results – the first state or territory to do so.</w:t>
            </w:r>
          </w:p>
        </w:tc>
      </w:tr>
      <w:tr w:rsidR="007F0B48" w:rsidRPr="00C0683E" w14:paraId="7F66056E" w14:textId="77777777" w:rsidTr="007E0F79">
        <w:tc>
          <w:tcPr>
            <w:tcW w:w="562" w:type="dxa"/>
            <w:noWrap/>
            <w:hideMark/>
          </w:tcPr>
          <w:p w14:paraId="7A8F6F77" w14:textId="6F51387B" w:rsidR="007F0B48" w:rsidRPr="00C0683E" w:rsidRDefault="007F0B48" w:rsidP="004C7BEF">
            <w:pPr>
              <w:pStyle w:val="ARtabletext"/>
            </w:pPr>
            <w:r w:rsidRPr="00C0683E">
              <w:t>10</w:t>
            </w:r>
          </w:p>
        </w:tc>
        <w:tc>
          <w:tcPr>
            <w:tcW w:w="9078" w:type="dxa"/>
            <w:noWrap/>
            <w:hideMark/>
          </w:tcPr>
          <w:p w14:paraId="6BB4164C" w14:textId="2712AEA0" w:rsidR="007F0B48" w:rsidRPr="00C0683E" w:rsidRDefault="007F0B48" w:rsidP="004C7BEF">
            <w:pPr>
              <w:pStyle w:val="ARtabletext"/>
            </w:pPr>
            <w:r w:rsidRPr="00C0683E">
              <w:t>COVID-19 vaccine rollout begins for children aged 5 to 11</w:t>
            </w:r>
            <w:r w:rsidR="00B07C3A">
              <w:t xml:space="preserve"> years</w:t>
            </w:r>
            <w:r w:rsidRPr="00C0683E">
              <w:t>.</w:t>
            </w:r>
          </w:p>
          <w:p w14:paraId="76C85B5D" w14:textId="77777777" w:rsidR="007F0B48" w:rsidRPr="00C0683E" w:rsidRDefault="007F0B48" w:rsidP="004C7BEF">
            <w:pPr>
              <w:pStyle w:val="ARtabletext"/>
            </w:pPr>
            <w:r w:rsidRPr="00C0683E">
              <w:t>Family-friendly ‘Enchanted Forest of Protection’ theme at selected state vaccination centres.</w:t>
            </w:r>
          </w:p>
        </w:tc>
      </w:tr>
      <w:tr w:rsidR="007F0B48" w:rsidRPr="00C0683E" w14:paraId="1F4872C1" w14:textId="77777777" w:rsidTr="007E0F79">
        <w:tc>
          <w:tcPr>
            <w:tcW w:w="562" w:type="dxa"/>
            <w:noWrap/>
            <w:hideMark/>
          </w:tcPr>
          <w:p w14:paraId="07EB368A" w14:textId="19F0ADCA" w:rsidR="007F0B48" w:rsidRPr="00C0683E" w:rsidRDefault="007F0B48" w:rsidP="004C7BEF">
            <w:pPr>
              <w:pStyle w:val="ARtabletext"/>
            </w:pPr>
            <w:r w:rsidRPr="00C0683E">
              <w:t>12</w:t>
            </w:r>
          </w:p>
        </w:tc>
        <w:tc>
          <w:tcPr>
            <w:tcW w:w="9078" w:type="dxa"/>
            <w:noWrap/>
            <w:hideMark/>
          </w:tcPr>
          <w:p w14:paraId="6597FD0F" w14:textId="77777777" w:rsidR="007F0B48" w:rsidRPr="00C0683E" w:rsidRDefault="007F0B48" w:rsidP="004C7BEF">
            <w:pPr>
              <w:pStyle w:val="ARtabletext"/>
            </w:pPr>
            <w:r w:rsidRPr="00C0683E">
              <w:t>Some priority workforces (e.g. healthcare and aged care) required to have a third COVID-19 vaccine under new pandemic orders.</w:t>
            </w:r>
          </w:p>
          <w:p w14:paraId="12D419BE" w14:textId="48B64463" w:rsidR="007F0B48" w:rsidRPr="00C0683E" w:rsidRDefault="007F0B48" w:rsidP="004C7BEF">
            <w:pPr>
              <w:pStyle w:val="ARtabletext"/>
            </w:pPr>
            <w:r w:rsidRPr="00C0683E">
              <w:t>Indoor dance</w:t>
            </w:r>
            <w:r w:rsidR="00B07C3A">
              <w:t xml:space="preserve"> </w:t>
            </w:r>
            <w:r w:rsidRPr="00C0683E">
              <w:t>floors close again.</w:t>
            </w:r>
          </w:p>
          <w:p w14:paraId="6DEC5A13" w14:textId="77777777" w:rsidR="007F0B48" w:rsidRPr="00C0683E" w:rsidRDefault="007F0B48" w:rsidP="004C7BEF">
            <w:pPr>
              <w:pStyle w:val="ARtabletext"/>
            </w:pPr>
            <w:r w:rsidRPr="00C0683E">
              <w:t>Pandemic declaration extended for three months.</w:t>
            </w:r>
          </w:p>
        </w:tc>
      </w:tr>
      <w:tr w:rsidR="007F0B48" w:rsidRPr="00C0683E" w14:paraId="37310D03" w14:textId="77777777" w:rsidTr="007E0F79">
        <w:tc>
          <w:tcPr>
            <w:tcW w:w="562" w:type="dxa"/>
            <w:noWrap/>
            <w:hideMark/>
          </w:tcPr>
          <w:p w14:paraId="396726A9" w14:textId="4147CF76" w:rsidR="007F0B48" w:rsidRPr="00C0683E" w:rsidRDefault="007F0B48" w:rsidP="004C7BEF">
            <w:pPr>
              <w:pStyle w:val="ARtabletext"/>
            </w:pPr>
            <w:r w:rsidRPr="00C0683E">
              <w:t>13</w:t>
            </w:r>
          </w:p>
        </w:tc>
        <w:tc>
          <w:tcPr>
            <w:tcW w:w="9078" w:type="dxa"/>
            <w:noWrap/>
            <w:hideMark/>
          </w:tcPr>
          <w:p w14:paraId="45430559" w14:textId="77777777" w:rsidR="007F0B48" w:rsidRPr="00C0683E" w:rsidRDefault="007F0B48" w:rsidP="004C7BEF">
            <w:pPr>
              <w:pStyle w:val="ARtabletext"/>
            </w:pPr>
            <w:r w:rsidRPr="00C0683E">
              <w:t>Isolation exemption for food and beverage manufacturing and distribution workforces, including retail supermarket workers.</w:t>
            </w:r>
          </w:p>
        </w:tc>
      </w:tr>
      <w:tr w:rsidR="007F0B48" w:rsidRPr="00C0683E" w14:paraId="5996C3CA" w14:textId="77777777" w:rsidTr="007E0F79">
        <w:tc>
          <w:tcPr>
            <w:tcW w:w="562" w:type="dxa"/>
            <w:noWrap/>
            <w:hideMark/>
          </w:tcPr>
          <w:p w14:paraId="6FCCF238" w14:textId="7AEEBABB" w:rsidR="007F0B48" w:rsidRPr="00C0683E" w:rsidRDefault="007F0B48" w:rsidP="004C7BEF">
            <w:pPr>
              <w:pStyle w:val="ARtabletext"/>
            </w:pPr>
            <w:r w:rsidRPr="00C0683E">
              <w:t>17</w:t>
            </w:r>
          </w:p>
        </w:tc>
        <w:tc>
          <w:tcPr>
            <w:tcW w:w="9078" w:type="dxa"/>
            <w:noWrap/>
            <w:hideMark/>
          </w:tcPr>
          <w:p w14:paraId="24754F26" w14:textId="77777777" w:rsidR="007F0B48" w:rsidRPr="00C0683E" w:rsidRDefault="007F0B48" w:rsidP="004C7BEF">
            <w:pPr>
              <w:pStyle w:val="ARtabletext"/>
            </w:pPr>
            <w:r w:rsidRPr="00C0683E">
              <w:t>Two medi-hotels open to ease pressure on hospitals, taking recovering COVID-19 patients.</w:t>
            </w:r>
          </w:p>
          <w:p w14:paraId="436A2192" w14:textId="77777777" w:rsidR="007F0B48" w:rsidRPr="00C0683E" w:rsidRDefault="007F0B48" w:rsidP="004C7BEF">
            <w:pPr>
              <w:pStyle w:val="ARtabletext"/>
            </w:pPr>
            <w:r w:rsidRPr="00C0683E">
              <w:t>Key workforces begin receiving free RATs from an order of 44 million test kits.</w:t>
            </w:r>
          </w:p>
        </w:tc>
      </w:tr>
      <w:tr w:rsidR="007F0B48" w:rsidRPr="00C0683E" w14:paraId="0AE1B810" w14:textId="77777777" w:rsidTr="007E0F79">
        <w:tc>
          <w:tcPr>
            <w:tcW w:w="562" w:type="dxa"/>
            <w:noWrap/>
            <w:hideMark/>
          </w:tcPr>
          <w:p w14:paraId="07E20FDA" w14:textId="337E821C" w:rsidR="007F0B48" w:rsidRPr="00C0683E" w:rsidRDefault="007F0B48" w:rsidP="004C7BEF">
            <w:pPr>
              <w:pStyle w:val="ARtabletext"/>
            </w:pPr>
            <w:r w:rsidRPr="00C0683E">
              <w:t>18</w:t>
            </w:r>
          </w:p>
        </w:tc>
        <w:tc>
          <w:tcPr>
            <w:tcW w:w="9078" w:type="dxa"/>
            <w:noWrap/>
            <w:hideMark/>
          </w:tcPr>
          <w:p w14:paraId="0686CE27" w14:textId="31EC7CC4" w:rsidR="007F0B48" w:rsidRPr="00C0683E" w:rsidRDefault="007F0B48" w:rsidP="004C7BEF">
            <w:pPr>
              <w:pStyle w:val="ARtabletext"/>
            </w:pPr>
            <w:r w:rsidRPr="00C0683E">
              <w:t>System-wide Code Brown announced to support the public hospital system, with medical staff redeployed</w:t>
            </w:r>
            <w:r w:rsidR="00B07C3A">
              <w:t xml:space="preserve"> to </w:t>
            </w:r>
            <w:r w:rsidR="00E52D7C">
              <w:t xml:space="preserve">work in </w:t>
            </w:r>
            <w:r w:rsidR="00E52D7C" w:rsidRPr="00E52D7C">
              <w:t>areas of highest clinical priority.</w:t>
            </w:r>
          </w:p>
          <w:p w14:paraId="7C9F6B3B" w14:textId="77777777" w:rsidR="007F0B48" w:rsidRPr="00C0683E" w:rsidRDefault="007F0B48" w:rsidP="004C7BEF">
            <w:pPr>
              <w:pStyle w:val="ARtabletext"/>
            </w:pPr>
            <w:r w:rsidRPr="00C0683E">
              <w:t>Isolation exemption for key supply chain workforces, e.g. emergency services, education, transport and freight.</w:t>
            </w:r>
          </w:p>
        </w:tc>
      </w:tr>
      <w:tr w:rsidR="007F0B48" w:rsidRPr="00C0683E" w14:paraId="2AD4EC6B" w14:textId="77777777" w:rsidTr="007E0F79">
        <w:tc>
          <w:tcPr>
            <w:tcW w:w="562" w:type="dxa"/>
            <w:noWrap/>
            <w:hideMark/>
          </w:tcPr>
          <w:p w14:paraId="105EFA95" w14:textId="17522E7C" w:rsidR="007F0B48" w:rsidRPr="00C0683E" w:rsidRDefault="007F0B48" w:rsidP="004C7BEF">
            <w:pPr>
              <w:pStyle w:val="ARtabletext"/>
            </w:pPr>
            <w:r w:rsidRPr="00C0683E">
              <w:t>19</w:t>
            </w:r>
          </w:p>
        </w:tc>
        <w:tc>
          <w:tcPr>
            <w:tcW w:w="9078" w:type="dxa"/>
            <w:noWrap/>
            <w:hideMark/>
          </w:tcPr>
          <w:p w14:paraId="26BFE585" w14:textId="77777777" w:rsidR="007F0B48" w:rsidRPr="00C0683E" w:rsidRDefault="007F0B48" w:rsidP="004C7BEF">
            <w:pPr>
              <w:pStyle w:val="ARtabletext"/>
            </w:pPr>
            <w:r w:rsidRPr="00C0683E">
              <w:t>ATAGI reduces the third-dose interval to three months.</w:t>
            </w:r>
          </w:p>
        </w:tc>
      </w:tr>
      <w:tr w:rsidR="007F0B48" w:rsidRPr="00C0683E" w14:paraId="1A4816EA" w14:textId="77777777" w:rsidTr="007E0F79">
        <w:tc>
          <w:tcPr>
            <w:tcW w:w="562" w:type="dxa"/>
            <w:noWrap/>
            <w:hideMark/>
          </w:tcPr>
          <w:p w14:paraId="457E9B30" w14:textId="46CE1B5F" w:rsidR="007F0B48" w:rsidRPr="00C0683E" w:rsidRDefault="007F0B48" w:rsidP="004C7BEF">
            <w:pPr>
              <w:pStyle w:val="ARtabletext"/>
            </w:pPr>
            <w:r w:rsidRPr="00C0683E">
              <w:t>20</w:t>
            </w:r>
          </w:p>
        </w:tc>
        <w:tc>
          <w:tcPr>
            <w:tcW w:w="9078" w:type="dxa"/>
            <w:noWrap/>
            <w:hideMark/>
          </w:tcPr>
          <w:p w14:paraId="251463DF" w14:textId="77777777" w:rsidR="007F0B48" w:rsidRPr="00C0683E" w:rsidRDefault="007F0B48" w:rsidP="004C7BEF">
            <w:pPr>
              <w:pStyle w:val="ARtabletext"/>
            </w:pPr>
            <w:r w:rsidRPr="00C0683E">
              <w:t>Victorian Government announces an order of 166 million extra RAT kits to help reduce pressure on the PCR testing system.</w:t>
            </w:r>
          </w:p>
        </w:tc>
      </w:tr>
      <w:tr w:rsidR="007F0B48" w:rsidRPr="00C0683E" w14:paraId="7B1042E4" w14:textId="77777777" w:rsidTr="007E0F79">
        <w:tc>
          <w:tcPr>
            <w:tcW w:w="562" w:type="dxa"/>
            <w:noWrap/>
            <w:hideMark/>
          </w:tcPr>
          <w:p w14:paraId="5AA3CBA0" w14:textId="6BFCDA8F" w:rsidR="007F0B48" w:rsidRPr="00C0683E" w:rsidRDefault="007F0B48" w:rsidP="004C7BEF">
            <w:pPr>
              <w:pStyle w:val="ARtabletext"/>
            </w:pPr>
            <w:r w:rsidRPr="00C0683E">
              <w:t>23</w:t>
            </w:r>
          </w:p>
        </w:tc>
        <w:tc>
          <w:tcPr>
            <w:tcW w:w="9078" w:type="dxa"/>
            <w:noWrap/>
            <w:hideMark/>
          </w:tcPr>
          <w:p w14:paraId="58C790F1" w14:textId="77777777" w:rsidR="007F0B48" w:rsidRPr="00C0683E" w:rsidRDefault="007F0B48" w:rsidP="004C7BEF">
            <w:pPr>
              <w:pStyle w:val="ARtabletext"/>
            </w:pPr>
            <w:r w:rsidRPr="00C0683E">
              <w:t>30 primary school pop-up vaccination clinics launch progressively during Term 1.</w:t>
            </w:r>
          </w:p>
        </w:tc>
      </w:tr>
      <w:tr w:rsidR="007F0B48" w:rsidRPr="00C0683E" w14:paraId="36D3B421" w14:textId="77777777" w:rsidTr="007E0F79">
        <w:tc>
          <w:tcPr>
            <w:tcW w:w="562" w:type="dxa"/>
            <w:noWrap/>
            <w:hideMark/>
          </w:tcPr>
          <w:p w14:paraId="39E320C3" w14:textId="5E5991FD" w:rsidR="007F0B48" w:rsidRPr="00C0683E" w:rsidRDefault="007F0B48" w:rsidP="004C7BEF">
            <w:pPr>
              <w:pStyle w:val="ARtabletext"/>
            </w:pPr>
            <w:r w:rsidRPr="00C0683E">
              <w:t>25</w:t>
            </w:r>
          </w:p>
        </w:tc>
        <w:tc>
          <w:tcPr>
            <w:tcW w:w="9078" w:type="dxa"/>
            <w:noWrap/>
            <w:hideMark/>
          </w:tcPr>
          <w:p w14:paraId="596C9D19" w14:textId="77777777" w:rsidR="007F0B48" w:rsidRPr="00C0683E" w:rsidRDefault="007F0B48" w:rsidP="004C7BEF">
            <w:pPr>
              <w:pStyle w:val="ARtabletext"/>
            </w:pPr>
            <w:r w:rsidRPr="00C0683E">
              <w:t xml:space="preserve">Launch of the </w:t>
            </w:r>
            <w:r w:rsidRPr="00262A8D">
              <w:t>Get the Right Help for Your Recovery</w:t>
            </w:r>
            <w:r w:rsidRPr="00C0683E">
              <w:t xml:space="preserve"> campaign to help Victorians manage their recovery from COVID-19 at home.</w:t>
            </w:r>
          </w:p>
        </w:tc>
      </w:tr>
      <w:tr w:rsidR="007F0B48" w:rsidRPr="00C0683E" w14:paraId="276DE30A" w14:textId="77777777" w:rsidTr="007E0F79">
        <w:tc>
          <w:tcPr>
            <w:tcW w:w="562" w:type="dxa"/>
            <w:noWrap/>
            <w:hideMark/>
          </w:tcPr>
          <w:p w14:paraId="72B22CFA" w14:textId="2D42826F" w:rsidR="007F0B48" w:rsidRPr="00C0683E" w:rsidRDefault="007F0B48" w:rsidP="004C7BEF">
            <w:pPr>
              <w:pStyle w:val="ARtabletext"/>
            </w:pPr>
            <w:r w:rsidRPr="00C0683E">
              <w:t>31</w:t>
            </w:r>
          </w:p>
        </w:tc>
        <w:tc>
          <w:tcPr>
            <w:tcW w:w="9078" w:type="dxa"/>
            <w:noWrap/>
            <w:hideMark/>
          </w:tcPr>
          <w:p w14:paraId="38746E9A" w14:textId="77777777" w:rsidR="007F0B48" w:rsidRPr="00C0683E" w:rsidRDefault="007F0B48" w:rsidP="004C7BEF">
            <w:pPr>
              <w:pStyle w:val="ARtabletext"/>
            </w:pPr>
            <w:r w:rsidRPr="00C0683E">
              <w:t>School students and staff begin twice-weekly rapid antigen testing.</w:t>
            </w:r>
          </w:p>
          <w:p w14:paraId="65C3E67B" w14:textId="6B92A8E6" w:rsidR="007F0B48" w:rsidRPr="00C0683E" w:rsidRDefault="007F0B48" w:rsidP="004C7BEF">
            <w:pPr>
              <w:pStyle w:val="ARtabletext"/>
            </w:pPr>
            <w:r w:rsidRPr="00C0683E">
              <w:t xml:space="preserve">Face masks required for students in </w:t>
            </w:r>
            <w:r w:rsidR="00E52D7C">
              <w:t>Grade</w:t>
            </w:r>
            <w:r w:rsidR="00B07C3A" w:rsidRPr="00C0683E">
              <w:t xml:space="preserve"> </w:t>
            </w:r>
            <w:r w:rsidRPr="00C0683E">
              <w:t>3 and above when indoors.</w:t>
            </w:r>
          </w:p>
        </w:tc>
      </w:tr>
      <w:tr w:rsidR="007F0B48" w:rsidRPr="00C0683E" w14:paraId="7E5BFDD2" w14:textId="77777777" w:rsidTr="004C7BEF">
        <w:tc>
          <w:tcPr>
            <w:tcW w:w="9640" w:type="dxa"/>
            <w:gridSpan w:val="2"/>
            <w:noWrap/>
            <w:hideMark/>
          </w:tcPr>
          <w:p w14:paraId="3DABAEC1" w14:textId="77777777" w:rsidR="007F0B48" w:rsidRPr="00C0683E" w:rsidRDefault="007F0B48" w:rsidP="004C7BEF">
            <w:pPr>
              <w:pStyle w:val="ARtablecolourbold"/>
            </w:pPr>
            <w:r w:rsidRPr="00C0683E">
              <w:t>February 2022</w:t>
            </w:r>
          </w:p>
        </w:tc>
      </w:tr>
      <w:tr w:rsidR="007F0B48" w:rsidRPr="00C0683E" w14:paraId="17627C4F" w14:textId="77777777" w:rsidTr="007E0F79">
        <w:tc>
          <w:tcPr>
            <w:tcW w:w="562" w:type="dxa"/>
            <w:noWrap/>
            <w:hideMark/>
          </w:tcPr>
          <w:p w14:paraId="2A256E15" w14:textId="746671D1" w:rsidR="007F0B48" w:rsidRPr="00C0683E" w:rsidRDefault="007F0B48" w:rsidP="004C7BEF">
            <w:pPr>
              <w:pStyle w:val="ARtabletext"/>
            </w:pPr>
            <w:r w:rsidRPr="00C0683E">
              <w:t>3</w:t>
            </w:r>
          </w:p>
        </w:tc>
        <w:tc>
          <w:tcPr>
            <w:tcW w:w="9078" w:type="dxa"/>
            <w:noWrap/>
            <w:hideMark/>
          </w:tcPr>
          <w:p w14:paraId="78FCDACA" w14:textId="77777777" w:rsidR="007F0B48" w:rsidRPr="00C0683E" w:rsidRDefault="007F0B48" w:rsidP="004C7BEF">
            <w:pPr>
              <w:pStyle w:val="ARtabletext"/>
            </w:pPr>
            <w:r w:rsidRPr="00C0683E">
              <w:t>ATAGI approves a third dose for 16- and 17-year-olds.</w:t>
            </w:r>
          </w:p>
        </w:tc>
      </w:tr>
      <w:tr w:rsidR="007F0B48" w:rsidRPr="00C0683E" w14:paraId="7D7D5215" w14:textId="77777777" w:rsidTr="007E0F79">
        <w:tc>
          <w:tcPr>
            <w:tcW w:w="562" w:type="dxa"/>
            <w:noWrap/>
            <w:hideMark/>
          </w:tcPr>
          <w:p w14:paraId="38479F2B" w14:textId="19295F48" w:rsidR="007F0B48" w:rsidRPr="00C0683E" w:rsidRDefault="007F0B48" w:rsidP="004C7BEF">
            <w:pPr>
              <w:pStyle w:val="ARtabletext"/>
            </w:pPr>
            <w:r w:rsidRPr="00C0683E">
              <w:t>4</w:t>
            </w:r>
          </w:p>
        </w:tc>
        <w:tc>
          <w:tcPr>
            <w:tcW w:w="9078" w:type="dxa"/>
            <w:noWrap/>
            <w:hideMark/>
          </w:tcPr>
          <w:p w14:paraId="2EB1FE80" w14:textId="77777777" w:rsidR="007F0B48" w:rsidRPr="00C0683E" w:rsidRDefault="007F0B48" w:rsidP="004C7BEF">
            <w:pPr>
              <w:pStyle w:val="ARtabletext"/>
            </w:pPr>
            <w:r w:rsidRPr="00C0683E">
              <w:t>Victorian Government announces $1.4 billion to support the healthcare system with its Omicron response, including $161 million for boosting PPE stock.</w:t>
            </w:r>
          </w:p>
        </w:tc>
      </w:tr>
      <w:tr w:rsidR="007F0B48" w:rsidRPr="00C0683E" w14:paraId="7970656F" w14:textId="77777777" w:rsidTr="007E0F79">
        <w:tc>
          <w:tcPr>
            <w:tcW w:w="562" w:type="dxa"/>
            <w:noWrap/>
            <w:hideMark/>
          </w:tcPr>
          <w:p w14:paraId="4BC2EAD0" w14:textId="63390679" w:rsidR="007F0B48" w:rsidRPr="00C0683E" w:rsidRDefault="007F0B48" w:rsidP="004C7BEF">
            <w:pPr>
              <w:pStyle w:val="ARtabletext"/>
            </w:pPr>
            <w:r w:rsidRPr="00C0683E">
              <w:t>7</w:t>
            </w:r>
          </w:p>
        </w:tc>
        <w:tc>
          <w:tcPr>
            <w:tcW w:w="9078" w:type="dxa"/>
            <w:noWrap/>
            <w:hideMark/>
          </w:tcPr>
          <w:p w14:paraId="0FB6F8B8" w14:textId="77777777" w:rsidR="007F0B48" w:rsidRPr="00C0683E" w:rsidRDefault="007F0B48" w:rsidP="004C7BEF">
            <w:pPr>
              <w:pStyle w:val="ARtabletext"/>
            </w:pPr>
            <w:r w:rsidRPr="00C0683E">
              <w:t>Day surgery resumes at up to 50 per cent of normal levels at private hospitals.</w:t>
            </w:r>
          </w:p>
        </w:tc>
      </w:tr>
      <w:tr w:rsidR="007F0B48" w:rsidRPr="00C0683E" w14:paraId="4DF9C656" w14:textId="77777777" w:rsidTr="007E0F79">
        <w:tc>
          <w:tcPr>
            <w:tcW w:w="562" w:type="dxa"/>
            <w:noWrap/>
            <w:hideMark/>
          </w:tcPr>
          <w:p w14:paraId="67F0552C" w14:textId="1DBA4E70" w:rsidR="007F0B48" w:rsidRPr="00C0683E" w:rsidRDefault="007F0B48" w:rsidP="004C7BEF">
            <w:pPr>
              <w:pStyle w:val="ARtabletext"/>
            </w:pPr>
            <w:r w:rsidRPr="00C0683E">
              <w:t>8</w:t>
            </w:r>
          </w:p>
        </w:tc>
        <w:tc>
          <w:tcPr>
            <w:tcW w:w="9078" w:type="dxa"/>
            <w:noWrap/>
            <w:hideMark/>
          </w:tcPr>
          <w:p w14:paraId="0A0070F3" w14:textId="77777777" w:rsidR="007F0B48" w:rsidRPr="00C0683E" w:rsidRDefault="007F0B48" w:rsidP="004C7BEF">
            <w:pPr>
              <w:pStyle w:val="ARtabletext"/>
            </w:pPr>
            <w:r w:rsidRPr="00C0683E">
              <w:t>More than 1.6 million RAT kits delivered to early childhood settings for families to conduct voluntary twice-weekly testing.</w:t>
            </w:r>
          </w:p>
        </w:tc>
      </w:tr>
      <w:tr w:rsidR="007F0B48" w:rsidRPr="00C0683E" w14:paraId="605D044C" w14:textId="77777777" w:rsidTr="007E0F79">
        <w:tc>
          <w:tcPr>
            <w:tcW w:w="562" w:type="dxa"/>
            <w:noWrap/>
            <w:hideMark/>
          </w:tcPr>
          <w:p w14:paraId="023AA398" w14:textId="0F5FE98B" w:rsidR="007F0B48" w:rsidRPr="00C0683E" w:rsidRDefault="007F0B48" w:rsidP="004C7BEF">
            <w:pPr>
              <w:pStyle w:val="ARtabletext"/>
            </w:pPr>
            <w:r w:rsidRPr="00C0683E">
              <w:t>11</w:t>
            </w:r>
          </w:p>
        </w:tc>
        <w:tc>
          <w:tcPr>
            <w:tcW w:w="9078" w:type="dxa"/>
            <w:noWrap/>
            <w:hideMark/>
          </w:tcPr>
          <w:p w14:paraId="1EA2A33C" w14:textId="11854069" w:rsidR="007F0B48" w:rsidRPr="00C0683E" w:rsidRDefault="007F0B48" w:rsidP="004C7BEF">
            <w:pPr>
              <w:pStyle w:val="ARtabletext"/>
            </w:pPr>
            <w:r w:rsidRPr="00C0683E">
              <w:t xml:space="preserve">ATAGI redefines ‘fully vaccinated’ as ‘up to date’ based on age and health status. ATAGI also recommends a third dose for people aged 16 </w:t>
            </w:r>
            <w:r w:rsidR="001353E2">
              <w:t xml:space="preserve">years </w:t>
            </w:r>
            <w:r w:rsidRPr="00C0683E">
              <w:t>and over.</w:t>
            </w:r>
          </w:p>
        </w:tc>
      </w:tr>
      <w:tr w:rsidR="007F0B48" w:rsidRPr="00C0683E" w14:paraId="17149D63" w14:textId="77777777" w:rsidTr="007E0F79">
        <w:tc>
          <w:tcPr>
            <w:tcW w:w="562" w:type="dxa"/>
            <w:noWrap/>
            <w:hideMark/>
          </w:tcPr>
          <w:p w14:paraId="6B7ABDBC" w14:textId="6D8F3E94" w:rsidR="007F0B48" w:rsidRPr="00C0683E" w:rsidRDefault="007F0B48" w:rsidP="004C7BEF">
            <w:pPr>
              <w:pStyle w:val="ARtabletext"/>
            </w:pPr>
            <w:r w:rsidRPr="00C0683E">
              <w:t>12</w:t>
            </w:r>
          </w:p>
        </w:tc>
        <w:tc>
          <w:tcPr>
            <w:tcW w:w="9078" w:type="dxa"/>
            <w:noWrap/>
            <w:hideMark/>
          </w:tcPr>
          <w:p w14:paraId="5ECDC53D" w14:textId="77777777" w:rsidR="007F0B48" w:rsidRPr="00C0683E" w:rsidRDefault="007F0B48" w:rsidP="004C7BEF">
            <w:pPr>
              <w:pStyle w:val="ARtabletext"/>
            </w:pPr>
            <w:r w:rsidRPr="00C0683E">
              <w:t>‘K-pops’ open at popular children’s venues across Melbourne for vulnerable children and those with a disability.</w:t>
            </w:r>
          </w:p>
        </w:tc>
      </w:tr>
      <w:tr w:rsidR="007F0B48" w:rsidRPr="00C0683E" w14:paraId="2F882D88" w14:textId="77777777" w:rsidTr="007E0F79">
        <w:tc>
          <w:tcPr>
            <w:tcW w:w="562" w:type="dxa"/>
            <w:noWrap/>
            <w:hideMark/>
          </w:tcPr>
          <w:p w14:paraId="0CE6ABD8" w14:textId="2B609FBD" w:rsidR="007F0B48" w:rsidRPr="00C0683E" w:rsidRDefault="007F0B48" w:rsidP="004C7BEF">
            <w:pPr>
              <w:pStyle w:val="ARtabletext"/>
            </w:pPr>
            <w:r w:rsidRPr="00C0683E">
              <w:t>14</w:t>
            </w:r>
          </w:p>
        </w:tc>
        <w:tc>
          <w:tcPr>
            <w:tcW w:w="9078" w:type="dxa"/>
            <w:noWrap/>
            <w:hideMark/>
          </w:tcPr>
          <w:p w14:paraId="085B3EE3" w14:textId="77777777" w:rsidR="007F0B48" w:rsidRPr="00C0683E" w:rsidRDefault="007F0B48" w:rsidP="004C7BEF">
            <w:pPr>
              <w:pStyle w:val="ARtabletext"/>
            </w:pPr>
            <w:r w:rsidRPr="00C0683E">
              <w:t>Code Brown lifted – elective surgery resumes at various levels across the state.</w:t>
            </w:r>
          </w:p>
        </w:tc>
      </w:tr>
      <w:tr w:rsidR="007F0B48" w:rsidRPr="00C0683E" w14:paraId="628299A4" w14:textId="77777777" w:rsidTr="007E0F79">
        <w:tc>
          <w:tcPr>
            <w:tcW w:w="562" w:type="dxa"/>
            <w:noWrap/>
            <w:hideMark/>
          </w:tcPr>
          <w:p w14:paraId="1647948C" w14:textId="34DCE5C2" w:rsidR="007F0B48" w:rsidRPr="00C0683E" w:rsidRDefault="007F0B48" w:rsidP="004C7BEF">
            <w:pPr>
              <w:pStyle w:val="ARtabletext"/>
            </w:pPr>
            <w:r w:rsidRPr="00C0683E">
              <w:t>17</w:t>
            </w:r>
          </w:p>
        </w:tc>
        <w:tc>
          <w:tcPr>
            <w:tcW w:w="9078" w:type="dxa"/>
            <w:noWrap/>
            <w:hideMark/>
          </w:tcPr>
          <w:p w14:paraId="531A860A" w14:textId="77777777" w:rsidR="007F0B48" w:rsidRPr="00C0683E" w:rsidRDefault="007F0B48" w:rsidP="004C7BEF">
            <w:pPr>
              <w:pStyle w:val="ARtabletext"/>
            </w:pPr>
            <w:r w:rsidRPr="00C0683E">
              <w:t>School surveillance testing program extended until the end of Term 1.</w:t>
            </w:r>
          </w:p>
          <w:p w14:paraId="3B951CE7" w14:textId="77777777" w:rsidR="007F0B48" w:rsidRPr="00C0683E" w:rsidRDefault="007F0B48" w:rsidP="004C7BEF">
            <w:pPr>
              <w:pStyle w:val="ARtabletext"/>
            </w:pPr>
            <w:r w:rsidRPr="00C0683E">
              <w:t>24 million extra RATs distributed to schools and early childhood services.</w:t>
            </w:r>
          </w:p>
        </w:tc>
      </w:tr>
      <w:tr w:rsidR="007F0B48" w:rsidRPr="00C0683E" w14:paraId="2651B305" w14:textId="77777777" w:rsidTr="007E0F79">
        <w:tc>
          <w:tcPr>
            <w:tcW w:w="562" w:type="dxa"/>
            <w:noWrap/>
            <w:hideMark/>
          </w:tcPr>
          <w:p w14:paraId="474D0C9B" w14:textId="196723FD" w:rsidR="007F0B48" w:rsidRPr="00C0683E" w:rsidRDefault="007F0B48" w:rsidP="004C7BEF">
            <w:pPr>
              <w:pStyle w:val="ARtabletext"/>
            </w:pPr>
            <w:r w:rsidRPr="00C0683E">
              <w:t>18</w:t>
            </w:r>
          </w:p>
        </w:tc>
        <w:tc>
          <w:tcPr>
            <w:tcW w:w="9078" w:type="dxa"/>
            <w:noWrap/>
            <w:hideMark/>
          </w:tcPr>
          <w:p w14:paraId="71E982F4" w14:textId="77777777" w:rsidR="007F0B48" w:rsidRPr="00C0683E" w:rsidRDefault="007F0B48" w:rsidP="004C7BEF">
            <w:pPr>
              <w:pStyle w:val="ARtabletext"/>
            </w:pPr>
            <w:r w:rsidRPr="00C0683E">
              <w:t>Removal of restrictions, including mandatory check-ins and indoor density limits.</w:t>
            </w:r>
          </w:p>
        </w:tc>
      </w:tr>
      <w:tr w:rsidR="007F0B48" w:rsidRPr="00C0683E" w14:paraId="4576E921" w14:textId="77777777" w:rsidTr="007E0F79">
        <w:tc>
          <w:tcPr>
            <w:tcW w:w="562" w:type="dxa"/>
            <w:noWrap/>
            <w:hideMark/>
          </w:tcPr>
          <w:p w14:paraId="274D7B58" w14:textId="24DC5297" w:rsidR="007F0B48" w:rsidRPr="00C0683E" w:rsidRDefault="007F0B48" w:rsidP="004C7BEF">
            <w:pPr>
              <w:pStyle w:val="ARtabletext"/>
            </w:pPr>
            <w:r w:rsidRPr="00C0683E">
              <w:t>21</w:t>
            </w:r>
          </w:p>
        </w:tc>
        <w:tc>
          <w:tcPr>
            <w:tcW w:w="9078" w:type="dxa"/>
            <w:noWrap/>
            <w:hideMark/>
          </w:tcPr>
          <w:p w14:paraId="62819F1B" w14:textId="4481DCA4" w:rsidR="007F0B48" w:rsidRPr="00C0683E" w:rsidRDefault="007F0B48" w:rsidP="004C7BEF">
            <w:pPr>
              <w:pStyle w:val="ARtabletext"/>
            </w:pPr>
            <w:r w:rsidRPr="00C0683E">
              <w:t xml:space="preserve">Novavax COVID-19 vaccine available to people aged 18 </w:t>
            </w:r>
            <w:r w:rsidR="00B07C3A">
              <w:t xml:space="preserve">years </w:t>
            </w:r>
            <w:r w:rsidRPr="00C0683E">
              <w:t>and over.</w:t>
            </w:r>
          </w:p>
          <w:p w14:paraId="21C1BB3B" w14:textId="77777777" w:rsidR="007F0B48" w:rsidRPr="00C0683E" w:rsidRDefault="007F0B48" w:rsidP="004C7BEF">
            <w:pPr>
              <w:pStyle w:val="ARtabletext"/>
            </w:pPr>
            <w:r w:rsidRPr="00C0683E">
              <w:t>International borders open to travellers vaccinated with two or more doses.</w:t>
            </w:r>
          </w:p>
          <w:p w14:paraId="203899E8" w14:textId="77777777" w:rsidR="007F0B48" w:rsidRPr="00C0683E" w:rsidRDefault="007F0B48" w:rsidP="004C7BEF">
            <w:pPr>
              <w:pStyle w:val="ARtabletext"/>
            </w:pPr>
            <w:r w:rsidRPr="00C0683E">
              <w:t>Victorian Quarantine Hub opens.</w:t>
            </w:r>
          </w:p>
          <w:p w14:paraId="36751A18" w14:textId="77777777" w:rsidR="007F0B48" w:rsidRPr="00C0683E" w:rsidRDefault="007F0B48" w:rsidP="004C7BEF">
            <w:pPr>
              <w:pStyle w:val="ARtabletext"/>
            </w:pPr>
            <w:r w:rsidRPr="00C0683E">
              <w:t>Category 2 elective surgery resumes in Melbourne.</w:t>
            </w:r>
          </w:p>
        </w:tc>
      </w:tr>
      <w:tr w:rsidR="007F0B48" w:rsidRPr="00C0683E" w14:paraId="731B86E9" w14:textId="77777777" w:rsidTr="007E0F79">
        <w:tc>
          <w:tcPr>
            <w:tcW w:w="562" w:type="dxa"/>
            <w:noWrap/>
            <w:hideMark/>
          </w:tcPr>
          <w:p w14:paraId="7DDA6BBB" w14:textId="33592EBE" w:rsidR="007F0B48" w:rsidRPr="00C0683E" w:rsidRDefault="007F0B48" w:rsidP="004C7BEF">
            <w:pPr>
              <w:pStyle w:val="ARtabletext"/>
            </w:pPr>
            <w:r w:rsidRPr="00C0683E">
              <w:t>22</w:t>
            </w:r>
          </w:p>
        </w:tc>
        <w:tc>
          <w:tcPr>
            <w:tcW w:w="9078" w:type="dxa"/>
            <w:noWrap/>
            <w:hideMark/>
          </w:tcPr>
          <w:p w14:paraId="3F63CF7B" w14:textId="11CF4D17" w:rsidR="007F0B48" w:rsidRPr="00C0683E" w:rsidRDefault="007F0B48" w:rsidP="004C7BEF">
            <w:pPr>
              <w:pStyle w:val="ARtabletext"/>
            </w:pPr>
            <w:r w:rsidRPr="00C0683E">
              <w:t>First anniversary of the COVID-19 vaccination program. More than 14.1 million doses delivered across the state, including more than 5.9 million doses at state-run centres.</w:t>
            </w:r>
          </w:p>
        </w:tc>
      </w:tr>
      <w:tr w:rsidR="007F0B48" w:rsidRPr="00C0683E" w14:paraId="3843DBF8" w14:textId="77777777" w:rsidTr="007E0F79">
        <w:tc>
          <w:tcPr>
            <w:tcW w:w="562" w:type="dxa"/>
            <w:noWrap/>
            <w:hideMark/>
          </w:tcPr>
          <w:p w14:paraId="021381B3" w14:textId="7F62F83A" w:rsidR="007F0B48" w:rsidRPr="00C0683E" w:rsidRDefault="007F0B48" w:rsidP="004C7BEF">
            <w:pPr>
              <w:pStyle w:val="ARtabletext"/>
            </w:pPr>
            <w:r w:rsidRPr="00C0683E">
              <w:t>25</w:t>
            </w:r>
          </w:p>
        </w:tc>
        <w:tc>
          <w:tcPr>
            <w:tcW w:w="9078" w:type="dxa"/>
            <w:noWrap/>
            <w:hideMark/>
          </w:tcPr>
          <w:p w14:paraId="4163569E" w14:textId="77777777" w:rsidR="007F0B48" w:rsidRPr="00C0683E" w:rsidRDefault="007F0B48" w:rsidP="004C7BEF">
            <w:pPr>
              <w:pStyle w:val="ARtabletext"/>
            </w:pPr>
            <w:r w:rsidRPr="00C0683E">
              <w:t>Face masks no longer mandatory indoors, except for certain locations, such as public transport and healthcare settings.</w:t>
            </w:r>
          </w:p>
          <w:p w14:paraId="1AFEB3C9" w14:textId="0D5E419A" w:rsidR="007F0B48" w:rsidRPr="00C0683E" w:rsidRDefault="007F0B48" w:rsidP="004C7BEF">
            <w:pPr>
              <w:pStyle w:val="ARtabletext"/>
            </w:pPr>
            <w:r w:rsidRPr="00C0683E">
              <w:t xml:space="preserve">Third doses available through the in-home vaccination program to Victorians aged 70 </w:t>
            </w:r>
            <w:r w:rsidR="00280FCC">
              <w:t xml:space="preserve">years </w:t>
            </w:r>
            <w:r w:rsidRPr="00C0683E">
              <w:t>and over.</w:t>
            </w:r>
          </w:p>
        </w:tc>
      </w:tr>
      <w:tr w:rsidR="007F0B48" w:rsidRPr="00C0683E" w14:paraId="0E56BB90" w14:textId="77777777" w:rsidTr="007E0F79">
        <w:tc>
          <w:tcPr>
            <w:tcW w:w="562" w:type="dxa"/>
            <w:noWrap/>
            <w:hideMark/>
          </w:tcPr>
          <w:p w14:paraId="1E5A8A8B" w14:textId="12D9B4AC" w:rsidR="007F0B48" w:rsidRPr="00C0683E" w:rsidRDefault="007F0B48" w:rsidP="004C7BEF">
            <w:pPr>
              <w:pStyle w:val="ARtabletext"/>
            </w:pPr>
            <w:r w:rsidRPr="00C0683E">
              <w:t>26</w:t>
            </w:r>
          </w:p>
        </w:tc>
        <w:tc>
          <w:tcPr>
            <w:tcW w:w="9078" w:type="dxa"/>
            <w:noWrap/>
            <w:hideMark/>
          </w:tcPr>
          <w:p w14:paraId="1281BAFC" w14:textId="77777777" w:rsidR="007F0B48" w:rsidRPr="00C0683E" w:rsidRDefault="007F0B48" w:rsidP="004C7BEF">
            <w:pPr>
              <w:pStyle w:val="ARtabletext"/>
            </w:pPr>
            <w:r w:rsidRPr="00C0683E">
              <w:t>More than 10,000 Victorians with a disability or special needs vaccinated through the Disability Liaison Officer program.</w:t>
            </w:r>
          </w:p>
          <w:p w14:paraId="15EF09C6" w14:textId="77777777" w:rsidR="007F0B48" w:rsidRPr="00C0683E" w:rsidRDefault="007F0B48" w:rsidP="004C7BEF">
            <w:pPr>
              <w:pStyle w:val="ARtabletext"/>
            </w:pPr>
            <w:r w:rsidRPr="00C0683E">
              <w:t>All state vaccination sites accept walk-ups.</w:t>
            </w:r>
          </w:p>
        </w:tc>
      </w:tr>
      <w:tr w:rsidR="007F0B48" w:rsidRPr="00C0683E" w14:paraId="2B24804A" w14:textId="77777777" w:rsidTr="007E0F79">
        <w:tc>
          <w:tcPr>
            <w:tcW w:w="562" w:type="dxa"/>
            <w:noWrap/>
            <w:hideMark/>
          </w:tcPr>
          <w:p w14:paraId="3066337E" w14:textId="44F4D7AB" w:rsidR="007F0B48" w:rsidRPr="00C0683E" w:rsidRDefault="007F0B48" w:rsidP="004C7BEF">
            <w:pPr>
              <w:pStyle w:val="ARtabletext"/>
            </w:pPr>
            <w:r w:rsidRPr="00C0683E">
              <w:t>28</w:t>
            </w:r>
          </w:p>
        </w:tc>
        <w:tc>
          <w:tcPr>
            <w:tcW w:w="9078" w:type="dxa"/>
            <w:noWrap/>
            <w:hideMark/>
          </w:tcPr>
          <w:p w14:paraId="5BD23ABE" w14:textId="77777777" w:rsidR="007F0B48" w:rsidRPr="00C0683E" w:rsidRDefault="007F0B48" w:rsidP="004C7BEF">
            <w:pPr>
              <w:pStyle w:val="ARtabletext"/>
            </w:pPr>
            <w:r w:rsidRPr="00C0683E">
              <w:t>All restrictions on elective surgery removed.</w:t>
            </w:r>
          </w:p>
        </w:tc>
      </w:tr>
      <w:tr w:rsidR="007F0B48" w:rsidRPr="00C0683E" w14:paraId="4E6D4B60" w14:textId="77777777" w:rsidTr="004C7BEF">
        <w:tc>
          <w:tcPr>
            <w:tcW w:w="9640" w:type="dxa"/>
            <w:gridSpan w:val="2"/>
            <w:noWrap/>
            <w:hideMark/>
          </w:tcPr>
          <w:p w14:paraId="325A54A0" w14:textId="77777777" w:rsidR="007F0B48" w:rsidRPr="00C0683E" w:rsidRDefault="007F0B48" w:rsidP="00A64849">
            <w:pPr>
              <w:pStyle w:val="ARtablecolourbold"/>
              <w:pageBreakBefore/>
              <w:spacing w:before="100" w:after="80"/>
            </w:pPr>
            <w:r w:rsidRPr="00C0683E">
              <w:t>March 2022</w:t>
            </w:r>
          </w:p>
        </w:tc>
      </w:tr>
      <w:tr w:rsidR="007F0B48" w:rsidRPr="00C0683E" w14:paraId="3589495C" w14:textId="77777777" w:rsidTr="007E0F79">
        <w:tc>
          <w:tcPr>
            <w:tcW w:w="562" w:type="dxa"/>
            <w:noWrap/>
            <w:hideMark/>
          </w:tcPr>
          <w:p w14:paraId="51F18621" w14:textId="000282E8" w:rsidR="007F0B48" w:rsidRPr="00C0683E" w:rsidRDefault="007F0B48" w:rsidP="00A64849">
            <w:pPr>
              <w:pStyle w:val="ARtabletext"/>
              <w:spacing w:before="100" w:after="80"/>
            </w:pPr>
            <w:r w:rsidRPr="00C0683E">
              <w:t>1</w:t>
            </w:r>
          </w:p>
        </w:tc>
        <w:tc>
          <w:tcPr>
            <w:tcW w:w="9078" w:type="dxa"/>
            <w:noWrap/>
            <w:hideMark/>
          </w:tcPr>
          <w:p w14:paraId="39B37B2D" w14:textId="77777777" w:rsidR="007F0B48" w:rsidRPr="00C0683E" w:rsidRDefault="007F0B48" w:rsidP="00A64849">
            <w:pPr>
              <w:pStyle w:val="ARtabletext"/>
              <w:spacing w:before="100" w:after="80"/>
            </w:pPr>
            <w:r w:rsidRPr="00C0683E">
              <w:t>Test Isolation Payment scheme ends after 20 months.</w:t>
            </w:r>
          </w:p>
        </w:tc>
      </w:tr>
      <w:tr w:rsidR="007F0B48" w:rsidRPr="00C0683E" w14:paraId="6DAE3591" w14:textId="77777777" w:rsidTr="007E0F79">
        <w:tc>
          <w:tcPr>
            <w:tcW w:w="562" w:type="dxa"/>
            <w:noWrap/>
            <w:hideMark/>
          </w:tcPr>
          <w:p w14:paraId="6ED02A5B" w14:textId="7B64B234" w:rsidR="007F0B48" w:rsidRPr="00C0683E" w:rsidRDefault="007F0B48" w:rsidP="00A64849">
            <w:pPr>
              <w:pStyle w:val="ARtabletext"/>
              <w:spacing w:before="100" w:after="80"/>
            </w:pPr>
            <w:r w:rsidRPr="00C0683E">
              <w:t>3</w:t>
            </w:r>
          </w:p>
        </w:tc>
        <w:tc>
          <w:tcPr>
            <w:tcW w:w="9078" w:type="dxa"/>
            <w:noWrap/>
            <w:hideMark/>
          </w:tcPr>
          <w:p w14:paraId="42F5E064" w14:textId="6115705F" w:rsidR="007F0B48" w:rsidRPr="00C0683E" w:rsidRDefault="007F0B48" w:rsidP="00A64849">
            <w:pPr>
              <w:pStyle w:val="ARtabletext"/>
              <w:spacing w:before="100" w:after="80"/>
            </w:pPr>
            <w:r w:rsidRPr="00C0683E">
              <w:t>Launch of a statewide survey of parent and guardian attitudes on COVID-19 vaccination for children aged 5 to 11</w:t>
            </w:r>
            <w:r w:rsidR="00280FCC">
              <w:t xml:space="preserve"> years</w:t>
            </w:r>
            <w:r w:rsidRPr="00C0683E">
              <w:t>.</w:t>
            </w:r>
          </w:p>
        </w:tc>
      </w:tr>
      <w:tr w:rsidR="007F0B48" w:rsidRPr="00C0683E" w14:paraId="23FA2090" w14:textId="77777777" w:rsidTr="007E0F79">
        <w:tc>
          <w:tcPr>
            <w:tcW w:w="562" w:type="dxa"/>
            <w:noWrap/>
            <w:hideMark/>
          </w:tcPr>
          <w:p w14:paraId="4F49E254" w14:textId="0E84E17A" w:rsidR="007F0B48" w:rsidRPr="00C0683E" w:rsidRDefault="007F0B48" w:rsidP="00A64849">
            <w:pPr>
              <w:pStyle w:val="ARtabletext"/>
              <w:spacing w:before="100" w:after="80"/>
            </w:pPr>
            <w:r w:rsidRPr="00C0683E">
              <w:t>12</w:t>
            </w:r>
          </w:p>
        </w:tc>
        <w:tc>
          <w:tcPr>
            <w:tcW w:w="9078" w:type="dxa"/>
            <w:noWrap/>
            <w:hideMark/>
          </w:tcPr>
          <w:p w14:paraId="607C84A9" w14:textId="77777777" w:rsidR="007F0B48" w:rsidRPr="00C0683E" w:rsidRDefault="007F0B48" w:rsidP="00A64849">
            <w:pPr>
              <w:pStyle w:val="ARtabletext"/>
              <w:spacing w:before="100" w:after="80"/>
            </w:pPr>
            <w:r w:rsidRPr="002D0CC3">
              <w:t>Deadline</w:t>
            </w:r>
            <w:r w:rsidRPr="00C0683E">
              <w:t xml:space="preserve"> by which residential aged-care workers and some specified workers need to have their third COVID-19 vaccine to be eligible to continue working.</w:t>
            </w:r>
          </w:p>
        </w:tc>
      </w:tr>
      <w:tr w:rsidR="007F0B48" w:rsidRPr="00C0683E" w14:paraId="0ACBEFF3" w14:textId="77777777" w:rsidTr="007E0F79">
        <w:tc>
          <w:tcPr>
            <w:tcW w:w="562" w:type="dxa"/>
            <w:noWrap/>
            <w:hideMark/>
          </w:tcPr>
          <w:p w14:paraId="4DBFEDA2" w14:textId="1ACACD8E" w:rsidR="007F0B48" w:rsidRPr="00C0683E" w:rsidRDefault="007F0B48" w:rsidP="00A64849">
            <w:pPr>
              <w:pStyle w:val="ARtabletext"/>
              <w:spacing w:before="100" w:after="80"/>
            </w:pPr>
            <w:r w:rsidRPr="00C0683E">
              <w:t>23</w:t>
            </w:r>
          </w:p>
        </w:tc>
        <w:tc>
          <w:tcPr>
            <w:tcW w:w="9078" w:type="dxa"/>
            <w:noWrap/>
            <w:hideMark/>
          </w:tcPr>
          <w:p w14:paraId="570C37F7" w14:textId="77777777" w:rsidR="007F0B48" w:rsidRPr="00C0683E" w:rsidRDefault="007F0B48" w:rsidP="00A64849">
            <w:pPr>
              <w:pStyle w:val="ARtabletext"/>
              <w:spacing w:before="100" w:after="80"/>
            </w:pPr>
            <w:r w:rsidRPr="00C0683E">
              <w:t>Scale-down of the state vaccination program begins with the closure of the Royal Exhibition Building vaccination hub.</w:t>
            </w:r>
          </w:p>
        </w:tc>
      </w:tr>
      <w:tr w:rsidR="007F0B48" w:rsidRPr="00C0683E" w14:paraId="14295706" w14:textId="77777777" w:rsidTr="007E0F79">
        <w:tc>
          <w:tcPr>
            <w:tcW w:w="562" w:type="dxa"/>
            <w:noWrap/>
            <w:hideMark/>
          </w:tcPr>
          <w:p w14:paraId="4CC1025C" w14:textId="713C77F5" w:rsidR="007F0B48" w:rsidRPr="00C0683E" w:rsidRDefault="007F0B48" w:rsidP="00A64849">
            <w:pPr>
              <w:pStyle w:val="ARtabletext"/>
              <w:spacing w:before="100" w:after="80"/>
            </w:pPr>
            <w:r w:rsidRPr="00C0683E">
              <w:t>25</w:t>
            </w:r>
          </w:p>
        </w:tc>
        <w:tc>
          <w:tcPr>
            <w:tcW w:w="9078" w:type="dxa"/>
            <w:noWrap/>
            <w:hideMark/>
          </w:tcPr>
          <w:p w14:paraId="23846F65" w14:textId="77777777" w:rsidR="007F0B48" w:rsidRPr="00C0683E" w:rsidRDefault="007F0B48" w:rsidP="00A64849">
            <w:pPr>
              <w:pStyle w:val="ARtabletext"/>
              <w:spacing w:before="100" w:after="80"/>
            </w:pPr>
            <w:r w:rsidRPr="00C0683E">
              <w:t>ATAGI recommends a winter booster dose (fourth dose) for selected high-risk groups.</w:t>
            </w:r>
          </w:p>
          <w:p w14:paraId="2AB245B7" w14:textId="77777777" w:rsidR="007F0B48" w:rsidRPr="00C0683E" w:rsidRDefault="007F0B48" w:rsidP="00A64849">
            <w:pPr>
              <w:pStyle w:val="ARtabletext"/>
              <w:spacing w:before="100" w:after="80"/>
            </w:pPr>
            <w:r w:rsidRPr="002D0CC3">
              <w:t>Deadline</w:t>
            </w:r>
            <w:r w:rsidRPr="00C0683E">
              <w:t xml:space="preserve"> by which education workers need to have their third COVID-19 vaccine to be eligible to continue working.</w:t>
            </w:r>
          </w:p>
        </w:tc>
      </w:tr>
      <w:tr w:rsidR="007F0B48" w:rsidRPr="00C0683E" w14:paraId="4A98BF64" w14:textId="77777777" w:rsidTr="007E0F79">
        <w:tc>
          <w:tcPr>
            <w:tcW w:w="562" w:type="dxa"/>
            <w:noWrap/>
            <w:hideMark/>
          </w:tcPr>
          <w:p w14:paraId="10FC36FB" w14:textId="37D2D4C3" w:rsidR="007F0B48" w:rsidRPr="00C0683E" w:rsidRDefault="007F0B48" w:rsidP="00A64849">
            <w:pPr>
              <w:pStyle w:val="ARtabletext"/>
              <w:spacing w:before="100" w:after="80"/>
            </w:pPr>
            <w:r w:rsidRPr="00C0683E">
              <w:t>29</w:t>
            </w:r>
          </w:p>
        </w:tc>
        <w:tc>
          <w:tcPr>
            <w:tcW w:w="9078" w:type="dxa"/>
            <w:noWrap/>
            <w:hideMark/>
          </w:tcPr>
          <w:p w14:paraId="36D5FEB2" w14:textId="77777777" w:rsidR="007F0B48" w:rsidRPr="00C0683E" w:rsidRDefault="007F0B48" w:rsidP="00A64849">
            <w:pPr>
              <w:pStyle w:val="ARtabletext"/>
              <w:spacing w:before="100" w:after="80"/>
            </w:pPr>
            <w:r w:rsidRPr="002D0CC3">
              <w:t>Deadline</w:t>
            </w:r>
            <w:r w:rsidRPr="00C0683E">
              <w:t xml:space="preserve"> by which healthcare workers need to have their third COVID-19 vaccine to be eligible to continue working.</w:t>
            </w:r>
          </w:p>
        </w:tc>
      </w:tr>
      <w:tr w:rsidR="007F0B48" w:rsidRPr="00C0683E" w14:paraId="04162EA4" w14:textId="77777777" w:rsidTr="007E0F79">
        <w:tc>
          <w:tcPr>
            <w:tcW w:w="562" w:type="dxa"/>
            <w:noWrap/>
            <w:hideMark/>
          </w:tcPr>
          <w:p w14:paraId="60F3392A" w14:textId="2E38FFE7" w:rsidR="007F0B48" w:rsidRPr="00C0683E" w:rsidRDefault="007F0B48" w:rsidP="00A64849">
            <w:pPr>
              <w:pStyle w:val="ARtabletext"/>
              <w:spacing w:before="100" w:after="80"/>
            </w:pPr>
            <w:r w:rsidRPr="00C0683E">
              <w:t>30</w:t>
            </w:r>
          </w:p>
        </w:tc>
        <w:tc>
          <w:tcPr>
            <w:tcW w:w="9078" w:type="dxa"/>
            <w:noWrap/>
            <w:hideMark/>
          </w:tcPr>
          <w:p w14:paraId="6DE4F84A" w14:textId="6B1C1A86" w:rsidR="007F0B48" w:rsidRPr="00C0683E" w:rsidRDefault="007F0B48" w:rsidP="00A64849">
            <w:pPr>
              <w:pStyle w:val="ARtabletext"/>
              <w:spacing w:before="100" w:after="80"/>
            </w:pPr>
            <w:r w:rsidRPr="00C0683E">
              <w:t>20 million PCR tests processed</w:t>
            </w:r>
            <w:r w:rsidR="00280FCC">
              <w:t xml:space="preserve"> since</w:t>
            </w:r>
            <w:r w:rsidR="00B20348">
              <w:t xml:space="preserve"> the start of the pandemic</w:t>
            </w:r>
            <w:r w:rsidRPr="00C0683E">
              <w:t>.</w:t>
            </w:r>
          </w:p>
        </w:tc>
      </w:tr>
      <w:tr w:rsidR="007F0B48" w:rsidRPr="00C0683E" w14:paraId="65C927AC" w14:textId="77777777" w:rsidTr="004C7BEF">
        <w:tc>
          <w:tcPr>
            <w:tcW w:w="9640" w:type="dxa"/>
            <w:gridSpan w:val="2"/>
            <w:noWrap/>
            <w:hideMark/>
          </w:tcPr>
          <w:p w14:paraId="6207F183" w14:textId="77777777" w:rsidR="007F0B48" w:rsidRPr="00C0683E" w:rsidRDefault="007F0B48" w:rsidP="00A64849">
            <w:pPr>
              <w:pStyle w:val="ARtablecolourbold"/>
              <w:spacing w:before="100" w:after="80"/>
            </w:pPr>
            <w:r w:rsidRPr="00C0683E">
              <w:t>April 2022</w:t>
            </w:r>
          </w:p>
        </w:tc>
      </w:tr>
      <w:tr w:rsidR="007F0B48" w:rsidRPr="00C0683E" w14:paraId="7C9D031D" w14:textId="77777777" w:rsidTr="007E0F79">
        <w:tc>
          <w:tcPr>
            <w:tcW w:w="562" w:type="dxa"/>
            <w:noWrap/>
            <w:hideMark/>
          </w:tcPr>
          <w:p w14:paraId="7103DFB4" w14:textId="5BBE0A32" w:rsidR="007F0B48" w:rsidRPr="00C0683E" w:rsidRDefault="007F0B48" w:rsidP="00A64849">
            <w:pPr>
              <w:pStyle w:val="ARtabletext"/>
              <w:spacing w:before="100" w:after="80"/>
            </w:pPr>
            <w:r w:rsidRPr="00C0683E">
              <w:t>5</w:t>
            </w:r>
          </w:p>
        </w:tc>
        <w:tc>
          <w:tcPr>
            <w:tcW w:w="9078" w:type="dxa"/>
            <w:noWrap/>
            <w:hideMark/>
          </w:tcPr>
          <w:p w14:paraId="3CA9DDA6" w14:textId="249A12BB" w:rsidR="007F0B48" w:rsidRPr="00C0683E" w:rsidRDefault="007F0B48" w:rsidP="00A64849">
            <w:pPr>
              <w:pStyle w:val="ARtabletext"/>
              <w:spacing w:before="100" w:after="80"/>
            </w:pPr>
            <w:r w:rsidRPr="00C0683E">
              <w:t>Department modelling estimates voluntary surveillance testing prevented 113,500 COVID-19 infections in Term 1.</w:t>
            </w:r>
          </w:p>
          <w:p w14:paraId="5BA8FA73" w14:textId="77777777" w:rsidR="007F0B48" w:rsidRPr="00C0683E" w:rsidRDefault="007F0B48" w:rsidP="00A64849">
            <w:pPr>
              <w:pStyle w:val="ARtabletext"/>
              <w:spacing w:before="100" w:after="80"/>
            </w:pPr>
            <w:r w:rsidRPr="00C0683E">
              <w:t>Free RAT kits provided to schools and early childhood settings for Term 2.</w:t>
            </w:r>
          </w:p>
        </w:tc>
      </w:tr>
      <w:tr w:rsidR="007F0B48" w:rsidRPr="00C0683E" w14:paraId="63D50BF8" w14:textId="77777777" w:rsidTr="007E0F79">
        <w:tc>
          <w:tcPr>
            <w:tcW w:w="562" w:type="dxa"/>
            <w:noWrap/>
            <w:hideMark/>
          </w:tcPr>
          <w:p w14:paraId="2E8D5A9C" w14:textId="45CD5F5C" w:rsidR="007F0B48" w:rsidRPr="00C0683E" w:rsidRDefault="007F0B48" w:rsidP="00A64849">
            <w:pPr>
              <w:pStyle w:val="ARtabletext"/>
              <w:spacing w:before="100" w:after="80"/>
            </w:pPr>
            <w:r w:rsidRPr="00C0683E">
              <w:t>7</w:t>
            </w:r>
          </w:p>
        </w:tc>
        <w:tc>
          <w:tcPr>
            <w:tcW w:w="9078" w:type="dxa"/>
            <w:noWrap/>
            <w:hideMark/>
          </w:tcPr>
          <w:p w14:paraId="7FD9DBE0" w14:textId="693A882D" w:rsidR="007F0B48" w:rsidRPr="00C0683E" w:rsidRDefault="007F0B48" w:rsidP="00A64849">
            <w:pPr>
              <w:pStyle w:val="ARtabletext"/>
              <w:spacing w:before="100" w:after="80"/>
            </w:pPr>
            <w:r w:rsidRPr="00C0683E">
              <w:t>People with disability able to access up to 20 free RAT kits per visit to a testing centre.</w:t>
            </w:r>
          </w:p>
        </w:tc>
      </w:tr>
      <w:tr w:rsidR="007F0B48" w:rsidRPr="00C0683E" w14:paraId="1CE2C288" w14:textId="77777777" w:rsidTr="007E0F79">
        <w:tc>
          <w:tcPr>
            <w:tcW w:w="562" w:type="dxa"/>
            <w:noWrap/>
            <w:hideMark/>
          </w:tcPr>
          <w:p w14:paraId="7F392300" w14:textId="72D01493" w:rsidR="007F0B48" w:rsidRPr="00C0683E" w:rsidRDefault="007F0B48" w:rsidP="00A64849">
            <w:pPr>
              <w:pStyle w:val="ARtabletext"/>
              <w:spacing w:before="100" w:after="80"/>
            </w:pPr>
            <w:r w:rsidRPr="00C0683E">
              <w:t>12</w:t>
            </w:r>
          </w:p>
        </w:tc>
        <w:tc>
          <w:tcPr>
            <w:tcW w:w="9078" w:type="dxa"/>
            <w:noWrap/>
            <w:hideMark/>
          </w:tcPr>
          <w:p w14:paraId="4E00A525" w14:textId="77777777" w:rsidR="007F0B48" w:rsidRPr="00C0683E" w:rsidRDefault="007F0B48" w:rsidP="00A64849">
            <w:pPr>
              <w:pStyle w:val="ARtabletext"/>
              <w:spacing w:before="100" w:after="80"/>
            </w:pPr>
            <w:r w:rsidRPr="00C0683E">
              <w:t>Victoria’s pandemic declaration extended until 12 July 2022.</w:t>
            </w:r>
          </w:p>
          <w:p w14:paraId="09CC56E2" w14:textId="33B24889" w:rsidR="007F0B48" w:rsidRPr="00C0683E" w:rsidRDefault="007F0B48" w:rsidP="00A64849">
            <w:pPr>
              <w:pStyle w:val="ARtabletext"/>
              <w:spacing w:before="100" w:after="80"/>
            </w:pPr>
            <w:r w:rsidRPr="00C0683E">
              <w:t>Public</w:t>
            </w:r>
            <w:r w:rsidR="00280FCC">
              <w:t xml:space="preserve"> </w:t>
            </w:r>
            <w:r w:rsidRPr="00C0683E">
              <w:t>health protocols introduced for cruise ships.</w:t>
            </w:r>
          </w:p>
          <w:p w14:paraId="7F2DD8CA" w14:textId="77777777" w:rsidR="007F0B48" w:rsidRPr="00C0683E" w:rsidRDefault="007F0B48" w:rsidP="00A64849">
            <w:pPr>
              <w:pStyle w:val="ARtabletext"/>
              <w:spacing w:before="100" w:after="80"/>
            </w:pPr>
            <w:r w:rsidRPr="00C0683E">
              <w:t>Border entry requirements for fully vaccinated (with two doses) or exempt non-cruise maritime crew align with requirements for air crew.</w:t>
            </w:r>
          </w:p>
        </w:tc>
      </w:tr>
      <w:tr w:rsidR="007F0B48" w:rsidRPr="00C0683E" w14:paraId="42AF38FF" w14:textId="77777777" w:rsidTr="007E0F79">
        <w:tc>
          <w:tcPr>
            <w:tcW w:w="562" w:type="dxa"/>
            <w:noWrap/>
            <w:hideMark/>
          </w:tcPr>
          <w:p w14:paraId="424DACB4" w14:textId="5995706E" w:rsidR="007F0B48" w:rsidRPr="00C0683E" w:rsidRDefault="007F0B48" w:rsidP="00A64849">
            <w:pPr>
              <w:pStyle w:val="ARtabletext"/>
              <w:spacing w:before="100" w:after="80"/>
            </w:pPr>
            <w:r w:rsidRPr="00C0683E">
              <w:t>22</w:t>
            </w:r>
          </w:p>
        </w:tc>
        <w:tc>
          <w:tcPr>
            <w:tcW w:w="9078" w:type="dxa"/>
            <w:noWrap/>
            <w:hideMark/>
          </w:tcPr>
          <w:p w14:paraId="38E7524D" w14:textId="77777777" w:rsidR="007F0B48" w:rsidRPr="00C0683E" w:rsidRDefault="007F0B48" w:rsidP="00A64849">
            <w:pPr>
              <w:pStyle w:val="ARtabletext"/>
              <w:spacing w:before="100" w:after="80"/>
            </w:pPr>
            <w:r w:rsidRPr="00C0683E">
              <w:t>Most pandemic restrictions removed. Isolation requirements for positive cases, workforce vaccination mandates, use of face masks in certain settings, and visitor restrictions in care facilities remain in place.</w:t>
            </w:r>
          </w:p>
          <w:p w14:paraId="1D4D36CE" w14:textId="77777777" w:rsidR="007F0B48" w:rsidRPr="00C0683E" w:rsidRDefault="007F0B48" w:rsidP="00A64849">
            <w:pPr>
              <w:pStyle w:val="ARtabletext"/>
              <w:spacing w:before="100" w:after="80"/>
            </w:pPr>
            <w:r w:rsidRPr="00C0683E">
              <w:t>Many rules shift from mandatory to recommended, with masks strongly recommended when physical distancing is not possible.</w:t>
            </w:r>
          </w:p>
          <w:p w14:paraId="363C46B7" w14:textId="77777777" w:rsidR="007F0B48" w:rsidRPr="00C0683E" w:rsidRDefault="007F0B48" w:rsidP="00A64849">
            <w:pPr>
              <w:pStyle w:val="ARtabletext"/>
              <w:spacing w:before="100" w:after="80"/>
            </w:pPr>
            <w:r w:rsidRPr="00C0683E">
              <w:t>Close contacts no longer need to quarantine, provided they wear a mask indoors and return at least five negative RATs over seven consecutive days.</w:t>
            </w:r>
          </w:p>
          <w:p w14:paraId="4171B811" w14:textId="2AA19245" w:rsidR="007F0B48" w:rsidRPr="00C0683E" w:rsidRDefault="007F0B48" w:rsidP="00A64849">
            <w:pPr>
              <w:pStyle w:val="ARtabletext"/>
              <w:spacing w:before="100" w:after="80"/>
            </w:pPr>
            <w:r w:rsidRPr="00C0683E">
              <w:t xml:space="preserve">Two-thirds of Victorians aged 16 </w:t>
            </w:r>
            <w:r w:rsidR="00280FCC">
              <w:t xml:space="preserve">years </w:t>
            </w:r>
            <w:r w:rsidRPr="00C0683E">
              <w:t>and over vaccinated with three doses.</w:t>
            </w:r>
          </w:p>
        </w:tc>
      </w:tr>
      <w:tr w:rsidR="007F0B48" w:rsidRPr="00C0683E" w14:paraId="0EC37B58" w14:textId="77777777" w:rsidTr="004C7BEF">
        <w:tc>
          <w:tcPr>
            <w:tcW w:w="9640" w:type="dxa"/>
            <w:gridSpan w:val="2"/>
            <w:noWrap/>
            <w:hideMark/>
          </w:tcPr>
          <w:p w14:paraId="572A59CA" w14:textId="77777777" w:rsidR="007F0B48" w:rsidRPr="00C0683E" w:rsidRDefault="007F0B48" w:rsidP="00A64849">
            <w:pPr>
              <w:pStyle w:val="ARtablecolourbold"/>
              <w:spacing w:before="100" w:after="80"/>
            </w:pPr>
            <w:r w:rsidRPr="00C0683E">
              <w:t>May 2022</w:t>
            </w:r>
          </w:p>
        </w:tc>
      </w:tr>
      <w:tr w:rsidR="007F0B48" w:rsidRPr="00C0683E" w14:paraId="0317CBFB" w14:textId="77777777" w:rsidTr="007E0F79">
        <w:tc>
          <w:tcPr>
            <w:tcW w:w="562" w:type="dxa"/>
            <w:noWrap/>
            <w:hideMark/>
          </w:tcPr>
          <w:p w14:paraId="7C5F9417" w14:textId="0DCEC919" w:rsidR="007F0B48" w:rsidRPr="00C0683E" w:rsidRDefault="007F0B48" w:rsidP="00A64849">
            <w:pPr>
              <w:pStyle w:val="ARtabletext"/>
              <w:spacing w:before="100" w:after="80"/>
            </w:pPr>
            <w:r w:rsidRPr="00C0683E">
              <w:t>1–31</w:t>
            </w:r>
          </w:p>
        </w:tc>
        <w:tc>
          <w:tcPr>
            <w:tcW w:w="9078" w:type="dxa"/>
            <w:noWrap/>
            <w:hideMark/>
          </w:tcPr>
          <w:p w14:paraId="79C12E3D" w14:textId="77777777" w:rsidR="007F0B48" w:rsidRPr="00C0683E" w:rsidRDefault="007F0B48" w:rsidP="00A64849">
            <w:pPr>
              <w:pStyle w:val="ARtabletext"/>
              <w:spacing w:before="100" w:after="80"/>
            </w:pPr>
            <w:r w:rsidRPr="00C0683E">
              <w:t>Targeted engagement and in-reach vaccination provided across all 57 public high-rise towers for both COVID-19 and flu</w:t>
            </w:r>
          </w:p>
        </w:tc>
      </w:tr>
      <w:tr w:rsidR="007F0B48" w:rsidRPr="00C0683E" w14:paraId="53EE8161" w14:textId="77777777" w:rsidTr="007E0F79">
        <w:tc>
          <w:tcPr>
            <w:tcW w:w="562" w:type="dxa"/>
            <w:noWrap/>
            <w:hideMark/>
          </w:tcPr>
          <w:p w14:paraId="42F90C5D" w14:textId="51058784" w:rsidR="007F0B48" w:rsidRPr="00C0683E" w:rsidRDefault="007F0B48" w:rsidP="00A64849">
            <w:pPr>
              <w:pStyle w:val="ARtabletext"/>
              <w:spacing w:before="100" w:after="80"/>
            </w:pPr>
            <w:r w:rsidRPr="00C0683E">
              <w:t>25</w:t>
            </w:r>
          </w:p>
        </w:tc>
        <w:tc>
          <w:tcPr>
            <w:tcW w:w="9078" w:type="dxa"/>
            <w:noWrap/>
            <w:hideMark/>
          </w:tcPr>
          <w:p w14:paraId="675C1DC2" w14:textId="29312239" w:rsidR="007F0B48" w:rsidRPr="00C0683E" w:rsidRDefault="007F0B48" w:rsidP="00A64849">
            <w:pPr>
              <w:pStyle w:val="ARtabletext"/>
              <w:spacing w:before="100" w:after="80"/>
            </w:pPr>
            <w:r w:rsidRPr="00C0683E">
              <w:t xml:space="preserve">ATAGI expands eligibility for the winter booster (fourth dose) to people aged 16 to 64 </w:t>
            </w:r>
            <w:r w:rsidR="00280FCC">
              <w:t xml:space="preserve">years </w:t>
            </w:r>
            <w:r w:rsidRPr="00C0683E">
              <w:t>with a medical condition that increases the risk of severe COVID-19, and to people with disability with significant or complex health needs.</w:t>
            </w:r>
          </w:p>
        </w:tc>
      </w:tr>
      <w:tr w:rsidR="007F0B48" w:rsidRPr="00C0683E" w14:paraId="3F630EDE" w14:textId="77777777" w:rsidTr="004C7BEF">
        <w:tc>
          <w:tcPr>
            <w:tcW w:w="9640" w:type="dxa"/>
            <w:gridSpan w:val="2"/>
            <w:noWrap/>
            <w:hideMark/>
          </w:tcPr>
          <w:p w14:paraId="7FE64146" w14:textId="77777777" w:rsidR="007F0B48" w:rsidRPr="00C0683E" w:rsidRDefault="007F0B48" w:rsidP="00A64849">
            <w:pPr>
              <w:pStyle w:val="ARtablecolourbold"/>
              <w:pageBreakBefore/>
              <w:spacing w:before="100" w:after="80"/>
            </w:pPr>
            <w:r w:rsidRPr="00C0683E">
              <w:t>June 2022</w:t>
            </w:r>
          </w:p>
        </w:tc>
      </w:tr>
      <w:tr w:rsidR="007F0B48" w:rsidRPr="00C0683E" w14:paraId="6230F4B6" w14:textId="77777777" w:rsidTr="007E0F79">
        <w:tc>
          <w:tcPr>
            <w:tcW w:w="562" w:type="dxa"/>
            <w:noWrap/>
            <w:hideMark/>
          </w:tcPr>
          <w:p w14:paraId="563E3EFA" w14:textId="5C2CBF13" w:rsidR="007F0B48" w:rsidRPr="00C0683E" w:rsidRDefault="007F0B48" w:rsidP="00A64849">
            <w:pPr>
              <w:pStyle w:val="ARtabletext"/>
              <w:spacing w:before="100" w:after="80"/>
            </w:pPr>
            <w:r w:rsidRPr="00C0683E">
              <w:t>9</w:t>
            </w:r>
          </w:p>
        </w:tc>
        <w:tc>
          <w:tcPr>
            <w:tcW w:w="9078" w:type="dxa"/>
            <w:noWrap/>
            <w:hideMark/>
          </w:tcPr>
          <w:p w14:paraId="2D02DEFA" w14:textId="50DED95A" w:rsidR="007F0B48" w:rsidRPr="00C0683E" w:rsidRDefault="007F0B48" w:rsidP="00A64849">
            <w:pPr>
              <w:pStyle w:val="ARtabletext"/>
              <w:spacing w:before="100" w:after="80"/>
            </w:pPr>
            <w:r w:rsidRPr="00C0683E">
              <w:t>ATAGI recommends a first booster dose (third dose) may be given to 12 to 15-year-olds who are severely immuno</w:t>
            </w:r>
            <w:r w:rsidR="007C430A">
              <w:t>-</w:t>
            </w:r>
            <w:r w:rsidRPr="00C0683E">
              <w:t>compromised, have a disability or complex health needs.</w:t>
            </w:r>
          </w:p>
        </w:tc>
      </w:tr>
      <w:tr w:rsidR="007F0B48" w:rsidRPr="00C0683E" w14:paraId="6560EFA1" w14:textId="77777777" w:rsidTr="007E0F79">
        <w:tc>
          <w:tcPr>
            <w:tcW w:w="562" w:type="dxa"/>
            <w:noWrap/>
            <w:hideMark/>
          </w:tcPr>
          <w:p w14:paraId="0B28C66F" w14:textId="3BAB19DD" w:rsidR="007F0B48" w:rsidRPr="00C0683E" w:rsidRDefault="007F0B48" w:rsidP="00A64849">
            <w:pPr>
              <w:pStyle w:val="ARtabletext"/>
              <w:spacing w:before="100" w:after="80"/>
            </w:pPr>
            <w:r w:rsidRPr="00C0683E">
              <w:t>14</w:t>
            </w:r>
          </w:p>
        </w:tc>
        <w:tc>
          <w:tcPr>
            <w:tcW w:w="9078" w:type="dxa"/>
            <w:noWrap/>
            <w:hideMark/>
          </w:tcPr>
          <w:p w14:paraId="36513B69" w14:textId="2E7E7EBE" w:rsidR="007F0B48" w:rsidRPr="00C0683E" w:rsidRDefault="007C430A" w:rsidP="00A64849">
            <w:pPr>
              <w:pStyle w:val="ARtabletext"/>
              <w:spacing w:before="100" w:after="80"/>
            </w:pPr>
            <w:r>
              <w:t>Australian Health Protection Principal Committee (</w:t>
            </w:r>
            <w:r w:rsidR="007F0B48" w:rsidRPr="00C0683E">
              <w:t>AHPPC</w:t>
            </w:r>
            <w:r>
              <w:t>)</w:t>
            </w:r>
            <w:r w:rsidR="007F0B48" w:rsidRPr="00C0683E">
              <w:t xml:space="preserve"> recommends that face covering requirements in airports should be removed.</w:t>
            </w:r>
          </w:p>
        </w:tc>
      </w:tr>
      <w:tr w:rsidR="007F0B48" w:rsidRPr="00C0683E" w14:paraId="49FB0058" w14:textId="77777777" w:rsidTr="007E0F79">
        <w:tc>
          <w:tcPr>
            <w:tcW w:w="562" w:type="dxa"/>
            <w:noWrap/>
          </w:tcPr>
          <w:p w14:paraId="52D5CE13" w14:textId="2E0C0495" w:rsidR="007F0B48" w:rsidRPr="00C0683E" w:rsidRDefault="007F0B48" w:rsidP="00A64849">
            <w:pPr>
              <w:pStyle w:val="ARtabletext"/>
              <w:spacing w:before="100" w:after="80"/>
            </w:pPr>
            <w:r w:rsidRPr="00C0683E">
              <w:t>24</w:t>
            </w:r>
          </w:p>
        </w:tc>
        <w:tc>
          <w:tcPr>
            <w:tcW w:w="9078" w:type="dxa"/>
            <w:noWrap/>
          </w:tcPr>
          <w:p w14:paraId="6F4F9FE4" w14:textId="1E18A50B" w:rsidR="007F0B48" w:rsidRPr="00C0683E" w:rsidRDefault="007F0B48" w:rsidP="00A64849">
            <w:pPr>
              <w:pStyle w:val="ARtabletext"/>
              <w:spacing w:before="100" w:after="80"/>
            </w:pPr>
            <w:r w:rsidRPr="00C0683E">
              <w:t>Removal of face covering requirements in airports</w:t>
            </w:r>
            <w:r w:rsidR="007C430A">
              <w:t xml:space="preserve"> and of</w:t>
            </w:r>
            <w:r w:rsidRPr="00C0683E">
              <w:t xml:space="preserve"> visitor caps at care facilities.</w:t>
            </w:r>
          </w:p>
          <w:p w14:paraId="5CB5EABB" w14:textId="77777777" w:rsidR="007F0B48" w:rsidRPr="00C0683E" w:rsidRDefault="007F0B48" w:rsidP="00A64849">
            <w:pPr>
              <w:pStyle w:val="ARtabletext"/>
              <w:spacing w:before="100" w:after="80"/>
            </w:pPr>
            <w:r w:rsidRPr="00C0683E">
              <w:t>Amendments for isolating individuals, who are now allowed to leave home to transport household members to education facilities.</w:t>
            </w:r>
          </w:p>
        </w:tc>
      </w:tr>
      <w:tr w:rsidR="007F0B48" w:rsidRPr="00405E94" w14:paraId="79B43399" w14:textId="77777777" w:rsidTr="007E0F79">
        <w:tc>
          <w:tcPr>
            <w:tcW w:w="562" w:type="dxa"/>
            <w:noWrap/>
          </w:tcPr>
          <w:p w14:paraId="3D4905D6" w14:textId="32805377" w:rsidR="007F0B48" w:rsidRPr="00C0683E" w:rsidRDefault="007F0B48" w:rsidP="00A64849">
            <w:pPr>
              <w:pStyle w:val="ARtabletext"/>
              <w:spacing w:before="100" w:after="80"/>
            </w:pPr>
            <w:r w:rsidRPr="00C0683E">
              <w:t>30</w:t>
            </w:r>
          </w:p>
        </w:tc>
        <w:tc>
          <w:tcPr>
            <w:tcW w:w="9078" w:type="dxa"/>
            <w:noWrap/>
          </w:tcPr>
          <w:p w14:paraId="3571C2BA" w14:textId="77777777" w:rsidR="007F0B48" w:rsidRPr="00C0683E" w:rsidRDefault="007F0B48" w:rsidP="00A64849">
            <w:pPr>
              <w:pStyle w:val="ARtabletext"/>
              <w:spacing w:before="100" w:after="80"/>
            </w:pPr>
            <w:r w:rsidRPr="00C0683E">
              <w:t>Most state-run vaccination clinics close.</w:t>
            </w:r>
          </w:p>
          <w:p w14:paraId="68482732" w14:textId="77777777" w:rsidR="007F0B48" w:rsidRPr="00C0683E" w:rsidRDefault="007F0B48" w:rsidP="00A64849">
            <w:pPr>
              <w:pStyle w:val="ARtabletext"/>
              <w:spacing w:before="100" w:after="80"/>
            </w:pPr>
            <w:r w:rsidRPr="00C0683E">
              <w:t>Dedicated COVID-19 food relief programs end and shift to a sustainable approach that connects people to local food providers.</w:t>
            </w:r>
          </w:p>
          <w:p w14:paraId="331489E6" w14:textId="599F6215" w:rsidR="007F0B48" w:rsidRPr="00C0683E" w:rsidRDefault="007F0B48" w:rsidP="00A64849">
            <w:pPr>
              <w:pStyle w:val="ARtabletext"/>
              <w:spacing w:before="100" w:after="80"/>
            </w:pPr>
            <w:r w:rsidRPr="00C0683E">
              <w:t xml:space="preserve">Final day of the COVID-19 Response division before its transition into </w:t>
            </w:r>
            <w:r w:rsidR="007C430A">
              <w:t xml:space="preserve">the </w:t>
            </w:r>
            <w:r w:rsidRPr="00C0683E">
              <w:t>Public Health division.</w:t>
            </w:r>
          </w:p>
          <w:p w14:paraId="35FB0323" w14:textId="000EC61D" w:rsidR="007F0B48" w:rsidRPr="00405E94" w:rsidRDefault="007F0B48" w:rsidP="00A64849">
            <w:pPr>
              <w:pStyle w:val="ARtabletext"/>
              <w:spacing w:before="100" w:after="80"/>
            </w:pPr>
            <w:r w:rsidRPr="00C0683E">
              <w:t xml:space="preserve">1300 COVID-19 hotline ends, however the 1800 675 398 number still </w:t>
            </w:r>
            <w:r w:rsidR="007C430A">
              <w:t>operates</w:t>
            </w:r>
            <w:r w:rsidRPr="00C0683E">
              <w:t>.</w:t>
            </w:r>
          </w:p>
        </w:tc>
      </w:tr>
    </w:tbl>
    <w:p w14:paraId="20053EC8" w14:textId="77777777" w:rsidR="003E4716" w:rsidRPr="003E4716" w:rsidRDefault="003E4716" w:rsidP="003E4716">
      <w:pPr>
        <w:pStyle w:val="ARbody"/>
      </w:pPr>
      <w:bookmarkStart w:id="660" w:name="_Ref84252364"/>
      <w:bookmarkStart w:id="661" w:name="_Toc85121570"/>
      <w:bookmarkStart w:id="662" w:name="_Toc85121636"/>
      <w:bookmarkStart w:id="663" w:name="_Toc102734857"/>
      <w:r w:rsidRPr="003E4716">
        <w:br w:type="page"/>
      </w:r>
    </w:p>
    <w:p w14:paraId="79E4E64F" w14:textId="4CACE620" w:rsidR="003E4716" w:rsidRDefault="003E4716" w:rsidP="008340C1">
      <w:pPr>
        <w:pStyle w:val="Heading2"/>
        <w:spacing w:before="0" w:after="320"/>
      </w:pPr>
      <w:bookmarkStart w:id="664" w:name="_Ref112852224"/>
      <w:bookmarkStart w:id="665" w:name="_Toc113702950"/>
      <w:r>
        <w:t>Appendix 2: B</w:t>
      </w:r>
      <w:r w:rsidRPr="003379F7">
        <w:t xml:space="preserve">udget </w:t>
      </w:r>
      <w:r>
        <w:t xml:space="preserve">portfolio </w:t>
      </w:r>
      <w:r w:rsidRPr="003379F7">
        <w:t>outcomes</w:t>
      </w:r>
      <w:bookmarkEnd w:id="660"/>
      <w:bookmarkEnd w:id="661"/>
      <w:bookmarkEnd w:id="662"/>
      <w:bookmarkEnd w:id="663"/>
      <w:bookmarkEnd w:id="664"/>
      <w:bookmarkEnd w:id="665"/>
    </w:p>
    <w:p w14:paraId="5D645876" w14:textId="77777777" w:rsidR="003E4716" w:rsidRPr="00E5664A" w:rsidRDefault="003E4716" w:rsidP="008340C1">
      <w:pPr>
        <w:pStyle w:val="Heading2"/>
        <w:sectPr w:rsidR="003E4716" w:rsidRPr="00E5664A" w:rsidSect="00A36763">
          <w:footnotePr>
            <w:numFmt w:val="lowerLetter"/>
            <w:numRestart w:val="eachPage"/>
          </w:footnotePr>
          <w:endnotePr>
            <w:numFmt w:val="decimal"/>
          </w:endnotePr>
          <w:pgSz w:w="11900" w:h="16840" w:code="9"/>
          <w:pgMar w:top="1985" w:right="1134" w:bottom="851" w:left="1134" w:header="510" w:footer="340" w:gutter="0"/>
          <w:cols w:space="454"/>
          <w15:footnoteColumns w:val="1"/>
        </w:sectPr>
      </w:pPr>
    </w:p>
    <w:p w14:paraId="6DA29921" w14:textId="44C6334F" w:rsidR="003E4716" w:rsidRDefault="003E4716" w:rsidP="008340C1">
      <w:pPr>
        <w:pStyle w:val="ARbody"/>
      </w:pPr>
      <w:r>
        <w:t xml:space="preserve">The budget portfolio outcomes provide comparisons between the actual financial statements of all general government sector entities in the portfolio and the forecast financial information (initial budget estimates) published in </w:t>
      </w:r>
      <w:r w:rsidRPr="000A5031">
        <w:rPr>
          <w:i/>
          <w:iCs/>
        </w:rPr>
        <w:t xml:space="preserve">Budget Paper No. 5 </w:t>
      </w:r>
      <w:r w:rsidR="000A5031" w:rsidRPr="000A5031">
        <w:rPr>
          <w:i/>
          <w:iCs/>
        </w:rPr>
        <w:t>–</w:t>
      </w:r>
      <w:r w:rsidR="000470CA" w:rsidRPr="000A5031">
        <w:rPr>
          <w:i/>
          <w:iCs/>
        </w:rPr>
        <w:t xml:space="preserve"> </w:t>
      </w:r>
      <w:r w:rsidRPr="000A5031">
        <w:rPr>
          <w:i/>
          <w:iCs/>
        </w:rPr>
        <w:t>Statement of Finances 2022–23</w:t>
      </w:r>
      <w:r w:rsidRPr="005E17FA">
        <w:t xml:space="preserve"> </w:t>
      </w:r>
      <w:r>
        <w:t>(BP5).</w:t>
      </w:r>
    </w:p>
    <w:p w14:paraId="11D98745" w14:textId="08AE3ACB" w:rsidR="003E4716" w:rsidRDefault="003E4716" w:rsidP="008340C1">
      <w:pPr>
        <w:pStyle w:val="ARbody"/>
      </w:pPr>
      <w:r>
        <w:t xml:space="preserve">The budget portfolio outcomes comprise the comprehensive operating statement, balance sheet, statement of cash flows, statement of changes in equity, and administered items statement for </w:t>
      </w:r>
      <w:r w:rsidR="000A5031">
        <w:t xml:space="preserve">the </w:t>
      </w:r>
      <w:r>
        <w:t>financial year 2021–22.</w:t>
      </w:r>
    </w:p>
    <w:p w14:paraId="61271457" w14:textId="77777777" w:rsidR="003E4716" w:rsidRDefault="003E4716" w:rsidP="008340C1">
      <w:pPr>
        <w:pStyle w:val="ARbody"/>
      </w:pPr>
      <w:r>
        <w:t>The budget portfolio outcomes have been prepared on a consolidated basis and include all general government sector entities within the portfolio. Financial transactions and balances are classified into either controlled or administered categories consistent with the published statements in BP5.</w:t>
      </w:r>
    </w:p>
    <w:p w14:paraId="3344493D" w14:textId="77777777" w:rsidR="003E4716" w:rsidRDefault="003E4716" w:rsidP="008340C1">
      <w:pPr>
        <w:pStyle w:val="ARbody"/>
      </w:pPr>
      <w:r>
        <w:t>The budget portfolio outcomes statements are not subject to audit by the Victorian Auditor-General’s Office and are not prepared on the same basis as the department’s financial statements as they include the consolidated financial information of the following entities:</w:t>
      </w:r>
    </w:p>
    <w:p w14:paraId="5DBA77C2" w14:textId="77777777" w:rsidR="003E4716" w:rsidRDefault="003E4716" w:rsidP="008340C1">
      <w:pPr>
        <w:pStyle w:val="ARbullet1"/>
      </w:pPr>
      <w:r>
        <w:t>the Department of Health</w:t>
      </w:r>
    </w:p>
    <w:p w14:paraId="55913C12" w14:textId="77777777" w:rsidR="003E4716" w:rsidRDefault="003E4716" w:rsidP="008340C1">
      <w:pPr>
        <w:pStyle w:val="ARbullet1"/>
      </w:pPr>
      <w:r>
        <w:t>public hospitals and public health services</w:t>
      </w:r>
    </w:p>
    <w:p w14:paraId="3FBA5C46" w14:textId="77777777" w:rsidR="003E4716" w:rsidRDefault="003E4716" w:rsidP="008340C1">
      <w:pPr>
        <w:pStyle w:val="ARbullet1"/>
      </w:pPr>
      <w:r>
        <w:t>multipurpose services</w:t>
      </w:r>
    </w:p>
    <w:p w14:paraId="6B72CC2F" w14:textId="77777777" w:rsidR="003E4716" w:rsidRDefault="003E4716" w:rsidP="008340C1">
      <w:pPr>
        <w:pStyle w:val="ARbullet1"/>
      </w:pPr>
      <w:r>
        <w:t>Ambulance Victoria</w:t>
      </w:r>
    </w:p>
    <w:p w14:paraId="2E10105A" w14:textId="77777777" w:rsidR="003E4716" w:rsidRDefault="003E4716" w:rsidP="008340C1">
      <w:pPr>
        <w:pStyle w:val="ARbullet1"/>
      </w:pPr>
      <w:r>
        <w:t>Health Purchasing Victoria</w:t>
      </w:r>
    </w:p>
    <w:p w14:paraId="3950081D" w14:textId="77777777" w:rsidR="003E4716" w:rsidRDefault="003E4716" w:rsidP="008340C1">
      <w:pPr>
        <w:pStyle w:val="ARbullet1"/>
      </w:pPr>
      <w:r>
        <w:t>Victorian Assisted Reproductive Treatment Authority</w:t>
      </w:r>
    </w:p>
    <w:p w14:paraId="4E541BF2" w14:textId="77777777" w:rsidR="003E4716" w:rsidRDefault="003E4716" w:rsidP="008340C1">
      <w:pPr>
        <w:pStyle w:val="ARbullet1"/>
      </w:pPr>
      <w:r>
        <w:t>Victorian Institute of Forensic Mental Health</w:t>
      </w:r>
    </w:p>
    <w:p w14:paraId="0BC103D6" w14:textId="77777777" w:rsidR="003E4716" w:rsidRDefault="003E4716" w:rsidP="008340C1">
      <w:pPr>
        <w:pStyle w:val="ARbullet1"/>
      </w:pPr>
      <w:r>
        <w:t>Mental Health Tribunal</w:t>
      </w:r>
    </w:p>
    <w:p w14:paraId="06BCD1F5" w14:textId="77777777" w:rsidR="003E4716" w:rsidRDefault="003E4716" w:rsidP="008340C1">
      <w:pPr>
        <w:pStyle w:val="ARbullet1"/>
      </w:pPr>
      <w:r>
        <w:t>Tweddle Child and Family Health Service</w:t>
      </w:r>
    </w:p>
    <w:p w14:paraId="14CF53BC" w14:textId="77777777" w:rsidR="003E4716" w:rsidRDefault="003E4716" w:rsidP="008340C1">
      <w:pPr>
        <w:pStyle w:val="ARbullet1"/>
      </w:pPr>
      <w:r>
        <w:t>The Queen Elizabeth Centre</w:t>
      </w:r>
    </w:p>
    <w:p w14:paraId="70CC21D2" w14:textId="77777777" w:rsidR="003E4716" w:rsidRDefault="003E4716" w:rsidP="008340C1">
      <w:pPr>
        <w:pStyle w:val="ARbullet1"/>
      </w:pPr>
      <w:r>
        <w:t>Victorian Health Promotion Foundation.</w:t>
      </w:r>
    </w:p>
    <w:p w14:paraId="623A5CEA" w14:textId="77777777" w:rsidR="003E4716" w:rsidRDefault="003E4716" w:rsidP="008340C1">
      <w:pPr>
        <w:pStyle w:val="ARbodyafterbullets"/>
      </w:pPr>
      <w:r>
        <w:t>The budget portfolio outcomes statements include funding from the Commonwealth Government and revenue from the sale of services attributed to the department from the state government. They also include income and expenses associated with funding for the National Health Reform Agreement and the National Partnership on COVID-19 Response, which are reported in the department’s administered accounts.</w:t>
      </w:r>
    </w:p>
    <w:p w14:paraId="740B5EF0" w14:textId="77777777" w:rsidR="003E4716" w:rsidRDefault="003E4716" w:rsidP="008340C1">
      <w:pPr>
        <w:pStyle w:val="Heading3"/>
        <w:spacing w:before="0"/>
      </w:pPr>
      <w:r>
        <w:t>Funding arrangements under the National Health Reform Agreement</w:t>
      </w:r>
    </w:p>
    <w:p w14:paraId="73460689" w14:textId="77777777" w:rsidR="003E4716" w:rsidRDefault="003E4716" w:rsidP="008340C1">
      <w:pPr>
        <w:pStyle w:val="ARbody"/>
      </w:pPr>
      <w:r>
        <w:t>The 2021–22 administered items statement reflects the funding contributions from the state and Commonwealth through the Victorian State Pool Account under the arrangements of the National Health Reform Agreement (NHRA).</w:t>
      </w:r>
    </w:p>
    <w:p w14:paraId="60759E71" w14:textId="2A6B492D" w:rsidR="003E4716" w:rsidRDefault="003E4716" w:rsidP="008340C1">
      <w:pPr>
        <w:pStyle w:val="ARbody"/>
      </w:pPr>
      <w:r>
        <w:t xml:space="preserve">NHRA arrangements provide Victorian and Commonwealth activity-based funding directly to health services from the Victorian State Pool Account, </w:t>
      </w:r>
      <w:r w:rsidR="004D10D7">
        <w:t>which</w:t>
      </w:r>
      <w:r>
        <w:t xml:space="preserve"> is overseen by the Administrator of the National Health Funding Pool. This is reported in the department’s administered accounts.</w:t>
      </w:r>
    </w:p>
    <w:p w14:paraId="1B4C4BD1" w14:textId="2ABECC55" w:rsidR="003E4716" w:rsidRDefault="003E4716" w:rsidP="008340C1">
      <w:pPr>
        <w:pStyle w:val="ARbody"/>
      </w:pPr>
      <w:r>
        <w:t xml:space="preserve">The administered accounts include the state and Commonwealth contributions to activity-based funding, cross-border contributions, </w:t>
      </w:r>
      <w:r w:rsidR="002D361D">
        <w:t xml:space="preserve">and </w:t>
      </w:r>
      <w:r>
        <w:t>payment to</w:t>
      </w:r>
      <w:r w:rsidR="00005B94">
        <w:t> </w:t>
      </w:r>
      <w:r>
        <w:t>the department’s controlled entity of Commonwealth contributions for block-funded health agencies, as well as NHRA public health funding.</w:t>
      </w:r>
    </w:p>
    <w:p w14:paraId="59054094" w14:textId="77777777" w:rsidR="003E4716" w:rsidRDefault="003E4716" w:rsidP="008340C1">
      <w:pPr>
        <w:pStyle w:val="Heading3"/>
      </w:pPr>
      <w:r>
        <w:t>Funding arrangements under the National Partnership on</w:t>
      </w:r>
      <w:r>
        <w:br/>
        <w:t>COVID-19 Response</w:t>
      </w:r>
    </w:p>
    <w:p w14:paraId="398B5BB0" w14:textId="77777777" w:rsidR="003E4716" w:rsidRDefault="003E4716" w:rsidP="008340C1">
      <w:pPr>
        <w:pStyle w:val="ARbody"/>
      </w:pPr>
      <w:r>
        <w:t>The National Partnership on COVID-19 Response (NPCR) utilises funding mechanisms of the National Health Reform Agreement to provide Commonwealth contributions for the response to the COVID-19 pandemic. The NPCR provides for Commonwealth funding to be paid through the Victorian State Pool Account and overseen by the Administrator of the National Health Funding Pool. This is reported in the department’s administered accounts.</w:t>
      </w:r>
    </w:p>
    <w:p w14:paraId="32493452" w14:textId="77777777" w:rsidR="003E4716" w:rsidRDefault="003E4716" w:rsidP="008340C1">
      <w:pPr>
        <w:pStyle w:val="ARbody"/>
      </w:pPr>
      <w:r>
        <w:t>Funding under the NPCR includes Hospital Services Payments, State Public Health Payments, Vaccine Dose Delivery Payments, Vaccine Roll-out Support Payments, Aged Care Response Payments, and Private Hospital Financial Viability Payments.</w:t>
      </w:r>
    </w:p>
    <w:p w14:paraId="3D690F45" w14:textId="77777777" w:rsidR="003E4716" w:rsidRDefault="003E4716" w:rsidP="008340C1">
      <w:pPr>
        <w:pStyle w:val="ARbody"/>
      </w:pPr>
      <w:r>
        <w:t>All Commonwealth contributions for NPCR funding are included in the administered accounts and are paid from the National Health Funding Pool to the department’s controlled entity.</w:t>
      </w:r>
    </w:p>
    <w:p w14:paraId="027BAFF9" w14:textId="77777777" w:rsidR="003E4716" w:rsidRDefault="003E4716" w:rsidP="008340C1">
      <w:pPr>
        <w:pStyle w:val="Heading3"/>
      </w:pPr>
      <w:r>
        <w:t>Financial performance – operating statement</w:t>
      </w:r>
    </w:p>
    <w:p w14:paraId="5E1A9821" w14:textId="77777777" w:rsidR="003E4716" w:rsidRDefault="003E4716" w:rsidP="008340C1">
      <w:pPr>
        <w:pStyle w:val="ARbody"/>
      </w:pPr>
      <w:r>
        <w:t>In 2021–22, the portfolio recorded an actual net result from transactions of $1,417 million surplus compared with a 2021–22 published budgeted deficit of $149 million.</w:t>
      </w:r>
    </w:p>
    <w:p w14:paraId="3D4B1E6E" w14:textId="456C5E3C" w:rsidR="003E4716" w:rsidRDefault="003E4716" w:rsidP="008340C1">
      <w:pPr>
        <w:pStyle w:val="ARbody"/>
      </w:pPr>
      <w:r>
        <w:t>The variance between the budgeted and actual surplus is mainly due to differences in the timing for expensing consumables, such as personal protective equipment and rapid antigen tests in response to the COVID-19 pandemic. The published budget assumes that all such items would be purchased and consumed in the same year, however a significant amount was still held as inventory at 30 June 2022.</w:t>
      </w:r>
    </w:p>
    <w:p w14:paraId="05DB36C9" w14:textId="69680A12" w:rsidR="003E4716" w:rsidRDefault="003E4716" w:rsidP="008340C1">
      <w:pPr>
        <w:pStyle w:val="ARbody"/>
      </w:pPr>
      <w:r>
        <w:t>In addition, contributing to the variance is the timing of grant income recognised by health agencies due to delays in implementation and delivery of planned activities in response to the COVID-19 pandemic.</w:t>
      </w:r>
    </w:p>
    <w:p w14:paraId="45D161CF" w14:textId="77777777" w:rsidR="003E4716" w:rsidRDefault="003E4716" w:rsidP="008340C1">
      <w:pPr>
        <w:pStyle w:val="Heading3"/>
      </w:pPr>
      <w:r>
        <w:t>Financial position – balance sheet</w:t>
      </w:r>
    </w:p>
    <w:p w14:paraId="0CA22329" w14:textId="2F5E92E0" w:rsidR="003E4716" w:rsidRDefault="003E4716" w:rsidP="008340C1">
      <w:pPr>
        <w:pStyle w:val="ARbody"/>
      </w:pPr>
      <w:r>
        <w:t>Total assets are $2,036 million higher than the published budget. This is mostly attributed to cash and deposits held by health agencies and inventories on hand at 30 June 2022 which relate to consumables such as personal protective equipment purchased in response to the COVID-19 pandemic.</w:t>
      </w:r>
    </w:p>
    <w:p w14:paraId="432B9105" w14:textId="581AF57A" w:rsidR="003E4716" w:rsidRDefault="003E4716" w:rsidP="008340C1">
      <w:pPr>
        <w:pStyle w:val="ARbody"/>
      </w:pPr>
      <w:r>
        <w:t>Total liabilities are $19 million higher than the published budget. This is primarily due to increases in employee leave provisions.</w:t>
      </w:r>
    </w:p>
    <w:p w14:paraId="79673E56" w14:textId="77777777" w:rsidR="003E4716" w:rsidRDefault="003E4716" w:rsidP="008340C1">
      <w:pPr>
        <w:pStyle w:val="Heading3"/>
      </w:pPr>
      <w:r>
        <w:t>Cash flows</w:t>
      </w:r>
    </w:p>
    <w:p w14:paraId="08CF5B10" w14:textId="56990F7C" w:rsidR="003E4716" w:rsidRDefault="003E4716" w:rsidP="008340C1">
      <w:pPr>
        <w:pStyle w:val="ARbody"/>
      </w:pPr>
      <w:r>
        <w:t xml:space="preserve">The overall cash position at the end of the </w:t>
      </w:r>
      <w:r>
        <w:br/>
        <w:t>2021–22 financial year is $3,614 million, which is $751 million greater than the published budget for 2021–22.</w:t>
      </w:r>
    </w:p>
    <w:p w14:paraId="15E524FF" w14:textId="5757526B" w:rsidR="003E4716" w:rsidRDefault="003E4716" w:rsidP="008340C1">
      <w:pPr>
        <w:pStyle w:val="ARbody"/>
      </w:pPr>
      <w:r>
        <w:t>The variance is mainly driven by cash held in portfolio health agencies as at 30 June 2022.</w:t>
      </w:r>
    </w:p>
    <w:p w14:paraId="12C8F640" w14:textId="4A48278C" w:rsidR="003E4716" w:rsidRDefault="003E4716" w:rsidP="008340C1">
      <w:pPr>
        <w:pStyle w:val="ARbody"/>
      </w:pPr>
      <w:r>
        <w:t>Detailed financial results for the 2021–22 portfolio budget and actual results are included in the following pages.</w:t>
      </w:r>
    </w:p>
    <w:p w14:paraId="429B9DC9" w14:textId="77777777" w:rsidR="003E4716" w:rsidRDefault="003E4716" w:rsidP="00EF10EA">
      <w:pPr>
        <w:pStyle w:val="ARbody"/>
      </w:pPr>
    </w:p>
    <w:p w14:paraId="67010C1F" w14:textId="77777777" w:rsidR="003E4716" w:rsidRDefault="003E4716" w:rsidP="00EF10EA">
      <w:pPr>
        <w:pStyle w:val="ARbody"/>
        <w:sectPr w:rsidR="003E4716" w:rsidSect="00715B0B">
          <w:footnotePr>
            <w:numFmt w:val="lowerLetter"/>
            <w:numRestart w:val="eachPage"/>
          </w:footnotePr>
          <w:endnotePr>
            <w:numFmt w:val="decimal"/>
          </w:endnotePr>
          <w:type w:val="continuous"/>
          <w:pgSz w:w="11900" w:h="16840" w:code="9"/>
          <w:pgMar w:top="1985" w:right="1134" w:bottom="851" w:left="1134" w:header="510" w:footer="340" w:gutter="0"/>
          <w:cols w:num="2" w:space="454"/>
          <w15:footnoteColumns w:val="1"/>
        </w:sectPr>
      </w:pPr>
    </w:p>
    <w:p w14:paraId="2E3AF4E1" w14:textId="77777777" w:rsidR="003E4716" w:rsidRDefault="003E4716" w:rsidP="008340C1">
      <w:pPr>
        <w:pStyle w:val="Heading3"/>
        <w:spacing w:before="0"/>
      </w:pPr>
      <w:bookmarkStart w:id="666" w:name="_Toc85121577"/>
      <w:r w:rsidRPr="00A13347">
        <w:t>Comprehensive operating statement</w:t>
      </w:r>
      <w:r>
        <w:br/>
      </w:r>
      <w:r w:rsidRPr="00A13347">
        <w:t>for the financial year</w:t>
      </w:r>
      <w:r>
        <w:t xml:space="preserve"> </w:t>
      </w:r>
      <w:r w:rsidRPr="00A13347">
        <w:t>ended 30</w:t>
      </w:r>
      <w:r>
        <w:t xml:space="preserve"> </w:t>
      </w:r>
      <w:r w:rsidRPr="00A13347">
        <w:t>June</w:t>
      </w:r>
      <w:r>
        <w:t xml:space="preserve"> </w:t>
      </w:r>
      <w:r w:rsidRPr="00A13347">
        <w:t>202</w:t>
      </w:r>
      <w:bookmarkEnd w:id="666"/>
      <w:r>
        <w:t>2</w:t>
      </w:r>
    </w:p>
    <w:tbl>
      <w:tblPr>
        <w:tblStyle w:val="TableGrid"/>
        <w:tblW w:w="9639" w:type="dxa"/>
        <w:tblLook w:val="06A0" w:firstRow="1" w:lastRow="0" w:firstColumn="1" w:lastColumn="0" w:noHBand="1" w:noVBand="1"/>
      </w:tblPr>
      <w:tblGrid>
        <w:gridCol w:w="4411"/>
        <w:gridCol w:w="1117"/>
        <w:gridCol w:w="1123"/>
        <w:gridCol w:w="1132"/>
        <w:gridCol w:w="1134"/>
        <w:gridCol w:w="722"/>
      </w:tblGrid>
      <w:tr w:rsidR="003E4716" w:rsidRPr="002029AF" w14:paraId="7487FDD2"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4411" w:type="dxa"/>
            <w:tcBorders>
              <w:bottom w:val="single" w:sz="4" w:space="0" w:color="auto"/>
            </w:tcBorders>
            <w:hideMark/>
          </w:tcPr>
          <w:p w14:paraId="26D119A2" w14:textId="77777777" w:rsidR="003E4716" w:rsidRPr="002029AF" w:rsidRDefault="003E4716" w:rsidP="008340C1">
            <w:pPr>
              <w:pStyle w:val="ARfintablecolhead"/>
            </w:pPr>
            <w:bookmarkStart w:id="667" w:name="_Toc85121578"/>
          </w:p>
        </w:tc>
        <w:tc>
          <w:tcPr>
            <w:tcW w:w="1117" w:type="dxa"/>
            <w:tcBorders>
              <w:bottom w:val="single" w:sz="4" w:space="0" w:color="auto"/>
            </w:tcBorders>
            <w:hideMark/>
          </w:tcPr>
          <w:p w14:paraId="3ED110AD" w14:textId="77777777" w:rsidR="003E4716" w:rsidRPr="002029AF" w:rsidRDefault="003E4716" w:rsidP="008340C1">
            <w:pPr>
              <w:pStyle w:val="ARfintablecolheadright"/>
            </w:pPr>
            <w:r w:rsidRPr="002029AF">
              <w:t>20</w:t>
            </w:r>
            <w:r>
              <w:t>21–22</w:t>
            </w:r>
          </w:p>
          <w:p w14:paraId="757998DB" w14:textId="77777777" w:rsidR="003E4716" w:rsidRPr="002029AF" w:rsidRDefault="003E4716" w:rsidP="008340C1">
            <w:pPr>
              <w:pStyle w:val="ARfintablecolheadright"/>
            </w:pPr>
            <w:r w:rsidRPr="002029AF">
              <w:t>Actual</w:t>
            </w:r>
          </w:p>
          <w:p w14:paraId="54EA0BDC" w14:textId="77777777" w:rsidR="003E4716" w:rsidRPr="002029AF" w:rsidRDefault="003E4716" w:rsidP="008340C1">
            <w:pPr>
              <w:pStyle w:val="ARfintablecolheadright"/>
            </w:pPr>
            <w:r w:rsidRPr="002029AF">
              <w:t>$M</w:t>
            </w:r>
          </w:p>
        </w:tc>
        <w:tc>
          <w:tcPr>
            <w:tcW w:w="1123" w:type="dxa"/>
            <w:tcBorders>
              <w:bottom w:val="single" w:sz="4" w:space="0" w:color="auto"/>
            </w:tcBorders>
          </w:tcPr>
          <w:p w14:paraId="31D5CBF7" w14:textId="77777777" w:rsidR="003E4716" w:rsidRPr="002029AF" w:rsidRDefault="003E4716" w:rsidP="008340C1">
            <w:pPr>
              <w:pStyle w:val="ARfintablecolheadright"/>
            </w:pPr>
            <w:r w:rsidRPr="002029AF">
              <w:t>20</w:t>
            </w:r>
            <w:r>
              <w:t>21–22</w:t>
            </w:r>
          </w:p>
          <w:p w14:paraId="71FEA2C9" w14:textId="77777777" w:rsidR="003E4716" w:rsidRPr="002029AF" w:rsidRDefault="003E4716" w:rsidP="008340C1">
            <w:pPr>
              <w:pStyle w:val="ARfintablecolheadright"/>
            </w:pPr>
            <w:r>
              <w:t>Revised</w:t>
            </w:r>
            <w:r w:rsidRPr="002029AF">
              <w:t xml:space="preserve"> budget</w:t>
            </w:r>
          </w:p>
          <w:p w14:paraId="50B7F3FA" w14:textId="77777777" w:rsidR="003E4716" w:rsidRPr="002029AF" w:rsidRDefault="003E4716" w:rsidP="008340C1">
            <w:pPr>
              <w:pStyle w:val="ARfintablecolheadright"/>
            </w:pPr>
            <w:r w:rsidRPr="002029AF">
              <w:t>$M</w:t>
            </w:r>
          </w:p>
        </w:tc>
        <w:tc>
          <w:tcPr>
            <w:tcW w:w="1132" w:type="dxa"/>
            <w:tcBorders>
              <w:bottom w:val="single" w:sz="4" w:space="0" w:color="auto"/>
            </w:tcBorders>
            <w:hideMark/>
          </w:tcPr>
          <w:p w14:paraId="3C179A82" w14:textId="77777777" w:rsidR="003E4716" w:rsidRPr="002029AF" w:rsidRDefault="003E4716" w:rsidP="008340C1">
            <w:pPr>
              <w:pStyle w:val="ARfintablecolheadright"/>
            </w:pPr>
            <w:r w:rsidRPr="002029AF">
              <w:t>20</w:t>
            </w:r>
            <w:r>
              <w:t>21–22</w:t>
            </w:r>
          </w:p>
          <w:p w14:paraId="708F3B26" w14:textId="77777777" w:rsidR="003E4716" w:rsidRPr="002029AF" w:rsidRDefault="003E4716" w:rsidP="008340C1">
            <w:pPr>
              <w:pStyle w:val="ARfintablecolheadright"/>
            </w:pPr>
            <w:r w:rsidRPr="002029AF">
              <w:t>Published budget</w:t>
            </w:r>
          </w:p>
          <w:p w14:paraId="41DD1D69" w14:textId="77777777" w:rsidR="003E4716" w:rsidRPr="002029AF" w:rsidRDefault="003E4716" w:rsidP="008340C1">
            <w:pPr>
              <w:pStyle w:val="ARfintablecolheadright"/>
            </w:pPr>
            <w:r w:rsidRPr="002029AF">
              <w:t>$M</w:t>
            </w:r>
          </w:p>
        </w:tc>
        <w:tc>
          <w:tcPr>
            <w:tcW w:w="1134" w:type="dxa"/>
            <w:tcBorders>
              <w:bottom w:val="single" w:sz="4" w:space="0" w:color="auto"/>
            </w:tcBorders>
            <w:noWrap/>
            <w:hideMark/>
          </w:tcPr>
          <w:p w14:paraId="5ABE21AE" w14:textId="77777777" w:rsidR="003E4716" w:rsidRPr="002029AF" w:rsidRDefault="003E4716" w:rsidP="008340C1">
            <w:pPr>
              <w:pStyle w:val="ARfintablecolheadright"/>
            </w:pPr>
            <w:r w:rsidRPr="002029AF">
              <w:t>Variation to published budget</w:t>
            </w:r>
          </w:p>
          <w:p w14:paraId="4B1EF690" w14:textId="77777777" w:rsidR="003E4716" w:rsidRPr="002029AF" w:rsidRDefault="003E4716" w:rsidP="008340C1">
            <w:pPr>
              <w:pStyle w:val="ARfintablecolheadright"/>
            </w:pPr>
            <w:r w:rsidRPr="002029AF">
              <w:t>%</w:t>
            </w:r>
          </w:p>
        </w:tc>
        <w:tc>
          <w:tcPr>
            <w:tcW w:w="722" w:type="dxa"/>
            <w:tcBorders>
              <w:bottom w:val="single" w:sz="4" w:space="0" w:color="auto"/>
            </w:tcBorders>
            <w:noWrap/>
            <w:hideMark/>
          </w:tcPr>
          <w:p w14:paraId="7DE5D0CB" w14:textId="77777777" w:rsidR="003E4716" w:rsidRPr="002029AF" w:rsidRDefault="003E4716" w:rsidP="008340C1">
            <w:pPr>
              <w:pStyle w:val="ARfintablecolheadcentre"/>
            </w:pPr>
            <w:r w:rsidRPr="002029AF">
              <w:t>Notes</w:t>
            </w:r>
          </w:p>
        </w:tc>
      </w:tr>
      <w:tr w:rsidR="003E4716" w:rsidRPr="002029AF" w14:paraId="37C91D02" w14:textId="77777777" w:rsidTr="008340C1">
        <w:trPr>
          <w:cantSplit w:val="0"/>
        </w:trPr>
        <w:tc>
          <w:tcPr>
            <w:tcW w:w="9639" w:type="dxa"/>
            <w:gridSpan w:val="6"/>
            <w:tcBorders>
              <w:top w:val="single" w:sz="4" w:space="0" w:color="auto"/>
              <w:bottom w:val="single" w:sz="4" w:space="0" w:color="A6A6A6"/>
            </w:tcBorders>
          </w:tcPr>
          <w:p w14:paraId="202147B8" w14:textId="77777777" w:rsidR="003E4716" w:rsidRPr="002029AF" w:rsidRDefault="003E4716" w:rsidP="008340C1">
            <w:pPr>
              <w:pStyle w:val="ARfintablebodybold"/>
            </w:pPr>
            <w:r w:rsidRPr="002D6EA4">
              <w:t>Net result from continuing operations</w:t>
            </w:r>
          </w:p>
        </w:tc>
      </w:tr>
      <w:tr w:rsidR="003E4716" w:rsidRPr="002029AF" w14:paraId="4D933733" w14:textId="77777777" w:rsidTr="008340C1">
        <w:trPr>
          <w:cantSplit w:val="0"/>
        </w:trPr>
        <w:tc>
          <w:tcPr>
            <w:tcW w:w="9639" w:type="dxa"/>
            <w:gridSpan w:val="6"/>
            <w:tcBorders>
              <w:top w:val="single" w:sz="4" w:space="0" w:color="A6A6A6"/>
              <w:bottom w:val="single" w:sz="4" w:space="0" w:color="A6A6A6"/>
            </w:tcBorders>
          </w:tcPr>
          <w:p w14:paraId="396AB449" w14:textId="77777777" w:rsidR="003E4716" w:rsidRPr="002029AF" w:rsidRDefault="003E4716" w:rsidP="008340C1">
            <w:pPr>
              <w:pStyle w:val="ARfintablebodybold"/>
            </w:pPr>
            <w:r w:rsidRPr="002D6EA4">
              <w:t>Income from transactions</w:t>
            </w:r>
          </w:p>
        </w:tc>
      </w:tr>
      <w:tr w:rsidR="003E4716" w:rsidRPr="002029AF" w14:paraId="258B13E2" w14:textId="77777777" w:rsidTr="008340C1">
        <w:trPr>
          <w:cantSplit w:val="0"/>
        </w:trPr>
        <w:tc>
          <w:tcPr>
            <w:tcW w:w="4411" w:type="dxa"/>
            <w:tcBorders>
              <w:top w:val="single" w:sz="4" w:space="0" w:color="A6A6A6"/>
              <w:bottom w:val="single" w:sz="4" w:space="0" w:color="A6A6A6"/>
            </w:tcBorders>
            <w:hideMark/>
          </w:tcPr>
          <w:p w14:paraId="23B981D6" w14:textId="77777777" w:rsidR="003E4716" w:rsidRPr="002029AF" w:rsidRDefault="003E4716" w:rsidP="008340C1">
            <w:pPr>
              <w:pStyle w:val="ARfintablebody"/>
            </w:pPr>
            <w:r w:rsidRPr="002D6EA4">
              <w:t>Output appropriations</w:t>
            </w:r>
          </w:p>
        </w:tc>
        <w:tc>
          <w:tcPr>
            <w:tcW w:w="1117" w:type="dxa"/>
            <w:tcBorders>
              <w:top w:val="single" w:sz="4" w:space="0" w:color="A6A6A6"/>
              <w:bottom w:val="single" w:sz="4" w:space="0" w:color="A6A6A6"/>
            </w:tcBorders>
            <w:hideMark/>
          </w:tcPr>
          <w:p w14:paraId="1EB6AE35" w14:textId="2F190502" w:rsidR="003E4716" w:rsidRPr="002029AF" w:rsidRDefault="003E4716" w:rsidP="008340C1">
            <w:pPr>
              <w:pStyle w:val="ARfintablebodyright"/>
            </w:pPr>
            <w:r w:rsidRPr="002D6EA4">
              <w:t>15,</w:t>
            </w:r>
            <w:r w:rsidR="007F1743">
              <w:t>910</w:t>
            </w:r>
          </w:p>
        </w:tc>
        <w:tc>
          <w:tcPr>
            <w:tcW w:w="1123" w:type="dxa"/>
            <w:tcBorders>
              <w:top w:val="single" w:sz="4" w:space="0" w:color="A6A6A6"/>
              <w:bottom w:val="single" w:sz="4" w:space="0" w:color="A6A6A6"/>
            </w:tcBorders>
          </w:tcPr>
          <w:p w14:paraId="6145FB52" w14:textId="77777777" w:rsidR="003E4716" w:rsidRPr="002029AF" w:rsidRDefault="003E4716" w:rsidP="008340C1">
            <w:pPr>
              <w:pStyle w:val="ARfintablebodyright"/>
            </w:pPr>
            <w:r w:rsidRPr="002D6EA4">
              <w:t>15,051</w:t>
            </w:r>
          </w:p>
        </w:tc>
        <w:tc>
          <w:tcPr>
            <w:tcW w:w="1132" w:type="dxa"/>
            <w:tcBorders>
              <w:top w:val="single" w:sz="4" w:space="0" w:color="A6A6A6"/>
              <w:bottom w:val="single" w:sz="4" w:space="0" w:color="A6A6A6"/>
            </w:tcBorders>
            <w:hideMark/>
          </w:tcPr>
          <w:p w14:paraId="54C77159" w14:textId="77777777" w:rsidR="003E4716" w:rsidRPr="002029AF" w:rsidRDefault="003E4716" w:rsidP="008340C1">
            <w:pPr>
              <w:pStyle w:val="ARfintablebodyright"/>
            </w:pPr>
            <w:r w:rsidRPr="002D6EA4">
              <w:t>12,095</w:t>
            </w:r>
          </w:p>
        </w:tc>
        <w:tc>
          <w:tcPr>
            <w:tcW w:w="1134" w:type="dxa"/>
            <w:tcBorders>
              <w:top w:val="single" w:sz="4" w:space="0" w:color="A6A6A6"/>
              <w:bottom w:val="single" w:sz="4" w:space="0" w:color="A6A6A6"/>
            </w:tcBorders>
            <w:hideMark/>
          </w:tcPr>
          <w:p w14:paraId="02544724" w14:textId="77777777" w:rsidR="003E4716" w:rsidRPr="002029AF" w:rsidRDefault="003E4716" w:rsidP="008340C1">
            <w:pPr>
              <w:pStyle w:val="ARfintablebodyright"/>
            </w:pPr>
            <w:r w:rsidRPr="002D6EA4">
              <w:t>31.6</w:t>
            </w:r>
          </w:p>
        </w:tc>
        <w:tc>
          <w:tcPr>
            <w:tcW w:w="722" w:type="dxa"/>
            <w:tcBorders>
              <w:top w:val="single" w:sz="4" w:space="0" w:color="A6A6A6"/>
              <w:bottom w:val="single" w:sz="4" w:space="0" w:color="A6A6A6"/>
            </w:tcBorders>
            <w:hideMark/>
          </w:tcPr>
          <w:p w14:paraId="7639E174" w14:textId="77777777" w:rsidR="003E4716" w:rsidRPr="002029AF" w:rsidRDefault="003E4716" w:rsidP="008340C1">
            <w:pPr>
              <w:pStyle w:val="ARfintablebodycentre"/>
            </w:pPr>
            <w:r w:rsidRPr="002D6EA4">
              <w:t>(a)</w:t>
            </w:r>
          </w:p>
        </w:tc>
      </w:tr>
      <w:tr w:rsidR="003E4716" w:rsidRPr="002029AF" w14:paraId="63753DA7" w14:textId="77777777" w:rsidTr="008340C1">
        <w:trPr>
          <w:cantSplit w:val="0"/>
        </w:trPr>
        <w:tc>
          <w:tcPr>
            <w:tcW w:w="4411" w:type="dxa"/>
            <w:tcBorders>
              <w:top w:val="single" w:sz="4" w:space="0" w:color="A6A6A6"/>
              <w:bottom w:val="single" w:sz="4" w:space="0" w:color="A6A6A6"/>
            </w:tcBorders>
            <w:hideMark/>
          </w:tcPr>
          <w:p w14:paraId="63868F5B" w14:textId="77777777" w:rsidR="003E4716" w:rsidRPr="002029AF" w:rsidRDefault="003E4716" w:rsidP="008340C1">
            <w:pPr>
              <w:pStyle w:val="ARfintablebody"/>
            </w:pPr>
            <w:r w:rsidRPr="002D6EA4">
              <w:t>Special appropriations</w:t>
            </w:r>
          </w:p>
        </w:tc>
        <w:tc>
          <w:tcPr>
            <w:tcW w:w="1117" w:type="dxa"/>
            <w:tcBorders>
              <w:top w:val="single" w:sz="4" w:space="0" w:color="A6A6A6"/>
              <w:bottom w:val="single" w:sz="4" w:space="0" w:color="A6A6A6"/>
            </w:tcBorders>
            <w:hideMark/>
          </w:tcPr>
          <w:p w14:paraId="3C36701F" w14:textId="61130E86" w:rsidR="003E4716" w:rsidRPr="002029AF" w:rsidRDefault="003E4716" w:rsidP="008340C1">
            <w:pPr>
              <w:pStyle w:val="ARfintablebodyright"/>
            </w:pPr>
            <w:r w:rsidRPr="002D6EA4">
              <w:t>1,88</w:t>
            </w:r>
            <w:r w:rsidR="00844D15">
              <w:t>9</w:t>
            </w:r>
          </w:p>
        </w:tc>
        <w:tc>
          <w:tcPr>
            <w:tcW w:w="1123" w:type="dxa"/>
            <w:tcBorders>
              <w:top w:val="single" w:sz="4" w:space="0" w:color="A6A6A6"/>
              <w:bottom w:val="single" w:sz="4" w:space="0" w:color="A6A6A6"/>
            </w:tcBorders>
          </w:tcPr>
          <w:p w14:paraId="0F783BD8" w14:textId="77777777" w:rsidR="003E4716" w:rsidRPr="002029AF" w:rsidRDefault="003E4716" w:rsidP="008340C1">
            <w:pPr>
              <w:pStyle w:val="ARfintablebodyright"/>
            </w:pPr>
            <w:r w:rsidRPr="002D6EA4">
              <w:t>1,836</w:t>
            </w:r>
          </w:p>
        </w:tc>
        <w:tc>
          <w:tcPr>
            <w:tcW w:w="1132" w:type="dxa"/>
            <w:tcBorders>
              <w:top w:val="single" w:sz="4" w:space="0" w:color="A6A6A6"/>
              <w:bottom w:val="single" w:sz="4" w:space="0" w:color="A6A6A6"/>
            </w:tcBorders>
            <w:hideMark/>
          </w:tcPr>
          <w:p w14:paraId="129C7423" w14:textId="77777777" w:rsidR="003E4716" w:rsidRPr="002029AF" w:rsidRDefault="003E4716" w:rsidP="008340C1">
            <w:pPr>
              <w:pStyle w:val="ARfintablebodyright"/>
            </w:pPr>
            <w:r w:rsidRPr="002D6EA4">
              <w:t>1,990</w:t>
            </w:r>
          </w:p>
        </w:tc>
        <w:tc>
          <w:tcPr>
            <w:tcW w:w="1134" w:type="dxa"/>
            <w:tcBorders>
              <w:top w:val="single" w:sz="4" w:space="0" w:color="A6A6A6"/>
              <w:bottom w:val="single" w:sz="4" w:space="0" w:color="A6A6A6"/>
            </w:tcBorders>
            <w:hideMark/>
          </w:tcPr>
          <w:p w14:paraId="17200BB4" w14:textId="77777777" w:rsidR="003E4716" w:rsidRPr="002029AF" w:rsidRDefault="003E4716" w:rsidP="008340C1">
            <w:pPr>
              <w:pStyle w:val="ARfintablebodyright"/>
            </w:pPr>
            <w:r w:rsidRPr="002D6EA4">
              <w:t>(5.5)</w:t>
            </w:r>
          </w:p>
        </w:tc>
        <w:tc>
          <w:tcPr>
            <w:tcW w:w="722" w:type="dxa"/>
            <w:tcBorders>
              <w:top w:val="single" w:sz="4" w:space="0" w:color="A6A6A6"/>
              <w:bottom w:val="single" w:sz="4" w:space="0" w:color="A6A6A6"/>
            </w:tcBorders>
            <w:hideMark/>
          </w:tcPr>
          <w:p w14:paraId="436DB994" w14:textId="77777777" w:rsidR="003E4716" w:rsidRPr="002A4973" w:rsidRDefault="003E4716" w:rsidP="008340C1">
            <w:pPr>
              <w:pStyle w:val="ARfintablebodycentre"/>
            </w:pPr>
          </w:p>
        </w:tc>
      </w:tr>
      <w:tr w:rsidR="003E4716" w:rsidRPr="002029AF" w14:paraId="6B9D700B" w14:textId="77777777" w:rsidTr="008340C1">
        <w:trPr>
          <w:cantSplit w:val="0"/>
        </w:trPr>
        <w:tc>
          <w:tcPr>
            <w:tcW w:w="4411" w:type="dxa"/>
            <w:tcBorders>
              <w:top w:val="single" w:sz="4" w:space="0" w:color="A6A6A6"/>
              <w:bottom w:val="single" w:sz="4" w:space="0" w:color="A6A6A6"/>
            </w:tcBorders>
            <w:hideMark/>
          </w:tcPr>
          <w:p w14:paraId="23CB162C" w14:textId="77777777" w:rsidR="003E4716" w:rsidRPr="002029AF" w:rsidRDefault="003E4716" w:rsidP="008340C1">
            <w:pPr>
              <w:pStyle w:val="ARfintablebody"/>
            </w:pPr>
            <w:r w:rsidRPr="002D6EA4">
              <w:t>Interest</w:t>
            </w:r>
          </w:p>
        </w:tc>
        <w:tc>
          <w:tcPr>
            <w:tcW w:w="1117" w:type="dxa"/>
            <w:tcBorders>
              <w:top w:val="single" w:sz="4" w:space="0" w:color="A6A6A6"/>
              <w:bottom w:val="single" w:sz="4" w:space="0" w:color="A6A6A6"/>
            </w:tcBorders>
            <w:hideMark/>
          </w:tcPr>
          <w:p w14:paraId="411E5C0B" w14:textId="77777777" w:rsidR="003E4716" w:rsidRPr="002029AF" w:rsidRDefault="003E4716" w:rsidP="008340C1">
            <w:pPr>
              <w:pStyle w:val="ARfintablebodyright"/>
            </w:pPr>
            <w:r w:rsidRPr="002D6EA4">
              <w:t>19</w:t>
            </w:r>
          </w:p>
        </w:tc>
        <w:tc>
          <w:tcPr>
            <w:tcW w:w="1123" w:type="dxa"/>
            <w:tcBorders>
              <w:top w:val="single" w:sz="4" w:space="0" w:color="A6A6A6"/>
              <w:bottom w:val="single" w:sz="4" w:space="0" w:color="A6A6A6"/>
            </w:tcBorders>
          </w:tcPr>
          <w:p w14:paraId="44BDE577" w14:textId="77777777" w:rsidR="003E4716" w:rsidRPr="002029AF" w:rsidRDefault="003E4716" w:rsidP="008340C1">
            <w:pPr>
              <w:pStyle w:val="ARfintablebodyright"/>
            </w:pPr>
            <w:r w:rsidRPr="002D6EA4">
              <w:t>17</w:t>
            </w:r>
          </w:p>
        </w:tc>
        <w:tc>
          <w:tcPr>
            <w:tcW w:w="1132" w:type="dxa"/>
            <w:tcBorders>
              <w:top w:val="single" w:sz="4" w:space="0" w:color="A6A6A6"/>
              <w:bottom w:val="single" w:sz="4" w:space="0" w:color="A6A6A6"/>
            </w:tcBorders>
            <w:hideMark/>
          </w:tcPr>
          <w:p w14:paraId="4418ED68" w14:textId="77777777" w:rsidR="003E4716" w:rsidRPr="002029AF" w:rsidRDefault="003E4716" w:rsidP="008340C1">
            <w:pPr>
              <w:pStyle w:val="ARfintablebodyright"/>
            </w:pPr>
            <w:r w:rsidRPr="002D6EA4">
              <w:t>47</w:t>
            </w:r>
          </w:p>
        </w:tc>
        <w:tc>
          <w:tcPr>
            <w:tcW w:w="1134" w:type="dxa"/>
            <w:tcBorders>
              <w:top w:val="single" w:sz="4" w:space="0" w:color="A6A6A6"/>
              <w:bottom w:val="single" w:sz="4" w:space="0" w:color="A6A6A6"/>
            </w:tcBorders>
            <w:hideMark/>
          </w:tcPr>
          <w:p w14:paraId="0B588D32" w14:textId="77777777" w:rsidR="003E4716" w:rsidRPr="002029AF" w:rsidRDefault="003E4716" w:rsidP="008340C1">
            <w:pPr>
              <w:pStyle w:val="ARfintablebodyright"/>
            </w:pPr>
            <w:r w:rsidRPr="002D6EA4">
              <w:t>(60.9)</w:t>
            </w:r>
          </w:p>
        </w:tc>
        <w:tc>
          <w:tcPr>
            <w:tcW w:w="722" w:type="dxa"/>
            <w:tcBorders>
              <w:top w:val="single" w:sz="4" w:space="0" w:color="A6A6A6"/>
              <w:bottom w:val="single" w:sz="4" w:space="0" w:color="A6A6A6"/>
            </w:tcBorders>
            <w:hideMark/>
          </w:tcPr>
          <w:p w14:paraId="5F2D658B" w14:textId="77777777" w:rsidR="003E4716" w:rsidRPr="002029AF" w:rsidRDefault="003E4716" w:rsidP="008340C1">
            <w:pPr>
              <w:pStyle w:val="ARfintablebodycentre"/>
            </w:pPr>
          </w:p>
        </w:tc>
      </w:tr>
      <w:tr w:rsidR="003E4716" w:rsidRPr="002029AF" w14:paraId="5A526E38" w14:textId="77777777" w:rsidTr="008340C1">
        <w:trPr>
          <w:cantSplit w:val="0"/>
        </w:trPr>
        <w:tc>
          <w:tcPr>
            <w:tcW w:w="4411" w:type="dxa"/>
            <w:tcBorders>
              <w:top w:val="single" w:sz="4" w:space="0" w:color="A6A6A6"/>
              <w:bottom w:val="single" w:sz="4" w:space="0" w:color="A6A6A6"/>
            </w:tcBorders>
            <w:hideMark/>
          </w:tcPr>
          <w:p w14:paraId="11E03B14" w14:textId="77777777" w:rsidR="003E4716" w:rsidRPr="002029AF" w:rsidRDefault="003E4716" w:rsidP="008340C1">
            <w:pPr>
              <w:pStyle w:val="ARfintablebody"/>
            </w:pPr>
            <w:r w:rsidRPr="002D6EA4">
              <w:t>Sales of goods and services</w:t>
            </w:r>
          </w:p>
        </w:tc>
        <w:tc>
          <w:tcPr>
            <w:tcW w:w="1117" w:type="dxa"/>
            <w:tcBorders>
              <w:top w:val="single" w:sz="4" w:space="0" w:color="A6A6A6"/>
              <w:bottom w:val="single" w:sz="4" w:space="0" w:color="A6A6A6"/>
            </w:tcBorders>
            <w:hideMark/>
          </w:tcPr>
          <w:p w14:paraId="62472317" w14:textId="77777777" w:rsidR="003E4716" w:rsidRPr="002029AF" w:rsidRDefault="003E4716" w:rsidP="008340C1">
            <w:pPr>
              <w:pStyle w:val="ARfintablebodyright"/>
            </w:pPr>
            <w:r w:rsidRPr="002D6EA4">
              <w:t>1,790</w:t>
            </w:r>
          </w:p>
        </w:tc>
        <w:tc>
          <w:tcPr>
            <w:tcW w:w="1123" w:type="dxa"/>
            <w:tcBorders>
              <w:top w:val="single" w:sz="4" w:space="0" w:color="A6A6A6"/>
              <w:bottom w:val="single" w:sz="4" w:space="0" w:color="A6A6A6"/>
            </w:tcBorders>
          </w:tcPr>
          <w:p w14:paraId="5E1A055E" w14:textId="77777777" w:rsidR="003E4716" w:rsidRPr="002029AF" w:rsidRDefault="003E4716" w:rsidP="008340C1">
            <w:pPr>
              <w:pStyle w:val="ARfintablebodyright"/>
            </w:pPr>
            <w:r w:rsidRPr="002D6EA4">
              <w:t>1,743</w:t>
            </w:r>
          </w:p>
        </w:tc>
        <w:tc>
          <w:tcPr>
            <w:tcW w:w="1132" w:type="dxa"/>
            <w:tcBorders>
              <w:top w:val="single" w:sz="4" w:space="0" w:color="A6A6A6"/>
              <w:bottom w:val="single" w:sz="4" w:space="0" w:color="A6A6A6"/>
            </w:tcBorders>
            <w:hideMark/>
          </w:tcPr>
          <w:p w14:paraId="274CC316" w14:textId="77777777" w:rsidR="003E4716" w:rsidRPr="002029AF" w:rsidRDefault="003E4716" w:rsidP="008340C1">
            <w:pPr>
              <w:pStyle w:val="ARfintablebodyright"/>
            </w:pPr>
            <w:r w:rsidRPr="002D6EA4">
              <w:t>1,924</w:t>
            </w:r>
          </w:p>
        </w:tc>
        <w:tc>
          <w:tcPr>
            <w:tcW w:w="1134" w:type="dxa"/>
            <w:tcBorders>
              <w:top w:val="single" w:sz="4" w:space="0" w:color="A6A6A6"/>
              <w:bottom w:val="single" w:sz="4" w:space="0" w:color="A6A6A6"/>
            </w:tcBorders>
            <w:hideMark/>
          </w:tcPr>
          <w:p w14:paraId="46E4F7F6" w14:textId="77777777" w:rsidR="003E4716" w:rsidRPr="002029AF" w:rsidRDefault="003E4716" w:rsidP="008340C1">
            <w:pPr>
              <w:pStyle w:val="ARfintablebodyright"/>
            </w:pPr>
            <w:r w:rsidRPr="002D6EA4">
              <w:t>(7.0)</w:t>
            </w:r>
          </w:p>
        </w:tc>
        <w:tc>
          <w:tcPr>
            <w:tcW w:w="722" w:type="dxa"/>
            <w:tcBorders>
              <w:top w:val="single" w:sz="4" w:space="0" w:color="A6A6A6"/>
              <w:bottom w:val="single" w:sz="4" w:space="0" w:color="A6A6A6"/>
            </w:tcBorders>
            <w:hideMark/>
          </w:tcPr>
          <w:p w14:paraId="59097175" w14:textId="77777777" w:rsidR="003E4716" w:rsidRPr="002029AF" w:rsidRDefault="003E4716" w:rsidP="008340C1">
            <w:pPr>
              <w:pStyle w:val="ARfintablebodycentre"/>
            </w:pPr>
          </w:p>
        </w:tc>
      </w:tr>
      <w:tr w:rsidR="003E4716" w:rsidRPr="002029AF" w14:paraId="1470A5FC" w14:textId="77777777" w:rsidTr="008340C1">
        <w:trPr>
          <w:cantSplit w:val="0"/>
        </w:trPr>
        <w:tc>
          <w:tcPr>
            <w:tcW w:w="4411" w:type="dxa"/>
            <w:tcBorders>
              <w:top w:val="single" w:sz="4" w:space="0" w:color="A6A6A6"/>
              <w:bottom w:val="single" w:sz="4" w:space="0" w:color="A6A6A6"/>
            </w:tcBorders>
            <w:hideMark/>
          </w:tcPr>
          <w:p w14:paraId="275B3695" w14:textId="77777777" w:rsidR="003E4716" w:rsidRPr="002029AF" w:rsidRDefault="003E4716" w:rsidP="008340C1">
            <w:pPr>
              <w:pStyle w:val="ARfintablebody"/>
            </w:pPr>
            <w:r w:rsidRPr="002D6EA4">
              <w:t>Grants</w:t>
            </w:r>
          </w:p>
        </w:tc>
        <w:tc>
          <w:tcPr>
            <w:tcW w:w="1117" w:type="dxa"/>
            <w:tcBorders>
              <w:top w:val="single" w:sz="4" w:space="0" w:color="A6A6A6"/>
              <w:bottom w:val="single" w:sz="4" w:space="0" w:color="A6A6A6"/>
            </w:tcBorders>
            <w:hideMark/>
          </w:tcPr>
          <w:p w14:paraId="7149BC9B" w14:textId="77777777" w:rsidR="003E4716" w:rsidRPr="002029AF" w:rsidRDefault="003E4716" w:rsidP="008340C1">
            <w:pPr>
              <w:pStyle w:val="ARfintablebodyright"/>
            </w:pPr>
            <w:r w:rsidRPr="002D6EA4">
              <w:t>9,926</w:t>
            </w:r>
          </w:p>
        </w:tc>
        <w:tc>
          <w:tcPr>
            <w:tcW w:w="1123" w:type="dxa"/>
            <w:tcBorders>
              <w:top w:val="single" w:sz="4" w:space="0" w:color="A6A6A6"/>
              <w:bottom w:val="single" w:sz="4" w:space="0" w:color="A6A6A6"/>
            </w:tcBorders>
          </w:tcPr>
          <w:p w14:paraId="34D57547" w14:textId="77777777" w:rsidR="003E4716" w:rsidRPr="002029AF" w:rsidRDefault="003E4716" w:rsidP="008340C1">
            <w:pPr>
              <w:pStyle w:val="ARfintablebodyright"/>
            </w:pPr>
            <w:r w:rsidRPr="002D6EA4">
              <w:t>9,391</w:t>
            </w:r>
          </w:p>
        </w:tc>
        <w:tc>
          <w:tcPr>
            <w:tcW w:w="1132" w:type="dxa"/>
            <w:tcBorders>
              <w:top w:val="single" w:sz="4" w:space="0" w:color="A6A6A6"/>
              <w:bottom w:val="single" w:sz="4" w:space="0" w:color="A6A6A6"/>
            </w:tcBorders>
            <w:hideMark/>
          </w:tcPr>
          <w:p w14:paraId="7C00FF14" w14:textId="77777777" w:rsidR="003E4716" w:rsidRPr="002029AF" w:rsidRDefault="003E4716" w:rsidP="008340C1">
            <w:pPr>
              <w:pStyle w:val="ARfintablebodyright"/>
            </w:pPr>
            <w:r w:rsidRPr="002D6EA4">
              <w:t>8,181</w:t>
            </w:r>
          </w:p>
        </w:tc>
        <w:tc>
          <w:tcPr>
            <w:tcW w:w="1134" w:type="dxa"/>
            <w:tcBorders>
              <w:top w:val="single" w:sz="4" w:space="0" w:color="A6A6A6"/>
              <w:bottom w:val="single" w:sz="4" w:space="0" w:color="A6A6A6"/>
            </w:tcBorders>
            <w:hideMark/>
          </w:tcPr>
          <w:p w14:paraId="4D469DBF" w14:textId="77777777" w:rsidR="003E4716" w:rsidRPr="002029AF" w:rsidRDefault="003E4716" w:rsidP="008340C1">
            <w:pPr>
              <w:pStyle w:val="ARfintablebodyright"/>
            </w:pPr>
            <w:r w:rsidRPr="002D6EA4">
              <w:t>21.3</w:t>
            </w:r>
          </w:p>
        </w:tc>
        <w:tc>
          <w:tcPr>
            <w:tcW w:w="722" w:type="dxa"/>
            <w:tcBorders>
              <w:top w:val="single" w:sz="4" w:space="0" w:color="A6A6A6"/>
              <w:bottom w:val="single" w:sz="4" w:space="0" w:color="A6A6A6"/>
            </w:tcBorders>
            <w:hideMark/>
          </w:tcPr>
          <w:p w14:paraId="291E8F6A" w14:textId="77777777" w:rsidR="003E4716" w:rsidRPr="002029AF" w:rsidRDefault="003E4716" w:rsidP="008340C1">
            <w:pPr>
              <w:pStyle w:val="ARfintablebodycentre"/>
            </w:pPr>
            <w:r w:rsidRPr="002D6EA4">
              <w:t>(b)</w:t>
            </w:r>
          </w:p>
        </w:tc>
      </w:tr>
      <w:tr w:rsidR="003E4716" w:rsidRPr="002029AF" w14:paraId="14239752" w14:textId="77777777" w:rsidTr="008340C1">
        <w:trPr>
          <w:cantSplit w:val="0"/>
        </w:trPr>
        <w:tc>
          <w:tcPr>
            <w:tcW w:w="4411" w:type="dxa"/>
            <w:tcBorders>
              <w:top w:val="single" w:sz="4" w:space="0" w:color="A6A6A6"/>
              <w:bottom w:val="single" w:sz="4" w:space="0" w:color="A6A6A6"/>
            </w:tcBorders>
            <w:hideMark/>
          </w:tcPr>
          <w:p w14:paraId="409C6B2B" w14:textId="77777777" w:rsidR="003E4716" w:rsidRPr="002029AF" w:rsidRDefault="003E4716" w:rsidP="008340C1">
            <w:pPr>
              <w:pStyle w:val="ARfintablebody"/>
            </w:pPr>
            <w:r w:rsidRPr="002D6EA4">
              <w:t xml:space="preserve">Fair value of assets and services received </w:t>
            </w:r>
            <w:r>
              <w:br/>
            </w:r>
            <w:r w:rsidRPr="002D6EA4">
              <w:t>free of charge or for nominal consideration</w:t>
            </w:r>
          </w:p>
        </w:tc>
        <w:tc>
          <w:tcPr>
            <w:tcW w:w="1117" w:type="dxa"/>
            <w:tcBorders>
              <w:top w:val="single" w:sz="4" w:space="0" w:color="A6A6A6"/>
              <w:bottom w:val="single" w:sz="4" w:space="0" w:color="A6A6A6"/>
            </w:tcBorders>
            <w:hideMark/>
          </w:tcPr>
          <w:p w14:paraId="4BC83A6B" w14:textId="77777777" w:rsidR="003E4716" w:rsidRPr="002029AF" w:rsidRDefault="003E4716" w:rsidP="008340C1">
            <w:pPr>
              <w:pStyle w:val="ARfintablebodyright"/>
            </w:pPr>
            <w:r w:rsidRPr="002D6EA4">
              <w:t>38</w:t>
            </w:r>
          </w:p>
        </w:tc>
        <w:tc>
          <w:tcPr>
            <w:tcW w:w="1123" w:type="dxa"/>
            <w:tcBorders>
              <w:top w:val="single" w:sz="4" w:space="0" w:color="A6A6A6"/>
              <w:bottom w:val="single" w:sz="4" w:space="0" w:color="A6A6A6"/>
            </w:tcBorders>
          </w:tcPr>
          <w:p w14:paraId="5B7606FE" w14:textId="77777777" w:rsidR="003E4716" w:rsidRPr="002029AF" w:rsidRDefault="003E4716" w:rsidP="008340C1">
            <w:pPr>
              <w:pStyle w:val="ARfintablebodyright"/>
            </w:pPr>
            <w:r>
              <w:t>–</w:t>
            </w:r>
          </w:p>
        </w:tc>
        <w:tc>
          <w:tcPr>
            <w:tcW w:w="1132" w:type="dxa"/>
            <w:tcBorders>
              <w:top w:val="single" w:sz="4" w:space="0" w:color="A6A6A6"/>
              <w:bottom w:val="single" w:sz="4" w:space="0" w:color="A6A6A6"/>
            </w:tcBorders>
            <w:hideMark/>
          </w:tcPr>
          <w:p w14:paraId="59F71C3B" w14:textId="77777777" w:rsidR="003E4716" w:rsidRPr="002029AF" w:rsidRDefault="003E4716" w:rsidP="008340C1">
            <w:pPr>
              <w:pStyle w:val="ARfintablebodyright"/>
            </w:pPr>
            <w:r>
              <w:t>–</w:t>
            </w:r>
          </w:p>
        </w:tc>
        <w:tc>
          <w:tcPr>
            <w:tcW w:w="1134" w:type="dxa"/>
            <w:tcBorders>
              <w:top w:val="single" w:sz="4" w:space="0" w:color="A6A6A6"/>
              <w:bottom w:val="single" w:sz="4" w:space="0" w:color="A6A6A6"/>
            </w:tcBorders>
            <w:hideMark/>
          </w:tcPr>
          <w:p w14:paraId="7802FB17" w14:textId="77777777" w:rsidR="003E4716" w:rsidRPr="002029AF" w:rsidRDefault="003E4716" w:rsidP="008340C1">
            <w:pPr>
              <w:pStyle w:val="ARfintablebodyright"/>
            </w:pPr>
            <w:r>
              <w:t>–</w:t>
            </w:r>
          </w:p>
        </w:tc>
        <w:tc>
          <w:tcPr>
            <w:tcW w:w="722" w:type="dxa"/>
            <w:tcBorders>
              <w:top w:val="single" w:sz="4" w:space="0" w:color="A6A6A6"/>
              <w:bottom w:val="single" w:sz="4" w:space="0" w:color="A6A6A6"/>
            </w:tcBorders>
            <w:hideMark/>
          </w:tcPr>
          <w:p w14:paraId="2567A4A2" w14:textId="77777777" w:rsidR="003E4716" w:rsidRPr="002029AF" w:rsidRDefault="003E4716" w:rsidP="008340C1">
            <w:pPr>
              <w:pStyle w:val="ARfintablebodycentre"/>
            </w:pPr>
          </w:p>
        </w:tc>
      </w:tr>
      <w:tr w:rsidR="003E4716" w:rsidRPr="002029AF" w14:paraId="471FD512" w14:textId="77777777" w:rsidTr="008340C1">
        <w:trPr>
          <w:cantSplit w:val="0"/>
        </w:trPr>
        <w:tc>
          <w:tcPr>
            <w:tcW w:w="4411" w:type="dxa"/>
            <w:tcBorders>
              <w:top w:val="single" w:sz="4" w:space="0" w:color="A6A6A6"/>
            </w:tcBorders>
            <w:hideMark/>
          </w:tcPr>
          <w:p w14:paraId="3470EEAB" w14:textId="77777777" w:rsidR="003E4716" w:rsidRPr="002029AF" w:rsidRDefault="003E4716" w:rsidP="008340C1">
            <w:pPr>
              <w:pStyle w:val="ARfintablebody"/>
            </w:pPr>
            <w:r w:rsidRPr="002D6EA4">
              <w:t>Other income</w:t>
            </w:r>
          </w:p>
        </w:tc>
        <w:tc>
          <w:tcPr>
            <w:tcW w:w="1117" w:type="dxa"/>
            <w:tcBorders>
              <w:top w:val="single" w:sz="4" w:space="0" w:color="A6A6A6"/>
            </w:tcBorders>
            <w:hideMark/>
          </w:tcPr>
          <w:p w14:paraId="6B80F3B4" w14:textId="77777777" w:rsidR="003E4716" w:rsidRPr="002029AF" w:rsidRDefault="003E4716" w:rsidP="008340C1">
            <w:pPr>
              <w:pStyle w:val="ARfintablebodyright"/>
            </w:pPr>
            <w:r w:rsidRPr="002D6EA4">
              <w:t>874</w:t>
            </w:r>
          </w:p>
        </w:tc>
        <w:tc>
          <w:tcPr>
            <w:tcW w:w="1123" w:type="dxa"/>
            <w:tcBorders>
              <w:top w:val="single" w:sz="4" w:space="0" w:color="A6A6A6"/>
            </w:tcBorders>
          </w:tcPr>
          <w:p w14:paraId="4D123B92" w14:textId="77777777" w:rsidR="003E4716" w:rsidRPr="002029AF" w:rsidRDefault="003E4716" w:rsidP="008340C1">
            <w:pPr>
              <w:pStyle w:val="ARfintablebodyright"/>
            </w:pPr>
            <w:r w:rsidRPr="002D6EA4">
              <w:t>807</w:t>
            </w:r>
          </w:p>
        </w:tc>
        <w:tc>
          <w:tcPr>
            <w:tcW w:w="1132" w:type="dxa"/>
            <w:tcBorders>
              <w:top w:val="single" w:sz="4" w:space="0" w:color="A6A6A6"/>
            </w:tcBorders>
            <w:hideMark/>
          </w:tcPr>
          <w:p w14:paraId="4F84418E" w14:textId="77777777" w:rsidR="003E4716" w:rsidRPr="002029AF" w:rsidRDefault="003E4716" w:rsidP="008340C1">
            <w:pPr>
              <w:pStyle w:val="ARfintablebodyright"/>
            </w:pPr>
            <w:r w:rsidRPr="002D6EA4">
              <w:t>775</w:t>
            </w:r>
          </w:p>
        </w:tc>
        <w:tc>
          <w:tcPr>
            <w:tcW w:w="1134" w:type="dxa"/>
            <w:tcBorders>
              <w:top w:val="single" w:sz="4" w:space="0" w:color="A6A6A6"/>
            </w:tcBorders>
            <w:hideMark/>
          </w:tcPr>
          <w:p w14:paraId="1FD3C58C" w14:textId="77777777" w:rsidR="003E4716" w:rsidRPr="002029AF" w:rsidRDefault="003E4716" w:rsidP="008340C1">
            <w:pPr>
              <w:pStyle w:val="ARfintablebodyright"/>
            </w:pPr>
            <w:r w:rsidRPr="002D6EA4">
              <w:t>12.8</w:t>
            </w:r>
          </w:p>
        </w:tc>
        <w:tc>
          <w:tcPr>
            <w:tcW w:w="722" w:type="dxa"/>
            <w:tcBorders>
              <w:top w:val="single" w:sz="4" w:space="0" w:color="A6A6A6"/>
            </w:tcBorders>
            <w:hideMark/>
          </w:tcPr>
          <w:p w14:paraId="1A4E40FC" w14:textId="77777777" w:rsidR="003E4716" w:rsidRPr="002029AF" w:rsidRDefault="003E4716" w:rsidP="008340C1">
            <w:pPr>
              <w:pStyle w:val="ARfintablebodycentre"/>
            </w:pPr>
            <w:r w:rsidRPr="002D6EA4">
              <w:t>(c)</w:t>
            </w:r>
          </w:p>
        </w:tc>
      </w:tr>
      <w:tr w:rsidR="003E4716" w:rsidRPr="002029AF" w14:paraId="08DF3945" w14:textId="77777777" w:rsidTr="008340C1">
        <w:trPr>
          <w:cantSplit w:val="0"/>
        </w:trPr>
        <w:tc>
          <w:tcPr>
            <w:tcW w:w="4411" w:type="dxa"/>
            <w:tcBorders>
              <w:bottom w:val="single" w:sz="4" w:space="0" w:color="auto"/>
            </w:tcBorders>
            <w:hideMark/>
          </w:tcPr>
          <w:p w14:paraId="2B3DDEFE" w14:textId="77777777" w:rsidR="003E4716" w:rsidRPr="002029AF" w:rsidRDefault="003E4716" w:rsidP="008340C1">
            <w:pPr>
              <w:pStyle w:val="ARfintablebodybold"/>
            </w:pPr>
            <w:r w:rsidRPr="002D6EA4">
              <w:t>Total income from transactions</w:t>
            </w:r>
          </w:p>
        </w:tc>
        <w:tc>
          <w:tcPr>
            <w:tcW w:w="1117" w:type="dxa"/>
            <w:tcBorders>
              <w:bottom w:val="single" w:sz="4" w:space="0" w:color="auto"/>
            </w:tcBorders>
            <w:hideMark/>
          </w:tcPr>
          <w:p w14:paraId="7FA08CBD" w14:textId="77777777" w:rsidR="003E4716" w:rsidRPr="002029AF" w:rsidRDefault="003E4716" w:rsidP="008340C1">
            <w:pPr>
              <w:pStyle w:val="ARfintablebodyrightbold"/>
            </w:pPr>
            <w:r w:rsidRPr="002D6EA4">
              <w:t>30,446</w:t>
            </w:r>
          </w:p>
        </w:tc>
        <w:tc>
          <w:tcPr>
            <w:tcW w:w="1123" w:type="dxa"/>
            <w:tcBorders>
              <w:bottom w:val="single" w:sz="4" w:space="0" w:color="auto"/>
            </w:tcBorders>
          </w:tcPr>
          <w:p w14:paraId="4D442007" w14:textId="77777777" w:rsidR="003E4716" w:rsidRPr="002029AF" w:rsidRDefault="003E4716" w:rsidP="008340C1">
            <w:pPr>
              <w:pStyle w:val="ARfintablebodyrightbold"/>
            </w:pPr>
            <w:r w:rsidRPr="002D6EA4">
              <w:t>28,845</w:t>
            </w:r>
          </w:p>
        </w:tc>
        <w:tc>
          <w:tcPr>
            <w:tcW w:w="1132" w:type="dxa"/>
            <w:tcBorders>
              <w:bottom w:val="single" w:sz="4" w:space="0" w:color="auto"/>
            </w:tcBorders>
            <w:hideMark/>
          </w:tcPr>
          <w:p w14:paraId="498D7FA3" w14:textId="77777777" w:rsidR="003E4716" w:rsidRPr="002029AF" w:rsidRDefault="003E4716" w:rsidP="008340C1">
            <w:pPr>
              <w:pStyle w:val="ARfintablebodyrightbold"/>
            </w:pPr>
            <w:r w:rsidRPr="002D6EA4">
              <w:t>25,012</w:t>
            </w:r>
          </w:p>
        </w:tc>
        <w:tc>
          <w:tcPr>
            <w:tcW w:w="1134" w:type="dxa"/>
            <w:tcBorders>
              <w:bottom w:val="single" w:sz="4" w:space="0" w:color="auto"/>
            </w:tcBorders>
            <w:hideMark/>
          </w:tcPr>
          <w:p w14:paraId="54667AE9" w14:textId="77777777" w:rsidR="003E4716" w:rsidRPr="002029AF" w:rsidRDefault="003E4716" w:rsidP="008340C1">
            <w:pPr>
              <w:pStyle w:val="ARfintablebodyrightbold"/>
            </w:pPr>
            <w:r w:rsidRPr="002D6EA4">
              <w:t>21.7</w:t>
            </w:r>
          </w:p>
        </w:tc>
        <w:tc>
          <w:tcPr>
            <w:tcW w:w="722" w:type="dxa"/>
            <w:tcBorders>
              <w:bottom w:val="single" w:sz="4" w:space="0" w:color="auto"/>
            </w:tcBorders>
            <w:hideMark/>
          </w:tcPr>
          <w:p w14:paraId="7A862FA8" w14:textId="77777777" w:rsidR="003E4716" w:rsidRPr="002029AF" w:rsidRDefault="003E4716" w:rsidP="008340C1">
            <w:pPr>
              <w:pStyle w:val="ARfintablebodycentre"/>
            </w:pPr>
          </w:p>
        </w:tc>
      </w:tr>
      <w:tr w:rsidR="003E4716" w:rsidRPr="002029AF" w14:paraId="28B9D027" w14:textId="77777777" w:rsidTr="008340C1">
        <w:trPr>
          <w:cantSplit w:val="0"/>
        </w:trPr>
        <w:tc>
          <w:tcPr>
            <w:tcW w:w="9639" w:type="dxa"/>
            <w:gridSpan w:val="6"/>
            <w:tcBorders>
              <w:top w:val="single" w:sz="4" w:space="0" w:color="auto"/>
              <w:bottom w:val="single" w:sz="4" w:space="0" w:color="A6A6A6"/>
            </w:tcBorders>
          </w:tcPr>
          <w:p w14:paraId="76A4BB7E" w14:textId="77777777" w:rsidR="003E4716" w:rsidRPr="002029AF" w:rsidRDefault="003E4716" w:rsidP="008340C1">
            <w:pPr>
              <w:pStyle w:val="ARfintablebodybold"/>
            </w:pPr>
            <w:r w:rsidRPr="002D6EA4">
              <w:t>Expenses from transactions</w:t>
            </w:r>
          </w:p>
        </w:tc>
      </w:tr>
      <w:tr w:rsidR="003E4716" w:rsidRPr="002029AF" w14:paraId="55FF09C2" w14:textId="77777777" w:rsidTr="008340C1">
        <w:trPr>
          <w:cantSplit w:val="0"/>
        </w:trPr>
        <w:tc>
          <w:tcPr>
            <w:tcW w:w="4411" w:type="dxa"/>
            <w:tcBorders>
              <w:top w:val="single" w:sz="4" w:space="0" w:color="A6A6A6"/>
              <w:bottom w:val="single" w:sz="4" w:space="0" w:color="A6A6A6"/>
            </w:tcBorders>
            <w:hideMark/>
          </w:tcPr>
          <w:p w14:paraId="7B7339E9" w14:textId="77777777" w:rsidR="003E4716" w:rsidRPr="002029AF" w:rsidRDefault="003E4716" w:rsidP="008340C1">
            <w:pPr>
              <w:pStyle w:val="ARfintablebody"/>
            </w:pPr>
            <w:r w:rsidRPr="002D6EA4">
              <w:t>Employee benefits</w:t>
            </w:r>
          </w:p>
        </w:tc>
        <w:tc>
          <w:tcPr>
            <w:tcW w:w="1117" w:type="dxa"/>
            <w:tcBorders>
              <w:top w:val="single" w:sz="4" w:space="0" w:color="A6A6A6"/>
              <w:bottom w:val="single" w:sz="4" w:space="0" w:color="A6A6A6"/>
            </w:tcBorders>
            <w:hideMark/>
          </w:tcPr>
          <w:p w14:paraId="0E81A65E" w14:textId="77777777" w:rsidR="003E4716" w:rsidRPr="002029AF" w:rsidRDefault="003E4716" w:rsidP="008340C1">
            <w:pPr>
              <w:pStyle w:val="ARfintablebodyright"/>
            </w:pPr>
            <w:r w:rsidRPr="002D6EA4">
              <w:t>15,856</w:t>
            </w:r>
          </w:p>
        </w:tc>
        <w:tc>
          <w:tcPr>
            <w:tcW w:w="1123" w:type="dxa"/>
            <w:tcBorders>
              <w:top w:val="single" w:sz="4" w:space="0" w:color="A6A6A6"/>
              <w:bottom w:val="single" w:sz="4" w:space="0" w:color="A6A6A6"/>
            </w:tcBorders>
          </w:tcPr>
          <w:p w14:paraId="1ED82E41" w14:textId="77777777" w:rsidR="003E4716" w:rsidRPr="002029AF" w:rsidRDefault="003E4716" w:rsidP="008340C1">
            <w:pPr>
              <w:pStyle w:val="ARfintablebodyright"/>
            </w:pPr>
            <w:r w:rsidRPr="002D6EA4">
              <w:t>16,473</w:t>
            </w:r>
          </w:p>
        </w:tc>
        <w:tc>
          <w:tcPr>
            <w:tcW w:w="1132" w:type="dxa"/>
            <w:tcBorders>
              <w:top w:val="single" w:sz="4" w:space="0" w:color="A6A6A6"/>
              <w:bottom w:val="single" w:sz="4" w:space="0" w:color="A6A6A6"/>
            </w:tcBorders>
            <w:hideMark/>
          </w:tcPr>
          <w:p w14:paraId="66733FBD" w14:textId="77777777" w:rsidR="003E4716" w:rsidRPr="002029AF" w:rsidRDefault="003E4716" w:rsidP="008340C1">
            <w:pPr>
              <w:pStyle w:val="ARfintablebodyright"/>
            </w:pPr>
            <w:r w:rsidRPr="002D6EA4">
              <w:t>15,347</w:t>
            </w:r>
          </w:p>
        </w:tc>
        <w:tc>
          <w:tcPr>
            <w:tcW w:w="1134" w:type="dxa"/>
            <w:tcBorders>
              <w:top w:val="single" w:sz="4" w:space="0" w:color="A6A6A6"/>
              <w:bottom w:val="single" w:sz="4" w:space="0" w:color="A6A6A6"/>
            </w:tcBorders>
            <w:hideMark/>
          </w:tcPr>
          <w:p w14:paraId="6E61247A" w14:textId="77777777" w:rsidR="003E4716" w:rsidRPr="002029AF" w:rsidRDefault="003E4716" w:rsidP="008340C1">
            <w:pPr>
              <w:pStyle w:val="ARfintablebodyright"/>
            </w:pPr>
            <w:r w:rsidRPr="002D6EA4">
              <w:t>3.3</w:t>
            </w:r>
          </w:p>
        </w:tc>
        <w:tc>
          <w:tcPr>
            <w:tcW w:w="722" w:type="dxa"/>
            <w:tcBorders>
              <w:top w:val="single" w:sz="4" w:space="0" w:color="A6A6A6"/>
              <w:bottom w:val="single" w:sz="4" w:space="0" w:color="A6A6A6"/>
            </w:tcBorders>
            <w:hideMark/>
          </w:tcPr>
          <w:p w14:paraId="1FC14EF6" w14:textId="77777777" w:rsidR="003E4716" w:rsidRPr="002029AF" w:rsidRDefault="003E4716" w:rsidP="008340C1">
            <w:pPr>
              <w:pStyle w:val="ARfintablebodycentre"/>
            </w:pPr>
          </w:p>
        </w:tc>
      </w:tr>
      <w:tr w:rsidR="003E4716" w:rsidRPr="002029AF" w14:paraId="379E8B4B" w14:textId="77777777" w:rsidTr="008340C1">
        <w:trPr>
          <w:cantSplit w:val="0"/>
        </w:trPr>
        <w:tc>
          <w:tcPr>
            <w:tcW w:w="4411" w:type="dxa"/>
            <w:tcBorders>
              <w:top w:val="single" w:sz="4" w:space="0" w:color="A6A6A6"/>
              <w:bottom w:val="single" w:sz="4" w:space="0" w:color="A6A6A6"/>
            </w:tcBorders>
            <w:hideMark/>
          </w:tcPr>
          <w:p w14:paraId="342641E0" w14:textId="77777777" w:rsidR="003E4716" w:rsidRPr="002029AF" w:rsidRDefault="003E4716" w:rsidP="008340C1">
            <w:pPr>
              <w:pStyle w:val="ARfintablebody"/>
            </w:pPr>
            <w:r w:rsidRPr="002D6EA4">
              <w:t>Depreciation and amortisation</w:t>
            </w:r>
          </w:p>
        </w:tc>
        <w:tc>
          <w:tcPr>
            <w:tcW w:w="1117" w:type="dxa"/>
            <w:tcBorders>
              <w:top w:val="single" w:sz="4" w:space="0" w:color="A6A6A6"/>
              <w:bottom w:val="single" w:sz="4" w:space="0" w:color="A6A6A6"/>
            </w:tcBorders>
            <w:hideMark/>
          </w:tcPr>
          <w:p w14:paraId="3ABA0584" w14:textId="77777777" w:rsidR="003E4716" w:rsidRPr="002029AF" w:rsidRDefault="003E4716" w:rsidP="008340C1">
            <w:pPr>
              <w:pStyle w:val="ARfintablebodyright"/>
            </w:pPr>
            <w:r w:rsidRPr="002D6EA4">
              <w:t>1,315</w:t>
            </w:r>
          </w:p>
        </w:tc>
        <w:tc>
          <w:tcPr>
            <w:tcW w:w="1123" w:type="dxa"/>
            <w:tcBorders>
              <w:top w:val="single" w:sz="4" w:space="0" w:color="A6A6A6"/>
              <w:bottom w:val="single" w:sz="4" w:space="0" w:color="A6A6A6"/>
            </w:tcBorders>
          </w:tcPr>
          <w:p w14:paraId="0D727C50" w14:textId="77777777" w:rsidR="003E4716" w:rsidRPr="002029AF" w:rsidRDefault="003E4716" w:rsidP="008340C1">
            <w:pPr>
              <w:pStyle w:val="ARfintablebodyright"/>
            </w:pPr>
            <w:r w:rsidRPr="002D6EA4">
              <w:t>1,400</w:t>
            </w:r>
          </w:p>
        </w:tc>
        <w:tc>
          <w:tcPr>
            <w:tcW w:w="1132" w:type="dxa"/>
            <w:tcBorders>
              <w:top w:val="single" w:sz="4" w:space="0" w:color="A6A6A6"/>
              <w:bottom w:val="single" w:sz="4" w:space="0" w:color="A6A6A6"/>
            </w:tcBorders>
            <w:hideMark/>
          </w:tcPr>
          <w:p w14:paraId="7C17B6FD" w14:textId="77777777" w:rsidR="003E4716" w:rsidRPr="002029AF" w:rsidRDefault="003E4716" w:rsidP="008340C1">
            <w:pPr>
              <w:pStyle w:val="ARfintablebodyright"/>
            </w:pPr>
            <w:r w:rsidRPr="002D6EA4">
              <w:t>1,365</w:t>
            </w:r>
          </w:p>
        </w:tc>
        <w:tc>
          <w:tcPr>
            <w:tcW w:w="1134" w:type="dxa"/>
            <w:tcBorders>
              <w:top w:val="single" w:sz="4" w:space="0" w:color="A6A6A6"/>
              <w:bottom w:val="single" w:sz="4" w:space="0" w:color="A6A6A6"/>
            </w:tcBorders>
            <w:hideMark/>
          </w:tcPr>
          <w:p w14:paraId="34D41560" w14:textId="77777777" w:rsidR="003E4716" w:rsidRPr="002029AF" w:rsidRDefault="003E4716" w:rsidP="008340C1">
            <w:pPr>
              <w:pStyle w:val="ARfintablebodyright"/>
            </w:pPr>
            <w:r w:rsidRPr="002D6EA4">
              <w:t>(3.7)</w:t>
            </w:r>
          </w:p>
        </w:tc>
        <w:tc>
          <w:tcPr>
            <w:tcW w:w="722" w:type="dxa"/>
            <w:tcBorders>
              <w:top w:val="single" w:sz="4" w:space="0" w:color="A6A6A6"/>
              <w:bottom w:val="single" w:sz="4" w:space="0" w:color="A6A6A6"/>
            </w:tcBorders>
            <w:hideMark/>
          </w:tcPr>
          <w:p w14:paraId="4744DB51" w14:textId="77777777" w:rsidR="003E4716" w:rsidRPr="002029AF" w:rsidRDefault="003E4716" w:rsidP="008340C1">
            <w:pPr>
              <w:pStyle w:val="ARfintablebodycentre"/>
            </w:pPr>
          </w:p>
        </w:tc>
      </w:tr>
      <w:tr w:rsidR="003E4716" w:rsidRPr="002029AF" w14:paraId="7F019D13" w14:textId="77777777" w:rsidTr="008340C1">
        <w:trPr>
          <w:cantSplit w:val="0"/>
        </w:trPr>
        <w:tc>
          <w:tcPr>
            <w:tcW w:w="4411" w:type="dxa"/>
            <w:tcBorders>
              <w:top w:val="single" w:sz="4" w:space="0" w:color="A6A6A6"/>
              <w:bottom w:val="single" w:sz="4" w:space="0" w:color="A6A6A6"/>
            </w:tcBorders>
            <w:hideMark/>
          </w:tcPr>
          <w:p w14:paraId="5852800E" w14:textId="77777777" w:rsidR="003E4716" w:rsidRPr="002029AF" w:rsidRDefault="003E4716" w:rsidP="008340C1">
            <w:pPr>
              <w:pStyle w:val="ARfintablebody"/>
            </w:pPr>
            <w:r w:rsidRPr="002D6EA4">
              <w:t>Interest expense</w:t>
            </w:r>
          </w:p>
        </w:tc>
        <w:tc>
          <w:tcPr>
            <w:tcW w:w="1117" w:type="dxa"/>
            <w:tcBorders>
              <w:top w:val="single" w:sz="4" w:space="0" w:color="A6A6A6"/>
              <w:bottom w:val="single" w:sz="4" w:space="0" w:color="A6A6A6"/>
            </w:tcBorders>
            <w:hideMark/>
          </w:tcPr>
          <w:p w14:paraId="700781AF" w14:textId="77777777" w:rsidR="003E4716" w:rsidRPr="002029AF" w:rsidRDefault="003E4716" w:rsidP="008340C1">
            <w:pPr>
              <w:pStyle w:val="ARfintablebodyright"/>
            </w:pPr>
            <w:r w:rsidRPr="002D6EA4">
              <w:t>161</w:t>
            </w:r>
          </w:p>
        </w:tc>
        <w:tc>
          <w:tcPr>
            <w:tcW w:w="1123" w:type="dxa"/>
            <w:tcBorders>
              <w:top w:val="single" w:sz="4" w:space="0" w:color="A6A6A6"/>
              <w:bottom w:val="single" w:sz="4" w:space="0" w:color="A6A6A6"/>
            </w:tcBorders>
          </w:tcPr>
          <w:p w14:paraId="6B07064A" w14:textId="77777777" w:rsidR="003E4716" w:rsidRPr="002029AF" w:rsidRDefault="003E4716" w:rsidP="008340C1">
            <w:pPr>
              <w:pStyle w:val="ARfintablebodyright"/>
            </w:pPr>
            <w:r w:rsidRPr="002D6EA4">
              <w:t>162</w:t>
            </w:r>
          </w:p>
        </w:tc>
        <w:tc>
          <w:tcPr>
            <w:tcW w:w="1132" w:type="dxa"/>
            <w:tcBorders>
              <w:top w:val="single" w:sz="4" w:space="0" w:color="A6A6A6"/>
              <w:bottom w:val="single" w:sz="4" w:space="0" w:color="A6A6A6"/>
            </w:tcBorders>
            <w:hideMark/>
          </w:tcPr>
          <w:p w14:paraId="07893E7F" w14:textId="77777777" w:rsidR="003E4716" w:rsidRPr="002029AF" w:rsidRDefault="003E4716" w:rsidP="008340C1">
            <w:pPr>
              <w:pStyle w:val="ARfintablebodyright"/>
            </w:pPr>
            <w:r w:rsidRPr="002D6EA4">
              <w:t>213</w:t>
            </w:r>
          </w:p>
        </w:tc>
        <w:tc>
          <w:tcPr>
            <w:tcW w:w="1134" w:type="dxa"/>
            <w:tcBorders>
              <w:top w:val="single" w:sz="4" w:space="0" w:color="A6A6A6"/>
              <w:bottom w:val="single" w:sz="4" w:space="0" w:color="A6A6A6"/>
            </w:tcBorders>
            <w:hideMark/>
          </w:tcPr>
          <w:p w14:paraId="372F3A1F" w14:textId="77777777" w:rsidR="003E4716" w:rsidRPr="002029AF" w:rsidRDefault="003E4716" w:rsidP="008340C1">
            <w:pPr>
              <w:pStyle w:val="ARfintablebodyright"/>
            </w:pPr>
            <w:r w:rsidRPr="002D6EA4">
              <w:t>(24.6)</w:t>
            </w:r>
          </w:p>
        </w:tc>
        <w:tc>
          <w:tcPr>
            <w:tcW w:w="722" w:type="dxa"/>
            <w:tcBorders>
              <w:top w:val="single" w:sz="4" w:space="0" w:color="A6A6A6"/>
              <w:bottom w:val="single" w:sz="4" w:space="0" w:color="A6A6A6"/>
            </w:tcBorders>
            <w:hideMark/>
          </w:tcPr>
          <w:p w14:paraId="29D582A4" w14:textId="77777777" w:rsidR="003E4716" w:rsidRPr="002029AF" w:rsidRDefault="003E4716" w:rsidP="008340C1">
            <w:pPr>
              <w:pStyle w:val="ARfintablebodycentre"/>
            </w:pPr>
          </w:p>
        </w:tc>
      </w:tr>
      <w:tr w:rsidR="003E4716" w:rsidRPr="002029AF" w14:paraId="306A8E2A" w14:textId="77777777" w:rsidTr="008340C1">
        <w:trPr>
          <w:cantSplit w:val="0"/>
        </w:trPr>
        <w:tc>
          <w:tcPr>
            <w:tcW w:w="4411" w:type="dxa"/>
            <w:tcBorders>
              <w:top w:val="single" w:sz="4" w:space="0" w:color="A6A6A6"/>
              <w:bottom w:val="single" w:sz="4" w:space="0" w:color="A6A6A6"/>
            </w:tcBorders>
            <w:hideMark/>
          </w:tcPr>
          <w:p w14:paraId="7BF3D763" w14:textId="77777777" w:rsidR="003E4716" w:rsidRPr="002029AF" w:rsidRDefault="003E4716" w:rsidP="008340C1">
            <w:pPr>
              <w:pStyle w:val="ARfintablebody"/>
            </w:pPr>
            <w:r w:rsidRPr="002D6EA4">
              <w:t>Grants and other transfers</w:t>
            </w:r>
          </w:p>
        </w:tc>
        <w:tc>
          <w:tcPr>
            <w:tcW w:w="1117" w:type="dxa"/>
            <w:tcBorders>
              <w:top w:val="single" w:sz="4" w:space="0" w:color="A6A6A6"/>
              <w:bottom w:val="single" w:sz="4" w:space="0" w:color="A6A6A6"/>
            </w:tcBorders>
            <w:hideMark/>
          </w:tcPr>
          <w:p w14:paraId="549AE9F9" w14:textId="77777777" w:rsidR="003E4716" w:rsidRPr="002029AF" w:rsidRDefault="003E4716" w:rsidP="008340C1">
            <w:pPr>
              <w:pStyle w:val="ARfintablebodyright"/>
            </w:pPr>
            <w:r w:rsidRPr="002D6EA4">
              <w:t>1,604</w:t>
            </w:r>
          </w:p>
        </w:tc>
        <w:tc>
          <w:tcPr>
            <w:tcW w:w="1123" w:type="dxa"/>
            <w:tcBorders>
              <w:top w:val="single" w:sz="4" w:space="0" w:color="A6A6A6"/>
              <w:bottom w:val="single" w:sz="4" w:space="0" w:color="A6A6A6"/>
            </w:tcBorders>
          </w:tcPr>
          <w:p w14:paraId="560EDCC8" w14:textId="77777777" w:rsidR="003E4716" w:rsidRPr="002029AF" w:rsidRDefault="003E4716" w:rsidP="008340C1">
            <w:pPr>
              <w:pStyle w:val="ARfintablebodyright"/>
            </w:pPr>
            <w:r w:rsidRPr="002D6EA4">
              <w:t>1,422</w:t>
            </w:r>
          </w:p>
        </w:tc>
        <w:tc>
          <w:tcPr>
            <w:tcW w:w="1132" w:type="dxa"/>
            <w:tcBorders>
              <w:top w:val="single" w:sz="4" w:space="0" w:color="A6A6A6"/>
              <w:bottom w:val="single" w:sz="4" w:space="0" w:color="A6A6A6"/>
            </w:tcBorders>
            <w:hideMark/>
          </w:tcPr>
          <w:p w14:paraId="1338D101" w14:textId="77777777" w:rsidR="003E4716" w:rsidRPr="002029AF" w:rsidRDefault="003E4716" w:rsidP="008340C1">
            <w:pPr>
              <w:pStyle w:val="ARfintablebodyright"/>
            </w:pPr>
            <w:r w:rsidRPr="002D6EA4">
              <w:t>1,043</w:t>
            </w:r>
          </w:p>
        </w:tc>
        <w:tc>
          <w:tcPr>
            <w:tcW w:w="1134" w:type="dxa"/>
            <w:tcBorders>
              <w:top w:val="single" w:sz="4" w:space="0" w:color="A6A6A6"/>
              <w:bottom w:val="single" w:sz="4" w:space="0" w:color="A6A6A6"/>
            </w:tcBorders>
            <w:hideMark/>
          </w:tcPr>
          <w:p w14:paraId="05B6DFDE" w14:textId="77777777" w:rsidR="003E4716" w:rsidRPr="002029AF" w:rsidRDefault="003E4716" w:rsidP="008340C1">
            <w:pPr>
              <w:pStyle w:val="ARfintablebodyright"/>
            </w:pPr>
            <w:r w:rsidRPr="002D6EA4">
              <w:t>53.7</w:t>
            </w:r>
          </w:p>
        </w:tc>
        <w:tc>
          <w:tcPr>
            <w:tcW w:w="722" w:type="dxa"/>
            <w:tcBorders>
              <w:top w:val="single" w:sz="4" w:space="0" w:color="A6A6A6"/>
              <w:bottom w:val="single" w:sz="4" w:space="0" w:color="A6A6A6"/>
            </w:tcBorders>
            <w:hideMark/>
          </w:tcPr>
          <w:p w14:paraId="53B70C95" w14:textId="77777777" w:rsidR="003E4716" w:rsidRPr="002029AF" w:rsidRDefault="003E4716" w:rsidP="008340C1">
            <w:pPr>
              <w:pStyle w:val="ARfintablebodycentre"/>
            </w:pPr>
            <w:r w:rsidRPr="002D6EA4">
              <w:t>(d)</w:t>
            </w:r>
          </w:p>
        </w:tc>
      </w:tr>
      <w:tr w:rsidR="003E4716" w:rsidRPr="002029AF" w14:paraId="4735E890" w14:textId="77777777" w:rsidTr="008340C1">
        <w:trPr>
          <w:cantSplit w:val="0"/>
        </w:trPr>
        <w:tc>
          <w:tcPr>
            <w:tcW w:w="4411" w:type="dxa"/>
            <w:tcBorders>
              <w:top w:val="single" w:sz="4" w:space="0" w:color="A6A6A6"/>
              <w:bottom w:val="single" w:sz="4" w:space="0" w:color="A6A6A6"/>
            </w:tcBorders>
            <w:hideMark/>
          </w:tcPr>
          <w:p w14:paraId="02DCB987" w14:textId="77777777" w:rsidR="003E4716" w:rsidRPr="002029AF" w:rsidRDefault="003E4716" w:rsidP="008340C1">
            <w:pPr>
              <w:pStyle w:val="ARfintablebody"/>
            </w:pPr>
            <w:r w:rsidRPr="002D6EA4">
              <w:t>Capital asset charge</w:t>
            </w:r>
          </w:p>
        </w:tc>
        <w:tc>
          <w:tcPr>
            <w:tcW w:w="1117" w:type="dxa"/>
            <w:tcBorders>
              <w:top w:val="single" w:sz="4" w:space="0" w:color="A6A6A6"/>
              <w:bottom w:val="single" w:sz="4" w:space="0" w:color="A6A6A6"/>
            </w:tcBorders>
            <w:hideMark/>
          </w:tcPr>
          <w:p w14:paraId="68C62278" w14:textId="77777777" w:rsidR="003E4716" w:rsidRPr="002029AF" w:rsidRDefault="003E4716" w:rsidP="008340C1">
            <w:pPr>
              <w:pStyle w:val="ARfintablebodyright"/>
            </w:pPr>
            <w:r>
              <w:t>–</w:t>
            </w:r>
          </w:p>
        </w:tc>
        <w:tc>
          <w:tcPr>
            <w:tcW w:w="1123" w:type="dxa"/>
            <w:tcBorders>
              <w:top w:val="single" w:sz="4" w:space="0" w:color="A6A6A6"/>
              <w:bottom w:val="single" w:sz="4" w:space="0" w:color="A6A6A6"/>
            </w:tcBorders>
          </w:tcPr>
          <w:p w14:paraId="142538CE" w14:textId="77777777" w:rsidR="003E4716" w:rsidRPr="002029AF" w:rsidRDefault="003E4716" w:rsidP="008340C1">
            <w:pPr>
              <w:pStyle w:val="ARfintablebodyright"/>
            </w:pPr>
            <w:r>
              <w:t>–</w:t>
            </w:r>
          </w:p>
        </w:tc>
        <w:tc>
          <w:tcPr>
            <w:tcW w:w="1132" w:type="dxa"/>
            <w:tcBorders>
              <w:top w:val="single" w:sz="4" w:space="0" w:color="A6A6A6"/>
              <w:bottom w:val="single" w:sz="4" w:space="0" w:color="A6A6A6"/>
            </w:tcBorders>
            <w:hideMark/>
          </w:tcPr>
          <w:p w14:paraId="7300EDD5" w14:textId="77777777" w:rsidR="003E4716" w:rsidRPr="002029AF" w:rsidRDefault="003E4716" w:rsidP="008340C1">
            <w:pPr>
              <w:pStyle w:val="ARfintablebodyright"/>
            </w:pPr>
            <w:r>
              <w:t>–</w:t>
            </w:r>
          </w:p>
        </w:tc>
        <w:tc>
          <w:tcPr>
            <w:tcW w:w="1134" w:type="dxa"/>
            <w:tcBorders>
              <w:top w:val="single" w:sz="4" w:space="0" w:color="A6A6A6"/>
              <w:bottom w:val="single" w:sz="4" w:space="0" w:color="A6A6A6"/>
            </w:tcBorders>
            <w:hideMark/>
          </w:tcPr>
          <w:p w14:paraId="05B0EAA9" w14:textId="77777777" w:rsidR="003E4716" w:rsidRPr="002029AF" w:rsidRDefault="003E4716" w:rsidP="008340C1">
            <w:pPr>
              <w:pStyle w:val="ARfintablebodyright"/>
            </w:pPr>
            <w:r>
              <w:t>–</w:t>
            </w:r>
          </w:p>
        </w:tc>
        <w:tc>
          <w:tcPr>
            <w:tcW w:w="722" w:type="dxa"/>
            <w:tcBorders>
              <w:top w:val="single" w:sz="4" w:space="0" w:color="A6A6A6"/>
              <w:bottom w:val="single" w:sz="4" w:space="0" w:color="A6A6A6"/>
            </w:tcBorders>
            <w:hideMark/>
          </w:tcPr>
          <w:p w14:paraId="6F27069F" w14:textId="77777777" w:rsidR="003E4716" w:rsidRPr="002029AF" w:rsidRDefault="003E4716" w:rsidP="008340C1">
            <w:pPr>
              <w:pStyle w:val="ARfintablebodycentre"/>
            </w:pPr>
          </w:p>
        </w:tc>
      </w:tr>
      <w:tr w:rsidR="003E4716" w:rsidRPr="002029AF" w14:paraId="00B792BD" w14:textId="77777777" w:rsidTr="008340C1">
        <w:trPr>
          <w:cantSplit w:val="0"/>
        </w:trPr>
        <w:tc>
          <w:tcPr>
            <w:tcW w:w="4411" w:type="dxa"/>
            <w:tcBorders>
              <w:top w:val="single" w:sz="4" w:space="0" w:color="A6A6A6"/>
            </w:tcBorders>
            <w:hideMark/>
          </w:tcPr>
          <w:p w14:paraId="7A27BE3E" w14:textId="77777777" w:rsidR="003E4716" w:rsidRPr="002029AF" w:rsidRDefault="003E4716" w:rsidP="008340C1">
            <w:pPr>
              <w:pStyle w:val="ARfintablebody"/>
            </w:pPr>
            <w:r w:rsidRPr="002D6EA4">
              <w:t>Other operating expenses</w:t>
            </w:r>
          </w:p>
        </w:tc>
        <w:tc>
          <w:tcPr>
            <w:tcW w:w="1117" w:type="dxa"/>
            <w:tcBorders>
              <w:top w:val="single" w:sz="4" w:space="0" w:color="A6A6A6"/>
            </w:tcBorders>
            <w:hideMark/>
          </w:tcPr>
          <w:p w14:paraId="61BA39DF" w14:textId="77777777" w:rsidR="003E4716" w:rsidRPr="002029AF" w:rsidRDefault="003E4716" w:rsidP="008340C1">
            <w:pPr>
              <w:pStyle w:val="ARfintablebodyright"/>
            </w:pPr>
            <w:r w:rsidRPr="002D6EA4">
              <w:t>10,092</w:t>
            </w:r>
          </w:p>
        </w:tc>
        <w:tc>
          <w:tcPr>
            <w:tcW w:w="1123" w:type="dxa"/>
            <w:tcBorders>
              <w:top w:val="single" w:sz="4" w:space="0" w:color="A6A6A6"/>
            </w:tcBorders>
          </w:tcPr>
          <w:p w14:paraId="404B08B0" w14:textId="77777777" w:rsidR="003E4716" w:rsidRPr="002029AF" w:rsidRDefault="003E4716" w:rsidP="008340C1">
            <w:pPr>
              <w:pStyle w:val="ARfintablebodyright"/>
            </w:pPr>
            <w:r w:rsidRPr="002D6EA4">
              <w:t>9,630</w:t>
            </w:r>
          </w:p>
        </w:tc>
        <w:tc>
          <w:tcPr>
            <w:tcW w:w="1132" w:type="dxa"/>
            <w:tcBorders>
              <w:top w:val="single" w:sz="4" w:space="0" w:color="A6A6A6"/>
            </w:tcBorders>
            <w:hideMark/>
          </w:tcPr>
          <w:p w14:paraId="19991843" w14:textId="77777777" w:rsidR="003E4716" w:rsidRPr="002029AF" w:rsidRDefault="003E4716" w:rsidP="008340C1">
            <w:pPr>
              <w:pStyle w:val="ARfintablebodyright"/>
            </w:pPr>
            <w:r w:rsidRPr="002D6EA4">
              <w:t>7,193</w:t>
            </w:r>
          </w:p>
        </w:tc>
        <w:tc>
          <w:tcPr>
            <w:tcW w:w="1134" w:type="dxa"/>
            <w:tcBorders>
              <w:top w:val="single" w:sz="4" w:space="0" w:color="A6A6A6"/>
            </w:tcBorders>
            <w:hideMark/>
          </w:tcPr>
          <w:p w14:paraId="21449164" w14:textId="77777777" w:rsidR="003E4716" w:rsidRPr="002029AF" w:rsidRDefault="003E4716" w:rsidP="008340C1">
            <w:pPr>
              <w:pStyle w:val="ARfintablebodyright"/>
            </w:pPr>
            <w:r w:rsidRPr="002D6EA4">
              <w:t>40.3</w:t>
            </w:r>
          </w:p>
        </w:tc>
        <w:tc>
          <w:tcPr>
            <w:tcW w:w="722" w:type="dxa"/>
            <w:tcBorders>
              <w:top w:val="single" w:sz="4" w:space="0" w:color="A6A6A6"/>
            </w:tcBorders>
            <w:hideMark/>
          </w:tcPr>
          <w:p w14:paraId="5E8A7501" w14:textId="77777777" w:rsidR="003E4716" w:rsidRPr="002029AF" w:rsidRDefault="003E4716" w:rsidP="008340C1">
            <w:pPr>
              <w:pStyle w:val="ARfintablebodycentre"/>
            </w:pPr>
            <w:r w:rsidRPr="002D6EA4">
              <w:t>(e)</w:t>
            </w:r>
          </w:p>
        </w:tc>
      </w:tr>
      <w:tr w:rsidR="003E4716" w:rsidRPr="002029AF" w14:paraId="0DA375C2" w14:textId="77777777" w:rsidTr="008340C1">
        <w:trPr>
          <w:cantSplit w:val="0"/>
        </w:trPr>
        <w:tc>
          <w:tcPr>
            <w:tcW w:w="4411" w:type="dxa"/>
            <w:hideMark/>
          </w:tcPr>
          <w:p w14:paraId="1D851B4D" w14:textId="77777777" w:rsidR="003E4716" w:rsidRPr="002029AF" w:rsidRDefault="003E4716" w:rsidP="008340C1">
            <w:pPr>
              <w:pStyle w:val="ARfintablebodybold"/>
            </w:pPr>
            <w:r w:rsidRPr="002D6EA4">
              <w:t>Total expenses from transactions</w:t>
            </w:r>
          </w:p>
        </w:tc>
        <w:tc>
          <w:tcPr>
            <w:tcW w:w="1117" w:type="dxa"/>
            <w:hideMark/>
          </w:tcPr>
          <w:p w14:paraId="16752D1F" w14:textId="77777777" w:rsidR="003E4716" w:rsidRPr="002029AF" w:rsidRDefault="003E4716" w:rsidP="008340C1">
            <w:pPr>
              <w:pStyle w:val="ARfintablebodyrightbold"/>
            </w:pPr>
            <w:r w:rsidRPr="002D6EA4">
              <w:t>29,028</w:t>
            </w:r>
          </w:p>
        </w:tc>
        <w:tc>
          <w:tcPr>
            <w:tcW w:w="1123" w:type="dxa"/>
          </w:tcPr>
          <w:p w14:paraId="2850BC91" w14:textId="77777777" w:rsidR="003E4716" w:rsidRPr="002029AF" w:rsidRDefault="003E4716" w:rsidP="008340C1">
            <w:pPr>
              <w:pStyle w:val="ARfintablebodyrightbold"/>
            </w:pPr>
            <w:r w:rsidRPr="002D6EA4">
              <w:t>29,087</w:t>
            </w:r>
          </w:p>
        </w:tc>
        <w:tc>
          <w:tcPr>
            <w:tcW w:w="1132" w:type="dxa"/>
            <w:hideMark/>
          </w:tcPr>
          <w:p w14:paraId="3C5ECEA5" w14:textId="77777777" w:rsidR="003E4716" w:rsidRPr="002029AF" w:rsidRDefault="003E4716" w:rsidP="008340C1">
            <w:pPr>
              <w:pStyle w:val="ARfintablebodyrightbold"/>
            </w:pPr>
            <w:r w:rsidRPr="002D6EA4">
              <w:t>25,162</w:t>
            </w:r>
          </w:p>
        </w:tc>
        <w:tc>
          <w:tcPr>
            <w:tcW w:w="1134" w:type="dxa"/>
            <w:hideMark/>
          </w:tcPr>
          <w:p w14:paraId="1C2A6879" w14:textId="77777777" w:rsidR="003E4716" w:rsidRPr="002029AF" w:rsidRDefault="003E4716" w:rsidP="008340C1">
            <w:pPr>
              <w:pStyle w:val="ARfintablebodyrightbold"/>
            </w:pPr>
            <w:r w:rsidRPr="002D6EA4">
              <w:t>15.4</w:t>
            </w:r>
          </w:p>
        </w:tc>
        <w:tc>
          <w:tcPr>
            <w:tcW w:w="722" w:type="dxa"/>
            <w:hideMark/>
          </w:tcPr>
          <w:p w14:paraId="21F6A1A2" w14:textId="77777777" w:rsidR="003E4716" w:rsidRPr="002029AF" w:rsidRDefault="003E4716" w:rsidP="008340C1">
            <w:pPr>
              <w:pStyle w:val="ARfintablebodycentre"/>
            </w:pPr>
          </w:p>
        </w:tc>
      </w:tr>
      <w:tr w:rsidR="003E4716" w:rsidRPr="002029AF" w14:paraId="5FE593C8" w14:textId="77777777" w:rsidTr="008340C1">
        <w:trPr>
          <w:cantSplit w:val="0"/>
        </w:trPr>
        <w:tc>
          <w:tcPr>
            <w:tcW w:w="4411" w:type="dxa"/>
            <w:tcBorders>
              <w:bottom w:val="single" w:sz="4" w:space="0" w:color="auto"/>
            </w:tcBorders>
            <w:hideMark/>
          </w:tcPr>
          <w:p w14:paraId="52E945E7" w14:textId="77777777" w:rsidR="003E4716" w:rsidRPr="002029AF" w:rsidRDefault="003E4716" w:rsidP="008340C1">
            <w:pPr>
              <w:pStyle w:val="ARfintablebodybold"/>
            </w:pPr>
            <w:r w:rsidRPr="002D6EA4">
              <w:t xml:space="preserve">Net result from transactions </w:t>
            </w:r>
            <w:r>
              <w:br/>
            </w:r>
            <w:r w:rsidRPr="002D6EA4">
              <w:t>(net operating balance)</w:t>
            </w:r>
          </w:p>
        </w:tc>
        <w:tc>
          <w:tcPr>
            <w:tcW w:w="1117" w:type="dxa"/>
            <w:tcBorders>
              <w:bottom w:val="single" w:sz="4" w:space="0" w:color="auto"/>
            </w:tcBorders>
            <w:hideMark/>
          </w:tcPr>
          <w:p w14:paraId="5A2B921F" w14:textId="77777777" w:rsidR="003E4716" w:rsidRPr="002029AF" w:rsidRDefault="003E4716" w:rsidP="008340C1">
            <w:pPr>
              <w:pStyle w:val="ARfintablebodyrightbold"/>
            </w:pPr>
            <w:r w:rsidRPr="002D6EA4">
              <w:t>1,417</w:t>
            </w:r>
          </w:p>
        </w:tc>
        <w:tc>
          <w:tcPr>
            <w:tcW w:w="1123" w:type="dxa"/>
            <w:tcBorders>
              <w:bottom w:val="single" w:sz="4" w:space="0" w:color="auto"/>
            </w:tcBorders>
          </w:tcPr>
          <w:p w14:paraId="54919BFB" w14:textId="77777777" w:rsidR="003E4716" w:rsidRPr="002029AF" w:rsidRDefault="003E4716" w:rsidP="008340C1">
            <w:pPr>
              <w:pStyle w:val="ARfintablebodyrightbold"/>
            </w:pPr>
            <w:r w:rsidRPr="002D6EA4">
              <w:t>(242)</w:t>
            </w:r>
          </w:p>
        </w:tc>
        <w:tc>
          <w:tcPr>
            <w:tcW w:w="1132" w:type="dxa"/>
            <w:tcBorders>
              <w:bottom w:val="single" w:sz="4" w:space="0" w:color="auto"/>
            </w:tcBorders>
            <w:hideMark/>
          </w:tcPr>
          <w:p w14:paraId="7119DB86" w14:textId="77777777" w:rsidR="003E4716" w:rsidRPr="002029AF" w:rsidRDefault="003E4716" w:rsidP="008340C1">
            <w:pPr>
              <w:pStyle w:val="ARfintablebodyrightbold"/>
            </w:pPr>
            <w:r w:rsidRPr="002D6EA4">
              <w:t>(149)</w:t>
            </w:r>
          </w:p>
        </w:tc>
        <w:tc>
          <w:tcPr>
            <w:tcW w:w="1134" w:type="dxa"/>
            <w:tcBorders>
              <w:bottom w:val="single" w:sz="4" w:space="0" w:color="auto"/>
            </w:tcBorders>
            <w:hideMark/>
          </w:tcPr>
          <w:p w14:paraId="0807A0BD" w14:textId="77777777" w:rsidR="003E4716" w:rsidRPr="002029AF" w:rsidRDefault="003E4716" w:rsidP="008340C1">
            <w:pPr>
              <w:pStyle w:val="ARfintablebodyrightbold"/>
            </w:pPr>
            <w:r w:rsidRPr="002D6EA4">
              <w:t>(1,049.9)</w:t>
            </w:r>
          </w:p>
        </w:tc>
        <w:tc>
          <w:tcPr>
            <w:tcW w:w="722" w:type="dxa"/>
            <w:tcBorders>
              <w:bottom w:val="single" w:sz="4" w:space="0" w:color="auto"/>
            </w:tcBorders>
            <w:hideMark/>
          </w:tcPr>
          <w:p w14:paraId="27AE2C48" w14:textId="77777777" w:rsidR="003E4716" w:rsidRPr="002029AF" w:rsidRDefault="003E4716" w:rsidP="008340C1">
            <w:pPr>
              <w:pStyle w:val="ARfintablebodycentre"/>
            </w:pPr>
          </w:p>
        </w:tc>
      </w:tr>
      <w:tr w:rsidR="003E4716" w:rsidRPr="002029AF" w14:paraId="4BAA02E9" w14:textId="77777777" w:rsidTr="008340C1">
        <w:trPr>
          <w:cantSplit w:val="0"/>
        </w:trPr>
        <w:tc>
          <w:tcPr>
            <w:tcW w:w="9639" w:type="dxa"/>
            <w:gridSpan w:val="6"/>
            <w:tcBorders>
              <w:top w:val="single" w:sz="4" w:space="0" w:color="auto"/>
              <w:bottom w:val="single" w:sz="4" w:space="0" w:color="A6A6A6"/>
            </w:tcBorders>
          </w:tcPr>
          <w:p w14:paraId="05634064" w14:textId="77777777" w:rsidR="003E4716" w:rsidRPr="002029AF" w:rsidRDefault="003E4716" w:rsidP="008340C1">
            <w:pPr>
              <w:pStyle w:val="ARfintablebodybold"/>
            </w:pPr>
            <w:r w:rsidRPr="002D6EA4">
              <w:t>Other economic flows included in net result</w:t>
            </w:r>
          </w:p>
        </w:tc>
      </w:tr>
      <w:tr w:rsidR="003E4716" w:rsidRPr="002029AF" w14:paraId="2CCAFAE6" w14:textId="77777777" w:rsidTr="008340C1">
        <w:trPr>
          <w:cantSplit w:val="0"/>
        </w:trPr>
        <w:tc>
          <w:tcPr>
            <w:tcW w:w="4411" w:type="dxa"/>
            <w:tcBorders>
              <w:top w:val="single" w:sz="4" w:space="0" w:color="A6A6A6"/>
              <w:bottom w:val="single" w:sz="4" w:space="0" w:color="A6A6A6"/>
            </w:tcBorders>
            <w:hideMark/>
          </w:tcPr>
          <w:p w14:paraId="543E8287" w14:textId="77777777" w:rsidR="003E4716" w:rsidRPr="002029AF" w:rsidRDefault="003E4716" w:rsidP="008340C1">
            <w:pPr>
              <w:pStyle w:val="ARfintablebody"/>
            </w:pPr>
            <w:r w:rsidRPr="002D6EA4">
              <w:t>Net gain/(loss) on non-financial assets</w:t>
            </w:r>
          </w:p>
        </w:tc>
        <w:tc>
          <w:tcPr>
            <w:tcW w:w="1117" w:type="dxa"/>
            <w:tcBorders>
              <w:top w:val="single" w:sz="4" w:space="0" w:color="A6A6A6"/>
              <w:bottom w:val="single" w:sz="4" w:space="0" w:color="A6A6A6"/>
            </w:tcBorders>
            <w:hideMark/>
          </w:tcPr>
          <w:p w14:paraId="7D2265BB" w14:textId="77777777" w:rsidR="003E4716" w:rsidRPr="002029AF" w:rsidRDefault="003E4716" w:rsidP="008340C1">
            <w:pPr>
              <w:pStyle w:val="ARfintablebodyright"/>
            </w:pPr>
            <w:r w:rsidRPr="002D6EA4">
              <w:t>18</w:t>
            </w:r>
          </w:p>
        </w:tc>
        <w:tc>
          <w:tcPr>
            <w:tcW w:w="1123" w:type="dxa"/>
            <w:tcBorders>
              <w:top w:val="single" w:sz="4" w:space="0" w:color="A6A6A6"/>
              <w:bottom w:val="single" w:sz="4" w:space="0" w:color="A6A6A6"/>
            </w:tcBorders>
          </w:tcPr>
          <w:p w14:paraId="2BA5BE55" w14:textId="77777777" w:rsidR="003E4716" w:rsidRPr="002029AF" w:rsidRDefault="003E4716" w:rsidP="008340C1">
            <w:pPr>
              <w:pStyle w:val="ARfintablebodyright"/>
            </w:pPr>
            <w:r w:rsidRPr="002D6EA4">
              <w:t>1</w:t>
            </w:r>
          </w:p>
        </w:tc>
        <w:tc>
          <w:tcPr>
            <w:tcW w:w="1132" w:type="dxa"/>
            <w:tcBorders>
              <w:top w:val="single" w:sz="4" w:space="0" w:color="A6A6A6"/>
              <w:bottom w:val="single" w:sz="4" w:space="0" w:color="A6A6A6"/>
            </w:tcBorders>
            <w:hideMark/>
          </w:tcPr>
          <w:p w14:paraId="10837F0D" w14:textId="77777777" w:rsidR="003E4716" w:rsidRPr="002029AF" w:rsidRDefault="003E4716" w:rsidP="008340C1">
            <w:pPr>
              <w:pStyle w:val="ARfintablebodyright"/>
            </w:pPr>
            <w:r w:rsidRPr="002D6EA4">
              <w:t>1</w:t>
            </w:r>
          </w:p>
        </w:tc>
        <w:tc>
          <w:tcPr>
            <w:tcW w:w="1134" w:type="dxa"/>
            <w:tcBorders>
              <w:top w:val="single" w:sz="4" w:space="0" w:color="A6A6A6"/>
              <w:bottom w:val="single" w:sz="4" w:space="0" w:color="A6A6A6"/>
            </w:tcBorders>
            <w:hideMark/>
          </w:tcPr>
          <w:p w14:paraId="1FADC3BB" w14:textId="77777777" w:rsidR="003E4716" w:rsidRPr="002029AF" w:rsidRDefault="003E4716" w:rsidP="008340C1">
            <w:pPr>
              <w:pStyle w:val="ARfintablebodyright"/>
            </w:pPr>
            <w:r w:rsidRPr="002D6EA4">
              <w:t>3,040.9</w:t>
            </w:r>
          </w:p>
        </w:tc>
        <w:tc>
          <w:tcPr>
            <w:tcW w:w="722" w:type="dxa"/>
            <w:tcBorders>
              <w:top w:val="single" w:sz="4" w:space="0" w:color="A6A6A6"/>
              <w:bottom w:val="single" w:sz="4" w:space="0" w:color="A6A6A6"/>
            </w:tcBorders>
            <w:hideMark/>
          </w:tcPr>
          <w:p w14:paraId="683AA4A3" w14:textId="77777777" w:rsidR="003E4716" w:rsidRPr="002029AF" w:rsidRDefault="003E4716" w:rsidP="008340C1">
            <w:pPr>
              <w:pStyle w:val="ARfintablebodycentre"/>
            </w:pPr>
          </w:p>
        </w:tc>
      </w:tr>
      <w:tr w:rsidR="003E4716" w:rsidRPr="002029AF" w14:paraId="7CF3C876" w14:textId="77777777" w:rsidTr="008340C1">
        <w:trPr>
          <w:cantSplit w:val="0"/>
        </w:trPr>
        <w:tc>
          <w:tcPr>
            <w:tcW w:w="4411" w:type="dxa"/>
            <w:tcBorders>
              <w:top w:val="single" w:sz="4" w:space="0" w:color="A6A6A6"/>
              <w:bottom w:val="single" w:sz="4" w:space="0" w:color="A6A6A6"/>
            </w:tcBorders>
          </w:tcPr>
          <w:p w14:paraId="020822CC" w14:textId="77777777" w:rsidR="003E4716" w:rsidRPr="00667302" w:rsidRDefault="003E4716" w:rsidP="008340C1">
            <w:pPr>
              <w:pStyle w:val="ARfintablebody"/>
            </w:pPr>
            <w:r w:rsidRPr="002D6EA4">
              <w:t xml:space="preserve">Net gain/(loss) on financial instruments </w:t>
            </w:r>
            <w:r>
              <w:br/>
            </w:r>
            <w:r w:rsidRPr="002D6EA4">
              <w:t>and statutory receivables/payables</w:t>
            </w:r>
          </w:p>
        </w:tc>
        <w:tc>
          <w:tcPr>
            <w:tcW w:w="1117" w:type="dxa"/>
            <w:tcBorders>
              <w:top w:val="single" w:sz="4" w:space="0" w:color="A6A6A6"/>
              <w:bottom w:val="single" w:sz="4" w:space="0" w:color="A6A6A6"/>
            </w:tcBorders>
          </w:tcPr>
          <w:p w14:paraId="0D2BAC67" w14:textId="77777777" w:rsidR="003E4716" w:rsidRPr="00667302" w:rsidRDefault="003E4716" w:rsidP="008340C1">
            <w:pPr>
              <w:pStyle w:val="ARfintablebodyright"/>
            </w:pPr>
            <w:r w:rsidRPr="002D6EA4">
              <w:t>(75)</w:t>
            </w:r>
          </w:p>
        </w:tc>
        <w:tc>
          <w:tcPr>
            <w:tcW w:w="1123" w:type="dxa"/>
            <w:tcBorders>
              <w:top w:val="single" w:sz="4" w:space="0" w:color="A6A6A6"/>
              <w:bottom w:val="single" w:sz="4" w:space="0" w:color="A6A6A6"/>
            </w:tcBorders>
          </w:tcPr>
          <w:p w14:paraId="5F81990D" w14:textId="77777777" w:rsidR="003E4716" w:rsidRPr="00667302" w:rsidRDefault="003E4716" w:rsidP="008340C1">
            <w:pPr>
              <w:pStyle w:val="ARfintablebodyright"/>
            </w:pPr>
            <w:r w:rsidRPr="002D6EA4">
              <w:t>(26)</w:t>
            </w:r>
          </w:p>
        </w:tc>
        <w:tc>
          <w:tcPr>
            <w:tcW w:w="1132" w:type="dxa"/>
            <w:tcBorders>
              <w:top w:val="single" w:sz="4" w:space="0" w:color="A6A6A6"/>
              <w:bottom w:val="single" w:sz="4" w:space="0" w:color="A6A6A6"/>
            </w:tcBorders>
          </w:tcPr>
          <w:p w14:paraId="09D969F3" w14:textId="77777777" w:rsidR="003E4716" w:rsidRPr="00667302" w:rsidRDefault="003E4716" w:rsidP="008340C1">
            <w:pPr>
              <w:pStyle w:val="ARfintablebodyright"/>
            </w:pPr>
            <w:r w:rsidRPr="002D6EA4">
              <w:t>(26)</w:t>
            </w:r>
          </w:p>
        </w:tc>
        <w:tc>
          <w:tcPr>
            <w:tcW w:w="1134" w:type="dxa"/>
            <w:tcBorders>
              <w:top w:val="single" w:sz="4" w:space="0" w:color="A6A6A6"/>
              <w:bottom w:val="single" w:sz="4" w:space="0" w:color="A6A6A6"/>
            </w:tcBorders>
          </w:tcPr>
          <w:p w14:paraId="74C2387C" w14:textId="77777777" w:rsidR="003E4716" w:rsidRPr="00667302" w:rsidRDefault="003E4716" w:rsidP="008340C1">
            <w:pPr>
              <w:pStyle w:val="ARfintablebodyright"/>
            </w:pPr>
            <w:r w:rsidRPr="002D6EA4">
              <w:t>192.4</w:t>
            </w:r>
          </w:p>
        </w:tc>
        <w:tc>
          <w:tcPr>
            <w:tcW w:w="722" w:type="dxa"/>
            <w:tcBorders>
              <w:top w:val="single" w:sz="4" w:space="0" w:color="A6A6A6"/>
              <w:bottom w:val="single" w:sz="4" w:space="0" w:color="A6A6A6"/>
            </w:tcBorders>
          </w:tcPr>
          <w:p w14:paraId="59FDE980" w14:textId="77777777" w:rsidR="003E4716" w:rsidRPr="002029AF" w:rsidRDefault="003E4716" w:rsidP="008340C1">
            <w:pPr>
              <w:pStyle w:val="ARfintablebodycentre"/>
            </w:pPr>
          </w:p>
        </w:tc>
      </w:tr>
      <w:tr w:rsidR="003E4716" w:rsidRPr="002029AF" w14:paraId="0B15C4B6" w14:textId="77777777" w:rsidTr="008340C1">
        <w:trPr>
          <w:cantSplit w:val="0"/>
        </w:trPr>
        <w:tc>
          <w:tcPr>
            <w:tcW w:w="4411" w:type="dxa"/>
            <w:tcBorders>
              <w:top w:val="single" w:sz="4" w:space="0" w:color="A6A6A6"/>
              <w:bottom w:val="single" w:sz="4" w:space="0" w:color="A6A6A6"/>
            </w:tcBorders>
            <w:hideMark/>
          </w:tcPr>
          <w:p w14:paraId="2F5E4576" w14:textId="77777777" w:rsidR="003E4716" w:rsidRPr="002029AF" w:rsidRDefault="003E4716" w:rsidP="008340C1">
            <w:pPr>
              <w:pStyle w:val="ARfintablebody"/>
            </w:pPr>
            <w:r w:rsidRPr="002D6EA4">
              <w:t>Other gains/(losses) from other economic flows</w:t>
            </w:r>
          </w:p>
        </w:tc>
        <w:tc>
          <w:tcPr>
            <w:tcW w:w="1117" w:type="dxa"/>
            <w:tcBorders>
              <w:top w:val="single" w:sz="4" w:space="0" w:color="A6A6A6"/>
              <w:bottom w:val="single" w:sz="4" w:space="0" w:color="A6A6A6"/>
            </w:tcBorders>
            <w:hideMark/>
          </w:tcPr>
          <w:p w14:paraId="4E9B9D9A" w14:textId="77777777" w:rsidR="003E4716" w:rsidRPr="002029AF" w:rsidRDefault="003E4716" w:rsidP="008340C1">
            <w:pPr>
              <w:pStyle w:val="ARfintablebodyright"/>
            </w:pPr>
            <w:r w:rsidRPr="002D6EA4">
              <w:t>86</w:t>
            </w:r>
          </w:p>
        </w:tc>
        <w:tc>
          <w:tcPr>
            <w:tcW w:w="1123" w:type="dxa"/>
            <w:tcBorders>
              <w:top w:val="single" w:sz="4" w:space="0" w:color="A6A6A6"/>
              <w:bottom w:val="single" w:sz="4" w:space="0" w:color="A6A6A6"/>
            </w:tcBorders>
          </w:tcPr>
          <w:p w14:paraId="42F9FFB3" w14:textId="77777777" w:rsidR="003E4716" w:rsidRPr="002029AF" w:rsidRDefault="003E4716" w:rsidP="008340C1">
            <w:pPr>
              <w:pStyle w:val="ARfintablebodyright"/>
            </w:pPr>
            <w:r w:rsidRPr="002D6EA4">
              <w:t>(8)</w:t>
            </w:r>
          </w:p>
        </w:tc>
        <w:tc>
          <w:tcPr>
            <w:tcW w:w="1132" w:type="dxa"/>
            <w:tcBorders>
              <w:top w:val="single" w:sz="4" w:space="0" w:color="A6A6A6"/>
              <w:bottom w:val="single" w:sz="4" w:space="0" w:color="A6A6A6"/>
            </w:tcBorders>
            <w:hideMark/>
          </w:tcPr>
          <w:p w14:paraId="0BD35F4E" w14:textId="77777777" w:rsidR="003E4716" w:rsidRPr="002029AF" w:rsidRDefault="003E4716" w:rsidP="008340C1">
            <w:pPr>
              <w:pStyle w:val="ARfintablebodyright"/>
            </w:pPr>
            <w:r w:rsidRPr="002D6EA4">
              <w:t>(8)</w:t>
            </w:r>
          </w:p>
        </w:tc>
        <w:tc>
          <w:tcPr>
            <w:tcW w:w="1134" w:type="dxa"/>
            <w:tcBorders>
              <w:top w:val="single" w:sz="4" w:space="0" w:color="A6A6A6"/>
              <w:bottom w:val="single" w:sz="4" w:space="0" w:color="A6A6A6"/>
            </w:tcBorders>
            <w:hideMark/>
          </w:tcPr>
          <w:p w14:paraId="46FBEEAE" w14:textId="77777777" w:rsidR="003E4716" w:rsidRPr="002029AF" w:rsidRDefault="003E4716" w:rsidP="008340C1">
            <w:pPr>
              <w:pStyle w:val="ARfintablebodyright"/>
            </w:pPr>
            <w:r w:rsidRPr="002D6EA4">
              <w:t>(1,213.1)</w:t>
            </w:r>
          </w:p>
        </w:tc>
        <w:tc>
          <w:tcPr>
            <w:tcW w:w="722" w:type="dxa"/>
            <w:tcBorders>
              <w:top w:val="single" w:sz="4" w:space="0" w:color="A6A6A6"/>
              <w:bottom w:val="single" w:sz="4" w:space="0" w:color="A6A6A6"/>
            </w:tcBorders>
            <w:hideMark/>
          </w:tcPr>
          <w:p w14:paraId="4A005DA8" w14:textId="77777777" w:rsidR="003E4716" w:rsidRPr="002029AF" w:rsidRDefault="003E4716" w:rsidP="008340C1">
            <w:pPr>
              <w:pStyle w:val="ARfintablebodycentre"/>
            </w:pPr>
          </w:p>
        </w:tc>
      </w:tr>
      <w:tr w:rsidR="003E4716" w:rsidRPr="002029AF" w14:paraId="74434606" w14:textId="77777777" w:rsidTr="008340C1">
        <w:trPr>
          <w:cantSplit w:val="0"/>
        </w:trPr>
        <w:tc>
          <w:tcPr>
            <w:tcW w:w="4411" w:type="dxa"/>
            <w:tcBorders>
              <w:top w:val="single" w:sz="4" w:space="0" w:color="A6A6A6"/>
            </w:tcBorders>
            <w:hideMark/>
          </w:tcPr>
          <w:p w14:paraId="5D2822F4" w14:textId="77777777" w:rsidR="003E4716" w:rsidRPr="002029AF" w:rsidRDefault="003E4716" w:rsidP="008340C1">
            <w:pPr>
              <w:pStyle w:val="ARfintablebody"/>
            </w:pPr>
            <w:r w:rsidRPr="002D6EA4">
              <w:t xml:space="preserve">Share of net profits/(losses) of associates </w:t>
            </w:r>
            <w:r>
              <w:br/>
            </w:r>
            <w:r w:rsidRPr="002D6EA4">
              <w:t>and joint venture entities, excluding dividends</w:t>
            </w:r>
          </w:p>
        </w:tc>
        <w:tc>
          <w:tcPr>
            <w:tcW w:w="1117" w:type="dxa"/>
            <w:tcBorders>
              <w:top w:val="single" w:sz="4" w:space="0" w:color="A6A6A6"/>
            </w:tcBorders>
            <w:hideMark/>
          </w:tcPr>
          <w:p w14:paraId="67D1C441" w14:textId="77777777" w:rsidR="003E4716" w:rsidRPr="002029AF" w:rsidRDefault="003E4716" w:rsidP="008340C1">
            <w:pPr>
              <w:pStyle w:val="ARfintablebodyright"/>
            </w:pPr>
            <w:r>
              <w:t>–</w:t>
            </w:r>
          </w:p>
        </w:tc>
        <w:tc>
          <w:tcPr>
            <w:tcW w:w="1123" w:type="dxa"/>
            <w:tcBorders>
              <w:top w:val="single" w:sz="4" w:space="0" w:color="A6A6A6"/>
            </w:tcBorders>
          </w:tcPr>
          <w:p w14:paraId="7562D4BE" w14:textId="77777777" w:rsidR="003E4716" w:rsidRPr="002029AF" w:rsidRDefault="003E4716" w:rsidP="008340C1">
            <w:pPr>
              <w:pStyle w:val="ARfintablebodyright"/>
            </w:pPr>
            <w:r>
              <w:t>–</w:t>
            </w:r>
          </w:p>
        </w:tc>
        <w:tc>
          <w:tcPr>
            <w:tcW w:w="1132" w:type="dxa"/>
            <w:tcBorders>
              <w:top w:val="single" w:sz="4" w:space="0" w:color="A6A6A6"/>
            </w:tcBorders>
            <w:hideMark/>
          </w:tcPr>
          <w:p w14:paraId="6B8862C6" w14:textId="77777777" w:rsidR="003E4716" w:rsidRPr="002029AF" w:rsidRDefault="003E4716" w:rsidP="008340C1">
            <w:pPr>
              <w:pStyle w:val="ARfintablebodyright"/>
            </w:pPr>
            <w:r>
              <w:t>–</w:t>
            </w:r>
          </w:p>
        </w:tc>
        <w:tc>
          <w:tcPr>
            <w:tcW w:w="1134" w:type="dxa"/>
            <w:tcBorders>
              <w:top w:val="single" w:sz="4" w:space="0" w:color="A6A6A6"/>
            </w:tcBorders>
            <w:hideMark/>
          </w:tcPr>
          <w:p w14:paraId="6A423964" w14:textId="77777777" w:rsidR="003E4716" w:rsidRPr="002029AF" w:rsidRDefault="003E4716" w:rsidP="008340C1">
            <w:pPr>
              <w:pStyle w:val="ARfintablebodyright"/>
            </w:pPr>
            <w:r>
              <w:t>–</w:t>
            </w:r>
          </w:p>
        </w:tc>
        <w:tc>
          <w:tcPr>
            <w:tcW w:w="722" w:type="dxa"/>
            <w:tcBorders>
              <w:top w:val="single" w:sz="4" w:space="0" w:color="A6A6A6"/>
            </w:tcBorders>
            <w:hideMark/>
          </w:tcPr>
          <w:p w14:paraId="09A0AE16" w14:textId="77777777" w:rsidR="003E4716" w:rsidRPr="002029AF" w:rsidRDefault="003E4716" w:rsidP="008340C1">
            <w:pPr>
              <w:pStyle w:val="ARfintablebodycentre"/>
            </w:pPr>
          </w:p>
        </w:tc>
      </w:tr>
      <w:tr w:rsidR="003E4716" w:rsidRPr="002029AF" w14:paraId="29E2232A" w14:textId="77777777" w:rsidTr="008340C1">
        <w:trPr>
          <w:cantSplit w:val="0"/>
        </w:trPr>
        <w:tc>
          <w:tcPr>
            <w:tcW w:w="4411" w:type="dxa"/>
            <w:hideMark/>
          </w:tcPr>
          <w:p w14:paraId="53E251AF" w14:textId="77777777" w:rsidR="003E4716" w:rsidRPr="002029AF" w:rsidRDefault="003E4716" w:rsidP="008340C1">
            <w:pPr>
              <w:pStyle w:val="ARfintablebodybold"/>
            </w:pPr>
            <w:r w:rsidRPr="002D6EA4">
              <w:t xml:space="preserve">Total other economic flows included </w:t>
            </w:r>
            <w:r>
              <w:br/>
            </w:r>
            <w:r w:rsidRPr="002D6EA4">
              <w:t>in net result</w:t>
            </w:r>
          </w:p>
        </w:tc>
        <w:tc>
          <w:tcPr>
            <w:tcW w:w="1117" w:type="dxa"/>
            <w:hideMark/>
          </w:tcPr>
          <w:p w14:paraId="2C648A01" w14:textId="77777777" w:rsidR="003E4716" w:rsidRPr="002029AF" w:rsidRDefault="003E4716" w:rsidP="008340C1">
            <w:pPr>
              <w:pStyle w:val="ARfintablebodyrightbold"/>
            </w:pPr>
            <w:r w:rsidRPr="002D6EA4">
              <w:t>30</w:t>
            </w:r>
          </w:p>
        </w:tc>
        <w:tc>
          <w:tcPr>
            <w:tcW w:w="1123" w:type="dxa"/>
          </w:tcPr>
          <w:p w14:paraId="280F23A1" w14:textId="77777777" w:rsidR="003E4716" w:rsidRPr="002029AF" w:rsidRDefault="003E4716" w:rsidP="008340C1">
            <w:pPr>
              <w:pStyle w:val="ARfintablebodyrightbold"/>
            </w:pPr>
            <w:r w:rsidRPr="002D6EA4">
              <w:t>(33)</w:t>
            </w:r>
          </w:p>
        </w:tc>
        <w:tc>
          <w:tcPr>
            <w:tcW w:w="1132" w:type="dxa"/>
            <w:hideMark/>
          </w:tcPr>
          <w:p w14:paraId="67D6941A" w14:textId="77777777" w:rsidR="003E4716" w:rsidRPr="002029AF" w:rsidRDefault="003E4716" w:rsidP="008340C1">
            <w:pPr>
              <w:pStyle w:val="ARfintablebodyrightbold"/>
            </w:pPr>
            <w:r w:rsidRPr="002D6EA4">
              <w:t>(33)</w:t>
            </w:r>
          </w:p>
        </w:tc>
        <w:tc>
          <w:tcPr>
            <w:tcW w:w="1134" w:type="dxa"/>
            <w:hideMark/>
          </w:tcPr>
          <w:p w14:paraId="2DFCA7A0" w14:textId="77777777" w:rsidR="003E4716" w:rsidRPr="002029AF" w:rsidRDefault="003E4716" w:rsidP="008340C1">
            <w:pPr>
              <w:pStyle w:val="ARfintablebodyrightbold"/>
            </w:pPr>
            <w:r w:rsidRPr="002D6EA4">
              <w:t>(189.9)</w:t>
            </w:r>
          </w:p>
        </w:tc>
        <w:tc>
          <w:tcPr>
            <w:tcW w:w="722" w:type="dxa"/>
            <w:hideMark/>
          </w:tcPr>
          <w:p w14:paraId="50B77A78" w14:textId="77777777" w:rsidR="003E4716" w:rsidRPr="002029AF" w:rsidRDefault="003E4716" w:rsidP="008340C1">
            <w:pPr>
              <w:pStyle w:val="ARfintablebodycentre"/>
            </w:pPr>
          </w:p>
        </w:tc>
      </w:tr>
      <w:tr w:rsidR="003E4716" w:rsidRPr="002029AF" w14:paraId="5BAB29E5" w14:textId="77777777" w:rsidTr="008340C1">
        <w:trPr>
          <w:cantSplit w:val="0"/>
        </w:trPr>
        <w:tc>
          <w:tcPr>
            <w:tcW w:w="4411" w:type="dxa"/>
            <w:tcBorders>
              <w:bottom w:val="single" w:sz="4" w:space="0" w:color="auto"/>
            </w:tcBorders>
            <w:hideMark/>
          </w:tcPr>
          <w:p w14:paraId="636BC65E" w14:textId="77777777" w:rsidR="003E4716" w:rsidRPr="002029AF" w:rsidRDefault="003E4716" w:rsidP="008340C1">
            <w:pPr>
              <w:pStyle w:val="ARfintablebodybold"/>
            </w:pPr>
            <w:r w:rsidRPr="002D6EA4">
              <w:t>Net result</w:t>
            </w:r>
          </w:p>
        </w:tc>
        <w:tc>
          <w:tcPr>
            <w:tcW w:w="1117" w:type="dxa"/>
            <w:tcBorders>
              <w:bottom w:val="single" w:sz="4" w:space="0" w:color="auto"/>
            </w:tcBorders>
            <w:hideMark/>
          </w:tcPr>
          <w:p w14:paraId="38A5E242" w14:textId="77777777" w:rsidR="003E4716" w:rsidRPr="002029AF" w:rsidRDefault="003E4716" w:rsidP="008340C1">
            <w:pPr>
              <w:pStyle w:val="ARfintablebodyrightbold"/>
            </w:pPr>
            <w:r w:rsidRPr="002D6EA4">
              <w:t>1,447</w:t>
            </w:r>
          </w:p>
        </w:tc>
        <w:tc>
          <w:tcPr>
            <w:tcW w:w="1123" w:type="dxa"/>
            <w:tcBorders>
              <w:bottom w:val="single" w:sz="4" w:space="0" w:color="auto"/>
            </w:tcBorders>
          </w:tcPr>
          <w:p w14:paraId="4EE5DD36" w14:textId="77777777" w:rsidR="003E4716" w:rsidRPr="002029AF" w:rsidRDefault="003E4716" w:rsidP="008340C1">
            <w:pPr>
              <w:pStyle w:val="ARfintablebodyrightbold"/>
            </w:pPr>
            <w:r w:rsidRPr="002D6EA4">
              <w:t>(275)</w:t>
            </w:r>
          </w:p>
        </w:tc>
        <w:tc>
          <w:tcPr>
            <w:tcW w:w="1132" w:type="dxa"/>
            <w:tcBorders>
              <w:bottom w:val="single" w:sz="4" w:space="0" w:color="auto"/>
            </w:tcBorders>
            <w:hideMark/>
          </w:tcPr>
          <w:p w14:paraId="63643549" w14:textId="77777777" w:rsidR="003E4716" w:rsidRPr="002029AF" w:rsidRDefault="003E4716" w:rsidP="008340C1">
            <w:pPr>
              <w:pStyle w:val="ARfintablebodyrightbold"/>
            </w:pPr>
            <w:r w:rsidRPr="002D6EA4">
              <w:t>(182)</w:t>
            </w:r>
          </w:p>
        </w:tc>
        <w:tc>
          <w:tcPr>
            <w:tcW w:w="1134" w:type="dxa"/>
            <w:tcBorders>
              <w:bottom w:val="single" w:sz="4" w:space="0" w:color="auto"/>
            </w:tcBorders>
            <w:hideMark/>
          </w:tcPr>
          <w:p w14:paraId="165D151A" w14:textId="77777777" w:rsidR="003E4716" w:rsidRPr="002029AF" w:rsidRDefault="003E4716" w:rsidP="008340C1">
            <w:pPr>
              <w:pStyle w:val="ARfintablebodyrightbold"/>
            </w:pPr>
            <w:r w:rsidRPr="002D6EA4">
              <w:t>(894.7)</w:t>
            </w:r>
          </w:p>
        </w:tc>
        <w:tc>
          <w:tcPr>
            <w:tcW w:w="722" w:type="dxa"/>
            <w:tcBorders>
              <w:bottom w:val="single" w:sz="4" w:space="0" w:color="auto"/>
            </w:tcBorders>
            <w:hideMark/>
          </w:tcPr>
          <w:p w14:paraId="0BFF4949" w14:textId="77777777" w:rsidR="003E4716" w:rsidRPr="002029AF" w:rsidRDefault="003E4716" w:rsidP="008340C1">
            <w:pPr>
              <w:pStyle w:val="ARfintablebodycentre"/>
            </w:pPr>
          </w:p>
        </w:tc>
      </w:tr>
      <w:tr w:rsidR="003E4716" w:rsidRPr="002029AF" w14:paraId="6909F6C6" w14:textId="77777777" w:rsidTr="008340C1">
        <w:trPr>
          <w:cantSplit w:val="0"/>
        </w:trPr>
        <w:tc>
          <w:tcPr>
            <w:tcW w:w="9639" w:type="dxa"/>
            <w:gridSpan w:val="6"/>
            <w:tcBorders>
              <w:top w:val="single" w:sz="4" w:space="0" w:color="auto"/>
              <w:bottom w:val="single" w:sz="4" w:space="0" w:color="A6A6A6"/>
            </w:tcBorders>
          </w:tcPr>
          <w:p w14:paraId="50730EC2" w14:textId="77777777" w:rsidR="003E4716" w:rsidRPr="002029AF" w:rsidRDefault="003E4716" w:rsidP="008340C1">
            <w:pPr>
              <w:pStyle w:val="ARfintablebodybold"/>
            </w:pPr>
            <w:r w:rsidRPr="002D6EA4">
              <w:t>Other economic flows – other comprehensive income</w:t>
            </w:r>
          </w:p>
        </w:tc>
      </w:tr>
      <w:tr w:rsidR="003E4716" w:rsidRPr="002029AF" w14:paraId="76D4A0A7" w14:textId="77777777" w:rsidTr="008340C1">
        <w:trPr>
          <w:cantSplit w:val="0"/>
        </w:trPr>
        <w:tc>
          <w:tcPr>
            <w:tcW w:w="4411" w:type="dxa"/>
            <w:tcBorders>
              <w:top w:val="single" w:sz="4" w:space="0" w:color="A6A6A6"/>
              <w:bottom w:val="single" w:sz="4" w:space="0" w:color="A6A6A6"/>
            </w:tcBorders>
            <w:hideMark/>
          </w:tcPr>
          <w:p w14:paraId="3E4D0304" w14:textId="77777777" w:rsidR="003E4716" w:rsidRPr="002029AF" w:rsidRDefault="003E4716" w:rsidP="008340C1">
            <w:pPr>
              <w:pStyle w:val="ARfintablebody"/>
            </w:pPr>
            <w:r w:rsidRPr="002D6EA4">
              <w:t xml:space="preserve">Adjustment to accumulated surplus/(deficit) </w:t>
            </w:r>
            <w:r>
              <w:br/>
            </w:r>
            <w:r w:rsidRPr="002D6EA4">
              <w:t>due to a change in accounting policy</w:t>
            </w:r>
          </w:p>
        </w:tc>
        <w:tc>
          <w:tcPr>
            <w:tcW w:w="1117" w:type="dxa"/>
            <w:tcBorders>
              <w:top w:val="single" w:sz="4" w:space="0" w:color="A6A6A6"/>
              <w:bottom w:val="single" w:sz="4" w:space="0" w:color="A6A6A6"/>
            </w:tcBorders>
            <w:hideMark/>
          </w:tcPr>
          <w:p w14:paraId="2B797850" w14:textId="77777777" w:rsidR="003E4716" w:rsidRPr="002029AF" w:rsidRDefault="003E4716" w:rsidP="008340C1">
            <w:pPr>
              <w:pStyle w:val="ARfintablebodyright"/>
            </w:pPr>
            <w:r w:rsidRPr="002D6EA4">
              <w:t>(48)</w:t>
            </w:r>
          </w:p>
        </w:tc>
        <w:tc>
          <w:tcPr>
            <w:tcW w:w="1123" w:type="dxa"/>
            <w:tcBorders>
              <w:top w:val="single" w:sz="4" w:space="0" w:color="A6A6A6"/>
              <w:bottom w:val="single" w:sz="4" w:space="0" w:color="A6A6A6"/>
            </w:tcBorders>
          </w:tcPr>
          <w:p w14:paraId="6E094FF4" w14:textId="77777777" w:rsidR="003E4716" w:rsidRPr="002029AF" w:rsidRDefault="003E4716" w:rsidP="008340C1">
            <w:pPr>
              <w:pStyle w:val="ARfintablebodyright"/>
            </w:pPr>
            <w:r>
              <w:t>–</w:t>
            </w:r>
          </w:p>
        </w:tc>
        <w:tc>
          <w:tcPr>
            <w:tcW w:w="1132" w:type="dxa"/>
            <w:tcBorders>
              <w:top w:val="single" w:sz="4" w:space="0" w:color="A6A6A6"/>
              <w:bottom w:val="single" w:sz="4" w:space="0" w:color="A6A6A6"/>
            </w:tcBorders>
            <w:hideMark/>
          </w:tcPr>
          <w:p w14:paraId="764D3B00" w14:textId="77777777" w:rsidR="003E4716" w:rsidRPr="002029AF" w:rsidRDefault="003E4716" w:rsidP="008340C1">
            <w:pPr>
              <w:pStyle w:val="ARfintablebodyright"/>
            </w:pPr>
            <w:r>
              <w:t>–</w:t>
            </w:r>
          </w:p>
        </w:tc>
        <w:tc>
          <w:tcPr>
            <w:tcW w:w="1134" w:type="dxa"/>
            <w:tcBorders>
              <w:top w:val="single" w:sz="4" w:space="0" w:color="A6A6A6"/>
              <w:bottom w:val="single" w:sz="4" w:space="0" w:color="A6A6A6"/>
            </w:tcBorders>
            <w:hideMark/>
          </w:tcPr>
          <w:p w14:paraId="0BDD567B" w14:textId="77777777" w:rsidR="003E4716" w:rsidRPr="002029AF" w:rsidRDefault="003E4716" w:rsidP="008340C1">
            <w:pPr>
              <w:pStyle w:val="ARfintablebodyright"/>
            </w:pPr>
            <w:r>
              <w:t>–</w:t>
            </w:r>
          </w:p>
        </w:tc>
        <w:tc>
          <w:tcPr>
            <w:tcW w:w="722" w:type="dxa"/>
            <w:tcBorders>
              <w:top w:val="single" w:sz="4" w:space="0" w:color="A6A6A6"/>
              <w:bottom w:val="single" w:sz="4" w:space="0" w:color="A6A6A6"/>
            </w:tcBorders>
            <w:hideMark/>
          </w:tcPr>
          <w:p w14:paraId="454B5A51" w14:textId="77777777" w:rsidR="003E4716" w:rsidRPr="002029AF" w:rsidRDefault="003E4716" w:rsidP="008340C1">
            <w:pPr>
              <w:pStyle w:val="ARfintablebodycentre"/>
            </w:pPr>
          </w:p>
        </w:tc>
      </w:tr>
      <w:tr w:rsidR="003E4716" w:rsidRPr="002029AF" w14:paraId="4B3495C7" w14:textId="77777777" w:rsidTr="008340C1">
        <w:trPr>
          <w:cantSplit w:val="0"/>
        </w:trPr>
        <w:tc>
          <w:tcPr>
            <w:tcW w:w="4411" w:type="dxa"/>
            <w:tcBorders>
              <w:top w:val="single" w:sz="4" w:space="0" w:color="A6A6A6"/>
              <w:bottom w:val="single" w:sz="4" w:space="0" w:color="A6A6A6"/>
            </w:tcBorders>
            <w:hideMark/>
          </w:tcPr>
          <w:p w14:paraId="56240E98" w14:textId="77777777" w:rsidR="003E4716" w:rsidRPr="00AB6C0B" w:rsidRDefault="003E4716" w:rsidP="008340C1">
            <w:pPr>
              <w:pStyle w:val="ARfintablebody"/>
              <w:rPr>
                <w:lang w:val="fr-FR"/>
              </w:rPr>
            </w:pPr>
            <w:r w:rsidRPr="001E2164">
              <w:rPr>
                <w:lang w:val="fr-FR"/>
              </w:rPr>
              <w:t>Changes in non-financial asset revaluation surplus</w:t>
            </w:r>
          </w:p>
        </w:tc>
        <w:tc>
          <w:tcPr>
            <w:tcW w:w="1117" w:type="dxa"/>
            <w:tcBorders>
              <w:top w:val="single" w:sz="4" w:space="0" w:color="A6A6A6"/>
              <w:bottom w:val="single" w:sz="4" w:space="0" w:color="A6A6A6"/>
            </w:tcBorders>
            <w:hideMark/>
          </w:tcPr>
          <w:p w14:paraId="4050B4A9" w14:textId="77777777" w:rsidR="003E4716" w:rsidRPr="002029AF" w:rsidRDefault="003E4716" w:rsidP="008340C1">
            <w:pPr>
              <w:pStyle w:val="ARfintablebodyright"/>
            </w:pPr>
            <w:r w:rsidRPr="002D6EA4">
              <w:t>455</w:t>
            </w:r>
          </w:p>
        </w:tc>
        <w:tc>
          <w:tcPr>
            <w:tcW w:w="1123" w:type="dxa"/>
            <w:tcBorders>
              <w:top w:val="single" w:sz="4" w:space="0" w:color="A6A6A6"/>
              <w:bottom w:val="single" w:sz="4" w:space="0" w:color="A6A6A6"/>
            </w:tcBorders>
          </w:tcPr>
          <w:p w14:paraId="732F9042" w14:textId="77777777" w:rsidR="003E4716" w:rsidRPr="002029AF" w:rsidRDefault="003E4716" w:rsidP="008340C1">
            <w:pPr>
              <w:pStyle w:val="ARfintablebodyright"/>
            </w:pPr>
            <w:r w:rsidRPr="002D6EA4">
              <w:t>14</w:t>
            </w:r>
          </w:p>
        </w:tc>
        <w:tc>
          <w:tcPr>
            <w:tcW w:w="1132" w:type="dxa"/>
            <w:tcBorders>
              <w:top w:val="single" w:sz="4" w:space="0" w:color="A6A6A6"/>
              <w:bottom w:val="single" w:sz="4" w:space="0" w:color="A6A6A6"/>
            </w:tcBorders>
            <w:hideMark/>
          </w:tcPr>
          <w:p w14:paraId="02BE1E27" w14:textId="77777777" w:rsidR="003E4716" w:rsidRPr="002029AF" w:rsidRDefault="003E4716" w:rsidP="008340C1">
            <w:pPr>
              <w:pStyle w:val="ARfintablebodyright"/>
            </w:pPr>
            <w:r w:rsidRPr="002D6EA4">
              <w:t>33</w:t>
            </w:r>
          </w:p>
        </w:tc>
        <w:tc>
          <w:tcPr>
            <w:tcW w:w="1134" w:type="dxa"/>
            <w:tcBorders>
              <w:top w:val="single" w:sz="4" w:space="0" w:color="A6A6A6"/>
              <w:bottom w:val="single" w:sz="4" w:space="0" w:color="A6A6A6"/>
            </w:tcBorders>
            <w:hideMark/>
          </w:tcPr>
          <w:p w14:paraId="5297807B" w14:textId="77777777" w:rsidR="003E4716" w:rsidRPr="002029AF" w:rsidRDefault="003E4716" w:rsidP="008340C1">
            <w:pPr>
              <w:pStyle w:val="ARfintablebodyright"/>
            </w:pPr>
            <w:r w:rsidRPr="002D6EA4">
              <w:t>1,279.6</w:t>
            </w:r>
          </w:p>
        </w:tc>
        <w:tc>
          <w:tcPr>
            <w:tcW w:w="722" w:type="dxa"/>
            <w:tcBorders>
              <w:top w:val="single" w:sz="4" w:space="0" w:color="A6A6A6"/>
              <w:bottom w:val="single" w:sz="4" w:space="0" w:color="A6A6A6"/>
            </w:tcBorders>
            <w:hideMark/>
          </w:tcPr>
          <w:p w14:paraId="1928BF03" w14:textId="77777777" w:rsidR="003E4716" w:rsidRPr="002029AF" w:rsidRDefault="003E4716" w:rsidP="008340C1">
            <w:pPr>
              <w:pStyle w:val="ARfintablebodycentre"/>
            </w:pPr>
            <w:r w:rsidRPr="002D6EA4">
              <w:t>(f)</w:t>
            </w:r>
          </w:p>
        </w:tc>
      </w:tr>
      <w:tr w:rsidR="003E4716" w:rsidRPr="002029AF" w14:paraId="08312FB7" w14:textId="77777777" w:rsidTr="008340C1">
        <w:trPr>
          <w:cantSplit w:val="0"/>
        </w:trPr>
        <w:tc>
          <w:tcPr>
            <w:tcW w:w="4411" w:type="dxa"/>
            <w:tcBorders>
              <w:top w:val="single" w:sz="4" w:space="0" w:color="A6A6A6"/>
              <w:bottom w:val="single" w:sz="4" w:space="0" w:color="A6A6A6"/>
            </w:tcBorders>
            <w:hideMark/>
          </w:tcPr>
          <w:p w14:paraId="3B62DC45" w14:textId="77777777" w:rsidR="003E4716" w:rsidRPr="002029AF" w:rsidRDefault="003E4716" w:rsidP="008340C1">
            <w:pPr>
              <w:pStyle w:val="ARfintablebody"/>
            </w:pPr>
            <w:r w:rsidRPr="002D6EA4">
              <w:t>Financial assets available-for-sale reserve</w:t>
            </w:r>
          </w:p>
        </w:tc>
        <w:tc>
          <w:tcPr>
            <w:tcW w:w="1117" w:type="dxa"/>
            <w:tcBorders>
              <w:top w:val="single" w:sz="4" w:space="0" w:color="A6A6A6"/>
              <w:bottom w:val="single" w:sz="4" w:space="0" w:color="A6A6A6"/>
            </w:tcBorders>
            <w:hideMark/>
          </w:tcPr>
          <w:p w14:paraId="5AA908E6" w14:textId="77777777" w:rsidR="003E4716" w:rsidRPr="002029AF" w:rsidRDefault="003E4716" w:rsidP="008340C1">
            <w:pPr>
              <w:pStyle w:val="ARfintablebodyright"/>
            </w:pPr>
            <w:r w:rsidRPr="002D6EA4">
              <w:t>(1)</w:t>
            </w:r>
          </w:p>
        </w:tc>
        <w:tc>
          <w:tcPr>
            <w:tcW w:w="1123" w:type="dxa"/>
            <w:tcBorders>
              <w:top w:val="single" w:sz="4" w:space="0" w:color="A6A6A6"/>
              <w:bottom w:val="single" w:sz="4" w:space="0" w:color="A6A6A6"/>
            </w:tcBorders>
          </w:tcPr>
          <w:p w14:paraId="21C7447C" w14:textId="77777777" w:rsidR="003E4716" w:rsidRPr="002029AF" w:rsidRDefault="003E4716" w:rsidP="008340C1">
            <w:pPr>
              <w:pStyle w:val="ARfintablebodyright"/>
            </w:pPr>
            <w:r>
              <w:t>–</w:t>
            </w:r>
          </w:p>
        </w:tc>
        <w:tc>
          <w:tcPr>
            <w:tcW w:w="1132" w:type="dxa"/>
            <w:tcBorders>
              <w:top w:val="single" w:sz="4" w:space="0" w:color="A6A6A6"/>
              <w:bottom w:val="single" w:sz="4" w:space="0" w:color="A6A6A6"/>
            </w:tcBorders>
            <w:hideMark/>
          </w:tcPr>
          <w:p w14:paraId="749B1638" w14:textId="77777777" w:rsidR="003E4716" w:rsidRPr="002029AF" w:rsidRDefault="003E4716" w:rsidP="008340C1">
            <w:pPr>
              <w:pStyle w:val="ARfintablebodyright"/>
            </w:pPr>
            <w:r>
              <w:t>–</w:t>
            </w:r>
          </w:p>
        </w:tc>
        <w:tc>
          <w:tcPr>
            <w:tcW w:w="1134" w:type="dxa"/>
            <w:tcBorders>
              <w:top w:val="single" w:sz="4" w:space="0" w:color="A6A6A6"/>
              <w:bottom w:val="single" w:sz="4" w:space="0" w:color="A6A6A6"/>
            </w:tcBorders>
            <w:hideMark/>
          </w:tcPr>
          <w:p w14:paraId="7CB065FD" w14:textId="77777777" w:rsidR="003E4716" w:rsidRPr="002029AF" w:rsidRDefault="003E4716" w:rsidP="008340C1">
            <w:pPr>
              <w:pStyle w:val="ARfintablebodyright"/>
            </w:pPr>
            <w:r>
              <w:t>–</w:t>
            </w:r>
          </w:p>
        </w:tc>
        <w:tc>
          <w:tcPr>
            <w:tcW w:w="722" w:type="dxa"/>
            <w:tcBorders>
              <w:top w:val="single" w:sz="4" w:space="0" w:color="A6A6A6"/>
              <w:bottom w:val="single" w:sz="4" w:space="0" w:color="A6A6A6"/>
            </w:tcBorders>
            <w:hideMark/>
          </w:tcPr>
          <w:p w14:paraId="1645A0A9" w14:textId="77777777" w:rsidR="003E4716" w:rsidRPr="002029AF" w:rsidRDefault="003E4716" w:rsidP="008340C1">
            <w:pPr>
              <w:pStyle w:val="ARfintablebodycentre"/>
            </w:pPr>
          </w:p>
        </w:tc>
      </w:tr>
      <w:tr w:rsidR="003E4716" w:rsidRPr="002029AF" w14:paraId="70B0E3B3" w14:textId="77777777" w:rsidTr="008340C1">
        <w:trPr>
          <w:cantSplit w:val="0"/>
        </w:trPr>
        <w:tc>
          <w:tcPr>
            <w:tcW w:w="4411" w:type="dxa"/>
            <w:tcBorders>
              <w:top w:val="single" w:sz="4" w:space="0" w:color="A6A6A6"/>
            </w:tcBorders>
            <w:hideMark/>
          </w:tcPr>
          <w:p w14:paraId="62003B6C" w14:textId="77777777" w:rsidR="003E4716" w:rsidRPr="002029AF" w:rsidRDefault="003E4716" w:rsidP="008340C1">
            <w:pPr>
              <w:pStyle w:val="ARfintablebody"/>
            </w:pPr>
            <w:r w:rsidRPr="002D6EA4">
              <w:t>Other</w:t>
            </w:r>
          </w:p>
        </w:tc>
        <w:tc>
          <w:tcPr>
            <w:tcW w:w="1117" w:type="dxa"/>
            <w:tcBorders>
              <w:top w:val="single" w:sz="4" w:space="0" w:color="A6A6A6"/>
            </w:tcBorders>
            <w:hideMark/>
          </w:tcPr>
          <w:p w14:paraId="3DF48410" w14:textId="77777777" w:rsidR="003E4716" w:rsidRPr="002029AF" w:rsidRDefault="003E4716" w:rsidP="008340C1">
            <w:pPr>
              <w:pStyle w:val="ARfintablebodyright"/>
            </w:pPr>
            <w:r w:rsidRPr="002D6EA4">
              <w:t>212</w:t>
            </w:r>
          </w:p>
        </w:tc>
        <w:tc>
          <w:tcPr>
            <w:tcW w:w="1123" w:type="dxa"/>
            <w:tcBorders>
              <w:top w:val="single" w:sz="4" w:space="0" w:color="A6A6A6"/>
            </w:tcBorders>
          </w:tcPr>
          <w:p w14:paraId="687B2DE1" w14:textId="77777777" w:rsidR="003E4716" w:rsidRPr="002029AF" w:rsidRDefault="003E4716" w:rsidP="008340C1">
            <w:pPr>
              <w:pStyle w:val="ARfintablebodyright"/>
            </w:pPr>
            <w:r>
              <w:t>–</w:t>
            </w:r>
          </w:p>
        </w:tc>
        <w:tc>
          <w:tcPr>
            <w:tcW w:w="1132" w:type="dxa"/>
            <w:tcBorders>
              <w:top w:val="single" w:sz="4" w:space="0" w:color="A6A6A6"/>
            </w:tcBorders>
            <w:hideMark/>
          </w:tcPr>
          <w:p w14:paraId="589C094C" w14:textId="77777777" w:rsidR="003E4716" w:rsidRPr="002029AF" w:rsidRDefault="003E4716" w:rsidP="008340C1">
            <w:pPr>
              <w:pStyle w:val="ARfintablebodyright"/>
            </w:pPr>
            <w:r>
              <w:t>–</w:t>
            </w:r>
          </w:p>
        </w:tc>
        <w:tc>
          <w:tcPr>
            <w:tcW w:w="1134" w:type="dxa"/>
            <w:tcBorders>
              <w:top w:val="single" w:sz="4" w:space="0" w:color="A6A6A6"/>
            </w:tcBorders>
            <w:hideMark/>
          </w:tcPr>
          <w:p w14:paraId="751D8C69" w14:textId="77777777" w:rsidR="003E4716" w:rsidRPr="002029AF" w:rsidRDefault="003E4716" w:rsidP="008340C1">
            <w:pPr>
              <w:pStyle w:val="ARfintablebodyright"/>
            </w:pPr>
            <w:r>
              <w:t>–</w:t>
            </w:r>
          </w:p>
        </w:tc>
        <w:tc>
          <w:tcPr>
            <w:tcW w:w="722" w:type="dxa"/>
            <w:tcBorders>
              <w:top w:val="single" w:sz="4" w:space="0" w:color="A6A6A6"/>
            </w:tcBorders>
            <w:hideMark/>
          </w:tcPr>
          <w:p w14:paraId="09A09641" w14:textId="77777777" w:rsidR="003E4716" w:rsidRPr="002029AF" w:rsidRDefault="003E4716" w:rsidP="008340C1">
            <w:pPr>
              <w:pStyle w:val="ARfintablebodycentre"/>
            </w:pPr>
          </w:p>
        </w:tc>
      </w:tr>
      <w:tr w:rsidR="003E4716" w:rsidRPr="002029AF" w14:paraId="49B680D1" w14:textId="77777777" w:rsidTr="008340C1">
        <w:trPr>
          <w:cantSplit w:val="0"/>
        </w:trPr>
        <w:tc>
          <w:tcPr>
            <w:tcW w:w="4411" w:type="dxa"/>
            <w:hideMark/>
          </w:tcPr>
          <w:p w14:paraId="4D1C2AAF" w14:textId="77777777" w:rsidR="003E4716" w:rsidRPr="002029AF" w:rsidRDefault="003E4716" w:rsidP="008340C1">
            <w:pPr>
              <w:pStyle w:val="ARfintablebodybold"/>
            </w:pPr>
            <w:r w:rsidRPr="002D6EA4">
              <w:t>Total other economic flows – other comprehensive income</w:t>
            </w:r>
          </w:p>
        </w:tc>
        <w:tc>
          <w:tcPr>
            <w:tcW w:w="1117" w:type="dxa"/>
            <w:hideMark/>
          </w:tcPr>
          <w:p w14:paraId="4C9E618D" w14:textId="77777777" w:rsidR="003E4716" w:rsidRPr="002029AF" w:rsidRDefault="003E4716" w:rsidP="008340C1">
            <w:pPr>
              <w:pStyle w:val="ARfintablebodyrightbold"/>
            </w:pPr>
            <w:r w:rsidRPr="002D6EA4">
              <w:t>618</w:t>
            </w:r>
          </w:p>
        </w:tc>
        <w:tc>
          <w:tcPr>
            <w:tcW w:w="1123" w:type="dxa"/>
          </w:tcPr>
          <w:p w14:paraId="7311403A" w14:textId="77777777" w:rsidR="003E4716" w:rsidRPr="002029AF" w:rsidRDefault="003E4716" w:rsidP="008340C1">
            <w:pPr>
              <w:pStyle w:val="ARfintablebodyrightbold"/>
            </w:pPr>
            <w:r w:rsidRPr="002D6EA4">
              <w:t>14</w:t>
            </w:r>
          </w:p>
        </w:tc>
        <w:tc>
          <w:tcPr>
            <w:tcW w:w="1132" w:type="dxa"/>
            <w:hideMark/>
          </w:tcPr>
          <w:p w14:paraId="77D9E162" w14:textId="77777777" w:rsidR="003E4716" w:rsidRPr="002029AF" w:rsidRDefault="003E4716" w:rsidP="008340C1">
            <w:pPr>
              <w:pStyle w:val="ARfintablebodyrightbold"/>
            </w:pPr>
            <w:r w:rsidRPr="002D6EA4">
              <w:t>33</w:t>
            </w:r>
          </w:p>
        </w:tc>
        <w:tc>
          <w:tcPr>
            <w:tcW w:w="1134" w:type="dxa"/>
            <w:hideMark/>
          </w:tcPr>
          <w:p w14:paraId="7CA87797" w14:textId="77777777" w:rsidR="003E4716" w:rsidRPr="002029AF" w:rsidRDefault="003E4716" w:rsidP="008340C1">
            <w:pPr>
              <w:pStyle w:val="ARfintablebodyrightbold"/>
            </w:pPr>
            <w:r w:rsidRPr="002D6EA4">
              <w:t>1,772.2</w:t>
            </w:r>
          </w:p>
        </w:tc>
        <w:tc>
          <w:tcPr>
            <w:tcW w:w="722" w:type="dxa"/>
            <w:hideMark/>
          </w:tcPr>
          <w:p w14:paraId="6600D9F5" w14:textId="77777777" w:rsidR="003E4716" w:rsidRPr="002029AF" w:rsidRDefault="003E4716" w:rsidP="008340C1">
            <w:pPr>
              <w:pStyle w:val="ARfintablebodycentre"/>
            </w:pPr>
          </w:p>
        </w:tc>
      </w:tr>
      <w:tr w:rsidR="003E4716" w:rsidRPr="002029AF" w14:paraId="480033D0" w14:textId="77777777" w:rsidTr="008340C1">
        <w:trPr>
          <w:cantSplit w:val="0"/>
        </w:trPr>
        <w:tc>
          <w:tcPr>
            <w:tcW w:w="4411" w:type="dxa"/>
            <w:hideMark/>
          </w:tcPr>
          <w:p w14:paraId="7978B295" w14:textId="77777777" w:rsidR="003E4716" w:rsidRPr="002029AF" w:rsidRDefault="003E4716" w:rsidP="008340C1">
            <w:pPr>
              <w:pStyle w:val="ARfintablebodybold"/>
            </w:pPr>
            <w:r w:rsidRPr="002D6EA4">
              <w:t>Comprehensive result</w:t>
            </w:r>
          </w:p>
        </w:tc>
        <w:tc>
          <w:tcPr>
            <w:tcW w:w="1117" w:type="dxa"/>
            <w:hideMark/>
          </w:tcPr>
          <w:p w14:paraId="2667E41C" w14:textId="77777777" w:rsidR="003E4716" w:rsidRPr="002029AF" w:rsidRDefault="003E4716" w:rsidP="008340C1">
            <w:pPr>
              <w:pStyle w:val="ARfintablebodyrightbold"/>
            </w:pPr>
            <w:r w:rsidRPr="002D6EA4">
              <w:t>2,065</w:t>
            </w:r>
          </w:p>
        </w:tc>
        <w:tc>
          <w:tcPr>
            <w:tcW w:w="1123" w:type="dxa"/>
          </w:tcPr>
          <w:p w14:paraId="7AA6C1E3" w14:textId="77777777" w:rsidR="003E4716" w:rsidRPr="002029AF" w:rsidRDefault="003E4716" w:rsidP="008340C1">
            <w:pPr>
              <w:pStyle w:val="ARfintablebodyrightbold"/>
            </w:pPr>
            <w:r w:rsidRPr="002D6EA4">
              <w:t>(261)</w:t>
            </w:r>
          </w:p>
        </w:tc>
        <w:tc>
          <w:tcPr>
            <w:tcW w:w="1132" w:type="dxa"/>
            <w:hideMark/>
          </w:tcPr>
          <w:p w14:paraId="6A6918C0" w14:textId="77777777" w:rsidR="003E4716" w:rsidRPr="002029AF" w:rsidRDefault="003E4716" w:rsidP="008340C1">
            <w:pPr>
              <w:pStyle w:val="ARfintablebodyrightbold"/>
            </w:pPr>
            <w:r w:rsidRPr="002D6EA4">
              <w:t>(149)</w:t>
            </w:r>
          </w:p>
        </w:tc>
        <w:tc>
          <w:tcPr>
            <w:tcW w:w="1134" w:type="dxa"/>
            <w:hideMark/>
          </w:tcPr>
          <w:p w14:paraId="5CE75E2E" w14:textId="77777777" w:rsidR="003E4716" w:rsidRPr="002029AF" w:rsidRDefault="003E4716" w:rsidP="008340C1">
            <w:pPr>
              <w:pStyle w:val="ARfintablebodyrightbold"/>
            </w:pPr>
            <w:r w:rsidRPr="002D6EA4">
              <w:t>(1,484.7)</w:t>
            </w:r>
          </w:p>
        </w:tc>
        <w:tc>
          <w:tcPr>
            <w:tcW w:w="722" w:type="dxa"/>
            <w:hideMark/>
          </w:tcPr>
          <w:p w14:paraId="33150226" w14:textId="77777777" w:rsidR="003E4716" w:rsidRPr="002029AF" w:rsidRDefault="003E4716" w:rsidP="008340C1">
            <w:pPr>
              <w:pStyle w:val="ARfintablebodycentre"/>
            </w:pPr>
          </w:p>
        </w:tc>
      </w:tr>
    </w:tbl>
    <w:p w14:paraId="4AD07B64" w14:textId="77777777" w:rsidR="003E4716" w:rsidRDefault="003E4716" w:rsidP="008340C1">
      <w:pPr>
        <w:pStyle w:val="ARtablefootnotealpha"/>
      </w:pPr>
      <w:r>
        <w:t>The actual output appropriation increase from the published budget reflects funding released from central contingency and additional funding for new policy initiatives approved by government, including funding related to the COVID-19 response.</w:t>
      </w:r>
    </w:p>
    <w:p w14:paraId="3B1A9A73" w14:textId="77777777" w:rsidR="003E4716" w:rsidRDefault="003E4716" w:rsidP="008340C1">
      <w:pPr>
        <w:pStyle w:val="ARtablefootnotealpha"/>
      </w:pPr>
      <w:r>
        <w:t>The actual grant income was higher than the published budget mainly due to additional National Partnership on COVID-19 Response funding from the Commonwealth Government.</w:t>
      </w:r>
    </w:p>
    <w:p w14:paraId="06A3EF91" w14:textId="77777777" w:rsidR="003E4716" w:rsidRDefault="003E4716" w:rsidP="008340C1">
      <w:pPr>
        <w:pStyle w:val="ARtablefootnotealpha"/>
      </w:pPr>
      <w:r>
        <w:t>Other income was higher than the published budget due to additional research revenue, donations and commercial revenue recognised by hospitals and public health services.</w:t>
      </w:r>
    </w:p>
    <w:p w14:paraId="5A2A5395" w14:textId="77777777" w:rsidR="003E4716" w:rsidRDefault="003E4716" w:rsidP="008340C1">
      <w:pPr>
        <w:pStyle w:val="ARtablefootnotealpha"/>
      </w:pPr>
      <w:r>
        <w:t>The actual grants and other transfers were higher than the published budget mainly reflecting the additional state COVID-19 contribution to the Victorian State Pool Account.</w:t>
      </w:r>
    </w:p>
    <w:p w14:paraId="24D56707" w14:textId="77777777" w:rsidR="003E4716" w:rsidRDefault="003E4716" w:rsidP="008340C1">
      <w:pPr>
        <w:pStyle w:val="ARtablefootnotealpha"/>
      </w:pPr>
      <w:r>
        <w:t>Other operating expenses were higher than the published budget due to additional costs for consumables such as personal protective equipment and rapid antigen tests being expensed in hospitals and public health services in response to the COVID-19 pandemic.</w:t>
      </w:r>
    </w:p>
    <w:p w14:paraId="29DE409A" w14:textId="77777777" w:rsidR="003E4716" w:rsidRPr="00281C03" w:rsidRDefault="003E4716" w:rsidP="008340C1">
      <w:pPr>
        <w:pStyle w:val="ARtablefootnotealpha"/>
      </w:pPr>
      <w:r>
        <w:t xml:space="preserve">The changes in revaluation surplus were higher than the published budget due to the revaluation of land and building assets across the portfolio in accordance with Financial Reporting Direction </w:t>
      </w:r>
      <w:r w:rsidRPr="000619CC">
        <w:rPr>
          <w:rStyle w:val="Emphasis"/>
        </w:rPr>
        <w:t>FRD103 Non-Financial Physical Assets</w:t>
      </w:r>
      <w:r>
        <w:t>.</w:t>
      </w:r>
    </w:p>
    <w:p w14:paraId="4E610B3E" w14:textId="77777777" w:rsidR="003E4716" w:rsidRDefault="003E4716" w:rsidP="00EF10EA">
      <w:pPr>
        <w:pStyle w:val="Heading3"/>
        <w:spacing w:before="480"/>
      </w:pPr>
      <w:r w:rsidRPr="00A13347">
        <w:t>Balance sheet as at 30</w:t>
      </w:r>
      <w:r>
        <w:t xml:space="preserve"> </w:t>
      </w:r>
      <w:r w:rsidRPr="00A13347">
        <w:t>June</w:t>
      </w:r>
      <w:r>
        <w:t xml:space="preserve"> </w:t>
      </w:r>
      <w:r w:rsidRPr="00A13347">
        <w:t>202</w:t>
      </w:r>
      <w:bookmarkEnd w:id="667"/>
      <w:r>
        <w:t>2</w:t>
      </w:r>
    </w:p>
    <w:tbl>
      <w:tblPr>
        <w:tblStyle w:val="TableGrid"/>
        <w:tblW w:w="9639" w:type="dxa"/>
        <w:tblLook w:val="06A0" w:firstRow="1" w:lastRow="0" w:firstColumn="1" w:lastColumn="0" w:noHBand="1" w:noVBand="1"/>
      </w:tblPr>
      <w:tblGrid>
        <w:gridCol w:w="4407"/>
        <w:gridCol w:w="1119"/>
        <w:gridCol w:w="1125"/>
        <w:gridCol w:w="1132"/>
        <w:gridCol w:w="1134"/>
        <w:gridCol w:w="722"/>
      </w:tblGrid>
      <w:tr w:rsidR="003E4716" w:rsidRPr="002029AF" w14:paraId="6242AB8D" w14:textId="77777777" w:rsidTr="00286C94">
        <w:trPr>
          <w:cnfStyle w:val="100000000000" w:firstRow="1" w:lastRow="0" w:firstColumn="0" w:lastColumn="0" w:oddVBand="0" w:evenVBand="0" w:oddHBand="0" w:evenHBand="0" w:firstRowFirstColumn="0" w:firstRowLastColumn="0" w:lastRowFirstColumn="0" w:lastRowLastColumn="0"/>
          <w:tblHeader/>
        </w:trPr>
        <w:tc>
          <w:tcPr>
            <w:tcW w:w="4407" w:type="dxa"/>
            <w:tcBorders>
              <w:bottom w:val="single" w:sz="4" w:space="0" w:color="auto"/>
            </w:tcBorders>
            <w:hideMark/>
          </w:tcPr>
          <w:p w14:paraId="7BF9254F" w14:textId="77777777" w:rsidR="003E4716" w:rsidRPr="002029AF" w:rsidRDefault="003E4716" w:rsidP="008340C1">
            <w:pPr>
              <w:pStyle w:val="ARfintablecolhead"/>
            </w:pPr>
            <w:bookmarkStart w:id="668" w:name="_Toc85121579"/>
          </w:p>
        </w:tc>
        <w:tc>
          <w:tcPr>
            <w:tcW w:w="1119" w:type="dxa"/>
            <w:tcBorders>
              <w:bottom w:val="single" w:sz="4" w:space="0" w:color="auto"/>
            </w:tcBorders>
            <w:hideMark/>
          </w:tcPr>
          <w:p w14:paraId="20193519" w14:textId="77777777" w:rsidR="003E4716" w:rsidRPr="002029AF" w:rsidRDefault="003E4716" w:rsidP="008340C1">
            <w:pPr>
              <w:pStyle w:val="ARfintablecolheadright"/>
            </w:pPr>
            <w:r>
              <w:t>2021–22</w:t>
            </w:r>
          </w:p>
          <w:p w14:paraId="0216BB0E" w14:textId="77777777" w:rsidR="003E4716" w:rsidRPr="002029AF" w:rsidRDefault="003E4716" w:rsidP="008340C1">
            <w:pPr>
              <w:pStyle w:val="ARfintablecolheadright"/>
            </w:pPr>
            <w:r w:rsidRPr="002029AF">
              <w:t>Actual</w:t>
            </w:r>
          </w:p>
          <w:p w14:paraId="3D12B9B0" w14:textId="77777777" w:rsidR="003E4716" w:rsidRPr="002029AF" w:rsidRDefault="003E4716" w:rsidP="008340C1">
            <w:pPr>
              <w:pStyle w:val="ARfintablecolheadright"/>
            </w:pPr>
            <w:r w:rsidRPr="002029AF">
              <w:t>$M</w:t>
            </w:r>
          </w:p>
        </w:tc>
        <w:tc>
          <w:tcPr>
            <w:tcW w:w="1125" w:type="dxa"/>
            <w:tcBorders>
              <w:bottom w:val="single" w:sz="4" w:space="0" w:color="auto"/>
            </w:tcBorders>
          </w:tcPr>
          <w:p w14:paraId="126A7839" w14:textId="77777777" w:rsidR="003E4716" w:rsidRPr="002029AF" w:rsidRDefault="003E4716" w:rsidP="008340C1">
            <w:pPr>
              <w:pStyle w:val="ARfintablecolheadright"/>
            </w:pPr>
            <w:r>
              <w:t>2021–22</w:t>
            </w:r>
          </w:p>
          <w:p w14:paraId="1992E0AD" w14:textId="77777777" w:rsidR="003E4716" w:rsidRPr="002029AF" w:rsidRDefault="003E4716" w:rsidP="008340C1">
            <w:pPr>
              <w:pStyle w:val="ARfintablecolheadright"/>
            </w:pPr>
            <w:r>
              <w:t>Revised</w:t>
            </w:r>
            <w:r w:rsidRPr="002029AF">
              <w:t xml:space="preserve"> budget</w:t>
            </w:r>
          </w:p>
          <w:p w14:paraId="32C208A4" w14:textId="77777777" w:rsidR="003E4716" w:rsidRPr="002029AF" w:rsidRDefault="003E4716" w:rsidP="008340C1">
            <w:pPr>
              <w:pStyle w:val="ARfintablecolheadright"/>
            </w:pPr>
            <w:r w:rsidRPr="002029AF">
              <w:t>$M</w:t>
            </w:r>
          </w:p>
        </w:tc>
        <w:tc>
          <w:tcPr>
            <w:tcW w:w="1132" w:type="dxa"/>
            <w:tcBorders>
              <w:bottom w:val="single" w:sz="4" w:space="0" w:color="auto"/>
            </w:tcBorders>
            <w:hideMark/>
          </w:tcPr>
          <w:p w14:paraId="58D25378" w14:textId="77777777" w:rsidR="003E4716" w:rsidRPr="002029AF" w:rsidRDefault="003E4716" w:rsidP="008340C1">
            <w:pPr>
              <w:pStyle w:val="ARfintablecolheadright"/>
            </w:pPr>
            <w:r>
              <w:t>2021–22</w:t>
            </w:r>
          </w:p>
          <w:p w14:paraId="17D8FEE8" w14:textId="77777777" w:rsidR="003E4716" w:rsidRPr="002029AF" w:rsidRDefault="003E4716" w:rsidP="008340C1">
            <w:pPr>
              <w:pStyle w:val="ARfintablecolheadright"/>
            </w:pPr>
            <w:r w:rsidRPr="002029AF">
              <w:t>Published budget</w:t>
            </w:r>
          </w:p>
          <w:p w14:paraId="7AB7DBBA" w14:textId="77777777" w:rsidR="003E4716" w:rsidRPr="002029AF" w:rsidRDefault="003E4716" w:rsidP="008340C1">
            <w:pPr>
              <w:pStyle w:val="ARfintablecolheadright"/>
            </w:pPr>
            <w:r w:rsidRPr="002029AF">
              <w:t>$M</w:t>
            </w:r>
          </w:p>
        </w:tc>
        <w:tc>
          <w:tcPr>
            <w:tcW w:w="1134" w:type="dxa"/>
            <w:tcBorders>
              <w:bottom w:val="single" w:sz="4" w:space="0" w:color="auto"/>
            </w:tcBorders>
            <w:noWrap/>
            <w:hideMark/>
          </w:tcPr>
          <w:p w14:paraId="7A75596A" w14:textId="77777777" w:rsidR="003E4716" w:rsidRPr="002029AF" w:rsidRDefault="003E4716" w:rsidP="008340C1">
            <w:pPr>
              <w:pStyle w:val="ARfintablecolheadright"/>
            </w:pPr>
            <w:r w:rsidRPr="002029AF">
              <w:t>Variation to published budget</w:t>
            </w:r>
          </w:p>
          <w:p w14:paraId="02F43877" w14:textId="77777777" w:rsidR="003E4716" w:rsidRPr="002029AF" w:rsidRDefault="003E4716" w:rsidP="008340C1">
            <w:pPr>
              <w:pStyle w:val="ARfintablecolheadright"/>
            </w:pPr>
            <w:r w:rsidRPr="002029AF">
              <w:t>%</w:t>
            </w:r>
          </w:p>
        </w:tc>
        <w:tc>
          <w:tcPr>
            <w:tcW w:w="722" w:type="dxa"/>
            <w:tcBorders>
              <w:bottom w:val="single" w:sz="4" w:space="0" w:color="auto"/>
            </w:tcBorders>
            <w:noWrap/>
            <w:hideMark/>
          </w:tcPr>
          <w:p w14:paraId="6E26D191" w14:textId="77777777" w:rsidR="003E4716" w:rsidRPr="002029AF" w:rsidRDefault="003E4716" w:rsidP="008340C1">
            <w:pPr>
              <w:pStyle w:val="ARfintablecolheadcentre"/>
              <w:rPr>
                <w:rFonts w:ascii="Times New Roman" w:hAnsi="Times New Roman" w:cs="Times New Roman"/>
                <w:sz w:val="20"/>
                <w:szCs w:val="20"/>
              </w:rPr>
            </w:pPr>
            <w:r w:rsidRPr="002029AF">
              <w:t>Notes</w:t>
            </w:r>
          </w:p>
        </w:tc>
      </w:tr>
      <w:tr w:rsidR="003E4716" w:rsidRPr="002029AF" w14:paraId="76E4569A" w14:textId="77777777" w:rsidTr="00286C94">
        <w:tc>
          <w:tcPr>
            <w:tcW w:w="9639" w:type="dxa"/>
            <w:gridSpan w:val="6"/>
            <w:tcBorders>
              <w:top w:val="single" w:sz="4" w:space="0" w:color="auto"/>
              <w:bottom w:val="single" w:sz="4" w:space="0" w:color="A6A6A6"/>
            </w:tcBorders>
          </w:tcPr>
          <w:p w14:paraId="32BC2501" w14:textId="77777777" w:rsidR="003E4716" w:rsidRPr="002029AF" w:rsidRDefault="003E4716" w:rsidP="008340C1">
            <w:pPr>
              <w:pStyle w:val="ARfintablebodybold"/>
              <w:rPr>
                <w:lang w:eastAsia="en-GB"/>
              </w:rPr>
            </w:pPr>
            <w:r w:rsidRPr="005D496D">
              <w:t>Assets</w:t>
            </w:r>
          </w:p>
        </w:tc>
      </w:tr>
      <w:tr w:rsidR="003E4716" w:rsidRPr="002029AF" w14:paraId="64EBFB97" w14:textId="77777777" w:rsidTr="00286C94">
        <w:tc>
          <w:tcPr>
            <w:tcW w:w="9639" w:type="dxa"/>
            <w:gridSpan w:val="6"/>
            <w:tcBorders>
              <w:top w:val="single" w:sz="4" w:space="0" w:color="A6A6A6"/>
              <w:bottom w:val="single" w:sz="4" w:space="0" w:color="A6A6A6"/>
            </w:tcBorders>
          </w:tcPr>
          <w:p w14:paraId="30DB3779" w14:textId="77777777" w:rsidR="003E4716" w:rsidRPr="002029AF" w:rsidRDefault="003E4716" w:rsidP="008340C1">
            <w:pPr>
              <w:pStyle w:val="ARfintablebodybold"/>
              <w:rPr>
                <w:lang w:eastAsia="en-GB"/>
              </w:rPr>
            </w:pPr>
            <w:r w:rsidRPr="005D496D">
              <w:t>Financial assets</w:t>
            </w:r>
          </w:p>
        </w:tc>
      </w:tr>
      <w:tr w:rsidR="003E4716" w:rsidRPr="002029AF" w14:paraId="36A8E4FB" w14:textId="77777777" w:rsidTr="00286C94">
        <w:tc>
          <w:tcPr>
            <w:tcW w:w="4407" w:type="dxa"/>
            <w:tcBorders>
              <w:top w:val="single" w:sz="4" w:space="0" w:color="A6A6A6"/>
              <w:bottom w:val="single" w:sz="4" w:space="0" w:color="A6A6A6"/>
            </w:tcBorders>
            <w:hideMark/>
          </w:tcPr>
          <w:p w14:paraId="4C1FB981" w14:textId="77777777" w:rsidR="003E4716" w:rsidRPr="002029AF" w:rsidRDefault="003E4716" w:rsidP="008340C1">
            <w:pPr>
              <w:pStyle w:val="ARfintablebody"/>
              <w:rPr>
                <w:lang w:eastAsia="en-GB"/>
              </w:rPr>
            </w:pPr>
            <w:r w:rsidRPr="005D496D">
              <w:t>Cash and deposits</w:t>
            </w:r>
          </w:p>
        </w:tc>
        <w:tc>
          <w:tcPr>
            <w:tcW w:w="1119" w:type="dxa"/>
            <w:tcBorders>
              <w:top w:val="single" w:sz="4" w:space="0" w:color="A6A6A6"/>
              <w:bottom w:val="single" w:sz="4" w:space="0" w:color="A6A6A6"/>
            </w:tcBorders>
            <w:hideMark/>
          </w:tcPr>
          <w:p w14:paraId="781C680C" w14:textId="77777777" w:rsidR="003E4716" w:rsidRPr="002029AF" w:rsidRDefault="003E4716" w:rsidP="008340C1">
            <w:pPr>
              <w:pStyle w:val="ARfintablebodyright"/>
              <w:rPr>
                <w:lang w:eastAsia="en-GB"/>
              </w:rPr>
            </w:pPr>
            <w:r w:rsidRPr="005D496D">
              <w:t>3,614</w:t>
            </w:r>
          </w:p>
        </w:tc>
        <w:tc>
          <w:tcPr>
            <w:tcW w:w="1125" w:type="dxa"/>
            <w:tcBorders>
              <w:top w:val="single" w:sz="4" w:space="0" w:color="A6A6A6"/>
              <w:bottom w:val="single" w:sz="4" w:space="0" w:color="A6A6A6"/>
            </w:tcBorders>
          </w:tcPr>
          <w:p w14:paraId="74D07A8F" w14:textId="77777777" w:rsidR="003E4716" w:rsidRPr="002029AF" w:rsidRDefault="003E4716" w:rsidP="008340C1">
            <w:pPr>
              <w:pStyle w:val="ARfintablebodyright"/>
              <w:rPr>
                <w:lang w:eastAsia="en-GB"/>
              </w:rPr>
            </w:pPr>
            <w:r w:rsidRPr="005D496D">
              <w:t>2,685</w:t>
            </w:r>
          </w:p>
        </w:tc>
        <w:tc>
          <w:tcPr>
            <w:tcW w:w="1132" w:type="dxa"/>
            <w:tcBorders>
              <w:top w:val="single" w:sz="4" w:space="0" w:color="A6A6A6"/>
              <w:bottom w:val="single" w:sz="4" w:space="0" w:color="A6A6A6"/>
            </w:tcBorders>
            <w:hideMark/>
          </w:tcPr>
          <w:p w14:paraId="7CFAB6DB" w14:textId="77777777" w:rsidR="003E4716" w:rsidRPr="002029AF" w:rsidRDefault="003E4716" w:rsidP="008340C1">
            <w:pPr>
              <w:pStyle w:val="ARfintablebodyright"/>
              <w:rPr>
                <w:lang w:eastAsia="en-GB"/>
              </w:rPr>
            </w:pPr>
            <w:r w:rsidRPr="005D496D">
              <w:t>2,863</w:t>
            </w:r>
          </w:p>
        </w:tc>
        <w:tc>
          <w:tcPr>
            <w:tcW w:w="1134" w:type="dxa"/>
            <w:tcBorders>
              <w:top w:val="single" w:sz="4" w:space="0" w:color="A6A6A6"/>
              <w:bottom w:val="single" w:sz="4" w:space="0" w:color="A6A6A6"/>
            </w:tcBorders>
            <w:hideMark/>
          </w:tcPr>
          <w:p w14:paraId="3945F9F4" w14:textId="77777777" w:rsidR="003E4716" w:rsidRPr="002029AF" w:rsidRDefault="003E4716" w:rsidP="008340C1">
            <w:pPr>
              <w:pStyle w:val="ARfintablebodyright"/>
              <w:rPr>
                <w:lang w:eastAsia="en-GB"/>
              </w:rPr>
            </w:pPr>
            <w:r w:rsidRPr="005D496D">
              <w:t>26.2</w:t>
            </w:r>
          </w:p>
        </w:tc>
        <w:tc>
          <w:tcPr>
            <w:tcW w:w="722" w:type="dxa"/>
            <w:tcBorders>
              <w:top w:val="single" w:sz="4" w:space="0" w:color="A6A6A6"/>
              <w:bottom w:val="single" w:sz="4" w:space="0" w:color="A6A6A6"/>
            </w:tcBorders>
            <w:hideMark/>
          </w:tcPr>
          <w:p w14:paraId="4C92CBFF" w14:textId="77777777" w:rsidR="003E4716" w:rsidRPr="002029AF" w:rsidRDefault="003E4716" w:rsidP="008340C1">
            <w:pPr>
              <w:pStyle w:val="ARfintablebodycentre"/>
              <w:rPr>
                <w:lang w:eastAsia="en-GB"/>
              </w:rPr>
            </w:pPr>
            <w:r w:rsidRPr="005D496D">
              <w:t>(a)</w:t>
            </w:r>
          </w:p>
        </w:tc>
      </w:tr>
      <w:tr w:rsidR="003E4716" w:rsidRPr="002029AF" w14:paraId="5B62B558" w14:textId="77777777" w:rsidTr="00286C94">
        <w:tc>
          <w:tcPr>
            <w:tcW w:w="4407" w:type="dxa"/>
            <w:tcBorders>
              <w:top w:val="single" w:sz="4" w:space="0" w:color="A6A6A6"/>
              <w:bottom w:val="single" w:sz="4" w:space="0" w:color="A6A6A6"/>
            </w:tcBorders>
            <w:hideMark/>
          </w:tcPr>
          <w:p w14:paraId="086547E1" w14:textId="77777777" w:rsidR="003E4716" w:rsidRPr="002029AF" w:rsidRDefault="003E4716" w:rsidP="008340C1">
            <w:pPr>
              <w:pStyle w:val="ARfintablebody"/>
              <w:rPr>
                <w:lang w:eastAsia="en-GB"/>
              </w:rPr>
            </w:pPr>
            <w:r w:rsidRPr="005D496D">
              <w:t>Receivables</w:t>
            </w:r>
          </w:p>
        </w:tc>
        <w:tc>
          <w:tcPr>
            <w:tcW w:w="1119" w:type="dxa"/>
            <w:tcBorders>
              <w:top w:val="single" w:sz="4" w:space="0" w:color="A6A6A6"/>
              <w:bottom w:val="single" w:sz="4" w:space="0" w:color="A6A6A6"/>
            </w:tcBorders>
            <w:hideMark/>
          </w:tcPr>
          <w:p w14:paraId="30833C49" w14:textId="77777777" w:rsidR="003E4716" w:rsidRPr="002029AF" w:rsidRDefault="003E4716" w:rsidP="008340C1">
            <w:pPr>
              <w:pStyle w:val="ARfintablebodyright"/>
              <w:rPr>
                <w:lang w:eastAsia="en-GB"/>
              </w:rPr>
            </w:pPr>
            <w:r w:rsidRPr="005D496D">
              <w:t>4,504</w:t>
            </w:r>
          </w:p>
        </w:tc>
        <w:tc>
          <w:tcPr>
            <w:tcW w:w="1125" w:type="dxa"/>
            <w:tcBorders>
              <w:top w:val="single" w:sz="4" w:space="0" w:color="A6A6A6"/>
              <w:bottom w:val="single" w:sz="4" w:space="0" w:color="A6A6A6"/>
            </w:tcBorders>
          </w:tcPr>
          <w:p w14:paraId="35AC832E" w14:textId="77777777" w:rsidR="003E4716" w:rsidRPr="002029AF" w:rsidRDefault="003E4716" w:rsidP="008340C1">
            <w:pPr>
              <w:pStyle w:val="ARfintablebodyright"/>
              <w:rPr>
                <w:lang w:eastAsia="en-GB"/>
              </w:rPr>
            </w:pPr>
            <w:r w:rsidRPr="005D496D">
              <w:t>4,643</w:t>
            </w:r>
          </w:p>
        </w:tc>
        <w:tc>
          <w:tcPr>
            <w:tcW w:w="1132" w:type="dxa"/>
            <w:tcBorders>
              <w:top w:val="single" w:sz="4" w:space="0" w:color="A6A6A6"/>
              <w:bottom w:val="single" w:sz="4" w:space="0" w:color="A6A6A6"/>
            </w:tcBorders>
            <w:hideMark/>
          </w:tcPr>
          <w:p w14:paraId="36313A34" w14:textId="77777777" w:rsidR="003E4716" w:rsidRPr="002029AF" w:rsidRDefault="003E4716" w:rsidP="008340C1">
            <w:pPr>
              <w:pStyle w:val="ARfintablebodyright"/>
              <w:rPr>
                <w:lang w:eastAsia="en-GB"/>
              </w:rPr>
            </w:pPr>
            <w:r w:rsidRPr="005D496D">
              <w:t>4,051</w:t>
            </w:r>
          </w:p>
        </w:tc>
        <w:tc>
          <w:tcPr>
            <w:tcW w:w="1134" w:type="dxa"/>
            <w:tcBorders>
              <w:top w:val="single" w:sz="4" w:space="0" w:color="A6A6A6"/>
              <w:bottom w:val="single" w:sz="4" w:space="0" w:color="A6A6A6"/>
            </w:tcBorders>
            <w:hideMark/>
          </w:tcPr>
          <w:p w14:paraId="1992A31A" w14:textId="77777777" w:rsidR="003E4716" w:rsidRPr="002029AF" w:rsidRDefault="003E4716" w:rsidP="008340C1">
            <w:pPr>
              <w:pStyle w:val="ARfintablebodyright"/>
              <w:rPr>
                <w:lang w:eastAsia="en-GB"/>
              </w:rPr>
            </w:pPr>
            <w:r w:rsidRPr="005D496D">
              <w:t>11.2</w:t>
            </w:r>
          </w:p>
        </w:tc>
        <w:tc>
          <w:tcPr>
            <w:tcW w:w="722" w:type="dxa"/>
            <w:tcBorders>
              <w:top w:val="single" w:sz="4" w:space="0" w:color="A6A6A6"/>
              <w:bottom w:val="single" w:sz="4" w:space="0" w:color="A6A6A6"/>
            </w:tcBorders>
            <w:hideMark/>
          </w:tcPr>
          <w:p w14:paraId="2987D77E" w14:textId="77777777" w:rsidR="003E4716" w:rsidRPr="002029AF" w:rsidRDefault="003E4716" w:rsidP="008340C1">
            <w:pPr>
              <w:pStyle w:val="ARfintablebodycentre"/>
              <w:rPr>
                <w:lang w:eastAsia="en-GB"/>
              </w:rPr>
            </w:pPr>
            <w:r w:rsidRPr="005D496D">
              <w:t>(b)</w:t>
            </w:r>
          </w:p>
        </w:tc>
      </w:tr>
      <w:tr w:rsidR="003E4716" w:rsidRPr="002029AF" w14:paraId="27837900" w14:textId="77777777" w:rsidTr="00286C94">
        <w:tc>
          <w:tcPr>
            <w:tcW w:w="4407" w:type="dxa"/>
            <w:tcBorders>
              <w:top w:val="single" w:sz="4" w:space="0" w:color="A6A6A6"/>
              <w:bottom w:val="single" w:sz="4" w:space="0" w:color="A6A6A6"/>
            </w:tcBorders>
            <w:hideMark/>
          </w:tcPr>
          <w:p w14:paraId="74D3D020" w14:textId="77777777" w:rsidR="003E4716" w:rsidRPr="002029AF" w:rsidRDefault="003E4716" w:rsidP="008340C1">
            <w:pPr>
              <w:pStyle w:val="ARfintablebody"/>
              <w:rPr>
                <w:lang w:eastAsia="en-GB"/>
              </w:rPr>
            </w:pPr>
            <w:r w:rsidRPr="005D496D">
              <w:t>Other financial assets</w:t>
            </w:r>
          </w:p>
        </w:tc>
        <w:tc>
          <w:tcPr>
            <w:tcW w:w="1119" w:type="dxa"/>
            <w:tcBorders>
              <w:top w:val="single" w:sz="4" w:space="0" w:color="A6A6A6"/>
              <w:bottom w:val="single" w:sz="4" w:space="0" w:color="A6A6A6"/>
            </w:tcBorders>
            <w:hideMark/>
          </w:tcPr>
          <w:p w14:paraId="7CE44FAF" w14:textId="77777777" w:rsidR="003E4716" w:rsidRPr="002029AF" w:rsidRDefault="003E4716" w:rsidP="008340C1">
            <w:pPr>
              <w:pStyle w:val="ARfintablebodyright"/>
              <w:rPr>
                <w:lang w:eastAsia="en-GB"/>
              </w:rPr>
            </w:pPr>
            <w:r w:rsidRPr="005D496D">
              <w:t>443</w:t>
            </w:r>
          </w:p>
        </w:tc>
        <w:tc>
          <w:tcPr>
            <w:tcW w:w="1125" w:type="dxa"/>
            <w:tcBorders>
              <w:top w:val="single" w:sz="4" w:space="0" w:color="A6A6A6"/>
              <w:bottom w:val="single" w:sz="4" w:space="0" w:color="A6A6A6"/>
            </w:tcBorders>
          </w:tcPr>
          <w:p w14:paraId="5DD1FAB6" w14:textId="77777777" w:rsidR="003E4716" w:rsidRPr="002029AF" w:rsidRDefault="003E4716" w:rsidP="008340C1">
            <w:pPr>
              <w:pStyle w:val="ARfintablebodyright"/>
              <w:rPr>
                <w:lang w:eastAsia="en-GB"/>
              </w:rPr>
            </w:pPr>
            <w:r w:rsidRPr="005D496D">
              <w:t>470</w:t>
            </w:r>
          </w:p>
        </w:tc>
        <w:tc>
          <w:tcPr>
            <w:tcW w:w="1132" w:type="dxa"/>
            <w:tcBorders>
              <w:top w:val="single" w:sz="4" w:space="0" w:color="A6A6A6"/>
              <w:bottom w:val="single" w:sz="4" w:space="0" w:color="A6A6A6"/>
            </w:tcBorders>
            <w:hideMark/>
          </w:tcPr>
          <w:p w14:paraId="5B8C07FC" w14:textId="77777777" w:rsidR="003E4716" w:rsidRPr="002029AF" w:rsidRDefault="003E4716" w:rsidP="008340C1">
            <w:pPr>
              <w:pStyle w:val="ARfintablebodyright"/>
              <w:rPr>
                <w:lang w:eastAsia="en-GB"/>
              </w:rPr>
            </w:pPr>
            <w:r w:rsidRPr="005D496D">
              <w:t>470</w:t>
            </w:r>
          </w:p>
        </w:tc>
        <w:tc>
          <w:tcPr>
            <w:tcW w:w="1134" w:type="dxa"/>
            <w:tcBorders>
              <w:top w:val="single" w:sz="4" w:space="0" w:color="A6A6A6"/>
              <w:bottom w:val="single" w:sz="4" w:space="0" w:color="A6A6A6"/>
            </w:tcBorders>
            <w:hideMark/>
          </w:tcPr>
          <w:p w14:paraId="261B2FA8" w14:textId="77777777" w:rsidR="003E4716" w:rsidRPr="002029AF" w:rsidRDefault="003E4716" w:rsidP="008340C1">
            <w:pPr>
              <w:pStyle w:val="ARfintablebodyright"/>
              <w:rPr>
                <w:lang w:eastAsia="en-GB"/>
              </w:rPr>
            </w:pPr>
            <w:r w:rsidRPr="005D496D">
              <w:t>(5.8)</w:t>
            </w:r>
          </w:p>
        </w:tc>
        <w:tc>
          <w:tcPr>
            <w:tcW w:w="722" w:type="dxa"/>
            <w:tcBorders>
              <w:top w:val="single" w:sz="4" w:space="0" w:color="A6A6A6"/>
              <w:bottom w:val="single" w:sz="4" w:space="0" w:color="A6A6A6"/>
            </w:tcBorders>
            <w:hideMark/>
          </w:tcPr>
          <w:p w14:paraId="7C000317" w14:textId="77777777" w:rsidR="003E4716" w:rsidRPr="002029AF" w:rsidRDefault="003E4716" w:rsidP="008340C1">
            <w:pPr>
              <w:pStyle w:val="ARfintablebodycentre"/>
              <w:rPr>
                <w:lang w:eastAsia="en-GB"/>
              </w:rPr>
            </w:pPr>
          </w:p>
        </w:tc>
      </w:tr>
      <w:tr w:rsidR="003E4716" w:rsidRPr="002029AF" w14:paraId="11282F01" w14:textId="77777777" w:rsidTr="00286C94">
        <w:tc>
          <w:tcPr>
            <w:tcW w:w="4407" w:type="dxa"/>
            <w:tcBorders>
              <w:top w:val="single" w:sz="4" w:space="0" w:color="A6A6A6"/>
            </w:tcBorders>
            <w:hideMark/>
          </w:tcPr>
          <w:p w14:paraId="79C5C133" w14:textId="77777777" w:rsidR="003E4716" w:rsidRPr="002029AF" w:rsidRDefault="003E4716" w:rsidP="008340C1">
            <w:pPr>
              <w:pStyle w:val="ARfintablebody"/>
              <w:rPr>
                <w:lang w:eastAsia="en-GB"/>
              </w:rPr>
            </w:pPr>
            <w:r w:rsidRPr="005D496D">
              <w:t>Investments accounted for using equity method</w:t>
            </w:r>
          </w:p>
        </w:tc>
        <w:tc>
          <w:tcPr>
            <w:tcW w:w="1119" w:type="dxa"/>
            <w:tcBorders>
              <w:top w:val="single" w:sz="4" w:space="0" w:color="A6A6A6"/>
            </w:tcBorders>
            <w:hideMark/>
          </w:tcPr>
          <w:p w14:paraId="3291B751" w14:textId="77777777" w:rsidR="003E4716" w:rsidRPr="002029AF" w:rsidRDefault="003E4716" w:rsidP="008340C1">
            <w:pPr>
              <w:pStyle w:val="ARfintablebodyright"/>
              <w:rPr>
                <w:lang w:eastAsia="en-GB"/>
              </w:rPr>
            </w:pPr>
            <w:r w:rsidRPr="005D496D">
              <w:t>1</w:t>
            </w:r>
          </w:p>
        </w:tc>
        <w:tc>
          <w:tcPr>
            <w:tcW w:w="1125" w:type="dxa"/>
            <w:tcBorders>
              <w:top w:val="single" w:sz="4" w:space="0" w:color="A6A6A6"/>
            </w:tcBorders>
          </w:tcPr>
          <w:p w14:paraId="1B326696" w14:textId="77777777" w:rsidR="003E4716" w:rsidRPr="002029AF" w:rsidRDefault="003E4716" w:rsidP="008340C1">
            <w:pPr>
              <w:pStyle w:val="ARfintablebodyright"/>
              <w:rPr>
                <w:lang w:eastAsia="en-GB"/>
              </w:rPr>
            </w:pPr>
            <w:r w:rsidRPr="005D496D">
              <w:t>1</w:t>
            </w:r>
          </w:p>
        </w:tc>
        <w:tc>
          <w:tcPr>
            <w:tcW w:w="1132" w:type="dxa"/>
            <w:tcBorders>
              <w:top w:val="single" w:sz="4" w:space="0" w:color="A6A6A6"/>
            </w:tcBorders>
            <w:hideMark/>
          </w:tcPr>
          <w:p w14:paraId="779638E5" w14:textId="77777777" w:rsidR="003E4716" w:rsidRPr="002029AF" w:rsidRDefault="003E4716" w:rsidP="008340C1">
            <w:pPr>
              <w:pStyle w:val="ARfintablebodyright"/>
              <w:rPr>
                <w:lang w:eastAsia="en-GB"/>
              </w:rPr>
            </w:pPr>
            <w:r w:rsidRPr="005D496D">
              <w:t>1</w:t>
            </w:r>
          </w:p>
        </w:tc>
        <w:tc>
          <w:tcPr>
            <w:tcW w:w="1134" w:type="dxa"/>
            <w:tcBorders>
              <w:top w:val="single" w:sz="4" w:space="0" w:color="A6A6A6"/>
            </w:tcBorders>
            <w:hideMark/>
          </w:tcPr>
          <w:p w14:paraId="59119011" w14:textId="77777777" w:rsidR="003E4716" w:rsidRPr="002029AF" w:rsidRDefault="003E4716" w:rsidP="008340C1">
            <w:pPr>
              <w:pStyle w:val="ARfintablebodyright"/>
              <w:rPr>
                <w:lang w:eastAsia="en-GB"/>
              </w:rPr>
            </w:pPr>
            <w:r w:rsidRPr="005D496D">
              <w:t>(26.6)</w:t>
            </w:r>
          </w:p>
        </w:tc>
        <w:tc>
          <w:tcPr>
            <w:tcW w:w="722" w:type="dxa"/>
            <w:tcBorders>
              <w:top w:val="single" w:sz="4" w:space="0" w:color="A6A6A6"/>
            </w:tcBorders>
            <w:hideMark/>
          </w:tcPr>
          <w:p w14:paraId="11D0C527" w14:textId="77777777" w:rsidR="003E4716" w:rsidRPr="002029AF" w:rsidRDefault="003E4716" w:rsidP="008340C1">
            <w:pPr>
              <w:pStyle w:val="ARfintablebodycentre"/>
              <w:rPr>
                <w:lang w:eastAsia="en-GB"/>
              </w:rPr>
            </w:pPr>
          </w:p>
        </w:tc>
      </w:tr>
      <w:tr w:rsidR="003E4716" w:rsidRPr="002029AF" w14:paraId="3C046866" w14:textId="77777777" w:rsidTr="00286C94">
        <w:tc>
          <w:tcPr>
            <w:tcW w:w="4407" w:type="dxa"/>
            <w:tcBorders>
              <w:bottom w:val="single" w:sz="4" w:space="0" w:color="auto"/>
            </w:tcBorders>
            <w:hideMark/>
          </w:tcPr>
          <w:p w14:paraId="4D9FF7EE" w14:textId="77777777" w:rsidR="003E4716" w:rsidRPr="002029AF" w:rsidRDefault="003E4716" w:rsidP="008340C1">
            <w:pPr>
              <w:pStyle w:val="ARfintablebodybold"/>
              <w:rPr>
                <w:lang w:eastAsia="en-GB"/>
              </w:rPr>
            </w:pPr>
            <w:r w:rsidRPr="005D496D">
              <w:t>Total financial assets</w:t>
            </w:r>
          </w:p>
        </w:tc>
        <w:tc>
          <w:tcPr>
            <w:tcW w:w="1119" w:type="dxa"/>
            <w:tcBorders>
              <w:bottom w:val="single" w:sz="4" w:space="0" w:color="auto"/>
            </w:tcBorders>
            <w:hideMark/>
          </w:tcPr>
          <w:p w14:paraId="0CF732A4" w14:textId="77777777" w:rsidR="003E4716" w:rsidRPr="002029AF" w:rsidRDefault="003E4716" w:rsidP="008340C1">
            <w:pPr>
              <w:pStyle w:val="ARfintablebodyrightbold"/>
              <w:rPr>
                <w:lang w:eastAsia="en-GB"/>
              </w:rPr>
            </w:pPr>
            <w:r w:rsidRPr="005D496D">
              <w:t>8,562</w:t>
            </w:r>
          </w:p>
        </w:tc>
        <w:tc>
          <w:tcPr>
            <w:tcW w:w="1125" w:type="dxa"/>
            <w:tcBorders>
              <w:bottom w:val="single" w:sz="4" w:space="0" w:color="auto"/>
            </w:tcBorders>
          </w:tcPr>
          <w:p w14:paraId="025E7481" w14:textId="77777777" w:rsidR="003E4716" w:rsidRPr="002029AF" w:rsidRDefault="003E4716" w:rsidP="008340C1">
            <w:pPr>
              <w:pStyle w:val="ARfintablebodyrightbold"/>
              <w:rPr>
                <w:lang w:eastAsia="en-GB"/>
              </w:rPr>
            </w:pPr>
            <w:r w:rsidRPr="005D496D">
              <w:t>7,799</w:t>
            </w:r>
          </w:p>
        </w:tc>
        <w:tc>
          <w:tcPr>
            <w:tcW w:w="1132" w:type="dxa"/>
            <w:tcBorders>
              <w:bottom w:val="single" w:sz="4" w:space="0" w:color="auto"/>
            </w:tcBorders>
            <w:hideMark/>
          </w:tcPr>
          <w:p w14:paraId="7CA831CE" w14:textId="77777777" w:rsidR="003E4716" w:rsidRPr="002029AF" w:rsidRDefault="003E4716" w:rsidP="008340C1">
            <w:pPr>
              <w:pStyle w:val="ARfintablebodyrightbold"/>
              <w:rPr>
                <w:lang w:eastAsia="en-GB"/>
              </w:rPr>
            </w:pPr>
            <w:r w:rsidRPr="005D496D">
              <w:t>7,385</w:t>
            </w:r>
          </w:p>
        </w:tc>
        <w:tc>
          <w:tcPr>
            <w:tcW w:w="1134" w:type="dxa"/>
            <w:tcBorders>
              <w:bottom w:val="single" w:sz="4" w:space="0" w:color="auto"/>
            </w:tcBorders>
            <w:hideMark/>
          </w:tcPr>
          <w:p w14:paraId="5B8BADD6" w14:textId="77777777" w:rsidR="003E4716" w:rsidRPr="002029AF" w:rsidRDefault="003E4716" w:rsidP="008340C1">
            <w:pPr>
              <w:pStyle w:val="ARfintablebodyrightbold"/>
              <w:rPr>
                <w:lang w:eastAsia="en-GB"/>
              </w:rPr>
            </w:pPr>
            <w:r w:rsidRPr="005D496D">
              <w:t>15.9</w:t>
            </w:r>
          </w:p>
        </w:tc>
        <w:tc>
          <w:tcPr>
            <w:tcW w:w="722" w:type="dxa"/>
            <w:tcBorders>
              <w:bottom w:val="single" w:sz="4" w:space="0" w:color="auto"/>
            </w:tcBorders>
            <w:hideMark/>
          </w:tcPr>
          <w:p w14:paraId="1898E135" w14:textId="77777777" w:rsidR="003E4716" w:rsidRPr="002029AF" w:rsidRDefault="003E4716" w:rsidP="008340C1">
            <w:pPr>
              <w:pStyle w:val="ARfintablebodycentre"/>
            </w:pPr>
          </w:p>
        </w:tc>
      </w:tr>
      <w:tr w:rsidR="003E4716" w:rsidRPr="002029AF" w14:paraId="196C27F8" w14:textId="77777777" w:rsidTr="00286C94">
        <w:tc>
          <w:tcPr>
            <w:tcW w:w="9639" w:type="dxa"/>
            <w:gridSpan w:val="6"/>
            <w:tcBorders>
              <w:top w:val="single" w:sz="4" w:space="0" w:color="auto"/>
              <w:bottom w:val="single" w:sz="4" w:space="0" w:color="A6A6A6"/>
            </w:tcBorders>
          </w:tcPr>
          <w:p w14:paraId="1025E919" w14:textId="77777777" w:rsidR="003E4716" w:rsidRPr="002029AF" w:rsidRDefault="003E4716" w:rsidP="008340C1">
            <w:pPr>
              <w:pStyle w:val="ARfintablebodybold"/>
              <w:rPr>
                <w:lang w:eastAsia="en-GB"/>
              </w:rPr>
            </w:pPr>
            <w:r w:rsidRPr="005D496D">
              <w:t>Non-financial assets</w:t>
            </w:r>
          </w:p>
        </w:tc>
      </w:tr>
      <w:tr w:rsidR="003E4716" w:rsidRPr="002029AF" w14:paraId="2FFC2B4C" w14:textId="77777777" w:rsidTr="00286C94">
        <w:tc>
          <w:tcPr>
            <w:tcW w:w="4407" w:type="dxa"/>
            <w:tcBorders>
              <w:top w:val="single" w:sz="4" w:space="0" w:color="A6A6A6"/>
              <w:bottom w:val="single" w:sz="4" w:space="0" w:color="A6A6A6"/>
            </w:tcBorders>
            <w:hideMark/>
          </w:tcPr>
          <w:p w14:paraId="65461E4C" w14:textId="77777777" w:rsidR="003E4716" w:rsidRPr="002029AF" w:rsidRDefault="003E4716" w:rsidP="008340C1">
            <w:pPr>
              <w:pStyle w:val="ARfintablebody"/>
              <w:rPr>
                <w:lang w:eastAsia="en-GB"/>
              </w:rPr>
            </w:pPr>
            <w:r w:rsidRPr="005D496D">
              <w:t>Inventories</w:t>
            </w:r>
          </w:p>
        </w:tc>
        <w:tc>
          <w:tcPr>
            <w:tcW w:w="1119" w:type="dxa"/>
            <w:tcBorders>
              <w:top w:val="single" w:sz="4" w:space="0" w:color="A6A6A6"/>
              <w:bottom w:val="single" w:sz="4" w:space="0" w:color="A6A6A6"/>
            </w:tcBorders>
            <w:hideMark/>
          </w:tcPr>
          <w:p w14:paraId="4E053535" w14:textId="77777777" w:rsidR="003E4716" w:rsidRPr="002029AF" w:rsidRDefault="003E4716" w:rsidP="008340C1">
            <w:pPr>
              <w:pStyle w:val="ARfintablebodyright"/>
              <w:rPr>
                <w:lang w:eastAsia="en-GB"/>
              </w:rPr>
            </w:pPr>
            <w:r w:rsidRPr="005D496D">
              <w:t>1,159</w:t>
            </w:r>
          </w:p>
        </w:tc>
        <w:tc>
          <w:tcPr>
            <w:tcW w:w="1125" w:type="dxa"/>
            <w:tcBorders>
              <w:top w:val="single" w:sz="4" w:space="0" w:color="A6A6A6"/>
              <w:bottom w:val="single" w:sz="4" w:space="0" w:color="A6A6A6"/>
            </w:tcBorders>
          </w:tcPr>
          <w:p w14:paraId="38D705CD" w14:textId="77777777" w:rsidR="003E4716" w:rsidRPr="002029AF" w:rsidRDefault="003E4716" w:rsidP="008340C1">
            <w:pPr>
              <w:pStyle w:val="ARfintablebodyright"/>
              <w:rPr>
                <w:lang w:eastAsia="en-GB"/>
              </w:rPr>
            </w:pPr>
            <w:r w:rsidRPr="005D496D">
              <w:t>454</w:t>
            </w:r>
          </w:p>
        </w:tc>
        <w:tc>
          <w:tcPr>
            <w:tcW w:w="1132" w:type="dxa"/>
            <w:tcBorders>
              <w:top w:val="single" w:sz="4" w:space="0" w:color="A6A6A6"/>
              <w:bottom w:val="single" w:sz="4" w:space="0" w:color="A6A6A6"/>
            </w:tcBorders>
            <w:hideMark/>
          </w:tcPr>
          <w:p w14:paraId="2C065141" w14:textId="77777777" w:rsidR="003E4716" w:rsidRPr="002029AF" w:rsidRDefault="003E4716" w:rsidP="008340C1">
            <w:pPr>
              <w:pStyle w:val="ARfintablebodyright"/>
              <w:rPr>
                <w:lang w:eastAsia="en-GB"/>
              </w:rPr>
            </w:pPr>
            <w:r w:rsidRPr="005D496D">
              <w:t>454</w:t>
            </w:r>
          </w:p>
        </w:tc>
        <w:tc>
          <w:tcPr>
            <w:tcW w:w="1134" w:type="dxa"/>
            <w:tcBorders>
              <w:top w:val="single" w:sz="4" w:space="0" w:color="A6A6A6"/>
              <w:bottom w:val="single" w:sz="4" w:space="0" w:color="A6A6A6"/>
            </w:tcBorders>
            <w:hideMark/>
          </w:tcPr>
          <w:p w14:paraId="096804E8" w14:textId="77777777" w:rsidR="003E4716" w:rsidRPr="002029AF" w:rsidRDefault="003E4716" w:rsidP="008340C1">
            <w:pPr>
              <w:pStyle w:val="ARfintablebodyright"/>
              <w:rPr>
                <w:lang w:eastAsia="en-GB"/>
              </w:rPr>
            </w:pPr>
            <w:r w:rsidRPr="005D496D">
              <w:t>155.4</w:t>
            </w:r>
          </w:p>
        </w:tc>
        <w:tc>
          <w:tcPr>
            <w:tcW w:w="722" w:type="dxa"/>
            <w:tcBorders>
              <w:top w:val="single" w:sz="4" w:space="0" w:color="A6A6A6"/>
              <w:bottom w:val="single" w:sz="4" w:space="0" w:color="A6A6A6"/>
            </w:tcBorders>
            <w:hideMark/>
          </w:tcPr>
          <w:p w14:paraId="7690E709" w14:textId="77777777" w:rsidR="003E4716" w:rsidRPr="002029AF" w:rsidRDefault="003E4716" w:rsidP="008340C1">
            <w:pPr>
              <w:pStyle w:val="ARfintablebodycentre"/>
              <w:rPr>
                <w:lang w:eastAsia="en-GB"/>
              </w:rPr>
            </w:pPr>
            <w:r w:rsidRPr="005D496D">
              <w:t>(c)</w:t>
            </w:r>
          </w:p>
        </w:tc>
      </w:tr>
      <w:tr w:rsidR="003E4716" w:rsidRPr="002029AF" w14:paraId="3A113C87" w14:textId="77777777" w:rsidTr="00286C94">
        <w:tc>
          <w:tcPr>
            <w:tcW w:w="4407" w:type="dxa"/>
            <w:tcBorders>
              <w:top w:val="single" w:sz="4" w:space="0" w:color="A6A6A6"/>
              <w:bottom w:val="single" w:sz="4" w:space="0" w:color="A6A6A6"/>
            </w:tcBorders>
            <w:hideMark/>
          </w:tcPr>
          <w:p w14:paraId="7815D327" w14:textId="77777777" w:rsidR="003E4716" w:rsidRPr="002029AF" w:rsidRDefault="003E4716" w:rsidP="008340C1">
            <w:pPr>
              <w:pStyle w:val="ARfintablebody"/>
              <w:rPr>
                <w:lang w:eastAsia="en-GB"/>
              </w:rPr>
            </w:pPr>
            <w:r w:rsidRPr="005D496D">
              <w:t>Property, plant and equipment</w:t>
            </w:r>
          </w:p>
        </w:tc>
        <w:tc>
          <w:tcPr>
            <w:tcW w:w="1119" w:type="dxa"/>
            <w:tcBorders>
              <w:top w:val="single" w:sz="4" w:space="0" w:color="A6A6A6"/>
              <w:bottom w:val="single" w:sz="4" w:space="0" w:color="A6A6A6"/>
            </w:tcBorders>
            <w:hideMark/>
          </w:tcPr>
          <w:p w14:paraId="7852897C" w14:textId="77777777" w:rsidR="003E4716" w:rsidRPr="002029AF" w:rsidRDefault="003E4716" w:rsidP="008340C1">
            <w:pPr>
              <w:pStyle w:val="ARfintablebodyright"/>
              <w:rPr>
                <w:lang w:eastAsia="en-GB"/>
              </w:rPr>
            </w:pPr>
            <w:r w:rsidRPr="005D496D">
              <w:t>21,362</w:t>
            </w:r>
          </w:p>
        </w:tc>
        <w:tc>
          <w:tcPr>
            <w:tcW w:w="1125" w:type="dxa"/>
            <w:tcBorders>
              <w:top w:val="single" w:sz="4" w:space="0" w:color="A6A6A6"/>
              <w:bottom w:val="single" w:sz="4" w:space="0" w:color="A6A6A6"/>
            </w:tcBorders>
          </w:tcPr>
          <w:p w14:paraId="11713FBA" w14:textId="77777777" w:rsidR="003E4716" w:rsidRPr="002029AF" w:rsidRDefault="003E4716" w:rsidP="008340C1">
            <w:pPr>
              <w:pStyle w:val="ARfintablebodyright"/>
              <w:rPr>
                <w:lang w:eastAsia="en-GB"/>
              </w:rPr>
            </w:pPr>
            <w:r w:rsidRPr="005D496D">
              <w:t>20,906</w:t>
            </w:r>
          </w:p>
        </w:tc>
        <w:tc>
          <w:tcPr>
            <w:tcW w:w="1132" w:type="dxa"/>
            <w:tcBorders>
              <w:top w:val="single" w:sz="4" w:space="0" w:color="A6A6A6"/>
              <w:bottom w:val="single" w:sz="4" w:space="0" w:color="A6A6A6"/>
            </w:tcBorders>
            <w:hideMark/>
          </w:tcPr>
          <w:p w14:paraId="40A688C7" w14:textId="77777777" w:rsidR="003E4716" w:rsidRPr="002029AF" w:rsidRDefault="003E4716" w:rsidP="008340C1">
            <w:pPr>
              <w:pStyle w:val="ARfintablebodyright"/>
              <w:rPr>
                <w:lang w:eastAsia="en-GB"/>
              </w:rPr>
            </w:pPr>
            <w:r w:rsidRPr="005D496D">
              <w:t>21,221</w:t>
            </w:r>
          </w:p>
        </w:tc>
        <w:tc>
          <w:tcPr>
            <w:tcW w:w="1134" w:type="dxa"/>
            <w:tcBorders>
              <w:top w:val="single" w:sz="4" w:space="0" w:color="A6A6A6"/>
              <w:bottom w:val="single" w:sz="4" w:space="0" w:color="A6A6A6"/>
            </w:tcBorders>
            <w:hideMark/>
          </w:tcPr>
          <w:p w14:paraId="4FDA1BB3" w14:textId="77777777" w:rsidR="003E4716" w:rsidRPr="002029AF" w:rsidRDefault="003E4716" w:rsidP="008340C1">
            <w:pPr>
              <w:pStyle w:val="ARfintablebodyright"/>
              <w:rPr>
                <w:lang w:eastAsia="en-GB"/>
              </w:rPr>
            </w:pPr>
            <w:r w:rsidRPr="005D496D">
              <w:t>0.7</w:t>
            </w:r>
          </w:p>
        </w:tc>
        <w:tc>
          <w:tcPr>
            <w:tcW w:w="722" w:type="dxa"/>
            <w:tcBorders>
              <w:top w:val="single" w:sz="4" w:space="0" w:color="A6A6A6"/>
              <w:bottom w:val="single" w:sz="4" w:space="0" w:color="A6A6A6"/>
            </w:tcBorders>
            <w:hideMark/>
          </w:tcPr>
          <w:p w14:paraId="7D6580F5" w14:textId="77777777" w:rsidR="003E4716" w:rsidRPr="002029AF" w:rsidRDefault="003E4716" w:rsidP="008340C1">
            <w:pPr>
              <w:pStyle w:val="ARfintablebodycentre"/>
              <w:rPr>
                <w:lang w:eastAsia="en-GB"/>
              </w:rPr>
            </w:pPr>
          </w:p>
        </w:tc>
      </w:tr>
      <w:tr w:rsidR="003E4716" w:rsidRPr="002029AF" w14:paraId="5988557F" w14:textId="77777777" w:rsidTr="00286C94">
        <w:tc>
          <w:tcPr>
            <w:tcW w:w="4407" w:type="dxa"/>
            <w:tcBorders>
              <w:top w:val="single" w:sz="4" w:space="0" w:color="A6A6A6"/>
              <w:bottom w:val="single" w:sz="4" w:space="0" w:color="A6A6A6"/>
            </w:tcBorders>
            <w:hideMark/>
          </w:tcPr>
          <w:p w14:paraId="424BD4BE" w14:textId="77777777" w:rsidR="003E4716" w:rsidRPr="002029AF" w:rsidRDefault="003E4716" w:rsidP="008340C1">
            <w:pPr>
              <w:pStyle w:val="ARfintablebody"/>
              <w:rPr>
                <w:lang w:eastAsia="en-GB"/>
              </w:rPr>
            </w:pPr>
            <w:r w:rsidRPr="005D496D">
              <w:t>Investment properties</w:t>
            </w:r>
          </w:p>
        </w:tc>
        <w:tc>
          <w:tcPr>
            <w:tcW w:w="1119" w:type="dxa"/>
            <w:tcBorders>
              <w:top w:val="single" w:sz="4" w:space="0" w:color="A6A6A6"/>
              <w:bottom w:val="single" w:sz="4" w:space="0" w:color="A6A6A6"/>
            </w:tcBorders>
            <w:hideMark/>
          </w:tcPr>
          <w:p w14:paraId="722D64B9" w14:textId="77777777" w:rsidR="003E4716" w:rsidRPr="002029AF" w:rsidRDefault="003E4716" w:rsidP="008340C1">
            <w:pPr>
              <w:pStyle w:val="ARfintablebodyright"/>
              <w:rPr>
                <w:lang w:eastAsia="en-GB"/>
              </w:rPr>
            </w:pPr>
            <w:r w:rsidRPr="005D496D">
              <w:t>151</w:t>
            </w:r>
          </w:p>
        </w:tc>
        <w:tc>
          <w:tcPr>
            <w:tcW w:w="1125" w:type="dxa"/>
            <w:tcBorders>
              <w:top w:val="single" w:sz="4" w:space="0" w:color="A6A6A6"/>
              <w:bottom w:val="single" w:sz="4" w:space="0" w:color="A6A6A6"/>
            </w:tcBorders>
          </w:tcPr>
          <w:p w14:paraId="527DF608" w14:textId="77777777" w:rsidR="003E4716" w:rsidRPr="002029AF" w:rsidRDefault="003E4716" w:rsidP="008340C1">
            <w:pPr>
              <w:pStyle w:val="ARfintablebodyright"/>
              <w:rPr>
                <w:lang w:eastAsia="en-GB"/>
              </w:rPr>
            </w:pPr>
            <w:r w:rsidRPr="005D496D">
              <w:t>141</w:t>
            </w:r>
          </w:p>
        </w:tc>
        <w:tc>
          <w:tcPr>
            <w:tcW w:w="1132" w:type="dxa"/>
            <w:tcBorders>
              <w:top w:val="single" w:sz="4" w:space="0" w:color="A6A6A6"/>
              <w:bottom w:val="single" w:sz="4" w:space="0" w:color="A6A6A6"/>
            </w:tcBorders>
            <w:hideMark/>
          </w:tcPr>
          <w:p w14:paraId="45546F3E" w14:textId="77777777" w:rsidR="003E4716" w:rsidRPr="002029AF" w:rsidRDefault="003E4716" w:rsidP="008340C1">
            <w:pPr>
              <w:pStyle w:val="ARfintablebodyright"/>
              <w:rPr>
                <w:lang w:eastAsia="en-GB"/>
              </w:rPr>
            </w:pPr>
            <w:r w:rsidRPr="005D496D">
              <w:t>141</w:t>
            </w:r>
          </w:p>
        </w:tc>
        <w:tc>
          <w:tcPr>
            <w:tcW w:w="1134" w:type="dxa"/>
            <w:tcBorders>
              <w:top w:val="single" w:sz="4" w:space="0" w:color="A6A6A6"/>
              <w:bottom w:val="single" w:sz="4" w:space="0" w:color="A6A6A6"/>
            </w:tcBorders>
            <w:hideMark/>
          </w:tcPr>
          <w:p w14:paraId="533C6B4C" w14:textId="77777777" w:rsidR="003E4716" w:rsidRPr="002029AF" w:rsidRDefault="003E4716" w:rsidP="008340C1">
            <w:pPr>
              <w:pStyle w:val="ARfintablebodyright"/>
              <w:rPr>
                <w:lang w:eastAsia="en-GB"/>
              </w:rPr>
            </w:pPr>
            <w:r w:rsidRPr="005D496D">
              <w:t>7.2</w:t>
            </w:r>
          </w:p>
        </w:tc>
        <w:tc>
          <w:tcPr>
            <w:tcW w:w="722" w:type="dxa"/>
            <w:tcBorders>
              <w:top w:val="single" w:sz="4" w:space="0" w:color="A6A6A6"/>
              <w:bottom w:val="single" w:sz="4" w:space="0" w:color="A6A6A6"/>
            </w:tcBorders>
            <w:hideMark/>
          </w:tcPr>
          <w:p w14:paraId="4FED3147" w14:textId="77777777" w:rsidR="003E4716" w:rsidRPr="002029AF" w:rsidRDefault="003E4716" w:rsidP="008340C1">
            <w:pPr>
              <w:pStyle w:val="ARfintablebodycentre"/>
              <w:rPr>
                <w:lang w:eastAsia="en-GB"/>
              </w:rPr>
            </w:pPr>
          </w:p>
        </w:tc>
      </w:tr>
      <w:tr w:rsidR="003E4716" w:rsidRPr="002029AF" w14:paraId="08073C8C" w14:textId="77777777" w:rsidTr="00286C94">
        <w:tc>
          <w:tcPr>
            <w:tcW w:w="4407" w:type="dxa"/>
            <w:tcBorders>
              <w:top w:val="single" w:sz="4" w:space="0" w:color="A6A6A6"/>
              <w:bottom w:val="single" w:sz="4" w:space="0" w:color="A6A6A6"/>
            </w:tcBorders>
            <w:hideMark/>
          </w:tcPr>
          <w:p w14:paraId="5E44C7C5" w14:textId="77777777" w:rsidR="003E4716" w:rsidRPr="002029AF" w:rsidRDefault="003E4716" w:rsidP="008340C1">
            <w:pPr>
              <w:pStyle w:val="ARfintablebody"/>
              <w:rPr>
                <w:lang w:eastAsia="en-GB"/>
              </w:rPr>
            </w:pPr>
            <w:r w:rsidRPr="005D496D">
              <w:t>Intangible assets</w:t>
            </w:r>
          </w:p>
        </w:tc>
        <w:tc>
          <w:tcPr>
            <w:tcW w:w="1119" w:type="dxa"/>
            <w:tcBorders>
              <w:top w:val="single" w:sz="4" w:space="0" w:color="A6A6A6"/>
              <w:bottom w:val="single" w:sz="4" w:space="0" w:color="A6A6A6"/>
            </w:tcBorders>
            <w:hideMark/>
          </w:tcPr>
          <w:p w14:paraId="0FB0BA38" w14:textId="77777777" w:rsidR="003E4716" w:rsidRPr="002029AF" w:rsidRDefault="003E4716" w:rsidP="008340C1">
            <w:pPr>
              <w:pStyle w:val="ARfintablebodyright"/>
              <w:rPr>
                <w:lang w:eastAsia="en-GB"/>
              </w:rPr>
            </w:pPr>
            <w:r w:rsidRPr="005D496D">
              <w:t>384</w:t>
            </w:r>
          </w:p>
        </w:tc>
        <w:tc>
          <w:tcPr>
            <w:tcW w:w="1125" w:type="dxa"/>
            <w:tcBorders>
              <w:top w:val="single" w:sz="4" w:space="0" w:color="A6A6A6"/>
              <w:bottom w:val="single" w:sz="4" w:space="0" w:color="A6A6A6"/>
            </w:tcBorders>
          </w:tcPr>
          <w:p w14:paraId="09E4AE2B" w14:textId="77777777" w:rsidR="003E4716" w:rsidRPr="002029AF" w:rsidRDefault="003E4716" w:rsidP="008340C1">
            <w:pPr>
              <w:pStyle w:val="ARfintablebodyright"/>
              <w:rPr>
                <w:lang w:eastAsia="en-GB"/>
              </w:rPr>
            </w:pPr>
            <w:r w:rsidRPr="005D496D">
              <w:t>390</w:t>
            </w:r>
          </w:p>
        </w:tc>
        <w:tc>
          <w:tcPr>
            <w:tcW w:w="1132" w:type="dxa"/>
            <w:tcBorders>
              <w:top w:val="single" w:sz="4" w:space="0" w:color="A6A6A6"/>
              <w:bottom w:val="single" w:sz="4" w:space="0" w:color="A6A6A6"/>
            </w:tcBorders>
            <w:hideMark/>
          </w:tcPr>
          <w:p w14:paraId="24FA6776" w14:textId="77777777" w:rsidR="003E4716" w:rsidRPr="002029AF" w:rsidRDefault="003E4716" w:rsidP="008340C1">
            <w:pPr>
              <w:pStyle w:val="ARfintablebodyright"/>
              <w:rPr>
                <w:lang w:eastAsia="en-GB"/>
              </w:rPr>
            </w:pPr>
            <w:r w:rsidRPr="005D496D">
              <w:t>396</w:t>
            </w:r>
          </w:p>
        </w:tc>
        <w:tc>
          <w:tcPr>
            <w:tcW w:w="1134" w:type="dxa"/>
            <w:tcBorders>
              <w:top w:val="single" w:sz="4" w:space="0" w:color="A6A6A6"/>
              <w:bottom w:val="single" w:sz="4" w:space="0" w:color="A6A6A6"/>
            </w:tcBorders>
            <w:hideMark/>
          </w:tcPr>
          <w:p w14:paraId="355FEA6B" w14:textId="77777777" w:rsidR="003E4716" w:rsidRPr="002029AF" w:rsidRDefault="003E4716" w:rsidP="008340C1">
            <w:pPr>
              <w:pStyle w:val="ARfintablebodyright"/>
              <w:rPr>
                <w:lang w:eastAsia="en-GB"/>
              </w:rPr>
            </w:pPr>
            <w:r w:rsidRPr="005D496D">
              <w:t>(3.0)</w:t>
            </w:r>
          </w:p>
        </w:tc>
        <w:tc>
          <w:tcPr>
            <w:tcW w:w="722" w:type="dxa"/>
            <w:tcBorders>
              <w:top w:val="single" w:sz="4" w:space="0" w:color="A6A6A6"/>
              <w:bottom w:val="single" w:sz="4" w:space="0" w:color="A6A6A6"/>
            </w:tcBorders>
            <w:hideMark/>
          </w:tcPr>
          <w:p w14:paraId="3BB0C876" w14:textId="77777777" w:rsidR="003E4716" w:rsidRPr="002029AF" w:rsidRDefault="003E4716" w:rsidP="008340C1">
            <w:pPr>
              <w:pStyle w:val="ARfintablebodycentre"/>
              <w:rPr>
                <w:lang w:eastAsia="en-GB"/>
              </w:rPr>
            </w:pPr>
          </w:p>
        </w:tc>
      </w:tr>
      <w:tr w:rsidR="003E4716" w:rsidRPr="002029AF" w14:paraId="65BBC11A" w14:textId="77777777" w:rsidTr="00286C94">
        <w:tc>
          <w:tcPr>
            <w:tcW w:w="4407" w:type="dxa"/>
            <w:tcBorders>
              <w:top w:val="single" w:sz="4" w:space="0" w:color="A6A6A6"/>
            </w:tcBorders>
            <w:hideMark/>
          </w:tcPr>
          <w:p w14:paraId="18AA8CFF" w14:textId="77777777" w:rsidR="003E4716" w:rsidRPr="002029AF" w:rsidRDefault="003E4716" w:rsidP="008340C1">
            <w:pPr>
              <w:pStyle w:val="ARfintablebody"/>
              <w:rPr>
                <w:lang w:eastAsia="en-GB"/>
              </w:rPr>
            </w:pPr>
            <w:r w:rsidRPr="005D496D">
              <w:t>Other</w:t>
            </w:r>
          </w:p>
        </w:tc>
        <w:tc>
          <w:tcPr>
            <w:tcW w:w="1119" w:type="dxa"/>
            <w:tcBorders>
              <w:top w:val="single" w:sz="4" w:space="0" w:color="A6A6A6"/>
            </w:tcBorders>
            <w:hideMark/>
          </w:tcPr>
          <w:p w14:paraId="61EFC6B6" w14:textId="77777777" w:rsidR="003E4716" w:rsidRPr="002029AF" w:rsidRDefault="003E4716" w:rsidP="008340C1">
            <w:pPr>
              <w:pStyle w:val="ARfintablebodyright"/>
              <w:rPr>
                <w:lang w:eastAsia="en-GB"/>
              </w:rPr>
            </w:pPr>
            <w:r w:rsidRPr="005D496D">
              <w:t>301</w:t>
            </w:r>
          </w:p>
        </w:tc>
        <w:tc>
          <w:tcPr>
            <w:tcW w:w="1125" w:type="dxa"/>
            <w:tcBorders>
              <w:top w:val="single" w:sz="4" w:space="0" w:color="A6A6A6"/>
            </w:tcBorders>
          </w:tcPr>
          <w:p w14:paraId="46A7172C" w14:textId="77777777" w:rsidR="003E4716" w:rsidRPr="002029AF" w:rsidRDefault="003E4716" w:rsidP="008340C1">
            <w:pPr>
              <w:pStyle w:val="ARfintablebodyright"/>
              <w:rPr>
                <w:lang w:eastAsia="en-GB"/>
              </w:rPr>
            </w:pPr>
            <w:r w:rsidRPr="005D496D">
              <w:t>286</w:t>
            </w:r>
          </w:p>
        </w:tc>
        <w:tc>
          <w:tcPr>
            <w:tcW w:w="1132" w:type="dxa"/>
            <w:tcBorders>
              <w:top w:val="single" w:sz="4" w:space="0" w:color="A6A6A6"/>
            </w:tcBorders>
            <w:hideMark/>
          </w:tcPr>
          <w:p w14:paraId="1330D1C6" w14:textId="77777777" w:rsidR="003E4716" w:rsidRPr="002029AF" w:rsidRDefault="003E4716" w:rsidP="008340C1">
            <w:pPr>
              <w:pStyle w:val="ARfintablebodyright"/>
              <w:rPr>
                <w:lang w:eastAsia="en-GB"/>
              </w:rPr>
            </w:pPr>
            <w:r w:rsidRPr="005D496D">
              <w:t>286</w:t>
            </w:r>
          </w:p>
        </w:tc>
        <w:tc>
          <w:tcPr>
            <w:tcW w:w="1134" w:type="dxa"/>
            <w:tcBorders>
              <w:top w:val="single" w:sz="4" w:space="0" w:color="A6A6A6"/>
            </w:tcBorders>
            <w:hideMark/>
          </w:tcPr>
          <w:p w14:paraId="52EC43CA" w14:textId="77777777" w:rsidR="003E4716" w:rsidRPr="002029AF" w:rsidRDefault="003E4716" w:rsidP="008340C1">
            <w:pPr>
              <w:pStyle w:val="ARfintablebodyright"/>
              <w:rPr>
                <w:lang w:eastAsia="en-GB"/>
              </w:rPr>
            </w:pPr>
            <w:r w:rsidRPr="005D496D">
              <w:t>5.3</w:t>
            </w:r>
          </w:p>
        </w:tc>
        <w:tc>
          <w:tcPr>
            <w:tcW w:w="722" w:type="dxa"/>
            <w:tcBorders>
              <w:top w:val="single" w:sz="4" w:space="0" w:color="A6A6A6"/>
            </w:tcBorders>
            <w:hideMark/>
          </w:tcPr>
          <w:p w14:paraId="4CF17253" w14:textId="77777777" w:rsidR="003E4716" w:rsidRPr="002029AF" w:rsidRDefault="003E4716" w:rsidP="008340C1">
            <w:pPr>
              <w:pStyle w:val="ARfintablebodycentre"/>
              <w:rPr>
                <w:lang w:eastAsia="en-GB"/>
              </w:rPr>
            </w:pPr>
          </w:p>
        </w:tc>
      </w:tr>
      <w:tr w:rsidR="003E4716" w:rsidRPr="002029AF" w14:paraId="0D2B42E2" w14:textId="77777777" w:rsidTr="00286C94">
        <w:tc>
          <w:tcPr>
            <w:tcW w:w="4407" w:type="dxa"/>
            <w:hideMark/>
          </w:tcPr>
          <w:p w14:paraId="6EEBF250" w14:textId="77777777" w:rsidR="003E4716" w:rsidRPr="002029AF" w:rsidRDefault="003E4716" w:rsidP="008340C1">
            <w:pPr>
              <w:pStyle w:val="ARfintablebodybold"/>
              <w:rPr>
                <w:lang w:eastAsia="en-GB"/>
              </w:rPr>
            </w:pPr>
            <w:r w:rsidRPr="005D496D">
              <w:t>Total non-financial assets</w:t>
            </w:r>
          </w:p>
        </w:tc>
        <w:tc>
          <w:tcPr>
            <w:tcW w:w="1119" w:type="dxa"/>
            <w:hideMark/>
          </w:tcPr>
          <w:p w14:paraId="6CBBC82B" w14:textId="77777777" w:rsidR="003E4716" w:rsidRPr="002029AF" w:rsidRDefault="003E4716" w:rsidP="008340C1">
            <w:pPr>
              <w:pStyle w:val="ARfintablebodyrightbold"/>
              <w:rPr>
                <w:lang w:eastAsia="en-GB"/>
              </w:rPr>
            </w:pPr>
            <w:r w:rsidRPr="005D496D">
              <w:t>23,357</w:t>
            </w:r>
          </w:p>
        </w:tc>
        <w:tc>
          <w:tcPr>
            <w:tcW w:w="1125" w:type="dxa"/>
          </w:tcPr>
          <w:p w14:paraId="7AFB030B" w14:textId="77777777" w:rsidR="003E4716" w:rsidRPr="002029AF" w:rsidRDefault="003E4716" w:rsidP="008340C1">
            <w:pPr>
              <w:pStyle w:val="ARfintablebodyrightbold"/>
              <w:rPr>
                <w:lang w:eastAsia="en-GB"/>
              </w:rPr>
            </w:pPr>
            <w:r w:rsidRPr="005D496D">
              <w:t>22,177</w:t>
            </w:r>
          </w:p>
        </w:tc>
        <w:tc>
          <w:tcPr>
            <w:tcW w:w="1132" w:type="dxa"/>
            <w:hideMark/>
          </w:tcPr>
          <w:p w14:paraId="0AB0ACB8" w14:textId="77777777" w:rsidR="003E4716" w:rsidRPr="002029AF" w:rsidRDefault="003E4716" w:rsidP="008340C1">
            <w:pPr>
              <w:pStyle w:val="ARfintablebodyrightbold"/>
              <w:rPr>
                <w:lang w:eastAsia="en-GB"/>
              </w:rPr>
            </w:pPr>
            <w:r w:rsidRPr="005D496D">
              <w:t>22,498</w:t>
            </w:r>
          </w:p>
        </w:tc>
        <w:tc>
          <w:tcPr>
            <w:tcW w:w="1134" w:type="dxa"/>
            <w:hideMark/>
          </w:tcPr>
          <w:p w14:paraId="36DEBBBA" w14:textId="77777777" w:rsidR="003E4716" w:rsidRPr="002029AF" w:rsidRDefault="003E4716" w:rsidP="008340C1">
            <w:pPr>
              <w:pStyle w:val="ARfintablebodyrightbold"/>
              <w:rPr>
                <w:lang w:eastAsia="en-GB"/>
              </w:rPr>
            </w:pPr>
            <w:r w:rsidRPr="005D496D">
              <w:t>3.8</w:t>
            </w:r>
          </w:p>
        </w:tc>
        <w:tc>
          <w:tcPr>
            <w:tcW w:w="722" w:type="dxa"/>
            <w:hideMark/>
          </w:tcPr>
          <w:p w14:paraId="19D4A0D8" w14:textId="77777777" w:rsidR="003E4716" w:rsidRPr="002029AF" w:rsidRDefault="003E4716" w:rsidP="008340C1">
            <w:pPr>
              <w:pStyle w:val="ARfintablebodycentre"/>
              <w:rPr>
                <w:lang w:eastAsia="en-GB"/>
              </w:rPr>
            </w:pPr>
          </w:p>
        </w:tc>
      </w:tr>
      <w:tr w:rsidR="003E4716" w:rsidRPr="002029AF" w14:paraId="41BBB3E2" w14:textId="77777777" w:rsidTr="00286C94">
        <w:tc>
          <w:tcPr>
            <w:tcW w:w="4407" w:type="dxa"/>
            <w:tcBorders>
              <w:bottom w:val="single" w:sz="4" w:space="0" w:color="auto"/>
            </w:tcBorders>
            <w:hideMark/>
          </w:tcPr>
          <w:p w14:paraId="4FB1855C" w14:textId="77777777" w:rsidR="003E4716" w:rsidRPr="002029AF" w:rsidRDefault="003E4716" w:rsidP="008340C1">
            <w:pPr>
              <w:pStyle w:val="ARfintablebodybold"/>
              <w:rPr>
                <w:lang w:eastAsia="en-GB"/>
              </w:rPr>
            </w:pPr>
            <w:r w:rsidRPr="005D496D">
              <w:t>Total assets</w:t>
            </w:r>
          </w:p>
        </w:tc>
        <w:tc>
          <w:tcPr>
            <w:tcW w:w="1119" w:type="dxa"/>
            <w:tcBorders>
              <w:bottom w:val="single" w:sz="4" w:space="0" w:color="auto"/>
            </w:tcBorders>
            <w:hideMark/>
          </w:tcPr>
          <w:p w14:paraId="6855E92B" w14:textId="77777777" w:rsidR="003E4716" w:rsidRPr="002029AF" w:rsidRDefault="003E4716" w:rsidP="008340C1">
            <w:pPr>
              <w:pStyle w:val="ARfintablebodyrightbold"/>
              <w:rPr>
                <w:lang w:eastAsia="en-GB"/>
              </w:rPr>
            </w:pPr>
            <w:r w:rsidRPr="005D496D">
              <w:t>31,919</w:t>
            </w:r>
          </w:p>
        </w:tc>
        <w:tc>
          <w:tcPr>
            <w:tcW w:w="1125" w:type="dxa"/>
            <w:tcBorders>
              <w:bottom w:val="single" w:sz="4" w:space="0" w:color="auto"/>
            </w:tcBorders>
          </w:tcPr>
          <w:p w14:paraId="42DF1327" w14:textId="77777777" w:rsidR="003E4716" w:rsidRPr="002029AF" w:rsidRDefault="003E4716" w:rsidP="008340C1">
            <w:pPr>
              <w:pStyle w:val="ARfintablebodyrightbold"/>
              <w:rPr>
                <w:lang w:eastAsia="en-GB"/>
              </w:rPr>
            </w:pPr>
            <w:r w:rsidRPr="005D496D">
              <w:t>29,976</w:t>
            </w:r>
          </w:p>
        </w:tc>
        <w:tc>
          <w:tcPr>
            <w:tcW w:w="1132" w:type="dxa"/>
            <w:tcBorders>
              <w:bottom w:val="single" w:sz="4" w:space="0" w:color="auto"/>
            </w:tcBorders>
            <w:hideMark/>
          </w:tcPr>
          <w:p w14:paraId="02EE94AA" w14:textId="77777777" w:rsidR="003E4716" w:rsidRPr="002029AF" w:rsidRDefault="003E4716" w:rsidP="008340C1">
            <w:pPr>
              <w:pStyle w:val="ARfintablebodyrightbold"/>
              <w:rPr>
                <w:lang w:eastAsia="en-GB"/>
              </w:rPr>
            </w:pPr>
            <w:r w:rsidRPr="005D496D">
              <w:t>29,883</w:t>
            </w:r>
          </w:p>
        </w:tc>
        <w:tc>
          <w:tcPr>
            <w:tcW w:w="1134" w:type="dxa"/>
            <w:tcBorders>
              <w:bottom w:val="single" w:sz="4" w:space="0" w:color="auto"/>
            </w:tcBorders>
            <w:hideMark/>
          </w:tcPr>
          <w:p w14:paraId="15C9FAE7" w14:textId="77777777" w:rsidR="003E4716" w:rsidRPr="002029AF" w:rsidRDefault="003E4716" w:rsidP="008340C1">
            <w:pPr>
              <w:pStyle w:val="ARfintablebodyrightbold"/>
              <w:rPr>
                <w:lang w:eastAsia="en-GB"/>
              </w:rPr>
            </w:pPr>
            <w:r w:rsidRPr="005D496D">
              <w:t>6.8</w:t>
            </w:r>
          </w:p>
        </w:tc>
        <w:tc>
          <w:tcPr>
            <w:tcW w:w="722" w:type="dxa"/>
            <w:tcBorders>
              <w:bottom w:val="single" w:sz="4" w:space="0" w:color="auto"/>
            </w:tcBorders>
            <w:hideMark/>
          </w:tcPr>
          <w:p w14:paraId="00AB2BCB" w14:textId="77777777" w:rsidR="003E4716" w:rsidRPr="002029AF" w:rsidRDefault="003E4716" w:rsidP="008340C1">
            <w:pPr>
              <w:pStyle w:val="ARfintablebodycentre"/>
              <w:rPr>
                <w:lang w:eastAsia="en-GB"/>
              </w:rPr>
            </w:pPr>
          </w:p>
        </w:tc>
      </w:tr>
      <w:tr w:rsidR="003E4716" w:rsidRPr="002029AF" w14:paraId="253EF32F" w14:textId="77777777" w:rsidTr="00286C94">
        <w:tc>
          <w:tcPr>
            <w:tcW w:w="9639" w:type="dxa"/>
            <w:gridSpan w:val="6"/>
            <w:tcBorders>
              <w:top w:val="single" w:sz="4" w:space="0" w:color="auto"/>
              <w:bottom w:val="single" w:sz="4" w:space="0" w:color="A6A6A6"/>
            </w:tcBorders>
          </w:tcPr>
          <w:p w14:paraId="58F0B43A" w14:textId="77777777" w:rsidR="003E4716" w:rsidRPr="002029AF" w:rsidRDefault="003E4716" w:rsidP="008340C1">
            <w:pPr>
              <w:pStyle w:val="ARfintablebodybold"/>
              <w:rPr>
                <w:lang w:eastAsia="en-GB"/>
              </w:rPr>
            </w:pPr>
            <w:r w:rsidRPr="005D496D">
              <w:t>Liabilities</w:t>
            </w:r>
          </w:p>
        </w:tc>
      </w:tr>
      <w:tr w:rsidR="003E4716" w:rsidRPr="002029AF" w14:paraId="4FD40E02" w14:textId="77777777" w:rsidTr="00286C94">
        <w:tc>
          <w:tcPr>
            <w:tcW w:w="4407" w:type="dxa"/>
            <w:tcBorders>
              <w:top w:val="single" w:sz="4" w:space="0" w:color="A6A6A6"/>
              <w:bottom w:val="single" w:sz="4" w:space="0" w:color="A6A6A6"/>
            </w:tcBorders>
            <w:hideMark/>
          </w:tcPr>
          <w:p w14:paraId="7B040AF1" w14:textId="77777777" w:rsidR="003E4716" w:rsidRPr="002029AF" w:rsidRDefault="003E4716" w:rsidP="008340C1">
            <w:pPr>
              <w:pStyle w:val="ARfintablebody"/>
              <w:rPr>
                <w:lang w:eastAsia="en-GB"/>
              </w:rPr>
            </w:pPr>
            <w:r w:rsidRPr="005D496D">
              <w:t>Payables</w:t>
            </w:r>
          </w:p>
        </w:tc>
        <w:tc>
          <w:tcPr>
            <w:tcW w:w="1119" w:type="dxa"/>
            <w:tcBorders>
              <w:top w:val="single" w:sz="4" w:space="0" w:color="A6A6A6"/>
              <w:bottom w:val="single" w:sz="4" w:space="0" w:color="A6A6A6"/>
            </w:tcBorders>
            <w:hideMark/>
          </w:tcPr>
          <w:p w14:paraId="6524BA95" w14:textId="77777777" w:rsidR="003E4716" w:rsidRPr="002029AF" w:rsidRDefault="003E4716" w:rsidP="008340C1">
            <w:pPr>
              <w:pStyle w:val="ARfintablebodyright"/>
              <w:rPr>
                <w:lang w:eastAsia="en-GB"/>
              </w:rPr>
            </w:pPr>
            <w:r w:rsidRPr="005D496D">
              <w:t>2,907</w:t>
            </w:r>
          </w:p>
        </w:tc>
        <w:tc>
          <w:tcPr>
            <w:tcW w:w="1125" w:type="dxa"/>
            <w:tcBorders>
              <w:top w:val="single" w:sz="4" w:space="0" w:color="A6A6A6"/>
              <w:bottom w:val="single" w:sz="4" w:space="0" w:color="A6A6A6"/>
            </w:tcBorders>
          </w:tcPr>
          <w:p w14:paraId="4D16C9B5" w14:textId="77777777" w:rsidR="003E4716" w:rsidRPr="002029AF" w:rsidRDefault="003E4716" w:rsidP="008340C1">
            <w:pPr>
              <w:pStyle w:val="ARfintablebodyright"/>
              <w:rPr>
                <w:lang w:eastAsia="en-GB"/>
              </w:rPr>
            </w:pPr>
            <w:r w:rsidRPr="005D496D">
              <w:t>2,833</w:t>
            </w:r>
          </w:p>
        </w:tc>
        <w:tc>
          <w:tcPr>
            <w:tcW w:w="1132" w:type="dxa"/>
            <w:tcBorders>
              <w:top w:val="single" w:sz="4" w:space="0" w:color="A6A6A6"/>
              <w:bottom w:val="single" w:sz="4" w:space="0" w:color="A6A6A6"/>
            </w:tcBorders>
            <w:hideMark/>
          </w:tcPr>
          <w:p w14:paraId="7E450DF3" w14:textId="77777777" w:rsidR="003E4716" w:rsidRPr="002029AF" w:rsidRDefault="003E4716" w:rsidP="008340C1">
            <w:pPr>
              <w:pStyle w:val="ARfintablebodyright"/>
              <w:rPr>
                <w:lang w:eastAsia="en-GB"/>
              </w:rPr>
            </w:pPr>
            <w:r w:rsidRPr="005D496D">
              <w:t>2,883</w:t>
            </w:r>
          </w:p>
        </w:tc>
        <w:tc>
          <w:tcPr>
            <w:tcW w:w="1134" w:type="dxa"/>
            <w:tcBorders>
              <w:top w:val="single" w:sz="4" w:space="0" w:color="A6A6A6"/>
              <w:bottom w:val="single" w:sz="4" w:space="0" w:color="A6A6A6"/>
            </w:tcBorders>
            <w:hideMark/>
          </w:tcPr>
          <w:p w14:paraId="3A352461" w14:textId="77777777" w:rsidR="003E4716" w:rsidRPr="002029AF" w:rsidRDefault="003E4716" w:rsidP="008340C1">
            <w:pPr>
              <w:pStyle w:val="ARfintablebodyright"/>
              <w:rPr>
                <w:lang w:eastAsia="en-GB"/>
              </w:rPr>
            </w:pPr>
            <w:r w:rsidRPr="005D496D">
              <w:t>0.9</w:t>
            </w:r>
          </w:p>
        </w:tc>
        <w:tc>
          <w:tcPr>
            <w:tcW w:w="722" w:type="dxa"/>
            <w:tcBorders>
              <w:top w:val="single" w:sz="4" w:space="0" w:color="A6A6A6"/>
              <w:bottom w:val="single" w:sz="4" w:space="0" w:color="A6A6A6"/>
            </w:tcBorders>
            <w:hideMark/>
          </w:tcPr>
          <w:p w14:paraId="23C175E1" w14:textId="77777777" w:rsidR="003E4716" w:rsidRPr="002029AF" w:rsidRDefault="003E4716" w:rsidP="008340C1">
            <w:pPr>
              <w:pStyle w:val="ARfintablebodycentre"/>
            </w:pPr>
          </w:p>
        </w:tc>
      </w:tr>
      <w:tr w:rsidR="003E4716" w:rsidRPr="002029AF" w14:paraId="73552B3C" w14:textId="77777777" w:rsidTr="00286C94">
        <w:tc>
          <w:tcPr>
            <w:tcW w:w="4407" w:type="dxa"/>
            <w:tcBorders>
              <w:top w:val="single" w:sz="4" w:space="0" w:color="A6A6A6"/>
              <w:bottom w:val="single" w:sz="4" w:space="0" w:color="A6A6A6"/>
            </w:tcBorders>
            <w:hideMark/>
          </w:tcPr>
          <w:p w14:paraId="152A3154" w14:textId="77777777" w:rsidR="003E4716" w:rsidRPr="002029AF" w:rsidRDefault="003E4716" w:rsidP="008340C1">
            <w:pPr>
              <w:pStyle w:val="ARfintablebody"/>
              <w:rPr>
                <w:lang w:eastAsia="en-GB"/>
              </w:rPr>
            </w:pPr>
            <w:r w:rsidRPr="005D496D">
              <w:t>Borrowings</w:t>
            </w:r>
          </w:p>
        </w:tc>
        <w:tc>
          <w:tcPr>
            <w:tcW w:w="1119" w:type="dxa"/>
            <w:tcBorders>
              <w:top w:val="single" w:sz="4" w:space="0" w:color="A6A6A6"/>
              <w:bottom w:val="single" w:sz="4" w:space="0" w:color="A6A6A6"/>
            </w:tcBorders>
            <w:hideMark/>
          </w:tcPr>
          <w:p w14:paraId="0EB32BC0" w14:textId="77777777" w:rsidR="003E4716" w:rsidRPr="002029AF" w:rsidRDefault="003E4716" w:rsidP="008340C1">
            <w:pPr>
              <w:pStyle w:val="ARfintablebodyright"/>
              <w:rPr>
                <w:lang w:eastAsia="en-GB"/>
              </w:rPr>
            </w:pPr>
            <w:r w:rsidRPr="005D496D">
              <w:t>3,390</w:t>
            </w:r>
          </w:p>
        </w:tc>
        <w:tc>
          <w:tcPr>
            <w:tcW w:w="1125" w:type="dxa"/>
            <w:tcBorders>
              <w:top w:val="single" w:sz="4" w:space="0" w:color="A6A6A6"/>
              <w:bottom w:val="single" w:sz="4" w:space="0" w:color="A6A6A6"/>
            </w:tcBorders>
          </w:tcPr>
          <w:p w14:paraId="0AA21C20" w14:textId="77777777" w:rsidR="003E4716" w:rsidRPr="002029AF" w:rsidRDefault="003E4716" w:rsidP="008340C1">
            <w:pPr>
              <w:pStyle w:val="ARfintablebodyright"/>
              <w:rPr>
                <w:lang w:eastAsia="en-GB"/>
              </w:rPr>
            </w:pPr>
            <w:r w:rsidRPr="005D496D">
              <w:t>3,568</w:t>
            </w:r>
          </w:p>
        </w:tc>
        <w:tc>
          <w:tcPr>
            <w:tcW w:w="1132" w:type="dxa"/>
            <w:tcBorders>
              <w:top w:val="single" w:sz="4" w:space="0" w:color="A6A6A6"/>
              <w:bottom w:val="single" w:sz="4" w:space="0" w:color="A6A6A6"/>
            </w:tcBorders>
            <w:hideMark/>
          </w:tcPr>
          <w:p w14:paraId="081DB405" w14:textId="77777777" w:rsidR="003E4716" w:rsidRPr="002029AF" w:rsidRDefault="003E4716" w:rsidP="008340C1">
            <w:pPr>
              <w:pStyle w:val="ARfintablebodyright"/>
              <w:rPr>
                <w:lang w:eastAsia="en-GB"/>
              </w:rPr>
            </w:pPr>
            <w:r w:rsidRPr="005D496D">
              <w:t>3,602</w:t>
            </w:r>
          </w:p>
        </w:tc>
        <w:tc>
          <w:tcPr>
            <w:tcW w:w="1134" w:type="dxa"/>
            <w:tcBorders>
              <w:top w:val="single" w:sz="4" w:space="0" w:color="A6A6A6"/>
              <w:bottom w:val="single" w:sz="4" w:space="0" w:color="A6A6A6"/>
            </w:tcBorders>
            <w:hideMark/>
          </w:tcPr>
          <w:p w14:paraId="768FE6B9" w14:textId="77777777" w:rsidR="003E4716" w:rsidRPr="002029AF" w:rsidRDefault="003E4716" w:rsidP="008340C1">
            <w:pPr>
              <w:pStyle w:val="ARfintablebodyright"/>
              <w:rPr>
                <w:lang w:eastAsia="en-GB"/>
              </w:rPr>
            </w:pPr>
            <w:r w:rsidRPr="005D496D">
              <w:t>(5.9)</w:t>
            </w:r>
          </w:p>
        </w:tc>
        <w:tc>
          <w:tcPr>
            <w:tcW w:w="722" w:type="dxa"/>
            <w:tcBorders>
              <w:top w:val="single" w:sz="4" w:space="0" w:color="A6A6A6"/>
              <w:bottom w:val="single" w:sz="4" w:space="0" w:color="A6A6A6"/>
            </w:tcBorders>
            <w:hideMark/>
          </w:tcPr>
          <w:p w14:paraId="09934F48" w14:textId="77777777" w:rsidR="003E4716" w:rsidRPr="002029AF" w:rsidRDefault="003E4716" w:rsidP="008340C1">
            <w:pPr>
              <w:pStyle w:val="ARfintablebodycentre"/>
            </w:pPr>
          </w:p>
        </w:tc>
      </w:tr>
      <w:tr w:rsidR="003E4716" w:rsidRPr="002029AF" w14:paraId="4086863B" w14:textId="77777777" w:rsidTr="00286C94">
        <w:tc>
          <w:tcPr>
            <w:tcW w:w="4407" w:type="dxa"/>
            <w:tcBorders>
              <w:top w:val="single" w:sz="4" w:space="0" w:color="A6A6A6"/>
            </w:tcBorders>
            <w:hideMark/>
          </w:tcPr>
          <w:p w14:paraId="256891D6" w14:textId="77777777" w:rsidR="003E4716" w:rsidRPr="002029AF" w:rsidRDefault="003E4716" w:rsidP="008340C1">
            <w:pPr>
              <w:pStyle w:val="ARfintablebody"/>
              <w:rPr>
                <w:lang w:eastAsia="en-GB"/>
              </w:rPr>
            </w:pPr>
            <w:r w:rsidRPr="005D496D">
              <w:t>Provisions</w:t>
            </w:r>
          </w:p>
        </w:tc>
        <w:tc>
          <w:tcPr>
            <w:tcW w:w="1119" w:type="dxa"/>
            <w:tcBorders>
              <w:top w:val="single" w:sz="4" w:space="0" w:color="A6A6A6"/>
            </w:tcBorders>
            <w:hideMark/>
          </w:tcPr>
          <w:p w14:paraId="37AF8DF1" w14:textId="77777777" w:rsidR="003E4716" w:rsidRPr="002029AF" w:rsidRDefault="003E4716" w:rsidP="008340C1">
            <w:pPr>
              <w:pStyle w:val="ARfintablebodyright"/>
              <w:rPr>
                <w:lang w:eastAsia="en-GB"/>
              </w:rPr>
            </w:pPr>
            <w:r w:rsidRPr="005D496D">
              <w:t>4,250</w:t>
            </w:r>
          </w:p>
        </w:tc>
        <w:tc>
          <w:tcPr>
            <w:tcW w:w="1125" w:type="dxa"/>
            <w:tcBorders>
              <w:top w:val="single" w:sz="4" w:space="0" w:color="A6A6A6"/>
            </w:tcBorders>
          </w:tcPr>
          <w:p w14:paraId="64E5302A" w14:textId="77777777" w:rsidR="003E4716" w:rsidRPr="002029AF" w:rsidRDefault="003E4716" w:rsidP="008340C1">
            <w:pPr>
              <w:pStyle w:val="ARfintablebodyright"/>
              <w:rPr>
                <w:lang w:eastAsia="en-GB"/>
              </w:rPr>
            </w:pPr>
            <w:r w:rsidRPr="005D496D">
              <w:t>4,044</w:t>
            </w:r>
          </w:p>
        </w:tc>
        <w:tc>
          <w:tcPr>
            <w:tcW w:w="1132" w:type="dxa"/>
            <w:tcBorders>
              <w:top w:val="single" w:sz="4" w:space="0" w:color="A6A6A6"/>
            </w:tcBorders>
            <w:hideMark/>
          </w:tcPr>
          <w:p w14:paraId="47759E63" w14:textId="77777777" w:rsidR="003E4716" w:rsidRPr="002029AF" w:rsidRDefault="003E4716" w:rsidP="008340C1">
            <w:pPr>
              <w:pStyle w:val="ARfintablebodyright"/>
              <w:rPr>
                <w:lang w:eastAsia="en-GB"/>
              </w:rPr>
            </w:pPr>
            <w:r w:rsidRPr="005D496D">
              <w:t>4,044</w:t>
            </w:r>
          </w:p>
        </w:tc>
        <w:tc>
          <w:tcPr>
            <w:tcW w:w="1134" w:type="dxa"/>
            <w:tcBorders>
              <w:top w:val="single" w:sz="4" w:space="0" w:color="A6A6A6"/>
            </w:tcBorders>
            <w:hideMark/>
          </w:tcPr>
          <w:p w14:paraId="064A21B9" w14:textId="77777777" w:rsidR="003E4716" w:rsidRPr="002029AF" w:rsidRDefault="003E4716" w:rsidP="008340C1">
            <w:pPr>
              <w:pStyle w:val="ARfintablebodyright"/>
              <w:rPr>
                <w:lang w:eastAsia="en-GB"/>
              </w:rPr>
            </w:pPr>
            <w:r w:rsidRPr="005D496D">
              <w:t>5.1</w:t>
            </w:r>
          </w:p>
        </w:tc>
        <w:tc>
          <w:tcPr>
            <w:tcW w:w="722" w:type="dxa"/>
            <w:tcBorders>
              <w:top w:val="single" w:sz="4" w:space="0" w:color="A6A6A6"/>
            </w:tcBorders>
            <w:hideMark/>
          </w:tcPr>
          <w:p w14:paraId="64FC5CF1" w14:textId="77777777" w:rsidR="003E4716" w:rsidRPr="002029AF" w:rsidRDefault="003E4716" w:rsidP="008340C1">
            <w:pPr>
              <w:pStyle w:val="ARfintablebodycentre"/>
            </w:pPr>
          </w:p>
        </w:tc>
      </w:tr>
      <w:tr w:rsidR="003E4716" w:rsidRPr="002029AF" w14:paraId="2B1B49DB" w14:textId="77777777" w:rsidTr="00286C94">
        <w:tc>
          <w:tcPr>
            <w:tcW w:w="4407" w:type="dxa"/>
            <w:hideMark/>
          </w:tcPr>
          <w:p w14:paraId="03D868DE" w14:textId="77777777" w:rsidR="003E4716" w:rsidRPr="002029AF" w:rsidRDefault="003E4716" w:rsidP="008340C1">
            <w:pPr>
              <w:pStyle w:val="ARfintablebodybold"/>
              <w:rPr>
                <w:lang w:eastAsia="en-GB"/>
              </w:rPr>
            </w:pPr>
            <w:r w:rsidRPr="005D496D">
              <w:t>Total liabilities</w:t>
            </w:r>
          </w:p>
        </w:tc>
        <w:tc>
          <w:tcPr>
            <w:tcW w:w="1119" w:type="dxa"/>
            <w:hideMark/>
          </w:tcPr>
          <w:p w14:paraId="203BC18D" w14:textId="77777777" w:rsidR="003E4716" w:rsidRPr="002029AF" w:rsidRDefault="003E4716" w:rsidP="008340C1">
            <w:pPr>
              <w:pStyle w:val="ARfintablebodyrightbold"/>
              <w:rPr>
                <w:lang w:eastAsia="en-GB"/>
              </w:rPr>
            </w:pPr>
            <w:r w:rsidRPr="005D496D">
              <w:t>10,547</w:t>
            </w:r>
          </w:p>
        </w:tc>
        <w:tc>
          <w:tcPr>
            <w:tcW w:w="1125" w:type="dxa"/>
          </w:tcPr>
          <w:p w14:paraId="2F7CFAD7" w14:textId="77777777" w:rsidR="003E4716" w:rsidRPr="002029AF" w:rsidRDefault="003E4716" w:rsidP="008340C1">
            <w:pPr>
              <w:pStyle w:val="ARfintablebodyrightbold"/>
              <w:rPr>
                <w:lang w:eastAsia="en-GB"/>
              </w:rPr>
            </w:pPr>
            <w:r w:rsidRPr="005D496D">
              <w:t>10,444</w:t>
            </w:r>
          </w:p>
        </w:tc>
        <w:tc>
          <w:tcPr>
            <w:tcW w:w="1132" w:type="dxa"/>
            <w:hideMark/>
          </w:tcPr>
          <w:p w14:paraId="68AFE1EB" w14:textId="77777777" w:rsidR="003E4716" w:rsidRPr="002029AF" w:rsidRDefault="003E4716" w:rsidP="008340C1">
            <w:pPr>
              <w:pStyle w:val="ARfintablebodyrightbold"/>
              <w:rPr>
                <w:lang w:eastAsia="en-GB"/>
              </w:rPr>
            </w:pPr>
            <w:r w:rsidRPr="005D496D">
              <w:t>10,528</w:t>
            </w:r>
          </w:p>
        </w:tc>
        <w:tc>
          <w:tcPr>
            <w:tcW w:w="1134" w:type="dxa"/>
            <w:hideMark/>
          </w:tcPr>
          <w:p w14:paraId="3E7AF014" w14:textId="77777777" w:rsidR="003E4716" w:rsidRPr="002029AF" w:rsidRDefault="003E4716" w:rsidP="008340C1">
            <w:pPr>
              <w:pStyle w:val="ARfintablebodyrightbold"/>
              <w:rPr>
                <w:lang w:eastAsia="en-GB"/>
              </w:rPr>
            </w:pPr>
            <w:r w:rsidRPr="005D496D">
              <w:t>0.2</w:t>
            </w:r>
          </w:p>
        </w:tc>
        <w:tc>
          <w:tcPr>
            <w:tcW w:w="722" w:type="dxa"/>
            <w:hideMark/>
          </w:tcPr>
          <w:p w14:paraId="0D5904D6" w14:textId="77777777" w:rsidR="003E4716" w:rsidRPr="002029AF" w:rsidRDefault="003E4716" w:rsidP="008340C1">
            <w:pPr>
              <w:pStyle w:val="ARfintablebodycentre"/>
            </w:pPr>
          </w:p>
        </w:tc>
      </w:tr>
      <w:tr w:rsidR="003E4716" w:rsidRPr="002029AF" w14:paraId="756C1BED" w14:textId="77777777" w:rsidTr="00286C94">
        <w:tc>
          <w:tcPr>
            <w:tcW w:w="4407" w:type="dxa"/>
            <w:tcBorders>
              <w:bottom w:val="single" w:sz="4" w:space="0" w:color="auto"/>
            </w:tcBorders>
            <w:hideMark/>
          </w:tcPr>
          <w:p w14:paraId="50ED0E4E" w14:textId="77777777" w:rsidR="003E4716" w:rsidRPr="002029AF" w:rsidRDefault="003E4716" w:rsidP="008340C1">
            <w:pPr>
              <w:pStyle w:val="ARfintablebodybold"/>
              <w:rPr>
                <w:lang w:eastAsia="en-GB"/>
              </w:rPr>
            </w:pPr>
            <w:r w:rsidRPr="005D496D">
              <w:t>Net assets</w:t>
            </w:r>
          </w:p>
        </w:tc>
        <w:tc>
          <w:tcPr>
            <w:tcW w:w="1119" w:type="dxa"/>
            <w:tcBorders>
              <w:bottom w:val="single" w:sz="4" w:space="0" w:color="auto"/>
            </w:tcBorders>
            <w:hideMark/>
          </w:tcPr>
          <w:p w14:paraId="314AA592" w14:textId="77777777" w:rsidR="003E4716" w:rsidRPr="002029AF" w:rsidRDefault="003E4716" w:rsidP="008340C1">
            <w:pPr>
              <w:pStyle w:val="ARfintablebodyrightbold"/>
              <w:rPr>
                <w:lang w:eastAsia="en-GB"/>
              </w:rPr>
            </w:pPr>
            <w:r w:rsidRPr="005D496D">
              <w:t>21,372</w:t>
            </w:r>
          </w:p>
        </w:tc>
        <w:tc>
          <w:tcPr>
            <w:tcW w:w="1125" w:type="dxa"/>
            <w:tcBorders>
              <w:bottom w:val="single" w:sz="4" w:space="0" w:color="auto"/>
            </w:tcBorders>
          </w:tcPr>
          <w:p w14:paraId="17BEA6B6" w14:textId="77777777" w:rsidR="003E4716" w:rsidRPr="002029AF" w:rsidRDefault="003E4716" w:rsidP="008340C1">
            <w:pPr>
              <w:pStyle w:val="ARfintablebodyrightbold"/>
              <w:rPr>
                <w:lang w:eastAsia="en-GB"/>
              </w:rPr>
            </w:pPr>
            <w:r w:rsidRPr="005D496D">
              <w:t>19,531</w:t>
            </w:r>
          </w:p>
        </w:tc>
        <w:tc>
          <w:tcPr>
            <w:tcW w:w="1132" w:type="dxa"/>
            <w:tcBorders>
              <w:bottom w:val="single" w:sz="4" w:space="0" w:color="auto"/>
            </w:tcBorders>
            <w:hideMark/>
          </w:tcPr>
          <w:p w14:paraId="080E5156" w14:textId="77777777" w:rsidR="003E4716" w:rsidRPr="002029AF" w:rsidRDefault="003E4716" w:rsidP="008340C1">
            <w:pPr>
              <w:pStyle w:val="ARfintablebodyrightbold"/>
              <w:rPr>
                <w:lang w:eastAsia="en-GB"/>
              </w:rPr>
            </w:pPr>
            <w:r w:rsidRPr="005D496D">
              <w:t>19,355</w:t>
            </w:r>
          </w:p>
        </w:tc>
        <w:tc>
          <w:tcPr>
            <w:tcW w:w="1134" w:type="dxa"/>
            <w:tcBorders>
              <w:bottom w:val="single" w:sz="4" w:space="0" w:color="auto"/>
            </w:tcBorders>
            <w:hideMark/>
          </w:tcPr>
          <w:p w14:paraId="28531314" w14:textId="77777777" w:rsidR="003E4716" w:rsidRPr="002029AF" w:rsidRDefault="003E4716" w:rsidP="008340C1">
            <w:pPr>
              <w:pStyle w:val="ARfintablebodyrightbold"/>
              <w:rPr>
                <w:lang w:eastAsia="en-GB"/>
              </w:rPr>
            </w:pPr>
            <w:r w:rsidRPr="005D496D">
              <w:t>10.4</w:t>
            </w:r>
          </w:p>
        </w:tc>
        <w:tc>
          <w:tcPr>
            <w:tcW w:w="722" w:type="dxa"/>
            <w:tcBorders>
              <w:bottom w:val="single" w:sz="4" w:space="0" w:color="auto"/>
            </w:tcBorders>
            <w:hideMark/>
          </w:tcPr>
          <w:p w14:paraId="160FC102" w14:textId="77777777" w:rsidR="003E4716" w:rsidRPr="002029AF" w:rsidRDefault="003E4716" w:rsidP="008340C1">
            <w:pPr>
              <w:pStyle w:val="ARfintablebodycentre"/>
            </w:pPr>
          </w:p>
        </w:tc>
      </w:tr>
      <w:tr w:rsidR="003E4716" w:rsidRPr="002029AF" w14:paraId="5465D6A2" w14:textId="77777777" w:rsidTr="00286C94">
        <w:tc>
          <w:tcPr>
            <w:tcW w:w="9639" w:type="dxa"/>
            <w:gridSpan w:val="6"/>
            <w:tcBorders>
              <w:top w:val="single" w:sz="4" w:space="0" w:color="auto"/>
              <w:bottom w:val="single" w:sz="4" w:space="0" w:color="A6A6A6"/>
            </w:tcBorders>
          </w:tcPr>
          <w:p w14:paraId="4F7847C3" w14:textId="77777777" w:rsidR="003E4716" w:rsidRPr="002029AF" w:rsidRDefault="003E4716" w:rsidP="008340C1">
            <w:pPr>
              <w:pStyle w:val="ARfintablebodybold"/>
              <w:rPr>
                <w:lang w:eastAsia="en-GB"/>
              </w:rPr>
            </w:pPr>
            <w:r w:rsidRPr="005D496D">
              <w:t>Equity</w:t>
            </w:r>
          </w:p>
        </w:tc>
      </w:tr>
      <w:tr w:rsidR="003E4716" w:rsidRPr="002029AF" w14:paraId="5AF28FE8" w14:textId="77777777" w:rsidTr="00286C94">
        <w:tc>
          <w:tcPr>
            <w:tcW w:w="4407" w:type="dxa"/>
            <w:tcBorders>
              <w:top w:val="single" w:sz="4" w:space="0" w:color="A6A6A6"/>
              <w:bottom w:val="single" w:sz="4" w:space="0" w:color="A6A6A6"/>
            </w:tcBorders>
            <w:hideMark/>
          </w:tcPr>
          <w:p w14:paraId="61E7FA0A" w14:textId="77777777" w:rsidR="003E4716" w:rsidRPr="002029AF" w:rsidRDefault="003E4716" w:rsidP="008340C1">
            <w:pPr>
              <w:pStyle w:val="ARfintablebody"/>
              <w:rPr>
                <w:lang w:eastAsia="en-GB"/>
              </w:rPr>
            </w:pPr>
            <w:r w:rsidRPr="005D496D">
              <w:t>Accumulated surplus/(deficit)</w:t>
            </w:r>
          </w:p>
        </w:tc>
        <w:tc>
          <w:tcPr>
            <w:tcW w:w="1119" w:type="dxa"/>
            <w:tcBorders>
              <w:top w:val="single" w:sz="4" w:space="0" w:color="A6A6A6"/>
              <w:bottom w:val="single" w:sz="4" w:space="0" w:color="A6A6A6"/>
            </w:tcBorders>
            <w:hideMark/>
          </w:tcPr>
          <w:p w14:paraId="1B702EC5" w14:textId="77777777" w:rsidR="003E4716" w:rsidRPr="002029AF" w:rsidRDefault="003E4716" w:rsidP="008340C1">
            <w:pPr>
              <w:pStyle w:val="ARfintablebodyright"/>
              <w:rPr>
                <w:lang w:eastAsia="en-GB"/>
              </w:rPr>
            </w:pPr>
            <w:r w:rsidRPr="005D496D">
              <w:t>5,166</w:t>
            </w:r>
          </w:p>
        </w:tc>
        <w:tc>
          <w:tcPr>
            <w:tcW w:w="1125" w:type="dxa"/>
            <w:tcBorders>
              <w:top w:val="single" w:sz="4" w:space="0" w:color="A6A6A6"/>
              <w:bottom w:val="single" w:sz="4" w:space="0" w:color="A6A6A6"/>
            </w:tcBorders>
          </w:tcPr>
          <w:p w14:paraId="39BF0CF0" w14:textId="77777777" w:rsidR="003E4716" w:rsidRPr="002029AF" w:rsidRDefault="003E4716" w:rsidP="008340C1">
            <w:pPr>
              <w:pStyle w:val="ARfintablebodyright"/>
              <w:rPr>
                <w:lang w:eastAsia="en-GB"/>
              </w:rPr>
            </w:pPr>
            <w:r w:rsidRPr="005D496D">
              <w:t>3,569</w:t>
            </w:r>
          </w:p>
        </w:tc>
        <w:tc>
          <w:tcPr>
            <w:tcW w:w="1132" w:type="dxa"/>
            <w:tcBorders>
              <w:top w:val="single" w:sz="4" w:space="0" w:color="A6A6A6"/>
              <w:bottom w:val="single" w:sz="4" w:space="0" w:color="A6A6A6"/>
            </w:tcBorders>
            <w:hideMark/>
          </w:tcPr>
          <w:p w14:paraId="71603710" w14:textId="77777777" w:rsidR="003E4716" w:rsidRPr="002029AF" w:rsidRDefault="003E4716" w:rsidP="008340C1">
            <w:pPr>
              <w:pStyle w:val="ARfintablebodyright"/>
              <w:rPr>
                <w:lang w:eastAsia="en-GB"/>
              </w:rPr>
            </w:pPr>
            <w:r w:rsidRPr="005D496D">
              <w:t>3,662</w:t>
            </w:r>
          </w:p>
        </w:tc>
        <w:tc>
          <w:tcPr>
            <w:tcW w:w="1134" w:type="dxa"/>
            <w:tcBorders>
              <w:top w:val="single" w:sz="4" w:space="0" w:color="A6A6A6"/>
              <w:bottom w:val="single" w:sz="4" w:space="0" w:color="A6A6A6"/>
            </w:tcBorders>
            <w:hideMark/>
          </w:tcPr>
          <w:p w14:paraId="132D65E3" w14:textId="77777777" w:rsidR="003E4716" w:rsidRPr="002029AF" w:rsidRDefault="003E4716" w:rsidP="008340C1">
            <w:pPr>
              <w:pStyle w:val="ARfintablebodyright"/>
              <w:rPr>
                <w:lang w:eastAsia="en-GB"/>
              </w:rPr>
            </w:pPr>
            <w:r w:rsidRPr="005D496D">
              <w:t>41.1</w:t>
            </w:r>
          </w:p>
        </w:tc>
        <w:tc>
          <w:tcPr>
            <w:tcW w:w="722" w:type="dxa"/>
            <w:tcBorders>
              <w:top w:val="single" w:sz="4" w:space="0" w:color="A6A6A6"/>
              <w:bottom w:val="single" w:sz="4" w:space="0" w:color="A6A6A6"/>
            </w:tcBorders>
            <w:hideMark/>
          </w:tcPr>
          <w:p w14:paraId="4FAA7FB8" w14:textId="77777777" w:rsidR="003E4716" w:rsidRPr="002029AF" w:rsidRDefault="003E4716" w:rsidP="008340C1">
            <w:pPr>
              <w:pStyle w:val="ARfintablebodycentre"/>
            </w:pPr>
          </w:p>
        </w:tc>
      </w:tr>
      <w:tr w:rsidR="003E4716" w:rsidRPr="002029AF" w14:paraId="69DBFE87" w14:textId="77777777" w:rsidTr="00286C94">
        <w:tc>
          <w:tcPr>
            <w:tcW w:w="4407" w:type="dxa"/>
            <w:tcBorders>
              <w:top w:val="single" w:sz="4" w:space="0" w:color="A6A6A6"/>
              <w:bottom w:val="single" w:sz="4" w:space="0" w:color="A6A6A6"/>
            </w:tcBorders>
          </w:tcPr>
          <w:p w14:paraId="26879DDC" w14:textId="77777777" w:rsidR="003E4716" w:rsidRPr="002029AF" w:rsidRDefault="003E4716" w:rsidP="008340C1">
            <w:pPr>
              <w:pStyle w:val="ARfintablebody"/>
              <w:rPr>
                <w:lang w:eastAsia="en-GB"/>
              </w:rPr>
            </w:pPr>
            <w:r w:rsidRPr="005D496D">
              <w:t>Reserves</w:t>
            </w:r>
          </w:p>
        </w:tc>
        <w:tc>
          <w:tcPr>
            <w:tcW w:w="1119" w:type="dxa"/>
            <w:tcBorders>
              <w:top w:val="single" w:sz="4" w:space="0" w:color="A6A6A6"/>
              <w:bottom w:val="single" w:sz="4" w:space="0" w:color="A6A6A6"/>
            </w:tcBorders>
          </w:tcPr>
          <w:p w14:paraId="3BBFCDF3" w14:textId="77777777" w:rsidR="003E4716" w:rsidRPr="002029AF" w:rsidRDefault="003E4716" w:rsidP="008340C1">
            <w:pPr>
              <w:pStyle w:val="ARfintablebodyright"/>
              <w:rPr>
                <w:lang w:eastAsia="en-GB"/>
              </w:rPr>
            </w:pPr>
            <w:r w:rsidRPr="005D496D">
              <w:t>11,136</w:t>
            </w:r>
          </w:p>
        </w:tc>
        <w:tc>
          <w:tcPr>
            <w:tcW w:w="1125" w:type="dxa"/>
            <w:tcBorders>
              <w:top w:val="single" w:sz="4" w:space="0" w:color="A6A6A6"/>
              <w:bottom w:val="single" w:sz="4" w:space="0" w:color="A6A6A6"/>
            </w:tcBorders>
          </w:tcPr>
          <w:p w14:paraId="484CB2A0" w14:textId="77777777" w:rsidR="003E4716" w:rsidRPr="002029AF" w:rsidRDefault="003E4716" w:rsidP="008340C1">
            <w:pPr>
              <w:pStyle w:val="ARfintablebodyright"/>
              <w:rPr>
                <w:lang w:eastAsia="en-GB"/>
              </w:rPr>
            </w:pPr>
            <w:r w:rsidRPr="005D496D">
              <w:t>10,521</w:t>
            </w:r>
          </w:p>
        </w:tc>
        <w:tc>
          <w:tcPr>
            <w:tcW w:w="1132" w:type="dxa"/>
            <w:tcBorders>
              <w:top w:val="single" w:sz="4" w:space="0" w:color="A6A6A6"/>
              <w:bottom w:val="single" w:sz="4" w:space="0" w:color="A6A6A6"/>
            </w:tcBorders>
          </w:tcPr>
          <w:p w14:paraId="416D8BAD" w14:textId="77777777" w:rsidR="003E4716" w:rsidRPr="002029AF" w:rsidRDefault="003E4716" w:rsidP="008340C1">
            <w:pPr>
              <w:pStyle w:val="ARfintablebodyright"/>
              <w:rPr>
                <w:lang w:eastAsia="en-GB"/>
              </w:rPr>
            </w:pPr>
            <w:r w:rsidRPr="005D496D">
              <w:t>10,540</w:t>
            </w:r>
          </w:p>
        </w:tc>
        <w:tc>
          <w:tcPr>
            <w:tcW w:w="1134" w:type="dxa"/>
            <w:tcBorders>
              <w:top w:val="single" w:sz="4" w:space="0" w:color="A6A6A6"/>
              <w:bottom w:val="single" w:sz="4" w:space="0" w:color="A6A6A6"/>
            </w:tcBorders>
          </w:tcPr>
          <w:p w14:paraId="229446BD" w14:textId="77777777" w:rsidR="003E4716" w:rsidRPr="002029AF" w:rsidRDefault="003E4716" w:rsidP="008340C1">
            <w:pPr>
              <w:pStyle w:val="ARfintablebodyright"/>
              <w:rPr>
                <w:lang w:eastAsia="en-GB"/>
              </w:rPr>
            </w:pPr>
            <w:r w:rsidRPr="005D496D">
              <w:t>5.7</w:t>
            </w:r>
          </w:p>
        </w:tc>
        <w:tc>
          <w:tcPr>
            <w:tcW w:w="722" w:type="dxa"/>
            <w:tcBorders>
              <w:top w:val="single" w:sz="4" w:space="0" w:color="A6A6A6"/>
              <w:bottom w:val="single" w:sz="4" w:space="0" w:color="A6A6A6"/>
            </w:tcBorders>
          </w:tcPr>
          <w:p w14:paraId="2D6A80CD" w14:textId="77777777" w:rsidR="003E4716" w:rsidRPr="002029AF" w:rsidRDefault="003E4716" w:rsidP="008340C1">
            <w:pPr>
              <w:pStyle w:val="ARfintablebodycentre"/>
            </w:pPr>
          </w:p>
        </w:tc>
      </w:tr>
      <w:tr w:rsidR="003E4716" w:rsidRPr="002029AF" w14:paraId="027A0A46" w14:textId="77777777" w:rsidTr="00286C94">
        <w:tc>
          <w:tcPr>
            <w:tcW w:w="4407" w:type="dxa"/>
            <w:tcBorders>
              <w:top w:val="single" w:sz="4" w:space="0" w:color="A6A6A6"/>
            </w:tcBorders>
            <w:hideMark/>
          </w:tcPr>
          <w:p w14:paraId="37C07AE1" w14:textId="77777777" w:rsidR="003E4716" w:rsidRPr="002029AF" w:rsidRDefault="003E4716" w:rsidP="008340C1">
            <w:pPr>
              <w:pStyle w:val="ARfintablebody"/>
              <w:rPr>
                <w:lang w:eastAsia="en-GB"/>
              </w:rPr>
            </w:pPr>
            <w:r w:rsidRPr="005D496D">
              <w:t>Contributed capital</w:t>
            </w:r>
          </w:p>
        </w:tc>
        <w:tc>
          <w:tcPr>
            <w:tcW w:w="1119" w:type="dxa"/>
            <w:tcBorders>
              <w:top w:val="single" w:sz="4" w:space="0" w:color="A6A6A6"/>
            </w:tcBorders>
            <w:hideMark/>
          </w:tcPr>
          <w:p w14:paraId="6E36CA8C" w14:textId="77777777" w:rsidR="003E4716" w:rsidRPr="002029AF" w:rsidRDefault="003E4716" w:rsidP="008340C1">
            <w:pPr>
              <w:pStyle w:val="ARfintablebodyright"/>
              <w:rPr>
                <w:lang w:eastAsia="en-GB"/>
              </w:rPr>
            </w:pPr>
            <w:r w:rsidRPr="005D496D">
              <w:t>5,070</w:t>
            </w:r>
          </w:p>
        </w:tc>
        <w:tc>
          <w:tcPr>
            <w:tcW w:w="1125" w:type="dxa"/>
            <w:tcBorders>
              <w:top w:val="single" w:sz="4" w:space="0" w:color="A6A6A6"/>
            </w:tcBorders>
          </w:tcPr>
          <w:p w14:paraId="470561A2" w14:textId="77777777" w:rsidR="003E4716" w:rsidRPr="002029AF" w:rsidRDefault="003E4716" w:rsidP="008340C1">
            <w:pPr>
              <w:pStyle w:val="ARfintablebodyright"/>
              <w:rPr>
                <w:lang w:eastAsia="en-GB"/>
              </w:rPr>
            </w:pPr>
            <w:r w:rsidRPr="005D496D">
              <w:t>5,442</w:t>
            </w:r>
          </w:p>
        </w:tc>
        <w:tc>
          <w:tcPr>
            <w:tcW w:w="1132" w:type="dxa"/>
            <w:tcBorders>
              <w:top w:val="single" w:sz="4" w:space="0" w:color="A6A6A6"/>
            </w:tcBorders>
            <w:hideMark/>
          </w:tcPr>
          <w:p w14:paraId="347F5899" w14:textId="77777777" w:rsidR="003E4716" w:rsidRPr="002029AF" w:rsidRDefault="003E4716" w:rsidP="008340C1">
            <w:pPr>
              <w:pStyle w:val="ARfintablebodyright"/>
              <w:rPr>
                <w:lang w:eastAsia="en-GB"/>
              </w:rPr>
            </w:pPr>
            <w:r w:rsidRPr="005D496D">
              <w:t>5,154</w:t>
            </w:r>
          </w:p>
        </w:tc>
        <w:tc>
          <w:tcPr>
            <w:tcW w:w="1134" w:type="dxa"/>
            <w:tcBorders>
              <w:top w:val="single" w:sz="4" w:space="0" w:color="A6A6A6"/>
            </w:tcBorders>
            <w:hideMark/>
          </w:tcPr>
          <w:p w14:paraId="1476A9C5" w14:textId="77777777" w:rsidR="003E4716" w:rsidRPr="002029AF" w:rsidRDefault="003E4716" w:rsidP="008340C1">
            <w:pPr>
              <w:pStyle w:val="ARfintablebodyright"/>
              <w:rPr>
                <w:lang w:eastAsia="en-GB"/>
              </w:rPr>
            </w:pPr>
            <w:r w:rsidRPr="005D496D">
              <w:t>(1.6)</w:t>
            </w:r>
          </w:p>
        </w:tc>
        <w:tc>
          <w:tcPr>
            <w:tcW w:w="722" w:type="dxa"/>
            <w:tcBorders>
              <w:top w:val="single" w:sz="4" w:space="0" w:color="A6A6A6"/>
            </w:tcBorders>
            <w:hideMark/>
          </w:tcPr>
          <w:p w14:paraId="275BA949" w14:textId="77777777" w:rsidR="003E4716" w:rsidRPr="002029AF" w:rsidRDefault="003E4716" w:rsidP="008340C1">
            <w:pPr>
              <w:pStyle w:val="ARfintablebodycentre"/>
            </w:pPr>
          </w:p>
        </w:tc>
      </w:tr>
      <w:tr w:rsidR="003E4716" w:rsidRPr="002029AF" w14:paraId="7C265D4B" w14:textId="77777777" w:rsidTr="00286C94">
        <w:tc>
          <w:tcPr>
            <w:tcW w:w="4407" w:type="dxa"/>
            <w:hideMark/>
          </w:tcPr>
          <w:p w14:paraId="1EE8CE1D" w14:textId="77777777" w:rsidR="003E4716" w:rsidRPr="002029AF" w:rsidRDefault="003E4716" w:rsidP="008340C1">
            <w:pPr>
              <w:pStyle w:val="ARfintablebodybold"/>
              <w:rPr>
                <w:lang w:eastAsia="en-GB"/>
              </w:rPr>
            </w:pPr>
            <w:r w:rsidRPr="005D496D">
              <w:t>Total equity</w:t>
            </w:r>
          </w:p>
        </w:tc>
        <w:tc>
          <w:tcPr>
            <w:tcW w:w="1119" w:type="dxa"/>
            <w:hideMark/>
          </w:tcPr>
          <w:p w14:paraId="6437E83B" w14:textId="77777777" w:rsidR="003E4716" w:rsidRPr="002029AF" w:rsidRDefault="003E4716" w:rsidP="008340C1">
            <w:pPr>
              <w:pStyle w:val="ARfintablebodyrightbold"/>
              <w:rPr>
                <w:lang w:eastAsia="en-GB"/>
              </w:rPr>
            </w:pPr>
            <w:r w:rsidRPr="005D496D">
              <w:t>21,372</w:t>
            </w:r>
          </w:p>
        </w:tc>
        <w:tc>
          <w:tcPr>
            <w:tcW w:w="1125" w:type="dxa"/>
          </w:tcPr>
          <w:p w14:paraId="4FD50B08" w14:textId="77777777" w:rsidR="003E4716" w:rsidRPr="002029AF" w:rsidRDefault="003E4716" w:rsidP="008340C1">
            <w:pPr>
              <w:pStyle w:val="ARfintablebodyrightbold"/>
              <w:rPr>
                <w:lang w:eastAsia="en-GB"/>
              </w:rPr>
            </w:pPr>
            <w:r w:rsidRPr="005D496D">
              <w:t>19,532</w:t>
            </w:r>
          </w:p>
        </w:tc>
        <w:tc>
          <w:tcPr>
            <w:tcW w:w="1132" w:type="dxa"/>
            <w:hideMark/>
          </w:tcPr>
          <w:p w14:paraId="3B150574" w14:textId="77777777" w:rsidR="003E4716" w:rsidRPr="002029AF" w:rsidRDefault="003E4716" w:rsidP="008340C1">
            <w:pPr>
              <w:pStyle w:val="ARfintablebodyrightbold"/>
              <w:rPr>
                <w:lang w:eastAsia="en-GB"/>
              </w:rPr>
            </w:pPr>
            <w:r w:rsidRPr="005D496D">
              <w:t>19,355</w:t>
            </w:r>
          </w:p>
        </w:tc>
        <w:tc>
          <w:tcPr>
            <w:tcW w:w="1134" w:type="dxa"/>
            <w:hideMark/>
          </w:tcPr>
          <w:p w14:paraId="307EFAEC" w14:textId="77777777" w:rsidR="003E4716" w:rsidRPr="002029AF" w:rsidRDefault="003E4716" w:rsidP="008340C1">
            <w:pPr>
              <w:pStyle w:val="ARfintablebodyrightbold"/>
              <w:rPr>
                <w:lang w:eastAsia="en-GB"/>
              </w:rPr>
            </w:pPr>
            <w:r w:rsidRPr="005D496D">
              <w:t>10.4</w:t>
            </w:r>
          </w:p>
        </w:tc>
        <w:tc>
          <w:tcPr>
            <w:tcW w:w="722" w:type="dxa"/>
            <w:hideMark/>
          </w:tcPr>
          <w:p w14:paraId="126D0A07" w14:textId="77777777" w:rsidR="003E4716" w:rsidRPr="002029AF" w:rsidRDefault="003E4716" w:rsidP="008340C1">
            <w:pPr>
              <w:pStyle w:val="ARfintablebodycentre"/>
            </w:pPr>
          </w:p>
        </w:tc>
      </w:tr>
    </w:tbl>
    <w:p w14:paraId="66D613A2" w14:textId="77777777" w:rsidR="003E4716" w:rsidRDefault="003E4716" w:rsidP="00817CFB">
      <w:pPr>
        <w:pStyle w:val="ARtablefootnotealpha"/>
        <w:numPr>
          <w:ilvl w:val="0"/>
          <w:numId w:val="25"/>
        </w:numPr>
      </w:pPr>
      <w:r>
        <w:t>Cash and deposits are higher than budget mainly due to capital funding received in advance with lower than expected capital expenditure during the year, as well as additional COVID-19 funding.</w:t>
      </w:r>
    </w:p>
    <w:p w14:paraId="3DBC24C3" w14:textId="77777777" w:rsidR="003E4716" w:rsidRDefault="003E4716" w:rsidP="008340C1">
      <w:pPr>
        <w:pStyle w:val="ARtablefootnotealpha"/>
      </w:pPr>
      <w:r>
        <w:t>Receivables mainly reflects expected revenue from the Commonwealth, via the National Health Funding Pool, and reimbursement of shared service costs from the Department of Families, Fairness and Housing.</w:t>
      </w:r>
    </w:p>
    <w:p w14:paraId="75DB30CB" w14:textId="13A406E9" w:rsidR="003E4716" w:rsidRPr="00C51B56" w:rsidRDefault="003E4716" w:rsidP="008340C1">
      <w:pPr>
        <w:pStyle w:val="ARtablefootnotealpha"/>
      </w:pPr>
      <w:r>
        <w:t>Inventories on hand as at 30 June 2022 relate to consumables such as personal protective equipment and rapid antigen test</w:t>
      </w:r>
      <w:r w:rsidR="00F47A95">
        <w:t xml:space="preserve"> kit</w:t>
      </w:r>
      <w:r>
        <w:t>s purchased in response to the COVID-19 pandemic and not yet consumed.</w:t>
      </w:r>
    </w:p>
    <w:p w14:paraId="74EBC16C" w14:textId="77777777" w:rsidR="003E4716" w:rsidRDefault="003E4716" w:rsidP="00EF10EA">
      <w:pPr>
        <w:pStyle w:val="Heading3"/>
      </w:pPr>
      <w:r w:rsidRPr="00A13347">
        <w:t>Statement of cash flows for the financial year ended 30</w:t>
      </w:r>
      <w:r>
        <w:t xml:space="preserve"> </w:t>
      </w:r>
      <w:r w:rsidRPr="00A13347">
        <w:t>June</w:t>
      </w:r>
      <w:r>
        <w:t xml:space="preserve"> </w:t>
      </w:r>
      <w:r w:rsidRPr="00A13347">
        <w:t>202</w:t>
      </w:r>
      <w:bookmarkEnd w:id="668"/>
      <w:r>
        <w:t>2</w:t>
      </w:r>
    </w:p>
    <w:tbl>
      <w:tblPr>
        <w:tblStyle w:val="TableGrid"/>
        <w:tblW w:w="9639" w:type="dxa"/>
        <w:tblLook w:val="06A0" w:firstRow="1" w:lastRow="0" w:firstColumn="1" w:lastColumn="0" w:noHBand="1" w:noVBand="1"/>
      </w:tblPr>
      <w:tblGrid>
        <w:gridCol w:w="5103"/>
        <w:gridCol w:w="1134"/>
        <w:gridCol w:w="1134"/>
        <w:gridCol w:w="1134"/>
        <w:gridCol w:w="1134"/>
      </w:tblGrid>
      <w:tr w:rsidR="003E4716" w:rsidRPr="002029AF" w14:paraId="4F646165" w14:textId="77777777" w:rsidTr="00286C94">
        <w:trPr>
          <w:cnfStyle w:val="100000000000" w:firstRow="1" w:lastRow="0" w:firstColumn="0" w:lastColumn="0" w:oddVBand="0" w:evenVBand="0" w:oddHBand="0" w:evenHBand="0" w:firstRowFirstColumn="0" w:firstRowLastColumn="0" w:lastRowFirstColumn="0" w:lastRowLastColumn="0"/>
          <w:tblHeader/>
        </w:trPr>
        <w:tc>
          <w:tcPr>
            <w:tcW w:w="5103" w:type="dxa"/>
            <w:tcBorders>
              <w:bottom w:val="single" w:sz="4" w:space="0" w:color="auto"/>
            </w:tcBorders>
            <w:hideMark/>
          </w:tcPr>
          <w:p w14:paraId="136838CF" w14:textId="77777777" w:rsidR="003E4716" w:rsidRPr="002029AF" w:rsidRDefault="003E4716" w:rsidP="008340C1">
            <w:pPr>
              <w:pStyle w:val="ARfintablebody"/>
              <w:rPr>
                <w:lang w:eastAsia="en-GB"/>
              </w:rPr>
            </w:pPr>
            <w:bookmarkStart w:id="669" w:name="_Toc85121580"/>
          </w:p>
        </w:tc>
        <w:tc>
          <w:tcPr>
            <w:tcW w:w="1134" w:type="dxa"/>
            <w:tcBorders>
              <w:bottom w:val="single" w:sz="4" w:space="0" w:color="auto"/>
            </w:tcBorders>
            <w:hideMark/>
          </w:tcPr>
          <w:p w14:paraId="20581852" w14:textId="77777777" w:rsidR="003E4716" w:rsidRPr="002029AF" w:rsidRDefault="003E4716" w:rsidP="008340C1">
            <w:pPr>
              <w:pStyle w:val="ARfintablecolheadright"/>
            </w:pPr>
            <w:r>
              <w:t>2021–22</w:t>
            </w:r>
          </w:p>
          <w:p w14:paraId="6EA9C153" w14:textId="77777777" w:rsidR="003E4716" w:rsidRPr="002029AF" w:rsidRDefault="003E4716" w:rsidP="008340C1">
            <w:pPr>
              <w:pStyle w:val="ARfintablecolheadright"/>
            </w:pPr>
            <w:r w:rsidRPr="002029AF">
              <w:t>Actual</w:t>
            </w:r>
          </w:p>
          <w:p w14:paraId="016A8E8F" w14:textId="77777777" w:rsidR="003E4716" w:rsidRPr="002029AF" w:rsidRDefault="003E4716" w:rsidP="008340C1">
            <w:pPr>
              <w:pStyle w:val="ARfintablecolheadright"/>
            </w:pPr>
            <w:r w:rsidRPr="002029AF">
              <w:t>$M</w:t>
            </w:r>
          </w:p>
        </w:tc>
        <w:tc>
          <w:tcPr>
            <w:tcW w:w="1134" w:type="dxa"/>
            <w:tcBorders>
              <w:bottom w:val="single" w:sz="4" w:space="0" w:color="auto"/>
            </w:tcBorders>
          </w:tcPr>
          <w:p w14:paraId="6FEBABBC" w14:textId="77777777" w:rsidR="003E4716" w:rsidRPr="002029AF" w:rsidRDefault="003E4716" w:rsidP="008340C1">
            <w:pPr>
              <w:pStyle w:val="ARfintablecolheadright"/>
            </w:pPr>
            <w:r>
              <w:t>2021–22</w:t>
            </w:r>
          </w:p>
          <w:p w14:paraId="3F283672" w14:textId="77777777" w:rsidR="003E4716" w:rsidRPr="002029AF" w:rsidRDefault="003E4716" w:rsidP="008340C1">
            <w:pPr>
              <w:pStyle w:val="ARfintablecolheadright"/>
            </w:pPr>
            <w:r>
              <w:t>Revised</w:t>
            </w:r>
            <w:r w:rsidRPr="002029AF">
              <w:t xml:space="preserve"> budget</w:t>
            </w:r>
          </w:p>
          <w:p w14:paraId="04BD8F0E" w14:textId="77777777" w:rsidR="003E4716" w:rsidRPr="002029AF" w:rsidRDefault="003E4716" w:rsidP="008340C1">
            <w:pPr>
              <w:pStyle w:val="ARfintablecolheadright"/>
            </w:pPr>
            <w:r w:rsidRPr="002029AF">
              <w:t>$M</w:t>
            </w:r>
          </w:p>
        </w:tc>
        <w:tc>
          <w:tcPr>
            <w:tcW w:w="1134" w:type="dxa"/>
            <w:tcBorders>
              <w:bottom w:val="single" w:sz="4" w:space="0" w:color="auto"/>
            </w:tcBorders>
            <w:hideMark/>
          </w:tcPr>
          <w:p w14:paraId="7725C52E" w14:textId="77777777" w:rsidR="003E4716" w:rsidRPr="002029AF" w:rsidRDefault="003E4716" w:rsidP="008340C1">
            <w:pPr>
              <w:pStyle w:val="ARfintablecolheadright"/>
            </w:pPr>
            <w:r>
              <w:t>2021–22</w:t>
            </w:r>
          </w:p>
          <w:p w14:paraId="7F0A5F48" w14:textId="77777777" w:rsidR="003E4716" w:rsidRPr="002029AF" w:rsidRDefault="003E4716" w:rsidP="008340C1">
            <w:pPr>
              <w:pStyle w:val="ARfintablecolheadright"/>
            </w:pPr>
            <w:r w:rsidRPr="002029AF">
              <w:t>Published budget</w:t>
            </w:r>
          </w:p>
          <w:p w14:paraId="4BF64AD0" w14:textId="77777777" w:rsidR="003E4716" w:rsidRPr="002029AF" w:rsidRDefault="003E4716" w:rsidP="008340C1">
            <w:pPr>
              <w:pStyle w:val="ARfintablecolheadright"/>
            </w:pPr>
            <w:r w:rsidRPr="002029AF">
              <w:t>$M</w:t>
            </w:r>
          </w:p>
        </w:tc>
        <w:tc>
          <w:tcPr>
            <w:tcW w:w="1134" w:type="dxa"/>
            <w:tcBorders>
              <w:bottom w:val="single" w:sz="4" w:space="0" w:color="auto"/>
            </w:tcBorders>
            <w:noWrap/>
            <w:hideMark/>
          </w:tcPr>
          <w:p w14:paraId="42A0D891" w14:textId="77777777" w:rsidR="003E4716" w:rsidRPr="002029AF" w:rsidRDefault="003E4716" w:rsidP="008340C1">
            <w:pPr>
              <w:pStyle w:val="ARfintablecolheadright"/>
            </w:pPr>
            <w:r w:rsidRPr="002029AF">
              <w:t>Variation to published budget</w:t>
            </w:r>
          </w:p>
          <w:p w14:paraId="2FA105B3" w14:textId="77777777" w:rsidR="003E4716" w:rsidRPr="002029AF" w:rsidRDefault="003E4716" w:rsidP="008340C1">
            <w:pPr>
              <w:pStyle w:val="ARfintablecolheadright"/>
              <w:rPr>
                <w:rFonts w:ascii="Calibri" w:hAnsi="Calibri" w:cs="Calibri"/>
                <w:sz w:val="22"/>
                <w:szCs w:val="22"/>
              </w:rPr>
            </w:pPr>
            <w:r w:rsidRPr="002029AF">
              <w:t>%</w:t>
            </w:r>
          </w:p>
        </w:tc>
      </w:tr>
      <w:tr w:rsidR="003E4716" w:rsidRPr="002029AF" w14:paraId="6AC517B9" w14:textId="77777777" w:rsidTr="00286C94">
        <w:trPr>
          <w:cantSplit w:val="0"/>
        </w:trPr>
        <w:tc>
          <w:tcPr>
            <w:tcW w:w="9639" w:type="dxa"/>
            <w:gridSpan w:val="5"/>
            <w:tcBorders>
              <w:top w:val="single" w:sz="4" w:space="0" w:color="auto"/>
              <w:bottom w:val="single" w:sz="4" w:space="0" w:color="A6A6A6"/>
            </w:tcBorders>
          </w:tcPr>
          <w:p w14:paraId="58F93077" w14:textId="77777777" w:rsidR="003E4716" w:rsidRPr="002029AF" w:rsidRDefault="003E4716" w:rsidP="008340C1">
            <w:pPr>
              <w:pStyle w:val="ARfintablebodybold"/>
              <w:rPr>
                <w:lang w:eastAsia="en-GB"/>
              </w:rPr>
            </w:pPr>
            <w:r w:rsidRPr="00B949DD">
              <w:t>Cash flows from operating activities</w:t>
            </w:r>
          </w:p>
        </w:tc>
      </w:tr>
      <w:tr w:rsidR="003E4716" w:rsidRPr="002029AF" w14:paraId="0403B2BA" w14:textId="77777777" w:rsidTr="00286C94">
        <w:trPr>
          <w:cantSplit w:val="0"/>
        </w:trPr>
        <w:tc>
          <w:tcPr>
            <w:tcW w:w="9639" w:type="dxa"/>
            <w:gridSpan w:val="5"/>
            <w:tcBorders>
              <w:top w:val="single" w:sz="4" w:space="0" w:color="A6A6A6"/>
              <w:bottom w:val="single" w:sz="4" w:space="0" w:color="A6A6A6"/>
            </w:tcBorders>
          </w:tcPr>
          <w:p w14:paraId="262C13E3" w14:textId="77777777" w:rsidR="003E4716" w:rsidRPr="002029AF" w:rsidRDefault="003E4716" w:rsidP="008340C1">
            <w:pPr>
              <w:pStyle w:val="ARfintablebodybold"/>
              <w:rPr>
                <w:lang w:eastAsia="en-GB"/>
              </w:rPr>
            </w:pPr>
            <w:r w:rsidRPr="00B949DD">
              <w:t>Receipts</w:t>
            </w:r>
          </w:p>
        </w:tc>
      </w:tr>
      <w:tr w:rsidR="003E4716" w:rsidRPr="002029AF" w14:paraId="0DEF666E" w14:textId="77777777" w:rsidTr="00286C94">
        <w:trPr>
          <w:cantSplit w:val="0"/>
        </w:trPr>
        <w:tc>
          <w:tcPr>
            <w:tcW w:w="5103" w:type="dxa"/>
            <w:tcBorders>
              <w:top w:val="single" w:sz="4" w:space="0" w:color="A6A6A6"/>
              <w:bottom w:val="single" w:sz="4" w:space="0" w:color="A6A6A6"/>
            </w:tcBorders>
            <w:hideMark/>
          </w:tcPr>
          <w:p w14:paraId="1CEC3315" w14:textId="77777777" w:rsidR="003E4716" w:rsidRPr="002029AF" w:rsidRDefault="003E4716" w:rsidP="008340C1">
            <w:pPr>
              <w:pStyle w:val="ARfintablebody"/>
              <w:rPr>
                <w:lang w:eastAsia="en-GB"/>
              </w:rPr>
            </w:pPr>
            <w:r w:rsidRPr="00B949DD">
              <w:t>Receipts from government</w:t>
            </w:r>
          </w:p>
        </w:tc>
        <w:tc>
          <w:tcPr>
            <w:tcW w:w="1134" w:type="dxa"/>
            <w:tcBorders>
              <w:top w:val="single" w:sz="4" w:space="0" w:color="A6A6A6"/>
              <w:bottom w:val="single" w:sz="4" w:space="0" w:color="A6A6A6"/>
            </w:tcBorders>
            <w:hideMark/>
          </w:tcPr>
          <w:p w14:paraId="2C70783C" w14:textId="77777777" w:rsidR="003E4716" w:rsidRPr="002029AF" w:rsidRDefault="003E4716" w:rsidP="008340C1">
            <w:pPr>
              <w:pStyle w:val="ARfintablebodyright"/>
              <w:rPr>
                <w:lang w:eastAsia="en-GB"/>
              </w:rPr>
            </w:pPr>
            <w:r w:rsidRPr="00B949DD">
              <w:t>19,508</w:t>
            </w:r>
          </w:p>
        </w:tc>
        <w:tc>
          <w:tcPr>
            <w:tcW w:w="1134" w:type="dxa"/>
            <w:tcBorders>
              <w:top w:val="single" w:sz="4" w:space="0" w:color="A6A6A6"/>
              <w:bottom w:val="single" w:sz="4" w:space="0" w:color="A6A6A6"/>
            </w:tcBorders>
          </w:tcPr>
          <w:p w14:paraId="71C153D6" w14:textId="77777777" w:rsidR="003E4716" w:rsidRPr="002029AF" w:rsidRDefault="003E4716" w:rsidP="008340C1">
            <w:pPr>
              <w:pStyle w:val="ARfintablebodyright"/>
              <w:rPr>
                <w:lang w:eastAsia="en-GB"/>
              </w:rPr>
            </w:pPr>
            <w:r w:rsidRPr="00B949DD">
              <w:t>17,909</w:t>
            </w:r>
          </w:p>
        </w:tc>
        <w:tc>
          <w:tcPr>
            <w:tcW w:w="1134" w:type="dxa"/>
            <w:tcBorders>
              <w:top w:val="single" w:sz="4" w:space="0" w:color="A6A6A6"/>
              <w:bottom w:val="single" w:sz="4" w:space="0" w:color="A6A6A6"/>
            </w:tcBorders>
            <w:hideMark/>
          </w:tcPr>
          <w:p w14:paraId="20BA21DE" w14:textId="77777777" w:rsidR="003E4716" w:rsidRPr="002029AF" w:rsidRDefault="003E4716" w:rsidP="008340C1">
            <w:pPr>
              <w:pStyle w:val="ARfintablebodyright"/>
              <w:rPr>
                <w:lang w:eastAsia="en-GB"/>
              </w:rPr>
            </w:pPr>
            <w:r w:rsidRPr="00B949DD">
              <w:t>15,599</w:t>
            </w:r>
          </w:p>
        </w:tc>
        <w:tc>
          <w:tcPr>
            <w:tcW w:w="1134" w:type="dxa"/>
            <w:tcBorders>
              <w:top w:val="single" w:sz="4" w:space="0" w:color="A6A6A6"/>
              <w:bottom w:val="single" w:sz="4" w:space="0" w:color="A6A6A6"/>
            </w:tcBorders>
            <w:hideMark/>
          </w:tcPr>
          <w:p w14:paraId="1FB2157F" w14:textId="77777777" w:rsidR="003E4716" w:rsidRPr="002029AF" w:rsidRDefault="003E4716" w:rsidP="008340C1">
            <w:pPr>
              <w:pStyle w:val="ARfintablebodyright"/>
              <w:rPr>
                <w:lang w:eastAsia="en-GB"/>
              </w:rPr>
            </w:pPr>
            <w:r w:rsidRPr="00B949DD">
              <w:t>25.1</w:t>
            </w:r>
          </w:p>
        </w:tc>
      </w:tr>
      <w:tr w:rsidR="003E4716" w:rsidRPr="002029AF" w14:paraId="38A1F7D0" w14:textId="77777777" w:rsidTr="00286C94">
        <w:trPr>
          <w:cantSplit w:val="0"/>
        </w:trPr>
        <w:tc>
          <w:tcPr>
            <w:tcW w:w="5103" w:type="dxa"/>
            <w:tcBorders>
              <w:top w:val="single" w:sz="4" w:space="0" w:color="A6A6A6"/>
              <w:bottom w:val="single" w:sz="4" w:space="0" w:color="A6A6A6"/>
            </w:tcBorders>
            <w:hideMark/>
          </w:tcPr>
          <w:p w14:paraId="343953C4" w14:textId="77777777" w:rsidR="003E4716" w:rsidRPr="002029AF" w:rsidRDefault="003E4716" w:rsidP="008340C1">
            <w:pPr>
              <w:pStyle w:val="ARfintablebody"/>
              <w:rPr>
                <w:lang w:eastAsia="en-GB"/>
              </w:rPr>
            </w:pPr>
            <w:r w:rsidRPr="00B949DD">
              <w:t>Receipts from other entities</w:t>
            </w:r>
          </w:p>
        </w:tc>
        <w:tc>
          <w:tcPr>
            <w:tcW w:w="1134" w:type="dxa"/>
            <w:tcBorders>
              <w:top w:val="single" w:sz="4" w:space="0" w:color="A6A6A6"/>
              <w:bottom w:val="single" w:sz="4" w:space="0" w:color="A6A6A6"/>
            </w:tcBorders>
            <w:hideMark/>
          </w:tcPr>
          <w:p w14:paraId="164F5CD3" w14:textId="77777777" w:rsidR="003E4716" w:rsidRPr="002029AF" w:rsidRDefault="003E4716" w:rsidP="008340C1">
            <w:pPr>
              <w:pStyle w:val="ARfintablebodyright"/>
              <w:rPr>
                <w:lang w:eastAsia="en-GB"/>
              </w:rPr>
            </w:pPr>
            <w:r w:rsidRPr="00B949DD">
              <w:t>10,140</w:t>
            </w:r>
          </w:p>
        </w:tc>
        <w:tc>
          <w:tcPr>
            <w:tcW w:w="1134" w:type="dxa"/>
            <w:tcBorders>
              <w:top w:val="single" w:sz="4" w:space="0" w:color="A6A6A6"/>
              <w:bottom w:val="single" w:sz="4" w:space="0" w:color="A6A6A6"/>
            </w:tcBorders>
          </w:tcPr>
          <w:p w14:paraId="7DA8BD3A" w14:textId="77777777" w:rsidR="003E4716" w:rsidRPr="002029AF" w:rsidRDefault="003E4716" w:rsidP="008340C1">
            <w:pPr>
              <w:pStyle w:val="ARfintablebodyright"/>
              <w:rPr>
                <w:lang w:eastAsia="en-GB"/>
              </w:rPr>
            </w:pPr>
            <w:r w:rsidRPr="00B949DD">
              <w:t>9,607</w:t>
            </w:r>
          </w:p>
        </w:tc>
        <w:tc>
          <w:tcPr>
            <w:tcW w:w="1134" w:type="dxa"/>
            <w:tcBorders>
              <w:top w:val="single" w:sz="4" w:space="0" w:color="A6A6A6"/>
              <w:bottom w:val="single" w:sz="4" w:space="0" w:color="A6A6A6"/>
            </w:tcBorders>
            <w:hideMark/>
          </w:tcPr>
          <w:p w14:paraId="4D704B36" w14:textId="77777777" w:rsidR="003E4716" w:rsidRPr="002029AF" w:rsidRDefault="003E4716" w:rsidP="008340C1">
            <w:pPr>
              <w:pStyle w:val="ARfintablebodyright"/>
              <w:rPr>
                <w:lang w:eastAsia="en-GB"/>
              </w:rPr>
            </w:pPr>
            <w:r w:rsidRPr="00B949DD">
              <w:t>8,668</w:t>
            </w:r>
          </w:p>
        </w:tc>
        <w:tc>
          <w:tcPr>
            <w:tcW w:w="1134" w:type="dxa"/>
            <w:tcBorders>
              <w:top w:val="single" w:sz="4" w:space="0" w:color="A6A6A6"/>
              <w:bottom w:val="single" w:sz="4" w:space="0" w:color="A6A6A6"/>
            </w:tcBorders>
            <w:hideMark/>
          </w:tcPr>
          <w:p w14:paraId="68023B18" w14:textId="77777777" w:rsidR="003E4716" w:rsidRPr="002029AF" w:rsidRDefault="003E4716" w:rsidP="008340C1">
            <w:pPr>
              <w:pStyle w:val="ARfintablebodyright"/>
              <w:rPr>
                <w:lang w:eastAsia="en-GB"/>
              </w:rPr>
            </w:pPr>
            <w:r w:rsidRPr="00B949DD">
              <w:t>17.0</w:t>
            </w:r>
          </w:p>
        </w:tc>
      </w:tr>
      <w:tr w:rsidR="003E4716" w:rsidRPr="002029AF" w14:paraId="29442D16" w14:textId="77777777" w:rsidTr="00286C94">
        <w:trPr>
          <w:cantSplit w:val="0"/>
        </w:trPr>
        <w:tc>
          <w:tcPr>
            <w:tcW w:w="5103" w:type="dxa"/>
            <w:tcBorders>
              <w:top w:val="single" w:sz="4" w:space="0" w:color="A6A6A6"/>
              <w:bottom w:val="single" w:sz="4" w:space="0" w:color="A6A6A6"/>
            </w:tcBorders>
          </w:tcPr>
          <w:p w14:paraId="38ACB636" w14:textId="77777777" w:rsidR="003E4716" w:rsidRPr="00D36D1F" w:rsidRDefault="003E4716" w:rsidP="008340C1">
            <w:pPr>
              <w:pStyle w:val="ARfintablebody"/>
            </w:pPr>
            <w:r w:rsidRPr="00B949DD">
              <w:t>Goods and Services Tax recovered from the ATO</w:t>
            </w:r>
          </w:p>
        </w:tc>
        <w:tc>
          <w:tcPr>
            <w:tcW w:w="1134" w:type="dxa"/>
            <w:tcBorders>
              <w:top w:val="single" w:sz="4" w:space="0" w:color="A6A6A6"/>
              <w:bottom w:val="single" w:sz="4" w:space="0" w:color="A6A6A6"/>
            </w:tcBorders>
          </w:tcPr>
          <w:p w14:paraId="54D712AD" w14:textId="77777777" w:rsidR="003E4716" w:rsidRPr="00D36D1F" w:rsidRDefault="003E4716" w:rsidP="008340C1">
            <w:pPr>
              <w:pStyle w:val="ARfintablebodyright"/>
            </w:pPr>
            <w:r w:rsidRPr="00B949DD">
              <w:t>3</w:t>
            </w:r>
          </w:p>
        </w:tc>
        <w:tc>
          <w:tcPr>
            <w:tcW w:w="1134" w:type="dxa"/>
            <w:tcBorders>
              <w:top w:val="single" w:sz="4" w:space="0" w:color="A6A6A6"/>
              <w:bottom w:val="single" w:sz="4" w:space="0" w:color="A6A6A6"/>
            </w:tcBorders>
          </w:tcPr>
          <w:p w14:paraId="59F4679D" w14:textId="77777777" w:rsidR="003E4716" w:rsidRPr="00D36D1F" w:rsidRDefault="003E4716" w:rsidP="008340C1">
            <w:pPr>
              <w:pStyle w:val="ARfintablebodyright"/>
            </w:pPr>
            <w:r w:rsidRPr="00B949DD">
              <w:t>(6)</w:t>
            </w:r>
          </w:p>
        </w:tc>
        <w:tc>
          <w:tcPr>
            <w:tcW w:w="1134" w:type="dxa"/>
            <w:tcBorders>
              <w:top w:val="single" w:sz="4" w:space="0" w:color="A6A6A6"/>
              <w:bottom w:val="single" w:sz="4" w:space="0" w:color="A6A6A6"/>
            </w:tcBorders>
          </w:tcPr>
          <w:p w14:paraId="1037DA0A" w14:textId="77777777" w:rsidR="003E4716" w:rsidRPr="00D36D1F" w:rsidRDefault="003E4716" w:rsidP="008340C1">
            <w:pPr>
              <w:pStyle w:val="ARfintablebodyright"/>
            </w:pPr>
            <w:r w:rsidRPr="00B949DD">
              <w:t>(6)</w:t>
            </w:r>
          </w:p>
        </w:tc>
        <w:tc>
          <w:tcPr>
            <w:tcW w:w="1134" w:type="dxa"/>
            <w:tcBorders>
              <w:top w:val="single" w:sz="4" w:space="0" w:color="A6A6A6"/>
              <w:bottom w:val="single" w:sz="4" w:space="0" w:color="A6A6A6"/>
            </w:tcBorders>
          </w:tcPr>
          <w:p w14:paraId="49B4699B" w14:textId="77777777" w:rsidR="003E4716" w:rsidRPr="00D36D1F" w:rsidRDefault="003E4716" w:rsidP="008340C1">
            <w:pPr>
              <w:pStyle w:val="ARfintablebodyright"/>
            </w:pPr>
            <w:r w:rsidRPr="00B949DD">
              <w:t>(155.0)</w:t>
            </w:r>
          </w:p>
        </w:tc>
      </w:tr>
      <w:tr w:rsidR="003E4716" w:rsidRPr="002029AF" w14:paraId="329CA417" w14:textId="77777777" w:rsidTr="00286C94">
        <w:trPr>
          <w:cantSplit w:val="0"/>
        </w:trPr>
        <w:tc>
          <w:tcPr>
            <w:tcW w:w="5103" w:type="dxa"/>
            <w:tcBorders>
              <w:top w:val="single" w:sz="4" w:space="0" w:color="A6A6A6"/>
              <w:bottom w:val="single" w:sz="4" w:space="0" w:color="A6A6A6"/>
            </w:tcBorders>
          </w:tcPr>
          <w:p w14:paraId="37826D4D" w14:textId="77777777" w:rsidR="003E4716" w:rsidRPr="00D36D1F" w:rsidRDefault="003E4716" w:rsidP="008340C1">
            <w:pPr>
              <w:pStyle w:val="ARfintablebody"/>
            </w:pPr>
            <w:r w:rsidRPr="00B949DD">
              <w:t>Interest received</w:t>
            </w:r>
          </w:p>
        </w:tc>
        <w:tc>
          <w:tcPr>
            <w:tcW w:w="1134" w:type="dxa"/>
            <w:tcBorders>
              <w:top w:val="single" w:sz="4" w:space="0" w:color="A6A6A6"/>
              <w:bottom w:val="single" w:sz="4" w:space="0" w:color="A6A6A6"/>
            </w:tcBorders>
          </w:tcPr>
          <w:p w14:paraId="21A7E151" w14:textId="77777777" w:rsidR="003E4716" w:rsidRPr="00D36D1F" w:rsidRDefault="003E4716" w:rsidP="008340C1">
            <w:pPr>
              <w:pStyle w:val="ARfintablebodyright"/>
            </w:pPr>
            <w:r w:rsidRPr="00B949DD">
              <w:t>19</w:t>
            </w:r>
          </w:p>
        </w:tc>
        <w:tc>
          <w:tcPr>
            <w:tcW w:w="1134" w:type="dxa"/>
            <w:tcBorders>
              <w:top w:val="single" w:sz="4" w:space="0" w:color="A6A6A6"/>
              <w:bottom w:val="single" w:sz="4" w:space="0" w:color="A6A6A6"/>
            </w:tcBorders>
          </w:tcPr>
          <w:p w14:paraId="407B98B2" w14:textId="77777777" w:rsidR="003E4716" w:rsidRPr="00D36D1F" w:rsidRDefault="003E4716" w:rsidP="008340C1">
            <w:pPr>
              <w:pStyle w:val="ARfintablebodyright"/>
            </w:pPr>
            <w:r w:rsidRPr="00B949DD">
              <w:t>16</w:t>
            </w:r>
          </w:p>
        </w:tc>
        <w:tc>
          <w:tcPr>
            <w:tcW w:w="1134" w:type="dxa"/>
            <w:tcBorders>
              <w:top w:val="single" w:sz="4" w:space="0" w:color="A6A6A6"/>
              <w:bottom w:val="single" w:sz="4" w:space="0" w:color="A6A6A6"/>
            </w:tcBorders>
          </w:tcPr>
          <w:p w14:paraId="609DCE50" w14:textId="77777777" w:rsidR="003E4716" w:rsidRPr="00D36D1F" w:rsidRDefault="003E4716" w:rsidP="008340C1">
            <w:pPr>
              <w:pStyle w:val="ARfintablebodyright"/>
            </w:pPr>
            <w:r w:rsidRPr="00B949DD">
              <w:t>47</w:t>
            </w:r>
          </w:p>
        </w:tc>
        <w:tc>
          <w:tcPr>
            <w:tcW w:w="1134" w:type="dxa"/>
            <w:tcBorders>
              <w:top w:val="single" w:sz="4" w:space="0" w:color="A6A6A6"/>
              <w:bottom w:val="single" w:sz="4" w:space="0" w:color="A6A6A6"/>
            </w:tcBorders>
          </w:tcPr>
          <w:p w14:paraId="2100B140" w14:textId="77777777" w:rsidR="003E4716" w:rsidRPr="00D36D1F" w:rsidRDefault="003E4716" w:rsidP="008340C1">
            <w:pPr>
              <w:pStyle w:val="ARfintablebodyright"/>
            </w:pPr>
            <w:r w:rsidRPr="00B949DD">
              <w:t>(60.1)</w:t>
            </w:r>
          </w:p>
        </w:tc>
      </w:tr>
      <w:tr w:rsidR="003E4716" w:rsidRPr="002029AF" w14:paraId="3866D2F9" w14:textId="77777777" w:rsidTr="00286C94">
        <w:trPr>
          <w:cantSplit w:val="0"/>
        </w:trPr>
        <w:tc>
          <w:tcPr>
            <w:tcW w:w="5103" w:type="dxa"/>
            <w:tcBorders>
              <w:top w:val="single" w:sz="4" w:space="0" w:color="A6A6A6"/>
              <w:bottom w:val="single" w:sz="4" w:space="0" w:color="A6A6A6"/>
            </w:tcBorders>
            <w:hideMark/>
          </w:tcPr>
          <w:p w14:paraId="3E4FD6E7" w14:textId="77777777" w:rsidR="003E4716" w:rsidRPr="002029AF" w:rsidRDefault="003E4716" w:rsidP="008340C1">
            <w:pPr>
              <w:pStyle w:val="ARfintablebody"/>
              <w:rPr>
                <w:lang w:eastAsia="en-GB"/>
              </w:rPr>
            </w:pPr>
            <w:r w:rsidRPr="00B949DD">
              <w:t>Dividends received</w:t>
            </w:r>
          </w:p>
        </w:tc>
        <w:tc>
          <w:tcPr>
            <w:tcW w:w="1134" w:type="dxa"/>
            <w:tcBorders>
              <w:top w:val="single" w:sz="4" w:space="0" w:color="A6A6A6"/>
              <w:bottom w:val="single" w:sz="4" w:space="0" w:color="A6A6A6"/>
            </w:tcBorders>
            <w:hideMark/>
          </w:tcPr>
          <w:p w14:paraId="17F43FE0" w14:textId="77777777" w:rsidR="003E4716" w:rsidRPr="002029AF" w:rsidRDefault="003E4716" w:rsidP="008340C1">
            <w:pPr>
              <w:pStyle w:val="ARfintablebodyright"/>
              <w:rPr>
                <w:lang w:eastAsia="en-GB"/>
              </w:rPr>
            </w:pPr>
            <w:r w:rsidRPr="00B949DD">
              <w:t>7</w:t>
            </w:r>
          </w:p>
        </w:tc>
        <w:tc>
          <w:tcPr>
            <w:tcW w:w="1134" w:type="dxa"/>
            <w:tcBorders>
              <w:top w:val="single" w:sz="4" w:space="0" w:color="A6A6A6"/>
              <w:bottom w:val="single" w:sz="4" w:space="0" w:color="A6A6A6"/>
            </w:tcBorders>
          </w:tcPr>
          <w:p w14:paraId="104333B1" w14:textId="77777777" w:rsidR="003E4716" w:rsidRPr="002029AF" w:rsidRDefault="003E4716" w:rsidP="008340C1">
            <w:pPr>
              <w:pStyle w:val="ARfintablebodyright"/>
              <w:rPr>
                <w:lang w:eastAsia="en-GB"/>
              </w:rPr>
            </w:pPr>
            <w:r w:rsidRPr="00B949DD">
              <w:t>8</w:t>
            </w:r>
          </w:p>
        </w:tc>
        <w:tc>
          <w:tcPr>
            <w:tcW w:w="1134" w:type="dxa"/>
            <w:tcBorders>
              <w:top w:val="single" w:sz="4" w:space="0" w:color="A6A6A6"/>
              <w:bottom w:val="single" w:sz="4" w:space="0" w:color="A6A6A6"/>
            </w:tcBorders>
            <w:hideMark/>
          </w:tcPr>
          <w:p w14:paraId="7D22D36E" w14:textId="77777777" w:rsidR="003E4716" w:rsidRPr="002029AF" w:rsidRDefault="003E4716" w:rsidP="008340C1">
            <w:pPr>
              <w:pStyle w:val="ARfintablebodyright"/>
              <w:rPr>
                <w:lang w:eastAsia="en-GB"/>
              </w:rPr>
            </w:pPr>
            <w:r w:rsidRPr="00B949DD">
              <w:t>9</w:t>
            </w:r>
          </w:p>
        </w:tc>
        <w:tc>
          <w:tcPr>
            <w:tcW w:w="1134" w:type="dxa"/>
            <w:tcBorders>
              <w:top w:val="single" w:sz="4" w:space="0" w:color="A6A6A6"/>
              <w:bottom w:val="single" w:sz="4" w:space="0" w:color="A6A6A6"/>
            </w:tcBorders>
            <w:hideMark/>
          </w:tcPr>
          <w:p w14:paraId="3C1623C3" w14:textId="77777777" w:rsidR="003E4716" w:rsidRPr="002029AF" w:rsidRDefault="003E4716" w:rsidP="008340C1">
            <w:pPr>
              <w:pStyle w:val="ARfintablebodyright"/>
              <w:rPr>
                <w:lang w:eastAsia="en-GB"/>
              </w:rPr>
            </w:pPr>
            <w:r w:rsidRPr="00B949DD">
              <w:t>(21.8)</w:t>
            </w:r>
          </w:p>
        </w:tc>
      </w:tr>
      <w:tr w:rsidR="003E4716" w:rsidRPr="002029AF" w14:paraId="3F2D2D64" w14:textId="77777777" w:rsidTr="00286C94">
        <w:trPr>
          <w:cantSplit w:val="0"/>
        </w:trPr>
        <w:tc>
          <w:tcPr>
            <w:tcW w:w="5103" w:type="dxa"/>
            <w:tcBorders>
              <w:top w:val="single" w:sz="4" w:space="0" w:color="A6A6A6"/>
            </w:tcBorders>
            <w:hideMark/>
          </w:tcPr>
          <w:p w14:paraId="5BB859D8" w14:textId="77777777" w:rsidR="003E4716" w:rsidRPr="002029AF" w:rsidRDefault="003E4716" w:rsidP="008340C1">
            <w:pPr>
              <w:pStyle w:val="ARfintablebody"/>
              <w:rPr>
                <w:lang w:eastAsia="en-GB"/>
              </w:rPr>
            </w:pPr>
            <w:r w:rsidRPr="00B949DD">
              <w:t>Other receipts</w:t>
            </w:r>
          </w:p>
        </w:tc>
        <w:tc>
          <w:tcPr>
            <w:tcW w:w="1134" w:type="dxa"/>
            <w:tcBorders>
              <w:top w:val="single" w:sz="4" w:space="0" w:color="A6A6A6"/>
            </w:tcBorders>
            <w:hideMark/>
          </w:tcPr>
          <w:p w14:paraId="4A5BA6EF" w14:textId="77777777" w:rsidR="003E4716" w:rsidRPr="002029AF" w:rsidRDefault="003E4716" w:rsidP="008340C1">
            <w:pPr>
              <w:pStyle w:val="ARfintablebodyright"/>
              <w:rPr>
                <w:lang w:eastAsia="en-GB"/>
              </w:rPr>
            </w:pPr>
            <w:r w:rsidRPr="00B949DD">
              <w:t>517</w:t>
            </w:r>
          </w:p>
        </w:tc>
        <w:tc>
          <w:tcPr>
            <w:tcW w:w="1134" w:type="dxa"/>
            <w:tcBorders>
              <w:top w:val="single" w:sz="4" w:space="0" w:color="A6A6A6"/>
            </w:tcBorders>
          </w:tcPr>
          <w:p w14:paraId="391FF524" w14:textId="77777777" w:rsidR="003E4716" w:rsidRPr="002029AF" w:rsidRDefault="003E4716" w:rsidP="008340C1">
            <w:pPr>
              <w:pStyle w:val="ARfintablebodyright"/>
              <w:rPr>
                <w:lang w:eastAsia="en-GB"/>
              </w:rPr>
            </w:pPr>
            <w:r w:rsidRPr="00B949DD">
              <w:t>858</w:t>
            </w:r>
          </w:p>
        </w:tc>
        <w:tc>
          <w:tcPr>
            <w:tcW w:w="1134" w:type="dxa"/>
            <w:tcBorders>
              <w:top w:val="single" w:sz="4" w:space="0" w:color="A6A6A6"/>
            </w:tcBorders>
            <w:hideMark/>
          </w:tcPr>
          <w:p w14:paraId="1A0C4983" w14:textId="77777777" w:rsidR="003E4716" w:rsidRPr="002029AF" w:rsidRDefault="003E4716" w:rsidP="008340C1">
            <w:pPr>
              <w:pStyle w:val="ARfintablebodyright"/>
              <w:rPr>
                <w:lang w:eastAsia="en-GB"/>
              </w:rPr>
            </w:pPr>
            <w:r w:rsidRPr="00B949DD">
              <w:t>833</w:t>
            </w:r>
          </w:p>
        </w:tc>
        <w:tc>
          <w:tcPr>
            <w:tcW w:w="1134" w:type="dxa"/>
            <w:tcBorders>
              <w:top w:val="single" w:sz="4" w:space="0" w:color="A6A6A6"/>
            </w:tcBorders>
            <w:hideMark/>
          </w:tcPr>
          <w:p w14:paraId="646CDB7D" w14:textId="77777777" w:rsidR="003E4716" w:rsidRPr="002029AF" w:rsidRDefault="003E4716" w:rsidP="008340C1">
            <w:pPr>
              <w:pStyle w:val="ARfintablebodyright"/>
              <w:rPr>
                <w:lang w:eastAsia="en-GB"/>
              </w:rPr>
            </w:pPr>
            <w:r w:rsidRPr="00B949DD">
              <w:t>(37.9)</w:t>
            </w:r>
          </w:p>
        </w:tc>
      </w:tr>
      <w:tr w:rsidR="003E4716" w:rsidRPr="002029AF" w14:paraId="01D32558" w14:textId="77777777" w:rsidTr="00286C94">
        <w:trPr>
          <w:cantSplit w:val="0"/>
        </w:trPr>
        <w:tc>
          <w:tcPr>
            <w:tcW w:w="5103" w:type="dxa"/>
            <w:tcBorders>
              <w:bottom w:val="single" w:sz="4" w:space="0" w:color="auto"/>
            </w:tcBorders>
            <w:hideMark/>
          </w:tcPr>
          <w:p w14:paraId="43332D25" w14:textId="77777777" w:rsidR="003E4716" w:rsidRPr="002029AF" w:rsidRDefault="003E4716" w:rsidP="008340C1">
            <w:pPr>
              <w:pStyle w:val="ARfintablebodybold"/>
              <w:rPr>
                <w:lang w:eastAsia="en-GB"/>
              </w:rPr>
            </w:pPr>
            <w:r w:rsidRPr="00B949DD">
              <w:t>Total receipts</w:t>
            </w:r>
          </w:p>
        </w:tc>
        <w:tc>
          <w:tcPr>
            <w:tcW w:w="1134" w:type="dxa"/>
            <w:tcBorders>
              <w:bottom w:val="single" w:sz="4" w:space="0" w:color="auto"/>
            </w:tcBorders>
            <w:hideMark/>
          </w:tcPr>
          <w:p w14:paraId="1D57B9CA" w14:textId="77777777" w:rsidR="003E4716" w:rsidRPr="002029AF" w:rsidRDefault="003E4716" w:rsidP="008340C1">
            <w:pPr>
              <w:pStyle w:val="ARfintablebodyrightbold"/>
              <w:rPr>
                <w:lang w:eastAsia="en-GB"/>
              </w:rPr>
            </w:pPr>
            <w:r w:rsidRPr="00B949DD">
              <w:t>30,194</w:t>
            </w:r>
          </w:p>
        </w:tc>
        <w:tc>
          <w:tcPr>
            <w:tcW w:w="1134" w:type="dxa"/>
            <w:tcBorders>
              <w:bottom w:val="single" w:sz="4" w:space="0" w:color="auto"/>
            </w:tcBorders>
          </w:tcPr>
          <w:p w14:paraId="497F2996" w14:textId="77777777" w:rsidR="003E4716" w:rsidRPr="002029AF" w:rsidRDefault="003E4716" w:rsidP="008340C1">
            <w:pPr>
              <w:pStyle w:val="ARfintablebodyrightbold"/>
              <w:rPr>
                <w:lang w:eastAsia="en-GB"/>
              </w:rPr>
            </w:pPr>
            <w:r w:rsidRPr="00B949DD">
              <w:t>28,391</w:t>
            </w:r>
          </w:p>
        </w:tc>
        <w:tc>
          <w:tcPr>
            <w:tcW w:w="1134" w:type="dxa"/>
            <w:tcBorders>
              <w:bottom w:val="single" w:sz="4" w:space="0" w:color="auto"/>
            </w:tcBorders>
            <w:hideMark/>
          </w:tcPr>
          <w:p w14:paraId="2E6B49F7" w14:textId="77777777" w:rsidR="003E4716" w:rsidRPr="002029AF" w:rsidRDefault="003E4716" w:rsidP="008340C1">
            <w:pPr>
              <w:pStyle w:val="ARfintablebodyrightbold"/>
              <w:rPr>
                <w:lang w:eastAsia="en-GB"/>
              </w:rPr>
            </w:pPr>
            <w:r w:rsidRPr="00B949DD">
              <w:t>25,150</w:t>
            </w:r>
          </w:p>
        </w:tc>
        <w:tc>
          <w:tcPr>
            <w:tcW w:w="1134" w:type="dxa"/>
            <w:tcBorders>
              <w:bottom w:val="single" w:sz="4" w:space="0" w:color="auto"/>
            </w:tcBorders>
            <w:hideMark/>
          </w:tcPr>
          <w:p w14:paraId="650166D7" w14:textId="77777777" w:rsidR="003E4716" w:rsidRPr="002029AF" w:rsidRDefault="003E4716" w:rsidP="008340C1">
            <w:pPr>
              <w:pStyle w:val="ARfintablebodyrightbold"/>
              <w:rPr>
                <w:lang w:eastAsia="en-GB"/>
              </w:rPr>
            </w:pPr>
            <w:r w:rsidRPr="00B949DD">
              <w:t>20.1</w:t>
            </w:r>
          </w:p>
        </w:tc>
      </w:tr>
      <w:tr w:rsidR="003E4716" w:rsidRPr="002029AF" w14:paraId="368A1403" w14:textId="77777777" w:rsidTr="00286C94">
        <w:trPr>
          <w:cantSplit w:val="0"/>
        </w:trPr>
        <w:tc>
          <w:tcPr>
            <w:tcW w:w="9639" w:type="dxa"/>
            <w:gridSpan w:val="5"/>
            <w:tcBorders>
              <w:top w:val="single" w:sz="4" w:space="0" w:color="auto"/>
              <w:bottom w:val="single" w:sz="4" w:space="0" w:color="A6A6A6"/>
            </w:tcBorders>
          </w:tcPr>
          <w:p w14:paraId="1C4C4F47" w14:textId="77777777" w:rsidR="003E4716" w:rsidRPr="002029AF" w:rsidRDefault="003E4716" w:rsidP="008340C1">
            <w:pPr>
              <w:pStyle w:val="ARfintablebodybold"/>
              <w:rPr>
                <w:lang w:eastAsia="en-GB"/>
              </w:rPr>
            </w:pPr>
            <w:r w:rsidRPr="00B949DD">
              <w:t>Payments</w:t>
            </w:r>
          </w:p>
        </w:tc>
      </w:tr>
      <w:tr w:rsidR="003E4716" w:rsidRPr="002029AF" w14:paraId="4CAAE957" w14:textId="77777777" w:rsidTr="00286C94">
        <w:trPr>
          <w:cantSplit w:val="0"/>
        </w:trPr>
        <w:tc>
          <w:tcPr>
            <w:tcW w:w="5103" w:type="dxa"/>
            <w:tcBorders>
              <w:top w:val="single" w:sz="4" w:space="0" w:color="A6A6A6"/>
              <w:bottom w:val="single" w:sz="4" w:space="0" w:color="A6A6A6"/>
            </w:tcBorders>
            <w:hideMark/>
          </w:tcPr>
          <w:p w14:paraId="6A2E90ED" w14:textId="77777777" w:rsidR="003E4716" w:rsidRPr="002029AF" w:rsidRDefault="003E4716" w:rsidP="008340C1">
            <w:pPr>
              <w:pStyle w:val="ARfintablebody"/>
              <w:rPr>
                <w:lang w:eastAsia="en-GB"/>
              </w:rPr>
            </w:pPr>
            <w:r w:rsidRPr="00B949DD">
              <w:t>Payments of grants and other transfers</w:t>
            </w:r>
          </w:p>
        </w:tc>
        <w:tc>
          <w:tcPr>
            <w:tcW w:w="1134" w:type="dxa"/>
            <w:tcBorders>
              <w:top w:val="single" w:sz="4" w:space="0" w:color="A6A6A6"/>
              <w:bottom w:val="single" w:sz="4" w:space="0" w:color="A6A6A6"/>
            </w:tcBorders>
            <w:hideMark/>
          </w:tcPr>
          <w:p w14:paraId="177ACC23" w14:textId="77777777" w:rsidR="003E4716" w:rsidRPr="002029AF" w:rsidRDefault="003E4716" w:rsidP="008340C1">
            <w:pPr>
              <w:pStyle w:val="ARfintablebodyright"/>
              <w:rPr>
                <w:lang w:eastAsia="en-GB"/>
              </w:rPr>
            </w:pPr>
            <w:r w:rsidRPr="00B949DD">
              <w:t>(1,602)</w:t>
            </w:r>
          </w:p>
        </w:tc>
        <w:tc>
          <w:tcPr>
            <w:tcW w:w="1134" w:type="dxa"/>
            <w:tcBorders>
              <w:top w:val="single" w:sz="4" w:space="0" w:color="A6A6A6"/>
              <w:bottom w:val="single" w:sz="4" w:space="0" w:color="A6A6A6"/>
            </w:tcBorders>
          </w:tcPr>
          <w:p w14:paraId="5CF60DBD" w14:textId="77777777" w:rsidR="003E4716" w:rsidRPr="002029AF" w:rsidRDefault="003E4716" w:rsidP="008340C1">
            <w:pPr>
              <w:pStyle w:val="ARfintablebodyright"/>
              <w:rPr>
                <w:lang w:eastAsia="en-GB"/>
              </w:rPr>
            </w:pPr>
            <w:r w:rsidRPr="00B949DD">
              <w:t>(1,422)</w:t>
            </w:r>
          </w:p>
        </w:tc>
        <w:tc>
          <w:tcPr>
            <w:tcW w:w="1134" w:type="dxa"/>
            <w:tcBorders>
              <w:top w:val="single" w:sz="4" w:space="0" w:color="A6A6A6"/>
              <w:bottom w:val="single" w:sz="4" w:space="0" w:color="A6A6A6"/>
            </w:tcBorders>
            <w:hideMark/>
          </w:tcPr>
          <w:p w14:paraId="667A003F" w14:textId="77777777" w:rsidR="003E4716" w:rsidRPr="002029AF" w:rsidRDefault="003E4716" w:rsidP="008340C1">
            <w:pPr>
              <w:pStyle w:val="ARfintablebodyright"/>
              <w:rPr>
                <w:lang w:eastAsia="en-GB"/>
              </w:rPr>
            </w:pPr>
            <w:r w:rsidRPr="00B949DD">
              <w:t>(1,043)</w:t>
            </w:r>
          </w:p>
        </w:tc>
        <w:tc>
          <w:tcPr>
            <w:tcW w:w="1134" w:type="dxa"/>
            <w:tcBorders>
              <w:top w:val="single" w:sz="4" w:space="0" w:color="A6A6A6"/>
              <w:bottom w:val="single" w:sz="4" w:space="0" w:color="A6A6A6"/>
            </w:tcBorders>
            <w:hideMark/>
          </w:tcPr>
          <w:p w14:paraId="71686300" w14:textId="77777777" w:rsidR="003E4716" w:rsidRPr="002029AF" w:rsidRDefault="003E4716" w:rsidP="008340C1">
            <w:pPr>
              <w:pStyle w:val="ARfintablebodyright"/>
              <w:rPr>
                <w:lang w:eastAsia="en-GB"/>
              </w:rPr>
            </w:pPr>
            <w:r w:rsidRPr="00B949DD">
              <w:t>53.5</w:t>
            </w:r>
          </w:p>
        </w:tc>
      </w:tr>
      <w:tr w:rsidR="003E4716" w:rsidRPr="002029AF" w14:paraId="7D648FBF" w14:textId="77777777" w:rsidTr="00286C94">
        <w:trPr>
          <w:cantSplit w:val="0"/>
        </w:trPr>
        <w:tc>
          <w:tcPr>
            <w:tcW w:w="5103" w:type="dxa"/>
            <w:tcBorders>
              <w:top w:val="single" w:sz="4" w:space="0" w:color="A6A6A6"/>
              <w:bottom w:val="single" w:sz="4" w:space="0" w:color="A6A6A6"/>
            </w:tcBorders>
          </w:tcPr>
          <w:p w14:paraId="53C68F7D" w14:textId="77777777" w:rsidR="003E4716" w:rsidRPr="00D36D1F" w:rsidRDefault="003E4716" w:rsidP="008340C1">
            <w:pPr>
              <w:pStyle w:val="ARfintablebody"/>
            </w:pPr>
            <w:r w:rsidRPr="00B949DD">
              <w:t>Payments to suppliers and employees</w:t>
            </w:r>
          </w:p>
        </w:tc>
        <w:tc>
          <w:tcPr>
            <w:tcW w:w="1134" w:type="dxa"/>
            <w:tcBorders>
              <w:top w:val="single" w:sz="4" w:space="0" w:color="A6A6A6"/>
              <w:bottom w:val="single" w:sz="4" w:space="0" w:color="A6A6A6"/>
            </w:tcBorders>
          </w:tcPr>
          <w:p w14:paraId="037B82EF" w14:textId="77777777" w:rsidR="003E4716" w:rsidRPr="00D36D1F" w:rsidRDefault="003E4716" w:rsidP="008340C1">
            <w:pPr>
              <w:pStyle w:val="ARfintablebodyright"/>
            </w:pPr>
            <w:r w:rsidRPr="00B949DD">
              <w:t>(25,987)</w:t>
            </w:r>
          </w:p>
        </w:tc>
        <w:tc>
          <w:tcPr>
            <w:tcW w:w="1134" w:type="dxa"/>
            <w:tcBorders>
              <w:top w:val="single" w:sz="4" w:space="0" w:color="A6A6A6"/>
              <w:bottom w:val="single" w:sz="4" w:space="0" w:color="A6A6A6"/>
            </w:tcBorders>
          </w:tcPr>
          <w:p w14:paraId="345ABA1B" w14:textId="77777777" w:rsidR="003E4716" w:rsidRPr="00D36D1F" w:rsidRDefault="003E4716" w:rsidP="008340C1">
            <w:pPr>
              <w:pStyle w:val="ARfintablebodyright"/>
            </w:pPr>
            <w:r w:rsidRPr="00B949DD">
              <w:t>(25,747)</w:t>
            </w:r>
          </w:p>
        </w:tc>
        <w:tc>
          <w:tcPr>
            <w:tcW w:w="1134" w:type="dxa"/>
            <w:tcBorders>
              <w:top w:val="single" w:sz="4" w:space="0" w:color="A6A6A6"/>
              <w:bottom w:val="single" w:sz="4" w:space="0" w:color="A6A6A6"/>
            </w:tcBorders>
          </w:tcPr>
          <w:p w14:paraId="17A268E4" w14:textId="77777777" w:rsidR="003E4716" w:rsidRPr="00D36D1F" w:rsidRDefault="003E4716" w:rsidP="008340C1">
            <w:pPr>
              <w:pStyle w:val="ARfintablebodyright"/>
            </w:pPr>
            <w:r w:rsidRPr="00B949DD">
              <w:t>(22,108)</w:t>
            </w:r>
          </w:p>
        </w:tc>
        <w:tc>
          <w:tcPr>
            <w:tcW w:w="1134" w:type="dxa"/>
            <w:tcBorders>
              <w:top w:val="single" w:sz="4" w:space="0" w:color="A6A6A6"/>
              <w:bottom w:val="single" w:sz="4" w:space="0" w:color="A6A6A6"/>
            </w:tcBorders>
          </w:tcPr>
          <w:p w14:paraId="4C9EA674" w14:textId="77777777" w:rsidR="003E4716" w:rsidRPr="00D36D1F" w:rsidRDefault="003E4716" w:rsidP="008340C1">
            <w:pPr>
              <w:pStyle w:val="ARfintablebodyright"/>
            </w:pPr>
            <w:r w:rsidRPr="00B949DD">
              <w:t>17.5</w:t>
            </w:r>
          </w:p>
        </w:tc>
      </w:tr>
      <w:tr w:rsidR="003E4716" w:rsidRPr="002029AF" w14:paraId="5A061505" w14:textId="77777777" w:rsidTr="00286C94">
        <w:trPr>
          <w:cantSplit w:val="0"/>
        </w:trPr>
        <w:tc>
          <w:tcPr>
            <w:tcW w:w="5103" w:type="dxa"/>
            <w:tcBorders>
              <w:top w:val="single" w:sz="4" w:space="0" w:color="A6A6A6"/>
              <w:bottom w:val="single" w:sz="4" w:space="0" w:color="A6A6A6"/>
            </w:tcBorders>
          </w:tcPr>
          <w:p w14:paraId="15EB89E6" w14:textId="77777777" w:rsidR="003E4716" w:rsidRPr="00D36D1F" w:rsidRDefault="003E4716" w:rsidP="008340C1">
            <w:pPr>
              <w:pStyle w:val="ARfintablebody"/>
            </w:pPr>
            <w:r w:rsidRPr="00B949DD">
              <w:t>Goods and Services Tax paid to the ATO</w:t>
            </w:r>
          </w:p>
        </w:tc>
        <w:tc>
          <w:tcPr>
            <w:tcW w:w="1134" w:type="dxa"/>
            <w:tcBorders>
              <w:top w:val="single" w:sz="4" w:space="0" w:color="A6A6A6"/>
              <w:bottom w:val="single" w:sz="4" w:space="0" w:color="A6A6A6"/>
            </w:tcBorders>
          </w:tcPr>
          <w:p w14:paraId="08160B9C" w14:textId="77777777" w:rsidR="003E4716" w:rsidRPr="00D36D1F" w:rsidRDefault="003E4716" w:rsidP="008340C1">
            <w:pPr>
              <w:pStyle w:val="ARfintablebodyright"/>
            </w:pPr>
            <w:r w:rsidRPr="00B949DD">
              <w:t>3</w:t>
            </w:r>
          </w:p>
        </w:tc>
        <w:tc>
          <w:tcPr>
            <w:tcW w:w="1134" w:type="dxa"/>
            <w:tcBorders>
              <w:top w:val="single" w:sz="4" w:space="0" w:color="A6A6A6"/>
              <w:bottom w:val="single" w:sz="4" w:space="0" w:color="A6A6A6"/>
            </w:tcBorders>
          </w:tcPr>
          <w:p w14:paraId="50C804FC" w14:textId="77777777" w:rsidR="003E4716" w:rsidRPr="00D36D1F" w:rsidRDefault="003E4716" w:rsidP="008340C1">
            <w:pPr>
              <w:pStyle w:val="ARfintablebodyright"/>
            </w:pPr>
            <w:r w:rsidRPr="00B949DD">
              <w:t>1</w:t>
            </w:r>
          </w:p>
        </w:tc>
        <w:tc>
          <w:tcPr>
            <w:tcW w:w="1134" w:type="dxa"/>
            <w:tcBorders>
              <w:top w:val="single" w:sz="4" w:space="0" w:color="A6A6A6"/>
              <w:bottom w:val="single" w:sz="4" w:space="0" w:color="A6A6A6"/>
            </w:tcBorders>
          </w:tcPr>
          <w:p w14:paraId="247422EC" w14:textId="77777777" w:rsidR="003E4716" w:rsidRPr="00D36D1F" w:rsidRDefault="003E4716" w:rsidP="008340C1">
            <w:pPr>
              <w:pStyle w:val="ARfintablebodyright"/>
            </w:pPr>
            <w:r w:rsidRPr="00B949DD">
              <w:t>1</w:t>
            </w:r>
          </w:p>
        </w:tc>
        <w:tc>
          <w:tcPr>
            <w:tcW w:w="1134" w:type="dxa"/>
            <w:tcBorders>
              <w:top w:val="single" w:sz="4" w:space="0" w:color="A6A6A6"/>
              <w:bottom w:val="single" w:sz="4" w:space="0" w:color="A6A6A6"/>
            </w:tcBorders>
          </w:tcPr>
          <w:p w14:paraId="166C7661" w14:textId="77777777" w:rsidR="003E4716" w:rsidRPr="00D36D1F" w:rsidRDefault="003E4716" w:rsidP="008340C1">
            <w:pPr>
              <w:pStyle w:val="ARfintablebodyright"/>
            </w:pPr>
            <w:r w:rsidRPr="00B949DD">
              <w:t>559.1</w:t>
            </w:r>
          </w:p>
        </w:tc>
      </w:tr>
      <w:tr w:rsidR="003E4716" w:rsidRPr="002029AF" w14:paraId="170D2854" w14:textId="77777777" w:rsidTr="00286C94">
        <w:trPr>
          <w:cantSplit w:val="0"/>
        </w:trPr>
        <w:tc>
          <w:tcPr>
            <w:tcW w:w="5103" w:type="dxa"/>
            <w:tcBorders>
              <w:top w:val="single" w:sz="4" w:space="0" w:color="A6A6A6"/>
              <w:bottom w:val="single" w:sz="4" w:space="0" w:color="A6A6A6"/>
            </w:tcBorders>
            <w:hideMark/>
          </w:tcPr>
          <w:p w14:paraId="366139FB" w14:textId="77777777" w:rsidR="003E4716" w:rsidRPr="002029AF" w:rsidRDefault="003E4716" w:rsidP="008340C1">
            <w:pPr>
              <w:pStyle w:val="ARfintablebody"/>
              <w:rPr>
                <w:lang w:eastAsia="en-GB"/>
              </w:rPr>
            </w:pPr>
            <w:r w:rsidRPr="00B949DD">
              <w:t>Capital asset charge</w:t>
            </w:r>
          </w:p>
        </w:tc>
        <w:tc>
          <w:tcPr>
            <w:tcW w:w="1134" w:type="dxa"/>
            <w:tcBorders>
              <w:top w:val="single" w:sz="4" w:space="0" w:color="A6A6A6"/>
              <w:bottom w:val="single" w:sz="4" w:space="0" w:color="A6A6A6"/>
            </w:tcBorders>
            <w:hideMark/>
          </w:tcPr>
          <w:p w14:paraId="4AFA31DE" w14:textId="77777777" w:rsidR="003E4716" w:rsidRPr="002029AF" w:rsidRDefault="003E4716" w:rsidP="008340C1">
            <w:pPr>
              <w:pStyle w:val="ARfintablebodyright"/>
              <w:rPr>
                <w:lang w:eastAsia="en-GB"/>
              </w:rPr>
            </w:pPr>
            <w:r>
              <w:t>–</w:t>
            </w:r>
          </w:p>
        </w:tc>
        <w:tc>
          <w:tcPr>
            <w:tcW w:w="1134" w:type="dxa"/>
            <w:tcBorders>
              <w:top w:val="single" w:sz="4" w:space="0" w:color="A6A6A6"/>
              <w:bottom w:val="single" w:sz="4" w:space="0" w:color="A6A6A6"/>
            </w:tcBorders>
          </w:tcPr>
          <w:p w14:paraId="7B57E9C3" w14:textId="77777777" w:rsidR="003E4716" w:rsidRPr="002029AF" w:rsidRDefault="003E4716" w:rsidP="008340C1">
            <w:pPr>
              <w:pStyle w:val="ARfintablebodyright"/>
              <w:rPr>
                <w:lang w:eastAsia="en-GB"/>
              </w:rPr>
            </w:pPr>
            <w:r w:rsidRPr="00680A33">
              <w:t>–</w:t>
            </w:r>
          </w:p>
        </w:tc>
        <w:tc>
          <w:tcPr>
            <w:tcW w:w="1134" w:type="dxa"/>
            <w:tcBorders>
              <w:top w:val="single" w:sz="4" w:space="0" w:color="A6A6A6"/>
              <w:bottom w:val="single" w:sz="4" w:space="0" w:color="A6A6A6"/>
            </w:tcBorders>
            <w:hideMark/>
          </w:tcPr>
          <w:p w14:paraId="76AFCF0E" w14:textId="77777777" w:rsidR="003E4716" w:rsidRPr="002029AF" w:rsidRDefault="003E4716" w:rsidP="008340C1">
            <w:pPr>
              <w:pStyle w:val="ARfintablebodyright"/>
              <w:rPr>
                <w:lang w:eastAsia="en-GB"/>
              </w:rPr>
            </w:pPr>
            <w:r w:rsidRPr="00680A33">
              <w:t>–</w:t>
            </w:r>
          </w:p>
        </w:tc>
        <w:tc>
          <w:tcPr>
            <w:tcW w:w="1134" w:type="dxa"/>
            <w:tcBorders>
              <w:top w:val="single" w:sz="4" w:space="0" w:color="A6A6A6"/>
              <w:bottom w:val="single" w:sz="4" w:space="0" w:color="A6A6A6"/>
            </w:tcBorders>
            <w:hideMark/>
          </w:tcPr>
          <w:p w14:paraId="51A7379B" w14:textId="77777777" w:rsidR="003E4716" w:rsidRPr="002029AF" w:rsidRDefault="003E4716" w:rsidP="008340C1">
            <w:pPr>
              <w:pStyle w:val="ARfintablebodyright"/>
              <w:rPr>
                <w:lang w:eastAsia="en-GB"/>
              </w:rPr>
            </w:pPr>
            <w:r w:rsidRPr="00680A33">
              <w:t>–</w:t>
            </w:r>
          </w:p>
        </w:tc>
      </w:tr>
      <w:tr w:rsidR="003E4716" w:rsidRPr="002029AF" w14:paraId="3DAEE722" w14:textId="77777777" w:rsidTr="00286C94">
        <w:trPr>
          <w:cantSplit w:val="0"/>
        </w:trPr>
        <w:tc>
          <w:tcPr>
            <w:tcW w:w="5103" w:type="dxa"/>
            <w:tcBorders>
              <w:top w:val="single" w:sz="4" w:space="0" w:color="A6A6A6"/>
              <w:bottom w:val="single" w:sz="4" w:space="0" w:color="A6A6A6"/>
            </w:tcBorders>
            <w:hideMark/>
          </w:tcPr>
          <w:p w14:paraId="6ED0CB05" w14:textId="77777777" w:rsidR="003E4716" w:rsidRPr="002029AF" w:rsidRDefault="003E4716" w:rsidP="008340C1">
            <w:pPr>
              <w:pStyle w:val="ARfintablebody"/>
              <w:rPr>
                <w:lang w:eastAsia="en-GB"/>
              </w:rPr>
            </w:pPr>
            <w:r w:rsidRPr="00B949DD">
              <w:t>Interest and other costs of finance</w:t>
            </w:r>
          </w:p>
        </w:tc>
        <w:tc>
          <w:tcPr>
            <w:tcW w:w="1134" w:type="dxa"/>
            <w:tcBorders>
              <w:top w:val="single" w:sz="4" w:space="0" w:color="A6A6A6"/>
              <w:bottom w:val="single" w:sz="4" w:space="0" w:color="A6A6A6"/>
            </w:tcBorders>
            <w:hideMark/>
          </w:tcPr>
          <w:p w14:paraId="5B097AF9" w14:textId="77777777" w:rsidR="003E4716" w:rsidRPr="002029AF" w:rsidRDefault="003E4716" w:rsidP="008340C1">
            <w:pPr>
              <w:pStyle w:val="ARfintablebodyright"/>
              <w:rPr>
                <w:lang w:eastAsia="en-GB"/>
              </w:rPr>
            </w:pPr>
            <w:r w:rsidRPr="00B949DD">
              <w:t>(159)</w:t>
            </w:r>
          </w:p>
        </w:tc>
        <w:tc>
          <w:tcPr>
            <w:tcW w:w="1134" w:type="dxa"/>
            <w:tcBorders>
              <w:top w:val="single" w:sz="4" w:space="0" w:color="A6A6A6"/>
              <w:bottom w:val="single" w:sz="4" w:space="0" w:color="A6A6A6"/>
            </w:tcBorders>
          </w:tcPr>
          <w:p w14:paraId="15BF7B8D" w14:textId="77777777" w:rsidR="003E4716" w:rsidRPr="002029AF" w:rsidRDefault="003E4716" w:rsidP="008340C1">
            <w:pPr>
              <w:pStyle w:val="ARfintablebodyright"/>
              <w:rPr>
                <w:lang w:eastAsia="en-GB"/>
              </w:rPr>
            </w:pPr>
            <w:r w:rsidRPr="00B949DD">
              <w:t>(162)</w:t>
            </w:r>
          </w:p>
        </w:tc>
        <w:tc>
          <w:tcPr>
            <w:tcW w:w="1134" w:type="dxa"/>
            <w:tcBorders>
              <w:top w:val="single" w:sz="4" w:space="0" w:color="A6A6A6"/>
              <w:bottom w:val="single" w:sz="4" w:space="0" w:color="A6A6A6"/>
            </w:tcBorders>
            <w:hideMark/>
          </w:tcPr>
          <w:p w14:paraId="6DF38292" w14:textId="77777777" w:rsidR="003E4716" w:rsidRPr="002029AF" w:rsidRDefault="003E4716" w:rsidP="008340C1">
            <w:pPr>
              <w:pStyle w:val="ARfintablebodyright"/>
              <w:rPr>
                <w:lang w:eastAsia="en-GB"/>
              </w:rPr>
            </w:pPr>
            <w:r w:rsidRPr="00B949DD">
              <w:t>(213)</w:t>
            </w:r>
          </w:p>
        </w:tc>
        <w:tc>
          <w:tcPr>
            <w:tcW w:w="1134" w:type="dxa"/>
            <w:tcBorders>
              <w:top w:val="single" w:sz="4" w:space="0" w:color="A6A6A6"/>
              <w:bottom w:val="single" w:sz="4" w:space="0" w:color="A6A6A6"/>
            </w:tcBorders>
            <w:hideMark/>
          </w:tcPr>
          <w:p w14:paraId="31E51DA4" w14:textId="77777777" w:rsidR="003E4716" w:rsidRPr="002029AF" w:rsidRDefault="003E4716" w:rsidP="008340C1">
            <w:pPr>
              <w:pStyle w:val="ARfintablebodyright"/>
              <w:rPr>
                <w:lang w:eastAsia="en-GB"/>
              </w:rPr>
            </w:pPr>
            <w:r w:rsidRPr="00B949DD">
              <w:t>(25.5)</w:t>
            </w:r>
          </w:p>
        </w:tc>
      </w:tr>
      <w:tr w:rsidR="003E4716" w:rsidRPr="002029AF" w14:paraId="1432059B" w14:textId="77777777" w:rsidTr="00286C94">
        <w:trPr>
          <w:cantSplit w:val="0"/>
        </w:trPr>
        <w:tc>
          <w:tcPr>
            <w:tcW w:w="5103" w:type="dxa"/>
            <w:tcBorders>
              <w:top w:val="single" w:sz="4" w:space="0" w:color="A6A6A6"/>
            </w:tcBorders>
            <w:hideMark/>
          </w:tcPr>
          <w:p w14:paraId="79E5D2EC" w14:textId="77777777" w:rsidR="003E4716" w:rsidRPr="002029AF" w:rsidRDefault="003E4716" w:rsidP="008340C1">
            <w:pPr>
              <w:pStyle w:val="ARfintablebody"/>
              <w:rPr>
                <w:lang w:eastAsia="en-GB"/>
              </w:rPr>
            </w:pPr>
            <w:r w:rsidRPr="00B949DD">
              <w:t>Other payments</w:t>
            </w:r>
          </w:p>
        </w:tc>
        <w:tc>
          <w:tcPr>
            <w:tcW w:w="1134" w:type="dxa"/>
            <w:tcBorders>
              <w:top w:val="single" w:sz="4" w:space="0" w:color="A6A6A6"/>
            </w:tcBorders>
            <w:hideMark/>
          </w:tcPr>
          <w:p w14:paraId="00D9A432" w14:textId="77777777" w:rsidR="003E4716" w:rsidRPr="002029AF" w:rsidRDefault="003E4716" w:rsidP="008340C1">
            <w:pPr>
              <w:pStyle w:val="ARfintablebodyright"/>
              <w:rPr>
                <w:lang w:eastAsia="en-GB"/>
              </w:rPr>
            </w:pPr>
            <w:r w:rsidRPr="00B949DD">
              <w:t>(5)</w:t>
            </w:r>
          </w:p>
        </w:tc>
        <w:tc>
          <w:tcPr>
            <w:tcW w:w="1134" w:type="dxa"/>
            <w:tcBorders>
              <w:top w:val="single" w:sz="4" w:space="0" w:color="A6A6A6"/>
            </w:tcBorders>
          </w:tcPr>
          <w:p w14:paraId="387CBA67" w14:textId="77777777" w:rsidR="003E4716" w:rsidRPr="002029AF" w:rsidRDefault="003E4716" w:rsidP="008340C1">
            <w:pPr>
              <w:pStyle w:val="ARfintablebodyright"/>
              <w:rPr>
                <w:lang w:eastAsia="en-GB"/>
              </w:rPr>
            </w:pPr>
            <w:r>
              <w:t>–</w:t>
            </w:r>
          </w:p>
        </w:tc>
        <w:tc>
          <w:tcPr>
            <w:tcW w:w="1134" w:type="dxa"/>
            <w:tcBorders>
              <w:top w:val="single" w:sz="4" w:space="0" w:color="A6A6A6"/>
            </w:tcBorders>
            <w:hideMark/>
          </w:tcPr>
          <w:p w14:paraId="2407C9A7" w14:textId="77777777" w:rsidR="003E4716" w:rsidRPr="002029AF" w:rsidRDefault="003E4716" w:rsidP="008340C1">
            <w:pPr>
              <w:pStyle w:val="ARfintablebodyright"/>
              <w:rPr>
                <w:lang w:eastAsia="en-GB"/>
              </w:rPr>
            </w:pPr>
            <w:r>
              <w:t>–</w:t>
            </w:r>
          </w:p>
        </w:tc>
        <w:tc>
          <w:tcPr>
            <w:tcW w:w="1134" w:type="dxa"/>
            <w:tcBorders>
              <w:top w:val="single" w:sz="4" w:space="0" w:color="A6A6A6"/>
            </w:tcBorders>
            <w:hideMark/>
          </w:tcPr>
          <w:p w14:paraId="59CFCE81" w14:textId="77777777" w:rsidR="003E4716" w:rsidRPr="002029AF" w:rsidRDefault="003E4716" w:rsidP="008340C1">
            <w:pPr>
              <w:pStyle w:val="ARfintablebodyright"/>
              <w:rPr>
                <w:lang w:eastAsia="en-GB"/>
              </w:rPr>
            </w:pPr>
            <w:r>
              <w:t>–</w:t>
            </w:r>
          </w:p>
        </w:tc>
      </w:tr>
      <w:tr w:rsidR="003E4716" w:rsidRPr="002029AF" w14:paraId="6F04BFAD" w14:textId="77777777" w:rsidTr="00286C94">
        <w:trPr>
          <w:cantSplit w:val="0"/>
        </w:trPr>
        <w:tc>
          <w:tcPr>
            <w:tcW w:w="5103" w:type="dxa"/>
            <w:hideMark/>
          </w:tcPr>
          <w:p w14:paraId="5E0DBD82" w14:textId="77777777" w:rsidR="003E4716" w:rsidRPr="002029AF" w:rsidRDefault="003E4716" w:rsidP="008340C1">
            <w:pPr>
              <w:pStyle w:val="ARfintablebodybold"/>
              <w:rPr>
                <w:lang w:eastAsia="en-GB"/>
              </w:rPr>
            </w:pPr>
            <w:r w:rsidRPr="00B949DD">
              <w:t>Total payments</w:t>
            </w:r>
          </w:p>
        </w:tc>
        <w:tc>
          <w:tcPr>
            <w:tcW w:w="1134" w:type="dxa"/>
            <w:hideMark/>
          </w:tcPr>
          <w:p w14:paraId="502C18E4" w14:textId="77777777" w:rsidR="003E4716" w:rsidRPr="002029AF" w:rsidRDefault="003E4716" w:rsidP="008340C1">
            <w:pPr>
              <w:pStyle w:val="ARfintablebodyrightbold"/>
              <w:rPr>
                <w:lang w:eastAsia="en-GB"/>
              </w:rPr>
            </w:pPr>
            <w:r w:rsidRPr="00B949DD">
              <w:t>(27,750)</w:t>
            </w:r>
          </w:p>
        </w:tc>
        <w:tc>
          <w:tcPr>
            <w:tcW w:w="1134" w:type="dxa"/>
          </w:tcPr>
          <w:p w14:paraId="46C3B58D" w14:textId="77777777" w:rsidR="003E4716" w:rsidRPr="002029AF" w:rsidRDefault="003E4716" w:rsidP="008340C1">
            <w:pPr>
              <w:pStyle w:val="ARfintablebodyrightbold"/>
              <w:rPr>
                <w:lang w:eastAsia="en-GB"/>
              </w:rPr>
            </w:pPr>
            <w:r w:rsidRPr="00B949DD">
              <w:t>(27,331)</w:t>
            </w:r>
          </w:p>
        </w:tc>
        <w:tc>
          <w:tcPr>
            <w:tcW w:w="1134" w:type="dxa"/>
            <w:hideMark/>
          </w:tcPr>
          <w:p w14:paraId="5D18AA14" w14:textId="77777777" w:rsidR="003E4716" w:rsidRPr="002029AF" w:rsidRDefault="003E4716" w:rsidP="008340C1">
            <w:pPr>
              <w:pStyle w:val="ARfintablebodyrightbold"/>
              <w:rPr>
                <w:lang w:eastAsia="en-GB"/>
              </w:rPr>
            </w:pPr>
            <w:r w:rsidRPr="00B949DD">
              <w:t>(23,364)</w:t>
            </w:r>
          </w:p>
        </w:tc>
        <w:tc>
          <w:tcPr>
            <w:tcW w:w="1134" w:type="dxa"/>
            <w:hideMark/>
          </w:tcPr>
          <w:p w14:paraId="1641A287" w14:textId="77777777" w:rsidR="003E4716" w:rsidRPr="002029AF" w:rsidRDefault="003E4716" w:rsidP="008340C1">
            <w:pPr>
              <w:pStyle w:val="ARfintablebodyrightbold"/>
              <w:rPr>
                <w:lang w:eastAsia="en-GB"/>
              </w:rPr>
            </w:pPr>
            <w:r w:rsidRPr="00B949DD">
              <w:t>18.8</w:t>
            </w:r>
          </w:p>
        </w:tc>
      </w:tr>
      <w:tr w:rsidR="003E4716" w:rsidRPr="002029AF" w14:paraId="53BF1B02" w14:textId="77777777" w:rsidTr="00286C94">
        <w:trPr>
          <w:cantSplit w:val="0"/>
        </w:trPr>
        <w:tc>
          <w:tcPr>
            <w:tcW w:w="5103" w:type="dxa"/>
            <w:tcBorders>
              <w:bottom w:val="single" w:sz="4" w:space="0" w:color="auto"/>
            </w:tcBorders>
            <w:hideMark/>
          </w:tcPr>
          <w:p w14:paraId="243A3740" w14:textId="77777777" w:rsidR="003E4716" w:rsidRPr="002029AF" w:rsidRDefault="003E4716" w:rsidP="008340C1">
            <w:pPr>
              <w:pStyle w:val="ARfintablebodybold"/>
              <w:rPr>
                <w:lang w:eastAsia="en-GB"/>
              </w:rPr>
            </w:pPr>
            <w:r w:rsidRPr="00B949DD">
              <w:t>Net cash flows from/(used in) operating activities</w:t>
            </w:r>
          </w:p>
        </w:tc>
        <w:tc>
          <w:tcPr>
            <w:tcW w:w="1134" w:type="dxa"/>
            <w:tcBorders>
              <w:bottom w:val="single" w:sz="4" w:space="0" w:color="auto"/>
            </w:tcBorders>
            <w:hideMark/>
          </w:tcPr>
          <w:p w14:paraId="68665F33" w14:textId="77777777" w:rsidR="003E4716" w:rsidRPr="002029AF" w:rsidRDefault="003E4716" w:rsidP="008340C1">
            <w:pPr>
              <w:pStyle w:val="ARfintablebodyrightbold"/>
              <w:rPr>
                <w:lang w:eastAsia="en-GB"/>
              </w:rPr>
            </w:pPr>
            <w:r w:rsidRPr="00B949DD">
              <w:t>2,444</w:t>
            </w:r>
          </w:p>
        </w:tc>
        <w:tc>
          <w:tcPr>
            <w:tcW w:w="1134" w:type="dxa"/>
            <w:tcBorders>
              <w:bottom w:val="single" w:sz="4" w:space="0" w:color="auto"/>
            </w:tcBorders>
          </w:tcPr>
          <w:p w14:paraId="3A5F1646" w14:textId="77777777" w:rsidR="003E4716" w:rsidRPr="002029AF" w:rsidRDefault="003E4716" w:rsidP="008340C1">
            <w:pPr>
              <w:pStyle w:val="ARfintablebodyrightbold"/>
              <w:rPr>
                <w:lang w:eastAsia="en-GB"/>
              </w:rPr>
            </w:pPr>
            <w:r w:rsidRPr="00B949DD">
              <w:t>1,060</w:t>
            </w:r>
          </w:p>
        </w:tc>
        <w:tc>
          <w:tcPr>
            <w:tcW w:w="1134" w:type="dxa"/>
            <w:tcBorders>
              <w:bottom w:val="single" w:sz="4" w:space="0" w:color="auto"/>
            </w:tcBorders>
            <w:hideMark/>
          </w:tcPr>
          <w:p w14:paraId="6CE640BC" w14:textId="77777777" w:rsidR="003E4716" w:rsidRPr="002029AF" w:rsidRDefault="003E4716" w:rsidP="008340C1">
            <w:pPr>
              <w:pStyle w:val="ARfintablebodyrightbold"/>
              <w:rPr>
                <w:lang w:eastAsia="en-GB"/>
              </w:rPr>
            </w:pPr>
            <w:r w:rsidRPr="00B949DD">
              <w:t>1,786</w:t>
            </w:r>
          </w:p>
        </w:tc>
        <w:tc>
          <w:tcPr>
            <w:tcW w:w="1134" w:type="dxa"/>
            <w:tcBorders>
              <w:bottom w:val="single" w:sz="4" w:space="0" w:color="auto"/>
            </w:tcBorders>
            <w:hideMark/>
          </w:tcPr>
          <w:p w14:paraId="584E6D2C" w14:textId="77777777" w:rsidR="003E4716" w:rsidRPr="002029AF" w:rsidRDefault="003E4716" w:rsidP="008340C1">
            <w:pPr>
              <w:pStyle w:val="ARfintablebodyrightbold"/>
              <w:rPr>
                <w:lang w:eastAsia="en-GB"/>
              </w:rPr>
            </w:pPr>
            <w:r w:rsidRPr="00B949DD">
              <w:t>36.8</w:t>
            </w:r>
          </w:p>
        </w:tc>
      </w:tr>
      <w:tr w:rsidR="003E4716" w:rsidRPr="002029AF" w14:paraId="5FA82BEC" w14:textId="77777777" w:rsidTr="00286C94">
        <w:trPr>
          <w:cantSplit w:val="0"/>
        </w:trPr>
        <w:tc>
          <w:tcPr>
            <w:tcW w:w="9639" w:type="dxa"/>
            <w:gridSpan w:val="5"/>
            <w:tcBorders>
              <w:top w:val="single" w:sz="4" w:space="0" w:color="auto"/>
              <w:bottom w:val="single" w:sz="4" w:space="0" w:color="A6A6A6"/>
            </w:tcBorders>
          </w:tcPr>
          <w:p w14:paraId="657BF663" w14:textId="77777777" w:rsidR="003E4716" w:rsidRPr="002029AF" w:rsidRDefault="003E4716" w:rsidP="008340C1">
            <w:pPr>
              <w:pStyle w:val="ARfintablebodybold"/>
              <w:rPr>
                <w:lang w:eastAsia="en-GB"/>
              </w:rPr>
            </w:pPr>
            <w:r w:rsidRPr="00B949DD">
              <w:t>Cash flows from investing activities</w:t>
            </w:r>
          </w:p>
        </w:tc>
      </w:tr>
      <w:tr w:rsidR="003E4716" w:rsidRPr="002029AF" w14:paraId="2B3766A0" w14:textId="77777777" w:rsidTr="00286C94">
        <w:trPr>
          <w:cantSplit w:val="0"/>
        </w:trPr>
        <w:tc>
          <w:tcPr>
            <w:tcW w:w="5103" w:type="dxa"/>
            <w:tcBorders>
              <w:top w:val="single" w:sz="4" w:space="0" w:color="A6A6A6"/>
              <w:bottom w:val="single" w:sz="4" w:space="0" w:color="A6A6A6"/>
            </w:tcBorders>
            <w:hideMark/>
          </w:tcPr>
          <w:p w14:paraId="51A9F585" w14:textId="77777777" w:rsidR="003E4716" w:rsidRPr="002029AF" w:rsidRDefault="003E4716" w:rsidP="008340C1">
            <w:pPr>
              <w:pStyle w:val="ARfintablebody"/>
              <w:rPr>
                <w:lang w:eastAsia="en-GB"/>
              </w:rPr>
            </w:pPr>
            <w:r w:rsidRPr="00B949DD">
              <w:t>Net investment</w:t>
            </w:r>
          </w:p>
        </w:tc>
        <w:tc>
          <w:tcPr>
            <w:tcW w:w="1134" w:type="dxa"/>
            <w:tcBorders>
              <w:top w:val="single" w:sz="4" w:space="0" w:color="A6A6A6"/>
              <w:bottom w:val="single" w:sz="4" w:space="0" w:color="A6A6A6"/>
            </w:tcBorders>
            <w:hideMark/>
          </w:tcPr>
          <w:p w14:paraId="003CC1AB" w14:textId="77777777" w:rsidR="003E4716" w:rsidRPr="002029AF" w:rsidRDefault="003E4716" w:rsidP="008340C1">
            <w:pPr>
              <w:pStyle w:val="ARfintablebodyright"/>
              <w:rPr>
                <w:lang w:eastAsia="en-GB"/>
              </w:rPr>
            </w:pPr>
            <w:r w:rsidRPr="00B949DD">
              <w:t>124</w:t>
            </w:r>
          </w:p>
        </w:tc>
        <w:tc>
          <w:tcPr>
            <w:tcW w:w="1134" w:type="dxa"/>
            <w:tcBorders>
              <w:top w:val="single" w:sz="4" w:space="0" w:color="A6A6A6"/>
              <w:bottom w:val="single" w:sz="4" w:space="0" w:color="A6A6A6"/>
            </w:tcBorders>
          </w:tcPr>
          <w:p w14:paraId="35DE6223" w14:textId="77777777" w:rsidR="003E4716" w:rsidRPr="002029AF" w:rsidRDefault="003E4716" w:rsidP="008340C1">
            <w:pPr>
              <w:pStyle w:val="ARfintablebodyright"/>
              <w:rPr>
                <w:lang w:eastAsia="en-GB"/>
              </w:rPr>
            </w:pPr>
            <w:r w:rsidRPr="00B949DD">
              <w:t>6</w:t>
            </w:r>
          </w:p>
        </w:tc>
        <w:tc>
          <w:tcPr>
            <w:tcW w:w="1134" w:type="dxa"/>
            <w:tcBorders>
              <w:top w:val="single" w:sz="4" w:space="0" w:color="A6A6A6"/>
              <w:bottom w:val="single" w:sz="4" w:space="0" w:color="A6A6A6"/>
            </w:tcBorders>
            <w:hideMark/>
          </w:tcPr>
          <w:p w14:paraId="2F67A837" w14:textId="77777777" w:rsidR="003E4716" w:rsidRPr="002029AF" w:rsidRDefault="003E4716" w:rsidP="008340C1">
            <w:pPr>
              <w:pStyle w:val="ARfintablebodyright"/>
              <w:rPr>
                <w:lang w:eastAsia="en-GB"/>
              </w:rPr>
            </w:pPr>
            <w:r w:rsidRPr="00B949DD">
              <w:t>6</w:t>
            </w:r>
          </w:p>
        </w:tc>
        <w:tc>
          <w:tcPr>
            <w:tcW w:w="1134" w:type="dxa"/>
            <w:tcBorders>
              <w:top w:val="single" w:sz="4" w:space="0" w:color="A6A6A6"/>
              <w:bottom w:val="single" w:sz="4" w:space="0" w:color="A6A6A6"/>
            </w:tcBorders>
            <w:hideMark/>
          </w:tcPr>
          <w:p w14:paraId="36AD237E" w14:textId="77777777" w:rsidR="003E4716" w:rsidRPr="002029AF" w:rsidRDefault="003E4716" w:rsidP="008340C1">
            <w:pPr>
              <w:pStyle w:val="ARfintablebodyright"/>
              <w:rPr>
                <w:lang w:eastAsia="en-GB"/>
              </w:rPr>
            </w:pPr>
            <w:r w:rsidRPr="00B949DD">
              <w:t>1,987.9</w:t>
            </w:r>
          </w:p>
        </w:tc>
      </w:tr>
      <w:tr w:rsidR="003E4716" w:rsidRPr="002029AF" w14:paraId="2BF5B0DE" w14:textId="77777777" w:rsidTr="00286C94">
        <w:trPr>
          <w:cantSplit w:val="0"/>
        </w:trPr>
        <w:tc>
          <w:tcPr>
            <w:tcW w:w="5103" w:type="dxa"/>
            <w:tcBorders>
              <w:top w:val="single" w:sz="4" w:space="0" w:color="A6A6A6"/>
              <w:bottom w:val="single" w:sz="4" w:space="0" w:color="A6A6A6"/>
            </w:tcBorders>
          </w:tcPr>
          <w:p w14:paraId="0768D767" w14:textId="77777777" w:rsidR="003E4716" w:rsidRPr="00D36D1F" w:rsidRDefault="003E4716" w:rsidP="008340C1">
            <w:pPr>
              <w:pStyle w:val="ARfintablebody"/>
            </w:pPr>
            <w:r w:rsidRPr="00B949DD">
              <w:t>Payments for non-financial assets</w:t>
            </w:r>
          </w:p>
        </w:tc>
        <w:tc>
          <w:tcPr>
            <w:tcW w:w="1134" w:type="dxa"/>
            <w:tcBorders>
              <w:top w:val="single" w:sz="4" w:space="0" w:color="A6A6A6"/>
              <w:bottom w:val="single" w:sz="4" w:space="0" w:color="A6A6A6"/>
            </w:tcBorders>
          </w:tcPr>
          <w:p w14:paraId="5C1C44A3" w14:textId="77777777" w:rsidR="003E4716" w:rsidRPr="00D36D1F" w:rsidRDefault="003E4716" w:rsidP="008340C1">
            <w:pPr>
              <w:pStyle w:val="ARfintablebodyright"/>
            </w:pPr>
            <w:r w:rsidRPr="00B949DD">
              <w:t>(1,274)</w:t>
            </w:r>
          </w:p>
        </w:tc>
        <w:tc>
          <w:tcPr>
            <w:tcW w:w="1134" w:type="dxa"/>
            <w:tcBorders>
              <w:top w:val="single" w:sz="4" w:space="0" w:color="A6A6A6"/>
              <w:bottom w:val="single" w:sz="4" w:space="0" w:color="A6A6A6"/>
            </w:tcBorders>
          </w:tcPr>
          <w:p w14:paraId="43820039" w14:textId="77777777" w:rsidR="003E4716" w:rsidRPr="00D36D1F" w:rsidRDefault="003E4716" w:rsidP="008340C1">
            <w:pPr>
              <w:pStyle w:val="ARfintablebodyright"/>
            </w:pPr>
            <w:r w:rsidRPr="00B949DD">
              <w:t>(1,438)</w:t>
            </w:r>
          </w:p>
        </w:tc>
        <w:tc>
          <w:tcPr>
            <w:tcW w:w="1134" w:type="dxa"/>
            <w:tcBorders>
              <w:top w:val="single" w:sz="4" w:space="0" w:color="A6A6A6"/>
              <w:bottom w:val="single" w:sz="4" w:space="0" w:color="A6A6A6"/>
            </w:tcBorders>
          </w:tcPr>
          <w:p w14:paraId="6D4F70D5" w14:textId="77777777" w:rsidR="003E4716" w:rsidRPr="00D36D1F" w:rsidRDefault="003E4716" w:rsidP="008340C1">
            <w:pPr>
              <w:pStyle w:val="ARfintablebodyright"/>
            </w:pPr>
            <w:r w:rsidRPr="00B949DD">
              <w:t>(1,688)</w:t>
            </w:r>
          </w:p>
        </w:tc>
        <w:tc>
          <w:tcPr>
            <w:tcW w:w="1134" w:type="dxa"/>
            <w:tcBorders>
              <w:top w:val="single" w:sz="4" w:space="0" w:color="A6A6A6"/>
              <w:bottom w:val="single" w:sz="4" w:space="0" w:color="A6A6A6"/>
            </w:tcBorders>
          </w:tcPr>
          <w:p w14:paraId="1BA88B53" w14:textId="77777777" w:rsidR="003E4716" w:rsidRPr="00D36D1F" w:rsidRDefault="003E4716" w:rsidP="008340C1">
            <w:pPr>
              <w:pStyle w:val="ARfintablebodyright"/>
            </w:pPr>
            <w:r w:rsidRPr="00B949DD">
              <w:t>(24.5)</w:t>
            </w:r>
          </w:p>
        </w:tc>
      </w:tr>
      <w:tr w:rsidR="003E4716" w:rsidRPr="002029AF" w14:paraId="2DFE5751" w14:textId="77777777" w:rsidTr="00286C94">
        <w:trPr>
          <w:cantSplit w:val="0"/>
        </w:trPr>
        <w:tc>
          <w:tcPr>
            <w:tcW w:w="5103" w:type="dxa"/>
            <w:tcBorders>
              <w:top w:val="single" w:sz="4" w:space="0" w:color="A6A6A6"/>
              <w:bottom w:val="single" w:sz="4" w:space="0" w:color="A6A6A6"/>
            </w:tcBorders>
            <w:hideMark/>
          </w:tcPr>
          <w:p w14:paraId="0B8EF397" w14:textId="77777777" w:rsidR="003E4716" w:rsidRPr="002029AF" w:rsidRDefault="003E4716" w:rsidP="008340C1">
            <w:pPr>
              <w:pStyle w:val="ARfintablebody"/>
              <w:rPr>
                <w:lang w:eastAsia="en-GB"/>
              </w:rPr>
            </w:pPr>
            <w:r w:rsidRPr="00B949DD">
              <w:t>Proceeds from sale of non-financial assets</w:t>
            </w:r>
          </w:p>
        </w:tc>
        <w:tc>
          <w:tcPr>
            <w:tcW w:w="1134" w:type="dxa"/>
            <w:tcBorders>
              <w:top w:val="single" w:sz="4" w:space="0" w:color="A6A6A6"/>
              <w:bottom w:val="single" w:sz="4" w:space="0" w:color="A6A6A6"/>
            </w:tcBorders>
            <w:hideMark/>
          </w:tcPr>
          <w:p w14:paraId="0623B184" w14:textId="77777777" w:rsidR="003E4716" w:rsidRPr="002029AF" w:rsidRDefault="003E4716" w:rsidP="008340C1">
            <w:pPr>
              <w:pStyle w:val="ARfintablebodyright"/>
              <w:rPr>
                <w:lang w:eastAsia="en-GB"/>
              </w:rPr>
            </w:pPr>
            <w:r w:rsidRPr="00B949DD">
              <w:t>12</w:t>
            </w:r>
          </w:p>
        </w:tc>
        <w:tc>
          <w:tcPr>
            <w:tcW w:w="1134" w:type="dxa"/>
            <w:tcBorders>
              <w:top w:val="single" w:sz="4" w:space="0" w:color="A6A6A6"/>
              <w:bottom w:val="single" w:sz="4" w:space="0" w:color="A6A6A6"/>
            </w:tcBorders>
          </w:tcPr>
          <w:p w14:paraId="225DB746" w14:textId="77777777" w:rsidR="003E4716" w:rsidRPr="002029AF" w:rsidRDefault="003E4716" w:rsidP="008340C1">
            <w:pPr>
              <w:pStyle w:val="ARfintablebodyright"/>
              <w:rPr>
                <w:lang w:eastAsia="en-GB"/>
              </w:rPr>
            </w:pPr>
            <w:r w:rsidRPr="00B949DD">
              <w:t>3</w:t>
            </w:r>
          </w:p>
        </w:tc>
        <w:tc>
          <w:tcPr>
            <w:tcW w:w="1134" w:type="dxa"/>
            <w:tcBorders>
              <w:top w:val="single" w:sz="4" w:space="0" w:color="A6A6A6"/>
              <w:bottom w:val="single" w:sz="4" w:space="0" w:color="A6A6A6"/>
            </w:tcBorders>
            <w:hideMark/>
          </w:tcPr>
          <w:p w14:paraId="004CB341" w14:textId="77777777" w:rsidR="003E4716" w:rsidRPr="002029AF" w:rsidRDefault="003E4716" w:rsidP="008340C1">
            <w:pPr>
              <w:pStyle w:val="ARfintablebodyright"/>
              <w:rPr>
                <w:lang w:eastAsia="en-GB"/>
              </w:rPr>
            </w:pPr>
            <w:r w:rsidRPr="00B949DD">
              <w:t>3</w:t>
            </w:r>
          </w:p>
        </w:tc>
        <w:tc>
          <w:tcPr>
            <w:tcW w:w="1134" w:type="dxa"/>
            <w:tcBorders>
              <w:top w:val="single" w:sz="4" w:space="0" w:color="A6A6A6"/>
              <w:bottom w:val="single" w:sz="4" w:space="0" w:color="A6A6A6"/>
            </w:tcBorders>
            <w:hideMark/>
          </w:tcPr>
          <w:p w14:paraId="19856848" w14:textId="77777777" w:rsidR="003E4716" w:rsidRPr="002029AF" w:rsidRDefault="003E4716" w:rsidP="008340C1">
            <w:pPr>
              <w:pStyle w:val="ARfintablebodyright"/>
              <w:rPr>
                <w:lang w:eastAsia="en-GB"/>
              </w:rPr>
            </w:pPr>
            <w:r w:rsidRPr="00B949DD">
              <w:t>310.9</w:t>
            </w:r>
          </w:p>
        </w:tc>
      </w:tr>
      <w:tr w:rsidR="003E4716" w:rsidRPr="002029AF" w14:paraId="290DED91" w14:textId="77777777" w:rsidTr="00286C94">
        <w:trPr>
          <w:cantSplit w:val="0"/>
        </w:trPr>
        <w:tc>
          <w:tcPr>
            <w:tcW w:w="5103" w:type="dxa"/>
            <w:tcBorders>
              <w:top w:val="single" w:sz="4" w:space="0" w:color="A6A6A6"/>
              <w:bottom w:val="single" w:sz="4" w:space="0" w:color="A6A6A6"/>
            </w:tcBorders>
            <w:hideMark/>
          </w:tcPr>
          <w:p w14:paraId="11689960" w14:textId="77777777" w:rsidR="003E4716" w:rsidRPr="002029AF" w:rsidRDefault="003E4716" w:rsidP="008340C1">
            <w:pPr>
              <w:pStyle w:val="ARfintablebody"/>
              <w:rPr>
                <w:lang w:eastAsia="en-GB"/>
              </w:rPr>
            </w:pPr>
            <w:r w:rsidRPr="00B949DD">
              <w:t>Net loans to other parties</w:t>
            </w:r>
          </w:p>
        </w:tc>
        <w:tc>
          <w:tcPr>
            <w:tcW w:w="1134" w:type="dxa"/>
            <w:tcBorders>
              <w:top w:val="single" w:sz="4" w:space="0" w:color="A6A6A6"/>
              <w:bottom w:val="single" w:sz="4" w:space="0" w:color="A6A6A6"/>
            </w:tcBorders>
            <w:hideMark/>
          </w:tcPr>
          <w:p w14:paraId="74D0A07C" w14:textId="77777777" w:rsidR="003E4716" w:rsidRPr="002029AF" w:rsidRDefault="003E4716" w:rsidP="008340C1">
            <w:pPr>
              <w:pStyle w:val="ARfintablebodyright"/>
              <w:rPr>
                <w:lang w:eastAsia="en-GB"/>
              </w:rPr>
            </w:pPr>
            <w:r w:rsidRPr="00B949DD">
              <w:t>(0)</w:t>
            </w:r>
          </w:p>
        </w:tc>
        <w:tc>
          <w:tcPr>
            <w:tcW w:w="1134" w:type="dxa"/>
            <w:tcBorders>
              <w:top w:val="single" w:sz="4" w:space="0" w:color="A6A6A6"/>
              <w:bottom w:val="single" w:sz="4" w:space="0" w:color="A6A6A6"/>
            </w:tcBorders>
          </w:tcPr>
          <w:p w14:paraId="02A9A020" w14:textId="77777777" w:rsidR="003E4716" w:rsidRPr="002029AF" w:rsidRDefault="003E4716" w:rsidP="008340C1">
            <w:pPr>
              <w:pStyle w:val="ARfintablebodyright"/>
              <w:rPr>
                <w:lang w:eastAsia="en-GB"/>
              </w:rPr>
            </w:pPr>
            <w:r w:rsidRPr="002B1F0C">
              <w:t>–</w:t>
            </w:r>
          </w:p>
        </w:tc>
        <w:tc>
          <w:tcPr>
            <w:tcW w:w="1134" w:type="dxa"/>
            <w:tcBorders>
              <w:top w:val="single" w:sz="4" w:space="0" w:color="A6A6A6"/>
              <w:bottom w:val="single" w:sz="4" w:space="0" w:color="A6A6A6"/>
            </w:tcBorders>
            <w:hideMark/>
          </w:tcPr>
          <w:p w14:paraId="40708E78" w14:textId="77777777" w:rsidR="003E4716" w:rsidRPr="002029AF" w:rsidRDefault="003E4716" w:rsidP="008340C1">
            <w:pPr>
              <w:pStyle w:val="ARfintablebodyright"/>
              <w:rPr>
                <w:lang w:eastAsia="en-GB"/>
              </w:rPr>
            </w:pPr>
            <w:r w:rsidRPr="002B1F0C">
              <w:t>–</w:t>
            </w:r>
          </w:p>
        </w:tc>
        <w:tc>
          <w:tcPr>
            <w:tcW w:w="1134" w:type="dxa"/>
            <w:tcBorders>
              <w:top w:val="single" w:sz="4" w:space="0" w:color="A6A6A6"/>
              <w:bottom w:val="single" w:sz="4" w:space="0" w:color="A6A6A6"/>
            </w:tcBorders>
            <w:hideMark/>
          </w:tcPr>
          <w:p w14:paraId="391656D5" w14:textId="77777777" w:rsidR="003E4716" w:rsidRPr="002029AF" w:rsidRDefault="003E4716" w:rsidP="008340C1">
            <w:pPr>
              <w:pStyle w:val="ARfintablebodyright"/>
              <w:rPr>
                <w:lang w:eastAsia="en-GB"/>
              </w:rPr>
            </w:pPr>
            <w:r w:rsidRPr="002B1F0C">
              <w:t>–</w:t>
            </w:r>
          </w:p>
        </w:tc>
      </w:tr>
      <w:tr w:rsidR="003E4716" w:rsidRPr="002029AF" w14:paraId="58C055F7" w14:textId="77777777" w:rsidTr="00286C94">
        <w:trPr>
          <w:cantSplit w:val="0"/>
        </w:trPr>
        <w:tc>
          <w:tcPr>
            <w:tcW w:w="5103" w:type="dxa"/>
            <w:tcBorders>
              <w:top w:val="single" w:sz="4" w:space="0" w:color="A6A6A6"/>
            </w:tcBorders>
            <w:hideMark/>
          </w:tcPr>
          <w:p w14:paraId="165F9265" w14:textId="77777777" w:rsidR="003E4716" w:rsidRPr="002029AF" w:rsidRDefault="003E4716" w:rsidP="008340C1">
            <w:pPr>
              <w:pStyle w:val="ARfintablebody"/>
              <w:rPr>
                <w:lang w:eastAsia="en-GB"/>
              </w:rPr>
            </w:pPr>
            <w:r w:rsidRPr="00B949DD">
              <w:t>Net (purchase)/disposal of investments – policy purposes</w:t>
            </w:r>
          </w:p>
        </w:tc>
        <w:tc>
          <w:tcPr>
            <w:tcW w:w="1134" w:type="dxa"/>
            <w:tcBorders>
              <w:top w:val="single" w:sz="4" w:space="0" w:color="A6A6A6"/>
            </w:tcBorders>
            <w:hideMark/>
          </w:tcPr>
          <w:p w14:paraId="6B7FE170" w14:textId="77777777" w:rsidR="003E4716" w:rsidRPr="002029AF" w:rsidRDefault="003E4716" w:rsidP="008340C1">
            <w:pPr>
              <w:pStyle w:val="ARfintablebodyright"/>
              <w:rPr>
                <w:lang w:eastAsia="en-GB"/>
              </w:rPr>
            </w:pPr>
            <w:r>
              <w:t>–</w:t>
            </w:r>
          </w:p>
        </w:tc>
        <w:tc>
          <w:tcPr>
            <w:tcW w:w="1134" w:type="dxa"/>
            <w:tcBorders>
              <w:top w:val="single" w:sz="4" w:space="0" w:color="A6A6A6"/>
            </w:tcBorders>
          </w:tcPr>
          <w:p w14:paraId="23F88119" w14:textId="77777777" w:rsidR="003E4716" w:rsidRPr="002029AF" w:rsidRDefault="003E4716" w:rsidP="008340C1">
            <w:pPr>
              <w:pStyle w:val="ARfintablebodyright"/>
              <w:rPr>
                <w:lang w:eastAsia="en-GB"/>
              </w:rPr>
            </w:pPr>
            <w:r>
              <w:t>–</w:t>
            </w:r>
          </w:p>
        </w:tc>
        <w:tc>
          <w:tcPr>
            <w:tcW w:w="1134" w:type="dxa"/>
            <w:tcBorders>
              <w:top w:val="single" w:sz="4" w:space="0" w:color="A6A6A6"/>
            </w:tcBorders>
            <w:hideMark/>
          </w:tcPr>
          <w:p w14:paraId="0F7D55DB" w14:textId="77777777" w:rsidR="003E4716" w:rsidRPr="002029AF" w:rsidRDefault="003E4716" w:rsidP="008340C1">
            <w:pPr>
              <w:pStyle w:val="ARfintablebodyright"/>
              <w:rPr>
                <w:lang w:eastAsia="en-GB"/>
              </w:rPr>
            </w:pPr>
            <w:r>
              <w:t>–</w:t>
            </w:r>
          </w:p>
        </w:tc>
        <w:tc>
          <w:tcPr>
            <w:tcW w:w="1134" w:type="dxa"/>
            <w:tcBorders>
              <w:top w:val="single" w:sz="4" w:space="0" w:color="A6A6A6"/>
            </w:tcBorders>
            <w:hideMark/>
          </w:tcPr>
          <w:p w14:paraId="565367C2" w14:textId="77777777" w:rsidR="003E4716" w:rsidRPr="002029AF" w:rsidRDefault="003E4716" w:rsidP="008340C1">
            <w:pPr>
              <w:pStyle w:val="ARfintablebodyright"/>
              <w:rPr>
                <w:lang w:eastAsia="en-GB"/>
              </w:rPr>
            </w:pPr>
            <w:r>
              <w:t>–</w:t>
            </w:r>
          </w:p>
        </w:tc>
      </w:tr>
      <w:tr w:rsidR="003E4716" w:rsidRPr="002029AF" w14:paraId="5F2CDC60" w14:textId="77777777" w:rsidTr="00286C94">
        <w:trPr>
          <w:cantSplit w:val="0"/>
        </w:trPr>
        <w:tc>
          <w:tcPr>
            <w:tcW w:w="5103" w:type="dxa"/>
            <w:tcBorders>
              <w:bottom w:val="single" w:sz="4" w:space="0" w:color="auto"/>
            </w:tcBorders>
            <w:hideMark/>
          </w:tcPr>
          <w:p w14:paraId="65AED26C" w14:textId="77777777" w:rsidR="003E4716" w:rsidRPr="002029AF" w:rsidRDefault="003E4716" w:rsidP="008340C1">
            <w:pPr>
              <w:pStyle w:val="ARfintablebodybold"/>
              <w:rPr>
                <w:lang w:eastAsia="en-GB"/>
              </w:rPr>
            </w:pPr>
            <w:r w:rsidRPr="00B949DD">
              <w:t>Net cash flows from/(used in) investing activities</w:t>
            </w:r>
          </w:p>
        </w:tc>
        <w:tc>
          <w:tcPr>
            <w:tcW w:w="1134" w:type="dxa"/>
            <w:tcBorders>
              <w:bottom w:val="single" w:sz="4" w:space="0" w:color="auto"/>
            </w:tcBorders>
            <w:hideMark/>
          </w:tcPr>
          <w:p w14:paraId="7ECB7670" w14:textId="77777777" w:rsidR="003E4716" w:rsidRPr="002029AF" w:rsidRDefault="003E4716" w:rsidP="008340C1">
            <w:pPr>
              <w:pStyle w:val="ARfintablebodyrightbold"/>
              <w:rPr>
                <w:lang w:eastAsia="en-GB"/>
              </w:rPr>
            </w:pPr>
            <w:r w:rsidRPr="00B949DD">
              <w:t>(1,138)</w:t>
            </w:r>
          </w:p>
        </w:tc>
        <w:tc>
          <w:tcPr>
            <w:tcW w:w="1134" w:type="dxa"/>
            <w:tcBorders>
              <w:bottom w:val="single" w:sz="4" w:space="0" w:color="auto"/>
            </w:tcBorders>
          </w:tcPr>
          <w:p w14:paraId="5E8B9488" w14:textId="77777777" w:rsidR="003E4716" w:rsidRPr="002029AF" w:rsidRDefault="003E4716" w:rsidP="008340C1">
            <w:pPr>
              <w:pStyle w:val="ARfintablebodyrightbold"/>
              <w:rPr>
                <w:lang w:eastAsia="en-GB"/>
              </w:rPr>
            </w:pPr>
            <w:r w:rsidRPr="00B949DD">
              <w:t>(1,429)</w:t>
            </w:r>
          </w:p>
        </w:tc>
        <w:tc>
          <w:tcPr>
            <w:tcW w:w="1134" w:type="dxa"/>
            <w:tcBorders>
              <w:bottom w:val="single" w:sz="4" w:space="0" w:color="auto"/>
            </w:tcBorders>
            <w:hideMark/>
          </w:tcPr>
          <w:p w14:paraId="2BCE0A30" w14:textId="77777777" w:rsidR="003E4716" w:rsidRPr="002029AF" w:rsidRDefault="003E4716" w:rsidP="008340C1">
            <w:pPr>
              <w:pStyle w:val="ARfintablebodyrightbold"/>
              <w:rPr>
                <w:lang w:eastAsia="en-GB"/>
              </w:rPr>
            </w:pPr>
            <w:r w:rsidRPr="00B949DD">
              <w:t>(1,679)</w:t>
            </w:r>
          </w:p>
        </w:tc>
        <w:tc>
          <w:tcPr>
            <w:tcW w:w="1134" w:type="dxa"/>
            <w:tcBorders>
              <w:bottom w:val="single" w:sz="4" w:space="0" w:color="auto"/>
            </w:tcBorders>
            <w:hideMark/>
          </w:tcPr>
          <w:p w14:paraId="1A6992AE" w14:textId="77777777" w:rsidR="003E4716" w:rsidRPr="002029AF" w:rsidRDefault="003E4716" w:rsidP="008340C1">
            <w:pPr>
              <w:pStyle w:val="ARfintablebodyrightbold"/>
              <w:rPr>
                <w:lang w:eastAsia="en-GB"/>
              </w:rPr>
            </w:pPr>
            <w:r w:rsidRPr="00B949DD">
              <w:t>(32.2)</w:t>
            </w:r>
          </w:p>
        </w:tc>
      </w:tr>
      <w:tr w:rsidR="003E4716" w:rsidRPr="002029AF" w14:paraId="7C4EDE00" w14:textId="77777777" w:rsidTr="00286C94">
        <w:trPr>
          <w:cantSplit w:val="0"/>
        </w:trPr>
        <w:tc>
          <w:tcPr>
            <w:tcW w:w="9639" w:type="dxa"/>
            <w:gridSpan w:val="5"/>
            <w:tcBorders>
              <w:top w:val="single" w:sz="4" w:space="0" w:color="auto"/>
              <w:bottom w:val="single" w:sz="4" w:space="0" w:color="A6A6A6"/>
            </w:tcBorders>
          </w:tcPr>
          <w:p w14:paraId="570F2D6F" w14:textId="77777777" w:rsidR="003E4716" w:rsidRPr="002029AF" w:rsidRDefault="003E4716" w:rsidP="008340C1">
            <w:pPr>
              <w:pStyle w:val="ARfintablebodybold"/>
              <w:rPr>
                <w:lang w:eastAsia="en-GB"/>
              </w:rPr>
            </w:pPr>
            <w:r w:rsidRPr="00B949DD">
              <w:t>Cash flows from financing activities</w:t>
            </w:r>
          </w:p>
        </w:tc>
      </w:tr>
      <w:tr w:rsidR="003E4716" w:rsidRPr="002029AF" w14:paraId="5266DBC6" w14:textId="77777777" w:rsidTr="00286C94">
        <w:trPr>
          <w:cantSplit w:val="0"/>
        </w:trPr>
        <w:tc>
          <w:tcPr>
            <w:tcW w:w="5103" w:type="dxa"/>
            <w:tcBorders>
              <w:top w:val="single" w:sz="4" w:space="0" w:color="A6A6A6"/>
              <w:bottom w:val="single" w:sz="4" w:space="0" w:color="A6A6A6"/>
            </w:tcBorders>
            <w:hideMark/>
          </w:tcPr>
          <w:p w14:paraId="78A7AEAB" w14:textId="77777777" w:rsidR="003E4716" w:rsidRPr="002029AF" w:rsidRDefault="003E4716" w:rsidP="008340C1">
            <w:pPr>
              <w:pStyle w:val="ARfintablebody"/>
              <w:rPr>
                <w:lang w:eastAsia="en-GB"/>
              </w:rPr>
            </w:pPr>
            <w:r w:rsidRPr="00B949DD">
              <w:t>Owner contributions by state government</w:t>
            </w:r>
          </w:p>
        </w:tc>
        <w:tc>
          <w:tcPr>
            <w:tcW w:w="1134" w:type="dxa"/>
            <w:tcBorders>
              <w:top w:val="single" w:sz="4" w:space="0" w:color="A6A6A6"/>
              <w:bottom w:val="single" w:sz="4" w:space="0" w:color="A6A6A6"/>
            </w:tcBorders>
            <w:hideMark/>
          </w:tcPr>
          <w:p w14:paraId="53E4BBF3" w14:textId="77777777" w:rsidR="003E4716" w:rsidRPr="002029AF" w:rsidRDefault="003E4716" w:rsidP="008340C1">
            <w:pPr>
              <w:pStyle w:val="ARfintablebodyright"/>
              <w:rPr>
                <w:lang w:eastAsia="en-GB"/>
              </w:rPr>
            </w:pPr>
            <w:r w:rsidRPr="00B949DD">
              <w:t>(37)</w:t>
            </w:r>
          </w:p>
        </w:tc>
        <w:tc>
          <w:tcPr>
            <w:tcW w:w="1134" w:type="dxa"/>
            <w:tcBorders>
              <w:top w:val="single" w:sz="4" w:space="0" w:color="A6A6A6"/>
              <w:bottom w:val="single" w:sz="4" w:space="0" w:color="A6A6A6"/>
            </w:tcBorders>
          </w:tcPr>
          <w:p w14:paraId="090B2D6D" w14:textId="77777777" w:rsidR="003E4716" w:rsidRPr="002029AF" w:rsidRDefault="003E4716" w:rsidP="008340C1">
            <w:pPr>
              <w:pStyle w:val="ARfintablebodyright"/>
              <w:rPr>
                <w:lang w:eastAsia="en-GB"/>
              </w:rPr>
            </w:pPr>
            <w:r w:rsidRPr="00B949DD">
              <w:t>495</w:t>
            </w:r>
          </w:p>
        </w:tc>
        <w:tc>
          <w:tcPr>
            <w:tcW w:w="1134" w:type="dxa"/>
            <w:tcBorders>
              <w:top w:val="single" w:sz="4" w:space="0" w:color="A6A6A6"/>
              <w:bottom w:val="single" w:sz="4" w:space="0" w:color="A6A6A6"/>
            </w:tcBorders>
            <w:hideMark/>
          </w:tcPr>
          <w:p w14:paraId="0CDA6167" w14:textId="77777777" w:rsidR="003E4716" w:rsidRPr="002029AF" w:rsidRDefault="003E4716" w:rsidP="008340C1">
            <w:pPr>
              <w:pStyle w:val="ARfintablebodyright"/>
              <w:rPr>
                <w:lang w:eastAsia="en-GB"/>
              </w:rPr>
            </w:pPr>
            <w:r w:rsidRPr="00B949DD">
              <w:t>207</w:t>
            </w:r>
          </w:p>
        </w:tc>
        <w:tc>
          <w:tcPr>
            <w:tcW w:w="1134" w:type="dxa"/>
            <w:tcBorders>
              <w:top w:val="single" w:sz="4" w:space="0" w:color="A6A6A6"/>
              <w:bottom w:val="single" w:sz="4" w:space="0" w:color="A6A6A6"/>
            </w:tcBorders>
            <w:hideMark/>
          </w:tcPr>
          <w:p w14:paraId="30D765BD" w14:textId="77777777" w:rsidR="003E4716" w:rsidRPr="002029AF" w:rsidRDefault="003E4716" w:rsidP="008340C1">
            <w:pPr>
              <w:pStyle w:val="ARfintablebodyright"/>
              <w:rPr>
                <w:lang w:eastAsia="en-GB"/>
              </w:rPr>
            </w:pPr>
            <w:r w:rsidRPr="00B949DD">
              <w:t>(117.7)</w:t>
            </w:r>
          </w:p>
        </w:tc>
      </w:tr>
      <w:tr w:rsidR="003E4716" w:rsidRPr="002029AF" w14:paraId="50796631" w14:textId="77777777" w:rsidTr="00286C94">
        <w:trPr>
          <w:cantSplit w:val="0"/>
        </w:trPr>
        <w:tc>
          <w:tcPr>
            <w:tcW w:w="5103" w:type="dxa"/>
            <w:tcBorders>
              <w:top w:val="single" w:sz="4" w:space="0" w:color="A6A6A6"/>
              <w:bottom w:val="single" w:sz="4" w:space="0" w:color="A6A6A6"/>
            </w:tcBorders>
          </w:tcPr>
          <w:p w14:paraId="4F0A2C25" w14:textId="77777777" w:rsidR="003E4716" w:rsidRPr="00D36D1F" w:rsidRDefault="003E4716" w:rsidP="008340C1">
            <w:pPr>
              <w:pStyle w:val="ARfintablebody"/>
            </w:pPr>
            <w:r w:rsidRPr="00B949DD">
              <w:t>Repayment of finance leases</w:t>
            </w:r>
          </w:p>
        </w:tc>
        <w:tc>
          <w:tcPr>
            <w:tcW w:w="1134" w:type="dxa"/>
            <w:tcBorders>
              <w:top w:val="single" w:sz="4" w:space="0" w:color="A6A6A6"/>
              <w:bottom w:val="single" w:sz="4" w:space="0" w:color="A6A6A6"/>
            </w:tcBorders>
          </w:tcPr>
          <w:p w14:paraId="544C72E3" w14:textId="77777777" w:rsidR="003E4716" w:rsidRPr="00D36D1F" w:rsidRDefault="003E4716" w:rsidP="008340C1">
            <w:pPr>
              <w:pStyle w:val="ARfintablebodyright"/>
            </w:pPr>
            <w:r>
              <w:t>–</w:t>
            </w:r>
          </w:p>
        </w:tc>
        <w:tc>
          <w:tcPr>
            <w:tcW w:w="1134" w:type="dxa"/>
            <w:tcBorders>
              <w:top w:val="single" w:sz="4" w:space="0" w:color="A6A6A6"/>
              <w:bottom w:val="single" w:sz="4" w:space="0" w:color="A6A6A6"/>
            </w:tcBorders>
          </w:tcPr>
          <w:p w14:paraId="13E05A71" w14:textId="77777777" w:rsidR="003E4716" w:rsidRPr="00D36D1F" w:rsidRDefault="003E4716" w:rsidP="008340C1">
            <w:pPr>
              <w:pStyle w:val="ARfintablebodyright"/>
            </w:pPr>
            <w:r>
              <w:t>–</w:t>
            </w:r>
          </w:p>
        </w:tc>
        <w:tc>
          <w:tcPr>
            <w:tcW w:w="1134" w:type="dxa"/>
            <w:tcBorders>
              <w:top w:val="single" w:sz="4" w:space="0" w:color="A6A6A6"/>
              <w:bottom w:val="single" w:sz="4" w:space="0" w:color="A6A6A6"/>
            </w:tcBorders>
          </w:tcPr>
          <w:p w14:paraId="20FA4AB7" w14:textId="77777777" w:rsidR="003E4716" w:rsidRPr="00D36D1F" w:rsidRDefault="003E4716" w:rsidP="008340C1">
            <w:pPr>
              <w:pStyle w:val="ARfintablebodyright"/>
            </w:pPr>
            <w:r>
              <w:t>–</w:t>
            </w:r>
          </w:p>
        </w:tc>
        <w:tc>
          <w:tcPr>
            <w:tcW w:w="1134" w:type="dxa"/>
            <w:tcBorders>
              <w:top w:val="single" w:sz="4" w:space="0" w:color="A6A6A6"/>
              <w:bottom w:val="single" w:sz="4" w:space="0" w:color="A6A6A6"/>
            </w:tcBorders>
          </w:tcPr>
          <w:p w14:paraId="3D1101A8" w14:textId="77777777" w:rsidR="003E4716" w:rsidRPr="00D36D1F" w:rsidRDefault="003E4716" w:rsidP="008340C1">
            <w:pPr>
              <w:pStyle w:val="ARfintablebodyright"/>
            </w:pPr>
            <w:r>
              <w:t>–</w:t>
            </w:r>
          </w:p>
        </w:tc>
      </w:tr>
      <w:tr w:rsidR="003E4716" w:rsidRPr="002029AF" w14:paraId="27313DD0" w14:textId="77777777" w:rsidTr="00286C94">
        <w:trPr>
          <w:cantSplit w:val="0"/>
        </w:trPr>
        <w:tc>
          <w:tcPr>
            <w:tcW w:w="5103" w:type="dxa"/>
            <w:tcBorders>
              <w:top w:val="single" w:sz="4" w:space="0" w:color="A6A6A6"/>
              <w:bottom w:val="single" w:sz="4" w:space="0" w:color="A6A6A6"/>
            </w:tcBorders>
            <w:hideMark/>
          </w:tcPr>
          <w:p w14:paraId="5C524FAC" w14:textId="1F6F1456" w:rsidR="003E4716" w:rsidRPr="002029AF" w:rsidRDefault="003E4716" w:rsidP="008340C1">
            <w:pPr>
              <w:pStyle w:val="ARfintablebody"/>
              <w:rPr>
                <w:lang w:eastAsia="en-GB"/>
              </w:rPr>
            </w:pPr>
            <w:r w:rsidRPr="00B949DD">
              <w:t>Repayment of right</w:t>
            </w:r>
            <w:r w:rsidR="00546625">
              <w:t>-</w:t>
            </w:r>
            <w:r w:rsidRPr="00B949DD">
              <w:t>of</w:t>
            </w:r>
            <w:r w:rsidR="00546625">
              <w:t>-</w:t>
            </w:r>
            <w:r w:rsidRPr="00B949DD">
              <w:t>use leases</w:t>
            </w:r>
          </w:p>
        </w:tc>
        <w:tc>
          <w:tcPr>
            <w:tcW w:w="1134" w:type="dxa"/>
            <w:tcBorders>
              <w:top w:val="single" w:sz="4" w:space="0" w:color="A6A6A6"/>
              <w:bottom w:val="single" w:sz="4" w:space="0" w:color="A6A6A6"/>
            </w:tcBorders>
            <w:hideMark/>
          </w:tcPr>
          <w:p w14:paraId="5CC76C93" w14:textId="77777777" w:rsidR="003E4716" w:rsidRPr="002029AF" w:rsidRDefault="003E4716" w:rsidP="008340C1">
            <w:pPr>
              <w:pStyle w:val="ARfintablebodyright"/>
              <w:rPr>
                <w:lang w:eastAsia="en-GB"/>
              </w:rPr>
            </w:pPr>
            <w:r w:rsidRPr="00B949DD">
              <w:t>(284)</w:t>
            </w:r>
          </w:p>
        </w:tc>
        <w:tc>
          <w:tcPr>
            <w:tcW w:w="1134" w:type="dxa"/>
            <w:tcBorders>
              <w:top w:val="single" w:sz="4" w:space="0" w:color="A6A6A6"/>
              <w:bottom w:val="single" w:sz="4" w:space="0" w:color="A6A6A6"/>
            </w:tcBorders>
          </w:tcPr>
          <w:p w14:paraId="699D1D3D" w14:textId="77777777" w:rsidR="003E4716" w:rsidRPr="002029AF" w:rsidRDefault="003E4716" w:rsidP="008340C1">
            <w:pPr>
              <w:pStyle w:val="ARfintablebodyright"/>
              <w:rPr>
                <w:lang w:eastAsia="en-GB"/>
              </w:rPr>
            </w:pPr>
            <w:r w:rsidRPr="00B949DD">
              <w:t>(219)</w:t>
            </w:r>
          </w:p>
        </w:tc>
        <w:tc>
          <w:tcPr>
            <w:tcW w:w="1134" w:type="dxa"/>
            <w:tcBorders>
              <w:top w:val="single" w:sz="4" w:space="0" w:color="A6A6A6"/>
              <w:bottom w:val="single" w:sz="4" w:space="0" w:color="A6A6A6"/>
            </w:tcBorders>
            <w:hideMark/>
          </w:tcPr>
          <w:p w14:paraId="4B77A532" w14:textId="77777777" w:rsidR="003E4716" w:rsidRPr="002029AF" w:rsidRDefault="003E4716" w:rsidP="008340C1">
            <w:pPr>
              <w:pStyle w:val="ARfintablebodyright"/>
              <w:rPr>
                <w:lang w:eastAsia="en-GB"/>
              </w:rPr>
            </w:pPr>
            <w:r w:rsidRPr="00B949DD">
              <w:t>(216)</w:t>
            </w:r>
          </w:p>
        </w:tc>
        <w:tc>
          <w:tcPr>
            <w:tcW w:w="1134" w:type="dxa"/>
            <w:tcBorders>
              <w:top w:val="single" w:sz="4" w:space="0" w:color="A6A6A6"/>
              <w:bottom w:val="single" w:sz="4" w:space="0" w:color="A6A6A6"/>
            </w:tcBorders>
            <w:hideMark/>
          </w:tcPr>
          <w:p w14:paraId="4809488E" w14:textId="77777777" w:rsidR="003E4716" w:rsidRPr="002029AF" w:rsidRDefault="003E4716" w:rsidP="008340C1">
            <w:pPr>
              <w:pStyle w:val="ARfintablebodyright"/>
              <w:rPr>
                <w:lang w:eastAsia="en-GB"/>
              </w:rPr>
            </w:pPr>
            <w:r w:rsidRPr="00B949DD">
              <w:t>31.6</w:t>
            </w:r>
          </w:p>
        </w:tc>
      </w:tr>
      <w:tr w:rsidR="003E4716" w:rsidRPr="002029AF" w14:paraId="075C6BF4" w14:textId="77777777" w:rsidTr="00286C94">
        <w:trPr>
          <w:cantSplit w:val="0"/>
        </w:trPr>
        <w:tc>
          <w:tcPr>
            <w:tcW w:w="5103" w:type="dxa"/>
            <w:tcBorders>
              <w:top w:val="single" w:sz="4" w:space="0" w:color="A6A6A6"/>
            </w:tcBorders>
            <w:hideMark/>
          </w:tcPr>
          <w:p w14:paraId="271D2051" w14:textId="77777777" w:rsidR="003E4716" w:rsidRPr="002029AF" w:rsidRDefault="003E4716" w:rsidP="008340C1">
            <w:pPr>
              <w:pStyle w:val="ARfintablebody"/>
              <w:rPr>
                <w:lang w:eastAsia="en-GB"/>
              </w:rPr>
            </w:pPr>
            <w:r w:rsidRPr="00B949DD">
              <w:t>Net borrowings</w:t>
            </w:r>
          </w:p>
        </w:tc>
        <w:tc>
          <w:tcPr>
            <w:tcW w:w="1134" w:type="dxa"/>
            <w:tcBorders>
              <w:top w:val="single" w:sz="4" w:space="0" w:color="A6A6A6"/>
            </w:tcBorders>
            <w:hideMark/>
          </w:tcPr>
          <w:p w14:paraId="236D8F68" w14:textId="77777777" w:rsidR="003E4716" w:rsidRPr="002029AF" w:rsidRDefault="003E4716" w:rsidP="008340C1">
            <w:pPr>
              <w:pStyle w:val="ARfintablebodyright"/>
              <w:rPr>
                <w:lang w:eastAsia="en-GB"/>
              </w:rPr>
            </w:pPr>
            <w:r w:rsidRPr="00B949DD">
              <w:t>(135)</w:t>
            </w:r>
          </w:p>
        </w:tc>
        <w:tc>
          <w:tcPr>
            <w:tcW w:w="1134" w:type="dxa"/>
            <w:tcBorders>
              <w:top w:val="single" w:sz="4" w:space="0" w:color="A6A6A6"/>
            </w:tcBorders>
          </w:tcPr>
          <w:p w14:paraId="3D23434D" w14:textId="77777777" w:rsidR="003E4716" w:rsidRPr="002029AF" w:rsidRDefault="003E4716" w:rsidP="008340C1">
            <w:pPr>
              <w:pStyle w:val="ARfintablebodyright"/>
              <w:rPr>
                <w:lang w:eastAsia="en-GB"/>
              </w:rPr>
            </w:pPr>
            <w:r w:rsidRPr="00B949DD">
              <w:t>16</w:t>
            </w:r>
          </w:p>
        </w:tc>
        <w:tc>
          <w:tcPr>
            <w:tcW w:w="1134" w:type="dxa"/>
            <w:tcBorders>
              <w:top w:val="single" w:sz="4" w:space="0" w:color="A6A6A6"/>
            </w:tcBorders>
            <w:hideMark/>
          </w:tcPr>
          <w:p w14:paraId="0CD9B57F" w14:textId="77777777" w:rsidR="003E4716" w:rsidRPr="002029AF" w:rsidRDefault="003E4716" w:rsidP="008340C1">
            <w:pPr>
              <w:pStyle w:val="ARfintablebodyright"/>
              <w:rPr>
                <w:lang w:eastAsia="en-GB"/>
              </w:rPr>
            </w:pPr>
            <w:r w:rsidRPr="00B949DD">
              <w:t>2</w:t>
            </w:r>
          </w:p>
        </w:tc>
        <w:tc>
          <w:tcPr>
            <w:tcW w:w="1134" w:type="dxa"/>
            <w:tcBorders>
              <w:top w:val="single" w:sz="4" w:space="0" w:color="A6A6A6"/>
            </w:tcBorders>
            <w:hideMark/>
          </w:tcPr>
          <w:p w14:paraId="1714786B" w14:textId="77777777" w:rsidR="003E4716" w:rsidRPr="002029AF" w:rsidRDefault="003E4716" w:rsidP="008340C1">
            <w:pPr>
              <w:pStyle w:val="ARfintablebodyright"/>
              <w:rPr>
                <w:lang w:eastAsia="en-GB"/>
              </w:rPr>
            </w:pPr>
            <w:r w:rsidRPr="00B949DD">
              <w:t>(5,824.7)</w:t>
            </w:r>
          </w:p>
        </w:tc>
      </w:tr>
      <w:tr w:rsidR="003E4716" w:rsidRPr="002029AF" w14:paraId="19250598" w14:textId="77777777" w:rsidTr="00286C94">
        <w:trPr>
          <w:cantSplit w:val="0"/>
        </w:trPr>
        <w:tc>
          <w:tcPr>
            <w:tcW w:w="5103" w:type="dxa"/>
            <w:hideMark/>
          </w:tcPr>
          <w:p w14:paraId="7FA62343" w14:textId="77777777" w:rsidR="003E4716" w:rsidRPr="002029AF" w:rsidRDefault="003E4716" w:rsidP="008340C1">
            <w:pPr>
              <w:pStyle w:val="ARfintablebodybold"/>
              <w:rPr>
                <w:lang w:eastAsia="en-GB"/>
              </w:rPr>
            </w:pPr>
            <w:r w:rsidRPr="00B949DD">
              <w:t>Net cash flows from/(used in) financing activities</w:t>
            </w:r>
          </w:p>
        </w:tc>
        <w:tc>
          <w:tcPr>
            <w:tcW w:w="1134" w:type="dxa"/>
            <w:hideMark/>
          </w:tcPr>
          <w:p w14:paraId="23A3C750" w14:textId="77777777" w:rsidR="003E4716" w:rsidRPr="002029AF" w:rsidRDefault="003E4716" w:rsidP="008340C1">
            <w:pPr>
              <w:pStyle w:val="ARfintablebodyrightbold"/>
              <w:rPr>
                <w:lang w:eastAsia="en-GB"/>
              </w:rPr>
            </w:pPr>
            <w:r w:rsidRPr="00B949DD">
              <w:t>(456)</w:t>
            </w:r>
          </w:p>
        </w:tc>
        <w:tc>
          <w:tcPr>
            <w:tcW w:w="1134" w:type="dxa"/>
          </w:tcPr>
          <w:p w14:paraId="5D221935" w14:textId="77777777" w:rsidR="003E4716" w:rsidRPr="002029AF" w:rsidRDefault="003E4716" w:rsidP="008340C1">
            <w:pPr>
              <w:pStyle w:val="ARfintablebodyrightbold"/>
              <w:rPr>
                <w:lang w:eastAsia="en-GB"/>
              </w:rPr>
            </w:pPr>
            <w:r w:rsidRPr="00B949DD">
              <w:t>291</w:t>
            </w:r>
          </w:p>
        </w:tc>
        <w:tc>
          <w:tcPr>
            <w:tcW w:w="1134" w:type="dxa"/>
            <w:hideMark/>
          </w:tcPr>
          <w:p w14:paraId="002DFB99" w14:textId="77777777" w:rsidR="003E4716" w:rsidRPr="002029AF" w:rsidRDefault="003E4716" w:rsidP="008340C1">
            <w:pPr>
              <w:pStyle w:val="ARfintablebodyrightbold"/>
              <w:rPr>
                <w:lang w:eastAsia="en-GB"/>
              </w:rPr>
            </w:pPr>
            <w:r w:rsidRPr="00B949DD">
              <w:t>(7)</w:t>
            </w:r>
          </w:p>
        </w:tc>
        <w:tc>
          <w:tcPr>
            <w:tcW w:w="1134" w:type="dxa"/>
            <w:hideMark/>
          </w:tcPr>
          <w:p w14:paraId="7F19BAED" w14:textId="77777777" w:rsidR="003E4716" w:rsidRPr="002029AF" w:rsidRDefault="003E4716" w:rsidP="008340C1">
            <w:pPr>
              <w:pStyle w:val="ARfintablebodyrightbold"/>
              <w:rPr>
                <w:lang w:eastAsia="en-GB"/>
              </w:rPr>
            </w:pPr>
            <w:r w:rsidRPr="00B949DD">
              <w:t>6,342.4</w:t>
            </w:r>
          </w:p>
        </w:tc>
      </w:tr>
      <w:tr w:rsidR="003E4716" w:rsidRPr="002029AF" w14:paraId="4A30916F" w14:textId="77777777" w:rsidTr="00286C94">
        <w:trPr>
          <w:cantSplit w:val="0"/>
        </w:trPr>
        <w:tc>
          <w:tcPr>
            <w:tcW w:w="5103" w:type="dxa"/>
            <w:hideMark/>
          </w:tcPr>
          <w:p w14:paraId="3C5464DF" w14:textId="77777777" w:rsidR="003E4716" w:rsidRPr="002029AF" w:rsidRDefault="003E4716" w:rsidP="008340C1">
            <w:pPr>
              <w:pStyle w:val="ARfintablebodybold"/>
              <w:rPr>
                <w:lang w:eastAsia="en-GB"/>
              </w:rPr>
            </w:pPr>
            <w:r w:rsidRPr="00B949DD">
              <w:t>Net increase (decrease) in cash and cash equivalents</w:t>
            </w:r>
          </w:p>
        </w:tc>
        <w:tc>
          <w:tcPr>
            <w:tcW w:w="1134" w:type="dxa"/>
            <w:hideMark/>
          </w:tcPr>
          <w:p w14:paraId="0CAE91E3" w14:textId="77777777" w:rsidR="003E4716" w:rsidRPr="002029AF" w:rsidRDefault="003E4716" w:rsidP="008340C1">
            <w:pPr>
              <w:pStyle w:val="ARfintablebodyrightbold"/>
              <w:rPr>
                <w:lang w:eastAsia="en-GB"/>
              </w:rPr>
            </w:pPr>
            <w:r w:rsidRPr="00B949DD">
              <w:t>851</w:t>
            </w:r>
          </w:p>
        </w:tc>
        <w:tc>
          <w:tcPr>
            <w:tcW w:w="1134" w:type="dxa"/>
          </w:tcPr>
          <w:p w14:paraId="201F60E6" w14:textId="77777777" w:rsidR="003E4716" w:rsidRPr="002029AF" w:rsidRDefault="003E4716" w:rsidP="008340C1">
            <w:pPr>
              <w:pStyle w:val="ARfintablebodyrightbold"/>
              <w:rPr>
                <w:lang w:eastAsia="en-GB"/>
              </w:rPr>
            </w:pPr>
            <w:r w:rsidRPr="00B949DD">
              <w:t>(78)</w:t>
            </w:r>
          </w:p>
        </w:tc>
        <w:tc>
          <w:tcPr>
            <w:tcW w:w="1134" w:type="dxa"/>
            <w:hideMark/>
          </w:tcPr>
          <w:p w14:paraId="6ED50A34" w14:textId="77777777" w:rsidR="003E4716" w:rsidRPr="002029AF" w:rsidRDefault="003E4716" w:rsidP="008340C1">
            <w:pPr>
              <w:pStyle w:val="ARfintablebodyrightbold"/>
              <w:rPr>
                <w:lang w:eastAsia="en-GB"/>
              </w:rPr>
            </w:pPr>
            <w:r w:rsidRPr="00B949DD">
              <w:t>100</w:t>
            </w:r>
          </w:p>
        </w:tc>
        <w:tc>
          <w:tcPr>
            <w:tcW w:w="1134" w:type="dxa"/>
            <w:hideMark/>
          </w:tcPr>
          <w:p w14:paraId="7DF564FF" w14:textId="77777777" w:rsidR="003E4716" w:rsidRPr="002029AF" w:rsidRDefault="003E4716" w:rsidP="008340C1">
            <w:pPr>
              <w:pStyle w:val="ARfintablebodyrightbold"/>
              <w:rPr>
                <w:lang w:eastAsia="en-GB"/>
              </w:rPr>
            </w:pPr>
            <w:r w:rsidRPr="00B949DD">
              <w:t>748.7</w:t>
            </w:r>
          </w:p>
        </w:tc>
      </w:tr>
      <w:tr w:rsidR="003E4716" w:rsidRPr="002029AF" w14:paraId="689A97D0" w14:textId="77777777" w:rsidTr="00286C94">
        <w:trPr>
          <w:cantSplit w:val="0"/>
        </w:trPr>
        <w:tc>
          <w:tcPr>
            <w:tcW w:w="5103" w:type="dxa"/>
            <w:hideMark/>
          </w:tcPr>
          <w:p w14:paraId="44482079" w14:textId="77777777" w:rsidR="003E4716" w:rsidRPr="002029AF" w:rsidRDefault="003E4716" w:rsidP="008340C1">
            <w:pPr>
              <w:pStyle w:val="ARfintablebody"/>
              <w:rPr>
                <w:lang w:eastAsia="en-GB"/>
              </w:rPr>
            </w:pPr>
            <w:r w:rsidRPr="00B949DD">
              <w:t>Cash and cash equivalents at the beginning of the financial year</w:t>
            </w:r>
          </w:p>
        </w:tc>
        <w:tc>
          <w:tcPr>
            <w:tcW w:w="1134" w:type="dxa"/>
            <w:hideMark/>
          </w:tcPr>
          <w:p w14:paraId="1E1290EF" w14:textId="77777777" w:rsidR="003E4716" w:rsidRPr="002029AF" w:rsidRDefault="003E4716" w:rsidP="008340C1">
            <w:pPr>
              <w:pStyle w:val="ARfintablebodyright"/>
              <w:rPr>
                <w:lang w:eastAsia="en-GB"/>
              </w:rPr>
            </w:pPr>
            <w:r w:rsidRPr="00B949DD">
              <w:t>2,763</w:t>
            </w:r>
          </w:p>
        </w:tc>
        <w:tc>
          <w:tcPr>
            <w:tcW w:w="1134" w:type="dxa"/>
          </w:tcPr>
          <w:p w14:paraId="494EE589" w14:textId="77777777" w:rsidR="003E4716" w:rsidRPr="002029AF" w:rsidRDefault="003E4716" w:rsidP="008340C1">
            <w:pPr>
              <w:pStyle w:val="ARfintablebodyright"/>
              <w:rPr>
                <w:lang w:eastAsia="en-GB"/>
              </w:rPr>
            </w:pPr>
            <w:r w:rsidRPr="00B949DD">
              <w:t>2,763</w:t>
            </w:r>
          </w:p>
        </w:tc>
        <w:tc>
          <w:tcPr>
            <w:tcW w:w="1134" w:type="dxa"/>
            <w:hideMark/>
          </w:tcPr>
          <w:p w14:paraId="72C881E6" w14:textId="77777777" w:rsidR="003E4716" w:rsidRPr="002029AF" w:rsidRDefault="003E4716" w:rsidP="008340C1">
            <w:pPr>
              <w:pStyle w:val="ARfintablebodyright"/>
              <w:rPr>
                <w:lang w:eastAsia="en-GB"/>
              </w:rPr>
            </w:pPr>
            <w:r w:rsidRPr="00B949DD">
              <w:t>2,763</w:t>
            </w:r>
          </w:p>
        </w:tc>
        <w:tc>
          <w:tcPr>
            <w:tcW w:w="1134" w:type="dxa"/>
            <w:hideMark/>
          </w:tcPr>
          <w:p w14:paraId="112C3930" w14:textId="77777777" w:rsidR="003E4716" w:rsidRPr="002029AF" w:rsidRDefault="003E4716" w:rsidP="008340C1">
            <w:pPr>
              <w:pStyle w:val="ARfintablebodyright"/>
              <w:rPr>
                <w:lang w:eastAsia="en-GB"/>
              </w:rPr>
            </w:pPr>
            <w:r>
              <w:t>–</w:t>
            </w:r>
          </w:p>
        </w:tc>
      </w:tr>
      <w:tr w:rsidR="003E4716" w:rsidRPr="002029AF" w14:paraId="78472BC5" w14:textId="77777777" w:rsidTr="00286C94">
        <w:trPr>
          <w:cantSplit w:val="0"/>
        </w:trPr>
        <w:tc>
          <w:tcPr>
            <w:tcW w:w="5103" w:type="dxa"/>
            <w:hideMark/>
          </w:tcPr>
          <w:p w14:paraId="0DBEFB4E" w14:textId="77777777" w:rsidR="003E4716" w:rsidRPr="002029AF" w:rsidRDefault="003E4716" w:rsidP="008340C1">
            <w:pPr>
              <w:pStyle w:val="ARfintablebodybold"/>
              <w:rPr>
                <w:lang w:eastAsia="en-GB"/>
              </w:rPr>
            </w:pPr>
            <w:r w:rsidRPr="00B949DD">
              <w:t>Cash and cash equivalents at the end of the financial year</w:t>
            </w:r>
          </w:p>
        </w:tc>
        <w:tc>
          <w:tcPr>
            <w:tcW w:w="1134" w:type="dxa"/>
            <w:hideMark/>
          </w:tcPr>
          <w:p w14:paraId="72BB92A9" w14:textId="77777777" w:rsidR="003E4716" w:rsidRPr="002029AF" w:rsidRDefault="003E4716" w:rsidP="008340C1">
            <w:pPr>
              <w:pStyle w:val="ARfintablebodyrightbold"/>
              <w:rPr>
                <w:lang w:eastAsia="en-GB"/>
              </w:rPr>
            </w:pPr>
            <w:r w:rsidRPr="00B949DD">
              <w:t>3,614</w:t>
            </w:r>
          </w:p>
        </w:tc>
        <w:tc>
          <w:tcPr>
            <w:tcW w:w="1134" w:type="dxa"/>
          </w:tcPr>
          <w:p w14:paraId="20F6477F" w14:textId="77777777" w:rsidR="003E4716" w:rsidRPr="002029AF" w:rsidRDefault="003E4716" w:rsidP="008340C1">
            <w:pPr>
              <w:pStyle w:val="ARfintablebodyrightbold"/>
              <w:rPr>
                <w:lang w:eastAsia="en-GB"/>
              </w:rPr>
            </w:pPr>
            <w:r w:rsidRPr="00B949DD">
              <w:t>2,685</w:t>
            </w:r>
          </w:p>
        </w:tc>
        <w:tc>
          <w:tcPr>
            <w:tcW w:w="1134" w:type="dxa"/>
            <w:hideMark/>
          </w:tcPr>
          <w:p w14:paraId="23218E68" w14:textId="77777777" w:rsidR="003E4716" w:rsidRPr="002029AF" w:rsidRDefault="003E4716" w:rsidP="008340C1">
            <w:pPr>
              <w:pStyle w:val="ARfintablebodyrightbold"/>
              <w:rPr>
                <w:lang w:eastAsia="en-GB"/>
              </w:rPr>
            </w:pPr>
            <w:r w:rsidRPr="00B949DD">
              <w:t>2,863</w:t>
            </w:r>
          </w:p>
        </w:tc>
        <w:tc>
          <w:tcPr>
            <w:tcW w:w="1134" w:type="dxa"/>
            <w:hideMark/>
          </w:tcPr>
          <w:p w14:paraId="5960F942" w14:textId="77777777" w:rsidR="003E4716" w:rsidRPr="002029AF" w:rsidRDefault="003E4716" w:rsidP="008340C1">
            <w:pPr>
              <w:pStyle w:val="ARfintablebodyrightbold"/>
              <w:rPr>
                <w:lang w:eastAsia="en-GB"/>
              </w:rPr>
            </w:pPr>
            <w:r w:rsidRPr="00B949DD">
              <w:t>26.2</w:t>
            </w:r>
          </w:p>
        </w:tc>
      </w:tr>
    </w:tbl>
    <w:p w14:paraId="5D6719C1" w14:textId="77777777" w:rsidR="003E4716" w:rsidRPr="00C51B56" w:rsidRDefault="003E4716" w:rsidP="008340C1">
      <w:pPr>
        <w:pStyle w:val="ARbody"/>
      </w:pPr>
      <w:r w:rsidRPr="00C51B56">
        <w:br w:type="page"/>
      </w:r>
    </w:p>
    <w:p w14:paraId="5753DE40" w14:textId="77777777" w:rsidR="003E4716" w:rsidRDefault="003E4716" w:rsidP="00EF10EA">
      <w:pPr>
        <w:pStyle w:val="Heading3"/>
      </w:pPr>
      <w:r w:rsidRPr="00A13347">
        <w:t>Statement of changes in equity for the financial year ended 30</w:t>
      </w:r>
      <w:r>
        <w:t xml:space="preserve"> </w:t>
      </w:r>
      <w:r w:rsidRPr="00A13347">
        <w:t>June</w:t>
      </w:r>
      <w:r>
        <w:t xml:space="preserve"> </w:t>
      </w:r>
      <w:r w:rsidRPr="00A13347">
        <w:t>202</w:t>
      </w:r>
      <w:bookmarkEnd w:id="669"/>
      <w:r>
        <w:t>2</w:t>
      </w:r>
    </w:p>
    <w:tbl>
      <w:tblPr>
        <w:tblStyle w:val="TableGrid"/>
        <w:tblW w:w="9639" w:type="dxa"/>
        <w:tblLook w:val="06A0" w:firstRow="1" w:lastRow="0" w:firstColumn="1" w:lastColumn="0" w:noHBand="1" w:noVBand="1"/>
      </w:tblPr>
      <w:tblGrid>
        <w:gridCol w:w="5103"/>
        <w:gridCol w:w="1134"/>
        <w:gridCol w:w="1134"/>
        <w:gridCol w:w="1134"/>
        <w:gridCol w:w="1134"/>
      </w:tblGrid>
      <w:tr w:rsidR="003E4716" w:rsidRPr="002029AF" w14:paraId="161183AE"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5103" w:type="dxa"/>
            <w:tcBorders>
              <w:bottom w:val="single" w:sz="4" w:space="0" w:color="auto"/>
            </w:tcBorders>
            <w:hideMark/>
          </w:tcPr>
          <w:p w14:paraId="47820E9F" w14:textId="77777777" w:rsidR="003E4716" w:rsidRPr="002029AF" w:rsidRDefault="003E4716" w:rsidP="008340C1">
            <w:pPr>
              <w:pStyle w:val="ARtablecolhead"/>
              <w:rPr>
                <w:lang w:eastAsia="en-GB"/>
              </w:rPr>
            </w:pPr>
            <w:bookmarkStart w:id="670" w:name="_Toc85121581"/>
          </w:p>
        </w:tc>
        <w:tc>
          <w:tcPr>
            <w:tcW w:w="1134" w:type="dxa"/>
            <w:tcBorders>
              <w:bottom w:val="single" w:sz="4" w:space="0" w:color="auto"/>
            </w:tcBorders>
            <w:hideMark/>
          </w:tcPr>
          <w:p w14:paraId="6377CDA4" w14:textId="77777777" w:rsidR="003E4716" w:rsidRPr="002029AF" w:rsidRDefault="003E4716" w:rsidP="008340C1">
            <w:pPr>
              <w:pStyle w:val="ARfintablecolheadright"/>
            </w:pPr>
            <w:r w:rsidRPr="002029AF">
              <w:t>20</w:t>
            </w:r>
            <w:r>
              <w:t>21–22</w:t>
            </w:r>
          </w:p>
          <w:p w14:paraId="0618EB4B" w14:textId="77777777" w:rsidR="003E4716" w:rsidRPr="002029AF" w:rsidRDefault="003E4716" w:rsidP="008340C1">
            <w:pPr>
              <w:pStyle w:val="ARfintablecolheadright"/>
            </w:pPr>
            <w:r w:rsidRPr="002029AF">
              <w:t>Actual</w:t>
            </w:r>
          </w:p>
          <w:p w14:paraId="05074024" w14:textId="77777777" w:rsidR="003E4716" w:rsidRPr="002029AF" w:rsidRDefault="003E4716" w:rsidP="008340C1">
            <w:pPr>
              <w:pStyle w:val="ARfintablecolheadright"/>
            </w:pPr>
            <w:r w:rsidRPr="002029AF">
              <w:t>$M</w:t>
            </w:r>
          </w:p>
        </w:tc>
        <w:tc>
          <w:tcPr>
            <w:tcW w:w="1134" w:type="dxa"/>
            <w:tcBorders>
              <w:bottom w:val="single" w:sz="4" w:space="0" w:color="auto"/>
            </w:tcBorders>
          </w:tcPr>
          <w:p w14:paraId="023458C8" w14:textId="77777777" w:rsidR="003E4716" w:rsidRPr="002029AF" w:rsidRDefault="003E4716" w:rsidP="008340C1">
            <w:pPr>
              <w:pStyle w:val="ARfintablecolheadright"/>
            </w:pPr>
            <w:r w:rsidRPr="002029AF">
              <w:t>20</w:t>
            </w:r>
            <w:r>
              <w:t>21–22</w:t>
            </w:r>
          </w:p>
          <w:p w14:paraId="2D3EB0DF" w14:textId="77777777" w:rsidR="003E4716" w:rsidRPr="002029AF" w:rsidRDefault="003E4716" w:rsidP="008340C1">
            <w:pPr>
              <w:pStyle w:val="ARfintablecolheadright"/>
            </w:pPr>
            <w:r>
              <w:t>Revised</w:t>
            </w:r>
            <w:r w:rsidRPr="002029AF">
              <w:t xml:space="preserve"> budget</w:t>
            </w:r>
            <w:r>
              <w:t xml:space="preserve"> </w:t>
            </w:r>
            <w:r w:rsidRPr="002A4973">
              <w:rPr>
                <w:rStyle w:val="Superscript"/>
              </w:rPr>
              <w:t>(a)</w:t>
            </w:r>
          </w:p>
          <w:p w14:paraId="5914280A" w14:textId="77777777" w:rsidR="003E4716" w:rsidRPr="002029AF" w:rsidRDefault="003E4716" w:rsidP="008340C1">
            <w:pPr>
              <w:pStyle w:val="ARfintablecolheadright"/>
            </w:pPr>
            <w:r w:rsidRPr="002029AF">
              <w:t>$M</w:t>
            </w:r>
          </w:p>
        </w:tc>
        <w:tc>
          <w:tcPr>
            <w:tcW w:w="1134" w:type="dxa"/>
            <w:tcBorders>
              <w:bottom w:val="single" w:sz="4" w:space="0" w:color="auto"/>
            </w:tcBorders>
            <w:hideMark/>
          </w:tcPr>
          <w:p w14:paraId="7550EDFB" w14:textId="77777777" w:rsidR="003E4716" w:rsidRPr="002029AF" w:rsidRDefault="003E4716" w:rsidP="008340C1">
            <w:pPr>
              <w:pStyle w:val="ARfintablecolheadright"/>
            </w:pPr>
            <w:r w:rsidRPr="002029AF">
              <w:t>20</w:t>
            </w:r>
            <w:r>
              <w:t>21–22</w:t>
            </w:r>
          </w:p>
          <w:p w14:paraId="3CC6BB08" w14:textId="77777777" w:rsidR="003E4716" w:rsidRPr="002029AF" w:rsidRDefault="003E4716" w:rsidP="008340C1">
            <w:pPr>
              <w:pStyle w:val="ARfintablecolheadright"/>
            </w:pPr>
            <w:r w:rsidRPr="002029AF">
              <w:t>Published budget</w:t>
            </w:r>
          </w:p>
          <w:p w14:paraId="2F01FDB2" w14:textId="77777777" w:rsidR="003E4716" w:rsidRPr="002029AF" w:rsidRDefault="003E4716" w:rsidP="008340C1">
            <w:pPr>
              <w:pStyle w:val="ARfintablecolheadright"/>
            </w:pPr>
            <w:r w:rsidRPr="002029AF">
              <w:t>$M</w:t>
            </w:r>
          </w:p>
        </w:tc>
        <w:tc>
          <w:tcPr>
            <w:tcW w:w="1134" w:type="dxa"/>
            <w:tcBorders>
              <w:bottom w:val="single" w:sz="4" w:space="0" w:color="auto"/>
            </w:tcBorders>
            <w:noWrap/>
            <w:hideMark/>
          </w:tcPr>
          <w:p w14:paraId="7A6E5CB1" w14:textId="77777777" w:rsidR="003E4716" w:rsidRPr="002029AF" w:rsidRDefault="003E4716" w:rsidP="008340C1">
            <w:pPr>
              <w:pStyle w:val="ARfintablecolheadright"/>
            </w:pPr>
            <w:r w:rsidRPr="002029AF">
              <w:t>Variation to published budget</w:t>
            </w:r>
          </w:p>
          <w:p w14:paraId="76E6F9FE" w14:textId="77777777" w:rsidR="003E4716" w:rsidRPr="002029AF" w:rsidRDefault="003E4716" w:rsidP="008340C1">
            <w:pPr>
              <w:pStyle w:val="ARfintablecolheadright"/>
            </w:pPr>
            <w:r w:rsidRPr="002029AF">
              <w:t>%</w:t>
            </w:r>
          </w:p>
        </w:tc>
      </w:tr>
      <w:tr w:rsidR="003E4716" w:rsidRPr="002029AF" w14:paraId="5ED2706F" w14:textId="77777777" w:rsidTr="008340C1">
        <w:tc>
          <w:tcPr>
            <w:tcW w:w="5103" w:type="dxa"/>
            <w:tcBorders>
              <w:top w:val="single" w:sz="4" w:space="0" w:color="auto"/>
              <w:bottom w:val="single" w:sz="4" w:space="0" w:color="A6A6A6"/>
            </w:tcBorders>
            <w:hideMark/>
          </w:tcPr>
          <w:p w14:paraId="38F56E2C" w14:textId="77777777" w:rsidR="003E4716" w:rsidRPr="002029AF" w:rsidRDefault="003E4716" w:rsidP="008340C1">
            <w:pPr>
              <w:pStyle w:val="ARfintablebody"/>
            </w:pPr>
            <w:r w:rsidRPr="00812529">
              <w:t>Accumulated funds</w:t>
            </w:r>
          </w:p>
        </w:tc>
        <w:tc>
          <w:tcPr>
            <w:tcW w:w="1134" w:type="dxa"/>
            <w:tcBorders>
              <w:top w:val="single" w:sz="4" w:space="0" w:color="auto"/>
              <w:bottom w:val="single" w:sz="4" w:space="0" w:color="A6A6A6"/>
            </w:tcBorders>
            <w:hideMark/>
          </w:tcPr>
          <w:p w14:paraId="3A905E29" w14:textId="77777777" w:rsidR="003E4716" w:rsidRPr="002029AF" w:rsidRDefault="003E4716" w:rsidP="008340C1">
            <w:pPr>
              <w:pStyle w:val="ARfintablebodyright"/>
            </w:pPr>
            <w:r w:rsidRPr="00812529">
              <w:t>3,844</w:t>
            </w:r>
          </w:p>
        </w:tc>
        <w:tc>
          <w:tcPr>
            <w:tcW w:w="1134" w:type="dxa"/>
            <w:tcBorders>
              <w:top w:val="single" w:sz="4" w:space="0" w:color="auto"/>
              <w:bottom w:val="single" w:sz="4" w:space="0" w:color="A6A6A6"/>
            </w:tcBorders>
          </w:tcPr>
          <w:p w14:paraId="4F790C02" w14:textId="77777777" w:rsidR="003E4716" w:rsidRPr="002029AF" w:rsidRDefault="003E4716" w:rsidP="008340C1">
            <w:pPr>
              <w:pStyle w:val="ARfintablebodyright"/>
            </w:pPr>
            <w:r w:rsidRPr="00812529">
              <w:t>3,844</w:t>
            </w:r>
          </w:p>
        </w:tc>
        <w:tc>
          <w:tcPr>
            <w:tcW w:w="1134" w:type="dxa"/>
            <w:tcBorders>
              <w:top w:val="single" w:sz="4" w:space="0" w:color="auto"/>
              <w:bottom w:val="single" w:sz="4" w:space="0" w:color="A6A6A6"/>
            </w:tcBorders>
            <w:hideMark/>
          </w:tcPr>
          <w:p w14:paraId="71CE7CA5" w14:textId="77777777" w:rsidR="003E4716" w:rsidRPr="002029AF" w:rsidRDefault="003E4716" w:rsidP="008340C1">
            <w:pPr>
              <w:pStyle w:val="ARfintablebodyright"/>
            </w:pPr>
            <w:r w:rsidRPr="00812529">
              <w:t>3,844</w:t>
            </w:r>
          </w:p>
        </w:tc>
        <w:tc>
          <w:tcPr>
            <w:tcW w:w="1134" w:type="dxa"/>
            <w:tcBorders>
              <w:top w:val="single" w:sz="4" w:space="0" w:color="auto"/>
              <w:bottom w:val="single" w:sz="4" w:space="0" w:color="A6A6A6"/>
            </w:tcBorders>
            <w:hideMark/>
          </w:tcPr>
          <w:p w14:paraId="1990B091" w14:textId="77777777" w:rsidR="003E4716" w:rsidRPr="002029AF" w:rsidRDefault="003E4716" w:rsidP="008340C1">
            <w:pPr>
              <w:pStyle w:val="ARfintablebodyright"/>
            </w:pPr>
            <w:r>
              <w:t>–</w:t>
            </w:r>
          </w:p>
        </w:tc>
      </w:tr>
      <w:tr w:rsidR="003E4716" w:rsidRPr="002029AF" w14:paraId="28E80FBE" w14:textId="77777777" w:rsidTr="008340C1">
        <w:tc>
          <w:tcPr>
            <w:tcW w:w="5103" w:type="dxa"/>
            <w:tcBorders>
              <w:top w:val="single" w:sz="4" w:space="0" w:color="A6A6A6"/>
              <w:bottom w:val="single" w:sz="4" w:space="0" w:color="A6A6A6"/>
            </w:tcBorders>
            <w:hideMark/>
          </w:tcPr>
          <w:p w14:paraId="4A303049" w14:textId="77777777" w:rsidR="003E4716" w:rsidRPr="002029AF" w:rsidRDefault="003E4716" w:rsidP="008340C1">
            <w:pPr>
              <w:pStyle w:val="ARfintablebody"/>
            </w:pPr>
            <w:r w:rsidRPr="00812529">
              <w:t>Adjustment due to change in accounting policy</w:t>
            </w:r>
          </w:p>
        </w:tc>
        <w:tc>
          <w:tcPr>
            <w:tcW w:w="1134" w:type="dxa"/>
            <w:tcBorders>
              <w:top w:val="single" w:sz="4" w:space="0" w:color="A6A6A6"/>
              <w:bottom w:val="single" w:sz="4" w:space="0" w:color="A6A6A6"/>
            </w:tcBorders>
            <w:hideMark/>
          </w:tcPr>
          <w:p w14:paraId="35B931D1" w14:textId="77777777" w:rsidR="003E4716" w:rsidRPr="002029AF" w:rsidRDefault="003E4716" w:rsidP="008340C1">
            <w:pPr>
              <w:pStyle w:val="ARfintablebodyright"/>
            </w:pPr>
            <w:r w:rsidRPr="00812529">
              <w:t>(155)</w:t>
            </w:r>
          </w:p>
        </w:tc>
        <w:tc>
          <w:tcPr>
            <w:tcW w:w="1134" w:type="dxa"/>
            <w:tcBorders>
              <w:top w:val="single" w:sz="4" w:space="0" w:color="A6A6A6"/>
              <w:bottom w:val="single" w:sz="4" w:space="0" w:color="A6A6A6"/>
            </w:tcBorders>
          </w:tcPr>
          <w:p w14:paraId="1CB8FBD7" w14:textId="77777777" w:rsidR="003E4716" w:rsidRPr="002029AF" w:rsidRDefault="003E4716" w:rsidP="008340C1">
            <w:pPr>
              <w:pStyle w:val="ARfintablebodyright"/>
            </w:pPr>
            <w:r>
              <w:t>–</w:t>
            </w:r>
          </w:p>
        </w:tc>
        <w:tc>
          <w:tcPr>
            <w:tcW w:w="1134" w:type="dxa"/>
            <w:tcBorders>
              <w:top w:val="single" w:sz="4" w:space="0" w:color="A6A6A6"/>
              <w:bottom w:val="single" w:sz="4" w:space="0" w:color="A6A6A6"/>
            </w:tcBorders>
            <w:hideMark/>
          </w:tcPr>
          <w:p w14:paraId="7FA22392" w14:textId="77777777" w:rsidR="003E4716" w:rsidRPr="002029AF" w:rsidRDefault="003E4716" w:rsidP="008340C1">
            <w:pPr>
              <w:pStyle w:val="ARfintablebodyright"/>
            </w:pPr>
          </w:p>
        </w:tc>
        <w:tc>
          <w:tcPr>
            <w:tcW w:w="1134" w:type="dxa"/>
            <w:tcBorders>
              <w:top w:val="single" w:sz="4" w:space="0" w:color="A6A6A6"/>
              <w:bottom w:val="single" w:sz="4" w:space="0" w:color="A6A6A6"/>
            </w:tcBorders>
            <w:hideMark/>
          </w:tcPr>
          <w:p w14:paraId="0A3B8849" w14:textId="77777777" w:rsidR="003E4716" w:rsidRPr="002029AF" w:rsidRDefault="003E4716" w:rsidP="008340C1">
            <w:pPr>
              <w:pStyle w:val="ARfintablebodyright"/>
            </w:pPr>
            <w:r>
              <w:t>–</w:t>
            </w:r>
          </w:p>
        </w:tc>
      </w:tr>
      <w:tr w:rsidR="003E4716" w:rsidRPr="002029AF" w14:paraId="2DC3EBDF" w14:textId="77777777" w:rsidTr="008340C1">
        <w:tc>
          <w:tcPr>
            <w:tcW w:w="5103" w:type="dxa"/>
            <w:tcBorders>
              <w:top w:val="single" w:sz="4" w:space="0" w:color="A6A6A6"/>
              <w:bottom w:val="single" w:sz="4" w:space="0" w:color="A6A6A6"/>
            </w:tcBorders>
            <w:hideMark/>
          </w:tcPr>
          <w:p w14:paraId="69B0C0D7" w14:textId="77777777" w:rsidR="003E4716" w:rsidRPr="002029AF" w:rsidRDefault="003E4716" w:rsidP="008340C1">
            <w:pPr>
              <w:pStyle w:val="ARfintablebody"/>
            </w:pPr>
            <w:r w:rsidRPr="00812529">
              <w:t>Transactions with owners in their capacity as owners</w:t>
            </w:r>
          </w:p>
        </w:tc>
        <w:tc>
          <w:tcPr>
            <w:tcW w:w="1134" w:type="dxa"/>
            <w:tcBorders>
              <w:top w:val="single" w:sz="4" w:space="0" w:color="A6A6A6"/>
              <w:bottom w:val="single" w:sz="4" w:space="0" w:color="A6A6A6"/>
            </w:tcBorders>
            <w:hideMark/>
          </w:tcPr>
          <w:p w14:paraId="3CE2E99F" w14:textId="77777777" w:rsidR="003E4716" w:rsidRPr="002029AF" w:rsidRDefault="003E4716" w:rsidP="008340C1">
            <w:pPr>
              <w:pStyle w:val="ARfintablebodyright"/>
            </w:pPr>
            <w:r w:rsidRPr="00812529">
              <w:t>31</w:t>
            </w:r>
          </w:p>
        </w:tc>
        <w:tc>
          <w:tcPr>
            <w:tcW w:w="1134" w:type="dxa"/>
            <w:tcBorders>
              <w:top w:val="single" w:sz="4" w:space="0" w:color="A6A6A6"/>
              <w:bottom w:val="single" w:sz="4" w:space="0" w:color="A6A6A6"/>
            </w:tcBorders>
          </w:tcPr>
          <w:p w14:paraId="682959B8" w14:textId="77777777" w:rsidR="003E4716" w:rsidRPr="002029AF" w:rsidRDefault="003E4716" w:rsidP="008340C1">
            <w:pPr>
              <w:pStyle w:val="ARfintablebodyright"/>
            </w:pPr>
            <w:r>
              <w:t>–</w:t>
            </w:r>
          </w:p>
        </w:tc>
        <w:tc>
          <w:tcPr>
            <w:tcW w:w="1134" w:type="dxa"/>
            <w:tcBorders>
              <w:top w:val="single" w:sz="4" w:space="0" w:color="A6A6A6"/>
              <w:bottom w:val="single" w:sz="4" w:space="0" w:color="A6A6A6"/>
            </w:tcBorders>
            <w:hideMark/>
          </w:tcPr>
          <w:p w14:paraId="1563C356" w14:textId="77777777" w:rsidR="003E4716" w:rsidRPr="002029AF" w:rsidRDefault="003E4716" w:rsidP="008340C1">
            <w:pPr>
              <w:pStyle w:val="ARfintablebodyright"/>
            </w:pPr>
          </w:p>
        </w:tc>
        <w:tc>
          <w:tcPr>
            <w:tcW w:w="1134" w:type="dxa"/>
            <w:tcBorders>
              <w:top w:val="single" w:sz="4" w:space="0" w:color="A6A6A6"/>
              <w:bottom w:val="single" w:sz="4" w:space="0" w:color="A6A6A6"/>
            </w:tcBorders>
            <w:hideMark/>
          </w:tcPr>
          <w:p w14:paraId="2F496567" w14:textId="77777777" w:rsidR="003E4716" w:rsidRPr="002029AF" w:rsidRDefault="003E4716" w:rsidP="008340C1">
            <w:pPr>
              <w:pStyle w:val="ARfintablebodyright"/>
            </w:pPr>
            <w:r>
              <w:t>–</w:t>
            </w:r>
          </w:p>
        </w:tc>
      </w:tr>
      <w:tr w:rsidR="003E4716" w:rsidRPr="002029AF" w14:paraId="2C05FB09" w14:textId="77777777" w:rsidTr="008340C1">
        <w:tc>
          <w:tcPr>
            <w:tcW w:w="5103" w:type="dxa"/>
            <w:tcBorders>
              <w:top w:val="single" w:sz="4" w:space="0" w:color="A6A6A6"/>
            </w:tcBorders>
            <w:hideMark/>
          </w:tcPr>
          <w:p w14:paraId="503CA07A" w14:textId="77777777" w:rsidR="003E4716" w:rsidRPr="002029AF" w:rsidRDefault="003E4716" w:rsidP="008340C1">
            <w:pPr>
              <w:pStyle w:val="ARfintablebody"/>
            </w:pPr>
            <w:r w:rsidRPr="00812529">
              <w:t>Comprehensive result</w:t>
            </w:r>
          </w:p>
        </w:tc>
        <w:tc>
          <w:tcPr>
            <w:tcW w:w="1134" w:type="dxa"/>
            <w:tcBorders>
              <w:top w:val="single" w:sz="4" w:space="0" w:color="A6A6A6"/>
            </w:tcBorders>
            <w:hideMark/>
          </w:tcPr>
          <w:p w14:paraId="40E559B0" w14:textId="77777777" w:rsidR="003E4716" w:rsidRPr="002029AF" w:rsidRDefault="003E4716" w:rsidP="008340C1">
            <w:pPr>
              <w:pStyle w:val="ARfintablebodyright"/>
            </w:pPr>
            <w:r w:rsidRPr="00812529">
              <w:t>1,447</w:t>
            </w:r>
          </w:p>
        </w:tc>
        <w:tc>
          <w:tcPr>
            <w:tcW w:w="1134" w:type="dxa"/>
            <w:tcBorders>
              <w:top w:val="single" w:sz="4" w:space="0" w:color="A6A6A6"/>
            </w:tcBorders>
          </w:tcPr>
          <w:p w14:paraId="39AE87F5" w14:textId="77777777" w:rsidR="003E4716" w:rsidRPr="002029AF" w:rsidRDefault="003E4716" w:rsidP="008340C1">
            <w:pPr>
              <w:pStyle w:val="ARfintablebodyright"/>
            </w:pPr>
            <w:r w:rsidRPr="00812529">
              <w:t>(275)</w:t>
            </w:r>
          </w:p>
        </w:tc>
        <w:tc>
          <w:tcPr>
            <w:tcW w:w="1134" w:type="dxa"/>
            <w:tcBorders>
              <w:top w:val="single" w:sz="4" w:space="0" w:color="A6A6A6"/>
            </w:tcBorders>
            <w:hideMark/>
          </w:tcPr>
          <w:p w14:paraId="77A2A5BB" w14:textId="77777777" w:rsidR="003E4716" w:rsidRPr="002029AF" w:rsidRDefault="003E4716" w:rsidP="008340C1">
            <w:pPr>
              <w:pStyle w:val="ARfintablebodyright"/>
            </w:pPr>
            <w:r w:rsidRPr="00812529">
              <w:t>(182)</w:t>
            </w:r>
          </w:p>
        </w:tc>
        <w:tc>
          <w:tcPr>
            <w:tcW w:w="1134" w:type="dxa"/>
            <w:tcBorders>
              <w:top w:val="single" w:sz="4" w:space="0" w:color="A6A6A6"/>
            </w:tcBorders>
            <w:hideMark/>
          </w:tcPr>
          <w:p w14:paraId="35BCEE12" w14:textId="77777777" w:rsidR="003E4716" w:rsidRPr="002029AF" w:rsidRDefault="003E4716" w:rsidP="008340C1">
            <w:pPr>
              <w:pStyle w:val="ARfintablebodyright"/>
            </w:pPr>
            <w:r w:rsidRPr="00812529">
              <w:t>(894.7)</w:t>
            </w:r>
          </w:p>
        </w:tc>
      </w:tr>
      <w:tr w:rsidR="003E4716" w:rsidRPr="002029AF" w14:paraId="4817D4C9" w14:textId="77777777" w:rsidTr="008340C1">
        <w:tc>
          <w:tcPr>
            <w:tcW w:w="5103" w:type="dxa"/>
            <w:tcBorders>
              <w:bottom w:val="single" w:sz="4" w:space="0" w:color="auto"/>
            </w:tcBorders>
            <w:hideMark/>
          </w:tcPr>
          <w:p w14:paraId="7C7C6195" w14:textId="77777777" w:rsidR="003E4716" w:rsidRPr="002029AF" w:rsidRDefault="003E4716" w:rsidP="008340C1">
            <w:pPr>
              <w:pStyle w:val="ARfintablebodybold"/>
            </w:pPr>
            <w:r w:rsidRPr="00812529">
              <w:t>Accumulated surplus/(deficit)</w:t>
            </w:r>
          </w:p>
        </w:tc>
        <w:tc>
          <w:tcPr>
            <w:tcW w:w="1134" w:type="dxa"/>
            <w:tcBorders>
              <w:bottom w:val="single" w:sz="4" w:space="0" w:color="auto"/>
            </w:tcBorders>
            <w:hideMark/>
          </w:tcPr>
          <w:p w14:paraId="4AB87EC0" w14:textId="77777777" w:rsidR="003E4716" w:rsidRPr="002029AF" w:rsidRDefault="003E4716" w:rsidP="008340C1">
            <w:pPr>
              <w:pStyle w:val="ARfintablebodyrightbold"/>
            </w:pPr>
            <w:r w:rsidRPr="00812529">
              <w:t>5,166</w:t>
            </w:r>
          </w:p>
        </w:tc>
        <w:tc>
          <w:tcPr>
            <w:tcW w:w="1134" w:type="dxa"/>
            <w:tcBorders>
              <w:bottom w:val="single" w:sz="4" w:space="0" w:color="auto"/>
            </w:tcBorders>
          </w:tcPr>
          <w:p w14:paraId="22E35BB3" w14:textId="77777777" w:rsidR="003E4716" w:rsidRPr="002029AF" w:rsidRDefault="003E4716" w:rsidP="008340C1">
            <w:pPr>
              <w:pStyle w:val="ARfintablebodyrightbold"/>
            </w:pPr>
            <w:r w:rsidRPr="00812529">
              <w:t>3,569</w:t>
            </w:r>
          </w:p>
        </w:tc>
        <w:tc>
          <w:tcPr>
            <w:tcW w:w="1134" w:type="dxa"/>
            <w:tcBorders>
              <w:bottom w:val="single" w:sz="4" w:space="0" w:color="auto"/>
            </w:tcBorders>
            <w:hideMark/>
          </w:tcPr>
          <w:p w14:paraId="0741B49A" w14:textId="77777777" w:rsidR="003E4716" w:rsidRPr="002029AF" w:rsidRDefault="003E4716" w:rsidP="008340C1">
            <w:pPr>
              <w:pStyle w:val="ARfintablebodyrightbold"/>
            </w:pPr>
            <w:r w:rsidRPr="00812529">
              <w:t>3,662</w:t>
            </w:r>
          </w:p>
        </w:tc>
        <w:tc>
          <w:tcPr>
            <w:tcW w:w="1134" w:type="dxa"/>
            <w:tcBorders>
              <w:bottom w:val="single" w:sz="4" w:space="0" w:color="auto"/>
            </w:tcBorders>
            <w:hideMark/>
          </w:tcPr>
          <w:p w14:paraId="7EBA31DD" w14:textId="77777777" w:rsidR="003E4716" w:rsidRPr="002029AF" w:rsidRDefault="003E4716" w:rsidP="008340C1">
            <w:pPr>
              <w:pStyle w:val="ARfintablebodyrightbold"/>
            </w:pPr>
            <w:r w:rsidRPr="00812529">
              <w:t>41.1</w:t>
            </w:r>
          </w:p>
        </w:tc>
      </w:tr>
      <w:tr w:rsidR="003E4716" w:rsidRPr="002029AF" w14:paraId="6BE028A6" w14:textId="77777777" w:rsidTr="008340C1">
        <w:tc>
          <w:tcPr>
            <w:tcW w:w="5103" w:type="dxa"/>
            <w:tcBorders>
              <w:top w:val="single" w:sz="4" w:space="0" w:color="auto"/>
              <w:bottom w:val="single" w:sz="4" w:space="0" w:color="A6A6A6"/>
            </w:tcBorders>
            <w:hideMark/>
          </w:tcPr>
          <w:p w14:paraId="554AF344" w14:textId="77777777" w:rsidR="003E4716" w:rsidRPr="002029AF" w:rsidRDefault="003E4716" w:rsidP="008340C1">
            <w:pPr>
              <w:pStyle w:val="ARfintablebody"/>
            </w:pPr>
            <w:r w:rsidRPr="00812529">
              <w:t>Net contributions by owners</w:t>
            </w:r>
          </w:p>
        </w:tc>
        <w:tc>
          <w:tcPr>
            <w:tcW w:w="1134" w:type="dxa"/>
            <w:tcBorders>
              <w:top w:val="single" w:sz="4" w:space="0" w:color="auto"/>
              <w:bottom w:val="single" w:sz="4" w:space="0" w:color="A6A6A6"/>
            </w:tcBorders>
            <w:hideMark/>
          </w:tcPr>
          <w:p w14:paraId="37636626" w14:textId="77777777" w:rsidR="003E4716" w:rsidRPr="002029AF" w:rsidRDefault="003E4716" w:rsidP="008340C1">
            <w:pPr>
              <w:pStyle w:val="ARfintablebodyright"/>
            </w:pPr>
            <w:r w:rsidRPr="00812529">
              <w:t>4,947</w:t>
            </w:r>
          </w:p>
        </w:tc>
        <w:tc>
          <w:tcPr>
            <w:tcW w:w="1134" w:type="dxa"/>
            <w:tcBorders>
              <w:top w:val="single" w:sz="4" w:space="0" w:color="auto"/>
              <w:bottom w:val="single" w:sz="4" w:space="0" w:color="A6A6A6"/>
            </w:tcBorders>
          </w:tcPr>
          <w:p w14:paraId="7B528F9A" w14:textId="77777777" w:rsidR="003E4716" w:rsidRPr="002029AF" w:rsidRDefault="003E4716" w:rsidP="008340C1">
            <w:pPr>
              <w:pStyle w:val="ARfintablebodyright"/>
            </w:pPr>
            <w:r w:rsidRPr="00812529">
              <w:t>4,947</w:t>
            </w:r>
          </w:p>
        </w:tc>
        <w:tc>
          <w:tcPr>
            <w:tcW w:w="1134" w:type="dxa"/>
            <w:tcBorders>
              <w:top w:val="single" w:sz="4" w:space="0" w:color="auto"/>
              <w:bottom w:val="single" w:sz="4" w:space="0" w:color="A6A6A6"/>
            </w:tcBorders>
            <w:hideMark/>
          </w:tcPr>
          <w:p w14:paraId="295BF1F2" w14:textId="77777777" w:rsidR="003E4716" w:rsidRPr="002029AF" w:rsidRDefault="003E4716" w:rsidP="008340C1">
            <w:pPr>
              <w:pStyle w:val="ARfintablebodyright"/>
            </w:pPr>
            <w:r w:rsidRPr="00812529">
              <w:t>4,947</w:t>
            </w:r>
          </w:p>
        </w:tc>
        <w:tc>
          <w:tcPr>
            <w:tcW w:w="1134" w:type="dxa"/>
            <w:tcBorders>
              <w:top w:val="single" w:sz="4" w:space="0" w:color="auto"/>
              <w:bottom w:val="single" w:sz="4" w:space="0" w:color="A6A6A6"/>
            </w:tcBorders>
            <w:hideMark/>
          </w:tcPr>
          <w:p w14:paraId="475D9313" w14:textId="77777777" w:rsidR="003E4716" w:rsidRPr="002029AF" w:rsidRDefault="003E4716" w:rsidP="008340C1">
            <w:pPr>
              <w:pStyle w:val="ARfintablebodyright"/>
            </w:pPr>
            <w:r>
              <w:t>–</w:t>
            </w:r>
          </w:p>
        </w:tc>
      </w:tr>
      <w:tr w:rsidR="003E4716" w:rsidRPr="002029AF" w14:paraId="451821E8" w14:textId="77777777" w:rsidTr="008340C1">
        <w:tc>
          <w:tcPr>
            <w:tcW w:w="5103" w:type="dxa"/>
            <w:tcBorders>
              <w:top w:val="single" w:sz="4" w:space="0" w:color="A6A6A6"/>
            </w:tcBorders>
            <w:hideMark/>
          </w:tcPr>
          <w:p w14:paraId="118465F6" w14:textId="77777777" w:rsidR="003E4716" w:rsidRPr="002029AF" w:rsidRDefault="003E4716" w:rsidP="008340C1">
            <w:pPr>
              <w:pStyle w:val="ARfintablebody"/>
            </w:pPr>
            <w:r w:rsidRPr="00812529">
              <w:t>Transactions with owners in their capacity as owners</w:t>
            </w:r>
          </w:p>
        </w:tc>
        <w:tc>
          <w:tcPr>
            <w:tcW w:w="1134" w:type="dxa"/>
            <w:tcBorders>
              <w:top w:val="single" w:sz="4" w:space="0" w:color="A6A6A6"/>
            </w:tcBorders>
            <w:hideMark/>
          </w:tcPr>
          <w:p w14:paraId="1F48595F" w14:textId="77777777" w:rsidR="003E4716" w:rsidRPr="002029AF" w:rsidRDefault="003E4716" w:rsidP="008340C1">
            <w:pPr>
              <w:pStyle w:val="ARfintablebodyright"/>
            </w:pPr>
            <w:r w:rsidRPr="00812529">
              <w:t>123</w:t>
            </w:r>
          </w:p>
        </w:tc>
        <w:tc>
          <w:tcPr>
            <w:tcW w:w="1134" w:type="dxa"/>
            <w:tcBorders>
              <w:top w:val="single" w:sz="4" w:space="0" w:color="A6A6A6"/>
            </w:tcBorders>
          </w:tcPr>
          <w:p w14:paraId="35996489" w14:textId="77777777" w:rsidR="003E4716" w:rsidRPr="002029AF" w:rsidRDefault="003E4716" w:rsidP="008340C1">
            <w:pPr>
              <w:pStyle w:val="ARfintablebodyright"/>
            </w:pPr>
            <w:r w:rsidRPr="00812529">
              <w:t>495</w:t>
            </w:r>
          </w:p>
        </w:tc>
        <w:tc>
          <w:tcPr>
            <w:tcW w:w="1134" w:type="dxa"/>
            <w:tcBorders>
              <w:top w:val="single" w:sz="4" w:space="0" w:color="A6A6A6"/>
            </w:tcBorders>
            <w:hideMark/>
          </w:tcPr>
          <w:p w14:paraId="58B29922" w14:textId="77777777" w:rsidR="003E4716" w:rsidRPr="002029AF" w:rsidRDefault="003E4716" w:rsidP="008340C1">
            <w:pPr>
              <w:pStyle w:val="ARfintablebodyright"/>
            </w:pPr>
            <w:r w:rsidRPr="00812529">
              <w:t>207</w:t>
            </w:r>
          </w:p>
        </w:tc>
        <w:tc>
          <w:tcPr>
            <w:tcW w:w="1134" w:type="dxa"/>
            <w:tcBorders>
              <w:top w:val="single" w:sz="4" w:space="0" w:color="A6A6A6"/>
            </w:tcBorders>
            <w:hideMark/>
          </w:tcPr>
          <w:p w14:paraId="56A9A47D" w14:textId="77777777" w:rsidR="003E4716" w:rsidRPr="002029AF" w:rsidRDefault="003E4716" w:rsidP="008340C1">
            <w:pPr>
              <w:pStyle w:val="ARfintablebodyright"/>
            </w:pPr>
            <w:r w:rsidRPr="00812529">
              <w:t>(40.7)</w:t>
            </w:r>
          </w:p>
        </w:tc>
      </w:tr>
      <w:tr w:rsidR="003E4716" w:rsidRPr="002029AF" w14:paraId="5D01805C" w14:textId="77777777" w:rsidTr="008340C1">
        <w:tc>
          <w:tcPr>
            <w:tcW w:w="5103" w:type="dxa"/>
            <w:tcBorders>
              <w:bottom w:val="single" w:sz="4" w:space="0" w:color="auto"/>
            </w:tcBorders>
            <w:hideMark/>
          </w:tcPr>
          <w:p w14:paraId="49D99A98" w14:textId="77777777" w:rsidR="003E4716" w:rsidRPr="002029AF" w:rsidRDefault="003E4716" w:rsidP="008340C1">
            <w:pPr>
              <w:pStyle w:val="ARfintablebodybold"/>
            </w:pPr>
            <w:r w:rsidRPr="00812529">
              <w:t>Contributions by owners</w:t>
            </w:r>
          </w:p>
        </w:tc>
        <w:tc>
          <w:tcPr>
            <w:tcW w:w="1134" w:type="dxa"/>
            <w:tcBorders>
              <w:bottom w:val="single" w:sz="4" w:space="0" w:color="auto"/>
            </w:tcBorders>
            <w:hideMark/>
          </w:tcPr>
          <w:p w14:paraId="3C0CA6D7" w14:textId="77777777" w:rsidR="003E4716" w:rsidRPr="002029AF" w:rsidRDefault="003E4716" w:rsidP="008340C1">
            <w:pPr>
              <w:pStyle w:val="ARfintablebodyrightbold"/>
            </w:pPr>
            <w:r w:rsidRPr="00812529">
              <w:t>5,070</w:t>
            </w:r>
          </w:p>
        </w:tc>
        <w:tc>
          <w:tcPr>
            <w:tcW w:w="1134" w:type="dxa"/>
            <w:tcBorders>
              <w:bottom w:val="single" w:sz="4" w:space="0" w:color="auto"/>
            </w:tcBorders>
          </w:tcPr>
          <w:p w14:paraId="4C6955FB" w14:textId="77777777" w:rsidR="003E4716" w:rsidRPr="002029AF" w:rsidRDefault="003E4716" w:rsidP="008340C1">
            <w:pPr>
              <w:pStyle w:val="ARfintablebodyrightbold"/>
            </w:pPr>
            <w:r w:rsidRPr="00812529">
              <w:t>5,442</w:t>
            </w:r>
          </w:p>
        </w:tc>
        <w:tc>
          <w:tcPr>
            <w:tcW w:w="1134" w:type="dxa"/>
            <w:tcBorders>
              <w:bottom w:val="single" w:sz="4" w:space="0" w:color="auto"/>
            </w:tcBorders>
            <w:hideMark/>
          </w:tcPr>
          <w:p w14:paraId="001449CA" w14:textId="77777777" w:rsidR="003E4716" w:rsidRPr="002029AF" w:rsidRDefault="003E4716" w:rsidP="008340C1">
            <w:pPr>
              <w:pStyle w:val="ARfintablebodyrightbold"/>
            </w:pPr>
            <w:r w:rsidRPr="00812529">
              <w:t>5,154</w:t>
            </w:r>
          </w:p>
        </w:tc>
        <w:tc>
          <w:tcPr>
            <w:tcW w:w="1134" w:type="dxa"/>
            <w:tcBorders>
              <w:bottom w:val="single" w:sz="4" w:space="0" w:color="auto"/>
            </w:tcBorders>
            <w:hideMark/>
          </w:tcPr>
          <w:p w14:paraId="255F886D" w14:textId="77777777" w:rsidR="003E4716" w:rsidRPr="002029AF" w:rsidRDefault="003E4716" w:rsidP="008340C1">
            <w:pPr>
              <w:pStyle w:val="ARfintablebodyrightbold"/>
            </w:pPr>
            <w:r w:rsidRPr="00812529">
              <w:t>(1.6)</w:t>
            </w:r>
          </w:p>
        </w:tc>
      </w:tr>
      <w:tr w:rsidR="003E4716" w:rsidRPr="002029AF" w14:paraId="5CF23395" w14:textId="77777777" w:rsidTr="008340C1">
        <w:tc>
          <w:tcPr>
            <w:tcW w:w="5103" w:type="dxa"/>
            <w:tcBorders>
              <w:top w:val="single" w:sz="4" w:space="0" w:color="auto"/>
              <w:bottom w:val="single" w:sz="4" w:space="0" w:color="A6A6A6"/>
            </w:tcBorders>
            <w:hideMark/>
          </w:tcPr>
          <w:p w14:paraId="1DA62AD5" w14:textId="77777777" w:rsidR="003E4716" w:rsidRPr="002029AF" w:rsidRDefault="003E4716" w:rsidP="008340C1">
            <w:pPr>
              <w:pStyle w:val="ARfintablebody"/>
            </w:pPr>
            <w:r w:rsidRPr="00812529">
              <w:t>Physical asset revaluation reserve</w:t>
            </w:r>
          </w:p>
        </w:tc>
        <w:tc>
          <w:tcPr>
            <w:tcW w:w="1134" w:type="dxa"/>
            <w:tcBorders>
              <w:top w:val="single" w:sz="4" w:space="0" w:color="auto"/>
              <w:bottom w:val="single" w:sz="4" w:space="0" w:color="A6A6A6"/>
            </w:tcBorders>
            <w:hideMark/>
          </w:tcPr>
          <w:p w14:paraId="0AC5E5F4" w14:textId="77777777" w:rsidR="003E4716" w:rsidRPr="002029AF" w:rsidRDefault="003E4716" w:rsidP="008340C1">
            <w:pPr>
              <w:pStyle w:val="ARfintablebodyright"/>
            </w:pPr>
            <w:r w:rsidRPr="00812529">
              <w:t>10,026</w:t>
            </w:r>
          </w:p>
        </w:tc>
        <w:tc>
          <w:tcPr>
            <w:tcW w:w="1134" w:type="dxa"/>
            <w:tcBorders>
              <w:top w:val="single" w:sz="4" w:space="0" w:color="auto"/>
              <w:bottom w:val="single" w:sz="4" w:space="0" w:color="A6A6A6"/>
            </w:tcBorders>
          </w:tcPr>
          <w:p w14:paraId="65137A6F" w14:textId="77777777" w:rsidR="003E4716" w:rsidRPr="002029AF" w:rsidRDefault="003E4716" w:rsidP="008340C1">
            <w:pPr>
              <w:pStyle w:val="ARfintablebodyright"/>
            </w:pPr>
            <w:r w:rsidRPr="00812529">
              <w:t>10,026</w:t>
            </w:r>
          </w:p>
        </w:tc>
        <w:tc>
          <w:tcPr>
            <w:tcW w:w="1134" w:type="dxa"/>
            <w:tcBorders>
              <w:top w:val="single" w:sz="4" w:space="0" w:color="auto"/>
              <w:bottom w:val="single" w:sz="4" w:space="0" w:color="A6A6A6"/>
            </w:tcBorders>
            <w:hideMark/>
          </w:tcPr>
          <w:p w14:paraId="374CE864" w14:textId="77777777" w:rsidR="003E4716" w:rsidRPr="002029AF" w:rsidRDefault="003E4716" w:rsidP="008340C1">
            <w:pPr>
              <w:pStyle w:val="ARfintablebodyright"/>
            </w:pPr>
            <w:r w:rsidRPr="00812529">
              <w:t>10,026</w:t>
            </w:r>
          </w:p>
        </w:tc>
        <w:tc>
          <w:tcPr>
            <w:tcW w:w="1134" w:type="dxa"/>
            <w:tcBorders>
              <w:top w:val="single" w:sz="4" w:space="0" w:color="auto"/>
              <w:bottom w:val="single" w:sz="4" w:space="0" w:color="A6A6A6"/>
            </w:tcBorders>
            <w:hideMark/>
          </w:tcPr>
          <w:p w14:paraId="1C7C05AB" w14:textId="77777777" w:rsidR="003E4716" w:rsidRPr="002029AF" w:rsidRDefault="003E4716" w:rsidP="008340C1">
            <w:pPr>
              <w:pStyle w:val="ARfintablebodyright"/>
            </w:pPr>
            <w:r>
              <w:t>–</w:t>
            </w:r>
          </w:p>
        </w:tc>
      </w:tr>
      <w:tr w:rsidR="003E4716" w:rsidRPr="002029AF" w14:paraId="14E80A15" w14:textId="77777777" w:rsidTr="008340C1">
        <w:tc>
          <w:tcPr>
            <w:tcW w:w="5103" w:type="dxa"/>
            <w:tcBorders>
              <w:top w:val="single" w:sz="4" w:space="0" w:color="A6A6A6"/>
              <w:bottom w:val="single" w:sz="4" w:space="0" w:color="A6A6A6"/>
            </w:tcBorders>
            <w:hideMark/>
          </w:tcPr>
          <w:p w14:paraId="52B1B963" w14:textId="77777777" w:rsidR="003E4716" w:rsidRPr="002029AF" w:rsidRDefault="003E4716" w:rsidP="008340C1">
            <w:pPr>
              <w:pStyle w:val="ARfintablebody"/>
            </w:pPr>
            <w:r w:rsidRPr="00812529">
              <w:t>Transactions with owners in their capacity as owners</w:t>
            </w:r>
          </w:p>
        </w:tc>
        <w:tc>
          <w:tcPr>
            <w:tcW w:w="1134" w:type="dxa"/>
            <w:tcBorders>
              <w:top w:val="single" w:sz="4" w:space="0" w:color="A6A6A6"/>
              <w:bottom w:val="single" w:sz="4" w:space="0" w:color="A6A6A6"/>
            </w:tcBorders>
            <w:hideMark/>
          </w:tcPr>
          <w:p w14:paraId="0721F824" w14:textId="77777777" w:rsidR="003E4716" w:rsidRPr="002029AF" w:rsidRDefault="003E4716" w:rsidP="008340C1">
            <w:pPr>
              <w:pStyle w:val="ARfintablebodyright"/>
            </w:pPr>
            <w:r w:rsidRPr="00812529">
              <w:t>455</w:t>
            </w:r>
          </w:p>
        </w:tc>
        <w:tc>
          <w:tcPr>
            <w:tcW w:w="1134" w:type="dxa"/>
            <w:tcBorders>
              <w:top w:val="single" w:sz="4" w:space="0" w:color="A6A6A6"/>
              <w:bottom w:val="single" w:sz="4" w:space="0" w:color="A6A6A6"/>
            </w:tcBorders>
          </w:tcPr>
          <w:p w14:paraId="3D392324" w14:textId="77777777" w:rsidR="003E4716" w:rsidRPr="002029AF" w:rsidRDefault="003E4716" w:rsidP="008340C1">
            <w:pPr>
              <w:pStyle w:val="ARfintablebodyright"/>
            </w:pPr>
            <w:r w:rsidRPr="00812529">
              <w:t>14</w:t>
            </w:r>
          </w:p>
        </w:tc>
        <w:tc>
          <w:tcPr>
            <w:tcW w:w="1134" w:type="dxa"/>
            <w:tcBorders>
              <w:top w:val="single" w:sz="4" w:space="0" w:color="A6A6A6"/>
              <w:bottom w:val="single" w:sz="4" w:space="0" w:color="A6A6A6"/>
            </w:tcBorders>
            <w:hideMark/>
          </w:tcPr>
          <w:p w14:paraId="54060068" w14:textId="77777777" w:rsidR="003E4716" w:rsidRPr="002029AF" w:rsidRDefault="003E4716" w:rsidP="008340C1">
            <w:pPr>
              <w:pStyle w:val="ARfintablebodyright"/>
            </w:pPr>
            <w:r w:rsidRPr="00812529">
              <w:t>33</w:t>
            </w:r>
          </w:p>
        </w:tc>
        <w:tc>
          <w:tcPr>
            <w:tcW w:w="1134" w:type="dxa"/>
            <w:tcBorders>
              <w:top w:val="single" w:sz="4" w:space="0" w:color="A6A6A6"/>
              <w:bottom w:val="single" w:sz="4" w:space="0" w:color="A6A6A6"/>
            </w:tcBorders>
            <w:hideMark/>
          </w:tcPr>
          <w:p w14:paraId="054A77F1" w14:textId="77777777" w:rsidR="003E4716" w:rsidRPr="002029AF" w:rsidRDefault="003E4716" w:rsidP="008340C1">
            <w:pPr>
              <w:pStyle w:val="ARfintablebodyright"/>
            </w:pPr>
            <w:r w:rsidRPr="00812529">
              <w:t>1,279.6</w:t>
            </w:r>
          </w:p>
        </w:tc>
      </w:tr>
      <w:tr w:rsidR="003E4716" w:rsidRPr="002029AF" w14:paraId="13CC40C9" w14:textId="77777777" w:rsidTr="008340C1">
        <w:tc>
          <w:tcPr>
            <w:tcW w:w="5103" w:type="dxa"/>
            <w:tcBorders>
              <w:top w:val="single" w:sz="4" w:space="0" w:color="A6A6A6"/>
            </w:tcBorders>
            <w:hideMark/>
          </w:tcPr>
          <w:p w14:paraId="24D77D94" w14:textId="77777777" w:rsidR="003E4716" w:rsidRPr="002029AF" w:rsidRDefault="003E4716" w:rsidP="008340C1">
            <w:pPr>
              <w:pStyle w:val="ARfintablebody"/>
            </w:pPr>
            <w:r w:rsidRPr="00812529">
              <w:t>Comprehensive result</w:t>
            </w:r>
          </w:p>
        </w:tc>
        <w:tc>
          <w:tcPr>
            <w:tcW w:w="1134" w:type="dxa"/>
            <w:tcBorders>
              <w:top w:val="single" w:sz="4" w:space="0" w:color="A6A6A6"/>
            </w:tcBorders>
            <w:hideMark/>
          </w:tcPr>
          <w:p w14:paraId="79F96836" w14:textId="77777777" w:rsidR="003E4716" w:rsidRPr="002029AF" w:rsidRDefault="003E4716" w:rsidP="008340C1">
            <w:pPr>
              <w:pStyle w:val="ARfintablebodyright"/>
            </w:pPr>
            <w:r w:rsidRPr="00812529">
              <w:t>–</w:t>
            </w:r>
          </w:p>
        </w:tc>
        <w:tc>
          <w:tcPr>
            <w:tcW w:w="1134" w:type="dxa"/>
            <w:tcBorders>
              <w:top w:val="single" w:sz="4" w:space="0" w:color="A6A6A6"/>
            </w:tcBorders>
          </w:tcPr>
          <w:p w14:paraId="701FCA76" w14:textId="77777777" w:rsidR="003E4716" w:rsidRPr="002029AF" w:rsidRDefault="003E4716" w:rsidP="008340C1">
            <w:pPr>
              <w:pStyle w:val="ARfintablebodyright"/>
            </w:pPr>
            <w:r>
              <w:t>–</w:t>
            </w:r>
          </w:p>
        </w:tc>
        <w:tc>
          <w:tcPr>
            <w:tcW w:w="1134" w:type="dxa"/>
            <w:tcBorders>
              <w:top w:val="single" w:sz="4" w:space="0" w:color="A6A6A6"/>
            </w:tcBorders>
            <w:hideMark/>
          </w:tcPr>
          <w:p w14:paraId="0EA711D2" w14:textId="77777777" w:rsidR="003E4716" w:rsidRPr="002029AF" w:rsidRDefault="003E4716" w:rsidP="008340C1">
            <w:pPr>
              <w:pStyle w:val="ARfintablebodyright"/>
            </w:pPr>
            <w:r>
              <w:t>–</w:t>
            </w:r>
          </w:p>
        </w:tc>
        <w:tc>
          <w:tcPr>
            <w:tcW w:w="1134" w:type="dxa"/>
            <w:tcBorders>
              <w:top w:val="single" w:sz="4" w:space="0" w:color="A6A6A6"/>
            </w:tcBorders>
            <w:hideMark/>
          </w:tcPr>
          <w:p w14:paraId="3A636FFE" w14:textId="77777777" w:rsidR="003E4716" w:rsidRPr="002029AF" w:rsidRDefault="003E4716" w:rsidP="008340C1">
            <w:pPr>
              <w:pStyle w:val="ARfintablebodyright"/>
            </w:pPr>
            <w:r>
              <w:t>–</w:t>
            </w:r>
          </w:p>
        </w:tc>
      </w:tr>
      <w:tr w:rsidR="003E4716" w:rsidRPr="002029AF" w14:paraId="65BCC189" w14:textId="77777777" w:rsidTr="008340C1">
        <w:tc>
          <w:tcPr>
            <w:tcW w:w="5103" w:type="dxa"/>
            <w:tcBorders>
              <w:bottom w:val="single" w:sz="4" w:space="0" w:color="auto"/>
            </w:tcBorders>
            <w:hideMark/>
          </w:tcPr>
          <w:p w14:paraId="1DDE2CDF" w14:textId="77777777" w:rsidR="003E4716" w:rsidRPr="002029AF" w:rsidRDefault="003E4716" w:rsidP="008340C1">
            <w:pPr>
              <w:pStyle w:val="ARfintablebodybold"/>
            </w:pPr>
            <w:r w:rsidRPr="00812529">
              <w:t>Physical asset revaluation reserve</w:t>
            </w:r>
          </w:p>
        </w:tc>
        <w:tc>
          <w:tcPr>
            <w:tcW w:w="1134" w:type="dxa"/>
            <w:tcBorders>
              <w:bottom w:val="single" w:sz="4" w:space="0" w:color="auto"/>
            </w:tcBorders>
            <w:hideMark/>
          </w:tcPr>
          <w:p w14:paraId="6F6C3649" w14:textId="77777777" w:rsidR="003E4716" w:rsidRPr="002029AF" w:rsidRDefault="003E4716" w:rsidP="008340C1">
            <w:pPr>
              <w:pStyle w:val="ARfintablebodyrightbold"/>
            </w:pPr>
            <w:r w:rsidRPr="00812529">
              <w:t>10,481</w:t>
            </w:r>
          </w:p>
        </w:tc>
        <w:tc>
          <w:tcPr>
            <w:tcW w:w="1134" w:type="dxa"/>
            <w:tcBorders>
              <w:bottom w:val="single" w:sz="4" w:space="0" w:color="auto"/>
            </w:tcBorders>
          </w:tcPr>
          <w:p w14:paraId="256B6F1B" w14:textId="77777777" w:rsidR="003E4716" w:rsidRPr="002029AF" w:rsidRDefault="003E4716" w:rsidP="008340C1">
            <w:pPr>
              <w:pStyle w:val="ARfintablebodyrightbold"/>
            </w:pPr>
            <w:r w:rsidRPr="00812529">
              <w:t>10,040</w:t>
            </w:r>
          </w:p>
        </w:tc>
        <w:tc>
          <w:tcPr>
            <w:tcW w:w="1134" w:type="dxa"/>
            <w:tcBorders>
              <w:bottom w:val="single" w:sz="4" w:space="0" w:color="auto"/>
            </w:tcBorders>
            <w:hideMark/>
          </w:tcPr>
          <w:p w14:paraId="25921788" w14:textId="77777777" w:rsidR="003E4716" w:rsidRPr="002029AF" w:rsidRDefault="003E4716" w:rsidP="008340C1">
            <w:pPr>
              <w:pStyle w:val="ARfintablebodyrightbold"/>
            </w:pPr>
            <w:r w:rsidRPr="00812529">
              <w:t>10,059</w:t>
            </w:r>
          </w:p>
        </w:tc>
        <w:tc>
          <w:tcPr>
            <w:tcW w:w="1134" w:type="dxa"/>
            <w:tcBorders>
              <w:bottom w:val="single" w:sz="4" w:space="0" w:color="auto"/>
            </w:tcBorders>
            <w:hideMark/>
          </w:tcPr>
          <w:p w14:paraId="709D8323" w14:textId="77777777" w:rsidR="003E4716" w:rsidRPr="002029AF" w:rsidRDefault="003E4716" w:rsidP="008340C1">
            <w:pPr>
              <w:pStyle w:val="ARfintablebodyrightbold"/>
            </w:pPr>
            <w:r w:rsidRPr="00812529">
              <w:t>4.2</w:t>
            </w:r>
          </w:p>
        </w:tc>
      </w:tr>
      <w:tr w:rsidR="003E4716" w:rsidRPr="002029AF" w14:paraId="7283F516" w14:textId="77777777" w:rsidTr="008340C1">
        <w:tc>
          <w:tcPr>
            <w:tcW w:w="5103" w:type="dxa"/>
            <w:tcBorders>
              <w:top w:val="single" w:sz="4" w:space="0" w:color="auto"/>
              <w:bottom w:val="single" w:sz="4" w:space="0" w:color="A6A6A6"/>
            </w:tcBorders>
            <w:hideMark/>
          </w:tcPr>
          <w:p w14:paraId="15598D4C" w14:textId="77777777" w:rsidR="003E4716" w:rsidRPr="002029AF" w:rsidRDefault="003E4716" w:rsidP="008340C1">
            <w:pPr>
              <w:pStyle w:val="ARfintablebody"/>
            </w:pPr>
            <w:r w:rsidRPr="00812529">
              <w:t>Financial assets available-for-sale reserve</w:t>
            </w:r>
          </w:p>
        </w:tc>
        <w:tc>
          <w:tcPr>
            <w:tcW w:w="1134" w:type="dxa"/>
            <w:tcBorders>
              <w:top w:val="single" w:sz="4" w:space="0" w:color="auto"/>
              <w:bottom w:val="single" w:sz="4" w:space="0" w:color="A6A6A6"/>
            </w:tcBorders>
            <w:hideMark/>
          </w:tcPr>
          <w:p w14:paraId="278E5EFF" w14:textId="77777777" w:rsidR="003E4716" w:rsidRPr="002029AF" w:rsidRDefault="003E4716" w:rsidP="008340C1">
            <w:pPr>
              <w:pStyle w:val="ARfintablebodyright"/>
            </w:pPr>
            <w:r w:rsidRPr="00812529">
              <w:t>481</w:t>
            </w:r>
          </w:p>
        </w:tc>
        <w:tc>
          <w:tcPr>
            <w:tcW w:w="1134" w:type="dxa"/>
            <w:tcBorders>
              <w:top w:val="single" w:sz="4" w:space="0" w:color="auto"/>
              <w:bottom w:val="single" w:sz="4" w:space="0" w:color="A6A6A6"/>
            </w:tcBorders>
          </w:tcPr>
          <w:p w14:paraId="1BDF33EE" w14:textId="77777777" w:rsidR="003E4716" w:rsidRPr="002029AF" w:rsidRDefault="003E4716" w:rsidP="008340C1">
            <w:pPr>
              <w:pStyle w:val="ARfintablebodyright"/>
            </w:pPr>
            <w:r w:rsidRPr="00812529">
              <w:t>481</w:t>
            </w:r>
          </w:p>
        </w:tc>
        <w:tc>
          <w:tcPr>
            <w:tcW w:w="1134" w:type="dxa"/>
            <w:tcBorders>
              <w:top w:val="single" w:sz="4" w:space="0" w:color="auto"/>
              <w:bottom w:val="single" w:sz="4" w:space="0" w:color="A6A6A6"/>
            </w:tcBorders>
            <w:hideMark/>
          </w:tcPr>
          <w:p w14:paraId="5CD7FC63" w14:textId="77777777" w:rsidR="003E4716" w:rsidRPr="002029AF" w:rsidRDefault="003E4716" w:rsidP="008340C1">
            <w:pPr>
              <w:pStyle w:val="ARfintablebodyright"/>
            </w:pPr>
            <w:r w:rsidRPr="00812529">
              <w:t>481</w:t>
            </w:r>
          </w:p>
        </w:tc>
        <w:tc>
          <w:tcPr>
            <w:tcW w:w="1134" w:type="dxa"/>
            <w:tcBorders>
              <w:top w:val="single" w:sz="4" w:space="0" w:color="auto"/>
              <w:bottom w:val="single" w:sz="4" w:space="0" w:color="A6A6A6"/>
            </w:tcBorders>
            <w:hideMark/>
          </w:tcPr>
          <w:p w14:paraId="64FA5461" w14:textId="77777777" w:rsidR="003E4716" w:rsidRPr="002029AF" w:rsidRDefault="003E4716" w:rsidP="008340C1">
            <w:pPr>
              <w:pStyle w:val="ARfintablebodyright"/>
            </w:pPr>
            <w:r>
              <w:t>–</w:t>
            </w:r>
          </w:p>
        </w:tc>
      </w:tr>
      <w:tr w:rsidR="003E4716" w:rsidRPr="002029AF" w14:paraId="72A4ED52" w14:textId="77777777" w:rsidTr="008340C1">
        <w:tc>
          <w:tcPr>
            <w:tcW w:w="5103" w:type="dxa"/>
            <w:tcBorders>
              <w:top w:val="single" w:sz="4" w:space="0" w:color="A6A6A6"/>
            </w:tcBorders>
            <w:hideMark/>
          </w:tcPr>
          <w:p w14:paraId="4B5E43C1" w14:textId="77777777" w:rsidR="003E4716" w:rsidRPr="002029AF" w:rsidRDefault="003E4716" w:rsidP="008340C1">
            <w:pPr>
              <w:pStyle w:val="ARfintablebody"/>
            </w:pPr>
            <w:r w:rsidRPr="00812529">
              <w:t>Other reserves</w:t>
            </w:r>
          </w:p>
        </w:tc>
        <w:tc>
          <w:tcPr>
            <w:tcW w:w="1134" w:type="dxa"/>
            <w:tcBorders>
              <w:top w:val="single" w:sz="4" w:space="0" w:color="A6A6A6"/>
            </w:tcBorders>
            <w:hideMark/>
          </w:tcPr>
          <w:p w14:paraId="7A5A1934" w14:textId="77777777" w:rsidR="003E4716" w:rsidRPr="002029AF" w:rsidRDefault="003E4716" w:rsidP="008340C1">
            <w:pPr>
              <w:pStyle w:val="ARfintablebodyright"/>
            </w:pPr>
            <w:r w:rsidRPr="00812529">
              <w:t>174</w:t>
            </w:r>
          </w:p>
        </w:tc>
        <w:tc>
          <w:tcPr>
            <w:tcW w:w="1134" w:type="dxa"/>
            <w:tcBorders>
              <w:top w:val="single" w:sz="4" w:space="0" w:color="A6A6A6"/>
            </w:tcBorders>
          </w:tcPr>
          <w:p w14:paraId="6D85D4C7" w14:textId="77777777" w:rsidR="003E4716" w:rsidRPr="002029AF" w:rsidRDefault="003E4716" w:rsidP="008340C1">
            <w:pPr>
              <w:pStyle w:val="ARfintablebodyright"/>
            </w:pPr>
            <w:r>
              <w:t>–</w:t>
            </w:r>
          </w:p>
        </w:tc>
        <w:tc>
          <w:tcPr>
            <w:tcW w:w="1134" w:type="dxa"/>
            <w:tcBorders>
              <w:top w:val="single" w:sz="4" w:space="0" w:color="A6A6A6"/>
            </w:tcBorders>
            <w:hideMark/>
          </w:tcPr>
          <w:p w14:paraId="4240BDEB" w14:textId="77777777" w:rsidR="003E4716" w:rsidRPr="002029AF" w:rsidRDefault="003E4716" w:rsidP="008340C1">
            <w:pPr>
              <w:pStyle w:val="ARfintablebodyright"/>
            </w:pPr>
            <w:r>
              <w:t>–</w:t>
            </w:r>
          </w:p>
        </w:tc>
        <w:tc>
          <w:tcPr>
            <w:tcW w:w="1134" w:type="dxa"/>
            <w:tcBorders>
              <w:top w:val="single" w:sz="4" w:space="0" w:color="A6A6A6"/>
            </w:tcBorders>
            <w:hideMark/>
          </w:tcPr>
          <w:p w14:paraId="48C2C24D" w14:textId="77777777" w:rsidR="003E4716" w:rsidRPr="002029AF" w:rsidRDefault="003E4716" w:rsidP="008340C1">
            <w:pPr>
              <w:pStyle w:val="ARfintablebodyright"/>
            </w:pPr>
            <w:r>
              <w:t>–</w:t>
            </w:r>
          </w:p>
        </w:tc>
      </w:tr>
      <w:tr w:rsidR="003E4716" w:rsidRPr="002029AF" w14:paraId="5B9DE8E6" w14:textId="77777777" w:rsidTr="008340C1">
        <w:tc>
          <w:tcPr>
            <w:tcW w:w="5103" w:type="dxa"/>
            <w:hideMark/>
          </w:tcPr>
          <w:p w14:paraId="3C314B77" w14:textId="77777777" w:rsidR="003E4716" w:rsidRPr="002029AF" w:rsidRDefault="003E4716" w:rsidP="008340C1">
            <w:pPr>
              <w:pStyle w:val="ARfintablebodybold"/>
            </w:pPr>
            <w:r w:rsidRPr="00812529">
              <w:t>Other reserves</w:t>
            </w:r>
          </w:p>
        </w:tc>
        <w:tc>
          <w:tcPr>
            <w:tcW w:w="1134" w:type="dxa"/>
            <w:hideMark/>
          </w:tcPr>
          <w:p w14:paraId="4A28E4A1" w14:textId="77777777" w:rsidR="003E4716" w:rsidRPr="002029AF" w:rsidRDefault="003E4716" w:rsidP="008340C1">
            <w:pPr>
              <w:pStyle w:val="ARfintablebodyrightbold"/>
            </w:pPr>
            <w:r w:rsidRPr="00812529">
              <w:t>655</w:t>
            </w:r>
          </w:p>
        </w:tc>
        <w:tc>
          <w:tcPr>
            <w:tcW w:w="1134" w:type="dxa"/>
          </w:tcPr>
          <w:p w14:paraId="1DD7CA82" w14:textId="77777777" w:rsidR="003E4716" w:rsidRPr="002029AF" w:rsidRDefault="003E4716" w:rsidP="008340C1">
            <w:pPr>
              <w:pStyle w:val="ARfintablebodyrightbold"/>
            </w:pPr>
            <w:r w:rsidRPr="00812529">
              <w:t>481</w:t>
            </w:r>
          </w:p>
        </w:tc>
        <w:tc>
          <w:tcPr>
            <w:tcW w:w="1134" w:type="dxa"/>
            <w:hideMark/>
          </w:tcPr>
          <w:p w14:paraId="7A80A4C8" w14:textId="77777777" w:rsidR="003E4716" w:rsidRPr="002029AF" w:rsidRDefault="003E4716" w:rsidP="008340C1">
            <w:pPr>
              <w:pStyle w:val="ARfintablebodyrightbold"/>
            </w:pPr>
            <w:r w:rsidRPr="00812529">
              <w:t>481</w:t>
            </w:r>
          </w:p>
        </w:tc>
        <w:tc>
          <w:tcPr>
            <w:tcW w:w="1134" w:type="dxa"/>
            <w:hideMark/>
          </w:tcPr>
          <w:p w14:paraId="343E7867" w14:textId="77777777" w:rsidR="003E4716" w:rsidRPr="002029AF" w:rsidRDefault="003E4716" w:rsidP="008340C1">
            <w:pPr>
              <w:pStyle w:val="ARfintablebodyrightbold"/>
            </w:pPr>
            <w:r w:rsidRPr="00812529">
              <w:t>36.1</w:t>
            </w:r>
          </w:p>
        </w:tc>
      </w:tr>
      <w:tr w:rsidR="003E4716" w:rsidRPr="002029AF" w14:paraId="0ED23773" w14:textId="77777777" w:rsidTr="008340C1">
        <w:tc>
          <w:tcPr>
            <w:tcW w:w="5103" w:type="dxa"/>
            <w:hideMark/>
          </w:tcPr>
          <w:p w14:paraId="53FCA575" w14:textId="77777777" w:rsidR="003E4716" w:rsidRPr="002029AF" w:rsidRDefault="003E4716" w:rsidP="008340C1">
            <w:pPr>
              <w:pStyle w:val="ARfintablebodybold"/>
            </w:pPr>
            <w:r w:rsidRPr="00812529">
              <w:t>Changes in equity</w:t>
            </w:r>
          </w:p>
        </w:tc>
        <w:tc>
          <w:tcPr>
            <w:tcW w:w="1134" w:type="dxa"/>
            <w:hideMark/>
          </w:tcPr>
          <w:p w14:paraId="1E64548B" w14:textId="77777777" w:rsidR="003E4716" w:rsidRPr="002029AF" w:rsidRDefault="003E4716" w:rsidP="008340C1">
            <w:pPr>
              <w:pStyle w:val="ARfintablebodyrightbold"/>
            </w:pPr>
            <w:r w:rsidRPr="00812529">
              <w:t>21,372</w:t>
            </w:r>
          </w:p>
        </w:tc>
        <w:tc>
          <w:tcPr>
            <w:tcW w:w="1134" w:type="dxa"/>
          </w:tcPr>
          <w:p w14:paraId="0A0C2693" w14:textId="77777777" w:rsidR="003E4716" w:rsidRPr="002029AF" w:rsidRDefault="003E4716" w:rsidP="008340C1">
            <w:pPr>
              <w:pStyle w:val="ARfintablebodyrightbold"/>
            </w:pPr>
            <w:r w:rsidRPr="00812529">
              <w:t>19,532</w:t>
            </w:r>
          </w:p>
        </w:tc>
        <w:tc>
          <w:tcPr>
            <w:tcW w:w="1134" w:type="dxa"/>
            <w:hideMark/>
          </w:tcPr>
          <w:p w14:paraId="0F309339" w14:textId="77777777" w:rsidR="003E4716" w:rsidRPr="002029AF" w:rsidRDefault="003E4716" w:rsidP="008340C1">
            <w:pPr>
              <w:pStyle w:val="ARfintablebodyrightbold"/>
            </w:pPr>
            <w:r w:rsidRPr="00812529">
              <w:t>19,355</w:t>
            </w:r>
          </w:p>
        </w:tc>
        <w:tc>
          <w:tcPr>
            <w:tcW w:w="1134" w:type="dxa"/>
            <w:hideMark/>
          </w:tcPr>
          <w:p w14:paraId="558C9F90" w14:textId="77777777" w:rsidR="003E4716" w:rsidRPr="002029AF" w:rsidRDefault="003E4716" w:rsidP="008340C1">
            <w:pPr>
              <w:pStyle w:val="ARfintablebodyrightbold"/>
            </w:pPr>
            <w:r w:rsidRPr="00812529">
              <w:t>10.4</w:t>
            </w:r>
          </w:p>
        </w:tc>
      </w:tr>
    </w:tbl>
    <w:p w14:paraId="31A5EBFA" w14:textId="77777777" w:rsidR="003E4716" w:rsidRPr="00C51B56" w:rsidRDefault="003E4716" w:rsidP="008340C1">
      <w:pPr>
        <w:pStyle w:val="ARbody"/>
      </w:pPr>
      <w:r w:rsidRPr="00C51B56">
        <w:br w:type="page"/>
      </w:r>
    </w:p>
    <w:p w14:paraId="455AAE50" w14:textId="77777777" w:rsidR="003E4716" w:rsidRDefault="003E4716" w:rsidP="00EF10EA">
      <w:pPr>
        <w:pStyle w:val="Heading3"/>
      </w:pPr>
      <w:r w:rsidRPr="00A13347">
        <w:t>Administered items statement for the financial year ended 30</w:t>
      </w:r>
      <w:r>
        <w:t xml:space="preserve"> </w:t>
      </w:r>
      <w:r w:rsidRPr="00A13347">
        <w:t>June</w:t>
      </w:r>
      <w:r>
        <w:t xml:space="preserve"> </w:t>
      </w:r>
      <w:r w:rsidRPr="00A13347">
        <w:t>202</w:t>
      </w:r>
      <w:bookmarkEnd w:id="670"/>
      <w:r>
        <w:t>2</w:t>
      </w:r>
    </w:p>
    <w:tbl>
      <w:tblPr>
        <w:tblStyle w:val="TableGrid"/>
        <w:tblW w:w="9639" w:type="dxa"/>
        <w:tblLook w:val="06A0" w:firstRow="1" w:lastRow="0" w:firstColumn="1" w:lastColumn="0" w:noHBand="1" w:noVBand="1"/>
      </w:tblPr>
      <w:tblGrid>
        <w:gridCol w:w="4502"/>
        <w:gridCol w:w="1130"/>
        <w:gridCol w:w="1131"/>
        <w:gridCol w:w="1133"/>
        <w:gridCol w:w="1134"/>
        <w:gridCol w:w="609"/>
      </w:tblGrid>
      <w:tr w:rsidR="003E4716" w:rsidRPr="002029AF" w14:paraId="72C0DF19" w14:textId="77777777" w:rsidTr="008340C1">
        <w:trPr>
          <w:cnfStyle w:val="100000000000" w:firstRow="1" w:lastRow="0" w:firstColumn="0" w:lastColumn="0" w:oddVBand="0" w:evenVBand="0" w:oddHBand="0" w:evenHBand="0" w:firstRowFirstColumn="0" w:firstRowLastColumn="0" w:lastRowFirstColumn="0" w:lastRowLastColumn="0"/>
          <w:tblHeader/>
        </w:trPr>
        <w:tc>
          <w:tcPr>
            <w:tcW w:w="4502" w:type="dxa"/>
            <w:tcBorders>
              <w:bottom w:val="single" w:sz="4" w:space="0" w:color="auto"/>
            </w:tcBorders>
            <w:hideMark/>
          </w:tcPr>
          <w:p w14:paraId="42DDFA65" w14:textId="77777777" w:rsidR="003E4716" w:rsidRPr="002029AF" w:rsidRDefault="003E4716" w:rsidP="008340C1">
            <w:pPr>
              <w:pStyle w:val="ARfintablecolhead"/>
            </w:pPr>
          </w:p>
        </w:tc>
        <w:tc>
          <w:tcPr>
            <w:tcW w:w="1130" w:type="dxa"/>
            <w:tcBorders>
              <w:bottom w:val="single" w:sz="4" w:space="0" w:color="auto"/>
            </w:tcBorders>
            <w:hideMark/>
          </w:tcPr>
          <w:p w14:paraId="58DBCB88" w14:textId="77777777" w:rsidR="003E4716" w:rsidRPr="002029AF" w:rsidRDefault="003E4716" w:rsidP="008340C1">
            <w:pPr>
              <w:pStyle w:val="ARfintablecolheadright"/>
            </w:pPr>
            <w:r w:rsidRPr="002029AF">
              <w:t>20</w:t>
            </w:r>
            <w:r>
              <w:t>20–21</w:t>
            </w:r>
          </w:p>
          <w:p w14:paraId="031C0E41" w14:textId="77777777" w:rsidR="003E4716" w:rsidRPr="002029AF" w:rsidRDefault="003E4716" w:rsidP="008340C1">
            <w:pPr>
              <w:pStyle w:val="ARfintablecolheadright"/>
            </w:pPr>
            <w:r w:rsidRPr="002029AF">
              <w:t>Actual</w:t>
            </w:r>
          </w:p>
          <w:p w14:paraId="665B9207" w14:textId="77777777" w:rsidR="003E4716" w:rsidRPr="002029AF" w:rsidRDefault="003E4716" w:rsidP="008340C1">
            <w:pPr>
              <w:pStyle w:val="ARfintablecolheadright"/>
            </w:pPr>
            <w:r w:rsidRPr="002029AF">
              <w:t>$M</w:t>
            </w:r>
          </w:p>
        </w:tc>
        <w:tc>
          <w:tcPr>
            <w:tcW w:w="1131" w:type="dxa"/>
            <w:tcBorders>
              <w:bottom w:val="single" w:sz="4" w:space="0" w:color="auto"/>
            </w:tcBorders>
          </w:tcPr>
          <w:p w14:paraId="61FDFC25" w14:textId="77777777" w:rsidR="003E4716" w:rsidRPr="002029AF" w:rsidRDefault="003E4716" w:rsidP="008340C1">
            <w:pPr>
              <w:pStyle w:val="ARfintablecolheadright"/>
            </w:pPr>
            <w:r w:rsidRPr="002029AF">
              <w:t>20</w:t>
            </w:r>
            <w:r>
              <w:t>20–21</w:t>
            </w:r>
          </w:p>
          <w:p w14:paraId="67BF13F8" w14:textId="77777777" w:rsidR="003E4716" w:rsidRPr="002029AF" w:rsidRDefault="003E4716" w:rsidP="008340C1">
            <w:pPr>
              <w:pStyle w:val="ARfintablecolheadright"/>
            </w:pPr>
            <w:r>
              <w:t>Revised</w:t>
            </w:r>
            <w:r w:rsidRPr="002029AF">
              <w:t xml:space="preserve"> budget</w:t>
            </w:r>
            <w:r>
              <w:t xml:space="preserve"> </w:t>
            </w:r>
            <w:r w:rsidRPr="002A4973">
              <w:rPr>
                <w:rStyle w:val="Superscript"/>
              </w:rPr>
              <w:t>(a)</w:t>
            </w:r>
          </w:p>
          <w:p w14:paraId="286E0CF4" w14:textId="77777777" w:rsidR="003E4716" w:rsidRPr="002029AF" w:rsidRDefault="003E4716" w:rsidP="008340C1">
            <w:pPr>
              <w:pStyle w:val="ARfintablecolheadright"/>
            </w:pPr>
            <w:r w:rsidRPr="002029AF">
              <w:t>$M</w:t>
            </w:r>
          </w:p>
        </w:tc>
        <w:tc>
          <w:tcPr>
            <w:tcW w:w="1133" w:type="dxa"/>
            <w:tcBorders>
              <w:bottom w:val="single" w:sz="4" w:space="0" w:color="auto"/>
            </w:tcBorders>
            <w:hideMark/>
          </w:tcPr>
          <w:p w14:paraId="20F3A9C9" w14:textId="77777777" w:rsidR="003E4716" w:rsidRPr="002029AF" w:rsidRDefault="003E4716" w:rsidP="008340C1">
            <w:pPr>
              <w:pStyle w:val="ARfintablecolheadright"/>
            </w:pPr>
            <w:r w:rsidRPr="002029AF">
              <w:t>20</w:t>
            </w:r>
            <w:r>
              <w:t>20–21</w:t>
            </w:r>
          </w:p>
          <w:p w14:paraId="3EC53FE3" w14:textId="77777777" w:rsidR="003E4716" w:rsidRPr="002029AF" w:rsidRDefault="003E4716" w:rsidP="008340C1">
            <w:pPr>
              <w:pStyle w:val="ARfintablecolheadright"/>
            </w:pPr>
            <w:r w:rsidRPr="002029AF">
              <w:t>Published budget</w:t>
            </w:r>
          </w:p>
          <w:p w14:paraId="3030C653" w14:textId="77777777" w:rsidR="003E4716" w:rsidRPr="002029AF" w:rsidRDefault="003E4716" w:rsidP="008340C1">
            <w:pPr>
              <w:pStyle w:val="ARfintablecolheadright"/>
            </w:pPr>
            <w:r w:rsidRPr="002029AF">
              <w:t>$M</w:t>
            </w:r>
          </w:p>
        </w:tc>
        <w:tc>
          <w:tcPr>
            <w:tcW w:w="1134" w:type="dxa"/>
            <w:tcBorders>
              <w:bottom w:val="single" w:sz="4" w:space="0" w:color="auto"/>
            </w:tcBorders>
            <w:noWrap/>
            <w:hideMark/>
          </w:tcPr>
          <w:p w14:paraId="5A353657" w14:textId="77777777" w:rsidR="003E4716" w:rsidRPr="002029AF" w:rsidRDefault="003E4716" w:rsidP="008340C1">
            <w:pPr>
              <w:pStyle w:val="ARfintablecolheadright"/>
            </w:pPr>
            <w:r w:rsidRPr="002029AF">
              <w:t>Variation to published budget</w:t>
            </w:r>
          </w:p>
          <w:p w14:paraId="46729FCA" w14:textId="77777777" w:rsidR="003E4716" w:rsidRPr="002029AF" w:rsidRDefault="003E4716" w:rsidP="008340C1">
            <w:pPr>
              <w:pStyle w:val="ARfintablecolheadright"/>
              <w:rPr>
                <w:rFonts w:ascii="Calibri" w:hAnsi="Calibri" w:cs="Calibri"/>
                <w:sz w:val="22"/>
                <w:szCs w:val="22"/>
              </w:rPr>
            </w:pPr>
            <w:r w:rsidRPr="002029AF">
              <w:t>%</w:t>
            </w:r>
          </w:p>
        </w:tc>
        <w:tc>
          <w:tcPr>
            <w:tcW w:w="609" w:type="dxa"/>
            <w:tcBorders>
              <w:bottom w:val="single" w:sz="4" w:space="0" w:color="auto"/>
            </w:tcBorders>
            <w:noWrap/>
            <w:hideMark/>
          </w:tcPr>
          <w:p w14:paraId="3668EFB6" w14:textId="77777777" w:rsidR="003E4716" w:rsidRPr="002029AF" w:rsidRDefault="003E4716" w:rsidP="008340C1">
            <w:pPr>
              <w:pStyle w:val="ARfintablecolheadcentre"/>
              <w:rPr>
                <w:rFonts w:ascii="Calibri" w:hAnsi="Calibri" w:cs="Calibri"/>
                <w:sz w:val="22"/>
                <w:szCs w:val="22"/>
              </w:rPr>
            </w:pPr>
            <w:r w:rsidRPr="002029AF">
              <w:t>Notes</w:t>
            </w:r>
          </w:p>
        </w:tc>
      </w:tr>
      <w:tr w:rsidR="003E4716" w:rsidRPr="002029AF" w14:paraId="49999349" w14:textId="77777777" w:rsidTr="008340C1">
        <w:tc>
          <w:tcPr>
            <w:tcW w:w="9639" w:type="dxa"/>
            <w:gridSpan w:val="6"/>
            <w:tcBorders>
              <w:top w:val="single" w:sz="4" w:space="0" w:color="auto"/>
              <w:bottom w:val="single" w:sz="4" w:space="0" w:color="A6A6A6"/>
            </w:tcBorders>
          </w:tcPr>
          <w:p w14:paraId="6C3BB4F2" w14:textId="77777777" w:rsidR="003E4716" w:rsidRPr="002029AF" w:rsidRDefault="003E4716" w:rsidP="008340C1">
            <w:pPr>
              <w:pStyle w:val="ARfintablebodybold"/>
              <w:rPr>
                <w:lang w:eastAsia="en-GB"/>
              </w:rPr>
            </w:pPr>
            <w:r w:rsidRPr="00AB7AFC">
              <w:t xml:space="preserve">Administered </w:t>
            </w:r>
            <w:r>
              <w:t>i</w:t>
            </w:r>
            <w:r w:rsidRPr="00AB7AFC">
              <w:t>ncome</w:t>
            </w:r>
          </w:p>
        </w:tc>
      </w:tr>
      <w:tr w:rsidR="003E4716" w:rsidRPr="002029AF" w14:paraId="237B3167" w14:textId="77777777" w:rsidTr="008340C1">
        <w:tc>
          <w:tcPr>
            <w:tcW w:w="4502" w:type="dxa"/>
            <w:tcBorders>
              <w:top w:val="single" w:sz="4" w:space="0" w:color="A6A6A6"/>
              <w:bottom w:val="single" w:sz="4" w:space="0" w:color="A6A6A6"/>
            </w:tcBorders>
            <w:hideMark/>
          </w:tcPr>
          <w:p w14:paraId="23B43C9A" w14:textId="77777777" w:rsidR="003E4716" w:rsidRPr="002029AF" w:rsidRDefault="003E4716" w:rsidP="008340C1">
            <w:pPr>
              <w:pStyle w:val="ARfintablebody"/>
              <w:rPr>
                <w:lang w:eastAsia="en-GB"/>
              </w:rPr>
            </w:pPr>
            <w:r w:rsidRPr="00AB7AFC">
              <w:t xml:space="preserve">Appropriations </w:t>
            </w:r>
            <w:r>
              <w:t>–</w:t>
            </w:r>
            <w:r w:rsidRPr="00AB7AFC">
              <w:t xml:space="preserve"> Payments made on behalf </w:t>
            </w:r>
            <w:r>
              <w:br/>
            </w:r>
            <w:r w:rsidRPr="00AB7AFC">
              <w:t>of the state</w:t>
            </w:r>
          </w:p>
        </w:tc>
        <w:tc>
          <w:tcPr>
            <w:tcW w:w="1130" w:type="dxa"/>
            <w:tcBorders>
              <w:top w:val="single" w:sz="4" w:space="0" w:color="A6A6A6"/>
              <w:bottom w:val="single" w:sz="4" w:space="0" w:color="A6A6A6"/>
            </w:tcBorders>
            <w:hideMark/>
          </w:tcPr>
          <w:p w14:paraId="548594B2" w14:textId="77777777" w:rsidR="003E4716" w:rsidRPr="002029AF" w:rsidRDefault="003E4716" w:rsidP="008340C1">
            <w:pPr>
              <w:pStyle w:val="ARfintablebodyright"/>
              <w:rPr>
                <w:lang w:eastAsia="en-GB"/>
              </w:rPr>
            </w:pPr>
            <w:r w:rsidRPr="00E97980">
              <w:t>–</w:t>
            </w:r>
          </w:p>
        </w:tc>
        <w:tc>
          <w:tcPr>
            <w:tcW w:w="1131" w:type="dxa"/>
            <w:tcBorders>
              <w:top w:val="single" w:sz="4" w:space="0" w:color="A6A6A6"/>
              <w:bottom w:val="single" w:sz="4" w:space="0" w:color="A6A6A6"/>
            </w:tcBorders>
          </w:tcPr>
          <w:p w14:paraId="23A645B6" w14:textId="77777777" w:rsidR="003E4716" w:rsidRPr="002029AF" w:rsidRDefault="003E4716" w:rsidP="008340C1">
            <w:pPr>
              <w:pStyle w:val="ARfintablebodyright"/>
              <w:rPr>
                <w:lang w:eastAsia="en-GB"/>
              </w:rPr>
            </w:pPr>
            <w:r w:rsidRPr="00E97980">
              <w:t>–</w:t>
            </w:r>
          </w:p>
        </w:tc>
        <w:tc>
          <w:tcPr>
            <w:tcW w:w="1133" w:type="dxa"/>
            <w:tcBorders>
              <w:top w:val="single" w:sz="4" w:space="0" w:color="A6A6A6"/>
              <w:bottom w:val="single" w:sz="4" w:space="0" w:color="A6A6A6"/>
            </w:tcBorders>
            <w:hideMark/>
          </w:tcPr>
          <w:p w14:paraId="3CCD10D0" w14:textId="77777777" w:rsidR="003E4716" w:rsidRPr="002029AF" w:rsidRDefault="003E4716" w:rsidP="008340C1">
            <w:pPr>
              <w:pStyle w:val="ARfintablebodyright"/>
              <w:rPr>
                <w:lang w:eastAsia="en-GB"/>
              </w:rPr>
            </w:pPr>
            <w:r w:rsidRPr="00E97980">
              <w:t>–</w:t>
            </w:r>
          </w:p>
        </w:tc>
        <w:tc>
          <w:tcPr>
            <w:tcW w:w="1134" w:type="dxa"/>
            <w:tcBorders>
              <w:top w:val="single" w:sz="4" w:space="0" w:color="A6A6A6"/>
              <w:bottom w:val="single" w:sz="4" w:space="0" w:color="A6A6A6"/>
            </w:tcBorders>
            <w:hideMark/>
          </w:tcPr>
          <w:p w14:paraId="220AD029" w14:textId="77777777" w:rsidR="003E4716" w:rsidRPr="002029AF" w:rsidRDefault="003E4716" w:rsidP="008340C1">
            <w:pPr>
              <w:pStyle w:val="ARfintablebodyright"/>
              <w:rPr>
                <w:lang w:eastAsia="en-GB"/>
              </w:rPr>
            </w:pPr>
            <w:r w:rsidRPr="00E97980">
              <w:t>–</w:t>
            </w:r>
          </w:p>
        </w:tc>
        <w:tc>
          <w:tcPr>
            <w:tcW w:w="609" w:type="dxa"/>
            <w:tcBorders>
              <w:top w:val="single" w:sz="4" w:space="0" w:color="A6A6A6"/>
              <w:bottom w:val="single" w:sz="4" w:space="0" w:color="A6A6A6"/>
            </w:tcBorders>
            <w:hideMark/>
          </w:tcPr>
          <w:p w14:paraId="13E06B25" w14:textId="77777777" w:rsidR="003E4716" w:rsidRPr="002029AF" w:rsidRDefault="003E4716" w:rsidP="008340C1">
            <w:pPr>
              <w:pStyle w:val="ARfintablebodycentre"/>
            </w:pPr>
          </w:p>
        </w:tc>
      </w:tr>
      <w:tr w:rsidR="003E4716" w:rsidRPr="002029AF" w14:paraId="15B0C6B1" w14:textId="77777777" w:rsidTr="008340C1">
        <w:tc>
          <w:tcPr>
            <w:tcW w:w="4502" w:type="dxa"/>
            <w:tcBorders>
              <w:top w:val="single" w:sz="4" w:space="0" w:color="A6A6A6"/>
              <w:bottom w:val="single" w:sz="4" w:space="0" w:color="A6A6A6"/>
            </w:tcBorders>
            <w:hideMark/>
          </w:tcPr>
          <w:p w14:paraId="4822F06B" w14:textId="77777777" w:rsidR="003E4716" w:rsidRPr="002029AF" w:rsidRDefault="003E4716" w:rsidP="008340C1">
            <w:pPr>
              <w:pStyle w:val="ARfintablebody"/>
              <w:rPr>
                <w:lang w:eastAsia="en-GB"/>
              </w:rPr>
            </w:pPr>
            <w:r w:rsidRPr="00AB7AFC">
              <w:t>Interest</w:t>
            </w:r>
          </w:p>
        </w:tc>
        <w:tc>
          <w:tcPr>
            <w:tcW w:w="1130" w:type="dxa"/>
            <w:tcBorders>
              <w:top w:val="single" w:sz="4" w:space="0" w:color="A6A6A6"/>
              <w:bottom w:val="single" w:sz="4" w:space="0" w:color="A6A6A6"/>
            </w:tcBorders>
            <w:hideMark/>
          </w:tcPr>
          <w:p w14:paraId="7F6E14F4" w14:textId="77777777" w:rsidR="003E4716" w:rsidRPr="002029AF" w:rsidRDefault="003E4716" w:rsidP="008340C1">
            <w:pPr>
              <w:pStyle w:val="ARfintablebodyright"/>
              <w:rPr>
                <w:lang w:eastAsia="en-GB"/>
              </w:rPr>
            </w:pPr>
            <w:r>
              <w:t>–</w:t>
            </w:r>
          </w:p>
        </w:tc>
        <w:tc>
          <w:tcPr>
            <w:tcW w:w="1131" w:type="dxa"/>
            <w:tcBorders>
              <w:top w:val="single" w:sz="4" w:space="0" w:color="A6A6A6"/>
              <w:bottom w:val="single" w:sz="4" w:space="0" w:color="A6A6A6"/>
            </w:tcBorders>
          </w:tcPr>
          <w:p w14:paraId="3D26DDE9" w14:textId="77777777" w:rsidR="003E4716" w:rsidRPr="002029AF" w:rsidRDefault="003E4716" w:rsidP="008340C1">
            <w:pPr>
              <w:pStyle w:val="ARfintablebodyright"/>
              <w:rPr>
                <w:lang w:eastAsia="en-GB"/>
              </w:rPr>
            </w:pPr>
            <w:r w:rsidRPr="00AB7AFC">
              <w:t>3</w:t>
            </w:r>
          </w:p>
        </w:tc>
        <w:tc>
          <w:tcPr>
            <w:tcW w:w="1133" w:type="dxa"/>
            <w:tcBorders>
              <w:top w:val="single" w:sz="4" w:space="0" w:color="A6A6A6"/>
              <w:bottom w:val="single" w:sz="4" w:space="0" w:color="A6A6A6"/>
            </w:tcBorders>
            <w:hideMark/>
          </w:tcPr>
          <w:p w14:paraId="171C047F" w14:textId="77777777" w:rsidR="003E4716" w:rsidRPr="002029AF" w:rsidRDefault="003E4716" w:rsidP="008340C1">
            <w:pPr>
              <w:pStyle w:val="ARfintablebodyright"/>
              <w:rPr>
                <w:lang w:eastAsia="en-GB"/>
              </w:rPr>
            </w:pPr>
            <w:r w:rsidRPr="00AB7AFC">
              <w:t>3</w:t>
            </w:r>
          </w:p>
        </w:tc>
        <w:tc>
          <w:tcPr>
            <w:tcW w:w="1134" w:type="dxa"/>
            <w:tcBorders>
              <w:top w:val="single" w:sz="4" w:space="0" w:color="A6A6A6"/>
              <w:bottom w:val="single" w:sz="4" w:space="0" w:color="A6A6A6"/>
            </w:tcBorders>
            <w:hideMark/>
          </w:tcPr>
          <w:p w14:paraId="28E52F3D" w14:textId="77777777" w:rsidR="003E4716" w:rsidRPr="002029AF" w:rsidRDefault="003E4716" w:rsidP="008340C1">
            <w:pPr>
              <w:pStyle w:val="ARfintablebodyright"/>
              <w:rPr>
                <w:lang w:eastAsia="en-GB"/>
              </w:rPr>
            </w:pPr>
            <w:r w:rsidRPr="00AB7AFC">
              <w:t>(100.0)</w:t>
            </w:r>
          </w:p>
        </w:tc>
        <w:tc>
          <w:tcPr>
            <w:tcW w:w="609" w:type="dxa"/>
            <w:tcBorders>
              <w:top w:val="single" w:sz="4" w:space="0" w:color="A6A6A6"/>
              <w:bottom w:val="single" w:sz="4" w:space="0" w:color="A6A6A6"/>
            </w:tcBorders>
            <w:hideMark/>
          </w:tcPr>
          <w:p w14:paraId="7B520C5A" w14:textId="77777777" w:rsidR="003E4716" w:rsidRPr="002029AF" w:rsidRDefault="003E4716" w:rsidP="008340C1">
            <w:pPr>
              <w:pStyle w:val="ARfintablebodycentre"/>
            </w:pPr>
          </w:p>
        </w:tc>
      </w:tr>
      <w:tr w:rsidR="003E4716" w:rsidRPr="002029AF" w14:paraId="3D7FCDF6" w14:textId="77777777" w:rsidTr="008340C1">
        <w:tc>
          <w:tcPr>
            <w:tcW w:w="4502" w:type="dxa"/>
            <w:tcBorders>
              <w:top w:val="single" w:sz="4" w:space="0" w:color="A6A6A6"/>
              <w:bottom w:val="single" w:sz="4" w:space="0" w:color="A6A6A6"/>
            </w:tcBorders>
            <w:hideMark/>
          </w:tcPr>
          <w:p w14:paraId="39C340A7" w14:textId="77777777" w:rsidR="003E4716" w:rsidRPr="002029AF" w:rsidRDefault="003E4716" w:rsidP="008340C1">
            <w:pPr>
              <w:pStyle w:val="ARfintablebody"/>
              <w:rPr>
                <w:lang w:eastAsia="en-GB"/>
              </w:rPr>
            </w:pPr>
            <w:r w:rsidRPr="00AB7AFC">
              <w:t>Sales of goods and services</w:t>
            </w:r>
          </w:p>
        </w:tc>
        <w:tc>
          <w:tcPr>
            <w:tcW w:w="1130" w:type="dxa"/>
            <w:tcBorders>
              <w:top w:val="single" w:sz="4" w:space="0" w:color="A6A6A6"/>
              <w:bottom w:val="single" w:sz="4" w:space="0" w:color="A6A6A6"/>
            </w:tcBorders>
            <w:hideMark/>
          </w:tcPr>
          <w:p w14:paraId="12942408" w14:textId="77777777" w:rsidR="003E4716" w:rsidRPr="002029AF" w:rsidRDefault="003E4716" w:rsidP="008340C1">
            <w:pPr>
              <w:pStyle w:val="ARfintablebodyright"/>
              <w:rPr>
                <w:lang w:eastAsia="en-GB"/>
              </w:rPr>
            </w:pPr>
            <w:r w:rsidRPr="00AB7AFC">
              <w:t>288</w:t>
            </w:r>
          </w:p>
        </w:tc>
        <w:tc>
          <w:tcPr>
            <w:tcW w:w="1131" w:type="dxa"/>
            <w:tcBorders>
              <w:top w:val="single" w:sz="4" w:space="0" w:color="A6A6A6"/>
              <w:bottom w:val="single" w:sz="4" w:space="0" w:color="A6A6A6"/>
            </w:tcBorders>
          </w:tcPr>
          <w:p w14:paraId="583706D2" w14:textId="77777777" w:rsidR="003E4716" w:rsidRPr="002029AF" w:rsidRDefault="003E4716" w:rsidP="008340C1">
            <w:pPr>
              <w:pStyle w:val="ARfintablebodyright"/>
              <w:rPr>
                <w:lang w:eastAsia="en-GB"/>
              </w:rPr>
            </w:pPr>
            <w:r w:rsidRPr="00AB7AFC">
              <w:t>294</w:t>
            </w:r>
          </w:p>
        </w:tc>
        <w:tc>
          <w:tcPr>
            <w:tcW w:w="1133" w:type="dxa"/>
            <w:tcBorders>
              <w:top w:val="single" w:sz="4" w:space="0" w:color="A6A6A6"/>
              <w:bottom w:val="single" w:sz="4" w:space="0" w:color="A6A6A6"/>
            </w:tcBorders>
            <w:hideMark/>
          </w:tcPr>
          <w:p w14:paraId="520D7DCE" w14:textId="77777777" w:rsidR="003E4716" w:rsidRPr="002029AF" w:rsidRDefault="003E4716" w:rsidP="008340C1">
            <w:pPr>
              <w:pStyle w:val="ARfintablebodyright"/>
              <w:rPr>
                <w:lang w:eastAsia="en-GB"/>
              </w:rPr>
            </w:pPr>
            <w:r w:rsidRPr="00AB7AFC">
              <w:t>295</w:t>
            </w:r>
          </w:p>
        </w:tc>
        <w:tc>
          <w:tcPr>
            <w:tcW w:w="1134" w:type="dxa"/>
            <w:tcBorders>
              <w:top w:val="single" w:sz="4" w:space="0" w:color="A6A6A6"/>
              <w:bottom w:val="single" w:sz="4" w:space="0" w:color="A6A6A6"/>
            </w:tcBorders>
            <w:hideMark/>
          </w:tcPr>
          <w:p w14:paraId="6AA027AB" w14:textId="77777777" w:rsidR="003E4716" w:rsidRPr="002029AF" w:rsidRDefault="003E4716" w:rsidP="008340C1">
            <w:pPr>
              <w:pStyle w:val="ARfintablebodyright"/>
              <w:rPr>
                <w:lang w:eastAsia="en-GB"/>
              </w:rPr>
            </w:pPr>
            <w:r w:rsidRPr="00AB7AFC">
              <w:t>(2.3)</w:t>
            </w:r>
          </w:p>
        </w:tc>
        <w:tc>
          <w:tcPr>
            <w:tcW w:w="609" w:type="dxa"/>
            <w:tcBorders>
              <w:top w:val="single" w:sz="4" w:space="0" w:color="A6A6A6"/>
              <w:bottom w:val="single" w:sz="4" w:space="0" w:color="A6A6A6"/>
            </w:tcBorders>
            <w:hideMark/>
          </w:tcPr>
          <w:p w14:paraId="1D1EB12D" w14:textId="77777777" w:rsidR="003E4716" w:rsidRPr="002029AF" w:rsidRDefault="003E4716" w:rsidP="008340C1">
            <w:pPr>
              <w:pStyle w:val="ARfintablebodycentre"/>
            </w:pPr>
          </w:p>
        </w:tc>
      </w:tr>
      <w:tr w:rsidR="003E4716" w:rsidRPr="002029AF" w14:paraId="4A19A2C1" w14:textId="77777777" w:rsidTr="008340C1">
        <w:tc>
          <w:tcPr>
            <w:tcW w:w="4502" w:type="dxa"/>
            <w:tcBorders>
              <w:top w:val="single" w:sz="4" w:space="0" w:color="A6A6A6"/>
              <w:bottom w:val="single" w:sz="4" w:space="0" w:color="A6A6A6"/>
            </w:tcBorders>
            <w:hideMark/>
          </w:tcPr>
          <w:p w14:paraId="6B0D1C33" w14:textId="77777777" w:rsidR="003E4716" w:rsidRPr="002029AF" w:rsidRDefault="003E4716" w:rsidP="008340C1">
            <w:pPr>
              <w:pStyle w:val="ARfintablebody"/>
              <w:rPr>
                <w:lang w:eastAsia="en-GB"/>
              </w:rPr>
            </w:pPr>
            <w:r w:rsidRPr="00AB7AFC">
              <w:t>Grants</w:t>
            </w:r>
          </w:p>
        </w:tc>
        <w:tc>
          <w:tcPr>
            <w:tcW w:w="1130" w:type="dxa"/>
            <w:tcBorders>
              <w:top w:val="single" w:sz="4" w:space="0" w:color="A6A6A6"/>
              <w:bottom w:val="single" w:sz="4" w:space="0" w:color="A6A6A6"/>
            </w:tcBorders>
            <w:hideMark/>
          </w:tcPr>
          <w:p w14:paraId="70FFB574" w14:textId="77777777" w:rsidR="003E4716" w:rsidRPr="002029AF" w:rsidRDefault="003E4716" w:rsidP="008340C1">
            <w:pPr>
              <w:pStyle w:val="ARfintablebodyright"/>
              <w:rPr>
                <w:lang w:eastAsia="en-GB"/>
              </w:rPr>
            </w:pPr>
            <w:r w:rsidRPr="00AB7AFC">
              <w:t>15,692</w:t>
            </w:r>
          </w:p>
        </w:tc>
        <w:tc>
          <w:tcPr>
            <w:tcW w:w="1131" w:type="dxa"/>
            <w:tcBorders>
              <w:top w:val="single" w:sz="4" w:space="0" w:color="A6A6A6"/>
              <w:bottom w:val="single" w:sz="4" w:space="0" w:color="A6A6A6"/>
            </w:tcBorders>
          </w:tcPr>
          <w:p w14:paraId="1CE116C2" w14:textId="77777777" w:rsidR="003E4716" w:rsidRPr="002029AF" w:rsidRDefault="003E4716" w:rsidP="008340C1">
            <w:pPr>
              <w:pStyle w:val="ARfintablebodyright"/>
              <w:rPr>
                <w:lang w:eastAsia="en-GB"/>
              </w:rPr>
            </w:pPr>
            <w:r w:rsidRPr="00AB7AFC">
              <w:t>13,891</w:t>
            </w:r>
          </w:p>
        </w:tc>
        <w:tc>
          <w:tcPr>
            <w:tcW w:w="1133" w:type="dxa"/>
            <w:tcBorders>
              <w:top w:val="single" w:sz="4" w:space="0" w:color="A6A6A6"/>
              <w:bottom w:val="single" w:sz="4" w:space="0" w:color="A6A6A6"/>
            </w:tcBorders>
            <w:hideMark/>
          </w:tcPr>
          <w:p w14:paraId="0232CE72" w14:textId="77777777" w:rsidR="003E4716" w:rsidRPr="002029AF" w:rsidRDefault="003E4716" w:rsidP="008340C1">
            <w:pPr>
              <w:pStyle w:val="ARfintablebodyright"/>
              <w:rPr>
                <w:lang w:eastAsia="en-GB"/>
              </w:rPr>
            </w:pPr>
            <w:r w:rsidRPr="00AB7AFC">
              <w:t>12,730</w:t>
            </w:r>
          </w:p>
        </w:tc>
        <w:tc>
          <w:tcPr>
            <w:tcW w:w="1134" w:type="dxa"/>
            <w:tcBorders>
              <w:top w:val="single" w:sz="4" w:space="0" w:color="A6A6A6"/>
              <w:bottom w:val="single" w:sz="4" w:space="0" w:color="A6A6A6"/>
            </w:tcBorders>
            <w:hideMark/>
          </w:tcPr>
          <w:p w14:paraId="7226A734" w14:textId="77777777" w:rsidR="003E4716" w:rsidRPr="002029AF" w:rsidRDefault="003E4716" w:rsidP="008340C1">
            <w:pPr>
              <w:pStyle w:val="ARfintablebodyright"/>
              <w:rPr>
                <w:lang w:eastAsia="en-GB"/>
              </w:rPr>
            </w:pPr>
            <w:r w:rsidRPr="00AB7AFC">
              <w:t>23.3</w:t>
            </w:r>
          </w:p>
        </w:tc>
        <w:tc>
          <w:tcPr>
            <w:tcW w:w="609" w:type="dxa"/>
            <w:tcBorders>
              <w:top w:val="single" w:sz="4" w:space="0" w:color="A6A6A6"/>
              <w:bottom w:val="single" w:sz="4" w:space="0" w:color="A6A6A6"/>
            </w:tcBorders>
            <w:hideMark/>
          </w:tcPr>
          <w:p w14:paraId="4FE97426" w14:textId="77777777" w:rsidR="003E4716" w:rsidRPr="002029AF" w:rsidRDefault="003E4716" w:rsidP="008340C1">
            <w:pPr>
              <w:pStyle w:val="ARfintablebodycentre"/>
            </w:pPr>
            <w:r w:rsidRPr="00AB7AFC">
              <w:t>(a)</w:t>
            </w:r>
          </w:p>
        </w:tc>
      </w:tr>
      <w:tr w:rsidR="003E4716" w:rsidRPr="002029AF" w14:paraId="2C37523E" w14:textId="77777777" w:rsidTr="008340C1">
        <w:tc>
          <w:tcPr>
            <w:tcW w:w="4502" w:type="dxa"/>
            <w:tcBorders>
              <w:top w:val="single" w:sz="4" w:space="0" w:color="A6A6A6"/>
            </w:tcBorders>
            <w:hideMark/>
          </w:tcPr>
          <w:p w14:paraId="5485B4DB" w14:textId="77777777" w:rsidR="003E4716" w:rsidRPr="002029AF" w:rsidRDefault="003E4716" w:rsidP="008340C1">
            <w:pPr>
              <w:pStyle w:val="ARfintablebody"/>
              <w:rPr>
                <w:lang w:eastAsia="en-GB"/>
              </w:rPr>
            </w:pPr>
            <w:r w:rsidRPr="00AB7AFC">
              <w:t>Other income</w:t>
            </w:r>
          </w:p>
        </w:tc>
        <w:tc>
          <w:tcPr>
            <w:tcW w:w="1130" w:type="dxa"/>
            <w:tcBorders>
              <w:top w:val="single" w:sz="4" w:space="0" w:color="A6A6A6"/>
            </w:tcBorders>
            <w:hideMark/>
          </w:tcPr>
          <w:p w14:paraId="2878213B" w14:textId="77777777" w:rsidR="003E4716" w:rsidRPr="002029AF" w:rsidRDefault="003E4716" w:rsidP="008340C1">
            <w:pPr>
              <w:pStyle w:val="ARfintablebodyright"/>
              <w:rPr>
                <w:lang w:eastAsia="en-GB"/>
              </w:rPr>
            </w:pPr>
            <w:r w:rsidRPr="00AB7AFC">
              <w:t>9</w:t>
            </w:r>
          </w:p>
        </w:tc>
        <w:tc>
          <w:tcPr>
            <w:tcW w:w="1131" w:type="dxa"/>
            <w:tcBorders>
              <w:top w:val="single" w:sz="4" w:space="0" w:color="A6A6A6"/>
            </w:tcBorders>
          </w:tcPr>
          <w:p w14:paraId="239FAEF3" w14:textId="77777777" w:rsidR="003E4716" w:rsidRPr="002029AF" w:rsidRDefault="003E4716" w:rsidP="008340C1">
            <w:pPr>
              <w:pStyle w:val="ARfintablebodyright"/>
              <w:rPr>
                <w:lang w:eastAsia="en-GB"/>
              </w:rPr>
            </w:pPr>
            <w:r w:rsidRPr="00AB7AFC">
              <w:t>11</w:t>
            </w:r>
          </w:p>
        </w:tc>
        <w:tc>
          <w:tcPr>
            <w:tcW w:w="1133" w:type="dxa"/>
            <w:tcBorders>
              <w:top w:val="single" w:sz="4" w:space="0" w:color="A6A6A6"/>
            </w:tcBorders>
            <w:hideMark/>
          </w:tcPr>
          <w:p w14:paraId="400763F0" w14:textId="77777777" w:rsidR="003E4716" w:rsidRPr="002029AF" w:rsidRDefault="003E4716" w:rsidP="008340C1">
            <w:pPr>
              <w:pStyle w:val="ARfintablebodyright"/>
              <w:rPr>
                <w:lang w:eastAsia="en-GB"/>
              </w:rPr>
            </w:pPr>
            <w:r w:rsidRPr="00AB7AFC">
              <w:t>33</w:t>
            </w:r>
          </w:p>
        </w:tc>
        <w:tc>
          <w:tcPr>
            <w:tcW w:w="1134" w:type="dxa"/>
            <w:tcBorders>
              <w:top w:val="single" w:sz="4" w:space="0" w:color="A6A6A6"/>
            </w:tcBorders>
            <w:hideMark/>
          </w:tcPr>
          <w:p w14:paraId="7691C8D9" w14:textId="77777777" w:rsidR="003E4716" w:rsidRPr="002029AF" w:rsidRDefault="003E4716" w:rsidP="008340C1">
            <w:pPr>
              <w:pStyle w:val="ARfintablebodyright"/>
              <w:rPr>
                <w:lang w:eastAsia="en-GB"/>
              </w:rPr>
            </w:pPr>
            <w:r w:rsidRPr="00AB7AFC">
              <w:t>(72.6)</w:t>
            </w:r>
          </w:p>
        </w:tc>
        <w:tc>
          <w:tcPr>
            <w:tcW w:w="609" w:type="dxa"/>
            <w:tcBorders>
              <w:top w:val="single" w:sz="4" w:space="0" w:color="A6A6A6"/>
            </w:tcBorders>
            <w:hideMark/>
          </w:tcPr>
          <w:p w14:paraId="51D324CB" w14:textId="77777777" w:rsidR="003E4716" w:rsidRPr="002029AF" w:rsidRDefault="003E4716" w:rsidP="008340C1">
            <w:pPr>
              <w:pStyle w:val="ARfintablebodycentre"/>
            </w:pPr>
          </w:p>
        </w:tc>
      </w:tr>
      <w:tr w:rsidR="003E4716" w:rsidRPr="002029AF" w14:paraId="241FB540" w14:textId="77777777" w:rsidTr="008340C1">
        <w:tc>
          <w:tcPr>
            <w:tcW w:w="4502" w:type="dxa"/>
            <w:tcBorders>
              <w:bottom w:val="single" w:sz="4" w:space="0" w:color="auto"/>
            </w:tcBorders>
            <w:hideMark/>
          </w:tcPr>
          <w:p w14:paraId="615AEDD6" w14:textId="77777777" w:rsidR="003E4716" w:rsidRPr="002029AF" w:rsidRDefault="003E4716" w:rsidP="008340C1">
            <w:pPr>
              <w:pStyle w:val="ARfintablebodybold"/>
              <w:rPr>
                <w:lang w:eastAsia="en-GB"/>
              </w:rPr>
            </w:pPr>
            <w:r w:rsidRPr="00AB7AFC">
              <w:t>Total administered income</w:t>
            </w:r>
          </w:p>
        </w:tc>
        <w:tc>
          <w:tcPr>
            <w:tcW w:w="1130" w:type="dxa"/>
            <w:tcBorders>
              <w:bottom w:val="single" w:sz="4" w:space="0" w:color="auto"/>
            </w:tcBorders>
            <w:hideMark/>
          </w:tcPr>
          <w:p w14:paraId="7863185C" w14:textId="77777777" w:rsidR="003E4716" w:rsidRPr="002029AF" w:rsidRDefault="003E4716" w:rsidP="008340C1">
            <w:pPr>
              <w:pStyle w:val="ARfintablebodyrightbold"/>
              <w:rPr>
                <w:lang w:eastAsia="en-GB"/>
              </w:rPr>
            </w:pPr>
            <w:r w:rsidRPr="00AB7AFC">
              <w:t>15,990</w:t>
            </w:r>
          </w:p>
        </w:tc>
        <w:tc>
          <w:tcPr>
            <w:tcW w:w="1131" w:type="dxa"/>
            <w:tcBorders>
              <w:bottom w:val="single" w:sz="4" w:space="0" w:color="auto"/>
            </w:tcBorders>
          </w:tcPr>
          <w:p w14:paraId="0CAA77AA" w14:textId="77777777" w:rsidR="003E4716" w:rsidRPr="002029AF" w:rsidRDefault="003E4716" w:rsidP="008340C1">
            <w:pPr>
              <w:pStyle w:val="ARfintablebodyrightbold"/>
              <w:rPr>
                <w:lang w:eastAsia="en-GB"/>
              </w:rPr>
            </w:pPr>
            <w:r w:rsidRPr="00AB7AFC">
              <w:t>14,199</w:t>
            </w:r>
          </w:p>
        </w:tc>
        <w:tc>
          <w:tcPr>
            <w:tcW w:w="1133" w:type="dxa"/>
            <w:tcBorders>
              <w:bottom w:val="single" w:sz="4" w:space="0" w:color="auto"/>
            </w:tcBorders>
            <w:hideMark/>
          </w:tcPr>
          <w:p w14:paraId="02BD5A00" w14:textId="77777777" w:rsidR="003E4716" w:rsidRPr="002029AF" w:rsidRDefault="003E4716" w:rsidP="008340C1">
            <w:pPr>
              <w:pStyle w:val="ARfintablebodyrightbold"/>
              <w:rPr>
                <w:lang w:eastAsia="en-GB"/>
              </w:rPr>
            </w:pPr>
            <w:r w:rsidRPr="00AB7AFC">
              <w:t>13,060</w:t>
            </w:r>
          </w:p>
        </w:tc>
        <w:tc>
          <w:tcPr>
            <w:tcW w:w="1134" w:type="dxa"/>
            <w:tcBorders>
              <w:bottom w:val="single" w:sz="4" w:space="0" w:color="auto"/>
            </w:tcBorders>
            <w:hideMark/>
          </w:tcPr>
          <w:p w14:paraId="3532700B" w14:textId="77777777" w:rsidR="003E4716" w:rsidRPr="002029AF" w:rsidRDefault="003E4716" w:rsidP="008340C1">
            <w:pPr>
              <w:pStyle w:val="ARfintablebodyrightbold"/>
              <w:rPr>
                <w:lang w:eastAsia="en-GB"/>
              </w:rPr>
            </w:pPr>
            <w:r w:rsidRPr="00AB7AFC">
              <w:t>22.4</w:t>
            </w:r>
          </w:p>
        </w:tc>
        <w:tc>
          <w:tcPr>
            <w:tcW w:w="609" w:type="dxa"/>
            <w:tcBorders>
              <w:bottom w:val="single" w:sz="4" w:space="0" w:color="auto"/>
            </w:tcBorders>
            <w:hideMark/>
          </w:tcPr>
          <w:p w14:paraId="6B0118C2" w14:textId="77777777" w:rsidR="003E4716" w:rsidRPr="002029AF" w:rsidRDefault="003E4716" w:rsidP="008340C1">
            <w:pPr>
              <w:pStyle w:val="ARfintablebodycentre"/>
            </w:pPr>
          </w:p>
        </w:tc>
      </w:tr>
      <w:tr w:rsidR="003E4716" w:rsidRPr="002029AF" w14:paraId="1697B8A3" w14:textId="77777777" w:rsidTr="008340C1">
        <w:tc>
          <w:tcPr>
            <w:tcW w:w="9639" w:type="dxa"/>
            <w:gridSpan w:val="6"/>
            <w:tcBorders>
              <w:top w:val="single" w:sz="4" w:space="0" w:color="auto"/>
              <w:bottom w:val="single" w:sz="4" w:space="0" w:color="A6A6A6"/>
            </w:tcBorders>
          </w:tcPr>
          <w:p w14:paraId="6F792BF1" w14:textId="77777777" w:rsidR="003E4716" w:rsidRPr="002029AF" w:rsidRDefault="003E4716" w:rsidP="008340C1">
            <w:pPr>
              <w:pStyle w:val="ARfintablebodybold"/>
              <w:rPr>
                <w:lang w:eastAsia="en-GB"/>
              </w:rPr>
            </w:pPr>
            <w:r w:rsidRPr="00AB7AFC">
              <w:t xml:space="preserve">Administered </w:t>
            </w:r>
            <w:r>
              <w:t>e</w:t>
            </w:r>
            <w:r w:rsidRPr="00AB7AFC">
              <w:t>xpenses</w:t>
            </w:r>
          </w:p>
        </w:tc>
      </w:tr>
      <w:tr w:rsidR="003E4716" w:rsidRPr="002029AF" w14:paraId="18D95AD1" w14:textId="77777777" w:rsidTr="008340C1">
        <w:tc>
          <w:tcPr>
            <w:tcW w:w="4502" w:type="dxa"/>
            <w:tcBorders>
              <w:top w:val="single" w:sz="4" w:space="0" w:color="A6A6A6"/>
              <w:bottom w:val="single" w:sz="4" w:space="0" w:color="A6A6A6"/>
            </w:tcBorders>
            <w:hideMark/>
          </w:tcPr>
          <w:p w14:paraId="5592F0E6" w14:textId="77777777" w:rsidR="003E4716" w:rsidRPr="002029AF" w:rsidRDefault="003E4716" w:rsidP="008340C1">
            <w:pPr>
              <w:pStyle w:val="ARfintablebody"/>
              <w:rPr>
                <w:lang w:eastAsia="en-GB"/>
              </w:rPr>
            </w:pPr>
            <w:r w:rsidRPr="00AB7AFC">
              <w:t>Grants and other transfers</w:t>
            </w:r>
          </w:p>
        </w:tc>
        <w:tc>
          <w:tcPr>
            <w:tcW w:w="1130" w:type="dxa"/>
            <w:tcBorders>
              <w:top w:val="single" w:sz="4" w:space="0" w:color="A6A6A6"/>
              <w:bottom w:val="single" w:sz="4" w:space="0" w:color="A6A6A6"/>
            </w:tcBorders>
            <w:hideMark/>
          </w:tcPr>
          <w:p w14:paraId="01307D6D" w14:textId="77777777" w:rsidR="003E4716" w:rsidRPr="002029AF" w:rsidRDefault="003E4716" w:rsidP="008340C1">
            <w:pPr>
              <w:pStyle w:val="ARfintablebodyright"/>
              <w:rPr>
                <w:lang w:eastAsia="en-GB"/>
              </w:rPr>
            </w:pPr>
            <w:r w:rsidRPr="00AB7AFC">
              <w:t>14,584</w:t>
            </w:r>
          </w:p>
        </w:tc>
        <w:tc>
          <w:tcPr>
            <w:tcW w:w="1131" w:type="dxa"/>
            <w:tcBorders>
              <w:top w:val="single" w:sz="4" w:space="0" w:color="A6A6A6"/>
              <w:bottom w:val="single" w:sz="4" w:space="0" w:color="A6A6A6"/>
            </w:tcBorders>
          </w:tcPr>
          <w:p w14:paraId="3C487838" w14:textId="77777777" w:rsidR="003E4716" w:rsidRPr="002029AF" w:rsidRDefault="003E4716" w:rsidP="008340C1">
            <w:pPr>
              <w:pStyle w:val="ARfintablebodyright"/>
              <w:rPr>
                <w:lang w:eastAsia="en-GB"/>
              </w:rPr>
            </w:pPr>
            <w:r w:rsidRPr="00AB7AFC">
              <w:t>12,766</w:t>
            </w:r>
          </w:p>
        </w:tc>
        <w:tc>
          <w:tcPr>
            <w:tcW w:w="1133" w:type="dxa"/>
            <w:tcBorders>
              <w:top w:val="single" w:sz="4" w:space="0" w:color="A6A6A6"/>
              <w:bottom w:val="single" w:sz="4" w:space="0" w:color="A6A6A6"/>
            </w:tcBorders>
            <w:hideMark/>
          </w:tcPr>
          <w:p w14:paraId="4338C9F9" w14:textId="77777777" w:rsidR="003E4716" w:rsidRPr="002029AF" w:rsidRDefault="003E4716" w:rsidP="008340C1">
            <w:pPr>
              <w:pStyle w:val="ARfintablebodyright"/>
              <w:rPr>
                <w:lang w:eastAsia="en-GB"/>
              </w:rPr>
            </w:pPr>
            <w:r w:rsidRPr="00AB7AFC">
              <w:t>11,851</w:t>
            </w:r>
          </w:p>
        </w:tc>
        <w:tc>
          <w:tcPr>
            <w:tcW w:w="1134" w:type="dxa"/>
            <w:tcBorders>
              <w:top w:val="single" w:sz="4" w:space="0" w:color="A6A6A6"/>
              <w:bottom w:val="single" w:sz="4" w:space="0" w:color="A6A6A6"/>
            </w:tcBorders>
            <w:hideMark/>
          </w:tcPr>
          <w:p w14:paraId="74A91B4A" w14:textId="77777777" w:rsidR="003E4716" w:rsidRPr="002029AF" w:rsidRDefault="003E4716" w:rsidP="008340C1">
            <w:pPr>
              <w:pStyle w:val="ARfintablebodyright"/>
              <w:rPr>
                <w:lang w:eastAsia="en-GB"/>
              </w:rPr>
            </w:pPr>
            <w:r w:rsidRPr="00AB7AFC">
              <w:t>23.1</w:t>
            </w:r>
          </w:p>
        </w:tc>
        <w:tc>
          <w:tcPr>
            <w:tcW w:w="609" w:type="dxa"/>
            <w:tcBorders>
              <w:top w:val="single" w:sz="4" w:space="0" w:color="A6A6A6"/>
              <w:bottom w:val="single" w:sz="4" w:space="0" w:color="A6A6A6"/>
            </w:tcBorders>
            <w:hideMark/>
          </w:tcPr>
          <w:p w14:paraId="1688CAD0" w14:textId="77777777" w:rsidR="003E4716" w:rsidRPr="002029AF" w:rsidRDefault="003E4716" w:rsidP="008340C1">
            <w:pPr>
              <w:pStyle w:val="ARfintablebodycentre"/>
              <w:rPr>
                <w:lang w:eastAsia="en-GB"/>
              </w:rPr>
            </w:pPr>
            <w:r w:rsidRPr="00AB7AFC">
              <w:t>(b)</w:t>
            </w:r>
          </w:p>
        </w:tc>
      </w:tr>
      <w:tr w:rsidR="003E4716" w:rsidRPr="002029AF" w14:paraId="6AE4F6D9" w14:textId="77777777" w:rsidTr="008340C1">
        <w:tc>
          <w:tcPr>
            <w:tcW w:w="4502" w:type="dxa"/>
            <w:tcBorders>
              <w:top w:val="single" w:sz="4" w:space="0" w:color="A6A6A6"/>
              <w:bottom w:val="single" w:sz="4" w:space="0" w:color="A6A6A6"/>
            </w:tcBorders>
            <w:hideMark/>
          </w:tcPr>
          <w:p w14:paraId="657DC1D1" w14:textId="77777777" w:rsidR="003E4716" w:rsidRPr="002029AF" w:rsidRDefault="003E4716" w:rsidP="008340C1">
            <w:pPr>
              <w:pStyle w:val="ARfintablebody"/>
              <w:rPr>
                <w:lang w:eastAsia="en-GB"/>
              </w:rPr>
            </w:pPr>
            <w:r w:rsidRPr="00AB7AFC">
              <w:t>Payments into consolidated fund</w:t>
            </w:r>
          </w:p>
        </w:tc>
        <w:tc>
          <w:tcPr>
            <w:tcW w:w="1130" w:type="dxa"/>
            <w:tcBorders>
              <w:top w:val="single" w:sz="4" w:space="0" w:color="A6A6A6"/>
              <w:bottom w:val="single" w:sz="4" w:space="0" w:color="A6A6A6"/>
            </w:tcBorders>
            <w:hideMark/>
          </w:tcPr>
          <w:p w14:paraId="24814A1E" w14:textId="77777777" w:rsidR="003E4716" w:rsidRPr="002029AF" w:rsidRDefault="003E4716" w:rsidP="008340C1">
            <w:pPr>
              <w:pStyle w:val="ARfintablebodyright"/>
              <w:rPr>
                <w:lang w:eastAsia="en-GB"/>
              </w:rPr>
            </w:pPr>
            <w:r w:rsidRPr="00AB7AFC">
              <w:t>400</w:t>
            </w:r>
          </w:p>
        </w:tc>
        <w:tc>
          <w:tcPr>
            <w:tcW w:w="1131" w:type="dxa"/>
            <w:tcBorders>
              <w:top w:val="single" w:sz="4" w:space="0" w:color="A6A6A6"/>
              <w:bottom w:val="single" w:sz="4" w:space="0" w:color="A6A6A6"/>
            </w:tcBorders>
          </w:tcPr>
          <w:p w14:paraId="0F05168D" w14:textId="77777777" w:rsidR="003E4716" w:rsidRPr="002029AF" w:rsidRDefault="003E4716" w:rsidP="008340C1">
            <w:pPr>
              <w:pStyle w:val="ARfintablebodyright"/>
              <w:rPr>
                <w:lang w:eastAsia="en-GB"/>
              </w:rPr>
            </w:pPr>
            <w:r w:rsidRPr="00AB7AFC">
              <w:t>391</w:t>
            </w:r>
          </w:p>
        </w:tc>
        <w:tc>
          <w:tcPr>
            <w:tcW w:w="1133" w:type="dxa"/>
            <w:tcBorders>
              <w:top w:val="single" w:sz="4" w:space="0" w:color="A6A6A6"/>
              <w:bottom w:val="single" w:sz="4" w:space="0" w:color="A6A6A6"/>
            </w:tcBorders>
            <w:hideMark/>
          </w:tcPr>
          <w:p w14:paraId="513ED4CC" w14:textId="77777777" w:rsidR="003E4716" w:rsidRPr="002029AF" w:rsidRDefault="003E4716" w:rsidP="008340C1">
            <w:pPr>
              <w:pStyle w:val="ARfintablebodyright"/>
              <w:rPr>
                <w:lang w:eastAsia="en-GB"/>
              </w:rPr>
            </w:pPr>
            <w:r w:rsidRPr="00AB7AFC">
              <w:t>413</w:t>
            </w:r>
          </w:p>
        </w:tc>
        <w:tc>
          <w:tcPr>
            <w:tcW w:w="1134" w:type="dxa"/>
            <w:tcBorders>
              <w:top w:val="single" w:sz="4" w:space="0" w:color="A6A6A6"/>
              <w:bottom w:val="single" w:sz="4" w:space="0" w:color="A6A6A6"/>
            </w:tcBorders>
            <w:hideMark/>
          </w:tcPr>
          <w:p w14:paraId="72766B13" w14:textId="77777777" w:rsidR="003E4716" w:rsidRPr="002029AF" w:rsidRDefault="003E4716" w:rsidP="008340C1">
            <w:pPr>
              <w:pStyle w:val="ARfintablebodyright"/>
              <w:rPr>
                <w:lang w:eastAsia="en-GB"/>
              </w:rPr>
            </w:pPr>
            <w:r w:rsidRPr="00AB7AFC">
              <w:t>(3.2)</w:t>
            </w:r>
          </w:p>
        </w:tc>
        <w:tc>
          <w:tcPr>
            <w:tcW w:w="609" w:type="dxa"/>
            <w:tcBorders>
              <w:top w:val="single" w:sz="4" w:space="0" w:color="A6A6A6"/>
              <w:bottom w:val="single" w:sz="4" w:space="0" w:color="A6A6A6"/>
            </w:tcBorders>
            <w:hideMark/>
          </w:tcPr>
          <w:p w14:paraId="43F6B75B" w14:textId="77777777" w:rsidR="003E4716" w:rsidRPr="002029AF" w:rsidRDefault="003E4716" w:rsidP="008340C1">
            <w:pPr>
              <w:pStyle w:val="ARfintablebodycentre"/>
              <w:rPr>
                <w:lang w:eastAsia="en-GB"/>
              </w:rPr>
            </w:pPr>
          </w:p>
        </w:tc>
      </w:tr>
      <w:tr w:rsidR="003E4716" w:rsidRPr="002029AF" w14:paraId="7BFDDFB7" w14:textId="77777777" w:rsidTr="008340C1">
        <w:tc>
          <w:tcPr>
            <w:tcW w:w="4502" w:type="dxa"/>
            <w:tcBorders>
              <w:top w:val="single" w:sz="4" w:space="0" w:color="A6A6A6"/>
            </w:tcBorders>
            <w:hideMark/>
          </w:tcPr>
          <w:p w14:paraId="6CDEC609" w14:textId="77777777" w:rsidR="003E4716" w:rsidRPr="002029AF" w:rsidRDefault="003E4716" w:rsidP="008340C1">
            <w:pPr>
              <w:pStyle w:val="ARfintablebody"/>
              <w:rPr>
                <w:lang w:eastAsia="en-GB"/>
              </w:rPr>
            </w:pPr>
            <w:r w:rsidRPr="00AB7AFC">
              <w:t>Expenses on behalf of the state</w:t>
            </w:r>
          </w:p>
        </w:tc>
        <w:tc>
          <w:tcPr>
            <w:tcW w:w="1130" w:type="dxa"/>
            <w:tcBorders>
              <w:top w:val="single" w:sz="4" w:space="0" w:color="A6A6A6"/>
            </w:tcBorders>
            <w:hideMark/>
          </w:tcPr>
          <w:p w14:paraId="396033FE" w14:textId="77777777" w:rsidR="003E4716" w:rsidRPr="002029AF" w:rsidRDefault="003E4716" w:rsidP="008340C1">
            <w:pPr>
              <w:pStyle w:val="ARfintablebodyright"/>
              <w:rPr>
                <w:lang w:eastAsia="en-GB"/>
              </w:rPr>
            </w:pPr>
            <w:r w:rsidRPr="00AB7AFC">
              <w:t>961</w:t>
            </w:r>
          </w:p>
        </w:tc>
        <w:tc>
          <w:tcPr>
            <w:tcW w:w="1131" w:type="dxa"/>
            <w:tcBorders>
              <w:top w:val="single" w:sz="4" w:space="0" w:color="A6A6A6"/>
            </w:tcBorders>
          </w:tcPr>
          <w:p w14:paraId="3AB76054" w14:textId="77777777" w:rsidR="003E4716" w:rsidRPr="002029AF" w:rsidRDefault="003E4716" w:rsidP="008340C1">
            <w:pPr>
              <w:pStyle w:val="ARfintablebodyright"/>
              <w:rPr>
                <w:lang w:eastAsia="en-GB"/>
              </w:rPr>
            </w:pPr>
            <w:r w:rsidRPr="00AB7AFC">
              <w:t>1,044</w:t>
            </w:r>
          </w:p>
        </w:tc>
        <w:tc>
          <w:tcPr>
            <w:tcW w:w="1133" w:type="dxa"/>
            <w:tcBorders>
              <w:top w:val="single" w:sz="4" w:space="0" w:color="A6A6A6"/>
            </w:tcBorders>
            <w:hideMark/>
          </w:tcPr>
          <w:p w14:paraId="27F7542E" w14:textId="77777777" w:rsidR="003E4716" w:rsidRPr="002029AF" w:rsidRDefault="003E4716" w:rsidP="008340C1">
            <w:pPr>
              <w:pStyle w:val="ARfintablebodyright"/>
              <w:rPr>
                <w:lang w:eastAsia="en-GB"/>
              </w:rPr>
            </w:pPr>
            <w:r w:rsidRPr="00AB7AFC">
              <w:t>798</w:t>
            </w:r>
          </w:p>
        </w:tc>
        <w:tc>
          <w:tcPr>
            <w:tcW w:w="1134" w:type="dxa"/>
            <w:tcBorders>
              <w:top w:val="single" w:sz="4" w:space="0" w:color="A6A6A6"/>
            </w:tcBorders>
            <w:hideMark/>
          </w:tcPr>
          <w:p w14:paraId="56651E22" w14:textId="77777777" w:rsidR="003E4716" w:rsidRPr="002029AF" w:rsidRDefault="003E4716" w:rsidP="008340C1">
            <w:pPr>
              <w:pStyle w:val="ARfintablebodyright"/>
              <w:rPr>
                <w:lang w:eastAsia="en-GB"/>
              </w:rPr>
            </w:pPr>
            <w:r w:rsidRPr="00AB7AFC">
              <w:t>20.5</w:t>
            </w:r>
          </w:p>
        </w:tc>
        <w:tc>
          <w:tcPr>
            <w:tcW w:w="609" w:type="dxa"/>
            <w:tcBorders>
              <w:top w:val="single" w:sz="4" w:space="0" w:color="A6A6A6"/>
            </w:tcBorders>
            <w:hideMark/>
          </w:tcPr>
          <w:p w14:paraId="0041EBC0" w14:textId="77777777" w:rsidR="003E4716" w:rsidRPr="002029AF" w:rsidRDefault="003E4716" w:rsidP="008340C1">
            <w:pPr>
              <w:pStyle w:val="ARfintablebodycentre"/>
              <w:rPr>
                <w:lang w:eastAsia="en-GB"/>
              </w:rPr>
            </w:pPr>
          </w:p>
        </w:tc>
      </w:tr>
      <w:tr w:rsidR="003E4716" w:rsidRPr="002029AF" w14:paraId="614E8A82" w14:textId="77777777" w:rsidTr="008340C1">
        <w:tc>
          <w:tcPr>
            <w:tcW w:w="4502" w:type="dxa"/>
            <w:hideMark/>
          </w:tcPr>
          <w:p w14:paraId="557C6DCF" w14:textId="77777777" w:rsidR="003E4716" w:rsidRPr="002029AF" w:rsidRDefault="003E4716" w:rsidP="008340C1">
            <w:pPr>
              <w:pStyle w:val="ARfintablebodybold"/>
              <w:rPr>
                <w:lang w:eastAsia="en-GB"/>
              </w:rPr>
            </w:pPr>
            <w:r w:rsidRPr="00AB7AFC">
              <w:t>Total administered expenses</w:t>
            </w:r>
          </w:p>
        </w:tc>
        <w:tc>
          <w:tcPr>
            <w:tcW w:w="1130" w:type="dxa"/>
            <w:hideMark/>
          </w:tcPr>
          <w:p w14:paraId="218D8FDE" w14:textId="77777777" w:rsidR="003E4716" w:rsidRPr="002029AF" w:rsidRDefault="003E4716" w:rsidP="008340C1">
            <w:pPr>
              <w:pStyle w:val="ARfintablebodyrightbold"/>
              <w:rPr>
                <w:lang w:eastAsia="en-GB"/>
              </w:rPr>
            </w:pPr>
            <w:r w:rsidRPr="00AB7AFC">
              <w:t>15,945</w:t>
            </w:r>
          </w:p>
        </w:tc>
        <w:tc>
          <w:tcPr>
            <w:tcW w:w="1131" w:type="dxa"/>
          </w:tcPr>
          <w:p w14:paraId="4ED5002E" w14:textId="77777777" w:rsidR="003E4716" w:rsidRPr="002029AF" w:rsidRDefault="003E4716" w:rsidP="008340C1">
            <w:pPr>
              <w:pStyle w:val="ARfintablebodyrightbold"/>
              <w:rPr>
                <w:lang w:eastAsia="en-GB"/>
              </w:rPr>
            </w:pPr>
            <w:r w:rsidRPr="00AB7AFC">
              <w:t>14,201</w:t>
            </w:r>
          </w:p>
        </w:tc>
        <w:tc>
          <w:tcPr>
            <w:tcW w:w="1133" w:type="dxa"/>
            <w:hideMark/>
          </w:tcPr>
          <w:p w14:paraId="5C74B7F4" w14:textId="77777777" w:rsidR="003E4716" w:rsidRPr="002029AF" w:rsidRDefault="003E4716" w:rsidP="008340C1">
            <w:pPr>
              <w:pStyle w:val="ARfintablebodyrightbold"/>
              <w:rPr>
                <w:lang w:eastAsia="en-GB"/>
              </w:rPr>
            </w:pPr>
            <w:r w:rsidRPr="00AB7AFC">
              <w:t>13,062</w:t>
            </w:r>
          </w:p>
        </w:tc>
        <w:tc>
          <w:tcPr>
            <w:tcW w:w="1134" w:type="dxa"/>
            <w:hideMark/>
          </w:tcPr>
          <w:p w14:paraId="04C20447" w14:textId="77777777" w:rsidR="003E4716" w:rsidRPr="002029AF" w:rsidRDefault="003E4716" w:rsidP="008340C1">
            <w:pPr>
              <w:pStyle w:val="ARfintablebodyrightbold"/>
              <w:rPr>
                <w:lang w:eastAsia="en-GB"/>
              </w:rPr>
            </w:pPr>
            <w:r w:rsidRPr="00AB7AFC">
              <w:t>22.1</w:t>
            </w:r>
          </w:p>
        </w:tc>
        <w:tc>
          <w:tcPr>
            <w:tcW w:w="609" w:type="dxa"/>
            <w:hideMark/>
          </w:tcPr>
          <w:p w14:paraId="222ADC34" w14:textId="77777777" w:rsidR="003E4716" w:rsidRPr="002029AF" w:rsidRDefault="003E4716" w:rsidP="008340C1">
            <w:pPr>
              <w:pStyle w:val="ARfintablebodycentre"/>
              <w:rPr>
                <w:lang w:eastAsia="en-GB"/>
              </w:rPr>
            </w:pPr>
          </w:p>
        </w:tc>
      </w:tr>
      <w:tr w:rsidR="003E4716" w:rsidRPr="002029AF" w14:paraId="0E76B122" w14:textId="77777777" w:rsidTr="008340C1">
        <w:tc>
          <w:tcPr>
            <w:tcW w:w="4502" w:type="dxa"/>
            <w:tcBorders>
              <w:bottom w:val="single" w:sz="4" w:space="0" w:color="auto"/>
            </w:tcBorders>
            <w:hideMark/>
          </w:tcPr>
          <w:p w14:paraId="1D249258" w14:textId="77777777" w:rsidR="003E4716" w:rsidRPr="002029AF" w:rsidRDefault="003E4716" w:rsidP="008340C1">
            <w:pPr>
              <w:pStyle w:val="ARfintablebodybold"/>
              <w:rPr>
                <w:lang w:eastAsia="en-GB"/>
              </w:rPr>
            </w:pPr>
            <w:r w:rsidRPr="00AB7AFC">
              <w:t>Income less expenses</w:t>
            </w:r>
          </w:p>
        </w:tc>
        <w:tc>
          <w:tcPr>
            <w:tcW w:w="1130" w:type="dxa"/>
            <w:tcBorders>
              <w:bottom w:val="single" w:sz="4" w:space="0" w:color="auto"/>
            </w:tcBorders>
            <w:hideMark/>
          </w:tcPr>
          <w:p w14:paraId="1F0EE9C6" w14:textId="77777777" w:rsidR="003E4716" w:rsidRPr="002029AF" w:rsidRDefault="003E4716" w:rsidP="008340C1">
            <w:pPr>
              <w:pStyle w:val="ARfintablebodyrightbold"/>
              <w:rPr>
                <w:lang w:eastAsia="en-GB"/>
              </w:rPr>
            </w:pPr>
            <w:r w:rsidRPr="00AB7AFC">
              <w:t>44</w:t>
            </w:r>
          </w:p>
        </w:tc>
        <w:tc>
          <w:tcPr>
            <w:tcW w:w="1131" w:type="dxa"/>
            <w:tcBorders>
              <w:bottom w:val="single" w:sz="4" w:space="0" w:color="auto"/>
            </w:tcBorders>
          </w:tcPr>
          <w:p w14:paraId="1A2B266D" w14:textId="77777777" w:rsidR="003E4716" w:rsidRPr="002029AF" w:rsidRDefault="003E4716" w:rsidP="008340C1">
            <w:pPr>
              <w:pStyle w:val="ARfintablebodyrightbold"/>
              <w:rPr>
                <w:lang w:eastAsia="en-GB"/>
              </w:rPr>
            </w:pPr>
            <w:r w:rsidRPr="00AB7AFC">
              <w:t>(2)</w:t>
            </w:r>
          </w:p>
        </w:tc>
        <w:tc>
          <w:tcPr>
            <w:tcW w:w="1133" w:type="dxa"/>
            <w:tcBorders>
              <w:bottom w:val="single" w:sz="4" w:space="0" w:color="auto"/>
            </w:tcBorders>
            <w:hideMark/>
          </w:tcPr>
          <w:p w14:paraId="046DE0BE" w14:textId="77777777" w:rsidR="003E4716" w:rsidRPr="002029AF" w:rsidRDefault="003E4716" w:rsidP="008340C1">
            <w:pPr>
              <w:pStyle w:val="ARfintablebodyrightbold"/>
              <w:rPr>
                <w:lang w:eastAsia="en-GB"/>
              </w:rPr>
            </w:pPr>
            <w:r w:rsidRPr="00AB7AFC">
              <w:t>(2)</w:t>
            </w:r>
          </w:p>
        </w:tc>
        <w:tc>
          <w:tcPr>
            <w:tcW w:w="1134" w:type="dxa"/>
            <w:tcBorders>
              <w:bottom w:val="single" w:sz="4" w:space="0" w:color="auto"/>
            </w:tcBorders>
            <w:hideMark/>
          </w:tcPr>
          <w:p w14:paraId="065394E5" w14:textId="77777777" w:rsidR="003E4716" w:rsidRPr="002029AF" w:rsidRDefault="003E4716" w:rsidP="008340C1">
            <w:pPr>
              <w:pStyle w:val="ARfintablebodyrightbold"/>
              <w:rPr>
                <w:lang w:eastAsia="en-GB"/>
              </w:rPr>
            </w:pPr>
            <w:r w:rsidRPr="00AB7AFC">
              <w:t>(3,056.9)</w:t>
            </w:r>
          </w:p>
        </w:tc>
        <w:tc>
          <w:tcPr>
            <w:tcW w:w="609" w:type="dxa"/>
            <w:tcBorders>
              <w:bottom w:val="single" w:sz="4" w:space="0" w:color="auto"/>
            </w:tcBorders>
            <w:hideMark/>
          </w:tcPr>
          <w:p w14:paraId="4F83CDB0" w14:textId="77777777" w:rsidR="003E4716" w:rsidRPr="002029AF" w:rsidRDefault="003E4716" w:rsidP="008340C1">
            <w:pPr>
              <w:pStyle w:val="ARfintablebodycentre"/>
              <w:rPr>
                <w:lang w:eastAsia="en-GB"/>
              </w:rPr>
            </w:pPr>
          </w:p>
        </w:tc>
      </w:tr>
      <w:tr w:rsidR="003E4716" w:rsidRPr="002029AF" w14:paraId="1E6FBC87" w14:textId="77777777" w:rsidTr="008340C1">
        <w:tc>
          <w:tcPr>
            <w:tcW w:w="9639" w:type="dxa"/>
            <w:gridSpan w:val="6"/>
            <w:tcBorders>
              <w:top w:val="single" w:sz="4" w:space="0" w:color="auto"/>
              <w:bottom w:val="single" w:sz="4" w:space="0" w:color="A6A6A6"/>
            </w:tcBorders>
          </w:tcPr>
          <w:p w14:paraId="7A7610CF" w14:textId="77777777" w:rsidR="003E4716" w:rsidRPr="002029AF" w:rsidRDefault="003E4716" w:rsidP="008340C1">
            <w:pPr>
              <w:pStyle w:val="ARfintablebodybold"/>
              <w:rPr>
                <w:lang w:eastAsia="en-GB"/>
              </w:rPr>
            </w:pPr>
            <w:r w:rsidRPr="00AB7AFC">
              <w:t>Other economic flows included in net result</w:t>
            </w:r>
          </w:p>
        </w:tc>
      </w:tr>
      <w:tr w:rsidR="003E4716" w:rsidRPr="002029AF" w14:paraId="313AD56A" w14:textId="77777777" w:rsidTr="008340C1">
        <w:tc>
          <w:tcPr>
            <w:tcW w:w="4502" w:type="dxa"/>
            <w:tcBorders>
              <w:top w:val="single" w:sz="4" w:space="0" w:color="A6A6A6"/>
              <w:bottom w:val="single" w:sz="4" w:space="0" w:color="A6A6A6"/>
            </w:tcBorders>
          </w:tcPr>
          <w:p w14:paraId="3FA04D1A" w14:textId="77777777" w:rsidR="003E4716" w:rsidRPr="00D16CA0" w:rsidRDefault="003E4716" w:rsidP="008340C1">
            <w:pPr>
              <w:pStyle w:val="ARfintablebody"/>
            </w:pPr>
            <w:r w:rsidRPr="00AB7AFC">
              <w:t>Net gain/(loss) on non-financial assets</w:t>
            </w:r>
          </w:p>
        </w:tc>
        <w:tc>
          <w:tcPr>
            <w:tcW w:w="1130" w:type="dxa"/>
            <w:tcBorders>
              <w:top w:val="single" w:sz="4" w:space="0" w:color="A6A6A6"/>
              <w:bottom w:val="single" w:sz="4" w:space="0" w:color="A6A6A6"/>
            </w:tcBorders>
          </w:tcPr>
          <w:p w14:paraId="03BAB1EB" w14:textId="77777777" w:rsidR="003E4716" w:rsidRPr="00D16CA0" w:rsidRDefault="003E4716" w:rsidP="008340C1">
            <w:pPr>
              <w:pStyle w:val="ARfintablebodyright"/>
            </w:pPr>
            <w:r>
              <w:t>–</w:t>
            </w:r>
          </w:p>
        </w:tc>
        <w:tc>
          <w:tcPr>
            <w:tcW w:w="1131" w:type="dxa"/>
            <w:tcBorders>
              <w:top w:val="single" w:sz="4" w:space="0" w:color="A6A6A6"/>
              <w:bottom w:val="single" w:sz="4" w:space="0" w:color="A6A6A6"/>
            </w:tcBorders>
          </w:tcPr>
          <w:p w14:paraId="2C484530" w14:textId="77777777" w:rsidR="003E4716" w:rsidRPr="00D16CA0" w:rsidRDefault="003E4716" w:rsidP="008340C1">
            <w:pPr>
              <w:pStyle w:val="ARfintablebodyright"/>
            </w:pPr>
            <w:r w:rsidRPr="00AB7AFC">
              <w:t>2</w:t>
            </w:r>
          </w:p>
        </w:tc>
        <w:tc>
          <w:tcPr>
            <w:tcW w:w="1133" w:type="dxa"/>
            <w:tcBorders>
              <w:top w:val="single" w:sz="4" w:space="0" w:color="A6A6A6"/>
              <w:bottom w:val="single" w:sz="4" w:space="0" w:color="A6A6A6"/>
            </w:tcBorders>
          </w:tcPr>
          <w:p w14:paraId="6B92FA7B" w14:textId="77777777" w:rsidR="003E4716" w:rsidRPr="00D16CA0" w:rsidRDefault="003E4716" w:rsidP="008340C1">
            <w:pPr>
              <w:pStyle w:val="ARfintablebodyright"/>
            </w:pPr>
            <w:r w:rsidRPr="00AB7AFC">
              <w:t>2</w:t>
            </w:r>
          </w:p>
        </w:tc>
        <w:tc>
          <w:tcPr>
            <w:tcW w:w="1134" w:type="dxa"/>
            <w:tcBorders>
              <w:top w:val="single" w:sz="4" w:space="0" w:color="A6A6A6"/>
              <w:bottom w:val="single" w:sz="4" w:space="0" w:color="A6A6A6"/>
            </w:tcBorders>
          </w:tcPr>
          <w:p w14:paraId="00A03BCC" w14:textId="77777777" w:rsidR="003E4716" w:rsidRPr="00D16CA0" w:rsidRDefault="003E4716" w:rsidP="008340C1">
            <w:pPr>
              <w:pStyle w:val="ARfintablebodyright"/>
            </w:pPr>
            <w:r w:rsidRPr="00AB7AFC">
              <w:t>(100.0)</w:t>
            </w:r>
          </w:p>
        </w:tc>
        <w:tc>
          <w:tcPr>
            <w:tcW w:w="609" w:type="dxa"/>
            <w:tcBorders>
              <w:top w:val="single" w:sz="4" w:space="0" w:color="A6A6A6"/>
              <w:bottom w:val="single" w:sz="4" w:space="0" w:color="A6A6A6"/>
            </w:tcBorders>
          </w:tcPr>
          <w:p w14:paraId="1E229F02" w14:textId="77777777" w:rsidR="003E4716" w:rsidRPr="002029AF" w:rsidRDefault="003E4716" w:rsidP="008340C1">
            <w:pPr>
              <w:pStyle w:val="ARfintablebodycentre"/>
            </w:pPr>
          </w:p>
        </w:tc>
      </w:tr>
      <w:tr w:rsidR="003E4716" w:rsidRPr="002029AF" w14:paraId="04220462" w14:textId="77777777" w:rsidTr="008340C1">
        <w:tc>
          <w:tcPr>
            <w:tcW w:w="4502" w:type="dxa"/>
            <w:tcBorders>
              <w:top w:val="single" w:sz="4" w:space="0" w:color="A6A6A6"/>
            </w:tcBorders>
            <w:hideMark/>
          </w:tcPr>
          <w:p w14:paraId="3919FFA3" w14:textId="77777777" w:rsidR="003E4716" w:rsidRPr="002029AF" w:rsidRDefault="003E4716" w:rsidP="008340C1">
            <w:pPr>
              <w:pStyle w:val="ARfintablebody"/>
              <w:rPr>
                <w:lang w:eastAsia="en-GB"/>
              </w:rPr>
            </w:pPr>
            <w:r w:rsidRPr="00AB7AFC">
              <w:t xml:space="preserve">Net gain/(loss) on financial instruments </w:t>
            </w:r>
            <w:r>
              <w:br/>
            </w:r>
            <w:r w:rsidRPr="00AB7AFC">
              <w:t>and statutory receivables/payables</w:t>
            </w:r>
          </w:p>
        </w:tc>
        <w:tc>
          <w:tcPr>
            <w:tcW w:w="1130" w:type="dxa"/>
            <w:tcBorders>
              <w:top w:val="single" w:sz="4" w:space="0" w:color="A6A6A6"/>
            </w:tcBorders>
            <w:hideMark/>
          </w:tcPr>
          <w:p w14:paraId="3570F448" w14:textId="77777777" w:rsidR="003E4716" w:rsidRPr="002029AF" w:rsidRDefault="003E4716" w:rsidP="008340C1">
            <w:pPr>
              <w:pStyle w:val="ARfintablebodyright"/>
              <w:rPr>
                <w:lang w:eastAsia="en-GB"/>
              </w:rPr>
            </w:pPr>
            <w:r w:rsidRPr="00AB7AFC">
              <w:t>9</w:t>
            </w:r>
          </w:p>
        </w:tc>
        <w:tc>
          <w:tcPr>
            <w:tcW w:w="1131" w:type="dxa"/>
            <w:tcBorders>
              <w:top w:val="single" w:sz="4" w:space="0" w:color="A6A6A6"/>
            </w:tcBorders>
          </w:tcPr>
          <w:p w14:paraId="49584B24" w14:textId="77777777" w:rsidR="003E4716" w:rsidRPr="002029AF" w:rsidRDefault="003E4716" w:rsidP="008340C1">
            <w:pPr>
              <w:pStyle w:val="ARfintablebodyright"/>
              <w:rPr>
                <w:lang w:eastAsia="en-GB"/>
              </w:rPr>
            </w:pPr>
            <w:r w:rsidRPr="001566C1">
              <w:t>–</w:t>
            </w:r>
          </w:p>
        </w:tc>
        <w:tc>
          <w:tcPr>
            <w:tcW w:w="1133" w:type="dxa"/>
            <w:tcBorders>
              <w:top w:val="single" w:sz="4" w:space="0" w:color="A6A6A6"/>
            </w:tcBorders>
            <w:hideMark/>
          </w:tcPr>
          <w:p w14:paraId="5B478DE0" w14:textId="77777777" w:rsidR="003E4716" w:rsidRPr="002029AF" w:rsidRDefault="003E4716" w:rsidP="008340C1">
            <w:pPr>
              <w:pStyle w:val="ARfintablebodyright"/>
              <w:rPr>
                <w:lang w:eastAsia="en-GB"/>
              </w:rPr>
            </w:pPr>
            <w:r w:rsidRPr="001566C1">
              <w:t>–</w:t>
            </w:r>
          </w:p>
        </w:tc>
        <w:tc>
          <w:tcPr>
            <w:tcW w:w="1134" w:type="dxa"/>
            <w:tcBorders>
              <w:top w:val="single" w:sz="4" w:space="0" w:color="A6A6A6"/>
            </w:tcBorders>
            <w:hideMark/>
          </w:tcPr>
          <w:p w14:paraId="631AB67F" w14:textId="77777777" w:rsidR="003E4716" w:rsidRPr="002029AF" w:rsidRDefault="003E4716" w:rsidP="008340C1">
            <w:pPr>
              <w:pStyle w:val="ARfintablebodyright"/>
              <w:rPr>
                <w:lang w:eastAsia="en-GB"/>
              </w:rPr>
            </w:pPr>
            <w:r>
              <w:t>–</w:t>
            </w:r>
          </w:p>
        </w:tc>
        <w:tc>
          <w:tcPr>
            <w:tcW w:w="609" w:type="dxa"/>
            <w:tcBorders>
              <w:top w:val="single" w:sz="4" w:space="0" w:color="A6A6A6"/>
            </w:tcBorders>
            <w:hideMark/>
          </w:tcPr>
          <w:p w14:paraId="12D8041A" w14:textId="77777777" w:rsidR="003E4716" w:rsidRPr="002029AF" w:rsidRDefault="003E4716" w:rsidP="008340C1">
            <w:pPr>
              <w:pStyle w:val="ARfintablebodycentre"/>
            </w:pPr>
          </w:p>
        </w:tc>
      </w:tr>
      <w:tr w:rsidR="003E4716" w:rsidRPr="002029AF" w14:paraId="07BD0F89" w14:textId="77777777" w:rsidTr="008340C1">
        <w:tc>
          <w:tcPr>
            <w:tcW w:w="4502" w:type="dxa"/>
            <w:hideMark/>
          </w:tcPr>
          <w:p w14:paraId="280EDA27" w14:textId="77777777" w:rsidR="003E4716" w:rsidRPr="002029AF" w:rsidRDefault="003E4716" w:rsidP="008340C1">
            <w:pPr>
              <w:pStyle w:val="ARfintablebodybold"/>
              <w:rPr>
                <w:lang w:eastAsia="en-GB"/>
              </w:rPr>
            </w:pPr>
            <w:r w:rsidRPr="00AB7AFC">
              <w:t>Total other economic flows included in net result</w:t>
            </w:r>
          </w:p>
        </w:tc>
        <w:tc>
          <w:tcPr>
            <w:tcW w:w="1130" w:type="dxa"/>
            <w:hideMark/>
          </w:tcPr>
          <w:p w14:paraId="5CD3C6A2" w14:textId="77777777" w:rsidR="003E4716" w:rsidRPr="002029AF" w:rsidRDefault="003E4716" w:rsidP="008340C1">
            <w:pPr>
              <w:pStyle w:val="ARfintablebodyrightbold"/>
              <w:rPr>
                <w:lang w:eastAsia="en-GB"/>
              </w:rPr>
            </w:pPr>
            <w:r w:rsidRPr="00AB7AFC">
              <w:t>9</w:t>
            </w:r>
          </w:p>
        </w:tc>
        <w:tc>
          <w:tcPr>
            <w:tcW w:w="1131" w:type="dxa"/>
          </w:tcPr>
          <w:p w14:paraId="43782518" w14:textId="77777777" w:rsidR="003E4716" w:rsidRPr="002029AF" w:rsidRDefault="003E4716" w:rsidP="008340C1">
            <w:pPr>
              <w:pStyle w:val="ARfintablebodyrightbold"/>
              <w:rPr>
                <w:lang w:eastAsia="en-GB"/>
              </w:rPr>
            </w:pPr>
            <w:r w:rsidRPr="00AB7AFC">
              <w:t>2</w:t>
            </w:r>
          </w:p>
        </w:tc>
        <w:tc>
          <w:tcPr>
            <w:tcW w:w="1133" w:type="dxa"/>
            <w:hideMark/>
          </w:tcPr>
          <w:p w14:paraId="7333E74D" w14:textId="77777777" w:rsidR="003E4716" w:rsidRPr="002029AF" w:rsidRDefault="003E4716" w:rsidP="008340C1">
            <w:pPr>
              <w:pStyle w:val="ARfintablebodyrightbold"/>
              <w:rPr>
                <w:lang w:eastAsia="en-GB"/>
              </w:rPr>
            </w:pPr>
            <w:r w:rsidRPr="00AB7AFC">
              <w:t>2</w:t>
            </w:r>
          </w:p>
        </w:tc>
        <w:tc>
          <w:tcPr>
            <w:tcW w:w="1134" w:type="dxa"/>
            <w:hideMark/>
          </w:tcPr>
          <w:p w14:paraId="293D7028" w14:textId="77777777" w:rsidR="003E4716" w:rsidRPr="002029AF" w:rsidRDefault="003E4716" w:rsidP="008340C1">
            <w:pPr>
              <w:pStyle w:val="ARfintablebodyrightbold"/>
              <w:rPr>
                <w:lang w:eastAsia="en-GB"/>
              </w:rPr>
            </w:pPr>
            <w:r w:rsidRPr="00AB7AFC">
              <w:t>486.5</w:t>
            </w:r>
          </w:p>
        </w:tc>
        <w:tc>
          <w:tcPr>
            <w:tcW w:w="609" w:type="dxa"/>
            <w:hideMark/>
          </w:tcPr>
          <w:p w14:paraId="350479AF" w14:textId="77777777" w:rsidR="003E4716" w:rsidRPr="002029AF" w:rsidRDefault="003E4716" w:rsidP="008340C1">
            <w:pPr>
              <w:pStyle w:val="ARfintablebodycentre"/>
            </w:pPr>
          </w:p>
        </w:tc>
      </w:tr>
      <w:tr w:rsidR="003E4716" w:rsidRPr="002029AF" w14:paraId="5BDBBFCB" w14:textId="77777777" w:rsidTr="008340C1">
        <w:tc>
          <w:tcPr>
            <w:tcW w:w="4502" w:type="dxa"/>
            <w:hideMark/>
          </w:tcPr>
          <w:p w14:paraId="7B09AFE4" w14:textId="77777777" w:rsidR="003E4716" w:rsidRPr="002029AF" w:rsidRDefault="003E4716" w:rsidP="008340C1">
            <w:pPr>
              <w:pStyle w:val="ARfintablebodybold"/>
              <w:rPr>
                <w:lang w:eastAsia="en-GB"/>
              </w:rPr>
            </w:pPr>
            <w:r w:rsidRPr="00AB7AFC">
              <w:t>Net result</w:t>
            </w:r>
          </w:p>
        </w:tc>
        <w:tc>
          <w:tcPr>
            <w:tcW w:w="1130" w:type="dxa"/>
            <w:hideMark/>
          </w:tcPr>
          <w:p w14:paraId="3DADB5B7" w14:textId="77777777" w:rsidR="003E4716" w:rsidRPr="002029AF" w:rsidRDefault="003E4716" w:rsidP="008340C1">
            <w:pPr>
              <w:pStyle w:val="ARfintablebodyrightbold"/>
              <w:rPr>
                <w:lang w:eastAsia="en-GB"/>
              </w:rPr>
            </w:pPr>
            <w:r w:rsidRPr="00AB7AFC">
              <w:t>53</w:t>
            </w:r>
          </w:p>
        </w:tc>
        <w:tc>
          <w:tcPr>
            <w:tcW w:w="1131" w:type="dxa"/>
          </w:tcPr>
          <w:p w14:paraId="4C20F8EF" w14:textId="77777777" w:rsidR="003E4716" w:rsidRPr="002029AF" w:rsidRDefault="003E4716" w:rsidP="008340C1">
            <w:pPr>
              <w:pStyle w:val="ARfintablebodyrightbold"/>
              <w:rPr>
                <w:lang w:eastAsia="en-GB"/>
              </w:rPr>
            </w:pPr>
            <w:r w:rsidRPr="001C3422">
              <w:t>–</w:t>
            </w:r>
          </w:p>
        </w:tc>
        <w:tc>
          <w:tcPr>
            <w:tcW w:w="1133" w:type="dxa"/>
            <w:hideMark/>
          </w:tcPr>
          <w:p w14:paraId="27FABF4B" w14:textId="77777777" w:rsidR="003E4716" w:rsidRPr="002029AF" w:rsidRDefault="003E4716" w:rsidP="008340C1">
            <w:pPr>
              <w:pStyle w:val="ARfintablebodyrightbold"/>
              <w:rPr>
                <w:lang w:eastAsia="en-GB"/>
              </w:rPr>
            </w:pPr>
            <w:r w:rsidRPr="001C3422">
              <w:t>–</w:t>
            </w:r>
          </w:p>
        </w:tc>
        <w:tc>
          <w:tcPr>
            <w:tcW w:w="1134" w:type="dxa"/>
            <w:hideMark/>
          </w:tcPr>
          <w:p w14:paraId="59896B40" w14:textId="77777777" w:rsidR="003E4716" w:rsidRPr="002029AF" w:rsidRDefault="003E4716" w:rsidP="008340C1">
            <w:pPr>
              <w:pStyle w:val="ARfintablebodyrightbold"/>
              <w:rPr>
                <w:lang w:eastAsia="en-GB"/>
              </w:rPr>
            </w:pPr>
            <w:r w:rsidRPr="001C3422">
              <w:t>–</w:t>
            </w:r>
          </w:p>
        </w:tc>
        <w:tc>
          <w:tcPr>
            <w:tcW w:w="609" w:type="dxa"/>
            <w:hideMark/>
          </w:tcPr>
          <w:p w14:paraId="07E44946" w14:textId="77777777" w:rsidR="003E4716" w:rsidRPr="002029AF" w:rsidRDefault="003E4716" w:rsidP="008340C1">
            <w:pPr>
              <w:pStyle w:val="ARfintablebodycentre"/>
            </w:pPr>
          </w:p>
        </w:tc>
      </w:tr>
      <w:tr w:rsidR="003E4716" w:rsidRPr="002029AF" w14:paraId="002DDB4A" w14:textId="77777777" w:rsidTr="008340C1">
        <w:tc>
          <w:tcPr>
            <w:tcW w:w="4502" w:type="dxa"/>
            <w:tcBorders>
              <w:bottom w:val="single" w:sz="4" w:space="0" w:color="auto"/>
            </w:tcBorders>
            <w:hideMark/>
          </w:tcPr>
          <w:p w14:paraId="1859C5E3" w14:textId="77777777" w:rsidR="003E4716" w:rsidRPr="002029AF" w:rsidRDefault="003E4716" w:rsidP="008340C1">
            <w:pPr>
              <w:pStyle w:val="ARfintablebodybold"/>
              <w:rPr>
                <w:lang w:eastAsia="en-GB"/>
              </w:rPr>
            </w:pPr>
            <w:r w:rsidRPr="00AB7AFC">
              <w:t>Comprehensive result</w:t>
            </w:r>
          </w:p>
        </w:tc>
        <w:tc>
          <w:tcPr>
            <w:tcW w:w="1130" w:type="dxa"/>
            <w:tcBorders>
              <w:bottom w:val="single" w:sz="4" w:space="0" w:color="auto"/>
            </w:tcBorders>
            <w:hideMark/>
          </w:tcPr>
          <w:p w14:paraId="47094199" w14:textId="77777777" w:rsidR="003E4716" w:rsidRPr="002029AF" w:rsidRDefault="003E4716" w:rsidP="008340C1">
            <w:pPr>
              <w:pStyle w:val="ARfintablebodyrightbold"/>
              <w:rPr>
                <w:lang w:eastAsia="en-GB"/>
              </w:rPr>
            </w:pPr>
            <w:r w:rsidRPr="00AB7AFC">
              <w:t>53</w:t>
            </w:r>
          </w:p>
        </w:tc>
        <w:tc>
          <w:tcPr>
            <w:tcW w:w="1131" w:type="dxa"/>
            <w:tcBorders>
              <w:bottom w:val="single" w:sz="4" w:space="0" w:color="auto"/>
            </w:tcBorders>
          </w:tcPr>
          <w:p w14:paraId="492663E5" w14:textId="77777777" w:rsidR="003E4716" w:rsidRPr="002029AF" w:rsidRDefault="003E4716" w:rsidP="008340C1">
            <w:pPr>
              <w:pStyle w:val="ARfintablebodyrightbold"/>
              <w:rPr>
                <w:lang w:eastAsia="en-GB"/>
              </w:rPr>
            </w:pPr>
            <w:r w:rsidRPr="001C3422">
              <w:t>–</w:t>
            </w:r>
          </w:p>
        </w:tc>
        <w:tc>
          <w:tcPr>
            <w:tcW w:w="1133" w:type="dxa"/>
            <w:tcBorders>
              <w:bottom w:val="single" w:sz="4" w:space="0" w:color="auto"/>
            </w:tcBorders>
            <w:hideMark/>
          </w:tcPr>
          <w:p w14:paraId="60D335CF" w14:textId="77777777" w:rsidR="003E4716" w:rsidRPr="002029AF" w:rsidRDefault="003E4716" w:rsidP="008340C1">
            <w:pPr>
              <w:pStyle w:val="ARfintablebodyrightbold"/>
              <w:rPr>
                <w:lang w:eastAsia="en-GB"/>
              </w:rPr>
            </w:pPr>
            <w:r w:rsidRPr="001C3422">
              <w:t>–</w:t>
            </w:r>
          </w:p>
        </w:tc>
        <w:tc>
          <w:tcPr>
            <w:tcW w:w="1134" w:type="dxa"/>
            <w:tcBorders>
              <w:bottom w:val="single" w:sz="4" w:space="0" w:color="auto"/>
            </w:tcBorders>
            <w:hideMark/>
          </w:tcPr>
          <w:p w14:paraId="21C43C70" w14:textId="77777777" w:rsidR="003E4716" w:rsidRPr="002029AF" w:rsidRDefault="003E4716" w:rsidP="008340C1">
            <w:pPr>
              <w:pStyle w:val="ARfintablebodyrightbold"/>
              <w:rPr>
                <w:lang w:eastAsia="en-GB"/>
              </w:rPr>
            </w:pPr>
            <w:r w:rsidRPr="001C3422">
              <w:t>–</w:t>
            </w:r>
          </w:p>
        </w:tc>
        <w:tc>
          <w:tcPr>
            <w:tcW w:w="609" w:type="dxa"/>
            <w:tcBorders>
              <w:bottom w:val="single" w:sz="4" w:space="0" w:color="auto"/>
            </w:tcBorders>
            <w:hideMark/>
          </w:tcPr>
          <w:p w14:paraId="004F604B" w14:textId="77777777" w:rsidR="003E4716" w:rsidRPr="002029AF" w:rsidRDefault="003E4716" w:rsidP="008340C1">
            <w:pPr>
              <w:pStyle w:val="ARfintablebodycentre"/>
            </w:pPr>
          </w:p>
        </w:tc>
      </w:tr>
      <w:tr w:rsidR="003E4716" w:rsidRPr="002029AF" w14:paraId="60B56415" w14:textId="77777777" w:rsidTr="008340C1">
        <w:tc>
          <w:tcPr>
            <w:tcW w:w="9639" w:type="dxa"/>
            <w:gridSpan w:val="6"/>
            <w:tcBorders>
              <w:top w:val="single" w:sz="4" w:space="0" w:color="auto"/>
              <w:bottom w:val="single" w:sz="4" w:space="0" w:color="A6A6A6"/>
            </w:tcBorders>
          </w:tcPr>
          <w:p w14:paraId="7A4268A4" w14:textId="77777777" w:rsidR="003E4716" w:rsidRPr="002029AF" w:rsidRDefault="003E4716" w:rsidP="008340C1">
            <w:pPr>
              <w:pStyle w:val="ARfintablebodybold"/>
              <w:rPr>
                <w:lang w:eastAsia="en-GB"/>
              </w:rPr>
            </w:pPr>
            <w:r w:rsidRPr="00AB7AFC">
              <w:t xml:space="preserve">Administered </w:t>
            </w:r>
            <w:r>
              <w:t>a</w:t>
            </w:r>
            <w:r w:rsidRPr="00AB7AFC">
              <w:t>ssets</w:t>
            </w:r>
          </w:p>
        </w:tc>
      </w:tr>
      <w:tr w:rsidR="003E4716" w:rsidRPr="002029AF" w14:paraId="31456E4B" w14:textId="77777777" w:rsidTr="008340C1">
        <w:tc>
          <w:tcPr>
            <w:tcW w:w="4502" w:type="dxa"/>
            <w:tcBorders>
              <w:top w:val="single" w:sz="4" w:space="0" w:color="A6A6A6"/>
              <w:bottom w:val="single" w:sz="4" w:space="0" w:color="A6A6A6"/>
            </w:tcBorders>
            <w:hideMark/>
          </w:tcPr>
          <w:p w14:paraId="29CD7231" w14:textId="77777777" w:rsidR="003E4716" w:rsidRPr="002029AF" w:rsidRDefault="003E4716" w:rsidP="008340C1">
            <w:pPr>
              <w:pStyle w:val="ARfintablebody"/>
              <w:rPr>
                <w:lang w:eastAsia="en-GB"/>
              </w:rPr>
            </w:pPr>
            <w:r w:rsidRPr="00AB7AFC">
              <w:t>Cash and deposits</w:t>
            </w:r>
          </w:p>
        </w:tc>
        <w:tc>
          <w:tcPr>
            <w:tcW w:w="1130" w:type="dxa"/>
            <w:tcBorders>
              <w:top w:val="single" w:sz="4" w:space="0" w:color="A6A6A6"/>
              <w:bottom w:val="single" w:sz="4" w:space="0" w:color="A6A6A6"/>
            </w:tcBorders>
            <w:hideMark/>
          </w:tcPr>
          <w:p w14:paraId="49A27F3E" w14:textId="77777777" w:rsidR="003E4716" w:rsidRPr="002029AF" w:rsidRDefault="003E4716" w:rsidP="008340C1">
            <w:pPr>
              <w:pStyle w:val="ARfintablebodyright"/>
              <w:rPr>
                <w:lang w:eastAsia="en-GB"/>
              </w:rPr>
            </w:pPr>
            <w:r w:rsidRPr="00AB7AFC">
              <w:t>4</w:t>
            </w:r>
          </w:p>
        </w:tc>
        <w:tc>
          <w:tcPr>
            <w:tcW w:w="1131" w:type="dxa"/>
            <w:tcBorders>
              <w:top w:val="single" w:sz="4" w:space="0" w:color="A6A6A6"/>
              <w:bottom w:val="single" w:sz="4" w:space="0" w:color="A6A6A6"/>
            </w:tcBorders>
          </w:tcPr>
          <w:p w14:paraId="79F84543" w14:textId="77777777" w:rsidR="003E4716" w:rsidRPr="002029AF" w:rsidRDefault="003E4716" w:rsidP="008340C1">
            <w:pPr>
              <w:pStyle w:val="ARfintablebodyright"/>
              <w:rPr>
                <w:lang w:eastAsia="en-GB"/>
              </w:rPr>
            </w:pPr>
            <w:r w:rsidRPr="00AB7AFC">
              <w:t>4</w:t>
            </w:r>
          </w:p>
        </w:tc>
        <w:tc>
          <w:tcPr>
            <w:tcW w:w="1133" w:type="dxa"/>
            <w:tcBorders>
              <w:top w:val="single" w:sz="4" w:space="0" w:color="A6A6A6"/>
              <w:bottom w:val="single" w:sz="4" w:space="0" w:color="A6A6A6"/>
            </w:tcBorders>
            <w:hideMark/>
          </w:tcPr>
          <w:p w14:paraId="44861014" w14:textId="77777777" w:rsidR="003E4716" w:rsidRPr="002029AF" w:rsidRDefault="003E4716" w:rsidP="008340C1">
            <w:pPr>
              <w:pStyle w:val="ARfintablebodyright"/>
              <w:rPr>
                <w:lang w:eastAsia="en-GB"/>
              </w:rPr>
            </w:pPr>
            <w:r w:rsidRPr="00AB7AFC">
              <w:t>4</w:t>
            </w:r>
          </w:p>
        </w:tc>
        <w:tc>
          <w:tcPr>
            <w:tcW w:w="1134" w:type="dxa"/>
            <w:tcBorders>
              <w:top w:val="single" w:sz="4" w:space="0" w:color="A6A6A6"/>
              <w:bottom w:val="single" w:sz="4" w:space="0" w:color="A6A6A6"/>
            </w:tcBorders>
            <w:hideMark/>
          </w:tcPr>
          <w:p w14:paraId="6623A8F4" w14:textId="77777777" w:rsidR="003E4716" w:rsidRPr="002029AF" w:rsidRDefault="003E4716" w:rsidP="008340C1">
            <w:pPr>
              <w:pStyle w:val="ARfintablebodyright"/>
              <w:rPr>
                <w:lang w:eastAsia="en-GB"/>
              </w:rPr>
            </w:pPr>
            <w:r w:rsidRPr="00AB7AFC">
              <w:t>7.2</w:t>
            </w:r>
          </w:p>
        </w:tc>
        <w:tc>
          <w:tcPr>
            <w:tcW w:w="609" w:type="dxa"/>
            <w:tcBorders>
              <w:top w:val="single" w:sz="4" w:space="0" w:color="A6A6A6"/>
              <w:bottom w:val="single" w:sz="4" w:space="0" w:color="A6A6A6"/>
            </w:tcBorders>
            <w:hideMark/>
          </w:tcPr>
          <w:p w14:paraId="011582BE" w14:textId="77777777" w:rsidR="003E4716" w:rsidRPr="002029AF" w:rsidRDefault="003E4716" w:rsidP="008340C1">
            <w:pPr>
              <w:pStyle w:val="ARfintablebodycentre"/>
            </w:pPr>
          </w:p>
        </w:tc>
      </w:tr>
      <w:tr w:rsidR="003E4716" w:rsidRPr="002029AF" w14:paraId="7A42DFCE" w14:textId="77777777" w:rsidTr="008340C1">
        <w:tc>
          <w:tcPr>
            <w:tcW w:w="4502" w:type="dxa"/>
            <w:tcBorders>
              <w:top w:val="single" w:sz="4" w:space="0" w:color="A6A6A6"/>
              <w:bottom w:val="single" w:sz="4" w:space="0" w:color="A6A6A6"/>
            </w:tcBorders>
            <w:hideMark/>
          </w:tcPr>
          <w:p w14:paraId="4FA500B9" w14:textId="77777777" w:rsidR="003E4716" w:rsidRPr="002029AF" w:rsidRDefault="003E4716" w:rsidP="008340C1">
            <w:pPr>
              <w:pStyle w:val="ARfintablebody"/>
              <w:rPr>
                <w:lang w:eastAsia="en-GB"/>
              </w:rPr>
            </w:pPr>
            <w:r w:rsidRPr="00AB7AFC">
              <w:t>Receivables</w:t>
            </w:r>
          </w:p>
        </w:tc>
        <w:tc>
          <w:tcPr>
            <w:tcW w:w="1130" w:type="dxa"/>
            <w:tcBorders>
              <w:top w:val="single" w:sz="4" w:space="0" w:color="A6A6A6"/>
              <w:bottom w:val="single" w:sz="4" w:space="0" w:color="A6A6A6"/>
            </w:tcBorders>
            <w:hideMark/>
          </w:tcPr>
          <w:p w14:paraId="08199782" w14:textId="77777777" w:rsidR="003E4716" w:rsidRPr="002029AF" w:rsidRDefault="003E4716" w:rsidP="008340C1">
            <w:pPr>
              <w:pStyle w:val="ARfintablebodyright"/>
              <w:rPr>
                <w:lang w:eastAsia="en-GB"/>
              </w:rPr>
            </w:pPr>
            <w:r w:rsidRPr="00AB7AFC">
              <w:t>1,050</w:t>
            </w:r>
          </w:p>
        </w:tc>
        <w:tc>
          <w:tcPr>
            <w:tcW w:w="1131" w:type="dxa"/>
            <w:tcBorders>
              <w:top w:val="single" w:sz="4" w:space="0" w:color="A6A6A6"/>
              <w:bottom w:val="single" w:sz="4" w:space="0" w:color="A6A6A6"/>
            </w:tcBorders>
          </w:tcPr>
          <w:p w14:paraId="58D60D5F" w14:textId="77777777" w:rsidR="003E4716" w:rsidRPr="002029AF" w:rsidRDefault="003E4716" w:rsidP="008340C1">
            <w:pPr>
              <w:pStyle w:val="ARfintablebodyright"/>
              <w:rPr>
                <w:lang w:eastAsia="en-GB"/>
              </w:rPr>
            </w:pPr>
            <w:r w:rsidRPr="00AB7AFC">
              <w:t>450</w:t>
            </w:r>
          </w:p>
        </w:tc>
        <w:tc>
          <w:tcPr>
            <w:tcW w:w="1133" w:type="dxa"/>
            <w:tcBorders>
              <w:top w:val="single" w:sz="4" w:space="0" w:color="A6A6A6"/>
              <w:bottom w:val="single" w:sz="4" w:space="0" w:color="A6A6A6"/>
            </w:tcBorders>
            <w:hideMark/>
          </w:tcPr>
          <w:p w14:paraId="26CBE9BA" w14:textId="77777777" w:rsidR="003E4716" w:rsidRPr="002029AF" w:rsidRDefault="003E4716" w:rsidP="008340C1">
            <w:pPr>
              <w:pStyle w:val="ARfintablebodyright"/>
              <w:rPr>
                <w:lang w:eastAsia="en-GB"/>
              </w:rPr>
            </w:pPr>
            <w:r w:rsidRPr="00AB7AFC">
              <w:t>513</w:t>
            </w:r>
          </w:p>
        </w:tc>
        <w:tc>
          <w:tcPr>
            <w:tcW w:w="1134" w:type="dxa"/>
            <w:tcBorders>
              <w:top w:val="single" w:sz="4" w:space="0" w:color="A6A6A6"/>
              <w:bottom w:val="single" w:sz="4" w:space="0" w:color="A6A6A6"/>
            </w:tcBorders>
            <w:hideMark/>
          </w:tcPr>
          <w:p w14:paraId="77D253D7" w14:textId="77777777" w:rsidR="003E4716" w:rsidRPr="002029AF" w:rsidRDefault="003E4716" w:rsidP="008340C1">
            <w:pPr>
              <w:pStyle w:val="ARfintablebodyright"/>
              <w:rPr>
                <w:lang w:eastAsia="en-GB"/>
              </w:rPr>
            </w:pPr>
            <w:r w:rsidRPr="00AB7AFC">
              <w:t>104.6</w:t>
            </w:r>
          </w:p>
        </w:tc>
        <w:tc>
          <w:tcPr>
            <w:tcW w:w="609" w:type="dxa"/>
            <w:tcBorders>
              <w:top w:val="single" w:sz="4" w:space="0" w:color="A6A6A6"/>
              <w:bottom w:val="single" w:sz="4" w:space="0" w:color="A6A6A6"/>
            </w:tcBorders>
            <w:hideMark/>
          </w:tcPr>
          <w:p w14:paraId="5AE7660D" w14:textId="77777777" w:rsidR="003E4716" w:rsidRPr="002029AF" w:rsidRDefault="003E4716" w:rsidP="008340C1">
            <w:pPr>
              <w:pStyle w:val="ARfintablebodycentre"/>
            </w:pPr>
            <w:r w:rsidRPr="00AB7AFC">
              <w:t>(c)</w:t>
            </w:r>
          </w:p>
        </w:tc>
      </w:tr>
      <w:tr w:rsidR="003E4716" w:rsidRPr="002029AF" w14:paraId="67C8AB34" w14:textId="77777777" w:rsidTr="008340C1">
        <w:tc>
          <w:tcPr>
            <w:tcW w:w="4502" w:type="dxa"/>
            <w:tcBorders>
              <w:top w:val="single" w:sz="4" w:space="0" w:color="A6A6A6"/>
              <w:bottom w:val="single" w:sz="4" w:space="0" w:color="auto"/>
            </w:tcBorders>
          </w:tcPr>
          <w:p w14:paraId="7290CEEE" w14:textId="77777777" w:rsidR="003E4716" w:rsidRPr="00C86F82" w:rsidRDefault="003E4716" w:rsidP="008340C1">
            <w:pPr>
              <w:pStyle w:val="ARfintablebody"/>
            </w:pPr>
            <w:r w:rsidRPr="00AB7AFC">
              <w:t>Other financial assets</w:t>
            </w:r>
          </w:p>
        </w:tc>
        <w:tc>
          <w:tcPr>
            <w:tcW w:w="1130" w:type="dxa"/>
            <w:tcBorders>
              <w:top w:val="single" w:sz="4" w:space="0" w:color="A6A6A6"/>
              <w:bottom w:val="single" w:sz="4" w:space="0" w:color="auto"/>
            </w:tcBorders>
          </w:tcPr>
          <w:p w14:paraId="385F6C49" w14:textId="77777777" w:rsidR="003E4716" w:rsidRPr="00C86F82" w:rsidRDefault="003E4716" w:rsidP="008340C1">
            <w:pPr>
              <w:pStyle w:val="ARfintablebodyright"/>
            </w:pPr>
            <w:r w:rsidRPr="007364FE">
              <w:t>–</w:t>
            </w:r>
          </w:p>
        </w:tc>
        <w:tc>
          <w:tcPr>
            <w:tcW w:w="1131" w:type="dxa"/>
            <w:tcBorders>
              <w:top w:val="single" w:sz="4" w:space="0" w:color="A6A6A6"/>
              <w:bottom w:val="single" w:sz="4" w:space="0" w:color="auto"/>
            </w:tcBorders>
          </w:tcPr>
          <w:p w14:paraId="3FC9EEAE" w14:textId="77777777" w:rsidR="003E4716" w:rsidRPr="00C86F82" w:rsidRDefault="003E4716" w:rsidP="008340C1">
            <w:pPr>
              <w:pStyle w:val="ARfintablebodyright"/>
            </w:pPr>
            <w:r w:rsidRPr="007364FE">
              <w:t>–</w:t>
            </w:r>
          </w:p>
        </w:tc>
        <w:tc>
          <w:tcPr>
            <w:tcW w:w="1133" w:type="dxa"/>
            <w:tcBorders>
              <w:top w:val="single" w:sz="4" w:space="0" w:color="A6A6A6"/>
              <w:bottom w:val="single" w:sz="4" w:space="0" w:color="auto"/>
            </w:tcBorders>
          </w:tcPr>
          <w:p w14:paraId="40D671F6" w14:textId="77777777" w:rsidR="003E4716" w:rsidRPr="00C86F82" w:rsidRDefault="003E4716" w:rsidP="008340C1">
            <w:pPr>
              <w:pStyle w:val="ARfintablebodyright"/>
            </w:pPr>
            <w:r w:rsidRPr="007364FE">
              <w:t>–</w:t>
            </w:r>
          </w:p>
        </w:tc>
        <w:tc>
          <w:tcPr>
            <w:tcW w:w="1134" w:type="dxa"/>
            <w:tcBorders>
              <w:top w:val="single" w:sz="4" w:space="0" w:color="A6A6A6"/>
              <w:bottom w:val="single" w:sz="4" w:space="0" w:color="auto"/>
            </w:tcBorders>
          </w:tcPr>
          <w:p w14:paraId="7DDEC1A8" w14:textId="77777777" w:rsidR="003E4716" w:rsidRPr="00C86F82" w:rsidRDefault="003E4716" w:rsidP="008340C1">
            <w:pPr>
              <w:pStyle w:val="ARfintablebodyright"/>
            </w:pPr>
            <w:r>
              <w:t>–</w:t>
            </w:r>
          </w:p>
        </w:tc>
        <w:tc>
          <w:tcPr>
            <w:tcW w:w="609" w:type="dxa"/>
            <w:tcBorders>
              <w:top w:val="single" w:sz="4" w:space="0" w:color="A6A6A6"/>
              <w:bottom w:val="single" w:sz="4" w:space="0" w:color="auto"/>
            </w:tcBorders>
          </w:tcPr>
          <w:p w14:paraId="65B83B52" w14:textId="77777777" w:rsidR="003E4716" w:rsidRPr="002029AF" w:rsidRDefault="003E4716" w:rsidP="008340C1">
            <w:pPr>
              <w:pStyle w:val="ARfintablebodycentre"/>
            </w:pPr>
          </w:p>
        </w:tc>
      </w:tr>
      <w:tr w:rsidR="003E4716" w:rsidRPr="002029AF" w14:paraId="08397265" w14:textId="77777777" w:rsidTr="008340C1">
        <w:tc>
          <w:tcPr>
            <w:tcW w:w="4502" w:type="dxa"/>
            <w:tcBorders>
              <w:top w:val="single" w:sz="4" w:space="0" w:color="auto"/>
              <w:bottom w:val="single" w:sz="4" w:space="0" w:color="auto"/>
            </w:tcBorders>
            <w:hideMark/>
          </w:tcPr>
          <w:p w14:paraId="185CD1BE" w14:textId="77777777" w:rsidR="003E4716" w:rsidRPr="002029AF" w:rsidRDefault="003E4716" w:rsidP="008340C1">
            <w:pPr>
              <w:pStyle w:val="ARfintablebody"/>
              <w:rPr>
                <w:lang w:eastAsia="en-GB"/>
              </w:rPr>
            </w:pPr>
            <w:r w:rsidRPr="00AB7AFC">
              <w:t>Total administered assets</w:t>
            </w:r>
          </w:p>
        </w:tc>
        <w:tc>
          <w:tcPr>
            <w:tcW w:w="1130" w:type="dxa"/>
            <w:tcBorders>
              <w:top w:val="single" w:sz="4" w:space="0" w:color="auto"/>
              <w:bottom w:val="single" w:sz="4" w:space="0" w:color="auto"/>
            </w:tcBorders>
            <w:hideMark/>
          </w:tcPr>
          <w:p w14:paraId="3BE7366C" w14:textId="77777777" w:rsidR="003E4716" w:rsidRPr="002029AF" w:rsidRDefault="003E4716" w:rsidP="008340C1">
            <w:pPr>
              <w:pStyle w:val="ARfintablebodyright"/>
              <w:rPr>
                <w:lang w:eastAsia="en-GB"/>
              </w:rPr>
            </w:pPr>
            <w:r w:rsidRPr="00AB7AFC">
              <w:t>1,054</w:t>
            </w:r>
          </w:p>
        </w:tc>
        <w:tc>
          <w:tcPr>
            <w:tcW w:w="1131" w:type="dxa"/>
            <w:tcBorders>
              <w:top w:val="single" w:sz="4" w:space="0" w:color="auto"/>
              <w:bottom w:val="single" w:sz="4" w:space="0" w:color="auto"/>
            </w:tcBorders>
          </w:tcPr>
          <w:p w14:paraId="301FA341" w14:textId="77777777" w:rsidR="003E4716" w:rsidRPr="002029AF" w:rsidRDefault="003E4716" w:rsidP="008340C1">
            <w:pPr>
              <w:pStyle w:val="ARfintablebodyright"/>
              <w:rPr>
                <w:lang w:eastAsia="en-GB"/>
              </w:rPr>
            </w:pPr>
            <w:r w:rsidRPr="00AB7AFC">
              <w:t>454</w:t>
            </w:r>
          </w:p>
        </w:tc>
        <w:tc>
          <w:tcPr>
            <w:tcW w:w="1133" w:type="dxa"/>
            <w:tcBorders>
              <w:top w:val="single" w:sz="4" w:space="0" w:color="auto"/>
              <w:bottom w:val="single" w:sz="4" w:space="0" w:color="auto"/>
            </w:tcBorders>
            <w:hideMark/>
          </w:tcPr>
          <w:p w14:paraId="48C6BC2B" w14:textId="77777777" w:rsidR="003E4716" w:rsidRPr="002029AF" w:rsidRDefault="003E4716" w:rsidP="008340C1">
            <w:pPr>
              <w:pStyle w:val="ARfintablebodyright"/>
              <w:rPr>
                <w:lang w:eastAsia="en-GB"/>
              </w:rPr>
            </w:pPr>
            <w:r w:rsidRPr="00AB7AFC">
              <w:t>517</w:t>
            </w:r>
          </w:p>
        </w:tc>
        <w:tc>
          <w:tcPr>
            <w:tcW w:w="1134" w:type="dxa"/>
            <w:tcBorders>
              <w:top w:val="single" w:sz="4" w:space="0" w:color="auto"/>
              <w:bottom w:val="single" w:sz="4" w:space="0" w:color="auto"/>
            </w:tcBorders>
            <w:hideMark/>
          </w:tcPr>
          <w:p w14:paraId="0B2DA95F" w14:textId="77777777" w:rsidR="003E4716" w:rsidRPr="002029AF" w:rsidRDefault="003E4716" w:rsidP="008340C1">
            <w:pPr>
              <w:pStyle w:val="ARfintablebodyright"/>
              <w:rPr>
                <w:lang w:eastAsia="en-GB"/>
              </w:rPr>
            </w:pPr>
            <w:r w:rsidRPr="00AB7AFC">
              <w:t>103.9</w:t>
            </w:r>
          </w:p>
        </w:tc>
        <w:tc>
          <w:tcPr>
            <w:tcW w:w="609" w:type="dxa"/>
            <w:tcBorders>
              <w:top w:val="single" w:sz="4" w:space="0" w:color="auto"/>
              <w:bottom w:val="single" w:sz="4" w:space="0" w:color="auto"/>
            </w:tcBorders>
            <w:hideMark/>
          </w:tcPr>
          <w:p w14:paraId="71C75CA1" w14:textId="77777777" w:rsidR="003E4716" w:rsidRPr="002029AF" w:rsidRDefault="003E4716" w:rsidP="008340C1">
            <w:pPr>
              <w:pStyle w:val="ARfintablebodycentre"/>
            </w:pPr>
          </w:p>
        </w:tc>
      </w:tr>
      <w:tr w:rsidR="003E4716" w:rsidRPr="002029AF" w14:paraId="0266813A" w14:textId="77777777" w:rsidTr="008340C1">
        <w:tc>
          <w:tcPr>
            <w:tcW w:w="9639" w:type="dxa"/>
            <w:gridSpan w:val="6"/>
            <w:tcBorders>
              <w:top w:val="single" w:sz="4" w:space="0" w:color="auto"/>
              <w:bottom w:val="single" w:sz="4" w:space="0" w:color="A6A6A6"/>
            </w:tcBorders>
            <w:hideMark/>
          </w:tcPr>
          <w:p w14:paraId="1EE6415E" w14:textId="77777777" w:rsidR="003E4716" w:rsidRPr="002029AF" w:rsidRDefault="003E4716" w:rsidP="008340C1">
            <w:pPr>
              <w:pStyle w:val="ARfintablebodybold"/>
              <w:rPr>
                <w:lang w:eastAsia="en-GB"/>
              </w:rPr>
            </w:pPr>
            <w:r w:rsidRPr="00AB7AFC">
              <w:t>Administered liabilities</w:t>
            </w:r>
          </w:p>
        </w:tc>
      </w:tr>
      <w:tr w:rsidR="003E4716" w:rsidRPr="002029AF" w14:paraId="1FA10A84" w14:textId="77777777" w:rsidTr="008340C1">
        <w:tc>
          <w:tcPr>
            <w:tcW w:w="4502" w:type="dxa"/>
            <w:tcBorders>
              <w:top w:val="single" w:sz="4" w:space="0" w:color="A6A6A6"/>
              <w:bottom w:val="single" w:sz="4" w:space="0" w:color="A6A6A6"/>
            </w:tcBorders>
          </w:tcPr>
          <w:p w14:paraId="31784BE3" w14:textId="77777777" w:rsidR="003E4716" w:rsidRPr="00F7186C" w:rsidRDefault="003E4716" w:rsidP="008340C1">
            <w:pPr>
              <w:pStyle w:val="ARfintablebody"/>
            </w:pPr>
            <w:r w:rsidRPr="00AB7AFC">
              <w:t>Payables</w:t>
            </w:r>
          </w:p>
        </w:tc>
        <w:tc>
          <w:tcPr>
            <w:tcW w:w="1130" w:type="dxa"/>
            <w:tcBorders>
              <w:top w:val="single" w:sz="4" w:space="0" w:color="A6A6A6"/>
              <w:bottom w:val="single" w:sz="4" w:space="0" w:color="A6A6A6"/>
            </w:tcBorders>
          </w:tcPr>
          <w:p w14:paraId="6F0417AF" w14:textId="77777777" w:rsidR="003E4716" w:rsidRPr="00F7186C" w:rsidRDefault="003E4716" w:rsidP="008340C1">
            <w:pPr>
              <w:pStyle w:val="ARfintablebodyright"/>
            </w:pPr>
            <w:r w:rsidRPr="00AB7AFC">
              <w:t>994</w:t>
            </w:r>
          </w:p>
        </w:tc>
        <w:tc>
          <w:tcPr>
            <w:tcW w:w="1131" w:type="dxa"/>
            <w:tcBorders>
              <w:top w:val="single" w:sz="4" w:space="0" w:color="A6A6A6"/>
              <w:bottom w:val="single" w:sz="4" w:space="0" w:color="A6A6A6"/>
            </w:tcBorders>
          </w:tcPr>
          <w:p w14:paraId="0B0D8BB7" w14:textId="77777777" w:rsidR="003E4716" w:rsidRPr="00F7186C" w:rsidRDefault="003E4716" w:rsidP="008340C1">
            <w:pPr>
              <w:pStyle w:val="ARfintablebodyright"/>
            </w:pPr>
            <w:r w:rsidRPr="00AB7AFC">
              <w:t>448</w:t>
            </w:r>
          </w:p>
        </w:tc>
        <w:tc>
          <w:tcPr>
            <w:tcW w:w="1133" w:type="dxa"/>
            <w:tcBorders>
              <w:top w:val="single" w:sz="4" w:space="0" w:color="A6A6A6"/>
              <w:bottom w:val="single" w:sz="4" w:space="0" w:color="A6A6A6"/>
            </w:tcBorders>
          </w:tcPr>
          <w:p w14:paraId="21B5979E" w14:textId="77777777" w:rsidR="003E4716" w:rsidRPr="00F7186C" w:rsidRDefault="003E4716" w:rsidP="008340C1">
            <w:pPr>
              <w:pStyle w:val="ARfintablebodyright"/>
            </w:pPr>
            <w:r w:rsidRPr="00AB7AFC">
              <w:t>511</w:t>
            </w:r>
          </w:p>
        </w:tc>
        <w:tc>
          <w:tcPr>
            <w:tcW w:w="1134" w:type="dxa"/>
            <w:tcBorders>
              <w:top w:val="single" w:sz="4" w:space="0" w:color="A6A6A6"/>
              <w:bottom w:val="single" w:sz="4" w:space="0" w:color="A6A6A6"/>
            </w:tcBorders>
          </w:tcPr>
          <w:p w14:paraId="4E863B59" w14:textId="77777777" w:rsidR="003E4716" w:rsidRDefault="003E4716" w:rsidP="008340C1">
            <w:pPr>
              <w:pStyle w:val="ARfintablebodyright"/>
            </w:pPr>
            <w:r w:rsidRPr="00AB7AFC">
              <w:t>94.7</w:t>
            </w:r>
          </w:p>
        </w:tc>
        <w:tc>
          <w:tcPr>
            <w:tcW w:w="609" w:type="dxa"/>
            <w:tcBorders>
              <w:top w:val="single" w:sz="4" w:space="0" w:color="A6A6A6"/>
              <w:bottom w:val="single" w:sz="4" w:space="0" w:color="A6A6A6"/>
            </w:tcBorders>
          </w:tcPr>
          <w:p w14:paraId="0E9FB2F5" w14:textId="77777777" w:rsidR="003E4716" w:rsidRPr="002029AF" w:rsidRDefault="003E4716" w:rsidP="008340C1">
            <w:pPr>
              <w:pStyle w:val="ARfintablebodycentre"/>
              <w:rPr>
                <w:lang w:eastAsia="en-GB"/>
              </w:rPr>
            </w:pPr>
            <w:r w:rsidRPr="00AB7AFC">
              <w:t>(d)</w:t>
            </w:r>
          </w:p>
        </w:tc>
      </w:tr>
      <w:tr w:rsidR="003E4716" w:rsidRPr="002029AF" w14:paraId="0EC3D088" w14:textId="77777777" w:rsidTr="008340C1">
        <w:tc>
          <w:tcPr>
            <w:tcW w:w="4502" w:type="dxa"/>
            <w:tcBorders>
              <w:top w:val="single" w:sz="4" w:space="0" w:color="A6A6A6"/>
              <w:bottom w:val="single" w:sz="4" w:space="0" w:color="auto"/>
            </w:tcBorders>
            <w:hideMark/>
          </w:tcPr>
          <w:p w14:paraId="001D358F" w14:textId="77777777" w:rsidR="003E4716" w:rsidRPr="002029AF" w:rsidRDefault="003E4716" w:rsidP="008340C1">
            <w:pPr>
              <w:pStyle w:val="ARfintablebody"/>
              <w:rPr>
                <w:lang w:eastAsia="en-GB"/>
              </w:rPr>
            </w:pPr>
            <w:r w:rsidRPr="00AB7AFC">
              <w:t>Provisions</w:t>
            </w:r>
          </w:p>
        </w:tc>
        <w:tc>
          <w:tcPr>
            <w:tcW w:w="1130" w:type="dxa"/>
            <w:tcBorders>
              <w:top w:val="single" w:sz="4" w:space="0" w:color="A6A6A6"/>
              <w:bottom w:val="single" w:sz="4" w:space="0" w:color="auto"/>
            </w:tcBorders>
            <w:hideMark/>
          </w:tcPr>
          <w:p w14:paraId="7B9C6CFD" w14:textId="77777777" w:rsidR="003E4716" w:rsidRPr="002029AF" w:rsidRDefault="003E4716" w:rsidP="008340C1">
            <w:pPr>
              <w:pStyle w:val="ARfintablebodyright"/>
              <w:rPr>
                <w:lang w:eastAsia="en-GB"/>
              </w:rPr>
            </w:pPr>
            <w:r w:rsidRPr="009F4CBE">
              <w:t>–</w:t>
            </w:r>
          </w:p>
        </w:tc>
        <w:tc>
          <w:tcPr>
            <w:tcW w:w="1131" w:type="dxa"/>
            <w:tcBorders>
              <w:top w:val="single" w:sz="4" w:space="0" w:color="A6A6A6"/>
              <w:bottom w:val="single" w:sz="4" w:space="0" w:color="auto"/>
            </w:tcBorders>
          </w:tcPr>
          <w:p w14:paraId="3B0E0F09" w14:textId="77777777" w:rsidR="003E4716" w:rsidRPr="002029AF" w:rsidRDefault="003E4716" w:rsidP="008340C1">
            <w:pPr>
              <w:pStyle w:val="ARfintablebodyright"/>
              <w:rPr>
                <w:lang w:eastAsia="en-GB"/>
              </w:rPr>
            </w:pPr>
            <w:r w:rsidRPr="009F4CBE">
              <w:t>–</w:t>
            </w:r>
          </w:p>
        </w:tc>
        <w:tc>
          <w:tcPr>
            <w:tcW w:w="1133" w:type="dxa"/>
            <w:tcBorders>
              <w:top w:val="single" w:sz="4" w:space="0" w:color="A6A6A6"/>
              <w:bottom w:val="single" w:sz="4" w:space="0" w:color="auto"/>
            </w:tcBorders>
            <w:hideMark/>
          </w:tcPr>
          <w:p w14:paraId="2563AE5A" w14:textId="77777777" w:rsidR="003E4716" w:rsidRPr="002029AF" w:rsidRDefault="003E4716" w:rsidP="008340C1">
            <w:pPr>
              <w:pStyle w:val="ARfintablebodyright"/>
              <w:rPr>
                <w:lang w:eastAsia="en-GB"/>
              </w:rPr>
            </w:pPr>
            <w:r w:rsidRPr="009F4CBE">
              <w:t>–</w:t>
            </w:r>
          </w:p>
        </w:tc>
        <w:tc>
          <w:tcPr>
            <w:tcW w:w="1134" w:type="dxa"/>
            <w:tcBorders>
              <w:top w:val="single" w:sz="4" w:space="0" w:color="A6A6A6"/>
              <w:bottom w:val="single" w:sz="4" w:space="0" w:color="auto"/>
            </w:tcBorders>
            <w:hideMark/>
          </w:tcPr>
          <w:p w14:paraId="7C24839D" w14:textId="77777777" w:rsidR="003E4716" w:rsidRPr="002029AF" w:rsidRDefault="003E4716" w:rsidP="008340C1">
            <w:pPr>
              <w:pStyle w:val="ARfintablebodyright"/>
              <w:rPr>
                <w:lang w:eastAsia="en-GB"/>
              </w:rPr>
            </w:pPr>
            <w:r>
              <w:t>–</w:t>
            </w:r>
          </w:p>
        </w:tc>
        <w:tc>
          <w:tcPr>
            <w:tcW w:w="609" w:type="dxa"/>
            <w:tcBorders>
              <w:top w:val="single" w:sz="4" w:space="0" w:color="A6A6A6"/>
              <w:bottom w:val="single" w:sz="4" w:space="0" w:color="auto"/>
            </w:tcBorders>
            <w:hideMark/>
          </w:tcPr>
          <w:p w14:paraId="1FDA24D5" w14:textId="77777777" w:rsidR="003E4716" w:rsidRPr="002029AF" w:rsidRDefault="003E4716" w:rsidP="008340C1">
            <w:pPr>
              <w:pStyle w:val="ARfintablebodycentre"/>
              <w:rPr>
                <w:lang w:eastAsia="en-GB"/>
              </w:rPr>
            </w:pPr>
          </w:p>
        </w:tc>
      </w:tr>
      <w:tr w:rsidR="003E4716" w:rsidRPr="002029AF" w14:paraId="10EEEBEC" w14:textId="77777777" w:rsidTr="008340C1">
        <w:tc>
          <w:tcPr>
            <w:tcW w:w="4502" w:type="dxa"/>
            <w:tcBorders>
              <w:top w:val="single" w:sz="4" w:space="0" w:color="auto"/>
            </w:tcBorders>
            <w:hideMark/>
          </w:tcPr>
          <w:p w14:paraId="09239A05" w14:textId="77777777" w:rsidR="003E4716" w:rsidRPr="002029AF" w:rsidRDefault="003E4716" w:rsidP="008340C1">
            <w:pPr>
              <w:pStyle w:val="ARfintablebodybold"/>
              <w:rPr>
                <w:lang w:eastAsia="en-GB"/>
              </w:rPr>
            </w:pPr>
            <w:r w:rsidRPr="00AB7AFC">
              <w:t>Total administered liabilities</w:t>
            </w:r>
          </w:p>
        </w:tc>
        <w:tc>
          <w:tcPr>
            <w:tcW w:w="1130" w:type="dxa"/>
            <w:tcBorders>
              <w:top w:val="single" w:sz="4" w:space="0" w:color="auto"/>
            </w:tcBorders>
            <w:hideMark/>
          </w:tcPr>
          <w:p w14:paraId="35D87687" w14:textId="77777777" w:rsidR="003E4716" w:rsidRPr="002029AF" w:rsidRDefault="003E4716" w:rsidP="008340C1">
            <w:pPr>
              <w:pStyle w:val="ARfintablebodyrightbold"/>
              <w:rPr>
                <w:lang w:eastAsia="en-GB"/>
              </w:rPr>
            </w:pPr>
            <w:r w:rsidRPr="00AB7AFC">
              <w:t>994</w:t>
            </w:r>
          </w:p>
        </w:tc>
        <w:tc>
          <w:tcPr>
            <w:tcW w:w="1131" w:type="dxa"/>
            <w:tcBorders>
              <w:top w:val="single" w:sz="4" w:space="0" w:color="auto"/>
            </w:tcBorders>
          </w:tcPr>
          <w:p w14:paraId="4C47E22C" w14:textId="77777777" w:rsidR="003E4716" w:rsidRPr="002029AF" w:rsidRDefault="003E4716" w:rsidP="008340C1">
            <w:pPr>
              <w:pStyle w:val="ARfintablebodyrightbold"/>
              <w:rPr>
                <w:lang w:eastAsia="en-GB"/>
              </w:rPr>
            </w:pPr>
            <w:r w:rsidRPr="00AB7AFC">
              <w:t>448</w:t>
            </w:r>
          </w:p>
        </w:tc>
        <w:tc>
          <w:tcPr>
            <w:tcW w:w="1133" w:type="dxa"/>
            <w:tcBorders>
              <w:top w:val="single" w:sz="4" w:space="0" w:color="auto"/>
            </w:tcBorders>
            <w:hideMark/>
          </w:tcPr>
          <w:p w14:paraId="7CBC969C" w14:textId="77777777" w:rsidR="003E4716" w:rsidRPr="002029AF" w:rsidRDefault="003E4716" w:rsidP="008340C1">
            <w:pPr>
              <w:pStyle w:val="ARfintablebodyrightbold"/>
              <w:rPr>
                <w:lang w:eastAsia="en-GB"/>
              </w:rPr>
            </w:pPr>
            <w:r w:rsidRPr="00AB7AFC">
              <w:t>511</w:t>
            </w:r>
          </w:p>
        </w:tc>
        <w:tc>
          <w:tcPr>
            <w:tcW w:w="1134" w:type="dxa"/>
            <w:tcBorders>
              <w:top w:val="single" w:sz="4" w:space="0" w:color="auto"/>
            </w:tcBorders>
            <w:hideMark/>
          </w:tcPr>
          <w:p w14:paraId="69EADCB3" w14:textId="77777777" w:rsidR="003E4716" w:rsidRPr="002029AF" w:rsidRDefault="003E4716" w:rsidP="008340C1">
            <w:pPr>
              <w:pStyle w:val="ARfintablebodyrightbold"/>
              <w:rPr>
                <w:lang w:eastAsia="en-GB"/>
              </w:rPr>
            </w:pPr>
            <w:r w:rsidRPr="00AB7AFC">
              <w:t>94.7</w:t>
            </w:r>
          </w:p>
        </w:tc>
        <w:tc>
          <w:tcPr>
            <w:tcW w:w="609" w:type="dxa"/>
            <w:tcBorders>
              <w:top w:val="single" w:sz="4" w:space="0" w:color="auto"/>
            </w:tcBorders>
            <w:hideMark/>
          </w:tcPr>
          <w:p w14:paraId="7221ACCB" w14:textId="77777777" w:rsidR="003E4716" w:rsidRPr="002029AF" w:rsidRDefault="003E4716" w:rsidP="008340C1">
            <w:pPr>
              <w:pStyle w:val="ARfintablebodycentre"/>
              <w:rPr>
                <w:lang w:eastAsia="en-GB"/>
              </w:rPr>
            </w:pPr>
          </w:p>
        </w:tc>
      </w:tr>
      <w:tr w:rsidR="003E4716" w:rsidRPr="002029AF" w14:paraId="65DBFE43" w14:textId="77777777" w:rsidTr="008340C1">
        <w:tc>
          <w:tcPr>
            <w:tcW w:w="4502" w:type="dxa"/>
            <w:hideMark/>
          </w:tcPr>
          <w:p w14:paraId="38DD8018" w14:textId="77777777" w:rsidR="003E4716" w:rsidRPr="002029AF" w:rsidRDefault="003E4716" w:rsidP="008340C1">
            <w:pPr>
              <w:pStyle w:val="ARfintablebodybold"/>
              <w:rPr>
                <w:lang w:eastAsia="en-GB"/>
              </w:rPr>
            </w:pPr>
            <w:r w:rsidRPr="00AB7AFC">
              <w:t>Net assets</w:t>
            </w:r>
          </w:p>
        </w:tc>
        <w:tc>
          <w:tcPr>
            <w:tcW w:w="1130" w:type="dxa"/>
            <w:hideMark/>
          </w:tcPr>
          <w:p w14:paraId="2487FDE0" w14:textId="77777777" w:rsidR="003E4716" w:rsidRPr="002029AF" w:rsidRDefault="003E4716" w:rsidP="008340C1">
            <w:pPr>
              <w:pStyle w:val="ARfintablebodyrightbold"/>
              <w:rPr>
                <w:lang w:eastAsia="en-GB"/>
              </w:rPr>
            </w:pPr>
            <w:r w:rsidRPr="00AB7AFC">
              <w:t>60</w:t>
            </w:r>
          </w:p>
        </w:tc>
        <w:tc>
          <w:tcPr>
            <w:tcW w:w="1131" w:type="dxa"/>
          </w:tcPr>
          <w:p w14:paraId="10233619" w14:textId="77777777" w:rsidR="003E4716" w:rsidRPr="002029AF" w:rsidRDefault="003E4716" w:rsidP="008340C1">
            <w:pPr>
              <w:pStyle w:val="ARfintablebodyrightbold"/>
              <w:rPr>
                <w:lang w:eastAsia="en-GB"/>
              </w:rPr>
            </w:pPr>
            <w:r w:rsidRPr="00AB7AFC">
              <w:t>6</w:t>
            </w:r>
          </w:p>
        </w:tc>
        <w:tc>
          <w:tcPr>
            <w:tcW w:w="1133" w:type="dxa"/>
            <w:hideMark/>
          </w:tcPr>
          <w:p w14:paraId="31DF07A4" w14:textId="77777777" w:rsidR="003E4716" w:rsidRPr="002029AF" w:rsidRDefault="003E4716" w:rsidP="008340C1">
            <w:pPr>
              <w:pStyle w:val="ARfintablebodyrightbold"/>
              <w:rPr>
                <w:lang w:eastAsia="en-GB"/>
              </w:rPr>
            </w:pPr>
            <w:r w:rsidRPr="00AB7AFC">
              <w:t>6</w:t>
            </w:r>
          </w:p>
        </w:tc>
        <w:tc>
          <w:tcPr>
            <w:tcW w:w="1134" w:type="dxa"/>
            <w:hideMark/>
          </w:tcPr>
          <w:p w14:paraId="5434FF03" w14:textId="77777777" w:rsidR="003E4716" w:rsidRPr="002029AF" w:rsidRDefault="003E4716" w:rsidP="008340C1">
            <w:pPr>
              <w:pStyle w:val="ARfintablebodyrightbold"/>
              <w:rPr>
                <w:lang w:eastAsia="en-GB"/>
              </w:rPr>
            </w:pPr>
            <w:r w:rsidRPr="00AB7AFC">
              <w:t>843.9</w:t>
            </w:r>
          </w:p>
        </w:tc>
        <w:tc>
          <w:tcPr>
            <w:tcW w:w="609" w:type="dxa"/>
            <w:hideMark/>
          </w:tcPr>
          <w:p w14:paraId="1027E72A" w14:textId="77777777" w:rsidR="003E4716" w:rsidRPr="002029AF" w:rsidRDefault="003E4716" w:rsidP="008340C1">
            <w:pPr>
              <w:pStyle w:val="ARfintablebodycentre"/>
              <w:rPr>
                <w:lang w:eastAsia="en-GB"/>
              </w:rPr>
            </w:pPr>
          </w:p>
        </w:tc>
      </w:tr>
    </w:tbl>
    <w:p w14:paraId="43B63F89" w14:textId="0B184884" w:rsidR="003E4716" w:rsidRDefault="003E4716" w:rsidP="00817CFB">
      <w:pPr>
        <w:pStyle w:val="ARtablefootnotealpha"/>
        <w:numPr>
          <w:ilvl w:val="0"/>
          <w:numId w:val="24"/>
        </w:numPr>
      </w:pPr>
      <w:r>
        <w:t xml:space="preserve">Administered grants income was higher than budget due to additional funding from </w:t>
      </w:r>
      <w:r w:rsidR="00546625">
        <w:t xml:space="preserve">the </w:t>
      </w:r>
      <w:r>
        <w:t>Commonwealth and the state government under the National Health Reform Agreement and National Partnership on COVID-19 Response.</w:t>
      </w:r>
    </w:p>
    <w:p w14:paraId="41B03386" w14:textId="77777777" w:rsidR="003E4716" w:rsidRDefault="003E4716" w:rsidP="00817CFB">
      <w:pPr>
        <w:pStyle w:val="ARtablefootnotealpha"/>
        <w:numPr>
          <w:ilvl w:val="0"/>
          <w:numId w:val="24"/>
        </w:numPr>
      </w:pPr>
      <w:r>
        <w:t>Administered grants expenses were higher than budget due to additional grants to health agencies and the state from the Victorian State Pool Account for health services delivered under the National Health Reform Agreement and National Partnership on COVID-19 Response.</w:t>
      </w:r>
    </w:p>
    <w:p w14:paraId="1FB583D5" w14:textId="77777777" w:rsidR="003E4716" w:rsidRDefault="003E4716" w:rsidP="00817CFB">
      <w:pPr>
        <w:pStyle w:val="ARtablefootnotealpha"/>
        <w:numPr>
          <w:ilvl w:val="0"/>
          <w:numId w:val="24"/>
        </w:numPr>
      </w:pPr>
      <w:r>
        <w:t>Administered receivables were higher than budget mainly due to the accrued Commonwealth contribution to the Victorian State Pool Account for the National Partnership on COVID-19 response</w:t>
      </w:r>
    </w:p>
    <w:p w14:paraId="118F484A" w14:textId="478CB1DF" w:rsidR="003E4716" w:rsidRPr="003034C4" w:rsidRDefault="003E4716" w:rsidP="00817CFB">
      <w:pPr>
        <w:pStyle w:val="ARtablefootnotealpha"/>
        <w:numPr>
          <w:ilvl w:val="0"/>
          <w:numId w:val="24"/>
        </w:numPr>
      </w:pPr>
      <w:r>
        <w:t xml:space="preserve">Administered payables were higher than budget due to the funding payable by the Victorian State Pool Account to the state for </w:t>
      </w:r>
      <w:r w:rsidRPr="00C34D6A">
        <w:t xml:space="preserve">services </w:t>
      </w:r>
      <w:r w:rsidR="00C17753">
        <w:t>relating to the</w:t>
      </w:r>
      <w:r w:rsidRPr="00C34D6A">
        <w:t xml:space="preserve"> </w:t>
      </w:r>
      <w:r>
        <w:t>COVID-19 response.</w:t>
      </w:r>
    </w:p>
    <w:p w14:paraId="37B92787" w14:textId="77777777" w:rsidR="003E4716" w:rsidRPr="003E4716" w:rsidRDefault="003E4716" w:rsidP="003E4716">
      <w:pPr>
        <w:pStyle w:val="ARbody"/>
      </w:pPr>
      <w:bookmarkStart w:id="671" w:name="_Toc520974733"/>
      <w:bookmarkStart w:id="672" w:name="_Toc524788314"/>
      <w:bookmarkStart w:id="673" w:name="_Ref525047369"/>
      <w:bookmarkStart w:id="674" w:name="_Ref21862080"/>
      <w:bookmarkStart w:id="675" w:name="_Toc50996881"/>
      <w:bookmarkStart w:id="676" w:name="_Toc50998471"/>
      <w:bookmarkStart w:id="677" w:name="_Toc54690825"/>
      <w:bookmarkStart w:id="678" w:name="_Ref84252356"/>
      <w:bookmarkStart w:id="679" w:name="_Toc85121582"/>
      <w:bookmarkStart w:id="680" w:name="_Toc85121637"/>
      <w:bookmarkStart w:id="681" w:name="_Toc102734858"/>
      <w:bookmarkStart w:id="682" w:name="_Toc431639278"/>
      <w:bookmarkStart w:id="683" w:name="_Toc462577213"/>
      <w:bookmarkStart w:id="684" w:name="_Toc463776641"/>
      <w:bookmarkStart w:id="685" w:name="_Ref492895417"/>
      <w:bookmarkStart w:id="686" w:name="_Toc520974737"/>
      <w:r w:rsidRPr="003E4716">
        <w:br w:type="page"/>
      </w:r>
    </w:p>
    <w:p w14:paraId="4AB099C7" w14:textId="5F115A11" w:rsidR="00EF10EA" w:rsidRPr="002029AF" w:rsidRDefault="005D2C76" w:rsidP="00EF10EA">
      <w:pPr>
        <w:pStyle w:val="Heading2"/>
        <w:spacing w:before="0"/>
      </w:pPr>
      <w:bookmarkStart w:id="687" w:name="_Ref112852235"/>
      <w:bookmarkStart w:id="688" w:name="_Toc113702951"/>
      <w:r>
        <w:t xml:space="preserve">Appendix 3: </w:t>
      </w:r>
      <w:r w:rsidR="00EF10EA" w:rsidRPr="002029AF">
        <w:t>Disclosure index</w:t>
      </w:r>
      <w:bookmarkEnd w:id="671"/>
      <w:bookmarkEnd w:id="672"/>
      <w:bookmarkEnd w:id="673"/>
      <w:bookmarkEnd w:id="674"/>
      <w:bookmarkEnd w:id="675"/>
      <w:bookmarkEnd w:id="676"/>
      <w:bookmarkEnd w:id="677"/>
      <w:bookmarkEnd w:id="678"/>
      <w:bookmarkEnd w:id="679"/>
      <w:bookmarkEnd w:id="680"/>
      <w:bookmarkEnd w:id="681"/>
      <w:bookmarkEnd w:id="687"/>
      <w:bookmarkEnd w:id="688"/>
    </w:p>
    <w:p w14:paraId="7408366A" w14:textId="77777777" w:rsidR="00EF10EA" w:rsidRPr="002029AF" w:rsidRDefault="00EF10EA" w:rsidP="00EF10EA">
      <w:pPr>
        <w:pStyle w:val="ARbody"/>
      </w:pPr>
      <w:r>
        <w:t xml:space="preserve">This </w:t>
      </w:r>
      <w:r w:rsidRPr="002029AF">
        <w:t>annual report is prepared in accordance with all relevant Victorian legislation</w:t>
      </w:r>
      <w:r>
        <w:t xml:space="preserve"> and pronouncements</w:t>
      </w:r>
      <w:r w:rsidRPr="002029AF">
        <w:t>. This</w:t>
      </w:r>
      <w:r>
        <w:t> </w:t>
      </w:r>
      <w:r w:rsidRPr="002029AF">
        <w:t>index facilitate</w:t>
      </w:r>
      <w:r>
        <w:t>s</w:t>
      </w:r>
      <w:r w:rsidRPr="002029AF">
        <w:t xml:space="preserve"> identification of the department</w:t>
      </w:r>
      <w:r>
        <w:t>’</w:t>
      </w:r>
      <w:r w:rsidRPr="002029AF">
        <w:t>s compliance with statutory disclosure requirements.</w:t>
      </w:r>
    </w:p>
    <w:p w14:paraId="7A1C7984" w14:textId="77777777" w:rsidR="00EF10EA" w:rsidRPr="002029AF" w:rsidRDefault="00EF10EA" w:rsidP="00B72231">
      <w:pPr>
        <w:pStyle w:val="Heading3disclosureindex"/>
        <w:spacing w:before="160"/>
      </w:pPr>
      <w:bookmarkStart w:id="689" w:name="_Toc462577210"/>
      <w:bookmarkStart w:id="690" w:name="_Toc520974734"/>
      <w:bookmarkStart w:id="691" w:name="_Toc50998472"/>
      <w:bookmarkStart w:id="692" w:name="_Toc85121583"/>
      <w:r w:rsidRPr="002029AF">
        <w:t>Report of operations</w:t>
      </w:r>
      <w:bookmarkEnd w:id="689"/>
      <w:bookmarkEnd w:id="690"/>
      <w:bookmarkEnd w:id="691"/>
      <w:bookmarkEnd w:id="692"/>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990"/>
        <w:gridCol w:w="6510"/>
        <w:gridCol w:w="1139"/>
      </w:tblGrid>
      <w:tr w:rsidR="00EF10EA" w:rsidRPr="002029AF" w14:paraId="4064941B" w14:textId="77777777" w:rsidTr="00286C94">
        <w:trPr>
          <w:cantSplit/>
          <w:tblHeader/>
        </w:trPr>
        <w:tc>
          <w:tcPr>
            <w:tcW w:w="1990" w:type="dxa"/>
            <w:tcBorders>
              <w:top w:val="nil"/>
            </w:tcBorders>
            <w:shd w:val="clear" w:color="auto" w:fill="auto"/>
            <w:vAlign w:val="bottom"/>
          </w:tcPr>
          <w:p w14:paraId="316EA448" w14:textId="77777777" w:rsidR="00EF10EA" w:rsidRPr="002029AF" w:rsidRDefault="00EF10EA" w:rsidP="00780B21">
            <w:pPr>
              <w:pStyle w:val="ARtablecolhead"/>
              <w:spacing w:before="60" w:after="40"/>
            </w:pPr>
            <w:r w:rsidRPr="002029AF">
              <w:t>Ministerial directions</w:t>
            </w:r>
          </w:p>
        </w:tc>
        <w:tc>
          <w:tcPr>
            <w:tcW w:w="6510" w:type="dxa"/>
            <w:tcBorders>
              <w:top w:val="nil"/>
            </w:tcBorders>
            <w:shd w:val="clear" w:color="auto" w:fill="auto"/>
            <w:vAlign w:val="bottom"/>
          </w:tcPr>
          <w:p w14:paraId="7CA12436" w14:textId="77777777" w:rsidR="00EF10EA" w:rsidRPr="002029AF" w:rsidRDefault="00EF10EA" w:rsidP="00780B21">
            <w:pPr>
              <w:pStyle w:val="ARtablecolhead"/>
              <w:spacing w:before="60" w:after="40"/>
            </w:pPr>
            <w:r w:rsidRPr="002029AF">
              <w:t>Requirement</w:t>
            </w:r>
          </w:p>
        </w:tc>
        <w:tc>
          <w:tcPr>
            <w:tcW w:w="1139" w:type="dxa"/>
            <w:tcBorders>
              <w:top w:val="nil"/>
            </w:tcBorders>
            <w:shd w:val="clear" w:color="auto" w:fill="auto"/>
            <w:vAlign w:val="bottom"/>
          </w:tcPr>
          <w:p w14:paraId="4CF72573" w14:textId="77777777" w:rsidR="00EF10EA" w:rsidRPr="002029AF" w:rsidRDefault="00EF10EA" w:rsidP="00780B21">
            <w:pPr>
              <w:pStyle w:val="ARtablecolhead"/>
              <w:spacing w:before="60" w:after="40"/>
              <w:jc w:val="right"/>
            </w:pPr>
            <w:r w:rsidRPr="002029AF">
              <w:t>Page</w:t>
            </w:r>
          </w:p>
        </w:tc>
      </w:tr>
      <w:tr w:rsidR="00EF10EA" w:rsidRPr="002029AF" w14:paraId="4F31B142" w14:textId="77777777" w:rsidTr="00286C94">
        <w:trPr>
          <w:cantSplit/>
        </w:trPr>
        <w:tc>
          <w:tcPr>
            <w:tcW w:w="8500" w:type="dxa"/>
            <w:gridSpan w:val="2"/>
            <w:tcBorders>
              <w:bottom w:val="nil"/>
            </w:tcBorders>
            <w:shd w:val="clear" w:color="auto" w:fill="auto"/>
          </w:tcPr>
          <w:p w14:paraId="6D9295CA" w14:textId="77777777" w:rsidR="00EF10EA" w:rsidRPr="002029AF" w:rsidRDefault="00EF10EA" w:rsidP="00780B21">
            <w:pPr>
              <w:pStyle w:val="ARtabletext"/>
              <w:spacing w:before="60" w:after="40"/>
              <w:rPr>
                <w:b/>
              </w:rPr>
            </w:pPr>
            <w:r w:rsidRPr="002029AF">
              <w:rPr>
                <w:b/>
              </w:rPr>
              <w:t>Cha</w:t>
            </w:r>
            <w:r>
              <w:rPr>
                <w:b/>
              </w:rPr>
              <w:t>r</w:t>
            </w:r>
            <w:r w:rsidRPr="002029AF">
              <w:rPr>
                <w:b/>
              </w:rPr>
              <w:t>ter and purpose</w:t>
            </w:r>
          </w:p>
        </w:tc>
        <w:tc>
          <w:tcPr>
            <w:tcW w:w="1139" w:type="dxa"/>
            <w:tcBorders>
              <w:bottom w:val="nil"/>
            </w:tcBorders>
            <w:shd w:val="clear" w:color="auto" w:fill="auto"/>
          </w:tcPr>
          <w:p w14:paraId="2B895940" w14:textId="77777777" w:rsidR="00EF10EA" w:rsidRPr="002029AF" w:rsidRDefault="00EF10EA" w:rsidP="00780B21">
            <w:pPr>
              <w:pStyle w:val="ARtabletextright"/>
              <w:spacing w:before="60" w:after="40"/>
            </w:pPr>
          </w:p>
        </w:tc>
      </w:tr>
      <w:tr w:rsidR="00EF10EA" w:rsidRPr="002029AF" w14:paraId="126067E6" w14:textId="77777777" w:rsidTr="00286C94">
        <w:trPr>
          <w:cantSplit/>
        </w:trPr>
        <w:tc>
          <w:tcPr>
            <w:tcW w:w="1990" w:type="dxa"/>
            <w:tcBorders>
              <w:top w:val="nil"/>
            </w:tcBorders>
            <w:shd w:val="clear" w:color="auto" w:fill="auto"/>
          </w:tcPr>
          <w:p w14:paraId="406A15FB" w14:textId="77777777" w:rsidR="00EF10EA" w:rsidRPr="002029AF" w:rsidRDefault="00EF10EA" w:rsidP="00780B21">
            <w:pPr>
              <w:pStyle w:val="ARtabletext"/>
              <w:spacing w:before="60" w:after="40"/>
            </w:pPr>
            <w:r w:rsidRPr="002029AF">
              <w:t>FRD 22</w:t>
            </w:r>
          </w:p>
        </w:tc>
        <w:tc>
          <w:tcPr>
            <w:tcW w:w="6510" w:type="dxa"/>
            <w:tcBorders>
              <w:top w:val="nil"/>
            </w:tcBorders>
            <w:shd w:val="clear" w:color="auto" w:fill="auto"/>
          </w:tcPr>
          <w:p w14:paraId="40DA1254" w14:textId="77777777" w:rsidR="00EF10EA" w:rsidRPr="002029AF" w:rsidRDefault="00EF10EA" w:rsidP="00780B21">
            <w:pPr>
              <w:pStyle w:val="ARtabletext"/>
              <w:spacing w:before="60" w:after="40"/>
            </w:pPr>
            <w:r w:rsidRPr="002029AF">
              <w:t>Manner of establishment and the relevant ministers</w:t>
            </w:r>
          </w:p>
        </w:tc>
        <w:tc>
          <w:tcPr>
            <w:tcW w:w="1139" w:type="dxa"/>
            <w:tcBorders>
              <w:top w:val="nil"/>
            </w:tcBorders>
            <w:shd w:val="clear" w:color="auto" w:fill="auto"/>
          </w:tcPr>
          <w:p w14:paraId="08FDF9AF" w14:textId="467CDF46" w:rsidR="00EF10EA" w:rsidRPr="002029AF" w:rsidRDefault="00F67BB5" w:rsidP="00780B21">
            <w:pPr>
              <w:pStyle w:val="ARtabletextright"/>
              <w:spacing w:before="60" w:after="40"/>
            </w:pPr>
            <w:r>
              <w:fldChar w:fldCharType="begin"/>
            </w:r>
            <w:r>
              <w:instrText xml:space="preserve"> PAGEREF _Ref21861667 \h </w:instrText>
            </w:r>
            <w:r>
              <w:fldChar w:fldCharType="separate"/>
            </w:r>
            <w:r w:rsidR="00C213B3">
              <w:rPr>
                <w:noProof/>
              </w:rPr>
              <w:t>10</w:t>
            </w:r>
            <w:r>
              <w:fldChar w:fldCharType="end"/>
            </w:r>
            <w:r>
              <w:t xml:space="preserve">, </w:t>
            </w:r>
            <w:r w:rsidR="0009168B">
              <w:fldChar w:fldCharType="begin"/>
            </w:r>
            <w:r w:rsidR="0009168B">
              <w:instrText xml:space="preserve"> PAGEREF _Ref84493388 \h </w:instrText>
            </w:r>
            <w:r w:rsidR="0009168B">
              <w:fldChar w:fldCharType="separate"/>
            </w:r>
            <w:r w:rsidR="00C213B3">
              <w:rPr>
                <w:noProof/>
              </w:rPr>
              <w:t>63</w:t>
            </w:r>
            <w:r w:rsidR="0009168B">
              <w:fldChar w:fldCharType="end"/>
            </w:r>
            <w:r w:rsidR="00CC0240">
              <w:t xml:space="preserve">, </w:t>
            </w:r>
            <w:r w:rsidR="00CB0377">
              <w:fldChar w:fldCharType="begin"/>
            </w:r>
            <w:r w:rsidR="00CB0377">
              <w:instrText xml:space="preserve"> PAGEREF _Ref112962774 \h </w:instrText>
            </w:r>
            <w:r w:rsidR="00CB0377">
              <w:fldChar w:fldCharType="separate"/>
            </w:r>
            <w:r w:rsidR="00C213B3">
              <w:rPr>
                <w:noProof/>
              </w:rPr>
              <w:t>130</w:t>
            </w:r>
            <w:r w:rsidR="00CB0377">
              <w:fldChar w:fldCharType="end"/>
            </w:r>
          </w:p>
        </w:tc>
      </w:tr>
      <w:tr w:rsidR="00EF10EA" w:rsidRPr="002029AF" w14:paraId="6D99353D" w14:textId="77777777" w:rsidTr="00286C94">
        <w:trPr>
          <w:cantSplit/>
        </w:trPr>
        <w:tc>
          <w:tcPr>
            <w:tcW w:w="1990" w:type="dxa"/>
            <w:shd w:val="clear" w:color="auto" w:fill="auto"/>
          </w:tcPr>
          <w:p w14:paraId="177E944F" w14:textId="77777777" w:rsidR="00EF10EA" w:rsidRPr="002029AF" w:rsidRDefault="00EF10EA" w:rsidP="00780B21">
            <w:pPr>
              <w:pStyle w:val="ARtabletext"/>
              <w:spacing w:before="60" w:after="40"/>
            </w:pPr>
            <w:r w:rsidRPr="002029AF">
              <w:t>FRD 22</w:t>
            </w:r>
          </w:p>
        </w:tc>
        <w:tc>
          <w:tcPr>
            <w:tcW w:w="6510" w:type="dxa"/>
            <w:shd w:val="clear" w:color="auto" w:fill="auto"/>
          </w:tcPr>
          <w:p w14:paraId="6E0C658D" w14:textId="77777777" w:rsidR="00EF10EA" w:rsidRPr="002029AF" w:rsidRDefault="00EF10EA" w:rsidP="00780B21">
            <w:pPr>
              <w:pStyle w:val="ARtabletext"/>
              <w:spacing w:before="60" w:after="40"/>
            </w:pPr>
            <w:r w:rsidRPr="00D4028F">
              <w:t>Purpose, functions, powers and duties</w:t>
            </w:r>
          </w:p>
        </w:tc>
        <w:tc>
          <w:tcPr>
            <w:tcW w:w="1139" w:type="dxa"/>
            <w:shd w:val="clear" w:color="auto" w:fill="auto"/>
          </w:tcPr>
          <w:p w14:paraId="6CA0BDAB" w14:textId="7FE35858" w:rsidR="00EF10EA" w:rsidRPr="002029AF" w:rsidRDefault="00F8632B" w:rsidP="00780B21">
            <w:pPr>
              <w:pStyle w:val="ARtabletextright"/>
              <w:spacing w:before="60" w:after="40"/>
            </w:pPr>
            <w:r>
              <w:fldChar w:fldCharType="begin"/>
            </w:r>
            <w:r>
              <w:instrText xml:space="preserve"> PAGEREF _Ref112848113 \h </w:instrText>
            </w:r>
            <w:r>
              <w:fldChar w:fldCharType="separate"/>
            </w:r>
            <w:r w:rsidR="00C213B3">
              <w:rPr>
                <w:noProof/>
              </w:rPr>
              <w:t>9</w:t>
            </w:r>
            <w:r>
              <w:fldChar w:fldCharType="end"/>
            </w:r>
            <w:r>
              <w:t xml:space="preserve">, </w:t>
            </w:r>
            <w:r w:rsidR="00B30573">
              <w:fldChar w:fldCharType="begin"/>
            </w:r>
            <w:r w:rsidR="00B30573">
              <w:instrText xml:space="preserve"> PAGEREF _Ref21960989 \h </w:instrText>
            </w:r>
            <w:r w:rsidR="00B30573">
              <w:fldChar w:fldCharType="separate"/>
            </w:r>
            <w:r w:rsidR="00C213B3">
              <w:rPr>
                <w:noProof/>
              </w:rPr>
              <w:t>106</w:t>
            </w:r>
            <w:r w:rsidR="00B30573">
              <w:fldChar w:fldCharType="end"/>
            </w:r>
          </w:p>
        </w:tc>
      </w:tr>
      <w:tr w:rsidR="00EF10EA" w:rsidRPr="002029AF" w14:paraId="640AD3CF" w14:textId="77777777" w:rsidTr="00286C94">
        <w:trPr>
          <w:cantSplit/>
        </w:trPr>
        <w:tc>
          <w:tcPr>
            <w:tcW w:w="1990" w:type="dxa"/>
            <w:shd w:val="clear" w:color="auto" w:fill="auto"/>
          </w:tcPr>
          <w:p w14:paraId="299C698F" w14:textId="77777777" w:rsidR="00EF10EA" w:rsidRPr="002029AF" w:rsidRDefault="00EF10EA" w:rsidP="00780B21">
            <w:pPr>
              <w:pStyle w:val="ARtabletext"/>
              <w:spacing w:before="60" w:after="40"/>
            </w:pPr>
            <w:r w:rsidRPr="002029AF">
              <w:t>FRD 8</w:t>
            </w:r>
          </w:p>
        </w:tc>
        <w:tc>
          <w:tcPr>
            <w:tcW w:w="6510" w:type="dxa"/>
            <w:shd w:val="clear" w:color="auto" w:fill="auto"/>
          </w:tcPr>
          <w:p w14:paraId="708A6B49" w14:textId="77777777" w:rsidR="00EF10EA" w:rsidRPr="002029AF" w:rsidRDefault="00EF10EA" w:rsidP="00780B21">
            <w:pPr>
              <w:pStyle w:val="ARtabletext"/>
              <w:spacing w:before="60" w:after="40"/>
            </w:pPr>
            <w:r w:rsidRPr="00C27799">
              <w:t>Departmental objectives, indicators and outputs</w:t>
            </w:r>
          </w:p>
        </w:tc>
        <w:tc>
          <w:tcPr>
            <w:tcW w:w="1139" w:type="dxa"/>
            <w:shd w:val="clear" w:color="auto" w:fill="auto"/>
          </w:tcPr>
          <w:p w14:paraId="0942D5A5" w14:textId="419361B2" w:rsidR="00EF10EA" w:rsidRPr="002029AF" w:rsidRDefault="004D7E4F" w:rsidP="00780B21">
            <w:pPr>
              <w:pStyle w:val="ARtabletextright"/>
              <w:spacing w:before="60" w:after="40"/>
            </w:pPr>
            <w:r>
              <w:fldChar w:fldCharType="begin"/>
            </w:r>
            <w:r>
              <w:instrText xml:space="preserve"> PAGEREF _Ref112848159 \h </w:instrText>
            </w:r>
            <w:r>
              <w:fldChar w:fldCharType="separate"/>
            </w:r>
            <w:r w:rsidR="00C213B3">
              <w:rPr>
                <w:noProof/>
              </w:rPr>
              <w:t>11</w:t>
            </w:r>
            <w:r>
              <w:fldChar w:fldCharType="end"/>
            </w:r>
          </w:p>
        </w:tc>
      </w:tr>
      <w:tr w:rsidR="00EF10EA" w:rsidRPr="002029AF" w14:paraId="0E5073A0" w14:textId="77777777" w:rsidTr="00286C94">
        <w:trPr>
          <w:cantSplit/>
        </w:trPr>
        <w:tc>
          <w:tcPr>
            <w:tcW w:w="1990" w:type="dxa"/>
            <w:tcBorders>
              <w:top w:val="nil"/>
            </w:tcBorders>
            <w:shd w:val="clear" w:color="auto" w:fill="auto"/>
          </w:tcPr>
          <w:p w14:paraId="0E6CA73C" w14:textId="77777777" w:rsidR="00EF10EA" w:rsidRPr="002029AF" w:rsidRDefault="00EF10EA" w:rsidP="00780B21">
            <w:pPr>
              <w:pStyle w:val="ARtabletext"/>
              <w:spacing w:before="60" w:after="40"/>
            </w:pPr>
            <w:r w:rsidRPr="002029AF">
              <w:t>FRD 22</w:t>
            </w:r>
          </w:p>
        </w:tc>
        <w:tc>
          <w:tcPr>
            <w:tcW w:w="6510" w:type="dxa"/>
            <w:tcBorders>
              <w:top w:val="nil"/>
            </w:tcBorders>
            <w:shd w:val="clear" w:color="auto" w:fill="auto"/>
          </w:tcPr>
          <w:p w14:paraId="79586603" w14:textId="77777777" w:rsidR="00EF10EA" w:rsidRPr="002029AF" w:rsidRDefault="00EF10EA" w:rsidP="00780B21">
            <w:pPr>
              <w:pStyle w:val="ARtabletext"/>
              <w:spacing w:before="60" w:after="40"/>
            </w:pPr>
            <w:r w:rsidRPr="002029AF">
              <w:t>Key initiatives and projects</w:t>
            </w:r>
          </w:p>
        </w:tc>
        <w:tc>
          <w:tcPr>
            <w:tcW w:w="1139" w:type="dxa"/>
            <w:tcBorders>
              <w:top w:val="nil"/>
            </w:tcBorders>
            <w:shd w:val="clear" w:color="auto" w:fill="auto"/>
          </w:tcPr>
          <w:p w14:paraId="4F4E6A4A" w14:textId="7FD6A77D" w:rsidR="00EF10EA" w:rsidRPr="002029AF" w:rsidRDefault="00F0554D" w:rsidP="00780B21">
            <w:pPr>
              <w:pStyle w:val="ARtabletextright"/>
              <w:spacing w:before="60" w:after="40"/>
            </w:pPr>
            <w:r>
              <w:fldChar w:fldCharType="begin"/>
            </w:r>
            <w:r>
              <w:instrText xml:space="preserve"> PAGEREF _Ref112848224 \h </w:instrText>
            </w:r>
            <w:r>
              <w:fldChar w:fldCharType="separate"/>
            </w:r>
            <w:r w:rsidR="00C213B3">
              <w:rPr>
                <w:noProof/>
              </w:rPr>
              <w:t>11</w:t>
            </w:r>
            <w:r>
              <w:fldChar w:fldCharType="end"/>
            </w:r>
          </w:p>
        </w:tc>
      </w:tr>
      <w:tr w:rsidR="00EF10EA" w:rsidRPr="002029AF" w14:paraId="09547F2A" w14:textId="77777777" w:rsidTr="00286C94">
        <w:trPr>
          <w:cantSplit/>
        </w:trPr>
        <w:tc>
          <w:tcPr>
            <w:tcW w:w="1990" w:type="dxa"/>
            <w:tcBorders>
              <w:top w:val="nil"/>
            </w:tcBorders>
            <w:shd w:val="clear" w:color="auto" w:fill="auto"/>
          </w:tcPr>
          <w:p w14:paraId="3F707354" w14:textId="77777777" w:rsidR="00EF10EA" w:rsidRPr="002029AF" w:rsidRDefault="00EF10EA" w:rsidP="00780B21">
            <w:pPr>
              <w:pStyle w:val="ARtabletext"/>
              <w:spacing w:before="60" w:after="40"/>
            </w:pPr>
            <w:r w:rsidRPr="002029AF">
              <w:t>FRD 22</w:t>
            </w:r>
          </w:p>
        </w:tc>
        <w:tc>
          <w:tcPr>
            <w:tcW w:w="6510" w:type="dxa"/>
            <w:tcBorders>
              <w:top w:val="nil"/>
            </w:tcBorders>
            <w:shd w:val="clear" w:color="auto" w:fill="auto"/>
          </w:tcPr>
          <w:p w14:paraId="58052BD1" w14:textId="77777777" w:rsidR="00EF10EA" w:rsidRPr="002029AF" w:rsidRDefault="00EF10EA" w:rsidP="00780B21">
            <w:pPr>
              <w:pStyle w:val="ARtabletext"/>
              <w:spacing w:before="60" w:after="40"/>
            </w:pPr>
            <w:r w:rsidRPr="002029AF">
              <w:t>Nature and range of services provided</w:t>
            </w:r>
          </w:p>
        </w:tc>
        <w:tc>
          <w:tcPr>
            <w:tcW w:w="1139" w:type="dxa"/>
            <w:tcBorders>
              <w:top w:val="nil"/>
            </w:tcBorders>
            <w:shd w:val="clear" w:color="auto" w:fill="auto"/>
          </w:tcPr>
          <w:p w14:paraId="596EC3A5" w14:textId="1EBFB582" w:rsidR="00EF10EA" w:rsidRPr="002029AF" w:rsidRDefault="00B975EF" w:rsidP="00780B21">
            <w:pPr>
              <w:pStyle w:val="ARtabletextright"/>
              <w:spacing w:before="60" w:after="40"/>
            </w:pPr>
            <w:r>
              <w:fldChar w:fldCharType="begin"/>
            </w:r>
            <w:r>
              <w:instrText xml:space="preserve"> PAGEREF _Ref112848195 \h </w:instrText>
            </w:r>
            <w:r>
              <w:fldChar w:fldCharType="separate"/>
            </w:r>
            <w:r w:rsidR="00C213B3">
              <w:rPr>
                <w:noProof/>
              </w:rPr>
              <w:t>9</w:t>
            </w:r>
            <w:r>
              <w:fldChar w:fldCharType="end"/>
            </w:r>
          </w:p>
        </w:tc>
      </w:tr>
      <w:tr w:rsidR="00EF10EA" w:rsidRPr="002029AF" w14:paraId="39FA8E2B" w14:textId="77777777" w:rsidTr="00286C94">
        <w:trPr>
          <w:cantSplit/>
        </w:trPr>
        <w:tc>
          <w:tcPr>
            <w:tcW w:w="9639" w:type="dxa"/>
            <w:gridSpan w:val="3"/>
            <w:tcBorders>
              <w:bottom w:val="nil"/>
            </w:tcBorders>
            <w:shd w:val="clear" w:color="auto" w:fill="auto"/>
          </w:tcPr>
          <w:p w14:paraId="099F2928" w14:textId="77777777" w:rsidR="00EF10EA" w:rsidRPr="002029AF" w:rsidRDefault="00EF10EA" w:rsidP="00780B21">
            <w:pPr>
              <w:pStyle w:val="ARtabletext"/>
              <w:spacing w:before="60" w:after="40"/>
              <w:rPr>
                <w:b/>
              </w:rPr>
            </w:pPr>
            <w:r w:rsidRPr="002029AF">
              <w:rPr>
                <w:b/>
              </w:rPr>
              <w:t>Management and structure</w:t>
            </w:r>
          </w:p>
        </w:tc>
      </w:tr>
      <w:tr w:rsidR="00EF10EA" w:rsidRPr="002029AF" w14:paraId="4BC81FCA" w14:textId="77777777" w:rsidTr="00286C94">
        <w:trPr>
          <w:cantSplit/>
        </w:trPr>
        <w:tc>
          <w:tcPr>
            <w:tcW w:w="1990" w:type="dxa"/>
            <w:tcBorders>
              <w:top w:val="nil"/>
            </w:tcBorders>
            <w:shd w:val="clear" w:color="auto" w:fill="auto"/>
          </w:tcPr>
          <w:p w14:paraId="5C2CC8A8" w14:textId="77777777" w:rsidR="00EF10EA" w:rsidRPr="002029AF" w:rsidRDefault="00EF10EA" w:rsidP="00780B21">
            <w:pPr>
              <w:pStyle w:val="ARtabletext"/>
              <w:spacing w:before="60" w:after="40"/>
            </w:pPr>
            <w:r w:rsidRPr="002029AF">
              <w:t>FRD 22</w:t>
            </w:r>
          </w:p>
        </w:tc>
        <w:tc>
          <w:tcPr>
            <w:tcW w:w="6510" w:type="dxa"/>
            <w:tcBorders>
              <w:top w:val="nil"/>
            </w:tcBorders>
            <w:shd w:val="clear" w:color="auto" w:fill="auto"/>
          </w:tcPr>
          <w:p w14:paraId="3D1AC859" w14:textId="77777777" w:rsidR="00EF10EA" w:rsidRPr="002029AF" w:rsidRDefault="00EF10EA" w:rsidP="00780B21">
            <w:pPr>
              <w:pStyle w:val="ARtabletext"/>
              <w:spacing w:before="60" w:after="40"/>
            </w:pPr>
            <w:r w:rsidRPr="002029AF">
              <w:t>Organisational structure</w:t>
            </w:r>
          </w:p>
        </w:tc>
        <w:tc>
          <w:tcPr>
            <w:tcW w:w="1139" w:type="dxa"/>
            <w:tcBorders>
              <w:top w:val="nil"/>
            </w:tcBorders>
            <w:shd w:val="clear" w:color="auto" w:fill="auto"/>
          </w:tcPr>
          <w:p w14:paraId="4784C6B6" w14:textId="78DA8FA2" w:rsidR="00EF10EA" w:rsidRPr="002029AF" w:rsidRDefault="00D067B5" w:rsidP="00780B21">
            <w:pPr>
              <w:pStyle w:val="ARtabletextright"/>
              <w:spacing w:before="60" w:after="40"/>
            </w:pPr>
            <w:r>
              <w:fldChar w:fldCharType="begin"/>
            </w:r>
            <w:r>
              <w:instrText xml:space="preserve"> PAGEREF _Ref112852177 \h </w:instrText>
            </w:r>
            <w:r>
              <w:fldChar w:fldCharType="separate"/>
            </w:r>
            <w:r w:rsidR="00C213B3">
              <w:rPr>
                <w:noProof/>
              </w:rPr>
              <w:t>66</w:t>
            </w:r>
            <w:r>
              <w:fldChar w:fldCharType="end"/>
            </w:r>
          </w:p>
        </w:tc>
      </w:tr>
      <w:tr w:rsidR="00EF10EA" w:rsidRPr="002029AF" w14:paraId="4076D537" w14:textId="77777777" w:rsidTr="00286C94">
        <w:trPr>
          <w:cantSplit/>
          <w:trHeight w:val="70"/>
        </w:trPr>
        <w:tc>
          <w:tcPr>
            <w:tcW w:w="9639" w:type="dxa"/>
            <w:gridSpan w:val="3"/>
            <w:tcBorders>
              <w:bottom w:val="nil"/>
            </w:tcBorders>
            <w:shd w:val="clear" w:color="auto" w:fill="auto"/>
          </w:tcPr>
          <w:p w14:paraId="577862E5" w14:textId="77777777" w:rsidR="00EF10EA" w:rsidRPr="002029AF" w:rsidRDefault="00EF10EA" w:rsidP="00780B21">
            <w:pPr>
              <w:pStyle w:val="ARtabletext"/>
              <w:spacing w:before="60" w:after="40"/>
              <w:rPr>
                <w:b/>
              </w:rPr>
            </w:pPr>
            <w:r w:rsidRPr="002029AF">
              <w:rPr>
                <w:b/>
              </w:rPr>
              <w:t>Financial and other information</w:t>
            </w:r>
          </w:p>
        </w:tc>
      </w:tr>
      <w:tr w:rsidR="00EF10EA" w:rsidRPr="002029AF" w14:paraId="074719F0" w14:textId="77777777" w:rsidTr="00286C94">
        <w:trPr>
          <w:cantSplit/>
        </w:trPr>
        <w:tc>
          <w:tcPr>
            <w:tcW w:w="1990" w:type="dxa"/>
            <w:tcBorders>
              <w:top w:val="nil"/>
            </w:tcBorders>
            <w:shd w:val="clear" w:color="auto" w:fill="auto"/>
          </w:tcPr>
          <w:p w14:paraId="29DE79A5" w14:textId="77777777" w:rsidR="00EF10EA" w:rsidRPr="002029AF" w:rsidRDefault="00EF10EA" w:rsidP="00780B21">
            <w:pPr>
              <w:pStyle w:val="ARtabletext"/>
              <w:spacing w:before="60" w:after="40"/>
            </w:pPr>
            <w:r w:rsidRPr="002029AF">
              <w:t>FRD 8</w:t>
            </w:r>
          </w:p>
        </w:tc>
        <w:tc>
          <w:tcPr>
            <w:tcW w:w="6510" w:type="dxa"/>
            <w:tcBorders>
              <w:top w:val="nil"/>
            </w:tcBorders>
            <w:shd w:val="clear" w:color="auto" w:fill="auto"/>
          </w:tcPr>
          <w:p w14:paraId="56ED808A" w14:textId="77777777" w:rsidR="00EF10EA" w:rsidRPr="002029AF" w:rsidRDefault="00EF10EA" w:rsidP="00780B21">
            <w:pPr>
              <w:pStyle w:val="ARtabletext"/>
              <w:spacing w:before="60" w:after="40"/>
            </w:pPr>
            <w:r w:rsidRPr="002029AF">
              <w:t>Performance against output performance measures</w:t>
            </w:r>
          </w:p>
        </w:tc>
        <w:tc>
          <w:tcPr>
            <w:tcW w:w="1139" w:type="dxa"/>
            <w:tcBorders>
              <w:top w:val="nil"/>
            </w:tcBorders>
            <w:shd w:val="clear" w:color="auto" w:fill="auto"/>
          </w:tcPr>
          <w:p w14:paraId="7069008D" w14:textId="6D0102E8" w:rsidR="00EF10EA" w:rsidRPr="002029AF" w:rsidRDefault="00153E8E" w:rsidP="00780B21">
            <w:pPr>
              <w:pStyle w:val="ARtabletextright"/>
              <w:spacing w:before="60" w:after="40"/>
            </w:pPr>
            <w:r>
              <w:fldChar w:fldCharType="begin"/>
            </w:r>
            <w:r>
              <w:instrText xml:space="preserve"> PAGEREF _Ref112852208 \h </w:instrText>
            </w:r>
            <w:r>
              <w:fldChar w:fldCharType="separate"/>
            </w:r>
            <w:r w:rsidR="00C213B3">
              <w:rPr>
                <w:noProof/>
              </w:rPr>
              <w:t>40</w:t>
            </w:r>
            <w:r>
              <w:fldChar w:fldCharType="end"/>
            </w:r>
          </w:p>
        </w:tc>
      </w:tr>
      <w:tr w:rsidR="00EF10EA" w:rsidRPr="002029AF" w14:paraId="3871A2FD" w14:textId="77777777" w:rsidTr="00286C94">
        <w:trPr>
          <w:cantSplit/>
        </w:trPr>
        <w:tc>
          <w:tcPr>
            <w:tcW w:w="1990" w:type="dxa"/>
            <w:tcBorders>
              <w:top w:val="nil"/>
            </w:tcBorders>
            <w:shd w:val="clear" w:color="auto" w:fill="auto"/>
          </w:tcPr>
          <w:p w14:paraId="4DBAB147" w14:textId="77777777" w:rsidR="00EF10EA" w:rsidRPr="002029AF" w:rsidRDefault="00EF10EA" w:rsidP="00780B21">
            <w:pPr>
              <w:pStyle w:val="ARtabletext"/>
              <w:spacing w:before="60" w:after="40"/>
            </w:pPr>
            <w:r w:rsidRPr="002029AF">
              <w:t>FRD 8</w:t>
            </w:r>
          </w:p>
        </w:tc>
        <w:tc>
          <w:tcPr>
            <w:tcW w:w="6510" w:type="dxa"/>
            <w:tcBorders>
              <w:top w:val="nil"/>
            </w:tcBorders>
            <w:shd w:val="clear" w:color="auto" w:fill="auto"/>
          </w:tcPr>
          <w:p w14:paraId="0E2FC743" w14:textId="77777777" w:rsidR="00EF10EA" w:rsidRPr="002029AF" w:rsidRDefault="00EF10EA" w:rsidP="00780B21">
            <w:pPr>
              <w:pStyle w:val="ARtabletext"/>
              <w:spacing w:before="60" w:after="40"/>
            </w:pPr>
            <w:r w:rsidRPr="002029AF">
              <w:t>Budget portfolio outcomes</w:t>
            </w:r>
          </w:p>
        </w:tc>
        <w:tc>
          <w:tcPr>
            <w:tcW w:w="1139" w:type="dxa"/>
            <w:tcBorders>
              <w:top w:val="nil"/>
            </w:tcBorders>
            <w:shd w:val="clear" w:color="auto" w:fill="auto"/>
          </w:tcPr>
          <w:p w14:paraId="59FC2058" w14:textId="62FEC200" w:rsidR="00EF10EA" w:rsidRPr="002029AF" w:rsidRDefault="00153E8E" w:rsidP="00780B21">
            <w:pPr>
              <w:pStyle w:val="ARtabletextright"/>
              <w:spacing w:before="60" w:after="40"/>
            </w:pPr>
            <w:r>
              <w:fldChar w:fldCharType="begin"/>
            </w:r>
            <w:r>
              <w:instrText xml:space="preserve"> PAGEREF _Ref112852224 \h </w:instrText>
            </w:r>
            <w:r>
              <w:fldChar w:fldCharType="separate"/>
            </w:r>
            <w:r w:rsidR="00C213B3">
              <w:rPr>
                <w:noProof/>
              </w:rPr>
              <w:t>222</w:t>
            </w:r>
            <w:r>
              <w:fldChar w:fldCharType="end"/>
            </w:r>
          </w:p>
        </w:tc>
      </w:tr>
      <w:tr w:rsidR="00EF10EA" w:rsidRPr="002029AF" w14:paraId="1EAB6ADC" w14:textId="77777777" w:rsidTr="00286C94">
        <w:trPr>
          <w:cantSplit/>
        </w:trPr>
        <w:tc>
          <w:tcPr>
            <w:tcW w:w="1990" w:type="dxa"/>
            <w:shd w:val="clear" w:color="auto" w:fill="auto"/>
          </w:tcPr>
          <w:p w14:paraId="7A86A7A3" w14:textId="77777777" w:rsidR="00EF10EA" w:rsidRPr="002029AF" w:rsidRDefault="00EF10EA" w:rsidP="00780B21">
            <w:pPr>
              <w:pStyle w:val="ARtabletext"/>
              <w:spacing w:before="60" w:after="40"/>
            </w:pPr>
            <w:r w:rsidRPr="002029AF">
              <w:t>FRD 10</w:t>
            </w:r>
          </w:p>
        </w:tc>
        <w:tc>
          <w:tcPr>
            <w:tcW w:w="6510" w:type="dxa"/>
            <w:shd w:val="clear" w:color="auto" w:fill="auto"/>
          </w:tcPr>
          <w:p w14:paraId="1ADA0F5A" w14:textId="77777777" w:rsidR="00EF10EA" w:rsidRPr="002029AF" w:rsidRDefault="00EF10EA" w:rsidP="00780B21">
            <w:pPr>
              <w:pStyle w:val="ARtabletext"/>
              <w:spacing w:before="60" w:after="40"/>
            </w:pPr>
            <w:r w:rsidRPr="002029AF">
              <w:t>Disclosure index</w:t>
            </w:r>
          </w:p>
        </w:tc>
        <w:tc>
          <w:tcPr>
            <w:tcW w:w="1139" w:type="dxa"/>
            <w:shd w:val="clear" w:color="auto" w:fill="auto"/>
          </w:tcPr>
          <w:p w14:paraId="3A8BC258" w14:textId="68D49CA8" w:rsidR="00EF10EA" w:rsidRPr="002029AF" w:rsidRDefault="00153E8E" w:rsidP="00780B21">
            <w:pPr>
              <w:pStyle w:val="ARtabletextright"/>
              <w:spacing w:before="60" w:after="40"/>
            </w:pPr>
            <w:r>
              <w:fldChar w:fldCharType="begin"/>
            </w:r>
            <w:r>
              <w:instrText xml:space="preserve"> PAGEREF _Ref112852235 \h </w:instrText>
            </w:r>
            <w:r>
              <w:fldChar w:fldCharType="separate"/>
            </w:r>
            <w:r w:rsidR="00C213B3">
              <w:rPr>
                <w:noProof/>
              </w:rPr>
              <w:t>229</w:t>
            </w:r>
            <w:r>
              <w:fldChar w:fldCharType="end"/>
            </w:r>
          </w:p>
        </w:tc>
      </w:tr>
      <w:tr w:rsidR="00EF10EA" w:rsidRPr="002029AF" w14:paraId="568B0DE4" w14:textId="77777777" w:rsidTr="00286C94">
        <w:trPr>
          <w:cantSplit/>
        </w:trPr>
        <w:tc>
          <w:tcPr>
            <w:tcW w:w="1990" w:type="dxa"/>
            <w:shd w:val="clear" w:color="auto" w:fill="auto"/>
          </w:tcPr>
          <w:p w14:paraId="312F38F0" w14:textId="77777777" w:rsidR="00EF10EA" w:rsidRPr="002029AF" w:rsidRDefault="00EF10EA" w:rsidP="00780B21">
            <w:pPr>
              <w:pStyle w:val="ARtabletext"/>
              <w:spacing w:before="60" w:after="40"/>
            </w:pPr>
            <w:r w:rsidRPr="002029AF">
              <w:t>FRD 12</w:t>
            </w:r>
          </w:p>
        </w:tc>
        <w:tc>
          <w:tcPr>
            <w:tcW w:w="6510" w:type="dxa"/>
            <w:shd w:val="clear" w:color="auto" w:fill="auto"/>
          </w:tcPr>
          <w:p w14:paraId="7BA81FCF" w14:textId="77777777" w:rsidR="00EF10EA" w:rsidRPr="002029AF" w:rsidRDefault="00EF10EA" w:rsidP="00780B21">
            <w:pPr>
              <w:pStyle w:val="ARtabletext"/>
              <w:spacing w:before="60" w:after="40"/>
            </w:pPr>
            <w:r w:rsidRPr="002029AF">
              <w:t>Disclosure of major contracts</w:t>
            </w:r>
          </w:p>
        </w:tc>
        <w:tc>
          <w:tcPr>
            <w:tcW w:w="1139" w:type="dxa"/>
            <w:shd w:val="clear" w:color="auto" w:fill="auto"/>
          </w:tcPr>
          <w:p w14:paraId="7BD9331E" w14:textId="4AFF1884" w:rsidR="00EF10EA" w:rsidRPr="002029AF" w:rsidRDefault="00335671" w:rsidP="00780B21">
            <w:pPr>
              <w:pStyle w:val="ARtabletextright"/>
              <w:spacing w:before="60" w:after="40"/>
            </w:pPr>
            <w:r>
              <w:fldChar w:fldCharType="begin"/>
            </w:r>
            <w:r>
              <w:instrText xml:space="preserve"> PAGEREF _Ref84252376 \h </w:instrText>
            </w:r>
            <w:r>
              <w:fldChar w:fldCharType="separate"/>
            </w:r>
            <w:r w:rsidR="00C213B3">
              <w:rPr>
                <w:noProof/>
              </w:rPr>
              <w:t>91</w:t>
            </w:r>
            <w:r>
              <w:fldChar w:fldCharType="end"/>
            </w:r>
          </w:p>
        </w:tc>
      </w:tr>
      <w:tr w:rsidR="00EF10EA" w:rsidRPr="002029AF" w14:paraId="2C2C8E81" w14:textId="77777777" w:rsidTr="00286C94">
        <w:trPr>
          <w:cantSplit/>
        </w:trPr>
        <w:tc>
          <w:tcPr>
            <w:tcW w:w="1990" w:type="dxa"/>
            <w:shd w:val="clear" w:color="auto" w:fill="auto"/>
          </w:tcPr>
          <w:p w14:paraId="2FA0D7BE" w14:textId="77777777" w:rsidR="00EF10EA" w:rsidRPr="002029AF" w:rsidRDefault="00EF10EA" w:rsidP="00780B21">
            <w:pPr>
              <w:pStyle w:val="ARtabletext"/>
              <w:spacing w:before="60" w:after="40"/>
            </w:pPr>
            <w:r w:rsidRPr="002029AF">
              <w:t>FRD 15</w:t>
            </w:r>
          </w:p>
        </w:tc>
        <w:tc>
          <w:tcPr>
            <w:tcW w:w="6510" w:type="dxa"/>
            <w:shd w:val="clear" w:color="auto" w:fill="auto"/>
          </w:tcPr>
          <w:p w14:paraId="48816DCA" w14:textId="77777777" w:rsidR="00EF10EA" w:rsidRPr="002029AF" w:rsidRDefault="00EF10EA" w:rsidP="00780B21">
            <w:pPr>
              <w:pStyle w:val="ARtabletext"/>
              <w:spacing w:before="60" w:after="40"/>
            </w:pPr>
            <w:r w:rsidRPr="002029AF">
              <w:t>Executive disclosures</w:t>
            </w:r>
          </w:p>
        </w:tc>
        <w:tc>
          <w:tcPr>
            <w:tcW w:w="1139" w:type="dxa"/>
            <w:shd w:val="clear" w:color="auto" w:fill="auto"/>
          </w:tcPr>
          <w:p w14:paraId="285DA917" w14:textId="6AD9CA57" w:rsidR="00EF10EA" w:rsidRPr="002029AF" w:rsidRDefault="00EE5578" w:rsidP="00780B21">
            <w:pPr>
              <w:pStyle w:val="ARtabletextright"/>
              <w:spacing w:before="60" w:after="40"/>
            </w:pPr>
            <w:r>
              <w:fldChar w:fldCharType="begin"/>
            </w:r>
            <w:r>
              <w:instrText xml:space="preserve"> PAGEREF _Ref21960664 \h </w:instrText>
            </w:r>
            <w:r>
              <w:fldChar w:fldCharType="separate"/>
            </w:r>
            <w:r w:rsidR="00C213B3">
              <w:rPr>
                <w:noProof/>
              </w:rPr>
              <w:t>76</w:t>
            </w:r>
            <w:r>
              <w:fldChar w:fldCharType="end"/>
            </w:r>
          </w:p>
        </w:tc>
      </w:tr>
      <w:tr w:rsidR="00EF10EA" w:rsidRPr="002029AF" w14:paraId="1E7692AD" w14:textId="77777777" w:rsidTr="00286C94">
        <w:trPr>
          <w:cantSplit/>
        </w:trPr>
        <w:tc>
          <w:tcPr>
            <w:tcW w:w="1990" w:type="dxa"/>
            <w:shd w:val="clear" w:color="auto" w:fill="auto"/>
          </w:tcPr>
          <w:p w14:paraId="4463B8B7" w14:textId="77777777" w:rsidR="00EF10EA" w:rsidRPr="002029AF" w:rsidRDefault="00EF10EA" w:rsidP="00780B21">
            <w:pPr>
              <w:pStyle w:val="ARtabletext"/>
              <w:spacing w:before="60" w:after="40"/>
            </w:pPr>
            <w:r w:rsidRPr="002029AF">
              <w:t>FRD 22</w:t>
            </w:r>
          </w:p>
        </w:tc>
        <w:tc>
          <w:tcPr>
            <w:tcW w:w="6510" w:type="dxa"/>
            <w:shd w:val="clear" w:color="auto" w:fill="auto"/>
          </w:tcPr>
          <w:p w14:paraId="40B213C1" w14:textId="77777777" w:rsidR="00EF10EA" w:rsidRPr="002029AF" w:rsidRDefault="00EF10EA" w:rsidP="00780B21">
            <w:pPr>
              <w:pStyle w:val="ARtabletext"/>
              <w:spacing w:before="60" w:after="40"/>
            </w:pPr>
            <w:r w:rsidRPr="002029AF">
              <w:t>Employment and conduct principles</w:t>
            </w:r>
          </w:p>
        </w:tc>
        <w:tc>
          <w:tcPr>
            <w:tcW w:w="1139" w:type="dxa"/>
            <w:shd w:val="clear" w:color="auto" w:fill="auto"/>
          </w:tcPr>
          <w:p w14:paraId="0AACB3B3" w14:textId="354C9F0E" w:rsidR="00EF10EA" w:rsidRPr="002029AF" w:rsidRDefault="00D37081" w:rsidP="00780B21">
            <w:pPr>
              <w:pStyle w:val="ARtabletextright"/>
              <w:spacing w:before="60" w:after="40"/>
            </w:pPr>
            <w:r>
              <w:fldChar w:fldCharType="begin"/>
            </w:r>
            <w:r>
              <w:instrText xml:space="preserve"> PAGEREF _Ref112852351 \h </w:instrText>
            </w:r>
            <w:r>
              <w:fldChar w:fldCharType="separate"/>
            </w:r>
            <w:r w:rsidR="00C213B3">
              <w:rPr>
                <w:noProof/>
              </w:rPr>
              <w:t>68</w:t>
            </w:r>
            <w:r>
              <w:fldChar w:fldCharType="end"/>
            </w:r>
          </w:p>
        </w:tc>
      </w:tr>
      <w:tr w:rsidR="00EF10EA" w:rsidRPr="002029AF" w14:paraId="0406C87B" w14:textId="77777777" w:rsidTr="00286C94">
        <w:trPr>
          <w:cantSplit/>
        </w:trPr>
        <w:tc>
          <w:tcPr>
            <w:tcW w:w="1990" w:type="dxa"/>
            <w:shd w:val="clear" w:color="auto" w:fill="auto"/>
          </w:tcPr>
          <w:p w14:paraId="45E5B69D" w14:textId="77777777" w:rsidR="00EF10EA" w:rsidRPr="002029AF" w:rsidRDefault="00EF10EA" w:rsidP="00780B21">
            <w:pPr>
              <w:pStyle w:val="ARtabletext"/>
              <w:spacing w:before="60" w:after="40"/>
            </w:pPr>
            <w:r w:rsidRPr="002029AF">
              <w:t>FRD 22</w:t>
            </w:r>
          </w:p>
        </w:tc>
        <w:tc>
          <w:tcPr>
            <w:tcW w:w="6510" w:type="dxa"/>
            <w:shd w:val="clear" w:color="auto" w:fill="auto"/>
          </w:tcPr>
          <w:p w14:paraId="189B6E9E" w14:textId="77777777" w:rsidR="00EF10EA" w:rsidRPr="002029AF" w:rsidRDefault="00EF10EA" w:rsidP="00780B21">
            <w:pPr>
              <w:pStyle w:val="ARtabletext"/>
              <w:spacing w:before="60" w:after="40"/>
            </w:pPr>
            <w:r w:rsidRPr="002029AF">
              <w:t xml:space="preserve">Occupational health and safety </w:t>
            </w:r>
            <w:r>
              <w:t>policy</w:t>
            </w:r>
          </w:p>
        </w:tc>
        <w:tc>
          <w:tcPr>
            <w:tcW w:w="1139" w:type="dxa"/>
            <w:shd w:val="clear" w:color="auto" w:fill="auto"/>
          </w:tcPr>
          <w:p w14:paraId="1DEF651D" w14:textId="30DFD03F" w:rsidR="00EF10EA" w:rsidRPr="002029AF" w:rsidRDefault="00C05542" w:rsidP="00780B21">
            <w:pPr>
              <w:pStyle w:val="ARtabletextright"/>
              <w:spacing w:before="60" w:after="40"/>
            </w:pPr>
            <w:r>
              <w:fldChar w:fldCharType="begin"/>
            </w:r>
            <w:r>
              <w:instrText xml:space="preserve"> PAGEREF _Ref84252320 \h </w:instrText>
            </w:r>
            <w:r>
              <w:fldChar w:fldCharType="separate"/>
            </w:r>
            <w:r w:rsidR="00C213B3">
              <w:rPr>
                <w:noProof/>
              </w:rPr>
              <w:t>85</w:t>
            </w:r>
            <w:r>
              <w:fldChar w:fldCharType="end"/>
            </w:r>
          </w:p>
        </w:tc>
      </w:tr>
      <w:tr w:rsidR="00EF10EA" w:rsidRPr="002029AF" w14:paraId="7FE18AAD" w14:textId="77777777" w:rsidTr="00286C94">
        <w:trPr>
          <w:cantSplit/>
        </w:trPr>
        <w:tc>
          <w:tcPr>
            <w:tcW w:w="1990" w:type="dxa"/>
            <w:shd w:val="clear" w:color="auto" w:fill="auto"/>
          </w:tcPr>
          <w:p w14:paraId="1345B9FA" w14:textId="77777777" w:rsidR="00EF10EA" w:rsidRPr="002029AF" w:rsidRDefault="00EF10EA" w:rsidP="00780B21">
            <w:pPr>
              <w:pStyle w:val="ARtabletext"/>
              <w:spacing w:before="60" w:after="40"/>
            </w:pPr>
            <w:r w:rsidRPr="002029AF">
              <w:t>FRD 22</w:t>
            </w:r>
          </w:p>
        </w:tc>
        <w:tc>
          <w:tcPr>
            <w:tcW w:w="6510" w:type="dxa"/>
            <w:shd w:val="clear" w:color="auto" w:fill="auto"/>
          </w:tcPr>
          <w:p w14:paraId="74FC747F" w14:textId="77777777" w:rsidR="00EF10EA" w:rsidRPr="002029AF" w:rsidRDefault="00EF10EA" w:rsidP="00780B21">
            <w:pPr>
              <w:pStyle w:val="ARtabletext"/>
              <w:spacing w:before="60" w:after="40"/>
            </w:pPr>
            <w:r w:rsidRPr="002029AF">
              <w:t>Summary of the financial results for the year</w:t>
            </w:r>
          </w:p>
        </w:tc>
        <w:tc>
          <w:tcPr>
            <w:tcW w:w="1139" w:type="dxa"/>
            <w:shd w:val="clear" w:color="auto" w:fill="auto"/>
          </w:tcPr>
          <w:p w14:paraId="140E33AF" w14:textId="0E65394A" w:rsidR="00EF10EA" w:rsidRPr="002029AF" w:rsidRDefault="002148C2" w:rsidP="00780B21">
            <w:pPr>
              <w:pStyle w:val="ARtabletextright"/>
              <w:spacing w:before="60" w:after="40"/>
            </w:pPr>
            <w:r>
              <w:fldChar w:fldCharType="begin"/>
            </w:r>
            <w:r>
              <w:instrText xml:space="preserve"> PAGEREF _Ref112852412 \h </w:instrText>
            </w:r>
            <w:r>
              <w:fldChar w:fldCharType="separate"/>
            </w:r>
            <w:r w:rsidR="00C213B3">
              <w:rPr>
                <w:noProof/>
              </w:rPr>
              <w:t>59</w:t>
            </w:r>
            <w:r>
              <w:fldChar w:fldCharType="end"/>
            </w:r>
          </w:p>
        </w:tc>
      </w:tr>
      <w:tr w:rsidR="00EF10EA" w:rsidRPr="002029AF" w14:paraId="4EF359BF" w14:textId="77777777" w:rsidTr="00286C94">
        <w:trPr>
          <w:cantSplit/>
        </w:trPr>
        <w:tc>
          <w:tcPr>
            <w:tcW w:w="1990" w:type="dxa"/>
            <w:shd w:val="clear" w:color="auto" w:fill="auto"/>
          </w:tcPr>
          <w:p w14:paraId="0A920157" w14:textId="77777777" w:rsidR="00EF10EA" w:rsidRPr="002029AF" w:rsidRDefault="00EF10EA" w:rsidP="00780B21">
            <w:pPr>
              <w:pStyle w:val="ARtabletext"/>
              <w:spacing w:before="60" w:after="40"/>
            </w:pPr>
            <w:r w:rsidRPr="002029AF">
              <w:t>FRD 22</w:t>
            </w:r>
          </w:p>
        </w:tc>
        <w:tc>
          <w:tcPr>
            <w:tcW w:w="6510" w:type="dxa"/>
            <w:shd w:val="clear" w:color="auto" w:fill="auto"/>
          </w:tcPr>
          <w:p w14:paraId="1E4A2F10" w14:textId="77777777" w:rsidR="00EF10EA" w:rsidRPr="002029AF" w:rsidRDefault="00EF10EA" w:rsidP="00780B21">
            <w:pPr>
              <w:pStyle w:val="ARtabletext"/>
              <w:spacing w:before="60" w:after="40"/>
            </w:pPr>
            <w:r w:rsidRPr="002029AF">
              <w:t>Significant changes in financial position during the year</w:t>
            </w:r>
          </w:p>
        </w:tc>
        <w:tc>
          <w:tcPr>
            <w:tcW w:w="1139" w:type="dxa"/>
            <w:shd w:val="clear" w:color="auto" w:fill="auto"/>
          </w:tcPr>
          <w:p w14:paraId="1EFC4518" w14:textId="08A8F0DA" w:rsidR="00EF10EA" w:rsidRPr="002029AF" w:rsidRDefault="002148C2" w:rsidP="00780B21">
            <w:pPr>
              <w:pStyle w:val="ARtabletextright"/>
              <w:spacing w:before="60" w:after="40"/>
            </w:pPr>
            <w:r>
              <w:fldChar w:fldCharType="begin"/>
            </w:r>
            <w:r>
              <w:instrText xml:space="preserve"> PAGEREF _Ref112852419 \h </w:instrText>
            </w:r>
            <w:r>
              <w:fldChar w:fldCharType="separate"/>
            </w:r>
            <w:r w:rsidR="00C213B3">
              <w:rPr>
                <w:noProof/>
              </w:rPr>
              <w:t>60</w:t>
            </w:r>
            <w:r>
              <w:fldChar w:fldCharType="end"/>
            </w:r>
          </w:p>
        </w:tc>
      </w:tr>
      <w:tr w:rsidR="00EF10EA" w:rsidRPr="002029AF" w14:paraId="3DDBCF8B" w14:textId="77777777" w:rsidTr="00286C94">
        <w:trPr>
          <w:cantSplit/>
        </w:trPr>
        <w:tc>
          <w:tcPr>
            <w:tcW w:w="1990" w:type="dxa"/>
            <w:shd w:val="clear" w:color="auto" w:fill="auto"/>
          </w:tcPr>
          <w:p w14:paraId="68C6DEC8" w14:textId="77777777" w:rsidR="00EF10EA" w:rsidRPr="002029AF" w:rsidRDefault="00EF10EA" w:rsidP="00780B21">
            <w:pPr>
              <w:pStyle w:val="ARtabletext"/>
              <w:spacing w:before="60" w:after="40"/>
            </w:pPr>
            <w:r w:rsidRPr="002029AF">
              <w:t>FRD 22</w:t>
            </w:r>
          </w:p>
        </w:tc>
        <w:tc>
          <w:tcPr>
            <w:tcW w:w="6510" w:type="dxa"/>
            <w:shd w:val="clear" w:color="auto" w:fill="auto"/>
          </w:tcPr>
          <w:p w14:paraId="305D9C2A" w14:textId="77777777" w:rsidR="00EF10EA" w:rsidRPr="002029AF" w:rsidRDefault="00EF10EA" w:rsidP="00780B21">
            <w:pPr>
              <w:pStyle w:val="ARtabletext"/>
              <w:spacing w:before="60" w:after="40"/>
            </w:pPr>
            <w:r w:rsidRPr="002029AF">
              <w:t>Major changes or factors affecting performance</w:t>
            </w:r>
          </w:p>
        </w:tc>
        <w:tc>
          <w:tcPr>
            <w:tcW w:w="1139" w:type="dxa"/>
            <w:shd w:val="clear" w:color="auto" w:fill="auto"/>
          </w:tcPr>
          <w:p w14:paraId="123CB441" w14:textId="49E92AFF" w:rsidR="00EF10EA" w:rsidRPr="002029AF" w:rsidRDefault="00392783" w:rsidP="00780B21">
            <w:pPr>
              <w:pStyle w:val="ARtabletextright"/>
              <w:spacing w:before="60" w:after="40"/>
            </w:pPr>
            <w:r>
              <w:fldChar w:fldCharType="begin"/>
            </w:r>
            <w:r>
              <w:instrText xml:space="preserve"> PAGEREF _Ref112852452 \h </w:instrText>
            </w:r>
            <w:r>
              <w:fldChar w:fldCharType="separate"/>
            </w:r>
            <w:r w:rsidR="00C213B3">
              <w:rPr>
                <w:noProof/>
              </w:rPr>
              <w:t>60</w:t>
            </w:r>
            <w:r>
              <w:fldChar w:fldCharType="end"/>
            </w:r>
          </w:p>
        </w:tc>
      </w:tr>
      <w:tr w:rsidR="00EF10EA" w:rsidRPr="002029AF" w14:paraId="7F6B462A" w14:textId="77777777" w:rsidTr="00286C94">
        <w:trPr>
          <w:cantSplit/>
        </w:trPr>
        <w:tc>
          <w:tcPr>
            <w:tcW w:w="1990" w:type="dxa"/>
            <w:shd w:val="clear" w:color="auto" w:fill="auto"/>
          </w:tcPr>
          <w:p w14:paraId="34B5EE99" w14:textId="77777777" w:rsidR="00EF10EA" w:rsidRPr="002029AF" w:rsidRDefault="00EF10EA" w:rsidP="00780B21">
            <w:pPr>
              <w:pStyle w:val="ARtabletext"/>
              <w:spacing w:before="60" w:after="40"/>
            </w:pPr>
            <w:r w:rsidRPr="002029AF">
              <w:t>FRD 22</w:t>
            </w:r>
          </w:p>
        </w:tc>
        <w:tc>
          <w:tcPr>
            <w:tcW w:w="6510" w:type="dxa"/>
            <w:shd w:val="clear" w:color="auto" w:fill="auto"/>
          </w:tcPr>
          <w:p w14:paraId="428F3B06" w14:textId="77777777" w:rsidR="00EF10EA" w:rsidRPr="002029AF" w:rsidRDefault="00EF10EA" w:rsidP="00780B21">
            <w:pPr>
              <w:pStyle w:val="ARtabletext"/>
              <w:spacing w:before="60" w:after="40"/>
            </w:pPr>
            <w:r w:rsidRPr="002029AF">
              <w:t>Subsequent events</w:t>
            </w:r>
          </w:p>
        </w:tc>
        <w:tc>
          <w:tcPr>
            <w:tcW w:w="1139" w:type="dxa"/>
            <w:shd w:val="clear" w:color="auto" w:fill="auto"/>
          </w:tcPr>
          <w:p w14:paraId="0BD82E0C" w14:textId="1736121B" w:rsidR="00EF10EA" w:rsidRPr="002029AF" w:rsidRDefault="00392783" w:rsidP="00780B21">
            <w:pPr>
              <w:pStyle w:val="ARtabletextright"/>
              <w:spacing w:before="60" w:after="40"/>
            </w:pPr>
            <w:r>
              <w:fldChar w:fldCharType="begin"/>
            </w:r>
            <w:r>
              <w:instrText xml:space="preserve"> PAGEREF _Ref112852470 \h </w:instrText>
            </w:r>
            <w:r>
              <w:fldChar w:fldCharType="separate"/>
            </w:r>
            <w:r w:rsidR="00C213B3">
              <w:rPr>
                <w:noProof/>
              </w:rPr>
              <w:t>10</w:t>
            </w:r>
            <w:r>
              <w:fldChar w:fldCharType="end"/>
            </w:r>
            <w:r>
              <w:t xml:space="preserve">, </w:t>
            </w:r>
            <w:r w:rsidR="003227F0">
              <w:fldChar w:fldCharType="begin"/>
            </w:r>
            <w:r w:rsidR="003227F0">
              <w:instrText xml:space="preserve"> PAGEREF _Ref112962910 \h </w:instrText>
            </w:r>
            <w:r w:rsidR="003227F0">
              <w:fldChar w:fldCharType="separate"/>
            </w:r>
            <w:r w:rsidR="00C213B3">
              <w:rPr>
                <w:noProof/>
              </w:rPr>
              <w:t>209</w:t>
            </w:r>
            <w:r w:rsidR="003227F0">
              <w:fldChar w:fldCharType="end"/>
            </w:r>
          </w:p>
        </w:tc>
      </w:tr>
      <w:tr w:rsidR="00EF10EA" w:rsidRPr="002029AF" w14:paraId="243BC2DA" w14:textId="77777777" w:rsidTr="00286C94">
        <w:trPr>
          <w:cantSplit/>
        </w:trPr>
        <w:tc>
          <w:tcPr>
            <w:tcW w:w="1990" w:type="dxa"/>
            <w:shd w:val="clear" w:color="auto" w:fill="auto"/>
          </w:tcPr>
          <w:p w14:paraId="516FC838" w14:textId="77777777" w:rsidR="00EF10EA" w:rsidRPr="002029AF" w:rsidRDefault="00EF10EA" w:rsidP="00780B21">
            <w:pPr>
              <w:pStyle w:val="ARtabletext"/>
              <w:spacing w:before="60" w:after="40"/>
            </w:pPr>
            <w:r w:rsidRPr="002029AF">
              <w:t>FRD 22</w:t>
            </w:r>
          </w:p>
        </w:tc>
        <w:tc>
          <w:tcPr>
            <w:tcW w:w="6510" w:type="dxa"/>
            <w:shd w:val="clear" w:color="auto" w:fill="auto"/>
          </w:tcPr>
          <w:p w14:paraId="4860FC10" w14:textId="77777777" w:rsidR="00EF10EA" w:rsidRPr="002029AF" w:rsidRDefault="00EF10EA" w:rsidP="00780B21">
            <w:pPr>
              <w:pStyle w:val="ARtabletext"/>
              <w:spacing w:before="60" w:after="40"/>
            </w:pPr>
            <w:r w:rsidRPr="002029AF">
              <w:t xml:space="preserve">Application and operation of </w:t>
            </w:r>
            <w:r w:rsidRPr="002029AF">
              <w:rPr>
                <w:i/>
              </w:rPr>
              <w:t>Freedom of Information Act 1982</w:t>
            </w:r>
          </w:p>
        </w:tc>
        <w:tc>
          <w:tcPr>
            <w:tcW w:w="1139" w:type="dxa"/>
            <w:shd w:val="clear" w:color="auto" w:fill="auto"/>
          </w:tcPr>
          <w:p w14:paraId="4BB2C4FC" w14:textId="00F753AB" w:rsidR="00EF10EA" w:rsidRPr="002029AF" w:rsidRDefault="00392783" w:rsidP="00780B21">
            <w:pPr>
              <w:pStyle w:val="ARtabletextright"/>
              <w:spacing w:before="60" w:after="40"/>
            </w:pPr>
            <w:r>
              <w:fldChar w:fldCharType="begin"/>
            </w:r>
            <w:r>
              <w:instrText xml:space="preserve"> PAGEREF _Ref112852496 \h </w:instrText>
            </w:r>
            <w:r>
              <w:fldChar w:fldCharType="separate"/>
            </w:r>
            <w:r w:rsidR="00C213B3">
              <w:rPr>
                <w:noProof/>
              </w:rPr>
              <w:t>103</w:t>
            </w:r>
            <w:r>
              <w:fldChar w:fldCharType="end"/>
            </w:r>
          </w:p>
        </w:tc>
      </w:tr>
      <w:tr w:rsidR="00EF10EA" w:rsidRPr="002029AF" w14:paraId="6665DFEF" w14:textId="77777777" w:rsidTr="00286C94">
        <w:trPr>
          <w:cantSplit/>
        </w:trPr>
        <w:tc>
          <w:tcPr>
            <w:tcW w:w="1990" w:type="dxa"/>
            <w:shd w:val="clear" w:color="auto" w:fill="auto"/>
          </w:tcPr>
          <w:p w14:paraId="23AEEDBA" w14:textId="77777777" w:rsidR="00EF10EA" w:rsidRPr="002029AF" w:rsidRDefault="00EF10EA" w:rsidP="00780B21">
            <w:pPr>
              <w:pStyle w:val="ARtabletext"/>
              <w:spacing w:before="60" w:after="40"/>
            </w:pPr>
            <w:r w:rsidRPr="002029AF">
              <w:t>FRD 22</w:t>
            </w:r>
          </w:p>
        </w:tc>
        <w:tc>
          <w:tcPr>
            <w:tcW w:w="6510" w:type="dxa"/>
            <w:shd w:val="clear" w:color="auto" w:fill="auto"/>
          </w:tcPr>
          <w:p w14:paraId="08E2CBD2" w14:textId="77777777" w:rsidR="00EF10EA" w:rsidRPr="002029AF" w:rsidRDefault="00EF10EA" w:rsidP="00780B21">
            <w:pPr>
              <w:pStyle w:val="ARtabletext"/>
              <w:spacing w:before="60" w:after="40"/>
            </w:pPr>
            <w:r w:rsidRPr="002029AF">
              <w:t xml:space="preserve">Compliance with building and maintenance provisions of </w:t>
            </w:r>
            <w:r w:rsidRPr="002029AF">
              <w:rPr>
                <w:i/>
              </w:rPr>
              <w:t>Building Act 1993</w:t>
            </w:r>
          </w:p>
        </w:tc>
        <w:tc>
          <w:tcPr>
            <w:tcW w:w="1139" w:type="dxa"/>
            <w:shd w:val="clear" w:color="auto" w:fill="auto"/>
          </w:tcPr>
          <w:p w14:paraId="7FB1E332" w14:textId="6E8300A4" w:rsidR="00EF10EA" w:rsidRPr="002029AF" w:rsidRDefault="00392783" w:rsidP="00780B21">
            <w:pPr>
              <w:pStyle w:val="ARtabletextright"/>
              <w:spacing w:before="60" w:after="40"/>
            </w:pPr>
            <w:r>
              <w:fldChar w:fldCharType="begin"/>
            </w:r>
            <w:r>
              <w:instrText xml:space="preserve"> PAGEREF _Ref21956605 \h </w:instrText>
            </w:r>
            <w:r>
              <w:fldChar w:fldCharType="separate"/>
            </w:r>
            <w:r w:rsidR="00C213B3">
              <w:rPr>
                <w:noProof/>
              </w:rPr>
              <w:t>104</w:t>
            </w:r>
            <w:r>
              <w:fldChar w:fldCharType="end"/>
            </w:r>
          </w:p>
        </w:tc>
      </w:tr>
      <w:tr w:rsidR="00EF10EA" w:rsidRPr="002029AF" w14:paraId="05A6271D" w14:textId="77777777" w:rsidTr="00286C94">
        <w:trPr>
          <w:cantSplit/>
        </w:trPr>
        <w:tc>
          <w:tcPr>
            <w:tcW w:w="1990" w:type="dxa"/>
            <w:shd w:val="clear" w:color="auto" w:fill="auto"/>
          </w:tcPr>
          <w:p w14:paraId="6D4CCDE1" w14:textId="77777777" w:rsidR="00EF10EA" w:rsidRPr="002029AF" w:rsidRDefault="00EF10EA" w:rsidP="00780B21">
            <w:pPr>
              <w:pStyle w:val="ARtabletext"/>
              <w:spacing w:before="60" w:after="40"/>
            </w:pPr>
            <w:r w:rsidRPr="002029AF">
              <w:t>FRD 22</w:t>
            </w:r>
          </w:p>
        </w:tc>
        <w:tc>
          <w:tcPr>
            <w:tcW w:w="6510" w:type="dxa"/>
            <w:shd w:val="clear" w:color="auto" w:fill="auto"/>
          </w:tcPr>
          <w:p w14:paraId="36832CD2" w14:textId="77777777" w:rsidR="00EF10EA" w:rsidRPr="002029AF" w:rsidRDefault="00EF10EA" w:rsidP="00780B21">
            <w:pPr>
              <w:pStyle w:val="ARtabletext"/>
              <w:spacing w:before="60" w:after="40"/>
            </w:pPr>
            <w:r w:rsidRPr="002029AF">
              <w:t>Statement on National Competition Policy</w:t>
            </w:r>
          </w:p>
        </w:tc>
        <w:tc>
          <w:tcPr>
            <w:tcW w:w="1139" w:type="dxa"/>
            <w:shd w:val="clear" w:color="auto" w:fill="auto"/>
          </w:tcPr>
          <w:p w14:paraId="615B4655" w14:textId="07E71CA6" w:rsidR="00EF10EA" w:rsidRPr="002029AF" w:rsidRDefault="00392783" w:rsidP="00780B21">
            <w:pPr>
              <w:pStyle w:val="ARtabletextright"/>
              <w:spacing w:before="60" w:after="40"/>
            </w:pPr>
            <w:r>
              <w:fldChar w:fldCharType="begin"/>
            </w:r>
            <w:r>
              <w:instrText xml:space="preserve"> PAGEREF _Ref112852517 \h </w:instrText>
            </w:r>
            <w:r>
              <w:fldChar w:fldCharType="separate"/>
            </w:r>
            <w:r w:rsidR="00C213B3">
              <w:rPr>
                <w:noProof/>
              </w:rPr>
              <w:t>91</w:t>
            </w:r>
            <w:r>
              <w:fldChar w:fldCharType="end"/>
            </w:r>
          </w:p>
        </w:tc>
      </w:tr>
      <w:tr w:rsidR="00EF10EA" w:rsidRPr="002029AF" w14:paraId="1E26574A" w14:textId="77777777" w:rsidTr="00286C94">
        <w:trPr>
          <w:cantSplit/>
        </w:trPr>
        <w:tc>
          <w:tcPr>
            <w:tcW w:w="1990" w:type="dxa"/>
            <w:shd w:val="clear" w:color="auto" w:fill="auto"/>
          </w:tcPr>
          <w:p w14:paraId="52373D27" w14:textId="77777777" w:rsidR="00EF10EA" w:rsidRPr="002029AF" w:rsidRDefault="00EF10EA" w:rsidP="00780B21">
            <w:pPr>
              <w:pStyle w:val="ARtabletext"/>
              <w:spacing w:before="60" w:after="40"/>
            </w:pPr>
            <w:r w:rsidRPr="002029AF">
              <w:t>FRD 22</w:t>
            </w:r>
          </w:p>
        </w:tc>
        <w:tc>
          <w:tcPr>
            <w:tcW w:w="6510" w:type="dxa"/>
            <w:shd w:val="clear" w:color="auto" w:fill="auto"/>
          </w:tcPr>
          <w:p w14:paraId="2C31F529" w14:textId="77777777" w:rsidR="00EF10EA" w:rsidRPr="002029AF" w:rsidRDefault="00EF10EA" w:rsidP="00780B21">
            <w:pPr>
              <w:pStyle w:val="ARtabletext"/>
              <w:spacing w:before="60" w:after="40"/>
            </w:pPr>
            <w:r w:rsidRPr="002029AF">
              <w:t xml:space="preserve">Application and operation of the </w:t>
            </w:r>
            <w:r>
              <w:rPr>
                <w:i/>
              </w:rPr>
              <w:t>Public Interest</w:t>
            </w:r>
            <w:r w:rsidRPr="002029AF">
              <w:rPr>
                <w:i/>
              </w:rPr>
              <w:t xml:space="preserve"> Disclosures Act 2012</w:t>
            </w:r>
          </w:p>
        </w:tc>
        <w:tc>
          <w:tcPr>
            <w:tcW w:w="1139" w:type="dxa"/>
            <w:shd w:val="clear" w:color="auto" w:fill="auto"/>
          </w:tcPr>
          <w:p w14:paraId="1396E044" w14:textId="44AD02DA" w:rsidR="00EF10EA" w:rsidRPr="002029AF" w:rsidRDefault="00392783" w:rsidP="00780B21">
            <w:pPr>
              <w:pStyle w:val="ARtabletextright"/>
              <w:spacing w:before="60" w:after="40"/>
            </w:pPr>
            <w:r>
              <w:fldChar w:fldCharType="begin"/>
            </w:r>
            <w:r>
              <w:instrText xml:space="preserve"> PAGEREF _Ref21956761 \h </w:instrText>
            </w:r>
            <w:r>
              <w:fldChar w:fldCharType="separate"/>
            </w:r>
            <w:r w:rsidR="00C213B3">
              <w:rPr>
                <w:noProof/>
              </w:rPr>
              <w:t>103</w:t>
            </w:r>
            <w:r>
              <w:fldChar w:fldCharType="end"/>
            </w:r>
          </w:p>
        </w:tc>
      </w:tr>
      <w:tr w:rsidR="00EF10EA" w:rsidRPr="002029AF" w14:paraId="29F70159" w14:textId="77777777" w:rsidTr="00286C94">
        <w:trPr>
          <w:cantSplit/>
        </w:trPr>
        <w:tc>
          <w:tcPr>
            <w:tcW w:w="1990" w:type="dxa"/>
            <w:shd w:val="clear" w:color="auto" w:fill="auto"/>
          </w:tcPr>
          <w:p w14:paraId="3FEF6968" w14:textId="77777777" w:rsidR="00EF10EA" w:rsidRPr="002029AF" w:rsidRDefault="00EF10EA" w:rsidP="00780B21">
            <w:pPr>
              <w:pStyle w:val="ARtabletext"/>
              <w:spacing w:before="60" w:after="40"/>
            </w:pPr>
            <w:r w:rsidRPr="002029AF">
              <w:t>FRD 22</w:t>
            </w:r>
          </w:p>
        </w:tc>
        <w:tc>
          <w:tcPr>
            <w:tcW w:w="6510" w:type="dxa"/>
            <w:shd w:val="clear" w:color="auto" w:fill="auto"/>
          </w:tcPr>
          <w:p w14:paraId="5EAB851C" w14:textId="77777777" w:rsidR="00EF10EA" w:rsidRPr="002029AF" w:rsidRDefault="00EF10EA" w:rsidP="00780B21">
            <w:pPr>
              <w:pStyle w:val="ARtabletext"/>
              <w:spacing w:before="60" w:after="40"/>
            </w:pPr>
            <w:r w:rsidRPr="002029AF">
              <w:t xml:space="preserve">Application and operation of the </w:t>
            </w:r>
            <w:r w:rsidRPr="002029AF">
              <w:rPr>
                <w:i/>
              </w:rPr>
              <w:t>Carers Recognition Act 2012</w:t>
            </w:r>
          </w:p>
        </w:tc>
        <w:tc>
          <w:tcPr>
            <w:tcW w:w="1139" w:type="dxa"/>
            <w:shd w:val="clear" w:color="auto" w:fill="auto"/>
          </w:tcPr>
          <w:p w14:paraId="751E6433" w14:textId="624C9AEE" w:rsidR="00EF10EA" w:rsidRPr="002029AF" w:rsidRDefault="00392783" w:rsidP="00780B21">
            <w:pPr>
              <w:pStyle w:val="ARtabletextright"/>
              <w:spacing w:before="60" w:after="40"/>
            </w:pPr>
            <w:r>
              <w:fldChar w:fldCharType="begin"/>
            </w:r>
            <w:r>
              <w:instrText xml:space="preserve"> PAGEREF _Ref112852536 \h </w:instrText>
            </w:r>
            <w:r>
              <w:fldChar w:fldCharType="separate"/>
            </w:r>
            <w:r w:rsidR="00C213B3">
              <w:rPr>
                <w:noProof/>
              </w:rPr>
              <w:t>104</w:t>
            </w:r>
            <w:r>
              <w:fldChar w:fldCharType="end"/>
            </w:r>
          </w:p>
        </w:tc>
      </w:tr>
      <w:tr w:rsidR="00EF10EA" w:rsidRPr="002029AF" w14:paraId="3EC1FC35" w14:textId="77777777" w:rsidTr="00286C94">
        <w:trPr>
          <w:cantSplit/>
        </w:trPr>
        <w:tc>
          <w:tcPr>
            <w:tcW w:w="1990" w:type="dxa"/>
            <w:shd w:val="clear" w:color="auto" w:fill="auto"/>
          </w:tcPr>
          <w:p w14:paraId="03FB80E3" w14:textId="77777777" w:rsidR="00EF10EA" w:rsidRPr="002029AF" w:rsidRDefault="00EF10EA" w:rsidP="00780B21">
            <w:pPr>
              <w:pStyle w:val="ARtabletext"/>
              <w:spacing w:before="60" w:after="40"/>
            </w:pPr>
            <w:r w:rsidRPr="002029AF">
              <w:t>FRD 22</w:t>
            </w:r>
          </w:p>
        </w:tc>
        <w:tc>
          <w:tcPr>
            <w:tcW w:w="6510" w:type="dxa"/>
            <w:shd w:val="clear" w:color="auto" w:fill="auto"/>
          </w:tcPr>
          <w:p w14:paraId="628C37DD" w14:textId="77777777" w:rsidR="00EF10EA" w:rsidRPr="002029AF" w:rsidRDefault="00EF10EA" w:rsidP="00780B21">
            <w:pPr>
              <w:pStyle w:val="ARtabletext"/>
              <w:spacing w:before="60" w:after="40"/>
            </w:pPr>
            <w:r w:rsidRPr="002029AF">
              <w:t>Details of consultancies over $10,000</w:t>
            </w:r>
          </w:p>
        </w:tc>
        <w:tc>
          <w:tcPr>
            <w:tcW w:w="1139" w:type="dxa"/>
            <w:shd w:val="clear" w:color="auto" w:fill="auto"/>
          </w:tcPr>
          <w:p w14:paraId="38480A5A" w14:textId="52498C95" w:rsidR="00EF10EA" w:rsidRPr="002029AF" w:rsidRDefault="003E35CB" w:rsidP="00780B21">
            <w:pPr>
              <w:pStyle w:val="ARtabletextright"/>
              <w:spacing w:before="60" w:after="40"/>
            </w:pPr>
            <w:r>
              <w:fldChar w:fldCharType="begin"/>
            </w:r>
            <w:r>
              <w:instrText xml:space="preserve"> PAGEREF _Ref84252255 \h </w:instrText>
            </w:r>
            <w:r>
              <w:fldChar w:fldCharType="separate"/>
            </w:r>
            <w:r w:rsidR="00C213B3">
              <w:rPr>
                <w:noProof/>
              </w:rPr>
              <w:t>92</w:t>
            </w:r>
            <w:r>
              <w:fldChar w:fldCharType="end"/>
            </w:r>
          </w:p>
        </w:tc>
      </w:tr>
      <w:tr w:rsidR="00EF10EA" w:rsidRPr="002029AF" w14:paraId="5A188EA0" w14:textId="77777777" w:rsidTr="00286C94">
        <w:trPr>
          <w:cantSplit/>
        </w:trPr>
        <w:tc>
          <w:tcPr>
            <w:tcW w:w="1990" w:type="dxa"/>
            <w:shd w:val="clear" w:color="auto" w:fill="auto"/>
          </w:tcPr>
          <w:p w14:paraId="32F54B1B" w14:textId="77777777" w:rsidR="00EF10EA" w:rsidRPr="002029AF" w:rsidRDefault="00EF10EA" w:rsidP="00780B21">
            <w:pPr>
              <w:pStyle w:val="ARtabletext"/>
              <w:spacing w:before="60" w:after="40"/>
            </w:pPr>
            <w:r w:rsidRPr="002029AF">
              <w:t>FRD 22</w:t>
            </w:r>
          </w:p>
        </w:tc>
        <w:tc>
          <w:tcPr>
            <w:tcW w:w="6510" w:type="dxa"/>
            <w:shd w:val="clear" w:color="auto" w:fill="auto"/>
          </w:tcPr>
          <w:p w14:paraId="074F1A16" w14:textId="77777777" w:rsidR="00EF10EA" w:rsidRPr="002029AF" w:rsidRDefault="00EF10EA" w:rsidP="00780B21">
            <w:pPr>
              <w:pStyle w:val="ARtabletext"/>
              <w:spacing w:before="60" w:after="40"/>
            </w:pPr>
            <w:r w:rsidRPr="002029AF">
              <w:t>Details of consultancies under $10,000</w:t>
            </w:r>
          </w:p>
        </w:tc>
        <w:tc>
          <w:tcPr>
            <w:tcW w:w="1139" w:type="dxa"/>
            <w:shd w:val="clear" w:color="auto" w:fill="auto"/>
          </w:tcPr>
          <w:p w14:paraId="00A87837" w14:textId="0C8E5796" w:rsidR="00EF10EA" w:rsidRPr="002029AF" w:rsidRDefault="003E35CB" w:rsidP="00780B21">
            <w:pPr>
              <w:pStyle w:val="ARtabletextright"/>
              <w:spacing w:before="60" w:after="40"/>
            </w:pPr>
            <w:r>
              <w:fldChar w:fldCharType="begin"/>
            </w:r>
            <w:r>
              <w:instrText xml:space="preserve"> PAGEREF _Ref84252249 \h </w:instrText>
            </w:r>
            <w:r>
              <w:fldChar w:fldCharType="separate"/>
            </w:r>
            <w:r w:rsidR="00C213B3">
              <w:rPr>
                <w:noProof/>
              </w:rPr>
              <w:t>92</w:t>
            </w:r>
            <w:r>
              <w:fldChar w:fldCharType="end"/>
            </w:r>
          </w:p>
        </w:tc>
      </w:tr>
      <w:tr w:rsidR="00EF10EA" w:rsidRPr="002029AF" w14:paraId="203CCFD3" w14:textId="77777777" w:rsidTr="00286C94">
        <w:trPr>
          <w:cantSplit/>
        </w:trPr>
        <w:tc>
          <w:tcPr>
            <w:tcW w:w="1990" w:type="dxa"/>
            <w:shd w:val="clear" w:color="auto" w:fill="auto"/>
          </w:tcPr>
          <w:p w14:paraId="7B247640" w14:textId="77777777" w:rsidR="00EF10EA" w:rsidRPr="002029AF" w:rsidRDefault="00EF10EA" w:rsidP="00780B21">
            <w:pPr>
              <w:pStyle w:val="ARtabletext"/>
              <w:spacing w:before="60" w:after="40"/>
            </w:pPr>
            <w:r w:rsidRPr="002029AF">
              <w:t>FRD 22</w:t>
            </w:r>
          </w:p>
        </w:tc>
        <w:tc>
          <w:tcPr>
            <w:tcW w:w="6510" w:type="dxa"/>
            <w:shd w:val="clear" w:color="auto" w:fill="auto"/>
          </w:tcPr>
          <w:p w14:paraId="40D970A8" w14:textId="77777777" w:rsidR="00EF10EA" w:rsidRPr="002029AF" w:rsidRDefault="00EF10EA" w:rsidP="00780B21">
            <w:pPr>
              <w:pStyle w:val="ARtabletext"/>
              <w:spacing w:before="60" w:after="40"/>
            </w:pPr>
            <w:r w:rsidRPr="002029AF">
              <w:t>Disclosure of government advertising expenditure</w:t>
            </w:r>
          </w:p>
        </w:tc>
        <w:tc>
          <w:tcPr>
            <w:tcW w:w="1139" w:type="dxa"/>
            <w:shd w:val="clear" w:color="auto" w:fill="auto"/>
          </w:tcPr>
          <w:p w14:paraId="70C3BD29" w14:textId="0CB86BD8" w:rsidR="00EF10EA" w:rsidRPr="002029AF" w:rsidRDefault="006945F3" w:rsidP="00780B21">
            <w:pPr>
              <w:pStyle w:val="ARtabletextright"/>
              <w:spacing w:before="60" w:after="40"/>
            </w:pPr>
            <w:r>
              <w:fldChar w:fldCharType="begin"/>
            </w:r>
            <w:r>
              <w:instrText xml:space="preserve"> PAGEREF _Ref84252239 \h </w:instrText>
            </w:r>
            <w:r>
              <w:fldChar w:fldCharType="separate"/>
            </w:r>
            <w:r w:rsidR="00C213B3">
              <w:rPr>
                <w:noProof/>
              </w:rPr>
              <w:t>99</w:t>
            </w:r>
            <w:r>
              <w:fldChar w:fldCharType="end"/>
            </w:r>
          </w:p>
        </w:tc>
      </w:tr>
      <w:tr w:rsidR="00EF10EA" w:rsidRPr="002029AF" w14:paraId="2F909A00" w14:textId="77777777" w:rsidTr="00286C94">
        <w:trPr>
          <w:cantSplit/>
        </w:trPr>
        <w:tc>
          <w:tcPr>
            <w:tcW w:w="1990" w:type="dxa"/>
            <w:shd w:val="clear" w:color="auto" w:fill="auto"/>
          </w:tcPr>
          <w:p w14:paraId="57FD83EE" w14:textId="77777777" w:rsidR="00EF10EA" w:rsidRPr="002029AF" w:rsidRDefault="00EF10EA" w:rsidP="00780B21">
            <w:pPr>
              <w:pStyle w:val="ARtabletext"/>
              <w:spacing w:before="60" w:after="40"/>
            </w:pPr>
            <w:r w:rsidRPr="002029AF">
              <w:t>FRD 22</w:t>
            </w:r>
          </w:p>
        </w:tc>
        <w:tc>
          <w:tcPr>
            <w:tcW w:w="6510" w:type="dxa"/>
            <w:shd w:val="clear" w:color="auto" w:fill="auto"/>
          </w:tcPr>
          <w:p w14:paraId="33BB16BB" w14:textId="77777777" w:rsidR="00EF10EA" w:rsidRPr="002029AF" w:rsidRDefault="00EF10EA" w:rsidP="00780B21">
            <w:pPr>
              <w:pStyle w:val="ARtabletext"/>
              <w:spacing w:before="60" w:after="40"/>
            </w:pPr>
            <w:r w:rsidRPr="002029AF">
              <w:t>Disclosure of ICT expenditure</w:t>
            </w:r>
          </w:p>
        </w:tc>
        <w:tc>
          <w:tcPr>
            <w:tcW w:w="1139" w:type="dxa"/>
            <w:shd w:val="clear" w:color="auto" w:fill="auto"/>
          </w:tcPr>
          <w:p w14:paraId="2B63D289" w14:textId="248ADDF5" w:rsidR="00EF10EA" w:rsidRPr="002029AF" w:rsidRDefault="006945F3" w:rsidP="00780B21">
            <w:pPr>
              <w:pStyle w:val="ARtabletextright"/>
              <w:spacing w:before="60" w:after="40"/>
            </w:pPr>
            <w:r>
              <w:fldChar w:fldCharType="begin"/>
            </w:r>
            <w:r>
              <w:instrText xml:space="preserve"> PAGEREF _Ref112852570 \h </w:instrText>
            </w:r>
            <w:r>
              <w:fldChar w:fldCharType="separate"/>
            </w:r>
            <w:r w:rsidR="00C213B3">
              <w:rPr>
                <w:noProof/>
              </w:rPr>
              <w:t>91</w:t>
            </w:r>
            <w:r>
              <w:fldChar w:fldCharType="end"/>
            </w:r>
          </w:p>
        </w:tc>
      </w:tr>
      <w:tr w:rsidR="00EF10EA" w:rsidRPr="002029AF" w14:paraId="76567957" w14:textId="77777777" w:rsidTr="00286C94">
        <w:trPr>
          <w:cantSplit/>
        </w:trPr>
        <w:tc>
          <w:tcPr>
            <w:tcW w:w="1990" w:type="dxa"/>
            <w:shd w:val="clear" w:color="auto" w:fill="auto"/>
          </w:tcPr>
          <w:p w14:paraId="5970CFBC" w14:textId="77777777" w:rsidR="00EF10EA" w:rsidRPr="002029AF" w:rsidRDefault="00EF10EA" w:rsidP="00780B21">
            <w:pPr>
              <w:pStyle w:val="ARtabletext"/>
              <w:spacing w:before="60" w:after="40"/>
            </w:pPr>
            <w:r w:rsidRPr="002029AF">
              <w:t>FRD 22</w:t>
            </w:r>
          </w:p>
        </w:tc>
        <w:tc>
          <w:tcPr>
            <w:tcW w:w="6510" w:type="dxa"/>
            <w:shd w:val="clear" w:color="auto" w:fill="auto"/>
          </w:tcPr>
          <w:p w14:paraId="57DE420D" w14:textId="77777777" w:rsidR="00EF10EA" w:rsidRPr="002029AF" w:rsidRDefault="00EF10EA" w:rsidP="00780B21">
            <w:pPr>
              <w:pStyle w:val="ARtabletext"/>
              <w:spacing w:before="60" w:after="40"/>
            </w:pPr>
            <w:r w:rsidRPr="002029AF">
              <w:t>Statement of availability of other information</w:t>
            </w:r>
          </w:p>
        </w:tc>
        <w:tc>
          <w:tcPr>
            <w:tcW w:w="1139" w:type="dxa"/>
            <w:shd w:val="clear" w:color="auto" w:fill="auto"/>
          </w:tcPr>
          <w:p w14:paraId="0498D600" w14:textId="6EBC7C4A" w:rsidR="00EF10EA" w:rsidRPr="002029AF" w:rsidRDefault="00EA0810" w:rsidP="00780B21">
            <w:pPr>
              <w:pStyle w:val="ARtabletextright"/>
              <w:spacing w:before="60" w:after="40"/>
            </w:pPr>
            <w:r>
              <w:fldChar w:fldCharType="begin"/>
            </w:r>
            <w:r>
              <w:instrText xml:space="preserve"> PAGEREF _Ref84252196 \h </w:instrText>
            </w:r>
            <w:r>
              <w:fldChar w:fldCharType="separate"/>
            </w:r>
            <w:r w:rsidR="00C213B3">
              <w:rPr>
                <w:noProof/>
              </w:rPr>
              <w:t>107</w:t>
            </w:r>
            <w:r>
              <w:fldChar w:fldCharType="end"/>
            </w:r>
          </w:p>
        </w:tc>
      </w:tr>
      <w:tr w:rsidR="00EF10EA" w:rsidRPr="002029AF" w14:paraId="0710A8CF" w14:textId="77777777" w:rsidTr="00286C94">
        <w:trPr>
          <w:cantSplit/>
        </w:trPr>
        <w:tc>
          <w:tcPr>
            <w:tcW w:w="1990" w:type="dxa"/>
            <w:shd w:val="clear" w:color="auto" w:fill="auto"/>
          </w:tcPr>
          <w:p w14:paraId="6E79F969" w14:textId="77777777" w:rsidR="00EF10EA" w:rsidRPr="00532882" w:rsidRDefault="00EF10EA" w:rsidP="00780B21">
            <w:pPr>
              <w:pStyle w:val="ARtabletext"/>
              <w:spacing w:before="60" w:after="40"/>
            </w:pPr>
            <w:r w:rsidRPr="00532882">
              <w:t>FRD 22</w:t>
            </w:r>
          </w:p>
        </w:tc>
        <w:tc>
          <w:tcPr>
            <w:tcW w:w="6510" w:type="dxa"/>
            <w:shd w:val="clear" w:color="auto" w:fill="auto"/>
          </w:tcPr>
          <w:p w14:paraId="58622642" w14:textId="21CE6A6B" w:rsidR="00EF10EA" w:rsidRPr="00532882" w:rsidRDefault="00EF10EA" w:rsidP="00780B21">
            <w:pPr>
              <w:pStyle w:val="ARtabletext"/>
              <w:spacing w:before="60" w:after="40"/>
            </w:pPr>
            <w:r w:rsidRPr="00096017">
              <w:t xml:space="preserve">Asset </w:t>
            </w:r>
            <w:r w:rsidR="00AF1CD0" w:rsidRPr="00096017">
              <w:t>m</w:t>
            </w:r>
            <w:r w:rsidRPr="00096017">
              <w:t xml:space="preserve">anagement </w:t>
            </w:r>
            <w:r w:rsidR="00AF1CD0" w:rsidRPr="00096017">
              <w:t>a</w:t>
            </w:r>
            <w:r w:rsidRPr="00096017">
              <w:t xml:space="preserve">ccountability </w:t>
            </w:r>
            <w:r w:rsidR="00AF1CD0" w:rsidRPr="00096017">
              <w:t>f</w:t>
            </w:r>
            <w:r w:rsidRPr="00096017">
              <w:t>ramework</w:t>
            </w:r>
            <w:r w:rsidRPr="00532882">
              <w:t xml:space="preserve"> (AMAF) maturity assessment</w:t>
            </w:r>
          </w:p>
        </w:tc>
        <w:tc>
          <w:tcPr>
            <w:tcW w:w="1139" w:type="dxa"/>
            <w:shd w:val="clear" w:color="auto" w:fill="auto"/>
          </w:tcPr>
          <w:p w14:paraId="48628838" w14:textId="692369F2" w:rsidR="00EF10EA" w:rsidRPr="002029AF" w:rsidRDefault="004B64F1" w:rsidP="00780B21">
            <w:pPr>
              <w:pStyle w:val="ARtabletextright"/>
              <w:spacing w:before="60" w:after="40"/>
            </w:pPr>
            <w:r>
              <w:t>N/A</w:t>
            </w:r>
          </w:p>
        </w:tc>
      </w:tr>
      <w:tr w:rsidR="00EF10EA" w:rsidRPr="002029AF" w14:paraId="452655FC" w14:textId="77777777" w:rsidTr="00286C94">
        <w:trPr>
          <w:cantSplit/>
        </w:trPr>
        <w:tc>
          <w:tcPr>
            <w:tcW w:w="1990" w:type="dxa"/>
            <w:shd w:val="clear" w:color="auto" w:fill="auto"/>
          </w:tcPr>
          <w:p w14:paraId="2528C639" w14:textId="77777777" w:rsidR="00EF10EA" w:rsidRPr="002029AF" w:rsidRDefault="00EF10EA" w:rsidP="00780B21">
            <w:pPr>
              <w:pStyle w:val="ARtabletext"/>
              <w:spacing w:before="60" w:after="40"/>
            </w:pPr>
            <w:r w:rsidRPr="002029AF">
              <w:t>FRD 24</w:t>
            </w:r>
          </w:p>
        </w:tc>
        <w:tc>
          <w:tcPr>
            <w:tcW w:w="6510" w:type="dxa"/>
            <w:shd w:val="clear" w:color="auto" w:fill="auto"/>
          </w:tcPr>
          <w:p w14:paraId="284934F3" w14:textId="77777777" w:rsidR="00EF10EA" w:rsidRPr="002029AF" w:rsidRDefault="00EF10EA" w:rsidP="00780B21">
            <w:pPr>
              <w:pStyle w:val="ARtabletext"/>
              <w:spacing w:before="60" w:after="40"/>
            </w:pPr>
            <w:r w:rsidRPr="002029AF">
              <w:t>Reporting of office-based environmental impacts</w:t>
            </w:r>
          </w:p>
        </w:tc>
        <w:tc>
          <w:tcPr>
            <w:tcW w:w="1139" w:type="dxa"/>
            <w:shd w:val="clear" w:color="auto" w:fill="auto"/>
          </w:tcPr>
          <w:p w14:paraId="1B81299E" w14:textId="1F460879" w:rsidR="00EF10EA" w:rsidRPr="002029AF" w:rsidRDefault="00EA0810" w:rsidP="00780B21">
            <w:pPr>
              <w:pStyle w:val="ARtabletextright"/>
              <w:spacing w:before="60" w:after="40"/>
            </w:pPr>
            <w:r>
              <w:fldChar w:fldCharType="begin"/>
            </w:r>
            <w:r>
              <w:instrText xml:space="preserve"> PAGEREF _Ref84252211 \h </w:instrText>
            </w:r>
            <w:r>
              <w:fldChar w:fldCharType="separate"/>
            </w:r>
            <w:r w:rsidR="00C213B3">
              <w:rPr>
                <w:noProof/>
              </w:rPr>
              <w:t>108</w:t>
            </w:r>
            <w:r>
              <w:fldChar w:fldCharType="end"/>
            </w:r>
          </w:p>
        </w:tc>
      </w:tr>
      <w:tr w:rsidR="00EF10EA" w:rsidRPr="002029AF" w14:paraId="37C55AE9" w14:textId="77777777" w:rsidTr="00286C94">
        <w:trPr>
          <w:cantSplit/>
        </w:trPr>
        <w:tc>
          <w:tcPr>
            <w:tcW w:w="1990" w:type="dxa"/>
            <w:shd w:val="clear" w:color="auto" w:fill="auto"/>
          </w:tcPr>
          <w:p w14:paraId="6ABD783D" w14:textId="77777777" w:rsidR="00EF10EA" w:rsidRPr="002029AF" w:rsidRDefault="00EF10EA" w:rsidP="00780B21">
            <w:pPr>
              <w:pStyle w:val="ARtabletext"/>
              <w:spacing w:before="60" w:after="40"/>
            </w:pPr>
            <w:r w:rsidRPr="002029AF">
              <w:t>FRD 25</w:t>
            </w:r>
          </w:p>
        </w:tc>
        <w:tc>
          <w:tcPr>
            <w:tcW w:w="6510" w:type="dxa"/>
            <w:shd w:val="clear" w:color="auto" w:fill="auto"/>
          </w:tcPr>
          <w:p w14:paraId="01BAB83F" w14:textId="77777777" w:rsidR="00EF10EA" w:rsidRPr="002029AF" w:rsidRDefault="00EF10EA" w:rsidP="00780B21">
            <w:pPr>
              <w:pStyle w:val="ARtabletext"/>
              <w:spacing w:before="60" w:after="40"/>
            </w:pPr>
            <w:r w:rsidRPr="002029AF">
              <w:t xml:space="preserve">Local Jobs </w:t>
            </w:r>
            <w:r>
              <w:t>First</w:t>
            </w:r>
          </w:p>
        </w:tc>
        <w:tc>
          <w:tcPr>
            <w:tcW w:w="1139" w:type="dxa"/>
            <w:shd w:val="clear" w:color="auto" w:fill="auto"/>
          </w:tcPr>
          <w:p w14:paraId="733AF491" w14:textId="439F33D0" w:rsidR="00EF10EA" w:rsidRPr="002029AF" w:rsidRDefault="00EA0810" w:rsidP="00780B21">
            <w:pPr>
              <w:pStyle w:val="ARtabletextright"/>
              <w:spacing w:before="60" w:after="40"/>
            </w:pPr>
            <w:r>
              <w:fldChar w:fldCharType="begin"/>
            </w:r>
            <w:r>
              <w:instrText xml:space="preserve"> PAGEREF _Ref84240846 \h </w:instrText>
            </w:r>
            <w:r>
              <w:fldChar w:fldCharType="separate"/>
            </w:r>
            <w:r w:rsidR="00C213B3">
              <w:rPr>
                <w:noProof/>
              </w:rPr>
              <w:t>89</w:t>
            </w:r>
            <w:r>
              <w:fldChar w:fldCharType="end"/>
            </w:r>
          </w:p>
        </w:tc>
      </w:tr>
      <w:tr w:rsidR="00EF10EA" w:rsidRPr="002029AF" w14:paraId="0EC7334A" w14:textId="77777777" w:rsidTr="00286C94">
        <w:trPr>
          <w:cantSplit/>
        </w:trPr>
        <w:tc>
          <w:tcPr>
            <w:tcW w:w="1990" w:type="dxa"/>
            <w:shd w:val="clear" w:color="auto" w:fill="auto"/>
          </w:tcPr>
          <w:p w14:paraId="293D6D58" w14:textId="77777777" w:rsidR="00EF10EA" w:rsidRPr="002029AF" w:rsidRDefault="00EF10EA" w:rsidP="00780B21">
            <w:pPr>
              <w:pStyle w:val="ARtabletext"/>
              <w:spacing w:before="60" w:after="40"/>
            </w:pPr>
            <w:r w:rsidRPr="002029AF">
              <w:t>FRD 29</w:t>
            </w:r>
          </w:p>
        </w:tc>
        <w:tc>
          <w:tcPr>
            <w:tcW w:w="6510" w:type="dxa"/>
            <w:shd w:val="clear" w:color="auto" w:fill="auto"/>
          </w:tcPr>
          <w:p w14:paraId="3498947F" w14:textId="77777777" w:rsidR="00EF10EA" w:rsidRPr="002029AF" w:rsidRDefault="00EF10EA" w:rsidP="00780B21">
            <w:pPr>
              <w:pStyle w:val="ARtabletext"/>
              <w:spacing w:before="60" w:after="40"/>
            </w:pPr>
            <w:r w:rsidRPr="002029AF">
              <w:t>Workforce data disclosures</w:t>
            </w:r>
          </w:p>
        </w:tc>
        <w:tc>
          <w:tcPr>
            <w:tcW w:w="1139" w:type="dxa"/>
            <w:shd w:val="clear" w:color="auto" w:fill="auto"/>
          </w:tcPr>
          <w:p w14:paraId="5C85A992" w14:textId="3291E52A" w:rsidR="00EF10EA" w:rsidRPr="002029AF" w:rsidRDefault="00EA0810" w:rsidP="00780B21">
            <w:pPr>
              <w:pStyle w:val="ARtabletextright"/>
              <w:spacing w:before="60" w:after="40"/>
            </w:pPr>
            <w:r>
              <w:fldChar w:fldCharType="begin"/>
            </w:r>
            <w:r>
              <w:instrText xml:space="preserve"> PAGEREF _Ref84252571 \h </w:instrText>
            </w:r>
            <w:r>
              <w:fldChar w:fldCharType="separate"/>
            </w:r>
            <w:r w:rsidR="00C213B3">
              <w:rPr>
                <w:noProof/>
              </w:rPr>
              <w:t>70</w:t>
            </w:r>
            <w:r>
              <w:fldChar w:fldCharType="end"/>
            </w:r>
          </w:p>
        </w:tc>
      </w:tr>
      <w:tr w:rsidR="00EF10EA" w:rsidRPr="002029AF" w14:paraId="0812C0F6" w14:textId="77777777" w:rsidTr="00286C94">
        <w:trPr>
          <w:cantSplit/>
        </w:trPr>
        <w:tc>
          <w:tcPr>
            <w:tcW w:w="1990" w:type="dxa"/>
            <w:shd w:val="clear" w:color="auto" w:fill="auto"/>
          </w:tcPr>
          <w:p w14:paraId="0B074AEB" w14:textId="77777777" w:rsidR="00EF10EA" w:rsidRPr="002029AF" w:rsidRDefault="00EF10EA" w:rsidP="00780B21">
            <w:pPr>
              <w:pStyle w:val="ARtabletext"/>
              <w:spacing w:before="60" w:after="40"/>
            </w:pPr>
            <w:r w:rsidRPr="002029AF">
              <w:t>SD 5.2</w:t>
            </w:r>
          </w:p>
        </w:tc>
        <w:tc>
          <w:tcPr>
            <w:tcW w:w="6510" w:type="dxa"/>
            <w:shd w:val="clear" w:color="auto" w:fill="auto"/>
          </w:tcPr>
          <w:p w14:paraId="31D1D338" w14:textId="77777777" w:rsidR="00EF10EA" w:rsidRPr="002029AF" w:rsidRDefault="00EF10EA" w:rsidP="00780B21">
            <w:pPr>
              <w:pStyle w:val="ARtabletext"/>
              <w:spacing w:before="60" w:after="40"/>
            </w:pPr>
            <w:r w:rsidRPr="002029AF">
              <w:t>Specific requirements under Standing Direction 5.2</w:t>
            </w:r>
          </w:p>
        </w:tc>
        <w:tc>
          <w:tcPr>
            <w:tcW w:w="1139" w:type="dxa"/>
            <w:shd w:val="clear" w:color="auto" w:fill="auto"/>
          </w:tcPr>
          <w:p w14:paraId="59A0C783" w14:textId="0ECA6721" w:rsidR="00EF10EA" w:rsidRPr="002029AF" w:rsidRDefault="0038324A" w:rsidP="00780B21">
            <w:pPr>
              <w:pStyle w:val="ARtabletextright"/>
              <w:spacing w:before="60" w:after="40"/>
            </w:pPr>
            <w:r>
              <w:fldChar w:fldCharType="begin"/>
            </w:r>
            <w:r>
              <w:instrText xml:space="preserve"> PAGEREF Declaration_in_the_financial_statements \h </w:instrText>
            </w:r>
            <w:r>
              <w:fldChar w:fldCharType="separate"/>
            </w:r>
            <w:r w:rsidR="00C213B3">
              <w:rPr>
                <w:noProof/>
              </w:rPr>
              <w:t>123</w:t>
            </w:r>
            <w:r>
              <w:fldChar w:fldCharType="end"/>
            </w:r>
          </w:p>
        </w:tc>
      </w:tr>
      <w:tr w:rsidR="00EF10EA" w:rsidRPr="002029AF" w14:paraId="490F5D39" w14:textId="77777777" w:rsidTr="00286C94">
        <w:trPr>
          <w:cantSplit/>
        </w:trPr>
        <w:tc>
          <w:tcPr>
            <w:tcW w:w="9639" w:type="dxa"/>
            <w:gridSpan w:val="3"/>
            <w:tcBorders>
              <w:bottom w:val="nil"/>
            </w:tcBorders>
            <w:shd w:val="clear" w:color="auto" w:fill="auto"/>
          </w:tcPr>
          <w:p w14:paraId="52816513" w14:textId="77777777" w:rsidR="00EF10EA" w:rsidRPr="002029AF" w:rsidRDefault="00EF10EA" w:rsidP="00780B21">
            <w:pPr>
              <w:pStyle w:val="ARtabletextbold"/>
              <w:keepNext/>
              <w:spacing w:before="60" w:after="40"/>
            </w:pPr>
            <w:r w:rsidRPr="002029AF">
              <w:t>Compliance attestation and declaration</w:t>
            </w:r>
          </w:p>
        </w:tc>
      </w:tr>
      <w:tr w:rsidR="00EF10EA" w:rsidRPr="002029AF" w14:paraId="5D22BD74" w14:textId="77777777" w:rsidTr="00286C94">
        <w:trPr>
          <w:cantSplit/>
        </w:trPr>
        <w:tc>
          <w:tcPr>
            <w:tcW w:w="1990" w:type="dxa"/>
            <w:tcBorders>
              <w:top w:val="nil"/>
            </w:tcBorders>
            <w:shd w:val="clear" w:color="auto" w:fill="auto"/>
          </w:tcPr>
          <w:p w14:paraId="6D782CF2" w14:textId="77777777" w:rsidR="00EF10EA" w:rsidRPr="002029AF" w:rsidRDefault="00EF10EA" w:rsidP="00780B21">
            <w:pPr>
              <w:pStyle w:val="ARtabletext"/>
              <w:spacing w:before="60" w:after="40"/>
            </w:pPr>
            <w:r w:rsidRPr="002029AF">
              <w:t>SD 5.1.4</w:t>
            </w:r>
          </w:p>
        </w:tc>
        <w:tc>
          <w:tcPr>
            <w:tcW w:w="6510" w:type="dxa"/>
            <w:tcBorders>
              <w:top w:val="nil"/>
            </w:tcBorders>
            <w:shd w:val="clear" w:color="auto" w:fill="auto"/>
          </w:tcPr>
          <w:p w14:paraId="36612691" w14:textId="77777777" w:rsidR="00EF10EA" w:rsidRPr="002029AF" w:rsidRDefault="00EF10EA" w:rsidP="00780B21">
            <w:pPr>
              <w:pStyle w:val="ARtabletext"/>
              <w:spacing w:before="60" w:after="40"/>
            </w:pPr>
            <w:r w:rsidRPr="002029AF">
              <w:t>Attestation for compliance with Ministerial Standing Direction</w:t>
            </w:r>
          </w:p>
        </w:tc>
        <w:tc>
          <w:tcPr>
            <w:tcW w:w="1139" w:type="dxa"/>
            <w:tcBorders>
              <w:top w:val="nil"/>
            </w:tcBorders>
            <w:shd w:val="clear" w:color="auto" w:fill="auto"/>
          </w:tcPr>
          <w:p w14:paraId="48115CD2" w14:textId="70F8EE0D" w:rsidR="00EF10EA" w:rsidRPr="002029AF" w:rsidRDefault="002B12AC" w:rsidP="00780B21">
            <w:pPr>
              <w:pStyle w:val="ARtabletextright"/>
              <w:spacing w:before="60" w:after="40"/>
            </w:pPr>
            <w:r>
              <w:fldChar w:fldCharType="begin"/>
            </w:r>
            <w:r>
              <w:instrText xml:space="preserve"> PAGEREF _Ref112852720 \h </w:instrText>
            </w:r>
            <w:r>
              <w:fldChar w:fldCharType="separate"/>
            </w:r>
            <w:r w:rsidR="00C213B3">
              <w:rPr>
                <w:noProof/>
              </w:rPr>
              <w:t>107</w:t>
            </w:r>
            <w:r>
              <w:fldChar w:fldCharType="end"/>
            </w:r>
          </w:p>
        </w:tc>
      </w:tr>
      <w:tr w:rsidR="00EF10EA" w:rsidRPr="002029AF" w14:paraId="55293C51" w14:textId="77777777" w:rsidTr="00286C94">
        <w:trPr>
          <w:cantSplit/>
        </w:trPr>
        <w:tc>
          <w:tcPr>
            <w:tcW w:w="1990" w:type="dxa"/>
            <w:shd w:val="clear" w:color="auto" w:fill="auto"/>
          </w:tcPr>
          <w:p w14:paraId="18CAEAD4" w14:textId="77777777" w:rsidR="00EF10EA" w:rsidRPr="002029AF" w:rsidRDefault="00EF10EA" w:rsidP="00780B21">
            <w:pPr>
              <w:pStyle w:val="ARtabletext"/>
              <w:spacing w:before="60" w:after="40"/>
            </w:pPr>
            <w:r w:rsidRPr="002029AF">
              <w:t>SD 5.2.3</w:t>
            </w:r>
          </w:p>
        </w:tc>
        <w:tc>
          <w:tcPr>
            <w:tcW w:w="6510" w:type="dxa"/>
            <w:shd w:val="clear" w:color="auto" w:fill="auto"/>
          </w:tcPr>
          <w:p w14:paraId="3B9F78C5" w14:textId="77777777" w:rsidR="00EF10EA" w:rsidRPr="002029AF" w:rsidRDefault="00EF10EA" w:rsidP="00780B21">
            <w:pPr>
              <w:pStyle w:val="ARtabletext"/>
              <w:spacing w:before="60" w:after="40"/>
            </w:pPr>
            <w:r w:rsidRPr="002029AF">
              <w:t>Declaration in report of operations</w:t>
            </w:r>
          </w:p>
        </w:tc>
        <w:tc>
          <w:tcPr>
            <w:tcW w:w="1139" w:type="dxa"/>
            <w:shd w:val="clear" w:color="auto" w:fill="auto"/>
          </w:tcPr>
          <w:p w14:paraId="6FE8E86B" w14:textId="303271A1" w:rsidR="00EF10EA" w:rsidRPr="002029AF" w:rsidRDefault="006F6551" w:rsidP="00780B21">
            <w:pPr>
              <w:pStyle w:val="ARtabletextright"/>
              <w:spacing w:before="60" w:after="40"/>
            </w:pPr>
            <w:r>
              <w:fldChar w:fldCharType="begin"/>
            </w:r>
            <w:r>
              <w:instrText xml:space="preserve"> PAGEREF ResponsibleBodyDeclaration \h </w:instrText>
            </w:r>
            <w:r>
              <w:fldChar w:fldCharType="separate"/>
            </w:r>
            <w:r w:rsidR="00C213B3">
              <w:rPr>
                <w:noProof/>
              </w:rPr>
              <w:t>7</w:t>
            </w:r>
            <w:r>
              <w:fldChar w:fldCharType="end"/>
            </w:r>
          </w:p>
        </w:tc>
      </w:tr>
    </w:tbl>
    <w:p w14:paraId="29FBDB8D" w14:textId="77777777" w:rsidR="00EF10EA" w:rsidRPr="002029AF" w:rsidRDefault="00EF10EA" w:rsidP="00B72231">
      <w:pPr>
        <w:pStyle w:val="Heading3disclosureindex"/>
        <w:spacing w:before="160"/>
      </w:pPr>
      <w:bookmarkStart w:id="693" w:name="_Toc462577211"/>
      <w:bookmarkStart w:id="694" w:name="_Toc520974735"/>
      <w:bookmarkStart w:id="695" w:name="_Toc50998473"/>
      <w:bookmarkStart w:id="696" w:name="_Ref52282887"/>
      <w:bookmarkStart w:id="697" w:name="_Toc85121584"/>
      <w:r w:rsidRPr="002029AF">
        <w:t xml:space="preserve">Financial </w:t>
      </w:r>
      <w:bookmarkEnd w:id="693"/>
      <w:bookmarkEnd w:id="694"/>
      <w:bookmarkEnd w:id="695"/>
      <w:bookmarkEnd w:id="696"/>
      <w:r>
        <w:t>statements</w:t>
      </w:r>
      <w:bookmarkEnd w:id="697"/>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1990"/>
        <w:gridCol w:w="6369"/>
        <w:gridCol w:w="1280"/>
      </w:tblGrid>
      <w:tr w:rsidR="00EF10EA" w:rsidRPr="002029AF" w14:paraId="30AB4140" w14:textId="77777777" w:rsidTr="00286C94">
        <w:trPr>
          <w:cantSplit/>
          <w:tblHeader/>
        </w:trPr>
        <w:tc>
          <w:tcPr>
            <w:tcW w:w="1990" w:type="dxa"/>
            <w:tcBorders>
              <w:top w:val="nil"/>
            </w:tcBorders>
            <w:shd w:val="clear" w:color="auto" w:fill="auto"/>
            <w:vAlign w:val="bottom"/>
          </w:tcPr>
          <w:p w14:paraId="3E2267D2" w14:textId="77777777" w:rsidR="00EF10EA" w:rsidRPr="002029AF" w:rsidRDefault="00EF10EA" w:rsidP="00780B21">
            <w:pPr>
              <w:pStyle w:val="ARtablecolhead"/>
              <w:spacing w:before="60" w:after="40"/>
            </w:pPr>
            <w:r w:rsidRPr="002029AF">
              <w:t>Ministerial directions</w:t>
            </w:r>
          </w:p>
        </w:tc>
        <w:tc>
          <w:tcPr>
            <w:tcW w:w="6369" w:type="dxa"/>
            <w:tcBorders>
              <w:top w:val="nil"/>
            </w:tcBorders>
            <w:shd w:val="clear" w:color="auto" w:fill="auto"/>
            <w:vAlign w:val="bottom"/>
          </w:tcPr>
          <w:p w14:paraId="48F5B496" w14:textId="77777777" w:rsidR="00EF10EA" w:rsidRPr="002029AF" w:rsidRDefault="00EF10EA" w:rsidP="00780B21">
            <w:pPr>
              <w:pStyle w:val="ARtablecolhead"/>
              <w:spacing w:before="60" w:after="40"/>
            </w:pPr>
            <w:r w:rsidRPr="002029AF">
              <w:t>Requirement</w:t>
            </w:r>
          </w:p>
        </w:tc>
        <w:tc>
          <w:tcPr>
            <w:tcW w:w="1280" w:type="dxa"/>
            <w:tcBorders>
              <w:top w:val="nil"/>
            </w:tcBorders>
            <w:shd w:val="clear" w:color="auto" w:fill="auto"/>
            <w:vAlign w:val="bottom"/>
          </w:tcPr>
          <w:p w14:paraId="151DBB68" w14:textId="77777777" w:rsidR="00EF10EA" w:rsidRPr="002029AF" w:rsidRDefault="00EF10EA" w:rsidP="00780B21">
            <w:pPr>
              <w:pStyle w:val="ARtablecolhead"/>
              <w:spacing w:before="60" w:after="40"/>
              <w:jc w:val="right"/>
            </w:pPr>
            <w:r w:rsidRPr="002029AF">
              <w:t>Page</w:t>
            </w:r>
          </w:p>
        </w:tc>
      </w:tr>
      <w:tr w:rsidR="00EF10EA" w:rsidRPr="002029AF" w14:paraId="690C1592" w14:textId="77777777" w:rsidTr="00286C94">
        <w:tc>
          <w:tcPr>
            <w:tcW w:w="9639" w:type="dxa"/>
            <w:gridSpan w:val="3"/>
            <w:tcBorders>
              <w:bottom w:val="nil"/>
            </w:tcBorders>
            <w:shd w:val="clear" w:color="auto" w:fill="auto"/>
          </w:tcPr>
          <w:p w14:paraId="34F2FE21" w14:textId="77777777" w:rsidR="00EF10EA" w:rsidRPr="000B18D1" w:rsidRDefault="00EF10EA" w:rsidP="00780B21">
            <w:pPr>
              <w:pStyle w:val="ARtabletextbold"/>
              <w:spacing w:before="60" w:after="40"/>
            </w:pPr>
            <w:r>
              <w:t>Declaration</w:t>
            </w:r>
          </w:p>
        </w:tc>
      </w:tr>
      <w:tr w:rsidR="00EF10EA" w:rsidRPr="002029AF" w14:paraId="0E45393B" w14:textId="77777777" w:rsidTr="00286C94">
        <w:tc>
          <w:tcPr>
            <w:tcW w:w="1990" w:type="dxa"/>
            <w:tcBorders>
              <w:top w:val="nil"/>
            </w:tcBorders>
            <w:shd w:val="clear" w:color="auto" w:fill="auto"/>
          </w:tcPr>
          <w:p w14:paraId="0FA47D39" w14:textId="77777777" w:rsidR="00EF10EA" w:rsidRPr="002029AF" w:rsidRDefault="00EF10EA" w:rsidP="00780B21">
            <w:pPr>
              <w:pStyle w:val="ARtabletext"/>
              <w:spacing w:before="60" w:after="40"/>
            </w:pPr>
            <w:r w:rsidRPr="002029AF">
              <w:t>SD 5.2.2</w:t>
            </w:r>
          </w:p>
        </w:tc>
        <w:tc>
          <w:tcPr>
            <w:tcW w:w="6369" w:type="dxa"/>
            <w:tcBorders>
              <w:top w:val="nil"/>
            </w:tcBorders>
            <w:shd w:val="clear" w:color="auto" w:fill="auto"/>
          </w:tcPr>
          <w:p w14:paraId="3464BEDC" w14:textId="77777777" w:rsidR="00EF10EA" w:rsidRPr="002029AF" w:rsidRDefault="00EF10EA" w:rsidP="00780B21">
            <w:pPr>
              <w:pStyle w:val="ARtabletext"/>
              <w:spacing w:before="60" w:after="40"/>
            </w:pPr>
            <w:r>
              <w:t>Declaration in financial statements</w:t>
            </w:r>
          </w:p>
        </w:tc>
        <w:tc>
          <w:tcPr>
            <w:tcW w:w="1280" w:type="dxa"/>
            <w:tcBorders>
              <w:top w:val="nil"/>
            </w:tcBorders>
            <w:shd w:val="clear" w:color="auto" w:fill="auto"/>
          </w:tcPr>
          <w:p w14:paraId="17FADEE2" w14:textId="590ACEEB" w:rsidR="00EF10EA" w:rsidRPr="002029AF" w:rsidRDefault="005E4FEE" w:rsidP="00780B21">
            <w:pPr>
              <w:pStyle w:val="ARtabletextright"/>
              <w:spacing w:before="60" w:after="40"/>
            </w:pPr>
            <w:r>
              <w:fldChar w:fldCharType="begin"/>
            </w:r>
            <w:r>
              <w:instrText xml:space="preserve"> PAGEREF Declaration_in_the_financial_statements \h </w:instrText>
            </w:r>
            <w:r>
              <w:fldChar w:fldCharType="separate"/>
            </w:r>
            <w:r w:rsidR="00C213B3">
              <w:rPr>
                <w:noProof/>
              </w:rPr>
              <w:t>123</w:t>
            </w:r>
            <w:r>
              <w:fldChar w:fldCharType="end"/>
            </w:r>
          </w:p>
        </w:tc>
      </w:tr>
      <w:tr w:rsidR="00EF10EA" w:rsidRPr="002029AF" w14:paraId="79AE8DAB" w14:textId="77777777" w:rsidTr="00286C94">
        <w:tc>
          <w:tcPr>
            <w:tcW w:w="9639" w:type="dxa"/>
            <w:gridSpan w:val="3"/>
            <w:tcBorders>
              <w:bottom w:val="nil"/>
            </w:tcBorders>
            <w:shd w:val="clear" w:color="auto" w:fill="auto"/>
          </w:tcPr>
          <w:p w14:paraId="10B13798" w14:textId="667A6372" w:rsidR="00EF10EA" w:rsidRPr="002029AF" w:rsidRDefault="00EF10EA" w:rsidP="00780B21">
            <w:pPr>
              <w:pStyle w:val="ARtabletext"/>
              <w:spacing w:before="60" w:after="40"/>
              <w:rPr>
                <w:b/>
              </w:rPr>
            </w:pPr>
            <w:r w:rsidRPr="00A779B0">
              <w:rPr>
                <w:b/>
              </w:rPr>
              <w:t>Other requirements under Standing Direction 5.2</w:t>
            </w:r>
          </w:p>
        </w:tc>
      </w:tr>
      <w:tr w:rsidR="00EF10EA" w:rsidRPr="002029AF" w14:paraId="0DF70CE2" w14:textId="77777777" w:rsidTr="00286C94">
        <w:tc>
          <w:tcPr>
            <w:tcW w:w="1990" w:type="dxa"/>
            <w:tcBorders>
              <w:top w:val="nil"/>
            </w:tcBorders>
            <w:shd w:val="clear" w:color="auto" w:fill="auto"/>
          </w:tcPr>
          <w:p w14:paraId="387DD5F4" w14:textId="77777777" w:rsidR="00EF10EA" w:rsidRPr="002029AF" w:rsidRDefault="00EF10EA" w:rsidP="00780B21">
            <w:pPr>
              <w:pStyle w:val="ARtabletext"/>
              <w:spacing w:before="60" w:after="40"/>
            </w:pPr>
            <w:r w:rsidRPr="00850F5B">
              <w:t>SD 5.2.1(a)</w:t>
            </w:r>
          </w:p>
        </w:tc>
        <w:tc>
          <w:tcPr>
            <w:tcW w:w="6369" w:type="dxa"/>
            <w:tcBorders>
              <w:top w:val="nil"/>
            </w:tcBorders>
            <w:shd w:val="clear" w:color="auto" w:fill="auto"/>
          </w:tcPr>
          <w:p w14:paraId="4E85BCCB" w14:textId="77777777" w:rsidR="00EF10EA" w:rsidRDefault="00EF10EA" w:rsidP="00780B21">
            <w:pPr>
              <w:pStyle w:val="ARtabletext"/>
              <w:spacing w:before="60" w:after="40"/>
            </w:pPr>
            <w:r w:rsidRPr="002029AF">
              <w:t>Compliance with Australian accounting standards and other authoritative pronouncements</w:t>
            </w:r>
          </w:p>
        </w:tc>
        <w:tc>
          <w:tcPr>
            <w:tcW w:w="1280" w:type="dxa"/>
            <w:tcBorders>
              <w:top w:val="nil"/>
            </w:tcBorders>
            <w:shd w:val="clear" w:color="auto" w:fill="auto"/>
          </w:tcPr>
          <w:p w14:paraId="7BA898B3" w14:textId="362F56EF" w:rsidR="00EF10EA" w:rsidRPr="002029AF" w:rsidRDefault="00BB2333" w:rsidP="00780B21">
            <w:pPr>
              <w:pStyle w:val="ARtabletextright"/>
              <w:spacing w:before="60" w:after="40"/>
            </w:pPr>
            <w:r>
              <w:fldChar w:fldCharType="begin"/>
            </w:r>
            <w:r>
              <w:instrText xml:space="preserve"> PAGEREF _Ref112963105 \h </w:instrText>
            </w:r>
            <w:r>
              <w:fldChar w:fldCharType="separate"/>
            </w:r>
            <w:r w:rsidR="00C213B3">
              <w:rPr>
                <w:noProof/>
              </w:rPr>
              <w:t>131</w:t>
            </w:r>
            <w:r>
              <w:fldChar w:fldCharType="end"/>
            </w:r>
          </w:p>
        </w:tc>
      </w:tr>
      <w:tr w:rsidR="00EF10EA" w:rsidRPr="002029AF" w14:paraId="0E880931" w14:textId="77777777" w:rsidTr="00286C94">
        <w:tc>
          <w:tcPr>
            <w:tcW w:w="1990" w:type="dxa"/>
            <w:tcBorders>
              <w:top w:val="nil"/>
            </w:tcBorders>
            <w:shd w:val="clear" w:color="auto" w:fill="auto"/>
          </w:tcPr>
          <w:p w14:paraId="59B5E555" w14:textId="77777777" w:rsidR="00EF10EA" w:rsidRPr="002029AF" w:rsidRDefault="00EF10EA" w:rsidP="00780B21">
            <w:pPr>
              <w:pStyle w:val="ARtabletext"/>
              <w:spacing w:before="60" w:after="40"/>
            </w:pPr>
            <w:r w:rsidRPr="002029AF">
              <w:t>SD 5.2.1(a)</w:t>
            </w:r>
          </w:p>
        </w:tc>
        <w:tc>
          <w:tcPr>
            <w:tcW w:w="6369" w:type="dxa"/>
            <w:tcBorders>
              <w:top w:val="nil"/>
            </w:tcBorders>
            <w:shd w:val="clear" w:color="auto" w:fill="auto"/>
          </w:tcPr>
          <w:p w14:paraId="322BE6AA" w14:textId="77777777" w:rsidR="00EF10EA" w:rsidRPr="002029AF" w:rsidRDefault="00EF10EA" w:rsidP="00780B21">
            <w:pPr>
              <w:pStyle w:val="ARtabletext"/>
              <w:spacing w:before="60" w:after="40"/>
            </w:pPr>
            <w:r w:rsidRPr="002029AF">
              <w:t xml:space="preserve">Compliance with </w:t>
            </w:r>
            <w:r>
              <w:t>standing</w:t>
            </w:r>
            <w:r w:rsidRPr="002029AF">
              <w:t xml:space="preserve"> directions</w:t>
            </w:r>
          </w:p>
        </w:tc>
        <w:tc>
          <w:tcPr>
            <w:tcW w:w="1280" w:type="dxa"/>
            <w:tcBorders>
              <w:top w:val="nil"/>
            </w:tcBorders>
            <w:shd w:val="clear" w:color="auto" w:fill="auto"/>
          </w:tcPr>
          <w:p w14:paraId="593CDA1A" w14:textId="704EFDC2" w:rsidR="00EF10EA" w:rsidRPr="002029AF" w:rsidRDefault="00C110D2" w:rsidP="00780B21">
            <w:pPr>
              <w:pStyle w:val="ARtabletextright"/>
              <w:spacing w:before="60" w:after="40"/>
            </w:pPr>
            <w:r>
              <w:fldChar w:fldCharType="begin"/>
            </w:r>
            <w:r>
              <w:instrText xml:space="preserve"> PAGEREF _Ref112963159 \h </w:instrText>
            </w:r>
            <w:r>
              <w:fldChar w:fldCharType="separate"/>
            </w:r>
            <w:r w:rsidR="00C213B3">
              <w:rPr>
                <w:noProof/>
              </w:rPr>
              <w:t>122</w:t>
            </w:r>
            <w:r>
              <w:fldChar w:fldCharType="end"/>
            </w:r>
            <w:r w:rsidR="0077067A">
              <w:t>–</w:t>
            </w:r>
            <w:r w:rsidR="004875E3">
              <w:fldChar w:fldCharType="begin"/>
            </w:r>
            <w:r w:rsidR="004875E3">
              <w:instrText xml:space="preserve"> PAGEREF _Ref112963212 \h </w:instrText>
            </w:r>
            <w:r w:rsidR="004875E3">
              <w:fldChar w:fldCharType="separate"/>
            </w:r>
            <w:r w:rsidR="00C213B3">
              <w:rPr>
                <w:noProof/>
              </w:rPr>
              <w:t>213</w:t>
            </w:r>
            <w:r w:rsidR="004875E3">
              <w:fldChar w:fldCharType="end"/>
            </w:r>
          </w:p>
        </w:tc>
      </w:tr>
      <w:tr w:rsidR="00EF10EA" w:rsidRPr="002029AF" w14:paraId="17710915" w14:textId="77777777" w:rsidTr="00286C94">
        <w:tc>
          <w:tcPr>
            <w:tcW w:w="1990" w:type="dxa"/>
            <w:shd w:val="clear" w:color="auto" w:fill="auto"/>
          </w:tcPr>
          <w:p w14:paraId="13D545F0" w14:textId="77777777" w:rsidR="00EF10EA" w:rsidRPr="002029AF" w:rsidRDefault="00EF10EA" w:rsidP="00780B21">
            <w:pPr>
              <w:pStyle w:val="ARtabletext"/>
              <w:spacing w:before="60" w:after="40"/>
            </w:pPr>
            <w:r w:rsidRPr="002029AF">
              <w:t>SD 5.2.1(b)</w:t>
            </w:r>
          </w:p>
        </w:tc>
        <w:tc>
          <w:tcPr>
            <w:tcW w:w="6369" w:type="dxa"/>
            <w:shd w:val="clear" w:color="auto" w:fill="auto"/>
          </w:tcPr>
          <w:p w14:paraId="77E8D74F" w14:textId="77777777" w:rsidR="00EF10EA" w:rsidRPr="002029AF" w:rsidRDefault="00EF10EA" w:rsidP="00780B21">
            <w:pPr>
              <w:pStyle w:val="ARtabletext"/>
              <w:spacing w:before="60" w:after="40"/>
            </w:pPr>
            <w:r w:rsidRPr="002029AF">
              <w:t>Compliance with model financial report</w:t>
            </w:r>
          </w:p>
        </w:tc>
        <w:tc>
          <w:tcPr>
            <w:tcW w:w="1280" w:type="dxa"/>
            <w:shd w:val="clear" w:color="auto" w:fill="auto"/>
          </w:tcPr>
          <w:p w14:paraId="3A98EAB6" w14:textId="0D7F99F7" w:rsidR="00EF10EA" w:rsidRPr="002029AF" w:rsidRDefault="004875E3" w:rsidP="00780B21">
            <w:pPr>
              <w:pStyle w:val="ARtabletextright"/>
              <w:spacing w:before="60" w:after="40"/>
            </w:pPr>
            <w:r>
              <w:fldChar w:fldCharType="begin"/>
            </w:r>
            <w:r>
              <w:instrText xml:space="preserve"> PAGEREF _Ref112963173 \h </w:instrText>
            </w:r>
            <w:r>
              <w:fldChar w:fldCharType="separate"/>
            </w:r>
            <w:r w:rsidR="00C213B3">
              <w:rPr>
                <w:noProof/>
              </w:rPr>
              <w:t>122</w:t>
            </w:r>
            <w:r>
              <w:fldChar w:fldCharType="end"/>
            </w:r>
            <w:r w:rsidR="0077067A">
              <w:t>–</w:t>
            </w:r>
            <w:r>
              <w:fldChar w:fldCharType="begin"/>
            </w:r>
            <w:r>
              <w:instrText xml:space="preserve"> PAGEREF _Ref112963212 \h </w:instrText>
            </w:r>
            <w:r>
              <w:fldChar w:fldCharType="separate"/>
            </w:r>
            <w:r w:rsidR="00C213B3">
              <w:rPr>
                <w:noProof/>
              </w:rPr>
              <w:t>213</w:t>
            </w:r>
            <w:r>
              <w:fldChar w:fldCharType="end"/>
            </w:r>
          </w:p>
        </w:tc>
      </w:tr>
      <w:tr w:rsidR="00EF10EA" w:rsidRPr="002029AF" w14:paraId="5F33C389" w14:textId="77777777" w:rsidTr="00286C94">
        <w:tc>
          <w:tcPr>
            <w:tcW w:w="9639" w:type="dxa"/>
            <w:gridSpan w:val="3"/>
            <w:tcBorders>
              <w:top w:val="single" w:sz="4" w:space="0" w:color="auto"/>
              <w:bottom w:val="nil"/>
            </w:tcBorders>
            <w:shd w:val="clear" w:color="auto" w:fill="auto"/>
          </w:tcPr>
          <w:p w14:paraId="6676309C" w14:textId="77777777" w:rsidR="00EF10EA" w:rsidRPr="002029AF" w:rsidRDefault="00EF10EA" w:rsidP="00780B21">
            <w:pPr>
              <w:pStyle w:val="ARtabletext"/>
              <w:spacing w:before="60" w:after="40"/>
              <w:rPr>
                <w:b/>
              </w:rPr>
            </w:pPr>
            <w:r w:rsidRPr="00604C01">
              <w:rPr>
                <w:b/>
              </w:rPr>
              <w:t>Other disclosures as required by F</w:t>
            </w:r>
            <w:r>
              <w:rPr>
                <w:b/>
              </w:rPr>
              <w:t>inancial Reporting Directions</w:t>
            </w:r>
            <w:r w:rsidRPr="00604C01">
              <w:rPr>
                <w:b/>
              </w:rPr>
              <w:t xml:space="preserve"> in notes to the financial statements</w:t>
            </w:r>
          </w:p>
        </w:tc>
      </w:tr>
      <w:tr w:rsidR="00EF10EA" w:rsidRPr="002029AF" w14:paraId="22D635E5" w14:textId="77777777" w:rsidTr="00286C94">
        <w:tc>
          <w:tcPr>
            <w:tcW w:w="1990" w:type="dxa"/>
            <w:tcBorders>
              <w:top w:val="nil"/>
            </w:tcBorders>
            <w:shd w:val="clear" w:color="auto" w:fill="auto"/>
          </w:tcPr>
          <w:p w14:paraId="5FE14A11" w14:textId="77777777" w:rsidR="00EF10EA" w:rsidRPr="002029AF" w:rsidRDefault="00EF10EA" w:rsidP="00780B21">
            <w:pPr>
              <w:pStyle w:val="ARtabletext"/>
              <w:spacing w:before="60" w:after="40"/>
            </w:pPr>
            <w:r w:rsidRPr="002029AF">
              <w:t>FRD 9</w:t>
            </w:r>
          </w:p>
        </w:tc>
        <w:tc>
          <w:tcPr>
            <w:tcW w:w="6369" w:type="dxa"/>
            <w:tcBorders>
              <w:top w:val="nil"/>
            </w:tcBorders>
            <w:shd w:val="clear" w:color="auto" w:fill="auto"/>
          </w:tcPr>
          <w:p w14:paraId="60E34C36" w14:textId="77777777" w:rsidR="00EF10EA" w:rsidRPr="002029AF" w:rsidRDefault="00EF10EA" w:rsidP="00780B21">
            <w:pPr>
              <w:pStyle w:val="ARtabletext"/>
              <w:spacing w:before="60" w:after="40"/>
            </w:pPr>
            <w:r w:rsidRPr="002029AF">
              <w:t>Departmental disclosure of administered assets and liabilities by activity</w:t>
            </w:r>
          </w:p>
        </w:tc>
        <w:tc>
          <w:tcPr>
            <w:tcW w:w="1280" w:type="dxa"/>
            <w:tcBorders>
              <w:top w:val="nil"/>
            </w:tcBorders>
            <w:shd w:val="clear" w:color="auto" w:fill="auto"/>
          </w:tcPr>
          <w:p w14:paraId="0AEF8BE3" w14:textId="51C89B0C" w:rsidR="00EF10EA" w:rsidRPr="002029AF" w:rsidRDefault="00DC7CD8" w:rsidP="00780B21">
            <w:pPr>
              <w:pStyle w:val="ARtabletextright"/>
              <w:spacing w:before="60" w:after="40"/>
            </w:pPr>
            <w:r>
              <w:fldChar w:fldCharType="begin"/>
            </w:r>
            <w:r>
              <w:instrText xml:space="preserve"> PAGEREF _Ref84598229 \h </w:instrText>
            </w:r>
            <w:r>
              <w:fldChar w:fldCharType="separate"/>
            </w:r>
            <w:r w:rsidR="00C213B3">
              <w:rPr>
                <w:noProof/>
              </w:rPr>
              <w:t>160</w:t>
            </w:r>
            <w:r>
              <w:fldChar w:fldCharType="end"/>
            </w:r>
          </w:p>
        </w:tc>
      </w:tr>
      <w:tr w:rsidR="00EF10EA" w:rsidRPr="002029AF" w14:paraId="53265949" w14:textId="77777777" w:rsidTr="00286C94">
        <w:trPr>
          <w:trHeight w:val="239"/>
        </w:trPr>
        <w:tc>
          <w:tcPr>
            <w:tcW w:w="1990" w:type="dxa"/>
            <w:shd w:val="clear" w:color="auto" w:fill="auto"/>
          </w:tcPr>
          <w:p w14:paraId="0EDE4F09" w14:textId="77777777" w:rsidR="00EF10EA" w:rsidRPr="002029AF" w:rsidRDefault="00EF10EA" w:rsidP="00780B21">
            <w:pPr>
              <w:pStyle w:val="ARtabletext"/>
              <w:spacing w:before="60" w:after="40"/>
            </w:pPr>
            <w:r w:rsidRPr="002029AF">
              <w:t>FRD 11</w:t>
            </w:r>
          </w:p>
        </w:tc>
        <w:tc>
          <w:tcPr>
            <w:tcW w:w="6369" w:type="dxa"/>
            <w:shd w:val="clear" w:color="auto" w:fill="auto"/>
          </w:tcPr>
          <w:p w14:paraId="018AD2A2" w14:textId="77777777" w:rsidR="00EF10EA" w:rsidRPr="002029AF" w:rsidRDefault="00EF10EA" w:rsidP="00780B21">
            <w:pPr>
              <w:pStyle w:val="ARtabletext"/>
              <w:spacing w:before="60" w:after="40"/>
            </w:pPr>
            <w:r w:rsidRPr="002029AF">
              <w:t xml:space="preserve">Disclosure of ex-gratia </w:t>
            </w:r>
            <w:r>
              <w:t>expenses</w:t>
            </w:r>
          </w:p>
        </w:tc>
        <w:tc>
          <w:tcPr>
            <w:tcW w:w="1280" w:type="dxa"/>
            <w:shd w:val="clear" w:color="auto" w:fill="auto"/>
          </w:tcPr>
          <w:p w14:paraId="45BF3378" w14:textId="10A286B9" w:rsidR="00EF10EA" w:rsidRPr="002029AF" w:rsidRDefault="00972029" w:rsidP="00780B21">
            <w:pPr>
              <w:pStyle w:val="ARtabletextright"/>
              <w:spacing w:before="60" w:after="40"/>
            </w:pPr>
            <w:r>
              <w:fldChar w:fldCharType="begin"/>
            </w:r>
            <w:r>
              <w:instrText xml:space="preserve"> PAGEREF _Ref112963385 \h </w:instrText>
            </w:r>
            <w:r>
              <w:fldChar w:fldCharType="separate"/>
            </w:r>
            <w:r w:rsidR="00C213B3">
              <w:rPr>
                <w:noProof/>
              </w:rPr>
              <w:t>201</w:t>
            </w:r>
            <w:r>
              <w:fldChar w:fldCharType="end"/>
            </w:r>
          </w:p>
        </w:tc>
      </w:tr>
      <w:tr w:rsidR="00EF10EA" w:rsidRPr="002029AF" w14:paraId="016F1376" w14:textId="77777777" w:rsidTr="00286C94">
        <w:tc>
          <w:tcPr>
            <w:tcW w:w="1990" w:type="dxa"/>
            <w:shd w:val="clear" w:color="auto" w:fill="auto"/>
          </w:tcPr>
          <w:p w14:paraId="013C30E5" w14:textId="77777777" w:rsidR="00EF10EA" w:rsidRPr="002029AF" w:rsidRDefault="00EF10EA" w:rsidP="00780B21">
            <w:pPr>
              <w:pStyle w:val="ARtabletext"/>
              <w:spacing w:before="60" w:after="40"/>
            </w:pPr>
            <w:r w:rsidRPr="002029AF">
              <w:t>FRD 13</w:t>
            </w:r>
          </w:p>
        </w:tc>
        <w:tc>
          <w:tcPr>
            <w:tcW w:w="6369" w:type="dxa"/>
            <w:shd w:val="clear" w:color="auto" w:fill="auto"/>
          </w:tcPr>
          <w:p w14:paraId="7D2C7FD4" w14:textId="77777777" w:rsidR="00EF10EA" w:rsidRPr="002029AF" w:rsidRDefault="00EF10EA" w:rsidP="00780B21">
            <w:pPr>
              <w:pStyle w:val="ARtabletext"/>
              <w:spacing w:before="60" w:after="40"/>
            </w:pPr>
            <w:r w:rsidRPr="002029AF">
              <w:t>Disclosure of parliamentary appropriations</w:t>
            </w:r>
          </w:p>
        </w:tc>
        <w:tc>
          <w:tcPr>
            <w:tcW w:w="1280" w:type="dxa"/>
            <w:shd w:val="clear" w:color="auto" w:fill="auto"/>
          </w:tcPr>
          <w:p w14:paraId="2F30E287" w14:textId="7EB54543" w:rsidR="00EF10EA" w:rsidRPr="002029AF" w:rsidRDefault="00CF65BF" w:rsidP="00780B21">
            <w:pPr>
              <w:pStyle w:val="ARtabletextright"/>
              <w:spacing w:before="60" w:after="40"/>
            </w:pPr>
            <w:r>
              <w:fldChar w:fldCharType="begin"/>
            </w:r>
            <w:r>
              <w:instrText xml:space="preserve"> PAGEREF _Ref112963450 \h </w:instrText>
            </w:r>
            <w:r>
              <w:fldChar w:fldCharType="separate"/>
            </w:r>
            <w:r w:rsidR="00C213B3">
              <w:rPr>
                <w:noProof/>
              </w:rPr>
              <w:t>133</w:t>
            </w:r>
            <w:r>
              <w:fldChar w:fldCharType="end"/>
            </w:r>
          </w:p>
        </w:tc>
      </w:tr>
      <w:tr w:rsidR="00EF10EA" w:rsidRPr="002029AF" w14:paraId="0CFBD645" w14:textId="77777777" w:rsidTr="00286C94">
        <w:tc>
          <w:tcPr>
            <w:tcW w:w="1990" w:type="dxa"/>
            <w:shd w:val="clear" w:color="auto" w:fill="auto"/>
          </w:tcPr>
          <w:p w14:paraId="1D4A551C" w14:textId="77777777" w:rsidR="00EF10EA" w:rsidRPr="002029AF" w:rsidRDefault="00EF10EA" w:rsidP="00780B21">
            <w:pPr>
              <w:pStyle w:val="ARtabletext"/>
              <w:spacing w:before="60" w:after="40"/>
            </w:pPr>
            <w:r w:rsidRPr="002029AF">
              <w:t>FRD 21</w:t>
            </w:r>
          </w:p>
        </w:tc>
        <w:tc>
          <w:tcPr>
            <w:tcW w:w="6369" w:type="dxa"/>
            <w:shd w:val="clear" w:color="auto" w:fill="auto"/>
          </w:tcPr>
          <w:p w14:paraId="47AFD256" w14:textId="77777777" w:rsidR="00EF10EA" w:rsidRPr="002029AF" w:rsidRDefault="00EF10EA" w:rsidP="00780B21">
            <w:pPr>
              <w:pStyle w:val="ARtabletext"/>
              <w:spacing w:before="60" w:after="40"/>
            </w:pPr>
            <w:r w:rsidRPr="002029AF">
              <w:t>Disclosures of responsible persons, executive officers and other personnel (contactors with significant management responsibilities) in the financial report</w:t>
            </w:r>
          </w:p>
        </w:tc>
        <w:tc>
          <w:tcPr>
            <w:tcW w:w="1280" w:type="dxa"/>
            <w:shd w:val="clear" w:color="auto" w:fill="auto"/>
          </w:tcPr>
          <w:p w14:paraId="3F25174E" w14:textId="273B0C86" w:rsidR="00EF10EA" w:rsidRPr="002029AF" w:rsidRDefault="00483E71" w:rsidP="00780B21">
            <w:pPr>
              <w:pStyle w:val="ARtabletextright"/>
              <w:spacing w:before="60" w:after="40"/>
            </w:pPr>
            <w:r>
              <w:fldChar w:fldCharType="begin"/>
            </w:r>
            <w:r>
              <w:instrText xml:space="preserve"> PAGEREF _Ref112963485 \h </w:instrText>
            </w:r>
            <w:r>
              <w:fldChar w:fldCharType="separate"/>
            </w:r>
            <w:r w:rsidR="00C213B3">
              <w:rPr>
                <w:noProof/>
              </w:rPr>
              <w:t>205</w:t>
            </w:r>
            <w:r>
              <w:fldChar w:fldCharType="end"/>
            </w:r>
          </w:p>
        </w:tc>
      </w:tr>
      <w:tr w:rsidR="00EF10EA" w:rsidRPr="002029AF" w14:paraId="60481901" w14:textId="77777777" w:rsidTr="00286C94">
        <w:tc>
          <w:tcPr>
            <w:tcW w:w="1990" w:type="dxa"/>
            <w:shd w:val="clear" w:color="auto" w:fill="auto"/>
          </w:tcPr>
          <w:p w14:paraId="3457BAC2" w14:textId="77777777" w:rsidR="00EF10EA" w:rsidRPr="002029AF" w:rsidRDefault="00EF10EA" w:rsidP="00780B21">
            <w:pPr>
              <w:pStyle w:val="ARtabletext"/>
              <w:spacing w:before="60" w:after="40"/>
            </w:pPr>
            <w:r w:rsidRPr="002029AF">
              <w:t>FRD 103</w:t>
            </w:r>
          </w:p>
        </w:tc>
        <w:tc>
          <w:tcPr>
            <w:tcW w:w="6369" w:type="dxa"/>
            <w:shd w:val="clear" w:color="auto" w:fill="auto"/>
          </w:tcPr>
          <w:p w14:paraId="24A465F7" w14:textId="77777777" w:rsidR="00EF10EA" w:rsidRPr="002029AF" w:rsidRDefault="00EF10EA" w:rsidP="00780B21">
            <w:pPr>
              <w:pStyle w:val="ARtabletext"/>
              <w:spacing w:before="60" w:after="40"/>
            </w:pPr>
            <w:r w:rsidRPr="002029AF">
              <w:t>Non-financial physical assets</w:t>
            </w:r>
          </w:p>
        </w:tc>
        <w:tc>
          <w:tcPr>
            <w:tcW w:w="1280" w:type="dxa"/>
            <w:shd w:val="clear" w:color="auto" w:fill="auto"/>
          </w:tcPr>
          <w:p w14:paraId="51E88521" w14:textId="2FCC62B6" w:rsidR="00EF10EA" w:rsidRPr="002029AF" w:rsidRDefault="0091739E" w:rsidP="00780B21">
            <w:pPr>
              <w:pStyle w:val="ARtabletextright"/>
              <w:spacing w:before="60" w:after="40"/>
            </w:pPr>
            <w:r>
              <w:fldChar w:fldCharType="begin"/>
            </w:r>
            <w:r>
              <w:instrText xml:space="preserve"> PAGEREF _Ref113703009 \h </w:instrText>
            </w:r>
            <w:r>
              <w:fldChar w:fldCharType="separate"/>
            </w:r>
            <w:r w:rsidR="00C213B3">
              <w:rPr>
                <w:noProof/>
              </w:rPr>
              <w:t>197</w:t>
            </w:r>
            <w:r>
              <w:fldChar w:fldCharType="end"/>
            </w:r>
          </w:p>
        </w:tc>
      </w:tr>
      <w:tr w:rsidR="00EF10EA" w:rsidRPr="002029AF" w14:paraId="51423BF5" w14:textId="77777777" w:rsidTr="00286C94">
        <w:tc>
          <w:tcPr>
            <w:tcW w:w="1990" w:type="dxa"/>
            <w:shd w:val="clear" w:color="auto" w:fill="auto"/>
          </w:tcPr>
          <w:p w14:paraId="48F42948" w14:textId="77777777" w:rsidR="00EF10EA" w:rsidRPr="002029AF" w:rsidRDefault="00EF10EA" w:rsidP="00780B21">
            <w:pPr>
              <w:pStyle w:val="ARtabletext"/>
              <w:spacing w:before="60" w:after="40"/>
            </w:pPr>
            <w:r w:rsidRPr="002029AF">
              <w:t>FRD 110</w:t>
            </w:r>
          </w:p>
        </w:tc>
        <w:tc>
          <w:tcPr>
            <w:tcW w:w="6369" w:type="dxa"/>
            <w:shd w:val="clear" w:color="auto" w:fill="auto"/>
          </w:tcPr>
          <w:p w14:paraId="59E09AE7" w14:textId="77777777" w:rsidR="00EF10EA" w:rsidRPr="002029AF" w:rsidRDefault="00EF10EA" w:rsidP="00780B21">
            <w:pPr>
              <w:pStyle w:val="ARtabletext"/>
              <w:spacing w:before="60" w:after="40"/>
            </w:pPr>
            <w:r w:rsidRPr="002029AF">
              <w:t>Cash flow statements</w:t>
            </w:r>
          </w:p>
        </w:tc>
        <w:tc>
          <w:tcPr>
            <w:tcW w:w="1280" w:type="dxa"/>
            <w:shd w:val="clear" w:color="auto" w:fill="auto"/>
          </w:tcPr>
          <w:p w14:paraId="18A37167" w14:textId="726654E5" w:rsidR="00EF10EA" w:rsidRPr="002029AF" w:rsidRDefault="00691874" w:rsidP="00780B21">
            <w:pPr>
              <w:pStyle w:val="ARtabletextright"/>
              <w:spacing w:before="60" w:after="40"/>
            </w:pPr>
            <w:r>
              <w:fldChar w:fldCharType="begin"/>
            </w:r>
            <w:r>
              <w:instrText xml:space="preserve"> PAGEREF Cash_flow_statement \h </w:instrText>
            </w:r>
            <w:r>
              <w:fldChar w:fldCharType="separate"/>
            </w:r>
            <w:r w:rsidR="00C213B3">
              <w:rPr>
                <w:noProof/>
              </w:rPr>
              <w:t>128</w:t>
            </w:r>
            <w:r>
              <w:fldChar w:fldCharType="end"/>
            </w:r>
          </w:p>
        </w:tc>
      </w:tr>
      <w:tr w:rsidR="00EF10EA" w:rsidRPr="002029AF" w14:paraId="2AEFBDCE" w14:textId="77777777" w:rsidTr="00286C94">
        <w:tc>
          <w:tcPr>
            <w:tcW w:w="1990" w:type="dxa"/>
            <w:shd w:val="clear" w:color="auto" w:fill="auto"/>
          </w:tcPr>
          <w:p w14:paraId="7503010A" w14:textId="77777777" w:rsidR="00EF10EA" w:rsidRPr="002029AF" w:rsidRDefault="00EF10EA" w:rsidP="00780B21">
            <w:pPr>
              <w:pStyle w:val="ARtabletext"/>
              <w:spacing w:before="60" w:after="40"/>
            </w:pPr>
            <w:r w:rsidRPr="002029AF">
              <w:t>FRD 112</w:t>
            </w:r>
          </w:p>
        </w:tc>
        <w:tc>
          <w:tcPr>
            <w:tcW w:w="6369" w:type="dxa"/>
            <w:shd w:val="clear" w:color="auto" w:fill="auto"/>
          </w:tcPr>
          <w:p w14:paraId="0F4BD113" w14:textId="77777777" w:rsidR="00EF10EA" w:rsidRPr="002029AF" w:rsidRDefault="00EF10EA" w:rsidP="00780B21">
            <w:pPr>
              <w:pStyle w:val="ARtabletext"/>
              <w:spacing w:before="60" w:after="40"/>
            </w:pPr>
            <w:r w:rsidRPr="002029AF">
              <w:t>Defined benefit superannuation obligations</w:t>
            </w:r>
          </w:p>
        </w:tc>
        <w:tc>
          <w:tcPr>
            <w:tcW w:w="1280" w:type="dxa"/>
            <w:shd w:val="clear" w:color="auto" w:fill="auto"/>
          </w:tcPr>
          <w:p w14:paraId="6AA083DE" w14:textId="0ADC7ECF" w:rsidR="00EF10EA" w:rsidRPr="002029AF" w:rsidRDefault="00C7086B" w:rsidP="00780B21">
            <w:pPr>
              <w:pStyle w:val="ARtabletextright"/>
              <w:spacing w:before="60" w:after="40"/>
            </w:pPr>
            <w:r>
              <w:fldChar w:fldCharType="begin"/>
            </w:r>
            <w:r>
              <w:instrText xml:space="preserve"> PAGEREF _Ref112963602 \h </w:instrText>
            </w:r>
            <w:r>
              <w:fldChar w:fldCharType="separate"/>
            </w:r>
            <w:r w:rsidR="00C213B3">
              <w:rPr>
                <w:noProof/>
              </w:rPr>
              <w:t>141</w:t>
            </w:r>
            <w:r>
              <w:fldChar w:fldCharType="end"/>
            </w:r>
          </w:p>
        </w:tc>
      </w:tr>
      <w:tr w:rsidR="00EF10EA" w:rsidRPr="002029AF" w14:paraId="25EA26B6" w14:textId="77777777" w:rsidTr="00286C94">
        <w:tc>
          <w:tcPr>
            <w:tcW w:w="1990" w:type="dxa"/>
            <w:shd w:val="clear" w:color="auto" w:fill="auto"/>
          </w:tcPr>
          <w:p w14:paraId="4A515FBA" w14:textId="77777777" w:rsidR="00EF10EA" w:rsidRPr="002029AF" w:rsidRDefault="00EF10EA" w:rsidP="00780B21">
            <w:pPr>
              <w:pStyle w:val="ARtabletext"/>
              <w:spacing w:before="60" w:after="40"/>
            </w:pPr>
            <w:r w:rsidRPr="002029AF">
              <w:t>FRD 114</w:t>
            </w:r>
          </w:p>
        </w:tc>
        <w:tc>
          <w:tcPr>
            <w:tcW w:w="6369" w:type="dxa"/>
            <w:shd w:val="clear" w:color="auto" w:fill="auto"/>
          </w:tcPr>
          <w:p w14:paraId="2ED23EE2" w14:textId="77777777" w:rsidR="00EF10EA" w:rsidRPr="002029AF" w:rsidRDefault="00EF10EA" w:rsidP="00780B21">
            <w:pPr>
              <w:pStyle w:val="ARtabletext"/>
              <w:spacing w:before="60" w:after="40"/>
            </w:pPr>
            <w:r w:rsidRPr="002029AF">
              <w:t>Financial instruments – general government entities and public non-financial corporations</w:t>
            </w:r>
          </w:p>
        </w:tc>
        <w:tc>
          <w:tcPr>
            <w:tcW w:w="1280" w:type="dxa"/>
            <w:shd w:val="clear" w:color="auto" w:fill="auto"/>
          </w:tcPr>
          <w:p w14:paraId="52C3358C" w14:textId="48836FC5" w:rsidR="00EF10EA" w:rsidRPr="002029AF" w:rsidRDefault="005E6DC0" w:rsidP="00780B21">
            <w:pPr>
              <w:pStyle w:val="ARtabletextright"/>
              <w:spacing w:before="60" w:after="40"/>
            </w:pPr>
            <w:r>
              <w:fldChar w:fldCharType="begin"/>
            </w:r>
            <w:r>
              <w:instrText xml:space="preserve"> PAGEREF _Ref112963685 \h </w:instrText>
            </w:r>
            <w:r>
              <w:fldChar w:fldCharType="separate"/>
            </w:r>
            <w:r w:rsidR="00C213B3">
              <w:rPr>
                <w:noProof/>
              </w:rPr>
              <w:t>187</w:t>
            </w:r>
            <w:r>
              <w:fldChar w:fldCharType="end"/>
            </w:r>
          </w:p>
        </w:tc>
      </w:tr>
    </w:tbl>
    <w:p w14:paraId="22DBC858" w14:textId="77777777" w:rsidR="00EF10EA" w:rsidRPr="002029AF" w:rsidRDefault="00EF10EA" w:rsidP="00B72231">
      <w:pPr>
        <w:pStyle w:val="Heading3disclosureindex"/>
        <w:spacing w:before="160"/>
      </w:pPr>
      <w:bookmarkStart w:id="698" w:name="_Toc85121585"/>
      <w:r>
        <w:t>Legislation</w:t>
      </w:r>
      <w:bookmarkEnd w:id="698"/>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5665"/>
        <w:gridCol w:w="3974"/>
      </w:tblGrid>
      <w:tr w:rsidR="00EF10EA" w:rsidRPr="002029AF" w14:paraId="7BAA0398" w14:textId="77777777" w:rsidTr="00286C94">
        <w:trPr>
          <w:cantSplit/>
          <w:tblHeader/>
        </w:trPr>
        <w:tc>
          <w:tcPr>
            <w:tcW w:w="5665" w:type="dxa"/>
            <w:tcBorders>
              <w:top w:val="nil"/>
            </w:tcBorders>
            <w:shd w:val="clear" w:color="auto" w:fill="auto"/>
          </w:tcPr>
          <w:p w14:paraId="64A1A298" w14:textId="77777777" w:rsidR="00EF10EA" w:rsidRPr="002029AF" w:rsidRDefault="00EF10EA" w:rsidP="00780B21">
            <w:pPr>
              <w:pStyle w:val="ARtablecolhead"/>
              <w:spacing w:before="60" w:after="40"/>
            </w:pPr>
            <w:r>
              <w:t>Act</w:t>
            </w:r>
          </w:p>
        </w:tc>
        <w:tc>
          <w:tcPr>
            <w:tcW w:w="3974" w:type="dxa"/>
            <w:tcBorders>
              <w:top w:val="nil"/>
            </w:tcBorders>
            <w:shd w:val="clear" w:color="auto" w:fill="auto"/>
          </w:tcPr>
          <w:p w14:paraId="27E79E20" w14:textId="77777777" w:rsidR="00EF10EA" w:rsidRPr="002029AF" w:rsidRDefault="00EF10EA" w:rsidP="00780B21">
            <w:pPr>
              <w:pStyle w:val="ARtablecolhead"/>
              <w:spacing w:before="60" w:after="40"/>
              <w:jc w:val="right"/>
            </w:pPr>
            <w:r w:rsidRPr="002029AF">
              <w:t>Page</w:t>
            </w:r>
          </w:p>
        </w:tc>
      </w:tr>
      <w:tr w:rsidR="00EF10EA" w:rsidRPr="002029AF" w14:paraId="463F6781" w14:textId="77777777" w:rsidTr="00286C94">
        <w:trPr>
          <w:cantSplit/>
        </w:trPr>
        <w:tc>
          <w:tcPr>
            <w:tcW w:w="5665" w:type="dxa"/>
            <w:shd w:val="clear" w:color="auto" w:fill="auto"/>
          </w:tcPr>
          <w:p w14:paraId="4458D37B" w14:textId="77777777" w:rsidR="00EF10EA" w:rsidRPr="002029AF" w:rsidRDefault="00EF10EA" w:rsidP="00780B21">
            <w:pPr>
              <w:pStyle w:val="ARtabletext"/>
              <w:spacing w:before="60" w:after="40"/>
              <w:rPr>
                <w:i/>
              </w:rPr>
            </w:pPr>
            <w:r w:rsidRPr="002029AF">
              <w:rPr>
                <w:i/>
              </w:rPr>
              <w:t>Building Act 1993</w:t>
            </w:r>
          </w:p>
        </w:tc>
        <w:tc>
          <w:tcPr>
            <w:tcW w:w="3974" w:type="dxa"/>
            <w:shd w:val="clear" w:color="auto" w:fill="auto"/>
          </w:tcPr>
          <w:p w14:paraId="1EB5F9DD" w14:textId="0EAB9B57" w:rsidR="00EF10EA" w:rsidRPr="002029AF" w:rsidRDefault="009730F5" w:rsidP="00780B21">
            <w:pPr>
              <w:pStyle w:val="ARtabletextright"/>
              <w:spacing w:before="60" w:after="40"/>
            </w:pPr>
            <w:r>
              <w:fldChar w:fldCharType="begin"/>
            </w:r>
            <w:r>
              <w:instrText xml:space="preserve"> PAGEREF _Ref21956605 \h </w:instrText>
            </w:r>
            <w:r>
              <w:fldChar w:fldCharType="separate"/>
            </w:r>
            <w:r w:rsidR="00C213B3">
              <w:rPr>
                <w:noProof/>
              </w:rPr>
              <w:t>104</w:t>
            </w:r>
            <w:r>
              <w:fldChar w:fldCharType="end"/>
            </w:r>
          </w:p>
        </w:tc>
      </w:tr>
      <w:tr w:rsidR="00EF10EA" w:rsidRPr="002029AF" w14:paraId="3CAFDE05" w14:textId="77777777" w:rsidTr="00286C94">
        <w:trPr>
          <w:cantSplit/>
        </w:trPr>
        <w:tc>
          <w:tcPr>
            <w:tcW w:w="5665" w:type="dxa"/>
            <w:shd w:val="clear" w:color="auto" w:fill="auto"/>
          </w:tcPr>
          <w:p w14:paraId="0972A000" w14:textId="77777777" w:rsidR="00EF10EA" w:rsidRPr="002029AF" w:rsidRDefault="00EF10EA" w:rsidP="00780B21">
            <w:pPr>
              <w:pStyle w:val="ARtabletext"/>
              <w:spacing w:before="60" w:after="40"/>
              <w:rPr>
                <w:i/>
              </w:rPr>
            </w:pPr>
            <w:r w:rsidRPr="002029AF">
              <w:rPr>
                <w:i/>
              </w:rPr>
              <w:t>Carers Recognition Act 2012</w:t>
            </w:r>
          </w:p>
        </w:tc>
        <w:tc>
          <w:tcPr>
            <w:tcW w:w="3974" w:type="dxa"/>
            <w:shd w:val="clear" w:color="auto" w:fill="auto"/>
          </w:tcPr>
          <w:p w14:paraId="0D70D534" w14:textId="24356A2D" w:rsidR="00EF10EA" w:rsidRPr="002029AF" w:rsidRDefault="009730F5" w:rsidP="00780B21">
            <w:pPr>
              <w:pStyle w:val="ARtabletextright"/>
              <w:spacing w:before="60" w:after="40"/>
            </w:pPr>
            <w:r>
              <w:fldChar w:fldCharType="begin"/>
            </w:r>
            <w:r>
              <w:instrText xml:space="preserve"> PAGEREF _Ref112853909 \h </w:instrText>
            </w:r>
            <w:r>
              <w:fldChar w:fldCharType="separate"/>
            </w:r>
            <w:r w:rsidR="00C213B3">
              <w:rPr>
                <w:noProof/>
              </w:rPr>
              <w:t>104</w:t>
            </w:r>
            <w:r>
              <w:fldChar w:fldCharType="end"/>
            </w:r>
          </w:p>
        </w:tc>
      </w:tr>
      <w:tr w:rsidR="00EF10EA" w:rsidRPr="002029AF" w14:paraId="333A64CA" w14:textId="77777777" w:rsidTr="00286C94">
        <w:trPr>
          <w:cantSplit/>
        </w:trPr>
        <w:tc>
          <w:tcPr>
            <w:tcW w:w="5665" w:type="dxa"/>
            <w:shd w:val="clear" w:color="auto" w:fill="auto"/>
          </w:tcPr>
          <w:p w14:paraId="41E52D26" w14:textId="77777777" w:rsidR="00EF10EA" w:rsidRPr="002029AF" w:rsidRDefault="00EF10EA" w:rsidP="00780B21">
            <w:pPr>
              <w:pStyle w:val="ARtabletext"/>
              <w:spacing w:before="60" w:after="40"/>
              <w:rPr>
                <w:i/>
              </w:rPr>
            </w:pPr>
            <w:r w:rsidRPr="002029AF">
              <w:rPr>
                <w:i/>
              </w:rPr>
              <w:t>Cemeteries and Crematoria Act 2003</w:t>
            </w:r>
          </w:p>
        </w:tc>
        <w:tc>
          <w:tcPr>
            <w:tcW w:w="3974" w:type="dxa"/>
            <w:shd w:val="clear" w:color="auto" w:fill="auto"/>
          </w:tcPr>
          <w:p w14:paraId="1001E1A6" w14:textId="4BF7807D" w:rsidR="00EF10EA" w:rsidRPr="002029AF" w:rsidRDefault="009730F5" w:rsidP="00780B21">
            <w:pPr>
              <w:pStyle w:val="ARtabletextright"/>
              <w:spacing w:before="60" w:after="40"/>
            </w:pPr>
            <w:r>
              <w:fldChar w:fldCharType="begin"/>
            </w:r>
            <w:r>
              <w:instrText xml:space="preserve"> PAGEREF _Ref21960028 \h </w:instrText>
            </w:r>
            <w:r>
              <w:fldChar w:fldCharType="separate"/>
            </w:r>
            <w:r w:rsidR="00C213B3">
              <w:rPr>
                <w:noProof/>
              </w:rPr>
              <w:t>105</w:t>
            </w:r>
            <w:r>
              <w:fldChar w:fldCharType="end"/>
            </w:r>
          </w:p>
        </w:tc>
      </w:tr>
      <w:tr w:rsidR="00EF10EA" w:rsidRPr="002029AF" w14:paraId="4ADCB5A5" w14:textId="77777777" w:rsidTr="00286C94">
        <w:trPr>
          <w:cantSplit/>
        </w:trPr>
        <w:tc>
          <w:tcPr>
            <w:tcW w:w="5665" w:type="dxa"/>
            <w:shd w:val="clear" w:color="auto" w:fill="auto"/>
          </w:tcPr>
          <w:p w14:paraId="623957CC" w14:textId="77777777" w:rsidR="00EF10EA" w:rsidRPr="002029AF" w:rsidRDefault="00EF10EA" w:rsidP="00780B21">
            <w:pPr>
              <w:pStyle w:val="ARtabletext"/>
              <w:spacing w:before="60" w:after="40"/>
              <w:rPr>
                <w:i/>
              </w:rPr>
            </w:pPr>
            <w:r w:rsidRPr="002029AF">
              <w:rPr>
                <w:i/>
              </w:rPr>
              <w:t>Disability Act 2006</w:t>
            </w:r>
          </w:p>
        </w:tc>
        <w:tc>
          <w:tcPr>
            <w:tcW w:w="3974" w:type="dxa"/>
            <w:shd w:val="clear" w:color="auto" w:fill="auto"/>
          </w:tcPr>
          <w:p w14:paraId="4CEA12B6" w14:textId="070AACB3" w:rsidR="00EF10EA" w:rsidRPr="002029AF" w:rsidRDefault="009730F5" w:rsidP="00780B21">
            <w:pPr>
              <w:pStyle w:val="ARtabletextright"/>
              <w:spacing w:before="60" w:after="40"/>
            </w:pPr>
            <w:r>
              <w:fldChar w:fldCharType="begin"/>
            </w:r>
            <w:r>
              <w:instrText xml:space="preserve"> PAGEREF _Ref21960035 \h </w:instrText>
            </w:r>
            <w:r>
              <w:fldChar w:fldCharType="separate"/>
            </w:r>
            <w:r w:rsidR="00C213B3">
              <w:rPr>
                <w:noProof/>
              </w:rPr>
              <w:t>105</w:t>
            </w:r>
            <w:r>
              <w:fldChar w:fldCharType="end"/>
            </w:r>
          </w:p>
        </w:tc>
      </w:tr>
      <w:tr w:rsidR="00D17FF3" w:rsidRPr="002029AF" w14:paraId="6D995BAF" w14:textId="77777777" w:rsidTr="00286C94">
        <w:trPr>
          <w:cantSplit/>
        </w:trPr>
        <w:tc>
          <w:tcPr>
            <w:tcW w:w="5665" w:type="dxa"/>
            <w:shd w:val="clear" w:color="auto" w:fill="auto"/>
          </w:tcPr>
          <w:p w14:paraId="7A15F014" w14:textId="77B3224B" w:rsidR="00D17FF3" w:rsidRPr="002029AF" w:rsidRDefault="002862D8" w:rsidP="00780B21">
            <w:pPr>
              <w:pStyle w:val="ARtabletext"/>
              <w:spacing w:before="60" w:after="40"/>
              <w:rPr>
                <w:i/>
              </w:rPr>
            </w:pPr>
            <w:r w:rsidRPr="002862D8">
              <w:rPr>
                <w:i/>
              </w:rPr>
              <w:t>Drugs, Poisons and Controlled Substances Act 1981</w:t>
            </w:r>
          </w:p>
        </w:tc>
        <w:tc>
          <w:tcPr>
            <w:tcW w:w="3974" w:type="dxa"/>
            <w:shd w:val="clear" w:color="auto" w:fill="auto"/>
          </w:tcPr>
          <w:p w14:paraId="36A8322B" w14:textId="111373AE" w:rsidR="00D17FF3" w:rsidRDefault="00872A01" w:rsidP="00780B21">
            <w:pPr>
              <w:pStyle w:val="ARtabletextright"/>
              <w:spacing w:before="60" w:after="40"/>
            </w:pPr>
            <w:r>
              <w:fldChar w:fldCharType="begin"/>
            </w:r>
            <w:r>
              <w:instrText xml:space="preserve"> PAGEREF _Ref113270625 \h </w:instrText>
            </w:r>
            <w:r>
              <w:fldChar w:fldCharType="separate"/>
            </w:r>
            <w:r w:rsidR="00C213B3">
              <w:rPr>
                <w:noProof/>
              </w:rPr>
              <w:t>105</w:t>
            </w:r>
            <w:r>
              <w:fldChar w:fldCharType="end"/>
            </w:r>
          </w:p>
        </w:tc>
      </w:tr>
      <w:tr w:rsidR="00EF10EA" w:rsidRPr="002029AF" w14:paraId="44B3D504" w14:textId="77777777" w:rsidTr="00286C94">
        <w:trPr>
          <w:cantSplit/>
        </w:trPr>
        <w:tc>
          <w:tcPr>
            <w:tcW w:w="5665" w:type="dxa"/>
            <w:shd w:val="clear" w:color="auto" w:fill="auto"/>
          </w:tcPr>
          <w:p w14:paraId="10315981" w14:textId="77777777" w:rsidR="00EF10EA" w:rsidRPr="002029AF" w:rsidRDefault="00EF10EA" w:rsidP="00780B21">
            <w:pPr>
              <w:pStyle w:val="ARtabletext"/>
              <w:spacing w:before="60" w:after="40"/>
              <w:rPr>
                <w:i/>
              </w:rPr>
            </w:pPr>
            <w:r w:rsidRPr="002029AF">
              <w:rPr>
                <w:i/>
              </w:rPr>
              <w:t>Financial Management Act 1994</w:t>
            </w:r>
          </w:p>
        </w:tc>
        <w:tc>
          <w:tcPr>
            <w:tcW w:w="3974" w:type="dxa"/>
            <w:shd w:val="clear" w:color="auto" w:fill="auto"/>
          </w:tcPr>
          <w:p w14:paraId="5043662E" w14:textId="52ECB00A" w:rsidR="00EF10EA" w:rsidRPr="002029AF" w:rsidRDefault="009179F6" w:rsidP="00780B21">
            <w:pPr>
              <w:pStyle w:val="ARtabletextright"/>
              <w:spacing w:before="60" w:after="40"/>
            </w:pPr>
            <w:r>
              <w:fldChar w:fldCharType="begin"/>
            </w:r>
            <w:r>
              <w:instrText xml:space="preserve"> PAGEREF ResponsibleBodyDeclaration \h </w:instrText>
            </w:r>
            <w:r>
              <w:fldChar w:fldCharType="separate"/>
            </w:r>
            <w:r w:rsidR="00C213B3">
              <w:rPr>
                <w:noProof/>
              </w:rPr>
              <w:t>7</w:t>
            </w:r>
            <w:r>
              <w:fldChar w:fldCharType="end"/>
            </w:r>
            <w:r w:rsidR="001469B8">
              <w:t xml:space="preserve">, </w:t>
            </w:r>
            <w:r w:rsidR="001469B8">
              <w:fldChar w:fldCharType="begin"/>
            </w:r>
            <w:r w:rsidR="001469B8">
              <w:instrText xml:space="preserve"> PAGEREF _Ref112853992 \h </w:instrText>
            </w:r>
            <w:r w:rsidR="001469B8">
              <w:fldChar w:fldCharType="separate"/>
            </w:r>
            <w:r w:rsidR="00C213B3">
              <w:rPr>
                <w:noProof/>
              </w:rPr>
              <w:t>59</w:t>
            </w:r>
            <w:r w:rsidR="001469B8">
              <w:fldChar w:fldCharType="end"/>
            </w:r>
            <w:r w:rsidR="001469B8">
              <w:t xml:space="preserve">, </w:t>
            </w:r>
            <w:r w:rsidR="001469B8">
              <w:fldChar w:fldCharType="begin"/>
            </w:r>
            <w:r w:rsidR="001469B8">
              <w:instrText xml:space="preserve"> PAGEREF _Ref112854010 \h </w:instrText>
            </w:r>
            <w:r w:rsidR="001469B8">
              <w:fldChar w:fldCharType="separate"/>
            </w:r>
            <w:r w:rsidR="00C213B3">
              <w:rPr>
                <w:noProof/>
              </w:rPr>
              <w:t>67</w:t>
            </w:r>
            <w:r w:rsidR="001469B8">
              <w:fldChar w:fldCharType="end"/>
            </w:r>
            <w:r w:rsidR="004B7C2D">
              <w:t xml:space="preserve">, </w:t>
            </w:r>
            <w:r w:rsidR="00082E36">
              <w:fldChar w:fldCharType="begin"/>
            </w:r>
            <w:r w:rsidR="00082E36">
              <w:instrText xml:space="preserve"> PAGEREF _Ref112854059 \h </w:instrText>
            </w:r>
            <w:r w:rsidR="00082E36">
              <w:fldChar w:fldCharType="separate"/>
            </w:r>
            <w:r w:rsidR="00C213B3">
              <w:rPr>
                <w:noProof/>
              </w:rPr>
              <w:t>107</w:t>
            </w:r>
            <w:r w:rsidR="00082E36">
              <w:fldChar w:fldCharType="end"/>
            </w:r>
            <w:r w:rsidR="00082E36">
              <w:t>,</w:t>
            </w:r>
            <w:r w:rsidR="0079423B" w:rsidRPr="002029AF">
              <w:t xml:space="preserve"> </w:t>
            </w:r>
            <w:r w:rsidR="004D5EC1">
              <w:fldChar w:fldCharType="begin"/>
            </w:r>
            <w:r w:rsidR="004D5EC1">
              <w:instrText xml:space="preserve"> PAGEREF Declaration_in_the_financial_statements \h </w:instrText>
            </w:r>
            <w:r w:rsidR="004D5EC1">
              <w:fldChar w:fldCharType="separate"/>
            </w:r>
            <w:r w:rsidR="00C213B3">
              <w:rPr>
                <w:noProof/>
              </w:rPr>
              <w:t>123</w:t>
            </w:r>
            <w:r w:rsidR="004D5EC1">
              <w:fldChar w:fldCharType="end"/>
            </w:r>
          </w:p>
        </w:tc>
      </w:tr>
      <w:tr w:rsidR="00EF10EA" w:rsidRPr="002029AF" w14:paraId="4E64C944" w14:textId="77777777" w:rsidTr="00286C94">
        <w:trPr>
          <w:cantSplit/>
        </w:trPr>
        <w:tc>
          <w:tcPr>
            <w:tcW w:w="5665" w:type="dxa"/>
            <w:shd w:val="clear" w:color="auto" w:fill="auto"/>
          </w:tcPr>
          <w:p w14:paraId="41FFE048" w14:textId="77777777" w:rsidR="00EF10EA" w:rsidRPr="002029AF" w:rsidRDefault="00EF10EA" w:rsidP="00780B21">
            <w:pPr>
              <w:pStyle w:val="ARtabletext"/>
              <w:spacing w:before="60" w:after="40"/>
              <w:rPr>
                <w:i/>
              </w:rPr>
            </w:pPr>
            <w:r w:rsidRPr="002029AF">
              <w:rPr>
                <w:i/>
              </w:rPr>
              <w:t>Freedom of Information Act 1982</w:t>
            </w:r>
          </w:p>
        </w:tc>
        <w:tc>
          <w:tcPr>
            <w:tcW w:w="3974" w:type="dxa"/>
            <w:shd w:val="clear" w:color="auto" w:fill="auto"/>
          </w:tcPr>
          <w:p w14:paraId="104BFE3B" w14:textId="3AF27163" w:rsidR="00EF10EA" w:rsidRPr="002029AF" w:rsidRDefault="003847EA" w:rsidP="00780B21">
            <w:pPr>
              <w:pStyle w:val="ARtabletextright"/>
              <w:spacing w:before="60" w:after="40"/>
            </w:pPr>
            <w:r>
              <w:fldChar w:fldCharType="begin"/>
            </w:r>
            <w:r>
              <w:instrText xml:space="preserve"> PAGEREF _Ref112855280 \h </w:instrText>
            </w:r>
            <w:r>
              <w:fldChar w:fldCharType="separate"/>
            </w:r>
            <w:r w:rsidR="00C213B3">
              <w:rPr>
                <w:noProof/>
              </w:rPr>
              <w:t>103</w:t>
            </w:r>
            <w:r>
              <w:fldChar w:fldCharType="end"/>
            </w:r>
          </w:p>
        </w:tc>
      </w:tr>
      <w:tr w:rsidR="00FF24A8" w:rsidRPr="002029AF" w14:paraId="7009EB57" w14:textId="77777777" w:rsidTr="00286C94">
        <w:trPr>
          <w:cantSplit/>
        </w:trPr>
        <w:tc>
          <w:tcPr>
            <w:tcW w:w="5665" w:type="dxa"/>
            <w:shd w:val="clear" w:color="auto" w:fill="auto"/>
          </w:tcPr>
          <w:p w14:paraId="1063447A" w14:textId="326CACD0" w:rsidR="00FF24A8" w:rsidRPr="002029AF" w:rsidRDefault="00FF24A8" w:rsidP="00780B21">
            <w:pPr>
              <w:pStyle w:val="ARtabletext"/>
              <w:spacing w:before="60" w:after="40"/>
              <w:rPr>
                <w:i/>
              </w:rPr>
            </w:pPr>
            <w:r>
              <w:rPr>
                <w:i/>
              </w:rPr>
              <w:t>Gender Equality Act 2020</w:t>
            </w:r>
          </w:p>
        </w:tc>
        <w:tc>
          <w:tcPr>
            <w:tcW w:w="3974" w:type="dxa"/>
            <w:shd w:val="clear" w:color="auto" w:fill="auto"/>
          </w:tcPr>
          <w:p w14:paraId="4B46A3E2" w14:textId="24D3BE52" w:rsidR="00FF24A8" w:rsidRDefault="00780B21" w:rsidP="00780B21">
            <w:pPr>
              <w:pStyle w:val="ARtabletextright"/>
              <w:spacing w:before="60" w:after="40"/>
            </w:pPr>
            <w:r>
              <w:fldChar w:fldCharType="begin"/>
            </w:r>
            <w:r>
              <w:instrText xml:space="preserve"> PAGEREF _Ref113702756 \h </w:instrText>
            </w:r>
            <w:r>
              <w:fldChar w:fldCharType="separate"/>
            </w:r>
            <w:r w:rsidR="00C213B3">
              <w:rPr>
                <w:noProof/>
              </w:rPr>
              <w:t>81</w:t>
            </w:r>
            <w:r>
              <w:fldChar w:fldCharType="end"/>
            </w:r>
          </w:p>
        </w:tc>
      </w:tr>
      <w:tr w:rsidR="00EF10EA" w:rsidRPr="002029AF" w14:paraId="6CFE6377" w14:textId="77777777" w:rsidTr="00286C94">
        <w:trPr>
          <w:cantSplit/>
        </w:trPr>
        <w:tc>
          <w:tcPr>
            <w:tcW w:w="5665" w:type="dxa"/>
            <w:shd w:val="clear" w:color="auto" w:fill="auto"/>
          </w:tcPr>
          <w:p w14:paraId="0B8A1983" w14:textId="77777777" w:rsidR="00EF10EA" w:rsidRPr="002029AF" w:rsidRDefault="00EF10EA" w:rsidP="00780B21">
            <w:pPr>
              <w:pStyle w:val="ARtabletext"/>
              <w:spacing w:before="60" w:after="40"/>
              <w:rPr>
                <w:i/>
              </w:rPr>
            </w:pPr>
            <w:r w:rsidRPr="002A1EFD">
              <w:rPr>
                <w:i/>
              </w:rPr>
              <w:t>Local Jobs First Act 2003</w:t>
            </w:r>
          </w:p>
        </w:tc>
        <w:tc>
          <w:tcPr>
            <w:tcW w:w="3974" w:type="dxa"/>
            <w:shd w:val="clear" w:color="auto" w:fill="auto"/>
          </w:tcPr>
          <w:p w14:paraId="4C0167F8" w14:textId="2B138FCA" w:rsidR="00EF10EA" w:rsidRPr="002029AF" w:rsidRDefault="003847EA" w:rsidP="00780B21">
            <w:pPr>
              <w:pStyle w:val="ARtabletextright"/>
              <w:spacing w:before="60" w:after="40"/>
            </w:pPr>
            <w:r>
              <w:fldChar w:fldCharType="begin"/>
            </w:r>
            <w:r>
              <w:instrText xml:space="preserve"> PAGEREF _Ref84240846 \h </w:instrText>
            </w:r>
            <w:r>
              <w:fldChar w:fldCharType="separate"/>
            </w:r>
            <w:r w:rsidR="00C213B3">
              <w:rPr>
                <w:noProof/>
              </w:rPr>
              <w:t>89</w:t>
            </w:r>
            <w:r>
              <w:fldChar w:fldCharType="end"/>
            </w:r>
          </w:p>
        </w:tc>
      </w:tr>
      <w:tr w:rsidR="00EF10EA" w:rsidRPr="002029AF" w14:paraId="68340F30" w14:textId="77777777" w:rsidTr="00286C94">
        <w:trPr>
          <w:cantSplit/>
        </w:trPr>
        <w:tc>
          <w:tcPr>
            <w:tcW w:w="5665" w:type="dxa"/>
            <w:shd w:val="clear" w:color="auto" w:fill="auto"/>
          </w:tcPr>
          <w:p w14:paraId="763ACC48" w14:textId="77777777" w:rsidR="00EF10EA" w:rsidRPr="002A1EFD" w:rsidRDefault="00EF10EA" w:rsidP="00780B21">
            <w:pPr>
              <w:pStyle w:val="ARtabletext"/>
              <w:spacing w:before="60" w:after="40"/>
              <w:rPr>
                <w:i/>
              </w:rPr>
            </w:pPr>
            <w:r w:rsidRPr="00D52510">
              <w:rPr>
                <w:i/>
              </w:rPr>
              <w:t>Occupational Health and Safety Act 2004</w:t>
            </w:r>
          </w:p>
        </w:tc>
        <w:tc>
          <w:tcPr>
            <w:tcW w:w="3974" w:type="dxa"/>
            <w:shd w:val="clear" w:color="auto" w:fill="auto"/>
          </w:tcPr>
          <w:p w14:paraId="48BBD054" w14:textId="52735B75" w:rsidR="00EF10EA" w:rsidRDefault="005650B4" w:rsidP="00780B21">
            <w:pPr>
              <w:pStyle w:val="ARtabletextright"/>
              <w:spacing w:before="60" w:after="40"/>
            </w:pPr>
            <w:r>
              <w:fldChar w:fldCharType="begin"/>
            </w:r>
            <w:r>
              <w:instrText xml:space="preserve"> PAGEREF _Ref84252320 \h </w:instrText>
            </w:r>
            <w:r>
              <w:fldChar w:fldCharType="separate"/>
            </w:r>
            <w:r w:rsidR="00C213B3">
              <w:rPr>
                <w:noProof/>
              </w:rPr>
              <w:t>85</w:t>
            </w:r>
            <w:r>
              <w:fldChar w:fldCharType="end"/>
            </w:r>
          </w:p>
        </w:tc>
      </w:tr>
      <w:tr w:rsidR="00EF10EA" w:rsidRPr="00502EC9" w14:paraId="1B7F5D87" w14:textId="77777777" w:rsidTr="00286C94">
        <w:trPr>
          <w:cantSplit/>
        </w:trPr>
        <w:tc>
          <w:tcPr>
            <w:tcW w:w="5665" w:type="dxa"/>
            <w:shd w:val="clear" w:color="auto" w:fill="auto"/>
          </w:tcPr>
          <w:p w14:paraId="30379B20" w14:textId="77777777" w:rsidR="00EF10EA" w:rsidRPr="00502EC9" w:rsidRDefault="00EF10EA" w:rsidP="00780B21">
            <w:pPr>
              <w:pStyle w:val="ARtabletext"/>
              <w:spacing w:before="60" w:after="40"/>
              <w:rPr>
                <w:i/>
              </w:rPr>
            </w:pPr>
            <w:r w:rsidRPr="00502EC9">
              <w:rPr>
                <w:i/>
              </w:rPr>
              <w:t>Public Administration Act 2004</w:t>
            </w:r>
          </w:p>
        </w:tc>
        <w:tc>
          <w:tcPr>
            <w:tcW w:w="3974" w:type="dxa"/>
            <w:shd w:val="clear" w:color="auto" w:fill="auto"/>
          </w:tcPr>
          <w:p w14:paraId="6046E9AC" w14:textId="2496289E" w:rsidR="00EF10EA" w:rsidRPr="00502EC9" w:rsidRDefault="00D07A52" w:rsidP="00780B21">
            <w:pPr>
              <w:pStyle w:val="ARtabletextright"/>
              <w:spacing w:before="60" w:after="40"/>
            </w:pPr>
            <w:r>
              <w:fldChar w:fldCharType="begin"/>
            </w:r>
            <w:r>
              <w:instrText xml:space="preserve"> PAGEREF _Ref112855384 \h </w:instrText>
            </w:r>
            <w:r>
              <w:fldChar w:fldCharType="separate"/>
            </w:r>
            <w:r w:rsidR="00C213B3">
              <w:rPr>
                <w:noProof/>
              </w:rPr>
              <w:t>8</w:t>
            </w:r>
            <w:r>
              <w:fldChar w:fldCharType="end"/>
            </w:r>
            <w:r w:rsidR="00043283">
              <w:t xml:space="preserve">, </w:t>
            </w:r>
            <w:r w:rsidR="00043283">
              <w:fldChar w:fldCharType="begin"/>
            </w:r>
            <w:r w:rsidR="00043283">
              <w:instrText xml:space="preserve"> PAGEREF _Ref84240929 \h </w:instrText>
            </w:r>
            <w:r w:rsidR="00043283">
              <w:fldChar w:fldCharType="separate"/>
            </w:r>
            <w:r w:rsidR="00C213B3">
              <w:rPr>
                <w:noProof/>
              </w:rPr>
              <w:t>68</w:t>
            </w:r>
            <w:r w:rsidR="00043283">
              <w:fldChar w:fldCharType="end"/>
            </w:r>
            <w:r w:rsidR="00C0481D">
              <w:t>,</w:t>
            </w:r>
            <w:r w:rsidR="0079423B">
              <w:t xml:space="preserve"> </w:t>
            </w:r>
            <w:r w:rsidR="0079423B">
              <w:fldChar w:fldCharType="begin"/>
            </w:r>
            <w:r w:rsidR="0079423B">
              <w:instrText xml:space="preserve"> PAGEREF _Ref112963820 \h </w:instrText>
            </w:r>
            <w:r w:rsidR="0079423B">
              <w:fldChar w:fldCharType="separate"/>
            </w:r>
            <w:r w:rsidR="00C213B3">
              <w:rPr>
                <w:noProof/>
              </w:rPr>
              <w:t>130</w:t>
            </w:r>
            <w:r w:rsidR="0079423B">
              <w:fldChar w:fldCharType="end"/>
            </w:r>
          </w:p>
        </w:tc>
      </w:tr>
      <w:tr w:rsidR="00EF10EA" w:rsidRPr="002029AF" w14:paraId="7E849FB6" w14:textId="77777777" w:rsidTr="00286C94">
        <w:trPr>
          <w:cantSplit/>
        </w:trPr>
        <w:tc>
          <w:tcPr>
            <w:tcW w:w="5665" w:type="dxa"/>
            <w:shd w:val="clear" w:color="auto" w:fill="auto"/>
          </w:tcPr>
          <w:p w14:paraId="0033C90E" w14:textId="77777777" w:rsidR="00EF10EA" w:rsidRPr="002029AF" w:rsidRDefault="00EF10EA" w:rsidP="00780B21">
            <w:pPr>
              <w:pStyle w:val="ARtabletext"/>
              <w:spacing w:before="60" w:after="40"/>
              <w:rPr>
                <w:i/>
              </w:rPr>
            </w:pPr>
            <w:r w:rsidRPr="002029AF">
              <w:rPr>
                <w:i/>
              </w:rPr>
              <w:t>Public Health and Wellbeing Act 2008</w:t>
            </w:r>
          </w:p>
        </w:tc>
        <w:tc>
          <w:tcPr>
            <w:tcW w:w="3974" w:type="dxa"/>
            <w:shd w:val="clear" w:color="auto" w:fill="auto"/>
          </w:tcPr>
          <w:p w14:paraId="5DB4DCB9" w14:textId="1AC299E0" w:rsidR="00EF10EA" w:rsidRPr="002029AF" w:rsidRDefault="00256387" w:rsidP="00780B21">
            <w:pPr>
              <w:pStyle w:val="ARtabletextright"/>
              <w:spacing w:before="60" w:after="40"/>
            </w:pPr>
            <w:r>
              <w:fldChar w:fldCharType="begin"/>
            </w:r>
            <w:r>
              <w:instrText xml:space="preserve"> PAGEREF _Ref112855610 \h </w:instrText>
            </w:r>
            <w:r>
              <w:fldChar w:fldCharType="separate"/>
            </w:r>
            <w:r w:rsidR="00C213B3">
              <w:rPr>
                <w:noProof/>
              </w:rPr>
              <w:t>17</w:t>
            </w:r>
            <w:r>
              <w:fldChar w:fldCharType="end"/>
            </w:r>
            <w:r>
              <w:t xml:space="preserve">, </w:t>
            </w:r>
            <w:r w:rsidR="00DD10A8">
              <w:fldChar w:fldCharType="begin"/>
            </w:r>
            <w:r w:rsidR="00DD10A8">
              <w:instrText xml:space="preserve"> PAGEREF _Ref21960989 \h </w:instrText>
            </w:r>
            <w:r w:rsidR="00DD10A8">
              <w:fldChar w:fldCharType="separate"/>
            </w:r>
            <w:r w:rsidR="00C213B3">
              <w:rPr>
                <w:noProof/>
              </w:rPr>
              <w:t>106</w:t>
            </w:r>
            <w:r w:rsidR="00DD10A8">
              <w:fldChar w:fldCharType="end"/>
            </w:r>
          </w:p>
        </w:tc>
      </w:tr>
      <w:tr w:rsidR="00EF10EA" w:rsidRPr="002029AF" w14:paraId="6BB6D9FD" w14:textId="77777777" w:rsidTr="00286C94">
        <w:trPr>
          <w:cantSplit/>
        </w:trPr>
        <w:tc>
          <w:tcPr>
            <w:tcW w:w="5665" w:type="dxa"/>
            <w:shd w:val="clear" w:color="auto" w:fill="auto"/>
          </w:tcPr>
          <w:p w14:paraId="40F01708" w14:textId="77777777" w:rsidR="00EF10EA" w:rsidRPr="002029AF" w:rsidRDefault="00EF10EA" w:rsidP="00780B21">
            <w:pPr>
              <w:pStyle w:val="ARtabletext"/>
              <w:spacing w:before="60" w:after="40"/>
              <w:rPr>
                <w:i/>
              </w:rPr>
            </w:pPr>
            <w:r w:rsidRPr="002029AF">
              <w:rPr>
                <w:i/>
              </w:rPr>
              <w:t>Public Interest Disclosure</w:t>
            </w:r>
            <w:r>
              <w:rPr>
                <w:i/>
              </w:rPr>
              <w:t>s</w:t>
            </w:r>
            <w:r w:rsidRPr="002029AF">
              <w:rPr>
                <w:i/>
              </w:rPr>
              <w:t xml:space="preserve"> Act 2012</w:t>
            </w:r>
          </w:p>
        </w:tc>
        <w:tc>
          <w:tcPr>
            <w:tcW w:w="3974" w:type="dxa"/>
            <w:shd w:val="clear" w:color="auto" w:fill="auto"/>
          </w:tcPr>
          <w:p w14:paraId="55B068F1" w14:textId="326AFCF9" w:rsidR="00EF10EA" w:rsidRPr="002029AF" w:rsidRDefault="00B95D80" w:rsidP="00780B21">
            <w:pPr>
              <w:pStyle w:val="ARtabletextright"/>
              <w:spacing w:before="60" w:after="40"/>
            </w:pPr>
            <w:r>
              <w:fldChar w:fldCharType="begin"/>
            </w:r>
            <w:r>
              <w:instrText xml:space="preserve"> PAGEREF _Ref21956761 \h </w:instrText>
            </w:r>
            <w:r>
              <w:fldChar w:fldCharType="separate"/>
            </w:r>
            <w:r w:rsidR="00C213B3">
              <w:rPr>
                <w:noProof/>
              </w:rPr>
              <w:t>103</w:t>
            </w:r>
            <w:r>
              <w:fldChar w:fldCharType="end"/>
            </w:r>
          </w:p>
        </w:tc>
      </w:tr>
      <w:bookmarkEnd w:id="656"/>
      <w:bookmarkEnd w:id="682"/>
      <w:bookmarkEnd w:id="683"/>
      <w:bookmarkEnd w:id="684"/>
      <w:bookmarkEnd w:id="685"/>
      <w:bookmarkEnd w:id="686"/>
    </w:tbl>
    <w:p w14:paraId="480953A9" w14:textId="30A722A8" w:rsidR="00EF6835" w:rsidRPr="00E273CE" w:rsidRDefault="00EF6835" w:rsidP="00B72231">
      <w:pPr>
        <w:pStyle w:val="ARbody"/>
        <w:spacing w:after="0"/>
        <w:rPr>
          <w:sz w:val="16"/>
          <w:szCs w:val="16"/>
        </w:rPr>
      </w:pPr>
    </w:p>
    <w:sectPr w:rsidR="00EF6835" w:rsidRPr="00E273CE" w:rsidSect="001E1976">
      <w:headerReference w:type="first" r:id="rId92"/>
      <w:footerReference w:type="first" r:id="rId93"/>
      <w:footnotePr>
        <w:numFmt w:val="lowerLetter"/>
        <w:numRestart w:val="eachPage"/>
      </w:footnotePr>
      <w:endnotePr>
        <w:numFmt w:val="decimal"/>
      </w:endnotePr>
      <w:pgSz w:w="11900" w:h="16840" w:code="9"/>
      <w:pgMar w:top="1985" w:right="1134" w:bottom="851" w:left="1134" w:header="510" w:footer="340" w:gutter="0"/>
      <w:cols w:space="708"/>
      <w:docGrid w:linePitch="299"/>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3CB47" w14:textId="77777777" w:rsidR="00EA4444" w:rsidRDefault="00EA4444" w:rsidP="00CF72D5">
      <w:pPr>
        <w:spacing w:after="0" w:line="240" w:lineRule="auto"/>
      </w:pPr>
      <w:r>
        <w:separator/>
      </w:r>
    </w:p>
    <w:p w14:paraId="149A063D" w14:textId="77777777" w:rsidR="00EA4444" w:rsidRDefault="00EA4444"/>
  </w:endnote>
  <w:endnote w:type="continuationSeparator" w:id="0">
    <w:p w14:paraId="0CDF7573" w14:textId="77777777" w:rsidR="00EA4444" w:rsidRDefault="00EA4444" w:rsidP="00CF72D5">
      <w:pPr>
        <w:spacing w:after="0" w:line="240" w:lineRule="auto"/>
      </w:pPr>
      <w:r>
        <w:continuationSeparator/>
      </w:r>
    </w:p>
    <w:p w14:paraId="73A987A1" w14:textId="77777777" w:rsidR="00EA4444" w:rsidRDefault="00EA4444"/>
  </w:endnote>
  <w:endnote w:type="continuationNotice" w:id="1">
    <w:p w14:paraId="290DBAF3" w14:textId="77777777" w:rsidR="00EA4444" w:rsidRDefault="00EA4444">
      <w:pPr>
        <w:spacing w:after="0" w:line="240" w:lineRule="auto"/>
      </w:pPr>
    </w:p>
    <w:p w14:paraId="0EC9B3E1" w14:textId="77777777" w:rsidR="00EA4444" w:rsidRDefault="00EA44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ont583">
    <w:altName w:val="Calibri"/>
    <w:panose1 w:val="00000000000000000000"/>
    <w:charset w:val="00"/>
    <w:family w:val="auto"/>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rande"/>
    <w:charset w:val="00"/>
    <w:family w:val="auto"/>
    <w:pitch w:val="variable"/>
    <w:sig w:usb0="E1001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vantGarde Bk BT">
    <w:altName w:val="Arial"/>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MT">
    <w:altName w:val="Klee One"/>
    <w:panose1 w:val="00000000000000000000"/>
    <w:charset w:val="4D"/>
    <w:family w:val="auto"/>
    <w:notTrueType/>
    <w:pitch w:val="default"/>
    <w:sig w:usb0="00000003" w:usb1="00000000" w:usb2="00000000" w:usb3="00000000" w:csb0="00000001" w:csb1="00000000"/>
  </w:font>
  <w:font w:name="Arial-BoldMT">
    <w:altName w:val="Calibri"/>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F0C8" w14:textId="77777777" w:rsidR="00AC6879" w:rsidRDefault="00AC687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AFFC2" w14:textId="77777777" w:rsidR="00EF6835" w:rsidRDefault="00EF683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2DE8F" w14:textId="77777777" w:rsidR="00222D72" w:rsidRDefault="00222D7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32589" w14:textId="77777777" w:rsidR="00222D72" w:rsidRDefault="00222D72">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9AFDB" w14:textId="77777777" w:rsidR="00222D72" w:rsidRDefault="00222D7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161E6" w14:textId="77777777" w:rsidR="00CE75D4" w:rsidRDefault="00CE75D4">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6BC32" w14:textId="77777777" w:rsidR="00CE75D4" w:rsidRDefault="00CE75D4">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4421C" w14:textId="77777777" w:rsidR="00CE75D4" w:rsidRDefault="00CE75D4">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4735" w14:textId="77777777" w:rsidR="00EF10EA" w:rsidRDefault="00EF10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91E0F" w14:textId="77777777" w:rsidR="007E11ED" w:rsidRDefault="007E11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9405" w14:textId="77777777" w:rsidR="007E11ED" w:rsidRDefault="007E11E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DDDA6" w14:textId="77777777" w:rsidR="007E11ED" w:rsidRDefault="007E11E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0EE3E" w14:textId="77777777" w:rsidR="00603B69" w:rsidRDefault="00603B6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AB968" w14:textId="77777777" w:rsidR="00AC6879" w:rsidRDefault="00AC687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EC6D" w14:textId="77777777" w:rsidR="00E701CA" w:rsidRDefault="00E701C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F43BD" w14:textId="77777777" w:rsidR="00E701CA" w:rsidRDefault="00E701C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E996C" w14:textId="77777777" w:rsidR="001A70B8" w:rsidRDefault="001A70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D2CEC" w14:textId="77777777" w:rsidR="00EA4444" w:rsidRPr="004E1997" w:rsidRDefault="00EA4444" w:rsidP="004E1997">
      <w:pPr>
        <w:spacing w:before="80" w:after="40" w:line="240" w:lineRule="auto"/>
        <w:rPr>
          <w:rFonts w:ascii="Arial" w:hAnsi="Arial" w:cs="Arial"/>
          <w:sz w:val="12"/>
          <w:szCs w:val="12"/>
        </w:rPr>
      </w:pPr>
      <w:r w:rsidRPr="009E5882">
        <w:rPr>
          <w:rFonts w:ascii="Arial" w:hAnsi="Arial" w:cs="Arial"/>
          <w:sz w:val="12"/>
          <w:szCs w:val="12"/>
        </w:rPr>
        <w:separator/>
      </w:r>
    </w:p>
  </w:footnote>
  <w:footnote w:type="continuationSeparator" w:id="0">
    <w:p w14:paraId="314E7AFA" w14:textId="77777777" w:rsidR="00EA4444" w:rsidRDefault="00EA4444" w:rsidP="00CF72D5">
      <w:pPr>
        <w:spacing w:after="0" w:line="240" w:lineRule="auto"/>
      </w:pPr>
      <w:r>
        <w:continuationSeparator/>
      </w:r>
    </w:p>
    <w:p w14:paraId="2AD0892F" w14:textId="77777777" w:rsidR="00EA4444" w:rsidRDefault="00EA4444"/>
  </w:footnote>
  <w:footnote w:type="continuationNotice" w:id="1">
    <w:p w14:paraId="2F4D65BE" w14:textId="77777777" w:rsidR="00EA4444" w:rsidRDefault="00EA4444">
      <w:pPr>
        <w:spacing w:after="0" w:line="240" w:lineRule="auto"/>
      </w:pPr>
    </w:p>
    <w:p w14:paraId="4744EBF6" w14:textId="77777777" w:rsidR="00EA4444" w:rsidRDefault="00EA4444"/>
  </w:footnote>
  <w:footnote w:id="2">
    <w:p w14:paraId="104DEAC5" w14:textId="6927A5AD" w:rsidR="00832F7D" w:rsidRPr="00B61891" w:rsidRDefault="00832F7D" w:rsidP="00B61891">
      <w:pPr>
        <w:pStyle w:val="FootnoteText"/>
        <w:rPr>
          <w:lang w:val="en-AU"/>
        </w:rPr>
      </w:pPr>
      <w:r>
        <w:rPr>
          <w:lang w:val="en-US"/>
        </w:rPr>
        <w:t>(</w:t>
      </w:r>
      <w:r w:rsidRPr="00000E7A">
        <w:footnoteRef/>
      </w:r>
      <w:r>
        <w:rPr>
          <w:lang w:val="en-US"/>
        </w:rPr>
        <w:t>)</w:t>
      </w:r>
      <w:r w:rsidRPr="00000E7A">
        <w:tab/>
      </w:r>
      <w:r w:rsidRPr="00832F7D">
        <w:t xml:space="preserve">The five leading categories </w:t>
      </w:r>
      <w:r w:rsidR="004344DF">
        <w:rPr>
          <w:lang w:val="en-AU"/>
        </w:rPr>
        <w:t>(</w:t>
      </w:r>
      <w:r w:rsidR="004344DF" w:rsidRPr="00832F7D">
        <w:t>cancer</w:t>
      </w:r>
      <w:r w:rsidR="004344DF">
        <w:rPr>
          <w:lang w:val="en-AU"/>
        </w:rPr>
        <w:t>;</w:t>
      </w:r>
      <w:r w:rsidR="004344DF" w:rsidRPr="00832F7D">
        <w:t xml:space="preserve"> cardiovascular diseases</w:t>
      </w:r>
      <w:r w:rsidR="004344DF">
        <w:rPr>
          <w:lang w:val="en-AU"/>
        </w:rPr>
        <w:t>;</w:t>
      </w:r>
      <w:r w:rsidR="004344DF" w:rsidRPr="00832F7D">
        <w:t xml:space="preserve"> musculoskeletal conditions</w:t>
      </w:r>
      <w:r w:rsidR="004344DF">
        <w:rPr>
          <w:lang w:val="en-AU"/>
        </w:rPr>
        <w:t>;</w:t>
      </w:r>
      <w:r w:rsidR="004344DF" w:rsidRPr="00832F7D">
        <w:t xml:space="preserve"> mental health conditions and substance use</w:t>
      </w:r>
      <w:r w:rsidR="00017488">
        <w:rPr>
          <w:lang w:val="en-AU"/>
        </w:rPr>
        <w:t>;</w:t>
      </w:r>
      <w:r w:rsidR="004344DF" w:rsidRPr="00832F7D">
        <w:t xml:space="preserve"> and injuries</w:t>
      </w:r>
      <w:r w:rsidR="00017488">
        <w:rPr>
          <w:lang w:val="en-AU"/>
        </w:rPr>
        <w:t>)</w:t>
      </w:r>
      <w:r w:rsidR="004344DF" w:rsidRPr="00832F7D">
        <w:t xml:space="preserve"> </w:t>
      </w:r>
      <w:r w:rsidRPr="00832F7D">
        <w:t xml:space="preserve">account for 65 per cent of the </w:t>
      </w:r>
      <w:r w:rsidR="001755BF">
        <w:rPr>
          <w:lang w:val="en-AU"/>
        </w:rPr>
        <w:t xml:space="preserve">total </w:t>
      </w:r>
      <w:r w:rsidRPr="00832F7D">
        <w:t xml:space="preserve">burden </w:t>
      </w:r>
      <w:r w:rsidR="001755BF">
        <w:rPr>
          <w:lang w:val="en-AU"/>
        </w:rPr>
        <w:t>of disease</w:t>
      </w:r>
      <w:r w:rsidR="00E06DB8">
        <w:rPr>
          <w:lang w:val="en-AU"/>
        </w:rPr>
        <w:t xml:space="preserve"> </w:t>
      </w:r>
      <w:r w:rsidR="00B61891">
        <w:rPr>
          <w:lang w:val="en-AU"/>
        </w:rPr>
        <w:t xml:space="preserve">in Australia </w:t>
      </w:r>
      <w:r w:rsidRPr="00832F7D">
        <w:t>–</w:t>
      </w:r>
      <w:r w:rsidR="00017488">
        <w:rPr>
          <w:lang w:val="en-AU"/>
        </w:rPr>
        <w:t xml:space="preserve"> </w:t>
      </w:r>
      <w:r w:rsidR="00B61891">
        <w:rPr>
          <w:lang w:val="en-AU"/>
        </w:rPr>
        <w:t xml:space="preserve">as reported in the </w:t>
      </w:r>
      <w:r w:rsidR="00B61891" w:rsidRPr="00B61891">
        <w:rPr>
          <w:i/>
          <w:iCs/>
          <w:lang w:val="en-AU"/>
        </w:rPr>
        <w:t>Victorian public health and wellbeing plan 2019–2023</w:t>
      </w:r>
      <w:r w:rsidR="00B61891">
        <w:rPr>
          <w:lang w:val="en-AU"/>
        </w:rPr>
        <w:t>.</w:t>
      </w:r>
    </w:p>
  </w:footnote>
  <w:footnote w:id="3">
    <w:p w14:paraId="31E502A9" w14:textId="494A412B" w:rsidR="002112F3" w:rsidRDefault="002112F3" w:rsidP="002112F3">
      <w:pPr>
        <w:pStyle w:val="FootnoteText"/>
        <w:rPr>
          <w:lang w:val="en-AU"/>
        </w:rPr>
      </w:pPr>
      <w:r>
        <w:rPr>
          <w:lang w:val="en-US"/>
        </w:rPr>
        <w:t>(</w:t>
      </w:r>
      <w:r w:rsidRPr="00000E7A">
        <w:footnoteRef/>
      </w:r>
      <w:r>
        <w:rPr>
          <w:lang w:val="en-US"/>
        </w:rPr>
        <w:t>)</w:t>
      </w:r>
      <w:r w:rsidRPr="00000E7A">
        <w:tab/>
      </w:r>
      <w:r w:rsidR="0092154E" w:rsidRPr="0092154E">
        <w:t>Transmission and Response Epidemiology Victoria</w:t>
      </w:r>
      <w:r w:rsidR="00964367">
        <w:rPr>
          <w:lang w:val="en-AU"/>
        </w:rPr>
        <w:t xml:space="preserve">, a </w:t>
      </w:r>
      <w:r w:rsidR="00E04C0E" w:rsidRPr="00E04C0E">
        <w:rPr>
          <w:lang w:val="en-AU"/>
        </w:rPr>
        <w:t xml:space="preserve">digital </w:t>
      </w:r>
      <w:r w:rsidR="00E04C0E">
        <w:rPr>
          <w:lang w:val="en-AU"/>
        </w:rPr>
        <w:t xml:space="preserve">contact </w:t>
      </w:r>
      <w:r w:rsidR="00E04C0E" w:rsidRPr="00E04C0E">
        <w:rPr>
          <w:lang w:val="en-AU"/>
        </w:rPr>
        <w:t>tracing system</w:t>
      </w:r>
      <w:r w:rsidRPr="004A0869">
        <w:t>.</w:t>
      </w:r>
    </w:p>
  </w:footnote>
  <w:footnote w:id="4">
    <w:p w14:paraId="54071399" w14:textId="50899B38" w:rsidR="007977E4" w:rsidRDefault="007977E4" w:rsidP="00AE7008">
      <w:pPr>
        <w:pStyle w:val="FootnoteText"/>
        <w:rPr>
          <w:lang w:val="en-AU"/>
        </w:rPr>
      </w:pPr>
      <w:r>
        <w:rPr>
          <w:lang w:val="en-US"/>
        </w:rPr>
        <w:t>(</w:t>
      </w:r>
      <w:r w:rsidRPr="00000E7A">
        <w:footnoteRef/>
      </w:r>
      <w:r>
        <w:rPr>
          <w:lang w:val="en-US"/>
        </w:rPr>
        <w:t>)</w:t>
      </w:r>
      <w:r w:rsidRPr="00000E7A">
        <w:tab/>
      </w:r>
      <w:r w:rsidR="00AE7008">
        <w:t>A total of 448,940 influenza vaccines were administered as part of the program.</w:t>
      </w:r>
      <w:r w:rsidR="003D69C7">
        <w:br/>
      </w:r>
      <w:r w:rsidR="00AE7008">
        <w:t xml:space="preserve">A total of 2,894,688 Victorians </w:t>
      </w:r>
      <w:r w:rsidR="003D69C7">
        <w:rPr>
          <w:lang w:val="en-AU"/>
        </w:rPr>
        <w:t xml:space="preserve">received </w:t>
      </w:r>
      <w:r w:rsidR="00AE7008">
        <w:t>an influenza vaccination from 1 January to 27 August 2022.</w:t>
      </w:r>
    </w:p>
  </w:footnote>
  <w:footnote w:id="5">
    <w:p w14:paraId="715A68F4" w14:textId="6F8A477C" w:rsidR="00CF5F93" w:rsidRDefault="00CF5F93" w:rsidP="00CF5F93">
      <w:pPr>
        <w:pStyle w:val="FootnoteText"/>
        <w:rPr>
          <w:lang w:val="en-AU"/>
        </w:rPr>
      </w:pPr>
      <w:r>
        <w:rPr>
          <w:lang w:val="en-US"/>
        </w:rPr>
        <w:t>(</w:t>
      </w:r>
      <w:r w:rsidRPr="00000E7A">
        <w:footnoteRef/>
      </w:r>
      <w:r>
        <w:rPr>
          <w:lang w:val="en-US"/>
        </w:rPr>
        <w:t>)</w:t>
      </w:r>
      <w:r w:rsidRPr="00000E7A">
        <w:tab/>
      </w:r>
      <w:r w:rsidR="00911D4B" w:rsidRPr="00911D4B">
        <w:t>The VPHS 2021 was cancelled due to changes in work priorities during the COVID-19 pandemic</w:t>
      </w:r>
      <w:r w:rsidR="004A0869" w:rsidRPr="004A0869">
        <w:t>.</w:t>
      </w:r>
    </w:p>
  </w:footnote>
  <w:footnote w:id="6">
    <w:p w14:paraId="619D5C33" w14:textId="3DBE1AE6" w:rsidR="0097727C" w:rsidRDefault="0097727C" w:rsidP="0097727C">
      <w:pPr>
        <w:pStyle w:val="FootnoteText"/>
        <w:rPr>
          <w:lang w:val="en-AU"/>
        </w:rPr>
      </w:pPr>
      <w:r>
        <w:rPr>
          <w:lang w:val="en-US"/>
        </w:rPr>
        <w:t>(</w:t>
      </w:r>
      <w:r w:rsidRPr="00000E7A">
        <w:footnoteRef/>
      </w:r>
      <w:r>
        <w:rPr>
          <w:lang w:val="en-US"/>
        </w:rPr>
        <w:t>)</w:t>
      </w:r>
      <w:r w:rsidRPr="00000E7A">
        <w:tab/>
      </w:r>
      <w:r w:rsidRPr="0097727C">
        <w:t>Routine VPHS questions about physical activity were not asked in the 2020 survey as it was modified to focus on the impact of the COVID-19 pandemic</w:t>
      </w:r>
      <w:r w:rsidRPr="004A0869">
        <w:t>.</w:t>
      </w:r>
    </w:p>
  </w:footnote>
  <w:footnote w:id="7">
    <w:p w14:paraId="4CEB3641" w14:textId="77777777" w:rsidR="00BB0811" w:rsidRDefault="00BB0811" w:rsidP="00BB0811">
      <w:pPr>
        <w:pStyle w:val="FootnoteText"/>
        <w:rPr>
          <w:lang w:val="en-AU"/>
        </w:rPr>
      </w:pPr>
      <w:r>
        <w:rPr>
          <w:lang w:val="en-US"/>
        </w:rPr>
        <w:t>(</w:t>
      </w:r>
      <w:r w:rsidRPr="00000E7A">
        <w:footnoteRef/>
      </w:r>
      <w:r>
        <w:rPr>
          <w:lang w:val="en-US"/>
        </w:rPr>
        <w:t>)</w:t>
      </w:r>
      <w:r w:rsidRPr="00000E7A">
        <w:tab/>
      </w:r>
      <w:r w:rsidRPr="00E6221A">
        <w:t xml:space="preserve">Coroners Court of Victoria </w:t>
      </w:r>
      <w:r w:rsidRPr="00950611">
        <w:rPr>
          <w:i/>
          <w:iCs/>
        </w:rPr>
        <w:t xml:space="preserve">Monthly suicide </w:t>
      </w:r>
      <w:r>
        <w:rPr>
          <w:i/>
          <w:iCs/>
          <w:lang w:val="en-AU"/>
        </w:rPr>
        <w:t>data</w:t>
      </w:r>
      <w:r w:rsidRPr="00950611">
        <w:rPr>
          <w:i/>
          <w:iCs/>
        </w:rPr>
        <w:t xml:space="preserve"> report</w:t>
      </w:r>
      <w:r w:rsidRPr="00E6221A">
        <w:t xml:space="preserve"> (June 2022). Note: </w:t>
      </w:r>
      <w:r w:rsidRPr="021724DF">
        <w:rPr>
          <w:lang w:val="en-AU"/>
        </w:rPr>
        <w:t>Su</w:t>
      </w:r>
      <w:r w:rsidRPr="4AD7F32B">
        <w:rPr>
          <w:lang w:val="en-AU"/>
        </w:rPr>
        <w:t>icide data may be subject to change as the Coroner investigates each case. Outcomes of investigations may alter data in coming months/years.</w:t>
      </w:r>
    </w:p>
  </w:footnote>
  <w:footnote w:id="8">
    <w:p w14:paraId="57117C7E" w14:textId="0AFD39FA" w:rsidR="00E302B7" w:rsidRPr="00F47F11" w:rsidRDefault="00E302B7" w:rsidP="00F47F11">
      <w:pPr>
        <w:pStyle w:val="FootnoteText"/>
        <w:rPr>
          <w:lang w:val="en-AU"/>
        </w:rPr>
      </w:pPr>
      <w:r>
        <w:rPr>
          <w:lang w:val="en-US"/>
        </w:rPr>
        <w:t>(</w:t>
      </w:r>
      <w:r w:rsidRPr="00000E7A">
        <w:footnoteRef/>
      </w:r>
      <w:r>
        <w:rPr>
          <w:lang w:val="en-US"/>
        </w:rPr>
        <w:t>)</w:t>
      </w:r>
      <w:r w:rsidRPr="00000E7A">
        <w:tab/>
      </w:r>
      <w:r w:rsidR="00F47F11" w:rsidRPr="00A25BC0">
        <w:rPr>
          <w:i/>
          <w:iCs/>
        </w:rPr>
        <w:t>Measuring and Reporting</w:t>
      </w:r>
      <w:r w:rsidR="00F47F11" w:rsidRPr="00A25BC0">
        <w:rPr>
          <w:i/>
          <w:iCs/>
          <w:lang w:val="en-AU"/>
        </w:rPr>
        <w:t xml:space="preserve"> </w:t>
      </w:r>
      <w:r w:rsidR="00F47F11" w:rsidRPr="00A25BC0">
        <w:rPr>
          <w:i/>
          <w:iCs/>
        </w:rPr>
        <w:t>on Service Delivery</w:t>
      </w:r>
      <w:r w:rsidR="00F47F11">
        <w:rPr>
          <w:lang w:val="en-AU"/>
        </w:rPr>
        <w:t xml:space="preserve">, </w:t>
      </w:r>
      <w:r w:rsidR="00A25BC0">
        <w:rPr>
          <w:lang w:val="en-AU"/>
        </w:rPr>
        <w:t>May 2021.</w:t>
      </w:r>
    </w:p>
  </w:footnote>
  <w:footnote w:id="9">
    <w:p w14:paraId="7A786C63" w14:textId="77777777" w:rsidR="005E7698" w:rsidRDefault="005E7698" w:rsidP="005E7698">
      <w:pPr>
        <w:pStyle w:val="FootnoteText"/>
        <w:rPr>
          <w:lang w:val="en-AU"/>
        </w:rPr>
      </w:pPr>
      <w:r>
        <w:rPr>
          <w:lang w:val="en-US"/>
        </w:rPr>
        <w:t>(</w:t>
      </w:r>
      <w:r w:rsidRPr="00000E7A">
        <w:footnoteRef/>
      </w:r>
      <w:r>
        <w:rPr>
          <w:lang w:val="en-US"/>
        </w:rPr>
        <w:t>)</w:t>
      </w:r>
      <w:r w:rsidRPr="00000E7A">
        <w:tab/>
      </w:r>
      <w:r w:rsidRPr="00911D4B">
        <w:t>The VPHS 2021 was cancelled due to changes in work priorities during the COVID-19 pandemic</w:t>
      </w:r>
      <w:r>
        <w:rPr>
          <w:lang w:val="en-AU"/>
        </w:rPr>
        <w:t>.</w:t>
      </w:r>
    </w:p>
  </w:footnote>
  <w:footnote w:id="10">
    <w:p w14:paraId="78E2FDC9" w14:textId="77777777" w:rsidR="005E7698" w:rsidRDefault="005E7698" w:rsidP="005E7698">
      <w:pPr>
        <w:pStyle w:val="FootnoteText"/>
        <w:rPr>
          <w:lang w:val="en-AU"/>
        </w:rPr>
      </w:pPr>
      <w:r>
        <w:rPr>
          <w:lang w:val="en-US"/>
        </w:rPr>
        <w:t>(</w:t>
      </w:r>
      <w:r w:rsidRPr="00000E7A">
        <w:footnoteRef/>
      </w:r>
      <w:r>
        <w:rPr>
          <w:lang w:val="en-US"/>
        </w:rPr>
        <w:t>)</w:t>
      </w:r>
      <w:r w:rsidRPr="00000E7A">
        <w:tab/>
      </w:r>
      <w:r w:rsidRPr="00F35C84">
        <w:t>Mortality data lags by one to two years</w:t>
      </w:r>
      <w:r w:rsidRPr="004A0869">
        <w:t>.</w:t>
      </w:r>
    </w:p>
  </w:footnote>
  <w:footnote w:id="11">
    <w:p w14:paraId="24596CDD" w14:textId="77777777" w:rsidR="003E2DE1" w:rsidRPr="009D4AF6" w:rsidRDefault="003E2DE1" w:rsidP="003E2DE1">
      <w:pPr>
        <w:pStyle w:val="FootnoteText"/>
        <w:rPr>
          <w:lang w:val="en-AU"/>
        </w:rPr>
      </w:pPr>
      <w:r>
        <w:rPr>
          <w:lang w:val="en-US"/>
        </w:rPr>
        <w:t>(</w:t>
      </w:r>
      <w:r w:rsidRPr="007169D9">
        <w:footnoteRef/>
      </w:r>
      <w:r>
        <w:rPr>
          <w:lang w:val="en-US"/>
        </w:rPr>
        <w:t>)</w:t>
      </w:r>
      <w:r w:rsidRPr="00E90505">
        <w:tab/>
      </w:r>
      <w:r>
        <w:rPr>
          <w:lang w:val="en-AU"/>
        </w:rPr>
        <w:t>E = estimated.</w:t>
      </w:r>
    </w:p>
  </w:footnote>
  <w:footnote w:id="12">
    <w:p w14:paraId="45B51E72" w14:textId="5650EC62" w:rsidR="004B63F5" w:rsidRPr="004B63F5" w:rsidRDefault="007169D9">
      <w:pPr>
        <w:pStyle w:val="FootnoteText"/>
        <w:rPr>
          <w:lang w:val="en-AU"/>
        </w:rPr>
      </w:pPr>
      <w:r>
        <w:rPr>
          <w:lang w:val="en-US"/>
        </w:rPr>
        <w:t>(</w:t>
      </w:r>
      <w:r w:rsidR="004B63F5" w:rsidRPr="007169D9">
        <w:footnoteRef/>
      </w:r>
      <w:r>
        <w:rPr>
          <w:lang w:val="en-US"/>
        </w:rPr>
        <w:t>)</w:t>
      </w:r>
      <w:r w:rsidRPr="007169D9">
        <w:tab/>
      </w:r>
      <w:r w:rsidR="004B63F5">
        <w:rPr>
          <w:lang w:val="en-AU"/>
        </w:rPr>
        <w:t xml:space="preserve">These </w:t>
      </w:r>
      <w:r w:rsidR="00D73953">
        <w:rPr>
          <w:lang w:val="en-AU"/>
        </w:rPr>
        <w:t xml:space="preserve">include </w:t>
      </w:r>
      <w:r w:rsidR="00E57118" w:rsidRPr="00E57118">
        <w:rPr>
          <w:lang w:val="en-AU"/>
        </w:rPr>
        <w:t xml:space="preserve">Weighted Inlier Equivalent Separation </w:t>
      </w:r>
      <w:r w:rsidR="00E57118">
        <w:rPr>
          <w:lang w:val="en-AU"/>
        </w:rPr>
        <w:t>(</w:t>
      </w:r>
      <w:r w:rsidR="00D73953" w:rsidRPr="00D73953">
        <w:rPr>
          <w:lang w:val="en-AU"/>
        </w:rPr>
        <w:t>WIES</w:t>
      </w:r>
      <w:r w:rsidR="00E57118">
        <w:rPr>
          <w:lang w:val="en-AU"/>
        </w:rPr>
        <w:t>)</w:t>
      </w:r>
      <w:r w:rsidR="006A0F76">
        <w:rPr>
          <w:lang w:val="en-AU"/>
        </w:rPr>
        <w:t>,</w:t>
      </w:r>
      <w:r w:rsidR="00E57118">
        <w:rPr>
          <w:lang w:val="en-AU"/>
        </w:rPr>
        <w:t xml:space="preserve"> </w:t>
      </w:r>
      <w:r w:rsidR="00627F13" w:rsidRPr="00627F13">
        <w:rPr>
          <w:lang w:val="en-AU"/>
        </w:rPr>
        <w:t xml:space="preserve">Subacute Weighted Inlier Equivalent Separation </w:t>
      </w:r>
      <w:r w:rsidR="00627F13">
        <w:rPr>
          <w:lang w:val="en-AU"/>
        </w:rPr>
        <w:t>(</w:t>
      </w:r>
      <w:r w:rsidR="00D73953" w:rsidRPr="00D73953">
        <w:rPr>
          <w:lang w:val="en-AU"/>
        </w:rPr>
        <w:t>SWIES</w:t>
      </w:r>
      <w:r w:rsidR="00627F13">
        <w:rPr>
          <w:lang w:val="en-AU"/>
        </w:rPr>
        <w:t>)</w:t>
      </w:r>
      <w:r w:rsidR="00D73953" w:rsidRPr="00D73953">
        <w:rPr>
          <w:lang w:val="en-AU"/>
        </w:rPr>
        <w:t xml:space="preserve">, </w:t>
      </w:r>
      <w:r w:rsidR="0026134C" w:rsidRPr="0026134C">
        <w:rPr>
          <w:lang w:val="en-AU"/>
        </w:rPr>
        <w:t xml:space="preserve">Weighted Ambulatory Service Event </w:t>
      </w:r>
      <w:r w:rsidR="00B81BCA">
        <w:rPr>
          <w:lang w:val="en-AU"/>
        </w:rPr>
        <w:t>(</w:t>
      </w:r>
      <w:r w:rsidR="00D73953" w:rsidRPr="00D73953">
        <w:rPr>
          <w:lang w:val="en-AU"/>
        </w:rPr>
        <w:t>WASE</w:t>
      </w:r>
      <w:r w:rsidR="00B81BCA">
        <w:rPr>
          <w:lang w:val="en-AU"/>
        </w:rPr>
        <w:t>)</w:t>
      </w:r>
      <w:r w:rsidR="00E919BB">
        <w:rPr>
          <w:lang w:val="en-AU"/>
        </w:rPr>
        <w:t xml:space="preserve"> and </w:t>
      </w:r>
      <w:r w:rsidR="00E919BB" w:rsidRPr="00E919BB">
        <w:rPr>
          <w:lang w:val="en-AU"/>
        </w:rPr>
        <w:t xml:space="preserve">Non-Admitted Emergency Services Grant </w:t>
      </w:r>
      <w:r w:rsidR="00E919BB">
        <w:rPr>
          <w:lang w:val="en-AU"/>
        </w:rPr>
        <w:t>(</w:t>
      </w:r>
      <w:r w:rsidR="00D73953" w:rsidRPr="00D73953">
        <w:rPr>
          <w:lang w:val="en-AU"/>
        </w:rPr>
        <w:t>NAESG</w:t>
      </w:r>
      <w:r w:rsidR="00E919BB">
        <w:rPr>
          <w:lang w:val="en-AU"/>
        </w:rPr>
        <w:t>).</w:t>
      </w:r>
    </w:p>
  </w:footnote>
  <w:footnote w:id="13">
    <w:p w14:paraId="7BF76DE2" w14:textId="775B027E" w:rsidR="007C40FB" w:rsidRPr="009D4AF6" w:rsidRDefault="007C40FB" w:rsidP="007C40FB">
      <w:pPr>
        <w:pStyle w:val="FootnoteText"/>
        <w:rPr>
          <w:lang w:val="en-AU"/>
        </w:rPr>
      </w:pPr>
      <w:r>
        <w:rPr>
          <w:lang w:val="en-US"/>
        </w:rPr>
        <w:t>(</w:t>
      </w:r>
      <w:r w:rsidRPr="007169D9">
        <w:footnoteRef/>
      </w:r>
      <w:r>
        <w:rPr>
          <w:lang w:val="en-US"/>
        </w:rPr>
        <w:t>)</w:t>
      </w:r>
      <w:r w:rsidRPr="00E90505">
        <w:tab/>
      </w:r>
      <w:r w:rsidR="00BD6EEE">
        <w:rPr>
          <w:lang w:val="en-AU"/>
        </w:rPr>
        <w:t>E = estimated</w:t>
      </w:r>
      <w:r>
        <w:rPr>
          <w:lang w:val="en-AU"/>
        </w:rPr>
        <w:t>.</w:t>
      </w:r>
    </w:p>
  </w:footnote>
  <w:footnote w:id="14">
    <w:p w14:paraId="65BFCDCB" w14:textId="49C86ED4" w:rsidR="00097649" w:rsidRPr="009D4AF6" w:rsidRDefault="00097649" w:rsidP="00097649">
      <w:pPr>
        <w:pStyle w:val="FootnoteText"/>
        <w:rPr>
          <w:lang w:val="en-AU"/>
        </w:rPr>
      </w:pPr>
      <w:r>
        <w:rPr>
          <w:lang w:val="en-US"/>
        </w:rPr>
        <w:t>(</w:t>
      </w:r>
      <w:r w:rsidRPr="007169D9">
        <w:footnoteRef/>
      </w:r>
      <w:r>
        <w:rPr>
          <w:lang w:val="en-US"/>
        </w:rPr>
        <w:t>)</w:t>
      </w:r>
      <w:r w:rsidRPr="00E90505">
        <w:tab/>
      </w:r>
      <w:r w:rsidR="007045F2" w:rsidRPr="007045F2">
        <w:t xml:space="preserve">The number of unplanned readmissions has increased in </w:t>
      </w:r>
      <w:r w:rsidR="004D4D20">
        <w:t>2021–22</w:t>
      </w:r>
      <w:r w:rsidR="007045F2" w:rsidRPr="007045F2">
        <w:t xml:space="preserve"> due to a change in the performance measurements approach. This new measure employs an improved case capture methodology that identifies readmissions previously out of scope. The new approach enables a more accurate assessment of the effectiveness of care across multiple health services.</w:t>
      </w:r>
    </w:p>
  </w:footnote>
  <w:footnote w:id="15">
    <w:p w14:paraId="102B61A1" w14:textId="6C94C4A4" w:rsidR="00916DE6" w:rsidRPr="009D4AF6" w:rsidRDefault="00916DE6" w:rsidP="00603B69">
      <w:pPr>
        <w:pStyle w:val="FootnoteText"/>
        <w:rPr>
          <w:lang w:val="en-AU"/>
        </w:rPr>
      </w:pPr>
      <w:r>
        <w:rPr>
          <w:lang w:val="en-US"/>
        </w:rPr>
        <w:t>(</w:t>
      </w:r>
      <w:r w:rsidRPr="007169D9">
        <w:footnoteRef/>
      </w:r>
      <w:r>
        <w:rPr>
          <w:lang w:val="en-US"/>
        </w:rPr>
        <w:t>)</w:t>
      </w:r>
      <w:r w:rsidR="00C554E9">
        <w:rPr>
          <w:lang w:val="en-AU"/>
        </w:rPr>
        <w:tab/>
      </w:r>
      <w:r w:rsidRPr="00A1027D">
        <w:rPr>
          <w:lang w:val="en-AU"/>
        </w:rPr>
        <w:t>The Victorian Healthcare Experience Survey program was paused in Quarter 4 2020 and remained on hold until August 2021</w:t>
      </w:r>
      <w:r w:rsidRPr="00ED5476">
        <w:rPr>
          <w:lang w:val="en-AU"/>
        </w:rPr>
        <w:t>. Data</w:t>
      </w:r>
      <w:r>
        <w:rPr>
          <w:lang w:val="en-AU"/>
        </w:rPr>
        <w:t xml:space="preserve"> for the 2020–21 financial year was not collected and is not available.</w:t>
      </w:r>
    </w:p>
  </w:footnote>
  <w:footnote w:id="16">
    <w:p w14:paraId="4972B752" w14:textId="77777777" w:rsidR="001A70B8" w:rsidRPr="00C9735C" w:rsidRDefault="001A70B8" w:rsidP="0031211C">
      <w:pPr>
        <w:pStyle w:val="FootnoteText"/>
        <w:spacing w:before="40" w:after="40"/>
        <w:rPr>
          <w:lang w:val="en-US"/>
        </w:rPr>
      </w:pPr>
      <w:r>
        <w:rPr>
          <w:lang w:val="en-US"/>
        </w:rPr>
        <w:t>(</w:t>
      </w:r>
      <w:r w:rsidRPr="00C9735C">
        <w:footnoteRef/>
      </w:r>
      <w:r>
        <w:rPr>
          <w:lang w:val="en-US"/>
        </w:rPr>
        <w:t>)</w:t>
      </w:r>
      <w:r>
        <w:rPr>
          <w:lang w:val="en-US"/>
        </w:rPr>
        <w:tab/>
      </w:r>
      <w:r>
        <w:t>SMA = Senior Medical Adviser</w:t>
      </w:r>
    </w:p>
  </w:footnote>
  <w:footnote w:id="17">
    <w:p w14:paraId="50EFAA2B" w14:textId="77777777" w:rsidR="001A70B8" w:rsidRPr="0031211C" w:rsidRDefault="001A70B8" w:rsidP="0031211C">
      <w:pPr>
        <w:pStyle w:val="FootnoteText"/>
        <w:spacing w:before="40" w:after="40"/>
        <w:rPr>
          <w:lang w:val="en-US"/>
        </w:rPr>
      </w:pPr>
      <w:r>
        <w:rPr>
          <w:lang w:val="en-US"/>
        </w:rPr>
        <w:t>(</w:t>
      </w:r>
      <w:r w:rsidRPr="0031211C">
        <w:footnoteRef/>
      </w:r>
      <w:r>
        <w:rPr>
          <w:lang w:val="en-US"/>
        </w:rPr>
        <w:t>)</w:t>
      </w:r>
      <w:r>
        <w:rPr>
          <w:lang w:val="en-US"/>
        </w:rPr>
        <w:tab/>
      </w:r>
      <w:r w:rsidRPr="002029AF">
        <w:t>STS</w:t>
      </w:r>
      <w:r>
        <w:t xml:space="preserve"> </w:t>
      </w:r>
      <w:r w:rsidRPr="002029AF">
        <w:t>=</w:t>
      </w:r>
      <w:r>
        <w:t xml:space="preserve"> </w:t>
      </w:r>
      <w:r w:rsidRPr="002029AF">
        <w:t>Senior</w:t>
      </w:r>
      <w:r>
        <w:t xml:space="preserve"> </w:t>
      </w:r>
      <w:r w:rsidRPr="002029AF">
        <w:t>Technical</w:t>
      </w:r>
      <w:r>
        <w:t xml:space="preserve"> </w:t>
      </w:r>
      <w:r w:rsidRPr="002029AF">
        <w:t>Specialist</w:t>
      </w:r>
    </w:p>
  </w:footnote>
  <w:footnote w:id="18">
    <w:p w14:paraId="15601B40" w14:textId="77777777" w:rsidR="001A70B8" w:rsidRPr="0031211C" w:rsidRDefault="001A70B8" w:rsidP="00101E5D">
      <w:pPr>
        <w:pStyle w:val="FootnoteText"/>
        <w:spacing w:before="40" w:after="40"/>
        <w:rPr>
          <w:lang w:val="en-US"/>
        </w:rPr>
      </w:pPr>
      <w:r>
        <w:rPr>
          <w:lang w:val="en-US"/>
        </w:rPr>
        <w:t>(</w:t>
      </w:r>
      <w:r w:rsidRPr="0031211C">
        <w:footnoteRef/>
      </w:r>
      <w:r>
        <w:rPr>
          <w:lang w:val="en-US"/>
        </w:rPr>
        <w:t>)</w:t>
      </w:r>
      <w:r>
        <w:rPr>
          <w:lang w:val="en-US"/>
        </w:rPr>
        <w:tab/>
      </w:r>
      <w:r w:rsidRPr="00484C58">
        <w:rPr>
          <w:rFonts w:cs="Arial"/>
          <w:szCs w:val="16"/>
          <w:shd w:val="clear" w:color="auto" w:fill="FAF9F8"/>
        </w:rPr>
        <w:t>There</w:t>
      </w:r>
      <w:r>
        <w:rPr>
          <w:rFonts w:cs="Arial"/>
          <w:szCs w:val="16"/>
          <w:shd w:val="clear" w:color="auto" w:fill="FAF9F8"/>
        </w:rPr>
        <w:t xml:space="preserve"> </w:t>
      </w:r>
      <w:r w:rsidRPr="00484C58">
        <w:rPr>
          <w:rFonts w:cs="Arial"/>
          <w:szCs w:val="16"/>
          <w:shd w:val="clear" w:color="auto" w:fill="FAF9F8"/>
        </w:rPr>
        <w:t>are</w:t>
      </w:r>
      <w:r>
        <w:rPr>
          <w:rFonts w:cs="Arial"/>
          <w:szCs w:val="16"/>
          <w:shd w:val="clear" w:color="auto" w:fill="FAF9F8"/>
        </w:rPr>
        <w:t xml:space="preserve"> </w:t>
      </w:r>
      <w:r w:rsidRPr="00484C58">
        <w:rPr>
          <w:rFonts w:cs="Arial"/>
          <w:szCs w:val="16"/>
          <w:shd w:val="clear" w:color="auto" w:fill="FAF9F8"/>
        </w:rPr>
        <w:t>7</w:t>
      </w:r>
      <w:r>
        <w:rPr>
          <w:rFonts w:cs="Arial"/>
          <w:szCs w:val="16"/>
          <w:shd w:val="clear" w:color="auto" w:fill="FAF9F8"/>
        </w:rPr>
        <w:t xml:space="preserve"> </w:t>
      </w:r>
      <w:r w:rsidRPr="00484C58">
        <w:rPr>
          <w:rFonts w:cs="Arial"/>
          <w:szCs w:val="16"/>
          <w:shd w:val="clear" w:color="auto" w:fill="FAF9F8"/>
        </w:rPr>
        <w:t>VPS</w:t>
      </w:r>
      <w:r>
        <w:rPr>
          <w:rFonts w:cs="Arial"/>
          <w:szCs w:val="16"/>
          <w:shd w:val="clear" w:color="auto" w:fill="FAF9F8"/>
        </w:rPr>
        <w:t xml:space="preserve"> </w:t>
      </w:r>
      <w:r w:rsidRPr="00484C58">
        <w:rPr>
          <w:rFonts w:cs="Arial"/>
          <w:szCs w:val="16"/>
          <w:shd w:val="clear" w:color="auto" w:fill="FAF9F8"/>
        </w:rPr>
        <w:t>employees</w:t>
      </w:r>
      <w:r>
        <w:rPr>
          <w:rFonts w:cs="Arial"/>
          <w:szCs w:val="16"/>
          <w:shd w:val="clear" w:color="auto" w:fill="FAF9F8"/>
        </w:rPr>
        <w:t xml:space="preserve"> </w:t>
      </w:r>
      <w:r w:rsidRPr="00484C58">
        <w:rPr>
          <w:rFonts w:cs="Arial"/>
          <w:szCs w:val="16"/>
          <w:shd w:val="clear" w:color="auto" w:fill="FAF9F8"/>
        </w:rPr>
        <w:t>acting</w:t>
      </w:r>
      <w:r>
        <w:rPr>
          <w:rFonts w:cs="Arial"/>
          <w:szCs w:val="16"/>
          <w:shd w:val="clear" w:color="auto" w:fill="FAF9F8"/>
        </w:rPr>
        <w:t xml:space="preserve"> </w:t>
      </w:r>
      <w:r w:rsidRPr="00484C58">
        <w:rPr>
          <w:rFonts w:cs="Arial"/>
          <w:szCs w:val="16"/>
          <w:shd w:val="clear" w:color="auto" w:fill="FAF9F8"/>
        </w:rPr>
        <w:t>as</w:t>
      </w:r>
      <w:r>
        <w:rPr>
          <w:rFonts w:cs="Arial"/>
          <w:szCs w:val="16"/>
          <w:shd w:val="clear" w:color="auto" w:fill="FAF9F8"/>
        </w:rPr>
        <w:t xml:space="preserve"> </w:t>
      </w:r>
      <w:r w:rsidRPr="00484C58">
        <w:rPr>
          <w:rFonts w:cs="Arial"/>
          <w:szCs w:val="16"/>
          <w:shd w:val="clear" w:color="auto" w:fill="FAF9F8"/>
        </w:rPr>
        <w:t>executives</w:t>
      </w:r>
      <w:r>
        <w:rPr>
          <w:rFonts w:cs="Arial"/>
          <w:szCs w:val="16"/>
          <w:shd w:val="clear" w:color="auto" w:fill="FAF9F8"/>
        </w:rPr>
        <w:t xml:space="preserve"> </w:t>
      </w:r>
      <w:r w:rsidRPr="00484C58">
        <w:rPr>
          <w:rFonts w:cs="Arial"/>
          <w:szCs w:val="16"/>
          <w:shd w:val="clear" w:color="auto" w:fill="FAF9F8"/>
        </w:rPr>
        <w:t>under</w:t>
      </w:r>
      <w:r>
        <w:rPr>
          <w:rFonts w:cs="Arial"/>
          <w:szCs w:val="16"/>
          <w:shd w:val="clear" w:color="auto" w:fill="FAF9F8"/>
        </w:rPr>
        <w:t xml:space="preserve"> </w:t>
      </w:r>
      <w:r w:rsidRPr="00484C58">
        <w:rPr>
          <w:rFonts w:cs="Arial"/>
          <w:szCs w:val="16"/>
          <w:shd w:val="clear" w:color="auto" w:fill="FAF9F8"/>
        </w:rPr>
        <w:t>long-term</w:t>
      </w:r>
      <w:r>
        <w:rPr>
          <w:rFonts w:cs="Arial"/>
          <w:szCs w:val="16"/>
          <w:shd w:val="clear" w:color="auto" w:fill="FAF9F8"/>
        </w:rPr>
        <w:t xml:space="preserve"> </w:t>
      </w:r>
      <w:r w:rsidRPr="00484C58">
        <w:rPr>
          <w:rFonts w:cs="Arial"/>
          <w:szCs w:val="16"/>
          <w:shd w:val="clear" w:color="auto" w:fill="FAF9F8"/>
        </w:rPr>
        <w:t>acting</w:t>
      </w:r>
      <w:r>
        <w:rPr>
          <w:rFonts w:cs="Arial"/>
          <w:szCs w:val="16"/>
          <w:shd w:val="clear" w:color="auto" w:fill="FAF9F8"/>
        </w:rPr>
        <w:t xml:space="preserve"> </w:t>
      </w:r>
      <w:r w:rsidRPr="00484C58">
        <w:rPr>
          <w:rFonts w:cs="Arial"/>
          <w:szCs w:val="16"/>
          <w:shd w:val="clear" w:color="auto" w:fill="FAF9F8"/>
        </w:rPr>
        <w:t>arrangements.</w:t>
      </w:r>
    </w:p>
  </w:footnote>
  <w:footnote w:id="19">
    <w:p w14:paraId="230221BF" w14:textId="77777777" w:rsidR="001A70B8" w:rsidRPr="0031211C" w:rsidRDefault="001A70B8" w:rsidP="0031211C">
      <w:pPr>
        <w:pStyle w:val="FootnoteText"/>
        <w:spacing w:before="40" w:after="40"/>
        <w:rPr>
          <w:lang w:val="en-US"/>
        </w:rPr>
      </w:pPr>
      <w:r>
        <w:rPr>
          <w:lang w:val="en-US"/>
        </w:rPr>
        <w:t>(</w:t>
      </w:r>
      <w:r w:rsidRPr="0031211C">
        <w:footnoteRef/>
      </w:r>
      <w:r>
        <w:rPr>
          <w:lang w:val="en-US"/>
        </w:rPr>
        <w:t>)</w:t>
      </w:r>
      <w:r>
        <w:rPr>
          <w:lang w:val="en-US"/>
        </w:rPr>
        <w:tab/>
      </w:r>
      <w:r>
        <w:t>‘</w:t>
      </w:r>
      <w:r w:rsidRPr="000A10F0">
        <w:t>Other</w:t>
      </w:r>
      <w:r>
        <w:t xml:space="preserve">’ </w:t>
      </w:r>
      <w:r w:rsidRPr="000A10F0">
        <w:t>classification</w:t>
      </w:r>
      <w:r>
        <w:t xml:space="preserve"> </w:t>
      </w:r>
      <w:r w:rsidRPr="000A10F0">
        <w:t>group</w:t>
      </w:r>
      <w:r>
        <w:t xml:space="preserve"> </w:t>
      </w:r>
      <w:r w:rsidRPr="000A10F0">
        <w:t>may</w:t>
      </w:r>
      <w:r>
        <w:t xml:space="preserve"> </w:t>
      </w:r>
      <w:r w:rsidRPr="000A10F0">
        <w:t>include</w:t>
      </w:r>
      <w:r>
        <w:t xml:space="preserve"> </w:t>
      </w:r>
      <w:r w:rsidRPr="000A10F0">
        <w:t>solicitors,</w:t>
      </w:r>
      <w:r>
        <w:t xml:space="preserve"> </w:t>
      </w:r>
      <w:r w:rsidRPr="000A10F0">
        <w:t>nurses,</w:t>
      </w:r>
      <w:r>
        <w:t xml:space="preserve"> </w:t>
      </w:r>
      <w:r w:rsidRPr="000A10F0">
        <w:t>trade</w:t>
      </w:r>
      <w:r>
        <w:t xml:space="preserve"> </w:t>
      </w:r>
      <w:r w:rsidRPr="000A10F0">
        <w:t>assistants,</w:t>
      </w:r>
      <w:r>
        <w:t xml:space="preserve"> </w:t>
      </w:r>
      <w:r w:rsidRPr="000A10F0">
        <w:t>scientists,</w:t>
      </w:r>
      <w:r>
        <w:t xml:space="preserve"> </w:t>
      </w:r>
      <w:r w:rsidRPr="000A10F0">
        <w:t>external</w:t>
      </w:r>
      <w:r>
        <w:t xml:space="preserve"> </w:t>
      </w:r>
      <w:r w:rsidRPr="000A10F0">
        <w:t>auditors.</w:t>
      </w:r>
    </w:p>
  </w:footnote>
  <w:footnote w:id="20">
    <w:p w14:paraId="23D55868" w14:textId="77777777" w:rsidR="001A70B8" w:rsidRPr="00BB3F1B" w:rsidRDefault="001A70B8" w:rsidP="00101E5D">
      <w:pPr>
        <w:pStyle w:val="FootnoteText"/>
        <w:rPr>
          <w:lang w:val="en-US"/>
        </w:rPr>
      </w:pPr>
      <w:r>
        <w:rPr>
          <w:lang w:val="en-US"/>
        </w:rPr>
        <w:t>(</w:t>
      </w:r>
      <w:r w:rsidRPr="00BB3F1B">
        <w:footnoteRef/>
      </w:r>
      <w:r>
        <w:rPr>
          <w:lang w:val="en-US"/>
        </w:rPr>
        <w:t>)</w:t>
      </w:r>
      <w:r>
        <w:rPr>
          <w:lang w:val="en-US"/>
        </w:rPr>
        <w:tab/>
        <w:t xml:space="preserve">Abbreviations used in the column headings are: STS = </w:t>
      </w:r>
      <w:r w:rsidRPr="002A07F0">
        <w:t>Senior</w:t>
      </w:r>
      <w:r>
        <w:t xml:space="preserve"> </w:t>
      </w:r>
      <w:r w:rsidRPr="002A07F0">
        <w:t>Technical</w:t>
      </w:r>
      <w:r>
        <w:t xml:space="preserve"> </w:t>
      </w:r>
      <w:r w:rsidRPr="002A07F0">
        <w:t>Specialists</w:t>
      </w:r>
      <w:r>
        <w:rPr>
          <w:lang w:val="en-US"/>
        </w:rPr>
        <w:t>;</w:t>
      </w:r>
      <w:r>
        <w:t xml:space="preserve"> </w:t>
      </w:r>
      <w:r>
        <w:rPr>
          <w:lang w:val="en-US"/>
        </w:rPr>
        <w:t xml:space="preserve">PS = </w:t>
      </w:r>
      <w:r w:rsidRPr="002A07F0">
        <w:t>Principal</w:t>
      </w:r>
      <w:r>
        <w:t xml:space="preserve"> </w:t>
      </w:r>
      <w:r w:rsidRPr="002A07F0">
        <w:t>Scientists</w:t>
      </w:r>
      <w:r>
        <w:rPr>
          <w:lang w:val="en-US"/>
        </w:rPr>
        <w:t>;</w:t>
      </w:r>
      <w:r>
        <w:t xml:space="preserve"> </w:t>
      </w:r>
      <w:r>
        <w:br/>
      </w:r>
      <w:r>
        <w:rPr>
          <w:lang w:val="en-US"/>
        </w:rPr>
        <w:t xml:space="preserve">SMA = </w:t>
      </w:r>
      <w:r w:rsidRPr="002A07F0">
        <w:t>Senior</w:t>
      </w:r>
      <w:r>
        <w:t xml:space="preserve"> </w:t>
      </w:r>
      <w:r w:rsidRPr="002A07F0">
        <w:t>Medical</w:t>
      </w:r>
      <w:r>
        <w:t xml:space="preserve"> </w:t>
      </w:r>
      <w:r w:rsidRPr="002A07F0">
        <w:t>Advisors</w:t>
      </w:r>
      <w:r>
        <w:rPr>
          <w:lang w:val="en-US"/>
        </w:rPr>
        <w:t xml:space="preserve">; </w:t>
      </w:r>
      <w:r w:rsidRPr="002A07F0">
        <w:t>and</w:t>
      </w:r>
      <w:r>
        <w:t xml:space="preserve"> </w:t>
      </w:r>
      <w:r>
        <w:rPr>
          <w:lang w:val="en-US"/>
        </w:rPr>
        <w:t xml:space="preserve">SRA = </w:t>
      </w:r>
      <w:r w:rsidRPr="002A07F0">
        <w:t>Senior</w:t>
      </w:r>
      <w:r>
        <w:t xml:space="preserve"> </w:t>
      </w:r>
      <w:r w:rsidRPr="002A07F0">
        <w:t>Regulatory</w:t>
      </w:r>
      <w:r>
        <w:t xml:space="preserve"> </w:t>
      </w:r>
      <w:r w:rsidRPr="002A07F0">
        <w:t>Analysts</w:t>
      </w:r>
      <w:r>
        <w:rPr>
          <w:lang w:val="en-US"/>
        </w:rPr>
        <w:t>.</w:t>
      </w:r>
    </w:p>
  </w:footnote>
  <w:footnote w:id="21">
    <w:p w14:paraId="4AAD5437" w14:textId="77777777" w:rsidR="001A70B8" w:rsidRPr="00A72B05" w:rsidRDefault="001A70B8" w:rsidP="00101E5D">
      <w:pPr>
        <w:pStyle w:val="FootnoteText"/>
        <w:rPr>
          <w:lang w:val="en-US"/>
        </w:rPr>
      </w:pPr>
      <w:r w:rsidRPr="50E7A32B">
        <w:rPr>
          <w:lang w:val="en-US"/>
        </w:rPr>
        <w:t>(</w:t>
      </w:r>
      <w:r>
        <w:footnoteRef/>
      </w:r>
      <w:r w:rsidRPr="50E7A32B">
        <w:rPr>
          <w:lang w:val="en-US"/>
        </w:rPr>
        <w:t>)</w:t>
      </w:r>
      <w:r>
        <w:tab/>
        <w:t>There is one employee employed on a part-time basis at a 0.</w:t>
      </w:r>
      <w:r w:rsidRPr="50E7A32B">
        <w:rPr>
          <w:lang w:val="en-AU"/>
        </w:rPr>
        <w:t>5</w:t>
      </w:r>
      <w:r>
        <w:t xml:space="preserve"> FTE rate.</w:t>
      </w:r>
      <w:r>
        <w:rPr>
          <w:lang w:val="en-US"/>
        </w:rPr>
        <w:br/>
      </w:r>
      <w:r>
        <w:t>There is one employee employed on a part-time basis at a 0.8 FTE rate.</w:t>
      </w:r>
    </w:p>
  </w:footnote>
  <w:footnote w:id="22">
    <w:p w14:paraId="768491ED" w14:textId="77777777" w:rsidR="001A70B8" w:rsidRPr="0074225A" w:rsidRDefault="001A70B8" w:rsidP="00101E5D">
      <w:pPr>
        <w:pStyle w:val="FootnoteText"/>
        <w:rPr>
          <w:lang w:val="en-US"/>
        </w:rPr>
      </w:pPr>
      <w:r>
        <w:rPr>
          <w:lang w:val="en-US"/>
        </w:rPr>
        <w:t>(</w:t>
      </w:r>
      <w:r w:rsidRPr="0074225A">
        <w:footnoteRef/>
      </w:r>
      <w:r>
        <w:rPr>
          <w:lang w:val="en-US"/>
        </w:rPr>
        <w:t>)</w:t>
      </w:r>
      <w:r w:rsidRPr="0074225A">
        <w:tab/>
      </w:r>
      <w:r w:rsidRPr="00500114">
        <w:t>There</w:t>
      </w:r>
      <w:r>
        <w:t xml:space="preserve"> </w:t>
      </w:r>
      <w:r w:rsidRPr="00500114">
        <w:t>is</w:t>
      </w:r>
      <w:r>
        <w:t xml:space="preserve"> one </w:t>
      </w:r>
      <w:r w:rsidRPr="00500114">
        <w:t>employee</w:t>
      </w:r>
      <w:r>
        <w:t xml:space="preserve"> </w:t>
      </w:r>
      <w:r w:rsidRPr="00500114">
        <w:t>employed</w:t>
      </w:r>
      <w:r>
        <w:t xml:space="preserve"> </w:t>
      </w:r>
      <w:r w:rsidRPr="00500114">
        <w:t>on</w:t>
      </w:r>
      <w:r>
        <w:t xml:space="preserve"> </w:t>
      </w:r>
      <w:r w:rsidRPr="00500114">
        <w:t>a</w:t>
      </w:r>
      <w:r>
        <w:t xml:space="preserve"> </w:t>
      </w:r>
      <w:r w:rsidRPr="00500114">
        <w:t>part-time</w:t>
      </w:r>
      <w:r>
        <w:t xml:space="preserve"> </w:t>
      </w:r>
      <w:r w:rsidRPr="00500114">
        <w:t>basis</w:t>
      </w:r>
      <w:r>
        <w:t xml:space="preserve"> </w:t>
      </w:r>
      <w:r w:rsidRPr="00500114">
        <w:t>at</w:t>
      </w:r>
      <w:r>
        <w:t xml:space="preserve"> </w:t>
      </w:r>
      <w:r w:rsidRPr="00500114">
        <w:t>a</w:t>
      </w:r>
      <w:r>
        <w:t xml:space="preserve"> 0.5 </w:t>
      </w:r>
      <w:r w:rsidRPr="00500114">
        <w:t>FTE</w:t>
      </w:r>
      <w:r>
        <w:t xml:space="preserve"> </w:t>
      </w:r>
      <w:r w:rsidRPr="00500114">
        <w:t>rate.</w:t>
      </w:r>
    </w:p>
  </w:footnote>
  <w:footnote w:id="23">
    <w:p w14:paraId="56DF2A08" w14:textId="77777777" w:rsidR="001A70B8" w:rsidRDefault="001A70B8" w:rsidP="00101E5D">
      <w:pPr>
        <w:pStyle w:val="FootnoteText"/>
        <w:rPr>
          <w:lang w:val="en-US"/>
        </w:rPr>
      </w:pPr>
      <w:r w:rsidRPr="238733A9">
        <w:rPr>
          <w:lang w:val="en-US"/>
        </w:rPr>
        <w:t>(</w:t>
      </w:r>
      <w:r>
        <w:footnoteRef/>
      </w:r>
      <w:r w:rsidRPr="238733A9">
        <w:rPr>
          <w:lang w:val="en-US"/>
        </w:rPr>
        <w:t>)</w:t>
      </w:r>
      <w:r>
        <w:tab/>
        <w:t>There is one employee employed on a part-time basis at a 0.8 FTE rate.</w:t>
      </w:r>
    </w:p>
  </w:footnote>
  <w:footnote w:id="24">
    <w:p w14:paraId="4A5C5530" w14:textId="77777777" w:rsidR="001A70B8" w:rsidRDefault="001A70B8" w:rsidP="00101E5D">
      <w:pPr>
        <w:pStyle w:val="FootnoteText"/>
        <w:rPr>
          <w:lang w:val="en-US"/>
        </w:rPr>
      </w:pPr>
      <w:r w:rsidRPr="722C2731">
        <w:rPr>
          <w:lang w:val="en-US"/>
        </w:rPr>
        <w:t>(</w:t>
      </w:r>
      <w:r>
        <w:footnoteRef/>
      </w:r>
      <w:r w:rsidRPr="722C2731">
        <w:rPr>
          <w:lang w:val="en-US"/>
        </w:rPr>
        <w:t>)</w:t>
      </w:r>
      <w:r>
        <w:tab/>
        <w:t>There is one employee employed on a part-time basis at a 0.6 FTE rate.</w:t>
      </w:r>
      <w:r>
        <w:br/>
        <w:t>There is one employee employed on a part-time basis at a 0.8 FTE rate.</w:t>
      </w:r>
    </w:p>
  </w:footnote>
  <w:footnote w:id="25">
    <w:p w14:paraId="533CFBF0" w14:textId="77777777" w:rsidR="001A70B8" w:rsidRDefault="001A70B8" w:rsidP="00101E5D">
      <w:pPr>
        <w:pStyle w:val="FootnoteText"/>
        <w:rPr>
          <w:lang w:val="en-US"/>
        </w:rPr>
      </w:pPr>
      <w:r w:rsidRPr="722C2731">
        <w:rPr>
          <w:lang w:val="en-US"/>
        </w:rPr>
        <w:t>(</w:t>
      </w:r>
      <w:r>
        <w:footnoteRef/>
      </w:r>
      <w:r w:rsidRPr="722C2731">
        <w:rPr>
          <w:lang w:val="en-US"/>
        </w:rPr>
        <w:t>)</w:t>
      </w:r>
      <w:r>
        <w:tab/>
        <w:t>There is one employee employed on a part-time basis at a 0.8 FTE rate.</w:t>
      </w:r>
      <w:r>
        <w:br/>
        <w:t>There is one employee employed on a part-time basis at a 0.6 FTE rate.</w:t>
      </w:r>
    </w:p>
  </w:footnote>
  <w:footnote w:id="26">
    <w:p w14:paraId="6599F66F" w14:textId="77777777" w:rsidR="001A70B8" w:rsidRDefault="001A70B8" w:rsidP="00101E5D">
      <w:pPr>
        <w:pStyle w:val="FootnoteText"/>
        <w:rPr>
          <w:lang w:val="en-US"/>
        </w:rPr>
      </w:pPr>
      <w:r w:rsidRPr="722C2731">
        <w:rPr>
          <w:lang w:val="en-US"/>
        </w:rPr>
        <w:t>(</w:t>
      </w:r>
      <w:r>
        <w:footnoteRef/>
      </w:r>
      <w:r w:rsidRPr="722C2731">
        <w:rPr>
          <w:lang w:val="en-US"/>
        </w:rPr>
        <w:t>)</w:t>
      </w:r>
      <w:r>
        <w:tab/>
        <w:t>There is one employee employed on a part-time basis at a 0.6 FTE rate.</w:t>
      </w:r>
    </w:p>
  </w:footnote>
  <w:footnote w:id="27">
    <w:p w14:paraId="5E8FEEC4" w14:textId="77777777" w:rsidR="001A70B8" w:rsidRDefault="001A70B8" w:rsidP="00101E5D">
      <w:pPr>
        <w:pStyle w:val="FootnoteText"/>
        <w:rPr>
          <w:lang w:val="en-US"/>
        </w:rPr>
      </w:pPr>
      <w:r w:rsidRPr="00552130">
        <w:rPr>
          <w:lang w:val="en-US"/>
        </w:rPr>
        <w:t>(</w:t>
      </w:r>
      <w:r w:rsidRPr="00552130">
        <w:footnoteRef/>
      </w:r>
      <w:r w:rsidRPr="00552130">
        <w:rPr>
          <w:lang w:val="en-US"/>
        </w:rPr>
        <w:t>)</w:t>
      </w:r>
      <w:r>
        <w:t xml:space="preserve"> </w:t>
      </w:r>
      <w:r w:rsidRPr="00552130">
        <w:t>There</w:t>
      </w:r>
      <w:r>
        <w:t xml:space="preserve"> </w:t>
      </w:r>
      <w:r w:rsidRPr="00552130">
        <w:t>is</w:t>
      </w:r>
      <w:r>
        <w:t xml:space="preserve"> </w:t>
      </w:r>
      <w:r w:rsidRPr="00552130">
        <w:t>one</w:t>
      </w:r>
      <w:r>
        <w:t xml:space="preserve"> </w:t>
      </w:r>
      <w:r w:rsidRPr="00552130">
        <w:t>employee</w:t>
      </w:r>
      <w:r>
        <w:t xml:space="preserve"> </w:t>
      </w:r>
      <w:r w:rsidRPr="00552130">
        <w:t>employed</w:t>
      </w:r>
      <w:r>
        <w:t xml:space="preserve"> </w:t>
      </w:r>
      <w:r w:rsidRPr="00552130">
        <w:t>on</w:t>
      </w:r>
      <w:r>
        <w:t xml:space="preserve"> </w:t>
      </w:r>
      <w:r w:rsidRPr="00552130">
        <w:t>a</w:t>
      </w:r>
      <w:r>
        <w:t xml:space="preserve"> </w:t>
      </w:r>
      <w:r w:rsidRPr="00552130">
        <w:t>part-time</w:t>
      </w:r>
      <w:r>
        <w:t xml:space="preserve"> </w:t>
      </w:r>
      <w:r w:rsidRPr="00552130">
        <w:t>basis</w:t>
      </w:r>
      <w:r>
        <w:t xml:space="preserve"> </w:t>
      </w:r>
      <w:r w:rsidRPr="00552130">
        <w:t>at</w:t>
      </w:r>
      <w:r>
        <w:t xml:space="preserve"> </w:t>
      </w:r>
      <w:r w:rsidRPr="00552130">
        <w:t>a</w:t>
      </w:r>
      <w:r>
        <w:t xml:space="preserve"> </w:t>
      </w:r>
      <w:r w:rsidRPr="00552130">
        <w:t>0.8</w:t>
      </w:r>
      <w:r>
        <w:t xml:space="preserve"> </w:t>
      </w:r>
      <w:r w:rsidRPr="00552130">
        <w:t>FTE</w:t>
      </w:r>
      <w:r>
        <w:t xml:space="preserve"> </w:t>
      </w:r>
      <w:r w:rsidRPr="00552130">
        <w:t>rate.</w:t>
      </w:r>
    </w:p>
  </w:footnote>
  <w:footnote w:id="28">
    <w:p w14:paraId="52C7CB5D" w14:textId="77777777" w:rsidR="001A70B8" w:rsidRPr="007314FC" w:rsidRDefault="001A70B8">
      <w:pPr>
        <w:pStyle w:val="FootnoteText"/>
        <w:rPr>
          <w:lang w:val="en-US"/>
        </w:rPr>
      </w:pPr>
      <w:r>
        <w:rPr>
          <w:lang w:val="en-US"/>
        </w:rPr>
        <w:t>(</w:t>
      </w:r>
      <w:r w:rsidRPr="007314FC">
        <w:footnoteRef/>
      </w:r>
      <w:r>
        <w:rPr>
          <w:lang w:val="en-US"/>
        </w:rPr>
        <w:t>)</w:t>
      </w:r>
      <w:r>
        <w:rPr>
          <w:lang w:val="en-US"/>
        </w:rPr>
        <w:tab/>
      </w:r>
      <w:r>
        <w:t>SMA = Senior Medical Adviser</w:t>
      </w:r>
    </w:p>
  </w:footnote>
  <w:footnote w:id="29">
    <w:p w14:paraId="55D199C8" w14:textId="77777777" w:rsidR="001A70B8" w:rsidRPr="007314FC" w:rsidRDefault="001A70B8" w:rsidP="007314FC">
      <w:pPr>
        <w:pStyle w:val="FootnoteText"/>
        <w:rPr>
          <w:lang w:val="en-AU"/>
        </w:rPr>
      </w:pPr>
      <w:r>
        <w:rPr>
          <w:lang w:val="en-US"/>
        </w:rPr>
        <w:t>(</w:t>
      </w:r>
      <w:r w:rsidRPr="007314FC">
        <w:footnoteRef/>
      </w:r>
      <w:r>
        <w:rPr>
          <w:lang w:val="en-US"/>
        </w:rPr>
        <w:t>)</w:t>
      </w:r>
      <w:r>
        <w:rPr>
          <w:lang w:val="en-US"/>
        </w:rPr>
        <w:tab/>
      </w:r>
      <w:r w:rsidRPr="002029AF">
        <w:t>STS</w:t>
      </w:r>
      <w:r>
        <w:t xml:space="preserve"> </w:t>
      </w:r>
      <w:r w:rsidRPr="002029AF">
        <w:t>=</w:t>
      </w:r>
      <w:r>
        <w:t xml:space="preserve"> </w:t>
      </w:r>
      <w:r w:rsidRPr="002029AF">
        <w:t>Senior</w:t>
      </w:r>
      <w:r>
        <w:t xml:space="preserve"> </w:t>
      </w:r>
      <w:r w:rsidRPr="002029AF">
        <w:t>Technical</w:t>
      </w:r>
      <w:r>
        <w:t xml:space="preserve"> </w:t>
      </w:r>
      <w:r w:rsidRPr="002029AF">
        <w:t>Specialist</w:t>
      </w:r>
    </w:p>
  </w:footnote>
  <w:footnote w:id="30">
    <w:p w14:paraId="6505762E" w14:textId="44AC14E7" w:rsidR="001A70B8" w:rsidRPr="007314FC" w:rsidRDefault="001A70B8" w:rsidP="00101E5D">
      <w:pPr>
        <w:pStyle w:val="FootnoteText"/>
        <w:rPr>
          <w:lang w:val="en-AU"/>
        </w:rPr>
      </w:pPr>
      <w:r>
        <w:rPr>
          <w:lang w:val="en-US"/>
        </w:rPr>
        <w:t>(</w:t>
      </w:r>
      <w:r w:rsidRPr="007314FC">
        <w:footnoteRef/>
      </w:r>
      <w:r>
        <w:rPr>
          <w:lang w:val="en-US"/>
        </w:rPr>
        <w:t>)</w:t>
      </w:r>
      <w:r>
        <w:rPr>
          <w:lang w:val="en-US"/>
        </w:rPr>
        <w:tab/>
      </w:r>
      <w:r w:rsidRPr="009F2C2A">
        <w:rPr>
          <w:rFonts w:cs="Arial"/>
          <w:szCs w:val="16"/>
          <w:shd w:val="clear" w:color="auto" w:fill="FAF9F8"/>
        </w:rPr>
        <w:t xml:space="preserve">There is </w:t>
      </w:r>
      <w:r w:rsidR="009F2C2A">
        <w:rPr>
          <w:rFonts w:cs="Arial"/>
          <w:szCs w:val="16"/>
          <w:shd w:val="clear" w:color="auto" w:fill="FAF9F8"/>
          <w:lang w:val="en-AU"/>
        </w:rPr>
        <w:t>one</w:t>
      </w:r>
      <w:r w:rsidRPr="009F2C2A">
        <w:rPr>
          <w:rFonts w:cs="Arial"/>
          <w:szCs w:val="16"/>
          <w:shd w:val="clear" w:color="auto" w:fill="FAF9F8"/>
        </w:rPr>
        <w:t xml:space="preserve"> VPS employee acting as</w:t>
      </w:r>
      <w:r w:rsidR="006021B0" w:rsidRPr="009F2C2A">
        <w:rPr>
          <w:rFonts w:cs="Arial"/>
          <w:szCs w:val="16"/>
          <w:shd w:val="clear" w:color="auto" w:fill="FAF9F8"/>
          <w:lang w:val="en-AU"/>
        </w:rPr>
        <w:t xml:space="preserve"> an</w:t>
      </w:r>
      <w:r w:rsidRPr="009F2C2A">
        <w:rPr>
          <w:rFonts w:cs="Arial"/>
          <w:szCs w:val="16"/>
          <w:shd w:val="clear" w:color="auto" w:fill="FAF9F8"/>
        </w:rPr>
        <w:t xml:space="preserve"> executive under </w:t>
      </w:r>
      <w:r w:rsidR="006021B0" w:rsidRPr="009F2C2A">
        <w:rPr>
          <w:rFonts w:cs="Arial"/>
          <w:szCs w:val="16"/>
          <w:shd w:val="clear" w:color="auto" w:fill="FAF9F8"/>
          <w:lang w:val="en-AU"/>
        </w:rPr>
        <w:t xml:space="preserve">a </w:t>
      </w:r>
      <w:r w:rsidRPr="009F2C2A">
        <w:rPr>
          <w:rFonts w:cs="Arial"/>
          <w:szCs w:val="16"/>
          <w:shd w:val="clear" w:color="auto" w:fill="FAF9F8"/>
        </w:rPr>
        <w:t>long-term acting arrangement.</w:t>
      </w:r>
    </w:p>
  </w:footnote>
  <w:footnote w:id="31">
    <w:p w14:paraId="1D93AB77" w14:textId="77777777" w:rsidR="001A70B8" w:rsidRPr="00BB3F1B" w:rsidRDefault="001A70B8" w:rsidP="00B26F8B">
      <w:pPr>
        <w:pStyle w:val="FootnoteText"/>
        <w:rPr>
          <w:lang w:val="en-US"/>
        </w:rPr>
      </w:pPr>
      <w:r>
        <w:rPr>
          <w:lang w:val="en-US"/>
        </w:rPr>
        <w:t>(</w:t>
      </w:r>
      <w:r w:rsidRPr="00BB3F1B">
        <w:footnoteRef/>
      </w:r>
      <w:r>
        <w:rPr>
          <w:lang w:val="en-US"/>
        </w:rPr>
        <w:t>)</w:t>
      </w:r>
      <w:r>
        <w:rPr>
          <w:lang w:val="en-US"/>
        </w:rPr>
        <w:tab/>
        <w:t xml:space="preserve">Abbreviations used in the column headings are: STS = </w:t>
      </w:r>
      <w:r w:rsidRPr="002A07F0">
        <w:t>Senior</w:t>
      </w:r>
      <w:r>
        <w:t xml:space="preserve"> </w:t>
      </w:r>
      <w:r w:rsidRPr="002A07F0">
        <w:t>Technical</w:t>
      </w:r>
      <w:r>
        <w:t xml:space="preserve"> </w:t>
      </w:r>
      <w:r w:rsidRPr="002A07F0">
        <w:t>Specialists</w:t>
      </w:r>
      <w:r>
        <w:rPr>
          <w:lang w:val="en-US"/>
        </w:rPr>
        <w:t>;</w:t>
      </w:r>
      <w:r>
        <w:t xml:space="preserve"> </w:t>
      </w:r>
      <w:r>
        <w:rPr>
          <w:lang w:val="en-US"/>
        </w:rPr>
        <w:t xml:space="preserve">PS = </w:t>
      </w:r>
      <w:r w:rsidRPr="002A07F0">
        <w:t>Principal</w:t>
      </w:r>
      <w:r>
        <w:t xml:space="preserve"> </w:t>
      </w:r>
      <w:r w:rsidRPr="002A07F0">
        <w:t>Scientists</w:t>
      </w:r>
      <w:r>
        <w:rPr>
          <w:lang w:val="en-US"/>
        </w:rPr>
        <w:t>;</w:t>
      </w:r>
      <w:r>
        <w:t xml:space="preserve"> </w:t>
      </w:r>
      <w:r>
        <w:rPr>
          <w:lang w:val="en-US"/>
        </w:rPr>
        <w:t xml:space="preserve">SMA = </w:t>
      </w:r>
      <w:r w:rsidRPr="002A07F0">
        <w:t>Senior</w:t>
      </w:r>
      <w:r>
        <w:t xml:space="preserve"> </w:t>
      </w:r>
      <w:r w:rsidRPr="002A07F0">
        <w:t>Medical</w:t>
      </w:r>
      <w:r>
        <w:t xml:space="preserve"> </w:t>
      </w:r>
      <w:r w:rsidRPr="002A07F0">
        <w:t>Advisors</w:t>
      </w:r>
      <w:r>
        <w:rPr>
          <w:lang w:val="en-US"/>
        </w:rPr>
        <w:t xml:space="preserve">; </w:t>
      </w:r>
      <w:r w:rsidRPr="002A07F0">
        <w:t>and</w:t>
      </w:r>
      <w:r>
        <w:t xml:space="preserve"> </w:t>
      </w:r>
      <w:r>
        <w:rPr>
          <w:lang w:val="en-US"/>
        </w:rPr>
        <w:t xml:space="preserve">SRA = </w:t>
      </w:r>
      <w:r w:rsidRPr="002A07F0">
        <w:t>Senior</w:t>
      </w:r>
      <w:r>
        <w:t xml:space="preserve"> </w:t>
      </w:r>
      <w:r w:rsidRPr="002A07F0">
        <w:t>Regulatory</w:t>
      </w:r>
      <w:r>
        <w:t xml:space="preserve"> </w:t>
      </w:r>
      <w:r w:rsidRPr="002A07F0">
        <w:t>Analysts</w:t>
      </w:r>
      <w:r>
        <w:rPr>
          <w:lang w:val="en-US"/>
        </w:rPr>
        <w:t>.</w:t>
      </w:r>
    </w:p>
  </w:footnote>
  <w:footnote w:id="32">
    <w:p w14:paraId="4525A529" w14:textId="77777777" w:rsidR="001A70B8" w:rsidRDefault="001A70B8" w:rsidP="00101E5D">
      <w:pPr>
        <w:pStyle w:val="FootnoteText"/>
        <w:rPr>
          <w:lang w:val="en-US"/>
        </w:rPr>
      </w:pPr>
      <w:r w:rsidRPr="1204680F">
        <w:rPr>
          <w:lang w:val="en-US"/>
        </w:rPr>
        <w:t>(</w:t>
      </w:r>
      <w:r>
        <w:footnoteRef/>
      </w:r>
      <w:r w:rsidRPr="1204680F">
        <w:rPr>
          <w:lang w:val="en-US"/>
        </w:rPr>
        <w:t>)</w:t>
      </w:r>
      <w:r>
        <w:tab/>
        <w:t>There is one employee employed on a part-time basis at a 0.</w:t>
      </w:r>
      <w:r w:rsidRPr="1204680F">
        <w:rPr>
          <w:lang w:val="en-AU"/>
        </w:rPr>
        <w:t>8</w:t>
      </w:r>
      <w:r>
        <w:t xml:space="preserve"> FTE rate.</w:t>
      </w:r>
    </w:p>
  </w:footnote>
  <w:footnote w:id="33">
    <w:p w14:paraId="503DE0D2" w14:textId="77777777" w:rsidR="001A70B8" w:rsidRDefault="001A70B8" w:rsidP="00101E5D">
      <w:pPr>
        <w:pStyle w:val="FootnoteText"/>
        <w:rPr>
          <w:lang w:val="en-US"/>
        </w:rPr>
      </w:pPr>
      <w:r w:rsidRPr="4506FAB0">
        <w:rPr>
          <w:lang w:val="en-US"/>
        </w:rPr>
        <w:t>(</w:t>
      </w:r>
      <w:r>
        <w:footnoteRef/>
      </w:r>
      <w:r w:rsidRPr="4506FAB0">
        <w:rPr>
          <w:lang w:val="en-US"/>
        </w:rPr>
        <w:t>)</w:t>
      </w:r>
      <w:r>
        <w:tab/>
        <w:t>There is one employee employed on a part-time basis at a 0.</w:t>
      </w:r>
      <w:r w:rsidRPr="4506FAB0">
        <w:rPr>
          <w:lang w:val="en-AU"/>
        </w:rPr>
        <w:t>5</w:t>
      </w:r>
      <w:r>
        <w:t xml:space="preserve"> FTE rate.</w:t>
      </w:r>
    </w:p>
  </w:footnote>
  <w:footnote w:id="34">
    <w:p w14:paraId="70E6CAB4" w14:textId="77777777" w:rsidR="001A70B8" w:rsidRPr="001F7C04" w:rsidRDefault="001A70B8">
      <w:pPr>
        <w:pStyle w:val="FootnoteText"/>
        <w:rPr>
          <w:lang w:val="en-US"/>
        </w:rPr>
      </w:pPr>
      <w:r>
        <w:rPr>
          <w:lang w:val="en-US"/>
        </w:rPr>
        <w:t>(</w:t>
      </w:r>
      <w:r w:rsidRPr="001B2F36">
        <w:rPr>
          <w:lang w:val="en-US"/>
        </w:rPr>
        <w:footnoteRef/>
      </w:r>
      <w:r>
        <w:rPr>
          <w:lang w:val="en-US"/>
        </w:rPr>
        <w:t>)</w:t>
      </w:r>
      <w:r>
        <w:tab/>
      </w:r>
      <w:r w:rsidRPr="002029AF">
        <w:t>FTE</w:t>
      </w:r>
      <w:r>
        <w:rPr>
          <w:lang w:val="en-US"/>
        </w:rPr>
        <w:t xml:space="preserve"> =</w:t>
      </w:r>
      <w:r>
        <w:t xml:space="preserve"> </w:t>
      </w:r>
      <w:r w:rsidRPr="002029AF">
        <w:t>full-time</w:t>
      </w:r>
      <w:r>
        <w:t xml:space="preserve"> </w:t>
      </w:r>
      <w:r w:rsidRPr="002029AF">
        <w:t>equivalent</w:t>
      </w:r>
    </w:p>
  </w:footnote>
  <w:footnote w:id="35">
    <w:p w14:paraId="60FB433D" w14:textId="77777777" w:rsidR="001A70B8" w:rsidRPr="00B037E4" w:rsidRDefault="001A70B8" w:rsidP="00101E5D">
      <w:pPr>
        <w:pStyle w:val="FootnoteText"/>
      </w:pPr>
      <w:r w:rsidRPr="001B2F36">
        <w:t>(</w:t>
      </w:r>
      <w:r w:rsidRPr="001B2F36">
        <w:footnoteRef/>
      </w:r>
      <w:r w:rsidRPr="001B2F36">
        <w:t>)</w:t>
      </w:r>
      <w:r>
        <w:tab/>
      </w:r>
      <w:r w:rsidRPr="00B037E4">
        <w:t>Figures</w:t>
      </w:r>
      <w:r>
        <w:t xml:space="preserve"> </w:t>
      </w:r>
      <w:r w:rsidRPr="00B037E4">
        <w:t>for</w:t>
      </w:r>
      <w:r>
        <w:t xml:space="preserve"> </w:t>
      </w:r>
      <w:r w:rsidRPr="00B037E4">
        <w:t>202</w:t>
      </w:r>
      <w:r>
        <w:t>0–</w:t>
      </w:r>
      <w:r w:rsidRPr="00B037E4">
        <w:t>21</w:t>
      </w:r>
      <w:r>
        <w:t xml:space="preserve"> </w:t>
      </w:r>
      <w:r w:rsidRPr="00B037E4">
        <w:t>are</w:t>
      </w:r>
      <w:r>
        <w:t xml:space="preserve"> </w:t>
      </w:r>
      <w:r w:rsidRPr="00B037E4">
        <w:t>total</w:t>
      </w:r>
      <w:r>
        <w:t xml:space="preserve"> </w:t>
      </w:r>
      <w:r w:rsidRPr="00B037E4">
        <w:t>number</w:t>
      </w:r>
      <w:r>
        <w:t xml:space="preserve"> </w:t>
      </w:r>
      <w:r w:rsidRPr="00B037E4">
        <w:t>of</w:t>
      </w:r>
      <w:r>
        <w:t xml:space="preserve"> </w:t>
      </w:r>
      <w:r w:rsidRPr="00B037E4">
        <w:t>recorded</w:t>
      </w:r>
      <w:r>
        <w:t xml:space="preserve"> </w:t>
      </w:r>
      <w:r w:rsidRPr="00B037E4">
        <w:t>hazards</w:t>
      </w:r>
      <w:r>
        <w:t xml:space="preserve"> </w:t>
      </w:r>
      <w:r w:rsidRPr="00B037E4">
        <w:t>as</w:t>
      </w:r>
      <w:r>
        <w:t xml:space="preserve"> </w:t>
      </w:r>
      <w:r w:rsidRPr="00B037E4">
        <w:t>at</w:t>
      </w:r>
      <w:r>
        <w:t xml:space="preserve"> </w:t>
      </w:r>
      <w:r w:rsidRPr="00B037E4">
        <w:t>June</w:t>
      </w:r>
      <w:r>
        <w:t xml:space="preserve"> </w:t>
      </w:r>
      <w:r w:rsidRPr="00B037E4">
        <w:t>2021.</w:t>
      </w:r>
    </w:p>
  </w:footnote>
  <w:footnote w:id="36">
    <w:p w14:paraId="224F71EC" w14:textId="77777777" w:rsidR="001A70B8" w:rsidRPr="002A6CBB" w:rsidRDefault="001A70B8" w:rsidP="00101E5D">
      <w:pPr>
        <w:pStyle w:val="FootnoteText"/>
        <w:rPr>
          <w:lang w:val="en-US"/>
        </w:rPr>
      </w:pPr>
      <w:r>
        <w:rPr>
          <w:lang w:val="en-US"/>
        </w:rPr>
        <w:t>(</w:t>
      </w:r>
      <w:r w:rsidRPr="001B2F36">
        <w:rPr>
          <w:lang w:val="en-US"/>
        </w:rPr>
        <w:footnoteRef/>
      </w:r>
      <w:r>
        <w:rPr>
          <w:lang w:val="en-US"/>
        </w:rPr>
        <w:t>)</w:t>
      </w:r>
      <w:r w:rsidRPr="002A6CBB">
        <w:tab/>
      </w:r>
      <w:r w:rsidRPr="00B037E4">
        <w:t>Figures</w:t>
      </w:r>
      <w:r>
        <w:t xml:space="preserve"> </w:t>
      </w:r>
      <w:r w:rsidRPr="00B037E4">
        <w:t>for</w:t>
      </w:r>
      <w:r>
        <w:t xml:space="preserve"> </w:t>
      </w:r>
      <w:r w:rsidRPr="00B037E4">
        <w:t>202</w:t>
      </w:r>
      <w:r>
        <w:t>0–</w:t>
      </w:r>
      <w:r w:rsidRPr="00B037E4">
        <w:t>21</w:t>
      </w:r>
      <w:r>
        <w:t xml:space="preserve"> </w:t>
      </w:r>
      <w:r w:rsidRPr="00B037E4">
        <w:t>are</w:t>
      </w:r>
      <w:r>
        <w:t xml:space="preserve"> </w:t>
      </w:r>
      <w:r w:rsidRPr="00B037E4">
        <w:t>total</w:t>
      </w:r>
      <w:r>
        <w:t xml:space="preserve"> </w:t>
      </w:r>
      <w:r w:rsidRPr="00B037E4">
        <w:t>number</w:t>
      </w:r>
      <w:r>
        <w:t xml:space="preserve"> </w:t>
      </w:r>
      <w:r w:rsidRPr="00B037E4">
        <w:t>of</w:t>
      </w:r>
      <w:r>
        <w:t xml:space="preserve"> </w:t>
      </w:r>
      <w:r w:rsidRPr="00B037E4">
        <w:t>recorded</w:t>
      </w:r>
      <w:r>
        <w:t xml:space="preserve"> </w:t>
      </w:r>
      <w:r w:rsidRPr="00B037E4">
        <w:t>incidents</w:t>
      </w:r>
      <w:r>
        <w:t xml:space="preserve"> </w:t>
      </w:r>
      <w:r w:rsidRPr="00B037E4">
        <w:t>as</w:t>
      </w:r>
      <w:r>
        <w:t xml:space="preserve"> </w:t>
      </w:r>
      <w:r w:rsidRPr="00B037E4">
        <w:t>at</w:t>
      </w:r>
      <w:r>
        <w:t xml:space="preserve"> </w:t>
      </w:r>
      <w:r w:rsidRPr="00B037E4">
        <w:t>June</w:t>
      </w:r>
      <w:r>
        <w:t xml:space="preserve"> </w:t>
      </w:r>
      <w:r w:rsidRPr="00B037E4">
        <w:t>2021.</w:t>
      </w:r>
    </w:p>
  </w:footnote>
  <w:footnote w:id="37">
    <w:p w14:paraId="5CD240C0" w14:textId="77777777" w:rsidR="001A70B8" w:rsidRPr="002D43A1" w:rsidRDefault="001A70B8" w:rsidP="00101E5D">
      <w:pPr>
        <w:pStyle w:val="FootnoteText"/>
        <w:rPr>
          <w:lang w:val="en-AU"/>
        </w:rPr>
      </w:pPr>
      <w:r>
        <w:rPr>
          <w:lang w:val="en-US"/>
        </w:rPr>
        <w:t>(</w:t>
      </w:r>
      <w:r w:rsidRPr="001B2F36">
        <w:rPr>
          <w:lang w:val="en-US"/>
        </w:rPr>
        <w:footnoteRef/>
      </w:r>
      <w:r>
        <w:rPr>
          <w:lang w:val="en-US"/>
        </w:rPr>
        <w:t>)</w:t>
      </w:r>
      <w:r>
        <w:tab/>
      </w:r>
      <w:r w:rsidRPr="00B037E4">
        <w:t>Figures</w:t>
      </w:r>
      <w:r>
        <w:t xml:space="preserve"> </w:t>
      </w:r>
      <w:r w:rsidRPr="00B037E4">
        <w:t>for</w:t>
      </w:r>
      <w:r>
        <w:t xml:space="preserve"> </w:t>
      </w:r>
      <w:r w:rsidRPr="00B037E4">
        <w:t>number</w:t>
      </w:r>
      <w:r>
        <w:t xml:space="preserve"> </w:t>
      </w:r>
      <w:r w:rsidRPr="00B037E4">
        <w:t>of</w:t>
      </w:r>
      <w:r>
        <w:t xml:space="preserve"> </w:t>
      </w:r>
      <w:r w:rsidRPr="00B037E4">
        <w:t>incidents</w:t>
      </w:r>
      <w:r>
        <w:t xml:space="preserve"> </w:t>
      </w:r>
      <w:r w:rsidRPr="00B037E4">
        <w:t>requiring</w:t>
      </w:r>
      <w:r>
        <w:t xml:space="preserve"> </w:t>
      </w:r>
      <w:r w:rsidRPr="00B037E4">
        <w:t>first</w:t>
      </w:r>
      <w:r>
        <w:t xml:space="preserve"> </w:t>
      </w:r>
      <w:r w:rsidRPr="00B037E4">
        <w:t>aid</w:t>
      </w:r>
      <w:r>
        <w:t xml:space="preserve"> </w:t>
      </w:r>
      <w:r w:rsidRPr="00B037E4">
        <w:t>and/or</w:t>
      </w:r>
      <w:r>
        <w:t xml:space="preserve"> </w:t>
      </w:r>
      <w:r w:rsidRPr="00B037E4">
        <w:t>further</w:t>
      </w:r>
      <w:r>
        <w:t xml:space="preserve"> </w:t>
      </w:r>
      <w:r w:rsidRPr="00B037E4">
        <w:t>medical</w:t>
      </w:r>
      <w:r>
        <w:t xml:space="preserve"> </w:t>
      </w:r>
      <w:r w:rsidRPr="00B037E4">
        <w:t>treatment</w:t>
      </w:r>
      <w:r>
        <w:t xml:space="preserve"> </w:t>
      </w:r>
      <w:r w:rsidRPr="00B037E4">
        <w:t>derived</w:t>
      </w:r>
      <w:r>
        <w:t xml:space="preserve"> </w:t>
      </w:r>
      <w:r w:rsidRPr="00B037E4">
        <w:t>from</w:t>
      </w:r>
      <w:r>
        <w:t xml:space="preserve"> </w:t>
      </w:r>
      <w:r w:rsidRPr="00B037E4">
        <w:t>eDINMAR</w:t>
      </w:r>
      <w:r>
        <w:t xml:space="preserve"> </w:t>
      </w:r>
      <w:r>
        <w:rPr>
          <w:lang w:val="en-AU"/>
        </w:rPr>
        <w:t xml:space="preserve">(electronic </w:t>
      </w:r>
      <w:r w:rsidRPr="00FE0FDC">
        <w:rPr>
          <w:lang w:val="en-AU"/>
        </w:rPr>
        <w:t>Disease,</w:t>
      </w:r>
      <w:r>
        <w:rPr>
          <w:lang w:val="en-AU"/>
        </w:rPr>
        <w:t xml:space="preserve"> </w:t>
      </w:r>
      <w:r w:rsidRPr="00FE0FDC">
        <w:rPr>
          <w:lang w:val="en-AU"/>
        </w:rPr>
        <w:t>Incident,</w:t>
      </w:r>
      <w:r>
        <w:rPr>
          <w:lang w:val="en-AU"/>
        </w:rPr>
        <w:t xml:space="preserve"> </w:t>
      </w:r>
      <w:r w:rsidRPr="00FE0FDC">
        <w:rPr>
          <w:lang w:val="en-AU"/>
        </w:rPr>
        <w:t>Near</w:t>
      </w:r>
      <w:r>
        <w:rPr>
          <w:lang w:val="en-AU"/>
        </w:rPr>
        <w:t xml:space="preserve"> </w:t>
      </w:r>
      <w:r w:rsidRPr="00FE0FDC">
        <w:rPr>
          <w:lang w:val="en-AU"/>
        </w:rPr>
        <w:t>Miss,</w:t>
      </w:r>
      <w:r>
        <w:rPr>
          <w:lang w:val="en-AU"/>
        </w:rPr>
        <w:t xml:space="preserve"> </w:t>
      </w:r>
      <w:r w:rsidRPr="00FE0FDC">
        <w:rPr>
          <w:lang w:val="en-AU"/>
        </w:rPr>
        <w:t>Accident</w:t>
      </w:r>
      <w:r>
        <w:rPr>
          <w:lang w:val="en-AU"/>
        </w:rPr>
        <w:t xml:space="preserve"> </w:t>
      </w:r>
      <w:r w:rsidRPr="00FE0FDC">
        <w:rPr>
          <w:lang w:val="en-AU"/>
        </w:rPr>
        <w:t>Reporting</w:t>
      </w:r>
      <w:r>
        <w:rPr>
          <w:lang w:val="en-AU"/>
        </w:rPr>
        <w:t>).</w:t>
      </w:r>
    </w:p>
  </w:footnote>
  <w:footnote w:id="38">
    <w:p w14:paraId="090AF3AC" w14:textId="77777777" w:rsidR="001A70B8" w:rsidRPr="00B037E4" w:rsidRDefault="001A70B8" w:rsidP="00101E5D">
      <w:pPr>
        <w:pStyle w:val="FootnoteText"/>
      </w:pPr>
      <w:r>
        <w:rPr>
          <w:lang w:val="en-US"/>
        </w:rPr>
        <w:t>(</w:t>
      </w:r>
      <w:r w:rsidRPr="001B2F36">
        <w:rPr>
          <w:lang w:val="en-US"/>
        </w:rPr>
        <w:footnoteRef/>
      </w:r>
      <w:r>
        <w:rPr>
          <w:lang w:val="en-US"/>
        </w:rPr>
        <w:t>)</w:t>
      </w:r>
      <w:r>
        <w:tab/>
      </w:r>
      <w:r w:rsidRPr="00B037E4">
        <w:t>Includes</w:t>
      </w:r>
      <w:r>
        <w:t xml:space="preserve"> </w:t>
      </w:r>
      <w:r w:rsidRPr="00B037E4">
        <w:t>accepted,</w:t>
      </w:r>
      <w:r>
        <w:t xml:space="preserve"> </w:t>
      </w:r>
      <w:r w:rsidRPr="00B037E4">
        <w:t>pending</w:t>
      </w:r>
      <w:r>
        <w:t xml:space="preserve"> </w:t>
      </w:r>
      <w:r w:rsidRPr="00B037E4">
        <w:t>and</w:t>
      </w:r>
      <w:r>
        <w:t xml:space="preserve"> </w:t>
      </w:r>
      <w:r w:rsidRPr="00B037E4">
        <w:t>rejected</w:t>
      </w:r>
      <w:r>
        <w:t xml:space="preserve"> </w:t>
      </w:r>
      <w:r w:rsidRPr="00B037E4">
        <w:t>claims</w:t>
      </w:r>
      <w:r>
        <w:t xml:space="preserve"> </w:t>
      </w:r>
      <w:r w:rsidRPr="00B037E4">
        <w:t>that</w:t>
      </w:r>
      <w:r>
        <w:t xml:space="preserve"> </w:t>
      </w:r>
      <w:r w:rsidRPr="00B037E4">
        <w:t>met</w:t>
      </w:r>
      <w:r>
        <w:t xml:space="preserve"> </w:t>
      </w:r>
      <w:r w:rsidRPr="00B037E4">
        <w:t>the</w:t>
      </w:r>
      <w:r>
        <w:t xml:space="preserve"> </w:t>
      </w:r>
      <w:r w:rsidRPr="00B037E4">
        <w:t>standard</w:t>
      </w:r>
      <w:r>
        <w:t xml:space="preserve"> </w:t>
      </w:r>
      <w:r w:rsidRPr="00B037E4">
        <w:t>claims</w:t>
      </w:r>
      <w:r>
        <w:t xml:space="preserve"> </w:t>
      </w:r>
      <w:r w:rsidRPr="00B037E4">
        <w:t>threshold.</w:t>
      </w:r>
    </w:p>
  </w:footnote>
  <w:footnote w:id="39">
    <w:p w14:paraId="0432D2DF" w14:textId="77777777" w:rsidR="001A70B8" w:rsidRPr="00B037E4" w:rsidRDefault="001A70B8" w:rsidP="00101E5D">
      <w:pPr>
        <w:pStyle w:val="FootnoteText"/>
      </w:pPr>
      <w:r>
        <w:rPr>
          <w:lang w:val="en-US"/>
        </w:rPr>
        <w:t>(</w:t>
      </w:r>
      <w:r w:rsidRPr="001B2F36">
        <w:rPr>
          <w:lang w:val="en-US"/>
        </w:rPr>
        <w:footnoteRef/>
      </w:r>
      <w:r>
        <w:rPr>
          <w:lang w:val="en-US"/>
        </w:rPr>
        <w:t>)</w:t>
      </w:r>
      <w:r>
        <w:tab/>
      </w:r>
      <w:r w:rsidRPr="00B037E4">
        <w:t>A</w:t>
      </w:r>
      <w:r>
        <w:t xml:space="preserve"> </w:t>
      </w:r>
      <w:r w:rsidRPr="00B037E4">
        <w:t>time-lost</w:t>
      </w:r>
      <w:r>
        <w:t xml:space="preserve"> </w:t>
      </w:r>
      <w:r w:rsidRPr="00B037E4">
        <w:t>claim</w:t>
      </w:r>
      <w:r>
        <w:t xml:space="preserve"> </w:t>
      </w:r>
      <w:r w:rsidRPr="00B037E4">
        <w:t>where</w:t>
      </w:r>
      <w:r>
        <w:t xml:space="preserve"> </w:t>
      </w:r>
      <w:r w:rsidRPr="00B037E4">
        <w:t>one</w:t>
      </w:r>
      <w:r>
        <w:t xml:space="preserve"> </w:t>
      </w:r>
      <w:r w:rsidRPr="00B037E4">
        <w:t>or</w:t>
      </w:r>
      <w:r>
        <w:t xml:space="preserve"> </w:t>
      </w:r>
      <w:r w:rsidRPr="00B037E4">
        <w:t>more</w:t>
      </w:r>
      <w:r>
        <w:t xml:space="preserve"> </w:t>
      </w:r>
      <w:r w:rsidRPr="00B037E4">
        <w:t>days</w:t>
      </w:r>
      <w:r>
        <w:t xml:space="preserve">’ </w:t>
      </w:r>
      <w:r w:rsidRPr="00B037E4">
        <w:t>compensation</w:t>
      </w:r>
      <w:r>
        <w:t xml:space="preserve"> </w:t>
      </w:r>
      <w:r w:rsidRPr="00B037E4">
        <w:t>is</w:t>
      </w:r>
      <w:r>
        <w:t xml:space="preserve"> </w:t>
      </w:r>
      <w:r w:rsidRPr="00B037E4">
        <w:t>paid</w:t>
      </w:r>
      <w:r>
        <w:t xml:space="preserve"> </w:t>
      </w:r>
      <w:r w:rsidRPr="00B037E4">
        <w:t>by</w:t>
      </w:r>
      <w:r>
        <w:t xml:space="preserve"> </w:t>
      </w:r>
      <w:r w:rsidRPr="00B037E4">
        <w:t>the</w:t>
      </w:r>
      <w:r>
        <w:t xml:space="preserve"> </w:t>
      </w:r>
      <w:r w:rsidRPr="00B037E4">
        <w:t>Victorian</w:t>
      </w:r>
      <w:r>
        <w:t xml:space="preserve"> </w:t>
      </w:r>
      <w:r w:rsidRPr="00B037E4">
        <w:t>WorkCover</w:t>
      </w:r>
      <w:r>
        <w:t xml:space="preserve"> </w:t>
      </w:r>
      <w:r w:rsidRPr="00B037E4">
        <w:t>Authority</w:t>
      </w:r>
    </w:p>
  </w:footnote>
  <w:footnote w:id="40">
    <w:p w14:paraId="2CD07022" w14:textId="7BD6903C" w:rsidR="001A70B8" w:rsidRPr="00B037E4" w:rsidRDefault="001A70B8" w:rsidP="00101E5D">
      <w:pPr>
        <w:pStyle w:val="FootnoteText"/>
      </w:pPr>
      <w:r>
        <w:rPr>
          <w:lang w:val="en-US"/>
        </w:rPr>
        <w:t>(</w:t>
      </w:r>
      <w:r w:rsidRPr="001B2F36">
        <w:rPr>
          <w:lang w:val="en-US"/>
        </w:rPr>
        <w:footnoteRef/>
      </w:r>
      <w:r>
        <w:rPr>
          <w:lang w:val="en-US"/>
        </w:rPr>
        <w:t>)</w:t>
      </w:r>
      <w:r>
        <w:tab/>
      </w:r>
      <w:r w:rsidRPr="00B037E4">
        <w:t>Data</w:t>
      </w:r>
      <w:r>
        <w:t xml:space="preserve"> </w:t>
      </w:r>
      <w:r w:rsidRPr="00B037E4">
        <w:t>extracted</w:t>
      </w:r>
      <w:r>
        <w:t xml:space="preserve"> </w:t>
      </w:r>
      <w:r w:rsidRPr="00B037E4">
        <w:t>with</w:t>
      </w:r>
      <w:r>
        <w:t xml:space="preserve"> </w:t>
      </w:r>
      <w:r w:rsidRPr="00B037E4">
        <w:t>a</w:t>
      </w:r>
      <w:r>
        <w:t xml:space="preserve"> </w:t>
      </w:r>
      <w:r w:rsidRPr="00B037E4">
        <w:t>six-month</w:t>
      </w:r>
      <w:r>
        <w:t xml:space="preserve"> </w:t>
      </w:r>
      <w:r w:rsidRPr="00B037E4">
        <w:t>lag</w:t>
      </w:r>
      <w:r>
        <w:t xml:space="preserve"> </w:t>
      </w:r>
      <w:r w:rsidRPr="00B037E4">
        <w:t>to</w:t>
      </w:r>
      <w:r>
        <w:t xml:space="preserve"> </w:t>
      </w:r>
      <w:r w:rsidRPr="00B037E4">
        <w:t>allow</w:t>
      </w:r>
      <w:r>
        <w:t xml:space="preserve"> </w:t>
      </w:r>
      <w:r w:rsidRPr="00B037E4">
        <w:t>for</w:t>
      </w:r>
      <w:r>
        <w:t xml:space="preserve"> </w:t>
      </w:r>
      <w:r w:rsidRPr="00B037E4">
        <w:t>claims</w:t>
      </w:r>
      <w:r>
        <w:t xml:space="preserve"> </w:t>
      </w:r>
      <w:r w:rsidRPr="00B037E4">
        <w:t>to</w:t>
      </w:r>
      <w:r>
        <w:t xml:space="preserve"> </w:t>
      </w:r>
      <w:r w:rsidRPr="00B037E4">
        <w:t>reach</w:t>
      </w:r>
      <w:r>
        <w:t xml:space="preserve"> </w:t>
      </w:r>
      <w:r w:rsidRPr="00B037E4">
        <w:t>13</w:t>
      </w:r>
      <w:r>
        <w:t xml:space="preserve"> </w:t>
      </w:r>
      <w:r w:rsidRPr="00B037E4">
        <w:t>weeks</w:t>
      </w:r>
      <w:r w:rsidR="00184856">
        <w:rPr>
          <w:lang w:val="en-AU"/>
        </w:rPr>
        <w:t>’</w:t>
      </w:r>
      <w:r>
        <w:t xml:space="preserve"> </w:t>
      </w:r>
      <w:r w:rsidRPr="00B037E4">
        <w:t>compensation.</w:t>
      </w:r>
    </w:p>
  </w:footnote>
  <w:footnote w:id="41">
    <w:p w14:paraId="536A87E4" w14:textId="77777777" w:rsidR="001A70B8" w:rsidRPr="00B037E4" w:rsidRDefault="001A70B8" w:rsidP="00101E5D">
      <w:pPr>
        <w:pStyle w:val="FootnoteText"/>
      </w:pPr>
      <w:r>
        <w:rPr>
          <w:lang w:val="en-US"/>
        </w:rPr>
        <w:t>(</w:t>
      </w:r>
      <w:r w:rsidRPr="001B2F36">
        <w:rPr>
          <w:lang w:val="en-US"/>
        </w:rPr>
        <w:footnoteRef/>
      </w:r>
      <w:r>
        <w:rPr>
          <w:lang w:val="en-US"/>
        </w:rPr>
        <w:t>)</w:t>
      </w:r>
      <w:r w:rsidRPr="00B037E4">
        <w:tab/>
        <w:t>Refers</w:t>
      </w:r>
      <w:r>
        <w:t xml:space="preserve"> </w:t>
      </w:r>
      <w:r w:rsidRPr="00B037E4">
        <w:t>to</w:t>
      </w:r>
      <w:r>
        <w:t xml:space="preserve"> </w:t>
      </w:r>
      <w:r w:rsidRPr="00B037E4">
        <w:t>all</w:t>
      </w:r>
      <w:r>
        <w:t xml:space="preserve"> </w:t>
      </w:r>
      <w:r w:rsidRPr="00B037E4">
        <w:t>health</w:t>
      </w:r>
      <w:r>
        <w:t xml:space="preserve"> </w:t>
      </w:r>
      <w:r w:rsidRPr="00B037E4">
        <w:t>safety</w:t>
      </w:r>
      <w:r>
        <w:t xml:space="preserve"> </w:t>
      </w:r>
      <w:r w:rsidRPr="00B037E4">
        <w:t>and</w:t>
      </w:r>
      <w:r>
        <w:t xml:space="preserve"> </w:t>
      </w:r>
      <w:r w:rsidRPr="00B037E4">
        <w:t>wellbeing</w:t>
      </w:r>
      <w:r>
        <w:t xml:space="preserve"> </w:t>
      </w:r>
      <w:r w:rsidRPr="00B037E4">
        <w:t>prosecutions.</w:t>
      </w:r>
    </w:p>
  </w:footnote>
  <w:footnote w:id="42">
    <w:p w14:paraId="38EC10DE" w14:textId="77777777" w:rsidR="001A70B8" w:rsidRPr="00B037E4" w:rsidRDefault="001A70B8" w:rsidP="00101E5D">
      <w:pPr>
        <w:pStyle w:val="FootnoteText"/>
      </w:pPr>
      <w:r>
        <w:rPr>
          <w:lang w:val="en-US"/>
        </w:rPr>
        <w:t>(</w:t>
      </w:r>
      <w:r w:rsidRPr="001B2F36">
        <w:rPr>
          <w:lang w:val="en-US"/>
        </w:rPr>
        <w:footnoteRef/>
      </w:r>
      <w:r>
        <w:rPr>
          <w:lang w:val="en-US"/>
        </w:rPr>
        <w:t>)</w:t>
      </w:r>
      <w:r>
        <w:tab/>
      </w:r>
      <w:r w:rsidRPr="00B037E4">
        <w:t>Includes</w:t>
      </w:r>
      <w:r>
        <w:t xml:space="preserve"> </w:t>
      </w:r>
      <w:r w:rsidRPr="00B037E4">
        <w:t>payments</w:t>
      </w:r>
      <w:r>
        <w:t xml:space="preserve"> </w:t>
      </w:r>
      <w:r w:rsidRPr="00B037E4">
        <w:t>and</w:t>
      </w:r>
      <w:r>
        <w:t xml:space="preserve"> </w:t>
      </w:r>
      <w:r w:rsidRPr="00B037E4">
        <w:t>estimated</w:t>
      </w:r>
      <w:r>
        <w:t xml:space="preserve"> </w:t>
      </w:r>
      <w:r w:rsidRPr="00B037E4">
        <w:t>future</w:t>
      </w:r>
      <w:r>
        <w:t xml:space="preserve"> </w:t>
      </w:r>
      <w:r w:rsidRPr="00B037E4">
        <w:t>costs.</w:t>
      </w:r>
    </w:p>
  </w:footnote>
  <w:footnote w:id="43">
    <w:p w14:paraId="534FE2B9" w14:textId="77777777" w:rsidR="001A70B8" w:rsidRPr="00DE2270" w:rsidRDefault="001A70B8" w:rsidP="00101E5D">
      <w:pPr>
        <w:pStyle w:val="FootnoteText"/>
        <w:rPr>
          <w:lang w:val="en-AU"/>
        </w:rPr>
      </w:pPr>
      <w:r>
        <w:rPr>
          <w:lang w:val="en-US"/>
        </w:rPr>
        <w:t>(</w:t>
      </w:r>
      <w:r w:rsidRPr="001B2F36">
        <w:rPr>
          <w:lang w:val="en-US"/>
        </w:rPr>
        <w:footnoteRef/>
      </w:r>
      <w:r>
        <w:rPr>
          <w:lang w:val="en-US"/>
        </w:rPr>
        <w:t xml:space="preserve">) </w:t>
      </w:r>
      <w:r>
        <w:tab/>
      </w:r>
      <w:r>
        <w:rPr>
          <w:lang w:val="en-US"/>
        </w:rPr>
        <w:t>D</w:t>
      </w:r>
      <w:r w:rsidR="00DE57B3">
        <w:rPr>
          <w:lang w:val="en-US"/>
        </w:rPr>
        <w:t>ata</w:t>
      </w:r>
      <w:r>
        <w:t xml:space="preserve"> </w:t>
      </w:r>
      <w:r w:rsidRPr="00B037E4">
        <w:t>extracted</w:t>
      </w:r>
      <w:r>
        <w:t xml:space="preserve"> </w:t>
      </w:r>
      <w:r w:rsidRPr="00B037E4">
        <w:t>with</w:t>
      </w:r>
      <w:r>
        <w:t xml:space="preserve"> </w:t>
      </w:r>
      <w:r w:rsidRPr="00B037E4">
        <w:t>a</w:t>
      </w:r>
      <w:r>
        <w:t xml:space="preserve"> </w:t>
      </w:r>
      <w:r w:rsidRPr="00B037E4">
        <w:t>three-month</w:t>
      </w:r>
      <w:r>
        <w:t xml:space="preserve"> </w:t>
      </w:r>
      <w:r w:rsidRPr="00B037E4">
        <w:t>lag</w:t>
      </w:r>
      <w:r>
        <w:t xml:space="preserve"> </w:t>
      </w:r>
      <w:r w:rsidRPr="00B037E4">
        <w:t>to</w:t>
      </w:r>
      <w:r>
        <w:t xml:space="preserve"> </w:t>
      </w:r>
      <w:r w:rsidRPr="00B037E4">
        <w:t>allow</w:t>
      </w:r>
      <w:r>
        <w:t xml:space="preserve"> </w:t>
      </w:r>
      <w:r w:rsidRPr="00DE2270">
        <w:t>for</w:t>
      </w:r>
      <w:r>
        <w:t xml:space="preserve"> </w:t>
      </w:r>
      <w:r w:rsidRPr="00DE2270">
        <w:t>the</w:t>
      </w:r>
      <w:r>
        <w:t xml:space="preserve"> </w:t>
      </w:r>
      <w:r w:rsidRPr="00DE2270">
        <w:t>claims</w:t>
      </w:r>
      <w:r>
        <w:t xml:space="preserve"> </w:t>
      </w:r>
      <w:r w:rsidRPr="00DE2270">
        <w:t>estimate</w:t>
      </w:r>
      <w:r>
        <w:t xml:space="preserve"> </w:t>
      </w:r>
      <w:r w:rsidRPr="00DE2270">
        <w:t>to</w:t>
      </w:r>
      <w:r>
        <w:t xml:space="preserve"> </w:t>
      </w:r>
      <w:r w:rsidRPr="00DE2270">
        <w:t>develop</w:t>
      </w:r>
      <w:r>
        <w:t xml:space="preserve"> </w:t>
      </w:r>
      <w:r w:rsidRPr="00DE2270">
        <w:t>to</w:t>
      </w:r>
      <w:r>
        <w:t xml:space="preserve"> </w:t>
      </w:r>
      <w:r w:rsidRPr="00DE2270">
        <w:t>give</w:t>
      </w:r>
      <w:r>
        <w:t xml:space="preserve"> </w:t>
      </w:r>
      <w:r w:rsidRPr="00DE2270">
        <w:t>an</w:t>
      </w:r>
      <w:r>
        <w:t xml:space="preserve"> </w:t>
      </w:r>
      <w:r w:rsidRPr="00DE2270">
        <w:t>accurate</w:t>
      </w:r>
      <w:r>
        <w:t xml:space="preserve"> </w:t>
      </w:r>
      <w:r w:rsidRPr="00DE2270">
        <w:t>picture</w:t>
      </w:r>
      <w:r>
        <w:t xml:space="preserve"> </w:t>
      </w:r>
      <w:r w:rsidRPr="00DE2270">
        <w:t>of</w:t>
      </w:r>
      <w:r>
        <w:t xml:space="preserve"> </w:t>
      </w:r>
      <w:r w:rsidRPr="00DE2270">
        <w:t>associated</w:t>
      </w:r>
      <w:r>
        <w:t xml:space="preserve"> </w:t>
      </w:r>
      <w:r w:rsidRPr="00DE2270">
        <w:t>costs.</w:t>
      </w:r>
    </w:p>
  </w:footnote>
  <w:footnote w:id="44">
    <w:p w14:paraId="5949071D" w14:textId="2F8CAEDE" w:rsidR="000D1544" w:rsidRPr="00ED2B53" w:rsidRDefault="000D1544" w:rsidP="000D1544">
      <w:pPr>
        <w:pStyle w:val="FootnoteText"/>
        <w:rPr>
          <w:lang w:val="en-US"/>
        </w:rPr>
      </w:pPr>
      <w:r>
        <w:rPr>
          <w:lang w:val="en-US"/>
        </w:rPr>
        <w:t>(</w:t>
      </w:r>
      <w:r w:rsidRPr="00ED2B53">
        <w:footnoteRef/>
      </w:r>
      <w:r>
        <w:rPr>
          <w:lang w:val="en-US"/>
        </w:rPr>
        <w:t>)</w:t>
      </w:r>
      <w:r>
        <w:tab/>
      </w:r>
      <w:r w:rsidR="003C3748" w:rsidRPr="003C3748">
        <w:t>The total approved project fee represents the lifecycle contract value and includes expenditure incurred in previous years.</w:t>
      </w:r>
    </w:p>
  </w:footnote>
  <w:footnote w:id="45">
    <w:p w14:paraId="0AD9C8DB" w14:textId="7638A0D5" w:rsidR="00FD0044" w:rsidRPr="00ED2B53" w:rsidRDefault="00FD0044" w:rsidP="00FD0044">
      <w:pPr>
        <w:pStyle w:val="FootnoteText"/>
        <w:rPr>
          <w:lang w:val="en-US"/>
        </w:rPr>
      </w:pPr>
      <w:r>
        <w:rPr>
          <w:lang w:val="en-US"/>
        </w:rPr>
        <w:t>(</w:t>
      </w:r>
      <w:r w:rsidRPr="00ED2B53">
        <w:footnoteRef/>
      </w:r>
      <w:r>
        <w:rPr>
          <w:lang w:val="en-US"/>
        </w:rPr>
        <w:t>)</w:t>
      </w:r>
      <w:r>
        <w:tab/>
      </w:r>
      <w:r w:rsidR="009F542A">
        <w:rPr>
          <w:lang w:val="en-AU"/>
        </w:rPr>
        <w:t>Figures of $0 i</w:t>
      </w:r>
      <w:r w:rsidR="00BD4405">
        <w:rPr>
          <w:lang w:val="en-AU"/>
        </w:rPr>
        <w:t>ndicate that the</w:t>
      </w:r>
      <w:r w:rsidR="009F542A" w:rsidRPr="009F542A">
        <w:t xml:space="preserve"> contract </w:t>
      </w:r>
      <w:r w:rsidR="00BD4405">
        <w:rPr>
          <w:lang w:val="en-AU"/>
        </w:rPr>
        <w:t xml:space="preserve">expired </w:t>
      </w:r>
      <w:r w:rsidR="009F542A" w:rsidRPr="009F542A">
        <w:t>in the 2021</w:t>
      </w:r>
      <w:r w:rsidR="00005B94">
        <w:rPr>
          <w:lang w:val="en-US"/>
        </w:rPr>
        <w:t>–</w:t>
      </w:r>
      <w:r w:rsidR="009F542A" w:rsidRPr="009F542A">
        <w:t>22 financial year, noting instances where expenditure occurred in previous financial years</w:t>
      </w:r>
    </w:p>
  </w:footnote>
  <w:footnote w:id="46">
    <w:p w14:paraId="6727176E" w14:textId="77777777" w:rsidR="00204EF1" w:rsidRPr="00521AEB" w:rsidRDefault="00204EF1" w:rsidP="00204EF1">
      <w:pPr>
        <w:pStyle w:val="FootnoteText"/>
        <w:rPr>
          <w:lang w:val="en-US"/>
        </w:rPr>
      </w:pPr>
      <w:r>
        <w:rPr>
          <w:lang w:val="en-US"/>
        </w:rPr>
        <w:t>(</w:t>
      </w:r>
      <w:r w:rsidRPr="00521AEB">
        <w:footnoteRef/>
      </w:r>
      <w:r>
        <w:rPr>
          <w:lang w:val="en-US"/>
        </w:rPr>
        <w:t>)</w:t>
      </w:r>
      <w:r>
        <w:tab/>
      </w:r>
      <w:r>
        <w:rPr>
          <w:lang w:val="en-AU"/>
        </w:rPr>
        <w:t>This category includes the following related</w:t>
      </w:r>
      <w:r>
        <w:t xml:space="preserve"> campaigns: Restrictions, roadmap to recovery, zones, permits, border bubble</w:t>
      </w:r>
      <w:r>
        <w:rPr>
          <w:lang w:val="en-AU"/>
        </w:rPr>
        <w:t>,</w:t>
      </w:r>
      <w:r>
        <w:t xml:space="preserve"> exposure sites</w:t>
      </w:r>
      <w:r>
        <w:rPr>
          <w:lang w:val="en-AU"/>
        </w:rPr>
        <w:t xml:space="preserve"> and roadmap to recovery</w:t>
      </w:r>
      <w:r>
        <w:t>.</w:t>
      </w:r>
    </w:p>
  </w:footnote>
  <w:footnote w:id="47">
    <w:p w14:paraId="61BAB2D2" w14:textId="0B8B4141" w:rsidR="00204EF1" w:rsidRPr="00521AEB" w:rsidRDefault="00204EF1" w:rsidP="00204EF1">
      <w:pPr>
        <w:pStyle w:val="FootnoteText"/>
        <w:rPr>
          <w:lang w:val="en-US"/>
        </w:rPr>
      </w:pPr>
      <w:r>
        <w:rPr>
          <w:lang w:val="en-US"/>
        </w:rPr>
        <w:t>(</w:t>
      </w:r>
      <w:r w:rsidRPr="00521AEB">
        <w:footnoteRef/>
      </w:r>
      <w:r>
        <w:rPr>
          <w:lang w:val="en-US"/>
        </w:rPr>
        <w:t>)</w:t>
      </w:r>
      <w:r w:rsidRPr="00521AEB">
        <w:tab/>
      </w:r>
      <w:r>
        <w:rPr>
          <w:lang w:val="en-AU"/>
        </w:rPr>
        <w:t>This category includes the following related</w:t>
      </w:r>
      <w:r>
        <w:t xml:space="preserve"> campaigns: Voices for vaccine, vaccination is your ticket, fabjab</w:t>
      </w:r>
      <w:r>
        <w:rPr>
          <w:lang w:val="en-AU"/>
        </w:rPr>
        <w:t>,</w:t>
      </w:r>
      <w:r>
        <w:t xml:space="preserve"> Uncle Jack</w:t>
      </w:r>
      <w:r>
        <w:rPr>
          <w:lang w:val="en-AU"/>
        </w:rPr>
        <w:t>,</w:t>
      </w:r>
      <w:r>
        <w:t xml:space="preserve"> </w:t>
      </w:r>
      <w:r w:rsidR="00BF7E1E">
        <w:t>5–</w:t>
      </w:r>
      <w:r>
        <w:t>11</w:t>
      </w:r>
      <w:r>
        <w:rPr>
          <w:lang w:val="en-AU"/>
        </w:rPr>
        <w:t xml:space="preserve"> vaccination and</w:t>
      </w:r>
      <w:r>
        <w:t xml:space="preserve"> third dose.</w:t>
      </w:r>
    </w:p>
  </w:footnote>
  <w:footnote w:id="48">
    <w:p w14:paraId="526B16A7" w14:textId="2592770E" w:rsidR="00204EF1" w:rsidRPr="00ED2B53" w:rsidRDefault="00204EF1" w:rsidP="00204EF1">
      <w:pPr>
        <w:pStyle w:val="FootnoteText"/>
        <w:rPr>
          <w:lang w:val="en-US"/>
        </w:rPr>
      </w:pPr>
      <w:r>
        <w:rPr>
          <w:lang w:val="en-US"/>
        </w:rPr>
        <w:t>(</w:t>
      </w:r>
      <w:r w:rsidRPr="00ED2B53">
        <w:footnoteRef/>
      </w:r>
      <w:r>
        <w:rPr>
          <w:lang w:val="en-US"/>
        </w:rPr>
        <w:t>)</w:t>
      </w:r>
      <w:r>
        <w:tab/>
      </w:r>
      <w:r>
        <w:rPr>
          <w:lang w:val="en-AU"/>
        </w:rPr>
        <w:t xml:space="preserve">The campaigns </w:t>
      </w:r>
      <w:r w:rsidR="00BF7E1E">
        <w:rPr>
          <w:lang w:val="en-AU"/>
        </w:rPr>
        <w:t>5–</w:t>
      </w:r>
      <w:r>
        <w:rPr>
          <w:lang w:val="en-AU"/>
        </w:rPr>
        <w:t>11 vaccination and third dose</w:t>
      </w:r>
      <w:r w:rsidRPr="00ED2B53">
        <w:t xml:space="preserve"> continued into </w:t>
      </w:r>
      <w:r>
        <w:rPr>
          <w:lang w:val="en-US"/>
        </w:rPr>
        <w:t xml:space="preserve">the </w:t>
      </w:r>
      <w:r w:rsidR="00BF7E1E">
        <w:rPr>
          <w:lang w:val="en-AU"/>
        </w:rPr>
        <w:t>2022–23</w:t>
      </w:r>
      <w:r w:rsidRPr="00ED2B53">
        <w:t xml:space="preserve"> </w:t>
      </w:r>
      <w:r>
        <w:rPr>
          <w:lang w:val="en-US"/>
        </w:rPr>
        <w:t>financial year.</w:t>
      </w:r>
    </w:p>
  </w:footnote>
  <w:footnote w:id="49">
    <w:p w14:paraId="7150E1E0" w14:textId="417C578E" w:rsidR="00204EF1" w:rsidRPr="00ED2B53" w:rsidRDefault="00204EF1" w:rsidP="00204EF1">
      <w:pPr>
        <w:pStyle w:val="FootnoteText"/>
        <w:rPr>
          <w:lang w:val="en-US"/>
        </w:rPr>
      </w:pPr>
      <w:r>
        <w:rPr>
          <w:lang w:val="en-US"/>
        </w:rPr>
        <w:t>(</w:t>
      </w:r>
      <w:r w:rsidRPr="00ED2B53">
        <w:footnoteRef/>
      </w:r>
      <w:r>
        <w:rPr>
          <w:lang w:val="en-US"/>
        </w:rPr>
        <w:t>)</w:t>
      </w:r>
      <w:r>
        <w:tab/>
      </w:r>
      <w:r w:rsidR="00994AF5">
        <w:rPr>
          <w:lang w:val="en-AU"/>
        </w:rPr>
        <w:t>This</w:t>
      </w:r>
      <w:r>
        <w:rPr>
          <w:lang w:val="en-AU"/>
        </w:rPr>
        <w:t xml:space="preserve"> campaign </w:t>
      </w:r>
      <w:r w:rsidRPr="00ED2B53">
        <w:t xml:space="preserve">continued into </w:t>
      </w:r>
      <w:r>
        <w:rPr>
          <w:lang w:val="en-US"/>
        </w:rPr>
        <w:t xml:space="preserve">the </w:t>
      </w:r>
      <w:r>
        <w:rPr>
          <w:lang w:val="en-AU"/>
        </w:rPr>
        <w:t>2022–23</w:t>
      </w:r>
      <w:r w:rsidRPr="00ED2B53">
        <w:t xml:space="preserve"> </w:t>
      </w:r>
      <w:r>
        <w:rPr>
          <w:lang w:val="en-US"/>
        </w:rPr>
        <w:t>financial year.</w:t>
      </w:r>
    </w:p>
  </w:footnote>
  <w:footnote w:id="50">
    <w:p w14:paraId="6666DFC0" w14:textId="2996E2CC" w:rsidR="00554922" w:rsidRPr="00554922" w:rsidRDefault="00EA0CD7">
      <w:pPr>
        <w:pStyle w:val="FootnoteText"/>
        <w:rPr>
          <w:lang w:val="en-AU"/>
        </w:rPr>
      </w:pPr>
      <w:r>
        <w:rPr>
          <w:lang w:val="en-US"/>
        </w:rPr>
        <w:t>(</w:t>
      </w:r>
      <w:r w:rsidR="00554922" w:rsidRPr="00EA0CD7">
        <w:rPr>
          <w:lang w:val="en-US"/>
        </w:rPr>
        <w:footnoteRef/>
      </w:r>
      <w:r>
        <w:rPr>
          <w:lang w:val="en-US"/>
        </w:rPr>
        <w:t>)</w:t>
      </w:r>
      <w:r w:rsidR="00554922" w:rsidRPr="00EA0CD7">
        <w:rPr>
          <w:lang w:val="en-US"/>
        </w:rPr>
        <w:t xml:space="preserve"> </w:t>
      </w:r>
      <w:r w:rsidR="00554922" w:rsidRPr="00554922">
        <w:t>Th</w:t>
      </w:r>
      <w:r w:rsidR="00554922">
        <w:rPr>
          <w:lang w:val="en-AU"/>
        </w:rPr>
        <w:t>ese</w:t>
      </w:r>
      <w:r w:rsidR="00554922" w:rsidRPr="00554922">
        <w:t xml:space="preserve"> campaign</w:t>
      </w:r>
      <w:r w:rsidR="00554922">
        <w:rPr>
          <w:lang w:val="en-AU"/>
        </w:rPr>
        <w:t>s</w:t>
      </w:r>
      <w:r w:rsidR="00554922" w:rsidRPr="00554922">
        <w:t xml:space="preserve"> continued into the 2022–23 financial year.</w:t>
      </w:r>
    </w:p>
  </w:footnote>
  <w:footnote w:id="51">
    <w:p w14:paraId="64931E50" w14:textId="7D67B90B" w:rsidR="00B60921" w:rsidRPr="00B60921" w:rsidRDefault="006A5912" w:rsidP="00400753">
      <w:pPr>
        <w:pStyle w:val="FootnoteText"/>
        <w:rPr>
          <w:lang w:val="en-US"/>
        </w:rPr>
      </w:pPr>
      <w:r>
        <w:rPr>
          <w:lang w:val="en-US"/>
        </w:rPr>
        <w:t>(</w:t>
      </w:r>
      <w:r w:rsidR="00B60921" w:rsidRPr="006A5912">
        <w:footnoteRef/>
      </w:r>
      <w:r>
        <w:rPr>
          <w:lang w:val="en-US"/>
        </w:rPr>
        <w:t>)</w:t>
      </w:r>
      <w:r w:rsidR="00B60921">
        <w:rPr>
          <w:lang w:val="en-US"/>
        </w:rPr>
        <w:tab/>
      </w:r>
      <w:r w:rsidR="00B60921" w:rsidRPr="4A3BA4E5">
        <w:t>The Department of Environment, Land, Water and Planning (DELWP</w:t>
      </w:r>
      <w:r w:rsidR="00B60921" w:rsidRPr="009C6D78">
        <w:t xml:space="preserve">) </w:t>
      </w:r>
      <w:r w:rsidR="009C6D78">
        <w:rPr>
          <w:lang w:val="en-AU"/>
        </w:rPr>
        <w:t>c</w:t>
      </w:r>
      <w:r w:rsidR="00E36EE8">
        <w:rPr>
          <w:lang w:val="en-AU"/>
        </w:rPr>
        <w:t xml:space="preserve">overs </w:t>
      </w:r>
      <w:r w:rsidR="00B60921" w:rsidRPr="4A3BA4E5">
        <w:t>the cost of green power</w:t>
      </w:r>
      <w:r w:rsidR="00B60921" w:rsidRPr="11D611A5">
        <w:t xml:space="preserve"> at 2 Lonsdale Street.</w:t>
      </w:r>
    </w:p>
  </w:footnote>
  <w:footnote w:id="52">
    <w:p w14:paraId="7ADE1500" w14:textId="5D1BAA79" w:rsidR="008B5BD3" w:rsidRPr="008B5BD3" w:rsidRDefault="008B5BD3">
      <w:pPr>
        <w:pStyle w:val="FootnoteText"/>
        <w:rPr>
          <w:lang w:val="en-US"/>
        </w:rPr>
      </w:pPr>
      <w:r>
        <w:rPr>
          <w:lang w:val="en-US"/>
        </w:rPr>
        <w:t>(</w:t>
      </w:r>
      <w:r w:rsidRPr="008B5BD3">
        <w:footnoteRef/>
      </w:r>
      <w:r>
        <w:rPr>
          <w:lang w:val="en-US"/>
        </w:rPr>
        <w:t>)</w:t>
      </w:r>
      <w:r>
        <w:tab/>
      </w:r>
      <w:r w:rsidRPr="008B5BD3">
        <w:t>Certified fibre sourcing means that the supplier and/or manufacturer has asserted that the fibre sourced for the paper meets either an international forestry management standard or has a chain-of-custody certification linking the product and fibre sourcing. Accepted certification schemes are the Forestry Stewardship Council, Australian Forestry Standard or other country-specific standards endorsed by the Programme for the Endorsement of Forest Certification.</w:t>
      </w:r>
    </w:p>
  </w:footnote>
  <w:footnote w:id="53">
    <w:p w14:paraId="2A2365F3" w14:textId="4D730421" w:rsidR="009E243D" w:rsidRPr="009E243D" w:rsidRDefault="009E243D">
      <w:pPr>
        <w:pStyle w:val="FootnoteText"/>
        <w:rPr>
          <w:lang w:val="en-US"/>
        </w:rPr>
      </w:pPr>
      <w:r>
        <w:rPr>
          <w:lang w:val="en-US"/>
        </w:rPr>
        <w:t>(</w:t>
      </w:r>
      <w:r w:rsidRPr="009E243D">
        <w:footnoteRef/>
      </w:r>
      <w:r>
        <w:rPr>
          <w:lang w:val="en-US"/>
        </w:rPr>
        <w:t>)</w:t>
      </w:r>
      <w:r>
        <w:rPr>
          <w:lang w:val="en-US"/>
        </w:rPr>
        <w:tab/>
      </w:r>
      <w:r w:rsidRPr="009E243D">
        <w:rPr>
          <w:lang w:val="en-US"/>
        </w:rPr>
        <w:t xml:space="preserve">2.5 μm is included in the10 μm reported particulate matter (for further information on methodology </w:t>
      </w:r>
      <w:r w:rsidR="005B641B" w:rsidRPr="009E243D">
        <w:rPr>
          <w:lang w:val="en-US"/>
        </w:rPr>
        <w:t xml:space="preserve">refer </w:t>
      </w:r>
      <w:r w:rsidR="005B641B">
        <w:rPr>
          <w:lang w:val="en-US"/>
        </w:rPr>
        <w:t xml:space="preserve">to </w:t>
      </w:r>
      <w:r w:rsidRPr="009E243D">
        <w:rPr>
          <w:lang w:val="en-US"/>
        </w:rPr>
        <w:t>&lt;https://www.npi.gov.au/resource/national-pollutant-inventory-guide&gt;).</w:t>
      </w:r>
    </w:p>
  </w:footnote>
  <w:footnote w:id="54">
    <w:p w14:paraId="269464EE" w14:textId="493E75E1" w:rsidR="009E243D" w:rsidRPr="009E243D" w:rsidRDefault="009E243D">
      <w:pPr>
        <w:pStyle w:val="FootnoteText"/>
        <w:rPr>
          <w:lang w:val="en-US"/>
        </w:rPr>
      </w:pPr>
      <w:r>
        <w:rPr>
          <w:lang w:val="en-US"/>
        </w:rPr>
        <w:t>(</w:t>
      </w:r>
      <w:r w:rsidRPr="009E243D">
        <w:footnoteRef/>
      </w:r>
      <w:r>
        <w:rPr>
          <w:lang w:val="en-US"/>
        </w:rPr>
        <w:t>)</w:t>
      </w:r>
      <w:r>
        <w:rPr>
          <w:lang w:val="en-US"/>
        </w:rPr>
        <w:tab/>
      </w:r>
      <w:r w:rsidRPr="009E243D">
        <w:rPr>
          <w:lang w:val="en-US"/>
        </w:rPr>
        <w:t>Other substances include arsenic and compounds, beryllium and compounds, cadmium and compounds, chromium</w:t>
      </w:r>
      <w:r w:rsidR="00A17AAB">
        <w:rPr>
          <w:lang w:val="en-US"/>
        </w:rPr>
        <w:t xml:space="preserve"> (</w:t>
      </w:r>
      <w:r w:rsidR="00A17AAB" w:rsidRPr="00A17AAB">
        <w:rPr>
          <w:lang w:val="en-US"/>
        </w:rPr>
        <w:t>III</w:t>
      </w:r>
      <w:r w:rsidR="00A17AAB">
        <w:rPr>
          <w:lang w:val="en-US"/>
        </w:rPr>
        <w:t>)</w:t>
      </w:r>
      <w:r w:rsidR="00A17AAB" w:rsidRPr="00A17AAB">
        <w:rPr>
          <w:lang w:val="en-US"/>
        </w:rPr>
        <w:t xml:space="preserve"> </w:t>
      </w:r>
      <w:r w:rsidRPr="009E243D">
        <w:rPr>
          <w:lang w:val="en-US"/>
        </w:rPr>
        <w:t>compounds, cobalt and compounds, copper and compounds, lead and compounds, manganese and compounds, mercury and compounds, nickel and compounds, polycyclic aromatic hydrocarbon (</w:t>
      </w:r>
      <w:r w:rsidR="00153462" w:rsidRPr="00153462">
        <w:rPr>
          <w:lang w:val="en-US"/>
        </w:rPr>
        <w:t>toxic equivalency</w:t>
      </w:r>
      <w:r w:rsidRPr="009E243D">
        <w:rPr>
          <w:lang w:val="en-US"/>
        </w:rPr>
        <w:t xml:space="preserve">), polychlorinated dioxins and furans (B[a]Peq), selenium and compounds, sulfur dioxide, total </w:t>
      </w:r>
      <w:r w:rsidR="001F77AC">
        <w:rPr>
          <w:lang w:val="en-US"/>
        </w:rPr>
        <w:t>v</w:t>
      </w:r>
      <w:r w:rsidR="001F77AC" w:rsidRPr="001F77AC">
        <w:rPr>
          <w:lang w:val="en-US"/>
        </w:rPr>
        <w:t>olatile organic compounds</w:t>
      </w:r>
      <w:r w:rsidRPr="009E243D">
        <w:rPr>
          <w:lang w:val="en-US"/>
        </w:rPr>
        <w:t>, zinc and compounds.</w:t>
      </w:r>
    </w:p>
  </w:footnote>
  <w:footnote w:id="55">
    <w:p w14:paraId="109ED6BA" w14:textId="275FE2E7" w:rsidR="00505405" w:rsidRPr="00E21A19" w:rsidRDefault="00505405" w:rsidP="00505405">
      <w:pPr>
        <w:pStyle w:val="FootnoteText"/>
        <w:ind w:left="426" w:hanging="426"/>
        <w:rPr>
          <w:lang w:val="en-AU"/>
        </w:rPr>
      </w:pPr>
      <w:r>
        <w:rPr>
          <w:lang w:val="en-AU"/>
        </w:rPr>
        <w:t>(</w:t>
      </w:r>
      <w:r w:rsidRPr="005C67BF">
        <w:rPr>
          <w:rStyle w:val="FootnoteReference"/>
          <w:vertAlign w:val="baseline"/>
        </w:rPr>
        <w:footnoteRef/>
      </w:r>
      <w:r>
        <w:rPr>
          <w:lang w:val="en-AU"/>
        </w:rPr>
        <w:t>)</w:t>
      </w:r>
      <w:r>
        <w:tab/>
      </w:r>
      <w:r w:rsidR="004019C0" w:rsidRPr="00CF131F">
        <w:rPr>
          <w:lang w:val="en-AU"/>
        </w:rPr>
        <w:t>Restrictions</w:t>
      </w:r>
      <w:r w:rsidRPr="00CF131F">
        <w:rPr>
          <w:lang w:val="en-AU"/>
        </w:rPr>
        <w:t xml:space="preserve"> throughout this section refers </w:t>
      </w:r>
      <w:r w:rsidR="001B4E88" w:rsidRPr="00CF131F">
        <w:rPr>
          <w:lang w:val="en-AU"/>
        </w:rPr>
        <w:t xml:space="preserve">to </w:t>
      </w:r>
      <w:r w:rsidR="00384FDD" w:rsidRPr="00CF131F">
        <w:rPr>
          <w:lang w:val="en-AU"/>
        </w:rPr>
        <w:t xml:space="preserve">the </w:t>
      </w:r>
      <w:r w:rsidR="0083297F">
        <w:rPr>
          <w:lang w:val="en-AU"/>
        </w:rPr>
        <w:t>detail</w:t>
      </w:r>
      <w:r w:rsidR="00863866">
        <w:rPr>
          <w:lang w:val="en-AU"/>
        </w:rPr>
        <w:t>ed</w:t>
      </w:r>
      <w:r w:rsidR="00384FDD" w:rsidRPr="00CF131F">
        <w:rPr>
          <w:lang w:val="en-AU"/>
        </w:rPr>
        <w:t xml:space="preserve"> </w:t>
      </w:r>
      <w:r w:rsidR="001B4E88" w:rsidRPr="00CF131F">
        <w:rPr>
          <w:lang w:val="en-AU"/>
        </w:rPr>
        <w:t>ru</w:t>
      </w:r>
      <w:r w:rsidR="00384FDD" w:rsidRPr="00CF131F">
        <w:rPr>
          <w:lang w:val="en-AU"/>
        </w:rPr>
        <w:t>les imposed to limit the spread of COVID-19 in the community. Th</w:t>
      </w:r>
      <w:r w:rsidR="00631F6C" w:rsidRPr="00CF131F">
        <w:rPr>
          <w:lang w:val="en-AU"/>
        </w:rPr>
        <w:t xml:space="preserve">ese </w:t>
      </w:r>
      <w:r w:rsidR="00DA23FA">
        <w:rPr>
          <w:lang w:val="en-AU"/>
        </w:rPr>
        <w:t>mainly related</w:t>
      </w:r>
      <w:r w:rsidR="00DB3DE2" w:rsidRPr="00CF131F">
        <w:rPr>
          <w:lang w:val="en-AU"/>
        </w:rPr>
        <w:t xml:space="preserve"> to: international and state border closures, quarantine </w:t>
      </w:r>
      <w:r w:rsidR="00863866">
        <w:rPr>
          <w:lang w:val="en-AU"/>
        </w:rPr>
        <w:t xml:space="preserve">and </w:t>
      </w:r>
      <w:r w:rsidR="00863866" w:rsidRPr="00CF131F">
        <w:rPr>
          <w:lang w:val="en-AU"/>
        </w:rPr>
        <w:t>isolation</w:t>
      </w:r>
      <w:r w:rsidR="00DB3DE2" w:rsidRPr="00CF131F">
        <w:rPr>
          <w:lang w:val="en-AU"/>
        </w:rPr>
        <w:t xml:space="preserve">, </w:t>
      </w:r>
      <w:r w:rsidR="0083297F">
        <w:rPr>
          <w:lang w:val="en-AU"/>
        </w:rPr>
        <w:t xml:space="preserve">intrastate </w:t>
      </w:r>
      <w:r w:rsidR="00DB3DE2" w:rsidRPr="00CF131F">
        <w:rPr>
          <w:lang w:val="en-AU"/>
        </w:rPr>
        <w:t xml:space="preserve">travel, </w:t>
      </w:r>
      <w:r w:rsidR="00CF131F">
        <w:rPr>
          <w:lang w:val="en-AU"/>
        </w:rPr>
        <w:t xml:space="preserve">curfews, </w:t>
      </w:r>
      <w:r w:rsidR="00384FDD" w:rsidRPr="00CF131F">
        <w:rPr>
          <w:lang w:val="en-AU"/>
        </w:rPr>
        <w:t xml:space="preserve">allowable </w:t>
      </w:r>
      <w:r w:rsidR="006833C8" w:rsidRPr="00CF131F">
        <w:rPr>
          <w:lang w:val="en-AU"/>
        </w:rPr>
        <w:t>reasons for leaving home</w:t>
      </w:r>
      <w:r w:rsidR="00384FDD" w:rsidRPr="00CF131F">
        <w:rPr>
          <w:lang w:val="en-AU"/>
        </w:rPr>
        <w:t xml:space="preserve"> during lockdown</w:t>
      </w:r>
      <w:r w:rsidR="006833C8" w:rsidRPr="00CF131F">
        <w:rPr>
          <w:lang w:val="en-AU"/>
        </w:rPr>
        <w:t>,</w:t>
      </w:r>
      <w:r w:rsidR="00431185">
        <w:rPr>
          <w:lang w:val="en-AU"/>
        </w:rPr>
        <w:t xml:space="preserve"> </w:t>
      </w:r>
      <w:r w:rsidR="00CF131F" w:rsidRPr="00CF131F">
        <w:rPr>
          <w:lang w:val="en-AU"/>
        </w:rPr>
        <w:t>public events</w:t>
      </w:r>
      <w:r w:rsidR="00CF131F">
        <w:rPr>
          <w:lang w:val="en-AU"/>
        </w:rPr>
        <w:t xml:space="preserve"> and facilities</w:t>
      </w:r>
      <w:r w:rsidR="00CF131F" w:rsidRPr="00CF131F">
        <w:rPr>
          <w:lang w:val="en-AU"/>
        </w:rPr>
        <w:t xml:space="preserve">, </w:t>
      </w:r>
      <w:r w:rsidR="00F64D77">
        <w:rPr>
          <w:lang w:val="en-AU"/>
        </w:rPr>
        <w:t>visits to</w:t>
      </w:r>
      <w:r w:rsidR="009647C3" w:rsidRPr="00CF131F">
        <w:rPr>
          <w:lang w:val="en-AU"/>
        </w:rPr>
        <w:t xml:space="preserve"> high-risk settings, </w:t>
      </w:r>
      <w:r w:rsidR="006833C8" w:rsidRPr="00CF131F">
        <w:rPr>
          <w:lang w:val="en-AU"/>
        </w:rPr>
        <w:t>venue</w:t>
      </w:r>
      <w:r w:rsidRPr="00CF131F">
        <w:rPr>
          <w:lang w:val="en-AU"/>
        </w:rPr>
        <w:t xml:space="preserve"> density quotients, </w:t>
      </w:r>
      <w:r w:rsidR="00F64D77">
        <w:rPr>
          <w:lang w:val="en-AU"/>
        </w:rPr>
        <w:t>verification of</w:t>
      </w:r>
      <w:r w:rsidRPr="00CF131F">
        <w:rPr>
          <w:lang w:val="en-AU"/>
        </w:rPr>
        <w:t xml:space="preserve"> vaccination status, use of </w:t>
      </w:r>
      <w:r w:rsidR="00AD4F4E" w:rsidRPr="00CF131F">
        <w:rPr>
          <w:lang w:val="en-AU"/>
        </w:rPr>
        <w:t>personal protection equipment</w:t>
      </w:r>
      <w:r w:rsidR="00863866">
        <w:rPr>
          <w:lang w:val="en-AU"/>
        </w:rPr>
        <w:t>,</w:t>
      </w:r>
      <w:r w:rsidR="00AD4F4E" w:rsidRPr="00CF131F">
        <w:rPr>
          <w:lang w:val="en-AU"/>
        </w:rPr>
        <w:t xml:space="preserve"> </w:t>
      </w:r>
      <w:r w:rsidR="000A7EF0" w:rsidRPr="00CF131F">
        <w:rPr>
          <w:lang w:val="en-AU"/>
        </w:rPr>
        <w:t>and testing requirements</w:t>
      </w:r>
      <w:r w:rsidRPr="00CF131F">
        <w:rPr>
          <w:lang w:val="en-AU"/>
        </w:rPr>
        <w:t>.</w:t>
      </w:r>
    </w:p>
  </w:footnote>
  <w:footnote w:id="56">
    <w:p w14:paraId="38A9B6E1" w14:textId="16E9436D" w:rsidR="00E21A19" w:rsidRPr="00E21A19" w:rsidRDefault="005C67BF" w:rsidP="000B4593">
      <w:pPr>
        <w:pStyle w:val="FootnoteText"/>
        <w:ind w:left="426" w:hanging="426"/>
        <w:rPr>
          <w:lang w:val="en-AU"/>
        </w:rPr>
      </w:pPr>
      <w:r>
        <w:rPr>
          <w:lang w:val="en-AU"/>
        </w:rPr>
        <w:t>(</w:t>
      </w:r>
      <w:r w:rsidR="00E21A19" w:rsidRPr="005C67BF">
        <w:rPr>
          <w:rStyle w:val="FootnoteReference"/>
          <w:vertAlign w:val="baseline"/>
        </w:rPr>
        <w:footnoteRef/>
      </w:r>
      <w:r>
        <w:rPr>
          <w:lang w:val="en-AU"/>
        </w:rPr>
        <w:t>)</w:t>
      </w:r>
      <w:r>
        <w:tab/>
      </w:r>
      <w:r w:rsidR="00F125EB">
        <w:rPr>
          <w:lang w:val="en-AU"/>
        </w:rPr>
        <w:t>‘Vaccinated economy’</w:t>
      </w:r>
      <w:r w:rsidR="00465961">
        <w:rPr>
          <w:lang w:val="en-AU"/>
        </w:rPr>
        <w:t xml:space="preserve"> refers to the opening of</w:t>
      </w:r>
      <w:r w:rsidR="0094089C">
        <w:rPr>
          <w:lang w:val="en-AU"/>
        </w:rPr>
        <w:t xml:space="preserve">, and rules associated with, </w:t>
      </w:r>
      <w:r w:rsidR="000B4593">
        <w:rPr>
          <w:lang w:val="en-AU"/>
        </w:rPr>
        <w:t>venues</w:t>
      </w:r>
      <w:r w:rsidR="00913A8C">
        <w:rPr>
          <w:lang w:val="en-AU"/>
        </w:rPr>
        <w:t xml:space="preserve"> and patrons</w:t>
      </w:r>
      <w:r w:rsidR="000B4593">
        <w:rPr>
          <w:lang w:val="en-AU"/>
        </w:rPr>
        <w:t xml:space="preserve"> as Victoria exits lockdowns</w:t>
      </w:r>
      <w:r w:rsidR="00747168">
        <w:rPr>
          <w:lang w:val="en-AU"/>
        </w:rPr>
        <w:t xml:space="preserve">. The </w:t>
      </w:r>
      <w:r w:rsidR="00D33A9E">
        <w:rPr>
          <w:lang w:val="en-AU"/>
        </w:rPr>
        <w:t>g</w:t>
      </w:r>
      <w:r w:rsidR="00505405">
        <w:rPr>
          <w:lang w:val="en-AU"/>
        </w:rPr>
        <w:t xml:space="preserve">overnment’s </w:t>
      </w:r>
      <w:r w:rsidR="00747168">
        <w:rPr>
          <w:lang w:val="en-AU"/>
        </w:rPr>
        <w:t xml:space="preserve">policy </w:t>
      </w:r>
      <w:r w:rsidR="00BD5313">
        <w:rPr>
          <w:lang w:val="en-AU"/>
        </w:rPr>
        <w:t>was</w:t>
      </w:r>
      <w:r w:rsidR="00747168">
        <w:rPr>
          <w:lang w:val="en-AU"/>
        </w:rPr>
        <w:t xml:space="preserve"> that</w:t>
      </w:r>
      <w:r w:rsidR="004B11AF" w:rsidRPr="004B11AF">
        <w:rPr>
          <w:lang w:val="en-AU"/>
        </w:rPr>
        <w:t xml:space="preserve"> people who </w:t>
      </w:r>
      <w:r w:rsidR="00777A88">
        <w:rPr>
          <w:lang w:val="en-AU"/>
        </w:rPr>
        <w:t>were</w:t>
      </w:r>
      <w:r w:rsidR="004B11AF" w:rsidRPr="004B11AF">
        <w:rPr>
          <w:lang w:val="en-AU"/>
        </w:rPr>
        <w:t xml:space="preserve"> fully vaccinated or </w:t>
      </w:r>
      <w:r w:rsidR="00777A88">
        <w:rPr>
          <w:lang w:val="en-AU"/>
        </w:rPr>
        <w:t>had</w:t>
      </w:r>
      <w:r w:rsidR="004B11AF" w:rsidRPr="004B11AF">
        <w:rPr>
          <w:lang w:val="en-AU"/>
        </w:rPr>
        <w:t xml:space="preserve"> a valid medical exemption, and children aged under 12 years and two months</w:t>
      </w:r>
      <w:r w:rsidR="00747168">
        <w:rPr>
          <w:lang w:val="en-AU"/>
        </w:rPr>
        <w:t xml:space="preserve">, </w:t>
      </w:r>
      <w:r w:rsidR="00777A88">
        <w:rPr>
          <w:lang w:val="en-AU"/>
        </w:rPr>
        <w:t>would be</w:t>
      </w:r>
      <w:r w:rsidR="00747168">
        <w:rPr>
          <w:lang w:val="en-AU"/>
        </w:rPr>
        <w:t xml:space="preserve"> </w:t>
      </w:r>
      <w:r w:rsidR="00CA1E40">
        <w:rPr>
          <w:lang w:val="en-AU"/>
        </w:rPr>
        <w:t>subject to less onerous restrictions than unvaccinated people</w:t>
      </w:r>
      <w:r w:rsidR="004B11AF" w:rsidRPr="004B11AF">
        <w:rPr>
          <w:lang w:val="en-AU"/>
        </w:rPr>
        <w:t>.</w:t>
      </w:r>
      <w:r w:rsidR="00981E4B">
        <w:rPr>
          <w:lang w:val="en-AU"/>
        </w:rPr>
        <w:t xml:space="preserve"> The</w:t>
      </w:r>
      <w:r w:rsidR="00FB5982">
        <w:rPr>
          <w:lang w:val="en-AU"/>
        </w:rPr>
        <w:t>se</w:t>
      </w:r>
      <w:r w:rsidR="00981E4B">
        <w:rPr>
          <w:lang w:val="en-AU"/>
        </w:rPr>
        <w:t xml:space="preserve"> rules </w:t>
      </w:r>
      <w:r w:rsidR="00095437">
        <w:rPr>
          <w:lang w:val="en-AU"/>
        </w:rPr>
        <w:t xml:space="preserve">mainly </w:t>
      </w:r>
      <w:r w:rsidR="00981E4B">
        <w:rPr>
          <w:lang w:val="en-AU"/>
        </w:rPr>
        <w:t>relate</w:t>
      </w:r>
      <w:r w:rsidR="003B097D">
        <w:rPr>
          <w:lang w:val="en-AU"/>
        </w:rPr>
        <w:t>d</w:t>
      </w:r>
      <w:r w:rsidR="00981E4B">
        <w:rPr>
          <w:lang w:val="en-AU"/>
        </w:rPr>
        <w:t xml:space="preserve"> to </w:t>
      </w:r>
      <w:r w:rsidR="00CD1DF1">
        <w:rPr>
          <w:lang w:val="en-AU"/>
        </w:rPr>
        <w:t xml:space="preserve">public events, </w:t>
      </w:r>
      <w:r w:rsidR="003B097D">
        <w:rPr>
          <w:lang w:val="en-AU"/>
        </w:rPr>
        <w:t>venue</w:t>
      </w:r>
      <w:r w:rsidR="00981E4B">
        <w:rPr>
          <w:lang w:val="en-AU"/>
        </w:rPr>
        <w:t xml:space="preserve"> </w:t>
      </w:r>
      <w:r w:rsidR="00A37D17">
        <w:rPr>
          <w:lang w:val="en-AU"/>
        </w:rPr>
        <w:t>density quotients, verification of vaccination status, use of face masks</w:t>
      </w:r>
      <w:r w:rsidR="00306D10">
        <w:rPr>
          <w:lang w:val="en-AU"/>
        </w:rPr>
        <w:t xml:space="preserve"> and </w:t>
      </w:r>
      <w:r w:rsidR="00095437">
        <w:rPr>
          <w:lang w:val="en-AU"/>
        </w:rPr>
        <w:t xml:space="preserve">applicability to </w:t>
      </w:r>
      <w:r w:rsidR="00F81169">
        <w:rPr>
          <w:lang w:val="en-AU"/>
        </w:rPr>
        <w:t>eligible industries.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A0A06" w14:textId="74F816DE"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00B06ECC">
      <w:t>A</w:t>
    </w:r>
    <w:r w:rsidRPr="009F1A22">
      <w:t>nnual</w:t>
    </w:r>
    <w:r>
      <w:t xml:space="preserve"> </w:t>
    </w:r>
    <w:r w:rsidR="00B06ECC">
      <w:t>R</w:t>
    </w:r>
    <w:r w:rsidRPr="009F1A22">
      <w:t>eport</w:t>
    </w:r>
    <w:r>
      <w:t xml:space="preserve"> </w:t>
    </w:r>
    <w:r w:rsidRPr="009F1A22">
      <w:t>20</w:t>
    </w:r>
    <w:r>
      <w:t>2</w:t>
    </w:r>
    <w:r w:rsidR="00A27E9E">
      <w:t>1</w:t>
    </w:r>
    <w:r w:rsidRPr="009F1A22">
      <w:t>–2</w:t>
    </w:r>
    <w:r w:rsidR="00A27E9E">
      <w:t>2</w:t>
    </w:r>
    <w:r>
      <w:ptab w:relativeTo="margin" w:alignment="right" w:leader="none"/>
    </w:r>
    <w:r w:rsidRPr="003C35CF">
      <w:fldChar w:fldCharType="begin"/>
    </w:r>
    <w:r w:rsidRPr="003C35CF">
      <w:instrText xml:space="preserve"> PAGE </w:instrText>
    </w:r>
    <w:r w:rsidRPr="003C35CF">
      <w:fldChar w:fldCharType="separate"/>
    </w:r>
    <w:r>
      <w:rPr>
        <w:noProof/>
      </w:rPr>
      <w:t>11</w:t>
    </w:r>
    <w:r w:rsidRPr="003C35CF">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D41E7" w14:textId="77777777" w:rsidR="006D467D" w:rsidRDefault="006D467D" w:rsidP="004C7BEF">
    <w:pPr>
      <w:pStyle w:val="ARheader"/>
    </w:pPr>
    <w:r w:rsidRPr="009F1A22">
      <w:t>Department</w:t>
    </w:r>
    <w:r>
      <w:t xml:space="preserve"> </w:t>
    </w:r>
    <w:r w:rsidRPr="009F1A22">
      <w:t>of</w:t>
    </w:r>
    <w:r>
      <w:t xml:space="preserve"> </w:t>
    </w:r>
    <w:r w:rsidRPr="009F1A22">
      <w:t>Health</w:t>
    </w:r>
    <w:r>
      <w:t xml:space="preserve"> A</w:t>
    </w:r>
    <w:r w:rsidRPr="009F1A22">
      <w:t>nnual</w:t>
    </w:r>
    <w:r>
      <w:t xml:space="preserve"> R</w:t>
    </w:r>
    <w:r w:rsidRPr="009F1A22">
      <w:t>eport</w:t>
    </w:r>
    <w:r>
      <w:t xml:space="preserve"> </w:t>
    </w:r>
    <w:r w:rsidRPr="009F1A22">
      <w:t>20</w:t>
    </w:r>
    <w:r>
      <w:t>21</w:t>
    </w:r>
    <w:r w:rsidRPr="009F1A22">
      <w:t>–2</w:t>
    </w:r>
    <w:r>
      <w:t>2</w:t>
    </w:r>
    <w:r>
      <w:ptab w:relativeTo="margin" w:alignment="right" w:leader="none"/>
    </w:r>
    <w:r w:rsidRPr="003C35CF">
      <w:fldChar w:fldCharType="begin"/>
    </w:r>
    <w:r w:rsidRPr="003C35CF">
      <w:instrText xml:space="preserve"> PAGE </w:instrText>
    </w:r>
    <w:r w:rsidRPr="003C35CF">
      <w:fldChar w:fldCharType="separate"/>
    </w:r>
    <w:r>
      <w:t>6</w:t>
    </w:r>
    <w:r w:rsidRPr="003C35CF">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C4BDC" w14:textId="77777777" w:rsidR="00AC6879" w:rsidRDefault="00AC687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FB9F3" w14:textId="77777777" w:rsidR="00E701CA" w:rsidRDefault="00E701C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6E70" w14:textId="77777777" w:rsidR="00E701CA" w:rsidRDefault="00E701C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85C35" w14:textId="77777777" w:rsidR="001A70B8" w:rsidRDefault="001A70B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5326" w14:textId="77777777" w:rsidR="00EF6835" w:rsidRDefault="00EF683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1EB0" w14:textId="77777777" w:rsidR="00222D72" w:rsidRDefault="00222D7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A9A84" w14:textId="77777777" w:rsidR="00222D72" w:rsidRDefault="00222D7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131D3" w14:textId="77777777" w:rsidR="00CE75D4" w:rsidRDefault="00CE75D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2C3F6" w14:textId="77777777" w:rsidR="00CE75D4" w:rsidRDefault="00CE75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D5AD" w14:textId="77777777" w:rsidR="00AC6879" w:rsidRDefault="00AC687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8DD39" w14:textId="77777777" w:rsidR="00EF10EA" w:rsidRDefault="00EF10E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A1DBB" w14:textId="77777777" w:rsidR="007E11ED" w:rsidRDefault="007E11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12921" w14:textId="77777777" w:rsidR="007E11ED" w:rsidRDefault="007E11E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65BA3" w14:textId="77777777" w:rsidR="00603B69" w:rsidRDefault="00603B6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F08BF" w14:textId="77777777" w:rsidR="00603B69" w:rsidRDefault="00603B6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B46A7" w14:textId="77777777" w:rsidR="00603B69" w:rsidRDefault="00603B6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EB7E" w14:textId="77777777" w:rsidR="00603B69" w:rsidRDefault="00603B6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908D8" w14:textId="77777777" w:rsidR="00603B69" w:rsidRDefault="00603B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F4F85"/>
    <w:multiLevelType w:val="multilevel"/>
    <w:tmpl w:val="2B5CD2EA"/>
    <w:styleLink w:val="CurrentList2"/>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15:restartNumberingAfterBreak="0">
    <w:nsid w:val="01E01F0D"/>
    <w:multiLevelType w:val="hybridMultilevel"/>
    <w:tmpl w:val="1D80310E"/>
    <w:styleLink w:val="LowerRomanat7mm"/>
    <w:lvl w:ilvl="0" w:tplc="95AC8800">
      <w:start w:val="1"/>
      <w:numFmt w:val="lowerRoman"/>
      <w:lvlText w:val="(%1)"/>
      <w:lvlJc w:val="left"/>
      <w:pPr>
        <w:ind w:left="794" w:hanging="397"/>
      </w:pPr>
      <w:rPr>
        <w:rFonts w:hint="default"/>
      </w:rPr>
    </w:lvl>
    <w:lvl w:ilvl="1" w:tplc="084EF04E">
      <w:start w:val="1"/>
      <w:numFmt w:val="lowerLetter"/>
      <w:lvlText w:val="%2)"/>
      <w:lvlJc w:val="left"/>
      <w:pPr>
        <w:ind w:left="720" w:hanging="360"/>
      </w:pPr>
      <w:rPr>
        <w:rFonts w:hint="default"/>
      </w:rPr>
    </w:lvl>
    <w:lvl w:ilvl="2" w:tplc="79D43806">
      <w:start w:val="1"/>
      <w:numFmt w:val="lowerRoman"/>
      <w:lvlText w:val="%3)"/>
      <w:lvlJc w:val="left"/>
      <w:pPr>
        <w:ind w:left="1080" w:hanging="360"/>
      </w:pPr>
      <w:rPr>
        <w:rFonts w:hint="default"/>
      </w:rPr>
    </w:lvl>
    <w:lvl w:ilvl="3" w:tplc="8810327A">
      <w:start w:val="1"/>
      <w:numFmt w:val="decimal"/>
      <w:lvlText w:val="(%4)"/>
      <w:lvlJc w:val="left"/>
      <w:pPr>
        <w:ind w:left="1440" w:hanging="360"/>
      </w:pPr>
      <w:rPr>
        <w:rFonts w:hint="default"/>
      </w:rPr>
    </w:lvl>
    <w:lvl w:ilvl="4" w:tplc="CC7E89BE">
      <w:start w:val="1"/>
      <w:numFmt w:val="lowerLetter"/>
      <w:lvlText w:val="(%5)"/>
      <w:lvlJc w:val="left"/>
      <w:pPr>
        <w:ind w:left="1800" w:hanging="360"/>
      </w:pPr>
      <w:rPr>
        <w:rFonts w:hint="default"/>
      </w:rPr>
    </w:lvl>
    <w:lvl w:ilvl="5" w:tplc="A4E69620">
      <w:start w:val="1"/>
      <w:numFmt w:val="lowerRoman"/>
      <w:lvlText w:val="(%6)"/>
      <w:lvlJc w:val="left"/>
      <w:pPr>
        <w:ind w:left="2160" w:hanging="360"/>
      </w:pPr>
      <w:rPr>
        <w:rFonts w:hint="default"/>
      </w:rPr>
    </w:lvl>
    <w:lvl w:ilvl="6" w:tplc="C8840706">
      <w:start w:val="1"/>
      <w:numFmt w:val="decimal"/>
      <w:lvlText w:val="%7."/>
      <w:lvlJc w:val="left"/>
      <w:pPr>
        <w:ind w:left="2520" w:hanging="360"/>
      </w:pPr>
      <w:rPr>
        <w:rFonts w:hint="default"/>
      </w:rPr>
    </w:lvl>
    <w:lvl w:ilvl="7" w:tplc="DD98D340">
      <w:start w:val="1"/>
      <w:numFmt w:val="lowerLetter"/>
      <w:lvlText w:val="%8."/>
      <w:lvlJc w:val="left"/>
      <w:pPr>
        <w:ind w:left="2880" w:hanging="360"/>
      </w:pPr>
      <w:rPr>
        <w:rFonts w:hint="default"/>
      </w:rPr>
    </w:lvl>
    <w:lvl w:ilvl="8" w:tplc="E370CCD4">
      <w:start w:val="1"/>
      <w:numFmt w:val="lowerRoman"/>
      <w:lvlText w:val="%9."/>
      <w:lvlJc w:val="left"/>
      <w:pPr>
        <w:ind w:left="3240" w:hanging="360"/>
      </w:pPr>
      <w:rPr>
        <w:rFonts w:hint="default"/>
      </w:rPr>
    </w:lvl>
  </w:abstractNum>
  <w:abstractNum w:abstractNumId="2" w15:restartNumberingAfterBreak="0">
    <w:nsid w:val="02F2323C"/>
    <w:multiLevelType w:val="hybridMultilevel"/>
    <w:tmpl w:val="A61C06F4"/>
    <w:lvl w:ilvl="0" w:tplc="24BCA682">
      <w:start w:val="1"/>
      <w:numFmt w:val="bullet"/>
      <w:pStyle w:val="ListBullet"/>
      <w:lvlText w:val=""/>
      <w:lvlJc w:val="left"/>
      <w:pPr>
        <w:ind w:left="284" w:hanging="284"/>
      </w:pPr>
      <w:rPr>
        <w:rFonts w:ascii="Symbol" w:hAnsi="Symbol" w:hint="default"/>
      </w:rPr>
    </w:lvl>
    <w:lvl w:ilvl="1" w:tplc="62942078">
      <w:start w:val="1"/>
      <w:numFmt w:val="bullet"/>
      <w:pStyle w:val="ListBullet2"/>
      <w:lvlText w:val="–"/>
      <w:lvlJc w:val="left"/>
      <w:pPr>
        <w:ind w:left="568" w:hanging="284"/>
      </w:pPr>
      <w:rPr>
        <w:rFonts w:ascii="Arial" w:hAnsi="Arial" w:hint="default"/>
      </w:rPr>
    </w:lvl>
    <w:lvl w:ilvl="2" w:tplc="DE587716">
      <w:start w:val="1"/>
      <w:numFmt w:val="bullet"/>
      <w:pStyle w:val="ListBullet3"/>
      <w:lvlText w:val=""/>
      <w:lvlJc w:val="left"/>
      <w:pPr>
        <w:ind w:left="852" w:hanging="284"/>
      </w:pPr>
      <w:rPr>
        <w:rFonts w:ascii="Symbol" w:hAnsi="Symbol" w:hint="default"/>
      </w:rPr>
    </w:lvl>
    <w:lvl w:ilvl="3" w:tplc="0584F940">
      <w:start w:val="1"/>
      <w:numFmt w:val="decimal"/>
      <w:lvlText w:val="(%4)"/>
      <w:lvlJc w:val="left"/>
      <w:pPr>
        <w:ind w:left="1136" w:hanging="284"/>
      </w:pPr>
      <w:rPr>
        <w:rFonts w:hint="default"/>
      </w:rPr>
    </w:lvl>
    <w:lvl w:ilvl="4" w:tplc="B0960C8E">
      <w:start w:val="1"/>
      <w:numFmt w:val="lowerLetter"/>
      <w:lvlText w:val="(%5)"/>
      <w:lvlJc w:val="left"/>
      <w:pPr>
        <w:ind w:left="1420" w:hanging="284"/>
      </w:pPr>
      <w:rPr>
        <w:rFonts w:hint="default"/>
      </w:rPr>
    </w:lvl>
    <w:lvl w:ilvl="5" w:tplc="24E03318">
      <w:start w:val="1"/>
      <w:numFmt w:val="lowerRoman"/>
      <w:lvlText w:val="(%6)"/>
      <w:lvlJc w:val="left"/>
      <w:pPr>
        <w:ind w:left="1704" w:hanging="284"/>
      </w:pPr>
      <w:rPr>
        <w:rFonts w:hint="default"/>
      </w:rPr>
    </w:lvl>
    <w:lvl w:ilvl="6" w:tplc="A5705250">
      <w:start w:val="1"/>
      <w:numFmt w:val="decimal"/>
      <w:lvlText w:val="%7."/>
      <w:lvlJc w:val="left"/>
      <w:pPr>
        <w:ind w:left="1988" w:hanging="284"/>
      </w:pPr>
      <w:rPr>
        <w:rFonts w:hint="default"/>
      </w:rPr>
    </w:lvl>
    <w:lvl w:ilvl="7" w:tplc="4274CDDC">
      <w:start w:val="1"/>
      <w:numFmt w:val="lowerLetter"/>
      <w:lvlText w:val="%8."/>
      <w:lvlJc w:val="left"/>
      <w:pPr>
        <w:ind w:left="2272" w:hanging="284"/>
      </w:pPr>
      <w:rPr>
        <w:rFonts w:hint="default"/>
      </w:rPr>
    </w:lvl>
    <w:lvl w:ilvl="8" w:tplc="0A50ECDE">
      <w:start w:val="1"/>
      <w:numFmt w:val="lowerRoman"/>
      <w:lvlText w:val="%9."/>
      <w:lvlJc w:val="left"/>
      <w:pPr>
        <w:ind w:left="2556" w:hanging="284"/>
      </w:pPr>
      <w:rPr>
        <w:rFonts w:hint="default"/>
      </w:rPr>
    </w:lvl>
  </w:abstractNum>
  <w:abstractNum w:abstractNumId="3" w15:restartNumberingAfterBreak="0">
    <w:nsid w:val="10193262"/>
    <w:multiLevelType w:val="multilevel"/>
    <w:tmpl w:val="C98820CA"/>
    <w:styleLink w:val="ZZFinbullets"/>
    <w:lvl w:ilvl="0">
      <w:start w:val="1"/>
      <w:numFmt w:val="bullet"/>
      <w:pStyle w:val="ARfinbullet1"/>
      <w:lvlText w:val="•"/>
      <w:lvlJc w:val="left"/>
      <w:pPr>
        <w:ind w:left="284" w:hanging="284"/>
      </w:pPr>
      <w:rPr>
        <w:rFonts w:ascii="Calibri" w:hAnsi="Calibri" w:hint="default"/>
      </w:rPr>
    </w:lvl>
    <w:lvl w:ilvl="1">
      <w:start w:val="1"/>
      <w:numFmt w:val="bullet"/>
      <w:lvlRestart w:val="0"/>
      <w:pStyle w:val="ARfinbullet2"/>
      <w:lvlText w:val="–"/>
      <w:lvlJc w:val="left"/>
      <w:pPr>
        <w:tabs>
          <w:tab w:val="num" w:pos="284"/>
        </w:tabs>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17A42643"/>
    <w:multiLevelType w:val="hybridMultilevel"/>
    <w:tmpl w:val="04C0721C"/>
    <w:lvl w:ilvl="0" w:tplc="1A58E5CA">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702521"/>
    <w:multiLevelType w:val="hybridMultilevel"/>
    <w:tmpl w:val="564299E6"/>
    <w:styleLink w:val="Tablefootnotes"/>
    <w:lvl w:ilvl="0" w:tplc="915E6960">
      <w:start w:val="1"/>
      <w:numFmt w:val="none"/>
      <w:suff w:val="nothing"/>
      <w:lvlText w:val=""/>
      <w:lvlJc w:val="left"/>
      <w:pPr>
        <w:ind w:left="0" w:firstLine="0"/>
      </w:pPr>
      <w:rPr>
        <w:rFonts w:hint="default"/>
      </w:rPr>
    </w:lvl>
    <w:lvl w:ilvl="1" w:tplc="1F32490C">
      <w:start w:val="1"/>
      <w:numFmt w:val="lowerRoman"/>
      <w:lvlText w:val="(%2)"/>
      <w:lvlJc w:val="left"/>
      <w:pPr>
        <w:tabs>
          <w:tab w:val="num" w:pos="284"/>
        </w:tabs>
        <w:ind w:left="284" w:hanging="284"/>
      </w:pPr>
      <w:rPr>
        <w:rFonts w:hint="default"/>
      </w:rPr>
    </w:lvl>
    <w:lvl w:ilvl="2" w:tplc="C0064F14">
      <w:start w:val="1"/>
      <w:numFmt w:val="bullet"/>
      <w:lvlRestart w:val="0"/>
      <w:lvlText w:val="•"/>
      <w:lvlJc w:val="left"/>
      <w:pPr>
        <w:ind w:left="510" w:hanging="226"/>
      </w:pPr>
      <w:rPr>
        <w:rFonts w:ascii="Calibri" w:hAnsi="Calibri" w:hint="default"/>
        <w:color w:val="auto"/>
      </w:rPr>
    </w:lvl>
    <w:lvl w:ilvl="3" w:tplc="279AC4D6">
      <w:start w:val="1"/>
      <w:numFmt w:val="decimal"/>
      <w:lvlText w:val="(%4)"/>
      <w:lvlJc w:val="left"/>
      <w:pPr>
        <w:ind w:left="1440" w:hanging="360"/>
      </w:pPr>
      <w:rPr>
        <w:rFonts w:hint="default"/>
      </w:rPr>
    </w:lvl>
    <w:lvl w:ilvl="4" w:tplc="E4505786">
      <w:start w:val="1"/>
      <w:numFmt w:val="lowerLetter"/>
      <w:lvlText w:val="(%5)"/>
      <w:lvlJc w:val="left"/>
      <w:pPr>
        <w:ind w:left="1800" w:hanging="360"/>
      </w:pPr>
      <w:rPr>
        <w:rFonts w:hint="default"/>
      </w:rPr>
    </w:lvl>
    <w:lvl w:ilvl="5" w:tplc="492EE5F8">
      <w:start w:val="1"/>
      <w:numFmt w:val="lowerRoman"/>
      <w:lvlText w:val="(%6)"/>
      <w:lvlJc w:val="left"/>
      <w:pPr>
        <w:ind w:left="2160" w:hanging="360"/>
      </w:pPr>
      <w:rPr>
        <w:rFonts w:hint="default"/>
      </w:rPr>
    </w:lvl>
    <w:lvl w:ilvl="6" w:tplc="ECF407E6">
      <w:start w:val="1"/>
      <w:numFmt w:val="decimal"/>
      <w:lvlText w:val="%7."/>
      <w:lvlJc w:val="left"/>
      <w:pPr>
        <w:ind w:left="2520" w:hanging="360"/>
      </w:pPr>
      <w:rPr>
        <w:rFonts w:hint="default"/>
      </w:rPr>
    </w:lvl>
    <w:lvl w:ilvl="7" w:tplc="630E965C">
      <w:start w:val="1"/>
      <w:numFmt w:val="lowerLetter"/>
      <w:lvlText w:val="%8."/>
      <w:lvlJc w:val="left"/>
      <w:pPr>
        <w:ind w:left="2880" w:hanging="360"/>
      </w:pPr>
      <w:rPr>
        <w:rFonts w:hint="default"/>
      </w:rPr>
    </w:lvl>
    <w:lvl w:ilvl="8" w:tplc="F6F0DF1A">
      <w:start w:val="1"/>
      <w:numFmt w:val="lowerRoman"/>
      <w:lvlText w:val="%9."/>
      <w:lvlJc w:val="left"/>
      <w:pPr>
        <w:ind w:left="3240" w:hanging="360"/>
      </w:pPr>
      <w:rPr>
        <w:rFonts w:hint="default"/>
      </w:rPr>
    </w:lvl>
  </w:abstractNum>
  <w:abstractNum w:abstractNumId="6" w15:restartNumberingAfterBreak="0">
    <w:nsid w:val="24C4243B"/>
    <w:multiLevelType w:val="multilevel"/>
    <w:tmpl w:val="948E73E2"/>
    <w:lvl w:ilvl="0">
      <w:start w:val="1"/>
      <w:numFmt w:val="lowerLetter"/>
      <w:pStyle w:val="ListAlpha"/>
      <w:lvlText w:val="(%1)"/>
      <w:lvlJc w:val="left"/>
      <w:pPr>
        <w:ind w:left="397" w:hanging="397"/>
      </w:pPr>
      <w:rPr>
        <w:rFonts w:hint="default"/>
      </w:rPr>
    </w:lvl>
    <w:lvl w:ilvl="1">
      <w:start w:val="1"/>
      <w:numFmt w:val="lowerRoman"/>
      <w:pStyle w:val="ListAlpha2"/>
      <w:lvlText w:val="(%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63C75AD"/>
    <w:multiLevelType w:val="multilevel"/>
    <w:tmpl w:val="721AB316"/>
    <w:styleLink w:val="ZZFinnumbersalpha"/>
    <w:lvl w:ilvl="0">
      <w:start w:val="1"/>
      <w:numFmt w:val="lowerLetter"/>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266A67E4"/>
    <w:multiLevelType w:val="multilevel"/>
    <w:tmpl w:val="D42885A4"/>
    <w:styleLink w:val="ZZFinnumbersalpha1roman2"/>
    <w:lvl w:ilvl="0">
      <w:start w:val="1"/>
      <w:numFmt w:val="lowerLetter"/>
      <w:pStyle w:val="ARfinnumberalpha1"/>
      <w:lvlText w:val="(%1)"/>
      <w:lvlJc w:val="left"/>
      <w:pPr>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2B8D71AB"/>
    <w:multiLevelType w:val="multilevel"/>
    <w:tmpl w:val="66ECE93E"/>
    <w:styleLink w:val="LowerAlphaat5mm"/>
    <w:lvl w:ilvl="0">
      <w:start w:val="1"/>
      <w:numFmt w:val="lowerLetter"/>
      <w:lvlText w:val="%1)"/>
      <w:lvlJc w:val="left"/>
      <w:pPr>
        <w:ind w:left="567" w:hanging="283"/>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0" w15:restartNumberingAfterBreak="0">
    <w:nsid w:val="2C712436"/>
    <w:multiLevelType w:val="hybridMultilevel"/>
    <w:tmpl w:val="8E34D656"/>
    <w:lvl w:ilvl="0" w:tplc="2D42ADD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D014732"/>
    <w:multiLevelType w:val="multilevel"/>
    <w:tmpl w:val="750CE986"/>
    <w:styleLink w:val="ZZTablefootnotealpha"/>
    <w:lvl w:ilvl="0">
      <w:start w:val="1"/>
      <w:numFmt w:val="lowerLetter"/>
      <w:pStyle w:val="ARtablefootnotealpha"/>
      <w:lvlText w:val="(%1)"/>
      <w:lvlJc w:val="left"/>
      <w:pPr>
        <w:tabs>
          <w:tab w:val="num" w:pos="340"/>
        </w:tabs>
        <w:ind w:left="340" w:hanging="34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32940CD5"/>
    <w:multiLevelType w:val="hybridMultilevel"/>
    <w:tmpl w:val="A61C06F4"/>
    <w:styleLink w:val="Bullet"/>
    <w:lvl w:ilvl="0" w:tplc="A4C6D510">
      <w:start w:val="1"/>
      <w:numFmt w:val="bullet"/>
      <w:lvlText w:val=""/>
      <w:lvlJc w:val="left"/>
      <w:pPr>
        <w:ind w:left="284" w:hanging="284"/>
      </w:pPr>
      <w:rPr>
        <w:rFonts w:ascii="Symbol" w:hAnsi="Symbol" w:hint="default"/>
      </w:rPr>
    </w:lvl>
    <w:lvl w:ilvl="1" w:tplc="5352000A">
      <w:start w:val="1"/>
      <w:numFmt w:val="bullet"/>
      <w:lvlText w:val="–"/>
      <w:lvlJc w:val="left"/>
      <w:pPr>
        <w:ind w:left="568" w:hanging="284"/>
      </w:pPr>
      <w:rPr>
        <w:rFonts w:ascii="Arial" w:hAnsi="Arial" w:hint="default"/>
      </w:rPr>
    </w:lvl>
    <w:lvl w:ilvl="2" w:tplc="C6EE2648">
      <w:start w:val="1"/>
      <w:numFmt w:val="bullet"/>
      <w:lvlText w:val=""/>
      <w:lvlJc w:val="left"/>
      <w:pPr>
        <w:ind w:left="852" w:hanging="284"/>
      </w:pPr>
      <w:rPr>
        <w:rFonts w:ascii="Symbol" w:hAnsi="Symbol" w:hint="default"/>
      </w:rPr>
    </w:lvl>
    <w:lvl w:ilvl="3" w:tplc="FC32991C">
      <w:start w:val="1"/>
      <w:numFmt w:val="decimal"/>
      <w:lvlText w:val="(%4)"/>
      <w:lvlJc w:val="left"/>
      <w:pPr>
        <w:ind w:left="1136" w:hanging="284"/>
      </w:pPr>
      <w:rPr>
        <w:rFonts w:hint="default"/>
      </w:rPr>
    </w:lvl>
    <w:lvl w:ilvl="4" w:tplc="5E12383C">
      <w:start w:val="1"/>
      <w:numFmt w:val="lowerLetter"/>
      <w:lvlText w:val="(%5)"/>
      <w:lvlJc w:val="left"/>
      <w:pPr>
        <w:ind w:left="1420" w:hanging="284"/>
      </w:pPr>
      <w:rPr>
        <w:rFonts w:hint="default"/>
      </w:rPr>
    </w:lvl>
    <w:lvl w:ilvl="5" w:tplc="B98E004C">
      <w:start w:val="1"/>
      <w:numFmt w:val="lowerRoman"/>
      <w:lvlText w:val="(%6)"/>
      <w:lvlJc w:val="left"/>
      <w:pPr>
        <w:ind w:left="1704" w:hanging="284"/>
      </w:pPr>
      <w:rPr>
        <w:rFonts w:hint="default"/>
      </w:rPr>
    </w:lvl>
    <w:lvl w:ilvl="6" w:tplc="DEC6F32C">
      <w:start w:val="1"/>
      <w:numFmt w:val="decimal"/>
      <w:lvlText w:val="%7."/>
      <w:lvlJc w:val="left"/>
      <w:pPr>
        <w:ind w:left="1988" w:hanging="284"/>
      </w:pPr>
      <w:rPr>
        <w:rFonts w:hint="default"/>
      </w:rPr>
    </w:lvl>
    <w:lvl w:ilvl="7" w:tplc="A726EF9C">
      <w:start w:val="1"/>
      <w:numFmt w:val="lowerLetter"/>
      <w:lvlText w:val="%8."/>
      <w:lvlJc w:val="left"/>
      <w:pPr>
        <w:ind w:left="2272" w:hanging="284"/>
      </w:pPr>
      <w:rPr>
        <w:rFonts w:hint="default"/>
      </w:rPr>
    </w:lvl>
    <w:lvl w:ilvl="8" w:tplc="E2289AE8">
      <w:start w:val="1"/>
      <w:numFmt w:val="lowerRoman"/>
      <w:lvlText w:val="%9."/>
      <w:lvlJc w:val="left"/>
      <w:pPr>
        <w:ind w:left="2556" w:hanging="284"/>
      </w:pPr>
      <w:rPr>
        <w:rFonts w:hint="default"/>
      </w:rPr>
    </w:lvl>
  </w:abstractNum>
  <w:abstractNum w:abstractNumId="13" w15:restartNumberingAfterBreak="0">
    <w:nsid w:val="34432F2B"/>
    <w:multiLevelType w:val="hybridMultilevel"/>
    <w:tmpl w:val="85BE5314"/>
    <w:styleLink w:val="Bullets2and3"/>
    <w:lvl w:ilvl="0" w:tplc="C61EE6BC">
      <w:start w:val="1"/>
      <w:numFmt w:val="bullet"/>
      <w:lvlText w:val="–"/>
      <w:lvlJc w:val="left"/>
      <w:pPr>
        <w:tabs>
          <w:tab w:val="num" w:pos="567"/>
        </w:tabs>
        <w:ind w:left="567" w:hanging="283"/>
      </w:pPr>
      <w:rPr>
        <w:rFonts w:ascii="font583" w:hAnsi="font583" w:hint="default"/>
      </w:rPr>
    </w:lvl>
    <w:lvl w:ilvl="1" w:tplc="362EFEE6">
      <w:start w:val="1"/>
      <w:numFmt w:val="bullet"/>
      <w:lvlRestart w:val="0"/>
      <w:lvlText w:val="–"/>
      <w:lvlJc w:val="left"/>
      <w:pPr>
        <w:ind w:left="567" w:hanging="283"/>
      </w:pPr>
      <w:rPr>
        <w:rFonts w:hint="default"/>
      </w:rPr>
    </w:lvl>
    <w:lvl w:ilvl="2" w:tplc="5900AC04">
      <w:start w:val="1"/>
      <w:numFmt w:val="bullet"/>
      <w:lvlRestart w:val="0"/>
      <w:lvlText w:val="&gt;"/>
      <w:lvlJc w:val="left"/>
      <w:pPr>
        <w:tabs>
          <w:tab w:val="num" w:pos="851"/>
        </w:tabs>
        <w:ind w:left="851" w:hanging="284"/>
      </w:pPr>
      <w:rPr>
        <w:rFonts w:ascii="Times New Roman" w:hAnsi="Times New Roman" w:cs="Times New Roman" w:hint="default"/>
      </w:rPr>
    </w:lvl>
    <w:lvl w:ilvl="3" w:tplc="8F94A0D8">
      <w:start w:val="1"/>
      <w:numFmt w:val="bullet"/>
      <w:lvlRestart w:val="0"/>
      <w:lvlText w:val="&gt;"/>
      <w:lvlJc w:val="left"/>
      <w:pPr>
        <w:tabs>
          <w:tab w:val="num" w:pos="851"/>
        </w:tabs>
        <w:ind w:left="851" w:hanging="284"/>
      </w:pPr>
      <w:rPr>
        <w:rFonts w:ascii="Times New Roman" w:hAnsi="Times New Roman" w:cs="Times New Roman" w:hint="default"/>
      </w:rPr>
    </w:lvl>
    <w:lvl w:ilvl="4" w:tplc="F46EA0FA">
      <w:start w:val="1"/>
      <w:numFmt w:val="none"/>
      <w:lvlRestart w:val="0"/>
      <w:lvlText w:val=""/>
      <w:lvlJc w:val="left"/>
      <w:pPr>
        <w:ind w:left="1800" w:hanging="360"/>
      </w:pPr>
      <w:rPr>
        <w:rFonts w:hint="default"/>
      </w:rPr>
    </w:lvl>
    <w:lvl w:ilvl="5" w:tplc="414A0AB0">
      <w:start w:val="1"/>
      <w:numFmt w:val="none"/>
      <w:lvlText w:val=""/>
      <w:lvlJc w:val="left"/>
      <w:pPr>
        <w:ind w:left="2160" w:hanging="360"/>
      </w:pPr>
      <w:rPr>
        <w:rFonts w:hint="default"/>
      </w:rPr>
    </w:lvl>
    <w:lvl w:ilvl="6" w:tplc="6BF869A2">
      <w:start w:val="1"/>
      <w:numFmt w:val="none"/>
      <w:lvlText w:val=""/>
      <w:lvlJc w:val="left"/>
      <w:pPr>
        <w:ind w:left="2520" w:hanging="360"/>
      </w:pPr>
      <w:rPr>
        <w:rFonts w:hint="default"/>
      </w:rPr>
    </w:lvl>
    <w:lvl w:ilvl="7" w:tplc="FF54F838">
      <w:start w:val="1"/>
      <w:numFmt w:val="none"/>
      <w:lvlText w:val=""/>
      <w:lvlJc w:val="left"/>
      <w:pPr>
        <w:ind w:left="2880" w:hanging="360"/>
      </w:pPr>
      <w:rPr>
        <w:rFonts w:hint="default"/>
      </w:rPr>
    </w:lvl>
    <w:lvl w:ilvl="8" w:tplc="213681D8">
      <w:start w:val="1"/>
      <w:numFmt w:val="none"/>
      <w:lvlText w:val=""/>
      <w:lvlJc w:val="left"/>
      <w:pPr>
        <w:ind w:left="3240" w:hanging="360"/>
      </w:pPr>
      <w:rPr>
        <w:rFonts w:hint="default"/>
      </w:rPr>
    </w:lvl>
  </w:abstractNum>
  <w:abstractNum w:abstractNumId="14" w15:restartNumberingAfterBreak="0">
    <w:nsid w:val="3CE84DF4"/>
    <w:multiLevelType w:val="hybridMultilevel"/>
    <w:tmpl w:val="088668C0"/>
    <w:styleLink w:val="ARnumberedparas"/>
    <w:lvl w:ilvl="0" w:tplc="BEF8B0D6">
      <w:start w:val="1"/>
      <w:numFmt w:val="lowerLetter"/>
      <w:lvlText w:val="(%1)"/>
      <w:lvlJc w:val="left"/>
      <w:pPr>
        <w:tabs>
          <w:tab w:val="num" w:pos="397"/>
        </w:tabs>
        <w:ind w:left="397" w:hanging="397"/>
      </w:pPr>
      <w:rPr>
        <w:rFonts w:cs="Times New Roman" w:hint="default"/>
      </w:rPr>
    </w:lvl>
    <w:lvl w:ilvl="1" w:tplc="95649E28">
      <w:start w:val="1"/>
      <w:numFmt w:val="lowerLetter"/>
      <w:lvlRestart w:val="0"/>
      <w:lvlText w:val="(%2)"/>
      <w:lvlJc w:val="left"/>
      <w:pPr>
        <w:tabs>
          <w:tab w:val="num" w:pos="680"/>
        </w:tabs>
        <w:ind w:left="680" w:hanging="396"/>
      </w:pPr>
      <w:rPr>
        <w:rFonts w:cs="Times New Roman" w:hint="default"/>
      </w:rPr>
    </w:lvl>
    <w:lvl w:ilvl="2" w:tplc="16704DEC">
      <w:start w:val="1"/>
      <w:numFmt w:val="lowerRoman"/>
      <w:lvlRestart w:val="0"/>
      <w:lvlText w:val="(%3)"/>
      <w:lvlJc w:val="left"/>
      <w:pPr>
        <w:tabs>
          <w:tab w:val="num" w:pos="794"/>
        </w:tabs>
        <w:ind w:left="794" w:hanging="397"/>
      </w:pPr>
      <w:rPr>
        <w:rFonts w:cs="Times New Roman" w:hint="default"/>
      </w:rPr>
    </w:lvl>
    <w:lvl w:ilvl="3" w:tplc="AE940E46">
      <w:start w:val="1"/>
      <w:numFmt w:val="bullet"/>
      <w:lvlText w:val=""/>
      <w:lvlJc w:val="left"/>
      <w:pPr>
        <w:tabs>
          <w:tab w:val="num" w:pos="2880"/>
        </w:tabs>
        <w:ind w:left="2880" w:hanging="360"/>
      </w:pPr>
      <w:rPr>
        <w:rFonts w:ascii="Symbol" w:hAnsi="Symbol" w:hint="default"/>
      </w:rPr>
    </w:lvl>
    <w:lvl w:ilvl="4" w:tplc="FCF6EC3A">
      <w:start w:val="1"/>
      <w:numFmt w:val="bullet"/>
      <w:lvlText w:val="o"/>
      <w:lvlJc w:val="left"/>
      <w:pPr>
        <w:tabs>
          <w:tab w:val="num" w:pos="3600"/>
        </w:tabs>
        <w:ind w:left="3600" w:hanging="360"/>
      </w:pPr>
      <w:rPr>
        <w:rFonts w:ascii="Courier New" w:hAnsi="Courier New" w:hint="default"/>
      </w:rPr>
    </w:lvl>
    <w:lvl w:ilvl="5" w:tplc="22707CF6">
      <w:start w:val="1"/>
      <w:numFmt w:val="bullet"/>
      <w:lvlText w:val=""/>
      <w:lvlJc w:val="left"/>
      <w:pPr>
        <w:tabs>
          <w:tab w:val="num" w:pos="4320"/>
        </w:tabs>
        <w:ind w:left="4320" w:hanging="360"/>
      </w:pPr>
      <w:rPr>
        <w:rFonts w:ascii="Wingdings" w:hAnsi="Wingdings" w:hint="default"/>
      </w:rPr>
    </w:lvl>
    <w:lvl w:ilvl="6" w:tplc="5F942530">
      <w:start w:val="1"/>
      <w:numFmt w:val="bullet"/>
      <w:lvlText w:val=""/>
      <w:lvlJc w:val="left"/>
      <w:pPr>
        <w:tabs>
          <w:tab w:val="num" w:pos="5040"/>
        </w:tabs>
        <w:ind w:left="5040" w:hanging="360"/>
      </w:pPr>
      <w:rPr>
        <w:rFonts w:ascii="Symbol" w:hAnsi="Symbol" w:hint="default"/>
      </w:rPr>
    </w:lvl>
    <w:lvl w:ilvl="7" w:tplc="F0F46D92">
      <w:start w:val="1"/>
      <w:numFmt w:val="bullet"/>
      <w:lvlText w:val="o"/>
      <w:lvlJc w:val="left"/>
      <w:pPr>
        <w:tabs>
          <w:tab w:val="num" w:pos="5760"/>
        </w:tabs>
        <w:ind w:left="5760" w:hanging="360"/>
      </w:pPr>
      <w:rPr>
        <w:rFonts w:ascii="Courier New" w:hAnsi="Courier New" w:hint="default"/>
      </w:rPr>
    </w:lvl>
    <w:lvl w:ilvl="8" w:tplc="DC94D42C">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6C68D4"/>
    <w:multiLevelType w:val="multilevel"/>
    <w:tmpl w:val="54C0C6D0"/>
    <w:styleLink w:val="ZZNumbersdigit"/>
    <w:lvl w:ilvl="0">
      <w:start w:val="1"/>
      <w:numFmt w:val="decimal"/>
      <w:pStyle w:val="ARnumberdigi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6" w15:restartNumberingAfterBreak="0">
    <w:nsid w:val="42340BA2"/>
    <w:multiLevelType w:val="hybridMultilevel"/>
    <w:tmpl w:val="F4FA9BEE"/>
    <w:styleLink w:val="Numbersinfintables"/>
    <w:lvl w:ilvl="0" w:tplc="46140342">
      <w:start w:val="1"/>
      <w:numFmt w:val="lowerLetter"/>
      <w:lvlText w:val="(%1)"/>
      <w:lvlJc w:val="left"/>
      <w:pPr>
        <w:ind w:left="340" w:hanging="340"/>
      </w:pPr>
      <w:rPr>
        <w:rFonts w:hint="default"/>
      </w:rPr>
    </w:lvl>
    <w:lvl w:ilvl="1" w:tplc="7740452A">
      <w:start w:val="1"/>
      <w:numFmt w:val="bullet"/>
      <w:lvlRestart w:val="0"/>
      <w:lvlText w:val="–"/>
      <w:lvlJc w:val="left"/>
      <w:pPr>
        <w:ind w:left="567" w:hanging="227"/>
      </w:pPr>
      <w:rPr>
        <w:rFonts w:ascii="Calibri" w:hAnsi="Calibri" w:hint="default"/>
        <w:color w:val="412F5A"/>
      </w:rPr>
    </w:lvl>
    <w:lvl w:ilvl="2" w:tplc="E71EEB0E">
      <w:start w:val="1"/>
      <w:numFmt w:val="lowerRoman"/>
      <w:lvlText w:val="%3)"/>
      <w:lvlJc w:val="left"/>
      <w:pPr>
        <w:ind w:left="1080" w:hanging="360"/>
      </w:pPr>
      <w:rPr>
        <w:rFonts w:hint="default"/>
      </w:rPr>
    </w:lvl>
    <w:lvl w:ilvl="3" w:tplc="F912E712">
      <w:start w:val="1"/>
      <w:numFmt w:val="decimal"/>
      <w:lvlText w:val="(%4)"/>
      <w:lvlJc w:val="left"/>
      <w:pPr>
        <w:ind w:left="1440" w:hanging="360"/>
      </w:pPr>
      <w:rPr>
        <w:rFonts w:hint="default"/>
      </w:rPr>
    </w:lvl>
    <w:lvl w:ilvl="4" w:tplc="620E3036">
      <w:start w:val="1"/>
      <w:numFmt w:val="lowerLetter"/>
      <w:lvlText w:val="(%5)"/>
      <w:lvlJc w:val="left"/>
      <w:pPr>
        <w:ind w:left="1800" w:hanging="360"/>
      </w:pPr>
      <w:rPr>
        <w:rFonts w:hint="default"/>
      </w:rPr>
    </w:lvl>
    <w:lvl w:ilvl="5" w:tplc="FEACBF7E">
      <w:start w:val="1"/>
      <w:numFmt w:val="lowerRoman"/>
      <w:lvlText w:val="(%6)"/>
      <w:lvlJc w:val="left"/>
      <w:pPr>
        <w:ind w:left="2160" w:hanging="360"/>
      </w:pPr>
      <w:rPr>
        <w:rFonts w:hint="default"/>
      </w:rPr>
    </w:lvl>
    <w:lvl w:ilvl="6" w:tplc="C7D0F32E">
      <w:start w:val="1"/>
      <w:numFmt w:val="decimal"/>
      <w:lvlText w:val="%7."/>
      <w:lvlJc w:val="left"/>
      <w:pPr>
        <w:ind w:left="2520" w:hanging="360"/>
      </w:pPr>
      <w:rPr>
        <w:rFonts w:hint="default"/>
      </w:rPr>
    </w:lvl>
    <w:lvl w:ilvl="7" w:tplc="BBECD94A">
      <w:start w:val="1"/>
      <w:numFmt w:val="lowerLetter"/>
      <w:lvlText w:val="%8."/>
      <w:lvlJc w:val="left"/>
      <w:pPr>
        <w:ind w:left="2880" w:hanging="360"/>
      </w:pPr>
      <w:rPr>
        <w:rFonts w:hint="default"/>
      </w:rPr>
    </w:lvl>
    <w:lvl w:ilvl="8" w:tplc="97FE754C">
      <w:start w:val="1"/>
      <w:numFmt w:val="lowerRoman"/>
      <w:lvlText w:val="%9."/>
      <w:lvlJc w:val="left"/>
      <w:pPr>
        <w:ind w:left="3240" w:hanging="360"/>
      </w:pPr>
      <w:rPr>
        <w:rFonts w:hint="default"/>
      </w:rPr>
    </w:lvl>
  </w:abstractNum>
  <w:abstractNum w:abstractNumId="17" w15:restartNumberingAfterBreak="0">
    <w:nsid w:val="49297D16"/>
    <w:multiLevelType w:val="multilevel"/>
    <w:tmpl w:val="BB90195E"/>
    <w:styleLink w:val="ZZIntrobullets"/>
    <w:lvl w:ilvl="0">
      <w:start w:val="1"/>
      <w:numFmt w:val="bullet"/>
      <w:pStyle w:val="ARintrobullet1"/>
      <w:lvlText w:val="&gt;"/>
      <w:lvlJc w:val="left"/>
      <w:pPr>
        <w:ind w:left="284" w:hanging="284"/>
      </w:pPr>
      <w:rPr>
        <w:rFonts w:ascii="Calibri" w:hAnsi="Calibri" w:hint="default"/>
        <w:color w:val="C63663"/>
      </w:rPr>
    </w:lvl>
    <w:lvl w:ilvl="1">
      <w:start w:val="1"/>
      <w:numFmt w:val="bullet"/>
      <w:lvlRestart w:val="0"/>
      <w:pStyle w:val="ARintrobullet2"/>
      <w:lvlText w:val="–"/>
      <w:lvlJc w:val="left"/>
      <w:pPr>
        <w:ind w:left="567" w:hanging="283"/>
      </w:pPr>
      <w:rPr>
        <w:rFonts w:ascii="Calibri" w:hAnsi="Calibri" w:hint="default"/>
        <w:color w:val="53565A"/>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4ABD071E"/>
    <w:multiLevelType w:val="hybridMultilevel"/>
    <w:tmpl w:val="E1D2CA48"/>
    <w:styleLink w:val="LowerAlphaat0mm"/>
    <w:lvl w:ilvl="0" w:tplc="104ED7A4">
      <w:start w:val="1"/>
      <w:numFmt w:val="lowerLetter"/>
      <w:lvlText w:val="(%1)"/>
      <w:lvlJc w:val="left"/>
      <w:pPr>
        <w:ind w:left="397" w:hanging="397"/>
      </w:pPr>
      <w:rPr>
        <w:rFonts w:hint="default"/>
      </w:rPr>
    </w:lvl>
    <w:lvl w:ilvl="1" w:tplc="46A23BD4">
      <w:start w:val="1"/>
      <w:numFmt w:val="lowerLetter"/>
      <w:lvlText w:val="%2)"/>
      <w:lvlJc w:val="left"/>
      <w:pPr>
        <w:ind w:left="720" w:hanging="360"/>
      </w:pPr>
      <w:rPr>
        <w:rFonts w:hint="default"/>
      </w:rPr>
    </w:lvl>
    <w:lvl w:ilvl="2" w:tplc="9196A81C">
      <w:start w:val="1"/>
      <w:numFmt w:val="lowerRoman"/>
      <w:lvlText w:val="%3)"/>
      <w:lvlJc w:val="left"/>
      <w:pPr>
        <w:ind w:left="1080" w:hanging="360"/>
      </w:pPr>
      <w:rPr>
        <w:rFonts w:hint="default"/>
      </w:rPr>
    </w:lvl>
    <w:lvl w:ilvl="3" w:tplc="E9B8FAE6">
      <w:start w:val="1"/>
      <w:numFmt w:val="decimal"/>
      <w:lvlText w:val="(%4)"/>
      <w:lvlJc w:val="left"/>
      <w:pPr>
        <w:ind w:left="1440" w:hanging="360"/>
      </w:pPr>
      <w:rPr>
        <w:rFonts w:hint="default"/>
      </w:rPr>
    </w:lvl>
    <w:lvl w:ilvl="4" w:tplc="16C4E456">
      <w:start w:val="1"/>
      <w:numFmt w:val="lowerLetter"/>
      <w:lvlText w:val="(%5)"/>
      <w:lvlJc w:val="left"/>
      <w:pPr>
        <w:ind w:left="1800" w:hanging="360"/>
      </w:pPr>
      <w:rPr>
        <w:rFonts w:hint="default"/>
      </w:rPr>
    </w:lvl>
    <w:lvl w:ilvl="5" w:tplc="540EFBC0">
      <w:start w:val="1"/>
      <w:numFmt w:val="lowerRoman"/>
      <w:lvlText w:val="(%6)"/>
      <w:lvlJc w:val="left"/>
      <w:pPr>
        <w:ind w:left="2160" w:hanging="360"/>
      </w:pPr>
      <w:rPr>
        <w:rFonts w:hint="default"/>
      </w:rPr>
    </w:lvl>
    <w:lvl w:ilvl="6" w:tplc="BDC0ED00">
      <w:start w:val="1"/>
      <w:numFmt w:val="decimal"/>
      <w:lvlText w:val="%7."/>
      <w:lvlJc w:val="left"/>
      <w:pPr>
        <w:ind w:left="2520" w:hanging="360"/>
      </w:pPr>
      <w:rPr>
        <w:rFonts w:hint="default"/>
      </w:rPr>
    </w:lvl>
    <w:lvl w:ilvl="7" w:tplc="D376044E">
      <w:start w:val="1"/>
      <w:numFmt w:val="lowerLetter"/>
      <w:lvlText w:val="%8."/>
      <w:lvlJc w:val="left"/>
      <w:pPr>
        <w:ind w:left="2880" w:hanging="360"/>
      </w:pPr>
      <w:rPr>
        <w:rFonts w:hint="default"/>
      </w:rPr>
    </w:lvl>
    <w:lvl w:ilvl="8" w:tplc="6B38B166">
      <w:start w:val="1"/>
      <w:numFmt w:val="lowerRoman"/>
      <w:lvlText w:val="%9."/>
      <w:lvlJc w:val="left"/>
      <w:pPr>
        <w:ind w:left="3240" w:hanging="360"/>
      </w:pPr>
      <w:rPr>
        <w:rFonts w:hint="default"/>
      </w:rPr>
    </w:lvl>
  </w:abstractNum>
  <w:abstractNum w:abstractNumId="19" w15:restartNumberingAfterBreak="0">
    <w:nsid w:val="4F2C0A9D"/>
    <w:multiLevelType w:val="multilevel"/>
    <w:tmpl w:val="A5C62AEA"/>
    <w:styleLink w:val="ZZBullets"/>
    <w:lvl w:ilvl="0">
      <w:start w:val="1"/>
      <w:numFmt w:val="bullet"/>
      <w:pStyle w:val="ARbullet1"/>
      <w:lvlText w:val="&gt;"/>
      <w:lvlJc w:val="left"/>
      <w:pPr>
        <w:ind w:left="284" w:hanging="284"/>
      </w:pPr>
      <w:rPr>
        <w:rFonts w:ascii="Arial" w:hAnsi="Arial" w:hint="default"/>
        <w:color w:val="C63663"/>
      </w:rPr>
    </w:lvl>
    <w:lvl w:ilvl="1">
      <w:start w:val="1"/>
      <w:numFmt w:val="bullet"/>
      <w:lvlRestart w:val="0"/>
      <w:pStyle w:val="ARbullet2"/>
      <w:lvlText w:val="–"/>
      <w:lvlJc w:val="left"/>
      <w:pPr>
        <w:ind w:left="567" w:hanging="283"/>
      </w:pPr>
      <w:rPr>
        <w:rFonts w:ascii="Calibri" w:hAnsi="Calibri" w:hint="default"/>
        <w:color w:val="auto"/>
      </w:rPr>
    </w:lvl>
    <w:lvl w:ilvl="2">
      <w:start w:val="1"/>
      <w:numFmt w:val="bullet"/>
      <w:lvlRestart w:val="0"/>
      <w:pStyle w:val="ARbullet3"/>
      <w:lvlText w:val="▪"/>
      <w:lvlJc w:val="left"/>
      <w:pPr>
        <w:ind w:left="851" w:hanging="284"/>
      </w:pPr>
      <w:rPr>
        <w:rFonts w:ascii="Calibri" w:hAnsi="Calibri"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15:restartNumberingAfterBreak="0">
    <w:nsid w:val="51364E9D"/>
    <w:multiLevelType w:val="hybridMultilevel"/>
    <w:tmpl w:val="0D40AC72"/>
    <w:styleLink w:val="ZZTablefootnotenumbers"/>
    <w:lvl w:ilvl="0" w:tplc="6EE8479E">
      <w:start w:val="1"/>
      <w:numFmt w:val="decimal"/>
      <w:lvlText w:val="%1."/>
      <w:lvlJc w:val="left"/>
      <w:pPr>
        <w:tabs>
          <w:tab w:val="num" w:pos="284"/>
        </w:tabs>
        <w:ind w:left="284" w:hanging="284"/>
      </w:pPr>
      <w:rPr>
        <w:rFonts w:hint="default"/>
      </w:rPr>
    </w:lvl>
    <w:lvl w:ilvl="1" w:tplc="D8F00A82">
      <w:start w:val="1"/>
      <w:numFmt w:val="none"/>
      <w:lvlRestart w:val="0"/>
      <w:lvlText w:val=""/>
      <w:lvlJc w:val="left"/>
      <w:pPr>
        <w:ind w:left="0" w:firstLine="0"/>
      </w:pPr>
      <w:rPr>
        <w:rFonts w:hint="default"/>
      </w:rPr>
    </w:lvl>
    <w:lvl w:ilvl="2" w:tplc="9E743BCE">
      <w:start w:val="1"/>
      <w:numFmt w:val="none"/>
      <w:lvlRestart w:val="0"/>
      <w:lvlText w:val=""/>
      <w:lvlJc w:val="left"/>
      <w:pPr>
        <w:ind w:left="0" w:firstLine="0"/>
      </w:pPr>
      <w:rPr>
        <w:rFonts w:hint="default"/>
      </w:rPr>
    </w:lvl>
    <w:lvl w:ilvl="3" w:tplc="D504A90E">
      <w:start w:val="1"/>
      <w:numFmt w:val="none"/>
      <w:lvlRestart w:val="0"/>
      <w:lvlText w:val=""/>
      <w:lvlJc w:val="left"/>
      <w:pPr>
        <w:ind w:left="0" w:firstLine="0"/>
      </w:pPr>
      <w:rPr>
        <w:rFonts w:hint="default"/>
      </w:rPr>
    </w:lvl>
    <w:lvl w:ilvl="4" w:tplc="15D29F26">
      <w:start w:val="1"/>
      <w:numFmt w:val="none"/>
      <w:lvlRestart w:val="0"/>
      <w:lvlText w:val=""/>
      <w:lvlJc w:val="left"/>
      <w:pPr>
        <w:ind w:left="0" w:firstLine="0"/>
      </w:pPr>
      <w:rPr>
        <w:rFonts w:hint="default"/>
      </w:rPr>
    </w:lvl>
    <w:lvl w:ilvl="5" w:tplc="2236C3EE">
      <w:start w:val="1"/>
      <w:numFmt w:val="none"/>
      <w:lvlRestart w:val="0"/>
      <w:lvlText w:val=""/>
      <w:lvlJc w:val="left"/>
      <w:pPr>
        <w:ind w:left="0" w:firstLine="0"/>
      </w:pPr>
      <w:rPr>
        <w:rFonts w:hint="default"/>
      </w:rPr>
    </w:lvl>
    <w:lvl w:ilvl="6" w:tplc="2EC210CA">
      <w:start w:val="1"/>
      <w:numFmt w:val="none"/>
      <w:lvlRestart w:val="0"/>
      <w:lvlText w:val=""/>
      <w:lvlJc w:val="left"/>
      <w:pPr>
        <w:ind w:left="0" w:firstLine="0"/>
      </w:pPr>
      <w:rPr>
        <w:rFonts w:hint="default"/>
      </w:rPr>
    </w:lvl>
    <w:lvl w:ilvl="7" w:tplc="809E9CD6">
      <w:start w:val="1"/>
      <w:numFmt w:val="none"/>
      <w:lvlRestart w:val="0"/>
      <w:lvlText w:val=""/>
      <w:lvlJc w:val="left"/>
      <w:pPr>
        <w:ind w:left="0" w:firstLine="0"/>
      </w:pPr>
      <w:rPr>
        <w:rFonts w:hint="default"/>
      </w:rPr>
    </w:lvl>
    <w:lvl w:ilvl="8" w:tplc="6CF6AA44">
      <w:start w:val="1"/>
      <w:numFmt w:val="none"/>
      <w:lvlRestart w:val="0"/>
      <w:lvlText w:val=""/>
      <w:lvlJc w:val="left"/>
      <w:pPr>
        <w:ind w:left="0" w:firstLine="0"/>
      </w:pPr>
      <w:rPr>
        <w:rFonts w:hint="default"/>
      </w:rPr>
    </w:lvl>
  </w:abstractNum>
  <w:abstractNum w:abstractNumId="21" w15:restartNumberingAfterBreak="0">
    <w:nsid w:val="57CC003D"/>
    <w:multiLevelType w:val="multilevel"/>
    <w:tmpl w:val="972A8B88"/>
    <w:styleLink w:val="ZZFintablebullets"/>
    <w:lvl w:ilvl="0">
      <w:start w:val="1"/>
      <w:numFmt w:val="bullet"/>
      <w:lvlText w:val="•"/>
      <w:lvlJc w:val="left"/>
      <w:pPr>
        <w:ind w:left="170" w:hanging="170"/>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585F6A5F"/>
    <w:multiLevelType w:val="multilevel"/>
    <w:tmpl w:val="87624286"/>
    <w:styleLink w:val="CurrentList1"/>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3" w15:restartNumberingAfterBreak="0">
    <w:nsid w:val="60D64042"/>
    <w:multiLevelType w:val="hybridMultilevel"/>
    <w:tmpl w:val="690C6F7E"/>
    <w:styleLink w:val="Bullets"/>
    <w:lvl w:ilvl="0" w:tplc="E8EADD5E">
      <w:start w:val="1"/>
      <w:numFmt w:val="bullet"/>
      <w:lvlText w:val="&gt;"/>
      <w:lvlJc w:val="left"/>
      <w:pPr>
        <w:ind w:left="284" w:hanging="284"/>
      </w:pPr>
      <w:rPr>
        <w:rFonts w:ascii="Calibri" w:hAnsi="Calibri" w:hint="default"/>
        <w:b/>
        <w:i w:val="0"/>
        <w:color w:val="87189D"/>
      </w:rPr>
    </w:lvl>
    <w:lvl w:ilvl="1" w:tplc="F0AA2D78">
      <w:start w:val="1"/>
      <w:numFmt w:val="bullet"/>
      <w:lvlText w:val="&gt;"/>
      <w:lvlJc w:val="left"/>
      <w:pPr>
        <w:ind w:left="284" w:hanging="284"/>
      </w:pPr>
      <w:rPr>
        <w:rFonts w:ascii="Calibri" w:hAnsi="Calibri" w:hint="default"/>
        <w:b/>
        <w:i w:val="0"/>
        <w:color w:val="87189D"/>
      </w:rPr>
    </w:lvl>
    <w:lvl w:ilvl="2" w:tplc="9D926542">
      <w:start w:val="1"/>
      <w:numFmt w:val="bullet"/>
      <w:lvlText w:val="–"/>
      <w:lvlJc w:val="left"/>
      <w:pPr>
        <w:ind w:left="567" w:hanging="283"/>
      </w:pPr>
      <w:rPr>
        <w:rFonts w:ascii="Calibri" w:hAnsi="Calibri" w:hint="default"/>
      </w:rPr>
    </w:lvl>
    <w:lvl w:ilvl="3" w:tplc="2F10CA60">
      <w:start w:val="1"/>
      <w:numFmt w:val="bullet"/>
      <w:lvlText w:val="–"/>
      <w:lvlJc w:val="left"/>
      <w:pPr>
        <w:ind w:left="567" w:hanging="283"/>
      </w:pPr>
      <w:rPr>
        <w:rFonts w:ascii="Calibri" w:hAnsi="Calibri" w:hint="default"/>
      </w:rPr>
    </w:lvl>
    <w:lvl w:ilvl="4" w:tplc="7DEC69AA">
      <w:start w:val="1"/>
      <w:numFmt w:val="bullet"/>
      <w:lvlText w:val="•"/>
      <w:lvlJc w:val="left"/>
      <w:pPr>
        <w:ind w:left="227" w:hanging="227"/>
      </w:pPr>
      <w:rPr>
        <w:rFonts w:ascii="Calibri" w:hAnsi="Calibri" w:hint="default"/>
      </w:rPr>
    </w:lvl>
    <w:lvl w:ilvl="5" w:tplc="FBC410DA">
      <w:start w:val="1"/>
      <w:numFmt w:val="bullet"/>
      <w:lvlText w:val="–"/>
      <w:lvlJc w:val="left"/>
      <w:pPr>
        <w:ind w:left="454" w:hanging="227"/>
      </w:pPr>
      <w:rPr>
        <w:rFonts w:ascii="Calibri" w:hAnsi="Calibri" w:hint="default"/>
        <w:color w:val="auto"/>
      </w:rPr>
    </w:lvl>
    <w:lvl w:ilvl="6" w:tplc="F8F46AB2">
      <w:start w:val="1"/>
      <w:numFmt w:val="none"/>
      <w:lvlText w:val=""/>
      <w:lvlJc w:val="left"/>
      <w:pPr>
        <w:ind w:left="0" w:firstLine="0"/>
      </w:pPr>
      <w:rPr>
        <w:rFonts w:hint="default"/>
      </w:rPr>
    </w:lvl>
    <w:lvl w:ilvl="7" w:tplc="958451D0">
      <w:start w:val="1"/>
      <w:numFmt w:val="none"/>
      <w:lvlText w:val=""/>
      <w:lvlJc w:val="left"/>
      <w:pPr>
        <w:ind w:left="0" w:firstLine="0"/>
      </w:pPr>
      <w:rPr>
        <w:rFonts w:hint="default"/>
      </w:rPr>
    </w:lvl>
    <w:lvl w:ilvl="8" w:tplc="08FC1250">
      <w:start w:val="1"/>
      <w:numFmt w:val="none"/>
      <w:lvlText w:val=""/>
      <w:lvlJc w:val="left"/>
      <w:pPr>
        <w:ind w:left="0" w:firstLine="0"/>
      </w:pPr>
      <w:rPr>
        <w:rFonts w:hint="default"/>
      </w:rPr>
    </w:lvl>
  </w:abstractNum>
  <w:abstractNum w:abstractNumId="24" w15:restartNumberingAfterBreak="0">
    <w:nsid w:val="6398127E"/>
    <w:multiLevelType w:val="multilevel"/>
    <w:tmpl w:val="5BB248DE"/>
    <w:styleLink w:val="ZZLoweralphainfintables"/>
    <w:lvl w:ilvl="0">
      <w:start w:val="1"/>
      <w:numFmt w:val="lowerLetter"/>
      <w:lvlText w:val="(%1)"/>
      <w:lvlJc w:val="left"/>
      <w:pPr>
        <w:ind w:left="340" w:hanging="340"/>
      </w:pPr>
      <w:rPr>
        <w:rFonts w:hint="default"/>
      </w:rPr>
    </w:lvl>
    <w:lvl w:ilvl="1">
      <w:start w:val="1"/>
      <w:numFmt w:val="none"/>
      <w:lvlRestart w:val="0"/>
      <w:lvlText w:val=""/>
      <w:lvlJc w:val="left"/>
      <w:pPr>
        <w:tabs>
          <w:tab w:val="num" w:pos="0"/>
        </w:tabs>
        <w:ind w:left="0" w:firstLine="0"/>
      </w:pPr>
      <w:rPr>
        <w:rFonts w:hint="default"/>
        <w:color w:val="412F5A"/>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5" w15:restartNumberingAfterBreak="0">
    <w:nsid w:val="73E55721"/>
    <w:multiLevelType w:val="multilevel"/>
    <w:tmpl w:val="BDA85E8E"/>
    <w:styleLink w:val="ZZFintablefootnotebulletsindent"/>
    <w:lvl w:ilvl="0">
      <w:start w:val="1"/>
      <w:numFmt w:val="bullet"/>
      <w:pStyle w:val="ARfintablefootnotebulletindent"/>
      <w:lvlText w:val="•"/>
      <w:lvlJc w:val="left"/>
      <w:pPr>
        <w:ind w:left="567" w:hanging="283"/>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753B81"/>
    <w:multiLevelType w:val="multilevel"/>
    <w:tmpl w:val="5186F8B6"/>
    <w:styleLink w:val="ZZTablebullets"/>
    <w:lvl w:ilvl="0">
      <w:start w:val="1"/>
      <w:numFmt w:val="bullet"/>
      <w:pStyle w:val="ARtablebullet1"/>
      <w:lvlText w:val="•"/>
      <w:lvlJc w:val="left"/>
      <w:pPr>
        <w:ind w:left="227" w:hanging="227"/>
      </w:pPr>
      <w:rPr>
        <w:rFonts w:ascii="Calibri" w:hAnsi="Calibri" w:hint="default"/>
      </w:rPr>
    </w:lvl>
    <w:lvl w:ilvl="1">
      <w:start w:val="1"/>
      <w:numFmt w:val="bullet"/>
      <w:lvlRestart w:val="0"/>
      <w:pStyle w:val="ARtablebullet2"/>
      <w:lvlText w:val="–"/>
      <w:lvlJc w:val="left"/>
      <w:pPr>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2"/>
  </w:num>
  <w:num w:numId="2">
    <w:abstractNumId w:val="18"/>
  </w:num>
  <w:num w:numId="3">
    <w:abstractNumId w:val="9"/>
  </w:num>
  <w:num w:numId="4">
    <w:abstractNumId w:val="1"/>
  </w:num>
  <w:num w:numId="5">
    <w:abstractNumId w:val="14"/>
  </w:num>
  <w:num w:numId="6">
    <w:abstractNumId w:val="19"/>
  </w:num>
  <w:num w:numId="7">
    <w:abstractNumId w:val="17"/>
  </w:num>
  <w:num w:numId="8">
    <w:abstractNumId w:val="15"/>
  </w:num>
  <w:num w:numId="9">
    <w:abstractNumId w:val="26"/>
  </w:num>
  <w:num w:numId="10">
    <w:abstractNumId w:val="11"/>
  </w:num>
  <w:num w:numId="11">
    <w:abstractNumId w:val="3"/>
  </w:num>
  <w:num w:numId="12">
    <w:abstractNumId w:val="21"/>
  </w:num>
  <w:num w:numId="13">
    <w:abstractNumId w:val="16"/>
  </w:num>
  <w:num w:numId="14">
    <w:abstractNumId w:val="8"/>
  </w:num>
  <w:num w:numId="15">
    <w:abstractNumId w:val="22"/>
  </w:num>
  <w:num w:numId="16">
    <w:abstractNumId w:val="0"/>
  </w:num>
  <w:num w:numId="17">
    <w:abstractNumId w:val="12"/>
  </w:num>
  <w:num w:numId="18">
    <w:abstractNumId w:val="23"/>
  </w:num>
  <w:num w:numId="19">
    <w:abstractNumId w:val="13"/>
  </w:num>
  <w:num w:numId="20">
    <w:abstractNumId w:val="5"/>
  </w:num>
  <w:num w:numId="21">
    <w:abstractNumId w:val="24"/>
  </w:num>
  <w:num w:numId="22">
    <w:abstractNumId w:val="7"/>
  </w:num>
  <w:num w:numId="23">
    <w:abstractNumId w:val="20"/>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num>
  <w:num w:numId="27">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4"/>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SortMethod w:val="0000"/>
  <w:defaultTabStop w:val="720"/>
  <w:characterSpacingControl w:val="doNotCompress"/>
  <w:hdrShapeDefaults>
    <o:shapedefaults v:ext="edit" spidmax="2050"/>
  </w:hdrShapeDefaults>
  <w:footnotePr>
    <w:numFmt w:val="lowerLette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29"/>
    <w:rsid w:val="00000E7A"/>
    <w:rsid w:val="0000115E"/>
    <w:rsid w:val="000012A8"/>
    <w:rsid w:val="000012E6"/>
    <w:rsid w:val="00001663"/>
    <w:rsid w:val="0000179E"/>
    <w:rsid w:val="00001D81"/>
    <w:rsid w:val="00001DE0"/>
    <w:rsid w:val="00001E2A"/>
    <w:rsid w:val="00002209"/>
    <w:rsid w:val="000024F3"/>
    <w:rsid w:val="00002663"/>
    <w:rsid w:val="00002932"/>
    <w:rsid w:val="00002C8F"/>
    <w:rsid w:val="00002CC4"/>
    <w:rsid w:val="00002D3A"/>
    <w:rsid w:val="000033AF"/>
    <w:rsid w:val="00003D8E"/>
    <w:rsid w:val="0000404B"/>
    <w:rsid w:val="00004074"/>
    <w:rsid w:val="00004508"/>
    <w:rsid w:val="00004CC4"/>
    <w:rsid w:val="00005B94"/>
    <w:rsid w:val="00005C49"/>
    <w:rsid w:val="000061D8"/>
    <w:rsid w:val="00006601"/>
    <w:rsid w:val="000066EE"/>
    <w:rsid w:val="00006EEB"/>
    <w:rsid w:val="00006F96"/>
    <w:rsid w:val="00007583"/>
    <w:rsid w:val="00007693"/>
    <w:rsid w:val="00007785"/>
    <w:rsid w:val="00007A36"/>
    <w:rsid w:val="000104B9"/>
    <w:rsid w:val="00010839"/>
    <w:rsid w:val="00010A18"/>
    <w:rsid w:val="00010F1B"/>
    <w:rsid w:val="000110E4"/>
    <w:rsid w:val="00011487"/>
    <w:rsid w:val="000115A4"/>
    <w:rsid w:val="00011684"/>
    <w:rsid w:val="00011E38"/>
    <w:rsid w:val="00012029"/>
    <w:rsid w:val="000128BA"/>
    <w:rsid w:val="00012976"/>
    <w:rsid w:val="0001342C"/>
    <w:rsid w:val="0001357F"/>
    <w:rsid w:val="0001394C"/>
    <w:rsid w:val="00013FC0"/>
    <w:rsid w:val="00014625"/>
    <w:rsid w:val="00014F39"/>
    <w:rsid w:val="00015189"/>
    <w:rsid w:val="0001526C"/>
    <w:rsid w:val="000155B3"/>
    <w:rsid w:val="00015B04"/>
    <w:rsid w:val="00015E73"/>
    <w:rsid w:val="000162E5"/>
    <w:rsid w:val="00016394"/>
    <w:rsid w:val="000164C7"/>
    <w:rsid w:val="000166AC"/>
    <w:rsid w:val="00016A25"/>
    <w:rsid w:val="00016B97"/>
    <w:rsid w:val="00016BA5"/>
    <w:rsid w:val="00016EA1"/>
    <w:rsid w:val="00017335"/>
    <w:rsid w:val="00017488"/>
    <w:rsid w:val="00017FDC"/>
    <w:rsid w:val="00020010"/>
    <w:rsid w:val="0002001F"/>
    <w:rsid w:val="000201E6"/>
    <w:rsid w:val="0002026A"/>
    <w:rsid w:val="000209A1"/>
    <w:rsid w:val="00020E65"/>
    <w:rsid w:val="00020FE5"/>
    <w:rsid w:val="00021400"/>
    <w:rsid w:val="00021D86"/>
    <w:rsid w:val="0002208F"/>
    <w:rsid w:val="00022D96"/>
    <w:rsid w:val="00023AC4"/>
    <w:rsid w:val="00023B0C"/>
    <w:rsid w:val="00023BB0"/>
    <w:rsid w:val="00024252"/>
    <w:rsid w:val="0002455A"/>
    <w:rsid w:val="0002459C"/>
    <w:rsid w:val="000245AB"/>
    <w:rsid w:val="00024815"/>
    <w:rsid w:val="00024E4C"/>
    <w:rsid w:val="00024EA6"/>
    <w:rsid w:val="0002513A"/>
    <w:rsid w:val="00025466"/>
    <w:rsid w:val="00025C22"/>
    <w:rsid w:val="00025D7E"/>
    <w:rsid w:val="00025F0F"/>
    <w:rsid w:val="00026516"/>
    <w:rsid w:val="000266D8"/>
    <w:rsid w:val="00026EA0"/>
    <w:rsid w:val="000272A9"/>
    <w:rsid w:val="00027DF9"/>
    <w:rsid w:val="00027FD9"/>
    <w:rsid w:val="00030682"/>
    <w:rsid w:val="0003082E"/>
    <w:rsid w:val="00030DCE"/>
    <w:rsid w:val="00030F46"/>
    <w:rsid w:val="00031428"/>
    <w:rsid w:val="00031A12"/>
    <w:rsid w:val="00031B99"/>
    <w:rsid w:val="00031FA0"/>
    <w:rsid w:val="000323C2"/>
    <w:rsid w:val="00032604"/>
    <w:rsid w:val="00032748"/>
    <w:rsid w:val="000333EA"/>
    <w:rsid w:val="00033607"/>
    <w:rsid w:val="000337C0"/>
    <w:rsid w:val="0003388E"/>
    <w:rsid w:val="00033B63"/>
    <w:rsid w:val="00033C3E"/>
    <w:rsid w:val="00033F28"/>
    <w:rsid w:val="000343EC"/>
    <w:rsid w:val="00035097"/>
    <w:rsid w:val="000351AB"/>
    <w:rsid w:val="00035909"/>
    <w:rsid w:val="00035BCC"/>
    <w:rsid w:val="0003604F"/>
    <w:rsid w:val="000366A8"/>
    <w:rsid w:val="0003683D"/>
    <w:rsid w:val="000369AD"/>
    <w:rsid w:val="00036C02"/>
    <w:rsid w:val="00036F13"/>
    <w:rsid w:val="00037064"/>
    <w:rsid w:val="0003723B"/>
    <w:rsid w:val="00037685"/>
    <w:rsid w:val="00037BEB"/>
    <w:rsid w:val="00037D1F"/>
    <w:rsid w:val="00040479"/>
    <w:rsid w:val="00040529"/>
    <w:rsid w:val="00040618"/>
    <w:rsid w:val="00040C33"/>
    <w:rsid w:val="00040FAA"/>
    <w:rsid w:val="00041416"/>
    <w:rsid w:val="00041426"/>
    <w:rsid w:val="00041E17"/>
    <w:rsid w:val="00042989"/>
    <w:rsid w:val="00043283"/>
    <w:rsid w:val="000435F1"/>
    <w:rsid w:val="000436BE"/>
    <w:rsid w:val="00043AE0"/>
    <w:rsid w:val="00043C28"/>
    <w:rsid w:val="00043F18"/>
    <w:rsid w:val="000444FE"/>
    <w:rsid w:val="000446FA"/>
    <w:rsid w:val="00044722"/>
    <w:rsid w:val="00044B30"/>
    <w:rsid w:val="00044B50"/>
    <w:rsid w:val="00044D7C"/>
    <w:rsid w:val="00044E21"/>
    <w:rsid w:val="000456D4"/>
    <w:rsid w:val="00045817"/>
    <w:rsid w:val="00045C37"/>
    <w:rsid w:val="00046067"/>
    <w:rsid w:val="00046372"/>
    <w:rsid w:val="00046611"/>
    <w:rsid w:val="000467AD"/>
    <w:rsid w:val="000468F5"/>
    <w:rsid w:val="00046EC1"/>
    <w:rsid w:val="00047012"/>
    <w:rsid w:val="000470CA"/>
    <w:rsid w:val="0004717E"/>
    <w:rsid w:val="0004726B"/>
    <w:rsid w:val="00047314"/>
    <w:rsid w:val="00047C1B"/>
    <w:rsid w:val="00047C1D"/>
    <w:rsid w:val="00050016"/>
    <w:rsid w:val="00051169"/>
    <w:rsid w:val="0005197C"/>
    <w:rsid w:val="00051A18"/>
    <w:rsid w:val="00051A96"/>
    <w:rsid w:val="000522DC"/>
    <w:rsid w:val="00052DB7"/>
    <w:rsid w:val="00052FD4"/>
    <w:rsid w:val="000534FE"/>
    <w:rsid w:val="00053770"/>
    <w:rsid w:val="00053E78"/>
    <w:rsid w:val="00053E89"/>
    <w:rsid w:val="00053F39"/>
    <w:rsid w:val="00053FA1"/>
    <w:rsid w:val="00053FEA"/>
    <w:rsid w:val="000544BB"/>
    <w:rsid w:val="00054631"/>
    <w:rsid w:val="000546AE"/>
    <w:rsid w:val="0005532D"/>
    <w:rsid w:val="00055A0E"/>
    <w:rsid w:val="00055BA0"/>
    <w:rsid w:val="00055C05"/>
    <w:rsid w:val="00055D46"/>
    <w:rsid w:val="0005641D"/>
    <w:rsid w:val="00056909"/>
    <w:rsid w:val="000572D2"/>
    <w:rsid w:val="000572DA"/>
    <w:rsid w:val="000573B9"/>
    <w:rsid w:val="00057EDE"/>
    <w:rsid w:val="00060293"/>
    <w:rsid w:val="00060D62"/>
    <w:rsid w:val="00060EC3"/>
    <w:rsid w:val="000614C2"/>
    <w:rsid w:val="000617EE"/>
    <w:rsid w:val="00061938"/>
    <w:rsid w:val="00061F12"/>
    <w:rsid w:val="00062252"/>
    <w:rsid w:val="00062316"/>
    <w:rsid w:val="00062404"/>
    <w:rsid w:val="0006262A"/>
    <w:rsid w:val="00062A90"/>
    <w:rsid w:val="00062CB4"/>
    <w:rsid w:val="000631B5"/>
    <w:rsid w:val="00063397"/>
    <w:rsid w:val="00063410"/>
    <w:rsid w:val="00063A3F"/>
    <w:rsid w:val="0006412B"/>
    <w:rsid w:val="0006497B"/>
    <w:rsid w:val="00064E46"/>
    <w:rsid w:val="00064EA3"/>
    <w:rsid w:val="00065132"/>
    <w:rsid w:val="00065182"/>
    <w:rsid w:val="00065259"/>
    <w:rsid w:val="0006544B"/>
    <w:rsid w:val="00065E9E"/>
    <w:rsid w:val="00065FEC"/>
    <w:rsid w:val="00066367"/>
    <w:rsid w:val="00066781"/>
    <w:rsid w:val="00066A34"/>
    <w:rsid w:val="00066FA3"/>
    <w:rsid w:val="0006746D"/>
    <w:rsid w:val="000676FC"/>
    <w:rsid w:val="000677E7"/>
    <w:rsid w:val="00067C9B"/>
    <w:rsid w:val="0007038F"/>
    <w:rsid w:val="00070EE3"/>
    <w:rsid w:val="000717E2"/>
    <w:rsid w:val="0007184F"/>
    <w:rsid w:val="00071BBF"/>
    <w:rsid w:val="00071CB6"/>
    <w:rsid w:val="00071FCD"/>
    <w:rsid w:val="0007232B"/>
    <w:rsid w:val="000729D0"/>
    <w:rsid w:val="0007308C"/>
    <w:rsid w:val="000730D8"/>
    <w:rsid w:val="00073103"/>
    <w:rsid w:val="00073709"/>
    <w:rsid w:val="00073C9B"/>
    <w:rsid w:val="00073D31"/>
    <w:rsid w:val="0007438E"/>
    <w:rsid w:val="00075001"/>
    <w:rsid w:val="000753A9"/>
    <w:rsid w:val="0007603D"/>
    <w:rsid w:val="00076405"/>
    <w:rsid w:val="00077236"/>
    <w:rsid w:val="00077794"/>
    <w:rsid w:val="00077B87"/>
    <w:rsid w:val="00077F24"/>
    <w:rsid w:val="00080885"/>
    <w:rsid w:val="00080927"/>
    <w:rsid w:val="00080A09"/>
    <w:rsid w:val="00080B55"/>
    <w:rsid w:val="00080E69"/>
    <w:rsid w:val="000811E5"/>
    <w:rsid w:val="00081463"/>
    <w:rsid w:val="00081707"/>
    <w:rsid w:val="00081BD4"/>
    <w:rsid w:val="000829D4"/>
    <w:rsid w:val="000829E0"/>
    <w:rsid w:val="00082ADA"/>
    <w:rsid w:val="00082E36"/>
    <w:rsid w:val="0008364D"/>
    <w:rsid w:val="000838E7"/>
    <w:rsid w:val="00083F06"/>
    <w:rsid w:val="00084467"/>
    <w:rsid w:val="00084479"/>
    <w:rsid w:val="000844F6"/>
    <w:rsid w:val="00084E8C"/>
    <w:rsid w:val="000850BB"/>
    <w:rsid w:val="000851FB"/>
    <w:rsid w:val="00085F11"/>
    <w:rsid w:val="0008648C"/>
    <w:rsid w:val="0008662A"/>
    <w:rsid w:val="0008719B"/>
    <w:rsid w:val="000876D1"/>
    <w:rsid w:val="00087B91"/>
    <w:rsid w:val="00087C42"/>
    <w:rsid w:val="00087E6D"/>
    <w:rsid w:val="00087EAB"/>
    <w:rsid w:val="0009028B"/>
    <w:rsid w:val="0009035A"/>
    <w:rsid w:val="00090364"/>
    <w:rsid w:val="0009168B"/>
    <w:rsid w:val="0009182F"/>
    <w:rsid w:val="000918DB"/>
    <w:rsid w:val="00091E7A"/>
    <w:rsid w:val="000922C6"/>
    <w:rsid w:val="00092B3C"/>
    <w:rsid w:val="00092D31"/>
    <w:rsid w:val="0009305C"/>
    <w:rsid w:val="0009355D"/>
    <w:rsid w:val="000935FE"/>
    <w:rsid w:val="00093613"/>
    <w:rsid w:val="00093C09"/>
    <w:rsid w:val="0009434D"/>
    <w:rsid w:val="00094525"/>
    <w:rsid w:val="0009468E"/>
    <w:rsid w:val="000946A1"/>
    <w:rsid w:val="00094793"/>
    <w:rsid w:val="00094EAC"/>
    <w:rsid w:val="000950E5"/>
    <w:rsid w:val="00095437"/>
    <w:rsid w:val="00095F67"/>
    <w:rsid w:val="00096017"/>
    <w:rsid w:val="0009601F"/>
    <w:rsid w:val="00096890"/>
    <w:rsid w:val="00096C58"/>
    <w:rsid w:val="00096DD8"/>
    <w:rsid w:val="00096FAA"/>
    <w:rsid w:val="00097477"/>
    <w:rsid w:val="000975F6"/>
    <w:rsid w:val="00097649"/>
    <w:rsid w:val="00097778"/>
    <w:rsid w:val="00097FF7"/>
    <w:rsid w:val="000A0256"/>
    <w:rsid w:val="000A046D"/>
    <w:rsid w:val="000A051B"/>
    <w:rsid w:val="000A07B0"/>
    <w:rsid w:val="000A0915"/>
    <w:rsid w:val="000A1192"/>
    <w:rsid w:val="000A12B9"/>
    <w:rsid w:val="000A1350"/>
    <w:rsid w:val="000A175F"/>
    <w:rsid w:val="000A18C8"/>
    <w:rsid w:val="000A1AFF"/>
    <w:rsid w:val="000A1BF3"/>
    <w:rsid w:val="000A1DF8"/>
    <w:rsid w:val="000A1E85"/>
    <w:rsid w:val="000A22CD"/>
    <w:rsid w:val="000A264C"/>
    <w:rsid w:val="000A27EC"/>
    <w:rsid w:val="000A2960"/>
    <w:rsid w:val="000A29A9"/>
    <w:rsid w:val="000A3187"/>
    <w:rsid w:val="000A3283"/>
    <w:rsid w:val="000A328F"/>
    <w:rsid w:val="000A3772"/>
    <w:rsid w:val="000A3ACB"/>
    <w:rsid w:val="000A3B4E"/>
    <w:rsid w:val="000A4414"/>
    <w:rsid w:val="000A4955"/>
    <w:rsid w:val="000A4AF8"/>
    <w:rsid w:val="000A5031"/>
    <w:rsid w:val="000A5239"/>
    <w:rsid w:val="000A5329"/>
    <w:rsid w:val="000A5541"/>
    <w:rsid w:val="000A61DC"/>
    <w:rsid w:val="000A66A5"/>
    <w:rsid w:val="000A67EB"/>
    <w:rsid w:val="000A78FF"/>
    <w:rsid w:val="000A7DE8"/>
    <w:rsid w:val="000A7EF0"/>
    <w:rsid w:val="000A7FA7"/>
    <w:rsid w:val="000A7FFB"/>
    <w:rsid w:val="000B0037"/>
    <w:rsid w:val="000B0522"/>
    <w:rsid w:val="000B0872"/>
    <w:rsid w:val="000B1126"/>
    <w:rsid w:val="000B15E3"/>
    <w:rsid w:val="000B18BE"/>
    <w:rsid w:val="000B18D1"/>
    <w:rsid w:val="000B18FD"/>
    <w:rsid w:val="000B1924"/>
    <w:rsid w:val="000B19E7"/>
    <w:rsid w:val="000B2105"/>
    <w:rsid w:val="000B2470"/>
    <w:rsid w:val="000B24A0"/>
    <w:rsid w:val="000B2C8C"/>
    <w:rsid w:val="000B335B"/>
    <w:rsid w:val="000B39B4"/>
    <w:rsid w:val="000B3D7C"/>
    <w:rsid w:val="000B4060"/>
    <w:rsid w:val="000B4286"/>
    <w:rsid w:val="000B4593"/>
    <w:rsid w:val="000B4A45"/>
    <w:rsid w:val="000B4F84"/>
    <w:rsid w:val="000B52F0"/>
    <w:rsid w:val="000B56E2"/>
    <w:rsid w:val="000B5726"/>
    <w:rsid w:val="000B626C"/>
    <w:rsid w:val="000B65DA"/>
    <w:rsid w:val="000B66AF"/>
    <w:rsid w:val="000B66BD"/>
    <w:rsid w:val="000B6A99"/>
    <w:rsid w:val="000B6E53"/>
    <w:rsid w:val="000B72E3"/>
    <w:rsid w:val="000BB9B7"/>
    <w:rsid w:val="000C0039"/>
    <w:rsid w:val="000C028C"/>
    <w:rsid w:val="000C03AD"/>
    <w:rsid w:val="000C08CC"/>
    <w:rsid w:val="000C0B46"/>
    <w:rsid w:val="000C1221"/>
    <w:rsid w:val="000C1877"/>
    <w:rsid w:val="000C1884"/>
    <w:rsid w:val="000C1AAB"/>
    <w:rsid w:val="000C1CEB"/>
    <w:rsid w:val="000C28B8"/>
    <w:rsid w:val="000C2CB7"/>
    <w:rsid w:val="000C2E39"/>
    <w:rsid w:val="000C312A"/>
    <w:rsid w:val="000C3347"/>
    <w:rsid w:val="000C34F0"/>
    <w:rsid w:val="000C371A"/>
    <w:rsid w:val="000C3F8E"/>
    <w:rsid w:val="000C419E"/>
    <w:rsid w:val="000C4218"/>
    <w:rsid w:val="000C423D"/>
    <w:rsid w:val="000C458C"/>
    <w:rsid w:val="000C4877"/>
    <w:rsid w:val="000C4EFD"/>
    <w:rsid w:val="000C57E2"/>
    <w:rsid w:val="000C63E0"/>
    <w:rsid w:val="000C654E"/>
    <w:rsid w:val="000C6C33"/>
    <w:rsid w:val="000C6D20"/>
    <w:rsid w:val="000C71E4"/>
    <w:rsid w:val="000C76D2"/>
    <w:rsid w:val="000C7C60"/>
    <w:rsid w:val="000C7E04"/>
    <w:rsid w:val="000D0580"/>
    <w:rsid w:val="000D069C"/>
    <w:rsid w:val="000D06B0"/>
    <w:rsid w:val="000D12EB"/>
    <w:rsid w:val="000D148B"/>
    <w:rsid w:val="000D1544"/>
    <w:rsid w:val="000D167C"/>
    <w:rsid w:val="000D16A1"/>
    <w:rsid w:val="000D18A8"/>
    <w:rsid w:val="000D1EC2"/>
    <w:rsid w:val="000D1F05"/>
    <w:rsid w:val="000D217A"/>
    <w:rsid w:val="000D259D"/>
    <w:rsid w:val="000D29A9"/>
    <w:rsid w:val="000D315F"/>
    <w:rsid w:val="000D320E"/>
    <w:rsid w:val="000D3421"/>
    <w:rsid w:val="000D349B"/>
    <w:rsid w:val="000D39ED"/>
    <w:rsid w:val="000D3AB4"/>
    <w:rsid w:val="000D3C19"/>
    <w:rsid w:val="000D3C3F"/>
    <w:rsid w:val="000D3FF2"/>
    <w:rsid w:val="000D4561"/>
    <w:rsid w:val="000D4605"/>
    <w:rsid w:val="000D4E35"/>
    <w:rsid w:val="000D5265"/>
    <w:rsid w:val="000D5283"/>
    <w:rsid w:val="000D6144"/>
    <w:rsid w:val="000D6492"/>
    <w:rsid w:val="000D6887"/>
    <w:rsid w:val="000D69BA"/>
    <w:rsid w:val="000D69C4"/>
    <w:rsid w:val="000D6B22"/>
    <w:rsid w:val="000D6EDE"/>
    <w:rsid w:val="000D6FA5"/>
    <w:rsid w:val="000D6FB0"/>
    <w:rsid w:val="000D6FBF"/>
    <w:rsid w:val="000D7B9E"/>
    <w:rsid w:val="000E0051"/>
    <w:rsid w:val="000E071E"/>
    <w:rsid w:val="000E07A5"/>
    <w:rsid w:val="000E0917"/>
    <w:rsid w:val="000E0BFD"/>
    <w:rsid w:val="000E0E8D"/>
    <w:rsid w:val="000E0EE1"/>
    <w:rsid w:val="000E14F1"/>
    <w:rsid w:val="000E14F4"/>
    <w:rsid w:val="000E1E27"/>
    <w:rsid w:val="000E1F35"/>
    <w:rsid w:val="000E29FE"/>
    <w:rsid w:val="000E30F8"/>
    <w:rsid w:val="000E36C1"/>
    <w:rsid w:val="000E395A"/>
    <w:rsid w:val="000E3BCD"/>
    <w:rsid w:val="000E4549"/>
    <w:rsid w:val="000E4668"/>
    <w:rsid w:val="000E4A2A"/>
    <w:rsid w:val="000E4CF9"/>
    <w:rsid w:val="000E52E8"/>
    <w:rsid w:val="000E53D3"/>
    <w:rsid w:val="000E55AE"/>
    <w:rsid w:val="000E61E7"/>
    <w:rsid w:val="000E6880"/>
    <w:rsid w:val="000E6970"/>
    <w:rsid w:val="000E6C4D"/>
    <w:rsid w:val="000E6D39"/>
    <w:rsid w:val="000E6F5E"/>
    <w:rsid w:val="000E7436"/>
    <w:rsid w:val="000E7442"/>
    <w:rsid w:val="000E7B2E"/>
    <w:rsid w:val="000F019E"/>
    <w:rsid w:val="000F0BF8"/>
    <w:rsid w:val="000F0C61"/>
    <w:rsid w:val="000F0CBA"/>
    <w:rsid w:val="000F0E37"/>
    <w:rsid w:val="000F122C"/>
    <w:rsid w:val="000F13EA"/>
    <w:rsid w:val="000F1C6B"/>
    <w:rsid w:val="000F1D0A"/>
    <w:rsid w:val="000F1D6C"/>
    <w:rsid w:val="000F2089"/>
    <w:rsid w:val="000F26F4"/>
    <w:rsid w:val="000F28AC"/>
    <w:rsid w:val="000F2903"/>
    <w:rsid w:val="000F29DD"/>
    <w:rsid w:val="000F2AFF"/>
    <w:rsid w:val="000F38EE"/>
    <w:rsid w:val="000F4861"/>
    <w:rsid w:val="000F49C7"/>
    <w:rsid w:val="000F5522"/>
    <w:rsid w:val="000F55EE"/>
    <w:rsid w:val="000F5620"/>
    <w:rsid w:val="000F57BE"/>
    <w:rsid w:val="000F5ACA"/>
    <w:rsid w:val="000F64C7"/>
    <w:rsid w:val="000F6867"/>
    <w:rsid w:val="000F68B8"/>
    <w:rsid w:val="000F6FCB"/>
    <w:rsid w:val="000F7378"/>
    <w:rsid w:val="000F7B44"/>
    <w:rsid w:val="000F7DFF"/>
    <w:rsid w:val="000F7F3A"/>
    <w:rsid w:val="00100125"/>
    <w:rsid w:val="001003BD"/>
    <w:rsid w:val="00100796"/>
    <w:rsid w:val="00100B2D"/>
    <w:rsid w:val="00100C7A"/>
    <w:rsid w:val="00100D18"/>
    <w:rsid w:val="00101852"/>
    <w:rsid w:val="001018D4"/>
    <w:rsid w:val="00101AAC"/>
    <w:rsid w:val="00101E5D"/>
    <w:rsid w:val="0010203A"/>
    <w:rsid w:val="0010236C"/>
    <w:rsid w:val="001024AC"/>
    <w:rsid w:val="00103438"/>
    <w:rsid w:val="0010411A"/>
    <w:rsid w:val="00104321"/>
    <w:rsid w:val="00104381"/>
    <w:rsid w:val="001044AF"/>
    <w:rsid w:val="001044EF"/>
    <w:rsid w:val="00104BE5"/>
    <w:rsid w:val="00104E08"/>
    <w:rsid w:val="0010552B"/>
    <w:rsid w:val="0010557C"/>
    <w:rsid w:val="001055BE"/>
    <w:rsid w:val="00105603"/>
    <w:rsid w:val="001056C9"/>
    <w:rsid w:val="00105B1D"/>
    <w:rsid w:val="00105D21"/>
    <w:rsid w:val="00106662"/>
    <w:rsid w:val="00106667"/>
    <w:rsid w:val="00106960"/>
    <w:rsid w:val="00106EE3"/>
    <w:rsid w:val="0010773F"/>
    <w:rsid w:val="0010780D"/>
    <w:rsid w:val="00107A8C"/>
    <w:rsid w:val="00107AD3"/>
    <w:rsid w:val="00107BB6"/>
    <w:rsid w:val="001102F9"/>
    <w:rsid w:val="0011054F"/>
    <w:rsid w:val="001106DE"/>
    <w:rsid w:val="00110CF4"/>
    <w:rsid w:val="00110D73"/>
    <w:rsid w:val="001112DA"/>
    <w:rsid w:val="001112F1"/>
    <w:rsid w:val="001113BC"/>
    <w:rsid w:val="001115A5"/>
    <w:rsid w:val="00111996"/>
    <w:rsid w:val="00111BD4"/>
    <w:rsid w:val="00111C28"/>
    <w:rsid w:val="00111CB0"/>
    <w:rsid w:val="00111D76"/>
    <w:rsid w:val="001127BA"/>
    <w:rsid w:val="001129A5"/>
    <w:rsid w:val="00112AF2"/>
    <w:rsid w:val="00112B3B"/>
    <w:rsid w:val="00113040"/>
    <w:rsid w:val="0011365F"/>
    <w:rsid w:val="00113A3C"/>
    <w:rsid w:val="00113AA5"/>
    <w:rsid w:val="00113C7E"/>
    <w:rsid w:val="00113F45"/>
    <w:rsid w:val="00114350"/>
    <w:rsid w:val="0011470F"/>
    <w:rsid w:val="00114C5D"/>
    <w:rsid w:val="0011572C"/>
    <w:rsid w:val="0011579A"/>
    <w:rsid w:val="001162B8"/>
    <w:rsid w:val="0011633B"/>
    <w:rsid w:val="00116578"/>
    <w:rsid w:val="001165EF"/>
    <w:rsid w:val="0011681B"/>
    <w:rsid w:val="00116885"/>
    <w:rsid w:val="00116893"/>
    <w:rsid w:val="0011690E"/>
    <w:rsid w:val="00116D01"/>
    <w:rsid w:val="001174A1"/>
    <w:rsid w:val="00117ACD"/>
    <w:rsid w:val="00117F38"/>
    <w:rsid w:val="00117FC5"/>
    <w:rsid w:val="00120006"/>
    <w:rsid w:val="001205C1"/>
    <w:rsid w:val="001206AF"/>
    <w:rsid w:val="00120A35"/>
    <w:rsid w:val="00121533"/>
    <w:rsid w:val="001219A1"/>
    <w:rsid w:val="001219BE"/>
    <w:rsid w:val="00121A08"/>
    <w:rsid w:val="00121B53"/>
    <w:rsid w:val="00122412"/>
    <w:rsid w:val="00122450"/>
    <w:rsid w:val="00122F2F"/>
    <w:rsid w:val="001230C6"/>
    <w:rsid w:val="00124AFB"/>
    <w:rsid w:val="0012524D"/>
    <w:rsid w:val="00125A55"/>
    <w:rsid w:val="00125AAE"/>
    <w:rsid w:val="00125CD9"/>
    <w:rsid w:val="00125E54"/>
    <w:rsid w:val="00125EE1"/>
    <w:rsid w:val="00126082"/>
    <w:rsid w:val="00126667"/>
    <w:rsid w:val="001268C3"/>
    <w:rsid w:val="00126E63"/>
    <w:rsid w:val="00126F12"/>
    <w:rsid w:val="001272BE"/>
    <w:rsid w:val="001273E6"/>
    <w:rsid w:val="00127C64"/>
    <w:rsid w:val="00127E70"/>
    <w:rsid w:val="00127EE4"/>
    <w:rsid w:val="001307E9"/>
    <w:rsid w:val="00130D1C"/>
    <w:rsid w:val="0013120C"/>
    <w:rsid w:val="00131528"/>
    <w:rsid w:val="001315E6"/>
    <w:rsid w:val="00131E5D"/>
    <w:rsid w:val="00131F73"/>
    <w:rsid w:val="00132194"/>
    <w:rsid w:val="001330DA"/>
    <w:rsid w:val="00133711"/>
    <w:rsid w:val="001338BF"/>
    <w:rsid w:val="00133A22"/>
    <w:rsid w:val="00134086"/>
    <w:rsid w:val="00134500"/>
    <w:rsid w:val="001345E9"/>
    <w:rsid w:val="001351B7"/>
    <w:rsid w:val="00135385"/>
    <w:rsid w:val="0013539A"/>
    <w:rsid w:val="001353E2"/>
    <w:rsid w:val="00135510"/>
    <w:rsid w:val="00135A07"/>
    <w:rsid w:val="00135EB4"/>
    <w:rsid w:val="0013656F"/>
    <w:rsid w:val="0013676A"/>
    <w:rsid w:val="001372AB"/>
    <w:rsid w:val="00137378"/>
    <w:rsid w:val="0013768B"/>
    <w:rsid w:val="00137D72"/>
    <w:rsid w:val="00137DEA"/>
    <w:rsid w:val="00137FBC"/>
    <w:rsid w:val="00140634"/>
    <w:rsid w:val="00140A4E"/>
    <w:rsid w:val="00140A5F"/>
    <w:rsid w:val="001412B5"/>
    <w:rsid w:val="00141C38"/>
    <w:rsid w:val="00142520"/>
    <w:rsid w:val="00142CDC"/>
    <w:rsid w:val="001432DA"/>
    <w:rsid w:val="0014376C"/>
    <w:rsid w:val="00143C03"/>
    <w:rsid w:val="00143D68"/>
    <w:rsid w:val="0014403C"/>
    <w:rsid w:val="001441C8"/>
    <w:rsid w:val="00144BA7"/>
    <w:rsid w:val="001454E5"/>
    <w:rsid w:val="00145912"/>
    <w:rsid w:val="00145AF3"/>
    <w:rsid w:val="00145CE6"/>
    <w:rsid w:val="0014657C"/>
    <w:rsid w:val="001469B8"/>
    <w:rsid w:val="00146DA7"/>
    <w:rsid w:val="00147524"/>
    <w:rsid w:val="001477ED"/>
    <w:rsid w:val="0014789E"/>
    <w:rsid w:val="00147C01"/>
    <w:rsid w:val="00150063"/>
    <w:rsid w:val="00150248"/>
    <w:rsid w:val="0015096A"/>
    <w:rsid w:val="00150A3D"/>
    <w:rsid w:val="00150B62"/>
    <w:rsid w:val="00150C64"/>
    <w:rsid w:val="00150FC1"/>
    <w:rsid w:val="0015132C"/>
    <w:rsid w:val="00151355"/>
    <w:rsid w:val="00151376"/>
    <w:rsid w:val="00151851"/>
    <w:rsid w:val="00151969"/>
    <w:rsid w:val="00152D0B"/>
    <w:rsid w:val="00152DF0"/>
    <w:rsid w:val="00153462"/>
    <w:rsid w:val="001536E5"/>
    <w:rsid w:val="00153E8E"/>
    <w:rsid w:val="00153F16"/>
    <w:rsid w:val="0015415F"/>
    <w:rsid w:val="001541F2"/>
    <w:rsid w:val="00154204"/>
    <w:rsid w:val="00154607"/>
    <w:rsid w:val="0015479C"/>
    <w:rsid w:val="0015488C"/>
    <w:rsid w:val="001553BF"/>
    <w:rsid w:val="001556B8"/>
    <w:rsid w:val="00155A12"/>
    <w:rsid w:val="00155B22"/>
    <w:rsid w:val="00155F14"/>
    <w:rsid w:val="001563F0"/>
    <w:rsid w:val="001568D2"/>
    <w:rsid w:val="00156D26"/>
    <w:rsid w:val="00156D63"/>
    <w:rsid w:val="00156DA2"/>
    <w:rsid w:val="00156FDC"/>
    <w:rsid w:val="0015717C"/>
    <w:rsid w:val="00157F4C"/>
    <w:rsid w:val="0016034E"/>
    <w:rsid w:val="0016064B"/>
    <w:rsid w:val="00160B3A"/>
    <w:rsid w:val="00160F6E"/>
    <w:rsid w:val="00160FFC"/>
    <w:rsid w:val="00161033"/>
    <w:rsid w:val="001611EB"/>
    <w:rsid w:val="00161B4C"/>
    <w:rsid w:val="00161DC3"/>
    <w:rsid w:val="00162989"/>
    <w:rsid w:val="00162AF8"/>
    <w:rsid w:val="00163613"/>
    <w:rsid w:val="00163CA3"/>
    <w:rsid w:val="001647DD"/>
    <w:rsid w:val="00164C10"/>
    <w:rsid w:val="00164FA0"/>
    <w:rsid w:val="00165057"/>
    <w:rsid w:val="001650BF"/>
    <w:rsid w:val="00165263"/>
    <w:rsid w:val="00165958"/>
    <w:rsid w:val="00166054"/>
    <w:rsid w:val="0016614E"/>
    <w:rsid w:val="001670B7"/>
    <w:rsid w:val="001670CA"/>
    <w:rsid w:val="0016751B"/>
    <w:rsid w:val="00167D0D"/>
    <w:rsid w:val="001700DC"/>
    <w:rsid w:val="00170602"/>
    <w:rsid w:val="001708C9"/>
    <w:rsid w:val="00170C22"/>
    <w:rsid w:val="00171252"/>
    <w:rsid w:val="001712DF"/>
    <w:rsid w:val="00171654"/>
    <w:rsid w:val="001719AA"/>
    <w:rsid w:val="00171CCD"/>
    <w:rsid w:val="0017227A"/>
    <w:rsid w:val="00172E03"/>
    <w:rsid w:val="00174A83"/>
    <w:rsid w:val="00175261"/>
    <w:rsid w:val="001755BF"/>
    <w:rsid w:val="00175B48"/>
    <w:rsid w:val="00175DDE"/>
    <w:rsid w:val="00176E53"/>
    <w:rsid w:val="00177096"/>
    <w:rsid w:val="00177286"/>
    <w:rsid w:val="001773F9"/>
    <w:rsid w:val="001776BD"/>
    <w:rsid w:val="001778D0"/>
    <w:rsid w:val="00177947"/>
    <w:rsid w:val="00177990"/>
    <w:rsid w:val="00177A80"/>
    <w:rsid w:val="00180254"/>
    <w:rsid w:val="0018044F"/>
    <w:rsid w:val="00181000"/>
    <w:rsid w:val="00181726"/>
    <w:rsid w:val="00182222"/>
    <w:rsid w:val="00182415"/>
    <w:rsid w:val="001837BB"/>
    <w:rsid w:val="0018396D"/>
    <w:rsid w:val="00183A1F"/>
    <w:rsid w:val="00183BAA"/>
    <w:rsid w:val="00184856"/>
    <w:rsid w:val="00184AFE"/>
    <w:rsid w:val="00184B59"/>
    <w:rsid w:val="001854A5"/>
    <w:rsid w:val="00185586"/>
    <w:rsid w:val="001856BD"/>
    <w:rsid w:val="00185860"/>
    <w:rsid w:val="00185A4D"/>
    <w:rsid w:val="00185A7A"/>
    <w:rsid w:val="00185B9D"/>
    <w:rsid w:val="0018603E"/>
    <w:rsid w:val="001862B4"/>
    <w:rsid w:val="001862B6"/>
    <w:rsid w:val="00186636"/>
    <w:rsid w:val="00186DA4"/>
    <w:rsid w:val="00187B5D"/>
    <w:rsid w:val="00190223"/>
    <w:rsid w:val="0019053A"/>
    <w:rsid w:val="0019069B"/>
    <w:rsid w:val="00190926"/>
    <w:rsid w:val="00191959"/>
    <w:rsid w:val="001919DF"/>
    <w:rsid w:val="00191CBC"/>
    <w:rsid w:val="00191E3E"/>
    <w:rsid w:val="00191F36"/>
    <w:rsid w:val="00192080"/>
    <w:rsid w:val="00192491"/>
    <w:rsid w:val="0019253F"/>
    <w:rsid w:val="001926BF"/>
    <w:rsid w:val="001927BE"/>
    <w:rsid w:val="0019291B"/>
    <w:rsid w:val="00192D16"/>
    <w:rsid w:val="00192E18"/>
    <w:rsid w:val="00192EEE"/>
    <w:rsid w:val="00192F18"/>
    <w:rsid w:val="00192F46"/>
    <w:rsid w:val="001931C8"/>
    <w:rsid w:val="00193A30"/>
    <w:rsid w:val="00193FD9"/>
    <w:rsid w:val="00194359"/>
    <w:rsid w:val="001949FA"/>
    <w:rsid w:val="00194DAA"/>
    <w:rsid w:val="001954AF"/>
    <w:rsid w:val="0019560E"/>
    <w:rsid w:val="00195847"/>
    <w:rsid w:val="001961A8"/>
    <w:rsid w:val="001963D4"/>
    <w:rsid w:val="001964F9"/>
    <w:rsid w:val="00196564"/>
    <w:rsid w:val="00196BD4"/>
    <w:rsid w:val="001975DA"/>
    <w:rsid w:val="001A0074"/>
    <w:rsid w:val="001A02B8"/>
    <w:rsid w:val="001A04C0"/>
    <w:rsid w:val="001A0889"/>
    <w:rsid w:val="001A0C14"/>
    <w:rsid w:val="001A13E7"/>
    <w:rsid w:val="001A152C"/>
    <w:rsid w:val="001A1EE2"/>
    <w:rsid w:val="001A2160"/>
    <w:rsid w:val="001A2695"/>
    <w:rsid w:val="001A2A15"/>
    <w:rsid w:val="001A2AE5"/>
    <w:rsid w:val="001A3434"/>
    <w:rsid w:val="001A385F"/>
    <w:rsid w:val="001A3861"/>
    <w:rsid w:val="001A3AD4"/>
    <w:rsid w:val="001A3E9A"/>
    <w:rsid w:val="001A3F62"/>
    <w:rsid w:val="001A40EF"/>
    <w:rsid w:val="001A4611"/>
    <w:rsid w:val="001A4B71"/>
    <w:rsid w:val="001A4BE0"/>
    <w:rsid w:val="001A4FD9"/>
    <w:rsid w:val="001A54CF"/>
    <w:rsid w:val="001A559C"/>
    <w:rsid w:val="001A5CEC"/>
    <w:rsid w:val="001A5F46"/>
    <w:rsid w:val="001A6190"/>
    <w:rsid w:val="001A68B4"/>
    <w:rsid w:val="001A6D41"/>
    <w:rsid w:val="001A6EA1"/>
    <w:rsid w:val="001A6FBB"/>
    <w:rsid w:val="001A70B8"/>
    <w:rsid w:val="001A7135"/>
    <w:rsid w:val="001A7571"/>
    <w:rsid w:val="001A75F6"/>
    <w:rsid w:val="001A78A4"/>
    <w:rsid w:val="001A7A30"/>
    <w:rsid w:val="001A7A32"/>
    <w:rsid w:val="001A7E13"/>
    <w:rsid w:val="001A7FCC"/>
    <w:rsid w:val="001B01CC"/>
    <w:rsid w:val="001B02E1"/>
    <w:rsid w:val="001B0574"/>
    <w:rsid w:val="001B05A9"/>
    <w:rsid w:val="001B0A83"/>
    <w:rsid w:val="001B0B19"/>
    <w:rsid w:val="001B2430"/>
    <w:rsid w:val="001B27BE"/>
    <w:rsid w:val="001B2871"/>
    <w:rsid w:val="001B2963"/>
    <w:rsid w:val="001B2D4C"/>
    <w:rsid w:val="001B34E9"/>
    <w:rsid w:val="001B3934"/>
    <w:rsid w:val="001B39F2"/>
    <w:rsid w:val="001B41BE"/>
    <w:rsid w:val="001B43ED"/>
    <w:rsid w:val="001B449D"/>
    <w:rsid w:val="001B4CC8"/>
    <w:rsid w:val="001B4E88"/>
    <w:rsid w:val="001B5487"/>
    <w:rsid w:val="001B59A1"/>
    <w:rsid w:val="001B5A15"/>
    <w:rsid w:val="001B5E21"/>
    <w:rsid w:val="001B6DB7"/>
    <w:rsid w:val="001B6EEE"/>
    <w:rsid w:val="001B6F81"/>
    <w:rsid w:val="001B70EC"/>
    <w:rsid w:val="001B7322"/>
    <w:rsid w:val="001B7B09"/>
    <w:rsid w:val="001B7CEF"/>
    <w:rsid w:val="001C01D8"/>
    <w:rsid w:val="001C021B"/>
    <w:rsid w:val="001C14AF"/>
    <w:rsid w:val="001C163C"/>
    <w:rsid w:val="001C1A9D"/>
    <w:rsid w:val="001C1AB1"/>
    <w:rsid w:val="001C1CBD"/>
    <w:rsid w:val="001C1E1B"/>
    <w:rsid w:val="001C1FDF"/>
    <w:rsid w:val="001C2CF5"/>
    <w:rsid w:val="001C38CE"/>
    <w:rsid w:val="001C3A54"/>
    <w:rsid w:val="001C3B96"/>
    <w:rsid w:val="001C3C55"/>
    <w:rsid w:val="001C410A"/>
    <w:rsid w:val="001C60F2"/>
    <w:rsid w:val="001C6687"/>
    <w:rsid w:val="001C6723"/>
    <w:rsid w:val="001C6852"/>
    <w:rsid w:val="001C6A00"/>
    <w:rsid w:val="001C6CFC"/>
    <w:rsid w:val="001C789E"/>
    <w:rsid w:val="001C7940"/>
    <w:rsid w:val="001C7964"/>
    <w:rsid w:val="001C7E63"/>
    <w:rsid w:val="001C7FAA"/>
    <w:rsid w:val="001D0556"/>
    <w:rsid w:val="001D1758"/>
    <w:rsid w:val="001D1800"/>
    <w:rsid w:val="001D1B8B"/>
    <w:rsid w:val="001D1D90"/>
    <w:rsid w:val="001D2208"/>
    <w:rsid w:val="001D241B"/>
    <w:rsid w:val="001D24AC"/>
    <w:rsid w:val="001D2668"/>
    <w:rsid w:val="001D2FE3"/>
    <w:rsid w:val="001D32A9"/>
    <w:rsid w:val="001D3333"/>
    <w:rsid w:val="001D3623"/>
    <w:rsid w:val="001D39DD"/>
    <w:rsid w:val="001D445F"/>
    <w:rsid w:val="001D4B6B"/>
    <w:rsid w:val="001D4BE9"/>
    <w:rsid w:val="001D533D"/>
    <w:rsid w:val="001D5379"/>
    <w:rsid w:val="001D537C"/>
    <w:rsid w:val="001D5AC1"/>
    <w:rsid w:val="001D5CDE"/>
    <w:rsid w:val="001D5D0F"/>
    <w:rsid w:val="001D5F90"/>
    <w:rsid w:val="001D6816"/>
    <w:rsid w:val="001D75D0"/>
    <w:rsid w:val="001D773B"/>
    <w:rsid w:val="001D793D"/>
    <w:rsid w:val="001D7D72"/>
    <w:rsid w:val="001D7F9D"/>
    <w:rsid w:val="001E0008"/>
    <w:rsid w:val="001E09F3"/>
    <w:rsid w:val="001E0CF2"/>
    <w:rsid w:val="001E0EDA"/>
    <w:rsid w:val="001E0F78"/>
    <w:rsid w:val="001E10A1"/>
    <w:rsid w:val="001E1569"/>
    <w:rsid w:val="001E1787"/>
    <w:rsid w:val="001E1976"/>
    <w:rsid w:val="001E1C05"/>
    <w:rsid w:val="001E1E27"/>
    <w:rsid w:val="001E1F1E"/>
    <w:rsid w:val="001E2164"/>
    <w:rsid w:val="001E28D5"/>
    <w:rsid w:val="001E2E34"/>
    <w:rsid w:val="001E3229"/>
    <w:rsid w:val="001E35D5"/>
    <w:rsid w:val="001E3B55"/>
    <w:rsid w:val="001E3F8C"/>
    <w:rsid w:val="001E4428"/>
    <w:rsid w:val="001E4BB1"/>
    <w:rsid w:val="001E4FFE"/>
    <w:rsid w:val="001E6015"/>
    <w:rsid w:val="001E6C10"/>
    <w:rsid w:val="001E6DAF"/>
    <w:rsid w:val="001E760F"/>
    <w:rsid w:val="001E768A"/>
    <w:rsid w:val="001E76DE"/>
    <w:rsid w:val="001E7991"/>
    <w:rsid w:val="001E7CD0"/>
    <w:rsid w:val="001E7D71"/>
    <w:rsid w:val="001F028F"/>
    <w:rsid w:val="001F0498"/>
    <w:rsid w:val="001F063C"/>
    <w:rsid w:val="001F08A3"/>
    <w:rsid w:val="001F0FF7"/>
    <w:rsid w:val="001F11EB"/>
    <w:rsid w:val="001F1B70"/>
    <w:rsid w:val="001F2102"/>
    <w:rsid w:val="001F22C0"/>
    <w:rsid w:val="001F3A13"/>
    <w:rsid w:val="001F3AE2"/>
    <w:rsid w:val="001F3C12"/>
    <w:rsid w:val="001F4397"/>
    <w:rsid w:val="001F44F8"/>
    <w:rsid w:val="001F5199"/>
    <w:rsid w:val="001F5258"/>
    <w:rsid w:val="001F52EB"/>
    <w:rsid w:val="001F54CE"/>
    <w:rsid w:val="001F5A5D"/>
    <w:rsid w:val="001F5CEE"/>
    <w:rsid w:val="001F5FE7"/>
    <w:rsid w:val="001F6B29"/>
    <w:rsid w:val="001F6E53"/>
    <w:rsid w:val="001F6ED2"/>
    <w:rsid w:val="001F7095"/>
    <w:rsid w:val="001F72E3"/>
    <w:rsid w:val="001F77AC"/>
    <w:rsid w:val="001F7A0C"/>
    <w:rsid w:val="001F7C04"/>
    <w:rsid w:val="002005AC"/>
    <w:rsid w:val="00200884"/>
    <w:rsid w:val="002008D4"/>
    <w:rsid w:val="0020133D"/>
    <w:rsid w:val="002013CF"/>
    <w:rsid w:val="00201705"/>
    <w:rsid w:val="00201A04"/>
    <w:rsid w:val="00201A9B"/>
    <w:rsid w:val="00201B19"/>
    <w:rsid w:val="00201B69"/>
    <w:rsid w:val="00201F08"/>
    <w:rsid w:val="00202184"/>
    <w:rsid w:val="0020263E"/>
    <w:rsid w:val="002029AF"/>
    <w:rsid w:val="00202D1A"/>
    <w:rsid w:val="00202DD7"/>
    <w:rsid w:val="00202EE2"/>
    <w:rsid w:val="002032A4"/>
    <w:rsid w:val="0020369A"/>
    <w:rsid w:val="002036C1"/>
    <w:rsid w:val="002038E5"/>
    <w:rsid w:val="00203A61"/>
    <w:rsid w:val="00203CAB"/>
    <w:rsid w:val="00203E00"/>
    <w:rsid w:val="00204CC4"/>
    <w:rsid w:val="00204EF1"/>
    <w:rsid w:val="00205391"/>
    <w:rsid w:val="002054C0"/>
    <w:rsid w:val="00205B86"/>
    <w:rsid w:val="00205D1B"/>
    <w:rsid w:val="00205D6E"/>
    <w:rsid w:val="0020648D"/>
    <w:rsid w:val="00206595"/>
    <w:rsid w:val="00206861"/>
    <w:rsid w:val="002068D8"/>
    <w:rsid w:val="00206ADD"/>
    <w:rsid w:val="002070B1"/>
    <w:rsid w:val="002074C9"/>
    <w:rsid w:val="002074FF"/>
    <w:rsid w:val="002101AD"/>
    <w:rsid w:val="002101B3"/>
    <w:rsid w:val="00210323"/>
    <w:rsid w:val="00210C3C"/>
    <w:rsid w:val="00210D25"/>
    <w:rsid w:val="002112F3"/>
    <w:rsid w:val="002115BC"/>
    <w:rsid w:val="00211951"/>
    <w:rsid w:val="00211AA0"/>
    <w:rsid w:val="00211BE3"/>
    <w:rsid w:val="00211DE7"/>
    <w:rsid w:val="00211E6E"/>
    <w:rsid w:val="00212505"/>
    <w:rsid w:val="002128C4"/>
    <w:rsid w:val="00212997"/>
    <w:rsid w:val="00212B70"/>
    <w:rsid w:val="00212D14"/>
    <w:rsid w:val="0021307D"/>
    <w:rsid w:val="002136C0"/>
    <w:rsid w:val="00213703"/>
    <w:rsid w:val="00213935"/>
    <w:rsid w:val="0021411E"/>
    <w:rsid w:val="00214405"/>
    <w:rsid w:val="002146D3"/>
    <w:rsid w:val="00214739"/>
    <w:rsid w:val="002148C2"/>
    <w:rsid w:val="00214C48"/>
    <w:rsid w:val="002157AA"/>
    <w:rsid w:val="00215A93"/>
    <w:rsid w:val="00215C0A"/>
    <w:rsid w:val="00215F71"/>
    <w:rsid w:val="00215FAC"/>
    <w:rsid w:val="00216915"/>
    <w:rsid w:val="00216972"/>
    <w:rsid w:val="00216BF7"/>
    <w:rsid w:val="00216CCB"/>
    <w:rsid w:val="0021723B"/>
    <w:rsid w:val="0021789C"/>
    <w:rsid w:val="00217BF1"/>
    <w:rsid w:val="002206C1"/>
    <w:rsid w:val="002207EF"/>
    <w:rsid w:val="00220971"/>
    <w:rsid w:val="002209B0"/>
    <w:rsid w:val="00220F6F"/>
    <w:rsid w:val="002210F5"/>
    <w:rsid w:val="00221263"/>
    <w:rsid w:val="0022137A"/>
    <w:rsid w:val="002213C6"/>
    <w:rsid w:val="002218F4"/>
    <w:rsid w:val="00221BC1"/>
    <w:rsid w:val="00221D17"/>
    <w:rsid w:val="00221EB6"/>
    <w:rsid w:val="00222655"/>
    <w:rsid w:val="00222765"/>
    <w:rsid w:val="00222D72"/>
    <w:rsid w:val="00222DB1"/>
    <w:rsid w:val="00223240"/>
    <w:rsid w:val="00223A18"/>
    <w:rsid w:val="00223E33"/>
    <w:rsid w:val="002244B8"/>
    <w:rsid w:val="00224B55"/>
    <w:rsid w:val="00225719"/>
    <w:rsid w:val="00225B56"/>
    <w:rsid w:val="00226052"/>
    <w:rsid w:val="00226609"/>
    <w:rsid w:val="002270D3"/>
    <w:rsid w:val="00227D05"/>
    <w:rsid w:val="00227F2D"/>
    <w:rsid w:val="0023066D"/>
    <w:rsid w:val="00230695"/>
    <w:rsid w:val="00230D99"/>
    <w:rsid w:val="00230E70"/>
    <w:rsid w:val="00230F4C"/>
    <w:rsid w:val="00230FD9"/>
    <w:rsid w:val="00231005"/>
    <w:rsid w:val="002310E2"/>
    <w:rsid w:val="00231247"/>
    <w:rsid w:val="00231551"/>
    <w:rsid w:val="00231895"/>
    <w:rsid w:val="00231A4C"/>
    <w:rsid w:val="00231FAF"/>
    <w:rsid w:val="00231FC5"/>
    <w:rsid w:val="002320E8"/>
    <w:rsid w:val="00232103"/>
    <w:rsid w:val="0023272F"/>
    <w:rsid w:val="00232983"/>
    <w:rsid w:val="00232FA9"/>
    <w:rsid w:val="0023301A"/>
    <w:rsid w:val="0023311D"/>
    <w:rsid w:val="0023352A"/>
    <w:rsid w:val="002336E5"/>
    <w:rsid w:val="00233C48"/>
    <w:rsid w:val="00233DA9"/>
    <w:rsid w:val="00235B9E"/>
    <w:rsid w:val="00235D42"/>
    <w:rsid w:val="0023617A"/>
    <w:rsid w:val="0023651A"/>
    <w:rsid w:val="00236535"/>
    <w:rsid w:val="0023668F"/>
    <w:rsid w:val="00236A76"/>
    <w:rsid w:val="00236DCB"/>
    <w:rsid w:val="00236EAB"/>
    <w:rsid w:val="002372AC"/>
    <w:rsid w:val="00237380"/>
    <w:rsid w:val="00237D94"/>
    <w:rsid w:val="002402A9"/>
    <w:rsid w:val="002405D6"/>
    <w:rsid w:val="00240897"/>
    <w:rsid w:val="00240BA8"/>
    <w:rsid w:val="00240BB2"/>
    <w:rsid w:val="00240F10"/>
    <w:rsid w:val="00240F22"/>
    <w:rsid w:val="00240FCD"/>
    <w:rsid w:val="0024117A"/>
    <w:rsid w:val="002411FB"/>
    <w:rsid w:val="00241277"/>
    <w:rsid w:val="00241533"/>
    <w:rsid w:val="00241DC0"/>
    <w:rsid w:val="0024227A"/>
    <w:rsid w:val="002427F8"/>
    <w:rsid w:val="00243171"/>
    <w:rsid w:val="002432FC"/>
    <w:rsid w:val="00243473"/>
    <w:rsid w:val="00243673"/>
    <w:rsid w:val="00243691"/>
    <w:rsid w:val="00243D32"/>
    <w:rsid w:val="00244986"/>
    <w:rsid w:val="002451BA"/>
    <w:rsid w:val="00245C36"/>
    <w:rsid w:val="00245CFD"/>
    <w:rsid w:val="00245D30"/>
    <w:rsid w:val="0024605A"/>
    <w:rsid w:val="0024649F"/>
    <w:rsid w:val="002465B4"/>
    <w:rsid w:val="00246AC6"/>
    <w:rsid w:val="0024726F"/>
    <w:rsid w:val="00250034"/>
    <w:rsid w:val="00250517"/>
    <w:rsid w:val="00250B37"/>
    <w:rsid w:val="002516C4"/>
    <w:rsid w:val="002519DB"/>
    <w:rsid w:val="00251E7B"/>
    <w:rsid w:val="002521F3"/>
    <w:rsid w:val="002523DC"/>
    <w:rsid w:val="002526DD"/>
    <w:rsid w:val="00252C2B"/>
    <w:rsid w:val="002531F7"/>
    <w:rsid w:val="0025334A"/>
    <w:rsid w:val="002539AC"/>
    <w:rsid w:val="0025420C"/>
    <w:rsid w:val="002543F3"/>
    <w:rsid w:val="00254AB7"/>
    <w:rsid w:val="00254EE6"/>
    <w:rsid w:val="002551A8"/>
    <w:rsid w:val="0025562C"/>
    <w:rsid w:val="00255A71"/>
    <w:rsid w:val="00255AB4"/>
    <w:rsid w:val="00256387"/>
    <w:rsid w:val="0025638B"/>
    <w:rsid w:val="00256B41"/>
    <w:rsid w:val="002571A7"/>
    <w:rsid w:val="002572D0"/>
    <w:rsid w:val="00257380"/>
    <w:rsid w:val="00257550"/>
    <w:rsid w:val="00257A71"/>
    <w:rsid w:val="00257AF4"/>
    <w:rsid w:val="0026092A"/>
    <w:rsid w:val="00260CDE"/>
    <w:rsid w:val="00260E00"/>
    <w:rsid w:val="0026134C"/>
    <w:rsid w:val="00261AC5"/>
    <w:rsid w:val="00261CED"/>
    <w:rsid w:val="002620BF"/>
    <w:rsid w:val="00262575"/>
    <w:rsid w:val="002626FF"/>
    <w:rsid w:val="00262A8D"/>
    <w:rsid w:val="00262AD4"/>
    <w:rsid w:val="00262CBF"/>
    <w:rsid w:val="00262DEB"/>
    <w:rsid w:val="002633C7"/>
    <w:rsid w:val="00263607"/>
    <w:rsid w:val="0026366F"/>
    <w:rsid w:val="00264381"/>
    <w:rsid w:val="002644A9"/>
    <w:rsid w:val="00264C22"/>
    <w:rsid w:val="00264E4E"/>
    <w:rsid w:val="0026518E"/>
    <w:rsid w:val="002657E8"/>
    <w:rsid w:val="002659F6"/>
    <w:rsid w:val="00265B43"/>
    <w:rsid w:val="00265E3E"/>
    <w:rsid w:val="0026600A"/>
    <w:rsid w:val="002661AA"/>
    <w:rsid w:val="00266436"/>
    <w:rsid w:val="00266B44"/>
    <w:rsid w:val="0026728B"/>
    <w:rsid w:val="00267362"/>
    <w:rsid w:val="00267891"/>
    <w:rsid w:val="002678E4"/>
    <w:rsid w:val="00267BEA"/>
    <w:rsid w:val="002700DF"/>
    <w:rsid w:val="0027024F"/>
    <w:rsid w:val="0027056F"/>
    <w:rsid w:val="002706A0"/>
    <w:rsid w:val="002707A8"/>
    <w:rsid w:val="00270943"/>
    <w:rsid w:val="00270A20"/>
    <w:rsid w:val="00270B40"/>
    <w:rsid w:val="00271134"/>
    <w:rsid w:val="002718DE"/>
    <w:rsid w:val="00271B67"/>
    <w:rsid w:val="00271F39"/>
    <w:rsid w:val="00272448"/>
    <w:rsid w:val="0027247B"/>
    <w:rsid w:val="002726BE"/>
    <w:rsid w:val="00272B7F"/>
    <w:rsid w:val="00272C72"/>
    <w:rsid w:val="002732C9"/>
    <w:rsid w:val="002733C4"/>
    <w:rsid w:val="00273E3B"/>
    <w:rsid w:val="00273E9B"/>
    <w:rsid w:val="0027481F"/>
    <w:rsid w:val="00275235"/>
    <w:rsid w:val="0027595A"/>
    <w:rsid w:val="002759E6"/>
    <w:rsid w:val="0027664F"/>
    <w:rsid w:val="00276667"/>
    <w:rsid w:val="002766A3"/>
    <w:rsid w:val="0027690E"/>
    <w:rsid w:val="00276DD1"/>
    <w:rsid w:val="0027710B"/>
    <w:rsid w:val="0027713A"/>
    <w:rsid w:val="002773E1"/>
    <w:rsid w:val="002774DC"/>
    <w:rsid w:val="0027759D"/>
    <w:rsid w:val="0028020C"/>
    <w:rsid w:val="00280DA7"/>
    <w:rsid w:val="00280FCC"/>
    <w:rsid w:val="0028134C"/>
    <w:rsid w:val="00281896"/>
    <w:rsid w:val="0028295D"/>
    <w:rsid w:val="00282A10"/>
    <w:rsid w:val="002835C0"/>
    <w:rsid w:val="0028367E"/>
    <w:rsid w:val="0028453B"/>
    <w:rsid w:val="0028495F"/>
    <w:rsid w:val="00285837"/>
    <w:rsid w:val="0028583E"/>
    <w:rsid w:val="00285A6C"/>
    <w:rsid w:val="00285CF1"/>
    <w:rsid w:val="00286079"/>
    <w:rsid w:val="00286264"/>
    <w:rsid w:val="002862D8"/>
    <w:rsid w:val="0028636D"/>
    <w:rsid w:val="0028683D"/>
    <w:rsid w:val="00286C94"/>
    <w:rsid w:val="00286FE2"/>
    <w:rsid w:val="002877A2"/>
    <w:rsid w:val="002879DE"/>
    <w:rsid w:val="002900EC"/>
    <w:rsid w:val="002904D1"/>
    <w:rsid w:val="00290574"/>
    <w:rsid w:val="002907D7"/>
    <w:rsid w:val="002909CA"/>
    <w:rsid w:val="00290C94"/>
    <w:rsid w:val="00291152"/>
    <w:rsid w:val="0029117A"/>
    <w:rsid w:val="002911A0"/>
    <w:rsid w:val="00291262"/>
    <w:rsid w:val="002915E8"/>
    <w:rsid w:val="002919FE"/>
    <w:rsid w:val="00291C88"/>
    <w:rsid w:val="00291EAB"/>
    <w:rsid w:val="00292010"/>
    <w:rsid w:val="0029232E"/>
    <w:rsid w:val="00292406"/>
    <w:rsid w:val="002924C2"/>
    <w:rsid w:val="002931BF"/>
    <w:rsid w:val="00293345"/>
    <w:rsid w:val="002933FF"/>
    <w:rsid w:val="00293415"/>
    <w:rsid w:val="0029466A"/>
    <w:rsid w:val="0029471D"/>
    <w:rsid w:val="00294808"/>
    <w:rsid w:val="00294A87"/>
    <w:rsid w:val="00294FCF"/>
    <w:rsid w:val="00295470"/>
    <w:rsid w:val="002959F9"/>
    <w:rsid w:val="00295A7A"/>
    <w:rsid w:val="00295C8D"/>
    <w:rsid w:val="00295CF1"/>
    <w:rsid w:val="00295EC9"/>
    <w:rsid w:val="00296068"/>
    <w:rsid w:val="0029613F"/>
    <w:rsid w:val="00296B62"/>
    <w:rsid w:val="00297541"/>
    <w:rsid w:val="002976AB"/>
    <w:rsid w:val="0029774F"/>
    <w:rsid w:val="00297775"/>
    <w:rsid w:val="00297941"/>
    <w:rsid w:val="00297AAE"/>
    <w:rsid w:val="00297B7D"/>
    <w:rsid w:val="002A07F0"/>
    <w:rsid w:val="002A082B"/>
    <w:rsid w:val="002A08BF"/>
    <w:rsid w:val="002A0D7A"/>
    <w:rsid w:val="002A0FBC"/>
    <w:rsid w:val="002A113F"/>
    <w:rsid w:val="002A1178"/>
    <w:rsid w:val="002A1ADF"/>
    <w:rsid w:val="002A1CF8"/>
    <w:rsid w:val="002A20C5"/>
    <w:rsid w:val="002A21E3"/>
    <w:rsid w:val="002A269B"/>
    <w:rsid w:val="002A284D"/>
    <w:rsid w:val="002A3743"/>
    <w:rsid w:val="002A38EF"/>
    <w:rsid w:val="002A432B"/>
    <w:rsid w:val="002A4575"/>
    <w:rsid w:val="002A45C1"/>
    <w:rsid w:val="002A4789"/>
    <w:rsid w:val="002A4973"/>
    <w:rsid w:val="002A4DB5"/>
    <w:rsid w:val="002A4F1D"/>
    <w:rsid w:val="002A517D"/>
    <w:rsid w:val="002A55F0"/>
    <w:rsid w:val="002A5CF0"/>
    <w:rsid w:val="002A5F13"/>
    <w:rsid w:val="002A69CC"/>
    <w:rsid w:val="002A6CBB"/>
    <w:rsid w:val="002A700F"/>
    <w:rsid w:val="002A7410"/>
    <w:rsid w:val="002A77D5"/>
    <w:rsid w:val="002A798C"/>
    <w:rsid w:val="002B0253"/>
    <w:rsid w:val="002B02B2"/>
    <w:rsid w:val="002B095E"/>
    <w:rsid w:val="002B10BD"/>
    <w:rsid w:val="002B11DA"/>
    <w:rsid w:val="002B12AC"/>
    <w:rsid w:val="002B1364"/>
    <w:rsid w:val="002B1695"/>
    <w:rsid w:val="002B17E1"/>
    <w:rsid w:val="002B17E9"/>
    <w:rsid w:val="002B19FE"/>
    <w:rsid w:val="002B1F4C"/>
    <w:rsid w:val="002B2072"/>
    <w:rsid w:val="002B2CCB"/>
    <w:rsid w:val="002B2F56"/>
    <w:rsid w:val="002B34D7"/>
    <w:rsid w:val="002B388E"/>
    <w:rsid w:val="002B3B64"/>
    <w:rsid w:val="002B3C13"/>
    <w:rsid w:val="002B3DAF"/>
    <w:rsid w:val="002B40B7"/>
    <w:rsid w:val="002B41FC"/>
    <w:rsid w:val="002B48E7"/>
    <w:rsid w:val="002B4A38"/>
    <w:rsid w:val="002B54D9"/>
    <w:rsid w:val="002B5560"/>
    <w:rsid w:val="002B5E28"/>
    <w:rsid w:val="002B67FD"/>
    <w:rsid w:val="002B6AE3"/>
    <w:rsid w:val="002B6F8C"/>
    <w:rsid w:val="002B6FF8"/>
    <w:rsid w:val="002B7022"/>
    <w:rsid w:val="002B761F"/>
    <w:rsid w:val="002B7F00"/>
    <w:rsid w:val="002C0B53"/>
    <w:rsid w:val="002C0C09"/>
    <w:rsid w:val="002C0EE7"/>
    <w:rsid w:val="002C13AE"/>
    <w:rsid w:val="002C1EEE"/>
    <w:rsid w:val="002C2297"/>
    <w:rsid w:val="002C2596"/>
    <w:rsid w:val="002C27E1"/>
    <w:rsid w:val="002C2982"/>
    <w:rsid w:val="002C2C68"/>
    <w:rsid w:val="002C2E8F"/>
    <w:rsid w:val="002C3073"/>
    <w:rsid w:val="002C3179"/>
    <w:rsid w:val="002C336C"/>
    <w:rsid w:val="002C3A2A"/>
    <w:rsid w:val="002C4517"/>
    <w:rsid w:val="002C45C7"/>
    <w:rsid w:val="002C45DB"/>
    <w:rsid w:val="002C47BA"/>
    <w:rsid w:val="002C4A52"/>
    <w:rsid w:val="002C5190"/>
    <w:rsid w:val="002C52DF"/>
    <w:rsid w:val="002C54F5"/>
    <w:rsid w:val="002C61C8"/>
    <w:rsid w:val="002C6854"/>
    <w:rsid w:val="002C6A5B"/>
    <w:rsid w:val="002C6FE1"/>
    <w:rsid w:val="002C7CAA"/>
    <w:rsid w:val="002D06AF"/>
    <w:rsid w:val="002D091E"/>
    <w:rsid w:val="002D0CC3"/>
    <w:rsid w:val="002D0DA8"/>
    <w:rsid w:val="002D1046"/>
    <w:rsid w:val="002D1FEC"/>
    <w:rsid w:val="002D26AF"/>
    <w:rsid w:val="002D28CF"/>
    <w:rsid w:val="002D2A1B"/>
    <w:rsid w:val="002D2E74"/>
    <w:rsid w:val="002D2F60"/>
    <w:rsid w:val="002D361D"/>
    <w:rsid w:val="002D367A"/>
    <w:rsid w:val="002D3BED"/>
    <w:rsid w:val="002D48AD"/>
    <w:rsid w:val="002D49A5"/>
    <w:rsid w:val="002D49DB"/>
    <w:rsid w:val="002D4C9E"/>
    <w:rsid w:val="002D4EC5"/>
    <w:rsid w:val="002D4F53"/>
    <w:rsid w:val="002D517D"/>
    <w:rsid w:val="002D5375"/>
    <w:rsid w:val="002D560E"/>
    <w:rsid w:val="002D5B3A"/>
    <w:rsid w:val="002D5DB6"/>
    <w:rsid w:val="002D6042"/>
    <w:rsid w:val="002D68B3"/>
    <w:rsid w:val="002D6A8A"/>
    <w:rsid w:val="002D6BB0"/>
    <w:rsid w:val="002D6C1F"/>
    <w:rsid w:val="002D7F42"/>
    <w:rsid w:val="002E0422"/>
    <w:rsid w:val="002E0693"/>
    <w:rsid w:val="002E080B"/>
    <w:rsid w:val="002E09B1"/>
    <w:rsid w:val="002E0B24"/>
    <w:rsid w:val="002E0E1D"/>
    <w:rsid w:val="002E0E3B"/>
    <w:rsid w:val="002E0E7E"/>
    <w:rsid w:val="002E11C3"/>
    <w:rsid w:val="002E11CF"/>
    <w:rsid w:val="002E1333"/>
    <w:rsid w:val="002E1624"/>
    <w:rsid w:val="002E18D2"/>
    <w:rsid w:val="002E1BED"/>
    <w:rsid w:val="002E21BB"/>
    <w:rsid w:val="002E2464"/>
    <w:rsid w:val="002E25A4"/>
    <w:rsid w:val="002E3B52"/>
    <w:rsid w:val="002E3CF1"/>
    <w:rsid w:val="002E3D53"/>
    <w:rsid w:val="002E3EEE"/>
    <w:rsid w:val="002E3FA3"/>
    <w:rsid w:val="002E4274"/>
    <w:rsid w:val="002E438F"/>
    <w:rsid w:val="002E4460"/>
    <w:rsid w:val="002E48CF"/>
    <w:rsid w:val="002E4F71"/>
    <w:rsid w:val="002E5919"/>
    <w:rsid w:val="002E5C32"/>
    <w:rsid w:val="002E60B0"/>
    <w:rsid w:val="002E6A29"/>
    <w:rsid w:val="002E6F79"/>
    <w:rsid w:val="002E70A9"/>
    <w:rsid w:val="002E7E19"/>
    <w:rsid w:val="002F02E8"/>
    <w:rsid w:val="002F075B"/>
    <w:rsid w:val="002F0952"/>
    <w:rsid w:val="002F10CC"/>
    <w:rsid w:val="002F13D8"/>
    <w:rsid w:val="002F1589"/>
    <w:rsid w:val="002F170E"/>
    <w:rsid w:val="002F275C"/>
    <w:rsid w:val="002F28FA"/>
    <w:rsid w:val="002F2AE0"/>
    <w:rsid w:val="002F2DA8"/>
    <w:rsid w:val="002F3409"/>
    <w:rsid w:val="002F3663"/>
    <w:rsid w:val="002F3A3F"/>
    <w:rsid w:val="002F3E06"/>
    <w:rsid w:val="002F4833"/>
    <w:rsid w:val="002F487C"/>
    <w:rsid w:val="002F4AA9"/>
    <w:rsid w:val="002F4ED2"/>
    <w:rsid w:val="002F4F3A"/>
    <w:rsid w:val="002F585A"/>
    <w:rsid w:val="002F598B"/>
    <w:rsid w:val="002F59A2"/>
    <w:rsid w:val="002F5C5B"/>
    <w:rsid w:val="002F6B55"/>
    <w:rsid w:val="002F6BDE"/>
    <w:rsid w:val="002F6FC6"/>
    <w:rsid w:val="002F7BF9"/>
    <w:rsid w:val="0030011A"/>
    <w:rsid w:val="003002CC"/>
    <w:rsid w:val="00300614"/>
    <w:rsid w:val="00300C72"/>
    <w:rsid w:val="00300CAB"/>
    <w:rsid w:val="00301132"/>
    <w:rsid w:val="00301180"/>
    <w:rsid w:val="00301C38"/>
    <w:rsid w:val="003023C5"/>
    <w:rsid w:val="003024D7"/>
    <w:rsid w:val="003029B9"/>
    <w:rsid w:val="00302C56"/>
    <w:rsid w:val="00302F28"/>
    <w:rsid w:val="0030377F"/>
    <w:rsid w:val="003037CF"/>
    <w:rsid w:val="00303E59"/>
    <w:rsid w:val="00303E6A"/>
    <w:rsid w:val="00304012"/>
    <w:rsid w:val="00304735"/>
    <w:rsid w:val="003048F1"/>
    <w:rsid w:val="00304A46"/>
    <w:rsid w:val="00304CAF"/>
    <w:rsid w:val="00305259"/>
    <w:rsid w:val="0030530A"/>
    <w:rsid w:val="003055BA"/>
    <w:rsid w:val="003057D8"/>
    <w:rsid w:val="00305D54"/>
    <w:rsid w:val="00305D98"/>
    <w:rsid w:val="003060F4"/>
    <w:rsid w:val="003061D9"/>
    <w:rsid w:val="00306875"/>
    <w:rsid w:val="003068A0"/>
    <w:rsid w:val="00306D10"/>
    <w:rsid w:val="00306E71"/>
    <w:rsid w:val="00307062"/>
    <w:rsid w:val="00307304"/>
    <w:rsid w:val="00307359"/>
    <w:rsid w:val="003075FF"/>
    <w:rsid w:val="00307B3E"/>
    <w:rsid w:val="00307C2E"/>
    <w:rsid w:val="00307D79"/>
    <w:rsid w:val="00307E0B"/>
    <w:rsid w:val="00307F8A"/>
    <w:rsid w:val="003100A2"/>
    <w:rsid w:val="00310650"/>
    <w:rsid w:val="00310F28"/>
    <w:rsid w:val="00311489"/>
    <w:rsid w:val="0031156A"/>
    <w:rsid w:val="00311F07"/>
    <w:rsid w:val="0031205F"/>
    <w:rsid w:val="0031211C"/>
    <w:rsid w:val="00312252"/>
    <w:rsid w:val="003126AC"/>
    <w:rsid w:val="00312801"/>
    <w:rsid w:val="00312E54"/>
    <w:rsid w:val="00312F8D"/>
    <w:rsid w:val="00313AEC"/>
    <w:rsid w:val="00313BDA"/>
    <w:rsid w:val="00313D73"/>
    <w:rsid w:val="00313EC5"/>
    <w:rsid w:val="0031402E"/>
    <w:rsid w:val="003142FB"/>
    <w:rsid w:val="003144E2"/>
    <w:rsid w:val="00314A18"/>
    <w:rsid w:val="00314CF1"/>
    <w:rsid w:val="00314F89"/>
    <w:rsid w:val="003161EF"/>
    <w:rsid w:val="00316371"/>
    <w:rsid w:val="0031666C"/>
    <w:rsid w:val="00316714"/>
    <w:rsid w:val="00316888"/>
    <w:rsid w:val="00316D2D"/>
    <w:rsid w:val="00317057"/>
    <w:rsid w:val="00317103"/>
    <w:rsid w:val="00317370"/>
    <w:rsid w:val="00317D5B"/>
    <w:rsid w:val="00317D6C"/>
    <w:rsid w:val="00317FE8"/>
    <w:rsid w:val="0032023E"/>
    <w:rsid w:val="0032051A"/>
    <w:rsid w:val="00320767"/>
    <w:rsid w:val="00320828"/>
    <w:rsid w:val="00321183"/>
    <w:rsid w:val="003219F4"/>
    <w:rsid w:val="00321A1A"/>
    <w:rsid w:val="00321FE3"/>
    <w:rsid w:val="003221A3"/>
    <w:rsid w:val="00322209"/>
    <w:rsid w:val="003223F8"/>
    <w:rsid w:val="003227F0"/>
    <w:rsid w:val="00322C67"/>
    <w:rsid w:val="00322DF7"/>
    <w:rsid w:val="0032325F"/>
    <w:rsid w:val="003233F1"/>
    <w:rsid w:val="0032389C"/>
    <w:rsid w:val="00323901"/>
    <w:rsid w:val="00324052"/>
    <w:rsid w:val="00324353"/>
    <w:rsid w:val="003245C8"/>
    <w:rsid w:val="00324C22"/>
    <w:rsid w:val="00324F9A"/>
    <w:rsid w:val="00325283"/>
    <w:rsid w:val="00326161"/>
    <w:rsid w:val="00326302"/>
    <w:rsid w:val="003268BD"/>
    <w:rsid w:val="00326E8E"/>
    <w:rsid w:val="00327579"/>
    <w:rsid w:val="003279DC"/>
    <w:rsid w:val="00327A06"/>
    <w:rsid w:val="00327B24"/>
    <w:rsid w:val="00327E8F"/>
    <w:rsid w:val="00327FBB"/>
    <w:rsid w:val="00330A68"/>
    <w:rsid w:val="00331401"/>
    <w:rsid w:val="003315EC"/>
    <w:rsid w:val="00331633"/>
    <w:rsid w:val="0033174B"/>
    <w:rsid w:val="00331B2D"/>
    <w:rsid w:val="00331BF6"/>
    <w:rsid w:val="00331C70"/>
    <w:rsid w:val="003323C6"/>
    <w:rsid w:val="00332C7F"/>
    <w:rsid w:val="00333AD8"/>
    <w:rsid w:val="00334022"/>
    <w:rsid w:val="00334403"/>
    <w:rsid w:val="00334CC5"/>
    <w:rsid w:val="0033532C"/>
    <w:rsid w:val="00335489"/>
    <w:rsid w:val="00335671"/>
    <w:rsid w:val="0033571B"/>
    <w:rsid w:val="0033578D"/>
    <w:rsid w:val="00335CBC"/>
    <w:rsid w:val="00335D46"/>
    <w:rsid w:val="00335F6D"/>
    <w:rsid w:val="00336202"/>
    <w:rsid w:val="00336286"/>
    <w:rsid w:val="0033647C"/>
    <w:rsid w:val="003370A8"/>
    <w:rsid w:val="003372C4"/>
    <w:rsid w:val="003372D2"/>
    <w:rsid w:val="003374B4"/>
    <w:rsid w:val="00337811"/>
    <w:rsid w:val="003379F7"/>
    <w:rsid w:val="003379FE"/>
    <w:rsid w:val="00340122"/>
    <w:rsid w:val="00340145"/>
    <w:rsid w:val="003402AF"/>
    <w:rsid w:val="003402EA"/>
    <w:rsid w:val="003403B3"/>
    <w:rsid w:val="003404B5"/>
    <w:rsid w:val="003409EA"/>
    <w:rsid w:val="00340BAB"/>
    <w:rsid w:val="00340CF4"/>
    <w:rsid w:val="00340E51"/>
    <w:rsid w:val="00340F12"/>
    <w:rsid w:val="0034146D"/>
    <w:rsid w:val="00341578"/>
    <w:rsid w:val="00341781"/>
    <w:rsid w:val="00341902"/>
    <w:rsid w:val="003420B0"/>
    <w:rsid w:val="003420DA"/>
    <w:rsid w:val="00342D87"/>
    <w:rsid w:val="003433CE"/>
    <w:rsid w:val="0034349B"/>
    <w:rsid w:val="003434FB"/>
    <w:rsid w:val="0034358F"/>
    <w:rsid w:val="00344F08"/>
    <w:rsid w:val="00344FD9"/>
    <w:rsid w:val="00345092"/>
    <w:rsid w:val="003452EC"/>
    <w:rsid w:val="00345542"/>
    <w:rsid w:val="00345A1C"/>
    <w:rsid w:val="00345A58"/>
    <w:rsid w:val="00345CB7"/>
    <w:rsid w:val="00345D1A"/>
    <w:rsid w:val="003463C0"/>
    <w:rsid w:val="00346615"/>
    <w:rsid w:val="0034696F"/>
    <w:rsid w:val="00346BCA"/>
    <w:rsid w:val="00346D7B"/>
    <w:rsid w:val="00346D95"/>
    <w:rsid w:val="00347505"/>
    <w:rsid w:val="00347937"/>
    <w:rsid w:val="00347C7D"/>
    <w:rsid w:val="003503E0"/>
    <w:rsid w:val="0035061A"/>
    <w:rsid w:val="003509D7"/>
    <w:rsid w:val="00350B90"/>
    <w:rsid w:val="00350D44"/>
    <w:rsid w:val="003510E6"/>
    <w:rsid w:val="00351157"/>
    <w:rsid w:val="003513E6"/>
    <w:rsid w:val="00351596"/>
    <w:rsid w:val="00351746"/>
    <w:rsid w:val="00351751"/>
    <w:rsid w:val="00351AE9"/>
    <w:rsid w:val="00351CC1"/>
    <w:rsid w:val="0035201C"/>
    <w:rsid w:val="003521BA"/>
    <w:rsid w:val="00352C07"/>
    <w:rsid w:val="00352DC3"/>
    <w:rsid w:val="00352E76"/>
    <w:rsid w:val="003530A7"/>
    <w:rsid w:val="0035314A"/>
    <w:rsid w:val="003532AC"/>
    <w:rsid w:val="0035368D"/>
    <w:rsid w:val="003536BF"/>
    <w:rsid w:val="00354227"/>
    <w:rsid w:val="00354246"/>
    <w:rsid w:val="003546A9"/>
    <w:rsid w:val="00354DDB"/>
    <w:rsid w:val="00354F3E"/>
    <w:rsid w:val="00355478"/>
    <w:rsid w:val="003556DC"/>
    <w:rsid w:val="00355D7B"/>
    <w:rsid w:val="003566F1"/>
    <w:rsid w:val="00356AD5"/>
    <w:rsid w:val="00357145"/>
    <w:rsid w:val="0035779A"/>
    <w:rsid w:val="003601F7"/>
    <w:rsid w:val="00360679"/>
    <w:rsid w:val="00360D15"/>
    <w:rsid w:val="00361177"/>
    <w:rsid w:val="0036129E"/>
    <w:rsid w:val="003612CB"/>
    <w:rsid w:val="0036145B"/>
    <w:rsid w:val="00362B25"/>
    <w:rsid w:val="00363195"/>
    <w:rsid w:val="00363518"/>
    <w:rsid w:val="00363698"/>
    <w:rsid w:val="003637BC"/>
    <w:rsid w:val="003638CF"/>
    <w:rsid w:val="00363C9A"/>
    <w:rsid w:val="00363FD3"/>
    <w:rsid w:val="00364117"/>
    <w:rsid w:val="00364925"/>
    <w:rsid w:val="00364DFD"/>
    <w:rsid w:val="00365A42"/>
    <w:rsid w:val="00365BBC"/>
    <w:rsid w:val="00365C70"/>
    <w:rsid w:val="0036628F"/>
    <w:rsid w:val="0036649E"/>
    <w:rsid w:val="00366882"/>
    <w:rsid w:val="00366E34"/>
    <w:rsid w:val="003678DD"/>
    <w:rsid w:val="00367BF8"/>
    <w:rsid w:val="00367E80"/>
    <w:rsid w:val="00367F94"/>
    <w:rsid w:val="00370358"/>
    <w:rsid w:val="00370AC4"/>
    <w:rsid w:val="00370BD5"/>
    <w:rsid w:val="00370DD3"/>
    <w:rsid w:val="00371798"/>
    <w:rsid w:val="00371DA7"/>
    <w:rsid w:val="00371F75"/>
    <w:rsid w:val="00371F76"/>
    <w:rsid w:val="00372CC9"/>
    <w:rsid w:val="003730FE"/>
    <w:rsid w:val="003735FD"/>
    <w:rsid w:val="0037374F"/>
    <w:rsid w:val="00373BE0"/>
    <w:rsid w:val="00373E8F"/>
    <w:rsid w:val="00374024"/>
    <w:rsid w:val="003741CB"/>
    <w:rsid w:val="00374B0B"/>
    <w:rsid w:val="00374E64"/>
    <w:rsid w:val="00375457"/>
    <w:rsid w:val="003754C5"/>
    <w:rsid w:val="003758E6"/>
    <w:rsid w:val="0037611B"/>
    <w:rsid w:val="003761EC"/>
    <w:rsid w:val="003771C7"/>
    <w:rsid w:val="0037761F"/>
    <w:rsid w:val="00377F7C"/>
    <w:rsid w:val="003804EB"/>
    <w:rsid w:val="00380905"/>
    <w:rsid w:val="00380DF7"/>
    <w:rsid w:val="00381012"/>
    <w:rsid w:val="0038133A"/>
    <w:rsid w:val="00381C8D"/>
    <w:rsid w:val="0038218F"/>
    <w:rsid w:val="0038242D"/>
    <w:rsid w:val="0038272A"/>
    <w:rsid w:val="003828EA"/>
    <w:rsid w:val="00382D38"/>
    <w:rsid w:val="0038324A"/>
    <w:rsid w:val="0038335A"/>
    <w:rsid w:val="0038354E"/>
    <w:rsid w:val="00383993"/>
    <w:rsid w:val="00383A71"/>
    <w:rsid w:val="00383C20"/>
    <w:rsid w:val="00383EAC"/>
    <w:rsid w:val="00383F68"/>
    <w:rsid w:val="00384225"/>
    <w:rsid w:val="003847EA"/>
    <w:rsid w:val="00384FDD"/>
    <w:rsid w:val="0038530E"/>
    <w:rsid w:val="003854A5"/>
    <w:rsid w:val="00385525"/>
    <w:rsid w:val="00385A04"/>
    <w:rsid w:val="00386558"/>
    <w:rsid w:val="00386888"/>
    <w:rsid w:val="003869BB"/>
    <w:rsid w:val="00386AC7"/>
    <w:rsid w:val="00386B31"/>
    <w:rsid w:val="00386BC8"/>
    <w:rsid w:val="00387068"/>
    <w:rsid w:val="00387648"/>
    <w:rsid w:val="00387FB2"/>
    <w:rsid w:val="0039040A"/>
    <w:rsid w:val="00390B5C"/>
    <w:rsid w:val="00390BC1"/>
    <w:rsid w:val="003910E7"/>
    <w:rsid w:val="003913A5"/>
    <w:rsid w:val="00391AF3"/>
    <w:rsid w:val="00391B7D"/>
    <w:rsid w:val="00391B80"/>
    <w:rsid w:val="00392273"/>
    <w:rsid w:val="00392783"/>
    <w:rsid w:val="00392911"/>
    <w:rsid w:val="00392E98"/>
    <w:rsid w:val="00392F39"/>
    <w:rsid w:val="0039315B"/>
    <w:rsid w:val="00393421"/>
    <w:rsid w:val="0039369D"/>
    <w:rsid w:val="00393B5E"/>
    <w:rsid w:val="00394060"/>
    <w:rsid w:val="0039413E"/>
    <w:rsid w:val="003944A8"/>
    <w:rsid w:val="00394928"/>
    <w:rsid w:val="00395206"/>
    <w:rsid w:val="00395D6A"/>
    <w:rsid w:val="003968E0"/>
    <w:rsid w:val="00396BCC"/>
    <w:rsid w:val="00397080"/>
    <w:rsid w:val="00397C91"/>
    <w:rsid w:val="00397EAA"/>
    <w:rsid w:val="00397FEB"/>
    <w:rsid w:val="003A0525"/>
    <w:rsid w:val="003A0644"/>
    <w:rsid w:val="003A0A5B"/>
    <w:rsid w:val="003A0BB3"/>
    <w:rsid w:val="003A0D86"/>
    <w:rsid w:val="003A0FC3"/>
    <w:rsid w:val="003A155A"/>
    <w:rsid w:val="003A1598"/>
    <w:rsid w:val="003A1711"/>
    <w:rsid w:val="003A1AF5"/>
    <w:rsid w:val="003A1C1D"/>
    <w:rsid w:val="003A1C84"/>
    <w:rsid w:val="003A2155"/>
    <w:rsid w:val="003A3026"/>
    <w:rsid w:val="003A345B"/>
    <w:rsid w:val="003A3C59"/>
    <w:rsid w:val="003A3E0D"/>
    <w:rsid w:val="003A4A50"/>
    <w:rsid w:val="003A5CA8"/>
    <w:rsid w:val="003A5E83"/>
    <w:rsid w:val="003A6618"/>
    <w:rsid w:val="003A6C3B"/>
    <w:rsid w:val="003A6DEA"/>
    <w:rsid w:val="003A7442"/>
    <w:rsid w:val="003A7CA1"/>
    <w:rsid w:val="003A7F11"/>
    <w:rsid w:val="003B00C9"/>
    <w:rsid w:val="003B097D"/>
    <w:rsid w:val="003B12D7"/>
    <w:rsid w:val="003B1CE1"/>
    <w:rsid w:val="003B1F81"/>
    <w:rsid w:val="003B238B"/>
    <w:rsid w:val="003B2AB1"/>
    <w:rsid w:val="003B2EE7"/>
    <w:rsid w:val="003B310B"/>
    <w:rsid w:val="003B32C4"/>
    <w:rsid w:val="003B3674"/>
    <w:rsid w:val="003B36CF"/>
    <w:rsid w:val="003B38A8"/>
    <w:rsid w:val="003B3B35"/>
    <w:rsid w:val="003B43A2"/>
    <w:rsid w:val="003B43F9"/>
    <w:rsid w:val="003B45CE"/>
    <w:rsid w:val="003B55F8"/>
    <w:rsid w:val="003B5685"/>
    <w:rsid w:val="003B5A8C"/>
    <w:rsid w:val="003B5C50"/>
    <w:rsid w:val="003B609B"/>
    <w:rsid w:val="003B61EB"/>
    <w:rsid w:val="003B64C5"/>
    <w:rsid w:val="003B64C9"/>
    <w:rsid w:val="003B68F4"/>
    <w:rsid w:val="003B6E5D"/>
    <w:rsid w:val="003B759C"/>
    <w:rsid w:val="003C145E"/>
    <w:rsid w:val="003C1572"/>
    <w:rsid w:val="003C1904"/>
    <w:rsid w:val="003C1C83"/>
    <w:rsid w:val="003C2118"/>
    <w:rsid w:val="003C2336"/>
    <w:rsid w:val="003C2A2D"/>
    <w:rsid w:val="003C2B73"/>
    <w:rsid w:val="003C2CAB"/>
    <w:rsid w:val="003C32D9"/>
    <w:rsid w:val="003C335C"/>
    <w:rsid w:val="003C33AF"/>
    <w:rsid w:val="003C348B"/>
    <w:rsid w:val="003C3748"/>
    <w:rsid w:val="003C3E00"/>
    <w:rsid w:val="003C3E88"/>
    <w:rsid w:val="003C3F2D"/>
    <w:rsid w:val="003C44F4"/>
    <w:rsid w:val="003C4633"/>
    <w:rsid w:val="003C4A11"/>
    <w:rsid w:val="003C4D34"/>
    <w:rsid w:val="003C4D4A"/>
    <w:rsid w:val="003C51B1"/>
    <w:rsid w:val="003C530C"/>
    <w:rsid w:val="003C571B"/>
    <w:rsid w:val="003C58C4"/>
    <w:rsid w:val="003C6062"/>
    <w:rsid w:val="003C64EE"/>
    <w:rsid w:val="003C6BCC"/>
    <w:rsid w:val="003C6C3E"/>
    <w:rsid w:val="003C6F75"/>
    <w:rsid w:val="003C6F78"/>
    <w:rsid w:val="003C739D"/>
    <w:rsid w:val="003C7A5C"/>
    <w:rsid w:val="003C7AC0"/>
    <w:rsid w:val="003D05EE"/>
    <w:rsid w:val="003D0844"/>
    <w:rsid w:val="003D0A1C"/>
    <w:rsid w:val="003D0AF1"/>
    <w:rsid w:val="003D0C0F"/>
    <w:rsid w:val="003D0FE6"/>
    <w:rsid w:val="003D19A6"/>
    <w:rsid w:val="003D1A29"/>
    <w:rsid w:val="003D1CBE"/>
    <w:rsid w:val="003D2337"/>
    <w:rsid w:val="003D278D"/>
    <w:rsid w:val="003D27DB"/>
    <w:rsid w:val="003D2F9F"/>
    <w:rsid w:val="003D2FC1"/>
    <w:rsid w:val="003D3BA5"/>
    <w:rsid w:val="003D3FF4"/>
    <w:rsid w:val="003D499D"/>
    <w:rsid w:val="003D4CF0"/>
    <w:rsid w:val="003D5236"/>
    <w:rsid w:val="003D555A"/>
    <w:rsid w:val="003D594D"/>
    <w:rsid w:val="003D5993"/>
    <w:rsid w:val="003D5DCA"/>
    <w:rsid w:val="003D5E1A"/>
    <w:rsid w:val="003D6500"/>
    <w:rsid w:val="003D68B4"/>
    <w:rsid w:val="003D69C7"/>
    <w:rsid w:val="003D6A30"/>
    <w:rsid w:val="003D6A3E"/>
    <w:rsid w:val="003D6A81"/>
    <w:rsid w:val="003D715C"/>
    <w:rsid w:val="003D776F"/>
    <w:rsid w:val="003D7CC9"/>
    <w:rsid w:val="003E000F"/>
    <w:rsid w:val="003E0110"/>
    <w:rsid w:val="003E0147"/>
    <w:rsid w:val="003E02E7"/>
    <w:rsid w:val="003E0681"/>
    <w:rsid w:val="003E09F6"/>
    <w:rsid w:val="003E0AFA"/>
    <w:rsid w:val="003E0CEB"/>
    <w:rsid w:val="003E0E29"/>
    <w:rsid w:val="003E0EC5"/>
    <w:rsid w:val="003E1F2E"/>
    <w:rsid w:val="003E2921"/>
    <w:rsid w:val="003E2AA8"/>
    <w:rsid w:val="003E2DE1"/>
    <w:rsid w:val="003E2DFD"/>
    <w:rsid w:val="003E2E89"/>
    <w:rsid w:val="003E31AD"/>
    <w:rsid w:val="003E35CB"/>
    <w:rsid w:val="003E392E"/>
    <w:rsid w:val="003E39F9"/>
    <w:rsid w:val="003E3BE1"/>
    <w:rsid w:val="003E432F"/>
    <w:rsid w:val="003E45B5"/>
    <w:rsid w:val="003E4716"/>
    <w:rsid w:val="003E4F25"/>
    <w:rsid w:val="003E5203"/>
    <w:rsid w:val="003E540E"/>
    <w:rsid w:val="003E5609"/>
    <w:rsid w:val="003E5B13"/>
    <w:rsid w:val="003E5F10"/>
    <w:rsid w:val="003E6530"/>
    <w:rsid w:val="003E69DA"/>
    <w:rsid w:val="003E6C27"/>
    <w:rsid w:val="003E6FAB"/>
    <w:rsid w:val="003E7001"/>
    <w:rsid w:val="003E713A"/>
    <w:rsid w:val="003E7A69"/>
    <w:rsid w:val="003E7B39"/>
    <w:rsid w:val="003E7B76"/>
    <w:rsid w:val="003E7F46"/>
    <w:rsid w:val="003F0283"/>
    <w:rsid w:val="003F0635"/>
    <w:rsid w:val="003F0D78"/>
    <w:rsid w:val="003F1149"/>
    <w:rsid w:val="003F1275"/>
    <w:rsid w:val="003F17C7"/>
    <w:rsid w:val="003F21E6"/>
    <w:rsid w:val="003F2489"/>
    <w:rsid w:val="003F275E"/>
    <w:rsid w:val="003F2CEB"/>
    <w:rsid w:val="003F3242"/>
    <w:rsid w:val="003F3363"/>
    <w:rsid w:val="003F4A24"/>
    <w:rsid w:val="003F4B02"/>
    <w:rsid w:val="003F58E2"/>
    <w:rsid w:val="003F5996"/>
    <w:rsid w:val="003F5EE2"/>
    <w:rsid w:val="003F5FA8"/>
    <w:rsid w:val="003F683B"/>
    <w:rsid w:val="003F6E0E"/>
    <w:rsid w:val="003F6E36"/>
    <w:rsid w:val="003F76C2"/>
    <w:rsid w:val="003F7BB6"/>
    <w:rsid w:val="003F7D42"/>
    <w:rsid w:val="00400753"/>
    <w:rsid w:val="00400B33"/>
    <w:rsid w:val="00401046"/>
    <w:rsid w:val="00401221"/>
    <w:rsid w:val="00401308"/>
    <w:rsid w:val="0040150E"/>
    <w:rsid w:val="004019C0"/>
    <w:rsid w:val="00401DAD"/>
    <w:rsid w:val="00401DE1"/>
    <w:rsid w:val="00402386"/>
    <w:rsid w:val="004023B6"/>
    <w:rsid w:val="004026AD"/>
    <w:rsid w:val="0040292A"/>
    <w:rsid w:val="00402CAB"/>
    <w:rsid w:val="004039B5"/>
    <w:rsid w:val="00404735"/>
    <w:rsid w:val="0040498E"/>
    <w:rsid w:val="00404EDD"/>
    <w:rsid w:val="00405FB6"/>
    <w:rsid w:val="00405FBE"/>
    <w:rsid w:val="00406433"/>
    <w:rsid w:val="004066E8"/>
    <w:rsid w:val="00406B08"/>
    <w:rsid w:val="00406B74"/>
    <w:rsid w:val="00406BEB"/>
    <w:rsid w:val="00406D49"/>
    <w:rsid w:val="004070C4"/>
    <w:rsid w:val="00407E44"/>
    <w:rsid w:val="0041078F"/>
    <w:rsid w:val="00410D8E"/>
    <w:rsid w:val="00411E36"/>
    <w:rsid w:val="00412417"/>
    <w:rsid w:val="0041271A"/>
    <w:rsid w:val="00412D92"/>
    <w:rsid w:val="0041307A"/>
    <w:rsid w:val="00413BBC"/>
    <w:rsid w:val="00413D47"/>
    <w:rsid w:val="00414064"/>
    <w:rsid w:val="00414934"/>
    <w:rsid w:val="00414C10"/>
    <w:rsid w:val="0041526D"/>
    <w:rsid w:val="004156D7"/>
    <w:rsid w:val="0041590D"/>
    <w:rsid w:val="00415C6F"/>
    <w:rsid w:val="00415D89"/>
    <w:rsid w:val="00415E48"/>
    <w:rsid w:val="004166CD"/>
    <w:rsid w:val="00416FB5"/>
    <w:rsid w:val="004170BC"/>
    <w:rsid w:val="0041721C"/>
    <w:rsid w:val="0042044F"/>
    <w:rsid w:val="004204CF"/>
    <w:rsid w:val="00420810"/>
    <w:rsid w:val="004208FE"/>
    <w:rsid w:val="00420BCD"/>
    <w:rsid w:val="00421015"/>
    <w:rsid w:val="004220FF"/>
    <w:rsid w:val="004227B9"/>
    <w:rsid w:val="0042296F"/>
    <w:rsid w:val="0042317C"/>
    <w:rsid w:val="004231E6"/>
    <w:rsid w:val="00423345"/>
    <w:rsid w:val="00423588"/>
    <w:rsid w:val="00424633"/>
    <w:rsid w:val="0042467D"/>
    <w:rsid w:val="0042470B"/>
    <w:rsid w:val="00424A47"/>
    <w:rsid w:val="00424C2D"/>
    <w:rsid w:val="00425026"/>
    <w:rsid w:val="0042523D"/>
    <w:rsid w:val="004252C6"/>
    <w:rsid w:val="004258E8"/>
    <w:rsid w:val="004258F9"/>
    <w:rsid w:val="00425DE5"/>
    <w:rsid w:val="0042638C"/>
    <w:rsid w:val="00426A28"/>
    <w:rsid w:val="00426A3D"/>
    <w:rsid w:val="00426A56"/>
    <w:rsid w:val="00426ACF"/>
    <w:rsid w:val="00426F0B"/>
    <w:rsid w:val="00427191"/>
    <w:rsid w:val="00427C2F"/>
    <w:rsid w:val="0043044C"/>
    <w:rsid w:val="00430524"/>
    <w:rsid w:val="0043111F"/>
    <w:rsid w:val="00431185"/>
    <w:rsid w:val="004311C6"/>
    <w:rsid w:val="004315D7"/>
    <w:rsid w:val="00431C1F"/>
    <w:rsid w:val="00431D47"/>
    <w:rsid w:val="004320C4"/>
    <w:rsid w:val="00432319"/>
    <w:rsid w:val="004325A7"/>
    <w:rsid w:val="004326A1"/>
    <w:rsid w:val="00432A68"/>
    <w:rsid w:val="004330D7"/>
    <w:rsid w:val="004336CD"/>
    <w:rsid w:val="00433776"/>
    <w:rsid w:val="00433B93"/>
    <w:rsid w:val="00434036"/>
    <w:rsid w:val="00434070"/>
    <w:rsid w:val="0043427D"/>
    <w:rsid w:val="004344DF"/>
    <w:rsid w:val="004349EF"/>
    <w:rsid w:val="00434A9F"/>
    <w:rsid w:val="00435AFF"/>
    <w:rsid w:val="004362F3"/>
    <w:rsid w:val="004364F0"/>
    <w:rsid w:val="00436540"/>
    <w:rsid w:val="004369A6"/>
    <w:rsid w:val="00437135"/>
    <w:rsid w:val="00437B61"/>
    <w:rsid w:val="00437C83"/>
    <w:rsid w:val="00437D68"/>
    <w:rsid w:val="00437F23"/>
    <w:rsid w:val="004401E1"/>
    <w:rsid w:val="004401F2"/>
    <w:rsid w:val="0044071B"/>
    <w:rsid w:val="004409B7"/>
    <w:rsid w:val="00440F6F"/>
    <w:rsid w:val="00440F8D"/>
    <w:rsid w:val="0044119C"/>
    <w:rsid w:val="004411E2"/>
    <w:rsid w:val="004413B6"/>
    <w:rsid w:val="00441AE2"/>
    <w:rsid w:val="00441AF3"/>
    <w:rsid w:val="00441BB7"/>
    <w:rsid w:val="00441BCF"/>
    <w:rsid w:val="00441E87"/>
    <w:rsid w:val="00441E89"/>
    <w:rsid w:val="004420E6"/>
    <w:rsid w:val="0044216E"/>
    <w:rsid w:val="00442187"/>
    <w:rsid w:val="0044223C"/>
    <w:rsid w:val="0044224C"/>
    <w:rsid w:val="0044254A"/>
    <w:rsid w:val="00442F0A"/>
    <w:rsid w:val="00442FBC"/>
    <w:rsid w:val="0044308C"/>
    <w:rsid w:val="00444705"/>
    <w:rsid w:val="004453F6"/>
    <w:rsid w:val="004454E3"/>
    <w:rsid w:val="00445649"/>
    <w:rsid w:val="0044580E"/>
    <w:rsid w:val="00445950"/>
    <w:rsid w:val="00447703"/>
    <w:rsid w:val="00447982"/>
    <w:rsid w:val="00447B77"/>
    <w:rsid w:val="00450033"/>
    <w:rsid w:val="00450D81"/>
    <w:rsid w:val="004511B8"/>
    <w:rsid w:val="00451816"/>
    <w:rsid w:val="00452124"/>
    <w:rsid w:val="00452173"/>
    <w:rsid w:val="0045271B"/>
    <w:rsid w:val="00452A19"/>
    <w:rsid w:val="00452C80"/>
    <w:rsid w:val="00453630"/>
    <w:rsid w:val="004538D0"/>
    <w:rsid w:val="0045413E"/>
    <w:rsid w:val="00454695"/>
    <w:rsid w:val="00454A3D"/>
    <w:rsid w:val="00454A99"/>
    <w:rsid w:val="00455115"/>
    <w:rsid w:val="0045522E"/>
    <w:rsid w:val="00455659"/>
    <w:rsid w:val="00455E66"/>
    <w:rsid w:val="004561AD"/>
    <w:rsid w:val="00456275"/>
    <w:rsid w:val="004564E8"/>
    <w:rsid w:val="0045661E"/>
    <w:rsid w:val="0045686F"/>
    <w:rsid w:val="00456C7F"/>
    <w:rsid w:val="00456E98"/>
    <w:rsid w:val="0045716C"/>
    <w:rsid w:val="00457506"/>
    <w:rsid w:val="00457C16"/>
    <w:rsid w:val="00457CB6"/>
    <w:rsid w:val="00457E53"/>
    <w:rsid w:val="00457E5A"/>
    <w:rsid w:val="00457E81"/>
    <w:rsid w:val="00460123"/>
    <w:rsid w:val="0046060B"/>
    <w:rsid w:val="004608FB"/>
    <w:rsid w:val="00460CCB"/>
    <w:rsid w:val="00461BBA"/>
    <w:rsid w:val="00461F85"/>
    <w:rsid w:val="004629BF"/>
    <w:rsid w:val="00462DC8"/>
    <w:rsid w:val="0046320F"/>
    <w:rsid w:val="00463476"/>
    <w:rsid w:val="004634BC"/>
    <w:rsid w:val="00464FD9"/>
    <w:rsid w:val="00465058"/>
    <w:rsid w:val="004651D6"/>
    <w:rsid w:val="004651E8"/>
    <w:rsid w:val="0046552C"/>
    <w:rsid w:val="00465961"/>
    <w:rsid w:val="00465A2F"/>
    <w:rsid w:val="00465CF7"/>
    <w:rsid w:val="00465D41"/>
    <w:rsid w:val="00465EBA"/>
    <w:rsid w:val="004667A4"/>
    <w:rsid w:val="00466E6D"/>
    <w:rsid w:val="00466E9E"/>
    <w:rsid w:val="00467060"/>
    <w:rsid w:val="00467338"/>
    <w:rsid w:val="004674E1"/>
    <w:rsid w:val="004675E4"/>
    <w:rsid w:val="00467656"/>
    <w:rsid w:val="00467861"/>
    <w:rsid w:val="0046787A"/>
    <w:rsid w:val="00470487"/>
    <w:rsid w:val="004706EC"/>
    <w:rsid w:val="00470849"/>
    <w:rsid w:val="004708AC"/>
    <w:rsid w:val="00471124"/>
    <w:rsid w:val="00471376"/>
    <w:rsid w:val="004719F8"/>
    <w:rsid w:val="00471B2A"/>
    <w:rsid w:val="00471BB1"/>
    <w:rsid w:val="00471EC7"/>
    <w:rsid w:val="00471EDC"/>
    <w:rsid w:val="0047231F"/>
    <w:rsid w:val="004723B6"/>
    <w:rsid w:val="00472A1B"/>
    <w:rsid w:val="00473325"/>
    <w:rsid w:val="00473E8D"/>
    <w:rsid w:val="00473FA0"/>
    <w:rsid w:val="00473FE5"/>
    <w:rsid w:val="00474385"/>
    <w:rsid w:val="00474603"/>
    <w:rsid w:val="0047490E"/>
    <w:rsid w:val="00474A93"/>
    <w:rsid w:val="0047530B"/>
    <w:rsid w:val="00475DA1"/>
    <w:rsid w:val="00476013"/>
    <w:rsid w:val="00476425"/>
    <w:rsid w:val="00476668"/>
    <w:rsid w:val="0047673D"/>
    <w:rsid w:val="00476F91"/>
    <w:rsid w:val="004774B8"/>
    <w:rsid w:val="0048075C"/>
    <w:rsid w:val="004810AB"/>
    <w:rsid w:val="00481139"/>
    <w:rsid w:val="0048127B"/>
    <w:rsid w:val="004817FD"/>
    <w:rsid w:val="004818CC"/>
    <w:rsid w:val="004819E6"/>
    <w:rsid w:val="00481FCA"/>
    <w:rsid w:val="0048269C"/>
    <w:rsid w:val="00482C6D"/>
    <w:rsid w:val="00482D31"/>
    <w:rsid w:val="00482F03"/>
    <w:rsid w:val="0048355E"/>
    <w:rsid w:val="004835B8"/>
    <w:rsid w:val="00483D42"/>
    <w:rsid w:val="00483E71"/>
    <w:rsid w:val="00484703"/>
    <w:rsid w:val="0048470B"/>
    <w:rsid w:val="00484AE3"/>
    <w:rsid w:val="00484D46"/>
    <w:rsid w:val="0048531F"/>
    <w:rsid w:val="00485CFC"/>
    <w:rsid w:val="00486457"/>
    <w:rsid w:val="00486723"/>
    <w:rsid w:val="00486741"/>
    <w:rsid w:val="00486991"/>
    <w:rsid w:val="00486A1D"/>
    <w:rsid w:val="00486D7D"/>
    <w:rsid w:val="004871EE"/>
    <w:rsid w:val="004875D9"/>
    <w:rsid w:val="004875E3"/>
    <w:rsid w:val="004877B7"/>
    <w:rsid w:val="00487868"/>
    <w:rsid w:val="0049001E"/>
    <w:rsid w:val="004901DE"/>
    <w:rsid w:val="00490225"/>
    <w:rsid w:val="00490608"/>
    <w:rsid w:val="004906CB"/>
    <w:rsid w:val="00490980"/>
    <w:rsid w:val="00490B1F"/>
    <w:rsid w:val="00490EC6"/>
    <w:rsid w:val="00490FBE"/>
    <w:rsid w:val="00490FD1"/>
    <w:rsid w:val="004910DD"/>
    <w:rsid w:val="004911F0"/>
    <w:rsid w:val="00491925"/>
    <w:rsid w:val="004919EC"/>
    <w:rsid w:val="00491FC0"/>
    <w:rsid w:val="00491FC2"/>
    <w:rsid w:val="00492711"/>
    <w:rsid w:val="00492D92"/>
    <w:rsid w:val="00492E36"/>
    <w:rsid w:val="00492FD1"/>
    <w:rsid w:val="00492FE4"/>
    <w:rsid w:val="004931FC"/>
    <w:rsid w:val="0049341A"/>
    <w:rsid w:val="00493639"/>
    <w:rsid w:val="00493B0C"/>
    <w:rsid w:val="00493B7D"/>
    <w:rsid w:val="00493C7A"/>
    <w:rsid w:val="004940A5"/>
    <w:rsid w:val="004940F8"/>
    <w:rsid w:val="0049413C"/>
    <w:rsid w:val="0049433D"/>
    <w:rsid w:val="00494773"/>
    <w:rsid w:val="00494789"/>
    <w:rsid w:val="00494881"/>
    <w:rsid w:val="00494890"/>
    <w:rsid w:val="0049492F"/>
    <w:rsid w:val="004949B1"/>
    <w:rsid w:val="00494A8D"/>
    <w:rsid w:val="00494AA1"/>
    <w:rsid w:val="00494F03"/>
    <w:rsid w:val="0049524C"/>
    <w:rsid w:val="00495354"/>
    <w:rsid w:val="004955FF"/>
    <w:rsid w:val="00495675"/>
    <w:rsid w:val="004956FB"/>
    <w:rsid w:val="00495DFB"/>
    <w:rsid w:val="00496244"/>
    <w:rsid w:val="0049630C"/>
    <w:rsid w:val="00496512"/>
    <w:rsid w:val="00496673"/>
    <w:rsid w:val="004968CF"/>
    <w:rsid w:val="00496A3C"/>
    <w:rsid w:val="00496A43"/>
    <w:rsid w:val="00496C63"/>
    <w:rsid w:val="00496C81"/>
    <w:rsid w:val="00496CFF"/>
    <w:rsid w:val="004974FF"/>
    <w:rsid w:val="00497E36"/>
    <w:rsid w:val="004A0869"/>
    <w:rsid w:val="004A0BA2"/>
    <w:rsid w:val="004A0C66"/>
    <w:rsid w:val="004A0C83"/>
    <w:rsid w:val="004A0F7D"/>
    <w:rsid w:val="004A0F80"/>
    <w:rsid w:val="004A1091"/>
    <w:rsid w:val="004A11CD"/>
    <w:rsid w:val="004A1485"/>
    <w:rsid w:val="004A1615"/>
    <w:rsid w:val="004A171B"/>
    <w:rsid w:val="004A1816"/>
    <w:rsid w:val="004A1A61"/>
    <w:rsid w:val="004A207E"/>
    <w:rsid w:val="004A2259"/>
    <w:rsid w:val="004A287B"/>
    <w:rsid w:val="004A2C50"/>
    <w:rsid w:val="004A2DCF"/>
    <w:rsid w:val="004A2F70"/>
    <w:rsid w:val="004A3300"/>
    <w:rsid w:val="004A3C72"/>
    <w:rsid w:val="004A4994"/>
    <w:rsid w:val="004A4EF0"/>
    <w:rsid w:val="004A5082"/>
    <w:rsid w:val="004A53F5"/>
    <w:rsid w:val="004A5512"/>
    <w:rsid w:val="004A5BC4"/>
    <w:rsid w:val="004A5E77"/>
    <w:rsid w:val="004A60E0"/>
    <w:rsid w:val="004A6215"/>
    <w:rsid w:val="004A6670"/>
    <w:rsid w:val="004A68B7"/>
    <w:rsid w:val="004A6E78"/>
    <w:rsid w:val="004A756D"/>
    <w:rsid w:val="004A75D5"/>
    <w:rsid w:val="004A7C2A"/>
    <w:rsid w:val="004A7E56"/>
    <w:rsid w:val="004B00E8"/>
    <w:rsid w:val="004B0106"/>
    <w:rsid w:val="004B071B"/>
    <w:rsid w:val="004B11AF"/>
    <w:rsid w:val="004B16E8"/>
    <w:rsid w:val="004B175F"/>
    <w:rsid w:val="004B17C0"/>
    <w:rsid w:val="004B1BF7"/>
    <w:rsid w:val="004B21B9"/>
    <w:rsid w:val="004B235D"/>
    <w:rsid w:val="004B34A2"/>
    <w:rsid w:val="004B3D7E"/>
    <w:rsid w:val="004B3ED8"/>
    <w:rsid w:val="004B40ED"/>
    <w:rsid w:val="004B4573"/>
    <w:rsid w:val="004B509E"/>
    <w:rsid w:val="004B52AA"/>
    <w:rsid w:val="004B5357"/>
    <w:rsid w:val="004B5437"/>
    <w:rsid w:val="004B5B8C"/>
    <w:rsid w:val="004B5E89"/>
    <w:rsid w:val="004B605A"/>
    <w:rsid w:val="004B63F5"/>
    <w:rsid w:val="004B64F1"/>
    <w:rsid w:val="004B75E7"/>
    <w:rsid w:val="004B78F4"/>
    <w:rsid w:val="004B7900"/>
    <w:rsid w:val="004B795B"/>
    <w:rsid w:val="004B7C2D"/>
    <w:rsid w:val="004C00AC"/>
    <w:rsid w:val="004C0AE5"/>
    <w:rsid w:val="004C0BF1"/>
    <w:rsid w:val="004C134C"/>
    <w:rsid w:val="004C1AB9"/>
    <w:rsid w:val="004C1AF6"/>
    <w:rsid w:val="004C201D"/>
    <w:rsid w:val="004C225A"/>
    <w:rsid w:val="004C279C"/>
    <w:rsid w:val="004C310F"/>
    <w:rsid w:val="004C3154"/>
    <w:rsid w:val="004C3412"/>
    <w:rsid w:val="004C3C2C"/>
    <w:rsid w:val="004C3CFD"/>
    <w:rsid w:val="004C4669"/>
    <w:rsid w:val="004C5585"/>
    <w:rsid w:val="004C5B5C"/>
    <w:rsid w:val="004C5C40"/>
    <w:rsid w:val="004C6128"/>
    <w:rsid w:val="004C62DF"/>
    <w:rsid w:val="004C640B"/>
    <w:rsid w:val="004C65C8"/>
    <w:rsid w:val="004C687F"/>
    <w:rsid w:val="004C6D79"/>
    <w:rsid w:val="004C6F9B"/>
    <w:rsid w:val="004C75FD"/>
    <w:rsid w:val="004C7709"/>
    <w:rsid w:val="004C7BEF"/>
    <w:rsid w:val="004D01ED"/>
    <w:rsid w:val="004D03BA"/>
    <w:rsid w:val="004D03F2"/>
    <w:rsid w:val="004D0718"/>
    <w:rsid w:val="004D0C4A"/>
    <w:rsid w:val="004D0CD0"/>
    <w:rsid w:val="004D10D7"/>
    <w:rsid w:val="004D126D"/>
    <w:rsid w:val="004D154E"/>
    <w:rsid w:val="004D1F5F"/>
    <w:rsid w:val="004D2356"/>
    <w:rsid w:val="004D2872"/>
    <w:rsid w:val="004D312A"/>
    <w:rsid w:val="004D336C"/>
    <w:rsid w:val="004D3900"/>
    <w:rsid w:val="004D392C"/>
    <w:rsid w:val="004D3B7C"/>
    <w:rsid w:val="004D3CE5"/>
    <w:rsid w:val="004D3DB4"/>
    <w:rsid w:val="004D3EEE"/>
    <w:rsid w:val="004D3F8E"/>
    <w:rsid w:val="004D41E7"/>
    <w:rsid w:val="004D4BAA"/>
    <w:rsid w:val="004D4D20"/>
    <w:rsid w:val="004D548D"/>
    <w:rsid w:val="004D5D6C"/>
    <w:rsid w:val="004D5EC1"/>
    <w:rsid w:val="004D641D"/>
    <w:rsid w:val="004D65C4"/>
    <w:rsid w:val="004D6831"/>
    <w:rsid w:val="004D6878"/>
    <w:rsid w:val="004D6A4C"/>
    <w:rsid w:val="004D6C92"/>
    <w:rsid w:val="004D704C"/>
    <w:rsid w:val="004D73EC"/>
    <w:rsid w:val="004D7852"/>
    <w:rsid w:val="004D7AA0"/>
    <w:rsid w:val="004D7B39"/>
    <w:rsid w:val="004D7C23"/>
    <w:rsid w:val="004D7DBD"/>
    <w:rsid w:val="004D7E4F"/>
    <w:rsid w:val="004E0099"/>
    <w:rsid w:val="004E014F"/>
    <w:rsid w:val="004E0AAE"/>
    <w:rsid w:val="004E0CB1"/>
    <w:rsid w:val="004E0D41"/>
    <w:rsid w:val="004E0D58"/>
    <w:rsid w:val="004E0DE0"/>
    <w:rsid w:val="004E0E1B"/>
    <w:rsid w:val="004E102D"/>
    <w:rsid w:val="004E16D7"/>
    <w:rsid w:val="004E1997"/>
    <w:rsid w:val="004E1B34"/>
    <w:rsid w:val="004E2340"/>
    <w:rsid w:val="004E24D2"/>
    <w:rsid w:val="004E2591"/>
    <w:rsid w:val="004E327B"/>
    <w:rsid w:val="004E370E"/>
    <w:rsid w:val="004E38B3"/>
    <w:rsid w:val="004E3AA4"/>
    <w:rsid w:val="004E3CA5"/>
    <w:rsid w:val="004E5356"/>
    <w:rsid w:val="004E5727"/>
    <w:rsid w:val="004E5E54"/>
    <w:rsid w:val="004E6007"/>
    <w:rsid w:val="004E63CD"/>
    <w:rsid w:val="004E65FF"/>
    <w:rsid w:val="004E66C7"/>
    <w:rsid w:val="004E671C"/>
    <w:rsid w:val="004E67A8"/>
    <w:rsid w:val="004E6977"/>
    <w:rsid w:val="004E6EF1"/>
    <w:rsid w:val="004E7842"/>
    <w:rsid w:val="004E7C3A"/>
    <w:rsid w:val="004F0038"/>
    <w:rsid w:val="004F0220"/>
    <w:rsid w:val="004F07CE"/>
    <w:rsid w:val="004F10F5"/>
    <w:rsid w:val="004F117B"/>
    <w:rsid w:val="004F11F4"/>
    <w:rsid w:val="004F127E"/>
    <w:rsid w:val="004F15D3"/>
    <w:rsid w:val="004F1ADF"/>
    <w:rsid w:val="004F1E0C"/>
    <w:rsid w:val="004F1E65"/>
    <w:rsid w:val="004F257D"/>
    <w:rsid w:val="004F261F"/>
    <w:rsid w:val="004F3405"/>
    <w:rsid w:val="004F366E"/>
    <w:rsid w:val="004F3B78"/>
    <w:rsid w:val="004F3E47"/>
    <w:rsid w:val="004F45C7"/>
    <w:rsid w:val="004F4B0A"/>
    <w:rsid w:val="004F4D8C"/>
    <w:rsid w:val="004F4DF0"/>
    <w:rsid w:val="004F5290"/>
    <w:rsid w:val="004F557B"/>
    <w:rsid w:val="004F56C6"/>
    <w:rsid w:val="004F56EE"/>
    <w:rsid w:val="004F5D9C"/>
    <w:rsid w:val="004F604A"/>
    <w:rsid w:val="004F605A"/>
    <w:rsid w:val="004F632C"/>
    <w:rsid w:val="004F6514"/>
    <w:rsid w:val="004F6819"/>
    <w:rsid w:val="004F6F8C"/>
    <w:rsid w:val="004F7221"/>
    <w:rsid w:val="004F7DA8"/>
    <w:rsid w:val="004F7FA2"/>
    <w:rsid w:val="0050072D"/>
    <w:rsid w:val="005009C7"/>
    <w:rsid w:val="00500B80"/>
    <w:rsid w:val="0050126A"/>
    <w:rsid w:val="00501BCD"/>
    <w:rsid w:val="00501CE0"/>
    <w:rsid w:val="00501E10"/>
    <w:rsid w:val="005024AB"/>
    <w:rsid w:val="00502639"/>
    <w:rsid w:val="00503165"/>
    <w:rsid w:val="00503B94"/>
    <w:rsid w:val="005047FC"/>
    <w:rsid w:val="005048D9"/>
    <w:rsid w:val="00504A8B"/>
    <w:rsid w:val="00504C99"/>
    <w:rsid w:val="00504D51"/>
    <w:rsid w:val="00505405"/>
    <w:rsid w:val="00506392"/>
    <w:rsid w:val="00506662"/>
    <w:rsid w:val="00506827"/>
    <w:rsid w:val="005068E0"/>
    <w:rsid w:val="0050723E"/>
    <w:rsid w:val="00507901"/>
    <w:rsid w:val="00507AC5"/>
    <w:rsid w:val="005103EC"/>
    <w:rsid w:val="00510866"/>
    <w:rsid w:val="00510F8B"/>
    <w:rsid w:val="0051116C"/>
    <w:rsid w:val="005112DC"/>
    <w:rsid w:val="005117CE"/>
    <w:rsid w:val="005118D5"/>
    <w:rsid w:val="00511CDD"/>
    <w:rsid w:val="00511E36"/>
    <w:rsid w:val="0051210F"/>
    <w:rsid w:val="0051216B"/>
    <w:rsid w:val="005124DF"/>
    <w:rsid w:val="005124EC"/>
    <w:rsid w:val="005125E0"/>
    <w:rsid w:val="00512601"/>
    <w:rsid w:val="00512A76"/>
    <w:rsid w:val="00512CC2"/>
    <w:rsid w:val="00513595"/>
    <w:rsid w:val="0051398D"/>
    <w:rsid w:val="005147DC"/>
    <w:rsid w:val="0051499C"/>
    <w:rsid w:val="00515570"/>
    <w:rsid w:val="00515778"/>
    <w:rsid w:val="005159C1"/>
    <w:rsid w:val="00515A9A"/>
    <w:rsid w:val="005163F8"/>
    <w:rsid w:val="00516682"/>
    <w:rsid w:val="00516AF6"/>
    <w:rsid w:val="00516D91"/>
    <w:rsid w:val="005175D6"/>
    <w:rsid w:val="00517701"/>
    <w:rsid w:val="00517890"/>
    <w:rsid w:val="005178EA"/>
    <w:rsid w:val="00517E71"/>
    <w:rsid w:val="00520736"/>
    <w:rsid w:val="00520C0E"/>
    <w:rsid w:val="00521A3B"/>
    <w:rsid w:val="00521B15"/>
    <w:rsid w:val="00522157"/>
    <w:rsid w:val="005227CE"/>
    <w:rsid w:val="00522AE2"/>
    <w:rsid w:val="00522E48"/>
    <w:rsid w:val="00523186"/>
    <w:rsid w:val="005231C4"/>
    <w:rsid w:val="00523674"/>
    <w:rsid w:val="00523757"/>
    <w:rsid w:val="00523B03"/>
    <w:rsid w:val="00523CBF"/>
    <w:rsid w:val="0052424D"/>
    <w:rsid w:val="0052453C"/>
    <w:rsid w:val="0052456F"/>
    <w:rsid w:val="005245E4"/>
    <w:rsid w:val="00524890"/>
    <w:rsid w:val="00524A28"/>
    <w:rsid w:val="00524C5E"/>
    <w:rsid w:val="00524D1B"/>
    <w:rsid w:val="00524E26"/>
    <w:rsid w:val="00525836"/>
    <w:rsid w:val="005258C9"/>
    <w:rsid w:val="005265DC"/>
    <w:rsid w:val="00526BB1"/>
    <w:rsid w:val="00526CA8"/>
    <w:rsid w:val="00526CB3"/>
    <w:rsid w:val="00526F58"/>
    <w:rsid w:val="005272AF"/>
    <w:rsid w:val="00527815"/>
    <w:rsid w:val="005278C2"/>
    <w:rsid w:val="00527A93"/>
    <w:rsid w:val="00527BC0"/>
    <w:rsid w:val="00527C9A"/>
    <w:rsid w:val="00527F08"/>
    <w:rsid w:val="00527F2D"/>
    <w:rsid w:val="0053029A"/>
    <w:rsid w:val="00530AA5"/>
    <w:rsid w:val="00530C05"/>
    <w:rsid w:val="00530E1A"/>
    <w:rsid w:val="00531331"/>
    <w:rsid w:val="005313C0"/>
    <w:rsid w:val="005319E5"/>
    <w:rsid w:val="00531CF6"/>
    <w:rsid w:val="005322CD"/>
    <w:rsid w:val="00532810"/>
    <w:rsid w:val="00532882"/>
    <w:rsid w:val="005329F7"/>
    <w:rsid w:val="00532D51"/>
    <w:rsid w:val="005330B3"/>
    <w:rsid w:val="00533BE7"/>
    <w:rsid w:val="00534463"/>
    <w:rsid w:val="005345D3"/>
    <w:rsid w:val="005348BD"/>
    <w:rsid w:val="00534CAA"/>
    <w:rsid w:val="00534FA3"/>
    <w:rsid w:val="005351D3"/>
    <w:rsid w:val="0053540E"/>
    <w:rsid w:val="005356E0"/>
    <w:rsid w:val="0053582E"/>
    <w:rsid w:val="00535844"/>
    <w:rsid w:val="00535AB4"/>
    <w:rsid w:val="00535DB3"/>
    <w:rsid w:val="00535FE9"/>
    <w:rsid w:val="005361DA"/>
    <w:rsid w:val="0053626B"/>
    <w:rsid w:val="0053686C"/>
    <w:rsid w:val="0053697C"/>
    <w:rsid w:val="00536A27"/>
    <w:rsid w:val="005372C0"/>
    <w:rsid w:val="00540CE2"/>
    <w:rsid w:val="005412DE"/>
    <w:rsid w:val="00541A57"/>
    <w:rsid w:val="00542235"/>
    <w:rsid w:val="00542296"/>
    <w:rsid w:val="005422A9"/>
    <w:rsid w:val="005427C1"/>
    <w:rsid w:val="00542DFD"/>
    <w:rsid w:val="00542E79"/>
    <w:rsid w:val="005431B4"/>
    <w:rsid w:val="0054321C"/>
    <w:rsid w:val="005432DB"/>
    <w:rsid w:val="00543458"/>
    <w:rsid w:val="005436BD"/>
    <w:rsid w:val="0054384A"/>
    <w:rsid w:val="0054421B"/>
    <w:rsid w:val="00544C61"/>
    <w:rsid w:val="00544F39"/>
    <w:rsid w:val="005450FD"/>
    <w:rsid w:val="0054513A"/>
    <w:rsid w:val="0054543E"/>
    <w:rsid w:val="00546143"/>
    <w:rsid w:val="005463FA"/>
    <w:rsid w:val="00546473"/>
    <w:rsid w:val="00546625"/>
    <w:rsid w:val="005466E3"/>
    <w:rsid w:val="0054723B"/>
    <w:rsid w:val="00547475"/>
    <w:rsid w:val="005474E5"/>
    <w:rsid w:val="00547D6E"/>
    <w:rsid w:val="00547EA1"/>
    <w:rsid w:val="00550418"/>
    <w:rsid w:val="00550606"/>
    <w:rsid w:val="00550844"/>
    <w:rsid w:val="00550D41"/>
    <w:rsid w:val="00551341"/>
    <w:rsid w:val="00551460"/>
    <w:rsid w:val="0055156D"/>
    <w:rsid w:val="00551899"/>
    <w:rsid w:val="00552078"/>
    <w:rsid w:val="00552412"/>
    <w:rsid w:val="00552557"/>
    <w:rsid w:val="00552E8C"/>
    <w:rsid w:val="00552FF8"/>
    <w:rsid w:val="005532CE"/>
    <w:rsid w:val="005535B5"/>
    <w:rsid w:val="00553B72"/>
    <w:rsid w:val="00554922"/>
    <w:rsid w:val="00554B08"/>
    <w:rsid w:val="00554F29"/>
    <w:rsid w:val="0055504D"/>
    <w:rsid w:val="00555097"/>
    <w:rsid w:val="00556301"/>
    <w:rsid w:val="00556825"/>
    <w:rsid w:val="00556C04"/>
    <w:rsid w:val="00556CAB"/>
    <w:rsid w:val="00556CB6"/>
    <w:rsid w:val="00556CC8"/>
    <w:rsid w:val="00556F89"/>
    <w:rsid w:val="0055725C"/>
    <w:rsid w:val="005572B2"/>
    <w:rsid w:val="00557B2D"/>
    <w:rsid w:val="00557C8E"/>
    <w:rsid w:val="005600CA"/>
    <w:rsid w:val="005607F6"/>
    <w:rsid w:val="00560A59"/>
    <w:rsid w:val="00560AD6"/>
    <w:rsid w:val="00560B9C"/>
    <w:rsid w:val="00560C2E"/>
    <w:rsid w:val="0056115E"/>
    <w:rsid w:val="0056147D"/>
    <w:rsid w:val="0056153D"/>
    <w:rsid w:val="0056159F"/>
    <w:rsid w:val="00561876"/>
    <w:rsid w:val="005621AD"/>
    <w:rsid w:val="005625C2"/>
    <w:rsid w:val="00562670"/>
    <w:rsid w:val="00562E2A"/>
    <w:rsid w:val="00562EEB"/>
    <w:rsid w:val="00563077"/>
    <w:rsid w:val="005631D4"/>
    <w:rsid w:val="00563691"/>
    <w:rsid w:val="005642AE"/>
    <w:rsid w:val="005646E5"/>
    <w:rsid w:val="00564802"/>
    <w:rsid w:val="00564B61"/>
    <w:rsid w:val="00564EB8"/>
    <w:rsid w:val="00564F28"/>
    <w:rsid w:val="005650B4"/>
    <w:rsid w:val="00565271"/>
    <w:rsid w:val="00565413"/>
    <w:rsid w:val="00565624"/>
    <w:rsid w:val="00565748"/>
    <w:rsid w:val="005659BD"/>
    <w:rsid w:val="00565ABA"/>
    <w:rsid w:val="00565B83"/>
    <w:rsid w:val="00565F3A"/>
    <w:rsid w:val="00566158"/>
    <w:rsid w:val="0056648C"/>
    <w:rsid w:val="0056688C"/>
    <w:rsid w:val="00566D59"/>
    <w:rsid w:val="00566D73"/>
    <w:rsid w:val="0056752B"/>
    <w:rsid w:val="00567F69"/>
    <w:rsid w:val="00570436"/>
    <w:rsid w:val="00570456"/>
    <w:rsid w:val="005708C4"/>
    <w:rsid w:val="00571026"/>
    <w:rsid w:val="0057133B"/>
    <w:rsid w:val="005715AA"/>
    <w:rsid w:val="00571711"/>
    <w:rsid w:val="00571BE5"/>
    <w:rsid w:val="0057252D"/>
    <w:rsid w:val="005725C8"/>
    <w:rsid w:val="005725FD"/>
    <w:rsid w:val="0057260A"/>
    <w:rsid w:val="00572A61"/>
    <w:rsid w:val="00572AF1"/>
    <w:rsid w:val="00572D42"/>
    <w:rsid w:val="005732FF"/>
    <w:rsid w:val="00573ABC"/>
    <w:rsid w:val="00573E1D"/>
    <w:rsid w:val="00573F33"/>
    <w:rsid w:val="005749F8"/>
    <w:rsid w:val="00574BDF"/>
    <w:rsid w:val="00574D59"/>
    <w:rsid w:val="00574F85"/>
    <w:rsid w:val="00574F95"/>
    <w:rsid w:val="005754F5"/>
    <w:rsid w:val="0057556A"/>
    <w:rsid w:val="005762BF"/>
    <w:rsid w:val="0057689B"/>
    <w:rsid w:val="005769C9"/>
    <w:rsid w:val="00576A81"/>
    <w:rsid w:val="005773F5"/>
    <w:rsid w:val="00580C62"/>
    <w:rsid w:val="00580D5F"/>
    <w:rsid w:val="00581D2C"/>
    <w:rsid w:val="00582653"/>
    <w:rsid w:val="00582E59"/>
    <w:rsid w:val="00582E7E"/>
    <w:rsid w:val="0058371A"/>
    <w:rsid w:val="00583A3F"/>
    <w:rsid w:val="005842E8"/>
    <w:rsid w:val="0058436F"/>
    <w:rsid w:val="0058536F"/>
    <w:rsid w:val="00586502"/>
    <w:rsid w:val="00586AD5"/>
    <w:rsid w:val="00586CA5"/>
    <w:rsid w:val="00587608"/>
    <w:rsid w:val="00587C21"/>
    <w:rsid w:val="00590355"/>
    <w:rsid w:val="0059089D"/>
    <w:rsid w:val="00590D2B"/>
    <w:rsid w:val="00590EBF"/>
    <w:rsid w:val="0059101A"/>
    <w:rsid w:val="005912D8"/>
    <w:rsid w:val="00592213"/>
    <w:rsid w:val="00592228"/>
    <w:rsid w:val="005922FE"/>
    <w:rsid w:val="00593421"/>
    <w:rsid w:val="00593A7F"/>
    <w:rsid w:val="00593C2D"/>
    <w:rsid w:val="00593E18"/>
    <w:rsid w:val="00594704"/>
    <w:rsid w:val="005951C3"/>
    <w:rsid w:val="00595DFB"/>
    <w:rsid w:val="00595FA8"/>
    <w:rsid w:val="005963A1"/>
    <w:rsid w:val="00596900"/>
    <w:rsid w:val="0059702E"/>
    <w:rsid w:val="00597285"/>
    <w:rsid w:val="0059758C"/>
    <w:rsid w:val="00597BBD"/>
    <w:rsid w:val="00597CAF"/>
    <w:rsid w:val="005A00E6"/>
    <w:rsid w:val="005A035F"/>
    <w:rsid w:val="005A0A75"/>
    <w:rsid w:val="005A0B84"/>
    <w:rsid w:val="005A0F56"/>
    <w:rsid w:val="005A1160"/>
    <w:rsid w:val="005A117C"/>
    <w:rsid w:val="005A1D47"/>
    <w:rsid w:val="005A284D"/>
    <w:rsid w:val="005A29D1"/>
    <w:rsid w:val="005A2CE5"/>
    <w:rsid w:val="005A2F24"/>
    <w:rsid w:val="005A3467"/>
    <w:rsid w:val="005A3482"/>
    <w:rsid w:val="005A3495"/>
    <w:rsid w:val="005A3592"/>
    <w:rsid w:val="005A3E46"/>
    <w:rsid w:val="005A409C"/>
    <w:rsid w:val="005A4114"/>
    <w:rsid w:val="005A44F9"/>
    <w:rsid w:val="005A4649"/>
    <w:rsid w:val="005A47E2"/>
    <w:rsid w:val="005A4ABB"/>
    <w:rsid w:val="005A4BEE"/>
    <w:rsid w:val="005A4C19"/>
    <w:rsid w:val="005A51F3"/>
    <w:rsid w:val="005A5372"/>
    <w:rsid w:val="005A56BC"/>
    <w:rsid w:val="005A5838"/>
    <w:rsid w:val="005A66CD"/>
    <w:rsid w:val="005A66F9"/>
    <w:rsid w:val="005A686E"/>
    <w:rsid w:val="005A690C"/>
    <w:rsid w:val="005A6B8E"/>
    <w:rsid w:val="005A7E21"/>
    <w:rsid w:val="005A7E5B"/>
    <w:rsid w:val="005A7EAC"/>
    <w:rsid w:val="005A7F75"/>
    <w:rsid w:val="005B0466"/>
    <w:rsid w:val="005B09F1"/>
    <w:rsid w:val="005B0C5A"/>
    <w:rsid w:val="005B0D88"/>
    <w:rsid w:val="005B1283"/>
    <w:rsid w:val="005B1919"/>
    <w:rsid w:val="005B1AD8"/>
    <w:rsid w:val="005B2368"/>
    <w:rsid w:val="005B247C"/>
    <w:rsid w:val="005B28D9"/>
    <w:rsid w:val="005B3144"/>
    <w:rsid w:val="005B318F"/>
    <w:rsid w:val="005B31FB"/>
    <w:rsid w:val="005B3933"/>
    <w:rsid w:val="005B3946"/>
    <w:rsid w:val="005B3A6D"/>
    <w:rsid w:val="005B3FDD"/>
    <w:rsid w:val="005B430D"/>
    <w:rsid w:val="005B44C1"/>
    <w:rsid w:val="005B452A"/>
    <w:rsid w:val="005B456E"/>
    <w:rsid w:val="005B4614"/>
    <w:rsid w:val="005B498B"/>
    <w:rsid w:val="005B4AC0"/>
    <w:rsid w:val="005B4B59"/>
    <w:rsid w:val="005B4BF5"/>
    <w:rsid w:val="005B4E1E"/>
    <w:rsid w:val="005B506A"/>
    <w:rsid w:val="005B52C3"/>
    <w:rsid w:val="005B5830"/>
    <w:rsid w:val="005B58E6"/>
    <w:rsid w:val="005B58F0"/>
    <w:rsid w:val="005B598A"/>
    <w:rsid w:val="005B612D"/>
    <w:rsid w:val="005B61FF"/>
    <w:rsid w:val="005B641B"/>
    <w:rsid w:val="005B655A"/>
    <w:rsid w:val="005B6E53"/>
    <w:rsid w:val="005B6F24"/>
    <w:rsid w:val="005B71E3"/>
    <w:rsid w:val="005B76EB"/>
    <w:rsid w:val="005B7986"/>
    <w:rsid w:val="005B7992"/>
    <w:rsid w:val="005B7A12"/>
    <w:rsid w:val="005B7B21"/>
    <w:rsid w:val="005C01ED"/>
    <w:rsid w:val="005C0273"/>
    <w:rsid w:val="005C0464"/>
    <w:rsid w:val="005C0774"/>
    <w:rsid w:val="005C111E"/>
    <w:rsid w:val="005C1BC9"/>
    <w:rsid w:val="005C1D36"/>
    <w:rsid w:val="005C203A"/>
    <w:rsid w:val="005C2703"/>
    <w:rsid w:val="005C2AE3"/>
    <w:rsid w:val="005C32D3"/>
    <w:rsid w:val="005C33B6"/>
    <w:rsid w:val="005C34DC"/>
    <w:rsid w:val="005C391E"/>
    <w:rsid w:val="005C413F"/>
    <w:rsid w:val="005C4468"/>
    <w:rsid w:val="005C4A4E"/>
    <w:rsid w:val="005C4B44"/>
    <w:rsid w:val="005C4D18"/>
    <w:rsid w:val="005C4EDF"/>
    <w:rsid w:val="005C540E"/>
    <w:rsid w:val="005C634A"/>
    <w:rsid w:val="005C647A"/>
    <w:rsid w:val="005C67BF"/>
    <w:rsid w:val="005C6C57"/>
    <w:rsid w:val="005C6D11"/>
    <w:rsid w:val="005C779D"/>
    <w:rsid w:val="005C781E"/>
    <w:rsid w:val="005C7AC0"/>
    <w:rsid w:val="005C7F98"/>
    <w:rsid w:val="005D043F"/>
    <w:rsid w:val="005D064D"/>
    <w:rsid w:val="005D0671"/>
    <w:rsid w:val="005D0A55"/>
    <w:rsid w:val="005D0ABF"/>
    <w:rsid w:val="005D0E84"/>
    <w:rsid w:val="005D1271"/>
    <w:rsid w:val="005D156A"/>
    <w:rsid w:val="005D16B6"/>
    <w:rsid w:val="005D254D"/>
    <w:rsid w:val="005D2C76"/>
    <w:rsid w:val="005D337B"/>
    <w:rsid w:val="005D3391"/>
    <w:rsid w:val="005D38B6"/>
    <w:rsid w:val="005D3A15"/>
    <w:rsid w:val="005D3BD7"/>
    <w:rsid w:val="005D3F23"/>
    <w:rsid w:val="005D3F8A"/>
    <w:rsid w:val="005D44E0"/>
    <w:rsid w:val="005D46E0"/>
    <w:rsid w:val="005D4792"/>
    <w:rsid w:val="005D4BD2"/>
    <w:rsid w:val="005D4E5A"/>
    <w:rsid w:val="005D530F"/>
    <w:rsid w:val="005D5460"/>
    <w:rsid w:val="005D55A8"/>
    <w:rsid w:val="005D5A75"/>
    <w:rsid w:val="005D5B0A"/>
    <w:rsid w:val="005D5B20"/>
    <w:rsid w:val="005D626B"/>
    <w:rsid w:val="005D6438"/>
    <w:rsid w:val="005D661A"/>
    <w:rsid w:val="005D6CAC"/>
    <w:rsid w:val="005E025A"/>
    <w:rsid w:val="005E08E1"/>
    <w:rsid w:val="005E09E9"/>
    <w:rsid w:val="005E11EA"/>
    <w:rsid w:val="005E11FB"/>
    <w:rsid w:val="005E13F2"/>
    <w:rsid w:val="005E1789"/>
    <w:rsid w:val="005E17FA"/>
    <w:rsid w:val="005E1998"/>
    <w:rsid w:val="005E1DEC"/>
    <w:rsid w:val="005E2B07"/>
    <w:rsid w:val="005E2BA2"/>
    <w:rsid w:val="005E30DD"/>
    <w:rsid w:val="005E3647"/>
    <w:rsid w:val="005E37EB"/>
    <w:rsid w:val="005E41EB"/>
    <w:rsid w:val="005E4358"/>
    <w:rsid w:val="005E4771"/>
    <w:rsid w:val="005E4B66"/>
    <w:rsid w:val="005E4D65"/>
    <w:rsid w:val="005E4FEE"/>
    <w:rsid w:val="005E510E"/>
    <w:rsid w:val="005E5335"/>
    <w:rsid w:val="005E54EB"/>
    <w:rsid w:val="005E5547"/>
    <w:rsid w:val="005E5555"/>
    <w:rsid w:val="005E5CC1"/>
    <w:rsid w:val="005E5E02"/>
    <w:rsid w:val="005E6092"/>
    <w:rsid w:val="005E60BB"/>
    <w:rsid w:val="005E659F"/>
    <w:rsid w:val="005E6692"/>
    <w:rsid w:val="005E696A"/>
    <w:rsid w:val="005E6DC0"/>
    <w:rsid w:val="005E6F4A"/>
    <w:rsid w:val="005E7698"/>
    <w:rsid w:val="005E7AA5"/>
    <w:rsid w:val="005E7B14"/>
    <w:rsid w:val="005F08AF"/>
    <w:rsid w:val="005F16D0"/>
    <w:rsid w:val="005F18C0"/>
    <w:rsid w:val="005F21AF"/>
    <w:rsid w:val="005F25FC"/>
    <w:rsid w:val="005F298C"/>
    <w:rsid w:val="005F2AFD"/>
    <w:rsid w:val="005F3072"/>
    <w:rsid w:val="005F3480"/>
    <w:rsid w:val="005F3504"/>
    <w:rsid w:val="005F3A1A"/>
    <w:rsid w:val="005F3C4C"/>
    <w:rsid w:val="005F4154"/>
    <w:rsid w:val="005F4590"/>
    <w:rsid w:val="005F4A7E"/>
    <w:rsid w:val="005F4BCD"/>
    <w:rsid w:val="005F4BD2"/>
    <w:rsid w:val="005F4E0A"/>
    <w:rsid w:val="005F54DC"/>
    <w:rsid w:val="005F5926"/>
    <w:rsid w:val="005F5AEF"/>
    <w:rsid w:val="005F608E"/>
    <w:rsid w:val="005F60F2"/>
    <w:rsid w:val="005F66C6"/>
    <w:rsid w:val="005F6981"/>
    <w:rsid w:val="005F77FC"/>
    <w:rsid w:val="005F783A"/>
    <w:rsid w:val="005F78A2"/>
    <w:rsid w:val="005F7B33"/>
    <w:rsid w:val="005F7D67"/>
    <w:rsid w:val="005F7F0C"/>
    <w:rsid w:val="00600768"/>
    <w:rsid w:val="00600B3B"/>
    <w:rsid w:val="00600F8C"/>
    <w:rsid w:val="006013D7"/>
    <w:rsid w:val="00601CFC"/>
    <w:rsid w:val="006021B0"/>
    <w:rsid w:val="00602398"/>
    <w:rsid w:val="006031E1"/>
    <w:rsid w:val="006032AD"/>
    <w:rsid w:val="00603488"/>
    <w:rsid w:val="00603660"/>
    <w:rsid w:val="00603B69"/>
    <w:rsid w:val="00603E4B"/>
    <w:rsid w:val="0060414F"/>
    <w:rsid w:val="00604275"/>
    <w:rsid w:val="00604604"/>
    <w:rsid w:val="00604985"/>
    <w:rsid w:val="00605272"/>
    <w:rsid w:val="006052B1"/>
    <w:rsid w:val="006057C8"/>
    <w:rsid w:val="00605A85"/>
    <w:rsid w:val="00606076"/>
    <w:rsid w:val="006063EC"/>
    <w:rsid w:val="00607266"/>
    <w:rsid w:val="006076AC"/>
    <w:rsid w:val="0060795F"/>
    <w:rsid w:val="006101EC"/>
    <w:rsid w:val="0061026B"/>
    <w:rsid w:val="00610289"/>
    <w:rsid w:val="0061085A"/>
    <w:rsid w:val="00610A3E"/>
    <w:rsid w:val="00611422"/>
    <w:rsid w:val="0061163D"/>
    <w:rsid w:val="00612017"/>
    <w:rsid w:val="0061230E"/>
    <w:rsid w:val="0061232F"/>
    <w:rsid w:val="00612D2E"/>
    <w:rsid w:val="00612F0B"/>
    <w:rsid w:val="00613104"/>
    <w:rsid w:val="00613339"/>
    <w:rsid w:val="006135F5"/>
    <w:rsid w:val="00613638"/>
    <w:rsid w:val="0061451C"/>
    <w:rsid w:val="00614659"/>
    <w:rsid w:val="006146EA"/>
    <w:rsid w:val="00614901"/>
    <w:rsid w:val="00614B29"/>
    <w:rsid w:val="00615153"/>
    <w:rsid w:val="0061544E"/>
    <w:rsid w:val="00615BB7"/>
    <w:rsid w:val="00615F62"/>
    <w:rsid w:val="006161EE"/>
    <w:rsid w:val="00616672"/>
    <w:rsid w:val="00616A34"/>
    <w:rsid w:val="00616AE5"/>
    <w:rsid w:val="00616CCC"/>
    <w:rsid w:val="00616D9E"/>
    <w:rsid w:val="00617419"/>
    <w:rsid w:val="00617633"/>
    <w:rsid w:val="00617657"/>
    <w:rsid w:val="00617B1F"/>
    <w:rsid w:val="00617B2E"/>
    <w:rsid w:val="00620531"/>
    <w:rsid w:val="00620762"/>
    <w:rsid w:val="006209FA"/>
    <w:rsid w:val="00621ACE"/>
    <w:rsid w:val="00621CA7"/>
    <w:rsid w:val="0062202B"/>
    <w:rsid w:val="00622343"/>
    <w:rsid w:val="00622546"/>
    <w:rsid w:val="006229BB"/>
    <w:rsid w:val="00622D17"/>
    <w:rsid w:val="006231A7"/>
    <w:rsid w:val="006231E2"/>
    <w:rsid w:val="006233B1"/>
    <w:rsid w:val="006237B3"/>
    <w:rsid w:val="00624116"/>
    <w:rsid w:val="006242C1"/>
    <w:rsid w:val="00624314"/>
    <w:rsid w:val="006246D7"/>
    <w:rsid w:val="00624874"/>
    <w:rsid w:val="00624891"/>
    <w:rsid w:val="00624A8F"/>
    <w:rsid w:val="00624EA0"/>
    <w:rsid w:val="006250F0"/>
    <w:rsid w:val="00625130"/>
    <w:rsid w:val="00625ACB"/>
    <w:rsid w:val="00625F72"/>
    <w:rsid w:val="00626C42"/>
    <w:rsid w:val="006270A4"/>
    <w:rsid w:val="006274FD"/>
    <w:rsid w:val="00627B0E"/>
    <w:rsid w:val="00627CBC"/>
    <w:rsid w:val="00627F13"/>
    <w:rsid w:val="00627FE4"/>
    <w:rsid w:val="00630369"/>
    <w:rsid w:val="006304EB"/>
    <w:rsid w:val="006309C8"/>
    <w:rsid w:val="00630FB8"/>
    <w:rsid w:val="00631226"/>
    <w:rsid w:val="00631F18"/>
    <w:rsid w:val="00631F6C"/>
    <w:rsid w:val="00631FF3"/>
    <w:rsid w:val="006326CC"/>
    <w:rsid w:val="00632960"/>
    <w:rsid w:val="00633526"/>
    <w:rsid w:val="00634652"/>
    <w:rsid w:val="006350FF"/>
    <w:rsid w:val="00635197"/>
    <w:rsid w:val="006357B6"/>
    <w:rsid w:val="00636121"/>
    <w:rsid w:val="006365BC"/>
    <w:rsid w:val="00637084"/>
    <w:rsid w:val="00637300"/>
    <w:rsid w:val="006375C6"/>
    <w:rsid w:val="00637705"/>
    <w:rsid w:val="00637F6B"/>
    <w:rsid w:val="00640953"/>
    <w:rsid w:val="00640B57"/>
    <w:rsid w:val="00640B93"/>
    <w:rsid w:val="00640BF8"/>
    <w:rsid w:val="00640F43"/>
    <w:rsid w:val="006411AD"/>
    <w:rsid w:val="0064193E"/>
    <w:rsid w:val="00641D17"/>
    <w:rsid w:val="00641E26"/>
    <w:rsid w:val="0064265D"/>
    <w:rsid w:val="00642D65"/>
    <w:rsid w:val="00643785"/>
    <w:rsid w:val="00643A1B"/>
    <w:rsid w:val="00643A6E"/>
    <w:rsid w:val="00643E1A"/>
    <w:rsid w:val="006442D5"/>
    <w:rsid w:val="0064455B"/>
    <w:rsid w:val="00644886"/>
    <w:rsid w:val="00644D7F"/>
    <w:rsid w:val="00644DD3"/>
    <w:rsid w:val="0064545A"/>
    <w:rsid w:val="00645515"/>
    <w:rsid w:val="00645553"/>
    <w:rsid w:val="006455A3"/>
    <w:rsid w:val="00646216"/>
    <w:rsid w:val="00646488"/>
    <w:rsid w:val="00646558"/>
    <w:rsid w:val="006468E6"/>
    <w:rsid w:val="00646B28"/>
    <w:rsid w:val="00646F3B"/>
    <w:rsid w:val="00647532"/>
    <w:rsid w:val="006477EC"/>
    <w:rsid w:val="00647C99"/>
    <w:rsid w:val="00647E50"/>
    <w:rsid w:val="006501BE"/>
    <w:rsid w:val="00650274"/>
    <w:rsid w:val="006507BE"/>
    <w:rsid w:val="00650DAB"/>
    <w:rsid w:val="00650F90"/>
    <w:rsid w:val="00651220"/>
    <w:rsid w:val="00651340"/>
    <w:rsid w:val="006514A9"/>
    <w:rsid w:val="0065150D"/>
    <w:rsid w:val="0065162A"/>
    <w:rsid w:val="00651E7E"/>
    <w:rsid w:val="00652000"/>
    <w:rsid w:val="006520ED"/>
    <w:rsid w:val="00652460"/>
    <w:rsid w:val="00652710"/>
    <w:rsid w:val="0065288F"/>
    <w:rsid w:val="00652D71"/>
    <w:rsid w:val="00652FB0"/>
    <w:rsid w:val="0065335B"/>
    <w:rsid w:val="006534FF"/>
    <w:rsid w:val="00653C9F"/>
    <w:rsid w:val="0065440E"/>
    <w:rsid w:val="00654905"/>
    <w:rsid w:val="00654CC7"/>
    <w:rsid w:val="0065504E"/>
    <w:rsid w:val="006556BF"/>
    <w:rsid w:val="006557A8"/>
    <w:rsid w:val="0065586C"/>
    <w:rsid w:val="00655CB8"/>
    <w:rsid w:val="00655E12"/>
    <w:rsid w:val="00655F73"/>
    <w:rsid w:val="00656536"/>
    <w:rsid w:val="00656B42"/>
    <w:rsid w:val="00656C92"/>
    <w:rsid w:val="00656CF9"/>
    <w:rsid w:val="00656D59"/>
    <w:rsid w:val="0065746E"/>
    <w:rsid w:val="006576E8"/>
    <w:rsid w:val="006602E1"/>
    <w:rsid w:val="00660C3E"/>
    <w:rsid w:val="006611FC"/>
    <w:rsid w:val="0066123A"/>
    <w:rsid w:val="00661366"/>
    <w:rsid w:val="0066158B"/>
    <w:rsid w:val="0066174D"/>
    <w:rsid w:val="006619C6"/>
    <w:rsid w:val="00661FF9"/>
    <w:rsid w:val="006622AB"/>
    <w:rsid w:val="00662401"/>
    <w:rsid w:val="00662727"/>
    <w:rsid w:val="00662A9B"/>
    <w:rsid w:val="00662F6D"/>
    <w:rsid w:val="00663197"/>
    <w:rsid w:val="00663A73"/>
    <w:rsid w:val="00663DCA"/>
    <w:rsid w:val="0066423F"/>
    <w:rsid w:val="00664693"/>
    <w:rsid w:val="00665771"/>
    <w:rsid w:val="00665B55"/>
    <w:rsid w:val="00665D4A"/>
    <w:rsid w:val="006662FE"/>
    <w:rsid w:val="00666D93"/>
    <w:rsid w:val="00666DDA"/>
    <w:rsid w:val="00666E2D"/>
    <w:rsid w:val="006676ED"/>
    <w:rsid w:val="006679FE"/>
    <w:rsid w:val="00667B2B"/>
    <w:rsid w:val="00667D22"/>
    <w:rsid w:val="00667E77"/>
    <w:rsid w:val="00667FB8"/>
    <w:rsid w:val="00667FC4"/>
    <w:rsid w:val="0067012D"/>
    <w:rsid w:val="00670391"/>
    <w:rsid w:val="00670A16"/>
    <w:rsid w:val="00670C60"/>
    <w:rsid w:val="00670CED"/>
    <w:rsid w:val="00670F3E"/>
    <w:rsid w:val="0067141F"/>
    <w:rsid w:val="00671515"/>
    <w:rsid w:val="00671A29"/>
    <w:rsid w:val="00671D7D"/>
    <w:rsid w:val="00672B08"/>
    <w:rsid w:val="00672CAF"/>
    <w:rsid w:val="0067312E"/>
    <w:rsid w:val="006734F7"/>
    <w:rsid w:val="006740A0"/>
    <w:rsid w:val="0067456C"/>
    <w:rsid w:val="00674747"/>
    <w:rsid w:val="00675005"/>
    <w:rsid w:val="0067502E"/>
    <w:rsid w:val="006752A4"/>
    <w:rsid w:val="00675428"/>
    <w:rsid w:val="0067555D"/>
    <w:rsid w:val="006757F4"/>
    <w:rsid w:val="00675A64"/>
    <w:rsid w:val="00675BD1"/>
    <w:rsid w:val="00675BFD"/>
    <w:rsid w:val="00675C40"/>
    <w:rsid w:val="006763D5"/>
    <w:rsid w:val="006766A2"/>
    <w:rsid w:val="006767C0"/>
    <w:rsid w:val="00676A91"/>
    <w:rsid w:val="00676FC1"/>
    <w:rsid w:val="00677936"/>
    <w:rsid w:val="00677A1D"/>
    <w:rsid w:val="00677E79"/>
    <w:rsid w:val="00677E7A"/>
    <w:rsid w:val="0068002D"/>
    <w:rsid w:val="006803F6"/>
    <w:rsid w:val="00680D18"/>
    <w:rsid w:val="0068112D"/>
    <w:rsid w:val="00681859"/>
    <w:rsid w:val="0068191A"/>
    <w:rsid w:val="00682015"/>
    <w:rsid w:val="006821A3"/>
    <w:rsid w:val="00682853"/>
    <w:rsid w:val="00682A6B"/>
    <w:rsid w:val="00682AB0"/>
    <w:rsid w:val="00682C95"/>
    <w:rsid w:val="00682CAB"/>
    <w:rsid w:val="00683320"/>
    <w:rsid w:val="006833C8"/>
    <w:rsid w:val="00683601"/>
    <w:rsid w:val="00683823"/>
    <w:rsid w:val="006840FB"/>
    <w:rsid w:val="00684105"/>
    <w:rsid w:val="00684291"/>
    <w:rsid w:val="0068439B"/>
    <w:rsid w:val="00684A08"/>
    <w:rsid w:val="0068511E"/>
    <w:rsid w:val="00685A2C"/>
    <w:rsid w:val="0068615A"/>
    <w:rsid w:val="006867BF"/>
    <w:rsid w:val="006873A7"/>
    <w:rsid w:val="00687483"/>
    <w:rsid w:val="00687845"/>
    <w:rsid w:val="0068799C"/>
    <w:rsid w:val="00687B23"/>
    <w:rsid w:val="00690258"/>
    <w:rsid w:val="006902E3"/>
    <w:rsid w:val="00690428"/>
    <w:rsid w:val="006906F8"/>
    <w:rsid w:val="00690740"/>
    <w:rsid w:val="006909D3"/>
    <w:rsid w:val="0069126D"/>
    <w:rsid w:val="00691874"/>
    <w:rsid w:val="00692067"/>
    <w:rsid w:val="006921AF"/>
    <w:rsid w:val="00692486"/>
    <w:rsid w:val="006927CE"/>
    <w:rsid w:val="00692B42"/>
    <w:rsid w:val="00693967"/>
    <w:rsid w:val="00693FBF"/>
    <w:rsid w:val="006943A9"/>
    <w:rsid w:val="006945F3"/>
    <w:rsid w:val="00694B94"/>
    <w:rsid w:val="00694BEE"/>
    <w:rsid w:val="006950DD"/>
    <w:rsid w:val="00695771"/>
    <w:rsid w:val="00695AE4"/>
    <w:rsid w:val="0069630A"/>
    <w:rsid w:val="006965EF"/>
    <w:rsid w:val="00696823"/>
    <w:rsid w:val="00696D88"/>
    <w:rsid w:val="00697876"/>
    <w:rsid w:val="006A0264"/>
    <w:rsid w:val="006A0435"/>
    <w:rsid w:val="006A0A93"/>
    <w:rsid w:val="006A0F76"/>
    <w:rsid w:val="006A1035"/>
    <w:rsid w:val="006A155A"/>
    <w:rsid w:val="006A187A"/>
    <w:rsid w:val="006A187B"/>
    <w:rsid w:val="006A215F"/>
    <w:rsid w:val="006A29BC"/>
    <w:rsid w:val="006A2B59"/>
    <w:rsid w:val="006A2F08"/>
    <w:rsid w:val="006A2F52"/>
    <w:rsid w:val="006A2F5D"/>
    <w:rsid w:val="006A2FEF"/>
    <w:rsid w:val="006A3489"/>
    <w:rsid w:val="006A3638"/>
    <w:rsid w:val="006A3B77"/>
    <w:rsid w:val="006A3E49"/>
    <w:rsid w:val="006A418A"/>
    <w:rsid w:val="006A4476"/>
    <w:rsid w:val="006A4843"/>
    <w:rsid w:val="006A5401"/>
    <w:rsid w:val="006A5553"/>
    <w:rsid w:val="006A5854"/>
    <w:rsid w:val="006A5912"/>
    <w:rsid w:val="006A6125"/>
    <w:rsid w:val="006A681B"/>
    <w:rsid w:val="006A682F"/>
    <w:rsid w:val="006A68CE"/>
    <w:rsid w:val="006A703E"/>
    <w:rsid w:val="006A7ED5"/>
    <w:rsid w:val="006B019F"/>
    <w:rsid w:val="006B04B7"/>
    <w:rsid w:val="006B0603"/>
    <w:rsid w:val="006B0627"/>
    <w:rsid w:val="006B0762"/>
    <w:rsid w:val="006B0FFD"/>
    <w:rsid w:val="006B1071"/>
    <w:rsid w:val="006B1108"/>
    <w:rsid w:val="006B152E"/>
    <w:rsid w:val="006B1730"/>
    <w:rsid w:val="006B244B"/>
    <w:rsid w:val="006B28F2"/>
    <w:rsid w:val="006B2A92"/>
    <w:rsid w:val="006B3266"/>
    <w:rsid w:val="006B3306"/>
    <w:rsid w:val="006B3367"/>
    <w:rsid w:val="006B3C1E"/>
    <w:rsid w:val="006B417C"/>
    <w:rsid w:val="006B43EF"/>
    <w:rsid w:val="006B44AA"/>
    <w:rsid w:val="006B4F7E"/>
    <w:rsid w:val="006B5167"/>
    <w:rsid w:val="006B6264"/>
    <w:rsid w:val="006B629B"/>
    <w:rsid w:val="006B65C8"/>
    <w:rsid w:val="006B682B"/>
    <w:rsid w:val="006B6867"/>
    <w:rsid w:val="006B6A74"/>
    <w:rsid w:val="006B7139"/>
    <w:rsid w:val="006B7540"/>
    <w:rsid w:val="006B7810"/>
    <w:rsid w:val="006B781C"/>
    <w:rsid w:val="006B7875"/>
    <w:rsid w:val="006B7974"/>
    <w:rsid w:val="006B7AB7"/>
    <w:rsid w:val="006B7B40"/>
    <w:rsid w:val="006B7B91"/>
    <w:rsid w:val="006B7D19"/>
    <w:rsid w:val="006C0091"/>
    <w:rsid w:val="006C0388"/>
    <w:rsid w:val="006C0D60"/>
    <w:rsid w:val="006C0D76"/>
    <w:rsid w:val="006C0F10"/>
    <w:rsid w:val="006C1301"/>
    <w:rsid w:val="006C13B7"/>
    <w:rsid w:val="006C15A9"/>
    <w:rsid w:val="006C1673"/>
    <w:rsid w:val="006C167D"/>
    <w:rsid w:val="006C2F48"/>
    <w:rsid w:val="006C3258"/>
    <w:rsid w:val="006C371C"/>
    <w:rsid w:val="006C377B"/>
    <w:rsid w:val="006C3A86"/>
    <w:rsid w:val="006C3CAB"/>
    <w:rsid w:val="006C3F9D"/>
    <w:rsid w:val="006C4266"/>
    <w:rsid w:val="006C42DE"/>
    <w:rsid w:val="006C434F"/>
    <w:rsid w:val="006C4B0B"/>
    <w:rsid w:val="006C4E00"/>
    <w:rsid w:val="006C5186"/>
    <w:rsid w:val="006C57DC"/>
    <w:rsid w:val="006C591B"/>
    <w:rsid w:val="006C5AF4"/>
    <w:rsid w:val="006C5B3D"/>
    <w:rsid w:val="006C5B8E"/>
    <w:rsid w:val="006C5F3A"/>
    <w:rsid w:val="006C637C"/>
    <w:rsid w:val="006C6C15"/>
    <w:rsid w:val="006C70AC"/>
    <w:rsid w:val="006C72E5"/>
    <w:rsid w:val="006C74E6"/>
    <w:rsid w:val="006C753A"/>
    <w:rsid w:val="006C7588"/>
    <w:rsid w:val="006C7826"/>
    <w:rsid w:val="006D00BA"/>
    <w:rsid w:val="006D0B04"/>
    <w:rsid w:val="006D0BB1"/>
    <w:rsid w:val="006D0CAA"/>
    <w:rsid w:val="006D0E7D"/>
    <w:rsid w:val="006D1243"/>
    <w:rsid w:val="006D15B5"/>
    <w:rsid w:val="006D18BA"/>
    <w:rsid w:val="006D197B"/>
    <w:rsid w:val="006D1985"/>
    <w:rsid w:val="006D2144"/>
    <w:rsid w:val="006D2DFD"/>
    <w:rsid w:val="006D34D5"/>
    <w:rsid w:val="006D34F5"/>
    <w:rsid w:val="006D38CE"/>
    <w:rsid w:val="006D3FD5"/>
    <w:rsid w:val="006D4665"/>
    <w:rsid w:val="006D467D"/>
    <w:rsid w:val="006D4AA4"/>
    <w:rsid w:val="006D5287"/>
    <w:rsid w:val="006D5380"/>
    <w:rsid w:val="006D6602"/>
    <w:rsid w:val="006D6849"/>
    <w:rsid w:val="006D6A5D"/>
    <w:rsid w:val="006D6CB4"/>
    <w:rsid w:val="006D6EE0"/>
    <w:rsid w:val="006D7011"/>
    <w:rsid w:val="006D7280"/>
    <w:rsid w:val="006D7519"/>
    <w:rsid w:val="006D7822"/>
    <w:rsid w:val="006D79AE"/>
    <w:rsid w:val="006E06F0"/>
    <w:rsid w:val="006E0A46"/>
    <w:rsid w:val="006E1CFE"/>
    <w:rsid w:val="006E1EDA"/>
    <w:rsid w:val="006E1EDB"/>
    <w:rsid w:val="006E203A"/>
    <w:rsid w:val="006E22E6"/>
    <w:rsid w:val="006E2508"/>
    <w:rsid w:val="006E2B00"/>
    <w:rsid w:val="006E2BC8"/>
    <w:rsid w:val="006E2E15"/>
    <w:rsid w:val="006E33A2"/>
    <w:rsid w:val="006E395E"/>
    <w:rsid w:val="006E39DA"/>
    <w:rsid w:val="006E3A00"/>
    <w:rsid w:val="006E3D6B"/>
    <w:rsid w:val="006E3F95"/>
    <w:rsid w:val="006E40E2"/>
    <w:rsid w:val="006E4D13"/>
    <w:rsid w:val="006E4DBF"/>
    <w:rsid w:val="006E6050"/>
    <w:rsid w:val="006E643B"/>
    <w:rsid w:val="006E691A"/>
    <w:rsid w:val="006E7344"/>
    <w:rsid w:val="006E748E"/>
    <w:rsid w:val="006E7894"/>
    <w:rsid w:val="006E7983"/>
    <w:rsid w:val="006E7CA8"/>
    <w:rsid w:val="006F19F5"/>
    <w:rsid w:val="006F1EC8"/>
    <w:rsid w:val="006F1F74"/>
    <w:rsid w:val="006F24A4"/>
    <w:rsid w:val="006F28F3"/>
    <w:rsid w:val="006F2C99"/>
    <w:rsid w:val="006F2CDF"/>
    <w:rsid w:val="006F2DA6"/>
    <w:rsid w:val="006F34A2"/>
    <w:rsid w:val="006F370B"/>
    <w:rsid w:val="006F4164"/>
    <w:rsid w:val="006F4233"/>
    <w:rsid w:val="006F4496"/>
    <w:rsid w:val="006F463D"/>
    <w:rsid w:val="006F4889"/>
    <w:rsid w:val="006F4B63"/>
    <w:rsid w:val="006F4E9E"/>
    <w:rsid w:val="006F4EE3"/>
    <w:rsid w:val="006F5072"/>
    <w:rsid w:val="006F542C"/>
    <w:rsid w:val="006F6154"/>
    <w:rsid w:val="006F617E"/>
    <w:rsid w:val="006F6229"/>
    <w:rsid w:val="006F6551"/>
    <w:rsid w:val="006F7279"/>
    <w:rsid w:val="006F746C"/>
    <w:rsid w:val="006F76E0"/>
    <w:rsid w:val="006F7B1A"/>
    <w:rsid w:val="006F7E03"/>
    <w:rsid w:val="006F7E94"/>
    <w:rsid w:val="007006D4"/>
    <w:rsid w:val="0070074C"/>
    <w:rsid w:val="0070098C"/>
    <w:rsid w:val="007014F8"/>
    <w:rsid w:val="00701832"/>
    <w:rsid w:val="00701B6B"/>
    <w:rsid w:val="00701E44"/>
    <w:rsid w:val="007022FF"/>
    <w:rsid w:val="00702980"/>
    <w:rsid w:val="00703134"/>
    <w:rsid w:val="007036EB"/>
    <w:rsid w:val="00703892"/>
    <w:rsid w:val="00703A93"/>
    <w:rsid w:val="00703B7D"/>
    <w:rsid w:val="00704278"/>
    <w:rsid w:val="00704333"/>
    <w:rsid w:val="007044DC"/>
    <w:rsid w:val="007045F2"/>
    <w:rsid w:val="00704682"/>
    <w:rsid w:val="007047CD"/>
    <w:rsid w:val="0070490B"/>
    <w:rsid w:val="007049F8"/>
    <w:rsid w:val="0070594A"/>
    <w:rsid w:val="00705C44"/>
    <w:rsid w:val="00705DE1"/>
    <w:rsid w:val="0070601D"/>
    <w:rsid w:val="00706251"/>
    <w:rsid w:val="00706667"/>
    <w:rsid w:val="00706D7B"/>
    <w:rsid w:val="00706E2E"/>
    <w:rsid w:val="00707052"/>
    <w:rsid w:val="00707371"/>
    <w:rsid w:val="007077F6"/>
    <w:rsid w:val="00707946"/>
    <w:rsid w:val="00707947"/>
    <w:rsid w:val="00707DA2"/>
    <w:rsid w:val="00707E56"/>
    <w:rsid w:val="00707EB0"/>
    <w:rsid w:val="007101B4"/>
    <w:rsid w:val="0071030E"/>
    <w:rsid w:val="0071047F"/>
    <w:rsid w:val="00710C13"/>
    <w:rsid w:val="00710DEA"/>
    <w:rsid w:val="007115D9"/>
    <w:rsid w:val="00711BE1"/>
    <w:rsid w:val="00711D96"/>
    <w:rsid w:val="00711F34"/>
    <w:rsid w:val="0071213D"/>
    <w:rsid w:val="00712543"/>
    <w:rsid w:val="007126B2"/>
    <w:rsid w:val="007126D4"/>
    <w:rsid w:val="00712855"/>
    <w:rsid w:val="00712C27"/>
    <w:rsid w:val="00712E95"/>
    <w:rsid w:val="007130E8"/>
    <w:rsid w:val="007132AD"/>
    <w:rsid w:val="0071388C"/>
    <w:rsid w:val="00713BB8"/>
    <w:rsid w:val="00714034"/>
    <w:rsid w:val="007144E5"/>
    <w:rsid w:val="00714556"/>
    <w:rsid w:val="00714AD9"/>
    <w:rsid w:val="00714C11"/>
    <w:rsid w:val="00714D72"/>
    <w:rsid w:val="00715A75"/>
    <w:rsid w:val="00715B0B"/>
    <w:rsid w:val="0071638C"/>
    <w:rsid w:val="0071682A"/>
    <w:rsid w:val="00716942"/>
    <w:rsid w:val="007169D9"/>
    <w:rsid w:val="00716BD0"/>
    <w:rsid w:val="007170E2"/>
    <w:rsid w:val="007172B1"/>
    <w:rsid w:val="007175F9"/>
    <w:rsid w:val="00717949"/>
    <w:rsid w:val="00717CEC"/>
    <w:rsid w:val="007201AC"/>
    <w:rsid w:val="007207E5"/>
    <w:rsid w:val="00720880"/>
    <w:rsid w:val="0072103E"/>
    <w:rsid w:val="00721794"/>
    <w:rsid w:val="00721A2C"/>
    <w:rsid w:val="00721F1C"/>
    <w:rsid w:val="007222CF"/>
    <w:rsid w:val="0072254D"/>
    <w:rsid w:val="0072293A"/>
    <w:rsid w:val="007233FB"/>
    <w:rsid w:val="007236B3"/>
    <w:rsid w:val="00723FFA"/>
    <w:rsid w:val="007242E4"/>
    <w:rsid w:val="0072453F"/>
    <w:rsid w:val="0072458B"/>
    <w:rsid w:val="00724C97"/>
    <w:rsid w:val="00724F02"/>
    <w:rsid w:val="007260D7"/>
    <w:rsid w:val="007262FE"/>
    <w:rsid w:val="007267E7"/>
    <w:rsid w:val="00726A47"/>
    <w:rsid w:val="0072720C"/>
    <w:rsid w:val="0072741A"/>
    <w:rsid w:val="0072759D"/>
    <w:rsid w:val="007300E6"/>
    <w:rsid w:val="0073068B"/>
    <w:rsid w:val="0073138D"/>
    <w:rsid w:val="007314EB"/>
    <w:rsid w:val="007314FC"/>
    <w:rsid w:val="00731ABB"/>
    <w:rsid w:val="00731AC4"/>
    <w:rsid w:val="00731C6A"/>
    <w:rsid w:val="00731CC3"/>
    <w:rsid w:val="00731CCB"/>
    <w:rsid w:val="00731F26"/>
    <w:rsid w:val="0073254C"/>
    <w:rsid w:val="00732DF3"/>
    <w:rsid w:val="00732F0E"/>
    <w:rsid w:val="0073305D"/>
    <w:rsid w:val="00733431"/>
    <w:rsid w:val="007337B5"/>
    <w:rsid w:val="00733A8C"/>
    <w:rsid w:val="00733A8F"/>
    <w:rsid w:val="00733F08"/>
    <w:rsid w:val="00734961"/>
    <w:rsid w:val="00734AFE"/>
    <w:rsid w:val="00735026"/>
    <w:rsid w:val="0073504A"/>
    <w:rsid w:val="00735AFA"/>
    <w:rsid w:val="0073650F"/>
    <w:rsid w:val="007369B8"/>
    <w:rsid w:val="00736BAB"/>
    <w:rsid w:val="00736C1E"/>
    <w:rsid w:val="007371AE"/>
    <w:rsid w:val="0073783A"/>
    <w:rsid w:val="00740196"/>
    <w:rsid w:val="007401F5"/>
    <w:rsid w:val="007404A2"/>
    <w:rsid w:val="0074086D"/>
    <w:rsid w:val="00740C21"/>
    <w:rsid w:val="00741197"/>
    <w:rsid w:val="0074135A"/>
    <w:rsid w:val="007417B6"/>
    <w:rsid w:val="007420BC"/>
    <w:rsid w:val="0074225A"/>
    <w:rsid w:val="007422EB"/>
    <w:rsid w:val="0074235F"/>
    <w:rsid w:val="00742627"/>
    <w:rsid w:val="007430AE"/>
    <w:rsid w:val="0074333B"/>
    <w:rsid w:val="0074349F"/>
    <w:rsid w:val="00743949"/>
    <w:rsid w:val="00743A03"/>
    <w:rsid w:val="00743CFA"/>
    <w:rsid w:val="0074472F"/>
    <w:rsid w:val="00744783"/>
    <w:rsid w:val="007447CD"/>
    <w:rsid w:val="00745229"/>
    <w:rsid w:val="00745554"/>
    <w:rsid w:val="00745BD0"/>
    <w:rsid w:val="007467C8"/>
    <w:rsid w:val="00746C4F"/>
    <w:rsid w:val="00747001"/>
    <w:rsid w:val="00747168"/>
    <w:rsid w:val="007478F1"/>
    <w:rsid w:val="00747BB9"/>
    <w:rsid w:val="00747E97"/>
    <w:rsid w:val="007501A2"/>
    <w:rsid w:val="00750D3D"/>
    <w:rsid w:val="00750F7D"/>
    <w:rsid w:val="00751345"/>
    <w:rsid w:val="00751C78"/>
    <w:rsid w:val="00751CC6"/>
    <w:rsid w:val="00751CF4"/>
    <w:rsid w:val="00752050"/>
    <w:rsid w:val="00752237"/>
    <w:rsid w:val="0075246A"/>
    <w:rsid w:val="00752AF8"/>
    <w:rsid w:val="00752AF9"/>
    <w:rsid w:val="00752BD4"/>
    <w:rsid w:val="00752EA2"/>
    <w:rsid w:val="00752FB6"/>
    <w:rsid w:val="00753363"/>
    <w:rsid w:val="007535FF"/>
    <w:rsid w:val="00753B87"/>
    <w:rsid w:val="00753BF4"/>
    <w:rsid w:val="00753EC3"/>
    <w:rsid w:val="0075437E"/>
    <w:rsid w:val="0075481C"/>
    <w:rsid w:val="0075500F"/>
    <w:rsid w:val="00755784"/>
    <w:rsid w:val="0075581A"/>
    <w:rsid w:val="007559B5"/>
    <w:rsid w:val="00755ECA"/>
    <w:rsid w:val="00756414"/>
    <w:rsid w:val="0075691D"/>
    <w:rsid w:val="00756B27"/>
    <w:rsid w:val="007570A1"/>
    <w:rsid w:val="00757247"/>
    <w:rsid w:val="00757348"/>
    <w:rsid w:val="007574EB"/>
    <w:rsid w:val="00757640"/>
    <w:rsid w:val="00757946"/>
    <w:rsid w:val="00757A3C"/>
    <w:rsid w:val="00757ADD"/>
    <w:rsid w:val="00757AF2"/>
    <w:rsid w:val="00757E8D"/>
    <w:rsid w:val="00760330"/>
    <w:rsid w:val="00760361"/>
    <w:rsid w:val="00760406"/>
    <w:rsid w:val="00760882"/>
    <w:rsid w:val="00760D99"/>
    <w:rsid w:val="007613DA"/>
    <w:rsid w:val="00761409"/>
    <w:rsid w:val="00761D69"/>
    <w:rsid w:val="00761DF2"/>
    <w:rsid w:val="0076201E"/>
    <w:rsid w:val="007620D2"/>
    <w:rsid w:val="00762344"/>
    <w:rsid w:val="00762CD6"/>
    <w:rsid w:val="00762F2F"/>
    <w:rsid w:val="00763475"/>
    <w:rsid w:val="007639A5"/>
    <w:rsid w:val="00763C0C"/>
    <w:rsid w:val="00763E13"/>
    <w:rsid w:val="00763F25"/>
    <w:rsid w:val="00764629"/>
    <w:rsid w:val="0076560C"/>
    <w:rsid w:val="00765A30"/>
    <w:rsid w:val="00766347"/>
    <w:rsid w:val="007666A5"/>
    <w:rsid w:val="00766E1D"/>
    <w:rsid w:val="00767391"/>
    <w:rsid w:val="00767467"/>
    <w:rsid w:val="0076763C"/>
    <w:rsid w:val="007702F0"/>
    <w:rsid w:val="007703B5"/>
    <w:rsid w:val="0077067A"/>
    <w:rsid w:val="00770C95"/>
    <w:rsid w:val="00770DE1"/>
    <w:rsid w:val="00770DF1"/>
    <w:rsid w:val="007713C4"/>
    <w:rsid w:val="0077155C"/>
    <w:rsid w:val="007719D5"/>
    <w:rsid w:val="00771D77"/>
    <w:rsid w:val="007722EB"/>
    <w:rsid w:val="00772483"/>
    <w:rsid w:val="00772990"/>
    <w:rsid w:val="00772BB8"/>
    <w:rsid w:val="0077308E"/>
    <w:rsid w:val="007733DA"/>
    <w:rsid w:val="00773653"/>
    <w:rsid w:val="00773A56"/>
    <w:rsid w:val="007742C4"/>
    <w:rsid w:val="0077475C"/>
    <w:rsid w:val="007749F5"/>
    <w:rsid w:val="00774E52"/>
    <w:rsid w:val="0077537E"/>
    <w:rsid w:val="007756A2"/>
    <w:rsid w:val="0077635C"/>
    <w:rsid w:val="007764A0"/>
    <w:rsid w:val="00776D7C"/>
    <w:rsid w:val="00776F0E"/>
    <w:rsid w:val="00777714"/>
    <w:rsid w:val="0077780E"/>
    <w:rsid w:val="00777835"/>
    <w:rsid w:val="00777A75"/>
    <w:rsid w:val="00777A88"/>
    <w:rsid w:val="007802CF"/>
    <w:rsid w:val="00780586"/>
    <w:rsid w:val="0078098E"/>
    <w:rsid w:val="00780B21"/>
    <w:rsid w:val="00780B2B"/>
    <w:rsid w:val="00780C93"/>
    <w:rsid w:val="00780D6F"/>
    <w:rsid w:val="007811E1"/>
    <w:rsid w:val="007813D7"/>
    <w:rsid w:val="00781602"/>
    <w:rsid w:val="0078174D"/>
    <w:rsid w:val="00781D07"/>
    <w:rsid w:val="00782729"/>
    <w:rsid w:val="00782869"/>
    <w:rsid w:val="0078295A"/>
    <w:rsid w:val="00782B7D"/>
    <w:rsid w:val="00782BA6"/>
    <w:rsid w:val="007831C0"/>
    <w:rsid w:val="00783384"/>
    <w:rsid w:val="007835E3"/>
    <w:rsid w:val="007838FD"/>
    <w:rsid w:val="00783A61"/>
    <w:rsid w:val="007842A2"/>
    <w:rsid w:val="00784316"/>
    <w:rsid w:val="0078495E"/>
    <w:rsid w:val="00784A55"/>
    <w:rsid w:val="00784C53"/>
    <w:rsid w:val="00784C58"/>
    <w:rsid w:val="007852B8"/>
    <w:rsid w:val="00785318"/>
    <w:rsid w:val="007856CC"/>
    <w:rsid w:val="00785737"/>
    <w:rsid w:val="00785DE6"/>
    <w:rsid w:val="00785EF6"/>
    <w:rsid w:val="00786555"/>
    <w:rsid w:val="00786B1B"/>
    <w:rsid w:val="007873C5"/>
    <w:rsid w:val="0078772C"/>
    <w:rsid w:val="0078792A"/>
    <w:rsid w:val="00787AA2"/>
    <w:rsid w:val="007905E6"/>
    <w:rsid w:val="00790A79"/>
    <w:rsid w:val="00790FB7"/>
    <w:rsid w:val="007915F1"/>
    <w:rsid w:val="00791B26"/>
    <w:rsid w:val="00791FED"/>
    <w:rsid w:val="0079204B"/>
    <w:rsid w:val="007920F7"/>
    <w:rsid w:val="007923C4"/>
    <w:rsid w:val="0079275B"/>
    <w:rsid w:val="0079288D"/>
    <w:rsid w:val="00792959"/>
    <w:rsid w:val="00793082"/>
    <w:rsid w:val="0079317A"/>
    <w:rsid w:val="0079423B"/>
    <w:rsid w:val="0079437B"/>
    <w:rsid w:val="007946EE"/>
    <w:rsid w:val="00794B28"/>
    <w:rsid w:val="00794CC9"/>
    <w:rsid w:val="00794FCF"/>
    <w:rsid w:val="00795944"/>
    <w:rsid w:val="00795958"/>
    <w:rsid w:val="00795961"/>
    <w:rsid w:val="00795BDF"/>
    <w:rsid w:val="00795DB6"/>
    <w:rsid w:val="00796218"/>
    <w:rsid w:val="007974F5"/>
    <w:rsid w:val="007976E5"/>
    <w:rsid w:val="0079776D"/>
    <w:rsid w:val="007977E4"/>
    <w:rsid w:val="00797C7D"/>
    <w:rsid w:val="00797CFC"/>
    <w:rsid w:val="00797D49"/>
    <w:rsid w:val="00797ECD"/>
    <w:rsid w:val="007A0311"/>
    <w:rsid w:val="007A087C"/>
    <w:rsid w:val="007A09F0"/>
    <w:rsid w:val="007A0CF3"/>
    <w:rsid w:val="007A12C9"/>
    <w:rsid w:val="007A14E7"/>
    <w:rsid w:val="007A17C0"/>
    <w:rsid w:val="007A1E56"/>
    <w:rsid w:val="007A1F3F"/>
    <w:rsid w:val="007A2140"/>
    <w:rsid w:val="007A2150"/>
    <w:rsid w:val="007A25EE"/>
    <w:rsid w:val="007A3245"/>
    <w:rsid w:val="007A3311"/>
    <w:rsid w:val="007A34A9"/>
    <w:rsid w:val="007A3854"/>
    <w:rsid w:val="007A4153"/>
    <w:rsid w:val="007A4537"/>
    <w:rsid w:val="007A4E6E"/>
    <w:rsid w:val="007A55BE"/>
    <w:rsid w:val="007A5C25"/>
    <w:rsid w:val="007A5EE1"/>
    <w:rsid w:val="007A60C1"/>
    <w:rsid w:val="007A6114"/>
    <w:rsid w:val="007A68D6"/>
    <w:rsid w:val="007A6BBC"/>
    <w:rsid w:val="007A70A0"/>
    <w:rsid w:val="007A71A1"/>
    <w:rsid w:val="007A7CF5"/>
    <w:rsid w:val="007A7D4F"/>
    <w:rsid w:val="007B0ACF"/>
    <w:rsid w:val="007B176A"/>
    <w:rsid w:val="007B1948"/>
    <w:rsid w:val="007B25D9"/>
    <w:rsid w:val="007B2BF0"/>
    <w:rsid w:val="007B30CC"/>
    <w:rsid w:val="007B35F6"/>
    <w:rsid w:val="007B36DC"/>
    <w:rsid w:val="007B3939"/>
    <w:rsid w:val="007B3F7D"/>
    <w:rsid w:val="007B41A8"/>
    <w:rsid w:val="007B4210"/>
    <w:rsid w:val="007B4737"/>
    <w:rsid w:val="007B4784"/>
    <w:rsid w:val="007B48B4"/>
    <w:rsid w:val="007B4AC7"/>
    <w:rsid w:val="007B4FBF"/>
    <w:rsid w:val="007B5188"/>
    <w:rsid w:val="007B597C"/>
    <w:rsid w:val="007B60B8"/>
    <w:rsid w:val="007B6247"/>
    <w:rsid w:val="007B6798"/>
    <w:rsid w:val="007B7884"/>
    <w:rsid w:val="007C0455"/>
    <w:rsid w:val="007C05BC"/>
    <w:rsid w:val="007C0831"/>
    <w:rsid w:val="007C0B35"/>
    <w:rsid w:val="007C0DC8"/>
    <w:rsid w:val="007C1048"/>
    <w:rsid w:val="007C1239"/>
    <w:rsid w:val="007C2643"/>
    <w:rsid w:val="007C3003"/>
    <w:rsid w:val="007C31E6"/>
    <w:rsid w:val="007C3509"/>
    <w:rsid w:val="007C391D"/>
    <w:rsid w:val="007C3984"/>
    <w:rsid w:val="007C39D5"/>
    <w:rsid w:val="007C3AD0"/>
    <w:rsid w:val="007C3CCB"/>
    <w:rsid w:val="007C3DA7"/>
    <w:rsid w:val="007C3DEB"/>
    <w:rsid w:val="007C40FB"/>
    <w:rsid w:val="007C42C2"/>
    <w:rsid w:val="007C430A"/>
    <w:rsid w:val="007C4ED3"/>
    <w:rsid w:val="007C4FB4"/>
    <w:rsid w:val="007C5584"/>
    <w:rsid w:val="007C5702"/>
    <w:rsid w:val="007C59D4"/>
    <w:rsid w:val="007C5BE8"/>
    <w:rsid w:val="007C5EAD"/>
    <w:rsid w:val="007C5F34"/>
    <w:rsid w:val="007C6076"/>
    <w:rsid w:val="007C67BD"/>
    <w:rsid w:val="007C6BDD"/>
    <w:rsid w:val="007C6E1D"/>
    <w:rsid w:val="007C71B5"/>
    <w:rsid w:val="007C73DF"/>
    <w:rsid w:val="007C751E"/>
    <w:rsid w:val="007C7537"/>
    <w:rsid w:val="007C7D9F"/>
    <w:rsid w:val="007D0465"/>
    <w:rsid w:val="007D09A4"/>
    <w:rsid w:val="007D120D"/>
    <w:rsid w:val="007D1440"/>
    <w:rsid w:val="007D145B"/>
    <w:rsid w:val="007D1772"/>
    <w:rsid w:val="007D1939"/>
    <w:rsid w:val="007D2288"/>
    <w:rsid w:val="007D22C8"/>
    <w:rsid w:val="007D2943"/>
    <w:rsid w:val="007D29F5"/>
    <w:rsid w:val="007D2CA0"/>
    <w:rsid w:val="007D3266"/>
    <w:rsid w:val="007D37B9"/>
    <w:rsid w:val="007D3810"/>
    <w:rsid w:val="007D3E1F"/>
    <w:rsid w:val="007D4288"/>
    <w:rsid w:val="007D438A"/>
    <w:rsid w:val="007D45A9"/>
    <w:rsid w:val="007D4948"/>
    <w:rsid w:val="007D49F1"/>
    <w:rsid w:val="007D526C"/>
    <w:rsid w:val="007D5292"/>
    <w:rsid w:val="007D54A8"/>
    <w:rsid w:val="007D5ACE"/>
    <w:rsid w:val="007D5C5B"/>
    <w:rsid w:val="007D5F0F"/>
    <w:rsid w:val="007D6340"/>
    <w:rsid w:val="007D6895"/>
    <w:rsid w:val="007D6E29"/>
    <w:rsid w:val="007D6F2E"/>
    <w:rsid w:val="007D7444"/>
    <w:rsid w:val="007E0064"/>
    <w:rsid w:val="007E0611"/>
    <w:rsid w:val="007E0646"/>
    <w:rsid w:val="007E0675"/>
    <w:rsid w:val="007E0B61"/>
    <w:rsid w:val="007E0D58"/>
    <w:rsid w:val="007E0F28"/>
    <w:rsid w:val="007E0F79"/>
    <w:rsid w:val="007E101B"/>
    <w:rsid w:val="007E115B"/>
    <w:rsid w:val="007E11ED"/>
    <w:rsid w:val="007E1745"/>
    <w:rsid w:val="007E174B"/>
    <w:rsid w:val="007E1772"/>
    <w:rsid w:val="007E1962"/>
    <w:rsid w:val="007E1A41"/>
    <w:rsid w:val="007E1A80"/>
    <w:rsid w:val="007E21B8"/>
    <w:rsid w:val="007E274C"/>
    <w:rsid w:val="007E38EA"/>
    <w:rsid w:val="007E3B59"/>
    <w:rsid w:val="007E3F7B"/>
    <w:rsid w:val="007E3FFE"/>
    <w:rsid w:val="007E46F7"/>
    <w:rsid w:val="007E4EC5"/>
    <w:rsid w:val="007E5604"/>
    <w:rsid w:val="007E5A7E"/>
    <w:rsid w:val="007E5BEA"/>
    <w:rsid w:val="007E6294"/>
    <w:rsid w:val="007E6A60"/>
    <w:rsid w:val="007E7548"/>
    <w:rsid w:val="007E76C5"/>
    <w:rsid w:val="007E782F"/>
    <w:rsid w:val="007E7F6F"/>
    <w:rsid w:val="007F0688"/>
    <w:rsid w:val="007F0B48"/>
    <w:rsid w:val="007F0C8F"/>
    <w:rsid w:val="007F0E08"/>
    <w:rsid w:val="007F0E76"/>
    <w:rsid w:val="007F101C"/>
    <w:rsid w:val="007F1358"/>
    <w:rsid w:val="007F139A"/>
    <w:rsid w:val="007F16CE"/>
    <w:rsid w:val="007F1743"/>
    <w:rsid w:val="007F1A4D"/>
    <w:rsid w:val="007F1A50"/>
    <w:rsid w:val="007F1C9B"/>
    <w:rsid w:val="007F238A"/>
    <w:rsid w:val="007F24C8"/>
    <w:rsid w:val="007F2708"/>
    <w:rsid w:val="007F29C2"/>
    <w:rsid w:val="007F2F89"/>
    <w:rsid w:val="007F3164"/>
    <w:rsid w:val="007F32E0"/>
    <w:rsid w:val="007F35CC"/>
    <w:rsid w:val="007F368C"/>
    <w:rsid w:val="007F3A90"/>
    <w:rsid w:val="007F3A9A"/>
    <w:rsid w:val="007F4D7B"/>
    <w:rsid w:val="007F52D0"/>
    <w:rsid w:val="007F5525"/>
    <w:rsid w:val="007F5AD6"/>
    <w:rsid w:val="007F5C19"/>
    <w:rsid w:val="007F5C48"/>
    <w:rsid w:val="007F618E"/>
    <w:rsid w:val="007F62E7"/>
    <w:rsid w:val="007F658B"/>
    <w:rsid w:val="007F6854"/>
    <w:rsid w:val="007F6CDD"/>
    <w:rsid w:val="007F79B2"/>
    <w:rsid w:val="008000BA"/>
    <w:rsid w:val="00800307"/>
    <w:rsid w:val="008005C8"/>
    <w:rsid w:val="0080099F"/>
    <w:rsid w:val="00800DA3"/>
    <w:rsid w:val="008016C9"/>
    <w:rsid w:val="00801B22"/>
    <w:rsid w:val="008020C9"/>
    <w:rsid w:val="00802140"/>
    <w:rsid w:val="00802190"/>
    <w:rsid w:val="008022BA"/>
    <w:rsid w:val="008022CC"/>
    <w:rsid w:val="0080256E"/>
    <w:rsid w:val="00802A5E"/>
    <w:rsid w:val="00802BCD"/>
    <w:rsid w:val="0080377B"/>
    <w:rsid w:val="008041C6"/>
    <w:rsid w:val="008042DC"/>
    <w:rsid w:val="00804371"/>
    <w:rsid w:val="008044FB"/>
    <w:rsid w:val="0080469C"/>
    <w:rsid w:val="00804908"/>
    <w:rsid w:val="00804CFF"/>
    <w:rsid w:val="008064E4"/>
    <w:rsid w:val="00806587"/>
    <w:rsid w:val="0080661B"/>
    <w:rsid w:val="00806B1C"/>
    <w:rsid w:val="00806CF1"/>
    <w:rsid w:val="00806D6C"/>
    <w:rsid w:val="00807334"/>
    <w:rsid w:val="00807838"/>
    <w:rsid w:val="00807B5A"/>
    <w:rsid w:val="00807C71"/>
    <w:rsid w:val="00811159"/>
    <w:rsid w:val="008114B3"/>
    <w:rsid w:val="0081195B"/>
    <w:rsid w:val="00811ACF"/>
    <w:rsid w:val="00811E30"/>
    <w:rsid w:val="00812641"/>
    <w:rsid w:val="008128DE"/>
    <w:rsid w:val="00812B3F"/>
    <w:rsid w:val="008135B7"/>
    <w:rsid w:val="00813AE7"/>
    <w:rsid w:val="00814145"/>
    <w:rsid w:val="008141D5"/>
    <w:rsid w:val="00814202"/>
    <w:rsid w:val="00814240"/>
    <w:rsid w:val="00814451"/>
    <w:rsid w:val="00814696"/>
    <w:rsid w:val="008147D3"/>
    <w:rsid w:val="00814806"/>
    <w:rsid w:val="00814C87"/>
    <w:rsid w:val="008151D7"/>
    <w:rsid w:val="008151EC"/>
    <w:rsid w:val="00815B1C"/>
    <w:rsid w:val="00815FEB"/>
    <w:rsid w:val="00816004"/>
    <w:rsid w:val="00816C8D"/>
    <w:rsid w:val="008170F7"/>
    <w:rsid w:val="008172B4"/>
    <w:rsid w:val="00817356"/>
    <w:rsid w:val="00817C75"/>
    <w:rsid w:val="00817CFB"/>
    <w:rsid w:val="00817F20"/>
    <w:rsid w:val="00820471"/>
    <w:rsid w:val="00820E31"/>
    <w:rsid w:val="008211AB"/>
    <w:rsid w:val="00821229"/>
    <w:rsid w:val="0082142B"/>
    <w:rsid w:val="00821532"/>
    <w:rsid w:val="00821C0D"/>
    <w:rsid w:val="008227BD"/>
    <w:rsid w:val="0082364B"/>
    <w:rsid w:val="0082396B"/>
    <w:rsid w:val="00823D48"/>
    <w:rsid w:val="008242F8"/>
    <w:rsid w:val="00824D85"/>
    <w:rsid w:val="0082522D"/>
    <w:rsid w:val="008253F9"/>
    <w:rsid w:val="0082568F"/>
    <w:rsid w:val="00825AAE"/>
    <w:rsid w:val="00825E26"/>
    <w:rsid w:val="00826569"/>
    <w:rsid w:val="00826678"/>
    <w:rsid w:val="00827577"/>
    <w:rsid w:val="00827F26"/>
    <w:rsid w:val="0083017D"/>
    <w:rsid w:val="00831154"/>
    <w:rsid w:val="008311C5"/>
    <w:rsid w:val="008313CA"/>
    <w:rsid w:val="00832427"/>
    <w:rsid w:val="00832616"/>
    <w:rsid w:val="00832868"/>
    <w:rsid w:val="0083297F"/>
    <w:rsid w:val="00832C52"/>
    <w:rsid w:val="00832F7D"/>
    <w:rsid w:val="008338FA"/>
    <w:rsid w:val="00833A86"/>
    <w:rsid w:val="00833BF0"/>
    <w:rsid w:val="00833F53"/>
    <w:rsid w:val="00834079"/>
    <w:rsid w:val="008340C1"/>
    <w:rsid w:val="00834D59"/>
    <w:rsid w:val="00834E2C"/>
    <w:rsid w:val="00835014"/>
    <w:rsid w:val="00835328"/>
    <w:rsid w:val="008366B8"/>
    <w:rsid w:val="00836ABA"/>
    <w:rsid w:val="00836C50"/>
    <w:rsid w:val="00836E03"/>
    <w:rsid w:val="008370C9"/>
    <w:rsid w:val="00837119"/>
    <w:rsid w:val="0083790E"/>
    <w:rsid w:val="00837E5D"/>
    <w:rsid w:val="00837F40"/>
    <w:rsid w:val="00840294"/>
    <w:rsid w:val="00840472"/>
    <w:rsid w:val="0084078A"/>
    <w:rsid w:val="00840963"/>
    <w:rsid w:val="00840AAD"/>
    <w:rsid w:val="00840D2A"/>
    <w:rsid w:val="00840DAF"/>
    <w:rsid w:val="00840E17"/>
    <w:rsid w:val="00840E6B"/>
    <w:rsid w:val="0084151D"/>
    <w:rsid w:val="00841763"/>
    <w:rsid w:val="00841864"/>
    <w:rsid w:val="008419F7"/>
    <w:rsid w:val="00841E3F"/>
    <w:rsid w:val="00841EE2"/>
    <w:rsid w:val="00841FFA"/>
    <w:rsid w:val="0084243E"/>
    <w:rsid w:val="00842BEE"/>
    <w:rsid w:val="00842E8F"/>
    <w:rsid w:val="008431A6"/>
    <w:rsid w:val="00843308"/>
    <w:rsid w:val="0084368B"/>
    <w:rsid w:val="0084369B"/>
    <w:rsid w:val="0084413A"/>
    <w:rsid w:val="00844264"/>
    <w:rsid w:val="008443E4"/>
    <w:rsid w:val="00844D15"/>
    <w:rsid w:val="00844DA9"/>
    <w:rsid w:val="00844F8D"/>
    <w:rsid w:val="008450D6"/>
    <w:rsid w:val="00846044"/>
    <w:rsid w:val="00846C2C"/>
    <w:rsid w:val="00846E7C"/>
    <w:rsid w:val="00847138"/>
    <w:rsid w:val="00847333"/>
    <w:rsid w:val="0084734B"/>
    <w:rsid w:val="00847366"/>
    <w:rsid w:val="00847BC8"/>
    <w:rsid w:val="00847FCB"/>
    <w:rsid w:val="008502CB"/>
    <w:rsid w:val="00850E57"/>
    <w:rsid w:val="00850F95"/>
    <w:rsid w:val="0085119E"/>
    <w:rsid w:val="00851FF1"/>
    <w:rsid w:val="00852100"/>
    <w:rsid w:val="008523CC"/>
    <w:rsid w:val="00852779"/>
    <w:rsid w:val="0085285A"/>
    <w:rsid w:val="0085306C"/>
    <w:rsid w:val="008530B4"/>
    <w:rsid w:val="00853176"/>
    <w:rsid w:val="008535C1"/>
    <w:rsid w:val="008535CD"/>
    <w:rsid w:val="008538D8"/>
    <w:rsid w:val="00853AC7"/>
    <w:rsid w:val="00853C77"/>
    <w:rsid w:val="00853EC6"/>
    <w:rsid w:val="00854149"/>
    <w:rsid w:val="0085418C"/>
    <w:rsid w:val="008548F0"/>
    <w:rsid w:val="00854DF8"/>
    <w:rsid w:val="00855323"/>
    <w:rsid w:val="0085557C"/>
    <w:rsid w:val="008559CA"/>
    <w:rsid w:val="008563F4"/>
    <w:rsid w:val="00856F3B"/>
    <w:rsid w:val="008570ED"/>
    <w:rsid w:val="008572FB"/>
    <w:rsid w:val="008573B3"/>
    <w:rsid w:val="00857767"/>
    <w:rsid w:val="00857E7D"/>
    <w:rsid w:val="00860292"/>
    <w:rsid w:val="008603D8"/>
    <w:rsid w:val="00860477"/>
    <w:rsid w:val="008608B4"/>
    <w:rsid w:val="008609BC"/>
    <w:rsid w:val="00860E95"/>
    <w:rsid w:val="00861655"/>
    <w:rsid w:val="00861866"/>
    <w:rsid w:val="00861A31"/>
    <w:rsid w:val="00861C86"/>
    <w:rsid w:val="00862148"/>
    <w:rsid w:val="008622AC"/>
    <w:rsid w:val="00863866"/>
    <w:rsid w:val="00863D55"/>
    <w:rsid w:val="00863E01"/>
    <w:rsid w:val="00863F73"/>
    <w:rsid w:val="008640F3"/>
    <w:rsid w:val="00864121"/>
    <w:rsid w:val="0086448C"/>
    <w:rsid w:val="008647A6"/>
    <w:rsid w:val="00864CD0"/>
    <w:rsid w:val="00865202"/>
    <w:rsid w:val="008654BD"/>
    <w:rsid w:val="00865DFB"/>
    <w:rsid w:val="00865E5B"/>
    <w:rsid w:val="00865FDB"/>
    <w:rsid w:val="008660D7"/>
    <w:rsid w:val="00866107"/>
    <w:rsid w:val="008667C8"/>
    <w:rsid w:val="00866845"/>
    <w:rsid w:val="00866C75"/>
    <w:rsid w:val="00867412"/>
    <w:rsid w:val="0086753E"/>
    <w:rsid w:val="00867948"/>
    <w:rsid w:val="00867A14"/>
    <w:rsid w:val="00867AD1"/>
    <w:rsid w:val="00867F7D"/>
    <w:rsid w:val="00870195"/>
    <w:rsid w:val="0087024B"/>
    <w:rsid w:val="00870A81"/>
    <w:rsid w:val="00870EB5"/>
    <w:rsid w:val="00871000"/>
    <w:rsid w:val="00871146"/>
    <w:rsid w:val="008713D3"/>
    <w:rsid w:val="0087155E"/>
    <w:rsid w:val="00871595"/>
    <w:rsid w:val="00871C12"/>
    <w:rsid w:val="00871DEF"/>
    <w:rsid w:val="00871FA0"/>
    <w:rsid w:val="0087277E"/>
    <w:rsid w:val="008728EC"/>
    <w:rsid w:val="00872A01"/>
    <w:rsid w:val="008730E5"/>
    <w:rsid w:val="008735EB"/>
    <w:rsid w:val="00873954"/>
    <w:rsid w:val="00873F65"/>
    <w:rsid w:val="00874A80"/>
    <w:rsid w:val="0087501B"/>
    <w:rsid w:val="00875102"/>
    <w:rsid w:val="00875799"/>
    <w:rsid w:val="00875B23"/>
    <w:rsid w:val="00875B95"/>
    <w:rsid w:val="00875E4D"/>
    <w:rsid w:val="0087653D"/>
    <w:rsid w:val="0087654B"/>
    <w:rsid w:val="0087735A"/>
    <w:rsid w:val="008773E2"/>
    <w:rsid w:val="00880A7F"/>
    <w:rsid w:val="00880AB4"/>
    <w:rsid w:val="00880EA4"/>
    <w:rsid w:val="00880EEA"/>
    <w:rsid w:val="00880FF7"/>
    <w:rsid w:val="00881058"/>
    <w:rsid w:val="008810C2"/>
    <w:rsid w:val="00881428"/>
    <w:rsid w:val="00881592"/>
    <w:rsid w:val="00881650"/>
    <w:rsid w:val="00881777"/>
    <w:rsid w:val="00882385"/>
    <w:rsid w:val="00882BB8"/>
    <w:rsid w:val="008839A6"/>
    <w:rsid w:val="00883BA8"/>
    <w:rsid w:val="00883CDE"/>
    <w:rsid w:val="00883F92"/>
    <w:rsid w:val="00883FC1"/>
    <w:rsid w:val="00884583"/>
    <w:rsid w:val="008846FF"/>
    <w:rsid w:val="00884BDE"/>
    <w:rsid w:val="00884C0C"/>
    <w:rsid w:val="008850CD"/>
    <w:rsid w:val="008852E1"/>
    <w:rsid w:val="0088531B"/>
    <w:rsid w:val="00885B98"/>
    <w:rsid w:val="00885F5A"/>
    <w:rsid w:val="0088665B"/>
    <w:rsid w:val="008866A3"/>
    <w:rsid w:val="0088698A"/>
    <w:rsid w:val="008901DC"/>
    <w:rsid w:val="00891720"/>
    <w:rsid w:val="00891E01"/>
    <w:rsid w:val="008922B5"/>
    <w:rsid w:val="00892525"/>
    <w:rsid w:val="00892CFF"/>
    <w:rsid w:val="00893524"/>
    <w:rsid w:val="00893A13"/>
    <w:rsid w:val="00893F8B"/>
    <w:rsid w:val="008944A6"/>
    <w:rsid w:val="00894590"/>
    <w:rsid w:val="0089469E"/>
    <w:rsid w:val="008949FE"/>
    <w:rsid w:val="00894AFE"/>
    <w:rsid w:val="00895249"/>
    <w:rsid w:val="00895D91"/>
    <w:rsid w:val="008963FF"/>
    <w:rsid w:val="00896817"/>
    <w:rsid w:val="008968CF"/>
    <w:rsid w:val="00896B1A"/>
    <w:rsid w:val="00896C99"/>
    <w:rsid w:val="00896CE1"/>
    <w:rsid w:val="00897193"/>
    <w:rsid w:val="008974B8"/>
    <w:rsid w:val="00897CF4"/>
    <w:rsid w:val="00897D36"/>
    <w:rsid w:val="008A0ABD"/>
    <w:rsid w:val="008A1CC5"/>
    <w:rsid w:val="008A219C"/>
    <w:rsid w:val="008A23B4"/>
    <w:rsid w:val="008A257B"/>
    <w:rsid w:val="008A292F"/>
    <w:rsid w:val="008A2B75"/>
    <w:rsid w:val="008A2CB8"/>
    <w:rsid w:val="008A3118"/>
    <w:rsid w:val="008A3223"/>
    <w:rsid w:val="008A3348"/>
    <w:rsid w:val="008A34B2"/>
    <w:rsid w:val="008A3C25"/>
    <w:rsid w:val="008A3F58"/>
    <w:rsid w:val="008A4104"/>
    <w:rsid w:val="008A4A46"/>
    <w:rsid w:val="008A5BD1"/>
    <w:rsid w:val="008A6843"/>
    <w:rsid w:val="008A6CFC"/>
    <w:rsid w:val="008A7925"/>
    <w:rsid w:val="008A7CFD"/>
    <w:rsid w:val="008B0035"/>
    <w:rsid w:val="008B070E"/>
    <w:rsid w:val="008B1084"/>
    <w:rsid w:val="008B1147"/>
    <w:rsid w:val="008B1663"/>
    <w:rsid w:val="008B1846"/>
    <w:rsid w:val="008B1F30"/>
    <w:rsid w:val="008B219E"/>
    <w:rsid w:val="008B2C2A"/>
    <w:rsid w:val="008B304E"/>
    <w:rsid w:val="008B30F4"/>
    <w:rsid w:val="008B3449"/>
    <w:rsid w:val="008B3CA1"/>
    <w:rsid w:val="008B3E6A"/>
    <w:rsid w:val="008B4182"/>
    <w:rsid w:val="008B42AE"/>
    <w:rsid w:val="008B4EB3"/>
    <w:rsid w:val="008B537B"/>
    <w:rsid w:val="008B56BE"/>
    <w:rsid w:val="008B5B02"/>
    <w:rsid w:val="008B5BD3"/>
    <w:rsid w:val="008B5DD2"/>
    <w:rsid w:val="008B6450"/>
    <w:rsid w:val="008B675C"/>
    <w:rsid w:val="008B6778"/>
    <w:rsid w:val="008B6A00"/>
    <w:rsid w:val="008B7182"/>
    <w:rsid w:val="008B7289"/>
    <w:rsid w:val="008B7A23"/>
    <w:rsid w:val="008B7D5E"/>
    <w:rsid w:val="008C0517"/>
    <w:rsid w:val="008C060B"/>
    <w:rsid w:val="008C084E"/>
    <w:rsid w:val="008C09BA"/>
    <w:rsid w:val="008C09D5"/>
    <w:rsid w:val="008C09FB"/>
    <w:rsid w:val="008C0F1B"/>
    <w:rsid w:val="008C116B"/>
    <w:rsid w:val="008C1201"/>
    <w:rsid w:val="008C1281"/>
    <w:rsid w:val="008C1384"/>
    <w:rsid w:val="008C13C4"/>
    <w:rsid w:val="008C163D"/>
    <w:rsid w:val="008C1C15"/>
    <w:rsid w:val="008C1FC7"/>
    <w:rsid w:val="008C220A"/>
    <w:rsid w:val="008C2861"/>
    <w:rsid w:val="008C29C2"/>
    <w:rsid w:val="008C2F67"/>
    <w:rsid w:val="008C3285"/>
    <w:rsid w:val="008C3C38"/>
    <w:rsid w:val="008C3E77"/>
    <w:rsid w:val="008C4153"/>
    <w:rsid w:val="008C420D"/>
    <w:rsid w:val="008C43A3"/>
    <w:rsid w:val="008C4453"/>
    <w:rsid w:val="008C51C0"/>
    <w:rsid w:val="008C535E"/>
    <w:rsid w:val="008C5BA6"/>
    <w:rsid w:val="008C5F95"/>
    <w:rsid w:val="008C6C2D"/>
    <w:rsid w:val="008C6E3E"/>
    <w:rsid w:val="008C7114"/>
    <w:rsid w:val="008C7548"/>
    <w:rsid w:val="008C7A22"/>
    <w:rsid w:val="008C7DB2"/>
    <w:rsid w:val="008C7F79"/>
    <w:rsid w:val="008D0577"/>
    <w:rsid w:val="008D0664"/>
    <w:rsid w:val="008D06EB"/>
    <w:rsid w:val="008D0BAF"/>
    <w:rsid w:val="008D11A5"/>
    <w:rsid w:val="008D12A4"/>
    <w:rsid w:val="008D13C6"/>
    <w:rsid w:val="008D1491"/>
    <w:rsid w:val="008D1911"/>
    <w:rsid w:val="008D1D6F"/>
    <w:rsid w:val="008D2160"/>
    <w:rsid w:val="008D2D99"/>
    <w:rsid w:val="008D2DB4"/>
    <w:rsid w:val="008D2E1F"/>
    <w:rsid w:val="008D310B"/>
    <w:rsid w:val="008D311A"/>
    <w:rsid w:val="008D326E"/>
    <w:rsid w:val="008D34BC"/>
    <w:rsid w:val="008D36C1"/>
    <w:rsid w:val="008D39A4"/>
    <w:rsid w:val="008D3C88"/>
    <w:rsid w:val="008D3F5C"/>
    <w:rsid w:val="008D41F8"/>
    <w:rsid w:val="008D481B"/>
    <w:rsid w:val="008D4A85"/>
    <w:rsid w:val="008D5466"/>
    <w:rsid w:val="008D69E8"/>
    <w:rsid w:val="008D6C75"/>
    <w:rsid w:val="008D70C0"/>
    <w:rsid w:val="008D74F1"/>
    <w:rsid w:val="008D79C9"/>
    <w:rsid w:val="008E012B"/>
    <w:rsid w:val="008E0145"/>
    <w:rsid w:val="008E0198"/>
    <w:rsid w:val="008E06F1"/>
    <w:rsid w:val="008E08E0"/>
    <w:rsid w:val="008E08EE"/>
    <w:rsid w:val="008E0F44"/>
    <w:rsid w:val="008E1397"/>
    <w:rsid w:val="008E2A63"/>
    <w:rsid w:val="008E3304"/>
    <w:rsid w:val="008E55AC"/>
    <w:rsid w:val="008E5619"/>
    <w:rsid w:val="008E577A"/>
    <w:rsid w:val="008E57B9"/>
    <w:rsid w:val="008E5DA1"/>
    <w:rsid w:val="008E5F8F"/>
    <w:rsid w:val="008E619F"/>
    <w:rsid w:val="008E6304"/>
    <w:rsid w:val="008E6539"/>
    <w:rsid w:val="008E679A"/>
    <w:rsid w:val="008E6841"/>
    <w:rsid w:val="008E701E"/>
    <w:rsid w:val="008E74B6"/>
    <w:rsid w:val="008E7978"/>
    <w:rsid w:val="008E7B6C"/>
    <w:rsid w:val="008E7C53"/>
    <w:rsid w:val="008F0117"/>
    <w:rsid w:val="008F0221"/>
    <w:rsid w:val="008F0760"/>
    <w:rsid w:val="008F0E38"/>
    <w:rsid w:val="008F1844"/>
    <w:rsid w:val="008F1B3D"/>
    <w:rsid w:val="008F1E37"/>
    <w:rsid w:val="008F1ED3"/>
    <w:rsid w:val="008F25B5"/>
    <w:rsid w:val="008F26AE"/>
    <w:rsid w:val="008F26EB"/>
    <w:rsid w:val="008F2847"/>
    <w:rsid w:val="008F29A8"/>
    <w:rsid w:val="008F2B21"/>
    <w:rsid w:val="008F2BF7"/>
    <w:rsid w:val="008F2CE6"/>
    <w:rsid w:val="008F3104"/>
    <w:rsid w:val="008F33ED"/>
    <w:rsid w:val="008F34A6"/>
    <w:rsid w:val="008F373E"/>
    <w:rsid w:val="008F3764"/>
    <w:rsid w:val="008F4669"/>
    <w:rsid w:val="008F4674"/>
    <w:rsid w:val="008F467A"/>
    <w:rsid w:val="008F46F4"/>
    <w:rsid w:val="008F47A0"/>
    <w:rsid w:val="008F4D73"/>
    <w:rsid w:val="008F571C"/>
    <w:rsid w:val="008F5CBA"/>
    <w:rsid w:val="008F683C"/>
    <w:rsid w:val="008F6CE1"/>
    <w:rsid w:val="008F6DD3"/>
    <w:rsid w:val="008F7009"/>
    <w:rsid w:val="008F7118"/>
    <w:rsid w:val="009000E0"/>
    <w:rsid w:val="009002F1"/>
    <w:rsid w:val="00900D89"/>
    <w:rsid w:val="00900FB6"/>
    <w:rsid w:val="00901095"/>
    <w:rsid w:val="00901C0B"/>
    <w:rsid w:val="00902713"/>
    <w:rsid w:val="009030AB"/>
    <w:rsid w:val="00903704"/>
    <w:rsid w:val="00903E09"/>
    <w:rsid w:val="00904088"/>
    <w:rsid w:val="009041C1"/>
    <w:rsid w:val="0090466F"/>
    <w:rsid w:val="009046CC"/>
    <w:rsid w:val="009049B1"/>
    <w:rsid w:val="00904C43"/>
    <w:rsid w:val="00904D65"/>
    <w:rsid w:val="009050A9"/>
    <w:rsid w:val="00905960"/>
    <w:rsid w:val="00905A6A"/>
    <w:rsid w:val="009064C8"/>
    <w:rsid w:val="00906602"/>
    <w:rsid w:val="009070CA"/>
    <w:rsid w:val="009077B2"/>
    <w:rsid w:val="0090786B"/>
    <w:rsid w:val="0090797D"/>
    <w:rsid w:val="00907AD7"/>
    <w:rsid w:val="00907CCE"/>
    <w:rsid w:val="00907D17"/>
    <w:rsid w:val="009100B0"/>
    <w:rsid w:val="00910647"/>
    <w:rsid w:val="009107D4"/>
    <w:rsid w:val="00910889"/>
    <w:rsid w:val="00910AC7"/>
    <w:rsid w:val="00910CE0"/>
    <w:rsid w:val="0091145E"/>
    <w:rsid w:val="00911842"/>
    <w:rsid w:val="00911D4B"/>
    <w:rsid w:val="009124E2"/>
    <w:rsid w:val="00912638"/>
    <w:rsid w:val="009136A9"/>
    <w:rsid w:val="00913A8C"/>
    <w:rsid w:val="00913E83"/>
    <w:rsid w:val="00913F4A"/>
    <w:rsid w:val="0091422F"/>
    <w:rsid w:val="0091436C"/>
    <w:rsid w:val="00914A8D"/>
    <w:rsid w:val="00914F40"/>
    <w:rsid w:val="00915094"/>
    <w:rsid w:val="00915171"/>
    <w:rsid w:val="009161D5"/>
    <w:rsid w:val="009163A5"/>
    <w:rsid w:val="0091655D"/>
    <w:rsid w:val="0091675E"/>
    <w:rsid w:val="00916900"/>
    <w:rsid w:val="00916DE6"/>
    <w:rsid w:val="00917016"/>
    <w:rsid w:val="00917233"/>
    <w:rsid w:val="0091739E"/>
    <w:rsid w:val="009174FD"/>
    <w:rsid w:val="009179F6"/>
    <w:rsid w:val="00920216"/>
    <w:rsid w:val="009204CE"/>
    <w:rsid w:val="00920C21"/>
    <w:rsid w:val="00921053"/>
    <w:rsid w:val="00921273"/>
    <w:rsid w:val="009214BC"/>
    <w:rsid w:val="0092154E"/>
    <w:rsid w:val="009215F3"/>
    <w:rsid w:val="00921E3F"/>
    <w:rsid w:val="009223E9"/>
    <w:rsid w:val="009229E4"/>
    <w:rsid w:val="00923006"/>
    <w:rsid w:val="00923026"/>
    <w:rsid w:val="009233C0"/>
    <w:rsid w:val="00923A44"/>
    <w:rsid w:val="00923F77"/>
    <w:rsid w:val="009240AB"/>
    <w:rsid w:val="00924DCA"/>
    <w:rsid w:val="009251DF"/>
    <w:rsid w:val="009255C5"/>
    <w:rsid w:val="009257BD"/>
    <w:rsid w:val="00925837"/>
    <w:rsid w:val="00925849"/>
    <w:rsid w:val="0092602D"/>
    <w:rsid w:val="009264CC"/>
    <w:rsid w:val="009268EF"/>
    <w:rsid w:val="00926B73"/>
    <w:rsid w:val="00926C0B"/>
    <w:rsid w:val="00926C8C"/>
    <w:rsid w:val="00927164"/>
    <w:rsid w:val="0093044E"/>
    <w:rsid w:val="0093095B"/>
    <w:rsid w:val="00930EF8"/>
    <w:rsid w:val="009317A7"/>
    <w:rsid w:val="00931B65"/>
    <w:rsid w:val="00931EB2"/>
    <w:rsid w:val="00931F19"/>
    <w:rsid w:val="0093270D"/>
    <w:rsid w:val="00932FEB"/>
    <w:rsid w:val="00933162"/>
    <w:rsid w:val="00933F97"/>
    <w:rsid w:val="0093409A"/>
    <w:rsid w:val="0093466D"/>
    <w:rsid w:val="00934926"/>
    <w:rsid w:val="00934934"/>
    <w:rsid w:val="00934A0A"/>
    <w:rsid w:val="00934B39"/>
    <w:rsid w:val="00934B5A"/>
    <w:rsid w:val="00935056"/>
    <w:rsid w:val="0093531F"/>
    <w:rsid w:val="00935974"/>
    <w:rsid w:val="009359CB"/>
    <w:rsid w:val="0093627A"/>
    <w:rsid w:val="009362D1"/>
    <w:rsid w:val="009368ED"/>
    <w:rsid w:val="00936BAB"/>
    <w:rsid w:val="00936C87"/>
    <w:rsid w:val="00937077"/>
    <w:rsid w:val="0093716E"/>
    <w:rsid w:val="00937256"/>
    <w:rsid w:val="0093726A"/>
    <w:rsid w:val="009372C3"/>
    <w:rsid w:val="009373F7"/>
    <w:rsid w:val="00937491"/>
    <w:rsid w:val="009376C9"/>
    <w:rsid w:val="009378FD"/>
    <w:rsid w:val="00940272"/>
    <w:rsid w:val="00940425"/>
    <w:rsid w:val="0094089C"/>
    <w:rsid w:val="00940A31"/>
    <w:rsid w:val="00940BA6"/>
    <w:rsid w:val="00941086"/>
    <w:rsid w:val="009411F9"/>
    <w:rsid w:val="009412DB"/>
    <w:rsid w:val="00941EE2"/>
    <w:rsid w:val="00941F09"/>
    <w:rsid w:val="009424EA"/>
    <w:rsid w:val="0094283A"/>
    <w:rsid w:val="00942BC8"/>
    <w:rsid w:val="009432D9"/>
    <w:rsid w:val="00944633"/>
    <w:rsid w:val="00944979"/>
    <w:rsid w:val="009449E6"/>
    <w:rsid w:val="00944A3A"/>
    <w:rsid w:val="009451B7"/>
    <w:rsid w:val="00945B3B"/>
    <w:rsid w:val="00946642"/>
    <w:rsid w:val="00946E3D"/>
    <w:rsid w:val="0094743F"/>
    <w:rsid w:val="00947962"/>
    <w:rsid w:val="00947E8A"/>
    <w:rsid w:val="0095007D"/>
    <w:rsid w:val="00950611"/>
    <w:rsid w:val="00950748"/>
    <w:rsid w:val="00950886"/>
    <w:rsid w:val="00950905"/>
    <w:rsid w:val="00951259"/>
    <w:rsid w:val="00951432"/>
    <w:rsid w:val="00952266"/>
    <w:rsid w:val="0095234B"/>
    <w:rsid w:val="009530D9"/>
    <w:rsid w:val="00953329"/>
    <w:rsid w:val="009536E2"/>
    <w:rsid w:val="00953FB2"/>
    <w:rsid w:val="009542A1"/>
    <w:rsid w:val="0095449F"/>
    <w:rsid w:val="00954651"/>
    <w:rsid w:val="009548A8"/>
    <w:rsid w:val="009549A1"/>
    <w:rsid w:val="00954AD2"/>
    <w:rsid w:val="00954DE5"/>
    <w:rsid w:val="0095511F"/>
    <w:rsid w:val="00955453"/>
    <w:rsid w:val="009558E6"/>
    <w:rsid w:val="00955C85"/>
    <w:rsid w:val="00956621"/>
    <w:rsid w:val="0095739F"/>
    <w:rsid w:val="00957A3E"/>
    <w:rsid w:val="00957EBD"/>
    <w:rsid w:val="00960BE7"/>
    <w:rsid w:val="00960BFC"/>
    <w:rsid w:val="009612ED"/>
    <w:rsid w:val="00961369"/>
    <w:rsid w:val="00961519"/>
    <w:rsid w:val="009615D1"/>
    <w:rsid w:val="00961673"/>
    <w:rsid w:val="00961680"/>
    <w:rsid w:val="00961A3A"/>
    <w:rsid w:val="00961D18"/>
    <w:rsid w:val="00961F6C"/>
    <w:rsid w:val="00962371"/>
    <w:rsid w:val="00962397"/>
    <w:rsid w:val="00962611"/>
    <w:rsid w:val="009628B5"/>
    <w:rsid w:val="00962E22"/>
    <w:rsid w:val="0096312F"/>
    <w:rsid w:val="0096336A"/>
    <w:rsid w:val="0096351B"/>
    <w:rsid w:val="009636DB"/>
    <w:rsid w:val="00963CC6"/>
    <w:rsid w:val="0096400A"/>
    <w:rsid w:val="00964367"/>
    <w:rsid w:val="0096448B"/>
    <w:rsid w:val="00964732"/>
    <w:rsid w:val="009647C3"/>
    <w:rsid w:val="0096489F"/>
    <w:rsid w:val="00964906"/>
    <w:rsid w:val="00964E60"/>
    <w:rsid w:val="00965476"/>
    <w:rsid w:val="00966171"/>
    <w:rsid w:val="009662CD"/>
    <w:rsid w:val="00966351"/>
    <w:rsid w:val="00966918"/>
    <w:rsid w:val="00966FF9"/>
    <w:rsid w:val="00967455"/>
    <w:rsid w:val="00967768"/>
    <w:rsid w:val="00967B31"/>
    <w:rsid w:val="00967C15"/>
    <w:rsid w:val="00967EC1"/>
    <w:rsid w:val="00967F10"/>
    <w:rsid w:val="00967F7F"/>
    <w:rsid w:val="00970063"/>
    <w:rsid w:val="00970735"/>
    <w:rsid w:val="0097083E"/>
    <w:rsid w:val="0097085A"/>
    <w:rsid w:val="00970DCD"/>
    <w:rsid w:val="00971488"/>
    <w:rsid w:val="0097201F"/>
    <w:rsid w:val="00972029"/>
    <w:rsid w:val="009723F8"/>
    <w:rsid w:val="00972B6D"/>
    <w:rsid w:val="009730F5"/>
    <w:rsid w:val="0097339F"/>
    <w:rsid w:val="0097410F"/>
    <w:rsid w:val="00974C9C"/>
    <w:rsid w:val="00975847"/>
    <w:rsid w:val="00975E07"/>
    <w:rsid w:val="00975FC5"/>
    <w:rsid w:val="00976FFF"/>
    <w:rsid w:val="009770F1"/>
    <w:rsid w:val="0097727C"/>
    <w:rsid w:val="00977750"/>
    <w:rsid w:val="0097789F"/>
    <w:rsid w:val="00977D98"/>
    <w:rsid w:val="00977DE2"/>
    <w:rsid w:val="00977E94"/>
    <w:rsid w:val="00980554"/>
    <w:rsid w:val="0098098A"/>
    <w:rsid w:val="0098113F"/>
    <w:rsid w:val="009812F6"/>
    <w:rsid w:val="00981E4B"/>
    <w:rsid w:val="0098223E"/>
    <w:rsid w:val="00982666"/>
    <w:rsid w:val="00982864"/>
    <w:rsid w:val="00982B18"/>
    <w:rsid w:val="00982B7B"/>
    <w:rsid w:val="00982B80"/>
    <w:rsid w:val="00983E98"/>
    <w:rsid w:val="00983FA7"/>
    <w:rsid w:val="009840D8"/>
    <w:rsid w:val="0098417E"/>
    <w:rsid w:val="009845F7"/>
    <w:rsid w:val="009848A7"/>
    <w:rsid w:val="00984C3D"/>
    <w:rsid w:val="009852FB"/>
    <w:rsid w:val="0098533C"/>
    <w:rsid w:val="00985622"/>
    <w:rsid w:val="00985F0D"/>
    <w:rsid w:val="00986126"/>
    <w:rsid w:val="009861E4"/>
    <w:rsid w:val="00986660"/>
    <w:rsid w:val="00986915"/>
    <w:rsid w:val="00986C23"/>
    <w:rsid w:val="00987264"/>
    <w:rsid w:val="00987D78"/>
    <w:rsid w:val="00990009"/>
    <w:rsid w:val="0099002E"/>
    <w:rsid w:val="00990596"/>
    <w:rsid w:val="00990D10"/>
    <w:rsid w:val="00991290"/>
    <w:rsid w:val="009913BE"/>
    <w:rsid w:val="00991752"/>
    <w:rsid w:val="009918BD"/>
    <w:rsid w:val="00991D6D"/>
    <w:rsid w:val="00991E8D"/>
    <w:rsid w:val="00993750"/>
    <w:rsid w:val="00993BFC"/>
    <w:rsid w:val="00993CDA"/>
    <w:rsid w:val="00993EBD"/>
    <w:rsid w:val="0099423D"/>
    <w:rsid w:val="009945C8"/>
    <w:rsid w:val="009945E6"/>
    <w:rsid w:val="00994AF5"/>
    <w:rsid w:val="009950F3"/>
    <w:rsid w:val="0099515B"/>
    <w:rsid w:val="00995257"/>
    <w:rsid w:val="0099564D"/>
    <w:rsid w:val="00996E89"/>
    <w:rsid w:val="009975D9"/>
    <w:rsid w:val="0099771B"/>
    <w:rsid w:val="00997FDC"/>
    <w:rsid w:val="009A016C"/>
    <w:rsid w:val="009A0843"/>
    <w:rsid w:val="009A08C6"/>
    <w:rsid w:val="009A114E"/>
    <w:rsid w:val="009A13D5"/>
    <w:rsid w:val="009A1CD3"/>
    <w:rsid w:val="009A23CB"/>
    <w:rsid w:val="009A26F2"/>
    <w:rsid w:val="009A2B51"/>
    <w:rsid w:val="009A32F5"/>
    <w:rsid w:val="009A3738"/>
    <w:rsid w:val="009A3950"/>
    <w:rsid w:val="009A3C27"/>
    <w:rsid w:val="009A3ECE"/>
    <w:rsid w:val="009A41AE"/>
    <w:rsid w:val="009A42F5"/>
    <w:rsid w:val="009A4538"/>
    <w:rsid w:val="009A4B03"/>
    <w:rsid w:val="009A4EAA"/>
    <w:rsid w:val="009A53AF"/>
    <w:rsid w:val="009A5430"/>
    <w:rsid w:val="009A5F53"/>
    <w:rsid w:val="009A62BC"/>
    <w:rsid w:val="009A64B0"/>
    <w:rsid w:val="009A656A"/>
    <w:rsid w:val="009A6819"/>
    <w:rsid w:val="009A6A1E"/>
    <w:rsid w:val="009A6A60"/>
    <w:rsid w:val="009A6F09"/>
    <w:rsid w:val="009A7188"/>
    <w:rsid w:val="009A726F"/>
    <w:rsid w:val="009A73FA"/>
    <w:rsid w:val="009A7505"/>
    <w:rsid w:val="009A76B8"/>
    <w:rsid w:val="009A7717"/>
    <w:rsid w:val="009A7F79"/>
    <w:rsid w:val="009B0718"/>
    <w:rsid w:val="009B0A22"/>
    <w:rsid w:val="009B0A5C"/>
    <w:rsid w:val="009B0C12"/>
    <w:rsid w:val="009B0C47"/>
    <w:rsid w:val="009B0F53"/>
    <w:rsid w:val="009B1F74"/>
    <w:rsid w:val="009B235C"/>
    <w:rsid w:val="009B2A7A"/>
    <w:rsid w:val="009B3334"/>
    <w:rsid w:val="009B3558"/>
    <w:rsid w:val="009B35A3"/>
    <w:rsid w:val="009B4996"/>
    <w:rsid w:val="009B49F6"/>
    <w:rsid w:val="009B4B26"/>
    <w:rsid w:val="009B4B38"/>
    <w:rsid w:val="009B4F48"/>
    <w:rsid w:val="009B58DD"/>
    <w:rsid w:val="009B5B39"/>
    <w:rsid w:val="009B658B"/>
    <w:rsid w:val="009B6D35"/>
    <w:rsid w:val="009B7907"/>
    <w:rsid w:val="009B7D54"/>
    <w:rsid w:val="009C0078"/>
    <w:rsid w:val="009C0191"/>
    <w:rsid w:val="009C0707"/>
    <w:rsid w:val="009C0A6C"/>
    <w:rsid w:val="009C0B0B"/>
    <w:rsid w:val="009C0C36"/>
    <w:rsid w:val="009C0D65"/>
    <w:rsid w:val="009C0FB4"/>
    <w:rsid w:val="009C1603"/>
    <w:rsid w:val="009C16CB"/>
    <w:rsid w:val="009C18FC"/>
    <w:rsid w:val="009C1A1D"/>
    <w:rsid w:val="009C2030"/>
    <w:rsid w:val="009C2337"/>
    <w:rsid w:val="009C28E3"/>
    <w:rsid w:val="009C30CC"/>
    <w:rsid w:val="009C38B9"/>
    <w:rsid w:val="009C38DA"/>
    <w:rsid w:val="009C4B45"/>
    <w:rsid w:val="009C4BF5"/>
    <w:rsid w:val="009C4D1D"/>
    <w:rsid w:val="009C4E4A"/>
    <w:rsid w:val="009C4EDC"/>
    <w:rsid w:val="009C52C5"/>
    <w:rsid w:val="009C52D9"/>
    <w:rsid w:val="009C5719"/>
    <w:rsid w:val="009C5B2A"/>
    <w:rsid w:val="009C5EFA"/>
    <w:rsid w:val="009C610D"/>
    <w:rsid w:val="009C63CD"/>
    <w:rsid w:val="009C6AF4"/>
    <w:rsid w:val="009C6D78"/>
    <w:rsid w:val="009C72A3"/>
    <w:rsid w:val="009C7B7D"/>
    <w:rsid w:val="009C7CB7"/>
    <w:rsid w:val="009C7E04"/>
    <w:rsid w:val="009D03E6"/>
    <w:rsid w:val="009D04B1"/>
    <w:rsid w:val="009D06FE"/>
    <w:rsid w:val="009D0934"/>
    <w:rsid w:val="009D0A47"/>
    <w:rsid w:val="009D172B"/>
    <w:rsid w:val="009D17CC"/>
    <w:rsid w:val="009D1AA8"/>
    <w:rsid w:val="009D1BDA"/>
    <w:rsid w:val="009D2E79"/>
    <w:rsid w:val="009D345B"/>
    <w:rsid w:val="009D369B"/>
    <w:rsid w:val="009D3A1F"/>
    <w:rsid w:val="009D3C6B"/>
    <w:rsid w:val="009D3D61"/>
    <w:rsid w:val="009D4B49"/>
    <w:rsid w:val="009D4DAC"/>
    <w:rsid w:val="009D54BA"/>
    <w:rsid w:val="009D56CA"/>
    <w:rsid w:val="009D58AC"/>
    <w:rsid w:val="009D604D"/>
    <w:rsid w:val="009D66A3"/>
    <w:rsid w:val="009D68CF"/>
    <w:rsid w:val="009D6AEA"/>
    <w:rsid w:val="009D6E0F"/>
    <w:rsid w:val="009D6F3E"/>
    <w:rsid w:val="009D7036"/>
    <w:rsid w:val="009D7371"/>
    <w:rsid w:val="009D74B1"/>
    <w:rsid w:val="009D753E"/>
    <w:rsid w:val="009D7C32"/>
    <w:rsid w:val="009D7CD8"/>
    <w:rsid w:val="009E028C"/>
    <w:rsid w:val="009E0382"/>
    <w:rsid w:val="009E09E2"/>
    <w:rsid w:val="009E0C8E"/>
    <w:rsid w:val="009E11A7"/>
    <w:rsid w:val="009E12E5"/>
    <w:rsid w:val="009E1548"/>
    <w:rsid w:val="009E1CC3"/>
    <w:rsid w:val="009E202F"/>
    <w:rsid w:val="009E20CA"/>
    <w:rsid w:val="009E23D6"/>
    <w:rsid w:val="009E23DD"/>
    <w:rsid w:val="009E243D"/>
    <w:rsid w:val="009E2718"/>
    <w:rsid w:val="009E281C"/>
    <w:rsid w:val="009E2C2D"/>
    <w:rsid w:val="009E2F5B"/>
    <w:rsid w:val="009E375B"/>
    <w:rsid w:val="009E41B4"/>
    <w:rsid w:val="009E427C"/>
    <w:rsid w:val="009E4459"/>
    <w:rsid w:val="009E48C2"/>
    <w:rsid w:val="009E4DB1"/>
    <w:rsid w:val="009E53C9"/>
    <w:rsid w:val="009E5641"/>
    <w:rsid w:val="009E5882"/>
    <w:rsid w:val="009E5A0D"/>
    <w:rsid w:val="009E5A31"/>
    <w:rsid w:val="009E5C41"/>
    <w:rsid w:val="009E5F6D"/>
    <w:rsid w:val="009E6E60"/>
    <w:rsid w:val="009E706E"/>
    <w:rsid w:val="009E738F"/>
    <w:rsid w:val="009E7701"/>
    <w:rsid w:val="009E7A2D"/>
    <w:rsid w:val="009E7B6F"/>
    <w:rsid w:val="009E7D52"/>
    <w:rsid w:val="009F005A"/>
    <w:rsid w:val="009F0168"/>
    <w:rsid w:val="009F0190"/>
    <w:rsid w:val="009F0519"/>
    <w:rsid w:val="009F0742"/>
    <w:rsid w:val="009F09E7"/>
    <w:rsid w:val="009F101B"/>
    <w:rsid w:val="009F1298"/>
    <w:rsid w:val="009F1A22"/>
    <w:rsid w:val="009F1C18"/>
    <w:rsid w:val="009F1C81"/>
    <w:rsid w:val="009F237B"/>
    <w:rsid w:val="009F2586"/>
    <w:rsid w:val="009F2C2A"/>
    <w:rsid w:val="009F2E54"/>
    <w:rsid w:val="009F3319"/>
    <w:rsid w:val="009F38F3"/>
    <w:rsid w:val="009F4090"/>
    <w:rsid w:val="009F440A"/>
    <w:rsid w:val="009F492E"/>
    <w:rsid w:val="009F4ACC"/>
    <w:rsid w:val="009F4B59"/>
    <w:rsid w:val="009F4F40"/>
    <w:rsid w:val="009F5373"/>
    <w:rsid w:val="009F542A"/>
    <w:rsid w:val="009F5729"/>
    <w:rsid w:val="009F5897"/>
    <w:rsid w:val="009F6108"/>
    <w:rsid w:val="009F655F"/>
    <w:rsid w:val="009F687E"/>
    <w:rsid w:val="009F6CE3"/>
    <w:rsid w:val="009F6CFE"/>
    <w:rsid w:val="009F6E9C"/>
    <w:rsid w:val="009F7048"/>
    <w:rsid w:val="009F72D1"/>
    <w:rsid w:val="009F766A"/>
    <w:rsid w:val="009F7753"/>
    <w:rsid w:val="009F7EB7"/>
    <w:rsid w:val="00A002E4"/>
    <w:rsid w:val="00A006AC"/>
    <w:rsid w:val="00A006C4"/>
    <w:rsid w:val="00A00835"/>
    <w:rsid w:val="00A014EB"/>
    <w:rsid w:val="00A02207"/>
    <w:rsid w:val="00A02740"/>
    <w:rsid w:val="00A028F3"/>
    <w:rsid w:val="00A02A63"/>
    <w:rsid w:val="00A038BA"/>
    <w:rsid w:val="00A03B35"/>
    <w:rsid w:val="00A04309"/>
    <w:rsid w:val="00A04A2F"/>
    <w:rsid w:val="00A04BF0"/>
    <w:rsid w:val="00A04F94"/>
    <w:rsid w:val="00A05663"/>
    <w:rsid w:val="00A057C0"/>
    <w:rsid w:val="00A05FCE"/>
    <w:rsid w:val="00A06355"/>
    <w:rsid w:val="00A068E9"/>
    <w:rsid w:val="00A06904"/>
    <w:rsid w:val="00A06D66"/>
    <w:rsid w:val="00A06E0D"/>
    <w:rsid w:val="00A07578"/>
    <w:rsid w:val="00A07966"/>
    <w:rsid w:val="00A07D23"/>
    <w:rsid w:val="00A07EDC"/>
    <w:rsid w:val="00A07F52"/>
    <w:rsid w:val="00A102E2"/>
    <w:rsid w:val="00A105FF"/>
    <w:rsid w:val="00A11C65"/>
    <w:rsid w:val="00A11C72"/>
    <w:rsid w:val="00A12527"/>
    <w:rsid w:val="00A12A8B"/>
    <w:rsid w:val="00A12EAE"/>
    <w:rsid w:val="00A12F4C"/>
    <w:rsid w:val="00A131DD"/>
    <w:rsid w:val="00A13347"/>
    <w:rsid w:val="00A13794"/>
    <w:rsid w:val="00A13FF1"/>
    <w:rsid w:val="00A14013"/>
    <w:rsid w:val="00A141FB"/>
    <w:rsid w:val="00A14396"/>
    <w:rsid w:val="00A1469A"/>
    <w:rsid w:val="00A148CF"/>
    <w:rsid w:val="00A148DE"/>
    <w:rsid w:val="00A14ACB"/>
    <w:rsid w:val="00A15285"/>
    <w:rsid w:val="00A1560D"/>
    <w:rsid w:val="00A1578F"/>
    <w:rsid w:val="00A15C84"/>
    <w:rsid w:val="00A15DE5"/>
    <w:rsid w:val="00A15FC4"/>
    <w:rsid w:val="00A15FCC"/>
    <w:rsid w:val="00A160DE"/>
    <w:rsid w:val="00A17780"/>
    <w:rsid w:val="00A1779A"/>
    <w:rsid w:val="00A17827"/>
    <w:rsid w:val="00A179B8"/>
    <w:rsid w:val="00A17AAB"/>
    <w:rsid w:val="00A17BE8"/>
    <w:rsid w:val="00A2054F"/>
    <w:rsid w:val="00A207C8"/>
    <w:rsid w:val="00A20E3E"/>
    <w:rsid w:val="00A212B4"/>
    <w:rsid w:val="00A21302"/>
    <w:rsid w:val="00A213F1"/>
    <w:rsid w:val="00A22568"/>
    <w:rsid w:val="00A2259A"/>
    <w:rsid w:val="00A22F5C"/>
    <w:rsid w:val="00A2335F"/>
    <w:rsid w:val="00A23652"/>
    <w:rsid w:val="00A23EF9"/>
    <w:rsid w:val="00A2410D"/>
    <w:rsid w:val="00A250C1"/>
    <w:rsid w:val="00A25657"/>
    <w:rsid w:val="00A258E0"/>
    <w:rsid w:val="00A25ACC"/>
    <w:rsid w:val="00A25B15"/>
    <w:rsid w:val="00A25BC0"/>
    <w:rsid w:val="00A25C04"/>
    <w:rsid w:val="00A25C17"/>
    <w:rsid w:val="00A26360"/>
    <w:rsid w:val="00A2646E"/>
    <w:rsid w:val="00A26E29"/>
    <w:rsid w:val="00A271B3"/>
    <w:rsid w:val="00A27C99"/>
    <w:rsid w:val="00A27E9E"/>
    <w:rsid w:val="00A30375"/>
    <w:rsid w:val="00A306FA"/>
    <w:rsid w:val="00A30F1C"/>
    <w:rsid w:val="00A329EF"/>
    <w:rsid w:val="00A32C2F"/>
    <w:rsid w:val="00A32E2D"/>
    <w:rsid w:val="00A32E4C"/>
    <w:rsid w:val="00A33156"/>
    <w:rsid w:val="00A3367E"/>
    <w:rsid w:val="00A33723"/>
    <w:rsid w:val="00A33895"/>
    <w:rsid w:val="00A33D44"/>
    <w:rsid w:val="00A33DA9"/>
    <w:rsid w:val="00A33F41"/>
    <w:rsid w:val="00A34272"/>
    <w:rsid w:val="00A34813"/>
    <w:rsid w:val="00A34FA1"/>
    <w:rsid w:val="00A35186"/>
    <w:rsid w:val="00A358A1"/>
    <w:rsid w:val="00A35DBF"/>
    <w:rsid w:val="00A35DCE"/>
    <w:rsid w:val="00A36498"/>
    <w:rsid w:val="00A36763"/>
    <w:rsid w:val="00A36812"/>
    <w:rsid w:val="00A373D6"/>
    <w:rsid w:val="00A374B9"/>
    <w:rsid w:val="00A37813"/>
    <w:rsid w:val="00A37D17"/>
    <w:rsid w:val="00A40196"/>
    <w:rsid w:val="00A406DE"/>
    <w:rsid w:val="00A40970"/>
    <w:rsid w:val="00A409AA"/>
    <w:rsid w:val="00A40E44"/>
    <w:rsid w:val="00A40F84"/>
    <w:rsid w:val="00A41E30"/>
    <w:rsid w:val="00A41F05"/>
    <w:rsid w:val="00A42438"/>
    <w:rsid w:val="00A4246E"/>
    <w:rsid w:val="00A4252B"/>
    <w:rsid w:val="00A42783"/>
    <w:rsid w:val="00A43091"/>
    <w:rsid w:val="00A43F84"/>
    <w:rsid w:val="00A4459B"/>
    <w:rsid w:val="00A44B7B"/>
    <w:rsid w:val="00A44E2B"/>
    <w:rsid w:val="00A44FEF"/>
    <w:rsid w:val="00A4529E"/>
    <w:rsid w:val="00A45741"/>
    <w:rsid w:val="00A458A1"/>
    <w:rsid w:val="00A45EB8"/>
    <w:rsid w:val="00A45EFD"/>
    <w:rsid w:val="00A45F1D"/>
    <w:rsid w:val="00A465EF"/>
    <w:rsid w:val="00A46E18"/>
    <w:rsid w:val="00A46E91"/>
    <w:rsid w:val="00A46EBA"/>
    <w:rsid w:val="00A47693"/>
    <w:rsid w:val="00A50438"/>
    <w:rsid w:val="00A507AD"/>
    <w:rsid w:val="00A5089A"/>
    <w:rsid w:val="00A50EC6"/>
    <w:rsid w:val="00A511E2"/>
    <w:rsid w:val="00A514AB"/>
    <w:rsid w:val="00A5153E"/>
    <w:rsid w:val="00A518E2"/>
    <w:rsid w:val="00A52023"/>
    <w:rsid w:val="00A5206F"/>
    <w:rsid w:val="00A5220E"/>
    <w:rsid w:val="00A5245A"/>
    <w:rsid w:val="00A52A4C"/>
    <w:rsid w:val="00A52A91"/>
    <w:rsid w:val="00A52C97"/>
    <w:rsid w:val="00A52CB5"/>
    <w:rsid w:val="00A5317A"/>
    <w:rsid w:val="00A5317D"/>
    <w:rsid w:val="00A53721"/>
    <w:rsid w:val="00A53848"/>
    <w:rsid w:val="00A53CA7"/>
    <w:rsid w:val="00A54098"/>
    <w:rsid w:val="00A5425C"/>
    <w:rsid w:val="00A54711"/>
    <w:rsid w:val="00A54BCE"/>
    <w:rsid w:val="00A54CEB"/>
    <w:rsid w:val="00A554C7"/>
    <w:rsid w:val="00A555BC"/>
    <w:rsid w:val="00A558E2"/>
    <w:rsid w:val="00A56044"/>
    <w:rsid w:val="00A564BF"/>
    <w:rsid w:val="00A56594"/>
    <w:rsid w:val="00A56A6D"/>
    <w:rsid w:val="00A56B51"/>
    <w:rsid w:val="00A56B5C"/>
    <w:rsid w:val="00A56F29"/>
    <w:rsid w:val="00A57014"/>
    <w:rsid w:val="00A57285"/>
    <w:rsid w:val="00A572CB"/>
    <w:rsid w:val="00A57430"/>
    <w:rsid w:val="00A576B2"/>
    <w:rsid w:val="00A5782A"/>
    <w:rsid w:val="00A579BF"/>
    <w:rsid w:val="00A57CD9"/>
    <w:rsid w:val="00A57FDC"/>
    <w:rsid w:val="00A60481"/>
    <w:rsid w:val="00A60704"/>
    <w:rsid w:val="00A607F8"/>
    <w:rsid w:val="00A60938"/>
    <w:rsid w:val="00A60A41"/>
    <w:rsid w:val="00A60FDD"/>
    <w:rsid w:val="00A610BD"/>
    <w:rsid w:val="00A6122B"/>
    <w:rsid w:val="00A61280"/>
    <w:rsid w:val="00A6130E"/>
    <w:rsid w:val="00A63389"/>
    <w:rsid w:val="00A638D1"/>
    <w:rsid w:val="00A63A28"/>
    <w:rsid w:val="00A63EEC"/>
    <w:rsid w:val="00A63F46"/>
    <w:rsid w:val="00A63F8C"/>
    <w:rsid w:val="00A6430F"/>
    <w:rsid w:val="00A64849"/>
    <w:rsid w:val="00A64984"/>
    <w:rsid w:val="00A64C8B"/>
    <w:rsid w:val="00A64FD7"/>
    <w:rsid w:val="00A6513D"/>
    <w:rsid w:val="00A65986"/>
    <w:rsid w:val="00A65F39"/>
    <w:rsid w:val="00A66125"/>
    <w:rsid w:val="00A66144"/>
    <w:rsid w:val="00A6619C"/>
    <w:rsid w:val="00A66610"/>
    <w:rsid w:val="00A66AF0"/>
    <w:rsid w:val="00A66F1A"/>
    <w:rsid w:val="00A67056"/>
    <w:rsid w:val="00A671B9"/>
    <w:rsid w:val="00A674ED"/>
    <w:rsid w:val="00A67866"/>
    <w:rsid w:val="00A67892"/>
    <w:rsid w:val="00A67997"/>
    <w:rsid w:val="00A70354"/>
    <w:rsid w:val="00A70480"/>
    <w:rsid w:val="00A705E1"/>
    <w:rsid w:val="00A706D4"/>
    <w:rsid w:val="00A706DA"/>
    <w:rsid w:val="00A708FB"/>
    <w:rsid w:val="00A70976"/>
    <w:rsid w:val="00A70D20"/>
    <w:rsid w:val="00A70ED6"/>
    <w:rsid w:val="00A70EE1"/>
    <w:rsid w:val="00A714DB"/>
    <w:rsid w:val="00A716A1"/>
    <w:rsid w:val="00A71C64"/>
    <w:rsid w:val="00A7201B"/>
    <w:rsid w:val="00A72027"/>
    <w:rsid w:val="00A72359"/>
    <w:rsid w:val="00A72C77"/>
    <w:rsid w:val="00A72D77"/>
    <w:rsid w:val="00A7320A"/>
    <w:rsid w:val="00A7338B"/>
    <w:rsid w:val="00A737EC"/>
    <w:rsid w:val="00A73A2B"/>
    <w:rsid w:val="00A73EA3"/>
    <w:rsid w:val="00A7440C"/>
    <w:rsid w:val="00A7441F"/>
    <w:rsid w:val="00A74516"/>
    <w:rsid w:val="00A748E6"/>
    <w:rsid w:val="00A74F71"/>
    <w:rsid w:val="00A74F8F"/>
    <w:rsid w:val="00A754A6"/>
    <w:rsid w:val="00A75513"/>
    <w:rsid w:val="00A758A6"/>
    <w:rsid w:val="00A75DDE"/>
    <w:rsid w:val="00A75F88"/>
    <w:rsid w:val="00A76360"/>
    <w:rsid w:val="00A763C6"/>
    <w:rsid w:val="00A7691D"/>
    <w:rsid w:val="00A76F9F"/>
    <w:rsid w:val="00A7738B"/>
    <w:rsid w:val="00A774CA"/>
    <w:rsid w:val="00A77946"/>
    <w:rsid w:val="00A77C29"/>
    <w:rsid w:val="00A77C41"/>
    <w:rsid w:val="00A77E87"/>
    <w:rsid w:val="00A77F3E"/>
    <w:rsid w:val="00A800F1"/>
    <w:rsid w:val="00A8021B"/>
    <w:rsid w:val="00A8094E"/>
    <w:rsid w:val="00A80D94"/>
    <w:rsid w:val="00A80F49"/>
    <w:rsid w:val="00A81628"/>
    <w:rsid w:val="00A818B3"/>
    <w:rsid w:val="00A81D1A"/>
    <w:rsid w:val="00A81FFD"/>
    <w:rsid w:val="00A823EA"/>
    <w:rsid w:val="00A82573"/>
    <w:rsid w:val="00A82682"/>
    <w:rsid w:val="00A829B7"/>
    <w:rsid w:val="00A82BD6"/>
    <w:rsid w:val="00A82D57"/>
    <w:rsid w:val="00A82DE6"/>
    <w:rsid w:val="00A82E7A"/>
    <w:rsid w:val="00A83465"/>
    <w:rsid w:val="00A83DB3"/>
    <w:rsid w:val="00A84468"/>
    <w:rsid w:val="00A84D99"/>
    <w:rsid w:val="00A85190"/>
    <w:rsid w:val="00A8525E"/>
    <w:rsid w:val="00A853B6"/>
    <w:rsid w:val="00A855EE"/>
    <w:rsid w:val="00A864F7"/>
    <w:rsid w:val="00A86AF2"/>
    <w:rsid w:val="00A8715F"/>
    <w:rsid w:val="00A87847"/>
    <w:rsid w:val="00A87E1A"/>
    <w:rsid w:val="00A90525"/>
    <w:rsid w:val="00A90779"/>
    <w:rsid w:val="00A90C5E"/>
    <w:rsid w:val="00A90EB8"/>
    <w:rsid w:val="00A917E7"/>
    <w:rsid w:val="00A92102"/>
    <w:rsid w:val="00A92189"/>
    <w:rsid w:val="00A925EF"/>
    <w:rsid w:val="00A9284A"/>
    <w:rsid w:val="00A92A21"/>
    <w:rsid w:val="00A92A60"/>
    <w:rsid w:val="00A92CD3"/>
    <w:rsid w:val="00A93CA7"/>
    <w:rsid w:val="00A93E25"/>
    <w:rsid w:val="00A940FA"/>
    <w:rsid w:val="00A945D3"/>
    <w:rsid w:val="00A948E3"/>
    <w:rsid w:val="00A94B52"/>
    <w:rsid w:val="00A952A7"/>
    <w:rsid w:val="00A96142"/>
    <w:rsid w:val="00A96571"/>
    <w:rsid w:val="00A9686F"/>
    <w:rsid w:val="00A96A7A"/>
    <w:rsid w:val="00A97613"/>
    <w:rsid w:val="00A976C9"/>
    <w:rsid w:val="00AA06DD"/>
    <w:rsid w:val="00AA0781"/>
    <w:rsid w:val="00AA0D16"/>
    <w:rsid w:val="00AA0E65"/>
    <w:rsid w:val="00AA1220"/>
    <w:rsid w:val="00AA1314"/>
    <w:rsid w:val="00AA155A"/>
    <w:rsid w:val="00AA1D5D"/>
    <w:rsid w:val="00AA1F7A"/>
    <w:rsid w:val="00AA21FA"/>
    <w:rsid w:val="00AA270F"/>
    <w:rsid w:val="00AA2AB2"/>
    <w:rsid w:val="00AA2B13"/>
    <w:rsid w:val="00AA2B4C"/>
    <w:rsid w:val="00AA2C66"/>
    <w:rsid w:val="00AA2F8F"/>
    <w:rsid w:val="00AA3CB3"/>
    <w:rsid w:val="00AA3DEF"/>
    <w:rsid w:val="00AA40EE"/>
    <w:rsid w:val="00AA42B2"/>
    <w:rsid w:val="00AA48ED"/>
    <w:rsid w:val="00AA4C6D"/>
    <w:rsid w:val="00AA5349"/>
    <w:rsid w:val="00AA54FC"/>
    <w:rsid w:val="00AA58EF"/>
    <w:rsid w:val="00AA59F2"/>
    <w:rsid w:val="00AA5E88"/>
    <w:rsid w:val="00AA604F"/>
    <w:rsid w:val="00AA71EF"/>
    <w:rsid w:val="00AA7669"/>
    <w:rsid w:val="00AA7BB3"/>
    <w:rsid w:val="00AA7E02"/>
    <w:rsid w:val="00AB018D"/>
    <w:rsid w:val="00AB0463"/>
    <w:rsid w:val="00AB055A"/>
    <w:rsid w:val="00AB0573"/>
    <w:rsid w:val="00AB09F9"/>
    <w:rsid w:val="00AB0C69"/>
    <w:rsid w:val="00AB0CF3"/>
    <w:rsid w:val="00AB0EE8"/>
    <w:rsid w:val="00AB1305"/>
    <w:rsid w:val="00AB15BB"/>
    <w:rsid w:val="00AB236C"/>
    <w:rsid w:val="00AB26D9"/>
    <w:rsid w:val="00AB27A9"/>
    <w:rsid w:val="00AB32E9"/>
    <w:rsid w:val="00AB39B0"/>
    <w:rsid w:val="00AB3AD4"/>
    <w:rsid w:val="00AB3B42"/>
    <w:rsid w:val="00AB3F4A"/>
    <w:rsid w:val="00AB4940"/>
    <w:rsid w:val="00AB4D55"/>
    <w:rsid w:val="00AB4F73"/>
    <w:rsid w:val="00AB5283"/>
    <w:rsid w:val="00AB569D"/>
    <w:rsid w:val="00AB5D70"/>
    <w:rsid w:val="00AB5ED2"/>
    <w:rsid w:val="00AB6889"/>
    <w:rsid w:val="00AB6C0B"/>
    <w:rsid w:val="00AB6EEB"/>
    <w:rsid w:val="00AB73E3"/>
    <w:rsid w:val="00AB7630"/>
    <w:rsid w:val="00AB7728"/>
    <w:rsid w:val="00AB7987"/>
    <w:rsid w:val="00AB7F4D"/>
    <w:rsid w:val="00AB7FE8"/>
    <w:rsid w:val="00AC0152"/>
    <w:rsid w:val="00AC0226"/>
    <w:rsid w:val="00AC03FB"/>
    <w:rsid w:val="00AC06C6"/>
    <w:rsid w:val="00AC097C"/>
    <w:rsid w:val="00AC1154"/>
    <w:rsid w:val="00AC1245"/>
    <w:rsid w:val="00AC192F"/>
    <w:rsid w:val="00AC23AE"/>
    <w:rsid w:val="00AC28BE"/>
    <w:rsid w:val="00AC2B6E"/>
    <w:rsid w:val="00AC32B5"/>
    <w:rsid w:val="00AC36C1"/>
    <w:rsid w:val="00AC4407"/>
    <w:rsid w:val="00AC48BC"/>
    <w:rsid w:val="00AC4B80"/>
    <w:rsid w:val="00AC4D81"/>
    <w:rsid w:val="00AC4F97"/>
    <w:rsid w:val="00AC5234"/>
    <w:rsid w:val="00AC528D"/>
    <w:rsid w:val="00AC53A8"/>
    <w:rsid w:val="00AC56C2"/>
    <w:rsid w:val="00AC57DE"/>
    <w:rsid w:val="00AC5D90"/>
    <w:rsid w:val="00AC6591"/>
    <w:rsid w:val="00AC666A"/>
    <w:rsid w:val="00AC67F8"/>
    <w:rsid w:val="00AC6879"/>
    <w:rsid w:val="00AC6D94"/>
    <w:rsid w:val="00AC7204"/>
    <w:rsid w:val="00AC75DE"/>
    <w:rsid w:val="00AC7B11"/>
    <w:rsid w:val="00AC7E15"/>
    <w:rsid w:val="00AC7FDF"/>
    <w:rsid w:val="00AD00A8"/>
    <w:rsid w:val="00AD00D1"/>
    <w:rsid w:val="00AD03B3"/>
    <w:rsid w:val="00AD0437"/>
    <w:rsid w:val="00AD0A93"/>
    <w:rsid w:val="00AD0DB2"/>
    <w:rsid w:val="00AD105A"/>
    <w:rsid w:val="00AD153A"/>
    <w:rsid w:val="00AD2123"/>
    <w:rsid w:val="00AD28F1"/>
    <w:rsid w:val="00AD2D8C"/>
    <w:rsid w:val="00AD32B1"/>
    <w:rsid w:val="00AD3894"/>
    <w:rsid w:val="00AD39A8"/>
    <w:rsid w:val="00AD3AC1"/>
    <w:rsid w:val="00AD3B18"/>
    <w:rsid w:val="00AD4017"/>
    <w:rsid w:val="00AD4178"/>
    <w:rsid w:val="00AD43FF"/>
    <w:rsid w:val="00AD4F4E"/>
    <w:rsid w:val="00AD55D5"/>
    <w:rsid w:val="00AD565E"/>
    <w:rsid w:val="00AD5727"/>
    <w:rsid w:val="00AD58AE"/>
    <w:rsid w:val="00AD6422"/>
    <w:rsid w:val="00AD652F"/>
    <w:rsid w:val="00AD68A3"/>
    <w:rsid w:val="00AD6EFB"/>
    <w:rsid w:val="00AD7637"/>
    <w:rsid w:val="00AD78D6"/>
    <w:rsid w:val="00AD7C65"/>
    <w:rsid w:val="00AE001F"/>
    <w:rsid w:val="00AE0771"/>
    <w:rsid w:val="00AE0D3F"/>
    <w:rsid w:val="00AE157B"/>
    <w:rsid w:val="00AE1627"/>
    <w:rsid w:val="00AE167B"/>
    <w:rsid w:val="00AE1C7D"/>
    <w:rsid w:val="00AE1E70"/>
    <w:rsid w:val="00AE20EC"/>
    <w:rsid w:val="00AE20FE"/>
    <w:rsid w:val="00AE21A8"/>
    <w:rsid w:val="00AE2B14"/>
    <w:rsid w:val="00AE2B7E"/>
    <w:rsid w:val="00AE2CE4"/>
    <w:rsid w:val="00AE2E2D"/>
    <w:rsid w:val="00AE369D"/>
    <w:rsid w:val="00AE379A"/>
    <w:rsid w:val="00AE380E"/>
    <w:rsid w:val="00AE3CAA"/>
    <w:rsid w:val="00AE3EA3"/>
    <w:rsid w:val="00AE4207"/>
    <w:rsid w:val="00AE448B"/>
    <w:rsid w:val="00AE4558"/>
    <w:rsid w:val="00AE4971"/>
    <w:rsid w:val="00AE49BD"/>
    <w:rsid w:val="00AE4CDA"/>
    <w:rsid w:val="00AE4E29"/>
    <w:rsid w:val="00AE5B1A"/>
    <w:rsid w:val="00AE5B9F"/>
    <w:rsid w:val="00AE647A"/>
    <w:rsid w:val="00AE6CCA"/>
    <w:rsid w:val="00AE7008"/>
    <w:rsid w:val="00AE74EB"/>
    <w:rsid w:val="00AE7585"/>
    <w:rsid w:val="00AE7692"/>
    <w:rsid w:val="00AE7CA8"/>
    <w:rsid w:val="00AE7EC9"/>
    <w:rsid w:val="00AF0526"/>
    <w:rsid w:val="00AF08B4"/>
    <w:rsid w:val="00AF0B75"/>
    <w:rsid w:val="00AF10CC"/>
    <w:rsid w:val="00AF1531"/>
    <w:rsid w:val="00AF1598"/>
    <w:rsid w:val="00AF15F3"/>
    <w:rsid w:val="00AF190A"/>
    <w:rsid w:val="00AF1922"/>
    <w:rsid w:val="00AF1CD0"/>
    <w:rsid w:val="00AF1E1C"/>
    <w:rsid w:val="00AF1F77"/>
    <w:rsid w:val="00AF269C"/>
    <w:rsid w:val="00AF2CBA"/>
    <w:rsid w:val="00AF386F"/>
    <w:rsid w:val="00AF396D"/>
    <w:rsid w:val="00AF3A31"/>
    <w:rsid w:val="00AF3DA1"/>
    <w:rsid w:val="00AF49D1"/>
    <w:rsid w:val="00AF50BC"/>
    <w:rsid w:val="00AF513A"/>
    <w:rsid w:val="00AF57DC"/>
    <w:rsid w:val="00AF5DBC"/>
    <w:rsid w:val="00AF6EAD"/>
    <w:rsid w:val="00AF6F9E"/>
    <w:rsid w:val="00AF700F"/>
    <w:rsid w:val="00AF706F"/>
    <w:rsid w:val="00AF7333"/>
    <w:rsid w:val="00AF7F73"/>
    <w:rsid w:val="00B00BB6"/>
    <w:rsid w:val="00B019DF"/>
    <w:rsid w:val="00B01B4E"/>
    <w:rsid w:val="00B01B75"/>
    <w:rsid w:val="00B02401"/>
    <w:rsid w:val="00B0248B"/>
    <w:rsid w:val="00B029B0"/>
    <w:rsid w:val="00B02FE7"/>
    <w:rsid w:val="00B034EF"/>
    <w:rsid w:val="00B035B2"/>
    <w:rsid w:val="00B037E4"/>
    <w:rsid w:val="00B039FC"/>
    <w:rsid w:val="00B03D65"/>
    <w:rsid w:val="00B03EB1"/>
    <w:rsid w:val="00B03FBE"/>
    <w:rsid w:val="00B04954"/>
    <w:rsid w:val="00B04D19"/>
    <w:rsid w:val="00B05355"/>
    <w:rsid w:val="00B0569D"/>
    <w:rsid w:val="00B05934"/>
    <w:rsid w:val="00B05BDD"/>
    <w:rsid w:val="00B06231"/>
    <w:rsid w:val="00B0650E"/>
    <w:rsid w:val="00B06662"/>
    <w:rsid w:val="00B06769"/>
    <w:rsid w:val="00B067CB"/>
    <w:rsid w:val="00B06ECC"/>
    <w:rsid w:val="00B06F81"/>
    <w:rsid w:val="00B07026"/>
    <w:rsid w:val="00B071D0"/>
    <w:rsid w:val="00B07C3A"/>
    <w:rsid w:val="00B10554"/>
    <w:rsid w:val="00B10D6C"/>
    <w:rsid w:val="00B11AD1"/>
    <w:rsid w:val="00B122C3"/>
    <w:rsid w:val="00B1233A"/>
    <w:rsid w:val="00B12606"/>
    <w:rsid w:val="00B126FA"/>
    <w:rsid w:val="00B1283B"/>
    <w:rsid w:val="00B12841"/>
    <w:rsid w:val="00B12882"/>
    <w:rsid w:val="00B12CE8"/>
    <w:rsid w:val="00B12F8C"/>
    <w:rsid w:val="00B132A7"/>
    <w:rsid w:val="00B13348"/>
    <w:rsid w:val="00B137A1"/>
    <w:rsid w:val="00B13CA8"/>
    <w:rsid w:val="00B14246"/>
    <w:rsid w:val="00B1445E"/>
    <w:rsid w:val="00B146EA"/>
    <w:rsid w:val="00B149A4"/>
    <w:rsid w:val="00B14F34"/>
    <w:rsid w:val="00B14F85"/>
    <w:rsid w:val="00B1507A"/>
    <w:rsid w:val="00B153DB"/>
    <w:rsid w:val="00B15E1A"/>
    <w:rsid w:val="00B16C54"/>
    <w:rsid w:val="00B16CD6"/>
    <w:rsid w:val="00B16EF3"/>
    <w:rsid w:val="00B17216"/>
    <w:rsid w:val="00B17251"/>
    <w:rsid w:val="00B1730C"/>
    <w:rsid w:val="00B17831"/>
    <w:rsid w:val="00B17E6B"/>
    <w:rsid w:val="00B17FE5"/>
    <w:rsid w:val="00B20348"/>
    <w:rsid w:val="00B207A9"/>
    <w:rsid w:val="00B20818"/>
    <w:rsid w:val="00B20A55"/>
    <w:rsid w:val="00B20AC7"/>
    <w:rsid w:val="00B20B01"/>
    <w:rsid w:val="00B217B0"/>
    <w:rsid w:val="00B219FA"/>
    <w:rsid w:val="00B21D0A"/>
    <w:rsid w:val="00B225BC"/>
    <w:rsid w:val="00B22740"/>
    <w:rsid w:val="00B23B34"/>
    <w:rsid w:val="00B2406A"/>
    <w:rsid w:val="00B2455B"/>
    <w:rsid w:val="00B24772"/>
    <w:rsid w:val="00B24DD7"/>
    <w:rsid w:val="00B250A0"/>
    <w:rsid w:val="00B2527B"/>
    <w:rsid w:val="00B259E2"/>
    <w:rsid w:val="00B25CC1"/>
    <w:rsid w:val="00B25EED"/>
    <w:rsid w:val="00B25FF1"/>
    <w:rsid w:val="00B26137"/>
    <w:rsid w:val="00B26F8B"/>
    <w:rsid w:val="00B2707A"/>
    <w:rsid w:val="00B270D6"/>
    <w:rsid w:val="00B272FD"/>
    <w:rsid w:val="00B27393"/>
    <w:rsid w:val="00B27F31"/>
    <w:rsid w:val="00B3042E"/>
    <w:rsid w:val="00B30573"/>
    <w:rsid w:val="00B3057B"/>
    <w:rsid w:val="00B3059B"/>
    <w:rsid w:val="00B3072A"/>
    <w:rsid w:val="00B30BF5"/>
    <w:rsid w:val="00B317AC"/>
    <w:rsid w:val="00B3192F"/>
    <w:rsid w:val="00B31D7D"/>
    <w:rsid w:val="00B32282"/>
    <w:rsid w:val="00B32EE7"/>
    <w:rsid w:val="00B3338D"/>
    <w:rsid w:val="00B335B2"/>
    <w:rsid w:val="00B33AD4"/>
    <w:rsid w:val="00B344F3"/>
    <w:rsid w:val="00B3454A"/>
    <w:rsid w:val="00B3485A"/>
    <w:rsid w:val="00B34EAD"/>
    <w:rsid w:val="00B3569E"/>
    <w:rsid w:val="00B35A79"/>
    <w:rsid w:val="00B3644B"/>
    <w:rsid w:val="00B369E7"/>
    <w:rsid w:val="00B36C5C"/>
    <w:rsid w:val="00B37065"/>
    <w:rsid w:val="00B37927"/>
    <w:rsid w:val="00B37ACD"/>
    <w:rsid w:val="00B37E67"/>
    <w:rsid w:val="00B41446"/>
    <w:rsid w:val="00B4159F"/>
    <w:rsid w:val="00B41808"/>
    <w:rsid w:val="00B41D62"/>
    <w:rsid w:val="00B4268B"/>
    <w:rsid w:val="00B42844"/>
    <w:rsid w:val="00B42CA5"/>
    <w:rsid w:val="00B44067"/>
    <w:rsid w:val="00B442AA"/>
    <w:rsid w:val="00B442E2"/>
    <w:rsid w:val="00B4461E"/>
    <w:rsid w:val="00B4472B"/>
    <w:rsid w:val="00B45378"/>
    <w:rsid w:val="00B45A1D"/>
    <w:rsid w:val="00B46DC2"/>
    <w:rsid w:val="00B477D9"/>
    <w:rsid w:val="00B477E4"/>
    <w:rsid w:val="00B47E78"/>
    <w:rsid w:val="00B50319"/>
    <w:rsid w:val="00B50804"/>
    <w:rsid w:val="00B50B01"/>
    <w:rsid w:val="00B51453"/>
    <w:rsid w:val="00B51896"/>
    <w:rsid w:val="00B518D9"/>
    <w:rsid w:val="00B51A07"/>
    <w:rsid w:val="00B51AAB"/>
    <w:rsid w:val="00B51AF8"/>
    <w:rsid w:val="00B51D19"/>
    <w:rsid w:val="00B522C0"/>
    <w:rsid w:val="00B527D8"/>
    <w:rsid w:val="00B52845"/>
    <w:rsid w:val="00B528A7"/>
    <w:rsid w:val="00B53E8F"/>
    <w:rsid w:val="00B5408F"/>
    <w:rsid w:val="00B54119"/>
    <w:rsid w:val="00B5424D"/>
    <w:rsid w:val="00B54742"/>
    <w:rsid w:val="00B54B47"/>
    <w:rsid w:val="00B54B88"/>
    <w:rsid w:val="00B54F21"/>
    <w:rsid w:val="00B553EC"/>
    <w:rsid w:val="00B562C7"/>
    <w:rsid w:val="00B56405"/>
    <w:rsid w:val="00B56780"/>
    <w:rsid w:val="00B572CD"/>
    <w:rsid w:val="00B57B87"/>
    <w:rsid w:val="00B57F5F"/>
    <w:rsid w:val="00B6032E"/>
    <w:rsid w:val="00B60921"/>
    <w:rsid w:val="00B60A8B"/>
    <w:rsid w:val="00B60D45"/>
    <w:rsid w:val="00B60E1F"/>
    <w:rsid w:val="00B61891"/>
    <w:rsid w:val="00B61E6B"/>
    <w:rsid w:val="00B6213B"/>
    <w:rsid w:val="00B62544"/>
    <w:rsid w:val="00B6261D"/>
    <w:rsid w:val="00B6267D"/>
    <w:rsid w:val="00B62746"/>
    <w:rsid w:val="00B631AD"/>
    <w:rsid w:val="00B631CD"/>
    <w:rsid w:val="00B6330F"/>
    <w:rsid w:val="00B63355"/>
    <w:rsid w:val="00B63BE5"/>
    <w:rsid w:val="00B63E01"/>
    <w:rsid w:val="00B63EB4"/>
    <w:rsid w:val="00B64216"/>
    <w:rsid w:val="00B6430C"/>
    <w:rsid w:val="00B6466A"/>
    <w:rsid w:val="00B64EA5"/>
    <w:rsid w:val="00B64FED"/>
    <w:rsid w:val="00B6503E"/>
    <w:rsid w:val="00B65518"/>
    <w:rsid w:val="00B65AB9"/>
    <w:rsid w:val="00B65EA8"/>
    <w:rsid w:val="00B666E9"/>
    <w:rsid w:val="00B66B9B"/>
    <w:rsid w:val="00B672AD"/>
    <w:rsid w:val="00B6755C"/>
    <w:rsid w:val="00B676A0"/>
    <w:rsid w:val="00B676A4"/>
    <w:rsid w:val="00B676A9"/>
    <w:rsid w:val="00B67818"/>
    <w:rsid w:val="00B67AFA"/>
    <w:rsid w:val="00B7060C"/>
    <w:rsid w:val="00B708DA"/>
    <w:rsid w:val="00B72028"/>
    <w:rsid w:val="00B72035"/>
    <w:rsid w:val="00B72231"/>
    <w:rsid w:val="00B72C0E"/>
    <w:rsid w:val="00B72CB8"/>
    <w:rsid w:val="00B73208"/>
    <w:rsid w:val="00B73309"/>
    <w:rsid w:val="00B73864"/>
    <w:rsid w:val="00B73E6C"/>
    <w:rsid w:val="00B74647"/>
    <w:rsid w:val="00B75B68"/>
    <w:rsid w:val="00B7653E"/>
    <w:rsid w:val="00B76A6F"/>
    <w:rsid w:val="00B770D5"/>
    <w:rsid w:val="00B779CC"/>
    <w:rsid w:val="00B779FE"/>
    <w:rsid w:val="00B77D1C"/>
    <w:rsid w:val="00B77FA0"/>
    <w:rsid w:val="00B802CB"/>
    <w:rsid w:val="00B80524"/>
    <w:rsid w:val="00B8059A"/>
    <w:rsid w:val="00B805B0"/>
    <w:rsid w:val="00B808B8"/>
    <w:rsid w:val="00B80E07"/>
    <w:rsid w:val="00B81139"/>
    <w:rsid w:val="00B811FB"/>
    <w:rsid w:val="00B812F5"/>
    <w:rsid w:val="00B81A59"/>
    <w:rsid w:val="00B81BCA"/>
    <w:rsid w:val="00B81D58"/>
    <w:rsid w:val="00B8202E"/>
    <w:rsid w:val="00B82A89"/>
    <w:rsid w:val="00B836FF"/>
    <w:rsid w:val="00B83951"/>
    <w:rsid w:val="00B83F45"/>
    <w:rsid w:val="00B84AAF"/>
    <w:rsid w:val="00B84D0F"/>
    <w:rsid w:val="00B8502C"/>
    <w:rsid w:val="00B8509D"/>
    <w:rsid w:val="00B8532C"/>
    <w:rsid w:val="00B855C2"/>
    <w:rsid w:val="00B8592B"/>
    <w:rsid w:val="00B85FF1"/>
    <w:rsid w:val="00B863EA"/>
    <w:rsid w:val="00B869EA"/>
    <w:rsid w:val="00B87283"/>
    <w:rsid w:val="00B878C2"/>
    <w:rsid w:val="00B878F1"/>
    <w:rsid w:val="00B87C1A"/>
    <w:rsid w:val="00B87C98"/>
    <w:rsid w:val="00B90371"/>
    <w:rsid w:val="00B90544"/>
    <w:rsid w:val="00B9071A"/>
    <w:rsid w:val="00B907A9"/>
    <w:rsid w:val="00B91207"/>
    <w:rsid w:val="00B91FF3"/>
    <w:rsid w:val="00B9207A"/>
    <w:rsid w:val="00B9218B"/>
    <w:rsid w:val="00B92418"/>
    <w:rsid w:val="00B92658"/>
    <w:rsid w:val="00B92679"/>
    <w:rsid w:val="00B92EEC"/>
    <w:rsid w:val="00B92F0F"/>
    <w:rsid w:val="00B92F7C"/>
    <w:rsid w:val="00B93627"/>
    <w:rsid w:val="00B939FB"/>
    <w:rsid w:val="00B93C8D"/>
    <w:rsid w:val="00B9423A"/>
    <w:rsid w:val="00B94250"/>
    <w:rsid w:val="00B94A37"/>
    <w:rsid w:val="00B95AE3"/>
    <w:rsid w:val="00B95C6A"/>
    <w:rsid w:val="00B95D52"/>
    <w:rsid w:val="00B95D80"/>
    <w:rsid w:val="00B9610C"/>
    <w:rsid w:val="00B967E3"/>
    <w:rsid w:val="00B96BF9"/>
    <w:rsid w:val="00B96FE9"/>
    <w:rsid w:val="00B9746A"/>
    <w:rsid w:val="00B975EF"/>
    <w:rsid w:val="00B976CC"/>
    <w:rsid w:val="00B978E7"/>
    <w:rsid w:val="00B97ABC"/>
    <w:rsid w:val="00BA04F2"/>
    <w:rsid w:val="00BA07B9"/>
    <w:rsid w:val="00BA0A2C"/>
    <w:rsid w:val="00BA0E1E"/>
    <w:rsid w:val="00BA105D"/>
    <w:rsid w:val="00BA139D"/>
    <w:rsid w:val="00BA1B22"/>
    <w:rsid w:val="00BA223A"/>
    <w:rsid w:val="00BA231E"/>
    <w:rsid w:val="00BA29E2"/>
    <w:rsid w:val="00BA2A81"/>
    <w:rsid w:val="00BA3034"/>
    <w:rsid w:val="00BA382E"/>
    <w:rsid w:val="00BA3B1D"/>
    <w:rsid w:val="00BA497C"/>
    <w:rsid w:val="00BA4E72"/>
    <w:rsid w:val="00BA57DA"/>
    <w:rsid w:val="00BA5AC7"/>
    <w:rsid w:val="00BA609E"/>
    <w:rsid w:val="00BA641C"/>
    <w:rsid w:val="00BA6497"/>
    <w:rsid w:val="00BA72F0"/>
    <w:rsid w:val="00BA7421"/>
    <w:rsid w:val="00BA7608"/>
    <w:rsid w:val="00BA7BFA"/>
    <w:rsid w:val="00BA7C32"/>
    <w:rsid w:val="00BA7D74"/>
    <w:rsid w:val="00BA7DC3"/>
    <w:rsid w:val="00BB06EF"/>
    <w:rsid w:val="00BB072E"/>
    <w:rsid w:val="00BB0730"/>
    <w:rsid w:val="00BB0811"/>
    <w:rsid w:val="00BB1192"/>
    <w:rsid w:val="00BB13CF"/>
    <w:rsid w:val="00BB1CDE"/>
    <w:rsid w:val="00BB1F5A"/>
    <w:rsid w:val="00BB21E1"/>
    <w:rsid w:val="00BB2333"/>
    <w:rsid w:val="00BB2844"/>
    <w:rsid w:val="00BB2C56"/>
    <w:rsid w:val="00BB31F0"/>
    <w:rsid w:val="00BB3326"/>
    <w:rsid w:val="00BB3921"/>
    <w:rsid w:val="00BB39C9"/>
    <w:rsid w:val="00BB3A6D"/>
    <w:rsid w:val="00BB3B83"/>
    <w:rsid w:val="00BB3F1B"/>
    <w:rsid w:val="00BB40D5"/>
    <w:rsid w:val="00BB41E1"/>
    <w:rsid w:val="00BB459B"/>
    <w:rsid w:val="00BB4A7D"/>
    <w:rsid w:val="00BB4B8E"/>
    <w:rsid w:val="00BB4C5E"/>
    <w:rsid w:val="00BB4F4F"/>
    <w:rsid w:val="00BB5D42"/>
    <w:rsid w:val="00BB5E86"/>
    <w:rsid w:val="00BB5F17"/>
    <w:rsid w:val="00BB6C7B"/>
    <w:rsid w:val="00BB6FE1"/>
    <w:rsid w:val="00BB7482"/>
    <w:rsid w:val="00BC07A5"/>
    <w:rsid w:val="00BC0AB9"/>
    <w:rsid w:val="00BC0B75"/>
    <w:rsid w:val="00BC13F7"/>
    <w:rsid w:val="00BC1C74"/>
    <w:rsid w:val="00BC2504"/>
    <w:rsid w:val="00BC28D6"/>
    <w:rsid w:val="00BC2920"/>
    <w:rsid w:val="00BC33FC"/>
    <w:rsid w:val="00BC3429"/>
    <w:rsid w:val="00BC34B7"/>
    <w:rsid w:val="00BC35F9"/>
    <w:rsid w:val="00BC37A4"/>
    <w:rsid w:val="00BC3969"/>
    <w:rsid w:val="00BC4043"/>
    <w:rsid w:val="00BC4230"/>
    <w:rsid w:val="00BC4347"/>
    <w:rsid w:val="00BC4C16"/>
    <w:rsid w:val="00BC59DD"/>
    <w:rsid w:val="00BC5B5B"/>
    <w:rsid w:val="00BC5B6C"/>
    <w:rsid w:val="00BC5DA0"/>
    <w:rsid w:val="00BC60D5"/>
    <w:rsid w:val="00BC645D"/>
    <w:rsid w:val="00BC6523"/>
    <w:rsid w:val="00BC653A"/>
    <w:rsid w:val="00BC6A62"/>
    <w:rsid w:val="00BC7050"/>
    <w:rsid w:val="00BC7216"/>
    <w:rsid w:val="00BC7F19"/>
    <w:rsid w:val="00BD03DF"/>
    <w:rsid w:val="00BD060B"/>
    <w:rsid w:val="00BD082D"/>
    <w:rsid w:val="00BD0935"/>
    <w:rsid w:val="00BD09A3"/>
    <w:rsid w:val="00BD0A71"/>
    <w:rsid w:val="00BD0AF1"/>
    <w:rsid w:val="00BD0D90"/>
    <w:rsid w:val="00BD0DEF"/>
    <w:rsid w:val="00BD0F6D"/>
    <w:rsid w:val="00BD1ABC"/>
    <w:rsid w:val="00BD2570"/>
    <w:rsid w:val="00BD2A6B"/>
    <w:rsid w:val="00BD2E67"/>
    <w:rsid w:val="00BD33D7"/>
    <w:rsid w:val="00BD34D7"/>
    <w:rsid w:val="00BD35BB"/>
    <w:rsid w:val="00BD3623"/>
    <w:rsid w:val="00BD38C6"/>
    <w:rsid w:val="00BD3B2D"/>
    <w:rsid w:val="00BD3BB0"/>
    <w:rsid w:val="00BD3C53"/>
    <w:rsid w:val="00BD3D4A"/>
    <w:rsid w:val="00BD4031"/>
    <w:rsid w:val="00BD40F0"/>
    <w:rsid w:val="00BD41F0"/>
    <w:rsid w:val="00BD4405"/>
    <w:rsid w:val="00BD46C7"/>
    <w:rsid w:val="00BD4773"/>
    <w:rsid w:val="00BD4D66"/>
    <w:rsid w:val="00BD4FAA"/>
    <w:rsid w:val="00BD4FFC"/>
    <w:rsid w:val="00BD5313"/>
    <w:rsid w:val="00BD5F9E"/>
    <w:rsid w:val="00BD5FC4"/>
    <w:rsid w:val="00BD61D8"/>
    <w:rsid w:val="00BD650C"/>
    <w:rsid w:val="00BD66AC"/>
    <w:rsid w:val="00BD6A06"/>
    <w:rsid w:val="00BD6D1F"/>
    <w:rsid w:val="00BD6DA4"/>
    <w:rsid w:val="00BD6EEE"/>
    <w:rsid w:val="00BD704C"/>
    <w:rsid w:val="00BD74E4"/>
    <w:rsid w:val="00BD757D"/>
    <w:rsid w:val="00BD7784"/>
    <w:rsid w:val="00BE0052"/>
    <w:rsid w:val="00BE02D8"/>
    <w:rsid w:val="00BE0310"/>
    <w:rsid w:val="00BE0C29"/>
    <w:rsid w:val="00BE0D10"/>
    <w:rsid w:val="00BE1137"/>
    <w:rsid w:val="00BE1141"/>
    <w:rsid w:val="00BE13A7"/>
    <w:rsid w:val="00BE13F8"/>
    <w:rsid w:val="00BE149E"/>
    <w:rsid w:val="00BE1618"/>
    <w:rsid w:val="00BE22D9"/>
    <w:rsid w:val="00BE25EE"/>
    <w:rsid w:val="00BE283F"/>
    <w:rsid w:val="00BE2951"/>
    <w:rsid w:val="00BE2965"/>
    <w:rsid w:val="00BE4012"/>
    <w:rsid w:val="00BE4875"/>
    <w:rsid w:val="00BE49A1"/>
    <w:rsid w:val="00BE5025"/>
    <w:rsid w:val="00BE51ED"/>
    <w:rsid w:val="00BE53DD"/>
    <w:rsid w:val="00BE557C"/>
    <w:rsid w:val="00BE56CE"/>
    <w:rsid w:val="00BE5D6A"/>
    <w:rsid w:val="00BE5FC9"/>
    <w:rsid w:val="00BE6546"/>
    <w:rsid w:val="00BE68A0"/>
    <w:rsid w:val="00BE6A89"/>
    <w:rsid w:val="00BE6F51"/>
    <w:rsid w:val="00BE73E8"/>
    <w:rsid w:val="00BE779E"/>
    <w:rsid w:val="00BE78C7"/>
    <w:rsid w:val="00BE7B1E"/>
    <w:rsid w:val="00BE7D24"/>
    <w:rsid w:val="00BE7E49"/>
    <w:rsid w:val="00BF040C"/>
    <w:rsid w:val="00BF0805"/>
    <w:rsid w:val="00BF0929"/>
    <w:rsid w:val="00BF0C1F"/>
    <w:rsid w:val="00BF0F58"/>
    <w:rsid w:val="00BF14BE"/>
    <w:rsid w:val="00BF1893"/>
    <w:rsid w:val="00BF1921"/>
    <w:rsid w:val="00BF1D02"/>
    <w:rsid w:val="00BF2642"/>
    <w:rsid w:val="00BF2765"/>
    <w:rsid w:val="00BF286F"/>
    <w:rsid w:val="00BF2E2A"/>
    <w:rsid w:val="00BF328B"/>
    <w:rsid w:val="00BF3638"/>
    <w:rsid w:val="00BF36D6"/>
    <w:rsid w:val="00BF36EE"/>
    <w:rsid w:val="00BF3945"/>
    <w:rsid w:val="00BF3BE2"/>
    <w:rsid w:val="00BF3C13"/>
    <w:rsid w:val="00BF3F21"/>
    <w:rsid w:val="00BF4119"/>
    <w:rsid w:val="00BF44D8"/>
    <w:rsid w:val="00BF4598"/>
    <w:rsid w:val="00BF4985"/>
    <w:rsid w:val="00BF55C3"/>
    <w:rsid w:val="00BF560D"/>
    <w:rsid w:val="00BF57A4"/>
    <w:rsid w:val="00BF6151"/>
    <w:rsid w:val="00BF65D4"/>
    <w:rsid w:val="00BF67D0"/>
    <w:rsid w:val="00BF67F1"/>
    <w:rsid w:val="00BF681A"/>
    <w:rsid w:val="00BF6CFA"/>
    <w:rsid w:val="00BF6F61"/>
    <w:rsid w:val="00BF7C74"/>
    <w:rsid w:val="00BF7E1E"/>
    <w:rsid w:val="00BF7E45"/>
    <w:rsid w:val="00C00792"/>
    <w:rsid w:val="00C00ADF"/>
    <w:rsid w:val="00C00F53"/>
    <w:rsid w:val="00C01A4C"/>
    <w:rsid w:val="00C01E28"/>
    <w:rsid w:val="00C021DD"/>
    <w:rsid w:val="00C02406"/>
    <w:rsid w:val="00C02911"/>
    <w:rsid w:val="00C02D9D"/>
    <w:rsid w:val="00C0301D"/>
    <w:rsid w:val="00C047E4"/>
    <w:rsid w:val="00C0481D"/>
    <w:rsid w:val="00C04B39"/>
    <w:rsid w:val="00C04C3A"/>
    <w:rsid w:val="00C054F8"/>
    <w:rsid w:val="00C05542"/>
    <w:rsid w:val="00C05725"/>
    <w:rsid w:val="00C0574D"/>
    <w:rsid w:val="00C05C6C"/>
    <w:rsid w:val="00C06198"/>
    <w:rsid w:val="00C0650E"/>
    <w:rsid w:val="00C068A5"/>
    <w:rsid w:val="00C06C35"/>
    <w:rsid w:val="00C06F23"/>
    <w:rsid w:val="00C070FA"/>
    <w:rsid w:val="00C0750D"/>
    <w:rsid w:val="00C075E8"/>
    <w:rsid w:val="00C079E6"/>
    <w:rsid w:val="00C07AEC"/>
    <w:rsid w:val="00C1085D"/>
    <w:rsid w:val="00C10A62"/>
    <w:rsid w:val="00C1102C"/>
    <w:rsid w:val="00C110D2"/>
    <w:rsid w:val="00C111B5"/>
    <w:rsid w:val="00C11987"/>
    <w:rsid w:val="00C12021"/>
    <w:rsid w:val="00C12AAE"/>
    <w:rsid w:val="00C12E9D"/>
    <w:rsid w:val="00C12ED0"/>
    <w:rsid w:val="00C13675"/>
    <w:rsid w:val="00C13ABD"/>
    <w:rsid w:val="00C14060"/>
    <w:rsid w:val="00C143C1"/>
    <w:rsid w:val="00C144FE"/>
    <w:rsid w:val="00C14853"/>
    <w:rsid w:val="00C15377"/>
    <w:rsid w:val="00C1546D"/>
    <w:rsid w:val="00C156AF"/>
    <w:rsid w:val="00C15C65"/>
    <w:rsid w:val="00C15E23"/>
    <w:rsid w:val="00C16347"/>
    <w:rsid w:val="00C16416"/>
    <w:rsid w:val="00C1655F"/>
    <w:rsid w:val="00C16590"/>
    <w:rsid w:val="00C167DE"/>
    <w:rsid w:val="00C168F3"/>
    <w:rsid w:val="00C17235"/>
    <w:rsid w:val="00C17753"/>
    <w:rsid w:val="00C17759"/>
    <w:rsid w:val="00C17B23"/>
    <w:rsid w:val="00C17D49"/>
    <w:rsid w:val="00C17F5C"/>
    <w:rsid w:val="00C17FC7"/>
    <w:rsid w:val="00C20000"/>
    <w:rsid w:val="00C20014"/>
    <w:rsid w:val="00C20406"/>
    <w:rsid w:val="00C204CF"/>
    <w:rsid w:val="00C2080D"/>
    <w:rsid w:val="00C209FC"/>
    <w:rsid w:val="00C20F8F"/>
    <w:rsid w:val="00C213B3"/>
    <w:rsid w:val="00C21513"/>
    <w:rsid w:val="00C215C7"/>
    <w:rsid w:val="00C21850"/>
    <w:rsid w:val="00C21882"/>
    <w:rsid w:val="00C21A44"/>
    <w:rsid w:val="00C21AA8"/>
    <w:rsid w:val="00C21D92"/>
    <w:rsid w:val="00C21E9B"/>
    <w:rsid w:val="00C220B6"/>
    <w:rsid w:val="00C220CD"/>
    <w:rsid w:val="00C22356"/>
    <w:rsid w:val="00C22480"/>
    <w:rsid w:val="00C22BFA"/>
    <w:rsid w:val="00C22DB3"/>
    <w:rsid w:val="00C22DD2"/>
    <w:rsid w:val="00C23936"/>
    <w:rsid w:val="00C241E6"/>
    <w:rsid w:val="00C249EE"/>
    <w:rsid w:val="00C24F8D"/>
    <w:rsid w:val="00C25F96"/>
    <w:rsid w:val="00C2662B"/>
    <w:rsid w:val="00C26A33"/>
    <w:rsid w:val="00C26CB5"/>
    <w:rsid w:val="00C26F90"/>
    <w:rsid w:val="00C2712C"/>
    <w:rsid w:val="00C2741E"/>
    <w:rsid w:val="00C2743D"/>
    <w:rsid w:val="00C27682"/>
    <w:rsid w:val="00C27812"/>
    <w:rsid w:val="00C27898"/>
    <w:rsid w:val="00C27C9D"/>
    <w:rsid w:val="00C300AF"/>
    <w:rsid w:val="00C306B8"/>
    <w:rsid w:val="00C30A0E"/>
    <w:rsid w:val="00C30F1E"/>
    <w:rsid w:val="00C31934"/>
    <w:rsid w:val="00C3196F"/>
    <w:rsid w:val="00C31A1E"/>
    <w:rsid w:val="00C31D2A"/>
    <w:rsid w:val="00C323DD"/>
    <w:rsid w:val="00C32638"/>
    <w:rsid w:val="00C32834"/>
    <w:rsid w:val="00C32905"/>
    <w:rsid w:val="00C32FEE"/>
    <w:rsid w:val="00C3327F"/>
    <w:rsid w:val="00C33B7B"/>
    <w:rsid w:val="00C34735"/>
    <w:rsid w:val="00C34D6A"/>
    <w:rsid w:val="00C353B3"/>
    <w:rsid w:val="00C3559C"/>
    <w:rsid w:val="00C357E5"/>
    <w:rsid w:val="00C35AF1"/>
    <w:rsid w:val="00C36149"/>
    <w:rsid w:val="00C36BD9"/>
    <w:rsid w:val="00C36FCB"/>
    <w:rsid w:val="00C36FE1"/>
    <w:rsid w:val="00C37011"/>
    <w:rsid w:val="00C37036"/>
    <w:rsid w:val="00C3704C"/>
    <w:rsid w:val="00C37178"/>
    <w:rsid w:val="00C371DC"/>
    <w:rsid w:val="00C378DA"/>
    <w:rsid w:val="00C37C8F"/>
    <w:rsid w:val="00C37FE3"/>
    <w:rsid w:val="00C40D56"/>
    <w:rsid w:val="00C40F5D"/>
    <w:rsid w:val="00C414F7"/>
    <w:rsid w:val="00C41511"/>
    <w:rsid w:val="00C417C0"/>
    <w:rsid w:val="00C41B7B"/>
    <w:rsid w:val="00C42454"/>
    <w:rsid w:val="00C42A2C"/>
    <w:rsid w:val="00C42B56"/>
    <w:rsid w:val="00C42CA5"/>
    <w:rsid w:val="00C42DEC"/>
    <w:rsid w:val="00C43008"/>
    <w:rsid w:val="00C43C69"/>
    <w:rsid w:val="00C44041"/>
    <w:rsid w:val="00C4451C"/>
    <w:rsid w:val="00C44F19"/>
    <w:rsid w:val="00C45121"/>
    <w:rsid w:val="00C455DC"/>
    <w:rsid w:val="00C459FC"/>
    <w:rsid w:val="00C46988"/>
    <w:rsid w:val="00C46C3C"/>
    <w:rsid w:val="00C46D64"/>
    <w:rsid w:val="00C46F5C"/>
    <w:rsid w:val="00C473D1"/>
    <w:rsid w:val="00C47A8C"/>
    <w:rsid w:val="00C47CE6"/>
    <w:rsid w:val="00C502FC"/>
    <w:rsid w:val="00C50A68"/>
    <w:rsid w:val="00C50CB2"/>
    <w:rsid w:val="00C50F5B"/>
    <w:rsid w:val="00C50F9D"/>
    <w:rsid w:val="00C5103D"/>
    <w:rsid w:val="00C5127A"/>
    <w:rsid w:val="00C51680"/>
    <w:rsid w:val="00C517C7"/>
    <w:rsid w:val="00C5181C"/>
    <w:rsid w:val="00C5182E"/>
    <w:rsid w:val="00C5196D"/>
    <w:rsid w:val="00C51A26"/>
    <w:rsid w:val="00C51E8E"/>
    <w:rsid w:val="00C52649"/>
    <w:rsid w:val="00C52B50"/>
    <w:rsid w:val="00C52D3B"/>
    <w:rsid w:val="00C53B57"/>
    <w:rsid w:val="00C53F17"/>
    <w:rsid w:val="00C5437D"/>
    <w:rsid w:val="00C54BC1"/>
    <w:rsid w:val="00C554E9"/>
    <w:rsid w:val="00C5550C"/>
    <w:rsid w:val="00C55D7D"/>
    <w:rsid w:val="00C56BC8"/>
    <w:rsid w:val="00C56F5C"/>
    <w:rsid w:val="00C56FDA"/>
    <w:rsid w:val="00C575AB"/>
    <w:rsid w:val="00C57B5A"/>
    <w:rsid w:val="00C57D77"/>
    <w:rsid w:val="00C6056E"/>
    <w:rsid w:val="00C6070B"/>
    <w:rsid w:val="00C6089A"/>
    <w:rsid w:val="00C60A6F"/>
    <w:rsid w:val="00C613AC"/>
    <w:rsid w:val="00C619F4"/>
    <w:rsid w:val="00C61A83"/>
    <w:rsid w:val="00C61C69"/>
    <w:rsid w:val="00C61E47"/>
    <w:rsid w:val="00C62688"/>
    <w:rsid w:val="00C62F1A"/>
    <w:rsid w:val="00C6381E"/>
    <w:rsid w:val="00C6389C"/>
    <w:rsid w:val="00C64066"/>
    <w:rsid w:val="00C6442A"/>
    <w:rsid w:val="00C647A8"/>
    <w:rsid w:val="00C64A28"/>
    <w:rsid w:val="00C65A76"/>
    <w:rsid w:val="00C66321"/>
    <w:rsid w:val="00C6635F"/>
    <w:rsid w:val="00C6671B"/>
    <w:rsid w:val="00C66957"/>
    <w:rsid w:val="00C674B0"/>
    <w:rsid w:val="00C67D33"/>
    <w:rsid w:val="00C70497"/>
    <w:rsid w:val="00C7052C"/>
    <w:rsid w:val="00C705DE"/>
    <w:rsid w:val="00C7084A"/>
    <w:rsid w:val="00C7086B"/>
    <w:rsid w:val="00C70C66"/>
    <w:rsid w:val="00C71415"/>
    <w:rsid w:val="00C71B20"/>
    <w:rsid w:val="00C72032"/>
    <w:rsid w:val="00C7208D"/>
    <w:rsid w:val="00C7228E"/>
    <w:rsid w:val="00C7230E"/>
    <w:rsid w:val="00C723BE"/>
    <w:rsid w:val="00C72701"/>
    <w:rsid w:val="00C72AE7"/>
    <w:rsid w:val="00C72B0A"/>
    <w:rsid w:val="00C72BA7"/>
    <w:rsid w:val="00C72C17"/>
    <w:rsid w:val="00C741F1"/>
    <w:rsid w:val="00C74382"/>
    <w:rsid w:val="00C74578"/>
    <w:rsid w:val="00C74AF6"/>
    <w:rsid w:val="00C74B7B"/>
    <w:rsid w:val="00C75000"/>
    <w:rsid w:val="00C750BA"/>
    <w:rsid w:val="00C754F4"/>
    <w:rsid w:val="00C75BBB"/>
    <w:rsid w:val="00C75FBF"/>
    <w:rsid w:val="00C76414"/>
    <w:rsid w:val="00C76A6A"/>
    <w:rsid w:val="00C77B02"/>
    <w:rsid w:val="00C77E48"/>
    <w:rsid w:val="00C77EDB"/>
    <w:rsid w:val="00C800C6"/>
    <w:rsid w:val="00C80135"/>
    <w:rsid w:val="00C80275"/>
    <w:rsid w:val="00C80CD2"/>
    <w:rsid w:val="00C81A0B"/>
    <w:rsid w:val="00C81BB7"/>
    <w:rsid w:val="00C81C01"/>
    <w:rsid w:val="00C821A0"/>
    <w:rsid w:val="00C8233E"/>
    <w:rsid w:val="00C823B9"/>
    <w:rsid w:val="00C82886"/>
    <w:rsid w:val="00C82A73"/>
    <w:rsid w:val="00C82BF1"/>
    <w:rsid w:val="00C82C86"/>
    <w:rsid w:val="00C834DC"/>
    <w:rsid w:val="00C83719"/>
    <w:rsid w:val="00C83882"/>
    <w:rsid w:val="00C83920"/>
    <w:rsid w:val="00C84870"/>
    <w:rsid w:val="00C84A30"/>
    <w:rsid w:val="00C84C08"/>
    <w:rsid w:val="00C84CFE"/>
    <w:rsid w:val="00C84ED9"/>
    <w:rsid w:val="00C852F6"/>
    <w:rsid w:val="00C85668"/>
    <w:rsid w:val="00C85EEC"/>
    <w:rsid w:val="00C8638F"/>
    <w:rsid w:val="00C86407"/>
    <w:rsid w:val="00C86E9A"/>
    <w:rsid w:val="00C87307"/>
    <w:rsid w:val="00C87BA4"/>
    <w:rsid w:val="00C904E2"/>
    <w:rsid w:val="00C904E7"/>
    <w:rsid w:val="00C906BD"/>
    <w:rsid w:val="00C90717"/>
    <w:rsid w:val="00C90D56"/>
    <w:rsid w:val="00C90E5D"/>
    <w:rsid w:val="00C91074"/>
    <w:rsid w:val="00C9113F"/>
    <w:rsid w:val="00C918E9"/>
    <w:rsid w:val="00C91EB3"/>
    <w:rsid w:val="00C92354"/>
    <w:rsid w:val="00C92912"/>
    <w:rsid w:val="00C929E0"/>
    <w:rsid w:val="00C92BE0"/>
    <w:rsid w:val="00C92F28"/>
    <w:rsid w:val="00C92F45"/>
    <w:rsid w:val="00C930E0"/>
    <w:rsid w:val="00C931AA"/>
    <w:rsid w:val="00C93380"/>
    <w:rsid w:val="00C936B0"/>
    <w:rsid w:val="00C93A5B"/>
    <w:rsid w:val="00C93AF3"/>
    <w:rsid w:val="00C93B63"/>
    <w:rsid w:val="00C93BF3"/>
    <w:rsid w:val="00C93D5B"/>
    <w:rsid w:val="00C940FC"/>
    <w:rsid w:val="00C94476"/>
    <w:rsid w:val="00C9455C"/>
    <w:rsid w:val="00C94868"/>
    <w:rsid w:val="00C9493F"/>
    <w:rsid w:val="00C94B0D"/>
    <w:rsid w:val="00C94B39"/>
    <w:rsid w:val="00C95ABB"/>
    <w:rsid w:val="00C95E7B"/>
    <w:rsid w:val="00C96D78"/>
    <w:rsid w:val="00C97317"/>
    <w:rsid w:val="00C9735C"/>
    <w:rsid w:val="00C9755D"/>
    <w:rsid w:val="00C976AE"/>
    <w:rsid w:val="00C97894"/>
    <w:rsid w:val="00C9793A"/>
    <w:rsid w:val="00CA00D2"/>
    <w:rsid w:val="00CA03B3"/>
    <w:rsid w:val="00CA0F4B"/>
    <w:rsid w:val="00CA1160"/>
    <w:rsid w:val="00CA13F1"/>
    <w:rsid w:val="00CA1614"/>
    <w:rsid w:val="00CA1B15"/>
    <w:rsid w:val="00CA1E40"/>
    <w:rsid w:val="00CA244B"/>
    <w:rsid w:val="00CA24E7"/>
    <w:rsid w:val="00CA2B25"/>
    <w:rsid w:val="00CA2DE6"/>
    <w:rsid w:val="00CA3123"/>
    <w:rsid w:val="00CA34C8"/>
    <w:rsid w:val="00CA38EB"/>
    <w:rsid w:val="00CA39A7"/>
    <w:rsid w:val="00CA3B5E"/>
    <w:rsid w:val="00CA3CEA"/>
    <w:rsid w:val="00CA3F48"/>
    <w:rsid w:val="00CA3F82"/>
    <w:rsid w:val="00CA3FE5"/>
    <w:rsid w:val="00CA4348"/>
    <w:rsid w:val="00CA497D"/>
    <w:rsid w:val="00CA4AB3"/>
    <w:rsid w:val="00CA4D6B"/>
    <w:rsid w:val="00CA4FEE"/>
    <w:rsid w:val="00CA534E"/>
    <w:rsid w:val="00CA555A"/>
    <w:rsid w:val="00CA559C"/>
    <w:rsid w:val="00CA55C2"/>
    <w:rsid w:val="00CA5B37"/>
    <w:rsid w:val="00CA5FCD"/>
    <w:rsid w:val="00CA65EC"/>
    <w:rsid w:val="00CA6857"/>
    <w:rsid w:val="00CA6D04"/>
    <w:rsid w:val="00CA7336"/>
    <w:rsid w:val="00CA76FF"/>
    <w:rsid w:val="00CA7AFB"/>
    <w:rsid w:val="00CA7B4D"/>
    <w:rsid w:val="00CA7E87"/>
    <w:rsid w:val="00CA7F87"/>
    <w:rsid w:val="00CB0173"/>
    <w:rsid w:val="00CB032B"/>
    <w:rsid w:val="00CB0377"/>
    <w:rsid w:val="00CB0765"/>
    <w:rsid w:val="00CB088C"/>
    <w:rsid w:val="00CB09C4"/>
    <w:rsid w:val="00CB104D"/>
    <w:rsid w:val="00CB1361"/>
    <w:rsid w:val="00CB1535"/>
    <w:rsid w:val="00CB1986"/>
    <w:rsid w:val="00CB1D1C"/>
    <w:rsid w:val="00CB1D99"/>
    <w:rsid w:val="00CB1E3A"/>
    <w:rsid w:val="00CB1FED"/>
    <w:rsid w:val="00CB27AD"/>
    <w:rsid w:val="00CB296B"/>
    <w:rsid w:val="00CB39A3"/>
    <w:rsid w:val="00CB3B6B"/>
    <w:rsid w:val="00CB3EC3"/>
    <w:rsid w:val="00CB42D1"/>
    <w:rsid w:val="00CB4865"/>
    <w:rsid w:val="00CB4C10"/>
    <w:rsid w:val="00CB4D7B"/>
    <w:rsid w:val="00CB4DD6"/>
    <w:rsid w:val="00CB5394"/>
    <w:rsid w:val="00CB58B0"/>
    <w:rsid w:val="00CB598E"/>
    <w:rsid w:val="00CB5F60"/>
    <w:rsid w:val="00CB6444"/>
    <w:rsid w:val="00CB656B"/>
    <w:rsid w:val="00CB6754"/>
    <w:rsid w:val="00CB6BE2"/>
    <w:rsid w:val="00CB73AB"/>
    <w:rsid w:val="00CB7672"/>
    <w:rsid w:val="00CB7AEC"/>
    <w:rsid w:val="00CB7EBB"/>
    <w:rsid w:val="00CC0240"/>
    <w:rsid w:val="00CC038B"/>
    <w:rsid w:val="00CC06B0"/>
    <w:rsid w:val="00CC11DB"/>
    <w:rsid w:val="00CC1CB3"/>
    <w:rsid w:val="00CC1D17"/>
    <w:rsid w:val="00CC24BB"/>
    <w:rsid w:val="00CC2538"/>
    <w:rsid w:val="00CC2A8A"/>
    <w:rsid w:val="00CC2E02"/>
    <w:rsid w:val="00CC31E5"/>
    <w:rsid w:val="00CC36CA"/>
    <w:rsid w:val="00CC3A3E"/>
    <w:rsid w:val="00CC3B12"/>
    <w:rsid w:val="00CC3DC9"/>
    <w:rsid w:val="00CC3DEB"/>
    <w:rsid w:val="00CC3E54"/>
    <w:rsid w:val="00CC3FD7"/>
    <w:rsid w:val="00CC42A6"/>
    <w:rsid w:val="00CC4420"/>
    <w:rsid w:val="00CC4742"/>
    <w:rsid w:val="00CC4971"/>
    <w:rsid w:val="00CC5335"/>
    <w:rsid w:val="00CC53D7"/>
    <w:rsid w:val="00CC5411"/>
    <w:rsid w:val="00CC54A2"/>
    <w:rsid w:val="00CC58B6"/>
    <w:rsid w:val="00CC59DC"/>
    <w:rsid w:val="00CC6109"/>
    <w:rsid w:val="00CC68EE"/>
    <w:rsid w:val="00CC6CCA"/>
    <w:rsid w:val="00CC6D17"/>
    <w:rsid w:val="00CC6EE2"/>
    <w:rsid w:val="00CC7E80"/>
    <w:rsid w:val="00CD02CF"/>
    <w:rsid w:val="00CD0D26"/>
    <w:rsid w:val="00CD13B8"/>
    <w:rsid w:val="00CD16CF"/>
    <w:rsid w:val="00CD1B03"/>
    <w:rsid w:val="00CD1C72"/>
    <w:rsid w:val="00CD1DF1"/>
    <w:rsid w:val="00CD1E47"/>
    <w:rsid w:val="00CD1F0E"/>
    <w:rsid w:val="00CD2116"/>
    <w:rsid w:val="00CD2FCC"/>
    <w:rsid w:val="00CD3179"/>
    <w:rsid w:val="00CD3287"/>
    <w:rsid w:val="00CD3C2F"/>
    <w:rsid w:val="00CD3FCB"/>
    <w:rsid w:val="00CD4386"/>
    <w:rsid w:val="00CD4B47"/>
    <w:rsid w:val="00CD4CB2"/>
    <w:rsid w:val="00CD4CF8"/>
    <w:rsid w:val="00CD4EF7"/>
    <w:rsid w:val="00CD50E0"/>
    <w:rsid w:val="00CD5341"/>
    <w:rsid w:val="00CD53C3"/>
    <w:rsid w:val="00CD5691"/>
    <w:rsid w:val="00CD585D"/>
    <w:rsid w:val="00CD5894"/>
    <w:rsid w:val="00CD6723"/>
    <w:rsid w:val="00CD7391"/>
    <w:rsid w:val="00CD7731"/>
    <w:rsid w:val="00CD79F8"/>
    <w:rsid w:val="00CE0139"/>
    <w:rsid w:val="00CE0213"/>
    <w:rsid w:val="00CE058C"/>
    <w:rsid w:val="00CE0BFC"/>
    <w:rsid w:val="00CE0D90"/>
    <w:rsid w:val="00CE0DA8"/>
    <w:rsid w:val="00CE1347"/>
    <w:rsid w:val="00CE145F"/>
    <w:rsid w:val="00CE172B"/>
    <w:rsid w:val="00CE1CE9"/>
    <w:rsid w:val="00CE1F05"/>
    <w:rsid w:val="00CE2560"/>
    <w:rsid w:val="00CE2A00"/>
    <w:rsid w:val="00CE2BCE"/>
    <w:rsid w:val="00CE38A3"/>
    <w:rsid w:val="00CE3A97"/>
    <w:rsid w:val="00CE3C4B"/>
    <w:rsid w:val="00CE4516"/>
    <w:rsid w:val="00CE4AF4"/>
    <w:rsid w:val="00CE4D4A"/>
    <w:rsid w:val="00CE4D8A"/>
    <w:rsid w:val="00CE4FBC"/>
    <w:rsid w:val="00CE548D"/>
    <w:rsid w:val="00CE5620"/>
    <w:rsid w:val="00CE56EA"/>
    <w:rsid w:val="00CE58AA"/>
    <w:rsid w:val="00CE5D4C"/>
    <w:rsid w:val="00CE6082"/>
    <w:rsid w:val="00CE682C"/>
    <w:rsid w:val="00CE6A0C"/>
    <w:rsid w:val="00CE7269"/>
    <w:rsid w:val="00CE727E"/>
    <w:rsid w:val="00CE7291"/>
    <w:rsid w:val="00CE75D4"/>
    <w:rsid w:val="00CE7674"/>
    <w:rsid w:val="00CE77BF"/>
    <w:rsid w:val="00CF077F"/>
    <w:rsid w:val="00CF1006"/>
    <w:rsid w:val="00CF1127"/>
    <w:rsid w:val="00CF131F"/>
    <w:rsid w:val="00CF1455"/>
    <w:rsid w:val="00CF15A7"/>
    <w:rsid w:val="00CF15F5"/>
    <w:rsid w:val="00CF2317"/>
    <w:rsid w:val="00CF2633"/>
    <w:rsid w:val="00CF2899"/>
    <w:rsid w:val="00CF2B60"/>
    <w:rsid w:val="00CF3144"/>
    <w:rsid w:val="00CF3431"/>
    <w:rsid w:val="00CF350A"/>
    <w:rsid w:val="00CF39B9"/>
    <w:rsid w:val="00CF3A4E"/>
    <w:rsid w:val="00CF3C9A"/>
    <w:rsid w:val="00CF3DFF"/>
    <w:rsid w:val="00CF3F57"/>
    <w:rsid w:val="00CF42A8"/>
    <w:rsid w:val="00CF4C95"/>
    <w:rsid w:val="00CF5B89"/>
    <w:rsid w:val="00CF5C31"/>
    <w:rsid w:val="00CF5F93"/>
    <w:rsid w:val="00CF646C"/>
    <w:rsid w:val="00CF65BF"/>
    <w:rsid w:val="00CF6F1F"/>
    <w:rsid w:val="00CF6F5A"/>
    <w:rsid w:val="00CF72D5"/>
    <w:rsid w:val="00CF73C5"/>
    <w:rsid w:val="00CF7944"/>
    <w:rsid w:val="00CF7C9A"/>
    <w:rsid w:val="00CF7EAF"/>
    <w:rsid w:val="00D00939"/>
    <w:rsid w:val="00D00C09"/>
    <w:rsid w:val="00D00DCC"/>
    <w:rsid w:val="00D0127F"/>
    <w:rsid w:val="00D01578"/>
    <w:rsid w:val="00D015AF"/>
    <w:rsid w:val="00D01637"/>
    <w:rsid w:val="00D01D7F"/>
    <w:rsid w:val="00D01E94"/>
    <w:rsid w:val="00D0220D"/>
    <w:rsid w:val="00D0269A"/>
    <w:rsid w:val="00D0276F"/>
    <w:rsid w:val="00D02B9C"/>
    <w:rsid w:val="00D02DFB"/>
    <w:rsid w:val="00D02E19"/>
    <w:rsid w:val="00D031C2"/>
    <w:rsid w:val="00D0450D"/>
    <w:rsid w:val="00D04882"/>
    <w:rsid w:val="00D049A7"/>
    <w:rsid w:val="00D057FC"/>
    <w:rsid w:val="00D05CA9"/>
    <w:rsid w:val="00D05E55"/>
    <w:rsid w:val="00D066A8"/>
    <w:rsid w:val="00D067B5"/>
    <w:rsid w:val="00D06874"/>
    <w:rsid w:val="00D069D6"/>
    <w:rsid w:val="00D06A33"/>
    <w:rsid w:val="00D06D1E"/>
    <w:rsid w:val="00D07731"/>
    <w:rsid w:val="00D077B5"/>
    <w:rsid w:val="00D07912"/>
    <w:rsid w:val="00D07A52"/>
    <w:rsid w:val="00D1060B"/>
    <w:rsid w:val="00D10BEE"/>
    <w:rsid w:val="00D10D51"/>
    <w:rsid w:val="00D11342"/>
    <w:rsid w:val="00D114AD"/>
    <w:rsid w:val="00D11539"/>
    <w:rsid w:val="00D115CC"/>
    <w:rsid w:val="00D117F6"/>
    <w:rsid w:val="00D11BEF"/>
    <w:rsid w:val="00D11CA0"/>
    <w:rsid w:val="00D11D7C"/>
    <w:rsid w:val="00D11DD7"/>
    <w:rsid w:val="00D132D7"/>
    <w:rsid w:val="00D1334A"/>
    <w:rsid w:val="00D134B8"/>
    <w:rsid w:val="00D134ED"/>
    <w:rsid w:val="00D140B5"/>
    <w:rsid w:val="00D144BF"/>
    <w:rsid w:val="00D14784"/>
    <w:rsid w:val="00D14A5F"/>
    <w:rsid w:val="00D14CD6"/>
    <w:rsid w:val="00D14D47"/>
    <w:rsid w:val="00D14E8E"/>
    <w:rsid w:val="00D155BC"/>
    <w:rsid w:val="00D1568B"/>
    <w:rsid w:val="00D15761"/>
    <w:rsid w:val="00D15867"/>
    <w:rsid w:val="00D15A15"/>
    <w:rsid w:val="00D15B64"/>
    <w:rsid w:val="00D16A16"/>
    <w:rsid w:val="00D16BC1"/>
    <w:rsid w:val="00D174CB"/>
    <w:rsid w:val="00D17D93"/>
    <w:rsid w:val="00D17DF4"/>
    <w:rsid w:val="00D17DFF"/>
    <w:rsid w:val="00D17FF3"/>
    <w:rsid w:val="00D2000E"/>
    <w:rsid w:val="00D20058"/>
    <w:rsid w:val="00D202E1"/>
    <w:rsid w:val="00D210E3"/>
    <w:rsid w:val="00D21185"/>
    <w:rsid w:val="00D21221"/>
    <w:rsid w:val="00D213A9"/>
    <w:rsid w:val="00D21718"/>
    <w:rsid w:val="00D21846"/>
    <w:rsid w:val="00D2197E"/>
    <w:rsid w:val="00D21D33"/>
    <w:rsid w:val="00D22D9C"/>
    <w:rsid w:val="00D22E03"/>
    <w:rsid w:val="00D22FB9"/>
    <w:rsid w:val="00D231D6"/>
    <w:rsid w:val="00D2330A"/>
    <w:rsid w:val="00D233AE"/>
    <w:rsid w:val="00D24479"/>
    <w:rsid w:val="00D247FD"/>
    <w:rsid w:val="00D24C30"/>
    <w:rsid w:val="00D24CC0"/>
    <w:rsid w:val="00D24F00"/>
    <w:rsid w:val="00D24FEF"/>
    <w:rsid w:val="00D25CB6"/>
    <w:rsid w:val="00D25E8C"/>
    <w:rsid w:val="00D26068"/>
    <w:rsid w:val="00D260CE"/>
    <w:rsid w:val="00D263F7"/>
    <w:rsid w:val="00D266BF"/>
    <w:rsid w:val="00D266C6"/>
    <w:rsid w:val="00D26AD5"/>
    <w:rsid w:val="00D26B39"/>
    <w:rsid w:val="00D271C2"/>
    <w:rsid w:val="00D271CB"/>
    <w:rsid w:val="00D27996"/>
    <w:rsid w:val="00D27D9E"/>
    <w:rsid w:val="00D301B7"/>
    <w:rsid w:val="00D30CC2"/>
    <w:rsid w:val="00D30D22"/>
    <w:rsid w:val="00D311BA"/>
    <w:rsid w:val="00D31706"/>
    <w:rsid w:val="00D3187C"/>
    <w:rsid w:val="00D319E4"/>
    <w:rsid w:val="00D3204F"/>
    <w:rsid w:val="00D3274E"/>
    <w:rsid w:val="00D32C64"/>
    <w:rsid w:val="00D32DC8"/>
    <w:rsid w:val="00D32E78"/>
    <w:rsid w:val="00D32EC0"/>
    <w:rsid w:val="00D32F5A"/>
    <w:rsid w:val="00D330BF"/>
    <w:rsid w:val="00D330F5"/>
    <w:rsid w:val="00D33543"/>
    <w:rsid w:val="00D33943"/>
    <w:rsid w:val="00D33A9E"/>
    <w:rsid w:val="00D33C12"/>
    <w:rsid w:val="00D33C71"/>
    <w:rsid w:val="00D34208"/>
    <w:rsid w:val="00D345B9"/>
    <w:rsid w:val="00D34955"/>
    <w:rsid w:val="00D34D2B"/>
    <w:rsid w:val="00D34FFD"/>
    <w:rsid w:val="00D35274"/>
    <w:rsid w:val="00D35695"/>
    <w:rsid w:val="00D35C43"/>
    <w:rsid w:val="00D362FE"/>
    <w:rsid w:val="00D36B51"/>
    <w:rsid w:val="00D36DF9"/>
    <w:rsid w:val="00D36F21"/>
    <w:rsid w:val="00D36F91"/>
    <w:rsid w:val="00D37081"/>
    <w:rsid w:val="00D378D9"/>
    <w:rsid w:val="00D37DD4"/>
    <w:rsid w:val="00D37E43"/>
    <w:rsid w:val="00D4061F"/>
    <w:rsid w:val="00D40FE6"/>
    <w:rsid w:val="00D4139B"/>
    <w:rsid w:val="00D41930"/>
    <w:rsid w:val="00D42716"/>
    <w:rsid w:val="00D428E8"/>
    <w:rsid w:val="00D429B0"/>
    <w:rsid w:val="00D4325B"/>
    <w:rsid w:val="00D44732"/>
    <w:rsid w:val="00D44E4B"/>
    <w:rsid w:val="00D44FA5"/>
    <w:rsid w:val="00D450B3"/>
    <w:rsid w:val="00D4511C"/>
    <w:rsid w:val="00D45205"/>
    <w:rsid w:val="00D4592D"/>
    <w:rsid w:val="00D45C00"/>
    <w:rsid w:val="00D45E34"/>
    <w:rsid w:val="00D45E8A"/>
    <w:rsid w:val="00D4611C"/>
    <w:rsid w:val="00D465C1"/>
    <w:rsid w:val="00D46870"/>
    <w:rsid w:val="00D46D0B"/>
    <w:rsid w:val="00D46F2A"/>
    <w:rsid w:val="00D46F8E"/>
    <w:rsid w:val="00D47135"/>
    <w:rsid w:val="00D471F3"/>
    <w:rsid w:val="00D47B45"/>
    <w:rsid w:val="00D504F0"/>
    <w:rsid w:val="00D51102"/>
    <w:rsid w:val="00D51BFB"/>
    <w:rsid w:val="00D51D59"/>
    <w:rsid w:val="00D52510"/>
    <w:rsid w:val="00D527E4"/>
    <w:rsid w:val="00D52C0D"/>
    <w:rsid w:val="00D52DF9"/>
    <w:rsid w:val="00D52E96"/>
    <w:rsid w:val="00D531CA"/>
    <w:rsid w:val="00D5383A"/>
    <w:rsid w:val="00D539FA"/>
    <w:rsid w:val="00D54040"/>
    <w:rsid w:val="00D540E5"/>
    <w:rsid w:val="00D54923"/>
    <w:rsid w:val="00D54BA2"/>
    <w:rsid w:val="00D551EF"/>
    <w:rsid w:val="00D55BCF"/>
    <w:rsid w:val="00D56A81"/>
    <w:rsid w:val="00D56B06"/>
    <w:rsid w:val="00D56ECF"/>
    <w:rsid w:val="00D5726E"/>
    <w:rsid w:val="00D575A5"/>
    <w:rsid w:val="00D5787B"/>
    <w:rsid w:val="00D60A91"/>
    <w:rsid w:val="00D60F04"/>
    <w:rsid w:val="00D61015"/>
    <w:rsid w:val="00D61146"/>
    <w:rsid w:val="00D614A4"/>
    <w:rsid w:val="00D622BC"/>
    <w:rsid w:val="00D6241F"/>
    <w:rsid w:val="00D62594"/>
    <w:rsid w:val="00D625D6"/>
    <w:rsid w:val="00D626AE"/>
    <w:rsid w:val="00D62AAC"/>
    <w:rsid w:val="00D62EBF"/>
    <w:rsid w:val="00D631C2"/>
    <w:rsid w:val="00D63830"/>
    <w:rsid w:val="00D638BB"/>
    <w:rsid w:val="00D647DE"/>
    <w:rsid w:val="00D64933"/>
    <w:rsid w:val="00D64AD5"/>
    <w:rsid w:val="00D64C75"/>
    <w:rsid w:val="00D64D99"/>
    <w:rsid w:val="00D64E2C"/>
    <w:rsid w:val="00D6546D"/>
    <w:rsid w:val="00D65C89"/>
    <w:rsid w:val="00D668E0"/>
    <w:rsid w:val="00D66A14"/>
    <w:rsid w:val="00D66D49"/>
    <w:rsid w:val="00D66F4B"/>
    <w:rsid w:val="00D6720C"/>
    <w:rsid w:val="00D67434"/>
    <w:rsid w:val="00D67943"/>
    <w:rsid w:val="00D67B45"/>
    <w:rsid w:val="00D67E78"/>
    <w:rsid w:val="00D707D5"/>
    <w:rsid w:val="00D70F4E"/>
    <w:rsid w:val="00D70F90"/>
    <w:rsid w:val="00D70FC3"/>
    <w:rsid w:val="00D71E9D"/>
    <w:rsid w:val="00D72356"/>
    <w:rsid w:val="00D7245F"/>
    <w:rsid w:val="00D726A8"/>
    <w:rsid w:val="00D727E1"/>
    <w:rsid w:val="00D7289D"/>
    <w:rsid w:val="00D72D3A"/>
    <w:rsid w:val="00D7320E"/>
    <w:rsid w:val="00D7331F"/>
    <w:rsid w:val="00D73648"/>
    <w:rsid w:val="00D736BD"/>
    <w:rsid w:val="00D73953"/>
    <w:rsid w:val="00D73CD3"/>
    <w:rsid w:val="00D747E6"/>
    <w:rsid w:val="00D74869"/>
    <w:rsid w:val="00D74DAA"/>
    <w:rsid w:val="00D74DB1"/>
    <w:rsid w:val="00D74DB5"/>
    <w:rsid w:val="00D750FA"/>
    <w:rsid w:val="00D75120"/>
    <w:rsid w:val="00D75265"/>
    <w:rsid w:val="00D75644"/>
    <w:rsid w:val="00D757C5"/>
    <w:rsid w:val="00D75B93"/>
    <w:rsid w:val="00D765AE"/>
    <w:rsid w:val="00D76E7D"/>
    <w:rsid w:val="00D771B6"/>
    <w:rsid w:val="00D772E7"/>
    <w:rsid w:val="00D772ED"/>
    <w:rsid w:val="00D80B0D"/>
    <w:rsid w:val="00D814EF"/>
    <w:rsid w:val="00D81542"/>
    <w:rsid w:val="00D818A2"/>
    <w:rsid w:val="00D81F60"/>
    <w:rsid w:val="00D82F96"/>
    <w:rsid w:val="00D8303B"/>
    <w:rsid w:val="00D83151"/>
    <w:rsid w:val="00D83158"/>
    <w:rsid w:val="00D83234"/>
    <w:rsid w:val="00D834FF"/>
    <w:rsid w:val="00D83B29"/>
    <w:rsid w:val="00D83BBF"/>
    <w:rsid w:val="00D83D64"/>
    <w:rsid w:val="00D841BE"/>
    <w:rsid w:val="00D8504D"/>
    <w:rsid w:val="00D85527"/>
    <w:rsid w:val="00D855EE"/>
    <w:rsid w:val="00D858D7"/>
    <w:rsid w:val="00D85B97"/>
    <w:rsid w:val="00D86A8E"/>
    <w:rsid w:val="00D86B19"/>
    <w:rsid w:val="00D86D65"/>
    <w:rsid w:val="00D870AA"/>
    <w:rsid w:val="00D873F3"/>
    <w:rsid w:val="00D8758E"/>
    <w:rsid w:val="00D877D3"/>
    <w:rsid w:val="00D9059F"/>
    <w:rsid w:val="00D90946"/>
    <w:rsid w:val="00D909B1"/>
    <w:rsid w:val="00D90D20"/>
    <w:rsid w:val="00D90D85"/>
    <w:rsid w:val="00D91104"/>
    <w:rsid w:val="00D9127F"/>
    <w:rsid w:val="00D912A1"/>
    <w:rsid w:val="00D91464"/>
    <w:rsid w:val="00D91482"/>
    <w:rsid w:val="00D91A85"/>
    <w:rsid w:val="00D91BB0"/>
    <w:rsid w:val="00D92082"/>
    <w:rsid w:val="00D920C1"/>
    <w:rsid w:val="00D92136"/>
    <w:rsid w:val="00D9283F"/>
    <w:rsid w:val="00D928E6"/>
    <w:rsid w:val="00D9294B"/>
    <w:rsid w:val="00D92952"/>
    <w:rsid w:val="00D92D6B"/>
    <w:rsid w:val="00D92DB2"/>
    <w:rsid w:val="00D932B0"/>
    <w:rsid w:val="00D9356F"/>
    <w:rsid w:val="00D93E1A"/>
    <w:rsid w:val="00D93F8A"/>
    <w:rsid w:val="00D94820"/>
    <w:rsid w:val="00D94909"/>
    <w:rsid w:val="00D94EDE"/>
    <w:rsid w:val="00D94F91"/>
    <w:rsid w:val="00D95AEE"/>
    <w:rsid w:val="00D95B52"/>
    <w:rsid w:val="00D95DFA"/>
    <w:rsid w:val="00D95F49"/>
    <w:rsid w:val="00D9607A"/>
    <w:rsid w:val="00D96349"/>
    <w:rsid w:val="00D96726"/>
    <w:rsid w:val="00D96790"/>
    <w:rsid w:val="00D96AFD"/>
    <w:rsid w:val="00D970DF"/>
    <w:rsid w:val="00D9771F"/>
    <w:rsid w:val="00D9794A"/>
    <w:rsid w:val="00D97BFD"/>
    <w:rsid w:val="00D97C07"/>
    <w:rsid w:val="00D97F71"/>
    <w:rsid w:val="00DA0244"/>
    <w:rsid w:val="00DA0268"/>
    <w:rsid w:val="00DA055D"/>
    <w:rsid w:val="00DA07C4"/>
    <w:rsid w:val="00DA1030"/>
    <w:rsid w:val="00DA170D"/>
    <w:rsid w:val="00DA19D1"/>
    <w:rsid w:val="00DA22E8"/>
    <w:rsid w:val="00DA23FA"/>
    <w:rsid w:val="00DA2ECD"/>
    <w:rsid w:val="00DA2F4F"/>
    <w:rsid w:val="00DA3AB5"/>
    <w:rsid w:val="00DA3B2E"/>
    <w:rsid w:val="00DA409F"/>
    <w:rsid w:val="00DA46D3"/>
    <w:rsid w:val="00DA4865"/>
    <w:rsid w:val="00DA4D17"/>
    <w:rsid w:val="00DA4DD4"/>
    <w:rsid w:val="00DA4EBF"/>
    <w:rsid w:val="00DA4FF3"/>
    <w:rsid w:val="00DA51D0"/>
    <w:rsid w:val="00DA5389"/>
    <w:rsid w:val="00DA5BCF"/>
    <w:rsid w:val="00DA5F2B"/>
    <w:rsid w:val="00DA6066"/>
    <w:rsid w:val="00DA69D2"/>
    <w:rsid w:val="00DB067F"/>
    <w:rsid w:val="00DB0A3C"/>
    <w:rsid w:val="00DB11DB"/>
    <w:rsid w:val="00DB15AB"/>
    <w:rsid w:val="00DB167A"/>
    <w:rsid w:val="00DB1B25"/>
    <w:rsid w:val="00DB1CDA"/>
    <w:rsid w:val="00DB2138"/>
    <w:rsid w:val="00DB273B"/>
    <w:rsid w:val="00DB275A"/>
    <w:rsid w:val="00DB2EDB"/>
    <w:rsid w:val="00DB3872"/>
    <w:rsid w:val="00DB3A46"/>
    <w:rsid w:val="00DB3DE2"/>
    <w:rsid w:val="00DB42A7"/>
    <w:rsid w:val="00DB4713"/>
    <w:rsid w:val="00DB4799"/>
    <w:rsid w:val="00DB4DDE"/>
    <w:rsid w:val="00DB53E6"/>
    <w:rsid w:val="00DB53E7"/>
    <w:rsid w:val="00DB58F8"/>
    <w:rsid w:val="00DB5A3D"/>
    <w:rsid w:val="00DB5BF2"/>
    <w:rsid w:val="00DB6853"/>
    <w:rsid w:val="00DB6B64"/>
    <w:rsid w:val="00DB6D18"/>
    <w:rsid w:val="00DB6D72"/>
    <w:rsid w:val="00DB6EB1"/>
    <w:rsid w:val="00DB792E"/>
    <w:rsid w:val="00DB7988"/>
    <w:rsid w:val="00DB7A25"/>
    <w:rsid w:val="00DB7A5C"/>
    <w:rsid w:val="00DB7B35"/>
    <w:rsid w:val="00DB7C2C"/>
    <w:rsid w:val="00DB7CCC"/>
    <w:rsid w:val="00DB7D91"/>
    <w:rsid w:val="00DB7ECF"/>
    <w:rsid w:val="00DC00D9"/>
    <w:rsid w:val="00DC08A0"/>
    <w:rsid w:val="00DC0919"/>
    <w:rsid w:val="00DC09CB"/>
    <w:rsid w:val="00DC19FF"/>
    <w:rsid w:val="00DC1B35"/>
    <w:rsid w:val="00DC1F5A"/>
    <w:rsid w:val="00DC2FC7"/>
    <w:rsid w:val="00DC3482"/>
    <w:rsid w:val="00DC363B"/>
    <w:rsid w:val="00DC3661"/>
    <w:rsid w:val="00DC3800"/>
    <w:rsid w:val="00DC3B6F"/>
    <w:rsid w:val="00DC3D02"/>
    <w:rsid w:val="00DC40DC"/>
    <w:rsid w:val="00DC4185"/>
    <w:rsid w:val="00DC4337"/>
    <w:rsid w:val="00DC4F28"/>
    <w:rsid w:val="00DC50D5"/>
    <w:rsid w:val="00DC5586"/>
    <w:rsid w:val="00DC562B"/>
    <w:rsid w:val="00DC5814"/>
    <w:rsid w:val="00DC58F8"/>
    <w:rsid w:val="00DC5A67"/>
    <w:rsid w:val="00DC5AE1"/>
    <w:rsid w:val="00DC644B"/>
    <w:rsid w:val="00DC66D5"/>
    <w:rsid w:val="00DC6763"/>
    <w:rsid w:val="00DC6F2A"/>
    <w:rsid w:val="00DC6F5C"/>
    <w:rsid w:val="00DC7119"/>
    <w:rsid w:val="00DC76B8"/>
    <w:rsid w:val="00DC78BD"/>
    <w:rsid w:val="00DC7C35"/>
    <w:rsid w:val="00DC7CD8"/>
    <w:rsid w:val="00DD0FB0"/>
    <w:rsid w:val="00DD10A8"/>
    <w:rsid w:val="00DD1222"/>
    <w:rsid w:val="00DD1311"/>
    <w:rsid w:val="00DD1739"/>
    <w:rsid w:val="00DD1905"/>
    <w:rsid w:val="00DD1EA8"/>
    <w:rsid w:val="00DD24A1"/>
    <w:rsid w:val="00DD2774"/>
    <w:rsid w:val="00DD2ECA"/>
    <w:rsid w:val="00DD382A"/>
    <w:rsid w:val="00DD3CBB"/>
    <w:rsid w:val="00DD3ECA"/>
    <w:rsid w:val="00DD4043"/>
    <w:rsid w:val="00DD432B"/>
    <w:rsid w:val="00DD46FA"/>
    <w:rsid w:val="00DD4778"/>
    <w:rsid w:val="00DD479E"/>
    <w:rsid w:val="00DD4899"/>
    <w:rsid w:val="00DD495D"/>
    <w:rsid w:val="00DD4B9E"/>
    <w:rsid w:val="00DD556A"/>
    <w:rsid w:val="00DD57CE"/>
    <w:rsid w:val="00DD5B72"/>
    <w:rsid w:val="00DD5D28"/>
    <w:rsid w:val="00DD626D"/>
    <w:rsid w:val="00DD667D"/>
    <w:rsid w:val="00DD6A54"/>
    <w:rsid w:val="00DD6EE0"/>
    <w:rsid w:val="00DD6EF2"/>
    <w:rsid w:val="00DD74B0"/>
    <w:rsid w:val="00DD7BAB"/>
    <w:rsid w:val="00DE0066"/>
    <w:rsid w:val="00DE020F"/>
    <w:rsid w:val="00DE0AC3"/>
    <w:rsid w:val="00DE0C18"/>
    <w:rsid w:val="00DE11EF"/>
    <w:rsid w:val="00DE19EF"/>
    <w:rsid w:val="00DE1C42"/>
    <w:rsid w:val="00DE2270"/>
    <w:rsid w:val="00DE25DA"/>
    <w:rsid w:val="00DE26E7"/>
    <w:rsid w:val="00DE290C"/>
    <w:rsid w:val="00DE2BDC"/>
    <w:rsid w:val="00DE330B"/>
    <w:rsid w:val="00DE34E4"/>
    <w:rsid w:val="00DE376A"/>
    <w:rsid w:val="00DE38B2"/>
    <w:rsid w:val="00DE3AD8"/>
    <w:rsid w:val="00DE3E91"/>
    <w:rsid w:val="00DE41B6"/>
    <w:rsid w:val="00DE42E7"/>
    <w:rsid w:val="00DE4491"/>
    <w:rsid w:val="00DE48DD"/>
    <w:rsid w:val="00DE501A"/>
    <w:rsid w:val="00DE5068"/>
    <w:rsid w:val="00DE5076"/>
    <w:rsid w:val="00DE57B3"/>
    <w:rsid w:val="00DE5B98"/>
    <w:rsid w:val="00DE5C21"/>
    <w:rsid w:val="00DE6157"/>
    <w:rsid w:val="00DE6556"/>
    <w:rsid w:val="00DE65A5"/>
    <w:rsid w:val="00DE66A1"/>
    <w:rsid w:val="00DE688A"/>
    <w:rsid w:val="00DE690B"/>
    <w:rsid w:val="00DE6E58"/>
    <w:rsid w:val="00DE6F17"/>
    <w:rsid w:val="00DE72E8"/>
    <w:rsid w:val="00DE745B"/>
    <w:rsid w:val="00DE754B"/>
    <w:rsid w:val="00DE759E"/>
    <w:rsid w:val="00DE782B"/>
    <w:rsid w:val="00DE7852"/>
    <w:rsid w:val="00DE78BA"/>
    <w:rsid w:val="00DE7E49"/>
    <w:rsid w:val="00DE7E8C"/>
    <w:rsid w:val="00DF0076"/>
    <w:rsid w:val="00DF00CA"/>
    <w:rsid w:val="00DF06DF"/>
    <w:rsid w:val="00DF083F"/>
    <w:rsid w:val="00DF08D9"/>
    <w:rsid w:val="00DF0A0D"/>
    <w:rsid w:val="00DF0B41"/>
    <w:rsid w:val="00DF0B70"/>
    <w:rsid w:val="00DF0D3B"/>
    <w:rsid w:val="00DF0FC6"/>
    <w:rsid w:val="00DF1208"/>
    <w:rsid w:val="00DF190E"/>
    <w:rsid w:val="00DF1AD0"/>
    <w:rsid w:val="00DF3520"/>
    <w:rsid w:val="00DF42A6"/>
    <w:rsid w:val="00DF45C4"/>
    <w:rsid w:val="00DF4DCC"/>
    <w:rsid w:val="00DF5032"/>
    <w:rsid w:val="00DF5166"/>
    <w:rsid w:val="00DF5259"/>
    <w:rsid w:val="00DF5BE3"/>
    <w:rsid w:val="00DF607E"/>
    <w:rsid w:val="00DF71B8"/>
    <w:rsid w:val="00DF71C6"/>
    <w:rsid w:val="00DF7999"/>
    <w:rsid w:val="00DF7EA0"/>
    <w:rsid w:val="00E00735"/>
    <w:rsid w:val="00E00A54"/>
    <w:rsid w:val="00E00DF0"/>
    <w:rsid w:val="00E01037"/>
    <w:rsid w:val="00E01134"/>
    <w:rsid w:val="00E01B06"/>
    <w:rsid w:val="00E01B90"/>
    <w:rsid w:val="00E01D61"/>
    <w:rsid w:val="00E02342"/>
    <w:rsid w:val="00E0271D"/>
    <w:rsid w:val="00E02F25"/>
    <w:rsid w:val="00E0304C"/>
    <w:rsid w:val="00E03147"/>
    <w:rsid w:val="00E031EF"/>
    <w:rsid w:val="00E033B2"/>
    <w:rsid w:val="00E03E13"/>
    <w:rsid w:val="00E04395"/>
    <w:rsid w:val="00E04BC8"/>
    <w:rsid w:val="00E04C0E"/>
    <w:rsid w:val="00E04D8C"/>
    <w:rsid w:val="00E0545C"/>
    <w:rsid w:val="00E0545D"/>
    <w:rsid w:val="00E05623"/>
    <w:rsid w:val="00E05C72"/>
    <w:rsid w:val="00E06092"/>
    <w:rsid w:val="00E060DB"/>
    <w:rsid w:val="00E064D7"/>
    <w:rsid w:val="00E06703"/>
    <w:rsid w:val="00E0681A"/>
    <w:rsid w:val="00E0687F"/>
    <w:rsid w:val="00E06D07"/>
    <w:rsid w:val="00E06D48"/>
    <w:rsid w:val="00E06DB8"/>
    <w:rsid w:val="00E06F0D"/>
    <w:rsid w:val="00E0723F"/>
    <w:rsid w:val="00E074BE"/>
    <w:rsid w:val="00E075CF"/>
    <w:rsid w:val="00E07815"/>
    <w:rsid w:val="00E0796B"/>
    <w:rsid w:val="00E07F32"/>
    <w:rsid w:val="00E10251"/>
    <w:rsid w:val="00E102F8"/>
    <w:rsid w:val="00E103E7"/>
    <w:rsid w:val="00E10CDC"/>
    <w:rsid w:val="00E10DFD"/>
    <w:rsid w:val="00E11131"/>
    <w:rsid w:val="00E111F8"/>
    <w:rsid w:val="00E11B59"/>
    <w:rsid w:val="00E11BE4"/>
    <w:rsid w:val="00E12744"/>
    <w:rsid w:val="00E12867"/>
    <w:rsid w:val="00E13452"/>
    <w:rsid w:val="00E1393E"/>
    <w:rsid w:val="00E13E7A"/>
    <w:rsid w:val="00E140B4"/>
    <w:rsid w:val="00E141C9"/>
    <w:rsid w:val="00E14231"/>
    <w:rsid w:val="00E14262"/>
    <w:rsid w:val="00E14613"/>
    <w:rsid w:val="00E1521F"/>
    <w:rsid w:val="00E15719"/>
    <w:rsid w:val="00E157D3"/>
    <w:rsid w:val="00E15862"/>
    <w:rsid w:val="00E15B35"/>
    <w:rsid w:val="00E15FAB"/>
    <w:rsid w:val="00E160A9"/>
    <w:rsid w:val="00E162B8"/>
    <w:rsid w:val="00E1630D"/>
    <w:rsid w:val="00E16564"/>
    <w:rsid w:val="00E16665"/>
    <w:rsid w:val="00E17895"/>
    <w:rsid w:val="00E179C2"/>
    <w:rsid w:val="00E17C97"/>
    <w:rsid w:val="00E17F94"/>
    <w:rsid w:val="00E200F0"/>
    <w:rsid w:val="00E208AD"/>
    <w:rsid w:val="00E209C9"/>
    <w:rsid w:val="00E20B4E"/>
    <w:rsid w:val="00E20F3C"/>
    <w:rsid w:val="00E21190"/>
    <w:rsid w:val="00E21A19"/>
    <w:rsid w:val="00E21E63"/>
    <w:rsid w:val="00E21EEB"/>
    <w:rsid w:val="00E21F5B"/>
    <w:rsid w:val="00E220B6"/>
    <w:rsid w:val="00E22112"/>
    <w:rsid w:val="00E228CC"/>
    <w:rsid w:val="00E22AF0"/>
    <w:rsid w:val="00E22B70"/>
    <w:rsid w:val="00E23052"/>
    <w:rsid w:val="00E23244"/>
    <w:rsid w:val="00E23377"/>
    <w:rsid w:val="00E2337D"/>
    <w:rsid w:val="00E2348F"/>
    <w:rsid w:val="00E23636"/>
    <w:rsid w:val="00E2381C"/>
    <w:rsid w:val="00E23B83"/>
    <w:rsid w:val="00E23E3F"/>
    <w:rsid w:val="00E241F1"/>
    <w:rsid w:val="00E258AB"/>
    <w:rsid w:val="00E25B23"/>
    <w:rsid w:val="00E26072"/>
    <w:rsid w:val="00E261E5"/>
    <w:rsid w:val="00E26A3E"/>
    <w:rsid w:val="00E26F01"/>
    <w:rsid w:val="00E270D8"/>
    <w:rsid w:val="00E27127"/>
    <w:rsid w:val="00E273CE"/>
    <w:rsid w:val="00E27461"/>
    <w:rsid w:val="00E27470"/>
    <w:rsid w:val="00E274E2"/>
    <w:rsid w:val="00E27549"/>
    <w:rsid w:val="00E2781D"/>
    <w:rsid w:val="00E27929"/>
    <w:rsid w:val="00E30033"/>
    <w:rsid w:val="00E302B7"/>
    <w:rsid w:val="00E30904"/>
    <w:rsid w:val="00E30CCE"/>
    <w:rsid w:val="00E30F2B"/>
    <w:rsid w:val="00E30F62"/>
    <w:rsid w:val="00E30FDF"/>
    <w:rsid w:val="00E3121D"/>
    <w:rsid w:val="00E313CB"/>
    <w:rsid w:val="00E318DB"/>
    <w:rsid w:val="00E31CAF"/>
    <w:rsid w:val="00E321BC"/>
    <w:rsid w:val="00E323E7"/>
    <w:rsid w:val="00E3260C"/>
    <w:rsid w:val="00E32BC8"/>
    <w:rsid w:val="00E32E68"/>
    <w:rsid w:val="00E3335C"/>
    <w:rsid w:val="00E3368D"/>
    <w:rsid w:val="00E33738"/>
    <w:rsid w:val="00E33839"/>
    <w:rsid w:val="00E33909"/>
    <w:rsid w:val="00E339A3"/>
    <w:rsid w:val="00E33AEF"/>
    <w:rsid w:val="00E33C8E"/>
    <w:rsid w:val="00E33F25"/>
    <w:rsid w:val="00E3403B"/>
    <w:rsid w:val="00E34427"/>
    <w:rsid w:val="00E34BC6"/>
    <w:rsid w:val="00E34FF6"/>
    <w:rsid w:val="00E353EF"/>
    <w:rsid w:val="00E35609"/>
    <w:rsid w:val="00E3577B"/>
    <w:rsid w:val="00E35804"/>
    <w:rsid w:val="00E360EA"/>
    <w:rsid w:val="00E36376"/>
    <w:rsid w:val="00E36856"/>
    <w:rsid w:val="00E36BF0"/>
    <w:rsid w:val="00E36EE8"/>
    <w:rsid w:val="00E37245"/>
    <w:rsid w:val="00E37255"/>
    <w:rsid w:val="00E37783"/>
    <w:rsid w:val="00E37CAD"/>
    <w:rsid w:val="00E37E22"/>
    <w:rsid w:val="00E40471"/>
    <w:rsid w:val="00E40AFC"/>
    <w:rsid w:val="00E40D58"/>
    <w:rsid w:val="00E40EBE"/>
    <w:rsid w:val="00E40EC0"/>
    <w:rsid w:val="00E41118"/>
    <w:rsid w:val="00E419C9"/>
    <w:rsid w:val="00E41B2F"/>
    <w:rsid w:val="00E41EBD"/>
    <w:rsid w:val="00E4223A"/>
    <w:rsid w:val="00E422C3"/>
    <w:rsid w:val="00E423E1"/>
    <w:rsid w:val="00E42627"/>
    <w:rsid w:val="00E426FA"/>
    <w:rsid w:val="00E435DB"/>
    <w:rsid w:val="00E43638"/>
    <w:rsid w:val="00E43666"/>
    <w:rsid w:val="00E43BFF"/>
    <w:rsid w:val="00E43E94"/>
    <w:rsid w:val="00E43F0C"/>
    <w:rsid w:val="00E441B4"/>
    <w:rsid w:val="00E4491D"/>
    <w:rsid w:val="00E449D5"/>
    <w:rsid w:val="00E44E46"/>
    <w:rsid w:val="00E45454"/>
    <w:rsid w:val="00E4563C"/>
    <w:rsid w:val="00E45752"/>
    <w:rsid w:val="00E46081"/>
    <w:rsid w:val="00E464E9"/>
    <w:rsid w:val="00E46E6C"/>
    <w:rsid w:val="00E47302"/>
    <w:rsid w:val="00E47676"/>
    <w:rsid w:val="00E500F3"/>
    <w:rsid w:val="00E5044C"/>
    <w:rsid w:val="00E5061E"/>
    <w:rsid w:val="00E50671"/>
    <w:rsid w:val="00E50755"/>
    <w:rsid w:val="00E50761"/>
    <w:rsid w:val="00E509C3"/>
    <w:rsid w:val="00E50BE5"/>
    <w:rsid w:val="00E51192"/>
    <w:rsid w:val="00E516B5"/>
    <w:rsid w:val="00E517CD"/>
    <w:rsid w:val="00E519B0"/>
    <w:rsid w:val="00E51E97"/>
    <w:rsid w:val="00E523CB"/>
    <w:rsid w:val="00E52CFA"/>
    <w:rsid w:val="00E52D7C"/>
    <w:rsid w:val="00E52EC9"/>
    <w:rsid w:val="00E533BA"/>
    <w:rsid w:val="00E533D1"/>
    <w:rsid w:val="00E5399A"/>
    <w:rsid w:val="00E541DA"/>
    <w:rsid w:val="00E54A4D"/>
    <w:rsid w:val="00E54C67"/>
    <w:rsid w:val="00E54F47"/>
    <w:rsid w:val="00E54FBE"/>
    <w:rsid w:val="00E55907"/>
    <w:rsid w:val="00E55E55"/>
    <w:rsid w:val="00E55FCF"/>
    <w:rsid w:val="00E5618A"/>
    <w:rsid w:val="00E56949"/>
    <w:rsid w:val="00E56A9F"/>
    <w:rsid w:val="00E56D80"/>
    <w:rsid w:val="00E56F7C"/>
    <w:rsid w:val="00E57118"/>
    <w:rsid w:val="00E57164"/>
    <w:rsid w:val="00E57FDC"/>
    <w:rsid w:val="00E60314"/>
    <w:rsid w:val="00E60EBD"/>
    <w:rsid w:val="00E61018"/>
    <w:rsid w:val="00E610B2"/>
    <w:rsid w:val="00E61442"/>
    <w:rsid w:val="00E61A02"/>
    <w:rsid w:val="00E61BD5"/>
    <w:rsid w:val="00E6221D"/>
    <w:rsid w:val="00E624DC"/>
    <w:rsid w:val="00E62667"/>
    <w:rsid w:val="00E629F2"/>
    <w:rsid w:val="00E629FD"/>
    <w:rsid w:val="00E62CDB"/>
    <w:rsid w:val="00E62D1B"/>
    <w:rsid w:val="00E62F5E"/>
    <w:rsid w:val="00E6335E"/>
    <w:rsid w:val="00E6377F"/>
    <w:rsid w:val="00E63A92"/>
    <w:rsid w:val="00E63ECB"/>
    <w:rsid w:val="00E644F7"/>
    <w:rsid w:val="00E64696"/>
    <w:rsid w:val="00E64B15"/>
    <w:rsid w:val="00E64BD2"/>
    <w:rsid w:val="00E64CB4"/>
    <w:rsid w:val="00E64F18"/>
    <w:rsid w:val="00E64F4A"/>
    <w:rsid w:val="00E650CD"/>
    <w:rsid w:val="00E65277"/>
    <w:rsid w:val="00E6532E"/>
    <w:rsid w:val="00E6554A"/>
    <w:rsid w:val="00E6556A"/>
    <w:rsid w:val="00E655C2"/>
    <w:rsid w:val="00E65A2D"/>
    <w:rsid w:val="00E65F9E"/>
    <w:rsid w:val="00E65FF1"/>
    <w:rsid w:val="00E664F5"/>
    <w:rsid w:val="00E66DC4"/>
    <w:rsid w:val="00E673C1"/>
    <w:rsid w:val="00E6759A"/>
    <w:rsid w:val="00E675F6"/>
    <w:rsid w:val="00E67640"/>
    <w:rsid w:val="00E6782B"/>
    <w:rsid w:val="00E67C16"/>
    <w:rsid w:val="00E67D66"/>
    <w:rsid w:val="00E701CA"/>
    <w:rsid w:val="00E707BF"/>
    <w:rsid w:val="00E7082A"/>
    <w:rsid w:val="00E7095A"/>
    <w:rsid w:val="00E70A5D"/>
    <w:rsid w:val="00E70C59"/>
    <w:rsid w:val="00E70CC8"/>
    <w:rsid w:val="00E70D7C"/>
    <w:rsid w:val="00E70E23"/>
    <w:rsid w:val="00E71361"/>
    <w:rsid w:val="00E7141A"/>
    <w:rsid w:val="00E71552"/>
    <w:rsid w:val="00E71771"/>
    <w:rsid w:val="00E719D8"/>
    <w:rsid w:val="00E71E55"/>
    <w:rsid w:val="00E72293"/>
    <w:rsid w:val="00E729F3"/>
    <w:rsid w:val="00E72CA7"/>
    <w:rsid w:val="00E72D3F"/>
    <w:rsid w:val="00E72F01"/>
    <w:rsid w:val="00E72F07"/>
    <w:rsid w:val="00E73418"/>
    <w:rsid w:val="00E73438"/>
    <w:rsid w:val="00E73443"/>
    <w:rsid w:val="00E73AE4"/>
    <w:rsid w:val="00E73D87"/>
    <w:rsid w:val="00E7447A"/>
    <w:rsid w:val="00E74C13"/>
    <w:rsid w:val="00E74C16"/>
    <w:rsid w:val="00E75093"/>
    <w:rsid w:val="00E75133"/>
    <w:rsid w:val="00E75420"/>
    <w:rsid w:val="00E75883"/>
    <w:rsid w:val="00E75FE5"/>
    <w:rsid w:val="00E769D3"/>
    <w:rsid w:val="00E76A74"/>
    <w:rsid w:val="00E76DFE"/>
    <w:rsid w:val="00E76F36"/>
    <w:rsid w:val="00E777E8"/>
    <w:rsid w:val="00E77802"/>
    <w:rsid w:val="00E77EE9"/>
    <w:rsid w:val="00E801C7"/>
    <w:rsid w:val="00E8076F"/>
    <w:rsid w:val="00E81067"/>
    <w:rsid w:val="00E81153"/>
    <w:rsid w:val="00E81CAE"/>
    <w:rsid w:val="00E81CF5"/>
    <w:rsid w:val="00E81F51"/>
    <w:rsid w:val="00E82741"/>
    <w:rsid w:val="00E829B3"/>
    <w:rsid w:val="00E82D06"/>
    <w:rsid w:val="00E830C5"/>
    <w:rsid w:val="00E83216"/>
    <w:rsid w:val="00E8344A"/>
    <w:rsid w:val="00E837DC"/>
    <w:rsid w:val="00E8389B"/>
    <w:rsid w:val="00E8399D"/>
    <w:rsid w:val="00E83C5A"/>
    <w:rsid w:val="00E84663"/>
    <w:rsid w:val="00E847B7"/>
    <w:rsid w:val="00E849E0"/>
    <w:rsid w:val="00E84E2E"/>
    <w:rsid w:val="00E85084"/>
    <w:rsid w:val="00E853D0"/>
    <w:rsid w:val="00E855A2"/>
    <w:rsid w:val="00E85701"/>
    <w:rsid w:val="00E85F51"/>
    <w:rsid w:val="00E86A21"/>
    <w:rsid w:val="00E86E07"/>
    <w:rsid w:val="00E871C5"/>
    <w:rsid w:val="00E87409"/>
    <w:rsid w:val="00E8742B"/>
    <w:rsid w:val="00E874FB"/>
    <w:rsid w:val="00E8767A"/>
    <w:rsid w:val="00E87821"/>
    <w:rsid w:val="00E8788C"/>
    <w:rsid w:val="00E87C3F"/>
    <w:rsid w:val="00E90414"/>
    <w:rsid w:val="00E9076D"/>
    <w:rsid w:val="00E909B4"/>
    <w:rsid w:val="00E914CB"/>
    <w:rsid w:val="00E916F5"/>
    <w:rsid w:val="00E919BB"/>
    <w:rsid w:val="00E9238E"/>
    <w:rsid w:val="00E92881"/>
    <w:rsid w:val="00E931E5"/>
    <w:rsid w:val="00E93247"/>
    <w:rsid w:val="00E93AA3"/>
    <w:rsid w:val="00E94455"/>
    <w:rsid w:val="00E944C3"/>
    <w:rsid w:val="00E94689"/>
    <w:rsid w:val="00E94FC4"/>
    <w:rsid w:val="00E9504E"/>
    <w:rsid w:val="00E95806"/>
    <w:rsid w:val="00E95D3E"/>
    <w:rsid w:val="00E95D66"/>
    <w:rsid w:val="00E96397"/>
    <w:rsid w:val="00E9656C"/>
    <w:rsid w:val="00E966F7"/>
    <w:rsid w:val="00E96764"/>
    <w:rsid w:val="00E96817"/>
    <w:rsid w:val="00E96834"/>
    <w:rsid w:val="00E969F5"/>
    <w:rsid w:val="00E974BC"/>
    <w:rsid w:val="00E97568"/>
    <w:rsid w:val="00E97F46"/>
    <w:rsid w:val="00EA052D"/>
    <w:rsid w:val="00EA0810"/>
    <w:rsid w:val="00EA091D"/>
    <w:rsid w:val="00EA0B1C"/>
    <w:rsid w:val="00EA0BF3"/>
    <w:rsid w:val="00EA0CD7"/>
    <w:rsid w:val="00EA0CF8"/>
    <w:rsid w:val="00EA0D82"/>
    <w:rsid w:val="00EA0F55"/>
    <w:rsid w:val="00EA110E"/>
    <w:rsid w:val="00EA12EF"/>
    <w:rsid w:val="00EA1D82"/>
    <w:rsid w:val="00EA2474"/>
    <w:rsid w:val="00EA24F8"/>
    <w:rsid w:val="00EA28B3"/>
    <w:rsid w:val="00EA2962"/>
    <w:rsid w:val="00EA2D44"/>
    <w:rsid w:val="00EA328E"/>
    <w:rsid w:val="00EA38D8"/>
    <w:rsid w:val="00EA4321"/>
    <w:rsid w:val="00EA4444"/>
    <w:rsid w:val="00EA501A"/>
    <w:rsid w:val="00EA51CF"/>
    <w:rsid w:val="00EA52C4"/>
    <w:rsid w:val="00EA5689"/>
    <w:rsid w:val="00EA59E1"/>
    <w:rsid w:val="00EA5AD6"/>
    <w:rsid w:val="00EA5BA8"/>
    <w:rsid w:val="00EA5E40"/>
    <w:rsid w:val="00EA5FFD"/>
    <w:rsid w:val="00EA613D"/>
    <w:rsid w:val="00EA64FB"/>
    <w:rsid w:val="00EA6589"/>
    <w:rsid w:val="00EA67A8"/>
    <w:rsid w:val="00EA6F15"/>
    <w:rsid w:val="00EA7851"/>
    <w:rsid w:val="00EA7BAE"/>
    <w:rsid w:val="00EB007B"/>
    <w:rsid w:val="00EB03EA"/>
    <w:rsid w:val="00EB059E"/>
    <w:rsid w:val="00EB0D4A"/>
    <w:rsid w:val="00EB1052"/>
    <w:rsid w:val="00EB13C3"/>
    <w:rsid w:val="00EB1C1B"/>
    <w:rsid w:val="00EB2383"/>
    <w:rsid w:val="00EB26E5"/>
    <w:rsid w:val="00EB2BD4"/>
    <w:rsid w:val="00EB2BED"/>
    <w:rsid w:val="00EB3085"/>
    <w:rsid w:val="00EB361F"/>
    <w:rsid w:val="00EB3A7D"/>
    <w:rsid w:val="00EB3DE9"/>
    <w:rsid w:val="00EB46E1"/>
    <w:rsid w:val="00EB4D1D"/>
    <w:rsid w:val="00EB5377"/>
    <w:rsid w:val="00EB543D"/>
    <w:rsid w:val="00EB5622"/>
    <w:rsid w:val="00EB5AAC"/>
    <w:rsid w:val="00EB66E9"/>
    <w:rsid w:val="00EB685A"/>
    <w:rsid w:val="00EB6B59"/>
    <w:rsid w:val="00EB6DD6"/>
    <w:rsid w:val="00EB73E9"/>
    <w:rsid w:val="00EB7577"/>
    <w:rsid w:val="00EB7C97"/>
    <w:rsid w:val="00EC0361"/>
    <w:rsid w:val="00EC0E3A"/>
    <w:rsid w:val="00EC112F"/>
    <w:rsid w:val="00EC1307"/>
    <w:rsid w:val="00EC1A51"/>
    <w:rsid w:val="00EC1BC1"/>
    <w:rsid w:val="00EC1D6D"/>
    <w:rsid w:val="00EC1E53"/>
    <w:rsid w:val="00EC227C"/>
    <w:rsid w:val="00EC2597"/>
    <w:rsid w:val="00EC28AB"/>
    <w:rsid w:val="00EC301E"/>
    <w:rsid w:val="00EC308A"/>
    <w:rsid w:val="00EC35FA"/>
    <w:rsid w:val="00EC3767"/>
    <w:rsid w:val="00EC3823"/>
    <w:rsid w:val="00EC3A11"/>
    <w:rsid w:val="00EC3DD0"/>
    <w:rsid w:val="00EC3EA0"/>
    <w:rsid w:val="00EC44F9"/>
    <w:rsid w:val="00EC45F1"/>
    <w:rsid w:val="00EC4C0A"/>
    <w:rsid w:val="00EC4DA6"/>
    <w:rsid w:val="00EC4F39"/>
    <w:rsid w:val="00EC514A"/>
    <w:rsid w:val="00EC5419"/>
    <w:rsid w:val="00EC62C1"/>
    <w:rsid w:val="00EC65C3"/>
    <w:rsid w:val="00EC68A3"/>
    <w:rsid w:val="00EC6ABD"/>
    <w:rsid w:val="00EC6BB6"/>
    <w:rsid w:val="00EC7C1D"/>
    <w:rsid w:val="00ED0F35"/>
    <w:rsid w:val="00ED11E1"/>
    <w:rsid w:val="00ED163A"/>
    <w:rsid w:val="00ED16F2"/>
    <w:rsid w:val="00ED181A"/>
    <w:rsid w:val="00ED1A34"/>
    <w:rsid w:val="00ED233B"/>
    <w:rsid w:val="00ED2AD5"/>
    <w:rsid w:val="00ED34CC"/>
    <w:rsid w:val="00ED3756"/>
    <w:rsid w:val="00ED39C7"/>
    <w:rsid w:val="00ED3BCA"/>
    <w:rsid w:val="00ED444C"/>
    <w:rsid w:val="00ED4D22"/>
    <w:rsid w:val="00ED4D4F"/>
    <w:rsid w:val="00ED4D7B"/>
    <w:rsid w:val="00ED4DC8"/>
    <w:rsid w:val="00ED4E2F"/>
    <w:rsid w:val="00ED5484"/>
    <w:rsid w:val="00ED5F85"/>
    <w:rsid w:val="00ED5F88"/>
    <w:rsid w:val="00ED6100"/>
    <w:rsid w:val="00ED66B5"/>
    <w:rsid w:val="00ED672E"/>
    <w:rsid w:val="00ED7379"/>
    <w:rsid w:val="00ED7E2C"/>
    <w:rsid w:val="00ED7E44"/>
    <w:rsid w:val="00EE04B6"/>
    <w:rsid w:val="00EE08DE"/>
    <w:rsid w:val="00EE13E0"/>
    <w:rsid w:val="00EE167C"/>
    <w:rsid w:val="00EE1BA9"/>
    <w:rsid w:val="00EE1D0D"/>
    <w:rsid w:val="00EE1FA0"/>
    <w:rsid w:val="00EE2710"/>
    <w:rsid w:val="00EE2A45"/>
    <w:rsid w:val="00EE3077"/>
    <w:rsid w:val="00EE3535"/>
    <w:rsid w:val="00EE3554"/>
    <w:rsid w:val="00EE35C8"/>
    <w:rsid w:val="00EE3B2E"/>
    <w:rsid w:val="00EE3CC1"/>
    <w:rsid w:val="00EE3CD8"/>
    <w:rsid w:val="00EE3DD5"/>
    <w:rsid w:val="00EE3F60"/>
    <w:rsid w:val="00EE4123"/>
    <w:rsid w:val="00EE4296"/>
    <w:rsid w:val="00EE475D"/>
    <w:rsid w:val="00EE5578"/>
    <w:rsid w:val="00EE576D"/>
    <w:rsid w:val="00EE58AF"/>
    <w:rsid w:val="00EE5D46"/>
    <w:rsid w:val="00EE60CB"/>
    <w:rsid w:val="00EE60EF"/>
    <w:rsid w:val="00EE641B"/>
    <w:rsid w:val="00EE667A"/>
    <w:rsid w:val="00EE674B"/>
    <w:rsid w:val="00EE69C8"/>
    <w:rsid w:val="00EE6B43"/>
    <w:rsid w:val="00EE6BA6"/>
    <w:rsid w:val="00EE70D1"/>
    <w:rsid w:val="00EE73FE"/>
    <w:rsid w:val="00EE7490"/>
    <w:rsid w:val="00EE76D1"/>
    <w:rsid w:val="00EE7A01"/>
    <w:rsid w:val="00EE7AB9"/>
    <w:rsid w:val="00EF074B"/>
    <w:rsid w:val="00EF0C88"/>
    <w:rsid w:val="00EF10EA"/>
    <w:rsid w:val="00EF1215"/>
    <w:rsid w:val="00EF1241"/>
    <w:rsid w:val="00EF146E"/>
    <w:rsid w:val="00EF1CEB"/>
    <w:rsid w:val="00EF1DAD"/>
    <w:rsid w:val="00EF1E2C"/>
    <w:rsid w:val="00EF21D6"/>
    <w:rsid w:val="00EF2311"/>
    <w:rsid w:val="00EF25CC"/>
    <w:rsid w:val="00EF2D53"/>
    <w:rsid w:val="00EF2E7B"/>
    <w:rsid w:val="00EF3183"/>
    <w:rsid w:val="00EF3FCC"/>
    <w:rsid w:val="00EF469D"/>
    <w:rsid w:val="00EF4D40"/>
    <w:rsid w:val="00EF4FF2"/>
    <w:rsid w:val="00EF5218"/>
    <w:rsid w:val="00EF559F"/>
    <w:rsid w:val="00EF64D9"/>
    <w:rsid w:val="00EF64E4"/>
    <w:rsid w:val="00EF65BF"/>
    <w:rsid w:val="00EF6835"/>
    <w:rsid w:val="00EF694A"/>
    <w:rsid w:val="00EF6B80"/>
    <w:rsid w:val="00EF6CF9"/>
    <w:rsid w:val="00EF6EA0"/>
    <w:rsid w:val="00EF7593"/>
    <w:rsid w:val="00EF779B"/>
    <w:rsid w:val="00EF783E"/>
    <w:rsid w:val="00EF79FE"/>
    <w:rsid w:val="00EF7B3A"/>
    <w:rsid w:val="00EF7E54"/>
    <w:rsid w:val="00EF7EAD"/>
    <w:rsid w:val="00F0068B"/>
    <w:rsid w:val="00F006FE"/>
    <w:rsid w:val="00F010B4"/>
    <w:rsid w:val="00F010CE"/>
    <w:rsid w:val="00F01154"/>
    <w:rsid w:val="00F013C6"/>
    <w:rsid w:val="00F01439"/>
    <w:rsid w:val="00F016FD"/>
    <w:rsid w:val="00F018F9"/>
    <w:rsid w:val="00F01BC1"/>
    <w:rsid w:val="00F0288A"/>
    <w:rsid w:val="00F02C42"/>
    <w:rsid w:val="00F0313F"/>
    <w:rsid w:val="00F03244"/>
    <w:rsid w:val="00F0352D"/>
    <w:rsid w:val="00F03AE5"/>
    <w:rsid w:val="00F03DE1"/>
    <w:rsid w:val="00F04A10"/>
    <w:rsid w:val="00F04A2B"/>
    <w:rsid w:val="00F04F8A"/>
    <w:rsid w:val="00F0554D"/>
    <w:rsid w:val="00F05898"/>
    <w:rsid w:val="00F058CC"/>
    <w:rsid w:val="00F06284"/>
    <w:rsid w:val="00F06373"/>
    <w:rsid w:val="00F06466"/>
    <w:rsid w:val="00F065D3"/>
    <w:rsid w:val="00F06F4D"/>
    <w:rsid w:val="00F070CC"/>
    <w:rsid w:val="00F0710E"/>
    <w:rsid w:val="00F10271"/>
    <w:rsid w:val="00F10606"/>
    <w:rsid w:val="00F10CD3"/>
    <w:rsid w:val="00F11C7B"/>
    <w:rsid w:val="00F11FDA"/>
    <w:rsid w:val="00F125EB"/>
    <w:rsid w:val="00F12DE0"/>
    <w:rsid w:val="00F13207"/>
    <w:rsid w:val="00F13D4C"/>
    <w:rsid w:val="00F14617"/>
    <w:rsid w:val="00F14A26"/>
    <w:rsid w:val="00F14DC5"/>
    <w:rsid w:val="00F150EB"/>
    <w:rsid w:val="00F15218"/>
    <w:rsid w:val="00F15801"/>
    <w:rsid w:val="00F159B4"/>
    <w:rsid w:val="00F15CCB"/>
    <w:rsid w:val="00F16765"/>
    <w:rsid w:val="00F167BE"/>
    <w:rsid w:val="00F1682A"/>
    <w:rsid w:val="00F16FAC"/>
    <w:rsid w:val="00F16FF5"/>
    <w:rsid w:val="00F178E1"/>
    <w:rsid w:val="00F17ED1"/>
    <w:rsid w:val="00F2021A"/>
    <w:rsid w:val="00F20B38"/>
    <w:rsid w:val="00F20C46"/>
    <w:rsid w:val="00F21504"/>
    <w:rsid w:val="00F217DB"/>
    <w:rsid w:val="00F22067"/>
    <w:rsid w:val="00F2268C"/>
    <w:rsid w:val="00F22D4B"/>
    <w:rsid w:val="00F22E41"/>
    <w:rsid w:val="00F22E98"/>
    <w:rsid w:val="00F22FA8"/>
    <w:rsid w:val="00F23146"/>
    <w:rsid w:val="00F23D0E"/>
    <w:rsid w:val="00F23E2E"/>
    <w:rsid w:val="00F23EA4"/>
    <w:rsid w:val="00F23EAD"/>
    <w:rsid w:val="00F24505"/>
    <w:rsid w:val="00F24E33"/>
    <w:rsid w:val="00F24E46"/>
    <w:rsid w:val="00F25079"/>
    <w:rsid w:val="00F257AD"/>
    <w:rsid w:val="00F2590C"/>
    <w:rsid w:val="00F25BFE"/>
    <w:rsid w:val="00F25C46"/>
    <w:rsid w:val="00F25D3D"/>
    <w:rsid w:val="00F265A6"/>
    <w:rsid w:val="00F265C7"/>
    <w:rsid w:val="00F265D4"/>
    <w:rsid w:val="00F266FB"/>
    <w:rsid w:val="00F2675F"/>
    <w:rsid w:val="00F2711C"/>
    <w:rsid w:val="00F27328"/>
    <w:rsid w:val="00F27A74"/>
    <w:rsid w:val="00F27B8A"/>
    <w:rsid w:val="00F27B8F"/>
    <w:rsid w:val="00F30052"/>
    <w:rsid w:val="00F30275"/>
    <w:rsid w:val="00F305BC"/>
    <w:rsid w:val="00F3063D"/>
    <w:rsid w:val="00F30A44"/>
    <w:rsid w:val="00F30A53"/>
    <w:rsid w:val="00F30D23"/>
    <w:rsid w:val="00F30F6C"/>
    <w:rsid w:val="00F31219"/>
    <w:rsid w:val="00F31E53"/>
    <w:rsid w:val="00F31FC5"/>
    <w:rsid w:val="00F32431"/>
    <w:rsid w:val="00F3275D"/>
    <w:rsid w:val="00F328A2"/>
    <w:rsid w:val="00F32BAA"/>
    <w:rsid w:val="00F32D61"/>
    <w:rsid w:val="00F32EE2"/>
    <w:rsid w:val="00F32FCE"/>
    <w:rsid w:val="00F33135"/>
    <w:rsid w:val="00F3317C"/>
    <w:rsid w:val="00F3363D"/>
    <w:rsid w:val="00F338F4"/>
    <w:rsid w:val="00F33A7F"/>
    <w:rsid w:val="00F33E89"/>
    <w:rsid w:val="00F34022"/>
    <w:rsid w:val="00F342B0"/>
    <w:rsid w:val="00F346AB"/>
    <w:rsid w:val="00F34E37"/>
    <w:rsid w:val="00F34ECC"/>
    <w:rsid w:val="00F35464"/>
    <w:rsid w:val="00F35693"/>
    <w:rsid w:val="00F356E7"/>
    <w:rsid w:val="00F35B70"/>
    <w:rsid w:val="00F35C84"/>
    <w:rsid w:val="00F35DB8"/>
    <w:rsid w:val="00F35DD9"/>
    <w:rsid w:val="00F35F6A"/>
    <w:rsid w:val="00F36599"/>
    <w:rsid w:val="00F36BDA"/>
    <w:rsid w:val="00F36E06"/>
    <w:rsid w:val="00F370EB"/>
    <w:rsid w:val="00F37111"/>
    <w:rsid w:val="00F37228"/>
    <w:rsid w:val="00F37812"/>
    <w:rsid w:val="00F37F7D"/>
    <w:rsid w:val="00F403BB"/>
    <w:rsid w:val="00F407D5"/>
    <w:rsid w:val="00F40D4A"/>
    <w:rsid w:val="00F40FA7"/>
    <w:rsid w:val="00F412CC"/>
    <w:rsid w:val="00F4133B"/>
    <w:rsid w:val="00F41769"/>
    <w:rsid w:val="00F4183A"/>
    <w:rsid w:val="00F41CA4"/>
    <w:rsid w:val="00F41CE5"/>
    <w:rsid w:val="00F41F5B"/>
    <w:rsid w:val="00F41F7A"/>
    <w:rsid w:val="00F423B2"/>
    <w:rsid w:val="00F427AE"/>
    <w:rsid w:val="00F428A7"/>
    <w:rsid w:val="00F42917"/>
    <w:rsid w:val="00F42BC3"/>
    <w:rsid w:val="00F42D9C"/>
    <w:rsid w:val="00F42F20"/>
    <w:rsid w:val="00F43372"/>
    <w:rsid w:val="00F4358C"/>
    <w:rsid w:val="00F437CC"/>
    <w:rsid w:val="00F439D7"/>
    <w:rsid w:val="00F44044"/>
    <w:rsid w:val="00F445A1"/>
    <w:rsid w:val="00F4479F"/>
    <w:rsid w:val="00F447A0"/>
    <w:rsid w:val="00F44D29"/>
    <w:rsid w:val="00F4536C"/>
    <w:rsid w:val="00F456C9"/>
    <w:rsid w:val="00F45898"/>
    <w:rsid w:val="00F45B8B"/>
    <w:rsid w:val="00F45F4C"/>
    <w:rsid w:val="00F46D9F"/>
    <w:rsid w:val="00F47176"/>
    <w:rsid w:val="00F476C4"/>
    <w:rsid w:val="00F47A95"/>
    <w:rsid w:val="00F47BED"/>
    <w:rsid w:val="00F47C4A"/>
    <w:rsid w:val="00F47F11"/>
    <w:rsid w:val="00F47F99"/>
    <w:rsid w:val="00F47FED"/>
    <w:rsid w:val="00F507CB"/>
    <w:rsid w:val="00F50D63"/>
    <w:rsid w:val="00F50E0C"/>
    <w:rsid w:val="00F51B04"/>
    <w:rsid w:val="00F51F6E"/>
    <w:rsid w:val="00F52F03"/>
    <w:rsid w:val="00F52F37"/>
    <w:rsid w:val="00F53147"/>
    <w:rsid w:val="00F53246"/>
    <w:rsid w:val="00F53463"/>
    <w:rsid w:val="00F5379A"/>
    <w:rsid w:val="00F53A09"/>
    <w:rsid w:val="00F54F1A"/>
    <w:rsid w:val="00F54F80"/>
    <w:rsid w:val="00F5521E"/>
    <w:rsid w:val="00F55373"/>
    <w:rsid w:val="00F55E23"/>
    <w:rsid w:val="00F5613D"/>
    <w:rsid w:val="00F563A7"/>
    <w:rsid w:val="00F56623"/>
    <w:rsid w:val="00F56E79"/>
    <w:rsid w:val="00F570C4"/>
    <w:rsid w:val="00F5770E"/>
    <w:rsid w:val="00F57B5D"/>
    <w:rsid w:val="00F57C82"/>
    <w:rsid w:val="00F608D4"/>
    <w:rsid w:val="00F61545"/>
    <w:rsid w:val="00F6172B"/>
    <w:rsid w:val="00F61F86"/>
    <w:rsid w:val="00F620B5"/>
    <w:rsid w:val="00F628AF"/>
    <w:rsid w:val="00F63092"/>
    <w:rsid w:val="00F6311F"/>
    <w:rsid w:val="00F63CF3"/>
    <w:rsid w:val="00F641DA"/>
    <w:rsid w:val="00F649C8"/>
    <w:rsid w:val="00F64B9A"/>
    <w:rsid w:val="00F64D77"/>
    <w:rsid w:val="00F64E03"/>
    <w:rsid w:val="00F64F1C"/>
    <w:rsid w:val="00F656F9"/>
    <w:rsid w:val="00F657CC"/>
    <w:rsid w:val="00F65935"/>
    <w:rsid w:val="00F65D42"/>
    <w:rsid w:val="00F65F19"/>
    <w:rsid w:val="00F6659D"/>
    <w:rsid w:val="00F6666D"/>
    <w:rsid w:val="00F66679"/>
    <w:rsid w:val="00F66882"/>
    <w:rsid w:val="00F669DC"/>
    <w:rsid w:val="00F66B66"/>
    <w:rsid w:val="00F66D35"/>
    <w:rsid w:val="00F6739F"/>
    <w:rsid w:val="00F677A4"/>
    <w:rsid w:val="00F67960"/>
    <w:rsid w:val="00F679BB"/>
    <w:rsid w:val="00F67A8F"/>
    <w:rsid w:val="00F67BB5"/>
    <w:rsid w:val="00F70078"/>
    <w:rsid w:val="00F706CE"/>
    <w:rsid w:val="00F708BA"/>
    <w:rsid w:val="00F709B8"/>
    <w:rsid w:val="00F70C03"/>
    <w:rsid w:val="00F71D1A"/>
    <w:rsid w:val="00F7264A"/>
    <w:rsid w:val="00F7272C"/>
    <w:rsid w:val="00F72887"/>
    <w:rsid w:val="00F72EAD"/>
    <w:rsid w:val="00F73DAA"/>
    <w:rsid w:val="00F74122"/>
    <w:rsid w:val="00F74347"/>
    <w:rsid w:val="00F74DF0"/>
    <w:rsid w:val="00F7505E"/>
    <w:rsid w:val="00F7565B"/>
    <w:rsid w:val="00F75752"/>
    <w:rsid w:val="00F75D83"/>
    <w:rsid w:val="00F76363"/>
    <w:rsid w:val="00F763B9"/>
    <w:rsid w:val="00F768BF"/>
    <w:rsid w:val="00F772B9"/>
    <w:rsid w:val="00F77412"/>
    <w:rsid w:val="00F77C57"/>
    <w:rsid w:val="00F77FD4"/>
    <w:rsid w:val="00F81169"/>
    <w:rsid w:val="00F81372"/>
    <w:rsid w:val="00F8149E"/>
    <w:rsid w:val="00F820F6"/>
    <w:rsid w:val="00F82436"/>
    <w:rsid w:val="00F82756"/>
    <w:rsid w:val="00F82C7C"/>
    <w:rsid w:val="00F82D90"/>
    <w:rsid w:val="00F8394F"/>
    <w:rsid w:val="00F84560"/>
    <w:rsid w:val="00F8486A"/>
    <w:rsid w:val="00F8497B"/>
    <w:rsid w:val="00F849DD"/>
    <w:rsid w:val="00F84AF7"/>
    <w:rsid w:val="00F84BBE"/>
    <w:rsid w:val="00F84FC8"/>
    <w:rsid w:val="00F85052"/>
    <w:rsid w:val="00F855D3"/>
    <w:rsid w:val="00F85922"/>
    <w:rsid w:val="00F85EBA"/>
    <w:rsid w:val="00F8606E"/>
    <w:rsid w:val="00F860A8"/>
    <w:rsid w:val="00F860FA"/>
    <w:rsid w:val="00F8632B"/>
    <w:rsid w:val="00F873E0"/>
    <w:rsid w:val="00F8781E"/>
    <w:rsid w:val="00F87F38"/>
    <w:rsid w:val="00F90126"/>
    <w:rsid w:val="00F90ABA"/>
    <w:rsid w:val="00F90D85"/>
    <w:rsid w:val="00F91494"/>
    <w:rsid w:val="00F91692"/>
    <w:rsid w:val="00F91750"/>
    <w:rsid w:val="00F919DA"/>
    <w:rsid w:val="00F91F62"/>
    <w:rsid w:val="00F92055"/>
    <w:rsid w:val="00F9284D"/>
    <w:rsid w:val="00F92B1A"/>
    <w:rsid w:val="00F93264"/>
    <w:rsid w:val="00F934BB"/>
    <w:rsid w:val="00F93E42"/>
    <w:rsid w:val="00F942CC"/>
    <w:rsid w:val="00F9435D"/>
    <w:rsid w:val="00F9479F"/>
    <w:rsid w:val="00F947C9"/>
    <w:rsid w:val="00F955FC"/>
    <w:rsid w:val="00F96238"/>
    <w:rsid w:val="00F96339"/>
    <w:rsid w:val="00F96579"/>
    <w:rsid w:val="00F96CDB"/>
    <w:rsid w:val="00F96EDC"/>
    <w:rsid w:val="00F970A9"/>
    <w:rsid w:val="00F97185"/>
    <w:rsid w:val="00F971C7"/>
    <w:rsid w:val="00F97587"/>
    <w:rsid w:val="00F97F3A"/>
    <w:rsid w:val="00FA088A"/>
    <w:rsid w:val="00FA09AF"/>
    <w:rsid w:val="00FA0AB0"/>
    <w:rsid w:val="00FA0AF4"/>
    <w:rsid w:val="00FA1C32"/>
    <w:rsid w:val="00FA1EAB"/>
    <w:rsid w:val="00FA231A"/>
    <w:rsid w:val="00FA26B3"/>
    <w:rsid w:val="00FA273E"/>
    <w:rsid w:val="00FA2FBA"/>
    <w:rsid w:val="00FA352A"/>
    <w:rsid w:val="00FA3B87"/>
    <w:rsid w:val="00FA41FC"/>
    <w:rsid w:val="00FA4445"/>
    <w:rsid w:val="00FA478F"/>
    <w:rsid w:val="00FA479F"/>
    <w:rsid w:val="00FA4B2B"/>
    <w:rsid w:val="00FA52CD"/>
    <w:rsid w:val="00FA5886"/>
    <w:rsid w:val="00FA5B6F"/>
    <w:rsid w:val="00FA600F"/>
    <w:rsid w:val="00FA61DE"/>
    <w:rsid w:val="00FA698B"/>
    <w:rsid w:val="00FA6CC4"/>
    <w:rsid w:val="00FA6D2A"/>
    <w:rsid w:val="00FA6DE7"/>
    <w:rsid w:val="00FA711B"/>
    <w:rsid w:val="00FA7228"/>
    <w:rsid w:val="00FA7261"/>
    <w:rsid w:val="00FA7266"/>
    <w:rsid w:val="00FA726E"/>
    <w:rsid w:val="00FA72CF"/>
    <w:rsid w:val="00FA72F6"/>
    <w:rsid w:val="00FA7311"/>
    <w:rsid w:val="00FA7AE4"/>
    <w:rsid w:val="00FA7D3D"/>
    <w:rsid w:val="00FA7E9F"/>
    <w:rsid w:val="00FB02D7"/>
    <w:rsid w:val="00FB0979"/>
    <w:rsid w:val="00FB0C9C"/>
    <w:rsid w:val="00FB1389"/>
    <w:rsid w:val="00FB1957"/>
    <w:rsid w:val="00FB1C3B"/>
    <w:rsid w:val="00FB1F9B"/>
    <w:rsid w:val="00FB2409"/>
    <w:rsid w:val="00FB2525"/>
    <w:rsid w:val="00FB2735"/>
    <w:rsid w:val="00FB275C"/>
    <w:rsid w:val="00FB27BE"/>
    <w:rsid w:val="00FB2AC5"/>
    <w:rsid w:val="00FB2E8A"/>
    <w:rsid w:val="00FB3E23"/>
    <w:rsid w:val="00FB3EA6"/>
    <w:rsid w:val="00FB3F92"/>
    <w:rsid w:val="00FB4602"/>
    <w:rsid w:val="00FB480F"/>
    <w:rsid w:val="00FB485F"/>
    <w:rsid w:val="00FB4B7A"/>
    <w:rsid w:val="00FB5134"/>
    <w:rsid w:val="00FB51AA"/>
    <w:rsid w:val="00FB55F7"/>
    <w:rsid w:val="00FB5982"/>
    <w:rsid w:val="00FB5CE9"/>
    <w:rsid w:val="00FB6427"/>
    <w:rsid w:val="00FB66A4"/>
    <w:rsid w:val="00FB70BB"/>
    <w:rsid w:val="00FB7493"/>
    <w:rsid w:val="00FB7673"/>
    <w:rsid w:val="00FB7952"/>
    <w:rsid w:val="00FB797A"/>
    <w:rsid w:val="00FC001B"/>
    <w:rsid w:val="00FC098A"/>
    <w:rsid w:val="00FC0B0F"/>
    <w:rsid w:val="00FC101B"/>
    <w:rsid w:val="00FC1195"/>
    <w:rsid w:val="00FC1335"/>
    <w:rsid w:val="00FC1357"/>
    <w:rsid w:val="00FC1662"/>
    <w:rsid w:val="00FC1EFD"/>
    <w:rsid w:val="00FC2116"/>
    <w:rsid w:val="00FC21C1"/>
    <w:rsid w:val="00FC257E"/>
    <w:rsid w:val="00FC2836"/>
    <w:rsid w:val="00FC29C6"/>
    <w:rsid w:val="00FC2F9E"/>
    <w:rsid w:val="00FC2FC2"/>
    <w:rsid w:val="00FC3064"/>
    <w:rsid w:val="00FC3A9E"/>
    <w:rsid w:val="00FC3ED4"/>
    <w:rsid w:val="00FC4411"/>
    <w:rsid w:val="00FC4D6D"/>
    <w:rsid w:val="00FC526F"/>
    <w:rsid w:val="00FC5597"/>
    <w:rsid w:val="00FC6347"/>
    <w:rsid w:val="00FC661E"/>
    <w:rsid w:val="00FC68AC"/>
    <w:rsid w:val="00FC6A9B"/>
    <w:rsid w:val="00FC6CFA"/>
    <w:rsid w:val="00FC6DD1"/>
    <w:rsid w:val="00FC6F4F"/>
    <w:rsid w:val="00FC70DC"/>
    <w:rsid w:val="00FC7229"/>
    <w:rsid w:val="00FC7306"/>
    <w:rsid w:val="00FC7458"/>
    <w:rsid w:val="00FC75C0"/>
    <w:rsid w:val="00FC784E"/>
    <w:rsid w:val="00FC792B"/>
    <w:rsid w:val="00FC7D05"/>
    <w:rsid w:val="00FC7DD7"/>
    <w:rsid w:val="00FD0044"/>
    <w:rsid w:val="00FD01FC"/>
    <w:rsid w:val="00FD01FE"/>
    <w:rsid w:val="00FD03DD"/>
    <w:rsid w:val="00FD1539"/>
    <w:rsid w:val="00FD195F"/>
    <w:rsid w:val="00FD1DB2"/>
    <w:rsid w:val="00FD24A4"/>
    <w:rsid w:val="00FD2EFF"/>
    <w:rsid w:val="00FD335F"/>
    <w:rsid w:val="00FD3528"/>
    <w:rsid w:val="00FD3683"/>
    <w:rsid w:val="00FD3833"/>
    <w:rsid w:val="00FD3AAE"/>
    <w:rsid w:val="00FD3E4A"/>
    <w:rsid w:val="00FD40B5"/>
    <w:rsid w:val="00FD45DC"/>
    <w:rsid w:val="00FD465B"/>
    <w:rsid w:val="00FD4767"/>
    <w:rsid w:val="00FD496A"/>
    <w:rsid w:val="00FD4A6E"/>
    <w:rsid w:val="00FD4EE2"/>
    <w:rsid w:val="00FD4F04"/>
    <w:rsid w:val="00FD5187"/>
    <w:rsid w:val="00FD562B"/>
    <w:rsid w:val="00FD5B08"/>
    <w:rsid w:val="00FD5E6F"/>
    <w:rsid w:val="00FD654E"/>
    <w:rsid w:val="00FD6C09"/>
    <w:rsid w:val="00FD6CD0"/>
    <w:rsid w:val="00FD6F6E"/>
    <w:rsid w:val="00FD73AF"/>
    <w:rsid w:val="00FD77AA"/>
    <w:rsid w:val="00FD7E91"/>
    <w:rsid w:val="00FD7EAE"/>
    <w:rsid w:val="00FD7F4D"/>
    <w:rsid w:val="00FE0888"/>
    <w:rsid w:val="00FE0922"/>
    <w:rsid w:val="00FE0AE2"/>
    <w:rsid w:val="00FE1034"/>
    <w:rsid w:val="00FE149C"/>
    <w:rsid w:val="00FE16CE"/>
    <w:rsid w:val="00FE16FF"/>
    <w:rsid w:val="00FE1708"/>
    <w:rsid w:val="00FE1BE0"/>
    <w:rsid w:val="00FE1CA2"/>
    <w:rsid w:val="00FE1FC3"/>
    <w:rsid w:val="00FE201B"/>
    <w:rsid w:val="00FE24E5"/>
    <w:rsid w:val="00FE27E0"/>
    <w:rsid w:val="00FE336D"/>
    <w:rsid w:val="00FE346F"/>
    <w:rsid w:val="00FE3707"/>
    <w:rsid w:val="00FE3A2C"/>
    <w:rsid w:val="00FE45BE"/>
    <w:rsid w:val="00FE4604"/>
    <w:rsid w:val="00FE46AB"/>
    <w:rsid w:val="00FE4F40"/>
    <w:rsid w:val="00FE4F7F"/>
    <w:rsid w:val="00FE526F"/>
    <w:rsid w:val="00FE555C"/>
    <w:rsid w:val="00FE5B41"/>
    <w:rsid w:val="00FE5FF2"/>
    <w:rsid w:val="00FE60D7"/>
    <w:rsid w:val="00FE67B7"/>
    <w:rsid w:val="00FE68A4"/>
    <w:rsid w:val="00FE68B0"/>
    <w:rsid w:val="00FE6BC9"/>
    <w:rsid w:val="00FE6FB8"/>
    <w:rsid w:val="00FE76CE"/>
    <w:rsid w:val="00FE7702"/>
    <w:rsid w:val="00FE7B32"/>
    <w:rsid w:val="00FE7EEC"/>
    <w:rsid w:val="00FF093D"/>
    <w:rsid w:val="00FF0FAA"/>
    <w:rsid w:val="00FF1828"/>
    <w:rsid w:val="00FF18FB"/>
    <w:rsid w:val="00FF1E89"/>
    <w:rsid w:val="00FF214F"/>
    <w:rsid w:val="00FF24A8"/>
    <w:rsid w:val="00FF2926"/>
    <w:rsid w:val="00FF2B72"/>
    <w:rsid w:val="00FF319C"/>
    <w:rsid w:val="00FF344E"/>
    <w:rsid w:val="00FF37F8"/>
    <w:rsid w:val="00FF3827"/>
    <w:rsid w:val="00FF3AE3"/>
    <w:rsid w:val="00FF3B1A"/>
    <w:rsid w:val="00FF3CAB"/>
    <w:rsid w:val="00FF425B"/>
    <w:rsid w:val="00FF436A"/>
    <w:rsid w:val="00FF453D"/>
    <w:rsid w:val="00FF49C4"/>
    <w:rsid w:val="00FF4E84"/>
    <w:rsid w:val="00FF5A84"/>
    <w:rsid w:val="00FF6822"/>
    <w:rsid w:val="00FF6C32"/>
    <w:rsid w:val="0137F87C"/>
    <w:rsid w:val="01409E32"/>
    <w:rsid w:val="017B9CB0"/>
    <w:rsid w:val="022A67EF"/>
    <w:rsid w:val="02832C17"/>
    <w:rsid w:val="028480A0"/>
    <w:rsid w:val="02D4A361"/>
    <w:rsid w:val="0362FA70"/>
    <w:rsid w:val="03676F51"/>
    <w:rsid w:val="043EC613"/>
    <w:rsid w:val="0480C631"/>
    <w:rsid w:val="04BB5140"/>
    <w:rsid w:val="04C045C0"/>
    <w:rsid w:val="054DA138"/>
    <w:rsid w:val="06749459"/>
    <w:rsid w:val="0694134A"/>
    <w:rsid w:val="06B2DF3D"/>
    <w:rsid w:val="070F6A19"/>
    <w:rsid w:val="07BA7808"/>
    <w:rsid w:val="081E7443"/>
    <w:rsid w:val="0827DA4D"/>
    <w:rsid w:val="087A0660"/>
    <w:rsid w:val="08AC206F"/>
    <w:rsid w:val="08FB2244"/>
    <w:rsid w:val="0990C85F"/>
    <w:rsid w:val="09F12C90"/>
    <w:rsid w:val="0A3D2570"/>
    <w:rsid w:val="0AD2E15A"/>
    <w:rsid w:val="0ADFCB71"/>
    <w:rsid w:val="0B017270"/>
    <w:rsid w:val="0B323BC7"/>
    <w:rsid w:val="0BDC2797"/>
    <w:rsid w:val="0BEFA34F"/>
    <w:rsid w:val="0C329BAF"/>
    <w:rsid w:val="0C93891C"/>
    <w:rsid w:val="0CDA49B8"/>
    <w:rsid w:val="0CF9D2EC"/>
    <w:rsid w:val="0EC036C5"/>
    <w:rsid w:val="0EF9490B"/>
    <w:rsid w:val="0F4302F8"/>
    <w:rsid w:val="0F4F4A60"/>
    <w:rsid w:val="0F622A3A"/>
    <w:rsid w:val="0FA8BBEE"/>
    <w:rsid w:val="103AF3D0"/>
    <w:rsid w:val="10CBEE67"/>
    <w:rsid w:val="12007347"/>
    <w:rsid w:val="129E656E"/>
    <w:rsid w:val="129F9A2C"/>
    <w:rsid w:val="12D08609"/>
    <w:rsid w:val="13A22670"/>
    <w:rsid w:val="13E66D04"/>
    <w:rsid w:val="14278144"/>
    <w:rsid w:val="150279E5"/>
    <w:rsid w:val="153C3098"/>
    <w:rsid w:val="15BE9D50"/>
    <w:rsid w:val="161742AF"/>
    <w:rsid w:val="165ACB43"/>
    <w:rsid w:val="16623002"/>
    <w:rsid w:val="16AA0C39"/>
    <w:rsid w:val="16CCC12D"/>
    <w:rsid w:val="16D72EFA"/>
    <w:rsid w:val="16F3E576"/>
    <w:rsid w:val="17462C0A"/>
    <w:rsid w:val="174677A2"/>
    <w:rsid w:val="182A0B5A"/>
    <w:rsid w:val="18C6CC85"/>
    <w:rsid w:val="18E155A8"/>
    <w:rsid w:val="18F9A2A9"/>
    <w:rsid w:val="19461A38"/>
    <w:rsid w:val="19888F30"/>
    <w:rsid w:val="1999A93C"/>
    <w:rsid w:val="1A8FE68E"/>
    <w:rsid w:val="1A91D10A"/>
    <w:rsid w:val="1AA47C1C"/>
    <w:rsid w:val="1AFBB3E1"/>
    <w:rsid w:val="1B967F5D"/>
    <w:rsid w:val="1BD8DB03"/>
    <w:rsid w:val="1CDECA54"/>
    <w:rsid w:val="1D554AC8"/>
    <w:rsid w:val="1D695136"/>
    <w:rsid w:val="1DC033FB"/>
    <w:rsid w:val="1DD02162"/>
    <w:rsid w:val="1E8034F3"/>
    <w:rsid w:val="1E89627C"/>
    <w:rsid w:val="1ED99A64"/>
    <w:rsid w:val="200C3045"/>
    <w:rsid w:val="2072CD9F"/>
    <w:rsid w:val="21253A7C"/>
    <w:rsid w:val="21B7D5B5"/>
    <w:rsid w:val="23064F71"/>
    <w:rsid w:val="2329C4F1"/>
    <w:rsid w:val="239255D7"/>
    <w:rsid w:val="247B5BB4"/>
    <w:rsid w:val="251C0101"/>
    <w:rsid w:val="2527789C"/>
    <w:rsid w:val="25B17DCB"/>
    <w:rsid w:val="269DB09F"/>
    <w:rsid w:val="26D8DE70"/>
    <w:rsid w:val="26EFC070"/>
    <w:rsid w:val="273E68FA"/>
    <w:rsid w:val="276052A5"/>
    <w:rsid w:val="276731D1"/>
    <w:rsid w:val="27724792"/>
    <w:rsid w:val="2779951A"/>
    <w:rsid w:val="27D77138"/>
    <w:rsid w:val="2899B530"/>
    <w:rsid w:val="296396EC"/>
    <w:rsid w:val="296AC03A"/>
    <w:rsid w:val="29710BF2"/>
    <w:rsid w:val="2A23CB9A"/>
    <w:rsid w:val="2B0AB152"/>
    <w:rsid w:val="2B634061"/>
    <w:rsid w:val="2C378E65"/>
    <w:rsid w:val="2CA13AFB"/>
    <w:rsid w:val="2CDA85BE"/>
    <w:rsid w:val="2D215915"/>
    <w:rsid w:val="2D6D2653"/>
    <w:rsid w:val="2E484291"/>
    <w:rsid w:val="2E6C2FA1"/>
    <w:rsid w:val="2F2D7450"/>
    <w:rsid w:val="2FA551F6"/>
    <w:rsid w:val="302B1174"/>
    <w:rsid w:val="30ACD463"/>
    <w:rsid w:val="312140FF"/>
    <w:rsid w:val="313855D8"/>
    <w:rsid w:val="3153EAB4"/>
    <w:rsid w:val="31D804EF"/>
    <w:rsid w:val="3295FEF3"/>
    <w:rsid w:val="32B48F1C"/>
    <w:rsid w:val="34957527"/>
    <w:rsid w:val="34B6DD23"/>
    <w:rsid w:val="34FFEAF1"/>
    <w:rsid w:val="35434B2E"/>
    <w:rsid w:val="3569D5F2"/>
    <w:rsid w:val="35ACE128"/>
    <w:rsid w:val="35B14AAA"/>
    <w:rsid w:val="3620295C"/>
    <w:rsid w:val="36B5A054"/>
    <w:rsid w:val="371D8CD8"/>
    <w:rsid w:val="3732A80B"/>
    <w:rsid w:val="37BDB386"/>
    <w:rsid w:val="383C977A"/>
    <w:rsid w:val="3840C12D"/>
    <w:rsid w:val="38ADB883"/>
    <w:rsid w:val="38F03EAD"/>
    <w:rsid w:val="397BBBA6"/>
    <w:rsid w:val="39A0EE66"/>
    <w:rsid w:val="39C1B466"/>
    <w:rsid w:val="3A34A12F"/>
    <w:rsid w:val="3A840CCB"/>
    <w:rsid w:val="3A925C7C"/>
    <w:rsid w:val="3AE32405"/>
    <w:rsid w:val="3B487648"/>
    <w:rsid w:val="3B9639A9"/>
    <w:rsid w:val="3BE99C62"/>
    <w:rsid w:val="3D493511"/>
    <w:rsid w:val="3DCB8510"/>
    <w:rsid w:val="3DFC5747"/>
    <w:rsid w:val="3E0B18BA"/>
    <w:rsid w:val="3E4294D4"/>
    <w:rsid w:val="3ED139EA"/>
    <w:rsid w:val="3F3C3774"/>
    <w:rsid w:val="40420523"/>
    <w:rsid w:val="4054F9D9"/>
    <w:rsid w:val="40AA64B6"/>
    <w:rsid w:val="40C4BF48"/>
    <w:rsid w:val="40E77A3F"/>
    <w:rsid w:val="41817110"/>
    <w:rsid w:val="41DDD1E7"/>
    <w:rsid w:val="41EB8FFD"/>
    <w:rsid w:val="429F04B8"/>
    <w:rsid w:val="42CE4B78"/>
    <w:rsid w:val="433A22D5"/>
    <w:rsid w:val="43988927"/>
    <w:rsid w:val="43A99B47"/>
    <w:rsid w:val="43C8E0A0"/>
    <w:rsid w:val="43CD30ED"/>
    <w:rsid w:val="4442DE94"/>
    <w:rsid w:val="44BCC745"/>
    <w:rsid w:val="457A3E91"/>
    <w:rsid w:val="45C40DE4"/>
    <w:rsid w:val="46767BE8"/>
    <w:rsid w:val="46D4C3EB"/>
    <w:rsid w:val="470D0D0F"/>
    <w:rsid w:val="498C6400"/>
    <w:rsid w:val="49F05E1E"/>
    <w:rsid w:val="4A5BAA24"/>
    <w:rsid w:val="4B235912"/>
    <w:rsid w:val="4B2BDB9E"/>
    <w:rsid w:val="4B447509"/>
    <w:rsid w:val="4B8E7A51"/>
    <w:rsid w:val="4B9F066D"/>
    <w:rsid w:val="4C35F047"/>
    <w:rsid w:val="4C5096C2"/>
    <w:rsid w:val="4CC11843"/>
    <w:rsid w:val="4CD29D71"/>
    <w:rsid w:val="4D19F8F5"/>
    <w:rsid w:val="4D96ED78"/>
    <w:rsid w:val="4F236ADE"/>
    <w:rsid w:val="4F83C5BC"/>
    <w:rsid w:val="4F8A780C"/>
    <w:rsid w:val="4F97D1B9"/>
    <w:rsid w:val="4F985F5F"/>
    <w:rsid w:val="4FAE4778"/>
    <w:rsid w:val="4FEE89A9"/>
    <w:rsid w:val="4FFE8A66"/>
    <w:rsid w:val="5015F981"/>
    <w:rsid w:val="50257624"/>
    <w:rsid w:val="5028D287"/>
    <w:rsid w:val="5034DFED"/>
    <w:rsid w:val="509A2F80"/>
    <w:rsid w:val="51B95354"/>
    <w:rsid w:val="51D380DA"/>
    <w:rsid w:val="51FA0720"/>
    <w:rsid w:val="5219C264"/>
    <w:rsid w:val="52DCC92F"/>
    <w:rsid w:val="53A79FDF"/>
    <w:rsid w:val="53FF81E2"/>
    <w:rsid w:val="54241AE5"/>
    <w:rsid w:val="54413ECB"/>
    <w:rsid w:val="54CB9237"/>
    <w:rsid w:val="5544BBD6"/>
    <w:rsid w:val="55670A46"/>
    <w:rsid w:val="5624DB7A"/>
    <w:rsid w:val="56440D54"/>
    <w:rsid w:val="567B38E1"/>
    <w:rsid w:val="568147E5"/>
    <w:rsid w:val="569846DC"/>
    <w:rsid w:val="56A24177"/>
    <w:rsid w:val="56B55FB5"/>
    <w:rsid w:val="5712252A"/>
    <w:rsid w:val="5767D7F8"/>
    <w:rsid w:val="5877DF3C"/>
    <w:rsid w:val="58BFE72E"/>
    <w:rsid w:val="58C61DE6"/>
    <w:rsid w:val="58CE2215"/>
    <w:rsid w:val="590B3431"/>
    <w:rsid w:val="5989141C"/>
    <w:rsid w:val="59C9C080"/>
    <w:rsid w:val="5A086F8E"/>
    <w:rsid w:val="5A0EABDC"/>
    <w:rsid w:val="5A25EFE5"/>
    <w:rsid w:val="5A3EB600"/>
    <w:rsid w:val="5A449E24"/>
    <w:rsid w:val="5AF483A2"/>
    <w:rsid w:val="5B09D5F0"/>
    <w:rsid w:val="5CAD6AEE"/>
    <w:rsid w:val="5CFD48F4"/>
    <w:rsid w:val="5D507646"/>
    <w:rsid w:val="5D8F809D"/>
    <w:rsid w:val="5E6E6C6B"/>
    <w:rsid w:val="5F5A4A65"/>
    <w:rsid w:val="5F944E0A"/>
    <w:rsid w:val="5FDF610F"/>
    <w:rsid w:val="5FE2D1FD"/>
    <w:rsid w:val="60447881"/>
    <w:rsid w:val="60741A9C"/>
    <w:rsid w:val="60FEB01B"/>
    <w:rsid w:val="6133E834"/>
    <w:rsid w:val="61D897B3"/>
    <w:rsid w:val="61E630E6"/>
    <w:rsid w:val="625BFC9E"/>
    <w:rsid w:val="626A7239"/>
    <w:rsid w:val="62BD760C"/>
    <w:rsid w:val="632F6CD2"/>
    <w:rsid w:val="632F9D4E"/>
    <w:rsid w:val="63F85D88"/>
    <w:rsid w:val="6469FBDA"/>
    <w:rsid w:val="649BD908"/>
    <w:rsid w:val="651CE4B0"/>
    <w:rsid w:val="6720B6B2"/>
    <w:rsid w:val="67989BDA"/>
    <w:rsid w:val="67C0D990"/>
    <w:rsid w:val="68243B7F"/>
    <w:rsid w:val="682DAC30"/>
    <w:rsid w:val="683B7237"/>
    <w:rsid w:val="6871DC34"/>
    <w:rsid w:val="690A52F5"/>
    <w:rsid w:val="691A42D4"/>
    <w:rsid w:val="69AF2822"/>
    <w:rsid w:val="6A147A2C"/>
    <w:rsid w:val="6A1E81FF"/>
    <w:rsid w:val="6A31E03F"/>
    <w:rsid w:val="6B6C3820"/>
    <w:rsid w:val="6BD027D5"/>
    <w:rsid w:val="6BF03C24"/>
    <w:rsid w:val="6C7DA4D9"/>
    <w:rsid w:val="6CA4BBBA"/>
    <w:rsid w:val="6CD83122"/>
    <w:rsid w:val="6D02E854"/>
    <w:rsid w:val="6D05C3D0"/>
    <w:rsid w:val="6D3B63E7"/>
    <w:rsid w:val="6DA869D1"/>
    <w:rsid w:val="6DCA8570"/>
    <w:rsid w:val="6E02CE94"/>
    <w:rsid w:val="6E398584"/>
    <w:rsid w:val="6E83A35B"/>
    <w:rsid w:val="6EEDD80F"/>
    <w:rsid w:val="6FA9E162"/>
    <w:rsid w:val="70B77437"/>
    <w:rsid w:val="70C8A223"/>
    <w:rsid w:val="70FF4855"/>
    <w:rsid w:val="7103A655"/>
    <w:rsid w:val="7143A55F"/>
    <w:rsid w:val="716F6F8D"/>
    <w:rsid w:val="718FBA62"/>
    <w:rsid w:val="71C8CACB"/>
    <w:rsid w:val="720FF0FB"/>
    <w:rsid w:val="73088D76"/>
    <w:rsid w:val="732032DB"/>
    <w:rsid w:val="740175DC"/>
    <w:rsid w:val="749A6AC2"/>
    <w:rsid w:val="751CA6AB"/>
    <w:rsid w:val="754DD53A"/>
    <w:rsid w:val="7551B5EC"/>
    <w:rsid w:val="75DE5AA0"/>
    <w:rsid w:val="763AD76A"/>
    <w:rsid w:val="7651A878"/>
    <w:rsid w:val="76A52751"/>
    <w:rsid w:val="76B5869C"/>
    <w:rsid w:val="773FACFD"/>
    <w:rsid w:val="77F79073"/>
    <w:rsid w:val="7802A288"/>
    <w:rsid w:val="78B07A02"/>
    <w:rsid w:val="794DEF13"/>
    <w:rsid w:val="79771555"/>
    <w:rsid w:val="7A1655DD"/>
    <w:rsid w:val="7A21F264"/>
    <w:rsid w:val="7A39442E"/>
    <w:rsid w:val="7A6D0A6F"/>
    <w:rsid w:val="7A7E790B"/>
    <w:rsid w:val="7ABF1350"/>
    <w:rsid w:val="7ACDE023"/>
    <w:rsid w:val="7B474946"/>
    <w:rsid w:val="7B603FE8"/>
    <w:rsid w:val="7B774B35"/>
    <w:rsid w:val="7C50247B"/>
    <w:rsid w:val="7C5E3407"/>
    <w:rsid w:val="7CAB3DC6"/>
    <w:rsid w:val="7D981563"/>
    <w:rsid w:val="7E28C60B"/>
    <w:rsid w:val="7E2FEEB1"/>
    <w:rsid w:val="7F04972F"/>
    <w:rsid w:val="7F2E4B86"/>
    <w:rsid w:val="7F3E9EBF"/>
    <w:rsid w:val="7F9EAD07"/>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164A2"/>
  <w15:docId w15:val="{36AA30EA-DCD1-4FB8-AC55-D180F5734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1" w:unhideWhenUsed="1" w:qFormat="1"/>
    <w:lsdException w:name="index 1" w:semiHidden="1" w:uiPriority="98"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qFormat="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8" w:unhideWhenUsed="1" w:qFormat="1"/>
    <w:lsdException w:name="table of figures" w:semiHidden="1" w:uiPriority="98"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iPriority="14" w:unhideWhenUsed="1"/>
    <w:lsdException w:name="endnote reference" w:semiHidden="1" w:unhideWhenUsed="1"/>
    <w:lsdException w:name="endnote text" w:semiHidden="1" w:uiPriority="98"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98" w:unhideWhenUsed="1" w:qFormat="1"/>
    <w:lsdException w:name="List Number" w:semiHidden="1" w:uiPriority="9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8"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98" w:unhideWhenUsed="1"/>
    <w:lsdException w:name="Plain Text" w:semiHidden="1" w:uiPriority="98"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0"/>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98"/>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98"/>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3274E"/>
  </w:style>
  <w:style w:type="paragraph" w:styleId="Heading1">
    <w:name w:val="heading 1"/>
    <w:next w:val="ARbody"/>
    <w:link w:val="Heading1Char"/>
    <w:uiPriority w:val="2"/>
    <w:qFormat/>
    <w:rsid w:val="00E17C97"/>
    <w:pPr>
      <w:keepNext/>
      <w:keepLines/>
      <w:spacing w:after="800" w:line="480" w:lineRule="atLeast"/>
      <w:outlineLvl w:val="0"/>
    </w:pPr>
    <w:rPr>
      <w:rFonts w:ascii="Arial" w:eastAsia="MS Gothic" w:hAnsi="Arial" w:cs="Times New Roman"/>
      <w:bCs/>
      <w:color w:val="C63663"/>
      <w:kern w:val="32"/>
      <w:sz w:val="48"/>
      <w:szCs w:val="64"/>
    </w:rPr>
  </w:style>
  <w:style w:type="paragraph" w:styleId="Heading2">
    <w:name w:val="heading 2"/>
    <w:next w:val="ARbody"/>
    <w:link w:val="Heading2Char"/>
    <w:uiPriority w:val="2"/>
    <w:qFormat/>
    <w:rsid w:val="003C51B1"/>
    <w:pPr>
      <w:keepNext/>
      <w:keepLines/>
      <w:spacing w:before="300" w:after="80" w:line="340" w:lineRule="atLeast"/>
      <w:outlineLvl w:val="1"/>
    </w:pPr>
    <w:rPr>
      <w:rFonts w:ascii="Arial" w:eastAsia="MS Gothic" w:hAnsi="Arial" w:cs="Times New Roman"/>
      <w:bCs/>
      <w:iCs/>
      <w:color w:val="53565A"/>
      <w:sz w:val="32"/>
      <w:szCs w:val="30"/>
    </w:rPr>
  </w:style>
  <w:style w:type="paragraph" w:styleId="Heading3">
    <w:name w:val="heading 3"/>
    <w:next w:val="ARbody"/>
    <w:link w:val="Heading3Char"/>
    <w:uiPriority w:val="2"/>
    <w:qFormat/>
    <w:rsid w:val="00E17C97"/>
    <w:pPr>
      <w:keepNext/>
      <w:keepLines/>
      <w:spacing w:before="280" w:after="80" w:line="280" w:lineRule="atLeast"/>
      <w:outlineLvl w:val="2"/>
    </w:pPr>
    <w:rPr>
      <w:rFonts w:ascii="Arial" w:eastAsia="MS Gothic" w:hAnsi="Arial" w:cs="Times New Roman"/>
      <w:bCs/>
      <w:color w:val="C63663"/>
      <w:sz w:val="28"/>
      <w:szCs w:val="24"/>
      <w:lang w:eastAsia="en-AU"/>
    </w:rPr>
  </w:style>
  <w:style w:type="paragraph" w:styleId="Heading4">
    <w:name w:val="heading 4"/>
    <w:next w:val="ARbody"/>
    <w:link w:val="Heading4Char"/>
    <w:uiPriority w:val="2"/>
    <w:qFormat/>
    <w:rsid w:val="003C51B1"/>
    <w:pPr>
      <w:keepNext/>
      <w:keepLines/>
      <w:spacing w:before="200" w:after="80" w:line="240" w:lineRule="atLeast"/>
      <w:outlineLvl w:val="3"/>
    </w:pPr>
    <w:rPr>
      <w:rFonts w:ascii="Arial" w:eastAsia="MS Mincho" w:hAnsi="Arial" w:cs="Arial"/>
      <w:b/>
      <w:bCs/>
      <w:color w:val="53565A"/>
      <w:sz w:val="24"/>
      <w:szCs w:val="24"/>
    </w:rPr>
  </w:style>
  <w:style w:type="paragraph" w:styleId="Heading5">
    <w:name w:val="heading 5"/>
    <w:next w:val="ARbody"/>
    <w:link w:val="Heading5Char"/>
    <w:uiPriority w:val="2"/>
    <w:qFormat/>
    <w:rsid w:val="00E17C97"/>
    <w:pPr>
      <w:keepNext/>
      <w:keepLines/>
      <w:spacing w:before="240" w:after="80" w:line="260" w:lineRule="atLeast"/>
      <w:outlineLvl w:val="4"/>
    </w:pPr>
    <w:rPr>
      <w:rFonts w:ascii="Arial" w:eastAsia="Times New Roman" w:hAnsi="Arial" w:cs="Times New Roman"/>
      <w:b/>
      <w:color w:val="C63663"/>
      <w:szCs w:val="24"/>
    </w:rPr>
  </w:style>
  <w:style w:type="paragraph" w:styleId="Heading6">
    <w:name w:val="heading 6"/>
    <w:basedOn w:val="Normal"/>
    <w:next w:val="Normal"/>
    <w:link w:val="Heading6Char"/>
    <w:uiPriority w:val="2"/>
    <w:qFormat/>
    <w:rsid w:val="00AE2CE4"/>
    <w:pPr>
      <w:keepNext/>
      <w:keepLines/>
      <w:overflowPunct w:val="0"/>
      <w:autoSpaceDE w:val="0"/>
      <w:autoSpaceDN w:val="0"/>
      <w:adjustRightInd w:val="0"/>
      <w:spacing w:before="240" w:after="80" w:line="240" w:lineRule="auto"/>
      <w:textAlignment w:val="baseline"/>
      <w:outlineLvl w:val="5"/>
    </w:pPr>
    <w:rPr>
      <w:rFonts w:ascii="Arial" w:eastAsia="Times New Roman" w:hAnsi="Arial" w:cs="Times New Roman"/>
      <w:b/>
      <w:bCs/>
      <w:sz w:val="20"/>
      <w:szCs w:val="24"/>
    </w:rPr>
  </w:style>
  <w:style w:type="paragraph" w:styleId="Heading7">
    <w:name w:val="heading 7"/>
    <w:basedOn w:val="Normal"/>
    <w:next w:val="Normal"/>
    <w:link w:val="Heading7Char"/>
    <w:uiPriority w:val="2"/>
    <w:qFormat/>
    <w:rsid w:val="003C51B1"/>
    <w:pPr>
      <w:keepNext/>
      <w:keepLines/>
      <w:spacing w:before="180" w:after="60" w:line="240" w:lineRule="auto"/>
      <w:outlineLvl w:val="6"/>
    </w:pPr>
    <w:rPr>
      <w:rFonts w:ascii="Arial" w:eastAsiaTheme="majorEastAsia" w:hAnsi="Arial" w:cstheme="majorBidi"/>
      <w:b/>
      <w:iCs/>
      <w:color w:val="53565A"/>
      <w:sz w:val="20"/>
      <w:szCs w:val="21"/>
      <w:lang w:eastAsia="en-AU"/>
    </w:rPr>
  </w:style>
  <w:style w:type="paragraph" w:styleId="Heading8">
    <w:name w:val="heading 8"/>
    <w:basedOn w:val="Normal"/>
    <w:next w:val="Normal"/>
    <w:link w:val="Heading8Char"/>
    <w:uiPriority w:val="2"/>
    <w:semiHidden/>
    <w:qFormat/>
    <w:rsid w:val="00965476"/>
    <w:pPr>
      <w:keepNext/>
      <w:keepLines/>
      <w:spacing w:before="40" w:after="0" w:line="264" w:lineRule="auto"/>
      <w:outlineLvl w:val="7"/>
    </w:pPr>
    <w:rPr>
      <w:rFonts w:asciiTheme="majorHAnsi" w:eastAsiaTheme="majorEastAsia" w:hAnsiTheme="majorHAnsi" w:cstheme="majorBidi"/>
      <w:b/>
      <w:bCs/>
      <w:color w:val="44546A" w:themeColor="text2"/>
      <w:sz w:val="20"/>
      <w:szCs w:val="20"/>
      <w:lang w:eastAsia="en-AU"/>
    </w:rPr>
  </w:style>
  <w:style w:type="paragraph" w:styleId="Heading9">
    <w:name w:val="heading 9"/>
    <w:basedOn w:val="Normal"/>
    <w:next w:val="Normal"/>
    <w:link w:val="Heading9Char"/>
    <w:uiPriority w:val="1"/>
    <w:semiHidden/>
    <w:qFormat/>
    <w:rsid w:val="00965476"/>
    <w:pPr>
      <w:keepNext/>
      <w:keepLines/>
      <w:spacing w:before="40" w:after="0" w:line="264" w:lineRule="auto"/>
      <w:outlineLvl w:val="8"/>
    </w:pPr>
    <w:rPr>
      <w:rFonts w:asciiTheme="majorHAnsi" w:eastAsiaTheme="majorEastAsia" w:hAnsiTheme="majorHAnsi" w:cstheme="majorBidi"/>
      <w:b/>
      <w:bCs/>
      <w:i/>
      <w:iCs/>
      <w:color w:val="44546A" w:themeColor="text2"/>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5B7992"/>
    <w:pPr>
      <w:widowControl w:val="0"/>
      <w:overflowPunct w:val="0"/>
      <w:autoSpaceDE w:val="0"/>
      <w:autoSpaceDN w:val="0"/>
      <w:adjustRightInd w:val="0"/>
      <w:spacing w:after="120" w:line="264" w:lineRule="auto"/>
      <w:textAlignment w:val="baseline"/>
    </w:pPr>
    <w:rPr>
      <w:rFonts w:ascii="Arial" w:eastAsiaTheme="minorEastAsia" w:hAnsi="Arial"/>
      <w:sz w:val="24"/>
      <w:szCs w:val="24"/>
    </w:rPr>
  </w:style>
  <w:style w:type="character" w:customStyle="1" w:styleId="HeaderChar">
    <w:name w:val="Header Char"/>
    <w:basedOn w:val="DefaultParagraphFont"/>
    <w:link w:val="Header"/>
    <w:uiPriority w:val="99"/>
    <w:rsid w:val="00E30904"/>
    <w:rPr>
      <w:rFonts w:ascii="Arial" w:eastAsiaTheme="minorEastAsia" w:hAnsi="Arial"/>
      <w:sz w:val="24"/>
      <w:szCs w:val="24"/>
    </w:rPr>
  </w:style>
  <w:style w:type="character" w:styleId="Hyperlink">
    <w:name w:val="Hyperlink"/>
    <w:uiPriority w:val="99"/>
    <w:rsid w:val="005B7992"/>
    <w:rPr>
      <w:color w:val="0072CE"/>
      <w:u w:val="dotted"/>
    </w:rPr>
  </w:style>
  <w:style w:type="paragraph" w:customStyle="1" w:styleId="ARaccessibilitypara">
    <w:name w:val="AR accessibility para"/>
    <w:uiPriority w:val="99"/>
    <w:rsid w:val="003C51B1"/>
    <w:pPr>
      <w:spacing w:after="200" w:line="300" w:lineRule="atLeast"/>
    </w:pPr>
    <w:rPr>
      <w:rFonts w:ascii="Arial" w:eastAsia="Times" w:hAnsi="Arial"/>
      <w:sz w:val="24"/>
      <w:szCs w:val="19"/>
    </w:rPr>
  </w:style>
  <w:style w:type="paragraph" w:customStyle="1" w:styleId="ARbody">
    <w:name w:val="AR body"/>
    <w:uiPriority w:val="99"/>
    <w:qFormat/>
    <w:rsid w:val="003C51B1"/>
    <w:pPr>
      <w:spacing w:after="120" w:line="260" w:lineRule="atLeast"/>
    </w:pPr>
    <w:rPr>
      <w:rFonts w:ascii="Arial" w:eastAsia="Times" w:hAnsi="Arial" w:cs="Arial"/>
      <w:sz w:val="20"/>
      <w:szCs w:val="24"/>
    </w:rPr>
  </w:style>
  <w:style w:type="character" w:styleId="Strong">
    <w:name w:val="Strong"/>
    <w:basedOn w:val="DefaultParagraphFont"/>
    <w:uiPriority w:val="22"/>
    <w:qFormat/>
    <w:rsid w:val="005B7992"/>
    <w:rPr>
      <w:b/>
      <w:bCs/>
    </w:rPr>
  </w:style>
  <w:style w:type="paragraph" w:styleId="Footer">
    <w:name w:val="footer"/>
    <w:basedOn w:val="Normal"/>
    <w:link w:val="FooterChar"/>
    <w:uiPriority w:val="99"/>
    <w:rsid w:val="005B7992"/>
    <w:pPr>
      <w:tabs>
        <w:tab w:val="center" w:pos="4513"/>
        <w:tab w:val="right" w:pos="9026"/>
      </w:tabs>
      <w:spacing w:after="0" w:line="240" w:lineRule="auto"/>
    </w:pPr>
    <w:rPr>
      <w:rFonts w:eastAsiaTheme="minorEastAsia"/>
      <w:sz w:val="20"/>
      <w:szCs w:val="20"/>
      <w:lang w:eastAsia="en-AU"/>
    </w:rPr>
  </w:style>
  <w:style w:type="character" w:customStyle="1" w:styleId="FooterChar">
    <w:name w:val="Footer Char"/>
    <w:basedOn w:val="DefaultParagraphFont"/>
    <w:link w:val="Footer"/>
    <w:uiPriority w:val="99"/>
    <w:rsid w:val="00E75133"/>
    <w:rPr>
      <w:rFonts w:eastAsiaTheme="minorEastAsia"/>
      <w:sz w:val="20"/>
      <w:szCs w:val="20"/>
      <w:lang w:eastAsia="en-AU"/>
    </w:rPr>
  </w:style>
  <w:style w:type="paragraph" w:styleId="BalloonText">
    <w:name w:val="Balloon Text"/>
    <w:basedOn w:val="Normal"/>
    <w:link w:val="BalloonTextChar"/>
    <w:uiPriority w:val="98"/>
    <w:semiHidden/>
    <w:unhideWhenUsed/>
    <w:rsid w:val="005B7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8"/>
    <w:semiHidden/>
    <w:rsid w:val="005B7992"/>
    <w:rPr>
      <w:rFonts w:ascii="Segoe UI" w:hAnsi="Segoe UI" w:cs="Segoe UI"/>
      <w:sz w:val="18"/>
      <w:szCs w:val="18"/>
    </w:rPr>
  </w:style>
  <w:style w:type="character" w:customStyle="1" w:styleId="Heading1Char">
    <w:name w:val="Heading 1 Char"/>
    <w:basedOn w:val="DefaultParagraphFont"/>
    <w:link w:val="Heading1"/>
    <w:uiPriority w:val="2"/>
    <w:rsid w:val="00E17C97"/>
    <w:rPr>
      <w:rFonts w:ascii="Arial" w:eastAsia="MS Gothic" w:hAnsi="Arial" w:cs="Times New Roman"/>
      <w:bCs/>
      <w:color w:val="C63663"/>
      <w:kern w:val="32"/>
      <w:sz w:val="48"/>
      <w:szCs w:val="64"/>
    </w:rPr>
  </w:style>
  <w:style w:type="paragraph" w:customStyle="1" w:styleId="ARbodynospace">
    <w:name w:val="AR body no space"/>
    <w:basedOn w:val="ARbody"/>
    <w:uiPriority w:val="3"/>
    <w:qFormat/>
    <w:rsid w:val="003C51B1"/>
    <w:pPr>
      <w:spacing w:after="0"/>
    </w:pPr>
  </w:style>
  <w:style w:type="paragraph" w:customStyle="1" w:styleId="ARbodyaftertable">
    <w:name w:val="AR body after table"/>
    <w:basedOn w:val="ARbody"/>
    <w:uiPriority w:val="99"/>
    <w:qFormat/>
    <w:rsid w:val="003C51B1"/>
    <w:pPr>
      <w:spacing w:before="240"/>
    </w:pPr>
  </w:style>
  <w:style w:type="paragraph" w:styleId="TOC1">
    <w:name w:val="toc 1"/>
    <w:uiPriority w:val="39"/>
    <w:qFormat/>
    <w:rsid w:val="001E1976"/>
    <w:pPr>
      <w:pBdr>
        <w:bottom w:val="single" w:sz="4" w:space="3" w:color="C63663"/>
        <w:between w:val="single" w:sz="4" w:space="1" w:color="C63663"/>
      </w:pBdr>
      <w:tabs>
        <w:tab w:val="right" w:pos="9639"/>
      </w:tabs>
      <w:spacing w:before="120" w:after="40" w:line="264" w:lineRule="auto"/>
    </w:pPr>
    <w:rPr>
      <w:rFonts w:ascii="Arial" w:eastAsiaTheme="minorEastAsia" w:hAnsi="Arial"/>
      <w:noProof/>
      <w:sz w:val="20"/>
      <w:szCs w:val="20"/>
      <w:u w:color="D50032"/>
    </w:rPr>
  </w:style>
  <w:style w:type="paragraph" w:customStyle="1" w:styleId="ARTOCheading">
    <w:name w:val="AR TOC heading"/>
    <w:basedOn w:val="Heading1"/>
    <w:next w:val="ARbody"/>
    <w:link w:val="ARTOCheadingChar"/>
    <w:uiPriority w:val="99"/>
    <w:qFormat/>
    <w:rsid w:val="001A02B8"/>
    <w:rPr>
      <w:lang w:val="x-none" w:eastAsia="x-none"/>
    </w:rPr>
  </w:style>
  <w:style w:type="character" w:customStyle="1" w:styleId="ARTOCheadingChar">
    <w:name w:val="AR TOC heading Char"/>
    <w:link w:val="ARTOCheading"/>
    <w:uiPriority w:val="99"/>
    <w:rsid w:val="001A02B8"/>
    <w:rPr>
      <w:rFonts w:ascii="Arial" w:eastAsia="MS Gothic" w:hAnsi="Arial" w:cs="Times New Roman"/>
      <w:bCs/>
      <w:color w:val="0072CE"/>
      <w:kern w:val="32"/>
      <w:sz w:val="48"/>
      <w:szCs w:val="64"/>
      <w:lang w:val="x-none" w:eastAsia="x-none"/>
    </w:rPr>
  </w:style>
  <w:style w:type="paragraph" w:customStyle="1" w:styleId="ARbodyafterbullets">
    <w:name w:val="AR body after bullets"/>
    <w:basedOn w:val="ARbody"/>
    <w:uiPriority w:val="98"/>
    <w:qFormat/>
    <w:rsid w:val="003C51B1"/>
    <w:pPr>
      <w:spacing w:before="120"/>
    </w:pPr>
  </w:style>
  <w:style w:type="character" w:styleId="PageNumber">
    <w:name w:val="page number"/>
    <w:basedOn w:val="DefaultParagraphFont"/>
    <w:uiPriority w:val="14"/>
    <w:semiHidden/>
    <w:rsid w:val="00566D59"/>
    <w:rPr>
      <w:rFonts w:cs="Arial"/>
      <w:b w:val="0"/>
      <w:color w:val="53565A"/>
    </w:rPr>
  </w:style>
  <w:style w:type="paragraph" w:customStyle="1" w:styleId="ARbullet1">
    <w:name w:val="AR bullet 1"/>
    <w:basedOn w:val="ARbody"/>
    <w:uiPriority w:val="99"/>
    <w:qFormat/>
    <w:rsid w:val="003C51B1"/>
    <w:pPr>
      <w:numPr>
        <w:numId w:val="6"/>
      </w:numPr>
      <w:spacing w:after="40"/>
    </w:pPr>
  </w:style>
  <w:style w:type="paragraph" w:customStyle="1" w:styleId="ARbullet2">
    <w:name w:val="AR bullet 2"/>
    <w:basedOn w:val="ARbody"/>
    <w:uiPriority w:val="99"/>
    <w:qFormat/>
    <w:rsid w:val="003C51B1"/>
    <w:pPr>
      <w:numPr>
        <w:ilvl w:val="1"/>
        <w:numId w:val="6"/>
      </w:numPr>
      <w:spacing w:after="40"/>
    </w:pPr>
  </w:style>
  <w:style w:type="numbering" w:customStyle="1" w:styleId="ZZBullets">
    <w:name w:val="ZZ Bullets"/>
    <w:rsid w:val="003C51B1"/>
    <w:pPr>
      <w:numPr>
        <w:numId w:val="6"/>
      </w:numPr>
    </w:pPr>
  </w:style>
  <w:style w:type="character" w:customStyle="1" w:styleId="Heading2Char">
    <w:name w:val="Heading 2 Char"/>
    <w:basedOn w:val="DefaultParagraphFont"/>
    <w:link w:val="Heading2"/>
    <w:uiPriority w:val="2"/>
    <w:rsid w:val="003C51B1"/>
    <w:rPr>
      <w:rFonts w:ascii="Arial" w:eastAsia="MS Gothic" w:hAnsi="Arial" w:cs="Times New Roman"/>
      <w:bCs/>
      <w:iCs/>
      <w:color w:val="53565A"/>
      <w:sz w:val="32"/>
      <w:szCs w:val="30"/>
    </w:rPr>
  </w:style>
  <w:style w:type="character" w:customStyle="1" w:styleId="Heading3Char">
    <w:name w:val="Heading 3 Char"/>
    <w:basedOn w:val="DefaultParagraphFont"/>
    <w:link w:val="Heading3"/>
    <w:uiPriority w:val="2"/>
    <w:rsid w:val="00E17C97"/>
    <w:rPr>
      <w:rFonts w:ascii="Arial" w:eastAsia="MS Gothic" w:hAnsi="Arial" w:cs="Times New Roman"/>
      <w:bCs/>
      <w:color w:val="C63663"/>
      <w:sz w:val="28"/>
      <w:szCs w:val="24"/>
      <w:lang w:eastAsia="en-AU"/>
    </w:rPr>
  </w:style>
  <w:style w:type="character" w:customStyle="1" w:styleId="Heading4Char">
    <w:name w:val="Heading 4 Char"/>
    <w:basedOn w:val="DefaultParagraphFont"/>
    <w:link w:val="Heading4"/>
    <w:uiPriority w:val="2"/>
    <w:rsid w:val="003C51B1"/>
    <w:rPr>
      <w:rFonts w:ascii="Arial" w:eastAsia="MS Mincho" w:hAnsi="Arial" w:cs="Arial"/>
      <w:b/>
      <w:bCs/>
      <w:color w:val="53565A"/>
      <w:sz w:val="24"/>
      <w:szCs w:val="24"/>
    </w:rPr>
  </w:style>
  <w:style w:type="table" w:styleId="TableGrid">
    <w:name w:val="Table Grid"/>
    <w:basedOn w:val="TableNormal"/>
    <w:rsid w:val="001E1569"/>
    <w:pPr>
      <w:spacing w:after="120" w:line="264" w:lineRule="auto"/>
    </w:pPr>
    <w:rPr>
      <w:rFonts w:eastAsiaTheme="minorEastAsia"/>
      <w:sz w:val="20"/>
      <w:szCs w:val="20"/>
      <w:lang w:eastAsia="en-AU"/>
    </w:rPr>
    <w:tblPr>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Pr>
    <w:trPr>
      <w:cantSplit/>
    </w:trPr>
    <w:tblStylePr w:type="firstRow">
      <w:tblPr/>
      <w:trPr>
        <w:cantSplit w:val="0"/>
      </w:trPr>
      <w:tcPr>
        <w:vAlign w:val="bottom"/>
      </w:tcPr>
    </w:tblStylePr>
  </w:style>
  <w:style w:type="character" w:styleId="CommentReference">
    <w:name w:val="annotation reference"/>
    <w:uiPriority w:val="99"/>
    <w:semiHidden/>
    <w:unhideWhenUsed/>
    <w:rsid w:val="00965476"/>
    <w:rPr>
      <w:sz w:val="16"/>
      <w:szCs w:val="16"/>
    </w:rPr>
  </w:style>
  <w:style w:type="paragraph" w:styleId="CommentText">
    <w:name w:val="annotation text"/>
    <w:basedOn w:val="Normal"/>
    <w:link w:val="CommentTextChar"/>
    <w:uiPriority w:val="99"/>
    <w:semiHidden/>
    <w:rsid w:val="00965476"/>
    <w:pPr>
      <w:spacing w:after="120" w:line="264" w:lineRule="auto"/>
    </w:pPr>
    <w:rPr>
      <w:rFonts w:eastAsiaTheme="minorEastAsia"/>
      <w:sz w:val="20"/>
      <w:szCs w:val="20"/>
      <w:lang w:val="x-none" w:eastAsia="en-AU"/>
    </w:rPr>
  </w:style>
  <w:style w:type="character" w:customStyle="1" w:styleId="CommentTextChar">
    <w:name w:val="Comment Text Char"/>
    <w:basedOn w:val="DefaultParagraphFont"/>
    <w:link w:val="CommentText"/>
    <w:uiPriority w:val="99"/>
    <w:semiHidden/>
    <w:rsid w:val="002E7E19"/>
    <w:rPr>
      <w:rFonts w:eastAsiaTheme="minorEastAsia"/>
      <w:sz w:val="20"/>
      <w:szCs w:val="20"/>
      <w:lang w:val="x-none" w:eastAsia="en-AU"/>
    </w:rPr>
  </w:style>
  <w:style w:type="character" w:customStyle="1" w:styleId="Heading5Char">
    <w:name w:val="Heading 5 Char"/>
    <w:basedOn w:val="DefaultParagraphFont"/>
    <w:link w:val="Heading5"/>
    <w:uiPriority w:val="2"/>
    <w:rsid w:val="00E17C97"/>
    <w:rPr>
      <w:rFonts w:ascii="Arial" w:eastAsia="Times New Roman" w:hAnsi="Arial" w:cs="Times New Roman"/>
      <w:b/>
      <w:color w:val="C63663"/>
      <w:szCs w:val="24"/>
    </w:rPr>
  </w:style>
  <w:style w:type="character" w:customStyle="1" w:styleId="Heading6Char">
    <w:name w:val="Heading 6 Char"/>
    <w:basedOn w:val="DefaultParagraphFont"/>
    <w:link w:val="Heading6"/>
    <w:uiPriority w:val="2"/>
    <w:rsid w:val="00AE2CE4"/>
    <w:rPr>
      <w:rFonts w:ascii="Arial" w:eastAsia="Times New Roman" w:hAnsi="Arial" w:cs="Times New Roman"/>
      <w:b/>
      <w:bCs/>
      <w:sz w:val="20"/>
      <w:szCs w:val="24"/>
    </w:rPr>
  </w:style>
  <w:style w:type="character" w:customStyle="1" w:styleId="Heading7Char">
    <w:name w:val="Heading 7 Char"/>
    <w:basedOn w:val="DefaultParagraphFont"/>
    <w:link w:val="Heading7"/>
    <w:uiPriority w:val="2"/>
    <w:rsid w:val="003C51B1"/>
    <w:rPr>
      <w:rFonts w:ascii="Arial" w:eastAsiaTheme="majorEastAsia" w:hAnsi="Arial" w:cstheme="majorBidi"/>
      <w:b/>
      <w:iCs/>
      <w:color w:val="53565A"/>
      <w:sz w:val="20"/>
      <w:szCs w:val="21"/>
      <w:lang w:eastAsia="en-AU"/>
    </w:rPr>
  </w:style>
  <w:style w:type="character" w:customStyle="1" w:styleId="Heading8Char">
    <w:name w:val="Heading 8 Char"/>
    <w:basedOn w:val="DefaultParagraphFont"/>
    <w:link w:val="Heading8"/>
    <w:uiPriority w:val="2"/>
    <w:semiHidden/>
    <w:rsid w:val="002E7E19"/>
    <w:rPr>
      <w:rFonts w:asciiTheme="majorHAnsi" w:eastAsiaTheme="majorEastAsia" w:hAnsiTheme="majorHAnsi" w:cstheme="majorBidi"/>
      <w:b/>
      <w:bCs/>
      <w:color w:val="44546A" w:themeColor="text2"/>
      <w:sz w:val="20"/>
      <w:szCs w:val="20"/>
      <w:lang w:eastAsia="en-AU"/>
    </w:rPr>
  </w:style>
  <w:style w:type="character" w:customStyle="1" w:styleId="Heading9Char">
    <w:name w:val="Heading 9 Char"/>
    <w:basedOn w:val="DefaultParagraphFont"/>
    <w:link w:val="Heading9"/>
    <w:uiPriority w:val="1"/>
    <w:semiHidden/>
    <w:rsid w:val="002E7E19"/>
    <w:rPr>
      <w:rFonts w:asciiTheme="majorHAnsi" w:eastAsiaTheme="majorEastAsia" w:hAnsiTheme="majorHAnsi" w:cstheme="majorBidi"/>
      <w:b/>
      <w:bCs/>
      <w:i/>
      <w:iCs/>
      <w:color w:val="44546A" w:themeColor="text2"/>
      <w:sz w:val="20"/>
      <w:szCs w:val="20"/>
      <w:lang w:eastAsia="en-AU"/>
    </w:rPr>
  </w:style>
  <w:style w:type="paragraph" w:customStyle="1" w:styleId="ARnumberdigit">
    <w:name w:val="AR number digit"/>
    <w:basedOn w:val="Normal"/>
    <w:uiPriority w:val="2"/>
    <w:rsid w:val="001A559C"/>
    <w:pPr>
      <w:numPr>
        <w:numId w:val="8"/>
      </w:numPr>
      <w:spacing w:after="60" w:line="260" w:lineRule="atLeast"/>
    </w:pPr>
    <w:rPr>
      <w:rFonts w:ascii="Arial" w:eastAsia="Times" w:hAnsi="Arial"/>
      <w:sz w:val="20"/>
      <w:szCs w:val="20"/>
      <w:lang w:eastAsia="en-AU"/>
    </w:rPr>
  </w:style>
  <w:style w:type="numbering" w:customStyle="1" w:styleId="ZZNumbersdigit">
    <w:name w:val="ZZ Numbers digit"/>
    <w:rsid w:val="003C51B1"/>
    <w:pPr>
      <w:numPr>
        <w:numId w:val="8"/>
      </w:numPr>
    </w:pPr>
  </w:style>
  <w:style w:type="paragraph" w:customStyle="1" w:styleId="ARintro">
    <w:name w:val="AR intro"/>
    <w:basedOn w:val="ARbody"/>
    <w:next w:val="ARbody"/>
    <w:uiPriority w:val="98"/>
    <w:qFormat/>
    <w:rsid w:val="003C51B1"/>
    <w:rPr>
      <w:color w:val="53565A"/>
      <w:sz w:val="22"/>
    </w:rPr>
  </w:style>
  <w:style w:type="table" w:styleId="TableGrid1">
    <w:name w:val="Table Grid 1"/>
    <w:basedOn w:val="TableNormal"/>
    <w:rsid w:val="00965476"/>
    <w:pPr>
      <w:spacing w:after="120" w:line="264" w:lineRule="auto"/>
    </w:pPr>
    <w:rPr>
      <w:rFonts w:eastAsiaTheme="minorEastAsia"/>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Rtabletext">
    <w:name w:val="AR table text"/>
    <w:uiPriority w:val="99"/>
    <w:qFormat/>
    <w:rsid w:val="003C51B1"/>
    <w:pPr>
      <w:spacing w:before="80" w:after="60" w:line="264" w:lineRule="auto"/>
    </w:pPr>
    <w:rPr>
      <w:rFonts w:ascii="Arial" w:eastAsia="Times" w:hAnsi="Arial" w:cs="Arial"/>
      <w:sz w:val="18"/>
      <w:szCs w:val="18"/>
      <w:lang w:eastAsia="en-AU"/>
    </w:rPr>
  </w:style>
  <w:style w:type="paragraph" w:customStyle="1" w:styleId="ARtablecolhead">
    <w:name w:val="AR table col head"/>
    <w:uiPriority w:val="99"/>
    <w:qFormat/>
    <w:rsid w:val="003C51B1"/>
    <w:pPr>
      <w:spacing w:before="80" w:after="60" w:line="216" w:lineRule="auto"/>
    </w:pPr>
    <w:rPr>
      <w:rFonts w:ascii="Arial" w:eastAsia="Times" w:hAnsi="Arial" w:cs="Arial"/>
      <w:b/>
      <w:sz w:val="18"/>
      <w:szCs w:val="18"/>
    </w:rPr>
  </w:style>
  <w:style w:type="paragraph" w:customStyle="1" w:styleId="ARtablefootnote">
    <w:name w:val="AR table footnote"/>
    <w:uiPriority w:val="99"/>
    <w:qFormat/>
    <w:rsid w:val="003C51B1"/>
    <w:pPr>
      <w:spacing w:before="80" w:after="60" w:line="264" w:lineRule="auto"/>
    </w:pPr>
    <w:rPr>
      <w:rFonts w:ascii="Arial" w:eastAsiaTheme="minorEastAsia" w:hAnsi="Arial"/>
      <w:sz w:val="16"/>
      <w:szCs w:val="16"/>
    </w:rPr>
  </w:style>
  <w:style w:type="paragraph" w:customStyle="1" w:styleId="ARbullet3">
    <w:name w:val="AR bullet 3"/>
    <w:basedOn w:val="ARbody"/>
    <w:rsid w:val="003C51B1"/>
    <w:pPr>
      <w:numPr>
        <w:ilvl w:val="2"/>
        <w:numId w:val="6"/>
      </w:numPr>
      <w:spacing w:after="40"/>
    </w:pPr>
  </w:style>
  <w:style w:type="paragraph" w:styleId="ListBullet2">
    <w:name w:val="List Bullet 2"/>
    <w:basedOn w:val="ListBullet"/>
    <w:uiPriority w:val="98"/>
    <w:semiHidden/>
    <w:rsid w:val="00965476"/>
    <w:pPr>
      <w:numPr>
        <w:ilvl w:val="1"/>
      </w:numPr>
      <w:tabs>
        <w:tab w:val="num" w:pos="284"/>
        <w:tab w:val="num" w:pos="360"/>
        <w:tab w:val="num" w:pos="680"/>
      </w:tabs>
      <w:ind w:left="680" w:hanging="396"/>
    </w:pPr>
  </w:style>
  <w:style w:type="paragraph" w:styleId="ListBullet">
    <w:name w:val="List Bullet"/>
    <w:basedOn w:val="Normal"/>
    <w:link w:val="ListBulletChar"/>
    <w:uiPriority w:val="98"/>
    <w:semiHidden/>
    <w:qFormat/>
    <w:rsid w:val="00965476"/>
    <w:pPr>
      <w:keepLines/>
      <w:numPr>
        <w:numId w:val="1"/>
      </w:numPr>
      <w:tabs>
        <w:tab w:val="num" w:pos="397"/>
      </w:tabs>
      <w:spacing w:before="60" w:after="120" w:line="264" w:lineRule="auto"/>
      <w:ind w:left="397" w:hanging="397"/>
      <w:contextualSpacing/>
    </w:pPr>
    <w:rPr>
      <w:spacing w:val="2"/>
      <w:sz w:val="18"/>
      <w:szCs w:val="18"/>
      <w:lang w:eastAsia="en-AU"/>
    </w:rPr>
  </w:style>
  <w:style w:type="paragraph" w:styleId="ListBullet3">
    <w:name w:val="List Bullet 3"/>
    <w:basedOn w:val="ListBullet2"/>
    <w:uiPriority w:val="19"/>
    <w:semiHidden/>
    <w:rsid w:val="00965476"/>
    <w:pPr>
      <w:numPr>
        <w:ilvl w:val="2"/>
      </w:numPr>
      <w:tabs>
        <w:tab w:val="num" w:pos="360"/>
        <w:tab w:val="num" w:pos="794"/>
      </w:tabs>
      <w:ind w:left="794" w:hanging="397"/>
    </w:pPr>
  </w:style>
  <w:style w:type="paragraph" w:styleId="FootnoteText">
    <w:name w:val="footnote text"/>
    <w:basedOn w:val="ARbody"/>
    <w:link w:val="FootnoteTextChar"/>
    <w:uiPriority w:val="9"/>
    <w:qFormat/>
    <w:rsid w:val="00F860FA"/>
    <w:pPr>
      <w:spacing w:before="80" w:after="80" w:line="240" w:lineRule="auto"/>
      <w:ind w:left="284" w:hanging="284"/>
    </w:pPr>
    <w:rPr>
      <w:rFonts w:cs="Times New Roman"/>
      <w:sz w:val="16"/>
      <w:szCs w:val="18"/>
      <w:lang w:val="x-none"/>
    </w:rPr>
  </w:style>
  <w:style w:type="character" w:customStyle="1" w:styleId="FootnoteTextChar">
    <w:name w:val="Footnote Text Char"/>
    <w:basedOn w:val="DefaultParagraphFont"/>
    <w:link w:val="FootnoteText"/>
    <w:uiPriority w:val="9"/>
    <w:rsid w:val="00F860FA"/>
    <w:rPr>
      <w:rFonts w:ascii="Arial" w:eastAsia="Times" w:hAnsi="Arial" w:cs="Times New Roman"/>
      <w:sz w:val="16"/>
      <w:szCs w:val="18"/>
      <w:lang w:val="x-none"/>
    </w:rPr>
  </w:style>
  <w:style w:type="character" w:styleId="FootnoteReference">
    <w:name w:val="footnote reference"/>
    <w:uiPriority w:val="11"/>
    <w:rsid w:val="00965476"/>
    <w:rPr>
      <w:vertAlign w:val="superscript"/>
    </w:rPr>
  </w:style>
  <w:style w:type="paragraph" w:customStyle="1" w:styleId="ARtabletextright">
    <w:name w:val="AR table text right"/>
    <w:basedOn w:val="ARtabletext"/>
    <w:uiPriority w:val="99"/>
    <w:qFormat/>
    <w:rsid w:val="003C51B1"/>
    <w:pPr>
      <w:jc w:val="right"/>
    </w:pPr>
  </w:style>
  <w:style w:type="paragraph" w:customStyle="1" w:styleId="ARbodybeforetable">
    <w:name w:val="AR body before table"/>
    <w:basedOn w:val="ARbody"/>
    <w:uiPriority w:val="3"/>
    <w:qFormat/>
    <w:rsid w:val="003C51B1"/>
    <w:pPr>
      <w:spacing w:after="240"/>
    </w:pPr>
    <w:rPr>
      <w:lang w:eastAsia="en-AU"/>
    </w:rPr>
  </w:style>
  <w:style w:type="paragraph" w:customStyle="1" w:styleId="LightList-Accent31">
    <w:name w:val="Light List - Accent 31"/>
    <w:hidden/>
    <w:uiPriority w:val="99"/>
    <w:semiHidden/>
    <w:rsid w:val="00965476"/>
    <w:pPr>
      <w:spacing w:after="120" w:line="264" w:lineRule="auto"/>
    </w:pPr>
    <w:rPr>
      <w:rFonts w:ascii="Arial" w:eastAsiaTheme="minorEastAsia" w:hAnsi="Arial"/>
      <w:sz w:val="24"/>
      <w:szCs w:val="24"/>
    </w:rPr>
  </w:style>
  <w:style w:type="paragraph" w:styleId="TOC5">
    <w:name w:val="toc 5"/>
    <w:basedOn w:val="Normal"/>
    <w:next w:val="Normal"/>
    <w:autoRedefine/>
    <w:uiPriority w:val="39"/>
    <w:semiHidden/>
    <w:rsid w:val="00965476"/>
    <w:pPr>
      <w:spacing w:after="120" w:line="264" w:lineRule="auto"/>
      <w:ind w:left="800"/>
    </w:pPr>
    <w:rPr>
      <w:rFonts w:eastAsiaTheme="minorEastAsia"/>
      <w:sz w:val="20"/>
      <w:szCs w:val="20"/>
      <w:lang w:eastAsia="en-AU"/>
    </w:rPr>
  </w:style>
  <w:style w:type="paragraph" w:customStyle="1" w:styleId="ARtablecolheadcentre">
    <w:name w:val="AR table col head centre"/>
    <w:basedOn w:val="ARtablecolheadright"/>
    <w:uiPriority w:val="98"/>
    <w:qFormat/>
    <w:rsid w:val="003C51B1"/>
    <w:pPr>
      <w:jc w:val="center"/>
    </w:pPr>
  </w:style>
  <w:style w:type="paragraph" w:customStyle="1" w:styleId="ARtablecaption">
    <w:name w:val="AR table caption"/>
    <w:uiPriority w:val="99"/>
    <w:qFormat/>
    <w:rsid w:val="00E17C97"/>
    <w:pPr>
      <w:keepNext/>
      <w:keepLines/>
      <w:spacing w:before="240" w:after="120" w:line="264" w:lineRule="auto"/>
    </w:pPr>
    <w:rPr>
      <w:rFonts w:ascii="Arial" w:eastAsiaTheme="minorEastAsia" w:hAnsi="Arial"/>
      <w:b/>
      <w:bCs/>
      <w:color w:val="C63663"/>
      <w:sz w:val="20"/>
      <w:szCs w:val="24"/>
    </w:rPr>
  </w:style>
  <w:style w:type="paragraph" w:styleId="TOC2">
    <w:name w:val="toc 2"/>
    <w:basedOn w:val="TOC1"/>
    <w:uiPriority w:val="39"/>
    <w:qFormat/>
    <w:rsid w:val="003C51B1"/>
    <w:pPr>
      <w:ind w:left="284"/>
    </w:pPr>
    <w:rPr>
      <w:szCs w:val="24"/>
    </w:rPr>
  </w:style>
  <w:style w:type="paragraph" w:styleId="DocumentMap">
    <w:name w:val="Document Map"/>
    <w:basedOn w:val="Normal"/>
    <w:link w:val="DocumentMapChar"/>
    <w:uiPriority w:val="98"/>
    <w:semiHidden/>
    <w:rsid w:val="00965476"/>
    <w:pPr>
      <w:spacing w:after="120" w:line="264" w:lineRule="auto"/>
    </w:pPr>
    <w:rPr>
      <w:rFonts w:ascii="Lucida Grande" w:eastAsiaTheme="minorEastAsia" w:hAnsi="Lucida Grande"/>
      <w:sz w:val="20"/>
      <w:szCs w:val="20"/>
      <w:lang w:val="x-none" w:eastAsia="en-AU"/>
    </w:rPr>
  </w:style>
  <w:style w:type="character" w:customStyle="1" w:styleId="DocumentMapChar">
    <w:name w:val="Document Map Char"/>
    <w:basedOn w:val="DefaultParagraphFont"/>
    <w:link w:val="DocumentMap"/>
    <w:uiPriority w:val="98"/>
    <w:semiHidden/>
    <w:rsid w:val="00965476"/>
    <w:rPr>
      <w:rFonts w:ascii="Lucida Grande" w:eastAsiaTheme="minorEastAsia" w:hAnsi="Lucida Grande"/>
      <w:sz w:val="20"/>
      <w:szCs w:val="20"/>
      <w:lang w:val="x-none" w:eastAsia="en-AU"/>
    </w:rPr>
  </w:style>
  <w:style w:type="paragraph" w:styleId="TOC3">
    <w:name w:val="toc 3"/>
    <w:basedOn w:val="TOC2"/>
    <w:uiPriority w:val="39"/>
    <w:qFormat/>
    <w:rsid w:val="00F27328"/>
    <w:pPr>
      <w:ind w:left="567"/>
    </w:pPr>
  </w:style>
  <w:style w:type="paragraph" w:styleId="TOC4">
    <w:name w:val="toc 4"/>
    <w:basedOn w:val="TOC3"/>
    <w:uiPriority w:val="39"/>
    <w:rsid w:val="00965476"/>
  </w:style>
  <w:style w:type="paragraph" w:styleId="TOC6">
    <w:name w:val="toc 6"/>
    <w:basedOn w:val="Normal"/>
    <w:next w:val="Normal"/>
    <w:autoRedefine/>
    <w:uiPriority w:val="39"/>
    <w:semiHidden/>
    <w:rsid w:val="00965476"/>
    <w:pPr>
      <w:spacing w:after="120" w:line="264" w:lineRule="auto"/>
      <w:ind w:left="1000"/>
    </w:pPr>
    <w:rPr>
      <w:rFonts w:eastAsiaTheme="minorEastAsia"/>
      <w:sz w:val="20"/>
      <w:szCs w:val="20"/>
      <w:lang w:eastAsia="en-AU"/>
    </w:rPr>
  </w:style>
  <w:style w:type="paragraph" w:styleId="TOC7">
    <w:name w:val="toc 7"/>
    <w:basedOn w:val="Normal"/>
    <w:next w:val="Normal"/>
    <w:autoRedefine/>
    <w:uiPriority w:val="39"/>
    <w:semiHidden/>
    <w:rsid w:val="00965476"/>
    <w:pPr>
      <w:spacing w:after="120" w:line="264" w:lineRule="auto"/>
      <w:ind w:left="1200"/>
    </w:pPr>
    <w:rPr>
      <w:rFonts w:eastAsiaTheme="minorEastAsia"/>
      <w:sz w:val="20"/>
      <w:szCs w:val="20"/>
      <w:lang w:eastAsia="en-AU"/>
    </w:rPr>
  </w:style>
  <w:style w:type="paragraph" w:styleId="TOC8">
    <w:name w:val="toc 8"/>
    <w:basedOn w:val="Normal"/>
    <w:next w:val="Normal"/>
    <w:autoRedefine/>
    <w:uiPriority w:val="39"/>
    <w:semiHidden/>
    <w:rsid w:val="00965476"/>
    <w:pPr>
      <w:spacing w:after="120" w:line="264" w:lineRule="auto"/>
      <w:ind w:left="1400"/>
    </w:pPr>
    <w:rPr>
      <w:rFonts w:eastAsiaTheme="minorEastAsia"/>
      <w:sz w:val="20"/>
      <w:szCs w:val="20"/>
      <w:lang w:eastAsia="en-AU"/>
    </w:rPr>
  </w:style>
  <w:style w:type="paragraph" w:styleId="TOC9">
    <w:name w:val="toc 9"/>
    <w:basedOn w:val="Normal"/>
    <w:next w:val="Normal"/>
    <w:autoRedefine/>
    <w:uiPriority w:val="39"/>
    <w:semiHidden/>
    <w:rsid w:val="00965476"/>
    <w:pPr>
      <w:spacing w:after="120" w:line="264" w:lineRule="auto"/>
      <w:ind w:left="1600"/>
    </w:pPr>
    <w:rPr>
      <w:rFonts w:eastAsiaTheme="minorEastAsia"/>
      <w:sz w:val="20"/>
      <w:szCs w:val="20"/>
      <w:lang w:eastAsia="en-AU"/>
    </w:rPr>
  </w:style>
  <w:style w:type="character" w:styleId="EndnoteReference">
    <w:name w:val="endnote reference"/>
    <w:uiPriority w:val="99"/>
    <w:semiHidden/>
    <w:rsid w:val="00965476"/>
    <w:rPr>
      <w:vertAlign w:val="superscript"/>
    </w:rPr>
  </w:style>
  <w:style w:type="paragraph" w:customStyle="1" w:styleId="ARpublicationtitle">
    <w:name w:val="AR publication title"/>
    <w:link w:val="ARpublicationtitleChar"/>
    <w:uiPriority w:val="99"/>
    <w:qFormat/>
    <w:rsid w:val="00522AE2"/>
    <w:pPr>
      <w:spacing w:before="2000" w:after="200" w:line="264" w:lineRule="auto"/>
      <w:ind w:right="3402"/>
    </w:pPr>
    <w:rPr>
      <w:rFonts w:ascii="Arial" w:eastAsia="MS Mincho" w:hAnsi="Arial"/>
      <w:color w:val="201547"/>
      <w:sz w:val="50"/>
      <w:szCs w:val="50"/>
    </w:rPr>
  </w:style>
  <w:style w:type="character" w:customStyle="1" w:styleId="ARpublicationtitleChar">
    <w:name w:val="AR publication title Char"/>
    <w:link w:val="ARpublicationtitle"/>
    <w:uiPriority w:val="99"/>
    <w:rsid w:val="00522AE2"/>
    <w:rPr>
      <w:rFonts w:ascii="Arial" w:eastAsia="MS Mincho" w:hAnsi="Arial"/>
      <w:color w:val="201547"/>
      <w:sz w:val="50"/>
      <w:szCs w:val="50"/>
    </w:rPr>
  </w:style>
  <w:style w:type="paragraph" w:styleId="NormalWeb">
    <w:name w:val="Normal (Web)"/>
    <w:basedOn w:val="Normal"/>
    <w:uiPriority w:val="99"/>
    <w:semiHidden/>
    <w:rsid w:val="00965476"/>
    <w:pPr>
      <w:spacing w:before="100" w:beforeAutospacing="1" w:after="100" w:afterAutospacing="1" w:line="264" w:lineRule="auto"/>
    </w:pPr>
    <w:rPr>
      <w:rFonts w:ascii="Times New Roman" w:eastAsiaTheme="minorEastAsia" w:hAnsi="Times New Roman"/>
      <w:sz w:val="20"/>
      <w:szCs w:val="20"/>
      <w:lang w:eastAsia="en-AU"/>
    </w:rPr>
  </w:style>
  <w:style w:type="paragraph" w:customStyle="1" w:styleId="ARtablenoteindent">
    <w:name w:val="AR table note indent"/>
    <w:link w:val="ARtablenoteindentChar"/>
    <w:uiPriority w:val="3"/>
    <w:qFormat/>
    <w:rsid w:val="003C51B1"/>
    <w:pPr>
      <w:spacing w:after="80" w:line="264" w:lineRule="auto"/>
      <w:ind w:left="454"/>
    </w:pPr>
    <w:rPr>
      <w:rFonts w:ascii="Arial" w:eastAsia="Times" w:hAnsi="Arial"/>
      <w:iCs/>
      <w:sz w:val="16"/>
      <w:szCs w:val="18"/>
      <w:lang w:eastAsia="en-AU"/>
    </w:rPr>
  </w:style>
  <w:style w:type="character" w:customStyle="1" w:styleId="ARtablenoteindentChar">
    <w:name w:val="AR table note indent Char"/>
    <w:link w:val="ARtablenoteindent"/>
    <w:uiPriority w:val="3"/>
    <w:rsid w:val="003C51B1"/>
    <w:rPr>
      <w:rFonts w:ascii="Arial" w:eastAsia="Times" w:hAnsi="Arial"/>
      <w:iCs/>
      <w:sz w:val="16"/>
      <w:szCs w:val="18"/>
      <w:lang w:eastAsia="en-AU"/>
    </w:rPr>
  </w:style>
  <w:style w:type="paragraph" w:customStyle="1" w:styleId="ARtabletextrightbold">
    <w:name w:val="AR table text right bold"/>
    <w:basedOn w:val="ARtabletextright"/>
    <w:uiPriority w:val="98"/>
    <w:qFormat/>
    <w:rsid w:val="003C51B1"/>
    <w:rPr>
      <w:b/>
    </w:rPr>
  </w:style>
  <w:style w:type="paragraph" w:customStyle="1" w:styleId="LightList-Accent311">
    <w:name w:val="Light List - Accent 311"/>
    <w:hidden/>
    <w:uiPriority w:val="99"/>
    <w:semiHidden/>
    <w:rsid w:val="00965476"/>
    <w:pPr>
      <w:spacing w:after="120" w:line="264" w:lineRule="auto"/>
    </w:pPr>
    <w:rPr>
      <w:rFonts w:ascii="Arial" w:eastAsiaTheme="minorEastAsia" w:hAnsi="Arial"/>
      <w:sz w:val="24"/>
      <w:szCs w:val="24"/>
    </w:rPr>
  </w:style>
  <w:style w:type="character" w:styleId="FollowedHyperlink">
    <w:name w:val="FollowedHyperlink"/>
    <w:uiPriority w:val="99"/>
    <w:rsid w:val="00965476"/>
    <w:rPr>
      <w:color w:val="500778"/>
      <w:u w:val="dotted"/>
    </w:rPr>
  </w:style>
  <w:style w:type="paragraph" w:styleId="CommentSubject">
    <w:name w:val="annotation subject"/>
    <w:basedOn w:val="CommentText"/>
    <w:next w:val="CommentText"/>
    <w:link w:val="CommentSubjectChar"/>
    <w:uiPriority w:val="98"/>
    <w:semiHidden/>
    <w:unhideWhenUsed/>
    <w:rsid w:val="00965476"/>
    <w:rPr>
      <w:b/>
      <w:bCs/>
    </w:rPr>
  </w:style>
  <w:style w:type="character" w:customStyle="1" w:styleId="CommentSubjectChar">
    <w:name w:val="Comment Subject Char"/>
    <w:basedOn w:val="CommentTextChar"/>
    <w:link w:val="CommentSubject"/>
    <w:uiPriority w:val="98"/>
    <w:semiHidden/>
    <w:rsid w:val="00965476"/>
    <w:rPr>
      <w:rFonts w:eastAsiaTheme="minorEastAsia"/>
      <w:b/>
      <w:bCs/>
      <w:sz w:val="20"/>
      <w:szCs w:val="20"/>
      <w:lang w:val="x-none" w:eastAsia="en-AU"/>
    </w:rPr>
  </w:style>
  <w:style w:type="paragraph" w:styleId="EndnoteText">
    <w:name w:val="endnote text"/>
    <w:basedOn w:val="Normal"/>
    <w:link w:val="EndnoteTextChar"/>
    <w:uiPriority w:val="98"/>
    <w:semiHidden/>
    <w:unhideWhenUsed/>
    <w:rsid w:val="00965476"/>
    <w:pPr>
      <w:spacing w:after="120" w:line="264" w:lineRule="auto"/>
    </w:pPr>
    <w:rPr>
      <w:rFonts w:eastAsiaTheme="minorEastAsia"/>
      <w:sz w:val="20"/>
      <w:szCs w:val="20"/>
      <w:lang w:val="x-none" w:eastAsia="en-AU"/>
    </w:rPr>
  </w:style>
  <w:style w:type="character" w:customStyle="1" w:styleId="EndnoteTextChar">
    <w:name w:val="Endnote Text Char"/>
    <w:basedOn w:val="DefaultParagraphFont"/>
    <w:link w:val="EndnoteText"/>
    <w:uiPriority w:val="98"/>
    <w:semiHidden/>
    <w:rsid w:val="00965476"/>
    <w:rPr>
      <w:rFonts w:eastAsiaTheme="minorEastAsia"/>
      <w:sz w:val="20"/>
      <w:szCs w:val="20"/>
      <w:lang w:val="x-none" w:eastAsia="en-AU"/>
    </w:rPr>
  </w:style>
  <w:style w:type="paragraph" w:customStyle="1" w:styleId="ARtablecolheadright">
    <w:name w:val="AR table col head right"/>
    <w:basedOn w:val="ARtablecolhead"/>
    <w:uiPriority w:val="99"/>
    <w:qFormat/>
    <w:rsid w:val="003C51B1"/>
    <w:pPr>
      <w:jc w:val="right"/>
    </w:pPr>
  </w:style>
  <w:style w:type="paragraph" w:customStyle="1" w:styleId="ARtabletextbold">
    <w:name w:val="AR table text bold"/>
    <w:basedOn w:val="ARtabletext"/>
    <w:uiPriority w:val="3"/>
    <w:qFormat/>
    <w:rsid w:val="003C51B1"/>
    <w:rPr>
      <w:b/>
    </w:rPr>
  </w:style>
  <w:style w:type="paragraph" w:customStyle="1" w:styleId="ARtableperformancesymbol">
    <w:name w:val="AR table performance symbol"/>
    <w:basedOn w:val="Normal"/>
    <w:link w:val="ARtableperformancesymbolChar"/>
    <w:uiPriority w:val="99"/>
    <w:qFormat/>
    <w:rsid w:val="00306875"/>
    <w:pPr>
      <w:spacing w:before="80" w:after="60" w:line="264" w:lineRule="auto"/>
      <w:jc w:val="right"/>
    </w:pPr>
    <w:rPr>
      <w:rFonts w:ascii="Wingdings" w:eastAsiaTheme="minorEastAsia" w:hAnsi="Wingdings"/>
      <w:position w:val="4"/>
      <w:sz w:val="18"/>
      <w:szCs w:val="18"/>
      <w:lang w:val="x-none" w:eastAsia="x-none"/>
    </w:rPr>
  </w:style>
  <w:style w:type="character" w:customStyle="1" w:styleId="ARtableperformancesymbolChar">
    <w:name w:val="AR table performance symbol Char"/>
    <w:link w:val="ARtableperformancesymbol"/>
    <w:uiPriority w:val="99"/>
    <w:rsid w:val="00306875"/>
    <w:rPr>
      <w:rFonts w:ascii="Wingdings" w:eastAsiaTheme="minorEastAsia" w:hAnsi="Wingdings"/>
      <w:position w:val="4"/>
      <w:sz w:val="18"/>
      <w:szCs w:val="18"/>
      <w:lang w:val="x-none" w:eastAsia="x-none"/>
    </w:rPr>
  </w:style>
  <w:style w:type="paragraph" w:customStyle="1" w:styleId="MediumList2-Accent21">
    <w:name w:val="Medium List 2 - Accent 21"/>
    <w:hidden/>
    <w:uiPriority w:val="99"/>
    <w:semiHidden/>
    <w:rsid w:val="00965476"/>
    <w:pPr>
      <w:spacing w:after="120" w:line="264" w:lineRule="auto"/>
    </w:pPr>
    <w:rPr>
      <w:rFonts w:ascii="Arial" w:eastAsiaTheme="minorEastAsia" w:hAnsi="Arial"/>
      <w:sz w:val="24"/>
      <w:szCs w:val="24"/>
    </w:rPr>
  </w:style>
  <w:style w:type="character" w:styleId="Emphasis">
    <w:name w:val="Emphasis"/>
    <w:basedOn w:val="DefaultParagraphFont"/>
    <w:uiPriority w:val="20"/>
    <w:qFormat/>
    <w:rsid w:val="00965476"/>
    <w:rPr>
      <w:i/>
      <w:iCs/>
    </w:rPr>
  </w:style>
  <w:style w:type="paragraph" w:styleId="ListNumber">
    <w:name w:val="List Number"/>
    <w:basedOn w:val="Normal"/>
    <w:uiPriority w:val="98"/>
    <w:semiHidden/>
    <w:rsid w:val="00965476"/>
    <w:pPr>
      <w:spacing w:after="120" w:line="264" w:lineRule="auto"/>
      <w:ind w:left="720" w:hanging="720"/>
    </w:pPr>
    <w:rPr>
      <w:rFonts w:ascii="Verdana" w:eastAsiaTheme="minorEastAsia" w:hAnsi="Verdana"/>
      <w:sz w:val="20"/>
      <w:szCs w:val="20"/>
      <w:lang w:eastAsia="en-AU"/>
    </w:rPr>
  </w:style>
  <w:style w:type="paragraph" w:customStyle="1" w:styleId="MediumList2-Accent22">
    <w:name w:val="Medium List 2 - Accent 22"/>
    <w:hidden/>
    <w:uiPriority w:val="71"/>
    <w:unhideWhenUsed/>
    <w:rsid w:val="00965476"/>
    <w:pPr>
      <w:spacing w:after="120" w:line="264" w:lineRule="auto"/>
    </w:pPr>
    <w:rPr>
      <w:rFonts w:ascii="Arial" w:eastAsiaTheme="minorEastAsia" w:hAnsi="Arial"/>
      <w:sz w:val="24"/>
      <w:szCs w:val="24"/>
    </w:rPr>
  </w:style>
  <w:style w:type="paragraph" w:customStyle="1" w:styleId="ColorfulShading-Accent11">
    <w:name w:val="Colorful Shading - Accent 11"/>
    <w:hidden/>
    <w:uiPriority w:val="99"/>
    <w:unhideWhenUsed/>
    <w:rsid w:val="00965476"/>
    <w:pPr>
      <w:spacing w:after="120" w:line="264" w:lineRule="auto"/>
    </w:pPr>
    <w:rPr>
      <w:rFonts w:ascii="Arial" w:eastAsiaTheme="minorEastAsia" w:hAnsi="Arial"/>
      <w:sz w:val="24"/>
      <w:szCs w:val="24"/>
    </w:rPr>
  </w:style>
  <w:style w:type="paragraph" w:styleId="Revision">
    <w:name w:val="Revision"/>
    <w:hidden/>
    <w:uiPriority w:val="62"/>
    <w:rsid w:val="00965476"/>
    <w:pPr>
      <w:spacing w:after="120" w:line="264" w:lineRule="auto"/>
    </w:pPr>
    <w:rPr>
      <w:rFonts w:ascii="Arial" w:eastAsiaTheme="minorEastAsia" w:hAnsi="Arial"/>
      <w:sz w:val="20"/>
      <w:szCs w:val="20"/>
    </w:rPr>
  </w:style>
  <w:style w:type="character" w:customStyle="1" w:styleId="ListBulletChar">
    <w:name w:val="List Bullet Char"/>
    <w:basedOn w:val="DefaultParagraphFont"/>
    <w:link w:val="ListBullet"/>
    <w:uiPriority w:val="98"/>
    <w:semiHidden/>
    <w:rsid w:val="00965476"/>
    <w:rPr>
      <w:spacing w:val="2"/>
      <w:sz w:val="18"/>
      <w:szCs w:val="18"/>
      <w:lang w:eastAsia="en-AU"/>
    </w:rPr>
  </w:style>
  <w:style w:type="paragraph" w:styleId="NoSpacing">
    <w:name w:val="No Spacing"/>
    <w:uiPriority w:val="98"/>
    <w:qFormat/>
    <w:rsid w:val="00965476"/>
    <w:pPr>
      <w:spacing w:after="0" w:line="240" w:lineRule="auto"/>
    </w:pPr>
    <w:rPr>
      <w:rFonts w:eastAsiaTheme="minorEastAsia"/>
      <w:sz w:val="20"/>
      <w:szCs w:val="20"/>
      <w:lang w:eastAsia="en-AU"/>
    </w:rPr>
  </w:style>
  <w:style w:type="table" w:styleId="LightList">
    <w:name w:val="Light List"/>
    <w:basedOn w:val="TableNormal"/>
    <w:uiPriority w:val="61"/>
    <w:rsid w:val="00965476"/>
    <w:pPr>
      <w:spacing w:after="120" w:line="264" w:lineRule="auto"/>
    </w:pPr>
    <w:rPr>
      <w:rFonts w:eastAsiaTheme="minorEastAsia"/>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ableofFigures">
    <w:name w:val="table of figures"/>
    <w:basedOn w:val="Normal"/>
    <w:next w:val="Normal"/>
    <w:uiPriority w:val="98"/>
    <w:semiHidden/>
    <w:rsid w:val="00965476"/>
    <w:pPr>
      <w:spacing w:after="120" w:line="264" w:lineRule="auto"/>
      <w:jc w:val="right"/>
    </w:pPr>
    <w:rPr>
      <w:rFonts w:ascii="AvantGarde Bk BT" w:eastAsiaTheme="minorEastAsia" w:hAnsi="AvantGarde Bk BT"/>
      <w:sz w:val="18"/>
      <w:szCs w:val="18"/>
      <w:lang w:eastAsia="en-AU"/>
    </w:rPr>
  </w:style>
  <w:style w:type="paragraph" w:styleId="PlainText">
    <w:name w:val="Plain Text"/>
    <w:basedOn w:val="Normal"/>
    <w:link w:val="PlainTextChar"/>
    <w:uiPriority w:val="98"/>
    <w:semiHidden/>
    <w:rsid w:val="00965476"/>
    <w:pPr>
      <w:spacing w:after="120" w:line="264" w:lineRule="auto"/>
    </w:pPr>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8"/>
    <w:semiHidden/>
    <w:rsid w:val="00965476"/>
    <w:rPr>
      <w:rFonts w:ascii="Consolas" w:eastAsia="Calibri" w:hAnsi="Consolas"/>
      <w:sz w:val="21"/>
      <w:szCs w:val="21"/>
      <w:lang w:val="x-none" w:eastAsia="x-none"/>
    </w:rPr>
  </w:style>
  <w:style w:type="paragraph" w:customStyle="1" w:styleId="ColorfulShading-Accent12">
    <w:name w:val="Colorful Shading - Accent 12"/>
    <w:hidden/>
    <w:uiPriority w:val="99"/>
    <w:semiHidden/>
    <w:rsid w:val="00965476"/>
    <w:pPr>
      <w:spacing w:after="120" w:line="264" w:lineRule="auto"/>
    </w:pPr>
    <w:rPr>
      <w:rFonts w:ascii="Verdana" w:eastAsiaTheme="minorEastAsia" w:hAnsi="Verdana"/>
      <w:sz w:val="20"/>
      <w:szCs w:val="20"/>
    </w:rPr>
  </w:style>
  <w:style w:type="character" w:customStyle="1" w:styleId="Superscript">
    <w:name w:val="Superscript"/>
    <w:uiPriority w:val="99"/>
    <w:rsid w:val="00965476"/>
    <w:rPr>
      <w:vertAlign w:val="superscript"/>
    </w:rPr>
  </w:style>
  <w:style w:type="numbering" w:customStyle="1" w:styleId="ARnumberedparas">
    <w:name w:val="AR numbered paras"/>
    <w:rsid w:val="003C51B1"/>
    <w:pPr>
      <w:numPr>
        <w:numId w:val="5"/>
      </w:numPr>
    </w:pPr>
  </w:style>
  <w:style w:type="paragraph" w:customStyle="1" w:styleId="ARtablebullet2">
    <w:name w:val="AR table bullet 2"/>
    <w:basedOn w:val="ARtablebullet1"/>
    <w:uiPriority w:val="3"/>
    <w:qFormat/>
    <w:rsid w:val="003C51B1"/>
    <w:pPr>
      <w:numPr>
        <w:ilvl w:val="1"/>
      </w:numPr>
    </w:pPr>
  </w:style>
  <w:style w:type="paragraph" w:customStyle="1" w:styleId="ARtablebullet1">
    <w:name w:val="AR table bullet 1"/>
    <w:basedOn w:val="ARtabletext"/>
    <w:uiPriority w:val="3"/>
    <w:qFormat/>
    <w:rsid w:val="003C51B1"/>
    <w:pPr>
      <w:numPr>
        <w:numId w:val="9"/>
      </w:numPr>
      <w:spacing w:line="240" w:lineRule="auto"/>
    </w:pPr>
  </w:style>
  <w:style w:type="table" w:styleId="TableElegant">
    <w:name w:val="Table Elegant"/>
    <w:basedOn w:val="TableNormal"/>
    <w:uiPriority w:val="99"/>
    <w:rsid w:val="00965476"/>
    <w:pPr>
      <w:spacing w:after="120" w:line="264" w:lineRule="auto"/>
    </w:pPr>
    <w:rPr>
      <w:rFonts w:eastAsiaTheme="minorEastAsia"/>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5">
    <w:name w:val="Table Grid 5"/>
    <w:basedOn w:val="TableNormal"/>
    <w:rsid w:val="00965476"/>
    <w:pPr>
      <w:spacing w:after="120" w:line="264" w:lineRule="auto"/>
    </w:pPr>
    <w:rPr>
      <w:rFonts w:eastAsiaTheme="minorEastAsia"/>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Subtitle">
    <w:name w:val="Subtitle"/>
    <w:basedOn w:val="Normal"/>
    <w:next w:val="Normal"/>
    <w:link w:val="SubtitleChar"/>
    <w:uiPriority w:val="11"/>
    <w:qFormat/>
    <w:rsid w:val="00965476"/>
    <w:pPr>
      <w:numPr>
        <w:ilvl w:val="1"/>
      </w:numPr>
      <w:spacing w:after="120" w:line="240" w:lineRule="auto"/>
    </w:pPr>
    <w:rPr>
      <w:rFonts w:asciiTheme="majorHAnsi" w:eastAsiaTheme="majorEastAsia" w:hAnsiTheme="majorHAnsi" w:cstheme="majorBidi"/>
      <w:sz w:val="24"/>
      <w:szCs w:val="24"/>
      <w:lang w:eastAsia="en-AU"/>
    </w:rPr>
  </w:style>
  <w:style w:type="character" w:customStyle="1" w:styleId="SubtitleChar">
    <w:name w:val="Subtitle Char"/>
    <w:basedOn w:val="DefaultParagraphFont"/>
    <w:link w:val="Subtitle"/>
    <w:uiPriority w:val="11"/>
    <w:rsid w:val="002E7E19"/>
    <w:rPr>
      <w:rFonts w:asciiTheme="majorHAnsi" w:eastAsiaTheme="majorEastAsia" w:hAnsiTheme="majorHAnsi" w:cstheme="majorBidi"/>
      <w:sz w:val="24"/>
      <w:szCs w:val="24"/>
      <w:lang w:eastAsia="en-AU"/>
    </w:rPr>
  </w:style>
  <w:style w:type="paragraph" w:styleId="IntenseQuote">
    <w:name w:val="Intense Quote"/>
    <w:basedOn w:val="Normal"/>
    <w:next w:val="Normal"/>
    <w:link w:val="IntenseQuoteChar"/>
    <w:uiPriority w:val="30"/>
    <w:qFormat/>
    <w:rsid w:val="00965476"/>
    <w:pPr>
      <w:pBdr>
        <w:left w:val="single" w:sz="18" w:space="12" w:color="87189D" w:themeColor="accent1"/>
      </w:pBdr>
      <w:spacing w:before="100" w:beforeAutospacing="1" w:after="120" w:line="300" w:lineRule="auto"/>
      <w:ind w:left="1224" w:right="1224"/>
    </w:pPr>
    <w:rPr>
      <w:rFonts w:asciiTheme="majorHAnsi" w:eastAsiaTheme="majorEastAsia" w:hAnsiTheme="majorHAnsi" w:cstheme="majorBidi"/>
      <w:color w:val="87189D" w:themeColor="accent1"/>
      <w:sz w:val="28"/>
      <w:szCs w:val="28"/>
      <w:lang w:eastAsia="en-AU"/>
    </w:rPr>
  </w:style>
  <w:style w:type="character" w:customStyle="1" w:styleId="IntenseQuoteChar">
    <w:name w:val="Intense Quote Char"/>
    <w:basedOn w:val="DefaultParagraphFont"/>
    <w:link w:val="IntenseQuote"/>
    <w:uiPriority w:val="30"/>
    <w:rsid w:val="002E7E19"/>
    <w:rPr>
      <w:rFonts w:asciiTheme="majorHAnsi" w:eastAsiaTheme="majorEastAsia" w:hAnsiTheme="majorHAnsi" w:cstheme="majorBidi"/>
      <w:color w:val="87189D" w:themeColor="accent1"/>
      <w:sz w:val="28"/>
      <w:szCs w:val="28"/>
      <w:lang w:eastAsia="en-AU"/>
    </w:rPr>
  </w:style>
  <w:style w:type="character" w:styleId="SubtleEmphasis">
    <w:name w:val="Subtle Emphasis"/>
    <w:basedOn w:val="DefaultParagraphFont"/>
    <w:uiPriority w:val="19"/>
    <w:qFormat/>
    <w:rsid w:val="00965476"/>
    <w:rPr>
      <w:i/>
      <w:iCs/>
      <w:color w:val="404040" w:themeColor="text1" w:themeTint="BF"/>
    </w:rPr>
  </w:style>
  <w:style w:type="character" w:styleId="IntenseEmphasis">
    <w:name w:val="Intense Emphasis"/>
    <w:basedOn w:val="DefaultParagraphFont"/>
    <w:uiPriority w:val="21"/>
    <w:qFormat/>
    <w:rsid w:val="00965476"/>
    <w:rPr>
      <w:b/>
      <w:bCs/>
      <w:i/>
      <w:iCs/>
    </w:rPr>
  </w:style>
  <w:style w:type="character" w:styleId="SubtleReference">
    <w:name w:val="Subtle Reference"/>
    <w:basedOn w:val="DefaultParagraphFont"/>
    <w:uiPriority w:val="31"/>
    <w:qFormat/>
    <w:rsid w:val="0096547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65476"/>
    <w:rPr>
      <w:b/>
      <w:bCs/>
      <w:smallCaps/>
      <w:spacing w:val="5"/>
      <w:u w:val="single"/>
    </w:rPr>
  </w:style>
  <w:style w:type="numbering" w:customStyle="1" w:styleId="ZZTablebullets">
    <w:name w:val="ZZ Table bullets"/>
    <w:basedOn w:val="NoList"/>
    <w:uiPriority w:val="99"/>
    <w:rsid w:val="003C51B1"/>
    <w:pPr>
      <w:numPr>
        <w:numId w:val="9"/>
      </w:numPr>
    </w:pPr>
  </w:style>
  <w:style w:type="paragraph" w:customStyle="1" w:styleId="ARtablegreybold">
    <w:name w:val="AR table grey bold"/>
    <w:basedOn w:val="ARtablecolourbold"/>
    <w:rsid w:val="003C51B1"/>
    <w:rPr>
      <w:color w:val="53565A"/>
    </w:rPr>
  </w:style>
  <w:style w:type="table" w:styleId="LightShading-Accent2">
    <w:name w:val="Light Shading Accent 2"/>
    <w:basedOn w:val="TableNormal"/>
    <w:uiPriority w:val="60"/>
    <w:rsid w:val="00965476"/>
    <w:pPr>
      <w:spacing w:before="120"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LightList-Accent312">
    <w:name w:val="Light List - Accent 312"/>
    <w:hidden/>
    <w:uiPriority w:val="99"/>
    <w:semiHidden/>
    <w:rsid w:val="00965476"/>
    <w:pPr>
      <w:spacing w:after="120" w:line="264" w:lineRule="auto"/>
    </w:pPr>
    <w:rPr>
      <w:rFonts w:ascii="Arial" w:eastAsiaTheme="minorEastAsia" w:hAnsi="Arial"/>
      <w:sz w:val="24"/>
      <w:szCs w:val="24"/>
    </w:rPr>
  </w:style>
  <w:style w:type="paragraph" w:customStyle="1" w:styleId="LightList-Accent3111">
    <w:name w:val="Light List - Accent 3111"/>
    <w:hidden/>
    <w:uiPriority w:val="99"/>
    <w:semiHidden/>
    <w:rsid w:val="00965476"/>
    <w:pPr>
      <w:spacing w:after="120" w:line="264" w:lineRule="auto"/>
    </w:pPr>
    <w:rPr>
      <w:rFonts w:ascii="Arial" w:eastAsiaTheme="minorEastAsia" w:hAnsi="Arial"/>
      <w:sz w:val="24"/>
      <w:szCs w:val="24"/>
    </w:rPr>
  </w:style>
  <w:style w:type="paragraph" w:customStyle="1" w:styleId="MediumList2-Accent211">
    <w:name w:val="Medium List 2 - Accent 211"/>
    <w:hidden/>
    <w:uiPriority w:val="99"/>
    <w:semiHidden/>
    <w:rsid w:val="00965476"/>
    <w:pPr>
      <w:spacing w:after="120" w:line="264" w:lineRule="auto"/>
    </w:pPr>
    <w:rPr>
      <w:rFonts w:ascii="Arial" w:eastAsiaTheme="minorEastAsia" w:hAnsi="Arial"/>
      <w:sz w:val="24"/>
      <w:szCs w:val="24"/>
    </w:rPr>
  </w:style>
  <w:style w:type="paragraph" w:customStyle="1" w:styleId="MediumList2-Accent221">
    <w:name w:val="Medium List 2 - Accent 221"/>
    <w:hidden/>
    <w:uiPriority w:val="71"/>
    <w:unhideWhenUsed/>
    <w:rsid w:val="00965476"/>
    <w:pPr>
      <w:spacing w:after="120" w:line="264" w:lineRule="auto"/>
    </w:pPr>
    <w:rPr>
      <w:rFonts w:ascii="Arial" w:eastAsiaTheme="minorEastAsia" w:hAnsi="Arial"/>
      <w:sz w:val="24"/>
      <w:szCs w:val="24"/>
    </w:rPr>
  </w:style>
  <w:style w:type="paragraph" w:customStyle="1" w:styleId="ColorfulShading-Accent111">
    <w:name w:val="Colorful Shading - Accent 111"/>
    <w:hidden/>
    <w:uiPriority w:val="99"/>
    <w:unhideWhenUsed/>
    <w:rsid w:val="00965476"/>
    <w:pPr>
      <w:spacing w:after="120" w:line="264" w:lineRule="auto"/>
    </w:pPr>
    <w:rPr>
      <w:rFonts w:ascii="Arial" w:eastAsiaTheme="minorEastAsia" w:hAnsi="Arial"/>
      <w:sz w:val="24"/>
      <w:szCs w:val="24"/>
    </w:rPr>
  </w:style>
  <w:style w:type="paragraph" w:customStyle="1" w:styleId="ColorfulShading-Accent121">
    <w:name w:val="Colorful Shading - Accent 121"/>
    <w:hidden/>
    <w:uiPriority w:val="99"/>
    <w:semiHidden/>
    <w:rsid w:val="00965476"/>
    <w:pPr>
      <w:spacing w:after="120" w:line="264" w:lineRule="auto"/>
    </w:pPr>
    <w:rPr>
      <w:rFonts w:ascii="Verdana" w:eastAsiaTheme="minorEastAsia" w:hAnsi="Verdana"/>
      <w:sz w:val="20"/>
      <w:szCs w:val="20"/>
    </w:rPr>
  </w:style>
  <w:style w:type="paragraph" w:customStyle="1" w:styleId="LightList-Accent313">
    <w:name w:val="Light List - Accent 313"/>
    <w:hidden/>
    <w:uiPriority w:val="99"/>
    <w:semiHidden/>
    <w:rsid w:val="00092D31"/>
    <w:pPr>
      <w:spacing w:after="120" w:line="264" w:lineRule="auto"/>
    </w:pPr>
    <w:rPr>
      <w:rFonts w:ascii="Arial" w:eastAsiaTheme="minorEastAsia" w:hAnsi="Arial"/>
      <w:sz w:val="24"/>
      <w:szCs w:val="24"/>
    </w:rPr>
  </w:style>
  <w:style w:type="paragraph" w:customStyle="1" w:styleId="LightList-Accent3112">
    <w:name w:val="Light List - Accent 3112"/>
    <w:hidden/>
    <w:uiPriority w:val="99"/>
    <w:semiHidden/>
    <w:rsid w:val="00092D31"/>
    <w:pPr>
      <w:spacing w:after="120" w:line="264" w:lineRule="auto"/>
    </w:pPr>
    <w:rPr>
      <w:rFonts w:ascii="Arial" w:eastAsiaTheme="minorEastAsia" w:hAnsi="Arial"/>
      <w:sz w:val="24"/>
      <w:szCs w:val="24"/>
    </w:rPr>
  </w:style>
  <w:style w:type="paragraph" w:customStyle="1" w:styleId="MediumList2-Accent212">
    <w:name w:val="Medium List 2 - Accent 212"/>
    <w:hidden/>
    <w:uiPriority w:val="99"/>
    <w:semiHidden/>
    <w:rsid w:val="00092D31"/>
    <w:pPr>
      <w:spacing w:after="120" w:line="264" w:lineRule="auto"/>
    </w:pPr>
    <w:rPr>
      <w:rFonts w:ascii="Arial" w:eastAsiaTheme="minorEastAsia" w:hAnsi="Arial"/>
      <w:sz w:val="24"/>
      <w:szCs w:val="24"/>
    </w:rPr>
  </w:style>
  <w:style w:type="paragraph" w:customStyle="1" w:styleId="MediumList2-Accent222">
    <w:name w:val="Medium List 2 - Accent 222"/>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2">
    <w:name w:val="Colorful Shading - Accent 112"/>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2">
    <w:name w:val="Colorful Shading - Accent 122"/>
    <w:hidden/>
    <w:uiPriority w:val="99"/>
    <w:semiHidden/>
    <w:rsid w:val="00092D31"/>
    <w:pPr>
      <w:spacing w:after="120" w:line="264" w:lineRule="auto"/>
    </w:pPr>
    <w:rPr>
      <w:rFonts w:ascii="Verdana" w:eastAsiaTheme="minorEastAsia" w:hAnsi="Verdana"/>
      <w:sz w:val="20"/>
      <w:szCs w:val="20"/>
    </w:rPr>
  </w:style>
  <w:style w:type="paragraph" w:styleId="ListParagraph">
    <w:name w:val="List Paragraph"/>
    <w:basedOn w:val="Normal"/>
    <w:link w:val="ListParagraphChar"/>
    <w:uiPriority w:val="34"/>
    <w:qFormat/>
    <w:rsid w:val="00255AB4"/>
    <w:pPr>
      <w:keepLines/>
      <w:spacing w:before="80" w:after="0" w:line="240" w:lineRule="auto"/>
    </w:pPr>
    <w:rPr>
      <w:rFonts w:ascii="Arial" w:hAnsi="Arial"/>
      <w:color w:val="87189D"/>
      <w:sz w:val="18"/>
      <w:szCs w:val="18"/>
    </w:rPr>
  </w:style>
  <w:style w:type="paragraph" w:customStyle="1" w:styleId="LightList-Accent3121">
    <w:name w:val="Light List - Accent 3121"/>
    <w:hidden/>
    <w:uiPriority w:val="99"/>
    <w:semiHidden/>
    <w:rsid w:val="00092D31"/>
    <w:pPr>
      <w:spacing w:after="120" w:line="264" w:lineRule="auto"/>
    </w:pPr>
    <w:rPr>
      <w:rFonts w:ascii="Arial" w:eastAsiaTheme="minorEastAsia" w:hAnsi="Arial"/>
      <w:sz w:val="24"/>
      <w:szCs w:val="24"/>
    </w:rPr>
  </w:style>
  <w:style w:type="paragraph" w:customStyle="1" w:styleId="LightList-Accent31111">
    <w:name w:val="Light List - Accent 31111"/>
    <w:hidden/>
    <w:uiPriority w:val="99"/>
    <w:semiHidden/>
    <w:rsid w:val="00092D31"/>
    <w:pPr>
      <w:spacing w:after="120" w:line="264" w:lineRule="auto"/>
    </w:pPr>
    <w:rPr>
      <w:rFonts w:ascii="Arial" w:eastAsiaTheme="minorEastAsia" w:hAnsi="Arial"/>
      <w:sz w:val="24"/>
      <w:szCs w:val="24"/>
    </w:rPr>
  </w:style>
  <w:style w:type="paragraph" w:customStyle="1" w:styleId="MediumList2-Accent2111">
    <w:name w:val="Medium List 2 - Accent 2111"/>
    <w:hidden/>
    <w:uiPriority w:val="99"/>
    <w:semiHidden/>
    <w:rsid w:val="00092D31"/>
    <w:pPr>
      <w:spacing w:after="120" w:line="264" w:lineRule="auto"/>
    </w:pPr>
    <w:rPr>
      <w:rFonts w:ascii="Arial" w:eastAsiaTheme="minorEastAsia" w:hAnsi="Arial"/>
      <w:sz w:val="24"/>
      <w:szCs w:val="24"/>
    </w:rPr>
  </w:style>
  <w:style w:type="paragraph" w:customStyle="1" w:styleId="MediumList2-Accent2211">
    <w:name w:val="Medium List 2 - Accent 2211"/>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11">
    <w:name w:val="Colorful Shading - Accent 1111"/>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11">
    <w:name w:val="Colorful Shading - Accent 1211"/>
    <w:hidden/>
    <w:uiPriority w:val="99"/>
    <w:semiHidden/>
    <w:rsid w:val="00092D31"/>
    <w:pPr>
      <w:spacing w:after="120" w:line="264" w:lineRule="auto"/>
    </w:pPr>
    <w:rPr>
      <w:rFonts w:ascii="Verdana" w:eastAsiaTheme="minorEastAsia" w:hAnsi="Verdana"/>
      <w:sz w:val="20"/>
      <w:szCs w:val="20"/>
    </w:rPr>
  </w:style>
  <w:style w:type="paragraph" w:customStyle="1" w:styleId="LightList-Accent3131">
    <w:name w:val="Light List - Accent 3131"/>
    <w:hidden/>
    <w:uiPriority w:val="99"/>
    <w:semiHidden/>
    <w:rsid w:val="00092D31"/>
    <w:pPr>
      <w:spacing w:after="120" w:line="264" w:lineRule="auto"/>
    </w:pPr>
    <w:rPr>
      <w:rFonts w:ascii="Arial" w:eastAsiaTheme="minorEastAsia" w:hAnsi="Arial"/>
      <w:sz w:val="24"/>
      <w:szCs w:val="24"/>
    </w:rPr>
  </w:style>
  <w:style w:type="paragraph" w:customStyle="1" w:styleId="LightList-Accent31121">
    <w:name w:val="Light List - Accent 31121"/>
    <w:hidden/>
    <w:uiPriority w:val="99"/>
    <w:semiHidden/>
    <w:rsid w:val="00092D31"/>
    <w:pPr>
      <w:spacing w:after="120" w:line="264" w:lineRule="auto"/>
    </w:pPr>
    <w:rPr>
      <w:rFonts w:ascii="Arial" w:eastAsiaTheme="minorEastAsia" w:hAnsi="Arial"/>
      <w:sz w:val="24"/>
      <w:szCs w:val="24"/>
    </w:rPr>
  </w:style>
  <w:style w:type="paragraph" w:customStyle="1" w:styleId="MediumList2-Accent2121">
    <w:name w:val="Medium List 2 - Accent 2121"/>
    <w:hidden/>
    <w:uiPriority w:val="99"/>
    <w:semiHidden/>
    <w:rsid w:val="00092D31"/>
    <w:pPr>
      <w:spacing w:after="120" w:line="264" w:lineRule="auto"/>
    </w:pPr>
    <w:rPr>
      <w:rFonts w:ascii="Arial" w:eastAsiaTheme="minorEastAsia" w:hAnsi="Arial"/>
      <w:sz w:val="24"/>
      <w:szCs w:val="24"/>
    </w:rPr>
  </w:style>
  <w:style w:type="paragraph" w:customStyle="1" w:styleId="MediumList2-Accent2221">
    <w:name w:val="Medium List 2 - Accent 2221"/>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21">
    <w:name w:val="Colorful Shading - Accent 1121"/>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21">
    <w:name w:val="Colorful Shading - Accent 1221"/>
    <w:hidden/>
    <w:uiPriority w:val="99"/>
    <w:semiHidden/>
    <w:rsid w:val="00092D31"/>
    <w:pPr>
      <w:spacing w:after="120" w:line="264" w:lineRule="auto"/>
    </w:pPr>
    <w:rPr>
      <w:rFonts w:ascii="Verdana" w:eastAsiaTheme="minorEastAsia" w:hAnsi="Verdana"/>
      <w:sz w:val="20"/>
      <w:szCs w:val="20"/>
    </w:rPr>
  </w:style>
  <w:style w:type="paragraph" w:styleId="MacroText">
    <w:name w:val="macro"/>
    <w:link w:val="MacroTextChar"/>
    <w:semiHidden/>
    <w:rsid w:val="00E71771"/>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semiHidden/>
    <w:rsid w:val="00E71771"/>
    <w:rPr>
      <w:rFonts w:ascii="Courier New" w:eastAsia="Times New Roman" w:hAnsi="Courier New" w:cs="Courier New"/>
      <w:sz w:val="18"/>
      <w:szCs w:val="20"/>
      <w:lang w:val="en-GB"/>
    </w:rPr>
  </w:style>
  <w:style w:type="paragraph" w:styleId="z-BottomofForm">
    <w:name w:val="HTML Bottom of Form"/>
    <w:basedOn w:val="Normal"/>
    <w:next w:val="Normal"/>
    <w:link w:val="z-BottomofFormChar"/>
    <w:hidden/>
    <w:rsid w:val="00E71771"/>
    <w:pPr>
      <w:pBdr>
        <w:top w:val="single" w:sz="6" w:space="1" w:color="auto"/>
      </w:pBdr>
      <w:spacing w:after="0" w:line="260" w:lineRule="atLeast"/>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E71771"/>
    <w:rPr>
      <w:rFonts w:ascii="Arial" w:eastAsia="Times New Roman" w:hAnsi="Arial" w:cs="Arial"/>
      <w:vanish/>
      <w:sz w:val="16"/>
      <w:szCs w:val="16"/>
    </w:rPr>
  </w:style>
  <w:style w:type="paragraph" w:styleId="z-TopofForm">
    <w:name w:val="HTML Top of Form"/>
    <w:basedOn w:val="Normal"/>
    <w:next w:val="Normal"/>
    <w:link w:val="z-TopofFormChar"/>
    <w:hidden/>
    <w:rsid w:val="00E71771"/>
    <w:pPr>
      <w:pBdr>
        <w:bottom w:val="single" w:sz="6" w:space="1" w:color="auto"/>
      </w:pBdr>
      <w:spacing w:after="0" w:line="260" w:lineRule="atLeast"/>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E71771"/>
    <w:rPr>
      <w:rFonts w:ascii="Arial" w:eastAsia="Times New Roman" w:hAnsi="Arial" w:cs="Arial"/>
      <w:vanish/>
      <w:sz w:val="16"/>
      <w:szCs w:val="16"/>
    </w:rPr>
  </w:style>
  <w:style w:type="paragraph" w:customStyle="1" w:styleId="Default">
    <w:name w:val="Default"/>
    <w:semiHidden/>
    <w:rsid w:val="00E7177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link w:val="ListParagraph"/>
    <w:uiPriority w:val="34"/>
    <w:locked/>
    <w:rsid w:val="002E7E19"/>
    <w:rPr>
      <w:rFonts w:ascii="Arial" w:hAnsi="Arial"/>
      <w:color w:val="87189D"/>
      <w:sz w:val="18"/>
      <w:szCs w:val="18"/>
    </w:rPr>
  </w:style>
  <w:style w:type="paragraph" w:customStyle="1" w:styleId="LightList-Accent314">
    <w:name w:val="Light List - Accent 314"/>
    <w:hidden/>
    <w:uiPriority w:val="99"/>
    <w:semiHidden/>
    <w:rsid w:val="00EB6B1C"/>
    <w:pPr>
      <w:spacing w:after="120" w:line="264" w:lineRule="auto"/>
    </w:pPr>
    <w:rPr>
      <w:rFonts w:ascii="Arial" w:eastAsiaTheme="minorEastAsia" w:hAnsi="Arial"/>
      <w:sz w:val="24"/>
      <w:szCs w:val="24"/>
    </w:rPr>
  </w:style>
  <w:style w:type="paragraph" w:customStyle="1" w:styleId="LightList-Accent3113">
    <w:name w:val="Light List - Accent 3113"/>
    <w:hidden/>
    <w:uiPriority w:val="99"/>
    <w:semiHidden/>
    <w:rsid w:val="00EB6B1C"/>
    <w:pPr>
      <w:spacing w:after="120" w:line="264" w:lineRule="auto"/>
    </w:pPr>
    <w:rPr>
      <w:rFonts w:ascii="Arial" w:eastAsiaTheme="minorEastAsia" w:hAnsi="Arial"/>
      <w:sz w:val="24"/>
      <w:szCs w:val="24"/>
    </w:rPr>
  </w:style>
  <w:style w:type="paragraph" w:customStyle="1" w:styleId="MediumList2-Accent213">
    <w:name w:val="Medium List 2 - Accent 213"/>
    <w:hidden/>
    <w:uiPriority w:val="99"/>
    <w:semiHidden/>
    <w:rsid w:val="00EB6B1C"/>
    <w:pPr>
      <w:spacing w:after="120" w:line="264" w:lineRule="auto"/>
    </w:pPr>
    <w:rPr>
      <w:rFonts w:ascii="Arial" w:eastAsiaTheme="minorEastAsia" w:hAnsi="Arial"/>
      <w:sz w:val="24"/>
      <w:szCs w:val="24"/>
    </w:rPr>
  </w:style>
  <w:style w:type="paragraph" w:customStyle="1" w:styleId="MediumList2-Accent223">
    <w:name w:val="Medium List 2 - Accent 223"/>
    <w:hidden/>
    <w:uiPriority w:val="71"/>
    <w:unhideWhenUsed/>
    <w:rsid w:val="00EB6B1C"/>
    <w:pPr>
      <w:spacing w:after="120" w:line="264" w:lineRule="auto"/>
    </w:pPr>
    <w:rPr>
      <w:rFonts w:ascii="Arial" w:eastAsiaTheme="minorEastAsia" w:hAnsi="Arial"/>
      <w:sz w:val="24"/>
      <w:szCs w:val="24"/>
    </w:rPr>
  </w:style>
  <w:style w:type="paragraph" w:customStyle="1" w:styleId="ColorfulShading-Accent113">
    <w:name w:val="Colorful Shading - Accent 113"/>
    <w:hidden/>
    <w:uiPriority w:val="99"/>
    <w:unhideWhenUsed/>
    <w:rsid w:val="00EB6B1C"/>
    <w:pPr>
      <w:spacing w:after="120" w:line="264" w:lineRule="auto"/>
    </w:pPr>
    <w:rPr>
      <w:rFonts w:ascii="Arial" w:eastAsiaTheme="minorEastAsia" w:hAnsi="Arial"/>
      <w:sz w:val="24"/>
      <w:szCs w:val="24"/>
    </w:rPr>
  </w:style>
  <w:style w:type="paragraph" w:customStyle="1" w:styleId="ColorfulShading-Accent123">
    <w:name w:val="Colorful Shading - Accent 123"/>
    <w:hidden/>
    <w:uiPriority w:val="99"/>
    <w:semiHidden/>
    <w:rsid w:val="00EB6B1C"/>
    <w:pPr>
      <w:spacing w:after="120" w:line="264" w:lineRule="auto"/>
    </w:pPr>
    <w:rPr>
      <w:rFonts w:ascii="Verdana" w:eastAsiaTheme="minorEastAsia" w:hAnsi="Verdana"/>
      <w:sz w:val="20"/>
      <w:szCs w:val="20"/>
    </w:rPr>
  </w:style>
  <w:style w:type="paragraph" w:customStyle="1" w:styleId="LightList-Accent315">
    <w:name w:val="Light List - Accent 315"/>
    <w:hidden/>
    <w:uiPriority w:val="99"/>
    <w:semiHidden/>
    <w:rsid w:val="00C15C65"/>
    <w:pPr>
      <w:spacing w:after="120" w:line="264" w:lineRule="auto"/>
    </w:pPr>
    <w:rPr>
      <w:rFonts w:ascii="Arial" w:eastAsiaTheme="minorEastAsia" w:hAnsi="Arial"/>
      <w:sz w:val="24"/>
      <w:szCs w:val="24"/>
    </w:rPr>
  </w:style>
  <w:style w:type="paragraph" w:customStyle="1" w:styleId="LightList-Accent3114">
    <w:name w:val="Light List - Accent 3114"/>
    <w:hidden/>
    <w:uiPriority w:val="99"/>
    <w:semiHidden/>
    <w:rsid w:val="00C15C65"/>
    <w:pPr>
      <w:spacing w:after="120" w:line="264" w:lineRule="auto"/>
    </w:pPr>
    <w:rPr>
      <w:rFonts w:ascii="Arial" w:eastAsiaTheme="minorEastAsia" w:hAnsi="Arial"/>
      <w:sz w:val="24"/>
      <w:szCs w:val="24"/>
    </w:rPr>
  </w:style>
  <w:style w:type="paragraph" w:customStyle="1" w:styleId="MediumList2-Accent214">
    <w:name w:val="Medium List 2 - Accent 214"/>
    <w:hidden/>
    <w:uiPriority w:val="99"/>
    <w:semiHidden/>
    <w:rsid w:val="00C15C65"/>
    <w:pPr>
      <w:spacing w:after="120" w:line="264" w:lineRule="auto"/>
    </w:pPr>
    <w:rPr>
      <w:rFonts w:ascii="Arial" w:eastAsiaTheme="minorEastAsia" w:hAnsi="Arial"/>
      <w:sz w:val="24"/>
      <w:szCs w:val="24"/>
    </w:rPr>
  </w:style>
  <w:style w:type="paragraph" w:customStyle="1" w:styleId="MediumList2-Accent224">
    <w:name w:val="Medium List 2 - Accent 224"/>
    <w:hidden/>
    <w:uiPriority w:val="71"/>
    <w:unhideWhenUsed/>
    <w:rsid w:val="00C15C65"/>
    <w:pPr>
      <w:spacing w:after="120" w:line="264" w:lineRule="auto"/>
    </w:pPr>
    <w:rPr>
      <w:rFonts w:ascii="Arial" w:eastAsiaTheme="minorEastAsia" w:hAnsi="Arial"/>
      <w:sz w:val="24"/>
      <w:szCs w:val="24"/>
    </w:rPr>
  </w:style>
  <w:style w:type="paragraph" w:customStyle="1" w:styleId="ColorfulShading-Accent114">
    <w:name w:val="Colorful Shading - Accent 114"/>
    <w:hidden/>
    <w:uiPriority w:val="99"/>
    <w:unhideWhenUsed/>
    <w:rsid w:val="00C15C65"/>
    <w:pPr>
      <w:spacing w:after="120" w:line="264" w:lineRule="auto"/>
    </w:pPr>
    <w:rPr>
      <w:rFonts w:ascii="Arial" w:eastAsiaTheme="minorEastAsia" w:hAnsi="Arial"/>
      <w:sz w:val="24"/>
      <w:szCs w:val="24"/>
    </w:rPr>
  </w:style>
  <w:style w:type="paragraph" w:customStyle="1" w:styleId="ColorfulShading-Accent124">
    <w:name w:val="Colorful Shading - Accent 124"/>
    <w:hidden/>
    <w:uiPriority w:val="99"/>
    <w:semiHidden/>
    <w:rsid w:val="00C15C65"/>
    <w:pPr>
      <w:spacing w:after="120" w:line="264" w:lineRule="auto"/>
    </w:pPr>
    <w:rPr>
      <w:rFonts w:ascii="Verdana" w:eastAsiaTheme="minorEastAsia" w:hAnsi="Verdana"/>
      <w:sz w:val="20"/>
      <w:szCs w:val="20"/>
    </w:rPr>
  </w:style>
  <w:style w:type="paragraph" w:styleId="NormalIndent">
    <w:name w:val="Normal Indent"/>
    <w:basedOn w:val="Normal"/>
    <w:uiPriority w:val="4"/>
    <w:semiHidden/>
    <w:unhideWhenUsed/>
    <w:rsid w:val="009B0A5C"/>
    <w:pPr>
      <w:spacing w:after="120" w:line="264" w:lineRule="auto"/>
      <w:ind w:left="720"/>
    </w:pPr>
    <w:rPr>
      <w:rFonts w:eastAsiaTheme="minorEastAsia"/>
      <w:sz w:val="20"/>
      <w:szCs w:val="20"/>
      <w:lang w:eastAsia="en-AU"/>
    </w:rPr>
  </w:style>
  <w:style w:type="paragraph" w:customStyle="1" w:styleId="TableHeaderLevel1">
    <w:name w:val="Table Header Level 1"/>
    <w:basedOn w:val="Normal"/>
    <w:semiHidden/>
    <w:rsid w:val="009B0A5C"/>
    <w:pPr>
      <w:spacing w:after="120" w:line="264" w:lineRule="auto"/>
      <w:jc w:val="center"/>
    </w:pPr>
    <w:rPr>
      <w:rFonts w:ascii="Arial" w:eastAsiaTheme="minorEastAsia" w:hAnsi="Arial"/>
      <w:b/>
      <w:sz w:val="18"/>
      <w:szCs w:val="18"/>
      <w:lang w:eastAsia="en-AU"/>
    </w:rPr>
  </w:style>
  <w:style w:type="table" w:customStyle="1" w:styleId="LightShading1">
    <w:name w:val="Light Shading1"/>
    <w:basedOn w:val="TableNormal"/>
    <w:uiPriority w:val="60"/>
    <w:rsid w:val="009B0A5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dTable1Light1">
    <w:name w:val="Grid Table 1 Light1"/>
    <w:basedOn w:val="TableNormal"/>
    <w:uiPriority w:val="46"/>
    <w:rsid w:val="009B0A5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9B0A5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Index1">
    <w:name w:val="index 1"/>
    <w:basedOn w:val="Normal"/>
    <w:next w:val="Normal"/>
    <w:autoRedefine/>
    <w:uiPriority w:val="98"/>
    <w:semiHidden/>
    <w:rsid w:val="009B0A5C"/>
    <w:pPr>
      <w:spacing w:after="120" w:line="264" w:lineRule="auto"/>
      <w:ind w:left="180" w:hanging="180"/>
    </w:pPr>
    <w:rPr>
      <w:rFonts w:ascii="Times New Roman" w:eastAsiaTheme="minorEastAsia" w:hAnsi="Times New Roman"/>
      <w:b/>
      <w:sz w:val="18"/>
      <w:szCs w:val="18"/>
      <w:lang w:eastAsia="en-AU"/>
    </w:rPr>
  </w:style>
  <w:style w:type="numbering" w:customStyle="1" w:styleId="LowerAlphaat0mm">
    <w:name w:val="LowerAlpha at 0mm"/>
    <w:rsid w:val="009B0A5C"/>
    <w:pPr>
      <w:numPr>
        <w:numId w:val="2"/>
      </w:numPr>
    </w:pPr>
  </w:style>
  <w:style w:type="numbering" w:customStyle="1" w:styleId="LowerAlphaat5mm">
    <w:name w:val="LowerAlpha at 5mm"/>
    <w:rsid w:val="009B0A5C"/>
    <w:pPr>
      <w:numPr>
        <w:numId w:val="3"/>
      </w:numPr>
    </w:pPr>
  </w:style>
  <w:style w:type="numbering" w:customStyle="1" w:styleId="LowerRomanat7mm">
    <w:name w:val="LowerRoman at 7mm"/>
    <w:rsid w:val="009B0A5C"/>
    <w:pPr>
      <w:numPr>
        <w:numId w:val="4"/>
      </w:numPr>
    </w:pPr>
  </w:style>
  <w:style w:type="paragraph" w:styleId="Quote">
    <w:name w:val="Quote"/>
    <w:basedOn w:val="Normal"/>
    <w:next w:val="Normal"/>
    <w:link w:val="QuoteChar"/>
    <w:uiPriority w:val="29"/>
    <w:qFormat/>
    <w:rsid w:val="009B0A5C"/>
    <w:pPr>
      <w:spacing w:before="160" w:after="120" w:line="264" w:lineRule="auto"/>
      <w:ind w:left="720" w:right="720"/>
    </w:pPr>
    <w:rPr>
      <w:rFonts w:eastAsiaTheme="minorEastAsia"/>
      <w:i/>
      <w:iCs/>
      <w:color w:val="404040" w:themeColor="text1" w:themeTint="BF"/>
      <w:sz w:val="20"/>
      <w:szCs w:val="20"/>
      <w:lang w:eastAsia="en-AU"/>
    </w:rPr>
  </w:style>
  <w:style w:type="character" w:customStyle="1" w:styleId="QuoteChar">
    <w:name w:val="Quote Char"/>
    <w:basedOn w:val="DefaultParagraphFont"/>
    <w:link w:val="Quote"/>
    <w:uiPriority w:val="29"/>
    <w:rsid w:val="002E7E19"/>
    <w:rPr>
      <w:rFonts w:eastAsiaTheme="minorEastAsia"/>
      <w:i/>
      <w:iCs/>
      <w:color w:val="404040" w:themeColor="text1" w:themeTint="BF"/>
      <w:sz w:val="20"/>
      <w:szCs w:val="20"/>
      <w:lang w:eastAsia="en-AU"/>
    </w:rPr>
  </w:style>
  <w:style w:type="paragraph" w:customStyle="1" w:styleId="Tableinline">
    <w:name w:val="Table inline"/>
    <w:basedOn w:val="Normal"/>
    <w:uiPriority w:val="99"/>
    <w:semiHidden/>
    <w:rsid w:val="009B0A5C"/>
    <w:pPr>
      <w:spacing w:after="120" w:line="270" w:lineRule="atLeast"/>
    </w:pPr>
    <w:rPr>
      <w:rFonts w:eastAsia="Times" w:cs="Arial"/>
      <w:sz w:val="20"/>
      <w:szCs w:val="20"/>
      <w:lang w:eastAsia="en-AU"/>
    </w:rPr>
  </w:style>
  <w:style w:type="paragraph" w:styleId="Title">
    <w:name w:val="Title"/>
    <w:basedOn w:val="Normal"/>
    <w:next w:val="Normal"/>
    <w:link w:val="TitleChar"/>
    <w:uiPriority w:val="98"/>
    <w:qFormat/>
    <w:rsid w:val="009B0A5C"/>
    <w:pPr>
      <w:spacing w:after="0" w:line="240" w:lineRule="auto"/>
      <w:contextualSpacing/>
    </w:pPr>
    <w:rPr>
      <w:rFonts w:asciiTheme="majorHAnsi" w:eastAsiaTheme="majorEastAsia" w:hAnsiTheme="majorHAnsi" w:cstheme="majorBidi"/>
      <w:color w:val="87189D" w:themeColor="accent1"/>
      <w:spacing w:val="-10"/>
      <w:sz w:val="56"/>
      <w:szCs w:val="56"/>
      <w:lang w:eastAsia="en-AU"/>
    </w:rPr>
  </w:style>
  <w:style w:type="character" w:customStyle="1" w:styleId="TitleChar">
    <w:name w:val="Title Char"/>
    <w:basedOn w:val="DefaultParagraphFont"/>
    <w:link w:val="Title"/>
    <w:uiPriority w:val="98"/>
    <w:rsid w:val="002E7E19"/>
    <w:rPr>
      <w:rFonts w:asciiTheme="majorHAnsi" w:eastAsiaTheme="majorEastAsia" w:hAnsiTheme="majorHAnsi" w:cstheme="majorBidi"/>
      <w:color w:val="87189D" w:themeColor="accent1"/>
      <w:spacing w:val="-10"/>
      <w:sz w:val="56"/>
      <w:szCs w:val="56"/>
      <w:lang w:eastAsia="en-AU"/>
    </w:rPr>
  </w:style>
  <w:style w:type="paragraph" w:customStyle="1" w:styleId="ARtablecolourbold">
    <w:name w:val="AR table colour bold"/>
    <w:basedOn w:val="ARtabletext"/>
    <w:uiPriority w:val="3"/>
    <w:qFormat/>
    <w:rsid w:val="00E17C97"/>
    <w:pPr>
      <w:keepNext/>
      <w:spacing w:line="240" w:lineRule="auto"/>
    </w:pPr>
    <w:rPr>
      <w:b/>
      <w:color w:val="C63663"/>
    </w:rPr>
  </w:style>
  <w:style w:type="paragraph" w:styleId="TOCHeading">
    <w:name w:val="TOC Heading"/>
    <w:basedOn w:val="Heading1"/>
    <w:next w:val="Normal"/>
    <w:uiPriority w:val="39"/>
    <w:semiHidden/>
    <w:unhideWhenUsed/>
    <w:qFormat/>
    <w:rsid w:val="00CE7291"/>
    <w:pPr>
      <w:spacing w:before="240" w:after="0" w:line="259" w:lineRule="auto"/>
      <w:outlineLvl w:val="9"/>
    </w:pPr>
    <w:rPr>
      <w:rFonts w:asciiTheme="majorHAnsi" w:eastAsiaTheme="majorEastAsia" w:hAnsiTheme="majorHAnsi" w:cstheme="majorBidi"/>
      <w:bCs w:val="0"/>
      <w:color w:val="641275" w:themeColor="accent1" w:themeShade="BF"/>
      <w:kern w:val="0"/>
      <w:sz w:val="32"/>
      <w:szCs w:val="32"/>
    </w:rPr>
  </w:style>
  <w:style w:type="table" w:styleId="ColorfulList">
    <w:name w:val="Colorful List"/>
    <w:basedOn w:val="TableNormal"/>
    <w:uiPriority w:val="98"/>
    <w:rsid w:val="00603E4B"/>
    <w:pPr>
      <w:spacing w:after="0" w:line="240" w:lineRule="auto"/>
    </w:pPr>
    <w:rPr>
      <w:rFonts w:ascii="Times New Roman" w:eastAsia="MS Mincho" w:hAnsi="Times New Roman" w:cs="Times New Roman"/>
      <w:color w:val="000000" w:themeColor="text1"/>
      <w:sz w:val="20"/>
      <w:szCs w:val="20"/>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Shading2-Accent3">
    <w:name w:val="Medium Shading 2 Accent 3"/>
    <w:basedOn w:val="TableNormal"/>
    <w:uiPriority w:val="98"/>
    <w:rsid w:val="00603E4B"/>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Rintrobullet1">
    <w:name w:val="AR intro bullet 1"/>
    <w:basedOn w:val="ARintro"/>
    <w:qFormat/>
    <w:rsid w:val="00850F95"/>
    <w:pPr>
      <w:numPr>
        <w:numId w:val="7"/>
      </w:numPr>
    </w:pPr>
  </w:style>
  <w:style w:type="numbering" w:customStyle="1" w:styleId="ZZIntrobullets">
    <w:name w:val="ZZ Intro bullets"/>
    <w:basedOn w:val="NoList"/>
    <w:uiPriority w:val="99"/>
    <w:rsid w:val="00850F95"/>
    <w:pPr>
      <w:numPr>
        <w:numId w:val="7"/>
      </w:numPr>
    </w:pPr>
  </w:style>
  <w:style w:type="paragraph" w:customStyle="1" w:styleId="Heading3disclosureindex">
    <w:name w:val="Heading 3 disclosure index"/>
    <w:basedOn w:val="Heading5"/>
    <w:rsid w:val="007C05BC"/>
    <w:pPr>
      <w:outlineLvl w:val="2"/>
    </w:pPr>
  </w:style>
  <w:style w:type="paragraph" w:customStyle="1" w:styleId="ARheader">
    <w:name w:val="AR header"/>
    <w:basedOn w:val="Normal"/>
    <w:rsid w:val="003002CC"/>
    <w:pPr>
      <w:spacing w:after="0" w:line="264" w:lineRule="auto"/>
    </w:pPr>
    <w:rPr>
      <w:rFonts w:ascii="Arial" w:eastAsiaTheme="minorEastAsia" w:hAnsi="Arial"/>
      <w:b/>
      <w:color w:val="53565A"/>
      <w:sz w:val="18"/>
      <w:szCs w:val="24"/>
    </w:rPr>
  </w:style>
  <w:style w:type="paragraph" w:customStyle="1" w:styleId="ARtabletextcentre">
    <w:name w:val="AR table text centre"/>
    <w:basedOn w:val="ARtabletext"/>
    <w:rsid w:val="003C51B1"/>
    <w:pPr>
      <w:jc w:val="center"/>
    </w:pPr>
  </w:style>
  <w:style w:type="paragraph" w:customStyle="1" w:styleId="ARtablefootnotealpha">
    <w:name w:val="AR table footnote alpha"/>
    <w:basedOn w:val="ARtablefootnote"/>
    <w:rsid w:val="00934A0A"/>
    <w:pPr>
      <w:numPr>
        <w:numId w:val="10"/>
      </w:numPr>
    </w:pPr>
    <w:rPr>
      <w:lang w:eastAsia="en-AU"/>
    </w:rPr>
  </w:style>
  <w:style w:type="numbering" w:customStyle="1" w:styleId="ZZTablefootnotealpha">
    <w:name w:val="ZZ Table footnote alpha"/>
    <w:basedOn w:val="NoList"/>
    <w:uiPriority w:val="99"/>
    <w:rsid w:val="00934A0A"/>
    <w:pPr>
      <w:numPr>
        <w:numId w:val="10"/>
      </w:numPr>
    </w:pPr>
  </w:style>
  <w:style w:type="paragraph" w:customStyle="1" w:styleId="Heading2Financials">
    <w:name w:val="Heading 2 Financials"/>
    <w:basedOn w:val="Heading2"/>
    <w:rsid w:val="005F4A7E"/>
  </w:style>
  <w:style w:type="paragraph" w:customStyle="1" w:styleId="Heading3forTOC">
    <w:name w:val="Heading 3 for TOC"/>
    <w:basedOn w:val="Heading3"/>
    <w:rsid w:val="00E17C97"/>
    <w:pPr>
      <w:spacing w:before="0"/>
    </w:pPr>
  </w:style>
  <w:style w:type="paragraph" w:customStyle="1" w:styleId="Heading3smaller">
    <w:name w:val="Heading 3 smaller"/>
    <w:rsid w:val="000B6E53"/>
    <w:pPr>
      <w:keepNext/>
      <w:keepLines/>
      <w:spacing w:before="240" w:after="80" w:line="240" w:lineRule="auto"/>
      <w:outlineLvl w:val="2"/>
    </w:pPr>
    <w:rPr>
      <w:rFonts w:ascii="Arial" w:eastAsia="Times New Roman" w:hAnsi="Arial" w:cs="Times New Roman"/>
      <w:b/>
      <w:bCs/>
      <w:sz w:val="20"/>
      <w:szCs w:val="24"/>
      <w:lang w:val="x-none"/>
    </w:rPr>
  </w:style>
  <w:style w:type="paragraph" w:customStyle="1" w:styleId="Heading2withinTOC">
    <w:name w:val="Heading 2 within TOC"/>
    <w:basedOn w:val="Heading3smaller"/>
    <w:rsid w:val="00F74DF0"/>
    <w:pPr>
      <w:outlineLvl w:val="1"/>
    </w:pPr>
    <w:rPr>
      <w:sz w:val="22"/>
    </w:rPr>
  </w:style>
  <w:style w:type="paragraph" w:customStyle="1" w:styleId="Heading2declaration">
    <w:name w:val="Heading 2 declaration"/>
    <w:basedOn w:val="Heading2withinTOC"/>
    <w:rsid w:val="00E17C97"/>
    <w:rPr>
      <w:color w:val="C63663"/>
    </w:rPr>
  </w:style>
  <w:style w:type="paragraph" w:customStyle="1" w:styleId="Heading3EOdata">
    <w:name w:val="Heading 3 EO data"/>
    <w:basedOn w:val="Heading4"/>
    <w:rsid w:val="00871595"/>
    <w:pPr>
      <w:outlineLvl w:val="2"/>
    </w:pPr>
  </w:style>
  <w:style w:type="character" w:customStyle="1" w:styleId="Subscript">
    <w:name w:val="Subscript"/>
    <w:basedOn w:val="DefaultParagraphFont"/>
    <w:uiPriority w:val="1"/>
    <w:rsid w:val="00125EE1"/>
    <w:rPr>
      <w:rFonts w:eastAsia="Arial"/>
      <w:bCs/>
      <w:vertAlign w:val="subscript"/>
      <w:lang w:eastAsia="en-AU"/>
    </w:rPr>
  </w:style>
  <w:style w:type="paragraph" w:styleId="Caption">
    <w:name w:val="caption"/>
    <w:basedOn w:val="Normal"/>
    <w:next w:val="Normal"/>
    <w:uiPriority w:val="98"/>
    <w:semiHidden/>
    <w:unhideWhenUsed/>
    <w:qFormat/>
    <w:rsid w:val="0078495E"/>
    <w:pPr>
      <w:spacing w:after="120" w:line="240" w:lineRule="auto"/>
    </w:pPr>
    <w:rPr>
      <w:rFonts w:eastAsiaTheme="minorEastAsia"/>
      <w:b/>
      <w:bCs/>
      <w:smallCaps/>
      <w:color w:val="595959" w:themeColor="text1" w:themeTint="A6"/>
      <w:spacing w:val="6"/>
      <w:sz w:val="20"/>
      <w:szCs w:val="20"/>
      <w:lang w:eastAsia="en-AU"/>
    </w:rPr>
  </w:style>
  <w:style w:type="table" w:customStyle="1" w:styleId="Casestudy">
    <w:name w:val="Case study"/>
    <w:basedOn w:val="TableNormal"/>
    <w:rsid w:val="0078495E"/>
    <w:pPr>
      <w:spacing w:after="120" w:line="264" w:lineRule="auto"/>
    </w:pPr>
    <w:rPr>
      <w:rFonts w:eastAsiaTheme="minorEastAsia"/>
      <w:sz w:val="20"/>
      <w:szCs w:val="20"/>
      <w:lang w:eastAsia="en-AU"/>
    </w:rPr>
    <w:tblPr>
      <w:tblCellMar>
        <w:top w:w="170" w:type="dxa"/>
        <w:left w:w="170" w:type="dxa"/>
        <w:bottom w:w="57" w:type="dxa"/>
        <w:right w:w="170" w:type="dxa"/>
      </w:tblCellMar>
    </w:tblPr>
    <w:tcPr>
      <w:shd w:val="clear" w:color="auto" w:fill="F1E3F3"/>
    </w:tcPr>
  </w:style>
  <w:style w:type="numbering" w:customStyle="1" w:styleId="ZZFinbullets">
    <w:name w:val="ZZ Fin bullets"/>
    <w:basedOn w:val="NoList"/>
    <w:rsid w:val="0078495E"/>
    <w:pPr>
      <w:numPr>
        <w:numId w:val="11"/>
      </w:numPr>
    </w:pPr>
  </w:style>
  <w:style w:type="numbering" w:customStyle="1" w:styleId="ZZFintablebullets">
    <w:name w:val="ZZ Fin table bullets"/>
    <w:basedOn w:val="NoList"/>
    <w:uiPriority w:val="99"/>
    <w:rsid w:val="0078495E"/>
    <w:pPr>
      <w:numPr>
        <w:numId w:val="12"/>
      </w:numPr>
    </w:pPr>
  </w:style>
  <w:style w:type="numbering" w:customStyle="1" w:styleId="Numbersinfintables">
    <w:name w:val="Numbers in fin tables"/>
    <w:uiPriority w:val="99"/>
    <w:rsid w:val="0078495E"/>
    <w:pPr>
      <w:numPr>
        <w:numId w:val="13"/>
      </w:numPr>
    </w:pPr>
  </w:style>
  <w:style w:type="numbering" w:customStyle="1" w:styleId="Tablefootnotes">
    <w:name w:val="Table footnotes"/>
    <w:uiPriority w:val="99"/>
    <w:rsid w:val="0078495E"/>
    <w:pPr>
      <w:numPr>
        <w:numId w:val="20"/>
      </w:numPr>
    </w:pPr>
  </w:style>
  <w:style w:type="numbering" w:customStyle="1" w:styleId="ZZFinnumbersalpha1roman2">
    <w:name w:val="ZZ Fin numbers alpha 1 roman 2"/>
    <w:basedOn w:val="NoList"/>
    <w:uiPriority w:val="99"/>
    <w:rsid w:val="00297B7D"/>
    <w:pPr>
      <w:numPr>
        <w:numId w:val="14"/>
      </w:numPr>
    </w:pPr>
  </w:style>
  <w:style w:type="numbering" w:customStyle="1" w:styleId="CurrentList1">
    <w:name w:val="Current List1"/>
    <w:rsid w:val="0078495E"/>
    <w:pPr>
      <w:numPr>
        <w:numId w:val="15"/>
      </w:numPr>
    </w:pPr>
  </w:style>
  <w:style w:type="numbering" w:customStyle="1" w:styleId="CurrentList2">
    <w:name w:val="Current List2"/>
    <w:rsid w:val="0078495E"/>
    <w:pPr>
      <w:numPr>
        <w:numId w:val="16"/>
      </w:numPr>
    </w:pPr>
  </w:style>
  <w:style w:type="table" w:customStyle="1" w:styleId="TableGrid10">
    <w:name w:val="Table Grid1"/>
    <w:basedOn w:val="TableNormal"/>
    <w:next w:val="TableGrid"/>
    <w:uiPriority w:val="99"/>
    <w:rsid w:val="0078495E"/>
    <w:pPr>
      <w:spacing w:after="120" w:line="264"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8495E"/>
    <w:pPr>
      <w:spacing w:after="12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
    <w:name w:val="Bullet"/>
    <w:uiPriority w:val="99"/>
    <w:rsid w:val="0078495E"/>
    <w:pPr>
      <w:numPr>
        <w:numId w:val="17"/>
      </w:numPr>
    </w:pPr>
  </w:style>
  <w:style w:type="numbering" w:customStyle="1" w:styleId="Bullets">
    <w:name w:val="Bullets"/>
    <w:rsid w:val="0078495E"/>
    <w:pPr>
      <w:numPr>
        <w:numId w:val="18"/>
      </w:numPr>
    </w:pPr>
  </w:style>
  <w:style w:type="numbering" w:customStyle="1" w:styleId="Bullets2and3">
    <w:name w:val="Bullets 2 and 3"/>
    <w:uiPriority w:val="99"/>
    <w:rsid w:val="0078495E"/>
    <w:pPr>
      <w:numPr>
        <w:numId w:val="19"/>
      </w:numPr>
    </w:pPr>
  </w:style>
  <w:style w:type="table" w:customStyle="1" w:styleId="Casestudy1">
    <w:name w:val="Case study1"/>
    <w:basedOn w:val="TableNormal"/>
    <w:rsid w:val="0078495E"/>
    <w:pPr>
      <w:spacing w:after="120" w:line="264" w:lineRule="auto"/>
    </w:pPr>
    <w:rPr>
      <w:rFonts w:eastAsiaTheme="minorEastAsia"/>
      <w:sz w:val="20"/>
      <w:szCs w:val="20"/>
      <w:lang w:eastAsia="en-AU"/>
    </w:rPr>
    <w:tblPr>
      <w:tblInd w:w="170" w:type="dxa"/>
      <w:tblBorders>
        <w:top w:val="single" w:sz="4" w:space="0" w:color="00866F"/>
        <w:left w:val="single" w:sz="4" w:space="0" w:color="00866F"/>
        <w:bottom w:val="single" w:sz="4" w:space="0" w:color="00866F"/>
        <w:right w:val="single" w:sz="4" w:space="0" w:color="00866F"/>
      </w:tblBorders>
      <w:tblCellMar>
        <w:top w:w="170" w:type="dxa"/>
        <w:left w:w="170" w:type="dxa"/>
        <w:bottom w:w="57" w:type="dxa"/>
        <w:right w:w="170" w:type="dxa"/>
      </w:tblCellMar>
    </w:tblPr>
    <w:tcPr>
      <w:shd w:val="clear" w:color="auto" w:fill="auto"/>
    </w:tcPr>
  </w:style>
  <w:style w:type="table" w:customStyle="1" w:styleId="DTFTable">
    <w:name w:val="DTF Table"/>
    <w:basedOn w:val="TableNormal"/>
    <w:uiPriority w:val="99"/>
    <w:rsid w:val="0078495E"/>
    <w:pPr>
      <w:spacing w:before="20" w:after="20" w:line="264" w:lineRule="auto"/>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table" w:customStyle="1" w:styleId="Healthtablenoverticals">
    <w:name w:val="Health table no verticals"/>
    <w:basedOn w:val="TableNormal"/>
    <w:uiPriority w:val="99"/>
    <w:rsid w:val="0078495E"/>
    <w:pPr>
      <w:spacing w:after="120" w:line="264" w:lineRule="auto"/>
    </w:pPr>
    <w:rPr>
      <w:rFonts w:eastAsiaTheme="minorEastAsia"/>
      <w:sz w:val="20"/>
      <w:szCs w:val="20"/>
      <w:lang w:eastAsia="en-AU"/>
    </w:rPr>
    <w:tblPr>
      <w:tblInd w:w="57" w:type="dxa"/>
      <w:tblBorders>
        <w:top w:val="single" w:sz="6" w:space="0" w:color="FFFFFF"/>
        <w:bottom w:val="single" w:sz="6" w:space="0" w:color="FFFFFF"/>
        <w:insideH w:val="single" w:sz="6" w:space="0" w:color="FFFFFF"/>
      </w:tblBorders>
      <w:tblCellMar>
        <w:left w:w="57" w:type="dxa"/>
        <w:right w:w="57" w:type="dxa"/>
      </w:tblCellMar>
    </w:tblPr>
    <w:trPr>
      <w:cantSplit/>
    </w:trPr>
    <w:tcPr>
      <w:shd w:val="clear" w:color="auto" w:fill="E6E6E6"/>
    </w:tcPr>
    <w:tblStylePr w:type="firstRow">
      <w:rPr>
        <w:rFonts w:cs="Times New Roman"/>
      </w:rPr>
      <w:tblPr/>
      <w:trPr>
        <w:cantSplit/>
        <w:tblHeader/>
      </w:trPr>
      <w:tcPr>
        <w:tcBorders>
          <w:right w:val="nil"/>
        </w:tcBorders>
        <w:shd w:val="clear" w:color="auto" w:fill="0073CF"/>
      </w:tcPr>
    </w:tblStylePr>
  </w:style>
  <w:style w:type="table" w:customStyle="1" w:styleId="TableGrid3">
    <w:name w:val="Table Grid3"/>
    <w:basedOn w:val="TableNormal"/>
    <w:next w:val="TableGrid"/>
    <w:uiPriority w:val="59"/>
    <w:rsid w:val="00784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Loweralphainfintables">
    <w:name w:val="ZZ Lower alpha in fin tables"/>
    <w:rsid w:val="0078495E"/>
    <w:pPr>
      <w:numPr>
        <w:numId w:val="21"/>
      </w:numPr>
    </w:pPr>
  </w:style>
  <w:style w:type="paragraph" w:customStyle="1" w:styleId="ARfinbody">
    <w:name w:val="AR fin body"/>
    <w:basedOn w:val="Normal"/>
    <w:qFormat/>
    <w:rsid w:val="0078495E"/>
    <w:pPr>
      <w:suppressAutoHyphens/>
      <w:autoSpaceDE w:val="0"/>
      <w:autoSpaceDN w:val="0"/>
      <w:adjustRightInd w:val="0"/>
      <w:spacing w:after="60" w:line="264" w:lineRule="auto"/>
      <w:textAlignment w:val="center"/>
    </w:pPr>
    <w:rPr>
      <w:rFonts w:ascii="Arial" w:eastAsiaTheme="minorEastAsia" w:hAnsi="Arial" w:cs="ArialMT"/>
      <w:color w:val="000000"/>
      <w:sz w:val="18"/>
      <w:szCs w:val="16"/>
      <w:lang w:eastAsia="en-AU"/>
    </w:rPr>
  </w:style>
  <w:style w:type="table" w:customStyle="1" w:styleId="TableGrid4">
    <w:name w:val="Table Grid4"/>
    <w:basedOn w:val="TableNormal"/>
    <w:next w:val="TableGrid"/>
    <w:uiPriority w:val="59"/>
    <w:rsid w:val="00784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finbullet2">
    <w:name w:val="AR fin bullet 2"/>
    <w:basedOn w:val="ARfinbody"/>
    <w:uiPriority w:val="98"/>
    <w:qFormat/>
    <w:rsid w:val="0078495E"/>
    <w:pPr>
      <w:numPr>
        <w:ilvl w:val="1"/>
        <w:numId w:val="11"/>
      </w:numPr>
    </w:pPr>
  </w:style>
  <w:style w:type="paragraph" w:customStyle="1" w:styleId="ARfintablecolheadcentre">
    <w:name w:val="AR fin table col head centre"/>
    <w:basedOn w:val="Normal"/>
    <w:qFormat/>
    <w:rsid w:val="0078495E"/>
    <w:pPr>
      <w:spacing w:before="40" w:after="40" w:line="240" w:lineRule="auto"/>
      <w:jc w:val="center"/>
    </w:pPr>
    <w:rPr>
      <w:rFonts w:ascii="Arial" w:eastAsiaTheme="minorEastAsia" w:hAnsi="Arial"/>
      <w:b/>
      <w:sz w:val="18"/>
      <w:szCs w:val="16"/>
      <w:lang w:eastAsia="en-AU"/>
    </w:rPr>
  </w:style>
  <w:style w:type="paragraph" w:customStyle="1" w:styleId="ARfintablebodyindent">
    <w:name w:val="AR fin table body indent"/>
    <w:basedOn w:val="ARfintablebody"/>
    <w:uiPriority w:val="8"/>
    <w:rsid w:val="0078495E"/>
    <w:pPr>
      <w:ind w:left="227"/>
    </w:pPr>
  </w:style>
  <w:style w:type="paragraph" w:customStyle="1" w:styleId="ARfintablecolhead">
    <w:name w:val="AR fin table col head"/>
    <w:basedOn w:val="ARfintablecolheadright"/>
    <w:uiPriority w:val="1"/>
    <w:qFormat/>
    <w:rsid w:val="0078495E"/>
    <w:pPr>
      <w:jc w:val="left"/>
    </w:pPr>
  </w:style>
  <w:style w:type="paragraph" w:customStyle="1" w:styleId="ARfintablebody">
    <w:name w:val="AR fin table body"/>
    <w:qFormat/>
    <w:rsid w:val="0078495E"/>
    <w:pPr>
      <w:suppressAutoHyphens/>
      <w:spacing w:before="40" w:after="20" w:line="264" w:lineRule="auto"/>
      <w:ind w:right="113"/>
    </w:pPr>
    <w:rPr>
      <w:rFonts w:ascii="Arial" w:eastAsia="MS Mincho" w:hAnsi="Arial" w:cs="Arial"/>
      <w:color w:val="000000"/>
      <w:sz w:val="18"/>
      <w:szCs w:val="16"/>
      <w:lang w:eastAsia="en-AU"/>
    </w:rPr>
  </w:style>
  <w:style w:type="paragraph" w:customStyle="1" w:styleId="ARfintablebodybold">
    <w:name w:val="AR fin table body bold"/>
    <w:basedOn w:val="ARfintablebody"/>
    <w:uiPriority w:val="99"/>
    <w:rsid w:val="0078495E"/>
    <w:rPr>
      <w:rFonts w:cs="Arial-BoldMT"/>
      <w:b/>
      <w:bCs/>
    </w:rPr>
  </w:style>
  <w:style w:type="paragraph" w:customStyle="1" w:styleId="ARfintablefootnote">
    <w:name w:val="AR fin table footnote"/>
    <w:basedOn w:val="Normal"/>
    <w:qFormat/>
    <w:rsid w:val="0078495E"/>
    <w:pPr>
      <w:spacing w:before="60" w:after="60" w:line="180" w:lineRule="atLeast"/>
    </w:pPr>
    <w:rPr>
      <w:rFonts w:ascii="Arial" w:eastAsia="Times New Roman" w:hAnsi="Arial" w:cs="Times New Roman"/>
      <w:color w:val="000000"/>
      <w:sz w:val="16"/>
      <w:szCs w:val="14"/>
    </w:rPr>
  </w:style>
  <w:style w:type="paragraph" w:customStyle="1" w:styleId="ARfintablebodyright">
    <w:name w:val="AR fin table body right"/>
    <w:basedOn w:val="ARfintablebody"/>
    <w:uiPriority w:val="99"/>
    <w:qFormat/>
    <w:rsid w:val="0078495E"/>
    <w:pPr>
      <w:jc w:val="right"/>
    </w:pPr>
  </w:style>
  <w:style w:type="paragraph" w:customStyle="1" w:styleId="ARfintablecolheadright">
    <w:name w:val="AR fin table col head right"/>
    <w:basedOn w:val="Normal"/>
    <w:uiPriority w:val="1"/>
    <w:qFormat/>
    <w:rsid w:val="0078495E"/>
    <w:pPr>
      <w:spacing w:before="40" w:after="40" w:line="240" w:lineRule="auto"/>
      <w:ind w:right="113"/>
      <w:jc w:val="right"/>
    </w:pPr>
    <w:rPr>
      <w:rFonts w:ascii="Arial" w:eastAsiaTheme="minorEastAsia" w:hAnsi="Arial"/>
      <w:b/>
      <w:sz w:val="18"/>
      <w:szCs w:val="16"/>
      <w:lang w:eastAsia="en-AU"/>
    </w:rPr>
  </w:style>
  <w:style w:type="paragraph" w:customStyle="1" w:styleId="ARfintablefootnoteindent">
    <w:name w:val="AR fin table footnote indent"/>
    <w:link w:val="ARfintablefootnoteindentChar"/>
    <w:qFormat/>
    <w:rsid w:val="0078495E"/>
    <w:pPr>
      <w:spacing w:before="30" w:after="30" w:line="180" w:lineRule="atLeast"/>
      <w:ind w:left="284" w:hanging="284"/>
    </w:pPr>
    <w:rPr>
      <w:rFonts w:ascii="Arial" w:eastAsiaTheme="minorEastAsia" w:hAnsi="Arial"/>
      <w:color w:val="000000"/>
      <w:sz w:val="16"/>
      <w:szCs w:val="14"/>
      <w:lang w:eastAsia="en-AU"/>
    </w:rPr>
  </w:style>
  <w:style w:type="character" w:customStyle="1" w:styleId="ARfintablefootnoteindentChar">
    <w:name w:val="AR fin table footnote indent Char"/>
    <w:link w:val="ARfintablefootnoteindent"/>
    <w:rsid w:val="0078495E"/>
    <w:rPr>
      <w:rFonts w:ascii="Arial" w:eastAsiaTheme="minorEastAsia" w:hAnsi="Arial"/>
      <w:color w:val="000000"/>
      <w:sz w:val="16"/>
      <w:szCs w:val="14"/>
      <w:lang w:eastAsia="en-AU"/>
    </w:rPr>
  </w:style>
  <w:style w:type="paragraph" w:customStyle="1" w:styleId="ARfinbullet1">
    <w:name w:val="AR fin bullet 1"/>
    <w:basedOn w:val="ARfinbody"/>
    <w:qFormat/>
    <w:rsid w:val="0078495E"/>
    <w:pPr>
      <w:numPr>
        <w:numId w:val="11"/>
      </w:numPr>
    </w:pPr>
    <w:rPr>
      <w:rFonts w:eastAsia="Verdana"/>
    </w:rPr>
  </w:style>
  <w:style w:type="paragraph" w:customStyle="1" w:styleId="ARfinbodyaftertable">
    <w:name w:val="AR fin body after table"/>
    <w:basedOn w:val="ARfintablebody"/>
    <w:uiPriority w:val="98"/>
    <w:qFormat/>
    <w:rsid w:val="0078495E"/>
    <w:pPr>
      <w:spacing w:before="160" w:after="60"/>
    </w:pPr>
  </w:style>
  <w:style w:type="paragraph" w:customStyle="1" w:styleId="ARfinnumberalpha1">
    <w:name w:val="AR fin number alpha 1"/>
    <w:basedOn w:val="ARfinbody"/>
    <w:uiPriority w:val="98"/>
    <w:rsid w:val="0078495E"/>
    <w:pPr>
      <w:numPr>
        <w:numId w:val="14"/>
      </w:numPr>
    </w:pPr>
  </w:style>
  <w:style w:type="paragraph" w:customStyle="1" w:styleId="ARfinstructure1">
    <w:name w:val="AR fin structure 1"/>
    <w:basedOn w:val="ARfinbody"/>
    <w:uiPriority w:val="98"/>
    <w:qFormat/>
    <w:rsid w:val="0078495E"/>
    <w:pPr>
      <w:spacing w:after="40"/>
      <w:ind w:left="567" w:hanging="567"/>
    </w:pPr>
  </w:style>
  <w:style w:type="paragraph" w:customStyle="1" w:styleId="ARfinstructure2">
    <w:name w:val="AR fin structure 2"/>
    <w:basedOn w:val="ARfinbody"/>
    <w:uiPriority w:val="98"/>
    <w:qFormat/>
    <w:rsid w:val="0078495E"/>
    <w:pPr>
      <w:spacing w:after="40"/>
      <w:ind w:left="1247" w:hanging="680"/>
    </w:pPr>
  </w:style>
  <w:style w:type="paragraph" w:customStyle="1" w:styleId="ARfintablebullet1">
    <w:name w:val="AR fin table bullet 1"/>
    <w:basedOn w:val="ARfintablebody"/>
    <w:uiPriority w:val="98"/>
    <w:rsid w:val="0078495E"/>
    <w:pPr>
      <w:ind w:left="170" w:hanging="170"/>
    </w:pPr>
  </w:style>
  <w:style w:type="paragraph" w:customStyle="1" w:styleId="ARfintablebullet2">
    <w:name w:val="AR fin table bullet 2"/>
    <w:basedOn w:val="Normal"/>
    <w:uiPriority w:val="98"/>
    <w:rsid w:val="0078495E"/>
    <w:pPr>
      <w:tabs>
        <w:tab w:val="num" w:pos="170"/>
      </w:tabs>
      <w:suppressAutoHyphens/>
      <w:spacing w:before="40" w:after="20" w:line="264" w:lineRule="auto"/>
      <w:ind w:left="340" w:right="113" w:hanging="170"/>
    </w:pPr>
    <w:rPr>
      <w:rFonts w:eastAsia="MS Mincho" w:cs="Arial"/>
      <w:color w:val="000000"/>
      <w:sz w:val="16"/>
      <w:szCs w:val="16"/>
      <w:lang w:eastAsia="en-AU"/>
    </w:rPr>
  </w:style>
  <w:style w:type="paragraph" w:customStyle="1" w:styleId="ARfintablebodyrightbold">
    <w:name w:val="AR fin table body right bold"/>
    <w:basedOn w:val="ARfintablebodyright"/>
    <w:uiPriority w:val="98"/>
    <w:rsid w:val="0078495E"/>
    <w:rPr>
      <w:b/>
    </w:rPr>
  </w:style>
  <w:style w:type="paragraph" w:customStyle="1" w:styleId="ARfinbodylargespace">
    <w:name w:val="AR fin body large space"/>
    <w:basedOn w:val="ARfinbody"/>
    <w:uiPriority w:val="98"/>
    <w:qFormat/>
    <w:rsid w:val="0078495E"/>
    <w:pPr>
      <w:spacing w:after="160"/>
    </w:pPr>
    <w:rPr>
      <w:rFonts w:cs="Arial"/>
    </w:rPr>
  </w:style>
  <w:style w:type="paragraph" w:customStyle="1" w:styleId="ARfinbodyindent">
    <w:name w:val="AR fin body indent"/>
    <w:basedOn w:val="ARfinbody"/>
    <w:rsid w:val="0078495E"/>
    <w:pPr>
      <w:ind w:left="284"/>
    </w:pPr>
  </w:style>
  <w:style w:type="numbering" w:customStyle="1" w:styleId="ZZFinnumbersalpha">
    <w:name w:val="ZZ Fin numbers alpha"/>
    <w:basedOn w:val="ARnumberedparas"/>
    <w:uiPriority w:val="99"/>
    <w:rsid w:val="0078495E"/>
    <w:pPr>
      <w:numPr>
        <w:numId w:val="22"/>
      </w:numPr>
    </w:pPr>
  </w:style>
  <w:style w:type="paragraph" w:customStyle="1" w:styleId="ARintrobullet2">
    <w:name w:val="AR intro bullet 2"/>
    <w:basedOn w:val="ARintro"/>
    <w:rsid w:val="009A2B51"/>
    <w:pPr>
      <w:numPr>
        <w:ilvl w:val="1"/>
        <w:numId w:val="7"/>
      </w:numPr>
    </w:pPr>
  </w:style>
  <w:style w:type="numbering" w:customStyle="1" w:styleId="ZZTablefootnotenumbers">
    <w:name w:val="ZZ Table footnote numbers"/>
    <w:basedOn w:val="NoList"/>
    <w:uiPriority w:val="99"/>
    <w:rsid w:val="001A70B8"/>
    <w:pPr>
      <w:numPr>
        <w:numId w:val="23"/>
      </w:numPr>
    </w:pPr>
  </w:style>
  <w:style w:type="paragraph" w:customStyle="1" w:styleId="ARbulletafternumbers1">
    <w:name w:val="AR bullet after numbers 1"/>
    <w:basedOn w:val="Normal"/>
    <w:uiPriority w:val="4"/>
    <w:rsid w:val="001A70B8"/>
    <w:pPr>
      <w:spacing w:after="40" w:line="270" w:lineRule="atLeast"/>
      <w:ind w:left="794" w:hanging="397"/>
    </w:pPr>
    <w:rPr>
      <w:rFonts w:eastAsia="Times"/>
      <w:sz w:val="20"/>
      <w:szCs w:val="20"/>
      <w:lang w:eastAsia="en-AU"/>
    </w:rPr>
  </w:style>
  <w:style w:type="paragraph" w:customStyle="1" w:styleId="ARbulletafternumbers2">
    <w:name w:val="AR bullet after numbers 2"/>
    <w:basedOn w:val="Normal"/>
    <w:uiPriority w:val="99"/>
    <w:rsid w:val="001A70B8"/>
    <w:pPr>
      <w:spacing w:after="40" w:line="270" w:lineRule="atLeast"/>
      <w:ind w:left="1191" w:hanging="397"/>
    </w:pPr>
    <w:rPr>
      <w:rFonts w:eastAsia="Times"/>
      <w:sz w:val="20"/>
      <w:szCs w:val="20"/>
      <w:lang w:eastAsia="en-AU"/>
    </w:rPr>
  </w:style>
  <w:style w:type="paragraph" w:customStyle="1" w:styleId="ARnumberdigitindent">
    <w:name w:val="AR number digit indent"/>
    <w:basedOn w:val="Normal"/>
    <w:uiPriority w:val="3"/>
    <w:rsid w:val="001A70B8"/>
    <w:pPr>
      <w:tabs>
        <w:tab w:val="num" w:pos="794"/>
      </w:tabs>
      <w:spacing w:after="120" w:line="270" w:lineRule="atLeast"/>
      <w:ind w:left="794" w:hanging="397"/>
    </w:pPr>
    <w:rPr>
      <w:rFonts w:eastAsia="Times"/>
      <w:sz w:val="20"/>
      <w:szCs w:val="20"/>
      <w:lang w:eastAsia="en-AU"/>
    </w:rPr>
  </w:style>
  <w:style w:type="table" w:customStyle="1" w:styleId="DTFFinancialTable">
    <w:name w:val="DTF Financial Table"/>
    <w:basedOn w:val="TableNormal"/>
    <w:uiPriority w:val="99"/>
    <w:rsid w:val="001A70B8"/>
    <w:pPr>
      <w:spacing w:before="20" w:after="20" w:line="240" w:lineRule="auto"/>
      <w:jc w:val="right"/>
    </w:pPr>
    <w:rPr>
      <w:sz w:val="17"/>
      <w:szCs w:val="18"/>
    </w:rPr>
    <w:tblPr>
      <w:tblStyleRowBandSize w:val="1"/>
      <w:tblStyleColBandSize w:val="1"/>
      <w:tblBorders>
        <w:bottom w:val="single" w:sz="12" w:space="0" w:color="auto"/>
      </w:tblBorders>
      <w:tblCellMar>
        <w:left w:w="57" w:type="dxa"/>
        <w:right w:w="57" w:type="dxa"/>
      </w:tblCellMar>
    </w:tblPr>
    <w:tblStylePr w:type="firstRow">
      <w:pPr>
        <w:wordWrap/>
        <w:spacing w:beforeLines="0" w:before="40" w:beforeAutospacing="0" w:afterLines="0" w:after="40" w:afterAutospacing="0"/>
        <w:jc w:val="right"/>
      </w:pPr>
      <w:rPr>
        <w:b w:val="0"/>
        <w:bCs/>
        <w:i/>
      </w:rPr>
      <w:tblPr/>
      <w:tcPr>
        <w:shd w:val="clear" w:color="auto" w:fill="000000" w:themeFill="text1"/>
        <w:vAlign w:val="bottom"/>
      </w:tcPr>
    </w:tblStylePr>
    <w:tblStylePr w:type="lastRow">
      <w:rPr>
        <w:b/>
        <w:bCs/>
      </w:rPr>
      <w:tblPr/>
      <w:tcPr>
        <w:tcBorders>
          <w:top w:val="single" w:sz="6" w:space="0" w:color="auto"/>
          <w:left w:val="nil"/>
          <w:bottom w:val="single" w:sz="12" w:space="0" w:color="auto"/>
          <w:right w:val="nil"/>
          <w:insideH w:val="nil"/>
          <w:insideV w:val="nil"/>
          <w:tl2br w:val="nil"/>
          <w:tr2bl w:val="nil"/>
        </w:tcBorders>
      </w:tcPr>
    </w:tblStylePr>
    <w:tblStylePr w:type="firstCol">
      <w:pPr>
        <w:jc w:val="left"/>
      </w:pPr>
      <w:rPr>
        <w:b w:val="0"/>
        <w:bCs/>
      </w:rPr>
      <w:tblPr/>
      <w:tcPr>
        <w:vAlign w:val="bottom"/>
      </w:tcPr>
    </w:tblStylePr>
    <w:tblStylePr w:type="lastCol">
      <w:rPr>
        <w:b/>
        <w:bCs/>
      </w:rPr>
    </w:tblStylePr>
    <w:tblStylePr w:type="band1Vert">
      <w:tblPr/>
      <w:tcPr>
        <w:shd w:val="clear" w:color="auto" w:fill="F2F2F2" w:themeFill="background1" w:themeFillShade="F2"/>
      </w:tc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nwCell">
      <w:pPr>
        <w:jc w:val="left"/>
      </w:pPr>
      <w:tblPr/>
      <w:tcPr>
        <w:vAlign w:val="bottom"/>
      </w:tcPr>
    </w:tblStylePr>
  </w:style>
  <w:style w:type="paragraph" w:customStyle="1" w:styleId="ARfintablebodycentre">
    <w:name w:val="AR fin table body centre"/>
    <w:basedOn w:val="ARfintablebodybold"/>
    <w:rsid w:val="003E4716"/>
    <w:pPr>
      <w:ind w:right="0"/>
      <w:jc w:val="center"/>
    </w:pPr>
    <w:rPr>
      <w:b w:val="0"/>
    </w:rPr>
  </w:style>
  <w:style w:type="numbering" w:customStyle="1" w:styleId="ZZFintablefootnotebulletsindent">
    <w:name w:val="ZZ Fin table footnote bullets indent"/>
    <w:basedOn w:val="NoList"/>
    <w:uiPriority w:val="99"/>
    <w:rsid w:val="00CE75D4"/>
    <w:pPr>
      <w:numPr>
        <w:numId w:val="26"/>
      </w:numPr>
    </w:pPr>
  </w:style>
  <w:style w:type="paragraph" w:customStyle="1" w:styleId="ARfintablefootnotebulletindent">
    <w:name w:val="AR fin table footnote bullet indent"/>
    <w:basedOn w:val="ARfintablefootnote"/>
    <w:rsid w:val="00CE75D4"/>
    <w:pPr>
      <w:numPr>
        <w:numId w:val="26"/>
      </w:numPr>
      <w:spacing w:before="40" w:after="40"/>
      <w:ind w:left="568" w:hanging="284"/>
    </w:pPr>
  </w:style>
  <w:style w:type="paragraph" w:customStyle="1" w:styleId="ARtablecaptionblack">
    <w:name w:val="AR table caption black"/>
    <w:basedOn w:val="ARtablecaption"/>
    <w:rsid w:val="004E0DE0"/>
    <w:pPr>
      <w:spacing w:after="80"/>
    </w:pPr>
    <w:rPr>
      <w:color w:val="auto"/>
      <w:sz w:val="18"/>
    </w:rPr>
  </w:style>
  <w:style w:type="paragraph" w:customStyle="1" w:styleId="ARtablesubhead">
    <w:name w:val="AR table subhead"/>
    <w:basedOn w:val="ARtabletext"/>
    <w:uiPriority w:val="3"/>
    <w:qFormat/>
    <w:rsid w:val="00156FDC"/>
    <w:rPr>
      <w:b/>
      <w:color w:val="0072CE"/>
    </w:rPr>
  </w:style>
  <w:style w:type="paragraph" w:customStyle="1" w:styleId="ARtablebluebold">
    <w:name w:val="AR table blue bold"/>
    <w:basedOn w:val="ARtabletext"/>
    <w:uiPriority w:val="3"/>
    <w:qFormat/>
    <w:rsid w:val="00156FDC"/>
    <w:pPr>
      <w:keepNext/>
      <w:spacing w:line="240" w:lineRule="auto"/>
    </w:pPr>
    <w:rPr>
      <w:b/>
      <w:color w:val="0072CE"/>
    </w:rPr>
  </w:style>
  <w:style w:type="paragraph" w:customStyle="1" w:styleId="ARintrobullet">
    <w:name w:val="AR intro bullet"/>
    <w:basedOn w:val="ARintro"/>
    <w:qFormat/>
    <w:rsid w:val="00156FDC"/>
    <w:pPr>
      <w:ind w:left="284" w:hanging="284"/>
    </w:pPr>
  </w:style>
  <w:style w:type="paragraph" w:customStyle="1" w:styleId="ARtablefootnotenumbered">
    <w:name w:val="AR table footnote numbered"/>
    <w:basedOn w:val="ARtablefootnote"/>
    <w:link w:val="ARtablefootnotenumberedChar"/>
    <w:uiPriority w:val="99"/>
    <w:qFormat/>
    <w:rsid w:val="00156FDC"/>
    <w:pPr>
      <w:tabs>
        <w:tab w:val="num" w:pos="284"/>
      </w:tabs>
      <w:ind w:left="284" w:hanging="284"/>
    </w:pPr>
  </w:style>
  <w:style w:type="character" w:customStyle="1" w:styleId="ARtablefootnotenumberedChar">
    <w:name w:val="AR table footnote numbered Char"/>
    <w:link w:val="ARtablefootnotenumbered"/>
    <w:uiPriority w:val="99"/>
    <w:rsid w:val="00156FDC"/>
    <w:rPr>
      <w:rFonts w:ascii="Arial" w:eastAsiaTheme="minorEastAsia" w:hAnsi="Arial"/>
      <w:sz w:val="16"/>
      <w:szCs w:val="16"/>
    </w:rPr>
  </w:style>
  <w:style w:type="paragraph" w:customStyle="1" w:styleId="zcontents">
    <w:name w:val="zcontents"/>
    <w:basedOn w:val="Normal"/>
    <w:semiHidden/>
    <w:rsid w:val="00156FDC"/>
    <w:pPr>
      <w:spacing w:after="260" w:line="240" w:lineRule="auto"/>
    </w:pPr>
    <w:rPr>
      <w:rFonts w:eastAsiaTheme="minorEastAsia"/>
      <w:b/>
      <w:sz w:val="32"/>
      <w:szCs w:val="20"/>
      <w:lang w:eastAsia="en-AU"/>
    </w:rPr>
  </w:style>
  <w:style w:type="paragraph" w:customStyle="1" w:styleId="ListAlpha">
    <w:name w:val="List Alpha"/>
    <w:basedOn w:val="Normal"/>
    <w:uiPriority w:val="26"/>
    <w:rsid w:val="00156FDC"/>
    <w:pPr>
      <w:keepLines/>
      <w:numPr>
        <w:numId w:val="39"/>
      </w:numPr>
      <w:spacing w:before="40" w:after="80" w:line="264" w:lineRule="auto"/>
    </w:pPr>
    <w:rPr>
      <w:sz w:val="18"/>
      <w:szCs w:val="18"/>
    </w:rPr>
  </w:style>
  <w:style w:type="paragraph" w:customStyle="1" w:styleId="ListAlpha2">
    <w:name w:val="List Alpha 2"/>
    <w:basedOn w:val="Normal"/>
    <w:uiPriority w:val="26"/>
    <w:rsid w:val="00156FDC"/>
    <w:pPr>
      <w:keepLines/>
      <w:numPr>
        <w:ilvl w:val="1"/>
        <w:numId w:val="39"/>
      </w:numPr>
      <w:spacing w:before="40" w:after="40" w:line="264" w:lineRule="auto"/>
    </w:pPr>
    <w:rPr>
      <w:sz w:val="18"/>
      <w:szCs w:val="18"/>
    </w:rPr>
  </w:style>
  <w:style w:type="character" w:customStyle="1" w:styleId="Reference">
    <w:name w:val="Reference"/>
    <w:uiPriority w:val="29"/>
    <w:qFormat/>
    <w:rsid w:val="00156FDC"/>
    <w:rPr>
      <w:b w:val="0"/>
      <w:i w:val="0"/>
      <w:color w:val="C00000"/>
      <w:sz w:val="16"/>
    </w:rPr>
  </w:style>
  <w:style w:type="character" w:styleId="Mention">
    <w:name w:val="Mention"/>
    <w:basedOn w:val="DefaultParagraphFont"/>
    <w:uiPriority w:val="99"/>
    <w:unhideWhenUsed/>
    <w:rsid w:val="00156FDC"/>
    <w:rPr>
      <w:color w:val="2B579A"/>
      <w:shd w:val="clear" w:color="auto" w:fill="E1DFDD"/>
    </w:rPr>
  </w:style>
  <w:style w:type="paragraph" w:customStyle="1" w:styleId="Body">
    <w:name w:val="Body"/>
    <w:link w:val="BodyChar"/>
    <w:qFormat/>
    <w:rsid w:val="00156FDC"/>
    <w:pPr>
      <w:spacing w:after="120" w:line="280" w:lineRule="atLeast"/>
    </w:pPr>
    <w:rPr>
      <w:rFonts w:ascii="Arial" w:eastAsia="Times" w:hAnsi="Arial" w:cs="Times New Roman"/>
      <w:sz w:val="21"/>
      <w:szCs w:val="20"/>
    </w:rPr>
  </w:style>
  <w:style w:type="character" w:customStyle="1" w:styleId="BodyChar">
    <w:name w:val="Body Char"/>
    <w:basedOn w:val="DefaultParagraphFont"/>
    <w:link w:val="Body"/>
    <w:rsid w:val="00156FDC"/>
    <w:rPr>
      <w:rFonts w:ascii="Arial" w:eastAsia="Times" w:hAnsi="Arial" w:cs="Times New Roman"/>
      <w:sz w:val="21"/>
      <w:szCs w:val="20"/>
    </w:rPr>
  </w:style>
  <w:style w:type="character" w:styleId="UnresolvedMention">
    <w:name w:val="Unresolved Mention"/>
    <w:basedOn w:val="DefaultParagraphFont"/>
    <w:uiPriority w:val="99"/>
    <w:unhideWhenUsed/>
    <w:rsid w:val="00156FDC"/>
    <w:rPr>
      <w:color w:val="605E5C"/>
      <w:shd w:val="clear" w:color="auto" w:fill="E1DFDD"/>
    </w:rPr>
  </w:style>
  <w:style w:type="paragraph" w:customStyle="1" w:styleId="msonormal0">
    <w:name w:val="msonormal"/>
    <w:basedOn w:val="Normal"/>
    <w:rsid w:val="00156FD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67">
    <w:name w:val="xl67"/>
    <w:basedOn w:val="Normal"/>
    <w:rsid w:val="00156FDC"/>
    <w:pPr>
      <w:pBdr>
        <w:top w:val="single" w:sz="8" w:space="0" w:color="auto"/>
        <w:left w:val="single" w:sz="8" w:space="0" w:color="auto"/>
      </w:pBdr>
      <w:shd w:val="clear" w:color="000000" w:fill="A6A6A6"/>
      <w:spacing w:before="100" w:beforeAutospacing="1" w:after="100" w:afterAutospacing="1" w:line="240" w:lineRule="auto"/>
    </w:pPr>
    <w:rPr>
      <w:rFonts w:ascii="Times New Roman" w:eastAsia="Times New Roman" w:hAnsi="Times New Roman" w:cs="Times New Roman"/>
      <w:b/>
      <w:bCs/>
      <w:color w:val="FFFFFF"/>
      <w:sz w:val="20"/>
      <w:szCs w:val="20"/>
      <w:lang w:eastAsia="en-AU"/>
    </w:rPr>
  </w:style>
  <w:style w:type="paragraph" w:customStyle="1" w:styleId="xl68">
    <w:name w:val="xl68"/>
    <w:basedOn w:val="Normal"/>
    <w:rsid w:val="00156FDC"/>
    <w:pP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69">
    <w:name w:val="xl69"/>
    <w:basedOn w:val="Normal"/>
    <w:rsid w:val="00156FDC"/>
    <w:pPr>
      <w:pBdr>
        <w:left w:val="single" w:sz="8" w:space="0" w:color="auto"/>
        <w:bottom w:val="single" w:sz="8" w:space="0" w:color="auto"/>
      </w:pBdr>
      <w:shd w:val="clear" w:color="000000" w:fill="A6A6A6"/>
      <w:spacing w:before="100" w:beforeAutospacing="1" w:after="100" w:afterAutospacing="1" w:line="240" w:lineRule="auto"/>
    </w:pPr>
    <w:rPr>
      <w:rFonts w:ascii="Times New Roman" w:eastAsia="Times New Roman" w:hAnsi="Times New Roman" w:cs="Times New Roman"/>
      <w:b/>
      <w:bCs/>
      <w:color w:val="FFFFFF"/>
      <w:sz w:val="20"/>
      <w:szCs w:val="20"/>
      <w:lang w:eastAsia="en-AU"/>
    </w:rPr>
  </w:style>
  <w:style w:type="paragraph" w:customStyle="1" w:styleId="xl70">
    <w:name w:val="xl70"/>
    <w:basedOn w:val="Normal"/>
    <w:rsid w:val="00156FDC"/>
    <w:pPr>
      <w:pBdr>
        <w:bottom w:val="single" w:sz="8" w:space="0" w:color="auto"/>
      </w:pBdr>
      <w:shd w:val="clear" w:color="000000" w:fill="A6A6A6"/>
      <w:spacing w:before="100" w:beforeAutospacing="1" w:after="100" w:afterAutospacing="1" w:line="240" w:lineRule="auto"/>
    </w:pPr>
    <w:rPr>
      <w:rFonts w:ascii="Times New Roman" w:eastAsia="Times New Roman" w:hAnsi="Times New Roman" w:cs="Times New Roman"/>
      <w:b/>
      <w:bCs/>
      <w:color w:val="FFFFFF"/>
      <w:sz w:val="20"/>
      <w:szCs w:val="20"/>
      <w:lang w:eastAsia="en-AU"/>
    </w:rPr>
  </w:style>
  <w:style w:type="paragraph" w:customStyle="1" w:styleId="xl71">
    <w:name w:val="xl71"/>
    <w:basedOn w:val="Normal"/>
    <w:rsid w:val="00156FDC"/>
    <w:pPr>
      <w:pBdr>
        <w:bottom w:val="single" w:sz="8" w:space="0" w:color="auto"/>
        <w:right w:val="single" w:sz="8" w:space="0" w:color="auto"/>
      </w:pBdr>
      <w:shd w:val="clear" w:color="000000" w:fill="A6A6A6"/>
      <w:spacing w:before="100" w:beforeAutospacing="1" w:after="100" w:afterAutospacing="1" w:line="240" w:lineRule="auto"/>
    </w:pPr>
    <w:rPr>
      <w:rFonts w:ascii="Times New Roman" w:eastAsia="Times New Roman" w:hAnsi="Times New Roman" w:cs="Times New Roman"/>
      <w:b/>
      <w:bCs/>
      <w:color w:val="FFFFFF"/>
      <w:sz w:val="20"/>
      <w:szCs w:val="20"/>
      <w:lang w:eastAsia="en-AU"/>
    </w:rPr>
  </w:style>
  <w:style w:type="paragraph" w:customStyle="1" w:styleId="xl72">
    <w:name w:val="xl72"/>
    <w:basedOn w:val="Normal"/>
    <w:rsid w:val="00156FDC"/>
    <w:pPr>
      <w:pBdr>
        <w:lef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73">
    <w:name w:val="xl73"/>
    <w:basedOn w:val="Normal"/>
    <w:rsid w:val="00156FDC"/>
    <w:pPr>
      <w:pBdr>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74">
    <w:name w:val="xl74"/>
    <w:basedOn w:val="Normal"/>
    <w:rsid w:val="00156FDC"/>
    <w:pPr>
      <w:pBdr>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75">
    <w:name w:val="xl75"/>
    <w:basedOn w:val="Normal"/>
    <w:rsid w:val="00156FDC"/>
    <w:pPr>
      <w:pBdr>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76">
    <w:name w:val="xl76"/>
    <w:basedOn w:val="Normal"/>
    <w:rsid w:val="00156FDC"/>
    <w:pPr>
      <w:pBdr>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77">
    <w:name w:val="xl77"/>
    <w:basedOn w:val="Normal"/>
    <w:rsid w:val="00156FDC"/>
    <w:pPr>
      <w:pBdr>
        <w:top w:val="single" w:sz="8" w:space="0" w:color="auto"/>
        <w:left w:val="single" w:sz="8"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78">
    <w:name w:val="xl78"/>
    <w:basedOn w:val="Normal"/>
    <w:rsid w:val="00156FDC"/>
    <w:pPr>
      <w:pBdr>
        <w:top w:val="single" w:sz="8"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79">
    <w:name w:val="xl79"/>
    <w:basedOn w:val="Normal"/>
    <w:rsid w:val="00156FDC"/>
    <w:pPr>
      <w:pBdr>
        <w:top w:val="single" w:sz="8" w:space="0" w:color="auto"/>
        <w:right w:val="single" w:sz="8" w:space="0" w:color="auto"/>
      </w:pBdr>
      <w:shd w:val="clear" w:color="000000" w:fill="A6A6A6"/>
      <w:spacing w:before="100" w:beforeAutospacing="1" w:after="100" w:afterAutospacing="1" w:line="240" w:lineRule="auto"/>
      <w:jc w:val="center"/>
    </w:pPr>
    <w:rPr>
      <w:rFonts w:ascii="Times New Roman" w:eastAsia="Times New Roman" w:hAnsi="Times New Roman" w:cs="Times New Roman"/>
      <w:b/>
      <w:bCs/>
      <w:color w:val="FFFFFF"/>
      <w:sz w:val="20"/>
      <w:szCs w:val="20"/>
      <w:lang w:eastAsia="en-AU"/>
    </w:rPr>
  </w:style>
  <w:style w:type="paragraph" w:customStyle="1" w:styleId="xl80">
    <w:name w:val="xl80"/>
    <w:basedOn w:val="Normal"/>
    <w:rsid w:val="00156FDC"/>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1">
    <w:name w:val="xl81"/>
    <w:basedOn w:val="Normal"/>
    <w:rsid w:val="00156FDC"/>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 w:type="paragraph" w:customStyle="1" w:styleId="xl82">
    <w:name w:val="xl82"/>
    <w:basedOn w:val="Normal"/>
    <w:rsid w:val="00156FDC"/>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58315">
      <w:bodyDiv w:val="1"/>
      <w:marLeft w:val="0"/>
      <w:marRight w:val="0"/>
      <w:marTop w:val="0"/>
      <w:marBottom w:val="0"/>
      <w:divBdr>
        <w:top w:val="none" w:sz="0" w:space="0" w:color="auto"/>
        <w:left w:val="none" w:sz="0" w:space="0" w:color="auto"/>
        <w:bottom w:val="none" w:sz="0" w:space="0" w:color="auto"/>
        <w:right w:val="none" w:sz="0" w:space="0" w:color="auto"/>
      </w:divBdr>
    </w:div>
    <w:div w:id="149755048">
      <w:bodyDiv w:val="1"/>
      <w:marLeft w:val="0"/>
      <w:marRight w:val="0"/>
      <w:marTop w:val="0"/>
      <w:marBottom w:val="0"/>
      <w:divBdr>
        <w:top w:val="none" w:sz="0" w:space="0" w:color="auto"/>
        <w:left w:val="none" w:sz="0" w:space="0" w:color="auto"/>
        <w:bottom w:val="none" w:sz="0" w:space="0" w:color="auto"/>
        <w:right w:val="none" w:sz="0" w:space="0" w:color="auto"/>
      </w:divBdr>
    </w:div>
    <w:div w:id="197396068">
      <w:bodyDiv w:val="1"/>
      <w:marLeft w:val="0"/>
      <w:marRight w:val="0"/>
      <w:marTop w:val="0"/>
      <w:marBottom w:val="0"/>
      <w:divBdr>
        <w:top w:val="none" w:sz="0" w:space="0" w:color="auto"/>
        <w:left w:val="none" w:sz="0" w:space="0" w:color="auto"/>
        <w:bottom w:val="none" w:sz="0" w:space="0" w:color="auto"/>
        <w:right w:val="none" w:sz="0" w:space="0" w:color="auto"/>
      </w:divBdr>
    </w:div>
    <w:div w:id="218631223">
      <w:bodyDiv w:val="1"/>
      <w:marLeft w:val="0"/>
      <w:marRight w:val="0"/>
      <w:marTop w:val="0"/>
      <w:marBottom w:val="0"/>
      <w:divBdr>
        <w:top w:val="none" w:sz="0" w:space="0" w:color="auto"/>
        <w:left w:val="none" w:sz="0" w:space="0" w:color="auto"/>
        <w:bottom w:val="none" w:sz="0" w:space="0" w:color="auto"/>
        <w:right w:val="none" w:sz="0" w:space="0" w:color="auto"/>
      </w:divBdr>
    </w:div>
    <w:div w:id="235361282">
      <w:bodyDiv w:val="1"/>
      <w:marLeft w:val="0"/>
      <w:marRight w:val="0"/>
      <w:marTop w:val="0"/>
      <w:marBottom w:val="0"/>
      <w:divBdr>
        <w:top w:val="none" w:sz="0" w:space="0" w:color="auto"/>
        <w:left w:val="none" w:sz="0" w:space="0" w:color="auto"/>
        <w:bottom w:val="none" w:sz="0" w:space="0" w:color="auto"/>
        <w:right w:val="none" w:sz="0" w:space="0" w:color="auto"/>
      </w:divBdr>
    </w:div>
    <w:div w:id="284315332">
      <w:bodyDiv w:val="1"/>
      <w:marLeft w:val="0"/>
      <w:marRight w:val="0"/>
      <w:marTop w:val="0"/>
      <w:marBottom w:val="0"/>
      <w:divBdr>
        <w:top w:val="none" w:sz="0" w:space="0" w:color="auto"/>
        <w:left w:val="none" w:sz="0" w:space="0" w:color="auto"/>
        <w:bottom w:val="none" w:sz="0" w:space="0" w:color="auto"/>
        <w:right w:val="none" w:sz="0" w:space="0" w:color="auto"/>
      </w:divBdr>
    </w:div>
    <w:div w:id="295572381">
      <w:bodyDiv w:val="1"/>
      <w:marLeft w:val="0"/>
      <w:marRight w:val="0"/>
      <w:marTop w:val="0"/>
      <w:marBottom w:val="0"/>
      <w:divBdr>
        <w:top w:val="none" w:sz="0" w:space="0" w:color="auto"/>
        <w:left w:val="none" w:sz="0" w:space="0" w:color="auto"/>
        <w:bottom w:val="none" w:sz="0" w:space="0" w:color="auto"/>
        <w:right w:val="none" w:sz="0" w:space="0" w:color="auto"/>
      </w:divBdr>
    </w:div>
    <w:div w:id="333267015">
      <w:bodyDiv w:val="1"/>
      <w:marLeft w:val="0"/>
      <w:marRight w:val="0"/>
      <w:marTop w:val="0"/>
      <w:marBottom w:val="0"/>
      <w:divBdr>
        <w:top w:val="none" w:sz="0" w:space="0" w:color="auto"/>
        <w:left w:val="none" w:sz="0" w:space="0" w:color="auto"/>
        <w:bottom w:val="none" w:sz="0" w:space="0" w:color="auto"/>
        <w:right w:val="none" w:sz="0" w:space="0" w:color="auto"/>
      </w:divBdr>
    </w:div>
    <w:div w:id="350759742">
      <w:bodyDiv w:val="1"/>
      <w:marLeft w:val="0"/>
      <w:marRight w:val="0"/>
      <w:marTop w:val="0"/>
      <w:marBottom w:val="0"/>
      <w:divBdr>
        <w:top w:val="none" w:sz="0" w:space="0" w:color="auto"/>
        <w:left w:val="none" w:sz="0" w:space="0" w:color="auto"/>
        <w:bottom w:val="none" w:sz="0" w:space="0" w:color="auto"/>
        <w:right w:val="none" w:sz="0" w:space="0" w:color="auto"/>
      </w:divBdr>
    </w:div>
    <w:div w:id="506017872">
      <w:bodyDiv w:val="1"/>
      <w:marLeft w:val="0"/>
      <w:marRight w:val="0"/>
      <w:marTop w:val="0"/>
      <w:marBottom w:val="0"/>
      <w:divBdr>
        <w:top w:val="none" w:sz="0" w:space="0" w:color="auto"/>
        <w:left w:val="none" w:sz="0" w:space="0" w:color="auto"/>
        <w:bottom w:val="none" w:sz="0" w:space="0" w:color="auto"/>
        <w:right w:val="none" w:sz="0" w:space="0" w:color="auto"/>
      </w:divBdr>
    </w:div>
    <w:div w:id="513030515">
      <w:bodyDiv w:val="1"/>
      <w:marLeft w:val="0"/>
      <w:marRight w:val="0"/>
      <w:marTop w:val="0"/>
      <w:marBottom w:val="0"/>
      <w:divBdr>
        <w:top w:val="none" w:sz="0" w:space="0" w:color="auto"/>
        <w:left w:val="none" w:sz="0" w:space="0" w:color="auto"/>
        <w:bottom w:val="none" w:sz="0" w:space="0" w:color="auto"/>
        <w:right w:val="none" w:sz="0" w:space="0" w:color="auto"/>
      </w:divBdr>
    </w:div>
    <w:div w:id="561019855">
      <w:bodyDiv w:val="1"/>
      <w:marLeft w:val="0"/>
      <w:marRight w:val="0"/>
      <w:marTop w:val="0"/>
      <w:marBottom w:val="0"/>
      <w:divBdr>
        <w:top w:val="none" w:sz="0" w:space="0" w:color="auto"/>
        <w:left w:val="none" w:sz="0" w:space="0" w:color="auto"/>
        <w:bottom w:val="none" w:sz="0" w:space="0" w:color="auto"/>
        <w:right w:val="none" w:sz="0" w:space="0" w:color="auto"/>
      </w:divBdr>
    </w:div>
    <w:div w:id="587664711">
      <w:bodyDiv w:val="1"/>
      <w:marLeft w:val="0"/>
      <w:marRight w:val="0"/>
      <w:marTop w:val="0"/>
      <w:marBottom w:val="0"/>
      <w:divBdr>
        <w:top w:val="none" w:sz="0" w:space="0" w:color="auto"/>
        <w:left w:val="none" w:sz="0" w:space="0" w:color="auto"/>
        <w:bottom w:val="none" w:sz="0" w:space="0" w:color="auto"/>
        <w:right w:val="none" w:sz="0" w:space="0" w:color="auto"/>
      </w:divBdr>
    </w:div>
    <w:div w:id="597369066">
      <w:bodyDiv w:val="1"/>
      <w:marLeft w:val="0"/>
      <w:marRight w:val="0"/>
      <w:marTop w:val="0"/>
      <w:marBottom w:val="0"/>
      <w:divBdr>
        <w:top w:val="none" w:sz="0" w:space="0" w:color="auto"/>
        <w:left w:val="none" w:sz="0" w:space="0" w:color="auto"/>
        <w:bottom w:val="none" w:sz="0" w:space="0" w:color="auto"/>
        <w:right w:val="none" w:sz="0" w:space="0" w:color="auto"/>
      </w:divBdr>
    </w:div>
    <w:div w:id="600337143">
      <w:bodyDiv w:val="1"/>
      <w:marLeft w:val="0"/>
      <w:marRight w:val="0"/>
      <w:marTop w:val="0"/>
      <w:marBottom w:val="0"/>
      <w:divBdr>
        <w:top w:val="none" w:sz="0" w:space="0" w:color="auto"/>
        <w:left w:val="none" w:sz="0" w:space="0" w:color="auto"/>
        <w:bottom w:val="none" w:sz="0" w:space="0" w:color="auto"/>
        <w:right w:val="none" w:sz="0" w:space="0" w:color="auto"/>
      </w:divBdr>
    </w:div>
    <w:div w:id="629626246">
      <w:bodyDiv w:val="1"/>
      <w:marLeft w:val="0"/>
      <w:marRight w:val="0"/>
      <w:marTop w:val="0"/>
      <w:marBottom w:val="0"/>
      <w:divBdr>
        <w:top w:val="none" w:sz="0" w:space="0" w:color="auto"/>
        <w:left w:val="none" w:sz="0" w:space="0" w:color="auto"/>
        <w:bottom w:val="none" w:sz="0" w:space="0" w:color="auto"/>
        <w:right w:val="none" w:sz="0" w:space="0" w:color="auto"/>
      </w:divBdr>
    </w:div>
    <w:div w:id="656029902">
      <w:bodyDiv w:val="1"/>
      <w:marLeft w:val="0"/>
      <w:marRight w:val="0"/>
      <w:marTop w:val="0"/>
      <w:marBottom w:val="0"/>
      <w:divBdr>
        <w:top w:val="none" w:sz="0" w:space="0" w:color="auto"/>
        <w:left w:val="none" w:sz="0" w:space="0" w:color="auto"/>
        <w:bottom w:val="none" w:sz="0" w:space="0" w:color="auto"/>
        <w:right w:val="none" w:sz="0" w:space="0" w:color="auto"/>
      </w:divBdr>
    </w:div>
    <w:div w:id="766003289">
      <w:bodyDiv w:val="1"/>
      <w:marLeft w:val="0"/>
      <w:marRight w:val="0"/>
      <w:marTop w:val="0"/>
      <w:marBottom w:val="0"/>
      <w:divBdr>
        <w:top w:val="none" w:sz="0" w:space="0" w:color="auto"/>
        <w:left w:val="none" w:sz="0" w:space="0" w:color="auto"/>
        <w:bottom w:val="none" w:sz="0" w:space="0" w:color="auto"/>
        <w:right w:val="none" w:sz="0" w:space="0" w:color="auto"/>
      </w:divBdr>
    </w:div>
    <w:div w:id="769007976">
      <w:bodyDiv w:val="1"/>
      <w:marLeft w:val="0"/>
      <w:marRight w:val="0"/>
      <w:marTop w:val="0"/>
      <w:marBottom w:val="0"/>
      <w:divBdr>
        <w:top w:val="none" w:sz="0" w:space="0" w:color="auto"/>
        <w:left w:val="none" w:sz="0" w:space="0" w:color="auto"/>
        <w:bottom w:val="none" w:sz="0" w:space="0" w:color="auto"/>
        <w:right w:val="none" w:sz="0" w:space="0" w:color="auto"/>
      </w:divBdr>
    </w:div>
    <w:div w:id="834492492">
      <w:bodyDiv w:val="1"/>
      <w:marLeft w:val="0"/>
      <w:marRight w:val="0"/>
      <w:marTop w:val="0"/>
      <w:marBottom w:val="0"/>
      <w:divBdr>
        <w:top w:val="none" w:sz="0" w:space="0" w:color="auto"/>
        <w:left w:val="none" w:sz="0" w:space="0" w:color="auto"/>
        <w:bottom w:val="none" w:sz="0" w:space="0" w:color="auto"/>
        <w:right w:val="none" w:sz="0" w:space="0" w:color="auto"/>
      </w:divBdr>
    </w:div>
    <w:div w:id="853153227">
      <w:bodyDiv w:val="1"/>
      <w:marLeft w:val="0"/>
      <w:marRight w:val="0"/>
      <w:marTop w:val="0"/>
      <w:marBottom w:val="0"/>
      <w:divBdr>
        <w:top w:val="none" w:sz="0" w:space="0" w:color="auto"/>
        <w:left w:val="none" w:sz="0" w:space="0" w:color="auto"/>
        <w:bottom w:val="none" w:sz="0" w:space="0" w:color="auto"/>
        <w:right w:val="none" w:sz="0" w:space="0" w:color="auto"/>
      </w:divBdr>
    </w:div>
    <w:div w:id="867445885">
      <w:bodyDiv w:val="1"/>
      <w:marLeft w:val="0"/>
      <w:marRight w:val="0"/>
      <w:marTop w:val="0"/>
      <w:marBottom w:val="0"/>
      <w:divBdr>
        <w:top w:val="none" w:sz="0" w:space="0" w:color="auto"/>
        <w:left w:val="none" w:sz="0" w:space="0" w:color="auto"/>
        <w:bottom w:val="none" w:sz="0" w:space="0" w:color="auto"/>
        <w:right w:val="none" w:sz="0" w:space="0" w:color="auto"/>
      </w:divBdr>
    </w:div>
    <w:div w:id="896431554">
      <w:bodyDiv w:val="1"/>
      <w:marLeft w:val="0"/>
      <w:marRight w:val="0"/>
      <w:marTop w:val="0"/>
      <w:marBottom w:val="0"/>
      <w:divBdr>
        <w:top w:val="none" w:sz="0" w:space="0" w:color="auto"/>
        <w:left w:val="none" w:sz="0" w:space="0" w:color="auto"/>
        <w:bottom w:val="none" w:sz="0" w:space="0" w:color="auto"/>
        <w:right w:val="none" w:sz="0" w:space="0" w:color="auto"/>
      </w:divBdr>
    </w:div>
    <w:div w:id="934166736">
      <w:bodyDiv w:val="1"/>
      <w:marLeft w:val="0"/>
      <w:marRight w:val="0"/>
      <w:marTop w:val="0"/>
      <w:marBottom w:val="0"/>
      <w:divBdr>
        <w:top w:val="none" w:sz="0" w:space="0" w:color="auto"/>
        <w:left w:val="none" w:sz="0" w:space="0" w:color="auto"/>
        <w:bottom w:val="none" w:sz="0" w:space="0" w:color="auto"/>
        <w:right w:val="none" w:sz="0" w:space="0" w:color="auto"/>
      </w:divBdr>
      <w:divsChild>
        <w:div w:id="1867522956">
          <w:marLeft w:val="0"/>
          <w:marRight w:val="0"/>
          <w:marTop w:val="0"/>
          <w:marBottom w:val="0"/>
          <w:divBdr>
            <w:top w:val="none" w:sz="0" w:space="0" w:color="auto"/>
            <w:left w:val="none" w:sz="0" w:space="0" w:color="auto"/>
            <w:bottom w:val="none" w:sz="0" w:space="0" w:color="auto"/>
            <w:right w:val="none" w:sz="0" w:space="0" w:color="auto"/>
          </w:divBdr>
        </w:div>
      </w:divsChild>
    </w:div>
    <w:div w:id="1095857173">
      <w:bodyDiv w:val="1"/>
      <w:marLeft w:val="0"/>
      <w:marRight w:val="0"/>
      <w:marTop w:val="0"/>
      <w:marBottom w:val="0"/>
      <w:divBdr>
        <w:top w:val="none" w:sz="0" w:space="0" w:color="auto"/>
        <w:left w:val="none" w:sz="0" w:space="0" w:color="auto"/>
        <w:bottom w:val="none" w:sz="0" w:space="0" w:color="auto"/>
        <w:right w:val="none" w:sz="0" w:space="0" w:color="auto"/>
      </w:divBdr>
    </w:div>
    <w:div w:id="1132559007">
      <w:bodyDiv w:val="1"/>
      <w:marLeft w:val="0"/>
      <w:marRight w:val="0"/>
      <w:marTop w:val="0"/>
      <w:marBottom w:val="0"/>
      <w:divBdr>
        <w:top w:val="none" w:sz="0" w:space="0" w:color="auto"/>
        <w:left w:val="none" w:sz="0" w:space="0" w:color="auto"/>
        <w:bottom w:val="none" w:sz="0" w:space="0" w:color="auto"/>
        <w:right w:val="none" w:sz="0" w:space="0" w:color="auto"/>
      </w:divBdr>
    </w:div>
    <w:div w:id="1160342538">
      <w:bodyDiv w:val="1"/>
      <w:marLeft w:val="0"/>
      <w:marRight w:val="0"/>
      <w:marTop w:val="0"/>
      <w:marBottom w:val="0"/>
      <w:divBdr>
        <w:top w:val="none" w:sz="0" w:space="0" w:color="auto"/>
        <w:left w:val="none" w:sz="0" w:space="0" w:color="auto"/>
        <w:bottom w:val="none" w:sz="0" w:space="0" w:color="auto"/>
        <w:right w:val="none" w:sz="0" w:space="0" w:color="auto"/>
      </w:divBdr>
    </w:div>
    <w:div w:id="1215386890">
      <w:bodyDiv w:val="1"/>
      <w:marLeft w:val="0"/>
      <w:marRight w:val="0"/>
      <w:marTop w:val="0"/>
      <w:marBottom w:val="0"/>
      <w:divBdr>
        <w:top w:val="none" w:sz="0" w:space="0" w:color="auto"/>
        <w:left w:val="none" w:sz="0" w:space="0" w:color="auto"/>
        <w:bottom w:val="none" w:sz="0" w:space="0" w:color="auto"/>
        <w:right w:val="none" w:sz="0" w:space="0" w:color="auto"/>
      </w:divBdr>
    </w:div>
    <w:div w:id="1226453978">
      <w:bodyDiv w:val="1"/>
      <w:marLeft w:val="0"/>
      <w:marRight w:val="0"/>
      <w:marTop w:val="0"/>
      <w:marBottom w:val="0"/>
      <w:divBdr>
        <w:top w:val="none" w:sz="0" w:space="0" w:color="auto"/>
        <w:left w:val="none" w:sz="0" w:space="0" w:color="auto"/>
        <w:bottom w:val="none" w:sz="0" w:space="0" w:color="auto"/>
        <w:right w:val="none" w:sz="0" w:space="0" w:color="auto"/>
      </w:divBdr>
    </w:div>
    <w:div w:id="1272468602">
      <w:bodyDiv w:val="1"/>
      <w:marLeft w:val="0"/>
      <w:marRight w:val="0"/>
      <w:marTop w:val="0"/>
      <w:marBottom w:val="0"/>
      <w:divBdr>
        <w:top w:val="none" w:sz="0" w:space="0" w:color="auto"/>
        <w:left w:val="none" w:sz="0" w:space="0" w:color="auto"/>
        <w:bottom w:val="none" w:sz="0" w:space="0" w:color="auto"/>
        <w:right w:val="none" w:sz="0" w:space="0" w:color="auto"/>
      </w:divBdr>
    </w:div>
    <w:div w:id="1297561319">
      <w:bodyDiv w:val="1"/>
      <w:marLeft w:val="0"/>
      <w:marRight w:val="0"/>
      <w:marTop w:val="0"/>
      <w:marBottom w:val="0"/>
      <w:divBdr>
        <w:top w:val="none" w:sz="0" w:space="0" w:color="auto"/>
        <w:left w:val="none" w:sz="0" w:space="0" w:color="auto"/>
        <w:bottom w:val="none" w:sz="0" w:space="0" w:color="auto"/>
        <w:right w:val="none" w:sz="0" w:space="0" w:color="auto"/>
      </w:divBdr>
    </w:div>
    <w:div w:id="1357926367">
      <w:bodyDiv w:val="1"/>
      <w:marLeft w:val="0"/>
      <w:marRight w:val="0"/>
      <w:marTop w:val="0"/>
      <w:marBottom w:val="0"/>
      <w:divBdr>
        <w:top w:val="none" w:sz="0" w:space="0" w:color="auto"/>
        <w:left w:val="none" w:sz="0" w:space="0" w:color="auto"/>
        <w:bottom w:val="none" w:sz="0" w:space="0" w:color="auto"/>
        <w:right w:val="none" w:sz="0" w:space="0" w:color="auto"/>
      </w:divBdr>
    </w:div>
    <w:div w:id="1420830326">
      <w:bodyDiv w:val="1"/>
      <w:marLeft w:val="0"/>
      <w:marRight w:val="0"/>
      <w:marTop w:val="0"/>
      <w:marBottom w:val="0"/>
      <w:divBdr>
        <w:top w:val="none" w:sz="0" w:space="0" w:color="auto"/>
        <w:left w:val="none" w:sz="0" w:space="0" w:color="auto"/>
        <w:bottom w:val="none" w:sz="0" w:space="0" w:color="auto"/>
        <w:right w:val="none" w:sz="0" w:space="0" w:color="auto"/>
      </w:divBdr>
    </w:div>
    <w:div w:id="1529249520">
      <w:bodyDiv w:val="1"/>
      <w:marLeft w:val="0"/>
      <w:marRight w:val="0"/>
      <w:marTop w:val="0"/>
      <w:marBottom w:val="0"/>
      <w:divBdr>
        <w:top w:val="none" w:sz="0" w:space="0" w:color="auto"/>
        <w:left w:val="none" w:sz="0" w:space="0" w:color="auto"/>
        <w:bottom w:val="none" w:sz="0" w:space="0" w:color="auto"/>
        <w:right w:val="none" w:sz="0" w:space="0" w:color="auto"/>
      </w:divBdr>
    </w:div>
    <w:div w:id="1623415709">
      <w:bodyDiv w:val="1"/>
      <w:marLeft w:val="0"/>
      <w:marRight w:val="0"/>
      <w:marTop w:val="0"/>
      <w:marBottom w:val="0"/>
      <w:divBdr>
        <w:top w:val="none" w:sz="0" w:space="0" w:color="auto"/>
        <w:left w:val="none" w:sz="0" w:space="0" w:color="auto"/>
        <w:bottom w:val="none" w:sz="0" w:space="0" w:color="auto"/>
        <w:right w:val="none" w:sz="0" w:space="0" w:color="auto"/>
      </w:divBdr>
    </w:div>
    <w:div w:id="1687709283">
      <w:bodyDiv w:val="1"/>
      <w:marLeft w:val="0"/>
      <w:marRight w:val="0"/>
      <w:marTop w:val="0"/>
      <w:marBottom w:val="0"/>
      <w:divBdr>
        <w:top w:val="none" w:sz="0" w:space="0" w:color="auto"/>
        <w:left w:val="none" w:sz="0" w:space="0" w:color="auto"/>
        <w:bottom w:val="none" w:sz="0" w:space="0" w:color="auto"/>
        <w:right w:val="none" w:sz="0" w:space="0" w:color="auto"/>
      </w:divBdr>
    </w:div>
    <w:div w:id="1688289503">
      <w:bodyDiv w:val="1"/>
      <w:marLeft w:val="0"/>
      <w:marRight w:val="0"/>
      <w:marTop w:val="0"/>
      <w:marBottom w:val="0"/>
      <w:divBdr>
        <w:top w:val="none" w:sz="0" w:space="0" w:color="auto"/>
        <w:left w:val="none" w:sz="0" w:space="0" w:color="auto"/>
        <w:bottom w:val="none" w:sz="0" w:space="0" w:color="auto"/>
        <w:right w:val="none" w:sz="0" w:space="0" w:color="auto"/>
      </w:divBdr>
    </w:div>
    <w:div w:id="1688367985">
      <w:bodyDiv w:val="1"/>
      <w:marLeft w:val="0"/>
      <w:marRight w:val="0"/>
      <w:marTop w:val="0"/>
      <w:marBottom w:val="0"/>
      <w:divBdr>
        <w:top w:val="none" w:sz="0" w:space="0" w:color="auto"/>
        <w:left w:val="none" w:sz="0" w:space="0" w:color="auto"/>
        <w:bottom w:val="none" w:sz="0" w:space="0" w:color="auto"/>
        <w:right w:val="none" w:sz="0" w:space="0" w:color="auto"/>
      </w:divBdr>
    </w:div>
    <w:div w:id="1696536695">
      <w:bodyDiv w:val="1"/>
      <w:marLeft w:val="0"/>
      <w:marRight w:val="0"/>
      <w:marTop w:val="0"/>
      <w:marBottom w:val="0"/>
      <w:divBdr>
        <w:top w:val="none" w:sz="0" w:space="0" w:color="auto"/>
        <w:left w:val="none" w:sz="0" w:space="0" w:color="auto"/>
        <w:bottom w:val="none" w:sz="0" w:space="0" w:color="auto"/>
        <w:right w:val="none" w:sz="0" w:space="0" w:color="auto"/>
      </w:divBdr>
    </w:div>
    <w:div w:id="1701395805">
      <w:bodyDiv w:val="1"/>
      <w:marLeft w:val="0"/>
      <w:marRight w:val="0"/>
      <w:marTop w:val="0"/>
      <w:marBottom w:val="0"/>
      <w:divBdr>
        <w:top w:val="none" w:sz="0" w:space="0" w:color="auto"/>
        <w:left w:val="none" w:sz="0" w:space="0" w:color="auto"/>
        <w:bottom w:val="none" w:sz="0" w:space="0" w:color="auto"/>
        <w:right w:val="none" w:sz="0" w:space="0" w:color="auto"/>
      </w:divBdr>
    </w:div>
    <w:div w:id="1851677795">
      <w:bodyDiv w:val="1"/>
      <w:marLeft w:val="0"/>
      <w:marRight w:val="0"/>
      <w:marTop w:val="0"/>
      <w:marBottom w:val="0"/>
      <w:divBdr>
        <w:top w:val="none" w:sz="0" w:space="0" w:color="auto"/>
        <w:left w:val="none" w:sz="0" w:space="0" w:color="auto"/>
        <w:bottom w:val="none" w:sz="0" w:space="0" w:color="auto"/>
        <w:right w:val="none" w:sz="0" w:space="0" w:color="auto"/>
      </w:divBdr>
    </w:div>
    <w:div w:id="1904027532">
      <w:bodyDiv w:val="1"/>
      <w:marLeft w:val="0"/>
      <w:marRight w:val="0"/>
      <w:marTop w:val="0"/>
      <w:marBottom w:val="0"/>
      <w:divBdr>
        <w:top w:val="none" w:sz="0" w:space="0" w:color="auto"/>
        <w:left w:val="none" w:sz="0" w:space="0" w:color="auto"/>
        <w:bottom w:val="none" w:sz="0" w:space="0" w:color="auto"/>
        <w:right w:val="none" w:sz="0" w:space="0" w:color="auto"/>
      </w:divBdr>
    </w:div>
    <w:div w:id="1928659239">
      <w:bodyDiv w:val="1"/>
      <w:marLeft w:val="0"/>
      <w:marRight w:val="0"/>
      <w:marTop w:val="0"/>
      <w:marBottom w:val="0"/>
      <w:divBdr>
        <w:top w:val="none" w:sz="0" w:space="0" w:color="auto"/>
        <w:left w:val="none" w:sz="0" w:space="0" w:color="auto"/>
        <w:bottom w:val="none" w:sz="0" w:space="0" w:color="auto"/>
        <w:right w:val="none" w:sz="0" w:space="0" w:color="auto"/>
      </w:divBdr>
    </w:div>
    <w:div w:id="1970548407">
      <w:bodyDiv w:val="1"/>
      <w:marLeft w:val="0"/>
      <w:marRight w:val="0"/>
      <w:marTop w:val="0"/>
      <w:marBottom w:val="0"/>
      <w:divBdr>
        <w:top w:val="none" w:sz="0" w:space="0" w:color="auto"/>
        <w:left w:val="none" w:sz="0" w:space="0" w:color="auto"/>
        <w:bottom w:val="none" w:sz="0" w:space="0" w:color="auto"/>
        <w:right w:val="none" w:sz="0" w:space="0" w:color="auto"/>
      </w:divBdr>
    </w:div>
    <w:div w:id="2009626239">
      <w:bodyDiv w:val="1"/>
      <w:marLeft w:val="0"/>
      <w:marRight w:val="0"/>
      <w:marTop w:val="0"/>
      <w:marBottom w:val="0"/>
      <w:divBdr>
        <w:top w:val="none" w:sz="0" w:space="0" w:color="auto"/>
        <w:left w:val="none" w:sz="0" w:space="0" w:color="auto"/>
        <w:bottom w:val="none" w:sz="0" w:space="0" w:color="auto"/>
        <w:right w:val="none" w:sz="0" w:space="0" w:color="auto"/>
      </w:divBdr>
    </w:div>
    <w:div w:id="201176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image" Target="media/image6.png"/><Relationship Id="rId39" Type="http://schemas.openxmlformats.org/officeDocument/2006/relationships/header" Target="header7.xml"/><Relationship Id="rId21" Type="http://schemas.openxmlformats.org/officeDocument/2006/relationships/footer" Target="footer2.xml"/><Relationship Id="rId34" Type="http://schemas.openxmlformats.org/officeDocument/2006/relationships/hyperlink" Target="https://www.betterhealth.vic.gov.au" TargetMode="External"/><Relationship Id="rId42" Type="http://schemas.openxmlformats.org/officeDocument/2006/relationships/hyperlink" Target="https://www.safercare.vic.gov.au/" TargetMode="External"/><Relationship Id="rId47" Type="http://schemas.openxmlformats.org/officeDocument/2006/relationships/footer" Target="footer7.xml"/><Relationship Id="rId50" Type="http://schemas.openxmlformats.org/officeDocument/2006/relationships/image" Target="media/image14.jpeg"/><Relationship Id="rId55" Type="http://schemas.openxmlformats.org/officeDocument/2006/relationships/footer" Target="footer9.xml"/><Relationship Id="rId63" Type="http://schemas.openxmlformats.org/officeDocument/2006/relationships/hyperlink" Target="https://www.coronavirus.vic.gov.au/victorian-coronavirus-covid-19-data" TargetMode="External"/><Relationship Id="rId68" Type="http://schemas.openxmlformats.org/officeDocument/2006/relationships/hyperlink" Target="https://www.aihw.gov.au/" TargetMode="External"/><Relationship Id="rId76" Type="http://schemas.openxmlformats.org/officeDocument/2006/relationships/hyperlink" Target="mailto:dhcommunicationsenquiries@health.vic.gov.au" TargetMode="External"/><Relationship Id="rId84" Type="http://schemas.openxmlformats.org/officeDocument/2006/relationships/image" Target="media/image18.png"/><Relationship Id="rId89" Type="http://schemas.openxmlformats.org/officeDocument/2006/relationships/footer" Target="footer16.xml"/><Relationship Id="rId7" Type="http://schemas.openxmlformats.org/officeDocument/2006/relationships/settings" Target="settings.xml"/><Relationship Id="rId71" Type="http://schemas.openxmlformats.org/officeDocument/2006/relationships/hyperlink" Target="mailto:foi@health.vic.gov.au" TargetMode="External"/><Relationship Id="rId92"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png"/><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yperlink" Target="https://www.health.vic.gov.au/leadership-charter" TargetMode="External"/><Relationship Id="rId37" Type="http://schemas.openxmlformats.org/officeDocument/2006/relationships/header" Target="header6.xml"/><Relationship Id="rId40" Type="http://schemas.openxmlformats.org/officeDocument/2006/relationships/header" Target="header8.xml"/><Relationship Id="rId45" Type="http://schemas.openxmlformats.org/officeDocument/2006/relationships/footer" Target="footer6.xml"/><Relationship Id="rId53" Type="http://schemas.openxmlformats.org/officeDocument/2006/relationships/footer" Target="footer8.xml"/><Relationship Id="rId58" Type="http://schemas.openxmlformats.org/officeDocument/2006/relationships/footer" Target="footer10.xml"/><Relationship Id="rId66" Type="http://schemas.openxmlformats.org/officeDocument/2006/relationships/hyperlink" Target="https://www.health.vic.gov.au/reporting-planning-data/for-researchers" TargetMode="External"/><Relationship Id="rId74" Type="http://schemas.openxmlformats.org/officeDocument/2006/relationships/hyperlink" Target="mailto:info@ibac.vic.gov.au" TargetMode="External"/><Relationship Id="rId79" Type="http://schemas.openxmlformats.org/officeDocument/2006/relationships/footer" Target="footer12.xml"/><Relationship Id="rId87" Type="http://schemas.openxmlformats.org/officeDocument/2006/relationships/footer" Target="footer15.xml"/><Relationship Id="rId5" Type="http://schemas.openxmlformats.org/officeDocument/2006/relationships/numbering" Target="numbering.xml"/><Relationship Id="rId61" Type="http://schemas.openxmlformats.org/officeDocument/2006/relationships/hyperlink" Target="https://www.health.vic.gov.au/about/reporting-planning-and-data" TargetMode="External"/><Relationship Id="rId82" Type="http://schemas.openxmlformats.org/officeDocument/2006/relationships/image" Target="media/image16.jpeg"/><Relationship Id="rId90" Type="http://schemas.openxmlformats.org/officeDocument/2006/relationships/image" Target="media/image19.png"/><Relationship Id="rId95"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hyperlink" Target="https://creativecommons.org/licenses/by/4.0/legalcode" TargetMode="Externa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yperlink" Target="https://www.health.vic.gov.au/radiation/radiation-act-annual-reports" TargetMode="External"/><Relationship Id="rId43" Type="http://schemas.openxmlformats.org/officeDocument/2006/relationships/header" Target="header10.xml"/><Relationship Id="rId48" Type="http://schemas.openxmlformats.org/officeDocument/2006/relationships/image" Target="media/image12.jpeg"/><Relationship Id="rId56" Type="http://schemas.openxmlformats.org/officeDocument/2006/relationships/hyperlink" Target="https://www.tenders.vic.gov.au/" TargetMode="External"/><Relationship Id="rId64" Type="http://schemas.openxmlformats.org/officeDocument/2006/relationships/hyperlink" Target="https://www.health.vic.gov.au/about/publications" TargetMode="External"/><Relationship Id="rId69" Type="http://schemas.openxmlformats.org/officeDocument/2006/relationships/hyperlink" Target="https://www.aihw.gov.au/reports-data/myhospitals" TargetMode="External"/><Relationship Id="rId77"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image" Target="media/image15.jpeg"/><Relationship Id="rId72" Type="http://schemas.openxmlformats.org/officeDocument/2006/relationships/hyperlink" Target="mailto:publicinterestdisclosure@health.vic.gov.au" TargetMode="External"/><Relationship Id="rId80" Type="http://schemas.openxmlformats.org/officeDocument/2006/relationships/header" Target="header17.xml"/><Relationship Id="rId85" Type="http://schemas.openxmlformats.org/officeDocument/2006/relationships/header" Target="header18.xml"/><Relationship Id="rId93" Type="http://schemas.openxmlformats.org/officeDocument/2006/relationships/footer" Target="footer17.xml"/><Relationship Id="rId3" Type="http://schemas.openxmlformats.org/officeDocument/2006/relationships/customXml" Target="../customXml/item3.xml"/><Relationship Id="rId12" Type="http://schemas.openxmlformats.org/officeDocument/2006/relationships/hyperlink" Target="mailto:corporate.reporting@health.vic.gov.au" TargetMode="Externa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header" Target="header5.xml"/><Relationship Id="rId38" Type="http://schemas.openxmlformats.org/officeDocument/2006/relationships/footer" Target="footer5.xml"/><Relationship Id="rId46" Type="http://schemas.openxmlformats.org/officeDocument/2006/relationships/header" Target="header12.xml"/><Relationship Id="rId59" Type="http://schemas.openxmlformats.org/officeDocument/2006/relationships/hyperlink" Target="http://www.data.vic.gov.au/" TargetMode="External"/><Relationship Id="rId67" Type="http://schemas.openxmlformats.org/officeDocument/2006/relationships/hyperlink" Target="https://www.cancervic.org.au/" TargetMode="External"/><Relationship Id="rId20" Type="http://schemas.openxmlformats.org/officeDocument/2006/relationships/header" Target="header3.xml"/><Relationship Id="rId41" Type="http://schemas.openxmlformats.org/officeDocument/2006/relationships/header" Target="header9.xml"/><Relationship Id="rId54" Type="http://schemas.openxmlformats.org/officeDocument/2006/relationships/header" Target="header14.xml"/><Relationship Id="rId62" Type="http://schemas.openxmlformats.org/officeDocument/2006/relationships/hyperlink" Target="https://www.health.vic.gov.au/public-health" TargetMode="External"/><Relationship Id="rId70" Type="http://schemas.openxmlformats.org/officeDocument/2006/relationships/hyperlink" Target="https://online.foi.vic.gov.au/foi/request.doj" TargetMode="External"/><Relationship Id="rId75" Type="http://schemas.openxmlformats.org/officeDocument/2006/relationships/hyperlink" Target="mailto:publicinterestdisclosure@health.vic.gov.au" TargetMode="External"/><Relationship Id="rId83" Type="http://schemas.openxmlformats.org/officeDocument/2006/relationships/image" Target="media/image17.png"/><Relationship Id="rId88" Type="http://schemas.openxmlformats.org/officeDocument/2006/relationships/header" Target="header19.xml"/><Relationship Id="rId91" Type="http://schemas.openxmlformats.org/officeDocument/2006/relationships/image" Target="media/image20.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8.png"/><Relationship Id="rId36" Type="http://schemas.openxmlformats.org/officeDocument/2006/relationships/hyperlink" Target="https://www.health.vic.gov.au/water/drinking-water-quality-annual-reports" TargetMode="External"/><Relationship Id="rId49" Type="http://schemas.openxmlformats.org/officeDocument/2006/relationships/image" Target="media/image13.jpeg"/><Relationship Id="rId57" Type="http://schemas.openxmlformats.org/officeDocument/2006/relationships/header" Target="header15.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eader" Target="header11.xml"/><Relationship Id="rId52" Type="http://schemas.openxmlformats.org/officeDocument/2006/relationships/header" Target="header13.xml"/><Relationship Id="rId60" Type="http://schemas.openxmlformats.org/officeDocument/2006/relationships/hyperlink" Target="https://vahi.vic.gov.au/" TargetMode="External"/><Relationship Id="rId65" Type="http://schemas.openxmlformats.org/officeDocument/2006/relationships/hyperlink" Target="https://vahi.freshdesk.com/support/home" TargetMode="External"/><Relationship Id="rId73" Type="http://schemas.openxmlformats.org/officeDocument/2006/relationships/hyperlink" Target="https://www.ibac.vic.gov.au" TargetMode="External"/><Relationship Id="rId78" Type="http://schemas.openxmlformats.org/officeDocument/2006/relationships/footer" Target="footer11.xml"/><Relationship Id="rId81" Type="http://schemas.openxmlformats.org/officeDocument/2006/relationships/footer" Target="footer13.xml"/><Relationship Id="rId86" Type="http://schemas.openxmlformats.org/officeDocument/2006/relationships/footer" Target="footer14.xm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Custom 16">
      <a:dk1>
        <a:sysClr val="windowText" lastClr="000000"/>
      </a:dk1>
      <a:lt1>
        <a:sysClr val="window" lastClr="FFFFFF"/>
      </a:lt1>
      <a:dk2>
        <a:srgbClr val="44546A"/>
      </a:dk2>
      <a:lt2>
        <a:srgbClr val="E7E6E6"/>
      </a:lt2>
      <a:accent1>
        <a:srgbClr val="87189D"/>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17" ma:contentTypeDescription="Create a new document." ma:contentTypeScope="" ma:versionID="65e8695cce1b711b632dea461c85e6ea">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53cc629237bb96acaf1a5edb08a207e8"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_Flow_SignoffStatu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59141e8c-e226-49fc-9aac-8ebe45358ffd}"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6badf41-c0a1-41a6-983a-efd542c2c878" xsi:nil="true"/>
    <SharedWithUsers xmlns="51ef5222-d273-4e86-adbf-8aa3d9e99a84">
      <UserInfo>
        <DisplayName>Grant Breheny (Health)</DisplayName>
        <AccountId>22</AccountId>
        <AccountType/>
      </UserInfo>
      <UserInfo>
        <DisplayName>Anna Tasou (Health)</DisplayName>
        <AccountId>93</AccountId>
        <AccountType/>
      </UserInfo>
      <UserInfo>
        <DisplayName>Thea Jodana (Health)</DisplayName>
        <AccountId>541</AccountId>
        <AccountType/>
      </UserInfo>
    </SharedWithUsers>
    <lcf76f155ced4ddcb4097134ff3c332f xmlns="06badf41-c0a1-41a6-983a-efd542c2c878">
      <Terms xmlns="http://schemas.microsoft.com/office/infopath/2007/PartnerControls"/>
    </lcf76f155ced4ddcb4097134ff3c332f>
    <TaxCatchAll xmlns="5ce0f2b5-5be5-4508-bce9-d7011ece0659" xsi:nil="true"/>
  </documentManagement>
</p:properties>
</file>

<file path=customXml/itemProps1.xml><?xml version="1.0" encoding="utf-8"?>
<ds:datastoreItem xmlns:ds="http://schemas.openxmlformats.org/officeDocument/2006/customXml" ds:itemID="{6C96F562-2E3E-4644-8BE5-EB485F88E4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3FEA6F-7E71-4DCD-8FCE-85A2391ADED3}">
  <ds:schemaRefs>
    <ds:schemaRef ds:uri="http://schemas.openxmlformats.org/officeDocument/2006/bibliography"/>
  </ds:schemaRefs>
</ds:datastoreItem>
</file>

<file path=customXml/itemProps3.xml><?xml version="1.0" encoding="utf-8"?>
<ds:datastoreItem xmlns:ds="http://schemas.openxmlformats.org/officeDocument/2006/customXml" ds:itemID="{AE7AB248-21B6-4211-BB90-8A0265C2AEBB}">
  <ds:schemaRefs>
    <ds:schemaRef ds:uri="http://schemas.microsoft.com/sharepoint/v3/contenttype/forms"/>
  </ds:schemaRefs>
</ds:datastoreItem>
</file>

<file path=customXml/itemProps4.xml><?xml version="1.0" encoding="utf-8"?>
<ds:datastoreItem xmlns:ds="http://schemas.openxmlformats.org/officeDocument/2006/customXml" ds:itemID="{E6A716D3-F1AE-4800-A37F-F38946272407}">
  <ds:schemaRefs>
    <ds:schemaRef ds:uri="5ce0f2b5-5be5-4508-bce9-d7011ece0659"/>
    <ds:schemaRef ds:uri="http://schemas.microsoft.com/office/2006/documentManagement/types"/>
    <ds:schemaRef ds:uri="http://purl.org/dc/dcmitype/"/>
    <ds:schemaRef ds:uri="http://purl.org/dc/elements/1.1/"/>
    <ds:schemaRef ds:uri="51ef5222-d273-4e86-adbf-8aa3d9e99a84"/>
    <ds:schemaRef ds:uri="http://schemas.microsoft.com/office/infopath/2007/PartnerControls"/>
    <ds:schemaRef ds:uri="http://schemas.openxmlformats.org/package/2006/metadata/core-properties"/>
    <ds:schemaRef ds:uri="http://purl.org/dc/terms/"/>
    <ds:schemaRef ds:uri="06badf41-c0a1-41a6-983a-efd542c2c878"/>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91350</Words>
  <Characters>520697</Characters>
  <Application>Microsoft Office Word</Application>
  <DocSecurity>4</DocSecurity>
  <Lines>4339</Lines>
  <Paragraphs>1221</Paragraphs>
  <ScaleCrop>false</ScaleCrop>
  <HeadingPairs>
    <vt:vector size="2" baseType="variant">
      <vt:variant>
        <vt:lpstr>Title</vt:lpstr>
      </vt:variant>
      <vt:variant>
        <vt:i4>1</vt:i4>
      </vt:variant>
    </vt:vector>
  </HeadingPairs>
  <TitlesOfParts>
    <vt:vector size="1" baseType="lpstr">
      <vt:lpstr>Department of Health Annual Report 2021-22</vt:lpstr>
    </vt:vector>
  </TitlesOfParts>
  <Company>Department of Health</Company>
  <LinksUpToDate>false</LinksUpToDate>
  <CharactersWithSpaces>610826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Annual Report 2021-22</dc:title>
  <dc:subject>Annual report</dc:subject>
  <dc:creator>Department of Health</dc:creator>
  <cp:keywords>annual report 2021-22, financial statements, year in review, governance, organisational structure, workforce data, disclosures, audit opinion</cp:keywords>
  <cp:lastModifiedBy>Jade Sarna (Health)</cp:lastModifiedBy>
  <cp:revision>2</cp:revision>
  <cp:lastPrinted>2022-09-12T01:58:00Z</cp:lastPrinted>
  <dcterms:created xsi:type="dcterms:W3CDTF">2022-09-20T04:08:00Z</dcterms:created>
  <dcterms:modified xsi:type="dcterms:W3CDTF">2022-09-20T04:08:00Z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0x0101009F0C4347C5C6D34BA8C9FCC4F57D19B6</vt:lpwstr>
  </property>
  <property fmtid="{D5CDD505-2E9C-101B-9397-08002B2CF9AE}" pid="3" name="MSIP_Label_efdf5488-3066-4b6c-8fea-9472b8a1f34c_Enabled">
    <vt:lpwstr>True</vt:lpwstr>
  </property>
  <property fmtid="{D5CDD505-2E9C-101B-9397-08002B2CF9AE}" pid="4" name="MSIP_Label_efdf5488-3066-4b6c-8fea-9472b8a1f34c_SiteId">
    <vt:lpwstr>c0e0601f-0fac-449c-9c88-a104c4eb9f28</vt:lpwstr>
  </property>
  <property fmtid="{D5CDD505-2E9C-101B-9397-08002B2CF9AE}" pid="5" name="MSIP_Label_efdf5488-3066-4b6c-8fea-9472b8a1f34c_Owner">
    <vt:lpwstr>Judy.Carr@dhhs.vic.gov.au</vt:lpwstr>
  </property>
  <property fmtid="{D5CDD505-2E9C-101B-9397-08002B2CF9AE}" pid="6" name="MSIP_Label_efdf5488-3066-4b6c-8fea-9472b8a1f34c_Name">
    <vt:lpwstr>DO NOT MARK</vt:lpwstr>
  </property>
  <property fmtid="{D5CDD505-2E9C-101B-9397-08002B2CF9AE}" pid="7" name="MSIP_Label_efdf5488-3066-4b6c-8fea-9472b8a1f34c_Application">
    <vt:lpwstr>Microsoft Azure Information Protection</vt:lpwstr>
  </property>
  <property fmtid="{D5CDD505-2E9C-101B-9397-08002B2CF9AE}" pid="8" name="MSIP_Label_efdf5488-3066-4b6c-8fea-9472b8a1f34c_Extended_MSFT_Method">
    <vt:lpwstr>Manual</vt:lpwstr>
  </property>
  <property fmtid="{D5CDD505-2E9C-101B-9397-08002B2CF9AE}" pid="9" name="Sensitivity">
    <vt:lpwstr>DO NOT MARK</vt:lpwstr>
  </property>
  <property fmtid="{D5CDD505-2E9C-101B-9397-08002B2CF9AE}" pid="10" name="MSIP_Label_efdf5488-3066-4b6c-8fea-9472b8a1f34c_SetDate">
    <vt:lpwstr>2020-09-15T06:14:09.3017878Z</vt:lpwstr>
  </property>
  <property fmtid="{D5CDD505-2E9C-101B-9397-08002B2CF9AE}" pid="11" name="MSIP_Label_efdf5488-3066-4b6c-8fea-9472b8a1f34c_ActionId">
    <vt:lpwstr>cc07eaf2-62f1-4a1b-bc68-1aaf446ddac2</vt:lpwstr>
  </property>
  <property fmtid="{D5CDD505-2E9C-101B-9397-08002B2CF9AE}" pid="12" name="Language">
    <vt:lpwstr>English</vt:lpwstr>
  </property>
  <property fmtid="{D5CDD505-2E9C-101B-9397-08002B2CF9AE}" pid="13" name="MediaServiceImageTags">
    <vt:lpwstr/>
  </property>
</Properties>
</file>